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51387" w14:textId="77777777" w:rsidR="00B10DAC" w:rsidRDefault="00B10DAC" w:rsidP="00B10DAC">
      <w:pPr>
        <w:jc w:val="right"/>
      </w:pPr>
      <w:bookmarkStart w:id="0" w:name="_GoBack"/>
    </w:p>
    <w:p w14:paraId="0E0B12BD" w14:textId="77777777" w:rsidR="00B10DAC" w:rsidRDefault="00B10DAC" w:rsidP="00B10DAC">
      <w:pPr>
        <w:jc w:val="center"/>
      </w:pPr>
      <w:r>
        <w:rPr>
          <w:rFonts w:ascii="Arial Narrow" w:hAnsi="Arial Narrow"/>
          <w:noProof/>
          <w:sz w:val="24"/>
          <w:szCs w:val="24"/>
          <w:lang w:val="en-ZA" w:eastAsia="en-ZA"/>
        </w:rPr>
        <w:drawing>
          <wp:inline distT="0" distB="0" distL="0" distR="0" wp14:anchorId="7AA693E5" wp14:editId="6384A330">
            <wp:extent cx="1071819" cy="1028700"/>
            <wp:effectExtent l="0" t="0" r="0" b="0"/>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2648" cy="1039093"/>
                    </a:xfrm>
                    <a:prstGeom prst="rect">
                      <a:avLst/>
                    </a:prstGeom>
                    <a:noFill/>
                    <a:ln>
                      <a:noFill/>
                    </a:ln>
                  </pic:spPr>
                </pic:pic>
              </a:graphicData>
            </a:graphic>
          </wp:inline>
        </w:drawing>
      </w:r>
    </w:p>
    <w:p w14:paraId="59DA9754" w14:textId="77777777" w:rsidR="00A83E40" w:rsidRDefault="00A83E40" w:rsidP="00B10DAC">
      <w:pPr>
        <w:jc w:val="center"/>
        <w:rPr>
          <w:rFonts w:ascii="Verdana" w:hAnsi="Verdana" w:cs="Tahoma"/>
          <w:b/>
          <w:sz w:val="24"/>
          <w:szCs w:val="24"/>
        </w:rPr>
      </w:pPr>
    </w:p>
    <w:tbl>
      <w:tblPr>
        <w:tblpPr w:leftFromText="180" w:rightFromText="180" w:vertAnchor="page" w:horzAnchor="margin" w:tblpXSpec="right" w:tblpY="3046"/>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A83E40" w:rsidRPr="009D1AFA" w14:paraId="0FB0306E" w14:textId="77777777" w:rsidTr="00C070EE">
        <w:tc>
          <w:tcPr>
            <w:tcW w:w="4394" w:type="dxa"/>
          </w:tcPr>
          <w:p w14:paraId="31EC53F9" w14:textId="77777777" w:rsidR="00A83E40" w:rsidRPr="009D1AFA" w:rsidRDefault="00A83E40" w:rsidP="009D1AFA">
            <w:pPr>
              <w:pStyle w:val="NoSpacing"/>
              <w:rPr>
                <w:sz w:val="20"/>
              </w:rPr>
            </w:pPr>
            <w:r w:rsidRPr="009D1AFA">
              <w:rPr>
                <w:sz w:val="20"/>
              </w:rPr>
              <w:t xml:space="preserve">Reportable:  </w:t>
            </w:r>
            <w:r w:rsidRPr="009D1AFA">
              <w:rPr>
                <w:sz w:val="20"/>
              </w:rPr>
              <w:tab/>
              <w:t xml:space="preserve">                              YES / NO</w:t>
            </w:r>
          </w:p>
          <w:p w14:paraId="525E44DB" w14:textId="77777777" w:rsidR="00A83E40" w:rsidRPr="009D1AFA" w:rsidRDefault="00A83E40" w:rsidP="009D1AFA">
            <w:pPr>
              <w:pStyle w:val="NoSpacing"/>
              <w:rPr>
                <w:sz w:val="20"/>
              </w:rPr>
            </w:pPr>
            <w:r w:rsidRPr="009D1AFA">
              <w:rPr>
                <w:sz w:val="20"/>
              </w:rPr>
              <w:t xml:space="preserve">Circulate to Judges: </w:t>
            </w:r>
            <w:r w:rsidRPr="009D1AFA">
              <w:rPr>
                <w:sz w:val="20"/>
              </w:rPr>
              <w:tab/>
              <w:t xml:space="preserve">                 YES / NO</w:t>
            </w:r>
          </w:p>
          <w:p w14:paraId="058477C1" w14:textId="77777777" w:rsidR="00A83E40" w:rsidRPr="009D1AFA" w:rsidRDefault="00A83E40" w:rsidP="009D1AFA">
            <w:pPr>
              <w:pStyle w:val="NoSpacing"/>
              <w:rPr>
                <w:sz w:val="20"/>
              </w:rPr>
            </w:pPr>
            <w:r w:rsidRPr="009D1AFA">
              <w:rPr>
                <w:sz w:val="20"/>
              </w:rPr>
              <w:t>Circulate to Magistrates:</w:t>
            </w:r>
            <w:r w:rsidRPr="009D1AFA">
              <w:rPr>
                <w:sz w:val="20"/>
              </w:rPr>
              <w:tab/>
              <w:t xml:space="preserve">             </w:t>
            </w:r>
            <w:r w:rsidR="009D1AFA">
              <w:rPr>
                <w:sz w:val="20"/>
              </w:rPr>
              <w:t xml:space="preserve">  </w:t>
            </w:r>
            <w:r w:rsidRPr="009D1AFA">
              <w:rPr>
                <w:sz w:val="20"/>
              </w:rPr>
              <w:t xml:space="preserve">  YES / NO</w:t>
            </w:r>
          </w:p>
          <w:p w14:paraId="45F2D3B2" w14:textId="77777777" w:rsidR="00A83E40" w:rsidRPr="009D1AFA" w:rsidRDefault="00A83E40" w:rsidP="009D1AFA">
            <w:pPr>
              <w:pStyle w:val="NoSpacing"/>
              <w:rPr>
                <w:sz w:val="20"/>
              </w:rPr>
            </w:pPr>
            <w:r w:rsidRPr="009D1AFA">
              <w:rPr>
                <w:sz w:val="20"/>
              </w:rPr>
              <w:t>Circulate to Regional Magistrates:  YES / NO</w:t>
            </w:r>
          </w:p>
        </w:tc>
      </w:tr>
    </w:tbl>
    <w:p w14:paraId="753E9A7D" w14:textId="77777777" w:rsidR="00A83E40" w:rsidRDefault="00A83E40" w:rsidP="00B10DAC">
      <w:pPr>
        <w:jc w:val="center"/>
        <w:rPr>
          <w:rFonts w:ascii="Verdana" w:hAnsi="Verdana" w:cs="Tahoma"/>
          <w:b/>
          <w:sz w:val="24"/>
          <w:szCs w:val="24"/>
        </w:rPr>
      </w:pPr>
    </w:p>
    <w:p w14:paraId="7DB9A5E4" w14:textId="77777777" w:rsidR="00A83E40" w:rsidRDefault="00A83E40" w:rsidP="00B10DAC">
      <w:pPr>
        <w:jc w:val="center"/>
        <w:rPr>
          <w:rFonts w:ascii="Verdana" w:hAnsi="Verdana" w:cs="Tahoma"/>
          <w:b/>
          <w:sz w:val="24"/>
          <w:szCs w:val="24"/>
        </w:rPr>
      </w:pPr>
    </w:p>
    <w:p w14:paraId="561E1F07" w14:textId="77777777" w:rsidR="00A83E40" w:rsidRDefault="00A83E40" w:rsidP="00B10DAC">
      <w:pPr>
        <w:jc w:val="center"/>
        <w:rPr>
          <w:rFonts w:ascii="Verdana" w:hAnsi="Verdana" w:cs="Tahoma"/>
          <w:b/>
          <w:sz w:val="24"/>
          <w:szCs w:val="24"/>
        </w:rPr>
      </w:pPr>
    </w:p>
    <w:p w14:paraId="5C992B7B" w14:textId="77777777" w:rsidR="00A83E40" w:rsidRDefault="00A83E40" w:rsidP="00B10DAC">
      <w:pPr>
        <w:jc w:val="center"/>
        <w:rPr>
          <w:rFonts w:ascii="Verdana" w:hAnsi="Verdana" w:cs="Tahoma"/>
          <w:b/>
          <w:sz w:val="24"/>
          <w:szCs w:val="24"/>
        </w:rPr>
      </w:pPr>
    </w:p>
    <w:p w14:paraId="7B25E2A6" w14:textId="77777777" w:rsidR="00A83E40" w:rsidRDefault="00A83E40" w:rsidP="00B10DAC">
      <w:pPr>
        <w:jc w:val="center"/>
        <w:rPr>
          <w:rFonts w:ascii="Verdana" w:hAnsi="Verdana" w:cs="Tahoma"/>
          <w:b/>
          <w:sz w:val="24"/>
          <w:szCs w:val="24"/>
        </w:rPr>
      </w:pPr>
    </w:p>
    <w:p w14:paraId="7774F9C1" w14:textId="77777777"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IN THE HIGH COURT OF SOUTH AFRICA</w:t>
      </w:r>
    </w:p>
    <w:p w14:paraId="5D9E6044" w14:textId="77777777"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NORTHERN CAPE DIVISION, KIMBERLEY</w:t>
      </w:r>
    </w:p>
    <w:p w14:paraId="1FDFF3FC" w14:textId="77777777"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p>
    <w:p w14:paraId="6D9FD7DF" w14:textId="77777777" w:rsidR="00A83E40" w:rsidRDefault="00B10DAC" w:rsidP="00A83E40">
      <w:pPr>
        <w:tabs>
          <w:tab w:val="left" w:pos="851"/>
          <w:tab w:val="left" w:pos="1701"/>
          <w:tab w:val="left" w:pos="2552"/>
          <w:tab w:val="left" w:pos="4820"/>
          <w:tab w:val="right" w:pos="8931"/>
        </w:tabs>
        <w:ind w:left="2880" w:firstLine="1940"/>
        <w:rPr>
          <w:rFonts w:ascii="Verdana" w:hAnsi="Verdana" w:cs="Tahoma"/>
          <w:b/>
          <w:sz w:val="24"/>
          <w:szCs w:val="24"/>
        </w:rPr>
      </w:pPr>
      <w:r w:rsidRPr="00A83E40">
        <w:rPr>
          <w:rFonts w:ascii="Verdana" w:hAnsi="Verdana" w:cs="Tahoma"/>
          <w:sz w:val="24"/>
          <w:szCs w:val="24"/>
        </w:rPr>
        <w:t>C</w:t>
      </w:r>
      <w:r w:rsidR="00A83E40" w:rsidRPr="00A83E40">
        <w:rPr>
          <w:rFonts w:ascii="Verdana" w:hAnsi="Verdana" w:cs="Tahoma"/>
          <w:sz w:val="24"/>
          <w:szCs w:val="24"/>
        </w:rPr>
        <w:t>ase No:</w:t>
      </w:r>
      <w:r w:rsidR="00A83E40">
        <w:rPr>
          <w:rFonts w:ascii="Verdana" w:hAnsi="Verdana" w:cs="Tahoma"/>
          <w:b/>
          <w:sz w:val="24"/>
          <w:szCs w:val="24"/>
        </w:rPr>
        <w:tab/>
      </w:r>
      <w:r w:rsidR="009C05C1">
        <w:rPr>
          <w:rFonts w:ascii="Verdana" w:hAnsi="Verdana" w:cs="Tahoma"/>
          <w:b/>
          <w:sz w:val="24"/>
          <w:szCs w:val="24"/>
        </w:rPr>
        <w:t>1871</w:t>
      </w:r>
      <w:r w:rsidRPr="005466C8">
        <w:rPr>
          <w:rFonts w:ascii="Verdana" w:hAnsi="Verdana" w:cs="Tahoma"/>
          <w:b/>
          <w:sz w:val="24"/>
          <w:szCs w:val="24"/>
        </w:rPr>
        <w:t>/20</w:t>
      </w:r>
      <w:r w:rsidR="00566B62">
        <w:rPr>
          <w:rFonts w:ascii="Verdana" w:hAnsi="Verdana" w:cs="Tahoma"/>
          <w:b/>
          <w:sz w:val="24"/>
          <w:szCs w:val="24"/>
        </w:rPr>
        <w:t>2</w:t>
      </w:r>
      <w:r w:rsidR="009C05C1">
        <w:rPr>
          <w:rFonts w:ascii="Verdana" w:hAnsi="Verdana" w:cs="Tahoma"/>
          <w:b/>
          <w:sz w:val="24"/>
          <w:szCs w:val="24"/>
        </w:rPr>
        <w:t>1</w:t>
      </w:r>
    </w:p>
    <w:p w14:paraId="2829713C" w14:textId="77777777" w:rsidR="00A83E40" w:rsidRDefault="0048043F" w:rsidP="00A83E40">
      <w:pPr>
        <w:tabs>
          <w:tab w:val="left" w:pos="851"/>
          <w:tab w:val="left" w:pos="1701"/>
          <w:tab w:val="left" w:pos="2552"/>
          <w:tab w:val="left" w:pos="4820"/>
          <w:tab w:val="right" w:pos="8931"/>
        </w:tabs>
        <w:ind w:left="2880" w:firstLine="1940"/>
        <w:rPr>
          <w:rFonts w:ascii="Verdana" w:hAnsi="Verdana" w:cs="Tahoma"/>
          <w:b/>
          <w:sz w:val="24"/>
          <w:szCs w:val="24"/>
        </w:rPr>
      </w:pPr>
      <w:r w:rsidRPr="00A83E40">
        <w:rPr>
          <w:rFonts w:ascii="Verdana" w:hAnsi="Verdana" w:cs="Tahoma"/>
          <w:sz w:val="24"/>
          <w:szCs w:val="24"/>
        </w:rPr>
        <w:t>Heard:</w:t>
      </w:r>
      <w:r w:rsidR="00A83E40">
        <w:rPr>
          <w:rFonts w:ascii="Verdana" w:hAnsi="Verdana" w:cs="Tahoma"/>
          <w:b/>
          <w:sz w:val="24"/>
          <w:szCs w:val="24"/>
        </w:rPr>
        <w:tab/>
      </w:r>
      <w:r w:rsidR="001C7D8D">
        <w:rPr>
          <w:rFonts w:ascii="Verdana" w:hAnsi="Verdana" w:cs="Tahoma"/>
          <w:b/>
          <w:sz w:val="24"/>
          <w:szCs w:val="24"/>
        </w:rPr>
        <w:t>2</w:t>
      </w:r>
      <w:r w:rsidR="009C05C1">
        <w:rPr>
          <w:rFonts w:ascii="Verdana" w:hAnsi="Verdana" w:cs="Tahoma"/>
          <w:b/>
          <w:sz w:val="24"/>
          <w:szCs w:val="24"/>
        </w:rPr>
        <w:t>2</w:t>
      </w:r>
      <w:r w:rsidR="00EA6677">
        <w:rPr>
          <w:rFonts w:ascii="Verdana" w:hAnsi="Verdana" w:cs="Tahoma"/>
          <w:b/>
          <w:sz w:val="24"/>
          <w:szCs w:val="24"/>
        </w:rPr>
        <w:t>/</w:t>
      </w:r>
      <w:r w:rsidR="00E924A7">
        <w:rPr>
          <w:rFonts w:ascii="Verdana" w:hAnsi="Verdana" w:cs="Tahoma"/>
          <w:b/>
          <w:sz w:val="24"/>
          <w:szCs w:val="24"/>
        </w:rPr>
        <w:t>0</w:t>
      </w:r>
      <w:r w:rsidR="009C05C1">
        <w:rPr>
          <w:rFonts w:ascii="Verdana" w:hAnsi="Verdana" w:cs="Tahoma"/>
          <w:b/>
          <w:sz w:val="24"/>
          <w:szCs w:val="24"/>
        </w:rPr>
        <w:t>4</w:t>
      </w:r>
      <w:r w:rsidR="00EA6677">
        <w:rPr>
          <w:rFonts w:ascii="Verdana" w:hAnsi="Verdana" w:cs="Tahoma"/>
          <w:b/>
          <w:sz w:val="24"/>
          <w:szCs w:val="24"/>
        </w:rPr>
        <w:t>/202</w:t>
      </w:r>
      <w:r w:rsidR="00E924A7">
        <w:rPr>
          <w:rFonts w:ascii="Verdana" w:hAnsi="Verdana" w:cs="Tahoma"/>
          <w:b/>
          <w:sz w:val="24"/>
          <w:szCs w:val="24"/>
        </w:rPr>
        <w:t>2</w:t>
      </w:r>
    </w:p>
    <w:p w14:paraId="58E9E1F0" w14:textId="77777777" w:rsidR="00EA6677" w:rsidRPr="005466C8" w:rsidRDefault="006947A3" w:rsidP="00A83E40">
      <w:pPr>
        <w:tabs>
          <w:tab w:val="left" w:pos="851"/>
          <w:tab w:val="left" w:pos="1701"/>
          <w:tab w:val="left" w:pos="2552"/>
          <w:tab w:val="left" w:pos="4820"/>
          <w:tab w:val="right" w:pos="8931"/>
        </w:tabs>
        <w:ind w:left="2880" w:firstLine="1940"/>
        <w:rPr>
          <w:rFonts w:ascii="Verdana" w:hAnsi="Verdana" w:cs="Tahoma"/>
          <w:b/>
          <w:sz w:val="24"/>
          <w:szCs w:val="24"/>
        </w:rPr>
      </w:pPr>
      <w:r>
        <w:rPr>
          <w:rFonts w:ascii="Verdana" w:hAnsi="Verdana" w:cs="Tahoma"/>
          <w:sz w:val="24"/>
          <w:szCs w:val="24"/>
        </w:rPr>
        <w:t xml:space="preserve">Date </w:t>
      </w:r>
      <w:r w:rsidR="008C7110">
        <w:rPr>
          <w:rFonts w:ascii="Verdana" w:hAnsi="Verdana" w:cs="Tahoma"/>
          <w:sz w:val="24"/>
          <w:szCs w:val="24"/>
        </w:rPr>
        <w:t>delivered:</w:t>
      </w:r>
      <w:r w:rsidR="00A83E40">
        <w:rPr>
          <w:rFonts w:ascii="Verdana" w:hAnsi="Verdana" w:cs="Tahoma"/>
          <w:b/>
          <w:sz w:val="24"/>
          <w:szCs w:val="24"/>
        </w:rPr>
        <w:tab/>
      </w:r>
      <w:r w:rsidR="00EB601C">
        <w:rPr>
          <w:rFonts w:ascii="Verdana" w:hAnsi="Verdana" w:cs="Tahoma"/>
          <w:b/>
          <w:sz w:val="24"/>
          <w:szCs w:val="24"/>
        </w:rPr>
        <w:t>22</w:t>
      </w:r>
      <w:r w:rsidR="00092013">
        <w:rPr>
          <w:rFonts w:ascii="Verdana" w:hAnsi="Verdana" w:cs="Tahoma"/>
          <w:b/>
          <w:sz w:val="24"/>
          <w:szCs w:val="24"/>
        </w:rPr>
        <w:t>/</w:t>
      </w:r>
      <w:r w:rsidR="00BD3150">
        <w:rPr>
          <w:rFonts w:ascii="Verdana" w:hAnsi="Verdana" w:cs="Tahoma"/>
          <w:b/>
          <w:sz w:val="24"/>
          <w:szCs w:val="24"/>
        </w:rPr>
        <w:t>0</w:t>
      </w:r>
      <w:r w:rsidR="00EB601C">
        <w:rPr>
          <w:rFonts w:ascii="Verdana" w:hAnsi="Verdana" w:cs="Tahoma"/>
          <w:b/>
          <w:sz w:val="24"/>
          <w:szCs w:val="24"/>
        </w:rPr>
        <w:t>7</w:t>
      </w:r>
      <w:r w:rsidR="00092013">
        <w:rPr>
          <w:rFonts w:ascii="Verdana" w:hAnsi="Verdana" w:cs="Tahoma"/>
          <w:b/>
          <w:sz w:val="24"/>
          <w:szCs w:val="24"/>
        </w:rPr>
        <w:t>/202</w:t>
      </w:r>
      <w:r w:rsidR="00E924A7">
        <w:rPr>
          <w:rFonts w:ascii="Verdana" w:hAnsi="Verdana" w:cs="Tahoma"/>
          <w:b/>
          <w:sz w:val="24"/>
          <w:szCs w:val="24"/>
        </w:rPr>
        <w:t>2</w:t>
      </w:r>
    </w:p>
    <w:p w14:paraId="1F8D978B" w14:textId="77777777" w:rsidR="00B10DAC" w:rsidRPr="005466C8" w:rsidRDefault="00B10DAC" w:rsidP="00A83E40">
      <w:pPr>
        <w:tabs>
          <w:tab w:val="left" w:pos="851"/>
          <w:tab w:val="left" w:pos="1701"/>
          <w:tab w:val="left" w:pos="2552"/>
          <w:tab w:val="right" w:pos="8931"/>
        </w:tabs>
        <w:rPr>
          <w:rFonts w:ascii="Verdana" w:hAnsi="Verdana" w:cs="Tahoma"/>
          <w:b/>
          <w:sz w:val="24"/>
          <w:szCs w:val="24"/>
        </w:rPr>
      </w:pPr>
    </w:p>
    <w:p w14:paraId="15FB83CB" w14:textId="77777777" w:rsidR="00B10DAC" w:rsidRPr="005466C8" w:rsidRDefault="00B10DAC" w:rsidP="00A83E40">
      <w:pPr>
        <w:tabs>
          <w:tab w:val="left" w:pos="851"/>
          <w:tab w:val="left" w:pos="1701"/>
          <w:tab w:val="left" w:pos="2552"/>
          <w:tab w:val="right" w:pos="8931"/>
        </w:tabs>
        <w:rPr>
          <w:rFonts w:ascii="Verdana" w:hAnsi="Verdana" w:cs="Tahoma"/>
          <w:sz w:val="24"/>
          <w:szCs w:val="24"/>
        </w:rPr>
      </w:pPr>
      <w:r w:rsidRPr="005466C8">
        <w:rPr>
          <w:rFonts w:ascii="Verdana" w:hAnsi="Verdana" w:cs="Tahoma"/>
          <w:sz w:val="24"/>
          <w:szCs w:val="24"/>
        </w:rPr>
        <w:t>In the matter between:</w:t>
      </w:r>
    </w:p>
    <w:p w14:paraId="6CFBC37B" w14:textId="77777777" w:rsidR="00B10DAC" w:rsidRPr="005466C8" w:rsidRDefault="00B10DAC" w:rsidP="00A83E40">
      <w:pPr>
        <w:tabs>
          <w:tab w:val="left" w:pos="851"/>
          <w:tab w:val="left" w:pos="1701"/>
          <w:tab w:val="left" w:pos="2552"/>
          <w:tab w:val="right" w:pos="8931"/>
        </w:tabs>
        <w:rPr>
          <w:rFonts w:ascii="Verdana" w:hAnsi="Verdana" w:cs="Tahoma"/>
          <w:b/>
          <w:sz w:val="24"/>
          <w:szCs w:val="24"/>
        </w:rPr>
      </w:pPr>
    </w:p>
    <w:p w14:paraId="1187437E" w14:textId="77777777" w:rsidR="006947A3" w:rsidRDefault="009C05C1" w:rsidP="006947A3">
      <w:pPr>
        <w:tabs>
          <w:tab w:val="left" w:pos="851"/>
          <w:tab w:val="left" w:pos="1701"/>
          <w:tab w:val="left" w:pos="2552"/>
          <w:tab w:val="right" w:pos="8931"/>
        </w:tabs>
        <w:rPr>
          <w:rFonts w:ascii="Verdana" w:hAnsi="Verdana" w:cs="Tahoma"/>
          <w:sz w:val="24"/>
          <w:szCs w:val="24"/>
        </w:rPr>
      </w:pPr>
      <w:r>
        <w:rPr>
          <w:rFonts w:ascii="Verdana" w:hAnsi="Verdana" w:cs="Tahoma"/>
          <w:b/>
          <w:sz w:val="24"/>
          <w:szCs w:val="24"/>
        </w:rPr>
        <w:t>LIEZEL VENTER N.O.</w:t>
      </w:r>
      <w:r w:rsidR="006B2050">
        <w:rPr>
          <w:rFonts w:ascii="Verdana" w:hAnsi="Verdana" w:cs="Tahoma"/>
          <w:b/>
          <w:sz w:val="24"/>
          <w:szCs w:val="24"/>
        </w:rPr>
        <w:t xml:space="preserve">                       </w:t>
      </w:r>
      <w:r w:rsidR="008C7110">
        <w:rPr>
          <w:rFonts w:ascii="Verdana" w:hAnsi="Verdana" w:cs="Tahoma"/>
          <w:b/>
          <w:sz w:val="24"/>
          <w:szCs w:val="24"/>
        </w:rPr>
        <w:t xml:space="preserve">                            </w:t>
      </w:r>
      <w:r w:rsidRPr="009C05C1">
        <w:rPr>
          <w:rFonts w:ascii="Verdana" w:hAnsi="Verdana" w:cs="Tahoma"/>
          <w:sz w:val="24"/>
          <w:szCs w:val="24"/>
        </w:rPr>
        <w:t>First</w:t>
      </w:r>
      <w:r>
        <w:rPr>
          <w:rFonts w:ascii="Verdana" w:hAnsi="Verdana" w:cs="Tahoma"/>
          <w:sz w:val="24"/>
          <w:szCs w:val="24"/>
        </w:rPr>
        <w:t xml:space="preserve"> </w:t>
      </w:r>
      <w:r w:rsidR="006B2050" w:rsidRPr="006B2050">
        <w:rPr>
          <w:rFonts w:ascii="Verdana" w:hAnsi="Verdana" w:cs="Tahoma"/>
          <w:sz w:val="24"/>
          <w:szCs w:val="24"/>
        </w:rPr>
        <w:t>Applicant</w:t>
      </w:r>
    </w:p>
    <w:p w14:paraId="0D34EB5A" w14:textId="77777777" w:rsidR="009C05C1" w:rsidRDefault="009C05C1" w:rsidP="006947A3">
      <w:pPr>
        <w:tabs>
          <w:tab w:val="left" w:pos="851"/>
          <w:tab w:val="left" w:pos="1701"/>
          <w:tab w:val="left" w:pos="2552"/>
          <w:tab w:val="right" w:pos="8931"/>
        </w:tabs>
        <w:rPr>
          <w:rFonts w:ascii="Verdana" w:hAnsi="Verdana" w:cs="Tahoma"/>
          <w:sz w:val="24"/>
          <w:szCs w:val="24"/>
        </w:rPr>
      </w:pPr>
      <w:r>
        <w:rPr>
          <w:rFonts w:ascii="Verdana" w:hAnsi="Verdana" w:cs="Tahoma"/>
          <w:b/>
          <w:sz w:val="24"/>
          <w:szCs w:val="24"/>
        </w:rPr>
        <w:t xml:space="preserve">NEERMALA (SUSAN) RAMCHANDRA N.O.                  </w:t>
      </w:r>
      <w:r w:rsidRPr="008C7110">
        <w:rPr>
          <w:rFonts w:ascii="Verdana" w:hAnsi="Verdana" w:cs="Tahoma"/>
          <w:sz w:val="24"/>
          <w:szCs w:val="24"/>
        </w:rPr>
        <w:t>S</w:t>
      </w:r>
      <w:r w:rsidRPr="009C05C1">
        <w:rPr>
          <w:rFonts w:ascii="Verdana" w:hAnsi="Verdana" w:cs="Tahoma"/>
          <w:sz w:val="24"/>
          <w:szCs w:val="24"/>
        </w:rPr>
        <w:t>econd</w:t>
      </w:r>
      <w:r>
        <w:rPr>
          <w:rFonts w:ascii="Verdana" w:hAnsi="Verdana" w:cs="Tahoma"/>
          <w:b/>
          <w:sz w:val="24"/>
          <w:szCs w:val="24"/>
        </w:rPr>
        <w:t xml:space="preserve"> </w:t>
      </w:r>
      <w:r w:rsidR="008C7110" w:rsidRPr="008C7110">
        <w:rPr>
          <w:rFonts w:ascii="Verdana" w:hAnsi="Verdana" w:cs="Tahoma"/>
          <w:sz w:val="24"/>
          <w:szCs w:val="24"/>
        </w:rPr>
        <w:t>A</w:t>
      </w:r>
      <w:r w:rsidRPr="009C05C1">
        <w:rPr>
          <w:rFonts w:ascii="Verdana" w:hAnsi="Verdana" w:cs="Tahoma"/>
          <w:sz w:val="24"/>
          <w:szCs w:val="24"/>
        </w:rPr>
        <w:t>pplicant</w:t>
      </w:r>
    </w:p>
    <w:p w14:paraId="4235A679" w14:textId="77777777" w:rsidR="008C7110" w:rsidRDefault="008C7110" w:rsidP="006947A3">
      <w:pPr>
        <w:tabs>
          <w:tab w:val="left" w:pos="851"/>
          <w:tab w:val="left" w:pos="1701"/>
          <w:tab w:val="left" w:pos="2552"/>
          <w:tab w:val="right" w:pos="8931"/>
        </w:tabs>
        <w:rPr>
          <w:rFonts w:ascii="Verdana" w:hAnsi="Verdana" w:cs="Tahoma"/>
          <w:sz w:val="24"/>
          <w:szCs w:val="24"/>
        </w:rPr>
      </w:pPr>
      <w:r>
        <w:rPr>
          <w:rFonts w:ascii="Verdana" w:hAnsi="Verdana" w:cs="Tahoma"/>
          <w:sz w:val="24"/>
          <w:szCs w:val="24"/>
        </w:rPr>
        <w:t xml:space="preserve">In their capacity as Liquidators of </w:t>
      </w:r>
    </w:p>
    <w:p w14:paraId="1F405470" w14:textId="77777777" w:rsidR="008C7110" w:rsidRDefault="008C7110" w:rsidP="006947A3">
      <w:pPr>
        <w:tabs>
          <w:tab w:val="left" w:pos="851"/>
          <w:tab w:val="left" w:pos="1701"/>
          <w:tab w:val="left" w:pos="2552"/>
          <w:tab w:val="right" w:pos="8931"/>
        </w:tabs>
        <w:rPr>
          <w:rFonts w:ascii="Verdana" w:hAnsi="Verdana" w:cs="Tahoma"/>
          <w:sz w:val="24"/>
          <w:szCs w:val="24"/>
        </w:rPr>
      </w:pPr>
      <w:r>
        <w:rPr>
          <w:rFonts w:ascii="Verdana" w:hAnsi="Verdana" w:cs="Tahoma"/>
          <w:sz w:val="24"/>
          <w:szCs w:val="24"/>
        </w:rPr>
        <w:t>JMA Petroleum CC t/a Gas City [In Liquidation]</w:t>
      </w:r>
    </w:p>
    <w:p w14:paraId="01F4166C" w14:textId="77777777" w:rsidR="008C7110" w:rsidRPr="009C05C1" w:rsidRDefault="008C7110" w:rsidP="006947A3">
      <w:pPr>
        <w:tabs>
          <w:tab w:val="left" w:pos="851"/>
          <w:tab w:val="left" w:pos="1701"/>
          <w:tab w:val="left" w:pos="2552"/>
          <w:tab w:val="right" w:pos="8931"/>
        </w:tabs>
        <w:rPr>
          <w:rFonts w:ascii="Verdana" w:hAnsi="Verdana" w:cs="Tahoma"/>
          <w:b/>
          <w:sz w:val="24"/>
          <w:szCs w:val="24"/>
        </w:rPr>
      </w:pPr>
      <w:r>
        <w:rPr>
          <w:rFonts w:ascii="Verdana" w:hAnsi="Verdana" w:cs="Tahoma"/>
          <w:sz w:val="24"/>
          <w:szCs w:val="24"/>
        </w:rPr>
        <w:t>(Registration Number: 1997/005 029/23)</w:t>
      </w:r>
    </w:p>
    <w:p w14:paraId="0C0CD686" w14:textId="77777777" w:rsidR="006B2050" w:rsidRPr="006B2050" w:rsidRDefault="006B2050" w:rsidP="006947A3">
      <w:pPr>
        <w:tabs>
          <w:tab w:val="left" w:pos="851"/>
          <w:tab w:val="left" w:pos="1701"/>
          <w:tab w:val="left" w:pos="2552"/>
          <w:tab w:val="right" w:pos="8931"/>
        </w:tabs>
        <w:rPr>
          <w:rFonts w:ascii="Verdana" w:hAnsi="Verdana" w:cs="Tahoma"/>
          <w:sz w:val="24"/>
          <w:szCs w:val="24"/>
        </w:rPr>
      </w:pPr>
    </w:p>
    <w:p w14:paraId="638E8961" w14:textId="77777777" w:rsidR="001E670E" w:rsidRPr="0048043F" w:rsidRDefault="0048043F" w:rsidP="006947A3">
      <w:pPr>
        <w:tabs>
          <w:tab w:val="left" w:pos="851"/>
          <w:tab w:val="left" w:pos="1701"/>
          <w:tab w:val="left" w:pos="2552"/>
          <w:tab w:val="right" w:pos="8931"/>
        </w:tabs>
        <w:rPr>
          <w:rFonts w:ascii="Verdana" w:hAnsi="Verdana" w:cs="Tahoma"/>
          <w:sz w:val="24"/>
          <w:szCs w:val="24"/>
        </w:rPr>
      </w:pPr>
      <w:r w:rsidRPr="0048043F">
        <w:rPr>
          <w:rFonts w:ascii="Verdana" w:hAnsi="Verdana" w:cs="Tahoma"/>
          <w:sz w:val="24"/>
          <w:szCs w:val="24"/>
        </w:rPr>
        <w:t>a</w:t>
      </w:r>
      <w:r w:rsidR="001E670E" w:rsidRPr="0048043F">
        <w:rPr>
          <w:rFonts w:ascii="Verdana" w:hAnsi="Verdana" w:cs="Tahoma"/>
          <w:sz w:val="24"/>
          <w:szCs w:val="24"/>
        </w:rPr>
        <w:t>nd</w:t>
      </w:r>
    </w:p>
    <w:p w14:paraId="6E392FA2" w14:textId="77777777" w:rsidR="001E670E" w:rsidRPr="005466C8" w:rsidRDefault="001E670E" w:rsidP="006947A3">
      <w:pPr>
        <w:tabs>
          <w:tab w:val="left" w:pos="851"/>
          <w:tab w:val="left" w:pos="1701"/>
          <w:tab w:val="left" w:pos="2552"/>
          <w:tab w:val="right" w:pos="8931"/>
        </w:tabs>
        <w:rPr>
          <w:rFonts w:ascii="Verdana" w:hAnsi="Verdana" w:cs="Tahoma"/>
          <w:b/>
          <w:sz w:val="24"/>
          <w:szCs w:val="24"/>
        </w:rPr>
      </w:pPr>
    </w:p>
    <w:p w14:paraId="22E54FDE" w14:textId="77777777" w:rsidR="001E670E" w:rsidRDefault="008C7110" w:rsidP="00AA2DD6">
      <w:pPr>
        <w:tabs>
          <w:tab w:val="left" w:pos="851"/>
          <w:tab w:val="left" w:pos="1701"/>
          <w:tab w:val="left" w:pos="2552"/>
          <w:tab w:val="right" w:pos="8931"/>
        </w:tabs>
        <w:rPr>
          <w:rFonts w:ascii="Verdana" w:hAnsi="Verdana" w:cs="Tahoma"/>
          <w:sz w:val="24"/>
          <w:szCs w:val="24"/>
        </w:rPr>
      </w:pPr>
      <w:r>
        <w:rPr>
          <w:rFonts w:ascii="Verdana" w:hAnsi="Verdana" w:cs="Tahoma"/>
          <w:b/>
          <w:sz w:val="24"/>
          <w:szCs w:val="24"/>
        </w:rPr>
        <w:t>ALBA SKRYNWERKERSGEBOUE (PTY) LTD</w:t>
      </w:r>
      <w:r w:rsidR="004079E1">
        <w:rPr>
          <w:rFonts w:ascii="Verdana" w:hAnsi="Verdana" w:cs="Tahoma"/>
          <w:b/>
          <w:sz w:val="24"/>
          <w:szCs w:val="24"/>
        </w:rPr>
        <w:t xml:space="preserve">     </w:t>
      </w:r>
      <w:r>
        <w:rPr>
          <w:rFonts w:ascii="Verdana" w:hAnsi="Verdana" w:cs="Tahoma"/>
          <w:b/>
          <w:sz w:val="24"/>
          <w:szCs w:val="24"/>
        </w:rPr>
        <w:t xml:space="preserve">            </w:t>
      </w:r>
      <w:r w:rsidR="00E007A9" w:rsidRPr="00E007A9">
        <w:rPr>
          <w:rFonts w:ascii="Verdana" w:hAnsi="Verdana" w:cs="Tahoma"/>
          <w:sz w:val="24"/>
          <w:szCs w:val="24"/>
        </w:rPr>
        <w:t xml:space="preserve"> </w:t>
      </w:r>
      <w:r w:rsidR="006B2050">
        <w:rPr>
          <w:rFonts w:ascii="Verdana" w:hAnsi="Verdana" w:cs="Tahoma"/>
          <w:sz w:val="24"/>
          <w:szCs w:val="24"/>
        </w:rPr>
        <w:t>Respondent</w:t>
      </w:r>
    </w:p>
    <w:p w14:paraId="5235AE6C" w14:textId="77777777" w:rsidR="00B10DAC" w:rsidRPr="005466C8" w:rsidRDefault="00B10DAC" w:rsidP="00A83E40">
      <w:pPr>
        <w:tabs>
          <w:tab w:val="left" w:pos="851"/>
          <w:tab w:val="left" w:pos="1701"/>
          <w:tab w:val="left" w:pos="2552"/>
          <w:tab w:val="right" w:pos="8931"/>
        </w:tabs>
        <w:rPr>
          <w:rFonts w:ascii="Verdana" w:hAnsi="Verdana" w:cs="Tahoma"/>
          <w:b/>
          <w:sz w:val="24"/>
          <w:szCs w:val="24"/>
        </w:rPr>
      </w:pPr>
      <w:r w:rsidRPr="005466C8">
        <w:rPr>
          <w:rFonts w:ascii="Verdana" w:hAnsi="Verdana" w:cs="Tahoma"/>
          <w:b/>
          <w:sz w:val="24"/>
          <w:szCs w:val="24"/>
        </w:rPr>
        <w:t>___________________________</w:t>
      </w:r>
      <w:r w:rsidR="005466C8">
        <w:rPr>
          <w:rFonts w:ascii="Verdana" w:hAnsi="Verdana" w:cs="Tahoma"/>
          <w:b/>
          <w:sz w:val="24"/>
          <w:szCs w:val="24"/>
        </w:rPr>
        <w:t>_________________________</w:t>
      </w:r>
    </w:p>
    <w:p w14:paraId="7071369B" w14:textId="77777777" w:rsidR="005466C8" w:rsidRDefault="005466C8" w:rsidP="00A83E40">
      <w:pPr>
        <w:tabs>
          <w:tab w:val="left" w:pos="851"/>
          <w:tab w:val="left" w:pos="1701"/>
          <w:tab w:val="left" w:pos="2552"/>
          <w:tab w:val="right" w:pos="8931"/>
        </w:tabs>
        <w:jc w:val="center"/>
        <w:rPr>
          <w:rFonts w:ascii="Verdana" w:hAnsi="Verdana" w:cs="Tahoma"/>
          <w:b/>
          <w:sz w:val="24"/>
          <w:szCs w:val="24"/>
        </w:rPr>
      </w:pPr>
    </w:p>
    <w:p w14:paraId="4248BC30" w14:textId="77777777"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JUDGMENT</w:t>
      </w:r>
    </w:p>
    <w:p w14:paraId="7B685C38" w14:textId="77777777" w:rsidR="00B10DAC" w:rsidRPr="005466C8" w:rsidRDefault="00B10DAC" w:rsidP="00A83E40">
      <w:pPr>
        <w:tabs>
          <w:tab w:val="left" w:pos="851"/>
          <w:tab w:val="left" w:pos="1701"/>
          <w:tab w:val="left" w:pos="2552"/>
          <w:tab w:val="right" w:pos="8931"/>
        </w:tabs>
        <w:rPr>
          <w:rFonts w:ascii="Verdana" w:hAnsi="Verdana" w:cs="Tahoma"/>
          <w:b/>
          <w:sz w:val="24"/>
          <w:szCs w:val="24"/>
        </w:rPr>
      </w:pPr>
    </w:p>
    <w:p w14:paraId="6DA6C7ED" w14:textId="77777777" w:rsidR="00B10DAC" w:rsidRPr="005466C8" w:rsidRDefault="00B10DAC" w:rsidP="00A83E40">
      <w:pPr>
        <w:tabs>
          <w:tab w:val="left" w:pos="851"/>
          <w:tab w:val="left" w:pos="1701"/>
          <w:tab w:val="left" w:pos="2552"/>
          <w:tab w:val="right" w:pos="8931"/>
        </w:tabs>
        <w:rPr>
          <w:rFonts w:ascii="Verdana" w:hAnsi="Verdana" w:cs="Tahoma"/>
          <w:sz w:val="24"/>
          <w:szCs w:val="24"/>
        </w:rPr>
      </w:pPr>
      <w:r w:rsidRPr="005466C8">
        <w:rPr>
          <w:rFonts w:ascii="Verdana" w:hAnsi="Verdana" w:cs="Tahoma"/>
          <w:sz w:val="24"/>
          <w:szCs w:val="24"/>
        </w:rPr>
        <w:t>____________________________________</w:t>
      </w:r>
      <w:r w:rsidR="005466C8">
        <w:rPr>
          <w:rFonts w:ascii="Verdana" w:hAnsi="Verdana" w:cs="Tahoma"/>
          <w:sz w:val="24"/>
          <w:szCs w:val="24"/>
        </w:rPr>
        <w:t>_______________________</w:t>
      </w:r>
    </w:p>
    <w:p w14:paraId="3250CB68" w14:textId="77777777" w:rsidR="00A83E40" w:rsidRDefault="00A83E40" w:rsidP="00A83E40">
      <w:pPr>
        <w:tabs>
          <w:tab w:val="left" w:pos="851"/>
          <w:tab w:val="left" w:pos="1701"/>
          <w:tab w:val="left" w:pos="2552"/>
          <w:tab w:val="right" w:pos="8931"/>
        </w:tabs>
        <w:rPr>
          <w:rFonts w:ascii="Verdana" w:hAnsi="Verdana" w:cs="Tahoma"/>
          <w:b/>
          <w:sz w:val="24"/>
          <w:szCs w:val="24"/>
        </w:rPr>
      </w:pPr>
    </w:p>
    <w:p w14:paraId="60981571" w14:textId="77777777" w:rsidR="00B10DAC" w:rsidRPr="00481588" w:rsidRDefault="001E670E" w:rsidP="00A83E40">
      <w:pPr>
        <w:tabs>
          <w:tab w:val="left" w:pos="851"/>
          <w:tab w:val="left" w:pos="1701"/>
          <w:tab w:val="left" w:pos="2552"/>
          <w:tab w:val="right" w:pos="8931"/>
        </w:tabs>
        <w:rPr>
          <w:rFonts w:ascii="Verdana" w:hAnsi="Verdana" w:cs="Tahoma"/>
          <w:b/>
          <w:sz w:val="24"/>
          <w:szCs w:val="24"/>
        </w:rPr>
      </w:pPr>
      <w:r w:rsidRPr="00481588">
        <w:rPr>
          <w:rFonts w:ascii="Verdana" w:hAnsi="Verdana" w:cs="Tahoma"/>
          <w:b/>
          <w:sz w:val="24"/>
          <w:szCs w:val="24"/>
        </w:rPr>
        <w:t>Mamosebo J</w:t>
      </w:r>
      <w:r w:rsidR="000F3B05">
        <w:rPr>
          <w:rFonts w:ascii="Verdana" w:hAnsi="Verdana" w:cs="Tahoma"/>
          <w:b/>
          <w:sz w:val="24"/>
          <w:szCs w:val="24"/>
        </w:rPr>
        <w:t xml:space="preserve"> </w:t>
      </w:r>
    </w:p>
    <w:p w14:paraId="457B86E3" w14:textId="77777777" w:rsidR="00B10DAC" w:rsidRPr="00481588" w:rsidRDefault="00B10DAC" w:rsidP="00A83E40">
      <w:pPr>
        <w:tabs>
          <w:tab w:val="left" w:pos="851"/>
          <w:tab w:val="left" w:pos="1701"/>
          <w:tab w:val="left" w:pos="2552"/>
          <w:tab w:val="right" w:pos="8931"/>
        </w:tabs>
        <w:rPr>
          <w:rFonts w:ascii="Verdana" w:hAnsi="Verdana" w:cs="Tahoma"/>
          <w:b/>
          <w:sz w:val="24"/>
          <w:szCs w:val="24"/>
        </w:rPr>
      </w:pPr>
    </w:p>
    <w:p w14:paraId="2EF28F74" w14:textId="77777777" w:rsidR="00B10DAC" w:rsidRPr="006A208A" w:rsidRDefault="006A208A" w:rsidP="00A83E40">
      <w:pPr>
        <w:tabs>
          <w:tab w:val="left" w:pos="851"/>
          <w:tab w:val="left" w:pos="1701"/>
          <w:tab w:val="left" w:pos="2552"/>
          <w:tab w:val="right" w:pos="8931"/>
        </w:tabs>
        <w:rPr>
          <w:rFonts w:ascii="Verdana" w:hAnsi="Verdana" w:cs="Tahoma"/>
          <w:sz w:val="24"/>
          <w:szCs w:val="24"/>
          <w:u w:val="single"/>
        </w:rPr>
      </w:pPr>
      <w:r>
        <w:rPr>
          <w:rFonts w:ascii="Verdana" w:hAnsi="Verdana" w:cs="Tahoma"/>
          <w:sz w:val="24"/>
          <w:szCs w:val="24"/>
        </w:rPr>
        <w:tab/>
      </w:r>
    </w:p>
    <w:p w14:paraId="2A761894" w14:textId="77777777" w:rsidR="00F04775" w:rsidRPr="00BD4CBA" w:rsidRDefault="00B10DAC" w:rsidP="00A56E62">
      <w:pPr>
        <w:tabs>
          <w:tab w:val="left" w:pos="851"/>
          <w:tab w:val="left" w:pos="1701"/>
          <w:tab w:val="left" w:pos="2552"/>
          <w:tab w:val="right" w:pos="8931"/>
        </w:tabs>
        <w:spacing w:line="360" w:lineRule="auto"/>
        <w:ind w:left="851" w:hanging="851"/>
        <w:jc w:val="both"/>
        <w:rPr>
          <w:rFonts w:ascii="Verdana" w:hAnsi="Verdana" w:cs="Tahoma"/>
          <w:sz w:val="24"/>
          <w:szCs w:val="24"/>
        </w:rPr>
      </w:pPr>
      <w:r w:rsidRPr="005466C8">
        <w:rPr>
          <w:rFonts w:ascii="Verdana" w:hAnsi="Verdana" w:cs="Tahoma"/>
          <w:sz w:val="24"/>
          <w:szCs w:val="24"/>
        </w:rPr>
        <w:t>[1]</w:t>
      </w:r>
      <w:r w:rsidRPr="005466C8">
        <w:rPr>
          <w:rFonts w:ascii="Verdana" w:hAnsi="Verdana" w:cs="Tahoma"/>
          <w:sz w:val="24"/>
          <w:szCs w:val="24"/>
        </w:rPr>
        <w:tab/>
      </w:r>
      <w:r w:rsidR="00451568">
        <w:rPr>
          <w:rFonts w:ascii="Verdana" w:hAnsi="Verdana" w:cs="Tahoma"/>
          <w:sz w:val="24"/>
          <w:szCs w:val="24"/>
        </w:rPr>
        <w:t xml:space="preserve">The first applicant, Liezel Venter N.O., and the second applicant, Neermala (Susan) Ramchandra N.O., are insolvency practitioners </w:t>
      </w:r>
      <w:r w:rsidR="002C6107">
        <w:rPr>
          <w:rFonts w:ascii="Verdana" w:hAnsi="Verdana" w:cs="Tahoma"/>
          <w:sz w:val="24"/>
          <w:szCs w:val="24"/>
        </w:rPr>
        <w:t xml:space="preserve">appointed by the Master of the Western Cape High Court on 20 July 2021 as liquidators of JMA Petroleum CC t/a Gas City placed under liquidation by Special Resolution registered on </w:t>
      </w:r>
      <w:r w:rsidR="00F237F8">
        <w:rPr>
          <w:rFonts w:ascii="Verdana" w:hAnsi="Verdana" w:cs="Tahoma"/>
          <w:sz w:val="24"/>
          <w:szCs w:val="24"/>
        </w:rPr>
        <w:t>10</w:t>
      </w:r>
      <w:r w:rsidR="002C6107">
        <w:rPr>
          <w:rFonts w:ascii="Verdana" w:hAnsi="Verdana" w:cs="Tahoma"/>
          <w:sz w:val="24"/>
          <w:szCs w:val="24"/>
        </w:rPr>
        <w:t xml:space="preserve"> June 2021.  </w:t>
      </w:r>
    </w:p>
    <w:p w14:paraId="0F99AB87" w14:textId="77777777" w:rsidR="00AE6F0B" w:rsidRDefault="00AE6F0B"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155611A5" w14:textId="77777777" w:rsidR="00AE6F0B" w:rsidRDefault="00AE6F0B"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[2]</w:t>
      </w:r>
      <w:r>
        <w:rPr>
          <w:rFonts w:ascii="Verdana" w:hAnsi="Verdana" w:cs="Tahoma"/>
          <w:sz w:val="24"/>
          <w:szCs w:val="24"/>
        </w:rPr>
        <w:tab/>
      </w:r>
      <w:r w:rsidR="00F42371">
        <w:rPr>
          <w:rFonts w:ascii="Verdana" w:hAnsi="Verdana" w:cs="Tahoma"/>
          <w:sz w:val="24"/>
          <w:szCs w:val="24"/>
        </w:rPr>
        <w:t>On 22 April 2022</w:t>
      </w:r>
      <w:r w:rsidR="00DB66EC">
        <w:rPr>
          <w:rFonts w:ascii="Verdana" w:hAnsi="Verdana" w:cs="Tahoma"/>
          <w:sz w:val="24"/>
          <w:szCs w:val="24"/>
        </w:rPr>
        <w:t>,</w:t>
      </w:r>
      <w:r w:rsidR="00F42371">
        <w:rPr>
          <w:rFonts w:ascii="Verdana" w:hAnsi="Verdana" w:cs="Tahoma"/>
          <w:sz w:val="24"/>
          <w:szCs w:val="24"/>
        </w:rPr>
        <w:t xml:space="preserve"> the applicants launched an application against the respondent, Alba Skrynwerkersgeboue (Pty) Ltd, under Part</w:t>
      </w:r>
      <w:r w:rsidR="001B1789">
        <w:rPr>
          <w:rFonts w:ascii="Verdana" w:hAnsi="Verdana" w:cs="Tahoma"/>
          <w:sz w:val="24"/>
          <w:szCs w:val="24"/>
        </w:rPr>
        <w:t>s</w:t>
      </w:r>
      <w:r w:rsidR="00F42371">
        <w:rPr>
          <w:rFonts w:ascii="Verdana" w:hAnsi="Verdana" w:cs="Tahoma"/>
          <w:sz w:val="24"/>
          <w:szCs w:val="24"/>
        </w:rPr>
        <w:t xml:space="preserve"> A and B. </w:t>
      </w:r>
      <w:r w:rsidR="00231FE5">
        <w:rPr>
          <w:rFonts w:ascii="Verdana" w:hAnsi="Verdana" w:cs="Tahoma"/>
          <w:i/>
          <w:sz w:val="24"/>
          <w:szCs w:val="24"/>
        </w:rPr>
        <w:t xml:space="preserve"> </w:t>
      </w:r>
      <w:r w:rsidR="004C6E8F">
        <w:rPr>
          <w:rFonts w:ascii="Verdana" w:hAnsi="Verdana" w:cs="Tahoma"/>
          <w:sz w:val="24"/>
          <w:szCs w:val="24"/>
        </w:rPr>
        <w:t>In Part A the</w:t>
      </w:r>
      <w:r w:rsidR="00E41EF1">
        <w:rPr>
          <w:rFonts w:ascii="Verdana" w:hAnsi="Verdana" w:cs="Tahoma"/>
          <w:sz w:val="24"/>
          <w:szCs w:val="24"/>
        </w:rPr>
        <w:t>y</w:t>
      </w:r>
      <w:r w:rsidR="004C6E8F">
        <w:rPr>
          <w:rFonts w:ascii="Verdana" w:hAnsi="Verdana" w:cs="Tahoma"/>
          <w:sz w:val="24"/>
          <w:szCs w:val="24"/>
        </w:rPr>
        <w:t xml:space="preserve"> are </w:t>
      </w:r>
      <w:r w:rsidR="004C6E8F" w:rsidRPr="004C6E8F">
        <w:rPr>
          <w:rFonts w:ascii="Verdana" w:hAnsi="Verdana" w:cs="Tahoma"/>
          <w:sz w:val="24"/>
          <w:szCs w:val="24"/>
        </w:rPr>
        <w:t xml:space="preserve">seeking </w:t>
      </w:r>
      <w:r w:rsidR="004C6E8F">
        <w:rPr>
          <w:rFonts w:ascii="Verdana" w:hAnsi="Verdana" w:cs="Tahoma"/>
          <w:sz w:val="24"/>
          <w:szCs w:val="24"/>
        </w:rPr>
        <w:t xml:space="preserve">the following </w:t>
      </w:r>
      <w:r w:rsidR="004C6E8F" w:rsidRPr="004C6E8F">
        <w:rPr>
          <w:rFonts w:ascii="Verdana" w:hAnsi="Verdana" w:cs="Tahoma"/>
          <w:sz w:val="24"/>
          <w:szCs w:val="24"/>
        </w:rPr>
        <w:t>relief</w:t>
      </w:r>
      <w:r w:rsidR="004C6E8F">
        <w:rPr>
          <w:rFonts w:ascii="Verdana" w:hAnsi="Verdana" w:cs="Tahoma"/>
          <w:sz w:val="24"/>
          <w:szCs w:val="24"/>
        </w:rPr>
        <w:t>:</w:t>
      </w:r>
    </w:p>
    <w:p w14:paraId="21EF91E1" w14:textId="77777777" w:rsidR="004C6E8F" w:rsidRDefault="004C6E8F"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2.1</w:t>
      </w:r>
      <w:r>
        <w:rPr>
          <w:rFonts w:ascii="Verdana" w:hAnsi="Verdana" w:cs="Tahoma"/>
          <w:sz w:val="24"/>
          <w:szCs w:val="24"/>
        </w:rPr>
        <w:tab/>
      </w:r>
      <w:r w:rsidR="006979B8">
        <w:rPr>
          <w:rFonts w:ascii="Verdana" w:hAnsi="Verdana" w:cs="Tahoma"/>
          <w:sz w:val="24"/>
          <w:szCs w:val="24"/>
        </w:rPr>
        <w:t xml:space="preserve">That leave be granted to the applicants </w:t>
      </w:r>
      <w:r>
        <w:rPr>
          <w:rFonts w:ascii="Verdana" w:hAnsi="Verdana" w:cs="Tahoma"/>
          <w:sz w:val="24"/>
          <w:szCs w:val="24"/>
        </w:rPr>
        <w:t xml:space="preserve">in terms of s 18(3) </w:t>
      </w:r>
      <w:r w:rsidR="006979B8">
        <w:rPr>
          <w:rFonts w:ascii="Verdana" w:hAnsi="Verdana" w:cs="Tahoma"/>
          <w:sz w:val="24"/>
          <w:szCs w:val="24"/>
        </w:rPr>
        <w:tab/>
      </w:r>
      <w:r>
        <w:rPr>
          <w:rFonts w:ascii="Verdana" w:hAnsi="Verdana" w:cs="Tahoma"/>
          <w:sz w:val="24"/>
          <w:szCs w:val="24"/>
        </w:rPr>
        <w:t xml:space="preserve">of the </w:t>
      </w:r>
      <w:r>
        <w:rPr>
          <w:rFonts w:ascii="Verdana" w:hAnsi="Verdana" w:cs="Tahoma"/>
          <w:sz w:val="24"/>
          <w:szCs w:val="24"/>
        </w:rPr>
        <w:tab/>
        <w:t>Insolvency Act,</w:t>
      </w:r>
      <w:r>
        <w:rPr>
          <w:rStyle w:val="FootnoteReference"/>
          <w:rFonts w:ascii="Verdana" w:hAnsi="Verdana" w:cs="Tahoma"/>
          <w:sz w:val="24"/>
          <w:szCs w:val="24"/>
        </w:rPr>
        <w:footnoteReference w:id="1"/>
      </w:r>
      <w:r>
        <w:rPr>
          <w:rFonts w:ascii="Verdana" w:hAnsi="Verdana" w:cs="Tahoma"/>
          <w:sz w:val="24"/>
          <w:szCs w:val="24"/>
        </w:rPr>
        <w:t xml:space="preserve"> r/w s 386 (4) of the Companies Act</w:t>
      </w:r>
      <w:r>
        <w:rPr>
          <w:rStyle w:val="FootnoteReference"/>
          <w:rFonts w:ascii="Verdana" w:hAnsi="Verdana" w:cs="Tahoma"/>
          <w:sz w:val="24"/>
          <w:szCs w:val="24"/>
        </w:rPr>
        <w:footnoteReference w:id="2"/>
      </w:r>
      <w:r>
        <w:rPr>
          <w:rFonts w:ascii="Verdana" w:hAnsi="Verdana" w:cs="Tahoma"/>
          <w:sz w:val="24"/>
          <w:szCs w:val="24"/>
        </w:rPr>
        <w:t xml:space="preserve"> </w:t>
      </w:r>
      <w:r w:rsidR="006979B8">
        <w:rPr>
          <w:rFonts w:ascii="Verdana" w:hAnsi="Verdana" w:cs="Tahoma"/>
          <w:sz w:val="24"/>
          <w:szCs w:val="24"/>
        </w:rPr>
        <w:tab/>
      </w:r>
      <w:r>
        <w:rPr>
          <w:rFonts w:ascii="Verdana" w:hAnsi="Verdana" w:cs="Tahoma"/>
          <w:sz w:val="24"/>
          <w:szCs w:val="24"/>
        </w:rPr>
        <w:t>to launch this application;</w:t>
      </w:r>
    </w:p>
    <w:p w14:paraId="7EBC1B48" w14:textId="77777777" w:rsidR="004C6E8F" w:rsidRDefault="004C6E8F"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ab/>
        <w:t>2.2</w:t>
      </w:r>
      <w:r>
        <w:rPr>
          <w:rFonts w:ascii="Verdana" w:hAnsi="Verdana" w:cs="Tahoma"/>
          <w:sz w:val="24"/>
          <w:szCs w:val="24"/>
        </w:rPr>
        <w:tab/>
      </w:r>
      <w:r w:rsidR="006979B8">
        <w:rPr>
          <w:rFonts w:ascii="Verdana" w:hAnsi="Verdana" w:cs="Tahoma"/>
          <w:sz w:val="24"/>
          <w:szCs w:val="24"/>
        </w:rPr>
        <w:t xml:space="preserve">That the applicants are authorised in terms of s 69 </w:t>
      </w:r>
      <w:r w:rsidR="006979B8" w:rsidRPr="006979B8">
        <w:rPr>
          <w:rFonts w:ascii="Verdana" w:hAnsi="Verdana" w:cs="Tahoma"/>
          <w:sz w:val="24"/>
          <w:szCs w:val="24"/>
        </w:rPr>
        <w:t xml:space="preserve">of the </w:t>
      </w:r>
      <w:r w:rsidR="006979B8" w:rsidRPr="006979B8">
        <w:rPr>
          <w:rFonts w:ascii="Verdana" w:hAnsi="Verdana" w:cs="Tahoma"/>
          <w:sz w:val="24"/>
          <w:szCs w:val="24"/>
        </w:rPr>
        <w:tab/>
        <w:t>Insolvency Act</w:t>
      </w:r>
      <w:r w:rsidR="006979B8">
        <w:rPr>
          <w:rFonts w:ascii="Verdana" w:hAnsi="Verdana" w:cs="Tahoma"/>
          <w:sz w:val="24"/>
          <w:szCs w:val="24"/>
        </w:rPr>
        <w:t xml:space="preserve"> to enter properties 39 – 41 Toekoms Street, </w:t>
      </w:r>
      <w:r w:rsidR="006979B8">
        <w:rPr>
          <w:rFonts w:ascii="Verdana" w:hAnsi="Verdana" w:cs="Tahoma"/>
          <w:sz w:val="24"/>
          <w:szCs w:val="24"/>
        </w:rPr>
        <w:tab/>
        <w:t xml:space="preserve">Upington, and </w:t>
      </w:r>
      <w:r>
        <w:rPr>
          <w:rFonts w:ascii="Verdana" w:hAnsi="Verdana" w:cs="Tahoma"/>
          <w:sz w:val="24"/>
          <w:szCs w:val="24"/>
        </w:rPr>
        <w:t xml:space="preserve">search </w:t>
      </w:r>
      <w:r w:rsidR="006979B8">
        <w:rPr>
          <w:rFonts w:ascii="Verdana" w:hAnsi="Verdana" w:cs="Tahoma"/>
          <w:sz w:val="24"/>
          <w:szCs w:val="24"/>
        </w:rPr>
        <w:t xml:space="preserve">and take into possession any and all </w:t>
      </w:r>
      <w:r w:rsidR="006979B8">
        <w:rPr>
          <w:rFonts w:ascii="Verdana" w:hAnsi="Verdana" w:cs="Tahoma"/>
          <w:sz w:val="24"/>
          <w:szCs w:val="24"/>
        </w:rPr>
        <w:tab/>
        <w:t xml:space="preserve">movable assets, books and documents belonging to </w:t>
      </w:r>
      <w:r w:rsidR="006979B8" w:rsidRPr="006979B8">
        <w:rPr>
          <w:rFonts w:ascii="Verdana" w:hAnsi="Verdana" w:cs="Tahoma"/>
          <w:sz w:val="24"/>
          <w:szCs w:val="24"/>
        </w:rPr>
        <w:t xml:space="preserve">JMA </w:t>
      </w:r>
      <w:r w:rsidR="006979B8">
        <w:rPr>
          <w:rFonts w:ascii="Verdana" w:hAnsi="Verdana" w:cs="Tahoma"/>
          <w:sz w:val="24"/>
          <w:szCs w:val="24"/>
        </w:rPr>
        <w:tab/>
      </w:r>
      <w:r w:rsidR="006979B8" w:rsidRPr="006979B8">
        <w:rPr>
          <w:rFonts w:ascii="Verdana" w:hAnsi="Verdana" w:cs="Tahoma"/>
          <w:sz w:val="24"/>
          <w:szCs w:val="24"/>
        </w:rPr>
        <w:t xml:space="preserve">Petroleum CC t/a Gas City </w:t>
      </w:r>
      <w:r w:rsidR="006979B8">
        <w:rPr>
          <w:rFonts w:ascii="Verdana" w:hAnsi="Verdana" w:cs="Tahoma"/>
          <w:sz w:val="24"/>
          <w:szCs w:val="24"/>
        </w:rPr>
        <w:t xml:space="preserve">(in liquidation) and remove same </w:t>
      </w:r>
      <w:r w:rsidR="006979B8">
        <w:rPr>
          <w:rFonts w:ascii="Verdana" w:hAnsi="Verdana" w:cs="Tahoma"/>
          <w:sz w:val="24"/>
          <w:szCs w:val="24"/>
        </w:rPr>
        <w:tab/>
        <w:t xml:space="preserve">from the premises; </w:t>
      </w:r>
    </w:p>
    <w:p w14:paraId="116FA25A" w14:textId="77777777" w:rsidR="006979B8" w:rsidRDefault="00601359"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2.3</w:t>
      </w:r>
      <w:r>
        <w:rPr>
          <w:rFonts w:ascii="Verdana" w:hAnsi="Verdana" w:cs="Tahoma"/>
          <w:sz w:val="24"/>
          <w:szCs w:val="24"/>
        </w:rPr>
        <w:tab/>
      </w:r>
      <w:r w:rsidR="006979B8">
        <w:rPr>
          <w:rFonts w:ascii="Verdana" w:hAnsi="Verdana" w:cs="Tahoma"/>
          <w:sz w:val="24"/>
          <w:szCs w:val="24"/>
        </w:rPr>
        <w:t xml:space="preserve">That the said warrant be executed either by a member/s of </w:t>
      </w:r>
      <w:r w:rsidR="006979B8">
        <w:rPr>
          <w:rFonts w:ascii="Verdana" w:hAnsi="Verdana" w:cs="Tahoma"/>
          <w:sz w:val="24"/>
          <w:szCs w:val="24"/>
        </w:rPr>
        <w:tab/>
        <w:t xml:space="preserve">the South African Police Service or by the Sheriff of the Court; </w:t>
      </w:r>
      <w:r w:rsidR="006979B8">
        <w:rPr>
          <w:rFonts w:ascii="Verdana" w:hAnsi="Verdana" w:cs="Tahoma"/>
          <w:sz w:val="24"/>
          <w:szCs w:val="24"/>
        </w:rPr>
        <w:tab/>
        <w:t>and</w:t>
      </w:r>
    </w:p>
    <w:p w14:paraId="02B420A7" w14:textId="77777777" w:rsidR="006979B8" w:rsidRDefault="006979B8"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2.4</w:t>
      </w:r>
      <w:r>
        <w:rPr>
          <w:rFonts w:ascii="Verdana" w:hAnsi="Verdana" w:cs="Tahoma"/>
          <w:sz w:val="24"/>
          <w:szCs w:val="24"/>
        </w:rPr>
        <w:tab/>
        <w:t xml:space="preserve">Costs of the application </w:t>
      </w:r>
      <w:r w:rsidR="00EA6828">
        <w:rPr>
          <w:rFonts w:ascii="Verdana" w:hAnsi="Verdana" w:cs="Tahoma"/>
          <w:sz w:val="24"/>
          <w:szCs w:val="24"/>
        </w:rPr>
        <w:t>to be paid by the respondent on</w:t>
      </w:r>
      <w:r>
        <w:rPr>
          <w:rFonts w:ascii="Verdana" w:hAnsi="Verdana" w:cs="Tahoma"/>
          <w:sz w:val="24"/>
          <w:szCs w:val="24"/>
        </w:rPr>
        <w:t xml:space="preserve"> </w:t>
      </w:r>
      <w:r>
        <w:rPr>
          <w:rFonts w:ascii="Verdana" w:hAnsi="Verdana" w:cs="Tahoma"/>
          <w:sz w:val="24"/>
          <w:szCs w:val="24"/>
        </w:rPr>
        <w:tab/>
      </w:r>
      <w:r w:rsidR="00E41EF1">
        <w:rPr>
          <w:rFonts w:ascii="Verdana" w:hAnsi="Verdana" w:cs="Tahoma"/>
          <w:sz w:val="24"/>
          <w:szCs w:val="24"/>
        </w:rPr>
        <w:t xml:space="preserve">an </w:t>
      </w:r>
      <w:r w:rsidR="00E41EF1">
        <w:rPr>
          <w:rFonts w:ascii="Verdana" w:hAnsi="Verdana" w:cs="Tahoma"/>
          <w:sz w:val="24"/>
          <w:szCs w:val="24"/>
        </w:rPr>
        <w:tab/>
      </w:r>
      <w:r>
        <w:rPr>
          <w:rFonts w:ascii="Verdana" w:hAnsi="Verdana" w:cs="Tahoma"/>
          <w:sz w:val="24"/>
          <w:szCs w:val="24"/>
        </w:rPr>
        <w:t>attorney and own client scale</w:t>
      </w:r>
      <w:r w:rsidR="00E41EF1">
        <w:rPr>
          <w:rFonts w:ascii="Verdana" w:hAnsi="Verdana" w:cs="Tahoma"/>
          <w:sz w:val="24"/>
          <w:szCs w:val="24"/>
        </w:rPr>
        <w:t>.</w:t>
      </w:r>
    </w:p>
    <w:p w14:paraId="535564DC" w14:textId="77777777" w:rsidR="0093660C" w:rsidRDefault="0093660C"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0E0B1CA0" w14:textId="77777777" w:rsidR="0093660C" w:rsidRDefault="0093660C"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[3]</w:t>
      </w:r>
      <w:r>
        <w:rPr>
          <w:rFonts w:ascii="Verdana" w:hAnsi="Verdana" w:cs="Tahoma"/>
          <w:sz w:val="24"/>
          <w:szCs w:val="24"/>
        </w:rPr>
        <w:tab/>
        <w:t>In terms of Part B of the Notice of Motion</w:t>
      </w:r>
      <w:r w:rsidR="00BD6D00">
        <w:rPr>
          <w:rFonts w:ascii="Verdana" w:hAnsi="Verdana" w:cs="Tahoma"/>
          <w:sz w:val="24"/>
          <w:szCs w:val="24"/>
        </w:rPr>
        <w:t>,</w:t>
      </w:r>
      <w:r>
        <w:rPr>
          <w:rFonts w:ascii="Verdana" w:hAnsi="Verdana" w:cs="Tahoma"/>
          <w:sz w:val="24"/>
          <w:szCs w:val="24"/>
        </w:rPr>
        <w:t xml:space="preserve"> the applicants are seeking the following relief:</w:t>
      </w:r>
    </w:p>
    <w:p w14:paraId="5B55E24B" w14:textId="77777777" w:rsidR="0093660C" w:rsidRDefault="0093660C"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ab/>
        <w:t>3.1</w:t>
      </w:r>
      <w:r>
        <w:rPr>
          <w:rFonts w:ascii="Verdana" w:hAnsi="Verdana" w:cs="Tahoma"/>
          <w:sz w:val="24"/>
          <w:szCs w:val="24"/>
        </w:rPr>
        <w:tab/>
        <w:t xml:space="preserve">A </w:t>
      </w:r>
      <w:r w:rsidR="006979B8">
        <w:rPr>
          <w:rFonts w:ascii="Verdana" w:hAnsi="Verdana" w:cs="Tahoma"/>
          <w:sz w:val="24"/>
          <w:szCs w:val="24"/>
        </w:rPr>
        <w:t xml:space="preserve">declaratory order that the respondent is in contravention </w:t>
      </w:r>
      <w:r w:rsidR="006979B8">
        <w:rPr>
          <w:rFonts w:ascii="Verdana" w:hAnsi="Verdana" w:cs="Tahoma"/>
          <w:sz w:val="24"/>
          <w:szCs w:val="24"/>
        </w:rPr>
        <w:tab/>
        <w:t>of s 142(1)</w:t>
      </w:r>
      <w:r w:rsidR="00BD6D00">
        <w:rPr>
          <w:rFonts w:ascii="Verdana" w:hAnsi="Verdana" w:cs="Tahoma"/>
          <w:sz w:val="24"/>
          <w:szCs w:val="24"/>
        </w:rPr>
        <w:t>,</w:t>
      </w:r>
      <w:r w:rsidR="006979B8">
        <w:rPr>
          <w:rFonts w:ascii="Verdana" w:hAnsi="Verdana" w:cs="Tahoma"/>
          <w:sz w:val="24"/>
          <w:szCs w:val="24"/>
        </w:rPr>
        <w:t xml:space="preserve"> (2) and 145 of the Insolvency Act</w:t>
      </w:r>
      <w:r w:rsidR="00A731CE">
        <w:rPr>
          <w:rStyle w:val="FootnoteReference"/>
          <w:rFonts w:ascii="Verdana" w:hAnsi="Verdana" w:cs="Tahoma"/>
          <w:sz w:val="24"/>
          <w:szCs w:val="24"/>
        </w:rPr>
        <w:footnoteReference w:id="3"/>
      </w:r>
      <w:r w:rsidR="006979B8">
        <w:rPr>
          <w:rFonts w:ascii="Verdana" w:hAnsi="Verdana" w:cs="Tahoma"/>
          <w:sz w:val="24"/>
          <w:szCs w:val="24"/>
        </w:rPr>
        <w:t>;</w:t>
      </w:r>
    </w:p>
    <w:p w14:paraId="08D72B9E" w14:textId="77777777" w:rsidR="006979B8" w:rsidRDefault="006979B8"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3.2</w:t>
      </w:r>
      <w:r>
        <w:rPr>
          <w:rFonts w:ascii="Verdana" w:hAnsi="Verdana" w:cs="Tahoma"/>
          <w:sz w:val="24"/>
          <w:szCs w:val="24"/>
        </w:rPr>
        <w:tab/>
        <w:t xml:space="preserve"> </w:t>
      </w:r>
      <w:r w:rsidR="00FE2B3E">
        <w:rPr>
          <w:rFonts w:ascii="Verdana" w:hAnsi="Verdana" w:cs="Tahoma"/>
          <w:sz w:val="24"/>
          <w:szCs w:val="24"/>
        </w:rPr>
        <w:t xml:space="preserve">That the </w:t>
      </w:r>
      <w:r w:rsidR="00FE2B3E" w:rsidRPr="00FE2B3E">
        <w:rPr>
          <w:rFonts w:ascii="Verdana" w:hAnsi="Verdana" w:cs="Tahoma"/>
          <w:sz w:val="24"/>
          <w:szCs w:val="24"/>
        </w:rPr>
        <w:tab/>
        <w:t xml:space="preserve">National Prosecuting Authority </w:t>
      </w:r>
      <w:r w:rsidR="00FE2B3E">
        <w:rPr>
          <w:rFonts w:ascii="Verdana" w:hAnsi="Verdana" w:cs="Tahoma"/>
          <w:sz w:val="24"/>
          <w:szCs w:val="24"/>
        </w:rPr>
        <w:t xml:space="preserve">is directed to </w:t>
      </w:r>
      <w:r w:rsidR="00FE2B3E">
        <w:rPr>
          <w:rFonts w:ascii="Verdana" w:hAnsi="Verdana" w:cs="Tahoma"/>
          <w:sz w:val="24"/>
          <w:szCs w:val="24"/>
        </w:rPr>
        <w:tab/>
        <w:t xml:space="preserve">investigate the actions and contravention of the respondent </w:t>
      </w:r>
      <w:r w:rsidR="00FE2B3E">
        <w:rPr>
          <w:rFonts w:ascii="Verdana" w:hAnsi="Verdana" w:cs="Tahoma"/>
          <w:sz w:val="24"/>
          <w:szCs w:val="24"/>
        </w:rPr>
        <w:tab/>
        <w:t>of sections 142 and 14</w:t>
      </w:r>
      <w:r w:rsidR="00EA6828">
        <w:rPr>
          <w:rFonts w:ascii="Verdana" w:hAnsi="Verdana" w:cs="Tahoma"/>
          <w:sz w:val="24"/>
          <w:szCs w:val="24"/>
        </w:rPr>
        <w:t>5 of the Insolvency Act and to</w:t>
      </w:r>
      <w:r w:rsidR="00FE2B3E">
        <w:rPr>
          <w:rFonts w:ascii="Verdana" w:hAnsi="Verdana" w:cs="Tahoma"/>
          <w:sz w:val="24"/>
          <w:szCs w:val="24"/>
        </w:rPr>
        <w:tab/>
      </w:r>
      <w:r w:rsidR="00FE2B3E" w:rsidRPr="00FE2B3E">
        <w:rPr>
          <w:rFonts w:ascii="Verdana" w:hAnsi="Verdana" w:cs="Tahoma"/>
          <w:sz w:val="24"/>
          <w:szCs w:val="24"/>
        </w:rPr>
        <w:t xml:space="preserve">determine whether </w:t>
      </w:r>
      <w:r w:rsidR="00FE2B3E">
        <w:rPr>
          <w:rFonts w:ascii="Verdana" w:hAnsi="Verdana" w:cs="Tahoma"/>
          <w:sz w:val="24"/>
          <w:szCs w:val="24"/>
        </w:rPr>
        <w:t>to proceed with prosecution; and</w:t>
      </w:r>
    </w:p>
    <w:p w14:paraId="41B1141B" w14:textId="77777777" w:rsidR="00FE2B3E" w:rsidRDefault="00FE2B3E"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3.3</w:t>
      </w:r>
      <w:r>
        <w:rPr>
          <w:rFonts w:ascii="Verdana" w:hAnsi="Verdana" w:cs="Tahoma"/>
          <w:sz w:val="24"/>
          <w:szCs w:val="24"/>
        </w:rPr>
        <w:tab/>
        <w:t xml:space="preserve">costs of the application by the respondent on an attorney and </w:t>
      </w:r>
      <w:r>
        <w:rPr>
          <w:rFonts w:ascii="Verdana" w:hAnsi="Verdana" w:cs="Tahoma"/>
          <w:sz w:val="24"/>
          <w:szCs w:val="24"/>
        </w:rPr>
        <w:tab/>
        <w:t xml:space="preserve">own client scale. </w:t>
      </w:r>
    </w:p>
    <w:p w14:paraId="415D2321" w14:textId="77777777" w:rsidR="008F39B1" w:rsidRDefault="008F39B1"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2D19823B" w14:textId="77777777" w:rsidR="008F39B1" w:rsidRDefault="008F39B1" w:rsidP="002C6107">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w:t>
      </w:r>
      <w:r w:rsidR="00FE2B3E">
        <w:rPr>
          <w:rFonts w:ascii="Verdana" w:hAnsi="Verdana" w:cs="Tahoma"/>
          <w:sz w:val="24"/>
          <w:szCs w:val="24"/>
        </w:rPr>
        <w:t>4</w:t>
      </w:r>
      <w:r>
        <w:rPr>
          <w:rFonts w:ascii="Verdana" w:hAnsi="Verdana" w:cs="Tahoma"/>
          <w:sz w:val="24"/>
          <w:szCs w:val="24"/>
        </w:rPr>
        <w:t>]</w:t>
      </w:r>
      <w:r>
        <w:rPr>
          <w:rFonts w:ascii="Verdana" w:hAnsi="Verdana" w:cs="Tahoma"/>
          <w:sz w:val="24"/>
          <w:szCs w:val="24"/>
        </w:rPr>
        <w:tab/>
        <w:t xml:space="preserve">The respondent resists the application and raised the following points </w:t>
      </w:r>
      <w:r>
        <w:rPr>
          <w:rFonts w:ascii="Verdana" w:hAnsi="Verdana" w:cs="Tahoma"/>
          <w:i/>
          <w:sz w:val="24"/>
          <w:szCs w:val="24"/>
        </w:rPr>
        <w:t>in limine:</w:t>
      </w:r>
    </w:p>
    <w:p w14:paraId="46A5D1B9" w14:textId="77777777" w:rsidR="008F39B1" w:rsidRDefault="008F39B1"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i/>
          <w:sz w:val="24"/>
          <w:szCs w:val="24"/>
        </w:rPr>
        <w:tab/>
      </w:r>
      <w:r w:rsidR="00FE2B3E" w:rsidRPr="00FE2B3E">
        <w:rPr>
          <w:rFonts w:ascii="Verdana" w:hAnsi="Verdana" w:cs="Tahoma"/>
          <w:sz w:val="24"/>
          <w:szCs w:val="24"/>
        </w:rPr>
        <w:t>4</w:t>
      </w:r>
      <w:r>
        <w:rPr>
          <w:rFonts w:ascii="Verdana" w:hAnsi="Verdana" w:cs="Tahoma"/>
          <w:sz w:val="24"/>
          <w:szCs w:val="24"/>
        </w:rPr>
        <w:t>.1</w:t>
      </w:r>
      <w:r>
        <w:rPr>
          <w:rFonts w:ascii="Verdana" w:hAnsi="Verdana" w:cs="Tahoma"/>
          <w:sz w:val="24"/>
          <w:szCs w:val="24"/>
        </w:rPr>
        <w:tab/>
        <w:t xml:space="preserve">That the Magistrates Court has exclusive jurisdiction to hear </w:t>
      </w:r>
      <w:r>
        <w:rPr>
          <w:rFonts w:ascii="Verdana" w:hAnsi="Verdana" w:cs="Tahoma"/>
          <w:sz w:val="24"/>
          <w:szCs w:val="24"/>
        </w:rPr>
        <w:tab/>
        <w:t>applications in terms of s 69(3) of the Insolvency Act;</w:t>
      </w:r>
    </w:p>
    <w:p w14:paraId="626B7A33" w14:textId="77777777" w:rsidR="00CE7A5F" w:rsidRDefault="00CE7A5F"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sidR="00FE2B3E">
        <w:rPr>
          <w:rFonts w:ascii="Verdana" w:hAnsi="Verdana" w:cs="Tahoma"/>
          <w:sz w:val="24"/>
          <w:szCs w:val="24"/>
        </w:rPr>
        <w:t>4</w:t>
      </w:r>
      <w:r>
        <w:rPr>
          <w:rFonts w:ascii="Verdana" w:hAnsi="Verdana" w:cs="Tahoma"/>
          <w:sz w:val="24"/>
          <w:szCs w:val="24"/>
        </w:rPr>
        <w:t>.2</w:t>
      </w:r>
      <w:r>
        <w:rPr>
          <w:rFonts w:ascii="Verdana" w:hAnsi="Verdana" w:cs="Tahoma"/>
          <w:sz w:val="24"/>
          <w:szCs w:val="24"/>
        </w:rPr>
        <w:tab/>
        <w:t xml:space="preserve">That the applicants failed to comply with s 19(1) of the </w:t>
      </w:r>
      <w:r>
        <w:rPr>
          <w:rFonts w:ascii="Verdana" w:hAnsi="Verdana" w:cs="Tahoma"/>
          <w:sz w:val="24"/>
          <w:szCs w:val="24"/>
        </w:rPr>
        <w:tab/>
        <w:t>Insolvency Act</w:t>
      </w:r>
      <w:r w:rsidR="00CD29BA">
        <w:rPr>
          <w:rFonts w:ascii="Verdana" w:hAnsi="Verdana" w:cs="Tahoma"/>
          <w:sz w:val="24"/>
          <w:szCs w:val="24"/>
        </w:rPr>
        <w:t>;</w:t>
      </w:r>
    </w:p>
    <w:p w14:paraId="503BE81E" w14:textId="77777777" w:rsidR="008F39B1" w:rsidRDefault="008F39B1"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sidR="00FE2B3E">
        <w:rPr>
          <w:rFonts w:ascii="Verdana" w:hAnsi="Verdana" w:cs="Tahoma"/>
          <w:sz w:val="24"/>
          <w:szCs w:val="24"/>
        </w:rPr>
        <w:t>4</w:t>
      </w:r>
      <w:r>
        <w:rPr>
          <w:rFonts w:ascii="Verdana" w:hAnsi="Verdana" w:cs="Tahoma"/>
          <w:sz w:val="24"/>
          <w:szCs w:val="24"/>
        </w:rPr>
        <w:t>.</w:t>
      </w:r>
      <w:r w:rsidR="00A413F5">
        <w:rPr>
          <w:rFonts w:ascii="Verdana" w:hAnsi="Verdana" w:cs="Tahoma"/>
          <w:sz w:val="24"/>
          <w:szCs w:val="24"/>
        </w:rPr>
        <w:t>3</w:t>
      </w:r>
      <w:r>
        <w:rPr>
          <w:rFonts w:ascii="Verdana" w:hAnsi="Verdana" w:cs="Tahoma"/>
          <w:sz w:val="24"/>
          <w:szCs w:val="24"/>
        </w:rPr>
        <w:tab/>
        <w:t xml:space="preserve">That the liquidator cannot rely on the provisions of s 69 of </w:t>
      </w:r>
      <w:r>
        <w:rPr>
          <w:rFonts w:ascii="Verdana" w:hAnsi="Verdana" w:cs="Tahoma"/>
          <w:sz w:val="24"/>
          <w:szCs w:val="24"/>
        </w:rPr>
        <w:tab/>
        <w:t>the Insolvency Act but rather on s 386 of the Companies Act;</w:t>
      </w:r>
    </w:p>
    <w:p w14:paraId="2544AED3" w14:textId="77777777" w:rsidR="008F39B1" w:rsidRDefault="008F39B1"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sidR="00FE2B3E">
        <w:rPr>
          <w:rFonts w:ascii="Verdana" w:hAnsi="Verdana" w:cs="Tahoma"/>
          <w:sz w:val="24"/>
          <w:szCs w:val="24"/>
        </w:rPr>
        <w:t>4</w:t>
      </w:r>
      <w:r>
        <w:rPr>
          <w:rFonts w:ascii="Verdana" w:hAnsi="Verdana" w:cs="Tahoma"/>
          <w:sz w:val="24"/>
          <w:szCs w:val="24"/>
        </w:rPr>
        <w:t>.</w:t>
      </w:r>
      <w:r w:rsidR="00A413F5">
        <w:rPr>
          <w:rFonts w:ascii="Verdana" w:hAnsi="Verdana" w:cs="Tahoma"/>
          <w:sz w:val="24"/>
          <w:szCs w:val="24"/>
        </w:rPr>
        <w:t>4</w:t>
      </w:r>
      <w:r>
        <w:rPr>
          <w:rFonts w:ascii="Verdana" w:hAnsi="Verdana" w:cs="Tahoma"/>
          <w:sz w:val="24"/>
          <w:szCs w:val="24"/>
        </w:rPr>
        <w:tab/>
        <w:t xml:space="preserve">That </w:t>
      </w:r>
      <w:r w:rsidR="00CE7A5F">
        <w:rPr>
          <w:rFonts w:ascii="Verdana" w:hAnsi="Verdana" w:cs="Tahoma"/>
          <w:sz w:val="24"/>
          <w:szCs w:val="24"/>
        </w:rPr>
        <w:t>the</w:t>
      </w:r>
      <w:r w:rsidR="00A413F5">
        <w:rPr>
          <w:rFonts w:ascii="Verdana" w:hAnsi="Verdana" w:cs="Tahoma"/>
          <w:sz w:val="24"/>
          <w:szCs w:val="24"/>
        </w:rPr>
        <w:t xml:space="preserve"> applicants lack jurisdiction to seek a declaratory </w:t>
      </w:r>
      <w:r w:rsidR="00A413F5">
        <w:rPr>
          <w:rFonts w:ascii="Verdana" w:hAnsi="Verdana" w:cs="Tahoma"/>
          <w:sz w:val="24"/>
          <w:szCs w:val="24"/>
        </w:rPr>
        <w:tab/>
        <w:t xml:space="preserve">order. </w:t>
      </w:r>
    </w:p>
    <w:p w14:paraId="56F3AC05" w14:textId="77777777" w:rsidR="00A413F5" w:rsidRDefault="00A413F5"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5D1B0DB6" w14:textId="77777777" w:rsidR="006A208A" w:rsidRDefault="00F04775" w:rsidP="00832912">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FE2B3E">
        <w:rPr>
          <w:rFonts w:ascii="Verdana" w:hAnsi="Verdana" w:cs="Tahoma"/>
          <w:sz w:val="24"/>
          <w:szCs w:val="24"/>
        </w:rPr>
        <w:t>5</w:t>
      </w:r>
      <w:r>
        <w:rPr>
          <w:rFonts w:ascii="Verdana" w:hAnsi="Verdana" w:cs="Tahoma"/>
          <w:sz w:val="24"/>
          <w:szCs w:val="24"/>
        </w:rPr>
        <w:t>]</w:t>
      </w:r>
      <w:r>
        <w:rPr>
          <w:rFonts w:ascii="Verdana" w:hAnsi="Verdana" w:cs="Tahoma"/>
          <w:sz w:val="24"/>
          <w:szCs w:val="24"/>
        </w:rPr>
        <w:tab/>
      </w:r>
      <w:r w:rsidR="00991B45">
        <w:rPr>
          <w:rFonts w:ascii="Verdana" w:hAnsi="Verdana" w:cs="Tahoma"/>
          <w:sz w:val="24"/>
          <w:szCs w:val="24"/>
        </w:rPr>
        <w:t xml:space="preserve"> </w:t>
      </w:r>
      <w:r w:rsidR="00D021EA">
        <w:rPr>
          <w:rFonts w:ascii="Verdana" w:hAnsi="Verdana" w:cs="Tahoma"/>
          <w:sz w:val="24"/>
          <w:szCs w:val="24"/>
        </w:rPr>
        <w:t xml:space="preserve">The background is necessary for context. On 10 June </w:t>
      </w:r>
      <w:r w:rsidR="00492AFF">
        <w:rPr>
          <w:rFonts w:ascii="Verdana" w:hAnsi="Verdana" w:cs="Tahoma"/>
          <w:sz w:val="24"/>
          <w:szCs w:val="24"/>
        </w:rPr>
        <w:t>2021</w:t>
      </w:r>
      <w:r w:rsidR="00D021EA">
        <w:rPr>
          <w:rFonts w:ascii="Verdana" w:hAnsi="Verdana" w:cs="Tahoma"/>
          <w:sz w:val="24"/>
          <w:szCs w:val="24"/>
        </w:rPr>
        <w:t xml:space="preserve"> the Companies and Intellectual Property Commission (CIPC</w:t>
      </w:r>
      <w:r w:rsidR="00C640A6">
        <w:rPr>
          <w:rFonts w:ascii="Verdana" w:hAnsi="Verdana" w:cs="Tahoma"/>
          <w:sz w:val="24"/>
          <w:szCs w:val="24"/>
        </w:rPr>
        <w:t xml:space="preserve">) addressed a certificate, annexure “FA2”, </w:t>
      </w:r>
      <w:r w:rsidR="00D021EA">
        <w:rPr>
          <w:rFonts w:ascii="Verdana" w:hAnsi="Verdana" w:cs="Tahoma"/>
          <w:sz w:val="24"/>
          <w:szCs w:val="24"/>
        </w:rPr>
        <w:t>to the Master of the High Court</w:t>
      </w:r>
      <w:r w:rsidR="00F237F8">
        <w:rPr>
          <w:rFonts w:ascii="Verdana" w:hAnsi="Verdana" w:cs="Tahoma"/>
          <w:sz w:val="24"/>
          <w:szCs w:val="24"/>
        </w:rPr>
        <w:t>, confirming</w:t>
      </w:r>
      <w:r w:rsidR="00C640A6">
        <w:rPr>
          <w:rFonts w:ascii="Verdana" w:hAnsi="Verdana" w:cs="Tahoma"/>
          <w:sz w:val="24"/>
          <w:szCs w:val="24"/>
        </w:rPr>
        <w:t xml:space="preserve"> receipt of the CM26 Special Resolution for Voluntary Liquidation in terms of s 352(2) of the Companies Act</w:t>
      </w:r>
      <w:r w:rsidR="00F237F8">
        <w:rPr>
          <w:rFonts w:ascii="Verdana" w:hAnsi="Verdana" w:cs="Tahoma"/>
          <w:sz w:val="24"/>
          <w:szCs w:val="24"/>
        </w:rPr>
        <w:t>. Resultantly</w:t>
      </w:r>
      <w:r w:rsidR="000B3B2C">
        <w:rPr>
          <w:rFonts w:ascii="Verdana" w:hAnsi="Verdana" w:cs="Tahoma"/>
          <w:sz w:val="24"/>
          <w:szCs w:val="24"/>
        </w:rPr>
        <w:t xml:space="preserve"> on 10 June 2021 </w:t>
      </w:r>
      <w:r w:rsidR="00C640A6">
        <w:rPr>
          <w:rFonts w:ascii="Verdana" w:hAnsi="Verdana" w:cs="Tahoma"/>
          <w:sz w:val="24"/>
          <w:szCs w:val="24"/>
        </w:rPr>
        <w:t>JMA Petroleum CC company number 1997/005029/23’s</w:t>
      </w:r>
      <w:r w:rsidR="00E41EF1">
        <w:rPr>
          <w:rFonts w:ascii="Verdana" w:hAnsi="Verdana" w:cs="Tahoma"/>
          <w:sz w:val="24"/>
          <w:szCs w:val="24"/>
        </w:rPr>
        <w:t>,</w:t>
      </w:r>
      <w:r w:rsidR="00C640A6">
        <w:rPr>
          <w:rFonts w:ascii="Verdana" w:hAnsi="Verdana" w:cs="Tahoma"/>
          <w:sz w:val="24"/>
          <w:szCs w:val="24"/>
        </w:rPr>
        <w:t xml:space="preserve"> status was changed to Voluntary Liquidation.  </w:t>
      </w:r>
    </w:p>
    <w:p w14:paraId="71E9ED69" w14:textId="77777777" w:rsidR="006A208A" w:rsidRPr="006A208A" w:rsidRDefault="006A208A" w:rsidP="00A83E40">
      <w:pPr>
        <w:tabs>
          <w:tab w:val="left" w:pos="851"/>
          <w:tab w:val="left" w:pos="1701"/>
          <w:tab w:val="left" w:pos="2552"/>
          <w:tab w:val="right" w:pos="8931"/>
        </w:tabs>
        <w:spacing w:line="360" w:lineRule="auto"/>
        <w:ind w:left="851" w:hanging="851"/>
        <w:jc w:val="both"/>
        <w:rPr>
          <w:rFonts w:ascii="Verdana" w:hAnsi="Verdana" w:cs="Tahoma"/>
          <w:sz w:val="24"/>
          <w:szCs w:val="24"/>
          <w:u w:val="single"/>
        </w:rPr>
      </w:pPr>
      <w:r>
        <w:rPr>
          <w:rFonts w:ascii="Verdana" w:hAnsi="Verdana" w:cs="Tahoma"/>
          <w:sz w:val="24"/>
          <w:szCs w:val="24"/>
        </w:rPr>
        <w:tab/>
      </w:r>
    </w:p>
    <w:p w14:paraId="3645BD5F" w14:textId="77777777" w:rsidR="00885B82" w:rsidRDefault="00091C07" w:rsidP="00832912">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FE2B3E">
        <w:rPr>
          <w:rFonts w:ascii="Verdana" w:hAnsi="Verdana" w:cs="Tahoma"/>
          <w:sz w:val="24"/>
          <w:szCs w:val="24"/>
        </w:rPr>
        <w:t>6</w:t>
      </w:r>
      <w:r>
        <w:rPr>
          <w:rFonts w:ascii="Verdana" w:hAnsi="Verdana" w:cs="Tahoma"/>
          <w:sz w:val="24"/>
          <w:szCs w:val="24"/>
        </w:rPr>
        <w:t>]</w:t>
      </w:r>
      <w:r>
        <w:rPr>
          <w:rFonts w:ascii="Verdana" w:hAnsi="Verdana" w:cs="Tahoma"/>
          <w:sz w:val="24"/>
          <w:szCs w:val="24"/>
        </w:rPr>
        <w:tab/>
      </w:r>
      <w:r w:rsidR="00AD3F04">
        <w:rPr>
          <w:rFonts w:ascii="Verdana" w:hAnsi="Verdana" w:cs="Tahoma"/>
          <w:sz w:val="24"/>
          <w:szCs w:val="24"/>
        </w:rPr>
        <w:t xml:space="preserve"> </w:t>
      </w:r>
      <w:r w:rsidR="002D7F7F">
        <w:rPr>
          <w:rFonts w:ascii="Verdana" w:hAnsi="Verdana" w:cs="Tahoma"/>
          <w:sz w:val="24"/>
          <w:szCs w:val="24"/>
        </w:rPr>
        <w:t>On 20 July 2021 t</w:t>
      </w:r>
      <w:r w:rsidR="00C640A6">
        <w:rPr>
          <w:rFonts w:ascii="Verdana" w:hAnsi="Verdana" w:cs="Tahoma"/>
          <w:sz w:val="24"/>
          <w:szCs w:val="24"/>
        </w:rPr>
        <w:t>he Master of the Western Cape High Court appointed Liezel Venter N.O.</w:t>
      </w:r>
      <w:r w:rsidR="00F237F8">
        <w:rPr>
          <w:rFonts w:ascii="Verdana" w:hAnsi="Verdana" w:cs="Tahoma"/>
          <w:sz w:val="24"/>
          <w:szCs w:val="24"/>
        </w:rPr>
        <w:t>,</w:t>
      </w:r>
      <w:r w:rsidR="00C640A6">
        <w:rPr>
          <w:rFonts w:ascii="Verdana" w:hAnsi="Verdana" w:cs="Tahoma"/>
          <w:sz w:val="24"/>
          <w:szCs w:val="24"/>
        </w:rPr>
        <w:t xml:space="preserve"> practicing under the name and style of Maurice Schwartz Venter &amp; Ass</w:t>
      </w:r>
      <w:r w:rsidR="002D7F7F">
        <w:rPr>
          <w:rFonts w:ascii="Verdana" w:hAnsi="Verdana" w:cs="Tahoma"/>
          <w:sz w:val="24"/>
          <w:szCs w:val="24"/>
        </w:rPr>
        <w:t>ociates (Pty) Ltd</w:t>
      </w:r>
      <w:r w:rsidR="00F237F8">
        <w:rPr>
          <w:rFonts w:ascii="Verdana" w:hAnsi="Verdana" w:cs="Tahoma"/>
          <w:sz w:val="24"/>
          <w:szCs w:val="24"/>
        </w:rPr>
        <w:t>,</w:t>
      </w:r>
      <w:r w:rsidR="002D7F7F">
        <w:rPr>
          <w:rFonts w:ascii="Verdana" w:hAnsi="Verdana" w:cs="Tahoma"/>
          <w:sz w:val="24"/>
          <w:szCs w:val="24"/>
        </w:rPr>
        <w:t xml:space="preserve"> and Neermala (Susan) Ramchandra</w:t>
      </w:r>
      <w:r w:rsidR="00F237F8">
        <w:rPr>
          <w:rFonts w:ascii="Verdana" w:hAnsi="Verdana" w:cs="Tahoma"/>
          <w:sz w:val="24"/>
          <w:szCs w:val="24"/>
        </w:rPr>
        <w:t>,</w:t>
      </w:r>
      <w:r w:rsidR="002D7F7F">
        <w:rPr>
          <w:rFonts w:ascii="Verdana" w:hAnsi="Verdana" w:cs="Tahoma"/>
          <w:sz w:val="24"/>
          <w:szCs w:val="24"/>
        </w:rPr>
        <w:t xml:space="preserve"> practicing under the name and style of Stowell Estate Administration Trust</w:t>
      </w:r>
      <w:r w:rsidR="00F237F8">
        <w:rPr>
          <w:rFonts w:ascii="Verdana" w:hAnsi="Verdana" w:cs="Tahoma"/>
          <w:sz w:val="24"/>
          <w:szCs w:val="24"/>
        </w:rPr>
        <w:t>,</w:t>
      </w:r>
      <w:r w:rsidR="002D7F7F">
        <w:rPr>
          <w:rFonts w:ascii="Verdana" w:hAnsi="Verdana" w:cs="Tahoma"/>
          <w:sz w:val="24"/>
          <w:szCs w:val="24"/>
        </w:rPr>
        <w:t xml:space="preserve"> as liquidators with the powers as set out in s 386(1) of the Companies Act read together with item 9 of Schedule 5 of Act 71 of 2008 of the Close Company known as JMA Petroleum CC. </w:t>
      </w:r>
    </w:p>
    <w:p w14:paraId="2C7EB277" w14:textId="77777777" w:rsidR="00460F98" w:rsidRPr="00460F98" w:rsidRDefault="00460F98" w:rsidP="00A83E40">
      <w:pPr>
        <w:tabs>
          <w:tab w:val="left" w:pos="851"/>
          <w:tab w:val="left" w:pos="1701"/>
          <w:tab w:val="left" w:pos="2552"/>
          <w:tab w:val="right" w:pos="8931"/>
        </w:tabs>
        <w:spacing w:line="360" w:lineRule="auto"/>
        <w:ind w:left="851" w:hanging="851"/>
        <w:jc w:val="both"/>
        <w:rPr>
          <w:rFonts w:ascii="Verdana" w:hAnsi="Verdana" w:cs="Tahoma"/>
          <w:sz w:val="24"/>
          <w:szCs w:val="24"/>
          <w:u w:val="single"/>
        </w:rPr>
      </w:pPr>
      <w:r>
        <w:rPr>
          <w:rFonts w:ascii="Verdana" w:hAnsi="Verdana" w:cs="Tahoma"/>
          <w:sz w:val="24"/>
          <w:szCs w:val="24"/>
        </w:rPr>
        <w:tab/>
      </w:r>
    </w:p>
    <w:p w14:paraId="1391479D" w14:textId="77777777" w:rsidR="002C6107" w:rsidRDefault="00091C07" w:rsidP="002C6107">
      <w:pPr>
        <w:tabs>
          <w:tab w:val="left" w:pos="851"/>
          <w:tab w:val="left" w:pos="1701"/>
          <w:tab w:val="left" w:pos="2552"/>
          <w:tab w:val="right" w:pos="8931"/>
        </w:tabs>
        <w:spacing w:line="360" w:lineRule="auto"/>
        <w:ind w:left="720" w:hanging="720"/>
        <w:jc w:val="both"/>
        <w:rPr>
          <w:rFonts w:ascii="Verdana" w:hAnsi="Verdana" w:cs="Tahoma"/>
          <w:sz w:val="24"/>
          <w:szCs w:val="24"/>
        </w:rPr>
      </w:pPr>
      <w:r>
        <w:rPr>
          <w:rFonts w:ascii="Verdana" w:hAnsi="Verdana" w:cs="Tahoma"/>
          <w:sz w:val="24"/>
          <w:szCs w:val="24"/>
        </w:rPr>
        <w:t>[</w:t>
      </w:r>
      <w:r w:rsidR="00FE2B3E">
        <w:rPr>
          <w:rFonts w:ascii="Verdana" w:hAnsi="Verdana" w:cs="Tahoma"/>
          <w:sz w:val="24"/>
          <w:szCs w:val="24"/>
        </w:rPr>
        <w:t>7</w:t>
      </w:r>
      <w:r>
        <w:rPr>
          <w:rFonts w:ascii="Verdana" w:hAnsi="Verdana" w:cs="Tahoma"/>
          <w:sz w:val="24"/>
          <w:szCs w:val="24"/>
        </w:rPr>
        <w:t>]</w:t>
      </w:r>
      <w:r>
        <w:rPr>
          <w:rFonts w:ascii="Verdana" w:hAnsi="Verdana" w:cs="Tahoma"/>
          <w:sz w:val="24"/>
          <w:szCs w:val="24"/>
        </w:rPr>
        <w:tab/>
      </w:r>
      <w:r w:rsidR="00332A64" w:rsidRPr="00332A64">
        <w:rPr>
          <w:rFonts w:ascii="Verdana" w:hAnsi="Verdana" w:cs="Tahoma"/>
          <w:sz w:val="24"/>
          <w:szCs w:val="24"/>
        </w:rPr>
        <w:t>The respondent</w:t>
      </w:r>
      <w:r w:rsidR="00332A64">
        <w:rPr>
          <w:rFonts w:ascii="Verdana" w:hAnsi="Verdana" w:cs="Tahoma"/>
          <w:sz w:val="24"/>
          <w:szCs w:val="24"/>
        </w:rPr>
        <w:t>,</w:t>
      </w:r>
      <w:r w:rsidR="00332A64" w:rsidRPr="00332A64">
        <w:t xml:space="preserve"> </w:t>
      </w:r>
      <w:r w:rsidR="00DB66EC">
        <w:t xml:space="preserve">the </w:t>
      </w:r>
      <w:r w:rsidR="00332A64" w:rsidRPr="00332A64">
        <w:rPr>
          <w:rFonts w:ascii="Verdana" w:hAnsi="Verdana" w:cs="Tahoma"/>
          <w:sz w:val="24"/>
          <w:szCs w:val="24"/>
        </w:rPr>
        <w:t>own</w:t>
      </w:r>
      <w:r w:rsidR="00332A64">
        <w:rPr>
          <w:rFonts w:ascii="Verdana" w:hAnsi="Verdana" w:cs="Tahoma"/>
          <w:sz w:val="24"/>
          <w:szCs w:val="24"/>
        </w:rPr>
        <w:t>er</w:t>
      </w:r>
      <w:r w:rsidR="00332A64" w:rsidRPr="00332A64">
        <w:rPr>
          <w:rFonts w:ascii="Verdana" w:hAnsi="Verdana" w:cs="Tahoma"/>
          <w:sz w:val="24"/>
          <w:szCs w:val="24"/>
        </w:rPr>
        <w:t xml:space="preserve"> </w:t>
      </w:r>
      <w:r w:rsidR="00332A64">
        <w:rPr>
          <w:rFonts w:ascii="Verdana" w:hAnsi="Verdana" w:cs="Tahoma"/>
          <w:sz w:val="24"/>
          <w:szCs w:val="24"/>
        </w:rPr>
        <w:t xml:space="preserve">of </w:t>
      </w:r>
      <w:r w:rsidR="00332A64" w:rsidRPr="00332A64">
        <w:rPr>
          <w:rFonts w:ascii="Verdana" w:hAnsi="Verdana" w:cs="Tahoma"/>
          <w:sz w:val="24"/>
          <w:szCs w:val="24"/>
        </w:rPr>
        <w:t>premises 39 – 41 Toekoms Street, Upington</w:t>
      </w:r>
      <w:r w:rsidR="00E41EF1">
        <w:rPr>
          <w:rFonts w:ascii="Verdana" w:hAnsi="Verdana" w:cs="Tahoma"/>
          <w:sz w:val="24"/>
          <w:szCs w:val="24"/>
        </w:rPr>
        <w:t>,</w:t>
      </w:r>
      <w:r w:rsidR="00332A64">
        <w:rPr>
          <w:rFonts w:ascii="Verdana" w:hAnsi="Verdana" w:cs="Tahoma"/>
          <w:sz w:val="24"/>
          <w:szCs w:val="24"/>
        </w:rPr>
        <w:t xml:space="preserve"> and </w:t>
      </w:r>
      <w:r w:rsidR="00332A64" w:rsidRPr="00332A64">
        <w:rPr>
          <w:rFonts w:ascii="Verdana" w:hAnsi="Verdana" w:cs="Tahoma"/>
          <w:sz w:val="24"/>
          <w:szCs w:val="24"/>
        </w:rPr>
        <w:t>former landlord of JMA Petroleum CC t/a Gas City</w:t>
      </w:r>
      <w:r w:rsidR="001E0DC2" w:rsidRPr="00332A64">
        <w:rPr>
          <w:rFonts w:ascii="Verdana" w:hAnsi="Verdana" w:cs="Tahoma"/>
          <w:sz w:val="24"/>
          <w:szCs w:val="24"/>
        </w:rPr>
        <w:t>, is</w:t>
      </w:r>
      <w:r w:rsidR="00332A64" w:rsidRPr="00332A64">
        <w:rPr>
          <w:rFonts w:ascii="Verdana" w:hAnsi="Verdana" w:cs="Tahoma"/>
          <w:sz w:val="24"/>
          <w:szCs w:val="24"/>
        </w:rPr>
        <w:t xml:space="preserve"> aware of the liquidation </w:t>
      </w:r>
      <w:r w:rsidR="00E41EF1">
        <w:rPr>
          <w:rFonts w:ascii="Verdana" w:hAnsi="Verdana" w:cs="Tahoma"/>
          <w:sz w:val="24"/>
          <w:szCs w:val="24"/>
        </w:rPr>
        <w:t xml:space="preserve">proceedings </w:t>
      </w:r>
      <w:r w:rsidR="00332A64" w:rsidRPr="00332A64">
        <w:rPr>
          <w:rFonts w:ascii="Verdana" w:hAnsi="Verdana" w:cs="Tahoma"/>
          <w:sz w:val="24"/>
          <w:szCs w:val="24"/>
        </w:rPr>
        <w:t xml:space="preserve">as it was informed telephonically </w:t>
      </w:r>
      <w:r w:rsidR="00332A64" w:rsidRPr="00332A64">
        <w:rPr>
          <w:rFonts w:ascii="Verdana" w:hAnsi="Verdana" w:cs="Tahoma"/>
          <w:sz w:val="24"/>
          <w:szCs w:val="24"/>
        </w:rPr>
        <w:lastRenderedPageBreak/>
        <w:t>and by e-mail on 14 July 2021.</w:t>
      </w:r>
      <w:r w:rsidR="002D7F7F">
        <w:rPr>
          <w:rFonts w:ascii="Verdana" w:hAnsi="Verdana" w:cs="Tahoma"/>
          <w:sz w:val="24"/>
          <w:szCs w:val="24"/>
        </w:rPr>
        <w:t xml:space="preserve"> </w:t>
      </w:r>
      <w:r w:rsidR="00CE7A5F">
        <w:rPr>
          <w:rFonts w:ascii="Verdana" w:hAnsi="Verdana" w:cs="Tahoma"/>
          <w:sz w:val="24"/>
          <w:szCs w:val="24"/>
        </w:rPr>
        <w:t xml:space="preserve">The applicants appointed Landile Security to safeguard the premises while simultaneously instructing Renet Fouché of Alibia Trading 230 (Pty) Ltd t/a Alibia Asset Disposal to obtain an inventory and valuation of the assets of Gas City. </w:t>
      </w:r>
    </w:p>
    <w:p w14:paraId="47751758" w14:textId="77777777" w:rsidR="004260CC" w:rsidRDefault="004260CC" w:rsidP="002C6107">
      <w:pPr>
        <w:tabs>
          <w:tab w:val="left" w:pos="851"/>
          <w:tab w:val="left" w:pos="1701"/>
          <w:tab w:val="left" w:pos="2552"/>
          <w:tab w:val="right" w:pos="8931"/>
        </w:tabs>
        <w:spacing w:line="360" w:lineRule="auto"/>
        <w:ind w:left="720" w:hanging="720"/>
        <w:jc w:val="both"/>
        <w:rPr>
          <w:rFonts w:ascii="Verdana" w:hAnsi="Verdana" w:cs="Tahoma"/>
          <w:sz w:val="24"/>
          <w:szCs w:val="24"/>
        </w:rPr>
      </w:pPr>
    </w:p>
    <w:p w14:paraId="720D657B" w14:textId="77777777" w:rsidR="00FD32EC" w:rsidRDefault="002C6107" w:rsidP="002C6107">
      <w:pPr>
        <w:tabs>
          <w:tab w:val="left" w:pos="851"/>
          <w:tab w:val="left" w:pos="1701"/>
          <w:tab w:val="left" w:pos="2552"/>
          <w:tab w:val="right" w:pos="8931"/>
        </w:tabs>
        <w:spacing w:line="360" w:lineRule="auto"/>
        <w:ind w:left="720" w:hanging="720"/>
        <w:jc w:val="both"/>
        <w:rPr>
          <w:rFonts w:ascii="Verdana" w:hAnsi="Verdana" w:cs="Tahoma"/>
          <w:sz w:val="24"/>
          <w:szCs w:val="24"/>
        </w:rPr>
      </w:pPr>
      <w:r>
        <w:rPr>
          <w:rFonts w:ascii="Verdana" w:hAnsi="Verdana" w:cs="Tahoma"/>
          <w:sz w:val="24"/>
          <w:szCs w:val="24"/>
        </w:rPr>
        <w:t>[</w:t>
      </w:r>
      <w:r w:rsidR="00FE2B3E">
        <w:rPr>
          <w:rFonts w:ascii="Verdana" w:hAnsi="Verdana" w:cs="Tahoma"/>
          <w:sz w:val="24"/>
          <w:szCs w:val="24"/>
        </w:rPr>
        <w:t>8</w:t>
      </w:r>
      <w:r>
        <w:rPr>
          <w:rFonts w:ascii="Verdana" w:hAnsi="Verdana" w:cs="Tahoma"/>
          <w:sz w:val="24"/>
          <w:szCs w:val="24"/>
        </w:rPr>
        <w:t>]</w:t>
      </w:r>
      <w:r w:rsidR="004260CC">
        <w:rPr>
          <w:rFonts w:ascii="Verdana" w:hAnsi="Verdana" w:cs="Tahoma"/>
          <w:sz w:val="24"/>
          <w:szCs w:val="24"/>
        </w:rPr>
        <w:tab/>
        <w:t>The site visit</w:t>
      </w:r>
      <w:r w:rsidR="005476F9">
        <w:rPr>
          <w:rFonts w:ascii="Verdana" w:hAnsi="Verdana" w:cs="Tahoma"/>
          <w:sz w:val="24"/>
          <w:szCs w:val="24"/>
        </w:rPr>
        <w:t>s</w:t>
      </w:r>
      <w:r w:rsidR="004260CC">
        <w:rPr>
          <w:rFonts w:ascii="Verdana" w:hAnsi="Verdana" w:cs="Tahoma"/>
          <w:sz w:val="24"/>
          <w:szCs w:val="24"/>
        </w:rPr>
        <w:t xml:space="preserve"> of Gas City </w:t>
      </w:r>
      <w:r w:rsidR="001E0DC2">
        <w:rPr>
          <w:rFonts w:ascii="Verdana" w:hAnsi="Verdana" w:cs="Tahoma"/>
          <w:sz w:val="24"/>
          <w:szCs w:val="24"/>
        </w:rPr>
        <w:t xml:space="preserve">by </w:t>
      </w:r>
      <w:r w:rsidR="001E0DC2">
        <w:rPr>
          <w:rFonts w:ascii="Verdana" w:hAnsi="Verdana" w:cs="Tahoma"/>
          <w:i/>
          <w:sz w:val="24"/>
          <w:szCs w:val="24"/>
        </w:rPr>
        <w:t>Alibia</w:t>
      </w:r>
      <w:r w:rsidR="004260CC" w:rsidRPr="004260CC">
        <w:rPr>
          <w:rFonts w:ascii="Verdana" w:hAnsi="Verdana" w:cs="Tahoma"/>
          <w:sz w:val="24"/>
          <w:szCs w:val="24"/>
        </w:rPr>
        <w:t xml:space="preserve"> </w:t>
      </w:r>
      <w:r w:rsidR="00E41EF1">
        <w:rPr>
          <w:rFonts w:ascii="Verdana" w:hAnsi="Verdana" w:cs="Tahoma"/>
          <w:sz w:val="24"/>
          <w:szCs w:val="24"/>
        </w:rPr>
        <w:t>took place</w:t>
      </w:r>
      <w:r w:rsidR="004260CC">
        <w:rPr>
          <w:rFonts w:ascii="Verdana" w:hAnsi="Verdana" w:cs="Tahoma"/>
          <w:sz w:val="24"/>
          <w:szCs w:val="24"/>
        </w:rPr>
        <w:t xml:space="preserve"> on 12 and 13 July 2021 </w:t>
      </w:r>
      <w:r w:rsidR="00E41EF1">
        <w:rPr>
          <w:rFonts w:ascii="Verdana" w:hAnsi="Verdana" w:cs="Tahoma"/>
          <w:sz w:val="24"/>
          <w:szCs w:val="24"/>
        </w:rPr>
        <w:t>when</w:t>
      </w:r>
      <w:r w:rsidR="004260CC">
        <w:rPr>
          <w:rFonts w:ascii="Verdana" w:hAnsi="Verdana" w:cs="Tahoma"/>
          <w:sz w:val="24"/>
          <w:szCs w:val="24"/>
        </w:rPr>
        <w:t xml:space="preserve"> Landile Security </w:t>
      </w:r>
      <w:r w:rsidR="00E41EF1">
        <w:rPr>
          <w:rFonts w:ascii="Verdana" w:hAnsi="Verdana" w:cs="Tahoma"/>
          <w:sz w:val="24"/>
          <w:szCs w:val="24"/>
        </w:rPr>
        <w:t xml:space="preserve">was also </w:t>
      </w:r>
      <w:r w:rsidR="004260CC">
        <w:rPr>
          <w:rFonts w:ascii="Verdana" w:hAnsi="Verdana" w:cs="Tahoma"/>
          <w:sz w:val="24"/>
          <w:szCs w:val="24"/>
        </w:rPr>
        <w:t>granted access</w:t>
      </w:r>
      <w:r w:rsidR="00E41EF1">
        <w:rPr>
          <w:rFonts w:ascii="Verdana" w:hAnsi="Verdana" w:cs="Tahoma"/>
          <w:sz w:val="24"/>
          <w:szCs w:val="24"/>
        </w:rPr>
        <w:t>. This</w:t>
      </w:r>
      <w:r w:rsidR="004260CC">
        <w:rPr>
          <w:rFonts w:ascii="Verdana" w:hAnsi="Verdana" w:cs="Tahoma"/>
          <w:sz w:val="24"/>
          <w:szCs w:val="24"/>
        </w:rPr>
        <w:t xml:space="preserve"> was followed by an inspection and valuation of the property. Alibia was </w:t>
      </w:r>
      <w:r w:rsidR="00E41EF1">
        <w:rPr>
          <w:rFonts w:ascii="Verdana" w:hAnsi="Verdana" w:cs="Tahoma"/>
          <w:sz w:val="24"/>
          <w:szCs w:val="24"/>
        </w:rPr>
        <w:t xml:space="preserve">authorised </w:t>
      </w:r>
      <w:r w:rsidR="004260CC">
        <w:rPr>
          <w:rFonts w:ascii="Verdana" w:hAnsi="Verdana" w:cs="Tahoma"/>
          <w:sz w:val="24"/>
          <w:szCs w:val="24"/>
        </w:rPr>
        <w:t xml:space="preserve">to collect the remainder of the assets for safe storage to be dealt with in terms of the Insolvency Act. On 14 July </w:t>
      </w:r>
      <w:r w:rsidR="00F237F8">
        <w:rPr>
          <w:rFonts w:ascii="Verdana" w:hAnsi="Verdana" w:cs="Tahoma"/>
          <w:sz w:val="24"/>
          <w:szCs w:val="24"/>
        </w:rPr>
        <w:t>2021</w:t>
      </w:r>
      <w:r w:rsidR="004260CC">
        <w:rPr>
          <w:rFonts w:ascii="Verdana" w:hAnsi="Verdana" w:cs="Tahoma"/>
          <w:sz w:val="24"/>
          <w:szCs w:val="24"/>
        </w:rPr>
        <w:t xml:space="preserve"> Fouché addressed an email to Mr Herman Kaindibinder notifying him that the assets will be removed on the 19</w:t>
      </w:r>
      <w:r w:rsidR="004260CC" w:rsidRPr="004260CC">
        <w:rPr>
          <w:rFonts w:ascii="Verdana" w:hAnsi="Verdana" w:cs="Tahoma"/>
          <w:sz w:val="24"/>
          <w:szCs w:val="24"/>
          <w:vertAlign w:val="superscript"/>
        </w:rPr>
        <w:t>th</w:t>
      </w:r>
      <w:r w:rsidR="004260CC">
        <w:rPr>
          <w:rFonts w:ascii="Verdana" w:hAnsi="Verdana" w:cs="Tahoma"/>
          <w:sz w:val="24"/>
          <w:szCs w:val="24"/>
        </w:rPr>
        <w:t xml:space="preserve"> July 2021 </w:t>
      </w:r>
      <w:r w:rsidR="00F237F8">
        <w:rPr>
          <w:rFonts w:ascii="Verdana" w:hAnsi="Verdana" w:cs="Tahoma"/>
          <w:sz w:val="24"/>
          <w:szCs w:val="24"/>
        </w:rPr>
        <w:t>and</w:t>
      </w:r>
      <w:r w:rsidR="004260CC">
        <w:rPr>
          <w:rFonts w:ascii="Verdana" w:hAnsi="Verdana" w:cs="Tahoma"/>
          <w:sz w:val="24"/>
          <w:szCs w:val="24"/>
        </w:rPr>
        <w:t xml:space="preserve"> requested that he furnish her with a copy of the signed lease agreement, which he did.</w:t>
      </w:r>
      <w:r w:rsidR="001E0DC2">
        <w:rPr>
          <w:rFonts w:ascii="Verdana" w:hAnsi="Verdana" w:cs="Tahoma"/>
          <w:sz w:val="24"/>
          <w:szCs w:val="24"/>
        </w:rPr>
        <w:t xml:space="preserve"> </w:t>
      </w:r>
      <w:r w:rsidR="005D14E4">
        <w:rPr>
          <w:rFonts w:ascii="Verdana" w:hAnsi="Verdana" w:cs="Tahoma"/>
          <w:sz w:val="24"/>
          <w:szCs w:val="24"/>
        </w:rPr>
        <w:t xml:space="preserve">Fouché arranged with Parau Logistics and Transport (Pty) Ltd to attend to the </w:t>
      </w:r>
      <w:r w:rsidR="00E41EF1">
        <w:rPr>
          <w:rFonts w:ascii="Verdana" w:hAnsi="Verdana" w:cs="Tahoma"/>
          <w:sz w:val="24"/>
          <w:szCs w:val="24"/>
        </w:rPr>
        <w:t>packing</w:t>
      </w:r>
      <w:r w:rsidR="005D14E4">
        <w:rPr>
          <w:rFonts w:ascii="Verdana" w:hAnsi="Verdana" w:cs="Tahoma"/>
          <w:sz w:val="24"/>
          <w:szCs w:val="24"/>
        </w:rPr>
        <w:t xml:space="preserve"> and transportation of the assets</w:t>
      </w:r>
      <w:r w:rsidR="00E41EF1">
        <w:rPr>
          <w:rFonts w:ascii="Verdana" w:hAnsi="Verdana" w:cs="Tahoma"/>
          <w:sz w:val="24"/>
          <w:szCs w:val="24"/>
        </w:rPr>
        <w:t xml:space="preserve"> from</w:t>
      </w:r>
      <w:r w:rsidR="005D14E4">
        <w:rPr>
          <w:rFonts w:ascii="Verdana" w:hAnsi="Verdana" w:cs="Tahoma"/>
          <w:sz w:val="24"/>
          <w:szCs w:val="24"/>
        </w:rPr>
        <w:t xml:space="preserve"> 20A Industrial Way Street, Upington and 39 – 41 Toekoms Street, Upington</w:t>
      </w:r>
      <w:r w:rsidR="00E41EF1">
        <w:rPr>
          <w:rFonts w:ascii="Verdana" w:hAnsi="Verdana" w:cs="Tahoma"/>
          <w:sz w:val="24"/>
          <w:szCs w:val="24"/>
        </w:rPr>
        <w:t>,</w:t>
      </w:r>
      <w:r w:rsidR="005D14E4">
        <w:rPr>
          <w:rFonts w:ascii="Verdana" w:hAnsi="Verdana" w:cs="Tahoma"/>
          <w:sz w:val="24"/>
          <w:szCs w:val="24"/>
        </w:rPr>
        <w:t xml:space="preserve"> at a </w:t>
      </w:r>
      <w:r w:rsidR="00E41EF1">
        <w:rPr>
          <w:rFonts w:ascii="Verdana" w:hAnsi="Verdana" w:cs="Tahoma"/>
          <w:sz w:val="24"/>
          <w:szCs w:val="24"/>
        </w:rPr>
        <w:t xml:space="preserve">combined </w:t>
      </w:r>
      <w:r w:rsidR="00DB66EC">
        <w:rPr>
          <w:rFonts w:ascii="Verdana" w:hAnsi="Verdana" w:cs="Tahoma"/>
          <w:sz w:val="24"/>
          <w:szCs w:val="24"/>
        </w:rPr>
        <w:t xml:space="preserve">cost of </w:t>
      </w:r>
      <w:r w:rsidR="005D14E4">
        <w:rPr>
          <w:rFonts w:ascii="Verdana" w:hAnsi="Verdana" w:cs="Tahoma"/>
          <w:sz w:val="24"/>
          <w:szCs w:val="24"/>
        </w:rPr>
        <w:t>R26 000.00.</w:t>
      </w:r>
      <w:r w:rsidR="00156C8B">
        <w:rPr>
          <w:rFonts w:ascii="Verdana" w:hAnsi="Verdana" w:cs="Tahoma"/>
          <w:sz w:val="24"/>
          <w:szCs w:val="24"/>
        </w:rPr>
        <w:t xml:space="preserve"> </w:t>
      </w:r>
      <w:r w:rsidR="00E41EF1">
        <w:rPr>
          <w:rFonts w:ascii="Verdana" w:hAnsi="Verdana" w:cs="Tahoma"/>
          <w:sz w:val="24"/>
          <w:szCs w:val="24"/>
        </w:rPr>
        <w:t>T</w:t>
      </w:r>
      <w:r w:rsidR="00156C8B">
        <w:rPr>
          <w:rFonts w:ascii="Verdana" w:hAnsi="Verdana" w:cs="Tahoma"/>
          <w:sz w:val="24"/>
          <w:szCs w:val="24"/>
        </w:rPr>
        <w:t xml:space="preserve">he applicants’ representatives visited the site </w:t>
      </w:r>
      <w:r w:rsidR="00E41EF1">
        <w:rPr>
          <w:rFonts w:ascii="Verdana" w:hAnsi="Verdana" w:cs="Tahoma"/>
          <w:sz w:val="24"/>
          <w:szCs w:val="24"/>
        </w:rPr>
        <w:t xml:space="preserve">but were denied </w:t>
      </w:r>
      <w:r w:rsidR="00156C8B">
        <w:rPr>
          <w:rFonts w:ascii="Verdana" w:hAnsi="Verdana" w:cs="Tahoma"/>
          <w:sz w:val="24"/>
          <w:szCs w:val="24"/>
        </w:rPr>
        <w:t xml:space="preserve">access.  </w:t>
      </w:r>
    </w:p>
    <w:p w14:paraId="06FB09B6" w14:textId="77777777" w:rsidR="00BE6D27" w:rsidRDefault="00FD32EC" w:rsidP="00231C7F">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 xml:space="preserve"> </w:t>
      </w:r>
    </w:p>
    <w:p w14:paraId="67B03F7D" w14:textId="77777777" w:rsidR="00611792" w:rsidRDefault="00017FFD"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FE2B3E">
        <w:rPr>
          <w:rFonts w:ascii="Verdana" w:hAnsi="Verdana" w:cs="Tahoma"/>
          <w:sz w:val="24"/>
          <w:szCs w:val="24"/>
        </w:rPr>
        <w:t>9</w:t>
      </w:r>
      <w:r>
        <w:rPr>
          <w:rFonts w:ascii="Verdana" w:hAnsi="Verdana" w:cs="Tahoma"/>
          <w:sz w:val="24"/>
          <w:szCs w:val="24"/>
        </w:rPr>
        <w:t>]</w:t>
      </w:r>
      <w:r>
        <w:rPr>
          <w:rFonts w:ascii="Verdana" w:hAnsi="Verdana" w:cs="Tahoma"/>
          <w:sz w:val="24"/>
          <w:szCs w:val="24"/>
        </w:rPr>
        <w:tab/>
      </w:r>
      <w:r w:rsidR="001E0DC2">
        <w:rPr>
          <w:rFonts w:ascii="Verdana" w:hAnsi="Verdana" w:cs="Tahoma"/>
          <w:sz w:val="24"/>
          <w:szCs w:val="24"/>
        </w:rPr>
        <w:t>The applicants addressed co</w:t>
      </w:r>
      <w:r w:rsidR="00DB66EC">
        <w:rPr>
          <w:rFonts w:ascii="Verdana" w:hAnsi="Verdana" w:cs="Tahoma"/>
          <w:sz w:val="24"/>
          <w:szCs w:val="24"/>
        </w:rPr>
        <w:t xml:space="preserve">rrespondence to the respondent </w:t>
      </w:r>
      <w:r w:rsidR="00E41EF1">
        <w:rPr>
          <w:rFonts w:ascii="Verdana" w:hAnsi="Verdana" w:cs="Tahoma"/>
          <w:sz w:val="24"/>
          <w:szCs w:val="24"/>
        </w:rPr>
        <w:t xml:space="preserve">in terms of </w:t>
      </w:r>
      <w:r w:rsidR="001E0DC2">
        <w:rPr>
          <w:rFonts w:ascii="Verdana" w:hAnsi="Verdana" w:cs="Tahoma"/>
          <w:sz w:val="24"/>
          <w:szCs w:val="24"/>
        </w:rPr>
        <w:t xml:space="preserve">s 47 of the Insolvency Act </w:t>
      </w:r>
      <w:r w:rsidR="00ED1ED2">
        <w:rPr>
          <w:rFonts w:ascii="Verdana" w:hAnsi="Verdana" w:cs="Tahoma"/>
          <w:sz w:val="24"/>
          <w:szCs w:val="24"/>
        </w:rPr>
        <w:t xml:space="preserve">to the effect that </w:t>
      </w:r>
      <w:r w:rsidR="00DB66EC">
        <w:rPr>
          <w:rFonts w:ascii="Verdana" w:hAnsi="Verdana" w:cs="Tahoma"/>
          <w:sz w:val="24"/>
          <w:szCs w:val="24"/>
        </w:rPr>
        <w:t xml:space="preserve">the respondent has an </w:t>
      </w:r>
      <w:r w:rsidR="001E0DC2">
        <w:rPr>
          <w:rFonts w:ascii="Verdana" w:hAnsi="Verdana" w:cs="Tahoma"/>
          <w:sz w:val="24"/>
          <w:szCs w:val="24"/>
        </w:rPr>
        <w:t xml:space="preserve">automatic lien over the assets in respect of arrear rental and that the respondent would retain that lien regardless of </w:t>
      </w:r>
      <w:r w:rsidR="00ED1ED2">
        <w:rPr>
          <w:rFonts w:ascii="Verdana" w:hAnsi="Verdana" w:cs="Tahoma"/>
          <w:sz w:val="24"/>
          <w:szCs w:val="24"/>
        </w:rPr>
        <w:t xml:space="preserve">having </w:t>
      </w:r>
      <w:r w:rsidR="001E0DC2">
        <w:rPr>
          <w:rFonts w:ascii="Verdana" w:hAnsi="Verdana" w:cs="Tahoma"/>
          <w:sz w:val="24"/>
          <w:szCs w:val="24"/>
        </w:rPr>
        <w:t>releas</w:t>
      </w:r>
      <w:r w:rsidR="00ED1ED2">
        <w:rPr>
          <w:rFonts w:ascii="Verdana" w:hAnsi="Verdana" w:cs="Tahoma"/>
          <w:sz w:val="24"/>
          <w:szCs w:val="24"/>
        </w:rPr>
        <w:t>ed</w:t>
      </w:r>
      <w:r w:rsidR="001E0DC2">
        <w:rPr>
          <w:rFonts w:ascii="Verdana" w:hAnsi="Verdana" w:cs="Tahoma"/>
          <w:sz w:val="24"/>
          <w:szCs w:val="24"/>
        </w:rPr>
        <w:t xml:space="preserve"> the assets to the applicants.  Further, the applicants elected to take over the property at the full amount of the respondent’s claim for arrear rental in terms of s 83(3) of the Insolvency Act which offer was declined by the respondent. It is on that basis that the applicants approached Court </w:t>
      </w:r>
      <w:r w:rsidR="00EF3422">
        <w:rPr>
          <w:rFonts w:ascii="Verdana" w:hAnsi="Verdana" w:cs="Tahoma"/>
          <w:sz w:val="24"/>
          <w:szCs w:val="24"/>
        </w:rPr>
        <w:t>maintaining that the respondent is unlawfully withholding</w:t>
      </w:r>
      <w:r w:rsidR="00ED1ED2">
        <w:rPr>
          <w:rFonts w:ascii="Verdana" w:hAnsi="Verdana" w:cs="Tahoma"/>
          <w:sz w:val="24"/>
          <w:szCs w:val="24"/>
        </w:rPr>
        <w:t xml:space="preserve"> and</w:t>
      </w:r>
      <w:r w:rsidR="00EF3422">
        <w:rPr>
          <w:rFonts w:ascii="Verdana" w:hAnsi="Verdana" w:cs="Tahoma"/>
          <w:sz w:val="24"/>
          <w:szCs w:val="24"/>
        </w:rPr>
        <w:t xml:space="preserve"> concealing assets of the insolvent estate</w:t>
      </w:r>
      <w:r w:rsidR="00ED1ED2">
        <w:rPr>
          <w:rFonts w:ascii="Verdana" w:hAnsi="Verdana" w:cs="Tahoma"/>
          <w:sz w:val="24"/>
          <w:szCs w:val="24"/>
        </w:rPr>
        <w:t xml:space="preserve"> and</w:t>
      </w:r>
      <w:r w:rsidR="00EF3422">
        <w:rPr>
          <w:rFonts w:ascii="Verdana" w:hAnsi="Verdana" w:cs="Tahoma"/>
          <w:sz w:val="24"/>
          <w:szCs w:val="24"/>
        </w:rPr>
        <w:t xml:space="preserve"> </w:t>
      </w:r>
      <w:r w:rsidR="00156C8B">
        <w:rPr>
          <w:rFonts w:ascii="Verdana" w:hAnsi="Verdana" w:cs="Tahoma"/>
          <w:sz w:val="24"/>
          <w:szCs w:val="24"/>
        </w:rPr>
        <w:t xml:space="preserve">thereby </w:t>
      </w:r>
      <w:r w:rsidR="00EF3422">
        <w:rPr>
          <w:rFonts w:ascii="Verdana" w:hAnsi="Verdana" w:cs="Tahoma"/>
          <w:sz w:val="24"/>
          <w:szCs w:val="24"/>
        </w:rPr>
        <w:t>contraven</w:t>
      </w:r>
      <w:r w:rsidR="00ED1ED2">
        <w:rPr>
          <w:rFonts w:ascii="Verdana" w:hAnsi="Verdana" w:cs="Tahoma"/>
          <w:sz w:val="24"/>
          <w:szCs w:val="24"/>
        </w:rPr>
        <w:t>ed</w:t>
      </w:r>
      <w:r w:rsidR="00EF3422">
        <w:rPr>
          <w:rFonts w:ascii="Verdana" w:hAnsi="Verdana" w:cs="Tahoma"/>
          <w:sz w:val="24"/>
          <w:szCs w:val="24"/>
        </w:rPr>
        <w:t xml:space="preserve"> sections 142 and 145 of the Insolvency Act. </w:t>
      </w:r>
    </w:p>
    <w:p w14:paraId="6F809D56" w14:textId="77777777" w:rsidR="00FD32EC" w:rsidRDefault="00FD32EC" w:rsidP="00231C7F">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3420E0E8" w14:textId="77777777" w:rsidR="00BA6D9D" w:rsidRDefault="004141CF" w:rsidP="00231C7F">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w:t>
      </w:r>
      <w:r w:rsidR="00FE2B3E">
        <w:rPr>
          <w:rFonts w:ascii="Verdana" w:hAnsi="Verdana" w:cs="Tahoma"/>
          <w:sz w:val="24"/>
          <w:szCs w:val="24"/>
        </w:rPr>
        <w:t>10</w:t>
      </w:r>
      <w:r>
        <w:rPr>
          <w:rFonts w:ascii="Verdana" w:hAnsi="Verdana" w:cs="Tahoma"/>
          <w:sz w:val="24"/>
          <w:szCs w:val="24"/>
        </w:rPr>
        <w:t>]</w:t>
      </w:r>
      <w:r>
        <w:rPr>
          <w:rFonts w:ascii="Verdana" w:hAnsi="Verdana" w:cs="Tahoma"/>
          <w:sz w:val="24"/>
          <w:szCs w:val="24"/>
        </w:rPr>
        <w:tab/>
      </w:r>
      <w:r w:rsidR="000B0384">
        <w:rPr>
          <w:rFonts w:ascii="Verdana" w:hAnsi="Verdana" w:cs="Tahoma"/>
          <w:sz w:val="24"/>
          <w:szCs w:val="24"/>
        </w:rPr>
        <w:t>The respondent’s attorneys, Bekker Bergh &amp; More Inc</w:t>
      </w:r>
      <w:r w:rsidR="00F237F8">
        <w:rPr>
          <w:rFonts w:ascii="Verdana" w:hAnsi="Verdana" w:cs="Tahoma"/>
          <w:sz w:val="24"/>
          <w:szCs w:val="24"/>
        </w:rPr>
        <w:t>,</w:t>
      </w:r>
      <w:r w:rsidR="000B0384">
        <w:rPr>
          <w:rFonts w:ascii="Verdana" w:hAnsi="Verdana" w:cs="Tahoma"/>
          <w:sz w:val="24"/>
          <w:szCs w:val="24"/>
        </w:rPr>
        <w:t xml:space="preserve"> addressed a letter to Ms Venter on 22 July 2021 </w:t>
      </w:r>
      <w:r w:rsidR="00F237F8">
        <w:rPr>
          <w:rFonts w:ascii="Verdana" w:hAnsi="Verdana" w:cs="Tahoma"/>
          <w:sz w:val="24"/>
          <w:szCs w:val="24"/>
        </w:rPr>
        <w:t>stating</w:t>
      </w:r>
      <w:r w:rsidR="000B0384">
        <w:rPr>
          <w:rFonts w:ascii="Verdana" w:hAnsi="Verdana" w:cs="Tahoma"/>
          <w:sz w:val="24"/>
          <w:szCs w:val="24"/>
        </w:rPr>
        <w:t xml:space="preserve"> that their client had entered into a five-year lease agreement on 14 June 2019 </w:t>
      </w:r>
      <w:r w:rsidR="00ED1ED2">
        <w:rPr>
          <w:rFonts w:ascii="Verdana" w:hAnsi="Verdana" w:cs="Tahoma"/>
          <w:sz w:val="24"/>
          <w:szCs w:val="24"/>
        </w:rPr>
        <w:t xml:space="preserve">effective from </w:t>
      </w:r>
      <w:r w:rsidR="000B0384">
        <w:rPr>
          <w:rFonts w:ascii="Verdana" w:hAnsi="Verdana" w:cs="Tahoma"/>
          <w:sz w:val="24"/>
          <w:szCs w:val="24"/>
        </w:rPr>
        <w:t xml:space="preserve">01 July 2019; that there was an outstanding rental amount of R69 467.65 which entitled their client to a tacit hypothec over the property that was on the premises. Notwithstanding that the liquidators had since 21 July 2021 assured the respondent that it will not lose its hypothec </w:t>
      </w:r>
      <w:r w:rsidR="00450C84">
        <w:rPr>
          <w:rFonts w:ascii="Verdana" w:hAnsi="Verdana" w:cs="Tahoma"/>
          <w:sz w:val="24"/>
          <w:szCs w:val="24"/>
        </w:rPr>
        <w:t xml:space="preserve">by releasing the </w:t>
      </w:r>
      <w:r w:rsidR="00ED1ED2">
        <w:rPr>
          <w:rFonts w:ascii="Verdana" w:hAnsi="Verdana" w:cs="Tahoma"/>
          <w:sz w:val="24"/>
          <w:szCs w:val="24"/>
        </w:rPr>
        <w:t xml:space="preserve">affected </w:t>
      </w:r>
      <w:r w:rsidR="00450C84">
        <w:rPr>
          <w:rFonts w:ascii="Verdana" w:hAnsi="Verdana" w:cs="Tahoma"/>
          <w:sz w:val="24"/>
          <w:szCs w:val="24"/>
        </w:rPr>
        <w:t xml:space="preserve">assets </w:t>
      </w:r>
      <w:r w:rsidR="00ED1ED2">
        <w:rPr>
          <w:rFonts w:ascii="Verdana" w:hAnsi="Verdana" w:cs="Tahoma"/>
          <w:sz w:val="24"/>
          <w:szCs w:val="24"/>
        </w:rPr>
        <w:t xml:space="preserve">however </w:t>
      </w:r>
      <w:r w:rsidR="00450C84">
        <w:rPr>
          <w:rFonts w:ascii="Verdana" w:hAnsi="Verdana" w:cs="Tahoma"/>
          <w:sz w:val="24"/>
          <w:szCs w:val="24"/>
        </w:rPr>
        <w:t xml:space="preserve">on 22 July 2021 </w:t>
      </w:r>
      <w:r w:rsidR="00450C84" w:rsidRPr="00450C84">
        <w:rPr>
          <w:rFonts w:ascii="Verdana" w:hAnsi="Verdana" w:cs="Tahoma"/>
          <w:sz w:val="24"/>
          <w:szCs w:val="24"/>
        </w:rPr>
        <w:t xml:space="preserve">Bekker Bergh &amp; More </w:t>
      </w:r>
      <w:r w:rsidR="00156C8B" w:rsidRPr="00450C84">
        <w:rPr>
          <w:rFonts w:ascii="Verdana" w:hAnsi="Verdana" w:cs="Tahoma"/>
          <w:sz w:val="24"/>
          <w:szCs w:val="24"/>
        </w:rPr>
        <w:t>Inc.</w:t>
      </w:r>
      <w:r w:rsidR="00450C84">
        <w:rPr>
          <w:rFonts w:ascii="Verdana" w:hAnsi="Verdana" w:cs="Tahoma"/>
          <w:sz w:val="24"/>
          <w:szCs w:val="24"/>
        </w:rPr>
        <w:t xml:space="preserve"> served </w:t>
      </w:r>
      <w:r w:rsidR="00156C8B">
        <w:rPr>
          <w:rFonts w:ascii="Verdana" w:hAnsi="Verdana" w:cs="Tahoma"/>
          <w:sz w:val="24"/>
          <w:szCs w:val="24"/>
        </w:rPr>
        <w:t xml:space="preserve">the applicants with </w:t>
      </w:r>
      <w:r w:rsidR="00450C84">
        <w:rPr>
          <w:rFonts w:ascii="Verdana" w:hAnsi="Verdana" w:cs="Tahoma"/>
          <w:sz w:val="24"/>
          <w:szCs w:val="24"/>
        </w:rPr>
        <w:t xml:space="preserve">a notice in terms </w:t>
      </w:r>
      <w:r w:rsidR="005731A9">
        <w:rPr>
          <w:rFonts w:ascii="Verdana" w:hAnsi="Verdana" w:cs="Tahoma"/>
          <w:sz w:val="24"/>
          <w:szCs w:val="24"/>
        </w:rPr>
        <w:t>of s</w:t>
      </w:r>
      <w:r w:rsidR="00450C84" w:rsidRPr="00450C84">
        <w:rPr>
          <w:rFonts w:ascii="Verdana" w:hAnsi="Verdana" w:cs="Tahoma"/>
          <w:sz w:val="24"/>
          <w:szCs w:val="24"/>
        </w:rPr>
        <w:t xml:space="preserve"> 47 </w:t>
      </w:r>
      <w:r w:rsidR="00156C8B">
        <w:rPr>
          <w:rFonts w:ascii="Verdana" w:hAnsi="Verdana" w:cs="Tahoma"/>
          <w:sz w:val="24"/>
          <w:szCs w:val="24"/>
        </w:rPr>
        <w:t>of the Insolvency Act</w:t>
      </w:r>
      <w:r w:rsidR="00450C84">
        <w:rPr>
          <w:rFonts w:ascii="Verdana" w:hAnsi="Verdana" w:cs="Tahoma"/>
          <w:sz w:val="24"/>
          <w:szCs w:val="24"/>
        </w:rPr>
        <w:t xml:space="preserve">. </w:t>
      </w:r>
    </w:p>
    <w:p w14:paraId="6C60F713" w14:textId="77777777" w:rsidR="000B0384" w:rsidRDefault="000B0384" w:rsidP="00231C7F">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5EF38917" w14:textId="77777777" w:rsidR="00547DEF" w:rsidRPr="003F1C83" w:rsidRDefault="00317CE2"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717F1E">
        <w:rPr>
          <w:rFonts w:ascii="Verdana" w:hAnsi="Verdana" w:cs="Tahoma"/>
          <w:sz w:val="24"/>
          <w:szCs w:val="24"/>
        </w:rPr>
        <w:t>1</w:t>
      </w:r>
      <w:r w:rsidR="00BD6D00">
        <w:rPr>
          <w:rFonts w:ascii="Verdana" w:hAnsi="Verdana" w:cs="Tahoma"/>
          <w:sz w:val="24"/>
          <w:szCs w:val="24"/>
        </w:rPr>
        <w:t>1</w:t>
      </w:r>
      <w:r>
        <w:rPr>
          <w:rFonts w:ascii="Verdana" w:hAnsi="Verdana" w:cs="Tahoma"/>
          <w:sz w:val="24"/>
          <w:szCs w:val="24"/>
        </w:rPr>
        <w:t>]</w:t>
      </w:r>
      <w:r>
        <w:rPr>
          <w:rFonts w:ascii="Verdana" w:hAnsi="Verdana" w:cs="Tahoma"/>
          <w:sz w:val="24"/>
          <w:szCs w:val="24"/>
        </w:rPr>
        <w:tab/>
      </w:r>
      <w:r w:rsidR="00547DEF">
        <w:rPr>
          <w:rFonts w:ascii="Verdana" w:hAnsi="Verdana" w:cs="Tahoma"/>
          <w:sz w:val="24"/>
          <w:szCs w:val="24"/>
        </w:rPr>
        <w:t xml:space="preserve"> </w:t>
      </w:r>
      <w:r w:rsidR="00450C84">
        <w:rPr>
          <w:rFonts w:ascii="Verdana" w:hAnsi="Verdana" w:cs="Tahoma"/>
          <w:sz w:val="24"/>
          <w:szCs w:val="24"/>
        </w:rPr>
        <w:t>On 26 July 2021</w:t>
      </w:r>
      <w:r w:rsidR="00DB66EC">
        <w:rPr>
          <w:rFonts w:ascii="Verdana" w:hAnsi="Verdana" w:cs="Tahoma"/>
          <w:sz w:val="24"/>
          <w:szCs w:val="24"/>
        </w:rPr>
        <w:t>,</w:t>
      </w:r>
      <w:r w:rsidR="00450C84">
        <w:rPr>
          <w:rFonts w:ascii="Verdana" w:hAnsi="Verdana" w:cs="Tahoma"/>
          <w:sz w:val="24"/>
          <w:szCs w:val="24"/>
        </w:rPr>
        <w:t xml:space="preserve"> an email was addressed to Kock, </w:t>
      </w:r>
      <w:r w:rsidR="00450C84" w:rsidRPr="00450C84">
        <w:rPr>
          <w:rFonts w:ascii="Verdana" w:hAnsi="Verdana" w:cs="Tahoma"/>
          <w:sz w:val="24"/>
          <w:szCs w:val="24"/>
        </w:rPr>
        <w:t>Bekker Bergh &amp; More Inc</w:t>
      </w:r>
      <w:r w:rsidR="00450C84">
        <w:rPr>
          <w:rFonts w:ascii="Verdana" w:hAnsi="Verdana" w:cs="Tahoma"/>
          <w:sz w:val="24"/>
          <w:szCs w:val="24"/>
        </w:rPr>
        <w:t xml:space="preserve"> and Liebenberg by the liquidators informing them that they will pay to the respondent the full amount </w:t>
      </w:r>
      <w:r w:rsidR="00450C84" w:rsidRPr="00450C84">
        <w:rPr>
          <w:rFonts w:ascii="Verdana" w:hAnsi="Verdana" w:cs="Tahoma"/>
          <w:sz w:val="24"/>
          <w:szCs w:val="24"/>
        </w:rPr>
        <w:t xml:space="preserve">of the respondent’s claim </w:t>
      </w:r>
      <w:r w:rsidR="00450C84">
        <w:rPr>
          <w:rFonts w:ascii="Verdana" w:hAnsi="Verdana" w:cs="Tahoma"/>
          <w:sz w:val="24"/>
          <w:szCs w:val="24"/>
        </w:rPr>
        <w:t>in terms of s 83(3) of the Insolvency Act in order to take over the property but received no response. On 02 August 2021</w:t>
      </w:r>
      <w:r w:rsidR="00DB66EC">
        <w:rPr>
          <w:rFonts w:ascii="Verdana" w:hAnsi="Verdana" w:cs="Tahoma"/>
          <w:sz w:val="24"/>
          <w:szCs w:val="24"/>
        </w:rPr>
        <w:t>,</w:t>
      </w:r>
      <w:r w:rsidR="00450C84">
        <w:rPr>
          <w:rFonts w:ascii="Verdana" w:hAnsi="Verdana" w:cs="Tahoma"/>
          <w:sz w:val="24"/>
          <w:szCs w:val="24"/>
        </w:rPr>
        <w:t xml:space="preserve"> a further email was addressed to </w:t>
      </w:r>
      <w:r w:rsidR="00ED1ED2">
        <w:rPr>
          <w:rFonts w:ascii="Verdana" w:hAnsi="Verdana" w:cs="Tahoma"/>
          <w:sz w:val="24"/>
          <w:szCs w:val="24"/>
        </w:rPr>
        <w:t>the same parties and</w:t>
      </w:r>
      <w:r w:rsidR="00450C84" w:rsidRPr="00450C84">
        <w:rPr>
          <w:rFonts w:ascii="Verdana" w:hAnsi="Verdana" w:cs="Tahoma"/>
          <w:sz w:val="24"/>
          <w:szCs w:val="24"/>
        </w:rPr>
        <w:t xml:space="preserve"> </w:t>
      </w:r>
      <w:r w:rsidR="00450C84">
        <w:rPr>
          <w:rFonts w:ascii="Verdana" w:hAnsi="Verdana" w:cs="Tahoma"/>
          <w:sz w:val="24"/>
          <w:szCs w:val="24"/>
        </w:rPr>
        <w:t>referr</w:t>
      </w:r>
      <w:r w:rsidR="00ED1ED2">
        <w:rPr>
          <w:rFonts w:ascii="Verdana" w:hAnsi="Verdana" w:cs="Tahoma"/>
          <w:sz w:val="24"/>
          <w:szCs w:val="24"/>
        </w:rPr>
        <w:t>ed</w:t>
      </w:r>
      <w:r w:rsidR="00450C84">
        <w:rPr>
          <w:rFonts w:ascii="Verdana" w:hAnsi="Verdana" w:cs="Tahoma"/>
          <w:sz w:val="24"/>
          <w:szCs w:val="24"/>
        </w:rPr>
        <w:t xml:space="preserve"> them to the provisions of s 145 of the Insolvency Act which make</w:t>
      </w:r>
      <w:r w:rsidR="00F13FCF">
        <w:rPr>
          <w:rFonts w:ascii="Verdana" w:hAnsi="Verdana" w:cs="Tahoma"/>
          <w:sz w:val="24"/>
          <w:szCs w:val="24"/>
        </w:rPr>
        <w:t>s</w:t>
      </w:r>
      <w:r w:rsidR="00450C84">
        <w:rPr>
          <w:rFonts w:ascii="Verdana" w:hAnsi="Verdana" w:cs="Tahoma"/>
          <w:sz w:val="24"/>
          <w:szCs w:val="24"/>
        </w:rPr>
        <w:t xml:space="preserve"> it a criminal offence to </w:t>
      </w:r>
      <w:r w:rsidR="00ED1ED2">
        <w:rPr>
          <w:rFonts w:ascii="Verdana" w:hAnsi="Verdana" w:cs="Tahoma"/>
          <w:sz w:val="24"/>
          <w:szCs w:val="24"/>
        </w:rPr>
        <w:t xml:space="preserve">wrongfully </w:t>
      </w:r>
      <w:r w:rsidR="00450C84">
        <w:rPr>
          <w:rFonts w:ascii="Verdana" w:hAnsi="Verdana" w:cs="Tahoma"/>
          <w:sz w:val="24"/>
          <w:szCs w:val="24"/>
        </w:rPr>
        <w:t xml:space="preserve">withhold assets. The assets have </w:t>
      </w:r>
      <w:r w:rsidR="003F1C83">
        <w:rPr>
          <w:rFonts w:ascii="Verdana" w:hAnsi="Verdana" w:cs="Tahoma"/>
          <w:sz w:val="24"/>
          <w:szCs w:val="24"/>
        </w:rPr>
        <w:t xml:space="preserve">still </w:t>
      </w:r>
      <w:r w:rsidR="00450C84">
        <w:rPr>
          <w:rFonts w:ascii="Verdana" w:hAnsi="Verdana" w:cs="Tahoma"/>
          <w:sz w:val="24"/>
          <w:szCs w:val="24"/>
        </w:rPr>
        <w:t>not been released</w:t>
      </w:r>
      <w:r w:rsidR="003F1C83">
        <w:rPr>
          <w:rFonts w:ascii="Verdana" w:hAnsi="Verdana" w:cs="Tahoma"/>
          <w:sz w:val="24"/>
          <w:szCs w:val="24"/>
        </w:rPr>
        <w:t xml:space="preserve"> </w:t>
      </w:r>
      <w:r w:rsidR="005731A9">
        <w:rPr>
          <w:rFonts w:ascii="Verdana" w:hAnsi="Verdana" w:cs="Tahoma"/>
          <w:sz w:val="24"/>
          <w:szCs w:val="24"/>
        </w:rPr>
        <w:t>to the applicants hence this application.</w:t>
      </w:r>
      <w:r w:rsidR="003F1C83">
        <w:rPr>
          <w:rFonts w:ascii="Verdana" w:hAnsi="Verdana" w:cs="Tahoma"/>
          <w:sz w:val="24"/>
          <w:szCs w:val="24"/>
        </w:rPr>
        <w:t xml:space="preserve">  </w:t>
      </w:r>
    </w:p>
    <w:p w14:paraId="3FDF147E" w14:textId="77777777" w:rsidR="003F1C83" w:rsidRDefault="003F1C83" w:rsidP="00231C7F">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6C21F725" w14:textId="77777777" w:rsidR="00ED1ED2" w:rsidRDefault="003F1C83" w:rsidP="00231C7F">
      <w:pPr>
        <w:tabs>
          <w:tab w:val="left" w:pos="851"/>
          <w:tab w:val="left" w:pos="1701"/>
          <w:tab w:val="left" w:pos="2552"/>
          <w:tab w:val="right" w:pos="8931"/>
        </w:tabs>
        <w:spacing w:line="360" w:lineRule="auto"/>
        <w:ind w:left="851" w:hanging="851"/>
        <w:jc w:val="both"/>
        <w:rPr>
          <w:rFonts w:ascii="Verdana" w:hAnsi="Verdana" w:cs="Tahoma"/>
          <w:b/>
          <w:sz w:val="24"/>
          <w:szCs w:val="24"/>
        </w:rPr>
      </w:pPr>
      <w:r>
        <w:rPr>
          <w:rFonts w:ascii="Verdana" w:hAnsi="Verdana" w:cs="Tahoma"/>
          <w:sz w:val="24"/>
          <w:szCs w:val="24"/>
        </w:rPr>
        <w:tab/>
      </w:r>
      <w:r w:rsidR="00ED1ED2">
        <w:rPr>
          <w:rFonts w:ascii="Verdana" w:hAnsi="Verdana" w:cs="Tahoma"/>
          <w:b/>
          <w:sz w:val="24"/>
          <w:szCs w:val="24"/>
        </w:rPr>
        <w:t xml:space="preserve">FOUR POINTS </w:t>
      </w:r>
      <w:r w:rsidR="00ED1ED2" w:rsidRPr="00ED1ED2">
        <w:rPr>
          <w:rFonts w:ascii="Verdana" w:hAnsi="Verdana" w:cs="Tahoma"/>
          <w:b/>
          <w:i/>
          <w:sz w:val="24"/>
          <w:szCs w:val="24"/>
        </w:rPr>
        <w:t>IN LIMINE</w:t>
      </w:r>
      <w:r w:rsidR="00ED1ED2">
        <w:rPr>
          <w:rFonts w:ascii="Verdana" w:hAnsi="Verdana" w:cs="Tahoma"/>
          <w:b/>
          <w:sz w:val="24"/>
          <w:szCs w:val="24"/>
        </w:rPr>
        <w:t xml:space="preserve"> </w:t>
      </w:r>
      <w:r w:rsidR="00ED1ED2" w:rsidRPr="00ED1ED2">
        <w:rPr>
          <w:rFonts w:ascii="Verdana" w:hAnsi="Verdana" w:cs="Tahoma"/>
          <w:b/>
          <w:sz w:val="24"/>
          <w:szCs w:val="24"/>
        </w:rPr>
        <w:t xml:space="preserve">WERE </w:t>
      </w:r>
      <w:r w:rsidR="00ED1ED2">
        <w:rPr>
          <w:rFonts w:ascii="Verdana" w:hAnsi="Verdana" w:cs="Tahoma"/>
          <w:b/>
          <w:sz w:val="24"/>
          <w:szCs w:val="24"/>
        </w:rPr>
        <w:t>RAISED</w:t>
      </w:r>
    </w:p>
    <w:p w14:paraId="6E132A51" w14:textId="77777777" w:rsidR="003F1C83" w:rsidRPr="003F1C83" w:rsidRDefault="00ED1ED2" w:rsidP="00231C7F">
      <w:pPr>
        <w:tabs>
          <w:tab w:val="left" w:pos="851"/>
          <w:tab w:val="left" w:pos="1701"/>
          <w:tab w:val="left" w:pos="2552"/>
          <w:tab w:val="right" w:pos="8931"/>
        </w:tabs>
        <w:spacing w:line="360" w:lineRule="auto"/>
        <w:ind w:left="851" w:hanging="851"/>
        <w:jc w:val="both"/>
        <w:rPr>
          <w:rFonts w:ascii="Verdana" w:hAnsi="Verdana" w:cs="Tahoma"/>
          <w:sz w:val="24"/>
          <w:szCs w:val="24"/>
          <w:u w:val="single"/>
        </w:rPr>
      </w:pPr>
      <w:r>
        <w:rPr>
          <w:rFonts w:ascii="Verdana" w:hAnsi="Verdana" w:cs="Tahoma"/>
          <w:b/>
          <w:sz w:val="24"/>
          <w:szCs w:val="24"/>
        </w:rPr>
        <w:tab/>
      </w:r>
      <w:r w:rsidR="003F1C83" w:rsidRPr="003F1C83">
        <w:rPr>
          <w:rFonts w:ascii="Verdana" w:hAnsi="Verdana" w:cs="Tahoma"/>
          <w:sz w:val="24"/>
          <w:szCs w:val="24"/>
          <w:u w:val="single"/>
        </w:rPr>
        <w:t xml:space="preserve">The first point </w:t>
      </w:r>
      <w:r w:rsidR="003F1C83" w:rsidRPr="003F1C83">
        <w:rPr>
          <w:rFonts w:ascii="Verdana" w:hAnsi="Verdana" w:cs="Tahoma"/>
          <w:i/>
          <w:sz w:val="24"/>
          <w:szCs w:val="24"/>
          <w:u w:val="single"/>
        </w:rPr>
        <w:t>in limine</w:t>
      </w:r>
      <w:r w:rsidR="003F1C83" w:rsidRPr="003F1C83">
        <w:rPr>
          <w:rFonts w:ascii="Verdana" w:hAnsi="Verdana" w:cs="Tahoma"/>
          <w:sz w:val="24"/>
          <w:szCs w:val="24"/>
          <w:u w:val="single"/>
        </w:rPr>
        <w:t xml:space="preserve">: Whether the Magistrates Court has Exclusive jurisdiction to adjudicate </w:t>
      </w:r>
      <w:r>
        <w:rPr>
          <w:rFonts w:ascii="Verdana" w:hAnsi="Verdana" w:cs="Tahoma"/>
          <w:sz w:val="24"/>
          <w:szCs w:val="24"/>
          <w:u w:val="single"/>
        </w:rPr>
        <w:t xml:space="preserve">the matter </w:t>
      </w:r>
      <w:r w:rsidR="003F1C83" w:rsidRPr="003F1C83">
        <w:rPr>
          <w:rFonts w:ascii="Verdana" w:hAnsi="Verdana" w:cs="Tahoma"/>
          <w:sz w:val="24"/>
          <w:szCs w:val="24"/>
          <w:u w:val="single"/>
        </w:rPr>
        <w:t>in terms of s 69(3) of the Insolvency Act or not</w:t>
      </w:r>
    </w:p>
    <w:p w14:paraId="704B6A92" w14:textId="77777777" w:rsidR="002C6107" w:rsidRDefault="00717F1E"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w:t>
      </w:r>
      <w:r w:rsidR="00BD6D00">
        <w:rPr>
          <w:rFonts w:ascii="Verdana" w:hAnsi="Verdana" w:cs="Tahoma"/>
          <w:sz w:val="24"/>
          <w:szCs w:val="24"/>
        </w:rPr>
        <w:t>2</w:t>
      </w:r>
      <w:r w:rsidR="00BA6D9D">
        <w:rPr>
          <w:rFonts w:ascii="Verdana" w:hAnsi="Verdana" w:cs="Tahoma"/>
          <w:sz w:val="24"/>
          <w:szCs w:val="24"/>
        </w:rPr>
        <w:t>]</w:t>
      </w:r>
      <w:r w:rsidR="00BA6D9D">
        <w:rPr>
          <w:rFonts w:ascii="Verdana" w:hAnsi="Verdana" w:cs="Tahoma"/>
          <w:sz w:val="24"/>
          <w:szCs w:val="24"/>
        </w:rPr>
        <w:tab/>
      </w:r>
      <w:r w:rsidR="003F1C83">
        <w:rPr>
          <w:rFonts w:ascii="Verdana" w:hAnsi="Verdana" w:cs="Tahoma"/>
          <w:sz w:val="24"/>
          <w:szCs w:val="24"/>
        </w:rPr>
        <w:t>Section 69 stipulates:</w:t>
      </w:r>
    </w:p>
    <w:p w14:paraId="18445AB4" w14:textId="77777777" w:rsidR="0063016C" w:rsidRDefault="003F1C83"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r>
      <w:r>
        <w:rPr>
          <w:rFonts w:ascii="Verdana" w:hAnsi="Verdana" w:cs="Tahoma"/>
          <w:i/>
          <w:sz w:val="24"/>
          <w:szCs w:val="24"/>
        </w:rPr>
        <w:t>“</w:t>
      </w:r>
      <w:r w:rsidR="0063016C">
        <w:rPr>
          <w:rFonts w:ascii="Verdana" w:hAnsi="Verdana" w:cs="Tahoma"/>
          <w:i/>
          <w:sz w:val="24"/>
          <w:szCs w:val="24"/>
        </w:rPr>
        <w:t xml:space="preserve">(1) A trustee shall, as soon as possible after his appointment, but not before the deputy-sheriff has made the inventory referred to in sub-section (1) of section nineteen, take into his possession or under his control all movable property, books and documents belonging to the estate of which he is trustee and shall furnish the Master with a valuation of such movable property by an appraiser appointed under </w:t>
      </w:r>
      <w:r w:rsidR="0063016C">
        <w:rPr>
          <w:rFonts w:ascii="Verdana" w:hAnsi="Verdana" w:cs="Tahoma"/>
          <w:i/>
          <w:sz w:val="24"/>
          <w:szCs w:val="24"/>
        </w:rPr>
        <w:lastRenderedPageBreak/>
        <w:t>any law relating to the administration of the estates of deceased persons or by a person approved by the Master for the purpose.</w:t>
      </w:r>
    </w:p>
    <w:p w14:paraId="11586204" w14:textId="77777777" w:rsidR="0063016C" w:rsidRDefault="0063016C"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i/>
          <w:sz w:val="24"/>
          <w:szCs w:val="24"/>
        </w:rPr>
        <w:tab/>
        <w:t>(2) If the trustee has reason to believe that any such property, book or document is concealed or otherwise unlawfully withheld from him, he may apply to the magistrate having jurisdiction for a search warrant mentioned in sub-section (3).</w:t>
      </w:r>
    </w:p>
    <w:p w14:paraId="06B4F6E4" w14:textId="77777777" w:rsidR="003F1C83" w:rsidRDefault="0063016C"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i/>
          <w:sz w:val="24"/>
          <w:szCs w:val="24"/>
        </w:rPr>
        <w:tab/>
      </w:r>
      <w:r w:rsidR="003F1C83">
        <w:rPr>
          <w:rFonts w:ascii="Verdana" w:hAnsi="Verdana" w:cs="Tahoma"/>
          <w:i/>
          <w:sz w:val="24"/>
          <w:szCs w:val="24"/>
        </w:rPr>
        <w:t>(3) If it appears to a magistrate to whom such application is made, from a statement made upon oath, that there are reasonable grounds for suspecting that any property, book or document belonging to an insolvent estate is concealed upon any person, or at any place or upon or in any vehicle or vessel or receptacle of whatever nature, or is otherwise unlawfully withheld from the trustee concerned, within the area of the magistrate’s jurisdiction, he may issue a warrant to search for and take possession of that property, book or document.”</w:t>
      </w:r>
    </w:p>
    <w:p w14:paraId="67704E96" w14:textId="77777777" w:rsidR="0063016C" w:rsidRPr="003F1C83" w:rsidRDefault="0063016C"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5A83AE73" w14:textId="77777777" w:rsidR="00DD53A4" w:rsidRDefault="007B73A8"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w:t>
      </w:r>
      <w:r w:rsidR="00BD6D00">
        <w:rPr>
          <w:rFonts w:ascii="Verdana" w:hAnsi="Verdana" w:cs="Tahoma"/>
          <w:sz w:val="24"/>
          <w:szCs w:val="24"/>
        </w:rPr>
        <w:t>3</w:t>
      </w:r>
      <w:r>
        <w:rPr>
          <w:rFonts w:ascii="Verdana" w:hAnsi="Verdana" w:cs="Tahoma"/>
          <w:sz w:val="24"/>
          <w:szCs w:val="24"/>
        </w:rPr>
        <w:t>]</w:t>
      </w:r>
      <w:r>
        <w:rPr>
          <w:rFonts w:ascii="Verdana" w:hAnsi="Verdana" w:cs="Tahoma"/>
          <w:sz w:val="24"/>
          <w:szCs w:val="24"/>
        </w:rPr>
        <w:tab/>
      </w:r>
      <w:r w:rsidR="00A01704" w:rsidRPr="00A01704">
        <w:rPr>
          <w:rFonts w:ascii="Verdana" w:hAnsi="Verdana" w:cs="Tahoma"/>
          <w:sz w:val="24"/>
          <w:szCs w:val="24"/>
        </w:rPr>
        <w:t xml:space="preserve"> </w:t>
      </w:r>
      <w:r w:rsidR="00FE2B3E">
        <w:rPr>
          <w:rFonts w:ascii="Verdana" w:hAnsi="Verdana" w:cs="Tahoma"/>
          <w:sz w:val="24"/>
          <w:szCs w:val="24"/>
        </w:rPr>
        <w:t xml:space="preserve">In his answering affidavit, Mr Arno Kock, a director of the respondent, contended that s 69(2) requires the applicant to apply to the Magistrate </w:t>
      </w:r>
      <w:r w:rsidR="00DD53A4">
        <w:rPr>
          <w:rFonts w:ascii="Verdana" w:hAnsi="Verdana" w:cs="Tahoma"/>
          <w:sz w:val="24"/>
          <w:szCs w:val="24"/>
        </w:rPr>
        <w:t xml:space="preserve">having jurisdiction for a search warrant </w:t>
      </w:r>
      <w:r w:rsidR="00FE2B3E">
        <w:rPr>
          <w:rFonts w:ascii="Verdana" w:hAnsi="Verdana" w:cs="Tahoma"/>
          <w:sz w:val="24"/>
          <w:szCs w:val="24"/>
        </w:rPr>
        <w:t xml:space="preserve">if there is reason to believe that </w:t>
      </w:r>
      <w:r w:rsidR="00DD53A4">
        <w:rPr>
          <w:rFonts w:ascii="Verdana" w:hAnsi="Verdana" w:cs="Tahoma"/>
          <w:sz w:val="24"/>
          <w:szCs w:val="24"/>
        </w:rPr>
        <w:t xml:space="preserve">any </w:t>
      </w:r>
      <w:r w:rsidR="00FE2B3E">
        <w:rPr>
          <w:rFonts w:ascii="Verdana" w:hAnsi="Verdana" w:cs="Tahoma"/>
          <w:sz w:val="24"/>
          <w:szCs w:val="24"/>
        </w:rPr>
        <w:t>property</w:t>
      </w:r>
      <w:r w:rsidR="00DD53A4">
        <w:rPr>
          <w:rFonts w:ascii="Verdana" w:hAnsi="Verdana" w:cs="Tahoma"/>
          <w:sz w:val="24"/>
          <w:szCs w:val="24"/>
        </w:rPr>
        <w:t xml:space="preserve">, book or document belonging to the insolvent estate is concealed or unlawfully withheld. He further contended that s 69(3) specifically authorises the Magistrate to issue a warrant to search for and take possession of the property belonging to the insolvent estate and for that reason, the Magistrate has exclusive jurisdiction in terms of s 69 and the relief sought by the applicants falls outside the jurisdiction of the High Court. </w:t>
      </w:r>
    </w:p>
    <w:p w14:paraId="08C86971" w14:textId="77777777" w:rsidR="00DD53A4" w:rsidRDefault="00DD53A4"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0B81CA9A" w14:textId="77777777" w:rsidR="008E11D1" w:rsidRDefault="00DD53A4"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w:t>
      </w:r>
      <w:r w:rsidR="00BD6D00">
        <w:rPr>
          <w:rFonts w:ascii="Verdana" w:hAnsi="Verdana" w:cs="Tahoma"/>
          <w:sz w:val="24"/>
          <w:szCs w:val="24"/>
        </w:rPr>
        <w:t>4</w:t>
      </w:r>
      <w:r>
        <w:rPr>
          <w:rFonts w:ascii="Verdana" w:hAnsi="Verdana" w:cs="Tahoma"/>
          <w:sz w:val="24"/>
          <w:szCs w:val="24"/>
        </w:rPr>
        <w:t>]</w:t>
      </w:r>
      <w:r>
        <w:rPr>
          <w:rFonts w:ascii="Verdana" w:hAnsi="Verdana" w:cs="Tahoma"/>
          <w:sz w:val="24"/>
          <w:szCs w:val="24"/>
        </w:rPr>
        <w:tab/>
      </w:r>
      <w:r w:rsidR="0063016C">
        <w:rPr>
          <w:rFonts w:ascii="Verdana" w:hAnsi="Verdana" w:cs="Tahoma"/>
          <w:sz w:val="24"/>
          <w:szCs w:val="24"/>
        </w:rPr>
        <w:t xml:space="preserve">Mr Van Rensberg, for the respondent, contended that the Act gives </w:t>
      </w:r>
      <w:r w:rsidR="00B024E4">
        <w:rPr>
          <w:rFonts w:ascii="Verdana" w:hAnsi="Verdana" w:cs="Tahoma"/>
          <w:sz w:val="24"/>
          <w:szCs w:val="24"/>
        </w:rPr>
        <w:t>exclusive</w:t>
      </w:r>
      <w:r w:rsidR="0063016C">
        <w:rPr>
          <w:rFonts w:ascii="Verdana" w:hAnsi="Verdana" w:cs="Tahoma"/>
          <w:sz w:val="24"/>
          <w:szCs w:val="24"/>
        </w:rPr>
        <w:t xml:space="preserve"> jurisdiction to the Magistrate </w:t>
      </w:r>
      <w:r w:rsidR="00B024E4">
        <w:rPr>
          <w:rFonts w:ascii="Verdana" w:hAnsi="Verdana" w:cs="Tahoma"/>
          <w:sz w:val="24"/>
          <w:szCs w:val="24"/>
        </w:rPr>
        <w:t>to adjudicate over applications in terms of s 69(3) and the applicant</w:t>
      </w:r>
      <w:r w:rsidR="00D03782">
        <w:rPr>
          <w:rFonts w:ascii="Verdana" w:hAnsi="Verdana" w:cs="Tahoma"/>
          <w:sz w:val="24"/>
          <w:szCs w:val="24"/>
        </w:rPr>
        <w:t>s</w:t>
      </w:r>
      <w:r w:rsidR="00B024E4">
        <w:rPr>
          <w:rFonts w:ascii="Verdana" w:hAnsi="Verdana" w:cs="Tahoma"/>
          <w:sz w:val="24"/>
          <w:szCs w:val="24"/>
        </w:rPr>
        <w:t xml:space="preserve"> ha</w:t>
      </w:r>
      <w:r w:rsidR="00D03782">
        <w:rPr>
          <w:rFonts w:ascii="Verdana" w:hAnsi="Verdana" w:cs="Tahoma"/>
          <w:sz w:val="24"/>
          <w:szCs w:val="24"/>
        </w:rPr>
        <w:t>ve</w:t>
      </w:r>
      <w:r w:rsidR="00B024E4">
        <w:rPr>
          <w:rFonts w:ascii="Verdana" w:hAnsi="Verdana" w:cs="Tahoma"/>
          <w:sz w:val="24"/>
          <w:szCs w:val="24"/>
        </w:rPr>
        <w:t xml:space="preserve"> not furnished any reasons why they approached the High Court for the </w:t>
      </w:r>
      <w:r w:rsidR="00B024E4">
        <w:rPr>
          <w:rFonts w:ascii="Verdana" w:hAnsi="Verdana" w:cs="Tahoma"/>
          <w:sz w:val="24"/>
          <w:szCs w:val="24"/>
        </w:rPr>
        <w:lastRenderedPageBreak/>
        <w:t xml:space="preserve">relief sought. </w:t>
      </w:r>
      <w:r w:rsidR="0063016C">
        <w:rPr>
          <w:rFonts w:ascii="Verdana" w:hAnsi="Verdana" w:cs="Tahoma"/>
          <w:sz w:val="24"/>
          <w:szCs w:val="24"/>
        </w:rPr>
        <w:t xml:space="preserve"> </w:t>
      </w:r>
      <w:r w:rsidR="00DA2BCF">
        <w:rPr>
          <w:rFonts w:ascii="Verdana" w:hAnsi="Verdana" w:cs="Tahoma"/>
          <w:sz w:val="24"/>
          <w:szCs w:val="24"/>
        </w:rPr>
        <w:t xml:space="preserve">The respondent’s interpretation of s 69(3) implies that the jurisdiction of the High Court is ousted. </w:t>
      </w:r>
    </w:p>
    <w:p w14:paraId="0D46326A" w14:textId="77777777" w:rsidR="00DA2BCF" w:rsidRDefault="00DA2BCF"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5908D663" w14:textId="77777777" w:rsidR="00DA2BCF" w:rsidRDefault="00DA2BCF"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w:t>
      </w:r>
      <w:r w:rsidR="00BD6D00">
        <w:rPr>
          <w:rFonts w:ascii="Verdana" w:hAnsi="Verdana" w:cs="Tahoma"/>
          <w:sz w:val="24"/>
          <w:szCs w:val="24"/>
        </w:rPr>
        <w:t>5</w:t>
      </w:r>
      <w:r>
        <w:rPr>
          <w:rFonts w:ascii="Verdana" w:hAnsi="Verdana" w:cs="Tahoma"/>
          <w:sz w:val="24"/>
          <w:szCs w:val="24"/>
        </w:rPr>
        <w:t>]</w:t>
      </w:r>
      <w:r>
        <w:rPr>
          <w:rFonts w:ascii="Verdana" w:hAnsi="Verdana" w:cs="Tahoma"/>
          <w:sz w:val="24"/>
          <w:szCs w:val="24"/>
        </w:rPr>
        <w:tab/>
        <w:t xml:space="preserve">Mr Carstens, for the applicants, relied on </w:t>
      </w:r>
      <w:r>
        <w:rPr>
          <w:rFonts w:ascii="Verdana" w:hAnsi="Verdana" w:cs="Tahoma"/>
          <w:i/>
          <w:sz w:val="24"/>
          <w:szCs w:val="24"/>
        </w:rPr>
        <w:t>Richards Bay Bulk Storage (Pty) Ltd v Minister of Public Enterprises</w:t>
      </w:r>
      <w:r>
        <w:rPr>
          <w:rStyle w:val="FootnoteReference"/>
          <w:rFonts w:ascii="Verdana" w:hAnsi="Verdana" w:cs="Tahoma"/>
          <w:i/>
          <w:sz w:val="24"/>
          <w:szCs w:val="24"/>
        </w:rPr>
        <w:footnoteReference w:id="4"/>
      </w:r>
      <w:r w:rsidR="00F7334A">
        <w:rPr>
          <w:rFonts w:ascii="Verdana" w:hAnsi="Verdana" w:cs="Tahoma"/>
          <w:i/>
          <w:sz w:val="24"/>
          <w:szCs w:val="24"/>
        </w:rPr>
        <w:t xml:space="preserve"> </w:t>
      </w:r>
      <w:r w:rsidR="00F7334A">
        <w:rPr>
          <w:rFonts w:ascii="Verdana" w:hAnsi="Verdana" w:cs="Tahoma"/>
          <w:sz w:val="24"/>
          <w:szCs w:val="24"/>
        </w:rPr>
        <w:t xml:space="preserve"> where EM Grosskopf JA, writing for the unanimous court, said:</w:t>
      </w:r>
    </w:p>
    <w:p w14:paraId="4315718D" w14:textId="77777777" w:rsidR="00F7334A" w:rsidRDefault="00F7334A"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r>
      <w:r>
        <w:rPr>
          <w:rFonts w:ascii="Verdana" w:hAnsi="Verdana" w:cs="Tahoma"/>
          <w:i/>
          <w:sz w:val="24"/>
          <w:szCs w:val="24"/>
        </w:rPr>
        <w:t>“The question at issue is therefore whether the Court a quo had jurisdiction to hear the review application. This in turn depends on whether the Act excluded such jurisdiction. The Act does not do so in express terms, and the question then is whether it contains an implication to that effect. The parties were ad idem that there is a strong presumption against such an implication:</w:t>
      </w:r>
    </w:p>
    <w:p w14:paraId="28B2030B" w14:textId="77777777" w:rsidR="00F7334A" w:rsidRPr="00F7334A" w:rsidRDefault="00F7334A"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i/>
          <w:sz w:val="24"/>
          <w:szCs w:val="24"/>
        </w:rPr>
        <w:tab/>
        <w:t>‘…(T)he Court’s jurisdiction is excluded only if that conclusion flows by necessary implication from the particular provisions under consideration, and then only to the extent indicated by such necessary implication…’”</w:t>
      </w:r>
    </w:p>
    <w:p w14:paraId="502B8826" w14:textId="77777777" w:rsidR="008E11D1" w:rsidRDefault="008E11D1"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3112FAC3" w14:textId="77777777" w:rsidR="00A01704" w:rsidRDefault="008E11D1"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[16]</w:t>
      </w:r>
      <w:r>
        <w:rPr>
          <w:rFonts w:ascii="Verdana" w:hAnsi="Verdana" w:cs="Tahoma"/>
          <w:sz w:val="24"/>
          <w:szCs w:val="24"/>
        </w:rPr>
        <w:tab/>
      </w:r>
      <w:r w:rsidR="00421801">
        <w:rPr>
          <w:rFonts w:ascii="Verdana" w:hAnsi="Verdana" w:cs="Tahoma"/>
          <w:sz w:val="24"/>
          <w:szCs w:val="24"/>
        </w:rPr>
        <w:t xml:space="preserve">In </w:t>
      </w:r>
      <w:r w:rsidR="00D53679">
        <w:rPr>
          <w:rFonts w:ascii="Verdana" w:hAnsi="Verdana" w:cs="Tahoma"/>
          <w:sz w:val="24"/>
          <w:szCs w:val="24"/>
        </w:rPr>
        <w:t xml:space="preserve"> </w:t>
      </w:r>
      <w:r w:rsidR="00D53679" w:rsidRPr="001F6CD6">
        <w:rPr>
          <w:rFonts w:ascii="Verdana" w:hAnsi="Verdana" w:cs="Tahoma"/>
          <w:bCs/>
          <w:i/>
          <w:sz w:val="24"/>
          <w:szCs w:val="24"/>
        </w:rPr>
        <w:t>Standard Bank of South Africa Ltd And Others v Mpongo And Others</w:t>
      </w:r>
      <w:r w:rsidR="00D53679">
        <w:rPr>
          <w:rStyle w:val="FootnoteReference"/>
          <w:rFonts w:ascii="Verdana" w:hAnsi="Verdana" w:cs="Tahoma"/>
          <w:bCs/>
          <w:i/>
          <w:sz w:val="24"/>
          <w:szCs w:val="24"/>
        </w:rPr>
        <w:footnoteReference w:id="5"/>
      </w:r>
      <w:r w:rsidR="00F80C94">
        <w:rPr>
          <w:rFonts w:ascii="Verdana" w:hAnsi="Verdana" w:cs="Tahoma"/>
          <w:bCs/>
          <w:i/>
          <w:sz w:val="24"/>
          <w:szCs w:val="24"/>
        </w:rPr>
        <w:t xml:space="preserve">, </w:t>
      </w:r>
      <w:r w:rsidR="00D53679" w:rsidRPr="00D53679">
        <w:rPr>
          <w:rFonts w:ascii="Verdana" w:hAnsi="Verdana" w:cs="Tahoma"/>
          <w:b/>
          <w:bCs/>
          <w:sz w:val="24"/>
          <w:szCs w:val="24"/>
        </w:rPr>
        <w:t> </w:t>
      </w:r>
      <w:r w:rsidR="00D53679" w:rsidRPr="00D53679">
        <w:rPr>
          <w:rFonts w:ascii="Verdana" w:hAnsi="Verdana" w:cs="Tahoma"/>
          <w:i/>
          <w:sz w:val="24"/>
          <w:szCs w:val="24"/>
        </w:rPr>
        <w:t xml:space="preserve"> </w:t>
      </w:r>
      <w:r w:rsidR="00D53679">
        <w:rPr>
          <w:rStyle w:val="CommentReference"/>
        </w:rPr>
        <w:commentReference w:id="1"/>
      </w:r>
      <w:r w:rsidRPr="008E11D1">
        <w:rPr>
          <w:rFonts w:ascii="Verdana" w:hAnsi="Verdana" w:cs="Tahoma"/>
          <w:sz w:val="24"/>
          <w:szCs w:val="24"/>
        </w:rPr>
        <w:t>the Supreme Court of Appeal</w:t>
      </w:r>
      <w:r>
        <w:rPr>
          <w:rFonts w:ascii="Verdana" w:hAnsi="Verdana" w:cs="Tahoma"/>
          <w:sz w:val="24"/>
          <w:szCs w:val="24"/>
        </w:rPr>
        <w:t xml:space="preserve"> pronounced:</w:t>
      </w:r>
    </w:p>
    <w:p w14:paraId="402AE654" w14:textId="77777777" w:rsidR="008E11D1" w:rsidRDefault="008E11D1"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r>
      <w:r>
        <w:rPr>
          <w:rFonts w:ascii="Verdana" w:hAnsi="Verdana" w:cs="Tahoma"/>
          <w:i/>
          <w:sz w:val="24"/>
          <w:szCs w:val="24"/>
        </w:rPr>
        <w:t>“</w:t>
      </w:r>
      <w:r w:rsidRPr="008E11D1">
        <w:rPr>
          <w:rFonts w:ascii="Verdana" w:hAnsi="Verdana" w:cs="Tahoma"/>
          <w:i/>
          <w:sz w:val="24"/>
          <w:szCs w:val="24"/>
        </w:rPr>
        <w:t>[69]</w:t>
      </w:r>
      <w:r w:rsidRPr="008E11D1">
        <w:rPr>
          <w:rFonts w:ascii="Verdana" w:hAnsi="Verdana" w:cs="Tahoma"/>
          <w:i/>
          <w:sz w:val="24"/>
          <w:szCs w:val="24"/>
        </w:rPr>
        <w:tab/>
        <w:t xml:space="preserve">The threshold to sustain the proposition that there is an ouster of the High Court’s jurisdiction is very high. In Metcash Trading Ltd v Commissioner, South African Revenue Service and Another, Kriegler J, in the course of determining whether a statute had ousted the jurisdiction, the High Court demonstrated the method of deciding the question. He said that ‘there is nothing in s 36 to suggest that the inherent jurisdiction of a High Court to grant appropriate other or ancillary relief is excluded’ and that the section ‘does not say so expressly nor is such an ouster necessarily implicit </w:t>
      </w:r>
      <w:r w:rsidRPr="008E11D1">
        <w:rPr>
          <w:rFonts w:ascii="Verdana" w:hAnsi="Verdana" w:cs="Tahoma"/>
          <w:i/>
          <w:sz w:val="24"/>
          <w:szCs w:val="24"/>
        </w:rPr>
        <w:lastRenderedPageBreak/>
        <w:t>in its terms, while it is trite that there is a strong presumption against such an implication’.</w:t>
      </w:r>
      <w:r>
        <w:rPr>
          <w:rFonts w:ascii="Verdana" w:hAnsi="Verdana" w:cs="Tahoma"/>
          <w:i/>
          <w:sz w:val="24"/>
          <w:szCs w:val="24"/>
        </w:rPr>
        <w:t>”</w:t>
      </w:r>
    </w:p>
    <w:p w14:paraId="48D2F60A" w14:textId="77777777" w:rsidR="00F7334A" w:rsidRDefault="00F7334A"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6035A915" w14:textId="77777777" w:rsidR="00096C86" w:rsidRDefault="00F7334A"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17</w:t>
      </w:r>
      <w:r>
        <w:rPr>
          <w:rFonts w:ascii="Verdana" w:hAnsi="Verdana" w:cs="Tahoma"/>
          <w:sz w:val="24"/>
          <w:szCs w:val="24"/>
        </w:rPr>
        <w:t>]</w:t>
      </w:r>
      <w:r>
        <w:rPr>
          <w:rFonts w:ascii="Verdana" w:hAnsi="Verdana" w:cs="Tahoma"/>
          <w:sz w:val="24"/>
          <w:szCs w:val="24"/>
        </w:rPr>
        <w:tab/>
      </w:r>
      <w:r w:rsidR="00EA4289">
        <w:rPr>
          <w:rFonts w:ascii="Verdana" w:hAnsi="Verdana" w:cs="Tahoma"/>
          <w:sz w:val="24"/>
          <w:szCs w:val="24"/>
        </w:rPr>
        <w:t xml:space="preserve">The applicants, invoking the unreported judgment by Dlodlo J in </w:t>
      </w:r>
      <w:r w:rsidR="00EA4289">
        <w:rPr>
          <w:rFonts w:ascii="Verdana" w:hAnsi="Verdana" w:cs="Tahoma"/>
          <w:i/>
          <w:sz w:val="24"/>
          <w:szCs w:val="24"/>
        </w:rPr>
        <w:t>Duku N.O. and others v Bermy Packaging (Pty) Ltd</w:t>
      </w:r>
      <w:r w:rsidR="00EA4289">
        <w:rPr>
          <w:rStyle w:val="FootnoteReference"/>
          <w:rFonts w:ascii="Verdana" w:hAnsi="Verdana" w:cs="Tahoma"/>
          <w:i/>
          <w:sz w:val="24"/>
          <w:szCs w:val="24"/>
        </w:rPr>
        <w:footnoteReference w:id="6"/>
      </w:r>
      <w:r w:rsidR="00EA4289">
        <w:rPr>
          <w:rFonts w:ascii="Verdana" w:hAnsi="Verdana" w:cs="Tahoma"/>
          <w:i/>
          <w:sz w:val="24"/>
          <w:szCs w:val="24"/>
        </w:rPr>
        <w:t xml:space="preserve">, </w:t>
      </w:r>
      <w:r w:rsidR="00EA4289">
        <w:rPr>
          <w:rFonts w:ascii="Verdana" w:hAnsi="Verdana" w:cs="Tahoma"/>
          <w:sz w:val="24"/>
          <w:szCs w:val="24"/>
        </w:rPr>
        <w:t xml:space="preserve">submitted that it is permissible to approach the High Court as </w:t>
      </w:r>
      <w:r w:rsidR="00DB66EC">
        <w:rPr>
          <w:rFonts w:ascii="Verdana" w:hAnsi="Verdana" w:cs="Tahoma"/>
          <w:sz w:val="24"/>
          <w:szCs w:val="24"/>
        </w:rPr>
        <w:t xml:space="preserve">a </w:t>
      </w:r>
      <w:r w:rsidR="00EA4289">
        <w:rPr>
          <w:rFonts w:ascii="Verdana" w:hAnsi="Verdana" w:cs="Tahoma"/>
          <w:sz w:val="24"/>
          <w:szCs w:val="24"/>
        </w:rPr>
        <w:t>court of first instance in seeking redress under s 69(3). It is further not in dispute that the High Court’s jurisdiction is vested in terms of s 169(1) of the Constitution of the Republic of South Africa read with s 21 of the Superior Courts Act</w:t>
      </w:r>
      <w:r w:rsidR="00EA4289">
        <w:rPr>
          <w:rStyle w:val="FootnoteReference"/>
          <w:rFonts w:ascii="Verdana" w:hAnsi="Verdana" w:cs="Tahoma"/>
          <w:sz w:val="24"/>
          <w:szCs w:val="24"/>
        </w:rPr>
        <w:footnoteReference w:id="7"/>
      </w:r>
      <w:r w:rsidR="00096C86">
        <w:rPr>
          <w:rFonts w:ascii="Verdana" w:hAnsi="Verdana" w:cs="Tahoma"/>
          <w:sz w:val="24"/>
          <w:szCs w:val="24"/>
        </w:rPr>
        <w:t xml:space="preserve"> which stipulates:</w:t>
      </w:r>
    </w:p>
    <w:p w14:paraId="05A48777" w14:textId="77777777" w:rsidR="00096C86" w:rsidRDefault="00096C86" w:rsidP="00C228BC">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r>
      <w:r w:rsidR="00EA4289">
        <w:rPr>
          <w:rFonts w:ascii="Verdana" w:hAnsi="Verdana" w:cs="Tahoma"/>
          <w:sz w:val="24"/>
          <w:szCs w:val="24"/>
        </w:rPr>
        <w:t xml:space="preserve"> </w:t>
      </w:r>
      <w:r>
        <w:rPr>
          <w:rFonts w:ascii="Verdana" w:hAnsi="Verdana" w:cs="Tahoma"/>
          <w:i/>
          <w:sz w:val="24"/>
          <w:szCs w:val="24"/>
        </w:rPr>
        <w:t>“</w:t>
      </w:r>
      <w:r w:rsidRPr="00096C86">
        <w:rPr>
          <w:rFonts w:ascii="Verdana" w:hAnsi="Verdana" w:cs="Tahoma"/>
          <w:b/>
          <w:i/>
          <w:sz w:val="24"/>
          <w:szCs w:val="24"/>
        </w:rPr>
        <w:t>Persons over whom and matters in relation to which Divisions have jurisdiction</w:t>
      </w:r>
      <w:r>
        <w:rPr>
          <w:rFonts w:ascii="Verdana" w:hAnsi="Verdana" w:cs="Tahoma"/>
          <w:i/>
          <w:sz w:val="24"/>
          <w:szCs w:val="24"/>
        </w:rPr>
        <w:t xml:space="preserve">.- (1) A Division has jurisdiction over all persons residing or being in, and in relation to all causes arising and all offences triable within, its area of jurisdiction and all other matters of which it may according to law take cognisance, and has the power – </w:t>
      </w:r>
    </w:p>
    <w:p w14:paraId="13ED84E0" w14:textId="77777777" w:rsidR="00096C86" w:rsidRDefault="00096C86" w:rsidP="00096C86">
      <w:pPr>
        <w:pStyle w:val="ListParagraph"/>
        <w:numPr>
          <w:ilvl w:val="0"/>
          <w:numId w:val="21"/>
        </w:numPr>
        <w:tabs>
          <w:tab w:val="left" w:pos="851"/>
          <w:tab w:val="left" w:pos="1701"/>
          <w:tab w:val="left" w:pos="2552"/>
          <w:tab w:val="right" w:pos="8931"/>
        </w:tabs>
        <w:spacing w:line="360" w:lineRule="auto"/>
        <w:jc w:val="both"/>
        <w:rPr>
          <w:rFonts w:ascii="Verdana" w:hAnsi="Verdana" w:cs="Tahoma"/>
          <w:i/>
          <w:sz w:val="24"/>
          <w:szCs w:val="24"/>
        </w:rPr>
      </w:pPr>
      <w:r>
        <w:rPr>
          <w:rFonts w:ascii="Verdana" w:hAnsi="Verdana" w:cs="Tahoma"/>
          <w:i/>
          <w:sz w:val="24"/>
          <w:szCs w:val="24"/>
        </w:rPr>
        <w:t>to hear and determine appeals from all Magistrates’ Courts within its area of jurisdiction;</w:t>
      </w:r>
    </w:p>
    <w:p w14:paraId="1A0F3209" w14:textId="77777777" w:rsidR="00096C86" w:rsidRDefault="00096C86" w:rsidP="00096C86">
      <w:pPr>
        <w:pStyle w:val="ListParagraph"/>
        <w:numPr>
          <w:ilvl w:val="0"/>
          <w:numId w:val="21"/>
        </w:numPr>
        <w:tabs>
          <w:tab w:val="left" w:pos="851"/>
          <w:tab w:val="left" w:pos="1701"/>
          <w:tab w:val="left" w:pos="2552"/>
          <w:tab w:val="right" w:pos="8931"/>
        </w:tabs>
        <w:spacing w:line="360" w:lineRule="auto"/>
        <w:jc w:val="both"/>
        <w:rPr>
          <w:rFonts w:ascii="Verdana" w:hAnsi="Verdana" w:cs="Tahoma"/>
          <w:i/>
          <w:sz w:val="24"/>
          <w:szCs w:val="24"/>
        </w:rPr>
      </w:pPr>
      <w:r>
        <w:rPr>
          <w:rFonts w:ascii="Verdana" w:hAnsi="Verdana" w:cs="Tahoma"/>
          <w:i/>
          <w:sz w:val="24"/>
          <w:szCs w:val="24"/>
        </w:rPr>
        <w:t>to review the proceedings of all such courts;</w:t>
      </w:r>
    </w:p>
    <w:p w14:paraId="53FF40A3" w14:textId="77777777" w:rsidR="00096C86" w:rsidRPr="00096C86" w:rsidRDefault="00096C86" w:rsidP="00096C86">
      <w:pPr>
        <w:pStyle w:val="ListParagraph"/>
        <w:numPr>
          <w:ilvl w:val="0"/>
          <w:numId w:val="21"/>
        </w:numPr>
        <w:tabs>
          <w:tab w:val="left" w:pos="851"/>
          <w:tab w:val="left" w:pos="1701"/>
          <w:tab w:val="left" w:pos="2552"/>
          <w:tab w:val="right" w:pos="8931"/>
        </w:tabs>
        <w:spacing w:line="360" w:lineRule="auto"/>
        <w:jc w:val="both"/>
        <w:rPr>
          <w:rFonts w:ascii="Verdana" w:hAnsi="Verdana" w:cs="Tahoma"/>
          <w:i/>
          <w:sz w:val="24"/>
          <w:szCs w:val="24"/>
        </w:rPr>
      </w:pPr>
      <w:r>
        <w:rPr>
          <w:rFonts w:ascii="Verdana" w:hAnsi="Verdana" w:cs="Tahoma"/>
          <w:i/>
          <w:sz w:val="24"/>
          <w:szCs w:val="24"/>
        </w:rPr>
        <w:t>in its discretion, and at the instance of any interested person, to enquire into and determine any existing, future or contingent right or obligation, notwithstanding that such person cannot claim any relief consequential upon the determination.”</w:t>
      </w:r>
    </w:p>
    <w:p w14:paraId="025F7DFE" w14:textId="77777777" w:rsidR="00096C86" w:rsidRDefault="00096C86"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24712569" w14:textId="77777777" w:rsidR="00D03782" w:rsidRDefault="00096C86" w:rsidP="00C228B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E169B0">
        <w:rPr>
          <w:rFonts w:ascii="Verdana" w:hAnsi="Verdana" w:cs="Tahoma"/>
          <w:sz w:val="24"/>
          <w:szCs w:val="24"/>
        </w:rPr>
        <w:t>18</w:t>
      </w:r>
      <w:r>
        <w:rPr>
          <w:rFonts w:ascii="Verdana" w:hAnsi="Verdana" w:cs="Tahoma"/>
          <w:sz w:val="24"/>
          <w:szCs w:val="24"/>
        </w:rPr>
        <w:t>]</w:t>
      </w:r>
      <w:r>
        <w:rPr>
          <w:rFonts w:ascii="Verdana" w:hAnsi="Verdana" w:cs="Tahoma"/>
          <w:sz w:val="24"/>
          <w:szCs w:val="24"/>
        </w:rPr>
        <w:tab/>
      </w:r>
      <w:r w:rsidR="00EA4289">
        <w:rPr>
          <w:rFonts w:ascii="Verdana" w:hAnsi="Verdana" w:cs="Tahoma"/>
          <w:sz w:val="24"/>
          <w:szCs w:val="24"/>
        </w:rPr>
        <w:t xml:space="preserve">Mr Van Rensburg did not furnish any authority to counter </w:t>
      </w:r>
      <w:r>
        <w:rPr>
          <w:rFonts w:ascii="Verdana" w:hAnsi="Verdana" w:cs="Tahoma"/>
          <w:sz w:val="24"/>
          <w:szCs w:val="24"/>
        </w:rPr>
        <w:t xml:space="preserve">the submission that a litigant may approach this Court as </w:t>
      </w:r>
      <w:r w:rsidR="00DB66EC">
        <w:rPr>
          <w:rFonts w:ascii="Verdana" w:hAnsi="Verdana" w:cs="Tahoma"/>
          <w:sz w:val="24"/>
          <w:szCs w:val="24"/>
        </w:rPr>
        <w:t xml:space="preserve">a </w:t>
      </w:r>
      <w:r>
        <w:rPr>
          <w:rFonts w:ascii="Verdana" w:hAnsi="Verdana" w:cs="Tahoma"/>
          <w:sz w:val="24"/>
          <w:szCs w:val="24"/>
        </w:rPr>
        <w:t>court of first instance</w:t>
      </w:r>
      <w:r w:rsidR="00EA4289">
        <w:rPr>
          <w:rFonts w:ascii="Verdana" w:hAnsi="Verdana" w:cs="Tahoma"/>
          <w:sz w:val="24"/>
          <w:szCs w:val="24"/>
        </w:rPr>
        <w:t xml:space="preserve">.  </w:t>
      </w:r>
      <w:r w:rsidR="00582542">
        <w:rPr>
          <w:rFonts w:ascii="Verdana" w:hAnsi="Verdana" w:cs="Tahoma"/>
          <w:sz w:val="24"/>
          <w:szCs w:val="24"/>
        </w:rPr>
        <w:t xml:space="preserve">I am of the view that s 69(2) of the Insolvency Act does not expressly oust the jurisdiction of the High Court. It can also not </w:t>
      </w:r>
      <w:r w:rsidR="00582542">
        <w:rPr>
          <w:rFonts w:ascii="Verdana" w:hAnsi="Verdana" w:cs="Tahoma"/>
          <w:sz w:val="24"/>
          <w:szCs w:val="24"/>
        </w:rPr>
        <w:lastRenderedPageBreak/>
        <w:t xml:space="preserve">be reasonably inferred from the reading of the section that the High Court’s jurisdiction is ousted by implication. </w:t>
      </w:r>
      <w:r w:rsidR="00F7334A">
        <w:rPr>
          <w:rFonts w:ascii="Verdana" w:hAnsi="Verdana" w:cs="Tahoma"/>
          <w:sz w:val="24"/>
          <w:szCs w:val="24"/>
        </w:rPr>
        <w:tab/>
      </w:r>
      <w:r w:rsidR="008E11D1">
        <w:rPr>
          <w:rFonts w:ascii="Verdana" w:hAnsi="Verdana" w:cs="Tahoma"/>
          <w:sz w:val="24"/>
          <w:szCs w:val="24"/>
        </w:rPr>
        <w:t>It</w:t>
      </w:r>
      <w:r w:rsidR="00CD29BA">
        <w:rPr>
          <w:rFonts w:ascii="Verdana" w:hAnsi="Verdana" w:cs="Tahoma"/>
          <w:sz w:val="24"/>
          <w:szCs w:val="24"/>
        </w:rPr>
        <w:t xml:space="preserve"> </w:t>
      </w:r>
      <w:r w:rsidR="008E11D1">
        <w:rPr>
          <w:rFonts w:ascii="Verdana" w:hAnsi="Verdana" w:cs="Tahoma"/>
          <w:sz w:val="24"/>
          <w:szCs w:val="24"/>
        </w:rPr>
        <w:t>therefore follows that the High Court, having inherent jurisdiction, cannot refuse to hear a matter that is within its jurisdiction. In my view</w:t>
      </w:r>
      <w:r w:rsidR="00DB66EC">
        <w:rPr>
          <w:rFonts w:ascii="Verdana" w:hAnsi="Verdana" w:cs="Tahoma"/>
          <w:sz w:val="24"/>
          <w:szCs w:val="24"/>
        </w:rPr>
        <w:t>,</w:t>
      </w:r>
      <w:r w:rsidR="008E11D1">
        <w:rPr>
          <w:rFonts w:ascii="Verdana" w:hAnsi="Verdana" w:cs="Tahoma"/>
          <w:sz w:val="24"/>
          <w:szCs w:val="24"/>
        </w:rPr>
        <w:t xml:space="preserve"> the fact that the applicants did not apply to the Magistrates Court cannot be used as an impediment to non-suit them. </w:t>
      </w:r>
    </w:p>
    <w:p w14:paraId="23B4E01A" w14:textId="77777777" w:rsidR="008E11D1" w:rsidRPr="00D03782" w:rsidRDefault="00D03782" w:rsidP="00C228BC">
      <w:pPr>
        <w:tabs>
          <w:tab w:val="left" w:pos="851"/>
          <w:tab w:val="left" w:pos="1701"/>
          <w:tab w:val="left" w:pos="2552"/>
          <w:tab w:val="right" w:pos="8931"/>
        </w:tabs>
        <w:spacing w:line="360" w:lineRule="auto"/>
        <w:ind w:left="851" w:hanging="851"/>
        <w:jc w:val="both"/>
        <w:rPr>
          <w:rFonts w:ascii="Verdana" w:hAnsi="Verdana" w:cs="Tahoma"/>
          <w:b/>
          <w:sz w:val="24"/>
          <w:szCs w:val="24"/>
        </w:rPr>
      </w:pPr>
      <w:r>
        <w:rPr>
          <w:rFonts w:ascii="Verdana" w:hAnsi="Verdana" w:cs="Tahoma"/>
          <w:sz w:val="24"/>
          <w:szCs w:val="24"/>
        </w:rPr>
        <w:tab/>
      </w:r>
      <w:r w:rsidR="008E11D1" w:rsidRPr="00D03782">
        <w:rPr>
          <w:rFonts w:ascii="Verdana" w:hAnsi="Verdana" w:cs="Tahoma"/>
          <w:b/>
          <w:sz w:val="24"/>
          <w:szCs w:val="24"/>
        </w:rPr>
        <w:t xml:space="preserve">It therefore follows that the contention by the respondent that the Magistrates Court has exclusive jurisdiction stands to fail. </w:t>
      </w:r>
    </w:p>
    <w:p w14:paraId="6D05FD57" w14:textId="77777777" w:rsidR="00EF3422" w:rsidRPr="00D03782" w:rsidRDefault="00EF3422" w:rsidP="00C228BC">
      <w:pPr>
        <w:tabs>
          <w:tab w:val="left" w:pos="851"/>
          <w:tab w:val="left" w:pos="1701"/>
          <w:tab w:val="left" w:pos="2552"/>
          <w:tab w:val="right" w:pos="8931"/>
        </w:tabs>
        <w:spacing w:line="360" w:lineRule="auto"/>
        <w:ind w:left="851" w:hanging="851"/>
        <w:jc w:val="both"/>
        <w:rPr>
          <w:rFonts w:ascii="Verdana" w:hAnsi="Verdana" w:cs="Tahoma"/>
          <w:b/>
          <w:sz w:val="24"/>
          <w:szCs w:val="24"/>
        </w:rPr>
      </w:pPr>
    </w:p>
    <w:p w14:paraId="19D4DFC7" w14:textId="77777777" w:rsidR="00E3787F" w:rsidRPr="00CD29BA" w:rsidRDefault="00CD29BA" w:rsidP="00231C7F">
      <w:pPr>
        <w:tabs>
          <w:tab w:val="left" w:pos="851"/>
          <w:tab w:val="left" w:pos="1701"/>
          <w:tab w:val="left" w:pos="2552"/>
          <w:tab w:val="right" w:pos="8931"/>
        </w:tabs>
        <w:spacing w:line="360" w:lineRule="auto"/>
        <w:ind w:left="851" w:hanging="851"/>
        <w:jc w:val="both"/>
        <w:rPr>
          <w:rFonts w:ascii="Verdana" w:hAnsi="Verdana" w:cs="Tahoma"/>
          <w:sz w:val="24"/>
          <w:szCs w:val="24"/>
          <w:u w:val="single"/>
        </w:rPr>
      </w:pPr>
      <w:r>
        <w:rPr>
          <w:rFonts w:ascii="Verdana" w:hAnsi="Verdana" w:cs="Tahoma"/>
          <w:sz w:val="24"/>
          <w:szCs w:val="24"/>
        </w:rPr>
        <w:tab/>
      </w:r>
      <w:r>
        <w:rPr>
          <w:rFonts w:ascii="Verdana" w:hAnsi="Verdana" w:cs="Tahoma"/>
          <w:sz w:val="24"/>
          <w:szCs w:val="24"/>
          <w:u w:val="single"/>
        </w:rPr>
        <w:t xml:space="preserve">The second point </w:t>
      </w:r>
      <w:r w:rsidRPr="00CD29BA">
        <w:rPr>
          <w:rFonts w:ascii="Verdana" w:hAnsi="Verdana" w:cs="Tahoma"/>
          <w:i/>
          <w:sz w:val="24"/>
          <w:szCs w:val="24"/>
          <w:u w:val="single"/>
        </w:rPr>
        <w:t>in limine</w:t>
      </w:r>
      <w:r>
        <w:rPr>
          <w:rFonts w:ascii="Verdana" w:hAnsi="Verdana" w:cs="Tahoma"/>
          <w:sz w:val="24"/>
          <w:szCs w:val="24"/>
          <w:u w:val="single"/>
        </w:rPr>
        <w:t xml:space="preserve">: </w:t>
      </w:r>
      <w:r w:rsidRPr="00CD29BA">
        <w:rPr>
          <w:rFonts w:ascii="Verdana" w:hAnsi="Verdana" w:cs="Tahoma"/>
          <w:sz w:val="24"/>
          <w:szCs w:val="24"/>
          <w:u w:val="single"/>
        </w:rPr>
        <w:t>That the applicants failed to comply with s 19(1) of the Insolvency Act</w:t>
      </w:r>
    </w:p>
    <w:p w14:paraId="1699A1CC" w14:textId="77777777" w:rsidR="00844B13" w:rsidRPr="00CD29BA" w:rsidRDefault="00696796" w:rsidP="00844B13">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[1</w:t>
      </w:r>
      <w:r w:rsidR="00E169B0">
        <w:rPr>
          <w:rFonts w:ascii="Verdana" w:hAnsi="Verdana" w:cs="Tahoma"/>
          <w:sz w:val="24"/>
          <w:szCs w:val="24"/>
        </w:rPr>
        <w:t>9</w:t>
      </w:r>
      <w:r>
        <w:rPr>
          <w:rFonts w:ascii="Verdana" w:hAnsi="Verdana" w:cs="Tahoma"/>
          <w:sz w:val="24"/>
          <w:szCs w:val="24"/>
        </w:rPr>
        <w:t>]</w:t>
      </w:r>
      <w:r>
        <w:rPr>
          <w:rFonts w:ascii="Verdana" w:hAnsi="Verdana" w:cs="Tahoma"/>
          <w:sz w:val="24"/>
          <w:szCs w:val="24"/>
        </w:rPr>
        <w:tab/>
      </w:r>
      <w:r w:rsidR="00582542">
        <w:rPr>
          <w:rFonts w:ascii="Verdana" w:hAnsi="Verdana" w:cs="Tahoma"/>
          <w:sz w:val="24"/>
          <w:szCs w:val="24"/>
        </w:rPr>
        <w:t xml:space="preserve"> </w:t>
      </w:r>
      <w:r w:rsidR="00844B13">
        <w:rPr>
          <w:rFonts w:ascii="Verdana" w:hAnsi="Verdana" w:cs="Tahoma"/>
          <w:sz w:val="24"/>
          <w:szCs w:val="24"/>
        </w:rPr>
        <w:t>It was contended on behalf of the respondent that the applicants have failed to comply with s 19(1) of the Insolvency Act in that the deputy sheriff did not conduct an inventory of the movable property, books and documents belonging to the insolvent estate before the applicants approach</w:t>
      </w:r>
      <w:r w:rsidR="00D03782">
        <w:rPr>
          <w:rFonts w:ascii="Verdana" w:hAnsi="Verdana" w:cs="Tahoma"/>
          <w:sz w:val="24"/>
          <w:szCs w:val="24"/>
        </w:rPr>
        <w:t>ed</w:t>
      </w:r>
      <w:r w:rsidR="00844B13">
        <w:rPr>
          <w:rFonts w:ascii="Verdana" w:hAnsi="Verdana" w:cs="Tahoma"/>
          <w:sz w:val="24"/>
          <w:szCs w:val="24"/>
        </w:rPr>
        <w:t xml:space="preserve"> the Court in terms of s 69 of the Insolvency Act. </w:t>
      </w:r>
    </w:p>
    <w:p w14:paraId="1EE0D40C" w14:textId="77777777" w:rsidR="00025318" w:rsidRDefault="00025318" w:rsidP="00231C7F">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32338808" w14:textId="77777777" w:rsidR="00D03782" w:rsidRDefault="00EC7E19"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E169B0">
        <w:rPr>
          <w:rFonts w:ascii="Verdana" w:hAnsi="Verdana" w:cs="Tahoma"/>
          <w:sz w:val="24"/>
          <w:szCs w:val="24"/>
        </w:rPr>
        <w:t>20</w:t>
      </w:r>
      <w:r>
        <w:rPr>
          <w:rFonts w:ascii="Verdana" w:hAnsi="Verdana" w:cs="Tahoma"/>
          <w:sz w:val="24"/>
          <w:szCs w:val="24"/>
        </w:rPr>
        <w:t>]</w:t>
      </w:r>
      <w:r>
        <w:rPr>
          <w:rFonts w:ascii="Verdana" w:hAnsi="Verdana" w:cs="Tahoma"/>
          <w:sz w:val="24"/>
          <w:szCs w:val="24"/>
        </w:rPr>
        <w:tab/>
      </w:r>
      <w:r w:rsidR="00A20BDF">
        <w:rPr>
          <w:rFonts w:ascii="Verdana" w:hAnsi="Verdana" w:cs="Tahoma"/>
          <w:sz w:val="24"/>
          <w:szCs w:val="24"/>
        </w:rPr>
        <w:t xml:space="preserve">In </w:t>
      </w:r>
      <w:r w:rsidR="00D03782" w:rsidRPr="00D03782">
        <w:rPr>
          <w:rFonts w:ascii="Verdana" w:hAnsi="Verdana" w:cs="Tahoma"/>
          <w:sz w:val="24"/>
          <w:szCs w:val="24"/>
        </w:rPr>
        <w:t xml:space="preserve">para 4.1 </w:t>
      </w:r>
      <w:r w:rsidR="00303DAB">
        <w:rPr>
          <w:rFonts w:ascii="Verdana" w:hAnsi="Verdana" w:cs="Tahoma"/>
          <w:sz w:val="24"/>
          <w:szCs w:val="24"/>
        </w:rPr>
        <w:t xml:space="preserve">of </w:t>
      </w:r>
      <w:r w:rsidR="00A20BDF">
        <w:rPr>
          <w:rFonts w:ascii="Verdana" w:hAnsi="Verdana" w:cs="Tahoma"/>
          <w:sz w:val="24"/>
          <w:szCs w:val="24"/>
        </w:rPr>
        <w:t>the applicants’ founding affidavit</w:t>
      </w:r>
      <w:r w:rsidR="00303DAB">
        <w:rPr>
          <w:rFonts w:ascii="Verdana" w:hAnsi="Verdana" w:cs="Tahoma"/>
          <w:sz w:val="24"/>
          <w:szCs w:val="24"/>
        </w:rPr>
        <w:t>,</w:t>
      </w:r>
      <w:r w:rsidR="00D03782">
        <w:rPr>
          <w:rFonts w:ascii="Verdana" w:hAnsi="Verdana" w:cs="Tahoma"/>
          <w:sz w:val="24"/>
          <w:szCs w:val="24"/>
        </w:rPr>
        <w:t xml:space="preserve"> they</w:t>
      </w:r>
      <w:r w:rsidR="00A20BDF">
        <w:rPr>
          <w:rFonts w:ascii="Verdana" w:hAnsi="Verdana" w:cs="Tahoma"/>
          <w:sz w:val="24"/>
          <w:szCs w:val="24"/>
        </w:rPr>
        <w:t xml:space="preserve"> allege that Gas City was placed into liquidation by Special Resolution in terms of s 352(2) of the Companies Act on 10 June 2021</w:t>
      </w:r>
      <w:r w:rsidR="00EB601C">
        <w:rPr>
          <w:rFonts w:ascii="Verdana" w:hAnsi="Verdana" w:cs="Tahoma"/>
          <w:sz w:val="24"/>
          <w:szCs w:val="24"/>
        </w:rPr>
        <w:t>. T</w:t>
      </w:r>
      <w:r w:rsidR="00B84DE6">
        <w:rPr>
          <w:rFonts w:ascii="Verdana" w:hAnsi="Verdana" w:cs="Tahoma"/>
          <w:sz w:val="24"/>
          <w:szCs w:val="24"/>
        </w:rPr>
        <w:t xml:space="preserve">he respondent admits this allegation at para 26 of its answering affidavit. It is contended on behalf of the applicants that since Gas City was placed in final liquidation by way of </w:t>
      </w:r>
      <w:r w:rsidR="00D03782">
        <w:rPr>
          <w:rFonts w:ascii="Verdana" w:hAnsi="Verdana" w:cs="Tahoma"/>
          <w:sz w:val="24"/>
          <w:szCs w:val="24"/>
        </w:rPr>
        <w:t xml:space="preserve">a </w:t>
      </w:r>
      <w:r w:rsidR="00B84DE6">
        <w:rPr>
          <w:rFonts w:ascii="Verdana" w:hAnsi="Verdana" w:cs="Tahoma"/>
          <w:sz w:val="24"/>
          <w:szCs w:val="24"/>
        </w:rPr>
        <w:t>Special Resolution and not by a Court order, no court order could be provided to the deputy sheriff to trigger the s 19(1) obligations. Of importance, is the fact that the assets belonging to Gas City are in the possession of the respondent and subject to a tacit hypothec</w:t>
      </w:r>
      <w:r w:rsidR="004C522C">
        <w:rPr>
          <w:rFonts w:ascii="Verdana" w:hAnsi="Verdana" w:cs="Tahoma"/>
          <w:sz w:val="24"/>
          <w:szCs w:val="24"/>
        </w:rPr>
        <w:t xml:space="preserve"> and that</w:t>
      </w:r>
      <w:r w:rsidR="00B84DE6">
        <w:rPr>
          <w:rFonts w:ascii="Verdana" w:hAnsi="Verdana" w:cs="Tahoma"/>
          <w:sz w:val="24"/>
          <w:szCs w:val="24"/>
        </w:rPr>
        <w:t xml:space="preserve"> the applicants have offered to </w:t>
      </w:r>
      <w:r w:rsidR="004C522C">
        <w:rPr>
          <w:rFonts w:ascii="Verdana" w:hAnsi="Verdana" w:cs="Tahoma"/>
          <w:sz w:val="24"/>
          <w:szCs w:val="24"/>
        </w:rPr>
        <w:t xml:space="preserve">take over the property at the full amount of the respondent’s </w:t>
      </w:r>
      <w:r w:rsidR="004C522C">
        <w:rPr>
          <w:rFonts w:ascii="Verdana" w:hAnsi="Verdana" w:cs="Tahoma"/>
          <w:sz w:val="24"/>
          <w:szCs w:val="24"/>
        </w:rPr>
        <w:lastRenderedPageBreak/>
        <w:t xml:space="preserve">claim. </w:t>
      </w:r>
      <w:r w:rsidR="004C388B">
        <w:rPr>
          <w:rFonts w:ascii="Verdana" w:hAnsi="Verdana" w:cs="Tahoma"/>
          <w:sz w:val="24"/>
          <w:szCs w:val="24"/>
        </w:rPr>
        <w:t>Sec 391 of the Companies Act</w:t>
      </w:r>
      <w:r w:rsidR="00303DAB">
        <w:rPr>
          <w:rStyle w:val="FootnoteReference"/>
          <w:rFonts w:ascii="Verdana" w:hAnsi="Verdana" w:cs="Tahoma"/>
          <w:sz w:val="24"/>
          <w:szCs w:val="24"/>
        </w:rPr>
        <w:footnoteReference w:id="8"/>
      </w:r>
      <w:r w:rsidR="004C388B">
        <w:rPr>
          <w:rFonts w:ascii="Verdana" w:hAnsi="Verdana" w:cs="Tahoma"/>
          <w:sz w:val="24"/>
          <w:szCs w:val="24"/>
        </w:rPr>
        <w:t xml:space="preserve">  requires the liquidators to recover the assets forthwith. </w:t>
      </w:r>
      <w:r w:rsidR="004C522C" w:rsidRPr="004C522C">
        <w:rPr>
          <w:rFonts w:ascii="Verdana" w:hAnsi="Verdana" w:cs="Tahoma"/>
          <w:sz w:val="24"/>
          <w:szCs w:val="24"/>
        </w:rPr>
        <w:t xml:space="preserve">It is further significant </w:t>
      </w:r>
      <w:r w:rsidR="004C522C">
        <w:rPr>
          <w:rFonts w:ascii="Verdana" w:hAnsi="Verdana" w:cs="Tahoma"/>
          <w:sz w:val="24"/>
          <w:szCs w:val="24"/>
        </w:rPr>
        <w:t xml:space="preserve">to note </w:t>
      </w:r>
      <w:r w:rsidR="004C522C" w:rsidRPr="004C522C">
        <w:rPr>
          <w:rFonts w:ascii="Verdana" w:hAnsi="Verdana" w:cs="Tahoma"/>
          <w:sz w:val="24"/>
          <w:szCs w:val="24"/>
        </w:rPr>
        <w:t>that</w:t>
      </w:r>
      <w:r w:rsidR="004C522C">
        <w:rPr>
          <w:rFonts w:ascii="Verdana" w:hAnsi="Verdana" w:cs="Tahoma"/>
          <w:sz w:val="24"/>
          <w:szCs w:val="24"/>
        </w:rPr>
        <w:t xml:space="preserve"> Renet Fouché of Alibia Trading had conducted an inventory and valuation of the assets of Gas City. I am of the view that the </w:t>
      </w:r>
      <w:r w:rsidR="00D03782">
        <w:rPr>
          <w:rFonts w:ascii="Verdana" w:hAnsi="Verdana" w:cs="Tahoma"/>
          <w:sz w:val="24"/>
          <w:szCs w:val="24"/>
        </w:rPr>
        <w:t xml:space="preserve">need for an </w:t>
      </w:r>
      <w:r w:rsidR="004C522C">
        <w:rPr>
          <w:rFonts w:ascii="Verdana" w:hAnsi="Verdana" w:cs="Tahoma"/>
          <w:sz w:val="24"/>
          <w:szCs w:val="24"/>
        </w:rPr>
        <w:t xml:space="preserve">inventory by the sheriff under the current circumstances does not arise. </w:t>
      </w:r>
    </w:p>
    <w:p w14:paraId="7DF6732B" w14:textId="77777777" w:rsidR="007F3A8B" w:rsidRPr="00D03782" w:rsidRDefault="00D03782" w:rsidP="002C6107">
      <w:pPr>
        <w:tabs>
          <w:tab w:val="left" w:pos="851"/>
          <w:tab w:val="left" w:pos="1701"/>
          <w:tab w:val="left" w:pos="2552"/>
          <w:tab w:val="right" w:pos="8931"/>
        </w:tabs>
        <w:spacing w:line="360" w:lineRule="auto"/>
        <w:ind w:left="851" w:hanging="851"/>
        <w:jc w:val="both"/>
        <w:rPr>
          <w:rFonts w:ascii="Verdana" w:hAnsi="Verdana" w:cs="Tahoma"/>
          <w:b/>
          <w:i/>
          <w:sz w:val="24"/>
          <w:szCs w:val="24"/>
        </w:rPr>
      </w:pPr>
      <w:r>
        <w:rPr>
          <w:rFonts w:ascii="Verdana" w:hAnsi="Verdana" w:cs="Tahoma"/>
          <w:sz w:val="24"/>
          <w:szCs w:val="24"/>
        </w:rPr>
        <w:tab/>
      </w:r>
      <w:r w:rsidR="004C522C" w:rsidRPr="00D03782">
        <w:rPr>
          <w:rFonts w:ascii="Verdana" w:hAnsi="Verdana" w:cs="Tahoma"/>
          <w:b/>
          <w:sz w:val="24"/>
          <w:szCs w:val="24"/>
        </w:rPr>
        <w:t xml:space="preserve">It follows that the </w:t>
      </w:r>
      <w:r w:rsidR="00BB6069" w:rsidRPr="00D03782">
        <w:rPr>
          <w:rFonts w:ascii="Verdana" w:hAnsi="Verdana" w:cs="Tahoma"/>
          <w:b/>
          <w:sz w:val="24"/>
          <w:szCs w:val="24"/>
        </w:rPr>
        <w:t xml:space="preserve">contention </w:t>
      </w:r>
      <w:r w:rsidR="00BB6069" w:rsidRPr="00D03782">
        <w:rPr>
          <w:rFonts w:ascii="Verdana" w:hAnsi="Verdana" w:cs="Tahoma"/>
          <w:b/>
          <w:i/>
          <w:sz w:val="24"/>
          <w:szCs w:val="24"/>
        </w:rPr>
        <w:t>in limine</w:t>
      </w:r>
      <w:r w:rsidR="00BB6069" w:rsidRPr="00D03782">
        <w:rPr>
          <w:rFonts w:ascii="Verdana" w:hAnsi="Verdana" w:cs="Tahoma"/>
          <w:b/>
          <w:sz w:val="24"/>
          <w:szCs w:val="24"/>
        </w:rPr>
        <w:t xml:space="preserve"> that the applicants failed to comply with s 19(1) of the Insolvency Act ought not to succeed. </w:t>
      </w:r>
    </w:p>
    <w:p w14:paraId="72AD37C6" w14:textId="77777777" w:rsidR="007F3A8B" w:rsidRDefault="007F3A8B" w:rsidP="007F3A8B">
      <w:pPr>
        <w:tabs>
          <w:tab w:val="left" w:pos="851"/>
          <w:tab w:val="left" w:pos="1701"/>
          <w:tab w:val="left" w:pos="2552"/>
          <w:tab w:val="right" w:pos="8931"/>
        </w:tabs>
        <w:spacing w:line="360" w:lineRule="auto"/>
        <w:jc w:val="both"/>
        <w:rPr>
          <w:rFonts w:ascii="Verdana" w:hAnsi="Verdana" w:cs="Tahoma"/>
          <w:i/>
          <w:sz w:val="24"/>
          <w:szCs w:val="24"/>
        </w:rPr>
      </w:pPr>
    </w:p>
    <w:p w14:paraId="7A418A35" w14:textId="77777777" w:rsidR="00BB6069" w:rsidRDefault="00BB6069" w:rsidP="007F3A8B">
      <w:pPr>
        <w:tabs>
          <w:tab w:val="left" w:pos="851"/>
          <w:tab w:val="left" w:pos="1701"/>
          <w:tab w:val="left" w:pos="2552"/>
          <w:tab w:val="right" w:pos="8931"/>
        </w:tabs>
        <w:spacing w:line="360" w:lineRule="auto"/>
        <w:jc w:val="both"/>
        <w:rPr>
          <w:rFonts w:ascii="Verdana" w:hAnsi="Verdana" w:cs="Tahoma"/>
          <w:sz w:val="24"/>
          <w:szCs w:val="24"/>
          <w:u w:val="single"/>
        </w:rPr>
      </w:pPr>
      <w:r>
        <w:rPr>
          <w:rFonts w:ascii="Verdana" w:hAnsi="Verdana" w:cs="Tahoma"/>
          <w:i/>
          <w:sz w:val="24"/>
          <w:szCs w:val="24"/>
        </w:rPr>
        <w:tab/>
      </w:r>
      <w:r>
        <w:rPr>
          <w:rFonts w:ascii="Verdana" w:hAnsi="Verdana" w:cs="Tahoma"/>
          <w:sz w:val="24"/>
          <w:szCs w:val="24"/>
          <w:u w:val="single"/>
        </w:rPr>
        <w:t xml:space="preserve">The third point </w:t>
      </w:r>
      <w:r w:rsidRPr="00BB6069">
        <w:rPr>
          <w:rFonts w:ascii="Verdana" w:hAnsi="Verdana" w:cs="Tahoma"/>
          <w:i/>
          <w:sz w:val="24"/>
          <w:szCs w:val="24"/>
          <w:u w:val="single"/>
        </w:rPr>
        <w:t>in limine</w:t>
      </w:r>
      <w:r>
        <w:rPr>
          <w:rFonts w:ascii="Verdana" w:hAnsi="Verdana" w:cs="Tahoma"/>
          <w:i/>
          <w:sz w:val="24"/>
          <w:szCs w:val="24"/>
          <w:u w:val="single"/>
        </w:rPr>
        <w:t xml:space="preserve">: </w:t>
      </w:r>
      <w:r w:rsidRPr="00BB6069">
        <w:rPr>
          <w:rFonts w:ascii="Verdana" w:hAnsi="Verdana" w:cs="Tahoma"/>
          <w:sz w:val="24"/>
          <w:szCs w:val="24"/>
          <w:u w:val="single"/>
        </w:rPr>
        <w:t xml:space="preserve">That the liquidator cannot rely on the </w:t>
      </w:r>
      <w:r w:rsidRPr="00BB6069">
        <w:rPr>
          <w:rFonts w:ascii="Verdana" w:hAnsi="Verdana" w:cs="Tahoma"/>
          <w:sz w:val="24"/>
          <w:szCs w:val="24"/>
        </w:rPr>
        <w:tab/>
      </w:r>
      <w:r w:rsidRPr="00BB6069">
        <w:rPr>
          <w:rFonts w:ascii="Verdana" w:hAnsi="Verdana" w:cs="Tahoma"/>
          <w:sz w:val="24"/>
          <w:szCs w:val="24"/>
          <w:u w:val="single"/>
        </w:rPr>
        <w:t xml:space="preserve">provisions of s 69 of </w:t>
      </w:r>
      <w:r w:rsidRPr="00BB6069">
        <w:rPr>
          <w:rFonts w:ascii="Verdana" w:hAnsi="Verdana" w:cs="Tahoma"/>
          <w:sz w:val="24"/>
          <w:szCs w:val="24"/>
          <w:u w:val="single"/>
        </w:rPr>
        <w:tab/>
        <w:t xml:space="preserve">the Insolvency Act but rather on s 386 of the </w:t>
      </w:r>
      <w:r w:rsidRPr="00BB6069">
        <w:rPr>
          <w:rFonts w:ascii="Verdana" w:hAnsi="Verdana" w:cs="Tahoma"/>
          <w:sz w:val="24"/>
          <w:szCs w:val="24"/>
        </w:rPr>
        <w:tab/>
      </w:r>
      <w:r w:rsidR="008612D3">
        <w:rPr>
          <w:rFonts w:ascii="Verdana" w:hAnsi="Verdana" w:cs="Tahoma"/>
          <w:sz w:val="24"/>
          <w:szCs w:val="24"/>
          <w:u w:val="single"/>
        </w:rPr>
        <w:t>Companies Act</w:t>
      </w:r>
    </w:p>
    <w:p w14:paraId="3F600705" w14:textId="77777777" w:rsidR="009732ED" w:rsidRDefault="009732ED" w:rsidP="007F3A8B">
      <w:pPr>
        <w:tabs>
          <w:tab w:val="left" w:pos="851"/>
          <w:tab w:val="left" w:pos="1701"/>
          <w:tab w:val="left" w:pos="2552"/>
          <w:tab w:val="right" w:pos="8931"/>
        </w:tabs>
        <w:spacing w:line="360" w:lineRule="auto"/>
        <w:jc w:val="both"/>
        <w:rPr>
          <w:rFonts w:ascii="Verdana" w:hAnsi="Verdana" w:cs="Tahoma"/>
          <w:sz w:val="24"/>
          <w:szCs w:val="24"/>
        </w:rPr>
      </w:pPr>
      <w:r w:rsidRPr="009732ED">
        <w:rPr>
          <w:rFonts w:ascii="Verdana" w:hAnsi="Verdana" w:cs="Tahoma"/>
          <w:sz w:val="24"/>
          <w:szCs w:val="24"/>
        </w:rPr>
        <w:t>[</w:t>
      </w:r>
      <w:r w:rsidR="00D822E6">
        <w:rPr>
          <w:rFonts w:ascii="Verdana" w:hAnsi="Verdana" w:cs="Tahoma"/>
          <w:sz w:val="24"/>
          <w:szCs w:val="24"/>
        </w:rPr>
        <w:t>21</w:t>
      </w:r>
      <w:r w:rsidRPr="009732ED">
        <w:rPr>
          <w:rFonts w:ascii="Verdana" w:hAnsi="Verdana" w:cs="Tahoma"/>
          <w:sz w:val="24"/>
          <w:szCs w:val="24"/>
        </w:rPr>
        <w:t>]</w:t>
      </w:r>
      <w:r w:rsidRPr="009732ED">
        <w:rPr>
          <w:rFonts w:ascii="Verdana" w:hAnsi="Verdana" w:cs="Tahoma"/>
          <w:sz w:val="24"/>
          <w:szCs w:val="24"/>
        </w:rPr>
        <w:tab/>
      </w:r>
      <w:r w:rsidR="004C388B">
        <w:rPr>
          <w:rFonts w:ascii="Verdana" w:hAnsi="Verdana" w:cs="Tahoma"/>
          <w:sz w:val="24"/>
          <w:szCs w:val="24"/>
        </w:rPr>
        <w:t>T</w:t>
      </w:r>
      <w:r w:rsidR="000011D9">
        <w:rPr>
          <w:rFonts w:ascii="Verdana" w:hAnsi="Verdana" w:cs="Tahoma"/>
          <w:sz w:val="24"/>
          <w:szCs w:val="24"/>
        </w:rPr>
        <w:t xml:space="preserve">he respondent in </w:t>
      </w:r>
      <w:r w:rsidR="000011D9" w:rsidRPr="000011D9">
        <w:rPr>
          <w:rFonts w:ascii="Verdana" w:hAnsi="Verdana" w:cs="Tahoma"/>
          <w:i/>
          <w:sz w:val="24"/>
          <w:szCs w:val="24"/>
        </w:rPr>
        <w:t>Duku</w:t>
      </w:r>
      <w:r w:rsidR="001E2A72">
        <w:rPr>
          <w:rStyle w:val="FootnoteReference"/>
          <w:rFonts w:ascii="Verdana" w:hAnsi="Verdana" w:cs="Tahoma"/>
          <w:i/>
          <w:sz w:val="24"/>
          <w:szCs w:val="24"/>
        </w:rPr>
        <w:footnoteReference w:id="9"/>
      </w:r>
      <w:r w:rsidR="004C388B">
        <w:rPr>
          <w:rFonts w:ascii="Verdana" w:hAnsi="Verdana" w:cs="Tahoma"/>
          <w:i/>
          <w:sz w:val="24"/>
          <w:szCs w:val="24"/>
        </w:rPr>
        <w:t xml:space="preserve"> </w:t>
      </w:r>
      <w:r w:rsidR="004C388B" w:rsidRPr="004C388B">
        <w:rPr>
          <w:rFonts w:ascii="Verdana" w:hAnsi="Verdana" w:cs="Tahoma"/>
          <w:sz w:val="24"/>
          <w:szCs w:val="24"/>
        </w:rPr>
        <w:t>took a similar point</w:t>
      </w:r>
      <w:r w:rsidR="004C388B">
        <w:rPr>
          <w:rFonts w:ascii="Verdana" w:hAnsi="Verdana" w:cs="Tahoma"/>
          <w:i/>
          <w:sz w:val="24"/>
          <w:szCs w:val="24"/>
        </w:rPr>
        <w:t xml:space="preserve"> that</w:t>
      </w:r>
      <w:r w:rsidR="000011D9" w:rsidRPr="000011D9">
        <w:rPr>
          <w:rFonts w:ascii="Verdana" w:hAnsi="Verdana" w:cs="Tahoma"/>
          <w:sz w:val="24"/>
          <w:szCs w:val="24"/>
        </w:rPr>
        <w:t xml:space="preserve"> </w:t>
      </w:r>
      <w:r w:rsidR="000011D9">
        <w:rPr>
          <w:rFonts w:ascii="Verdana" w:hAnsi="Verdana" w:cs="Tahoma"/>
          <w:sz w:val="24"/>
          <w:szCs w:val="24"/>
        </w:rPr>
        <w:t xml:space="preserve">the relief sought </w:t>
      </w:r>
      <w:r w:rsidR="004C388B">
        <w:rPr>
          <w:rFonts w:ascii="Verdana" w:hAnsi="Verdana" w:cs="Tahoma"/>
          <w:sz w:val="24"/>
          <w:szCs w:val="24"/>
        </w:rPr>
        <w:tab/>
      </w:r>
      <w:r w:rsidR="000011D9">
        <w:rPr>
          <w:rFonts w:ascii="Verdana" w:hAnsi="Verdana" w:cs="Tahoma"/>
          <w:sz w:val="24"/>
          <w:szCs w:val="24"/>
        </w:rPr>
        <w:t xml:space="preserve">by the applicants in terms of s 69 of the Insolvency Act is not </w:t>
      </w:r>
      <w:r w:rsidR="004C388B">
        <w:rPr>
          <w:rFonts w:ascii="Verdana" w:hAnsi="Verdana" w:cs="Tahoma"/>
          <w:sz w:val="24"/>
          <w:szCs w:val="24"/>
        </w:rPr>
        <w:tab/>
      </w:r>
      <w:r w:rsidR="000011D9">
        <w:rPr>
          <w:rFonts w:ascii="Verdana" w:hAnsi="Verdana" w:cs="Tahoma"/>
          <w:sz w:val="24"/>
          <w:szCs w:val="24"/>
        </w:rPr>
        <w:t xml:space="preserve">competent because the liquidators are empowered to act in </w:t>
      </w:r>
      <w:r w:rsidR="000011D9">
        <w:rPr>
          <w:rFonts w:ascii="Verdana" w:hAnsi="Verdana" w:cs="Tahoma"/>
          <w:sz w:val="24"/>
          <w:szCs w:val="24"/>
        </w:rPr>
        <w:tab/>
        <w:t xml:space="preserve">terms </w:t>
      </w:r>
      <w:r w:rsidR="004C388B">
        <w:rPr>
          <w:rFonts w:ascii="Verdana" w:hAnsi="Verdana" w:cs="Tahoma"/>
          <w:sz w:val="24"/>
          <w:szCs w:val="24"/>
        </w:rPr>
        <w:tab/>
      </w:r>
      <w:r w:rsidR="000011D9">
        <w:rPr>
          <w:rFonts w:ascii="Verdana" w:hAnsi="Verdana" w:cs="Tahoma"/>
          <w:sz w:val="24"/>
          <w:szCs w:val="24"/>
        </w:rPr>
        <w:t>of s 386(4) of the Companies A</w:t>
      </w:r>
      <w:r w:rsidR="00F54C23">
        <w:rPr>
          <w:rFonts w:ascii="Verdana" w:hAnsi="Verdana" w:cs="Tahoma"/>
          <w:sz w:val="24"/>
          <w:szCs w:val="24"/>
        </w:rPr>
        <w:t>ct and did not succeed.</w:t>
      </w:r>
      <w:r w:rsidR="004C388B">
        <w:rPr>
          <w:rFonts w:ascii="Verdana" w:hAnsi="Verdana" w:cs="Tahoma"/>
          <w:sz w:val="24"/>
          <w:szCs w:val="24"/>
        </w:rPr>
        <w:t xml:space="preserve">  Section 386 </w:t>
      </w:r>
      <w:r w:rsidR="006D58E0">
        <w:rPr>
          <w:rFonts w:ascii="Verdana" w:hAnsi="Verdana" w:cs="Tahoma"/>
          <w:sz w:val="24"/>
          <w:szCs w:val="24"/>
        </w:rPr>
        <w:tab/>
      </w:r>
      <w:r w:rsidR="004C388B">
        <w:rPr>
          <w:rFonts w:ascii="Verdana" w:hAnsi="Verdana" w:cs="Tahoma"/>
          <w:sz w:val="24"/>
          <w:szCs w:val="24"/>
        </w:rPr>
        <w:t>deals with the ge</w:t>
      </w:r>
      <w:r w:rsidR="006D58E0">
        <w:rPr>
          <w:rFonts w:ascii="Verdana" w:hAnsi="Verdana" w:cs="Tahoma"/>
          <w:sz w:val="24"/>
          <w:szCs w:val="24"/>
        </w:rPr>
        <w:t xml:space="preserve">neral powers of the liquidators. </w:t>
      </w:r>
      <w:r w:rsidR="001A640F">
        <w:rPr>
          <w:rFonts w:ascii="Verdana" w:hAnsi="Verdana" w:cs="Tahoma"/>
          <w:sz w:val="24"/>
          <w:szCs w:val="24"/>
        </w:rPr>
        <w:t xml:space="preserve">I align with the </w:t>
      </w:r>
      <w:r w:rsidR="001A640F">
        <w:rPr>
          <w:rFonts w:ascii="Verdana" w:hAnsi="Verdana" w:cs="Tahoma"/>
          <w:sz w:val="24"/>
          <w:szCs w:val="24"/>
        </w:rPr>
        <w:tab/>
        <w:t xml:space="preserve">remarks by Bertelsmann J, concurred in by Poswa J in the </w:t>
      </w:r>
      <w:r w:rsidR="001A640F">
        <w:rPr>
          <w:rFonts w:ascii="Verdana" w:hAnsi="Verdana" w:cs="Tahoma"/>
          <w:sz w:val="24"/>
          <w:szCs w:val="24"/>
        </w:rPr>
        <w:tab/>
        <w:t xml:space="preserve">unreported judgment </w:t>
      </w:r>
      <w:r w:rsidR="001A640F">
        <w:rPr>
          <w:rFonts w:ascii="Verdana" w:hAnsi="Verdana" w:cs="Tahoma"/>
          <w:i/>
          <w:sz w:val="24"/>
          <w:szCs w:val="24"/>
        </w:rPr>
        <w:t>De Beer v Hamman NO &amp; Others</w:t>
      </w:r>
      <w:r w:rsidR="001A640F">
        <w:rPr>
          <w:rStyle w:val="FootnoteReference"/>
          <w:rFonts w:ascii="Verdana" w:hAnsi="Verdana" w:cs="Tahoma"/>
          <w:i/>
          <w:sz w:val="24"/>
          <w:szCs w:val="24"/>
        </w:rPr>
        <w:footnoteReference w:id="10"/>
      </w:r>
      <w:r w:rsidR="001A640F">
        <w:rPr>
          <w:rFonts w:ascii="Verdana" w:hAnsi="Verdana" w:cs="Tahoma"/>
          <w:i/>
          <w:sz w:val="24"/>
          <w:szCs w:val="24"/>
        </w:rPr>
        <w:t xml:space="preserve"> </w:t>
      </w:r>
      <w:r w:rsidR="001A640F">
        <w:rPr>
          <w:rFonts w:ascii="Verdana" w:hAnsi="Verdana" w:cs="Tahoma"/>
          <w:sz w:val="24"/>
          <w:szCs w:val="24"/>
        </w:rPr>
        <w:t>:</w:t>
      </w:r>
    </w:p>
    <w:p w14:paraId="61FA16B8" w14:textId="77777777" w:rsidR="001A640F" w:rsidRDefault="001A640F" w:rsidP="007F3A8B">
      <w:pPr>
        <w:tabs>
          <w:tab w:val="left" w:pos="851"/>
          <w:tab w:val="left" w:pos="1701"/>
          <w:tab w:val="left" w:pos="2552"/>
          <w:tab w:val="right" w:pos="8931"/>
        </w:tabs>
        <w:spacing w:line="360" w:lineRule="auto"/>
        <w:jc w:val="both"/>
        <w:rPr>
          <w:rFonts w:ascii="Verdana" w:hAnsi="Verdana" w:cs="Tahoma"/>
          <w:i/>
          <w:sz w:val="24"/>
          <w:szCs w:val="24"/>
        </w:rPr>
      </w:pPr>
      <w:r>
        <w:rPr>
          <w:rFonts w:ascii="Verdana" w:hAnsi="Verdana" w:cs="Tahoma"/>
          <w:sz w:val="24"/>
          <w:szCs w:val="24"/>
        </w:rPr>
        <w:tab/>
      </w:r>
      <w:r>
        <w:rPr>
          <w:rFonts w:ascii="Verdana" w:hAnsi="Verdana" w:cs="Tahoma"/>
          <w:i/>
          <w:sz w:val="24"/>
          <w:szCs w:val="24"/>
        </w:rPr>
        <w:t xml:space="preserve">“ A liquidator and/or trustee is obliged to ensure that goods </w:t>
      </w:r>
      <w:r>
        <w:rPr>
          <w:rFonts w:ascii="Verdana" w:hAnsi="Verdana" w:cs="Tahoma"/>
          <w:i/>
          <w:sz w:val="24"/>
          <w:szCs w:val="24"/>
        </w:rPr>
        <w:tab/>
        <w:t xml:space="preserve">belonging to the insolvent estate are found, secured and liquidated </w:t>
      </w:r>
      <w:r>
        <w:rPr>
          <w:rFonts w:ascii="Verdana" w:hAnsi="Verdana" w:cs="Tahoma"/>
          <w:i/>
          <w:sz w:val="24"/>
          <w:szCs w:val="24"/>
        </w:rPr>
        <w:tab/>
        <w:t xml:space="preserve">in accordance with the provisions of the Insolvency Act and/or the </w:t>
      </w:r>
      <w:r>
        <w:rPr>
          <w:rFonts w:ascii="Verdana" w:hAnsi="Verdana" w:cs="Tahoma"/>
          <w:i/>
          <w:sz w:val="24"/>
          <w:szCs w:val="24"/>
        </w:rPr>
        <w:tab/>
        <w:t xml:space="preserve">Companies Act for the benefit of the creditors of the insolvent </w:t>
      </w:r>
      <w:r>
        <w:rPr>
          <w:rFonts w:ascii="Verdana" w:hAnsi="Verdana" w:cs="Tahoma"/>
          <w:i/>
          <w:sz w:val="24"/>
          <w:szCs w:val="24"/>
        </w:rPr>
        <w:tab/>
        <w:t>estate.”</w:t>
      </w:r>
    </w:p>
    <w:p w14:paraId="52466AC2" w14:textId="77777777" w:rsidR="002236EB" w:rsidRPr="002236EB" w:rsidRDefault="002236EB" w:rsidP="007F3A8B">
      <w:p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i/>
          <w:sz w:val="24"/>
          <w:szCs w:val="24"/>
        </w:rPr>
        <w:lastRenderedPageBreak/>
        <w:tab/>
      </w:r>
      <w:r>
        <w:rPr>
          <w:rFonts w:ascii="Verdana" w:hAnsi="Verdana" w:cs="Tahoma"/>
          <w:sz w:val="24"/>
          <w:szCs w:val="24"/>
        </w:rPr>
        <w:t>Regard being had to the discussions above pertaining to s 69</w:t>
      </w:r>
      <w:r w:rsidR="00160551">
        <w:rPr>
          <w:rFonts w:ascii="Verdana" w:hAnsi="Verdana" w:cs="Tahoma"/>
          <w:sz w:val="24"/>
          <w:szCs w:val="24"/>
        </w:rPr>
        <w:t>,</w:t>
      </w:r>
      <w:r>
        <w:rPr>
          <w:rFonts w:ascii="Verdana" w:hAnsi="Verdana" w:cs="Tahoma"/>
          <w:sz w:val="24"/>
          <w:szCs w:val="24"/>
        </w:rPr>
        <w:t xml:space="preserve"> I am </w:t>
      </w:r>
      <w:r>
        <w:rPr>
          <w:rFonts w:ascii="Verdana" w:hAnsi="Verdana" w:cs="Tahoma"/>
          <w:sz w:val="24"/>
          <w:szCs w:val="24"/>
        </w:rPr>
        <w:tab/>
        <w:t xml:space="preserve">of the view that this point can also not succeed because s69 provides </w:t>
      </w:r>
      <w:r>
        <w:rPr>
          <w:rFonts w:ascii="Verdana" w:hAnsi="Verdana" w:cs="Tahoma"/>
          <w:sz w:val="24"/>
          <w:szCs w:val="24"/>
        </w:rPr>
        <w:tab/>
        <w:t xml:space="preserve">the mechanism that the applicants can utilise and it remains </w:t>
      </w:r>
      <w:r>
        <w:rPr>
          <w:rFonts w:ascii="Verdana" w:hAnsi="Verdana" w:cs="Tahoma"/>
          <w:sz w:val="24"/>
          <w:szCs w:val="24"/>
        </w:rPr>
        <w:tab/>
        <w:t>available to the liquidators.</w:t>
      </w:r>
    </w:p>
    <w:p w14:paraId="727A6D1D" w14:textId="77777777" w:rsidR="001A640F" w:rsidRPr="001A640F" w:rsidRDefault="001A640F" w:rsidP="007F3A8B">
      <w:pPr>
        <w:tabs>
          <w:tab w:val="left" w:pos="851"/>
          <w:tab w:val="left" w:pos="1701"/>
          <w:tab w:val="left" w:pos="2552"/>
          <w:tab w:val="right" w:pos="8931"/>
        </w:tabs>
        <w:spacing w:line="360" w:lineRule="auto"/>
        <w:jc w:val="both"/>
        <w:rPr>
          <w:rFonts w:ascii="Verdana" w:hAnsi="Verdana" w:cs="Tahoma"/>
          <w:i/>
          <w:sz w:val="24"/>
          <w:szCs w:val="24"/>
        </w:rPr>
      </w:pPr>
    </w:p>
    <w:p w14:paraId="5DB8ED2A" w14:textId="77777777" w:rsidR="0090599C" w:rsidRPr="002236EB" w:rsidRDefault="002236EB" w:rsidP="007F3A8B">
      <w:pPr>
        <w:tabs>
          <w:tab w:val="left" w:pos="851"/>
          <w:tab w:val="left" w:pos="1701"/>
          <w:tab w:val="left" w:pos="2552"/>
          <w:tab w:val="right" w:pos="8931"/>
        </w:tabs>
        <w:spacing w:line="360" w:lineRule="auto"/>
        <w:jc w:val="both"/>
        <w:rPr>
          <w:rFonts w:ascii="Verdana" w:hAnsi="Verdana" w:cs="Tahoma"/>
          <w:sz w:val="24"/>
          <w:szCs w:val="24"/>
          <w:u w:val="single"/>
        </w:rPr>
      </w:pPr>
      <w:r>
        <w:rPr>
          <w:rFonts w:ascii="Verdana" w:hAnsi="Verdana" w:cs="Tahoma"/>
          <w:sz w:val="24"/>
          <w:szCs w:val="24"/>
        </w:rPr>
        <w:tab/>
      </w:r>
      <w:r>
        <w:rPr>
          <w:rFonts w:ascii="Verdana" w:hAnsi="Verdana" w:cs="Tahoma"/>
          <w:sz w:val="24"/>
          <w:szCs w:val="24"/>
          <w:u w:val="single"/>
        </w:rPr>
        <w:t>The supplementary founding affidavit</w:t>
      </w:r>
    </w:p>
    <w:p w14:paraId="1A6F5960" w14:textId="77777777" w:rsidR="008612D3" w:rsidRPr="00443E45" w:rsidRDefault="00B02341" w:rsidP="00B900C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2</w:t>
      </w:r>
      <w:r w:rsidR="00D822E6">
        <w:rPr>
          <w:rFonts w:ascii="Verdana" w:hAnsi="Verdana" w:cs="Tahoma"/>
          <w:sz w:val="24"/>
          <w:szCs w:val="24"/>
        </w:rPr>
        <w:t>2</w:t>
      </w:r>
      <w:r>
        <w:rPr>
          <w:rFonts w:ascii="Verdana" w:hAnsi="Verdana" w:cs="Tahoma"/>
          <w:sz w:val="24"/>
          <w:szCs w:val="24"/>
        </w:rPr>
        <w:t>]</w:t>
      </w:r>
      <w:r>
        <w:rPr>
          <w:rFonts w:ascii="Verdana" w:hAnsi="Verdana" w:cs="Tahoma"/>
          <w:sz w:val="24"/>
          <w:szCs w:val="24"/>
        </w:rPr>
        <w:tab/>
      </w:r>
      <w:r w:rsidR="008612D3" w:rsidRPr="008612D3">
        <w:rPr>
          <w:rFonts w:ascii="Verdana" w:hAnsi="Verdana" w:cs="Tahoma"/>
          <w:sz w:val="24"/>
          <w:szCs w:val="24"/>
        </w:rPr>
        <w:t>The applicants sought leave to file a supplementary founding affidavit to the opposing affidavit of the respondent. They maintain that it is required because upon receipt of the respondent’s heads of argument</w:t>
      </w:r>
      <w:r w:rsidR="008612D3">
        <w:rPr>
          <w:rFonts w:ascii="Verdana" w:hAnsi="Verdana" w:cs="Tahoma"/>
          <w:sz w:val="24"/>
          <w:szCs w:val="24"/>
        </w:rPr>
        <w:t>,</w:t>
      </w:r>
      <w:r w:rsidR="008612D3" w:rsidRPr="008612D3">
        <w:rPr>
          <w:rFonts w:ascii="Verdana" w:hAnsi="Verdana" w:cs="Tahoma"/>
          <w:sz w:val="24"/>
          <w:szCs w:val="24"/>
        </w:rPr>
        <w:t xml:space="preserve"> the</w:t>
      </w:r>
      <w:r w:rsidR="008612D3">
        <w:rPr>
          <w:rFonts w:ascii="Verdana" w:hAnsi="Verdana" w:cs="Tahoma"/>
          <w:sz w:val="24"/>
          <w:szCs w:val="24"/>
        </w:rPr>
        <w:t>y</w:t>
      </w:r>
      <w:r w:rsidR="008612D3" w:rsidRPr="008612D3">
        <w:rPr>
          <w:rFonts w:ascii="Verdana" w:hAnsi="Verdana" w:cs="Tahoma"/>
          <w:sz w:val="24"/>
          <w:szCs w:val="24"/>
        </w:rPr>
        <w:t xml:space="preserve"> realised that the respondent seeks to rely on a point of law which was not raised in its answering affidavit, namely, that this Court lacks jurisdiction in terms of s 69 of the Insolvency Act to determine the matter as no allegation has been made that Gas City was insolvent and unable to pay its debts. </w:t>
      </w:r>
      <w:r w:rsidR="008612D3" w:rsidRPr="00443E45">
        <w:rPr>
          <w:rFonts w:ascii="Verdana" w:hAnsi="Verdana" w:cs="Tahoma"/>
          <w:sz w:val="24"/>
          <w:szCs w:val="24"/>
        </w:rPr>
        <w:t xml:space="preserve">This application is opposed by </w:t>
      </w:r>
      <w:r w:rsidR="00714BE9">
        <w:rPr>
          <w:rFonts w:ascii="Verdana" w:hAnsi="Verdana" w:cs="Tahoma"/>
          <w:sz w:val="24"/>
          <w:szCs w:val="24"/>
        </w:rPr>
        <w:t xml:space="preserve">the </w:t>
      </w:r>
      <w:r w:rsidR="00E645AF" w:rsidRPr="00443E45">
        <w:rPr>
          <w:rFonts w:ascii="Verdana" w:hAnsi="Verdana" w:cs="Tahoma"/>
          <w:sz w:val="24"/>
          <w:szCs w:val="24"/>
        </w:rPr>
        <w:t>respondent who</w:t>
      </w:r>
      <w:r w:rsidR="008612D3" w:rsidRPr="00443E45">
        <w:rPr>
          <w:rFonts w:ascii="Verdana" w:hAnsi="Verdana" w:cs="Tahoma"/>
          <w:sz w:val="24"/>
          <w:szCs w:val="24"/>
        </w:rPr>
        <w:t xml:space="preserve"> submits that </w:t>
      </w:r>
      <w:r w:rsidR="00E645AF" w:rsidRPr="00443E45">
        <w:rPr>
          <w:rFonts w:ascii="Verdana" w:hAnsi="Verdana" w:cs="Tahoma"/>
          <w:sz w:val="24"/>
          <w:szCs w:val="24"/>
        </w:rPr>
        <w:t>it can</w:t>
      </w:r>
      <w:r w:rsidR="000A27F5" w:rsidRPr="00443E45">
        <w:rPr>
          <w:rFonts w:ascii="Verdana" w:hAnsi="Verdana" w:cs="Tahoma"/>
          <w:sz w:val="24"/>
          <w:szCs w:val="24"/>
        </w:rPr>
        <w:t xml:space="preserve"> </w:t>
      </w:r>
      <w:r w:rsidR="00E645AF" w:rsidRPr="00443E45">
        <w:rPr>
          <w:rFonts w:ascii="Verdana" w:hAnsi="Verdana" w:cs="Tahoma"/>
          <w:sz w:val="24"/>
          <w:szCs w:val="24"/>
        </w:rPr>
        <w:t xml:space="preserve">raise a point of law at any stage of the proceedings and specifically in its </w:t>
      </w:r>
      <w:r w:rsidR="005702E2" w:rsidRPr="00443E45">
        <w:rPr>
          <w:rFonts w:ascii="Verdana" w:hAnsi="Verdana" w:cs="Tahoma"/>
          <w:sz w:val="24"/>
          <w:szCs w:val="24"/>
        </w:rPr>
        <w:t>heads of</w:t>
      </w:r>
      <w:r w:rsidR="00E645AF" w:rsidRPr="00443E45">
        <w:rPr>
          <w:rFonts w:ascii="Verdana" w:hAnsi="Verdana" w:cs="Tahoma"/>
          <w:sz w:val="24"/>
          <w:szCs w:val="24"/>
        </w:rPr>
        <w:t xml:space="preserve"> </w:t>
      </w:r>
      <w:r w:rsidR="00A208AC" w:rsidRPr="00443E45">
        <w:rPr>
          <w:rFonts w:ascii="Verdana" w:hAnsi="Verdana" w:cs="Tahoma"/>
          <w:sz w:val="24"/>
          <w:szCs w:val="24"/>
        </w:rPr>
        <w:t>argument that were filed more than four months before the matter</w:t>
      </w:r>
      <w:r w:rsidR="005702E2" w:rsidRPr="00443E45">
        <w:rPr>
          <w:rFonts w:ascii="Verdana" w:hAnsi="Verdana" w:cs="Tahoma"/>
          <w:sz w:val="24"/>
          <w:szCs w:val="24"/>
        </w:rPr>
        <w:t xml:space="preserve"> was heard</w:t>
      </w:r>
      <w:r w:rsidR="00E645AF" w:rsidRPr="00443E45">
        <w:rPr>
          <w:rFonts w:ascii="Verdana" w:hAnsi="Verdana" w:cs="Tahoma"/>
          <w:sz w:val="24"/>
          <w:szCs w:val="24"/>
        </w:rPr>
        <w:t xml:space="preserve">. </w:t>
      </w:r>
      <w:r w:rsidR="005702E2" w:rsidRPr="00443E45">
        <w:rPr>
          <w:rFonts w:ascii="Verdana" w:hAnsi="Verdana" w:cs="Tahoma"/>
          <w:sz w:val="24"/>
          <w:szCs w:val="24"/>
        </w:rPr>
        <w:t xml:space="preserve">The applicants’ failure to address the matter sooner or to file their explanation for the delay and seek condonation from the </w:t>
      </w:r>
      <w:r w:rsidR="00443E45" w:rsidRPr="00443E45">
        <w:rPr>
          <w:rFonts w:ascii="Verdana" w:hAnsi="Verdana" w:cs="Tahoma"/>
          <w:sz w:val="24"/>
          <w:szCs w:val="24"/>
        </w:rPr>
        <w:t xml:space="preserve">court should attract a dismissal of their application. </w:t>
      </w:r>
    </w:p>
    <w:p w14:paraId="3CC467AE" w14:textId="77777777" w:rsidR="00443E45" w:rsidRDefault="00443E45" w:rsidP="00B900CA">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55CA53B4" w14:textId="77777777" w:rsidR="000A27F5" w:rsidRDefault="008612D3" w:rsidP="00B900C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2</w:t>
      </w:r>
      <w:r w:rsidR="00D822E6">
        <w:rPr>
          <w:rFonts w:ascii="Verdana" w:hAnsi="Verdana" w:cs="Tahoma"/>
          <w:sz w:val="24"/>
          <w:szCs w:val="24"/>
        </w:rPr>
        <w:t>3</w:t>
      </w:r>
      <w:r>
        <w:rPr>
          <w:rFonts w:ascii="Verdana" w:hAnsi="Verdana" w:cs="Tahoma"/>
          <w:sz w:val="24"/>
          <w:szCs w:val="24"/>
        </w:rPr>
        <w:t>]</w:t>
      </w:r>
      <w:r>
        <w:rPr>
          <w:rFonts w:ascii="Verdana" w:hAnsi="Verdana" w:cs="Tahoma"/>
          <w:sz w:val="24"/>
          <w:szCs w:val="24"/>
        </w:rPr>
        <w:tab/>
      </w:r>
      <w:r w:rsidR="000A27F5">
        <w:rPr>
          <w:rFonts w:ascii="Verdana" w:hAnsi="Verdana" w:cs="Tahoma"/>
          <w:sz w:val="24"/>
          <w:szCs w:val="24"/>
        </w:rPr>
        <w:t xml:space="preserve">Mr Van Rensburg, </w:t>
      </w:r>
      <w:r w:rsidR="00D03782">
        <w:rPr>
          <w:rFonts w:ascii="Verdana" w:hAnsi="Verdana" w:cs="Tahoma"/>
          <w:sz w:val="24"/>
          <w:szCs w:val="24"/>
        </w:rPr>
        <w:t xml:space="preserve">for the respondent, </w:t>
      </w:r>
      <w:r w:rsidR="000618BE">
        <w:rPr>
          <w:rFonts w:ascii="Verdana" w:hAnsi="Verdana" w:cs="Tahoma"/>
          <w:sz w:val="24"/>
          <w:szCs w:val="24"/>
        </w:rPr>
        <w:t xml:space="preserve">relied on </w:t>
      </w:r>
      <w:r w:rsidR="000618BE">
        <w:rPr>
          <w:rFonts w:ascii="Verdana" w:hAnsi="Verdana" w:cs="Tahoma"/>
          <w:i/>
          <w:sz w:val="24"/>
          <w:szCs w:val="24"/>
        </w:rPr>
        <w:t>Putter v Minister of Law and Order and Another NO</w:t>
      </w:r>
      <w:r w:rsidR="000618BE">
        <w:rPr>
          <w:rStyle w:val="FootnoteReference"/>
          <w:rFonts w:ascii="Verdana" w:hAnsi="Verdana" w:cs="Tahoma"/>
          <w:i/>
          <w:sz w:val="24"/>
          <w:szCs w:val="24"/>
        </w:rPr>
        <w:footnoteReference w:id="11"/>
      </w:r>
      <w:r w:rsidR="000618BE">
        <w:rPr>
          <w:rFonts w:ascii="Verdana" w:hAnsi="Verdana" w:cs="Tahoma"/>
          <w:i/>
          <w:sz w:val="24"/>
          <w:szCs w:val="24"/>
        </w:rPr>
        <w:t xml:space="preserve"> </w:t>
      </w:r>
      <w:r w:rsidR="000618BE" w:rsidRPr="000618BE">
        <w:rPr>
          <w:rFonts w:ascii="Verdana" w:hAnsi="Verdana" w:cs="Tahoma"/>
          <w:sz w:val="24"/>
          <w:szCs w:val="24"/>
        </w:rPr>
        <w:t>wh</w:t>
      </w:r>
      <w:r w:rsidR="000618BE">
        <w:rPr>
          <w:rFonts w:ascii="Verdana" w:hAnsi="Verdana" w:cs="Tahoma"/>
          <w:sz w:val="24"/>
          <w:szCs w:val="24"/>
        </w:rPr>
        <w:t>ere the Court</w:t>
      </w:r>
      <w:r w:rsidR="000618BE" w:rsidRPr="000618BE">
        <w:rPr>
          <w:rFonts w:ascii="Verdana" w:hAnsi="Verdana" w:cs="Tahoma"/>
          <w:sz w:val="24"/>
          <w:szCs w:val="24"/>
        </w:rPr>
        <w:t xml:space="preserve"> </w:t>
      </w:r>
      <w:r w:rsidR="000A27F5">
        <w:rPr>
          <w:rFonts w:ascii="Verdana" w:hAnsi="Verdana" w:cs="Tahoma"/>
          <w:sz w:val="24"/>
          <w:szCs w:val="24"/>
        </w:rPr>
        <w:t>pronounced:</w:t>
      </w:r>
    </w:p>
    <w:p w14:paraId="4DFA03E5" w14:textId="77777777" w:rsidR="000A27F5" w:rsidRPr="000A27F5" w:rsidRDefault="000A27F5" w:rsidP="00B900CA">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r>
      <w:r>
        <w:rPr>
          <w:rFonts w:ascii="Verdana" w:hAnsi="Verdana" w:cs="Tahoma"/>
          <w:i/>
          <w:sz w:val="24"/>
          <w:szCs w:val="24"/>
        </w:rPr>
        <w:t>“Clearly, it is fundamental that the company being wound up must be a company unable to pay its debts before any provision of the Insolvency Act can be applicable to such winding up.”</w:t>
      </w:r>
    </w:p>
    <w:p w14:paraId="0B744A6D" w14:textId="77777777" w:rsidR="002C6107" w:rsidRPr="00443E45" w:rsidRDefault="000A27F5" w:rsidP="00B900CA">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t xml:space="preserve">The Court in </w:t>
      </w:r>
      <w:r>
        <w:rPr>
          <w:rFonts w:ascii="Verdana" w:hAnsi="Verdana" w:cs="Tahoma"/>
          <w:i/>
          <w:sz w:val="24"/>
          <w:szCs w:val="24"/>
        </w:rPr>
        <w:t xml:space="preserve">Putter </w:t>
      </w:r>
      <w:r w:rsidR="000618BE">
        <w:rPr>
          <w:rFonts w:ascii="Verdana" w:hAnsi="Verdana" w:cs="Tahoma"/>
          <w:sz w:val="24"/>
          <w:szCs w:val="24"/>
        </w:rPr>
        <w:t xml:space="preserve">dealt with </w:t>
      </w:r>
      <w:r w:rsidR="00080C37">
        <w:rPr>
          <w:rFonts w:ascii="Verdana" w:hAnsi="Verdana" w:cs="Tahoma"/>
          <w:sz w:val="24"/>
          <w:szCs w:val="24"/>
        </w:rPr>
        <w:t xml:space="preserve">an application to set aside a warrant issued by the magistrate in terms of s 69(3) of the Insolvency Act without any notice to the applicant whose rights were affected. The </w:t>
      </w:r>
      <w:r w:rsidR="00080C37">
        <w:rPr>
          <w:rFonts w:ascii="Verdana" w:hAnsi="Verdana" w:cs="Tahoma"/>
          <w:sz w:val="24"/>
          <w:szCs w:val="24"/>
        </w:rPr>
        <w:lastRenderedPageBreak/>
        <w:t xml:space="preserve">allegation was that the applicant was unlawfully withholding a Mercedes Benz motor vehicle from the liquidator. </w:t>
      </w:r>
    </w:p>
    <w:p w14:paraId="0757F019" w14:textId="77777777" w:rsidR="00080C37" w:rsidRPr="000618BE" w:rsidRDefault="00080C37" w:rsidP="00B900CA">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53A2A0E9" w14:textId="77777777" w:rsidR="00C27EC5" w:rsidRDefault="00C27EC5"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2</w:t>
      </w:r>
      <w:r w:rsidR="00D822E6">
        <w:rPr>
          <w:rFonts w:ascii="Verdana" w:hAnsi="Verdana" w:cs="Tahoma"/>
          <w:sz w:val="24"/>
          <w:szCs w:val="24"/>
        </w:rPr>
        <w:t>4</w:t>
      </w:r>
      <w:r>
        <w:rPr>
          <w:rFonts w:ascii="Verdana" w:hAnsi="Verdana" w:cs="Tahoma"/>
          <w:sz w:val="24"/>
          <w:szCs w:val="24"/>
        </w:rPr>
        <w:t>]</w:t>
      </w:r>
      <w:r>
        <w:rPr>
          <w:rFonts w:ascii="Verdana" w:hAnsi="Verdana" w:cs="Tahoma"/>
          <w:sz w:val="24"/>
          <w:szCs w:val="24"/>
        </w:rPr>
        <w:tab/>
      </w:r>
      <w:r w:rsidR="00551733">
        <w:rPr>
          <w:rFonts w:ascii="Verdana" w:hAnsi="Verdana" w:cs="Tahoma"/>
          <w:sz w:val="24"/>
          <w:szCs w:val="24"/>
        </w:rPr>
        <w:t xml:space="preserve"> </w:t>
      </w:r>
      <w:r w:rsidR="00080C37">
        <w:rPr>
          <w:rFonts w:ascii="Verdana" w:hAnsi="Verdana" w:cs="Tahoma"/>
          <w:sz w:val="24"/>
          <w:szCs w:val="24"/>
        </w:rPr>
        <w:t>Sec 339 of the Companies Act</w:t>
      </w:r>
      <w:r w:rsidR="00080C37">
        <w:rPr>
          <w:rStyle w:val="FootnoteReference"/>
          <w:rFonts w:ascii="Verdana" w:hAnsi="Verdana" w:cs="Tahoma"/>
          <w:sz w:val="24"/>
          <w:szCs w:val="24"/>
        </w:rPr>
        <w:footnoteReference w:id="12"/>
      </w:r>
      <w:r w:rsidR="00080C37">
        <w:rPr>
          <w:rFonts w:ascii="Verdana" w:hAnsi="Verdana" w:cs="Tahoma"/>
          <w:sz w:val="24"/>
          <w:szCs w:val="24"/>
        </w:rPr>
        <w:t xml:space="preserve"> is applicable to com</w:t>
      </w:r>
      <w:r w:rsidR="00D03782">
        <w:rPr>
          <w:rFonts w:ascii="Verdana" w:hAnsi="Verdana" w:cs="Tahoma"/>
          <w:sz w:val="24"/>
          <w:szCs w:val="24"/>
        </w:rPr>
        <w:t>panies and Close Corporations, and</w:t>
      </w:r>
      <w:r w:rsidR="00080C37">
        <w:rPr>
          <w:rFonts w:ascii="Verdana" w:hAnsi="Verdana" w:cs="Tahoma"/>
          <w:sz w:val="24"/>
          <w:szCs w:val="24"/>
        </w:rPr>
        <w:t xml:space="preserve"> stipulates:</w:t>
      </w:r>
    </w:p>
    <w:p w14:paraId="2103DC78" w14:textId="77777777" w:rsidR="00080C37" w:rsidRDefault="00080C37" w:rsidP="002C6107">
      <w:pPr>
        <w:tabs>
          <w:tab w:val="left" w:pos="851"/>
          <w:tab w:val="left" w:pos="1701"/>
          <w:tab w:val="left" w:pos="2552"/>
          <w:tab w:val="right" w:pos="8931"/>
        </w:tabs>
        <w:spacing w:line="360" w:lineRule="auto"/>
        <w:ind w:left="851" w:hanging="851"/>
        <w:jc w:val="both"/>
        <w:rPr>
          <w:rFonts w:ascii="Verdana" w:hAnsi="Verdana" w:cs="Tahoma"/>
          <w:b/>
          <w:i/>
          <w:sz w:val="24"/>
          <w:szCs w:val="24"/>
        </w:rPr>
      </w:pPr>
      <w:r>
        <w:rPr>
          <w:rFonts w:ascii="Verdana" w:hAnsi="Verdana" w:cs="Tahoma"/>
          <w:sz w:val="24"/>
          <w:szCs w:val="24"/>
        </w:rPr>
        <w:tab/>
      </w:r>
      <w:r>
        <w:rPr>
          <w:rFonts w:ascii="Verdana" w:hAnsi="Verdana" w:cs="Tahoma"/>
          <w:i/>
          <w:sz w:val="24"/>
          <w:szCs w:val="24"/>
        </w:rPr>
        <w:t>“</w:t>
      </w:r>
      <w:r>
        <w:rPr>
          <w:rFonts w:ascii="Verdana" w:hAnsi="Verdana" w:cs="Tahoma"/>
          <w:b/>
          <w:i/>
          <w:sz w:val="24"/>
          <w:szCs w:val="24"/>
        </w:rPr>
        <w:t>Law of insolvency to be applied mutatis mutandis</w:t>
      </w:r>
      <w:r w:rsidR="002B2662">
        <w:rPr>
          <w:rFonts w:ascii="Verdana" w:hAnsi="Verdana" w:cs="Tahoma"/>
          <w:b/>
          <w:i/>
          <w:sz w:val="24"/>
          <w:szCs w:val="24"/>
        </w:rPr>
        <w:t>.</w:t>
      </w:r>
      <w:r w:rsidR="002B2662">
        <w:rPr>
          <w:rFonts w:ascii="Verdana" w:hAnsi="Verdana" w:cs="Tahoma"/>
          <w:b/>
          <w:i/>
          <w:sz w:val="24"/>
          <w:szCs w:val="24"/>
        </w:rPr>
        <w:softHyphen/>
      </w:r>
      <w:r w:rsidR="002B2662">
        <w:rPr>
          <w:rFonts w:ascii="Verdana" w:hAnsi="Verdana" w:cs="Tahoma"/>
          <w:b/>
          <w:i/>
          <w:sz w:val="24"/>
          <w:szCs w:val="24"/>
        </w:rPr>
        <w:softHyphen/>
      </w:r>
      <w:r w:rsidR="002B2662">
        <w:rPr>
          <w:rFonts w:ascii="Verdana" w:hAnsi="Verdana" w:cs="Tahoma"/>
          <w:b/>
          <w:i/>
          <w:sz w:val="24"/>
          <w:szCs w:val="24"/>
        </w:rPr>
        <w:softHyphen/>
        <w:t>-</w:t>
      </w:r>
    </w:p>
    <w:p w14:paraId="2C2DA88F" w14:textId="77777777" w:rsidR="00080C37" w:rsidRDefault="00080C37" w:rsidP="002C6107">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i/>
          <w:sz w:val="24"/>
          <w:szCs w:val="24"/>
        </w:rPr>
        <w:tab/>
        <w:t>In the winding-up of a company unable to pay its debts the provisions of the law relating to insolvency shall, insofar as they are applicable, be applied mutatis mutandis in respect of any matter not specifically provided for by this Act</w:t>
      </w:r>
      <w:r w:rsidR="0010654E">
        <w:rPr>
          <w:rFonts w:ascii="Verdana" w:hAnsi="Verdana" w:cs="Tahoma"/>
          <w:i/>
          <w:sz w:val="24"/>
          <w:szCs w:val="24"/>
        </w:rPr>
        <w:t>.”</w:t>
      </w:r>
    </w:p>
    <w:p w14:paraId="6EA83BEE" w14:textId="77777777" w:rsidR="008612D3" w:rsidRDefault="008612D3" w:rsidP="002C6107">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47100C53" w14:textId="77777777" w:rsidR="0010654E" w:rsidRPr="00AC6361" w:rsidRDefault="0010654E"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[2</w:t>
      </w:r>
      <w:r w:rsidR="00D822E6">
        <w:rPr>
          <w:rFonts w:ascii="Verdana" w:hAnsi="Verdana" w:cs="Tahoma"/>
          <w:sz w:val="24"/>
          <w:szCs w:val="24"/>
        </w:rPr>
        <w:t>5</w:t>
      </w:r>
      <w:r>
        <w:rPr>
          <w:rFonts w:ascii="Verdana" w:hAnsi="Verdana" w:cs="Tahoma"/>
          <w:sz w:val="24"/>
          <w:szCs w:val="24"/>
        </w:rPr>
        <w:t>]</w:t>
      </w:r>
      <w:r>
        <w:rPr>
          <w:rFonts w:ascii="Verdana" w:hAnsi="Verdana" w:cs="Tahoma"/>
          <w:sz w:val="24"/>
          <w:szCs w:val="24"/>
        </w:rPr>
        <w:tab/>
        <w:t xml:space="preserve">Mr Van Rensberg submitted that the applicant must allege in the founding papers that Gas City is unable to pay its debts and it has not done so. The respondent has raised the </w:t>
      </w:r>
      <w:r w:rsidR="00C47931">
        <w:rPr>
          <w:rFonts w:ascii="Verdana" w:hAnsi="Verdana" w:cs="Tahoma"/>
          <w:sz w:val="24"/>
          <w:szCs w:val="24"/>
        </w:rPr>
        <w:t xml:space="preserve">alleged </w:t>
      </w:r>
      <w:r>
        <w:rPr>
          <w:rFonts w:ascii="Verdana" w:hAnsi="Verdana" w:cs="Tahoma"/>
          <w:sz w:val="24"/>
          <w:szCs w:val="24"/>
        </w:rPr>
        <w:t xml:space="preserve">flaw in January 2022 but the applicants waited until a week before the hearing to bring </w:t>
      </w:r>
      <w:r w:rsidR="00C47931">
        <w:rPr>
          <w:rFonts w:ascii="Verdana" w:hAnsi="Verdana" w:cs="Tahoma"/>
          <w:sz w:val="24"/>
          <w:szCs w:val="24"/>
        </w:rPr>
        <w:t>the</w:t>
      </w:r>
      <w:r>
        <w:rPr>
          <w:rFonts w:ascii="Verdana" w:hAnsi="Verdana" w:cs="Tahoma"/>
          <w:sz w:val="24"/>
          <w:szCs w:val="24"/>
        </w:rPr>
        <w:t xml:space="preserve"> application</w:t>
      </w:r>
      <w:r w:rsidR="00C47931">
        <w:rPr>
          <w:rFonts w:ascii="Verdana" w:hAnsi="Verdana" w:cs="Tahoma"/>
          <w:sz w:val="24"/>
          <w:szCs w:val="24"/>
        </w:rPr>
        <w:t>.</w:t>
      </w:r>
      <w:r>
        <w:rPr>
          <w:rFonts w:ascii="Verdana" w:hAnsi="Verdana" w:cs="Tahoma"/>
          <w:sz w:val="24"/>
          <w:szCs w:val="24"/>
        </w:rPr>
        <w:t xml:space="preserve"> </w:t>
      </w:r>
      <w:r w:rsidR="006B56AB">
        <w:rPr>
          <w:rFonts w:ascii="Verdana" w:hAnsi="Verdana" w:cs="Tahoma"/>
          <w:sz w:val="24"/>
          <w:szCs w:val="24"/>
        </w:rPr>
        <w:t xml:space="preserve">Invoking </w:t>
      </w:r>
      <w:r w:rsidR="00AC6361">
        <w:rPr>
          <w:rFonts w:ascii="Verdana" w:hAnsi="Verdana" w:cs="Tahoma"/>
          <w:i/>
          <w:sz w:val="24"/>
          <w:szCs w:val="24"/>
        </w:rPr>
        <w:t>Van Wyk v Unitas Hospital and Another (Open Democratic Advice Centre as Amicus Curiae)</w:t>
      </w:r>
      <w:r w:rsidR="00AC6361">
        <w:rPr>
          <w:rStyle w:val="FootnoteReference"/>
          <w:rFonts w:ascii="Verdana" w:hAnsi="Verdana" w:cs="Tahoma"/>
          <w:i/>
          <w:sz w:val="24"/>
          <w:szCs w:val="24"/>
        </w:rPr>
        <w:footnoteReference w:id="13"/>
      </w:r>
      <w:r w:rsidR="00AC6361">
        <w:rPr>
          <w:rFonts w:ascii="Verdana" w:hAnsi="Verdana" w:cs="Tahoma"/>
          <w:i/>
          <w:sz w:val="24"/>
          <w:szCs w:val="24"/>
        </w:rPr>
        <w:t xml:space="preserve">, </w:t>
      </w:r>
      <w:r w:rsidR="00AC6361">
        <w:rPr>
          <w:rFonts w:ascii="Verdana" w:hAnsi="Verdana" w:cs="Tahoma"/>
          <w:sz w:val="24"/>
          <w:szCs w:val="24"/>
        </w:rPr>
        <w:t xml:space="preserve">Mr Van Rensburg argued that the applicants failed to apply for condonation for the late filing of the supplementary founding affidavit and must stand or fall by the founding affidavit and urged this Court to dismiss their application. </w:t>
      </w:r>
      <w:r w:rsidR="00AC6361">
        <w:rPr>
          <w:rFonts w:ascii="Verdana" w:hAnsi="Verdana" w:cs="Tahoma"/>
          <w:i/>
          <w:sz w:val="24"/>
          <w:szCs w:val="24"/>
        </w:rPr>
        <w:t xml:space="preserve"> </w:t>
      </w:r>
      <w:r w:rsidR="00AC6361">
        <w:rPr>
          <w:rFonts w:ascii="Verdana" w:hAnsi="Verdana" w:cs="Tahoma"/>
          <w:sz w:val="24"/>
          <w:szCs w:val="24"/>
        </w:rPr>
        <w:t>Mr Carstens</w:t>
      </w:r>
      <w:r w:rsidR="00C47931">
        <w:rPr>
          <w:rFonts w:ascii="Verdana" w:hAnsi="Verdana" w:cs="Tahoma"/>
          <w:sz w:val="24"/>
          <w:szCs w:val="24"/>
        </w:rPr>
        <w:t>, for the Liquidators,</w:t>
      </w:r>
      <w:r w:rsidR="00AC6361">
        <w:rPr>
          <w:rFonts w:ascii="Verdana" w:hAnsi="Verdana" w:cs="Tahoma"/>
          <w:sz w:val="24"/>
          <w:szCs w:val="24"/>
        </w:rPr>
        <w:t xml:space="preserve"> submitted that the applicants are not seeking condonation but merely asking the Court to grant the applicants leave to file an additional affidavit. What the respondent is doing, argued counsel, is ap</w:t>
      </w:r>
      <w:r w:rsidR="002B2662">
        <w:rPr>
          <w:rFonts w:ascii="Verdana" w:hAnsi="Verdana" w:cs="Tahoma"/>
          <w:sz w:val="24"/>
          <w:szCs w:val="24"/>
        </w:rPr>
        <w:t>p</w:t>
      </w:r>
      <w:r w:rsidR="00AC6361">
        <w:rPr>
          <w:rFonts w:ascii="Verdana" w:hAnsi="Verdana" w:cs="Tahoma"/>
          <w:sz w:val="24"/>
          <w:szCs w:val="24"/>
        </w:rPr>
        <w:t xml:space="preserve">robating and reprobating because a company in liquidation is insolvent and it will be to the benefit of the creditors </w:t>
      </w:r>
      <w:r w:rsidR="001F518F">
        <w:rPr>
          <w:rFonts w:ascii="Verdana" w:hAnsi="Verdana" w:cs="Tahoma"/>
          <w:sz w:val="24"/>
          <w:szCs w:val="24"/>
        </w:rPr>
        <w:t>who are already prejudiced by the insolvency to derive the best possible dividend from the winding up of the estate.</w:t>
      </w:r>
    </w:p>
    <w:p w14:paraId="4DB5B786" w14:textId="77777777" w:rsidR="00AC6361" w:rsidRPr="00AC6361" w:rsidRDefault="00AC6361" w:rsidP="002C6107">
      <w:pPr>
        <w:tabs>
          <w:tab w:val="left" w:pos="851"/>
          <w:tab w:val="left" w:pos="1701"/>
          <w:tab w:val="left" w:pos="2552"/>
          <w:tab w:val="right" w:pos="8931"/>
        </w:tabs>
        <w:spacing w:line="360" w:lineRule="auto"/>
        <w:ind w:left="851" w:hanging="851"/>
        <w:jc w:val="both"/>
        <w:rPr>
          <w:rFonts w:ascii="Verdana" w:hAnsi="Verdana" w:cs="Tahoma"/>
          <w:b/>
          <w:sz w:val="24"/>
          <w:szCs w:val="24"/>
        </w:rPr>
      </w:pPr>
    </w:p>
    <w:p w14:paraId="4F4E74AF" w14:textId="77777777" w:rsidR="00B364C4" w:rsidRDefault="00B364C4" w:rsidP="002C6107">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lastRenderedPageBreak/>
        <w:t>[</w:t>
      </w:r>
      <w:r w:rsidR="00BD6D00">
        <w:rPr>
          <w:rFonts w:ascii="Verdana" w:hAnsi="Verdana" w:cs="Tahoma"/>
          <w:sz w:val="24"/>
          <w:szCs w:val="24"/>
        </w:rPr>
        <w:t>2</w:t>
      </w:r>
      <w:r w:rsidR="00D822E6">
        <w:rPr>
          <w:rFonts w:ascii="Verdana" w:hAnsi="Verdana" w:cs="Tahoma"/>
          <w:sz w:val="24"/>
          <w:szCs w:val="24"/>
        </w:rPr>
        <w:t>6</w:t>
      </w:r>
      <w:r>
        <w:rPr>
          <w:rFonts w:ascii="Verdana" w:hAnsi="Verdana" w:cs="Tahoma"/>
          <w:sz w:val="24"/>
          <w:szCs w:val="24"/>
        </w:rPr>
        <w:t>]</w:t>
      </w:r>
      <w:r>
        <w:rPr>
          <w:rFonts w:ascii="Verdana" w:hAnsi="Verdana" w:cs="Tahoma"/>
          <w:sz w:val="24"/>
          <w:szCs w:val="24"/>
        </w:rPr>
        <w:tab/>
        <w:t xml:space="preserve">On the issue of whether the applicants should be permitted to file a further affidavit or not. The general practice relating to the number of affidavits is settled. Ordinarily, the rule is that three </w:t>
      </w:r>
      <w:r w:rsidR="00015F27">
        <w:rPr>
          <w:rFonts w:ascii="Verdana" w:hAnsi="Verdana" w:cs="Tahoma"/>
          <w:sz w:val="24"/>
          <w:szCs w:val="24"/>
        </w:rPr>
        <w:t>sets of affidavits are allowed. The Court may in its discretion permit the filing of further affidavits</w:t>
      </w:r>
      <w:r w:rsidR="00814AD5">
        <w:rPr>
          <w:rFonts w:ascii="Verdana" w:hAnsi="Verdana" w:cs="Tahoma"/>
          <w:sz w:val="24"/>
          <w:szCs w:val="24"/>
        </w:rPr>
        <w:t xml:space="preserve"> (</w:t>
      </w:r>
      <w:r w:rsidR="00C47931" w:rsidRPr="001F6CD6">
        <w:rPr>
          <w:rFonts w:ascii="Verdana" w:hAnsi="Verdana" w:cs="Tahoma"/>
          <w:i/>
          <w:sz w:val="24"/>
          <w:szCs w:val="24"/>
        </w:rPr>
        <w:t>S</w:t>
      </w:r>
      <w:r w:rsidR="00015F27" w:rsidRPr="001F6CD6">
        <w:rPr>
          <w:rFonts w:ascii="Verdana" w:hAnsi="Verdana" w:cs="Tahoma"/>
          <w:i/>
          <w:sz w:val="24"/>
          <w:szCs w:val="24"/>
        </w:rPr>
        <w:t>ee Rule 6(5) of the Uniform Rules of Court</w:t>
      </w:r>
      <w:r w:rsidR="00814AD5">
        <w:rPr>
          <w:rFonts w:ascii="Verdana" w:hAnsi="Verdana" w:cs="Tahoma"/>
          <w:sz w:val="24"/>
          <w:szCs w:val="24"/>
        </w:rPr>
        <w:t>)</w:t>
      </w:r>
      <w:r w:rsidR="00015F27">
        <w:rPr>
          <w:rFonts w:ascii="Verdana" w:hAnsi="Verdana" w:cs="Tahoma"/>
          <w:sz w:val="24"/>
          <w:szCs w:val="24"/>
        </w:rPr>
        <w:t>. The filing of a further affidavit is therefore not there merely for the asking as without the Court’s leave to do so</w:t>
      </w:r>
      <w:r w:rsidR="00814AD5">
        <w:rPr>
          <w:rFonts w:ascii="Verdana" w:hAnsi="Verdana" w:cs="Tahoma"/>
          <w:sz w:val="24"/>
          <w:szCs w:val="24"/>
        </w:rPr>
        <w:t>,</w:t>
      </w:r>
      <w:r w:rsidR="00015F27">
        <w:rPr>
          <w:rFonts w:ascii="Verdana" w:hAnsi="Verdana" w:cs="Tahoma"/>
          <w:sz w:val="24"/>
          <w:szCs w:val="24"/>
        </w:rPr>
        <w:t xml:space="preserve"> such affidavit may be regarded as </w:t>
      </w:r>
      <w:r w:rsidR="00015F27">
        <w:rPr>
          <w:rFonts w:ascii="Verdana" w:hAnsi="Verdana" w:cs="Tahoma"/>
          <w:i/>
          <w:sz w:val="24"/>
          <w:szCs w:val="24"/>
        </w:rPr>
        <w:t xml:space="preserve">pro non scripto. </w:t>
      </w:r>
    </w:p>
    <w:p w14:paraId="0FDF31B9" w14:textId="77777777" w:rsidR="00015F27" w:rsidRDefault="00015F27" w:rsidP="002C6107">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00833903" w14:textId="77777777" w:rsidR="00C47931" w:rsidRDefault="00015F27" w:rsidP="002C610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2</w:t>
      </w:r>
      <w:r w:rsidR="00D822E6">
        <w:rPr>
          <w:rFonts w:ascii="Verdana" w:hAnsi="Verdana" w:cs="Tahoma"/>
          <w:sz w:val="24"/>
          <w:szCs w:val="24"/>
        </w:rPr>
        <w:t>7</w:t>
      </w:r>
      <w:r>
        <w:rPr>
          <w:rFonts w:ascii="Verdana" w:hAnsi="Verdana" w:cs="Tahoma"/>
          <w:sz w:val="24"/>
          <w:szCs w:val="24"/>
        </w:rPr>
        <w:t>]</w:t>
      </w:r>
      <w:r>
        <w:rPr>
          <w:rFonts w:ascii="Verdana" w:hAnsi="Verdana" w:cs="Tahoma"/>
          <w:sz w:val="24"/>
          <w:szCs w:val="24"/>
        </w:rPr>
        <w:tab/>
      </w:r>
      <w:r w:rsidR="002F3688">
        <w:rPr>
          <w:rFonts w:ascii="Verdana" w:hAnsi="Verdana" w:cs="Tahoma"/>
          <w:sz w:val="24"/>
          <w:szCs w:val="24"/>
        </w:rPr>
        <w:t>A</w:t>
      </w:r>
      <w:r w:rsidR="00756747">
        <w:rPr>
          <w:rFonts w:ascii="Verdana" w:hAnsi="Verdana" w:cs="Tahoma"/>
          <w:sz w:val="24"/>
          <w:szCs w:val="24"/>
        </w:rPr>
        <w:t xml:space="preserve"> litigant who seeks to serve additional affidavits is under a duty to provide a proper and satisfactory </w:t>
      </w:r>
      <w:r w:rsidR="003E61A4">
        <w:rPr>
          <w:rFonts w:ascii="Verdana" w:hAnsi="Verdana" w:cs="Tahoma"/>
          <w:sz w:val="24"/>
          <w:szCs w:val="24"/>
        </w:rPr>
        <w:t xml:space="preserve">explanation acceptable to the Court </w:t>
      </w:r>
      <w:r w:rsidR="00756747">
        <w:rPr>
          <w:rFonts w:ascii="Verdana" w:hAnsi="Verdana" w:cs="Tahoma"/>
          <w:sz w:val="24"/>
          <w:szCs w:val="24"/>
        </w:rPr>
        <w:t xml:space="preserve">as to the cause or reasons why the information was not placed before the Court </w:t>
      </w:r>
      <w:r w:rsidR="000A27F5">
        <w:rPr>
          <w:rFonts w:ascii="Verdana" w:hAnsi="Verdana" w:cs="Tahoma"/>
          <w:sz w:val="24"/>
          <w:szCs w:val="24"/>
        </w:rPr>
        <w:t xml:space="preserve">at </w:t>
      </w:r>
      <w:r w:rsidR="00756747">
        <w:rPr>
          <w:rFonts w:ascii="Verdana" w:hAnsi="Verdana" w:cs="Tahoma"/>
          <w:sz w:val="24"/>
          <w:szCs w:val="24"/>
        </w:rPr>
        <w:t xml:space="preserve">an </w:t>
      </w:r>
      <w:r w:rsidR="00C47931">
        <w:rPr>
          <w:rFonts w:ascii="Verdana" w:hAnsi="Verdana" w:cs="Tahoma"/>
          <w:sz w:val="24"/>
          <w:szCs w:val="24"/>
        </w:rPr>
        <w:t>appropriate</w:t>
      </w:r>
      <w:r w:rsidR="00756747">
        <w:rPr>
          <w:rFonts w:ascii="Verdana" w:hAnsi="Verdana" w:cs="Tahoma"/>
          <w:sz w:val="24"/>
          <w:szCs w:val="24"/>
        </w:rPr>
        <w:t xml:space="preserve"> stage</w:t>
      </w:r>
      <w:r w:rsidR="002F3688">
        <w:rPr>
          <w:rFonts w:ascii="Verdana" w:hAnsi="Verdana" w:cs="Tahoma"/>
          <w:sz w:val="24"/>
          <w:szCs w:val="24"/>
        </w:rPr>
        <w:t xml:space="preserve">. </w:t>
      </w:r>
      <w:r w:rsidR="00756747">
        <w:rPr>
          <w:rFonts w:ascii="Verdana" w:hAnsi="Verdana" w:cs="Tahoma"/>
          <w:sz w:val="24"/>
          <w:szCs w:val="24"/>
        </w:rPr>
        <w:t xml:space="preserve"> I am of the view that since the respondent’s case is that the applicants have failed to demonstrate </w:t>
      </w:r>
      <w:r w:rsidR="002F3688">
        <w:rPr>
          <w:rFonts w:ascii="Verdana" w:hAnsi="Verdana" w:cs="Tahoma"/>
          <w:sz w:val="24"/>
          <w:szCs w:val="24"/>
        </w:rPr>
        <w:t xml:space="preserve">in their case </w:t>
      </w:r>
      <w:r w:rsidR="00756747">
        <w:rPr>
          <w:rFonts w:ascii="Verdana" w:hAnsi="Verdana" w:cs="Tahoma"/>
          <w:sz w:val="24"/>
          <w:szCs w:val="24"/>
        </w:rPr>
        <w:t xml:space="preserve">that </w:t>
      </w:r>
      <w:r w:rsidR="002F3688">
        <w:rPr>
          <w:rFonts w:ascii="Verdana" w:hAnsi="Verdana" w:cs="Tahoma"/>
          <w:sz w:val="24"/>
          <w:szCs w:val="24"/>
        </w:rPr>
        <w:t>Gas City is unable to pay its debts</w:t>
      </w:r>
      <w:r w:rsidR="000A27F5">
        <w:rPr>
          <w:rFonts w:ascii="Verdana" w:hAnsi="Verdana" w:cs="Tahoma"/>
          <w:sz w:val="24"/>
          <w:szCs w:val="24"/>
        </w:rPr>
        <w:t xml:space="preserve"> in the founding affidavit</w:t>
      </w:r>
      <w:r w:rsidR="002F3688">
        <w:rPr>
          <w:rFonts w:ascii="Verdana" w:hAnsi="Verdana" w:cs="Tahoma"/>
          <w:sz w:val="24"/>
          <w:szCs w:val="24"/>
        </w:rPr>
        <w:t xml:space="preserve">, the additional affidavit seeks to elaborate on para 4.1 of </w:t>
      </w:r>
      <w:r w:rsidR="000A27F5">
        <w:rPr>
          <w:rFonts w:ascii="Verdana" w:hAnsi="Verdana" w:cs="Tahoma"/>
          <w:sz w:val="24"/>
          <w:szCs w:val="24"/>
        </w:rPr>
        <w:t>the applicants’</w:t>
      </w:r>
      <w:r w:rsidR="002F3688">
        <w:rPr>
          <w:rFonts w:ascii="Verdana" w:hAnsi="Verdana" w:cs="Tahoma"/>
          <w:sz w:val="24"/>
          <w:szCs w:val="24"/>
        </w:rPr>
        <w:t xml:space="preserve"> founding affidavit pertaining to the certificate issued by the </w:t>
      </w:r>
      <w:r w:rsidR="009C5F35">
        <w:rPr>
          <w:rFonts w:ascii="Verdana" w:hAnsi="Verdana" w:cs="Tahoma"/>
          <w:sz w:val="24"/>
          <w:szCs w:val="24"/>
        </w:rPr>
        <w:t>Commissioner: CIPC.</w:t>
      </w:r>
      <w:r w:rsidR="000A27F5" w:rsidRPr="000A27F5">
        <w:rPr>
          <w:rFonts w:ascii="Verdana" w:hAnsi="Verdana" w:cs="Tahoma"/>
          <w:sz w:val="24"/>
          <w:szCs w:val="24"/>
        </w:rPr>
        <w:t xml:space="preserve"> This court retains the discretion to admit further affidavits if it is in the interests of justice to do so. </w:t>
      </w:r>
    </w:p>
    <w:p w14:paraId="452EE169" w14:textId="77777777" w:rsidR="00015F27" w:rsidRPr="00C47931" w:rsidRDefault="00C47931" w:rsidP="002C6107">
      <w:pPr>
        <w:tabs>
          <w:tab w:val="left" w:pos="851"/>
          <w:tab w:val="left" w:pos="1701"/>
          <w:tab w:val="left" w:pos="2552"/>
          <w:tab w:val="right" w:pos="8931"/>
        </w:tabs>
        <w:spacing w:line="360" w:lineRule="auto"/>
        <w:ind w:left="851" w:hanging="851"/>
        <w:jc w:val="both"/>
        <w:rPr>
          <w:rFonts w:ascii="Verdana" w:hAnsi="Verdana" w:cs="Tahoma"/>
          <w:b/>
          <w:color w:val="FF0000"/>
          <w:sz w:val="24"/>
          <w:szCs w:val="24"/>
        </w:rPr>
      </w:pPr>
      <w:r>
        <w:rPr>
          <w:rFonts w:ascii="Verdana" w:hAnsi="Verdana" w:cs="Tahoma"/>
          <w:sz w:val="24"/>
          <w:szCs w:val="24"/>
        </w:rPr>
        <w:tab/>
      </w:r>
      <w:r w:rsidR="002F3688" w:rsidRPr="00C47931">
        <w:rPr>
          <w:rFonts w:ascii="Verdana" w:hAnsi="Verdana" w:cs="Tahoma"/>
          <w:b/>
          <w:sz w:val="24"/>
          <w:szCs w:val="24"/>
        </w:rPr>
        <w:t xml:space="preserve">I am </w:t>
      </w:r>
      <w:r w:rsidR="00756747" w:rsidRPr="00C47931">
        <w:rPr>
          <w:rFonts w:ascii="Verdana" w:hAnsi="Verdana" w:cs="Tahoma"/>
          <w:b/>
          <w:sz w:val="24"/>
          <w:szCs w:val="24"/>
        </w:rPr>
        <w:t>satisfied that no pre</w:t>
      </w:r>
      <w:r w:rsidR="002F3688" w:rsidRPr="00C47931">
        <w:rPr>
          <w:rFonts w:ascii="Verdana" w:hAnsi="Verdana" w:cs="Tahoma"/>
          <w:b/>
          <w:sz w:val="24"/>
          <w:szCs w:val="24"/>
        </w:rPr>
        <w:t>judice is caused to the respondent in accepting the additional affidavit with its annexures.</w:t>
      </w:r>
      <w:r w:rsidR="000A27F5" w:rsidRPr="001F6CD6">
        <w:rPr>
          <w:rStyle w:val="FootnoteReference"/>
          <w:rFonts w:ascii="Verdana" w:hAnsi="Verdana" w:cs="Tahoma"/>
          <w:sz w:val="24"/>
          <w:szCs w:val="24"/>
        </w:rPr>
        <w:footnoteReference w:id="14"/>
      </w:r>
      <w:r w:rsidR="009C5F35" w:rsidRPr="001F6CD6">
        <w:rPr>
          <w:rFonts w:ascii="Verdana" w:hAnsi="Verdana" w:cs="Tahoma"/>
          <w:sz w:val="24"/>
          <w:szCs w:val="24"/>
        </w:rPr>
        <w:t xml:space="preserve"> </w:t>
      </w:r>
    </w:p>
    <w:p w14:paraId="328A5143" w14:textId="77777777" w:rsidR="00015F27" w:rsidRPr="00015F27" w:rsidRDefault="00015F27" w:rsidP="002C6107">
      <w:pPr>
        <w:tabs>
          <w:tab w:val="left" w:pos="851"/>
          <w:tab w:val="left" w:pos="1701"/>
          <w:tab w:val="left" w:pos="2552"/>
          <w:tab w:val="right" w:pos="8931"/>
        </w:tabs>
        <w:spacing w:line="360" w:lineRule="auto"/>
        <w:ind w:left="851" w:hanging="851"/>
        <w:jc w:val="both"/>
        <w:rPr>
          <w:rFonts w:ascii="Verdana" w:hAnsi="Verdana" w:cs="Tahoma"/>
          <w:b/>
          <w:sz w:val="24"/>
          <w:szCs w:val="24"/>
        </w:rPr>
      </w:pPr>
    </w:p>
    <w:p w14:paraId="7F5C4DA7" w14:textId="77777777" w:rsidR="00C47931" w:rsidRDefault="009C5F35"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2</w:t>
      </w:r>
      <w:r w:rsidR="00D822E6">
        <w:rPr>
          <w:rFonts w:ascii="Verdana" w:hAnsi="Verdana" w:cs="Tahoma"/>
          <w:sz w:val="24"/>
          <w:szCs w:val="24"/>
        </w:rPr>
        <w:t>8</w:t>
      </w:r>
      <w:r>
        <w:rPr>
          <w:rFonts w:ascii="Verdana" w:hAnsi="Verdana" w:cs="Tahoma"/>
          <w:sz w:val="24"/>
          <w:szCs w:val="24"/>
        </w:rPr>
        <w:t>]</w:t>
      </w:r>
      <w:r>
        <w:rPr>
          <w:rFonts w:ascii="Verdana" w:hAnsi="Verdana" w:cs="Tahoma"/>
          <w:sz w:val="24"/>
          <w:szCs w:val="24"/>
        </w:rPr>
        <w:tab/>
        <w:t xml:space="preserve">Mr Van Rensburg argued that there is also a fundamental flaw in the applicants’ founding papers caused by the failure </w:t>
      </w:r>
      <w:r w:rsidR="00C47931">
        <w:rPr>
          <w:rFonts w:ascii="Verdana" w:hAnsi="Verdana" w:cs="Tahoma"/>
          <w:sz w:val="24"/>
          <w:szCs w:val="24"/>
        </w:rPr>
        <w:t>of</w:t>
      </w:r>
      <w:r>
        <w:rPr>
          <w:rFonts w:ascii="Verdana" w:hAnsi="Verdana" w:cs="Tahoma"/>
          <w:sz w:val="24"/>
          <w:szCs w:val="24"/>
        </w:rPr>
        <w:t xml:space="preserve"> the second applicant to show that they are acting jointly as liquidators. In countering this submission Mr Carstens submitted that both liquidators are before court and had that not been the case, the respondent should have invoked Rule 7 of the Uniform Rules of Court </w:t>
      </w:r>
      <w:r>
        <w:rPr>
          <w:rFonts w:ascii="Verdana" w:hAnsi="Verdana" w:cs="Tahoma"/>
          <w:sz w:val="24"/>
          <w:szCs w:val="24"/>
        </w:rPr>
        <w:lastRenderedPageBreak/>
        <w:t xml:space="preserve">to attack their authority, which was not done.  </w:t>
      </w:r>
      <w:r w:rsidR="00702054">
        <w:rPr>
          <w:rFonts w:ascii="Verdana" w:hAnsi="Verdana" w:cs="Tahoma"/>
          <w:sz w:val="24"/>
          <w:szCs w:val="24"/>
        </w:rPr>
        <w:t xml:space="preserve">The second applicant has also deposed to a confirmatory affidavit confirming the contents of the founding affidavit. </w:t>
      </w:r>
      <w:r w:rsidR="00C47931">
        <w:rPr>
          <w:rFonts w:ascii="Verdana" w:hAnsi="Verdana" w:cs="Tahoma"/>
          <w:sz w:val="24"/>
          <w:szCs w:val="24"/>
        </w:rPr>
        <w:t>A</w:t>
      </w:r>
      <w:r w:rsidR="00702054">
        <w:rPr>
          <w:rFonts w:ascii="Verdana" w:hAnsi="Verdana" w:cs="Tahoma"/>
          <w:sz w:val="24"/>
          <w:szCs w:val="24"/>
        </w:rPr>
        <w:t xml:space="preserve">ttacking the absence of </w:t>
      </w:r>
      <w:r w:rsidR="00C47931">
        <w:rPr>
          <w:rFonts w:ascii="Verdana" w:hAnsi="Verdana" w:cs="Tahoma"/>
          <w:sz w:val="24"/>
          <w:szCs w:val="24"/>
        </w:rPr>
        <w:t>a</w:t>
      </w:r>
      <w:r w:rsidR="00702054">
        <w:rPr>
          <w:rFonts w:ascii="Verdana" w:hAnsi="Verdana" w:cs="Tahoma"/>
          <w:sz w:val="24"/>
          <w:szCs w:val="24"/>
        </w:rPr>
        <w:t xml:space="preserve"> confirmatory affidavit is without merit</w:t>
      </w:r>
      <w:r w:rsidR="00C47931">
        <w:rPr>
          <w:rFonts w:ascii="Verdana" w:hAnsi="Verdana" w:cs="Tahoma"/>
          <w:sz w:val="24"/>
          <w:szCs w:val="24"/>
        </w:rPr>
        <w:t>.</w:t>
      </w:r>
      <w:r w:rsidR="00702054">
        <w:rPr>
          <w:rFonts w:ascii="Verdana" w:hAnsi="Verdana" w:cs="Tahoma"/>
          <w:sz w:val="24"/>
          <w:szCs w:val="24"/>
        </w:rPr>
        <w:t xml:space="preserve"> </w:t>
      </w:r>
    </w:p>
    <w:p w14:paraId="131C0977" w14:textId="77777777" w:rsidR="00551733" w:rsidRDefault="00C47931"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sidR="00702054">
        <w:rPr>
          <w:rFonts w:ascii="Verdana" w:hAnsi="Verdana" w:cs="Tahoma"/>
          <w:sz w:val="24"/>
          <w:szCs w:val="24"/>
        </w:rPr>
        <w:t xml:space="preserve">I am satisfied that both liquidators are </w:t>
      </w:r>
      <w:r>
        <w:rPr>
          <w:rFonts w:ascii="Verdana" w:hAnsi="Verdana" w:cs="Tahoma"/>
          <w:sz w:val="24"/>
          <w:szCs w:val="24"/>
        </w:rPr>
        <w:t xml:space="preserve">properly </w:t>
      </w:r>
      <w:r w:rsidR="00702054">
        <w:rPr>
          <w:rFonts w:ascii="Verdana" w:hAnsi="Verdana" w:cs="Tahoma"/>
          <w:sz w:val="24"/>
          <w:szCs w:val="24"/>
        </w:rPr>
        <w:t xml:space="preserve">before me. </w:t>
      </w:r>
    </w:p>
    <w:p w14:paraId="35A3CF35" w14:textId="77777777" w:rsidR="009C5F35" w:rsidRDefault="00702054"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6850E7D6" w14:textId="77777777" w:rsidR="00702054" w:rsidRPr="00702054" w:rsidRDefault="00702054" w:rsidP="00DB5B63">
      <w:pPr>
        <w:tabs>
          <w:tab w:val="left" w:pos="851"/>
          <w:tab w:val="left" w:pos="1701"/>
          <w:tab w:val="left" w:pos="2552"/>
          <w:tab w:val="right" w:pos="8931"/>
        </w:tabs>
        <w:spacing w:line="360" w:lineRule="auto"/>
        <w:ind w:left="851" w:hanging="851"/>
        <w:jc w:val="both"/>
        <w:rPr>
          <w:rFonts w:ascii="Verdana" w:hAnsi="Verdana" w:cs="Tahoma"/>
          <w:sz w:val="24"/>
          <w:szCs w:val="24"/>
          <w:u w:val="single"/>
        </w:rPr>
      </w:pPr>
      <w:r>
        <w:rPr>
          <w:rFonts w:ascii="Verdana" w:hAnsi="Verdana" w:cs="Tahoma"/>
          <w:sz w:val="24"/>
          <w:szCs w:val="24"/>
        </w:rPr>
        <w:tab/>
      </w:r>
      <w:r>
        <w:rPr>
          <w:rFonts w:ascii="Verdana" w:hAnsi="Verdana" w:cs="Tahoma"/>
          <w:sz w:val="24"/>
          <w:szCs w:val="24"/>
          <w:u w:val="single"/>
        </w:rPr>
        <w:t xml:space="preserve">The fourth point </w:t>
      </w:r>
      <w:r>
        <w:rPr>
          <w:rFonts w:ascii="Verdana" w:hAnsi="Verdana" w:cs="Tahoma"/>
          <w:i/>
          <w:sz w:val="24"/>
          <w:szCs w:val="24"/>
          <w:u w:val="single"/>
        </w:rPr>
        <w:t xml:space="preserve">in limine: </w:t>
      </w:r>
      <w:r w:rsidRPr="00702054">
        <w:rPr>
          <w:rFonts w:ascii="Verdana" w:hAnsi="Verdana" w:cs="Tahoma"/>
          <w:i/>
          <w:sz w:val="24"/>
          <w:szCs w:val="24"/>
          <w:u w:val="single"/>
        </w:rPr>
        <w:t>That the applicants lack jurisdiction to seek a declaratory order</w:t>
      </w:r>
    </w:p>
    <w:p w14:paraId="02DAF6CE" w14:textId="77777777" w:rsidR="00707AFC" w:rsidRDefault="00551733"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A01704">
        <w:rPr>
          <w:rFonts w:ascii="Verdana" w:hAnsi="Verdana" w:cs="Tahoma"/>
          <w:sz w:val="24"/>
          <w:szCs w:val="24"/>
        </w:rPr>
        <w:t>2</w:t>
      </w:r>
      <w:r w:rsidR="00D822E6">
        <w:rPr>
          <w:rFonts w:ascii="Verdana" w:hAnsi="Verdana" w:cs="Tahoma"/>
          <w:sz w:val="24"/>
          <w:szCs w:val="24"/>
        </w:rPr>
        <w:t>9</w:t>
      </w:r>
      <w:r>
        <w:rPr>
          <w:rFonts w:ascii="Verdana" w:hAnsi="Verdana" w:cs="Tahoma"/>
          <w:sz w:val="24"/>
          <w:szCs w:val="24"/>
        </w:rPr>
        <w:t>]</w:t>
      </w:r>
      <w:r>
        <w:rPr>
          <w:rFonts w:ascii="Verdana" w:hAnsi="Verdana" w:cs="Tahoma"/>
          <w:sz w:val="24"/>
          <w:szCs w:val="24"/>
        </w:rPr>
        <w:tab/>
      </w:r>
      <w:r w:rsidR="00702054">
        <w:rPr>
          <w:rFonts w:ascii="Verdana" w:hAnsi="Verdana" w:cs="Tahoma"/>
          <w:sz w:val="24"/>
          <w:szCs w:val="24"/>
        </w:rPr>
        <w:t xml:space="preserve">It was submitted on behalf of the respondent that the relief sought in </w:t>
      </w:r>
      <w:r w:rsidR="001E26CC">
        <w:rPr>
          <w:rFonts w:ascii="Verdana" w:hAnsi="Verdana" w:cs="Tahoma"/>
          <w:sz w:val="24"/>
          <w:szCs w:val="24"/>
        </w:rPr>
        <w:t xml:space="preserve">Part B </w:t>
      </w:r>
      <w:r w:rsidR="00702054">
        <w:rPr>
          <w:rFonts w:ascii="Verdana" w:hAnsi="Verdana" w:cs="Tahoma"/>
          <w:sz w:val="24"/>
          <w:szCs w:val="24"/>
        </w:rPr>
        <w:t>is misconstrued a</w:t>
      </w:r>
      <w:r w:rsidR="002236EB">
        <w:rPr>
          <w:rFonts w:ascii="Verdana" w:hAnsi="Verdana" w:cs="Tahoma"/>
          <w:sz w:val="24"/>
          <w:szCs w:val="24"/>
        </w:rPr>
        <w:t>s</w:t>
      </w:r>
      <w:r w:rsidR="00702054">
        <w:rPr>
          <w:rFonts w:ascii="Verdana" w:hAnsi="Verdana" w:cs="Tahoma"/>
          <w:sz w:val="24"/>
          <w:szCs w:val="24"/>
        </w:rPr>
        <w:t xml:space="preserve"> the Court is not competent to grant such an order. </w:t>
      </w:r>
      <w:r w:rsidR="00707AFC">
        <w:rPr>
          <w:rFonts w:ascii="Verdana" w:hAnsi="Verdana" w:cs="Tahoma"/>
          <w:sz w:val="24"/>
          <w:szCs w:val="24"/>
        </w:rPr>
        <w:t>The contention by the respondent is that wh</w:t>
      </w:r>
      <w:r w:rsidR="002236EB">
        <w:rPr>
          <w:rFonts w:ascii="Verdana" w:hAnsi="Verdana" w:cs="Tahoma"/>
          <w:sz w:val="24"/>
          <w:szCs w:val="24"/>
        </w:rPr>
        <w:t>ereas</w:t>
      </w:r>
      <w:r w:rsidR="00707AFC">
        <w:rPr>
          <w:rFonts w:ascii="Verdana" w:hAnsi="Verdana" w:cs="Tahoma"/>
          <w:sz w:val="24"/>
          <w:szCs w:val="24"/>
        </w:rPr>
        <w:t xml:space="preserve"> s</w:t>
      </w:r>
      <w:r w:rsidR="002236EB">
        <w:rPr>
          <w:rFonts w:ascii="Verdana" w:hAnsi="Verdana" w:cs="Tahoma"/>
          <w:sz w:val="24"/>
          <w:szCs w:val="24"/>
        </w:rPr>
        <w:t>s</w:t>
      </w:r>
      <w:r w:rsidR="00707AFC">
        <w:rPr>
          <w:rFonts w:ascii="Verdana" w:hAnsi="Verdana" w:cs="Tahoma"/>
          <w:sz w:val="24"/>
          <w:szCs w:val="24"/>
        </w:rPr>
        <w:t xml:space="preserve"> 142 and 145 </w:t>
      </w:r>
      <w:r w:rsidR="002236EB">
        <w:rPr>
          <w:rFonts w:ascii="Verdana" w:hAnsi="Verdana" w:cs="Tahoma"/>
          <w:sz w:val="24"/>
          <w:szCs w:val="24"/>
        </w:rPr>
        <w:t>provide</w:t>
      </w:r>
      <w:r w:rsidR="00707AFC">
        <w:rPr>
          <w:rFonts w:ascii="Verdana" w:hAnsi="Verdana" w:cs="Tahoma"/>
          <w:sz w:val="24"/>
          <w:szCs w:val="24"/>
        </w:rPr>
        <w:t xml:space="preserve"> criminal penalties for the contravention of the Insolvency Act, </w:t>
      </w:r>
      <w:r w:rsidR="002236EB">
        <w:rPr>
          <w:rFonts w:ascii="Verdana" w:hAnsi="Verdana" w:cs="Tahoma"/>
          <w:sz w:val="24"/>
          <w:szCs w:val="24"/>
        </w:rPr>
        <w:t xml:space="preserve">it was for </w:t>
      </w:r>
      <w:r w:rsidR="00707AFC">
        <w:rPr>
          <w:rFonts w:ascii="Verdana" w:hAnsi="Verdana" w:cs="Tahoma"/>
          <w:sz w:val="24"/>
          <w:szCs w:val="24"/>
        </w:rPr>
        <w:t xml:space="preserve">the National Prosecuting Authority (NPA) </w:t>
      </w:r>
      <w:r w:rsidR="002236EB">
        <w:rPr>
          <w:rFonts w:ascii="Verdana" w:hAnsi="Verdana" w:cs="Tahoma"/>
          <w:sz w:val="24"/>
          <w:szCs w:val="24"/>
        </w:rPr>
        <w:t xml:space="preserve">to </w:t>
      </w:r>
      <w:r w:rsidR="00707AFC">
        <w:rPr>
          <w:rFonts w:ascii="Verdana" w:hAnsi="Verdana" w:cs="Tahoma"/>
          <w:sz w:val="24"/>
          <w:szCs w:val="24"/>
        </w:rPr>
        <w:t xml:space="preserve">prosecute such crimes. The criminal courts must </w:t>
      </w:r>
      <w:r w:rsidR="002236EB">
        <w:rPr>
          <w:rFonts w:ascii="Verdana" w:hAnsi="Verdana" w:cs="Tahoma"/>
          <w:sz w:val="24"/>
          <w:szCs w:val="24"/>
        </w:rPr>
        <w:t xml:space="preserve">then </w:t>
      </w:r>
      <w:r w:rsidR="00707AFC">
        <w:rPr>
          <w:rFonts w:ascii="Verdana" w:hAnsi="Verdana" w:cs="Tahoma"/>
          <w:sz w:val="24"/>
          <w:szCs w:val="24"/>
        </w:rPr>
        <w:t>decide on such matters based on the merits. It is for that reason, so the argument went</w:t>
      </w:r>
      <w:r w:rsidR="002236EB">
        <w:rPr>
          <w:rFonts w:ascii="Verdana" w:hAnsi="Verdana" w:cs="Tahoma"/>
          <w:sz w:val="24"/>
          <w:szCs w:val="24"/>
        </w:rPr>
        <w:t>,</w:t>
      </w:r>
      <w:r w:rsidR="00707AFC">
        <w:rPr>
          <w:rFonts w:ascii="Verdana" w:hAnsi="Verdana" w:cs="Tahoma"/>
          <w:sz w:val="24"/>
          <w:szCs w:val="24"/>
        </w:rPr>
        <w:t xml:space="preserve"> that the applicants do not need the High Court to refer the matter to the NPA for investigation and further</w:t>
      </w:r>
      <w:r w:rsidR="0079733A">
        <w:rPr>
          <w:rFonts w:ascii="Verdana" w:hAnsi="Verdana" w:cs="Tahoma"/>
          <w:sz w:val="24"/>
          <w:szCs w:val="24"/>
        </w:rPr>
        <w:t>,</w:t>
      </w:r>
      <w:r w:rsidR="00707AFC">
        <w:rPr>
          <w:rFonts w:ascii="Verdana" w:hAnsi="Verdana" w:cs="Tahoma"/>
          <w:sz w:val="24"/>
          <w:szCs w:val="24"/>
        </w:rPr>
        <w:t xml:space="preserve"> s 142(2) does not apply to </w:t>
      </w:r>
      <w:r w:rsidR="002236EB">
        <w:rPr>
          <w:rFonts w:ascii="Verdana" w:hAnsi="Verdana" w:cs="Tahoma"/>
          <w:sz w:val="24"/>
          <w:szCs w:val="24"/>
        </w:rPr>
        <w:t xml:space="preserve">the </w:t>
      </w:r>
      <w:r w:rsidR="00707AFC">
        <w:rPr>
          <w:rFonts w:ascii="Verdana" w:hAnsi="Verdana" w:cs="Tahoma"/>
          <w:sz w:val="24"/>
          <w:szCs w:val="24"/>
        </w:rPr>
        <w:t xml:space="preserve">assets, known to the trustee. The section is designed to punish transgressors who fail to disclose to a trustee the existence and whereabouts of the insolvent’s assets and fail to deliver them to the trustee.  It is on this basis that the respondent argues that the application in Part B is </w:t>
      </w:r>
      <w:r w:rsidR="002236EB">
        <w:rPr>
          <w:rFonts w:ascii="Verdana" w:hAnsi="Verdana" w:cs="Tahoma"/>
          <w:sz w:val="24"/>
          <w:szCs w:val="24"/>
        </w:rPr>
        <w:t xml:space="preserve">an </w:t>
      </w:r>
      <w:r w:rsidR="00707AFC">
        <w:rPr>
          <w:rFonts w:ascii="Verdana" w:hAnsi="Verdana" w:cs="Tahoma"/>
          <w:sz w:val="24"/>
          <w:szCs w:val="24"/>
        </w:rPr>
        <w:t xml:space="preserve">abuse of Court process used for an ulterior motive </w:t>
      </w:r>
      <w:r w:rsidR="002236EB">
        <w:rPr>
          <w:rFonts w:ascii="Verdana" w:hAnsi="Verdana" w:cs="Tahoma"/>
          <w:sz w:val="24"/>
          <w:szCs w:val="24"/>
        </w:rPr>
        <w:t xml:space="preserve">or </w:t>
      </w:r>
      <w:r w:rsidR="00707AFC">
        <w:rPr>
          <w:rFonts w:ascii="Verdana" w:hAnsi="Verdana" w:cs="Tahoma"/>
          <w:sz w:val="24"/>
          <w:szCs w:val="24"/>
        </w:rPr>
        <w:t xml:space="preserve">to intimidate and harass the respondent. </w:t>
      </w:r>
    </w:p>
    <w:p w14:paraId="253AEC31" w14:textId="77777777" w:rsidR="005C4D74" w:rsidRDefault="005C4D74"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6083E5D9" w14:textId="77777777" w:rsidR="007E6212" w:rsidRPr="005E205E" w:rsidRDefault="00707AFC"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D822E6">
        <w:rPr>
          <w:rFonts w:ascii="Verdana" w:hAnsi="Verdana" w:cs="Tahoma"/>
          <w:sz w:val="24"/>
          <w:szCs w:val="24"/>
        </w:rPr>
        <w:t>30</w:t>
      </w:r>
      <w:r>
        <w:rPr>
          <w:rFonts w:ascii="Verdana" w:hAnsi="Verdana" w:cs="Tahoma"/>
          <w:sz w:val="24"/>
          <w:szCs w:val="24"/>
        </w:rPr>
        <w:t>]</w:t>
      </w:r>
      <w:r>
        <w:rPr>
          <w:rFonts w:ascii="Verdana" w:hAnsi="Verdana" w:cs="Tahoma"/>
          <w:sz w:val="24"/>
          <w:szCs w:val="24"/>
        </w:rPr>
        <w:tab/>
      </w:r>
      <w:r w:rsidR="007E6212">
        <w:rPr>
          <w:rFonts w:ascii="Verdana" w:hAnsi="Verdana" w:cs="Tahoma"/>
          <w:sz w:val="24"/>
          <w:szCs w:val="24"/>
        </w:rPr>
        <w:t>In countering the aforementioned submissions Mr Carstens submitted that both the common law and s 21 (1)(c) of the Superior Courts Act</w:t>
      </w:r>
      <w:r w:rsidR="007E6212">
        <w:rPr>
          <w:rStyle w:val="FootnoteReference"/>
          <w:rFonts w:ascii="Verdana" w:hAnsi="Verdana" w:cs="Tahoma"/>
          <w:sz w:val="24"/>
          <w:szCs w:val="24"/>
        </w:rPr>
        <w:footnoteReference w:id="15"/>
      </w:r>
      <w:r w:rsidR="002236EB">
        <w:rPr>
          <w:rFonts w:ascii="Verdana" w:hAnsi="Verdana" w:cs="Tahoma"/>
          <w:sz w:val="24"/>
          <w:szCs w:val="24"/>
        </w:rPr>
        <w:t xml:space="preserve"> authorise declaratory relief. </w:t>
      </w:r>
      <w:r w:rsidR="005E205E">
        <w:rPr>
          <w:rFonts w:ascii="Verdana" w:hAnsi="Verdana" w:cs="Tahoma"/>
          <w:sz w:val="24"/>
          <w:szCs w:val="24"/>
        </w:rPr>
        <w:t xml:space="preserve">Contrary to what the respondent alleges in its answering affidavit, namely, that the High Court lacks jurisdiction to grant a declaratory order </w:t>
      </w:r>
      <w:r w:rsidR="002236EB">
        <w:rPr>
          <w:rFonts w:ascii="Verdana" w:hAnsi="Verdana" w:cs="Tahoma"/>
          <w:sz w:val="24"/>
          <w:szCs w:val="24"/>
        </w:rPr>
        <w:t xml:space="preserve">to the effect </w:t>
      </w:r>
      <w:r w:rsidR="005E205E">
        <w:rPr>
          <w:rFonts w:ascii="Verdana" w:hAnsi="Verdana" w:cs="Tahoma"/>
          <w:sz w:val="24"/>
          <w:szCs w:val="24"/>
        </w:rPr>
        <w:t xml:space="preserve">that </w:t>
      </w:r>
      <w:r w:rsidR="005E205E">
        <w:rPr>
          <w:rFonts w:ascii="Verdana" w:hAnsi="Verdana" w:cs="Tahoma"/>
          <w:sz w:val="24"/>
          <w:szCs w:val="24"/>
        </w:rPr>
        <w:lastRenderedPageBreak/>
        <w:t>the respondent is guilty of a criminal offence</w:t>
      </w:r>
      <w:r w:rsidR="002236EB">
        <w:rPr>
          <w:rFonts w:ascii="Verdana" w:hAnsi="Verdana" w:cs="Tahoma"/>
          <w:sz w:val="24"/>
          <w:szCs w:val="24"/>
        </w:rPr>
        <w:t>,</w:t>
      </w:r>
      <w:r w:rsidR="005E205E">
        <w:rPr>
          <w:rFonts w:ascii="Verdana" w:hAnsi="Verdana" w:cs="Tahoma"/>
          <w:sz w:val="24"/>
          <w:szCs w:val="24"/>
        </w:rPr>
        <w:t xml:space="preserve"> without a criminal trial, the applicants do not seek </w:t>
      </w:r>
      <w:r w:rsidR="002236EB">
        <w:rPr>
          <w:rFonts w:ascii="Verdana" w:hAnsi="Verdana" w:cs="Tahoma"/>
          <w:sz w:val="24"/>
          <w:szCs w:val="24"/>
        </w:rPr>
        <w:t>such</w:t>
      </w:r>
      <w:r w:rsidR="005E205E">
        <w:rPr>
          <w:rFonts w:ascii="Verdana" w:hAnsi="Verdana" w:cs="Tahoma"/>
          <w:sz w:val="24"/>
          <w:szCs w:val="24"/>
        </w:rPr>
        <w:t xml:space="preserve"> finding. What the</w:t>
      </w:r>
      <w:r w:rsidR="002236EB">
        <w:rPr>
          <w:rFonts w:ascii="Verdana" w:hAnsi="Verdana" w:cs="Tahoma"/>
          <w:sz w:val="24"/>
          <w:szCs w:val="24"/>
        </w:rPr>
        <w:t>y</w:t>
      </w:r>
      <w:r w:rsidR="005E205E">
        <w:rPr>
          <w:rFonts w:ascii="Verdana" w:hAnsi="Verdana" w:cs="Tahoma"/>
          <w:sz w:val="24"/>
          <w:szCs w:val="24"/>
        </w:rPr>
        <w:t xml:space="preserve"> are seeking is a finding that the respondent has contravened sections 142 and 145 of the Insolvency Act and thereafter to refer the matter to the NPA, </w:t>
      </w:r>
      <w:r w:rsidR="00F2074F">
        <w:rPr>
          <w:rFonts w:ascii="Verdana" w:hAnsi="Verdana" w:cs="Tahoma"/>
          <w:sz w:val="24"/>
          <w:szCs w:val="24"/>
        </w:rPr>
        <w:t xml:space="preserve">an independent institution, </w:t>
      </w:r>
      <w:r w:rsidR="005E205E">
        <w:rPr>
          <w:rFonts w:ascii="Verdana" w:hAnsi="Verdana" w:cs="Tahoma"/>
          <w:sz w:val="24"/>
          <w:szCs w:val="24"/>
        </w:rPr>
        <w:t xml:space="preserve">which will decide whether to institute criminal proceedings or not. </w:t>
      </w:r>
    </w:p>
    <w:p w14:paraId="3F15A2B4" w14:textId="77777777" w:rsidR="007E6212" w:rsidRDefault="007E6212" w:rsidP="00DB5B63">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3C0FAA4F" w14:textId="77777777" w:rsidR="00707AFC" w:rsidRDefault="007E6212"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sidRPr="007E6212">
        <w:rPr>
          <w:rFonts w:ascii="Verdana" w:hAnsi="Verdana" w:cs="Tahoma"/>
          <w:sz w:val="24"/>
          <w:szCs w:val="24"/>
        </w:rPr>
        <w:t>[</w:t>
      </w:r>
      <w:r w:rsidR="00E169B0">
        <w:rPr>
          <w:rFonts w:ascii="Verdana" w:hAnsi="Verdana" w:cs="Tahoma"/>
          <w:sz w:val="24"/>
          <w:szCs w:val="24"/>
        </w:rPr>
        <w:t>3</w:t>
      </w:r>
      <w:r w:rsidR="00D822E6">
        <w:rPr>
          <w:rFonts w:ascii="Verdana" w:hAnsi="Verdana" w:cs="Tahoma"/>
          <w:sz w:val="24"/>
          <w:szCs w:val="24"/>
        </w:rPr>
        <w:t>1</w:t>
      </w:r>
      <w:r w:rsidRPr="007E6212">
        <w:rPr>
          <w:rFonts w:ascii="Verdana" w:hAnsi="Verdana" w:cs="Tahoma"/>
          <w:sz w:val="24"/>
          <w:szCs w:val="24"/>
        </w:rPr>
        <w:t>]</w:t>
      </w:r>
      <w:r>
        <w:rPr>
          <w:rFonts w:ascii="Verdana" w:hAnsi="Verdana" w:cs="Tahoma"/>
          <w:i/>
          <w:sz w:val="24"/>
          <w:szCs w:val="24"/>
        </w:rPr>
        <w:tab/>
      </w:r>
      <w:r>
        <w:rPr>
          <w:rFonts w:ascii="Verdana" w:hAnsi="Verdana" w:cs="Tahoma"/>
          <w:sz w:val="24"/>
          <w:szCs w:val="24"/>
        </w:rPr>
        <w:t xml:space="preserve">The Supreme Court of Appeal in </w:t>
      </w:r>
      <w:r>
        <w:rPr>
          <w:rFonts w:ascii="Verdana" w:hAnsi="Verdana" w:cs="Tahoma"/>
          <w:i/>
          <w:sz w:val="24"/>
          <w:szCs w:val="24"/>
        </w:rPr>
        <w:t>Langa CJ and Others v Hlophe</w:t>
      </w:r>
      <w:r>
        <w:rPr>
          <w:rStyle w:val="FootnoteReference"/>
          <w:rFonts w:ascii="Verdana" w:hAnsi="Verdana" w:cs="Tahoma"/>
          <w:i/>
          <w:sz w:val="24"/>
          <w:szCs w:val="24"/>
        </w:rPr>
        <w:footnoteReference w:id="16"/>
      </w:r>
      <w:r>
        <w:rPr>
          <w:rFonts w:ascii="Verdana" w:hAnsi="Verdana" w:cs="Tahoma"/>
          <w:i/>
          <w:sz w:val="24"/>
          <w:szCs w:val="24"/>
        </w:rPr>
        <w:t xml:space="preserve"> </w:t>
      </w:r>
      <w:r w:rsidRPr="007E6212">
        <w:rPr>
          <w:rFonts w:ascii="Verdana" w:hAnsi="Verdana" w:cs="Tahoma"/>
          <w:sz w:val="24"/>
          <w:szCs w:val="24"/>
        </w:rPr>
        <w:t xml:space="preserve">made these </w:t>
      </w:r>
      <w:r>
        <w:rPr>
          <w:rFonts w:ascii="Verdana" w:hAnsi="Verdana" w:cs="Tahoma"/>
          <w:sz w:val="24"/>
          <w:szCs w:val="24"/>
        </w:rPr>
        <w:t>instructive remarks:</w:t>
      </w:r>
    </w:p>
    <w:p w14:paraId="40056726" w14:textId="77777777" w:rsidR="007E6212" w:rsidRPr="003F2421" w:rsidRDefault="007E6212"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Pr>
          <w:rFonts w:ascii="Verdana" w:hAnsi="Verdana" w:cs="Tahoma"/>
          <w:i/>
          <w:sz w:val="24"/>
          <w:szCs w:val="24"/>
        </w:rPr>
        <w:t xml:space="preserve">“[28] The jurisdiction </w:t>
      </w:r>
      <w:r w:rsidR="00D3175A">
        <w:rPr>
          <w:rFonts w:ascii="Verdana" w:hAnsi="Verdana" w:cs="Tahoma"/>
          <w:i/>
          <w:sz w:val="24"/>
          <w:szCs w:val="24"/>
        </w:rPr>
        <w:t xml:space="preserve">of a High Court to grant a declaration of rights is derived from s 19(1)(a)(ii) of the Supreme Court Act. The Court may, at the instance of any interested person, enquire into and declare any existing, future or contingent right or obligation, notwithstanding that the applicant cannot claim any relief consequential upon such determination. This involves a two-stage enquiry: First, the court must be satisfied that the applicant is a person interested in an ‘existing, future or contingent right or obligation’, and then, if satisfied, it must decide whether the case is a proper one for the exercise of its discretion (Durban City Council v Association of Building Societies 1942 AD 27 at 32).” </w:t>
      </w:r>
      <w:r w:rsidR="00BD0A98">
        <w:rPr>
          <w:rStyle w:val="CommentReference"/>
        </w:rPr>
        <w:commentReference w:id="2"/>
      </w:r>
    </w:p>
    <w:p w14:paraId="2A52FD77" w14:textId="77777777" w:rsidR="00707AFC" w:rsidRDefault="00707AFC"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4CD27DD8" w14:textId="77777777" w:rsidR="007B73A8" w:rsidRDefault="003F2421" w:rsidP="00DB5B6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3</w:t>
      </w:r>
      <w:r w:rsidR="00D822E6">
        <w:rPr>
          <w:rFonts w:ascii="Verdana" w:hAnsi="Verdana" w:cs="Tahoma"/>
          <w:sz w:val="24"/>
          <w:szCs w:val="24"/>
        </w:rPr>
        <w:t>2</w:t>
      </w:r>
      <w:r>
        <w:rPr>
          <w:rFonts w:ascii="Verdana" w:hAnsi="Verdana" w:cs="Tahoma"/>
          <w:sz w:val="24"/>
          <w:szCs w:val="24"/>
        </w:rPr>
        <w:t>]</w:t>
      </w:r>
      <w:r>
        <w:rPr>
          <w:rFonts w:ascii="Verdana" w:hAnsi="Verdana" w:cs="Tahoma"/>
          <w:sz w:val="24"/>
          <w:szCs w:val="24"/>
        </w:rPr>
        <w:tab/>
        <w:t>Mahomed CJ caution</w:t>
      </w:r>
      <w:r w:rsidR="00F2074F">
        <w:rPr>
          <w:rFonts w:ascii="Verdana" w:hAnsi="Verdana" w:cs="Tahoma"/>
          <w:sz w:val="24"/>
          <w:szCs w:val="24"/>
        </w:rPr>
        <w:t>ed</w:t>
      </w:r>
      <w:r>
        <w:rPr>
          <w:rFonts w:ascii="Verdana" w:hAnsi="Verdana" w:cs="Tahoma"/>
          <w:sz w:val="24"/>
          <w:szCs w:val="24"/>
        </w:rPr>
        <w:t xml:space="preserve"> against abuse of process i</w:t>
      </w:r>
      <w:r w:rsidR="00CD29BA">
        <w:rPr>
          <w:rFonts w:ascii="Verdana" w:hAnsi="Verdana" w:cs="Tahoma"/>
          <w:sz w:val="24"/>
          <w:szCs w:val="24"/>
        </w:rPr>
        <w:t xml:space="preserve">n </w:t>
      </w:r>
      <w:r w:rsidR="00CD29BA">
        <w:rPr>
          <w:rFonts w:ascii="Verdana" w:hAnsi="Verdana" w:cs="Tahoma"/>
          <w:i/>
          <w:sz w:val="24"/>
          <w:szCs w:val="24"/>
        </w:rPr>
        <w:t>Beinash v Wixley</w:t>
      </w:r>
      <w:r>
        <w:rPr>
          <w:rStyle w:val="FootnoteReference"/>
          <w:rFonts w:ascii="Verdana" w:hAnsi="Verdana" w:cs="Tahoma"/>
          <w:i/>
          <w:sz w:val="24"/>
          <w:szCs w:val="24"/>
        </w:rPr>
        <w:footnoteReference w:id="17"/>
      </w:r>
      <w:r>
        <w:rPr>
          <w:rFonts w:ascii="Verdana" w:hAnsi="Verdana" w:cs="Tahoma"/>
          <w:i/>
          <w:sz w:val="24"/>
          <w:szCs w:val="24"/>
        </w:rPr>
        <w:t xml:space="preserve"> </w:t>
      </w:r>
      <w:r w:rsidR="00F2074F">
        <w:rPr>
          <w:rFonts w:ascii="Verdana" w:hAnsi="Verdana" w:cs="Tahoma"/>
          <w:sz w:val="24"/>
          <w:szCs w:val="24"/>
        </w:rPr>
        <w:t>in these terms</w:t>
      </w:r>
      <w:r w:rsidR="005D081F">
        <w:rPr>
          <w:rFonts w:ascii="Verdana" w:hAnsi="Verdana" w:cs="Tahoma"/>
          <w:sz w:val="24"/>
          <w:szCs w:val="24"/>
        </w:rPr>
        <w:t>:</w:t>
      </w:r>
    </w:p>
    <w:p w14:paraId="4232A97A" w14:textId="77777777" w:rsidR="00C309E5" w:rsidRDefault="005D081F" w:rsidP="005D081F">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r>
      <w:r>
        <w:rPr>
          <w:rFonts w:ascii="Verdana" w:hAnsi="Verdana" w:cs="Tahoma"/>
          <w:i/>
          <w:sz w:val="24"/>
          <w:szCs w:val="24"/>
        </w:rPr>
        <w:t>“There can be no doubt that every Court is entitled to protect itself and others against an abuse of its processes. …… As was said by De Villiers JA in Hudson v Hudson and Another 1927 AD 259 at 268:</w:t>
      </w:r>
    </w:p>
    <w:p w14:paraId="2C9C7747" w14:textId="77777777" w:rsidR="005D081F" w:rsidRDefault="005D081F" w:rsidP="005D081F">
      <w:pPr>
        <w:tabs>
          <w:tab w:val="left" w:pos="851"/>
          <w:tab w:val="left" w:pos="1701"/>
          <w:tab w:val="left" w:pos="2552"/>
          <w:tab w:val="right" w:pos="8931"/>
        </w:tabs>
        <w:spacing w:line="360" w:lineRule="auto"/>
        <w:ind w:left="851" w:hanging="851"/>
        <w:jc w:val="both"/>
        <w:rPr>
          <w:rFonts w:ascii="Verdana" w:hAnsi="Verdana" w:cs="Tahoma"/>
          <w:i/>
          <w:sz w:val="22"/>
          <w:szCs w:val="22"/>
        </w:rPr>
      </w:pPr>
      <w:r>
        <w:rPr>
          <w:rFonts w:ascii="Verdana" w:hAnsi="Verdana" w:cs="Tahoma"/>
          <w:i/>
          <w:sz w:val="24"/>
          <w:szCs w:val="24"/>
        </w:rPr>
        <w:tab/>
      </w:r>
      <w:r>
        <w:rPr>
          <w:rFonts w:ascii="Verdana" w:hAnsi="Verdana" w:cs="Tahoma"/>
          <w:i/>
          <w:sz w:val="24"/>
          <w:szCs w:val="24"/>
        </w:rPr>
        <w:tab/>
        <w:t>‘</w:t>
      </w:r>
      <w:r>
        <w:rPr>
          <w:rFonts w:ascii="Verdana" w:hAnsi="Verdana" w:cs="Tahoma"/>
          <w:i/>
          <w:sz w:val="22"/>
          <w:szCs w:val="22"/>
        </w:rPr>
        <w:t xml:space="preserve">When…..the Court finds an attempt made to use for ulterior </w:t>
      </w:r>
      <w:r>
        <w:rPr>
          <w:rFonts w:ascii="Verdana" w:hAnsi="Verdana" w:cs="Tahoma"/>
          <w:i/>
          <w:sz w:val="22"/>
          <w:szCs w:val="22"/>
        </w:rPr>
        <w:tab/>
        <w:t xml:space="preserve">purposes machinery devised for the better administration of </w:t>
      </w:r>
      <w:r>
        <w:rPr>
          <w:rFonts w:ascii="Verdana" w:hAnsi="Verdana" w:cs="Tahoma"/>
          <w:i/>
          <w:sz w:val="22"/>
          <w:szCs w:val="22"/>
        </w:rPr>
        <w:tab/>
        <w:t>justice, it is the duty of the Court to prevent such abuse.”</w:t>
      </w:r>
    </w:p>
    <w:p w14:paraId="09989CFD" w14:textId="77777777" w:rsidR="005D081F" w:rsidRDefault="005D081F" w:rsidP="005D081F">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i/>
          <w:sz w:val="24"/>
          <w:szCs w:val="24"/>
        </w:rPr>
        <w:lastRenderedPageBreak/>
        <w:tab/>
        <w:t>What does constitute an abuse of the process of the Court is a matter which needs to be determined by circumstances of each case. There can be no all-encompassing definition of the concept of ‘abuse of process’. It can be said in general terms, however, that an abuse of process takes place where the procedures permitted by the Rules of the Court to facilitate the p</w:t>
      </w:r>
      <w:r w:rsidR="003A23B3">
        <w:rPr>
          <w:rFonts w:ascii="Verdana" w:hAnsi="Verdana" w:cs="Tahoma"/>
          <w:i/>
          <w:sz w:val="24"/>
          <w:szCs w:val="24"/>
        </w:rPr>
        <w:t>u</w:t>
      </w:r>
      <w:r>
        <w:rPr>
          <w:rFonts w:ascii="Verdana" w:hAnsi="Verdana" w:cs="Tahoma"/>
          <w:i/>
          <w:sz w:val="24"/>
          <w:szCs w:val="24"/>
        </w:rPr>
        <w:t>rsuit of the truth are used for a purpose extraneous to that objective.”</w:t>
      </w:r>
    </w:p>
    <w:p w14:paraId="3ECB403F" w14:textId="77777777" w:rsidR="005D081F" w:rsidRDefault="005D081F" w:rsidP="005D081F">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166C7C6B" w14:textId="77777777" w:rsidR="005D081F" w:rsidRDefault="005D081F" w:rsidP="005D081F">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3</w:t>
      </w:r>
      <w:r w:rsidR="00D822E6">
        <w:rPr>
          <w:rFonts w:ascii="Verdana" w:hAnsi="Verdana" w:cs="Tahoma"/>
          <w:sz w:val="24"/>
          <w:szCs w:val="24"/>
        </w:rPr>
        <w:t>3</w:t>
      </w:r>
      <w:r>
        <w:rPr>
          <w:rFonts w:ascii="Verdana" w:hAnsi="Verdana" w:cs="Tahoma"/>
          <w:sz w:val="24"/>
          <w:szCs w:val="24"/>
        </w:rPr>
        <w:t>]</w:t>
      </w:r>
      <w:r>
        <w:rPr>
          <w:rFonts w:ascii="Verdana" w:hAnsi="Verdana" w:cs="Tahoma"/>
          <w:sz w:val="24"/>
          <w:szCs w:val="24"/>
        </w:rPr>
        <w:tab/>
        <w:t>Regard being had to the circumstances of this case</w:t>
      </w:r>
      <w:r w:rsidR="000B3B2C">
        <w:rPr>
          <w:rFonts w:ascii="Verdana" w:hAnsi="Verdana" w:cs="Tahoma"/>
          <w:sz w:val="24"/>
          <w:szCs w:val="24"/>
        </w:rPr>
        <w:t xml:space="preserve">, </w:t>
      </w:r>
      <w:r>
        <w:rPr>
          <w:rFonts w:ascii="Verdana" w:hAnsi="Verdana" w:cs="Tahoma"/>
          <w:sz w:val="24"/>
          <w:szCs w:val="24"/>
        </w:rPr>
        <w:t xml:space="preserve">I am of the view that </w:t>
      </w:r>
      <w:r w:rsidR="000B3B2C">
        <w:rPr>
          <w:rFonts w:ascii="Verdana" w:hAnsi="Verdana" w:cs="Tahoma"/>
          <w:sz w:val="24"/>
          <w:szCs w:val="24"/>
        </w:rPr>
        <w:t xml:space="preserve">a proper case has been made out that in the exercise of my discretion </w:t>
      </w:r>
      <w:r w:rsidR="00CB2D8B">
        <w:rPr>
          <w:rFonts w:ascii="Verdana" w:hAnsi="Verdana" w:cs="Tahoma"/>
          <w:sz w:val="24"/>
          <w:szCs w:val="24"/>
        </w:rPr>
        <w:t xml:space="preserve">I </w:t>
      </w:r>
      <w:r w:rsidR="003E61A4">
        <w:rPr>
          <w:rFonts w:ascii="Verdana" w:hAnsi="Verdana" w:cs="Tahoma"/>
          <w:sz w:val="24"/>
          <w:szCs w:val="24"/>
        </w:rPr>
        <w:t xml:space="preserve">should </w:t>
      </w:r>
      <w:r w:rsidR="00CB2D8B">
        <w:rPr>
          <w:rFonts w:ascii="Verdana" w:hAnsi="Verdana" w:cs="Tahoma"/>
          <w:sz w:val="24"/>
          <w:szCs w:val="24"/>
        </w:rPr>
        <w:t>find</w:t>
      </w:r>
      <w:r w:rsidR="000B3B2C">
        <w:rPr>
          <w:rFonts w:ascii="Verdana" w:hAnsi="Verdana" w:cs="Tahoma"/>
          <w:sz w:val="24"/>
          <w:szCs w:val="24"/>
        </w:rPr>
        <w:t xml:space="preserve"> that there has been a contravention of sections 142 and 145 of the Insolvency Act. </w:t>
      </w:r>
      <w:r w:rsidR="00CB2D8B">
        <w:rPr>
          <w:rFonts w:ascii="Verdana" w:hAnsi="Verdana" w:cs="Tahoma"/>
          <w:sz w:val="24"/>
          <w:szCs w:val="24"/>
        </w:rPr>
        <w:t xml:space="preserve">I could not discern any basis for the respondent’s refusal to release the assets against the backdrop of the assurance for its lien not to be disturbed and </w:t>
      </w:r>
      <w:r w:rsidR="00F2074F">
        <w:rPr>
          <w:rFonts w:ascii="Verdana" w:hAnsi="Verdana" w:cs="Tahoma"/>
          <w:sz w:val="24"/>
          <w:szCs w:val="24"/>
        </w:rPr>
        <w:t xml:space="preserve">the </w:t>
      </w:r>
      <w:r w:rsidR="00CB2D8B">
        <w:rPr>
          <w:rFonts w:ascii="Verdana" w:hAnsi="Verdana" w:cs="Tahoma"/>
          <w:sz w:val="24"/>
          <w:szCs w:val="24"/>
        </w:rPr>
        <w:t xml:space="preserve">offer to take over the full amount of the respondent’s claim. </w:t>
      </w:r>
      <w:r w:rsidR="000B3B2C">
        <w:rPr>
          <w:rFonts w:ascii="Verdana" w:hAnsi="Verdana" w:cs="Tahoma"/>
          <w:sz w:val="24"/>
          <w:szCs w:val="24"/>
        </w:rPr>
        <w:t xml:space="preserve">It is only proper </w:t>
      </w:r>
      <w:r w:rsidR="00CB2D8B">
        <w:rPr>
          <w:rFonts w:ascii="Verdana" w:hAnsi="Verdana" w:cs="Tahoma"/>
          <w:sz w:val="24"/>
          <w:szCs w:val="24"/>
        </w:rPr>
        <w:t xml:space="preserve">that </w:t>
      </w:r>
      <w:r w:rsidR="000B3B2C">
        <w:rPr>
          <w:rFonts w:ascii="Verdana" w:hAnsi="Verdana" w:cs="Tahoma"/>
          <w:sz w:val="24"/>
          <w:szCs w:val="24"/>
        </w:rPr>
        <w:t xml:space="preserve">this matter be referred to the NPA for </w:t>
      </w:r>
      <w:r w:rsidR="00CB2D8B">
        <w:rPr>
          <w:rFonts w:ascii="Verdana" w:hAnsi="Verdana" w:cs="Tahoma"/>
          <w:sz w:val="24"/>
          <w:szCs w:val="24"/>
        </w:rPr>
        <w:t>investigation</w:t>
      </w:r>
      <w:r w:rsidR="000B3B2C">
        <w:rPr>
          <w:rFonts w:ascii="Verdana" w:hAnsi="Verdana" w:cs="Tahoma"/>
          <w:sz w:val="24"/>
          <w:szCs w:val="24"/>
        </w:rPr>
        <w:t xml:space="preserve">. It follows that the point </w:t>
      </w:r>
      <w:r w:rsidR="000B3B2C">
        <w:rPr>
          <w:rFonts w:ascii="Verdana" w:hAnsi="Verdana" w:cs="Tahoma"/>
          <w:i/>
          <w:sz w:val="24"/>
          <w:szCs w:val="24"/>
        </w:rPr>
        <w:t xml:space="preserve">in limine </w:t>
      </w:r>
      <w:r w:rsidR="000B3B2C">
        <w:rPr>
          <w:rFonts w:ascii="Verdana" w:hAnsi="Verdana" w:cs="Tahoma"/>
          <w:sz w:val="24"/>
          <w:szCs w:val="24"/>
        </w:rPr>
        <w:t xml:space="preserve">pertaining to the lack of jurisdiction for a declarator is without merit and </w:t>
      </w:r>
      <w:r w:rsidR="00F2074F">
        <w:rPr>
          <w:rFonts w:ascii="Verdana" w:hAnsi="Verdana" w:cs="Tahoma"/>
          <w:sz w:val="24"/>
          <w:szCs w:val="24"/>
        </w:rPr>
        <w:t xml:space="preserve">also </w:t>
      </w:r>
      <w:r w:rsidR="000B3B2C">
        <w:rPr>
          <w:rFonts w:ascii="Verdana" w:hAnsi="Verdana" w:cs="Tahoma"/>
          <w:sz w:val="24"/>
          <w:szCs w:val="24"/>
        </w:rPr>
        <w:t xml:space="preserve">stands to fail. </w:t>
      </w:r>
    </w:p>
    <w:p w14:paraId="5AEDCBF1" w14:textId="77777777" w:rsidR="00BD6D00" w:rsidRDefault="00BD6D00" w:rsidP="005D081F">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6FB5C9CB" w14:textId="77777777" w:rsidR="00CB2D8B" w:rsidRDefault="00CB2D8B" w:rsidP="005D081F">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6D00">
        <w:rPr>
          <w:rFonts w:ascii="Verdana" w:hAnsi="Verdana" w:cs="Tahoma"/>
          <w:sz w:val="24"/>
          <w:szCs w:val="24"/>
        </w:rPr>
        <w:t>3</w:t>
      </w:r>
      <w:r w:rsidR="00D822E6">
        <w:rPr>
          <w:rFonts w:ascii="Verdana" w:hAnsi="Verdana" w:cs="Tahoma"/>
          <w:sz w:val="24"/>
          <w:szCs w:val="24"/>
        </w:rPr>
        <w:t>4</w:t>
      </w:r>
      <w:r>
        <w:rPr>
          <w:rFonts w:ascii="Verdana" w:hAnsi="Verdana" w:cs="Tahoma"/>
          <w:sz w:val="24"/>
          <w:szCs w:val="24"/>
        </w:rPr>
        <w:t>]</w:t>
      </w:r>
      <w:r>
        <w:rPr>
          <w:rFonts w:ascii="Verdana" w:hAnsi="Verdana" w:cs="Tahoma"/>
          <w:sz w:val="24"/>
          <w:szCs w:val="24"/>
        </w:rPr>
        <w:tab/>
      </w:r>
      <w:r w:rsidR="00FC09A9" w:rsidRPr="00F2074F">
        <w:rPr>
          <w:rFonts w:ascii="Verdana" w:hAnsi="Verdana" w:cs="Tahoma"/>
          <w:b/>
          <w:sz w:val="24"/>
          <w:szCs w:val="24"/>
        </w:rPr>
        <w:t xml:space="preserve">Coming to </w:t>
      </w:r>
      <w:r w:rsidRPr="00F2074F">
        <w:rPr>
          <w:rFonts w:ascii="Verdana" w:hAnsi="Verdana" w:cs="Tahoma"/>
          <w:b/>
          <w:sz w:val="24"/>
          <w:szCs w:val="24"/>
        </w:rPr>
        <w:t>the issue of costs</w:t>
      </w:r>
      <w:r>
        <w:rPr>
          <w:rFonts w:ascii="Verdana" w:hAnsi="Verdana" w:cs="Tahoma"/>
          <w:sz w:val="24"/>
          <w:szCs w:val="24"/>
        </w:rPr>
        <w:t xml:space="preserve">. </w:t>
      </w:r>
      <w:r w:rsidR="00FC09A9" w:rsidRPr="00FC09A9">
        <w:rPr>
          <w:rFonts w:ascii="Verdana" w:hAnsi="Verdana" w:cs="Tahoma"/>
          <w:sz w:val="24"/>
          <w:szCs w:val="24"/>
        </w:rPr>
        <w:t xml:space="preserve">The general rule is that costs should follow the result. </w:t>
      </w:r>
      <w:r>
        <w:rPr>
          <w:rFonts w:ascii="Verdana" w:hAnsi="Verdana" w:cs="Tahoma"/>
          <w:sz w:val="24"/>
          <w:szCs w:val="24"/>
        </w:rPr>
        <w:t xml:space="preserve">In the Notice of Motion in both Parts A and B </w:t>
      </w:r>
      <w:r w:rsidR="00B269BA">
        <w:rPr>
          <w:rFonts w:ascii="Verdana" w:hAnsi="Verdana" w:cs="Tahoma"/>
          <w:sz w:val="24"/>
          <w:szCs w:val="24"/>
        </w:rPr>
        <w:t>c</w:t>
      </w:r>
      <w:r w:rsidR="00B269BA" w:rsidRPr="00B269BA">
        <w:rPr>
          <w:rFonts w:ascii="Verdana" w:hAnsi="Verdana" w:cs="Tahoma"/>
          <w:sz w:val="24"/>
          <w:szCs w:val="24"/>
        </w:rPr>
        <w:t xml:space="preserve">osts are sought on the scale as between attorney and </w:t>
      </w:r>
      <w:r w:rsidR="00B269BA">
        <w:rPr>
          <w:rFonts w:ascii="Verdana" w:hAnsi="Verdana" w:cs="Tahoma"/>
          <w:sz w:val="24"/>
          <w:szCs w:val="24"/>
        </w:rPr>
        <w:t xml:space="preserve">own </w:t>
      </w:r>
      <w:r w:rsidR="00B269BA" w:rsidRPr="00B269BA">
        <w:rPr>
          <w:rFonts w:ascii="Verdana" w:hAnsi="Verdana" w:cs="Tahoma"/>
          <w:sz w:val="24"/>
          <w:szCs w:val="24"/>
        </w:rPr>
        <w:t>client</w:t>
      </w:r>
      <w:r w:rsidR="00B269BA">
        <w:rPr>
          <w:rFonts w:ascii="Verdana" w:hAnsi="Verdana" w:cs="Tahoma"/>
          <w:sz w:val="24"/>
          <w:szCs w:val="24"/>
        </w:rPr>
        <w:t>.</w:t>
      </w:r>
      <w:r>
        <w:rPr>
          <w:rFonts w:ascii="Verdana" w:hAnsi="Verdana" w:cs="Tahoma"/>
          <w:sz w:val="24"/>
          <w:szCs w:val="24"/>
        </w:rPr>
        <w:t xml:space="preserve"> Mr Carstens</w:t>
      </w:r>
      <w:r w:rsidR="00B269BA">
        <w:rPr>
          <w:rFonts w:ascii="Verdana" w:hAnsi="Verdana" w:cs="Tahoma"/>
          <w:sz w:val="24"/>
          <w:szCs w:val="24"/>
        </w:rPr>
        <w:t>, in pressing for the punitive order of costs</w:t>
      </w:r>
      <w:r w:rsidR="00E169B0">
        <w:rPr>
          <w:rFonts w:ascii="Verdana" w:hAnsi="Verdana" w:cs="Tahoma"/>
          <w:sz w:val="24"/>
          <w:szCs w:val="24"/>
        </w:rPr>
        <w:t>, submitted</w:t>
      </w:r>
      <w:r>
        <w:rPr>
          <w:rFonts w:ascii="Verdana" w:hAnsi="Verdana" w:cs="Tahoma"/>
          <w:sz w:val="24"/>
          <w:szCs w:val="24"/>
        </w:rPr>
        <w:t xml:space="preserve"> that the respondent’s conduct was wholly unreasonable and to the detriment of the general body of creditors who have already been prejudiced by the liquidation</w:t>
      </w:r>
      <w:r w:rsidR="00FC09A9">
        <w:rPr>
          <w:rFonts w:ascii="Verdana" w:hAnsi="Verdana" w:cs="Tahoma"/>
          <w:sz w:val="24"/>
          <w:szCs w:val="24"/>
        </w:rPr>
        <w:t xml:space="preserve"> and it was unnecessary to engage in the current litigation. Mr Van </w:t>
      </w:r>
      <w:r w:rsidR="00E169B0">
        <w:rPr>
          <w:rFonts w:ascii="Verdana" w:hAnsi="Verdana" w:cs="Tahoma"/>
          <w:sz w:val="24"/>
          <w:szCs w:val="24"/>
        </w:rPr>
        <w:t xml:space="preserve">Rensburg </w:t>
      </w:r>
      <w:r w:rsidR="00F2074F">
        <w:rPr>
          <w:rFonts w:ascii="Verdana" w:hAnsi="Verdana" w:cs="Tahoma"/>
          <w:sz w:val="24"/>
          <w:szCs w:val="24"/>
        </w:rPr>
        <w:t xml:space="preserve">on the other hand </w:t>
      </w:r>
      <w:r w:rsidR="00E169B0">
        <w:rPr>
          <w:rFonts w:ascii="Verdana" w:hAnsi="Verdana" w:cs="Tahoma"/>
          <w:sz w:val="24"/>
          <w:szCs w:val="24"/>
        </w:rPr>
        <w:t>asked</w:t>
      </w:r>
      <w:r w:rsidR="00FC09A9">
        <w:rPr>
          <w:rFonts w:ascii="Verdana" w:hAnsi="Verdana" w:cs="Tahoma"/>
          <w:sz w:val="24"/>
          <w:szCs w:val="24"/>
        </w:rPr>
        <w:t xml:space="preserve"> the Court to dismiss the application with costs</w:t>
      </w:r>
      <w:r w:rsidR="00B269BA">
        <w:rPr>
          <w:rFonts w:ascii="Verdana" w:hAnsi="Verdana" w:cs="Tahoma"/>
          <w:sz w:val="24"/>
          <w:szCs w:val="24"/>
        </w:rPr>
        <w:t xml:space="preserve"> on an attorney and client scale</w:t>
      </w:r>
      <w:r w:rsidR="00FC09A9">
        <w:rPr>
          <w:rFonts w:ascii="Verdana" w:hAnsi="Verdana" w:cs="Tahoma"/>
          <w:sz w:val="24"/>
          <w:szCs w:val="24"/>
        </w:rPr>
        <w:t>.</w:t>
      </w:r>
    </w:p>
    <w:p w14:paraId="2C0B6A82" w14:textId="77777777" w:rsidR="00B269BA" w:rsidRDefault="00B269BA" w:rsidP="005D081F">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4D01B725" w14:textId="77777777" w:rsidR="00B269BA" w:rsidRDefault="00BD6D00"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[3</w:t>
      </w:r>
      <w:r w:rsidR="00D822E6">
        <w:rPr>
          <w:rFonts w:ascii="Verdana" w:hAnsi="Verdana" w:cs="Tahoma"/>
          <w:sz w:val="24"/>
          <w:szCs w:val="24"/>
        </w:rPr>
        <w:t>5</w:t>
      </w:r>
      <w:r w:rsidR="00B269BA">
        <w:rPr>
          <w:rFonts w:ascii="Verdana" w:hAnsi="Verdana" w:cs="Tahoma"/>
          <w:sz w:val="24"/>
          <w:szCs w:val="24"/>
        </w:rPr>
        <w:t>]</w:t>
      </w:r>
      <w:r w:rsidR="00B269BA">
        <w:rPr>
          <w:rFonts w:ascii="Verdana" w:hAnsi="Verdana" w:cs="Tahoma"/>
          <w:sz w:val="24"/>
          <w:szCs w:val="24"/>
        </w:rPr>
        <w:tab/>
      </w:r>
      <w:r w:rsidR="00B269BA" w:rsidRPr="00B269BA">
        <w:rPr>
          <w:rFonts w:ascii="Verdana" w:hAnsi="Verdana" w:cs="Tahoma"/>
          <w:sz w:val="24"/>
          <w:szCs w:val="24"/>
        </w:rPr>
        <w:t xml:space="preserve"> It is trite that costs are </w:t>
      </w:r>
      <w:r w:rsidR="00F2074F">
        <w:rPr>
          <w:rFonts w:ascii="Verdana" w:hAnsi="Verdana" w:cs="Tahoma"/>
          <w:sz w:val="24"/>
          <w:szCs w:val="24"/>
        </w:rPr>
        <w:t>with</w:t>
      </w:r>
      <w:r w:rsidR="00B269BA" w:rsidRPr="00B269BA">
        <w:rPr>
          <w:rFonts w:ascii="Verdana" w:hAnsi="Verdana" w:cs="Tahoma"/>
          <w:sz w:val="24"/>
          <w:szCs w:val="24"/>
        </w:rPr>
        <w:t xml:space="preserve">in the discretion of the </w:t>
      </w:r>
      <w:r w:rsidR="00E169B0" w:rsidRPr="00B269BA">
        <w:rPr>
          <w:rFonts w:ascii="Verdana" w:hAnsi="Verdana" w:cs="Tahoma"/>
          <w:sz w:val="24"/>
          <w:szCs w:val="24"/>
        </w:rPr>
        <w:t xml:space="preserve">court, </w:t>
      </w:r>
      <w:r w:rsidR="002C7736">
        <w:rPr>
          <w:rFonts w:ascii="Verdana" w:hAnsi="Verdana" w:cs="Tahoma"/>
          <w:sz w:val="24"/>
          <w:szCs w:val="24"/>
        </w:rPr>
        <w:t xml:space="preserve">which </w:t>
      </w:r>
      <w:r w:rsidR="00E169B0" w:rsidRPr="00B269BA">
        <w:rPr>
          <w:rFonts w:ascii="Verdana" w:hAnsi="Verdana" w:cs="Tahoma"/>
          <w:sz w:val="24"/>
          <w:szCs w:val="24"/>
        </w:rPr>
        <w:t xml:space="preserve">must be exercised judicially upon a consideration of the relevant </w:t>
      </w:r>
      <w:r w:rsidR="00E169B0" w:rsidRPr="00B269BA">
        <w:rPr>
          <w:rFonts w:ascii="Verdana" w:hAnsi="Verdana" w:cs="Tahoma"/>
          <w:sz w:val="24"/>
          <w:szCs w:val="24"/>
        </w:rPr>
        <w:lastRenderedPageBreak/>
        <w:t>facts</w:t>
      </w:r>
      <w:r w:rsidR="00B269BA" w:rsidRPr="00B269BA">
        <w:rPr>
          <w:rFonts w:ascii="Verdana" w:hAnsi="Verdana" w:cs="Tahoma"/>
          <w:sz w:val="24"/>
          <w:szCs w:val="24"/>
        </w:rPr>
        <w:t xml:space="preserve"> and must be fair to the parties. </w:t>
      </w:r>
      <w:r w:rsidR="00B269BA">
        <w:rPr>
          <w:rFonts w:ascii="Verdana" w:hAnsi="Verdana" w:cs="Tahoma"/>
          <w:sz w:val="24"/>
          <w:szCs w:val="24"/>
        </w:rPr>
        <w:t xml:space="preserve">In </w:t>
      </w:r>
      <w:r w:rsidR="00B269BA">
        <w:rPr>
          <w:rFonts w:ascii="Verdana" w:hAnsi="Verdana" w:cs="Tahoma"/>
          <w:i/>
          <w:sz w:val="24"/>
          <w:szCs w:val="24"/>
        </w:rPr>
        <w:t xml:space="preserve">Public Protector v </w:t>
      </w:r>
      <w:r w:rsidR="00FC303B">
        <w:rPr>
          <w:rFonts w:ascii="Verdana" w:hAnsi="Verdana" w:cs="Tahoma"/>
          <w:i/>
          <w:sz w:val="24"/>
          <w:szCs w:val="24"/>
        </w:rPr>
        <w:t>South African Reserve Bank</w:t>
      </w:r>
      <w:r w:rsidR="00FC303B">
        <w:rPr>
          <w:rStyle w:val="FootnoteReference"/>
          <w:rFonts w:ascii="Verdana" w:hAnsi="Verdana" w:cs="Tahoma"/>
          <w:i/>
          <w:sz w:val="24"/>
          <w:szCs w:val="24"/>
        </w:rPr>
        <w:footnoteReference w:id="18"/>
      </w:r>
      <w:r w:rsidR="00FC303B">
        <w:rPr>
          <w:rFonts w:ascii="Verdana" w:hAnsi="Verdana" w:cs="Tahoma"/>
          <w:i/>
          <w:sz w:val="24"/>
          <w:szCs w:val="24"/>
        </w:rPr>
        <w:t xml:space="preserve"> </w:t>
      </w:r>
      <w:r w:rsidR="00FC303B" w:rsidRPr="00FC303B">
        <w:rPr>
          <w:rFonts w:ascii="Verdana" w:hAnsi="Verdana" w:cs="Tahoma"/>
          <w:sz w:val="24"/>
          <w:szCs w:val="24"/>
        </w:rPr>
        <w:t xml:space="preserve">the </w:t>
      </w:r>
      <w:r w:rsidR="00FC303B">
        <w:rPr>
          <w:rFonts w:ascii="Verdana" w:hAnsi="Verdana" w:cs="Tahoma"/>
          <w:sz w:val="24"/>
          <w:szCs w:val="24"/>
        </w:rPr>
        <w:t xml:space="preserve">Constitutional Court made the following </w:t>
      </w:r>
      <w:r w:rsidR="00E54A6B">
        <w:rPr>
          <w:rFonts w:ascii="Verdana" w:hAnsi="Verdana" w:cs="Tahoma"/>
          <w:sz w:val="24"/>
          <w:szCs w:val="24"/>
        </w:rPr>
        <w:t xml:space="preserve">insightful </w:t>
      </w:r>
      <w:r w:rsidR="00FC303B">
        <w:rPr>
          <w:rFonts w:ascii="Verdana" w:hAnsi="Verdana" w:cs="Tahoma"/>
          <w:sz w:val="24"/>
          <w:szCs w:val="24"/>
        </w:rPr>
        <w:t>remarks pertaining to punitive costs:</w:t>
      </w:r>
    </w:p>
    <w:p w14:paraId="55DBEFF0" w14:textId="77777777" w:rsidR="00E54A6B" w:rsidRPr="00E54A6B" w:rsidRDefault="00FC303B" w:rsidP="00E54A6B">
      <w:pPr>
        <w:tabs>
          <w:tab w:val="left" w:pos="851"/>
          <w:tab w:val="left" w:pos="1701"/>
          <w:tab w:val="left" w:pos="2552"/>
          <w:tab w:val="right" w:pos="8931"/>
        </w:tabs>
        <w:spacing w:line="360" w:lineRule="auto"/>
        <w:ind w:left="851" w:hanging="851"/>
        <w:jc w:val="both"/>
        <w:rPr>
          <w:rFonts w:ascii="Verdana" w:hAnsi="Verdana" w:cs="Tahoma"/>
          <w:i/>
          <w:sz w:val="24"/>
          <w:szCs w:val="24"/>
        </w:rPr>
      </w:pPr>
      <w:r>
        <w:rPr>
          <w:rFonts w:ascii="Verdana" w:hAnsi="Verdana" w:cs="Tahoma"/>
          <w:sz w:val="24"/>
          <w:szCs w:val="24"/>
        </w:rPr>
        <w:tab/>
      </w:r>
      <w:r w:rsidRPr="00E54A6B">
        <w:rPr>
          <w:rFonts w:ascii="Verdana" w:hAnsi="Verdana" w:cs="Tahoma"/>
          <w:i/>
          <w:sz w:val="24"/>
          <w:szCs w:val="24"/>
        </w:rPr>
        <w:t>“</w:t>
      </w:r>
      <w:r w:rsidR="00E54A6B" w:rsidRPr="00E54A6B">
        <w:rPr>
          <w:rFonts w:ascii="Verdana" w:hAnsi="Verdana" w:cs="Tahoma"/>
          <w:i/>
          <w:sz w:val="24"/>
          <w:szCs w:val="24"/>
        </w:rPr>
        <w:t>[221] This court has endorsed the principle that a personal costs order may also be granted on a punitive scale. The punitive costs mechanism exists to counteract reprehensible behaviour on the part of a litigant.  As explained by this court in Eskom, the usual costs order on a scale as between party and party is theoretically meant to ensure that the successful party is not left 'out of pocket' i</w:t>
      </w:r>
      <w:r w:rsidR="00EA6828">
        <w:rPr>
          <w:rFonts w:ascii="Verdana" w:hAnsi="Verdana" w:cs="Tahoma"/>
          <w:i/>
          <w:sz w:val="24"/>
          <w:szCs w:val="24"/>
        </w:rPr>
        <w:t xml:space="preserve">n respect of expenses incurred </w:t>
      </w:r>
      <w:r w:rsidR="00E54A6B" w:rsidRPr="00E54A6B">
        <w:rPr>
          <w:rFonts w:ascii="Verdana" w:hAnsi="Verdana" w:cs="Tahoma"/>
          <w:i/>
          <w:sz w:val="24"/>
          <w:szCs w:val="24"/>
        </w:rPr>
        <w:t>by them in the litigation. Almost invariably, however, a costs order on a party and party scale will be insufficient to cover all the expenses incurred by the successful party in the litigation.  An award of punitive costs on an attorney and client scale may be warranted in circumstances where it would be unfair to expect a party to bear any of the costs occasioned by litigation. [222] The question whether a party should bear the full brunt of a costs order on an attorney and own client scale must be answered with reference to what would be just and equitable in the circumstances of a</w:t>
      </w:r>
      <w:r w:rsidR="00EA6828">
        <w:rPr>
          <w:rFonts w:ascii="Verdana" w:hAnsi="Verdana" w:cs="Tahoma"/>
          <w:i/>
          <w:sz w:val="24"/>
          <w:szCs w:val="24"/>
        </w:rPr>
        <w:t xml:space="preserve"> </w:t>
      </w:r>
      <w:r w:rsidR="00E54A6B" w:rsidRPr="00E54A6B">
        <w:rPr>
          <w:rFonts w:ascii="Verdana" w:hAnsi="Verdana" w:cs="Tahoma"/>
          <w:i/>
          <w:sz w:val="24"/>
          <w:szCs w:val="24"/>
        </w:rPr>
        <w:t xml:space="preserve">particular case. A court is bound to secure a just and fair outcome. </w:t>
      </w:r>
    </w:p>
    <w:p w14:paraId="7190C0CC" w14:textId="77777777" w:rsidR="00E54A6B" w:rsidRDefault="00E54A6B" w:rsidP="00E54A6B">
      <w:pPr>
        <w:tabs>
          <w:tab w:val="left" w:pos="851"/>
          <w:tab w:val="left" w:pos="1701"/>
          <w:tab w:val="left" w:pos="2552"/>
          <w:tab w:val="right" w:pos="8931"/>
        </w:tabs>
        <w:spacing w:line="360" w:lineRule="auto"/>
        <w:ind w:left="851" w:hanging="851"/>
        <w:jc w:val="both"/>
        <w:rPr>
          <w:rFonts w:ascii="Verdana" w:hAnsi="Verdana" w:cs="Tahoma"/>
          <w:i/>
          <w:sz w:val="24"/>
          <w:szCs w:val="24"/>
        </w:rPr>
      </w:pPr>
      <w:r w:rsidRPr="00E54A6B">
        <w:rPr>
          <w:rFonts w:ascii="Verdana" w:hAnsi="Verdana" w:cs="Tahoma"/>
          <w:i/>
          <w:sz w:val="24"/>
          <w:szCs w:val="24"/>
        </w:rPr>
        <w:tab/>
        <w:t>[223] More than 100 years ago, Innes CJ stated the principle that costs on an attorney and client scale are awarded when a court wishes to mark its disapproval of the conduct of a litigant. Since then this principle has been endorsed and applied in a long line of cases and remains applicable.  Over the years, courts have awarded costs on an attorney and client scale to mark their disapproval of fraudulent, dishonest or mala fides (bad faith) conduct; vexatious conduct; and conduct that amounts to an abuse of the process of court.”</w:t>
      </w:r>
    </w:p>
    <w:p w14:paraId="5941408D" w14:textId="77777777" w:rsidR="00E54A6B" w:rsidRPr="00E54A6B" w:rsidRDefault="00E54A6B" w:rsidP="00E54A6B">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37565789" w14:textId="77777777" w:rsidR="00E54A6B" w:rsidRDefault="00E54A6B"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w:t>
      </w:r>
      <w:r w:rsidR="00BD6D00">
        <w:rPr>
          <w:rFonts w:ascii="Verdana" w:hAnsi="Verdana" w:cs="Tahoma"/>
          <w:sz w:val="24"/>
          <w:szCs w:val="24"/>
        </w:rPr>
        <w:t>3</w:t>
      </w:r>
      <w:r w:rsidR="00D822E6">
        <w:rPr>
          <w:rFonts w:ascii="Verdana" w:hAnsi="Verdana" w:cs="Tahoma"/>
          <w:sz w:val="24"/>
          <w:szCs w:val="24"/>
        </w:rPr>
        <w:t>6</w:t>
      </w:r>
      <w:r>
        <w:rPr>
          <w:rFonts w:ascii="Verdana" w:hAnsi="Verdana" w:cs="Tahoma"/>
          <w:sz w:val="24"/>
          <w:szCs w:val="24"/>
        </w:rPr>
        <w:t>]</w:t>
      </w:r>
      <w:r>
        <w:rPr>
          <w:rFonts w:ascii="Verdana" w:hAnsi="Verdana" w:cs="Tahoma"/>
          <w:sz w:val="24"/>
          <w:szCs w:val="24"/>
        </w:rPr>
        <w:tab/>
        <w:t xml:space="preserve">It is warranted in this case for the respondent to bear the </w:t>
      </w:r>
      <w:r w:rsidRPr="00E54A6B">
        <w:rPr>
          <w:rFonts w:ascii="Verdana" w:hAnsi="Verdana" w:cs="Tahoma"/>
          <w:sz w:val="24"/>
          <w:szCs w:val="24"/>
        </w:rPr>
        <w:t>full brunt of a costs order on an attorney and own client scale</w:t>
      </w:r>
      <w:r>
        <w:rPr>
          <w:rFonts w:ascii="Verdana" w:hAnsi="Verdana" w:cs="Tahoma"/>
          <w:sz w:val="24"/>
          <w:szCs w:val="24"/>
        </w:rPr>
        <w:t xml:space="preserve">. In the result, </w:t>
      </w:r>
      <w:r w:rsidR="00851C42">
        <w:rPr>
          <w:rFonts w:ascii="Verdana" w:hAnsi="Verdana" w:cs="Tahoma"/>
          <w:sz w:val="24"/>
          <w:szCs w:val="24"/>
        </w:rPr>
        <w:t>the following order is made:</w:t>
      </w:r>
    </w:p>
    <w:p w14:paraId="0668F558" w14:textId="77777777" w:rsidR="00E11775" w:rsidRDefault="00E11775"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0398EAE4" w14:textId="77777777" w:rsidR="00E54A6B" w:rsidRPr="00E11775" w:rsidRDefault="00E11775" w:rsidP="00B269BA">
      <w:pPr>
        <w:tabs>
          <w:tab w:val="left" w:pos="851"/>
          <w:tab w:val="left" w:pos="1701"/>
          <w:tab w:val="left" w:pos="2552"/>
          <w:tab w:val="right" w:pos="8931"/>
        </w:tabs>
        <w:spacing w:line="360" w:lineRule="auto"/>
        <w:ind w:left="851" w:hanging="851"/>
        <w:jc w:val="both"/>
        <w:rPr>
          <w:rFonts w:ascii="Verdana" w:hAnsi="Verdana" w:cs="Tahoma"/>
          <w:b/>
          <w:sz w:val="24"/>
          <w:szCs w:val="24"/>
        </w:rPr>
      </w:pPr>
      <w:r>
        <w:rPr>
          <w:rFonts w:ascii="Verdana" w:hAnsi="Verdana" w:cs="Tahoma"/>
          <w:sz w:val="24"/>
          <w:szCs w:val="24"/>
        </w:rPr>
        <w:tab/>
      </w:r>
      <w:r>
        <w:rPr>
          <w:rFonts w:ascii="Verdana" w:hAnsi="Verdana" w:cs="Tahoma"/>
          <w:b/>
          <w:sz w:val="24"/>
          <w:szCs w:val="24"/>
        </w:rPr>
        <w:t>PART A</w:t>
      </w:r>
    </w:p>
    <w:p w14:paraId="1C77EFF7" w14:textId="77777777" w:rsidR="00E54A6B" w:rsidRDefault="00E54A6B" w:rsidP="00E54A6B">
      <w:pPr>
        <w:pStyle w:val="ListParagraph"/>
        <w:numPr>
          <w:ilvl w:val="0"/>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T</w:t>
      </w:r>
      <w:r w:rsidR="00851C42">
        <w:rPr>
          <w:rFonts w:ascii="Verdana" w:hAnsi="Verdana" w:cs="Tahoma"/>
          <w:sz w:val="24"/>
          <w:szCs w:val="24"/>
        </w:rPr>
        <w:t>h</w:t>
      </w:r>
      <w:r>
        <w:rPr>
          <w:rFonts w:ascii="Verdana" w:hAnsi="Verdana" w:cs="Tahoma"/>
          <w:sz w:val="24"/>
          <w:szCs w:val="24"/>
        </w:rPr>
        <w:t>e applicants are hereby authorised in terms of section 18(3) of the Insolvency Act, 24 of 1936 as amended</w:t>
      </w:r>
      <w:r w:rsidR="00F2074F">
        <w:rPr>
          <w:rFonts w:ascii="Verdana" w:hAnsi="Verdana" w:cs="Tahoma"/>
          <w:sz w:val="24"/>
          <w:szCs w:val="24"/>
        </w:rPr>
        <w:t>,</w:t>
      </w:r>
      <w:r>
        <w:rPr>
          <w:rFonts w:ascii="Verdana" w:hAnsi="Verdana" w:cs="Tahoma"/>
          <w:sz w:val="24"/>
          <w:szCs w:val="24"/>
        </w:rPr>
        <w:t xml:space="preserve"> read with section 386(4) of the Companies Act, 61 of 1973, as amended, to </w:t>
      </w:r>
      <w:r w:rsidR="00F2074F">
        <w:rPr>
          <w:rFonts w:ascii="Verdana" w:hAnsi="Verdana" w:cs="Tahoma"/>
          <w:sz w:val="24"/>
          <w:szCs w:val="24"/>
        </w:rPr>
        <w:t>launch</w:t>
      </w:r>
      <w:r>
        <w:rPr>
          <w:rFonts w:ascii="Verdana" w:hAnsi="Verdana" w:cs="Tahoma"/>
          <w:sz w:val="24"/>
          <w:szCs w:val="24"/>
        </w:rPr>
        <w:t xml:space="preserve"> this application.</w:t>
      </w:r>
    </w:p>
    <w:p w14:paraId="403DA6FB" w14:textId="77777777" w:rsidR="00E54A6B" w:rsidRDefault="00851C42" w:rsidP="00E54A6B">
      <w:pPr>
        <w:pStyle w:val="ListParagraph"/>
        <w:numPr>
          <w:ilvl w:val="0"/>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 xml:space="preserve">The applicants are authorised under the provisions of section 69 of the Insolvency Act, </w:t>
      </w:r>
      <w:r w:rsidR="00F2074F">
        <w:rPr>
          <w:rFonts w:ascii="Verdana" w:hAnsi="Verdana" w:cs="Tahoma"/>
          <w:sz w:val="24"/>
          <w:szCs w:val="24"/>
        </w:rPr>
        <w:t xml:space="preserve">24 of </w:t>
      </w:r>
      <w:r>
        <w:rPr>
          <w:rFonts w:ascii="Verdana" w:hAnsi="Verdana" w:cs="Tahoma"/>
          <w:sz w:val="24"/>
          <w:szCs w:val="24"/>
        </w:rPr>
        <w:t>1936 to enter properties 39 – 41 Toekoms Street, Upington.</w:t>
      </w:r>
    </w:p>
    <w:p w14:paraId="183BB344" w14:textId="77777777" w:rsidR="00851C42" w:rsidRDefault="00851C42" w:rsidP="00E54A6B">
      <w:pPr>
        <w:pStyle w:val="ListParagraph"/>
        <w:numPr>
          <w:ilvl w:val="0"/>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Should the applicants be un</w:t>
      </w:r>
      <w:r w:rsidR="00EA6828">
        <w:rPr>
          <w:rFonts w:ascii="Verdana" w:hAnsi="Verdana" w:cs="Tahoma"/>
          <w:sz w:val="24"/>
          <w:szCs w:val="24"/>
        </w:rPr>
        <w:t>able to make such entry without</w:t>
      </w:r>
      <w:r>
        <w:rPr>
          <w:rFonts w:ascii="Verdana" w:hAnsi="Verdana" w:cs="Tahoma"/>
          <w:sz w:val="24"/>
          <w:szCs w:val="24"/>
        </w:rPr>
        <w:t xml:space="preserve"> disturbance, they be and are hereby authorised:</w:t>
      </w:r>
    </w:p>
    <w:p w14:paraId="45590780" w14:textId="77777777" w:rsidR="00851C42" w:rsidRDefault="00851C42" w:rsidP="00851C42">
      <w:pPr>
        <w:pStyle w:val="ListParagraph"/>
        <w:numPr>
          <w:ilvl w:val="1"/>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to engage the services of a locksmith and/or the South African Police Service members (SAPS) or the sheriff</w:t>
      </w:r>
      <w:r w:rsidR="00F2074F">
        <w:rPr>
          <w:rFonts w:ascii="Verdana" w:hAnsi="Verdana" w:cs="Tahoma"/>
          <w:sz w:val="24"/>
          <w:szCs w:val="24"/>
        </w:rPr>
        <w:t>,</w:t>
      </w:r>
      <w:r>
        <w:rPr>
          <w:rFonts w:ascii="Verdana" w:hAnsi="Verdana" w:cs="Tahoma"/>
          <w:sz w:val="24"/>
          <w:szCs w:val="24"/>
        </w:rPr>
        <w:t xml:space="preserve"> as may be necessary</w:t>
      </w:r>
      <w:r w:rsidR="00F2074F">
        <w:rPr>
          <w:rFonts w:ascii="Verdana" w:hAnsi="Verdana" w:cs="Tahoma"/>
          <w:sz w:val="24"/>
          <w:szCs w:val="24"/>
        </w:rPr>
        <w:t>,</w:t>
      </w:r>
      <w:r>
        <w:rPr>
          <w:rFonts w:ascii="Verdana" w:hAnsi="Verdana" w:cs="Tahoma"/>
          <w:sz w:val="24"/>
          <w:szCs w:val="24"/>
        </w:rPr>
        <w:t xml:space="preserve"> to remove any obstruction to them from entering upon the said property;</w:t>
      </w:r>
    </w:p>
    <w:p w14:paraId="0381A480" w14:textId="77777777" w:rsidR="00851C42" w:rsidRDefault="00851C42" w:rsidP="00851C42">
      <w:pPr>
        <w:pStyle w:val="ListParagraph"/>
        <w:numPr>
          <w:ilvl w:val="1"/>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to thereafter enter the propert</w:t>
      </w:r>
      <w:r w:rsidR="00F2074F">
        <w:rPr>
          <w:rFonts w:ascii="Verdana" w:hAnsi="Verdana" w:cs="Tahoma"/>
          <w:sz w:val="24"/>
          <w:szCs w:val="24"/>
        </w:rPr>
        <w:t>ies</w:t>
      </w:r>
      <w:r>
        <w:rPr>
          <w:rFonts w:ascii="Verdana" w:hAnsi="Verdana" w:cs="Tahoma"/>
          <w:sz w:val="24"/>
          <w:szCs w:val="24"/>
        </w:rPr>
        <w:t>, where necessary, with the assista</w:t>
      </w:r>
      <w:r w:rsidR="00F2074F">
        <w:rPr>
          <w:rFonts w:ascii="Verdana" w:hAnsi="Verdana" w:cs="Tahoma"/>
          <w:sz w:val="24"/>
          <w:szCs w:val="24"/>
        </w:rPr>
        <w:t>nce of the SAPS and the sheriff:</w:t>
      </w:r>
      <w:r>
        <w:rPr>
          <w:rFonts w:ascii="Verdana" w:hAnsi="Verdana" w:cs="Tahoma"/>
          <w:sz w:val="24"/>
          <w:szCs w:val="24"/>
        </w:rPr>
        <w:t xml:space="preserve"> </w:t>
      </w:r>
    </w:p>
    <w:p w14:paraId="1F9084AA" w14:textId="77777777" w:rsidR="00851C42" w:rsidRDefault="00851C42" w:rsidP="00851C42">
      <w:pPr>
        <w:pStyle w:val="ListParagraph"/>
        <w:numPr>
          <w:ilvl w:val="2"/>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to search for any assets, stock, property, motor vehicles, books, records or documents, computers and office furniture under the control of the respondent belonging to JMA Petroleum CC t/a Gas City [in liquidation]</w:t>
      </w:r>
      <w:r w:rsidR="00F2074F">
        <w:rPr>
          <w:rFonts w:ascii="Verdana" w:hAnsi="Verdana" w:cs="Tahoma"/>
          <w:sz w:val="24"/>
          <w:szCs w:val="24"/>
        </w:rPr>
        <w:t>;</w:t>
      </w:r>
    </w:p>
    <w:p w14:paraId="063E3026" w14:textId="77777777" w:rsidR="00E11775" w:rsidRDefault="00F2074F" w:rsidP="00E11775">
      <w:pPr>
        <w:pStyle w:val="ListParagraph"/>
        <w:numPr>
          <w:ilvl w:val="2"/>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t</w:t>
      </w:r>
      <w:r w:rsidR="00851C42">
        <w:rPr>
          <w:rFonts w:ascii="Verdana" w:hAnsi="Verdana" w:cs="Tahoma"/>
          <w:sz w:val="24"/>
          <w:szCs w:val="24"/>
        </w:rPr>
        <w:t xml:space="preserve">o take possession of any and all assets, stock, property, motor vehicles, books, records, documents, computers and office furniture belonging to </w:t>
      </w:r>
      <w:r w:rsidR="00E11775" w:rsidRPr="00E11775">
        <w:rPr>
          <w:rFonts w:ascii="Verdana" w:hAnsi="Verdana" w:cs="Tahoma"/>
          <w:sz w:val="24"/>
          <w:szCs w:val="24"/>
        </w:rPr>
        <w:t>JMA Petroleum CC t/a Gas City</w:t>
      </w:r>
      <w:r w:rsidR="00E11775">
        <w:rPr>
          <w:rFonts w:ascii="Verdana" w:hAnsi="Verdana" w:cs="Tahoma"/>
          <w:sz w:val="24"/>
          <w:szCs w:val="24"/>
        </w:rPr>
        <w:t xml:space="preserve"> or which may be in possession of the </w:t>
      </w:r>
      <w:r>
        <w:rPr>
          <w:rFonts w:ascii="Verdana" w:hAnsi="Verdana" w:cs="Tahoma"/>
          <w:sz w:val="24"/>
          <w:szCs w:val="24"/>
        </w:rPr>
        <w:t>respondent or under its control;</w:t>
      </w:r>
    </w:p>
    <w:p w14:paraId="1AC9D2BC" w14:textId="77777777" w:rsidR="00E11775" w:rsidRDefault="00F2074F" w:rsidP="00E11775">
      <w:pPr>
        <w:pStyle w:val="ListParagraph"/>
        <w:numPr>
          <w:ilvl w:val="2"/>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t</w:t>
      </w:r>
      <w:r w:rsidR="00E11775">
        <w:rPr>
          <w:rFonts w:ascii="Verdana" w:hAnsi="Verdana" w:cs="Tahoma"/>
          <w:sz w:val="24"/>
          <w:szCs w:val="24"/>
        </w:rPr>
        <w:t xml:space="preserve">o remove any such assets, stock, property, motor vehicles, books, records or documents, computers </w:t>
      </w:r>
      <w:r w:rsidR="00E11775">
        <w:rPr>
          <w:rFonts w:ascii="Verdana" w:hAnsi="Verdana" w:cs="Tahoma"/>
          <w:sz w:val="24"/>
          <w:szCs w:val="24"/>
        </w:rPr>
        <w:lastRenderedPageBreak/>
        <w:t>and office furniture so found and to hand same over to the applicants and/or their duly appointed representatives.</w:t>
      </w:r>
    </w:p>
    <w:p w14:paraId="4BA6413A" w14:textId="77777777" w:rsidR="00851C42" w:rsidRPr="00E11775" w:rsidRDefault="00E11775" w:rsidP="00E11775">
      <w:pPr>
        <w:pStyle w:val="ListParagraph"/>
        <w:numPr>
          <w:ilvl w:val="0"/>
          <w:numId w:val="18"/>
        </w:numPr>
        <w:tabs>
          <w:tab w:val="left" w:pos="851"/>
          <w:tab w:val="left" w:pos="1701"/>
          <w:tab w:val="left" w:pos="2552"/>
          <w:tab w:val="right" w:pos="8931"/>
        </w:tabs>
        <w:spacing w:line="360" w:lineRule="auto"/>
        <w:jc w:val="both"/>
        <w:rPr>
          <w:rFonts w:ascii="Verdana" w:hAnsi="Verdana" w:cs="Tahoma"/>
          <w:sz w:val="24"/>
          <w:szCs w:val="24"/>
        </w:rPr>
      </w:pPr>
      <w:r w:rsidRPr="00E11775">
        <w:rPr>
          <w:rFonts w:ascii="Verdana" w:hAnsi="Verdana" w:cs="Tahoma"/>
          <w:sz w:val="24"/>
          <w:szCs w:val="24"/>
        </w:rPr>
        <w:t xml:space="preserve">For effecting the foregoing, a search warrant marked Annexure “X” attached to the founding affidavit is hereby authorised. </w:t>
      </w:r>
      <w:r w:rsidR="00851C42" w:rsidRPr="00E11775">
        <w:rPr>
          <w:rFonts w:ascii="Verdana" w:hAnsi="Verdana" w:cs="Tahoma"/>
          <w:sz w:val="24"/>
          <w:szCs w:val="24"/>
        </w:rPr>
        <w:tab/>
      </w:r>
    </w:p>
    <w:p w14:paraId="44211A1F" w14:textId="77777777" w:rsidR="00851C42" w:rsidRDefault="00E11775" w:rsidP="00E54A6B">
      <w:pPr>
        <w:pStyle w:val="ListParagraph"/>
        <w:numPr>
          <w:ilvl w:val="0"/>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 xml:space="preserve">The warrant shall be executed in a like manner as a warrant </w:t>
      </w:r>
      <w:r w:rsidR="00F2074F">
        <w:rPr>
          <w:rFonts w:ascii="Verdana" w:hAnsi="Verdana" w:cs="Tahoma"/>
          <w:sz w:val="24"/>
          <w:szCs w:val="24"/>
        </w:rPr>
        <w:t>of search</w:t>
      </w:r>
      <w:r>
        <w:rPr>
          <w:rFonts w:ascii="Verdana" w:hAnsi="Verdana" w:cs="Tahoma"/>
          <w:sz w:val="24"/>
          <w:szCs w:val="24"/>
        </w:rPr>
        <w:t xml:space="preserve"> of stolen property and the person executing the warrant shall deliver any articles seized thereunder to the applicants.</w:t>
      </w:r>
    </w:p>
    <w:p w14:paraId="44F3FF1D" w14:textId="77777777" w:rsidR="00E11775" w:rsidRDefault="00E11775" w:rsidP="00E54A6B">
      <w:pPr>
        <w:pStyle w:val="ListParagraph"/>
        <w:numPr>
          <w:ilvl w:val="0"/>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 xml:space="preserve">The said warrant </w:t>
      </w:r>
      <w:r w:rsidR="00EA6828">
        <w:rPr>
          <w:rFonts w:ascii="Verdana" w:hAnsi="Verdana" w:cs="Tahoma"/>
          <w:sz w:val="24"/>
          <w:szCs w:val="24"/>
        </w:rPr>
        <w:t xml:space="preserve">is </w:t>
      </w:r>
      <w:r>
        <w:rPr>
          <w:rFonts w:ascii="Verdana" w:hAnsi="Verdana" w:cs="Tahoma"/>
          <w:sz w:val="24"/>
          <w:szCs w:val="24"/>
        </w:rPr>
        <w:t xml:space="preserve">to be executed either by a member(s) of the South African Police Service, alternatively, </w:t>
      </w:r>
      <w:r w:rsidR="00EA6828">
        <w:rPr>
          <w:rFonts w:ascii="Verdana" w:hAnsi="Verdana" w:cs="Tahoma"/>
          <w:sz w:val="24"/>
          <w:szCs w:val="24"/>
        </w:rPr>
        <w:t xml:space="preserve">by </w:t>
      </w:r>
      <w:r>
        <w:rPr>
          <w:rFonts w:ascii="Verdana" w:hAnsi="Verdana" w:cs="Tahoma"/>
          <w:sz w:val="24"/>
          <w:szCs w:val="24"/>
        </w:rPr>
        <w:t>the sheriff of the court.</w:t>
      </w:r>
    </w:p>
    <w:p w14:paraId="5F8ECBEE" w14:textId="77777777" w:rsidR="00E11775" w:rsidRPr="00E54A6B" w:rsidRDefault="00E11775" w:rsidP="00E54A6B">
      <w:pPr>
        <w:pStyle w:val="ListParagraph"/>
        <w:numPr>
          <w:ilvl w:val="0"/>
          <w:numId w:val="18"/>
        </w:numPr>
        <w:tabs>
          <w:tab w:val="left" w:pos="851"/>
          <w:tab w:val="left" w:pos="1701"/>
          <w:tab w:val="left" w:pos="2552"/>
          <w:tab w:val="right" w:pos="8931"/>
        </w:tabs>
        <w:spacing w:line="360" w:lineRule="auto"/>
        <w:jc w:val="both"/>
        <w:rPr>
          <w:rFonts w:ascii="Verdana" w:hAnsi="Verdana" w:cs="Tahoma"/>
          <w:sz w:val="24"/>
          <w:szCs w:val="24"/>
        </w:rPr>
      </w:pPr>
      <w:r>
        <w:rPr>
          <w:rFonts w:ascii="Verdana" w:hAnsi="Verdana" w:cs="Tahoma"/>
          <w:sz w:val="24"/>
          <w:szCs w:val="24"/>
        </w:rPr>
        <w:t xml:space="preserve">Costs of this application be paid by the respondent on </w:t>
      </w:r>
      <w:r w:rsidR="00F2074F">
        <w:rPr>
          <w:rFonts w:ascii="Verdana" w:hAnsi="Verdana" w:cs="Tahoma"/>
          <w:sz w:val="24"/>
          <w:szCs w:val="24"/>
        </w:rPr>
        <w:t xml:space="preserve">an </w:t>
      </w:r>
      <w:r>
        <w:rPr>
          <w:rFonts w:ascii="Verdana" w:hAnsi="Verdana" w:cs="Tahoma"/>
          <w:sz w:val="24"/>
          <w:szCs w:val="24"/>
        </w:rPr>
        <w:t>attorney and own client scale.</w:t>
      </w:r>
    </w:p>
    <w:p w14:paraId="043265D9" w14:textId="77777777" w:rsidR="00E54A6B" w:rsidRPr="00E54A6B" w:rsidRDefault="00E54A6B" w:rsidP="00B269BA">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1C79D707" w14:textId="77777777" w:rsidR="00E54A6B" w:rsidRDefault="00E11775" w:rsidP="00B269BA">
      <w:pPr>
        <w:tabs>
          <w:tab w:val="left" w:pos="851"/>
          <w:tab w:val="left" w:pos="1701"/>
          <w:tab w:val="left" w:pos="2552"/>
          <w:tab w:val="right" w:pos="8931"/>
        </w:tabs>
        <w:spacing w:line="360" w:lineRule="auto"/>
        <w:ind w:left="851" w:hanging="851"/>
        <w:jc w:val="both"/>
        <w:rPr>
          <w:rFonts w:ascii="Verdana" w:hAnsi="Verdana" w:cs="Tahoma"/>
          <w:b/>
          <w:sz w:val="24"/>
          <w:szCs w:val="24"/>
        </w:rPr>
      </w:pPr>
      <w:r>
        <w:rPr>
          <w:rFonts w:ascii="Verdana" w:hAnsi="Verdana" w:cs="Tahoma"/>
          <w:sz w:val="24"/>
          <w:szCs w:val="24"/>
        </w:rPr>
        <w:t>2.</w:t>
      </w:r>
      <w:r>
        <w:rPr>
          <w:rFonts w:ascii="Verdana" w:hAnsi="Verdana" w:cs="Tahoma"/>
          <w:sz w:val="24"/>
          <w:szCs w:val="24"/>
        </w:rPr>
        <w:tab/>
      </w:r>
      <w:r>
        <w:rPr>
          <w:rFonts w:ascii="Verdana" w:hAnsi="Verdana" w:cs="Tahoma"/>
          <w:b/>
          <w:sz w:val="24"/>
          <w:szCs w:val="24"/>
        </w:rPr>
        <w:t>PART B</w:t>
      </w:r>
    </w:p>
    <w:p w14:paraId="093AECEE" w14:textId="77777777" w:rsidR="00E11775" w:rsidRDefault="00E11775"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 xml:space="preserve">2.1 That the respondent is in contravention of section 142(1) of the Insolvency Act, 24 of 1936, as amended, in that the respondent either before or after the liquidation of JMA Petroleum CC t/a Gas City </w:t>
      </w:r>
      <w:r w:rsidR="0054384E">
        <w:rPr>
          <w:rFonts w:ascii="Verdana" w:hAnsi="Verdana" w:cs="Tahoma"/>
          <w:sz w:val="24"/>
          <w:szCs w:val="24"/>
        </w:rPr>
        <w:t>removed, concealed, disposed of, or dealt with or received assets belonging to the insolvent estate with the intent to defeat an attachment by virtue of the liquidation or with the intent to prejudice the creditors of the insolvent estate.</w:t>
      </w:r>
    </w:p>
    <w:p w14:paraId="34A02195" w14:textId="77777777" w:rsidR="0054384E" w:rsidRDefault="0054384E"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2.2 That the respondent is in contravention of section 142 (2) of the Insolvency Act in that the respondent has in its possession and/or under its custody and/or under its control property that belongs to the insolvent estate knowing of the liquidation and that the property belongs to the insolvent estate.</w:t>
      </w:r>
    </w:p>
    <w:p w14:paraId="7E3510AA" w14:textId="77777777" w:rsidR="0054384E" w:rsidRDefault="0054384E"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2.3 That the respondent is in contravention of section 145 of the Insolvency Act</w:t>
      </w:r>
      <w:r w:rsidR="00FC6575">
        <w:rPr>
          <w:rFonts w:ascii="Verdana" w:hAnsi="Verdana" w:cs="Tahoma"/>
          <w:sz w:val="24"/>
          <w:szCs w:val="24"/>
        </w:rPr>
        <w:t>, 24 of 1936,</w:t>
      </w:r>
      <w:r>
        <w:rPr>
          <w:rFonts w:ascii="Verdana" w:hAnsi="Verdana" w:cs="Tahoma"/>
          <w:sz w:val="24"/>
          <w:szCs w:val="24"/>
        </w:rPr>
        <w:t xml:space="preserve"> in that the respondent </w:t>
      </w:r>
      <w:r w:rsidR="00FC6575">
        <w:rPr>
          <w:rFonts w:ascii="Verdana" w:hAnsi="Verdana" w:cs="Tahoma"/>
          <w:sz w:val="24"/>
          <w:szCs w:val="24"/>
        </w:rPr>
        <w:t xml:space="preserve">hindered and still </w:t>
      </w:r>
      <w:r>
        <w:rPr>
          <w:rFonts w:ascii="Verdana" w:hAnsi="Verdana" w:cs="Tahoma"/>
          <w:sz w:val="24"/>
          <w:szCs w:val="24"/>
        </w:rPr>
        <w:t>hinders the liquidat</w:t>
      </w:r>
      <w:r w:rsidR="00FC6575">
        <w:rPr>
          <w:rFonts w:ascii="Verdana" w:hAnsi="Verdana" w:cs="Tahoma"/>
          <w:sz w:val="24"/>
          <w:szCs w:val="24"/>
        </w:rPr>
        <w:t>ors</w:t>
      </w:r>
      <w:r>
        <w:rPr>
          <w:rFonts w:ascii="Verdana" w:hAnsi="Verdana" w:cs="Tahoma"/>
          <w:sz w:val="24"/>
          <w:szCs w:val="24"/>
        </w:rPr>
        <w:t xml:space="preserve"> and their representatives in </w:t>
      </w:r>
      <w:r w:rsidR="00EA6828">
        <w:rPr>
          <w:rFonts w:ascii="Verdana" w:hAnsi="Verdana" w:cs="Tahoma"/>
          <w:sz w:val="24"/>
          <w:szCs w:val="24"/>
        </w:rPr>
        <w:t xml:space="preserve">the </w:t>
      </w:r>
      <w:r>
        <w:rPr>
          <w:rFonts w:ascii="Verdana" w:hAnsi="Verdana" w:cs="Tahoma"/>
          <w:sz w:val="24"/>
          <w:szCs w:val="24"/>
        </w:rPr>
        <w:t>performance of their functions.</w:t>
      </w:r>
    </w:p>
    <w:p w14:paraId="54CD4B28" w14:textId="77777777" w:rsidR="00E11775" w:rsidRDefault="0054384E"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ab/>
        <w:t xml:space="preserve">2.4 </w:t>
      </w:r>
      <w:r w:rsidR="00FC6575">
        <w:rPr>
          <w:rFonts w:ascii="Verdana" w:hAnsi="Verdana" w:cs="Tahoma"/>
          <w:sz w:val="24"/>
          <w:szCs w:val="24"/>
        </w:rPr>
        <w:t>Notwithstanding the finding that this Court had in law to make, this</w:t>
      </w:r>
      <w:r>
        <w:rPr>
          <w:rFonts w:ascii="Verdana" w:hAnsi="Verdana" w:cs="Tahoma"/>
          <w:sz w:val="24"/>
          <w:szCs w:val="24"/>
        </w:rPr>
        <w:t xml:space="preserve"> matter is remitted to the National Prosecuting Authority </w:t>
      </w:r>
      <w:r w:rsidR="00FC6575">
        <w:rPr>
          <w:rFonts w:ascii="Verdana" w:hAnsi="Verdana" w:cs="Tahoma"/>
          <w:sz w:val="24"/>
          <w:szCs w:val="24"/>
        </w:rPr>
        <w:t xml:space="preserve">(NPA) </w:t>
      </w:r>
      <w:r>
        <w:rPr>
          <w:rFonts w:ascii="Verdana" w:hAnsi="Verdana" w:cs="Tahoma"/>
          <w:sz w:val="24"/>
          <w:szCs w:val="24"/>
        </w:rPr>
        <w:t>to investigate the contraventions of s</w:t>
      </w:r>
      <w:r w:rsidR="00FC6575">
        <w:rPr>
          <w:rFonts w:ascii="Verdana" w:hAnsi="Verdana" w:cs="Tahoma"/>
          <w:sz w:val="24"/>
          <w:szCs w:val="24"/>
        </w:rPr>
        <w:t>s</w:t>
      </w:r>
      <w:r>
        <w:rPr>
          <w:rFonts w:ascii="Verdana" w:hAnsi="Verdana" w:cs="Tahoma"/>
          <w:sz w:val="24"/>
          <w:szCs w:val="24"/>
        </w:rPr>
        <w:t xml:space="preserve"> 14</w:t>
      </w:r>
      <w:r w:rsidR="00FC6575">
        <w:rPr>
          <w:rFonts w:ascii="Verdana" w:hAnsi="Verdana" w:cs="Tahoma"/>
          <w:sz w:val="24"/>
          <w:szCs w:val="24"/>
        </w:rPr>
        <w:t>2 and 145 of the Insolvency Act, 24 of 1936.</w:t>
      </w:r>
    </w:p>
    <w:p w14:paraId="62C9320B" w14:textId="77777777" w:rsidR="0054384E" w:rsidRPr="0054384E" w:rsidRDefault="0054384E" w:rsidP="00B269BA">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 xml:space="preserve">2.5 Costs of this application be paid by the respondent on </w:t>
      </w:r>
      <w:r w:rsidR="00FC6575">
        <w:rPr>
          <w:rFonts w:ascii="Verdana" w:hAnsi="Verdana" w:cs="Tahoma"/>
          <w:sz w:val="24"/>
          <w:szCs w:val="24"/>
        </w:rPr>
        <w:t xml:space="preserve">an </w:t>
      </w:r>
      <w:r>
        <w:rPr>
          <w:rFonts w:ascii="Verdana" w:hAnsi="Verdana" w:cs="Tahoma"/>
          <w:sz w:val="24"/>
          <w:szCs w:val="24"/>
        </w:rPr>
        <w:t xml:space="preserve">attorney and own client scale. </w:t>
      </w:r>
    </w:p>
    <w:p w14:paraId="5B91BB24" w14:textId="77777777" w:rsidR="0054384E" w:rsidRPr="00E11775" w:rsidRDefault="0054384E" w:rsidP="00B269BA">
      <w:pPr>
        <w:tabs>
          <w:tab w:val="left" w:pos="851"/>
          <w:tab w:val="left" w:pos="1701"/>
          <w:tab w:val="left" w:pos="2552"/>
          <w:tab w:val="right" w:pos="8931"/>
        </w:tabs>
        <w:spacing w:line="360" w:lineRule="auto"/>
        <w:ind w:left="851" w:hanging="851"/>
        <w:jc w:val="both"/>
        <w:rPr>
          <w:rFonts w:ascii="Verdana" w:hAnsi="Verdana" w:cs="Tahoma"/>
          <w:b/>
          <w:sz w:val="24"/>
          <w:szCs w:val="24"/>
        </w:rPr>
      </w:pPr>
    </w:p>
    <w:p w14:paraId="00C54A8B" w14:textId="77777777" w:rsidR="005D081F" w:rsidRDefault="005D081F" w:rsidP="005D081F">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2BC970A4" w14:textId="77777777" w:rsidR="005D081F" w:rsidRDefault="005D081F" w:rsidP="005D081F">
      <w:pPr>
        <w:tabs>
          <w:tab w:val="left" w:pos="851"/>
          <w:tab w:val="left" w:pos="1701"/>
          <w:tab w:val="left" w:pos="2552"/>
          <w:tab w:val="right" w:pos="8931"/>
        </w:tabs>
        <w:spacing w:line="360" w:lineRule="auto"/>
        <w:ind w:left="851" w:hanging="851"/>
        <w:jc w:val="both"/>
        <w:rPr>
          <w:rFonts w:ascii="Verdana" w:hAnsi="Verdana"/>
          <w:b/>
          <w:sz w:val="24"/>
          <w:szCs w:val="24"/>
        </w:rPr>
      </w:pPr>
    </w:p>
    <w:p w14:paraId="69F31B9E" w14:textId="77777777" w:rsidR="00C309E5" w:rsidRDefault="00C309E5" w:rsidP="00F4498A">
      <w:pPr>
        <w:spacing w:line="360" w:lineRule="auto"/>
        <w:jc w:val="both"/>
        <w:rPr>
          <w:rFonts w:ascii="Verdana" w:hAnsi="Verdana"/>
          <w:b/>
          <w:sz w:val="24"/>
          <w:szCs w:val="24"/>
        </w:rPr>
      </w:pPr>
      <w:r w:rsidRPr="00C309E5">
        <w:rPr>
          <w:rFonts w:ascii="Verdana" w:hAnsi="Verdana"/>
          <w:b/>
          <w:noProof/>
          <w:sz w:val="24"/>
          <w:szCs w:val="24"/>
          <w:lang w:val="en-ZA" w:eastAsia="en-ZA"/>
        </w:rPr>
        <mc:AlternateContent>
          <mc:Choice Requires="wps">
            <w:drawing>
              <wp:anchor distT="45720" distB="45720" distL="114300" distR="114300" simplePos="0" relativeHeight="251663360" behindDoc="0" locked="0" layoutInCell="1" allowOverlap="1" wp14:anchorId="727550F6" wp14:editId="19AFD61F">
                <wp:simplePos x="0" y="0"/>
                <wp:positionH relativeFrom="column">
                  <wp:posOffset>-93345</wp:posOffset>
                </wp:positionH>
                <wp:positionV relativeFrom="paragraph">
                  <wp:posOffset>83185</wp:posOffset>
                </wp:positionV>
                <wp:extent cx="261937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14:paraId="5520CB65" w14:textId="77777777" w:rsidR="00057938" w:rsidRDefault="00057938" w:rsidP="00C309E5">
                            <w:pPr>
                              <w:spacing w:line="360" w:lineRule="auto"/>
                              <w:jc w:val="both"/>
                              <w:rPr>
                                <w:rFonts w:ascii="Verdana" w:hAnsi="Verdana"/>
                                <w:b/>
                                <w:sz w:val="24"/>
                                <w:szCs w:val="24"/>
                              </w:rPr>
                            </w:pPr>
                            <w:r>
                              <w:rPr>
                                <w:rFonts w:ascii="Verdana" w:hAnsi="Verdana"/>
                                <w:b/>
                                <w:sz w:val="24"/>
                                <w:szCs w:val="24"/>
                              </w:rPr>
                              <w:t>M.C. MAMOSEBO</w:t>
                            </w:r>
                          </w:p>
                          <w:p w14:paraId="6627D108" w14:textId="77777777" w:rsidR="00057938" w:rsidRDefault="00057938" w:rsidP="00C309E5">
                            <w:pPr>
                              <w:spacing w:line="360" w:lineRule="auto"/>
                              <w:jc w:val="both"/>
                              <w:rPr>
                                <w:rFonts w:ascii="Verdana" w:hAnsi="Verdana"/>
                                <w:b/>
                                <w:sz w:val="24"/>
                                <w:szCs w:val="24"/>
                              </w:rPr>
                            </w:pPr>
                            <w:r w:rsidRPr="005466C8">
                              <w:rPr>
                                <w:rFonts w:ascii="Verdana" w:hAnsi="Verdana"/>
                                <w:b/>
                                <w:sz w:val="24"/>
                                <w:szCs w:val="24"/>
                              </w:rPr>
                              <w:t>JUDGE OF THE HIGH COURT</w:t>
                            </w:r>
                          </w:p>
                          <w:p w14:paraId="208B1CF7" w14:textId="77777777" w:rsidR="00057938" w:rsidRDefault="00057938" w:rsidP="00C309E5">
                            <w:pPr>
                              <w:spacing w:line="360" w:lineRule="auto"/>
                              <w:jc w:val="both"/>
                              <w:rPr>
                                <w:rFonts w:ascii="Verdana" w:hAnsi="Verdana"/>
                                <w:b/>
                                <w:sz w:val="24"/>
                                <w:szCs w:val="24"/>
                              </w:rPr>
                            </w:pPr>
                            <w:r>
                              <w:rPr>
                                <w:rFonts w:ascii="Verdana" w:hAnsi="Verdana"/>
                                <w:b/>
                                <w:sz w:val="24"/>
                                <w:szCs w:val="24"/>
                              </w:rPr>
                              <w:t>NORTHERN CAPE DIVISION</w:t>
                            </w:r>
                          </w:p>
                          <w:p w14:paraId="13E2E947" w14:textId="77777777" w:rsidR="00057938" w:rsidRDefault="000579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7EC2CD05" id="_x0000_t202" coordsize="21600,21600" o:spt="202" path="m,l,21600r21600,l21600,xe">
                <v:stroke joinstyle="miter"/>
                <v:path gradientshapeok="t" o:connecttype="rect"/>
              </v:shapetype>
              <v:shape id="Text Box 2" o:spid="_x0000_s1026" type="#_x0000_t202" style="position:absolute;left:0;text-align:left;margin-left:-7.35pt;margin-top:6.55pt;width:20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" stroked="f">
                <v:textbox style="mso-fit-shape-to-text:t">
                  <w:txbxContent>
                    <w:p w:rsidR="00057938" w:rsidRDefault="00057938" w:rsidP="00C309E5">
                      <w:pPr>
                        <w:spacing w:line="360" w:lineRule="auto"/>
                        <w:jc w:val="both"/>
                        <w:rPr>
                          <w:rFonts w:ascii="Verdana" w:hAnsi="Verdana"/>
                          <w:b/>
                          <w:sz w:val="24"/>
                          <w:szCs w:val="24"/>
                        </w:rPr>
                      </w:pPr>
                      <w:r>
                        <w:rPr>
                          <w:rFonts w:ascii="Verdana" w:hAnsi="Verdana"/>
                          <w:b/>
                          <w:sz w:val="24"/>
                          <w:szCs w:val="24"/>
                        </w:rPr>
                        <w:t>M.C. MAMOSEBO</w:t>
                      </w:r>
                    </w:p>
                    <w:p w:rsidR="00057938" w:rsidRDefault="00057938" w:rsidP="00C309E5">
                      <w:pPr>
                        <w:spacing w:line="360" w:lineRule="auto"/>
                        <w:jc w:val="both"/>
                        <w:rPr>
                          <w:rFonts w:ascii="Verdana" w:hAnsi="Verdana"/>
                          <w:b/>
                          <w:sz w:val="24"/>
                          <w:szCs w:val="24"/>
                        </w:rPr>
                      </w:pPr>
                      <w:r w:rsidRPr="005466C8">
                        <w:rPr>
                          <w:rFonts w:ascii="Verdana" w:hAnsi="Verdana"/>
                          <w:b/>
                          <w:sz w:val="24"/>
                          <w:szCs w:val="24"/>
                        </w:rPr>
                        <w:t>JUDGE OF THE HIGH COURT</w:t>
                      </w:r>
                    </w:p>
                    <w:p w:rsidR="00057938" w:rsidRDefault="00057938" w:rsidP="00C309E5">
                      <w:pPr>
                        <w:spacing w:line="360" w:lineRule="auto"/>
                        <w:jc w:val="both"/>
                        <w:rPr>
                          <w:rFonts w:ascii="Verdana" w:hAnsi="Verdana"/>
                          <w:b/>
                          <w:sz w:val="24"/>
                          <w:szCs w:val="24"/>
                        </w:rPr>
                      </w:pPr>
                      <w:r>
                        <w:rPr>
                          <w:rFonts w:ascii="Verdana" w:hAnsi="Verdana"/>
                          <w:b/>
                          <w:sz w:val="24"/>
                          <w:szCs w:val="24"/>
                        </w:rPr>
                        <w:t>NORTHERN CAPE DIVISION</w:t>
                      </w:r>
                    </w:p>
                    <w:p w:rsidR="00057938" w:rsidRDefault="00057938"/>
                  </w:txbxContent>
                </v:textbox>
                <w10:wrap type="square"/>
              </v:shape>
            </w:pict>
          </mc:Fallback>
        </mc:AlternateContent>
      </w:r>
    </w:p>
    <w:p w14:paraId="2E777226" w14:textId="77777777" w:rsidR="00F4498A" w:rsidRDefault="00F4498A" w:rsidP="00F4498A">
      <w:pPr>
        <w:spacing w:line="360" w:lineRule="auto"/>
        <w:jc w:val="both"/>
        <w:rPr>
          <w:rFonts w:ascii="Verdana" w:hAnsi="Verdana"/>
          <w:b/>
          <w:sz w:val="24"/>
          <w:szCs w:val="24"/>
        </w:rPr>
      </w:pPr>
    </w:p>
    <w:p w14:paraId="3762F39F" w14:textId="77777777" w:rsidR="00105E02" w:rsidRPr="005466C8" w:rsidRDefault="00105E02" w:rsidP="00F4498A">
      <w:pPr>
        <w:spacing w:line="360" w:lineRule="auto"/>
        <w:jc w:val="both"/>
        <w:rPr>
          <w:rFonts w:ascii="Verdana" w:hAnsi="Verdana"/>
          <w:b/>
          <w:sz w:val="24"/>
          <w:szCs w:val="24"/>
        </w:rPr>
      </w:pPr>
    </w:p>
    <w:p w14:paraId="6A28F01A" w14:textId="77777777" w:rsidR="00C309E5" w:rsidRDefault="00C309E5" w:rsidP="00802323">
      <w:pPr>
        <w:tabs>
          <w:tab w:val="left" w:pos="4253"/>
        </w:tabs>
        <w:jc w:val="both"/>
        <w:rPr>
          <w:rFonts w:ascii="Verdana" w:hAnsi="Verdana"/>
          <w:sz w:val="24"/>
          <w:szCs w:val="24"/>
        </w:rPr>
      </w:pPr>
    </w:p>
    <w:p w14:paraId="3F901161" w14:textId="77777777" w:rsidR="00C309E5" w:rsidRDefault="00C309E5" w:rsidP="00802323">
      <w:pPr>
        <w:tabs>
          <w:tab w:val="left" w:pos="4253"/>
        </w:tabs>
        <w:jc w:val="both"/>
        <w:rPr>
          <w:rFonts w:ascii="Verdana" w:hAnsi="Verdana"/>
          <w:sz w:val="24"/>
          <w:szCs w:val="24"/>
        </w:rPr>
      </w:pPr>
    </w:p>
    <w:p w14:paraId="14F77A5A" w14:textId="77777777" w:rsidR="00C309E5" w:rsidRDefault="00C309E5" w:rsidP="00802323">
      <w:pPr>
        <w:tabs>
          <w:tab w:val="left" w:pos="4253"/>
        </w:tabs>
        <w:jc w:val="both"/>
        <w:rPr>
          <w:rFonts w:ascii="Verdana" w:hAnsi="Verdana"/>
          <w:sz w:val="24"/>
          <w:szCs w:val="24"/>
        </w:rPr>
      </w:pPr>
    </w:p>
    <w:p w14:paraId="751D8670" w14:textId="77777777" w:rsidR="00F4498A" w:rsidRPr="001A6837" w:rsidRDefault="00710774" w:rsidP="00802323">
      <w:pPr>
        <w:tabs>
          <w:tab w:val="left" w:pos="4253"/>
        </w:tabs>
        <w:jc w:val="both"/>
        <w:rPr>
          <w:rFonts w:ascii="Verdana" w:hAnsi="Verdana"/>
          <w:sz w:val="24"/>
          <w:szCs w:val="24"/>
        </w:rPr>
      </w:pPr>
      <w:r>
        <w:rPr>
          <w:rFonts w:ascii="Verdana" w:hAnsi="Verdana"/>
          <w:sz w:val="24"/>
          <w:szCs w:val="24"/>
        </w:rPr>
        <w:t>F</w:t>
      </w:r>
      <w:r w:rsidR="00F4498A" w:rsidRPr="001A6837">
        <w:rPr>
          <w:rFonts w:ascii="Verdana" w:hAnsi="Verdana"/>
          <w:sz w:val="24"/>
          <w:szCs w:val="24"/>
        </w:rPr>
        <w:t xml:space="preserve">or the </w:t>
      </w:r>
      <w:r w:rsidR="00551733">
        <w:rPr>
          <w:rFonts w:ascii="Verdana" w:hAnsi="Verdana"/>
          <w:sz w:val="24"/>
          <w:szCs w:val="24"/>
        </w:rPr>
        <w:t>applicant</w:t>
      </w:r>
      <w:r w:rsidR="00F4498A" w:rsidRPr="001A6837">
        <w:rPr>
          <w:rFonts w:ascii="Verdana" w:hAnsi="Verdana"/>
          <w:sz w:val="24"/>
          <w:szCs w:val="24"/>
        </w:rPr>
        <w:t>:</w:t>
      </w:r>
      <w:r w:rsidR="00F4498A" w:rsidRPr="001A6837">
        <w:rPr>
          <w:rFonts w:ascii="Verdana" w:hAnsi="Verdana"/>
          <w:sz w:val="24"/>
          <w:szCs w:val="24"/>
        </w:rPr>
        <w:tab/>
      </w:r>
      <w:r w:rsidR="008C7110">
        <w:rPr>
          <w:rFonts w:ascii="Verdana" w:hAnsi="Verdana"/>
          <w:sz w:val="24"/>
          <w:szCs w:val="24"/>
        </w:rPr>
        <w:t>Adv. WC Carstens</w:t>
      </w:r>
    </w:p>
    <w:p w14:paraId="08BB7C4A" w14:textId="77777777" w:rsidR="006B2326" w:rsidRDefault="00F4498A" w:rsidP="00802323">
      <w:pPr>
        <w:tabs>
          <w:tab w:val="left" w:pos="4253"/>
        </w:tabs>
        <w:jc w:val="both"/>
        <w:rPr>
          <w:rFonts w:ascii="Verdana" w:hAnsi="Verdana"/>
          <w:sz w:val="24"/>
          <w:szCs w:val="24"/>
        </w:rPr>
      </w:pPr>
      <w:r w:rsidRPr="001A6837">
        <w:rPr>
          <w:rFonts w:ascii="Verdana" w:hAnsi="Verdana"/>
          <w:sz w:val="24"/>
          <w:szCs w:val="24"/>
        </w:rPr>
        <w:t>Instructed by:</w:t>
      </w:r>
      <w:r w:rsidR="001A6837">
        <w:rPr>
          <w:rFonts w:ascii="Verdana" w:hAnsi="Verdana"/>
          <w:sz w:val="24"/>
          <w:szCs w:val="24"/>
        </w:rPr>
        <w:tab/>
      </w:r>
      <w:r w:rsidR="008C7110">
        <w:rPr>
          <w:rFonts w:ascii="Verdana" w:hAnsi="Verdana"/>
          <w:sz w:val="24"/>
          <w:szCs w:val="24"/>
        </w:rPr>
        <w:t>Hertzenberg Attorneys</w:t>
      </w:r>
    </w:p>
    <w:p w14:paraId="1B9BD144" w14:textId="77777777" w:rsidR="008C7110" w:rsidRDefault="008C7110" w:rsidP="00802323">
      <w:pPr>
        <w:tabs>
          <w:tab w:val="left" w:pos="4253"/>
        </w:tabs>
        <w:jc w:val="both"/>
        <w:rPr>
          <w:rFonts w:ascii="Verdana" w:hAnsi="Verdana"/>
          <w:sz w:val="24"/>
          <w:szCs w:val="24"/>
        </w:rPr>
      </w:pPr>
      <w:r>
        <w:rPr>
          <w:rFonts w:ascii="Verdana" w:hAnsi="Verdana"/>
          <w:sz w:val="24"/>
          <w:szCs w:val="24"/>
        </w:rPr>
        <w:tab/>
        <w:t>c/o Engelsman Magabane Inc</w:t>
      </w:r>
    </w:p>
    <w:p w14:paraId="43B7E1E3" w14:textId="77777777" w:rsidR="000A5D28" w:rsidRDefault="000A5D28" w:rsidP="00802323">
      <w:pPr>
        <w:tabs>
          <w:tab w:val="left" w:pos="4253"/>
        </w:tabs>
        <w:jc w:val="both"/>
        <w:rPr>
          <w:rFonts w:ascii="Verdana" w:hAnsi="Verdana"/>
          <w:sz w:val="24"/>
          <w:szCs w:val="24"/>
        </w:rPr>
      </w:pPr>
    </w:p>
    <w:p w14:paraId="0061A68C" w14:textId="77777777" w:rsidR="000A5D28" w:rsidRDefault="000A5D28" w:rsidP="00802323">
      <w:pPr>
        <w:tabs>
          <w:tab w:val="left" w:pos="4253"/>
        </w:tabs>
        <w:jc w:val="both"/>
        <w:rPr>
          <w:rFonts w:ascii="Verdana" w:hAnsi="Verdana"/>
          <w:sz w:val="24"/>
          <w:szCs w:val="24"/>
        </w:rPr>
      </w:pPr>
      <w:r>
        <w:rPr>
          <w:rFonts w:ascii="Verdana" w:hAnsi="Verdana"/>
          <w:sz w:val="24"/>
          <w:szCs w:val="24"/>
        </w:rPr>
        <w:t xml:space="preserve">For the </w:t>
      </w:r>
      <w:r w:rsidR="00551733">
        <w:rPr>
          <w:rFonts w:ascii="Verdana" w:hAnsi="Verdana"/>
          <w:sz w:val="24"/>
          <w:szCs w:val="24"/>
        </w:rPr>
        <w:t>respondents</w:t>
      </w:r>
      <w:r w:rsidR="00231C7F">
        <w:rPr>
          <w:rFonts w:ascii="Verdana" w:hAnsi="Verdana"/>
          <w:sz w:val="24"/>
          <w:szCs w:val="24"/>
        </w:rPr>
        <w:t>:</w:t>
      </w:r>
      <w:r>
        <w:rPr>
          <w:rFonts w:ascii="Verdana" w:hAnsi="Verdana"/>
          <w:sz w:val="24"/>
          <w:szCs w:val="24"/>
        </w:rPr>
        <w:tab/>
      </w:r>
      <w:r w:rsidR="008C7110">
        <w:rPr>
          <w:rFonts w:ascii="Verdana" w:hAnsi="Verdana"/>
          <w:sz w:val="24"/>
          <w:szCs w:val="24"/>
        </w:rPr>
        <w:t>Adv. FG Janse Van Rensburg</w:t>
      </w:r>
    </w:p>
    <w:p w14:paraId="3D3EFD9C" w14:textId="77777777" w:rsidR="008C7110" w:rsidRDefault="008C7110" w:rsidP="00802323">
      <w:pPr>
        <w:tabs>
          <w:tab w:val="left" w:pos="4253"/>
        </w:tabs>
        <w:jc w:val="both"/>
        <w:rPr>
          <w:rFonts w:ascii="Verdana" w:hAnsi="Verdana"/>
          <w:sz w:val="24"/>
          <w:szCs w:val="24"/>
        </w:rPr>
      </w:pPr>
      <w:r>
        <w:rPr>
          <w:rFonts w:ascii="Verdana" w:hAnsi="Verdana"/>
          <w:sz w:val="24"/>
          <w:szCs w:val="24"/>
        </w:rPr>
        <w:t>Instructed by:</w:t>
      </w:r>
      <w:r>
        <w:rPr>
          <w:rFonts w:ascii="Verdana" w:hAnsi="Verdana"/>
          <w:sz w:val="24"/>
          <w:szCs w:val="24"/>
        </w:rPr>
        <w:tab/>
        <w:t>Becker Bergh &amp; More Inc</w:t>
      </w:r>
    </w:p>
    <w:p w14:paraId="34941EB8" w14:textId="77777777" w:rsidR="008C7110" w:rsidRDefault="008C7110" w:rsidP="00802323">
      <w:pPr>
        <w:tabs>
          <w:tab w:val="left" w:pos="4253"/>
        </w:tabs>
        <w:jc w:val="both"/>
        <w:rPr>
          <w:rFonts w:ascii="Verdana" w:hAnsi="Verdana"/>
          <w:sz w:val="24"/>
          <w:szCs w:val="24"/>
        </w:rPr>
      </w:pPr>
      <w:r>
        <w:rPr>
          <w:rFonts w:ascii="Verdana" w:hAnsi="Verdana"/>
          <w:sz w:val="24"/>
          <w:szCs w:val="24"/>
        </w:rPr>
        <w:tab/>
        <w:t>c/o Haarhoffs Inc</w:t>
      </w:r>
    </w:p>
    <w:p w14:paraId="316B40ED" w14:textId="77777777" w:rsidR="006B2326" w:rsidRDefault="006B2326" w:rsidP="00802323">
      <w:pPr>
        <w:tabs>
          <w:tab w:val="left" w:pos="4253"/>
        </w:tabs>
        <w:jc w:val="both"/>
        <w:rPr>
          <w:rFonts w:ascii="Verdana" w:hAnsi="Verdana"/>
          <w:sz w:val="24"/>
          <w:szCs w:val="24"/>
        </w:rPr>
      </w:pPr>
      <w:r>
        <w:rPr>
          <w:rFonts w:ascii="Verdana" w:hAnsi="Verdana"/>
          <w:sz w:val="24"/>
          <w:szCs w:val="24"/>
        </w:rPr>
        <w:tab/>
      </w:r>
      <w:bookmarkEnd w:id="0"/>
    </w:p>
    <w:sectPr w:rsidR="006B2326" w:rsidSect="00F35D91">
      <w:headerReference w:type="default" r:id="rId12"/>
      <w:footerReference w:type="default" r:id="rId13"/>
      <w:pgSz w:w="11906" w:h="16838"/>
      <w:pgMar w:top="709" w:right="1440" w:bottom="1134" w:left="1440" w:header="708" w:footer="708"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9372679" w14:textId="77777777" w:rsidR="00057938" w:rsidRDefault="00057938" w:rsidP="00057938">
      <w:pPr>
        <w:pStyle w:val="CommentText"/>
        <w:jc w:val="both"/>
      </w:pPr>
      <w:r>
        <w:rPr>
          <w:rStyle w:val="CommentReference"/>
        </w:rPr>
        <w:annotationRef/>
      </w:r>
      <w:r>
        <w:t>This is the correct ‘</w:t>
      </w:r>
      <w:r w:rsidRPr="005476F9">
        <w:rPr>
          <w:i/>
        </w:rPr>
        <w:t>Neutral citation’</w:t>
      </w:r>
      <w:r>
        <w:t xml:space="preserve"> from the SCA itself. However, the SA &amp; All SA Law Reports have tweaked it slightly as per the tracked suggestion herein. We suggest that the Court should consider adopting the SA/All SA law reports citation. This is so because the </w:t>
      </w:r>
      <w:r w:rsidRPr="005476F9">
        <w:rPr>
          <w:i/>
        </w:rPr>
        <w:t>neutral citation</w:t>
      </w:r>
      <w:r>
        <w:t xml:space="preserve"> in its current form may</w:t>
      </w:r>
      <w:r w:rsidR="005476F9">
        <w:t xml:space="preserve"> somewhat</w:t>
      </w:r>
      <w:r>
        <w:t xml:space="preserve"> suggest that this Court is referring to two individual cases with different citations altogether. This suggestion will also ensure consistency in citations of </w:t>
      </w:r>
      <w:r w:rsidR="005476F9">
        <w:t>case law</w:t>
      </w:r>
      <w:r>
        <w:t xml:space="preserve"> throughout the Judgment </w:t>
      </w:r>
    </w:p>
  </w:comment>
  <w:comment w:id="2" w:author="Author" w:initials="A">
    <w:p w14:paraId="43CBB3C4" w14:textId="77777777" w:rsidR="00BD0A98" w:rsidRPr="00BD0A98" w:rsidRDefault="00BD0A98">
      <w:pPr>
        <w:pStyle w:val="CommentText"/>
      </w:pPr>
      <w:r>
        <w:rPr>
          <w:rStyle w:val="CommentReference"/>
        </w:rPr>
        <w:annotationRef/>
      </w:r>
      <w:r>
        <w:t xml:space="preserve"> We suggest that the Court considers moving this citation to footnote 18 because it is not part </w:t>
      </w:r>
      <w:r w:rsidR="005476F9">
        <w:t>of para</w:t>
      </w:r>
      <w:r>
        <w:t xml:space="preserve"> </w:t>
      </w:r>
      <w:r w:rsidR="005476F9">
        <w:t>18 of</w:t>
      </w:r>
      <w:r>
        <w:t xml:space="preserve"> </w:t>
      </w:r>
      <w:r w:rsidRPr="00BD0A98">
        <w:rPr>
          <w:i/>
        </w:rPr>
        <w:t xml:space="preserve">Langa </w:t>
      </w:r>
      <w:r w:rsidR="005476F9" w:rsidRPr="00BD0A98">
        <w:rPr>
          <w:i/>
        </w:rPr>
        <w:t>CJ</w:t>
      </w:r>
      <w:r w:rsidR="005476F9">
        <w:rPr>
          <w:i/>
        </w:rPr>
        <w:t xml:space="preserve"> </w:t>
      </w:r>
      <w:r w:rsidR="005476F9">
        <w:t>case</w:t>
      </w:r>
      <w:r>
        <w:t xml:space="preserve">. It is however, another instructive case in addition to the </w:t>
      </w:r>
      <w:r w:rsidRPr="005476F9">
        <w:rPr>
          <w:i/>
        </w:rPr>
        <w:t>Langa CJ</w:t>
      </w:r>
      <w:r>
        <w:t xml:space="preserve">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72679" w15:done="0"/>
  <w15:commentEx w15:paraId="43CBB3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73C3" w14:textId="77777777" w:rsidR="0069345D" w:rsidRDefault="0069345D" w:rsidP="008E2AD7">
      <w:r>
        <w:separator/>
      </w:r>
    </w:p>
  </w:endnote>
  <w:endnote w:type="continuationSeparator" w:id="0">
    <w:p w14:paraId="66983E98" w14:textId="77777777" w:rsidR="0069345D" w:rsidRDefault="0069345D" w:rsidP="008E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22D6" w14:textId="77777777" w:rsidR="00057938" w:rsidRPr="00471DFC" w:rsidRDefault="00057938">
    <w:pPr>
      <w:pStyle w:val="Footer"/>
      <w:jc w:val="right"/>
      <w:rPr>
        <w:rFonts w:ascii="Century Gothic" w:hAnsi="Century Gothic"/>
        <w:sz w:val="20"/>
        <w:szCs w:val="20"/>
      </w:rPr>
    </w:pPr>
  </w:p>
  <w:p w14:paraId="384B3B9E" w14:textId="77777777" w:rsidR="00057938" w:rsidRDefault="00057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AB8DD" w14:textId="77777777" w:rsidR="0069345D" w:rsidRDefault="0069345D" w:rsidP="008E2AD7">
      <w:r>
        <w:separator/>
      </w:r>
    </w:p>
  </w:footnote>
  <w:footnote w:type="continuationSeparator" w:id="0">
    <w:p w14:paraId="7E48A454" w14:textId="77777777" w:rsidR="0069345D" w:rsidRDefault="0069345D" w:rsidP="008E2AD7">
      <w:r>
        <w:continuationSeparator/>
      </w:r>
    </w:p>
  </w:footnote>
  <w:footnote w:id="1">
    <w:p w14:paraId="5D2B548A" w14:textId="77777777" w:rsidR="00057938" w:rsidRPr="001F6CD6" w:rsidRDefault="00057938" w:rsidP="001F6CD6">
      <w:pPr>
        <w:pStyle w:val="FootnoteText"/>
        <w:jc w:val="both"/>
        <w:rPr>
          <w:rFonts w:ascii="Verdana" w:hAnsi="Verdana"/>
          <w:lang w:val="en-ZA"/>
        </w:rPr>
      </w:pPr>
      <w:r w:rsidRPr="001F6CD6">
        <w:rPr>
          <w:rStyle w:val="FootnoteReference"/>
          <w:rFonts w:ascii="Verdana" w:hAnsi="Verdana"/>
        </w:rPr>
        <w:footnoteRef/>
      </w:r>
      <w:r w:rsidRPr="001F6CD6">
        <w:rPr>
          <w:rFonts w:ascii="Verdana" w:hAnsi="Verdana"/>
        </w:rPr>
        <w:t xml:space="preserve"> 24 of 1936, which stipulates: A provisional trustee shall have the powers and the duties of a trustee, as provided in this Act, except that without the authority of the court or for the purpose of obtaining such authority he shall not bring or defend any legal </w:t>
      </w:r>
      <w:r w:rsidR="00EA6828" w:rsidRPr="00EA6828">
        <w:rPr>
          <w:rFonts w:ascii="Verdana" w:hAnsi="Verdana"/>
        </w:rPr>
        <w:t>proceedings and</w:t>
      </w:r>
      <w:r w:rsidRPr="001F6CD6">
        <w:rPr>
          <w:rFonts w:ascii="Verdana" w:hAnsi="Verdana"/>
        </w:rPr>
        <w:t xml:space="preserve"> that without the authority of the court or Master he shall not sell any property belonging to the estate in question. Such sale shall furthermore be after such notices and subject to such conditions as the Master may direct.</w:t>
      </w:r>
    </w:p>
  </w:footnote>
  <w:footnote w:id="2">
    <w:p w14:paraId="62572C44" w14:textId="77777777" w:rsidR="00057938" w:rsidRPr="001F6CD6" w:rsidRDefault="00057938" w:rsidP="001F6CD6">
      <w:pPr>
        <w:pStyle w:val="FootnoteText"/>
        <w:jc w:val="both"/>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61 of 1973, which stipulates:  The powers referred to in subsection (3) are-</w:t>
      </w:r>
    </w:p>
    <w:p w14:paraId="454A0964"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 xml:space="preserve">to bring or defend in the name and on behalf of the company any action or </w:t>
      </w:r>
      <w:r w:rsidR="00BF32B9" w:rsidRPr="00BF32B9">
        <w:rPr>
          <w:rFonts w:ascii="Verdana" w:hAnsi="Verdana"/>
          <w:lang w:val="en-ZA"/>
        </w:rPr>
        <w:t xml:space="preserve">other </w:t>
      </w:r>
      <w:r w:rsidR="00BF32B9">
        <w:rPr>
          <w:rFonts w:ascii="Verdana" w:hAnsi="Verdana"/>
          <w:lang w:val="en-ZA"/>
        </w:rPr>
        <w:t>legal</w:t>
      </w:r>
      <w:r w:rsidRPr="001F6CD6">
        <w:rPr>
          <w:rFonts w:ascii="Verdana" w:hAnsi="Verdana"/>
          <w:lang w:val="en-ZA"/>
        </w:rPr>
        <w:t xml:space="preserve"> proceedings of a civil nature, and, subject to the provisions of any law relating to criminal procedure, any criminal proceedings: Provided that immediately upon the appointment of a liquidator and in the absence of the authority referred to in subsection (3), the Master may authorise, upon such terms as he thinks fit, any urgent legal proceedings for the recovery of outstanding accounts;</w:t>
      </w:r>
    </w:p>
    <w:p w14:paraId="44570F41"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to agree to any reasonable offer of composition made to the company by any debtor and to accept payment of any part of a debt due to the company in settlement thereof or to grant an extension of time for the payment of any such debt;</w:t>
      </w:r>
    </w:p>
    <w:p w14:paraId="5AF106DB"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to compromise or admit any claim or demand against the company, including an unliquidated claim;</w:t>
      </w:r>
    </w:p>
    <w:p w14:paraId="6BA0DC05"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except where the company being wound up is unable to pay its debts, to make any arrangement with creditors, including creditors in respect of unliquidated claims;</w:t>
      </w:r>
    </w:p>
    <w:p w14:paraId="15258B34"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to submit to the determination of arbitrators any dispute concerning the company or any claim or demand by or upon the company;</w:t>
      </w:r>
    </w:p>
    <w:p w14:paraId="5C5A0635"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to carry on or discontinue any part of the business of the company in so far as may be necessary for the beneficial winding-up thereof: Provided that, if he considers it necessary, the liquidator may carry on or discontinue any part of the business of the company concerned before he has obtained the leave of the Court or the authority referred to in subsection (3), but shall not in that event be entitled, as between himself and the creditors or contributories of the company, to include the cost of any goods purchased by him in the costs of the winding-up of the company unless such goods were necessary for the immediate purpose of carrying on the business of the company and there are funds available for payment of the cost of such goods after providing for the costs of winding-up;</w:t>
      </w:r>
    </w:p>
    <w:p w14:paraId="04AD0190"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 xml:space="preserve">to exercise </w:t>
      </w:r>
      <w:r w:rsidRPr="001F6CD6">
        <w:rPr>
          <w:rFonts w:ascii="Verdana" w:hAnsi="Verdana"/>
          <w:i/>
          <w:lang w:val="en-ZA"/>
        </w:rPr>
        <w:t>mutatis mutandis</w:t>
      </w:r>
      <w:r w:rsidRPr="001F6CD6">
        <w:rPr>
          <w:rFonts w:ascii="Verdana" w:hAnsi="Verdana"/>
          <w:lang w:val="en-ZA"/>
        </w:rPr>
        <w:t xml:space="preserve"> the same powers as are by sections 35 and 37 of the Insolvency Act, 1936, (Act 24 No. 24 of 1936), conferred upon a trustee under that Act, on the like terms and conditions as are therein mentioned: Provided that the powers conferred by section 35 aforesaid, shall not be exercised unless the company is unable to pay its debts;</w:t>
      </w:r>
    </w:p>
    <w:p w14:paraId="7C21B0C6"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to sell any movable and immovable property of the company by public auction, public tender or private contract and to give delivery thereof;</w:t>
      </w:r>
    </w:p>
    <w:p w14:paraId="3387965D" w14:textId="77777777" w:rsidR="00057938" w:rsidRPr="001F6CD6" w:rsidRDefault="00057938" w:rsidP="001F6CD6">
      <w:pPr>
        <w:pStyle w:val="FootnoteText"/>
        <w:numPr>
          <w:ilvl w:val="0"/>
          <w:numId w:val="22"/>
        </w:numPr>
        <w:jc w:val="both"/>
        <w:rPr>
          <w:rFonts w:ascii="Verdana" w:hAnsi="Verdana"/>
          <w:lang w:val="en-ZA"/>
        </w:rPr>
      </w:pPr>
      <w:r w:rsidRPr="001F6CD6">
        <w:rPr>
          <w:rFonts w:ascii="Verdana" w:hAnsi="Verdana"/>
          <w:lang w:val="en-ZA"/>
        </w:rPr>
        <w:t>to perform any act or exercise any power for which he is not expressly required by this Act to obtain the leave of the Court.</w:t>
      </w:r>
    </w:p>
  </w:footnote>
  <w:footnote w:id="3">
    <w:p w14:paraId="73A04021" w14:textId="77777777" w:rsidR="00057938" w:rsidRPr="001F6CD6" w:rsidRDefault="00057938">
      <w:pPr>
        <w:pStyle w:val="FootnoteText"/>
        <w:rPr>
          <w:rFonts w:ascii="Verdana" w:hAnsi="Verdana"/>
          <w:b/>
        </w:rPr>
      </w:pPr>
      <w:r w:rsidRPr="001F6CD6">
        <w:rPr>
          <w:rStyle w:val="FootnoteReference"/>
          <w:rFonts w:ascii="Verdana" w:hAnsi="Verdana"/>
        </w:rPr>
        <w:footnoteRef/>
      </w:r>
      <w:r w:rsidRPr="001F6CD6">
        <w:rPr>
          <w:rFonts w:ascii="Verdana" w:hAnsi="Verdana"/>
        </w:rPr>
        <w:t xml:space="preserve"> Section 142 </w:t>
      </w:r>
      <w:r w:rsidRPr="001F6CD6">
        <w:rPr>
          <w:rFonts w:ascii="Verdana" w:hAnsi="Verdana"/>
          <w:b/>
        </w:rPr>
        <w:t>Removing or concealing property to defeat an attachment or failure to disclose property</w:t>
      </w:r>
    </w:p>
    <w:p w14:paraId="65C923BA" w14:textId="77777777" w:rsidR="00057938" w:rsidRPr="001F6CD6" w:rsidRDefault="00057938" w:rsidP="007121CB">
      <w:pPr>
        <w:pStyle w:val="FootnoteText"/>
        <w:numPr>
          <w:ilvl w:val="0"/>
          <w:numId w:val="19"/>
        </w:numPr>
        <w:jc w:val="both"/>
        <w:rPr>
          <w:rFonts w:ascii="Verdana" w:hAnsi="Verdana"/>
          <w:lang w:val="en-ZA"/>
        </w:rPr>
      </w:pPr>
      <w:r w:rsidRPr="001F6CD6">
        <w:rPr>
          <w:rFonts w:ascii="Verdana" w:hAnsi="Verdana"/>
        </w:rPr>
        <w:t>Any person shall be guilty of an offence and liable to imprisonment for a period not exceeding three years if, either before or after the sequestration of an estate, he removes, conceals, disposes of, deals with or receives any asset belonging to that estate with intent to defeat an attachment by virtue of a sequestration order, or with intent to prejudice the creditors in that estate: Provided that in any proceedings for an offence under this sub-section, any such removal, concealment, disposal of, dealing with or receipt of assets which had the effect of defeating or was calculated to defeat such attachment or which prejudiced or was calculated to prejudice the creditors of that estate, shall, unless the contrary is proved, be deemed to have been committed with intent to defeat the attachment or (as the case may be) to prejudice those creditors.</w:t>
      </w:r>
    </w:p>
    <w:p w14:paraId="706C8C94" w14:textId="77777777" w:rsidR="00057938" w:rsidRPr="001F6CD6" w:rsidRDefault="00057938" w:rsidP="007121CB">
      <w:pPr>
        <w:pStyle w:val="FootnoteText"/>
        <w:numPr>
          <w:ilvl w:val="0"/>
          <w:numId w:val="19"/>
        </w:numPr>
        <w:jc w:val="both"/>
        <w:rPr>
          <w:rFonts w:ascii="Verdana" w:hAnsi="Verdana"/>
          <w:lang w:val="en-ZA"/>
        </w:rPr>
      </w:pPr>
      <w:r w:rsidRPr="001F6CD6">
        <w:rPr>
          <w:rFonts w:ascii="Verdana" w:hAnsi="Verdana"/>
        </w:rPr>
        <w:t>Any person who has in his possession or custody or under his control any property belonging to an insolvent estate and who knows of the sequestration of the estate and that the property belongs to it, shall be guilty of an offence and liable to a fine not exceeding R1 000 or to imprisonment without the option of a fine for a period not exceeding one year if he fails to inform the trustee of the estate as soon as possible of the existence and whereabouts of the property and (subject to the provisions of section 83) to deliver it to, or place it at the disposal  of, the trustee.</w:t>
      </w:r>
    </w:p>
    <w:p w14:paraId="0F5A0D31" w14:textId="77777777" w:rsidR="00057938" w:rsidRPr="001F6CD6" w:rsidRDefault="00057938" w:rsidP="008173DA">
      <w:pPr>
        <w:pStyle w:val="FootnoteText"/>
        <w:ind w:left="410"/>
        <w:jc w:val="both"/>
        <w:rPr>
          <w:rFonts w:ascii="Verdana" w:hAnsi="Verdana"/>
        </w:rPr>
      </w:pPr>
      <w:r w:rsidRPr="001F6CD6">
        <w:rPr>
          <w:rFonts w:ascii="Verdana" w:hAnsi="Verdana"/>
          <w:b/>
        </w:rPr>
        <w:t xml:space="preserve">145 Obstructing trustee. – </w:t>
      </w:r>
      <w:r w:rsidRPr="001F6CD6">
        <w:rPr>
          <w:rFonts w:ascii="Verdana" w:hAnsi="Verdana"/>
        </w:rPr>
        <w:t xml:space="preserve">Any person who obstructs or hinders a </w:t>
      </w:r>
      <w:r w:rsidRPr="001F6CD6">
        <w:rPr>
          <w:rFonts w:ascii="Verdana" w:hAnsi="Verdana"/>
          <w:i/>
        </w:rPr>
        <w:t>curator bonis</w:t>
      </w:r>
      <w:r w:rsidRPr="001F6CD6">
        <w:rPr>
          <w:rFonts w:ascii="Verdana" w:hAnsi="Verdana"/>
        </w:rPr>
        <w:t xml:space="preserve"> appointed under this Act or a trustee or a representative of either in the performance of his functions as such shall be guilty of an offence and liable to a fine not exceeding R500, or to imprisonment without the option of a fine for a period not exceeding six months.</w:t>
      </w:r>
    </w:p>
    <w:p w14:paraId="0CB8DB5C" w14:textId="77777777" w:rsidR="00057938" w:rsidRPr="001F6CD6" w:rsidRDefault="00057938" w:rsidP="008173DA">
      <w:pPr>
        <w:pStyle w:val="FootnoteText"/>
        <w:ind w:left="410"/>
        <w:jc w:val="both"/>
        <w:rPr>
          <w:rFonts w:ascii="Verdana" w:hAnsi="Verdana"/>
          <w:lang w:val="en-ZA"/>
        </w:rPr>
      </w:pPr>
    </w:p>
  </w:footnote>
  <w:footnote w:id="4">
    <w:p w14:paraId="2AC401A2"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1996 (4) SA 490 (A) at 494G-H</w:t>
      </w:r>
    </w:p>
  </w:footnote>
  <w:footnote w:id="5">
    <w:p w14:paraId="3C7F79F2" w14:textId="77777777" w:rsidR="00057938" w:rsidRPr="001F6CD6" w:rsidRDefault="00057938">
      <w:pPr>
        <w:pStyle w:val="FootnoteText"/>
        <w:rPr>
          <w:rFonts w:ascii="Verdana" w:hAnsi="Verdana"/>
          <w:lang w:val="en-GB"/>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GB"/>
        </w:rPr>
        <w:t>2021 (6) SA 403 (SCA)</w:t>
      </w:r>
    </w:p>
  </w:footnote>
  <w:footnote w:id="6">
    <w:p w14:paraId="01760771"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 xml:space="preserve">Case No 6174/2009, Western Cape High Court, (07 December 2010) </w:t>
      </w:r>
    </w:p>
  </w:footnote>
  <w:footnote w:id="7">
    <w:p w14:paraId="28083B51"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10 of 2013</w:t>
      </w:r>
    </w:p>
  </w:footnote>
  <w:footnote w:id="8">
    <w:p w14:paraId="5ED84DEB" w14:textId="77777777" w:rsidR="00303DAB" w:rsidRPr="001F6CD6" w:rsidRDefault="00303DAB" w:rsidP="001F6CD6">
      <w:pPr>
        <w:pStyle w:val="FootnoteText"/>
        <w:jc w:val="both"/>
        <w:rPr>
          <w:rFonts w:ascii="Verdana" w:hAnsi="Verdana"/>
        </w:rPr>
      </w:pPr>
      <w:r w:rsidRPr="001F6CD6">
        <w:rPr>
          <w:rStyle w:val="FootnoteReference"/>
          <w:rFonts w:ascii="Verdana" w:hAnsi="Verdana"/>
        </w:rPr>
        <w:footnoteRef/>
      </w:r>
      <w:r w:rsidRPr="001F6CD6">
        <w:rPr>
          <w:rFonts w:ascii="Verdana" w:hAnsi="Verdana"/>
        </w:rPr>
        <w:t xml:space="preserve"> </w:t>
      </w:r>
      <w:r w:rsidRPr="001F6CD6">
        <w:rPr>
          <w:rFonts w:ascii="Verdana" w:hAnsi="Verdana"/>
          <w:b/>
        </w:rPr>
        <w:t xml:space="preserve">General </w:t>
      </w:r>
      <w:r w:rsidR="001E2A72" w:rsidRPr="001F6CD6">
        <w:rPr>
          <w:rFonts w:ascii="Verdana" w:hAnsi="Verdana"/>
          <w:b/>
        </w:rPr>
        <w:t>duties</w:t>
      </w:r>
      <w:r w:rsidR="001E2A72" w:rsidRPr="001F6CD6">
        <w:rPr>
          <w:rFonts w:ascii="Verdana" w:hAnsi="Verdana"/>
        </w:rPr>
        <w:t>. —</w:t>
      </w:r>
      <w:r w:rsidRPr="001F6CD6">
        <w:rPr>
          <w:rFonts w:ascii="Verdana" w:hAnsi="Verdana"/>
        </w:rPr>
        <w:t>A liquidator in any winding-up shall proceed forthwith to recover and reduce into possession all the assets and property of the company, movable and immovable,</w:t>
      </w:r>
      <w:r w:rsidR="001E2A72" w:rsidRPr="001F6CD6">
        <w:rPr>
          <w:rFonts w:ascii="Verdana" w:hAnsi="Verdana"/>
        </w:rPr>
        <w:t xml:space="preserve"> shall apply the same so far as </w:t>
      </w:r>
      <w:r w:rsidRPr="001F6CD6">
        <w:rPr>
          <w:rFonts w:ascii="Verdana" w:hAnsi="Verdana"/>
        </w:rPr>
        <w:t>they extend in satisfactio</w:t>
      </w:r>
      <w:r w:rsidR="001E2A72" w:rsidRPr="001F6CD6">
        <w:rPr>
          <w:rFonts w:ascii="Verdana" w:hAnsi="Verdana"/>
        </w:rPr>
        <w:t xml:space="preserve">n of the costs of the winding-up </w:t>
      </w:r>
      <w:r w:rsidRPr="001F6CD6">
        <w:rPr>
          <w:rFonts w:ascii="Verdana" w:hAnsi="Verdana"/>
        </w:rPr>
        <w:t>and the claims of cred</w:t>
      </w:r>
      <w:r w:rsidR="001E2A72" w:rsidRPr="001F6CD6">
        <w:rPr>
          <w:rFonts w:ascii="Verdana" w:hAnsi="Verdana"/>
        </w:rPr>
        <w:t xml:space="preserve">itors, and shall distribute the </w:t>
      </w:r>
      <w:r w:rsidRPr="001F6CD6">
        <w:rPr>
          <w:rFonts w:ascii="Verdana" w:hAnsi="Verdana"/>
        </w:rPr>
        <w:t>balance among those who are entitled thereto.</w:t>
      </w:r>
    </w:p>
  </w:footnote>
  <w:footnote w:id="9">
    <w:p w14:paraId="2B321E41" w14:textId="77777777" w:rsidR="001E2A72" w:rsidRPr="001F6CD6" w:rsidRDefault="001E2A72">
      <w:pPr>
        <w:pStyle w:val="FootnoteText"/>
        <w:rPr>
          <w:rFonts w:ascii="Verdana" w:hAnsi="Verdana"/>
          <w:lang w:val="en-GB"/>
        </w:rPr>
      </w:pPr>
      <w:r w:rsidRPr="001F6CD6">
        <w:rPr>
          <w:rStyle w:val="FootnoteReference"/>
          <w:rFonts w:ascii="Verdana" w:hAnsi="Verdana"/>
        </w:rPr>
        <w:footnoteRef/>
      </w:r>
      <w:r w:rsidRPr="001F6CD6">
        <w:rPr>
          <w:rFonts w:ascii="Verdana" w:hAnsi="Verdana"/>
          <w:i/>
        </w:rPr>
        <w:t xml:space="preserve"> </w:t>
      </w:r>
      <w:r w:rsidR="00F80C94" w:rsidRPr="00F80C94">
        <w:rPr>
          <w:rFonts w:ascii="Verdana" w:hAnsi="Verdana"/>
          <w:i/>
        </w:rPr>
        <w:t>Duku</w:t>
      </w:r>
      <w:r w:rsidR="00F80C94" w:rsidRPr="001F6CD6">
        <w:rPr>
          <w:rFonts w:ascii="Verdana" w:hAnsi="Verdana"/>
        </w:rPr>
        <w:t xml:space="preserve"> </w:t>
      </w:r>
      <w:r w:rsidRPr="001F6CD6">
        <w:rPr>
          <w:rFonts w:ascii="Verdana" w:hAnsi="Verdana"/>
          <w:lang w:val="en-GB"/>
        </w:rPr>
        <w:t>Above N.8</w:t>
      </w:r>
    </w:p>
  </w:footnote>
  <w:footnote w:id="10">
    <w:p w14:paraId="3CBF78BB"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 xml:space="preserve">[2005] JOL 15137 (T); (A1290 /04) [2005] ZAGPHC 71 (25 July 2005) </w:t>
      </w:r>
      <w:r w:rsidR="00160551" w:rsidRPr="001F6CD6">
        <w:rPr>
          <w:rFonts w:ascii="Verdana" w:hAnsi="Verdana"/>
          <w:lang w:val="en-ZA"/>
        </w:rPr>
        <w:t xml:space="preserve">at </w:t>
      </w:r>
      <w:r w:rsidRPr="001F6CD6">
        <w:rPr>
          <w:rFonts w:ascii="Verdana" w:hAnsi="Verdana"/>
          <w:lang w:val="en-ZA"/>
        </w:rPr>
        <w:t>para 33</w:t>
      </w:r>
    </w:p>
  </w:footnote>
  <w:footnote w:id="11">
    <w:p w14:paraId="188784F6"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1988 (2) SA 259 (T)</w:t>
      </w:r>
    </w:p>
  </w:footnote>
  <w:footnote w:id="12">
    <w:p w14:paraId="2204A1D8"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61 of 1973</w:t>
      </w:r>
    </w:p>
  </w:footnote>
  <w:footnote w:id="13">
    <w:p w14:paraId="26C19218"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w:t>
      </w:r>
      <w:r w:rsidRPr="001F6CD6">
        <w:rPr>
          <w:rFonts w:ascii="Verdana" w:hAnsi="Verdana"/>
          <w:lang w:val="en-ZA"/>
        </w:rPr>
        <w:t>2008 (2) SA 472 (CC) at para 22</w:t>
      </w:r>
    </w:p>
  </w:footnote>
  <w:footnote w:id="14">
    <w:p w14:paraId="6B0E6627" w14:textId="77777777" w:rsidR="00057938" w:rsidRPr="001F6CD6" w:rsidRDefault="00057938">
      <w:pPr>
        <w:pStyle w:val="FootnoteText"/>
        <w:rPr>
          <w:rFonts w:ascii="Verdana" w:hAnsi="Verdana"/>
          <w:lang w:val="en-ZA"/>
        </w:rPr>
      </w:pPr>
      <w:r w:rsidRPr="001F6CD6">
        <w:rPr>
          <w:rStyle w:val="FootnoteReference"/>
          <w:rFonts w:ascii="Verdana" w:hAnsi="Verdana"/>
        </w:rPr>
        <w:footnoteRef/>
      </w:r>
      <w:r w:rsidRPr="001F6CD6">
        <w:rPr>
          <w:rFonts w:ascii="Verdana" w:hAnsi="Verdana"/>
        </w:rPr>
        <w:t xml:space="preserve"> See </w:t>
      </w:r>
      <w:r w:rsidRPr="001F6CD6">
        <w:rPr>
          <w:rFonts w:ascii="Verdana" w:hAnsi="Verdana"/>
          <w:i/>
        </w:rPr>
        <w:t>Diener v Minister of Justice</w:t>
      </w:r>
      <w:r w:rsidRPr="001F6CD6">
        <w:rPr>
          <w:rFonts w:ascii="Verdana" w:hAnsi="Verdana"/>
        </w:rPr>
        <w:t xml:space="preserve"> 2019 (4) SA 374 (CC) at para</w:t>
      </w:r>
      <w:r w:rsidR="007D16C1" w:rsidRPr="001F6CD6">
        <w:rPr>
          <w:rFonts w:ascii="Verdana" w:hAnsi="Verdana"/>
        </w:rPr>
        <w:t>s</w:t>
      </w:r>
      <w:r w:rsidRPr="001F6CD6">
        <w:rPr>
          <w:rFonts w:ascii="Verdana" w:hAnsi="Verdana"/>
        </w:rPr>
        <w:t xml:space="preserve"> 31</w:t>
      </w:r>
      <w:r w:rsidR="007D16C1" w:rsidRPr="001F6CD6">
        <w:rPr>
          <w:rFonts w:ascii="Verdana" w:hAnsi="Verdana"/>
        </w:rPr>
        <w:t xml:space="preserve">-32; </w:t>
      </w:r>
      <w:r w:rsidR="007D16C1" w:rsidRPr="001F6CD6">
        <w:rPr>
          <w:rFonts w:ascii="Verdana" w:hAnsi="Verdana"/>
          <w:i/>
        </w:rPr>
        <w:t>see also</w:t>
      </w:r>
      <w:r w:rsidRPr="001F6CD6">
        <w:rPr>
          <w:rFonts w:ascii="Verdana" w:hAnsi="Verdana"/>
        </w:rPr>
        <w:t xml:space="preserve">  </w:t>
      </w:r>
      <w:r w:rsidRPr="001F6CD6">
        <w:rPr>
          <w:rFonts w:ascii="Verdana" w:hAnsi="Verdana"/>
          <w:i/>
        </w:rPr>
        <w:t>Mostert v FirstRand Bank</w:t>
      </w:r>
      <w:r w:rsidRPr="001F6CD6">
        <w:rPr>
          <w:rFonts w:ascii="Verdana" w:hAnsi="Verdana"/>
        </w:rPr>
        <w:t xml:space="preserve"> 2018 (4) SA 443 (SCA) at 448 D - F</w:t>
      </w:r>
    </w:p>
  </w:footnote>
  <w:footnote w:id="15">
    <w:p w14:paraId="2271D24B" w14:textId="77777777" w:rsidR="00057938" w:rsidRPr="005A30CC" w:rsidRDefault="00057938">
      <w:pPr>
        <w:pStyle w:val="FootnoteText"/>
        <w:rPr>
          <w:rFonts w:ascii="Verdana" w:hAnsi="Verdana"/>
          <w:lang w:val="en-ZA"/>
        </w:rPr>
      </w:pPr>
      <w:r w:rsidRPr="005A30CC">
        <w:rPr>
          <w:rStyle w:val="FootnoteReference"/>
          <w:rFonts w:ascii="Verdana" w:hAnsi="Verdana"/>
        </w:rPr>
        <w:footnoteRef/>
      </w:r>
      <w:r w:rsidRPr="005A30CC">
        <w:rPr>
          <w:rFonts w:ascii="Verdana" w:hAnsi="Verdana"/>
        </w:rPr>
        <w:t xml:space="preserve"> </w:t>
      </w:r>
      <w:r w:rsidRPr="005A30CC">
        <w:rPr>
          <w:rFonts w:ascii="Verdana" w:hAnsi="Verdana"/>
          <w:lang w:val="en-ZA"/>
        </w:rPr>
        <w:t>10 of 2013</w:t>
      </w:r>
    </w:p>
  </w:footnote>
  <w:footnote w:id="16">
    <w:p w14:paraId="039D3EEC" w14:textId="77777777" w:rsidR="00057938" w:rsidRPr="005A30CC" w:rsidRDefault="00057938">
      <w:pPr>
        <w:pStyle w:val="FootnoteText"/>
        <w:rPr>
          <w:rFonts w:ascii="Verdana" w:hAnsi="Verdana"/>
          <w:lang w:val="en-ZA"/>
        </w:rPr>
      </w:pPr>
      <w:r w:rsidRPr="005A30CC">
        <w:rPr>
          <w:rStyle w:val="FootnoteReference"/>
          <w:rFonts w:ascii="Verdana" w:hAnsi="Verdana"/>
        </w:rPr>
        <w:footnoteRef/>
      </w:r>
      <w:r w:rsidRPr="005A30CC">
        <w:rPr>
          <w:rFonts w:ascii="Verdana" w:hAnsi="Verdana"/>
        </w:rPr>
        <w:t xml:space="preserve"> </w:t>
      </w:r>
      <w:r w:rsidRPr="005A30CC">
        <w:rPr>
          <w:rFonts w:ascii="Verdana" w:hAnsi="Verdana"/>
          <w:lang w:val="en-ZA"/>
        </w:rPr>
        <w:t>2009 (4) SA 382 (SCA) at para 28</w:t>
      </w:r>
      <w:r w:rsidR="00BD0A98" w:rsidRPr="005A30CC">
        <w:rPr>
          <w:rFonts w:ascii="Verdana" w:hAnsi="Verdana"/>
          <w:lang w:val="en-ZA"/>
        </w:rPr>
        <w:t xml:space="preserve">; </w:t>
      </w:r>
      <w:r w:rsidR="00BD0A98" w:rsidRPr="005A30CC">
        <w:rPr>
          <w:rFonts w:ascii="Verdana" w:hAnsi="Verdana"/>
          <w:lang w:val="en-GB"/>
        </w:rPr>
        <w:t>See also,</w:t>
      </w:r>
      <w:r w:rsidR="00BD0A98" w:rsidRPr="005A30CC">
        <w:rPr>
          <w:rFonts w:ascii="Verdana" w:hAnsi="Verdana"/>
          <w:i/>
          <w:lang w:val="en-GB"/>
        </w:rPr>
        <w:t xml:space="preserve"> Cordiant Trading CC v Daimler Chrysler Financial Services (Pty) Ltd</w:t>
      </w:r>
      <w:r w:rsidR="00BD0A98" w:rsidRPr="005A30CC">
        <w:rPr>
          <w:rFonts w:ascii="Verdana" w:hAnsi="Verdana"/>
          <w:lang w:val="en-GB"/>
        </w:rPr>
        <w:t xml:space="preserve"> 2005 (6) SA 205 (SCA).</w:t>
      </w:r>
    </w:p>
  </w:footnote>
  <w:footnote w:id="17">
    <w:p w14:paraId="428395A3" w14:textId="77777777" w:rsidR="00057938" w:rsidRPr="005A30CC" w:rsidRDefault="00057938">
      <w:pPr>
        <w:pStyle w:val="FootnoteText"/>
        <w:rPr>
          <w:rFonts w:ascii="Verdana" w:hAnsi="Verdana"/>
          <w:lang w:val="en-ZA"/>
        </w:rPr>
      </w:pPr>
      <w:r w:rsidRPr="005A30CC">
        <w:rPr>
          <w:rStyle w:val="FootnoteReference"/>
          <w:rFonts w:ascii="Verdana" w:hAnsi="Verdana"/>
        </w:rPr>
        <w:footnoteRef/>
      </w:r>
      <w:r w:rsidRPr="005A30CC">
        <w:rPr>
          <w:rFonts w:ascii="Verdana" w:hAnsi="Verdana"/>
        </w:rPr>
        <w:t xml:space="preserve"> </w:t>
      </w:r>
      <w:r w:rsidRPr="005A30CC">
        <w:rPr>
          <w:rFonts w:ascii="Verdana" w:hAnsi="Verdana"/>
          <w:lang w:val="en-ZA"/>
        </w:rPr>
        <w:t>1997 (3) SA 721 (SCA) at 734</w:t>
      </w:r>
    </w:p>
  </w:footnote>
  <w:footnote w:id="18">
    <w:p w14:paraId="4D106701" w14:textId="77777777" w:rsidR="00057938" w:rsidRPr="00FC303B" w:rsidRDefault="00057938">
      <w:pPr>
        <w:pStyle w:val="FootnoteText"/>
        <w:rPr>
          <w:lang w:val="en-ZA"/>
        </w:rPr>
      </w:pPr>
      <w:r w:rsidRPr="005A30CC">
        <w:rPr>
          <w:rStyle w:val="FootnoteReference"/>
          <w:rFonts w:ascii="Verdana" w:hAnsi="Verdana"/>
        </w:rPr>
        <w:footnoteRef/>
      </w:r>
      <w:r w:rsidRPr="005A30CC">
        <w:rPr>
          <w:rFonts w:ascii="Verdana" w:hAnsi="Verdana"/>
        </w:rPr>
        <w:t xml:space="preserve"> </w:t>
      </w:r>
      <w:r w:rsidRPr="005A30CC">
        <w:rPr>
          <w:rFonts w:ascii="Verdana" w:hAnsi="Verdana"/>
          <w:lang w:val="en-ZA"/>
        </w:rPr>
        <w:t xml:space="preserve">2019 (6) SA  253 (CC)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203230"/>
      <w:docPartObj>
        <w:docPartGallery w:val="Page Numbers (Top of Page)"/>
        <w:docPartUnique/>
      </w:docPartObj>
    </w:sdtPr>
    <w:sdtEndPr>
      <w:rPr>
        <w:noProof/>
        <w:sz w:val="22"/>
      </w:rPr>
    </w:sdtEndPr>
    <w:sdtContent>
      <w:p w14:paraId="4A782BB0" w14:textId="77777777" w:rsidR="00057938" w:rsidRPr="00C070EE" w:rsidRDefault="00057938">
        <w:pPr>
          <w:pStyle w:val="Header"/>
          <w:jc w:val="right"/>
          <w:rPr>
            <w:sz w:val="22"/>
          </w:rPr>
        </w:pPr>
        <w:r w:rsidRPr="00C070EE">
          <w:rPr>
            <w:sz w:val="22"/>
          </w:rPr>
          <w:fldChar w:fldCharType="begin"/>
        </w:r>
        <w:r w:rsidRPr="00C070EE">
          <w:rPr>
            <w:sz w:val="22"/>
          </w:rPr>
          <w:instrText xml:space="preserve"> PAGE   \* MERGEFORMAT </w:instrText>
        </w:r>
        <w:r w:rsidRPr="00C070EE">
          <w:rPr>
            <w:sz w:val="22"/>
          </w:rPr>
          <w:fldChar w:fldCharType="separate"/>
        </w:r>
        <w:r w:rsidR="0052381C">
          <w:rPr>
            <w:noProof/>
            <w:sz w:val="22"/>
          </w:rPr>
          <w:t>2</w:t>
        </w:r>
        <w:r w:rsidRPr="00C070EE">
          <w:rPr>
            <w:noProof/>
            <w:sz w:val="22"/>
          </w:rPr>
          <w:fldChar w:fldCharType="end"/>
        </w:r>
      </w:p>
    </w:sdtContent>
  </w:sdt>
  <w:p w14:paraId="7F30D16E" w14:textId="77777777" w:rsidR="00057938" w:rsidRDefault="00057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823122"/>
    <w:lvl w:ilvl="0">
      <w:start w:val="1"/>
      <w:numFmt w:val="decimal"/>
      <w:pStyle w:val="Heading1"/>
      <w:lvlText w:val="%1"/>
      <w:lvlJc w:val="left"/>
      <w:pPr>
        <w:tabs>
          <w:tab w:val="num" w:pos="0"/>
        </w:tabs>
        <w:ind w:left="567" w:hanging="567"/>
      </w:pPr>
      <w:rPr>
        <w:rFonts w:ascii="Arial" w:hAnsi="Arial" w:hint="default"/>
        <w:b w:val="0"/>
        <w:i w:val="0"/>
        <w:sz w:val="24"/>
        <w:szCs w:val="24"/>
      </w:rPr>
    </w:lvl>
    <w:lvl w:ilvl="1">
      <w:start w:val="1"/>
      <w:numFmt w:val="decimal"/>
      <w:pStyle w:val="Heading2"/>
      <w:lvlText w:val="%1.%2"/>
      <w:lvlJc w:val="left"/>
      <w:pPr>
        <w:tabs>
          <w:tab w:val="num" w:pos="1418"/>
        </w:tabs>
        <w:ind w:left="1418" w:hanging="851"/>
      </w:pPr>
      <w:rPr>
        <w:rFonts w:ascii="Arial" w:hAnsi="Arial" w:hint="default"/>
        <w:b w:val="0"/>
        <w:i w:val="0"/>
        <w:sz w:val="24"/>
        <w:szCs w:val="24"/>
      </w:rPr>
    </w:lvl>
    <w:lvl w:ilvl="2">
      <w:start w:val="1"/>
      <w:numFmt w:val="decimal"/>
      <w:pStyle w:val="Heading3"/>
      <w:lvlText w:val="%1.%2.%3"/>
      <w:lvlJc w:val="left"/>
      <w:pPr>
        <w:tabs>
          <w:tab w:val="num" w:pos="2438"/>
        </w:tabs>
        <w:ind w:left="2438" w:hanging="1020"/>
      </w:pPr>
      <w:rPr>
        <w:rFonts w:ascii="Arial" w:hAnsi="Arial" w:hint="default"/>
        <w:b w:val="0"/>
        <w:i w:val="0"/>
        <w:sz w:val="24"/>
        <w:szCs w:val="24"/>
      </w:rPr>
    </w:lvl>
    <w:lvl w:ilvl="3">
      <w:start w:val="1"/>
      <w:numFmt w:val="decimal"/>
      <w:pStyle w:val="Heading4"/>
      <w:lvlText w:val="%1.%2.%3.%4"/>
      <w:lvlJc w:val="left"/>
      <w:pPr>
        <w:tabs>
          <w:tab w:val="num" w:pos="3572"/>
        </w:tabs>
        <w:ind w:left="3572" w:hanging="102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9F1FDD"/>
    <w:multiLevelType w:val="hybridMultilevel"/>
    <w:tmpl w:val="9998CDDE"/>
    <w:lvl w:ilvl="0" w:tplc="B86A4690">
      <w:start w:val="1"/>
      <w:numFmt w:val="decimal"/>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2" w15:restartNumberingAfterBreak="0">
    <w:nsid w:val="0B6C55AA"/>
    <w:multiLevelType w:val="hybridMultilevel"/>
    <w:tmpl w:val="ADF8830A"/>
    <w:lvl w:ilvl="0" w:tplc="F794A67E">
      <w:start w:val="2"/>
      <w:numFmt w:val="bullet"/>
      <w:lvlText w:val="•"/>
      <w:lvlJc w:val="left"/>
      <w:pPr>
        <w:ind w:left="1215" w:hanging="360"/>
      </w:pPr>
      <w:rPr>
        <w:rFonts w:ascii="Verdana" w:eastAsia="Times New Roman" w:hAnsi="Verdana" w:cs="Tahoma"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3" w15:restartNumberingAfterBreak="0">
    <w:nsid w:val="10A40CF3"/>
    <w:multiLevelType w:val="hybridMultilevel"/>
    <w:tmpl w:val="849AA898"/>
    <w:lvl w:ilvl="0" w:tplc="3398B134">
      <w:start w:val="1"/>
      <w:numFmt w:val="lowerLetter"/>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4" w15:restartNumberingAfterBreak="0">
    <w:nsid w:val="13E317B0"/>
    <w:multiLevelType w:val="hybridMultilevel"/>
    <w:tmpl w:val="715C3762"/>
    <w:lvl w:ilvl="0" w:tplc="15164578">
      <w:start w:val="1"/>
      <w:numFmt w:val="decimal"/>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5" w15:restartNumberingAfterBreak="0">
    <w:nsid w:val="178D2A58"/>
    <w:multiLevelType w:val="hybridMultilevel"/>
    <w:tmpl w:val="6A1E7818"/>
    <w:lvl w:ilvl="0" w:tplc="D9AE6216">
      <w:start w:val="1"/>
      <w:numFmt w:val="lowerRoman"/>
      <w:lvlText w:val="(%1)"/>
      <w:lvlJc w:val="left"/>
      <w:pPr>
        <w:ind w:left="2650" w:hanging="108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6" w15:restartNumberingAfterBreak="0">
    <w:nsid w:val="19050588"/>
    <w:multiLevelType w:val="multilevel"/>
    <w:tmpl w:val="7BACE516"/>
    <w:lvl w:ilvl="0">
      <w:start w:val="1"/>
      <w:numFmt w:val="decimal"/>
      <w:lvlText w:val="%1."/>
      <w:lvlJc w:val="left"/>
      <w:pPr>
        <w:ind w:left="1210" w:hanging="360"/>
      </w:pPr>
      <w:rPr>
        <w:rFonts w:hint="default"/>
      </w:rPr>
    </w:lvl>
    <w:lvl w:ilvl="1">
      <w:start w:val="1"/>
      <w:numFmt w:val="decimal"/>
      <w:isLgl/>
      <w:lvlText w:val="%1.%2"/>
      <w:lvlJc w:val="left"/>
      <w:pPr>
        <w:ind w:left="1930" w:hanging="720"/>
      </w:pPr>
      <w:rPr>
        <w:rFonts w:hint="default"/>
      </w:rPr>
    </w:lvl>
    <w:lvl w:ilvl="2">
      <w:start w:val="1"/>
      <w:numFmt w:val="decimal"/>
      <w:isLgl/>
      <w:lvlText w:val="%1.%2.%3"/>
      <w:lvlJc w:val="left"/>
      <w:pPr>
        <w:ind w:left="2650" w:hanging="1080"/>
      </w:pPr>
      <w:rPr>
        <w:rFonts w:hint="default"/>
      </w:rPr>
    </w:lvl>
    <w:lvl w:ilvl="3">
      <w:start w:val="1"/>
      <w:numFmt w:val="decimal"/>
      <w:isLgl/>
      <w:lvlText w:val="%1.%2.%3.%4"/>
      <w:lvlJc w:val="left"/>
      <w:pPr>
        <w:ind w:left="3010" w:hanging="1080"/>
      </w:pPr>
      <w:rPr>
        <w:rFonts w:hint="default"/>
      </w:rPr>
    </w:lvl>
    <w:lvl w:ilvl="4">
      <w:start w:val="1"/>
      <w:numFmt w:val="decimal"/>
      <w:isLgl/>
      <w:lvlText w:val="%1.%2.%3.%4.%5"/>
      <w:lvlJc w:val="left"/>
      <w:pPr>
        <w:ind w:left="3730" w:hanging="1440"/>
      </w:pPr>
      <w:rPr>
        <w:rFonts w:hint="default"/>
      </w:rPr>
    </w:lvl>
    <w:lvl w:ilvl="5">
      <w:start w:val="1"/>
      <w:numFmt w:val="decimal"/>
      <w:isLgl/>
      <w:lvlText w:val="%1.%2.%3.%4.%5.%6"/>
      <w:lvlJc w:val="left"/>
      <w:pPr>
        <w:ind w:left="4450" w:hanging="1800"/>
      </w:pPr>
      <w:rPr>
        <w:rFonts w:hint="default"/>
      </w:rPr>
    </w:lvl>
    <w:lvl w:ilvl="6">
      <w:start w:val="1"/>
      <w:numFmt w:val="decimal"/>
      <w:isLgl/>
      <w:lvlText w:val="%1.%2.%3.%4.%5.%6.%7"/>
      <w:lvlJc w:val="left"/>
      <w:pPr>
        <w:ind w:left="5170" w:hanging="2160"/>
      </w:pPr>
      <w:rPr>
        <w:rFonts w:hint="default"/>
      </w:rPr>
    </w:lvl>
    <w:lvl w:ilvl="7">
      <w:start w:val="1"/>
      <w:numFmt w:val="decimal"/>
      <w:isLgl/>
      <w:lvlText w:val="%1.%2.%3.%4.%5.%6.%7.%8"/>
      <w:lvlJc w:val="left"/>
      <w:pPr>
        <w:ind w:left="5890" w:hanging="2520"/>
      </w:pPr>
      <w:rPr>
        <w:rFonts w:hint="default"/>
      </w:rPr>
    </w:lvl>
    <w:lvl w:ilvl="8">
      <w:start w:val="1"/>
      <w:numFmt w:val="decimal"/>
      <w:isLgl/>
      <w:lvlText w:val="%1.%2.%3.%4.%5.%6.%7.%8.%9"/>
      <w:lvlJc w:val="left"/>
      <w:pPr>
        <w:ind w:left="6250" w:hanging="2520"/>
      </w:pPr>
      <w:rPr>
        <w:rFonts w:hint="default"/>
      </w:rPr>
    </w:lvl>
  </w:abstractNum>
  <w:abstractNum w:abstractNumId="7" w15:restartNumberingAfterBreak="0">
    <w:nsid w:val="1C0524C2"/>
    <w:multiLevelType w:val="hybridMultilevel"/>
    <w:tmpl w:val="A8183D80"/>
    <w:lvl w:ilvl="0" w:tplc="1C090001">
      <w:start w:val="1"/>
      <w:numFmt w:val="bullet"/>
      <w:lvlText w:val=""/>
      <w:lvlJc w:val="left"/>
      <w:pPr>
        <w:ind w:left="1570" w:hanging="360"/>
      </w:pPr>
      <w:rPr>
        <w:rFonts w:ascii="Symbol" w:hAnsi="Symbol" w:hint="default"/>
      </w:rPr>
    </w:lvl>
    <w:lvl w:ilvl="1" w:tplc="1C090003" w:tentative="1">
      <w:start w:val="1"/>
      <w:numFmt w:val="bullet"/>
      <w:lvlText w:val="o"/>
      <w:lvlJc w:val="left"/>
      <w:pPr>
        <w:ind w:left="2290" w:hanging="360"/>
      </w:pPr>
      <w:rPr>
        <w:rFonts w:ascii="Courier New" w:hAnsi="Courier New" w:cs="Courier New" w:hint="default"/>
      </w:rPr>
    </w:lvl>
    <w:lvl w:ilvl="2" w:tplc="1C090005" w:tentative="1">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8" w15:restartNumberingAfterBreak="0">
    <w:nsid w:val="1E4A2D31"/>
    <w:multiLevelType w:val="hybridMultilevel"/>
    <w:tmpl w:val="A29E0988"/>
    <w:lvl w:ilvl="0" w:tplc="3398B134">
      <w:start w:val="1"/>
      <w:numFmt w:val="lowerLetter"/>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9" w15:restartNumberingAfterBreak="0">
    <w:nsid w:val="28A15669"/>
    <w:multiLevelType w:val="hybridMultilevel"/>
    <w:tmpl w:val="A15E31C2"/>
    <w:lvl w:ilvl="0" w:tplc="C166F6BE">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0" w15:restartNumberingAfterBreak="0">
    <w:nsid w:val="2B616209"/>
    <w:multiLevelType w:val="hybridMultilevel"/>
    <w:tmpl w:val="922063F6"/>
    <w:lvl w:ilvl="0" w:tplc="7D1CF940">
      <w:start w:val="1"/>
      <w:numFmt w:val="lowerLetter"/>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1" w15:restartNumberingAfterBreak="0">
    <w:nsid w:val="3D16378A"/>
    <w:multiLevelType w:val="hybridMultilevel"/>
    <w:tmpl w:val="1CD6B9EE"/>
    <w:lvl w:ilvl="0" w:tplc="8B92D8F0">
      <w:start w:val="1"/>
      <w:numFmt w:val="decimal"/>
      <w:lvlText w:val="(%1)"/>
      <w:lvlJc w:val="left"/>
      <w:pPr>
        <w:ind w:left="1570" w:hanging="720"/>
      </w:pPr>
      <w:rPr>
        <w:rFonts w:hint="default"/>
        <w:b w:val="0"/>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2" w15:restartNumberingAfterBreak="0">
    <w:nsid w:val="3DB22664"/>
    <w:multiLevelType w:val="hybridMultilevel"/>
    <w:tmpl w:val="DE5E7A3A"/>
    <w:lvl w:ilvl="0" w:tplc="5CA6D390">
      <w:start w:val="1"/>
      <w:numFmt w:val="lowerLetter"/>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3" w15:restartNumberingAfterBreak="0">
    <w:nsid w:val="42370534"/>
    <w:multiLevelType w:val="hybridMultilevel"/>
    <w:tmpl w:val="D8ACF0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925175"/>
    <w:multiLevelType w:val="hybridMultilevel"/>
    <w:tmpl w:val="50CE4950"/>
    <w:lvl w:ilvl="0" w:tplc="8DCC7776">
      <w:start w:val="1"/>
      <w:numFmt w:val="lowerLetter"/>
      <w:lvlText w:val="(%1)"/>
      <w:lvlJc w:val="left"/>
      <w:pPr>
        <w:ind w:left="2290" w:hanging="72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15" w15:restartNumberingAfterBreak="0">
    <w:nsid w:val="598B6229"/>
    <w:multiLevelType w:val="hybridMultilevel"/>
    <w:tmpl w:val="B120A44A"/>
    <w:lvl w:ilvl="0" w:tplc="B80A0D26">
      <w:start w:val="1"/>
      <w:numFmt w:val="lowerLetter"/>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6" w15:restartNumberingAfterBreak="0">
    <w:nsid w:val="5EE1170F"/>
    <w:multiLevelType w:val="hybridMultilevel"/>
    <w:tmpl w:val="8F3EEA8C"/>
    <w:lvl w:ilvl="0" w:tplc="9FF88276">
      <w:start w:val="1"/>
      <w:numFmt w:val="lowerRoman"/>
      <w:lvlText w:val="(%1)"/>
      <w:lvlJc w:val="left"/>
      <w:pPr>
        <w:ind w:left="2650" w:hanging="108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17" w15:restartNumberingAfterBreak="0">
    <w:nsid w:val="61B65C3A"/>
    <w:multiLevelType w:val="hybridMultilevel"/>
    <w:tmpl w:val="6F90407C"/>
    <w:lvl w:ilvl="0" w:tplc="E724E11C">
      <w:start w:val="1"/>
      <w:numFmt w:val="lowerLetter"/>
      <w:lvlText w:val="(%1)"/>
      <w:lvlJc w:val="left"/>
      <w:pPr>
        <w:ind w:left="2290" w:hanging="720"/>
      </w:pPr>
      <w:rPr>
        <w:rFonts w:hint="default"/>
        <w:b w:val="0"/>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18" w15:restartNumberingAfterBreak="0">
    <w:nsid w:val="61FB298C"/>
    <w:multiLevelType w:val="hybridMultilevel"/>
    <w:tmpl w:val="DA0ED5FE"/>
    <w:lvl w:ilvl="0" w:tplc="996689C6">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9" w15:restartNumberingAfterBreak="0">
    <w:nsid w:val="6B2D5C1D"/>
    <w:multiLevelType w:val="hybridMultilevel"/>
    <w:tmpl w:val="654C8D40"/>
    <w:lvl w:ilvl="0" w:tplc="A84ABC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2C95E9B"/>
    <w:multiLevelType w:val="hybridMultilevel"/>
    <w:tmpl w:val="D00020F2"/>
    <w:lvl w:ilvl="0" w:tplc="84CAC25C">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21" w15:restartNumberingAfterBreak="0">
    <w:nsid w:val="75382A41"/>
    <w:multiLevelType w:val="multilevel"/>
    <w:tmpl w:val="F25C5080"/>
    <w:lvl w:ilvl="0">
      <w:start w:val="1"/>
      <w:numFmt w:val="decimal"/>
      <w:lvlText w:val="%1"/>
      <w:lvlJc w:val="left"/>
      <w:pPr>
        <w:ind w:left="850" w:hanging="850"/>
      </w:pPr>
      <w:rPr>
        <w:rFonts w:hint="default"/>
      </w:rPr>
    </w:lvl>
    <w:lvl w:ilvl="1">
      <w:start w:val="1"/>
      <w:numFmt w:val="decimal"/>
      <w:lvlText w:val="%1.%2"/>
      <w:lvlJc w:val="left"/>
      <w:pPr>
        <w:ind w:left="1700" w:hanging="850"/>
      </w:pPr>
      <w:rPr>
        <w:rFonts w:hint="default"/>
        <w:b w:val="0"/>
      </w:rPr>
    </w:lvl>
    <w:lvl w:ilvl="2">
      <w:start w:val="1"/>
      <w:numFmt w:val="decimal"/>
      <w:lvlText w:val="%1.%2.%3"/>
      <w:lvlJc w:val="left"/>
      <w:pPr>
        <w:ind w:left="2780" w:hanging="108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320" w:hanging="2520"/>
      </w:pPr>
      <w:rPr>
        <w:rFonts w:hint="default"/>
      </w:rPr>
    </w:lvl>
  </w:abstractNum>
  <w:num w:numId="1">
    <w:abstractNumId w:val="0"/>
  </w:num>
  <w:num w:numId="2">
    <w:abstractNumId w:val="19"/>
  </w:num>
  <w:num w:numId="3">
    <w:abstractNumId w:val="15"/>
  </w:num>
  <w:num w:numId="4">
    <w:abstractNumId w:val="5"/>
  </w:num>
  <w:num w:numId="5">
    <w:abstractNumId w:val="16"/>
  </w:num>
  <w:num w:numId="6">
    <w:abstractNumId w:val="11"/>
  </w:num>
  <w:num w:numId="7">
    <w:abstractNumId w:val="17"/>
  </w:num>
  <w:num w:numId="8">
    <w:abstractNumId w:val="20"/>
  </w:num>
  <w:num w:numId="9">
    <w:abstractNumId w:val="18"/>
  </w:num>
  <w:num w:numId="10">
    <w:abstractNumId w:val="7"/>
  </w:num>
  <w:num w:numId="11">
    <w:abstractNumId w:val="2"/>
  </w:num>
  <w:num w:numId="12">
    <w:abstractNumId w:val="12"/>
  </w:num>
  <w:num w:numId="13">
    <w:abstractNumId w:val="13"/>
  </w:num>
  <w:num w:numId="14">
    <w:abstractNumId w:val="21"/>
  </w:num>
  <w:num w:numId="15">
    <w:abstractNumId w:val="9"/>
  </w:num>
  <w:num w:numId="16">
    <w:abstractNumId w:val="4"/>
  </w:num>
  <w:num w:numId="17">
    <w:abstractNumId w:val="14"/>
  </w:num>
  <w:num w:numId="18">
    <w:abstractNumId w:val="6"/>
  </w:num>
  <w:num w:numId="19">
    <w:abstractNumId w:val="1"/>
  </w:num>
  <w:num w:numId="20">
    <w:abstractNumId w:val="1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66"/>
    <w:rsid w:val="000011D9"/>
    <w:rsid w:val="00002D00"/>
    <w:rsid w:val="00007169"/>
    <w:rsid w:val="000116E5"/>
    <w:rsid w:val="00011E11"/>
    <w:rsid w:val="00015F27"/>
    <w:rsid w:val="00017FFD"/>
    <w:rsid w:val="00025318"/>
    <w:rsid w:val="00030C44"/>
    <w:rsid w:val="00032DF7"/>
    <w:rsid w:val="00037186"/>
    <w:rsid w:val="0003790C"/>
    <w:rsid w:val="00040F62"/>
    <w:rsid w:val="00043E66"/>
    <w:rsid w:val="00050E63"/>
    <w:rsid w:val="00051DE4"/>
    <w:rsid w:val="00054CBC"/>
    <w:rsid w:val="000564B1"/>
    <w:rsid w:val="00057938"/>
    <w:rsid w:val="000618BE"/>
    <w:rsid w:val="00063D63"/>
    <w:rsid w:val="000655C9"/>
    <w:rsid w:val="00065BC8"/>
    <w:rsid w:val="00066B4B"/>
    <w:rsid w:val="0007374E"/>
    <w:rsid w:val="00080C37"/>
    <w:rsid w:val="00085116"/>
    <w:rsid w:val="0008586E"/>
    <w:rsid w:val="00090FBF"/>
    <w:rsid w:val="00091C07"/>
    <w:rsid w:val="00092013"/>
    <w:rsid w:val="0009211F"/>
    <w:rsid w:val="00096C86"/>
    <w:rsid w:val="00097899"/>
    <w:rsid w:val="000A1603"/>
    <w:rsid w:val="000A27F5"/>
    <w:rsid w:val="000A29E8"/>
    <w:rsid w:val="000A5D28"/>
    <w:rsid w:val="000B0384"/>
    <w:rsid w:val="000B3A22"/>
    <w:rsid w:val="000B3B2C"/>
    <w:rsid w:val="000B532C"/>
    <w:rsid w:val="000B556F"/>
    <w:rsid w:val="000B572B"/>
    <w:rsid w:val="000B7D5F"/>
    <w:rsid w:val="000C6A54"/>
    <w:rsid w:val="000D1568"/>
    <w:rsid w:val="000D258D"/>
    <w:rsid w:val="000E3349"/>
    <w:rsid w:val="000E4387"/>
    <w:rsid w:val="000E7E78"/>
    <w:rsid w:val="000F0172"/>
    <w:rsid w:val="000F169B"/>
    <w:rsid w:val="000F3B05"/>
    <w:rsid w:val="00102A41"/>
    <w:rsid w:val="00104C00"/>
    <w:rsid w:val="00105E02"/>
    <w:rsid w:val="0010654E"/>
    <w:rsid w:val="0011307D"/>
    <w:rsid w:val="00114021"/>
    <w:rsid w:val="00115EDF"/>
    <w:rsid w:val="00125E55"/>
    <w:rsid w:val="00131808"/>
    <w:rsid w:val="00135169"/>
    <w:rsid w:val="00136F3C"/>
    <w:rsid w:val="00140BD0"/>
    <w:rsid w:val="00143F03"/>
    <w:rsid w:val="001445E9"/>
    <w:rsid w:val="00151D5B"/>
    <w:rsid w:val="0015222B"/>
    <w:rsid w:val="00153FBD"/>
    <w:rsid w:val="00154A8A"/>
    <w:rsid w:val="00156C8B"/>
    <w:rsid w:val="00160551"/>
    <w:rsid w:val="00160AEF"/>
    <w:rsid w:val="001622CA"/>
    <w:rsid w:val="001669C2"/>
    <w:rsid w:val="00176CED"/>
    <w:rsid w:val="00182897"/>
    <w:rsid w:val="00186721"/>
    <w:rsid w:val="00194636"/>
    <w:rsid w:val="0019721D"/>
    <w:rsid w:val="001A22F4"/>
    <w:rsid w:val="001A2B58"/>
    <w:rsid w:val="001A5BC6"/>
    <w:rsid w:val="001A640F"/>
    <w:rsid w:val="001A6837"/>
    <w:rsid w:val="001B1789"/>
    <w:rsid w:val="001B1942"/>
    <w:rsid w:val="001B3C92"/>
    <w:rsid w:val="001C053B"/>
    <w:rsid w:val="001C10BA"/>
    <w:rsid w:val="001C4002"/>
    <w:rsid w:val="001C7D8D"/>
    <w:rsid w:val="001D5079"/>
    <w:rsid w:val="001D5C47"/>
    <w:rsid w:val="001D6944"/>
    <w:rsid w:val="001E0DC2"/>
    <w:rsid w:val="001E1730"/>
    <w:rsid w:val="001E23A4"/>
    <w:rsid w:val="001E26CC"/>
    <w:rsid w:val="001E2A72"/>
    <w:rsid w:val="001E448B"/>
    <w:rsid w:val="001E4637"/>
    <w:rsid w:val="001E670E"/>
    <w:rsid w:val="001F0FCB"/>
    <w:rsid w:val="001F39C9"/>
    <w:rsid w:val="001F518F"/>
    <w:rsid w:val="001F6CD6"/>
    <w:rsid w:val="00212CE0"/>
    <w:rsid w:val="00213FFC"/>
    <w:rsid w:val="0021498F"/>
    <w:rsid w:val="0022073E"/>
    <w:rsid w:val="00220B88"/>
    <w:rsid w:val="002236EB"/>
    <w:rsid w:val="00231C7F"/>
    <w:rsid w:val="00231FE5"/>
    <w:rsid w:val="00261EF4"/>
    <w:rsid w:val="0026242D"/>
    <w:rsid w:val="0026296A"/>
    <w:rsid w:val="002630EA"/>
    <w:rsid w:val="00264548"/>
    <w:rsid w:val="002666CF"/>
    <w:rsid w:val="00277638"/>
    <w:rsid w:val="00281F30"/>
    <w:rsid w:val="0028321D"/>
    <w:rsid w:val="0028727A"/>
    <w:rsid w:val="002902D5"/>
    <w:rsid w:val="00290C00"/>
    <w:rsid w:val="00291451"/>
    <w:rsid w:val="002921A8"/>
    <w:rsid w:val="002A0942"/>
    <w:rsid w:val="002A0CFC"/>
    <w:rsid w:val="002A40F4"/>
    <w:rsid w:val="002B2662"/>
    <w:rsid w:val="002B2706"/>
    <w:rsid w:val="002B5343"/>
    <w:rsid w:val="002B6877"/>
    <w:rsid w:val="002C25EB"/>
    <w:rsid w:val="002C2B5D"/>
    <w:rsid w:val="002C3F66"/>
    <w:rsid w:val="002C6107"/>
    <w:rsid w:val="002C7736"/>
    <w:rsid w:val="002D7F7F"/>
    <w:rsid w:val="002E1EBC"/>
    <w:rsid w:val="002F0E05"/>
    <w:rsid w:val="002F0FE9"/>
    <w:rsid w:val="002F3688"/>
    <w:rsid w:val="002F634F"/>
    <w:rsid w:val="00303DAB"/>
    <w:rsid w:val="0030471D"/>
    <w:rsid w:val="0030731D"/>
    <w:rsid w:val="00317818"/>
    <w:rsid w:val="00317CE2"/>
    <w:rsid w:val="00317DD3"/>
    <w:rsid w:val="00323D5B"/>
    <w:rsid w:val="00331442"/>
    <w:rsid w:val="00332A64"/>
    <w:rsid w:val="00333543"/>
    <w:rsid w:val="00342BC4"/>
    <w:rsid w:val="00343EFF"/>
    <w:rsid w:val="00351481"/>
    <w:rsid w:val="00356AD1"/>
    <w:rsid w:val="00370A2C"/>
    <w:rsid w:val="00373859"/>
    <w:rsid w:val="0037387C"/>
    <w:rsid w:val="003A118A"/>
    <w:rsid w:val="003A23B3"/>
    <w:rsid w:val="003A3C94"/>
    <w:rsid w:val="003A459B"/>
    <w:rsid w:val="003B7EF2"/>
    <w:rsid w:val="003C63DB"/>
    <w:rsid w:val="003D2A74"/>
    <w:rsid w:val="003D3DEC"/>
    <w:rsid w:val="003E22C2"/>
    <w:rsid w:val="003E34DC"/>
    <w:rsid w:val="003E61A4"/>
    <w:rsid w:val="003E6B9A"/>
    <w:rsid w:val="003F1C83"/>
    <w:rsid w:val="003F2235"/>
    <w:rsid w:val="003F2421"/>
    <w:rsid w:val="003F2F8F"/>
    <w:rsid w:val="003F349A"/>
    <w:rsid w:val="004000EF"/>
    <w:rsid w:val="00403028"/>
    <w:rsid w:val="00404EBE"/>
    <w:rsid w:val="004079E1"/>
    <w:rsid w:val="004122B5"/>
    <w:rsid w:val="00413613"/>
    <w:rsid w:val="004141CF"/>
    <w:rsid w:val="00416BB9"/>
    <w:rsid w:val="00417C8C"/>
    <w:rsid w:val="0042041E"/>
    <w:rsid w:val="00421801"/>
    <w:rsid w:val="00421BC9"/>
    <w:rsid w:val="0042217E"/>
    <w:rsid w:val="004260CC"/>
    <w:rsid w:val="00427739"/>
    <w:rsid w:val="00432CC5"/>
    <w:rsid w:val="00433807"/>
    <w:rsid w:val="004347F9"/>
    <w:rsid w:val="00436A01"/>
    <w:rsid w:val="00443E45"/>
    <w:rsid w:val="0044400C"/>
    <w:rsid w:val="00445DF2"/>
    <w:rsid w:val="00450C84"/>
    <w:rsid w:val="00451568"/>
    <w:rsid w:val="004560F0"/>
    <w:rsid w:val="0045770F"/>
    <w:rsid w:val="00460F98"/>
    <w:rsid w:val="00471DFC"/>
    <w:rsid w:val="00475698"/>
    <w:rsid w:val="00476C2F"/>
    <w:rsid w:val="0048043F"/>
    <w:rsid w:val="00481588"/>
    <w:rsid w:val="00485E9D"/>
    <w:rsid w:val="0049089C"/>
    <w:rsid w:val="00491804"/>
    <w:rsid w:val="00492AFF"/>
    <w:rsid w:val="004931E3"/>
    <w:rsid w:val="004974BE"/>
    <w:rsid w:val="004A2DA3"/>
    <w:rsid w:val="004A3CA5"/>
    <w:rsid w:val="004B774E"/>
    <w:rsid w:val="004C1FD8"/>
    <w:rsid w:val="004C388B"/>
    <w:rsid w:val="004C522C"/>
    <w:rsid w:val="004C66CD"/>
    <w:rsid w:val="004C6797"/>
    <w:rsid w:val="004C6E8F"/>
    <w:rsid w:val="004D3FC7"/>
    <w:rsid w:val="004F0208"/>
    <w:rsid w:val="004F357B"/>
    <w:rsid w:val="00501263"/>
    <w:rsid w:val="005022C7"/>
    <w:rsid w:val="005049EC"/>
    <w:rsid w:val="00505012"/>
    <w:rsid w:val="00517237"/>
    <w:rsid w:val="0052381C"/>
    <w:rsid w:val="00524577"/>
    <w:rsid w:val="00524F29"/>
    <w:rsid w:val="005305B3"/>
    <w:rsid w:val="0053654F"/>
    <w:rsid w:val="005411B1"/>
    <w:rsid w:val="0054384E"/>
    <w:rsid w:val="005466C8"/>
    <w:rsid w:val="005476F9"/>
    <w:rsid w:val="00547DEF"/>
    <w:rsid w:val="00551733"/>
    <w:rsid w:val="00556332"/>
    <w:rsid w:val="00557086"/>
    <w:rsid w:val="005575AE"/>
    <w:rsid w:val="005607C7"/>
    <w:rsid w:val="00562FAF"/>
    <w:rsid w:val="00566B62"/>
    <w:rsid w:val="005673FF"/>
    <w:rsid w:val="005702E2"/>
    <w:rsid w:val="00572612"/>
    <w:rsid w:val="005731A9"/>
    <w:rsid w:val="005734F9"/>
    <w:rsid w:val="00582542"/>
    <w:rsid w:val="00592EBD"/>
    <w:rsid w:val="00593BC4"/>
    <w:rsid w:val="00595D78"/>
    <w:rsid w:val="005A2417"/>
    <w:rsid w:val="005A30CC"/>
    <w:rsid w:val="005A7DDE"/>
    <w:rsid w:val="005B4B5E"/>
    <w:rsid w:val="005B6F6B"/>
    <w:rsid w:val="005C4D74"/>
    <w:rsid w:val="005C5B20"/>
    <w:rsid w:val="005C735F"/>
    <w:rsid w:val="005D081F"/>
    <w:rsid w:val="005D11DA"/>
    <w:rsid w:val="005D14E4"/>
    <w:rsid w:val="005D43BA"/>
    <w:rsid w:val="005D4E7A"/>
    <w:rsid w:val="005E1E74"/>
    <w:rsid w:val="005E205E"/>
    <w:rsid w:val="005F3E3C"/>
    <w:rsid w:val="00601359"/>
    <w:rsid w:val="00604819"/>
    <w:rsid w:val="00610B16"/>
    <w:rsid w:val="00611792"/>
    <w:rsid w:val="0061260D"/>
    <w:rsid w:val="00613355"/>
    <w:rsid w:val="006174BE"/>
    <w:rsid w:val="00620480"/>
    <w:rsid w:val="0062289C"/>
    <w:rsid w:val="0063016C"/>
    <w:rsid w:val="00630863"/>
    <w:rsid w:val="00631B65"/>
    <w:rsid w:val="0063329C"/>
    <w:rsid w:val="006345AF"/>
    <w:rsid w:val="00643D88"/>
    <w:rsid w:val="00650117"/>
    <w:rsid w:val="00653D2D"/>
    <w:rsid w:val="00656B93"/>
    <w:rsid w:val="006576CE"/>
    <w:rsid w:val="00662C09"/>
    <w:rsid w:val="00667690"/>
    <w:rsid w:val="00670711"/>
    <w:rsid w:val="00671B94"/>
    <w:rsid w:val="00674040"/>
    <w:rsid w:val="0067484E"/>
    <w:rsid w:val="00675366"/>
    <w:rsid w:val="00682A2E"/>
    <w:rsid w:val="00684180"/>
    <w:rsid w:val="006916F9"/>
    <w:rsid w:val="0069345D"/>
    <w:rsid w:val="006947A3"/>
    <w:rsid w:val="00696796"/>
    <w:rsid w:val="006979B8"/>
    <w:rsid w:val="006A208A"/>
    <w:rsid w:val="006A7304"/>
    <w:rsid w:val="006B2050"/>
    <w:rsid w:val="006B2326"/>
    <w:rsid w:val="006B375C"/>
    <w:rsid w:val="006B56AB"/>
    <w:rsid w:val="006B7CB9"/>
    <w:rsid w:val="006C2C44"/>
    <w:rsid w:val="006C62C2"/>
    <w:rsid w:val="006C6CFA"/>
    <w:rsid w:val="006D2322"/>
    <w:rsid w:val="006D58E0"/>
    <w:rsid w:val="006D7EE7"/>
    <w:rsid w:val="006E4D4B"/>
    <w:rsid w:val="006E4DB8"/>
    <w:rsid w:val="006E4F82"/>
    <w:rsid w:val="006F0BD0"/>
    <w:rsid w:val="006F6534"/>
    <w:rsid w:val="00700CA0"/>
    <w:rsid w:val="00700FE1"/>
    <w:rsid w:val="00702054"/>
    <w:rsid w:val="00703056"/>
    <w:rsid w:val="00704086"/>
    <w:rsid w:val="007043D6"/>
    <w:rsid w:val="00707146"/>
    <w:rsid w:val="00707AFC"/>
    <w:rsid w:val="00710774"/>
    <w:rsid w:val="0071177C"/>
    <w:rsid w:val="007121CB"/>
    <w:rsid w:val="00714BE9"/>
    <w:rsid w:val="00717F1E"/>
    <w:rsid w:val="007312ED"/>
    <w:rsid w:val="0073151B"/>
    <w:rsid w:val="00732418"/>
    <w:rsid w:val="00732AFB"/>
    <w:rsid w:val="00751DFE"/>
    <w:rsid w:val="00756747"/>
    <w:rsid w:val="00760085"/>
    <w:rsid w:val="007655A8"/>
    <w:rsid w:val="00766EC8"/>
    <w:rsid w:val="00770D66"/>
    <w:rsid w:val="00777412"/>
    <w:rsid w:val="00780596"/>
    <w:rsid w:val="00781ADB"/>
    <w:rsid w:val="00782E34"/>
    <w:rsid w:val="00787A0D"/>
    <w:rsid w:val="00792CA8"/>
    <w:rsid w:val="00793B48"/>
    <w:rsid w:val="00796B94"/>
    <w:rsid w:val="0079733A"/>
    <w:rsid w:val="007A18BA"/>
    <w:rsid w:val="007A4876"/>
    <w:rsid w:val="007B1805"/>
    <w:rsid w:val="007B30E9"/>
    <w:rsid w:val="007B73A8"/>
    <w:rsid w:val="007B7CF8"/>
    <w:rsid w:val="007C6D92"/>
    <w:rsid w:val="007C6E28"/>
    <w:rsid w:val="007D16C1"/>
    <w:rsid w:val="007D4527"/>
    <w:rsid w:val="007D68E8"/>
    <w:rsid w:val="007D7E24"/>
    <w:rsid w:val="007E05E7"/>
    <w:rsid w:val="007E3E96"/>
    <w:rsid w:val="007E4309"/>
    <w:rsid w:val="007E6212"/>
    <w:rsid w:val="007F2E25"/>
    <w:rsid w:val="007F3A8B"/>
    <w:rsid w:val="007F4540"/>
    <w:rsid w:val="007F51DB"/>
    <w:rsid w:val="007F774A"/>
    <w:rsid w:val="00801AFA"/>
    <w:rsid w:val="00802173"/>
    <w:rsid w:val="00802323"/>
    <w:rsid w:val="0080577E"/>
    <w:rsid w:val="00813FD9"/>
    <w:rsid w:val="00814AD5"/>
    <w:rsid w:val="00814CDA"/>
    <w:rsid w:val="008172DA"/>
    <w:rsid w:val="008173DA"/>
    <w:rsid w:val="00824634"/>
    <w:rsid w:val="00827CD3"/>
    <w:rsid w:val="00831408"/>
    <w:rsid w:val="00831C5F"/>
    <w:rsid w:val="00832912"/>
    <w:rsid w:val="008341B7"/>
    <w:rsid w:val="00834C46"/>
    <w:rsid w:val="00837CD6"/>
    <w:rsid w:val="00844B13"/>
    <w:rsid w:val="00846303"/>
    <w:rsid w:val="00851C42"/>
    <w:rsid w:val="00852CD0"/>
    <w:rsid w:val="00855717"/>
    <w:rsid w:val="00860CDE"/>
    <w:rsid w:val="008612D3"/>
    <w:rsid w:val="00863208"/>
    <w:rsid w:val="00863540"/>
    <w:rsid w:val="00866002"/>
    <w:rsid w:val="00874E6D"/>
    <w:rsid w:val="00875DAD"/>
    <w:rsid w:val="00877BB1"/>
    <w:rsid w:val="00880DD7"/>
    <w:rsid w:val="00885464"/>
    <w:rsid w:val="00885B82"/>
    <w:rsid w:val="00890F98"/>
    <w:rsid w:val="008A73C6"/>
    <w:rsid w:val="008B2913"/>
    <w:rsid w:val="008B3A45"/>
    <w:rsid w:val="008B49A6"/>
    <w:rsid w:val="008C29C6"/>
    <w:rsid w:val="008C7110"/>
    <w:rsid w:val="008D0F4B"/>
    <w:rsid w:val="008D1869"/>
    <w:rsid w:val="008E04A1"/>
    <w:rsid w:val="008E11D1"/>
    <w:rsid w:val="008E2AD7"/>
    <w:rsid w:val="008E5611"/>
    <w:rsid w:val="008F39B1"/>
    <w:rsid w:val="009005C4"/>
    <w:rsid w:val="0090357C"/>
    <w:rsid w:val="00904434"/>
    <w:rsid w:val="0090599C"/>
    <w:rsid w:val="00905E4D"/>
    <w:rsid w:val="00911138"/>
    <w:rsid w:val="00913376"/>
    <w:rsid w:val="00914063"/>
    <w:rsid w:val="009159E6"/>
    <w:rsid w:val="00924043"/>
    <w:rsid w:val="0092486E"/>
    <w:rsid w:val="009312E7"/>
    <w:rsid w:val="0093660C"/>
    <w:rsid w:val="009425F3"/>
    <w:rsid w:val="009439E9"/>
    <w:rsid w:val="0094652A"/>
    <w:rsid w:val="009533C6"/>
    <w:rsid w:val="00953DC5"/>
    <w:rsid w:val="00954229"/>
    <w:rsid w:val="00955A3B"/>
    <w:rsid w:val="00961B11"/>
    <w:rsid w:val="009657F1"/>
    <w:rsid w:val="0097140B"/>
    <w:rsid w:val="00972F9F"/>
    <w:rsid w:val="009732ED"/>
    <w:rsid w:val="0097554D"/>
    <w:rsid w:val="00975961"/>
    <w:rsid w:val="0098178E"/>
    <w:rsid w:val="00987DC1"/>
    <w:rsid w:val="00987E82"/>
    <w:rsid w:val="0099055E"/>
    <w:rsid w:val="00991B45"/>
    <w:rsid w:val="00992FFC"/>
    <w:rsid w:val="00994808"/>
    <w:rsid w:val="009958E5"/>
    <w:rsid w:val="009A14B7"/>
    <w:rsid w:val="009A2205"/>
    <w:rsid w:val="009B3228"/>
    <w:rsid w:val="009C05C1"/>
    <w:rsid w:val="009C11C0"/>
    <w:rsid w:val="009C139A"/>
    <w:rsid w:val="009C31B9"/>
    <w:rsid w:val="009C5F35"/>
    <w:rsid w:val="009C7714"/>
    <w:rsid w:val="009D0AD3"/>
    <w:rsid w:val="009D1AFA"/>
    <w:rsid w:val="009D5B4F"/>
    <w:rsid w:val="009E078B"/>
    <w:rsid w:val="009F215E"/>
    <w:rsid w:val="00A01704"/>
    <w:rsid w:val="00A01870"/>
    <w:rsid w:val="00A06F3E"/>
    <w:rsid w:val="00A10DA2"/>
    <w:rsid w:val="00A1542F"/>
    <w:rsid w:val="00A174E3"/>
    <w:rsid w:val="00A2051D"/>
    <w:rsid w:val="00A208AC"/>
    <w:rsid w:val="00A20BDF"/>
    <w:rsid w:val="00A222AB"/>
    <w:rsid w:val="00A22C04"/>
    <w:rsid w:val="00A23881"/>
    <w:rsid w:val="00A2487B"/>
    <w:rsid w:val="00A40758"/>
    <w:rsid w:val="00A413F5"/>
    <w:rsid w:val="00A503EC"/>
    <w:rsid w:val="00A517D9"/>
    <w:rsid w:val="00A56C22"/>
    <w:rsid w:val="00A56E62"/>
    <w:rsid w:val="00A63E2C"/>
    <w:rsid w:val="00A659DB"/>
    <w:rsid w:val="00A731CE"/>
    <w:rsid w:val="00A73996"/>
    <w:rsid w:val="00A83E40"/>
    <w:rsid w:val="00A865E6"/>
    <w:rsid w:val="00A92AFB"/>
    <w:rsid w:val="00A93338"/>
    <w:rsid w:val="00AA0743"/>
    <w:rsid w:val="00AA0FB8"/>
    <w:rsid w:val="00AA2DD6"/>
    <w:rsid w:val="00AA4144"/>
    <w:rsid w:val="00AA6D9E"/>
    <w:rsid w:val="00AB24F5"/>
    <w:rsid w:val="00AB6F57"/>
    <w:rsid w:val="00AC2364"/>
    <w:rsid w:val="00AC43EE"/>
    <w:rsid w:val="00AC6361"/>
    <w:rsid w:val="00AD3F04"/>
    <w:rsid w:val="00AE01B7"/>
    <w:rsid w:val="00AE4D01"/>
    <w:rsid w:val="00AE6F0B"/>
    <w:rsid w:val="00AF05DB"/>
    <w:rsid w:val="00AF292A"/>
    <w:rsid w:val="00AF78B2"/>
    <w:rsid w:val="00AF7DC7"/>
    <w:rsid w:val="00B00416"/>
    <w:rsid w:val="00B01E74"/>
    <w:rsid w:val="00B02341"/>
    <w:rsid w:val="00B024E4"/>
    <w:rsid w:val="00B02E53"/>
    <w:rsid w:val="00B0714D"/>
    <w:rsid w:val="00B10A35"/>
    <w:rsid w:val="00B10DAC"/>
    <w:rsid w:val="00B113E8"/>
    <w:rsid w:val="00B13194"/>
    <w:rsid w:val="00B15AB4"/>
    <w:rsid w:val="00B16399"/>
    <w:rsid w:val="00B2032C"/>
    <w:rsid w:val="00B22C7F"/>
    <w:rsid w:val="00B23B9D"/>
    <w:rsid w:val="00B25474"/>
    <w:rsid w:val="00B269BA"/>
    <w:rsid w:val="00B310A7"/>
    <w:rsid w:val="00B342AB"/>
    <w:rsid w:val="00B364C4"/>
    <w:rsid w:val="00B417A6"/>
    <w:rsid w:val="00B51458"/>
    <w:rsid w:val="00B518B6"/>
    <w:rsid w:val="00B6773F"/>
    <w:rsid w:val="00B703D3"/>
    <w:rsid w:val="00B73DAD"/>
    <w:rsid w:val="00B81599"/>
    <w:rsid w:val="00B84DE6"/>
    <w:rsid w:val="00B900CA"/>
    <w:rsid w:val="00B95BC3"/>
    <w:rsid w:val="00B96DB9"/>
    <w:rsid w:val="00BA6D9D"/>
    <w:rsid w:val="00BB6069"/>
    <w:rsid w:val="00BC5D00"/>
    <w:rsid w:val="00BC6B13"/>
    <w:rsid w:val="00BC78F4"/>
    <w:rsid w:val="00BD0A98"/>
    <w:rsid w:val="00BD2DE9"/>
    <w:rsid w:val="00BD3150"/>
    <w:rsid w:val="00BD4CBA"/>
    <w:rsid w:val="00BD6D00"/>
    <w:rsid w:val="00BE3DFD"/>
    <w:rsid w:val="00BE4B0F"/>
    <w:rsid w:val="00BE6D27"/>
    <w:rsid w:val="00BF0868"/>
    <w:rsid w:val="00BF2CB5"/>
    <w:rsid w:val="00BF32B9"/>
    <w:rsid w:val="00BF6372"/>
    <w:rsid w:val="00C044B3"/>
    <w:rsid w:val="00C046BB"/>
    <w:rsid w:val="00C05766"/>
    <w:rsid w:val="00C070EE"/>
    <w:rsid w:val="00C15159"/>
    <w:rsid w:val="00C20CFE"/>
    <w:rsid w:val="00C228BC"/>
    <w:rsid w:val="00C244E8"/>
    <w:rsid w:val="00C25227"/>
    <w:rsid w:val="00C27EC5"/>
    <w:rsid w:val="00C309E5"/>
    <w:rsid w:val="00C3268E"/>
    <w:rsid w:val="00C32E49"/>
    <w:rsid w:val="00C335D2"/>
    <w:rsid w:val="00C36378"/>
    <w:rsid w:val="00C41279"/>
    <w:rsid w:val="00C47537"/>
    <w:rsid w:val="00C47931"/>
    <w:rsid w:val="00C640A6"/>
    <w:rsid w:val="00C64BC2"/>
    <w:rsid w:val="00C64C15"/>
    <w:rsid w:val="00C67325"/>
    <w:rsid w:val="00C71BC2"/>
    <w:rsid w:val="00C746D4"/>
    <w:rsid w:val="00C74755"/>
    <w:rsid w:val="00C87590"/>
    <w:rsid w:val="00C9201E"/>
    <w:rsid w:val="00C96485"/>
    <w:rsid w:val="00CA1CFD"/>
    <w:rsid w:val="00CA6378"/>
    <w:rsid w:val="00CB2D8B"/>
    <w:rsid w:val="00CC2D9E"/>
    <w:rsid w:val="00CC6305"/>
    <w:rsid w:val="00CD29BA"/>
    <w:rsid w:val="00CD4496"/>
    <w:rsid w:val="00CE7A5F"/>
    <w:rsid w:val="00CF070E"/>
    <w:rsid w:val="00CF35E0"/>
    <w:rsid w:val="00CF4497"/>
    <w:rsid w:val="00CF56B3"/>
    <w:rsid w:val="00CF56CF"/>
    <w:rsid w:val="00CF5820"/>
    <w:rsid w:val="00CF6A01"/>
    <w:rsid w:val="00CF7F26"/>
    <w:rsid w:val="00D01DC6"/>
    <w:rsid w:val="00D021EA"/>
    <w:rsid w:val="00D02ABC"/>
    <w:rsid w:val="00D03782"/>
    <w:rsid w:val="00D0422B"/>
    <w:rsid w:val="00D05659"/>
    <w:rsid w:val="00D07B45"/>
    <w:rsid w:val="00D11D24"/>
    <w:rsid w:val="00D23327"/>
    <w:rsid w:val="00D24831"/>
    <w:rsid w:val="00D3175A"/>
    <w:rsid w:val="00D34407"/>
    <w:rsid w:val="00D43E42"/>
    <w:rsid w:val="00D5197A"/>
    <w:rsid w:val="00D52AD7"/>
    <w:rsid w:val="00D535EF"/>
    <w:rsid w:val="00D53679"/>
    <w:rsid w:val="00D6096A"/>
    <w:rsid w:val="00D6103F"/>
    <w:rsid w:val="00D7101C"/>
    <w:rsid w:val="00D8149E"/>
    <w:rsid w:val="00D822E6"/>
    <w:rsid w:val="00D8437E"/>
    <w:rsid w:val="00D863F5"/>
    <w:rsid w:val="00D9335D"/>
    <w:rsid w:val="00D93380"/>
    <w:rsid w:val="00D94145"/>
    <w:rsid w:val="00D9719C"/>
    <w:rsid w:val="00DA2BCF"/>
    <w:rsid w:val="00DA5B39"/>
    <w:rsid w:val="00DB5B63"/>
    <w:rsid w:val="00DB66EC"/>
    <w:rsid w:val="00DC2E72"/>
    <w:rsid w:val="00DC60FB"/>
    <w:rsid w:val="00DD398B"/>
    <w:rsid w:val="00DD53A4"/>
    <w:rsid w:val="00DE12EE"/>
    <w:rsid w:val="00DF2C08"/>
    <w:rsid w:val="00E007A9"/>
    <w:rsid w:val="00E01BDE"/>
    <w:rsid w:val="00E01CD7"/>
    <w:rsid w:val="00E05C36"/>
    <w:rsid w:val="00E0671E"/>
    <w:rsid w:val="00E07CB7"/>
    <w:rsid w:val="00E11775"/>
    <w:rsid w:val="00E14AF9"/>
    <w:rsid w:val="00E14E65"/>
    <w:rsid w:val="00E169B0"/>
    <w:rsid w:val="00E25145"/>
    <w:rsid w:val="00E276E3"/>
    <w:rsid w:val="00E33B67"/>
    <w:rsid w:val="00E34BF3"/>
    <w:rsid w:val="00E35BAE"/>
    <w:rsid w:val="00E3787F"/>
    <w:rsid w:val="00E41CF8"/>
    <w:rsid w:val="00E41EF1"/>
    <w:rsid w:val="00E44393"/>
    <w:rsid w:val="00E54A6B"/>
    <w:rsid w:val="00E557D0"/>
    <w:rsid w:val="00E61815"/>
    <w:rsid w:val="00E645AF"/>
    <w:rsid w:val="00E66911"/>
    <w:rsid w:val="00E66AA7"/>
    <w:rsid w:val="00E724B7"/>
    <w:rsid w:val="00E74D39"/>
    <w:rsid w:val="00E91573"/>
    <w:rsid w:val="00E924A7"/>
    <w:rsid w:val="00E93230"/>
    <w:rsid w:val="00E975CC"/>
    <w:rsid w:val="00EA07F2"/>
    <w:rsid w:val="00EA193D"/>
    <w:rsid w:val="00EA31FD"/>
    <w:rsid w:val="00EA3373"/>
    <w:rsid w:val="00EA4289"/>
    <w:rsid w:val="00EA6677"/>
    <w:rsid w:val="00EA6828"/>
    <w:rsid w:val="00EA7643"/>
    <w:rsid w:val="00EB0A3E"/>
    <w:rsid w:val="00EB4BE1"/>
    <w:rsid w:val="00EB601C"/>
    <w:rsid w:val="00EB60AE"/>
    <w:rsid w:val="00EC2F60"/>
    <w:rsid w:val="00EC538E"/>
    <w:rsid w:val="00EC7E19"/>
    <w:rsid w:val="00ED09DC"/>
    <w:rsid w:val="00ED0DF6"/>
    <w:rsid w:val="00ED1ED2"/>
    <w:rsid w:val="00ED6890"/>
    <w:rsid w:val="00EE297E"/>
    <w:rsid w:val="00EE3778"/>
    <w:rsid w:val="00EE4549"/>
    <w:rsid w:val="00EE7C80"/>
    <w:rsid w:val="00EF1289"/>
    <w:rsid w:val="00EF3227"/>
    <w:rsid w:val="00EF3422"/>
    <w:rsid w:val="00EF3DEF"/>
    <w:rsid w:val="00EF4526"/>
    <w:rsid w:val="00EF5356"/>
    <w:rsid w:val="00EF5418"/>
    <w:rsid w:val="00EF666D"/>
    <w:rsid w:val="00EF7722"/>
    <w:rsid w:val="00F0061C"/>
    <w:rsid w:val="00F04775"/>
    <w:rsid w:val="00F132DF"/>
    <w:rsid w:val="00F13FCF"/>
    <w:rsid w:val="00F159F1"/>
    <w:rsid w:val="00F16879"/>
    <w:rsid w:val="00F178D6"/>
    <w:rsid w:val="00F2074F"/>
    <w:rsid w:val="00F22318"/>
    <w:rsid w:val="00F237F8"/>
    <w:rsid w:val="00F31BF8"/>
    <w:rsid w:val="00F34749"/>
    <w:rsid w:val="00F35D91"/>
    <w:rsid w:val="00F37464"/>
    <w:rsid w:val="00F40309"/>
    <w:rsid w:val="00F41407"/>
    <w:rsid w:val="00F42371"/>
    <w:rsid w:val="00F4498A"/>
    <w:rsid w:val="00F47976"/>
    <w:rsid w:val="00F52275"/>
    <w:rsid w:val="00F52420"/>
    <w:rsid w:val="00F54C23"/>
    <w:rsid w:val="00F54EB9"/>
    <w:rsid w:val="00F61CBF"/>
    <w:rsid w:val="00F624EE"/>
    <w:rsid w:val="00F70C6A"/>
    <w:rsid w:val="00F72BE3"/>
    <w:rsid w:val="00F730A3"/>
    <w:rsid w:val="00F7334A"/>
    <w:rsid w:val="00F76118"/>
    <w:rsid w:val="00F769BE"/>
    <w:rsid w:val="00F80C94"/>
    <w:rsid w:val="00F8339E"/>
    <w:rsid w:val="00F835F7"/>
    <w:rsid w:val="00F836F6"/>
    <w:rsid w:val="00F90CB8"/>
    <w:rsid w:val="00F91BA7"/>
    <w:rsid w:val="00F93153"/>
    <w:rsid w:val="00F9361B"/>
    <w:rsid w:val="00FA5EBA"/>
    <w:rsid w:val="00FA7D99"/>
    <w:rsid w:val="00FB2E11"/>
    <w:rsid w:val="00FB6BD9"/>
    <w:rsid w:val="00FC088E"/>
    <w:rsid w:val="00FC09A9"/>
    <w:rsid w:val="00FC2EBB"/>
    <w:rsid w:val="00FC303B"/>
    <w:rsid w:val="00FC35E0"/>
    <w:rsid w:val="00FC6575"/>
    <w:rsid w:val="00FC68B1"/>
    <w:rsid w:val="00FD32EC"/>
    <w:rsid w:val="00FE2B3E"/>
    <w:rsid w:val="00FE4124"/>
    <w:rsid w:val="00FE4CA7"/>
    <w:rsid w:val="00FE4CE9"/>
    <w:rsid w:val="00FF2B2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AC"/>
    <w:pPr>
      <w:spacing w:after="0" w:line="240" w:lineRule="auto"/>
    </w:pPr>
    <w:rPr>
      <w:rFonts w:ascii="Arial" w:eastAsia="Times New Roman" w:hAnsi="Arial" w:cs="Arial"/>
      <w:sz w:val="28"/>
      <w:szCs w:val="28"/>
      <w:lang w:val="en-GB" w:eastAsia="en-GB"/>
    </w:rPr>
  </w:style>
  <w:style w:type="paragraph" w:styleId="Heading1">
    <w:name w:val="heading 1"/>
    <w:basedOn w:val="Normal"/>
    <w:next w:val="Heading2"/>
    <w:link w:val="Heading1Char"/>
    <w:qFormat/>
    <w:rsid w:val="008E2AD7"/>
    <w:pPr>
      <w:numPr>
        <w:numId w:val="1"/>
      </w:numPr>
      <w:spacing w:before="240" w:after="240" w:line="480" w:lineRule="auto"/>
      <w:jc w:val="both"/>
      <w:outlineLvl w:val="0"/>
    </w:pPr>
    <w:rPr>
      <w:rFonts w:cs="Times New Roman"/>
      <w:kern w:val="28"/>
      <w:sz w:val="24"/>
      <w:szCs w:val="20"/>
      <w:lang w:val="en-ZA" w:eastAsia="en-US"/>
    </w:rPr>
  </w:style>
  <w:style w:type="paragraph" w:styleId="Heading2">
    <w:name w:val="heading 2"/>
    <w:basedOn w:val="Normal"/>
    <w:link w:val="Heading2Char"/>
    <w:qFormat/>
    <w:rsid w:val="008E2AD7"/>
    <w:pPr>
      <w:numPr>
        <w:ilvl w:val="1"/>
        <w:numId w:val="1"/>
      </w:numPr>
      <w:spacing w:before="240" w:after="240" w:line="480" w:lineRule="auto"/>
      <w:jc w:val="both"/>
      <w:outlineLvl w:val="1"/>
    </w:pPr>
    <w:rPr>
      <w:rFonts w:cs="Times New Roman"/>
      <w:sz w:val="24"/>
      <w:szCs w:val="20"/>
      <w:lang w:val="en-ZA" w:eastAsia="en-US"/>
    </w:rPr>
  </w:style>
  <w:style w:type="paragraph" w:styleId="Heading3">
    <w:name w:val="heading 3"/>
    <w:basedOn w:val="Normal"/>
    <w:link w:val="Heading3Char"/>
    <w:qFormat/>
    <w:rsid w:val="008E2AD7"/>
    <w:pPr>
      <w:numPr>
        <w:ilvl w:val="2"/>
        <w:numId w:val="1"/>
      </w:numPr>
      <w:spacing w:before="240" w:after="240" w:line="480" w:lineRule="auto"/>
      <w:jc w:val="both"/>
      <w:outlineLvl w:val="2"/>
    </w:pPr>
    <w:rPr>
      <w:rFonts w:cs="Times New Roman"/>
      <w:sz w:val="24"/>
      <w:szCs w:val="20"/>
      <w:lang w:val="en-ZA" w:eastAsia="en-US"/>
    </w:rPr>
  </w:style>
  <w:style w:type="paragraph" w:styleId="Heading4">
    <w:name w:val="heading 4"/>
    <w:basedOn w:val="Normal"/>
    <w:link w:val="Heading4Char"/>
    <w:qFormat/>
    <w:rsid w:val="008E2AD7"/>
    <w:pPr>
      <w:numPr>
        <w:ilvl w:val="3"/>
        <w:numId w:val="1"/>
      </w:numPr>
      <w:spacing w:before="240" w:after="240" w:line="480" w:lineRule="auto"/>
      <w:jc w:val="both"/>
      <w:outlineLvl w:val="3"/>
    </w:pPr>
    <w:rPr>
      <w:rFonts w:cs="Times New Roman"/>
      <w:sz w:val="24"/>
      <w:szCs w:val="20"/>
      <w:lang w:val="en-ZA" w:eastAsia="en-US"/>
    </w:rPr>
  </w:style>
  <w:style w:type="paragraph" w:styleId="Heading5">
    <w:name w:val="heading 5"/>
    <w:basedOn w:val="Normal"/>
    <w:link w:val="Heading5Char"/>
    <w:qFormat/>
    <w:rsid w:val="008E2AD7"/>
    <w:pPr>
      <w:numPr>
        <w:ilvl w:val="4"/>
        <w:numId w:val="1"/>
      </w:numPr>
      <w:spacing w:before="240" w:after="240" w:line="480" w:lineRule="auto"/>
      <w:jc w:val="both"/>
      <w:outlineLvl w:val="4"/>
    </w:pPr>
    <w:rPr>
      <w:rFonts w:cs="Times New Roman"/>
      <w:sz w:val="24"/>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AC"/>
    <w:rPr>
      <w:rFonts w:ascii="Tahoma" w:hAnsi="Tahoma" w:cs="Tahoma"/>
      <w:sz w:val="16"/>
      <w:szCs w:val="16"/>
    </w:rPr>
  </w:style>
  <w:style w:type="character" w:customStyle="1" w:styleId="BalloonTextChar">
    <w:name w:val="Balloon Text Char"/>
    <w:basedOn w:val="DefaultParagraphFont"/>
    <w:link w:val="BalloonText"/>
    <w:uiPriority w:val="99"/>
    <w:semiHidden/>
    <w:rsid w:val="00B10DAC"/>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8E2AD7"/>
    <w:rPr>
      <w:rFonts w:ascii="Arial" w:eastAsia="Times New Roman" w:hAnsi="Arial" w:cs="Times New Roman"/>
      <w:kern w:val="28"/>
      <w:sz w:val="24"/>
      <w:szCs w:val="20"/>
    </w:rPr>
  </w:style>
  <w:style w:type="character" w:customStyle="1" w:styleId="Heading2Char">
    <w:name w:val="Heading 2 Char"/>
    <w:basedOn w:val="DefaultParagraphFont"/>
    <w:link w:val="Heading2"/>
    <w:rsid w:val="008E2AD7"/>
    <w:rPr>
      <w:rFonts w:ascii="Arial" w:eastAsia="Times New Roman" w:hAnsi="Arial" w:cs="Times New Roman"/>
      <w:sz w:val="24"/>
      <w:szCs w:val="20"/>
    </w:rPr>
  </w:style>
  <w:style w:type="character" w:customStyle="1" w:styleId="Heading3Char">
    <w:name w:val="Heading 3 Char"/>
    <w:basedOn w:val="DefaultParagraphFont"/>
    <w:link w:val="Heading3"/>
    <w:rsid w:val="008E2AD7"/>
    <w:rPr>
      <w:rFonts w:ascii="Arial" w:eastAsia="Times New Roman" w:hAnsi="Arial" w:cs="Times New Roman"/>
      <w:sz w:val="24"/>
      <w:szCs w:val="20"/>
    </w:rPr>
  </w:style>
  <w:style w:type="character" w:customStyle="1" w:styleId="Heading4Char">
    <w:name w:val="Heading 4 Char"/>
    <w:basedOn w:val="DefaultParagraphFont"/>
    <w:link w:val="Heading4"/>
    <w:rsid w:val="008E2AD7"/>
    <w:rPr>
      <w:rFonts w:ascii="Arial" w:eastAsia="Times New Roman" w:hAnsi="Arial" w:cs="Times New Roman"/>
      <w:sz w:val="24"/>
      <w:szCs w:val="20"/>
    </w:rPr>
  </w:style>
  <w:style w:type="character" w:customStyle="1" w:styleId="Heading5Char">
    <w:name w:val="Heading 5 Char"/>
    <w:basedOn w:val="DefaultParagraphFont"/>
    <w:link w:val="Heading5"/>
    <w:rsid w:val="008E2AD7"/>
    <w:rPr>
      <w:rFonts w:ascii="Arial" w:eastAsia="Times New Roman" w:hAnsi="Arial" w:cs="Times New Roman"/>
      <w:sz w:val="24"/>
      <w:szCs w:val="20"/>
    </w:rPr>
  </w:style>
  <w:style w:type="paragraph" w:styleId="FootnoteText">
    <w:name w:val="footnote text"/>
    <w:basedOn w:val="Normal"/>
    <w:link w:val="FootnoteTextChar"/>
    <w:unhideWhenUsed/>
    <w:rsid w:val="008E2AD7"/>
    <w:pPr>
      <w:spacing w:after="120" w:line="36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rsid w:val="008E2AD7"/>
    <w:rPr>
      <w:sz w:val="20"/>
      <w:szCs w:val="20"/>
      <w:lang w:val="en-US"/>
    </w:rPr>
  </w:style>
  <w:style w:type="character" w:styleId="FootnoteReference">
    <w:name w:val="footnote reference"/>
    <w:basedOn w:val="DefaultParagraphFont"/>
    <w:uiPriority w:val="99"/>
    <w:unhideWhenUsed/>
    <w:rsid w:val="008E2AD7"/>
    <w:rPr>
      <w:vertAlign w:val="superscript"/>
    </w:rPr>
  </w:style>
  <w:style w:type="paragraph" w:styleId="ListParagraph">
    <w:name w:val="List Paragraph"/>
    <w:basedOn w:val="Normal"/>
    <w:uiPriority w:val="34"/>
    <w:qFormat/>
    <w:rsid w:val="008E2AD7"/>
    <w:pPr>
      <w:ind w:left="720"/>
      <w:contextualSpacing/>
    </w:pPr>
  </w:style>
  <w:style w:type="paragraph" w:styleId="NormalWeb">
    <w:name w:val="Normal (Web)"/>
    <w:basedOn w:val="Normal"/>
    <w:uiPriority w:val="99"/>
    <w:semiHidden/>
    <w:unhideWhenUsed/>
    <w:rsid w:val="00777412"/>
    <w:pPr>
      <w:spacing w:before="100" w:beforeAutospacing="1" w:after="100" w:afterAutospacing="1"/>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471DFC"/>
    <w:pPr>
      <w:tabs>
        <w:tab w:val="center" w:pos="4513"/>
        <w:tab w:val="right" w:pos="9026"/>
      </w:tabs>
    </w:pPr>
  </w:style>
  <w:style w:type="character" w:customStyle="1" w:styleId="HeaderChar">
    <w:name w:val="Header Char"/>
    <w:basedOn w:val="DefaultParagraphFont"/>
    <w:link w:val="Header"/>
    <w:uiPriority w:val="99"/>
    <w:rsid w:val="00471DFC"/>
    <w:rPr>
      <w:rFonts w:ascii="Arial" w:eastAsia="Times New Roman" w:hAnsi="Arial" w:cs="Arial"/>
      <w:sz w:val="28"/>
      <w:szCs w:val="28"/>
      <w:lang w:val="en-GB" w:eastAsia="en-GB"/>
    </w:rPr>
  </w:style>
  <w:style w:type="paragraph" w:styleId="Footer">
    <w:name w:val="footer"/>
    <w:basedOn w:val="Normal"/>
    <w:link w:val="FooterChar"/>
    <w:uiPriority w:val="99"/>
    <w:unhideWhenUsed/>
    <w:rsid w:val="00471DFC"/>
    <w:pPr>
      <w:tabs>
        <w:tab w:val="center" w:pos="4513"/>
        <w:tab w:val="right" w:pos="9026"/>
      </w:tabs>
    </w:pPr>
  </w:style>
  <w:style w:type="character" w:customStyle="1" w:styleId="FooterChar">
    <w:name w:val="Footer Char"/>
    <w:basedOn w:val="DefaultParagraphFont"/>
    <w:link w:val="Footer"/>
    <w:uiPriority w:val="99"/>
    <w:rsid w:val="00471DFC"/>
    <w:rPr>
      <w:rFonts w:ascii="Arial" w:eastAsia="Times New Roman" w:hAnsi="Arial" w:cs="Arial"/>
      <w:sz w:val="28"/>
      <w:szCs w:val="28"/>
      <w:lang w:val="en-GB" w:eastAsia="en-GB"/>
    </w:rPr>
  </w:style>
  <w:style w:type="paragraph" w:styleId="NoSpacing">
    <w:name w:val="No Spacing"/>
    <w:uiPriority w:val="1"/>
    <w:qFormat/>
    <w:rsid w:val="00143F03"/>
    <w:pPr>
      <w:spacing w:after="0" w:line="240" w:lineRule="auto"/>
    </w:pPr>
    <w:rPr>
      <w:rFonts w:ascii="Arial" w:eastAsia="Times New Roman" w:hAnsi="Arial" w:cs="Arial"/>
      <w:sz w:val="28"/>
      <w:szCs w:val="28"/>
      <w:lang w:val="en-GB" w:eastAsia="en-GB"/>
    </w:rPr>
  </w:style>
  <w:style w:type="character" w:styleId="CommentReference">
    <w:name w:val="annotation reference"/>
    <w:basedOn w:val="DefaultParagraphFont"/>
    <w:uiPriority w:val="99"/>
    <w:semiHidden/>
    <w:unhideWhenUsed/>
    <w:rsid w:val="00FA5EBA"/>
    <w:rPr>
      <w:sz w:val="16"/>
      <w:szCs w:val="16"/>
    </w:rPr>
  </w:style>
  <w:style w:type="paragraph" w:styleId="CommentText">
    <w:name w:val="annotation text"/>
    <w:basedOn w:val="Normal"/>
    <w:link w:val="CommentTextChar"/>
    <w:uiPriority w:val="99"/>
    <w:semiHidden/>
    <w:unhideWhenUsed/>
    <w:rsid w:val="00FA5EBA"/>
    <w:rPr>
      <w:sz w:val="20"/>
      <w:szCs w:val="20"/>
    </w:rPr>
  </w:style>
  <w:style w:type="character" w:customStyle="1" w:styleId="CommentTextChar">
    <w:name w:val="Comment Text Char"/>
    <w:basedOn w:val="DefaultParagraphFont"/>
    <w:link w:val="CommentText"/>
    <w:uiPriority w:val="99"/>
    <w:semiHidden/>
    <w:rsid w:val="00FA5EBA"/>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A5EBA"/>
    <w:rPr>
      <w:b/>
      <w:bCs/>
    </w:rPr>
  </w:style>
  <w:style w:type="character" w:customStyle="1" w:styleId="CommentSubjectChar">
    <w:name w:val="Comment Subject Char"/>
    <w:basedOn w:val="CommentTextChar"/>
    <w:link w:val="CommentSubject"/>
    <w:uiPriority w:val="99"/>
    <w:semiHidden/>
    <w:rsid w:val="00FA5EBA"/>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9A373-480D-431B-B2A6-04CC934F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2022-07-25T17:19:00Z</dcterms:created>
  <dcterms:modified xsi:type="dcterms:W3CDTF">2022-07-25T17:19:00Z</dcterms:modified>
</cp:coreProperties>
</file>