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482"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tblGrid>
      <w:tr w:rsidR="00543B4A" w:rsidRPr="00EB0EEF" w14:paraId="6531A6E9" w14:textId="77777777" w:rsidTr="00EC3CA9">
        <w:trPr>
          <w:trHeight w:val="285"/>
        </w:trPr>
        <w:tc>
          <w:tcPr>
            <w:tcW w:w="3947" w:type="dxa"/>
          </w:tcPr>
          <w:p w14:paraId="7BDC45E8" w14:textId="77777777" w:rsidR="00543B4A" w:rsidRPr="00E55B13" w:rsidRDefault="00543B4A" w:rsidP="00EC3CA9">
            <w:pPr>
              <w:tabs>
                <w:tab w:val="left" w:pos="2452"/>
              </w:tabs>
              <w:spacing w:after="0" w:line="276" w:lineRule="auto"/>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 xml:space="preserve">Reportable: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YES/NO</w:t>
            </w:r>
          </w:p>
          <w:p w14:paraId="4C72C839" w14:textId="77777777" w:rsidR="00543B4A" w:rsidRPr="00E55B13" w:rsidRDefault="00543B4A" w:rsidP="00EC3CA9">
            <w:pPr>
              <w:spacing w:after="0" w:line="276" w:lineRule="auto"/>
              <w:jc w:val="both"/>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 xml:space="preserve">Circulate to Judges: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YES/NO</w:t>
            </w:r>
          </w:p>
          <w:p w14:paraId="6A77FEC2" w14:textId="77777777" w:rsidR="00543B4A" w:rsidRPr="00E55B13" w:rsidRDefault="00543B4A" w:rsidP="00EC3CA9">
            <w:pPr>
              <w:spacing w:after="0" w:line="276" w:lineRule="auto"/>
              <w:jc w:val="both"/>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Circulat</w:t>
            </w:r>
            <w:r>
              <w:rPr>
                <w:rFonts w:ascii="Bookman Old Style" w:eastAsia="Times New Roman" w:hAnsi="Bookman Old Style" w:cs="Times New Roman"/>
                <w:sz w:val="16"/>
                <w:szCs w:val="16"/>
                <w:lang w:val="en-GB" w:eastAsia="en-GB"/>
              </w:rPr>
              <w:t xml:space="preserve">e </w:t>
            </w:r>
            <w:r w:rsidRPr="00E55B13">
              <w:rPr>
                <w:rFonts w:ascii="Bookman Old Style" w:eastAsia="Times New Roman" w:hAnsi="Bookman Old Style" w:cs="Times New Roman"/>
                <w:sz w:val="16"/>
                <w:szCs w:val="16"/>
                <w:lang w:val="en-GB" w:eastAsia="en-GB"/>
              </w:rPr>
              <w:t>to</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Magistrates: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YES/NO</w:t>
            </w:r>
          </w:p>
          <w:p w14:paraId="18754054" w14:textId="77777777" w:rsidR="00543B4A" w:rsidRPr="00EB0EEF" w:rsidRDefault="00543B4A" w:rsidP="00EC3CA9">
            <w:pPr>
              <w:spacing w:after="0" w:line="276" w:lineRule="auto"/>
              <w:jc w:val="both"/>
              <w:rPr>
                <w:rFonts w:ascii="Bookman Old Style" w:eastAsia="Times New Roman" w:hAnsi="Bookman Old Style" w:cs="Times New Roman"/>
                <w:sz w:val="18"/>
                <w:szCs w:val="18"/>
                <w:lang w:val="en-GB" w:eastAsia="en-GB"/>
              </w:rPr>
            </w:pPr>
            <w:r w:rsidRPr="00E55B13">
              <w:rPr>
                <w:rFonts w:ascii="Bookman Old Style" w:eastAsia="Times New Roman" w:hAnsi="Bookman Old Style" w:cs="Times New Roman"/>
                <w:sz w:val="16"/>
                <w:szCs w:val="16"/>
                <w:lang w:val="en-GB" w:eastAsia="en-GB"/>
              </w:rPr>
              <w:t>Circulate to Regional Magistrates</w:t>
            </w:r>
            <w:r>
              <w:rPr>
                <w:rFonts w:ascii="Bookman Old Style" w:eastAsia="Times New Roman" w:hAnsi="Bookman Old Style" w:cs="Times New Roman"/>
                <w:sz w:val="16"/>
                <w:szCs w:val="16"/>
                <w:lang w:val="en-GB" w:eastAsia="en-GB"/>
              </w:rPr>
              <w:t>:</w:t>
            </w:r>
            <w:r w:rsidRPr="00E55B13">
              <w:rPr>
                <w:rFonts w:ascii="Bookman Old Style" w:eastAsia="Times New Roman" w:hAnsi="Bookman Old Style" w:cs="Times New Roman"/>
                <w:sz w:val="16"/>
                <w:szCs w:val="16"/>
                <w:lang w:val="en-GB" w:eastAsia="en-GB"/>
              </w:rPr>
              <w:t xml:space="preserv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 YES/NO</w:t>
            </w:r>
          </w:p>
        </w:tc>
      </w:tr>
    </w:tbl>
    <w:p w14:paraId="3CDD3507" w14:textId="77777777" w:rsidR="00543B4A" w:rsidRPr="007C0159" w:rsidRDefault="00543B4A" w:rsidP="00543B4A">
      <w:pPr>
        <w:pStyle w:val="NormalEmail"/>
        <w:spacing w:before="60" w:after="60" w:line="360" w:lineRule="auto"/>
        <w:ind w:firstLine="0"/>
        <w:jc w:val="right"/>
        <w:rPr>
          <w:rFonts w:ascii="Bookman Old Style" w:hAnsi="Bookman Old Style"/>
          <w:iCs/>
          <w:noProof/>
          <w:lang w:val="en-ZA" w:eastAsia="en-ZA"/>
        </w:rPr>
      </w:pPr>
    </w:p>
    <w:p w14:paraId="0D48151A" w14:textId="77777777" w:rsidR="00543B4A" w:rsidRDefault="00543B4A" w:rsidP="00543B4A">
      <w:pPr>
        <w:pStyle w:val="NormalEmail"/>
        <w:spacing w:before="60" w:after="60" w:line="360" w:lineRule="auto"/>
        <w:ind w:firstLine="0"/>
        <w:jc w:val="center"/>
        <w:rPr>
          <w:rFonts w:cs="Arial"/>
          <w:b/>
        </w:rPr>
      </w:pPr>
      <w:r w:rsidRPr="00444511">
        <w:rPr>
          <w:rFonts w:ascii="Times New Roman" w:hAnsi="Times New Roman"/>
          <w:i/>
          <w:noProof/>
          <w:lang w:val="en-ZA" w:eastAsia="en-ZA"/>
        </w:rPr>
        <w:drawing>
          <wp:inline distT="0" distB="0" distL="0" distR="0" wp14:anchorId="60641F0A" wp14:editId="7C079DAB">
            <wp:extent cx="134175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746" cy="1089889"/>
                    </a:xfrm>
                    <a:prstGeom prst="rect">
                      <a:avLst/>
                    </a:prstGeom>
                    <a:noFill/>
                    <a:ln>
                      <a:noFill/>
                    </a:ln>
                  </pic:spPr>
                </pic:pic>
              </a:graphicData>
            </a:graphic>
          </wp:inline>
        </w:drawing>
      </w:r>
    </w:p>
    <w:p w14:paraId="215E4BD5" w14:textId="77777777" w:rsidR="00543B4A" w:rsidRDefault="00543B4A" w:rsidP="00543B4A">
      <w:pPr>
        <w:jc w:val="center"/>
        <w:rPr>
          <w:rFonts w:ascii="Verdana" w:hAnsi="Verdana"/>
          <w:sz w:val="24"/>
          <w:szCs w:val="24"/>
        </w:rPr>
      </w:pPr>
      <w:r>
        <w:rPr>
          <w:rFonts w:ascii="Verdana" w:hAnsi="Verdana"/>
          <w:sz w:val="24"/>
          <w:szCs w:val="24"/>
        </w:rPr>
        <w:t>IN THE HIGH COURT OF SOUTH AFRICA</w:t>
      </w:r>
    </w:p>
    <w:p w14:paraId="398FE580" w14:textId="77777777" w:rsidR="00543B4A" w:rsidRDefault="00543B4A" w:rsidP="00543B4A">
      <w:pPr>
        <w:jc w:val="center"/>
        <w:rPr>
          <w:rFonts w:ascii="Verdana" w:hAnsi="Verdana"/>
          <w:sz w:val="24"/>
          <w:szCs w:val="24"/>
        </w:rPr>
      </w:pPr>
      <w:r>
        <w:rPr>
          <w:rFonts w:ascii="Verdana" w:hAnsi="Verdana"/>
          <w:sz w:val="24"/>
          <w:szCs w:val="24"/>
        </w:rPr>
        <w:t>(NORTHERN CAPE DIVISION, KIMBERLEY)</w:t>
      </w:r>
    </w:p>
    <w:p w14:paraId="1B9C770A" w14:textId="136276BD" w:rsidR="00AB104A" w:rsidRDefault="00AB104A" w:rsidP="00AB104A">
      <w:pPr>
        <w:jc w:val="center"/>
        <w:rPr>
          <w:rFonts w:ascii="Verdana" w:hAnsi="Verdana"/>
          <w:sz w:val="24"/>
          <w:szCs w:val="24"/>
        </w:rPr>
      </w:pPr>
    </w:p>
    <w:p w14:paraId="5A0D6A42" w14:textId="71D8728D" w:rsidR="00AB104A" w:rsidRDefault="00AB104A" w:rsidP="00504335">
      <w:pPr>
        <w:spacing w:after="0" w:line="360" w:lineRule="auto"/>
        <w:ind w:left="4320" w:firstLine="720"/>
        <w:jc w:val="both"/>
        <w:rPr>
          <w:rFonts w:ascii="Verdana" w:hAnsi="Verdana"/>
          <w:sz w:val="24"/>
          <w:szCs w:val="24"/>
        </w:rPr>
      </w:pPr>
      <w:r>
        <w:rPr>
          <w:rFonts w:ascii="Verdana" w:hAnsi="Verdana"/>
          <w:sz w:val="24"/>
          <w:szCs w:val="24"/>
        </w:rPr>
        <w:t>Case No: CA&amp;R 35/22</w:t>
      </w:r>
    </w:p>
    <w:p w14:paraId="3A53F90F" w14:textId="13591F5C" w:rsidR="005462C7" w:rsidRDefault="005462C7" w:rsidP="00504335">
      <w:pPr>
        <w:spacing w:after="0" w:line="360" w:lineRule="auto"/>
        <w:ind w:left="5040"/>
        <w:jc w:val="both"/>
        <w:rPr>
          <w:rFonts w:ascii="Verdana" w:hAnsi="Verdana"/>
          <w:sz w:val="24"/>
          <w:szCs w:val="24"/>
        </w:rPr>
      </w:pPr>
      <w:r>
        <w:rPr>
          <w:rFonts w:ascii="Verdana" w:hAnsi="Verdana"/>
          <w:sz w:val="24"/>
          <w:szCs w:val="24"/>
        </w:rPr>
        <w:t>Date of Hearing: 1</w:t>
      </w:r>
      <w:r>
        <w:rPr>
          <w:rFonts w:ascii="Verdana" w:hAnsi="Verdana"/>
          <w:sz w:val="24"/>
          <w:szCs w:val="24"/>
        </w:rPr>
        <w:t>0</w:t>
      </w:r>
      <w:r>
        <w:rPr>
          <w:rFonts w:ascii="Verdana" w:hAnsi="Verdana"/>
          <w:sz w:val="24"/>
          <w:szCs w:val="24"/>
        </w:rPr>
        <w:t>/0</w:t>
      </w:r>
      <w:r>
        <w:rPr>
          <w:rFonts w:ascii="Verdana" w:hAnsi="Verdana"/>
          <w:sz w:val="24"/>
          <w:szCs w:val="24"/>
        </w:rPr>
        <w:t>8</w:t>
      </w:r>
      <w:r>
        <w:rPr>
          <w:rFonts w:ascii="Verdana" w:hAnsi="Verdana"/>
          <w:sz w:val="24"/>
          <w:szCs w:val="24"/>
        </w:rPr>
        <w:t>/202</w:t>
      </w:r>
      <w:r>
        <w:rPr>
          <w:rFonts w:ascii="Verdana" w:hAnsi="Verdana"/>
          <w:sz w:val="24"/>
          <w:szCs w:val="24"/>
        </w:rPr>
        <w:t>2</w:t>
      </w:r>
    </w:p>
    <w:p w14:paraId="42868898" w14:textId="41EC08E1" w:rsidR="005462C7" w:rsidRDefault="005462C7" w:rsidP="00504335">
      <w:pPr>
        <w:spacing w:after="0" w:line="360" w:lineRule="auto"/>
        <w:ind w:left="5040"/>
        <w:jc w:val="both"/>
        <w:rPr>
          <w:rFonts w:ascii="Verdana" w:hAnsi="Verdana"/>
          <w:sz w:val="24"/>
          <w:szCs w:val="24"/>
        </w:rPr>
      </w:pPr>
      <w:r>
        <w:rPr>
          <w:rFonts w:ascii="Verdana" w:hAnsi="Verdana"/>
          <w:sz w:val="24"/>
          <w:szCs w:val="24"/>
        </w:rPr>
        <w:t>Date of Delivered</w:t>
      </w:r>
      <w:r>
        <w:rPr>
          <w:rFonts w:ascii="Verdana" w:hAnsi="Verdana"/>
          <w:sz w:val="24"/>
          <w:szCs w:val="24"/>
        </w:rPr>
        <w:t xml:space="preserve">: </w:t>
      </w:r>
      <w:r>
        <w:rPr>
          <w:rFonts w:ascii="Verdana" w:hAnsi="Verdana"/>
          <w:sz w:val="24"/>
          <w:szCs w:val="24"/>
        </w:rPr>
        <w:t>12</w:t>
      </w:r>
      <w:r>
        <w:rPr>
          <w:rFonts w:ascii="Verdana" w:hAnsi="Verdana"/>
          <w:sz w:val="24"/>
          <w:szCs w:val="24"/>
        </w:rPr>
        <w:t>/0</w:t>
      </w:r>
      <w:r>
        <w:rPr>
          <w:rFonts w:ascii="Verdana" w:hAnsi="Verdana"/>
          <w:sz w:val="24"/>
          <w:szCs w:val="24"/>
        </w:rPr>
        <w:t>8</w:t>
      </w:r>
      <w:r>
        <w:rPr>
          <w:rFonts w:ascii="Verdana" w:hAnsi="Verdana"/>
          <w:sz w:val="24"/>
          <w:szCs w:val="24"/>
        </w:rPr>
        <w:t>/202</w:t>
      </w:r>
      <w:r>
        <w:rPr>
          <w:rFonts w:ascii="Verdana" w:hAnsi="Verdana"/>
          <w:sz w:val="24"/>
          <w:szCs w:val="24"/>
        </w:rPr>
        <w:t>2</w:t>
      </w:r>
    </w:p>
    <w:p w14:paraId="17AF8CC7" w14:textId="06B51B50" w:rsidR="005462C7" w:rsidRDefault="005462C7" w:rsidP="005462C7">
      <w:pPr>
        <w:spacing w:after="0" w:line="276" w:lineRule="auto"/>
        <w:jc w:val="right"/>
        <w:rPr>
          <w:rFonts w:ascii="Verdana" w:hAnsi="Verdana"/>
          <w:sz w:val="24"/>
          <w:szCs w:val="24"/>
        </w:rPr>
      </w:pPr>
      <w:r>
        <w:rPr>
          <w:rFonts w:ascii="Verdana" w:hAnsi="Verdana"/>
          <w:sz w:val="24"/>
          <w:szCs w:val="24"/>
        </w:rPr>
        <w:t xml:space="preserve"> </w:t>
      </w:r>
    </w:p>
    <w:p w14:paraId="7A2A6906" w14:textId="480C0922" w:rsidR="00AB104A" w:rsidRDefault="00AB104A" w:rsidP="00AB104A">
      <w:pPr>
        <w:jc w:val="right"/>
        <w:rPr>
          <w:rFonts w:ascii="Verdana" w:hAnsi="Verdana"/>
          <w:sz w:val="24"/>
          <w:szCs w:val="24"/>
        </w:rPr>
      </w:pPr>
    </w:p>
    <w:p w14:paraId="10C7443B" w14:textId="4259AF97" w:rsidR="00AB104A" w:rsidRDefault="00AB104A" w:rsidP="00AB104A">
      <w:pPr>
        <w:rPr>
          <w:rFonts w:ascii="Verdana" w:hAnsi="Verdana"/>
          <w:sz w:val="24"/>
          <w:szCs w:val="24"/>
        </w:rPr>
      </w:pPr>
      <w:r>
        <w:rPr>
          <w:rFonts w:ascii="Verdana" w:hAnsi="Verdana"/>
          <w:sz w:val="24"/>
          <w:szCs w:val="24"/>
        </w:rPr>
        <w:t xml:space="preserve">SARAH KOTOLE </w:t>
      </w:r>
      <w:r w:rsidR="00C00CC3">
        <w:rPr>
          <w:rFonts w:ascii="Verdana" w:hAnsi="Verdana"/>
          <w:sz w:val="24"/>
          <w:szCs w:val="24"/>
        </w:rPr>
        <w:tab/>
      </w:r>
      <w:r w:rsidR="00C00CC3">
        <w:rPr>
          <w:rFonts w:ascii="Verdana" w:hAnsi="Verdana"/>
          <w:sz w:val="24"/>
          <w:szCs w:val="24"/>
        </w:rPr>
        <w:tab/>
      </w:r>
      <w:r w:rsidR="00C00CC3">
        <w:rPr>
          <w:rFonts w:ascii="Verdana" w:hAnsi="Verdana"/>
          <w:sz w:val="24"/>
          <w:szCs w:val="24"/>
        </w:rPr>
        <w:tab/>
      </w:r>
      <w:r w:rsidR="00C00CC3">
        <w:rPr>
          <w:rFonts w:ascii="Verdana" w:hAnsi="Verdana"/>
          <w:sz w:val="24"/>
          <w:szCs w:val="24"/>
        </w:rPr>
        <w:tab/>
      </w:r>
      <w:r w:rsidR="00C00CC3">
        <w:rPr>
          <w:rFonts w:ascii="Verdana" w:hAnsi="Verdana"/>
          <w:sz w:val="24"/>
          <w:szCs w:val="24"/>
        </w:rPr>
        <w:tab/>
      </w:r>
      <w:r w:rsidR="00C00CC3">
        <w:rPr>
          <w:rFonts w:ascii="Verdana" w:hAnsi="Verdana"/>
          <w:sz w:val="24"/>
          <w:szCs w:val="24"/>
        </w:rPr>
        <w:tab/>
      </w:r>
      <w:r w:rsidR="00C00CC3">
        <w:rPr>
          <w:rFonts w:ascii="Verdana" w:hAnsi="Verdana"/>
          <w:sz w:val="24"/>
          <w:szCs w:val="24"/>
        </w:rPr>
        <w:tab/>
      </w:r>
      <w:r w:rsidR="00C00CC3">
        <w:rPr>
          <w:rFonts w:ascii="Verdana" w:hAnsi="Verdana"/>
          <w:sz w:val="24"/>
          <w:szCs w:val="24"/>
        </w:rPr>
        <w:tab/>
        <w:t xml:space="preserve">Applicant </w:t>
      </w:r>
    </w:p>
    <w:p w14:paraId="05B20CA6" w14:textId="1A9BF926" w:rsidR="00C00CC3" w:rsidRDefault="00C00CC3" w:rsidP="00AB104A">
      <w:pPr>
        <w:rPr>
          <w:rFonts w:ascii="Verdana" w:hAnsi="Verdana"/>
          <w:sz w:val="24"/>
          <w:szCs w:val="24"/>
        </w:rPr>
      </w:pPr>
    </w:p>
    <w:p w14:paraId="6CB1ED29" w14:textId="0C3A32DB" w:rsidR="00C00CC3" w:rsidRDefault="00C00CC3" w:rsidP="00AB104A">
      <w:pPr>
        <w:rPr>
          <w:rFonts w:ascii="Verdana" w:hAnsi="Verdana"/>
          <w:sz w:val="24"/>
          <w:szCs w:val="24"/>
        </w:rPr>
      </w:pPr>
      <w:r>
        <w:rPr>
          <w:rFonts w:ascii="Verdana" w:hAnsi="Verdana"/>
          <w:sz w:val="24"/>
          <w:szCs w:val="24"/>
        </w:rPr>
        <w:t>and</w:t>
      </w:r>
    </w:p>
    <w:p w14:paraId="4CA85400" w14:textId="77777777" w:rsidR="00C00CC3" w:rsidRDefault="00C00CC3" w:rsidP="00AB104A">
      <w:pPr>
        <w:rPr>
          <w:rFonts w:ascii="Verdana" w:hAnsi="Verdana"/>
          <w:sz w:val="24"/>
          <w:szCs w:val="24"/>
        </w:rPr>
      </w:pPr>
    </w:p>
    <w:p w14:paraId="229E7CB4" w14:textId="07FE5F85" w:rsidR="00AB104A" w:rsidRDefault="00C00CC3" w:rsidP="00AB104A">
      <w:pPr>
        <w:rPr>
          <w:rFonts w:ascii="Verdana" w:hAnsi="Verdana"/>
          <w:sz w:val="24"/>
          <w:szCs w:val="24"/>
        </w:rPr>
      </w:pPr>
      <w:r>
        <w:rPr>
          <w:rFonts w:ascii="Verdana" w:hAnsi="Verdana"/>
          <w:sz w:val="24"/>
          <w:szCs w:val="24"/>
        </w:rPr>
        <w:t>THE STATE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Respondent</w:t>
      </w:r>
    </w:p>
    <w:p w14:paraId="44A3156F" w14:textId="3F7A0BEE" w:rsidR="00C00CC3" w:rsidRDefault="00C00CC3" w:rsidP="00AB104A">
      <w:pPr>
        <w:rPr>
          <w:rFonts w:ascii="Verdana" w:hAnsi="Verdana"/>
          <w:sz w:val="24"/>
          <w:szCs w:val="24"/>
        </w:rPr>
      </w:pPr>
    </w:p>
    <w:p w14:paraId="482883AD" w14:textId="079C9F81" w:rsidR="00C00CC3" w:rsidRDefault="00C00CC3" w:rsidP="00AB104A">
      <w:pPr>
        <w:pBdr>
          <w:bottom w:val="single" w:sz="12" w:space="1" w:color="auto"/>
        </w:pBdr>
        <w:rPr>
          <w:rFonts w:ascii="Verdana" w:hAnsi="Verdana"/>
          <w:sz w:val="24"/>
          <w:szCs w:val="24"/>
        </w:rPr>
      </w:pPr>
      <w:r>
        <w:rPr>
          <w:rFonts w:ascii="Verdana" w:hAnsi="Verdana"/>
          <w:sz w:val="24"/>
          <w:szCs w:val="24"/>
        </w:rPr>
        <w:t>Coram: Tlaletsi JP et Lever J</w:t>
      </w:r>
    </w:p>
    <w:p w14:paraId="56702851" w14:textId="27C79C92" w:rsidR="00C00CC3" w:rsidRDefault="00C00CC3" w:rsidP="00AB104A">
      <w:pPr>
        <w:rPr>
          <w:rFonts w:ascii="Verdana" w:hAnsi="Verdana"/>
          <w:sz w:val="24"/>
          <w:szCs w:val="24"/>
        </w:rPr>
      </w:pPr>
    </w:p>
    <w:p w14:paraId="2FCE4B28" w14:textId="165F417A" w:rsidR="00C00CC3" w:rsidRDefault="00C00CC3" w:rsidP="00C00CC3">
      <w:pPr>
        <w:pBdr>
          <w:bottom w:val="single" w:sz="12" w:space="1" w:color="auto"/>
        </w:pBdr>
        <w:jc w:val="center"/>
        <w:rPr>
          <w:rFonts w:ascii="Verdana" w:hAnsi="Verdana"/>
          <w:sz w:val="24"/>
          <w:szCs w:val="24"/>
        </w:rPr>
      </w:pPr>
      <w:r>
        <w:rPr>
          <w:rFonts w:ascii="Verdana" w:hAnsi="Verdana"/>
          <w:sz w:val="24"/>
          <w:szCs w:val="24"/>
        </w:rPr>
        <w:t>Judgment</w:t>
      </w:r>
    </w:p>
    <w:p w14:paraId="5F5FACF3" w14:textId="77777777" w:rsidR="00C00CC3" w:rsidRDefault="00C00CC3" w:rsidP="00C00CC3">
      <w:pPr>
        <w:pBdr>
          <w:bottom w:val="single" w:sz="12" w:space="1" w:color="auto"/>
        </w:pBdr>
        <w:jc w:val="center"/>
        <w:rPr>
          <w:rFonts w:ascii="Verdana" w:hAnsi="Verdana"/>
          <w:sz w:val="24"/>
          <w:szCs w:val="24"/>
        </w:rPr>
      </w:pPr>
    </w:p>
    <w:p w14:paraId="67D94CAC" w14:textId="0F6BFA3A" w:rsidR="00C00CC3" w:rsidRDefault="00C00CC3" w:rsidP="00C00CC3">
      <w:pPr>
        <w:rPr>
          <w:rFonts w:ascii="Verdana" w:hAnsi="Verdana"/>
          <w:sz w:val="24"/>
          <w:szCs w:val="24"/>
        </w:rPr>
      </w:pPr>
      <w:r>
        <w:rPr>
          <w:rFonts w:ascii="Verdana" w:hAnsi="Verdana"/>
          <w:sz w:val="24"/>
          <w:szCs w:val="24"/>
        </w:rPr>
        <w:t>Lever J</w:t>
      </w:r>
    </w:p>
    <w:p w14:paraId="3C6B4C5A" w14:textId="7B5CE4E5" w:rsidR="00C00CC3" w:rsidRDefault="00C00CC3" w:rsidP="00C00CC3">
      <w:pPr>
        <w:rPr>
          <w:rFonts w:ascii="Verdana" w:hAnsi="Verdana"/>
          <w:sz w:val="24"/>
          <w:szCs w:val="24"/>
        </w:rPr>
      </w:pPr>
    </w:p>
    <w:p w14:paraId="35C61AFB" w14:textId="5E17DDB2" w:rsidR="00C00CC3" w:rsidRDefault="00C00CC3"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This matter was referred to this court </w:t>
      </w:r>
      <w:r w:rsidR="00FE5F93">
        <w:rPr>
          <w:rFonts w:ascii="Verdana" w:hAnsi="Verdana"/>
          <w:sz w:val="24"/>
          <w:szCs w:val="24"/>
        </w:rPr>
        <w:t>by the Magistrate for the District of CF MGCAWU sitting at Kakamas. The learned trial Magistrate referred the matter for “special review” under what are thankfully rare and unusual circumstances.</w:t>
      </w:r>
    </w:p>
    <w:p w14:paraId="7829D8B3" w14:textId="77777777" w:rsidR="00516530" w:rsidRDefault="00DB5DEE"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 xml:space="preserve">The accused in this matter has been charged with certain offences relating to the possession of certain dangerous drugs. </w:t>
      </w:r>
      <w:r w:rsidR="00516530">
        <w:rPr>
          <w:rFonts w:ascii="Verdana" w:hAnsi="Verdana"/>
          <w:sz w:val="24"/>
          <w:szCs w:val="24"/>
        </w:rPr>
        <w:t xml:space="preserve">The accused pleaded not guilty to the charges. </w:t>
      </w:r>
      <w:r>
        <w:rPr>
          <w:rFonts w:ascii="Verdana" w:hAnsi="Verdana"/>
          <w:sz w:val="24"/>
          <w:szCs w:val="24"/>
        </w:rPr>
        <w:t xml:space="preserve">The first State witness was called, and during her testimony a trial-within-a-trial was ordered. In the trial within a trial, the accused gave evidence. At this stage </w:t>
      </w:r>
      <w:r w:rsidR="00516530">
        <w:rPr>
          <w:rFonts w:ascii="Verdana" w:hAnsi="Verdana"/>
          <w:sz w:val="24"/>
          <w:szCs w:val="24"/>
        </w:rPr>
        <w:t>the interpreter who had initially commenced this case was not available. The first State witness spoke Setswana and the accused spoke Sesotho and the proceedings were being conducted in Afrikaans.</w:t>
      </w:r>
    </w:p>
    <w:p w14:paraId="786B4A8D" w14:textId="77777777" w:rsidR="00516530" w:rsidRPr="00516530" w:rsidRDefault="00516530" w:rsidP="00E63C9B">
      <w:pPr>
        <w:pStyle w:val="ListParagraph"/>
        <w:jc w:val="both"/>
        <w:rPr>
          <w:rFonts w:ascii="Verdana" w:hAnsi="Verdana"/>
          <w:sz w:val="24"/>
          <w:szCs w:val="24"/>
        </w:rPr>
      </w:pPr>
    </w:p>
    <w:p w14:paraId="495E048F" w14:textId="77777777" w:rsidR="00BC504F" w:rsidRDefault="00516530"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Mr </w:t>
      </w:r>
      <w:proofErr w:type="spellStart"/>
      <w:r>
        <w:rPr>
          <w:rFonts w:ascii="Verdana" w:hAnsi="Verdana"/>
          <w:sz w:val="24"/>
          <w:szCs w:val="24"/>
        </w:rPr>
        <w:t>Vilikazi</w:t>
      </w:r>
      <w:proofErr w:type="spellEnd"/>
      <w:r>
        <w:rPr>
          <w:rFonts w:ascii="Verdana" w:hAnsi="Verdana"/>
          <w:sz w:val="24"/>
          <w:szCs w:val="24"/>
        </w:rPr>
        <w:t>, who initially interpreted these proceedings was not available for the proceedings on the 30 May 2022. On this date 2 casual interpreters were engaged</w:t>
      </w:r>
      <w:r w:rsidR="00BC504F">
        <w:rPr>
          <w:rFonts w:ascii="Verdana" w:hAnsi="Verdana"/>
          <w:sz w:val="24"/>
          <w:szCs w:val="24"/>
        </w:rPr>
        <w:t>. The first to interpret in the Setswana language and the second to interpret in the Sesotho language. The casual interpreters were duly and properly sworn in on the date in question.</w:t>
      </w:r>
    </w:p>
    <w:p w14:paraId="36E1C468" w14:textId="77777777" w:rsidR="00BC504F" w:rsidRPr="00BC504F" w:rsidRDefault="00BC504F" w:rsidP="00E63C9B">
      <w:pPr>
        <w:pStyle w:val="ListParagraph"/>
        <w:jc w:val="both"/>
        <w:rPr>
          <w:rFonts w:ascii="Verdana" w:hAnsi="Verdana"/>
          <w:sz w:val="24"/>
          <w:szCs w:val="24"/>
        </w:rPr>
      </w:pPr>
    </w:p>
    <w:p w14:paraId="31E29FC4" w14:textId="20FB321D" w:rsidR="00FE5F93" w:rsidRDefault="00BC504F"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As stated above, the accused gave evidence in the trial-within-a-trial-proceedings,</w:t>
      </w:r>
      <w:r w:rsidR="00516530">
        <w:rPr>
          <w:rFonts w:ascii="Verdana" w:hAnsi="Verdana"/>
          <w:sz w:val="24"/>
          <w:szCs w:val="24"/>
        </w:rPr>
        <w:t xml:space="preserve"> </w:t>
      </w:r>
      <w:r>
        <w:rPr>
          <w:rFonts w:ascii="Verdana" w:hAnsi="Verdana"/>
          <w:sz w:val="24"/>
          <w:szCs w:val="24"/>
        </w:rPr>
        <w:t xml:space="preserve">during her cross-examination the record of the transcript reveals that the Prosecutor put to the accused </w:t>
      </w:r>
      <w:r w:rsidR="00B26AA5">
        <w:rPr>
          <w:rFonts w:ascii="Verdana" w:hAnsi="Verdana"/>
          <w:sz w:val="24"/>
          <w:szCs w:val="24"/>
        </w:rPr>
        <w:t>that she was avoiding or evading his questions</w:t>
      </w:r>
      <w:r w:rsidR="000557E9">
        <w:rPr>
          <w:rFonts w:ascii="Verdana" w:hAnsi="Verdana"/>
          <w:sz w:val="24"/>
          <w:szCs w:val="24"/>
        </w:rPr>
        <w:t xml:space="preserve">. It emerged from this process that the accused did not understand the Sesotho interpreter. </w:t>
      </w:r>
    </w:p>
    <w:p w14:paraId="22D1265F" w14:textId="77777777" w:rsidR="000557E9" w:rsidRPr="000557E9" w:rsidRDefault="000557E9" w:rsidP="00E63C9B">
      <w:pPr>
        <w:pStyle w:val="ListParagraph"/>
        <w:jc w:val="both"/>
        <w:rPr>
          <w:rFonts w:ascii="Verdana" w:hAnsi="Verdana"/>
          <w:sz w:val="24"/>
          <w:szCs w:val="24"/>
        </w:rPr>
      </w:pPr>
    </w:p>
    <w:p w14:paraId="5FBE4E5D" w14:textId="779EB45A" w:rsidR="000557E9" w:rsidRDefault="000557E9"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When this emerged, the learned trial Magistrate stopped the proceedings and ordered Mr </w:t>
      </w:r>
      <w:proofErr w:type="spellStart"/>
      <w:r>
        <w:rPr>
          <w:rFonts w:ascii="Verdana" w:hAnsi="Verdana"/>
          <w:sz w:val="24"/>
          <w:szCs w:val="24"/>
        </w:rPr>
        <w:t>Vilikazi</w:t>
      </w:r>
      <w:proofErr w:type="spellEnd"/>
      <w:r>
        <w:rPr>
          <w:rFonts w:ascii="Verdana" w:hAnsi="Verdana"/>
          <w:sz w:val="24"/>
          <w:szCs w:val="24"/>
        </w:rPr>
        <w:t>, the original and senior interpreter to listen to the relevant recordings.</w:t>
      </w:r>
    </w:p>
    <w:p w14:paraId="1E79E911" w14:textId="5CB967D6" w:rsidR="000557E9" w:rsidRDefault="000557E9"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 xml:space="preserve">Mr </w:t>
      </w:r>
      <w:proofErr w:type="spellStart"/>
      <w:r>
        <w:rPr>
          <w:rFonts w:ascii="Verdana" w:hAnsi="Verdana"/>
          <w:sz w:val="24"/>
          <w:szCs w:val="24"/>
        </w:rPr>
        <w:t>Vilikazi</w:t>
      </w:r>
      <w:proofErr w:type="spellEnd"/>
      <w:r>
        <w:rPr>
          <w:rFonts w:ascii="Verdana" w:hAnsi="Verdana"/>
          <w:sz w:val="24"/>
          <w:szCs w:val="24"/>
        </w:rPr>
        <w:t xml:space="preserve"> </w:t>
      </w:r>
      <w:proofErr w:type="spellStart"/>
      <w:r>
        <w:rPr>
          <w:rFonts w:ascii="Verdana" w:hAnsi="Verdana"/>
          <w:sz w:val="24"/>
          <w:szCs w:val="24"/>
        </w:rPr>
        <w:t>listended</w:t>
      </w:r>
      <w:proofErr w:type="spellEnd"/>
      <w:r>
        <w:rPr>
          <w:rFonts w:ascii="Verdana" w:hAnsi="Verdana"/>
          <w:sz w:val="24"/>
          <w:szCs w:val="24"/>
        </w:rPr>
        <w:t xml:space="preserve"> to the recording of the proceedings of the 30 May 2022. He was then called as a witness by the learned trial Magistrate on the 5 July 2022. </w:t>
      </w:r>
      <w:r w:rsidR="00B54FCD">
        <w:rPr>
          <w:rFonts w:ascii="Verdana" w:hAnsi="Verdana"/>
          <w:sz w:val="24"/>
          <w:szCs w:val="24"/>
        </w:rPr>
        <w:t xml:space="preserve">After being sworn-in Mr </w:t>
      </w:r>
      <w:proofErr w:type="spellStart"/>
      <w:r w:rsidR="00B54FCD">
        <w:rPr>
          <w:rFonts w:ascii="Verdana" w:hAnsi="Verdana"/>
          <w:sz w:val="24"/>
          <w:szCs w:val="24"/>
        </w:rPr>
        <w:t>Vilikazi</w:t>
      </w:r>
      <w:proofErr w:type="spellEnd"/>
      <w:r w:rsidR="00B54FCD">
        <w:rPr>
          <w:rFonts w:ascii="Verdana" w:hAnsi="Verdana"/>
          <w:sz w:val="24"/>
          <w:szCs w:val="24"/>
        </w:rPr>
        <w:t xml:space="preserve"> dealt with the interpretation of the questions put to the accused and her responses to such questions. Mr </w:t>
      </w:r>
      <w:proofErr w:type="spellStart"/>
      <w:r w:rsidR="00B54FCD">
        <w:rPr>
          <w:rFonts w:ascii="Verdana" w:hAnsi="Verdana"/>
          <w:sz w:val="24"/>
          <w:szCs w:val="24"/>
        </w:rPr>
        <w:t>Vilikazi</w:t>
      </w:r>
      <w:proofErr w:type="spellEnd"/>
      <w:r w:rsidR="00B54FCD">
        <w:rPr>
          <w:rFonts w:ascii="Verdana" w:hAnsi="Verdana"/>
          <w:sz w:val="24"/>
          <w:szCs w:val="24"/>
        </w:rPr>
        <w:t xml:space="preserve"> highlighted several errors. For present purposes, the body of Mr </w:t>
      </w:r>
      <w:proofErr w:type="spellStart"/>
      <w:r w:rsidR="00B54FCD">
        <w:rPr>
          <w:rFonts w:ascii="Verdana" w:hAnsi="Verdana"/>
          <w:sz w:val="24"/>
          <w:szCs w:val="24"/>
        </w:rPr>
        <w:t>Vilikazi’s</w:t>
      </w:r>
      <w:proofErr w:type="spellEnd"/>
      <w:r w:rsidR="00B54FCD">
        <w:rPr>
          <w:rFonts w:ascii="Verdana" w:hAnsi="Verdana"/>
          <w:sz w:val="24"/>
          <w:szCs w:val="24"/>
        </w:rPr>
        <w:t xml:space="preserve"> evidence is best summed up by two questions put to him by the learned trial Magistrate and his responses to such questions. The relevant passages of the transcript r</w:t>
      </w:r>
      <w:bookmarkStart w:id="0" w:name="_GoBack"/>
      <w:bookmarkEnd w:id="0"/>
      <w:r w:rsidR="00B54FCD">
        <w:rPr>
          <w:rFonts w:ascii="Verdana" w:hAnsi="Verdana"/>
          <w:sz w:val="24"/>
          <w:szCs w:val="24"/>
        </w:rPr>
        <w:t xml:space="preserve">ead as follows: </w:t>
      </w:r>
    </w:p>
    <w:p w14:paraId="2F6047DE" w14:textId="52A364E9" w:rsidR="00486F16" w:rsidRDefault="00486F16" w:rsidP="00E63C9B">
      <w:pPr>
        <w:pStyle w:val="ListParagraph"/>
        <w:ind w:left="1276" w:hanging="709"/>
        <w:jc w:val="both"/>
        <w:rPr>
          <w:rFonts w:ascii="Verdana" w:hAnsi="Verdana"/>
          <w:sz w:val="24"/>
          <w:szCs w:val="24"/>
        </w:rPr>
      </w:pPr>
      <w:r>
        <w:rPr>
          <w:rFonts w:ascii="Verdana" w:hAnsi="Verdana"/>
          <w:sz w:val="24"/>
          <w:szCs w:val="24"/>
        </w:rPr>
        <w:t>HOF:</w:t>
      </w:r>
      <w:r>
        <w:rPr>
          <w:rFonts w:ascii="Verdana" w:hAnsi="Verdana"/>
          <w:sz w:val="24"/>
          <w:szCs w:val="24"/>
        </w:rPr>
        <w:tab/>
      </w:r>
      <w:r w:rsidR="00E63C9B">
        <w:rPr>
          <w:rFonts w:ascii="Verdana" w:hAnsi="Verdana"/>
          <w:sz w:val="24"/>
          <w:szCs w:val="24"/>
        </w:rPr>
        <w:tab/>
      </w:r>
      <w:r>
        <w:rPr>
          <w:rFonts w:ascii="Verdana" w:hAnsi="Verdana"/>
          <w:sz w:val="24"/>
          <w:szCs w:val="24"/>
        </w:rPr>
        <w:t xml:space="preserve">“…Die </w:t>
      </w:r>
      <w:proofErr w:type="spellStart"/>
      <w:r>
        <w:rPr>
          <w:rFonts w:ascii="Verdana" w:hAnsi="Verdana"/>
          <w:sz w:val="24"/>
          <w:szCs w:val="24"/>
        </w:rPr>
        <w:t>belangrikste</w:t>
      </w:r>
      <w:proofErr w:type="spellEnd"/>
      <w:r>
        <w:rPr>
          <w:rFonts w:ascii="Verdana" w:hAnsi="Verdana"/>
          <w:sz w:val="24"/>
          <w:szCs w:val="24"/>
        </w:rPr>
        <w:t xml:space="preserve"> </w:t>
      </w:r>
      <w:proofErr w:type="spellStart"/>
      <w:r>
        <w:rPr>
          <w:rFonts w:ascii="Verdana" w:hAnsi="Verdana"/>
          <w:sz w:val="24"/>
          <w:szCs w:val="24"/>
        </w:rPr>
        <w:t>vraag</w:t>
      </w:r>
      <w:proofErr w:type="spellEnd"/>
      <w:r>
        <w:rPr>
          <w:rFonts w:ascii="Verdana" w:hAnsi="Verdana"/>
          <w:sz w:val="24"/>
          <w:szCs w:val="24"/>
        </w:rPr>
        <w:t xml:space="preserve"> in </w:t>
      </w:r>
      <w:proofErr w:type="spellStart"/>
      <w:r>
        <w:rPr>
          <w:rFonts w:ascii="Verdana" w:hAnsi="Verdana"/>
          <w:sz w:val="24"/>
          <w:szCs w:val="24"/>
        </w:rPr>
        <w:t>hierdie</w:t>
      </w:r>
      <w:proofErr w:type="spellEnd"/>
      <w:r>
        <w:rPr>
          <w:rFonts w:ascii="Verdana" w:hAnsi="Verdana"/>
          <w:sz w:val="24"/>
          <w:szCs w:val="24"/>
        </w:rPr>
        <w:t xml:space="preserve"> </w:t>
      </w:r>
      <w:proofErr w:type="spellStart"/>
      <w:r>
        <w:rPr>
          <w:rFonts w:ascii="Verdana" w:hAnsi="Verdana"/>
          <w:sz w:val="24"/>
          <w:szCs w:val="24"/>
        </w:rPr>
        <w:t>saak</w:t>
      </w:r>
      <w:proofErr w:type="spellEnd"/>
      <w:r>
        <w:rPr>
          <w:rFonts w:ascii="Verdana" w:hAnsi="Verdana"/>
          <w:sz w:val="24"/>
          <w:szCs w:val="24"/>
        </w:rPr>
        <w:t xml:space="preserve"> is </w:t>
      </w:r>
      <w:proofErr w:type="spellStart"/>
      <w:r>
        <w:rPr>
          <w:rFonts w:ascii="Verdana" w:hAnsi="Verdana"/>
          <w:sz w:val="24"/>
          <w:szCs w:val="24"/>
        </w:rPr>
        <w:t>alles</w:t>
      </w:r>
      <w:proofErr w:type="spellEnd"/>
      <w:r>
        <w:rPr>
          <w:rFonts w:ascii="Verdana" w:hAnsi="Verdana"/>
          <w:sz w:val="24"/>
          <w:szCs w:val="24"/>
        </w:rPr>
        <w:t xml:space="preserve"> dui </w:t>
      </w:r>
      <w:proofErr w:type="spellStart"/>
      <w:r>
        <w:rPr>
          <w:rFonts w:ascii="Verdana" w:hAnsi="Verdana"/>
          <w:sz w:val="24"/>
          <w:szCs w:val="24"/>
        </w:rPr>
        <w:t>daarop</w:t>
      </w:r>
      <w:proofErr w:type="spellEnd"/>
      <w:r>
        <w:rPr>
          <w:rFonts w:ascii="Verdana" w:hAnsi="Verdana"/>
          <w:sz w:val="24"/>
          <w:szCs w:val="24"/>
        </w:rPr>
        <w:t xml:space="preserve"> </w:t>
      </w:r>
      <w:proofErr w:type="spellStart"/>
      <w:r>
        <w:rPr>
          <w:rFonts w:ascii="Verdana" w:hAnsi="Verdana"/>
          <w:sz w:val="24"/>
          <w:szCs w:val="24"/>
        </w:rPr>
        <w:t>dat</w:t>
      </w:r>
      <w:proofErr w:type="spellEnd"/>
      <w:r>
        <w:rPr>
          <w:rFonts w:ascii="Verdana" w:hAnsi="Verdana"/>
          <w:sz w:val="24"/>
          <w:szCs w:val="24"/>
        </w:rPr>
        <w:t xml:space="preserve"> </w:t>
      </w:r>
      <w:proofErr w:type="spellStart"/>
      <w:r>
        <w:rPr>
          <w:rFonts w:ascii="Verdana" w:hAnsi="Verdana"/>
          <w:sz w:val="24"/>
          <w:szCs w:val="24"/>
        </w:rPr>
        <w:t>sover</w:t>
      </w:r>
      <w:proofErr w:type="spellEnd"/>
      <w:r>
        <w:rPr>
          <w:rFonts w:ascii="Verdana" w:hAnsi="Verdana"/>
          <w:sz w:val="24"/>
          <w:szCs w:val="24"/>
        </w:rPr>
        <w:t xml:space="preserve"> </w:t>
      </w:r>
      <w:proofErr w:type="spellStart"/>
      <w:proofErr w:type="gramStart"/>
      <w:r>
        <w:rPr>
          <w:rFonts w:ascii="Verdana" w:hAnsi="Verdana"/>
          <w:sz w:val="24"/>
          <w:szCs w:val="24"/>
        </w:rPr>
        <w:t>bly</w:t>
      </w:r>
      <w:proofErr w:type="spellEnd"/>
      <w:proofErr w:type="gramEnd"/>
      <w:r>
        <w:rPr>
          <w:rFonts w:ascii="Verdana" w:hAnsi="Verdana"/>
          <w:sz w:val="24"/>
          <w:szCs w:val="24"/>
        </w:rPr>
        <w:t xml:space="preserve"> </w:t>
      </w:r>
      <w:proofErr w:type="spellStart"/>
      <w:r>
        <w:rPr>
          <w:rFonts w:ascii="Verdana" w:hAnsi="Verdana"/>
          <w:sz w:val="24"/>
          <w:szCs w:val="24"/>
        </w:rPr>
        <w:t>dit</w:t>
      </w:r>
      <w:proofErr w:type="spellEnd"/>
      <w:r>
        <w:rPr>
          <w:rFonts w:ascii="Verdana" w:hAnsi="Verdana"/>
          <w:sz w:val="24"/>
          <w:szCs w:val="24"/>
        </w:rPr>
        <w:t xml:space="preserve"> </w:t>
      </w:r>
      <w:proofErr w:type="spellStart"/>
      <w:r>
        <w:rPr>
          <w:rFonts w:ascii="Verdana" w:hAnsi="Verdana"/>
          <w:sz w:val="24"/>
          <w:szCs w:val="24"/>
        </w:rPr>
        <w:t>te</w:t>
      </w:r>
      <w:proofErr w:type="spellEnd"/>
      <w:r>
        <w:rPr>
          <w:rFonts w:ascii="Verdana" w:hAnsi="Verdana"/>
          <w:sz w:val="24"/>
          <w:szCs w:val="24"/>
        </w:rPr>
        <w:t xml:space="preserve"> wees as </w:t>
      </w:r>
      <w:proofErr w:type="spellStart"/>
      <w:r>
        <w:rPr>
          <w:rFonts w:ascii="Verdana" w:hAnsi="Verdana"/>
          <w:sz w:val="24"/>
          <w:szCs w:val="24"/>
        </w:rPr>
        <w:t>gevolg</w:t>
      </w:r>
      <w:proofErr w:type="spellEnd"/>
      <w:r>
        <w:rPr>
          <w:rFonts w:ascii="Verdana" w:hAnsi="Verdana"/>
          <w:sz w:val="24"/>
          <w:szCs w:val="24"/>
        </w:rPr>
        <w:t xml:space="preserve"> van die </w:t>
      </w:r>
      <w:proofErr w:type="spellStart"/>
      <w:r>
        <w:rPr>
          <w:rFonts w:ascii="Verdana" w:hAnsi="Verdana"/>
          <w:sz w:val="24"/>
          <w:szCs w:val="24"/>
        </w:rPr>
        <w:t>tolk</w:t>
      </w:r>
      <w:proofErr w:type="spellEnd"/>
      <w:r>
        <w:rPr>
          <w:rFonts w:ascii="Verdana" w:hAnsi="Verdana"/>
          <w:sz w:val="24"/>
          <w:szCs w:val="24"/>
        </w:rPr>
        <w:t xml:space="preserve"> </w:t>
      </w:r>
      <w:proofErr w:type="spellStart"/>
      <w:r>
        <w:rPr>
          <w:rFonts w:ascii="Verdana" w:hAnsi="Verdana"/>
          <w:sz w:val="24"/>
          <w:szCs w:val="24"/>
        </w:rPr>
        <w:t>situasie</w:t>
      </w:r>
      <w:proofErr w:type="spellEnd"/>
      <w:r w:rsidR="00300CDF">
        <w:rPr>
          <w:rFonts w:ascii="Verdana" w:hAnsi="Verdana"/>
          <w:sz w:val="24"/>
          <w:szCs w:val="24"/>
        </w:rPr>
        <w:t xml:space="preserve"> </w:t>
      </w:r>
      <w:proofErr w:type="spellStart"/>
      <w:r w:rsidR="00300CDF">
        <w:rPr>
          <w:rFonts w:ascii="Verdana" w:hAnsi="Verdana"/>
          <w:sz w:val="24"/>
          <w:szCs w:val="24"/>
        </w:rPr>
        <w:t>dat</w:t>
      </w:r>
      <w:proofErr w:type="spellEnd"/>
      <w:r w:rsidR="00300CDF">
        <w:rPr>
          <w:rFonts w:ascii="Verdana" w:hAnsi="Verdana"/>
          <w:sz w:val="24"/>
          <w:szCs w:val="24"/>
        </w:rPr>
        <w:t xml:space="preserve"> </w:t>
      </w:r>
      <w:proofErr w:type="spellStart"/>
      <w:r w:rsidR="00300CDF">
        <w:rPr>
          <w:rFonts w:ascii="Verdana" w:hAnsi="Verdana"/>
          <w:sz w:val="24"/>
          <w:szCs w:val="24"/>
        </w:rPr>
        <w:t>daar</w:t>
      </w:r>
      <w:proofErr w:type="spellEnd"/>
      <w:r w:rsidR="00300CDF">
        <w:rPr>
          <w:rFonts w:ascii="Verdana" w:hAnsi="Verdana"/>
          <w:sz w:val="24"/>
          <w:szCs w:val="24"/>
        </w:rPr>
        <w:t xml:space="preserve"> ŉ </w:t>
      </w:r>
      <w:proofErr w:type="spellStart"/>
      <w:r w:rsidR="00300CDF">
        <w:rPr>
          <w:rFonts w:ascii="Verdana" w:hAnsi="Verdana"/>
          <w:sz w:val="24"/>
          <w:szCs w:val="24"/>
        </w:rPr>
        <w:t>moontlikheid</w:t>
      </w:r>
      <w:proofErr w:type="spellEnd"/>
      <w:r w:rsidR="00300CDF">
        <w:rPr>
          <w:rFonts w:ascii="Verdana" w:hAnsi="Verdana"/>
          <w:sz w:val="24"/>
          <w:szCs w:val="24"/>
        </w:rPr>
        <w:t xml:space="preserve"> is </w:t>
      </w:r>
      <w:proofErr w:type="spellStart"/>
      <w:r w:rsidR="00300CDF">
        <w:rPr>
          <w:rFonts w:ascii="Verdana" w:hAnsi="Verdana"/>
          <w:sz w:val="24"/>
          <w:szCs w:val="24"/>
        </w:rPr>
        <w:t>dat</w:t>
      </w:r>
      <w:proofErr w:type="spellEnd"/>
      <w:r w:rsidR="00300CDF">
        <w:rPr>
          <w:rFonts w:ascii="Verdana" w:hAnsi="Verdana"/>
          <w:sz w:val="24"/>
          <w:szCs w:val="24"/>
        </w:rPr>
        <w:t xml:space="preserve"> </w:t>
      </w:r>
      <w:proofErr w:type="spellStart"/>
      <w:r w:rsidR="00300CDF">
        <w:rPr>
          <w:rFonts w:ascii="Verdana" w:hAnsi="Verdana"/>
          <w:sz w:val="24"/>
          <w:szCs w:val="24"/>
        </w:rPr>
        <w:t>juffrou</w:t>
      </w:r>
      <w:proofErr w:type="spellEnd"/>
      <w:r w:rsidR="00300CDF">
        <w:rPr>
          <w:rFonts w:ascii="Verdana" w:hAnsi="Verdana"/>
          <w:sz w:val="24"/>
          <w:szCs w:val="24"/>
        </w:rPr>
        <w:t xml:space="preserve"> </w:t>
      </w:r>
      <w:proofErr w:type="spellStart"/>
      <w:r w:rsidR="00300CDF">
        <w:rPr>
          <w:rFonts w:ascii="Verdana" w:hAnsi="Verdana"/>
          <w:sz w:val="24"/>
          <w:szCs w:val="24"/>
        </w:rPr>
        <w:t>Kotole</w:t>
      </w:r>
      <w:proofErr w:type="spellEnd"/>
      <w:r w:rsidR="00300CDF">
        <w:rPr>
          <w:rFonts w:ascii="Verdana" w:hAnsi="Verdana"/>
          <w:sz w:val="24"/>
          <w:szCs w:val="24"/>
        </w:rPr>
        <w:t xml:space="preserve"> in </w:t>
      </w:r>
      <w:proofErr w:type="spellStart"/>
      <w:r w:rsidR="00300CDF">
        <w:rPr>
          <w:rFonts w:ascii="Verdana" w:hAnsi="Verdana"/>
          <w:sz w:val="24"/>
          <w:szCs w:val="24"/>
        </w:rPr>
        <w:t>hierdie</w:t>
      </w:r>
      <w:proofErr w:type="spellEnd"/>
      <w:r w:rsidR="00300CDF">
        <w:rPr>
          <w:rFonts w:ascii="Verdana" w:hAnsi="Verdana"/>
          <w:sz w:val="24"/>
          <w:szCs w:val="24"/>
        </w:rPr>
        <w:t xml:space="preserve"> </w:t>
      </w:r>
      <w:proofErr w:type="spellStart"/>
      <w:r w:rsidR="00300CDF">
        <w:rPr>
          <w:rFonts w:ascii="Verdana" w:hAnsi="Verdana"/>
          <w:sz w:val="24"/>
          <w:szCs w:val="24"/>
        </w:rPr>
        <w:t>omstandighede</w:t>
      </w:r>
      <w:proofErr w:type="spellEnd"/>
      <w:r w:rsidR="00300CDF">
        <w:rPr>
          <w:rFonts w:ascii="Verdana" w:hAnsi="Verdana"/>
          <w:sz w:val="24"/>
          <w:szCs w:val="24"/>
        </w:rPr>
        <w:t xml:space="preserve"> </w:t>
      </w:r>
      <w:proofErr w:type="spellStart"/>
      <w:r w:rsidR="00300CDF">
        <w:rPr>
          <w:rFonts w:ascii="Verdana" w:hAnsi="Verdana"/>
          <w:sz w:val="24"/>
          <w:szCs w:val="24"/>
        </w:rPr>
        <w:t>benadeel</w:t>
      </w:r>
      <w:proofErr w:type="spellEnd"/>
      <w:r w:rsidR="00300CDF">
        <w:rPr>
          <w:rFonts w:ascii="Verdana" w:hAnsi="Verdana"/>
          <w:sz w:val="24"/>
          <w:szCs w:val="24"/>
        </w:rPr>
        <w:t xml:space="preserve"> </w:t>
      </w:r>
      <w:proofErr w:type="spellStart"/>
      <w:r w:rsidR="00300CDF">
        <w:rPr>
          <w:rFonts w:ascii="Verdana" w:hAnsi="Verdana"/>
          <w:sz w:val="24"/>
          <w:szCs w:val="24"/>
        </w:rPr>
        <w:t>kan</w:t>
      </w:r>
      <w:proofErr w:type="spellEnd"/>
      <w:r w:rsidR="00300CDF">
        <w:rPr>
          <w:rFonts w:ascii="Verdana" w:hAnsi="Verdana"/>
          <w:sz w:val="24"/>
          <w:szCs w:val="24"/>
        </w:rPr>
        <w:t xml:space="preserve"> word.”</w:t>
      </w:r>
    </w:p>
    <w:p w14:paraId="7BC5A61F" w14:textId="29811A42" w:rsidR="00300CDF" w:rsidRDefault="00E63C9B" w:rsidP="00E63C9B">
      <w:pPr>
        <w:pStyle w:val="ListParagraph"/>
        <w:ind w:left="1276" w:hanging="709"/>
        <w:jc w:val="both"/>
        <w:rPr>
          <w:rFonts w:ascii="Verdana" w:hAnsi="Verdana"/>
          <w:sz w:val="24"/>
          <w:szCs w:val="24"/>
        </w:rPr>
      </w:pPr>
      <w:r>
        <w:rPr>
          <w:rFonts w:ascii="Verdana" w:hAnsi="Verdana"/>
          <w:sz w:val="24"/>
          <w:szCs w:val="24"/>
        </w:rPr>
        <w:t xml:space="preserve">    </w:t>
      </w:r>
      <w:r>
        <w:rPr>
          <w:rFonts w:ascii="Verdana" w:hAnsi="Verdana"/>
          <w:sz w:val="24"/>
          <w:szCs w:val="24"/>
        </w:rPr>
        <w:tab/>
      </w:r>
      <w:proofErr w:type="spellStart"/>
      <w:r w:rsidR="00300CDF">
        <w:rPr>
          <w:rFonts w:ascii="Verdana" w:hAnsi="Verdana"/>
          <w:sz w:val="24"/>
          <w:szCs w:val="24"/>
        </w:rPr>
        <w:t>Mnr</w:t>
      </w:r>
      <w:proofErr w:type="spellEnd"/>
      <w:r w:rsidR="00300CDF">
        <w:rPr>
          <w:rFonts w:ascii="Verdana" w:hAnsi="Verdana"/>
          <w:sz w:val="24"/>
          <w:szCs w:val="24"/>
        </w:rPr>
        <w:t xml:space="preserve"> </w:t>
      </w:r>
      <w:proofErr w:type="spellStart"/>
      <w:r w:rsidR="00300CDF">
        <w:rPr>
          <w:rFonts w:ascii="Verdana" w:hAnsi="Verdana"/>
          <w:sz w:val="24"/>
          <w:szCs w:val="24"/>
        </w:rPr>
        <w:t>Vilikazi</w:t>
      </w:r>
      <w:proofErr w:type="spellEnd"/>
      <w:r w:rsidR="00300CDF">
        <w:rPr>
          <w:rFonts w:ascii="Verdana" w:hAnsi="Verdana"/>
          <w:sz w:val="24"/>
          <w:szCs w:val="24"/>
        </w:rPr>
        <w:t>:</w:t>
      </w:r>
      <w:r w:rsidR="00300CDF">
        <w:rPr>
          <w:rFonts w:ascii="Verdana" w:hAnsi="Verdana"/>
          <w:sz w:val="24"/>
          <w:szCs w:val="24"/>
        </w:rPr>
        <w:tab/>
        <w:t xml:space="preserve">“Met </w:t>
      </w:r>
      <w:proofErr w:type="spellStart"/>
      <w:r w:rsidR="00300CDF">
        <w:rPr>
          <w:rFonts w:ascii="Verdana" w:hAnsi="Verdana"/>
          <w:sz w:val="24"/>
          <w:szCs w:val="24"/>
        </w:rPr>
        <w:t>daardie</w:t>
      </w:r>
      <w:proofErr w:type="spellEnd"/>
      <w:r w:rsidR="00300CDF">
        <w:rPr>
          <w:rFonts w:ascii="Verdana" w:hAnsi="Verdana"/>
          <w:sz w:val="24"/>
          <w:szCs w:val="24"/>
        </w:rPr>
        <w:t xml:space="preserve"> </w:t>
      </w:r>
      <w:proofErr w:type="spellStart"/>
      <w:r w:rsidR="00300CDF">
        <w:rPr>
          <w:rFonts w:ascii="Verdana" w:hAnsi="Verdana"/>
          <w:sz w:val="24"/>
          <w:szCs w:val="24"/>
        </w:rPr>
        <w:t>tolk</w:t>
      </w:r>
      <w:proofErr w:type="spellEnd"/>
      <w:r w:rsidR="00300CDF">
        <w:rPr>
          <w:rFonts w:ascii="Verdana" w:hAnsi="Verdana"/>
          <w:sz w:val="24"/>
          <w:szCs w:val="24"/>
        </w:rPr>
        <w:t xml:space="preserve"> </w:t>
      </w:r>
      <w:proofErr w:type="spellStart"/>
      <w:r w:rsidR="00300CDF">
        <w:rPr>
          <w:rFonts w:ascii="Verdana" w:hAnsi="Verdana"/>
          <w:sz w:val="24"/>
          <w:szCs w:val="24"/>
        </w:rPr>
        <w:t>Agbare</w:t>
      </w:r>
      <w:proofErr w:type="spellEnd"/>
      <w:r w:rsidR="00300CDF">
        <w:rPr>
          <w:rFonts w:ascii="Verdana" w:hAnsi="Verdana"/>
          <w:sz w:val="24"/>
          <w:szCs w:val="24"/>
        </w:rPr>
        <w:t xml:space="preserve"> </w:t>
      </w:r>
      <w:proofErr w:type="spellStart"/>
      <w:r w:rsidR="00300CDF">
        <w:rPr>
          <w:rFonts w:ascii="Verdana" w:hAnsi="Verdana"/>
          <w:sz w:val="24"/>
          <w:szCs w:val="24"/>
        </w:rPr>
        <w:t>ja</w:t>
      </w:r>
      <w:proofErr w:type="spellEnd"/>
      <w:proofErr w:type="gramStart"/>
      <w:r w:rsidR="00300CDF">
        <w:rPr>
          <w:rFonts w:ascii="Verdana" w:hAnsi="Verdana"/>
          <w:sz w:val="24"/>
          <w:szCs w:val="24"/>
        </w:rPr>
        <w:t>,…</w:t>
      </w:r>
      <w:proofErr w:type="gramEnd"/>
      <w:r w:rsidR="00300CDF">
        <w:rPr>
          <w:rFonts w:ascii="Verdana" w:hAnsi="Verdana"/>
          <w:sz w:val="24"/>
          <w:szCs w:val="24"/>
        </w:rPr>
        <w:t>”</w:t>
      </w:r>
    </w:p>
    <w:p w14:paraId="2AA300E9" w14:textId="4A66AE28" w:rsidR="00300CDF" w:rsidRDefault="00300CDF" w:rsidP="00E63C9B">
      <w:pPr>
        <w:pStyle w:val="ListParagraph"/>
        <w:ind w:left="1276" w:hanging="709"/>
        <w:jc w:val="both"/>
        <w:rPr>
          <w:rFonts w:ascii="Verdana" w:hAnsi="Verdana"/>
          <w:sz w:val="24"/>
          <w:szCs w:val="24"/>
        </w:rPr>
      </w:pPr>
    </w:p>
    <w:p w14:paraId="60340142" w14:textId="4DD18AB3" w:rsidR="00300CDF" w:rsidRDefault="00E63C9B" w:rsidP="00E63C9B">
      <w:pPr>
        <w:pStyle w:val="ListParagraph"/>
        <w:ind w:left="1276" w:hanging="709"/>
        <w:jc w:val="both"/>
        <w:rPr>
          <w:rFonts w:ascii="Verdana" w:hAnsi="Verdana"/>
          <w:sz w:val="24"/>
          <w:szCs w:val="24"/>
        </w:rPr>
      </w:pPr>
      <w:r>
        <w:rPr>
          <w:rFonts w:ascii="Verdana" w:hAnsi="Verdana"/>
          <w:sz w:val="24"/>
          <w:szCs w:val="24"/>
        </w:rPr>
        <w:t>HOF:</w:t>
      </w:r>
      <w:r>
        <w:rPr>
          <w:rFonts w:ascii="Verdana" w:hAnsi="Verdana"/>
          <w:sz w:val="24"/>
          <w:szCs w:val="24"/>
        </w:rPr>
        <w:tab/>
      </w:r>
      <w:r>
        <w:rPr>
          <w:rFonts w:ascii="Verdana" w:hAnsi="Verdana"/>
          <w:sz w:val="24"/>
          <w:szCs w:val="24"/>
        </w:rPr>
        <w:tab/>
      </w:r>
      <w:r w:rsidR="00300CDF">
        <w:rPr>
          <w:rFonts w:ascii="Verdana" w:hAnsi="Verdana"/>
          <w:sz w:val="24"/>
          <w:szCs w:val="24"/>
        </w:rPr>
        <w:t>“</w:t>
      </w:r>
      <w:proofErr w:type="spellStart"/>
      <w:r w:rsidR="00300CDF">
        <w:rPr>
          <w:rFonts w:ascii="Verdana" w:hAnsi="Verdana"/>
          <w:sz w:val="24"/>
          <w:szCs w:val="24"/>
        </w:rPr>
        <w:t>Goed</w:t>
      </w:r>
      <w:proofErr w:type="spellEnd"/>
      <w:r w:rsidR="00300CDF">
        <w:rPr>
          <w:rFonts w:ascii="Verdana" w:hAnsi="Verdana"/>
          <w:sz w:val="24"/>
          <w:szCs w:val="24"/>
        </w:rPr>
        <w:t xml:space="preserve">, my problem is net is (sic) </w:t>
      </w:r>
      <w:proofErr w:type="spellStart"/>
      <w:r w:rsidR="00300CDF">
        <w:rPr>
          <w:rFonts w:ascii="Verdana" w:hAnsi="Verdana"/>
          <w:sz w:val="24"/>
          <w:szCs w:val="24"/>
        </w:rPr>
        <w:t>dat</w:t>
      </w:r>
      <w:proofErr w:type="spellEnd"/>
      <w:r w:rsidR="00300CDF">
        <w:rPr>
          <w:rFonts w:ascii="Verdana" w:hAnsi="Verdana"/>
          <w:sz w:val="24"/>
          <w:szCs w:val="24"/>
        </w:rPr>
        <w:t xml:space="preserve"> </w:t>
      </w:r>
      <w:proofErr w:type="spellStart"/>
      <w:r w:rsidR="00300CDF">
        <w:rPr>
          <w:rFonts w:ascii="Verdana" w:hAnsi="Verdana"/>
          <w:sz w:val="24"/>
          <w:szCs w:val="24"/>
        </w:rPr>
        <w:t>daar</w:t>
      </w:r>
      <w:proofErr w:type="spellEnd"/>
      <w:r w:rsidR="00300CDF">
        <w:rPr>
          <w:rFonts w:ascii="Verdana" w:hAnsi="Verdana"/>
          <w:sz w:val="24"/>
          <w:szCs w:val="24"/>
        </w:rPr>
        <w:t xml:space="preserve"> is </w:t>
      </w:r>
      <w:proofErr w:type="spellStart"/>
      <w:r w:rsidR="00300CDF">
        <w:rPr>
          <w:rFonts w:ascii="Verdana" w:hAnsi="Verdana"/>
          <w:sz w:val="24"/>
          <w:szCs w:val="24"/>
        </w:rPr>
        <w:t>nou</w:t>
      </w:r>
      <w:proofErr w:type="spellEnd"/>
      <w:r w:rsidR="00300CDF">
        <w:rPr>
          <w:rFonts w:ascii="Verdana" w:hAnsi="Verdana"/>
          <w:sz w:val="24"/>
          <w:szCs w:val="24"/>
        </w:rPr>
        <w:t xml:space="preserve"> </w:t>
      </w:r>
      <w:proofErr w:type="spellStart"/>
      <w:r w:rsidR="00300CDF">
        <w:rPr>
          <w:rFonts w:ascii="Verdana" w:hAnsi="Verdana"/>
          <w:sz w:val="24"/>
          <w:szCs w:val="24"/>
        </w:rPr>
        <w:t>volgens</w:t>
      </w:r>
      <w:proofErr w:type="spellEnd"/>
      <w:r w:rsidR="00300CDF">
        <w:rPr>
          <w:rFonts w:ascii="Verdana" w:hAnsi="Verdana"/>
          <w:sz w:val="24"/>
          <w:szCs w:val="24"/>
        </w:rPr>
        <w:t xml:space="preserve"> </w:t>
      </w:r>
      <w:r w:rsidR="001E3DAB">
        <w:rPr>
          <w:rFonts w:ascii="Verdana" w:hAnsi="Verdana"/>
          <w:sz w:val="24"/>
          <w:szCs w:val="24"/>
        </w:rPr>
        <w:t xml:space="preserve">u is </w:t>
      </w:r>
      <w:proofErr w:type="spellStart"/>
      <w:r w:rsidR="001E3DAB">
        <w:rPr>
          <w:rFonts w:ascii="Verdana" w:hAnsi="Verdana"/>
          <w:sz w:val="24"/>
          <w:szCs w:val="24"/>
        </w:rPr>
        <w:t>daar</w:t>
      </w:r>
      <w:proofErr w:type="spellEnd"/>
      <w:r w:rsidR="001E3DAB">
        <w:rPr>
          <w:rFonts w:ascii="Verdana" w:hAnsi="Verdana"/>
          <w:sz w:val="24"/>
          <w:szCs w:val="24"/>
        </w:rPr>
        <w:t xml:space="preserve"> reeds </w:t>
      </w:r>
      <w:proofErr w:type="spellStart"/>
      <w:r w:rsidR="001E3DAB">
        <w:rPr>
          <w:rFonts w:ascii="Verdana" w:hAnsi="Verdana"/>
          <w:sz w:val="24"/>
          <w:szCs w:val="24"/>
        </w:rPr>
        <w:t>skade</w:t>
      </w:r>
      <w:proofErr w:type="spellEnd"/>
      <w:r w:rsidR="001E3DAB">
        <w:rPr>
          <w:rFonts w:ascii="Verdana" w:hAnsi="Verdana"/>
          <w:sz w:val="24"/>
          <w:szCs w:val="24"/>
        </w:rPr>
        <w:t>.”</w:t>
      </w:r>
    </w:p>
    <w:p w14:paraId="1ECA4FA8" w14:textId="68850F79" w:rsidR="001E3DAB" w:rsidRDefault="001E3DAB" w:rsidP="00E63C9B">
      <w:pPr>
        <w:pStyle w:val="ListParagraph"/>
        <w:ind w:left="1276"/>
        <w:jc w:val="both"/>
        <w:rPr>
          <w:rFonts w:ascii="Verdana" w:hAnsi="Verdana"/>
          <w:sz w:val="24"/>
          <w:szCs w:val="24"/>
        </w:rPr>
      </w:pPr>
      <w:proofErr w:type="spellStart"/>
      <w:r>
        <w:rPr>
          <w:rFonts w:ascii="Verdana" w:hAnsi="Verdana"/>
          <w:sz w:val="24"/>
          <w:szCs w:val="24"/>
        </w:rPr>
        <w:t>Mnr</w:t>
      </w:r>
      <w:proofErr w:type="spellEnd"/>
      <w:r>
        <w:rPr>
          <w:rFonts w:ascii="Verdana" w:hAnsi="Verdana"/>
          <w:sz w:val="24"/>
          <w:szCs w:val="24"/>
        </w:rPr>
        <w:t xml:space="preserve"> </w:t>
      </w:r>
      <w:proofErr w:type="spellStart"/>
      <w:r>
        <w:rPr>
          <w:rFonts w:ascii="Verdana" w:hAnsi="Verdana"/>
          <w:sz w:val="24"/>
          <w:szCs w:val="24"/>
        </w:rPr>
        <w:t>Vilikazi</w:t>
      </w:r>
      <w:proofErr w:type="spellEnd"/>
      <w:r>
        <w:rPr>
          <w:rFonts w:ascii="Verdana" w:hAnsi="Verdana"/>
          <w:sz w:val="24"/>
          <w:szCs w:val="24"/>
        </w:rPr>
        <w:t>:</w:t>
      </w:r>
      <w:r>
        <w:rPr>
          <w:rFonts w:ascii="Verdana" w:hAnsi="Verdana"/>
          <w:sz w:val="24"/>
          <w:szCs w:val="24"/>
        </w:rPr>
        <w:tab/>
        <w:t>“</w:t>
      </w:r>
      <w:proofErr w:type="spellStart"/>
      <w:r>
        <w:rPr>
          <w:rFonts w:ascii="Verdana" w:hAnsi="Verdana"/>
          <w:sz w:val="24"/>
          <w:szCs w:val="24"/>
        </w:rPr>
        <w:t>Agbare</w:t>
      </w:r>
      <w:proofErr w:type="spellEnd"/>
      <w:r>
        <w:rPr>
          <w:rFonts w:ascii="Verdana" w:hAnsi="Verdana"/>
          <w:sz w:val="24"/>
          <w:szCs w:val="24"/>
        </w:rPr>
        <w:t xml:space="preserve">, </w:t>
      </w:r>
      <w:proofErr w:type="spellStart"/>
      <w:r>
        <w:rPr>
          <w:rFonts w:ascii="Verdana" w:hAnsi="Verdana"/>
          <w:sz w:val="24"/>
          <w:szCs w:val="24"/>
        </w:rPr>
        <w:t>ja</w:t>
      </w:r>
      <w:proofErr w:type="spellEnd"/>
      <w:r>
        <w:rPr>
          <w:rFonts w:ascii="Verdana" w:hAnsi="Verdana"/>
          <w:sz w:val="24"/>
          <w:szCs w:val="24"/>
        </w:rPr>
        <w:t xml:space="preserve"> </w:t>
      </w:r>
      <w:proofErr w:type="spellStart"/>
      <w:r>
        <w:rPr>
          <w:rFonts w:ascii="Verdana" w:hAnsi="Verdana"/>
          <w:sz w:val="24"/>
          <w:szCs w:val="24"/>
        </w:rPr>
        <w:t>Agbare</w:t>
      </w:r>
      <w:proofErr w:type="spellEnd"/>
      <w:r>
        <w:rPr>
          <w:rFonts w:ascii="Verdana" w:hAnsi="Verdana"/>
          <w:sz w:val="24"/>
          <w:szCs w:val="24"/>
        </w:rPr>
        <w:t xml:space="preserve">. Die </w:t>
      </w:r>
      <w:proofErr w:type="spellStart"/>
      <w:r>
        <w:rPr>
          <w:rFonts w:ascii="Verdana" w:hAnsi="Verdana"/>
          <w:sz w:val="24"/>
          <w:szCs w:val="24"/>
        </w:rPr>
        <w:t>skade</w:t>
      </w:r>
      <w:proofErr w:type="spellEnd"/>
      <w:r>
        <w:rPr>
          <w:rFonts w:ascii="Verdana" w:hAnsi="Verdana"/>
          <w:sz w:val="24"/>
          <w:szCs w:val="24"/>
        </w:rPr>
        <w:t xml:space="preserve"> is </w:t>
      </w:r>
      <w:proofErr w:type="spellStart"/>
      <w:r>
        <w:rPr>
          <w:rFonts w:ascii="Verdana" w:hAnsi="Verdana"/>
          <w:sz w:val="24"/>
          <w:szCs w:val="24"/>
        </w:rPr>
        <w:t>alreeds</w:t>
      </w:r>
      <w:proofErr w:type="spellEnd"/>
      <w:r>
        <w:rPr>
          <w:rFonts w:ascii="Verdana" w:hAnsi="Verdana"/>
          <w:sz w:val="24"/>
          <w:szCs w:val="24"/>
        </w:rPr>
        <w:t xml:space="preserve"> </w:t>
      </w:r>
      <w:proofErr w:type="spellStart"/>
      <w:r>
        <w:rPr>
          <w:rFonts w:ascii="Verdana" w:hAnsi="Verdana"/>
          <w:sz w:val="24"/>
          <w:szCs w:val="24"/>
        </w:rPr>
        <w:t>gedoen</w:t>
      </w:r>
      <w:proofErr w:type="spellEnd"/>
      <w:r>
        <w:rPr>
          <w:rFonts w:ascii="Verdana" w:hAnsi="Verdana"/>
          <w:sz w:val="24"/>
          <w:szCs w:val="24"/>
        </w:rPr>
        <w:t>.”</w:t>
      </w:r>
    </w:p>
    <w:p w14:paraId="2E373DF1" w14:textId="77777777" w:rsidR="00300CDF" w:rsidRDefault="00300CDF" w:rsidP="00E63C9B">
      <w:pPr>
        <w:pStyle w:val="ListParagraph"/>
        <w:ind w:left="1276" w:hanging="709"/>
        <w:jc w:val="both"/>
        <w:rPr>
          <w:rFonts w:ascii="Verdana" w:hAnsi="Verdana"/>
          <w:sz w:val="24"/>
          <w:szCs w:val="24"/>
        </w:rPr>
      </w:pPr>
    </w:p>
    <w:p w14:paraId="74EED476" w14:textId="77777777" w:rsidR="00486F16" w:rsidRPr="00486F16" w:rsidRDefault="00486F16" w:rsidP="00E63C9B">
      <w:pPr>
        <w:pStyle w:val="ListParagraph"/>
        <w:jc w:val="both"/>
        <w:rPr>
          <w:rFonts w:ascii="Verdana" w:hAnsi="Verdana"/>
          <w:sz w:val="24"/>
          <w:szCs w:val="24"/>
        </w:rPr>
      </w:pPr>
    </w:p>
    <w:p w14:paraId="4FD166C4" w14:textId="5FEE6928" w:rsidR="00486F16" w:rsidRDefault="001E3DAB"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To paraphrase this for those not conversant in Afrikaans the learned trial Magistrate puts to the senior interpreter, Mr </w:t>
      </w:r>
      <w:proofErr w:type="spellStart"/>
      <w:r>
        <w:rPr>
          <w:rFonts w:ascii="Verdana" w:hAnsi="Verdana"/>
          <w:sz w:val="24"/>
          <w:szCs w:val="24"/>
        </w:rPr>
        <w:t>Vilikazi</w:t>
      </w:r>
      <w:proofErr w:type="spellEnd"/>
      <w:r>
        <w:rPr>
          <w:rFonts w:ascii="Verdana" w:hAnsi="Verdana"/>
          <w:sz w:val="24"/>
          <w:szCs w:val="24"/>
        </w:rPr>
        <w:t xml:space="preserve">, that the accused </w:t>
      </w:r>
      <w:r w:rsidR="00D95D27">
        <w:rPr>
          <w:rFonts w:ascii="Verdana" w:hAnsi="Verdana"/>
          <w:sz w:val="24"/>
          <w:szCs w:val="24"/>
        </w:rPr>
        <w:t>appears to have</w:t>
      </w:r>
      <w:r>
        <w:rPr>
          <w:rFonts w:ascii="Verdana" w:hAnsi="Verdana"/>
          <w:sz w:val="24"/>
          <w:szCs w:val="24"/>
        </w:rPr>
        <w:t xml:space="preserve"> been prejudiced by the interpretation of proceedings. Although, this is not specifically set out in the quote above, the context shows that it was the proceedings on the 30 May 2022 that were being referenced in this passage. </w:t>
      </w:r>
      <w:r w:rsidR="00D95D27">
        <w:rPr>
          <w:rFonts w:ascii="Verdana" w:hAnsi="Verdana"/>
          <w:sz w:val="24"/>
          <w:szCs w:val="24"/>
        </w:rPr>
        <w:t xml:space="preserve">Mr </w:t>
      </w:r>
      <w:proofErr w:type="spellStart"/>
      <w:r w:rsidR="00D95D27">
        <w:rPr>
          <w:rFonts w:ascii="Verdana" w:hAnsi="Verdana"/>
          <w:sz w:val="24"/>
          <w:szCs w:val="24"/>
        </w:rPr>
        <w:t>Vilikazi</w:t>
      </w:r>
      <w:proofErr w:type="spellEnd"/>
      <w:r w:rsidR="00D95D27">
        <w:rPr>
          <w:rFonts w:ascii="Verdana" w:hAnsi="Verdana"/>
          <w:sz w:val="24"/>
          <w:szCs w:val="24"/>
        </w:rPr>
        <w:t xml:space="preserve"> responds that in regard to a particular interpreter, there was a problem.</w:t>
      </w:r>
    </w:p>
    <w:p w14:paraId="43A0402F" w14:textId="77777777" w:rsidR="00D95D27" w:rsidRDefault="00D95D27" w:rsidP="00E63C9B">
      <w:pPr>
        <w:pStyle w:val="ListParagraph"/>
        <w:spacing w:line="480" w:lineRule="auto"/>
        <w:ind w:left="360"/>
        <w:jc w:val="both"/>
        <w:rPr>
          <w:rFonts w:ascii="Verdana" w:hAnsi="Verdana"/>
          <w:sz w:val="24"/>
          <w:szCs w:val="24"/>
        </w:rPr>
      </w:pPr>
    </w:p>
    <w:p w14:paraId="128BA5BA" w14:textId="23CA1CAE" w:rsidR="00D95D27" w:rsidRDefault="00D95D27"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 xml:space="preserve">The learned trial Magistrate then puts to Mr </w:t>
      </w:r>
      <w:proofErr w:type="spellStart"/>
      <w:r>
        <w:rPr>
          <w:rFonts w:ascii="Verdana" w:hAnsi="Verdana"/>
          <w:sz w:val="24"/>
          <w:szCs w:val="24"/>
        </w:rPr>
        <w:t>Vilikazi</w:t>
      </w:r>
      <w:proofErr w:type="spellEnd"/>
      <w:r>
        <w:rPr>
          <w:rFonts w:ascii="Verdana" w:hAnsi="Verdana"/>
          <w:sz w:val="24"/>
          <w:szCs w:val="24"/>
        </w:rPr>
        <w:t xml:space="preserve"> that on his evidence before such court the damage ha</w:t>
      </w:r>
      <w:r w:rsidR="00C13E21">
        <w:rPr>
          <w:rFonts w:ascii="Verdana" w:hAnsi="Verdana"/>
          <w:sz w:val="24"/>
          <w:szCs w:val="24"/>
        </w:rPr>
        <w:t>d</w:t>
      </w:r>
      <w:r>
        <w:rPr>
          <w:rFonts w:ascii="Verdana" w:hAnsi="Verdana"/>
          <w:sz w:val="24"/>
          <w:szCs w:val="24"/>
        </w:rPr>
        <w:t xml:space="preserve"> already been done. To this Mr </w:t>
      </w:r>
      <w:proofErr w:type="spellStart"/>
      <w:r>
        <w:rPr>
          <w:rFonts w:ascii="Verdana" w:hAnsi="Verdana"/>
          <w:sz w:val="24"/>
          <w:szCs w:val="24"/>
        </w:rPr>
        <w:t>Vilikazi</w:t>
      </w:r>
      <w:proofErr w:type="spellEnd"/>
      <w:r>
        <w:rPr>
          <w:rFonts w:ascii="Verdana" w:hAnsi="Verdana"/>
          <w:sz w:val="24"/>
          <w:szCs w:val="24"/>
        </w:rPr>
        <w:t xml:space="preserve"> responds that the damage ha</w:t>
      </w:r>
      <w:r w:rsidR="00C13E21">
        <w:rPr>
          <w:rFonts w:ascii="Verdana" w:hAnsi="Verdana"/>
          <w:sz w:val="24"/>
          <w:szCs w:val="24"/>
        </w:rPr>
        <w:t>d</w:t>
      </w:r>
      <w:r>
        <w:rPr>
          <w:rFonts w:ascii="Verdana" w:hAnsi="Verdana"/>
          <w:sz w:val="24"/>
          <w:szCs w:val="24"/>
        </w:rPr>
        <w:t xml:space="preserve"> already been done.</w:t>
      </w:r>
    </w:p>
    <w:p w14:paraId="4B74CE39" w14:textId="77777777" w:rsidR="00D95D27" w:rsidRPr="00D95D27" w:rsidRDefault="00D95D27" w:rsidP="00E63C9B">
      <w:pPr>
        <w:pStyle w:val="ListParagraph"/>
        <w:jc w:val="both"/>
        <w:rPr>
          <w:rFonts w:ascii="Verdana" w:hAnsi="Verdana"/>
          <w:sz w:val="24"/>
          <w:szCs w:val="24"/>
        </w:rPr>
      </w:pPr>
    </w:p>
    <w:p w14:paraId="79D069B9" w14:textId="305A194A" w:rsidR="00D95D27" w:rsidRDefault="00C13E21"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The referral of the present “special review” to this court took place before the trial-within-a-trial was completed. It follows from this fact that such referral occurred before conviction in the matter and also before sentencing could take place.</w:t>
      </w:r>
    </w:p>
    <w:p w14:paraId="4029E465" w14:textId="77777777" w:rsidR="00B54FCD" w:rsidRPr="00B54FCD" w:rsidRDefault="00B54FCD" w:rsidP="00E63C9B">
      <w:pPr>
        <w:pStyle w:val="ListParagraph"/>
        <w:jc w:val="both"/>
        <w:rPr>
          <w:rFonts w:ascii="Verdana" w:hAnsi="Verdana"/>
          <w:sz w:val="24"/>
          <w:szCs w:val="24"/>
        </w:rPr>
      </w:pPr>
    </w:p>
    <w:p w14:paraId="64A2447A" w14:textId="5220C78B" w:rsidR="00B54FCD" w:rsidRDefault="00152AF0"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It follows from the fact that the matter has been referred for special review before conviction and sentence that the provisions of sections 302, 304 of the CPA</w:t>
      </w:r>
      <w:r>
        <w:rPr>
          <w:rStyle w:val="FootnoteReference"/>
          <w:rFonts w:ascii="Verdana" w:hAnsi="Verdana"/>
          <w:sz w:val="24"/>
          <w:szCs w:val="24"/>
        </w:rPr>
        <w:footnoteReference w:id="1"/>
      </w:r>
      <w:r>
        <w:rPr>
          <w:rFonts w:ascii="Verdana" w:hAnsi="Verdana"/>
          <w:sz w:val="24"/>
          <w:szCs w:val="24"/>
        </w:rPr>
        <w:t xml:space="preserve"> do not apply. It follows from the fact that there has not yet been a conviction </w:t>
      </w:r>
      <w:r w:rsidR="00DC4725">
        <w:rPr>
          <w:rFonts w:ascii="Verdana" w:hAnsi="Verdana"/>
          <w:sz w:val="24"/>
          <w:szCs w:val="24"/>
        </w:rPr>
        <w:t>and the accused is not awaiting sentence before this referral that the provisions of section 304A</w:t>
      </w:r>
      <w:r w:rsidR="00DC4725">
        <w:rPr>
          <w:rStyle w:val="FootnoteReference"/>
          <w:rFonts w:ascii="Verdana" w:hAnsi="Verdana"/>
          <w:sz w:val="24"/>
          <w:szCs w:val="24"/>
        </w:rPr>
        <w:footnoteReference w:id="2"/>
      </w:r>
      <w:r w:rsidR="00DC4725">
        <w:rPr>
          <w:rFonts w:ascii="Verdana" w:hAnsi="Verdana"/>
          <w:sz w:val="24"/>
          <w:szCs w:val="24"/>
        </w:rPr>
        <w:t xml:space="preserve"> also have no application in the present circumstances.</w:t>
      </w:r>
    </w:p>
    <w:p w14:paraId="56925C47" w14:textId="77777777" w:rsidR="00DC4725" w:rsidRPr="00DC4725" w:rsidRDefault="00DC4725" w:rsidP="00E63C9B">
      <w:pPr>
        <w:pStyle w:val="ListParagraph"/>
        <w:jc w:val="both"/>
        <w:rPr>
          <w:rFonts w:ascii="Verdana" w:hAnsi="Verdana"/>
          <w:sz w:val="24"/>
          <w:szCs w:val="24"/>
        </w:rPr>
      </w:pPr>
    </w:p>
    <w:p w14:paraId="18D5A11C" w14:textId="4CE1480E" w:rsidR="00DC4725" w:rsidRDefault="00DC4725"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It appears that the circumstances of the present matter must fall under the provisions of section 22 of the Superior Courts Act</w:t>
      </w:r>
      <w:r>
        <w:rPr>
          <w:rStyle w:val="FootnoteReference"/>
          <w:rFonts w:ascii="Verdana" w:hAnsi="Verdana"/>
          <w:sz w:val="24"/>
          <w:szCs w:val="24"/>
        </w:rPr>
        <w:footnoteReference w:id="3"/>
      </w:r>
      <w:r>
        <w:rPr>
          <w:rFonts w:ascii="Verdana" w:hAnsi="Verdana"/>
          <w:sz w:val="24"/>
          <w:szCs w:val="24"/>
        </w:rPr>
        <w:t xml:space="preserve">. </w:t>
      </w:r>
      <w:r w:rsidR="00AB012E">
        <w:rPr>
          <w:rFonts w:ascii="Verdana" w:hAnsi="Verdana"/>
          <w:sz w:val="24"/>
          <w:szCs w:val="24"/>
        </w:rPr>
        <w:t>The said section reads as follows:</w:t>
      </w:r>
    </w:p>
    <w:p w14:paraId="0B1BE018" w14:textId="77777777" w:rsidR="00AB012E" w:rsidRDefault="00AB012E" w:rsidP="00E63C9B">
      <w:pPr>
        <w:pStyle w:val="ListParagraph"/>
        <w:spacing w:line="276" w:lineRule="auto"/>
        <w:ind w:left="1440" w:hanging="720"/>
        <w:jc w:val="both"/>
        <w:rPr>
          <w:rFonts w:ascii="Verdana" w:hAnsi="Verdana"/>
          <w:sz w:val="24"/>
          <w:szCs w:val="24"/>
        </w:rPr>
      </w:pPr>
      <w:r>
        <w:rPr>
          <w:rFonts w:ascii="Verdana" w:hAnsi="Verdana"/>
          <w:sz w:val="24"/>
          <w:szCs w:val="24"/>
        </w:rPr>
        <w:t>“22(1)</w:t>
      </w:r>
      <w:r>
        <w:rPr>
          <w:rFonts w:ascii="Verdana" w:hAnsi="Verdana"/>
          <w:sz w:val="24"/>
          <w:szCs w:val="24"/>
        </w:rPr>
        <w:tab/>
        <w:t>The grounds upon which the proceedings of any Magistrates’ Court may be brought under review before a court of a Division are-</w:t>
      </w:r>
    </w:p>
    <w:p w14:paraId="0D2B28D8" w14:textId="77777777" w:rsidR="00AB012E" w:rsidRDefault="00AB012E" w:rsidP="00E63C9B">
      <w:pPr>
        <w:pStyle w:val="ListParagraph"/>
        <w:numPr>
          <w:ilvl w:val="0"/>
          <w:numId w:val="2"/>
        </w:numPr>
        <w:spacing w:line="276" w:lineRule="auto"/>
        <w:jc w:val="both"/>
        <w:rPr>
          <w:rFonts w:ascii="Verdana" w:hAnsi="Verdana"/>
          <w:sz w:val="24"/>
          <w:szCs w:val="24"/>
        </w:rPr>
      </w:pPr>
      <w:r>
        <w:rPr>
          <w:rFonts w:ascii="Verdana" w:hAnsi="Verdana"/>
          <w:sz w:val="24"/>
          <w:szCs w:val="24"/>
        </w:rPr>
        <w:t>absence of jurisdiction on the part of the court;</w:t>
      </w:r>
    </w:p>
    <w:p w14:paraId="3511E72B" w14:textId="77777777" w:rsidR="00A27E1C" w:rsidRDefault="00AB012E" w:rsidP="00E63C9B">
      <w:pPr>
        <w:pStyle w:val="ListParagraph"/>
        <w:numPr>
          <w:ilvl w:val="0"/>
          <w:numId w:val="2"/>
        </w:numPr>
        <w:spacing w:line="276" w:lineRule="auto"/>
        <w:jc w:val="both"/>
        <w:rPr>
          <w:rFonts w:ascii="Verdana" w:hAnsi="Verdana"/>
          <w:sz w:val="24"/>
          <w:szCs w:val="24"/>
        </w:rPr>
      </w:pPr>
      <w:r>
        <w:rPr>
          <w:rFonts w:ascii="Verdana" w:hAnsi="Verdana"/>
          <w:sz w:val="24"/>
          <w:szCs w:val="24"/>
        </w:rPr>
        <w:t>interest in the cause, bias, malice</w:t>
      </w:r>
      <w:r w:rsidR="00A27E1C">
        <w:rPr>
          <w:rFonts w:ascii="Verdana" w:hAnsi="Verdana"/>
          <w:sz w:val="24"/>
          <w:szCs w:val="24"/>
        </w:rPr>
        <w:t xml:space="preserve"> or corruption on the part of the presiding judicial officer;</w:t>
      </w:r>
    </w:p>
    <w:p w14:paraId="50C9B464" w14:textId="77777777" w:rsidR="00A27E1C" w:rsidRDefault="00A27E1C" w:rsidP="00E63C9B">
      <w:pPr>
        <w:pStyle w:val="ListParagraph"/>
        <w:numPr>
          <w:ilvl w:val="0"/>
          <w:numId w:val="2"/>
        </w:numPr>
        <w:spacing w:line="276" w:lineRule="auto"/>
        <w:jc w:val="both"/>
        <w:rPr>
          <w:rFonts w:ascii="Verdana" w:hAnsi="Verdana"/>
          <w:sz w:val="24"/>
          <w:szCs w:val="24"/>
        </w:rPr>
      </w:pPr>
      <w:r>
        <w:rPr>
          <w:rFonts w:ascii="Verdana" w:hAnsi="Verdana"/>
          <w:sz w:val="24"/>
          <w:szCs w:val="24"/>
        </w:rPr>
        <w:t>gross irregularity in the proceedings; and</w:t>
      </w:r>
    </w:p>
    <w:p w14:paraId="105FB315" w14:textId="7DBA6493" w:rsidR="00AB012E" w:rsidRDefault="00A27E1C" w:rsidP="00E63C9B">
      <w:pPr>
        <w:pStyle w:val="ListParagraph"/>
        <w:numPr>
          <w:ilvl w:val="0"/>
          <w:numId w:val="2"/>
        </w:numPr>
        <w:spacing w:line="276" w:lineRule="auto"/>
        <w:jc w:val="both"/>
        <w:rPr>
          <w:rFonts w:ascii="Verdana" w:hAnsi="Verdana"/>
          <w:sz w:val="24"/>
          <w:szCs w:val="24"/>
        </w:rPr>
      </w:pPr>
      <w:r>
        <w:rPr>
          <w:rFonts w:ascii="Verdana" w:hAnsi="Verdana"/>
          <w:sz w:val="24"/>
          <w:szCs w:val="24"/>
        </w:rPr>
        <w:lastRenderedPageBreak/>
        <w:t>the admission of inadmissible or incompetent evidence or the rejection of admissible or competent evidence.”</w:t>
      </w:r>
      <w:r>
        <w:rPr>
          <w:rStyle w:val="FootnoteReference"/>
          <w:rFonts w:ascii="Verdana" w:hAnsi="Verdana"/>
          <w:sz w:val="24"/>
          <w:szCs w:val="24"/>
        </w:rPr>
        <w:footnoteReference w:id="4"/>
      </w:r>
      <w:r w:rsidR="00AB012E">
        <w:rPr>
          <w:rFonts w:ascii="Verdana" w:hAnsi="Verdana"/>
          <w:sz w:val="24"/>
          <w:szCs w:val="24"/>
        </w:rPr>
        <w:t xml:space="preserve">  </w:t>
      </w:r>
    </w:p>
    <w:p w14:paraId="4BC7CB70" w14:textId="4AD4584F" w:rsidR="00AB012E" w:rsidRDefault="00AB012E" w:rsidP="00E63C9B">
      <w:pPr>
        <w:pStyle w:val="ListParagraph"/>
        <w:jc w:val="both"/>
        <w:rPr>
          <w:rFonts w:ascii="Verdana" w:hAnsi="Verdana"/>
          <w:sz w:val="24"/>
          <w:szCs w:val="24"/>
        </w:rPr>
      </w:pPr>
    </w:p>
    <w:p w14:paraId="4F4CB99F" w14:textId="4D79EA51" w:rsidR="00AB012E" w:rsidRDefault="00AB012E" w:rsidP="00E63C9B">
      <w:pPr>
        <w:pStyle w:val="ListParagraph"/>
        <w:jc w:val="both"/>
        <w:rPr>
          <w:rFonts w:ascii="Verdana" w:hAnsi="Verdana"/>
          <w:sz w:val="24"/>
          <w:szCs w:val="24"/>
        </w:rPr>
      </w:pPr>
    </w:p>
    <w:p w14:paraId="1CA80500" w14:textId="74D48752" w:rsidR="00A27E1C" w:rsidRDefault="00A27E1C"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In the circumstances of the present review, it needs to be determined if the failings in interpretation as described above, constitute a gross irregularity in the proceedings.</w:t>
      </w:r>
    </w:p>
    <w:p w14:paraId="5A43FD9F" w14:textId="77777777" w:rsidR="00F06DD3" w:rsidRDefault="004130A8"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A similar question was dealt with by </w:t>
      </w:r>
      <w:proofErr w:type="spellStart"/>
      <w:r>
        <w:rPr>
          <w:rFonts w:ascii="Verdana" w:hAnsi="Verdana"/>
          <w:sz w:val="24"/>
          <w:szCs w:val="24"/>
        </w:rPr>
        <w:t>Watermeyer</w:t>
      </w:r>
      <w:proofErr w:type="spellEnd"/>
      <w:r>
        <w:rPr>
          <w:rFonts w:ascii="Verdana" w:hAnsi="Verdana"/>
          <w:sz w:val="24"/>
          <w:szCs w:val="24"/>
        </w:rPr>
        <w:t xml:space="preserve"> J (as he then was) in a criminal appeal in the matter of S v MAFU</w:t>
      </w:r>
      <w:r>
        <w:rPr>
          <w:rStyle w:val="FootnoteReference"/>
          <w:rFonts w:ascii="Verdana" w:hAnsi="Verdana"/>
          <w:sz w:val="24"/>
          <w:szCs w:val="24"/>
        </w:rPr>
        <w:footnoteReference w:id="5"/>
      </w:r>
      <w:r w:rsidR="00E453BE">
        <w:rPr>
          <w:rFonts w:ascii="Verdana" w:hAnsi="Verdana"/>
          <w:sz w:val="24"/>
          <w:szCs w:val="24"/>
        </w:rPr>
        <w:t xml:space="preserve"> relied on the provisions of section 6(2) of the Magistrates Court Act</w:t>
      </w:r>
      <w:r w:rsidR="00E453BE">
        <w:rPr>
          <w:rStyle w:val="FootnoteReference"/>
          <w:rFonts w:ascii="Verdana" w:hAnsi="Verdana"/>
          <w:sz w:val="24"/>
          <w:szCs w:val="24"/>
        </w:rPr>
        <w:footnoteReference w:id="6"/>
      </w:r>
      <w:r w:rsidR="00E453BE">
        <w:rPr>
          <w:rFonts w:ascii="Verdana" w:hAnsi="Verdana"/>
          <w:sz w:val="24"/>
          <w:szCs w:val="24"/>
        </w:rPr>
        <w:t xml:space="preserve"> to conclude that a failure to provide </w:t>
      </w:r>
      <w:r w:rsidR="00F06DD3">
        <w:rPr>
          <w:rFonts w:ascii="Verdana" w:hAnsi="Verdana"/>
          <w:sz w:val="24"/>
          <w:szCs w:val="24"/>
        </w:rPr>
        <w:t>a competent interpreter to translate the evidence into a language professed by the accused is clearly a gross irregularity vitiating the proceedings.</w:t>
      </w:r>
    </w:p>
    <w:p w14:paraId="7D65A19D" w14:textId="77777777" w:rsidR="00F06DD3" w:rsidRPr="00F06DD3" w:rsidRDefault="00F06DD3" w:rsidP="00E63C9B">
      <w:pPr>
        <w:pStyle w:val="ListParagraph"/>
        <w:jc w:val="both"/>
        <w:rPr>
          <w:rFonts w:ascii="Verdana" w:hAnsi="Verdana"/>
          <w:sz w:val="24"/>
          <w:szCs w:val="24"/>
        </w:rPr>
      </w:pPr>
    </w:p>
    <w:p w14:paraId="50980624" w14:textId="77777777" w:rsidR="00F06DD3" w:rsidRDefault="00F06DD3"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Section 6(2) of the Magistrates Court Act is still applicable today and the said section reads as follows:</w:t>
      </w:r>
    </w:p>
    <w:p w14:paraId="75A5FFF0" w14:textId="5716C961" w:rsidR="00285337" w:rsidRDefault="00F06DD3" w:rsidP="00E63C9B">
      <w:pPr>
        <w:pStyle w:val="ListParagraph"/>
        <w:ind w:left="1440" w:hanging="720"/>
        <w:jc w:val="both"/>
        <w:rPr>
          <w:rFonts w:ascii="Verdana" w:hAnsi="Verdana"/>
          <w:sz w:val="24"/>
          <w:szCs w:val="24"/>
        </w:rPr>
      </w:pPr>
      <w:r>
        <w:rPr>
          <w:rFonts w:ascii="Verdana" w:hAnsi="Verdana"/>
          <w:sz w:val="24"/>
          <w:szCs w:val="24"/>
        </w:rPr>
        <w:t>“6(2)</w:t>
      </w:r>
      <w:r>
        <w:rPr>
          <w:rFonts w:ascii="Verdana" w:hAnsi="Verdana"/>
          <w:sz w:val="24"/>
          <w:szCs w:val="24"/>
        </w:rPr>
        <w:tab/>
        <w:t>If, in a criminal case,</w:t>
      </w:r>
      <w:r w:rsidR="001B7E8C">
        <w:rPr>
          <w:rFonts w:ascii="Verdana" w:hAnsi="Verdana"/>
          <w:sz w:val="24"/>
          <w:szCs w:val="24"/>
        </w:rPr>
        <w:t xml:space="preserve"> evidence is given in a language with which the accused is not in the opinion of the court sufficiently conversant, a competent interpreter shall be called by the court in order to translate such evidence into a language with which the accused professes or appears to the court to be sufficiently conversant, irrespective of whether the language in which the evidence is given is one of the official languages or whether the representative of the accused is conversant with the language </w:t>
      </w:r>
      <w:r w:rsidR="00285337">
        <w:rPr>
          <w:rFonts w:ascii="Verdana" w:hAnsi="Verdana"/>
          <w:sz w:val="24"/>
          <w:szCs w:val="24"/>
        </w:rPr>
        <w:t>used in the evidence or not.”</w:t>
      </w:r>
      <w:r w:rsidR="00285337">
        <w:rPr>
          <w:rStyle w:val="FootnoteReference"/>
          <w:rFonts w:ascii="Verdana" w:hAnsi="Verdana"/>
          <w:sz w:val="24"/>
          <w:szCs w:val="24"/>
        </w:rPr>
        <w:footnoteReference w:id="7"/>
      </w:r>
    </w:p>
    <w:p w14:paraId="6C02B8B3" w14:textId="77777777" w:rsidR="00285337" w:rsidRDefault="00285337" w:rsidP="00E63C9B">
      <w:pPr>
        <w:pStyle w:val="ListParagraph"/>
        <w:ind w:left="1440" w:hanging="720"/>
        <w:jc w:val="both"/>
        <w:rPr>
          <w:rFonts w:ascii="Verdana" w:hAnsi="Verdana"/>
          <w:sz w:val="24"/>
          <w:szCs w:val="24"/>
        </w:rPr>
      </w:pPr>
    </w:p>
    <w:p w14:paraId="7330680B" w14:textId="147AEDED" w:rsidR="00F06DD3" w:rsidRDefault="001B7E8C" w:rsidP="00E63C9B">
      <w:pPr>
        <w:pStyle w:val="ListParagraph"/>
        <w:ind w:left="1440" w:hanging="720"/>
        <w:jc w:val="both"/>
        <w:rPr>
          <w:rFonts w:ascii="Verdana" w:hAnsi="Verdana"/>
          <w:sz w:val="24"/>
          <w:szCs w:val="24"/>
        </w:rPr>
      </w:pPr>
      <w:r>
        <w:rPr>
          <w:rFonts w:ascii="Verdana" w:hAnsi="Verdana"/>
          <w:sz w:val="24"/>
          <w:szCs w:val="24"/>
        </w:rPr>
        <w:t xml:space="preserve">  </w:t>
      </w:r>
    </w:p>
    <w:p w14:paraId="4B065080" w14:textId="77777777" w:rsidR="00285337" w:rsidRDefault="00285337" w:rsidP="00E63C9B">
      <w:pPr>
        <w:pStyle w:val="ListParagraph"/>
        <w:ind w:left="1440" w:hanging="720"/>
        <w:jc w:val="both"/>
        <w:rPr>
          <w:rFonts w:ascii="Verdana" w:hAnsi="Verdana"/>
          <w:sz w:val="24"/>
          <w:szCs w:val="24"/>
        </w:rPr>
      </w:pPr>
    </w:p>
    <w:p w14:paraId="47AC31F9" w14:textId="009F2DBB" w:rsidR="00285337" w:rsidRDefault="00285337"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Section 6(2) of the Magistrates Court Act is reinforced by the subsequent provisions of section 35(3)(k)</w:t>
      </w:r>
      <w:r w:rsidR="00AC2D7C">
        <w:rPr>
          <w:rFonts w:ascii="Verdana" w:hAnsi="Verdana"/>
          <w:sz w:val="24"/>
          <w:szCs w:val="24"/>
        </w:rPr>
        <w:t xml:space="preserve"> of the Constitution</w:t>
      </w:r>
      <w:r>
        <w:rPr>
          <w:rFonts w:ascii="Verdana" w:hAnsi="Verdana"/>
          <w:sz w:val="24"/>
          <w:szCs w:val="24"/>
        </w:rPr>
        <w:t>, which reads as follows:</w:t>
      </w:r>
    </w:p>
    <w:p w14:paraId="640C8EDB" w14:textId="4DA4581E" w:rsidR="00285337" w:rsidRDefault="00285337" w:rsidP="00E63C9B">
      <w:pPr>
        <w:pStyle w:val="ListParagraph"/>
        <w:spacing w:line="276" w:lineRule="auto"/>
        <w:ind w:left="1440" w:hanging="720"/>
        <w:jc w:val="both"/>
        <w:rPr>
          <w:rFonts w:ascii="Verdana" w:hAnsi="Verdana"/>
          <w:sz w:val="24"/>
          <w:szCs w:val="24"/>
        </w:rPr>
      </w:pPr>
      <w:r>
        <w:rPr>
          <w:rFonts w:ascii="Verdana" w:hAnsi="Verdana"/>
          <w:sz w:val="24"/>
          <w:szCs w:val="24"/>
        </w:rPr>
        <w:t>“35</w:t>
      </w:r>
      <w:r w:rsidR="0068055C">
        <w:rPr>
          <w:rFonts w:ascii="Verdana" w:hAnsi="Verdana"/>
          <w:sz w:val="24"/>
          <w:szCs w:val="24"/>
        </w:rPr>
        <w:t>(3)</w:t>
      </w:r>
      <w:r>
        <w:rPr>
          <w:rFonts w:ascii="Verdana" w:hAnsi="Verdana"/>
          <w:sz w:val="24"/>
          <w:szCs w:val="24"/>
        </w:rPr>
        <w:tab/>
        <w:t xml:space="preserve">Every accused person has a right to a fair trial, which includes the right – </w:t>
      </w:r>
    </w:p>
    <w:p w14:paraId="40601448" w14:textId="669D23DE" w:rsidR="00285337" w:rsidRDefault="00285337" w:rsidP="00E63C9B">
      <w:pPr>
        <w:pStyle w:val="ListParagraph"/>
        <w:spacing w:line="276" w:lineRule="auto"/>
        <w:ind w:left="1440" w:hanging="720"/>
        <w:jc w:val="both"/>
        <w:rPr>
          <w:rFonts w:ascii="Verdana" w:hAnsi="Verdana"/>
          <w:sz w:val="24"/>
          <w:szCs w:val="24"/>
        </w:rPr>
      </w:pPr>
      <w:r>
        <w:rPr>
          <w:rFonts w:ascii="Verdana" w:hAnsi="Verdana"/>
          <w:sz w:val="24"/>
          <w:szCs w:val="24"/>
        </w:rPr>
        <w:tab/>
        <w:t>…</w:t>
      </w:r>
    </w:p>
    <w:p w14:paraId="3575E48D" w14:textId="03B124AC" w:rsidR="00285337" w:rsidRDefault="00285337" w:rsidP="00E63C9B">
      <w:pPr>
        <w:pStyle w:val="ListParagraph"/>
        <w:spacing w:line="276" w:lineRule="auto"/>
        <w:ind w:left="1440" w:hanging="720"/>
        <w:jc w:val="both"/>
        <w:rPr>
          <w:rFonts w:ascii="Verdana" w:hAnsi="Verdana"/>
          <w:sz w:val="24"/>
          <w:szCs w:val="24"/>
        </w:rPr>
      </w:pPr>
      <w:r>
        <w:rPr>
          <w:rFonts w:ascii="Verdana" w:hAnsi="Verdana"/>
          <w:sz w:val="24"/>
          <w:szCs w:val="24"/>
        </w:rPr>
        <w:t>(k)</w:t>
      </w:r>
      <w:r>
        <w:rPr>
          <w:rFonts w:ascii="Verdana" w:hAnsi="Verdana"/>
          <w:sz w:val="24"/>
          <w:szCs w:val="24"/>
        </w:rPr>
        <w:tab/>
      </w:r>
      <w:proofErr w:type="gramStart"/>
      <w:r w:rsidR="0068055C">
        <w:rPr>
          <w:rFonts w:ascii="Verdana" w:hAnsi="Verdana"/>
          <w:sz w:val="24"/>
          <w:szCs w:val="24"/>
        </w:rPr>
        <w:t>to</w:t>
      </w:r>
      <w:proofErr w:type="gramEnd"/>
      <w:r w:rsidR="0068055C">
        <w:rPr>
          <w:rFonts w:ascii="Verdana" w:hAnsi="Verdana"/>
          <w:sz w:val="24"/>
          <w:szCs w:val="24"/>
        </w:rPr>
        <w:t xml:space="preserve"> be tried in a language that the accused person understands, or to have the proceedings interpreted in such language;…”</w:t>
      </w:r>
    </w:p>
    <w:p w14:paraId="794D3463" w14:textId="3DD885DE" w:rsidR="0068055C" w:rsidRDefault="0068055C" w:rsidP="00E63C9B">
      <w:pPr>
        <w:pStyle w:val="ListParagraph"/>
        <w:spacing w:line="276" w:lineRule="auto"/>
        <w:ind w:left="1440" w:hanging="720"/>
        <w:jc w:val="both"/>
        <w:rPr>
          <w:rFonts w:ascii="Verdana" w:hAnsi="Verdana"/>
          <w:sz w:val="24"/>
          <w:szCs w:val="24"/>
        </w:rPr>
      </w:pPr>
    </w:p>
    <w:p w14:paraId="36947602" w14:textId="77777777" w:rsidR="0068055C" w:rsidRDefault="0068055C" w:rsidP="00E63C9B">
      <w:pPr>
        <w:pStyle w:val="ListParagraph"/>
        <w:spacing w:line="276" w:lineRule="auto"/>
        <w:ind w:left="1440" w:hanging="720"/>
        <w:jc w:val="both"/>
        <w:rPr>
          <w:rFonts w:ascii="Verdana" w:hAnsi="Verdana"/>
          <w:sz w:val="24"/>
          <w:szCs w:val="24"/>
        </w:rPr>
      </w:pPr>
    </w:p>
    <w:p w14:paraId="25BA8438" w14:textId="39CAEEA3" w:rsidR="005B7E7B" w:rsidRDefault="0068055C"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If the interpreter has made mistakes or is incompetent to the extent that the accused has been prejudiced</w:t>
      </w:r>
      <w:r w:rsidR="008C3069">
        <w:rPr>
          <w:rFonts w:ascii="Verdana" w:hAnsi="Verdana"/>
          <w:sz w:val="24"/>
          <w:szCs w:val="24"/>
        </w:rPr>
        <w:t xml:space="preserve"> in and substantively deprived her right to a fair trial</w:t>
      </w:r>
      <w:r>
        <w:rPr>
          <w:rFonts w:ascii="Verdana" w:hAnsi="Verdana"/>
          <w:sz w:val="24"/>
          <w:szCs w:val="24"/>
        </w:rPr>
        <w:t xml:space="preserve">. This constitutes a gross irregularity </w:t>
      </w:r>
      <w:r w:rsidR="008C3069">
        <w:rPr>
          <w:rFonts w:ascii="Verdana" w:hAnsi="Verdana"/>
          <w:sz w:val="24"/>
          <w:szCs w:val="24"/>
        </w:rPr>
        <w:t>in the proceedings. In these circumstances, the proceedings ought to be set aside and start</w:t>
      </w:r>
      <w:r w:rsidR="00656EC0">
        <w:rPr>
          <w:rFonts w:ascii="Verdana" w:hAnsi="Verdana"/>
          <w:sz w:val="24"/>
          <w:szCs w:val="24"/>
        </w:rPr>
        <w:t>ed</w:t>
      </w:r>
      <w:r w:rsidR="008C3069">
        <w:rPr>
          <w:rFonts w:ascii="Verdana" w:hAnsi="Verdana"/>
          <w:sz w:val="24"/>
          <w:szCs w:val="24"/>
        </w:rPr>
        <w:t xml:space="preserve"> </w:t>
      </w:r>
      <w:r w:rsidR="008C3069" w:rsidRPr="008C3069">
        <w:rPr>
          <w:rFonts w:ascii="Verdana" w:hAnsi="Verdana"/>
          <w:i/>
          <w:iCs/>
          <w:sz w:val="24"/>
          <w:szCs w:val="24"/>
        </w:rPr>
        <w:t>de novo</w:t>
      </w:r>
      <w:r w:rsidR="00A27E1C">
        <w:rPr>
          <w:rFonts w:ascii="Verdana" w:hAnsi="Verdana"/>
          <w:sz w:val="24"/>
          <w:szCs w:val="24"/>
        </w:rPr>
        <w:t xml:space="preserve"> </w:t>
      </w:r>
      <w:r w:rsidR="008C3069">
        <w:rPr>
          <w:rFonts w:ascii="Verdana" w:hAnsi="Verdana"/>
          <w:sz w:val="24"/>
          <w:szCs w:val="24"/>
        </w:rPr>
        <w:t xml:space="preserve">before a different judicial officer. </w:t>
      </w:r>
    </w:p>
    <w:p w14:paraId="67D98743" w14:textId="77777777" w:rsidR="005B7E7B" w:rsidRDefault="005B7E7B" w:rsidP="00E63C9B">
      <w:pPr>
        <w:pStyle w:val="ListParagraph"/>
        <w:spacing w:line="480" w:lineRule="auto"/>
        <w:ind w:left="360"/>
        <w:jc w:val="both"/>
        <w:rPr>
          <w:rFonts w:ascii="Verdana" w:hAnsi="Verdana"/>
          <w:sz w:val="24"/>
          <w:szCs w:val="24"/>
        </w:rPr>
      </w:pPr>
    </w:p>
    <w:p w14:paraId="6A96AE90" w14:textId="77777777" w:rsidR="005B7E7B" w:rsidRDefault="008C3069" w:rsidP="00E63C9B">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In the present matter it is clear from the record that the </w:t>
      </w:r>
      <w:r w:rsidR="005B7E7B">
        <w:rPr>
          <w:rFonts w:ascii="Verdana" w:hAnsi="Verdana"/>
          <w:sz w:val="24"/>
          <w:szCs w:val="24"/>
        </w:rPr>
        <w:t>interpreter concerned was not competent, that this prejudiced the accused and that the accused had substantively been deprived of her right to a fair trial. Accordingly, there was a gross irregularity in the proceedings as contemplated in section 22 of the Superior Courts Act</w:t>
      </w:r>
      <w:r w:rsidR="005B7E7B">
        <w:rPr>
          <w:rStyle w:val="FootnoteReference"/>
          <w:rFonts w:ascii="Verdana" w:hAnsi="Verdana"/>
          <w:sz w:val="24"/>
          <w:szCs w:val="24"/>
        </w:rPr>
        <w:footnoteReference w:id="8"/>
      </w:r>
      <w:r w:rsidR="005B7E7B">
        <w:rPr>
          <w:rFonts w:ascii="Verdana" w:hAnsi="Verdana"/>
          <w:sz w:val="24"/>
          <w:szCs w:val="24"/>
        </w:rPr>
        <w:t>. In these circumstances the proceedings from the date of the plea to the date of referral for review must be set aside.</w:t>
      </w:r>
    </w:p>
    <w:p w14:paraId="31B3C1E6" w14:textId="7ACD6431" w:rsidR="005B7E7B" w:rsidRDefault="005B7E7B" w:rsidP="00E63C9B">
      <w:pPr>
        <w:pStyle w:val="ListParagraph"/>
        <w:jc w:val="both"/>
        <w:rPr>
          <w:rFonts w:ascii="Verdana" w:hAnsi="Verdana"/>
          <w:sz w:val="24"/>
          <w:szCs w:val="24"/>
        </w:rPr>
      </w:pPr>
    </w:p>
    <w:p w14:paraId="348992AE" w14:textId="76457BEE" w:rsidR="00543B4A" w:rsidRDefault="00543B4A" w:rsidP="00E63C9B">
      <w:pPr>
        <w:pStyle w:val="ListParagraph"/>
        <w:jc w:val="both"/>
        <w:rPr>
          <w:rFonts w:ascii="Verdana" w:hAnsi="Verdana"/>
          <w:sz w:val="24"/>
          <w:szCs w:val="24"/>
        </w:rPr>
      </w:pPr>
    </w:p>
    <w:p w14:paraId="62B0631A" w14:textId="77777777" w:rsidR="00543B4A" w:rsidRPr="005B7E7B" w:rsidRDefault="00543B4A" w:rsidP="00E63C9B">
      <w:pPr>
        <w:pStyle w:val="ListParagraph"/>
        <w:jc w:val="both"/>
        <w:rPr>
          <w:rFonts w:ascii="Verdana" w:hAnsi="Verdana"/>
          <w:sz w:val="24"/>
          <w:szCs w:val="24"/>
        </w:rPr>
      </w:pPr>
    </w:p>
    <w:p w14:paraId="6D86A735" w14:textId="77777777" w:rsidR="005B7E7B" w:rsidRDefault="005B7E7B" w:rsidP="00E63C9B">
      <w:pPr>
        <w:spacing w:line="480" w:lineRule="auto"/>
        <w:jc w:val="both"/>
        <w:rPr>
          <w:rFonts w:ascii="Verdana" w:hAnsi="Verdana"/>
          <w:sz w:val="24"/>
          <w:szCs w:val="24"/>
        </w:rPr>
      </w:pPr>
      <w:r>
        <w:rPr>
          <w:rFonts w:ascii="Verdana" w:hAnsi="Verdana"/>
          <w:sz w:val="24"/>
          <w:szCs w:val="24"/>
        </w:rPr>
        <w:lastRenderedPageBreak/>
        <w:t>In the circumstances, the following order is made:</w:t>
      </w:r>
    </w:p>
    <w:p w14:paraId="16CD7A21" w14:textId="77777777" w:rsidR="005B7E7B" w:rsidRDefault="005B7E7B" w:rsidP="00E63C9B">
      <w:pPr>
        <w:pStyle w:val="ListParagraph"/>
        <w:numPr>
          <w:ilvl w:val="0"/>
          <w:numId w:val="3"/>
        </w:numPr>
        <w:spacing w:line="480" w:lineRule="auto"/>
        <w:jc w:val="both"/>
        <w:rPr>
          <w:rFonts w:ascii="Verdana" w:hAnsi="Verdana"/>
          <w:sz w:val="24"/>
          <w:szCs w:val="24"/>
        </w:rPr>
      </w:pPr>
      <w:r>
        <w:rPr>
          <w:rFonts w:ascii="Verdana" w:hAnsi="Verdana"/>
          <w:sz w:val="24"/>
          <w:szCs w:val="24"/>
        </w:rPr>
        <w:t>The proceedings from the date of the plea to the date of referral for review are set aside; and</w:t>
      </w:r>
    </w:p>
    <w:p w14:paraId="799626E9" w14:textId="04D63D51" w:rsidR="00AB012E" w:rsidRDefault="0099684A" w:rsidP="00E63C9B">
      <w:pPr>
        <w:pStyle w:val="ListParagraph"/>
        <w:numPr>
          <w:ilvl w:val="0"/>
          <w:numId w:val="3"/>
        </w:numPr>
        <w:spacing w:line="480" w:lineRule="auto"/>
        <w:jc w:val="both"/>
        <w:rPr>
          <w:rFonts w:ascii="Verdana" w:hAnsi="Verdana"/>
          <w:sz w:val="24"/>
          <w:szCs w:val="24"/>
        </w:rPr>
      </w:pPr>
      <w:r>
        <w:rPr>
          <w:rFonts w:ascii="Verdana" w:hAnsi="Verdana"/>
          <w:sz w:val="24"/>
          <w:szCs w:val="24"/>
        </w:rPr>
        <w:t xml:space="preserve">The proceedings are to commence </w:t>
      </w:r>
      <w:r w:rsidRPr="0099684A">
        <w:rPr>
          <w:rFonts w:ascii="Verdana" w:hAnsi="Verdana"/>
          <w:i/>
          <w:iCs/>
          <w:sz w:val="24"/>
          <w:szCs w:val="24"/>
        </w:rPr>
        <w:t>de novo</w:t>
      </w:r>
      <w:r w:rsidR="005B7E7B" w:rsidRPr="005B7E7B">
        <w:rPr>
          <w:rFonts w:ascii="Verdana" w:hAnsi="Verdana"/>
          <w:sz w:val="24"/>
          <w:szCs w:val="24"/>
        </w:rPr>
        <w:t xml:space="preserve"> </w:t>
      </w:r>
      <w:r>
        <w:rPr>
          <w:rFonts w:ascii="Verdana" w:hAnsi="Verdana"/>
          <w:sz w:val="24"/>
          <w:szCs w:val="24"/>
        </w:rPr>
        <w:t>before a different judicial officer.</w:t>
      </w:r>
    </w:p>
    <w:p w14:paraId="230180CD" w14:textId="7C6BC66B" w:rsidR="00E63C9B" w:rsidRDefault="00E63C9B" w:rsidP="00E63C9B">
      <w:pPr>
        <w:spacing w:line="240" w:lineRule="auto"/>
        <w:rPr>
          <w:rFonts w:ascii="Verdana" w:hAnsi="Verdana"/>
          <w:sz w:val="24"/>
          <w:szCs w:val="24"/>
        </w:rPr>
      </w:pPr>
    </w:p>
    <w:p w14:paraId="4DA7F6A0" w14:textId="319A133F" w:rsidR="00B9204D" w:rsidRDefault="00B9204D" w:rsidP="00E63C9B">
      <w:pPr>
        <w:spacing w:line="240" w:lineRule="auto"/>
        <w:rPr>
          <w:rFonts w:ascii="Verdana" w:hAnsi="Verdana"/>
          <w:sz w:val="24"/>
          <w:szCs w:val="24"/>
        </w:rPr>
      </w:pPr>
    </w:p>
    <w:p w14:paraId="7EE11E17" w14:textId="29F7D684" w:rsidR="00B9204D" w:rsidRDefault="00B9204D" w:rsidP="00E63C9B">
      <w:pPr>
        <w:spacing w:line="240" w:lineRule="auto"/>
        <w:rPr>
          <w:rFonts w:ascii="Verdana" w:hAnsi="Verdana"/>
          <w:sz w:val="24"/>
          <w:szCs w:val="24"/>
        </w:rPr>
      </w:pPr>
    </w:p>
    <w:p w14:paraId="23ED3FF3" w14:textId="6B1D3A35" w:rsidR="00B9204D" w:rsidRDefault="00B9204D" w:rsidP="00E63C9B">
      <w:pPr>
        <w:spacing w:line="240" w:lineRule="auto"/>
        <w:rPr>
          <w:rFonts w:ascii="Verdana" w:hAnsi="Verdana"/>
          <w:sz w:val="24"/>
          <w:szCs w:val="24"/>
        </w:rPr>
      </w:pPr>
    </w:p>
    <w:p w14:paraId="6F5C8778" w14:textId="77777777" w:rsidR="00B9204D" w:rsidRDefault="00B9204D" w:rsidP="005C4A36">
      <w:pPr>
        <w:spacing w:after="0" w:line="240" w:lineRule="auto"/>
        <w:rPr>
          <w:rFonts w:ascii="Verdana" w:hAnsi="Verdana"/>
          <w:sz w:val="24"/>
          <w:szCs w:val="24"/>
        </w:rPr>
      </w:pPr>
    </w:p>
    <w:p w14:paraId="29FAFE8E" w14:textId="7A2B6F5F" w:rsidR="0099684A" w:rsidRDefault="0099684A" w:rsidP="005C4A36">
      <w:pPr>
        <w:spacing w:after="0" w:line="240" w:lineRule="auto"/>
        <w:rPr>
          <w:rFonts w:ascii="Verdana" w:hAnsi="Verdana"/>
          <w:sz w:val="24"/>
          <w:szCs w:val="24"/>
        </w:rPr>
      </w:pPr>
      <w:r>
        <w:rPr>
          <w:rFonts w:ascii="Verdana" w:hAnsi="Verdana"/>
          <w:sz w:val="24"/>
          <w:szCs w:val="24"/>
        </w:rPr>
        <w:t>_________________</w:t>
      </w:r>
      <w:r w:rsidR="00617525">
        <w:rPr>
          <w:rFonts w:ascii="Verdana" w:hAnsi="Verdana"/>
          <w:sz w:val="24"/>
          <w:szCs w:val="24"/>
        </w:rPr>
        <w:t>_</w:t>
      </w:r>
    </w:p>
    <w:p w14:paraId="0E4851AC" w14:textId="2549E0ED" w:rsidR="0099684A" w:rsidRDefault="0099684A" w:rsidP="005C4A36">
      <w:pPr>
        <w:spacing w:after="0" w:line="240" w:lineRule="auto"/>
        <w:rPr>
          <w:rFonts w:ascii="Verdana" w:hAnsi="Verdana"/>
          <w:sz w:val="24"/>
          <w:szCs w:val="24"/>
        </w:rPr>
      </w:pPr>
      <w:r>
        <w:rPr>
          <w:rFonts w:ascii="Verdana" w:hAnsi="Verdana"/>
          <w:sz w:val="24"/>
          <w:szCs w:val="24"/>
        </w:rPr>
        <w:t>L</w:t>
      </w:r>
      <w:r w:rsidR="00E63C9B">
        <w:rPr>
          <w:rFonts w:ascii="Verdana" w:hAnsi="Verdana"/>
          <w:sz w:val="24"/>
          <w:szCs w:val="24"/>
        </w:rPr>
        <w:t>G</w:t>
      </w:r>
      <w:r>
        <w:rPr>
          <w:rFonts w:ascii="Verdana" w:hAnsi="Verdana"/>
          <w:sz w:val="24"/>
          <w:szCs w:val="24"/>
        </w:rPr>
        <w:t xml:space="preserve"> Lever</w:t>
      </w:r>
    </w:p>
    <w:p w14:paraId="77965BB5" w14:textId="6B3971F3" w:rsidR="00E63C9B" w:rsidRDefault="0099684A" w:rsidP="00617525">
      <w:pPr>
        <w:spacing w:after="0" w:line="276" w:lineRule="auto"/>
        <w:rPr>
          <w:rFonts w:ascii="Verdana" w:hAnsi="Verdana"/>
          <w:sz w:val="24"/>
          <w:szCs w:val="24"/>
        </w:rPr>
      </w:pPr>
      <w:r>
        <w:rPr>
          <w:rFonts w:ascii="Verdana" w:hAnsi="Verdana"/>
          <w:sz w:val="24"/>
          <w:szCs w:val="24"/>
        </w:rPr>
        <w:t xml:space="preserve">Judge </w:t>
      </w:r>
    </w:p>
    <w:p w14:paraId="4C126156" w14:textId="0F229017" w:rsidR="0099684A" w:rsidRDefault="0099684A" w:rsidP="00617525">
      <w:pPr>
        <w:spacing w:after="0" w:line="276" w:lineRule="auto"/>
        <w:rPr>
          <w:rFonts w:ascii="Verdana" w:hAnsi="Verdana"/>
          <w:sz w:val="24"/>
          <w:szCs w:val="24"/>
        </w:rPr>
      </w:pPr>
      <w:r>
        <w:rPr>
          <w:rFonts w:ascii="Verdana" w:hAnsi="Verdana"/>
          <w:sz w:val="24"/>
          <w:szCs w:val="24"/>
        </w:rPr>
        <w:t>Northern Cape Division</w:t>
      </w:r>
      <w:r w:rsidR="00E63C9B">
        <w:rPr>
          <w:rFonts w:ascii="Verdana" w:hAnsi="Verdana"/>
          <w:sz w:val="24"/>
          <w:szCs w:val="24"/>
        </w:rPr>
        <w:t>, Kimberley</w:t>
      </w:r>
    </w:p>
    <w:p w14:paraId="41C221F9" w14:textId="4F9E26B2" w:rsidR="0099684A" w:rsidRDefault="0099684A" w:rsidP="0099684A">
      <w:pPr>
        <w:spacing w:line="276" w:lineRule="auto"/>
        <w:rPr>
          <w:rFonts w:ascii="Verdana" w:hAnsi="Verdana"/>
          <w:sz w:val="24"/>
          <w:szCs w:val="24"/>
        </w:rPr>
      </w:pPr>
    </w:p>
    <w:p w14:paraId="013F6152" w14:textId="1BD63CD6" w:rsidR="0099684A" w:rsidRDefault="0099684A" w:rsidP="0099684A">
      <w:pPr>
        <w:spacing w:line="276" w:lineRule="auto"/>
        <w:rPr>
          <w:rFonts w:ascii="Verdana" w:hAnsi="Verdana"/>
          <w:sz w:val="24"/>
          <w:szCs w:val="24"/>
        </w:rPr>
      </w:pPr>
    </w:p>
    <w:p w14:paraId="04E88BC1" w14:textId="77777777" w:rsidR="00617525" w:rsidRDefault="00617525" w:rsidP="0099684A">
      <w:pPr>
        <w:spacing w:line="276" w:lineRule="auto"/>
        <w:rPr>
          <w:rFonts w:ascii="Verdana" w:hAnsi="Verdana"/>
          <w:sz w:val="24"/>
          <w:szCs w:val="24"/>
        </w:rPr>
      </w:pPr>
    </w:p>
    <w:p w14:paraId="4C38DE77" w14:textId="0B9A1E06" w:rsidR="0099684A" w:rsidRDefault="0099684A" w:rsidP="0099684A">
      <w:pPr>
        <w:spacing w:line="276" w:lineRule="auto"/>
        <w:rPr>
          <w:rFonts w:ascii="Verdana" w:hAnsi="Verdana"/>
          <w:sz w:val="24"/>
          <w:szCs w:val="24"/>
        </w:rPr>
      </w:pPr>
      <w:r>
        <w:rPr>
          <w:rFonts w:ascii="Verdana" w:hAnsi="Verdana"/>
          <w:sz w:val="24"/>
          <w:szCs w:val="24"/>
        </w:rPr>
        <w:t>I agree,</w:t>
      </w:r>
    </w:p>
    <w:p w14:paraId="327E85CD" w14:textId="2418CA65" w:rsidR="0099684A" w:rsidRDefault="0099684A" w:rsidP="0099684A">
      <w:pPr>
        <w:spacing w:line="276" w:lineRule="auto"/>
        <w:rPr>
          <w:rFonts w:ascii="Verdana" w:hAnsi="Verdana"/>
          <w:sz w:val="24"/>
          <w:szCs w:val="24"/>
        </w:rPr>
      </w:pPr>
    </w:p>
    <w:p w14:paraId="66195576" w14:textId="77777777" w:rsidR="005C4A36" w:rsidRDefault="005C4A36" w:rsidP="0099684A">
      <w:pPr>
        <w:spacing w:line="276" w:lineRule="auto"/>
        <w:rPr>
          <w:rFonts w:ascii="Verdana" w:hAnsi="Verdana"/>
          <w:sz w:val="24"/>
          <w:szCs w:val="24"/>
        </w:rPr>
      </w:pPr>
    </w:p>
    <w:p w14:paraId="384BBAD1" w14:textId="25FC81AF" w:rsidR="0099684A" w:rsidRDefault="0099684A" w:rsidP="00E63C9B">
      <w:pPr>
        <w:spacing w:after="0" w:line="240" w:lineRule="auto"/>
        <w:rPr>
          <w:rFonts w:ascii="Verdana" w:hAnsi="Verdana"/>
          <w:sz w:val="24"/>
          <w:szCs w:val="24"/>
        </w:rPr>
      </w:pPr>
      <w:r>
        <w:rPr>
          <w:rFonts w:ascii="Verdana" w:hAnsi="Verdana"/>
          <w:sz w:val="24"/>
          <w:szCs w:val="24"/>
        </w:rPr>
        <w:t>______________</w:t>
      </w:r>
      <w:r w:rsidR="00E63C9B">
        <w:rPr>
          <w:rFonts w:ascii="Verdana" w:hAnsi="Verdana"/>
          <w:sz w:val="24"/>
          <w:szCs w:val="24"/>
        </w:rPr>
        <w:t>____</w:t>
      </w:r>
    </w:p>
    <w:p w14:paraId="14586E3C" w14:textId="32C933F2" w:rsidR="0099684A" w:rsidRDefault="00E63C9B" w:rsidP="00617525">
      <w:pPr>
        <w:spacing w:after="0" w:line="276" w:lineRule="auto"/>
        <w:rPr>
          <w:rFonts w:ascii="Verdana" w:hAnsi="Verdana"/>
          <w:sz w:val="24"/>
          <w:szCs w:val="24"/>
        </w:rPr>
      </w:pPr>
      <w:r>
        <w:rPr>
          <w:rFonts w:ascii="Verdana" w:hAnsi="Verdana"/>
          <w:sz w:val="24"/>
          <w:szCs w:val="24"/>
        </w:rPr>
        <w:t xml:space="preserve">LP </w:t>
      </w:r>
      <w:proofErr w:type="spellStart"/>
      <w:r w:rsidR="0099684A">
        <w:rPr>
          <w:rFonts w:ascii="Verdana" w:hAnsi="Verdana"/>
          <w:sz w:val="24"/>
          <w:szCs w:val="24"/>
        </w:rPr>
        <w:t>Tlaletsi</w:t>
      </w:r>
      <w:proofErr w:type="spellEnd"/>
      <w:r w:rsidR="0099684A">
        <w:rPr>
          <w:rFonts w:ascii="Verdana" w:hAnsi="Verdana"/>
          <w:sz w:val="24"/>
          <w:szCs w:val="24"/>
        </w:rPr>
        <w:t xml:space="preserve"> </w:t>
      </w:r>
    </w:p>
    <w:p w14:paraId="5C53D780" w14:textId="77777777" w:rsidR="00E63C9B" w:rsidRDefault="00E63C9B" w:rsidP="00617525">
      <w:pPr>
        <w:spacing w:after="0" w:line="276" w:lineRule="auto"/>
        <w:rPr>
          <w:rFonts w:ascii="Verdana" w:hAnsi="Verdana"/>
          <w:sz w:val="24"/>
          <w:szCs w:val="24"/>
        </w:rPr>
      </w:pPr>
      <w:r>
        <w:rPr>
          <w:rFonts w:ascii="Verdana" w:hAnsi="Verdana"/>
          <w:sz w:val="24"/>
          <w:szCs w:val="24"/>
        </w:rPr>
        <w:t>Judge President</w:t>
      </w:r>
    </w:p>
    <w:p w14:paraId="69F1D1B4" w14:textId="7E075B30" w:rsidR="0099684A" w:rsidRPr="0099684A" w:rsidRDefault="0099684A" w:rsidP="00617525">
      <w:pPr>
        <w:spacing w:after="0" w:line="276" w:lineRule="auto"/>
        <w:rPr>
          <w:rFonts w:ascii="Verdana" w:hAnsi="Verdana"/>
          <w:sz w:val="24"/>
          <w:szCs w:val="24"/>
        </w:rPr>
      </w:pPr>
      <w:r>
        <w:rPr>
          <w:rFonts w:ascii="Verdana" w:hAnsi="Verdana"/>
          <w:sz w:val="24"/>
          <w:szCs w:val="24"/>
        </w:rPr>
        <w:t>Northern Cape Division</w:t>
      </w:r>
      <w:r w:rsidR="00E63C9B">
        <w:rPr>
          <w:rFonts w:ascii="Verdana" w:hAnsi="Verdana"/>
          <w:sz w:val="24"/>
          <w:szCs w:val="24"/>
        </w:rPr>
        <w:t>, Kimberley</w:t>
      </w:r>
    </w:p>
    <w:p w14:paraId="05F164FE" w14:textId="77777777" w:rsidR="00C00CC3" w:rsidRDefault="00C00CC3" w:rsidP="00617525">
      <w:pPr>
        <w:spacing w:line="276" w:lineRule="auto"/>
        <w:rPr>
          <w:rFonts w:ascii="Verdana" w:hAnsi="Verdana"/>
          <w:sz w:val="24"/>
          <w:szCs w:val="24"/>
        </w:rPr>
      </w:pPr>
    </w:p>
    <w:p w14:paraId="0FECF065" w14:textId="77777777" w:rsidR="00AB104A" w:rsidRPr="00AB104A" w:rsidRDefault="00AB104A" w:rsidP="00AB104A">
      <w:pPr>
        <w:rPr>
          <w:rFonts w:ascii="Verdana" w:hAnsi="Verdana"/>
          <w:sz w:val="24"/>
          <w:szCs w:val="24"/>
        </w:rPr>
      </w:pPr>
    </w:p>
    <w:sectPr w:rsidR="00AB104A" w:rsidRPr="00AB104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A0A09" w14:textId="77777777" w:rsidR="00F5774F" w:rsidRDefault="00F5774F" w:rsidP="00152AF0">
      <w:pPr>
        <w:spacing w:after="0" w:line="240" w:lineRule="auto"/>
      </w:pPr>
      <w:r>
        <w:separator/>
      </w:r>
    </w:p>
  </w:endnote>
  <w:endnote w:type="continuationSeparator" w:id="0">
    <w:p w14:paraId="2616AA47" w14:textId="77777777" w:rsidR="00F5774F" w:rsidRDefault="00F5774F" w:rsidP="0015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47365"/>
      <w:docPartObj>
        <w:docPartGallery w:val="Page Numbers (Bottom of Page)"/>
        <w:docPartUnique/>
      </w:docPartObj>
    </w:sdtPr>
    <w:sdtEndPr/>
    <w:sdtContent>
      <w:sdt>
        <w:sdtPr>
          <w:id w:val="1728636285"/>
          <w:docPartObj>
            <w:docPartGallery w:val="Page Numbers (Top of Page)"/>
            <w:docPartUnique/>
          </w:docPartObj>
        </w:sdtPr>
        <w:sdtEndPr/>
        <w:sdtContent>
          <w:p w14:paraId="22281805" w14:textId="26000550" w:rsidR="00AB012E" w:rsidRDefault="00AB01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750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750C">
              <w:rPr>
                <w:b/>
                <w:bCs/>
                <w:noProof/>
              </w:rPr>
              <w:t>7</w:t>
            </w:r>
            <w:r>
              <w:rPr>
                <w:b/>
                <w:bCs/>
                <w:sz w:val="24"/>
                <w:szCs w:val="24"/>
              </w:rPr>
              <w:fldChar w:fldCharType="end"/>
            </w:r>
          </w:p>
        </w:sdtContent>
      </w:sdt>
    </w:sdtContent>
  </w:sdt>
  <w:p w14:paraId="0AD36742" w14:textId="77777777" w:rsidR="00AB012E" w:rsidRDefault="00AB0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7EA3" w14:textId="77777777" w:rsidR="00F5774F" w:rsidRDefault="00F5774F" w:rsidP="00152AF0">
      <w:pPr>
        <w:spacing w:after="0" w:line="240" w:lineRule="auto"/>
      </w:pPr>
      <w:r>
        <w:separator/>
      </w:r>
    </w:p>
  </w:footnote>
  <w:footnote w:type="continuationSeparator" w:id="0">
    <w:p w14:paraId="28456592" w14:textId="77777777" w:rsidR="00F5774F" w:rsidRDefault="00F5774F" w:rsidP="00152AF0">
      <w:pPr>
        <w:spacing w:after="0" w:line="240" w:lineRule="auto"/>
      </w:pPr>
      <w:r>
        <w:continuationSeparator/>
      </w:r>
    </w:p>
  </w:footnote>
  <w:footnote w:id="1">
    <w:p w14:paraId="2815D95A" w14:textId="7C80EB24" w:rsidR="00152AF0" w:rsidRDefault="00152AF0">
      <w:pPr>
        <w:pStyle w:val="FootnoteText"/>
      </w:pPr>
      <w:r>
        <w:rPr>
          <w:rStyle w:val="FootnoteReference"/>
        </w:rPr>
        <w:footnoteRef/>
      </w:r>
      <w:r>
        <w:t xml:space="preserve"> Criminal Procedure Act 51 of 1977.</w:t>
      </w:r>
    </w:p>
  </w:footnote>
  <w:footnote w:id="2">
    <w:p w14:paraId="4E941116" w14:textId="65B01B50" w:rsidR="00DC4725" w:rsidRDefault="00DC4725">
      <w:pPr>
        <w:pStyle w:val="FootnoteText"/>
      </w:pPr>
      <w:r>
        <w:rPr>
          <w:rStyle w:val="FootnoteReference"/>
        </w:rPr>
        <w:footnoteRef/>
      </w:r>
      <w:r>
        <w:t xml:space="preserve"> Above.</w:t>
      </w:r>
    </w:p>
  </w:footnote>
  <w:footnote w:id="3">
    <w:p w14:paraId="5A814C87" w14:textId="0DB21054" w:rsidR="00DC4725" w:rsidRDefault="00DC4725">
      <w:pPr>
        <w:pStyle w:val="FootnoteText"/>
      </w:pPr>
      <w:r>
        <w:rPr>
          <w:rStyle w:val="FootnoteReference"/>
        </w:rPr>
        <w:footnoteRef/>
      </w:r>
      <w:r>
        <w:t xml:space="preserve"> Act 10 of 2013.</w:t>
      </w:r>
    </w:p>
  </w:footnote>
  <w:footnote w:id="4">
    <w:p w14:paraId="72B149C5" w14:textId="7289F219" w:rsidR="00A27E1C" w:rsidRDefault="00A27E1C">
      <w:pPr>
        <w:pStyle w:val="FootnoteText"/>
      </w:pPr>
      <w:r>
        <w:rPr>
          <w:rStyle w:val="FootnoteReference"/>
        </w:rPr>
        <w:footnoteRef/>
      </w:r>
      <w:r>
        <w:t xml:space="preserve"> Above.</w:t>
      </w:r>
    </w:p>
  </w:footnote>
  <w:footnote w:id="5">
    <w:p w14:paraId="25647A60" w14:textId="0D21631B" w:rsidR="004130A8" w:rsidRDefault="004130A8">
      <w:pPr>
        <w:pStyle w:val="FootnoteText"/>
      </w:pPr>
      <w:r>
        <w:rPr>
          <w:rStyle w:val="FootnoteReference"/>
        </w:rPr>
        <w:footnoteRef/>
      </w:r>
      <w:r>
        <w:t xml:space="preserve"> S v </w:t>
      </w:r>
      <w:proofErr w:type="spellStart"/>
      <w:r>
        <w:t>Mafu</w:t>
      </w:r>
      <w:proofErr w:type="spellEnd"/>
      <w:r>
        <w:t xml:space="preserve"> 1978 (1) SA </w:t>
      </w:r>
      <w:r w:rsidR="00847036">
        <w:t xml:space="preserve">454 </w:t>
      </w:r>
      <w:r w:rsidR="00E453BE">
        <w:t>(CPD) at 457H to 458A.</w:t>
      </w:r>
    </w:p>
  </w:footnote>
  <w:footnote w:id="6">
    <w:p w14:paraId="697D7C9A" w14:textId="1BCA10BB" w:rsidR="00E453BE" w:rsidRDefault="00E453BE">
      <w:pPr>
        <w:pStyle w:val="FootnoteText"/>
      </w:pPr>
      <w:r>
        <w:rPr>
          <w:rStyle w:val="FootnoteReference"/>
        </w:rPr>
        <w:footnoteRef/>
      </w:r>
      <w:r>
        <w:t xml:space="preserve"> Act 32 of 1944.</w:t>
      </w:r>
    </w:p>
  </w:footnote>
  <w:footnote w:id="7">
    <w:p w14:paraId="20387E09" w14:textId="469C1BC4" w:rsidR="00285337" w:rsidRDefault="00285337">
      <w:pPr>
        <w:pStyle w:val="FootnoteText"/>
      </w:pPr>
      <w:r>
        <w:rPr>
          <w:rStyle w:val="FootnoteReference"/>
        </w:rPr>
        <w:footnoteRef/>
      </w:r>
      <w:r>
        <w:t xml:space="preserve"> Above.</w:t>
      </w:r>
    </w:p>
  </w:footnote>
  <w:footnote w:id="8">
    <w:p w14:paraId="6552CBF3" w14:textId="2CBB1E72" w:rsidR="005B7E7B" w:rsidRDefault="005B7E7B">
      <w:pPr>
        <w:pStyle w:val="FootnoteText"/>
      </w:pPr>
      <w:r>
        <w:rPr>
          <w:rStyle w:val="FootnoteReference"/>
        </w:rPr>
        <w:footnoteRef/>
      </w:r>
      <w:r>
        <w:t xml:space="preserve">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2050"/>
    <w:multiLevelType w:val="hybridMultilevel"/>
    <w:tmpl w:val="61601E28"/>
    <w:lvl w:ilvl="0" w:tplc="C58635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1D7193C"/>
    <w:multiLevelType w:val="hybridMultilevel"/>
    <w:tmpl w:val="5FB28E30"/>
    <w:lvl w:ilvl="0" w:tplc="2358701C">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69617F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4A"/>
    <w:rsid w:val="000557E9"/>
    <w:rsid w:val="000B254A"/>
    <w:rsid w:val="00152AF0"/>
    <w:rsid w:val="001B7E8C"/>
    <w:rsid w:val="001E3DAB"/>
    <w:rsid w:val="00285337"/>
    <w:rsid w:val="00300CDF"/>
    <w:rsid w:val="004130A8"/>
    <w:rsid w:val="00486F16"/>
    <w:rsid w:val="00504335"/>
    <w:rsid w:val="00516530"/>
    <w:rsid w:val="00543B4A"/>
    <w:rsid w:val="005462C7"/>
    <w:rsid w:val="005B7E7B"/>
    <w:rsid w:val="005C4A36"/>
    <w:rsid w:val="00617525"/>
    <w:rsid w:val="00656EC0"/>
    <w:rsid w:val="0068055C"/>
    <w:rsid w:val="00787CFF"/>
    <w:rsid w:val="00847036"/>
    <w:rsid w:val="008C3069"/>
    <w:rsid w:val="0099684A"/>
    <w:rsid w:val="009C3E38"/>
    <w:rsid w:val="00A27E1C"/>
    <w:rsid w:val="00AB012E"/>
    <w:rsid w:val="00AB104A"/>
    <w:rsid w:val="00AC2D7C"/>
    <w:rsid w:val="00AE6D7F"/>
    <w:rsid w:val="00B26AA5"/>
    <w:rsid w:val="00B54FCD"/>
    <w:rsid w:val="00B9204D"/>
    <w:rsid w:val="00BC504F"/>
    <w:rsid w:val="00C00CC3"/>
    <w:rsid w:val="00C13E21"/>
    <w:rsid w:val="00D63069"/>
    <w:rsid w:val="00D95D27"/>
    <w:rsid w:val="00DB5DEE"/>
    <w:rsid w:val="00DC4725"/>
    <w:rsid w:val="00E453BE"/>
    <w:rsid w:val="00E63C9B"/>
    <w:rsid w:val="00F06DD3"/>
    <w:rsid w:val="00F5774F"/>
    <w:rsid w:val="00F7750C"/>
    <w:rsid w:val="00FB4497"/>
    <w:rsid w:val="00FE5F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96D3"/>
  <w15:chartTrackingRefBased/>
  <w15:docId w15:val="{BE78EFFF-93FB-44D7-9BC4-B6932A5C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C3"/>
    <w:pPr>
      <w:ind w:left="720"/>
      <w:contextualSpacing/>
    </w:pPr>
  </w:style>
  <w:style w:type="paragraph" w:styleId="FootnoteText">
    <w:name w:val="footnote text"/>
    <w:basedOn w:val="Normal"/>
    <w:link w:val="FootnoteTextChar"/>
    <w:uiPriority w:val="99"/>
    <w:semiHidden/>
    <w:unhideWhenUsed/>
    <w:rsid w:val="00152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AF0"/>
    <w:rPr>
      <w:sz w:val="20"/>
      <w:szCs w:val="20"/>
    </w:rPr>
  </w:style>
  <w:style w:type="character" w:styleId="FootnoteReference">
    <w:name w:val="footnote reference"/>
    <w:basedOn w:val="DefaultParagraphFont"/>
    <w:uiPriority w:val="99"/>
    <w:semiHidden/>
    <w:unhideWhenUsed/>
    <w:rsid w:val="00152AF0"/>
    <w:rPr>
      <w:vertAlign w:val="superscript"/>
    </w:rPr>
  </w:style>
  <w:style w:type="paragraph" w:styleId="Header">
    <w:name w:val="header"/>
    <w:basedOn w:val="Normal"/>
    <w:link w:val="HeaderChar"/>
    <w:uiPriority w:val="99"/>
    <w:unhideWhenUsed/>
    <w:rsid w:val="00AB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2E"/>
  </w:style>
  <w:style w:type="paragraph" w:styleId="Footer">
    <w:name w:val="footer"/>
    <w:basedOn w:val="Normal"/>
    <w:link w:val="FooterChar"/>
    <w:uiPriority w:val="99"/>
    <w:unhideWhenUsed/>
    <w:rsid w:val="00AB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2E"/>
  </w:style>
  <w:style w:type="paragraph" w:styleId="BalloonText">
    <w:name w:val="Balloon Text"/>
    <w:basedOn w:val="Normal"/>
    <w:link w:val="BalloonTextChar"/>
    <w:uiPriority w:val="99"/>
    <w:semiHidden/>
    <w:unhideWhenUsed/>
    <w:rsid w:val="00D63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69"/>
    <w:rPr>
      <w:rFonts w:ascii="Segoe UI" w:hAnsi="Segoe UI" w:cs="Segoe UI"/>
      <w:sz w:val="18"/>
      <w:szCs w:val="18"/>
    </w:rPr>
  </w:style>
  <w:style w:type="paragraph" w:customStyle="1" w:styleId="NormalEmail">
    <w:name w:val="NormalEmail"/>
    <w:basedOn w:val="Normal"/>
    <w:rsid w:val="00543B4A"/>
    <w:pPr>
      <w:suppressAutoHyphens/>
      <w:spacing w:after="0" w:line="240" w:lineRule="auto"/>
      <w:ind w:left="720" w:hanging="720"/>
      <w:jc w:val="both"/>
    </w:pPr>
    <w:rPr>
      <w:rFonts w:ascii="Arial" w:eastAsia="Times New Roman" w:hAnsi="Arial"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6B41-5FB0-4544-B971-011640D3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Lever</dc:creator>
  <cp:keywords/>
  <dc:description/>
  <cp:lastModifiedBy>Annie Molatlhwe</cp:lastModifiedBy>
  <cp:revision>5</cp:revision>
  <cp:lastPrinted>2022-08-11T14:09:00Z</cp:lastPrinted>
  <dcterms:created xsi:type="dcterms:W3CDTF">2022-08-11T14:07:00Z</dcterms:created>
  <dcterms:modified xsi:type="dcterms:W3CDTF">2022-08-11T14:10:00Z</dcterms:modified>
</cp:coreProperties>
</file>