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30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</w:tblGrid>
      <w:tr w:rsidR="00DC5F11" w:rsidRPr="00616BDE" w:rsidTr="00DC5F11">
        <w:tc>
          <w:tcPr>
            <w:tcW w:w="4394" w:type="dxa"/>
          </w:tcPr>
          <w:p w:rsidR="00DC5F11" w:rsidRPr="00DC5F11" w:rsidRDefault="00DC5F11" w:rsidP="00DC5F11">
            <w:pPr>
              <w:pStyle w:val="NoSpacing"/>
              <w:rPr>
                <w:sz w:val="20"/>
              </w:rPr>
            </w:pPr>
            <w:bookmarkStart w:id="0" w:name="_GoBack"/>
            <w:bookmarkEnd w:id="0"/>
            <w:r w:rsidRPr="00DC5F11">
              <w:rPr>
                <w:sz w:val="20"/>
              </w:rPr>
              <w:t xml:space="preserve">Reportable:  </w:t>
            </w:r>
            <w:r w:rsidRPr="00DC5F11">
              <w:rPr>
                <w:sz w:val="20"/>
              </w:rPr>
              <w:tab/>
              <w:t xml:space="preserve">                              YES / NO</w:t>
            </w:r>
          </w:p>
          <w:p w:rsidR="00DC5F11" w:rsidRPr="00DC5F11" w:rsidRDefault="00DC5F11" w:rsidP="00DC5F11">
            <w:pPr>
              <w:pStyle w:val="NoSpacing"/>
              <w:rPr>
                <w:sz w:val="20"/>
              </w:rPr>
            </w:pPr>
            <w:r w:rsidRPr="00DC5F11">
              <w:rPr>
                <w:sz w:val="20"/>
              </w:rPr>
              <w:t xml:space="preserve">Circulate to Judges: </w:t>
            </w:r>
            <w:r w:rsidRPr="00DC5F11">
              <w:rPr>
                <w:sz w:val="20"/>
              </w:rPr>
              <w:tab/>
              <w:t xml:space="preserve">                 YES / NO</w:t>
            </w:r>
          </w:p>
          <w:p w:rsidR="00DC5F11" w:rsidRPr="00DC5F11" w:rsidRDefault="00DC5F11" w:rsidP="00DC5F11">
            <w:pPr>
              <w:pStyle w:val="NoSpacing"/>
              <w:rPr>
                <w:sz w:val="20"/>
              </w:rPr>
            </w:pPr>
            <w:r w:rsidRPr="00DC5F11">
              <w:rPr>
                <w:sz w:val="20"/>
              </w:rPr>
              <w:t>Circulate to Magistrates:</w:t>
            </w:r>
            <w:r w:rsidRPr="00DC5F11">
              <w:rPr>
                <w:sz w:val="20"/>
              </w:rPr>
              <w:tab/>
              <w:t xml:space="preserve">              </w:t>
            </w:r>
            <w:r>
              <w:rPr>
                <w:sz w:val="20"/>
              </w:rPr>
              <w:t xml:space="preserve">   </w:t>
            </w:r>
            <w:r w:rsidRPr="00DC5F11">
              <w:rPr>
                <w:sz w:val="20"/>
              </w:rPr>
              <w:t>YES / NO</w:t>
            </w:r>
          </w:p>
          <w:p w:rsidR="00DC5F11" w:rsidRPr="00DC5F11" w:rsidRDefault="00DC5F11" w:rsidP="00DC5F11">
            <w:pPr>
              <w:pStyle w:val="NoSpacing"/>
              <w:rPr>
                <w:sz w:val="20"/>
              </w:rPr>
            </w:pPr>
            <w:r w:rsidRPr="00DC5F11">
              <w:rPr>
                <w:sz w:val="20"/>
              </w:rPr>
              <w:t>Circulate to Regional Magistrates:  YES / NO</w:t>
            </w:r>
          </w:p>
        </w:tc>
      </w:tr>
    </w:tbl>
    <w:p w:rsidR="00B10DAC" w:rsidRDefault="00DC5F11" w:rsidP="00DC5F11">
      <w:pPr>
        <w:jc w:val="center"/>
      </w:pPr>
      <w:r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FA416E4" wp14:editId="550F17A5">
            <wp:extent cx="1116810" cy="1071880"/>
            <wp:effectExtent l="0" t="0" r="7620" b="0"/>
            <wp:docPr id="1" name="Picture 1" descr="Description: C:\Users\ejansevanrensburg\AppData\Local\Microsoft\Windows\Temporary Internet Files\Content.Outlook\VEP37WK2\The Judiciary - Master emblem in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ejansevanrensburg\AppData\Local\Microsoft\Windows\Temporary Internet Files\Content.Outlook\VEP37WK2\The Judiciary - Master emblem in high 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35" cy="10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11" w:rsidRDefault="00DC5F11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C11F23" w:rsidRDefault="00C11F23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DC5F11" w:rsidRDefault="00DC5F11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DC5F11" w:rsidRDefault="00DC5F11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DC5F11" w:rsidRDefault="00DC5F11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DC5F11" w:rsidRDefault="00DC5F11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B10DAC" w:rsidRPr="00C11F23" w:rsidRDefault="00B10DAC" w:rsidP="00B10DAC">
      <w:pPr>
        <w:jc w:val="center"/>
        <w:rPr>
          <w:rFonts w:ascii="Verdana" w:hAnsi="Verdana" w:cs="Tahoma"/>
          <w:b/>
          <w:szCs w:val="24"/>
        </w:rPr>
      </w:pPr>
      <w:r w:rsidRPr="00C11F23">
        <w:rPr>
          <w:rFonts w:ascii="Verdana" w:hAnsi="Verdana" w:cs="Tahoma"/>
          <w:b/>
          <w:szCs w:val="24"/>
        </w:rPr>
        <w:t>IN THE HIGH COURT OF SOUTH AFRICA</w:t>
      </w:r>
    </w:p>
    <w:p w:rsidR="00B10DAC" w:rsidRPr="00C11F23" w:rsidRDefault="00B10DAC" w:rsidP="00B10DAC">
      <w:pPr>
        <w:jc w:val="center"/>
        <w:rPr>
          <w:rFonts w:ascii="Verdana" w:hAnsi="Verdana" w:cs="Tahoma"/>
          <w:b/>
          <w:szCs w:val="24"/>
        </w:rPr>
      </w:pPr>
      <w:r w:rsidRPr="00C11F23">
        <w:rPr>
          <w:rFonts w:ascii="Verdana" w:hAnsi="Verdana" w:cs="Tahoma"/>
          <w:b/>
          <w:szCs w:val="24"/>
        </w:rPr>
        <w:t>NORTHERN CAPE DIVISION, KIMBERLEY</w:t>
      </w:r>
    </w:p>
    <w:p w:rsidR="00B10DAC" w:rsidRPr="005466C8" w:rsidRDefault="00B10DAC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DC5F11" w:rsidRDefault="00DC5F11" w:rsidP="00DC5F11">
      <w:pPr>
        <w:tabs>
          <w:tab w:val="left" w:pos="5103"/>
          <w:tab w:val="right" w:pos="8931"/>
        </w:tabs>
        <w:ind w:left="851" w:hanging="851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 w:rsidR="00C11F23">
        <w:rPr>
          <w:rFonts w:ascii="Verdana" w:hAnsi="Verdana" w:cs="Tahoma"/>
          <w:b/>
          <w:sz w:val="24"/>
          <w:szCs w:val="24"/>
        </w:rPr>
        <w:t>Case No:</w:t>
      </w:r>
      <w:r w:rsidR="00B10DAC" w:rsidRPr="005466C8"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/>
          <w:sz w:val="24"/>
          <w:szCs w:val="24"/>
        </w:rPr>
        <w:tab/>
      </w:r>
      <w:r w:rsidR="00560DF1">
        <w:rPr>
          <w:rFonts w:ascii="Verdana" w:hAnsi="Verdana" w:cs="Tahoma"/>
          <w:b/>
          <w:sz w:val="24"/>
          <w:szCs w:val="24"/>
        </w:rPr>
        <w:t>973</w:t>
      </w:r>
      <w:r w:rsidR="00B10DAC" w:rsidRPr="005466C8">
        <w:rPr>
          <w:rFonts w:ascii="Verdana" w:hAnsi="Verdana" w:cs="Tahoma"/>
          <w:b/>
          <w:sz w:val="24"/>
          <w:szCs w:val="24"/>
        </w:rPr>
        <w:t>/20</w:t>
      </w:r>
      <w:r w:rsidR="002928F2">
        <w:rPr>
          <w:rFonts w:ascii="Verdana" w:hAnsi="Verdana" w:cs="Tahoma"/>
          <w:b/>
          <w:sz w:val="24"/>
          <w:szCs w:val="24"/>
        </w:rPr>
        <w:t>2</w:t>
      </w:r>
      <w:r w:rsidR="0094731E">
        <w:rPr>
          <w:rFonts w:ascii="Verdana" w:hAnsi="Verdana" w:cs="Tahoma"/>
          <w:b/>
          <w:sz w:val="24"/>
          <w:szCs w:val="24"/>
        </w:rPr>
        <w:t>2</w:t>
      </w:r>
    </w:p>
    <w:p w:rsidR="00DC5F11" w:rsidRDefault="00DC5F11" w:rsidP="00DC5F11">
      <w:pPr>
        <w:tabs>
          <w:tab w:val="left" w:pos="5103"/>
          <w:tab w:val="right" w:pos="8931"/>
        </w:tabs>
        <w:ind w:left="851" w:hanging="851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 w:rsidR="0048043F">
        <w:rPr>
          <w:rFonts w:ascii="Verdana" w:hAnsi="Verdana" w:cs="Tahoma"/>
          <w:b/>
          <w:sz w:val="24"/>
          <w:szCs w:val="24"/>
        </w:rPr>
        <w:t xml:space="preserve">Heard: </w:t>
      </w:r>
      <w:r>
        <w:rPr>
          <w:rFonts w:ascii="Verdana" w:hAnsi="Verdana" w:cs="Tahoma"/>
          <w:b/>
          <w:sz w:val="24"/>
          <w:szCs w:val="24"/>
        </w:rPr>
        <w:tab/>
      </w:r>
      <w:r w:rsidR="00560DF1">
        <w:rPr>
          <w:rFonts w:ascii="Verdana" w:hAnsi="Verdana" w:cs="Tahoma"/>
          <w:b/>
          <w:sz w:val="24"/>
          <w:szCs w:val="24"/>
        </w:rPr>
        <w:t>22</w:t>
      </w:r>
      <w:r w:rsidR="00EA6677">
        <w:rPr>
          <w:rFonts w:ascii="Verdana" w:hAnsi="Verdana" w:cs="Tahoma"/>
          <w:b/>
          <w:sz w:val="24"/>
          <w:szCs w:val="24"/>
        </w:rPr>
        <w:t>/0</w:t>
      </w:r>
      <w:r w:rsidR="00560DF1">
        <w:rPr>
          <w:rFonts w:ascii="Verdana" w:hAnsi="Verdana" w:cs="Tahoma"/>
          <w:b/>
          <w:sz w:val="24"/>
          <w:szCs w:val="24"/>
        </w:rPr>
        <w:t>7</w:t>
      </w:r>
      <w:r w:rsidR="00EA6677">
        <w:rPr>
          <w:rFonts w:ascii="Verdana" w:hAnsi="Verdana" w:cs="Tahoma"/>
          <w:b/>
          <w:sz w:val="24"/>
          <w:szCs w:val="24"/>
        </w:rPr>
        <w:t>/202</w:t>
      </w:r>
      <w:r w:rsidR="0094731E">
        <w:rPr>
          <w:rFonts w:ascii="Verdana" w:hAnsi="Verdana" w:cs="Tahoma"/>
          <w:b/>
          <w:sz w:val="24"/>
          <w:szCs w:val="24"/>
        </w:rPr>
        <w:t>2</w:t>
      </w:r>
    </w:p>
    <w:p w:rsidR="00EA6677" w:rsidRPr="005466C8" w:rsidRDefault="00DC5F11" w:rsidP="00DC5F11">
      <w:pPr>
        <w:tabs>
          <w:tab w:val="left" w:pos="5103"/>
          <w:tab w:val="right" w:pos="8931"/>
        </w:tabs>
        <w:ind w:left="851" w:hanging="851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 w:rsidR="00C11F23">
        <w:rPr>
          <w:rFonts w:ascii="Verdana" w:hAnsi="Verdana" w:cs="Tahoma"/>
          <w:b/>
          <w:sz w:val="24"/>
          <w:szCs w:val="24"/>
        </w:rPr>
        <w:t>A</w:t>
      </w:r>
      <w:r>
        <w:rPr>
          <w:rFonts w:ascii="Verdana" w:hAnsi="Verdana" w:cs="Tahoma"/>
          <w:b/>
          <w:sz w:val="24"/>
          <w:szCs w:val="24"/>
        </w:rPr>
        <w:t>vailable</w:t>
      </w:r>
      <w:r w:rsidR="00EA6677">
        <w:rPr>
          <w:rFonts w:ascii="Verdana" w:hAnsi="Verdana" w:cs="Tahoma"/>
          <w:b/>
          <w:sz w:val="24"/>
          <w:szCs w:val="24"/>
        </w:rPr>
        <w:t>:</w:t>
      </w:r>
      <w:r w:rsidR="00092013"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/>
          <w:sz w:val="24"/>
          <w:szCs w:val="24"/>
        </w:rPr>
        <w:tab/>
        <w:t>06/09</w:t>
      </w:r>
      <w:r w:rsidR="00092013">
        <w:rPr>
          <w:rFonts w:ascii="Verdana" w:hAnsi="Verdana" w:cs="Tahoma"/>
          <w:b/>
          <w:sz w:val="24"/>
          <w:szCs w:val="24"/>
        </w:rPr>
        <w:t>/202</w:t>
      </w:r>
      <w:r w:rsidR="0094731E">
        <w:rPr>
          <w:rFonts w:ascii="Verdana" w:hAnsi="Verdana" w:cs="Tahoma"/>
          <w:b/>
          <w:sz w:val="24"/>
          <w:szCs w:val="24"/>
        </w:rPr>
        <w:t>2</w:t>
      </w:r>
    </w:p>
    <w:p w:rsidR="00B10DAC" w:rsidRPr="005466C8" w:rsidRDefault="00B10DAC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b/>
          <w:sz w:val="24"/>
          <w:szCs w:val="24"/>
        </w:rPr>
      </w:pPr>
    </w:p>
    <w:p w:rsidR="00B10DAC" w:rsidRPr="005466C8" w:rsidRDefault="00B10DAC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sz w:val="24"/>
          <w:szCs w:val="24"/>
        </w:rPr>
      </w:pPr>
      <w:r w:rsidRPr="005466C8">
        <w:rPr>
          <w:rFonts w:ascii="Verdana" w:hAnsi="Verdana" w:cs="Tahoma"/>
          <w:sz w:val="24"/>
          <w:szCs w:val="24"/>
        </w:rPr>
        <w:t>In the matter between:</w:t>
      </w:r>
    </w:p>
    <w:p w:rsidR="00B10DAC" w:rsidRPr="005466C8" w:rsidRDefault="00B10DAC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b/>
          <w:sz w:val="24"/>
          <w:szCs w:val="24"/>
        </w:rPr>
      </w:pPr>
    </w:p>
    <w:p w:rsidR="001E670E" w:rsidRDefault="00560DF1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BRIDGE TAXI FINANCE NO 5 (PTY) LTD</w:t>
      </w:r>
      <w:r w:rsidR="00DC5F11">
        <w:rPr>
          <w:rFonts w:ascii="Verdana" w:hAnsi="Verdana" w:cs="Tahoma"/>
          <w:b/>
          <w:sz w:val="24"/>
          <w:szCs w:val="24"/>
        </w:rPr>
        <w:t xml:space="preserve"> </w:t>
      </w:r>
      <w:r w:rsidR="0048043F"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>Plaintiff</w:t>
      </w:r>
      <w:r w:rsidR="00D93380">
        <w:rPr>
          <w:rFonts w:ascii="Verdana" w:hAnsi="Verdana" w:cs="Tahoma"/>
          <w:b/>
          <w:sz w:val="24"/>
          <w:szCs w:val="24"/>
        </w:rPr>
        <w:tab/>
      </w:r>
      <w:r w:rsidR="00481588">
        <w:rPr>
          <w:rFonts w:ascii="Verdana" w:hAnsi="Verdana" w:cs="Tahoma"/>
          <w:b/>
          <w:sz w:val="24"/>
          <w:szCs w:val="24"/>
        </w:rPr>
        <w:tab/>
      </w:r>
    </w:p>
    <w:p w:rsidR="00B43A22" w:rsidRPr="005466C8" w:rsidRDefault="00B43A22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sz w:val="24"/>
          <w:szCs w:val="24"/>
        </w:rPr>
      </w:pPr>
    </w:p>
    <w:p w:rsidR="001E670E" w:rsidRPr="0048043F" w:rsidRDefault="0048043F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sz w:val="24"/>
          <w:szCs w:val="24"/>
        </w:rPr>
      </w:pPr>
      <w:r w:rsidRPr="0048043F">
        <w:rPr>
          <w:rFonts w:ascii="Verdana" w:hAnsi="Verdana" w:cs="Tahoma"/>
          <w:sz w:val="24"/>
          <w:szCs w:val="24"/>
        </w:rPr>
        <w:t>a</w:t>
      </w:r>
      <w:r w:rsidR="001E670E" w:rsidRPr="0048043F">
        <w:rPr>
          <w:rFonts w:ascii="Verdana" w:hAnsi="Verdana" w:cs="Tahoma"/>
          <w:sz w:val="24"/>
          <w:szCs w:val="24"/>
        </w:rPr>
        <w:t>nd</w:t>
      </w:r>
    </w:p>
    <w:p w:rsidR="001E670E" w:rsidRPr="005466C8" w:rsidRDefault="001E670E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b/>
          <w:sz w:val="24"/>
          <w:szCs w:val="24"/>
        </w:rPr>
      </w:pPr>
    </w:p>
    <w:p w:rsidR="001E670E" w:rsidRDefault="00560DF1" w:rsidP="00DC5F11">
      <w:pPr>
        <w:tabs>
          <w:tab w:val="left" w:pos="5103"/>
          <w:tab w:val="right" w:pos="8931"/>
        </w:tabs>
        <w:ind w:left="851" w:hanging="851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KEITUMETSE SYLVIA</w:t>
      </w:r>
      <w:r w:rsidR="00EC2F45">
        <w:rPr>
          <w:rFonts w:ascii="Verdana" w:hAnsi="Verdana" w:cs="Tahoma"/>
          <w:b/>
          <w:sz w:val="24"/>
          <w:szCs w:val="24"/>
        </w:rPr>
        <w:t xml:space="preserve"> MONGALA</w:t>
      </w:r>
      <w:r w:rsidR="00B43A22">
        <w:rPr>
          <w:rFonts w:ascii="Verdana" w:hAnsi="Verdana" w:cs="Tahoma"/>
          <w:b/>
          <w:sz w:val="24"/>
          <w:szCs w:val="24"/>
        </w:rPr>
        <w:tab/>
      </w:r>
      <w:r w:rsidR="00DC5F11">
        <w:rPr>
          <w:rFonts w:ascii="Verdana" w:hAnsi="Verdana" w:cs="Tahoma"/>
          <w:b/>
          <w:sz w:val="24"/>
          <w:szCs w:val="24"/>
        </w:rPr>
        <w:tab/>
      </w:r>
      <w:r w:rsidRPr="00560DF1">
        <w:rPr>
          <w:rFonts w:ascii="Verdana" w:hAnsi="Verdana" w:cs="Tahoma"/>
          <w:sz w:val="24"/>
          <w:szCs w:val="24"/>
        </w:rPr>
        <w:t>Defen</w:t>
      </w:r>
      <w:r w:rsidR="001E670E" w:rsidRPr="005466C8">
        <w:rPr>
          <w:rFonts w:ascii="Verdana" w:hAnsi="Verdana" w:cs="Tahoma"/>
          <w:sz w:val="24"/>
          <w:szCs w:val="24"/>
        </w:rPr>
        <w:t>d</w:t>
      </w:r>
      <w:r>
        <w:rPr>
          <w:rFonts w:ascii="Verdana" w:hAnsi="Verdana" w:cs="Tahoma"/>
          <w:sz w:val="24"/>
          <w:szCs w:val="24"/>
        </w:rPr>
        <w:t>a</w:t>
      </w:r>
      <w:r w:rsidR="001E670E" w:rsidRPr="005466C8">
        <w:rPr>
          <w:rFonts w:ascii="Verdana" w:hAnsi="Verdana" w:cs="Tahoma"/>
          <w:sz w:val="24"/>
          <w:szCs w:val="24"/>
        </w:rPr>
        <w:t>nt</w:t>
      </w:r>
    </w:p>
    <w:p w:rsidR="0048043F" w:rsidRPr="00D93380" w:rsidRDefault="00D93380" w:rsidP="00DC5F11">
      <w:pPr>
        <w:ind w:left="851" w:hanging="851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</w:r>
    </w:p>
    <w:p w:rsidR="00B10DAC" w:rsidRPr="005466C8" w:rsidRDefault="00B10DAC" w:rsidP="00B10DAC">
      <w:pPr>
        <w:rPr>
          <w:rFonts w:ascii="Verdana" w:hAnsi="Verdana" w:cs="Tahoma"/>
          <w:b/>
          <w:sz w:val="24"/>
          <w:szCs w:val="24"/>
        </w:rPr>
      </w:pPr>
      <w:r w:rsidRPr="005466C8">
        <w:rPr>
          <w:rFonts w:ascii="Verdana" w:hAnsi="Verdana" w:cs="Tahoma"/>
          <w:b/>
          <w:sz w:val="24"/>
          <w:szCs w:val="24"/>
        </w:rPr>
        <w:t>___________________________</w:t>
      </w:r>
      <w:r w:rsidR="005466C8">
        <w:rPr>
          <w:rFonts w:ascii="Verdana" w:hAnsi="Verdana" w:cs="Tahoma"/>
          <w:b/>
          <w:sz w:val="24"/>
          <w:szCs w:val="24"/>
        </w:rPr>
        <w:t>_________________________</w:t>
      </w:r>
    </w:p>
    <w:p w:rsidR="005466C8" w:rsidRDefault="005466C8" w:rsidP="00B10DAC">
      <w:pPr>
        <w:jc w:val="center"/>
        <w:rPr>
          <w:rFonts w:ascii="Verdana" w:hAnsi="Verdana" w:cs="Tahoma"/>
          <w:b/>
          <w:sz w:val="24"/>
          <w:szCs w:val="24"/>
        </w:rPr>
      </w:pPr>
    </w:p>
    <w:p w:rsidR="00B10DAC" w:rsidRPr="005466C8" w:rsidRDefault="00C96058" w:rsidP="00B10DAC">
      <w:pPr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JUDGMENT</w:t>
      </w:r>
      <w:r w:rsidR="009E7CBF">
        <w:rPr>
          <w:rFonts w:ascii="Verdana" w:hAnsi="Verdana" w:cs="Tahoma"/>
          <w:b/>
          <w:sz w:val="24"/>
          <w:szCs w:val="24"/>
        </w:rPr>
        <w:t>: REASONS</w:t>
      </w:r>
      <w:r w:rsidR="00021A22">
        <w:rPr>
          <w:rFonts w:ascii="Verdana" w:hAnsi="Verdana" w:cs="Tahoma"/>
          <w:b/>
          <w:sz w:val="24"/>
          <w:szCs w:val="24"/>
        </w:rPr>
        <w:t xml:space="preserve"> </w:t>
      </w:r>
    </w:p>
    <w:p w:rsidR="00B10DAC" w:rsidRPr="005466C8" w:rsidRDefault="00B10DAC" w:rsidP="00B10DAC">
      <w:pPr>
        <w:rPr>
          <w:rFonts w:ascii="Verdana" w:hAnsi="Verdana" w:cs="Tahoma"/>
          <w:b/>
          <w:sz w:val="24"/>
          <w:szCs w:val="24"/>
        </w:rPr>
      </w:pPr>
    </w:p>
    <w:p w:rsidR="00B10DAC" w:rsidRPr="005466C8" w:rsidRDefault="00B10DAC" w:rsidP="00B10DAC">
      <w:pPr>
        <w:rPr>
          <w:rFonts w:ascii="Verdana" w:hAnsi="Verdana" w:cs="Tahoma"/>
          <w:sz w:val="24"/>
          <w:szCs w:val="24"/>
        </w:rPr>
      </w:pPr>
      <w:r w:rsidRPr="005466C8">
        <w:rPr>
          <w:rFonts w:ascii="Verdana" w:hAnsi="Verdana" w:cs="Tahoma"/>
          <w:sz w:val="24"/>
          <w:szCs w:val="24"/>
        </w:rPr>
        <w:t>____________________________________</w:t>
      </w:r>
      <w:r w:rsidR="005466C8">
        <w:rPr>
          <w:rFonts w:ascii="Verdana" w:hAnsi="Verdana" w:cs="Tahoma"/>
          <w:sz w:val="24"/>
          <w:szCs w:val="24"/>
        </w:rPr>
        <w:t>_______________________</w:t>
      </w:r>
    </w:p>
    <w:p w:rsidR="00B10DAC" w:rsidRPr="00481588" w:rsidRDefault="001E670E" w:rsidP="00B10DAC">
      <w:pPr>
        <w:rPr>
          <w:rFonts w:ascii="Verdana" w:hAnsi="Verdana" w:cs="Tahoma"/>
          <w:b/>
          <w:sz w:val="24"/>
          <w:szCs w:val="24"/>
        </w:rPr>
      </w:pPr>
      <w:proofErr w:type="spellStart"/>
      <w:r w:rsidRPr="00481588">
        <w:rPr>
          <w:rFonts w:ascii="Verdana" w:hAnsi="Verdana" w:cs="Tahoma"/>
          <w:b/>
          <w:sz w:val="24"/>
          <w:szCs w:val="24"/>
        </w:rPr>
        <w:t>Mamosebo</w:t>
      </w:r>
      <w:proofErr w:type="spellEnd"/>
      <w:r w:rsidRPr="00481588">
        <w:rPr>
          <w:rFonts w:ascii="Verdana" w:hAnsi="Verdana" w:cs="Tahoma"/>
          <w:b/>
          <w:sz w:val="24"/>
          <w:szCs w:val="24"/>
        </w:rPr>
        <w:t xml:space="preserve"> J</w:t>
      </w:r>
    </w:p>
    <w:p w:rsidR="00B10DAC" w:rsidRPr="00481588" w:rsidRDefault="00B10DAC" w:rsidP="00B10DAC">
      <w:pPr>
        <w:rPr>
          <w:rFonts w:ascii="Verdana" w:hAnsi="Verdana" w:cs="Tahoma"/>
          <w:b/>
          <w:sz w:val="24"/>
          <w:szCs w:val="24"/>
        </w:rPr>
      </w:pPr>
    </w:p>
    <w:p w:rsidR="00B10DAC" w:rsidRPr="005466C8" w:rsidRDefault="00B10DAC" w:rsidP="00B10DAC">
      <w:pPr>
        <w:rPr>
          <w:rFonts w:ascii="Verdana" w:hAnsi="Verdana" w:cs="Tahoma"/>
          <w:sz w:val="24"/>
          <w:szCs w:val="24"/>
        </w:rPr>
      </w:pPr>
    </w:p>
    <w:p w:rsidR="005775C0" w:rsidRDefault="00B10DAC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 w:rsidRPr="005466C8">
        <w:rPr>
          <w:rFonts w:ascii="Verdana" w:hAnsi="Verdana" w:cs="Tahoma"/>
          <w:sz w:val="24"/>
          <w:szCs w:val="24"/>
        </w:rPr>
        <w:t>[1]</w:t>
      </w:r>
      <w:r w:rsidRPr="005466C8">
        <w:rPr>
          <w:rFonts w:ascii="Verdana" w:hAnsi="Verdana" w:cs="Tahoma"/>
          <w:sz w:val="24"/>
          <w:szCs w:val="24"/>
        </w:rPr>
        <w:tab/>
      </w:r>
      <w:r w:rsidR="00AE01B7" w:rsidRPr="005466C8">
        <w:rPr>
          <w:rFonts w:ascii="Verdana" w:hAnsi="Verdana" w:cs="Tahoma"/>
          <w:sz w:val="24"/>
          <w:szCs w:val="24"/>
        </w:rPr>
        <w:t>Th</w:t>
      </w:r>
      <w:r w:rsidR="005775C0">
        <w:rPr>
          <w:rFonts w:ascii="Verdana" w:hAnsi="Verdana" w:cs="Tahoma"/>
          <w:sz w:val="24"/>
          <w:szCs w:val="24"/>
        </w:rPr>
        <w:t xml:space="preserve">is matter concerns an application for default judgment </w:t>
      </w:r>
      <w:r w:rsidR="00402EB9">
        <w:rPr>
          <w:rFonts w:ascii="Verdana" w:hAnsi="Verdana" w:cs="Tahoma"/>
          <w:sz w:val="24"/>
          <w:szCs w:val="24"/>
        </w:rPr>
        <w:t xml:space="preserve">in terms of Rule 31(5) of the Uniform Rules of Court </w:t>
      </w:r>
      <w:r w:rsidR="005775C0">
        <w:rPr>
          <w:rFonts w:ascii="Verdana" w:hAnsi="Verdana" w:cs="Tahoma"/>
          <w:sz w:val="24"/>
          <w:szCs w:val="24"/>
        </w:rPr>
        <w:t>that I refused</w:t>
      </w:r>
      <w:r w:rsidR="00402EB9">
        <w:rPr>
          <w:rFonts w:ascii="Verdana" w:hAnsi="Verdana" w:cs="Tahoma"/>
          <w:sz w:val="24"/>
          <w:szCs w:val="24"/>
        </w:rPr>
        <w:t xml:space="preserve"> </w:t>
      </w:r>
      <w:r w:rsidR="005775C0">
        <w:rPr>
          <w:rFonts w:ascii="Verdana" w:hAnsi="Verdana" w:cs="Tahoma"/>
          <w:sz w:val="24"/>
          <w:szCs w:val="24"/>
        </w:rPr>
        <w:t>to grant when the matter served before me in the unopposed motion</w:t>
      </w:r>
      <w:r w:rsidR="00402EB9">
        <w:rPr>
          <w:rFonts w:ascii="Verdana" w:hAnsi="Verdana" w:cs="Tahoma"/>
          <w:sz w:val="24"/>
          <w:szCs w:val="24"/>
        </w:rPr>
        <w:t xml:space="preserve"> </w:t>
      </w:r>
      <w:r w:rsidR="005775C0">
        <w:rPr>
          <w:rFonts w:ascii="Verdana" w:hAnsi="Verdana" w:cs="Tahoma"/>
          <w:sz w:val="24"/>
          <w:szCs w:val="24"/>
        </w:rPr>
        <w:t xml:space="preserve">court on 22 July 2022. </w:t>
      </w:r>
      <w:r w:rsidR="00021A22">
        <w:rPr>
          <w:rFonts w:ascii="Verdana" w:hAnsi="Verdana" w:cs="Tahoma"/>
          <w:sz w:val="24"/>
          <w:szCs w:val="24"/>
        </w:rPr>
        <w:t xml:space="preserve"> </w:t>
      </w:r>
      <w:r w:rsidR="005775C0">
        <w:rPr>
          <w:rFonts w:ascii="Verdana" w:hAnsi="Verdana" w:cs="Tahoma"/>
          <w:sz w:val="24"/>
          <w:szCs w:val="24"/>
        </w:rPr>
        <w:t xml:space="preserve">The plaintiff now requests for reasons in terms of Rule 49 of the Uniform Rules of Court. </w:t>
      </w:r>
      <w:r w:rsidR="00050CBF">
        <w:rPr>
          <w:rFonts w:ascii="Verdana" w:hAnsi="Verdana" w:cs="Tahoma"/>
          <w:sz w:val="24"/>
          <w:szCs w:val="24"/>
        </w:rPr>
        <w:t>The file was only returned to me on 31 August 2022.</w:t>
      </w:r>
    </w:p>
    <w:p w:rsidR="005775C0" w:rsidRDefault="005775C0" w:rsidP="00B10DAC">
      <w:pPr>
        <w:spacing w:line="360" w:lineRule="auto"/>
        <w:jc w:val="both"/>
        <w:rPr>
          <w:rFonts w:ascii="Verdana" w:hAnsi="Verdana" w:cs="Tahoma"/>
          <w:sz w:val="24"/>
          <w:szCs w:val="24"/>
        </w:rPr>
      </w:pPr>
    </w:p>
    <w:p w:rsidR="00323D5B" w:rsidRDefault="005775C0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[2]</w:t>
      </w:r>
      <w:r>
        <w:rPr>
          <w:rFonts w:ascii="Verdana" w:hAnsi="Verdana" w:cs="Tahoma"/>
          <w:sz w:val="24"/>
          <w:szCs w:val="24"/>
        </w:rPr>
        <w:tab/>
      </w:r>
      <w:r w:rsidR="00402EB9">
        <w:rPr>
          <w:rFonts w:ascii="Verdana" w:hAnsi="Verdana" w:cs="Tahoma"/>
          <w:sz w:val="24"/>
          <w:szCs w:val="24"/>
        </w:rPr>
        <w:t xml:space="preserve">A consumer, Ms </w:t>
      </w:r>
      <w:proofErr w:type="spellStart"/>
      <w:r w:rsidR="00402EB9">
        <w:rPr>
          <w:rFonts w:ascii="Verdana" w:hAnsi="Verdana" w:cs="Tahoma"/>
          <w:sz w:val="24"/>
          <w:szCs w:val="24"/>
        </w:rPr>
        <w:t>Keitumetse</w:t>
      </w:r>
      <w:proofErr w:type="spellEnd"/>
      <w:r w:rsidR="00402EB9">
        <w:rPr>
          <w:rFonts w:ascii="Verdana" w:hAnsi="Verdana" w:cs="Tahoma"/>
          <w:sz w:val="24"/>
          <w:szCs w:val="24"/>
        </w:rPr>
        <w:t xml:space="preserve"> Sylvia </w:t>
      </w:r>
      <w:proofErr w:type="spellStart"/>
      <w:r w:rsidR="00402EB9">
        <w:rPr>
          <w:rFonts w:ascii="Verdana" w:hAnsi="Verdana" w:cs="Tahoma"/>
          <w:sz w:val="24"/>
          <w:szCs w:val="24"/>
        </w:rPr>
        <w:t>Mongala</w:t>
      </w:r>
      <w:proofErr w:type="spellEnd"/>
      <w:r w:rsidR="00402EB9">
        <w:rPr>
          <w:rFonts w:ascii="Verdana" w:hAnsi="Verdana" w:cs="Tahoma"/>
          <w:sz w:val="24"/>
          <w:szCs w:val="24"/>
        </w:rPr>
        <w:t xml:space="preserve">, entered into a credit agreement with the plaintiff, Bridge Taxi Finance No 05 (Pty) Ltd on </w:t>
      </w:r>
      <w:r w:rsidR="00402EB9">
        <w:rPr>
          <w:rFonts w:ascii="Verdana" w:hAnsi="Verdana" w:cs="Tahoma"/>
          <w:sz w:val="24"/>
          <w:szCs w:val="24"/>
        </w:rPr>
        <w:lastRenderedPageBreak/>
        <w:t xml:space="preserve">18 December 2019 in terms of which a 2019 Auto Brilliance JINBEI H1 minibus vehicle with engine number JM491QMEF12655 and chassis number LSYHKAAA1JK033282 was </w:t>
      </w:r>
      <w:r w:rsidR="007A3CD3">
        <w:rPr>
          <w:rFonts w:ascii="Verdana" w:hAnsi="Verdana" w:cs="Tahoma"/>
          <w:sz w:val="24"/>
          <w:szCs w:val="24"/>
        </w:rPr>
        <w:t xml:space="preserve">sold and delivered to her. </w:t>
      </w:r>
      <w:r w:rsidR="00857536">
        <w:rPr>
          <w:rFonts w:ascii="Verdana" w:hAnsi="Verdana" w:cs="Tahoma"/>
          <w:sz w:val="24"/>
          <w:szCs w:val="24"/>
        </w:rPr>
        <w:t xml:space="preserve"> </w:t>
      </w:r>
      <w:r w:rsidR="007A3CD3">
        <w:rPr>
          <w:rFonts w:ascii="Verdana" w:hAnsi="Verdana" w:cs="Tahoma"/>
          <w:sz w:val="24"/>
          <w:szCs w:val="24"/>
        </w:rPr>
        <w:t xml:space="preserve">She is </w:t>
      </w:r>
      <w:r w:rsidR="00402EB9">
        <w:rPr>
          <w:rFonts w:ascii="Verdana" w:hAnsi="Verdana" w:cs="Tahoma"/>
          <w:sz w:val="24"/>
          <w:szCs w:val="24"/>
        </w:rPr>
        <w:t xml:space="preserve">in default of </w:t>
      </w:r>
      <w:r w:rsidR="007A3CD3">
        <w:rPr>
          <w:rFonts w:ascii="Verdana" w:hAnsi="Verdana" w:cs="Tahoma"/>
          <w:sz w:val="24"/>
          <w:szCs w:val="24"/>
        </w:rPr>
        <w:t xml:space="preserve">the </w:t>
      </w:r>
      <w:r w:rsidR="00402EB9">
        <w:rPr>
          <w:rFonts w:ascii="Verdana" w:hAnsi="Verdana" w:cs="Tahoma"/>
          <w:sz w:val="24"/>
          <w:szCs w:val="24"/>
        </w:rPr>
        <w:t xml:space="preserve">credit agreement </w:t>
      </w:r>
      <w:r w:rsidR="007A3CD3">
        <w:rPr>
          <w:rFonts w:ascii="Verdana" w:hAnsi="Verdana" w:cs="Tahoma"/>
          <w:sz w:val="24"/>
          <w:szCs w:val="24"/>
        </w:rPr>
        <w:t xml:space="preserve">in that she has failed to pay </w:t>
      </w:r>
      <w:r w:rsidR="007A3CD3">
        <w:rPr>
          <w:rFonts w:ascii="Verdana" w:hAnsi="Verdana" w:cs="Tahoma"/>
          <w:sz w:val="24"/>
          <w:szCs w:val="24"/>
        </w:rPr>
        <w:tab/>
        <w:t>the rentals and fell in arrears with her payments in the sum of R253</w:t>
      </w:r>
      <w:r w:rsidR="00C11F23">
        <w:rPr>
          <w:rFonts w:ascii="Verdana" w:hAnsi="Verdana" w:cs="Tahoma"/>
          <w:sz w:val="24"/>
          <w:szCs w:val="24"/>
        </w:rPr>
        <w:t>,</w:t>
      </w:r>
      <w:r w:rsidR="007A3CD3">
        <w:rPr>
          <w:rFonts w:ascii="Verdana" w:hAnsi="Verdana" w:cs="Tahoma"/>
          <w:sz w:val="24"/>
          <w:szCs w:val="24"/>
        </w:rPr>
        <w:t xml:space="preserve">499.26. </w:t>
      </w:r>
    </w:p>
    <w:p w:rsidR="007A3CD3" w:rsidRDefault="007A3CD3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</w:p>
    <w:p w:rsidR="00643266" w:rsidRPr="005754D5" w:rsidRDefault="007A3CD3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[3]</w:t>
      </w:r>
      <w:r>
        <w:rPr>
          <w:rFonts w:ascii="Verdana" w:hAnsi="Verdana" w:cs="Tahoma"/>
          <w:sz w:val="24"/>
          <w:szCs w:val="24"/>
        </w:rPr>
        <w:tab/>
        <w:t xml:space="preserve">The plaintiff maintains that it has complied with the requirements of s 129 and 130 of the National Credit Act in that the letter, marked annexure “D” was </w:t>
      </w:r>
      <w:r w:rsidR="00C11F23" w:rsidRPr="005754D5">
        <w:rPr>
          <w:rFonts w:ascii="Verdana" w:hAnsi="Verdana" w:cs="Tahoma"/>
          <w:sz w:val="24"/>
          <w:szCs w:val="24"/>
        </w:rPr>
        <w:t>served on</w:t>
      </w:r>
      <w:r w:rsidRPr="005754D5">
        <w:rPr>
          <w:rFonts w:ascii="Verdana" w:hAnsi="Verdana" w:cs="Tahoma"/>
          <w:sz w:val="24"/>
          <w:szCs w:val="24"/>
        </w:rPr>
        <w:t xml:space="preserve"> the defendant by the sheriff on 29 April 2022 </w:t>
      </w:r>
      <w:r w:rsidR="00C11F23" w:rsidRPr="005754D5">
        <w:rPr>
          <w:rFonts w:ascii="Verdana" w:hAnsi="Verdana" w:cs="Tahoma"/>
          <w:sz w:val="24"/>
          <w:szCs w:val="24"/>
        </w:rPr>
        <w:t>at</w:t>
      </w:r>
      <w:r w:rsidRPr="005754D5">
        <w:rPr>
          <w:rFonts w:ascii="Verdana" w:hAnsi="Verdana" w:cs="Tahoma"/>
          <w:sz w:val="24"/>
          <w:szCs w:val="24"/>
        </w:rPr>
        <w:t xml:space="preserve"> the chosen </w:t>
      </w:r>
      <w:proofErr w:type="spellStart"/>
      <w:r w:rsidRPr="005754D5">
        <w:rPr>
          <w:rFonts w:ascii="Verdana" w:hAnsi="Verdana" w:cs="Tahoma"/>
          <w:i/>
          <w:sz w:val="24"/>
          <w:szCs w:val="24"/>
        </w:rPr>
        <w:t>domicilium</w:t>
      </w:r>
      <w:proofErr w:type="spellEnd"/>
      <w:r w:rsidRPr="005754D5">
        <w:rPr>
          <w:rFonts w:ascii="Verdana" w:hAnsi="Verdana" w:cs="Tahoma"/>
          <w:sz w:val="24"/>
          <w:szCs w:val="24"/>
        </w:rPr>
        <w:t xml:space="preserve"> address of the defendant. </w:t>
      </w:r>
    </w:p>
    <w:p w:rsidR="00643266" w:rsidRPr="005754D5" w:rsidRDefault="00643266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</w:p>
    <w:p w:rsidR="00CC736F" w:rsidRPr="005754D5" w:rsidRDefault="00CC736F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 w:rsidRPr="005754D5">
        <w:rPr>
          <w:rFonts w:ascii="Verdana" w:hAnsi="Verdana" w:cs="Tahoma"/>
          <w:sz w:val="24"/>
          <w:szCs w:val="24"/>
        </w:rPr>
        <w:t>[4]</w:t>
      </w:r>
      <w:r w:rsidRPr="005754D5">
        <w:rPr>
          <w:rFonts w:ascii="Verdana" w:hAnsi="Verdana" w:cs="Tahoma"/>
          <w:sz w:val="24"/>
          <w:szCs w:val="24"/>
        </w:rPr>
        <w:tab/>
        <w:t xml:space="preserve">The sheriff’s return </w:t>
      </w:r>
      <w:r w:rsidR="00643266" w:rsidRPr="005754D5">
        <w:rPr>
          <w:rFonts w:ascii="Verdana" w:hAnsi="Verdana" w:cs="Tahoma"/>
          <w:sz w:val="24"/>
          <w:szCs w:val="24"/>
        </w:rPr>
        <w:t xml:space="preserve">marked annexure “E” </w:t>
      </w:r>
      <w:r w:rsidRPr="005754D5">
        <w:rPr>
          <w:rFonts w:ascii="Verdana" w:hAnsi="Verdana" w:cs="Tahoma"/>
          <w:sz w:val="24"/>
          <w:szCs w:val="24"/>
        </w:rPr>
        <w:t xml:space="preserve">records the following: </w:t>
      </w:r>
    </w:p>
    <w:p w:rsidR="00857536" w:rsidRPr="005754D5" w:rsidRDefault="00CC736F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 w:rsidRPr="005754D5">
        <w:rPr>
          <w:rFonts w:ascii="Verdana" w:hAnsi="Verdana" w:cs="Tahoma"/>
          <w:sz w:val="24"/>
          <w:szCs w:val="24"/>
        </w:rPr>
        <w:tab/>
      </w:r>
    </w:p>
    <w:p w:rsidR="00CC736F" w:rsidRPr="005754D5" w:rsidRDefault="00CC736F" w:rsidP="00857536">
      <w:pPr>
        <w:ind w:left="851"/>
        <w:jc w:val="both"/>
        <w:rPr>
          <w:rFonts w:ascii="Verdana" w:hAnsi="Verdana" w:cs="Tahoma"/>
          <w:b/>
          <w:i/>
          <w:sz w:val="24"/>
          <w:szCs w:val="24"/>
        </w:rPr>
      </w:pPr>
      <w:r w:rsidRPr="005754D5">
        <w:rPr>
          <w:rFonts w:ascii="Verdana" w:hAnsi="Verdana" w:cs="Tahoma"/>
          <w:i/>
          <w:sz w:val="24"/>
          <w:szCs w:val="24"/>
        </w:rPr>
        <w:t>“</w:t>
      </w:r>
      <w:r w:rsidRPr="005754D5">
        <w:rPr>
          <w:rFonts w:ascii="Verdana" w:hAnsi="Verdana" w:cs="Tahoma"/>
          <w:b/>
          <w:i/>
          <w:sz w:val="24"/>
          <w:szCs w:val="24"/>
        </w:rPr>
        <w:t>SERVICE</w:t>
      </w:r>
      <w:r w:rsidRPr="005754D5">
        <w:rPr>
          <w:rFonts w:ascii="Verdana" w:hAnsi="Verdana" w:cs="Tahoma"/>
          <w:i/>
          <w:sz w:val="24"/>
          <w:szCs w:val="24"/>
        </w:rPr>
        <w:t xml:space="preserve"> </w:t>
      </w:r>
      <w:r w:rsidRPr="005754D5">
        <w:rPr>
          <w:rFonts w:ascii="Verdana" w:hAnsi="Verdana" w:cs="Tahoma"/>
          <w:b/>
          <w:i/>
          <w:sz w:val="24"/>
          <w:szCs w:val="24"/>
        </w:rPr>
        <w:t>BY AFFIXING AT CHOSEN DOMICILIUM CITANDI ET EXECUTANDI</w:t>
      </w:r>
    </w:p>
    <w:p w:rsidR="007A3CD3" w:rsidRPr="005754D5" w:rsidRDefault="00CC736F" w:rsidP="00857536">
      <w:pPr>
        <w:ind w:left="851"/>
        <w:jc w:val="both"/>
        <w:rPr>
          <w:rFonts w:ascii="Verdana" w:hAnsi="Verdana" w:cs="Tahoma"/>
          <w:sz w:val="24"/>
          <w:szCs w:val="24"/>
        </w:rPr>
      </w:pPr>
      <w:r w:rsidRPr="005754D5">
        <w:rPr>
          <w:rFonts w:ascii="Verdana" w:hAnsi="Verdana" w:cs="Tahoma"/>
          <w:i/>
          <w:sz w:val="24"/>
          <w:szCs w:val="24"/>
        </w:rPr>
        <w:t xml:space="preserve">By service of a copy of the SECTION 129 </w:t>
      </w:r>
      <w:r w:rsidR="003A7863" w:rsidRPr="005754D5">
        <w:rPr>
          <w:rFonts w:ascii="Verdana" w:hAnsi="Verdana" w:cs="Tahoma"/>
          <w:i/>
          <w:sz w:val="24"/>
          <w:szCs w:val="24"/>
        </w:rPr>
        <w:t>LETTER on</w:t>
      </w:r>
      <w:r w:rsidR="00857536" w:rsidRPr="005754D5">
        <w:rPr>
          <w:rFonts w:ascii="Verdana" w:hAnsi="Verdana" w:cs="Tahoma"/>
          <w:i/>
          <w:sz w:val="24"/>
          <w:szCs w:val="24"/>
        </w:rPr>
        <w:t xml:space="preserve"> DEFENDANT by </w:t>
      </w:r>
      <w:r w:rsidRPr="005754D5">
        <w:rPr>
          <w:rFonts w:ascii="Verdana" w:hAnsi="Verdana" w:cs="Tahoma"/>
          <w:i/>
          <w:sz w:val="24"/>
          <w:szCs w:val="24"/>
        </w:rPr>
        <w:t xml:space="preserve">affixing a copy to the principal door at the above-mentioned address, being the chosen </w:t>
      </w:r>
      <w:proofErr w:type="spellStart"/>
      <w:r w:rsidRPr="005754D5">
        <w:rPr>
          <w:rFonts w:ascii="Verdana" w:hAnsi="Verdana" w:cs="Tahoma"/>
          <w:i/>
          <w:sz w:val="24"/>
          <w:szCs w:val="24"/>
        </w:rPr>
        <w:t>domicilium</w:t>
      </w:r>
      <w:proofErr w:type="spellEnd"/>
      <w:r w:rsidRPr="005754D5">
        <w:rPr>
          <w:rFonts w:ascii="Verdana" w:hAnsi="Verdana" w:cs="Tahoma"/>
          <w:i/>
          <w:sz w:val="24"/>
          <w:szCs w:val="24"/>
        </w:rPr>
        <w:t xml:space="preserve"> </w:t>
      </w:r>
      <w:proofErr w:type="spellStart"/>
      <w:r w:rsidRPr="005754D5">
        <w:rPr>
          <w:rFonts w:ascii="Verdana" w:hAnsi="Verdana" w:cs="Tahoma"/>
          <w:i/>
          <w:sz w:val="24"/>
          <w:szCs w:val="24"/>
        </w:rPr>
        <w:t>citandi</w:t>
      </w:r>
      <w:proofErr w:type="spellEnd"/>
      <w:r w:rsidRPr="005754D5">
        <w:rPr>
          <w:rFonts w:ascii="Verdana" w:hAnsi="Verdana" w:cs="Tahoma"/>
          <w:i/>
          <w:sz w:val="24"/>
          <w:szCs w:val="24"/>
        </w:rPr>
        <w:t xml:space="preserve"> et </w:t>
      </w:r>
      <w:proofErr w:type="spellStart"/>
      <w:r w:rsidRPr="005754D5">
        <w:rPr>
          <w:rFonts w:ascii="Verdana" w:hAnsi="Verdana" w:cs="Tahoma"/>
          <w:i/>
          <w:sz w:val="24"/>
          <w:szCs w:val="24"/>
        </w:rPr>
        <w:t>executandi</w:t>
      </w:r>
      <w:proofErr w:type="spellEnd"/>
      <w:r w:rsidRPr="005754D5">
        <w:rPr>
          <w:rFonts w:ascii="Verdana" w:hAnsi="Verdana" w:cs="Tahoma"/>
          <w:i/>
          <w:sz w:val="24"/>
          <w:szCs w:val="24"/>
        </w:rPr>
        <w:t xml:space="preserve"> of the DEFENDANT.</w:t>
      </w:r>
      <w:r w:rsidRPr="005754D5">
        <w:rPr>
          <w:rFonts w:ascii="Verdana" w:hAnsi="Verdana" w:cs="Tahoma"/>
          <w:sz w:val="24"/>
          <w:szCs w:val="24"/>
        </w:rPr>
        <w:t xml:space="preserve"> </w:t>
      </w:r>
    </w:p>
    <w:p w:rsidR="00CC736F" w:rsidRPr="005754D5" w:rsidRDefault="00CC736F" w:rsidP="00857536">
      <w:pPr>
        <w:ind w:left="851"/>
        <w:jc w:val="both"/>
        <w:rPr>
          <w:rFonts w:ascii="Verdana" w:hAnsi="Verdana" w:cs="Tahoma"/>
          <w:i/>
          <w:sz w:val="24"/>
          <w:szCs w:val="24"/>
        </w:rPr>
      </w:pPr>
      <w:r w:rsidRPr="005754D5">
        <w:rPr>
          <w:rFonts w:ascii="Verdana" w:hAnsi="Verdana" w:cs="Tahoma"/>
          <w:i/>
          <w:sz w:val="24"/>
          <w:szCs w:val="24"/>
        </w:rPr>
        <w:t>No other service was possible after performing a diligent search.</w:t>
      </w:r>
    </w:p>
    <w:p w:rsidR="00CC736F" w:rsidRPr="005754D5" w:rsidRDefault="00CC736F" w:rsidP="00857536">
      <w:pPr>
        <w:ind w:left="851"/>
        <w:jc w:val="both"/>
        <w:rPr>
          <w:rFonts w:ascii="Verdana" w:hAnsi="Verdana" w:cs="Tahoma"/>
          <w:i/>
          <w:sz w:val="24"/>
          <w:szCs w:val="24"/>
        </w:rPr>
      </w:pPr>
      <w:r w:rsidRPr="005754D5">
        <w:rPr>
          <w:rFonts w:ascii="Verdana" w:hAnsi="Verdana" w:cs="Tahoma"/>
          <w:i/>
          <w:sz w:val="24"/>
          <w:szCs w:val="24"/>
        </w:rPr>
        <w:t>According to the security, due to the long weekend, everybody went away.”</w:t>
      </w:r>
    </w:p>
    <w:p w:rsidR="00CC736F" w:rsidRPr="005754D5" w:rsidRDefault="00CC736F" w:rsidP="00857536">
      <w:pPr>
        <w:spacing w:line="480" w:lineRule="auto"/>
        <w:ind w:left="851" w:hanging="851"/>
        <w:jc w:val="both"/>
        <w:rPr>
          <w:rFonts w:ascii="Verdana" w:hAnsi="Verdana" w:cs="Tahoma"/>
          <w:i/>
          <w:sz w:val="24"/>
          <w:szCs w:val="24"/>
        </w:rPr>
      </w:pPr>
    </w:p>
    <w:p w:rsidR="00CC736F" w:rsidRDefault="00CC736F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 w:rsidRPr="005754D5">
        <w:rPr>
          <w:rFonts w:ascii="Verdana" w:hAnsi="Verdana" w:cs="Tahoma"/>
          <w:sz w:val="24"/>
          <w:szCs w:val="24"/>
        </w:rPr>
        <w:t>[5]</w:t>
      </w:r>
      <w:r w:rsidRPr="005754D5">
        <w:rPr>
          <w:rFonts w:ascii="Verdana" w:hAnsi="Verdana" w:cs="Tahoma"/>
          <w:sz w:val="24"/>
          <w:szCs w:val="24"/>
        </w:rPr>
        <w:tab/>
        <w:t xml:space="preserve">On 17 May 2022 the plaintiff issued summons out of this Court claiming, </w:t>
      </w:r>
      <w:r w:rsidRPr="005754D5">
        <w:rPr>
          <w:rFonts w:ascii="Verdana" w:hAnsi="Verdana" w:cs="Tahoma"/>
          <w:i/>
          <w:sz w:val="24"/>
          <w:szCs w:val="24"/>
        </w:rPr>
        <w:t>inter alia</w:t>
      </w:r>
      <w:r w:rsidRPr="005754D5">
        <w:rPr>
          <w:rFonts w:ascii="Verdana" w:hAnsi="Verdana" w:cs="Tahoma"/>
          <w:sz w:val="24"/>
          <w:szCs w:val="24"/>
        </w:rPr>
        <w:t>, cancellation of the agreement, return of the minibus and other ancillary</w:t>
      </w:r>
      <w:r>
        <w:rPr>
          <w:rFonts w:ascii="Verdana" w:hAnsi="Verdana" w:cs="Tahoma"/>
          <w:sz w:val="24"/>
          <w:szCs w:val="24"/>
        </w:rPr>
        <w:t xml:space="preserve"> relief.</w:t>
      </w:r>
    </w:p>
    <w:p w:rsidR="00C3327A" w:rsidRDefault="00C3327A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</w:p>
    <w:p w:rsidR="008A7868" w:rsidRDefault="00C3327A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[6]</w:t>
      </w:r>
      <w:r>
        <w:rPr>
          <w:rFonts w:ascii="Verdana" w:hAnsi="Verdana" w:cs="Tahoma"/>
          <w:sz w:val="24"/>
          <w:szCs w:val="24"/>
        </w:rPr>
        <w:tab/>
      </w:r>
      <w:r w:rsidR="008A7868" w:rsidRPr="008A7868">
        <w:rPr>
          <w:rFonts w:ascii="Verdana" w:hAnsi="Verdana" w:cs="Tahoma"/>
          <w:sz w:val="24"/>
          <w:szCs w:val="24"/>
        </w:rPr>
        <w:t>The aim of section 129(1)(a) "</w:t>
      </w:r>
      <w:r w:rsidR="008A7868" w:rsidRPr="00C11F23">
        <w:rPr>
          <w:rFonts w:ascii="Verdana" w:hAnsi="Verdana" w:cs="Tahoma"/>
          <w:i/>
          <w:sz w:val="24"/>
          <w:szCs w:val="24"/>
        </w:rPr>
        <w:t>is to facilitate consensual resolution of credit agreement disputes</w:t>
      </w:r>
      <w:r w:rsidR="008A7868" w:rsidRPr="008A7868">
        <w:rPr>
          <w:rFonts w:ascii="Verdana" w:hAnsi="Verdana" w:cs="Tahoma"/>
          <w:sz w:val="24"/>
          <w:szCs w:val="24"/>
        </w:rPr>
        <w:t>."</w:t>
      </w:r>
      <w:r w:rsidR="008A7868">
        <w:rPr>
          <w:rFonts w:ascii="Verdana" w:hAnsi="Verdana" w:cs="Tahoma"/>
          <w:sz w:val="24"/>
          <w:szCs w:val="24"/>
        </w:rPr>
        <w:t xml:space="preserve"> </w:t>
      </w:r>
      <w:r w:rsidR="00857536">
        <w:rPr>
          <w:rFonts w:ascii="Verdana" w:hAnsi="Verdana" w:cs="Tahoma"/>
          <w:sz w:val="24"/>
          <w:szCs w:val="24"/>
        </w:rPr>
        <w:t xml:space="preserve"> </w:t>
      </w:r>
      <w:r w:rsidR="008A7868" w:rsidRPr="008A7868">
        <w:rPr>
          <w:rFonts w:ascii="Verdana" w:hAnsi="Verdana" w:cs="Tahoma"/>
          <w:sz w:val="24"/>
          <w:szCs w:val="24"/>
        </w:rPr>
        <w:t xml:space="preserve">Section 129(1) places a duty on the credit provider to inform the consumer of the possible assistance that </w:t>
      </w:r>
      <w:r w:rsidR="008A7868">
        <w:rPr>
          <w:rFonts w:ascii="Verdana" w:hAnsi="Verdana" w:cs="Tahoma"/>
          <w:sz w:val="24"/>
          <w:szCs w:val="24"/>
        </w:rPr>
        <w:tab/>
      </w:r>
      <w:r w:rsidR="008A7868" w:rsidRPr="008A7868">
        <w:rPr>
          <w:rFonts w:ascii="Verdana" w:hAnsi="Verdana" w:cs="Tahoma"/>
          <w:sz w:val="24"/>
          <w:szCs w:val="24"/>
        </w:rPr>
        <w:t>is available before legal action will be instituted</w:t>
      </w:r>
      <w:r w:rsidR="008A7868">
        <w:rPr>
          <w:rFonts w:ascii="Verdana" w:hAnsi="Verdana" w:cs="Tahoma"/>
          <w:sz w:val="24"/>
          <w:szCs w:val="24"/>
        </w:rPr>
        <w:t>.</w:t>
      </w:r>
      <w:r w:rsidR="008A7868">
        <w:rPr>
          <w:rStyle w:val="FootnoteReference"/>
          <w:rFonts w:ascii="Verdana" w:hAnsi="Verdana" w:cs="Tahoma"/>
          <w:sz w:val="24"/>
          <w:szCs w:val="24"/>
        </w:rPr>
        <w:footnoteReference w:id="1"/>
      </w:r>
      <w:r w:rsidR="008A7868">
        <w:rPr>
          <w:rFonts w:ascii="Verdana" w:hAnsi="Verdana" w:cs="Tahoma"/>
          <w:sz w:val="24"/>
          <w:szCs w:val="24"/>
        </w:rPr>
        <w:t xml:space="preserve"> </w:t>
      </w:r>
    </w:p>
    <w:p w:rsidR="0092284F" w:rsidRPr="0092284F" w:rsidRDefault="008A7868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lastRenderedPageBreak/>
        <w:t>[7]</w:t>
      </w:r>
      <w:r>
        <w:rPr>
          <w:rFonts w:ascii="Verdana" w:hAnsi="Verdana" w:cs="Tahoma"/>
          <w:sz w:val="24"/>
          <w:szCs w:val="24"/>
        </w:rPr>
        <w:tab/>
      </w:r>
      <w:r w:rsidR="00C3327A">
        <w:rPr>
          <w:rFonts w:ascii="Verdana" w:hAnsi="Verdana" w:cs="Tahoma"/>
          <w:sz w:val="24"/>
          <w:szCs w:val="24"/>
        </w:rPr>
        <w:t>The National Credit Amendment Act, 19 of 2014</w:t>
      </w:r>
      <w:r w:rsidR="003A7863">
        <w:rPr>
          <w:rFonts w:ascii="Verdana" w:hAnsi="Verdana" w:cs="Tahoma"/>
          <w:sz w:val="24"/>
          <w:szCs w:val="24"/>
        </w:rPr>
        <w:t>,</w:t>
      </w:r>
      <w:r>
        <w:rPr>
          <w:rFonts w:ascii="Verdana" w:hAnsi="Verdana" w:cs="Tahoma"/>
          <w:sz w:val="24"/>
          <w:szCs w:val="24"/>
        </w:rPr>
        <w:t xml:space="preserve"> </w:t>
      </w:r>
      <w:r w:rsidR="003A7863">
        <w:rPr>
          <w:rFonts w:ascii="Verdana" w:hAnsi="Verdana" w:cs="Tahoma"/>
          <w:sz w:val="24"/>
          <w:szCs w:val="24"/>
        </w:rPr>
        <w:t xml:space="preserve">(NCAA) </w:t>
      </w:r>
      <w:r w:rsidR="0092284F" w:rsidRPr="0092284F">
        <w:rPr>
          <w:rFonts w:ascii="Verdana" w:hAnsi="Verdana" w:cs="Tahoma"/>
          <w:sz w:val="24"/>
          <w:szCs w:val="24"/>
        </w:rPr>
        <w:t>came into effect on 13 March 2015</w:t>
      </w:r>
      <w:r w:rsidR="003B249E">
        <w:rPr>
          <w:rFonts w:ascii="Verdana" w:hAnsi="Verdana" w:cs="Tahoma"/>
          <w:sz w:val="24"/>
          <w:szCs w:val="24"/>
        </w:rPr>
        <w:t xml:space="preserve"> and </w:t>
      </w:r>
      <w:r w:rsidR="003B249E" w:rsidRPr="0092284F">
        <w:rPr>
          <w:rFonts w:ascii="Verdana" w:hAnsi="Verdana" w:cs="Tahoma"/>
          <w:sz w:val="24"/>
          <w:szCs w:val="24"/>
        </w:rPr>
        <w:t>amended</w:t>
      </w:r>
      <w:r w:rsidR="0092284F" w:rsidRPr="0092284F">
        <w:rPr>
          <w:rFonts w:ascii="Verdana" w:hAnsi="Verdana" w:cs="Tahoma"/>
          <w:sz w:val="24"/>
          <w:szCs w:val="24"/>
        </w:rPr>
        <w:t xml:space="preserve"> section 129 of the N</w:t>
      </w:r>
      <w:r w:rsidR="003A7863">
        <w:rPr>
          <w:rFonts w:ascii="Verdana" w:hAnsi="Verdana" w:cs="Tahoma"/>
          <w:sz w:val="24"/>
          <w:szCs w:val="24"/>
        </w:rPr>
        <w:t xml:space="preserve">ational </w:t>
      </w:r>
      <w:r w:rsidR="0092284F" w:rsidRPr="0092284F">
        <w:rPr>
          <w:rFonts w:ascii="Verdana" w:hAnsi="Verdana" w:cs="Tahoma"/>
          <w:sz w:val="24"/>
          <w:szCs w:val="24"/>
        </w:rPr>
        <w:t>C</w:t>
      </w:r>
      <w:r w:rsidR="003A7863">
        <w:rPr>
          <w:rFonts w:ascii="Verdana" w:hAnsi="Verdana" w:cs="Tahoma"/>
          <w:sz w:val="24"/>
          <w:szCs w:val="24"/>
        </w:rPr>
        <w:t xml:space="preserve">redit </w:t>
      </w:r>
      <w:r w:rsidR="0092284F" w:rsidRPr="0092284F">
        <w:rPr>
          <w:rFonts w:ascii="Verdana" w:hAnsi="Verdana" w:cs="Tahoma"/>
          <w:sz w:val="24"/>
          <w:szCs w:val="24"/>
        </w:rPr>
        <w:t>A</w:t>
      </w:r>
      <w:r w:rsidR="003A7863">
        <w:rPr>
          <w:rFonts w:ascii="Verdana" w:hAnsi="Verdana" w:cs="Tahoma"/>
          <w:sz w:val="24"/>
          <w:szCs w:val="24"/>
        </w:rPr>
        <w:t>ct, 34 of 2005 (NCA)</w:t>
      </w:r>
      <w:r w:rsidR="0092284F" w:rsidRPr="0092284F">
        <w:rPr>
          <w:rFonts w:ascii="Verdana" w:hAnsi="Verdana" w:cs="Tahoma"/>
          <w:sz w:val="24"/>
          <w:szCs w:val="24"/>
        </w:rPr>
        <w:t xml:space="preserve"> </w:t>
      </w:r>
      <w:r w:rsidR="0092284F" w:rsidRPr="003A7863">
        <w:rPr>
          <w:rFonts w:ascii="Verdana" w:hAnsi="Verdana" w:cs="Tahoma"/>
          <w:i/>
          <w:sz w:val="24"/>
          <w:szCs w:val="24"/>
        </w:rPr>
        <w:t>inter alia</w:t>
      </w:r>
      <w:r w:rsidR="0092284F" w:rsidRPr="0092284F">
        <w:rPr>
          <w:rFonts w:ascii="Verdana" w:hAnsi="Verdana" w:cs="Tahoma"/>
          <w:sz w:val="24"/>
          <w:szCs w:val="24"/>
        </w:rPr>
        <w:t xml:space="preserve"> by adding three subsections </w:t>
      </w:r>
      <w:r w:rsidR="003B249E">
        <w:rPr>
          <w:rFonts w:ascii="Verdana" w:hAnsi="Verdana" w:cs="Tahoma"/>
          <w:sz w:val="24"/>
          <w:szCs w:val="24"/>
        </w:rPr>
        <w:t>to the following effect</w:t>
      </w:r>
      <w:r w:rsidR="0092284F" w:rsidRPr="0092284F">
        <w:rPr>
          <w:rFonts w:ascii="Verdana" w:hAnsi="Verdana" w:cs="Tahoma"/>
          <w:sz w:val="24"/>
          <w:szCs w:val="24"/>
        </w:rPr>
        <w:t>:</w:t>
      </w:r>
    </w:p>
    <w:p w:rsidR="0092284F" w:rsidRPr="0092284F" w:rsidRDefault="0092284F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</w:p>
    <w:p w:rsidR="0092284F" w:rsidRPr="0092284F" w:rsidRDefault="0092284F" w:rsidP="00857536">
      <w:pPr>
        <w:tabs>
          <w:tab w:val="left" w:pos="851"/>
        </w:tabs>
        <w:ind w:left="1701" w:hanging="1701"/>
        <w:jc w:val="both"/>
        <w:rPr>
          <w:rFonts w:ascii="Verdana" w:hAnsi="Verdana" w:cs="Tahoma"/>
          <w:i/>
          <w:sz w:val="24"/>
          <w:szCs w:val="24"/>
        </w:rPr>
      </w:pPr>
      <w:r>
        <w:rPr>
          <w:rFonts w:ascii="Verdana" w:hAnsi="Verdana" w:cs="Tahoma"/>
          <w:i/>
          <w:sz w:val="24"/>
          <w:szCs w:val="24"/>
        </w:rPr>
        <w:tab/>
        <w:t>“</w:t>
      </w:r>
      <w:r w:rsidR="00857536">
        <w:rPr>
          <w:rFonts w:ascii="Verdana" w:hAnsi="Verdana" w:cs="Tahoma"/>
          <w:i/>
          <w:sz w:val="24"/>
          <w:szCs w:val="24"/>
        </w:rPr>
        <w:t>(5)</w:t>
      </w:r>
      <w:r w:rsidR="00857536">
        <w:rPr>
          <w:rFonts w:ascii="Verdana" w:hAnsi="Verdana" w:cs="Tahoma"/>
          <w:i/>
          <w:sz w:val="24"/>
          <w:szCs w:val="24"/>
        </w:rPr>
        <w:tab/>
      </w:r>
      <w:r w:rsidRPr="0092284F">
        <w:rPr>
          <w:rFonts w:ascii="Verdana" w:hAnsi="Verdana" w:cs="Tahoma"/>
          <w:i/>
          <w:sz w:val="24"/>
          <w:szCs w:val="24"/>
        </w:rPr>
        <w:t>The notice contemplated in subsection (1)(a) must be delivered to the consumer–</w:t>
      </w:r>
    </w:p>
    <w:p w:rsidR="0092284F" w:rsidRPr="0092284F" w:rsidRDefault="0092284F" w:rsidP="00857536">
      <w:pPr>
        <w:ind w:left="851" w:hanging="851"/>
        <w:jc w:val="both"/>
        <w:rPr>
          <w:rFonts w:ascii="Verdana" w:hAnsi="Verdana" w:cs="Tahoma"/>
          <w:i/>
          <w:sz w:val="24"/>
          <w:szCs w:val="24"/>
        </w:rPr>
      </w:pPr>
    </w:p>
    <w:p w:rsidR="0092284F" w:rsidRPr="0092284F" w:rsidRDefault="0092284F" w:rsidP="00857536">
      <w:pPr>
        <w:ind w:left="2552" w:hanging="851"/>
        <w:jc w:val="both"/>
        <w:rPr>
          <w:rFonts w:ascii="Verdana" w:hAnsi="Verdana" w:cs="Tahoma"/>
          <w:i/>
          <w:sz w:val="24"/>
          <w:szCs w:val="24"/>
        </w:rPr>
      </w:pPr>
      <w:r w:rsidRPr="0092284F">
        <w:rPr>
          <w:rFonts w:ascii="Verdana" w:hAnsi="Verdana" w:cs="Tahoma"/>
          <w:i/>
          <w:sz w:val="24"/>
          <w:szCs w:val="24"/>
        </w:rPr>
        <w:t>(a)</w:t>
      </w:r>
      <w:r w:rsidR="00857536">
        <w:rPr>
          <w:rFonts w:ascii="Verdana" w:hAnsi="Verdana" w:cs="Tahoma"/>
          <w:i/>
          <w:sz w:val="24"/>
          <w:szCs w:val="24"/>
        </w:rPr>
        <w:tab/>
      </w:r>
      <w:r w:rsidRPr="0092284F">
        <w:rPr>
          <w:rFonts w:ascii="Verdana" w:hAnsi="Verdana" w:cs="Tahoma"/>
          <w:i/>
          <w:sz w:val="24"/>
          <w:szCs w:val="24"/>
        </w:rPr>
        <w:t>by registered mail; or</w:t>
      </w:r>
    </w:p>
    <w:p w:rsidR="0092284F" w:rsidRPr="0092284F" w:rsidRDefault="0092284F" w:rsidP="00857536">
      <w:pPr>
        <w:ind w:left="2552" w:hanging="851"/>
        <w:jc w:val="both"/>
        <w:rPr>
          <w:rFonts w:ascii="Verdana" w:hAnsi="Verdana" w:cs="Tahoma"/>
          <w:i/>
          <w:sz w:val="24"/>
          <w:szCs w:val="24"/>
        </w:rPr>
      </w:pPr>
      <w:r w:rsidRPr="0092284F">
        <w:rPr>
          <w:rFonts w:ascii="Verdana" w:hAnsi="Verdana" w:cs="Tahoma"/>
          <w:i/>
          <w:sz w:val="24"/>
          <w:szCs w:val="24"/>
        </w:rPr>
        <w:t>(b)</w:t>
      </w:r>
      <w:r w:rsidR="00857536">
        <w:rPr>
          <w:rFonts w:ascii="Verdana" w:hAnsi="Verdana" w:cs="Tahoma"/>
          <w:i/>
          <w:sz w:val="24"/>
          <w:szCs w:val="24"/>
        </w:rPr>
        <w:tab/>
      </w:r>
      <w:r w:rsidRPr="0092284F">
        <w:rPr>
          <w:rFonts w:ascii="Verdana" w:hAnsi="Verdana" w:cs="Tahoma"/>
          <w:i/>
          <w:sz w:val="24"/>
          <w:szCs w:val="24"/>
        </w:rPr>
        <w:t>to an adult person at the location designated by the consumer.</w:t>
      </w:r>
    </w:p>
    <w:p w:rsidR="00857536" w:rsidRDefault="00857536" w:rsidP="00857536">
      <w:pPr>
        <w:tabs>
          <w:tab w:val="left" w:pos="1701"/>
        </w:tabs>
        <w:ind w:left="1701" w:hanging="850"/>
        <w:jc w:val="both"/>
        <w:rPr>
          <w:rFonts w:ascii="Verdana" w:hAnsi="Verdana" w:cs="Tahoma"/>
          <w:i/>
          <w:sz w:val="24"/>
          <w:szCs w:val="24"/>
        </w:rPr>
      </w:pPr>
    </w:p>
    <w:p w:rsidR="0092284F" w:rsidRPr="0092284F" w:rsidRDefault="0092284F" w:rsidP="00857536">
      <w:pPr>
        <w:tabs>
          <w:tab w:val="left" w:pos="1701"/>
        </w:tabs>
        <w:ind w:left="1701" w:hanging="850"/>
        <w:jc w:val="both"/>
        <w:rPr>
          <w:rFonts w:ascii="Verdana" w:hAnsi="Verdana" w:cs="Tahoma"/>
          <w:i/>
          <w:sz w:val="24"/>
          <w:szCs w:val="24"/>
        </w:rPr>
      </w:pPr>
      <w:r w:rsidRPr="0092284F">
        <w:rPr>
          <w:rFonts w:ascii="Verdana" w:hAnsi="Verdana" w:cs="Tahoma"/>
          <w:i/>
          <w:sz w:val="24"/>
          <w:szCs w:val="24"/>
        </w:rPr>
        <w:t>(6)</w:t>
      </w:r>
      <w:r w:rsidR="00857536">
        <w:rPr>
          <w:rFonts w:ascii="Verdana" w:hAnsi="Verdana" w:cs="Tahoma"/>
          <w:i/>
          <w:sz w:val="24"/>
          <w:szCs w:val="24"/>
        </w:rPr>
        <w:tab/>
      </w:r>
      <w:r w:rsidRPr="0092284F">
        <w:rPr>
          <w:rFonts w:ascii="Verdana" w:hAnsi="Verdana" w:cs="Tahoma"/>
          <w:i/>
          <w:sz w:val="24"/>
          <w:szCs w:val="24"/>
        </w:rPr>
        <w:t>The consumer must in writing indicate the preferred manner of delivery contemplated in subsection (5).</w:t>
      </w:r>
    </w:p>
    <w:p w:rsidR="0092284F" w:rsidRPr="0092284F" w:rsidRDefault="0092284F" w:rsidP="00857536">
      <w:pPr>
        <w:ind w:left="851" w:hanging="851"/>
        <w:jc w:val="both"/>
        <w:rPr>
          <w:rFonts w:ascii="Verdana" w:hAnsi="Verdana" w:cs="Tahoma"/>
          <w:i/>
          <w:sz w:val="24"/>
          <w:szCs w:val="24"/>
        </w:rPr>
      </w:pPr>
    </w:p>
    <w:p w:rsidR="0092284F" w:rsidRPr="0092284F" w:rsidRDefault="0092284F" w:rsidP="00857536">
      <w:pPr>
        <w:tabs>
          <w:tab w:val="left" w:pos="851"/>
        </w:tabs>
        <w:ind w:left="1701" w:hanging="1701"/>
        <w:jc w:val="both"/>
        <w:rPr>
          <w:rFonts w:ascii="Verdana" w:hAnsi="Verdana" w:cs="Tahoma"/>
          <w:i/>
          <w:sz w:val="24"/>
          <w:szCs w:val="24"/>
        </w:rPr>
      </w:pPr>
      <w:r>
        <w:rPr>
          <w:rFonts w:ascii="Verdana" w:hAnsi="Verdana" w:cs="Tahoma"/>
          <w:i/>
          <w:sz w:val="24"/>
          <w:szCs w:val="24"/>
        </w:rPr>
        <w:tab/>
      </w:r>
      <w:r w:rsidRPr="0092284F">
        <w:rPr>
          <w:rFonts w:ascii="Verdana" w:hAnsi="Verdana" w:cs="Tahoma"/>
          <w:i/>
          <w:sz w:val="24"/>
          <w:szCs w:val="24"/>
        </w:rPr>
        <w:t>(7)</w:t>
      </w:r>
      <w:r w:rsidR="00857536">
        <w:rPr>
          <w:rFonts w:ascii="Verdana" w:hAnsi="Verdana" w:cs="Tahoma"/>
          <w:i/>
          <w:sz w:val="24"/>
          <w:szCs w:val="24"/>
        </w:rPr>
        <w:tab/>
      </w:r>
      <w:r w:rsidRPr="0092284F">
        <w:rPr>
          <w:rFonts w:ascii="Verdana" w:hAnsi="Verdana" w:cs="Tahoma"/>
          <w:i/>
          <w:sz w:val="24"/>
          <w:szCs w:val="24"/>
        </w:rPr>
        <w:t>Proof of delivery contemplated in subsection (5) is satisfied by–</w:t>
      </w:r>
    </w:p>
    <w:p w:rsidR="0092284F" w:rsidRPr="0092284F" w:rsidRDefault="0092284F" w:rsidP="00857536">
      <w:pPr>
        <w:ind w:left="851" w:hanging="851"/>
        <w:jc w:val="both"/>
        <w:rPr>
          <w:rFonts w:ascii="Verdana" w:hAnsi="Verdana" w:cs="Tahoma"/>
          <w:i/>
          <w:sz w:val="24"/>
          <w:szCs w:val="24"/>
        </w:rPr>
      </w:pPr>
    </w:p>
    <w:p w:rsidR="0092284F" w:rsidRPr="00815F39" w:rsidRDefault="00815F39" w:rsidP="00815F39">
      <w:pPr>
        <w:tabs>
          <w:tab w:val="left" w:pos="1701"/>
        </w:tabs>
        <w:ind w:left="2552" w:hanging="857"/>
        <w:jc w:val="both"/>
        <w:rPr>
          <w:rFonts w:ascii="Verdana" w:hAnsi="Verdana" w:cs="Tahoma"/>
          <w:i/>
          <w:sz w:val="24"/>
          <w:szCs w:val="24"/>
        </w:rPr>
      </w:pPr>
      <w:r w:rsidRPr="00857536">
        <w:rPr>
          <w:rFonts w:ascii="Verdana" w:hAnsi="Verdana" w:cs="Tahoma"/>
          <w:i/>
          <w:sz w:val="24"/>
          <w:szCs w:val="24"/>
        </w:rPr>
        <w:t>(a)</w:t>
      </w:r>
      <w:r w:rsidRPr="00857536">
        <w:rPr>
          <w:rFonts w:ascii="Verdana" w:hAnsi="Verdana" w:cs="Tahoma"/>
          <w:i/>
          <w:sz w:val="24"/>
          <w:szCs w:val="24"/>
        </w:rPr>
        <w:tab/>
      </w:r>
      <w:r w:rsidR="0092284F" w:rsidRPr="00815F39">
        <w:rPr>
          <w:rFonts w:ascii="Verdana" w:hAnsi="Verdana" w:cs="Tahoma"/>
          <w:i/>
          <w:sz w:val="24"/>
          <w:szCs w:val="24"/>
        </w:rPr>
        <w:t>written confirmation by the postal service or its authorised agent, of delivery to the relevant post office or postal agency; or</w:t>
      </w:r>
    </w:p>
    <w:p w:rsidR="0092284F" w:rsidRPr="0092284F" w:rsidRDefault="0092284F" w:rsidP="00857536">
      <w:pPr>
        <w:ind w:left="1701" w:hanging="1701"/>
        <w:jc w:val="both"/>
        <w:rPr>
          <w:rFonts w:ascii="Verdana" w:hAnsi="Verdana" w:cs="Tahoma"/>
          <w:i/>
          <w:sz w:val="24"/>
          <w:szCs w:val="24"/>
        </w:rPr>
      </w:pPr>
    </w:p>
    <w:p w:rsidR="0092284F" w:rsidRPr="00815F39" w:rsidRDefault="00815F39" w:rsidP="00815F39">
      <w:pPr>
        <w:tabs>
          <w:tab w:val="left" w:pos="2552"/>
        </w:tabs>
        <w:ind w:left="2552" w:hanging="857"/>
        <w:jc w:val="both"/>
        <w:rPr>
          <w:rFonts w:ascii="Verdana" w:hAnsi="Verdana" w:cs="Tahoma"/>
          <w:i/>
          <w:sz w:val="24"/>
          <w:szCs w:val="24"/>
        </w:rPr>
      </w:pPr>
      <w:r w:rsidRPr="00857536">
        <w:rPr>
          <w:rFonts w:ascii="Verdana" w:hAnsi="Verdana" w:cs="Tahoma"/>
          <w:i/>
          <w:sz w:val="24"/>
          <w:szCs w:val="24"/>
        </w:rPr>
        <w:t>(b)</w:t>
      </w:r>
      <w:r w:rsidRPr="00857536">
        <w:rPr>
          <w:rFonts w:ascii="Verdana" w:hAnsi="Verdana" w:cs="Tahoma"/>
          <w:i/>
          <w:sz w:val="24"/>
          <w:szCs w:val="24"/>
        </w:rPr>
        <w:tab/>
      </w:r>
      <w:r w:rsidR="0092284F" w:rsidRPr="00815F39">
        <w:rPr>
          <w:rFonts w:ascii="Verdana" w:hAnsi="Verdana" w:cs="Tahoma"/>
          <w:i/>
          <w:sz w:val="24"/>
          <w:szCs w:val="24"/>
        </w:rPr>
        <w:t>the signature or identifying mark of the recipient contemplated in subsection (5)(b).”</w:t>
      </w:r>
    </w:p>
    <w:p w:rsidR="00DC2C06" w:rsidRPr="0092284F" w:rsidRDefault="00DC2C06" w:rsidP="00857536">
      <w:pPr>
        <w:spacing w:line="360" w:lineRule="auto"/>
        <w:ind w:left="851" w:hanging="851"/>
        <w:jc w:val="both"/>
        <w:rPr>
          <w:rFonts w:ascii="Verdana" w:hAnsi="Verdana" w:cs="Tahoma"/>
          <w:i/>
          <w:sz w:val="24"/>
          <w:szCs w:val="24"/>
        </w:rPr>
      </w:pPr>
    </w:p>
    <w:p w:rsidR="00DC2C06" w:rsidRDefault="00DC2C06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 w:rsidRPr="00DC2C06">
        <w:rPr>
          <w:rFonts w:ascii="Verdana" w:hAnsi="Verdana" w:cs="Tahoma"/>
          <w:sz w:val="24"/>
          <w:szCs w:val="24"/>
        </w:rPr>
        <w:t>[</w:t>
      </w:r>
      <w:r>
        <w:rPr>
          <w:rFonts w:ascii="Verdana" w:hAnsi="Verdana" w:cs="Tahoma"/>
          <w:sz w:val="24"/>
          <w:szCs w:val="24"/>
        </w:rPr>
        <w:t>8</w:t>
      </w:r>
      <w:r w:rsidRPr="00DC2C06">
        <w:rPr>
          <w:rFonts w:ascii="Verdana" w:hAnsi="Verdana" w:cs="Tahoma"/>
          <w:sz w:val="24"/>
          <w:szCs w:val="24"/>
        </w:rPr>
        <w:t>]</w:t>
      </w:r>
      <w:r w:rsidRPr="00DC2C06">
        <w:rPr>
          <w:rFonts w:ascii="Verdana" w:hAnsi="Verdana" w:cs="Tahoma"/>
          <w:sz w:val="24"/>
          <w:szCs w:val="24"/>
        </w:rPr>
        <w:tab/>
        <w:t>The amended sections of the Act support what the Constitutional Court has already pronounced in</w:t>
      </w:r>
      <w:r w:rsidRPr="00DC2C06">
        <w:rPr>
          <w:rFonts w:ascii="Verdana" w:hAnsi="Verdana" w:cs="Tahoma"/>
          <w:i/>
          <w:sz w:val="24"/>
          <w:szCs w:val="24"/>
        </w:rPr>
        <w:t xml:space="preserve"> </w:t>
      </w:r>
      <w:proofErr w:type="spellStart"/>
      <w:r w:rsidRPr="00DC2C06">
        <w:rPr>
          <w:rFonts w:ascii="Verdana" w:hAnsi="Verdana" w:cs="Tahoma"/>
          <w:i/>
          <w:sz w:val="24"/>
          <w:szCs w:val="24"/>
        </w:rPr>
        <w:t>Sebola</w:t>
      </w:r>
      <w:proofErr w:type="spellEnd"/>
      <w:r w:rsidRPr="00DC2C06">
        <w:rPr>
          <w:rFonts w:ascii="Verdana" w:hAnsi="Verdana" w:cs="Tahoma"/>
          <w:i/>
          <w:sz w:val="24"/>
          <w:szCs w:val="24"/>
        </w:rPr>
        <w:t xml:space="preserve"> v</w:t>
      </w:r>
      <w:r>
        <w:rPr>
          <w:rFonts w:ascii="Verdana" w:hAnsi="Verdana" w:cs="Tahoma"/>
          <w:i/>
          <w:sz w:val="24"/>
          <w:szCs w:val="24"/>
        </w:rPr>
        <w:t xml:space="preserve"> </w:t>
      </w:r>
      <w:r w:rsidRPr="00DC2C06">
        <w:rPr>
          <w:rFonts w:ascii="Verdana" w:hAnsi="Verdana" w:cs="Tahoma"/>
          <w:i/>
          <w:sz w:val="24"/>
          <w:szCs w:val="24"/>
        </w:rPr>
        <w:t>Standard Bank of South</w:t>
      </w:r>
      <w:r>
        <w:rPr>
          <w:rFonts w:ascii="Verdana" w:hAnsi="Verdana" w:cs="Tahoma"/>
          <w:i/>
          <w:sz w:val="24"/>
          <w:szCs w:val="24"/>
        </w:rPr>
        <w:t xml:space="preserve"> </w:t>
      </w:r>
      <w:r w:rsidRPr="00DC2C06">
        <w:rPr>
          <w:rFonts w:ascii="Verdana" w:hAnsi="Verdana" w:cs="Tahoma"/>
          <w:i/>
          <w:sz w:val="24"/>
          <w:szCs w:val="24"/>
        </w:rPr>
        <w:t>Africa Ltd 2012 (5) SA 142 (CC) paras 40 and 46</w:t>
      </w:r>
      <w:r w:rsidR="003B249E">
        <w:rPr>
          <w:rFonts w:ascii="Verdana" w:hAnsi="Verdana" w:cs="Tahoma"/>
          <w:i/>
          <w:sz w:val="24"/>
          <w:szCs w:val="24"/>
        </w:rPr>
        <w:t xml:space="preserve"> </w:t>
      </w:r>
      <w:r w:rsidR="003B249E">
        <w:rPr>
          <w:rFonts w:ascii="Verdana" w:hAnsi="Verdana" w:cs="Tahoma"/>
          <w:sz w:val="24"/>
          <w:szCs w:val="24"/>
        </w:rPr>
        <w:t xml:space="preserve">where the following instructive remarks by the </w:t>
      </w:r>
      <w:proofErr w:type="spellStart"/>
      <w:r w:rsidR="003B249E">
        <w:rPr>
          <w:rFonts w:ascii="Verdana" w:hAnsi="Verdana" w:cs="Tahoma"/>
          <w:sz w:val="24"/>
          <w:szCs w:val="24"/>
        </w:rPr>
        <w:t>ConCourt</w:t>
      </w:r>
      <w:proofErr w:type="spellEnd"/>
      <w:r w:rsidR="003B249E">
        <w:rPr>
          <w:rFonts w:ascii="Verdana" w:hAnsi="Verdana" w:cs="Tahoma"/>
          <w:sz w:val="24"/>
          <w:szCs w:val="24"/>
        </w:rPr>
        <w:t xml:space="preserve"> in the majority judgment are worth repeating: </w:t>
      </w:r>
    </w:p>
    <w:p w:rsidR="00857536" w:rsidRDefault="003B249E" w:rsidP="00CC736F">
      <w:pPr>
        <w:spacing w:line="36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</w:p>
    <w:p w:rsidR="003B249E" w:rsidRDefault="003B249E" w:rsidP="00857536">
      <w:pPr>
        <w:tabs>
          <w:tab w:val="left" w:pos="851"/>
          <w:tab w:val="left" w:pos="2268"/>
        </w:tabs>
        <w:ind w:left="1701" w:hanging="850"/>
        <w:jc w:val="both"/>
        <w:rPr>
          <w:rFonts w:ascii="Verdana" w:hAnsi="Verdana" w:cs="Tahoma"/>
          <w:i/>
          <w:sz w:val="24"/>
          <w:szCs w:val="24"/>
        </w:rPr>
      </w:pPr>
      <w:r>
        <w:rPr>
          <w:rFonts w:ascii="Verdana" w:hAnsi="Verdana" w:cs="Tahoma"/>
          <w:i/>
          <w:sz w:val="24"/>
          <w:szCs w:val="24"/>
        </w:rPr>
        <w:t>“[40]</w:t>
      </w:r>
      <w:r w:rsidR="00857536">
        <w:rPr>
          <w:rFonts w:ascii="Verdana" w:hAnsi="Verdana" w:cs="Tahoma"/>
          <w:i/>
          <w:sz w:val="24"/>
          <w:szCs w:val="24"/>
        </w:rPr>
        <w:tab/>
      </w:r>
      <w:r>
        <w:rPr>
          <w:rFonts w:ascii="Verdana" w:hAnsi="Verdana" w:cs="Tahoma"/>
          <w:i/>
          <w:sz w:val="24"/>
          <w:szCs w:val="24"/>
        </w:rPr>
        <w:t xml:space="preserve">The statute sets out the means by which these purposes must be achieved, and it must be interpreted so as to give effect to </w:t>
      </w:r>
      <w:r w:rsidR="00857536">
        <w:rPr>
          <w:rFonts w:ascii="Verdana" w:hAnsi="Verdana" w:cs="Tahoma"/>
          <w:i/>
          <w:sz w:val="24"/>
          <w:szCs w:val="24"/>
        </w:rPr>
        <w:t>them</w:t>
      </w:r>
      <w:proofErr w:type="gramStart"/>
      <w:r w:rsidR="00857536">
        <w:rPr>
          <w:rFonts w:ascii="Verdana" w:hAnsi="Verdana" w:cs="Tahoma"/>
          <w:i/>
          <w:sz w:val="24"/>
          <w:szCs w:val="24"/>
        </w:rPr>
        <w:t>. .</w:t>
      </w:r>
      <w:proofErr w:type="gramEnd"/>
      <w:r w:rsidR="00857536">
        <w:rPr>
          <w:rFonts w:ascii="Verdana" w:hAnsi="Verdana" w:cs="Tahoma"/>
          <w:i/>
          <w:sz w:val="24"/>
          <w:szCs w:val="24"/>
        </w:rPr>
        <w:t xml:space="preserve"> T</w:t>
      </w:r>
      <w:r w:rsidR="005A5918">
        <w:rPr>
          <w:rFonts w:ascii="Verdana" w:hAnsi="Verdana" w:cs="Tahoma"/>
          <w:i/>
          <w:sz w:val="24"/>
          <w:szCs w:val="24"/>
        </w:rPr>
        <w:t xml:space="preserve">he main objective is to protect consumers. But in doing so, the Act aims to secure a credit market that is ‘competitive, sustainable, responsible [and] efficient’. </w:t>
      </w:r>
      <w:r w:rsidR="00857536">
        <w:rPr>
          <w:rFonts w:ascii="Verdana" w:hAnsi="Verdana" w:cs="Tahoma"/>
          <w:i/>
          <w:sz w:val="24"/>
          <w:szCs w:val="24"/>
        </w:rPr>
        <w:t xml:space="preserve"> </w:t>
      </w:r>
      <w:r w:rsidR="005A5918">
        <w:rPr>
          <w:rFonts w:ascii="Verdana" w:hAnsi="Verdana" w:cs="Tahoma"/>
          <w:i/>
          <w:sz w:val="24"/>
          <w:szCs w:val="24"/>
        </w:rPr>
        <w:t xml:space="preserve">And the means by which it seeks to do this embrace ‘balancing the respective rights and responsibilities of credit providers and consumers’. </w:t>
      </w:r>
      <w:r w:rsidR="00857536">
        <w:rPr>
          <w:rFonts w:ascii="Verdana" w:hAnsi="Verdana" w:cs="Tahoma"/>
          <w:i/>
          <w:sz w:val="24"/>
          <w:szCs w:val="24"/>
        </w:rPr>
        <w:t xml:space="preserve"> </w:t>
      </w:r>
      <w:r w:rsidR="005A5918">
        <w:rPr>
          <w:rFonts w:ascii="Verdana" w:hAnsi="Verdana" w:cs="Tahoma"/>
          <w:i/>
          <w:sz w:val="24"/>
          <w:szCs w:val="24"/>
        </w:rPr>
        <w:t xml:space="preserve">These provisions signal strongly that the legislation must be interpreted without disregarding or minimising the interests of credit providers. </w:t>
      </w:r>
      <w:r w:rsidR="00857536">
        <w:rPr>
          <w:rFonts w:ascii="Verdana" w:hAnsi="Verdana" w:cs="Tahoma"/>
          <w:i/>
          <w:sz w:val="24"/>
          <w:szCs w:val="24"/>
        </w:rPr>
        <w:t xml:space="preserve"> </w:t>
      </w:r>
      <w:r w:rsidR="005A5918">
        <w:rPr>
          <w:rFonts w:ascii="Verdana" w:hAnsi="Verdana" w:cs="Tahoma"/>
          <w:i/>
          <w:sz w:val="24"/>
          <w:szCs w:val="24"/>
        </w:rPr>
        <w:t xml:space="preserve">So I agree with the Supreme Court </w:t>
      </w:r>
      <w:r w:rsidR="005A5918">
        <w:rPr>
          <w:rFonts w:ascii="Verdana" w:hAnsi="Verdana" w:cs="Tahoma"/>
          <w:i/>
          <w:sz w:val="24"/>
          <w:szCs w:val="24"/>
        </w:rPr>
        <w:tab/>
        <w:t>of Appeal that –</w:t>
      </w:r>
    </w:p>
    <w:p w:rsidR="005A5918" w:rsidRPr="005A5918" w:rsidRDefault="005A5918" w:rsidP="00857536">
      <w:pPr>
        <w:tabs>
          <w:tab w:val="left" w:pos="851"/>
        </w:tabs>
        <w:ind w:left="1701" w:hanging="1701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4"/>
          <w:szCs w:val="24"/>
        </w:rPr>
        <w:lastRenderedPageBreak/>
        <w:tab/>
      </w:r>
      <w:r>
        <w:rPr>
          <w:rFonts w:ascii="Verdana" w:hAnsi="Verdana" w:cs="Tahoma"/>
          <w:i/>
          <w:sz w:val="24"/>
          <w:szCs w:val="24"/>
        </w:rPr>
        <w:tab/>
      </w:r>
      <w:r>
        <w:rPr>
          <w:rFonts w:ascii="Verdana" w:hAnsi="Verdana" w:cs="Tahoma"/>
          <w:i/>
          <w:sz w:val="22"/>
          <w:szCs w:val="22"/>
        </w:rPr>
        <w:t xml:space="preserve">‘(t)he interpretation of the NCA calls for a careful balancing of the competing interests sought to be protected, and not for a consideration of only the interests of either the consumer or the credit provider’. </w:t>
      </w:r>
    </w:p>
    <w:p w:rsidR="005A5918" w:rsidRDefault="005A5918" w:rsidP="00857536">
      <w:pPr>
        <w:tabs>
          <w:tab w:val="left" w:pos="851"/>
        </w:tabs>
        <w:ind w:left="1701" w:hanging="1701"/>
        <w:jc w:val="both"/>
        <w:rPr>
          <w:rFonts w:ascii="Verdana" w:hAnsi="Verdana" w:cs="Tahoma"/>
          <w:i/>
          <w:sz w:val="24"/>
          <w:szCs w:val="24"/>
        </w:rPr>
      </w:pPr>
      <w:r>
        <w:rPr>
          <w:rFonts w:ascii="Verdana" w:hAnsi="Verdana" w:cs="Tahoma"/>
          <w:i/>
          <w:sz w:val="24"/>
          <w:szCs w:val="24"/>
        </w:rPr>
        <w:tab/>
      </w:r>
      <w:r w:rsidR="00857536">
        <w:rPr>
          <w:rFonts w:ascii="Verdana" w:hAnsi="Verdana" w:cs="Tahoma"/>
          <w:i/>
          <w:sz w:val="24"/>
          <w:szCs w:val="24"/>
        </w:rPr>
        <w:tab/>
      </w:r>
      <w:r>
        <w:rPr>
          <w:rFonts w:ascii="Verdana" w:hAnsi="Verdana" w:cs="Tahoma"/>
          <w:i/>
          <w:sz w:val="24"/>
          <w:szCs w:val="24"/>
        </w:rPr>
        <w:t>I also agree that whilst the main object of the Act is to protect consumers, the interests of creditors must also be safeguarded and should not be overlooked.</w:t>
      </w:r>
    </w:p>
    <w:p w:rsidR="00857536" w:rsidRDefault="00857536" w:rsidP="00857536">
      <w:pPr>
        <w:tabs>
          <w:tab w:val="left" w:pos="851"/>
        </w:tabs>
        <w:ind w:left="1701" w:hanging="1701"/>
        <w:jc w:val="both"/>
        <w:rPr>
          <w:rFonts w:ascii="Verdana" w:hAnsi="Verdana" w:cs="Tahoma"/>
          <w:i/>
          <w:sz w:val="24"/>
          <w:szCs w:val="24"/>
        </w:rPr>
      </w:pPr>
    </w:p>
    <w:p w:rsidR="005A5918" w:rsidRPr="003B249E" w:rsidRDefault="005A5918" w:rsidP="00857536">
      <w:pPr>
        <w:tabs>
          <w:tab w:val="left" w:pos="851"/>
        </w:tabs>
        <w:ind w:left="1701" w:hanging="1701"/>
        <w:jc w:val="both"/>
        <w:rPr>
          <w:rFonts w:ascii="Verdana" w:hAnsi="Verdana" w:cs="Tahoma"/>
          <w:i/>
          <w:sz w:val="24"/>
          <w:szCs w:val="24"/>
        </w:rPr>
      </w:pPr>
      <w:r>
        <w:rPr>
          <w:rFonts w:ascii="Verdana" w:hAnsi="Verdana" w:cs="Tahoma"/>
          <w:i/>
          <w:sz w:val="24"/>
          <w:szCs w:val="24"/>
        </w:rPr>
        <w:tab/>
        <w:t>[46]</w:t>
      </w:r>
      <w:r w:rsidR="00857536">
        <w:rPr>
          <w:rFonts w:ascii="Verdana" w:hAnsi="Verdana" w:cs="Tahoma"/>
          <w:i/>
          <w:sz w:val="24"/>
          <w:szCs w:val="24"/>
        </w:rPr>
        <w:tab/>
      </w:r>
      <w:r>
        <w:rPr>
          <w:rFonts w:ascii="Verdana" w:hAnsi="Verdana" w:cs="Tahoma"/>
          <w:i/>
          <w:sz w:val="24"/>
          <w:szCs w:val="24"/>
        </w:rPr>
        <w:t>One of the means by which the legislation expressly provides for its purposes to be p</w:t>
      </w:r>
      <w:r w:rsidR="00EC2F45">
        <w:rPr>
          <w:rFonts w:ascii="Verdana" w:hAnsi="Verdana" w:cs="Tahoma"/>
          <w:i/>
          <w:sz w:val="24"/>
          <w:szCs w:val="24"/>
        </w:rPr>
        <w:t>u</w:t>
      </w:r>
      <w:r>
        <w:rPr>
          <w:rFonts w:ascii="Verdana" w:hAnsi="Verdana" w:cs="Tahoma"/>
          <w:i/>
          <w:sz w:val="24"/>
          <w:szCs w:val="24"/>
        </w:rPr>
        <w:t>rsued is through ‘consensual resolution of disputes arising from credit agreements</w:t>
      </w:r>
      <w:r w:rsidR="00471F52">
        <w:rPr>
          <w:rFonts w:ascii="Verdana" w:hAnsi="Verdana" w:cs="Tahoma"/>
          <w:i/>
          <w:sz w:val="24"/>
          <w:szCs w:val="24"/>
        </w:rPr>
        <w:t xml:space="preserve">’. Section 129(1) is pivotal to this. </w:t>
      </w:r>
      <w:r w:rsidR="00857536">
        <w:rPr>
          <w:rFonts w:ascii="Verdana" w:hAnsi="Verdana" w:cs="Tahoma"/>
          <w:i/>
          <w:sz w:val="24"/>
          <w:szCs w:val="24"/>
        </w:rPr>
        <w:t xml:space="preserve"> </w:t>
      </w:r>
      <w:r w:rsidR="00471F52">
        <w:rPr>
          <w:rFonts w:ascii="Verdana" w:hAnsi="Verdana" w:cs="Tahoma"/>
          <w:i/>
          <w:sz w:val="24"/>
          <w:szCs w:val="24"/>
        </w:rPr>
        <w:t>It precludes legal enforcement of a debt before the credit provider has suggested to the consumer that he or she explore non-litigious ways to purge the default. Specifically, the notice must ‘propose’ that the defaulting consumer refer the credit agreement to</w:t>
      </w:r>
      <w:r w:rsidR="00857536">
        <w:rPr>
          <w:rFonts w:ascii="Verdana" w:hAnsi="Verdana" w:cs="Tahoma"/>
          <w:i/>
          <w:sz w:val="24"/>
          <w:szCs w:val="24"/>
        </w:rPr>
        <w:t xml:space="preserve"> </w:t>
      </w:r>
      <w:r w:rsidR="00471F52">
        <w:rPr>
          <w:rFonts w:ascii="Verdana" w:hAnsi="Verdana" w:cs="Tahoma"/>
          <w:i/>
          <w:sz w:val="24"/>
          <w:szCs w:val="24"/>
        </w:rPr>
        <w:t xml:space="preserve">a debt counsellor, alternative dispute resolution agent, consumer court or </w:t>
      </w:r>
      <w:proofErr w:type="spellStart"/>
      <w:r w:rsidR="00471F52">
        <w:rPr>
          <w:rFonts w:ascii="Verdana" w:hAnsi="Verdana" w:cs="Tahoma"/>
          <w:i/>
          <w:sz w:val="24"/>
          <w:szCs w:val="24"/>
        </w:rPr>
        <w:t>ombud</w:t>
      </w:r>
      <w:proofErr w:type="spellEnd"/>
      <w:r w:rsidR="00471F52">
        <w:rPr>
          <w:rFonts w:ascii="Verdana" w:hAnsi="Verdana" w:cs="Tahoma"/>
          <w:i/>
          <w:sz w:val="24"/>
          <w:szCs w:val="24"/>
        </w:rPr>
        <w:t xml:space="preserve">, with the intent that the parties resolve their dispute, or agree on a plan to remedy the default.” </w:t>
      </w:r>
    </w:p>
    <w:p w:rsidR="00C3327A" w:rsidRPr="0092284F" w:rsidRDefault="00C3327A" w:rsidP="00CC736F">
      <w:pPr>
        <w:spacing w:line="360" w:lineRule="auto"/>
        <w:jc w:val="both"/>
        <w:rPr>
          <w:rFonts w:ascii="Verdana" w:hAnsi="Verdana" w:cs="Tahoma"/>
          <w:i/>
          <w:sz w:val="24"/>
          <w:szCs w:val="24"/>
        </w:rPr>
      </w:pPr>
      <w:r w:rsidRPr="0092284F">
        <w:rPr>
          <w:rFonts w:ascii="Verdana" w:hAnsi="Verdana" w:cs="Tahoma"/>
          <w:i/>
          <w:sz w:val="24"/>
          <w:szCs w:val="24"/>
        </w:rPr>
        <w:tab/>
      </w:r>
    </w:p>
    <w:p w:rsidR="00CC736F" w:rsidRDefault="0092284F" w:rsidP="00857536">
      <w:pPr>
        <w:spacing w:line="360" w:lineRule="auto"/>
        <w:ind w:left="851" w:hanging="851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[</w:t>
      </w:r>
      <w:r w:rsidR="00DC2C06">
        <w:rPr>
          <w:rFonts w:ascii="Verdana" w:hAnsi="Verdana" w:cs="Tahoma"/>
          <w:sz w:val="24"/>
          <w:szCs w:val="24"/>
        </w:rPr>
        <w:t>9</w:t>
      </w:r>
      <w:r>
        <w:rPr>
          <w:rFonts w:ascii="Verdana" w:hAnsi="Verdana" w:cs="Tahoma"/>
          <w:sz w:val="24"/>
          <w:szCs w:val="24"/>
        </w:rPr>
        <w:t>]</w:t>
      </w:r>
      <w:r>
        <w:rPr>
          <w:rFonts w:ascii="Verdana" w:hAnsi="Verdana" w:cs="Tahoma"/>
          <w:sz w:val="24"/>
          <w:szCs w:val="24"/>
        </w:rPr>
        <w:tab/>
      </w:r>
      <w:r w:rsidR="00471F52">
        <w:rPr>
          <w:rFonts w:ascii="Verdana" w:hAnsi="Verdana" w:cs="Tahoma"/>
          <w:sz w:val="24"/>
          <w:szCs w:val="24"/>
        </w:rPr>
        <w:t>The issue is not with the contents of the s 129 notice in this case but rather with the service thereof.</w:t>
      </w:r>
      <w:r w:rsidR="00857536">
        <w:rPr>
          <w:rFonts w:ascii="Verdana" w:hAnsi="Verdana" w:cs="Tahoma"/>
          <w:sz w:val="24"/>
          <w:szCs w:val="24"/>
        </w:rPr>
        <w:t xml:space="preserve"> </w:t>
      </w:r>
      <w:r w:rsidR="00471F52">
        <w:rPr>
          <w:rFonts w:ascii="Verdana" w:hAnsi="Verdana" w:cs="Tahoma"/>
          <w:sz w:val="24"/>
          <w:szCs w:val="24"/>
        </w:rPr>
        <w:t xml:space="preserve"> </w:t>
      </w:r>
      <w:r w:rsidR="00643266">
        <w:rPr>
          <w:rFonts w:ascii="Verdana" w:hAnsi="Verdana" w:cs="Tahoma"/>
          <w:sz w:val="24"/>
          <w:szCs w:val="24"/>
        </w:rPr>
        <w:t xml:space="preserve">Notwithstanding that in the credit agreement, the defendant has agreed to accept all legal notices at her </w:t>
      </w:r>
      <w:proofErr w:type="spellStart"/>
      <w:r w:rsidR="00643266" w:rsidRPr="00643266">
        <w:rPr>
          <w:rFonts w:ascii="Verdana" w:hAnsi="Verdana" w:cs="Tahoma"/>
          <w:i/>
          <w:sz w:val="24"/>
          <w:szCs w:val="24"/>
        </w:rPr>
        <w:t>domicilium</w:t>
      </w:r>
      <w:proofErr w:type="spellEnd"/>
      <w:r w:rsidR="00643266" w:rsidRPr="00643266">
        <w:rPr>
          <w:rFonts w:ascii="Verdana" w:hAnsi="Verdana" w:cs="Tahoma"/>
          <w:i/>
          <w:sz w:val="24"/>
          <w:szCs w:val="24"/>
        </w:rPr>
        <w:t xml:space="preserve"> </w:t>
      </w:r>
      <w:proofErr w:type="spellStart"/>
      <w:r w:rsidR="00643266" w:rsidRPr="00643266">
        <w:rPr>
          <w:rFonts w:ascii="Verdana" w:hAnsi="Verdana" w:cs="Tahoma"/>
          <w:i/>
          <w:sz w:val="24"/>
          <w:szCs w:val="24"/>
        </w:rPr>
        <w:t>citandi</w:t>
      </w:r>
      <w:proofErr w:type="spellEnd"/>
      <w:r w:rsidR="00643266">
        <w:rPr>
          <w:rFonts w:ascii="Verdana" w:hAnsi="Verdana" w:cs="Tahoma"/>
          <w:sz w:val="24"/>
          <w:szCs w:val="24"/>
        </w:rPr>
        <w:t xml:space="preserve"> et</w:t>
      </w:r>
      <w:r w:rsidR="00643266" w:rsidRPr="00643266">
        <w:rPr>
          <w:rFonts w:ascii="Verdana" w:hAnsi="Verdana" w:cs="Tahoma"/>
          <w:i/>
          <w:sz w:val="24"/>
          <w:szCs w:val="24"/>
        </w:rPr>
        <w:t xml:space="preserve"> </w:t>
      </w:r>
      <w:proofErr w:type="spellStart"/>
      <w:r w:rsidR="00643266" w:rsidRPr="00643266">
        <w:rPr>
          <w:rFonts w:ascii="Verdana" w:hAnsi="Verdana" w:cs="Tahoma"/>
          <w:i/>
          <w:sz w:val="24"/>
          <w:szCs w:val="24"/>
        </w:rPr>
        <w:t>executandi</w:t>
      </w:r>
      <w:proofErr w:type="spellEnd"/>
      <w:r w:rsidR="00643266">
        <w:rPr>
          <w:rFonts w:ascii="Verdana" w:hAnsi="Verdana" w:cs="Tahoma"/>
          <w:i/>
          <w:sz w:val="24"/>
          <w:szCs w:val="24"/>
        </w:rPr>
        <w:t xml:space="preserve">, which was served by </w:t>
      </w:r>
      <w:r>
        <w:rPr>
          <w:rFonts w:ascii="Verdana" w:hAnsi="Verdana" w:cs="Tahoma"/>
          <w:sz w:val="24"/>
          <w:szCs w:val="24"/>
        </w:rPr>
        <w:t xml:space="preserve">affixing to the main door </w:t>
      </w:r>
      <w:r w:rsidR="00643266">
        <w:rPr>
          <w:rFonts w:ascii="Verdana" w:hAnsi="Verdana" w:cs="Tahoma"/>
          <w:sz w:val="24"/>
          <w:szCs w:val="24"/>
        </w:rPr>
        <w:t>it is, in my view, not the service contemplated</w:t>
      </w:r>
      <w:r w:rsidR="003A7863">
        <w:rPr>
          <w:rFonts w:ascii="Verdana" w:hAnsi="Verdana" w:cs="Tahoma"/>
          <w:sz w:val="24"/>
          <w:szCs w:val="24"/>
        </w:rPr>
        <w:t xml:space="preserve"> in the NCAA. </w:t>
      </w:r>
      <w:r w:rsidR="00DC2C06">
        <w:rPr>
          <w:rFonts w:ascii="Verdana" w:hAnsi="Verdana" w:cs="Tahoma"/>
          <w:sz w:val="24"/>
          <w:szCs w:val="24"/>
        </w:rPr>
        <w:t xml:space="preserve"> It is for the aforementioned reasons, more particularly</w:t>
      </w:r>
      <w:r w:rsidR="00471F52">
        <w:rPr>
          <w:rFonts w:ascii="Verdana" w:hAnsi="Verdana" w:cs="Tahoma"/>
          <w:sz w:val="24"/>
          <w:szCs w:val="24"/>
        </w:rPr>
        <w:t>,</w:t>
      </w:r>
      <w:r w:rsidR="00DC2C06">
        <w:rPr>
          <w:rFonts w:ascii="Verdana" w:hAnsi="Verdana" w:cs="Tahoma"/>
          <w:sz w:val="24"/>
          <w:szCs w:val="24"/>
        </w:rPr>
        <w:t xml:space="preserve"> the </w:t>
      </w:r>
      <w:r w:rsidR="00643266">
        <w:rPr>
          <w:rFonts w:ascii="Verdana" w:hAnsi="Verdana" w:cs="Tahoma"/>
          <w:sz w:val="24"/>
          <w:szCs w:val="24"/>
        </w:rPr>
        <w:tab/>
      </w:r>
      <w:r w:rsidR="00DC2C06">
        <w:rPr>
          <w:rFonts w:ascii="Verdana" w:hAnsi="Verdana" w:cs="Tahoma"/>
          <w:sz w:val="24"/>
          <w:szCs w:val="24"/>
        </w:rPr>
        <w:t xml:space="preserve">failure to serve the s 129 notice as required that the default judgment was refused. </w:t>
      </w:r>
    </w:p>
    <w:p w:rsidR="0092284F" w:rsidRDefault="0092284F" w:rsidP="00CC736F">
      <w:pPr>
        <w:spacing w:line="360" w:lineRule="auto"/>
        <w:jc w:val="both"/>
        <w:rPr>
          <w:rFonts w:ascii="Verdana" w:hAnsi="Verdana" w:cs="Tahoma"/>
          <w:sz w:val="24"/>
          <w:szCs w:val="24"/>
        </w:rPr>
      </w:pPr>
    </w:p>
    <w:p w:rsidR="00860CDE" w:rsidRDefault="00860CDE" w:rsidP="00F4498A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C11F23" w:rsidRPr="005466C8" w:rsidRDefault="00C11F23" w:rsidP="00F4498A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F4498A" w:rsidRPr="005466C8" w:rsidRDefault="00F4498A" w:rsidP="00C11F23">
      <w:pPr>
        <w:jc w:val="both"/>
        <w:rPr>
          <w:rFonts w:ascii="Verdana" w:hAnsi="Verdana"/>
          <w:b/>
          <w:sz w:val="24"/>
          <w:szCs w:val="24"/>
        </w:rPr>
      </w:pPr>
      <w:r w:rsidRPr="005466C8">
        <w:rPr>
          <w:rFonts w:ascii="Verdana" w:hAnsi="Verdana"/>
          <w:b/>
          <w:sz w:val="24"/>
          <w:szCs w:val="24"/>
        </w:rPr>
        <w:t>________________</w:t>
      </w:r>
    </w:p>
    <w:p w:rsidR="00F4498A" w:rsidRPr="005466C8" w:rsidRDefault="00F4498A" w:rsidP="00C11F23">
      <w:pPr>
        <w:jc w:val="both"/>
        <w:rPr>
          <w:rFonts w:ascii="Verdana" w:hAnsi="Verdana"/>
          <w:b/>
          <w:sz w:val="24"/>
          <w:szCs w:val="24"/>
        </w:rPr>
      </w:pPr>
      <w:r w:rsidRPr="005466C8">
        <w:rPr>
          <w:rFonts w:ascii="Verdana" w:hAnsi="Verdana"/>
          <w:b/>
          <w:sz w:val="24"/>
          <w:szCs w:val="24"/>
        </w:rPr>
        <w:t>M.</w:t>
      </w:r>
      <w:proofErr w:type="gramStart"/>
      <w:r w:rsidRPr="005466C8">
        <w:rPr>
          <w:rFonts w:ascii="Verdana" w:hAnsi="Verdana"/>
          <w:b/>
          <w:sz w:val="24"/>
          <w:szCs w:val="24"/>
        </w:rPr>
        <w:t>C.MAMOSEBO</w:t>
      </w:r>
      <w:proofErr w:type="gramEnd"/>
    </w:p>
    <w:p w:rsidR="00F4498A" w:rsidRDefault="00F4498A" w:rsidP="00C11F23">
      <w:pPr>
        <w:jc w:val="both"/>
        <w:rPr>
          <w:rFonts w:ascii="Verdana" w:hAnsi="Verdana"/>
          <w:b/>
          <w:sz w:val="24"/>
          <w:szCs w:val="24"/>
        </w:rPr>
      </w:pPr>
      <w:r w:rsidRPr="005466C8">
        <w:rPr>
          <w:rFonts w:ascii="Verdana" w:hAnsi="Verdana"/>
          <w:b/>
          <w:sz w:val="24"/>
          <w:szCs w:val="24"/>
        </w:rPr>
        <w:t>JUDGE OF THE HIGH COURT</w:t>
      </w:r>
    </w:p>
    <w:p w:rsidR="006F0BD0" w:rsidRDefault="006F0BD0" w:rsidP="00C11F2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NORTHERN CAPE DIVISION</w:t>
      </w:r>
    </w:p>
    <w:p w:rsidR="00860CDE" w:rsidRPr="005466C8" w:rsidRDefault="00860CDE" w:rsidP="00F4498A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57536" w:rsidRDefault="00710774" w:rsidP="00857536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C11F23">
        <w:rPr>
          <w:rFonts w:ascii="Verdana" w:hAnsi="Verdana"/>
          <w:b/>
          <w:sz w:val="24"/>
          <w:szCs w:val="24"/>
        </w:rPr>
        <w:t>F</w:t>
      </w:r>
      <w:r w:rsidR="00F4498A" w:rsidRPr="00C11F23">
        <w:rPr>
          <w:rFonts w:ascii="Verdana" w:hAnsi="Verdana"/>
          <w:b/>
          <w:sz w:val="24"/>
          <w:szCs w:val="24"/>
        </w:rPr>
        <w:t xml:space="preserve">or the </w:t>
      </w:r>
      <w:r w:rsidR="005775C0" w:rsidRPr="00C11F23">
        <w:rPr>
          <w:rFonts w:ascii="Verdana" w:hAnsi="Verdana"/>
          <w:b/>
          <w:sz w:val="24"/>
          <w:szCs w:val="24"/>
        </w:rPr>
        <w:t>plaintiff</w:t>
      </w:r>
      <w:r w:rsidR="00F4498A" w:rsidRPr="00C11F23">
        <w:rPr>
          <w:rFonts w:ascii="Verdana" w:hAnsi="Verdana"/>
          <w:b/>
          <w:sz w:val="24"/>
          <w:szCs w:val="24"/>
        </w:rPr>
        <w:t>:</w:t>
      </w:r>
      <w:r w:rsidR="00F4498A" w:rsidRPr="001A6837">
        <w:rPr>
          <w:rFonts w:ascii="Verdana" w:hAnsi="Verdana"/>
          <w:sz w:val="24"/>
          <w:szCs w:val="24"/>
        </w:rPr>
        <w:tab/>
      </w:r>
      <w:r w:rsidR="005775C0">
        <w:rPr>
          <w:rFonts w:ascii="Verdana" w:hAnsi="Verdana"/>
          <w:sz w:val="24"/>
          <w:szCs w:val="24"/>
        </w:rPr>
        <w:tab/>
      </w:r>
      <w:r w:rsidR="00F4498A" w:rsidRPr="001A6837">
        <w:rPr>
          <w:rFonts w:ascii="Verdana" w:hAnsi="Verdana"/>
          <w:sz w:val="24"/>
          <w:szCs w:val="24"/>
        </w:rPr>
        <w:tab/>
      </w:r>
      <w:r w:rsidR="005775C0">
        <w:rPr>
          <w:rFonts w:ascii="Verdana" w:hAnsi="Verdana"/>
          <w:sz w:val="24"/>
          <w:szCs w:val="24"/>
        </w:rPr>
        <w:t xml:space="preserve">MV </w:t>
      </w:r>
      <w:proofErr w:type="spellStart"/>
      <w:r w:rsidR="005775C0">
        <w:rPr>
          <w:rFonts w:ascii="Verdana" w:hAnsi="Verdana"/>
          <w:sz w:val="24"/>
          <w:szCs w:val="24"/>
        </w:rPr>
        <w:t>Galane</w:t>
      </w:r>
      <w:proofErr w:type="spellEnd"/>
    </w:p>
    <w:p w:rsidR="005775C0" w:rsidRPr="001A6837" w:rsidRDefault="00857536" w:rsidP="00857536">
      <w:pPr>
        <w:tabs>
          <w:tab w:val="left" w:pos="4395"/>
        </w:tabs>
        <w:spacing w:line="360" w:lineRule="auto"/>
        <w:ind w:left="4320" w:hanging="4320"/>
        <w:jc w:val="both"/>
        <w:rPr>
          <w:rFonts w:ascii="Verdana" w:hAnsi="Verdana"/>
          <w:sz w:val="24"/>
          <w:szCs w:val="24"/>
        </w:rPr>
      </w:pPr>
      <w:r w:rsidRPr="00C11F23">
        <w:rPr>
          <w:rFonts w:ascii="Verdana" w:hAnsi="Verdana"/>
          <w:b/>
          <w:sz w:val="24"/>
          <w:szCs w:val="24"/>
        </w:rPr>
        <w:t>On instructions of: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5775C0">
        <w:rPr>
          <w:rFonts w:ascii="Verdana" w:hAnsi="Verdana"/>
          <w:sz w:val="24"/>
          <w:szCs w:val="24"/>
        </w:rPr>
        <w:t xml:space="preserve">ODBB </w:t>
      </w:r>
      <w:proofErr w:type="spellStart"/>
      <w:r w:rsidR="005775C0">
        <w:rPr>
          <w:rFonts w:ascii="Verdana" w:hAnsi="Verdana"/>
          <w:sz w:val="24"/>
          <w:szCs w:val="24"/>
        </w:rPr>
        <w:t>Inc</w:t>
      </w:r>
      <w:proofErr w:type="spellEnd"/>
      <w:r>
        <w:rPr>
          <w:rFonts w:ascii="Verdana" w:hAnsi="Verdana"/>
          <w:sz w:val="24"/>
          <w:szCs w:val="24"/>
        </w:rPr>
        <w:t xml:space="preserve"> (local correspondent Roux, </w:t>
      </w:r>
      <w:proofErr w:type="spellStart"/>
      <w:r>
        <w:rPr>
          <w:rFonts w:ascii="Verdana" w:hAnsi="Verdana"/>
          <w:sz w:val="24"/>
          <w:szCs w:val="24"/>
        </w:rPr>
        <w:t>Welgemoed</w:t>
      </w:r>
      <w:proofErr w:type="spellEnd"/>
      <w:r>
        <w:rPr>
          <w:rFonts w:ascii="Verdana" w:hAnsi="Verdana"/>
          <w:sz w:val="24"/>
          <w:szCs w:val="24"/>
        </w:rPr>
        <w:t xml:space="preserve"> &amp; Du </w:t>
      </w:r>
      <w:proofErr w:type="spellStart"/>
      <w:r>
        <w:rPr>
          <w:rFonts w:ascii="Verdana" w:hAnsi="Verdana"/>
          <w:sz w:val="24"/>
          <w:szCs w:val="24"/>
        </w:rPr>
        <w:t>Plooy</w:t>
      </w:r>
      <w:proofErr w:type="spellEnd"/>
      <w:r>
        <w:rPr>
          <w:rFonts w:ascii="Verdana" w:hAnsi="Verdana"/>
          <w:sz w:val="24"/>
          <w:szCs w:val="24"/>
        </w:rPr>
        <w:t>)</w:t>
      </w:r>
    </w:p>
    <w:sectPr w:rsidR="005775C0" w:rsidRPr="001A6837" w:rsidSect="00EC2F45">
      <w:headerReference w:type="default" r:id="rId9"/>
      <w:footerReference w:type="default" r:id="rId10"/>
      <w:pgSz w:w="11906" w:h="16838" w:code="9"/>
      <w:pgMar w:top="851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8D" w:rsidRDefault="00827E8D" w:rsidP="008E2AD7">
      <w:r>
        <w:separator/>
      </w:r>
    </w:p>
  </w:endnote>
  <w:endnote w:type="continuationSeparator" w:id="0">
    <w:p w:rsidR="00827E8D" w:rsidRDefault="00827E8D" w:rsidP="008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DC" w:rsidRPr="00471DFC" w:rsidRDefault="004C26DC">
    <w:pPr>
      <w:pStyle w:val="Footer"/>
      <w:jc w:val="right"/>
      <w:rPr>
        <w:rFonts w:ascii="Century Gothic" w:hAnsi="Century Gothic"/>
        <w:sz w:val="20"/>
        <w:szCs w:val="20"/>
      </w:rPr>
    </w:pPr>
  </w:p>
  <w:p w:rsidR="004C26DC" w:rsidRDefault="004C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8D" w:rsidRDefault="00827E8D" w:rsidP="008E2AD7">
      <w:r>
        <w:separator/>
      </w:r>
    </w:p>
  </w:footnote>
  <w:footnote w:type="continuationSeparator" w:id="0">
    <w:p w:rsidR="00827E8D" w:rsidRDefault="00827E8D" w:rsidP="008E2AD7">
      <w:r>
        <w:continuationSeparator/>
      </w:r>
    </w:p>
  </w:footnote>
  <w:footnote w:id="1">
    <w:p w:rsidR="008A7868" w:rsidRPr="008A7868" w:rsidRDefault="008A7868" w:rsidP="00857536">
      <w:pPr>
        <w:pStyle w:val="NoSpacing"/>
        <w:rPr>
          <w:lang w:val="en-ZA"/>
        </w:rPr>
      </w:pPr>
      <w:r w:rsidRPr="00857536">
        <w:rPr>
          <w:rStyle w:val="FootnoteReference"/>
          <w:sz w:val="20"/>
        </w:rPr>
        <w:footnoteRef/>
      </w:r>
      <w:r w:rsidRPr="00857536">
        <w:rPr>
          <w:sz w:val="20"/>
        </w:rPr>
        <w:t xml:space="preserve"> </w:t>
      </w:r>
      <w:r w:rsidRPr="00857536">
        <w:rPr>
          <w:sz w:val="20"/>
          <w:lang w:val="en-ZA"/>
        </w:rPr>
        <w:t xml:space="preserve">See </w:t>
      </w:r>
      <w:proofErr w:type="spellStart"/>
      <w:r w:rsidRPr="00857536">
        <w:rPr>
          <w:sz w:val="20"/>
          <w:lang w:val="en-ZA"/>
        </w:rPr>
        <w:t>Govender</w:t>
      </w:r>
      <w:proofErr w:type="spellEnd"/>
      <w:r w:rsidRPr="00857536">
        <w:rPr>
          <w:sz w:val="20"/>
          <w:lang w:val="en-ZA"/>
        </w:rPr>
        <w:t xml:space="preserve"> S and Kelly-</w:t>
      </w:r>
      <w:proofErr w:type="spellStart"/>
      <w:r w:rsidRPr="00857536">
        <w:rPr>
          <w:sz w:val="20"/>
          <w:lang w:val="en-ZA"/>
        </w:rPr>
        <w:t>Louw</w:t>
      </w:r>
      <w:proofErr w:type="spellEnd"/>
      <w:r w:rsidRPr="00857536">
        <w:rPr>
          <w:sz w:val="20"/>
          <w:lang w:val="en-ZA"/>
        </w:rPr>
        <w:t xml:space="preserve"> M “Delivery of the Compulsory Section 129(1) Notice as required by the National Credit Act of 2005” PER/PELJ 2018 (21) – DOI </w:t>
      </w:r>
      <w:hyperlink r:id="rId1" w:history="1">
        <w:r w:rsidRPr="00857536">
          <w:rPr>
            <w:rStyle w:val="Hyperlink"/>
            <w:sz w:val="20"/>
            <w:lang w:val="en-ZA"/>
          </w:rPr>
          <w:t>http://dx.doi.org/10.17159/1727</w:t>
        </w:r>
      </w:hyperlink>
      <w:r w:rsidRPr="00857536">
        <w:rPr>
          <w:sz w:val="20"/>
          <w:lang w:val="en-ZA"/>
        </w:rPr>
        <w:t xml:space="preserve"> - 3781/2018/v21:Oa3466 published 27 November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03507066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C26DC" w:rsidRDefault="004C26D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F39" w:rsidRPr="00815F3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4C26DC" w:rsidRDefault="004C2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F82312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38"/>
        </w:tabs>
        <w:ind w:left="2438" w:hanging="10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572"/>
        </w:tabs>
        <w:ind w:left="3572" w:hanging="102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E34242"/>
    <w:multiLevelType w:val="multilevel"/>
    <w:tmpl w:val="3922504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Verdana" w:eastAsia="Times New Roman" w:hAnsi="Verdana" w:cs="Tahoma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" w15:restartNumberingAfterBreak="0">
    <w:nsid w:val="195A4682"/>
    <w:multiLevelType w:val="hybridMultilevel"/>
    <w:tmpl w:val="B7E66C90"/>
    <w:lvl w:ilvl="0" w:tplc="6DA861AE">
      <w:start w:val="1"/>
      <w:numFmt w:val="lowerLetter"/>
      <w:lvlText w:val="(%1)"/>
      <w:lvlJc w:val="left"/>
      <w:pPr>
        <w:ind w:left="241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75" w:hanging="360"/>
      </w:pPr>
    </w:lvl>
    <w:lvl w:ilvl="2" w:tplc="1C09001B" w:tentative="1">
      <w:start w:val="1"/>
      <w:numFmt w:val="lowerRoman"/>
      <w:lvlText w:val="%3."/>
      <w:lvlJc w:val="right"/>
      <w:pPr>
        <w:ind w:left="3495" w:hanging="180"/>
      </w:pPr>
    </w:lvl>
    <w:lvl w:ilvl="3" w:tplc="1C09000F" w:tentative="1">
      <w:start w:val="1"/>
      <w:numFmt w:val="decimal"/>
      <w:lvlText w:val="%4."/>
      <w:lvlJc w:val="left"/>
      <w:pPr>
        <w:ind w:left="4215" w:hanging="360"/>
      </w:pPr>
    </w:lvl>
    <w:lvl w:ilvl="4" w:tplc="1C090019" w:tentative="1">
      <w:start w:val="1"/>
      <w:numFmt w:val="lowerLetter"/>
      <w:lvlText w:val="%5."/>
      <w:lvlJc w:val="left"/>
      <w:pPr>
        <w:ind w:left="4935" w:hanging="360"/>
      </w:pPr>
    </w:lvl>
    <w:lvl w:ilvl="5" w:tplc="1C09001B" w:tentative="1">
      <w:start w:val="1"/>
      <w:numFmt w:val="lowerRoman"/>
      <w:lvlText w:val="%6."/>
      <w:lvlJc w:val="right"/>
      <w:pPr>
        <w:ind w:left="5655" w:hanging="180"/>
      </w:pPr>
    </w:lvl>
    <w:lvl w:ilvl="6" w:tplc="1C09000F" w:tentative="1">
      <w:start w:val="1"/>
      <w:numFmt w:val="decimal"/>
      <w:lvlText w:val="%7."/>
      <w:lvlJc w:val="left"/>
      <w:pPr>
        <w:ind w:left="6375" w:hanging="360"/>
      </w:pPr>
    </w:lvl>
    <w:lvl w:ilvl="7" w:tplc="1C090019" w:tentative="1">
      <w:start w:val="1"/>
      <w:numFmt w:val="lowerLetter"/>
      <w:lvlText w:val="%8."/>
      <w:lvlJc w:val="left"/>
      <w:pPr>
        <w:ind w:left="7095" w:hanging="360"/>
      </w:pPr>
    </w:lvl>
    <w:lvl w:ilvl="8" w:tplc="1C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6B2D5C1D"/>
    <w:multiLevelType w:val="hybridMultilevel"/>
    <w:tmpl w:val="654C8D40"/>
    <w:lvl w:ilvl="0" w:tplc="A84AB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6"/>
    <w:rsid w:val="00003CF9"/>
    <w:rsid w:val="00021A22"/>
    <w:rsid w:val="00032368"/>
    <w:rsid w:val="00033CB3"/>
    <w:rsid w:val="00037186"/>
    <w:rsid w:val="00040F62"/>
    <w:rsid w:val="00043E66"/>
    <w:rsid w:val="00050CBF"/>
    <w:rsid w:val="000564B1"/>
    <w:rsid w:val="000655C9"/>
    <w:rsid w:val="00065BC8"/>
    <w:rsid w:val="0008586E"/>
    <w:rsid w:val="00086CFE"/>
    <w:rsid w:val="0009038A"/>
    <w:rsid w:val="00092013"/>
    <w:rsid w:val="000A1603"/>
    <w:rsid w:val="000B572B"/>
    <w:rsid w:val="000B6FE0"/>
    <w:rsid w:val="000B7C31"/>
    <w:rsid w:val="000B7D5F"/>
    <w:rsid w:val="000D1568"/>
    <w:rsid w:val="000D258D"/>
    <w:rsid w:val="000D2E14"/>
    <w:rsid w:val="000D5120"/>
    <w:rsid w:val="000F0172"/>
    <w:rsid w:val="000F169B"/>
    <w:rsid w:val="00125E55"/>
    <w:rsid w:val="00135169"/>
    <w:rsid w:val="00136F3C"/>
    <w:rsid w:val="001445E9"/>
    <w:rsid w:val="00160AEF"/>
    <w:rsid w:val="00176CED"/>
    <w:rsid w:val="00194636"/>
    <w:rsid w:val="0019721D"/>
    <w:rsid w:val="001A3602"/>
    <w:rsid w:val="001A6837"/>
    <w:rsid w:val="001B1942"/>
    <w:rsid w:val="001B7932"/>
    <w:rsid w:val="001C053B"/>
    <w:rsid w:val="001C4002"/>
    <w:rsid w:val="001C7080"/>
    <w:rsid w:val="001D5079"/>
    <w:rsid w:val="001E1730"/>
    <w:rsid w:val="001E23A4"/>
    <w:rsid w:val="001E4637"/>
    <w:rsid w:val="001E670E"/>
    <w:rsid w:val="001F0FCB"/>
    <w:rsid w:val="00211502"/>
    <w:rsid w:val="00212CE0"/>
    <w:rsid w:val="00213FFC"/>
    <w:rsid w:val="0021498F"/>
    <w:rsid w:val="0022073E"/>
    <w:rsid w:val="00220B88"/>
    <w:rsid w:val="00232269"/>
    <w:rsid w:val="0026286E"/>
    <w:rsid w:val="0026296A"/>
    <w:rsid w:val="00264548"/>
    <w:rsid w:val="00267AFF"/>
    <w:rsid w:val="00277638"/>
    <w:rsid w:val="0028321D"/>
    <w:rsid w:val="002928F2"/>
    <w:rsid w:val="002A0CFC"/>
    <w:rsid w:val="002A2FB5"/>
    <w:rsid w:val="002B2706"/>
    <w:rsid w:val="002B2D56"/>
    <w:rsid w:val="002B5343"/>
    <w:rsid w:val="002D0B7E"/>
    <w:rsid w:val="0030471D"/>
    <w:rsid w:val="0030731D"/>
    <w:rsid w:val="00317818"/>
    <w:rsid w:val="00323D5B"/>
    <w:rsid w:val="00387801"/>
    <w:rsid w:val="003A459B"/>
    <w:rsid w:val="003A7863"/>
    <w:rsid w:val="003B249E"/>
    <w:rsid w:val="003C63DB"/>
    <w:rsid w:val="003D4749"/>
    <w:rsid w:val="00402EB9"/>
    <w:rsid w:val="00403028"/>
    <w:rsid w:val="00417C8C"/>
    <w:rsid w:val="0042217E"/>
    <w:rsid w:val="00430EE5"/>
    <w:rsid w:val="004347F9"/>
    <w:rsid w:val="00436A01"/>
    <w:rsid w:val="0044400C"/>
    <w:rsid w:val="00445DF2"/>
    <w:rsid w:val="00447B86"/>
    <w:rsid w:val="004560F0"/>
    <w:rsid w:val="0045770F"/>
    <w:rsid w:val="00471DFC"/>
    <w:rsid w:val="00471F52"/>
    <w:rsid w:val="0048043F"/>
    <w:rsid w:val="00481588"/>
    <w:rsid w:val="00491804"/>
    <w:rsid w:val="004B774E"/>
    <w:rsid w:val="004C1FD8"/>
    <w:rsid w:val="004C26DC"/>
    <w:rsid w:val="004C5422"/>
    <w:rsid w:val="004C66CD"/>
    <w:rsid w:val="004C6797"/>
    <w:rsid w:val="004F357B"/>
    <w:rsid w:val="005049EC"/>
    <w:rsid w:val="00505012"/>
    <w:rsid w:val="00517237"/>
    <w:rsid w:val="00524577"/>
    <w:rsid w:val="005411B1"/>
    <w:rsid w:val="005466C8"/>
    <w:rsid w:val="00555CB5"/>
    <w:rsid w:val="00560DF1"/>
    <w:rsid w:val="00564EDF"/>
    <w:rsid w:val="005734F9"/>
    <w:rsid w:val="005754D5"/>
    <w:rsid w:val="00575C84"/>
    <w:rsid w:val="005775C0"/>
    <w:rsid w:val="005826E7"/>
    <w:rsid w:val="005913E5"/>
    <w:rsid w:val="00592EBD"/>
    <w:rsid w:val="00593BC4"/>
    <w:rsid w:val="00595D78"/>
    <w:rsid w:val="005A5918"/>
    <w:rsid w:val="005B51F8"/>
    <w:rsid w:val="005B5F7B"/>
    <w:rsid w:val="005C735F"/>
    <w:rsid w:val="005D43BA"/>
    <w:rsid w:val="005D4E7A"/>
    <w:rsid w:val="00604819"/>
    <w:rsid w:val="0061125E"/>
    <w:rsid w:val="0062289C"/>
    <w:rsid w:val="00631B65"/>
    <w:rsid w:val="00643266"/>
    <w:rsid w:val="00650117"/>
    <w:rsid w:val="00653D2D"/>
    <w:rsid w:val="006576CE"/>
    <w:rsid w:val="00662C09"/>
    <w:rsid w:val="006763FF"/>
    <w:rsid w:val="006916F9"/>
    <w:rsid w:val="00692BC7"/>
    <w:rsid w:val="006B7CB9"/>
    <w:rsid w:val="006C2C44"/>
    <w:rsid w:val="006C62C2"/>
    <w:rsid w:val="006E4D4B"/>
    <w:rsid w:val="006F0BD0"/>
    <w:rsid w:val="006F6534"/>
    <w:rsid w:val="00700CA0"/>
    <w:rsid w:val="00700FE1"/>
    <w:rsid w:val="00703056"/>
    <w:rsid w:val="007043D6"/>
    <w:rsid w:val="00710774"/>
    <w:rsid w:val="00732AFB"/>
    <w:rsid w:val="00746838"/>
    <w:rsid w:val="00760F2D"/>
    <w:rsid w:val="00777412"/>
    <w:rsid w:val="00792CA8"/>
    <w:rsid w:val="007A18BA"/>
    <w:rsid w:val="007A3CD3"/>
    <w:rsid w:val="007B30E9"/>
    <w:rsid w:val="007B79A0"/>
    <w:rsid w:val="007C6D92"/>
    <w:rsid w:val="007D3F4D"/>
    <w:rsid w:val="007D4527"/>
    <w:rsid w:val="007E05E7"/>
    <w:rsid w:val="007F4B50"/>
    <w:rsid w:val="00801AFA"/>
    <w:rsid w:val="00802173"/>
    <w:rsid w:val="0081130D"/>
    <w:rsid w:val="00815F39"/>
    <w:rsid w:val="00827E8D"/>
    <w:rsid w:val="00831C5F"/>
    <w:rsid w:val="00845278"/>
    <w:rsid w:val="00855717"/>
    <w:rsid w:val="00857536"/>
    <w:rsid w:val="00860CDE"/>
    <w:rsid w:val="00863208"/>
    <w:rsid w:val="008714CF"/>
    <w:rsid w:val="00885464"/>
    <w:rsid w:val="008A7868"/>
    <w:rsid w:val="008B2913"/>
    <w:rsid w:val="008B450B"/>
    <w:rsid w:val="008D0F4B"/>
    <w:rsid w:val="008D1869"/>
    <w:rsid w:val="008E04A1"/>
    <w:rsid w:val="008E2AD7"/>
    <w:rsid w:val="008E5611"/>
    <w:rsid w:val="0090357C"/>
    <w:rsid w:val="00913376"/>
    <w:rsid w:val="0092284F"/>
    <w:rsid w:val="009312E7"/>
    <w:rsid w:val="0094731E"/>
    <w:rsid w:val="0094739F"/>
    <w:rsid w:val="009533C6"/>
    <w:rsid w:val="00954229"/>
    <w:rsid w:val="00955A3B"/>
    <w:rsid w:val="00960F65"/>
    <w:rsid w:val="009657F1"/>
    <w:rsid w:val="00972F9F"/>
    <w:rsid w:val="00992FFC"/>
    <w:rsid w:val="009A14B7"/>
    <w:rsid w:val="009A5C68"/>
    <w:rsid w:val="009C7714"/>
    <w:rsid w:val="009E7CBF"/>
    <w:rsid w:val="00A03442"/>
    <w:rsid w:val="00A06CB1"/>
    <w:rsid w:val="00A174E3"/>
    <w:rsid w:val="00A2051D"/>
    <w:rsid w:val="00A222AB"/>
    <w:rsid w:val="00A22C04"/>
    <w:rsid w:val="00A30258"/>
    <w:rsid w:val="00A532F3"/>
    <w:rsid w:val="00A7787A"/>
    <w:rsid w:val="00A9070E"/>
    <w:rsid w:val="00A92AFB"/>
    <w:rsid w:val="00AA0743"/>
    <w:rsid w:val="00AA265A"/>
    <w:rsid w:val="00AE01B7"/>
    <w:rsid w:val="00AE2620"/>
    <w:rsid w:val="00AF292A"/>
    <w:rsid w:val="00AF78B2"/>
    <w:rsid w:val="00B02E53"/>
    <w:rsid w:val="00B10DAC"/>
    <w:rsid w:val="00B12F21"/>
    <w:rsid w:val="00B23776"/>
    <w:rsid w:val="00B43A22"/>
    <w:rsid w:val="00B51458"/>
    <w:rsid w:val="00B53EA5"/>
    <w:rsid w:val="00B6773F"/>
    <w:rsid w:val="00B73DAD"/>
    <w:rsid w:val="00B85D0F"/>
    <w:rsid w:val="00BA248F"/>
    <w:rsid w:val="00BE4B0F"/>
    <w:rsid w:val="00BF0868"/>
    <w:rsid w:val="00C05766"/>
    <w:rsid w:val="00C07703"/>
    <w:rsid w:val="00C11F23"/>
    <w:rsid w:val="00C3327A"/>
    <w:rsid w:val="00C335D2"/>
    <w:rsid w:val="00C62B21"/>
    <w:rsid w:val="00C853BF"/>
    <w:rsid w:val="00C87590"/>
    <w:rsid w:val="00C96058"/>
    <w:rsid w:val="00CC736F"/>
    <w:rsid w:val="00CF5820"/>
    <w:rsid w:val="00D11D24"/>
    <w:rsid w:val="00D17E54"/>
    <w:rsid w:val="00D52AD7"/>
    <w:rsid w:val="00D75776"/>
    <w:rsid w:val="00D93380"/>
    <w:rsid w:val="00D94145"/>
    <w:rsid w:val="00D9719C"/>
    <w:rsid w:val="00DC2C06"/>
    <w:rsid w:val="00DC2E72"/>
    <w:rsid w:val="00DC5F11"/>
    <w:rsid w:val="00DD398B"/>
    <w:rsid w:val="00DD5911"/>
    <w:rsid w:val="00E07CB7"/>
    <w:rsid w:val="00E118B6"/>
    <w:rsid w:val="00E14AF9"/>
    <w:rsid w:val="00E14E65"/>
    <w:rsid w:val="00E3044C"/>
    <w:rsid w:val="00E33B67"/>
    <w:rsid w:val="00E41CF8"/>
    <w:rsid w:val="00E44393"/>
    <w:rsid w:val="00E557D0"/>
    <w:rsid w:val="00E66AA7"/>
    <w:rsid w:val="00E85270"/>
    <w:rsid w:val="00E93230"/>
    <w:rsid w:val="00EA193D"/>
    <w:rsid w:val="00EA6677"/>
    <w:rsid w:val="00EB0A3E"/>
    <w:rsid w:val="00EC2F45"/>
    <w:rsid w:val="00EE3778"/>
    <w:rsid w:val="00EE7C80"/>
    <w:rsid w:val="00EF3227"/>
    <w:rsid w:val="00EF3DEF"/>
    <w:rsid w:val="00EF4526"/>
    <w:rsid w:val="00EF5356"/>
    <w:rsid w:val="00F132DF"/>
    <w:rsid w:val="00F17EDF"/>
    <w:rsid w:val="00F271DB"/>
    <w:rsid w:val="00F31BF8"/>
    <w:rsid w:val="00F40309"/>
    <w:rsid w:val="00F4498A"/>
    <w:rsid w:val="00F47976"/>
    <w:rsid w:val="00F540FD"/>
    <w:rsid w:val="00F8339E"/>
    <w:rsid w:val="00F835F7"/>
    <w:rsid w:val="00F93153"/>
    <w:rsid w:val="00F9361B"/>
    <w:rsid w:val="00FB23BE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6A0620-D6A7-44BA-B441-E274F33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AC"/>
    <w:pPr>
      <w:spacing w:after="0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8E2AD7"/>
    <w:pPr>
      <w:numPr>
        <w:numId w:val="1"/>
      </w:numPr>
      <w:spacing w:before="240" w:after="240" w:line="480" w:lineRule="auto"/>
      <w:jc w:val="both"/>
      <w:outlineLvl w:val="0"/>
    </w:pPr>
    <w:rPr>
      <w:rFonts w:cs="Times New Roman"/>
      <w:kern w:val="28"/>
      <w:sz w:val="24"/>
      <w:szCs w:val="20"/>
      <w:lang w:val="en-ZA" w:eastAsia="en-US"/>
    </w:rPr>
  </w:style>
  <w:style w:type="paragraph" w:styleId="Heading2">
    <w:name w:val="heading 2"/>
    <w:basedOn w:val="Normal"/>
    <w:link w:val="Heading2Char"/>
    <w:qFormat/>
    <w:rsid w:val="008E2AD7"/>
    <w:pPr>
      <w:numPr>
        <w:ilvl w:val="1"/>
        <w:numId w:val="1"/>
      </w:numPr>
      <w:spacing w:before="240" w:after="240" w:line="480" w:lineRule="auto"/>
      <w:jc w:val="both"/>
      <w:outlineLvl w:val="1"/>
    </w:pPr>
    <w:rPr>
      <w:rFonts w:cs="Times New Roman"/>
      <w:sz w:val="24"/>
      <w:szCs w:val="20"/>
      <w:lang w:val="en-ZA" w:eastAsia="en-US"/>
    </w:rPr>
  </w:style>
  <w:style w:type="paragraph" w:styleId="Heading3">
    <w:name w:val="heading 3"/>
    <w:basedOn w:val="Normal"/>
    <w:link w:val="Heading3Char"/>
    <w:qFormat/>
    <w:rsid w:val="008E2AD7"/>
    <w:pPr>
      <w:numPr>
        <w:ilvl w:val="2"/>
        <w:numId w:val="1"/>
      </w:numPr>
      <w:spacing w:before="240" w:after="240" w:line="480" w:lineRule="auto"/>
      <w:jc w:val="both"/>
      <w:outlineLvl w:val="2"/>
    </w:pPr>
    <w:rPr>
      <w:rFonts w:cs="Times New Roman"/>
      <w:sz w:val="24"/>
      <w:szCs w:val="20"/>
      <w:lang w:val="en-ZA" w:eastAsia="en-US"/>
    </w:rPr>
  </w:style>
  <w:style w:type="paragraph" w:styleId="Heading4">
    <w:name w:val="heading 4"/>
    <w:basedOn w:val="Normal"/>
    <w:link w:val="Heading4Char"/>
    <w:qFormat/>
    <w:rsid w:val="008E2AD7"/>
    <w:pPr>
      <w:numPr>
        <w:ilvl w:val="3"/>
        <w:numId w:val="1"/>
      </w:numPr>
      <w:spacing w:before="240" w:after="240" w:line="480" w:lineRule="auto"/>
      <w:jc w:val="both"/>
      <w:outlineLvl w:val="3"/>
    </w:pPr>
    <w:rPr>
      <w:rFonts w:cs="Times New Roman"/>
      <w:sz w:val="24"/>
      <w:szCs w:val="20"/>
      <w:lang w:val="en-ZA" w:eastAsia="en-US"/>
    </w:rPr>
  </w:style>
  <w:style w:type="paragraph" w:styleId="Heading5">
    <w:name w:val="heading 5"/>
    <w:basedOn w:val="Normal"/>
    <w:link w:val="Heading5Char"/>
    <w:qFormat/>
    <w:rsid w:val="008E2AD7"/>
    <w:pPr>
      <w:numPr>
        <w:ilvl w:val="4"/>
        <w:numId w:val="1"/>
      </w:numPr>
      <w:spacing w:before="240" w:after="240" w:line="480" w:lineRule="auto"/>
      <w:jc w:val="both"/>
      <w:outlineLvl w:val="4"/>
    </w:pPr>
    <w:rPr>
      <w:rFonts w:cs="Times New Roman"/>
      <w:sz w:val="24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A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E2AD7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2AD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E2AD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2AD7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E2AD7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8E2AD7"/>
    <w:pPr>
      <w:spacing w:after="120" w:line="36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E2AD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E2A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74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471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DFC"/>
    <w:rPr>
      <w:rFonts w:ascii="Arial" w:eastAsia="Times New Roman" w:hAnsi="Arial" w:cs="Arial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1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DFC"/>
    <w:rPr>
      <w:rFonts w:ascii="Arial" w:eastAsia="Times New Roman" w:hAnsi="Arial" w:cs="Arial"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A78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5F11"/>
    <w:pPr>
      <w:spacing w:after="0" w:line="240" w:lineRule="auto"/>
    </w:pPr>
    <w:rPr>
      <w:rFonts w:ascii="Arial" w:eastAsia="Times New Roman" w:hAnsi="Arial" w:cs="Arial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7159/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A40A-E1BF-4C1F-A44F-8185E89A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Chwaro</dc:creator>
  <cp:keywords/>
  <dc:description/>
  <cp:lastModifiedBy>Mary Bruce</cp:lastModifiedBy>
  <cp:revision>3</cp:revision>
  <cp:lastPrinted>2022-09-06T07:53:00Z</cp:lastPrinted>
  <dcterms:created xsi:type="dcterms:W3CDTF">2022-09-06T07:54:00Z</dcterms:created>
  <dcterms:modified xsi:type="dcterms:W3CDTF">2022-12-21T17:22:00Z</dcterms:modified>
</cp:coreProperties>
</file>