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7561" w:tblpY="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2"/>
      </w:tblGrid>
      <w:tr w:rsidR="00502FD0" w:rsidTr="00502FD0">
        <w:trPr>
          <w:cantSplit/>
          <w:trHeight w:val="983"/>
        </w:trPr>
        <w:tc>
          <w:tcPr>
            <w:tcW w:w="3802" w:type="dxa"/>
          </w:tcPr>
          <w:p w:rsidR="00502FD0" w:rsidRPr="00AD2E9B" w:rsidRDefault="00502FD0" w:rsidP="00502FD0">
            <w:pPr>
              <w:pStyle w:val="1"/>
              <w:numPr>
                <w:ilvl w:val="0"/>
                <w:numId w:val="0"/>
              </w:numPr>
              <w:tabs>
                <w:tab w:val="right" w:pos="3576"/>
              </w:tabs>
              <w:spacing w:before="0" w:line="240" w:lineRule="auto"/>
              <w:ind w:left="567" w:hanging="567"/>
              <w:contextualSpacing/>
              <w:rPr>
                <w:rFonts w:asciiTheme="minorHAnsi" w:hAnsiTheme="minorHAnsi" w:cstheme="minorHAnsi"/>
                <w:sz w:val="20"/>
                <w:szCs w:val="20"/>
              </w:rPr>
            </w:pPr>
            <w:r w:rsidRPr="00AD2E9B">
              <w:rPr>
                <w:rFonts w:asciiTheme="minorHAnsi" w:hAnsiTheme="minorHAnsi" w:cstheme="minorHAnsi"/>
                <w:sz w:val="20"/>
                <w:szCs w:val="20"/>
              </w:rPr>
              <w:t>Reportable:</w:t>
            </w:r>
            <w:r>
              <w:rPr>
                <w:rFonts w:asciiTheme="minorHAnsi" w:hAnsiTheme="minorHAnsi" w:cstheme="minorHAnsi"/>
                <w:sz w:val="20"/>
                <w:szCs w:val="20"/>
              </w:rPr>
              <w:tab/>
            </w:r>
            <w:r w:rsidRPr="00502FD0">
              <w:rPr>
                <w:rFonts w:asciiTheme="minorHAnsi" w:hAnsiTheme="minorHAnsi" w:cstheme="minorHAnsi"/>
                <w:b/>
                <w:sz w:val="20"/>
                <w:szCs w:val="20"/>
                <w:u w:val="single"/>
              </w:rPr>
              <w:t>YES</w:t>
            </w:r>
            <w:r w:rsidRPr="00AD2E9B">
              <w:rPr>
                <w:rFonts w:asciiTheme="minorHAnsi" w:hAnsiTheme="minorHAnsi" w:cstheme="minorHAnsi"/>
                <w:sz w:val="20"/>
                <w:szCs w:val="20"/>
              </w:rPr>
              <w:t xml:space="preserve"> / NO</w:t>
            </w:r>
          </w:p>
          <w:p w:rsidR="00502FD0" w:rsidRPr="00AD2E9B" w:rsidRDefault="00502FD0" w:rsidP="00502FD0">
            <w:pPr>
              <w:pStyle w:val="1"/>
              <w:numPr>
                <w:ilvl w:val="0"/>
                <w:numId w:val="0"/>
              </w:numPr>
              <w:tabs>
                <w:tab w:val="right" w:pos="3576"/>
              </w:tabs>
              <w:spacing w:before="0" w:line="240" w:lineRule="auto"/>
              <w:ind w:left="567" w:hanging="567"/>
              <w:contextualSpacing/>
              <w:rPr>
                <w:rFonts w:asciiTheme="minorHAnsi" w:hAnsiTheme="minorHAnsi" w:cstheme="minorHAnsi"/>
                <w:sz w:val="20"/>
                <w:szCs w:val="20"/>
              </w:rPr>
            </w:pPr>
            <w:r w:rsidRPr="00AD2E9B">
              <w:rPr>
                <w:rFonts w:asciiTheme="minorHAnsi" w:hAnsiTheme="minorHAnsi" w:cstheme="minorHAnsi"/>
                <w:sz w:val="20"/>
                <w:szCs w:val="20"/>
              </w:rPr>
              <w:t>Circulate to Judges:</w:t>
            </w:r>
            <w:r>
              <w:rPr>
                <w:rFonts w:asciiTheme="minorHAnsi" w:hAnsiTheme="minorHAnsi" w:cstheme="minorHAnsi"/>
                <w:sz w:val="20"/>
                <w:szCs w:val="20"/>
              </w:rPr>
              <w:tab/>
            </w:r>
            <w:r w:rsidRPr="00AD2E9B">
              <w:rPr>
                <w:rFonts w:asciiTheme="minorHAnsi" w:hAnsiTheme="minorHAnsi" w:cstheme="minorHAnsi"/>
                <w:sz w:val="20"/>
                <w:szCs w:val="20"/>
              </w:rPr>
              <w:t>YES / NO</w:t>
            </w:r>
          </w:p>
          <w:p w:rsidR="00502FD0" w:rsidRPr="00AD2E9B" w:rsidRDefault="00502FD0" w:rsidP="00502FD0">
            <w:pPr>
              <w:pStyle w:val="1"/>
              <w:numPr>
                <w:ilvl w:val="0"/>
                <w:numId w:val="0"/>
              </w:numPr>
              <w:tabs>
                <w:tab w:val="right" w:pos="3576"/>
              </w:tabs>
              <w:spacing w:before="0" w:line="240" w:lineRule="auto"/>
              <w:ind w:left="567" w:hanging="567"/>
              <w:contextualSpacing/>
              <w:rPr>
                <w:rFonts w:asciiTheme="minorHAnsi" w:hAnsiTheme="minorHAnsi" w:cstheme="minorHAnsi"/>
                <w:sz w:val="20"/>
                <w:szCs w:val="20"/>
              </w:rPr>
            </w:pPr>
            <w:r w:rsidRPr="00AD2E9B">
              <w:rPr>
                <w:rFonts w:asciiTheme="minorHAnsi" w:hAnsiTheme="minorHAnsi" w:cstheme="minorHAnsi"/>
                <w:sz w:val="20"/>
                <w:szCs w:val="20"/>
              </w:rPr>
              <w:t>Circulate to Magistrates:</w:t>
            </w:r>
            <w:r>
              <w:rPr>
                <w:rFonts w:asciiTheme="minorHAnsi" w:hAnsiTheme="minorHAnsi" w:cstheme="minorHAnsi"/>
                <w:sz w:val="20"/>
                <w:szCs w:val="20"/>
              </w:rPr>
              <w:tab/>
            </w:r>
            <w:r w:rsidRPr="00AD2E9B">
              <w:rPr>
                <w:rFonts w:asciiTheme="minorHAnsi" w:hAnsiTheme="minorHAnsi" w:cstheme="minorHAnsi"/>
                <w:sz w:val="20"/>
                <w:szCs w:val="20"/>
              </w:rPr>
              <w:t xml:space="preserve"> YES / NO</w:t>
            </w:r>
          </w:p>
          <w:p w:rsidR="00502FD0" w:rsidRDefault="00502FD0" w:rsidP="00502FD0">
            <w:pPr>
              <w:pStyle w:val="1"/>
              <w:numPr>
                <w:ilvl w:val="0"/>
                <w:numId w:val="0"/>
              </w:numPr>
              <w:tabs>
                <w:tab w:val="right" w:pos="3576"/>
              </w:tabs>
              <w:spacing w:before="0" w:line="240" w:lineRule="auto"/>
              <w:ind w:left="567" w:hanging="567"/>
              <w:contextualSpacing/>
              <w:rPr>
                <w:sz w:val="16"/>
              </w:rPr>
            </w:pPr>
            <w:r w:rsidRPr="00AD2E9B">
              <w:rPr>
                <w:rFonts w:asciiTheme="minorHAnsi" w:hAnsiTheme="minorHAnsi" w:cstheme="minorHAnsi"/>
                <w:sz w:val="20"/>
                <w:szCs w:val="20"/>
              </w:rPr>
              <w:t>Circulate to Regional Magistrates:</w:t>
            </w:r>
            <w:r>
              <w:rPr>
                <w:rFonts w:asciiTheme="minorHAnsi" w:hAnsiTheme="minorHAnsi" w:cstheme="minorHAnsi"/>
                <w:sz w:val="20"/>
                <w:szCs w:val="20"/>
              </w:rPr>
              <w:tab/>
            </w:r>
            <w:r w:rsidRPr="00AD2E9B">
              <w:rPr>
                <w:rFonts w:asciiTheme="minorHAnsi" w:hAnsiTheme="minorHAnsi" w:cstheme="minorHAnsi"/>
                <w:sz w:val="20"/>
                <w:szCs w:val="20"/>
              </w:rPr>
              <w:t>YES / NO</w:t>
            </w:r>
          </w:p>
        </w:tc>
      </w:tr>
    </w:tbl>
    <w:p w:rsidR="0001552B" w:rsidRPr="00F33A30" w:rsidRDefault="00F33A30" w:rsidP="00CD3583">
      <w:pPr>
        <w:spacing w:line="360" w:lineRule="auto"/>
        <w:contextualSpacing/>
        <w:jc w:val="right"/>
        <w:rPr>
          <w:rFonts w:ascii="Arial" w:hAnsi="Arial" w:cs="Arial"/>
          <w:color w:val="auto"/>
        </w:rPr>
      </w:pPr>
      <w:r w:rsidRPr="00F33A30">
        <w:rPr>
          <w:rFonts w:ascii="Arial" w:hAnsi="Arial" w:cs="Arial"/>
          <w:noProof/>
          <w:color w:val="auto"/>
          <w:lang w:val="en-ZA" w:eastAsia="en-ZA"/>
        </w:rPr>
        <w:drawing>
          <wp:anchor distT="0" distB="0" distL="114300" distR="114300" simplePos="0" relativeHeight="251658240" behindDoc="1" locked="0" layoutInCell="1" allowOverlap="1">
            <wp:simplePos x="0" y="0"/>
            <wp:positionH relativeFrom="column">
              <wp:posOffset>2285909</wp:posOffset>
            </wp:positionH>
            <wp:positionV relativeFrom="paragraph">
              <wp:posOffset>-510639</wp:posOffset>
            </wp:positionV>
            <wp:extent cx="1227114" cy="1177747"/>
            <wp:effectExtent l="0" t="0" r="0" b="3810"/>
            <wp:wrapNone/>
            <wp:docPr id="1" name="Picture 1" descr="Description: C:\Users\ejansevanrensburg\AppData\Local\Microsoft\Windows\Temporary Internet Files\Content.Outlook\VEP37WK2\The Judiciary - Master emblem in high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ejansevanrensburg\AppData\Local\Microsoft\Windows\Temporary Internet Files\Content.Outlook\VEP37WK2\The Judiciary - Master emblem in high resolut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7114" cy="11777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552B" w:rsidRPr="00F33A30" w:rsidRDefault="0001552B" w:rsidP="00CD3583">
      <w:pPr>
        <w:spacing w:line="360" w:lineRule="auto"/>
        <w:contextualSpacing/>
        <w:jc w:val="center"/>
        <w:rPr>
          <w:rFonts w:ascii="Arial" w:hAnsi="Arial" w:cs="Arial"/>
          <w:color w:val="auto"/>
        </w:rPr>
      </w:pPr>
    </w:p>
    <w:p w:rsidR="0001552B" w:rsidRPr="00F33A30" w:rsidRDefault="0001552B" w:rsidP="00CD3583">
      <w:pPr>
        <w:spacing w:line="360" w:lineRule="auto"/>
        <w:contextualSpacing/>
        <w:jc w:val="center"/>
        <w:rPr>
          <w:rFonts w:ascii="Arial" w:hAnsi="Arial" w:cs="Arial"/>
          <w:color w:val="auto"/>
        </w:rPr>
      </w:pPr>
    </w:p>
    <w:p w:rsidR="002813E4" w:rsidRPr="000D7782" w:rsidRDefault="002813E4" w:rsidP="00CD3583">
      <w:pPr>
        <w:spacing w:line="360" w:lineRule="auto"/>
        <w:contextualSpacing/>
        <w:jc w:val="center"/>
        <w:rPr>
          <w:rFonts w:ascii="Arial" w:hAnsi="Arial" w:cs="Arial"/>
          <w:color w:val="auto"/>
        </w:rPr>
      </w:pPr>
    </w:p>
    <w:p w:rsidR="0001552B" w:rsidRPr="000D7782" w:rsidRDefault="0001552B" w:rsidP="00CD3583">
      <w:pPr>
        <w:spacing w:line="360" w:lineRule="auto"/>
        <w:contextualSpacing/>
        <w:jc w:val="center"/>
        <w:rPr>
          <w:rFonts w:ascii="Arial" w:hAnsi="Arial" w:cs="Arial"/>
          <w:b w:val="0"/>
          <w:color w:val="auto"/>
        </w:rPr>
      </w:pPr>
      <w:r w:rsidRPr="000D7782">
        <w:rPr>
          <w:rFonts w:ascii="Arial" w:hAnsi="Arial" w:cs="Arial"/>
          <w:color w:val="auto"/>
        </w:rPr>
        <w:t>IN THE HIGH COURT OF SOUTH AFRICA</w:t>
      </w:r>
    </w:p>
    <w:p w:rsidR="0001552B" w:rsidRPr="000D7782" w:rsidRDefault="0001552B" w:rsidP="00CD3583">
      <w:pPr>
        <w:spacing w:line="360" w:lineRule="auto"/>
        <w:contextualSpacing/>
        <w:jc w:val="center"/>
        <w:rPr>
          <w:rFonts w:ascii="Arial" w:hAnsi="Arial" w:cs="Arial"/>
          <w:b w:val="0"/>
          <w:color w:val="auto"/>
        </w:rPr>
      </w:pPr>
      <w:r w:rsidRPr="000D7782">
        <w:rPr>
          <w:rFonts w:ascii="Arial" w:hAnsi="Arial" w:cs="Arial"/>
          <w:color w:val="auto"/>
        </w:rPr>
        <w:t>(NORTHERN CAPE DIVISION, KIMBERLEY)</w:t>
      </w:r>
    </w:p>
    <w:p w:rsidR="00F33A30" w:rsidRPr="000D7782" w:rsidRDefault="0001552B" w:rsidP="00CD3583">
      <w:pPr>
        <w:spacing w:line="360" w:lineRule="auto"/>
        <w:contextualSpacing/>
        <w:jc w:val="center"/>
        <w:rPr>
          <w:rFonts w:ascii="Arial" w:hAnsi="Arial" w:cs="Arial"/>
          <w:color w:val="auto"/>
          <w:lang w:val="en-US"/>
        </w:rPr>
      </w:pPr>
      <w:r w:rsidRPr="000D7782">
        <w:rPr>
          <w:rFonts w:ascii="Arial" w:hAnsi="Arial" w:cs="Arial"/>
          <w:color w:val="auto"/>
          <w:lang w:val="en-US"/>
        </w:rPr>
        <w:tab/>
      </w:r>
      <w:r w:rsidRPr="000D7782">
        <w:rPr>
          <w:rFonts w:ascii="Arial" w:hAnsi="Arial" w:cs="Arial"/>
          <w:color w:val="auto"/>
          <w:lang w:val="en-US"/>
        </w:rPr>
        <w:tab/>
      </w:r>
      <w:r w:rsidRPr="000D7782">
        <w:rPr>
          <w:rFonts w:ascii="Arial" w:hAnsi="Arial" w:cs="Arial"/>
          <w:color w:val="auto"/>
          <w:lang w:val="en-US"/>
        </w:rPr>
        <w:tab/>
      </w:r>
      <w:r w:rsidRPr="000D7782">
        <w:rPr>
          <w:rFonts w:ascii="Arial" w:hAnsi="Arial" w:cs="Arial"/>
          <w:color w:val="auto"/>
          <w:lang w:val="en-US"/>
        </w:rPr>
        <w:tab/>
      </w:r>
      <w:r w:rsidRPr="000D7782">
        <w:rPr>
          <w:rFonts w:ascii="Arial" w:hAnsi="Arial" w:cs="Arial"/>
          <w:color w:val="auto"/>
          <w:lang w:val="en-US"/>
        </w:rPr>
        <w:tab/>
      </w:r>
      <w:r w:rsidRPr="000D7782">
        <w:rPr>
          <w:rFonts w:ascii="Arial" w:hAnsi="Arial" w:cs="Arial"/>
          <w:color w:val="auto"/>
          <w:lang w:val="en-US"/>
        </w:rPr>
        <w:tab/>
      </w:r>
      <w:r w:rsidRPr="000D7782">
        <w:rPr>
          <w:rFonts w:ascii="Arial" w:hAnsi="Arial" w:cs="Arial"/>
          <w:color w:val="auto"/>
          <w:lang w:val="en-US"/>
        </w:rPr>
        <w:tab/>
      </w:r>
      <w:r w:rsidRPr="000D7782">
        <w:rPr>
          <w:rFonts w:ascii="Arial" w:hAnsi="Arial" w:cs="Arial"/>
          <w:color w:val="auto"/>
          <w:lang w:val="en-US"/>
        </w:rPr>
        <w:tab/>
      </w:r>
    </w:p>
    <w:tbl>
      <w:tblPr>
        <w:tblStyle w:val="TableGrid"/>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779"/>
      </w:tblGrid>
      <w:tr w:rsidR="00F33A30" w:rsidRPr="000D7782" w:rsidTr="00164D26">
        <w:tc>
          <w:tcPr>
            <w:tcW w:w="2268" w:type="dxa"/>
          </w:tcPr>
          <w:p w:rsidR="00F33A30" w:rsidRPr="000D7782" w:rsidRDefault="00F33A30" w:rsidP="00884096">
            <w:pPr>
              <w:contextualSpacing/>
              <w:jc w:val="both"/>
              <w:rPr>
                <w:rFonts w:ascii="Arial" w:hAnsi="Arial" w:cs="Arial"/>
                <w:b w:val="0"/>
                <w:color w:val="auto"/>
                <w:sz w:val="24"/>
                <w:szCs w:val="24"/>
              </w:rPr>
            </w:pPr>
            <w:r w:rsidRPr="000D7782">
              <w:rPr>
                <w:rFonts w:ascii="Arial" w:hAnsi="Arial" w:cs="Arial"/>
                <w:b w:val="0"/>
                <w:color w:val="auto"/>
                <w:sz w:val="24"/>
                <w:szCs w:val="24"/>
              </w:rPr>
              <w:t>CASE NO:</w:t>
            </w:r>
          </w:p>
        </w:tc>
        <w:tc>
          <w:tcPr>
            <w:tcW w:w="2779" w:type="dxa"/>
          </w:tcPr>
          <w:p w:rsidR="00F33A30" w:rsidRPr="000D7782" w:rsidRDefault="00F33A30" w:rsidP="00884096">
            <w:pPr>
              <w:contextualSpacing/>
              <w:jc w:val="right"/>
              <w:rPr>
                <w:rFonts w:ascii="Arial" w:hAnsi="Arial" w:cs="Arial"/>
                <w:b w:val="0"/>
                <w:color w:val="auto"/>
                <w:sz w:val="24"/>
                <w:szCs w:val="24"/>
              </w:rPr>
            </w:pPr>
            <w:r w:rsidRPr="000D7782">
              <w:rPr>
                <w:rFonts w:ascii="Arial" w:hAnsi="Arial" w:cs="Arial"/>
                <w:color w:val="auto"/>
                <w:sz w:val="24"/>
                <w:szCs w:val="24"/>
              </w:rPr>
              <w:t>893/2023</w:t>
            </w:r>
          </w:p>
        </w:tc>
      </w:tr>
      <w:tr w:rsidR="00F33A30" w:rsidRPr="000D7782" w:rsidTr="00164D26">
        <w:tc>
          <w:tcPr>
            <w:tcW w:w="2268" w:type="dxa"/>
          </w:tcPr>
          <w:p w:rsidR="00F33A30" w:rsidRPr="000D7782" w:rsidRDefault="00F33A30" w:rsidP="00884096">
            <w:pPr>
              <w:contextualSpacing/>
              <w:jc w:val="both"/>
              <w:rPr>
                <w:rFonts w:ascii="Arial" w:hAnsi="Arial" w:cs="Arial"/>
                <w:b w:val="0"/>
                <w:color w:val="auto"/>
                <w:sz w:val="24"/>
                <w:szCs w:val="24"/>
              </w:rPr>
            </w:pPr>
            <w:r w:rsidRPr="000D7782">
              <w:rPr>
                <w:rFonts w:ascii="Arial" w:hAnsi="Arial" w:cs="Arial"/>
                <w:b w:val="0"/>
                <w:color w:val="auto"/>
                <w:sz w:val="24"/>
                <w:szCs w:val="24"/>
              </w:rPr>
              <w:t>DATE HEARD:</w:t>
            </w:r>
          </w:p>
        </w:tc>
        <w:tc>
          <w:tcPr>
            <w:tcW w:w="2779" w:type="dxa"/>
          </w:tcPr>
          <w:p w:rsidR="00F33A30" w:rsidRPr="000D7782" w:rsidRDefault="00F33A30" w:rsidP="00884096">
            <w:pPr>
              <w:contextualSpacing/>
              <w:jc w:val="right"/>
              <w:rPr>
                <w:rFonts w:ascii="Arial" w:hAnsi="Arial" w:cs="Arial"/>
                <w:b w:val="0"/>
                <w:color w:val="auto"/>
                <w:sz w:val="24"/>
                <w:szCs w:val="24"/>
              </w:rPr>
            </w:pPr>
            <w:r w:rsidRPr="000D7782">
              <w:rPr>
                <w:rFonts w:ascii="Arial" w:hAnsi="Arial" w:cs="Arial"/>
                <w:color w:val="auto"/>
                <w:sz w:val="24"/>
                <w:szCs w:val="24"/>
              </w:rPr>
              <w:t>20 JUNE 2023</w:t>
            </w:r>
          </w:p>
        </w:tc>
      </w:tr>
      <w:tr w:rsidR="00F33A30" w:rsidRPr="000D7782" w:rsidTr="00164D26">
        <w:trPr>
          <w:trHeight w:val="57"/>
        </w:trPr>
        <w:tc>
          <w:tcPr>
            <w:tcW w:w="2268" w:type="dxa"/>
          </w:tcPr>
          <w:p w:rsidR="00F33A30" w:rsidRPr="000D7782" w:rsidRDefault="00F33A30" w:rsidP="00884096">
            <w:pPr>
              <w:contextualSpacing/>
              <w:jc w:val="both"/>
              <w:rPr>
                <w:rFonts w:ascii="Arial" w:hAnsi="Arial" w:cs="Arial"/>
                <w:b w:val="0"/>
                <w:color w:val="auto"/>
                <w:sz w:val="24"/>
                <w:szCs w:val="24"/>
              </w:rPr>
            </w:pPr>
            <w:r w:rsidRPr="000D7782">
              <w:rPr>
                <w:rFonts w:ascii="Arial" w:hAnsi="Arial" w:cs="Arial"/>
                <w:b w:val="0"/>
                <w:color w:val="auto"/>
                <w:sz w:val="24"/>
                <w:szCs w:val="24"/>
              </w:rPr>
              <w:t>DATE OF ORDER:</w:t>
            </w:r>
          </w:p>
        </w:tc>
        <w:tc>
          <w:tcPr>
            <w:tcW w:w="2779" w:type="dxa"/>
          </w:tcPr>
          <w:p w:rsidR="006967A4" w:rsidRPr="000D7782" w:rsidRDefault="00F33A30" w:rsidP="006967A4">
            <w:pPr>
              <w:contextualSpacing/>
              <w:jc w:val="right"/>
              <w:rPr>
                <w:rFonts w:ascii="Arial" w:hAnsi="Arial" w:cs="Arial"/>
                <w:color w:val="auto"/>
                <w:sz w:val="24"/>
                <w:szCs w:val="24"/>
              </w:rPr>
            </w:pPr>
            <w:r w:rsidRPr="000D7782">
              <w:rPr>
                <w:rFonts w:ascii="Arial" w:hAnsi="Arial" w:cs="Arial"/>
                <w:color w:val="auto"/>
                <w:sz w:val="24"/>
                <w:szCs w:val="24"/>
              </w:rPr>
              <w:t>15 SEPTEMBER 2023</w:t>
            </w:r>
          </w:p>
        </w:tc>
      </w:tr>
    </w:tbl>
    <w:p w:rsidR="0001552B" w:rsidRPr="000D7782" w:rsidRDefault="0001552B" w:rsidP="00CD3583">
      <w:pPr>
        <w:spacing w:line="360" w:lineRule="auto"/>
        <w:contextualSpacing/>
        <w:jc w:val="center"/>
        <w:rPr>
          <w:rFonts w:ascii="Arial" w:hAnsi="Arial" w:cs="Arial"/>
          <w:color w:val="auto"/>
          <w:lang w:val="en-US"/>
        </w:rPr>
      </w:pPr>
    </w:p>
    <w:p w:rsidR="0001552B" w:rsidRPr="000D7782" w:rsidRDefault="0001552B" w:rsidP="00CD3583">
      <w:pPr>
        <w:spacing w:line="360" w:lineRule="auto"/>
        <w:contextualSpacing/>
        <w:rPr>
          <w:rFonts w:ascii="Arial" w:hAnsi="Arial" w:cs="Arial"/>
          <w:b w:val="0"/>
          <w:color w:val="auto"/>
          <w:lang w:val="en-US"/>
        </w:rPr>
      </w:pPr>
      <w:r w:rsidRPr="000D7782">
        <w:rPr>
          <w:rFonts w:ascii="Arial" w:hAnsi="Arial" w:cs="Arial"/>
          <w:b w:val="0"/>
          <w:color w:val="auto"/>
          <w:lang w:val="en-US"/>
        </w:rPr>
        <w:t>In the matter between:</w:t>
      </w:r>
    </w:p>
    <w:p w:rsidR="0001552B" w:rsidRPr="000D7782" w:rsidRDefault="0001552B" w:rsidP="00CD3583">
      <w:pPr>
        <w:spacing w:line="360" w:lineRule="auto"/>
        <w:contextualSpacing/>
        <w:rPr>
          <w:rFonts w:ascii="Arial" w:hAnsi="Arial" w:cs="Arial"/>
          <w:color w:val="auto"/>
          <w:lang w:val="en-US"/>
        </w:rPr>
      </w:pPr>
    </w:p>
    <w:p w:rsidR="0001552B" w:rsidRPr="000D7782" w:rsidRDefault="0001552B" w:rsidP="00CD3583">
      <w:pPr>
        <w:spacing w:line="360" w:lineRule="auto"/>
        <w:contextualSpacing/>
        <w:rPr>
          <w:rFonts w:ascii="Arial" w:hAnsi="Arial" w:cs="Arial"/>
          <w:color w:val="auto"/>
          <w:lang w:val="en-US"/>
        </w:rPr>
      </w:pPr>
      <w:r w:rsidRPr="000D7782">
        <w:rPr>
          <w:rFonts w:ascii="Arial" w:hAnsi="Arial" w:cs="Arial"/>
          <w:color w:val="auto"/>
          <w:u w:val="single"/>
          <w:lang w:val="en-US"/>
        </w:rPr>
        <w:t>BLOCK</w:t>
      </w:r>
      <w:r w:rsidRPr="000D7782">
        <w:rPr>
          <w:rFonts w:ascii="Arial" w:hAnsi="Arial" w:cs="Arial"/>
          <w:color w:val="auto"/>
          <w:lang w:val="en-US"/>
        </w:rPr>
        <w:t>, JOHN FIKILE</w:t>
      </w:r>
      <w:r w:rsidRPr="000D7782">
        <w:rPr>
          <w:rFonts w:ascii="Arial" w:hAnsi="Arial" w:cs="Arial"/>
          <w:color w:val="auto"/>
          <w:lang w:val="en-US"/>
        </w:rPr>
        <w:tab/>
      </w:r>
      <w:r w:rsidRPr="000D7782">
        <w:rPr>
          <w:rFonts w:ascii="Arial" w:hAnsi="Arial" w:cs="Arial"/>
          <w:color w:val="auto"/>
          <w:lang w:val="en-US"/>
        </w:rPr>
        <w:tab/>
      </w:r>
      <w:r w:rsidRPr="000D7782">
        <w:rPr>
          <w:rFonts w:ascii="Arial" w:hAnsi="Arial" w:cs="Arial"/>
          <w:color w:val="auto"/>
          <w:lang w:val="en-US"/>
        </w:rPr>
        <w:tab/>
      </w:r>
      <w:r w:rsidRPr="000D7782">
        <w:rPr>
          <w:rFonts w:ascii="Arial" w:hAnsi="Arial" w:cs="Arial"/>
          <w:color w:val="auto"/>
          <w:lang w:val="en-US"/>
        </w:rPr>
        <w:tab/>
      </w:r>
      <w:r w:rsidRPr="000D7782">
        <w:rPr>
          <w:rFonts w:ascii="Arial" w:hAnsi="Arial" w:cs="Arial"/>
          <w:color w:val="auto"/>
          <w:lang w:val="en-US"/>
        </w:rPr>
        <w:tab/>
      </w:r>
      <w:r w:rsidRPr="000D7782">
        <w:rPr>
          <w:rFonts w:ascii="Arial" w:hAnsi="Arial" w:cs="Arial"/>
          <w:color w:val="auto"/>
          <w:lang w:val="en-US"/>
        </w:rPr>
        <w:tab/>
      </w:r>
      <w:r w:rsidRPr="000D7782">
        <w:rPr>
          <w:rFonts w:ascii="Arial" w:hAnsi="Arial" w:cs="Arial"/>
          <w:color w:val="auto"/>
          <w:lang w:val="en-US"/>
        </w:rPr>
        <w:tab/>
        <w:t xml:space="preserve">            </w:t>
      </w:r>
      <w:r w:rsidRPr="000D7782">
        <w:rPr>
          <w:rFonts w:ascii="Arial" w:hAnsi="Arial" w:cs="Arial"/>
          <w:b w:val="0"/>
          <w:color w:val="auto"/>
          <w:lang w:val="en-US"/>
        </w:rPr>
        <w:t>Applicant</w:t>
      </w:r>
    </w:p>
    <w:p w:rsidR="0001552B" w:rsidRPr="000D7782" w:rsidRDefault="0001552B" w:rsidP="00CD3583">
      <w:pPr>
        <w:spacing w:line="360" w:lineRule="auto"/>
        <w:contextualSpacing/>
        <w:rPr>
          <w:rFonts w:ascii="Arial" w:hAnsi="Arial" w:cs="Arial"/>
          <w:color w:val="auto"/>
          <w:lang w:val="en-US"/>
        </w:rPr>
      </w:pPr>
    </w:p>
    <w:p w:rsidR="0001552B" w:rsidRPr="000D7782" w:rsidRDefault="0001552B" w:rsidP="00CD3583">
      <w:pPr>
        <w:spacing w:line="360" w:lineRule="auto"/>
        <w:contextualSpacing/>
        <w:rPr>
          <w:rFonts w:ascii="Arial" w:hAnsi="Arial" w:cs="Arial"/>
          <w:color w:val="auto"/>
          <w:lang w:val="en-US"/>
        </w:rPr>
      </w:pPr>
      <w:proofErr w:type="gramStart"/>
      <w:r w:rsidRPr="000D7782">
        <w:rPr>
          <w:rFonts w:ascii="Arial" w:hAnsi="Arial" w:cs="Arial"/>
          <w:b w:val="0"/>
          <w:color w:val="auto"/>
          <w:lang w:val="en-US"/>
        </w:rPr>
        <w:t>and</w:t>
      </w:r>
      <w:proofErr w:type="gramEnd"/>
      <w:r w:rsidRPr="000D7782">
        <w:rPr>
          <w:rFonts w:ascii="Arial" w:hAnsi="Arial" w:cs="Arial"/>
          <w:color w:val="auto"/>
          <w:lang w:val="en-US"/>
        </w:rPr>
        <w:t xml:space="preserve"> </w:t>
      </w:r>
    </w:p>
    <w:p w:rsidR="0001552B" w:rsidRPr="000D7782" w:rsidRDefault="0001552B" w:rsidP="00CD3583">
      <w:pPr>
        <w:spacing w:line="360" w:lineRule="auto"/>
        <w:contextualSpacing/>
        <w:rPr>
          <w:rFonts w:ascii="Arial" w:hAnsi="Arial" w:cs="Arial"/>
          <w:color w:val="auto"/>
          <w:lang w:val="en-US"/>
        </w:rPr>
      </w:pPr>
    </w:p>
    <w:p w:rsidR="0001552B" w:rsidRPr="000D7782" w:rsidRDefault="0001552B" w:rsidP="00884096">
      <w:pPr>
        <w:contextualSpacing/>
        <w:rPr>
          <w:rFonts w:ascii="Arial" w:hAnsi="Arial" w:cs="Arial"/>
          <w:color w:val="auto"/>
          <w:lang w:val="en-US"/>
        </w:rPr>
      </w:pPr>
      <w:r w:rsidRPr="000D7782">
        <w:rPr>
          <w:rFonts w:ascii="Arial" w:hAnsi="Arial" w:cs="Arial"/>
          <w:color w:val="auto"/>
          <w:lang w:val="en-US"/>
        </w:rPr>
        <w:t xml:space="preserve">UPINGTON CORRECTIONAL SUPERVISION </w:t>
      </w:r>
    </w:p>
    <w:p w:rsidR="0001552B" w:rsidRPr="000D7782" w:rsidRDefault="0001552B" w:rsidP="00884096">
      <w:pPr>
        <w:contextualSpacing/>
        <w:rPr>
          <w:rFonts w:ascii="Arial" w:hAnsi="Arial" w:cs="Arial"/>
          <w:b w:val="0"/>
          <w:color w:val="auto"/>
          <w:lang w:val="en-US"/>
        </w:rPr>
      </w:pPr>
      <w:r w:rsidRPr="000D7782">
        <w:rPr>
          <w:rFonts w:ascii="Arial" w:hAnsi="Arial" w:cs="Arial"/>
          <w:color w:val="auto"/>
          <w:lang w:val="en-US"/>
        </w:rPr>
        <w:t>AND PAROLE BOARD</w:t>
      </w:r>
      <w:r w:rsidRPr="000D7782">
        <w:rPr>
          <w:rFonts w:ascii="Arial" w:hAnsi="Arial" w:cs="Arial"/>
          <w:color w:val="auto"/>
          <w:lang w:val="en-US"/>
        </w:rPr>
        <w:tab/>
      </w:r>
      <w:r w:rsidRPr="000D7782">
        <w:rPr>
          <w:rFonts w:ascii="Arial" w:hAnsi="Arial" w:cs="Arial"/>
          <w:color w:val="auto"/>
          <w:lang w:val="en-US"/>
        </w:rPr>
        <w:tab/>
      </w:r>
      <w:r w:rsidRPr="000D7782">
        <w:rPr>
          <w:rFonts w:ascii="Arial" w:hAnsi="Arial" w:cs="Arial"/>
          <w:color w:val="auto"/>
          <w:lang w:val="en-US"/>
        </w:rPr>
        <w:tab/>
      </w:r>
      <w:r w:rsidRPr="000D7782">
        <w:rPr>
          <w:rFonts w:ascii="Arial" w:hAnsi="Arial" w:cs="Arial"/>
          <w:color w:val="auto"/>
          <w:lang w:val="en-US"/>
        </w:rPr>
        <w:tab/>
      </w:r>
      <w:r w:rsidRPr="000D7782">
        <w:rPr>
          <w:rFonts w:ascii="Arial" w:hAnsi="Arial" w:cs="Arial"/>
          <w:color w:val="auto"/>
          <w:lang w:val="en-US"/>
        </w:rPr>
        <w:tab/>
      </w:r>
      <w:r w:rsidRPr="000D7782">
        <w:rPr>
          <w:rFonts w:ascii="Arial" w:hAnsi="Arial" w:cs="Arial"/>
          <w:color w:val="auto"/>
          <w:lang w:val="en-US"/>
        </w:rPr>
        <w:tab/>
        <w:t xml:space="preserve">          </w:t>
      </w:r>
      <w:r w:rsidRPr="000D7782">
        <w:rPr>
          <w:rFonts w:ascii="Arial" w:hAnsi="Arial" w:cs="Arial"/>
          <w:b w:val="0"/>
          <w:color w:val="auto"/>
          <w:lang w:val="en-US"/>
        </w:rPr>
        <w:t>First Respondent</w:t>
      </w:r>
    </w:p>
    <w:p w:rsidR="0001552B" w:rsidRPr="000D7782" w:rsidRDefault="0001552B" w:rsidP="00884096">
      <w:pPr>
        <w:contextualSpacing/>
        <w:rPr>
          <w:rFonts w:ascii="Arial" w:hAnsi="Arial" w:cs="Arial"/>
          <w:color w:val="auto"/>
          <w:lang w:val="en-US"/>
        </w:rPr>
      </w:pPr>
    </w:p>
    <w:p w:rsidR="0001552B" w:rsidRPr="000D7782" w:rsidRDefault="0001552B" w:rsidP="00884096">
      <w:pPr>
        <w:contextualSpacing/>
        <w:rPr>
          <w:rFonts w:ascii="Arial" w:hAnsi="Arial" w:cs="Arial"/>
          <w:color w:val="auto"/>
          <w:lang w:val="en-US"/>
        </w:rPr>
      </w:pPr>
      <w:r w:rsidRPr="000D7782">
        <w:rPr>
          <w:rFonts w:ascii="Arial" w:hAnsi="Arial" w:cs="Arial"/>
          <w:color w:val="auto"/>
          <w:lang w:val="en-US"/>
        </w:rPr>
        <w:t xml:space="preserve">HEAD OF CORRECTIONAL SERVICE </w:t>
      </w:r>
    </w:p>
    <w:p w:rsidR="0001552B" w:rsidRPr="000D7782" w:rsidRDefault="0001552B" w:rsidP="00884096">
      <w:pPr>
        <w:contextualSpacing/>
        <w:rPr>
          <w:rFonts w:ascii="Arial" w:hAnsi="Arial" w:cs="Arial"/>
          <w:b w:val="0"/>
          <w:color w:val="auto"/>
          <w:lang w:val="en-US"/>
        </w:rPr>
      </w:pPr>
      <w:r w:rsidRPr="000D7782">
        <w:rPr>
          <w:rFonts w:ascii="Arial" w:hAnsi="Arial" w:cs="Arial"/>
          <w:color w:val="auto"/>
          <w:lang w:val="en-US"/>
        </w:rPr>
        <w:t>CENTRE-UPINGTON</w:t>
      </w:r>
      <w:r w:rsidRPr="000D7782">
        <w:rPr>
          <w:rFonts w:ascii="Arial" w:hAnsi="Arial" w:cs="Arial"/>
          <w:color w:val="auto"/>
          <w:lang w:val="en-US"/>
        </w:rPr>
        <w:tab/>
      </w:r>
      <w:r w:rsidRPr="000D7782">
        <w:rPr>
          <w:rFonts w:ascii="Arial" w:hAnsi="Arial" w:cs="Arial"/>
          <w:color w:val="auto"/>
          <w:lang w:val="en-US"/>
        </w:rPr>
        <w:tab/>
      </w:r>
      <w:r w:rsidRPr="000D7782">
        <w:rPr>
          <w:rFonts w:ascii="Arial" w:hAnsi="Arial" w:cs="Arial"/>
          <w:color w:val="auto"/>
          <w:lang w:val="en-US"/>
        </w:rPr>
        <w:tab/>
      </w:r>
      <w:r w:rsidRPr="000D7782">
        <w:rPr>
          <w:rFonts w:ascii="Arial" w:hAnsi="Arial" w:cs="Arial"/>
          <w:color w:val="auto"/>
          <w:lang w:val="en-US"/>
        </w:rPr>
        <w:tab/>
      </w:r>
      <w:r w:rsidRPr="000D7782">
        <w:rPr>
          <w:rFonts w:ascii="Arial" w:hAnsi="Arial" w:cs="Arial"/>
          <w:color w:val="auto"/>
          <w:lang w:val="en-US"/>
        </w:rPr>
        <w:tab/>
      </w:r>
      <w:r w:rsidRPr="000D7782">
        <w:rPr>
          <w:rFonts w:ascii="Arial" w:hAnsi="Arial" w:cs="Arial"/>
          <w:color w:val="auto"/>
          <w:lang w:val="en-US"/>
        </w:rPr>
        <w:tab/>
        <w:t xml:space="preserve">     </w:t>
      </w:r>
      <w:r w:rsidRPr="000D7782">
        <w:rPr>
          <w:rFonts w:ascii="Arial" w:hAnsi="Arial" w:cs="Arial"/>
          <w:b w:val="0"/>
          <w:color w:val="auto"/>
          <w:lang w:val="en-US"/>
        </w:rPr>
        <w:t>Second Respondent</w:t>
      </w:r>
    </w:p>
    <w:p w:rsidR="0001552B" w:rsidRPr="000D7782" w:rsidRDefault="0001552B" w:rsidP="00884096">
      <w:pPr>
        <w:contextualSpacing/>
        <w:rPr>
          <w:rFonts w:ascii="Arial" w:hAnsi="Arial" w:cs="Arial"/>
          <w:b w:val="0"/>
          <w:color w:val="auto"/>
          <w:lang w:val="en-US"/>
        </w:rPr>
      </w:pPr>
    </w:p>
    <w:p w:rsidR="0001552B" w:rsidRPr="000D7782" w:rsidRDefault="0001552B" w:rsidP="00884096">
      <w:pPr>
        <w:contextualSpacing/>
        <w:rPr>
          <w:rFonts w:ascii="Arial" w:hAnsi="Arial" w:cs="Arial"/>
          <w:color w:val="auto"/>
          <w:lang w:val="en-US"/>
        </w:rPr>
      </w:pPr>
      <w:r w:rsidRPr="000D7782">
        <w:rPr>
          <w:rFonts w:ascii="Arial" w:hAnsi="Arial" w:cs="Arial"/>
          <w:color w:val="auto"/>
          <w:lang w:val="en-US"/>
        </w:rPr>
        <w:t xml:space="preserve">REGIONAL COMMISSIONER: FREE STATE </w:t>
      </w:r>
    </w:p>
    <w:p w:rsidR="0001552B" w:rsidRPr="000D7782" w:rsidRDefault="0001552B" w:rsidP="00884096">
      <w:pPr>
        <w:contextualSpacing/>
        <w:rPr>
          <w:rFonts w:ascii="Arial" w:hAnsi="Arial" w:cs="Arial"/>
          <w:b w:val="0"/>
          <w:color w:val="auto"/>
          <w:lang w:val="en-US"/>
        </w:rPr>
      </w:pPr>
      <w:r w:rsidRPr="000D7782">
        <w:rPr>
          <w:rFonts w:ascii="Arial" w:hAnsi="Arial" w:cs="Arial"/>
          <w:color w:val="auto"/>
          <w:lang w:val="en-US"/>
        </w:rPr>
        <w:t>AND NORTHERN CAPE</w:t>
      </w:r>
      <w:r w:rsidRPr="000D7782">
        <w:rPr>
          <w:rFonts w:ascii="Arial" w:hAnsi="Arial" w:cs="Arial"/>
          <w:color w:val="auto"/>
          <w:lang w:val="en-US"/>
        </w:rPr>
        <w:tab/>
      </w:r>
      <w:r w:rsidRPr="000D7782">
        <w:rPr>
          <w:rFonts w:ascii="Arial" w:hAnsi="Arial" w:cs="Arial"/>
          <w:color w:val="auto"/>
          <w:lang w:val="en-US"/>
        </w:rPr>
        <w:tab/>
      </w:r>
      <w:r w:rsidRPr="000D7782">
        <w:rPr>
          <w:rFonts w:ascii="Arial" w:hAnsi="Arial" w:cs="Arial"/>
          <w:color w:val="auto"/>
          <w:lang w:val="en-US"/>
        </w:rPr>
        <w:tab/>
      </w:r>
      <w:r w:rsidRPr="000D7782">
        <w:rPr>
          <w:rFonts w:ascii="Arial" w:hAnsi="Arial" w:cs="Arial"/>
          <w:color w:val="auto"/>
          <w:lang w:val="en-US"/>
        </w:rPr>
        <w:tab/>
      </w:r>
      <w:r w:rsidRPr="000D7782">
        <w:rPr>
          <w:rFonts w:ascii="Arial" w:hAnsi="Arial" w:cs="Arial"/>
          <w:color w:val="auto"/>
          <w:lang w:val="en-US"/>
        </w:rPr>
        <w:tab/>
      </w:r>
      <w:r w:rsidRPr="000D7782">
        <w:rPr>
          <w:rFonts w:ascii="Arial" w:hAnsi="Arial" w:cs="Arial"/>
          <w:color w:val="auto"/>
          <w:lang w:val="en-US"/>
        </w:rPr>
        <w:tab/>
      </w:r>
      <w:r w:rsidRPr="000D7782">
        <w:rPr>
          <w:rFonts w:ascii="Arial" w:hAnsi="Arial" w:cs="Arial"/>
          <w:b w:val="0"/>
          <w:color w:val="auto"/>
          <w:lang w:val="en-US"/>
        </w:rPr>
        <w:t xml:space="preserve">         Third Respondent</w:t>
      </w:r>
    </w:p>
    <w:p w:rsidR="0001552B" w:rsidRPr="000D7782" w:rsidRDefault="0001552B" w:rsidP="00884096">
      <w:pPr>
        <w:contextualSpacing/>
        <w:rPr>
          <w:rFonts w:ascii="Arial" w:hAnsi="Arial" w:cs="Arial"/>
          <w:color w:val="auto"/>
          <w:lang w:val="en-US"/>
        </w:rPr>
      </w:pPr>
    </w:p>
    <w:p w:rsidR="0001552B" w:rsidRPr="000D7782" w:rsidRDefault="0001552B" w:rsidP="00884096">
      <w:pPr>
        <w:contextualSpacing/>
        <w:rPr>
          <w:rFonts w:ascii="Arial" w:hAnsi="Arial" w:cs="Arial"/>
          <w:color w:val="auto"/>
          <w:lang w:val="en-US"/>
        </w:rPr>
      </w:pPr>
      <w:r w:rsidRPr="000D7782">
        <w:rPr>
          <w:rFonts w:ascii="Arial" w:hAnsi="Arial" w:cs="Arial"/>
          <w:color w:val="auto"/>
          <w:lang w:val="en-US"/>
        </w:rPr>
        <w:t xml:space="preserve">NATIONAL COMMISSIONER FOR </w:t>
      </w:r>
    </w:p>
    <w:p w:rsidR="0001552B" w:rsidRPr="000D7782" w:rsidRDefault="0001552B" w:rsidP="00884096">
      <w:pPr>
        <w:contextualSpacing/>
        <w:rPr>
          <w:rFonts w:ascii="Arial" w:hAnsi="Arial" w:cs="Arial"/>
          <w:color w:val="auto"/>
          <w:lang w:val="en-US"/>
        </w:rPr>
      </w:pPr>
      <w:r w:rsidRPr="000D7782">
        <w:rPr>
          <w:rFonts w:ascii="Arial" w:hAnsi="Arial" w:cs="Arial"/>
          <w:color w:val="auto"/>
          <w:lang w:val="en-US"/>
        </w:rPr>
        <w:t>CORRECTIONAL SERVICE</w:t>
      </w:r>
      <w:r w:rsidRPr="000D7782">
        <w:rPr>
          <w:rFonts w:ascii="Arial" w:hAnsi="Arial" w:cs="Arial"/>
          <w:color w:val="auto"/>
          <w:lang w:val="en-US"/>
        </w:rPr>
        <w:tab/>
      </w:r>
      <w:r w:rsidRPr="000D7782">
        <w:rPr>
          <w:rFonts w:ascii="Arial" w:hAnsi="Arial" w:cs="Arial"/>
          <w:color w:val="auto"/>
          <w:lang w:val="en-US"/>
        </w:rPr>
        <w:tab/>
      </w:r>
      <w:r w:rsidRPr="000D7782">
        <w:rPr>
          <w:rFonts w:ascii="Arial" w:hAnsi="Arial" w:cs="Arial"/>
          <w:color w:val="auto"/>
          <w:lang w:val="en-US"/>
        </w:rPr>
        <w:tab/>
      </w:r>
      <w:r w:rsidRPr="000D7782">
        <w:rPr>
          <w:rFonts w:ascii="Arial" w:hAnsi="Arial" w:cs="Arial"/>
          <w:color w:val="auto"/>
          <w:lang w:val="en-US"/>
        </w:rPr>
        <w:tab/>
      </w:r>
      <w:r w:rsidRPr="000D7782">
        <w:rPr>
          <w:rFonts w:ascii="Arial" w:hAnsi="Arial" w:cs="Arial"/>
          <w:color w:val="auto"/>
          <w:lang w:val="en-US"/>
        </w:rPr>
        <w:tab/>
      </w:r>
      <w:r w:rsidRPr="000D7782">
        <w:rPr>
          <w:rFonts w:ascii="Arial" w:hAnsi="Arial" w:cs="Arial"/>
          <w:b w:val="0"/>
          <w:color w:val="auto"/>
          <w:lang w:val="en-US"/>
        </w:rPr>
        <w:t xml:space="preserve">       Fourth Respondent</w:t>
      </w:r>
    </w:p>
    <w:p w:rsidR="0001552B" w:rsidRPr="000D7782" w:rsidRDefault="0001552B" w:rsidP="00884096">
      <w:pPr>
        <w:contextualSpacing/>
        <w:rPr>
          <w:rFonts w:ascii="Arial" w:hAnsi="Arial" w:cs="Arial"/>
          <w:color w:val="auto"/>
          <w:lang w:val="en-US"/>
        </w:rPr>
      </w:pPr>
    </w:p>
    <w:p w:rsidR="0001552B" w:rsidRPr="000D7782" w:rsidRDefault="0001552B" w:rsidP="00884096">
      <w:pPr>
        <w:contextualSpacing/>
        <w:rPr>
          <w:rFonts w:ascii="Arial" w:hAnsi="Arial" w:cs="Arial"/>
          <w:color w:val="auto"/>
          <w:lang w:val="en-US"/>
        </w:rPr>
      </w:pPr>
      <w:r w:rsidRPr="000D7782">
        <w:rPr>
          <w:rFonts w:ascii="Arial" w:hAnsi="Arial" w:cs="Arial"/>
          <w:color w:val="auto"/>
          <w:lang w:val="en-US"/>
        </w:rPr>
        <w:t xml:space="preserve">MINISTER OF JUSTICE AND </w:t>
      </w:r>
    </w:p>
    <w:p w:rsidR="0001552B" w:rsidRPr="000D7782" w:rsidRDefault="0001552B" w:rsidP="00884096">
      <w:pPr>
        <w:contextualSpacing/>
        <w:rPr>
          <w:rFonts w:ascii="Arial" w:hAnsi="Arial" w:cs="Arial"/>
          <w:b w:val="0"/>
          <w:color w:val="auto"/>
          <w:lang w:val="en-US"/>
        </w:rPr>
      </w:pPr>
      <w:r w:rsidRPr="000D7782">
        <w:rPr>
          <w:rFonts w:ascii="Arial" w:hAnsi="Arial" w:cs="Arial"/>
          <w:color w:val="auto"/>
          <w:lang w:val="en-US"/>
        </w:rPr>
        <w:t>CORRECTIONAL SERVICE</w:t>
      </w:r>
      <w:r w:rsidRPr="000D7782">
        <w:rPr>
          <w:rFonts w:ascii="Arial" w:hAnsi="Arial" w:cs="Arial"/>
          <w:color w:val="auto"/>
          <w:lang w:val="en-US"/>
        </w:rPr>
        <w:tab/>
      </w:r>
      <w:r w:rsidRPr="000D7782">
        <w:rPr>
          <w:rFonts w:ascii="Arial" w:hAnsi="Arial" w:cs="Arial"/>
          <w:color w:val="auto"/>
          <w:lang w:val="en-US"/>
        </w:rPr>
        <w:tab/>
      </w:r>
      <w:r w:rsidRPr="000D7782">
        <w:rPr>
          <w:rFonts w:ascii="Arial" w:hAnsi="Arial" w:cs="Arial"/>
          <w:color w:val="auto"/>
          <w:lang w:val="en-US"/>
        </w:rPr>
        <w:tab/>
      </w:r>
      <w:r w:rsidRPr="000D7782">
        <w:rPr>
          <w:rFonts w:ascii="Arial" w:hAnsi="Arial" w:cs="Arial"/>
          <w:color w:val="auto"/>
          <w:lang w:val="en-US"/>
        </w:rPr>
        <w:tab/>
      </w:r>
      <w:r w:rsidRPr="000D7782">
        <w:rPr>
          <w:rFonts w:ascii="Arial" w:hAnsi="Arial" w:cs="Arial"/>
          <w:color w:val="auto"/>
          <w:lang w:val="en-US"/>
        </w:rPr>
        <w:tab/>
        <w:t xml:space="preserve">          </w:t>
      </w:r>
      <w:r w:rsidRPr="000D7782">
        <w:rPr>
          <w:rFonts w:ascii="Arial" w:hAnsi="Arial" w:cs="Arial"/>
          <w:b w:val="0"/>
          <w:color w:val="auto"/>
          <w:lang w:val="en-US"/>
        </w:rPr>
        <w:t>Fifth Respondent</w:t>
      </w:r>
    </w:p>
    <w:p w:rsidR="0001552B" w:rsidRPr="000D7782" w:rsidRDefault="0001552B" w:rsidP="00884096">
      <w:pPr>
        <w:contextualSpacing/>
        <w:rPr>
          <w:rFonts w:ascii="Arial" w:hAnsi="Arial" w:cs="Arial"/>
        </w:rPr>
      </w:pPr>
    </w:p>
    <w:p w:rsidR="002813E4" w:rsidRPr="000D7782" w:rsidRDefault="0001552B" w:rsidP="00CD3583">
      <w:pPr>
        <w:pBdr>
          <w:bottom w:val="single" w:sz="4" w:space="1" w:color="auto"/>
        </w:pBdr>
        <w:spacing w:line="360" w:lineRule="auto"/>
        <w:contextualSpacing/>
        <w:rPr>
          <w:rFonts w:ascii="Arial" w:hAnsi="Arial" w:cs="Arial"/>
          <w:b w:val="0"/>
          <w:color w:val="auto"/>
        </w:rPr>
      </w:pPr>
      <w:r w:rsidRPr="000D7782">
        <w:rPr>
          <w:rFonts w:ascii="Arial" w:hAnsi="Arial" w:cs="Arial"/>
          <w:b w:val="0"/>
          <w:i/>
          <w:color w:val="auto"/>
        </w:rPr>
        <w:t>Coram</w:t>
      </w:r>
      <w:r w:rsidRPr="000D7782">
        <w:rPr>
          <w:rFonts w:ascii="Arial" w:hAnsi="Arial" w:cs="Arial"/>
          <w:b w:val="0"/>
          <w:color w:val="auto"/>
        </w:rPr>
        <w:t>: Nxumalo, J</w:t>
      </w:r>
    </w:p>
    <w:p w:rsidR="002813E4" w:rsidRPr="000D7782" w:rsidRDefault="002813E4" w:rsidP="00CD3583">
      <w:pPr>
        <w:pBdr>
          <w:bottom w:val="single" w:sz="4" w:space="1" w:color="auto"/>
        </w:pBdr>
        <w:spacing w:line="360" w:lineRule="auto"/>
        <w:contextualSpacing/>
        <w:rPr>
          <w:rFonts w:ascii="Arial" w:hAnsi="Arial" w:cs="Arial"/>
          <w:b w:val="0"/>
          <w:color w:val="auto"/>
        </w:rPr>
      </w:pPr>
    </w:p>
    <w:p w:rsidR="0001552B" w:rsidRPr="000D7782" w:rsidRDefault="0001552B" w:rsidP="00CD3583">
      <w:pPr>
        <w:spacing w:line="360" w:lineRule="auto"/>
        <w:contextualSpacing/>
        <w:rPr>
          <w:rFonts w:ascii="Arial" w:hAnsi="Arial" w:cs="Arial"/>
        </w:rPr>
      </w:pPr>
    </w:p>
    <w:p w:rsidR="000D7782" w:rsidRDefault="0001552B" w:rsidP="00CD3583">
      <w:pPr>
        <w:pBdr>
          <w:bottom w:val="single" w:sz="4" w:space="1" w:color="auto"/>
        </w:pBdr>
        <w:spacing w:line="360" w:lineRule="auto"/>
        <w:contextualSpacing/>
        <w:jc w:val="center"/>
        <w:rPr>
          <w:rFonts w:ascii="Arial" w:hAnsi="Arial" w:cs="Arial"/>
          <w:color w:val="auto"/>
        </w:rPr>
      </w:pPr>
      <w:r w:rsidRPr="000D7782">
        <w:rPr>
          <w:rFonts w:ascii="Arial" w:hAnsi="Arial" w:cs="Arial"/>
          <w:color w:val="auto"/>
        </w:rPr>
        <w:t>JUDGMENT</w:t>
      </w:r>
    </w:p>
    <w:p w:rsidR="0001552B" w:rsidRPr="000D7782" w:rsidRDefault="0001552B" w:rsidP="00CD3583">
      <w:pPr>
        <w:pBdr>
          <w:bottom w:val="single" w:sz="4" w:space="1" w:color="auto"/>
        </w:pBdr>
        <w:spacing w:line="360" w:lineRule="auto"/>
        <w:contextualSpacing/>
        <w:jc w:val="center"/>
        <w:rPr>
          <w:rFonts w:ascii="Arial" w:hAnsi="Arial" w:cs="Arial"/>
          <w:color w:val="auto"/>
        </w:rPr>
      </w:pPr>
      <w:r w:rsidRPr="000D7782">
        <w:rPr>
          <w:rFonts w:ascii="Arial" w:hAnsi="Arial" w:cs="Arial"/>
          <w:color w:val="auto"/>
        </w:rPr>
        <w:t xml:space="preserve">   </w:t>
      </w:r>
    </w:p>
    <w:p w:rsidR="00F33A30" w:rsidRPr="000D7782" w:rsidRDefault="00F33A30" w:rsidP="00CD3583">
      <w:pPr>
        <w:spacing w:line="360" w:lineRule="auto"/>
        <w:contextualSpacing/>
        <w:rPr>
          <w:rFonts w:ascii="Arial" w:hAnsi="Arial" w:cs="Arial"/>
          <w:b w:val="0"/>
          <w:i/>
          <w:color w:val="auto"/>
        </w:rPr>
      </w:pPr>
    </w:p>
    <w:p w:rsidR="003E0CB6" w:rsidRPr="000D7782" w:rsidRDefault="003E0CB6" w:rsidP="00FE32B1">
      <w:pPr>
        <w:spacing w:line="360" w:lineRule="auto"/>
        <w:contextualSpacing/>
        <w:rPr>
          <w:rFonts w:ascii="Arial" w:hAnsi="Arial" w:cs="Arial"/>
          <w:color w:val="auto"/>
        </w:rPr>
      </w:pPr>
      <w:r w:rsidRPr="000D7782">
        <w:rPr>
          <w:rFonts w:ascii="Arial" w:hAnsi="Arial" w:cs="Arial"/>
          <w:b w:val="0"/>
          <w:i/>
          <w:color w:val="auto"/>
        </w:rPr>
        <w:t>Per</w:t>
      </w:r>
      <w:r w:rsidRPr="000D7782">
        <w:rPr>
          <w:rFonts w:ascii="Arial" w:hAnsi="Arial" w:cs="Arial"/>
          <w:color w:val="auto"/>
        </w:rPr>
        <w:t xml:space="preserve"> </w:t>
      </w:r>
      <w:r w:rsidR="00F33A30" w:rsidRPr="000D7782">
        <w:rPr>
          <w:rFonts w:ascii="Arial" w:hAnsi="Arial" w:cs="Arial"/>
          <w:color w:val="auto"/>
        </w:rPr>
        <w:t>Nxumalo J</w:t>
      </w:r>
    </w:p>
    <w:p w:rsidR="0010392A" w:rsidRPr="001F70B4" w:rsidRDefault="0010392A" w:rsidP="00FE32B1">
      <w:pPr>
        <w:pStyle w:val="Level1"/>
        <w:numPr>
          <w:ilvl w:val="0"/>
          <w:numId w:val="0"/>
        </w:numPr>
        <w:spacing w:line="360" w:lineRule="auto"/>
        <w:contextualSpacing/>
        <w:jc w:val="both"/>
        <w:rPr>
          <w:rFonts w:ascii="Arial" w:hAnsi="Arial" w:cs="Arial"/>
          <w:color w:val="auto"/>
        </w:rPr>
      </w:pPr>
      <w:r w:rsidRPr="000D7782">
        <w:rPr>
          <w:rFonts w:ascii="Arial" w:hAnsi="Arial" w:cs="Arial"/>
          <w:color w:val="auto"/>
          <w:u w:val="single"/>
        </w:rPr>
        <w:lastRenderedPageBreak/>
        <w:t>INTRODUCTION</w:t>
      </w:r>
      <w:r w:rsidR="001F70B4">
        <w:rPr>
          <w:rFonts w:ascii="Arial" w:hAnsi="Arial" w:cs="Arial"/>
          <w:color w:val="auto"/>
        </w:rPr>
        <w:t>:</w:t>
      </w:r>
    </w:p>
    <w:p w:rsidR="0010392A" w:rsidRPr="000D7782" w:rsidRDefault="0010392A" w:rsidP="00FE32B1">
      <w:pPr>
        <w:pStyle w:val="Level1"/>
        <w:numPr>
          <w:ilvl w:val="0"/>
          <w:numId w:val="0"/>
        </w:numPr>
        <w:spacing w:line="360" w:lineRule="auto"/>
        <w:contextualSpacing/>
        <w:jc w:val="both"/>
        <w:rPr>
          <w:rFonts w:ascii="Arial" w:hAnsi="Arial" w:cs="Arial"/>
          <w:color w:val="auto"/>
        </w:rPr>
      </w:pPr>
    </w:p>
    <w:p w:rsidR="0010392A" w:rsidRPr="000D7782" w:rsidRDefault="0010392A" w:rsidP="00FE32B1">
      <w:pPr>
        <w:pStyle w:val="Level1"/>
        <w:numPr>
          <w:ilvl w:val="0"/>
          <w:numId w:val="2"/>
        </w:numPr>
        <w:spacing w:line="360" w:lineRule="auto"/>
        <w:ind w:left="851" w:hanging="851"/>
        <w:contextualSpacing/>
        <w:jc w:val="both"/>
        <w:rPr>
          <w:rFonts w:ascii="Arial" w:hAnsi="Arial" w:cs="Arial"/>
          <w:b w:val="0"/>
          <w:color w:val="auto"/>
        </w:rPr>
      </w:pPr>
      <w:r w:rsidRPr="000D7782">
        <w:rPr>
          <w:rFonts w:ascii="Arial" w:hAnsi="Arial" w:cs="Arial"/>
          <w:b w:val="0"/>
          <w:color w:val="auto"/>
        </w:rPr>
        <w:t>The applicant in these proceedings is a major male inmate, currently incarcerated at the Upington Correctional Services Centre, here in the Northern Cape Province</w:t>
      </w:r>
      <w:r w:rsidR="004320CA">
        <w:rPr>
          <w:rFonts w:ascii="Arial" w:hAnsi="Arial" w:cs="Arial"/>
          <w:b w:val="0"/>
          <w:color w:val="auto"/>
        </w:rPr>
        <w:t xml:space="preserve">.  </w:t>
      </w:r>
      <w:r w:rsidRPr="000D7782">
        <w:rPr>
          <w:rFonts w:ascii="Arial" w:hAnsi="Arial" w:cs="Arial"/>
          <w:b w:val="0"/>
          <w:color w:val="auto"/>
        </w:rPr>
        <w:t>On 06 December 2018, he was sentenced by this Court to 15 and 12-years imprisonment on one count of corruption and one count of money laundering; respectively</w:t>
      </w:r>
      <w:r w:rsidR="004320CA">
        <w:rPr>
          <w:rFonts w:ascii="Arial" w:hAnsi="Arial" w:cs="Arial"/>
          <w:b w:val="0"/>
          <w:color w:val="auto"/>
        </w:rPr>
        <w:t xml:space="preserve">.  </w:t>
      </w:r>
      <w:r w:rsidRPr="000D7782">
        <w:rPr>
          <w:rFonts w:ascii="Arial" w:hAnsi="Arial" w:cs="Arial"/>
          <w:b w:val="0"/>
          <w:color w:val="auto"/>
        </w:rPr>
        <w:t>The sentences were to run concurrently</w:t>
      </w:r>
      <w:r w:rsidR="004320CA">
        <w:rPr>
          <w:rFonts w:ascii="Arial" w:hAnsi="Arial" w:cs="Arial"/>
          <w:b w:val="0"/>
          <w:color w:val="auto"/>
        </w:rPr>
        <w:t xml:space="preserve">.  </w:t>
      </w:r>
      <w:r w:rsidRPr="000D7782">
        <w:rPr>
          <w:rFonts w:ascii="Arial" w:hAnsi="Arial" w:cs="Arial"/>
          <w:b w:val="0"/>
          <w:color w:val="auto"/>
        </w:rPr>
        <w:t xml:space="preserve">After lodging an appeal in the Supreme Court of Appeal, in respect of both conviction and sentence, during December </w:t>
      </w:r>
      <w:proofErr w:type="gramStart"/>
      <w:r w:rsidRPr="000D7782">
        <w:rPr>
          <w:rFonts w:ascii="Arial" w:hAnsi="Arial" w:cs="Arial"/>
          <w:b w:val="0"/>
          <w:color w:val="auto"/>
        </w:rPr>
        <w:t>2016, that</w:t>
      </w:r>
      <w:proofErr w:type="gramEnd"/>
      <w:r w:rsidRPr="000D7782">
        <w:rPr>
          <w:rFonts w:ascii="Arial" w:hAnsi="Arial" w:cs="Arial"/>
          <w:b w:val="0"/>
          <w:color w:val="auto"/>
        </w:rPr>
        <w:t xml:space="preserve"> Court on 21 August 2018, set aside his conviction on the latter count and confirmed the former; in respect of conviction and sentence</w:t>
      </w:r>
      <w:r w:rsidR="004320CA">
        <w:rPr>
          <w:rFonts w:ascii="Arial" w:hAnsi="Arial" w:cs="Arial"/>
          <w:b w:val="0"/>
          <w:color w:val="auto"/>
        </w:rPr>
        <w:t xml:space="preserve">.  </w:t>
      </w:r>
      <w:r w:rsidRPr="000D7782">
        <w:rPr>
          <w:rFonts w:ascii="Arial" w:hAnsi="Arial" w:cs="Arial"/>
          <w:b w:val="0"/>
          <w:color w:val="auto"/>
        </w:rPr>
        <w:t>Thereafter, the applicant handed himself over at the Kimberley Correctional Services Centre on 27</w:t>
      </w:r>
      <w:r w:rsidR="001F70B4">
        <w:rPr>
          <w:rFonts w:ascii="Arial" w:hAnsi="Arial" w:cs="Arial"/>
          <w:b w:val="0"/>
          <w:color w:val="auto"/>
        </w:rPr>
        <w:t> </w:t>
      </w:r>
      <w:r w:rsidRPr="000D7782">
        <w:rPr>
          <w:rFonts w:ascii="Arial" w:hAnsi="Arial" w:cs="Arial"/>
          <w:b w:val="0"/>
          <w:color w:val="auto"/>
        </w:rPr>
        <w:t>November 2018, to commence serving his 15-year sentence</w:t>
      </w:r>
      <w:r w:rsidR="004320CA">
        <w:rPr>
          <w:rFonts w:ascii="Arial" w:hAnsi="Arial" w:cs="Arial"/>
          <w:b w:val="0"/>
          <w:color w:val="auto"/>
        </w:rPr>
        <w:t xml:space="preserve">.  </w:t>
      </w:r>
    </w:p>
    <w:p w:rsidR="0010392A" w:rsidRPr="000D7782" w:rsidRDefault="0010392A" w:rsidP="00FE32B1">
      <w:pPr>
        <w:pStyle w:val="Level1"/>
        <w:numPr>
          <w:ilvl w:val="0"/>
          <w:numId w:val="0"/>
        </w:numPr>
        <w:spacing w:line="360" w:lineRule="auto"/>
        <w:ind w:left="851"/>
        <w:contextualSpacing/>
        <w:jc w:val="both"/>
        <w:rPr>
          <w:rFonts w:ascii="Arial" w:hAnsi="Arial" w:cs="Arial"/>
          <w:b w:val="0"/>
          <w:color w:val="auto"/>
        </w:rPr>
      </w:pPr>
      <w:r w:rsidRPr="000D7782">
        <w:rPr>
          <w:rFonts w:ascii="Arial" w:hAnsi="Arial" w:cs="Arial"/>
          <w:b w:val="0"/>
          <w:color w:val="auto"/>
        </w:rPr>
        <w:t xml:space="preserve">    </w:t>
      </w:r>
    </w:p>
    <w:p w:rsidR="0010392A" w:rsidRDefault="0010392A" w:rsidP="00FE32B1">
      <w:pPr>
        <w:pStyle w:val="Level1"/>
        <w:numPr>
          <w:ilvl w:val="0"/>
          <w:numId w:val="2"/>
        </w:numPr>
        <w:spacing w:line="360" w:lineRule="auto"/>
        <w:ind w:left="851" w:hanging="851"/>
        <w:contextualSpacing/>
        <w:jc w:val="both"/>
        <w:rPr>
          <w:rFonts w:ascii="Arial" w:hAnsi="Arial" w:cs="Arial"/>
          <w:b w:val="0"/>
          <w:color w:val="auto"/>
        </w:rPr>
      </w:pPr>
      <w:r w:rsidRPr="000D7782">
        <w:rPr>
          <w:rFonts w:ascii="Arial" w:hAnsi="Arial" w:cs="Arial"/>
          <w:b w:val="0"/>
          <w:color w:val="auto"/>
        </w:rPr>
        <w:t>The first respondent is the Upington Correctional Supervision and Parole Board in the Province,</w:t>
      </w:r>
      <w:r w:rsidRPr="000D7782">
        <w:rPr>
          <w:rStyle w:val="FootnoteReference"/>
          <w:rFonts w:ascii="Arial" w:hAnsi="Arial" w:cs="Arial"/>
          <w:b w:val="0"/>
          <w:color w:val="auto"/>
        </w:rPr>
        <w:footnoteReference w:id="1"/>
      </w:r>
      <w:r w:rsidRPr="000D7782">
        <w:rPr>
          <w:rFonts w:ascii="Arial" w:hAnsi="Arial" w:cs="Arial"/>
          <w:b w:val="0"/>
          <w:color w:val="auto"/>
        </w:rPr>
        <w:t xml:space="preserve"> appointed as such by the responsible Minister, in terms of </w:t>
      </w:r>
      <w:r w:rsidR="001F70B4">
        <w:rPr>
          <w:rFonts w:ascii="Arial" w:hAnsi="Arial" w:cs="Arial"/>
          <w:b w:val="0"/>
          <w:color w:val="auto"/>
        </w:rPr>
        <w:t>Section</w:t>
      </w:r>
      <w:r w:rsidRPr="000D7782">
        <w:rPr>
          <w:rFonts w:ascii="Arial" w:hAnsi="Arial" w:cs="Arial"/>
          <w:b w:val="0"/>
          <w:color w:val="auto"/>
        </w:rPr>
        <w:t xml:space="preserve"> 74 of the </w:t>
      </w:r>
      <w:r w:rsidR="001F70B4" w:rsidRPr="001F70B4">
        <w:rPr>
          <w:rFonts w:ascii="Arial" w:hAnsi="Arial" w:cs="Arial"/>
          <w:color w:val="auto"/>
        </w:rPr>
        <w:t>CORRECTIONAL SERVICES ACT</w:t>
      </w:r>
      <w:r w:rsidR="001F70B4" w:rsidRPr="000D7782">
        <w:rPr>
          <w:rFonts w:ascii="Arial" w:hAnsi="Arial" w:cs="Arial"/>
          <w:b w:val="0"/>
          <w:color w:val="auto"/>
        </w:rPr>
        <w:t xml:space="preserve"> </w:t>
      </w:r>
      <w:r w:rsidRPr="000D7782">
        <w:rPr>
          <w:rFonts w:ascii="Arial" w:hAnsi="Arial" w:cs="Arial"/>
          <w:b w:val="0"/>
          <w:color w:val="auto"/>
        </w:rPr>
        <w:t>111 of 1998.</w:t>
      </w:r>
      <w:r w:rsidRPr="000D7782">
        <w:rPr>
          <w:rStyle w:val="FootnoteReference"/>
          <w:rFonts w:ascii="Arial" w:hAnsi="Arial" w:cs="Arial"/>
          <w:b w:val="0"/>
          <w:color w:val="auto"/>
        </w:rPr>
        <w:footnoteReference w:id="2"/>
      </w:r>
      <w:r w:rsidRPr="000D7782">
        <w:rPr>
          <w:rFonts w:ascii="Arial" w:hAnsi="Arial" w:cs="Arial"/>
          <w:b w:val="0"/>
          <w:color w:val="auto"/>
        </w:rPr>
        <w:t xml:space="preserve"> </w:t>
      </w:r>
      <w:r w:rsidR="00F35269">
        <w:rPr>
          <w:rFonts w:ascii="Arial" w:hAnsi="Arial" w:cs="Arial"/>
          <w:b w:val="0"/>
          <w:color w:val="auto"/>
        </w:rPr>
        <w:t xml:space="preserve"> </w:t>
      </w:r>
      <w:r w:rsidRPr="000D7782">
        <w:rPr>
          <w:rFonts w:ascii="Arial" w:hAnsi="Arial" w:cs="Arial"/>
          <w:b w:val="0"/>
          <w:color w:val="auto"/>
        </w:rPr>
        <w:t xml:space="preserve">The Parole Board is statutorily responsible for the consideration of reports of offenders serving sentences and the determination their parole, within the contemplation of </w:t>
      </w:r>
      <w:r w:rsidR="001F70B4">
        <w:rPr>
          <w:rFonts w:ascii="Arial" w:hAnsi="Arial" w:cs="Arial"/>
          <w:b w:val="0"/>
          <w:color w:val="auto"/>
        </w:rPr>
        <w:t>Section</w:t>
      </w:r>
      <w:r w:rsidRPr="000D7782">
        <w:rPr>
          <w:rFonts w:ascii="Arial" w:hAnsi="Arial" w:cs="Arial"/>
          <w:b w:val="0"/>
          <w:color w:val="auto"/>
        </w:rPr>
        <w:t xml:space="preserve"> 75 of the Act.</w:t>
      </w:r>
      <w:r w:rsidRPr="000D7782">
        <w:rPr>
          <w:rStyle w:val="FootnoteReference"/>
          <w:rFonts w:ascii="Arial" w:hAnsi="Arial" w:cs="Arial"/>
          <w:b w:val="0"/>
          <w:color w:val="auto"/>
        </w:rPr>
        <w:footnoteReference w:id="3"/>
      </w:r>
      <w:r w:rsidRPr="000D7782">
        <w:rPr>
          <w:rFonts w:ascii="Arial" w:hAnsi="Arial" w:cs="Arial"/>
          <w:b w:val="0"/>
          <w:color w:val="auto"/>
        </w:rPr>
        <w:t xml:space="preserve"> </w:t>
      </w:r>
    </w:p>
    <w:p w:rsidR="00884096" w:rsidRDefault="00884096" w:rsidP="00FE32B1">
      <w:pPr>
        <w:pStyle w:val="ListParagraph"/>
        <w:spacing w:line="360" w:lineRule="auto"/>
        <w:rPr>
          <w:rFonts w:ascii="Arial" w:hAnsi="Arial" w:cs="Arial"/>
          <w:b w:val="0"/>
          <w:color w:val="auto"/>
        </w:rPr>
      </w:pPr>
    </w:p>
    <w:p w:rsidR="0010392A" w:rsidRPr="000D7782" w:rsidRDefault="0010392A" w:rsidP="00FE32B1">
      <w:pPr>
        <w:pStyle w:val="Level1"/>
        <w:numPr>
          <w:ilvl w:val="0"/>
          <w:numId w:val="2"/>
        </w:numPr>
        <w:spacing w:line="360" w:lineRule="auto"/>
        <w:ind w:left="851" w:hanging="851"/>
        <w:contextualSpacing/>
        <w:jc w:val="both"/>
        <w:rPr>
          <w:rFonts w:ascii="Arial" w:hAnsi="Arial" w:cs="Arial"/>
          <w:b w:val="0"/>
          <w:color w:val="auto"/>
        </w:rPr>
      </w:pPr>
      <w:r w:rsidRPr="000D7782">
        <w:rPr>
          <w:rFonts w:ascii="Arial" w:hAnsi="Arial" w:cs="Arial"/>
          <w:b w:val="0"/>
          <w:color w:val="auto"/>
        </w:rPr>
        <w:t>The second respondent is the Head of the Upington Correctional Centre designated as such by the National Commissioner to manage and control the said Centre</w:t>
      </w:r>
      <w:r w:rsidR="004320CA">
        <w:rPr>
          <w:rFonts w:ascii="Arial" w:hAnsi="Arial" w:cs="Arial"/>
          <w:b w:val="0"/>
          <w:color w:val="auto"/>
        </w:rPr>
        <w:t xml:space="preserve">.  </w:t>
      </w:r>
      <w:r w:rsidRPr="000D7782">
        <w:rPr>
          <w:rFonts w:ascii="Arial" w:hAnsi="Arial" w:cs="Arial"/>
          <w:b w:val="0"/>
          <w:color w:val="auto"/>
        </w:rPr>
        <w:t>The third respondent is the Regional Commissioner of Correctional Services in the Free State and the Northern Cape provinces</w:t>
      </w:r>
      <w:r w:rsidR="004320CA">
        <w:rPr>
          <w:rFonts w:ascii="Arial" w:hAnsi="Arial" w:cs="Arial"/>
          <w:b w:val="0"/>
          <w:color w:val="auto"/>
        </w:rPr>
        <w:t xml:space="preserve">.  </w:t>
      </w:r>
      <w:r w:rsidRPr="000D7782">
        <w:rPr>
          <w:rFonts w:ascii="Arial" w:hAnsi="Arial" w:cs="Arial"/>
          <w:b w:val="0"/>
          <w:color w:val="auto"/>
        </w:rPr>
        <w:t>The third respondent is responsible for the coordination of activities, case management administration and committees</w:t>
      </w:r>
      <w:r w:rsidR="004320CA">
        <w:rPr>
          <w:rFonts w:ascii="Arial" w:hAnsi="Arial" w:cs="Arial"/>
          <w:b w:val="0"/>
          <w:color w:val="auto"/>
        </w:rPr>
        <w:t xml:space="preserve">.  </w:t>
      </w:r>
      <w:r w:rsidRPr="000D7782">
        <w:rPr>
          <w:rFonts w:ascii="Arial" w:hAnsi="Arial" w:cs="Arial"/>
          <w:b w:val="0"/>
          <w:color w:val="auto"/>
        </w:rPr>
        <w:t xml:space="preserve">The fourth respondent is the National Commissioner of Correctional Services contemplated in </w:t>
      </w:r>
      <w:r w:rsidR="001F70B4">
        <w:rPr>
          <w:rFonts w:ascii="Arial" w:hAnsi="Arial" w:cs="Arial"/>
          <w:b w:val="0"/>
          <w:color w:val="auto"/>
        </w:rPr>
        <w:t>Section</w:t>
      </w:r>
      <w:r w:rsidRPr="000D7782">
        <w:rPr>
          <w:rFonts w:ascii="Arial" w:hAnsi="Arial" w:cs="Arial"/>
          <w:b w:val="0"/>
          <w:color w:val="auto"/>
        </w:rPr>
        <w:t xml:space="preserve"> 3(3) </w:t>
      </w:r>
      <w:r w:rsidRPr="000D7782">
        <w:rPr>
          <w:rFonts w:ascii="Arial" w:hAnsi="Arial" w:cs="Arial"/>
          <w:b w:val="0"/>
          <w:color w:val="auto"/>
        </w:rPr>
        <w:lastRenderedPageBreak/>
        <w:t>of the Act</w:t>
      </w:r>
      <w:r w:rsidR="004320CA">
        <w:rPr>
          <w:rFonts w:ascii="Arial" w:hAnsi="Arial" w:cs="Arial"/>
          <w:b w:val="0"/>
          <w:color w:val="auto"/>
        </w:rPr>
        <w:t xml:space="preserve">.  </w:t>
      </w:r>
      <w:r w:rsidRPr="000D7782">
        <w:rPr>
          <w:rFonts w:ascii="Arial" w:hAnsi="Arial" w:cs="Arial"/>
          <w:b w:val="0"/>
          <w:color w:val="auto"/>
        </w:rPr>
        <w:t>The Minister of Justice and Correctional Services, is the fifth respondent</w:t>
      </w:r>
      <w:r w:rsidR="004320CA">
        <w:rPr>
          <w:rFonts w:ascii="Arial" w:hAnsi="Arial" w:cs="Arial"/>
          <w:b w:val="0"/>
          <w:color w:val="auto"/>
        </w:rPr>
        <w:t xml:space="preserve">.  </w:t>
      </w:r>
    </w:p>
    <w:p w:rsidR="0010392A" w:rsidRPr="000D7782" w:rsidRDefault="0010392A" w:rsidP="00FE32B1">
      <w:pPr>
        <w:pStyle w:val="Level1"/>
        <w:numPr>
          <w:ilvl w:val="0"/>
          <w:numId w:val="0"/>
        </w:numPr>
        <w:spacing w:line="360" w:lineRule="auto"/>
        <w:contextualSpacing/>
        <w:jc w:val="both"/>
        <w:rPr>
          <w:rFonts w:ascii="Arial" w:hAnsi="Arial" w:cs="Arial"/>
          <w:color w:val="auto"/>
        </w:rPr>
      </w:pPr>
    </w:p>
    <w:p w:rsidR="0010392A" w:rsidRPr="00884096" w:rsidRDefault="0010392A" w:rsidP="00FE32B1">
      <w:pPr>
        <w:pStyle w:val="Level1"/>
        <w:numPr>
          <w:ilvl w:val="0"/>
          <w:numId w:val="0"/>
        </w:numPr>
        <w:spacing w:line="360" w:lineRule="auto"/>
        <w:contextualSpacing/>
        <w:jc w:val="both"/>
        <w:rPr>
          <w:rFonts w:ascii="Arial" w:hAnsi="Arial" w:cs="Arial"/>
          <w:color w:val="auto"/>
        </w:rPr>
      </w:pPr>
      <w:r w:rsidRPr="000D7782">
        <w:rPr>
          <w:rFonts w:ascii="Arial" w:hAnsi="Arial" w:cs="Arial"/>
          <w:color w:val="auto"/>
          <w:u w:val="single"/>
        </w:rPr>
        <w:t>THE RELIEFS SOUGHT</w:t>
      </w:r>
      <w:r w:rsidR="00884096">
        <w:rPr>
          <w:rFonts w:ascii="Arial" w:hAnsi="Arial" w:cs="Arial"/>
          <w:color w:val="auto"/>
        </w:rPr>
        <w:t>:</w:t>
      </w:r>
    </w:p>
    <w:p w:rsidR="0010392A" w:rsidRPr="000D7782" w:rsidRDefault="0010392A" w:rsidP="00FE32B1">
      <w:pPr>
        <w:pStyle w:val="Level1"/>
        <w:numPr>
          <w:ilvl w:val="0"/>
          <w:numId w:val="0"/>
        </w:numPr>
        <w:spacing w:line="360" w:lineRule="auto"/>
        <w:contextualSpacing/>
        <w:jc w:val="both"/>
        <w:rPr>
          <w:rFonts w:ascii="Arial" w:hAnsi="Arial" w:cs="Arial"/>
          <w:color w:val="auto"/>
        </w:rPr>
      </w:pPr>
    </w:p>
    <w:p w:rsidR="0010392A" w:rsidRPr="000D7782" w:rsidRDefault="0010392A" w:rsidP="00FE32B1">
      <w:pPr>
        <w:pStyle w:val="Level1"/>
        <w:numPr>
          <w:ilvl w:val="0"/>
          <w:numId w:val="2"/>
        </w:numPr>
        <w:spacing w:line="360" w:lineRule="auto"/>
        <w:ind w:left="851" w:hanging="851"/>
        <w:contextualSpacing/>
        <w:jc w:val="both"/>
        <w:rPr>
          <w:rFonts w:ascii="Arial" w:hAnsi="Arial" w:cs="Arial"/>
          <w:b w:val="0"/>
          <w:color w:val="auto"/>
        </w:rPr>
      </w:pPr>
      <w:r w:rsidRPr="000D7782">
        <w:rPr>
          <w:rFonts w:ascii="Arial" w:hAnsi="Arial" w:cs="Arial"/>
          <w:b w:val="0"/>
          <w:color w:val="auto"/>
        </w:rPr>
        <w:t xml:space="preserve">The applicant in the main urgently sought this Court to: (a) review and set aside the first respondent’s decision dated 29 September 2020; (b) declare the fourth and/or fifth respondents’ decision(s) in relation to his appeal dated 27 February 2023, invalid, unlawful and unconstitutional; (c) declare the fourth and/or fifth respondents’ failure to make a decision in respect of his appeal submitted on 27 February 2023, to be in breach of </w:t>
      </w:r>
      <w:r w:rsidR="001F70B4">
        <w:rPr>
          <w:rFonts w:ascii="Arial" w:hAnsi="Arial" w:cs="Arial"/>
          <w:b w:val="0"/>
          <w:color w:val="auto"/>
        </w:rPr>
        <w:t>Section</w:t>
      </w:r>
      <w:r w:rsidRPr="000D7782">
        <w:rPr>
          <w:rFonts w:ascii="Arial" w:hAnsi="Arial" w:cs="Arial"/>
          <w:b w:val="0"/>
          <w:color w:val="auto"/>
        </w:rPr>
        <w:t xml:space="preserve"> 237 of the Constitution; (d) declare that he qualifies for the Covid-19 special remission; (d) direct the respondents to process his application for parole within 30 days</w:t>
      </w:r>
      <w:r w:rsidR="004320CA">
        <w:rPr>
          <w:rFonts w:ascii="Arial" w:hAnsi="Arial" w:cs="Arial"/>
          <w:b w:val="0"/>
          <w:color w:val="auto"/>
        </w:rPr>
        <w:t xml:space="preserve">.  </w:t>
      </w:r>
    </w:p>
    <w:p w:rsidR="0010392A" w:rsidRPr="000D7782" w:rsidRDefault="0010392A" w:rsidP="00FE32B1">
      <w:pPr>
        <w:pStyle w:val="Level1"/>
        <w:numPr>
          <w:ilvl w:val="0"/>
          <w:numId w:val="0"/>
        </w:numPr>
        <w:spacing w:line="360" w:lineRule="auto"/>
        <w:ind w:left="851"/>
        <w:contextualSpacing/>
        <w:jc w:val="both"/>
        <w:rPr>
          <w:rFonts w:ascii="Arial" w:hAnsi="Arial" w:cs="Arial"/>
          <w:b w:val="0"/>
          <w:color w:val="auto"/>
        </w:rPr>
      </w:pPr>
    </w:p>
    <w:p w:rsidR="0010392A" w:rsidRPr="000D7782" w:rsidRDefault="0010392A" w:rsidP="00FE32B1">
      <w:pPr>
        <w:pStyle w:val="Level1"/>
        <w:numPr>
          <w:ilvl w:val="0"/>
          <w:numId w:val="2"/>
        </w:numPr>
        <w:spacing w:line="360" w:lineRule="auto"/>
        <w:ind w:left="851" w:hanging="851"/>
        <w:contextualSpacing/>
        <w:jc w:val="both"/>
        <w:rPr>
          <w:rFonts w:ascii="Arial" w:hAnsi="Arial" w:cs="Arial"/>
          <w:b w:val="0"/>
          <w:color w:val="auto"/>
        </w:rPr>
      </w:pPr>
      <w:r w:rsidRPr="000D7782">
        <w:rPr>
          <w:rFonts w:ascii="Arial" w:hAnsi="Arial" w:cs="Arial"/>
          <w:b w:val="0"/>
          <w:color w:val="auto"/>
        </w:rPr>
        <w:t>The applicant also sought the Department of Correctional Services to be ordered to pay the costs of this application inclusive of costs of two counsel and any further and/or alternative relief this Court deems fit</w:t>
      </w:r>
      <w:r w:rsidR="004320CA">
        <w:rPr>
          <w:rFonts w:ascii="Arial" w:hAnsi="Arial" w:cs="Arial"/>
          <w:b w:val="0"/>
          <w:color w:val="auto"/>
        </w:rPr>
        <w:t xml:space="preserve">.  </w:t>
      </w:r>
      <w:r w:rsidRPr="000D7782">
        <w:rPr>
          <w:rFonts w:ascii="Arial" w:hAnsi="Arial" w:cs="Arial"/>
          <w:b w:val="0"/>
          <w:color w:val="auto"/>
        </w:rPr>
        <w:t>The respondents, for their own part, sought this Court to dismiss the motion with costs on a party and party scale</w:t>
      </w:r>
      <w:r w:rsidR="004320CA">
        <w:rPr>
          <w:rFonts w:ascii="Arial" w:hAnsi="Arial" w:cs="Arial"/>
          <w:b w:val="0"/>
          <w:color w:val="auto"/>
        </w:rPr>
        <w:t xml:space="preserve">.  </w:t>
      </w:r>
    </w:p>
    <w:p w:rsidR="0010392A" w:rsidRPr="000D7782" w:rsidRDefault="0010392A" w:rsidP="00FE32B1">
      <w:pPr>
        <w:pStyle w:val="ListParagraph"/>
        <w:spacing w:line="360" w:lineRule="auto"/>
        <w:rPr>
          <w:rFonts w:ascii="Arial" w:hAnsi="Arial" w:cs="Arial"/>
          <w:color w:val="auto"/>
        </w:rPr>
      </w:pPr>
    </w:p>
    <w:p w:rsidR="0010392A" w:rsidRPr="00884096" w:rsidRDefault="0010392A" w:rsidP="00FE32B1">
      <w:pPr>
        <w:pStyle w:val="Level1"/>
        <w:numPr>
          <w:ilvl w:val="0"/>
          <w:numId w:val="0"/>
        </w:numPr>
        <w:spacing w:line="360" w:lineRule="auto"/>
        <w:contextualSpacing/>
        <w:jc w:val="both"/>
        <w:rPr>
          <w:rFonts w:ascii="Arial" w:hAnsi="Arial" w:cs="Arial"/>
          <w:b w:val="0"/>
          <w:color w:val="auto"/>
        </w:rPr>
      </w:pPr>
      <w:r w:rsidRPr="000D7782">
        <w:rPr>
          <w:rFonts w:ascii="Arial" w:hAnsi="Arial" w:cs="Arial"/>
          <w:color w:val="auto"/>
          <w:u w:val="single"/>
        </w:rPr>
        <w:t>THE DELAY</w:t>
      </w:r>
      <w:r w:rsidR="00884096">
        <w:rPr>
          <w:rFonts w:ascii="Arial" w:hAnsi="Arial" w:cs="Arial"/>
          <w:color w:val="auto"/>
        </w:rPr>
        <w:t>:</w:t>
      </w:r>
    </w:p>
    <w:p w:rsidR="0010392A" w:rsidRPr="000D7782" w:rsidRDefault="0010392A" w:rsidP="00FE32B1">
      <w:pPr>
        <w:pStyle w:val="ListParagraph"/>
        <w:spacing w:line="360" w:lineRule="auto"/>
        <w:rPr>
          <w:rFonts w:ascii="Arial" w:hAnsi="Arial" w:cs="Arial"/>
          <w:b w:val="0"/>
          <w:color w:val="auto"/>
        </w:rPr>
      </w:pPr>
    </w:p>
    <w:p w:rsidR="0010392A" w:rsidRPr="000D7782" w:rsidRDefault="0010392A" w:rsidP="00FE32B1">
      <w:pPr>
        <w:pStyle w:val="Level1"/>
        <w:numPr>
          <w:ilvl w:val="0"/>
          <w:numId w:val="2"/>
        </w:numPr>
        <w:spacing w:line="360" w:lineRule="auto"/>
        <w:ind w:left="851" w:hanging="851"/>
        <w:contextualSpacing/>
        <w:jc w:val="both"/>
        <w:rPr>
          <w:rFonts w:ascii="Arial" w:hAnsi="Arial" w:cs="Arial"/>
          <w:b w:val="0"/>
          <w:color w:val="auto"/>
        </w:rPr>
      </w:pPr>
      <w:r w:rsidRPr="000D7782">
        <w:rPr>
          <w:rFonts w:ascii="Arial" w:hAnsi="Arial" w:cs="Arial"/>
          <w:b w:val="0"/>
          <w:color w:val="auto"/>
        </w:rPr>
        <w:t>This motion was urgently lodged on 16 May 2023, seeking same to be heard on a date and time to be determined by the Judge President</w:t>
      </w:r>
      <w:r w:rsidR="004320CA">
        <w:rPr>
          <w:rFonts w:ascii="Arial" w:hAnsi="Arial" w:cs="Arial"/>
          <w:b w:val="0"/>
          <w:color w:val="auto"/>
        </w:rPr>
        <w:t xml:space="preserve">.  </w:t>
      </w:r>
      <w:r w:rsidRPr="000D7782">
        <w:rPr>
          <w:rFonts w:ascii="Arial" w:hAnsi="Arial" w:cs="Arial"/>
          <w:b w:val="0"/>
          <w:color w:val="auto"/>
        </w:rPr>
        <w:t>In terms of the said notice of motion, the respondents, were required to deliver their answering affidavits, within 10 days after the expiry of the time referred to in rule 53(4) of the Uniform Rules.</w:t>
      </w:r>
      <w:r w:rsidRPr="000D7782">
        <w:rPr>
          <w:rStyle w:val="FootnoteReference"/>
          <w:rFonts w:ascii="Arial" w:hAnsi="Arial" w:cs="Arial"/>
          <w:b w:val="0"/>
          <w:color w:val="auto"/>
        </w:rPr>
        <w:footnoteReference w:id="4"/>
      </w:r>
      <w:r w:rsidRPr="000D7782">
        <w:rPr>
          <w:rFonts w:ascii="Arial" w:hAnsi="Arial" w:cs="Arial"/>
          <w:b w:val="0"/>
          <w:color w:val="auto"/>
        </w:rPr>
        <w:t xml:space="preserve"> </w:t>
      </w:r>
    </w:p>
    <w:p w:rsidR="0010392A" w:rsidRPr="000D7782" w:rsidRDefault="0010392A" w:rsidP="00FE32B1">
      <w:pPr>
        <w:pStyle w:val="Level1"/>
        <w:numPr>
          <w:ilvl w:val="0"/>
          <w:numId w:val="0"/>
        </w:numPr>
        <w:spacing w:line="360" w:lineRule="auto"/>
        <w:ind w:left="851"/>
        <w:contextualSpacing/>
        <w:jc w:val="both"/>
        <w:rPr>
          <w:rFonts w:ascii="Arial" w:hAnsi="Arial" w:cs="Arial"/>
          <w:b w:val="0"/>
          <w:color w:val="auto"/>
        </w:rPr>
      </w:pPr>
    </w:p>
    <w:p w:rsidR="0010392A" w:rsidRPr="000D7782" w:rsidRDefault="0010392A" w:rsidP="00FE32B1">
      <w:pPr>
        <w:pStyle w:val="Level1"/>
        <w:numPr>
          <w:ilvl w:val="0"/>
          <w:numId w:val="2"/>
        </w:numPr>
        <w:spacing w:line="360" w:lineRule="auto"/>
        <w:ind w:left="851" w:hanging="851"/>
        <w:contextualSpacing/>
        <w:jc w:val="both"/>
        <w:rPr>
          <w:rFonts w:ascii="Arial" w:hAnsi="Arial" w:cs="Arial"/>
          <w:b w:val="0"/>
          <w:color w:val="auto"/>
        </w:rPr>
      </w:pPr>
      <w:r w:rsidRPr="000D7782">
        <w:rPr>
          <w:rFonts w:ascii="Arial" w:hAnsi="Arial" w:cs="Arial"/>
          <w:b w:val="0"/>
          <w:color w:val="auto"/>
        </w:rPr>
        <w:t xml:space="preserve">The respondents thereafter entered appearance on 19 May 2023 and delivered their answering affidavit, which was due on 02 June, only on 14 June </w:t>
      </w:r>
      <w:r w:rsidRPr="000D7782">
        <w:rPr>
          <w:rFonts w:ascii="Arial" w:hAnsi="Arial" w:cs="Arial"/>
          <w:b w:val="0"/>
          <w:color w:val="auto"/>
        </w:rPr>
        <w:lastRenderedPageBreak/>
        <w:t>2023, approxima</w:t>
      </w:r>
      <w:r w:rsidR="00F35269">
        <w:rPr>
          <w:rFonts w:ascii="Arial" w:hAnsi="Arial" w:cs="Arial"/>
          <w:b w:val="0"/>
          <w:color w:val="auto"/>
        </w:rPr>
        <w:t xml:space="preserve">tely 7 days out of time and one </w:t>
      </w:r>
      <w:r w:rsidRPr="000D7782">
        <w:rPr>
          <w:rFonts w:ascii="Arial" w:hAnsi="Arial" w:cs="Arial"/>
          <w:b w:val="0"/>
          <w:color w:val="auto"/>
        </w:rPr>
        <w:t>day shy of the matter being heard on the unopposed roll on 15 June</w:t>
      </w:r>
      <w:r w:rsidR="004320CA">
        <w:rPr>
          <w:rFonts w:ascii="Arial" w:hAnsi="Arial" w:cs="Arial"/>
          <w:b w:val="0"/>
          <w:color w:val="auto"/>
        </w:rPr>
        <w:t xml:space="preserve">.  </w:t>
      </w:r>
      <w:r w:rsidRPr="000D7782">
        <w:rPr>
          <w:rFonts w:ascii="Arial" w:hAnsi="Arial" w:cs="Arial"/>
          <w:b w:val="0"/>
          <w:color w:val="auto"/>
        </w:rPr>
        <w:t>Consequently, on the latter date, this Court ordered that the matter be removed from the unopposed roll and contemporaneously directed as follows: The respondents were to deliver the impugned record on 20 June 2023; the applicant to file his supplementary affidavit, if any, on 23 June; the respondents were to file further answering affidavits, if any, on 27 June; and the applicant were to reply on or before 30 June 2023</w:t>
      </w:r>
      <w:r w:rsidR="004320CA">
        <w:rPr>
          <w:rFonts w:ascii="Arial" w:hAnsi="Arial" w:cs="Arial"/>
          <w:b w:val="0"/>
          <w:color w:val="auto"/>
        </w:rPr>
        <w:t xml:space="preserve">.  </w:t>
      </w:r>
    </w:p>
    <w:p w:rsidR="0010392A" w:rsidRPr="000D7782" w:rsidRDefault="0010392A" w:rsidP="00FE32B1">
      <w:pPr>
        <w:pStyle w:val="ListParagraph"/>
        <w:spacing w:line="360" w:lineRule="auto"/>
        <w:rPr>
          <w:rFonts w:ascii="Arial" w:hAnsi="Arial" w:cs="Arial"/>
          <w:b w:val="0"/>
          <w:color w:val="auto"/>
        </w:rPr>
      </w:pPr>
    </w:p>
    <w:p w:rsidR="0010392A" w:rsidRPr="000D7782" w:rsidRDefault="0010392A" w:rsidP="00FE32B1">
      <w:pPr>
        <w:pStyle w:val="Level1"/>
        <w:numPr>
          <w:ilvl w:val="0"/>
          <w:numId w:val="2"/>
        </w:numPr>
        <w:spacing w:line="360" w:lineRule="auto"/>
        <w:ind w:left="851" w:hanging="851"/>
        <w:contextualSpacing/>
        <w:jc w:val="both"/>
        <w:rPr>
          <w:rFonts w:ascii="Arial" w:hAnsi="Arial" w:cs="Arial"/>
          <w:b w:val="0"/>
          <w:color w:val="auto"/>
        </w:rPr>
      </w:pPr>
      <w:r w:rsidRPr="000D7782">
        <w:rPr>
          <w:rFonts w:ascii="Arial" w:hAnsi="Arial" w:cs="Arial"/>
          <w:b w:val="0"/>
          <w:color w:val="auto"/>
        </w:rPr>
        <w:t>The applicant delivered his replying affidavit 03 July</w:t>
      </w:r>
      <w:r w:rsidR="004320CA">
        <w:rPr>
          <w:rFonts w:ascii="Arial" w:hAnsi="Arial" w:cs="Arial"/>
          <w:b w:val="0"/>
          <w:color w:val="auto"/>
        </w:rPr>
        <w:t xml:space="preserve">.  </w:t>
      </w:r>
      <w:r w:rsidRPr="000D7782">
        <w:rPr>
          <w:rFonts w:ascii="Arial" w:hAnsi="Arial" w:cs="Arial"/>
          <w:b w:val="0"/>
          <w:color w:val="auto"/>
        </w:rPr>
        <w:t>Thereafter, the matter was set-down for hearing on 24 July 2023, whereat it was postponed, by the Judge President, to 31 July 2023</w:t>
      </w:r>
      <w:r w:rsidR="004320CA">
        <w:rPr>
          <w:rFonts w:ascii="Arial" w:hAnsi="Arial" w:cs="Arial"/>
          <w:b w:val="0"/>
          <w:color w:val="auto"/>
        </w:rPr>
        <w:t xml:space="preserve">.  </w:t>
      </w:r>
      <w:r w:rsidRPr="000D7782">
        <w:rPr>
          <w:rFonts w:ascii="Arial" w:hAnsi="Arial" w:cs="Arial"/>
          <w:b w:val="0"/>
          <w:color w:val="auto"/>
        </w:rPr>
        <w:t xml:space="preserve">In the intervening period, the following transpired: The applicant, </w:t>
      </w:r>
      <w:r w:rsidRPr="000D7782">
        <w:rPr>
          <w:rFonts w:ascii="Arial" w:hAnsi="Arial" w:cs="Arial"/>
          <w:b w:val="0"/>
          <w:i/>
          <w:color w:val="auto"/>
        </w:rPr>
        <w:t>vide</w:t>
      </w:r>
      <w:r w:rsidRPr="000D7782">
        <w:rPr>
          <w:rFonts w:ascii="Arial" w:hAnsi="Arial" w:cs="Arial"/>
          <w:b w:val="0"/>
          <w:color w:val="auto"/>
        </w:rPr>
        <w:t xml:space="preserve"> </w:t>
      </w:r>
      <w:r w:rsidRPr="000D7782">
        <w:rPr>
          <w:rFonts w:ascii="Arial" w:hAnsi="Arial" w:cs="Arial"/>
          <w:b w:val="0"/>
          <w:i/>
          <w:color w:val="auto"/>
        </w:rPr>
        <w:t>Mr</w:t>
      </w:r>
      <w:r w:rsidR="004320CA">
        <w:rPr>
          <w:rFonts w:ascii="Arial" w:hAnsi="Arial" w:cs="Arial"/>
          <w:b w:val="0"/>
          <w:i/>
          <w:color w:val="auto"/>
        </w:rPr>
        <w:t xml:space="preserve">.  </w:t>
      </w:r>
      <w:r w:rsidRPr="000D7782">
        <w:rPr>
          <w:rFonts w:ascii="Arial" w:hAnsi="Arial" w:cs="Arial"/>
          <w:b w:val="0"/>
          <w:i/>
          <w:color w:val="auto"/>
        </w:rPr>
        <w:t>R Nelwamondo</w:t>
      </w:r>
      <w:r w:rsidRPr="000D7782">
        <w:rPr>
          <w:rFonts w:ascii="Arial" w:hAnsi="Arial" w:cs="Arial"/>
          <w:b w:val="0"/>
          <w:color w:val="auto"/>
        </w:rPr>
        <w:t>, delivered his heads of argument on 14 June 203;</w:t>
      </w:r>
      <w:r w:rsidRPr="000D7782">
        <w:rPr>
          <w:rStyle w:val="FootnoteReference"/>
          <w:rFonts w:ascii="Arial" w:hAnsi="Arial" w:cs="Arial"/>
          <w:b w:val="0"/>
          <w:color w:val="auto"/>
        </w:rPr>
        <w:footnoteReference w:id="5"/>
      </w:r>
      <w:r w:rsidRPr="000D7782">
        <w:rPr>
          <w:rFonts w:ascii="Arial" w:hAnsi="Arial" w:cs="Arial"/>
          <w:b w:val="0"/>
          <w:color w:val="auto"/>
        </w:rPr>
        <w:t xml:space="preserve"> the impugned record was delivered on 21 June</w:t>
      </w:r>
      <w:r w:rsidR="004320CA">
        <w:rPr>
          <w:rFonts w:ascii="Arial" w:hAnsi="Arial" w:cs="Arial"/>
          <w:b w:val="0"/>
          <w:color w:val="auto"/>
        </w:rPr>
        <w:t xml:space="preserve">.  </w:t>
      </w:r>
      <w:r w:rsidRPr="000D7782">
        <w:rPr>
          <w:rFonts w:ascii="Arial" w:hAnsi="Arial" w:cs="Arial"/>
          <w:b w:val="0"/>
          <w:color w:val="auto"/>
        </w:rPr>
        <w:t xml:space="preserve">The applicant, thereafter delivered written submissions and amended heads of argument dated 24 and 25 July; respectively </w:t>
      </w:r>
      <w:r w:rsidRPr="000D7782">
        <w:rPr>
          <w:rFonts w:ascii="Arial" w:hAnsi="Arial" w:cs="Arial"/>
          <w:b w:val="0"/>
          <w:i/>
          <w:color w:val="auto"/>
        </w:rPr>
        <w:t>vide</w:t>
      </w:r>
      <w:r w:rsidRPr="000D7782">
        <w:rPr>
          <w:rFonts w:ascii="Arial" w:hAnsi="Arial" w:cs="Arial"/>
          <w:b w:val="0"/>
          <w:color w:val="auto"/>
        </w:rPr>
        <w:t xml:space="preserve"> </w:t>
      </w:r>
      <w:r w:rsidRPr="000D7782">
        <w:rPr>
          <w:rFonts w:ascii="Arial" w:hAnsi="Arial" w:cs="Arial"/>
          <w:b w:val="0"/>
          <w:i/>
          <w:color w:val="auto"/>
        </w:rPr>
        <w:t>Messrs T Ngcukaitobi SC</w:t>
      </w:r>
      <w:r w:rsidRPr="000D7782">
        <w:rPr>
          <w:rFonts w:ascii="Arial" w:hAnsi="Arial" w:cs="Arial"/>
          <w:b w:val="0"/>
          <w:color w:val="auto"/>
        </w:rPr>
        <w:t xml:space="preserve"> and </w:t>
      </w:r>
      <w:r w:rsidRPr="000D7782">
        <w:rPr>
          <w:rFonts w:ascii="Arial" w:hAnsi="Arial" w:cs="Arial"/>
          <w:b w:val="0"/>
          <w:i/>
          <w:color w:val="auto"/>
        </w:rPr>
        <w:t>Nelwamondo</w:t>
      </w:r>
      <w:r w:rsidR="004320CA">
        <w:rPr>
          <w:rFonts w:ascii="Arial" w:hAnsi="Arial" w:cs="Arial"/>
          <w:b w:val="0"/>
          <w:color w:val="auto"/>
        </w:rPr>
        <w:t xml:space="preserve">.  </w:t>
      </w:r>
      <w:r w:rsidRPr="000D7782">
        <w:rPr>
          <w:rFonts w:ascii="Arial" w:hAnsi="Arial" w:cs="Arial"/>
          <w:b w:val="0"/>
          <w:color w:val="auto"/>
        </w:rPr>
        <w:t xml:space="preserve">The respondents, for their own part, </w:t>
      </w:r>
      <w:r w:rsidRPr="000D7782">
        <w:rPr>
          <w:rFonts w:ascii="Arial" w:hAnsi="Arial" w:cs="Arial"/>
          <w:b w:val="0"/>
          <w:i/>
          <w:color w:val="auto"/>
        </w:rPr>
        <w:t>vide</w:t>
      </w:r>
      <w:r w:rsidRPr="000D7782">
        <w:rPr>
          <w:rFonts w:ascii="Arial" w:hAnsi="Arial" w:cs="Arial"/>
          <w:b w:val="0"/>
          <w:color w:val="auto"/>
        </w:rPr>
        <w:t xml:space="preserve"> </w:t>
      </w:r>
      <w:r w:rsidRPr="000D7782">
        <w:rPr>
          <w:rFonts w:ascii="Arial" w:hAnsi="Arial" w:cs="Arial"/>
          <w:b w:val="0"/>
          <w:i/>
          <w:color w:val="auto"/>
        </w:rPr>
        <w:t>Mr L Maponya</w:t>
      </w:r>
      <w:r w:rsidRPr="000D7782">
        <w:rPr>
          <w:rFonts w:ascii="Arial" w:hAnsi="Arial" w:cs="Arial"/>
          <w:b w:val="0"/>
          <w:color w:val="auto"/>
        </w:rPr>
        <w:t>, delivered their main and supplementary heads of argument on 21 and 27 July; respectively</w:t>
      </w:r>
      <w:r w:rsidR="004320CA">
        <w:rPr>
          <w:rFonts w:ascii="Arial" w:hAnsi="Arial" w:cs="Arial"/>
          <w:b w:val="0"/>
          <w:color w:val="auto"/>
        </w:rPr>
        <w:t xml:space="preserve">.  </w:t>
      </w:r>
      <w:r w:rsidRPr="000D7782">
        <w:rPr>
          <w:rFonts w:ascii="Arial" w:hAnsi="Arial" w:cs="Arial"/>
          <w:b w:val="0"/>
          <w:color w:val="auto"/>
        </w:rPr>
        <w:t>Thereafter, the matter was argued on 31 July 2023</w:t>
      </w:r>
      <w:r w:rsidR="004320CA">
        <w:rPr>
          <w:rFonts w:ascii="Arial" w:hAnsi="Arial" w:cs="Arial"/>
          <w:b w:val="0"/>
          <w:color w:val="auto"/>
        </w:rPr>
        <w:t xml:space="preserve">.  </w:t>
      </w:r>
    </w:p>
    <w:p w:rsidR="0010392A" w:rsidRPr="000D7782" w:rsidRDefault="0010392A" w:rsidP="00FE32B1">
      <w:pPr>
        <w:pStyle w:val="ListParagraph"/>
        <w:spacing w:line="360" w:lineRule="auto"/>
        <w:rPr>
          <w:rFonts w:ascii="Arial" w:hAnsi="Arial" w:cs="Arial"/>
          <w:b w:val="0"/>
          <w:color w:val="auto"/>
        </w:rPr>
      </w:pPr>
    </w:p>
    <w:p w:rsidR="0010392A" w:rsidRPr="000D7782" w:rsidRDefault="0010392A" w:rsidP="00FE32B1">
      <w:pPr>
        <w:pStyle w:val="Level1"/>
        <w:numPr>
          <w:ilvl w:val="0"/>
          <w:numId w:val="2"/>
        </w:numPr>
        <w:spacing w:line="360" w:lineRule="auto"/>
        <w:ind w:left="851" w:hanging="851"/>
        <w:contextualSpacing/>
        <w:jc w:val="both"/>
        <w:rPr>
          <w:rFonts w:ascii="Arial" w:hAnsi="Arial" w:cs="Arial"/>
          <w:b w:val="0"/>
          <w:color w:val="auto"/>
        </w:rPr>
      </w:pPr>
      <w:r w:rsidRPr="000D7782">
        <w:rPr>
          <w:rFonts w:ascii="Arial" w:hAnsi="Arial" w:cs="Arial"/>
          <w:b w:val="0"/>
          <w:color w:val="auto"/>
        </w:rPr>
        <w:t xml:space="preserve">On the latter date, without taking anything away from </w:t>
      </w:r>
      <w:r w:rsidR="00555EC8">
        <w:rPr>
          <w:rFonts w:ascii="Arial" w:hAnsi="Arial" w:cs="Arial"/>
          <w:b w:val="0"/>
          <w:color w:val="auto"/>
        </w:rPr>
        <w:t xml:space="preserve">whether or not </w:t>
      </w:r>
      <w:r w:rsidRPr="000D7782">
        <w:rPr>
          <w:rFonts w:ascii="Arial" w:hAnsi="Arial" w:cs="Arial"/>
          <w:b w:val="0"/>
          <w:color w:val="auto"/>
        </w:rPr>
        <w:t>the</w:t>
      </w:r>
      <w:r w:rsidR="00555EC8">
        <w:rPr>
          <w:rFonts w:ascii="Arial" w:hAnsi="Arial" w:cs="Arial"/>
          <w:b w:val="0"/>
          <w:color w:val="auto"/>
        </w:rPr>
        <w:t xml:space="preserve"> matter was indeed urgent</w:t>
      </w:r>
      <w:r w:rsidRPr="000D7782">
        <w:rPr>
          <w:rFonts w:ascii="Arial" w:hAnsi="Arial" w:cs="Arial"/>
          <w:b w:val="0"/>
          <w:color w:val="auto"/>
        </w:rPr>
        <w:t>, this Court reserved judgment and directed the parties to deliver further heads, on issues that arose in session</w:t>
      </w:r>
      <w:r w:rsidR="004320CA">
        <w:rPr>
          <w:rFonts w:ascii="Arial" w:hAnsi="Arial" w:cs="Arial"/>
          <w:b w:val="0"/>
          <w:color w:val="auto"/>
        </w:rPr>
        <w:t xml:space="preserve">.  </w:t>
      </w:r>
      <w:r w:rsidRPr="000D7782">
        <w:rPr>
          <w:rFonts w:ascii="Arial" w:hAnsi="Arial" w:cs="Arial"/>
          <w:b w:val="0"/>
          <w:color w:val="auto"/>
        </w:rPr>
        <w:t>These were delivered on 04 August</w:t>
      </w:r>
      <w:r w:rsidR="004320CA">
        <w:rPr>
          <w:rFonts w:ascii="Arial" w:hAnsi="Arial" w:cs="Arial"/>
          <w:b w:val="0"/>
          <w:color w:val="auto"/>
        </w:rPr>
        <w:t xml:space="preserve">.  </w:t>
      </w:r>
      <w:r w:rsidRPr="000D7782">
        <w:rPr>
          <w:rFonts w:ascii="Arial" w:hAnsi="Arial" w:cs="Arial"/>
          <w:b w:val="0"/>
          <w:color w:val="auto"/>
        </w:rPr>
        <w:t>This Court directed so in light of the persuasive decisions</w:t>
      </w:r>
      <w:r w:rsidRPr="000D7782">
        <w:rPr>
          <w:rFonts w:ascii="Arial" w:hAnsi="Arial" w:cs="Arial"/>
          <w:b w:val="0"/>
          <w:color w:val="242121"/>
        </w:rPr>
        <w:t>, given by the</w:t>
      </w:r>
      <w:r w:rsidRPr="000D7782">
        <w:rPr>
          <w:rFonts w:ascii="Arial" w:hAnsi="Arial" w:cs="Arial"/>
          <w:b w:val="0"/>
          <w:i/>
          <w:color w:val="242121"/>
        </w:rPr>
        <w:t xml:space="preserve"> </w:t>
      </w:r>
      <w:r w:rsidRPr="000D7782">
        <w:rPr>
          <w:rFonts w:ascii="Arial" w:hAnsi="Arial" w:cs="Arial"/>
          <w:b w:val="0"/>
          <w:color w:val="242121"/>
        </w:rPr>
        <w:t>Gauteng Local Division</w:t>
      </w:r>
      <w:r w:rsidRPr="000D7782">
        <w:rPr>
          <w:rFonts w:ascii="Arial" w:hAnsi="Arial" w:cs="Arial"/>
          <w:b w:val="0"/>
          <w:color w:val="auto"/>
        </w:rPr>
        <w:t>, with regard to some of the issues that arose in these proceedings</w:t>
      </w:r>
      <w:r w:rsidR="004320CA">
        <w:rPr>
          <w:rFonts w:ascii="Arial" w:hAnsi="Arial" w:cs="Arial"/>
          <w:b w:val="0"/>
          <w:color w:val="auto"/>
        </w:rPr>
        <w:t xml:space="preserve">.  </w:t>
      </w:r>
      <w:r w:rsidRPr="000D7782">
        <w:rPr>
          <w:rStyle w:val="FootnoteReference"/>
          <w:rFonts w:ascii="Arial" w:hAnsi="Arial" w:cs="Arial"/>
          <w:b w:val="0"/>
          <w:color w:val="auto"/>
        </w:rPr>
        <w:footnoteReference w:id="6"/>
      </w:r>
      <w:r w:rsidRPr="000D7782">
        <w:rPr>
          <w:rFonts w:ascii="Arial" w:hAnsi="Arial" w:cs="Arial"/>
          <w:b w:val="0"/>
          <w:color w:val="auto"/>
        </w:rPr>
        <w:t xml:space="preserve"> </w:t>
      </w:r>
    </w:p>
    <w:p w:rsidR="0010392A" w:rsidRDefault="0010392A" w:rsidP="00FE32B1">
      <w:pPr>
        <w:pStyle w:val="Level1"/>
        <w:numPr>
          <w:ilvl w:val="0"/>
          <w:numId w:val="0"/>
        </w:numPr>
        <w:spacing w:line="360" w:lineRule="auto"/>
        <w:contextualSpacing/>
        <w:jc w:val="both"/>
        <w:rPr>
          <w:rFonts w:ascii="Arial" w:hAnsi="Arial" w:cs="Arial"/>
          <w:color w:val="auto"/>
        </w:rPr>
      </w:pPr>
    </w:p>
    <w:p w:rsidR="00187486" w:rsidRPr="000D7782" w:rsidRDefault="00187486" w:rsidP="00FE32B1">
      <w:pPr>
        <w:pStyle w:val="Level1"/>
        <w:numPr>
          <w:ilvl w:val="0"/>
          <w:numId w:val="0"/>
        </w:numPr>
        <w:spacing w:line="360" w:lineRule="auto"/>
        <w:contextualSpacing/>
        <w:jc w:val="both"/>
        <w:rPr>
          <w:rFonts w:ascii="Arial" w:hAnsi="Arial" w:cs="Arial"/>
          <w:color w:val="auto"/>
        </w:rPr>
      </w:pPr>
    </w:p>
    <w:p w:rsidR="0010392A" w:rsidRPr="001F70B4" w:rsidRDefault="0010392A" w:rsidP="00FE32B1">
      <w:pPr>
        <w:pStyle w:val="Level1"/>
        <w:numPr>
          <w:ilvl w:val="0"/>
          <w:numId w:val="0"/>
        </w:numPr>
        <w:spacing w:line="360" w:lineRule="auto"/>
        <w:contextualSpacing/>
        <w:jc w:val="both"/>
        <w:rPr>
          <w:rFonts w:ascii="Arial" w:hAnsi="Arial" w:cs="Arial"/>
          <w:color w:val="auto"/>
        </w:rPr>
      </w:pPr>
      <w:r w:rsidRPr="000D7782">
        <w:rPr>
          <w:rFonts w:ascii="Arial" w:hAnsi="Arial" w:cs="Arial"/>
          <w:color w:val="auto"/>
          <w:u w:val="single"/>
        </w:rPr>
        <w:lastRenderedPageBreak/>
        <w:t>CONDONATION AND URGENCY</w:t>
      </w:r>
      <w:r w:rsidR="001F70B4">
        <w:rPr>
          <w:rFonts w:ascii="Arial" w:hAnsi="Arial" w:cs="Arial"/>
          <w:color w:val="auto"/>
        </w:rPr>
        <w:t>:</w:t>
      </w:r>
    </w:p>
    <w:p w:rsidR="0010392A" w:rsidRPr="000D7782" w:rsidRDefault="0010392A" w:rsidP="00FE32B1">
      <w:pPr>
        <w:pStyle w:val="Level1"/>
        <w:numPr>
          <w:ilvl w:val="0"/>
          <w:numId w:val="0"/>
        </w:numPr>
        <w:spacing w:line="360" w:lineRule="auto"/>
        <w:contextualSpacing/>
        <w:jc w:val="both"/>
        <w:rPr>
          <w:rFonts w:ascii="Arial" w:hAnsi="Arial" w:cs="Arial"/>
          <w:color w:val="auto"/>
        </w:rPr>
      </w:pPr>
    </w:p>
    <w:p w:rsidR="0010392A" w:rsidRPr="000D7782" w:rsidRDefault="0010392A" w:rsidP="00FE32B1">
      <w:pPr>
        <w:pStyle w:val="Level1"/>
        <w:numPr>
          <w:ilvl w:val="0"/>
          <w:numId w:val="2"/>
        </w:numPr>
        <w:spacing w:line="360" w:lineRule="auto"/>
        <w:ind w:left="851" w:hanging="851"/>
        <w:contextualSpacing/>
        <w:jc w:val="both"/>
        <w:rPr>
          <w:rFonts w:ascii="Arial" w:hAnsi="Arial" w:cs="Arial"/>
          <w:b w:val="0"/>
          <w:color w:val="auto"/>
        </w:rPr>
      </w:pPr>
      <w:r w:rsidRPr="000D7782">
        <w:rPr>
          <w:rFonts w:ascii="Arial" w:hAnsi="Arial" w:cs="Arial"/>
          <w:b w:val="0"/>
          <w:color w:val="auto"/>
        </w:rPr>
        <w:t>The respondents sought condonation for the late filing of their answering affidavit</w:t>
      </w:r>
      <w:r w:rsidR="004320CA">
        <w:rPr>
          <w:rFonts w:ascii="Arial" w:hAnsi="Arial" w:cs="Arial"/>
          <w:b w:val="0"/>
          <w:color w:val="auto"/>
        </w:rPr>
        <w:t xml:space="preserve">.  </w:t>
      </w:r>
      <w:r w:rsidRPr="000D7782">
        <w:rPr>
          <w:rFonts w:ascii="Arial" w:hAnsi="Arial" w:cs="Arial"/>
          <w:b w:val="0"/>
          <w:color w:val="auto"/>
        </w:rPr>
        <w:t>The applicant did not resist</w:t>
      </w:r>
      <w:r w:rsidR="004320CA">
        <w:rPr>
          <w:rFonts w:ascii="Arial" w:hAnsi="Arial" w:cs="Arial"/>
          <w:b w:val="0"/>
          <w:color w:val="auto"/>
        </w:rPr>
        <w:t xml:space="preserve">.  </w:t>
      </w:r>
      <w:r w:rsidRPr="000D7782">
        <w:rPr>
          <w:rFonts w:ascii="Arial" w:hAnsi="Arial" w:cs="Arial"/>
          <w:b w:val="0"/>
          <w:color w:val="auto"/>
        </w:rPr>
        <w:t>Condonation was granted</w:t>
      </w:r>
      <w:r w:rsidR="004320CA">
        <w:rPr>
          <w:rFonts w:ascii="Arial" w:hAnsi="Arial" w:cs="Arial"/>
          <w:b w:val="0"/>
          <w:color w:val="auto"/>
        </w:rPr>
        <w:t xml:space="preserve">.  </w:t>
      </w:r>
      <w:r w:rsidRPr="000D7782">
        <w:rPr>
          <w:rFonts w:ascii="Arial" w:hAnsi="Arial" w:cs="Arial"/>
          <w:b w:val="0"/>
          <w:color w:val="auto"/>
        </w:rPr>
        <w:t>As regards urgency, it was contended for the respondents that the matter should not be heard urgently, not only because the urgency is self-created, but also because the applicant has failed to place relevant material facts pertaining to urgency before this Court</w:t>
      </w:r>
      <w:r w:rsidR="004320CA">
        <w:rPr>
          <w:rFonts w:ascii="Arial" w:hAnsi="Arial" w:cs="Arial"/>
          <w:b w:val="0"/>
          <w:color w:val="auto"/>
        </w:rPr>
        <w:t xml:space="preserve">.  </w:t>
      </w:r>
    </w:p>
    <w:p w:rsidR="0010392A" w:rsidRPr="000D7782" w:rsidRDefault="0010392A" w:rsidP="00FE32B1">
      <w:pPr>
        <w:pStyle w:val="Level1"/>
        <w:numPr>
          <w:ilvl w:val="0"/>
          <w:numId w:val="0"/>
        </w:numPr>
        <w:spacing w:line="360" w:lineRule="auto"/>
        <w:ind w:left="851"/>
        <w:contextualSpacing/>
        <w:jc w:val="both"/>
        <w:rPr>
          <w:rFonts w:ascii="Arial" w:hAnsi="Arial" w:cs="Arial"/>
          <w:b w:val="0"/>
          <w:color w:val="auto"/>
        </w:rPr>
      </w:pPr>
    </w:p>
    <w:p w:rsidR="0010392A" w:rsidRPr="000D7782" w:rsidRDefault="0010392A" w:rsidP="00FE32B1">
      <w:pPr>
        <w:pStyle w:val="Level1"/>
        <w:numPr>
          <w:ilvl w:val="0"/>
          <w:numId w:val="2"/>
        </w:numPr>
        <w:spacing w:line="360" w:lineRule="auto"/>
        <w:ind w:left="851" w:hanging="851"/>
        <w:contextualSpacing/>
        <w:jc w:val="both"/>
        <w:rPr>
          <w:rFonts w:ascii="Arial" w:hAnsi="Arial" w:cs="Arial"/>
          <w:b w:val="0"/>
          <w:color w:val="auto"/>
        </w:rPr>
      </w:pPr>
      <w:r w:rsidRPr="000D7782">
        <w:rPr>
          <w:rFonts w:ascii="Arial" w:hAnsi="Arial" w:cs="Arial"/>
          <w:b w:val="0"/>
          <w:color w:val="auto"/>
        </w:rPr>
        <w:t>The respondent also contended that lodging this application urgently was entirely unnecessary as the applicant had not exhausted certain internal remedies</w:t>
      </w:r>
      <w:r w:rsidR="004320CA">
        <w:rPr>
          <w:rFonts w:ascii="Arial" w:hAnsi="Arial" w:cs="Arial"/>
          <w:b w:val="0"/>
          <w:color w:val="auto"/>
        </w:rPr>
        <w:t xml:space="preserve">.  </w:t>
      </w:r>
      <w:r w:rsidRPr="000D7782">
        <w:rPr>
          <w:rFonts w:ascii="Arial" w:hAnsi="Arial" w:cs="Arial"/>
          <w:b w:val="0"/>
          <w:color w:val="auto"/>
        </w:rPr>
        <w:t>It is on these bases alone that it was submitted for the respondents that the application should be dismissed, alternatively struck from the roll for lack of urgency</w:t>
      </w:r>
      <w:r w:rsidR="004320CA">
        <w:rPr>
          <w:rFonts w:ascii="Arial" w:hAnsi="Arial" w:cs="Arial"/>
          <w:b w:val="0"/>
          <w:color w:val="auto"/>
        </w:rPr>
        <w:t xml:space="preserve">.  </w:t>
      </w:r>
      <w:r w:rsidRPr="000D7782">
        <w:rPr>
          <w:rFonts w:ascii="Arial" w:hAnsi="Arial" w:cs="Arial"/>
          <w:b w:val="0"/>
          <w:color w:val="auto"/>
        </w:rPr>
        <w:t>Queerly, the respondents have not specified as to which internal remedies these are.</w:t>
      </w:r>
    </w:p>
    <w:p w:rsidR="0010392A" w:rsidRPr="000D7782" w:rsidRDefault="0010392A" w:rsidP="00FE32B1">
      <w:pPr>
        <w:pStyle w:val="Level1"/>
        <w:numPr>
          <w:ilvl w:val="0"/>
          <w:numId w:val="0"/>
        </w:numPr>
        <w:spacing w:line="360" w:lineRule="auto"/>
        <w:ind w:left="851"/>
        <w:contextualSpacing/>
        <w:jc w:val="both"/>
        <w:rPr>
          <w:rFonts w:ascii="Arial" w:hAnsi="Arial" w:cs="Arial"/>
          <w:b w:val="0"/>
          <w:color w:val="auto"/>
        </w:rPr>
      </w:pPr>
    </w:p>
    <w:p w:rsidR="0010392A" w:rsidRPr="000D7782" w:rsidRDefault="00555EC8" w:rsidP="00FE32B1">
      <w:pPr>
        <w:pStyle w:val="Level1"/>
        <w:numPr>
          <w:ilvl w:val="0"/>
          <w:numId w:val="2"/>
        </w:numPr>
        <w:spacing w:line="360" w:lineRule="auto"/>
        <w:ind w:left="851" w:hanging="851"/>
        <w:contextualSpacing/>
        <w:jc w:val="both"/>
        <w:rPr>
          <w:rFonts w:ascii="Arial" w:hAnsi="Arial" w:cs="Arial"/>
          <w:b w:val="0"/>
          <w:color w:val="auto"/>
        </w:rPr>
      </w:pPr>
      <w:r>
        <w:rPr>
          <w:rFonts w:ascii="Arial" w:hAnsi="Arial" w:cs="Arial"/>
          <w:b w:val="0"/>
          <w:color w:val="auto"/>
        </w:rPr>
        <w:t>The applicant, for its own</w:t>
      </w:r>
      <w:r w:rsidR="0010392A" w:rsidRPr="000D7782">
        <w:rPr>
          <w:rFonts w:ascii="Arial" w:hAnsi="Arial" w:cs="Arial"/>
          <w:b w:val="0"/>
          <w:color w:val="auto"/>
        </w:rPr>
        <w:t xml:space="preserve"> part</w:t>
      </w:r>
      <w:r>
        <w:rPr>
          <w:rFonts w:ascii="Arial" w:hAnsi="Arial" w:cs="Arial"/>
          <w:b w:val="0"/>
          <w:color w:val="auto"/>
        </w:rPr>
        <w:t>,</w:t>
      </w:r>
      <w:r w:rsidR="0010392A" w:rsidRPr="000D7782">
        <w:rPr>
          <w:rFonts w:ascii="Arial" w:hAnsi="Arial" w:cs="Arial"/>
          <w:b w:val="0"/>
          <w:color w:val="auto"/>
        </w:rPr>
        <w:t xml:space="preserve"> contended as follows in this regard</w:t>
      </w:r>
      <w:r w:rsidR="004320CA">
        <w:rPr>
          <w:rFonts w:ascii="Arial" w:hAnsi="Arial" w:cs="Arial"/>
          <w:b w:val="0"/>
          <w:color w:val="auto"/>
        </w:rPr>
        <w:t xml:space="preserve">.  </w:t>
      </w:r>
      <w:r w:rsidR="0010392A" w:rsidRPr="000D7782">
        <w:rPr>
          <w:rFonts w:ascii="Arial" w:hAnsi="Arial" w:cs="Arial"/>
          <w:b w:val="0"/>
          <w:color w:val="auto"/>
        </w:rPr>
        <w:t>That this motion is urgent by its very nature because the applicant is currently incarcerated arbitrarily and unconstitutionally due to the respondents’ misinterpretation of the relevant Presidential Proclamation and miscalculation of his minimum detention period</w:t>
      </w:r>
      <w:r w:rsidR="004320CA">
        <w:rPr>
          <w:rFonts w:ascii="Arial" w:hAnsi="Arial" w:cs="Arial"/>
          <w:b w:val="0"/>
          <w:color w:val="auto"/>
        </w:rPr>
        <w:t xml:space="preserve">.  </w:t>
      </w:r>
      <w:r w:rsidR="0010392A" w:rsidRPr="000D7782">
        <w:rPr>
          <w:rFonts w:ascii="Arial" w:hAnsi="Arial" w:cs="Arial"/>
          <w:b w:val="0"/>
          <w:color w:val="auto"/>
        </w:rPr>
        <w:t>That he unsuccessfully challenged these irrational decisions internally and has exhausted all avenues</w:t>
      </w:r>
      <w:r w:rsidR="004320CA">
        <w:rPr>
          <w:rFonts w:ascii="Arial" w:hAnsi="Arial" w:cs="Arial"/>
          <w:b w:val="0"/>
          <w:color w:val="auto"/>
        </w:rPr>
        <w:t xml:space="preserve">.  </w:t>
      </w:r>
      <w:r w:rsidR="0010392A" w:rsidRPr="000D7782">
        <w:rPr>
          <w:rFonts w:ascii="Arial" w:hAnsi="Arial" w:cs="Arial"/>
          <w:b w:val="0"/>
          <w:color w:val="auto"/>
        </w:rPr>
        <w:t>That the foregoing notwithstanding, he still remains incarcerated, which constitutes an unlawful denial of his fundamental right to liberty and freedom of movement</w:t>
      </w:r>
      <w:r w:rsidR="004320CA">
        <w:rPr>
          <w:rFonts w:ascii="Arial" w:hAnsi="Arial" w:cs="Arial"/>
          <w:b w:val="0"/>
          <w:color w:val="auto"/>
        </w:rPr>
        <w:t xml:space="preserve">.  </w:t>
      </w:r>
    </w:p>
    <w:p w:rsidR="0010392A" w:rsidRPr="000D7782" w:rsidRDefault="0010392A" w:rsidP="00FE32B1">
      <w:pPr>
        <w:pStyle w:val="Level1"/>
        <w:numPr>
          <w:ilvl w:val="0"/>
          <w:numId w:val="0"/>
        </w:numPr>
        <w:spacing w:line="360" w:lineRule="auto"/>
        <w:contextualSpacing/>
        <w:jc w:val="both"/>
        <w:rPr>
          <w:rFonts w:ascii="Arial" w:hAnsi="Arial" w:cs="Arial"/>
          <w:b w:val="0"/>
          <w:color w:val="auto"/>
        </w:rPr>
      </w:pPr>
    </w:p>
    <w:p w:rsidR="0010392A" w:rsidRPr="000D7782" w:rsidRDefault="0010392A" w:rsidP="00FE32B1">
      <w:pPr>
        <w:pStyle w:val="Level1"/>
        <w:numPr>
          <w:ilvl w:val="0"/>
          <w:numId w:val="2"/>
        </w:numPr>
        <w:spacing w:line="360" w:lineRule="auto"/>
        <w:ind w:left="851" w:hanging="851"/>
        <w:contextualSpacing/>
        <w:jc w:val="both"/>
        <w:rPr>
          <w:rFonts w:ascii="Arial" w:hAnsi="Arial" w:cs="Arial"/>
          <w:b w:val="0"/>
          <w:color w:val="auto"/>
        </w:rPr>
      </w:pPr>
      <w:r w:rsidRPr="000D7782">
        <w:rPr>
          <w:rFonts w:ascii="Arial" w:hAnsi="Arial" w:cs="Arial"/>
          <w:b w:val="0"/>
          <w:color w:val="auto"/>
        </w:rPr>
        <w:t>He averred that the matter was</w:t>
      </w:r>
      <w:r w:rsidR="00555EC8">
        <w:rPr>
          <w:rFonts w:ascii="Arial" w:hAnsi="Arial" w:cs="Arial"/>
          <w:b w:val="0"/>
          <w:color w:val="auto"/>
        </w:rPr>
        <w:t xml:space="preserve"> therefore</w:t>
      </w:r>
      <w:r w:rsidRPr="000D7782">
        <w:rPr>
          <w:rFonts w:ascii="Arial" w:hAnsi="Arial" w:cs="Arial"/>
          <w:b w:val="0"/>
          <w:color w:val="auto"/>
        </w:rPr>
        <w:t xml:space="preserve"> manifestly urgent</w:t>
      </w:r>
      <w:r w:rsidR="004320CA">
        <w:rPr>
          <w:rFonts w:ascii="Arial" w:hAnsi="Arial" w:cs="Arial"/>
          <w:b w:val="0"/>
          <w:color w:val="auto"/>
        </w:rPr>
        <w:t xml:space="preserve">.  </w:t>
      </w:r>
      <w:r w:rsidRPr="000D7782">
        <w:rPr>
          <w:rFonts w:ascii="Arial" w:hAnsi="Arial" w:cs="Arial"/>
          <w:b w:val="0"/>
          <w:color w:val="auto"/>
        </w:rPr>
        <w:t>That regard being had to the relief sought, any further delay in hearing this application would not only be prejudicial to him but also render same ineffective</w:t>
      </w:r>
      <w:r w:rsidR="004320CA">
        <w:rPr>
          <w:rFonts w:ascii="Arial" w:hAnsi="Arial" w:cs="Arial"/>
          <w:b w:val="0"/>
          <w:color w:val="auto"/>
        </w:rPr>
        <w:t xml:space="preserve">.  </w:t>
      </w:r>
      <w:r w:rsidRPr="000D7782">
        <w:rPr>
          <w:rFonts w:ascii="Arial" w:hAnsi="Arial" w:cs="Arial"/>
          <w:b w:val="0"/>
          <w:color w:val="auto"/>
        </w:rPr>
        <w:t>He also maintained that it is so given the fact that he is still incarcerated notwithstanding the fact that he qualifies to be released on parole in terms of the said Proclamation</w:t>
      </w:r>
      <w:r w:rsidR="004320CA">
        <w:rPr>
          <w:rFonts w:ascii="Arial" w:hAnsi="Arial" w:cs="Arial"/>
          <w:b w:val="0"/>
          <w:color w:val="auto"/>
        </w:rPr>
        <w:t xml:space="preserve">.  </w:t>
      </w:r>
    </w:p>
    <w:p w:rsidR="0010392A" w:rsidRPr="000D7782" w:rsidRDefault="0010392A" w:rsidP="00FE32B1">
      <w:pPr>
        <w:pStyle w:val="Level1"/>
        <w:numPr>
          <w:ilvl w:val="0"/>
          <w:numId w:val="0"/>
        </w:numPr>
        <w:spacing w:line="360" w:lineRule="auto"/>
        <w:ind w:left="851"/>
        <w:contextualSpacing/>
        <w:jc w:val="both"/>
        <w:rPr>
          <w:rFonts w:ascii="Arial" w:hAnsi="Arial" w:cs="Arial"/>
          <w:b w:val="0"/>
          <w:color w:val="auto"/>
        </w:rPr>
      </w:pPr>
    </w:p>
    <w:p w:rsidR="0010392A" w:rsidRPr="000D7782" w:rsidRDefault="0010392A" w:rsidP="00FE32B1">
      <w:pPr>
        <w:pStyle w:val="Level1"/>
        <w:numPr>
          <w:ilvl w:val="0"/>
          <w:numId w:val="2"/>
        </w:numPr>
        <w:spacing w:line="360" w:lineRule="auto"/>
        <w:ind w:left="851" w:hanging="851"/>
        <w:contextualSpacing/>
        <w:jc w:val="both"/>
        <w:rPr>
          <w:rFonts w:ascii="Arial" w:hAnsi="Arial" w:cs="Arial"/>
          <w:b w:val="0"/>
          <w:color w:val="auto"/>
        </w:rPr>
      </w:pPr>
      <w:r w:rsidRPr="000D7782">
        <w:rPr>
          <w:rFonts w:ascii="Arial" w:hAnsi="Arial" w:cs="Arial"/>
          <w:b w:val="0"/>
          <w:color w:val="auto"/>
        </w:rPr>
        <w:t xml:space="preserve">It is trite by now that our Courts are cardinally enjoined </w:t>
      </w:r>
      <w:r w:rsidRPr="000D7782">
        <w:rPr>
          <w:rFonts w:ascii="Arial" w:hAnsi="Arial" w:cs="Arial"/>
          <w:b w:val="0"/>
          <w:i/>
          <w:color w:val="auto"/>
        </w:rPr>
        <w:t>vide</w:t>
      </w:r>
      <w:r w:rsidRPr="000D7782">
        <w:rPr>
          <w:rFonts w:ascii="Arial" w:hAnsi="Arial" w:cs="Arial"/>
          <w:b w:val="0"/>
          <w:color w:val="auto"/>
        </w:rPr>
        <w:t xml:space="preserve"> </w:t>
      </w:r>
      <w:r w:rsidR="001F70B4">
        <w:rPr>
          <w:rFonts w:ascii="Arial" w:hAnsi="Arial" w:cs="Arial"/>
          <w:b w:val="0"/>
          <w:color w:val="auto"/>
        </w:rPr>
        <w:t>Section</w:t>
      </w:r>
      <w:r w:rsidRPr="000D7782">
        <w:rPr>
          <w:rFonts w:ascii="Arial" w:hAnsi="Arial" w:cs="Arial"/>
          <w:b w:val="0"/>
          <w:color w:val="auto"/>
        </w:rPr>
        <w:t xml:space="preserve"> 39(2) of the Constitution, when interpreting any legislation, and when developing the common law or customary law</w:t>
      </w:r>
      <w:r w:rsidR="00555EC8">
        <w:rPr>
          <w:rFonts w:ascii="Arial" w:hAnsi="Arial" w:cs="Arial"/>
          <w:b w:val="0"/>
          <w:color w:val="auto"/>
        </w:rPr>
        <w:t>,</w:t>
      </w:r>
      <w:r w:rsidRPr="000D7782">
        <w:rPr>
          <w:rFonts w:ascii="Arial" w:hAnsi="Arial" w:cs="Arial"/>
          <w:b w:val="0"/>
          <w:color w:val="auto"/>
        </w:rPr>
        <w:t xml:space="preserve"> to promote the objects of the Bill of Rights</w:t>
      </w:r>
      <w:r w:rsidR="004320CA">
        <w:rPr>
          <w:rFonts w:ascii="Arial" w:hAnsi="Arial" w:cs="Arial"/>
          <w:b w:val="0"/>
          <w:color w:val="auto"/>
        </w:rPr>
        <w:t xml:space="preserve">.  </w:t>
      </w:r>
      <w:r w:rsidRPr="000D7782">
        <w:rPr>
          <w:rFonts w:ascii="Arial" w:hAnsi="Arial" w:cs="Arial"/>
          <w:b w:val="0"/>
          <w:color w:val="auto"/>
        </w:rPr>
        <w:t xml:space="preserve">It </w:t>
      </w:r>
      <w:r w:rsidRPr="000D7782">
        <w:rPr>
          <w:rFonts w:ascii="Arial" w:hAnsi="Arial" w:cs="Arial"/>
          <w:b w:val="0"/>
          <w:color w:val="auto"/>
        </w:rPr>
        <w:lastRenderedPageBreak/>
        <w:t>has been held that a violation of a person’s privacy and dignity in such a manner that he or she could not be expected to endure the anxiety and embarrassment of a continued violation, created some degree of urgency which justified a hearing of an application out of turn.</w:t>
      </w:r>
      <w:r w:rsidRPr="000D7782">
        <w:rPr>
          <w:rStyle w:val="FootnoteReference"/>
          <w:rFonts w:ascii="Arial" w:hAnsi="Arial" w:cs="Arial"/>
          <w:b w:val="0"/>
          <w:color w:val="auto"/>
        </w:rPr>
        <w:footnoteReference w:id="7"/>
      </w:r>
      <w:r w:rsidRPr="000D7782">
        <w:rPr>
          <w:rFonts w:ascii="Arial" w:hAnsi="Arial" w:cs="Arial"/>
          <w:b w:val="0"/>
          <w:color w:val="auto"/>
        </w:rPr>
        <w:t xml:space="preserve"> By par</w:t>
      </w:r>
      <w:r w:rsidR="00555EC8">
        <w:rPr>
          <w:rFonts w:ascii="Arial" w:hAnsi="Arial" w:cs="Arial"/>
          <w:b w:val="0"/>
          <w:color w:val="auto"/>
        </w:rPr>
        <w:t>i</w:t>
      </w:r>
      <w:r w:rsidRPr="000D7782">
        <w:rPr>
          <w:rFonts w:ascii="Arial" w:hAnsi="Arial" w:cs="Arial"/>
          <w:b w:val="0"/>
          <w:color w:val="auto"/>
        </w:rPr>
        <w:t>ty of reason, the same applies in this case because it also implicates one of the fundamental right contained in the Bill of Rights i.e</w:t>
      </w:r>
      <w:r w:rsidR="004320CA">
        <w:rPr>
          <w:rFonts w:ascii="Arial" w:hAnsi="Arial" w:cs="Arial"/>
          <w:b w:val="0"/>
          <w:color w:val="auto"/>
        </w:rPr>
        <w:t xml:space="preserve">.  </w:t>
      </w:r>
      <w:proofErr w:type="gramStart"/>
      <w:r w:rsidRPr="000D7782">
        <w:rPr>
          <w:rFonts w:ascii="Arial" w:hAnsi="Arial" w:cs="Arial"/>
          <w:b w:val="0"/>
          <w:color w:val="auto"/>
        </w:rPr>
        <w:t>the</w:t>
      </w:r>
      <w:proofErr w:type="gramEnd"/>
      <w:r w:rsidRPr="000D7782">
        <w:rPr>
          <w:rFonts w:ascii="Arial" w:hAnsi="Arial" w:cs="Arial"/>
          <w:b w:val="0"/>
          <w:color w:val="auto"/>
        </w:rPr>
        <w:t xml:space="preserve"> right to freedom and security of the person, which includes the right not to be deprived of freedom arbitrarily or without just cause.</w:t>
      </w:r>
      <w:r w:rsidRPr="000D7782">
        <w:rPr>
          <w:rStyle w:val="FootnoteReference"/>
          <w:rFonts w:ascii="Arial" w:hAnsi="Arial" w:cs="Arial"/>
          <w:b w:val="0"/>
          <w:color w:val="auto"/>
        </w:rPr>
        <w:footnoteReference w:id="8"/>
      </w:r>
      <w:r w:rsidRPr="000D7782">
        <w:rPr>
          <w:rFonts w:ascii="Arial" w:hAnsi="Arial" w:cs="Arial"/>
          <w:b w:val="0"/>
          <w:color w:val="auto"/>
        </w:rPr>
        <w:t xml:space="preserve"> </w:t>
      </w:r>
    </w:p>
    <w:p w:rsidR="0010392A" w:rsidRPr="000D7782" w:rsidRDefault="0010392A" w:rsidP="00FE32B1">
      <w:pPr>
        <w:pStyle w:val="Level1"/>
        <w:numPr>
          <w:ilvl w:val="0"/>
          <w:numId w:val="0"/>
        </w:numPr>
        <w:spacing w:line="360" w:lineRule="auto"/>
        <w:ind w:left="720"/>
        <w:contextualSpacing/>
        <w:jc w:val="both"/>
        <w:rPr>
          <w:rFonts w:ascii="Arial" w:hAnsi="Arial" w:cs="Arial"/>
          <w:b w:val="0"/>
          <w:color w:val="auto"/>
        </w:rPr>
      </w:pPr>
    </w:p>
    <w:p w:rsidR="0010392A" w:rsidRPr="000D7782" w:rsidRDefault="0010392A" w:rsidP="00FE32B1">
      <w:pPr>
        <w:pStyle w:val="Level1"/>
        <w:numPr>
          <w:ilvl w:val="0"/>
          <w:numId w:val="2"/>
        </w:numPr>
        <w:spacing w:line="360" w:lineRule="auto"/>
        <w:ind w:left="851" w:hanging="851"/>
        <w:contextualSpacing/>
        <w:jc w:val="both"/>
        <w:rPr>
          <w:rFonts w:ascii="Arial" w:hAnsi="Arial" w:cs="Arial"/>
          <w:b w:val="0"/>
          <w:color w:val="auto"/>
        </w:rPr>
      </w:pPr>
      <w:r w:rsidRPr="000D7782">
        <w:rPr>
          <w:rFonts w:ascii="Arial" w:hAnsi="Arial" w:cs="Arial"/>
          <w:b w:val="0"/>
          <w:color w:val="auto"/>
        </w:rPr>
        <w:t>This Court was therefore constrained to determine the matter to be urgent.</w:t>
      </w:r>
    </w:p>
    <w:p w:rsidR="0010392A" w:rsidRPr="000D7782" w:rsidRDefault="0010392A" w:rsidP="00FE32B1">
      <w:pPr>
        <w:pStyle w:val="Level1"/>
        <w:numPr>
          <w:ilvl w:val="0"/>
          <w:numId w:val="0"/>
        </w:numPr>
        <w:spacing w:line="360" w:lineRule="auto"/>
        <w:contextualSpacing/>
        <w:jc w:val="both"/>
        <w:rPr>
          <w:rFonts w:ascii="Arial" w:hAnsi="Arial" w:cs="Arial"/>
          <w:color w:val="auto"/>
        </w:rPr>
      </w:pPr>
    </w:p>
    <w:p w:rsidR="0010392A" w:rsidRPr="00884096" w:rsidRDefault="0010392A" w:rsidP="00FE32B1">
      <w:pPr>
        <w:pStyle w:val="Level1"/>
        <w:numPr>
          <w:ilvl w:val="0"/>
          <w:numId w:val="0"/>
        </w:numPr>
        <w:spacing w:line="360" w:lineRule="auto"/>
        <w:contextualSpacing/>
        <w:jc w:val="both"/>
        <w:rPr>
          <w:rFonts w:ascii="Arial" w:hAnsi="Arial" w:cs="Arial"/>
          <w:color w:val="auto"/>
        </w:rPr>
      </w:pPr>
      <w:r w:rsidRPr="000D7782">
        <w:rPr>
          <w:rFonts w:ascii="Arial" w:hAnsi="Arial" w:cs="Arial"/>
          <w:color w:val="auto"/>
          <w:u w:val="single"/>
        </w:rPr>
        <w:t>ISSUES FOR DETERMINATION</w:t>
      </w:r>
      <w:r w:rsidR="00884096">
        <w:rPr>
          <w:rFonts w:ascii="Arial" w:hAnsi="Arial" w:cs="Arial"/>
          <w:color w:val="auto"/>
        </w:rPr>
        <w:t>:</w:t>
      </w:r>
    </w:p>
    <w:p w:rsidR="0010392A" w:rsidRPr="000D7782" w:rsidRDefault="0010392A" w:rsidP="00FE32B1">
      <w:pPr>
        <w:pStyle w:val="Level1"/>
        <w:numPr>
          <w:ilvl w:val="0"/>
          <w:numId w:val="0"/>
        </w:numPr>
        <w:spacing w:line="360" w:lineRule="auto"/>
        <w:contextualSpacing/>
        <w:jc w:val="both"/>
        <w:rPr>
          <w:rFonts w:ascii="Arial" w:hAnsi="Arial" w:cs="Arial"/>
          <w:color w:val="auto"/>
        </w:rPr>
      </w:pPr>
    </w:p>
    <w:p w:rsidR="0010392A" w:rsidRPr="000D7782" w:rsidRDefault="0010392A" w:rsidP="00FE32B1">
      <w:pPr>
        <w:pStyle w:val="Level1"/>
        <w:numPr>
          <w:ilvl w:val="0"/>
          <w:numId w:val="2"/>
        </w:numPr>
        <w:spacing w:line="360" w:lineRule="auto"/>
        <w:ind w:left="851" w:hanging="851"/>
        <w:contextualSpacing/>
        <w:jc w:val="both"/>
        <w:rPr>
          <w:rFonts w:ascii="Arial" w:hAnsi="Arial" w:cs="Arial"/>
          <w:i/>
          <w:color w:val="auto"/>
        </w:rPr>
      </w:pPr>
      <w:r w:rsidRPr="000D7782">
        <w:rPr>
          <w:rFonts w:ascii="Arial" w:hAnsi="Arial" w:cs="Arial"/>
          <w:b w:val="0"/>
          <w:color w:val="auto"/>
        </w:rPr>
        <w:t xml:space="preserve">It was contended in sum for the applicant that there are </w:t>
      </w:r>
      <w:r w:rsidR="00555EC8">
        <w:rPr>
          <w:rFonts w:ascii="Arial" w:hAnsi="Arial" w:cs="Arial"/>
          <w:b w:val="0"/>
          <w:color w:val="auto"/>
        </w:rPr>
        <w:t>essentially three issues that fe</w:t>
      </w:r>
      <w:r w:rsidRPr="000D7782">
        <w:rPr>
          <w:rFonts w:ascii="Arial" w:hAnsi="Arial" w:cs="Arial"/>
          <w:b w:val="0"/>
          <w:color w:val="auto"/>
        </w:rPr>
        <w:t xml:space="preserve">ll for determination, which if decided in his favour, he should be granted the order sought; to </w:t>
      </w:r>
      <w:r w:rsidRPr="000D7782">
        <w:rPr>
          <w:rFonts w:ascii="Arial" w:hAnsi="Arial" w:cs="Arial"/>
          <w:b w:val="0"/>
          <w:i/>
          <w:color w:val="auto"/>
        </w:rPr>
        <w:t>wit</w:t>
      </w:r>
      <w:r w:rsidRPr="000D7782">
        <w:rPr>
          <w:rFonts w:ascii="Arial" w:hAnsi="Arial" w:cs="Arial"/>
          <w:b w:val="0"/>
          <w:color w:val="auto"/>
        </w:rPr>
        <w:t xml:space="preserve">: (a) whether the decision to deny the applicant recognition for meritorious service in terms of </w:t>
      </w:r>
      <w:r w:rsidR="001F70B4">
        <w:rPr>
          <w:rFonts w:ascii="Arial" w:hAnsi="Arial" w:cs="Arial"/>
          <w:b w:val="0"/>
          <w:color w:val="auto"/>
        </w:rPr>
        <w:t>Section</w:t>
      </w:r>
      <w:r w:rsidRPr="000D7782">
        <w:rPr>
          <w:rFonts w:ascii="Arial" w:hAnsi="Arial" w:cs="Arial"/>
          <w:b w:val="0"/>
          <w:color w:val="auto"/>
        </w:rPr>
        <w:t xml:space="preserve"> 80 of the Act, is justified; (b) whether the applicant was placed on a list of offenders who qualified to be released and</w:t>
      </w:r>
      <w:r w:rsidR="00555EC8">
        <w:rPr>
          <w:rFonts w:ascii="Arial" w:hAnsi="Arial" w:cs="Arial"/>
          <w:b w:val="0"/>
          <w:color w:val="auto"/>
        </w:rPr>
        <w:t xml:space="preserve"> if so, whether</w:t>
      </w:r>
      <w:r w:rsidRPr="000D7782">
        <w:rPr>
          <w:rFonts w:ascii="Arial" w:hAnsi="Arial" w:cs="Arial"/>
          <w:b w:val="0"/>
          <w:color w:val="auto"/>
        </w:rPr>
        <w:t xml:space="preserve"> his name subsequently removed arbitrarily; and (c) whether the applicant should have been released under the Covid-19 special dispensation as announced by the President, on 27 April 2020</w:t>
      </w:r>
      <w:r w:rsidR="004320CA">
        <w:rPr>
          <w:rFonts w:ascii="Arial" w:hAnsi="Arial" w:cs="Arial"/>
          <w:b w:val="0"/>
          <w:color w:val="auto"/>
        </w:rPr>
        <w:t xml:space="preserve">.  </w:t>
      </w:r>
    </w:p>
    <w:p w:rsidR="0010392A" w:rsidRPr="000D7782" w:rsidRDefault="0010392A" w:rsidP="00FE32B1">
      <w:pPr>
        <w:pStyle w:val="Level1"/>
        <w:numPr>
          <w:ilvl w:val="0"/>
          <w:numId w:val="0"/>
        </w:numPr>
        <w:spacing w:line="360" w:lineRule="auto"/>
        <w:ind w:left="851"/>
        <w:contextualSpacing/>
        <w:jc w:val="both"/>
        <w:rPr>
          <w:rFonts w:ascii="Arial" w:hAnsi="Arial" w:cs="Arial"/>
          <w:i/>
          <w:color w:val="auto"/>
        </w:rPr>
      </w:pPr>
    </w:p>
    <w:p w:rsidR="0010392A" w:rsidRPr="000D7782" w:rsidRDefault="0010392A" w:rsidP="00FE32B1">
      <w:pPr>
        <w:pStyle w:val="Level1"/>
        <w:numPr>
          <w:ilvl w:val="0"/>
          <w:numId w:val="2"/>
        </w:numPr>
        <w:spacing w:line="360" w:lineRule="auto"/>
        <w:ind w:left="851" w:hanging="851"/>
        <w:contextualSpacing/>
        <w:jc w:val="both"/>
        <w:rPr>
          <w:rFonts w:ascii="Arial" w:hAnsi="Arial" w:cs="Arial"/>
          <w:i/>
          <w:color w:val="auto"/>
        </w:rPr>
      </w:pPr>
      <w:r w:rsidRPr="000D7782">
        <w:rPr>
          <w:rFonts w:ascii="Arial" w:hAnsi="Arial" w:cs="Arial"/>
          <w:b w:val="0"/>
          <w:color w:val="auto"/>
        </w:rPr>
        <w:t>For reasons which will become clear later, these issues will be determined out of turn</w:t>
      </w:r>
      <w:r w:rsidR="004320CA">
        <w:rPr>
          <w:rFonts w:ascii="Arial" w:hAnsi="Arial" w:cs="Arial"/>
          <w:b w:val="0"/>
          <w:color w:val="auto"/>
        </w:rPr>
        <w:t xml:space="preserve">.  </w:t>
      </w:r>
    </w:p>
    <w:p w:rsidR="0010392A" w:rsidRPr="000D7782" w:rsidRDefault="0010392A" w:rsidP="00FE32B1">
      <w:pPr>
        <w:pStyle w:val="Level1"/>
        <w:numPr>
          <w:ilvl w:val="0"/>
          <w:numId w:val="0"/>
        </w:numPr>
        <w:spacing w:line="360" w:lineRule="auto"/>
        <w:contextualSpacing/>
        <w:jc w:val="both"/>
        <w:rPr>
          <w:rFonts w:ascii="Arial" w:hAnsi="Arial" w:cs="Arial"/>
          <w:color w:val="auto"/>
        </w:rPr>
      </w:pPr>
    </w:p>
    <w:p w:rsidR="0010392A" w:rsidRPr="000D7782" w:rsidRDefault="0010392A" w:rsidP="00FE32B1">
      <w:pPr>
        <w:pStyle w:val="Level1"/>
        <w:numPr>
          <w:ilvl w:val="0"/>
          <w:numId w:val="0"/>
        </w:numPr>
        <w:spacing w:line="360" w:lineRule="auto"/>
        <w:contextualSpacing/>
        <w:jc w:val="both"/>
        <w:rPr>
          <w:rFonts w:ascii="Arial" w:hAnsi="Arial" w:cs="Arial"/>
          <w:i/>
          <w:color w:val="auto"/>
        </w:rPr>
      </w:pPr>
      <w:r w:rsidRPr="000D7782">
        <w:rPr>
          <w:rFonts w:ascii="Arial" w:hAnsi="Arial" w:cs="Arial"/>
          <w:i/>
          <w:color w:val="auto"/>
        </w:rPr>
        <w:t>Whether the applicant should have been released under the Covid-19 special dispensation as announced by the President, on 27 April 2020</w:t>
      </w:r>
      <w:r w:rsidR="001F70B4">
        <w:rPr>
          <w:rFonts w:ascii="Arial" w:hAnsi="Arial" w:cs="Arial"/>
          <w:i/>
          <w:color w:val="auto"/>
        </w:rPr>
        <w:t>:</w:t>
      </w:r>
    </w:p>
    <w:p w:rsidR="0010392A" w:rsidRPr="000D7782" w:rsidRDefault="0010392A" w:rsidP="00FE32B1">
      <w:pPr>
        <w:pStyle w:val="Level1"/>
        <w:numPr>
          <w:ilvl w:val="0"/>
          <w:numId w:val="0"/>
        </w:numPr>
        <w:spacing w:line="360" w:lineRule="auto"/>
        <w:contextualSpacing/>
        <w:jc w:val="both"/>
        <w:rPr>
          <w:rFonts w:ascii="Arial" w:hAnsi="Arial" w:cs="Arial"/>
          <w:i/>
          <w:color w:val="auto"/>
        </w:rPr>
      </w:pPr>
      <w:r w:rsidRPr="000D7782">
        <w:rPr>
          <w:rFonts w:ascii="Arial" w:hAnsi="Arial" w:cs="Arial"/>
          <w:i/>
          <w:color w:val="auto"/>
        </w:rPr>
        <w:t xml:space="preserve">  </w:t>
      </w:r>
      <w:r w:rsidRPr="000D7782">
        <w:rPr>
          <w:rFonts w:ascii="Arial" w:hAnsi="Arial" w:cs="Arial"/>
          <w:b w:val="0"/>
          <w:i/>
          <w:color w:val="auto"/>
        </w:rPr>
        <w:t xml:space="preserve"> </w:t>
      </w:r>
    </w:p>
    <w:p w:rsidR="0010392A" w:rsidRPr="000D7782" w:rsidRDefault="0010392A" w:rsidP="00FE32B1">
      <w:pPr>
        <w:pStyle w:val="Level1"/>
        <w:numPr>
          <w:ilvl w:val="0"/>
          <w:numId w:val="2"/>
        </w:numPr>
        <w:spacing w:line="360" w:lineRule="auto"/>
        <w:ind w:left="851" w:hanging="851"/>
        <w:contextualSpacing/>
        <w:jc w:val="both"/>
        <w:rPr>
          <w:rFonts w:ascii="Arial" w:hAnsi="Arial" w:cs="Arial"/>
          <w:color w:val="auto"/>
        </w:rPr>
      </w:pPr>
      <w:r w:rsidRPr="000D7782">
        <w:rPr>
          <w:rFonts w:ascii="Arial" w:hAnsi="Arial" w:cs="Arial"/>
          <w:b w:val="0"/>
          <w:color w:val="auto"/>
        </w:rPr>
        <w:t>It is common cause that the applicant commenced serving his sentence on 27</w:t>
      </w:r>
      <w:r w:rsidR="0018195C">
        <w:rPr>
          <w:rFonts w:ascii="Arial" w:hAnsi="Arial" w:cs="Arial"/>
          <w:b w:val="0"/>
          <w:color w:val="auto"/>
        </w:rPr>
        <w:t> </w:t>
      </w:r>
      <w:r w:rsidRPr="000D7782">
        <w:rPr>
          <w:rFonts w:ascii="Arial" w:hAnsi="Arial" w:cs="Arial"/>
          <w:b w:val="0"/>
          <w:color w:val="auto"/>
        </w:rPr>
        <w:t>November 2018</w:t>
      </w:r>
      <w:r w:rsidR="004320CA">
        <w:rPr>
          <w:rFonts w:ascii="Arial" w:hAnsi="Arial" w:cs="Arial"/>
          <w:b w:val="0"/>
          <w:color w:val="auto"/>
        </w:rPr>
        <w:t xml:space="preserve">.  </w:t>
      </w:r>
      <w:r w:rsidRPr="000D7782">
        <w:rPr>
          <w:rFonts w:ascii="Arial" w:hAnsi="Arial" w:cs="Arial"/>
          <w:b w:val="0"/>
          <w:color w:val="auto"/>
        </w:rPr>
        <w:t xml:space="preserve">The applicant averred that after serving 1 year and 19 days of his 15-years sentence, the President of the Republic, granted all </w:t>
      </w:r>
      <w:r w:rsidRPr="000D7782">
        <w:rPr>
          <w:rFonts w:ascii="Arial" w:hAnsi="Arial" w:cs="Arial"/>
          <w:b w:val="0"/>
          <w:color w:val="auto"/>
        </w:rPr>
        <w:lastRenderedPageBreak/>
        <w:t>prisoners a 24-month Special Remission of Sentence</w:t>
      </w:r>
      <w:r w:rsidR="004320CA">
        <w:rPr>
          <w:rFonts w:ascii="Arial" w:hAnsi="Arial" w:cs="Arial"/>
          <w:b w:val="0"/>
          <w:color w:val="auto"/>
        </w:rPr>
        <w:t xml:space="preserve">.  </w:t>
      </w:r>
      <w:r w:rsidRPr="000D7782">
        <w:rPr>
          <w:rFonts w:ascii="Arial" w:hAnsi="Arial" w:cs="Arial"/>
          <w:b w:val="0"/>
          <w:color w:val="auto"/>
        </w:rPr>
        <w:t>According to the applicant, the import of the foregoing is that as from 17 December 2019, he was no longer serving a 15-year sentence, but 13-years.</w:t>
      </w:r>
    </w:p>
    <w:p w:rsidR="0010392A" w:rsidRPr="000D7782" w:rsidRDefault="0010392A" w:rsidP="00FE32B1">
      <w:pPr>
        <w:pStyle w:val="Level1"/>
        <w:numPr>
          <w:ilvl w:val="0"/>
          <w:numId w:val="0"/>
        </w:numPr>
        <w:spacing w:line="360" w:lineRule="auto"/>
        <w:ind w:left="851"/>
        <w:contextualSpacing/>
        <w:jc w:val="both"/>
        <w:rPr>
          <w:rFonts w:ascii="Arial" w:hAnsi="Arial" w:cs="Arial"/>
          <w:color w:val="auto"/>
        </w:rPr>
      </w:pPr>
    </w:p>
    <w:p w:rsidR="0010392A" w:rsidRPr="000D7782" w:rsidRDefault="0010392A" w:rsidP="00FE32B1">
      <w:pPr>
        <w:pStyle w:val="Level1"/>
        <w:numPr>
          <w:ilvl w:val="0"/>
          <w:numId w:val="2"/>
        </w:numPr>
        <w:spacing w:line="360" w:lineRule="auto"/>
        <w:ind w:left="851" w:hanging="851"/>
        <w:contextualSpacing/>
        <w:jc w:val="both"/>
        <w:rPr>
          <w:rFonts w:ascii="Arial" w:hAnsi="Arial" w:cs="Arial"/>
          <w:b w:val="0"/>
          <w:i/>
          <w:color w:val="auto"/>
        </w:rPr>
      </w:pPr>
      <w:r w:rsidRPr="000D7782">
        <w:rPr>
          <w:rFonts w:ascii="Arial" w:hAnsi="Arial" w:cs="Arial"/>
          <w:b w:val="0"/>
          <w:color w:val="auto"/>
        </w:rPr>
        <w:t xml:space="preserve">Whilst the foregoing allegations are admitted, the deponent to the answering affidavit, who is the </w:t>
      </w:r>
      <w:r w:rsidR="004320CA">
        <w:rPr>
          <w:rFonts w:ascii="Arial" w:hAnsi="Arial" w:cs="Arial"/>
          <w:b w:val="0"/>
          <w:color w:val="auto"/>
        </w:rPr>
        <w:t>Head</w:t>
      </w:r>
      <w:r w:rsidRPr="000D7782">
        <w:rPr>
          <w:rFonts w:ascii="Arial" w:hAnsi="Arial" w:cs="Arial"/>
          <w:b w:val="0"/>
          <w:color w:val="auto"/>
        </w:rPr>
        <w:t xml:space="preserve"> of </w:t>
      </w:r>
      <w:r w:rsidR="004320CA">
        <w:rPr>
          <w:rFonts w:ascii="Arial" w:hAnsi="Arial" w:cs="Arial"/>
          <w:b w:val="0"/>
          <w:color w:val="auto"/>
        </w:rPr>
        <w:t>L</w:t>
      </w:r>
      <w:r w:rsidRPr="000D7782">
        <w:rPr>
          <w:rFonts w:ascii="Arial" w:hAnsi="Arial" w:cs="Arial"/>
          <w:b w:val="0"/>
          <w:color w:val="auto"/>
        </w:rPr>
        <w:t xml:space="preserve">egal </w:t>
      </w:r>
      <w:r w:rsidR="004320CA">
        <w:rPr>
          <w:rFonts w:ascii="Arial" w:hAnsi="Arial" w:cs="Arial"/>
          <w:b w:val="0"/>
          <w:color w:val="auto"/>
        </w:rPr>
        <w:t>S</w:t>
      </w:r>
      <w:r w:rsidRPr="000D7782">
        <w:rPr>
          <w:rFonts w:ascii="Arial" w:hAnsi="Arial" w:cs="Arial"/>
          <w:b w:val="0"/>
          <w:color w:val="auto"/>
        </w:rPr>
        <w:t>ervices of the Department of Correctional Services for Free State and Northern Cape,</w:t>
      </w:r>
      <w:r w:rsidRPr="000D7782">
        <w:rPr>
          <w:rStyle w:val="FootnoteReference"/>
          <w:rFonts w:ascii="Arial" w:hAnsi="Arial" w:cs="Arial"/>
          <w:b w:val="0"/>
          <w:color w:val="auto"/>
        </w:rPr>
        <w:footnoteReference w:id="9"/>
      </w:r>
      <w:r w:rsidRPr="000D7782">
        <w:rPr>
          <w:rFonts w:ascii="Arial" w:hAnsi="Arial" w:cs="Arial"/>
          <w:b w:val="0"/>
          <w:color w:val="auto"/>
        </w:rPr>
        <w:t xml:space="preserve"> swore that he does </w:t>
      </w:r>
      <w:r w:rsidR="00555EC8">
        <w:rPr>
          <w:rFonts w:ascii="Arial" w:hAnsi="Arial" w:cs="Arial"/>
          <w:b w:val="0"/>
          <w:color w:val="auto"/>
        </w:rPr>
        <w:t xml:space="preserve">not </w:t>
      </w:r>
      <w:r w:rsidRPr="000D7782">
        <w:rPr>
          <w:rFonts w:ascii="Arial" w:hAnsi="Arial" w:cs="Arial"/>
          <w:b w:val="0"/>
          <w:color w:val="auto"/>
        </w:rPr>
        <w:t>know the period the applicant had served, when the said remission of sentence by President came into effect and placed same in issue</w:t>
      </w:r>
      <w:r w:rsidR="004320CA">
        <w:rPr>
          <w:rFonts w:ascii="Arial" w:hAnsi="Arial" w:cs="Arial"/>
          <w:b w:val="0"/>
          <w:color w:val="auto"/>
        </w:rPr>
        <w:t xml:space="preserve">.  </w:t>
      </w:r>
      <w:r w:rsidRPr="000D7782">
        <w:rPr>
          <w:rFonts w:ascii="Arial" w:hAnsi="Arial" w:cs="Arial"/>
          <w:b w:val="0"/>
          <w:color w:val="auto"/>
        </w:rPr>
        <w:t>Significantly, in paragraphs 20 and 21 of the founding affidavit, the following is stated</w:t>
      </w:r>
      <w:r w:rsidR="004320CA">
        <w:rPr>
          <w:rFonts w:ascii="Arial" w:hAnsi="Arial" w:cs="Arial"/>
          <w:b w:val="0"/>
          <w:color w:val="auto"/>
        </w:rPr>
        <w:t xml:space="preserve">.  </w:t>
      </w:r>
      <w:r w:rsidRPr="000D7782">
        <w:rPr>
          <w:rFonts w:ascii="Arial" w:hAnsi="Arial" w:cs="Arial"/>
          <w:b w:val="0"/>
          <w:color w:val="auto"/>
        </w:rPr>
        <w:t xml:space="preserve">That the applicant applied for remission, but his application was turned down due to the respondent’s failure to correctly interpret </w:t>
      </w:r>
      <w:r w:rsidR="001F70B4">
        <w:rPr>
          <w:rFonts w:ascii="Arial" w:hAnsi="Arial" w:cs="Arial"/>
          <w:b w:val="0"/>
          <w:color w:val="auto"/>
        </w:rPr>
        <w:t>Section</w:t>
      </w:r>
      <w:r w:rsidRPr="000D7782">
        <w:rPr>
          <w:rFonts w:ascii="Arial" w:hAnsi="Arial" w:cs="Arial"/>
          <w:b w:val="0"/>
          <w:color w:val="auto"/>
        </w:rPr>
        <w:t xml:space="preserve"> 80 of the Act</w:t>
      </w:r>
      <w:r w:rsidR="004320CA">
        <w:rPr>
          <w:rFonts w:ascii="Arial" w:hAnsi="Arial" w:cs="Arial"/>
          <w:b w:val="0"/>
          <w:color w:val="auto"/>
        </w:rPr>
        <w:t xml:space="preserve">.  </w:t>
      </w:r>
      <w:r w:rsidRPr="000D7782">
        <w:rPr>
          <w:rFonts w:ascii="Arial" w:hAnsi="Arial" w:cs="Arial"/>
          <w:b w:val="0"/>
          <w:color w:val="auto"/>
        </w:rPr>
        <w:t xml:space="preserve">That he subsequently appealed to the Review Board, which appeal was dismissed and the first respondent’s decision </w:t>
      </w:r>
      <w:r w:rsidR="001C67D5" w:rsidRPr="000D7782">
        <w:rPr>
          <w:rFonts w:ascii="Arial" w:hAnsi="Arial" w:cs="Arial"/>
          <w:b w:val="0"/>
          <w:color w:val="auto"/>
        </w:rPr>
        <w:t xml:space="preserve">was </w:t>
      </w:r>
      <w:r w:rsidRPr="000D7782">
        <w:rPr>
          <w:rFonts w:ascii="Arial" w:hAnsi="Arial" w:cs="Arial"/>
          <w:b w:val="0"/>
          <w:color w:val="auto"/>
        </w:rPr>
        <w:t>confirmed.</w:t>
      </w:r>
    </w:p>
    <w:p w:rsidR="0010392A" w:rsidRPr="000D7782" w:rsidRDefault="0010392A" w:rsidP="00FE32B1">
      <w:pPr>
        <w:pStyle w:val="Level1"/>
        <w:numPr>
          <w:ilvl w:val="0"/>
          <w:numId w:val="0"/>
        </w:numPr>
        <w:spacing w:line="360" w:lineRule="auto"/>
        <w:contextualSpacing/>
        <w:jc w:val="both"/>
        <w:rPr>
          <w:rFonts w:ascii="Arial" w:hAnsi="Arial" w:cs="Arial"/>
          <w:b w:val="0"/>
          <w:i/>
          <w:color w:val="auto"/>
        </w:rPr>
      </w:pPr>
    </w:p>
    <w:p w:rsidR="0010392A" w:rsidRPr="00884096" w:rsidRDefault="0010392A" w:rsidP="00FE32B1">
      <w:pPr>
        <w:pStyle w:val="Level1"/>
        <w:numPr>
          <w:ilvl w:val="0"/>
          <w:numId w:val="2"/>
        </w:numPr>
        <w:spacing w:line="360" w:lineRule="auto"/>
        <w:ind w:left="851" w:hanging="851"/>
        <w:contextualSpacing/>
        <w:jc w:val="both"/>
        <w:rPr>
          <w:rFonts w:ascii="Arial" w:hAnsi="Arial" w:cs="Arial"/>
          <w:i/>
          <w:color w:val="auto"/>
        </w:rPr>
      </w:pPr>
      <w:r w:rsidRPr="000D7782">
        <w:rPr>
          <w:rFonts w:ascii="Arial" w:hAnsi="Arial" w:cs="Arial"/>
          <w:b w:val="0"/>
          <w:color w:val="auto"/>
        </w:rPr>
        <w:t>As if this injustice was not enough, when the Presidential Proclamation was issued and inmates who would have reached their minimum detention period were to be considered for release, his name, though initially included on the list of those to be considered for release, was subsequently arbitrarily and capriciously excluded with no explanation or reasons given</w:t>
      </w:r>
      <w:r w:rsidR="004320CA">
        <w:rPr>
          <w:rFonts w:ascii="Arial" w:hAnsi="Arial" w:cs="Arial"/>
          <w:b w:val="0"/>
          <w:color w:val="auto"/>
        </w:rPr>
        <w:t xml:space="preserve">.  </w:t>
      </w:r>
      <w:r w:rsidRPr="000D7782">
        <w:rPr>
          <w:rFonts w:ascii="Arial" w:hAnsi="Arial" w:cs="Arial"/>
          <w:b w:val="0"/>
          <w:color w:val="auto"/>
        </w:rPr>
        <w:t>So averred the applicant</w:t>
      </w:r>
      <w:r w:rsidR="004320CA">
        <w:rPr>
          <w:rFonts w:ascii="Arial" w:hAnsi="Arial" w:cs="Arial"/>
          <w:b w:val="0"/>
          <w:color w:val="auto"/>
        </w:rPr>
        <w:t xml:space="preserve">.  </w:t>
      </w:r>
    </w:p>
    <w:p w:rsidR="00884096" w:rsidRPr="000D7782" w:rsidRDefault="00884096" w:rsidP="00FE32B1">
      <w:pPr>
        <w:pStyle w:val="Level1"/>
        <w:numPr>
          <w:ilvl w:val="0"/>
          <w:numId w:val="0"/>
        </w:numPr>
        <w:spacing w:line="360" w:lineRule="auto"/>
        <w:ind w:left="851"/>
        <w:contextualSpacing/>
        <w:jc w:val="both"/>
        <w:rPr>
          <w:rFonts w:ascii="Arial" w:hAnsi="Arial" w:cs="Arial"/>
          <w:i/>
          <w:color w:val="auto"/>
        </w:rPr>
      </w:pPr>
    </w:p>
    <w:p w:rsidR="0010392A" w:rsidRPr="000D7782" w:rsidRDefault="0010392A" w:rsidP="00FE32B1">
      <w:pPr>
        <w:pStyle w:val="Level1"/>
        <w:numPr>
          <w:ilvl w:val="0"/>
          <w:numId w:val="2"/>
        </w:numPr>
        <w:spacing w:line="360" w:lineRule="auto"/>
        <w:ind w:left="851" w:hanging="851"/>
        <w:contextualSpacing/>
        <w:jc w:val="both"/>
        <w:rPr>
          <w:rFonts w:ascii="Arial" w:hAnsi="Arial" w:cs="Arial"/>
          <w:b w:val="0"/>
          <w:i/>
          <w:color w:val="auto"/>
        </w:rPr>
      </w:pPr>
      <w:r w:rsidRPr="000D7782">
        <w:rPr>
          <w:rFonts w:ascii="Arial" w:hAnsi="Arial" w:cs="Arial"/>
          <w:b w:val="0"/>
          <w:color w:val="auto"/>
        </w:rPr>
        <w:t>It is common cause that on 27 April 2020, the President announced the authorisation of the placement on parole of certain qualifying sentenced offenders</w:t>
      </w:r>
      <w:r w:rsidR="004320CA">
        <w:rPr>
          <w:rFonts w:ascii="Arial" w:hAnsi="Arial" w:cs="Arial"/>
          <w:b w:val="0"/>
          <w:color w:val="auto"/>
        </w:rPr>
        <w:t xml:space="preserve">.  </w:t>
      </w:r>
      <w:r w:rsidRPr="000D7782">
        <w:rPr>
          <w:rFonts w:ascii="Arial" w:hAnsi="Arial" w:cs="Arial"/>
          <w:b w:val="0"/>
          <w:color w:val="auto"/>
        </w:rPr>
        <w:t xml:space="preserve">This was done under </w:t>
      </w:r>
      <w:r w:rsidR="001F70B4">
        <w:rPr>
          <w:rFonts w:ascii="Arial" w:hAnsi="Arial" w:cs="Arial"/>
          <w:b w:val="0"/>
          <w:color w:val="auto"/>
        </w:rPr>
        <w:t>Section</w:t>
      </w:r>
      <w:r w:rsidRPr="000D7782">
        <w:rPr>
          <w:rFonts w:ascii="Arial" w:hAnsi="Arial" w:cs="Arial"/>
          <w:b w:val="0"/>
          <w:color w:val="auto"/>
        </w:rPr>
        <w:t xml:space="preserve"> 84(2</w:t>
      </w:r>
      <w:proofErr w:type="gramStart"/>
      <w:r w:rsidRPr="000D7782">
        <w:rPr>
          <w:rFonts w:ascii="Arial" w:hAnsi="Arial" w:cs="Arial"/>
          <w:b w:val="0"/>
          <w:color w:val="auto"/>
        </w:rPr>
        <w:t>)(</w:t>
      </w:r>
      <w:proofErr w:type="gramEnd"/>
      <w:r w:rsidRPr="000D7782">
        <w:rPr>
          <w:rFonts w:ascii="Arial" w:hAnsi="Arial" w:cs="Arial"/>
          <w:b w:val="0"/>
          <w:color w:val="auto"/>
        </w:rPr>
        <w:t xml:space="preserve">j) of the Constitution, read together with </w:t>
      </w:r>
      <w:r w:rsidR="001F70B4">
        <w:rPr>
          <w:rFonts w:ascii="Arial" w:hAnsi="Arial" w:cs="Arial"/>
          <w:b w:val="0"/>
          <w:color w:val="auto"/>
        </w:rPr>
        <w:t>Section</w:t>
      </w:r>
      <w:r w:rsidRPr="000D7782">
        <w:rPr>
          <w:rFonts w:ascii="Arial" w:hAnsi="Arial" w:cs="Arial"/>
          <w:b w:val="0"/>
          <w:color w:val="auto"/>
        </w:rPr>
        <w:t xml:space="preserve"> 82(1)(e) of the Act</w:t>
      </w:r>
      <w:r w:rsidR="004320CA">
        <w:rPr>
          <w:rFonts w:ascii="Arial" w:hAnsi="Arial" w:cs="Arial"/>
          <w:b w:val="0"/>
          <w:color w:val="auto"/>
        </w:rPr>
        <w:t xml:space="preserve">.  </w:t>
      </w:r>
      <w:r w:rsidRPr="000D7782">
        <w:rPr>
          <w:rFonts w:ascii="Arial" w:hAnsi="Arial" w:cs="Arial"/>
          <w:b w:val="0"/>
          <w:color w:val="auto"/>
        </w:rPr>
        <w:t xml:space="preserve">The purpose of the </w:t>
      </w:r>
      <w:r w:rsidR="004320CA">
        <w:rPr>
          <w:rFonts w:ascii="Arial" w:hAnsi="Arial" w:cs="Arial"/>
          <w:b w:val="0"/>
          <w:color w:val="auto"/>
        </w:rPr>
        <w:t>Proclamation</w:t>
      </w:r>
      <w:r w:rsidRPr="000D7782">
        <w:rPr>
          <w:rFonts w:ascii="Arial" w:hAnsi="Arial" w:cs="Arial"/>
          <w:b w:val="0"/>
          <w:color w:val="auto"/>
        </w:rPr>
        <w:t xml:space="preserve"> was to address, manage and combat the spread of the Coved-19 virus in all Correctional Centres in the Republic</w:t>
      </w:r>
      <w:r w:rsidR="004320CA">
        <w:rPr>
          <w:rFonts w:ascii="Arial" w:hAnsi="Arial" w:cs="Arial"/>
          <w:b w:val="0"/>
          <w:color w:val="auto"/>
        </w:rPr>
        <w:t xml:space="preserve">.  </w:t>
      </w:r>
      <w:r w:rsidRPr="000D7782">
        <w:rPr>
          <w:rFonts w:ascii="Arial" w:hAnsi="Arial" w:cs="Arial"/>
          <w:b w:val="0"/>
          <w:color w:val="auto"/>
        </w:rPr>
        <w:t>The qualifying offenders were those low risk sentenced offenders who are or would have been incarcerated on 27 April 2020; and who have or would reach their minimum detention periods within 60 months, from the date thereof</w:t>
      </w:r>
      <w:r w:rsidR="004320CA">
        <w:rPr>
          <w:rFonts w:ascii="Arial" w:hAnsi="Arial" w:cs="Arial"/>
          <w:b w:val="0"/>
          <w:color w:val="auto"/>
        </w:rPr>
        <w:t>.</w:t>
      </w:r>
      <w:r w:rsidRPr="000D7782">
        <w:rPr>
          <w:rStyle w:val="FootnoteReference"/>
          <w:rFonts w:ascii="Arial" w:hAnsi="Arial" w:cs="Arial"/>
          <w:b w:val="0"/>
          <w:color w:val="auto"/>
        </w:rPr>
        <w:footnoteReference w:id="10"/>
      </w:r>
      <w:r w:rsidRPr="000D7782">
        <w:rPr>
          <w:rFonts w:ascii="Arial" w:hAnsi="Arial" w:cs="Arial"/>
          <w:b w:val="0"/>
          <w:color w:val="auto"/>
        </w:rPr>
        <w:t xml:space="preserve"> </w:t>
      </w:r>
      <w:r w:rsidR="00FE32B1">
        <w:rPr>
          <w:rFonts w:ascii="Arial" w:hAnsi="Arial" w:cs="Arial"/>
          <w:b w:val="0"/>
          <w:color w:val="auto"/>
        </w:rPr>
        <w:t xml:space="preserve"> O</w:t>
      </w:r>
      <w:r w:rsidR="00555EC8">
        <w:rPr>
          <w:rFonts w:ascii="Arial" w:hAnsi="Arial" w:cs="Arial"/>
          <w:b w:val="0"/>
          <w:color w:val="auto"/>
        </w:rPr>
        <w:t>f significance is that t</w:t>
      </w:r>
      <w:r w:rsidRPr="000D7782">
        <w:rPr>
          <w:rFonts w:ascii="Arial" w:hAnsi="Arial" w:cs="Arial"/>
          <w:b w:val="0"/>
          <w:color w:val="auto"/>
        </w:rPr>
        <w:t xml:space="preserve">his </w:t>
      </w:r>
      <w:r w:rsidR="004320CA">
        <w:rPr>
          <w:rFonts w:ascii="Arial" w:hAnsi="Arial" w:cs="Arial"/>
          <w:b w:val="0"/>
          <w:color w:val="auto"/>
        </w:rPr>
        <w:t>Proclamation</w:t>
      </w:r>
      <w:r w:rsidRPr="000D7782">
        <w:rPr>
          <w:rFonts w:ascii="Arial" w:hAnsi="Arial" w:cs="Arial"/>
          <w:b w:val="0"/>
          <w:color w:val="auto"/>
        </w:rPr>
        <w:t xml:space="preserve"> </w:t>
      </w:r>
      <w:r w:rsidRPr="000D7782">
        <w:rPr>
          <w:rFonts w:ascii="Arial" w:hAnsi="Arial" w:cs="Arial"/>
          <w:b w:val="0"/>
          <w:color w:val="auto"/>
        </w:rPr>
        <w:lastRenderedPageBreak/>
        <w:t>though signed and sealed by the President on 24 April 2020, was only published on 08 May 2020, in the Government Gazette as Proclamation 19 of 2020.</w:t>
      </w:r>
      <w:r w:rsidRPr="000D7782">
        <w:rPr>
          <w:rStyle w:val="FootnoteReference"/>
          <w:rFonts w:ascii="Arial" w:hAnsi="Arial" w:cs="Arial"/>
          <w:b w:val="0"/>
          <w:color w:val="auto"/>
        </w:rPr>
        <w:footnoteReference w:id="11"/>
      </w:r>
      <w:r w:rsidRPr="000D7782">
        <w:rPr>
          <w:rFonts w:ascii="Arial" w:hAnsi="Arial" w:cs="Arial"/>
          <w:b w:val="0"/>
          <w:color w:val="auto"/>
        </w:rPr>
        <w:t xml:space="preserve">   </w:t>
      </w:r>
    </w:p>
    <w:p w:rsidR="0010392A" w:rsidRPr="000D7782" w:rsidRDefault="0010392A" w:rsidP="00FE32B1">
      <w:pPr>
        <w:pStyle w:val="ListParagraph"/>
        <w:spacing w:line="360" w:lineRule="auto"/>
        <w:rPr>
          <w:rFonts w:ascii="Arial" w:hAnsi="Arial" w:cs="Arial"/>
          <w:b w:val="0"/>
          <w:color w:val="auto"/>
        </w:rPr>
      </w:pPr>
    </w:p>
    <w:p w:rsidR="0010392A" w:rsidRPr="000D7782" w:rsidRDefault="00555EC8" w:rsidP="00FE32B1">
      <w:pPr>
        <w:pStyle w:val="Level1"/>
        <w:numPr>
          <w:ilvl w:val="0"/>
          <w:numId w:val="2"/>
        </w:numPr>
        <w:spacing w:line="360" w:lineRule="auto"/>
        <w:ind w:left="851" w:hanging="851"/>
        <w:contextualSpacing/>
        <w:jc w:val="both"/>
        <w:rPr>
          <w:rFonts w:ascii="Arial" w:hAnsi="Arial" w:cs="Arial"/>
          <w:b w:val="0"/>
          <w:i/>
          <w:color w:val="auto"/>
        </w:rPr>
      </w:pPr>
      <w:r>
        <w:rPr>
          <w:rFonts w:ascii="Arial" w:hAnsi="Arial" w:cs="Arial"/>
          <w:b w:val="0"/>
          <w:color w:val="auto"/>
        </w:rPr>
        <w:t>In this regard, t</w:t>
      </w:r>
      <w:r w:rsidR="0010392A" w:rsidRPr="000D7782">
        <w:rPr>
          <w:rFonts w:ascii="Arial" w:hAnsi="Arial" w:cs="Arial"/>
          <w:b w:val="0"/>
          <w:color w:val="auto"/>
        </w:rPr>
        <w:t xml:space="preserve">he applicant, in sum, contended that to the extent that he would have reached his minimum detention period within the said 5 years, on 26 May 2025, he is a qualifying offender within the contemplation of the said </w:t>
      </w:r>
      <w:r w:rsidR="004320CA">
        <w:rPr>
          <w:rFonts w:ascii="Arial" w:hAnsi="Arial" w:cs="Arial"/>
          <w:b w:val="0"/>
          <w:color w:val="auto"/>
        </w:rPr>
        <w:t xml:space="preserve">Proclamation.  </w:t>
      </w:r>
      <w:r w:rsidR="0010392A" w:rsidRPr="000D7782">
        <w:rPr>
          <w:rFonts w:ascii="Arial" w:hAnsi="Arial" w:cs="Arial"/>
          <w:b w:val="0"/>
          <w:color w:val="auto"/>
        </w:rPr>
        <w:t>To this extent, he contended</w:t>
      </w:r>
      <w:r w:rsidR="0010392A" w:rsidRPr="000D7782">
        <w:rPr>
          <w:rFonts w:ascii="Arial" w:hAnsi="Arial" w:cs="Arial"/>
          <w:b w:val="0"/>
          <w:i/>
          <w:color w:val="auto"/>
        </w:rPr>
        <w:t xml:space="preserve"> </w:t>
      </w:r>
      <w:r w:rsidR="0010392A" w:rsidRPr="000D7782">
        <w:rPr>
          <w:rFonts w:ascii="Arial" w:hAnsi="Arial" w:cs="Arial"/>
          <w:b w:val="0"/>
          <w:color w:val="auto"/>
        </w:rPr>
        <w:t>that the nub of the respondents’ error is the</w:t>
      </w:r>
      <w:r w:rsidR="00B4142C" w:rsidRPr="000D7782">
        <w:rPr>
          <w:rFonts w:ascii="Arial" w:hAnsi="Arial" w:cs="Arial"/>
          <w:b w:val="0"/>
          <w:color w:val="auto"/>
        </w:rPr>
        <w:t xml:space="preserve"> fact that they erroneously relied</w:t>
      </w:r>
      <w:r w:rsidR="0010392A" w:rsidRPr="000D7782">
        <w:rPr>
          <w:rFonts w:ascii="Arial" w:hAnsi="Arial" w:cs="Arial"/>
          <w:b w:val="0"/>
          <w:color w:val="auto"/>
        </w:rPr>
        <w:t xml:space="preserve"> on the date mentioned in the said Proclamation i.e</w:t>
      </w:r>
      <w:r w:rsidR="004320CA">
        <w:rPr>
          <w:rFonts w:ascii="Arial" w:hAnsi="Arial" w:cs="Arial"/>
          <w:b w:val="0"/>
          <w:color w:val="auto"/>
        </w:rPr>
        <w:t xml:space="preserve">. </w:t>
      </w:r>
      <w:r w:rsidR="0010392A" w:rsidRPr="000D7782">
        <w:rPr>
          <w:rFonts w:ascii="Arial" w:hAnsi="Arial" w:cs="Arial"/>
          <w:b w:val="0"/>
          <w:color w:val="auto"/>
        </w:rPr>
        <w:t>27 April 2020, as the determinative date</w:t>
      </w:r>
      <w:r w:rsidR="004320CA">
        <w:rPr>
          <w:rFonts w:ascii="Arial" w:hAnsi="Arial" w:cs="Arial"/>
          <w:b w:val="0"/>
          <w:color w:val="auto"/>
        </w:rPr>
        <w:t xml:space="preserve">.  </w:t>
      </w:r>
      <w:r w:rsidR="0010392A" w:rsidRPr="000D7782">
        <w:rPr>
          <w:rFonts w:ascii="Arial" w:hAnsi="Arial" w:cs="Arial"/>
          <w:b w:val="0"/>
          <w:color w:val="auto"/>
        </w:rPr>
        <w:t xml:space="preserve">That being the case, they reckon that had he reached his minimum </w:t>
      </w:r>
      <w:r w:rsidR="00B4142C" w:rsidRPr="000D7782">
        <w:rPr>
          <w:rFonts w:ascii="Arial" w:hAnsi="Arial" w:cs="Arial"/>
          <w:b w:val="0"/>
          <w:color w:val="auto"/>
        </w:rPr>
        <w:t xml:space="preserve">detention </w:t>
      </w:r>
      <w:r w:rsidR="0010392A" w:rsidRPr="000D7782">
        <w:rPr>
          <w:rFonts w:ascii="Arial" w:hAnsi="Arial" w:cs="Arial"/>
          <w:b w:val="0"/>
          <w:color w:val="auto"/>
        </w:rPr>
        <w:t>period on 26</w:t>
      </w:r>
      <w:r w:rsidR="00884096">
        <w:rPr>
          <w:rFonts w:ascii="Arial" w:hAnsi="Arial" w:cs="Arial"/>
          <w:b w:val="0"/>
          <w:color w:val="auto"/>
        </w:rPr>
        <w:t> </w:t>
      </w:r>
      <w:r w:rsidR="0010392A" w:rsidRPr="000D7782">
        <w:rPr>
          <w:rFonts w:ascii="Arial" w:hAnsi="Arial" w:cs="Arial"/>
          <w:b w:val="0"/>
          <w:color w:val="auto"/>
        </w:rPr>
        <w:t>April 2025, he would have qualified to be released, which according to them is not so</w:t>
      </w:r>
      <w:r w:rsidR="004320CA">
        <w:rPr>
          <w:rFonts w:ascii="Arial" w:hAnsi="Arial" w:cs="Arial"/>
          <w:b w:val="0"/>
          <w:color w:val="auto"/>
        </w:rPr>
        <w:t xml:space="preserve">.  </w:t>
      </w:r>
      <w:r w:rsidR="0010392A" w:rsidRPr="000D7782">
        <w:rPr>
          <w:rFonts w:ascii="Arial" w:hAnsi="Arial" w:cs="Arial"/>
          <w:b w:val="0"/>
          <w:color w:val="auto"/>
        </w:rPr>
        <w:t xml:space="preserve">He submitted that the respondents’ calculation does not conform to the date of </w:t>
      </w:r>
      <w:r w:rsidR="00B4142C" w:rsidRPr="000D7782">
        <w:rPr>
          <w:rFonts w:ascii="Arial" w:hAnsi="Arial" w:cs="Arial"/>
          <w:b w:val="0"/>
          <w:color w:val="auto"/>
        </w:rPr>
        <w:t xml:space="preserve">the </w:t>
      </w:r>
      <w:r w:rsidR="004320CA">
        <w:rPr>
          <w:rFonts w:ascii="Arial" w:hAnsi="Arial" w:cs="Arial"/>
          <w:b w:val="0"/>
          <w:color w:val="auto"/>
        </w:rPr>
        <w:t>Proclamation</w:t>
      </w:r>
      <w:r w:rsidR="0010392A" w:rsidRPr="000D7782">
        <w:rPr>
          <w:rFonts w:ascii="Arial" w:hAnsi="Arial" w:cs="Arial"/>
          <w:b w:val="0"/>
          <w:color w:val="auto"/>
        </w:rPr>
        <w:t xml:space="preserve"> as signed by the President i.e</w:t>
      </w:r>
      <w:r w:rsidR="004320CA">
        <w:rPr>
          <w:rFonts w:ascii="Arial" w:hAnsi="Arial" w:cs="Arial"/>
          <w:b w:val="0"/>
          <w:color w:val="auto"/>
        </w:rPr>
        <w:t xml:space="preserve">. </w:t>
      </w:r>
      <w:r w:rsidR="0010392A" w:rsidRPr="000D7782">
        <w:rPr>
          <w:rFonts w:ascii="Arial" w:hAnsi="Arial" w:cs="Arial"/>
          <w:b w:val="0"/>
          <w:color w:val="auto"/>
        </w:rPr>
        <w:t>24 April 2020</w:t>
      </w:r>
      <w:r w:rsidR="004320CA">
        <w:rPr>
          <w:rFonts w:ascii="Arial" w:hAnsi="Arial" w:cs="Arial"/>
          <w:b w:val="0"/>
          <w:color w:val="auto"/>
        </w:rPr>
        <w:t xml:space="preserve">.  </w:t>
      </w:r>
    </w:p>
    <w:p w:rsidR="0010392A" w:rsidRPr="000D7782" w:rsidRDefault="0010392A" w:rsidP="00FE32B1">
      <w:pPr>
        <w:pStyle w:val="ListParagraph"/>
        <w:spacing w:line="360" w:lineRule="auto"/>
        <w:rPr>
          <w:rFonts w:ascii="Arial" w:hAnsi="Arial" w:cs="Arial"/>
          <w:b w:val="0"/>
          <w:color w:val="auto"/>
        </w:rPr>
      </w:pPr>
    </w:p>
    <w:p w:rsidR="0010392A" w:rsidRPr="00555EC8" w:rsidRDefault="00555EC8" w:rsidP="00FE32B1">
      <w:pPr>
        <w:pStyle w:val="Level1"/>
        <w:numPr>
          <w:ilvl w:val="0"/>
          <w:numId w:val="2"/>
        </w:numPr>
        <w:spacing w:line="360" w:lineRule="auto"/>
        <w:ind w:left="851" w:hanging="851"/>
        <w:contextualSpacing/>
        <w:jc w:val="both"/>
        <w:rPr>
          <w:rFonts w:ascii="Arial" w:hAnsi="Arial" w:cs="Arial"/>
          <w:b w:val="0"/>
          <w:i/>
          <w:color w:val="auto"/>
        </w:rPr>
      </w:pPr>
      <w:r w:rsidRPr="00555EC8">
        <w:rPr>
          <w:rFonts w:ascii="Arial" w:hAnsi="Arial" w:cs="Arial"/>
          <w:b w:val="0"/>
          <w:color w:val="auto"/>
        </w:rPr>
        <w:t>T</w:t>
      </w:r>
      <w:r w:rsidR="0010392A" w:rsidRPr="00555EC8">
        <w:rPr>
          <w:rFonts w:ascii="Arial" w:hAnsi="Arial" w:cs="Arial"/>
          <w:b w:val="0"/>
          <w:color w:val="auto"/>
        </w:rPr>
        <w:t xml:space="preserve">he applicant contended </w:t>
      </w:r>
      <w:r w:rsidRPr="00555EC8">
        <w:rPr>
          <w:rFonts w:ascii="Arial" w:hAnsi="Arial" w:cs="Arial"/>
          <w:b w:val="0"/>
          <w:color w:val="auto"/>
        </w:rPr>
        <w:t xml:space="preserve">therefore </w:t>
      </w:r>
      <w:r w:rsidR="0010392A" w:rsidRPr="00555EC8">
        <w:rPr>
          <w:rFonts w:ascii="Arial" w:hAnsi="Arial" w:cs="Arial"/>
          <w:b w:val="0"/>
          <w:color w:val="auto"/>
        </w:rPr>
        <w:t xml:space="preserve">that the manner in which the relevant period has been reckoned is </w:t>
      </w:r>
      <w:r w:rsidR="0010392A" w:rsidRPr="00555EC8">
        <w:rPr>
          <w:rFonts w:ascii="Arial" w:hAnsi="Arial" w:cs="Arial"/>
          <w:b w:val="0"/>
          <w:i/>
          <w:color w:val="auto"/>
        </w:rPr>
        <w:t>ultra vires</w:t>
      </w:r>
      <w:r w:rsidR="0010392A" w:rsidRPr="00555EC8">
        <w:rPr>
          <w:rFonts w:ascii="Arial" w:hAnsi="Arial" w:cs="Arial"/>
          <w:b w:val="0"/>
          <w:color w:val="auto"/>
        </w:rPr>
        <w:t>, the Proclamation</w:t>
      </w:r>
      <w:r>
        <w:rPr>
          <w:rFonts w:ascii="Arial" w:hAnsi="Arial" w:cs="Arial"/>
          <w:b w:val="0"/>
          <w:color w:val="auto"/>
        </w:rPr>
        <w:t xml:space="preserve">. </w:t>
      </w:r>
      <w:r w:rsidR="0010392A" w:rsidRPr="00555EC8">
        <w:rPr>
          <w:rFonts w:ascii="Arial" w:hAnsi="Arial" w:cs="Arial"/>
          <w:b w:val="0"/>
          <w:color w:val="auto"/>
        </w:rPr>
        <w:t xml:space="preserve">It is against this backdrop that, </w:t>
      </w:r>
      <w:r w:rsidR="00FE32B1">
        <w:rPr>
          <w:rFonts w:ascii="Arial" w:hAnsi="Arial" w:cs="Arial"/>
          <w:b w:val="0"/>
          <w:i/>
          <w:color w:val="auto"/>
        </w:rPr>
        <w:t>Mr Ngcukait</w:t>
      </w:r>
      <w:r w:rsidR="0010392A" w:rsidRPr="00555EC8">
        <w:rPr>
          <w:rFonts w:ascii="Arial" w:hAnsi="Arial" w:cs="Arial"/>
          <w:b w:val="0"/>
          <w:i/>
          <w:color w:val="auto"/>
        </w:rPr>
        <w:t>obi SC</w:t>
      </w:r>
      <w:r w:rsidR="0010392A" w:rsidRPr="00555EC8">
        <w:rPr>
          <w:rFonts w:ascii="Arial" w:hAnsi="Arial" w:cs="Arial"/>
          <w:b w:val="0"/>
          <w:color w:val="auto"/>
        </w:rPr>
        <w:t xml:space="preserve">, argued for the applicant </w:t>
      </w:r>
      <w:r w:rsidR="00F35269">
        <w:rPr>
          <w:rFonts w:ascii="Arial" w:hAnsi="Arial" w:cs="Arial"/>
          <w:b w:val="0"/>
          <w:i/>
          <w:color w:val="auto"/>
        </w:rPr>
        <w:t xml:space="preserve">inter </w:t>
      </w:r>
      <w:r w:rsidR="0010392A" w:rsidRPr="00555EC8">
        <w:rPr>
          <w:rFonts w:ascii="Arial" w:hAnsi="Arial" w:cs="Arial"/>
          <w:b w:val="0"/>
          <w:i/>
          <w:color w:val="auto"/>
        </w:rPr>
        <w:t xml:space="preserve">alia </w:t>
      </w:r>
      <w:r w:rsidR="0010392A" w:rsidRPr="00555EC8">
        <w:rPr>
          <w:rFonts w:ascii="Arial" w:hAnsi="Arial" w:cs="Arial"/>
          <w:b w:val="0"/>
          <w:color w:val="auto"/>
        </w:rPr>
        <w:t>as follows, in sum</w:t>
      </w:r>
      <w:r w:rsidR="004320CA" w:rsidRPr="00555EC8">
        <w:rPr>
          <w:rFonts w:ascii="Arial" w:hAnsi="Arial" w:cs="Arial"/>
          <w:b w:val="0"/>
          <w:color w:val="auto"/>
        </w:rPr>
        <w:t xml:space="preserve">.  </w:t>
      </w:r>
      <w:r w:rsidR="0010392A" w:rsidRPr="00555EC8">
        <w:rPr>
          <w:rFonts w:ascii="Arial" w:hAnsi="Arial" w:cs="Arial"/>
          <w:b w:val="0"/>
          <w:color w:val="auto"/>
        </w:rPr>
        <w:t>That even though the Proclamation was signed on 24 April 2020, it is so that it was only published on 08 May 2020</w:t>
      </w:r>
      <w:r w:rsidR="004320CA" w:rsidRPr="00555EC8">
        <w:rPr>
          <w:rFonts w:ascii="Arial" w:hAnsi="Arial" w:cs="Arial"/>
          <w:b w:val="0"/>
          <w:color w:val="auto"/>
        </w:rPr>
        <w:t xml:space="preserve">.  </w:t>
      </w:r>
      <w:r w:rsidR="0010392A" w:rsidRPr="00555EC8">
        <w:rPr>
          <w:rFonts w:ascii="Arial" w:hAnsi="Arial" w:cs="Arial"/>
          <w:b w:val="0"/>
          <w:color w:val="auto"/>
        </w:rPr>
        <w:t>That 27</w:t>
      </w:r>
      <w:r w:rsidR="00884096" w:rsidRPr="00555EC8">
        <w:rPr>
          <w:rFonts w:ascii="Arial" w:hAnsi="Arial" w:cs="Arial"/>
          <w:b w:val="0"/>
          <w:color w:val="auto"/>
        </w:rPr>
        <w:t> </w:t>
      </w:r>
      <w:r w:rsidR="0010392A" w:rsidRPr="00555EC8">
        <w:rPr>
          <w:rFonts w:ascii="Arial" w:hAnsi="Arial" w:cs="Arial"/>
          <w:b w:val="0"/>
          <w:color w:val="auto"/>
        </w:rPr>
        <w:t>April 2020, is concerned only with whether or not an offender was in prison as at that date</w:t>
      </w:r>
      <w:r w:rsidR="004320CA" w:rsidRPr="00555EC8">
        <w:rPr>
          <w:rFonts w:ascii="Arial" w:hAnsi="Arial" w:cs="Arial"/>
          <w:b w:val="0"/>
          <w:color w:val="auto"/>
        </w:rPr>
        <w:t xml:space="preserve">.  </w:t>
      </w:r>
      <w:r w:rsidR="0010392A" w:rsidRPr="00555EC8">
        <w:rPr>
          <w:rFonts w:ascii="Arial" w:hAnsi="Arial" w:cs="Arial"/>
          <w:b w:val="0"/>
          <w:color w:val="auto"/>
        </w:rPr>
        <w:t>That that means two dates are relevant</w:t>
      </w:r>
      <w:r w:rsidR="004320CA" w:rsidRPr="00555EC8">
        <w:rPr>
          <w:rFonts w:ascii="Arial" w:hAnsi="Arial" w:cs="Arial"/>
          <w:b w:val="0"/>
          <w:color w:val="auto"/>
        </w:rPr>
        <w:t xml:space="preserve">.  </w:t>
      </w:r>
      <w:r w:rsidR="0010392A" w:rsidRPr="00555EC8">
        <w:rPr>
          <w:rFonts w:ascii="Arial" w:hAnsi="Arial" w:cs="Arial"/>
          <w:b w:val="0"/>
          <w:color w:val="auto"/>
        </w:rPr>
        <w:t>The first is the date when the Proclamation was published, being 08 May 2020, and the second is when the Proclamation was signed i.e</w:t>
      </w:r>
      <w:r w:rsidR="004320CA" w:rsidRPr="00555EC8">
        <w:rPr>
          <w:rFonts w:ascii="Arial" w:hAnsi="Arial" w:cs="Arial"/>
          <w:b w:val="0"/>
          <w:color w:val="auto"/>
        </w:rPr>
        <w:t xml:space="preserve">. </w:t>
      </w:r>
      <w:r w:rsidR="0010392A" w:rsidRPr="00555EC8">
        <w:rPr>
          <w:rFonts w:ascii="Arial" w:hAnsi="Arial" w:cs="Arial"/>
          <w:b w:val="0"/>
          <w:color w:val="auto"/>
        </w:rPr>
        <w:t>24 April</w:t>
      </w:r>
      <w:r w:rsidR="004320CA" w:rsidRPr="00555EC8">
        <w:rPr>
          <w:rFonts w:ascii="Arial" w:hAnsi="Arial" w:cs="Arial"/>
          <w:b w:val="0"/>
          <w:color w:val="auto"/>
        </w:rPr>
        <w:t xml:space="preserve">.  </w:t>
      </w:r>
      <w:r w:rsidR="0010392A" w:rsidRPr="00555EC8">
        <w:rPr>
          <w:rFonts w:ascii="Arial" w:hAnsi="Arial" w:cs="Arial"/>
          <w:b w:val="0"/>
          <w:color w:val="auto"/>
        </w:rPr>
        <w:t>That one or both dates are “</w:t>
      </w:r>
      <w:r w:rsidR="0010392A" w:rsidRPr="00555EC8">
        <w:rPr>
          <w:rFonts w:ascii="Arial" w:hAnsi="Arial" w:cs="Arial"/>
          <w:b w:val="0"/>
          <w:i/>
          <w:color w:val="auto"/>
        </w:rPr>
        <w:t>the date hereof</w:t>
      </w:r>
      <w:r w:rsidR="0010392A" w:rsidRPr="00555EC8">
        <w:rPr>
          <w:rFonts w:ascii="Arial" w:hAnsi="Arial" w:cs="Arial"/>
          <w:b w:val="0"/>
          <w:color w:val="auto"/>
        </w:rPr>
        <w:t>”</w:t>
      </w:r>
      <w:r w:rsidR="004320CA" w:rsidRPr="00555EC8">
        <w:rPr>
          <w:rFonts w:ascii="Arial" w:hAnsi="Arial" w:cs="Arial"/>
          <w:b w:val="0"/>
          <w:color w:val="auto"/>
        </w:rPr>
        <w:t xml:space="preserve">.  </w:t>
      </w:r>
    </w:p>
    <w:p w:rsidR="0010392A" w:rsidRPr="000D7782" w:rsidRDefault="0010392A" w:rsidP="00FE32B1">
      <w:pPr>
        <w:pStyle w:val="ListParagraph"/>
        <w:spacing w:line="360" w:lineRule="auto"/>
        <w:rPr>
          <w:rFonts w:ascii="Arial" w:hAnsi="Arial" w:cs="Arial"/>
          <w:b w:val="0"/>
          <w:color w:val="auto"/>
        </w:rPr>
      </w:pPr>
    </w:p>
    <w:p w:rsidR="0010392A" w:rsidRPr="00597D22" w:rsidRDefault="0010392A" w:rsidP="00FE32B1">
      <w:pPr>
        <w:pStyle w:val="Level1"/>
        <w:numPr>
          <w:ilvl w:val="0"/>
          <w:numId w:val="2"/>
        </w:numPr>
        <w:spacing w:line="360" w:lineRule="auto"/>
        <w:ind w:left="851" w:hanging="851"/>
        <w:contextualSpacing/>
        <w:jc w:val="both"/>
        <w:rPr>
          <w:rFonts w:ascii="Arial" w:hAnsi="Arial" w:cs="Arial"/>
          <w:b w:val="0"/>
          <w:i/>
          <w:color w:val="auto"/>
        </w:rPr>
      </w:pPr>
      <w:r w:rsidRPr="000D7782">
        <w:rPr>
          <w:rFonts w:ascii="Arial" w:hAnsi="Arial" w:cs="Arial"/>
          <w:b w:val="0"/>
          <w:color w:val="auto"/>
        </w:rPr>
        <w:t>He submitted that qualifying prisoners within the contemplation of the Proclamation are those who have or would reach their minimum detention periods within a period of 60 months from 08 May 2020 and not 27 April, as contended for the respondents</w:t>
      </w:r>
      <w:r w:rsidR="004320CA">
        <w:rPr>
          <w:rFonts w:ascii="Arial" w:hAnsi="Arial" w:cs="Arial"/>
          <w:b w:val="0"/>
          <w:color w:val="auto"/>
        </w:rPr>
        <w:t xml:space="preserve">.  </w:t>
      </w:r>
      <w:r w:rsidRPr="000D7782">
        <w:rPr>
          <w:rFonts w:ascii="Arial" w:hAnsi="Arial" w:cs="Arial"/>
          <w:b w:val="0"/>
          <w:color w:val="auto"/>
        </w:rPr>
        <w:t>In this regard, this Court was referred to Section 81 of the Constitution, which regulates the publication of Acts</w:t>
      </w:r>
      <w:r w:rsidR="004320CA">
        <w:rPr>
          <w:rFonts w:ascii="Arial" w:hAnsi="Arial" w:cs="Arial"/>
          <w:b w:val="0"/>
          <w:color w:val="auto"/>
        </w:rPr>
        <w:t xml:space="preserve">.  </w:t>
      </w:r>
      <w:r w:rsidRPr="000D7782">
        <w:rPr>
          <w:rFonts w:ascii="Arial" w:hAnsi="Arial" w:cs="Arial"/>
          <w:b w:val="0"/>
          <w:color w:val="auto"/>
        </w:rPr>
        <w:t>It provides:</w:t>
      </w:r>
    </w:p>
    <w:p w:rsidR="0010392A" w:rsidRPr="00884096" w:rsidRDefault="0010392A" w:rsidP="00FE32B1">
      <w:pPr>
        <w:pStyle w:val="ListParagraph"/>
        <w:spacing w:line="360" w:lineRule="auto"/>
        <w:ind w:left="851"/>
        <w:jc w:val="both"/>
        <w:rPr>
          <w:rFonts w:ascii="Times New Roman" w:hAnsi="Times New Roman"/>
          <w:i/>
          <w:color w:val="auto"/>
        </w:rPr>
      </w:pPr>
      <w:r w:rsidRPr="00884096">
        <w:rPr>
          <w:rFonts w:ascii="Times New Roman" w:hAnsi="Times New Roman"/>
          <w:b w:val="0"/>
          <w:i/>
          <w:color w:val="auto"/>
        </w:rPr>
        <w:lastRenderedPageBreak/>
        <w:t xml:space="preserve">“A Bill assented to and signed by the President becomes an Act of Parliament, must be published promptly </w:t>
      </w:r>
      <w:r w:rsidRPr="00884096">
        <w:rPr>
          <w:rFonts w:ascii="Times New Roman" w:hAnsi="Times New Roman"/>
          <w:i/>
          <w:color w:val="auto"/>
        </w:rPr>
        <w:t>and takes effect when published or on a date determined in terms of the Act.”</w:t>
      </w:r>
      <w:r w:rsidRPr="00884096">
        <w:rPr>
          <w:rStyle w:val="FootnoteReference"/>
          <w:rFonts w:ascii="Times New Roman" w:hAnsi="Times New Roman"/>
          <w:b w:val="0"/>
          <w:color w:val="auto"/>
        </w:rPr>
        <w:footnoteReference w:id="12"/>
      </w:r>
    </w:p>
    <w:p w:rsidR="0010392A" w:rsidRPr="000D7782" w:rsidRDefault="0010392A" w:rsidP="00FE32B1">
      <w:pPr>
        <w:pStyle w:val="ListParagraph"/>
        <w:spacing w:line="360" w:lineRule="auto"/>
        <w:ind w:left="851"/>
        <w:jc w:val="both"/>
        <w:rPr>
          <w:rFonts w:ascii="Arial" w:hAnsi="Arial" w:cs="Arial"/>
          <w:b w:val="0"/>
          <w:color w:val="auto"/>
        </w:rPr>
      </w:pPr>
    </w:p>
    <w:p w:rsidR="0010392A" w:rsidRPr="004320CA" w:rsidRDefault="0010392A"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It was submitted for the applicant that if this principle applies to an Act, it also applies to a Proclamation</w:t>
      </w:r>
      <w:r w:rsidR="004320CA">
        <w:rPr>
          <w:rFonts w:ascii="Arial" w:hAnsi="Arial" w:cs="Arial"/>
          <w:b w:val="0"/>
          <w:color w:val="auto"/>
        </w:rPr>
        <w:t xml:space="preserve">.  </w:t>
      </w:r>
      <w:r w:rsidRPr="000D7782">
        <w:rPr>
          <w:rFonts w:ascii="Arial" w:hAnsi="Arial" w:cs="Arial"/>
          <w:b w:val="0"/>
          <w:color w:val="auto"/>
        </w:rPr>
        <w:t xml:space="preserve">It was therefore contended for the applicant that it is arbitrary to choose 27 April 2020, as </w:t>
      </w:r>
      <w:r w:rsidRPr="000D7782">
        <w:rPr>
          <w:rFonts w:ascii="Arial" w:hAnsi="Arial" w:cs="Arial"/>
          <w:b w:val="0"/>
          <w:i/>
          <w:color w:val="auto"/>
        </w:rPr>
        <w:t>“the date hereof”</w:t>
      </w:r>
      <w:r w:rsidRPr="000D7782">
        <w:rPr>
          <w:rFonts w:ascii="Arial" w:hAnsi="Arial" w:cs="Arial"/>
          <w:b w:val="0"/>
          <w:color w:val="auto"/>
        </w:rPr>
        <w:t xml:space="preserve"> as there was no legal basis for that choice</w:t>
      </w:r>
      <w:r w:rsidR="004320CA">
        <w:rPr>
          <w:rFonts w:ascii="Arial" w:hAnsi="Arial" w:cs="Arial"/>
          <w:b w:val="0"/>
          <w:color w:val="auto"/>
        </w:rPr>
        <w:t xml:space="preserve">.  </w:t>
      </w:r>
      <w:r w:rsidRPr="000D7782">
        <w:rPr>
          <w:rFonts w:ascii="Arial" w:hAnsi="Arial" w:cs="Arial"/>
          <w:b w:val="0"/>
          <w:color w:val="auto"/>
        </w:rPr>
        <w:t>That 24 April is a more plausible date, since it is the date when the President actually signed the Proclamation</w:t>
      </w:r>
      <w:r w:rsidR="004320CA">
        <w:rPr>
          <w:rFonts w:ascii="Arial" w:hAnsi="Arial" w:cs="Arial"/>
          <w:b w:val="0"/>
          <w:color w:val="auto"/>
        </w:rPr>
        <w:t xml:space="preserve">.  </w:t>
      </w:r>
      <w:r w:rsidRPr="000D7782">
        <w:rPr>
          <w:rFonts w:ascii="Arial" w:hAnsi="Arial" w:cs="Arial"/>
          <w:b w:val="0"/>
          <w:color w:val="auto"/>
        </w:rPr>
        <w:t xml:space="preserve">That it is so since the Proclamation could not come into effect, from a date earlier than the date of </w:t>
      </w:r>
      <w:r w:rsidR="004320CA">
        <w:rPr>
          <w:rFonts w:ascii="Arial" w:hAnsi="Arial" w:cs="Arial"/>
          <w:b w:val="0"/>
          <w:color w:val="auto"/>
        </w:rPr>
        <w:t>Proclamation</w:t>
      </w:r>
      <w:r w:rsidRPr="000D7782">
        <w:rPr>
          <w:rFonts w:ascii="Arial" w:hAnsi="Arial" w:cs="Arial"/>
          <w:b w:val="0"/>
          <w:color w:val="auto"/>
        </w:rPr>
        <w:t>, unless it is expressly stated so</w:t>
      </w:r>
      <w:r w:rsidR="00555EC8">
        <w:rPr>
          <w:rFonts w:ascii="Arial" w:hAnsi="Arial" w:cs="Arial"/>
          <w:b w:val="0"/>
          <w:color w:val="auto"/>
        </w:rPr>
        <w:t xml:space="preserve">, regard being had to the </w:t>
      </w:r>
      <w:r w:rsidR="00555EC8" w:rsidRPr="00555EC8">
        <w:rPr>
          <w:rFonts w:ascii="Arial" w:hAnsi="Arial" w:cs="Arial"/>
          <w:b w:val="0"/>
          <w:i/>
          <w:color w:val="auto"/>
        </w:rPr>
        <w:t>ratio</w:t>
      </w:r>
      <w:r w:rsidR="00555EC8">
        <w:rPr>
          <w:rFonts w:ascii="Arial" w:hAnsi="Arial" w:cs="Arial"/>
          <w:b w:val="0"/>
          <w:color w:val="auto"/>
        </w:rPr>
        <w:t xml:space="preserve"> in </w:t>
      </w:r>
      <w:r w:rsidRPr="004320CA">
        <w:rPr>
          <w:rFonts w:ascii="Arial" w:hAnsi="Arial" w:cs="Arial"/>
          <w:color w:val="auto"/>
        </w:rPr>
        <w:t>Pharmaceutical Manufacturers Association of SA: In re</w:t>
      </w:r>
      <w:r w:rsidR="00567285">
        <w:rPr>
          <w:rFonts w:ascii="Arial" w:hAnsi="Arial" w:cs="Arial"/>
          <w:color w:val="auto"/>
        </w:rPr>
        <w:t xml:space="preserve"> </w:t>
      </w:r>
      <w:r w:rsidRPr="004320CA">
        <w:rPr>
          <w:rFonts w:ascii="Arial" w:hAnsi="Arial" w:cs="Arial"/>
          <w:color w:val="auto"/>
        </w:rPr>
        <w:t>-</w:t>
      </w:r>
      <w:r w:rsidR="00567285">
        <w:rPr>
          <w:rFonts w:ascii="Arial" w:hAnsi="Arial" w:cs="Arial"/>
          <w:color w:val="auto"/>
        </w:rPr>
        <w:t xml:space="preserve"> </w:t>
      </w:r>
      <w:r w:rsidRPr="004320CA">
        <w:rPr>
          <w:rFonts w:ascii="Arial" w:hAnsi="Arial" w:cs="Arial"/>
          <w:color w:val="auto"/>
        </w:rPr>
        <w:t xml:space="preserve">Ex </w:t>
      </w:r>
      <w:r w:rsidR="00567285">
        <w:rPr>
          <w:rFonts w:ascii="Arial" w:hAnsi="Arial" w:cs="Arial"/>
          <w:color w:val="auto"/>
        </w:rPr>
        <w:t>P</w:t>
      </w:r>
      <w:r w:rsidRPr="004320CA">
        <w:rPr>
          <w:rFonts w:ascii="Arial" w:hAnsi="Arial" w:cs="Arial"/>
          <w:color w:val="auto"/>
        </w:rPr>
        <w:t>arte President of South Africa.</w:t>
      </w:r>
      <w:r w:rsidRPr="004320CA">
        <w:rPr>
          <w:rStyle w:val="FootnoteReference"/>
          <w:rFonts w:ascii="Arial" w:hAnsi="Arial" w:cs="Arial"/>
          <w:b w:val="0"/>
          <w:color w:val="auto"/>
        </w:rPr>
        <w:footnoteReference w:id="13"/>
      </w:r>
    </w:p>
    <w:p w:rsidR="0010392A" w:rsidRPr="000D7782" w:rsidRDefault="0010392A" w:rsidP="00FE32B1">
      <w:pPr>
        <w:pStyle w:val="ListParagraph"/>
        <w:spacing w:line="360" w:lineRule="auto"/>
        <w:jc w:val="both"/>
        <w:rPr>
          <w:rFonts w:ascii="Arial" w:hAnsi="Arial" w:cs="Arial"/>
          <w:b w:val="0"/>
          <w:i/>
          <w:color w:val="auto"/>
        </w:rPr>
      </w:pPr>
    </w:p>
    <w:p w:rsidR="0010392A" w:rsidRPr="000D7782" w:rsidRDefault="0010392A" w:rsidP="00FE32B1">
      <w:pPr>
        <w:pStyle w:val="ListParagraph"/>
        <w:numPr>
          <w:ilvl w:val="0"/>
          <w:numId w:val="2"/>
        </w:numPr>
        <w:spacing w:line="360" w:lineRule="auto"/>
        <w:ind w:left="851" w:hanging="851"/>
        <w:jc w:val="both"/>
        <w:rPr>
          <w:rFonts w:ascii="Arial" w:hAnsi="Arial" w:cs="Arial"/>
          <w:b w:val="0"/>
          <w:i/>
          <w:color w:val="auto"/>
        </w:rPr>
      </w:pPr>
      <w:r w:rsidRPr="000D7782">
        <w:rPr>
          <w:rFonts w:ascii="Arial" w:hAnsi="Arial" w:cs="Arial"/>
          <w:b w:val="0"/>
          <w:color w:val="auto"/>
        </w:rPr>
        <w:t xml:space="preserve">That it follows that to the extent that </w:t>
      </w:r>
      <w:r w:rsidR="00B4142C" w:rsidRPr="000D7782">
        <w:rPr>
          <w:rFonts w:ascii="Arial" w:hAnsi="Arial" w:cs="Arial"/>
          <w:b w:val="0"/>
          <w:color w:val="auto"/>
        </w:rPr>
        <w:t xml:space="preserve">the </w:t>
      </w:r>
      <w:r w:rsidRPr="000D7782">
        <w:rPr>
          <w:rFonts w:ascii="Arial" w:hAnsi="Arial" w:cs="Arial"/>
          <w:b w:val="0"/>
          <w:color w:val="auto"/>
        </w:rPr>
        <w:t>Proclamation does not name an earlier date for its coming into operation, it must be construed to apply with effect from the date of publication i.e</w:t>
      </w:r>
      <w:r w:rsidR="004320CA">
        <w:rPr>
          <w:rFonts w:ascii="Arial" w:hAnsi="Arial" w:cs="Arial"/>
          <w:b w:val="0"/>
          <w:color w:val="auto"/>
        </w:rPr>
        <w:t xml:space="preserve">.  </w:t>
      </w:r>
      <w:r w:rsidRPr="000D7782">
        <w:rPr>
          <w:rFonts w:ascii="Arial" w:hAnsi="Arial" w:cs="Arial"/>
          <w:b w:val="0"/>
          <w:color w:val="auto"/>
        </w:rPr>
        <w:t>08 May 2020</w:t>
      </w:r>
      <w:r w:rsidR="004320CA">
        <w:rPr>
          <w:rFonts w:ascii="Arial" w:hAnsi="Arial" w:cs="Arial"/>
          <w:b w:val="0"/>
          <w:color w:val="auto"/>
        </w:rPr>
        <w:t xml:space="preserve">.  </w:t>
      </w:r>
      <w:r w:rsidRPr="000D7782">
        <w:rPr>
          <w:rFonts w:ascii="Arial" w:hAnsi="Arial" w:cs="Arial"/>
          <w:b w:val="0"/>
          <w:color w:val="auto"/>
        </w:rPr>
        <w:t>That this interpretation is also consistent with the principle which state that, provisions which implicate liberty and freedom must be construed to promote freedom</w:t>
      </w:r>
      <w:r w:rsidR="00555EC8">
        <w:rPr>
          <w:rFonts w:ascii="Arial" w:hAnsi="Arial" w:cs="Arial"/>
          <w:b w:val="0"/>
          <w:color w:val="auto"/>
        </w:rPr>
        <w:t>,</w:t>
      </w:r>
      <w:r w:rsidRPr="000D7782">
        <w:rPr>
          <w:rFonts w:ascii="Arial" w:hAnsi="Arial" w:cs="Arial"/>
          <w:b w:val="0"/>
          <w:color w:val="auto"/>
        </w:rPr>
        <w:t xml:space="preserve"> not to derogate from it</w:t>
      </w:r>
      <w:r w:rsidR="004320CA">
        <w:rPr>
          <w:rFonts w:ascii="Arial" w:hAnsi="Arial" w:cs="Arial"/>
          <w:b w:val="0"/>
          <w:color w:val="auto"/>
        </w:rPr>
        <w:t xml:space="preserve">.  </w:t>
      </w:r>
      <w:r w:rsidRPr="000D7782">
        <w:rPr>
          <w:rFonts w:ascii="Arial" w:hAnsi="Arial" w:cs="Arial"/>
          <w:b w:val="0"/>
          <w:color w:val="auto"/>
        </w:rPr>
        <w:t>That that being the case</w:t>
      </w:r>
      <w:r w:rsidR="00555EC8">
        <w:rPr>
          <w:rFonts w:ascii="Arial" w:hAnsi="Arial" w:cs="Arial"/>
          <w:b w:val="0"/>
          <w:color w:val="auto"/>
        </w:rPr>
        <w:t>,</w:t>
      </w:r>
      <w:r w:rsidRPr="000D7782">
        <w:rPr>
          <w:rFonts w:ascii="Arial" w:hAnsi="Arial" w:cs="Arial"/>
          <w:b w:val="0"/>
          <w:color w:val="auto"/>
        </w:rPr>
        <w:t xml:space="preserve"> the simple question was whether the applicant is due to reach a minimum detention period within 60 months of 08 May 2020?  </w:t>
      </w:r>
    </w:p>
    <w:p w:rsidR="0010392A" w:rsidRPr="000D7782" w:rsidRDefault="0010392A" w:rsidP="00FE32B1">
      <w:pPr>
        <w:pStyle w:val="ListParagraph"/>
        <w:spacing w:line="360" w:lineRule="auto"/>
        <w:rPr>
          <w:rFonts w:ascii="Arial" w:hAnsi="Arial" w:cs="Arial"/>
          <w:b w:val="0"/>
          <w:color w:val="auto"/>
        </w:rPr>
      </w:pPr>
    </w:p>
    <w:p w:rsidR="0010392A" w:rsidRPr="000D7782" w:rsidRDefault="0010392A" w:rsidP="00FE32B1">
      <w:pPr>
        <w:pStyle w:val="ListParagraph"/>
        <w:numPr>
          <w:ilvl w:val="0"/>
          <w:numId w:val="2"/>
        </w:numPr>
        <w:spacing w:line="360" w:lineRule="auto"/>
        <w:ind w:left="851" w:hanging="851"/>
        <w:jc w:val="both"/>
        <w:rPr>
          <w:rFonts w:ascii="Arial" w:hAnsi="Arial" w:cs="Arial"/>
          <w:b w:val="0"/>
          <w:i/>
          <w:color w:val="auto"/>
        </w:rPr>
      </w:pPr>
      <w:r w:rsidRPr="000D7782">
        <w:rPr>
          <w:rFonts w:ascii="Arial" w:hAnsi="Arial" w:cs="Arial"/>
          <w:b w:val="0"/>
          <w:color w:val="auto"/>
        </w:rPr>
        <w:t xml:space="preserve">That if in terms of the </w:t>
      </w:r>
      <w:r w:rsidR="00FE32B1" w:rsidRPr="00FE32B1">
        <w:rPr>
          <w:rFonts w:ascii="Arial" w:hAnsi="Arial" w:cs="Arial"/>
          <w:color w:val="auto"/>
        </w:rPr>
        <w:t>INTERPRETATION ACT</w:t>
      </w:r>
      <w:r w:rsidRPr="000D7782">
        <w:rPr>
          <w:rFonts w:ascii="Arial" w:hAnsi="Arial" w:cs="Arial"/>
          <w:b w:val="0"/>
          <w:color w:val="auto"/>
        </w:rPr>
        <w:t xml:space="preserve"> a “</w:t>
      </w:r>
      <w:r w:rsidRPr="00FE32B1">
        <w:rPr>
          <w:rFonts w:ascii="Arial" w:hAnsi="Arial" w:cs="Arial"/>
          <w:b w:val="0"/>
          <w:i/>
          <w:color w:val="auto"/>
        </w:rPr>
        <w:t>month</w:t>
      </w:r>
      <w:r w:rsidRPr="000D7782">
        <w:rPr>
          <w:rFonts w:ascii="Arial" w:hAnsi="Arial" w:cs="Arial"/>
          <w:b w:val="0"/>
          <w:color w:val="auto"/>
        </w:rPr>
        <w:t>” means “</w:t>
      </w:r>
      <w:r w:rsidRPr="00FE32B1">
        <w:rPr>
          <w:rFonts w:ascii="Arial" w:hAnsi="Arial" w:cs="Arial"/>
          <w:b w:val="0"/>
          <w:i/>
          <w:color w:val="auto"/>
        </w:rPr>
        <w:t>a calendar month</w:t>
      </w:r>
      <w:r w:rsidRPr="000D7782">
        <w:rPr>
          <w:rFonts w:ascii="Arial" w:hAnsi="Arial" w:cs="Arial"/>
          <w:b w:val="0"/>
          <w:color w:val="auto"/>
        </w:rPr>
        <w:t>”</w:t>
      </w:r>
      <w:r w:rsidRPr="000D7782">
        <w:rPr>
          <w:rStyle w:val="FootnoteReference"/>
          <w:rFonts w:ascii="Arial" w:hAnsi="Arial" w:cs="Arial"/>
          <w:b w:val="0"/>
          <w:color w:val="auto"/>
        </w:rPr>
        <w:footnoteReference w:id="14"/>
      </w:r>
      <w:r w:rsidRPr="000D7782">
        <w:rPr>
          <w:rFonts w:ascii="Arial" w:hAnsi="Arial" w:cs="Arial"/>
          <w:b w:val="0"/>
          <w:color w:val="auto"/>
        </w:rPr>
        <w:t xml:space="preserve">  that means the applicant qualifies for the special remission of sentence because his minimum detention period is due in May 2025</w:t>
      </w:r>
      <w:r w:rsidR="004320CA">
        <w:rPr>
          <w:rFonts w:ascii="Arial" w:hAnsi="Arial" w:cs="Arial"/>
          <w:b w:val="0"/>
          <w:color w:val="auto"/>
        </w:rPr>
        <w:t xml:space="preserve">.  </w:t>
      </w:r>
      <w:r w:rsidRPr="000D7782">
        <w:rPr>
          <w:rFonts w:ascii="Arial" w:hAnsi="Arial" w:cs="Arial"/>
          <w:b w:val="0"/>
          <w:color w:val="auto"/>
        </w:rPr>
        <w:t xml:space="preserve">That it is of no assistance for the respondents to argue that the date falls on 25 May 2025, because the important issue is that it falls during the month of May 2025, as </w:t>
      </w:r>
      <w:r w:rsidRPr="000D7782">
        <w:rPr>
          <w:rFonts w:ascii="Arial" w:hAnsi="Arial" w:cs="Arial"/>
          <w:b w:val="0"/>
          <w:i/>
          <w:color w:val="auto"/>
        </w:rPr>
        <w:t>per</w:t>
      </w:r>
      <w:r w:rsidRPr="000D7782">
        <w:rPr>
          <w:rFonts w:ascii="Arial" w:hAnsi="Arial" w:cs="Arial"/>
          <w:b w:val="0"/>
          <w:color w:val="auto"/>
        </w:rPr>
        <w:t xml:space="preserve"> the Proclamation</w:t>
      </w:r>
      <w:r w:rsidR="004320CA">
        <w:rPr>
          <w:rFonts w:ascii="Arial" w:hAnsi="Arial" w:cs="Arial"/>
          <w:b w:val="0"/>
          <w:color w:val="auto"/>
        </w:rPr>
        <w:t xml:space="preserve">.  </w:t>
      </w:r>
    </w:p>
    <w:p w:rsidR="0010392A" w:rsidRPr="000D7782" w:rsidRDefault="0010392A" w:rsidP="00FE32B1">
      <w:pPr>
        <w:pStyle w:val="ListParagraph"/>
        <w:spacing w:line="360" w:lineRule="auto"/>
        <w:rPr>
          <w:rFonts w:ascii="Arial" w:hAnsi="Arial" w:cs="Arial"/>
          <w:b w:val="0"/>
          <w:color w:val="auto"/>
        </w:rPr>
      </w:pPr>
    </w:p>
    <w:p w:rsidR="0010392A" w:rsidRPr="00597D22" w:rsidRDefault="0010392A" w:rsidP="00FE32B1">
      <w:pPr>
        <w:pStyle w:val="ListParagraph"/>
        <w:numPr>
          <w:ilvl w:val="0"/>
          <w:numId w:val="2"/>
        </w:numPr>
        <w:spacing w:line="360" w:lineRule="auto"/>
        <w:ind w:left="851" w:hanging="851"/>
        <w:jc w:val="both"/>
        <w:rPr>
          <w:rFonts w:ascii="Arial" w:hAnsi="Arial" w:cs="Arial"/>
          <w:b w:val="0"/>
          <w:i/>
          <w:color w:val="auto"/>
        </w:rPr>
      </w:pPr>
      <w:r w:rsidRPr="000D7782">
        <w:rPr>
          <w:rFonts w:ascii="Arial" w:hAnsi="Arial" w:cs="Arial"/>
          <w:b w:val="0"/>
          <w:color w:val="auto"/>
        </w:rPr>
        <w:t xml:space="preserve">The applicant’s counsel predicated his argument also against </w:t>
      </w:r>
      <w:r w:rsidR="001F70B4">
        <w:rPr>
          <w:rFonts w:ascii="Arial" w:hAnsi="Arial" w:cs="Arial"/>
          <w:b w:val="0"/>
          <w:color w:val="auto"/>
        </w:rPr>
        <w:t>Section</w:t>
      </w:r>
      <w:r w:rsidRPr="000D7782">
        <w:rPr>
          <w:rFonts w:ascii="Arial" w:hAnsi="Arial" w:cs="Arial"/>
          <w:b w:val="0"/>
          <w:color w:val="auto"/>
        </w:rPr>
        <w:t xml:space="preserve"> 16A(2) of the </w:t>
      </w:r>
      <w:r w:rsidR="001F70B4" w:rsidRPr="001F70B4">
        <w:rPr>
          <w:rFonts w:ascii="Arial" w:hAnsi="Arial" w:cs="Arial"/>
          <w:color w:val="auto"/>
        </w:rPr>
        <w:t>INTERPRETATION ACT</w:t>
      </w:r>
      <w:r w:rsidRPr="000D7782">
        <w:rPr>
          <w:rFonts w:ascii="Arial" w:hAnsi="Arial" w:cs="Arial"/>
          <w:b w:val="0"/>
          <w:color w:val="auto"/>
        </w:rPr>
        <w:t xml:space="preserve">; to </w:t>
      </w:r>
      <w:r w:rsidRPr="000D7782">
        <w:rPr>
          <w:rFonts w:ascii="Arial" w:hAnsi="Arial" w:cs="Arial"/>
          <w:b w:val="0"/>
          <w:i/>
          <w:color w:val="auto"/>
        </w:rPr>
        <w:t>wit</w:t>
      </w:r>
      <w:r w:rsidRPr="000D7782">
        <w:rPr>
          <w:rFonts w:ascii="Arial" w:hAnsi="Arial" w:cs="Arial"/>
          <w:b w:val="0"/>
          <w:color w:val="auto"/>
        </w:rPr>
        <w:t xml:space="preserve">: </w:t>
      </w:r>
    </w:p>
    <w:p w:rsidR="0010392A" w:rsidRPr="00884096" w:rsidRDefault="0010392A" w:rsidP="00FE32B1">
      <w:pPr>
        <w:pStyle w:val="ListParagraph"/>
        <w:spacing w:line="360" w:lineRule="auto"/>
        <w:ind w:left="1701" w:hanging="850"/>
        <w:jc w:val="both"/>
        <w:rPr>
          <w:rFonts w:ascii="Times New Roman" w:hAnsi="Times New Roman"/>
          <w:b w:val="0"/>
          <w:i/>
          <w:color w:val="auto"/>
        </w:rPr>
      </w:pPr>
      <w:r w:rsidRPr="00884096">
        <w:rPr>
          <w:rFonts w:ascii="Times New Roman" w:hAnsi="Times New Roman"/>
          <w:b w:val="0"/>
          <w:i/>
          <w:color w:val="auto"/>
        </w:rPr>
        <w:lastRenderedPageBreak/>
        <w:t>“</w:t>
      </w:r>
      <w:r w:rsidRPr="00884096">
        <w:rPr>
          <w:rFonts w:ascii="Times New Roman" w:hAnsi="Times New Roman"/>
          <w:i/>
          <w:color w:val="auto"/>
        </w:rPr>
        <w:t>16A</w:t>
      </w:r>
      <w:r w:rsidR="004320CA">
        <w:rPr>
          <w:rFonts w:ascii="Times New Roman" w:hAnsi="Times New Roman"/>
          <w:i/>
          <w:color w:val="auto"/>
        </w:rPr>
        <w:t xml:space="preserve">.  </w:t>
      </w:r>
      <w:r w:rsidR="00884096">
        <w:rPr>
          <w:rFonts w:ascii="Times New Roman" w:hAnsi="Times New Roman"/>
          <w:i/>
          <w:color w:val="auto"/>
        </w:rPr>
        <w:tab/>
      </w:r>
      <w:r w:rsidRPr="00884096">
        <w:rPr>
          <w:rFonts w:ascii="Times New Roman" w:hAnsi="Times New Roman"/>
          <w:i/>
          <w:color w:val="auto"/>
        </w:rPr>
        <w:t>Promulgation and commencement of laws and publication of certain notices when publication of the Gazette impracticable</w:t>
      </w:r>
      <w:r w:rsidRPr="00884096">
        <w:rPr>
          <w:rFonts w:ascii="Times New Roman" w:hAnsi="Times New Roman"/>
          <w:b w:val="0"/>
          <w:i/>
          <w:color w:val="auto"/>
        </w:rPr>
        <w:t xml:space="preserve">   </w:t>
      </w:r>
    </w:p>
    <w:p w:rsidR="0010392A" w:rsidRPr="00884096" w:rsidRDefault="0010392A" w:rsidP="00FE32B1">
      <w:pPr>
        <w:pStyle w:val="ListParagraph"/>
        <w:spacing w:line="360" w:lineRule="auto"/>
        <w:ind w:left="2552" w:hanging="850"/>
        <w:jc w:val="both"/>
        <w:rPr>
          <w:rFonts w:ascii="Times New Roman" w:hAnsi="Times New Roman"/>
          <w:b w:val="0"/>
          <w:i/>
          <w:color w:val="auto"/>
        </w:rPr>
      </w:pPr>
      <w:r w:rsidRPr="00884096">
        <w:rPr>
          <w:rFonts w:ascii="Times New Roman" w:hAnsi="Times New Roman"/>
          <w:b w:val="0"/>
          <w:i/>
          <w:color w:val="auto"/>
        </w:rPr>
        <w:t xml:space="preserve">(1) </w:t>
      </w:r>
      <w:r w:rsidR="00884096">
        <w:rPr>
          <w:rFonts w:ascii="Times New Roman" w:hAnsi="Times New Roman"/>
          <w:b w:val="0"/>
          <w:i/>
          <w:color w:val="auto"/>
        </w:rPr>
        <w:tab/>
      </w:r>
      <w:r w:rsidRPr="00884096">
        <w:rPr>
          <w:rFonts w:ascii="Times New Roman" w:hAnsi="Times New Roman"/>
          <w:b w:val="0"/>
          <w:i/>
          <w:color w:val="auto"/>
        </w:rPr>
        <w:t>…</w:t>
      </w:r>
    </w:p>
    <w:p w:rsidR="0010392A" w:rsidRPr="000D7782" w:rsidRDefault="0010392A" w:rsidP="00FE32B1">
      <w:pPr>
        <w:spacing w:line="360" w:lineRule="auto"/>
        <w:ind w:left="2552" w:hanging="850"/>
        <w:contextualSpacing/>
        <w:jc w:val="both"/>
        <w:rPr>
          <w:rFonts w:ascii="Arial" w:hAnsi="Arial" w:cs="Arial"/>
          <w:b w:val="0"/>
          <w:i/>
          <w:color w:val="auto"/>
        </w:rPr>
      </w:pPr>
      <w:r w:rsidRPr="00884096">
        <w:rPr>
          <w:rFonts w:ascii="Times New Roman" w:hAnsi="Times New Roman"/>
          <w:b w:val="0"/>
          <w:i/>
          <w:color w:val="auto"/>
        </w:rPr>
        <w:t xml:space="preserve">(2) </w:t>
      </w:r>
      <w:r w:rsidR="00884096">
        <w:rPr>
          <w:rFonts w:ascii="Times New Roman" w:hAnsi="Times New Roman"/>
          <w:b w:val="0"/>
          <w:i/>
          <w:color w:val="auto"/>
        </w:rPr>
        <w:tab/>
      </w:r>
      <w:r w:rsidRPr="00884096">
        <w:rPr>
          <w:rFonts w:ascii="Times New Roman" w:hAnsi="Times New Roman"/>
          <w:b w:val="0"/>
          <w:i/>
          <w:color w:val="auto"/>
        </w:rPr>
        <w:t xml:space="preserve">Any law or notice published in accordance with any rules so made, shall be deemed to have been published in the Gazette, and </w:t>
      </w:r>
      <w:r w:rsidRPr="00884096">
        <w:rPr>
          <w:rFonts w:ascii="Times New Roman" w:hAnsi="Times New Roman"/>
          <w:b w:val="0"/>
          <w:i/>
          <w:color w:val="auto"/>
          <w:u w:val="single"/>
        </w:rPr>
        <w:t>any law so published shall be deemed to have come into operation on the day on which it was first so published as a law, unless some other day is fixed by or under that law for the commencement thereof.</w:t>
      </w:r>
      <w:r w:rsidRPr="00884096">
        <w:rPr>
          <w:rFonts w:ascii="Times New Roman" w:hAnsi="Times New Roman"/>
          <w:b w:val="0"/>
          <w:i/>
          <w:color w:val="auto"/>
        </w:rPr>
        <w:t>”</w:t>
      </w:r>
      <w:r w:rsidRPr="00567285">
        <w:rPr>
          <w:rStyle w:val="FootnoteReference"/>
          <w:rFonts w:ascii="Arial" w:hAnsi="Arial" w:cs="Arial"/>
          <w:b w:val="0"/>
          <w:color w:val="auto"/>
        </w:rPr>
        <w:footnoteReference w:id="15"/>
      </w:r>
    </w:p>
    <w:p w:rsidR="0010392A" w:rsidRPr="000D7782" w:rsidRDefault="0010392A" w:rsidP="00FE32B1">
      <w:pPr>
        <w:pStyle w:val="ListParagraph"/>
        <w:spacing w:line="360" w:lineRule="auto"/>
        <w:rPr>
          <w:rFonts w:ascii="Arial" w:hAnsi="Arial" w:cs="Arial"/>
          <w:b w:val="0"/>
          <w:color w:val="auto"/>
        </w:rPr>
      </w:pPr>
    </w:p>
    <w:p w:rsidR="0010392A" w:rsidRPr="000D7782" w:rsidRDefault="0010392A" w:rsidP="00FE32B1">
      <w:pPr>
        <w:pStyle w:val="ListParagraph"/>
        <w:numPr>
          <w:ilvl w:val="0"/>
          <w:numId w:val="2"/>
        </w:numPr>
        <w:spacing w:line="360" w:lineRule="auto"/>
        <w:ind w:left="851" w:hanging="851"/>
        <w:jc w:val="both"/>
        <w:rPr>
          <w:rFonts w:ascii="Arial" w:hAnsi="Arial" w:cs="Arial"/>
          <w:b w:val="0"/>
          <w:i/>
          <w:color w:val="auto"/>
        </w:rPr>
      </w:pPr>
      <w:r w:rsidRPr="000D7782">
        <w:rPr>
          <w:rFonts w:ascii="Arial" w:hAnsi="Arial" w:cs="Arial"/>
          <w:b w:val="0"/>
          <w:color w:val="auto"/>
        </w:rPr>
        <w:t xml:space="preserve">That in the premise, it is clear that the relevant date is the date when the </w:t>
      </w:r>
      <w:r w:rsidR="004320CA">
        <w:rPr>
          <w:rFonts w:ascii="Arial" w:hAnsi="Arial" w:cs="Arial"/>
          <w:b w:val="0"/>
          <w:color w:val="auto"/>
        </w:rPr>
        <w:t>Proclamation</w:t>
      </w:r>
      <w:r w:rsidRPr="000D7782">
        <w:rPr>
          <w:rFonts w:ascii="Arial" w:hAnsi="Arial" w:cs="Arial"/>
          <w:b w:val="0"/>
          <w:color w:val="auto"/>
        </w:rPr>
        <w:t xml:space="preserve"> is published, because same does not say it commences on a different date than the said date</w:t>
      </w:r>
      <w:r w:rsidR="004320CA">
        <w:rPr>
          <w:rFonts w:ascii="Arial" w:hAnsi="Arial" w:cs="Arial"/>
          <w:b w:val="0"/>
          <w:color w:val="auto"/>
        </w:rPr>
        <w:t xml:space="preserve">.  </w:t>
      </w:r>
      <w:r w:rsidRPr="000D7782">
        <w:rPr>
          <w:rFonts w:ascii="Arial" w:hAnsi="Arial" w:cs="Arial"/>
          <w:b w:val="0"/>
          <w:color w:val="auto"/>
        </w:rPr>
        <w:t>That in the premise, there is no legally acceptable reason why the applicant remains incarcerated</w:t>
      </w:r>
      <w:r w:rsidR="004320CA">
        <w:rPr>
          <w:rFonts w:ascii="Arial" w:hAnsi="Arial" w:cs="Arial"/>
          <w:b w:val="0"/>
          <w:color w:val="auto"/>
        </w:rPr>
        <w:t xml:space="preserve">.  </w:t>
      </w:r>
      <w:r w:rsidRPr="000D7782">
        <w:rPr>
          <w:rFonts w:ascii="Arial" w:hAnsi="Arial" w:cs="Arial"/>
          <w:b w:val="0"/>
          <w:color w:val="auto"/>
        </w:rPr>
        <w:t>It is against this backdrop that counsel for applicant submitted that the applicant should have been released</w:t>
      </w:r>
      <w:r w:rsidR="004320CA">
        <w:rPr>
          <w:rFonts w:ascii="Arial" w:hAnsi="Arial" w:cs="Arial"/>
          <w:b w:val="0"/>
          <w:color w:val="auto"/>
        </w:rPr>
        <w:t xml:space="preserve">.  </w:t>
      </w:r>
    </w:p>
    <w:p w:rsidR="0010392A" w:rsidRPr="000D7782" w:rsidRDefault="0010392A" w:rsidP="00FE32B1">
      <w:pPr>
        <w:spacing w:line="360" w:lineRule="auto"/>
        <w:contextualSpacing/>
        <w:rPr>
          <w:rFonts w:ascii="Arial" w:hAnsi="Arial" w:cs="Arial"/>
        </w:rPr>
      </w:pPr>
    </w:p>
    <w:p w:rsidR="0010392A" w:rsidRPr="00884096" w:rsidRDefault="0010392A" w:rsidP="00FE32B1">
      <w:pPr>
        <w:pStyle w:val="ListParagraph"/>
        <w:numPr>
          <w:ilvl w:val="0"/>
          <w:numId w:val="2"/>
        </w:numPr>
        <w:spacing w:line="360" w:lineRule="auto"/>
        <w:ind w:left="851" w:hanging="851"/>
        <w:jc w:val="both"/>
        <w:rPr>
          <w:rFonts w:ascii="Arial" w:hAnsi="Arial" w:cs="Arial"/>
          <w:b w:val="0"/>
          <w:i/>
          <w:color w:val="auto"/>
        </w:rPr>
      </w:pPr>
      <w:r w:rsidRPr="000D7782">
        <w:rPr>
          <w:rFonts w:ascii="Arial" w:hAnsi="Arial" w:cs="Arial"/>
          <w:b w:val="0"/>
          <w:color w:val="auto"/>
        </w:rPr>
        <w:t xml:space="preserve">For the respondents, </w:t>
      </w:r>
      <w:r w:rsidRPr="000D7782">
        <w:rPr>
          <w:rFonts w:ascii="Arial" w:hAnsi="Arial" w:cs="Arial"/>
          <w:b w:val="0"/>
          <w:i/>
          <w:color w:val="auto"/>
        </w:rPr>
        <w:t>Mr</w:t>
      </w:r>
      <w:r w:rsidR="004320CA">
        <w:rPr>
          <w:rFonts w:ascii="Arial" w:hAnsi="Arial" w:cs="Arial"/>
          <w:b w:val="0"/>
          <w:i/>
          <w:color w:val="auto"/>
        </w:rPr>
        <w:t xml:space="preserve">.  </w:t>
      </w:r>
      <w:r w:rsidRPr="000D7782">
        <w:rPr>
          <w:rFonts w:ascii="Arial" w:hAnsi="Arial" w:cs="Arial"/>
          <w:b w:val="0"/>
          <w:i/>
          <w:color w:val="auto"/>
        </w:rPr>
        <w:t>LW Maponya</w:t>
      </w:r>
      <w:r w:rsidRPr="000D7782">
        <w:rPr>
          <w:rFonts w:ascii="Arial" w:hAnsi="Arial" w:cs="Arial"/>
          <w:b w:val="0"/>
          <w:color w:val="auto"/>
        </w:rPr>
        <w:t xml:space="preserve">, in this regard referred this Court to </w:t>
      </w:r>
      <w:r w:rsidRPr="000D7782">
        <w:rPr>
          <w:rFonts w:ascii="Arial" w:hAnsi="Arial" w:cs="Arial"/>
          <w:i/>
          <w:color w:val="auto"/>
        </w:rPr>
        <w:t>Smith</w:t>
      </w:r>
      <w:r w:rsidRPr="00187486">
        <w:rPr>
          <w:rFonts w:ascii="Arial" w:hAnsi="Arial" w:cs="Arial"/>
          <w:b w:val="0"/>
          <w:color w:val="auto"/>
        </w:rPr>
        <w:t xml:space="preserve"> </w:t>
      </w:r>
      <w:r w:rsidRPr="000D7782">
        <w:rPr>
          <w:rFonts w:ascii="Arial" w:hAnsi="Arial" w:cs="Arial"/>
          <w:b w:val="0"/>
          <w:color w:val="auto"/>
        </w:rPr>
        <w:t xml:space="preserve">where the following was held, </w:t>
      </w:r>
      <w:r w:rsidRPr="000D7782">
        <w:rPr>
          <w:rFonts w:ascii="Arial" w:hAnsi="Arial" w:cs="Arial"/>
          <w:b w:val="0"/>
          <w:i/>
          <w:color w:val="auto"/>
        </w:rPr>
        <w:t>per</w:t>
      </w:r>
      <w:r w:rsidRPr="000D7782">
        <w:rPr>
          <w:rFonts w:ascii="Arial" w:hAnsi="Arial" w:cs="Arial"/>
          <w:b w:val="0"/>
          <w:color w:val="auto"/>
        </w:rPr>
        <w:t xml:space="preserve"> </w:t>
      </w:r>
      <w:proofErr w:type="spellStart"/>
      <w:r w:rsidRPr="000D7782">
        <w:rPr>
          <w:rFonts w:ascii="Arial" w:hAnsi="Arial" w:cs="Arial"/>
          <w:b w:val="0"/>
          <w:color w:val="auto"/>
        </w:rPr>
        <w:t>Strydom</w:t>
      </w:r>
      <w:proofErr w:type="spellEnd"/>
      <w:r w:rsidRPr="000D7782">
        <w:rPr>
          <w:rFonts w:ascii="Arial" w:hAnsi="Arial" w:cs="Arial"/>
          <w:b w:val="0"/>
          <w:color w:val="auto"/>
        </w:rPr>
        <w:t xml:space="preserve"> J:</w:t>
      </w:r>
      <w:r w:rsidR="00555EC8" w:rsidRPr="00187486">
        <w:rPr>
          <w:rStyle w:val="FootnoteReference"/>
          <w:rFonts w:ascii="Arial" w:hAnsi="Arial" w:cs="Arial"/>
          <w:b w:val="0"/>
          <w:color w:val="auto"/>
        </w:rPr>
        <w:footnoteReference w:id="16"/>
      </w:r>
      <w:r w:rsidRPr="000D7782">
        <w:rPr>
          <w:rFonts w:ascii="Arial" w:hAnsi="Arial" w:cs="Arial"/>
          <w:b w:val="0"/>
          <w:color w:val="auto"/>
        </w:rPr>
        <w:t xml:space="preserve"> </w:t>
      </w:r>
    </w:p>
    <w:p w:rsidR="00884096" w:rsidRPr="00884096" w:rsidRDefault="00884096" w:rsidP="00FE32B1">
      <w:pPr>
        <w:pStyle w:val="ListParagraph"/>
        <w:spacing w:line="360" w:lineRule="auto"/>
        <w:rPr>
          <w:rFonts w:ascii="Arial" w:hAnsi="Arial" w:cs="Arial"/>
          <w:b w:val="0"/>
          <w:i/>
          <w:color w:val="auto"/>
        </w:rPr>
      </w:pPr>
    </w:p>
    <w:p w:rsidR="0010392A" w:rsidRDefault="00555EC8" w:rsidP="00FE32B1">
      <w:pPr>
        <w:spacing w:line="360" w:lineRule="auto"/>
        <w:ind w:left="1701" w:hanging="850"/>
        <w:contextualSpacing/>
        <w:jc w:val="both"/>
        <w:rPr>
          <w:rFonts w:ascii="Times New Roman" w:hAnsi="Times New Roman"/>
          <w:b w:val="0"/>
          <w:i/>
          <w:color w:val="auto"/>
        </w:rPr>
      </w:pPr>
      <w:r>
        <w:rPr>
          <w:rFonts w:ascii="Times New Roman" w:hAnsi="Times New Roman"/>
          <w:b w:val="0"/>
          <w:i/>
          <w:color w:val="auto"/>
        </w:rPr>
        <w:t>”</w:t>
      </w:r>
      <w:r w:rsidRPr="00884096">
        <w:rPr>
          <w:rFonts w:ascii="Times New Roman" w:hAnsi="Times New Roman"/>
          <w:b w:val="0"/>
          <w:i/>
          <w:color w:val="auto"/>
        </w:rPr>
        <w:t xml:space="preserve"> [</w:t>
      </w:r>
      <w:r w:rsidR="0010392A" w:rsidRPr="00884096">
        <w:rPr>
          <w:rFonts w:ascii="Times New Roman" w:hAnsi="Times New Roman"/>
          <w:b w:val="0"/>
          <w:i/>
          <w:color w:val="auto"/>
        </w:rPr>
        <w:t xml:space="preserve">5] </w:t>
      </w:r>
      <w:r w:rsidR="00884096">
        <w:rPr>
          <w:rFonts w:ascii="Times New Roman" w:hAnsi="Times New Roman"/>
          <w:b w:val="0"/>
          <w:i/>
          <w:color w:val="auto"/>
        </w:rPr>
        <w:tab/>
      </w:r>
      <w:r w:rsidR="0010392A" w:rsidRPr="00884096">
        <w:rPr>
          <w:rFonts w:ascii="Times New Roman" w:hAnsi="Times New Roman"/>
          <w:b w:val="0"/>
          <w:i/>
          <w:color w:val="auto"/>
        </w:rPr>
        <w:t>The condition which was important for the purposes of this matter was that sentenced offenders who have or would have reached their Minimum Detention Period (“MPD”) within a period of 60 months from 27 April 2020 would have qualify (sic) for this placement on parole</w:t>
      </w:r>
      <w:r w:rsidR="004320CA">
        <w:rPr>
          <w:rFonts w:ascii="Times New Roman" w:hAnsi="Times New Roman"/>
          <w:b w:val="0"/>
          <w:i/>
          <w:color w:val="auto"/>
        </w:rPr>
        <w:t xml:space="preserve">.  </w:t>
      </w:r>
      <w:r w:rsidR="0010392A" w:rsidRPr="00884096">
        <w:rPr>
          <w:rFonts w:ascii="Times New Roman" w:hAnsi="Times New Roman"/>
          <w:b w:val="0"/>
          <w:i/>
          <w:color w:val="auto"/>
        </w:rPr>
        <w:t>In this judgment, this special parole will be referred to as (“the Covid parole”).</w:t>
      </w:r>
    </w:p>
    <w:p w:rsidR="00884096" w:rsidRPr="00884096" w:rsidRDefault="00884096" w:rsidP="00FE32B1">
      <w:pPr>
        <w:spacing w:line="360" w:lineRule="auto"/>
        <w:ind w:left="1701" w:hanging="850"/>
        <w:contextualSpacing/>
        <w:jc w:val="both"/>
        <w:rPr>
          <w:rFonts w:ascii="Times New Roman" w:hAnsi="Times New Roman"/>
          <w:b w:val="0"/>
          <w:i/>
          <w:color w:val="auto"/>
        </w:rPr>
      </w:pPr>
    </w:p>
    <w:p w:rsidR="0010392A" w:rsidRPr="000D7782" w:rsidRDefault="0010392A" w:rsidP="00FE32B1">
      <w:pPr>
        <w:spacing w:line="360" w:lineRule="auto"/>
        <w:ind w:left="1701" w:hanging="850"/>
        <w:contextualSpacing/>
        <w:jc w:val="both"/>
        <w:rPr>
          <w:rFonts w:ascii="Arial" w:hAnsi="Arial" w:cs="Arial"/>
          <w:i/>
          <w:color w:val="auto"/>
        </w:rPr>
      </w:pPr>
      <w:r w:rsidRPr="00884096">
        <w:rPr>
          <w:rFonts w:ascii="Times New Roman" w:hAnsi="Times New Roman"/>
          <w:i/>
          <w:color w:val="auto"/>
        </w:rPr>
        <w:t xml:space="preserve">[6] </w:t>
      </w:r>
      <w:r w:rsidR="00884096">
        <w:rPr>
          <w:rFonts w:ascii="Times New Roman" w:hAnsi="Times New Roman"/>
          <w:i/>
          <w:color w:val="auto"/>
        </w:rPr>
        <w:tab/>
      </w:r>
      <w:r w:rsidRPr="00884096">
        <w:rPr>
          <w:rFonts w:ascii="Times New Roman" w:hAnsi="Times New Roman"/>
          <w:i/>
          <w:color w:val="auto"/>
        </w:rPr>
        <w:t>For the applicant to have qualified for this parole his DMP should have been calculated to see whether it stretched beyond 26 April 2025</w:t>
      </w:r>
      <w:r w:rsidR="004320CA">
        <w:rPr>
          <w:rFonts w:ascii="Times New Roman" w:hAnsi="Times New Roman"/>
          <w:i/>
          <w:color w:val="auto"/>
        </w:rPr>
        <w:t xml:space="preserve">.  </w:t>
      </w:r>
      <w:r w:rsidRPr="00884096">
        <w:rPr>
          <w:rFonts w:ascii="Times New Roman" w:hAnsi="Times New Roman"/>
          <w:i/>
          <w:color w:val="auto"/>
        </w:rPr>
        <w:t>This is a period of five years after the announcement of the Covid parole which was made on 27 April 2020.”</w:t>
      </w:r>
      <w:r w:rsidRPr="00884096">
        <w:rPr>
          <w:rStyle w:val="FootnoteReference"/>
          <w:rFonts w:ascii="Arial" w:hAnsi="Arial" w:cs="Arial"/>
          <w:b w:val="0"/>
          <w:color w:val="auto"/>
        </w:rPr>
        <w:footnoteReference w:id="17"/>
      </w:r>
    </w:p>
    <w:p w:rsidR="0010392A" w:rsidRPr="000D7782" w:rsidRDefault="0010392A" w:rsidP="00FE32B1">
      <w:pPr>
        <w:spacing w:line="360" w:lineRule="auto"/>
        <w:ind w:left="360"/>
        <w:contextualSpacing/>
        <w:jc w:val="both"/>
        <w:rPr>
          <w:rFonts w:ascii="Arial" w:hAnsi="Arial" w:cs="Arial"/>
          <w:i/>
          <w:color w:val="auto"/>
        </w:rPr>
      </w:pPr>
    </w:p>
    <w:p w:rsidR="0010392A" w:rsidRPr="00555EC8" w:rsidRDefault="0010392A" w:rsidP="00FE32B1">
      <w:pPr>
        <w:pStyle w:val="ListParagraph"/>
        <w:numPr>
          <w:ilvl w:val="0"/>
          <w:numId w:val="2"/>
        </w:numPr>
        <w:spacing w:line="360" w:lineRule="auto"/>
        <w:ind w:left="851" w:hanging="851"/>
        <w:jc w:val="both"/>
        <w:rPr>
          <w:rFonts w:ascii="Arial" w:hAnsi="Arial" w:cs="Arial"/>
        </w:rPr>
      </w:pPr>
      <w:r w:rsidRPr="00555EC8">
        <w:rPr>
          <w:rFonts w:ascii="Arial" w:hAnsi="Arial" w:cs="Arial"/>
          <w:b w:val="0"/>
          <w:color w:val="auto"/>
        </w:rPr>
        <w:lastRenderedPageBreak/>
        <w:t>That the reason why the date of the 27 April 2020, was included in the preamble of the Proclamation was to clearly provide the starting point of the calculation of the period referred to in the</w:t>
      </w:r>
      <w:r w:rsidRPr="00555EC8">
        <w:rPr>
          <w:rFonts w:ascii="Arial" w:hAnsi="Arial" w:cs="Arial"/>
        </w:rPr>
        <w:t xml:space="preserve"> </w:t>
      </w:r>
      <w:r w:rsidRPr="00555EC8">
        <w:rPr>
          <w:rFonts w:ascii="Arial" w:hAnsi="Arial" w:cs="Arial"/>
          <w:b w:val="0"/>
          <w:color w:val="auto"/>
        </w:rPr>
        <w:t>Proclamation</w:t>
      </w:r>
      <w:r w:rsidR="004320CA" w:rsidRPr="00555EC8">
        <w:rPr>
          <w:rFonts w:ascii="Arial" w:hAnsi="Arial" w:cs="Arial"/>
          <w:b w:val="0"/>
          <w:color w:val="auto"/>
        </w:rPr>
        <w:t xml:space="preserve">.  </w:t>
      </w:r>
      <w:r w:rsidRPr="00555EC8">
        <w:rPr>
          <w:rFonts w:ascii="Arial" w:hAnsi="Arial" w:cs="Arial"/>
          <w:b w:val="0"/>
          <w:color w:val="auto"/>
        </w:rPr>
        <w:t>That it should be noted that the effective date and the date in which the period should be counted from, are two different things</w:t>
      </w:r>
      <w:r w:rsidR="004320CA" w:rsidRPr="00555EC8">
        <w:rPr>
          <w:rFonts w:ascii="Arial" w:hAnsi="Arial" w:cs="Arial"/>
          <w:b w:val="0"/>
          <w:color w:val="auto"/>
        </w:rPr>
        <w:t xml:space="preserve">.  </w:t>
      </w:r>
    </w:p>
    <w:p w:rsidR="00555EC8" w:rsidRPr="00555EC8" w:rsidRDefault="00555EC8" w:rsidP="00FE32B1">
      <w:pPr>
        <w:pStyle w:val="ListParagraph"/>
        <w:spacing w:line="360" w:lineRule="auto"/>
        <w:ind w:left="851"/>
        <w:jc w:val="both"/>
        <w:rPr>
          <w:rFonts w:ascii="Arial" w:hAnsi="Arial" w:cs="Arial"/>
        </w:rPr>
      </w:pPr>
    </w:p>
    <w:p w:rsidR="0010392A" w:rsidRPr="000D7782" w:rsidRDefault="0010392A"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 xml:space="preserve">That a contextual interpretation of paragraph 1(a) of the Proclamation to </w:t>
      </w:r>
      <w:r w:rsidRPr="000D7782">
        <w:rPr>
          <w:rFonts w:ascii="Arial" w:hAnsi="Arial" w:cs="Arial"/>
          <w:b w:val="0"/>
          <w:i/>
          <w:color w:val="auto"/>
        </w:rPr>
        <w:t>wit</w:t>
      </w:r>
      <w:r w:rsidRPr="000D7782">
        <w:rPr>
          <w:rFonts w:ascii="Arial" w:hAnsi="Arial" w:cs="Arial"/>
          <w:b w:val="0"/>
          <w:color w:val="auto"/>
        </w:rPr>
        <w:t xml:space="preserve">: </w:t>
      </w:r>
      <w:r w:rsidRPr="000D7782">
        <w:rPr>
          <w:rFonts w:ascii="Arial" w:hAnsi="Arial" w:cs="Arial"/>
          <w:b w:val="0"/>
          <w:i/>
          <w:color w:val="auto"/>
        </w:rPr>
        <w:t>“Offenders who have or will reach their minimum detention period within a period of 60 months from the date hereof”</w:t>
      </w:r>
      <w:r w:rsidRPr="000D7782">
        <w:rPr>
          <w:rFonts w:ascii="Arial" w:hAnsi="Arial" w:cs="Arial"/>
          <w:b w:val="0"/>
          <w:color w:val="auto"/>
        </w:rPr>
        <w:t xml:space="preserve"> reveals that same refers to the date already mentioned in the Proclamation, which is 27 April 2020</w:t>
      </w:r>
      <w:r w:rsidR="004320CA">
        <w:rPr>
          <w:rFonts w:ascii="Arial" w:hAnsi="Arial" w:cs="Arial"/>
          <w:b w:val="0"/>
          <w:color w:val="auto"/>
        </w:rPr>
        <w:t xml:space="preserve">.  </w:t>
      </w:r>
      <w:r w:rsidRPr="000D7782">
        <w:rPr>
          <w:rFonts w:ascii="Arial" w:hAnsi="Arial" w:cs="Arial"/>
          <w:b w:val="0"/>
          <w:color w:val="auto"/>
        </w:rPr>
        <w:t xml:space="preserve">Any calculation which is not in line with 27 April 2020, will be in conflict with the judgment in </w:t>
      </w:r>
      <w:r w:rsidRPr="000D7782">
        <w:rPr>
          <w:rFonts w:ascii="Arial" w:hAnsi="Arial" w:cs="Arial"/>
          <w:i/>
          <w:color w:val="auto"/>
        </w:rPr>
        <w:t>Smith</w:t>
      </w:r>
      <w:r w:rsidRPr="000D7782">
        <w:rPr>
          <w:rFonts w:ascii="Arial" w:hAnsi="Arial" w:cs="Arial"/>
          <w:b w:val="0"/>
          <w:color w:val="auto"/>
        </w:rPr>
        <w:t xml:space="preserve"> which has already held the determining date for calculations of 60 months to be 27 April 2020.</w:t>
      </w:r>
    </w:p>
    <w:p w:rsidR="0010392A" w:rsidRPr="000D7782" w:rsidRDefault="0010392A" w:rsidP="00FE32B1">
      <w:pPr>
        <w:pStyle w:val="ListParagraph"/>
        <w:spacing w:line="360" w:lineRule="auto"/>
        <w:jc w:val="both"/>
        <w:rPr>
          <w:rFonts w:ascii="Arial" w:hAnsi="Arial" w:cs="Arial"/>
          <w:b w:val="0"/>
          <w:color w:val="auto"/>
        </w:rPr>
      </w:pPr>
    </w:p>
    <w:p w:rsidR="0010392A" w:rsidRPr="000D7782" w:rsidRDefault="0010392A" w:rsidP="00FE32B1">
      <w:pPr>
        <w:pStyle w:val="ListParagraph"/>
        <w:numPr>
          <w:ilvl w:val="0"/>
          <w:numId w:val="2"/>
        </w:numPr>
        <w:spacing w:line="360" w:lineRule="auto"/>
        <w:ind w:left="851" w:hanging="851"/>
        <w:jc w:val="both"/>
        <w:rPr>
          <w:rFonts w:ascii="Arial" w:hAnsi="Arial" w:cs="Arial"/>
          <w:i/>
          <w:color w:val="auto"/>
          <w:u w:val="single"/>
        </w:rPr>
      </w:pPr>
      <w:r w:rsidRPr="000D7782">
        <w:rPr>
          <w:rFonts w:ascii="Arial" w:hAnsi="Arial" w:cs="Arial"/>
          <w:b w:val="0"/>
          <w:color w:val="auto"/>
        </w:rPr>
        <w:t xml:space="preserve">That it is clear from </w:t>
      </w:r>
      <w:r w:rsidRPr="000D7782">
        <w:rPr>
          <w:rFonts w:ascii="Arial" w:hAnsi="Arial" w:cs="Arial"/>
          <w:i/>
          <w:color w:val="auto"/>
        </w:rPr>
        <w:t>Smith,</w:t>
      </w:r>
      <w:r w:rsidRPr="000D7782">
        <w:rPr>
          <w:rFonts w:ascii="Arial" w:hAnsi="Arial" w:cs="Arial"/>
          <w:b w:val="0"/>
          <w:color w:val="auto"/>
        </w:rPr>
        <w:t xml:space="preserve"> who was incarcerated on 06 December </w:t>
      </w:r>
      <w:proofErr w:type="gramStart"/>
      <w:r w:rsidRPr="000D7782">
        <w:rPr>
          <w:rFonts w:ascii="Arial" w:hAnsi="Arial" w:cs="Arial"/>
          <w:b w:val="0"/>
          <w:color w:val="auto"/>
        </w:rPr>
        <w:t>2018, that</w:t>
      </w:r>
      <w:proofErr w:type="gramEnd"/>
      <w:r w:rsidRPr="000D7782">
        <w:rPr>
          <w:rFonts w:ascii="Arial" w:hAnsi="Arial" w:cs="Arial"/>
          <w:b w:val="0"/>
          <w:color w:val="auto"/>
        </w:rPr>
        <w:t xml:space="preserve"> any applicant who falls beyond the 26 April 2025, does not qualify for Covid-19 parole</w:t>
      </w:r>
      <w:r w:rsidR="004320CA">
        <w:rPr>
          <w:rFonts w:ascii="Arial" w:hAnsi="Arial" w:cs="Arial"/>
          <w:b w:val="0"/>
          <w:color w:val="auto"/>
        </w:rPr>
        <w:t>.</w:t>
      </w:r>
      <w:r w:rsidR="00555EC8" w:rsidRPr="00555EC8">
        <w:rPr>
          <w:rFonts w:ascii="Arial" w:hAnsi="Arial" w:cs="Arial"/>
          <w:b w:val="0"/>
          <w:color w:val="auto"/>
        </w:rPr>
        <w:t xml:space="preserve"> </w:t>
      </w:r>
      <w:r w:rsidR="00555EC8" w:rsidRPr="000D7782">
        <w:rPr>
          <w:rFonts w:ascii="Arial" w:hAnsi="Arial" w:cs="Arial"/>
          <w:b w:val="0"/>
          <w:color w:val="auto"/>
        </w:rPr>
        <w:t>Smith’s period of minimum detention period was 30 September 2024, which was found to be falling beyond cut-off date of 26 April 2025.</w:t>
      </w:r>
      <w:r w:rsidR="00555EC8" w:rsidRPr="000D7782">
        <w:rPr>
          <w:rStyle w:val="FootnoteReference"/>
          <w:rFonts w:ascii="Arial" w:hAnsi="Arial" w:cs="Arial"/>
          <w:b w:val="0"/>
          <w:color w:val="auto"/>
        </w:rPr>
        <w:footnoteReference w:id="18"/>
      </w:r>
      <w:r w:rsidR="00555EC8" w:rsidRPr="000D7782">
        <w:rPr>
          <w:rFonts w:ascii="Arial" w:hAnsi="Arial" w:cs="Arial"/>
          <w:b w:val="0"/>
          <w:color w:val="auto"/>
        </w:rPr>
        <w:t xml:space="preserve"> </w:t>
      </w:r>
      <w:r w:rsidR="004320CA">
        <w:rPr>
          <w:rFonts w:ascii="Arial" w:hAnsi="Arial" w:cs="Arial"/>
          <w:b w:val="0"/>
          <w:color w:val="auto"/>
        </w:rPr>
        <w:t xml:space="preserve">  </w:t>
      </w:r>
      <w:r w:rsidRPr="000D7782">
        <w:rPr>
          <w:rFonts w:ascii="Arial" w:hAnsi="Arial" w:cs="Arial"/>
          <w:b w:val="0"/>
          <w:color w:val="auto"/>
        </w:rPr>
        <w:t>That the foregoing is to some extent similar to the present case because the applicant is also due for parole in May 2025, which falls outside the said deadline of 26 April 2025.</w:t>
      </w:r>
    </w:p>
    <w:p w:rsidR="0010392A" w:rsidRPr="000D7782" w:rsidRDefault="0010392A" w:rsidP="00FE32B1">
      <w:pPr>
        <w:pStyle w:val="ListParagraph"/>
        <w:spacing w:line="360" w:lineRule="auto"/>
        <w:rPr>
          <w:rFonts w:ascii="Arial" w:hAnsi="Arial" w:cs="Arial"/>
          <w:b w:val="0"/>
          <w:color w:val="auto"/>
        </w:rPr>
      </w:pPr>
    </w:p>
    <w:p w:rsidR="0010392A" w:rsidRPr="000D7782" w:rsidRDefault="0010392A" w:rsidP="00FE32B1">
      <w:pPr>
        <w:pStyle w:val="ListParagraph"/>
        <w:numPr>
          <w:ilvl w:val="0"/>
          <w:numId w:val="2"/>
        </w:numPr>
        <w:spacing w:line="360" w:lineRule="auto"/>
        <w:ind w:left="851" w:hanging="851"/>
        <w:jc w:val="both"/>
        <w:rPr>
          <w:rFonts w:ascii="Arial" w:hAnsi="Arial" w:cs="Arial"/>
          <w:i/>
          <w:color w:val="auto"/>
          <w:u w:val="single"/>
        </w:rPr>
      </w:pPr>
      <w:r w:rsidRPr="000D7782">
        <w:rPr>
          <w:rFonts w:ascii="Arial" w:hAnsi="Arial" w:cs="Arial"/>
          <w:b w:val="0"/>
          <w:color w:val="auto"/>
        </w:rPr>
        <w:t>It is against this backdrop that it was contended for the respondent that to the extent that the Parole Board has applied the correct method of calculations for Covid-19 parole, this application fell to be dismissed with costs</w:t>
      </w:r>
      <w:r w:rsidR="004320CA">
        <w:rPr>
          <w:rFonts w:ascii="Arial" w:hAnsi="Arial" w:cs="Arial"/>
          <w:b w:val="0"/>
          <w:color w:val="auto"/>
        </w:rPr>
        <w:t xml:space="preserve">.  </w:t>
      </w:r>
    </w:p>
    <w:p w:rsidR="0010392A" w:rsidRPr="000D7782" w:rsidRDefault="0010392A" w:rsidP="00FE32B1">
      <w:pPr>
        <w:spacing w:line="360" w:lineRule="auto"/>
        <w:contextualSpacing/>
        <w:rPr>
          <w:rFonts w:ascii="Arial" w:hAnsi="Arial" w:cs="Arial"/>
          <w:b w:val="0"/>
          <w:i/>
          <w:color w:val="auto"/>
        </w:rPr>
      </w:pPr>
    </w:p>
    <w:p w:rsidR="00555EC8" w:rsidRDefault="0010392A"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Section 84(2</w:t>
      </w:r>
      <w:proofErr w:type="gramStart"/>
      <w:r w:rsidRPr="000D7782">
        <w:rPr>
          <w:rFonts w:ascii="Arial" w:hAnsi="Arial" w:cs="Arial"/>
          <w:b w:val="0"/>
          <w:color w:val="auto"/>
        </w:rPr>
        <w:t>)(</w:t>
      </w:r>
      <w:proofErr w:type="gramEnd"/>
      <w:r w:rsidRPr="000D7782">
        <w:rPr>
          <w:rFonts w:ascii="Arial" w:hAnsi="Arial" w:cs="Arial"/>
          <w:b w:val="0"/>
          <w:color w:val="auto"/>
        </w:rPr>
        <w:t>j) of the Constitution, expressly empowers and renders the President responsible for pardoning or reprieving offenders and remitting any fines, penalties or forfeitures</w:t>
      </w:r>
      <w:r w:rsidR="004320CA">
        <w:rPr>
          <w:rFonts w:ascii="Arial" w:hAnsi="Arial" w:cs="Arial"/>
          <w:b w:val="0"/>
          <w:color w:val="auto"/>
        </w:rPr>
        <w:t xml:space="preserve">. </w:t>
      </w:r>
      <w:r w:rsidR="00555EC8">
        <w:rPr>
          <w:rFonts w:ascii="Arial" w:hAnsi="Arial" w:cs="Arial"/>
          <w:b w:val="0"/>
          <w:color w:val="auto"/>
        </w:rPr>
        <w:t xml:space="preserve">Section 80(1)(a) of the Act, for its own part, </w:t>
      </w:r>
      <w:r w:rsidR="00555EC8" w:rsidRPr="00555EC8">
        <w:rPr>
          <w:rFonts w:ascii="Arial" w:hAnsi="Arial" w:cs="Arial"/>
          <w:b w:val="0"/>
          <w:i/>
          <w:color w:val="auto"/>
        </w:rPr>
        <w:t>inter</w:t>
      </w:r>
      <w:r w:rsidR="00F35269">
        <w:rPr>
          <w:rFonts w:ascii="Arial" w:hAnsi="Arial" w:cs="Arial"/>
          <w:b w:val="0"/>
          <w:i/>
          <w:color w:val="auto"/>
        </w:rPr>
        <w:t xml:space="preserve"> </w:t>
      </w:r>
      <w:r w:rsidR="00555EC8" w:rsidRPr="00555EC8">
        <w:rPr>
          <w:rFonts w:ascii="Arial" w:hAnsi="Arial" w:cs="Arial"/>
          <w:b w:val="0"/>
          <w:i/>
          <w:color w:val="auto"/>
        </w:rPr>
        <w:t xml:space="preserve">alia </w:t>
      </w:r>
      <w:r w:rsidR="00555EC8">
        <w:rPr>
          <w:rFonts w:ascii="Arial" w:hAnsi="Arial" w:cs="Arial"/>
          <w:b w:val="0"/>
          <w:color w:val="auto"/>
        </w:rPr>
        <w:t xml:space="preserve">expressly empowers the President, at any time to authorise the placement on correctional supervision or parole of any sentenced offender, subject to </w:t>
      </w:r>
      <w:r w:rsidR="00555EC8">
        <w:rPr>
          <w:rFonts w:ascii="Arial" w:hAnsi="Arial" w:cs="Arial"/>
          <w:b w:val="0"/>
          <w:color w:val="auto"/>
        </w:rPr>
        <w:lastRenderedPageBreak/>
        <w:t xml:space="preserve">such conditions as may be recommended by the Parole Board, under whose jurisdiction such sentenced offender may fall.  </w:t>
      </w:r>
      <w:r w:rsidR="004320CA">
        <w:rPr>
          <w:rFonts w:ascii="Arial" w:hAnsi="Arial" w:cs="Arial"/>
          <w:b w:val="0"/>
          <w:color w:val="auto"/>
        </w:rPr>
        <w:t xml:space="preserve"> </w:t>
      </w:r>
    </w:p>
    <w:p w:rsidR="00555EC8" w:rsidRPr="00555EC8" w:rsidRDefault="00555EC8" w:rsidP="00FE32B1">
      <w:pPr>
        <w:pStyle w:val="ListParagraph"/>
        <w:spacing w:line="360" w:lineRule="auto"/>
        <w:rPr>
          <w:rFonts w:ascii="Arial" w:hAnsi="Arial" w:cs="Arial"/>
          <w:b w:val="0"/>
          <w:color w:val="auto"/>
        </w:rPr>
      </w:pPr>
    </w:p>
    <w:p w:rsidR="0010392A" w:rsidRPr="000D7782" w:rsidRDefault="0010392A"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 xml:space="preserve">Executive decisions such as the impugned </w:t>
      </w:r>
      <w:r w:rsidR="004320CA">
        <w:rPr>
          <w:rFonts w:ascii="Arial" w:hAnsi="Arial" w:cs="Arial"/>
          <w:b w:val="0"/>
          <w:color w:val="auto"/>
        </w:rPr>
        <w:t>Proclamation</w:t>
      </w:r>
      <w:r w:rsidRPr="000D7782">
        <w:rPr>
          <w:rFonts w:ascii="Arial" w:hAnsi="Arial" w:cs="Arial"/>
          <w:b w:val="0"/>
          <w:color w:val="auto"/>
        </w:rPr>
        <w:t xml:space="preserve">, are </w:t>
      </w:r>
      <w:r w:rsidR="00555EC8">
        <w:rPr>
          <w:rFonts w:ascii="Arial" w:hAnsi="Arial" w:cs="Arial"/>
          <w:b w:val="0"/>
          <w:color w:val="auto"/>
        </w:rPr>
        <w:t xml:space="preserve">therefore </w:t>
      </w:r>
      <w:r w:rsidRPr="000D7782">
        <w:rPr>
          <w:rFonts w:ascii="Arial" w:hAnsi="Arial" w:cs="Arial"/>
          <w:b w:val="0"/>
          <w:color w:val="auto"/>
        </w:rPr>
        <w:t xml:space="preserve">not Acts of Parliament, within the contemplation of </w:t>
      </w:r>
      <w:r w:rsidR="001F70B4">
        <w:rPr>
          <w:rFonts w:ascii="Arial" w:hAnsi="Arial" w:cs="Arial"/>
          <w:b w:val="0"/>
          <w:color w:val="auto"/>
        </w:rPr>
        <w:t>Section</w:t>
      </w:r>
      <w:r w:rsidRPr="000D7782">
        <w:rPr>
          <w:rFonts w:ascii="Arial" w:hAnsi="Arial" w:cs="Arial"/>
          <w:b w:val="0"/>
          <w:color w:val="auto"/>
        </w:rPr>
        <w:t xml:space="preserve"> 81 of the Constitution, which expressly regulates the publication of the latter</w:t>
      </w:r>
      <w:r w:rsidR="004320CA">
        <w:rPr>
          <w:rFonts w:ascii="Arial" w:hAnsi="Arial" w:cs="Arial"/>
          <w:b w:val="0"/>
          <w:color w:val="auto"/>
        </w:rPr>
        <w:t xml:space="preserve">.  </w:t>
      </w:r>
      <w:r w:rsidRPr="000D7782">
        <w:rPr>
          <w:rFonts w:ascii="Arial" w:hAnsi="Arial" w:cs="Arial"/>
          <w:b w:val="0"/>
          <w:color w:val="auto"/>
        </w:rPr>
        <w:t xml:space="preserve">To the contrary, the said </w:t>
      </w:r>
      <w:r w:rsidR="004320CA">
        <w:rPr>
          <w:rFonts w:ascii="Arial" w:hAnsi="Arial" w:cs="Arial"/>
          <w:b w:val="0"/>
          <w:color w:val="auto"/>
        </w:rPr>
        <w:t>Proclamation</w:t>
      </w:r>
      <w:r w:rsidRPr="000D7782">
        <w:rPr>
          <w:rFonts w:ascii="Arial" w:hAnsi="Arial" w:cs="Arial"/>
          <w:b w:val="0"/>
          <w:color w:val="auto"/>
        </w:rPr>
        <w:t xml:space="preserve"> is a written executive decision taken in terms of the Constitution and legislation, which has legal consequences, within the contemplation of </w:t>
      </w:r>
      <w:r w:rsidR="001F70B4">
        <w:rPr>
          <w:rFonts w:ascii="Arial" w:hAnsi="Arial" w:cs="Arial"/>
          <w:b w:val="0"/>
          <w:color w:val="auto"/>
        </w:rPr>
        <w:t>Section</w:t>
      </w:r>
      <w:r w:rsidRPr="000D7782">
        <w:rPr>
          <w:rFonts w:ascii="Arial" w:hAnsi="Arial" w:cs="Arial"/>
          <w:b w:val="0"/>
          <w:color w:val="auto"/>
        </w:rPr>
        <w:t xml:space="preserve"> 101(1) of the Constitution.</w:t>
      </w:r>
      <w:r w:rsidRPr="000D7782">
        <w:rPr>
          <w:rStyle w:val="FootnoteReference"/>
          <w:rFonts w:ascii="Arial" w:hAnsi="Arial" w:cs="Arial"/>
          <w:b w:val="0"/>
          <w:color w:val="auto"/>
        </w:rPr>
        <w:footnoteReference w:id="19"/>
      </w:r>
    </w:p>
    <w:p w:rsidR="0010392A" w:rsidRPr="000D7782" w:rsidRDefault="0010392A" w:rsidP="00FE32B1">
      <w:pPr>
        <w:pStyle w:val="ListParagraph"/>
        <w:spacing w:line="360" w:lineRule="auto"/>
        <w:ind w:left="851"/>
        <w:jc w:val="both"/>
        <w:rPr>
          <w:rFonts w:ascii="Arial" w:hAnsi="Arial" w:cs="Arial"/>
          <w:b w:val="0"/>
          <w:color w:val="auto"/>
        </w:rPr>
      </w:pPr>
    </w:p>
    <w:p w:rsidR="0010392A" w:rsidRPr="000D7782" w:rsidRDefault="0010392A"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 xml:space="preserve">The provisions of the </w:t>
      </w:r>
      <w:r w:rsidR="00884096" w:rsidRPr="00884096">
        <w:rPr>
          <w:rFonts w:ascii="Arial" w:hAnsi="Arial" w:cs="Arial"/>
          <w:color w:val="auto"/>
        </w:rPr>
        <w:t>INTERPRETATION ACT</w:t>
      </w:r>
      <w:r w:rsidRPr="000D7782">
        <w:rPr>
          <w:rFonts w:ascii="Arial" w:hAnsi="Arial" w:cs="Arial"/>
          <w:b w:val="0"/>
          <w:color w:val="auto"/>
        </w:rPr>
        <w:t>,</w:t>
      </w:r>
      <w:r w:rsidR="001C67D5" w:rsidRPr="000D7782">
        <w:rPr>
          <w:rStyle w:val="FootnoteReference"/>
          <w:rFonts w:ascii="Arial" w:hAnsi="Arial" w:cs="Arial"/>
          <w:b w:val="0"/>
          <w:color w:val="auto"/>
        </w:rPr>
        <w:footnoteReference w:id="20"/>
      </w:r>
      <w:r w:rsidRPr="000D7782">
        <w:rPr>
          <w:rFonts w:ascii="Arial" w:hAnsi="Arial" w:cs="Arial"/>
          <w:b w:val="0"/>
          <w:color w:val="auto"/>
        </w:rPr>
        <w:t xml:space="preserve"> applies to every law</w:t>
      </w:r>
      <w:r w:rsidR="001C67D5" w:rsidRPr="000D7782">
        <w:rPr>
          <w:rFonts w:ascii="Arial" w:hAnsi="Arial" w:cs="Arial"/>
          <w:b w:val="0"/>
          <w:color w:val="auto"/>
        </w:rPr>
        <w:t xml:space="preserve"> in force (as defined in the Act)</w:t>
      </w:r>
      <w:r w:rsidR="001C67D5" w:rsidRPr="000D7782">
        <w:rPr>
          <w:rStyle w:val="FootnoteReference"/>
          <w:rFonts w:ascii="Arial" w:hAnsi="Arial" w:cs="Arial"/>
          <w:b w:val="0"/>
          <w:color w:val="auto"/>
        </w:rPr>
        <w:footnoteReference w:id="21"/>
      </w:r>
      <w:r w:rsidRPr="000D7782">
        <w:rPr>
          <w:rFonts w:ascii="Arial" w:hAnsi="Arial" w:cs="Arial"/>
          <w:b w:val="0"/>
          <w:color w:val="auto"/>
        </w:rPr>
        <w:t xml:space="preserve"> and to the interpretation of all by-laws, rules, regulations or orders made under the authority of any </w:t>
      </w:r>
      <w:r w:rsidR="001C67D5" w:rsidRPr="000D7782">
        <w:rPr>
          <w:rFonts w:ascii="Arial" w:hAnsi="Arial" w:cs="Arial"/>
          <w:b w:val="0"/>
          <w:color w:val="auto"/>
        </w:rPr>
        <w:t xml:space="preserve">such </w:t>
      </w:r>
      <w:r w:rsidRPr="000D7782">
        <w:rPr>
          <w:rFonts w:ascii="Arial" w:hAnsi="Arial" w:cs="Arial"/>
          <w:b w:val="0"/>
          <w:color w:val="auto"/>
        </w:rPr>
        <w:t>law, unless there is something in the language or context of the law, by-law, rule, regulation or order repugnant to such provisions or unless the contrary intention appears therein.</w:t>
      </w:r>
      <w:r w:rsidRPr="000D7782">
        <w:rPr>
          <w:rStyle w:val="FootnoteReference"/>
          <w:rFonts w:ascii="Arial" w:hAnsi="Arial" w:cs="Arial"/>
          <w:b w:val="0"/>
          <w:color w:val="auto"/>
        </w:rPr>
        <w:footnoteReference w:id="22"/>
      </w:r>
      <w:r w:rsidRPr="000D7782">
        <w:rPr>
          <w:rFonts w:ascii="Arial" w:hAnsi="Arial" w:cs="Arial"/>
          <w:b w:val="0"/>
          <w:color w:val="auto"/>
        </w:rPr>
        <w:t xml:space="preserve"> </w:t>
      </w:r>
    </w:p>
    <w:p w:rsidR="0010392A" w:rsidRPr="000D7782" w:rsidRDefault="0010392A" w:rsidP="00FE32B1">
      <w:pPr>
        <w:pStyle w:val="ListParagraph"/>
        <w:spacing w:line="360" w:lineRule="auto"/>
        <w:ind w:left="851"/>
        <w:jc w:val="both"/>
        <w:rPr>
          <w:rFonts w:ascii="Arial" w:hAnsi="Arial" w:cs="Arial"/>
          <w:b w:val="0"/>
          <w:color w:val="auto"/>
        </w:rPr>
      </w:pPr>
    </w:p>
    <w:p w:rsidR="0010392A" w:rsidRPr="000D7782" w:rsidRDefault="0010392A"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 xml:space="preserve">It follows from the foregoing that the right and proper place of departure is not </w:t>
      </w:r>
      <w:r w:rsidR="001F70B4">
        <w:rPr>
          <w:rFonts w:ascii="Arial" w:hAnsi="Arial" w:cs="Arial"/>
          <w:b w:val="0"/>
          <w:color w:val="auto"/>
        </w:rPr>
        <w:t>Section</w:t>
      </w:r>
      <w:r w:rsidRPr="000D7782">
        <w:rPr>
          <w:rFonts w:ascii="Arial" w:hAnsi="Arial" w:cs="Arial"/>
          <w:b w:val="0"/>
          <w:color w:val="auto"/>
        </w:rPr>
        <w:t xml:space="preserve"> 81 of the Constitution, but Section 13</w:t>
      </w:r>
      <w:r w:rsidR="001C67D5" w:rsidRPr="000D7782">
        <w:rPr>
          <w:rFonts w:ascii="Arial" w:hAnsi="Arial" w:cs="Arial"/>
          <w:b w:val="0"/>
          <w:color w:val="auto"/>
        </w:rPr>
        <w:t xml:space="preserve"> </w:t>
      </w:r>
      <w:r w:rsidRPr="000D7782">
        <w:rPr>
          <w:rFonts w:ascii="Arial" w:hAnsi="Arial" w:cs="Arial"/>
          <w:b w:val="0"/>
          <w:color w:val="auto"/>
        </w:rPr>
        <w:t xml:space="preserve">of the </w:t>
      </w:r>
      <w:r w:rsidR="001F70B4" w:rsidRPr="001F70B4">
        <w:rPr>
          <w:rFonts w:ascii="Arial" w:hAnsi="Arial" w:cs="Arial"/>
          <w:color w:val="auto"/>
        </w:rPr>
        <w:t>INTERPRETATION ACT</w:t>
      </w:r>
      <w:r w:rsidRPr="000D7782">
        <w:rPr>
          <w:rFonts w:ascii="Arial" w:hAnsi="Arial" w:cs="Arial"/>
          <w:b w:val="0"/>
          <w:color w:val="auto"/>
        </w:rPr>
        <w:t xml:space="preserve">, which is aptly headed </w:t>
      </w:r>
      <w:r w:rsidRPr="000D7782">
        <w:rPr>
          <w:rFonts w:ascii="Arial" w:hAnsi="Arial" w:cs="Arial"/>
          <w:b w:val="0"/>
          <w:i/>
          <w:color w:val="auto"/>
        </w:rPr>
        <w:t>“Commencement of laws.”</w:t>
      </w:r>
      <w:r w:rsidRPr="000D7782">
        <w:rPr>
          <w:rFonts w:ascii="Arial" w:hAnsi="Arial" w:cs="Arial"/>
          <w:b w:val="0"/>
          <w:color w:val="auto"/>
        </w:rPr>
        <w:t xml:space="preserve"> It expressly and unambiguously stipulates as follows:</w:t>
      </w:r>
    </w:p>
    <w:p w:rsidR="0010392A" w:rsidRPr="000D7782" w:rsidRDefault="0010392A" w:rsidP="00FE32B1">
      <w:pPr>
        <w:pStyle w:val="ListParagraph"/>
        <w:spacing w:line="360" w:lineRule="auto"/>
        <w:ind w:left="851"/>
        <w:jc w:val="both"/>
        <w:rPr>
          <w:rFonts w:ascii="Arial" w:hAnsi="Arial" w:cs="Arial"/>
          <w:b w:val="0"/>
          <w:i/>
          <w:color w:val="auto"/>
        </w:rPr>
      </w:pPr>
    </w:p>
    <w:p w:rsidR="0010392A" w:rsidRPr="000D7782" w:rsidRDefault="0010392A" w:rsidP="00FE32B1">
      <w:pPr>
        <w:pStyle w:val="ListParagraph"/>
        <w:spacing w:line="360" w:lineRule="auto"/>
        <w:ind w:left="1701" w:hanging="850"/>
        <w:jc w:val="both"/>
        <w:rPr>
          <w:rFonts w:ascii="Arial" w:hAnsi="Arial" w:cs="Arial"/>
          <w:i/>
          <w:color w:val="auto"/>
        </w:rPr>
      </w:pPr>
      <w:r w:rsidRPr="00884096">
        <w:rPr>
          <w:rFonts w:ascii="Times New Roman" w:hAnsi="Times New Roman"/>
          <w:b w:val="0"/>
          <w:i/>
          <w:color w:val="auto"/>
        </w:rPr>
        <w:t xml:space="preserve">“(1) </w:t>
      </w:r>
      <w:r w:rsidR="00884096">
        <w:rPr>
          <w:rFonts w:ascii="Times New Roman" w:hAnsi="Times New Roman"/>
          <w:b w:val="0"/>
          <w:i/>
          <w:color w:val="auto"/>
        </w:rPr>
        <w:tab/>
      </w:r>
      <w:r w:rsidRPr="00884096">
        <w:rPr>
          <w:rFonts w:ascii="Times New Roman" w:hAnsi="Times New Roman"/>
          <w:b w:val="0"/>
          <w:i/>
          <w:color w:val="auto"/>
        </w:rPr>
        <w:t xml:space="preserve">The expression “commencement” when used in any law and with reference thereto, means the day on which that law comes or came into operation, and that day shall, subject to the provisions of subsection (2) and unless some other day is fixed by or under the law for the coming into operation thereof, </w:t>
      </w:r>
      <w:r w:rsidRPr="00884096">
        <w:rPr>
          <w:rFonts w:ascii="Times New Roman" w:hAnsi="Times New Roman"/>
          <w:i/>
          <w:color w:val="auto"/>
        </w:rPr>
        <w:t>be the day when the law was first published in the Gazette as a law.”</w:t>
      </w:r>
      <w:r w:rsidRPr="00884096">
        <w:rPr>
          <w:rStyle w:val="FootnoteReference"/>
          <w:rFonts w:ascii="Arial" w:hAnsi="Arial" w:cs="Arial"/>
          <w:b w:val="0"/>
          <w:color w:val="auto"/>
        </w:rPr>
        <w:footnoteReference w:id="23"/>
      </w:r>
    </w:p>
    <w:p w:rsidR="0010392A" w:rsidRPr="000D7782" w:rsidRDefault="0010392A" w:rsidP="00FE32B1">
      <w:pPr>
        <w:pStyle w:val="ListParagraph"/>
        <w:spacing w:line="360" w:lineRule="auto"/>
        <w:jc w:val="both"/>
        <w:rPr>
          <w:rFonts w:ascii="Arial" w:hAnsi="Arial" w:cs="Arial"/>
          <w:b w:val="0"/>
          <w:color w:val="auto"/>
        </w:rPr>
      </w:pPr>
    </w:p>
    <w:p w:rsidR="0010392A" w:rsidRPr="000D7782" w:rsidRDefault="0010392A"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lastRenderedPageBreak/>
        <w:t>It can be deduced from the foregoing that, what “the date hereof” means in the Proclamation is 08 May 2020, being the date on which it was published, and nothing more pretentious</w:t>
      </w:r>
      <w:r w:rsidR="004320CA">
        <w:rPr>
          <w:rFonts w:ascii="Arial" w:hAnsi="Arial" w:cs="Arial"/>
          <w:b w:val="0"/>
          <w:color w:val="auto"/>
        </w:rPr>
        <w:t xml:space="preserve">.  </w:t>
      </w:r>
      <w:r w:rsidRPr="000D7782">
        <w:rPr>
          <w:rFonts w:ascii="Arial" w:hAnsi="Arial" w:cs="Arial"/>
          <w:b w:val="0"/>
          <w:color w:val="auto"/>
        </w:rPr>
        <w:t xml:space="preserve">It is so simply because, unless otherwise expressly provided, the date of commencement of a </w:t>
      </w:r>
      <w:r w:rsidR="004320CA">
        <w:rPr>
          <w:rFonts w:ascii="Arial" w:hAnsi="Arial" w:cs="Arial"/>
          <w:b w:val="0"/>
          <w:color w:val="auto"/>
        </w:rPr>
        <w:t>Proclamation</w:t>
      </w:r>
      <w:r w:rsidRPr="000D7782">
        <w:rPr>
          <w:rFonts w:ascii="Arial" w:hAnsi="Arial" w:cs="Arial"/>
          <w:b w:val="0"/>
          <w:color w:val="auto"/>
        </w:rPr>
        <w:t xml:space="preserve">, such as the one </w:t>
      </w:r>
      <w:r w:rsidRPr="000D7782">
        <w:rPr>
          <w:rFonts w:ascii="Arial" w:hAnsi="Arial" w:cs="Arial"/>
          <w:b w:val="0"/>
          <w:i/>
          <w:color w:val="auto"/>
        </w:rPr>
        <w:t xml:space="preserve">in </w:t>
      </w:r>
      <w:proofErr w:type="spellStart"/>
      <w:r w:rsidRPr="000D7782">
        <w:rPr>
          <w:rFonts w:ascii="Arial" w:hAnsi="Arial" w:cs="Arial"/>
          <w:b w:val="0"/>
          <w:i/>
          <w:color w:val="auto"/>
        </w:rPr>
        <w:t>casu</w:t>
      </w:r>
      <w:proofErr w:type="spellEnd"/>
      <w:r w:rsidRPr="000D7782">
        <w:rPr>
          <w:rFonts w:ascii="Arial" w:hAnsi="Arial" w:cs="Arial"/>
          <w:b w:val="0"/>
          <w:color w:val="auto"/>
        </w:rPr>
        <w:t>, is not dependent on when it was announced, but on its date of publication</w:t>
      </w:r>
      <w:r w:rsidR="004320CA">
        <w:rPr>
          <w:rFonts w:ascii="Arial" w:hAnsi="Arial" w:cs="Arial"/>
          <w:b w:val="0"/>
          <w:color w:val="auto"/>
        </w:rPr>
        <w:t xml:space="preserve">.  </w:t>
      </w:r>
      <w:r w:rsidRPr="000D7782">
        <w:rPr>
          <w:rFonts w:ascii="Arial" w:hAnsi="Arial" w:cs="Arial"/>
          <w:b w:val="0"/>
          <w:color w:val="auto"/>
        </w:rPr>
        <w:t xml:space="preserve">Having commenced on the 08 May 2020; and being that the dispensation remains extant only for 60 months, the next question is: What is the precise effluxion date of same? The answer to this question, is dependent on what the word “month” referred in the said </w:t>
      </w:r>
      <w:r w:rsidR="004320CA">
        <w:rPr>
          <w:rFonts w:ascii="Arial" w:hAnsi="Arial" w:cs="Arial"/>
          <w:b w:val="0"/>
          <w:color w:val="auto"/>
        </w:rPr>
        <w:t>Proclamation</w:t>
      </w:r>
      <w:r w:rsidRPr="000D7782">
        <w:rPr>
          <w:rFonts w:ascii="Arial" w:hAnsi="Arial" w:cs="Arial"/>
          <w:b w:val="0"/>
          <w:color w:val="auto"/>
        </w:rPr>
        <w:t xml:space="preserve"> means</w:t>
      </w:r>
      <w:r w:rsidR="004320CA">
        <w:rPr>
          <w:rFonts w:ascii="Arial" w:hAnsi="Arial" w:cs="Arial"/>
          <w:b w:val="0"/>
          <w:color w:val="auto"/>
        </w:rPr>
        <w:t xml:space="preserve">.  </w:t>
      </w:r>
    </w:p>
    <w:p w:rsidR="0010392A" w:rsidRPr="000D7782" w:rsidRDefault="0010392A" w:rsidP="00FE32B1">
      <w:pPr>
        <w:pStyle w:val="ListParagraph"/>
        <w:spacing w:line="360" w:lineRule="auto"/>
        <w:jc w:val="both"/>
        <w:rPr>
          <w:rFonts w:ascii="Arial" w:hAnsi="Arial" w:cs="Arial"/>
          <w:b w:val="0"/>
          <w:color w:val="auto"/>
        </w:rPr>
      </w:pPr>
    </w:p>
    <w:p w:rsidR="0010392A" w:rsidRPr="000D7782" w:rsidRDefault="0010392A" w:rsidP="00FE32B1">
      <w:pPr>
        <w:pStyle w:val="ListParagraph"/>
        <w:numPr>
          <w:ilvl w:val="0"/>
          <w:numId w:val="2"/>
        </w:numPr>
        <w:spacing w:line="360" w:lineRule="auto"/>
        <w:ind w:left="851" w:hanging="851"/>
        <w:jc w:val="both"/>
        <w:rPr>
          <w:rFonts w:ascii="Arial" w:hAnsi="Arial" w:cs="Arial"/>
          <w:b w:val="0"/>
          <w:i/>
          <w:color w:val="auto"/>
        </w:rPr>
      </w:pPr>
      <w:r w:rsidRPr="000D7782">
        <w:rPr>
          <w:rFonts w:ascii="Arial" w:hAnsi="Arial" w:cs="Arial"/>
          <w:b w:val="0"/>
          <w:color w:val="auto"/>
        </w:rPr>
        <w:t>Whilst “</w:t>
      </w:r>
      <w:r w:rsidRPr="00567285">
        <w:rPr>
          <w:rFonts w:ascii="Arial" w:hAnsi="Arial" w:cs="Arial"/>
          <w:b w:val="0"/>
          <w:i/>
          <w:color w:val="auto"/>
        </w:rPr>
        <w:t>month</w:t>
      </w:r>
      <w:r w:rsidRPr="000D7782">
        <w:rPr>
          <w:rFonts w:ascii="Arial" w:hAnsi="Arial" w:cs="Arial"/>
          <w:b w:val="0"/>
          <w:color w:val="auto"/>
        </w:rPr>
        <w:t xml:space="preserve">” is defined in the </w:t>
      </w:r>
      <w:r w:rsidR="00884096" w:rsidRPr="00884096">
        <w:rPr>
          <w:rFonts w:ascii="Arial" w:hAnsi="Arial" w:cs="Arial"/>
          <w:color w:val="auto"/>
        </w:rPr>
        <w:t>INTERPRETATION ACT</w:t>
      </w:r>
      <w:r w:rsidRPr="000D7782">
        <w:rPr>
          <w:rFonts w:ascii="Arial" w:hAnsi="Arial" w:cs="Arial"/>
          <w:b w:val="0"/>
          <w:color w:val="auto"/>
        </w:rPr>
        <w:t xml:space="preserve"> as “</w:t>
      </w:r>
      <w:r w:rsidRPr="00567285">
        <w:rPr>
          <w:rFonts w:ascii="Arial" w:hAnsi="Arial" w:cs="Arial"/>
          <w:b w:val="0"/>
          <w:i/>
          <w:color w:val="auto"/>
        </w:rPr>
        <w:t>a calendar month</w:t>
      </w:r>
      <w:r w:rsidRPr="000D7782">
        <w:rPr>
          <w:rFonts w:ascii="Arial" w:hAnsi="Arial" w:cs="Arial"/>
          <w:b w:val="0"/>
          <w:color w:val="auto"/>
        </w:rPr>
        <w:t>” the latter is not therein defined</w:t>
      </w:r>
      <w:r w:rsidR="004320CA">
        <w:rPr>
          <w:rFonts w:ascii="Arial" w:hAnsi="Arial" w:cs="Arial"/>
          <w:b w:val="0"/>
          <w:color w:val="auto"/>
        </w:rPr>
        <w:t xml:space="preserve">.  </w:t>
      </w:r>
      <w:r w:rsidRPr="000D7782">
        <w:rPr>
          <w:rFonts w:ascii="Arial" w:hAnsi="Arial" w:cs="Arial"/>
          <w:b w:val="0"/>
          <w:color w:val="auto"/>
        </w:rPr>
        <w:t>The Collins Dictionary defines a calendar month as</w:t>
      </w:r>
      <w:r w:rsidRPr="000D7782">
        <w:rPr>
          <w:rFonts w:ascii="Arial" w:hAnsi="Arial" w:cs="Arial"/>
          <w:b w:val="0"/>
          <w:i/>
          <w:color w:val="auto"/>
        </w:rPr>
        <w:t xml:space="preserve"> “a period from one particular date in one month to the same date in the next month</w:t>
      </w:r>
      <w:r w:rsidRPr="000D7782">
        <w:rPr>
          <w:rFonts w:ascii="Arial" w:hAnsi="Arial" w:cs="Arial"/>
          <w:b w:val="0"/>
          <w:color w:val="auto"/>
        </w:rPr>
        <w:t>” e.g</w:t>
      </w:r>
      <w:r w:rsidR="004320CA">
        <w:rPr>
          <w:rFonts w:ascii="Arial" w:hAnsi="Arial" w:cs="Arial"/>
          <w:b w:val="0"/>
          <w:color w:val="auto"/>
        </w:rPr>
        <w:t xml:space="preserve">. </w:t>
      </w:r>
      <w:r w:rsidR="00567285">
        <w:rPr>
          <w:rFonts w:ascii="Arial" w:hAnsi="Arial" w:cs="Arial"/>
          <w:b w:val="0"/>
          <w:color w:val="auto"/>
        </w:rPr>
        <w:t>from 08 May to</w:t>
      </w:r>
      <w:r w:rsidRPr="000D7782">
        <w:rPr>
          <w:rFonts w:ascii="Arial" w:hAnsi="Arial" w:cs="Arial"/>
          <w:b w:val="0"/>
          <w:color w:val="auto"/>
        </w:rPr>
        <w:t xml:space="preserve"> 08 June</w:t>
      </w:r>
      <w:r w:rsidR="004320CA">
        <w:rPr>
          <w:rFonts w:ascii="Arial" w:hAnsi="Arial" w:cs="Arial"/>
          <w:b w:val="0"/>
          <w:color w:val="auto"/>
        </w:rPr>
        <w:t xml:space="preserve">.  </w:t>
      </w:r>
      <w:r w:rsidRPr="000D7782">
        <w:rPr>
          <w:rFonts w:ascii="Arial" w:hAnsi="Arial" w:cs="Arial"/>
          <w:b w:val="0"/>
          <w:color w:val="auto"/>
        </w:rPr>
        <w:t xml:space="preserve">The Concise Oxford English Dictionary, for its own part, defines a month as </w:t>
      </w:r>
      <w:r w:rsidRPr="000D7782">
        <w:rPr>
          <w:rFonts w:ascii="Arial" w:hAnsi="Arial" w:cs="Arial"/>
          <w:b w:val="0"/>
          <w:i/>
          <w:color w:val="auto"/>
        </w:rPr>
        <w:t>“each of the 12 named periods into which a year is divided or a period of time between the same dates in successive calendar months.”</w:t>
      </w:r>
      <w:r w:rsidRPr="000D7782">
        <w:rPr>
          <w:rStyle w:val="FootnoteReference"/>
          <w:rFonts w:ascii="Arial" w:hAnsi="Arial" w:cs="Arial"/>
          <w:b w:val="0"/>
          <w:color w:val="auto"/>
        </w:rPr>
        <w:footnoteReference w:id="24"/>
      </w:r>
      <w:r w:rsidRPr="000D7782">
        <w:rPr>
          <w:rFonts w:ascii="Arial" w:hAnsi="Arial" w:cs="Arial"/>
          <w:b w:val="0"/>
          <w:color w:val="auto"/>
        </w:rPr>
        <w:t xml:space="preserve"> </w:t>
      </w:r>
      <w:r w:rsidR="00FE32B1">
        <w:rPr>
          <w:rFonts w:ascii="Arial" w:hAnsi="Arial" w:cs="Arial"/>
          <w:b w:val="0"/>
          <w:color w:val="auto"/>
        </w:rPr>
        <w:t xml:space="preserve"> </w:t>
      </w:r>
      <w:r w:rsidRPr="000D7782">
        <w:rPr>
          <w:rFonts w:ascii="Arial" w:hAnsi="Arial" w:cs="Arial"/>
          <w:b w:val="0"/>
          <w:color w:val="auto"/>
        </w:rPr>
        <w:t>According to The Chambers Dictionary,</w:t>
      </w:r>
      <w:r w:rsidRPr="000D7782">
        <w:rPr>
          <w:rStyle w:val="FootnoteReference"/>
          <w:rFonts w:ascii="Arial" w:hAnsi="Arial" w:cs="Arial"/>
          <w:b w:val="0"/>
          <w:color w:val="auto"/>
        </w:rPr>
        <w:footnoteReference w:id="25"/>
      </w:r>
      <w:r w:rsidR="00567285">
        <w:rPr>
          <w:rFonts w:ascii="Arial" w:hAnsi="Arial" w:cs="Arial"/>
          <w:b w:val="0"/>
          <w:color w:val="auto"/>
        </w:rPr>
        <w:t xml:space="preserve"> </w:t>
      </w:r>
      <w:r w:rsidRPr="000D7782">
        <w:rPr>
          <w:rFonts w:ascii="Arial" w:hAnsi="Arial" w:cs="Arial"/>
          <w:b w:val="0"/>
          <w:i/>
          <w:color w:val="auto"/>
        </w:rPr>
        <w:t>“a calendar month” is such a length of time loosely taken as 4</w:t>
      </w:r>
      <w:r w:rsidR="00567285">
        <w:rPr>
          <w:rFonts w:ascii="Arial" w:hAnsi="Arial" w:cs="Arial"/>
          <w:b w:val="0"/>
          <w:i/>
          <w:color w:val="auto"/>
        </w:rPr>
        <w:t> </w:t>
      </w:r>
      <w:r w:rsidRPr="000D7782">
        <w:rPr>
          <w:rFonts w:ascii="Arial" w:hAnsi="Arial" w:cs="Arial"/>
          <w:b w:val="0"/>
          <w:i/>
          <w:color w:val="auto"/>
        </w:rPr>
        <w:t xml:space="preserve">weeks or 30 days.”           </w:t>
      </w:r>
    </w:p>
    <w:p w:rsidR="0010392A" w:rsidRPr="000D7782" w:rsidRDefault="0010392A" w:rsidP="00FE32B1">
      <w:pPr>
        <w:pStyle w:val="ListParagraph"/>
        <w:spacing w:line="360" w:lineRule="auto"/>
        <w:ind w:left="851"/>
        <w:jc w:val="both"/>
        <w:rPr>
          <w:rFonts w:ascii="Arial" w:hAnsi="Arial" w:cs="Arial"/>
          <w:b w:val="0"/>
          <w:color w:val="auto"/>
        </w:rPr>
      </w:pPr>
    </w:p>
    <w:p w:rsidR="0010392A" w:rsidRPr="000D7782" w:rsidRDefault="0010392A"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 xml:space="preserve">It is clear from a plain reading of the </w:t>
      </w:r>
      <w:r w:rsidR="001F70B4" w:rsidRPr="001F70B4">
        <w:rPr>
          <w:rFonts w:ascii="Arial" w:hAnsi="Arial" w:cs="Arial"/>
          <w:color w:val="auto"/>
        </w:rPr>
        <w:t>INTERPRETATION ACT</w:t>
      </w:r>
      <w:r w:rsidRPr="000D7782">
        <w:rPr>
          <w:rFonts w:ascii="Arial" w:hAnsi="Arial" w:cs="Arial"/>
          <w:b w:val="0"/>
          <w:color w:val="auto"/>
        </w:rPr>
        <w:t>’s definition of a moth as a calendar month, that it preferred the meaning of same to assume its usual grammatical meaning</w:t>
      </w:r>
      <w:r w:rsidR="004320CA">
        <w:rPr>
          <w:rFonts w:ascii="Arial" w:hAnsi="Arial" w:cs="Arial"/>
          <w:b w:val="0"/>
          <w:color w:val="auto"/>
        </w:rPr>
        <w:t xml:space="preserve">.  </w:t>
      </w:r>
      <w:r w:rsidRPr="000D7782">
        <w:rPr>
          <w:rFonts w:ascii="Arial" w:hAnsi="Arial" w:cs="Arial"/>
          <w:b w:val="0"/>
          <w:color w:val="auto"/>
        </w:rPr>
        <w:t xml:space="preserve">In the premise, it follows that the operation of the </w:t>
      </w:r>
      <w:r w:rsidR="004320CA">
        <w:rPr>
          <w:rFonts w:ascii="Arial" w:hAnsi="Arial" w:cs="Arial"/>
          <w:b w:val="0"/>
          <w:color w:val="auto"/>
        </w:rPr>
        <w:t>Proclamation</w:t>
      </w:r>
      <w:r w:rsidRPr="000D7782">
        <w:rPr>
          <w:rFonts w:ascii="Arial" w:hAnsi="Arial" w:cs="Arial"/>
          <w:b w:val="0"/>
          <w:color w:val="auto"/>
        </w:rPr>
        <w:t>, having commenced on 08 May 2020, would expire only on 08 May 2025 and not on 26 April, as contended for the respondents</w:t>
      </w:r>
      <w:r w:rsidR="00555EC8">
        <w:rPr>
          <w:rFonts w:ascii="Arial" w:hAnsi="Arial" w:cs="Arial"/>
          <w:b w:val="0"/>
          <w:color w:val="auto"/>
        </w:rPr>
        <w:t>.</w:t>
      </w:r>
      <w:r w:rsidRPr="000D7782">
        <w:rPr>
          <w:rStyle w:val="FootnoteReference"/>
          <w:rFonts w:ascii="Arial" w:hAnsi="Arial" w:cs="Arial"/>
          <w:b w:val="0"/>
          <w:color w:val="auto"/>
        </w:rPr>
        <w:footnoteReference w:id="26"/>
      </w:r>
    </w:p>
    <w:p w:rsidR="0010392A" w:rsidRPr="000D7782" w:rsidRDefault="0010392A" w:rsidP="00FE32B1">
      <w:pPr>
        <w:pStyle w:val="ListParagraph"/>
        <w:spacing w:line="360" w:lineRule="auto"/>
        <w:rPr>
          <w:rFonts w:ascii="Arial" w:hAnsi="Arial" w:cs="Arial"/>
          <w:b w:val="0"/>
          <w:color w:val="auto"/>
        </w:rPr>
      </w:pPr>
    </w:p>
    <w:p w:rsidR="0010392A" w:rsidRPr="000D7782" w:rsidRDefault="0010392A"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The following can therefore be deduced from the Proclamation, on a proper reading thereof</w:t>
      </w:r>
      <w:r w:rsidR="004320CA">
        <w:rPr>
          <w:rFonts w:ascii="Arial" w:hAnsi="Arial" w:cs="Arial"/>
          <w:b w:val="0"/>
          <w:color w:val="auto"/>
        </w:rPr>
        <w:t xml:space="preserve">.  </w:t>
      </w:r>
      <w:r w:rsidRPr="000D7782">
        <w:rPr>
          <w:rFonts w:ascii="Arial" w:hAnsi="Arial" w:cs="Arial"/>
          <w:b w:val="0"/>
          <w:color w:val="auto"/>
        </w:rPr>
        <w:t>That the criteria for the claim for placement on parole under same is that an offender would qualify if and only if, such an offender as on 08</w:t>
      </w:r>
      <w:r w:rsidR="00884096">
        <w:rPr>
          <w:rFonts w:ascii="Arial" w:hAnsi="Arial" w:cs="Arial"/>
          <w:b w:val="0"/>
          <w:color w:val="auto"/>
        </w:rPr>
        <w:t> </w:t>
      </w:r>
      <w:r w:rsidRPr="000D7782">
        <w:rPr>
          <w:rFonts w:ascii="Arial" w:hAnsi="Arial" w:cs="Arial"/>
          <w:b w:val="0"/>
          <w:color w:val="auto"/>
        </w:rPr>
        <w:t xml:space="preserve">May 2020, he/she: (a) is or would have been incarcerated on 27 April 2020; </w:t>
      </w:r>
      <w:r w:rsidRPr="000D7782">
        <w:rPr>
          <w:rFonts w:ascii="Arial" w:hAnsi="Arial" w:cs="Arial"/>
          <w:b w:val="0"/>
          <w:color w:val="auto"/>
        </w:rPr>
        <w:lastRenderedPageBreak/>
        <w:t>and (b) have or would have reached his/her minimum detention period within</w:t>
      </w:r>
      <w:r w:rsidR="00884096">
        <w:rPr>
          <w:rFonts w:ascii="Arial" w:hAnsi="Arial" w:cs="Arial"/>
          <w:b w:val="0"/>
          <w:color w:val="auto"/>
        </w:rPr>
        <w:t xml:space="preserve"> the period between 08 May 2020</w:t>
      </w:r>
      <w:r w:rsidRPr="000D7782">
        <w:rPr>
          <w:rFonts w:ascii="Arial" w:hAnsi="Arial" w:cs="Arial"/>
          <w:b w:val="0"/>
          <w:color w:val="auto"/>
        </w:rPr>
        <w:t xml:space="preserve"> and 08 May 2025</w:t>
      </w:r>
      <w:r w:rsidR="004320CA">
        <w:rPr>
          <w:rFonts w:ascii="Arial" w:hAnsi="Arial" w:cs="Arial"/>
          <w:b w:val="0"/>
          <w:color w:val="auto"/>
        </w:rPr>
        <w:t xml:space="preserve">.  </w:t>
      </w:r>
    </w:p>
    <w:p w:rsidR="0010392A" w:rsidRPr="000D7782" w:rsidRDefault="0010392A" w:rsidP="00FE32B1">
      <w:pPr>
        <w:pStyle w:val="ListParagraph"/>
        <w:spacing w:line="360" w:lineRule="auto"/>
        <w:rPr>
          <w:rFonts w:ascii="Arial" w:hAnsi="Arial" w:cs="Arial"/>
          <w:b w:val="0"/>
          <w:color w:val="auto"/>
        </w:rPr>
      </w:pPr>
    </w:p>
    <w:p w:rsidR="0010392A" w:rsidRPr="000D7782" w:rsidRDefault="0010392A" w:rsidP="00FE32B1">
      <w:pPr>
        <w:pStyle w:val="ListParagraph"/>
        <w:numPr>
          <w:ilvl w:val="0"/>
          <w:numId w:val="2"/>
        </w:numPr>
        <w:spacing w:line="360" w:lineRule="auto"/>
        <w:ind w:left="851" w:hanging="851"/>
        <w:jc w:val="both"/>
        <w:rPr>
          <w:rFonts w:ascii="Arial" w:hAnsi="Arial" w:cs="Arial"/>
          <w:color w:val="auto"/>
        </w:rPr>
      </w:pPr>
      <w:r w:rsidRPr="000D7782">
        <w:rPr>
          <w:rFonts w:ascii="Arial" w:hAnsi="Arial" w:cs="Arial"/>
          <w:b w:val="0"/>
          <w:color w:val="auto"/>
        </w:rPr>
        <w:t xml:space="preserve">In the premise, to the extent that the applicant’s minimum detention period is 26 May 2025, </w:t>
      </w:r>
      <w:r w:rsidRPr="000D7782">
        <w:rPr>
          <w:rFonts w:ascii="Arial" w:hAnsi="Arial" w:cs="Arial"/>
          <w:b w:val="0"/>
          <w:i/>
          <w:color w:val="auto"/>
        </w:rPr>
        <w:t>sans</w:t>
      </w:r>
      <w:r w:rsidRPr="000D7782">
        <w:rPr>
          <w:rFonts w:ascii="Arial" w:hAnsi="Arial" w:cs="Arial"/>
          <w:b w:val="0"/>
          <w:color w:val="auto"/>
        </w:rPr>
        <w:t xml:space="preserve"> any special remission, he clearly falls outside the Covid-19, remission period, by approximately 18 days</w:t>
      </w:r>
      <w:r w:rsidR="004320CA">
        <w:rPr>
          <w:rFonts w:ascii="Arial" w:hAnsi="Arial" w:cs="Arial"/>
          <w:b w:val="0"/>
          <w:color w:val="auto"/>
        </w:rPr>
        <w:t xml:space="preserve">.  </w:t>
      </w:r>
      <w:r w:rsidR="00531AD8" w:rsidRPr="000D7782">
        <w:rPr>
          <w:rFonts w:ascii="Arial" w:hAnsi="Arial" w:cs="Arial"/>
          <w:b w:val="0"/>
          <w:color w:val="auto"/>
        </w:rPr>
        <w:t>Put otherwise, t</w:t>
      </w:r>
      <w:r w:rsidRPr="000D7782">
        <w:rPr>
          <w:rFonts w:ascii="Arial" w:hAnsi="Arial" w:cs="Arial"/>
          <w:b w:val="0"/>
          <w:color w:val="auto"/>
        </w:rPr>
        <w:t xml:space="preserve">he applicant </w:t>
      </w:r>
      <w:r w:rsidR="00531AD8" w:rsidRPr="000D7782">
        <w:rPr>
          <w:rFonts w:ascii="Arial" w:hAnsi="Arial" w:cs="Arial"/>
          <w:b w:val="0"/>
          <w:color w:val="auto"/>
        </w:rPr>
        <w:t xml:space="preserve">is </w:t>
      </w:r>
      <w:r w:rsidRPr="000D7782">
        <w:rPr>
          <w:rFonts w:ascii="Arial" w:hAnsi="Arial" w:cs="Arial"/>
          <w:b w:val="0"/>
          <w:color w:val="auto"/>
        </w:rPr>
        <w:t xml:space="preserve">not a qualified sentenced offender, in terms of the criteria mentioned in the </w:t>
      </w:r>
      <w:r w:rsidR="004320CA">
        <w:rPr>
          <w:rFonts w:ascii="Arial" w:hAnsi="Arial" w:cs="Arial"/>
          <w:b w:val="0"/>
          <w:color w:val="auto"/>
        </w:rPr>
        <w:t>Proclamation</w:t>
      </w:r>
      <w:r w:rsidRPr="000D7782">
        <w:rPr>
          <w:rFonts w:ascii="Arial" w:hAnsi="Arial" w:cs="Arial"/>
          <w:b w:val="0"/>
          <w:color w:val="auto"/>
        </w:rPr>
        <w:t xml:space="preserve">, unless he qualifies for special remission of sentence for highly meritorious service, as contemplated in </w:t>
      </w:r>
      <w:r w:rsidR="001F70B4">
        <w:rPr>
          <w:rFonts w:ascii="Arial" w:hAnsi="Arial" w:cs="Arial"/>
          <w:b w:val="0"/>
          <w:color w:val="auto"/>
        </w:rPr>
        <w:t>Section</w:t>
      </w:r>
      <w:r w:rsidRPr="000D7782">
        <w:rPr>
          <w:rFonts w:ascii="Arial" w:hAnsi="Arial" w:cs="Arial"/>
          <w:b w:val="0"/>
          <w:color w:val="auto"/>
        </w:rPr>
        <w:t xml:space="preserve"> 80 of the Act</w:t>
      </w:r>
      <w:r w:rsidR="004320CA">
        <w:rPr>
          <w:rFonts w:ascii="Arial" w:hAnsi="Arial" w:cs="Arial"/>
          <w:b w:val="0"/>
          <w:color w:val="auto"/>
        </w:rPr>
        <w:t xml:space="preserve">.  </w:t>
      </w:r>
    </w:p>
    <w:p w:rsidR="00E64C49" w:rsidRPr="000D7782" w:rsidRDefault="00E64C49" w:rsidP="00FE32B1">
      <w:pPr>
        <w:spacing w:line="360" w:lineRule="auto"/>
        <w:contextualSpacing/>
        <w:jc w:val="both"/>
        <w:rPr>
          <w:rFonts w:ascii="Arial" w:hAnsi="Arial" w:cs="Arial"/>
          <w:color w:val="auto"/>
        </w:rPr>
      </w:pPr>
    </w:p>
    <w:p w:rsidR="00A80274" w:rsidRPr="000D7782" w:rsidRDefault="00A80274" w:rsidP="00FE32B1">
      <w:pPr>
        <w:spacing w:line="360" w:lineRule="auto"/>
        <w:contextualSpacing/>
        <w:jc w:val="both"/>
        <w:rPr>
          <w:rFonts w:ascii="Arial" w:hAnsi="Arial" w:cs="Arial"/>
          <w:i/>
          <w:color w:val="auto"/>
        </w:rPr>
      </w:pPr>
      <w:r w:rsidRPr="000D7782">
        <w:rPr>
          <w:rFonts w:ascii="Arial" w:hAnsi="Arial" w:cs="Arial"/>
          <w:i/>
          <w:color w:val="auto"/>
        </w:rPr>
        <w:t xml:space="preserve">Whether the decision to deny the applicant recognition for meritorious service in terms of </w:t>
      </w:r>
      <w:r w:rsidR="00164D26" w:rsidRPr="000D7782">
        <w:rPr>
          <w:rFonts w:ascii="Arial" w:hAnsi="Arial" w:cs="Arial"/>
          <w:i/>
          <w:color w:val="auto"/>
        </w:rPr>
        <w:t>Section</w:t>
      </w:r>
      <w:r w:rsidRPr="000D7782">
        <w:rPr>
          <w:rFonts w:ascii="Arial" w:hAnsi="Arial" w:cs="Arial"/>
          <w:i/>
          <w:color w:val="auto"/>
        </w:rPr>
        <w:t xml:space="preserve"> 80 of the Act, is justified</w:t>
      </w:r>
    </w:p>
    <w:p w:rsidR="00A80274" w:rsidRPr="000D7782" w:rsidRDefault="00A80274" w:rsidP="00FE32B1">
      <w:pPr>
        <w:pStyle w:val="ListParagraph"/>
        <w:spacing w:line="360" w:lineRule="auto"/>
        <w:rPr>
          <w:rFonts w:ascii="Arial" w:hAnsi="Arial" w:cs="Arial"/>
          <w:b w:val="0"/>
          <w:color w:val="auto"/>
        </w:rPr>
      </w:pPr>
    </w:p>
    <w:p w:rsidR="006B19CC" w:rsidRPr="000D7782" w:rsidRDefault="007F5FE3"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Section 80 of the Act expressly and unambiguously stipulates as follows:</w:t>
      </w:r>
    </w:p>
    <w:p w:rsidR="00395595" w:rsidRPr="000D7782" w:rsidRDefault="00395595" w:rsidP="00FE32B1">
      <w:pPr>
        <w:pStyle w:val="ListParagraph"/>
        <w:spacing w:line="360" w:lineRule="auto"/>
        <w:ind w:firstLine="131"/>
        <w:jc w:val="both"/>
        <w:rPr>
          <w:rFonts w:ascii="Arial" w:hAnsi="Arial" w:cs="Arial"/>
          <w:b w:val="0"/>
          <w:i/>
          <w:color w:val="auto"/>
        </w:rPr>
      </w:pPr>
    </w:p>
    <w:p w:rsidR="007F5FE3" w:rsidRPr="00884096" w:rsidRDefault="007F5FE3" w:rsidP="00FE32B1">
      <w:pPr>
        <w:pStyle w:val="ListParagraph"/>
        <w:spacing w:line="360" w:lineRule="auto"/>
        <w:ind w:firstLine="131"/>
        <w:jc w:val="both"/>
        <w:rPr>
          <w:rFonts w:ascii="Times New Roman" w:hAnsi="Times New Roman"/>
          <w:b w:val="0"/>
          <w:i/>
          <w:color w:val="auto"/>
        </w:rPr>
      </w:pPr>
      <w:r w:rsidRPr="00884096">
        <w:rPr>
          <w:rFonts w:ascii="Times New Roman" w:hAnsi="Times New Roman"/>
          <w:b w:val="0"/>
          <w:i/>
          <w:color w:val="auto"/>
        </w:rPr>
        <w:t>“</w:t>
      </w:r>
      <w:r w:rsidRPr="00884096">
        <w:rPr>
          <w:rFonts w:ascii="Times New Roman" w:hAnsi="Times New Roman"/>
          <w:i/>
          <w:color w:val="auto"/>
        </w:rPr>
        <w:t>Special remission of sentence for highly meritorious service</w:t>
      </w:r>
      <w:r w:rsidR="00B44A7E" w:rsidRPr="00884096">
        <w:rPr>
          <w:rFonts w:ascii="Times New Roman" w:hAnsi="Times New Roman"/>
          <w:b w:val="0"/>
          <w:i/>
          <w:color w:val="auto"/>
        </w:rPr>
        <w:t>-</w:t>
      </w:r>
    </w:p>
    <w:p w:rsidR="00B44A7E" w:rsidRPr="00884096" w:rsidRDefault="00B44A7E" w:rsidP="00FE32B1">
      <w:pPr>
        <w:pStyle w:val="ListParagraph"/>
        <w:spacing w:line="360" w:lineRule="auto"/>
        <w:ind w:firstLine="131"/>
        <w:jc w:val="both"/>
        <w:rPr>
          <w:rFonts w:ascii="Times New Roman" w:hAnsi="Times New Roman"/>
          <w:b w:val="0"/>
          <w:i/>
          <w:color w:val="auto"/>
        </w:rPr>
      </w:pPr>
    </w:p>
    <w:p w:rsidR="00A80274" w:rsidRPr="000D7782" w:rsidRDefault="007F5FE3" w:rsidP="00FE32B1">
      <w:pPr>
        <w:pStyle w:val="ListParagraph"/>
        <w:numPr>
          <w:ilvl w:val="0"/>
          <w:numId w:val="14"/>
        </w:numPr>
        <w:spacing w:line="360" w:lineRule="auto"/>
        <w:jc w:val="both"/>
        <w:rPr>
          <w:rFonts w:ascii="Arial" w:hAnsi="Arial" w:cs="Arial"/>
          <w:b w:val="0"/>
          <w:i/>
          <w:color w:val="auto"/>
        </w:rPr>
      </w:pPr>
      <w:r w:rsidRPr="00884096">
        <w:rPr>
          <w:rFonts w:ascii="Times New Roman" w:hAnsi="Times New Roman"/>
          <w:b w:val="0"/>
          <w:i/>
          <w:color w:val="auto"/>
        </w:rPr>
        <w:t xml:space="preserve">A Correctional Supervision and Parole Board may, on the recommendation of the National Commissioner, grant to a sentenced offender, except to a person serving a life sentence or a sentence in terms of </w:t>
      </w:r>
      <w:r w:rsidR="00164D26" w:rsidRPr="00884096">
        <w:rPr>
          <w:rFonts w:ascii="Times New Roman" w:hAnsi="Times New Roman"/>
          <w:b w:val="0"/>
          <w:i/>
          <w:color w:val="auto"/>
        </w:rPr>
        <w:t>Section</w:t>
      </w:r>
      <w:r w:rsidRPr="00884096">
        <w:rPr>
          <w:rFonts w:ascii="Times New Roman" w:hAnsi="Times New Roman"/>
          <w:b w:val="0"/>
          <w:i/>
          <w:color w:val="auto"/>
        </w:rPr>
        <w:t xml:space="preserve"> 286A of the Criminal Procedure Act, who has acted </w:t>
      </w:r>
      <w:r w:rsidRPr="00884096">
        <w:rPr>
          <w:rFonts w:ascii="Times New Roman" w:hAnsi="Times New Roman"/>
          <w:i/>
          <w:color w:val="auto"/>
        </w:rPr>
        <w:t>highly meritoriously</w:t>
      </w:r>
      <w:r w:rsidRPr="00884096">
        <w:rPr>
          <w:rFonts w:ascii="Times New Roman" w:hAnsi="Times New Roman"/>
          <w:b w:val="0"/>
          <w:i/>
          <w:color w:val="auto"/>
        </w:rPr>
        <w:t>, special remission of sentence not exceeding two years either unconditionally or subject to such conditions as the Board may determine.”</w:t>
      </w:r>
      <w:r w:rsidRPr="000D7782">
        <w:rPr>
          <w:rStyle w:val="FootnoteReference"/>
          <w:rFonts w:ascii="Arial" w:hAnsi="Arial" w:cs="Arial"/>
          <w:b w:val="0"/>
          <w:color w:val="auto"/>
        </w:rPr>
        <w:footnoteReference w:id="27"/>
      </w:r>
    </w:p>
    <w:p w:rsidR="00395595" w:rsidRPr="000D7782" w:rsidRDefault="00395595" w:rsidP="00FE32B1">
      <w:pPr>
        <w:spacing w:line="360" w:lineRule="auto"/>
        <w:contextualSpacing/>
        <w:jc w:val="both"/>
        <w:rPr>
          <w:rFonts w:ascii="Arial" w:hAnsi="Arial" w:cs="Arial"/>
          <w:b w:val="0"/>
          <w:color w:val="auto"/>
        </w:rPr>
      </w:pPr>
    </w:p>
    <w:p w:rsidR="00A718CC" w:rsidRPr="000D7782" w:rsidRDefault="00863857"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 xml:space="preserve">The following </w:t>
      </w:r>
      <w:r w:rsidR="0009272F" w:rsidRPr="000D7782">
        <w:rPr>
          <w:rFonts w:ascii="Arial" w:hAnsi="Arial" w:cs="Arial"/>
          <w:b w:val="0"/>
          <w:color w:val="auto"/>
        </w:rPr>
        <w:t>accomplishments are</w:t>
      </w:r>
      <w:r w:rsidRPr="000D7782">
        <w:rPr>
          <w:rFonts w:ascii="Arial" w:hAnsi="Arial" w:cs="Arial"/>
          <w:b w:val="0"/>
          <w:color w:val="auto"/>
        </w:rPr>
        <w:t xml:space="preserve"> put up by the applicant for determination as highly meritorious, which were attained within 6 months of his imprisonment</w:t>
      </w:r>
      <w:r w:rsidR="004320CA">
        <w:rPr>
          <w:rFonts w:ascii="Arial" w:hAnsi="Arial" w:cs="Arial"/>
          <w:b w:val="0"/>
          <w:color w:val="auto"/>
        </w:rPr>
        <w:t xml:space="preserve">.  </w:t>
      </w:r>
      <w:r w:rsidR="0009272F" w:rsidRPr="000D7782">
        <w:rPr>
          <w:rFonts w:ascii="Arial" w:hAnsi="Arial" w:cs="Arial"/>
          <w:b w:val="0"/>
          <w:color w:val="auto"/>
        </w:rPr>
        <w:t>These accomplishments are not disputed</w:t>
      </w:r>
      <w:r w:rsidR="004320CA">
        <w:rPr>
          <w:rFonts w:ascii="Arial" w:hAnsi="Arial" w:cs="Arial"/>
          <w:b w:val="0"/>
          <w:color w:val="auto"/>
        </w:rPr>
        <w:t xml:space="preserve">.  </w:t>
      </w:r>
      <w:r w:rsidRPr="000D7782">
        <w:rPr>
          <w:rFonts w:ascii="Arial" w:hAnsi="Arial" w:cs="Arial"/>
          <w:b w:val="0"/>
          <w:color w:val="auto"/>
        </w:rPr>
        <w:t>He volunteered as a teacher at a school due to a desire to contribute positively to the wellbeing of fellow inmates</w:t>
      </w:r>
      <w:r w:rsidR="00B44A7E" w:rsidRPr="000D7782">
        <w:rPr>
          <w:rFonts w:ascii="Arial" w:hAnsi="Arial" w:cs="Arial"/>
          <w:b w:val="0"/>
          <w:color w:val="auto"/>
        </w:rPr>
        <w:t>,</w:t>
      </w:r>
      <w:r w:rsidRPr="000D7782">
        <w:rPr>
          <w:rFonts w:ascii="Arial" w:hAnsi="Arial" w:cs="Arial"/>
          <w:b w:val="0"/>
          <w:color w:val="auto"/>
        </w:rPr>
        <w:t xml:space="preserve"> as well as to the fact that there was a shortage of teachers w</w:t>
      </w:r>
      <w:r w:rsidR="00531AD8" w:rsidRPr="000D7782">
        <w:rPr>
          <w:rFonts w:ascii="Arial" w:hAnsi="Arial" w:cs="Arial"/>
          <w:b w:val="0"/>
          <w:color w:val="auto"/>
        </w:rPr>
        <w:t>ithin the</w:t>
      </w:r>
      <w:r w:rsidR="00164D26" w:rsidRPr="000D7782">
        <w:rPr>
          <w:rFonts w:ascii="Arial" w:hAnsi="Arial" w:cs="Arial"/>
          <w:b w:val="0"/>
          <w:color w:val="auto"/>
        </w:rPr>
        <w:t xml:space="preserve"> Centre</w:t>
      </w:r>
      <w:r w:rsidR="004320CA">
        <w:rPr>
          <w:rFonts w:ascii="Arial" w:hAnsi="Arial" w:cs="Arial"/>
          <w:b w:val="0"/>
          <w:color w:val="auto"/>
        </w:rPr>
        <w:t xml:space="preserve">.  </w:t>
      </w:r>
      <w:r w:rsidRPr="000D7782">
        <w:rPr>
          <w:rFonts w:ascii="Arial" w:hAnsi="Arial" w:cs="Arial"/>
          <w:b w:val="0"/>
          <w:color w:val="auto"/>
        </w:rPr>
        <w:t>He also arranged for educative books whi</w:t>
      </w:r>
      <w:r w:rsidR="003A18BB" w:rsidRPr="000D7782">
        <w:rPr>
          <w:rFonts w:ascii="Arial" w:hAnsi="Arial" w:cs="Arial"/>
          <w:b w:val="0"/>
          <w:color w:val="auto"/>
        </w:rPr>
        <w:t>ch are to date still being used</w:t>
      </w:r>
      <w:r w:rsidR="00531AD8" w:rsidRPr="000D7782">
        <w:rPr>
          <w:rFonts w:ascii="Arial" w:hAnsi="Arial" w:cs="Arial"/>
          <w:b w:val="0"/>
          <w:color w:val="auto"/>
        </w:rPr>
        <w:t xml:space="preserve"> by inmates at the Centre</w:t>
      </w:r>
      <w:r w:rsidR="004320CA">
        <w:rPr>
          <w:rFonts w:ascii="Arial" w:hAnsi="Arial" w:cs="Arial"/>
          <w:b w:val="0"/>
          <w:color w:val="auto"/>
        </w:rPr>
        <w:t xml:space="preserve">.  </w:t>
      </w:r>
      <w:r w:rsidR="006B5793" w:rsidRPr="000D7782">
        <w:rPr>
          <w:rFonts w:ascii="Arial" w:hAnsi="Arial" w:cs="Arial"/>
          <w:b w:val="0"/>
          <w:color w:val="auto"/>
        </w:rPr>
        <w:t>He served as a tutor between 2019</w:t>
      </w:r>
      <w:r w:rsidR="00B44A7E" w:rsidRPr="000D7782">
        <w:rPr>
          <w:rFonts w:ascii="Arial" w:hAnsi="Arial" w:cs="Arial"/>
          <w:b w:val="0"/>
          <w:color w:val="auto"/>
        </w:rPr>
        <w:t xml:space="preserve"> and </w:t>
      </w:r>
      <w:r w:rsidR="006B5793" w:rsidRPr="000D7782">
        <w:rPr>
          <w:rFonts w:ascii="Arial" w:hAnsi="Arial" w:cs="Arial"/>
          <w:b w:val="0"/>
          <w:color w:val="auto"/>
        </w:rPr>
        <w:t xml:space="preserve">2022, </w:t>
      </w:r>
      <w:proofErr w:type="spellStart"/>
      <w:r w:rsidR="006B5793" w:rsidRPr="000D7782">
        <w:rPr>
          <w:rFonts w:ascii="Arial" w:hAnsi="Arial" w:cs="Arial"/>
          <w:b w:val="0"/>
          <w:color w:val="auto"/>
        </w:rPr>
        <w:t>whereafter</w:t>
      </w:r>
      <w:proofErr w:type="spellEnd"/>
      <w:r w:rsidR="006B5793" w:rsidRPr="000D7782">
        <w:rPr>
          <w:rFonts w:ascii="Arial" w:hAnsi="Arial" w:cs="Arial"/>
          <w:b w:val="0"/>
          <w:color w:val="auto"/>
        </w:rPr>
        <w:t xml:space="preserve"> same was interrupted </w:t>
      </w:r>
      <w:r w:rsidR="00A718CC" w:rsidRPr="000D7782">
        <w:rPr>
          <w:rFonts w:ascii="Arial" w:hAnsi="Arial" w:cs="Arial"/>
          <w:b w:val="0"/>
          <w:color w:val="auto"/>
        </w:rPr>
        <w:t xml:space="preserve">by his studies towards a Diploma in </w:t>
      </w:r>
      <w:r w:rsidR="00A718CC" w:rsidRPr="000D7782">
        <w:rPr>
          <w:rFonts w:ascii="Arial" w:hAnsi="Arial" w:cs="Arial"/>
          <w:b w:val="0"/>
          <w:color w:val="auto"/>
        </w:rPr>
        <w:lastRenderedPageBreak/>
        <w:t xml:space="preserve">Public Administration with </w:t>
      </w:r>
      <w:r w:rsidR="00B06B0A" w:rsidRPr="000D7782">
        <w:rPr>
          <w:rFonts w:ascii="Arial" w:hAnsi="Arial" w:cs="Arial"/>
          <w:b w:val="0"/>
          <w:color w:val="auto"/>
        </w:rPr>
        <w:t xml:space="preserve">the </w:t>
      </w:r>
      <w:r w:rsidR="00A718CC" w:rsidRPr="000D7782">
        <w:rPr>
          <w:rFonts w:ascii="Arial" w:hAnsi="Arial" w:cs="Arial"/>
          <w:b w:val="0"/>
          <w:color w:val="auto"/>
        </w:rPr>
        <w:t>University of Western Cape</w:t>
      </w:r>
      <w:r w:rsidR="004320CA">
        <w:rPr>
          <w:rFonts w:ascii="Arial" w:hAnsi="Arial" w:cs="Arial"/>
          <w:b w:val="0"/>
          <w:color w:val="auto"/>
        </w:rPr>
        <w:t xml:space="preserve">.  </w:t>
      </w:r>
      <w:r w:rsidR="00A718CC" w:rsidRPr="000D7782">
        <w:rPr>
          <w:rFonts w:ascii="Arial" w:hAnsi="Arial" w:cs="Arial"/>
          <w:b w:val="0"/>
          <w:color w:val="auto"/>
        </w:rPr>
        <w:t xml:space="preserve">He </w:t>
      </w:r>
      <w:r w:rsidR="00B06B0A" w:rsidRPr="000D7782">
        <w:rPr>
          <w:rFonts w:ascii="Arial" w:hAnsi="Arial" w:cs="Arial"/>
          <w:b w:val="0"/>
          <w:color w:val="auto"/>
        </w:rPr>
        <w:t xml:space="preserve">subsequently </w:t>
      </w:r>
      <w:r w:rsidR="00A718CC" w:rsidRPr="000D7782">
        <w:rPr>
          <w:rFonts w:ascii="Arial" w:hAnsi="Arial" w:cs="Arial"/>
          <w:b w:val="0"/>
          <w:color w:val="auto"/>
        </w:rPr>
        <w:t>attained the said qualification in April 2022</w:t>
      </w:r>
      <w:r w:rsidR="004320CA">
        <w:rPr>
          <w:rFonts w:ascii="Arial" w:hAnsi="Arial" w:cs="Arial"/>
          <w:b w:val="0"/>
          <w:color w:val="auto"/>
        </w:rPr>
        <w:t xml:space="preserve">.  </w:t>
      </w:r>
    </w:p>
    <w:p w:rsidR="006B5793" w:rsidRPr="000D7782" w:rsidRDefault="00A718CC" w:rsidP="00FE32B1">
      <w:pPr>
        <w:pStyle w:val="ListParagraph"/>
        <w:spacing w:line="360" w:lineRule="auto"/>
        <w:jc w:val="both"/>
        <w:rPr>
          <w:rFonts w:ascii="Arial" w:hAnsi="Arial" w:cs="Arial"/>
          <w:b w:val="0"/>
          <w:color w:val="auto"/>
        </w:rPr>
      </w:pPr>
      <w:r w:rsidRPr="000D7782">
        <w:rPr>
          <w:rFonts w:ascii="Arial" w:hAnsi="Arial" w:cs="Arial"/>
          <w:b w:val="0"/>
          <w:color w:val="auto"/>
        </w:rPr>
        <w:t xml:space="preserve"> </w:t>
      </w:r>
    </w:p>
    <w:p w:rsidR="006B5793" w:rsidRPr="000D7782" w:rsidRDefault="003A18BB"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 xml:space="preserve">He </w:t>
      </w:r>
      <w:r w:rsidR="00B06B0A" w:rsidRPr="000D7782">
        <w:rPr>
          <w:rFonts w:ascii="Arial" w:hAnsi="Arial" w:cs="Arial"/>
          <w:b w:val="0"/>
          <w:color w:val="auto"/>
        </w:rPr>
        <w:t xml:space="preserve">also </w:t>
      </w:r>
      <w:r w:rsidRPr="000D7782">
        <w:rPr>
          <w:rFonts w:ascii="Arial" w:hAnsi="Arial" w:cs="Arial"/>
          <w:b w:val="0"/>
          <w:color w:val="auto"/>
        </w:rPr>
        <w:t>secured a sponsorship of soccer gears</w:t>
      </w:r>
      <w:r w:rsidR="00B06B0A" w:rsidRPr="000D7782">
        <w:rPr>
          <w:rFonts w:ascii="Arial" w:hAnsi="Arial" w:cs="Arial"/>
          <w:b w:val="0"/>
          <w:color w:val="auto"/>
        </w:rPr>
        <w:t xml:space="preserve"> and related </w:t>
      </w:r>
      <w:r w:rsidR="006B5793" w:rsidRPr="000D7782">
        <w:rPr>
          <w:rFonts w:ascii="Arial" w:hAnsi="Arial" w:cs="Arial"/>
          <w:b w:val="0"/>
          <w:color w:val="auto"/>
        </w:rPr>
        <w:t xml:space="preserve">equipment </w:t>
      </w:r>
      <w:r w:rsidRPr="000D7782">
        <w:rPr>
          <w:rFonts w:ascii="Arial" w:hAnsi="Arial" w:cs="Arial"/>
          <w:b w:val="0"/>
          <w:color w:val="auto"/>
        </w:rPr>
        <w:t>to the benefit of four soccer teams</w:t>
      </w:r>
      <w:r w:rsidR="006B5793" w:rsidRPr="000D7782">
        <w:rPr>
          <w:rFonts w:ascii="Arial" w:hAnsi="Arial" w:cs="Arial"/>
          <w:b w:val="0"/>
          <w:color w:val="auto"/>
        </w:rPr>
        <w:t xml:space="preserve"> within</w:t>
      </w:r>
      <w:r w:rsidRPr="000D7782">
        <w:rPr>
          <w:rFonts w:ascii="Arial" w:hAnsi="Arial" w:cs="Arial"/>
          <w:b w:val="0"/>
          <w:color w:val="auto"/>
        </w:rPr>
        <w:t xml:space="preserve"> the </w:t>
      </w:r>
      <w:r w:rsidR="00573BCB" w:rsidRPr="000D7782">
        <w:rPr>
          <w:rFonts w:ascii="Arial" w:hAnsi="Arial" w:cs="Arial"/>
          <w:b w:val="0"/>
          <w:color w:val="auto"/>
        </w:rPr>
        <w:t>Centre</w:t>
      </w:r>
      <w:r w:rsidR="004320CA">
        <w:rPr>
          <w:rFonts w:ascii="Arial" w:hAnsi="Arial" w:cs="Arial"/>
          <w:b w:val="0"/>
          <w:color w:val="auto"/>
        </w:rPr>
        <w:t xml:space="preserve">.  </w:t>
      </w:r>
      <w:r w:rsidR="006B5793" w:rsidRPr="000D7782">
        <w:rPr>
          <w:rFonts w:ascii="Arial" w:hAnsi="Arial" w:cs="Arial"/>
          <w:b w:val="0"/>
          <w:color w:val="auto"/>
        </w:rPr>
        <w:t>This</w:t>
      </w:r>
      <w:r w:rsidR="00531AD8" w:rsidRPr="000D7782">
        <w:rPr>
          <w:rFonts w:ascii="Arial" w:hAnsi="Arial" w:cs="Arial"/>
          <w:b w:val="0"/>
          <w:color w:val="auto"/>
        </w:rPr>
        <w:t>,</w:t>
      </w:r>
      <w:r w:rsidR="006B5793" w:rsidRPr="000D7782">
        <w:rPr>
          <w:rFonts w:ascii="Arial" w:hAnsi="Arial" w:cs="Arial"/>
          <w:b w:val="0"/>
          <w:color w:val="auto"/>
        </w:rPr>
        <w:t xml:space="preserve"> in circumstances that the Department itself could not afford</w:t>
      </w:r>
      <w:r w:rsidR="00531AD8" w:rsidRPr="000D7782">
        <w:rPr>
          <w:rFonts w:ascii="Arial" w:hAnsi="Arial" w:cs="Arial"/>
          <w:b w:val="0"/>
          <w:color w:val="auto"/>
        </w:rPr>
        <w:t xml:space="preserve"> same</w:t>
      </w:r>
      <w:r w:rsidR="004320CA">
        <w:rPr>
          <w:rFonts w:ascii="Arial" w:hAnsi="Arial" w:cs="Arial"/>
          <w:b w:val="0"/>
          <w:color w:val="auto"/>
        </w:rPr>
        <w:t xml:space="preserve">.  </w:t>
      </w:r>
      <w:r w:rsidR="00531AD8" w:rsidRPr="000D7782">
        <w:rPr>
          <w:rFonts w:ascii="Arial" w:hAnsi="Arial" w:cs="Arial"/>
          <w:b w:val="0"/>
          <w:color w:val="auto"/>
        </w:rPr>
        <w:t>He averred that t</w:t>
      </w:r>
      <w:r w:rsidR="006B5793" w:rsidRPr="000D7782">
        <w:rPr>
          <w:rFonts w:ascii="Arial" w:hAnsi="Arial" w:cs="Arial"/>
          <w:b w:val="0"/>
          <w:color w:val="auto"/>
        </w:rPr>
        <w:t xml:space="preserve">he provision of the foregoing promotes the social responsibility and human development of all sentenced offenders in concert with </w:t>
      </w:r>
      <w:r w:rsidR="00164D26" w:rsidRPr="000D7782">
        <w:rPr>
          <w:rFonts w:ascii="Arial" w:hAnsi="Arial" w:cs="Arial"/>
          <w:b w:val="0"/>
          <w:color w:val="auto"/>
        </w:rPr>
        <w:t>Section</w:t>
      </w:r>
      <w:r w:rsidR="006B5793" w:rsidRPr="000D7782">
        <w:rPr>
          <w:rFonts w:ascii="Arial" w:hAnsi="Arial" w:cs="Arial"/>
          <w:b w:val="0"/>
          <w:color w:val="auto"/>
        </w:rPr>
        <w:t xml:space="preserve"> 2(c) of the Act</w:t>
      </w:r>
      <w:r w:rsidR="00164D26" w:rsidRPr="000D7782">
        <w:rPr>
          <w:rFonts w:ascii="Arial" w:hAnsi="Arial" w:cs="Arial"/>
          <w:b w:val="0"/>
          <w:color w:val="auto"/>
        </w:rPr>
        <w:t>.</w:t>
      </w:r>
      <w:r w:rsidR="00531AD8" w:rsidRPr="000D7782">
        <w:rPr>
          <w:rStyle w:val="FootnoteReference"/>
          <w:rFonts w:ascii="Arial" w:hAnsi="Arial" w:cs="Arial"/>
          <w:b w:val="0"/>
          <w:color w:val="auto"/>
        </w:rPr>
        <w:footnoteReference w:id="28"/>
      </w:r>
      <w:r w:rsidR="00164D26" w:rsidRPr="000D7782">
        <w:rPr>
          <w:rFonts w:ascii="Arial" w:hAnsi="Arial" w:cs="Arial"/>
          <w:b w:val="0"/>
          <w:color w:val="auto"/>
        </w:rPr>
        <w:t xml:space="preserve">  </w:t>
      </w:r>
      <w:r w:rsidRPr="000D7782">
        <w:rPr>
          <w:rFonts w:ascii="Arial" w:hAnsi="Arial" w:cs="Arial"/>
          <w:b w:val="0"/>
          <w:color w:val="auto"/>
        </w:rPr>
        <w:t xml:space="preserve">He </w:t>
      </w:r>
      <w:r w:rsidR="00B06B0A" w:rsidRPr="000D7782">
        <w:rPr>
          <w:rFonts w:ascii="Arial" w:hAnsi="Arial" w:cs="Arial"/>
          <w:b w:val="0"/>
          <w:color w:val="auto"/>
        </w:rPr>
        <w:t xml:space="preserve">further </w:t>
      </w:r>
      <w:r w:rsidRPr="000D7782">
        <w:rPr>
          <w:rFonts w:ascii="Arial" w:hAnsi="Arial" w:cs="Arial"/>
          <w:b w:val="0"/>
          <w:color w:val="auto"/>
        </w:rPr>
        <w:t xml:space="preserve">employed an ex-offender at his farm since the latter’s release on parole, as result of which </w:t>
      </w:r>
      <w:r w:rsidR="00531AD8" w:rsidRPr="000D7782">
        <w:rPr>
          <w:rFonts w:ascii="Arial" w:hAnsi="Arial" w:cs="Arial"/>
          <w:b w:val="0"/>
          <w:color w:val="auto"/>
        </w:rPr>
        <w:t>the</w:t>
      </w:r>
      <w:r w:rsidR="00555EC8">
        <w:rPr>
          <w:rFonts w:ascii="Arial" w:hAnsi="Arial" w:cs="Arial"/>
          <w:b w:val="0"/>
          <w:color w:val="auto"/>
        </w:rPr>
        <w:t xml:space="preserve"> said</w:t>
      </w:r>
      <w:r w:rsidR="00531AD8" w:rsidRPr="000D7782">
        <w:rPr>
          <w:rFonts w:ascii="Arial" w:hAnsi="Arial" w:cs="Arial"/>
          <w:b w:val="0"/>
          <w:color w:val="auto"/>
        </w:rPr>
        <w:t xml:space="preserve"> ex-offender</w:t>
      </w:r>
      <w:r w:rsidRPr="000D7782">
        <w:rPr>
          <w:rFonts w:ascii="Arial" w:hAnsi="Arial" w:cs="Arial"/>
          <w:b w:val="0"/>
          <w:color w:val="auto"/>
        </w:rPr>
        <w:t xml:space="preserve"> has since not re-offended</w:t>
      </w:r>
      <w:r w:rsidR="004320CA">
        <w:rPr>
          <w:rFonts w:ascii="Arial" w:hAnsi="Arial" w:cs="Arial"/>
          <w:b w:val="0"/>
          <w:color w:val="auto"/>
        </w:rPr>
        <w:t xml:space="preserve">.  </w:t>
      </w:r>
    </w:p>
    <w:p w:rsidR="006B5793" w:rsidRPr="000D7782" w:rsidRDefault="006B5793" w:rsidP="00FE32B1">
      <w:pPr>
        <w:pStyle w:val="ListParagraph"/>
        <w:spacing w:line="360" w:lineRule="auto"/>
        <w:jc w:val="both"/>
        <w:rPr>
          <w:rFonts w:ascii="Arial" w:hAnsi="Arial" w:cs="Arial"/>
          <w:b w:val="0"/>
          <w:color w:val="auto"/>
        </w:rPr>
      </w:pPr>
    </w:p>
    <w:p w:rsidR="0009272F" w:rsidRPr="000D7782" w:rsidRDefault="00B06B0A"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The applicant furthermore</w:t>
      </w:r>
      <w:r w:rsidR="00B44A7E" w:rsidRPr="000D7782">
        <w:rPr>
          <w:rFonts w:ascii="Arial" w:hAnsi="Arial" w:cs="Arial"/>
          <w:b w:val="0"/>
          <w:color w:val="auto"/>
        </w:rPr>
        <w:t xml:space="preserve"> drew the attention of the H</w:t>
      </w:r>
      <w:r w:rsidR="003A18BB" w:rsidRPr="000D7782">
        <w:rPr>
          <w:rFonts w:ascii="Arial" w:hAnsi="Arial" w:cs="Arial"/>
          <w:b w:val="0"/>
          <w:color w:val="auto"/>
        </w:rPr>
        <w:t xml:space="preserve">ead of the </w:t>
      </w:r>
      <w:r w:rsidR="00573BCB" w:rsidRPr="000D7782">
        <w:rPr>
          <w:rFonts w:ascii="Arial" w:hAnsi="Arial" w:cs="Arial"/>
          <w:b w:val="0"/>
          <w:color w:val="auto"/>
        </w:rPr>
        <w:t>Centre</w:t>
      </w:r>
      <w:r w:rsidR="003A18BB" w:rsidRPr="000D7782">
        <w:rPr>
          <w:rFonts w:ascii="Arial" w:hAnsi="Arial" w:cs="Arial"/>
          <w:b w:val="0"/>
          <w:color w:val="auto"/>
        </w:rPr>
        <w:t xml:space="preserve"> to a discrepancy of a sign at the entra</w:t>
      </w:r>
      <w:r w:rsidR="002E6EC9" w:rsidRPr="000D7782">
        <w:rPr>
          <w:rFonts w:ascii="Arial" w:hAnsi="Arial" w:cs="Arial"/>
          <w:b w:val="0"/>
          <w:color w:val="auto"/>
        </w:rPr>
        <w:t xml:space="preserve">nce of the </w:t>
      </w:r>
      <w:r w:rsidR="00573BCB" w:rsidRPr="000D7782">
        <w:rPr>
          <w:rFonts w:ascii="Arial" w:hAnsi="Arial" w:cs="Arial"/>
          <w:b w:val="0"/>
          <w:color w:val="auto"/>
        </w:rPr>
        <w:t>Centre</w:t>
      </w:r>
      <w:r w:rsidR="002E6EC9" w:rsidRPr="000D7782">
        <w:rPr>
          <w:rFonts w:ascii="Arial" w:hAnsi="Arial" w:cs="Arial"/>
          <w:b w:val="0"/>
          <w:color w:val="auto"/>
        </w:rPr>
        <w:t>, between the I</w:t>
      </w:r>
      <w:r w:rsidR="003A18BB" w:rsidRPr="000D7782">
        <w:rPr>
          <w:rFonts w:ascii="Arial" w:hAnsi="Arial" w:cs="Arial"/>
          <w:b w:val="0"/>
          <w:color w:val="auto"/>
        </w:rPr>
        <w:t>si-Xhosa version and its Afrikaans and English counterparts</w:t>
      </w:r>
      <w:r w:rsidR="004320CA">
        <w:rPr>
          <w:rFonts w:ascii="Arial" w:hAnsi="Arial" w:cs="Arial"/>
          <w:b w:val="0"/>
          <w:color w:val="auto"/>
        </w:rPr>
        <w:t xml:space="preserve">.  </w:t>
      </w:r>
      <w:r w:rsidR="003A18BB" w:rsidRPr="000D7782">
        <w:rPr>
          <w:rFonts w:ascii="Arial" w:hAnsi="Arial" w:cs="Arial"/>
          <w:b w:val="0"/>
          <w:color w:val="auto"/>
        </w:rPr>
        <w:t>The difference was that whilst the said sign in the latter two languages unambiguous</w:t>
      </w:r>
      <w:r w:rsidR="00B44A7E" w:rsidRPr="000D7782">
        <w:rPr>
          <w:rFonts w:ascii="Arial" w:hAnsi="Arial" w:cs="Arial"/>
          <w:b w:val="0"/>
          <w:color w:val="auto"/>
        </w:rPr>
        <w:t>ly</w:t>
      </w:r>
      <w:r w:rsidR="003A18BB" w:rsidRPr="000D7782">
        <w:rPr>
          <w:rFonts w:ascii="Arial" w:hAnsi="Arial" w:cs="Arial"/>
          <w:b w:val="0"/>
          <w:color w:val="auto"/>
        </w:rPr>
        <w:t xml:space="preserve"> warned</w:t>
      </w:r>
      <w:r w:rsidRPr="000D7782">
        <w:rPr>
          <w:rFonts w:ascii="Arial" w:hAnsi="Arial" w:cs="Arial"/>
          <w:b w:val="0"/>
          <w:color w:val="auto"/>
        </w:rPr>
        <w:t xml:space="preserve"> against the</w:t>
      </w:r>
      <w:r w:rsidR="003A18BB" w:rsidRPr="000D7782">
        <w:rPr>
          <w:rFonts w:ascii="Arial" w:hAnsi="Arial" w:cs="Arial"/>
          <w:b w:val="0"/>
          <w:color w:val="auto"/>
        </w:rPr>
        <w:t xml:space="preserve"> unauthorised carrying of dangerous weapons </w:t>
      </w:r>
      <w:r w:rsidR="0009272F" w:rsidRPr="000D7782">
        <w:rPr>
          <w:rFonts w:ascii="Arial" w:hAnsi="Arial" w:cs="Arial"/>
          <w:b w:val="0"/>
          <w:color w:val="auto"/>
        </w:rPr>
        <w:t>i</w:t>
      </w:r>
      <w:r w:rsidR="00AF1391" w:rsidRPr="000D7782">
        <w:rPr>
          <w:rFonts w:ascii="Arial" w:hAnsi="Arial" w:cs="Arial"/>
          <w:b w:val="0"/>
          <w:color w:val="auto"/>
        </w:rPr>
        <w:t xml:space="preserve">n the </w:t>
      </w:r>
      <w:r w:rsidR="00573BCB" w:rsidRPr="000D7782">
        <w:rPr>
          <w:rFonts w:ascii="Arial" w:hAnsi="Arial" w:cs="Arial"/>
          <w:b w:val="0"/>
          <w:color w:val="auto"/>
        </w:rPr>
        <w:t>Centre</w:t>
      </w:r>
      <w:r w:rsidR="00AF1391" w:rsidRPr="000D7782">
        <w:rPr>
          <w:rFonts w:ascii="Arial" w:hAnsi="Arial" w:cs="Arial"/>
          <w:b w:val="0"/>
          <w:color w:val="auto"/>
        </w:rPr>
        <w:t>, the I</w:t>
      </w:r>
      <w:r w:rsidR="0009272F" w:rsidRPr="000D7782">
        <w:rPr>
          <w:rFonts w:ascii="Arial" w:hAnsi="Arial" w:cs="Arial"/>
          <w:b w:val="0"/>
          <w:color w:val="auto"/>
        </w:rPr>
        <w:t>si-Xhosa version, confusingly did not</w:t>
      </w:r>
      <w:r w:rsidR="004320CA">
        <w:rPr>
          <w:rFonts w:ascii="Arial" w:hAnsi="Arial" w:cs="Arial"/>
          <w:b w:val="0"/>
          <w:color w:val="auto"/>
        </w:rPr>
        <w:t xml:space="preserve">.  </w:t>
      </w:r>
      <w:r w:rsidR="0009272F" w:rsidRPr="000D7782">
        <w:rPr>
          <w:rFonts w:ascii="Arial" w:hAnsi="Arial" w:cs="Arial"/>
          <w:b w:val="0"/>
          <w:color w:val="auto"/>
        </w:rPr>
        <w:t>He is of the view that this state of affairs would not</w:t>
      </w:r>
      <w:r w:rsidR="00B44A7E" w:rsidRPr="000D7782">
        <w:rPr>
          <w:rFonts w:ascii="Arial" w:hAnsi="Arial" w:cs="Arial"/>
          <w:b w:val="0"/>
          <w:color w:val="auto"/>
        </w:rPr>
        <w:t xml:space="preserve"> only have exposed the C</w:t>
      </w:r>
      <w:r w:rsidR="0009272F" w:rsidRPr="000D7782">
        <w:rPr>
          <w:rFonts w:ascii="Arial" w:hAnsi="Arial" w:cs="Arial"/>
          <w:b w:val="0"/>
          <w:color w:val="auto"/>
        </w:rPr>
        <w:t xml:space="preserve">entre to litigation, </w:t>
      </w:r>
      <w:r w:rsidRPr="000D7782">
        <w:rPr>
          <w:rFonts w:ascii="Arial" w:hAnsi="Arial" w:cs="Arial"/>
          <w:b w:val="0"/>
          <w:color w:val="auto"/>
        </w:rPr>
        <w:t xml:space="preserve">but </w:t>
      </w:r>
      <w:r w:rsidR="0009272F" w:rsidRPr="000D7782">
        <w:rPr>
          <w:rFonts w:ascii="Arial" w:hAnsi="Arial" w:cs="Arial"/>
          <w:b w:val="0"/>
          <w:color w:val="auto"/>
        </w:rPr>
        <w:t>it also negated the safety and security of both inmates and officials</w:t>
      </w:r>
      <w:r w:rsidR="004320CA">
        <w:rPr>
          <w:rFonts w:ascii="Arial" w:hAnsi="Arial" w:cs="Arial"/>
          <w:b w:val="0"/>
          <w:color w:val="auto"/>
        </w:rPr>
        <w:t xml:space="preserve">.  </w:t>
      </w:r>
      <w:r w:rsidR="0009272F" w:rsidRPr="000D7782">
        <w:rPr>
          <w:rFonts w:ascii="Arial" w:hAnsi="Arial" w:cs="Arial"/>
          <w:b w:val="0"/>
          <w:color w:val="auto"/>
        </w:rPr>
        <w:t xml:space="preserve">As a result of his intervention, an instruction was </w:t>
      </w:r>
      <w:r w:rsidR="002E6EC9" w:rsidRPr="000D7782">
        <w:rPr>
          <w:rFonts w:ascii="Arial" w:hAnsi="Arial" w:cs="Arial"/>
          <w:b w:val="0"/>
          <w:color w:val="auto"/>
        </w:rPr>
        <w:t>issued to remove the defective I</w:t>
      </w:r>
      <w:r w:rsidR="0009272F" w:rsidRPr="000D7782">
        <w:rPr>
          <w:rFonts w:ascii="Arial" w:hAnsi="Arial" w:cs="Arial"/>
          <w:b w:val="0"/>
          <w:color w:val="auto"/>
        </w:rPr>
        <w:t>si-X</w:t>
      </w:r>
      <w:r w:rsidR="006F46B9" w:rsidRPr="000D7782">
        <w:rPr>
          <w:rFonts w:ascii="Arial" w:hAnsi="Arial" w:cs="Arial"/>
          <w:b w:val="0"/>
          <w:color w:val="auto"/>
        </w:rPr>
        <w:t xml:space="preserve">hosa version, which instruction, in his view </w:t>
      </w:r>
      <w:r w:rsidR="0009272F" w:rsidRPr="000D7782">
        <w:rPr>
          <w:rFonts w:ascii="Arial" w:hAnsi="Arial" w:cs="Arial"/>
          <w:b w:val="0"/>
          <w:color w:val="auto"/>
        </w:rPr>
        <w:t xml:space="preserve">resulted </w:t>
      </w:r>
      <w:r w:rsidR="00B44A7E" w:rsidRPr="000D7782">
        <w:rPr>
          <w:rFonts w:ascii="Arial" w:hAnsi="Arial" w:cs="Arial"/>
          <w:b w:val="0"/>
          <w:color w:val="auto"/>
        </w:rPr>
        <w:t>in</w:t>
      </w:r>
      <w:r w:rsidR="0009272F" w:rsidRPr="000D7782">
        <w:rPr>
          <w:rFonts w:ascii="Arial" w:hAnsi="Arial" w:cs="Arial"/>
          <w:b w:val="0"/>
          <w:color w:val="auto"/>
        </w:rPr>
        <w:t xml:space="preserve"> potentially saving </w:t>
      </w:r>
      <w:r w:rsidR="006F46B9" w:rsidRPr="000D7782">
        <w:rPr>
          <w:rFonts w:ascii="Arial" w:hAnsi="Arial" w:cs="Arial"/>
          <w:b w:val="0"/>
          <w:color w:val="auto"/>
        </w:rPr>
        <w:t>the institution from possible</w:t>
      </w:r>
      <w:r w:rsidR="0009272F" w:rsidRPr="000D7782">
        <w:rPr>
          <w:rFonts w:ascii="Arial" w:hAnsi="Arial" w:cs="Arial"/>
          <w:b w:val="0"/>
          <w:color w:val="auto"/>
        </w:rPr>
        <w:t xml:space="preserve"> lawsuits</w:t>
      </w:r>
      <w:r w:rsidR="004320CA">
        <w:rPr>
          <w:rFonts w:ascii="Arial" w:hAnsi="Arial" w:cs="Arial"/>
          <w:b w:val="0"/>
          <w:color w:val="auto"/>
        </w:rPr>
        <w:t xml:space="preserve">.  </w:t>
      </w:r>
    </w:p>
    <w:p w:rsidR="0009272F" w:rsidRPr="000D7782" w:rsidRDefault="0009272F" w:rsidP="00FE32B1">
      <w:pPr>
        <w:pStyle w:val="ListParagraph"/>
        <w:spacing w:line="360" w:lineRule="auto"/>
        <w:jc w:val="both"/>
        <w:rPr>
          <w:rFonts w:ascii="Arial" w:hAnsi="Arial" w:cs="Arial"/>
          <w:b w:val="0"/>
          <w:color w:val="auto"/>
        </w:rPr>
      </w:pPr>
    </w:p>
    <w:p w:rsidR="00522AF1" w:rsidRPr="000D7782" w:rsidRDefault="00A718CC"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Based on the foregoing, on 18 May 2020, the applicant</w:t>
      </w:r>
      <w:r w:rsidR="00B44A7E" w:rsidRPr="000D7782">
        <w:rPr>
          <w:rFonts w:ascii="Arial" w:hAnsi="Arial" w:cs="Arial"/>
          <w:b w:val="0"/>
          <w:color w:val="auto"/>
        </w:rPr>
        <w:t>,</w:t>
      </w:r>
      <w:r w:rsidRPr="000D7782">
        <w:rPr>
          <w:rFonts w:ascii="Arial" w:hAnsi="Arial" w:cs="Arial"/>
          <w:b w:val="0"/>
          <w:color w:val="auto"/>
        </w:rPr>
        <w:t xml:space="preserve"> after being advised by the Case Management Committee so to do, applied to be considered for special remission of sentence</w:t>
      </w:r>
      <w:r w:rsidR="004320CA">
        <w:rPr>
          <w:rFonts w:ascii="Arial" w:hAnsi="Arial" w:cs="Arial"/>
          <w:b w:val="0"/>
          <w:color w:val="auto"/>
        </w:rPr>
        <w:t xml:space="preserve">.  </w:t>
      </w:r>
      <w:r w:rsidR="00062325" w:rsidRPr="000D7782">
        <w:rPr>
          <w:rFonts w:ascii="Arial" w:hAnsi="Arial" w:cs="Arial"/>
          <w:b w:val="0"/>
          <w:color w:val="auto"/>
        </w:rPr>
        <w:t>T</w:t>
      </w:r>
      <w:r w:rsidRPr="000D7782">
        <w:rPr>
          <w:rFonts w:ascii="Arial" w:hAnsi="Arial" w:cs="Arial"/>
          <w:b w:val="0"/>
          <w:color w:val="auto"/>
        </w:rPr>
        <w:t>he Head of the Correctional Centre in Upington, one Mr Ndlovu</w:t>
      </w:r>
      <w:r w:rsidR="00B44A7E" w:rsidRPr="000D7782">
        <w:rPr>
          <w:rFonts w:ascii="Arial" w:hAnsi="Arial" w:cs="Arial"/>
          <w:b w:val="0"/>
          <w:color w:val="auto"/>
        </w:rPr>
        <w:t>,</w:t>
      </w:r>
      <w:r w:rsidRPr="000D7782">
        <w:rPr>
          <w:rFonts w:ascii="Arial" w:hAnsi="Arial" w:cs="Arial"/>
          <w:b w:val="0"/>
          <w:color w:val="auto"/>
        </w:rPr>
        <w:t xml:space="preserve"> </w:t>
      </w:r>
      <w:r w:rsidR="00555EC8">
        <w:rPr>
          <w:rFonts w:ascii="Arial" w:hAnsi="Arial" w:cs="Arial"/>
          <w:b w:val="0"/>
          <w:color w:val="auto"/>
        </w:rPr>
        <w:t xml:space="preserve">thereafter </w:t>
      </w:r>
      <w:r w:rsidRPr="000D7782">
        <w:rPr>
          <w:rFonts w:ascii="Arial" w:hAnsi="Arial" w:cs="Arial"/>
          <w:b w:val="0"/>
          <w:color w:val="auto"/>
        </w:rPr>
        <w:t xml:space="preserve">prepared a report in which he recorded the deliberations held on 08 June 2020 at the Centre and recommended </w:t>
      </w:r>
      <w:r w:rsidR="00522AF1" w:rsidRPr="000D7782">
        <w:rPr>
          <w:rFonts w:ascii="Arial" w:hAnsi="Arial" w:cs="Arial"/>
          <w:b w:val="0"/>
          <w:color w:val="auto"/>
        </w:rPr>
        <w:t>the commendation of applicant and consideration for possible remission of his sentence</w:t>
      </w:r>
      <w:r w:rsidR="004320CA">
        <w:rPr>
          <w:rFonts w:ascii="Arial" w:hAnsi="Arial" w:cs="Arial"/>
          <w:b w:val="0"/>
          <w:color w:val="auto"/>
        </w:rPr>
        <w:t xml:space="preserve">.  </w:t>
      </w:r>
    </w:p>
    <w:p w:rsidR="00522AF1" w:rsidRPr="000D7782" w:rsidRDefault="00522AF1" w:rsidP="00FE32B1">
      <w:pPr>
        <w:pStyle w:val="ListParagraph"/>
        <w:spacing w:line="360" w:lineRule="auto"/>
        <w:rPr>
          <w:rFonts w:ascii="Arial" w:hAnsi="Arial" w:cs="Arial"/>
          <w:b w:val="0"/>
          <w:color w:val="auto"/>
        </w:rPr>
      </w:pPr>
    </w:p>
    <w:p w:rsidR="002B22CE" w:rsidRPr="000D7782" w:rsidRDefault="00522AF1"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lastRenderedPageBreak/>
        <w:t>The foregoing notwithstanding, on 12 J</w:t>
      </w:r>
      <w:r w:rsidR="00655010" w:rsidRPr="000D7782">
        <w:rPr>
          <w:rFonts w:ascii="Arial" w:hAnsi="Arial" w:cs="Arial"/>
          <w:b w:val="0"/>
          <w:color w:val="auto"/>
        </w:rPr>
        <w:t xml:space="preserve">une 2020, </w:t>
      </w:r>
      <w:r w:rsidRPr="000D7782">
        <w:rPr>
          <w:rFonts w:ascii="Arial" w:hAnsi="Arial" w:cs="Arial"/>
          <w:b w:val="0"/>
          <w:color w:val="auto"/>
        </w:rPr>
        <w:t xml:space="preserve">a decision was made </w:t>
      </w:r>
      <w:r w:rsidR="00D55BEB" w:rsidRPr="000D7782">
        <w:rPr>
          <w:rFonts w:ascii="Arial" w:hAnsi="Arial" w:cs="Arial"/>
          <w:b w:val="0"/>
          <w:color w:val="auto"/>
        </w:rPr>
        <w:t>that the said actions</w:t>
      </w:r>
      <w:r w:rsidRPr="000D7782">
        <w:rPr>
          <w:rFonts w:ascii="Arial" w:hAnsi="Arial" w:cs="Arial"/>
          <w:b w:val="0"/>
          <w:color w:val="auto"/>
        </w:rPr>
        <w:t xml:space="preserve"> did not constitute sufficient grounds to justify remission of sentence</w:t>
      </w:r>
      <w:r w:rsidR="00D55BEB" w:rsidRPr="000D7782">
        <w:rPr>
          <w:rFonts w:ascii="Arial" w:hAnsi="Arial" w:cs="Arial"/>
          <w:b w:val="0"/>
          <w:color w:val="auto"/>
        </w:rPr>
        <w:t>, because same</w:t>
      </w:r>
      <w:r w:rsidRPr="000D7782">
        <w:rPr>
          <w:rFonts w:ascii="Arial" w:hAnsi="Arial" w:cs="Arial"/>
          <w:b w:val="0"/>
          <w:color w:val="auto"/>
        </w:rPr>
        <w:t xml:space="preserve"> did not in themselves, fit within the specified categories of factors that may be taken into account as deserving</w:t>
      </w:r>
      <w:r w:rsidR="004320CA">
        <w:rPr>
          <w:rFonts w:ascii="Arial" w:hAnsi="Arial" w:cs="Arial"/>
          <w:b w:val="0"/>
          <w:color w:val="auto"/>
        </w:rPr>
        <w:t xml:space="preserve">.  </w:t>
      </w:r>
      <w:r w:rsidRPr="000D7782">
        <w:rPr>
          <w:rFonts w:ascii="Arial" w:hAnsi="Arial" w:cs="Arial"/>
          <w:b w:val="0"/>
          <w:color w:val="auto"/>
        </w:rPr>
        <w:t>The applicant disputed the merits of this decision and continues to do so to date</w:t>
      </w:r>
      <w:r w:rsidR="004320CA">
        <w:rPr>
          <w:rFonts w:ascii="Arial" w:hAnsi="Arial" w:cs="Arial"/>
          <w:b w:val="0"/>
          <w:color w:val="auto"/>
        </w:rPr>
        <w:t xml:space="preserve">.  </w:t>
      </w:r>
    </w:p>
    <w:p w:rsidR="002B22CE" w:rsidRPr="000D7782" w:rsidRDefault="002B22CE" w:rsidP="00FE32B1">
      <w:pPr>
        <w:pStyle w:val="ListParagraph"/>
        <w:spacing w:line="360" w:lineRule="auto"/>
        <w:rPr>
          <w:rFonts w:ascii="Arial" w:hAnsi="Arial" w:cs="Arial"/>
          <w:b w:val="0"/>
          <w:color w:val="auto"/>
        </w:rPr>
      </w:pPr>
    </w:p>
    <w:p w:rsidR="00F440A9" w:rsidRPr="000D7782" w:rsidRDefault="00EF6478"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The Head of the</w:t>
      </w:r>
      <w:r w:rsidR="00062325" w:rsidRPr="000D7782">
        <w:rPr>
          <w:rFonts w:ascii="Arial" w:hAnsi="Arial" w:cs="Arial"/>
          <w:b w:val="0"/>
          <w:color w:val="auto"/>
        </w:rPr>
        <w:t xml:space="preserve"> Centre, Mr Ndlovu, thereafter appointed </w:t>
      </w:r>
      <w:r w:rsidR="00555EC8">
        <w:rPr>
          <w:rFonts w:ascii="Arial" w:hAnsi="Arial" w:cs="Arial"/>
          <w:b w:val="0"/>
          <w:color w:val="auto"/>
        </w:rPr>
        <w:t xml:space="preserve">one </w:t>
      </w:r>
      <w:r w:rsidR="00062325" w:rsidRPr="000D7782">
        <w:rPr>
          <w:rFonts w:ascii="Arial" w:hAnsi="Arial" w:cs="Arial"/>
          <w:b w:val="0"/>
          <w:color w:val="auto"/>
        </w:rPr>
        <w:t xml:space="preserve">Mr SL Du Plessis to determine and investigate whether </w:t>
      </w:r>
      <w:r w:rsidR="00B44A7E" w:rsidRPr="000D7782">
        <w:rPr>
          <w:rFonts w:ascii="Arial" w:hAnsi="Arial" w:cs="Arial"/>
          <w:b w:val="0"/>
          <w:color w:val="auto"/>
        </w:rPr>
        <w:t>the applicant</w:t>
      </w:r>
      <w:r w:rsidR="00062325" w:rsidRPr="000D7782">
        <w:rPr>
          <w:rFonts w:ascii="Arial" w:hAnsi="Arial" w:cs="Arial"/>
          <w:b w:val="0"/>
          <w:color w:val="auto"/>
        </w:rPr>
        <w:t xml:space="preserve"> </w:t>
      </w:r>
      <w:r w:rsidR="00555EC8">
        <w:rPr>
          <w:rFonts w:ascii="Arial" w:hAnsi="Arial" w:cs="Arial"/>
          <w:b w:val="0"/>
          <w:color w:val="auto"/>
        </w:rPr>
        <w:t xml:space="preserve">indeed </w:t>
      </w:r>
      <w:r w:rsidR="00062325" w:rsidRPr="000D7782">
        <w:rPr>
          <w:rFonts w:ascii="Arial" w:hAnsi="Arial" w:cs="Arial"/>
          <w:b w:val="0"/>
          <w:color w:val="auto"/>
        </w:rPr>
        <w:t>qualif</w:t>
      </w:r>
      <w:r w:rsidR="00B44A7E" w:rsidRPr="000D7782">
        <w:rPr>
          <w:rFonts w:ascii="Arial" w:hAnsi="Arial" w:cs="Arial"/>
          <w:b w:val="0"/>
          <w:color w:val="auto"/>
        </w:rPr>
        <w:t>ied</w:t>
      </w:r>
      <w:r w:rsidR="00062325" w:rsidRPr="000D7782">
        <w:rPr>
          <w:rFonts w:ascii="Arial" w:hAnsi="Arial" w:cs="Arial"/>
          <w:b w:val="0"/>
          <w:color w:val="auto"/>
        </w:rPr>
        <w:t xml:space="preserve"> for special remission</w:t>
      </w:r>
      <w:r w:rsidR="004320CA">
        <w:rPr>
          <w:rFonts w:ascii="Arial" w:hAnsi="Arial" w:cs="Arial"/>
          <w:b w:val="0"/>
          <w:color w:val="auto"/>
        </w:rPr>
        <w:t xml:space="preserve">.  </w:t>
      </w:r>
      <w:r w:rsidR="00D55BEB" w:rsidRPr="000D7782">
        <w:rPr>
          <w:rFonts w:ascii="Arial" w:hAnsi="Arial" w:cs="Arial"/>
          <w:b w:val="0"/>
          <w:color w:val="auto"/>
        </w:rPr>
        <w:t xml:space="preserve">According to the applicant </w:t>
      </w:r>
      <w:r w:rsidR="00062325" w:rsidRPr="000D7782">
        <w:rPr>
          <w:rFonts w:ascii="Arial" w:hAnsi="Arial" w:cs="Arial"/>
          <w:b w:val="0"/>
          <w:color w:val="auto"/>
        </w:rPr>
        <w:t xml:space="preserve">prior to Mr Du Plessis’ appointment </w:t>
      </w:r>
      <w:r w:rsidR="00D55BEB" w:rsidRPr="000D7782">
        <w:rPr>
          <w:rFonts w:ascii="Arial" w:hAnsi="Arial" w:cs="Arial"/>
          <w:b w:val="0"/>
          <w:color w:val="auto"/>
        </w:rPr>
        <w:t xml:space="preserve">he and </w:t>
      </w:r>
      <w:r w:rsidR="00B44A7E" w:rsidRPr="000D7782">
        <w:rPr>
          <w:rFonts w:ascii="Arial" w:hAnsi="Arial" w:cs="Arial"/>
          <w:b w:val="0"/>
          <w:color w:val="auto"/>
        </w:rPr>
        <w:t xml:space="preserve">Mr Du Plessis </w:t>
      </w:r>
      <w:r w:rsidR="00062325" w:rsidRPr="000D7782">
        <w:rPr>
          <w:rFonts w:ascii="Arial" w:hAnsi="Arial" w:cs="Arial"/>
          <w:b w:val="0"/>
          <w:color w:val="auto"/>
        </w:rPr>
        <w:t>had previously been involved in numerous altercations</w:t>
      </w:r>
      <w:r w:rsidR="004320CA">
        <w:rPr>
          <w:rFonts w:ascii="Arial" w:hAnsi="Arial" w:cs="Arial"/>
          <w:b w:val="0"/>
          <w:color w:val="auto"/>
        </w:rPr>
        <w:t xml:space="preserve">.  </w:t>
      </w:r>
      <w:r w:rsidR="00F440A9" w:rsidRPr="000D7782">
        <w:rPr>
          <w:rFonts w:ascii="Arial" w:hAnsi="Arial" w:cs="Arial"/>
          <w:b w:val="0"/>
          <w:color w:val="auto"/>
        </w:rPr>
        <w:t xml:space="preserve">According to the applicant, at one point when he protested to </w:t>
      </w:r>
      <w:r w:rsidR="00B06B0A" w:rsidRPr="000D7782">
        <w:rPr>
          <w:rFonts w:ascii="Arial" w:hAnsi="Arial" w:cs="Arial"/>
          <w:b w:val="0"/>
          <w:color w:val="auto"/>
        </w:rPr>
        <w:t xml:space="preserve">Mr </w:t>
      </w:r>
      <w:r w:rsidR="00F440A9" w:rsidRPr="000D7782">
        <w:rPr>
          <w:rFonts w:ascii="Arial" w:hAnsi="Arial" w:cs="Arial"/>
          <w:b w:val="0"/>
          <w:color w:val="auto"/>
        </w:rPr>
        <w:t xml:space="preserve">Du Plessis regarding </w:t>
      </w:r>
      <w:r w:rsidR="00D55BEB" w:rsidRPr="000D7782">
        <w:rPr>
          <w:rFonts w:ascii="Arial" w:hAnsi="Arial" w:cs="Arial"/>
          <w:b w:val="0"/>
          <w:color w:val="auto"/>
        </w:rPr>
        <w:t>the ill-treatment</w:t>
      </w:r>
      <w:r w:rsidR="00F440A9" w:rsidRPr="000D7782">
        <w:rPr>
          <w:rFonts w:ascii="Arial" w:hAnsi="Arial" w:cs="Arial"/>
          <w:b w:val="0"/>
          <w:color w:val="auto"/>
        </w:rPr>
        <w:t xml:space="preserve"> he was subjecting him</w:t>
      </w:r>
      <w:r w:rsidR="00062325" w:rsidRPr="000D7782">
        <w:rPr>
          <w:rFonts w:ascii="Arial" w:hAnsi="Arial" w:cs="Arial"/>
          <w:b w:val="0"/>
          <w:color w:val="auto"/>
        </w:rPr>
        <w:t xml:space="preserve"> to, </w:t>
      </w:r>
      <w:r w:rsidR="00F440A9" w:rsidRPr="000D7782">
        <w:rPr>
          <w:rFonts w:ascii="Arial" w:hAnsi="Arial" w:cs="Arial"/>
          <w:b w:val="0"/>
          <w:color w:val="auto"/>
        </w:rPr>
        <w:t>he retorted:</w:t>
      </w:r>
      <w:r w:rsidR="00062325" w:rsidRPr="000D7782">
        <w:rPr>
          <w:rFonts w:ascii="Arial" w:hAnsi="Arial" w:cs="Arial"/>
          <w:b w:val="0"/>
          <w:color w:val="auto"/>
        </w:rPr>
        <w:t xml:space="preserve"> “</w:t>
      </w:r>
      <w:r w:rsidR="00F440A9" w:rsidRPr="000D7782">
        <w:rPr>
          <w:rFonts w:ascii="Arial" w:hAnsi="Arial" w:cs="Arial"/>
          <w:b w:val="0"/>
          <w:color w:val="auto"/>
        </w:rPr>
        <w:t>[the applicant]</w:t>
      </w:r>
      <w:r w:rsidR="00F440A9" w:rsidRPr="000D7782">
        <w:rPr>
          <w:rFonts w:ascii="Arial" w:hAnsi="Arial" w:cs="Arial"/>
          <w:b w:val="0"/>
          <w:i/>
          <w:color w:val="auto"/>
        </w:rPr>
        <w:t xml:space="preserve"> </w:t>
      </w:r>
      <w:r w:rsidR="00062325" w:rsidRPr="000D7782">
        <w:rPr>
          <w:rFonts w:ascii="Arial" w:hAnsi="Arial" w:cs="Arial"/>
          <w:b w:val="0"/>
          <w:i/>
          <w:color w:val="auto"/>
        </w:rPr>
        <w:t>can even report him to the Minister</w:t>
      </w:r>
      <w:r w:rsidR="00395595" w:rsidRPr="000D7782">
        <w:rPr>
          <w:rFonts w:ascii="Arial" w:hAnsi="Arial" w:cs="Arial"/>
          <w:b w:val="0"/>
          <w:i/>
          <w:color w:val="auto"/>
        </w:rPr>
        <w:t>.”</w:t>
      </w:r>
      <w:r w:rsidR="00062325" w:rsidRPr="000D7782">
        <w:rPr>
          <w:rFonts w:ascii="Arial" w:hAnsi="Arial" w:cs="Arial"/>
          <w:b w:val="0"/>
          <w:color w:val="auto"/>
        </w:rPr>
        <w:t xml:space="preserve">  </w:t>
      </w:r>
    </w:p>
    <w:p w:rsidR="00F440A9" w:rsidRPr="000D7782" w:rsidRDefault="00F440A9" w:rsidP="00FE32B1">
      <w:pPr>
        <w:spacing w:line="360" w:lineRule="auto"/>
        <w:contextualSpacing/>
        <w:rPr>
          <w:rFonts w:ascii="Arial" w:hAnsi="Arial" w:cs="Arial"/>
          <w:b w:val="0"/>
          <w:color w:val="auto"/>
        </w:rPr>
      </w:pPr>
    </w:p>
    <w:p w:rsidR="00062325" w:rsidRPr="000D7782" w:rsidRDefault="000C1426" w:rsidP="00FE32B1">
      <w:pPr>
        <w:pStyle w:val="ListParagraph"/>
        <w:numPr>
          <w:ilvl w:val="0"/>
          <w:numId w:val="2"/>
        </w:numPr>
        <w:spacing w:line="360" w:lineRule="auto"/>
        <w:ind w:left="851" w:hanging="720"/>
        <w:jc w:val="both"/>
        <w:rPr>
          <w:rFonts w:ascii="Arial" w:hAnsi="Arial" w:cs="Arial"/>
          <w:b w:val="0"/>
          <w:color w:val="auto"/>
        </w:rPr>
      </w:pPr>
      <w:r w:rsidRPr="000D7782">
        <w:rPr>
          <w:rFonts w:ascii="Arial" w:hAnsi="Arial" w:cs="Arial"/>
          <w:b w:val="0"/>
          <w:color w:val="auto"/>
        </w:rPr>
        <w:t>Mr Du Plessis</w:t>
      </w:r>
      <w:r w:rsidR="00B44A7E" w:rsidRPr="000D7782">
        <w:rPr>
          <w:rFonts w:ascii="Arial" w:hAnsi="Arial" w:cs="Arial"/>
          <w:b w:val="0"/>
          <w:color w:val="auto"/>
        </w:rPr>
        <w:t>,</w:t>
      </w:r>
      <w:r w:rsidRPr="000D7782">
        <w:rPr>
          <w:rFonts w:ascii="Arial" w:hAnsi="Arial" w:cs="Arial"/>
          <w:b w:val="0"/>
          <w:color w:val="auto"/>
        </w:rPr>
        <w:t xml:space="preserve"> </w:t>
      </w:r>
      <w:r w:rsidRPr="000D7782">
        <w:rPr>
          <w:rFonts w:ascii="Arial" w:hAnsi="Arial" w:cs="Arial"/>
          <w:b w:val="0"/>
          <w:i/>
          <w:color w:val="auto"/>
        </w:rPr>
        <w:t>inter</w:t>
      </w:r>
      <w:r w:rsidR="00B44A7E" w:rsidRPr="000D7782">
        <w:rPr>
          <w:rFonts w:ascii="Arial" w:hAnsi="Arial" w:cs="Arial"/>
          <w:b w:val="0"/>
          <w:i/>
          <w:color w:val="auto"/>
        </w:rPr>
        <w:t xml:space="preserve"> </w:t>
      </w:r>
      <w:r w:rsidRPr="000D7782">
        <w:rPr>
          <w:rFonts w:ascii="Arial" w:hAnsi="Arial" w:cs="Arial"/>
          <w:b w:val="0"/>
          <w:i/>
          <w:color w:val="auto"/>
        </w:rPr>
        <w:t>alia</w:t>
      </w:r>
      <w:r w:rsidRPr="000D7782">
        <w:rPr>
          <w:rFonts w:ascii="Arial" w:hAnsi="Arial" w:cs="Arial"/>
          <w:b w:val="0"/>
          <w:color w:val="auto"/>
        </w:rPr>
        <w:t xml:space="preserve"> reported as follows</w:t>
      </w:r>
      <w:r w:rsidR="004320CA">
        <w:rPr>
          <w:rFonts w:ascii="Arial" w:hAnsi="Arial" w:cs="Arial"/>
          <w:b w:val="0"/>
          <w:color w:val="auto"/>
        </w:rPr>
        <w:t xml:space="preserve">.  </w:t>
      </w:r>
      <w:r w:rsidR="00570AD5" w:rsidRPr="000D7782">
        <w:rPr>
          <w:rFonts w:ascii="Arial" w:hAnsi="Arial" w:cs="Arial"/>
          <w:b w:val="0"/>
          <w:color w:val="auto"/>
        </w:rPr>
        <w:t>That the applicant</w:t>
      </w:r>
      <w:r w:rsidR="00062325" w:rsidRPr="000D7782">
        <w:rPr>
          <w:rFonts w:ascii="Arial" w:hAnsi="Arial" w:cs="Arial"/>
          <w:b w:val="0"/>
          <w:color w:val="auto"/>
        </w:rPr>
        <w:t xml:space="preserve"> </w:t>
      </w:r>
      <w:r w:rsidR="00555EC8">
        <w:rPr>
          <w:rFonts w:ascii="Arial" w:hAnsi="Arial" w:cs="Arial"/>
          <w:b w:val="0"/>
          <w:color w:val="auto"/>
        </w:rPr>
        <w:t xml:space="preserve">indeed </w:t>
      </w:r>
      <w:r w:rsidR="00062325" w:rsidRPr="000D7782">
        <w:rPr>
          <w:rFonts w:ascii="Arial" w:hAnsi="Arial" w:cs="Arial"/>
          <w:b w:val="0"/>
          <w:color w:val="auto"/>
        </w:rPr>
        <w:t xml:space="preserve">made </w:t>
      </w:r>
      <w:r w:rsidR="00570AD5" w:rsidRPr="000D7782">
        <w:rPr>
          <w:rFonts w:ascii="Arial" w:hAnsi="Arial" w:cs="Arial"/>
          <w:b w:val="0"/>
          <w:color w:val="auto"/>
        </w:rPr>
        <w:t>the Head of the</w:t>
      </w:r>
      <w:r w:rsidR="00062325" w:rsidRPr="000D7782">
        <w:rPr>
          <w:rFonts w:ascii="Arial" w:hAnsi="Arial" w:cs="Arial"/>
          <w:b w:val="0"/>
          <w:color w:val="auto"/>
        </w:rPr>
        <w:t xml:space="preserve"> Centre aware of the fact that there was a translation fault on the notice board at the main gate which </w:t>
      </w:r>
      <w:r w:rsidR="00D55BEB" w:rsidRPr="000D7782">
        <w:rPr>
          <w:rFonts w:ascii="Arial" w:hAnsi="Arial" w:cs="Arial"/>
          <w:b w:val="0"/>
          <w:color w:val="auto"/>
        </w:rPr>
        <w:t xml:space="preserve">Isi-Xhosa version </w:t>
      </w:r>
      <w:r w:rsidR="00062325" w:rsidRPr="000D7782">
        <w:rPr>
          <w:rFonts w:ascii="Arial" w:hAnsi="Arial" w:cs="Arial"/>
          <w:b w:val="0"/>
          <w:color w:val="auto"/>
        </w:rPr>
        <w:t>indic</w:t>
      </w:r>
      <w:r w:rsidR="00555EC8">
        <w:rPr>
          <w:rFonts w:ascii="Arial" w:hAnsi="Arial" w:cs="Arial"/>
          <w:b w:val="0"/>
          <w:color w:val="auto"/>
        </w:rPr>
        <w:t>a</w:t>
      </w:r>
      <w:r w:rsidR="00062325" w:rsidRPr="000D7782">
        <w:rPr>
          <w:rFonts w:ascii="Arial" w:hAnsi="Arial" w:cs="Arial"/>
          <w:b w:val="0"/>
          <w:color w:val="auto"/>
        </w:rPr>
        <w:t xml:space="preserve">ted that firearms and cell phones are </w:t>
      </w:r>
      <w:r w:rsidR="00570AD5" w:rsidRPr="000D7782">
        <w:rPr>
          <w:rFonts w:ascii="Arial" w:hAnsi="Arial" w:cs="Arial"/>
          <w:b w:val="0"/>
          <w:color w:val="auto"/>
        </w:rPr>
        <w:t>permitted at the Centre</w:t>
      </w:r>
      <w:r w:rsidR="004320CA">
        <w:rPr>
          <w:rFonts w:ascii="Arial" w:hAnsi="Arial" w:cs="Arial"/>
          <w:b w:val="0"/>
          <w:color w:val="auto"/>
        </w:rPr>
        <w:t xml:space="preserve">.  </w:t>
      </w:r>
      <w:r w:rsidR="00570AD5" w:rsidRPr="000D7782">
        <w:rPr>
          <w:rFonts w:ascii="Arial" w:hAnsi="Arial" w:cs="Arial"/>
          <w:b w:val="0"/>
          <w:color w:val="auto"/>
        </w:rPr>
        <w:t>That the applicant’s</w:t>
      </w:r>
      <w:r w:rsidR="00062325" w:rsidRPr="000D7782">
        <w:rPr>
          <w:rFonts w:ascii="Arial" w:hAnsi="Arial" w:cs="Arial"/>
          <w:b w:val="0"/>
          <w:color w:val="auto"/>
        </w:rPr>
        <w:t xml:space="preserve"> action was</w:t>
      </w:r>
      <w:r w:rsidR="00570AD5" w:rsidRPr="000D7782">
        <w:rPr>
          <w:rFonts w:ascii="Arial" w:hAnsi="Arial" w:cs="Arial"/>
          <w:b w:val="0"/>
          <w:color w:val="auto"/>
        </w:rPr>
        <w:t xml:space="preserve"> meritorious because he </w:t>
      </w:r>
      <w:r w:rsidR="00062325" w:rsidRPr="000D7782">
        <w:rPr>
          <w:rFonts w:ascii="Arial" w:hAnsi="Arial" w:cs="Arial"/>
          <w:b w:val="0"/>
          <w:color w:val="auto"/>
        </w:rPr>
        <w:t>safeguarded the Department a</w:t>
      </w:r>
      <w:r w:rsidR="00570AD5" w:rsidRPr="000D7782">
        <w:rPr>
          <w:rFonts w:ascii="Arial" w:hAnsi="Arial" w:cs="Arial"/>
          <w:b w:val="0"/>
          <w:color w:val="auto"/>
        </w:rPr>
        <w:t>gainst potential litigation and</w:t>
      </w:r>
      <w:r w:rsidR="00062325" w:rsidRPr="000D7782">
        <w:rPr>
          <w:rFonts w:ascii="Arial" w:hAnsi="Arial" w:cs="Arial"/>
          <w:b w:val="0"/>
          <w:color w:val="auto"/>
        </w:rPr>
        <w:t xml:space="preserve"> security risk</w:t>
      </w:r>
      <w:r w:rsidR="00B06B0A" w:rsidRPr="000D7782">
        <w:rPr>
          <w:rFonts w:ascii="Arial" w:hAnsi="Arial" w:cs="Arial"/>
          <w:b w:val="0"/>
          <w:color w:val="auto"/>
        </w:rPr>
        <w:t>s</w:t>
      </w:r>
      <w:r w:rsidR="004320CA">
        <w:rPr>
          <w:rFonts w:ascii="Arial" w:hAnsi="Arial" w:cs="Arial"/>
          <w:b w:val="0"/>
          <w:color w:val="auto"/>
        </w:rPr>
        <w:t xml:space="preserve">.  </w:t>
      </w:r>
      <w:r w:rsidR="00062325" w:rsidRPr="000D7782">
        <w:rPr>
          <w:rFonts w:ascii="Arial" w:hAnsi="Arial" w:cs="Arial"/>
          <w:b w:val="0"/>
          <w:color w:val="auto"/>
        </w:rPr>
        <w:t>That</w:t>
      </w:r>
      <w:r w:rsidR="00D55BEB" w:rsidRPr="000D7782">
        <w:rPr>
          <w:rFonts w:ascii="Arial" w:hAnsi="Arial" w:cs="Arial"/>
          <w:b w:val="0"/>
          <w:color w:val="auto"/>
        </w:rPr>
        <w:t>, the foregoing notwithstanding,</w:t>
      </w:r>
      <w:r w:rsidR="00062325" w:rsidRPr="000D7782">
        <w:rPr>
          <w:rFonts w:ascii="Arial" w:hAnsi="Arial" w:cs="Arial"/>
          <w:b w:val="0"/>
          <w:color w:val="auto"/>
        </w:rPr>
        <w:t xml:space="preserve"> all correctional officers working at the main gate</w:t>
      </w:r>
      <w:r w:rsidR="00B44A7E" w:rsidRPr="000D7782">
        <w:rPr>
          <w:rFonts w:ascii="Arial" w:hAnsi="Arial" w:cs="Arial"/>
          <w:b w:val="0"/>
          <w:color w:val="auto"/>
        </w:rPr>
        <w:t>,</w:t>
      </w:r>
      <w:r w:rsidR="00062325" w:rsidRPr="000D7782">
        <w:rPr>
          <w:rFonts w:ascii="Arial" w:hAnsi="Arial" w:cs="Arial"/>
          <w:b w:val="0"/>
          <w:color w:val="auto"/>
        </w:rPr>
        <w:t xml:space="preserve"> </w:t>
      </w:r>
      <w:r w:rsidR="00570AD5" w:rsidRPr="000D7782">
        <w:rPr>
          <w:rFonts w:ascii="Arial" w:hAnsi="Arial" w:cs="Arial"/>
          <w:b w:val="0"/>
          <w:color w:val="auto"/>
        </w:rPr>
        <w:t>however</w:t>
      </w:r>
      <w:r w:rsidR="00B44A7E" w:rsidRPr="000D7782">
        <w:rPr>
          <w:rFonts w:ascii="Arial" w:hAnsi="Arial" w:cs="Arial"/>
          <w:b w:val="0"/>
          <w:color w:val="auto"/>
        </w:rPr>
        <w:t>,</w:t>
      </w:r>
      <w:r w:rsidR="00570AD5" w:rsidRPr="000D7782">
        <w:rPr>
          <w:rFonts w:ascii="Arial" w:hAnsi="Arial" w:cs="Arial"/>
          <w:b w:val="0"/>
          <w:color w:val="auto"/>
        </w:rPr>
        <w:t xml:space="preserve"> know</w:t>
      </w:r>
      <w:r w:rsidR="00062325" w:rsidRPr="000D7782">
        <w:rPr>
          <w:rFonts w:ascii="Arial" w:hAnsi="Arial" w:cs="Arial"/>
          <w:b w:val="0"/>
          <w:color w:val="auto"/>
        </w:rPr>
        <w:t xml:space="preserve"> that no firearms or cell phones are allow</w:t>
      </w:r>
      <w:r w:rsidR="00570AD5" w:rsidRPr="000D7782">
        <w:rPr>
          <w:rFonts w:ascii="Arial" w:hAnsi="Arial" w:cs="Arial"/>
          <w:b w:val="0"/>
          <w:color w:val="auto"/>
        </w:rPr>
        <w:t>ed to pass through same and that</w:t>
      </w:r>
      <w:r w:rsidR="00062325" w:rsidRPr="000D7782">
        <w:rPr>
          <w:rFonts w:ascii="Arial" w:hAnsi="Arial" w:cs="Arial"/>
          <w:b w:val="0"/>
          <w:color w:val="auto"/>
        </w:rPr>
        <w:t xml:space="preserve"> spelling mistake</w:t>
      </w:r>
      <w:r w:rsidR="00C137BF" w:rsidRPr="000D7782">
        <w:rPr>
          <w:rFonts w:ascii="Arial" w:hAnsi="Arial" w:cs="Arial"/>
          <w:b w:val="0"/>
          <w:color w:val="auto"/>
        </w:rPr>
        <w:t>s</w:t>
      </w:r>
      <w:r w:rsidR="00555EC8">
        <w:rPr>
          <w:rFonts w:ascii="Arial" w:hAnsi="Arial" w:cs="Arial"/>
          <w:b w:val="0"/>
          <w:color w:val="auto"/>
        </w:rPr>
        <w:t xml:space="preserve"> on the notice board did</w:t>
      </w:r>
      <w:r w:rsidR="00062325" w:rsidRPr="000D7782">
        <w:rPr>
          <w:rFonts w:ascii="Arial" w:hAnsi="Arial" w:cs="Arial"/>
          <w:b w:val="0"/>
          <w:color w:val="auto"/>
        </w:rPr>
        <w:t xml:space="preserve"> not change the policy.</w:t>
      </w:r>
    </w:p>
    <w:p w:rsidR="00062325" w:rsidRPr="000D7782" w:rsidRDefault="00062325" w:rsidP="00FE32B1">
      <w:pPr>
        <w:pStyle w:val="ListParagraph"/>
        <w:spacing w:line="360" w:lineRule="auto"/>
        <w:rPr>
          <w:rFonts w:ascii="Arial" w:hAnsi="Arial" w:cs="Arial"/>
          <w:b w:val="0"/>
          <w:color w:val="auto"/>
        </w:rPr>
      </w:pPr>
    </w:p>
    <w:p w:rsidR="00F440A9" w:rsidRPr="000D7782" w:rsidRDefault="00570AD5" w:rsidP="00FE32B1">
      <w:pPr>
        <w:pStyle w:val="ListParagraph"/>
        <w:numPr>
          <w:ilvl w:val="0"/>
          <w:numId w:val="2"/>
        </w:numPr>
        <w:spacing w:line="360" w:lineRule="auto"/>
        <w:ind w:left="851" w:hanging="720"/>
        <w:jc w:val="both"/>
        <w:rPr>
          <w:rFonts w:ascii="Arial" w:hAnsi="Arial" w:cs="Arial"/>
          <w:b w:val="0"/>
          <w:color w:val="auto"/>
        </w:rPr>
      </w:pPr>
      <w:r w:rsidRPr="000D7782">
        <w:rPr>
          <w:rFonts w:ascii="Arial" w:hAnsi="Arial" w:cs="Arial"/>
          <w:b w:val="0"/>
          <w:color w:val="auto"/>
        </w:rPr>
        <w:t xml:space="preserve">That the applicant </w:t>
      </w:r>
      <w:r w:rsidR="00062325" w:rsidRPr="000D7782">
        <w:rPr>
          <w:rFonts w:ascii="Arial" w:hAnsi="Arial" w:cs="Arial"/>
          <w:b w:val="0"/>
          <w:color w:val="auto"/>
        </w:rPr>
        <w:t>used his influence and connections at the Premier’s office to organise a donation of soccer kit</w:t>
      </w:r>
      <w:r w:rsidRPr="000D7782">
        <w:rPr>
          <w:rFonts w:ascii="Arial" w:hAnsi="Arial" w:cs="Arial"/>
          <w:b w:val="0"/>
          <w:color w:val="auto"/>
        </w:rPr>
        <w:t>s</w:t>
      </w:r>
      <w:r w:rsidR="00062325" w:rsidRPr="000D7782">
        <w:rPr>
          <w:rFonts w:ascii="Arial" w:hAnsi="Arial" w:cs="Arial"/>
          <w:b w:val="0"/>
          <w:color w:val="auto"/>
        </w:rPr>
        <w:t xml:space="preserve"> to the value of R13 200.00</w:t>
      </w:r>
      <w:r w:rsidR="004320CA">
        <w:rPr>
          <w:rFonts w:ascii="Arial" w:hAnsi="Arial" w:cs="Arial"/>
          <w:b w:val="0"/>
          <w:color w:val="auto"/>
        </w:rPr>
        <w:t xml:space="preserve">.  </w:t>
      </w:r>
      <w:r w:rsidR="00062325" w:rsidRPr="000D7782">
        <w:rPr>
          <w:rFonts w:ascii="Arial" w:hAnsi="Arial" w:cs="Arial"/>
          <w:b w:val="0"/>
          <w:color w:val="auto"/>
        </w:rPr>
        <w:t xml:space="preserve">That the applicant did </w:t>
      </w:r>
      <w:r w:rsidR="00555EC8">
        <w:rPr>
          <w:rFonts w:ascii="Arial" w:hAnsi="Arial" w:cs="Arial"/>
          <w:b w:val="0"/>
          <w:color w:val="auto"/>
        </w:rPr>
        <w:t xml:space="preserve">indeed </w:t>
      </w:r>
      <w:r w:rsidR="00062325" w:rsidRPr="000D7782">
        <w:rPr>
          <w:rFonts w:ascii="Arial" w:hAnsi="Arial" w:cs="Arial"/>
          <w:b w:val="0"/>
          <w:color w:val="auto"/>
        </w:rPr>
        <w:t>assist the school by organising the donations of textbooks to the school</w:t>
      </w:r>
      <w:r w:rsidR="004320CA">
        <w:rPr>
          <w:rFonts w:ascii="Arial" w:hAnsi="Arial" w:cs="Arial"/>
          <w:b w:val="0"/>
          <w:color w:val="auto"/>
        </w:rPr>
        <w:t xml:space="preserve">.  </w:t>
      </w:r>
      <w:r w:rsidR="00062325" w:rsidRPr="000D7782">
        <w:rPr>
          <w:rFonts w:ascii="Arial" w:hAnsi="Arial" w:cs="Arial"/>
          <w:b w:val="0"/>
          <w:color w:val="auto"/>
        </w:rPr>
        <w:t xml:space="preserve">The applicant contended </w:t>
      </w:r>
      <w:r w:rsidR="004748A8" w:rsidRPr="000D7782">
        <w:rPr>
          <w:rFonts w:ascii="Arial" w:hAnsi="Arial" w:cs="Arial"/>
          <w:b w:val="0"/>
          <w:color w:val="auto"/>
        </w:rPr>
        <w:t xml:space="preserve">that </w:t>
      </w:r>
      <w:r w:rsidR="00062325" w:rsidRPr="000D7782">
        <w:rPr>
          <w:rFonts w:ascii="Arial" w:hAnsi="Arial" w:cs="Arial"/>
          <w:b w:val="0"/>
          <w:color w:val="auto"/>
        </w:rPr>
        <w:t xml:space="preserve">the fact that </w:t>
      </w:r>
      <w:r w:rsidR="00B06B0A" w:rsidRPr="000D7782">
        <w:rPr>
          <w:rFonts w:ascii="Arial" w:hAnsi="Arial" w:cs="Arial"/>
          <w:b w:val="0"/>
          <w:color w:val="auto"/>
        </w:rPr>
        <w:t xml:space="preserve">Mr </w:t>
      </w:r>
      <w:r w:rsidR="00062325" w:rsidRPr="000D7782">
        <w:rPr>
          <w:rFonts w:ascii="Arial" w:hAnsi="Arial" w:cs="Arial"/>
          <w:b w:val="0"/>
          <w:color w:val="auto"/>
        </w:rPr>
        <w:t>Du Plessis state</w:t>
      </w:r>
      <w:r w:rsidRPr="000D7782">
        <w:rPr>
          <w:rFonts w:ascii="Arial" w:hAnsi="Arial" w:cs="Arial"/>
          <w:b w:val="0"/>
          <w:color w:val="auto"/>
        </w:rPr>
        <w:t>d in his finding that he used his</w:t>
      </w:r>
      <w:r w:rsidR="00062325" w:rsidRPr="000D7782">
        <w:rPr>
          <w:rFonts w:ascii="Arial" w:hAnsi="Arial" w:cs="Arial"/>
          <w:b w:val="0"/>
          <w:color w:val="auto"/>
        </w:rPr>
        <w:t xml:space="preserve"> influence and connections at the Premier’s office to or</w:t>
      </w:r>
      <w:r w:rsidR="00555EC8">
        <w:rPr>
          <w:rFonts w:ascii="Arial" w:hAnsi="Arial" w:cs="Arial"/>
          <w:b w:val="0"/>
          <w:color w:val="auto"/>
        </w:rPr>
        <w:t>ganise a donation of soccer gear</w:t>
      </w:r>
      <w:r w:rsidR="00062325" w:rsidRPr="000D7782">
        <w:rPr>
          <w:rFonts w:ascii="Arial" w:hAnsi="Arial" w:cs="Arial"/>
          <w:b w:val="0"/>
          <w:color w:val="auto"/>
        </w:rPr>
        <w:t xml:space="preserve"> to the value of R13 200.00</w:t>
      </w:r>
      <w:r w:rsidR="00555EC8">
        <w:rPr>
          <w:rFonts w:ascii="Arial" w:hAnsi="Arial" w:cs="Arial"/>
          <w:b w:val="0"/>
          <w:color w:val="auto"/>
        </w:rPr>
        <w:t>,</w:t>
      </w:r>
      <w:r w:rsidR="00062325" w:rsidRPr="000D7782">
        <w:rPr>
          <w:rFonts w:ascii="Arial" w:hAnsi="Arial" w:cs="Arial"/>
          <w:b w:val="0"/>
          <w:color w:val="auto"/>
        </w:rPr>
        <w:t xml:space="preserve"> is in itself eyebrow</w:t>
      </w:r>
      <w:r w:rsidRPr="000D7782">
        <w:rPr>
          <w:rFonts w:ascii="Arial" w:hAnsi="Arial" w:cs="Arial"/>
          <w:b w:val="0"/>
          <w:color w:val="auto"/>
        </w:rPr>
        <w:t>-</w:t>
      </w:r>
      <w:r w:rsidR="00062325" w:rsidRPr="000D7782">
        <w:rPr>
          <w:rFonts w:ascii="Arial" w:hAnsi="Arial" w:cs="Arial"/>
          <w:b w:val="0"/>
          <w:color w:val="auto"/>
        </w:rPr>
        <w:t>raising because the letter he received from t</w:t>
      </w:r>
      <w:r w:rsidRPr="000D7782">
        <w:rPr>
          <w:rFonts w:ascii="Arial" w:hAnsi="Arial" w:cs="Arial"/>
          <w:b w:val="0"/>
          <w:color w:val="auto"/>
        </w:rPr>
        <w:t>he Head of the</w:t>
      </w:r>
      <w:r w:rsidR="00F440A9" w:rsidRPr="000D7782">
        <w:rPr>
          <w:rFonts w:ascii="Arial" w:hAnsi="Arial" w:cs="Arial"/>
          <w:b w:val="0"/>
          <w:color w:val="auto"/>
        </w:rPr>
        <w:t xml:space="preserve"> Centre, attached and marked a</w:t>
      </w:r>
      <w:r w:rsidR="00062325" w:rsidRPr="000D7782">
        <w:rPr>
          <w:rFonts w:ascii="Arial" w:hAnsi="Arial" w:cs="Arial"/>
          <w:b w:val="0"/>
          <w:color w:val="auto"/>
        </w:rPr>
        <w:t>nnexure JFB005</w:t>
      </w:r>
      <w:r w:rsidR="00D55BEB" w:rsidRPr="000D7782">
        <w:rPr>
          <w:rFonts w:ascii="Arial" w:hAnsi="Arial" w:cs="Arial"/>
          <w:b w:val="0"/>
          <w:color w:val="auto"/>
        </w:rPr>
        <w:t>, only</w:t>
      </w:r>
      <w:r w:rsidR="00F440A9" w:rsidRPr="000D7782">
        <w:rPr>
          <w:rFonts w:ascii="Arial" w:hAnsi="Arial" w:cs="Arial"/>
          <w:b w:val="0"/>
          <w:color w:val="auto"/>
        </w:rPr>
        <w:t xml:space="preserve"> stated that:</w:t>
      </w:r>
    </w:p>
    <w:p w:rsidR="000C1426" w:rsidRPr="000D7782" w:rsidRDefault="000C1426" w:rsidP="00FE32B1">
      <w:pPr>
        <w:spacing w:line="360" w:lineRule="auto"/>
        <w:contextualSpacing/>
        <w:jc w:val="both"/>
        <w:rPr>
          <w:rFonts w:ascii="Arial" w:hAnsi="Arial" w:cs="Arial"/>
          <w:b w:val="0"/>
          <w:color w:val="auto"/>
        </w:rPr>
      </w:pPr>
    </w:p>
    <w:p w:rsidR="00C137BF" w:rsidRPr="00884096" w:rsidRDefault="00062325" w:rsidP="00FE32B1">
      <w:pPr>
        <w:pStyle w:val="ListParagraph"/>
        <w:spacing w:line="360" w:lineRule="auto"/>
        <w:ind w:left="851"/>
        <w:jc w:val="both"/>
        <w:rPr>
          <w:rFonts w:ascii="Times New Roman" w:hAnsi="Times New Roman"/>
          <w:b w:val="0"/>
          <w:i/>
          <w:color w:val="auto"/>
        </w:rPr>
      </w:pPr>
      <w:r w:rsidRPr="00884096">
        <w:rPr>
          <w:rFonts w:ascii="Times New Roman" w:hAnsi="Times New Roman"/>
          <w:b w:val="0"/>
          <w:color w:val="auto"/>
        </w:rPr>
        <w:lastRenderedPageBreak/>
        <w:t xml:space="preserve">“… </w:t>
      </w:r>
      <w:r w:rsidRPr="00884096">
        <w:rPr>
          <w:rFonts w:ascii="Times New Roman" w:hAnsi="Times New Roman"/>
          <w:b w:val="0"/>
          <w:i/>
          <w:color w:val="auto"/>
        </w:rPr>
        <w:t>Mr Block arranged with the Premier’s office to sponsor Correctional Centre with soccer jerseys and socks, he also arrange</w:t>
      </w:r>
      <w:r w:rsidR="00D55BEB" w:rsidRPr="00884096">
        <w:rPr>
          <w:rFonts w:ascii="Times New Roman" w:hAnsi="Times New Roman"/>
          <w:b w:val="0"/>
          <w:i/>
          <w:color w:val="auto"/>
        </w:rPr>
        <w:t>d for the soccer balls, whistle</w:t>
      </w:r>
      <w:r w:rsidRPr="00884096">
        <w:rPr>
          <w:rFonts w:ascii="Times New Roman" w:hAnsi="Times New Roman"/>
          <w:b w:val="0"/>
          <w:i/>
          <w:color w:val="auto"/>
        </w:rPr>
        <w:t>s, soccer pump</w:t>
      </w:r>
      <w:r w:rsidR="00D55BEB" w:rsidRPr="00884096">
        <w:rPr>
          <w:rFonts w:ascii="Times New Roman" w:hAnsi="Times New Roman"/>
          <w:b w:val="0"/>
          <w:i/>
          <w:color w:val="auto"/>
        </w:rPr>
        <w:t>s</w:t>
      </w:r>
      <w:r w:rsidRPr="00884096">
        <w:rPr>
          <w:rFonts w:ascii="Times New Roman" w:hAnsi="Times New Roman"/>
          <w:b w:val="0"/>
          <w:i/>
          <w:color w:val="auto"/>
        </w:rPr>
        <w:t xml:space="preserve"> and a</w:t>
      </w:r>
      <w:r w:rsidR="00570AD5" w:rsidRPr="00884096">
        <w:rPr>
          <w:rFonts w:ascii="Times New Roman" w:hAnsi="Times New Roman"/>
          <w:b w:val="0"/>
          <w:i/>
          <w:color w:val="auto"/>
        </w:rPr>
        <w:t xml:space="preserve"> stop-</w:t>
      </w:r>
      <w:r w:rsidR="00F440A9" w:rsidRPr="00884096">
        <w:rPr>
          <w:rFonts w:ascii="Times New Roman" w:hAnsi="Times New Roman"/>
          <w:b w:val="0"/>
          <w:i/>
          <w:color w:val="auto"/>
        </w:rPr>
        <w:t>watch</w:t>
      </w:r>
      <w:r w:rsidR="004320CA">
        <w:rPr>
          <w:rFonts w:ascii="Times New Roman" w:hAnsi="Times New Roman"/>
          <w:b w:val="0"/>
          <w:i/>
          <w:color w:val="auto"/>
        </w:rPr>
        <w:t xml:space="preserve">.  </w:t>
      </w:r>
      <w:r w:rsidR="00F440A9" w:rsidRPr="00884096">
        <w:rPr>
          <w:rFonts w:ascii="Times New Roman" w:hAnsi="Times New Roman"/>
          <w:b w:val="0"/>
          <w:i/>
          <w:color w:val="auto"/>
        </w:rPr>
        <w:t>This equipment is</w:t>
      </w:r>
      <w:r w:rsidRPr="00884096">
        <w:rPr>
          <w:rFonts w:ascii="Times New Roman" w:hAnsi="Times New Roman"/>
          <w:b w:val="0"/>
          <w:i/>
          <w:color w:val="auto"/>
        </w:rPr>
        <w:t xml:space="preserve"> used by offenders every weekend when they play soccer</w:t>
      </w:r>
      <w:r w:rsidR="004320CA">
        <w:rPr>
          <w:rFonts w:ascii="Times New Roman" w:hAnsi="Times New Roman"/>
          <w:b w:val="0"/>
          <w:i/>
          <w:color w:val="auto"/>
        </w:rPr>
        <w:t xml:space="preserve">.  </w:t>
      </w:r>
      <w:r w:rsidRPr="00884096">
        <w:rPr>
          <w:rFonts w:ascii="Times New Roman" w:hAnsi="Times New Roman"/>
          <w:b w:val="0"/>
          <w:i/>
          <w:color w:val="auto"/>
        </w:rPr>
        <w:t>We could not buy them as we did not have enough funds under SRAC</w:t>
      </w:r>
      <w:r w:rsidR="004320CA">
        <w:rPr>
          <w:rFonts w:ascii="Times New Roman" w:hAnsi="Times New Roman"/>
          <w:b w:val="0"/>
          <w:i/>
          <w:color w:val="auto"/>
        </w:rPr>
        <w:t xml:space="preserve">.  </w:t>
      </w:r>
      <w:r w:rsidR="00570AD5" w:rsidRPr="00884096">
        <w:rPr>
          <w:rFonts w:ascii="Times New Roman" w:hAnsi="Times New Roman"/>
          <w:b w:val="0"/>
          <w:i/>
          <w:color w:val="auto"/>
        </w:rPr>
        <w:t xml:space="preserve">The soccer kits were used by </w:t>
      </w:r>
      <w:r w:rsidR="003B2CA1" w:rsidRPr="00884096">
        <w:rPr>
          <w:rFonts w:ascii="Times New Roman" w:hAnsi="Times New Roman"/>
          <w:b w:val="0"/>
          <w:i/>
          <w:color w:val="auto"/>
        </w:rPr>
        <w:t>4 (four) teams…”</w:t>
      </w:r>
    </w:p>
    <w:p w:rsidR="00062325" w:rsidRPr="000D7782" w:rsidRDefault="00062325" w:rsidP="00FE32B1">
      <w:pPr>
        <w:pStyle w:val="ListParagraph"/>
        <w:spacing w:line="360" w:lineRule="auto"/>
        <w:ind w:left="851"/>
        <w:jc w:val="both"/>
        <w:rPr>
          <w:rFonts w:ascii="Arial" w:hAnsi="Arial" w:cs="Arial"/>
          <w:b w:val="0"/>
          <w:color w:val="auto"/>
        </w:rPr>
      </w:pPr>
      <w:r w:rsidRPr="000D7782">
        <w:rPr>
          <w:rFonts w:ascii="Arial" w:hAnsi="Arial" w:cs="Arial"/>
          <w:b w:val="0"/>
          <w:i/>
          <w:color w:val="auto"/>
        </w:rPr>
        <w:t xml:space="preserve">  </w:t>
      </w:r>
    </w:p>
    <w:p w:rsidR="00DF4ED8" w:rsidRPr="000D7782" w:rsidRDefault="00FB6A22"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Mr Du Plessis subsequently recommended as follows</w:t>
      </w:r>
      <w:r w:rsidR="004320CA">
        <w:rPr>
          <w:rFonts w:ascii="Arial" w:hAnsi="Arial" w:cs="Arial"/>
          <w:b w:val="0"/>
          <w:color w:val="auto"/>
        </w:rPr>
        <w:t xml:space="preserve">.  </w:t>
      </w:r>
      <w:r w:rsidR="00B70F84" w:rsidRPr="000D7782">
        <w:rPr>
          <w:rFonts w:ascii="Arial" w:hAnsi="Arial" w:cs="Arial"/>
          <w:b w:val="0"/>
          <w:color w:val="auto"/>
        </w:rPr>
        <w:t>The applicant should be commended and encouraged to continue his good behaviour</w:t>
      </w:r>
      <w:r w:rsidR="004320CA">
        <w:rPr>
          <w:rFonts w:ascii="Arial" w:hAnsi="Arial" w:cs="Arial"/>
          <w:b w:val="0"/>
          <w:color w:val="auto"/>
        </w:rPr>
        <w:t xml:space="preserve">.  </w:t>
      </w:r>
      <w:r w:rsidR="00B70F84" w:rsidRPr="000D7782">
        <w:rPr>
          <w:rFonts w:ascii="Arial" w:hAnsi="Arial" w:cs="Arial"/>
          <w:b w:val="0"/>
          <w:color w:val="auto"/>
        </w:rPr>
        <w:t>That though commendable, his actions did not meet the criteria as stipulated in B-Order, Chapter 23, Annexure E, to qualify for special remission of sentence</w:t>
      </w:r>
      <w:r w:rsidR="004320CA">
        <w:rPr>
          <w:rFonts w:ascii="Arial" w:hAnsi="Arial" w:cs="Arial"/>
          <w:b w:val="0"/>
          <w:color w:val="auto"/>
        </w:rPr>
        <w:t xml:space="preserve">.  </w:t>
      </w:r>
      <w:r w:rsidR="00B70F84" w:rsidRPr="000D7782">
        <w:rPr>
          <w:rFonts w:ascii="Arial" w:hAnsi="Arial" w:cs="Arial"/>
          <w:b w:val="0"/>
          <w:color w:val="auto"/>
        </w:rPr>
        <w:t xml:space="preserve">That the Head of the Centre must guard against accepting donations to the Department, organised by inmates using their influence to obtain them, especially </w:t>
      </w:r>
      <w:r w:rsidR="00621CB3" w:rsidRPr="000D7782">
        <w:rPr>
          <w:rFonts w:ascii="Arial" w:hAnsi="Arial" w:cs="Arial"/>
          <w:b w:val="0"/>
          <w:color w:val="auto"/>
        </w:rPr>
        <w:t xml:space="preserve">if same is done with the expectation </w:t>
      </w:r>
      <w:r w:rsidR="00B06B0A" w:rsidRPr="000D7782">
        <w:rPr>
          <w:rFonts w:ascii="Arial" w:hAnsi="Arial" w:cs="Arial"/>
          <w:b w:val="0"/>
          <w:color w:val="auto"/>
        </w:rPr>
        <w:t>to</w:t>
      </w:r>
      <w:r w:rsidR="00621CB3" w:rsidRPr="000D7782">
        <w:rPr>
          <w:rFonts w:ascii="Arial" w:hAnsi="Arial" w:cs="Arial"/>
          <w:b w:val="0"/>
          <w:color w:val="auto"/>
        </w:rPr>
        <w:t xml:space="preserve"> be considered for remission of sentence</w:t>
      </w:r>
      <w:r w:rsidR="004320CA">
        <w:rPr>
          <w:rFonts w:ascii="Arial" w:hAnsi="Arial" w:cs="Arial"/>
          <w:b w:val="0"/>
          <w:color w:val="auto"/>
        </w:rPr>
        <w:t xml:space="preserve">.  </w:t>
      </w:r>
      <w:r w:rsidR="00621CB3" w:rsidRPr="000D7782">
        <w:rPr>
          <w:rFonts w:ascii="Arial" w:hAnsi="Arial" w:cs="Arial"/>
          <w:b w:val="0"/>
          <w:color w:val="auto"/>
        </w:rPr>
        <w:t xml:space="preserve">No special remission was </w:t>
      </w:r>
      <w:r w:rsidR="00B06B0A" w:rsidRPr="000D7782">
        <w:rPr>
          <w:rFonts w:ascii="Arial" w:hAnsi="Arial" w:cs="Arial"/>
          <w:b w:val="0"/>
          <w:color w:val="auto"/>
        </w:rPr>
        <w:t xml:space="preserve">therefore </w:t>
      </w:r>
      <w:r w:rsidR="00621CB3" w:rsidRPr="000D7782">
        <w:rPr>
          <w:rFonts w:ascii="Arial" w:hAnsi="Arial" w:cs="Arial"/>
          <w:b w:val="0"/>
          <w:color w:val="auto"/>
        </w:rPr>
        <w:t>recommended</w:t>
      </w:r>
      <w:r w:rsidR="004320CA">
        <w:rPr>
          <w:rFonts w:ascii="Arial" w:hAnsi="Arial" w:cs="Arial"/>
          <w:b w:val="0"/>
          <w:color w:val="auto"/>
        </w:rPr>
        <w:t xml:space="preserve">.  </w:t>
      </w:r>
    </w:p>
    <w:p w:rsidR="00DF4ED8" w:rsidRPr="000D7782" w:rsidRDefault="00DF4ED8" w:rsidP="00FE32B1">
      <w:pPr>
        <w:pStyle w:val="ListParagraph"/>
        <w:spacing w:line="360" w:lineRule="auto"/>
        <w:ind w:left="851"/>
        <w:jc w:val="both"/>
        <w:rPr>
          <w:rFonts w:ascii="Arial" w:hAnsi="Arial" w:cs="Arial"/>
          <w:b w:val="0"/>
          <w:color w:val="auto"/>
        </w:rPr>
      </w:pPr>
    </w:p>
    <w:p w:rsidR="00DF4ED8" w:rsidRPr="000D7782" w:rsidRDefault="00DF4ED8"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 xml:space="preserve">The applicant also averred that the choice of words used by Mr Du Plessis illustrates that he had other ulterior motives and used </w:t>
      </w:r>
      <w:r w:rsidR="00D35670" w:rsidRPr="000D7782">
        <w:rPr>
          <w:rFonts w:ascii="Arial" w:hAnsi="Arial" w:cs="Arial"/>
          <w:b w:val="0"/>
          <w:color w:val="auto"/>
        </w:rPr>
        <w:t>his powers to prejudice him</w:t>
      </w:r>
      <w:r w:rsidR="004320CA">
        <w:rPr>
          <w:rFonts w:ascii="Arial" w:hAnsi="Arial" w:cs="Arial"/>
          <w:b w:val="0"/>
          <w:color w:val="auto"/>
        </w:rPr>
        <w:t xml:space="preserve">.  </w:t>
      </w:r>
      <w:r w:rsidR="00D35670" w:rsidRPr="000D7782">
        <w:rPr>
          <w:rFonts w:ascii="Arial" w:hAnsi="Arial" w:cs="Arial"/>
          <w:b w:val="0"/>
          <w:color w:val="auto"/>
        </w:rPr>
        <w:t>T</w:t>
      </w:r>
      <w:r w:rsidRPr="000D7782">
        <w:rPr>
          <w:rFonts w:ascii="Arial" w:hAnsi="Arial" w:cs="Arial"/>
          <w:b w:val="0"/>
          <w:color w:val="auto"/>
        </w:rPr>
        <w:t>hat his animosity towards him clouded his ability to arrive at a just, fair and impartial decision at the conclusion of his investigation</w:t>
      </w:r>
      <w:r w:rsidR="004320CA">
        <w:rPr>
          <w:rFonts w:ascii="Arial" w:hAnsi="Arial" w:cs="Arial"/>
          <w:b w:val="0"/>
          <w:color w:val="auto"/>
        </w:rPr>
        <w:t xml:space="preserve">.  </w:t>
      </w:r>
      <w:r w:rsidRPr="000D7782">
        <w:rPr>
          <w:rFonts w:ascii="Arial" w:hAnsi="Arial" w:cs="Arial"/>
          <w:b w:val="0"/>
          <w:color w:val="auto"/>
        </w:rPr>
        <w:t>That Mr Du Plessis failed to comprehend the seriousness of the defective Isi-Xhosa</w:t>
      </w:r>
      <w:r w:rsidR="00D35670" w:rsidRPr="000D7782">
        <w:rPr>
          <w:rFonts w:ascii="Arial" w:hAnsi="Arial" w:cs="Arial"/>
          <w:b w:val="0"/>
          <w:color w:val="auto"/>
        </w:rPr>
        <w:t xml:space="preserve"> version of the said notice because </w:t>
      </w:r>
      <w:r w:rsidRPr="000D7782">
        <w:rPr>
          <w:rFonts w:ascii="Arial" w:hAnsi="Arial" w:cs="Arial"/>
          <w:b w:val="0"/>
          <w:color w:val="auto"/>
        </w:rPr>
        <w:t>it is trite that a notice gives the reader a right to act as directed.</w:t>
      </w:r>
    </w:p>
    <w:p w:rsidR="00DF4ED8" w:rsidRPr="000D7782" w:rsidRDefault="00DF4ED8" w:rsidP="00FE32B1">
      <w:pPr>
        <w:pStyle w:val="ListParagraph"/>
        <w:spacing w:line="360" w:lineRule="auto"/>
        <w:rPr>
          <w:rFonts w:ascii="Arial" w:hAnsi="Arial" w:cs="Arial"/>
          <w:b w:val="0"/>
          <w:color w:val="auto"/>
        </w:rPr>
      </w:pPr>
    </w:p>
    <w:p w:rsidR="00DF4ED8" w:rsidRPr="000D7782" w:rsidRDefault="00DF4ED8"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T</w:t>
      </w:r>
      <w:r w:rsidR="00621CB3" w:rsidRPr="000D7782">
        <w:rPr>
          <w:rFonts w:ascii="Arial" w:hAnsi="Arial" w:cs="Arial"/>
          <w:b w:val="0"/>
          <w:color w:val="auto"/>
        </w:rPr>
        <w:t xml:space="preserve">he applicant </w:t>
      </w:r>
      <w:r w:rsidRPr="000D7782">
        <w:rPr>
          <w:rFonts w:ascii="Arial" w:hAnsi="Arial" w:cs="Arial"/>
          <w:b w:val="0"/>
          <w:color w:val="auto"/>
        </w:rPr>
        <w:t xml:space="preserve">also </w:t>
      </w:r>
      <w:r w:rsidR="00621CB3" w:rsidRPr="000D7782">
        <w:rPr>
          <w:rFonts w:ascii="Arial" w:hAnsi="Arial" w:cs="Arial"/>
          <w:b w:val="0"/>
          <w:color w:val="auto"/>
        </w:rPr>
        <w:t>lamented that it is disturbing tha</w:t>
      </w:r>
      <w:r w:rsidR="006D6191" w:rsidRPr="000D7782">
        <w:rPr>
          <w:rFonts w:ascii="Arial" w:hAnsi="Arial" w:cs="Arial"/>
          <w:b w:val="0"/>
          <w:color w:val="auto"/>
        </w:rPr>
        <w:t>t an investigating officer should</w:t>
      </w:r>
      <w:r w:rsidR="00D35670" w:rsidRPr="000D7782">
        <w:rPr>
          <w:rFonts w:ascii="Arial" w:hAnsi="Arial" w:cs="Arial"/>
          <w:b w:val="0"/>
          <w:color w:val="auto"/>
        </w:rPr>
        <w:t xml:space="preserve"> be ignorant of</w:t>
      </w:r>
      <w:r w:rsidR="00621CB3" w:rsidRPr="000D7782">
        <w:rPr>
          <w:rFonts w:ascii="Arial" w:hAnsi="Arial" w:cs="Arial"/>
          <w:b w:val="0"/>
          <w:color w:val="auto"/>
        </w:rPr>
        <w:t xml:space="preserve"> the fact that when inmates are kept busy with studies and sports activities, they refrain from criminal activities</w:t>
      </w:r>
      <w:r w:rsidR="004320CA">
        <w:rPr>
          <w:rFonts w:ascii="Arial" w:hAnsi="Arial" w:cs="Arial"/>
          <w:b w:val="0"/>
          <w:color w:val="auto"/>
        </w:rPr>
        <w:t xml:space="preserve">.  </w:t>
      </w:r>
      <w:r w:rsidR="00B06B0A" w:rsidRPr="000D7782">
        <w:rPr>
          <w:rFonts w:ascii="Arial" w:hAnsi="Arial" w:cs="Arial"/>
          <w:b w:val="0"/>
          <w:color w:val="auto"/>
        </w:rPr>
        <w:t>T</w:t>
      </w:r>
      <w:r w:rsidR="00216762" w:rsidRPr="000D7782">
        <w:rPr>
          <w:rFonts w:ascii="Arial" w:hAnsi="Arial" w:cs="Arial"/>
          <w:b w:val="0"/>
          <w:color w:val="auto"/>
        </w:rPr>
        <w:t>he applicant further lamented t</w:t>
      </w:r>
      <w:r w:rsidR="00621CB3" w:rsidRPr="000D7782">
        <w:rPr>
          <w:rFonts w:ascii="Arial" w:hAnsi="Arial" w:cs="Arial"/>
          <w:b w:val="0"/>
          <w:color w:val="auto"/>
        </w:rPr>
        <w:t xml:space="preserve">hat </w:t>
      </w:r>
      <w:r w:rsidR="00D35670" w:rsidRPr="000D7782">
        <w:rPr>
          <w:rFonts w:ascii="Arial" w:hAnsi="Arial" w:cs="Arial"/>
          <w:b w:val="0"/>
          <w:color w:val="auto"/>
        </w:rPr>
        <w:t>d</w:t>
      </w:r>
      <w:r w:rsidRPr="000D7782">
        <w:rPr>
          <w:rFonts w:ascii="Arial" w:hAnsi="Arial" w:cs="Arial"/>
          <w:b w:val="0"/>
          <w:color w:val="auto"/>
        </w:rPr>
        <w:t>uring the course of his investigations, Mr Du Plessis</w:t>
      </w:r>
      <w:r w:rsidR="00D35670" w:rsidRPr="000D7782">
        <w:rPr>
          <w:rFonts w:ascii="Arial" w:hAnsi="Arial" w:cs="Arial"/>
          <w:b w:val="0"/>
          <w:color w:val="auto"/>
        </w:rPr>
        <w:t xml:space="preserve">, </w:t>
      </w:r>
      <w:r w:rsidR="00D35670" w:rsidRPr="000D7782">
        <w:rPr>
          <w:rFonts w:ascii="Arial" w:hAnsi="Arial" w:cs="Arial"/>
          <w:b w:val="0"/>
          <w:i/>
          <w:color w:val="auto"/>
        </w:rPr>
        <w:t>inter</w:t>
      </w:r>
      <w:r w:rsidR="00884096">
        <w:rPr>
          <w:rFonts w:ascii="Arial" w:hAnsi="Arial" w:cs="Arial"/>
          <w:b w:val="0"/>
          <w:i/>
          <w:color w:val="auto"/>
        </w:rPr>
        <w:t xml:space="preserve"> </w:t>
      </w:r>
      <w:r w:rsidR="00D35670" w:rsidRPr="000D7782">
        <w:rPr>
          <w:rFonts w:ascii="Arial" w:hAnsi="Arial" w:cs="Arial"/>
          <w:b w:val="0"/>
          <w:i/>
          <w:color w:val="auto"/>
        </w:rPr>
        <w:t>alia</w:t>
      </w:r>
      <w:r w:rsidRPr="000D7782">
        <w:rPr>
          <w:rFonts w:ascii="Arial" w:hAnsi="Arial" w:cs="Arial"/>
          <w:b w:val="0"/>
          <w:color w:val="auto"/>
        </w:rPr>
        <w:t xml:space="preserve">: (a) Failed to interview him </w:t>
      </w:r>
      <w:r w:rsidR="00D35670" w:rsidRPr="000D7782">
        <w:rPr>
          <w:rFonts w:ascii="Arial" w:hAnsi="Arial" w:cs="Arial"/>
          <w:b w:val="0"/>
          <w:color w:val="auto"/>
        </w:rPr>
        <w:t xml:space="preserve">and </w:t>
      </w:r>
      <w:r w:rsidRPr="000D7782">
        <w:rPr>
          <w:rFonts w:ascii="Arial" w:hAnsi="Arial" w:cs="Arial"/>
          <w:b w:val="0"/>
          <w:color w:val="auto"/>
        </w:rPr>
        <w:t>members of the case management committee</w:t>
      </w:r>
      <w:r w:rsidR="00555EC8">
        <w:rPr>
          <w:rFonts w:ascii="Arial" w:hAnsi="Arial" w:cs="Arial"/>
          <w:b w:val="0"/>
          <w:color w:val="auto"/>
        </w:rPr>
        <w:t>,</w:t>
      </w:r>
      <w:r w:rsidRPr="000D7782">
        <w:rPr>
          <w:rFonts w:ascii="Arial" w:hAnsi="Arial" w:cs="Arial"/>
          <w:b w:val="0"/>
          <w:color w:val="auto"/>
        </w:rPr>
        <w:t xml:space="preserve"> to </w:t>
      </w:r>
      <w:r w:rsidR="00D35670" w:rsidRPr="000D7782">
        <w:rPr>
          <w:rFonts w:ascii="Arial" w:hAnsi="Arial" w:cs="Arial"/>
          <w:b w:val="0"/>
          <w:color w:val="auto"/>
        </w:rPr>
        <w:t xml:space="preserve">properly </w:t>
      </w:r>
      <w:r w:rsidRPr="000D7782">
        <w:rPr>
          <w:rFonts w:ascii="Arial" w:hAnsi="Arial" w:cs="Arial"/>
          <w:b w:val="0"/>
          <w:color w:val="auto"/>
        </w:rPr>
        <w:t>determine</w:t>
      </w:r>
      <w:r w:rsidR="00D35670" w:rsidRPr="000D7782">
        <w:rPr>
          <w:rFonts w:ascii="Arial" w:hAnsi="Arial" w:cs="Arial"/>
          <w:b w:val="0"/>
          <w:color w:val="auto"/>
        </w:rPr>
        <w:t xml:space="preserve"> his contributions to the Centre</w:t>
      </w:r>
      <w:r w:rsidRPr="000D7782">
        <w:rPr>
          <w:rFonts w:ascii="Arial" w:hAnsi="Arial" w:cs="Arial"/>
          <w:b w:val="0"/>
          <w:color w:val="auto"/>
        </w:rPr>
        <w:t xml:space="preserve">; (c) only determined the value </w:t>
      </w:r>
      <w:r w:rsidR="00B06B0A" w:rsidRPr="000D7782">
        <w:rPr>
          <w:rFonts w:ascii="Arial" w:hAnsi="Arial" w:cs="Arial"/>
          <w:b w:val="0"/>
          <w:color w:val="auto"/>
        </w:rPr>
        <w:t xml:space="preserve">of </w:t>
      </w:r>
      <w:r w:rsidRPr="000D7782">
        <w:rPr>
          <w:rFonts w:ascii="Arial" w:hAnsi="Arial" w:cs="Arial"/>
          <w:b w:val="0"/>
          <w:color w:val="auto"/>
        </w:rPr>
        <w:t>his contributions from letters he received from the Head of Correctional Centre; and (d) prejudged his case before he even commenced with the investigations</w:t>
      </w:r>
      <w:r w:rsidR="004320CA">
        <w:rPr>
          <w:rFonts w:ascii="Arial" w:hAnsi="Arial" w:cs="Arial"/>
          <w:b w:val="0"/>
          <w:color w:val="auto"/>
        </w:rPr>
        <w:t xml:space="preserve">.  </w:t>
      </w:r>
    </w:p>
    <w:p w:rsidR="00DF4ED8" w:rsidRPr="000D7782" w:rsidRDefault="00DF4ED8" w:rsidP="00FE32B1">
      <w:pPr>
        <w:pStyle w:val="ListParagraph"/>
        <w:spacing w:line="360" w:lineRule="auto"/>
        <w:rPr>
          <w:rFonts w:ascii="Arial" w:hAnsi="Arial" w:cs="Arial"/>
          <w:b w:val="0"/>
          <w:color w:val="auto"/>
        </w:rPr>
      </w:pPr>
    </w:p>
    <w:p w:rsidR="00DF4ED8" w:rsidRPr="000D7782" w:rsidRDefault="00D35670"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lastRenderedPageBreak/>
        <w:t>That the foregoing notwithstanding, o</w:t>
      </w:r>
      <w:r w:rsidR="00323AE9" w:rsidRPr="000D7782">
        <w:rPr>
          <w:rFonts w:ascii="Arial" w:hAnsi="Arial" w:cs="Arial"/>
          <w:b w:val="0"/>
          <w:color w:val="auto"/>
        </w:rPr>
        <w:t xml:space="preserve">n 13 August 2020 the Parole Board made a ruling </w:t>
      </w:r>
      <w:r w:rsidRPr="000D7782">
        <w:rPr>
          <w:rFonts w:ascii="Arial" w:hAnsi="Arial" w:cs="Arial"/>
          <w:b w:val="0"/>
          <w:color w:val="auto"/>
        </w:rPr>
        <w:t>upholding</w:t>
      </w:r>
      <w:r w:rsidR="00323AE9" w:rsidRPr="000D7782">
        <w:rPr>
          <w:rFonts w:ascii="Arial" w:hAnsi="Arial" w:cs="Arial"/>
          <w:b w:val="0"/>
          <w:color w:val="auto"/>
        </w:rPr>
        <w:t xml:space="preserve"> Mr Du Plessis’s recommendations, without having appeared before it for any </w:t>
      </w:r>
      <w:r w:rsidR="0067541C" w:rsidRPr="000D7782">
        <w:rPr>
          <w:rFonts w:ascii="Arial" w:hAnsi="Arial" w:cs="Arial"/>
          <w:b w:val="0"/>
          <w:color w:val="auto"/>
        </w:rPr>
        <w:t>input, feedback or opportunity to note the impugned decision in writing</w:t>
      </w:r>
      <w:r w:rsidR="004320CA">
        <w:rPr>
          <w:rFonts w:ascii="Arial" w:hAnsi="Arial" w:cs="Arial"/>
          <w:b w:val="0"/>
          <w:color w:val="auto"/>
        </w:rPr>
        <w:t xml:space="preserve">.  </w:t>
      </w:r>
      <w:r w:rsidRPr="000D7782">
        <w:rPr>
          <w:rFonts w:ascii="Arial" w:hAnsi="Arial" w:cs="Arial"/>
          <w:b w:val="0"/>
          <w:color w:val="auto"/>
        </w:rPr>
        <w:t>According to him, h</w:t>
      </w:r>
      <w:r w:rsidR="00323AE9" w:rsidRPr="000D7782">
        <w:rPr>
          <w:rFonts w:ascii="Arial" w:hAnsi="Arial" w:cs="Arial"/>
          <w:b w:val="0"/>
          <w:color w:val="auto"/>
        </w:rPr>
        <w:t xml:space="preserve">e was only </w:t>
      </w:r>
      <w:r w:rsidR="00555EC8">
        <w:rPr>
          <w:rFonts w:ascii="Arial" w:hAnsi="Arial" w:cs="Arial"/>
          <w:b w:val="0"/>
          <w:color w:val="auto"/>
        </w:rPr>
        <w:t xml:space="preserve">later </w:t>
      </w:r>
      <w:r w:rsidR="00323AE9" w:rsidRPr="000D7782">
        <w:rPr>
          <w:rFonts w:ascii="Arial" w:hAnsi="Arial" w:cs="Arial"/>
          <w:b w:val="0"/>
          <w:color w:val="auto"/>
        </w:rPr>
        <w:t>called to the Head of the Centre for feedback</w:t>
      </w:r>
      <w:r w:rsidR="004320CA">
        <w:rPr>
          <w:rFonts w:ascii="Arial" w:hAnsi="Arial" w:cs="Arial"/>
          <w:b w:val="0"/>
          <w:color w:val="auto"/>
        </w:rPr>
        <w:t xml:space="preserve">.  </w:t>
      </w:r>
    </w:p>
    <w:p w:rsidR="00DF4ED8" w:rsidRPr="000D7782" w:rsidRDefault="00DF4ED8" w:rsidP="00FE32B1">
      <w:pPr>
        <w:pStyle w:val="ListParagraph"/>
        <w:spacing w:line="360" w:lineRule="auto"/>
        <w:rPr>
          <w:rFonts w:ascii="Arial" w:hAnsi="Arial" w:cs="Arial"/>
          <w:b w:val="0"/>
          <w:color w:val="auto"/>
        </w:rPr>
      </w:pPr>
    </w:p>
    <w:p w:rsidR="00DF4ED8" w:rsidRPr="000D7782" w:rsidRDefault="00862249"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Aggrieved by the said decision, the applicant subsequently lodged a review application with the Parole Review B</w:t>
      </w:r>
      <w:r w:rsidR="0067541C" w:rsidRPr="000D7782">
        <w:rPr>
          <w:rFonts w:ascii="Arial" w:hAnsi="Arial" w:cs="Arial"/>
          <w:b w:val="0"/>
          <w:color w:val="auto"/>
        </w:rPr>
        <w:t>oard</w:t>
      </w:r>
      <w:r w:rsidR="004320CA">
        <w:rPr>
          <w:rFonts w:ascii="Arial" w:hAnsi="Arial" w:cs="Arial"/>
          <w:b w:val="0"/>
          <w:color w:val="auto"/>
        </w:rPr>
        <w:t xml:space="preserve">.  </w:t>
      </w:r>
      <w:r w:rsidR="006D6191" w:rsidRPr="000D7782">
        <w:rPr>
          <w:rFonts w:ascii="Arial" w:hAnsi="Arial" w:cs="Arial"/>
          <w:b w:val="0"/>
          <w:color w:val="auto"/>
        </w:rPr>
        <w:t>On 03 February 2021</w:t>
      </w:r>
      <w:r w:rsidR="0067541C" w:rsidRPr="000D7782">
        <w:rPr>
          <w:rFonts w:ascii="Arial" w:hAnsi="Arial" w:cs="Arial"/>
          <w:b w:val="0"/>
          <w:color w:val="auto"/>
        </w:rPr>
        <w:t>,</w:t>
      </w:r>
      <w:r w:rsidRPr="000D7782">
        <w:rPr>
          <w:rFonts w:ascii="Arial" w:hAnsi="Arial" w:cs="Arial"/>
          <w:b w:val="0"/>
          <w:color w:val="auto"/>
        </w:rPr>
        <w:t xml:space="preserve"> a decision pertaining to the </w:t>
      </w:r>
      <w:r w:rsidR="0080448E" w:rsidRPr="000D7782">
        <w:rPr>
          <w:rFonts w:ascii="Arial" w:hAnsi="Arial" w:cs="Arial"/>
          <w:b w:val="0"/>
          <w:color w:val="auto"/>
        </w:rPr>
        <w:t>foregoing was hande</w:t>
      </w:r>
      <w:r w:rsidR="00892A74" w:rsidRPr="000D7782">
        <w:rPr>
          <w:rFonts w:ascii="Arial" w:hAnsi="Arial" w:cs="Arial"/>
          <w:b w:val="0"/>
          <w:color w:val="auto"/>
        </w:rPr>
        <w:t>d down</w:t>
      </w:r>
      <w:r w:rsidR="0080448E" w:rsidRPr="000D7782">
        <w:rPr>
          <w:rFonts w:ascii="Arial" w:hAnsi="Arial" w:cs="Arial"/>
          <w:b w:val="0"/>
          <w:color w:val="auto"/>
        </w:rPr>
        <w:t xml:space="preserve">, effectively informing </w:t>
      </w:r>
      <w:r w:rsidR="00555EC8">
        <w:rPr>
          <w:rFonts w:ascii="Arial" w:hAnsi="Arial" w:cs="Arial"/>
          <w:b w:val="0"/>
          <w:color w:val="auto"/>
        </w:rPr>
        <w:t xml:space="preserve">him </w:t>
      </w:r>
      <w:r w:rsidR="0080448E" w:rsidRPr="000D7782">
        <w:rPr>
          <w:rFonts w:ascii="Arial" w:hAnsi="Arial" w:cs="Arial"/>
          <w:b w:val="0"/>
          <w:color w:val="auto"/>
        </w:rPr>
        <w:t>that his application has been declined</w:t>
      </w:r>
      <w:r w:rsidR="0067541C" w:rsidRPr="000D7782">
        <w:rPr>
          <w:rFonts w:ascii="Arial" w:hAnsi="Arial" w:cs="Arial"/>
          <w:b w:val="0"/>
          <w:color w:val="auto"/>
        </w:rPr>
        <w:t>.</w:t>
      </w:r>
    </w:p>
    <w:p w:rsidR="0096017C" w:rsidRPr="000D7782" w:rsidRDefault="0096017C" w:rsidP="00FE32B1">
      <w:pPr>
        <w:spacing w:line="360" w:lineRule="auto"/>
        <w:contextualSpacing/>
        <w:rPr>
          <w:rFonts w:ascii="Arial" w:hAnsi="Arial" w:cs="Arial"/>
          <w:b w:val="0"/>
          <w:color w:val="auto"/>
        </w:rPr>
      </w:pPr>
    </w:p>
    <w:p w:rsidR="0096017C" w:rsidRPr="000D7782" w:rsidRDefault="00C83D28"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 xml:space="preserve">The applicant </w:t>
      </w:r>
      <w:r w:rsidRPr="000D7782">
        <w:rPr>
          <w:rFonts w:ascii="Arial" w:hAnsi="Arial" w:cs="Arial"/>
          <w:b w:val="0"/>
          <w:i/>
          <w:color w:val="auto"/>
        </w:rPr>
        <w:t>inter</w:t>
      </w:r>
      <w:r w:rsidR="00567285">
        <w:rPr>
          <w:rFonts w:ascii="Arial" w:hAnsi="Arial" w:cs="Arial"/>
          <w:b w:val="0"/>
          <w:i/>
          <w:color w:val="auto"/>
        </w:rPr>
        <w:t xml:space="preserve"> </w:t>
      </w:r>
      <w:r w:rsidRPr="000D7782">
        <w:rPr>
          <w:rFonts w:ascii="Arial" w:hAnsi="Arial" w:cs="Arial"/>
          <w:b w:val="0"/>
          <w:i/>
          <w:color w:val="auto"/>
        </w:rPr>
        <w:t>alia</w:t>
      </w:r>
      <w:r w:rsidRPr="000D7782">
        <w:rPr>
          <w:rFonts w:ascii="Arial" w:hAnsi="Arial" w:cs="Arial"/>
          <w:b w:val="0"/>
          <w:color w:val="auto"/>
        </w:rPr>
        <w:t xml:space="preserve"> </w:t>
      </w:r>
      <w:r w:rsidR="00555EC8">
        <w:rPr>
          <w:rFonts w:ascii="Arial" w:hAnsi="Arial" w:cs="Arial"/>
          <w:b w:val="0"/>
          <w:color w:val="auto"/>
        </w:rPr>
        <w:t xml:space="preserve">contended </w:t>
      </w:r>
      <w:r w:rsidR="0096017C" w:rsidRPr="000D7782">
        <w:rPr>
          <w:rFonts w:ascii="Arial" w:hAnsi="Arial" w:cs="Arial"/>
          <w:b w:val="0"/>
          <w:color w:val="auto"/>
        </w:rPr>
        <w:t xml:space="preserve">that the specific wording of </w:t>
      </w:r>
      <w:r w:rsidR="00164D26" w:rsidRPr="000D7782">
        <w:rPr>
          <w:rFonts w:ascii="Arial" w:hAnsi="Arial" w:cs="Arial"/>
          <w:b w:val="0"/>
          <w:color w:val="auto"/>
        </w:rPr>
        <w:t>Section</w:t>
      </w:r>
      <w:r w:rsidR="0096017C" w:rsidRPr="000D7782">
        <w:rPr>
          <w:rFonts w:ascii="Arial" w:hAnsi="Arial" w:cs="Arial"/>
          <w:b w:val="0"/>
          <w:color w:val="auto"/>
        </w:rPr>
        <w:t xml:space="preserve"> 80 of the Act does not limit the factors that may be taken into account in the definition of “</w:t>
      </w:r>
      <w:r w:rsidR="0096017C" w:rsidRPr="000D7782">
        <w:rPr>
          <w:rFonts w:ascii="Arial" w:hAnsi="Arial" w:cs="Arial"/>
          <w:b w:val="0"/>
          <w:i/>
          <w:color w:val="auto"/>
        </w:rPr>
        <w:t xml:space="preserve">highly meritorious </w:t>
      </w:r>
      <w:r w:rsidR="00892A74" w:rsidRPr="000D7782">
        <w:rPr>
          <w:rFonts w:ascii="Arial" w:hAnsi="Arial" w:cs="Arial"/>
          <w:b w:val="0"/>
          <w:color w:val="auto"/>
        </w:rPr>
        <w:t>service.”  The foregoing,</w:t>
      </w:r>
      <w:r w:rsidR="0096017C" w:rsidRPr="000D7782">
        <w:rPr>
          <w:rFonts w:ascii="Arial" w:hAnsi="Arial" w:cs="Arial"/>
          <w:b w:val="0"/>
          <w:color w:val="auto"/>
        </w:rPr>
        <w:t xml:space="preserve"> notwithstanding the decision of the first respondent</w:t>
      </w:r>
      <w:r w:rsidR="00892A74" w:rsidRPr="000D7782">
        <w:rPr>
          <w:rFonts w:ascii="Arial" w:hAnsi="Arial" w:cs="Arial"/>
          <w:b w:val="0"/>
          <w:color w:val="auto"/>
        </w:rPr>
        <w:t>,</w:t>
      </w:r>
      <w:r w:rsidR="0096017C" w:rsidRPr="000D7782">
        <w:rPr>
          <w:rFonts w:ascii="Arial" w:hAnsi="Arial" w:cs="Arial"/>
          <w:b w:val="0"/>
          <w:color w:val="auto"/>
        </w:rPr>
        <w:t xml:space="preserve"> limited itself to an internal document that seems to have been developed as a guide that refers to the factors that may be regarded as deserving for special remission</w:t>
      </w:r>
      <w:r w:rsidR="004320CA">
        <w:rPr>
          <w:rFonts w:ascii="Arial" w:hAnsi="Arial" w:cs="Arial"/>
          <w:b w:val="0"/>
          <w:color w:val="auto"/>
        </w:rPr>
        <w:t xml:space="preserve">.  </w:t>
      </w:r>
      <w:r w:rsidR="0096017C" w:rsidRPr="000D7782">
        <w:rPr>
          <w:rFonts w:ascii="Arial" w:hAnsi="Arial" w:cs="Arial"/>
          <w:b w:val="0"/>
          <w:color w:val="auto"/>
        </w:rPr>
        <w:t>In the premise, it was submitted that</w:t>
      </w:r>
      <w:r w:rsidR="00892A74" w:rsidRPr="000D7782">
        <w:rPr>
          <w:rFonts w:ascii="Arial" w:hAnsi="Arial" w:cs="Arial"/>
          <w:b w:val="0"/>
          <w:color w:val="auto"/>
        </w:rPr>
        <w:t>,</w:t>
      </w:r>
      <w:r w:rsidR="0096017C" w:rsidRPr="000D7782">
        <w:rPr>
          <w:rFonts w:ascii="Arial" w:hAnsi="Arial" w:cs="Arial"/>
          <w:b w:val="0"/>
          <w:color w:val="auto"/>
        </w:rPr>
        <w:t xml:space="preserve"> to the extent the first respondent failed to apply </w:t>
      </w:r>
      <w:r w:rsidR="00164D26" w:rsidRPr="000D7782">
        <w:rPr>
          <w:rFonts w:ascii="Arial" w:hAnsi="Arial" w:cs="Arial"/>
          <w:b w:val="0"/>
          <w:color w:val="auto"/>
        </w:rPr>
        <w:t>Section</w:t>
      </w:r>
      <w:r w:rsidR="0096017C" w:rsidRPr="000D7782">
        <w:rPr>
          <w:rFonts w:ascii="Arial" w:hAnsi="Arial" w:cs="Arial"/>
          <w:b w:val="0"/>
          <w:color w:val="auto"/>
        </w:rPr>
        <w:t xml:space="preserve"> 80, it misdirected itself</w:t>
      </w:r>
      <w:r w:rsidR="004320CA">
        <w:rPr>
          <w:rFonts w:ascii="Arial" w:hAnsi="Arial" w:cs="Arial"/>
          <w:b w:val="0"/>
          <w:color w:val="auto"/>
        </w:rPr>
        <w:t xml:space="preserve">.  </w:t>
      </w:r>
      <w:r w:rsidRPr="000D7782">
        <w:rPr>
          <w:rFonts w:ascii="Arial" w:hAnsi="Arial" w:cs="Arial"/>
          <w:b w:val="0"/>
          <w:color w:val="auto"/>
        </w:rPr>
        <w:t>That the foregoing renders the impugned decision reviewable and susceptible to being set aside</w:t>
      </w:r>
      <w:r w:rsidR="004320CA">
        <w:rPr>
          <w:rFonts w:ascii="Arial" w:hAnsi="Arial" w:cs="Arial"/>
          <w:b w:val="0"/>
          <w:color w:val="auto"/>
        </w:rPr>
        <w:t xml:space="preserve">.  </w:t>
      </w:r>
    </w:p>
    <w:p w:rsidR="0096017C" w:rsidRPr="000D7782" w:rsidRDefault="0096017C" w:rsidP="00FE32B1">
      <w:pPr>
        <w:pStyle w:val="ListParagraph"/>
        <w:spacing w:line="360" w:lineRule="auto"/>
        <w:rPr>
          <w:rFonts w:ascii="Arial" w:hAnsi="Arial" w:cs="Arial"/>
          <w:b w:val="0"/>
          <w:color w:val="auto"/>
        </w:rPr>
      </w:pPr>
    </w:p>
    <w:p w:rsidR="00DF4ED8" w:rsidRDefault="0096017C"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 xml:space="preserve">That the fourth respondent also failed to take into account evidence that was expressed by at least three different individuals to confirm that his </w:t>
      </w:r>
      <w:r w:rsidR="00555EC8">
        <w:rPr>
          <w:rFonts w:ascii="Arial" w:hAnsi="Arial" w:cs="Arial"/>
          <w:b w:val="0"/>
          <w:color w:val="auto"/>
        </w:rPr>
        <w:t>deeds were</w:t>
      </w:r>
      <w:r w:rsidRPr="000D7782">
        <w:rPr>
          <w:rFonts w:ascii="Arial" w:hAnsi="Arial" w:cs="Arial"/>
          <w:b w:val="0"/>
          <w:color w:val="auto"/>
        </w:rPr>
        <w:t xml:space="preserve"> worthy of merit</w:t>
      </w:r>
      <w:r w:rsidR="004320CA">
        <w:rPr>
          <w:rFonts w:ascii="Arial" w:hAnsi="Arial" w:cs="Arial"/>
          <w:b w:val="0"/>
          <w:color w:val="auto"/>
        </w:rPr>
        <w:t xml:space="preserve">.  </w:t>
      </w:r>
      <w:r w:rsidRPr="000D7782">
        <w:rPr>
          <w:rFonts w:ascii="Arial" w:hAnsi="Arial" w:cs="Arial"/>
          <w:b w:val="0"/>
          <w:color w:val="auto"/>
        </w:rPr>
        <w:t xml:space="preserve">That first, </w:t>
      </w:r>
      <w:r w:rsidR="00892A74" w:rsidRPr="000D7782">
        <w:rPr>
          <w:rFonts w:ascii="Arial" w:hAnsi="Arial" w:cs="Arial"/>
          <w:b w:val="0"/>
          <w:color w:val="auto"/>
        </w:rPr>
        <w:t xml:space="preserve">Mr </w:t>
      </w:r>
      <w:r w:rsidRPr="000D7782">
        <w:rPr>
          <w:rFonts w:ascii="Arial" w:hAnsi="Arial" w:cs="Arial"/>
          <w:b w:val="0"/>
          <w:color w:val="auto"/>
        </w:rPr>
        <w:t>Ndlovu supported his application</w:t>
      </w:r>
      <w:r w:rsidR="004320CA">
        <w:rPr>
          <w:rFonts w:ascii="Arial" w:hAnsi="Arial" w:cs="Arial"/>
          <w:b w:val="0"/>
          <w:color w:val="auto"/>
        </w:rPr>
        <w:t xml:space="preserve">.  </w:t>
      </w:r>
      <w:r w:rsidRPr="000D7782">
        <w:rPr>
          <w:rFonts w:ascii="Arial" w:hAnsi="Arial" w:cs="Arial"/>
          <w:b w:val="0"/>
          <w:color w:val="auto"/>
        </w:rPr>
        <w:t>Second</w:t>
      </w:r>
      <w:r w:rsidR="00892A74" w:rsidRPr="000D7782">
        <w:rPr>
          <w:rFonts w:ascii="Arial" w:hAnsi="Arial" w:cs="Arial"/>
          <w:b w:val="0"/>
          <w:color w:val="auto"/>
        </w:rPr>
        <w:t>ly</w:t>
      </w:r>
      <w:r w:rsidRPr="000D7782">
        <w:rPr>
          <w:rFonts w:ascii="Arial" w:hAnsi="Arial" w:cs="Arial"/>
          <w:b w:val="0"/>
          <w:color w:val="auto"/>
        </w:rPr>
        <w:t>, Ms Qwenya stated that he has ass</w:t>
      </w:r>
      <w:r w:rsidR="00892A74" w:rsidRPr="000D7782">
        <w:rPr>
          <w:rFonts w:ascii="Arial" w:hAnsi="Arial" w:cs="Arial"/>
          <w:b w:val="0"/>
          <w:color w:val="auto"/>
        </w:rPr>
        <w:t>isted the school by providing ten</w:t>
      </w:r>
      <w:r w:rsidRPr="000D7782">
        <w:rPr>
          <w:rFonts w:ascii="Arial" w:hAnsi="Arial" w:cs="Arial"/>
          <w:b w:val="0"/>
          <w:color w:val="auto"/>
        </w:rPr>
        <w:t xml:space="preserve"> Grade 12 books and </w:t>
      </w:r>
      <w:r w:rsidR="00892A74" w:rsidRPr="000D7782">
        <w:rPr>
          <w:rFonts w:ascii="Arial" w:hAnsi="Arial" w:cs="Arial"/>
          <w:b w:val="0"/>
          <w:color w:val="auto"/>
        </w:rPr>
        <w:t>ten</w:t>
      </w:r>
      <w:r w:rsidRPr="000D7782">
        <w:rPr>
          <w:rFonts w:ascii="Arial" w:hAnsi="Arial" w:cs="Arial"/>
          <w:b w:val="0"/>
          <w:color w:val="auto"/>
        </w:rPr>
        <w:t xml:space="preserve"> English books</w:t>
      </w:r>
      <w:r w:rsidR="004320CA">
        <w:rPr>
          <w:rFonts w:ascii="Arial" w:hAnsi="Arial" w:cs="Arial"/>
          <w:b w:val="0"/>
          <w:color w:val="auto"/>
        </w:rPr>
        <w:t xml:space="preserve">.  </w:t>
      </w:r>
      <w:r w:rsidRPr="000D7782">
        <w:rPr>
          <w:rFonts w:ascii="Arial" w:hAnsi="Arial" w:cs="Arial"/>
          <w:b w:val="0"/>
          <w:color w:val="auto"/>
        </w:rPr>
        <w:t>And third</w:t>
      </w:r>
      <w:r w:rsidR="00892A74" w:rsidRPr="000D7782">
        <w:rPr>
          <w:rFonts w:ascii="Arial" w:hAnsi="Arial" w:cs="Arial"/>
          <w:b w:val="0"/>
          <w:color w:val="auto"/>
        </w:rPr>
        <w:t>ly</w:t>
      </w:r>
      <w:r w:rsidRPr="000D7782">
        <w:rPr>
          <w:rFonts w:ascii="Arial" w:hAnsi="Arial" w:cs="Arial"/>
          <w:b w:val="0"/>
          <w:color w:val="auto"/>
        </w:rPr>
        <w:t>, Mr Mogotsi confirmed that he has assisted in the appointment of Mr Jacobus Jafta at his farm</w:t>
      </w:r>
      <w:r w:rsidR="004320CA">
        <w:rPr>
          <w:rFonts w:ascii="Arial" w:hAnsi="Arial" w:cs="Arial"/>
          <w:b w:val="0"/>
          <w:color w:val="auto"/>
        </w:rPr>
        <w:t xml:space="preserve">.  </w:t>
      </w:r>
      <w:r w:rsidRPr="000D7782">
        <w:rPr>
          <w:rFonts w:ascii="Arial" w:hAnsi="Arial" w:cs="Arial"/>
          <w:b w:val="0"/>
          <w:color w:val="auto"/>
        </w:rPr>
        <w:t xml:space="preserve">That the first respondent overlooked the findings </w:t>
      </w:r>
      <w:r w:rsidR="00C83D28" w:rsidRPr="000D7782">
        <w:rPr>
          <w:rFonts w:ascii="Arial" w:hAnsi="Arial" w:cs="Arial"/>
          <w:b w:val="0"/>
          <w:color w:val="auto"/>
        </w:rPr>
        <w:t xml:space="preserve">of </w:t>
      </w:r>
      <w:r w:rsidRPr="000D7782">
        <w:rPr>
          <w:rFonts w:ascii="Arial" w:hAnsi="Arial" w:cs="Arial"/>
          <w:b w:val="0"/>
          <w:color w:val="auto"/>
        </w:rPr>
        <w:t>the Investigating Officer that he had assisted the Department because he safeguarded it against potential litigation and security risk entailed in the contradictory Isi-Xhosa version of the notice board</w:t>
      </w:r>
      <w:r w:rsidR="004320CA">
        <w:rPr>
          <w:rFonts w:ascii="Arial" w:hAnsi="Arial" w:cs="Arial"/>
          <w:b w:val="0"/>
          <w:color w:val="auto"/>
        </w:rPr>
        <w:t xml:space="preserve">.  </w:t>
      </w:r>
    </w:p>
    <w:p w:rsidR="00884096" w:rsidRPr="00884096" w:rsidRDefault="00884096" w:rsidP="00FE32B1">
      <w:pPr>
        <w:spacing w:line="360" w:lineRule="auto"/>
        <w:contextualSpacing/>
        <w:jc w:val="both"/>
        <w:rPr>
          <w:rFonts w:ascii="Arial" w:hAnsi="Arial" w:cs="Arial"/>
          <w:b w:val="0"/>
          <w:color w:val="auto"/>
        </w:rPr>
      </w:pPr>
    </w:p>
    <w:p w:rsidR="00DF4ED8" w:rsidRPr="000D7782" w:rsidRDefault="006F6043"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 xml:space="preserve">The applicant subsequently appealed to the fourth respondent, </w:t>
      </w:r>
      <w:r w:rsidRPr="000D7782">
        <w:rPr>
          <w:rFonts w:ascii="Arial" w:hAnsi="Arial" w:cs="Arial"/>
          <w:b w:val="0"/>
          <w:i/>
          <w:color w:val="auto"/>
        </w:rPr>
        <w:t>vide</w:t>
      </w:r>
      <w:r w:rsidRPr="000D7782">
        <w:rPr>
          <w:rFonts w:ascii="Arial" w:hAnsi="Arial" w:cs="Arial"/>
          <w:b w:val="0"/>
          <w:color w:val="auto"/>
        </w:rPr>
        <w:t xml:space="preserve"> JFB010 dated 27 February 2023</w:t>
      </w:r>
      <w:r w:rsidR="004320CA">
        <w:rPr>
          <w:rFonts w:ascii="Arial" w:hAnsi="Arial" w:cs="Arial"/>
          <w:b w:val="0"/>
          <w:color w:val="auto"/>
        </w:rPr>
        <w:t xml:space="preserve">.  </w:t>
      </w:r>
      <w:r w:rsidRPr="000D7782">
        <w:rPr>
          <w:rFonts w:ascii="Arial" w:hAnsi="Arial" w:cs="Arial"/>
          <w:b w:val="0"/>
          <w:color w:val="auto"/>
        </w:rPr>
        <w:t xml:space="preserve">According to the applicant, at the time this </w:t>
      </w:r>
      <w:r w:rsidRPr="000D7782">
        <w:rPr>
          <w:rFonts w:ascii="Arial" w:hAnsi="Arial" w:cs="Arial"/>
          <w:b w:val="0"/>
          <w:color w:val="auto"/>
        </w:rPr>
        <w:lastRenderedPageBreak/>
        <w:t>application was lodged, the said application had not been decided</w:t>
      </w:r>
      <w:r w:rsidR="00892A74" w:rsidRPr="000D7782">
        <w:rPr>
          <w:rFonts w:ascii="Arial" w:hAnsi="Arial" w:cs="Arial"/>
          <w:b w:val="0"/>
          <w:color w:val="auto"/>
        </w:rPr>
        <w:t>, n</w:t>
      </w:r>
      <w:r w:rsidRPr="000D7782">
        <w:rPr>
          <w:rFonts w:ascii="Arial" w:hAnsi="Arial" w:cs="Arial"/>
          <w:b w:val="0"/>
          <w:color w:val="auto"/>
        </w:rPr>
        <w:t xml:space="preserve">or had the fifth respondent replied to same, </w:t>
      </w:r>
      <w:r w:rsidRPr="000D7782">
        <w:rPr>
          <w:rFonts w:ascii="Arial" w:hAnsi="Arial" w:cs="Arial"/>
          <w:b w:val="0"/>
          <w:i/>
          <w:color w:val="auto"/>
        </w:rPr>
        <w:t>contra</w:t>
      </w:r>
      <w:r w:rsidRPr="000D7782">
        <w:rPr>
          <w:rFonts w:ascii="Arial" w:hAnsi="Arial" w:cs="Arial"/>
          <w:b w:val="0"/>
          <w:color w:val="auto"/>
        </w:rPr>
        <w:t xml:space="preserve"> </w:t>
      </w:r>
      <w:r w:rsidR="00164D26" w:rsidRPr="000D7782">
        <w:rPr>
          <w:rFonts w:ascii="Arial" w:hAnsi="Arial" w:cs="Arial"/>
          <w:b w:val="0"/>
          <w:color w:val="auto"/>
        </w:rPr>
        <w:t>Section</w:t>
      </w:r>
      <w:r w:rsidRPr="000D7782">
        <w:rPr>
          <w:rFonts w:ascii="Arial" w:hAnsi="Arial" w:cs="Arial"/>
          <w:b w:val="0"/>
          <w:color w:val="auto"/>
        </w:rPr>
        <w:t xml:space="preserve"> 237 of the Constitution</w:t>
      </w:r>
      <w:r w:rsidR="004320CA">
        <w:rPr>
          <w:rFonts w:ascii="Arial" w:hAnsi="Arial" w:cs="Arial"/>
          <w:b w:val="0"/>
          <w:color w:val="auto"/>
        </w:rPr>
        <w:t>.</w:t>
      </w:r>
      <w:r w:rsidR="00801ABE">
        <w:rPr>
          <w:rFonts w:ascii="Arial" w:hAnsi="Arial" w:cs="Arial"/>
          <w:b w:val="0"/>
          <w:color w:val="auto"/>
        </w:rPr>
        <w:t xml:space="preserve"> The said </w:t>
      </w:r>
      <w:r w:rsidR="00F35269">
        <w:rPr>
          <w:rFonts w:ascii="Arial" w:hAnsi="Arial" w:cs="Arial"/>
          <w:b w:val="0"/>
          <w:color w:val="auto"/>
        </w:rPr>
        <w:t>Section</w:t>
      </w:r>
      <w:r w:rsidR="00801ABE">
        <w:rPr>
          <w:rFonts w:ascii="Arial" w:hAnsi="Arial" w:cs="Arial"/>
          <w:b w:val="0"/>
          <w:color w:val="auto"/>
        </w:rPr>
        <w:t xml:space="preserve"> expressly stipulates that all constitutional obligations must be performed diligently and without delay. </w:t>
      </w:r>
      <w:r w:rsidR="004320CA">
        <w:rPr>
          <w:rFonts w:ascii="Arial" w:hAnsi="Arial" w:cs="Arial"/>
          <w:b w:val="0"/>
          <w:color w:val="auto"/>
        </w:rPr>
        <w:t xml:space="preserve">  </w:t>
      </w:r>
    </w:p>
    <w:p w:rsidR="00DF4ED8" w:rsidRPr="000D7782" w:rsidRDefault="00DF4ED8" w:rsidP="00FE32B1">
      <w:pPr>
        <w:spacing w:line="360" w:lineRule="auto"/>
        <w:contextualSpacing/>
        <w:rPr>
          <w:rFonts w:ascii="Arial" w:hAnsi="Arial" w:cs="Arial"/>
          <w:b w:val="0"/>
          <w:color w:val="auto"/>
        </w:rPr>
      </w:pPr>
    </w:p>
    <w:p w:rsidR="00F21851" w:rsidRPr="000D7782" w:rsidRDefault="00216762"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The respondents, for their own part, maintained that t</w:t>
      </w:r>
      <w:r w:rsidR="009A2527" w:rsidRPr="000D7782">
        <w:rPr>
          <w:rFonts w:ascii="Arial" w:hAnsi="Arial" w:cs="Arial"/>
          <w:b w:val="0"/>
          <w:color w:val="auto"/>
        </w:rPr>
        <w:t>he respondents correctly interpreted Section 80 of the Act in considering the applicant’s application for special remission and the Head of the Centre’s recommendation</w:t>
      </w:r>
      <w:r w:rsidR="004320CA">
        <w:rPr>
          <w:rFonts w:ascii="Arial" w:hAnsi="Arial" w:cs="Arial"/>
          <w:b w:val="0"/>
          <w:color w:val="auto"/>
        </w:rPr>
        <w:t xml:space="preserve">.  </w:t>
      </w:r>
      <w:r w:rsidR="00F21851" w:rsidRPr="000D7782">
        <w:rPr>
          <w:rFonts w:ascii="Arial" w:hAnsi="Arial" w:cs="Arial"/>
          <w:b w:val="0"/>
          <w:color w:val="auto"/>
        </w:rPr>
        <w:t>T</w:t>
      </w:r>
      <w:r w:rsidR="004762F9" w:rsidRPr="000D7782">
        <w:rPr>
          <w:rFonts w:ascii="Arial" w:hAnsi="Arial" w:cs="Arial"/>
          <w:b w:val="0"/>
          <w:color w:val="auto"/>
        </w:rPr>
        <w:t>he decision of the Parole Board was procedurally fair and rat</w:t>
      </w:r>
      <w:r w:rsidR="00F21851" w:rsidRPr="000D7782">
        <w:rPr>
          <w:rFonts w:ascii="Arial" w:hAnsi="Arial" w:cs="Arial"/>
          <w:b w:val="0"/>
          <w:color w:val="auto"/>
        </w:rPr>
        <w:t>ional and its actions</w:t>
      </w:r>
      <w:r w:rsidR="004762F9" w:rsidRPr="000D7782">
        <w:rPr>
          <w:rFonts w:ascii="Arial" w:hAnsi="Arial" w:cs="Arial"/>
          <w:b w:val="0"/>
          <w:color w:val="auto"/>
        </w:rPr>
        <w:t xml:space="preserve"> and recommendations were never taken for any ulterior purpose or motive</w:t>
      </w:r>
      <w:r w:rsidR="004320CA">
        <w:rPr>
          <w:rFonts w:ascii="Arial" w:hAnsi="Arial" w:cs="Arial"/>
          <w:b w:val="0"/>
          <w:color w:val="auto"/>
        </w:rPr>
        <w:t xml:space="preserve">.  </w:t>
      </w:r>
      <w:r w:rsidR="004762F9" w:rsidRPr="000D7782">
        <w:rPr>
          <w:rFonts w:ascii="Arial" w:hAnsi="Arial" w:cs="Arial"/>
          <w:b w:val="0"/>
          <w:color w:val="auto"/>
        </w:rPr>
        <w:t>Mr</w:t>
      </w:r>
      <w:r w:rsidR="00164D26" w:rsidRPr="000D7782">
        <w:rPr>
          <w:rFonts w:ascii="Arial" w:hAnsi="Arial" w:cs="Arial"/>
          <w:b w:val="0"/>
          <w:color w:val="auto"/>
        </w:rPr>
        <w:t xml:space="preserve"> </w:t>
      </w:r>
      <w:r w:rsidR="004762F9" w:rsidRPr="000D7782">
        <w:rPr>
          <w:rFonts w:ascii="Arial" w:hAnsi="Arial" w:cs="Arial"/>
          <w:b w:val="0"/>
          <w:color w:val="auto"/>
        </w:rPr>
        <w:t xml:space="preserve">Ndlovu’s recommendations </w:t>
      </w:r>
      <w:r w:rsidR="009B65B4" w:rsidRPr="000D7782">
        <w:rPr>
          <w:rFonts w:ascii="Arial" w:hAnsi="Arial" w:cs="Arial"/>
          <w:b w:val="0"/>
          <w:color w:val="auto"/>
        </w:rPr>
        <w:t>were non-binding</w:t>
      </w:r>
      <w:r w:rsidR="004320CA">
        <w:rPr>
          <w:rFonts w:ascii="Arial" w:hAnsi="Arial" w:cs="Arial"/>
          <w:b w:val="0"/>
          <w:color w:val="auto"/>
        </w:rPr>
        <w:t xml:space="preserve">.  </w:t>
      </w:r>
      <w:r w:rsidRPr="000D7782">
        <w:rPr>
          <w:rFonts w:ascii="Arial" w:hAnsi="Arial" w:cs="Arial"/>
          <w:b w:val="0"/>
          <w:color w:val="auto"/>
        </w:rPr>
        <w:t>According to the respondents, the</w:t>
      </w:r>
      <w:r w:rsidR="006F6043" w:rsidRPr="000D7782">
        <w:rPr>
          <w:rFonts w:ascii="Arial" w:hAnsi="Arial" w:cs="Arial"/>
          <w:b w:val="0"/>
          <w:color w:val="auto"/>
        </w:rPr>
        <w:t xml:space="preserve"> decision of the Parole Board did not </w:t>
      </w:r>
      <w:r w:rsidR="009A2527" w:rsidRPr="000D7782">
        <w:rPr>
          <w:rFonts w:ascii="Arial" w:hAnsi="Arial" w:cs="Arial"/>
          <w:b w:val="0"/>
          <w:color w:val="auto"/>
        </w:rPr>
        <w:t>warrant referral to the</w:t>
      </w:r>
      <w:r w:rsidR="006F6043" w:rsidRPr="000D7782">
        <w:rPr>
          <w:rFonts w:ascii="Arial" w:hAnsi="Arial" w:cs="Arial"/>
          <w:b w:val="0"/>
          <w:color w:val="auto"/>
        </w:rPr>
        <w:t xml:space="preserve"> Review Board</w:t>
      </w:r>
      <w:r w:rsidR="004320CA">
        <w:rPr>
          <w:rFonts w:ascii="Arial" w:hAnsi="Arial" w:cs="Arial"/>
          <w:b w:val="0"/>
          <w:color w:val="auto"/>
        </w:rPr>
        <w:t xml:space="preserve">.  </w:t>
      </w:r>
      <w:r w:rsidR="006F6043" w:rsidRPr="000D7782">
        <w:rPr>
          <w:rFonts w:ascii="Arial" w:hAnsi="Arial" w:cs="Arial"/>
          <w:b w:val="0"/>
          <w:color w:val="auto"/>
        </w:rPr>
        <w:t>They maintained that the Head of the Parole Board applied his mind to the applicant’s request for remission of sentence</w:t>
      </w:r>
      <w:r w:rsidR="004320CA">
        <w:rPr>
          <w:rFonts w:ascii="Arial" w:hAnsi="Arial" w:cs="Arial"/>
          <w:b w:val="0"/>
          <w:color w:val="auto"/>
        </w:rPr>
        <w:t xml:space="preserve">.  </w:t>
      </w:r>
      <w:r w:rsidR="009B65B4" w:rsidRPr="000D7782">
        <w:rPr>
          <w:rFonts w:ascii="Arial" w:hAnsi="Arial" w:cs="Arial"/>
          <w:b w:val="0"/>
          <w:color w:val="auto"/>
        </w:rPr>
        <w:t xml:space="preserve">In the premise, they maintained that the </w:t>
      </w:r>
      <w:r w:rsidR="00275C0C">
        <w:rPr>
          <w:rFonts w:ascii="Arial" w:hAnsi="Arial" w:cs="Arial"/>
          <w:b w:val="0"/>
          <w:color w:val="auto"/>
        </w:rPr>
        <w:t>Parole Board</w:t>
      </w:r>
      <w:r w:rsidR="009B65B4" w:rsidRPr="000D7782">
        <w:rPr>
          <w:rFonts w:ascii="Arial" w:hAnsi="Arial" w:cs="Arial"/>
          <w:b w:val="0"/>
          <w:color w:val="auto"/>
        </w:rPr>
        <w:t xml:space="preserve"> did not contravene </w:t>
      </w:r>
      <w:r w:rsidR="00164D26" w:rsidRPr="000D7782">
        <w:rPr>
          <w:rFonts w:ascii="Arial" w:hAnsi="Arial" w:cs="Arial"/>
          <w:b w:val="0"/>
          <w:color w:val="auto"/>
        </w:rPr>
        <w:t>Section</w:t>
      </w:r>
      <w:r w:rsidR="009B65B4" w:rsidRPr="000D7782">
        <w:rPr>
          <w:rFonts w:ascii="Arial" w:hAnsi="Arial" w:cs="Arial"/>
          <w:b w:val="0"/>
          <w:color w:val="auto"/>
        </w:rPr>
        <w:t xml:space="preserve"> 6 of </w:t>
      </w:r>
      <w:r w:rsidR="001F70B4">
        <w:rPr>
          <w:rFonts w:ascii="Arial" w:hAnsi="Arial" w:cs="Arial"/>
          <w:color w:val="auto"/>
        </w:rPr>
        <w:t>PROMOTION OF</w:t>
      </w:r>
      <w:r w:rsidRPr="000D7782">
        <w:rPr>
          <w:rFonts w:ascii="Arial" w:hAnsi="Arial" w:cs="Arial"/>
          <w:color w:val="auto"/>
        </w:rPr>
        <w:t xml:space="preserve"> ADMINITRATIVE </w:t>
      </w:r>
      <w:r w:rsidR="001F70B4">
        <w:rPr>
          <w:rFonts w:ascii="Arial" w:hAnsi="Arial" w:cs="Arial"/>
          <w:color w:val="auto"/>
        </w:rPr>
        <w:t>JUSTICE ACT</w:t>
      </w:r>
      <w:r w:rsidR="00275C0C">
        <w:rPr>
          <w:rFonts w:ascii="Arial" w:hAnsi="Arial" w:cs="Arial"/>
          <w:b w:val="0"/>
          <w:color w:val="auto"/>
        </w:rPr>
        <w:t>.</w:t>
      </w:r>
      <w:r w:rsidR="00711AA2" w:rsidRPr="000D7782">
        <w:rPr>
          <w:rStyle w:val="FootnoteReference"/>
          <w:rFonts w:ascii="Arial" w:hAnsi="Arial" w:cs="Arial"/>
          <w:b w:val="0"/>
          <w:color w:val="auto"/>
        </w:rPr>
        <w:footnoteReference w:id="29"/>
      </w:r>
    </w:p>
    <w:p w:rsidR="00F21851" w:rsidRPr="000D7782" w:rsidRDefault="00F21851" w:rsidP="00FE32B1">
      <w:pPr>
        <w:pStyle w:val="ListParagraph"/>
        <w:spacing w:line="360" w:lineRule="auto"/>
        <w:rPr>
          <w:rFonts w:ascii="Arial" w:hAnsi="Arial" w:cs="Arial"/>
          <w:b w:val="0"/>
          <w:color w:val="auto"/>
        </w:rPr>
      </w:pPr>
    </w:p>
    <w:p w:rsidR="00F21851" w:rsidRPr="000D7782" w:rsidRDefault="003B1D36"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 xml:space="preserve">That </w:t>
      </w:r>
      <w:r w:rsidR="003B10C5" w:rsidRPr="000D7782">
        <w:rPr>
          <w:rFonts w:ascii="Arial" w:hAnsi="Arial" w:cs="Arial"/>
          <w:b w:val="0"/>
          <w:color w:val="auto"/>
        </w:rPr>
        <w:t>t</w:t>
      </w:r>
      <w:r w:rsidR="00711AA2" w:rsidRPr="000D7782">
        <w:rPr>
          <w:rFonts w:ascii="Arial" w:hAnsi="Arial" w:cs="Arial"/>
          <w:b w:val="0"/>
          <w:color w:val="auto"/>
        </w:rPr>
        <w:t>he applicant was supposed to exhaust internal re</w:t>
      </w:r>
      <w:r w:rsidR="00216762" w:rsidRPr="000D7782">
        <w:rPr>
          <w:rFonts w:ascii="Arial" w:hAnsi="Arial" w:cs="Arial"/>
          <w:b w:val="0"/>
          <w:color w:val="auto"/>
        </w:rPr>
        <w:t>medies in terms of Section 7</w:t>
      </w:r>
      <w:r w:rsidR="00711AA2" w:rsidRPr="000D7782">
        <w:rPr>
          <w:rFonts w:ascii="Arial" w:hAnsi="Arial" w:cs="Arial"/>
          <w:b w:val="0"/>
          <w:color w:val="auto"/>
        </w:rPr>
        <w:t xml:space="preserve"> of </w:t>
      </w:r>
      <w:r w:rsidR="00216762" w:rsidRPr="000D7782">
        <w:rPr>
          <w:rFonts w:ascii="Arial" w:hAnsi="Arial" w:cs="Arial"/>
          <w:b w:val="0"/>
          <w:color w:val="auto"/>
        </w:rPr>
        <w:t>PAJA</w:t>
      </w:r>
      <w:r w:rsidR="004320CA">
        <w:rPr>
          <w:rFonts w:ascii="Arial" w:hAnsi="Arial" w:cs="Arial"/>
          <w:b w:val="0"/>
          <w:color w:val="auto"/>
        </w:rPr>
        <w:t xml:space="preserve">.  </w:t>
      </w:r>
      <w:r w:rsidR="00711AA2" w:rsidRPr="000D7782">
        <w:rPr>
          <w:rFonts w:ascii="Arial" w:hAnsi="Arial" w:cs="Arial"/>
          <w:b w:val="0"/>
          <w:color w:val="auto"/>
        </w:rPr>
        <w:t>The applicant did not invoke the remedy available to hi</w:t>
      </w:r>
      <w:r w:rsidR="00F21851" w:rsidRPr="000D7782">
        <w:rPr>
          <w:rFonts w:ascii="Arial" w:hAnsi="Arial" w:cs="Arial"/>
          <w:b w:val="0"/>
          <w:color w:val="auto"/>
        </w:rPr>
        <w:t xml:space="preserve">m in terms of the PAIA, nor did he </w:t>
      </w:r>
      <w:r w:rsidR="00711AA2" w:rsidRPr="000D7782">
        <w:rPr>
          <w:rFonts w:ascii="Arial" w:hAnsi="Arial" w:cs="Arial"/>
          <w:b w:val="0"/>
          <w:color w:val="auto"/>
        </w:rPr>
        <w:t>raise any exceptional circumstances</w:t>
      </w:r>
      <w:r w:rsidR="00F21851" w:rsidRPr="000D7782">
        <w:rPr>
          <w:rFonts w:ascii="Arial" w:hAnsi="Arial" w:cs="Arial"/>
          <w:b w:val="0"/>
          <w:color w:val="auto"/>
        </w:rPr>
        <w:t xml:space="preserve"> why his failure to do so should be condoned</w:t>
      </w:r>
      <w:r w:rsidR="004320CA">
        <w:rPr>
          <w:rFonts w:ascii="Arial" w:hAnsi="Arial" w:cs="Arial"/>
          <w:b w:val="0"/>
          <w:color w:val="auto"/>
        </w:rPr>
        <w:t xml:space="preserve">.  </w:t>
      </w:r>
      <w:r w:rsidR="00216762" w:rsidRPr="000D7782">
        <w:rPr>
          <w:rFonts w:ascii="Arial" w:hAnsi="Arial" w:cs="Arial"/>
          <w:b w:val="0"/>
          <w:color w:val="auto"/>
        </w:rPr>
        <w:t xml:space="preserve">Consequently, the respondent submitted </w:t>
      </w:r>
      <w:r w:rsidR="00256940" w:rsidRPr="000D7782">
        <w:rPr>
          <w:rFonts w:ascii="Arial" w:hAnsi="Arial" w:cs="Arial"/>
          <w:b w:val="0"/>
          <w:color w:val="auto"/>
        </w:rPr>
        <w:t>t</w:t>
      </w:r>
      <w:r w:rsidR="00F21851" w:rsidRPr="000D7782">
        <w:rPr>
          <w:rFonts w:ascii="Arial" w:hAnsi="Arial" w:cs="Arial"/>
          <w:b w:val="0"/>
          <w:color w:val="auto"/>
        </w:rPr>
        <w:t>hat the</w:t>
      </w:r>
      <w:r w:rsidR="00711AA2" w:rsidRPr="000D7782">
        <w:rPr>
          <w:rFonts w:ascii="Arial" w:hAnsi="Arial" w:cs="Arial"/>
          <w:b w:val="0"/>
          <w:color w:val="auto"/>
        </w:rPr>
        <w:t xml:space="preserve"> application </w:t>
      </w:r>
      <w:r w:rsidR="00256940" w:rsidRPr="000D7782">
        <w:rPr>
          <w:rFonts w:ascii="Arial" w:hAnsi="Arial" w:cs="Arial"/>
          <w:b w:val="0"/>
          <w:color w:val="auto"/>
        </w:rPr>
        <w:t xml:space="preserve">is </w:t>
      </w:r>
      <w:r w:rsidRPr="000D7782">
        <w:rPr>
          <w:rFonts w:ascii="Arial" w:hAnsi="Arial" w:cs="Arial"/>
          <w:b w:val="0"/>
          <w:color w:val="auto"/>
        </w:rPr>
        <w:t>premature solely for this</w:t>
      </w:r>
      <w:r w:rsidR="00711AA2" w:rsidRPr="000D7782">
        <w:rPr>
          <w:rFonts w:ascii="Arial" w:hAnsi="Arial" w:cs="Arial"/>
          <w:b w:val="0"/>
          <w:color w:val="auto"/>
        </w:rPr>
        <w:t xml:space="preserve"> reason.</w:t>
      </w:r>
    </w:p>
    <w:p w:rsidR="00F21851" w:rsidRPr="000D7782" w:rsidRDefault="00F21851" w:rsidP="00FE32B1">
      <w:pPr>
        <w:pStyle w:val="ListParagraph"/>
        <w:spacing w:line="360" w:lineRule="auto"/>
        <w:rPr>
          <w:rFonts w:ascii="Arial" w:hAnsi="Arial" w:cs="Arial"/>
          <w:b w:val="0"/>
          <w:color w:val="auto"/>
        </w:rPr>
      </w:pPr>
    </w:p>
    <w:p w:rsidR="00B92006" w:rsidRPr="000D7782" w:rsidRDefault="003B1D36"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T</w:t>
      </w:r>
      <w:r w:rsidR="00216762" w:rsidRPr="000D7782">
        <w:rPr>
          <w:rFonts w:ascii="Arial" w:hAnsi="Arial" w:cs="Arial"/>
          <w:b w:val="0"/>
          <w:color w:val="auto"/>
        </w:rPr>
        <w:t>he respondents submitted further that</w:t>
      </w:r>
      <w:r w:rsidRPr="000D7782">
        <w:rPr>
          <w:rFonts w:ascii="Arial" w:hAnsi="Arial" w:cs="Arial"/>
          <w:b w:val="0"/>
          <w:color w:val="auto"/>
        </w:rPr>
        <w:t xml:space="preserve"> in </w:t>
      </w:r>
      <w:r w:rsidR="00711AA2" w:rsidRPr="000D7782">
        <w:rPr>
          <w:rFonts w:ascii="Arial" w:hAnsi="Arial" w:cs="Arial"/>
          <w:b w:val="0"/>
          <w:color w:val="auto"/>
        </w:rPr>
        <w:t xml:space="preserve">arriving at the decision not to grant the applicant special parole dispensation, the respondents </w:t>
      </w:r>
      <w:r w:rsidR="00CC5B06" w:rsidRPr="000D7782">
        <w:rPr>
          <w:rFonts w:ascii="Arial" w:hAnsi="Arial" w:cs="Arial"/>
          <w:b w:val="0"/>
          <w:color w:val="auto"/>
        </w:rPr>
        <w:t>are</w:t>
      </w:r>
      <w:r w:rsidR="00711AA2" w:rsidRPr="000D7782">
        <w:rPr>
          <w:rFonts w:ascii="Arial" w:hAnsi="Arial" w:cs="Arial"/>
          <w:b w:val="0"/>
          <w:color w:val="auto"/>
        </w:rPr>
        <w:t xml:space="preserve"> guided by Circular 10 of 2020/21</w:t>
      </w:r>
      <w:r w:rsidRPr="000D7782">
        <w:rPr>
          <w:rFonts w:ascii="Arial" w:hAnsi="Arial" w:cs="Arial"/>
          <w:b w:val="0"/>
          <w:color w:val="auto"/>
        </w:rPr>
        <w:t>,</w:t>
      </w:r>
      <w:r w:rsidR="00711AA2" w:rsidRPr="000D7782">
        <w:rPr>
          <w:rFonts w:ascii="Arial" w:hAnsi="Arial" w:cs="Arial"/>
          <w:b w:val="0"/>
          <w:color w:val="auto"/>
        </w:rPr>
        <w:t xml:space="preserve"> Branch and Incarceration and Correction Circular, the contents of which contains criteria for eligibility for speci</w:t>
      </w:r>
      <w:r w:rsidR="00F21851" w:rsidRPr="000D7782">
        <w:rPr>
          <w:rFonts w:ascii="Arial" w:hAnsi="Arial" w:cs="Arial"/>
          <w:b w:val="0"/>
          <w:color w:val="auto"/>
        </w:rPr>
        <w:t>al parole dispensation</w:t>
      </w:r>
      <w:r w:rsidR="004320CA">
        <w:rPr>
          <w:rFonts w:ascii="Arial" w:hAnsi="Arial" w:cs="Arial"/>
          <w:b w:val="0"/>
          <w:color w:val="auto"/>
        </w:rPr>
        <w:t xml:space="preserve">.  </w:t>
      </w:r>
      <w:r w:rsidR="00275C0C">
        <w:rPr>
          <w:rFonts w:ascii="Arial" w:hAnsi="Arial" w:cs="Arial"/>
          <w:b w:val="0"/>
          <w:color w:val="auto"/>
        </w:rPr>
        <w:t>In terms of the said</w:t>
      </w:r>
      <w:r w:rsidR="00CC5B06" w:rsidRPr="000D7782">
        <w:rPr>
          <w:rFonts w:ascii="Arial" w:hAnsi="Arial" w:cs="Arial"/>
          <w:b w:val="0"/>
          <w:color w:val="auto"/>
        </w:rPr>
        <w:t xml:space="preserve"> Circular, persons </w:t>
      </w:r>
      <w:r w:rsidR="00275C0C">
        <w:rPr>
          <w:rFonts w:ascii="Arial" w:hAnsi="Arial" w:cs="Arial"/>
          <w:b w:val="0"/>
          <w:color w:val="auto"/>
        </w:rPr>
        <w:t>who</w:t>
      </w:r>
      <w:r w:rsidR="00CC5B06" w:rsidRPr="000D7782">
        <w:rPr>
          <w:rFonts w:ascii="Arial" w:hAnsi="Arial" w:cs="Arial"/>
          <w:b w:val="0"/>
          <w:color w:val="auto"/>
        </w:rPr>
        <w:t xml:space="preserve"> qualify for the special parole dispensation</w:t>
      </w:r>
      <w:r w:rsidR="00275C0C">
        <w:rPr>
          <w:rFonts w:ascii="Arial" w:hAnsi="Arial" w:cs="Arial"/>
          <w:b w:val="0"/>
          <w:color w:val="auto"/>
        </w:rPr>
        <w:t xml:space="preserve"> are only those s</w:t>
      </w:r>
      <w:r w:rsidR="00CC5B06" w:rsidRPr="000D7782">
        <w:rPr>
          <w:rFonts w:ascii="Arial" w:hAnsi="Arial" w:cs="Arial"/>
          <w:b w:val="0"/>
          <w:color w:val="auto"/>
        </w:rPr>
        <w:t>entenced offenders who have or will reach their minimum detention periods within a peri</w:t>
      </w:r>
      <w:r w:rsidR="00AF0856" w:rsidRPr="000D7782">
        <w:rPr>
          <w:rFonts w:ascii="Arial" w:hAnsi="Arial" w:cs="Arial"/>
          <w:b w:val="0"/>
          <w:color w:val="auto"/>
        </w:rPr>
        <w:t>od of sixty (60) months from</w:t>
      </w:r>
      <w:r w:rsidR="00CC5B06" w:rsidRPr="000D7782">
        <w:rPr>
          <w:rFonts w:ascii="Arial" w:hAnsi="Arial" w:cs="Arial"/>
          <w:b w:val="0"/>
          <w:color w:val="auto"/>
        </w:rPr>
        <w:t xml:space="preserve"> 27 April 2020</w:t>
      </w:r>
      <w:r w:rsidR="004320CA">
        <w:rPr>
          <w:rFonts w:ascii="Arial" w:hAnsi="Arial" w:cs="Arial"/>
          <w:b w:val="0"/>
          <w:color w:val="auto"/>
        </w:rPr>
        <w:t xml:space="preserve">.  </w:t>
      </w:r>
      <w:r w:rsidR="000D7782" w:rsidRPr="000D7782">
        <w:rPr>
          <w:rFonts w:ascii="Arial" w:hAnsi="Arial" w:cs="Arial"/>
          <w:b w:val="0"/>
          <w:color w:val="auto"/>
        </w:rPr>
        <w:t>Consequently,</w:t>
      </w:r>
      <w:r w:rsidR="00216762" w:rsidRPr="000D7782">
        <w:rPr>
          <w:rFonts w:ascii="Arial" w:hAnsi="Arial" w:cs="Arial"/>
          <w:b w:val="0"/>
          <w:color w:val="auto"/>
        </w:rPr>
        <w:t xml:space="preserve"> t</w:t>
      </w:r>
      <w:r w:rsidR="00B92006" w:rsidRPr="000D7782">
        <w:rPr>
          <w:rFonts w:ascii="Arial" w:hAnsi="Arial" w:cs="Arial"/>
          <w:b w:val="0"/>
          <w:color w:val="auto"/>
        </w:rPr>
        <w:t>hat t</w:t>
      </w:r>
      <w:r w:rsidR="00CC5B06" w:rsidRPr="000D7782">
        <w:rPr>
          <w:rFonts w:ascii="Arial" w:hAnsi="Arial" w:cs="Arial"/>
          <w:b w:val="0"/>
          <w:color w:val="auto"/>
        </w:rPr>
        <w:t xml:space="preserve">he applicant should </w:t>
      </w:r>
      <w:r w:rsidR="00AF0856" w:rsidRPr="000D7782">
        <w:rPr>
          <w:rFonts w:ascii="Arial" w:hAnsi="Arial" w:cs="Arial"/>
          <w:b w:val="0"/>
          <w:color w:val="auto"/>
        </w:rPr>
        <w:t xml:space="preserve">blame </w:t>
      </w:r>
      <w:r w:rsidR="00CC5B06" w:rsidRPr="000D7782">
        <w:rPr>
          <w:rFonts w:ascii="Arial" w:hAnsi="Arial" w:cs="Arial"/>
          <w:b w:val="0"/>
          <w:color w:val="auto"/>
        </w:rPr>
        <w:t>himself for not handing himself to the Correctional Centre after the High Court decision in 20</w:t>
      </w:r>
      <w:r w:rsidR="00B92006" w:rsidRPr="000D7782">
        <w:rPr>
          <w:rFonts w:ascii="Arial" w:hAnsi="Arial" w:cs="Arial"/>
          <w:b w:val="0"/>
          <w:color w:val="auto"/>
        </w:rPr>
        <w:t xml:space="preserve">16, </w:t>
      </w:r>
      <w:r w:rsidR="00B92006" w:rsidRPr="000D7782">
        <w:rPr>
          <w:rFonts w:ascii="Arial" w:hAnsi="Arial" w:cs="Arial"/>
          <w:b w:val="0"/>
          <w:color w:val="auto"/>
        </w:rPr>
        <w:lastRenderedPageBreak/>
        <w:t>because had he done so</w:t>
      </w:r>
      <w:r w:rsidR="00AF0856" w:rsidRPr="000D7782">
        <w:rPr>
          <w:rFonts w:ascii="Arial" w:hAnsi="Arial" w:cs="Arial"/>
          <w:b w:val="0"/>
          <w:color w:val="auto"/>
        </w:rPr>
        <w:t>,</w:t>
      </w:r>
      <w:r w:rsidR="00B92006" w:rsidRPr="000D7782">
        <w:rPr>
          <w:rFonts w:ascii="Arial" w:hAnsi="Arial" w:cs="Arial"/>
          <w:b w:val="0"/>
          <w:color w:val="auto"/>
        </w:rPr>
        <w:t xml:space="preserve"> his minimum detention period would have fallen within the said period</w:t>
      </w:r>
      <w:r w:rsidR="004320CA">
        <w:rPr>
          <w:rFonts w:ascii="Arial" w:hAnsi="Arial" w:cs="Arial"/>
          <w:b w:val="0"/>
          <w:color w:val="auto"/>
        </w:rPr>
        <w:t xml:space="preserve">.  </w:t>
      </w:r>
    </w:p>
    <w:p w:rsidR="00960C10" w:rsidRPr="000D7782" w:rsidRDefault="00960C10" w:rsidP="00FE32B1">
      <w:pPr>
        <w:spacing w:line="360" w:lineRule="auto"/>
        <w:contextualSpacing/>
        <w:rPr>
          <w:rFonts w:ascii="Arial" w:hAnsi="Arial" w:cs="Arial"/>
          <w:b w:val="0"/>
          <w:color w:val="auto"/>
        </w:rPr>
      </w:pPr>
    </w:p>
    <w:p w:rsidR="00960C10" w:rsidRPr="000D7782" w:rsidRDefault="00960C10"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It was also averred for the respondents that whilst the applicant’s actions were commendable, same does not meet the criteria as stipulated in Annexure E, to qualify for special remission of sentence</w:t>
      </w:r>
      <w:r w:rsidR="004320CA">
        <w:rPr>
          <w:rFonts w:ascii="Arial" w:hAnsi="Arial" w:cs="Arial"/>
          <w:b w:val="0"/>
          <w:color w:val="auto"/>
        </w:rPr>
        <w:t xml:space="preserve">.  </w:t>
      </w:r>
      <w:r w:rsidRPr="000D7782">
        <w:rPr>
          <w:rFonts w:ascii="Arial" w:hAnsi="Arial" w:cs="Arial"/>
          <w:b w:val="0"/>
          <w:color w:val="auto"/>
        </w:rPr>
        <w:t>According to the respondents, they were guided by Order 1 of Chapter 25 of the Granting of Amnesty/Special Remission of Sentence, to determine whether the applicant qualifies for special remission of sentence or not</w:t>
      </w:r>
      <w:r w:rsidR="004320CA">
        <w:rPr>
          <w:rFonts w:ascii="Arial" w:hAnsi="Arial" w:cs="Arial"/>
          <w:b w:val="0"/>
          <w:color w:val="auto"/>
        </w:rPr>
        <w:t xml:space="preserve">.  </w:t>
      </w:r>
      <w:r w:rsidRPr="000D7782">
        <w:rPr>
          <w:rFonts w:ascii="Arial" w:hAnsi="Arial" w:cs="Arial"/>
          <w:b w:val="0"/>
          <w:color w:val="auto"/>
        </w:rPr>
        <w:t xml:space="preserve">It was submitted for the respondents that the </w:t>
      </w:r>
      <w:r w:rsidR="00275C0C">
        <w:rPr>
          <w:rFonts w:ascii="Arial" w:hAnsi="Arial" w:cs="Arial"/>
          <w:b w:val="0"/>
          <w:color w:val="auto"/>
        </w:rPr>
        <w:t>Parole Board</w:t>
      </w:r>
      <w:r w:rsidRPr="000D7782">
        <w:rPr>
          <w:rFonts w:ascii="Arial" w:hAnsi="Arial" w:cs="Arial"/>
          <w:b w:val="0"/>
          <w:color w:val="auto"/>
        </w:rPr>
        <w:t xml:space="preserve">, </w:t>
      </w:r>
      <w:r w:rsidR="00F35269">
        <w:rPr>
          <w:rFonts w:ascii="Arial" w:hAnsi="Arial" w:cs="Arial"/>
          <w:b w:val="0"/>
          <w:i/>
          <w:color w:val="auto"/>
        </w:rPr>
        <w:t xml:space="preserve">inter </w:t>
      </w:r>
      <w:r w:rsidR="00275C0C" w:rsidRPr="00275C0C">
        <w:rPr>
          <w:rFonts w:ascii="Arial" w:hAnsi="Arial" w:cs="Arial"/>
          <w:b w:val="0"/>
          <w:i/>
          <w:color w:val="auto"/>
        </w:rPr>
        <w:t>alia</w:t>
      </w:r>
      <w:r w:rsidR="00275C0C">
        <w:rPr>
          <w:rFonts w:ascii="Arial" w:hAnsi="Arial" w:cs="Arial"/>
          <w:b w:val="0"/>
          <w:color w:val="auto"/>
        </w:rPr>
        <w:t xml:space="preserve"> </w:t>
      </w:r>
      <w:r w:rsidRPr="000D7782">
        <w:rPr>
          <w:rFonts w:ascii="Arial" w:hAnsi="Arial" w:cs="Arial"/>
          <w:b w:val="0"/>
          <w:color w:val="auto"/>
        </w:rPr>
        <w:t xml:space="preserve">considered the following factors to determine whether the conduct of the applicant constituted highly meritorious conduct, whether he informed the Centre of: (a) an escape; (b) an attack/assault; (c) smuggling of </w:t>
      </w:r>
      <w:proofErr w:type="spellStart"/>
      <w:r w:rsidRPr="000D7782">
        <w:rPr>
          <w:rFonts w:ascii="Arial" w:hAnsi="Arial" w:cs="Arial"/>
          <w:b w:val="0"/>
          <w:color w:val="auto"/>
        </w:rPr>
        <w:t>mandrax</w:t>
      </w:r>
      <w:proofErr w:type="spellEnd"/>
      <w:r w:rsidRPr="000D7782">
        <w:rPr>
          <w:rFonts w:ascii="Arial" w:hAnsi="Arial" w:cs="Arial"/>
          <w:b w:val="0"/>
          <w:color w:val="auto"/>
        </w:rPr>
        <w:t>/dagga; and (d) smuggling of firearms.</w:t>
      </w:r>
    </w:p>
    <w:p w:rsidR="00960C10" w:rsidRPr="000D7782" w:rsidRDefault="00960C10" w:rsidP="00FE32B1">
      <w:pPr>
        <w:pStyle w:val="ListParagraph"/>
        <w:spacing w:line="360" w:lineRule="auto"/>
        <w:rPr>
          <w:rFonts w:ascii="Arial" w:hAnsi="Arial" w:cs="Arial"/>
          <w:b w:val="0"/>
          <w:color w:val="auto"/>
        </w:rPr>
      </w:pPr>
    </w:p>
    <w:p w:rsidR="00960C10" w:rsidRPr="000D7782" w:rsidRDefault="00960C10"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It is common cause that the applicant is a well-behaved offender</w:t>
      </w:r>
      <w:r w:rsidR="004320CA">
        <w:rPr>
          <w:rFonts w:ascii="Arial" w:hAnsi="Arial" w:cs="Arial"/>
          <w:b w:val="0"/>
          <w:color w:val="auto"/>
        </w:rPr>
        <w:t xml:space="preserve">.  </w:t>
      </w:r>
      <w:r w:rsidRPr="000D7782">
        <w:rPr>
          <w:rFonts w:ascii="Arial" w:hAnsi="Arial" w:cs="Arial"/>
          <w:b w:val="0"/>
          <w:color w:val="auto"/>
        </w:rPr>
        <w:t>He has never been charged with any misconduct since his incarceration</w:t>
      </w:r>
      <w:r w:rsidR="004320CA">
        <w:rPr>
          <w:rFonts w:ascii="Arial" w:hAnsi="Arial" w:cs="Arial"/>
          <w:b w:val="0"/>
          <w:color w:val="auto"/>
        </w:rPr>
        <w:t xml:space="preserve">.  </w:t>
      </w:r>
      <w:r w:rsidRPr="000D7782">
        <w:rPr>
          <w:rFonts w:ascii="Arial" w:hAnsi="Arial" w:cs="Arial"/>
          <w:b w:val="0"/>
          <w:color w:val="auto"/>
        </w:rPr>
        <w:t>He has cited his procurement of soccer kits and equipment and books for the Centre;</w:t>
      </w:r>
      <w:r w:rsidR="008318A4" w:rsidRPr="000D7782">
        <w:rPr>
          <w:rStyle w:val="FootnoteReference"/>
          <w:rFonts w:ascii="Arial" w:hAnsi="Arial" w:cs="Arial"/>
          <w:b w:val="0"/>
          <w:color w:val="auto"/>
        </w:rPr>
        <w:footnoteReference w:id="30"/>
      </w:r>
      <w:r w:rsidRPr="000D7782">
        <w:rPr>
          <w:rFonts w:ascii="Arial" w:hAnsi="Arial" w:cs="Arial"/>
          <w:b w:val="0"/>
          <w:color w:val="auto"/>
        </w:rPr>
        <w:t xml:space="preserve"> securing a job for an ex-offender at his farm; identifying discrepancies on a warning sign board at the main entrance of the Centre and volunteering as tutor for two years at the Centre</w:t>
      </w:r>
      <w:r w:rsidR="004320CA">
        <w:rPr>
          <w:rFonts w:ascii="Arial" w:hAnsi="Arial" w:cs="Arial"/>
          <w:b w:val="0"/>
          <w:color w:val="auto"/>
        </w:rPr>
        <w:t xml:space="preserve">.  </w:t>
      </w:r>
      <w:r w:rsidRPr="000D7782">
        <w:rPr>
          <w:rFonts w:ascii="Arial" w:hAnsi="Arial" w:cs="Arial"/>
          <w:b w:val="0"/>
          <w:color w:val="auto"/>
        </w:rPr>
        <w:t>It is so that when his application for special remission was investigated and considered</w:t>
      </w:r>
      <w:r w:rsidR="007525ED" w:rsidRPr="000D7782">
        <w:rPr>
          <w:rFonts w:ascii="Arial" w:hAnsi="Arial" w:cs="Arial"/>
          <w:b w:val="0"/>
          <w:color w:val="auto"/>
        </w:rPr>
        <w:t>,</w:t>
      </w:r>
      <w:r w:rsidRPr="000D7782">
        <w:rPr>
          <w:rFonts w:ascii="Arial" w:hAnsi="Arial" w:cs="Arial"/>
          <w:b w:val="0"/>
          <w:color w:val="auto"/>
        </w:rPr>
        <w:t xml:space="preserve"> it was found that whilst his actions were commendable, same does not meet the criteria as stipulated in Order B, Chapter 23, </w:t>
      </w:r>
      <w:proofErr w:type="gramStart"/>
      <w:r w:rsidRPr="000D7782">
        <w:rPr>
          <w:rFonts w:ascii="Arial" w:hAnsi="Arial" w:cs="Arial"/>
          <w:b w:val="0"/>
          <w:color w:val="auto"/>
        </w:rPr>
        <w:t>Annexure</w:t>
      </w:r>
      <w:proofErr w:type="gramEnd"/>
      <w:r w:rsidRPr="000D7782">
        <w:rPr>
          <w:rFonts w:ascii="Arial" w:hAnsi="Arial" w:cs="Arial"/>
          <w:b w:val="0"/>
          <w:color w:val="auto"/>
        </w:rPr>
        <w:t xml:space="preserve"> E, to qualify for special remission.</w:t>
      </w:r>
      <w:r w:rsidRPr="000D7782">
        <w:rPr>
          <w:rStyle w:val="FootnoteReference"/>
          <w:rFonts w:ascii="Arial" w:hAnsi="Arial" w:cs="Arial"/>
          <w:b w:val="0"/>
          <w:color w:val="auto"/>
        </w:rPr>
        <w:footnoteReference w:id="31"/>
      </w:r>
      <w:r w:rsidRPr="000D7782">
        <w:rPr>
          <w:rFonts w:ascii="Arial" w:hAnsi="Arial" w:cs="Arial"/>
          <w:b w:val="0"/>
          <w:color w:val="auto"/>
        </w:rPr>
        <w:t xml:space="preserve"> </w:t>
      </w:r>
    </w:p>
    <w:p w:rsidR="00960C10" w:rsidRPr="000D7782" w:rsidRDefault="00960C10" w:rsidP="00FE32B1">
      <w:pPr>
        <w:pStyle w:val="ListParagraph"/>
        <w:spacing w:line="360" w:lineRule="auto"/>
        <w:rPr>
          <w:rFonts w:ascii="Arial" w:hAnsi="Arial" w:cs="Arial"/>
          <w:b w:val="0"/>
          <w:color w:val="auto"/>
        </w:rPr>
      </w:pPr>
    </w:p>
    <w:p w:rsidR="00BE2AE0" w:rsidRPr="000D7782" w:rsidRDefault="008318A4"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The purpose of the correctional system is to contribute to maintaining and protecting a just, peaceful and safe society by enforcing sentences of courts in the manner prescribed by the Act.</w:t>
      </w:r>
      <w:r w:rsidRPr="000D7782">
        <w:rPr>
          <w:rStyle w:val="FootnoteReference"/>
          <w:rFonts w:ascii="Arial" w:hAnsi="Arial" w:cs="Arial"/>
          <w:b w:val="0"/>
          <w:color w:val="auto"/>
        </w:rPr>
        <w:footnoteReference w:id="32"/>
      </w:r>
      <w:r w:rsidRPr="000D7782">
        <w:rPr>
          <w:rFonts w:ascii="Arial" w:hAnsi="Arial" w:cs="Arial"/>
          <w:b w:val="0"/>
          <w:color w:val="auto"/>
        </w:rPr>
        <w:t xml:space="preserve"> </w:t>
      </w:r>
      <w:r w:rsidR="001873F3" w:rsidRPr="000D7782">
        <w:rPr>
          <w:rFonts w:ascii="Arial" w:hAnsi="Arial" w:cs="Arial"/>
          <w:b w:val="0"/>
          <w:color w:val="auto"/>
        </w:rPr>
        <w:t xml:space="preserve">The Act has thus been promulgated with the object of changing the law governing the correctional system and giving effect to the Bill of Rights and in particular its provisions with regard to </w:t>
      </w:r>
      <w:r w:rsidR="001873F3" w:rsidRPr="000D7782">
        <w:rPr>
          <w:rFonts w:ascii="Arial" w:hAnsi="Arial" w:cs="Arial"/>
          <w:b w:val="0"/>
          <w:color w:val="auto"/>
        </w:rPr>
        <w:lastRenderedPageBreak/>
        <w:t>inmates.</w:t>
      </w:r>
      <w:r w:rsidR="001873F3" w:rsidRPr="000D7782">
        <w:rPr>
          <w:rStyle w:val="FootnoteReference"/>
          <w:rFonts w:ascii="Arial" w:hAnsi="Arial" w:cs="Arial"/>
          <w:b w:val="0"/>
          <w:color w:val="auto"/>
        </w:rPr>
        <w:footnoteReference w:id="33"/>
      </w:r>
      <w:r w:rsidR="001873F3" w:rsidRPr="000D7782">
        <w:rPr>
          <w:rFonts w:ascii="Arial" w:hAnsi="Arial" w:cs="Arial"/>
          <w:b w:val="0"/>
          <w:color w:val="auto"/>
        </w:rPr>
        <w:t xml:space="preserve"> </w:t>
      </w:r>
      <w:r w:rsidR="00567285">
        <w:rPr>
          <w:rFonts w:ascii="Arial" w:hAnsi="Arial" w:cs="Arial"/>
          <w:b w:val="0"/>
          <w:color w:val="auto"/>
        </w:rPr>
        <w:t xml:space="preserve"> </w:t>
      </w:r>
      <w:r w:rsidR="00960C10" w:rsidRPr="000D7782">
        <w:rPr>
          <w:rFonts w:ascii="Arial" w:hAnsi="Arial" w:cs="Arial"/>
          <w:b w:val="0"/>
          <w:color w:val="auto"/>
        </w:rPr>
        <w:t xml:space="preserve">Section 36 of the Act, </w:t>
      </w:r>
      <w:r w:rsidRPr="000D7782">
        <w:rPr>
          <w:rFonts w:ascii="Arial" w:hAnsi="Arial" w:cs="Arial"/>
          <w:b w:val="0"/>
          <w:color w:val="auto"/>
        </w:rPr>
        <w:t xml:space="preserve">for its own part, </w:t>
      </w:r>
      <w:r w:rsidR="00960C10" w:rsidRPr="000D7782">
        <w:rPr>
          <w:rFonts w:ascii="Arial" w:hAnsi="Arial" w:cs="Arial"/>
          <w:b w:val="0"/>
          <w:color w:val="auto"/>
        </w:rPr>
        <w:t>expressly and unambiguously stipulates as follows:</w:t>
      </w:r>
    </w:p>
    <w:p w:rsidR="00BE2AE0" w:rsidRPr="000D7782" w:rsidRDefault="00BE2AE0" w:rsidP="00FE32B1">
      <w:pPr>
        <w:spacing w:line="360" w:lineRule="auto"/>
        <w:contextualSpacing/>
        <w:jc w:val="both"/>
        <w:rPr>
          <w:rFonts w:ascii="Arial" w:hAnsi="Arial" w:cs="Arial"/>
          <w:b w:val="0"/>
          <w:color w:val="auto"/>
        </w:rPr>
      </w:pPr>
    </w:p>
    <w:p w:rsidR="00960C10" w:rsidRPr="001F70B4" w:rsidRDefault="00960C10" w:rsidP="00FE32B1">
      <w:pPr>
        <w:pStyle w:val="ListParagraph"/>
        <w:spacing w:line="360" w:lineRule="auto"/>
        <w:ind w:left="1701" w:hanging="850"/>
        <w:jc w:val="both"/>
        <w:rPr>
          <w:rFonts w:ascii="Times New Roman" w:hAnsi="Times New Roman"/>
          <w:i/>
          <w:color w:val="auto"/>
        </w:rPr>
      </w:pPr>
      <w:r w:rsidRPr="001F70B4">
        <w:rPr>
          <w:rFonts w:ascii="Times New Roman" w:hAnsi="Times New Roman"/>
          <w:b w:val="0"/>
          <w:i/>
          <w:color w:val="auto"/>
        </w:rPr>
        <w:t>“</w:t>
      </w:r>
      <w:r w:rsidRPr="001F70B4">
        <w:rPr>
          <w:rFonts w:ascii="Times New Roman" w:hAnsi="Times New Roman"/>
          <w:i/>
          <w:color w:val="auto"/>
        </w:rPr>
        <w:t>36</w:t>
      </w:r>
      <w:r w:rsidR="004320CA">
        <w:rPr>
          <w:rFonts w:ascii="Times New Roman" w:hAnsi="Times New Roman"/>
          <w:i/>
          <w:color w:val="auto"/>
        </w:rPr>
        <w:t xml:space="preserve">.  </w:t>
      </w:r>
      <w:r w:rsidR="007525ED" w:rsidRPr="001F70B4">
        <w:rPr>
          <w:rFonts w:ascii="Times New Roman" w:hAnsi="Times New Roman"/>
          <w:i/>
          <w:color w:val="auto"/>
        </w:rPr>
        <w:tab/>
      </w:r>
      <w:r w:rsidRPr="001F70B4">
        <w:rPr>
          <w:rFonts w:ascii="Times New Roman" w:hAnsi="Times New Roman"/>
          <w:i/>
          <w:color w:val="auto"/>
        </w:rPr>
        <w:t>Objectives of implementation of sentence of incarceration</w:t>
      </w:r>
      <w:r w:rsidR="007525ED" w:rsidRPr="001F70B4">
        <w:rPr>
          <w:rFonts w:ascii="Times New Roman" w:hAnsi="Times New Roman"/>
          <w:i/>
          <w:color w:val="auto"/>
        </w:rPr>
        <w:t>-</w:t>
      </w:r>
    </w:p>
    <w:p w:rsidR="00960C10" w:rsidRPr="000D7782" w:rsidRDefault="00960C10" w:rsidP="00FE32B1">
      <w:pPr>
        <w:pStyle w:val="ListParagraph"/>
        <w:spacing w:line="360" w:lineRule="auto"/>
        <w:ind w:left="1701"/>
        <w:jc w:val="both"/>
        <w:rPr>
          <w:rFonts w:ascii="Arial" w:hAnsi="Arial" w:cs="Arial"/>
          <w:b w:val="0"/>
          <w:i/>
          <w:color w:val="auto"/>
        </w:rPr>
      </w:pPr>
      <w:r w:rsidRPr="001F70B4">
        <w:rPr>
          <w:rFonts w:ascii="Times New Roman" w:hAnsi="Times New Roman"/>
          <w:b w:val="0"/>
          <w:i/>
          <w:color w:val="auto"/>
        </w:rPr>
        <w:t>With due regard to the fact that the deprivation of liberty serves the purpose of punishment, the implementation of a sentence of incarceration has the objective of enabling the sentenced offender to lead a socially responsible and crime-free life in the future.”</w:t>
      </w:r>
      <w:r w:rsidRPr="000D7782">
        <w:rPr>
          <w:rFonts w:ascii="Arial" w:hAnsi="Arial" w:cs="Arial"/>
          <w:b w:val="0"/>
          <w:i/>
          <w:color w:val="auto"/>
        </w:rPr>
        <w:t xml:space="preserve"> </w:t>
      </w:r>
    </w:p>
    <w:p w:rsidR="00A1746C" w:rsidRPr="000D7782" w:rsidRDefault="00A1746C" w:rsidP="00FE32B1">
      <w:pPr>
        <w:pStyle w:val="ListParagraph"/>
        <w:spacing w:line="360" w:lineRule="auto"/>
        <w:jc w:val="both"/>
        <w:rPr>
          <w:rFonts w:ascii="Arial" w:hAnsi="Arial" w:cs="Arial"/>
          <w:b w:val="0"/>
          <w:i/>
          <w:color w:val="auto"/>
        </w:rPr>
      </w:pPr>
    </w:p>
    <w:p w:rsidR="00790108" w:rsidRPr="000D7782" w:rsidRDefault="00960C10" w:rsidP="00FE32B1">
      <w:pPr>
        <w:pStyle w:val="ListParagraph"/>
        <w:numPr>
          <w:ilvl w:val="0"/>
          <w:numId w:val="2"/>
        </w:numPr>
        <w:spacing w:line="360" w:lineRule="auto"/>
        <w:ind w:left="851" w:hanging="851"/>
        <w:jc w:val="both"/>
        <w:rPr>
          <w:rFonts w:ascii="Arial" w:hAnsi="Arial" w:cs="Arial"/>
          <w:b w:val="0"/>
          <w:i/>
          <w:color w:val="auto"/>
        </w:rPr>
      </w:pPr>
      <w:r w:rsidRPr="000D7782">
        <w:rPr>
          <w:rFonts w:ascii="Arial" w:hAnsi="Arial" w:cs="Arial"/>
          <w:b w:val="0"/>
          <w:color w:val="auto"/>
        </w:rPr>
        <w:t xml:space="preserve">It is so that there is no definition of the expression </w:t>
      </w:r>
      <w:r w:rsidRPr="000D7782">
        <w:rPr>
          <w:rFonts w:ascii="Arial" w:hAnsi="Arial" w:cs="Arial"/>
          <w:b w:val="0"/>
          <w:i/>
          <w:color w:val="auto"/>
        </w:rPr>
        <w:t>“highly meritoriously”</w:t>
      </w:r>
      <w:r w:rsidRPr="000D7782">
        <w:rPr>
          <w:rFonts w:ascii="Arial" w:hAnsi="Arial" w:cs="Arial"/>
          <w:b w:val="0"/>
          <w:color w:val="auto"/>
        </w:rPr>
        <w:t xml:space="preserve"> in the Act</w:t>
      </w:r>
      <w:r w:rsidR="004320CA">
        <w:rPr>
          <w:rFonts w:ascii="Arial" w:hAnsi="Arial" w:cs="Arial"/>
          <w:b w:val="0"/>
          <w:color w:val="auto"/>
        </w:rPr>
        <w:t xml:space="preserve">.  </w:t>
      </w:r>
      <w:r w:rsidRPr="000D7782">
        <w:rPr>
          <w:rFonts w:ascii="Arial" w:hAnsi="Arial" w:cs="Arial"/>
          <w:b w:val="0"/>
          <w:color w:val="auto"/>
        </w:rPr>
        <w:t>It is</w:t>
      </w:r>
      <w:r w:rsidR="000B1763" w:rsidRPr="000D7782">
        <w:rPr>
          <w:rFonts w:ascii="Arial" w:hAnsi="Arial" w:cs="Arial"/>
          <w:b w:val="0"/>
          <w:color w:val="auto"/>
        </w:rPr>
        <w:t>,</w:t>
      </w:r>
      <w:r w:rsidRPr="000D7782">
        <w:rPr>
          <w:rFonts w:ascii="Arial" w:hAnsi="Arial" w:cs="Arial"/>
          <w:b w:val="0"/>
          <w:color w:val="auto"/>
        </w:rPr>
        <w:t xml:space="preserve"> however</w:t>
      </w:r>
      <w:r w:rsidR="000B1763" w:rsidRPr="000D7782">
        <w:rPr>
          <w:rFonts w:ascii="Arial" w:hAnsi="Arial" w:cs="Arial"/>
          <w:b w:val="0"/>
          <w:color w:val="auto"/>
        </w:rPr>
        <w:t>,</w:t>
      </w:r>
      <w:r w:rsidRPr="000D7782">
        <w:rPr>
          <w:rFonts w:ascii="Arial" w:hAnsi="Arial" w:cs="Arial"/>
          <w:b w:val="0"/>
          <w:color w:val="auto"/>
        </w:rPr>
        <w:t xml:space="preserve"> not so that there is no list of factors which may be taken into account when a decision is taken as to what actions qualify as “</w:t>
      </w:r>
      <w:r w:rsidRPr="000D7782">
        <w:rPr>
          <w:rFonts w:ascii="Arial" w:hAnsi="Arial" w:cs="Arial"/>
          <w:b w:val="0"/>
          <w:i/>
          <w:color w:val="auto"/>
        </w:rPr>
        <w:t>highly meritorious</w:t>
      </w:r>
      <w:r w:rsidRPr="000D7782">
        <w:rPr>
          <w:rFonts w:ascii="Arial" w:hAnsi="Arial" w:cs="Arial"/>
          <w:b w:val="0"/>
          <w:color w:val="auto"/>
        </w:rPr>
        <w:t>” as contended for the applicant</w:t>
      </w:r>
      <w:r w:rsidR="004320CA">
        <w:rPr>
          <w:rFonts w:ascii="Arial" w:hAnsi="Arial" w:cs="Arial"/>
          <w:b w:val="0"/>
          <w:color w:val="auto"/>
        </w:rPr>
        <w:t xml:space="preserve">.  </w:t>
      </w:r>
      <w:r w:rsidRPr="000D7782">
        <w:rPr>
          <w:rFonts w:ascii="Arial" w:hAnsi="Arial" w:cs="Arial"/>
          <w:b w:val="0"/>
          <w:color w:val="auto"/>
        </w:rPr>
        <w:t>That which is regarded as deserving, is listed in Annexure E: Amnesty/ Special Remission of Sentence.</w:t>
      </w:r>
      <w:r w:rsidRPr="000D7782">
        <w:rPr>
          <w:rStyle w:val="FootnoteReference"/>
          <w:rFonts w:ascii="Arial" w:hAnsi="Arial" w:cs="Arial"/>
          <w:b w:val="0"/>
          <w:color w:val="auto"/>
        </w:rPr>
        <w:footnoteReference w:id="34"/>
      </w:r>
      <w:r w:rsidRPr="000D7782">
        <w:rPr>
          <w:rFonts w:ascii="Arial" w:hAnsi="Arial" w:cs="Arial"/>
          <w:b w:val="0"/>
          <w:color w:val="auto"/>
        </w:rPr>
        <w:t xml:space="preserve"> The said annexure is apparently used as a norm by the respondents </w:t>
      </w:r>
      <w:r w:rsidR="00A37B7F">
        <w:rPr>
          <w:rFonts w:ascii="Arial" w:hAnsi="Arial" w:cs="Arial"/>
          <w:b w:val="0"/>
          <w:color w:val="auto"/>
        </w:rPr>
        <w:t>as a guideline</w:t>
      </w:r>
      <w:r w:rsidRPr="000D7782">
        <w:rPr>
          <w:rFonts w:ascii="Arial" w:hAnsi="Arial" w:cs="Arial"/>
          <w:b w:val="0"/>
          <w:color w:val="auto"/>
        </w:rPr>
        <w:t xml:space="preserve"> for awarding special remission of sentences for certain actions/behavioural incidents which may be regarded as deserving, together with specific periods in respect of every action/behavioural incident.</w:t>
      </w:r>
      <w:r w:rsidRPr="000D7782">
        <w:rPr>
          <w:rStyle w:val="FootnoteReference"/>
          <w:rFonts w:ascii="Arial" w:hAnsi="Arial" w:cs="Arial"/>
          <w:b w:val="0"/>
          <w:color w:val="auto"/>
        </w:rPr>
        <w:footnoteReference w:id="35"/>
      </w:r>
    </w:p>
    <w:p w:rsidR="00BE2AE0" w:rsidRPr="000D7782" w:rsidRDefault="00BE2AE0" w:rsidP="00FE32B1">
      <w:pPr>
        <w:pStyle w:val="ListParagraph"/>
        <w:spacing w:line="360" w:lineRule="auto"/>
        <w:ind w:left="851"/>
        <w:jc w:val="both"/>
        <w:rPr>
          <w:rFonts w:ascii="Arial" w:hAnsi="Arial" w:cs="Arial"/>
          <w:b w:val="0"/>
          <w:color w:val="auto"/>
        </w:rPr>
      </w:pPr>
    </w:p>
    <w:p w:rsidR="00BE2AE0" w:rsidRPr="000D7782" w:rsidRDefault="00BE2AE0"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 xml:space="preserve">In </w:t>
      </w:r>
      <w:proofErr w:type="spellStart"/>
      <w:r w:rsidRPr="000D7782">
        <w:rPr>
          <w:rFonts w:ascii="Arial" w:hAnsi="Arial" w:cs="Arial"/>
          <w:color w:val="auto"/>
        </w:rPr>
        <w:t>Jimmale</w:t>
      </w:r>
      <w:proofErr w:type="spellEnd"/>
      <w:r w:rsidRPr="000D7782">
        <w:rPr>
          <w:rFonts w:ascii="Arial" w:hAnsi="Arial" w:cs="Arial"/>
          <w:color w:val="auto"/>
        </w:rPr>
        <w:t xml:space="preserve"> </w:t>
      </w:r>
      <w:r w:rsidR="00256940" w:rsidRPr="000D7782">
        <w:rPr>
          <w:rFonts w:ascii="Arial" w:hAnsi="Arial" w:cs="Arial"/>
          <w:color w:val="auto"/>
        </w:rPr>
        <w:t>and</w:t>
      </w:r>
      <w:r w:rsidR="00256940" w:rsidRPr="000D7782">
        <w:rPr>
          <w:rFonts w:ascii="Arial" w:hAnsi="Arial" w:cs="Arial"/>
          <w:i/>
          <w:color w:val="auto"/>
        </w:rPr>
        <w:t xml:space="preserve"> </w:t>
      </w:r>
      <w:r w:rsidR="00256940" w:rsidRPr="000D7782">
        <w:rPr>
          <w:rFonts w:ascii="Arial" w:hAnsi="Arial" w:cs="Arial"/>
          <w:color w:val="auto"/>
        </w:rPr>
        <w:t>Another</w:t>
      </w:r>
      <w:r w:rsidRPr="000D7782">
        <w:rPr>
          <w:rFonts w:ascii="Arial" w:hAnsi="Arial" w:cs="Arial"/>
          <w:b w:val="0"/>
          <w:color w:val="auto"/>
        </w:rPr>
        <w:t>, the following was held:</w:t>
      </w:r>
      <w:r w:rsidRPr="000D7782">
        <w:rPr>
          <w:rStyle w:val="FootnoteReference"/>
          <w:rFonts w:ascii="Arial" w:hAnsi="Arial" w:cs="Arial"/>
          <w:b w:val="0"/>
          <w:color w:val="auto"/>
        </w:rPr>
        <w:footnoteReference w:id="36"/>
      </w:r>
    </w:p>
    <w:p w:rsidR="00BE2AE0" w:rsidRPr="000D7782" w:rsidRDefault="00BE2AE0" w:rsidP="00FE32B1">
      <w:pPr>
        <w:pStyle w:val="ListParagraph"/>
        <w:spacing w:line="360" w:lineRule="auto"/>
        <w:rPr>
          <w:rFonts w:ascii="Arial" w:hAnsi="Arial" w:cs="Arial"/>
          <w:b w:val="0"/>
          <w:color w:val="auto"/>
        </w:rPr>
      </w:pPr>
    </w:p>
    <w:p w:rsidR="00BE2AE0" w:rsidRPr="000D7782" w:rsidRDefault="00BE2AE0" w:rsidP="00FE32B1">
      <w:pPr>
        <w:pStyle w:val="ListParagraph"/>
        <w:spacing w:line="360" w:lineRule="auto"/>
        <w:ind w:left="1701" w:hanging="850"/>
        <w:jc w:val="both"/>
        <w:rPr>
          <w:rFonts w:ascii="Arial" w:hAnsi="Arial" w:cs="Arial"/>
          <w:i/>
          <w:color w:val="242121"/>
          <w:shd w:val="clear" w:color="auto" w:fill="FFFFFF"/>
        </w:rPr>
      </w:pPr>
      <w:r w:rsidRPr="001F70B4">
        <w:rPr>
          <w:rFonts w:ascii="Times New Roman" w:hAnsi="Times New Roman"/>
          <w:b w:val="0"/>
          <w:i/>
          <w:color w:val="auto"/>
        </w:rPr>
        <w:t>“</w:t>
      </w:r>
      <w:r w:rsidRPr="001F70B4">
        <w:rPr>
          <w:rFonts w:ascii="Times New Roman" w:hAnsi="Times New Roman"/>
          <w:b w:val="0"/>
          <w:i/>
          <w:color w:val="000000"/>
          <w:shd w:val="clear" w:color="auto" w:fill="FFFFFF"/>
        </w:rPr>
        <w:t>[1] </w:t>
      </w:r>
      <w:r w:rsidR="00A94BB6" w:rsidRPr="001F70B4">
        <w:rPr>
          <w:rFonts w:ascii="Times New Roman" w:hAnsi="Times New Roman"/>
          <w:b w:val="0"/>
          <w:i/>
          <w:color w:val="000000"/>
          <w:shd w:val="clear" w:color="auto" w:fill="FFFFFF"/>
        </w:rPr>
        <w:tab/>
      </w:r>
      <w:r w:rsidRPr="001F70B4">
        <w:rPr>
          <w:rFonts w:ascii="Times New Roman" w:hAnsi="Times New Roman"/>
          <w:i/>
          <w:color w:val="242121"/>
          <w:shd w:val="clear" w:color="auto" w:fill="FFFFFF"/>
        </w:rPr>
        <w:t>Parole is an acknowledged part of our correctional system</w:t>
      </w:r>
      <w:r w:rsidR="004320CA">
        <w:rPr>
          <w:rFonts w:ascii="Times New Roman" w:hAnsi="Times New Roman"/>
          <w:i/>
          <w:color w:val="242121"/>
          <w:shd w:val="clear" w:color="auto" w:fill="FFFFFF"/>
        </w:rPr>
        <w:t xml:space="preserve">.  </w:t>
      </w:r>
      <w:r w:rsidRPr="001F70B4">
        <w:rPr>
          <w:rFonts w:ascii="Times New Roman" w:hAnsi="Times New Roman"/>
          <w:i/>
          <w:color w:val="242121"/>
          <w:shd w:val="clear" w:color="auto" w:fill="FFFFFF"/>
        </w:rPr>
        <w:t>It has proved to be a vital part of reformative treatment for the paroled person who is treated by moral suasion</w:t>
      </w:r>
      <w:r w:rsidR="004320CA">
        <w:rPr>
          <w:rFonts w:ascii="Times New Roman" w:hAnsi="Times New Roman"/>
          <w:i/>
          <w:color w:val="242121"/>
          <w:shd w:val="clear" w:color="auto" w:fill="FFFFFF"/>
        </w:rPr>
        <w:t xml:space="preserve">.  </w:t>
      </w:r>
      <w:r w:rsidRPr="001F70B4">
        <w:rPr>
          <w:rFonts w:ascii="Times New Roman" w:hAnsi="Times New Roman"/>
          <w:i/>
          <w:color w:val="242121"/>
          <w:shd w:val="clear" w:color="auto" w:fill="FFFFFF"/>
        </w:rPr>
        <w:t>This is consistent with the law; that everyone has the right not to be deprived of freedom arbitrarily or without just cause and that sentenced prisoners have the right to the benefit of the least severe of the prescribed punishments</w:t>
      </w:r>
      <w:r w:rsidR="004320CA">
        <w:rPr>
          <w:rFonts w:ascii="Times New Roman" w:hAnsi="Times New Roman"/>
          <w:i/>
          <w:color w:val="242121"/>
          <w:shd w:val="clear" w:color="auto" w:fill="FFFFFF"/>
        </w:rPr>
        <w:t xml:space="preserve">.  </w:t>
      </w:r>
      <w:r w:rsidRPr="001F70B4">
        <w:rPr>
          <w:rFonts w:ascii="Times New Roman" w:hAnsi="Times New Roman"/>
          <w:b w:val="0"/>
          <w:i/>
          <w:color w:val="242121"/>
          <w:shd w:val="clear" w:color="auto" w:fill="FFFFFF"/>
        </w:rPr>
        <w:t xml:space="preserve">As </w:t>
      </w:r>
      <w:r w:rsidR="00164D26" w:rsidRPr="001F70B4">
        <w:rPr>
          <w:rFonts w:ascii="Times New Roman" w:hAnsi="Times New Roman"/>
          <w:b w:val="0"/>
          <w:i/>
          <w:color w:val="242121"/>
          <w:shd w:val="clear" w:color="auto" w:fill="FFFFFF"/>
        </w:rPr>
        <w:t>Court</w:t>
      </w:r>
      <w:r w:rsidRPr="001F70B4">
        <w:rPr>
          <w:rFonts w:ascii="Times New Roman" w:hAnsi="Times New Roman"/>
          <w:b w:val="0"/>
          <w:i/>
          <w:color w:val="242121"/>
          <w:shd w:val="clear" w:color="auto" w:fill="FFFFFF"/>
        </w:rPr>
        <w:t xml:space="preserve">s are now clothed with the power to postpone consideration of parole for sentenced offenders, the public interests demand that they have full knowledge of the offender’s transgression and </w:t>
      </w:r>
      <w:r w:rsidRPr="001F70B4">
        <w:rPr>
          <w:rFonts w:ascii="Times New Roman" w:hAnsi="Times New Roman"/>
          <w:b w:val="0"/>
          <w:i/>
          <w:color w:val="242121"/>
          <w:shd w:val="clear" w:color="auto" w:fill="FFFFFF"/>
        </w:rPr>
        <w:lastRenderedPageBreak/>
        <w:t>personal circumstances, including knowledge of the offender’s conditions, when parole is considered</w:t>
      </w:r>
      <w:r w:rsidR="004320CA">
        <w:rPr>
          <w:rFonts w:ascii="Times New Roman" w:hAnsi="Times New Roman"/>
          <w:b w:val="0"/>
          <w:i/>
          <w:color w:val="242121"/>
          <w:shd w:val="clear" w:color="auto" w:fill="FFFFFF"/>
        </w:rPr>
        <w:t xml:space="preserve">.  </w:t>
      </w:r>
      <w:r w:rsidRPr="001F70B4">
        <w:rPr>
          <w:rFonts w:ascii="Times New Roman" w:hAnsi="Times New Roman"/>
          <w:i/>
          <w:color w:val="242121"/>
          <w:shd w:val="clear" w:color="auto" w:fill="FFFFFF"/>
        </w:rPr>
        <w:t xml:space="preserve">In other words, knowledge and an assessment by </w:t>
      </w:r>
      <w:r w:rsidR="00164D26" w:rsidRPr="001F70B4">
        <w:rPr>
          <w:rFonts w:ascii="Times New Roman" w:hAnsi="Times New Roman"/>
          <w:i/>
          <w:color w:val="242121"/>
          <w:shd w:val="clear" w:color="auto" w:fill="FFFFFF"/>
        </w:rPr>
        <w:t>Court</w:t>
      </w:r>
      <w:r w:rsidRPr="001F70B4">
        <w:rPr>
          <w:rFonts w:ascii="Times New Roman" w:hAnsi="Times New Roman"/>
          <w:i/>
          <w:color w:val="242121"/>
          <w:shd w:val="clear" w:color="auto" w:fill="FFFFFF"/>
        </w:rPr>
        <w:t>s of facts relevant to the conduct of the prisoner, after the imposition of sentence, is usually a must.”</w:t>
      </w:r>
      <w:r w:rsidRPr="000D7782">
        <w:rPr>
          <w:rStyle w:val="FootnoteReference"/>
          <w:rFonts w:ascii="Arial" w:hAnsi="Arial" w:cs="Arial"/>
          <w:b w:val="0"/>
          <w:color w:val="242121"/>
          <w:shd w:val="clear" w:color="auto" w:fill="FFFFFF"/>
        </w:rPr>
        <w:footnoteReference w:id="37"/>
      </w:r>
    </w:p>
    <w:p w:rsidR="00790108" w:rsidRPr="000D7782" w:rsidRDefault="00790108" w:rsidP="00FE32B1">
      <w:pPr>
        <w:pStyle w:val="ListParagraph"/>
        <w:spacing w:line="360" w:lineRule="auto"/>
        <w:jc w:val="both"/>
        <w:rPr>
          <w:rFonts w:ascii="Arial" w:hAnsi="Arial" w:cs="Arial"/>
          <w:b w:val="0"/>
          <w:i/>
          <w:color w:val="auto"/>
        </w:rPr>
      </w:pPr>
    </w:p>
    <w:p w:rsidR="00790108" w:rsidRPr="000D7782" w:rsidRDefault="00960C10" w:rsidP="00FE32B1">
      <w:pPr>
        <w:pStyle w:val="ListParagraph"/>
        <w:numPr>
          <w:ilvl w:val="0"/>
          <w:numId w:val="2"/>
        </w:numPr>
        <w:spacing w:line="360" w:lineRule="auto"/>
        <w:ind w:left="851" w:hanging="851"/>
        <w:jc w:val="both"/>
        <w:rPr>
          <w:rFonts w:ascii="Arial" w:hAnsi="Arial" w:cs="Arial"/>
          <w:b w:val="0"/>
          <w:i/>
          <w:color w:val="auto"/>
        </w:rPr>
      </w:pPr>
      <w:r w:rsidRPr="000D7782">
        <w:rPr>
          <w:rFonts w:ascii="Arial" w:hAnsi="Arial" w:cs="Arial"/>
          <w:b w:val="0"/>
          <w:color w:val="auto"/>
        </w:rPr>
        <w:t>Of significance is that Annexure E, in addition to the criteria relied upon by the respondents to disqualify the applicant</w:t>
      </w:r>
      <w:r w:rsidR="00E37CE7" w:rsidRPr="000D7782">
        <w:rPr>
          <w:rFonts w:ascii="Arial" w:hAnsi="Arial" w:cs="Arial"/>
          <w:b w:val="0"/>
          <w:color w:val="auto"/>
        </w:rPr>
        <w:t>,</w:t>
      </w:r>
      <w:r w:rsidRPr="000D7782">
        <w:rPr>
          <w:rFonts w:ascii="Arial" w:hAnsi="Arial" w:cs="Arial"/>
          <w:b w:val="0"/>
          <w:color w:val="auto"/>
        </w:rPr>
        <w:t xml:space="preserve"> also lists </w:t>
      </w:r>
      <w:r w:rsidR="0066390D">
        <w:rPr>
          <w:rFonts w:ascii="Arial" w:hAnsi="Arial" w:cs="Arial"/>
          <w:b w:val="0"/>
          <w:color w:val="auto"/>
        </w:rPr>
        <w:t>“</w:t>
      </w:r>
      <w:r w:rsidRPr="000D7782">
        <w:rPr>
          <w:rFonts w:ascii="Arial" w:hAnsi="Arial" w:cs="Arial"/>
          <w:b w:val="0"/>
          <w:color w:val="auto"/>
        </w:rPr>
        <w:t>developing</w:t>
      </w:r>
      <w:r w:rsidR="000D0988" w:rsidRPr="000D7782">
        <w:rPr>
          <w:rFonts w:ascii="Arial" w:hAnsi="Arial" w:cs="Arial"/>
          <w:b w:val="0"/>
          <w:color w:val="auto"/>
        </w:rPr>
        <w:t>/repairing</w:t>
      </w:r>
      <w:r w:rsidRPr="000D7782">
        <w:rPr>
          <w:rFonts w:ascii="Arial" w:hAnsi="Arial" w:cs="Arial"/>
          <w:b w:val="0"/>
          <w:color w:val="auto"/>
        </w:rPr>
        <w:t xml:space="preserve"> implements or devices to save the State money</w:t>
      </w:r>
      <w:r w:rsidR="0066390D">
        <w:rPr>
          <w:rFonts w:ascii="Arial" w:hAnsi="Arial" w:cs="Arial"/>
          <w:b w:val="0"/>
          <w:color w:val="auto"/>
        </w:rPr>
        <w:t>”</w:t>
      </w:r>
      <w:r w:rsidRPr="000D7782">
        <w:rPr>
          <w:rFonts w:ascii="Arial" w:hAnsi="Arial" w:cs="Arial"/>
          <w:b w:val="0"/>
          <w:color w:val="auto"/>
        </w:rPr>
        <w:t>,</w:t>
      </w:r>
      <w:r w:rsidR="000D0988" w:rsidRPr="000D7782">
        <w:rPr>
          <w:rFonts w:ascii="Arial" w:hAnsi="Arial" w:cs="Arial"/>
          <w:b w:val="0"/>
          <w:color w:val="auto"/>
        </w:rPr>
        <w:t xml:space="preserve"> as highly meritorious service deserving of a special remission of sentence of 6 months</w:t>
      </w:r>
      <w:r w:rsidR="004320CA">
        <w:rPr>
          <w:rFonts w:ascii="Arial" w:hAnsi="Arial" w:cs="Arial"/>
          <w:b w:val="0"/>
          <w:color w:val="auto"/>
        </w:rPr>
        <w:t xml:space="preserve">.  </w:t>
      </w:r>
      <w:r w:rsidR="00256940" w:rsidRPr="000D7782">
        <w:rPr>
          <w:rFonts w:ascii="Arial" w:hAnsi="Arial" w:cs="Arial"/>
          <w:b w:val="0"/>
          <w:color w:val="auto"/>
        </w:rPr>
        <w:t>O</w:t>
      </w:r>
      <w:r w:rsidRPr="000D7782">
        <w:rPr>
          <w:rFonts w:ascii="Arial" w:hAnsi="Arial" w:cs="Arial"/>
          <w:b w:val="0"/>
          <w:color w:val="auto"/>
        </w:rPr>
        <w:t>f significance</w:t>
      </w:r>
      <w:r w:rsidR="00256940" w:rsidRPr="000D7782">
        <w:rPr>
          <w:rFonts w:ascii="Arial" w:hAnsi="Arial" w:cs="Arial"/>
          <w:b w:val="0"/>
          <w:color w:val="auto"/>
        </w:rPr>
        <w:t xml:space="preserve"> also</w:t>
      </w:r>
      <w:r w:rsidRPr="000D7782">
        <w:rPr>
          <w:rFonts w:ascii="Arial" w:hAnsi="Arial" w:cs="Arial"/>
          <w:b w:val="0"/>
          <w:color w:val="auto"/>
        </w:rPr>
        <w:t xml:space="preserve"> is that Annexure E</w:t>
      </w:r>
      <w:r w:rsidR="000D0988" w:rsidRPr="000D7782">
        <w:rPr>
          <w:rFonts w:ascii="Arial" w:hAnsi="Arial" w:cs="Arial"/>
          <w:b w:val="0"/>
          <w:color w:val="auto"/>
        </w:rPr>
        <w:t>,</w:t>
      </w:r>
      <w:r w:rsidRPr="000D7782">
        <w:rPr>
          <w:rFonts w:ascii="Arial" w:hAnsi="Arial" w:cs="Arial"/>
          <w:b w:val="0"/>
          <w:color w:val="auto"/>
        </w:rPr>
        <w:t xml:space="preserve"> expressly acknowledges that whilst it is not always practically possible for the Case Management Committee to ascertain rigid norms for actions/behaviour that may be regarded as deserving, Annexure E merely provides some guidelines as to what may be regarded as deserving</w:t>
      </w:r>
      <w:r w:rsidR="004320CA">
        <w:rPr>
          <w:rFonts w:ascii="Arial" w:hAnsi="Arial" w:cs="Arial"/>
          <w:b w:val="0"/>
          <w:color w:val="auto"/>
        </w:rPr>
        <w:t xml:space="preserve">.  </w:t>
      </w:r>
      <w:r w:rsidR="000D0988" w:rsidRPr="000D7782">
        <w:rPr>
          <w:rFonts w:ascii="Arial" w:hAnsi="Arial" w:cs="Arial"/>
          <w:b w:val="0"/>
          <w:color w:val="auto"/>
        </w:rPr>
        <w:t>That e</w:t>
      </w:r>
      <w:r w:rsidRPr="000D7782">
        <w:rPr>
          <w:rFonts w:ascii="Arial" w:hAnsi="Arial" w:cs="Arial"/>
          <w:b w:val="0"/>
          <w:color w:val="auto"/>
        </w:rPr>
        <w:t>very actio</w:t>
      </w:r>
      <w:r w:rsidR="000D0988" w:rsidRPr="000D7782">
        <w:rPr>
          <w:rFonts w:ascii="Arial" w:hAnsi="Arial" w:cs="Arial"/>
          <w:b w:val="0"/>
          <w:color w:val="auto"/>
        </w:rPr>
        <w:t>n/behavioural incident must</w:t>
      </w:r>
      <w:r w:rsidRPr="000D7782">
        <w:rPr>
          <w:rFonts w:ascii="Arial" w:hAnsi="Arial" w:cs="Arial"/>
          <w:b w:val="0"/>
          <w:color w:val="auto"/>
        </w:rPr>
        <w:t xml:space="preserve"> be evaluated according to merit.</w:t>
      </w:r>
      <w:r w:rsidRPr="000D7782">
        <w:rPr>
          <w:rStyle w:val="FootnoteReference"/>
          <w:rFonts w:ascii="Arial" w:hAnsi="Arial" w:cs="Arial"/>
          <w:b w:val="0"/>
          <w:color w:val="auto"/>
        </w:rPr>
        <w:footnoteReference w:id="38"/>
      </w:r>
      <w:r w:rsidRPr="000D7782">
        <w:rPr>
          <w:rFonts w:ascii="Arial" w:hAnsi="Arial" w:cs="Arial"/>
          <w:b w:val="0"/>
          <w:color w:val="auto"/>
        </w:rPr>
        <w:t xml:space="preserve"> </w:t>
      </w:r>
    </w:p>
    <w:p w:rsidR="00790108" w:rsidRPr="000D7782" w:rsidRDefault="00790108" w:rsidP="00FE32B1">
      <w:pPr>
        <w:pStyle w:val="ListParagraph"/>
        <w:spacing w:line="360" w:lineRule="auto"/>
        <w:rPr>
          <w:rFonts w:ascii="Arial" w:hAnsi="Arial" w:cs="Arial"/>
          <w:b w:val="0"/>
          <w:color w:val="auto"/>
        </w:rPr>
      </w:pPr>
    </w:p>
    <w:p w:rsidR="00960C10" w:rsidRPr="000D7782" w:rsidRDefault="00960C10" w:rsidP="00FE32B1">
      <w:pPr>
        <w:pStyle w:val="ListParagraph"/>
        <w:numPr>
          <w:ilvl w:val="0"/>
          <w:numId w:val="2"/>
        </w:numPr>
        <w:spacing w:line="360" w:lineRule="auto"/>
        <w:ind w:left="851" w:hanging="851"/>
        <w:jc w:val="both"/>
        <w:rPr>
          <w:rFonts w:ascii="Arial" w:hAnsi="Arial" w:cs="Arial"/>
          <w:b w:val="0"/>
          <w:i/>
          <w:color w:val="auto"/>
        </w:rPr>
      </w:pPr>
      <w:r w:rsidRPr="000D7782">
        <w:rPr>
          <w:rFonts w:ascii="Arial" w:hAnsi="Arial" w:cs="Arial"/>
          <w:b w:val="0"/>
          <w:color w:val="auto"/>
        </w:rPr>
        <w:t>It is so that the only reason for the applicant’s disqualification for remission is that, according to the respondents</w:t>
      </w:r>
      <w:r w:rsidR="00DC24C9" w:rsidRPr="000D7782">
        <w:rPr>
          <w:rFonts w:ascii="Arial" w:hAnsi="Arial" w:cs="Arial"/>
          <w:b w:val="0"/>
          <w:color w:val="auto"/>
        </w:rPr>
        <w:t xml:space="preserve"> his</w:t>
      </w:r>
      <w:r w:rsidRPr="000D7782">
        <w:rPr>
          <w:rFonts w:ascii="Arial" w:hAnsi="Arial" w:cs="Arial"/>
          <w:b w:val="0"/>
          <w:color w:val="auto"/>
        </w:rPr>
        <w:t xml:space="preserve"> act</w:t>
      </w:r>
      <w:r w:rsidR="00DC24C9" w:rsidRPr="000D7782">
        <w:rPr>
          <w:rFonts w:ascii="Arial" w:hAnsi="Arial" w:cs="Arial"/>
          <w:b w:val="0"/>
          <w:color w:val="auto"/>
        </w:rPr>
        <w:t>s</w:t>
      </w:r>
      <w:r w:rsidRPr="000D7782">
        <w:rPr>
          <w:rFonts w:ascii="Arial" w:hAnsi="Arial" w:cs="Arial"/>
          <w:b w:val="0"/>
          <w:color w:val="auto"/>
        </w:rPr>
        <w:t xml:space="preserve">/conduct </w:t>
      </w:r>
      <w:r w:rsidR="00DC24C9" w:rsidRPr="000D7782">
        <w:rPr>
          <w:rFonts w:ascii="Arial" w:hAnsi="Arial" w:cs="Arial"/>
          <w:b w:val="0"/>
          <w:color w:val="auto"/>
        </w:rPr>
        <w:t xml:space="preserve">are not </w:t>
      </w:r>
      <w:r w:rsidRPr="000D7782">
        <w:rPr>
          <w:rFonts w:ascii="Arial" w:hAnsi="Arial" w:cs="Arial"/>
          <w:b w:val="0"/>
          <w:color w:val="auto"/>
        </w:rPr>
        <w:t xml:space="preserve">of such a nature that the </w:t>
      </w:r>
      <w:r w:rsidR="00DC24C9" w:rsidRPr="000D7782">
        <w:rPr>
          <w:rFonts w:ascii="Arial" w:hAnsi="Arial" w:cs="Arial"/>
          <w:b w:val="0"/>
          <w:color w:val="auto"/>
        </w:rPr>
        <w:t>performance of same actually put him</w:t>
      </w:r>
      <w:r w:rsidRPr="000D7782">
        <w:rPr>
          <w:rFonts w:ascii="Arial" w:hAnsi="Arial" w:cs="Arial"/>
          <w:b w:val="0"/>
          <w:color w:val="auto"/>
        </w:rPr>
        <w:t xml:space="preserve"> in danger; to </w:t>
      </w:r>
      <w:r w:rsidRPr="000D7782">
        <w:rPr>
          <w:rFonts w:ascii="Arial" w:hAnsi="Arial" w:cs="Arial"/>
          <w:b w:val="0"/>
          <w:i/>
          <w:color w:val="auto"/>
        </w:rPr>
        <w:t>wit</w:t>
      </w:r>
      <w:r w:rsidRPr="000D7782">
        <w:rPr>
          <w:rFonts w:ascii="Arial" w:hAnsi="Arial" w:cs="Arial"/>
          <w:b w:val="0"/>
          <w:color w:val="auto"/>
        </w:rPr>
        <w:t>:</w:t>
      </w:r>
    </w:p>
    <w:p w:rsidR="00A1746C" w:rsidRPr="000D7782" w:rsidRDefault="00A1746C" w:rsidP="00FE32B1">
      <w:pPr>
        <w:spacing w:line="360" w:lineRule="auto"/>
        <w:contextualSpacing/>
        <w:jc w:val="both"/>
        <w:rPr>
          <w:rFonts w:ascii="Arial" w:hAnsi="Arial" w:cs="Arial"/>
          <w:b w:val="0"/>
          <w:i/>
          <w:color w:val="auto"/>
        </w:rPr>
      </w:pPr>
    </w:p>
    <w:p w:rsidR="00960C10" w:rsidRPr="001F70B4" w:rsidRDefault="00960C10" w:rsidP="00FE32B1">
      <w:pPr>
        <w:spacing w:line="360" w:lineRule="auto"/>
        <w:ind w:left="851"/>
        <w:contextualSpacing/>
        <w:jc w:val="both"/>
        <w:rPr>
          <w:rFonts w:ascii="Times New Roman" w:hAnsi="Times New Roman"/>
          <w:b w:val="0"/>
          <w:i/>
          <w:color w:val="auto"/>
        </w:rPr>
      </w:pPr>
      <w:r w:rsidRPr="001F70B4">
        <w:rPr>
          <w:rFonts w:ascii="Times New Roman" w:hAnsi="Times New Roman"/>
          <w:b w:val="0"/>
          <w:i/>
          <w:color w:val="auto"/>
        </w:rPr>
        <w:t>“If annexure E is studied it is clear that all the actions that are seen as qualifying actions are of such a nature that he/she who performs them actually puts him/herself in danger.”</w:t>
      </w:r>
      <w:r w:rsidRPr="001F70B4">
        <w:rPr>
          <w:rStyle w:val="FootnoteReference"/>
          <w:rFonts w:ascii="Arial" w:hAnsi="Arial" w:cs="Arial"/>
          <w:b w:val="0"/>
          <w:color w:val="auto"/>
        </w:rPr>
        <w:footnoteReference w:id="39"/>
      </w:r>
      <w:r w:rsidRPr="001F70B4">
        <w:rPr>
          <w:rFonts w:ascii="Times New Roman" w:hAnsi="Times New Roman"/>
          <w:b w:val="0"/>
          <w:i/>
          <w:color w:val="auto"/>
        </w:rPr>
        <w:t xml:space="preserve"> </w:t>
      </w:r>
    </w:p>
    <w:p w:rsidR="00960C10" w:rsidRPr="000D7782" w:rsidRDefault="00960C10" w:rsidP="00FE32B1">
      <w:pPr>
        <w:spacing w:line="360" w:lineRule="auto"/>
        <w:contextualSpacing/>
        <w:jc w:val="both"/>
        <w:rPr>
          <w:rFonts w:ascii="Arial" w:hAnsi="Arial" w:cs="Arial"/>
          <w:b w:val="0"/>
          <w:color w:val="auto"/>
        </w:rPr>
      </w:pPr>
    </w:p>
    <w:p w:rsidR="00790108" w:rsidRPr="000D7782" w:rsidRDefault="00960C10"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The foregoing contention stands in stark contrast with the following</w:t>
      </w:r>
      <w:r w:rsidR="004320CA">
        <w:rPr>
          <w:rFonts w:ascii="Arial" w:hAnsi="Arial" w:cs="Arial"/>
          <w:b w:val="0"/>
          <w:color w:val="auto"/>
        </w:rPr>
        <w:t xml:space="preserve">.  </w:t>
      </w:r>
      <w:r w:rsidRPr="000D7782">
        <w:rPr>
          <w:rFonts w:ascii="Arial" w:hAnsi="Arial" w:cs="Arial"/>
          <w:b w:val="0"/>
          <w:color w:val="auto"/>
        </w:rPr>
        <w:t>First, as alluded above, Annexure E itself regards the development</w:t>
      </w:r>
      <w:r w:rsidR="000D0988" w:rsidRPr="000D7782">
        <w:rPr>
          <w:rFonts w:ascii="Arial" w:hAnsi="Arial" w:cs="Arial"/>
          <w:b w:val="0"/>
          <w:color w:val="auto"/>
        </w:rPr>
        <w:t>/repair</w:t>
      </w:r>
      <w:r w:rsidRPr="000D7782">
        <w:rPr>
          <w:rFonts w:ascii="Arial" w:hAnsi="Arial" w:cs="Arial"/>
          <w:b w:val="0"/>
          <w:color w:val="auto"/>
        </w:rPr>
        <w:t xml:space="preserve"> of an implement or device to save State money as deserving of a six (6) months remission</w:t>
      </w:r>
      <w:r w:rsidR="004320CA">
        <w:rPr>
          <w:rFonts w:ascii="Arial" w:hAnsi="Arial" w:cs="Arial"/>
          <w:b w:val="0"/>
          <w:color w:val="auto"/>
        </w:rPr>
        <w:t xml:space="preserve">.  </w:t>
      </w:r>
      <w:r w:rsidRPr="000D7782">
        <w:rPr>
          <w:rFonts w:ascii="Arial" w:hAnsi="Arial" w:cs="Arial"/>
          <w:b w:val="0"/>
          <w:color w:val="auto"/>
        </w:rPr>
        <w:t>It can hardly be said that the said activity puts the offender concerned in danger</w:t>
      </w:r>
      <w:r w:rsidR="004320CA">
        <w:rPr>
          <w:rFonts w:ascii="Arial" w:hAnsi="Arial" w:cs="Arial"/>
          <w:b w:val="0"/>
          <w:color w:val="auto"/>
        </w:rPr>
        <w:t xml:space="preserve">.  </w:t>
      </w:r>
      <w:r w:rsidRPr="000D7782">
        <w:rPr>
          <w:rFonts w:ascii="Arial" w:hAnsi="Arial" w:cs="Arial"/>
          <w:b w:val="0"/>
          <w:color w:val="auto"/>
        </w:rPr>
        <w:t>Indeed, whether or not an offender places him/herself in danger in the course of conducting him/herself highly meritoriously, seems to be only one of the factors to be taken into account and not determinative</w:t>
      </w:r>
      <w:r w:rsidR="004320CA">
        <w:rPr>
          <w:rFonts w:ascii="Arial" w:hAnsi="Arial" w:cs="Arial"/>
          <w:b w:val="0"/>
          <w:color w:val="auto"/>
        </w:rPr>
        <w:t xml:space="preserve">.  </w:t>
      </w:r>
      <w:r w:rsidRPr="000D7782">
        <w:rPr>
          <w:rFonts w:ascii="Arial" w:hAnsi="Arial" w:cs="Arial"/>
          <w:b w:val="0"/>
          <w:color w:val="auto"/>
        </w:rPr>
        <w:t>Second, Annexure E is merely a guideline and nothing more</w:t>
      </w:r>
      <w:r w:rsidR="004320CA">
        <w:rPr>
          <w:rFonts w:ascii="Arial" w:hAnsi="Arial" w:cs="Arial"/>
          <w:b w:val="0"/>
          <w:color w:val="auto"/>
        </w:rPr>
        <w:t xml:space="preserve">.  </w:t>
      </w:r>
      <w:r w:rsidRPr="000D7782">
        <w:rPr>
          <w:rFonts w:ascii="Arial" w:hAnsi="Arial" w:cs="Arial"/>
          <w:b w:val="0"/>
          <w:color w:val="auto"/>
        </w:rPr>
        <w:t xml:space="preserve">It follows from </w:t>
      </w:r>
      <w:r w:rsidRPr="000D7782">
        <w:rPr>
          <w:rFonts w:ascii="Arial" w:hAnsi="Arial" w:cs="Arial"/>
          <w:b w:val="0"/>
          <w:color w:val="auto"/>
        </w:rPr>
        <w:lastRenderedPageBreak/>
        <w:t>the foregoing that the respondents are empowered and required to evaluate every action/behavioural incident according to its merits.</w:t>
      </w:r>
      <w:r w:rsidRPr="000D7782">
        <w:rPr>
          <w:rStyle w:val="FootnoteReference"/>
          <w:rFonts w:ascii="Arial" w:hAnsi="Arial" w:cs="Arial"/>
          <w:b w:val="0"/>
          <w:color w:val="auto"/>
        </w:rPr>
        <w:footnoteReference w:id="40"/>
      </w:r>
      <w:r w:rsidRPr="000D7782">
        <w:rPr>
          <w:rFonts w:ascii="Arial" w:hAnsi="Arial" w:cs="Arial"/>
          <w:b w:val="0"/>
          <w:color w:val="auto"/>
        </w:rPr>
        <w:t xml:space="preserve"> </w:t>
      </w:r>
      <w:r w:rsidR="00E37CE7" w:rsidRPr="000D7782">
        <w:rPr>
          <w:rFonts w:ascii="Arial" w:hAnsi="Arial" w:cs="Arial"/>
          <w:b w:val="0"/>
          <w:color w:val="auto"/>
        </w:rPr>
        <w:t xml:space="preserve"> </w:t>
      </w:r>
      <w:r w:rsidRPr="000D7782">
        <w:rPr>
          <w:rFonts w:ascii="Arial" w:hAnsi="Arial" w:cs="Arial"/>
          <w:b w:val="0"/>
          <w:color w:val="auto"/>
        </w:rPr>
        <w:t>This was not done</w:t>
      </w:r>
      <w:r w:rsidR="004320CA">
        <w:rPr>
          <w:rFonts w:ascii="Arial" w:hAnsi="Arial" w:cs="Arial"/>
          <w:b w:val="0"/>
          <w:color w:val="auto"/>
        </w:rPr>
        <w:t xml:space="preserve">.  </w:t>
      </w:r>
      <w:r w:rsidR="000D0988" w:rsidRPr="000D7782">
        <w:rPr>
          <w:rFonts w:ascii="Arial" w:hAnsi="Arial" w:cs="Arial"/>
          <w:b w:val="0"/>
          <w:color w:val="auto"/>
        </w:rPr>
        <w:t xml:space="preserve">Nor was </w:t>
      </w:r>
      <w:r w:rsidR="001F70B4">
        <w:rPr>
          <w:rFonts w:ascii="Arial" w:hAnsi="Arial" w:cs="Arial"/>
          <w:b w:val="0"/>
          <w:color w:val="auto"/>
        </w:rPr>
        <w:t>Section</w:t>
      </w:r>
      <w:r w:rsidR="000D0988" w:rsidRPr="000D7782">
        <w:rPr>
          <w:rFonts w:ascii="Arial" w:hAnsi="Arial" w:cs="Arial"/>
          <w:b w:val="0"/>
          <w:color w:val="auto"/>
        </w:rPr>
        <w:t xml:space="preserve"> 80 of the Act read purposively by the respondents</w:t>
      </w:r>
      <w:r w:rsidR="004320CA">
        <w:rPr>
          <w:rFonts w:ascii="Arial" w:hAnsi="Arial" w:cs="Arial"/>
          <w:b w:val="0"/>
          <w:color w:val="auto"/>
        </w:rPr>
        <w:t xml:space="preserve">.  </w:t>
      </w:r>
    </w:p>
    <w:p w:rsidR="00B5170F" w:rsidRPr="000D7782" w:rsidRDefault="00B5170F" w:rsidP="00FE32B1">
      <w:pPr>
        <w:spacing w:line="360" w:lineRule="auto"/>
        <w:contextualSpacing/>
        <w:rPr>
          <w:rFonts w:ascii="Arial" w:hAnsi="Arial" w:cs="Arial"/>
          <w:b w:val="0"/>
          <w:color w:val="242121"/>
        </w:rPr>
      </w:pPr>
    </w:p>
    <w:p w:rsidR="0066390D" w:rsidRPr="000D7782" w:rsidRDefault="0066390D" w:rsidP="00FE32B1">
      <w:pPr>
        <w:pStyle w:val="ListParagraph"/>
        <w:numPr>
          <w:ilvl w:val="0"/>
          <w:numId w:val="2"/>
        </w:numPr>
        <w:spacing w:line="360" w:lineRule="auto"/>
        <w:ind w:left="851" w:hanging="851"/>
        <w:jc w:val="both"/>
        <w:rPr>
          <w:rFonts w:ascii="Arial" w:hAnsi="Arial" w:cs="Arial"/>
          <w:i/>
          <w:color w:val="auto"/>
        </w:rPr>
      </w:pPr>
      <w:r>
        <w:rPr>
          <w:rFonts w:ascii="Arial" w:hAnsi="Arial" w:cs="Arial"/>
          <w:b w:val="0"/>
          <w:color w:val="242121"/>
        </w:rPr>
        <w:t>Third, e</w:t>
      </w:r>
      <w:r w:rsidR="00790108" w:rsidRPr="000D7782">
        <w:rPr>
          <w:rFonts w:ascii="Arial" w:hAnsi="Arial" w:cs="Arial"/>
          <w:b w:val="0"/>
          <w:color w:val="242121"/>
        </w:rPr>
        <w:t>ven though</w:t>
      </w:r>
      <w:r w:rsidR="00CB0E68" w:rsidRPr="000D7782">
        <w:rPr>
          <w:rFonts w:ascii="Arial" w:hAnsi="Arial" w:cs="Arial"/>
          <w:b w:val="0"/>
          <w:color w:val="242121"/>
        </w:rPr>
        <w:t xml:space="preserve"> not defined by the Act itself, the import </w:t>
      </w:r>
      <w:r w:rsidR="00831011" w:rsidRPr="000D7782">
        <w:rPr>
          <w:rFonts w:ascii="Arial" w:hAnsi="Arial" w:cs="Arial"/>
          <w:b w:val="0"/>
          <w:color w:val="242121"/>
        </w:rPr>
        <w:t xml:space="preserve">of this </w:t>
      </w:r>
      <w:r w:rsidR="00CB0E68" w:rsidRPr="000D7782">
        <w:rPr>
          <w:rFonts w:ascii="Arial" w:hAnsi="Arial" w:cs="Arial"/>
          <w:b w:val="0"/>
          <w:color w:val="242121"/>
        </w:rPr>
        <w:t>expression has fortunately already been judicially considered</w:t>
      </w:r>
      <w:r w:rsidR="004320CA">
        <w:rPr>
          <w:rFonts w:ascii="Arial" w:hAnsi="Arial" w:cs="Arial"/>
          <w:b w:val="0"/>
          <w:color w:val="242121"/>
        </w:rPr>
        <w:t xml:space="preserve">.  </w:t>
      </w:r>
      <w:r w:rsidR="00CB0E68" w:rsidRPr="000D7782">
        <w:rPr>
          <w:rFonts w:ascii="Arial" w:hAnsi="Arial" w:cs="Arial"/>
          <w:b w:val="0"/>
          <w:color w:val="242121"/>
        </w:rPr>
        <w:t xml:space="preserve">A </w:t>
      </w:r>
      <w:r w:rsidR="007D7E5F" w:rsidRPr="000D7782">
        <w:rPr>
          <w:rFonts w:ascii="Arial" w:hAnsi="Arial" w:cs="Arial"/>
          <w:b w:val="0"/>
          <w:color w:val="242121"/>
        </w:rPr>
        <w:t xml:space="preserve">brief comparative analysis </w:t>
      </w:r>
      <w:r w:rsidR="00DC3CCC" w:rsidRPr="000D7782">
        <w:rPr>
          <w:rFonts w:ascii="Arial" w:hAnsi="Arial" w:cs="Arial"/>
          <w:b w:val="0"/>
          <w:color w:val="242121"/>
        </w:rPr>
        <w:t xml:space="preserve">of </w:t>
      </w:r>
      <w:r w:rsidR="003F4F85" w:rsidRPr="000D7782">
        <w:rPr>
          <w:rFonts w:ascii="Arial" w:hAnsi="Arial" w:cs="Arial"/>
          <w:b w:val="0"/>
          <w:color w:val="242121"/>
        </w:rPr>
        <w:t xml:space="preserve">relevant </w:t>
      </w:r>
      <w:r w:rsidR="007D7E5F" w:rsidRPr="000D7782">
        <w:rPr>
          <w:rFonts w:ascii="Arial" w:hAnsi="Arial" w:cs="Arial"/>
          <w:b w:val="0"/>
          <w:color w:val="242121"/>
        </w:rPr>
        <w:t>case law as to what may amount to “</w:t>
      </w:r>
      <w:r w:rsidR="007D7E5F" w:rsidRPr="000D7782">
        <w:rPr>
          <w:rFonts w:ascii="Arial" w:hAnsi="Arial" w:cs="Arial"/>
          <w:b w:val="0"/>
          <w:i/>
          <w:color w:val="242121"/>
        </w:rPr>
        <w:t>highly meritorious service</w:t>
      </w:r>
      <w:r w:rsidR="007D7E5F" w:rsidRPr="000D7782">
        <w:rPr>
          <w:rFonts w:ascii="Arial" w:hAnsi="Arial" w:cs="Arial"/>
          <w:b w:val="0"/>
          <w:color w:val="242121"/>
        </w:rPr>
        <w:t xml:space="preserve">” within the contemplation of </w:t>
      </w:r>
      <w:r w:rsidR="00164D26" w:rsidRPr="000D7782">
        <w:rPr>
          <w:rFonts w:ascii="Arial" w:hAnsi="Arial" w:cs="Arial"/>
          <w:b w:val="0"/>
          <w:color w:val="242121"/>
        </w:rPr>
        <w:t>Section</w:t>
      </w:r>
      <w:r w:rsidR="007D7E5F" w:rsidRPr="000D7782">
        <w:rPr>
          <w:rFonts w:ascii="Arial" w:hAnsi="Arial" w:cs="Arial"/>
          <w:b w:val="0"/>
          <w:color w:val="242121"/>
        </w:rPr>
        <w:t xml:space="preserve"> 80 of the Act</w:t>
      </w:r>
      <w:r w:rsidR="001E0A93" w:rsidRPr="000D7782">
        <w:rPr>
          <w:rFonts w:ascii="Arial" w:hAnsi="Arial" w:cs="Arial"/>
          <w:b w:val="0"/>
          <w:color w:val="242121"/>
        </w:rPr>
        <w:t>, read purposive</w:t>
      </w:r>
      <w:r w:rsidR="00633826" w:rsidRPr="000D7782">
        <w:rPr>
          <w:rFonts w:ascii="Arial" w:hAnsi="Arial" w:cs="Arial"/>
          <w:b w:val="0"/>
          <w:color w:val="242121"/>
        </w:rPr>
        <w:t>ly</w:t>
      </w:r>
      <w:r w:rsidR="001E0A93" w:rsidRPr="000D7782">
        <w:rPr>
          <w:rFonts w:ascii="Arial" w:hAnsi="Arial" w:cs="Arial"/>
          <w:b w:val="0"/>
          <w:color w:val="242121"/>
        </w:rPr>
        <w:t>,</w:t>
      </w:r>
      <w:r w:rsidR="007D7E5F" w:rsidRPr="000D7782">
        <w:rPr>
          <w:rFonts w:ascii="Arial" w:hAnsi="Arial" w:cs="Arial"/>
          <w:b w:val="0"/>
          <w:color w:val="242121"/>
        </w:rPr>
        <w:t xml:space="preserve"> is </w:t>
      </w:r>
      <w:r w:rsidR="00CB0E68" w:rsidRPr="000D7782">
        <w:rPr>
          <w:rFonts w:ascii="Arial" w:hAnsi="Arial" w:cs="Arial"/>
          <w:b w:val="0"/>
          <w:color w:val="242121"/>
        </w:rPr>
        <w:t xml:space="preserve">therefore </w:t>
      </w:r>
      <w:r w:rsidR="003F4F85" w:rsidRPr="000D7782">
        <w:rPr>
          <w:rFonts w:ascii="Arial" w:hAnsi="Arial" w:cs="Arial"/>
          <w:b w:val="0"/>
          <w:color w:val="242121"/>
        </w:rPr>
        <w:t>apposite</w:t>
      </w:r>
      <w:r w:rsidR="004320CA">
        <w:rPr>
          <w:rFonts w:ascii="Arial" w:hAnsi="Arial" w:cs="Arial"/>
          <w:b w:val="0"/>
          <w:color w:val="242121"/>
        </w:rPr>
        <w:t xml:space="preserve">. </w:t>
      </w:r>
      <w:r w:rsidRPr="000D7782">
        <w:rPr>
          <w:rFonts w:ascii="Arial" w:hAnsi="Arial" w:cs="Arial"/>
          <w:b w:val="0"/>
          <w:color w:val="auto"/>
        </w:rPr>
        <w:t xml:space="preserve">Significantly, the Court in </w:t>
      </w:r>
      <w:proofErr w:type="spellStart"/>
      <w:r w:rsidRPr="000D7782">
        <w:rPr>
          <w:rFonts w:ascii="Arial" w:hAnsi="Arial" w:cs="Arial"/>
          <w:color w:val="auto"/>
        </w:rPr>
        <w:t>Baloyi</w:t>
      </w:r>
      <w:proofErr w:type="spellEnd"/>
      <w:r w:rsidRPr="000D7782">
        <w:rPr>
          <w:rFonts w:ascii="Arial" w:hAnsi="Arial" w:cs="Arial"/>
          <w:color w:val="auto"/>
        </w:rPr>
        <w:t xml:space="preserve"> </w:t>
      </w:r>
      <w:r w:rsidRPr="000D7782">
        <w:rPr>
          <w:rFonts w:ascii="Arial" w:hAnsi="Arial" w:cs="Arial"/>
          <w:i/>
          <w:color w:val="auto"/>
        </w:rPr>
        <w:t>v</w:t>
      </w:r>
      <w:r w:rsidRPr="000D7782">
        <w:rPr>
          <w:rFonts w:ascii="Arial" w:hAnsi="Arial" w:cs="Arial"/>
          <w:color w:val="auto"/>
        </w:rPr>
        <w:t xml:space="preserve"> Minister of Correctional Services and Others</w:t>
      </w:r>
      <w:r w:rsidRPr="000D7782">
        <w:rPr>
          <w:rStyle w:val="FootnoteReference"/>
          <w:rFonts w:ascii="Arial" w:hAnsi="Arial" w:cs="Arial"/>
          <w:b w:val="0"/>
          <w:color w:val="auto"/>
        </w:rPr>
        <w:footnoteReference w:id="41"/>
      </w:r>
      <w:r w:rsidRPr="000D7782">
        <w:rPr>
          <w:rFonts w:ascii="Arial" w:hAnsi="Arial" w:cs="Arial"/>
          <w:b w:val="0"/>
          <w:i/>
          <w:color w:val="auto"/>
        </w:rPr>
        <w:t xml:space="preserve"> </w:t>
      </w:r>
      <w:r w:rsidRPr="000D7782">
        <w:rPr>
          <w:rFonts w:ascii="Arial" w:hAnsi="Arial" w:cs="Arial"/>
          <w:b w:val="0"/>
          <w:color w:val="auto"/>
        </w:rPr>
        <w:t>after</w:t>
      </w:r>
      <w:r w:rsidRPr="000D7782">
        <w:rPr>
          <w:rFonts w:ascii="Arial" w:hAnsi="Arial" w:cs="Arial"/>
          <w:b w:val="0"/>
          <w:i/>
          <w:color w:val="auto"/>
        </w:rPr>
        <w:t xml:space="preserve"> </w:t>
      </w:r>
      <w:r>
        <w:rPr>
          <w:rFonts w:ascii="Arial" w:hAnsi="Arial" w:cs="Arial"/>
          <w:b w:val="0"/>
          <w:color w:val="auto"/>
        </w:rPr>
        <w:t>reviewing what</w:t>
      </w:r>
      <w:r w:rsidRPr="000D7782">
        <w:rPr>
          <w:rFonts w:ascii="Arial" w:hAnsi="Arial" w:cs="Arial"/>
          <w:b w:val="0"/>
          <w:color w:val="auto"/>
        </w:rPr>
        <w:t xml:space="preserve"> amounted to “highly meritorious service”</w:t>
      </w:r>
      <w:r w:rsidRPr="000D7782">
        <w:rPr>
          <w:rFonts w:ascii="Arial" w:hAnsi="Arial" w:cs="Arial"/>
          <w:b w:val="0"/>
          <w:i/>
          <w:color w:val="auto"/>
        </w:rPr>
        <w:t xml:space="preserve"> </w:t>
      </w:r>
      <w:r w:rsidRPr="000D7782">
        <w:rPr>
          <w:rFonts w:ascii="Arial" w:hAnsi="Arial" w:cs="Arial"/>
          <w:b w:val="0"/>
          <w:color w:val="auto"/>
        </w:rPr>
        <w:t>seminally remarked as follows:</w:t>
      </w:r>
    </w:p>
    <w:p w:rsidR="0066390D" w:rsidRPr="000D7782" w:rsidRDefault="0066390D" w:rsidP="00FE32B1">
      <w:pPr>
        <w:pStyle w:val="ListParagraph"/>
        <w:spacing w:line="360" w:lineRule="auto"/>
        <w:rPr>
          <w:rFonts w:ascii="Arial" w:hAnsi="Arial" w:cs="Arial"/>
          <w:i/>
          <w:color w:val="auto"/>
        </w:rPr>
      </w:pPr>
    </w:p>
    <w:p w:rsidR="003F4F85" w:rsidRPr="0066390D" w:rsidRDefault="0066390D" w:rsidP="00FE32B1">
      <w:pPr>
        <w:pStyle w:val="ListParagraph"/>
        <w:spacing w:line="360" w:lineRule="auto"/>
        <w:ind w:left="1701" w:hanging="850"/>
        <w:jc w:val="both"/>
        <w:rPr>
          <w:rFonts w:ascii="Times New Roman" w:hAnsi="Times New Roman"/>
          <w:b w:val="0"/>
          <w:i/>
          <w:color w:val="auto"/>
        </w:rPr>
      </w:pPr>
      <w:r w:rsidRPr="001F70B4">
        <w:rPr>
          <w:rFonts w:ascii="Times New Roman" w:hAnsi="Times New Roman"/>
          <w:b w:val="0"/>
          <w:i/>
          <w:color w:val="242121"/>
        </w:rPr>
        <w:t xml:space="preserve">“[17] </w:t>
      </w:r>
      <w:r w:rsidRPr="001F70B4">
        <w:rPr>
          <w:rFonts w:ascii="Times New Roman" w:hAnsi="Times New Roman"/>
          <w:b w:val="0"/>
          <w:i/>
          <w:color w:val="242121"/>
        </w:rPr>
        <w:tab/>
      </w:r>
      <w:r w:rsidRPr="001F70B4">
        <w:rPr>
          <w:rFonts w:ascii="Times New Roman" w:hAnsi="Times New Roman"/>
          <w:i/>
          <w:color w:val="242121"/>
        </w:rPr>
        <w:t>What is common to all these examples is that they consist in ‘services’ rendered to other people or to the institution in which the prisoner is incarcerated</w:t>
      </w:r>
      <w:r>
        <w:rPr>
          <w:rFonts w:ascii="Times New Roman" w:hAnsi="Times New Roman"/>
          <w:i/>
          <w:color w:val="242121"/>
        </w:rPr>
        <w:t xml:space="preserve">.  </w:t>
      </w:r>
      <w:r w:rsidRPr="001F70B4">
        <w:rPr>
          <w:rFonts w:ascii="Times New Roman" w:hAnsi="Times New Roman"/>
          <w:i/>
          <w:color w:val="242121"/>
        </w:rPr>
        <w:t>The use of the word ‘service’ is indicative of the type of action or behaviour which the Legislature had in mind: some act of helpfulness to another, some deed towards the benefit of the institution</w:t>
      </w:r>
      <w:r w:rsidRPr="001F70B4">
        <w:rPr>
          <w:rFonts w:ascii="Times New Roman" w:hAnsi="Times New Roman"/>
          <w:b w:val="0"/>
          <w:i/>
          <w:color w:val="242121"/>
        </w:rPr>
        <w:t>…”</w:t>
      </w:r>
      <w:r w:rsidR="004320CA" w:rsidRPr="0066390D">
        <w:rPr>
          <w:rFonts w:ascii="Arial" w:hAnsi="Arial" w:cs="Arial"/>
          <w:b w:val="0"/>
          <w:color w:val="242121"/>
        </w:rPr>
        <w:t xml:space="preserve"> </w:t>
      </w:r>
    </w:p>
    <w:p w:rsidR="00654DF4" w:rsidRPr="000D7782" w:rsidRDefault="00654DF4" w:rsidP="00FE32B1">
      <w:pPr>
        <w:shd w:val="clear" w:color="auto" w:fill="FFFFFF" w:themeFill="background1"/>
        <w:spacing w:line="360" w:lineRule="auto"/>
        <w:contextualSpacing/>
        <w:jc w:val="both"/>
        <w:textAlignment w:val="baseline"/>
        <w:outlineLvl w:val="1"/>
        <w:rPr>
          <w:rFonts w:ascii="Arial" w:hAnsi="Arial" w:cs="Arial"/>
          <w:b w:val="0"/>
          <w:color w:val="auto"/>
          <w:spacing w:val="-5"/>
          <w:lang w:val="en-US"/>
        </w:rPr>
      </w:pPr>
    </w:p>
    <w:p w:rsidR="008A4F38" w:rsidRPr="000D7782" w:rsidRDefault="00B5170F" w:rsidP="00FE32B1">
      <w:pPr>
        <w:pStyle w:val="ListParagraph"/>
        <w:numPr>
          <w:ilvl w:val="0"/>
          <w:numId w:val="2"/>
        </w:numPr>
        <w:shd w:val="clear" w:color="auto" w:fill="FFFFFF" w:themeFill="background1"/>
        <w:spacing w:line="360" w:lineRule="auto"/>
        <w:ind w:left="851" w:hanging="851"/>
        <w:jc w:val="both"/>
        <w:textAlignment w:val="baseline"/>
        <w:outlineLvl w:val="1"/>
        <w:rPr>
          <w:rFonts w:ascii="Arial" w:hAnsi="Arial" w:cs="Arial"/>
          <w:b w:val="0"/>
          <w:color w:val="auto"/>
        </w:rPr>
      </w:pPr>
      <w:r w:rsidRPr="000D7782">
        <w:rPr>
          <w:rFonts w:ascii="Arial" w:hAnsi="Arial" w:cs="Arial"/>
          <w:b w:val="0"/>
          <w:color w:val="auto"/>
        </w:rPr>
        <w:t xml:space="preserve">In </w:t>
      </w:r>
      <w:r w:rsidRPr="000D7782">
        <w:rPr>
          <w:rFonts w:ascii="Arial" w:hAnsi="Arial" w:cs="Arial"/>
          <w:color w:val="auto"/>
        </w:rPr>
        <w:t xml:space="preserve">Henry </w:t>
      </w:r>
      <w:r w:rsidRPr="000D7782">
        <w:rPr>
          <w:rFonts w:ascii="Arial" w:hAnsi="Arial" w:cs="Arial"/>
          <w:i/>
          <w:color w:val="auto"/>
        </w:rPr>
        <w:t>v</w:t>
      </w:r>
      <w:r w:rsidRPr="000D7782">
        <w:rPr>
          <w:rFonts w:ascii="Arial" w:hAnsi="Arial" w:cs="Arial"/>
          <w:color w:val="auto"/>
        </w:rPr>
        <w:t xml:space="preserve"> Minister of</w:t>
      </w:r>
      <w:r w:rsidR="00FD0956" w:rsidRPr="000D7782">
        <w:rPr>
          <w:rFonts w:ascii="Arial" w:hAnsi="Arial" w:cs="Arial"/>
          <w:color w:val="auto"/>
        </w:rPr>
        <w:t xml:space="preserve"> Correctional Services &amp; O</w:t>
      </w:r>
      <w:r w:rsidR="00AD503B" w:rsidRPr="000D7782">
        <w:rPr>
          <w:rFonts w:ascii="Arial" w:hAnsi="Arial" w:cs="Arial"/>
          <w:color w:val="auto"/>
        </w:rPr>
        <w:t>thers</w:t>
      </w:r>
      <w:r w:rsidR="00AD503B" w:rsidRPr="000D7782">
        <w:rPr>
          <w:rStyle w:val="FootnoteReference"/>
          <w:rFonts w:ascii="Arial" w:hAnsi="Arial" w:cs="Arial"/>
          <w:b w:val="0"/>
          <w:color w:val="auto"/>
        </w:rPr>
        <w:footnoteReference w:id="42"/>
      </w:r>
      <w:r w:rsidRPr="000D7782">
        <w:rPr>
          <w:rFonts w:ascii="Arial" w:hAnsi="Arial" w:cs="Arial"/>
          <w:b w:val="0"/>
          <w:color w:val="auto"/>
        </w:rPr>
        <w:t>,</w:t>
      </w:r>
      <w:r w:rsidRPr="000D7782">
        <w:rPr>
          <w:rFonts w:ascii="Arial" w:hAnsi="Arial" w:cs="Arial"/>
          <w:i/>
          <w:color w:val="auto"/>
        </w:rPr>
        <w:t xml:space="preserve"> </w:t>
      </w:r>
      <w:r w:rsidRPr="000D7782">
        <w:rPr>
          <w:rFonts w:ascii="Arial" w:hAnsi="Arial" w:cs="Arial"/>
          <w:b w:val="0"/>
          <w:color w:val="auto"/>
        </w:rPr>
        <w:t>the prisoner was granted special remission for working with other inmates starting a hand</w:t>
      </w:r>
      <w:r w:rsidR="00F35269">
        <w:rPr>
          <w:rFonts w:ascii="Arial" w:hAnsi="Arial" w:cs="Arial"/>
          <w:b w:val="0"/>
          <w:color w:val="auto"/>
        </w:rPr>
        <w:t>-</w:t>
      </w:r>
      <w:r w:rsidRPr="000D7782">
        <w:rPr>
          <w:rFonts w:ascii="Arial" w:hAnsi="Arial" w:cs="Arial"/>
          <w:b w:val="0"/>
          <w:color w:val="auto"/>
        </w:rPr>
        <w:t>skills project</w:t>
      </w:r>
      <w:r w:rsidR="0066390D">
        <w:rPr>
          <w:rFonts w:ascii="Arial" w:hAnsi="Arial" w:cs="Arial"/>
          <w:b w:val="0"/>
          <w:color w:val="auto"/>
        </w:rPr>
        <w:t>,</w:t>
      </w:r>
      <w:r w:rsidRPr="000D7782">
        <w:rPr>
          <w:rFonts w:ascii="Arial" w:hAnsi="Arial" w:cs="Arial"/>
          <w:b w:val="0"/>
          <w:color w:val="auto"/>
        </w:rPr>
        <w:t xml:space="preserve"> which contributed towards the rehabilitation of other inmates</w:t>
      </w:r>
      <w:r w:rsidR="004320CA">
        <w:rPr>
          <w:rFonts w:ascii="Arial" w:hAnsi="Arial" w:cs="Arial"/>
          <w:b w:val="0"/>
          <w:color w:val="auto"/>
        </w:rPr>
        <w:t xml:space="preserve">.  </w:t>
      </w:r>
      <w:r w:rsidR="00A42865" w:rsidRPr="000D7782">
        <w:rPr>
          <w:rFonts w:ascii="Arial" w:hAnsi="Arial" w:cs="Arial"/>
          <w:b w:val="0"/>
          <w:color w:val="auto"/>
        </w:rPr>
        <w:t xml:space="preserve">Of significance about the </w:t>
      </w:r>
      <w:r w:rsidR="00A42865" w:rsidRPr="00FE32B1">
        <w:rPr>
          <w:rFonts w:ascii="Arial" w:hAnsi="Arial" w:cs="Arial"/>
          <w:i/>
          <w:color w:val="auto"/>
        </w:rPr>
        <w:t>Henry</w:t>
      </w:r>
      <w:r w:rsidR="00A42865" w:rsidRPr="000D7782">
        <w:rPr>
          <w:rFonts w:ascii="Arial" w:hAnsi="Arial" w:cs="Arial"/>
          <w:b w:val="0"/>
          <w:color w:val="auto"/>
        </w:rPr>
        <w:t xml:space="preserve"> case is the following</w:t>
      </w:r>
      <w:r w:rsidR="004320CA">
        <w:rPr>
          <w:rFonts w:ascii="Arial" w:hAnsi="Arial" w:cs="Arial"/>
          <w:b w:val="0"/>
          <w:color w:val="auto"/>
        </w:rPr>
        <w:t xml:space="preserve">.  </w:t>
      </w:r>
      <w:r w:rsidR="00A42865" w:rsidRPr="000D7782">
        <w:rPr>
          <w:rFonts w:ascii="Arial" w:hAnsi="Arial" w:cs="Arial"/>
          <w:b w:val="0"/>
          <w:color w:val="auto"/>
        </w:rPr>
        <w:t xml:space="preserve">The said prisoner was effectively imprisoned for 17 and </w:t>
      </w:r>
      <w:r w:rsidR="0066390D">
        <w:rPr>
          <w:rFonts w:ascii="Arial" w:hAnsi="Arial" w:cs="Arial"/>
          <w:b w:val="0"/>
          <w:color w:val="auto"/>
        </w:rPr>
        <w:t>quarter years</w:t>
      </w:r>
      <w:r w:rsidR="00A42865" w:rsidRPr="000D7782">
        <w:rPr>
          <w:rFonts w:ascii="Arial" w:hAnsi="Arial" w:cs="Arial"/>
          <w:b w:val="0"/>
          <w:color w:val="auto"/>
        </w:rPr>
        <w:t xml:space="preserve"> in 1996 for r</w:t>
      </w:r>
      <w:r w:rsidR="004071BA" w:rsidRPr="000D7782">
        <w:rPr>
          <w:rFonts w:ascii="Arial" w:hAnsi="Arial" w:cs="Arial"/>
          <w:b w:val="0"/>
          <w:color w:val="auto"/>
        </w:rPr>
        <w:t>obbery and other related crimes</w:t>
      </w:r>
      <w:r w:rsidR="00A42865" w:rsidRPr="000D7782">
        <w:rPr>
          <w:rFonts w:ascii="Arial" w:hAnsi="Arial" w:cs="Arial"/>
          <w:b w:val="0"/>
          <w:color w:val="auto"/>
        </w:rPr>
        <w:t xml:space="preserve"> under the erstwhile </w:t>
      </w:r>
      <w:r w:rsidR="004071BA" w:rsidRPr="000D7782">
        <w:rPr>
          <w:rFonts w:ascii="Arial" w:hAnsi="Arial" w:cs="Arial"/>
          <w:color w:val="auto"/>
        </w:rPr>
        <w:t xml:space="preserve">CORRECTIONAL SERVICES </w:t>
      </w:r>
      <w:r w:rsidR="001F70B4">
        <w:rPr>
          <w:rFonts w:ascii="Arial" w:hAnsi="Arial" w:cs="Arial"/>
          <w:color w:val="auto"/>
        </w:rPr>
        <w:t>ACT</w:t>
      </w:r>
      <w:r w:rsidR="0066390D" w:rsidRPr="00FE32B1">
        <w:rPr>
          <w:rFonts w:ascii="Arial" w:hAnsi="Arial" w:cs="Arial"/>
          <w:b w:val="0"/>
          <w:color w:val="auto"/>
        </w:rPr>
        <w:t>.</w:t>
      </w:r>
      <w:r w:rsidR="0066390D" w:rsidRPr="00FE32B1">
        <w:rPr>
          <w:rStyle w:val="FootnoteReference"/>
          <w:rFonts w:ascii="Arial" w:hAnsi="Arial" w:cs="Arial"/>
          <w:b w:val="0"/>
          <w:color w:val="auto"/>
        </w:rPr>
        <w:footnoteReference w:id="43"/>
      </w:r>
      <w:r w:rsidR="00567285">
        <w:rPr>
          <w:rFonts w:ascii="Arial" w:hAnsi="Arial" w:cs="Arial"/>
          <w:color w:val="auto"/>
        </w:rPr>
        <w:t xml:space="preserve"> </w:t>
      </w:r>
      <w:r w:rsidR="004320CA">
        <w:rPr>
          <w:rFonts w:ascii="Arial" w:hAnsi="Arial" w:cs="Arial"/>
          <w:b w:val="0"/>
          <w:color w:val="auto"/>
        </w:rPr>
        <w:t xml:space="preserve"> </w:t>
      </w:r>
      <w:r w:rsidR="00A42865" w:rsidRPr="000D7782">
        <w:rPr>
          <w:rFonts w:ascii="Arial" w:hAnsi="Arial" w:cs="Arial"/>
          <w:b w:val="0"/>
          <w:color w:val="auto"/>
        </w:rPr>
        <w:t>He</w:t>
      </w:r>
      <w:r w:rsidR="007F76B8" w:rsidRPr="000D7782">
        <w:rPr>
          <w:rFonts w:ascii="Arial" w:hAnsi="Arial" w:cs="Arial"/>
          <w:b w:val="0"/>
          <w:color w:val="auto"/>
        </w:rPr>
        <w:t xml:space="preserve"> managed to adjust remarkably well to prison life</w:t>
      </w:r>
      <w:r w:rsidR="004320CA">
        <w:rPr>
          <w:rFonts w:ascii="Arial" w:hAnsi="Arial" w:cs="Arial"/>
          <w:b w:val="0"/>
          <w:color w:val="auto"/>
        </w:rPr>
        <w:t xml:space="preserve">.  </w:t>
      </w:r>
      <w:r w:rsidR="007F76B8" w:rsidRPr="000D7782">
        <w:rPr>
          <w:rFonts w:ascii="Arial" w:hAnsi="Arial" w:cs="Arial"/>
          <w:b w:val="0"/>
          <w:color w:val="auto"/>
        </w:rPr>
        <w:t>He</w:t>
      </w:r>
      <w:r w:rsidR="00A42865" w:rsidRPr="000D7782">
        <w:rPr>
          <w:rFonts w:ascii="Arial" w:hAnsi="Arial" w:cs="Arial"/>
          <w:b w:val="0"/>
          <w:color w:val="auto"/>
        </w:rPr>
        <w:t xml:space="preserve"> was recruited to teach fellow inmates with effect from 1998</w:t>
      </w:r>
      <w:r w:rsidR="004320CA">
        <w:rPr>
          <w:rFonts w:ascii="Arial" w:hAnsi="Arial" w:cs="Arial"/>
          <w:b w:val="0"/>
          <w:color w:val="auto"/>
        </w:rPr>
        <w:t xml:space="preserve">.  </w:t>
      </w:r>
      <w:r w:rsidR="007F76B8" w:rsidRPr="000D7782">
        <w:rPr>
          <w:rFonts w:ascii="Arial" w:hAnsi="Arial" w:cs="Arial"/>
          <w:b w:val="0"/>
          <w:color w:val="auto"/>
        </w:rPr>
        <w:t xml:space="preserve">When he arrived at </w:t>
      </w:r>
      <w:proofErr w:type="spellStart"/>
      <w:r w:rsidR="007F76B8" w:rsidRPr="000D7782">
        <w:rPr>
          <w:rFonts w:ascii="Arial" w:hAnsi="Arial" w:cs="Arial"/>
          <w:b w:val="0"/>
          <w:color w:val="auto"/>
        </w:rPr>
        <w:t>Leeuwkop</w:t>
      </w:r>
      <w:proofErr w:type="spellEnd"/>
      <w:r w:rsidR="007F76B8" w:rsidRPr="000D7782">
        <w:rPr>
          <w:rFonts w:ascii="Arial" w:hAnsi="Arial" w:cs="Arial"/>
          <w:b w:val="0"/>
          <w:color w:val="auto"/>
        </w:rPr>
        <w:t xml:space="preserve"> Mediu</w:t>
      </w:r>
      <w:r w:rsidR="004071BA" w:rsidRPr="000D7782">
        <w:rPr>
          <w:rFonts w:ascii="Arial" w:hAnsi="Arial" w:cs="Arial"/>
          <w:b w:val="0"/>
          <w:color w:val="auto"/>
        </w:rPr>
        <w:t>m-</w:t>
      </w:r>
      <w:r w:rsidR="007F76B8" w:rsidRPr="000D7782">
        <w:rPr>
          <w:rFonts w:ascii="Arial" w:hAnsi="Arial" w:cs="Arial"/>
          <w:b w:val="0"/>
          <w:color w:val="auto"/>
        </w:rPr>
        <w:t xml:space="preserve">C Prison, </w:t>
      </w:r>
      <w:r w:rsidR="004071BA" w:rsidRPr="000D7782">
        <w:rPr>
          <w:rFonts w:ascii="Arial" w:hAnsi="Arial" w:cs="Arial"/>
          <w:b w:val="0"/>
          <w:color w:val="auto"/>
        </w:rPr>
        <w:t xml:space="preserve">he </w:t>
      </w:r>
      <w:r w:rsidR="007F76B8" w:rsidRPr="000D7782">
        <w:rPr>
          <w:rFonts w:ascii="Arial" w:hAnsi="Arial" w:cs="Arial"/>
          <w:b w:val="0"/>
          <w:color w:val="auto"/>
        </w:rPr>
        <w:t>continued to teach and evinced a marked improvement in his attitude towards other inmates and warders</w:t>
      </w:r>
      <w:r w:rsidR="004320CA">
        <w:rPr>
          <w:rFonts w:ascii="Arial" w:hAnsi="Arial" w:cs="Arial"/>
          <w:b w:val="0"/>
          <w:color w:val="auto"/>
        </w:rPr>
        <w:t xml:space="preserve">.  </w:t>
      </w:r>
    </w:p>
    <w:p w:rsidR="008A4F38" w:rsidRPr="000D7782" w:rsidRDefault="008A4F38" w:rsidP="00FE32B1">
      <w:pPr>
        <w:pStyle w:val="ListParagraph"/>
        <w:spacing w:line="360" w:lineRule="auto"/>
        <w:rPr>
          <w:rFonts w:ascii="Arial" w:hAnsi="Arial" w:cs="Arial"/>
          <w:b w:val="0"/>
          <w:color w:val="auto"/>
        </w:rPr>
      </w:pPr>
    </w:p>
    <w:p w:rsidR="007D7E94" w:rsidRPr="0066390D" w:rsidRDefault="007F76B8" w:rsidP="00FE32B1">
      <w:pPr>
        <w:pStyle w:val="ListParagraph"/>
        <w:numPr>
          <w:ilvl w:val="0"/>
          <w:numId w:val="2"/>
        </w:numPr>
        <w:shd w:val="clear" w:color="auto" w:fill="FFFFFF" w:themeFill="background1"/>
        <w:spacing w:line="360" w:lineRule="auto"/>
        <w:ind w:left="851" w:hanging="851"/>
        <w:jc w:val="both"/>
        <w:textAlignment w:val="baseline"/>
        <w:outlineLvl w:val="1"/>
        <w:rPr>
          <w:rFonts w:ascii="Arial" w:hAnsi="Arial" w:cs="Arial"/>
          <w:b w:val="0"/>
          <w:color w:val="auto"/>
        </w:rPr>
      </w:pPr>
      <w:r w:rsidRPr="000D7782">
        <w:rPr>
          <w:rFonts w:ascii="Arial" w:hAnsi="Arial" w:cs="Arial"/>
          <w:b w:val="0"/>
          <w:color w:val="auto"/>
        </w:rPr>
        <w:lastRenderedPageBreak/>
        <w:t>In 2001 he teamed up with six other inmates and out of their own pockets started a very successful hand</w:t>
      </w:r>
      <w:r w:rsidR="004071BA" w:rsidRPr="000D7782">
        <w:rPr>
          <w:rFonts w:ascii="Arial" w:hAnsi="Arial" w:cs="Arial"/>
          <w:b w:val="0"/>
          <w:color w:val="auto"/>
        </w:rPr>
        <w:t>-</w:t>
      </w:r>
      <w:r w:rsidRPr="000D7782">
        <w:rPr>
          <w:rFonts w:ascii="Arial" w:hAnsi="Arial" w:cs="Arial"/>
          <w:b w:val="0"/>
          <w:color w:val="auto"/>
        </w:rPr>
        <w:t>skills project</w:t>
      </w:r>
      <w:r w:rsidR="004320CA">
        <w:rPr>
          <w:rFonts w:ascii="Arial" w:hAnsi="Arial" w:cs="Arial"/>
          <w:b w:val="0"/>
          <w:color w:val="auto"/>
        </w:rPr>
        <w:t xml:space="preserve">.  </w:t>
      </w:r>
      <w:r w:rsidRPr="000D7782">
        <w:rPr>
          <w:rFonts w:ascii="Arial" w:hAnsi="Arial" w:cs="Arial"/>
          <w:b w:val="0"/>
          <w:color w:val="auto"/>
        </w:rPr>
        <w:t xml:space="preserve">For this rewarding effort, they were each recognised by the </w:t>
      </w:r>
      <w:r w:rsidR="004071BA" w:rsidRPr="000D7782">
        <w:rPr>
          <w:rFonts w:ascii="Arial" w:hAnsi="Arial" w:cs="Arial"/>
          <w:b w:val="0"/>
          <w:color w:val="auto"/>
        </w:rPr>
        <w:t>H</w:t>
      </w:r>
      <w:r w:rsidRPr="000D7782">
        <w:rPr>
          <w:rFonts w:ascii="Arial" w:hAnsi="Arial" w:cs="Arial"/>
          <w:b w:val="0"/>
          <w:color w:val="auto"/>
        </w:rPr>
        <w:t xml:space="preserve">ead of </w:t>
      </w:r>
      <w:r w:rsidR="004071BA" w:rsidRPr="000D7782">
        <w:rPr>
          <w:rFonts w:ascii="Arial" w:hAnsi="Arial" w:cs="Arial"/>
          <w:b w:val="0"/>
          <w:color w:val="auto"/>
        </w:rPr>
        <w:t>P</w:t>
      </w:r>
      <w:r w:rsidRPr="000D7782">
        <w:rPr>
          <w:rFonts w:ascii="Arial" w:hAnsi="Arial" w:cs="Arial"/>
          <w:b w:val="0"/>
          <w:color w:val="auto"/>
        </w:rPr>
        <w:t xml:space="preserve">rison and each granted a 3-month special remission for meritorious service to the </w:t>
      </w:r>
      <w:r w:rsidR="004071BA" w:rsidRPr="000D7782">
        <w:rPr>
          <w:rFonts w:ascii="Arial" w:hAnsi="Arial" w:cs="Arial"/>
          <w:b w:val="0"/>
          <w:color w:val="auto"/>
        </w:rPr>
        <w:t>D</w:t>
      </w:r>
      <w:r w:rsidRPr="000D7782">
        <w:rPr>
          <w:rFonts w:ascii="Arial" w:hAnsi="Arial" w:cs="Arial"/>
          <w:b w:val="0"/>
          <w:color w:val="auto"/>
        </w:rPr>
        <w:t>epartment towards the rehabilitation of other inmates</w:t>
      </w:r>
      <w:r w:rsidR="004320CA">
        <w:rPr>
          <w:rFonts w:ascii="Arial" w:hAnsi="Arial" w:cs="Arial"/>
          <w:b w:val="0"/>
          <w:color w:val="auto"/>
        </w:rPr>
        <w:t xml:space="preserve">.  </w:t>
      </w:r>
      <w:r w:rsidRPr="000D7782">
        <w:rPr>
          <w:rFonts w:ascii="Arial" w:hAnsi="Arial" w:cs="Arial"/>
          <w:b w:val="0"/>
          <w:color w:val="auto"/>
        </w:rPr>
        <w:t xml:space="preserve">He continued </w:t>
      </w:r>
      <w:r w:rsidR="00264923" w:rsidRPr="000D7782">
        <w:rPr>
          <w:rFonts w:ascii="Arial" w:hAnsi="Arial" w:cs="Arial"/>
          <w:b w:val="0"/>
          <w:color w:val="auto"/>
        </w:rPr>
        <w:t>being involved in other prison activities and spent a lot of time and effort on teaching as well as his studies</w:t>
      </w:r>
      <w:r w:rsidR="004320CA">
        <w:rPr>
          <w:rFonts w:ascii="Arial" w:hAnsi="Arial" w:cs="Arial"/>
          <w:b w:val="0"/>
          <w:color w:val="auto"/>
        </w:rPr>
        <w:t xml:space="preserve">.  </w:t>
      </w:r>
      <w:r w:rsidRPr="000D7782">
        <w:rPr>
          <w:rFonts w:ascii="Arial" w:hAnsi="Arial" w:cs="Arial"/>
          <w:b w:val="0"/>
          <w:color w:val="auto"/>
        </w:rPr>
        <w:t xml:space="preserve">    </w:t>
      </w:r>
    </w:p>
    <w:p w:rsidR="0066390D" w:rsidRDefault="0066390D" w:rsidP="00FE32B1">
      <w:pPr>
        <w:pStyle w:val="ListParagraph"/>
        <w:spacing w:line="360" w:lineRule="auto"/>
        <w:ind w:left="851"/>
        <w:jc w:val="both"/>
        <w:rPr>
          <w:rFonts w:ascii="Arial" w:hAnsi="Arial" w:cs="Arial"/>
          <w:b w:val="0"/>
          <w:color w:val="auto"/>
        </w:rPr>
      </w:pPr>
    </w:p>
    <w:p w:rsidR="007D7E94" w:rsidRPr="000D7782" w:rsidRDefault="007D7E94"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It is</w:t>
      </w:r>
      <w:r w:rsidR="009C27BD" w:rsidRPr="000D7782">
        <w:rPr>
          <w:rFonts w:ascii="Arial" w:hAnsi="Arial" w:cs="Arial"/>
          <w:b w:val="0"/>
          <w:color w:val="auto"/>
        </w:rPr>
        <w:t xml:space="preserve"> also trite now that</w:t>
      </w:r>
      <w:r w:rsidRPr="000D7782">
        <w:rPr>
          <w:rFonts w:ascii="Arial" w:hAnsi="Arial" w:cs="Arial"/>
          <w:b w:val="0"/>
          <w:color w:val="auto"/>
        </w:rPr>
        <w:t xml:space="preserve"> when interpreting any legislation and when developing the common law or customary law, it is now incumbent on every Court, tribunal or forum to promote the spirit, purport and objects of the Bill of Rights.</w:t>
      </w:r>
      <w:r w:rsidRPr="000D7782">
        <w:rPr>
          <w:rStyle w:val="FootnoteReference"/>
          <w:rFonts w:ascii="Arial" w:hAnsi="Arial" w:cs="Arial"/>
          <w:b w:val="0"/>
          <w:color w:val="auto"/>
        </w:rPr>
        <w:footnoteReference w:id="44"/>
      </w:r>
      <w:r w:rsidRPr="000D7782">
        <w:rPr>
          <w:rFonts w:ascii="Arial" w:hAnsi="Arial" w:cs="Arial"/>
          <w:b w:val="0"/>
          <w:color w:val="auto"/>
        </w:rPr>
        <w:t xml:space="preserve">  In</w:t>
      </w:r>
      <w:r w:rsidRPr="000D7782">
        <w:rPr>
          <w:rFonts w:ascii="Arial" w:hAnsi="Arial" w:cs="Arial"/>
          <w:color w:val="auto"/>
        </w:rPr>
        <w:t xml:space="preserve"> Minister of Police </w:t>
      </w:r>
      <w:r w:rsidR="00256940" w:rsidRPr="000D7782">
        <w:rPr>
          <w:rFonts w:ascii="Arial" w:hAnsi="Arial" w:cs="Arial"/>
          <w:color w:val="auto"/>
        </w:rPr>
        <w:t xml:space="preserve">and Another </w:t>
      </w:r>
      <w:r w:rsidR="00A720B1" w:rsidRPr="000D7782">
        <w:rPr>
          <w:rFonts w:ascii="Arial" w:hAnsi="Arial" w:cs="Arial"/>
          <w:i/>
          <w:color w:val="auto"/>
        </w:rPr>
        <w:t>v</w:t>
      </w:r>
      <w:r w:rsidRPr="000D7782">
        <w:rPr>
          <w:rFonts w:ascii="Arial" w:hAnsi="Arial" w:cs="Arial"/>
          <w:color w:val="auto"/>
        </w:rPr>
        <w:t xml:space="preserve"> Du Plessis</w:t>
      </w:r>
      <w:r w:rsidR="002A18CD" w:rsidRPr="000D7782">
        <w:rPr>
          <w:rFonts w:ascii="Arial" w:hAnsi="Arial" w:cs="Arial"/>
          <w:b w:val="0"/>
          <w:color w:val="auto"/>
        </w:rPr>
        <w:t>,</w:t>
      </w:r>
      <w:r w:rsidR="00A33454">
        <w:rPr>
          <w:rFonts w:ascii="Arial" w:hAnsi="Arial" w:cs="Arial"/>
          <w:b w:val="0"/>
          <w:color w:val="auto"/>
        </w:rPr>
        <w:t xml:space="preserve"> </w:t>
      </w:r>
      <w:r w:rsidRPr="000D7782">
        <w:rPr>
          <w:rFonts w:ascii="Arial" w:hAnsi="Arial" w:cs="Arial"/>
          <w:b w:val="0"/>
          <w:color w:val="auto"/>
        </w:rPr>
        <w:t xml:space="preserve">at paragraph [15], </w:t>
      </w:r>
      <w:proofErr w:type="spellStart"/>
      <w:r w:rsidRPr="000D7782">
        <w:rPr>
          <w:rFonts w:ascii="Arial" w:hAnsi="Arial" w:cs="Arial"/>
          <w:b w:val="0"/>
          <w:color w:val="auto"/>
        </w:rPr>
        <w:t>Navsa</w:t>
      </w:r>
      <w:proofErr w:type="spellEnd"/>
      <w:r w:rsidRPr="000D7782">
        <w:rPr>
          <w:rFonts w:ascii="Arial" w:hAnsi="Arial" w:cs="Arial"/>
          <w:b w:val="0"/>
          <w:color w:val="auto"/>
        </w:rPr>
        <w:t xml:space="preserve"> ADP, writing for the Court, emphasi</w:t>
      </w:r>
      <w:r w:rsidR="00C96FD4" w:rsidRPr="000D7782">
        <w:rPr>
          <w:rFonts w:ascii="Arial" w:hAnsi="Arial" w:cs="Arial"/>
          <w:b w:val="0"/>
          <w:color w:val="auto"/>
        </w:rPr>
        <w:t>sed the sanctity of the right to</w:t>
      </w:r>
      <w:r w:rsidRPr="000D7782">
        <w:rPr>
          <w:rFonts w:ascii="Arial" w:hAnsi="Arial" w:cs="Arial"/>
          <w:b w:val="0"/>
          <w:color w:val="auto"/>
        </w:rPr>
        <w:t xml:space="preserve"> liberty as follows:</w:t>
      </w:r>
      <w:r w:rsidR="00A33454">
        <w:rPr>
          <w:rStyle w:val="FootnoteReference"/>
          <w:rFonts w:ascii="Arial" w:hAnsi="Arial" w:cs="Arial"/>
          <w:b w:val="0"/>
          <w:color w:val="auto"/>
        </w:rPr>
        <w:footnoteReference w:id="45"/>
      </w:r>
    </w:p>
    <w:p w:rsidR="007D7E94" w:rsidRPr="000D7782" w:rsidRDefault="007D7E94" w:rsidP="00FE32B1">
      <w:pPr>
        <w:pStyle w:val="ListParagraph"/>
        <w:spacing w:line="360" w:lineRule="auto"/>
        <w:ind w:left="851"/>
        <w:jc w:val="both"/>
        <w:rPr>
          <w:rFonts w:ascii="Arial" w:hAnsi="Arial" w:cs="Arial"/>
          <w:b w:val="0"/>
          <w:color w:val="auto"/>
        </w:rPr>
      </w:pPr>
    </w:p>
    <w:p w:rsidR="007D7E94" w:rsidRPr="000D7782" w:rsidRDefault="007D7E94" w:rsidP="00FE32B1">
      <w:pPr>
        <w:pStyle w:val="ListParagraph"/>
        <w:spacing w:line="360" w:lineRule="auto"/>
        <w:ind w:left="851"/>
        <w:jc w:val="both"/>
        <w:rPr>
          <w:rFonts w:ascii="Arial" w:hAnsi="Arial" w:cs="Arial"/>
          <w:color w:val="auto"/>
        </w:rPr>
      </w:pPr>
      <w:r w:rsidRPr="001F70B4">
        <w:rPr>
          <w:rFonts w:ascii="Times New Roman" w:hAnsi="Times New Roman"/>
          <w:b w:val="0"/>
          <w:color w:val="auto"/>
        </w:rPr>
        <w:t>“</w:t>
      </w:r>
      <w:r w:rsidRPr="001F70B4">
        <w:rPr>
          <w:rFonts w:ascii="Times New Roman" w:hAnsi="Times New Roman"/>
          <w:b w:val="0"/>
          <w:i/>
          <w:color w:val="auto"/>
        </w:rPr>
        <w:t>Our new constitutional order, conscious of our oppressive past, was designed to curb intrusions upon personal liberty which have always even in the dark days of apartheid been judicially valued, and to ensure that excesses of the past would not recur</w:t>
      </w:r>
      <w:r w:rsidR="004320CA">
        <w:rPr>
          <w:rFonts w:ascii="Times New Roman" w:hAnsi="Times New Roman"/>
          <w:b w:val="0"/>
          <w:i/>
          <w:color w:val="auto"/>
        </w:rPr>
        <w:t xml:space="preserve">.  </w:t>
      </w:r>
      <w:r w:rsidRPr="001F70B4">
        <w:rPr>
          <w:rFonts w:ascii="Times New Roman" w:hAnsi="Times New Roman"/>
          <w:i/>
          <w:color w:val="auto"/>
        </w:rPr>
        <w:t>The right of liberty is inextricably linked to human dignity</w:t>
      </w:r>
      <w:r w:rsidR="004320CA">
        <w:rPr>
          <w:rFonts w:ascii="Times New Roman" w:hAnsi="Times New Roman"/>
          <w:i/>
          <w:color w:val="auto"/>
        </w:rPr>
        <w:t xml:space="preserve">.  </w:t>
      </w:r>
      <w:r w:rsidRPr="001F70B4">
        <w:rPr>
          <w:rFonts w:ascii="Times New Roman" w:hAnsi="Times New Roman"/>
          <w:i/>
          <w:color w:val="auto"/>
        </w:rPr>
        <w:t>Section 1 of the Constitution proclaims as founding values human dignity, the advancement of human rights and freedom</w:t>
      </w:r>
      <w:r w:rsidR="004320CA">
        <w:rPr>
          <w:rFonts w:ascii="Times New Roman" w:hAnsi="Times New Roman"/>
          <w:i/>
          <w:color w:val="auto"/>
        </w:rPr>
        <w:t xml:space="preserve">.  </w:t>
      </w:r>
      <w:r w:rsidRPr="001F70B4">
        <w:rPr>
          <w:rFonts w:ascii="Times New Roman" w:hAnsi="Times New Roman"/>
          <w:i/>
          <w:color w:val="auto"/>
        </w:rPr>
        <w:t>Put simply, we are society place a premium on the right of liberty.”</w:t>
      </w:r>
      <w:r w:rsidRPr="000D7782">
        <w:rPr>
          <w:rStyle w:val="FootnoteReference"/>
          <w:rFonts w:ascii="Arial" w:hAnsi="Arial" w:cs="Arial"/>
          <w:b w:val="0"/>
          <w:color w:val="auto"/>
        </w:rPr>
        <w:footnoteReference w:id="46"/>
      </w:r>
    </w:p>
    <w:p w:rsidR="007D7E94" w:rsidRPr="000D7782" w:rsidRDefault="007D7E94" w:rsidP="00FE32B1">
      <w:pPr>
        <w:pStyle w:val="ListParagraph"/>
        <w:spacing w:line="360" w:lineRule="auto"/>
        <w:rPr>
          <w:rFonts w:ascii="Arial" w:hAnsi="Arial" w:cs="Arial"/>
        </w:rPr>
      </w:pPr>
    </w:p>
    <w:p w:rsidR="00DC3CCC" w:rsidRPr="000D7782" w:rsidRDefault="007D7E94"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It is so that in</w:t>
      </w:r>
      <w:r w:rsidRPr="000D7782">
        <w:rPr>
          <w:rFonts w:ascii="Arial" w:hAnsi="Arial" w:cs="Arial"/>
          <w:color w:val="auto"/>
        </w:rPr>
        <w:t xml:space="preserve"> </w:t>
      </w:r>
      <w:proofErr w:type="spellStart"/>
      <w:r w:rsidRPr="000D7782">
        <w:rPr>
          <w:rFonts w:ascii="Arial" w:hAnsi="Arial" w:cs="Arial"/>
          <w:color w:val="auto"/>
        </w:rPr>
        <w:t>Makate</w:t>
      </w:r>
      <w:proofErr w:type="spellEnd"/>
      <w:r w:rsidRPr="000D7782">
        <w:rPr>
          <w:rFonts w:ascii="Arial" w:hAnsi="Arial" w:cs="Arial"/>
          <w:color w:val="auto"/>
        </w:rPr>
        <w:t xml:space="preserve"> </w:t>
      </w:r>
      <w:r w:rsidR="00A720B1" w:rsidRPr="000D7782">
        <w:rPr>
          <w:rFonts w:ascii="Arial" w:hAnsi="Arial" w:cs="Arial"/>
          <w:i/>
          <w:color w:val="auto"/>
        </w:rPr>
        <w:t>v</w:t>
      </w:r>
      <w:r w:rsidRPr="000D7782">
        <w:rPr>
          <w:rFonts w:ascii="Arial" w:hAnsi="Arial" w:cs="Arial"/>
          <w:color w:val="auto"/>
        </w:rPr>
        <w:t xml:space="preserve"> Vodacom</w:t>
      </w:r>
      <w:r w:rsidRPr="000D7782">
        <w:rPr>
          <w:rFonts w:ascii="Arial" w:hAnsi="Arial" w:cs="Arial"/>
          <w:b w:val="0"/>
          <w:color w:val="auto"/>
        </w:rPr>
        <w:t>,</w:t>
      </w:r>
      <w:r w:rsidRPr="000D7782">
        <w:rPr>
          <w:rFonts w:ascii="Arial" w:hAnsi="Arial" w:cs="Arial"/>
          <w:color w:val="auto"/>
        </w:rPr>
        <w:t xml:space="preserve"> </w:t>
      </w:r>
      <w:r w:rsidRPr="000D7782">
        <w:rPr>
          <w:rFonts w:ascii="Arial" w:hAnsi="Arial" w:cs="Arial"/>
          <w:b w:val="0"/>
          <w:color w:val="auto"/>
        </w:rPr>
        <w:t>the Constitutional Court accentuated that t</w:t>
      </w:r>
      <w:r w:rsidR="00256940" w:rsidRPr="000D7782">
        <w:rPr>
          <w:rFonts w:ascii="Arial" w:hAnsi="Arial" w:cs="Arial"/>
          <w:b w:val="0"/>
          <w:color w:val="auto"/>
        </w:rPr>
        <w:t>he import of Section 39(2) is</w:t>
      </w:r>
      <w:r w:rsidRPr="000D7782">
        <w:rPr>
          <w:rFonts w:ascii="Arial" w:hAnsi="Arial" w:cs="Arial"/>
          <w:b w:val="0"/>
          <w:color w:val="auto"/>
        </w:rPr>
        <w:t xml:space="preserve"> that Courts are “</w:t>
      </w:r>
      <w:r w:rsidRPr="000D7782">
        <w:rPr>
          <w:rFonts w:ascii="Arial" w:hAnsi="Arial" w:cs="Arial"/>
          <w:b w:val="0"/>
          <w:i/>
          <w:color w:val="auto"/>
        </w:rPr>
        <w:t>bound to read a legislative provision through the prism of the Constitution</w:t>
      </w:r>
      <w:r w:rsidRPr="000D7782">
        <w:rPr>
          <w:rFonts w:ascii="Arial" w:hAnsi="Arial" w:cs="Arial"/>
          <w:b w:val="0"/>
          <w:color w:val="auto"/>
        </w:rPr>
        <w:t>”.</w:t>
      </w:r>
      <w:r w:rsidRPr="000D7782">
        <w:rPr>
          <w:rStyle w:val="FootnoteReference"/>
          <w:rFonts w:ascii="Arial" w:hAnsi="Arial" w:cs="Arial"/>
          <w:b w:val="0"/>
          <w:color w:val="auto"/>
        </w:rPr>
        <w:footnoteReference w:id="47"/>
      </w:r>
      <w:r w:rsidRPr="000D7782">
        <w:rPr>
          <w:rFonts w:ascii="Arial" w:hAnsi="Arial" w:cs="Arial"/>
          <w:color w:val="auto"/>
        </w:rPr>
        <w:t xml:space="preserve"> </w:t>
      </w:r>
      <w:r w:rsidR="002A18CD" w:rsidRPr="000D7782">
        <w:rPr>
          <w:rFonts w:ascii="Arial" w:hAnsi="Arial" w:cs="Arial"/>
          <w:color w:val="auto"/>
        </w:rPr>
        <w:t xml:space="preserve"> </w:t>
      </w:r>
      <w:r w:rsidR="009C27BD" w:rsidRPr="000D7782">
        <w:rPr>
          <w:rFonts w:ascii="Arial" w:hAnsi="Arial" w:cs="Arial"/>
          <w:b w:val="0"/>
          <w:color w:val="auto"/>
        </w:rPr>
        <w:t xml:space="preserve">This Court </w:t>
      </w:r>
      <w:r w:rsidRPr="000D7782">
        <w:rPr>
          <w:rFonts w:ascii="Arial" w:hAnsi="Arial" w:cs="Arial"/>
          <w:b w:val="0"/>
          <w:color w:val="auto"/>
        </w:rPr>
        <w:t>therefore accept</w:t>
      </w:r>
      <w:r w:rsidR="009C27BD" w:rsidRPr="000D7782">
        <w:rPr>
          <w:rFonts w:ascii="Arial" w:hAnsi="Arial" w:cs="Arial"/>
          <w:b w:val="0"/>
          <w:color w:val="auto"/>
        </w:rPr>
        <w:t>ed</w:t>
      </w:r>
      <w:r w:rsidRPr="000D7782">
        <w:rPr>
          <w:rFonts w:ascii="Arial" w:hAnsi="Arial" w:cs="Arial"/>
          <w:b w:val="0"/>
          <w:color w:val="auto"/>
        </w:rPr>
        <w:t xml:space="preserve"> that since the freedom and security of the person is implicated</w:t>
      </w:r>
      <w:r w:rsidR="009C27BD" w:rsidRPr="000D7782">
        <w:rPr>
          <w:rFonts w:ascii="Arial" w:hAnsi="Arial" w:cs="Arial"/>
          <w:b w:val="0"/>
          <w:color w:val="auto"/>
        </w:rPr>
        <w:t xml:space="preserve"> in these proceedings, it is incumbent on this Court</w:t>
      </w:r>
      <w:r w:rsidRPr="000D7782">
        <w:rPr>
          <w:rFonts w:ascii="Arial" w:hAnsi="Arial" w:cs="Arial"/>
          <w:b w:val="0"/>
          <w:color w:val="auto"/>
        </w:rPr>
        <w:t xml:space="preserve"> to construe the </w:t>
      </w:r>
      <w:r w:rsidR="009C27BD" w:rsidRPr="000D7782">
        <w:rPr>
          <w:rFonts w:ascii="Arial" w:hAnsi="Arial" w:cs="Arial"/>
          <w:b w:val="0"/>
          <w:color w:val="auto"/>
        </w:rPr>
        <w:t xml:space="preserve">relevant </w:t>
      </w:r>
      <w:r w:rsidRPr="000D7782">
        <w:rPr>
          <w:rFonts w:ascii="Arial" w:hAnsi="Arial" w:cs="Arial"/>
          <w:b w:val="0"/>
          <w:color w:val="auto"/>
        </w:rPr>
        <w:t>law to promote the spirit, purport and objects of the Bill of Rights</w:t>
      </w:r>
      <w:r w:rsidR="004320CA">
        <w:rPr>
          <w:rFonts w:ascii="Arial" w:hAnsi="Arial" w:cs="Arial"/>
          <w:b w:val="0"/>
          <w:color w:val="auto"/>
        </w:rPr>
        <w:t xml:space="preserve">.  </w:t>
      </w:r>
    </w:p>
    <w:p w:rsidR="00DC3CCC" w:rsidRPr="000D7782" w:rsidRDefault="00DC3CCC" w:rsidP="00FE32B1">
      <w:pPr>
        <w:pStyle w:val="ListParagraph"/>
        <w:spacing w:line="360" w:lineRule="auto"/>
        <w:ind w:left="851"/>
        <w:jc w:val="both"/>
        <w:rPr>
          <w:rFonts w:ascii="Arial" w:hAnsi="Arial" w:cs="Arial"/>
          <w:b w:val="0"/>
          <w:color w:val="auto"/>
        </w:rPr>
      </w:pPr>
    </w:p>
    <w:p w:rsidR="0066390D" w:rsidRPr="0066390D" w:rsidRDefault="0066390D" w:rsidP="00FE32B1">
      <w:pPr>
        <w:pStyle w:val="ListParagraph"/>
        <w:numPr>
          <w:ilvl w:val="0"/>
          <w:numId w:val="2"/>
        </w:numPr>
        <w:spacing w:line="360" w:lineRule="auto"/>
        <w:ind w:left="851" w:hanging="851"/>
        <w:jc w:val="both"/>
        <w:rPr>
          <w:rFonts w:ascii="Arial" w:hAnsi="Arial" w:cs="Arial"/>
          <w:b w:val="0"/>
          <w:color w:val="auto"/>
        </w:rPr>
      </w:pPr>
      <w:r>
        <w:rPr>
          <w:rFonts w:ascii="Arial" w:hAnsi="Arial" w:cs="Arial"/>
          <w:b w:val="0"/>
          <w:color w:val="auto"/>
        </w:rPr>
        <w:t>It is</w:t>
      </w:r>
      <w:r w:rsidRPr="000D7782">
        <w:rPr>
          <w:rFonts w:ascii="Arial" w:hAnsi="Arial" w:cs="Arial"/>
          <w:b w:val="0"/>
          <w:color w:val="auto"/>
        </w:rPr>
        <w:t xml:space="preserve"> so that if a provision is reasonably capable of two interpretations, Section 39(2) requires the adoption of the interpretation that “</w:t>
      </w:r>
      <w:r w:rsidRPr="000D7782">
        <w:rPr>
          <w:rFonts w:ascii="Arial" w:hAnsi="Arial" w:cs="Arial"/>
          <w:b w:val="0"/>
          <w:i/>
          <w:color w:val="auto"/>
        </w:rPr>
        <w:t>better</w:t>
      </w:r>
      <w:r w:rsidRPr="000D7782">
        <w:rPr>
          <w:rFonts w:ascii="Arial" w:hAnsi="Arial" w:cs="Arial"/>
          <w:b w:val="0"/>
          <w:color w:val="auto"/>
        </w:rPr>
        <w:t>” promotes the spirit, purport and objects of the Bill of Rights</w:t>
      </w:r>
      <w:r>
        <w:rPr>
          <w:rFonts w:ascii="Arial" w:hAnsi="Arial" w:cs="Arial"/>
          <w:b w:val="0"/>
          <w:color w:val="auto"/>
        </w:rPr>
        <w:t xml:space="preserve">.  </w:t>
      </w:r>
      <w:r w:rsidRPr="000D7782">
        <w:rPr>
          <w:rFonts w:ascii="Arial" w:hAnsi="Arial" w:cs="Arial"/>
          <w:b w:val="0"/>
          <w:color w:val="auto"/>
        </w:rPr>
        <w:t xml:space="preserve">This is so even if neither </w:t>
      </w:r>
      <w:r w:rsidRPr="000D7782">
        <w:rPr>
          <w:rFonts w:ascii="Arial" w:hAnsi="Arial" w:cs="Arial"/>
          <w:b w:val="0"/>
          <w:color w:val="auto"/>
        </w:rPr>
        <w:lastRenderedPageBreak/>
        <w:t>interpretation would render the provision unconstitutional</w:t>
      </w:r>
      <w:r>
        <w:rPr>
          <w:rFonts w:ascii="Arial" w:hAnsi="Arial" w:cs="Arial"/>
          <w:b w:val="0"/>
          <w:color w:val="auto"/>
        </w:rPr>
        <w:t xml:space="preserve">.  </w:t>
      </w:r>
      <w:r w:rsidRPr="000D7782">
        <w:rPr>
          <w:rFonts w:ascii="Arial" w:hAnsi="Arial" w:cs="Arial"/>
          <w:b w:val="0"/>
          <w:color w:val="auto"/>
        </w:rPr>
        <w:t>Section 39(2), however, is not a licence to ignore the text of legislation</w:t>
      </w:r>
      <w:r>
        <w:rPr>
          <w:rFonts w:ascii="Arial" w:hAnsi="Arial" w:cs="Arial"/>
          <w:b w:val="0"/>
          <w:color w:val="auto"/>
        </w:rPr>
        <w:t xml:space="preserve">.  </w:t>
      </w:r>
      <w:r w:rsidRPr="000D7782">
        <w:rPr>
          <w:rFonts w:ascii="Arial" w:hAnsi="Arial" w:cs="Arial"/>
          <w:b w:val="0"/>
          <w:color w:val="auto"/>
        </w:rPr>
        <w:t>The legislation must be “</w:t>
      </w:r>
      <w:r w:rsidRPr="000D7782">
        <w:rPr>
          <w:rFonts w:ascii="Arial" w:hAnsi="Arial" w:cs="Arial"/>
          <w:b w:val="0"/>
          <w:i/>
          <w:color w:val="auto"/>
        </w:rPr>
        <w:t>reasonably capable</w:t>
      </w:r>
      <w:r w:rsidRPr="000D7782">
        <w:rPr>
          <w:rFonts w:ascii="Arial" w:hAnsi="Arial" w:cs="Arial"/>
          <w:b w:val="0"/>
          <w:color w:val="auto"/>
        </w:rPr>
        <w:t>” of bearing the assigned interpretation.</w:t>
      </w:r>
      <w:r w:rsidRPr="000D7782">
        <w:rPr>
          <w:rStyle w:val="FootnoteReference"/>
          <w:rFonts w:ascii="Arial" w:hAnsi="Arial" w:cs="Arial"/>
          <w:b w:val="0"/>
          <w:color w:val="auto"/>
        </w:rPr>
        <w:footnoteReference w:id="48"/>
      </w:r>
      <w:r w:rsidRPr="000D7782">
        <w:rPr>
          <w:rFonts w:ascii="Arial" w:hAnsi="Arial" w:cs="Arial"/>
          <w:b w:val="0"/>
          <w:color w:val="auto"/>
        </w:rPr>
        <w:t xml:space="preserve">  </w:t>
      </w:r>
    </w:p>
    <w:p w:rsidR="0066390D" w:rsidRPr="0066390D" w:rsidRDefault="0066390D" w:rsidP="00FE32B1">
      <w:pPr>
        <w:pStyle w:val="ListParagraph"/>
        <w:spacing w:line="360" w:lineRule="auto"/>
        <w:rPr>
          <w:rFonts w:ascii="Arial" w:hAnsi="Arial" w:cs="Arial"/>
          <w:b w:val="0"/>
          <w:color w:val="auto"/>
        </w:rPr>
      </w:pPr>
    </w:p>
    <w:p w:rsidR="007D7E94" w:rsidRPr="000D7782" w:rsidRDefault="009C27BD" w:rsidP="00FE32B1">
      <w:pPr>
        <w:pStyle w:val="ListParagraph"/>
        <w:numPr>
          <w:ilvl w:val="0"/>
          <w:numId w:val="2"/>
        </w:numPr>
        <w:spacing w:line="360" w:lineRule="auto"/>
        <w:ind w:left="851" w:hanging="851"/>
        <w:jc w:val="both"/>
        <w:rPr>
          <w:rFonts w:ascii="Arial" w:hAnsi="Arial" w:cs="Arial"/>
          <w:b w:val="0"/>
          <w:color w:val="auto"/>
          <w:sz w:val="20"/>
          <w:szCs w:val="20"/>
        </w:rPr>
      </w:pPr>
      <w:r w:rsidRPr="000D7782">
        <w:rPr>
          <w:rFonts w:ascii="Arial" w:hAnsi="Arial" w:cs="Arial"/>
          <w:b w:val="0"/>
          <w:color w:val="auto"/>
        </w:rPr>
        <w:t xml:space="preserve">It is </w:t>
      </w:r>
      <w:r w:rsidR="0066390D">
        <w:rPr>
          <w:rFonts w:ascii="Arial" w:hAnsi="Arial" w:cs="Arial"/>
          <w:b w:val="0"/>
          <w:color w:val="auto"/>
        </w:rPr>
        <w:t xml:space="preserve">also </w:t>
      </w:r>
      <w:r w:rsidR="007D7E94" w:rsidRPr="000D7782">
        <w:rPr>
          <w:rFonts w:ascii="Arial" w:hAnsi="Arial" w:cs="Arial"/>
          <w:b w:val="0"/>
          <w:color w:val="auto"/>
        </w:rPr>
        <w:t>so that if a provision is reasonably capable of two interpretations and one interpretation would render it unconstitutional and the other not, our Courts are required to adopt the interpretation that would render the provision compatible with the Constitution</w:t>
      </w:r>
      <w:r w:rsidR="004320CA">
        <w:rPr>
          <w:rFonts w:ascii="Arial" w:hAnsi="Arial" w:cs="Arial"/>
          <w:b w:val="0"/>
          <w:color w:val="auto"/>
        </w:rPr>
        <w:t xml:space="preserve">.  </w:t>
      </w:r>
      <w:r w:rsidR="007D7E94" w:rsidRPr="000D7782">
        <w:rPr>
          <w:rFonts w:ascii="Arial" w:hAnsi="Arial" w:cs="Arial"/>
          <w:b w:val="0"/>
          <w:color w:val="auto"/>
        </w:rPr>
        <w:t>I</w:t>
      </w:r>
      <w:r w:rsidR="00DC3CCC" w:rsidRPr="000D7782">
        <w:rPr>
          <w:rFonts w:ascii="Arial" w:hAnsi="Arial" w:cs="Arial"/>
          <w:b w:val="0"/>
          <w:color w:val="auto"/>
        </w:rPr>
        <w:t xml:space="preserve">n </w:t>
      </w:r>
      <w:r w:rsidR="00DC3CCC" w:rsidRPr="000D7782">
        <w:rPr>
          <w:rFonts w:ascii="Arial" w:hAnsi="Arial" w:cs="Arial"/>
          <w:color w:val="auto"/>
        </w:rPr>
        <w:t xml:space="preserve">Investigating Directorate: Serious Economic Offences and Others </w:t>
      </w:r>
      <w:r w:rsidR="00A720B1" w:rsidRPr="000D7782">
        <w:rPr>
          <w:rFonts w:ascii="Arial" w:hAnsi="Arial" w:cs="Arial"/>
          <w:i/>
          <w:color w:val="auto"/>
        </w:rPr>
        <w:t>v</w:t>
      </w:r>
      <w:r w:rsidR="00DC3CCC" w:rsidRPr="000D7782">
        <w:rPr>
          <w:rFonts w:ascii="Arial" w:hAnsi="Arial" w:cs="Arial"/>
          <w:color w:val="auto"/>
        </w:rPr>
        <w:t xml:space="preserve"> Hyundai Motor Distributors (Pty) Ltd and Others In re: Hyundai Motor Distributors (Pty) Ltd and Others </w:t>
      </w:r>
      <w:r w:rsidR="00A720B1" w:rsidRPr="000D7782">
        <w:rPr>
          <w:rFonts w:ascii="Arial" w:hAnsi="Arial" w:cs="Arial"/>
          <w:i/>
          <w:color w:val="auto"/>
        </w:rPr>
        <w:t>v</w:t>
      </w:r>
      <w:r w:rsidR="00DC3CCC" w:rsidRPr="000D7782">
        <w:rPr>
          <w:rFonts w:ascii="Arial" w:hAnsi="Arial" w:cs="Arial"/>
          <w:color w:val="auto"/>
        </w:rPr>
        <w:t xml:space="preserve"> Smit NO and Others</w:t>
      </w:r>
      <w:r w:rsidR="00DC3CCC" w:rsidRPr="000D7782">
        <w:rPr>
          <w:rFonts w:ascii="Arial" w:hAnsi="Arial" w:cs="Arial"/>
          <w:b w:val="0"/>
          <w:i/>
          <w:color w:val="auto"/>
        </w:rPr>
        <w:t>,</w:t>
      </w:r>
      <w:r w:rsidR="00DC3CCC" w:rsidRPr="000D7782">
        <w:rPr>
          <w:rFonts w:ascii="Arial" w:hAnsi="Arial" w:cs="Arial"/>
          <w:b w:val="0"/>
          <w:color w:val="auto"/>
        </w:rPr>
        <w:t xml:space="preserve"> </w:t>
      </w:r>
      <w:r w:rsidR="007D7E94" w:rsidRPr="000D7782">
        <w:rPr>
          <w:rFonts w:ascii="Arial" w:hAnsi="Arial" w:cs="Arial"/>
          <w:b w:val="0"/>
          <w:color w:val="auto"/>
        </w:rPr>
        <w:t>the</w:t>
      </w:r>
      <w:r w:rsidR="00DC3CCC" w:rsidRPr="000D7782">
        <w:rPr>
          <w:rFonts w:ascii="Arial" w:hAnsi="Arial" w:cs="Arial"/>
          <w:b w:val="0"/>
          <w:color w:val="auto"/>
        </w:rPr>
        <w:t xml:space="preserve"> Constitutional Court enjoined judicial officers to </w:t>
      </w:r>
      <w:r w:rsidR="007D7E94" w:rsidRPr="000D7782">
        <w:rPr>
          <w:rFonts w:ascii="Arial" w:hAnsi="Arial" w:cs="Arial"/>
          <w:b w:val="0"/>
          <w:color w:val="auto"/>
        </w:rPr>
        <w:t>prefer interpretations of legislation that fall within constitutional bounds over those that do not, provided that such an interpretation can be reasonably ascribed to t</w:t>
      </w:r>
      <w:r w:rsidR="00DC3CCC" w:rsidRPr="000D7782">
        <w:rPr>
          <w:rFonts w:ascii="Arial" w:hAnsi="Arial" w:cs="Arial"/>
          <w:b w:val="0"/>
          <w:color w:val="auto"/>
        </w:rPr>
        <w:t>he Section.</w:t>
      </w:r>
      <w:r w:rsidR="007D7E94" w:rsidRPr="000D7782">
        <w:rPr>
          <w:rStyle w:val="FootnoteReference"/>
          <w:rFonts w:ascii="Arial" w:hAnsi="Arial" w:cs="Arial"/>
          <w:b w:val="0"/>
          <w:color w:val="auto"/>
        </w:rPr>
        <w:footnoteReference w:id="49"/>
      </w:r>
    </w:p>
    <w:p w:rsidR="007D7E94" w:rsidRPr="0066390D" w:rsidRDefault="007D7E94" w:rsidP="00FE32B1">
      <w:pPr>
        <w:spacing w:line="360" w:lineRule="auto"/>
        <w:contextualSpacing/>
        <w:rPr>
          <w:rFonts w:ascii="Arial" w:hAnsi="Arial" w:cs="Arial"/>
        </w:rPr>
      </w:pPr>
    </w:p>
    <w:p w:rsidR="007D7E94" w:rsidRDefault="007D7E94"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 xml:space="preserve">As Sachs J put it in </w:t>
      </w:r>
      <w:r w:rsidRPr="000D7782">
        <w:rPr>
          <w:rFonts w:ascii="Arial" w:hAnsi="Arial" w:cs="Arial"/>
          <w:color w:val="auto"/>
        </w:rPr>
        <w:t xml:space="preserve">South African Police Service </w:t>
      </w:r>
      <w:r w:rsidR="00A720B1" w:rsidRPr="000D7782">
        <w:rPr>
          <w:rFonts w:ascii="Arial" w:hAnsi="Arial" w:cs="Arial"/>
          <w:i/>
          <w:color w:val="auto"/>
        </w:rPr>
        <w:t>v</w:t>
      </w:r>
      <w:r w:rsidRPr="000D7782">
        <w:rPr>
          <w:rFonts w:ascii="Arial" w:hAnsi="Arial" w:cs="Arial"/>
          <w:color w:val="auto"/>
        </w:rPr>
        <w:t xml:space="preserve"> Public Servants Association</w:t>
      </w:r>
      <w:r w:rsidRPr="000D7782">
        <w:rPr>
          <w:rFonts w:ascii="Arial" w:hAnsi="Arial" w:cs="Arial"/>
          <w:b w:val="0"/>
          <w:color w:val="auto"/>
        </w:rPr>
        <w:t xml:space="preserve">, Section 39(2) </w:t>
      </w:r>
      <w:r w:rsidRPr="000D7782">
        <w:rPr>
          <w:rFonts w:ascii="Arial" w:hAnsi="Arial" w:cs="Arial"/>
          <w:b w:val="0"/>
          <w:i/>
          <w:color w:val="auto"/>
        </w:rPr>
        <w:t>“require[s] that the language used be interpreted as far as possible, and without undue strain, so as to favour compliance with the Constitution.”</w:t>
      </w:r>
      <w:r w:rsidRPr="000D7782">
        <w:rPr>
          <w:rFonts w:ascii="Arial" w:hAnsi="Arial" w:cs="Arial"/>
          <w:b w:val="0"/>
          <w:color w:val="auto"/>
        </w:rPr>
        <w:t xml:space="preserve"> This is because Section 39(2) specifically, and the Constitution as a whole, embraces a new approach to interpretation of law</w:t>
      </w:r>
      <w:r w:rsidR="004320CA">
        <w:rPr>
          <w:rFonts w:ascii="Arial" w:hAnsi="Arial" w:cs="Arial"/>
          <w:b w:val="0"/>
          <w:color w:val="auto"/>
        </w:rPr>
        <w:t xml:space="preserve">.  </w:t>
      </w:r>
      <w:r w:rsidRPr="000D7782">
        <w:rPr>
          <w:rFonts w:ascii="Arial" w:hAnsi="Arial" w:cs="Arial"/>
          <w:b w:val="0"/>
          <w:color w:val="auto"/>
        </w:rPr>
        <w:t>It requires Courts to “</w:t>
      </w:r>
      <w:r w:rsidRPr="000D7782">
        <w:rPr>
          <w:rFonts w:ascii="Arial" w:hAnsi="Arial" w:cs="Arial"/>
          <w:b w:val="0"/>
          <w:i/>
          <w:color w:val="auto"/>
        </w:rPr>
        <w:t>prefer a generous construction over a merely textual or legalistic one in order to afford claimants the fullest possible protection of their constitutional guarantees</w:t>
      </w:r>
      <w:r w:rsidRPr="000D7782">
        <w:rPr>
          <w:rFonts w:ascii="Arial" w:hAnsi="Arial" w:cs="Arial"/>
          <w:b w:val="0"/>
          <w:color w:val="auto"/>
        </w:rPr>
        <w:t>”.</w:t>
      </w:r>
      <w:r w:rsidRPr="000D7782">
        <w:rPr>
          <w:rStyle w:val="FootnoteReference"/>
          <w:rFonts w:ascii="Arial" w:hAnsi="Arial" w:cs="Arial"/>
          <w:b w:val="0"/>
          <w:color w:val="auto"/>
        </w:rPr>
        <w:footnoteReference w:id="50"/>
      </w:r>
    </w:p>
    <w:p w:rsidR="001F70B4" w:rsidRPr="001F70B4" w:rsidRDefault="001F70B4" w:rsidP="00FE32B1">
      <w:pPr>
        <w:pStyle w:val="ListParagraph"/>
        <w:spacing w:line="360" w:lineRule="auto"/>
        <w:rPr>
          <w:rFonts w:ascii="Arial" w:hAnsi="Arial" w:cs="Arial"/>
          <w:b w:val="0"/>
          <w:color w:val="auto"/>
        </w:rPr>
      </w:pPr>
    </w:p>
    <w:p w:rsidR="007D7E94" w:rsidRPr="000D7782" w:rsidRDefault="007D7E94"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The Constitutional Court has also cautioned that whether or not the legislation implicates constitutional rights, our Courts have eschewed the approach of “</w:t>
      </w:r>
      <w:r w:rsidRPr="000D7782">
        <w:rPr>
          <w:rFonts w:ascii="Arial" w:hAnsi="Arial" w:cs="Arial"/>
          <w:b w:val="0"/>
          <w:i/>
          <w:color w:val="auto"/>
        </w:rPr>
        <w:t>blinkered peering at an isolated provision in a statute</w:t>
      </w:r>
      <w:r w:rsidRPr="000D7782">
        <w:rPr>
          <w:rFonts w:ascii="Arial" w:hAnsi="Arial" w:cs="Arial"/>
          <w:b w:val="0"/>
          <w:color w:val="auto"/>
        </w:rPr>
        <w:t>” to determine its meaning</w:t>
      </w:r>
      <w:r w:rsidR="004320CA">
        <w:rPr>
          <w:rFonts w:ascii="Arial" w:hAnsi="Arial" w:cs="Arial"/>
          <w:b w:val="0"/>
          <w:color w:val="auto"/>
        </w:rPr>
        <w:t xml:space="preserve">.  </w:t>
      </w:r>
      <w:r w:rsidRPr="000D7782">
        <w:rPr>
          <w:rFonts w:ascii="Arial" w:hAnsi="Arial" w:cs="Arial"/>
          <w:b w:val="0"/>
          <w:color w:val="auto"/>
        </w:rPr>
        <w:t xml:space="preserve">As </w:t>
      </w:r>
      <w:proofErr w:type="spellStart"/>
      <w:r w:rsidRPr="000D7782">
        <w:rPr>
          <w:rFonts w:ascii="Arial" w:hAnsi="Arial" w:cs="Arial"/>
          <w:b w:val="0"/>
          <w:color w:val="auto"/>
        </w:rPr>
        <w:t>Ngcobo</w:t>
      </w:r>
      <w:proofErr w:type="spellEnd"/>
      <w:r w:rsidRPr="000D7782">
        <w:rPr>
          <w:rFonts w:ascii="Arial" w:hAnsi="Arial" w:cs="Arial"/>
          <w:b w:val="0"/>
          <w:color w:val="auto"/>
        </w:rPr>
        <w:t xml:space="preserve"> J (as he then was) explained in </w:t>
      </w:r>
      <w:proofErr w:type="spellStart"/>
      <w:r w:rsidRPr="000D7782">
        <w:rPr>
          <w:rFonts w:ascii="Arial" w:hAnsi="Arial" w:cs="Arial"/>
          <w:color w:val="auto"/>
        </w:rPr>
        <w:t>Bato</w:t>
      </w:r>
      <w:proofErr w:type="spellEnd"/>
      <w:r w:rsidRPr="000D7782">
        <w:rPr>
          <w:rFonts w:ascii="Arial" w:hAnsi="Arial" w:cs="Arial"/>
          <w:color w:val="auto"/>
        </w:rPr>
        <w:t xml:space="preserve"> Star</w:t>
      </w:r>
      <w:r w:rsidR="00C53B08" w:rsidRPr="000D7782">
        <w:rPr>
          <w:rFonts w:ascii="Arial" w:hAnsi="Arial" w:cs="Arial"/>
          <w:color w:val="auto"/>
        </w:rPr>
        <w:t xml:space="preserve"> Fishing </w:t>
      </w:r>
      <w:r w:rsidR="00A720B1" w:rsidRPr="000D7782">
        <w:rPr>
          <w:rFonts w:ascii="Arial" w:hAnsi="Arial" w:cs="Arial"/>
          <w:i/>
          <w:color w:val="auto"/>
        </w:rPr>
        <w:t>v</w:t>
      </w:r>
      <w:r w:rsidR="00C53B08" w:rsidRPr="000D7782">
        <w:rPr>
          <w:rFonts w:ascii="Arial" w:hAnsi="Arial" w:cs="Arial"/>
          <w:color w:val="auto"/>
        </w:rPr>
        <w:t xml:space="preserve"> Minister of Environmental Affairs and Tourism and Others</w:t>
      </w:r>
      <w:r w:rsidRPr="000D7782">
        <w:rPr>
          <w:rFonts w:ascii="Arial" w:hAnsi="Arial" w:cs="Arial"/>
          <w:b w:val="0"/>
          <w:color w:val="auto"/>
        </w:rPr>
        <w:t>:</w:t>
      </w:r>
      <w:r w:rsidR="00C53B08" w:rsidRPr="000D7782">
        <w:rPr>
          <w:rStyle w:val="FootnoteReference"/>
          <w:rFonts w:ascii="Arial" w:hAnsi="Arial" w:cs="Arial"/>
          <w:b w:val="0"/>
          <w:color w:val="auto"/>
        </w:rPr>
        <w:t xml:space="preserve"> </w:t>
      </w:r>
      <w:r w:rsidR="00C53B08" w:rsidRPr="000D7782">
        <w:rPr>
          <w:rStyle w:val="FootnoteReference"/>
          <w:rFonts w:ascii="Arial" w:hAnsi="Arial" w:cs="Arial"/>
          <w:b w:val="0"/>
          <w:color w:val="auto"/>
        </w:rPr>
        <w:footnoteReference w:id="51"/>
      </w:r>
    </w:p>
    <w:p w:rsidR="007D7E94" w:rsidRPr="000D7782" w:rsidRDefault="007D7E94" w:rsidP="00FE32B1">
      <w:pPr>
        <w:pStyle w:val="ListParagraph"/>
        <w:spacing w:line="360" w:lineRule="auto"/>
        <w:rPr>
          <w:rFonts w:ascii="Arial" w:hAnsi="Arial" w:cs="Arial"/>
        </w:rPr>
      </w:pPr>
    </w:p>
    <w:p w:rsidR="007D7E94" w:rsidRPr="001F70B4" w:rsidRDefault="007D7E94" w:rsidP="00FE32B1">
      <w:pPr>
        <w:pStyle w:val="ListParagraph"/>
        <w:spacing w:line="360" w:lineRule="auto"/>
        <w:ind w:left="851"/>
        <w:jc w:val="both"/>
        <w:rPr>
          <w:rFonts w:ascii="Times New Roman" w:hAnsi="Times New Roman"/>
          <w:b w:val="0"/>
          <w:color w:val="auto"/>
        </w:rPr>
      </w:pPr>
      <w:r w:rsidRPr="001F70B4">
        <w:rPr>
          <w:rFonts w:ascii="Times New Roman" w:hAnsi="Times New Roman"/>
          <w:b w:val="0"/>
          <w:color w:val="auto"/>
        </w:rPr>
        <w:lastRenderedPageBreak/>
        <w:t>“</w:t>
      </w:r>
      <w:r w:rsidRPr="001F70B4">
        <w:rPr>
          <w:rFonts w:ascii="Times New Roman" w:hAnsi="Times New Roman"/>
          <w:b w:val="0"/>
          <w:i/>
          <w:color w:val="auto"/>
        </w:rPr>
        <w:t>The emerging trend in statutory construction is to have regard to the context in which the words occur, even where the words to be construed are clear and unambiguous.</w:t>
      </w:r>
      <w:r w:rsidR="002A18CD" w:rsidRPr="001F70B4">
        <w:rPr>
          <w:rFonts w:ascii="Times New Roman" w:hAnsi="Times New Roman"/>
          <w:b w:val="0"/>
          <w:i/>
          <w:color w:val="auto"/>
        </w:rPr>
        <w:t>”</w:t>
      </w:r>
    </w:p>
    <w:p w:rsidR="007D7E94" w:rsidRPr="001F70B4" w:rsidRDefault="007D7E94" w:rsidP="00FE32B1">
      <w:pPr>
        <w:pStyle w:val="ListParagraph"/>
        <w:spacing w:line="360" w:lineRule="auto"/>
        <w:ind w:left="851"/>
        <w:jc w:val="both"/>
        <w:rPr>
          <w:rFonts w:ascii="Times New Roman" w:hAnsi="Times New Roman"/>
          <w:b w:val="0"/>
          <w:color w:val="auto"/>
          <w:sz w:val="20"/>
          <w:szCs w:val="20"/>
        </w:rPr>
      </w:pPr>
    </w:p>
    <w:p w:rsidR="009A2D9F" w:rsidRPr="000D7782" w:rsidRDefault="009A2D9F"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The following can be deduced from the foregoing overview with regard to what our Courts have considered to be “</w:t>
      </w:r>
      <w:r w:rsidRPr="000D7782">
        <w:rPr>
          <w:rFonts w:ascii="Arial" w:hAnsi="Arial" w:cs="Arial"/>
          <w:b w:val="0"/>
          <w:i/>
          <w:color w:val="auto"/>
        </w:rPr>
        <w:t>highly meritoriously</w:t>
      </w:r>
      <w:r w:rsidRPr="000D7782">
        <w:rPr>
          <w:rFonts w:ascii="Arial" w:hAnsi="Arial" w:cs="Arial"/>
          <w:b w:val="0"/>
          <w:color w:val="auto"/>
        </w:rPr>
        <w:t xml:space="preserve">” action within the contemplation of </w:t>
      </w:r>
      <w:r w:rsidR="00164D26" w:rsidRPr="000D7782">
        <w:rPr>
          <w:rFonts w:ascii="Arial" w:hAnsi="Arial" w:cs="Arial"/>
          <w:b w:val="0"/>
          <w:color w:val="auto"/>
        </w:rPr>
        <w:t>Section</w:t>
      </w:r>
      <w:r w:rsidR="00256940" w:rsidRPr="000D7782">
        <w:rPr>
          <w:rFonts w:ascii="Arial" w:hAnsi="Arial" w:cs="Arial"/>
          <w:b w:val="0"/>
          <w:color w:val="auto"/>
        </w:rPr>
        <w:t xml:space="preserve"> 80(1)</w:t>
      </w:r>
      <w:r w:rsidRPr="000D7782">
        <w:rPr>
          <w:rFonts w:ascii="Arial" w:hAnsi="Arial" w:cs="Arial"/>
          <w:b w:val="0"/>
          <w:color w:val="auto"/>
        </w:rPr>
        <w:t xml:space="preserve"> of the Act</w:t>
      </w:r>
      <w:r w:rsidR="004320CA">
        <w:rPr>
          <w:rFonts w:ascii="Arial" w:hAnsi="Arial" w:cs="Arial"/>
          <w:b w:val="0"/>
          <w:color w:val="auto"/>
        </w:rPr>
        <w:t xml:space="preserve">.  </w:t>
      </w:r>
      <w:r w:rsidRPr="000D7782">
        <w:rPr>
          <w:rFonts w:ascii="Arial" w:hAnsi="Arial" w:cs="Arial"/>
          <w:b w:val="0"/>
          <w:color w:val="auto"/>
        </w:rPr>
        <w:t xml:space="preserve">First, that the expression </w:t>
      </w:r>
      <w:r w:rsidRPr="000D7782">
        <w:rPr>
          <w:rFonts w:ascii="Arial" w:hAnsi="Arial" w:cs="Arial"/>
          <w:b w:val="0"/>
          <w:i/>
          <w:color w:val="auto"/>
        </w:rPr>
        <w:t>“highly meritorious service”</w:t>
      </w:r>
      <w:r w:rsidRPr="000D7782">
        <w:rPr>
          <w:rFonts w:ascii="Arial" w:hAnsi="Arial" w:cs="Arial"/>
          <w:b w:val="0"/>
          <w:color w:val="auto"/>
        </w:rPr>
        <w:t xml:space="preserve"> clearly connotes </w:t>
      </w:r>
      <w:r w:rsidR="002A18CD" w:rsidRPr="000D7782">
        <w:rPr>
          <w:rFonts w:ascii="Arial" w:hAnsi="Arial" w:cs="Arial"/>
          <w:b w:val="0"/>
          <w:color w:val="auto"/>
        </w:rPr>
        <w:t>“</w:t>
      </w:r>
      <w:r w:rsidRPr="000D7782">
        <w:rPr>
          <w:rFonts w:ascii="Arial" w:hAnsi="Arial" w:cs="Arial"/>
          <w:b w:val="0"/>
          <w:i/>
          <w:color w:val="242121"/>
        </w:rPr>
        <w:t>services</w:t>
      </w:r>
      <w:r w:rsidR="002A18CD" w:rsidRPr="000D7782">
        <w:rPr>
          <w:rFonts w:ascii="Arial" w:hAnsi="Arial" w:cs="Arial"/>
          <w:b w:val="0"/>
          <w:i/>
          <w:color w:val="242121"/>
        </w:rPr>
        <w:t>”</w:t>
      </w:r>
      <w:r w:rsidRPr="000D7782">
        <w:rPr>
          <w:rFonts w:ascii="Arial" w:hAnsi="Arial" w:cs="Arial"/>
          <w:b w:val="0"/>
          <w:color w:val="242121"/>
        </w:rPr>
        <w:t xml:space="preserve"> rendered to other people or to the institution in which the prisoner is incarcerated</w:t>
      </w:r>
      <w:r w:rsidR="004320CA">
        <w:rPr>
          <w:rFonts w:ascii="Arial" w:hAnsi="Arial" w:cs="Arial"/>
          <w:b w:val="0"/>
          <w:color w:val="242121"/>
        </w:rPr>
        <w:t xml:space="preserve">.  </w:t>
      </w:r>
      <w:r w:rsidRPr="000D7782">
        <w:rPr>
          <w:rFonts w:ascii="Arial" w:hAnsi="Arial" w:cs="Arial"/>
          <w:b w:val="0"/>
          <w:color w:val="242121"/>
        </w:rPr>
        <w:t xml:space="preserve">Second, the use of the word </w:t>
      </w:r>
      <w:r w:rsidR="002A18CD" w:rsidRPr="000D7782">
        <w:rPr>
          <w:rFonts w:ascii="Arial" w:hAnsi="Arial" w:cs="Arial"/>
          <w:b w:val="0"/>
          <w:color w:val="242121"/>
        </w:rPr>
        <w:t>“</w:t>
      </w:r>
      <w:r w:rsidRPr="000D7782">
        <w:rPr>
          <w:rFonts w:ascii="Arial" w:hAnsi="Arial" w:cs="Arial"/>
          <w:b w:val="0"/>
          <w:i/>
          <w:color w:val="242121"/>
        </w:rPr>
        <w:t>service</w:t>
      </w:r>
      <w:r w:rsidR="002A18CD" w:rsidRPr="000D7782">
        <w:rPr>
          <w:rFonts w:ascii="Arial" w:hAnsi="Arial" w:cs="Arial"/>
          <w:b w:val="0"/>
          <w:i/>
          <w:color w:val="242121"/>
        </w:rPr>
        <w:t>”</w:t>
      </w:r>
      <w:r w:rsidRPr="000D7782">
        <w:rPr>
          <w:rFonts w:ascii="Arial" w:hAnsi="Arial" w:cs="Arial"/>
          <w:b w:val="0"/>
          <w:color w:val="242121"/>
        </w:rPr>
        <w:t xml:space="preserve"> is indicative of the type of action or behaviour which the Legislature had in mind</w:t>
      </w:r>
      <w:r w:rsidR="0066390D">
        <w:rPr>
          <w:rFonts w:ascii="Arial" w:hAnsi="Arial" w:cs="Arial"/>
          <w:b w:val="0"/>
          <w:color w:val="242121"/>
        </w:rPr>
        <w:t xml:space="preserve">; to </w:t>
      </w:r>
      <w:r w:rsidR="0066390D" w:rsidRPr="0066390D">
        <w:rPr>
          <w:rFonts w:ascii="Arial" w:hAnsi="Arial" w:cs="Arial"/>
          <w:b w:val="0"/>
          <w:i/>
          <w:color w:val="242121"/>
        </w:rPr>
        <w:t>wit</w:t>
      </w:r>
      <w:r w:rsidR="0066390D">
        <w:rPr>
          <w:rFonts w:ascii="Arial" w:hAnsi="Arial" w:cs="Arial"/>
          <w:b w:val="0"/>
          <w:color w:val="242121"/>
        </w:rPr>
        <w:t>:</w:t>
      </w:r>
      <w:r w:rsidRPr="000D7782">
        <w:rPr>
          <w:rFonts w:ascii="Arial" w:hAnsi="Arial" w:cs="Arial"/>
          <w:b w:val="0"/>
          <w:color w:val="242121"/>
        </w:rPr>
        <w:t xml:space="preserve"> some act of helpfulness to another, some deed towards the benefit of the institution</w:t>
      </w:r>
      <w:r w:rsidR="004320CA">
        <w:rPr>
          <w:rFonts w:ascii="Arial" w:hAnsi="Arial" w:cs="Arial"/>
          <w:b w:val="0"/>
          <w:color w:val="242121"/>
        </w:rPr>
        <w:t xml:space="preserve">.  </w:t>
      </w:r>
    </w:p>
    <w:p w:rsidR="009A2D9F" w:rsidRPr="000D7782" w:rsidRDefault="009A2D9F" w:rsidP="00FE32B1">
      <w:pPr>
        <w:pStyle w:val="ListParagraph"/>
        <w:spacing w:line="360" w:lineRule="auto"/>
        <w:ind w:left="851"/>
        <w:jc w:val="both"/>
        <w:rPr>
          <w:rFonts w:ascii="Arial" w:hAnsi="Arial" w:cs="Arial"/>
          <w:b w:val="0"/>
          <w:color w:val="auto"/>
        </w:rPr>
      </w:pPr>
    </w:p>
    <w:p w:rsidR="009A2D9F" w:rsidRPr="000D7782" w:rsidRDefault="009A2D9F"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 xml:space="preserve">It can also be deduced from the foregoing that for a conduct of an offender to amount to </w:t>
      </w:r>
      <w:r w:rsidRPr="000D7782">
        <w:rPr>
          <w:rFonts w:ascii="Arial" w:hAnsi="Arial" w:cs="Arial"/>
          <w:b w:val="0"/>
          <w:i/>
          <w:color w:val="auto"/>
        </w:rPr>
        <w:t>“highly meritorious service”</w:t>
      </w:r>
      <w:r w:rsidRPr="000D7782">
        <w:rPr>
          <w:rFonts w:ascii="Arial" w:hAnsi="Arial" w:cs="Arial"/>
          <w:b w:val="0"/>
          <w:color w:val="auto"/>
        </w:rPr>
        <w:t xml:space="preserve"> as contemplated in </w:t>
      </w:r>
      <w:r w:rsidR="00164D26" w:rsidRPr="000D7782">
        <w:rPr>
          <w:rFonts w:ascii="Arial" w:hAnsi="Arial" w:cs="Arial"/>
          <w:b w:val="0"/>
          <w:color w:val="auto"/>
        </w:rPr>
        <w:t>Section</w:t>
      </w:r>
      <w:r w:rsidRPr="000D7782">
        <w:rPr>
          <w:rFonts w:ascii="Arial" w:hAnsi="Arial" w:cs="Arial"/>
          <w:b w:val="0"/>
          <w:color w:val="auto"/>
        </w:rPr>
        <w:t xml:space="preserve"> 80 of the Act, </w:t>
      </w:r>
      <w:r w:rsidR="00256940" w:rsidRPr="000D7782">
        <w:rPr>
          <w:rFonts w:ascii="Arial" w:hAnsi="Arial" w:cs="Arial"/>
          <w:b w:val="0"/>
          <w:color w:val="242121"/>
        </w:rPr>
        <w:t>s</w:t>
      </w:r>
      <w:r w:rsidRPr="000D7782">
        <w:rPr>
          <w:rFonts w:ascii="Arial" w:hAnsi="Arial" w:cs="Arial"/>
          <w:b w:val="0"/>
          <w:color w:val="242121"/>
        </w:rPr>
        <w:t>uch conduct</w:t>
      </w:r>
      <w:r w:rsidR="00256940" w:rsidRPr="000D7782">
        <w:rPr>
          <w:rFonts w:ascii="Arial" w:hAnsi="Arial" w:cs="Arial"/>
          <w:b w:val="0"/>
          <w:color w:val="242121"/>
        </w:rPr>
        <w:t xml:space="preserve"> or </w:t>
      </w:r>
      <w:r w:rsidR="000D7782" w:rsidRPr="000D7782">
        <w:rPr>
          <w:rFonts w:ascii="Arial" w:hAnsi="Arial" w:cs="Arial"/>
          <w:b w:val="0"/>
          <w:color w:val="242121"/>
        </w:rPr>
        <w:t>deed need</w:t>
      </w:r>
      <w:r w:rsidRPr="000D7782">
        <w:rPr>
          <w:rFonts w:ascii="Arial" w:hAnsi="Arial" w:cs="Arial"/>
          <w:b w:val="0"/>
          <w:color w:val="242121"/>
        </w:rPr>
        <w:t xml:space="preserve"> not be perilous to the offender</w:t>
      </w:r>
      <w:r w:rsidR="00256940" w:rsidRPr="000D7782">
        <w:rPr>
          <w:rFonts w:ascii="Arial" w:hAnsi="Arial" w:cs="Arial"/>
          <w:b w:val="0"/>
          <w:color w:val="242121"/>
        </w:rPr>
        <w:t>, to qualify as such</w:t>
      </w:r>
      <w:r w:rsidR="004320CA">
        <w:rPr>
          <w:rFonts w:ascii="Arial" w:hAnsi="Arial" w:cs="Arial"/>
          <w:b w:val="0"/>
          <w:color w:val="242121"/>
        </w:rPr>
        <w:t xml:space="preserve">.  </w:t>
      </w:r>
      <w:r w:rsidRPr="000D7782">
        <w:rPr>
          <w:rFonts w:ascii="Arial" w:hAnsi="Arial" w:cs="Arial"/>
          <w:b w:val="0"/>
          <w:color w:val="auto"/>
        </w:rPr>
        <w:t xml:space="preserve"> </w:t>
      </w:r>
    </w:p>
    <w:p w:rsidR="001030E1" w:rsidRPr="000D7782" w:rsidRDefault="001030E1" w:rsidP="00FE32B1">
      <w:pPr>
        <w:pStyle w:val="ListParagraph"/>
        <w:spacing w:line="360" w:lineRule="auto"/>
        <w:rPr>
          <w:rFonts w:ascii="Arial" w:hAnsi="Arial" w:cs="Arial"/>
          <w:b w:val="0"/>
          <w:color w:val="auto"/>
        </w:rPr>
      </w:pPr>
    </w:p>
    <w:p w:rsidR="00023006" w:rsidRPr="000D7782" w:rsidRDefault="001030E1" w:rsidP="00FE32B1">
      <w:pPr>
        <w:pStyle w:val="ListParagraph"/>
        <w:numPr>
          <w:ilvl w:val="0"/>
          <w:numId w:val="2"/>
        </w:numPr>
        <w:spacing w:line="360" w:lineRule="auto"/>
        <w:ind w:left="851" w:hanging="851"/>
        <w:jc w:val="both"/>
        <w:rPr>
          <w:rFonts w:ascii="Arial" w:hAnsi="Arial" w:cs="Arial"/>
          <w:b w:val="0"/>
          <w:color w:val="auto"/>
          <w:sz w:val="20"/>
          <w:szCs w:val="20"/>
        </w:rPr>
      </w:pPr>
      <w:r w:rsidRPr="000D7782">
        <w:rPr>
          <w:rFonts w:ascii="Arial" w:hAnsi="Arial" w:cs="Arial"/>
          <w:b w:val="0"/>
          <w:color w:val="auto"/>
        </w:rPr>
        <w:t xml:space="preserve">In </w:t>
      </w:r>
      <w:proofErr w:type="spellStart"/>
      <w:r w:rsidRPr="000D7782">
        <w:rPr>
          <w:rFonts w:ascii="Arial" w:hAnsi="Arial" w:cs="Arial"/>
          <w:color w:val="auto"/>
        </w:rPr>
        <w:t>Elrlich</w:t>
      </w:r>
      <w:proofErr w:type="spellEnd"/>
      <w:r w:rsidRPr="000D7782">
        <w:rPr>
          <w:rFonts w:ascii="Arial" w:hAnsi="Arial" w:cs="Arial"/>
          <w:color w:val="auto"/>
        </w:rPr>
        <w:t xml:space="preserve"> </w:t>
      </w:r>
      <w:r w:rsidR="00A720B1" w:rsidRPr="000D7782">
        <w:rPr>
          <w:rFonts w:ascii="Arial" w:hAnsi="Arial" w:cs="Arial"/>
          <w:i/>
          <w:color w:val="auto"/>
        </w:rPr>
        <w:t>v</w:t>
      </w:r>
      <w:r w:rsidRPr="000D7782">
        <w:rPr>
          <w:rFonts w:ascii="Arial" w:hAnsi="Arial" w:cs="Arial"/>
          <w:color w:val="auto"/>
        </w:rPr>
        <w:t xml:space="preserve"> Minister of Correctional Services</w:t>
      </w:r>
      <w:r w:rsidRPr="000D7782">
        <w:rPr>
          <w:rStyle w:val="FootnoteReference"/>
          <w:rFonts w:ascii="Arial" w:hAnsi="Arial" w:cs="Arial"/>
          <w:b w:val="0"/>
          <w:color w:val="auto"/>
        </w:rPr>
        <w:footnoteReference w:id="52"/>
      </w:r>
      <w:r w:rsidRPr="000D7782">
        <w:rPr>
          <w:rFonts w:ascii="Arial" w:hAnsi="Arial" w:cs="Arial"/>
          <w:b w:val="0"/>
          <w:color w:val="auto"/>
        </w:rPr>
        <w:t xml:space="preserve"> where the </w:t>
      </w:r>
      <w:r w:rsidR="002A18CD" w:rsidRPr="000D7782">
        <w:rPr>
          <w:rFonts w:ascii="Arial" w:hAnsi="Arial" w:cs="Arial"/>
          <w:b w:val="0"/>
          <w:color w:val="auto"/>
        </w:rPr>
        <w:t>H</w:t>
      </w:r>
      <w:r w:rsidRPr="000D7782">
        <w:rPr>
          <w:rFonts w:ascii="Arial" w:hAnsi="Arial" w:cs="Arial"/>
          <w:b w:val="0"/>
          <w:color w:val="auto"/>
        </w:rPr>
        <w:t>ead of a prison had misinterpreted his power as to the segregation of categories of prisoners, it was held that he erred materially in believing that he had no discretion when in fact he did have such, the error was material in that it resulted in him not applying his mind properly</w:t>
      </w:r>
      <w:r w:rsidR="004320CA">
        <w:rPr>
          <w:rFonts w:ascii="Arial" w:hAnsi="Arial" w:cs="Arial"/>
          <w:b w:val="0"/>
          <w:color w:val="auto"/>
        </w:rPr>
        <w:t xml:space="preserve">.  </w:t>
      </w:r>
      <w:r w:rsidRPr="000D7782">
        <w:rPr>
          <w:rFonts w:ascii="Arial" w:hAnsi="Arial" w:cs="Arial"/>
          <w:b w:val="0"/>
          <w:color w:val="auto"/>
        </w:rPr>
        <w:t xml:space="preserve">By parity of reason, this Court </w:t>
      </w:r>
      <w:r w:rsidR="002A18CD" w:rsidRPr="000D7782">
        <w:rPr>
          <w:rFonts w:ascii="Arial" w:hAnsi="Arial" w:cs="Arial"/>
          <w:b w:val="0"/>
          <w:color w:val="auto"/>
        </w:rPr>
        <w:t>determines that the respondents</w:t>
      </w:r>
      <w:r w:rsidRPr="000D7782">
        <w:rPr>
          <w:rFonts w:ascii="Arial" w:hAnsi="Arial" w:cs="Arial"/>
          <w:b w:val="0"/>
          <w:color w:val="auto"/>
        </w:rPr>
        <w:t xml:space="preserve"> erred materially in believing they severally had no discretion, when in fact they did</w:t>
      </w:r>
      <w:r w:rsidR="004320CA">
        <w:rPr>
          <w:rFonts w:ascii="Arial" w:hAnsi="Arial" w:cs="Arial"/>
          <w:b w:val="0"/>
          <w:color w:val="auto"/>
        </w:rPr>
        <w:t xml:space="preserve">.  </w:t>
      </w:r>
      <w:r w:rsidRPr="000D7782">
        <w:rPr>
          <w:rFonts w:ascii="Arial" w:hAnsi="Arial" w:cs="Arial"/>
          <w:b w:val="0"/>
          <w:color w:val="auto"/>
        </w:rPr>
        <w:t>This error is reviewable, because the respondents were blinkered by an enquiry into whether or not the applicant’s actions placed his life in danger.</w:t>
      </w:r>
      <w:r w:rsidRPr="000D7782">
        <w:rPr>
          <w:rStyle w:val="FootnoteReference"/>
          <w:rFonts w:ascii="Arial" w:hAnsi="Arial" w:cs="Arial"/>
          <w:b w:val="0"/>
          <w:color w:val="auto"/>
        </w:rPr>
        <w:footnoteReference w:id="53"/>
      </w:r>
      <w:r w:rsidR="00023006" w:rsidRPr="000D7782">
        <w:rPr>
          <w:rFonts w:ascii="Arial" w:hAnsi="Arial" w:cs="Arial"/>
          <w:b w:val="0"/>
          <w:color w:val="auto"/>
        </w:rPr>
        <w:t xml:space="preserve"> </w:t>
      </w:r>
      <w:r w:rsidR="002A18CD" w:rsidRPr="000D7782">
        <w:rPr>
          <w:rFonts w:ascii="Arial" w:hAnsi="Arial" w:cs="Arial"/>
          <w:b w:val="0"/>
          <w:color w:val="auto"/>
        </w:rPr>
        <w:t xml:space="preserve"> </w:t>
      </w:r>
      <w:r w:rsidR="00023006" w:rsidRPr="000D7782">
        <w:rPr>
          <w:rFonts w:ascii="Arial" w:hAnsi="Arial" w:cs="Arial"/>
          <w:b w:val="0"/>
          <w:color w:val="242121"/>
        </w:rPr>
        <w:t>The common denominator in these acts is also the fact that all amount to acts of helpfulness to another or amount to some deed towards the benefit of the institution</w:t>
      </w:r>
      <w:r w:rsidR="004320CA">
        <w:rPr>
          <w:rFonts w:ascii="Arial" w:hAnsi="Arial" w:cs="Arial"/>
          <w:b w:val="0"/>
          <w:color w:val="242121"/>
        </w:rPr>
        <w:t xml:space="preserve">.  </w:t>
      </w:r>
      <w:r w:rsidR="00023006" w:rsidRPr="000D7782">
        <w:rPr>
          <w:rFonts w:ascii="Arial" w:hAnsi="Arial" w:cs="Arial"/>
          <w:b w:val="0"/>
          <w:color w:val="242121"/>
        </w:rPr>
        <w:t>This would include the employment of</w:t>
      </w:r>
      <w:r w:rsidR="00023006" w:rsidRPr="000D7782">
        <w:rPr>
          <w:rFonts w:ascii="Arial" w:hAnsi="Arial" w:cs="Arial"/>
          <w:b w:val="0"/>
          <w:color w:val="auto"/>
        </w:rPr>
        <w:t xml:space="preserve"> Mr Jacobus Jafta at his farm, if the former was still on parole</w:t>
      </w:r>
      <w:r w:rsidR="004320CA">
        <w:rPr>
          <w:rFonts w:ascii="Arial" w:hAnsi="Arial" w:cs="Arial"/>
          <w:b w:val="0"/>
          <w:color w:val="242121"/>
        </w:rPr>
        <w:t xml:space="preserve">.  </w:t>
      </w:r>
    </w:p>
    <w:p w:rsidR="001030E1" w:rsidRPr="000D7782" w:rsidRDefault="001030E1" w:rsidP="00FE32B1">
      <w:pPr>
        <w:pStyle w:val="ListParagraph"/>
        <w:spacing w:line="360" w:lineRule="auto"/>
        <w:ind w:left="851"/>
        <w:jc w:val="both"/>
        <w:rPr>
          <w:rFonts w:ascii="Arial" w:hAnsi="Arial" w:cs="Arial"/>
          <w:b w:val="0"/>
          <w:color w:val="auto"/>
          <w:sz w:val="20"/>
          <w:szCs w:val="20"/>
        </w:rPr>
      </w:pPr>
    </w:p>
    <w:p w:rsidR="007D7E94" w:rsidRPr="000D7782" w:rsidRDefault="007D7E94" w:rsidP="00FE32B1">
      <w:pPr>
        <w:pStyle w:val="ListParagraph"/>
        <w:numPr>
          <w:ilvl w:val="0"/>
          <w:numId w:val="2"/>
        </w:numPr>
        <w:spacing w:line="360" w:lineRule="auto"/>
        <w:ind w:left="851" w:hanging="851"/>
        <w:jc w:val="both"/>
        <w:rPr>
          <w:rFonts w:ascii="Arial" w:hAnsi="Arial" w:cs="Arial"/>
          <w:b w:val="0"/>
          <w:color w:val="auto"/>
          <w:sz w:val="20"/>
          <w:szCs w:val="20"/>
        </w:rPr>
      </w:pPr>
      <w:r w:rsidRPr="000D7782">
        <w:rPr>
          <w:rFonts w:ascii="Arial" w:hAnsi="Arial" w:cs="Arial"/>
          <w:b w:val="0"/>
          <w:color w:val="auto"/>
        </w:rPr>
        <w:lastRenderedPageBreak/>
        <w:t xml:space="preserve">In </w:t>
      </w:r>
      <w:r w:rsidRPr="000D7782">
        <w:rPr>
          <w:rFonts w:ascii="Arial" w:hAnsi="Arial" w:cs="Arial"/>
          <w:color w:val="auto"/>
        </w:rPr>
        <w:t xml:space="preserve">Pharmaceutical Manufacturers </w:t>
      </w:r>
      <w:r w:rsidR="00061884" w:rsidRPr="000D7782">
        <w:rPr>
          <w:rFonts w:ascii="Arial" w:hAnsi="Arial" w:cs="Arial"/>
          <w:color w:val="auto"/>
        </w:rPr>
        <w:t xml:space="preserve">Ass of SA and Another: In re </w:t>
      </w:r>
      <w:r w:rsidR="00C53B08" w:rsidRPr="000D7782">
        <w:rPr>
          <w:rFonts w:ascii="Arial" w:hAnsi="Arial" w:cs="Arial"/>
          <w:color w:val="auto"/>
        </w:rPr>
        <w:t>Ex parte President of RSA and Others</w:t>
      </w:r>
      <w:r w:rsidR="00C53B08" w:rsidRPr="000D7782">
        <w:rPr>
          <w:rFonts w:ascii="Arial" w:hAnsi="Arial" w:cs="Arial"/>
          <w:b w:val="0"/>
          <w:color w:val="auto"/>
        </w:rPr>
        <w:t>,</w:t>
      </w:r>
      <w:r w:rsidR="00C53B08" w:rsidRPr="000D7782">
        <w:rPr>
          <w:rStyle w:val="FootnoteReference"/>
          <w:rFonts w:ascii="Arial" w:hAnsi="Arial" w:cs="Arial"/>
          <w:b w:val="0"/>
          <w:color w:val="auto"/>
        </w:rPr>
        <w:footnoteReference w:id="54"/>
      </w:r>
      <w:r w:rsidR="00C53B08" w:rsidRPr="000D7782">
        <w:rPr>
          <w:rFonts w:ascii="Arial" w:hAnsi="Arial" w:cs="Arial"/>
          <w:b w:val="0"/>
          <w:color w:val="auto"/>
        </w:rPr>
        <w:t xml:space="preserve"> </w:t>
      </w:r>
      <w:r w:rsidRPr="000D7782">
        <w:rPr>
          <w:rFonts w:ascii="Arial" w:hAnsi="Arial" w:cs="Arial"/>
          <w:b w:val="0"/>
          <w:color w:val="auto"/>
        </w:rPr>
        <w:t xml:space="preserve">the Constitutional Court </w:t>
      </w:r>
      <w:r w:rsidR="00C53B08" w:rsidRPr="000D7782">
        <w:rPr>
          <w:rFonts w:ascii="Arial" w:hAnsi="Arial" w:cs="Arial"/>
          <w:b w:val="0"/>
          <w:color w:val="auto"/>
        </w:rPr>
        <w:t xml:space="preserve">seminally </w:t>
      </w:r>
      <w:r w:rsidRPr="000D7782">
        <w:rPr>
          <w:rFonts w:ascii="Arial" w:hAnsi="Arial" w:cs="Arial"/>
          <w:b w:val="0"/>
          <w:color w:val="auto"/>
        </w:rPr>
        <w:t>said the following about the standard of rationality:</w:t>
      </w:r>
    </w:p>
    <w:p w:rsidR="007D7E94" w:rsidRPr="000D7782" w:rsidRDefault="007D7E94" w:rsidP="00FE32B1">
      <w:pPr>
        <w:pStyle w:val="ListParagraph"/>
        <w:spacing w:line="360" w:lineRule="auto"/>
        <w:ind w:left="851"/>
        <w:jc w:val="both"/>
        <w:rPr>
          <w:rFonts w:ascii="Arial" w:hAnsi="Arial" w:cs="Arial"/>
          <w:b w:val="0"/>
          <w:color w:val="auto"/>
          <w:sz w:val="20"/>
          <w:szCs w:val="20"/>
        </w:rPr>
      </w:pPr>
    </w:p>
    <w:p w:rsidR="007D7E94" w:rsidRPr="000D7782" w:rsidRDefault="007D7E94" w:rsidP="00FE32B1">
      <w:pPr>
        <w:spacing w:line="360" w:lineRule="auto"/>
        <w:ind w:left="851"/>
        <w:contextualSpacing/>
        <w:jc w:val="both"/>
        <w:rPr>
          <w:rFonts w:ascii="Arial" w:hAnsi="Arial" w:cs="Arial"/>
          <w:b w:val="0"/>
          <w:color w:val="auto"/>
          <w:sz w:val="20"/>
          <w:szCs w:val="20"/>
        </w:rPr>
      </w:pPr>
      <w:r w:rsidRPr="000D7782">
        <w:rPr>
          <w:rFonts w:ascii="Arial" w:hAnsi="Arial" w:cs="Arial"/>
          <w:b w:val="0"/>
          <w:i/>
          <w:color w:val="auto"/>
        </w:rPr>
        <w:t>“It is a requirement of the rule of law that the exercise of public power by the Executive and other functionaries should not be arbitrary</w:t>
      </w:r>
      <w:r w:rsidR="004320CA">
        <w:rPr>
          <w:rFonts w:ascii="Arial" w:hAnsi="Arial" w:cs="Arial"/>
          <w:b w:val="0"/>
          <w:i/>
          <w:color w:val="auto"/>
        </w:rPr>
        <w:t xml:space="preserve">.  </w:t>
      </w:r>
      <w:r w:rsidRPr="000D7782">
        <w:rPr>
          <w:rFonts w:ascii="Arial" w:hAnsi="Arial" w:cs="Arial"/>
          <w:b w:val="0"/>
          <w:i/>
          <w:color w:val="auto"/>
        </w:rPr>
        <w:t>Decisions must be rationally related to the purpose for which the power was given, otherwise they are in effect arbitrary and inconsistent with this requirement</w:t>
      </w:r>
      <w:r w:rsidR="004320CA">
        <w:rPr>
          <w:rFonts w:ascii="Arial" w:hAnsi="Arial" w:cs="Arial"/>
          <w:b w:val="0"/>
          <w:i/>
          <w:color w:val="auto"/>
        </w:rPr>
        <w:t xml:space="preserve">.  </w:t>
      </w:r>
      <w:r w:rsidRPr="000D7782">
        <w:rPr>
          <w:rFonts w:ascii="Arial" w:hAnsi="Arial" w:cs="Arial"/>
          <w:b w:val="0"/>
          <w:i/>
          <w:color w:val="auto"/>
        </w:rPr>
        <w:t>It follows that in order to pass constitutional scrutiny, the exercise of public power by the Executive and other functionaries must, at least, comply with this requirement</w:t>
      </w:r>
      <w:r w:rsidR="004320CA">
        <w:rPr>
          <w:rFonts w:ascii="Arial" w:hAnsi="Arial" w:cs="Arial"/>
          <w:b w:val="0"/>
          <w:i/>
          <w:color w:val="auto"/>
        </w:rPr>
        <w:t xml:space="preserve">.  </w:t>
      </w:r>
      <w:r w:rsidRPr="000D7782">
        <w:rPr>
          <w:rFonts w:ascii="Arial" w:hAnsi="Arial" w:cs="Arial"/>
          <w:b w:val="0"/>
          <w:i/>
          <w:color w:val="auto"/>
        </w:rPr>
        <w:t>If it does not, it falls short of the standards demanded by our Constitution for such action.”</w:t>
      </w:r>
    </w:p>
    <w:p w:rsidR="007D7E94" w:rsidRPr="000D7782" w:rsidRDefault="007D7E94" w:rsidP="00FE32B1">
      <w:pPr>
        <w:pStyle w:val="ListParagraph"/>
        <w:spacing w:line="360" w:lineRule="auto"/>
        <w:rPr>
          <w:rFonts w:ascii="Arial" w:hAnsi="Arial" w:cs="Arial"/>
          <w:b w:val="0"/>
          <w:color w:val="auto"/>
        </w:rPr>
      </w:pPr>
    </w:p>
    <w:p w:rsidR="007D7E94" w:rsidRPr="000D7782" w:rsidRDefault="00654DF4" w:rsidP="00FE32B1">
      <w:pPr>
        <w:pStyle w:val="ListParagraph"/>
        <w:numPr>
          <w:ilvl w:val="0"/>
          <w:numId w:val="2"/>
        </w:numPr>
        <w:spacing w:line="360" w:lineRule="auto"/>
        <w:ind w:left="851" w:hanging="851"/>
        <w:jc w:val="both"/>
        <w:rPr>
          <w:rFonts w:ascii="Arial" w:hAnsi="Arial" w:cs="Arial"/>
          <w:b w:val="0"/>
          <w:color w:val="auto"/>
          <w:sz w:val="20"/>
          <w:szCs w:val="20"/>
        </w:rPr>
      </w:pPr>
      <w:r w:rsidRPr="000D7782">
        <w:rPr>
          <w:rFonts w:ascii="Arial" w:hAnsi="Arial" w:cs="Arial"/>
          <w:b w:val="0"/>
          <w:color w:val="auto"/>
        </w:rPr>
        <w:t>T</w:t>
      </w:r>
      <w:r w:rsidR="007D7E94" w:rsidRPr="000D7782">
        <w:rPr>
          <w:rFonts w:ascii="Arial" w:hAnsi="Arial" w:cs="Arial"/>
          <w:b w:val="0"/>
          <w:color w:val="auto"/>
        </w:rPr>
        <w:t>he question whether the impugned decision is rationally related to the purpose for which the power was given calls for an objective enquiry because what the Constitution requires is that public power vested in the executive and other functionaries be exercised in an objectively rational manner</w:t>
      </w:r>
      <w:r w:rsidR="004320CA">
        <w:rPr>
          <w:rFonts w:ascii="Arial" w:hAnsi="Arial" w:cs="Arial"/>
          <w:b w:val="0"/>
          <w:color w:val="auto"/>
        </w:rPr>
        <w:t xml:space="preserve">.  </w:t>
      </w:r>
      <w:r w:rsidR="007D7E94" w:rsidRPr="000D7782">
        <w:rPr>
          <w:rFonts w:ascii="Arial" w:hAnsi="Arial" w:cs="Arial"/>
          <w:b w:val="0"/>
          <w:color w:val="auto"/>
        </w:rPr>
        <w:t xml:space="preserve">It should be so since the Constitutional Court said: </w:t>
      </w:r>
    </w:p>
    <w:p w:rsidR="007D7E94" w:rsidRPr="000D7782" w:rsidRDefault="007D7E94" w:rsidP="00FE32B1">
      <w:pPr>
        <w:pStyle w:val="ListParagraph"/>
        <w:spacing w:line="360" w:lineRule="auto"/>
        <w:ind w:left="851"/>
        <w:jc w:val="both"/>
        <w:rPr>
          <w:rFonts w:ascii="Arial" w:hAnsi="Arial" w:cs="Arial"/>
          <w:b w:val="0"/>
          <w:color w:val="auto"/>
          <w:sz w:val="20"/>
          <w:szCs w:val="20"/>
        </w:rPr>
      </w:pPr>
    </w:p>
    <w:p w:rsidR="007D7E94" w:rsidRPr="000D7782" w:rsidRDefault="007D7E94" w:rsidP="00FE32B1">
      <w:pPr>
        <w:pStyle w:val="ListParagraph"/>
        <w:spacing w:line="360" w:lineRule="auto"/>
        <w:ind w:left="851"/>
        <w:jc w:val="both"/>
        <w:rPr>
          <w:rFonts w:ascii="Arial" w:hAnsi="Arial" w:cs="Arial"/>
          <w:b w:val="0"/>
          <w:color w:val="auto"/>
          <w:sz w:val="20"/>
          <w:szCs w:val="20"/>
        </w:rPr>
      </w:pPr>
      <w:r w:rsidRPr="000D7782">
        <w:rPr>
          <w:rFonts w:ascii="Arial" w:hAnsi="Arial" w:cs="Arial"/>
          <w:b w:val="0"/>
          <w:i/>
          <w:color w:val="auto"/>
        </w:rPr>
        <w:t>“</w:t>
      </w:r>
      <w:r w:rsidRPr="00567285">
        <w:rPr>
          <w:rFonts w:ascii="Times New Roman" w:hAnsi="Times New Roman"/>
          <w:b w:val="0"/>
          <w:i/>
          <w:color w:val="auto"/>
        </w:rPr>
        <w:t>Rationality in this sense is a minimum threshold requirement applicable to the exercise of all public power by members of the Executive and other functionaries</w:t>
      </w:r>
      <w:r w:rsidR="004320CA" w:rsidRPr="00567285">
        <w:rPr>
          <w:rFonts w:ascii="Times New Roman" w:hAnsi="Times New Roman"/>
          <w:b w:val="0"/>
          <w:i/>
          <w:color w:val="auto"/>
        </w:rPr>
        <w:t xml:space="preserve">.  </w:t>
      </w:r>
      <w:r w:rsidRPr="00567285">
        <w:rPr>
          <w:rFonts w:ascii="Times New Roman" w:hAnsi="Times New Roman"/>
          <w:b w:val="0"/>
          <w:i/>
          <w:color w:val="auto"/>
        </w:rPr>
        <w:t>Action that fails to pass this threshold is inconsistent with the requirements of our Constitution, and therefore unlawful</w:t>
      </w:r>
      <w:r w:rsidR="004320CA" w:rsidRPr="00567285">
        <w:rPr>
          <w:rFonts w:ascii="Times New Roman" w:hAnsi="Times New Roman"/>
          <w:b w:val="0"/>
          <w:i/>
          <w:color w:val="auto"/>
        </w:rPr>
        <w:t xml:space="preserve">.  </w:t>
      </w:r>
      <w:r w:rsidRPr="00567285">
        <w:rPr>
          <w:rFonts w:ascii="Times New Roman" w:hAnsi="Times New Roman"/>
          <w:b w:val="0"/>
          <w:i/>
          <w:color w:val="auto"/>
        </w:rPr>
        <w:t>The setting of this standard does not mean that the Courts can or should substitute their opinions as to what is appropriate, for the opinions of those in whom the power has been vested</w:t>
      </w:r>
      <w:r w:rsidR="004320CA" w:rsidRPr="00567285">
        <w:rPr>
          <w:rFonts w:ascii="Times New Roman" w:hAnsi="Times New Roman"/>
          <w:b w:val="0"/>
          <w:i/>
          <w:color w:val="auto"/>
        </w:rPr>
        <w:t xml:space="preserve">.  </w:t>
      </w:r>
      <w:r w:rsidRPr="00567285">
        <w:rPr>
          <w:rFonts w:ascii="Times New Roman" w:hAnsi="Times New Roman"/>
          <w:b w:val="0"/>
          <w:i/>
          <w:color w:val="auto"/>
        </w:rPr>
        <w:t xml:space="preserve">As long as the purpose sought to be achieved by the exercise of public power is within the authority of the functionary, </w:t>
      </w:r>
      <w:r w:rsidRPr="00567285">
        <w:rPr>
          <w:rFonts w:ascii="Times New Roman" w:hAnsi="Times New Roman"/>
          <w:i/>
          <w:color w:val="auto"/>
        </w:rPr>
        <w:t>and as long as the functionary’s decision, viewed objectively, is rational, a Court cannot interfere with the decision simply because it disagrees with it, or considers that the power was exercised inappropriately.”</w:t>
      </w:r>
      <w:r w:rsidRPr="000D7782">
        <w:rPr>
          <w:rStyle w:val="FootnoteReference"/>
          <w:rFonts w:ascii="Arial" w:hAnsi="Arial" w:cs="Arial"/>
          <w:b w:val="0"/>
          <w:color w:val="auto"/>
        </w:rPr>
        <w:footnoteReference w:id="55"/>
      </w:r>
    </w:p>
    <w:p w:rsidR="007D7E94" w:rsidRPr="000D7782" w:rsidRDefault="007D7E94" w:rsidP="00FE32B1">
      <w:pPr>
        <w:pStyle w:val="ListParagraph"/>
        <w:spacing w:line="360" w:lineRule="auto"/>
        <w:rPr>
          <w:rFonts w:ascii="Arial" w:hAnsi="Arial" w:cs="Arial"/>
          <w:b w:val="0"/>
          <w:color w:val="auto"/>
        </w:rPr>
      </w:pPr>
    </w:p>
    <w:p w:rsidR="007D7E94" w:rsidRPr="000D7782" w:rsidRDefault="007D7E94" w:rsidP="00FE32B1">
      <w:pPr>
        <w:pStyle w:val="ListParagraph"/>
        <w:numPr>
          <w:ilvl w:val="0"/>
          <w:numId w:val="2"/>
        </w:numPr>
        <w:shd w:val="clear" w:color="auto" w:fill="FFFFFF" w:themeFill="background1"/>
        <w:spacing w:line="360" w:lineRule="auto"/>
        <w:ind w:left="851" w:hanging="851"/>
        <w:jc w:val="both"/>
        <w:textAlignment w:val="baseline"/>
        <w:outlineLvl w:val="1"/>
        <w:rPr>
          <w:rFonts w:ascii="Arial" w:hAnsi="Arial" w:cs="Arial"/>
          <w:b w:val="0"/>
          <w:color w:val="121212"/>
          <w:spacing w:val="-5"/>
          <w:lang w:val="en-US"/>
        </w:rPr>
      </w:pPr>
      <w:r w:rsidRPr="000D7782">
        <w:rPr>
          <w:rFonts w:ascii="Arial" w:hAnsi="Arial" w:cs="Arial"/>
          <w:b w:val="0"/>
          <w:color w:val="121212"/>
          <w:spacing w:val="-5"/>
          <w:lang w:val="en-US"/>
        </w:rPr>
        <w:t>Section 36 of the Constitution expressly stipulates that the</w:t>
      </w:r>
      <w:r w:rsidRPr="000D7782">
        <w:rPr>
          <w:rFonts w:ascii="Arial" w:hAnsi="Arial" w:cs="Arial"/>
          <w:b w:val="0"/>
          <w:color w:val="252525"/>
          <w:lang w:val="en-US"/>
        </w:rPr>
        <w:t xml:space="preserve"> rights in the Bill of Rights may be limited only in terms of law of general application to the extent </w:t>
      </w:r>
      <w:r w:rsidRPr="000D7782">
        <w:rPr>
          <w:rFonts w:ascii="Arial" w:hAnsi="Arial" w:cs="Arial"/>
          <w:b w:val="0"/>
          <w:color w:val="252525"/>
          <w:lang w:val="en-US"/>
        </w:rPr>
        <w:lastRenderedPageBreak/>
        <w:t xml:space="preserve">that the limitation is reasonable and justifiable in an open and democratic society, based on human dignity, equality and freedom, taking into account all relevant factors, including: (a) </w:t>
      </w:r>
      <w:r w:rsidRPr="000D7782">
        <w:rPr>
          <w:rFonts w:ascii="Arial" w:hAnsi="Arial" w:cs="Arial"/>
          <w:b w:val="0"/>
          <w:color w:val="252525"/>
          <w:lang w:val="en-US"/>
        </w:rPr>
        <w:softHyphen/>
        <w:t>the nature of the right; (b) the importance of the purpose of the limitation; (c) the nature and extent of the limitation; (d) the relation between the limitation and its purpose; and (e) less restrictive means to achieve the purpose</w:t>
      </w:r>
      <w:r w:rsidR="004320CA">
        <w:rPr>
          <w:rFonts w:ascii="Arial" w:hAnsi="Arial" w:cs="Arial"/>
          <w:b w:val="0"/>
          <w:color w:val="252525"/>
          <w:lang w:val="en-US"/>
        </w:rPr>
        <w:t xml:space="preserve">.  </w:t>
      </w:r>
      <w:r w:rsidRPr="000D7782">
        <w:rPr>
          <w:rFonts w:ascii="Arial" w:hAnsi="Arial" w:cs="Arial"/>
          <w:b w:val="0"/>
          <w:color w:val="252525"/>
          <w:lang w:val="en-US"/>
        </w:rPr>
        <w:t xml:space="preserve">Except as provided in </w:t>
      </w:r>
      <w:r w:rsidR="000F364E" w:rsidRPr="000D7782">
        <w:rPr>
          <w:rFonts w:ascii="Arial" w:hAnsi="Arial" w:cs="Arial"/>
          <w:b w:val="0"/>
          <w:color w:val="252525"/>
          <w:lang w:val="en-US"/>
        </w:rPr>
        <w:t xml:space="preserve">Section </w:t>
      </w:r>
      <w:r w:rsidRPr="000D7782">
        <w:rPr>
          <w:rFonts w:ascii="Arial" w:hAnsi="Arial" w:cs="Arial"/>
          <w:b w:val="0"/>
          <w:color w:val="252525"/>
          <w:lang w:val="en-US"/>
        </w:rPr>
        <w:t>36(1) or in any other provision of the Constitution, no law may limit any right entrenched in the Bill of Rights.</w:t>
      </w:r>
    </w:p>
    <w:p w:rsidR="0089467B" w:rsidRPr="000D7782" w:rsidRDefault="0089467B" w:rsidP="00FE32B1">
      <w:pPr>
        <w:pStyle w:val="ListParagraph"/>
        <w:shd w:val="clear" w:color="auto" w:fill="FFFFFF" w:themeFill="background1"/>
        <w:spacing w:line="360" w:lineRule="auto"/>
        <w:jc w:val="both"/>
        <w:textAlignment w:val="baseline"/>
        <w:outlineLvl w:val="1"/>
        <w:rPr>
          <w:rFonts w:ascii="Arial" w:hAnsi="Arial" w:cs="Arial"/>
          <w:b w:val="0"/>
          <w:color w:val="121212"/>
          <w:spacing w:val="-5"/>
          <w:lang w:val="en-US"/>
        </w:rPr>
      </w:pPr>
    </w:p>
    <w:p w:rsidR="00654DF4" w:rsidRPr="000D7782" w:rsidRDefault="00654DF4"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 xml:space="preserve">Literally nothing in </w:t>
      </w:r>
      <w:r w:rsidR="00164D26" w:rsidRPr="000D7782">
        <w:rPr>
          <w:rFonts w:ascii="Arial" w:hAnsi="Arial" w:cs="Arial"/>
          <w:b w:val="0"/>
          <w:color w:val="auto"/>
        </w:rPr>
        <w:t>Section</w:t>
      </w:r>
      <w:r w:rsidR="0066390D">
        <w:rPr>
          <w:rFonts w:ascii="Arial" w:hAnsi="Arial" w:cs="Arial"/>
          <w:b w:val="0"/>
          <w:color w:val="auto"/>
        </w:rPr>
        <w:t xml:space="preserve"> 80 of the Act, </w:t>
      </w:r>
      <w:r w:rsidRPr="000D7782">
        <w:rPr>
          <w:rFonts w:ascii="Arial" w:hAnsi="Arial" w:cs="Arial"/>
          <w:b w:val="0"/>
          <w:color w:val="auto"/>
        </w:rPr>
        <w:t>connotes that actions that are seen as qualifying actions are of such a nature that he/she who performs them actually puts him/herself in danger.</w:t>
      </w:r>
      <w:r w:rsidRPr="000D7782">
        <w:rPr>
          <w:rStyle w:val="FootnoteReference"/>
          <w:rFonts w:ascii="Arial" w:hAnsi="Arial" w:cs="Arial"/>
          <w:b w:val="0"/>
          <w:color w:val="auto"/>
        </w:rPr>
        <w:footnoteReference w:id="56"/>
      </w:r>
      <w:r w:rsidRPr="000D7782">
        <w:rPr>
          <w:rFonts w:ascii="Arial" w:hAnsi="Arial" w:cs="Arial"/>
          <w:b w:val="0"/>
          <w:color w:val="auto"/>
        </w:rPr>
        <w:t xml:space="preserve"> </w:t>
      </w:r>
      <w:r w:rsidR="000F364E" w:rsidRPr="000D7782">
        <w:rPr>
          <w:rFonts w:ascii="Arial" w:hAnsi="Arial" w:cs="Arial"/>
          <w:b w:val="0"/>
          <w:color w:val="auto"/>
        </w:rPr>
        <w:t xml:space="preserve"> </w:t>
      </w:r>
      <w:r w:rsidRPr="000D7782">
        <w:rPr>
          <w:rFonts w:ascii="Arial" w:hAnsi="Arial" w:cs="Arial"/>
          <w:b w:val="0"/>
          <w:color w:val="auto"/>
        </w:rPr>
        <w:t xml:space="preserve">It is so since the grammatical and ordinary sense of the expression </w:t>
      </w:r>
      <w:r w:rsidRPr="000D7782">
        <w:rPr>
          <w:rFonts w:ascii="Arial" w:hAnsi="Arial" w:cs="Arial"/>
          <w:b w:val="0"/>
          <w:i/>
          <w:color w:val="auto"/>
        </w:rPr>
        <w:t>“highly meritoriously”</w:t>
      </w:r>
      <w:r w:rsidRPr="000D7782">
        <w:rPr>
          <w:rFonts w:ascii="Arial" w:hAnsi="Arial" w:cs="Arial"/>
          <w:b w:val="0"/>
          <w:color w:val="auto"/>
        </w:rPr>
        <w:t xml:space="preserve"> means a </w:t>
      </w:r>
      <w:r w:rsidRPr="000D7782">
        <w:rPr>
          <w:rFonts w:ascii="Arial" w:hAnsi="Arial" w:cs="Arial"/>
          <w:b w:val="0"/>
          <w:i/>
          <w:color w:val="auto"/>
        </w:rPr>
        <w:t>“deserving reward or praise to a high degree.”</w:t>
      </w:r>
      <w:r w:rsidRPr="000D7782">
        <w:rPr>
          <w:rStyle w:val="FootnoteReference"/>
          <w:rFonts w:ascii="Arial" w:hAnsi="Arial" w:cs="Arial"/>
          <w:b w:val="0"/>
          <w:color w:val="auto"/>
        </w:rPr>
        <w:footnoteReference w:id="57"/>
      </w:r>
      <w:r w:rsidRPr="000D7782">
        <w:rPr>
          <w:rFonts w:ascii="Arial" w:hAnsi="Arial" w:cs="Arial"/>
          <w:b w:val="0"/>
          <w:i/>
          <w:color w:val="auto"/>
        </w:rPr>
        <w:t xml:space="preserve"> </w:t>
      </w:r>
      <w:r w:rsidR="000F364E" w:rsidRPr="000D7782">
        <w:rPr>
          <w:rFonts w:ascii="Arial" w:hAnsi="Arial" w:cs="Arial"/>
          <w:b w:val="0"/>
          <w:i/>
          <w:color w:val="auto"/>
        </w:rPr>
        <w:t xml:space="preserve"> </w:t>
      </w:r>
      <w:r w:rsidRPr="000D7782">
        <w:rPr>
          <w:rFonts w:ascii="Arial" w:hAnsi="Arial" w:cs="Arial"/>
          <w:b w:val="0"/>
          <w:color w:val="auto"/>
        </w:rPr>
        <w:t xml:space="preserve">The specific wording of the </w:t>
      </w:r>
      <w:r w:rsidR="00164D26" w:rsidRPr="000D7782">
        <w:rPr>
          <w:rFonts w:ascii="Arial" w:hAnsi="Arial" w:cs="Arial"/>
          <w:b w:val="0"/>
          <w:color w:val="auto"/>
        </w:rPr>
        <w:t>Section</w:t>
      </w:r>
      <w:r w:rsidRPr="000D7782">
        <w:rPr>
          <w:rFonts w:ascii="Arial" w:hAnsi="Arial" w:cs="Arial"/>
          <w:b w:val="0"/>
          <w:color w:val="auto"/>
        </w:rPr>
        <w:t xml:space="preserve"> therefore cannot be read to limit the factors that may be taken into account in the definition of “</w:t>
      </w:r>
      <w:r w:rsidRPr="000D7782">
        <w:rPr>
          <w:rFonts w:ascii="Arial" w:hAnsi="Arial" w:cs="Arial"/>
          <w:b w:val="0"/>
          <w:i/>
          <w:color w:val="auto"/>
        </w:rPr>
        <w:t>highly meritorious service</w:t>
      </w:r>
      <w:r w:rsidRPr="000D7782">
        <w:rPr>
          <w:rFonts w:ascii="Arial" w:hAnsi="Arial" w:cs="Arial"/>
          <w:b w:val="0"/>
          <w:color w:val="auto"/>
        </w:rPr>
        <w:t xml:space="preserve">.”  </w:t>
      </w:r>
    </w:p>
    <w:p w:rsidR="00654DF4" w:rsidRPr="000D7782" w:rsidRDefault="00654DF4" w:rsidP="00FE32B1">
      <w:pPr>
        <w:pStyle w:val="ListParagraph"/>
        <w:spacing w:line="360" w:lineRule="auto"/>
        <w:rPr>
          <w:rFonts w:ascii="Arial" w:hAnsi="Arial" w:cs="Arial"/>
          <w:b w:val="0"/>
          <w:color w:val="auto"/>
        </w:rPr>
      </w:pPr>
    </w:p>
    <w:p w:rsidR="00023006" w:rsidRPr="001F70B4" w:rsidRDefault="007D7E94" w:rsidP="00FE32B1">
      <w:pPr>
        <w:pStyle w:val="ListParagraph"/>
        <w:numPr>
          <w:ilvl w:val="0"/>
          <w:numId w:val="2"/>
        </w:numPr>
        <w:spacing w:line="360" w:lineRule="auto"/>
        <w:ind w:left="851" w:hanging="851"/>
        <w:jc w:val="both"/>
        <w:textAlignment w:val="baseline"/>
        <w:outlineLvl w:val="1"/>
        <w:rPr>
          <w:rFonts w:ascii="Arial" w:hAnsi="Arial" w:cs="Arial"/>
          <w:b w:val="0"/>
          <w:color w:val="121212"/>
          <w:spacing w:val="-5"/>
          <w:lang w:val="en-US"/>
        </w:rPr>
      </w:pPr>
      <w:r w:rsidRPr="000D7782">
        <w:rPr>
          <w:rFonts w:ascii="Arial" w:hAnsi="Arial" w:cs="Arial"/>
          <w:b w:val="0"/>
          <w:color w:val="auto"/>
        </w:rPr>
        <w:t>The foregoing</w:t>
      </w:r>
      <w:r w:rsidR="000F364E" w:rsidRPr="000D7782">
        <w:rPr>
          <w:rFonts w:ascii="Arial" w:hAnsi="Arial" w:cs="Arial"/>
          <w:b w:val="0"/>
          <w:color w:val="auto"/>
        </w:rPr>
        <w:t>,</w:t>
      </w:r>
      <w:r w:rsidRPr="000D7782">
        <w:rPr>
          <w:rFonts w:ascii="Arial" w:hAnsi="Arial" w:cs="Arial"/>
          <w:b w:val="0"/>
          <w:color w:val="auto"/>
        </w:rPr>
        <w:t xml:space="preserve"> notwithstanding the decision of the first respondent</w:t>
      </w:r>
      <w:r w:rsidR="000F364E" w:rsidRPr="000D7782">
        <w:rPr>
          <w:rFonts w:ascii="Arial" w:hAnsi="Arial" w:cs="Arial"/>
          <w:b w:val="0"/>
          <w:color w:val="auto"/>
        </w:rPr>
        <w:t>,</w:t>
      </w:r>
      <w:r w:rsidRPr="000D7782">
        <w:rPr>
          <w:rFonts w:ascii="Arial" w:hAnsi="Arial" w:cs="Arial"/>
          <w:b w:val="0"/>
          <w:color w:val="auto"/>
        </w:rPr>
        <w:t xml:space="preserve"> rigidly limited itself to Annexure E, which is an internal document that seems to have been developed merely as a guide that refers to the factors that may be regarded as deserving for special remission</w:t>
      </w:r>
      <w:r w:rsidR="004320CA">
        <w:rPr>
          <w:rFonts w:ascii="Arial" w:hAnsi="Arial" w:cs="Arial"/>
          <w:b w:val="0"/>
          <w:color w:val="auto"/>
        </w:rPr>
        <w:t xml:space="preserve">.  </w:t>
      </w:r>
      <w:r w:rsidRPr="000D7782">
        <w:rPr>
          <w:rFonts w:ascii="Arial" w:hAnsi="Arial" w:cs="Arial"/>
          <w:b w:val="0"/>
          <w:color w:val="auto"/>
        </w:rPr>
        <w:t xml:space="preserve">Whilst it is accepted that in our law that guidelines </w:t>
      </w:r>
      <w:r w:rsidR="00A1746C" w:rsidRPr="000D7782">
        <w:rPr>
          <w:rFonts w:ascii="Arial" w:hAnsi="Arial" w:cs="Arial"/>
          <w:b w:val="0"/>
          <w:color w:val="auto"/>
        </w:rPr>
        <w:t>can be “</w:t>
      </w:r>
      <w:r w:rsidR="00A1746C" w:rsidRPr="000D7782">
        <w:rPr>
          <w:rFonts w:ascii="Arial" w:hAnsi="Arial" w:cs="Arial"/>
          <w:b w:val="0"/>
          <w:i/>
          <w:color w:val="auto"/>
        </w:rPr>
        <w:t xml:space="preserve">of enormous assistance </w:t>
      </w:r>
      <w:r w:rsidRPr="000D7782">
        <w:rPr>
          <w:rFonts w:ascii="Arial" w:hAnsi="Arial" w:cs="Arial"/>
          <w:b w:val="0"/>
          <w:i/>
          <w:color w:val="auto"/>
        </w:rPr>
        <w:t>in ensuring consistency and predictability in the application of policy, especially when the decision is a complex one requiring the weighing and balancing of many different factors</w:t>
      </w:r>
      <w:r w:rsidR="00B068E6" w:rsidRPr="000D7782">
        <w:rPr>
          <w:rFonts w:ascii="Arial" w:hAnsi="Arial" w:cs="Arial"/>
          <w:b w:val="0"/>
          <w:color w:val="auto"/>
        </w:rPr>
        <w:t>”</w:t>
      </w:r>
      <w:r w:rsidRPr="000D7782">
        <w:rPr>
          <w:rFonts w:ascii="Arial" w:hAnsi="Arial" w:cs="Arial"/>
          <w:b w:val="0"/>
          <w:color w:val="auto"/>
        </w:rPr>
        <w:t>.</w:t>
      </w:r>
      <w:r w:rsidRPr="000D7782">
        <w:rPr>
          <w:rStyle w:val="FootnoteReference"/>
          <w:rFonts w:ascii="Arial" w:hAnsi="Arial" w:cs="Arial"/>
          <w:b w:val="0"/>
          <w:color w:val="auto"/>
        </w:rPr>
        <w:footnoteReference w:id="58"/>
      </w:r>
      <w:r w:rsidRPr="000D7782">
        <w:rPr>
          <w:rFonts w:ascii="Arial" w:hAnsi="Arial" w:cs="Arial"/>
          <w:b w:val="0"/>
          <w:color w:val="auto"/>
        </w:rPr>
        <w:t xml:space="preserve"> </w:t>
      </w:r>
    </w:p>
    <w:p w:rsidR="001F70B4" w:rsidRPr="001F70B4" w:rsidRDefault="001F70B4" w:rsidP="00FE32B1">
      <w:pPr>
        <w:pStyle w:val="ListParagraph"/>
        <w:spacing w:line="360" w:lineRule="auto"/>
        <w:rPr>
          <w:rFonts w:ascii="Arial" w:hAnsi="Arial" w:cs="Arial"/>
          <w:b w:val="0"/>
          <w:color w:val="121212"/>
          <w:spacing w:val="-5"/>
          <w:lang w:val="en-US"/>
        </w:rPr>
      </w:pPr>
    </w:p>
    <w:p w:rsidR="007D7E94" w:rsidRPr="000D7782" w:rsidRDefault="007D7E94" w:rsidP="00FE32B1">
      <w:pPr>
        <w:pStyle w:val="ListParagraph"/>
        <w:numPr>
          <w:ilvl w:val="0"/>
          <w:numId w:val="2"/>
        </w:numPr>
        <w:shd w:val="clear" w:color="auto" w:fill="FFFFFF" w:themeFill="background1"/>
        <w:spacing w:line="360" w:lineRule="auto"/>
        <w:ind w:left="851" w:hanging="851"/>
        <w:jc w:val="both"/>
        <w:textAlignment w:val="baseline"/>
        <w:outlineLvl w:val="1"/>
        <w:rPr>
          <w:rFonts w:ascii="Arial" w:hAnsi="Arial" w:cs="Arial"/>
          <w:b w:val="0"/>
          <w:color w:val="121212"/>
          <w:spacing w:val="-5"/>
          <w:lang w:val="en-US"/>
        </w:rPr>
      </w:pPr>
      <w:r w:rsidRPr="000D7782">
        <w:rPr>
          <w:rFonts w:ascii="Arial" w:hAnsi="Arial" w:cs="Arial"/>
          <w:b w:val="0"/>
          <w:color w:val="auto"/>
        </w:rPr>
        <w:t>It is trite in our law that in accordance with the duty to exercise authority, administrators may not act in ways that effectively prevent their discretionary powers from being exercised in the manner envisaged by the empowering provision</w:t>
      </w:r>
      <w:r w:rsidR="004320CA">
        <w:rPr>
          <w:rFonts w:ascii="Arial" w:hAnsi="Arial" w:cs="Arial"/>
          <w:b w:val="0"/>
          <w:color w:val="auto"/>
        </w:rPr>
        <w:t xml:space="preserve">.  </w:t>
      </w:r>
      <w:r w:rsidRPr="000D7782">
        <w:rPr>
          <w:rFonts w:ascii="Arial" w:hAnsi="Arial" w:cs="Arial"/>
          <w:b w:val="0"/>
          <w:color w:val="auto"/>
        </w:rPr>
        <w:t>The fact that</w:t>
      </w:r>
      <w:r w:rsidR="00061884" w:rsidRPr="000D7782">
        <w:rPr>
          <w:rFonts w:ascii="Arial" w:hAnsi="Arial" w:cs="Arial"/>
          <w:b w:val="0"/>
          <w:color w:val="auto"/>
        </w:rPr>
        <w:t xml:space="preserve"> Annexure E itsel</w:t>
      </w:r>
      <w:r w:rsidR="000D0BFD" w:rsidRPr="000D7782">
        <w:rPr>
          <w:rFonts w:ascii="Arial" w:hAnsi="Arial" w:cs="Arial"/>
          <w:b w:val="0"/>
          <w:color w:val="auto"/>
        </w:rPr>
        <w:t xml:space="preserve">f </w:t>
      </w:r>
      <w:r w:rsidRPr="000D7782">
        <w:rPr>
          <w:rFonts w:ascii="Arial" w:hAnsi="Arial" w:cs="Arial"/>
          <w:b w:val="0"/>
          <w:color w:val="auto"/>
        </w:rPr>
        <w:t>regards the devel</w:t>
      </w:r>
      <w:r w:rsidR="00061884" w:rsidRPr="000D7782">
        <w:rPr>
          <w:rFonts w:ascii="Arial" w:hAnsi="Arial" w:cs="Arial"/>
          <w:b w:val="0"/>
          <w:color w:val="auto"/>
        </w:rPr>
        <w:t>opment of</w:t>
      </w:r>
      <w:r w:rsidRPr="000D7782">
        <w:rPr>
          <w:rFonts w:ascii="Arial" w:hAnsi="Arial" w:cs="Arial"/>
          <w:b w:val="0"/>
          <w:color w:val="auto"/>
        </w:rPr>
        <w:t xml:space="preserve"> implements or devices to save the State money as a conduct which may</w:t>
      </w:r>
      <w:r w:rsidR="00061884" w:rsidRPr="000D7782">
        <w:rPr>
          <w:rFonts w:ascii="Arial" w:hAnsi="Arial" w:cs="Arial"/>
          <w:b w:val="0"/>
          <w:color w:val="auto"/>
        </w:rPr>
        <w:t xml:space="preserve"> be</w:t>
      </w:r>
      <w:r w:rsidRPr="000D7782">
        <w:rPr>
          <w:rFonts w:ascii="Arial" w:hAnsi="Arial" w:cs="Arial"/>
          <w:b w:val="0"/>
          <w:color w:val="auto"/>
        </w:rPr>
        <w:t xml:space="preserve"> regarded as deserving, belies the respondents’ contention that all the actions </w:t>
      </w:r>
      <w:r w:rsidRPr="000D7782">
        <w:rPr>
          <w:rFonts w:ascii="Arial" w:hAnsi="Arial" w:cs="Arial"/>
          <w:b w:val="0"/>
          <w:color w:val="auto"/>
        </w:rPr>
        <w:lastRenderedPageBreak/>
        <w:t xml:space="preserve">that are seen as qualifying actions </w:t>
      </w:r>
      <w:r w:rsidR="0066390D">
        <w:rPr>
          <w:rFonts w:ascii="Arial" w:hAnsi="Arial" w:cs="Arial"/>
          <w:b w:val="0"/>
          <w:color w:val="auto"/>
        </w:rPr>
        <w:t>should be</w:t>
      </w:r>
      <w:r w:rsidRPr="000D7782">
        <w:rPr>
          <w:rFonts w:ascii="Arial" w:hAnsi="Arial" w:cs="Arial"/>
          <w:b w:val="0"/>
          <w:color w:val="auto"/>
        </w:rPr>
        <w:t xml:space="preserve"> of such a nature that he/she who performs them</w:t>
      </w:r>
      <w:r w:rsidR="000D0BFD" w:rsidRPr="000D7782">
        <w:rPr>
          <w:rFonts w:ascii="Arial" w:hAnsi="Arial" w:cs="Arial"/>
          <w:b w:val="0"/>
          <w:color w:val="auto"/>
        </w:rPr>
        <w:t>,</w:t>
      </w:r>
      <w:r w:rsidRPr="000D7782">
        <w:rPr>
          <w:rFonts w:ascii="Arial" w:hAnsi="Arial" w:cs="Arial"/>
          <w:b w:val="0"/>
          <w:color w:val="auto"/>
        </w:rPr>
        <w:t xml:space="preserve"> actually puts him/herself in danger. </w:t>
      </w:r>
    </w:p>
    <w:p w:rsidR="007D7E94" w:rsidRPr="000D7782" w:rsidRDefault="007D7E94" w:rsidP="00FE32B1">
      <w:pPr>
        <w:pStyle w:val="ListParagraph"/>
        <w:spacing w:line="360" w:lineRule="auto"/>
        <w:rPr>
          <w:rFonts w:ascii="Arial" w:hAnsi="Arial" w:cs="Arial"/>
          <w:b w:val="0"/>
          <w:color w:val="auto"/>
        </w:rPr>
      </w:pPr>
    </w:p>
    <w:p w:rsidR="007D7E94" w:rsidRPr="000D7782" w:rsidRDefault="007D7E94" w:rsidP="00FE32B1">
      <w:pPr>
        <w:pStyle w:val="ListParagraph"/>
        <w:numPr>
          <w:ilvl w:val="0"/>
          <w:numId w:val="2"/>
        </w:numPr>
        <w:shd w:val="clear" w:color="auto" w:fill="FFFFFF" w:themeFill="background1"/>
        <w:spacing w:line="360" w:lineRule="auto"/>
        <w:ind w:left="851" w:hanging="851"/>
        <w:jc w:val="both"/>
        <w:textAlignment w:val="baseline"/>
        <w:outlineLvl w:val="1"/>
        <w:rPr>
          <w:rFonts w:ascii="Arial" w:hAnsi="Arial" w:cs="Arial"/>
          <w:b w:val="0"/>
          <w:color w:val="121212"/>
          <w:spacing w:val="-5"/>
          <w:lang w:val="en-US"/>
        </w:rPr>
      </w:pPr>
      <w:r w:rsidRPr="000D7782">
        <w:rPr>
          <w:rFonts w:ascii="Arial" w:hAnsi="Arial" w:cs="Arial"/>
          <w:b w:val="0"/>
          <w:color w:val="auto"/>
        </w:rPr>
        <w:t xml:space="preserve">In </w:t>
      </w:r>
      <w:r w:rsidRPr="000D7782">
        <w:rPr>
          <w:rFonts w:ascii="Arial" w:hAnsi="Arial" w:cs="Arial"/>
          <w:color w:val="auto"/>
        </w:rPr>
        <w:t xml:space="preserve">Kemp NO </w:t>
      </w:r>
      <w:r w:rsidR="00A720B1" w:rsidRPr="000D7782">
        <w:rPr>
          <w:rFonts w:ascii="Arial" w:hAnsi="Arial" w:cs="Arial"/>
          <w:i/>
          <w:color w:val="auto"/>
        </w:rPr>
        <w:t>v</w:t>
      </w:r>
      <w:r w:rsidRPr="000D7782">
        <w:rPr>
          <w:rFonts w:ascii="Arial" w:hAnsi="Arial" w:cs="Arial"/>
          <w:color w:val="auto"/>
        </w:rPr>
        <w:t xml:space="preserve"> Van Wyk</w:t>
      </w:r>
      <w:r w:rsidRPr="000D7782">
        <w:rPr>
          <w:rFonts w:ascii="Arial" w:hAnsi="Arial" w:cs="Arial"/>
          <w:b w:val="0"/>
          <w:color w:val="auto"/>
        </w:rPr>
        <w:t xml:space="preserve"> the Supreme Court of Appeal held that an administrator was entitled to evaluate an application in light of the directorate’s existing policy “</w:t>
      </w:r>
      <w:r w:rsidRPr="000D7782">
        <w:rPr>
          <w:rFonts w:ascii="Arial" w:hAnsi="Arial" w:cs="Arial"/>
          <w:b w:val="0"/>
          <w:i/>
          <w:color w:val="auto"/>
        </w:rPr>
        <w:t>provided that he was always independently satisfied that the policy was appropriate to the particular case and did consider it to be</w:t>
      </w:r>
      <w:r w:rsidR="0066390D">
        <w:rPr>
          <w:rFonts w:ascii="Arial" w:hAnsi="Arial" w:cs="Arial"/>
          <w:b w:val="0"/>
          <w:i/>
          <w:color w:val="auto"/>
        </w:rPr>
        <w:t xml:space="preserve"> a</w:t>
      </w:r>
      <w:r w:rsidRPr="000D7782">
        <w:rPr>
          <w:rFonts w:ascii="Arial" w:hAnsi="Arial" w:cs="Arial"/>
          <w:b w:val="0"/>
          <w:i/>
          <w:color w:val="auto"/>
        </w:rPr>
        <w:t xml:space="preserve"> rule to which he was bound; conditions which were satisfied in that case</w:t>
      </w:r>
      <w:r w:rsidR="000D0BFD" w:rsidRPr="000D7782">
        <w:rPr>
          <w:rFonts w:ascii="Arial" w:hAnsi="Arial" w:cs="Arial"/>
          <w:b w:val="0"/>
          <w:i/>
          <w:color w:val="auto"/>
        </w:rPr>
        <w:t>”</w:t>
      </w:r>
      <w:r w:rsidRPr="000D7782">
        <w:rPr>
          <w:rFonts w:ascii="Arial" w:hAnsi="Arial" w:cs="Arial"/>
          <w:b w:val="0"/>
          <w:i/>
          <w:color w:val="auto"/>
        </w:rPr>
        <w:t>.</w:t>
      </w:r>
      <w:r w:rsidRPr="000D7782">
        <w:rPr>
          <w:rStyle w:val="FootnoteReference"/>
          <w:rFonts w:ascii="Arial" w:hAnsi="Arial" w:cs="Arial"/>
          <w:b w:val="0"/>
          <w:color w:val="auto"/>
        </w:rPr>
        <w:footnoteReference w:id="59"/>
      </w:r>
      <w:r w:rsidR="001030E1" w:rsidRPr="000D7782">
        <w:rPr>
          <w:rFonts w:ascii="Arial" w:hAnsi="Arial" w:cs="Arial"/>
          <w:b w:val="0"/>
          <w:color w:val="auto"/>
        </w:rPr>
        <w:t xml:space="preserve"> </w:t>
      </w:r>
      <w:r w:rsidR="000D0BFD" w:rsidRPr="000D7782">
        <w:rPr>
          <w:rFonts w:ascii="Arial" w:hAnsi="Arial" w:cs="Arial"/>
          <w:b w:val="0"/>
          <w:color w:val="auto"/>
        </w:rPr>
        <w:t xml:space="preserve"> </w:t>
      </w:r>
      <w:r w:rsidR="001030E1" w:rsidRPr="000D7782">
        <w:rPr>
          <w:rFonts w:ascii="Arial" w:hAnsi="Arial" w:cs="Arial"/>
          <w:b w:val="0"/>
          <w:color w:val="auto"/>
        </w:rPr>
        <w:t>That</w:t>
      </w:r>
      <w:r w:rsidRPr="000D7782">
        <w:rPr>
          <w:rFonts w:ascii="Arial" w:hAnsi="Arial" w:cs="Arial"/>
          <w:b w:val="0"/>
          <w:color w:val="auto"/>
        </w:rPr>
        <w:t xml:space="preserve"> Court said the following at paragraph 1:</w:t>
      </w:r>
    </w:p>
    <w:p w:rsidR="007D7E94" w:rsidRPr="000D7782" w:rsidRDefault="007D7E94" w:rsidP="00FE32B1">
      <w:pPr>
        <w:pStyle w:val="ListParagraph"/>
        <w:spacing w:line="360" w:lineRule="auto"/>
        <w:rPr>
          <w:rFonts w:ascii="Arial" w:hAnsi="Arial" w:cs="Arial"/>
          <w:b w:val="0"/>
          <w:color w:val="121212"/>
          <w:spacing w:val="-5"/>
          <w:lang w:val="en-US"/>
        </w:rPr>
      </w:pPr>
    </w:p>
    <w:p w:rsidR="007D7E94" w:rsidRPr="000D7782" w:rsidRDefault="007D7E94" w:rsidP="00FE32B1">
      <w:pPr>
        <w:pStyle w:val="ListParagraph"/>
        <w:spacing w:line="360" w:lineRule="auto"/>
        <w:ind w:left="1701" w:hanging="850"/>
        <w:jc w:val="both"/>
        <w:textAlignment w:val="baseline"/>
        <w:outlineLvl w:val="1"/>
        <w:rPr>
          <w:rFonts w:ascii="Arial" w:hAnsi="Arial" w:cs="Arial"/>
          <w:b w:val="0"/>
          <w:i/>
          <w:color w:val="121212"/>
          <w:spacing w:val="-5"/>
          <w:lang w:val="en-US"/>
        </w:rPr>
      </w:pPr>
      <w:r w:rsidRPr="001F70B4">
        <w:rPr>
          <w:rFonts w:ascii="Times New Roman" w:hAnsi="Times New Roman"/>
          <w:b w:val="0"/>
          <w:i/>
          <w:color w:val="121212"/>
          <w:spacing w:val="-5"/>
          <w:lang w:val="en-US"/>
        </w:rPr>
        <w:t>“</w:t>
      </w:r>
      <w:r w:rsidRPr="001F70B4">
        <w:rPr>
          <w:rFonts w:ascii="Times New Roman" w:hAnsi="Times New Roman"/>
          <w:b w:val="0"/>
          <w:i/>
          <w:color w:val="242121"/>
          <w:shd w:val="clear" w:color="auto" w:fill="FFFFFF"/>
        </w:rPr>
        <w:t xml:space="preserve">[1] </w:t>
      </w:r>
      <w:r w:rsidR="001F70B4">
        <w:rPr>
          <w:rFonts w:ascii="Times New Roman" w:hAnsi="Times New Roman"/>
          <w:b w:val="0"/>
          <w:i/>
          <w:color w:val="242121"/>
          <w:shd w:val="clear" w:color="auto" w:fill="FFFFFF"/>
        </w:rPr>
        <w:tab/>
      </w:r>
      <w:proofErr w:type="gramStart"/>
      <w:r w:rsidRPr="001F70B4">
        <w:rPr>
          <w:rFonts w:ascii="Times New Roman" w:hAnsi="Times New Roman"/>
          <w:i/>
          <w:color w:val="242121"/>
          <w:shd w:val="clear" w:color="auto" w:fill="FFFFFF"/>
        </w:rPr>
        <w:t>A</w:t>
      </w:r>
      <w:proofErr w:type="gramEnd"/>
      <w:r w:rsidRPr="001F70B4">
        <w:rPr>
          <w:rFonts w:ascii="Times New Roman" w:hAnsi="Times New Roman"/>
          <w:i/>
          <w:color w:val="242121"/>
          <w:shd w:val="clear" w:color="auto" w:fill="FFFFFF"/>
        </w:rPr>
        <w:t xml:space="preserve"> public official who is vested with a discretion must exercise it with an open mind</w:t>
      </w:r>
      <w:r w:rsidRPr="001F70B4">
        <w:rPr>
          <w:rFonts w:ascii="Times New Roman" w:hAnsi="Times New Roman"/>
          <w:b w:val="0"/>
          <w:i/>
          <w:color w:val="242121"/>
          <w:shd w:val="clear" w:color="auto" w:fill="FFFFFF"/>
        </w:rPr>
        <w:t xml:space="preserve"> but not necessarily a mind that is untrammelled by existing principles or policy</w:t>
      </w:r>
      <w:r w:rsidR="004320CA">
        <w:rPr>
          <w:rFonts w:ascii="Times New Roman" w:hAnsi="Times New Roman"/>
          <w:b w:val="0"/>
          <w:i/>
          <w:color w:val="242121"/>
          <w:shd w:val="clear" w:color="auto" w:fill="FFFFFF"/>
        </w:rPr>
        <w:t xml:space="preserve">.  </w:t>
      </w:r>
      <w:r w:rsidRPr="001F70B4">
        <w:rPr>
          <w:rFonts w:ascii="Times New Roman" w:hAnsi="Times New Roman"/>
          <w:b w:val="0"/>
          <w:i/>
          <w:color w:val="242121"/>
          <w:shd w:val="clear" w:color="auto" w:fill="FFFFFF"/>
        </w:rPr>
        <w:t xml:space="preserve">In some cases, the enabling statute may require that to be done, either expressly or by implication from the nature of the particular discretion, </w:t>
      </w:r>
      <w:r w:rsidRPr="001F70B4">
        <w:rPr>
          <w:rFonts w:ascii="Times New Roman" w:hAnsi="Times New Roman"/>
          <w:i/>
          <w:color w:val="242121"/>
          <w:shd w:val="clear" w:color="auto" w:fill="FFFFFF"/>
        </w:rPr>
        <w:t>but generally there can be no objection to an official exercising a discretion in accordance with an existing policy if he or she is independently satisfied that the policy is appropriate to the circumstances of the particular case</w:t>
      </w:r>
      <w:r w:rsidR="004320CA">
        <w:rPr>
          <w:rFonts w:ascii="Times New Roman" w:hAnsi="Times New Roman"/>
          <w:i/>
          <w:color w:val="242121"/>
          <w:shd w:val="clear" w:color="auto" w:fill="FFFFFF"/>
        </w:rPr>
        <w:t xml:space="preserve">.  </w:t>
      </w:r>
      <w:r w:rsidRPr="001F70B4">
        <w:rPr>
          <w:rFonts w:ascii="Times New Roman" w:hAnsi="Times New Roman"/>
          <w:i/>
          <w:color w:val="242121"/>
          <w:shd w:val="clear" w:color="auto" w:fill="FFFFFF"/>
        </w:rPr>
        <w:t>What is required is only that he or she does not elevate principles or policies into rules that are considered to be binding with the result that no discretion is exercised at all</w:t>
      </w:r>
      <w:r w:rsidR="004320CA">
        <w:rPr>
          <w:rFonts w:ascii="Times New Roman" w:hAnsi="Times New Roman"/>
          <w:i/>
          <w:color w:val="242121"/>
          <w:shd w:val="clear" w:color="auto" w:fill="FFFFFF"/>
        </w:rPr>
        <w:t xml:space="preserve">.  </w:t>
      </w:r>
      <w:r w:rsidRPr="001F70B4">
        <w:rPr>
          <w:rFonts w:ascii="Times New Roman" w:hAnsi="Times New Roman"/>
          <w:b w:val="0"/>
          <w:i/>
          <w:color w:val="242121"/>
          <w:shd w:val="clear" w:color="auto" w:fill="FFFFFF"/>
        </w:rPr>
        <w:t xml:space="preserve">Those principles emerge from the decision of this </w:t>
      </w:r>
      <w:r w:rsidR="00164D26" w:rsidRPr="001F70B4">
        <w:rPr>
          <w:rFonts w:ascii="Times New Roman" w:hAnsi="Times New Roman"/>
          <w:b w:val="0"/>
          <w:i/>
          <w:color w:val="242121"/>
          <w:shd w:val="clear" w:color="auto" w:fill="FFFFFF"/>
        </w:rPr>
        <w:t>Court</w:t>
      </w:r>
      <w:r w:rsidRPr="001F70B4">
        <w:rPr>
          <w:rFonts w:ascii="Times New Roman" w:hAnsi="Times New Roman"/>
          <w:b w:val="0"/>
          <w:i/>
          <w:color w:val="242121"/>
          <w:shd w:val="clear" w:color="auto" w:fill="FFFFFF"/>
        </w:rPr>
        <w:t xml:space="preserve"> in </w:t>
      </w:r>
      <w:r w:rsidRPr="001F70B4">
        <w:rPr>
          <w:rFonts w:ascii="Times New Roman" w:hAnsi="Times New Roman"/>
          <w:b w:val="0"/>
          <w:i/>
          <w:iCs/>
          <w:color w:val="242121"/>
          <w:shd w:val="clear" w:color="auto" w:fill="FFFFFF"/>
        </w:rPr>
        <w:t>Britten v Pope </w:t>
      </w:r>
      <w:hyperlink r:id="rId9" w:tooltip="View LawCiteRecord" w:history="1">
        <w:r w:rsidRPr="001F70B4">
          <w:rPr>
            <w:rStyle w:val="Hyperlink"/>
            <w:rFonts w:ascii="Times New Roman" w:hAnsi="Times New Roman"/>
            <w:b w:val="0"/>
            <w:i/>
            <w:color w:val="0B4B0B"/>
            <w:u w:val="none"/>
            <w:shd w:val="clear" w:color="auto" w:fill="FFFFFF"/>
          </w:rPr>
          <w:t>1916 AD 150</w:t>
        </w:r>
      </w:hyperlink>
      <w:r w:rsidRPr="001F70B4">
        <w:rPr>
          <w:rFonts w:ascii="Times New Roman" w:hAnsi="Times New Roman"/>
          <w:b w:val="0"/>
          <w:i/>
          <w:color w:val="242121"/>
          <w:shd w:val="clear" w:color="auto" w:fill="FFFFFF"/>
        </w:rPr>
        <w:t> and remain applicable today.</w:t>
      </w:r>
      <w:r w:rsidR="001F70B4">
        <w:rPr>
          <w:rFonts w:ascii="Times New Roman" w:hAnsi="Times New Roman"/>
          <w:b w:val="0"/>
          <w:i/>
          <w:color w:val="242121"/>
          <w:shd w:val="clear" w:color="auto" w:fill="FFFFFF"/>
        </w:rPr>
        <w:t>”</w:t>
      </w:r>
      <w:r w:rsidRPr="000D7782">
        <w:rPr>
          <w:rStyle w:val="FootnoteReference"/>
          <w:rFonts w:ascii="Arial" w:hAnsi="Arial" w:cs="Arial"/>
          <w:b w:val="0"/>
          <w:color w:val="242121"/>
          <w:shd w:val="clear" w:color="auto" w:fill="FFFFFF"/>
        </w:rPr>
        <w:footnoteReference w:id="60"/>
      </w:r>
    </w:p>
    <w:p w:rsidR="007D7E94" w:rsidRPr="000D7782" w:rsidRDefault="007D7E94" w:rsidP="00FE32B1">
      <w:pPr>
        <w:pStyle w:val="ListParagraph"/>
        <w:spacing w:line="360" w:lineRule="auto"/>
        <w:rPr>
          <w:rFonts w:ascii="Arial" w:hAnsi="Arial" w:cs="Arial"/>
          <w:b w:val="0"/>
          <w:color w:val="auto"/>
        </w:rPr>
      </w:pPr>
    </w:p>
    <w:p w:rsidR="007D7E94" w:rsidRPr="000D7782" w:rsidRDefault="007D7E94" w:rsidP="00FE32B1">
      <w:pPr>
        <w:pStyle w:val="ListParagraph"/>
        <w:numPr>
          <w:ilvl w:val="0"/>
          <w:numId w:val="2"/>
        </w:numPr>
        <w:shd w:val="clear" w:color="auto" w:fill="FFFFFF" w:themeFill="background1"/>
        <w:spacing w:line="360" w:lineRule="auto"/>
        <w:ind w:left="851" w:hanging="851"/>
        <w:jc w:val="both"/>
        <w:textAlignment w:val="baseline"/>
        <w:outlineLvl w:val="1"/>
        <w:rPr>
          <w:rFonts w:ascii="Arial" w:hAnsi="Arial" w:cs="Arial"/>
          <w:b w:val="0"/>
          <w:i/>
          <w:color w:val="121212"/>
          <w:spacing w:val="-5"/>
          <w:lang w:val="en-US"/>
        </w:rPr>
      </w:pPr>
      <w:r w:rsidRPr="000D7782">
        <w:rPr>
          <w:rFonts w:ascii="Arial" w:hAnsi="Arial" w:cs="Arial"/>
          <w:b w:val="0"/>
          <w:color w:val="auto"/>
        </w:rPr>
        <w:t xml:space="preserve">In </w:t>
      </w:r>
      <w:r w:rsidRPr="000D7782">
        <w:rPr>
          <w:rFonts w:ascii="Arial" w:hAnsi="Arial" w:cs="Arial"/>
          <w:color w:val="auto"/>
        </w:rPr>
        <w:t xml:space="preserve">Johannesburg Town Council </w:t>
      </w:r>
      <w:r w:rsidR="00A720B1" w:rsidRPr="000D7782">
        <w:rPr>
          <w:rFonts w:ascii="Arial" w:hAnsi="Arial" w:cs="Arial"/>
          <w:i/>
          <w:color w:val="auto"/>
        </w:rPr>
        <w:t xml:space="preserve">v </w:t>
      </w:r>
      <w:r w:rsidRPr="000D7782">
        <w:rPr>
          <w:rFonts w:ascii="Arial" w:hAnsi="Arial" w:cs="Arial"/>
          <w:color w:val="auto"/>
        </w:rPr>
        <w:t>Norman Anstey &amp; Co</w:t>
      </w:r>
      <w:r w:rsidRPr="000D7782">
        <w:rPr>
          <w:rFonts w:ascii="Arial" w:hAnsi="Arial" w:cs="Arial"/>
          <w:b w:val="0"/>
          <w:color w:val="auto"/>
        </w:rPr>
        <w:t>, a local authority’s decision not to grant a tearoom licence was found to have been dictated by the general application of its rule and thus failed to treat the application on its own merits</w:t>
      </w:r>
      <w:r w:rsidR="004320CA">
        <w:rPr>
          <w:rFonts w:ascii="Arial" w:hAnsi="Arial" w:cs="Arial"/>
          <w:b w:val="0"/>
          <w:color w:val="auto"/>
        </w:rPr>
        <w:t xml:space="preserve">.  </w:t>
      </w:r>
      <w:r w:rsidRPr="000D7782">
        <w:rPr>
          <w:rFonts w:ascii="Arial" w:hAnsi="Arial" w:cs="Arial"/>
          <w:b w:val="0"/>
          <w:color w:val="auto"/>
        </w:rPr>
        <w:t xml:space="preserve">Similarly, in </w:t>
      </w:r>
      <w:proofErr w:type="spellStart"/>
      <w:r w:rsidRPr="000D7782">
        <w:rPr>
          <w:rFonts w:ascii="Arial" w:hAnsi="Arial" w:cs="Arial"/>
          <w:color w:val="auto"/>
        </w:rPr>
        <w:t>Moreletta</w:t>
      </w:r>
      <w:proofErr w:type="spellEnd"/>
      <w:r w:rsidR="00A720B1" w:rsidRPr="000D7782">
        <w:rPr>
          <w:rFonts w:ascii="Arial" w:hAnsi="Arial" w:cs="Arial"/>
          <w:color w:val="auto"/>
        </w:rPr>
        <w:t xml:space="preserve"> </w:t>
      </w:r>
      <w:proofErr w:type="spellStart"/>
      <w:r w:rsidR="00A720B1" w:rsidRPr="000D7782">
        <w:rPr>
          <w:rFonts w:ascii="Arial" w:hAnsi="Arial" w:cs="Arial"/>
          <w:color w:val="auto"/>
        </w:rPr>
        <w:t>S</w:t>
      </w:r>
      <w:r w:rsidRPr="000D7782">
        <w:rPr>
          <w:rFonts w:ascii="Arial" w:hAnsi="Arial" w:cs="Arial"/>
          <w:color w:val="auto"/>
        </w:rPr>
        <w:t>entrum</w:t>
      </w:r>
      <w:proofErr w:type="spellEnd"/>
      <w:r w:rsidRPr="000D7782">
        <w:rPr>
          <w:rFonts w:ascii="Arial" w:hAnsi="Arial" w:cs="Arial"/>
          <w:color w:val="auto"/>
        </w:rPr>
        <w:t xml:space="preserve"> </w:t>
      </w:r>
      <w:r w:rsidR="00A720B1" w:rsidRPr="000D7782">
        <w:rPr>
          <w:rFonts w:ascii="Arial" w:hAnsi="Arial" w:cs="Arial"/>
          <w:i/>
          <w:color w:val="auto"/>
        </w:rPr>
        <w:t>v</w:t>
      </w:r>
      <w:r w:rsidRPr="000D7782">
        <w:rPr>
          <w:rFonts w:ascii="Arial" w:hAnsi="Arial" w:cs="Arial"/>
          <w:color w:val="auto"/>
        </w:rPr>
        <w:t xml:space="preserve"> Die </w:t>
      </w:r>
      <w:proofErr w:type="spellStart"/>
      <w:r w:rsidRPr="000D7782">
        <w:rPr>
          <w:rFonts w:ascii="Arial" w:hAnsi="Arial" w:cs="Arial"/>
          <w:color w:val="auto"/>
        </w:rPr>
        <w:t>Drankraad</w:t>
      </w:r>
      <w:proofErr w:type="spellEnd"/>
      <w:r w:rsidRPr="000D7782">
        <w:rPr>
          <w:rFonts w:ascii="Arial" w:hAnsi="Arial" w:cs="Arial"/>
          <w:b w:val="0"/>
          <w:color w:val="auto"/>
        </w:rPr>
        <w:t>, a liquor board’s decision was set aside on the grounds that the administrator’s mistake was to apply the policy as a hard-and-fast rule in circumstances that justified a departure from the policy and allowed itself to be blinded by same</w:t>
      </w:r>
      <w:r w:rsidR="004320CA">
        <w:rPr>
          <w:rFonts w:ascii="Arial" w:hAnsi="Arial" w:cs="Arial"/>
          <w:b w:val="0"/>
          <w:color w:val="auto"/>
        </w:rPr>
        <w:t xml:space="preserve">.  </w:t>
      </w:r>
      <w:r w:rsidRPr="000D7782">
        <w:rPr>
          <w:rFonts w:ascii="Arial" w:hAnsi="Arial" w:cs="Arial"/>
          <w:b w:val="0"/>
          <w:color w:val="auto"/>
        </w:rPr>
        <w:t xml:space="preserve">The germane question herein is thus whether the respondents’ </w:t>
      </w:r>
      <w:r w:rsidR="0066390D">
        <w:rPr>
          <w:rFonts w:ascii="Arial" w:hAnsi="Arial" w:cs="Arial"/>
          <w:b w:val="0"/>
          <w:color w:val="auto"/>
        </w:rPr>
        <w:t xml:space="preserve">strong headed </w:t>
      </w:r>
      <w:r w:rsidRPr="000D7782">
        <w:rPr>
          <w:rFonts w:ascii="Arial" w:hAnsi="Arial" w:cs="Arial"/>
          <w:b w:val="0"/>
          <w:color w:val="auto"/>
        </w:rPr>
        <w:lastRenderedPageBreak/>
        <w:t>reliance on Annexure E severally</w:t>
      </w:r>
      <w:r w:rsidR="0066390D">
        <w:rPr>
          <w:rFonts w:ascii="Arial" w:hAnsi="Arial" w:cs="Arial"/>
          <w:b w:val="0"/>
          <w:color w:val="auto"/>
        </w:rPr>
        <w:t>,</w:t>
      </w:r>
      <w:r w:rsidRPr="000D7782">
        <w:rPr>
          <w:rFonts w:ascii="Arial" w:hAnsi="Arial" w:cs="Arial"/>
          <w:b w:val="0"/>
          <w:color w:val="auto"/>
        </w:rPr>
        <w:t xml:space="preserve"> precluded them from properly exercising the powers bestowed them in terms of the empowering provision</w:t>
      </w:r>
      <w:r w:rsidR="004320CA">
        <w:rPr>
          <w:rFonts w:ascii="Arial" w:hAnsi="Arial" w:cs="Arial"/>
          <w:b w:val="0"/>
          <w:color w:val="auto"/>
        </w:rPr>
        <w:t xml:space="preserve">. </w:t>
      </w:r>
      <w:r w:rsidR="0066390D">
        <w:rPr>
          <w:rFonts w:ascii="Arial" w:hAnsi="Arial" w:cs="Arial"/>
          <w:b w:val="0"/>
          <w:color w:val="auto"/>
        </w:rPr>
        <w:t xml:space="preserve">The answer is </w:t>
      </w:r>
      <w:r w:rsidR="00C81FCB">
        <w:rPr>
          <w:rFonts w:ascii="Arial" w:hAnsi="Arial" w:cs="Arial"/>
          <w:b w:val="0"/>
          <w:color w:val="auto"/>
        </w:rPr>
        <w:t>indubitably</w:t>
      </w:r>
      <w:r w:rsidR="0066390D">
        <w:rPr>
          <w:rFonts w:ascii="Arial" w:hAnsi="Arial" w:cs="Arial"/>
          <w:b w:val="0"/>
          <w:color w:val="auto"/>
        </w:rPr>
        <w:t xml:space="preserve"> in the affirmative. </w:t>
      </w:r>
      <w:r w:rsidR="004320CA">
        <w:rPr>
          <w:rFonts w:ascii="Arial" w:hAnsi="Arial" w:cs="Arial"/>
          <w:b w:val="0"/>
          <w:color w:val="auto"/>
        </w:rPr>
        <w:t xml:space="preserve"> </w:t>
      </w:r>
    </w:p>
    <w:p w:rsidR="00F10984" w:rsidRPr="000D7782" w:rsidRDefault="00F10984" w:rsidP="00FE32B1">
      <w:pPr>
        <w:pStyle w:val="ListParagraph"/>
        <w:shd w:val="clear" w:color="auto" w:fill="FFFFFF" w:themeFill="background1"/>
        <w:spacing w:line="360" w:lineRule="auto"/>
        <w:ind w:left="851"/>
        <w:jc w:val="both"/>
        <w:textAlignment w:val="baseline"/>
        <w:outlineLvl w:val="1"/>
        <w:rPr>
          <w:rFonts w:ascii="Arial" w:hAnsi="Arial" w:cs="Arial"/>
          <w:b w:val="0"/>
          <w:i/>
          <w:color w:val="121212"/>
          <w:spacing w:val="-5"/>
          <w:lang w:val="en-US"/>
        </w:rPr>
      </w:pPr>
    </w:p>
    <w:p w:rsidR="00F10984" w:rsidRPr="000D7782" w:rsidRDefault="007D7E94" w:rsidP="00FE32B1">
      <w:pPr>
        <w:pStyle w:val="ListParagraph"/>
        <w:numPr>
          <w:ilvl w:val="0"/>
          <w:numId w:val="2"/>
        </w:numPr>
        <w:shd w:val="clear" w:color="auto" w:fill="FFFFFF" w:themeFill="background1"/>
        <w:spacing w:line="360" w:lineRule="auto"/>
        <w:ind w:left="851" w:hanging="851"/>
        <w:jc w:val="both"/>
        <w:textAlignment w:val="baseline"/>
        <w:outlineLvl w:val="1"/>
        <w:rPr>
          <w:rFonts w:ascii="Arial" w:hAnsi="Arial" w:cs="Arial"/>
          <w:b w:val="0"/>
          <w:i/>
          <w:color w:val="121212"/>
          <w:spacing w:val="-5"/>
          <w:lang w:val="en-US"/>
        </w:rPr>
      </w:pPr>
      <w:r w:rsidRPr="000D7782">
        <w:rPr>
          <w:rFonts w:ascii="Arial" w:hAnsi="Arial" w:cs="Arial"/>
          <w:b w:val="0"/>
          <w:color w:val="121212"/>
          <w:spacing w:val="-5"/>
          <w:lang w:val="en-US"/>
        </w:rPr>
        <w:t>Section 6(2)(h) and</w:t>
      </w:r>
      <w:r w:rsidR="00061884" w:rsidRPr="000D7782">
        <w:rPr>
          <w:rFonts w:ascii="Arial" w:hAnsi="Arial" w:cs="Arial"/>
          <w:b w:val="0"/>
          <w:color w:val="121212"/>
          <w:spacing w:val="-5"/>
          <w:lang w:val="en-US"/>
        </w:rPr>
        <w:t xml:space="preserve"> (</w:t>
      </w:r>
      <w:proofErr w:type="spellStart"/>
      <w:r w:rsidR="00061884" w:rsidRPr="000D7782">
        <w:rPr>
          <w:rFonts w:ascii="Arial" w:hAnsi="Arial" w:cs="Arial"/>
          <w:b w:val="0"/>
          <w:color w:val="121212"/>
          <w:spacing w:val="-5"/>
          <w:lang w:val="en-US"/>
        </w:rPr>
        <w:t>i</w:t>
      </w:r>
      <w:proofErr w:type="spellEnd"/>
      <w:r w:rsidR="00061884" w:rsidRPr="000D7782">
        <w:rPr>
          <w:rFonts w:ascii="Arial" w:hAnsi="Arial" w:cs="Arial"/>
          <w:b w:val="0"/>
          <w:color w:val="121212"/>
          <w:spacing w:val="-5"/>
          <w:lang w:val="en-US"/>
        </w:rPr>
        <w:t>) of PAJA</w:t>
      </w:r>
      <w:r w:rsidR="0066390D">
        <w:rPr>
          <w:rFonts w:ascii="Arial" w:hAnsi="Arial" w:cs="Arial"/>
          <w:b w:val="0"/>
          <w:color w:val="121212"/>
          <w:spacing w:val="-5"/>
          <w:lang w:val="en-US"/>
        </w:rPr>
        <w:t>,</w:t>
      </w:r>
      <w:r w:rsidR="00061884" w:rsidRPr="000D7782">
        <w:rPr>
          <w:rFonts w:ascii="Arial" w:hAnsi="Arial" w:cs="Arial"/>
          <w:b w:val="0"/>
          <w:color w:val="121212"/>
          <w:spacing w:val="-5"/>
          <w:lang w:val="en-US"/>
        </w:rPr>
        <w:t xml:space="preserve"> expressly empower</w:t>
      </w:r>
      <w:r w:rsidRPr="000D7782">
        <w:rPr>
          <w:rFonts w:ascii="Arial" w:hAnsi="Arial" w:cs="Arial"/>
          <w:b w:val="0"/>
          <w:color w:val="121212"/>
          <w:spacing w:val="-5"/>
          <w:lang w:val="en-US"/>
        </w:rPr>
        <w:t xml:space="preserve"> this Court to judicially review an administrative act</w:t>
      </w:r>
      <w:r w:rsidR="00061884" w:rsidRPr="000D7782">
        <w:rPr>
          <w:rFonts w:ascii="Arial" w:hAnsi="Arial" w:cs="Arial"/>
          <w:b w:val="0"/>
          <w:color w:val="121212"/>
          <w:spacing w:val="-5"/>
          <w:lang w:val="en-US"/>
        </w:rPr>
        <w:t>ion if the exercise</w:t>
      </w:r>
      <w:r w:rsidRPr="000D7782">
        <w:rPr>
          <w:rFonts w:ascii="Arial" w:hAnsi="Arial" w:cs="Arial"/>
          <w:b w:val="0"/>
          <w:color w:val="121212"/>
          <w:spacing w:val="-5"/>
          <w:lang w:val="en-US"/>
        </w:rPr>
        <w:t xml:space="preserve"> of the power or the performance of the function </w:t>
      </w:r>
      <w:proofErr w:type="spellStart"/>
      <w:r w:rsidRPr="000D7782">
        <w:rPr>
          <w:rFonts w:ascii="Arial" w:hAnsi="Arial" w:cs="Arial"/>
          <w:b w:val="0"/>
          <w:color w:val="121212"/>
          <w:spacing w:val="-5"/>
          <w:lang w:val="en-US"/>
        </w:rPr>
        <w:t>authorised</w:t>
      </w:r>
      <w:proofErr w:type="spellEnd"/>
      <w:r w:rsidRPr="000D7782">
        <w:rPr>
          <w:rFonts w:ascii="Arial" w:hAnsi="Arial" w:cs="Arial"/>
          <w:b w:val="0"/>
          <w:color w:val="121212"/>
          <w:spacing w:val="-5"/>
          <w:lang w:val="en-US"/>
        </w:rPr>
        <w:t xml:space="preserve"> by an empowering provision, in pursuance of which the administrative action was purportedly taken, is so unreasonable that no reasonable person could have so exercised the power or performed the function; or the action is otherwise unconstitutional or unlawful or the action is otherwise unconstitutional or unlawful.</w:t>
      </w:r>
    </w:p>
    <w:p w:rsidR="00F10984" w:rsidRPr="000D7782" w:rsidRDefault="00F10984" w:rsidP="00FE32B1">
      <w:pPr>
        <w:pStyle w:val="ListParagraph"/>
        <w:spacing w:line="360" w:lineRule="auto"/>
        <w:rPr>
          <w:rFonts w:ascii="Arial" w:hAnsi="Arial" w:cs="Arial"/>
          <w:b w:val="0"/>
          <w:i/>
          <w:color w:val="121212"/>
          <w:spacing w:val="-5"/>
          <w:lang w:val="en-US"/>
        </w:rPr>
      </w:pPr>
    </w:p>
    <w:p w:rsidR="007D7E94" w:rsidRPr="000D7782" w:rsidRDefault="007D7E94" w:rsidP="00FE32B1">
      <w:pPr>
        <w:pStyle w:val="ListParagraph"/>
        <w:numPr>
          <w:ilvl w:val="0"/>
          <w:numId w:val="2"/>
        </w:numPr>
        <w:shd w:val="clear" w:color="auto" w:fill="FFFFFF" w:themeFill="background1"/>
        <w:spacing w:line="360" w:lineRule="auto"/>
        <w:ind w:left="851" w:hanging="851"/>
        <w:jc w:val="both"/>
        <w:textAlignment w:val="baseline"/>
        <w:outlineLvl w:val="1"/>
        <w:rPr>
          <w:rFonts w:ascii="Arial" w:hAnsi="Arial" w:cs="Arial"/>
          <w:b w:val="0"/>
          <w:i/>
          <w:color w:val="121212"/>
          <w:spacing w:val="-5"/>
          <w:lang w:val="en-US"/>
        </w:rPr>
      </w:pPr>
      <w:r w:rsidRPr="000D7782">
        <w:rPr>
          <w:rFonts w:ascii="Arial" w:hAnsi="Arial" w:cs="Arial"/>
          <w:b w:val="0"/>
          <w:color w:val="auto"/>
        </w:rPr>
        <w:t xml:space="preserve">The impugned decision was therefore not based </w:t>
      </w:r>
      <w:r w:rsidR="00061884" w:rsidRPr="000D7782">
        <w:rPr>
          <w:rFonts w:ascii="Arial" w:hAnsi="Arial" w:cs="Arial"/>
          <w:b w:val="0"/>
          <w:color w:val="auto"/>
        </w:rPr>
        <w:t>on accurate findings of fact or</w:t>
      </w:r>
      <w:r w:rsidRPr="000D7782">
        <w:rPr>
          <w:rFonts w:ascii="Arial" w:hAnsi="Arial" w:cs="Arial"/>
          <w:b w:val="0"/>
          <w:color w:val="auto"/>
        </w:rPr>
        <w:t xml:space="preserve"> correct application of the law</w:t>
      </w:r>
      <w:r w:rsidR="004320CA">
        <w:rPr>
          <w:rFonts w:ascii="Arial" w:hAnsi="Arial" w:cs="Arial"/>
          <w:b w:val="0"/>
          <w:color w:val="auto"/>
        </w:rPr>
        <w:t xml:space="preserve">.  </w:t>
      </w:r>
      <w:r w:rsidRPr="000D7782">
        <w:rPr>
          <w:rFonts w:ascii="Arial" w:hAnsi="Arial" w:cs="Arial"/>
          <w:b w:val="0"/>
          <w:color w:val="auto"/>
        </w:rPr>
        <w:t xml:space="preserve">That being so, no rational basis existed for the respondents’ conclusions because the impugned decision cannot be said to be rationally connected to the information the respondents, as required by </w:t>
      </w:r>
      <w:r w:rsidR="00164D26" w:rsidRPr="000D7782">
        <w:rPr>
          <w:rFonts w:ascii="Arial" w:hAnsi="Arial" w:cs="Arial"/>
          <w:b w:val="0"/>
          <w:color w:val="auto"/>
        </w:rPr>
        <w:t>Section</w:t>
      </w:r>
      <w:r w:rsidRPr="000D7782">
        <w:rPr>
          <w:rFonts w:ascii="Arial" w:hAnsi="Arial" w:cs="Arial"/>
          <w:b w:val="0"/>
          <w:color w:val="auto"/>
        </w:rPr>
        <w:t xml:space="preserve"> 6(2</w:t>
      </w:r>
      <w:proofErr w:type="gramStart"/>
      <w:r w:rsidRPr="000D7782">
        <w:rPr>
          <w:rFonts w:ascii="Arial" w:hAnsi="Arial" w:cs="Arial"/>
          <w:b w:val="0"/>
          <w:color w:val="auto"/>
        </w:rPr>
        <w:t>)(</w:t>
      </w:r>
      <w:proofErr w:type="gramEnd"/>
      <w:r w:rsidRPr="000D7782">
        <w:rPr>
          <w:rFonts w:ascii="Arial" w:hAnsi="Arial" w:cs="Arial"/>
          <w:b w:val="0"/>
          <w:color w:val="auto"/>
        </w:rPr>
        <w:t>f)(ii)(cc) of PAJA.</w:t>
      </w:r>
      <w:r w:rsidRPr="000D7782">
        <w:rPr>
          <w:rStyle w:val="FootnoteReference"/>
          <w:rFonts w:ascii="Arial" w:hAnsi="Arial" w:cs="Arial"/>
          <w:b w:val="0"/>
          <w:color w:val="auto"/>
        </w:rPr>
        <w:footnoteReference w:id="61"/>
      </w:r>
      <w:r w:rsidRPr="000D7782">
        <w:rPr>
          <w:rFonts w:ascii="Arial" w:hAnsi="Arial" w:cs="Arial"/>
          <w:b w:val="0"/>
          <w:color w:val="auto"/>
        </w:rPr>
        <w:t xml:space="preserve"> </w:t>
      </w:r>
      <w:r w:rsidR="00F10984" w:rsidRPr="000D7782">
        <w:rPr>
          <w:rFonts w:ascii="Arial" w:hAnsi="Arial" w:cs="Arial"/>
          <w:b w:val="0"/>
          <w:color w:val="auto"/>
        </w:rPr>
        <w:t xml:space="preserve"> </w:t>
      </w:r>
      <w:r w:rsidRPr="000D7782">
        <w:rPr>
          <w:rFonts w:ascii="Arial" w:hAnsi="Arial" w:cs="Arial"/>
          <w:b w:val="0"/>
          <w:color w:val="auto"/>
        </w:rPr>
        <w:t xml:space="preserve">In the premise, to the extent that the first respondent failed to apply </w:t>
      </w:r>
      <w:r w:rsidR="00164D26" w:rsidRPr="000D7782">
        <w:rPr>
          <w:rFonts w:ascii="Arial" w:hAnsi="Arial" w:cs="Arial"/>
          <w:b w:val="0"/>
          <w:color w:val="auto"/>
        </w:rPr>
        <w:t>Section</w:t>
      </w:r>
      <w:r w:rsidRPr="000D7782">
        <w:rPr>
          <w:rFonts w:ascii="Arial" w:hAnsi="Arial" w:cs="Arial"/>
          <w:b w:val="0"/>
          <w:color w:val="auto"/>
        </w:rPr>
        <w:t xml:space="preserve"> 80</w:t>
      </w:r>
      <w:r w:rsidR="001030E1" w:rsidRPr="000D7782">
        <w:rPr>
          <w:rFonts w:ascii="Arial" w:hAnsi="Arial" w:cs="Arial"/>
          <w:b w:val="0"/>
          <w:color w:val="auto"/>
        </w:rPr>
        <w:t xml:space="preserve"> of the Act, this Court is </w:t>
      </w:r>
      <w:r w:rsidRPr="000D7782">
        <w:rPr>
          <w:rFonts w:ascii="Arial" w:hAnsi="Arial" w:cs="Arial"/>
          <w:b w:val="0"/>
          <w:color w:val="auto"/>
        </w:rPr>
        <w:t>of the considered opinion that it misdirected itself, erred materially on a</w:t>
      </w:r>
      <w:r w:rsidR="001030E1" w:rsidRPr="000D7782">
        <w:rPr>
          <w:rFonts w:ascii="Arial" w:hAnsi="Arial" w:cs="Arial"/>
          <w:b w:val="0"/>
          <w:color w:val="auto"/>
        </w:rPr>
        <w:t xml:space="preserve"> point of law.</w:t>
      </w:r>
    </w:p>
    <w:p w:rsidR="002A2959" w:rsidRPr="000D7782" w:rsidRDefault="002A2959" w:rsidP="00FE32B1">
      <w:pPr>
        <w:spacing w:line="360" w:lineRule="auto"/>
        <w:contextualSpacing/>
        <w:rPr>
          <w:rFonts w:ascii="Arial" w:hAnsi="Arial" w:cs="Arial"/>
          <w:b w:val="0"/>
          <w:color w:val="auto"/>
        </w:rPr>
      </w:pPr>
    </w:p>
    <w:p w:rsidR="002A2959" w:rsidRPr="000D7782" w:rsidRDefault="00AF0856" w:rsidP="00FE32B1">
      <w:pPr>
        <w:pStyle w:val="ListParagraph"/>
        <w:numPr>
          <w:ilvl w:val="0"/>
          <w:numId w:val="2"/>
        </w:numPr>
        <w:spacing w:line="360" w:lineRule="auto"/>
        <w:ind w:left="851" w:hanging="851"/>
        <w:jc w:val="both"/>
        <w:rPr>
          <w:rFonts w:ascii="Arial" w:hAnsi="Arial" w:cs="Arial"/>
          <w:b w:val="0"/>
          <w:color w:val="auto"/>
          <w:sz w:val="20"/>
          <w:szCs w:val="20"/>
        </w:rPr>
      </w:pPr>
      <w:r w:rsidRPr="000D7782">
        <w:rPr>
          <w:rFonts w:ascii="Arial" w:hAnsi="Arial" w:cs="Arial"/>
          <w:b w:val="0"/>
          <w:color w:val="auto"/>
        </w:rPr>
        <w:t>It follows from the foregoing that the</w:t>
      </w:r>
      <w:r w:rsidR="00CB0E68" w:rsidRPr="000D7782">
        <w:rPr>
          <w:rFonts w:ascii="Arial" w:hAnsi="Arial" w:cs="Arial"/>
          <w:b w:val="0"/>
          <w:color w:val="auto"/>
        </w:rPr>
        <w:t xml:space="preserve"> respondents</w:t>
      </w:r>
      <w:r w:rsidR="005536E5" w:rsidRPr="000D7782">
        <w:rPr>
          <w:rFonts w:ascii="Arial" w:hAnsi="Arial" w:cs="Arial"/>
          <w:b w:val="0"/>
          <w:color w:val="auto"/>
        </w:rPr>
        <w:t>’ decision to disregard</w:t>
      </w:r>
      <w:r w:rsidR="005536E5" w:rsidRPr="000D7782">
        <w:rPr>
          <w:rFonts w:ascii="Arial" w:hAnsi="Arial" w:cs="Arial"/>
          <w:i/>
          <w:color w:val="auto"/>
        </w:rPr>
        <w:t xml:space="preserve"> </w:t>
      </w:r>
      <w:r w:rsidR="00291805" w:rsidRPr="000D7782">
        <w:rPr>
          <w:rFonts w:ascii="Arial" w:hAnsi="Arial" w:cs="Arial"/>
          <w:b w:val="0"/>
          <w:color w:val="auto"/>
        </w:rPr>
        <w:t xml:space="preserve">the </w:t>
      </w:r>
      <w:r w:rsidR="00DB5502" w:rsidRPr="000D7782">
        <w:rPr>
          <w:rFonts w:ascii="Arial" w:hAnsi="Arial" w:cs="Arial"/>
          <w:b w:val="0"/>
          <w:color w:val="auto"/>
        </w:rPr>
        <w:t xml:space="preserve">applicant’s listed conduct for special remission of sentence for highly meritorious service is not only materially influenced by an error of law, but was taken because </w:t>
      </w:r>
      <w:r w:rsidR="00A451A1" w:rsidRPr="000D7782">
        <w:rPr>
          <w:rFonts w:ascii="Arial" w:hAnsi="Arial" w:cs="Arial"/>
          <w:b w:val="0"/>
          <w:color w:val="auto"/>
        </w:rPr>
        <w:t>of</w:t>
      </w:r>
      <w:r w:rsidR="00DB5502" w:rsidRPr="000D7782">
        <w:rPr>
          <w:rFonts w:ascii="Arial" w:hAnsi="Arial" w:cs="Arial"/>
          <w:b w:val="0"/>
          <w:color w:val="auto"/>
        </w:rPr>
        <w:t xml:space="preserve"> irrelevant considerations </w:t>
      </w:r>
      <w:r w:rsidR="00A451A1" w:rsidRPr="000D7782">
        <w:rPr>
          <w:rFonts w:ascii="Arial" w:hAnsi="Arial" w:cs="Arial"/>
          <w:b w:val="0"/>
          <w:color w:val="auto"/>
        </w:rPr>
        <w:t xml:space="preserve">that </w:t>
      </w:r>
      <w:r w:rsidR="00DB5502" w:rsidRPr="000D7782">
        <w:rPr>
          <w:rFonts w:ascii="Arial" w:hAnsi="Arial" w:cs="Arial"/>
          <w:b w:val="0"/>
          <w:color w:val="auto"/>
        </w:rPr>
        <w:t xml:space="preserve">were taken into account and/or irrelevant considerations </w:t>
      </w:r>
      <w:r w:rsidR="00A451A1" w:rsidRPr="000D7782">
        <w:rPr>
          <w:rFonts w:ascii="Arial" w:hAnsi="Arial" w:cs="Arial"/>
          <w:b w:val="0"/>
          <w:color w:val="auto"/>
        </w:rPr>
        <w:t xml:space="preserve">that </w:t>
      </w:r>
      <w:r w:rsidR="00DB5502" w:rsidRPr="000D7782">
        <w:rPr>
          <w:rFonts w:ascii="Arial" w:hAnsi="Arial" w:cs="Arial"/>
          <w:b w:val="0"/>
          <w:color w:val="auto"/>
        </w:rPr>
        <w:t>were considered</w:t>
      </w:r>
      <w:r w:rsidR="004320CA">
        <w:rPr>
          <w:rFonts w:ascii="Arial" w:hAnsi="Arial" w:cs="Arial"/>
          <w:b w:val="0"/>
          <w:color w:val="auto"/>
        </w:rPr>
        <w:t xml:space="preserve">.  </w:t>
      </w:r>
    </w:p>
    <w:p w:rsidR="002A2959" w:rsidRPr="000D7782" w:rsidRDefault="002A2959" w:rsidP="00FE32B1">
      <w:pPr>
        <w:pStyle w:val="ListParagraph"/>
        <w:spacing w:line="360" w:lineRule="auto"/>
        <w:rPr>
          <w:rFonts w:ascii="Arial" w:hAnsi="Arial" w:cs="Arial"/>
          <w:b w:val="0"/>
          <w:color w:val="auto"/>
        </w:rPr>
      </w:pPr>
    </w:p>
    <w:p w:rsidR="00E965A7" w:rsidRPr="00E965A7" w:rsidRDefault="001030E1" w:rsidP="00FE32B1">
      <w:pPr>
        <w:pStyle w:val="ListParagraph"/>
        <w:numPr>
          <w:ilvl w:val="0"/>
          <w:numId w:val="2"/>
        </w:numPr>
        <w:spacing w:line="360" w:lineRule="auto"/>
        <w:ind w:hanging="720"/>
        <w:jc w:val="both"/>
        <w:rPr>
          <w:rFonts w:ascii="Arial" w:hAnsi="Arial" w:cs="Arial"/>
          <w:b w:val="0"/>
          <w:color w:val="auto"/>
        </w:rPr>
      </w:pPr>
      <w:r w:rsidRPr="00E965A7">
        <w:rPr>
          <w:rFonts w:ascii="Arial" w:hAnsi="Arial" w:cs="Arial"/>
          <w:b w:val="0"/>
          <w:color w:val="auto"/>
        </w:rPr>
        <w:t xml:space="preserve">It is against this backdrop that this Court came to the ineluctable determination that the respondents’ decision to disqualify the applicant for consideration for special remission of sentence, solely on the basis that none of his actions come near to being regarded as highly meritorious, was materially influenced by an </w:t>
      </w:r>
      <w:r w:rsidRPr="00E965A7">
        <w:rPr>
          <w:rFonts w:ascii="Arial" w:hAnsi="Arial" w:cs="Arial"/>
          <w:b w:val="0"/>
          <w:color w:val="auto"/>
        </w:rPr>
        <w:lastRenderedPageBreak/>
        <w:t>error of law</w:t>
      </w:r>
      <w:r w:rsidR="004320CA">
        <w:rPr>
          <w:rFonts w:ascii="Arial" w:hAnsi="Arial" w:cs="Arial"/>
          <w:b w:val="0"/>
          <w:color w:val="auto"/>
        </w:rPr>
        <w:t xml:space="preserve">.  </w:t>
      </w:r>
      <w:r w:rsidR="00E965A7" w:rsidRPr="00E965A7">
        <w:rPr>
          <w:rFonts w:ascii="Arial" w:hAnsi="Arial" w:cs="Arial"/>
          <w:b w:val="0"/>
          <w:color w:val="auto"/>
        </w:rPr>
        <w:t>It follows that the decision to deny the applicant recognition for meritorious service in terms of Sec</w:t>
      </w:r>
      <w:r w:rsidR="000A0908">
        <w:rPr>
          <w:rFonts w:ascii="Arial" w:hAnsi="Arial" w:cs="Arial"/>
          <w:b w:val="0"/>
          <w:color w:val="auto"/>
        </w:rPr>
        <w:t>tion 80 of the Act, is</w:t>
      </w:r>
      <w:r w:rsidR="00E965A7" w:rsidRPr="00E965A7">
        <w:rPr>
          <w:rFonts w:ascii="Arial" w:hAnsi="Arial" w:cs="Arial"/>
          <w:b w:val="0"/>
          <w:color w:val="auto"/>
        </w:rPr>
        <w:t xml:space="preserve"> unjustified</w:t>
      </w:r>
      <w:r w:rsidR="004320CA">
        <w:rPr>
          <w:rFonts w:ascii="Arial" w:hAnsi="Arial" w:cs="Arial"/>
          <w:b w:val="0"/>
          <w:color w:val="auto"/>
        </w:rPr>
        <w:t xml:space="preserve">.  </w:t>
      </w:r>
    </w:p>
    <w:p w:rsidR="00E965A7" w:rsidRDefault="00E965A7" w:rsidP="00FE32B1">
      <w:pPr>
        <w:spacing w:line="360" w:lineRule="auto"/>
        <w:contextualSpacing/>
        <w:jc w:val="both"/>
        <w:rPr>
          <w:rFonts w:ascii="Arial" w:hAnsi="Arial" w:cs="Arial"/>
          <w:b w:val="0"/>
          <w:color w:val="auto"/>
        </w:rPr>
      </w:pPr>
    </w:p>
    <w:p w:rsidR="001030E1" w:rsidRPr="00E965A7" w:rsidRDefault="001030E1" w:rsidP="00FE32B1">
      <w:pPr>
        <w:pStyle w:val="ListParagraph"/>
        <w:numPr>
          <w:ilvl w:val="0"/>
          <w:numId w:val="2"/>
        </w:numPr>
        <w:spacing w:line="360" w:lineRule="auto"/>
        <w:ind w:hanging="720"/>
        <w:jc w:val="both"/>
        <w:rPr>
          <w:rFonts w:ascii="Arial" w:hAnsi="Arial" w:cs="Arial"/>
          <w:b w:val="0"/>
          <w:color w:val="auto"/>
        </w:rPr>
      </w:pPr>
      <w:r w:rsidRPr="00E965A7">
        <w:rPr>
          <w:rFonts w:ascii="Arial" w:hAnsi="Arial" w:cs="Arial"/>
          <w:b w:val="0"/>
          <w:color w:val="auto"/>
        </w:rPr>
        <w:t>It is trite that an action is reviewable and may be set</w:t>
      </w:r>
      <w:r w:rsidR="00601009" w:rsidRPr="00E965A7">
        <w:rPr>
          <w:rFonts w:ascii="Arial" w:hAnsi="Arial" w:cs="Arial"/>
          <w:b w:val="0"/>
          <w:color w:val="auto"/>
        </w:rPr>
        <w:t xml:space="preserve"> </w:t>
      </w:r>
      <w:r w:rsidRPr="00E965A7">
        <w:rPr>
          <w:rFonts w:ascii="Arial" w:hAnsi="Arial" w:cs="Arial"/>
          <w:b w:val="0"/>
          <w:color w:val="auto"/>
        </w:rPr>
        <w:t>aside if the action is materially influenced by an error of law or the action itself is not rationally connected to the reasons given for it by the administrator; or the action is otherwise unconstitutional and unlawful</w:t>
      </w:r>
      <w:r w:rsidR="004320CA">
        <w:rPr>
          <w:rFonts w:ascii="Arial" w:hAnsi="Arial" w:cs="Arial"/>
          <w:b w:val="0"/>
          <w:color w:val="auto"/>
        </w:rPr>
        <w:t xml:space="preserve">.  </w:t>
      </w:r>
      <w:r w:rsidRPr="00E965A7">
        <w:rPr>
          <w:rFonts w:ascii="Arial" w:hAnsi="Arial" w:cs="Arial"/>
          <w:b w:val="0"/>
          <w:color w:val="auto"/>
        </w:rPr>
        <w:t>In the result, same falls to</w:t>
      </w:r>
      <w:r w:rsidR="00601009" w:rsidRPr="00E965A7">
        <w:rPr>
          <w:rFonts w:ascii="Arial" w:hAnsi="Arial" w:cs="Arial"/>
          <w:b w:val="0"/>
          <w:color w:val="auto"/>
        </w:rPr>
        <w:t xml:space="preserve"> be judicially reviewed and set </w:t>
      </w:r>
      <w:r w:rsidRPr="00E965A7">
        <w:rPr>
          <w:rFonts w:ascii="Arial" w:hAnsi="Arial" w:cs="Arial"/>
          <w:b w:val="0"/>
          <w:color w:val="auto"/>
        </w:rPr>
        <w:t>aside</w:t>
      </w:r>
      <w:r w:rsidR="004320CA">
        <w:rPr>
          <w:rFonts w:ascii="Arial" w:hAnsi="Arial" w:cs="Arial"/>
          <w:b w:val="0"/>
          <w:color w:val="auto"/>
        </w:rPr>
        <w:t xml:space="preserve">.  </w:t>
      </w:r>
    </w:p>
    <w:p w:rsidR="00BB7C0F" w:rsidRPr="000D7782" w:rsidRDefault="00BB7C0F" w:rsidP="00FE32B1">
      <w:pPr>
        <w:spacing w:line="360" w:lineRule="auto"/>
        <w:contextualSpacing/>
        <w:jc w:val="both"/>
        <w:rPr>
          <w:rFonts w:ascii="Arial" w:hAnsi="Arial" w:cs="Arial"/>
          <w:i/>
          <w:color w:val="auto"/>
          <w:u w:val="single"/>
        </w:rPr>
      </w:pPr>
    </w:p>
    <w:p w:rsidR="00812D69" w:rsidRPr="000D7782" w:rsidRDefault="00917D02" w:rsidP="00FE32B1">
      <w:pPr>
        <w:pStyle w:val="ListParagraph"/>
        <w:numPr>
          <w:ilvl w:val="0"/>
          <w:numId w:val="2"/>
        </w:numPr>
        <w:spacing w:line="360" w:lineRule="auto"/>
        <w:ind w:left="851" w:hanging="851"/>
        <w:jc w:val="both"/>
        <w:rPr>
          <w:rFonts w:ascii="Arial" w:hAnsi="Arial" w:cs="Arial"/>
          <w:i/>
          <w:color w:val="auto"/>
          <w:u w:val="single"/>
        </w:rPr>
      </w:pPr>
      <w:r w:rsidRPr="000D7782">
        <w:rPr>
          <w:rFonts w:ascii="Arial" w:hAnsi="Arial" w:cs="Arial"/>
          <w:b w:val="0"/>
          <w:color w:val="auto"/>
        </w:rPr>
        <w:t>It is so that i</w:t>
      </w:r>
      <w:r w:rsidR="00020635" w:rsidRPr="000D7782">
        <w:rPr>
          <w:rFonts w:ascii="Arial" w:hAnsi="Arial" w:cs="Arial"/>
          <w:b w:val="0"/>
          <w:color w:val="auto"/>
        </w:rPr>
        <w:t>n terms of Section 42(3)</w:t>
      </w:r>
      <w:r w:rsidRPr="000D7782">
        <w:rPr>
          <w:rFonts w:ascii="Arial" w:hAnsi="Arial" w:cs="Arial"/>
          <w:b w:val="0"/>
          <w:color w:val="auto"/>
        </w:rPr>
        <w:t xml:space="preserve"> of the</w:t>
      </w:r>
      <w:r w:rsidR="00020635" w:rsidRPr="000D7782">
        <w:rPr>
          <w:rFonts w:ascii="Arial" w:hAnsi="Arial" w:cs="Arial"/>
          <w:b w:val="0"/>
          <w:color w:val="auto"/>
        </w:rPr>
        <w:t xml:space="preserve"> Act, a sentenced offender must be informed of the contents of the reports submitted by </w:t>
      </w:r>
      <w:r w:rsidRPr="000D7782">
        <w:rPr>
          <w:rFonts w:ascii="Arial" w:hAnsi="Arial" w:cs="Arial"/>
          <w:b w:val="0"/>
          <w:color w:val="auto"/>
        </w:rPr>
        <w:t>the Case Management C</w:t>
      </w:r>
      <w:r w:rsidR="00020635" w:rsidRPr="000D7782">
        <w:rPr>
          <w:rFonts w:ascii="Arial" w:hAnsi="Arial" w:cs="Arial"/>
          <w:b w:val="0"/>
          <w:color w:val="auto"/>
        </w:rPr>
        <w:t>ommittee to the Parole Board or the National Commissioner and be afforded the opportunity to submit written representations to the Parole Board or National Commissioner, as the case may be</w:t>
      </w:r>
      <w:r w:rsidR="004320CA">
        <w:rPr>
          <w:rFonts w:ascii="Arial" w:hAnsi="Arial" w:cs="Arial"/>
          <w:b w:val="0"/>
          <w:color w:val="auto"/>
        </w:rPr>
        <w:t xml:space="preserve">.  </w:t>
      </w:r>
      <w:r w:rsidR="007B604D" w:rsidRPr="000D7782">
        <w:rPr>
          <w:rFonts w:ascii="Arial" w:hAnsi="Arial" w:cs="Arial"/>
          <w:b w:val="0"/>
          <w:color w:val="auto"/>
        </w:rPr>
        <w:t>A mere reading of the said</w:t>
      </w:r>
      <w:r w:rsidRPr="000D7782">
        <w:rPr>
          <w:rFonts w:ascii="Arial" w:hAnsi="Arial" w:cs="Arial"/>
          <w:b w:val="0"/>
          <w:color w:val="auto"/>
        </w:rPr>
        <w:t xml:space="preserve"> </w:t>
      </w:r>
      <w:r w:rsidR="00164D26" w:rsidRPr="000D7782">
        <w:rPr>
          <w:rFonts w:ascii="Arial" w:hAnsi="Arial" w:cs="Arial"/>
          <w:b w:val="0"/>
          <w:color w:val="auto"/>
        </w:rPr>
        <w:t>Section</w:t>
      </w:r>
      <w:r w:rsidRPr="000D7782">
        <w:rPr>
          <w:rFonts w:ascii="Arial" w:hAnsi="Arial" w:cs="Arial"/>
          <w:b w:val="0"/>
          <w:color w:val="auto"/>
        </w:rPr>
        <w:t xml:space="preserve"> reveal</w:t>
      </w:r>
      <w:r w:rsidR="00E63556" w:rsidRPr="000D7782">
        <w:rPr>
          <w:rFonts w:ascii="Arial" w:hAnsi="Arial" w:cs="Arial"/>
          <w:b w:val="0"/>
          <w:color w:val="auto"/>
        </w:rPr>
        <w:t>s</w:t>
      </w:r>
      <w:r w:rsidRPr="000D7782">
        <w:rPr>
          <w:rFonts w:ascii="Arial" w:hAnsi="Arial" w:cs="Arial"/>
          <w:b w:val="0"/>
          <w:color w:val="auto"/>
        </w:rPr>
        <w:t xml:space="preserve"> that it is </w:t>
      </w:r>
      <w:r w:rsidR="007B604D" w:rsidRPr="000D7782">
        <w:rPr>
          <w:rFonts w:ascii="Arial" w:hAnsi="Arial" w:cs="Arial"/>
          <w:b w:val="0"/>
          <w:color w:val="auto"/>
        </w:rPr>
        <w:t xml:space="preserve">a mandatory and </w:t>
      </w:r>
      <w:r w:rsidR="00023006" w:rsidRPr="000D7782">
        <w:rPr>
          <w:rFonts w:ascii="Arial" w:hAnsi="Arial" w:cs="Arial"/>
          <w:b w:val="0"/>
          <w:color w:val="auto"/>
        </w:rPr>
        <w:t>a material procedural requirement</w:t>
      </w:r>
      <w:r w:rsidR="007B604D" w:rsidRPr="000D7782">
        <w:rPr>
          <w:rFonts w:ascii="Arial" w:hAnsi="Arial" w:cs="Arial"/>
          <w:b w:val="0"/>
          <w:color w:val="auto"/>
        </w:rPr>
        <w:t xml:space="preserve"> or condition prescribed by the empowering provision</w:t>
      </w:r>
      <w:r w:rsidR="004320CA">
        <w:rPr>
          <w:rFonts w:ascii="Arial" w:hAnsi="Arial" w:cs="Arial"/>
          <w:b w:val="0"/>
          <w:color w:val="auto"/>
        </w:rPr>
        <w:t xml:space="preserve">.  </w:t>
      </w:r>
    </w:p>
    <w:p w:rsidR="00CB357B" w:rsidRPr="000D7782" w:rsidRDefault="00CB357B" w:rsidP="00FE32B1">
      <w:pPr>
        <w:spacing w:line="360" w:lineRule="auto"/>
        <w:contextualSpacing/>
        <w:jc w:val="both"/>
        <w:rPr>
          <w:rFonts w:ascii="Arial" w:hAnsi="Arial" w:cs="Arial"/>
          <w:b w:val="0"/>
          <w:color w:val="auto"/>
        </w:rPr>
      </w:pPr>
    </w:p>
    <w:p w:rsidR="00053259" w:rsidRPr="000D7782" w:rsidRDefault="00023006"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 xml:space="preserve">This Court is satisfied that the applicant has exhausted all available internal </w:t>
      </w:r>
      <w:r w:rsidR="00F20FC7" w:rsidRPr="000D7782">
        <w:rPr>
          <w:rFonts w:ascii="Arial" w:hAnsi="Arial" w:cs="Arial"/>
          <w:b w:val="0"/>
          <w:color w:val="auto"/>
        </w:rPr>
        <w:t xml:space="preserve">remedies </w:t>
      </w:r>
      <w:r w:rsidRPr="000D7782">
        <w:rPr>
          <w:rFonts w:ascii="Arial" w:hAnsi="Arial" w:cs="Arial"/>
          <w:b w:val="0"/>
          <w:color w:val="auto"/>
        </w:rPr>
        <w:t>provided for in the Act</w:t>
      </w:r>
      <w:r w:rsidR="004320CA">
        <w:rPr>
          <w:rFonts w:ascii="Arial" w:hAnsi="Arial" w:cs="Arial"/>
          <w:b w:val="0"/>
          <w:color w:val="auto"/>
        </w:rPr>
        <w:t xml:space="preserve">.  </w:t>
      </w:r>
      <w:r w:rsidRPr="000D7782">
        <w:rPr>
          <w:rFonts w:ascii="Arial" w:hAnsi="Arial" w:cs="Arial"/>
          <w:b w:val="0"/>
          <w:color w:val="auto"/>
        </w:rPr>
        <w:t xml:space="preserve">It </w:t>
      </w:r>
      <w:r w:rsidR="00CB357B" w:rsidRPr="000D7782">
        <w:rPr>
          <w:rFonts w:ascii="Arial" w:hAnsi="Arial" w:cs="Arial"/>
          <w:b w:val="0"/>
          <w:color w:val="auto"/>
        </w:rPr>
        <w:t>was</w:t>
      </w:r>
      <w:r w:rsidRPr="000D7782">
        <w:rPr>
          <w:rFonts w:ascii="Arial" w:hAnsi="Arial" w:cs="Arial"/>
          <w:b w:val="0"/>
          <w:color w:val="auto"/>
        </w:rPr>
        <w:t xml:space="preserve"> therefore</w:t>
      </w:r>
      <w:r w:rsidR="00CB357B" w:rsidRPr="000D7782">
        <w:rPr>
          <w:rFonts w:ascii="Arial" w:hAnsi="Arial" w:cs="Arial"/>
          <w:b w:val="0"/>
          <w:color w:val="auto"/>
        </w:rPr>
        <w:t xml:space="preserve"> not necessary for the applicant to in</w:t>
      </w:r>
      <w:r w:rsidR="000A0908">
        <w:rPr>
          <w:rFonts w:ascii="Arial" w:hAnsi="Arial" w:cs="Arial"/>
          <w:b w:val="0"/>
          <w:color w:val="auto"/>
        </w:rPr>
        <w:t>voke any provision</w:t>
      </w:r>
      <w:r w:rsidR="00601009" w:rsidRPr="000D7782">
        <w:rPr>
          <w:rFonts w:ascii="Arial" w:hAnsi="Arial" w:cs="Arial"/>
          <w:b w:val="0"/>
          <w:color w:val="auto"/>
        </w:rPr>
        <w:t xml:space="preserve"> of PAIA</w:t>
      </w:r>
      <w:r w:rsidR="00CB357B" w:rsidRPr="000D7782">
        <w:rPr>
          <w:rFonts w:ascii="Arial" w:hAnsi="Arial" w:cs="Arial"/>
          <w:b w:val="0"/>
          <w:color w:val="auto"/>
        </w:rPr>
        <w:t xml:space="preserve"> in order for him to access what the respondents are statutorily obliged to afford him</w:t>
      </w:r>
      <w:r w:rsidR="004320CA">
        <w:rPr>
          <w:rFonts w:ascii="Arial" w:hAnsi="Arial" w:cs="Arial"/>
          <w:b w:val="0"/>
          <w:color w:val="auto"/>
        </w:rPr>
        <w:t xml:space="preserve">.  </w:t>
      </w:r>
      <w:r w:rsidR="00053259" w:rsidRPr="000D7782">
        <w:rPr>
          <w:rFonts w:ascii="Arial" w:hAnsi="Arial" w:cs="Arial"/>
          <w:b w:val="0"/>
          <w:color w:val="auto"/>
        </w:rPr>
        <w:t>This</w:t>
      </w:r>
      <w:r w:rsidR="00601009" w:rsidRPr="000D7782">
        <w:rPr>
          <w:rFonts w:ascii="Arial" w:hAnsi="Arial" w:cs="Arial"/>
          <w:b w:val="0"/>
          <w:color w:val="auto"/>
        </w:rPr>
        <w:t>,</w:t>
      </w:r>
      <w:r w:rsidR="00053259" w:rsidRPr="000D7782">
        <w:rPr>
          <w:rFonts w:ascii="Arial" w:hAnsi="Arial" w:cs="Arial"/>
          <w:b w:val="0"/>
          <w:color w:val="auto"/>
        </w:rPr>
        <w:t xml:space="preserve"> notwithstanding</w:t>
      </w:r>
      <w:r w:rsidR="00601009" w:rsidRPr="000D7782">
        <w:rPr>
          <w:rFonts w:ascii="Arial" w:hAnsi="Arial" w:cs="Arial"/>
          <w:b w:val="0"/>
          <w:color w:val="auto"/>
        </w:rPr>
        <w:t>,</w:t>
      </w:r>
      <w:r w:rsidR="00053259" w:rsidRPr="000D7782">
        <w:rPr>
          <w:rFonts w:ascii="Arial" w:hAnsi="Arial" w:cs="Arial"/>
          <w:b w:val="0"/>
          <w:color w:val="auto"/>
        </w:rPr>
        <w:t xml:space="preserve"> n</w:t>
      </w:r>
      <w:r w:rsidR="009C5807" w:rsidRPr="000D7782">
        <w:rPr>
          <w:rFonts w:ascii="Arial" w:hAnsi="Arial" w:cs="Arial"/>
          <w:b w:val="0"/>
          <w:color w:val="auto"/>
        </w:rPr>
        <w:t xml:space="preserve">owhere in the answering affidavit is it evinced that the applicant was afforded the opportunity to submit </w:t>
      </w:r>
      <w:r w:rsidR="00DB5502" w:rsidRPr="000D7782">
        <w:rPr>
          <w:rFonts w:ascii="Arial" w:hAnsi="Arial" w:cs="Arial"/>
          <w:b w:val="0"/>
          <w:color w:val="auto"/>
        </w:rPr>
        <w:t xml:space="preserve">any </w:t>
      </w:r>
      <w:r w:rsidR="009C5807" w:rsidRPr="000D7782">
        <w:rPr>
          <w:rFonts w:ascii="Arial" w:hAnsi="Arial" w:cs="Arial"/>
          <w:b w:val="0"/>
          <w:color w:val="auto"/>
        </w:rPr>
        <w:t>written representations to the Parole Board or National Commissioner, as the case may be</w:t>
      </w:r>
      <w:r w:rsidR="00601009" w:rsidRPr="000D7782">
        <w:rPr>
          <w:rFonts w:ascii="Arial" w:hAnsi="Arial" w:cs="Arial"/>
          <w:b w:val="0"/>
          <w:color w:val="auto"/>
        </w:rPr>
        <w:t>, n</w:t>
      </w:r>
      <w:r w:rsidR="009C5807" w:rsidRPr="000D7782">
        <w:rPr>
          <w:rFonts w:ascii="Arial" w:hAnsi="Arial" w:cs="Arial"/>
          <w:b w:val="0"/>
          <w:color w:val="auto"/>
        </w:rPr>
        <w:t xml:space="preserve">or is there any evidence </w:t>
      </w:r>
      <w:r w:rsidRPr="000D7782">
        <w:rPr>
          <w:rFonts w:ascii="Arial" w:hAnsi="Arial" w:cs="Arial"/>
          <w:b w:val="0"/>
          <w:color w:val="auto"/>
        </w:rPr>
        <w:t xml:space="preserve">before this Court </w:t>
      </w:r>
      <w:r w:rsidR="009C5807" w:rsidRPr="000D7782">
        <w:rPr>
          <w:rFonts w:ascii="Arial" w:hAnsi="Arial" w:cs="Arial"/>
          <w:b w:val="0"/>
          <w:color w:val="auto"/>
        </w:rPr>
        <w:t xml:space="preserve">that the applicant </w:t>
      </w:r>
      <w:r w:rsidRPr="000D7782">
        <w:rPr>
          <w:rFonts w:ascii="Arial" w:hAnsi="Arial" w:cs="Arial"/>
          <w:b w:val="0"/>
          <w:color w:val="auto"/>
        </w:rPr>
        <w:t xml:space="preserve">ever </w:t>
      </w:r>
      <w:r w:rsidR="009C5807" w:rsidRPr="000D7782">
        <w:rPr>
          <w:rFonts w:ascii="Arial" w:hAnsi="Arial" w:cs="Arial"/>
          <w:b w:val="0"/>
          <w:color w:val="auto"/>
        </w:rPr>
        <w:t>took any note in writing regarding the final decision conveyed to him</w:t>
      </w:r>
      <w:r w:rsidR="004320CA">
        <w:rPr>
          <w:rFonts w:ascii="Arial" w:hAnsi="Arial" w:cs="Arial"/>
          <w:b w:val="0"/>
          <w:color w:val="auto"/>
        </w:rPr>
        <w:t xml:space="preserve">.  </w:t>
      </w:r>
    </w:p>
    <w:p w:rsidR="00E965A7" w:rsidRDefault="00E965A7" w:rsidP="00FE32B1">
      <w:pPr>
        <w:pStyle w:val="ListParagraph"/>
        <w:spacing w:line="360" w:lineRule="auto"/>
        <w:ind w:left="851"/>
        <w:jc w:val="both"/>
        <w:rPr>
          <w:rFonts w:ascii="Arial" w:hAnsi="Arial" w:cs="Arial"/>
          <w:b w:val="0"/>
          <w:color w:val="auto"/>
        </w:rPr>
      </w:pPr>
    </w:p>
    <w:p w:rsidR="009C5807" w:rsidRPr="00E965A7" w:rsidRDefault="009C5807"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All that the respondents content themselves in paragraph 25 of the answering affidavit</w:t>
      </w:r>
      <w:r w:rsidR="00601009" w:rsidRPr="000D7782">
        <w:rPr>
          <w:rFonts w:ascii="Arial" w:hAnsi="Arial" w:cs="Arial"/>
          <w:b w:val="0"/>
          <w:color w:val="auto"/>
        </w:rPr>
        <w:t xml:space="preserve"> with,</w:t>
      </w:r>
      <w:r w:rsidRPr="000D7782">
        <w:rPr>
          <w:rFonts w:ascii="Arial" w:hAnsi="Arial" w:cs="Arial"/>
          <w:b w:val="0"/>
          <w:color w:val="auto"/>
        </w:rPr>
        <w:t xml:space="preserve"> is a bare unsubstantiated denial</w:t>
      </w:r>
      <w:r w:rsidR="004320CA">
        <w:rPr>
          <w:rFonts w:ascii="Arial" w:hAnsi="Arial" w:cs="Arial"/>
          <w:b w:val="0"/>
          <w:color w:val="auto"/>
        </w:rPr>
        <w:t xml:space="preserve">.  </w:t>
      </w:r>
      <w:r w:rsidRPr="000D7782">
        <w:rPr>
          <w:rFonts w:ascii="Arial" w:hAnsi="Arial" w:cs="Arial"/>
          <w:b w:val="0"/>
          <w:color w:val="auto"/>
        </w:rPr>
        <w:t>It follows that the applicant’s averments that he was not afforded any opportunity to make written representations or that he was not called to appear before the Case Management Committee for feedback</w:t>
      </w:r>
      <w:r w:rsidR="00601009" w:rsidRPr="000D7782">
        <w:rPr>
          <w:rFonts w:ascii="Arial" w:hAnsi="Arial" w:cs="Arial"/>
          <w:b w:val="0"/>
          <w:color w:val="auto"/>
        </w:rPr>
        <w:t>,</w:t>
      </w:r>
      <w:r w:rsidRPr="000D7782">
        <w:rPr>
          <w:rFonts w:ascii="Arial" w:hAnsi="Arial" w:cs="Arial"/>
          <w:b w:val="0"/>
          <w:color w:val="auto"/>
        </w:rPr>
        <w:t xml:space="preserve"> but was only called to the office of the Head of </w:t>
      </w:r>
      <w:r w:rsidR="00F562CE">
        <w:rPr>
          <w:rFonts w:ascii="Arial" w:hAnsi="Arial" w:cs="Arial"/>
          <w:b w:val="0"/>
          <w:color w:val="auto"/>
        </w:rPr>
        <w:t xml:space="preserve">the </w:t>
      </w:r>
      <w:r w:rsidRPr="000D7782">
        <w:rPr>
          <w:rFonts w:ascii="Arial" w:hAnsi="Arial" w:cs="Arial"/>
          <w:b w:val="0"/>
          <w:color w:val="auto"/>
        </w:rPr>
        <w:t>Centre for feedback, stand undisputed</w:t>
      </w:r>
      <w:r w:rsidR="004320CA">
        <w:rPr>
          <w:rFonts w:ascii="Arial" w:hAnsi="Arial" w:cs="Arial"/>
          <w:b w:val="0"/>
          <w:color w:val="auto"/>
        </w:rPr>
        <w:t xml:space="preserve">.  </w:t>
      </w:r>
      <w:r w:rsidR="00B7726C" w:rsidRPr="00E965A7">
        <w:rPr>
          <w:rFonts w:ascii="Arial" w:hAnsi="Arial" w:cs="Arial"/>
          <w:b w:val="0"/>
          <w:color w:val="auto"/>
        </w:rPr>
        <w:t xml:space="preserve">In the premise, this Court </w:t>
      </w:r>
      <w:r w:rsidR="00B7726C" w:rsidRPr="00E965A7">
        <w:rPr>
          <w:rFonts w:ascii="Arial" w:hAnsi="Arial" w:cs="Arial"/>
          <w:b w:val="0"/>
          <w:color w:val="auto"/>
        </w:rPr>
        <w:lastRenderedPageBreak/>
        <w:t>finds that the impugned decision was arrived at in a procedurally unfair manner</w:t>
      </w:r>
      <w:r w:rsidR="004320CA">
        <w:rPr>
          <w:rFonts w:ascii="Arial" w:hAnsi="Arial" w:cs="Arial"/>
          <w:b w:val="0"/>
          <w:color w:val="auto"/>
        </w:rPr>
        <w:t xml:space="preserve">.  </w:t>
      </w:r>
      <w:r w:rsidRPr="00E965A7">
        <w:rPr>
          <w:rFonts w:ascii="Arial" w:hAnsi="Arial" w:cs="Arial"/>
          <w:b w:val="0"/>
          <w:color w:val="auto"/>
        </w:rPr>
        <w:t xml:space="preserve"> </w:t>
      </w:r>
    </w:p>
    <w:p w:rsidR="00D22A1E" w:rsidRPr="000D7782" w:rsidRDefault="00D22A1E" w:rsidP="00FE32B1">
      <w:pPr>
        <w:pStyle w:val="ListParagraph"/>
        <w:spacing w:line="360" w:lineRule="auto"/>
        <w:rPr>
          <w:rFonts w:ascii="Arial" w:hAnsi="Arial" w:cs="Arial"/>
          <w:b w:val="0"/>
          <w:color w:val="auto"/>
        </w:rPr>
      </w:pPr>
    </w:p>
    <w:p w:rsidR="00B7726C" w:rsidRPr="000D7782" w:rsidRDefault="000C1426"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 xml:space="preserve">It is common cause that </w:t>
      </w:r>
      <w:r w:rsidR="00F562CE" w:rsidRPr="000D7782">
        <w:rPr>
          <w:rFonts w:ascii="Arial" w:hAnsi="Arial" w:cs="Arial"/>
          <w:b w:val="0"/>
          <w:color w:val="auto"/>
        </w:rPr>
        <w:t>Mr Ndlovu</w:t>
      </w:r>
      <w:r w:rsidRPr="000D7782">
        <w:rPr>
          <w:rFonts w:ascii="Arial" w:hAnsi="Arial" w:cs="Arial"/>
          <w:b w:val="0"/>
          <w:color w:val="auto"/>
        </w:rPr>
        <w:t>, the Head of the Centre</w:t>
      </w:r>
      <w:r w:rsidR="00601009" w:rsidRPr="000D7782">
        <w:rPr>
          <w:rFonts w:ascii="Arial" w:hAnsi="Arial" w:cs="Arial"/>
          <w:b w:val="0"/>
          <w:color w:val="auto"/>
        </w:rPr>
        <w:t>,</w:t>
      </w:r>
      <w:r w:rsidRPr="000D7782">
        <w:rPr>
          <w:rFonts w:ascii="Arial" w:hAnsi="Arial" w:cs="Arial"/>
          <w:b w:val="0"/>
          <w:color w:val="auto"/>
        </w:rPr>
        <w:t xml:space="preserve"> appointed Mr Du Plessis to investigate and determine whether the applicant qualify for special remission</w:t>
      </w:r>
      <w:r w:rsidR="004320CA">
        <w:rPr>
          <w:rFonts w:ascii="Arial" w:hAnsi="Arial" w:cs="Arial"/>
          <w:b w:val="0"/>
          <w:color w:val="auto"/>
        </w:rPr>
        <w:t xml:space="preserve">.  </w:t>
      </w:r>
      <w:r w:rsidRPr="000D7782">
        <w:rPr>
          <w:rFonts w:ascii="Arial" w:hAnsi="Arial" w:cs="Arial"/>
          <w:b w:val="0"/>
          <w:color w:val="auto"/>
        </w:rPr>
        <w:t>The applicant averred that</w:t>
      </w:r>
      <w:r w:rsidR="00601009" w:rsidRPr="000D7782">
        <w:rPr>
          <w:rFonts w:ascii="Arial" w:hAnsi="Arial" w:cs="Arial"/>
          <w:b w:val="0"/>
          <w:color w:val="auto"/>
        </w:rPr>
        <w:t>,</w:t>
      </w:r>
      <w:r w:rsidRPr="000D7782">
        <w:rPr>
          <w:rFonts w:ascii="Arial" w:hAnsi="Arial" w:cs="Arial"/>
          <w:b w:val="0"/>
          <w:color w:val="auto"/>
        </w:rPr>
        <w:t xml:space="preserve"> to the extent that the Centre was well aware of the animosity between himself and Mr </w:t>
      </w:r>
      <w:r w:rsidR="00B7726C" w:rsidRPr="000D7782">
        <w:rPr>
          <w:rFonts w:ascii="Arial" w:hAnsi="Arial" w:cs="Arial"/>
          <w:b w:val="0"/>
          <w:color w:val="auto"/>
        </w:rPr>
        <w:t>Du Plessis, he should</w:t>
      </w:r>
      <w:r w:rsidRPr="000D7782">
        <w:rPr>
          <w:rFonts w:ascii="Arial" w:hAnsi="Arial" w:cs="Arial"/>
          <w:b w:val="0"/>
          <w:color w:val="auto"/>
        </w:rPr>
        <w:t xml:space="preserve"> never </w:t>
      </w:r>
      <w:r w:rsidR="00B7726C" w:rsidRPr="000D7782">
        <w:rPr>
          <w:rFonts w:ascii="Arial" w:hAnsi="Arial" w:cs="Arial"/>
          <w:b w:val="0"/>
          <w:color w:val="auto"/>
        </w:rPr>
        <w:t xml:space="preserve">have </w:t>
      </w:r>
      <w:r w:rsidRPr="000D7782">
        <w:rPr>
          <w:rFonts w:ascii="Arial" w:hAnsi="Arial" w:cs="Arial"/>
          <w:b w:val="0"/>
          <w:color w:val="auto"/>
        </w:rPr>
        <w:t xml:space="preserve">been appointed as </w:t>
      </w:r>
      <w:r w:rsidR="00B7726C" w:rsidRPr="000D7782">
        <w:rPr>
          <w:rFonts w:ascii="Arial" w:hAnsi="Arial" w:cs="Arial"/>
          <w:b w:val="0"/>
          <w:color w:val="auto"/>
        </w:rPr>
        <w:t>such</w:t>
      </w:r>
      <w:r w:rsidR="004320CA">
        <w:rPr>
          <w:rFonts w:ascii="Arial" w:hAnsi="Arial" w:cs="Arial"/>
          <w:b w:val="0"/>
          <w:color w:val="auto"/>
        </w:rPr>
        <w:t xml:space="preserve">.  </w:t>
      </w:r>
      <w:r w:rsidR="00601009" w:rsidRPr="000D7782">
        <w:rPr>
          <w:rFonts w:ascii="Arial" w:hAnsi="Arial" w:cs="Arial"/>
          <w:b w:val="0"/>
          <w:color w:val="auto"/>
        </w:rPr>
        <w:t>A</w:t>
      </w:r>
      <w:r w:rsidRPr="000D7782">
        <w:rPr>
          <w:rFonts w:ascii="Arial" w:hAnsi="Arial" w:cs="Arial"/>
          <w:b w:val="0"/>
          <w:color w:val="auto"/>
        </w:rPr>
        <w:t>lternatively</w:t>
      </w:r>
      <w:r w:rsidR="00601009" w:rsidRPr="000D7782">
        <w:rPr>
          <w:rFonts w:ascii="Arial" w:hAnsi="Arial" w:cs="Arial"/>
          <w:b w:val="0"/>
          <w:color w:val="auto"/>
        </w:rPr>
        <w:t>,</w:t>
      </w:r>
      <w:r w:rsidRPr="000D7782">
        <w:rPr>
          <w:rFonts w:ascii="Arial" w:hAnsi="Arial" w:cs="Arial"/>
          <w:b w:val="0"/>
          <w:color w:val="auto"/>
        </w:rPr>
        <w:t xml:space="preserve"> </w:t>
      </w:r>
      <w:r w:rsidR="00B7726C" w:rsidRPr="000D7782">
        <w:rPr>
          <w:rFonts w:ascii="Arial" w:hAnsi="Arial" w:cs="Arial"/>
          <w:b w:val="0"/>
          <w:color w:val="auto"/>
        </w:rPr>
        <w:t xml:space="preserve">he should have </w:t>
      </w:r>
      <w:r w:rsidRPr="000D7782">
        <w:rPr>
          <w:rFonts w:ascii="Arial" w:hAnsi="Arial" w:cs="Arial"/>
          <w:b w:val="0"/>
          <w:color w:val="auto"/>
        </w:rPr>
        <w:t>recuse</w:t>
      </w:r>
      <w:r w:rsidR="00B7726C" w:rsidRPr="000D7782">
        <w:rPr>
          <w:rFonts w:ascii="Arial" w:hAnsi="Arial" w:cs="Arial"/>
          <w:b w:val="0"/>
          <w:color w:val="auto"/>
        </w:rPr>
        <w:t>d</w:t>
      </w:r>
      <w:r w:rsidRPr="000D7782">
        <w:rPr>
          <w:rFonts w:ascii="Arial" w:hAnsi="Arial" w:cs="Arial"/>
          <w:b w:val="0"/>
          <w:color w:val="auto"/>
        </w:rPr>
        <w:t xml:space="preserve"> himself to maintain fairness and impartiality during the investigation</w:t>
      </w:r>
      <w:r w:rsidR="004320CA">
        <w:rPr>
          <w:rFonts w:ascii="Arial" w:hAnsi="Arial" w:cs="Arial"/>
          <w:b w:val="0"/>
          <w:color w:val="auto"/>
        </w:rPr>
        <w:t xml:space="preserve">.  </w:t>
      </w:r>
    </w:p>
    <w:p w:rsidR="00B7726C" w:rsidRPr="000D7782" w:rsidRDefault="00B7726C" w:rsidP="00FE32B1">
      <w:pPr>
        <w:pStyle w:val="ListParagraph"/>
        <w:spacing w:line="360" w:lineRule="auto"/>
        <w:rPr>
          <w:rFonts w:ascii="Arial" w:hAnsi="Arial" w:cs="Arial"/>
          <w:b w:val="0"/>
          <w:color w:val="auto"/>
        </w:rPr>
      </w:pPr>
    </w:p>
    <w:p w:rsidR="00642A35" w:rsidRPr="000D7782" w:rsidRDefault="000C1426"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 xml:space="preserve">The respondents, for their own part, averred that </w:t>
      </w:r>
      <w:r w:rsidR="0010392A" w:rsidRPr="000D7782">
        <w:rPr>
          <w:rFonts w:ascii="Arial" w:hAnsi="Arial" w:cs="Arial"/>
          <w:b w:val="0"/>
          <w:color w:val="auto"/>
        </w:rPr>
        <w:t>Mr Du</w:t>
      </w:r>
      <w:r w:rsidRPr="000D7782">
        <w:rPr>
          <w:rFonts w:ascii="Arial" w:hAnsi="Arial" w:cs="Arial"/>
          <w:b w:val="0"/>
          <w:color w:val="auto"/>
        </w:rPr>
        <w:t xml:space="preserve"> Plessis was not or suspected of being biased and his investigation was procedurally fair</w:t>
      </w:r>
      <w:r w:rsidR="004320CA">
        <w:rPr>
          <w:rFonts w:ascii="Arial" w:hAnsi="Arial" w:cs="Arial"/>
          <w:b w:val="0"/>
          <w:color w:val="auto"/>
        </w:rPr>
        <w:t xml:space="preserve">.  </w:t>
      </w:r>
      <w:r w:rsidRPr="000D7782">
        <w:rPr>
          <w:rFonts w:ascii="Arial" w:hAnsi="Arial" w:cs="Arial"/>
          <w:b w:val="0"/>
          <w:color w:val="auto"/>
        </w:rPr>
        <w:t>That Mr Ndlovu would n</w:t>
      </w:r>
      <w:r w:rsidR="005D0E8A" w:rsidRPr="000D7782">
        <w:rPr>
          <w:rFonts w:ascii="Arial" w:hAnsi="Arial" w:cs="Arial"/>
          <w:b w:val="0"/>
          <w:color w:val="auto"/>
        </w:rPr>
        <w:t>ot have appointed Mr Du Plessis</w:t>
      </w:r>
      <w:r w:rsidRPr="000D7782">
        <w:rPr>
          <w:rFonts w:ascii="Arial" w:hAnsi="Arial" w:cs="Arial"/>
          <w:b w:val="0"/>
          <w:color w:val="auto"/>
        </w:rPr>
        <w:t xml:space="preserve"> if he was aware that there was a</w:t>
      </w:r>
      <w:r w:rsidR="00F562CE">
        <w:rPr>
          <w:rFonts w:ascii="Arial" w:hAnsi="Arial" w:cs="Arial"/>
          <w:b w:val="0"/>
          <w:color w:val="auto"/>
        </w:rPr>
        <w:t>ny</w:t>
      </w:r>
      <w:r w:rsidRPr="000D7782">
        <w:rPr>
          <w:rFonts w:ascii="Arial" w:hAnsi="Arial" w:cs="Arial"/>
          <w:b w:val="0"/>
          <w:color w:val="auto"/>
        </w:rPr>
        <w:t xml:space="preserve"> rift</w:t>
      </w:r>
      <w:r w:rsidR="00F562CE">
        <w:rPr>
          <w:rFonts w:ascii="Arial" w:hAnsi="Arial" w:cs="Arial"/>
          <w:b w:val="0"/>
          <w:color w:val="auto"/>
        </w:rPr>
        <w:t xml:space="preserve"> or animosity extant</w:t>
      </w:r>
      <w:r w:rsidRPr="000D7782">
        <w:rPr>
          <w:rFonts w:ascii="Arial" w:hAnsi="Arial" w:cs="Arial"/>
          <w:b w:val="0"/>
          <w:color w:val="auto"/>
        </w:rPr>
        <w:t xml:space="preserve"> between the</w:t>
      </w:r>
      <w:r w:rsidR="00F562CE">
        <w:rPr>
          <w:rFonts w:ascii="Arial" w:hAnsi="Arial" w:cs="Arial"/>
          <w:b w:val="0"/>
          <w:color w:val="auto"/>
        </w:rPr>
        <w:t xml:space="preserve"> latter and the applicant.</w:t>
      </w:r>
      <w:r w:rsidR="004320CA">
        <w:rPr>
          <w:rFonts w:ascii="Arial" w:hAnsi="Arial" w:cs="Arial"/>
          <w:b w:val="0"/>
          <w:color w:val="auto"/>
        </w:rPr>
        <w:t xml:space="preserve">  </w:t>
      </w:r>
      <w:r w:rsidR="00852427" w:rsidRPr="000D7782">
        <w:rPr>
          <w:rFonts w:ascii="Arial" w:hAnsi="Arial" w:cs="Arial"/>
          <w:b w:val="0"/>
          <w:color w:val="auto"/>
        </w:rPr>
        <w:t>Even though the averment of the alleged animosity is somewhat lacking in specificity, the respondents’ bare denial, without more</w:t>
      </w:r>
      <w:r w:rsidR="005D0E8A" w:rsidRPr="000D7782">
        <w:rPr>
          <w:rFonts w:ascii="Arial" w:hAnsi="Arial" w:cs="Arial"/>
          <w:b w:val="0"/>
          <w:color w:val="auto"/>
        </w:rPr>
        <w:t>,</w:t>
      </w:r>
      <w:r w:rsidR="00852427" w:rsidRPr="000D7782">
        <w:rPr>
          <w:rFonts w:ascii="Arial" w:hAnsi="Arial" w:cs="Arial"/>
          <w:b w:val="0"/>
          <w:color w:val="auto"/>
        </w:rPr>
        <w:t xml:space="preserve"> is not sufficient to generate a genuine </w:t>
      </w:r>
      <w:r w:rsidR="00642A35" w:rsidRPr="000D7782">
        <w:rPr>
          <w:rFonts w:ascii="Arial" w:hAnsi="Arial" w:cs="Arial"/>
          <w:b w:val="0"/>
          <w:color w:val="auto"/>
        </w:rPr>
        <w:t>or real dispute of fact</w:t>
      </w:r>
      <w:r w:rsidR="004320CA">
        <w:rPr>
          <w:rFonts w:ascii="Arial" w:hAnsi="Arial" w:cs="Arial"/>
          <w:b w:val="0"/>
          <w:color w:val="auto"/>
        </w:rPr>
        <w:t xml:space="preserve">.  </w:t>
      </w:r>
      <w:r w:rsidR="00642A35" w:rsidRPr="000D7782">
        <w:rPr>
          <w:rFonts w:ascii="Arial" w:hAnsi="Arial" w:cs="Arial"/>
          <w:b w:val="0"/>
          <w:color w:val="auto"/>
        </w:rPr>
        <w:t>Mr</w:t>
      </w:r>
      <w:r w:rsidR="00164D26" w:rsidRPr="000D7782">
        <w:rPr>
          <w:rFonts w:ascii="Arial" w:hAnsi="Arial" w:cs="Arial"/>
          <w:b w:val="0"/>
          <w:color w:val="auto"/>
        </w:rPr>
        <w:t xml:space="preserve"> </w:t>
      </w:r>
      <w:r w:rsidR="00642A35" w:rsidRPr="000D7782">
        <w:rPr>
          <w:rFonts w:ascii="Arial" w:hAnsi="Arial" w:cs="Arial"/>
          <w:b w:val="0"/>
          <w:color w:val="auto"/>
        </w:rPr>
        <w:t>Du Plessis himself could have delivered a supplementary of confirmatory affidavit in this regard</w:t>
      </w:r>
      <w:r w:rsidR="004320CA">
        <w:rPr>
          <w:rFonts w:ascii="Arial" w:hAnsi="Arial" w:cs="Arial"/>
          <w:b w:val="0"/>
          <w:color w:val="auto"/>
        </w:rPr>
        <w:t xml:space="preserve">.  </w:t>
      </w:r>
      <w:r w:rsidR="00642A35" w:rsidRPr="000D7782">
        <w:rPr>
          <w:rFonts w:ascii="Arial" w:hAnsi="Arial" w:cs="Arial"/>
          <w:b w:val="0"/>
          <w:color w:val="auto"/>
        </w:rPr>
        <w:t>He did not do so</w:t>
      </w:r>
      <w:r w:rsidR="004320CA">
        <w:rPr>
          <w:rFonts w:ascii="Arial" w:hAnsi="Arial" w:cs="Arial"/>
          <w:b w:val="0"/>
          <w:color w:val="auto"/>
        </w:rPr>
        <w:t xml:space="preserve">.  </w:t>
      </w:r>
    </w:p>
    <w:p w:rsidR="00642A35" w:rsidRPr="000D7782" w:rsidRDefault="00642A35" w:rsidP="00FE32B1">
      <w:pPr>
        <w:pStyle w:val="ListParagraph"/>
        <w:spacing w:line="360" w:lineRule="auto"/>
        <w:rPr>
          <w:rFonts w:ascii="Arial" w:hAnsi="Arial" w:cs="Arial"/>
          <w:b w:val="0"/>
          <w:color w:val="auto"/>
        </w:rPr>
      </w:pPr>
    </w:p>
    <w:p w:rsidR="00661C41" w:rsidRPr="000D7782" w:rsidRDefault="00642A35"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Whilst it has been well said that in motion proceedings this Court must take “</w:t>
      </w:r>
      <w:r w:rsidRPr="000D7782">
        <w:rPr>
          <w:rFonts w:ascii="Arial" w:hAnsi="Arial" w:cs="Arial"/>
          <w:b w:val="0"/>
          <w:i/>
          <w:color w:val="auto"/>
        </w:rPr>
        <w:t>a robust, common</w:t>
      </w:r>
      <w:r w:rsidR="005D0E8A" w:rsidRPr="000D7782">
        <w:rPr>
          <w:rFonts w:ascii="Arial" w:hAnsi="Arial" w:cs="Arial"/>
          <w:b w:val="0"/>
          <w:i/>
          <w:color w:val="auto"/>
        </w:rPr>
        <w:t xml:space="preserve"> </w:t>
      </w:r>
      <w:r w:rsidRPr="000D7782">
        <w:rPr>
          <w:rFonts w:ascii="Arial" w:hAnsi="Arial" w:cs="Arial"/>
          <w:b w:val="0"/>
          <w:i/>
          <w:color w:val="auto"/>
        </w:rPr>
        <w:t>sense approach</w:t>
      </w:r>
      <w:r w:rsidRPr="000D7782">
        <w:rPr>
          <w:rFonts w:ascii="Arial" w:hAnsi="Arial" w:cs="Arial"/>
          <w:b w:val="0"/>
          <w:color w:val="auto"/>
        </w:rPr>
        <w:t>” to disputes on motion and not to hesitate to decide an issue on affidavit merely because it may be difficult to do so</w:t>
      </w:r>
      <w:r w:rsidR="004043B2">
        <w:rPr>
          <w:rFonts w:ascii="Arial" w:hAnsi="Arial" w:cs="Arial"/>
          <w:b w:val="0"/>
          <w:color w:val="auto"/>
        </w:rPr>
        <w:t>.</w:t>
      </w:r>
      <w:r w:rsidRPr="000D7782">
        <w:rPr>
          <w:rStyle w:val="FootnoteReference"/>
          <w:rFonts w:ascii="Arial" w:hAnsi="Arial" w:cs="Arial"/>
          <w:b w:val="0"/>
          <w:color w:val="auto"/>
        </w:rPr>
        <w:footnoteReference w:id="62"/>
      </w:r>
      <w:r w:rsidR="00ED5CD0" w:rsidRPr="000D7782">
        <w:rPr>
          <w:rFonts w:ascii="Arial" w:hAnsi="Arial" w:cs="Arial"/>
          <w:b w:val="0"/>
          <w:color w:val="auto"/>
        </w:rPr>
        <w:t xml:space="preserve"> </w:t>
      </w:r>
      <w:r w:rsidR="004043B2">
        <w:rPr>
          <w:rFonts w:ascii="Arial" w:hAnsi="Arial" w:cs="Arial"/>
          <w:b w:val="0"/>
          <w:color w:val="auto"/>
        </w:rPr>
        <w:t>I</w:t>
      </w:r>
      <w:r w:rsidR="00ED5CD0" w:rsidRPr="000D7782">
        <w:rPr>
          <w:rFonts w:ascii="Arial" w:hAnsi="Arial" w:cs="Arial"/>
          <w:b w:val="0"/>
          <w:color w:val="auto"/>
        </w:rPr>
        <w:t>t is also so that this approach must be adopted with caution and that this Court should not be tempted to settle disputes of fact solely on probabilities emerging from the affidavits</w:t>
      </w:r>
      <w:r w:rsidR="004320CA">
        <w:rPr>
          <w:rFonts w:ascii="Arial" w:hAnsi="Arial" w:cs="Arial"/>
          <w:b w:val="0"/>
          <w:color w:val="auto"/>
        </w:rPr>
        <w:t xml:space="preserve">.  </w:t>
      </w:r>
      <w:r w:rsidR="00ED5CD0" w:rsidRPr="000D7782">
        <w:rPr>
          <w:rFonts w:ascii="Arial" w:hAnsi="Arial" w:cs="Arial"/>
          <w:b w:val="0"/>
          <w:color w:val="auto"/>
        </w:rPr>
        <w:t>Given this Court’s determination, it is deemed unnecessary to decide</w:t>
      </w:r>
      <w:r w:rsidR="00661C41" w:rsidRPr="000D7782">
        <w:rPr>
          <w:rFonts w:ascii="Arial" w:hAnsi="Arial" w:cs="Arial"/>
          <w:b w:val="0"/>
          <w:color w:val="auto"/>
        </w:rPr>
        <w:t xml:space="preserve"> this issue</w:t>
      </w:r>
      <w:r w:rsidR="004320CA">
        <w:rPr>
          <w:rFonts w:ascii="Arial" w:hAnsi="Arial" w:cs="Arial"/>
          <w:b w:val="0"/>
          <w:color w:val="auto"/>
        </w:rPr>
        <w:t xml:space="preserve">.  </w:t>
      </w:r>
      <w:r w:rsidR="00F562CE">
        <w:rPr>
          <w:rFonts w:ascii="Arial" w:hAnsi="Arial" w:cs="Arial"/>
          <w:b w:val="0"/>
          <w:color w:val="auto"/>
        </w:rPr>
        <w:t>This Court therefore did</w:t>
      </w:r>
      <w:r w:rsidR="00B7726C" w:rsidRPr="000D7782">
        <w:rPr>
          <w:rFonts w:ascii="Arial" w:hAnsi="Arial" w:cs="Arial"/>
          <w:b w:val="0"/>
          <w:color w:val="auto"/>
        </w:rPr>
        <w:t xml:space="preserve"> not do so</w:t>
      </w:r>
      <w:r w:rsidR="004320CA">
        <w:rPr>
          <w:rFonts w:ascii="Arial" w:hAnsi="Arial" w:cs="Arial"/>
          <w:b w:val="0"/>
          <w:color w:val="auto"/>
        </w:rPr>
        <w:t xml:space="preserve">.  </w:t>
      </w:r>
    </w:p>
    <w:p w:rsidR="00661C41" w:rsidRPr="000D7782" w:rsidRDefault="00661C41" w:rsidP="00FE32B1">
      <w:pPr>
        <w:pStyle w:val="ListParagraph"/>
        <w:spacing w:line="360" w:lineRule="auto"/>
        <w:rPr>
          <w:rFonts w:ascii="Arial" w:hAnsi="Arial" w:cs="Arial"/>
          <w:b w:val="0"/>
          <w:color w:val="auto"/>
        </w:rPr>
      </w:pPr>
    </w:p>
    <w:p w:rsidR="0072449C" w:rsidRPr="000D7782" w:rsidRDefault="0072449C"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Section 6(g) and (</w:t>
      </w:r>
      <w:proofErr w:type="spellStart"/>
      <w:r w:rsidRPr="000D7782">
        <w:rPr>
          <w:rFonts w:ascii="Arial" w:hAnsi="Arial" w:cs="Arial"/>
          <w:b w:val="0"/>
          <w:color w:val="auto"/>
        </w:rPr>
        <w:t>i</w:t>
      </w:r>
      <w:proofErr w:type="spellEnd"/>
      <w:r w:rsidRPr="000D7782">
        <w:rPr>
          <w:rFonts w:ascii="Arial" w:hAnsi="Arial" w:cs="Arial"/>
          <w:b w:val="0"/>
          <w:color w:val="auto"/>
        </w:rPr>
        <w:t>) render an administrative action judicially reviewable if the action concerned consists of failure to take a decision or the action is otherwise unconstitutional or unlawful</w:t>
      </w:r>
      <w:r w:rsidR="004320CA">
        <w:rPr>
          <w:rFonts w:ascii="Arial" w:hAnsi="Arial" w:cs="Arial"/>
          <w:b w:val="0"/>
          <w:color w:val="auto"/>
        </w:rPr>
        <w:t xml:space="preserve">.  </w:t>
      </w:r>
      <w:r w:rsidRPr="000D7782">
        <w:rPr>
          <w:rFonts w:ascii="Arial" w:hAnsi="Arial" w:cs="Arial"/>
          <w:b w:val="0"/>
          <w:color w:val="auto"/>
        </w:rPr>
        <w:t xml:space="preserve">Section 237 of the Constitution expressly requires all constitutional obligation to be performed diligently and </w:t>
      </w:r>
      <w:r w:rsidRPr="000D7782">
        <w:rPr>
          <w:rFonts w:ascii="Arial" w:hAnsi="Arial" w:cs="Arial"/>
          <w:b w:val="0"/>
          <w:color w:val="auto"/>
        </w:rPr>
        <w:lastRenderedPageBreak/>
        <w:t>without delay</w:t>
      </w:r>
      <w:r w:rsidR="004320CA">
        <w:rPr>
          <w:rFonts w:ascii="Arial" w:hAnsi="Arial" w:cs="Arial"/>
          <w:b w:val="0"/>
          <w:color w:val="auto"/>
        </w:rPr>
        <w:t xml:space="preserve">.  </w:t>
      </w:r>
      <w:r w:rsidR="00B7726C" w:rsidRPr="000D7782">
        <w:rPr>
          <w:rFonts w:ascii="Arial" w:hAnsi="Arial" w:cs="Arial"/>
          <w:b w:val="0"/>
          <w:color w:val="auto"/>
        </w:rPr>
        <w:t>The applicant also prayed that the failure of the Minister and/or the National Commission to make a decision in relation to his appeal dated 27</w:t>
      </w:r>
      <w:r w:rsidR="005D0E8A" w:rsidRPr="000D7782">
        <w:rPr>
          <w:rFonts w:ascii="Arial" w:hAnsi="Arial" w:cs="Arial"/>
          <w:b w:val="0"/>
          <w:color w:val="auto"/>
        </w:rPr>
        <w:t> </w:t>
      </w:r>
      <w:r w:rsidR="00B7726C" w:rsidRPr="000D7782">
        <w:rPr>
          <w:rFonts w:ascii="Arial" w:hAnsi="Arial" w:cs="Arial"/>
          <w:b w:val="0"/>
          <w:color w:val="auto"/>
        </w:rPr>
        <w:t>February 2023 be declared invalid, unlawful and unconstitutional</w:t>
      </w:r>
      <w:r w:rsidR="004320CA">
        <w:rPr>
          <w:rFonts w:ascii="Arial" w:hAnsi="Arial" w:cs="Arial"/>
          <w:b w:val="0"/>
          <w:color w:val="auto"/>
        </w:rPr>
        <w:t xml:space="preserve">.  </w:t>
      </w:r>
    </w:p>
    <w:p w:rsidR="0072449C" w:rsidRPr="000D7782" w:rsidRDefault="0072449C" w:rsidP="00FE32B1">
      <w:pPr>
        <w:pStyle w:val="ListParagraph"/>
        <w:spacing w:line="360" w:lineRule="auto"/>
        <w:rPr>
          <w:rFonts w:ascii="Arial" w:hAnsi="Arial" w:cs="Arial"/>
          <w:b w:val="0"/>
          <w:color w:val="auto"/>
        </w:rPr>
      </w:pPr>
    </w:p>
    <w:p w:rsidR="003E5943" w:rsidRPr="000D7782" w:rsidRDefault="00005A27"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The respondents strenuously dispute</w:t>
      </w:r>
      <w:r w:rsidR="00B95FF1">
        <w:rPr>
          <w:rFonts w:ascii="Arial" w:hAnsi="Arial" w:cs="Arial"/>
          <w:b w:val="0"/>
          <w:color w:val="auto"/>
        </w:rPr>
        <w:t>d</w:t>
      </w:r>
      <w:r w:rsidRPr="000D7782">
        <w:rPr>
          <w:rFonts w:ascii="Arial" w:hAnsi="Arial" w:cs="Arial"/>
          <w:b w:val="0"/>
          <w:color w:val="auto"/>
        </w:rPr>
        <w:t xml:space="preserve"> the foregoing and in amplification of the denial maintain</w:t>
      </w:r>
      <w:r w:rsidR="00B95FF1">
        <w:rPr>
          <w:rFonts w:ascii="Arial" w:hAnsi="Arial" w:cs="Arial"/>
          <w:b w:val="0"/>
          <w:color w:val="auto"/>
        </w:rPr>
        <w:t>ed</w:t>
      </w:r>
      <w:r w:rsidRPr="000D7782">
        <w:rPr>
          <w:rFonts w:ascii="Arial" w:hAnsi="Arial" w:cs="Arial"/>
          <w:b w:val="0"/>
          <w:color w:val="auto"/>
        </w:rPr>
        <w:t xml:space="preserve"> </w:t>
      </w:r>
      <w:r w:rsidR="00C27FE1" w:rsidRPr="000D7782">
        <w:rPr>
          <w:rFonts w:ascii="Arial" w:hAnsi="Arial" w:cs="Arial"/>
          <w:b w:val="0"/>
          <w:color w:val="auto"/>
        </w:rPr>
        <w:t xml:space="preserve">that on 22 May 2023, </w:t>
      </w:r>
      <w:r w:rsidRPr="000D7782">
        <w:rPr>
          <w:rFonts w:ascii="Arial" w:hAnsi="Arial" w:cs="Arial"/>
          <w:b w:val="0"/>
          <w:color w:val="auto"/>
        </w:rPr>
        <w:t>the National Commissioner furnished the applicant with a response that he does not qualify for special remission parole annexed to the papers and marked “SF3.”</w:t>
      </w:r>
      <w:r w:rsidR="005D0E8A" w:rsidRPr="000D7782">
        <w:rPr>
          <w:rFonts w:ascii="Arial" w:hAnsi="Arial" w:cs="Arial"/>
          <w:b w:val="0"/>
          <w:color w:val="auto"/>
        </w:rPr>
        <w:t xml:space="preserve">  </w:t>
      </w:r>
      <w:r w:rsidR="00C27FE1" w:rsidRPr="000D7782">
        <w:rPr>
          <w:rFonts w:ascii="Arial" w:hAnsi="Arial" w:cs="Arial"/>
          <w:b w:val="0"/>
          <w:color w:val="auto"/>
        </w:rPr>
        <w:t>A relief can only be granted where there is a continued infringement of an applicant’s rights</w:t>
      </w:r>
      <w:r w:rsidR="004320CA">
        <w:rPr>
          <w:rFonts w:ascii="Arial" w:hAnsi="Arial" w:cs="Arial"/>
          <w:b w:val="0"/>
          <w:color w:val="auto"/>
        </w:rPr>
        <w:t xml:space="preserve">.  </w:t>
      </w:r>
      <w:r w:rsidR="00C27FE1" w:rsidRPr="000D7782">
        <w:rPr>
          <w:rFonts w:ascii="Arial" w:hAnsi="Arial" w:cs="Arial"/>
          <w:b w:val="0"/>
          <w:color w:val="auto"/>
        </w:rPr>
        <w:t>After a decision has been taken, whether positive or negative, it is no longer possible to review and have declared unlawful the failure to take the decision</w:t>
      </w:r>
      <w:r w:rsidR="004320CA">
        <w:rPr>
          <w:rFonts w:ascii="Arial" w:hAnsi="Arial" w:cs="Arial"/>
          <w:b w:val="0"/>
          <w:color w:val="auto"/>
        </w:rPr>
        <w:t xml:space="preserve">.  </w:t>
      </w:r>
    </w:p>
    <w:p w:rsidR="003E5943" w:rsidRPr="000D7782" w:rsidRDefault="003E5943" w:rsidP="00FE32B1">
      <w:pPr>
        <w:pStyle w:val="ListParagraph"/>
        <w:spacing w:line="360" w:lineRule="auto"/>
        <w:rPr>
          <w:rFonts w:ascii="Arial" w:hAnsi="Arial" w:cs="Arial"/>
          <w:b w:val="0"/>
          <w:color w:val="auto"/>
        </w:rPr>
      </w:pPr>
    </w:p>
    <w:p w:rsidR="000966C5" w:rsidRPr="00B95FF1" w:rsidRDefault="00817E7F" w:rsidP="00FE32B1">
      <w:pPr>
        <w:pStyle w:val="ListParagraph"/>
        <w:numPr>
          <w:ilvl w:val="0"/>
          <w:numId w:val="2"/>
        </w:numPr>
        <w:spacing w:line="360" w:lineRule="auto"/>
        <w:ind w:left="851" w:hanging="851"/>
        <w:jc w:val="both"/>
        <w:rPr>
          <w:rFonts w:ascii="Arial" w:hAnsi="Arial" w:cs="Arial"/>
          <w:b w:val="0"/>
          <w:color w:val="auto"/>
        </w:rPr>
      </w:pPr>
      <w:r w:rsidRPr="00B95FF1">
        <w:rPr>
          <w:rFonts w:ascii="Arial" w:hAnsi="Arial" w:cs="Arial"/>
          <w:b w:val="0"/>
          <w:color w:val="auto"/>
        </w:rPr>
        <w:t xml:space="preserve">A case </w:t>
      </w:r>
      <w:r w:rsidR="00B95FF1" w:rsidRPr="00B95FF1">
        <w:rPr>
          <w:rFonts w:ascii="Arial" w:hAnsi="Arial" w:cs="Arial"/>
          <w:b w:val="0"/>
          <w:color w:val="auto"/>
        </w:rPr>
        <w:t xml:space="preserve">is </w:t>
      </w:r>
      <w:r w:rsidRPr="00B95FF1">
        <w:rPr>
          <w:rFonts w:ascii="Arial" w:hAnsi="Arial" w:cs="Arial"/>
          <w:b w:val="0"/>
          <w:color w:val="auto"/>
        </w:rPr>
        <w:t>moot and therefore not justiciable if it no longer presents an existing or live controversy which is extant, if the Court is to avoid giving advisory opinions on abstract propositions of law.</w:t>
      </w:r>
      <w:r w:rsidRPr="000D7782">
        <w:rPr>
          <w:rStyle w:val="FootnoteReference"/>
          <w:rFonts w:ascii="Arial" w:hAnsi="Arial" w:cs="Arial"/>
          <w:b w:val="0"/>
          <w:color w:val="auto"/>
        </w:rPr>
        <w:footnoteReference w:id="63"/>
      </w:r>
      <w:r w:rsidRPr="00B95FF1">
        <w:rPr>
          <w:rFonts w:ascii="Arial" w:hAnsi="Arial" w:cs="Arial"/>
          <w:b w:val="0"/>
          <w:color w:val="auto"/>
        </w:rPr>
        <w:t xml:space="preserve"> </w:t>
      </w:r>
      <w:r w:rsidR="00B95FF1" w:rsidRPr="000D7782">
        <w:rPr>
          <w:rFonts w:ascii="Arial" w:hAnsi="Arial" w:cs="Arial"/>
          <w:b w:val="0"/>
          <w:color w:val="auto"/>
        </w:rPr>
        <w:t xml:space="preserve">There is </w:t>
      </w:r>
      <w:r w:rsidR="00B95FF1">
        <w:rPr>
          <w:rFonts w:ascii="Arial" w:hAnsi="Arial" w:cs="Arial"/>
          <w:b w:val="0"/>
          <w:color w:val="auto"/>
        </w:rPr>
        <w:t xml:space="preserve">also </w:t>
      </w:r>
      <w:r w:rsidR="00B95FF1" w:rsidRPr="000D7782">
        <w:rPr>
          <w:rFonts w:ascii="Arial" w:hAnsi="Arial" w:cs="Arial"/>
          <w:b w:val="0"/>
          <w:color w:val="auto"/>
        </w:rPr>
        <w:t>certainly no basis for relief to be granted on a footing wholly different from the grounds set out in the application.</w:t>
      </w:r>
      <w:r w:rsidR="00B95FF1" w:rsidRPr="000D7782">
        <w:rPr>
          <w:rStyle w:val="FootnoteReference"/>
          <w:rFonts w:ascii="Arial" w:hAnsi="Arial" w:cs="Arial"/>
          <w:b w:val="0"/>
          <w:color w:val="auto"/>
        </w:rPr>
        <w:footnoteReference w:id="64"/>
      </w:r>
      <w:r w:rsidR="00B95FF1" w:rsidRPr="000D7782">
        <w:rPr>
          <w:rFonts w:ascii="Arial" w:hAnsi="Arial" w:cs="Arial"/>
          <w:b w:val="0"/>
          <w:color w:val="auto"/>
        </w:rPr>
        <w:t xml:space="preserve"> </w:t>
      </w:r>
      <w:r w:rsidR="00C27FE1" w:rsidRPr="00B95FF1">
        <w:rPr>
          <w:rFonts w:ascii="Arial" w:hAnsi="Arial" w:cs="Arial"/>
          <w:b w:val="0"/>
          <w:color w:val="auto"/>
        </w:rPr>
        <w:t xml:space="preserve">That </w:t>
      </w:r>
      <w:r w:rsidR="003E5943" w:rsidRPr="00B95FF1">
        <w:rPr>
          <w:rFonts w:ascii="Arial" w:hAnsi="Arial" w:cs="Arial"/>
          <w:b w:val="0"/>
          <w:color w:val="auto"/>
        </w:rPr>
        <w:t>being so, this Court determines that the right to that relief has fallen away because the decision has been taken</w:t>
      </w:r>
      <w:r w:rsidR="004320CA" w:rsidRPr="00B95FF1">
        <w:rPr>
          <w:rFonts w:ascii="Arial" w:hAnsi="Arial" w:cs="Arial"/>
          <w:b w:val="0"/>
          <w:color w:val="auto"/>
        </w:rPr>
        <w:t xml:space="preserve">.  </w:t>
      </w:r>
      <w:r w:rsidR="005D0E8A" w:rsidRPr="00B95FF1">
        <w:rPr>
          <w:rFonts w:ascii="Arial" w:hAnsi="Arial" w:cs="Arial"/>
          <w:b w:val="0"/>
          <w:color w:val="auto"/>
        </w:rPr>
        <w:t xml:space="preserve"> </w:t>
      </w:r>
    </w:p>
    <w:p w:rsidR="00B95FF1" w:rsidRDefault="00B95FF1" w:rsidP="00FE32B1">
      <w:pPr>
        <w:pStyle w:val="ListParagraph"/>
        <w:spacing w:line="360" w:lineRule="auto"/>
        <w:ind w:left="851"/>
        <w:jc w:val="both"/>
        <w:rPr>
          <w:rFonts w:ascii="Arial" w:hAnsi="Arial" w:cs="Arial"/>
          <w:b w:val="0"/>
          <w:color w:val="auto"/>
        </w:rPr>
      </w:pPr>
    </w:p>
    <w:p w:rsidR="00B95FF1" w:rsidRDefault="000966C5" w:rsidP="00FE32B1">
      <w:pPr>
        <w:pStyle w:val="Level1"/>
        <w:numPr>
          <w:ilvl w:val="0"/>
          <w:numId w:val="2"/>
        </w:numPr>
        <w:spacing w:line="360" w:lineRule="auto"/>
        <w:ind w:left="851" w:hanging="851"/>
        <w:contextualSpacing/>
        <w:jc w:val="both"/>
        <w:rPr>
          <w:rFonts w:ascii="Arial" w:hAnsi="Arial" w:cs="Arial"/>
          <w:b w:val="0"/>
          <w:color w:val="auto"/>
        </w:rPr>
      </w:pPr>
      <w:r w:rsidRPr="000D7782">
        <w:rPr>
          <w:rFonts w:ascii="Arial" w:hAnsi="Arial" w:cs="Arial"/>
          <w:b w:val="0"/>
          <w:color w:val="auto"/>
        </w:rPr>
        <w:t>T</w:t>
      </w:r>
      <w:r w:rsidR="00B95FF1">
        <w:rPr>
          <w:rFonts w:ascii="Arial" w:hAnsi="Arial" w:cs="Arial"/>
          <w:b w:val="0"/>
          <w:color w:val="auto"/>
        </w:rPr>
        <w:t>he applicant</w:t>
      </w:r>
      <w:r w:rsidRPr="000D7782">
        <w:rPr>
          <w:rFonts w:ascii="Arial" w:hAnsi="Arial" w:cs="Arial"/>
          <w:b w:val="0"/>
          <w:color w:val="auto"/>
        </w:rPr>
        <w:t xml:space="preserve"> alleged </w:t>
      </w:r>
      <w:r w:rsidR="00B95FF1">
        <w:rPr>
          <w:rFonts w:ascii="Arial" w:hAnsi="Arial" w:cs="Arial"/>
          <w:b w:val="0"/>
          <w:color w:val="auto"/>
        </w:rPr>
        <w:t xml:space="preserve">that </w:t>
      </w:r>
      <w:r w:rsidRPr="000D7782">
        <w:rPr>
          <w:rFonts w:ascii="Arial" w:hAnsi="Arial" w:cs="Arial"/>
          <w:b w:val="0"/>
          <w:color w:val="auto"/>
        </w:rPr>
        <w:t>his name was originally on the list of offenders but was thereafter removed, despite the fact that he was informed by one Mr</w:t>
      </w:r>
      <w:r w:rsidR="00164D26" w:rsidRPr="000D7782">
        <w:rPr>
          <w:rFonts w:ascii="Arial" w:hAnsi="Arial" w:cs="Arial"/>
          <w:b w:val="0"/>
          <w:color w:val="auto"/>
        </w:rPr>
        <w:t xml:space="preserve"> </w:t>
      </w:r>
      <w:r w:rsidRPr="000D7782">
        <w:rPr>
          <w:rFonts w:ascii="Arial" w:hAnsi="Arial" w:cs="Arial"/>
          <w:b w:val="0"/>
          <w:color w:val="auto"/>
        </w:rPr>
        <w:t>Louis September</w:t>
      </w:r>
      <w:r w:rsidR="00B95FF1">
        <w:rPr>
          <w:rFonts w:ascii="Arial" w:hAnsi="Arial" w:cs="Arial"/>
          <w:b w:val="0"/>
          <w:color w:val="auto"/>
        </w:rPr>
        <w:t>,</w:t>
      </w:r>
      <w:r w:rsidRPr="000D7782">
        <w:rPr>
          <w:rFonts w:ascii="Arial" w:hAnsi="Arial" w:cs="Arial"/>
          <w:b w:val="0"/>
          <w:color w:val="auto"/>
        </w:rPr>
        <w:t xml:space="preserve"> </w:t>
      </w:r>
      <w:r w:rsidR="0060604E" w:rsidRPr="000D7782">
        <w:rPr>
          <w:rFonts w:ascii="Arial" w:hAnsi="Arial" w:cs="Arial"/>
          <w:b w:val="0"/>
          <w:color w:val="auto"/>
        </w:rPr>
        <w:t xml:space="preserve">that he </w:t>
      </w:r>
      <w:r w:rsidR="00B95FF1">
        <w:rPr>
          <w:rFonts w:ascii="Arial" w:hAnsi="Arial" w:cs="Arial"/>
          <w:b w:val="0"/>
          <w:color w:val="auto"/>
        </w:rPr>
        <w:t xml:space="preserve">had to </w:t>
      </w:r>
      <w:r w:rsidR="0060604E" w:rsidRPr="000D7782">
        <w:rPr>
          <w:rFonts w:ascii="Arial" w:hAnsi="Arial" w:cs="Arial"/>
          <w:b w:val="0"/>
          <w:color w:val="auto"/>
        </w:rPr>
        <w:t>provide his address for confirmation</w:t>
      </w:r>
      <w:r w:rsidR="004320CA">
        <w:rPr>
          <w:rFonts w:ascii="Arial" w:hAnsi="Arial" w:cs="Arial"/>
          <w:b w:val="0"/>
          <w:color w:val="auto"/>
        </w:rPr>
        <w:t xml:space="preserve">.  </w:t>
      </w:r>
      <w:r w:rsidR="00B95FF1" w:rsidRPr="000D7782">
        <w:rPr>
          <w:rFonts w:ascii="Arial" w:hAnsi="Arial" w:cs="Arial"/>
          <w:b w:val="0"/>
          <w:color w:val="auto"/>
        </w:rPr>
        <w:t xml:space="preserve">To this extent, the applicant attached an email annexure from one Mr Jaco </w:t>
      </w:r>
      <w:proofErr w:type="spellStart"/>
      <w:r w:rsidR="00B95FF1" w:rsidRPr="000D7782">
        <w:rPr>
          <w:rFonts w:ascii="Arial" w:hAnsi="Arial" w:cs="Arial"/>
          <w:b w:val="0"/>
          <w:color w:val="auto"/>
        </w:rPr>
        <w:t>Matthee</w:t>
      </w:r>
      <w:proofErr w:type="spellEnd"/>
      <w:r w:rsidR="00B95FF1" w:rsidRPr="000D7782">
        <w:rPr>
          <w:rFonts w:ascii="Arial" w:hAnsi="Arial" w:cs="Arial"/>
          <w:b w:val="0"/>
          <w:color w:val="auto"/>
        </w:rPr>
        <w:t xml:space="preserve"> (CMA-Disposal Supervisor of the Department) addressed to one Louis September, headed: “</w:t>
      </w:r>
      <w:r w:rsidR="00B95FF1" w:rsidRPr="000D7782">
        <w:rPr>
          <w:rFonts w:ascii="Arial" w:hAnsi="Arial" w:cs="Arial"/>
          <w:b w:val="0"/>
          <w:i/>
          <w:color w:val="auto"/>
        </w:rPr>
        <w:t xml:space="preserve">CSPB case for early release; HCC Cases for early release…” </w:t>
      </w:r>
      <w:r w:rsidR="00B95FF1" w:rsidRPr="000D7782">
        <w:rPr>
          <w:rFonts w:ascii="Arial" w:hAnsi="Arial" w:cs="Arial"/>
          <w:b w:val="0"/>
          <w:color w:val="auto"/>
        </w:rPr>
        <w:t>with the said list attached</w:t>
      </w:r>
      <w:r w:rsidR="00B95FF1">
        <w:rPr>
          <w:rFonts w:ascii="Arial" w:hAnsi="Arial" w:cs="Arial"/>
          <w:b w:val="0"/>
          <w:color w:val="auto"/>
        </w:rPr>
        <w:t xml:space="preserve">.  </w:t>
      </w:r>
    </w:p>
    <w:p w:rsidR="00AD2E9B" w:rsidRDefault="00AD2E9B" w:rsidP="00FE32B1">
      <w:pPr>
        <w:pStyle w:val="ListParagraph"/>
        <w:spacing w:line="360" w:lineRule="auto"/>
        <w:rPr>
          <w:rFonts w:ascii="Arial" w:hAnsi="Arial" w:cs="Arial"/>
          <w:b w:val="0"/>
          <w:color w:val="auto"/>
        </w:rPr>
      </w:pPr>
    </w:p>
    <w:p w:rsidR="002B28F2" w:rsidRDefault="0060604E"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Th</w:t>
      </w:r>
      <w:r w:rsidR="00B95FF1">
        <w:rPr>
          <w:rFonts w:ascii="Arial" w:hAnsi="Arial" w:cs="Arial"/>
          <w:b w:val="0"/>
          <w:color w:val="auto"/>
        </w:rPr>
        <w:t>at th</w:t>
      </w:r>
      <w:r w:rsidRPr="000D7782">
        <w:rPr>
          <w:rFonts w:ascii="Arial" w:hAnsi="Arial" w:cs="Arial"/>
          <w:b w:val="0"/>
          <w:color w:val="auto"/>
        </w:rPr>
        <w:t xml:space="preserve">e applicant has not been given any written reasons </w:t>
      </w:r>
      <w:r w:rsidR="005D0E8A" w:rsidRPr="000D7782">
        <w:rPr>
          <w:rFonts w:ascii="Arial" w:hAnsi="Arial" w:cs="Arial"/>
          <w:b w:val="0"/>
          <w:color w:val="auto"/>
        </w:rPr>
        <w:t xml:space="preserve">for </w:t>
      </w:r>
      <w:r w:rsidRPr="000D7782">
        <w:rPr>
          <w:rFonts w:ascii="Arial" w:hAnsi="Arial" w:cs="Arial"/>
          <w:b w:val="0"/>
          <w:color w:val="auto"/>
        </w:rPr>
        <w:t>this</w:t>
      </w:r>
      <w:r w:rsidR="004320CA">
        <w:rPr>
          <w:rFonts w:ascii="Arial" w:hAnsi="Arial" w:cs="Arial"/>
          <w:b w:val="0"/>
          <w:color w:val="auto"/>
        </w:rPr>
        <w:t xml:space="preserve">.  </w:t>
      </w:r>
      <w:r w:rsidRPr="000D7782">
        <w:rPr>
          <w:rFonts w:ascii="Arial" w:hAnsi="Arial" w:cs="Arial"/>
          <w:b w:val="0"/>
          <w:color w:val="auto"/>
        </w:rPr>
        <w:t>His speculation is that it is possible</w:t>
      </w:r>
      <w:r w:rsidR="005D0E8A" w:rsidRPr="000D7782">
        <w:rPr>
          <w:rFonts w:ascii="Arial" w:hAnsi="Arial" w:cs="Arial"/>
          <w:b w:val="0"/>
          <w:color w:val="auto"/>
        </w:rPr>
        <w:t xml:space="preserve">, </w:t>
      </w:r>
      <w:r w:rsidRPr="000D7782">
        <w:rPr>
          <w:rFonts w:ascii="Arial" w:hAnsi="Arial" w:cs="Arial"/>
          <w:b w:val="0"/>
          <w:color w:val="auto"/>
        </w:rPr>
        <w:t xml:space="preserve">that this was due to </w:t>
      </w:r>
      <w:r w:rsidR="00B95FF1">
        <w:rPr>
          <w:rFonts w:ascii="Arial" w:hAnsi="Arial" w:cs="Arial"/>
          <w:b w:val="0"/>
          <w:color w:val="auto"/>
        </w:rPr>
        <w:t xml:space="preserve">some nefarious </w:t>
      </w:r>
      <w:r w:rsidRPr="000D7782">
        <w:rPr>
          <w:rFonts w:ascii="Arial" w:hAnsi="Arial" w:cs="Arial"/>
          <w:b w:val="0"/>
          <w:color w:val="auto"/>
        </w:rPr>
        <w:t>political interference</w:t>
      </w:r>
      <w:r w:rsidR="004320CA">
        <w:rPr>
          <w:rFonts w:ascii="Arial" w:hAnsi="Arial" w:cs="Arial"/>
          <w:b w:val="0"/>
          <w:color w:val="auto"/>
        </w:rPr>
        <w:t xml:space="preserve">.  </w:t>
      </w:r>
      <w:r w:rsidRPr="000D7782">
        <w:rPr>
          <w:rFonts w:ascii="Arial" w:hAnsi="Arial" w:cs="Arial"/>
          <w:b w:val="0"/>
          <w:color w:val="auto"/>
        </w:rPr>
        <w:t xml:space="preserve">The respondents deny these allegations and maintain that the applicant was not eligible for special dispensation parole by virtue of him not </w:t>
      </w:r>
      <w:r w:rsidRPr="000D7782">
        <w:rPr>
          <w:rFonts w:ascii="Arial" w:hAnsi="Arial" w:cs="Arial"/>
          <w:b w:val="0"/>
          <w:color w:val="auto"/>
        </w:rPr>
        <w:lastRenderedPageBreak/>
        <w:t xml:space="preserve">meeting certain requirements in Circular 13 of 2019/20, </w:t>
      </w:r>
      <w:r w:rsidR="00B95FF1">
        <w:rPr>
          <w:rFonts w:ascii="Arial" w:hAnsi="Arial" w:cs="Arial"/>
          <w:b w:val="0"/>
          <w:color w:val="auto"/>
        </w:rPr>
        <w:t xml:space="preserve">read </w:t>
      </w:r>
      <w:r w:rsidRPr="000D7782">
        <w:rPr>
          <w:rFonts w:ascii="Arial" w:hAnsi="Arial" w:cs="Arial"/>
          <w:b w:val="0"/>
          <w:color w:val="auto"/>
        </w:rPr>
        <w:t xml:space="preserve">together with </w:t>
      </w:r>
      <w:r w:rsidR="00B95FF1">
        <w:rPr>
          <w:rFonts w:ascii="Arial" w:hAnsi="Arial" w:cs="Arial"/>
          <w:b w:val="0"/>
          <w:color w:val="auto"/>
        </w:rPr>
        <w:t xml:space="preserve">the </w:t>
      </w:r>
      <w:r w:rsidR="00164D26" w:rsidRPr="000D7782">
        <w:rPr>
          <w:rFonts w:ascii="Arial" w:hAnsi="Arial" w:cs="Arial"/>
          <w:b w:val="0"/>
          <w:color w:val="auto"/>
        </w:rPr>
        <w:t>Section</w:t>
      </w:r>
      <w:r w:rsidRPr="000D7782">
        <w:rPr>
          <w:rFonts w:ascii="Arial" w:hAnsi="Arial" w:cs="Arial"/>
          <w:b w:val="0"/>
          <w:color w:val="auto"/>
        </w:rPr>
        <w:t>s</w:t>
      </w:r>
      <w:r w:rsidR="00B95FF1">
        <w:rPr>
          <w:rFonts w:ascii="Arial" w:hAnsi="Arial" w:cs="Arial"/>
          <w:b w:val="0"/>
          <w:color w:val="auto"/>
        </w:rPr>
        <w:t xml:space="preserve"> 80</w:t>
      </w:r>
      <w:r w:rsidRPr="000D7782">
        <w:rPr>
          <w:rFonts w:ascii="Arial" w:hAnsi="Arial" w:cs="Arial"/>
          <w:b w:val="0"/>
          <w:color w:val="auto"/>
        </w:rPr>
        <w:t xml:space="preserve"> of the Act</w:t>
      </w:r>
      <w:r w:rsidR="004320CA">
        <w:rPr>
          <w:rFonts w:ascii="Arial" w:hAnsi="Arial" w:cs="Arial"/>
          <w:b w:val="0"/>
          <w:color w:val="auto"/>
        </w:rPr>
        <w:t xml:space="preserve">.  </w:t>
      </w:r>
    </w:p>
    <w:p w:rsidR="001F70B4" w:rsidRPr="00B95FF1" w:rsidRDefault="001F70B4" w:rsidP="00FE32B1">
      <w:pPr>
        <w:spacing w:line="360" w:lineRule="auto"/>
        <w:contextualSpacing/>
        <w:rPr>
          <w:rFonts w:ascii="Arial" w:hAnsi="Arial" w:cs="Arial"/>
          <w:b w:val="0"/>
          <w:color w:val="auto"/>
        </w:rPr>
      </w:pPr>
    </w:p>
    <w:p w:rsidR="00B95FF1" w:rsidRPr="00B95FF1" w:rsidRDefault="002B28F2" w:rsidP="00FE32B1">
      <w:pPr>
        <w:pStyle w:val="Level1"/>
        <w:numPr>
          <w:ilvl w:val="0"/>
          <w:numId w:val="2"/>
        </w:numPr>
        <w:spacing w:line="360" w:lineRule="auto"/>
        <w:ind w:left="851" w:hanging="851"/>
        <w:contextualSpacing/>
        <w:jc w:val="both"/>
        <w:rPr>
          <w:rFonts w:ascii="Arial" w:hAnsi="Arial" w:cs="Arial"/>
          <w:b w:val="0"/>
          <w:i/>
          <w:color w:val="auto"/>
        </w:rPr>
      </w:pPr>
      <w:r w:rsidRPr="00B95FF1">
        <w:rPr>
          <w:rFonts w:ascii="Arial" w:hAnsi="Arial" w:cs="Arial"/>
          <w:b w:val="0"/>
          <w:color w:val="auto"/>
        </w:rPr>
        <w:t>In response to the foregoing, the respondents simply averred that it is not known whether these allegations are true or not and therefore same was put in issue</w:t>
      </w:r>
      <w:r w:rsidR="004320CA" w:rsidRPr="00B95FF1">
        <w:rPr>
          <w:rFonts w:ascii="Arial" w:hAnsi="Arial" w:cs="Arial"/>
          <w:b w:val="0"/>
          <w:color w:val="auto"/>
        </w:rPr>
        <w:t>.</w:t>
      </w:r>
      <w:r w:rsidR="00B95FF1" w:rsidRPr="00B95FF1">
        <w:rPr>
          <w:rStyle w:val="FootnoteReference"/>
          <w:rFonts w:ascii="Arial" w:hAnsi="Arial" w:cs="Arial"/>
          <w:b w:val="0"/>
          <w:color w:val="auto"/>
        </w:rPr>
        <w:t xml:space="preserve"> </w:t>
      </w:r>
      <w:r w:rsidR="00B95FF1" w:rsidRPr="000D7782">
        <w:rPr>
          <w:rStyle w:val="FootnoteReference"/>
          <w:rFonts w:ascii="Arial" w:hAnsi="Arial" w:cs="Arial"/>
          <w:b w:val="0"/>
          <w:color w:val="auto"/>
        </w:rPr>
        <w:footnoteReference w:id="65"/>
      </w:r>
      <w:r w:rsidR="00B95FF1" w:rsidRPr="00B95FF1">
        <w:rPr>
          <w:rFonts w:ascii="Arial" w:hAnsi="Arial" w:cs="Arial"/>
          <w:b w:val="0"/>
          <w:color w:val="auto"/>
        </w:rPr>
        <w:t xml:space="preserve"> </w:t>
      </w:r>
      <w:r w:rsidRPr="00B95FF1">
        <w:rPr>
          <w:rFonts w:ascii="Arial" w:hAnsi="Arial" w:cs="Arial"/>
          <w:b w:val="0"/>
          <w:color w:val="auto"/>
        </w:rPr>
        <w:t xml:space="preserve">This is queer, to say the least. </w:t>
      </w:r>
      <w:r w:rsidR="005D0E8A" w:rsidRPr="00B95FF1">
        <w:rPr>
          <w:rFonts w:ascii="Arial" w:hAnsi="Arial" w:cs="Arial"/>
          <w:b w:val="0"/>
          <w:color w:val="auto"/>
        </w:rPr>
        <w:t xml:space="preserve"> </w:t>
      </w:r>
      <w:r w:rsidRPr="00B95FF1">
        <w:rPr>
          <w:rFonts w:ascii="Arial" w:hAnsi="Arial" w:cs="Arial"/>
          <w:b w:val="0"/>
          <w:color w:val="auto"/>
        </w:rPr>
        <w:t>It is because an affidavit is not a pleading</w:t>
      </w:r>
      <w:r w:rsidR="00B95FF1" w:rsidRPr="00B95FF1">
        <w:rPr>
          <w:rFonts w:ascii="Arial" w:hAnsi="Arial" w:cs="Arial"/>
          <w:b w:val="0"/>
          <w:color w:val="auto"/>
        </w:rPr>
        <w:t xml:space="preserve">. </w:t>
      </w:r>
      <w:r w:rsidR="00B95FF1" w:rsidRPr="000D7782">
        <w:rPr>
          <w:rFonts w:ascii="Arial" w:hAnsi="Arial" w:cs="Arial"/>
          <w:b w:val="0"/>
          <w:color w:val="auto"/>
        </w:rPr>
        <w:t>Public officials must comply with the obligations mentioned in Section 195 of the Constitution, which include a high standard of</w:t>
      </w:r>
      <w:r w:rsidR="00B95FF1" w:rsidRPr="000D7782">
        <w:rPr>
          <w:rFonts w:ascii="Arial" w:hAnsi="Arial" w:cs="Arial"/>
          <w:color w:val="auto"/>
        </w:rPr>
        <w:t xml:space="preserve"> </w:t>
      </w:r>
      <w:r w:rsidR="00B95FF1" w:rsidRPr="000D7782">
        <w:rPr>
          <w:rFonts w:ascii="Arial" w:hAnsi="Arial" w:cs="Arial"/>
          <w:b w:val="0"/>
          <w:color w:val="auto"/>
        </w:rPr>
        <w:t>professional ethics.</w:t>
      </w:r>
      <w:r w:rsidR="00B95FF1" w:rsidRPr="000D7782">
        <w:rPr>
          <w:rStyle w:val="FootnoteReference"/>
          <w:rFonts w:ascii="Arial" w:hAnsi="Arial" w:cs="Arial"/>
          <w:b w:val="0"/>
          <w:color w:val="auto"/>
        </w:rPr>
        <w:footnoteReference w:id="66"/>
      </w:r>
      <w:r w:rsidR="00B95FF1">
        <w:rPr>
          <w:rFonts w:ascii="Arial" w:hAnsi="Arial" w:cs="Arial"/>
          <w:b w:val="0"/>
          <w:i/>
          <w:color w:val="auto"/>
        </w:rPr>
        <w:t xml:space="preserve"> </w:t>
      </w:r>
      <w:r w:rsidRPr="00B95FF1">
        <w:rPr>
          <w:rFonts w:ascii="Arial" w:hAnsi="Arial" w:cs="Arial"/>
          <w:b w:val="0"/>
          <w:color w:val="auto"/>
        </w:rPr>
        <w:t>The respondents cannot content themselves with bare or unsubstantiated denials</w:t>
      </w:r>
      <w:r w:rsidRPr="000D7782">
        <w:rPr>
          <w:rStyle w:val="FootnoteReference"/>
          <w:rFonts w:ascii="Arial" w:hAnsi="Arial" w:cs="Arial"/>
          <w:b w:val="0"/>
          <w:color w:val="auto"/>
        </w:rPr>
        <w:footnoteReference w:id="67"/>
      </w:r>
      <w:r w:rsidRPr="00B95FF1">
        <w:rPr>
          <w:rFonts w:ascii="Arial" w:hAnsi="Arial" w:cs="Arial"/>
          <w:b w:val="0"/>
          <w:color w:val="auto"/>
        </w:rPr>
        <w:t xml:space="preserve"> i</w:t>
      </w:r>
      <w:r w:rsidR="005D0E8A" w:rsidRPr="00B95FF1">
        <w:rPr>
          <w:rFonts w:ascii="Arial" w:hAnsi="Arial" w:cs="Arial"/>
          <w:b w:val="0"/>
          <w:color w:val="auto"/>
        </w:rPr>
        <w:t>n an answering affidavit unless,</w:t>
      </w:r>
      <w:r w:rsidRPr="00B95FF1">
        <w:rPr>
          <w:rFonts w:ascii="Arial" w:hAnsi="Arial" w:cs="Arial"/>
          <w:b w:val="0"/>
          <w:color w:val="auto"/>
        </w:rPr>
        <w:t xml:space="preserve"> of course, there is no other way open to them and nothing more can be expected of them.</w:t>
      </w:r>
      <w:r w:rsidRPr="000D7782">
        <w:rPr>
          <w:rStyle w:val="FootnoteReference"/>
          <w:rFonts w:ascii="Arial" w:hAnsi="Arial" w:cs="Arial"/>
          <w:b w:val="0"/>
          <w:color w:val="auto"/>
        </w:rPr>
        <w:footnoteReference w:id="68"/>
      </w:r>
      <w:r w:rsidR="005D0E8A" w:rsidRPr="00B95FF1">
        <w:rPr>
          <w:rFonts w:ascii="Arial" w:hAnsi="Arial" w:cs="Arial"/>
          <w:b w:val="0"/>
          <w:color w:val="auto"/>
        </w:rPr>
        <w:t xml:space="preserve"> </w:t>
      </w:r>
    </w:p>
    <w:p w:rsidR="002C44FD" w:rsidRPr="00B95FF1" w:rsidRDefault="002B28F2" w:rsidP="00FE32B1">
      <w:pPr>
        <w:pStyle w:val="Level1"/>
        <w:numPr>
          <w:ilvl w:val="0"/>
          <w:numId w:val="0"/>
        </w:numPr>
        <w:spacing w:line="360" w:lineRule="auto"/>
        <w:contextualSpacing/>
        <w:jc w:val="both"/>
        <w:rPr>
          <w:rFonts w:ascii="Arial" w:hAnsi="Arial" w:cs="Arial"/>
          <w:b w:val="0"/>
          <w:i/>
          <w:color w:val="auto"/>
        </w:rPr>
      </w:pPr>
      <w:r w:rsidRPr="00B95FF1">
        <w:rPr>
          <w:rFonts w:ascii="Arial" w:hAnsi="Arial" w:cs="Arial"/>
          <w:b w:val="0"/>
          <w:color w:val="auto"/>
        </w:rPr>
        <w:t xml:space="preserve"> </w:t>
      </w:r>
    </w:p>
    <w:p w:rsidR="00A777BD" w:rsidRPr="000D7782" w:rsidRDefault="00A777BD"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Whilst the competency to grant special remission of sentence to a prisoner serving a determinative sentence is within the discretion of the first respondent</w:t>
      </w:r>
      <w:r w:rsidR="005D0E8A" w:rsidRPr="000D7782">
        <w:rPr>
          <w:rFonts w:ascii="Arial" w:hAnsi="Arial" w:cs="Arial"/>
          <w:b w:val="0"/>
          <w:color w:val="auto"/>
        </w:rPr>
        <w:t>, s</w:t>
      </w:r>
      <w:r w:rsidRPr="000D7782">
        <w:rPr>
          <w:rFonts w:ascii="Arial" w:hAnsi="Arial" w:cs="Arial"/>
          <w:b w:val="0"/>
          <w:color w:val="auto"/>
        </w:rPr>
        <w:t>uch a discretion cannot be exercised arbitrarily or capriciously</w:t>
      </w:r>
      <w:r w:rsidR="004320CA">
        <w:rPr>
          <w:rFonts w:ascii="Arial" w:hAnsi="Arial" w:cs="Arial"/>
          <w:b w:val="0"/>
          <w:color w:val="auto"/>
        </w:rPr>
        <w:t xml:space="preserve">.  </w:t>
      </w:r>
      <w:r w:rsidRPr="000D7782">
        <w:rPr>
          <w:rFonts w:ascii="Arial" w:hAnsi="Arial" w:cs="Arial"/>
          <w:b w:val="0"/>
          <w:color w:val="auto"/>
        </w:rPr>
        <w:t>The prisoner who is adversely affected by same must take note in writing regarding the final decision conveyed to him/her.</w:t>
      </w:r>
      <w:r w:rsidRPr="000D7782">
        <w:rPr>
          <w:rStyle w:val="FootnoteReference"/>
          <w:rFonts w:ascii="Arial" w:hAnsi="Arial" w:cs="Arial"/>
          <w:b w:val="0"/>
          <w:color w:val="auto"/>
        </w:rPr>
        <w:footnoteReference w:id="69"/>
      </w:r>
      <w:r w:rsidRPr="000D7782">
        <w:rPr>
          <w:rFonts w:ascii="Arial" w:hAnsi="Arial" w:cs="Arial"/>
          <w:b w:val="0"/>
          <w:color w:val="auto"/>
        </w:rPr>
        <w:t xml:space="preserve"> </w:t>
      </w:r>
      <w:r w:rsidR="005D0E8A" w:rsidRPr="000D7782">
        <w:rPr>
          <w:rFonts w:ascii="Arial" w:hAnsi="Arial" w:cs="Arial"/>
          <w:b w:val="0"/>
          <w:color w:val="auto"/>
        </w:rPr>
        <w:t xml:space="preserve"> </w:t>
      </w:r>
      <w:r w:rsidRPr="000D7782">
        <w:rPr>
          <w:rFonts w:ascii="Arial" w:hAnsi="Arial" w:cs="Arial"/>
          <w:b w:val="0"/>
          <w:color w:val="auto"/>
        </w:rPr>
        <w:t xml:space="preserve">The applicant’s averment </w:t>
      </w:r>
      <w:r w:rsidR="00B7726C" w:rsidRPr="000D7782">
        <w:rPr>
          <w:rFonts w:ascii="Arial" w:hAnsi="Arial" w:cs="Arial"/>
          <w:b w:val="0"/>
          <w:color w:val="auto"/>
        </w:rPr>
        <w:t xml:space="preserve">that </w:t>
      </w:r>
      <w:r w:rsidRPr="000D7782">
        <w:rPr>
          <w:rFonts w:ascii="Arial" w:hAnsi="Arial" w:cs="Arial"/>
          <w:b w:val="0"/>
          <w:color w:val="auto"/>
        </w:rPr>
        <w:t>he was not afforded this opportunity is not seriously disputed</w:t>
      </w:r>
      <w:r w:rsidR="004320CA">
        <w:rPr>
          <w:rFonts w:ascii="Arial" w:hAnsi="Arial" w:cs="Arial"/>
          <w:b w:val="0"/>
          <w:color w:val="auto"/>
        </w:rPr>
        <w:t xml:space="preserve">.  </w:t>
      </w:r>
    </w:p>
    <w:p w:rsidR="00B7726C" w:rsidRPr="000D7782" w:rsidRDefault="00B7726C" w:rsidP="00FE32B1">
      <w:pPr>
        <w:pStyle w:val="ListParagraph"/>
        <w:spacing w:line="360" w:lineRule="auto"/>
        <w:rPr>
          <w:rFonts w:ascii="Arial" w:hAnsi="Arial" w:cs="Arial"/>
          <w:b w:val="0"/>
          <w:color w:val="auto"/>
        </w:rPr>
      </w:pPr>
    </w:p>
    <w:p w:rsidR="00B7726C" w:rsidRPr="000D7782" w:rsidRDefault="00B7726C"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auto"/>
        </w:rPr>
        <w:t xml:space="preserve">In </w:t>
      </w:r>
      <w:r w:rsidRPr="000D7782">
        <w:rPr>
          <w:rFonts w:ascii="Arial" w:hAnsi="Arial" w:cs="Arial"/>
          <w:color w:val="auto"/>
        </w:rPr>
        <w:t xml:space="preserve">Minister of Justice and Correctional Services </w:t>
      </w:r>
      <w:r w:rsidR="00F10984" w:rsidRPr="000D7782">
        <w:rPr>
          <w:rFonts w:ascii="Arial" w:hAnsi="Arial" w:cs="Arial"/>
          <w:i/>
          <w:color w:val="auto"/>
        </w:rPr>
        <w:t>v</w:t>
      </w:r>
      <w:r w:rsidRPr="000D7782">
        <w:rPr>
          <w:rFonts w:ascii="Arial" w:hAnsi="Arial" w:cs="Arial"/>
          <w:color w:val="auto"/>
        </w:rPr>
        <w:t xml:space="preserve"> </w:t>
      </w:r>
      <w:proofErr w:type="spellStart"/>
      <w:r w:rsidRPr="000D7782">
        <w:rPr>
          <w:rFonts w:ascii="Arial" w:hAnsi="Arial" w:cs="Arial"/>
          <w:color w:val="auto"/>
        </w:rPr>
        <w:t>Walus</w:t>
      </w:r>
      <w:proofErr w:type="spellEnd"/>
      <w:r w:rsidRPr="000D7782">
        <w:rPr>
          <w:rFonts w:ascii="Arial" w:hAnsi="Arial" w:cs="Arial"/>
          <w:b w:val="0"/>
          <w:i/>
          <w:color w:val="auto"/>
        </w:rPr>
        <w:t>,</w:t>
      </w:r>
      <w:r w:rsidRPr="000D7782">
        <w:rPr>
          <w:rFonts w:ascii="Arial" w:hAnsi="Arial" w:cs="Arial"/>
          <w:i/>
          <w:color w:val="auto"/>
        </w:rPr>
        <w:t xml:space="preserve"> </w:t>
      </w:r>
      <w:r w:rsidRPr="000D7782">
        <w:rPr>
          <w:rFonts w:ascii="Arial" w:hAnsi="Arial" w:cs="Arial"/>
          <w:b w:val="0"/>
          <w:color w:val="auto"/>
        </w:rPr>
        <w:t>the Supreme Cour</w:t>
      </w:r>
      <w:r w:rsidR="005D0E8A" w:rsidRPr="000D7782">
        <w:rPr>
          <w:rFonts w:ascii="Arial" w:hAnsi="Arial" w:cs="Arial"/>
          <w:b w:val="0"/>
          <w:color w:val="auto"/>
        </w:rPr>
        <w:t>t of Appeal at paragraph 15</w:t>
      </w:r>
      <w:r w:rsidR="00F35269">
        <w:rPr>
          <w:rFonts w:ascii="Arial" w:hAnsi="Arial" w:cs="Arial"/>
          <w:b w:val="0"/>
          <w:color w:val="auto"/>
        </w:rPr>
        <w:t xml:space="preserve"> to</w:t>
      </w:r>
      <w:r w:rsidR="005D0E8A" w:rsidRPr="000D7782">
        <w:rPr>
          <w:rFonts w:ascii="Arial" w:hAnsi="Arial" w:cs="Arial"/>
          <w:b w:val="0"/>
          <w:color w:val="auto"/>
        </w:rPr>
        <w:t xml:space="preserve"> 17</w:t>
      </w:r>
      <w:r w:rsidRPr="000D7782">
        <w:rPr>
          <w:rFonts w:ascii="Arial" w:hAnsi="Arial" w:cs="Arial"/>
          <w:b w:val="0"/>
          <w:color w:val="auto"/>
        </w:rPr>
        <w:t xml:space="preserve"> held as follows:</w:t>
      </w:r>
    </w:p>
    <w:p w:rsidR="005D0E8A" w:rsidRPr="000D7782" w:rsidRDefault="005D0E8A" w:rsidP="00FE32B1">
      <w:pPr>
        <w:pStyle w:val="ListParagraph"/>
        <w:spacing w:line="360" w:lineRule="auto"/>
        <w:rPr>
          <w:rFonts w:ascii="Arial" w:hAnsi="Arial" w:cs="Arial"/>
          <w:b w:val="0"/>
          <w:color w:val="auto"/>
        </w:rPr>
      </w:pPr>
    </w:p>
    <w:p w:rsidR="005D0E8A" w:rsidRDefault="00B7726C" w:rsidP="00FE32B1">
      <w:pPr>
        <w:pStyle w:val="NormalWeb"/>
        <w:shd w:val="clear" w:color="auto" w:fill="FFFFFF"/>
        <w:tabs>
          <w:tab w:val="left" w:pos="1701"/>
        </w:tabs>
        <w:spacing w:before="0" w:beforeAutospacing="0" w:after="0" w:afterAutospacing="0" w:line="360" w:lineRule="auto"/>
        <w:ind w:left="1701" w:hanging="850"/>
        <w:contextualSpacing/>
        <w:jc w:val="both"/>
        <w:rPr>
          <w:i/>
          <w:color w:val="242121"/>
        </w:rPr>
      </w:pPr>
      <w:r w:rsidRPr="001F70B4">
        <w:rPr>
          <w:i/>
          <w:color w:val="242121"/>
        </w:rPr>
        <w:t xml:space="preserve">“[15] </w:t>
      </w:r>
      <w:r w:rsidR="005D0E8A" w:rsidRPr="001F70B4">
        <w:rPr>
          <w:i/>
          <w:color w:val="242121"/>
        </w:rPr>
        <w:tab/>
      </w:r>
      <w:r w:rsidRPr="001F70B4">
        <w:rPr>
          <w:i/>
          <w:color w:val="242121"/>
        </w:rPr>
        <w:t xml:space="preserve">Our </w:t>
      </w:r>
      <w:r w:rsidR="00164D26" w:rsidRPr="001F70B4">
        <w:rPr>
          <w:i/>
          <w:color w:val="242121"/>
        </w:rPr>
        <w:t>Court</w:t>
      </w:r>
      <w:r w:rsidRPr="001F70B4">
        <w:rPr>
          <w:i/>
          <w:color w:val="242121"/>
        </w:rPr>
        <w:t>s have, under common law, also been under caution to guard against the possible blurring of the distinction between procedure and merit for the same reason, articulated as follows:</w:t>
      </w:r>
    </w:p>
    <w:p w:rsidR="001F70B4" w:rsidRPr="001F70B4" w:rsidRDefault="001F70B4" w:rsidP="00FE32B1">
      <w:pPr>
        <w:pStyle w:val="NormalWeb"/>
        <w:shd w:val="clear" w:color="auto" w:fill="FFFFFF"/>
        <w:tabs>
          <w:tab w:val="left" w:pos="1701"/>
        </w:tabs>
        <w:spacing w:before="0" w:beforeAutospacing="0" w:after="0" w:afterAutospacing="0" w:line="360" w:lineRule="auto"/>
        <w:ind w:left="1701" w:hanging="850"/>
        <w:contextualSpacing/>
        <w:jc w:val="both"/>
        <w:rPr>
          <w:i/>
          <w:color w:val="242121"/>
        </w:rPr>
      </w:pPr>
    </w:p>
    <w:p w:rsidR="001F70B4" w:rsidRDefault="005D0E8A" w:rsidP="00FE32B1">
      <w:pPr>
        <w:pStyle w:val="NormalWeb"/>
        <w:shd w:val="clear" w:color="auto" w:fill="FFFFFF"/>
        <w:tabs>
          <w:tab w:val="left" w:pos="1701"/>
        </w:tabs>
        <w:spacing w:before="0" w:beforeAutospacing="0" w:after="0" w:afterAutospacing="0" w:line="360" w:lineRule="auto"/>
        <w:ind w:left="1701" w:hanging="850"/>
        <w:contextualSpacing/>
        <w:jc w:val="both"/>
        <w:rPr>
          <w:color w:val="242121"/>
        </w:rPr>
      </w:pPr>
      <w:r w:rsidRPr="001F70B4">
        <w:rPr>
          <w:color w:val="242121"/>
        </w:rPr>
        <w:tab/>
      </w:r>
      <w:r w:rsidR="00B7726C" w:rsidRPr="001F70B4">
        <w:rPr>
          <w:color w:val="242121"/>
        </w:rPr>
        <w:t>‘</w:t>
      </w:r>
      <w:r w:rsidR="00B7726C" w:rsidRPr="001F70B4">
        <w:rPr>
          <w:i/>
          <w:color w:val="242121"/>
        </w:rPr>
        <w:t>Procedural objections are often raised by unmeritorious parties</w:t>
      </w:r>
      <w:r w:rsidR="004320CA">
        <w:rPr>
          <w:i/>
          <w:color w:val="242121"/>
        </w:rPr>
        <w:t xml:space="preserve">.  </w:t>
      </w:r>
      <w:r w:rsidR="00B7726C" w:rsidRPr="001F70B4">
        <w:rPr>
          <w:i/>
          <w:color w:val="242121"/>
        </w:rPr>
        <w:t>Judges may then be tempted to refuse relief on the ground that a fair hearing could have made no difference to the result</w:t>
      </w:r>
      <w:r w:rsidR="004320CA">
        <w:rPr>
          <w:i/>
          <w:color w:val="242121"/>
        </w:rPr>
        <w:t xml:space="preserve">.  </w:t>
      </w:r>
      <w:r w:rsidR="00B7726C" w:rsidRPr="001F70B4">
        <w:rPr>
          <w:i/>
          <w:color w:val="242121"/>
        </w:rPr>
        <w:t xml:space="preserve">But in principle it is vital that the </w:t>
      </w:r>
      <w:r w:rsidR="00B7726C" w:rsidRPr="001F70B4">
        <w:rPr>
          <w:i/>
          <w:color w:val="242121"/>
        </w:rPr>
        <w:lastRenderedPageBreak/>
        <w:t>procedure and the merits should be kept strictly apart, since otherwise the merits may be prejudged unfairly.’</w:t>
      </w:r>
      <w:r w:rsidR="00B7726C" w:rsidRPr="001F70B4">
        <w:rPr>
          <w:rStyle w:val="FootnoteReference"/>
          <w:color w:val="242121"/>
        </w:rPr>
        <w:footnoteReference w:id="70"/>
      </w:r>
      <w:r w:rsidR="00B7726C" w:rsidRPr="001F70B4">
        <w:rPr>
          <w:color w:val="242121"/>
        </w:rPr>
        <w:t>        </w:t>
      </w:r>
    </w:p>
    <w:p w:rsidR="005D0E8A" w:rsidRPr="001F70B4" w:rsidRDefault="00B7726C" w:rsidP="00FE32B1">
      <w:pPr>
        <w:pStyle w:val="NormalWeb"/>
        <w:shd w:val="clear" w:color="auto" w:fill="FFFFFF"/>
        <w:tabs>
          <w:tab w:val="left" w:pos="1701"/>
        </w:tabs>
        <w:spacing w:before="0" w:beforeAutospacing="0" w:after="0" w:afterAutospacing="0" w:line="360" w:lineRule="auto"/>
        <w:ind w:left="1701" w:hanging="850"/>
        <w:contextualSpacing/>
        <w:jc w:val="both"/>
        <w:rPr>
          <w:color w:val="242121"/>
        </w:rPr>
      </w:pPr>
      <w:r w:rsidRPr="001F70B4">
        <w:rPr>
          <w:color w:val="242121"/>
        </w:rPr>
        <w:t> </w:t>
      </w:r>
    </w:p>
    <w:p w:rsidR="00A777BD" w:rsidRPr="00B95FF1" w:rsidRDefault="00B7726C" w:rsidP="00FE32B1">
      <w:pPr>
        <w:pStyle w:val="NormalWeb"/>
        <w:shd w:val="clear" w:color="auto" w:fill="FFFFFF"/>
        <w:tabs>
          <w:tab w:val="left" w:pos="1701"/>
        </w:tabs>
        <w:spacing w:before="0" w:beforeAutospacing="0" w:after="0" w:afterAutospacing="0" w:line="360" w:lineRule="auto"/>
        <w:ind w:left="1701" w:hanging="850"/>
        <w:contextualSpacing/>
        <w:jc w:val="both"/>
        <w:rPr>
          <w:b/>
          <w:i/>
          <w:color w:val="242121"/>
        </w:rPr>
      </w:pPr>
      <w:r w:rsidRPr="001F70B4">
        <w:rPr>
          <w:i/>
          <w:color w:val="242121"/>
        </w:rPr>
        <w:t xml:space="preserve">[16] </w:t>
      </w:r>
      <w:r w:rsidR="005D0E8A" w:rsidRPr="001F70B4">
        <w:rPr>
          <w:i/>
          <w:color w:val="242121"/>
        </w:rPr>
        <w:tab/>
      </w:r>
      <w:r w:rsidRPr="001F70B4">
        <w:rPr>
          <w:i/>
          <w:color w:val="242121"/>
        </w:rPr>
        <w:t>Summed up, the principles are the following</w:t>
      </w:r>
      <w:r w:rsidR="004320CA">
        <w:rPr>
          <w:i/>
          <w:color w:val="242121"/>
        </w:rPr>
        <w:t xml:space="preserve">.  </w:t>
      </w:r>
      <w:r w:rsidRPr="001F70B4">
        <w:rPr>
          <w:i/>
          <w:color w:val="242121"/>
        </w:rPr>
        <w:t>The inevitability of a certain outcome is not a factor to be considered in determining the validity of the decision</w:t>
      </w:r>
      <w:r w:rsidR="004320CA">
        <w:rPr>
          <w:i/>
          <w:color w:val="242121"/>
        </w:rPr>
        <w:t xml:space="preserve">.  </w:t>
      </w:r>
      <w:r w:rsidRPr="001F70B4">
        <w:rPr>
          <w:i/>
          <w:color w:val="242121"/>
        </w:rPr>
        <w:t>Therefore, neither party may argue that the consideration of the victim impact statement by the minister would make no difference</w:t>
      </w:r>
      <w:r w:rsidR="004320CA">
        <w:rPr>
          <w:i/>
          <w:color w:val="242121"/>
        </w:rPr>
        <w:t xml:space="preserve">.  </w:t>
      </w:r>
      <w:r w:rsidRPr="001F70B4">
        <w:rPr>
          <w:i/>
          <w:color w:val="242121"/>
        </w:rPr>
        <w:t>The proper approach is rather to establish, factually, and not through the lens of the final outcome, whether an irregularity occurred</w:t>
      </w:r>
      <w:r w:rsidR="004320CA">
        <w:rPr>
          <w:i/>
          <w:color w:val="242121"/>
        </w:rPr>
        <w:t xml:space="preserve">.  </w:t>
      </w:r>
      <w:r w:rsidRPr="001F70B4">
        <w:rPr>
          <w:i/>
          <w:color w:val="242121"/>
        </w:rPr>
        <w:t>Then the irregularity must be legally evaluated to determine whether it amounts to a ground of review under PAJA</w:t>
      </w:r>
      <w:r w:rsidR="004320CA">
        <w:rPr>
          <w:i/>
          <w:color w:val="242121"/>
        </w:rPr>
        <w:t xml:space="preserve">.  </w:t>
      </w:r>
      <w:r w:rsidRPr="001F70B4">
        <w:rPr>
          <w:i/>
          <w:color w:val="242121"/>
        </w:rPr>
        <w:t>In this exercise the materiality of any deviance from the legal requirements must be taken into account, where appropriate, by linking the question of compliance to the purpose of the provision before concluding that a review ground under PAJA has been established</w:t>
      </w:r>
      <w:r w:rsidR="004320CA" w:rsidRPr="00B95FF1">
        <w:rPr>
          <w:b/>
          <w:i/>
          <w:color w:val="242121"/>
        </w:rPr>
        <w:t xml:space="preserve">.  </w:t>
      </w:r>
      <w:r w:rsidRPr="00B95FF1">
        <w:rPr>
          <w:b/>
          <w:i/>
          <w:color w:val="242121"/>
        </w:rPr>
        <w:t>So, if the process leading to the decision was compromised, it cannot be known with certainty what the</w:t>
      </w:r>
      <w:r w:rsidRPr="00B95FF1">
        <w:rPr>
          <w:b/>
          <w:color w:val="242121"/>
        </w:rPr>
        <w:t xml:space="preserve"> </w:t>
      </w:r>
      <w:r w:rsidRPr="00B95FF1">
        <w:rPr>
          <w:b/>
          <w:i/>
          <w:color w:val="242121"/>
        </w:rPr>
        <w:t>administrator would have finally decided had the procedural requirements been properly observed.”</w:t>
      </w:r>
      <w:r w:rsidR="00B95FF1" w:rsidRPr="00B95FF1">
        <w:rPr>
          <w:rStyle w:val="FootnoteReference"/>
          <w:color w:val="242121"/>
        </w:rPr>
        <w:footnoteReference w:id="71"/>
      </w:r>
    </w:p>
    <w:p w:rsidR="005D0E8A" w:rsidRPr="000D7782" w:rsidRDefault="005D0E8A" w:rsidP="00FE32B1">
      <w:pPr>
        <w:pStyle w:val="NormalWeb"/>
        <w:shd w:val="clear" w:color="auto" w:fill="FFFFFF"/>
        <w:tabs>
          <w:tab w:val="left" w:pos="1701"/>
        </w:tabs>
        <w:spacing w:before="0" w:beforeAutospacing="0" w:after="0" w:afterAutospacing="0" w:line="360" w:lineRule="auto"/>
        <w:ind w:left="1701" w:hanging="850"/>
        <w:contextualSpacing/>
        <w:jc w:val="both"/>
        <w:rPr>
          <w:rFonts w:ascii="Arial" w:hAnsi="Arial" w:cs="Arial"/>
          <w:i/>
          <w:color w:val="242121"/>
        </w:rPr>
      </w:pPr>
    </w:p>
    <w:p w:rsidR="006F64CF" w:rsidRPr="000D7782" w:rsidRDefault="00B95FF1" w:rsidP="00FE32B1">
      <w:pPr>
        <w:pStyle w:val="ListParagraph"/>
        <w:numPr>
          <w:ilvl w:val="0"/>
          <w:numId w:val="2"/>
        </w:numPr>
        <w:spacing w:line="360" w:lineRule="auto"/>
        <w:ind w:left="851" w:hanging="851"/>
        <w:jc w:val="both"/>
        <w:rPr>
          <w:rFonts w:ascii="Arial" w:hAnsi="Arial" w:cs="Arial"/>
          <w:b w:val="0"/>
          <w:color w:val="auto"/>
        </w:rPr>
      </w:pPr>
      <w:r>
        <w:rPr>
          <w:rFonts w:ascii="Arial" w:hAnsi="Arial" w:cs="Arial"/>
          <w:b w:val="0"/>
          <w:color w:val="auto"/>
        </w:rPr>
        <w:t>It has been well stated that it is trough fair processes that fair decisions are generally reached.</w:t>
      </w:r>
      <w:r>
        <w:rPr>
          <w:rStyle w:val="FootnoteReference"/>
          <w:rFonts w:ascii="Arial" w:hAnsi="Arial" w:cs="Arial"/>
          <w:b w:val="0"/>
          <w:color w:val="auto"/>
        </w:rPr>
        <w:footnoteReference w:id="72"/>
      </w:r>
      <w:r>
        <w:rPr>
          <w:rFonts w:ascii="Arial" w:hAnsi="Arial" w:cs="Arial"/>
          <w:b w:val="0"/>
          <w:color w:val="auto"/>
        </w:rPr>
        <w:t xml:space="preserve"> </w:t>
      </w:r>
      <w:r w:rsidR="002B28F2" w:rsidRPr="000D7782">
        <w:rPr>
          <w:rFonts w:ascii="Arial" w:hAnsi="Arial" w:cs="Arial"/>
          <w:b w:val="0"/>
          <w:color w:val="auto"/>
        </w:rPr>
        <w:t xml:space="preserve">In the absence of any explanation from the respondents, especially </w:t>
      </w:r>
      <w:r w:rsidR="002C44FD" w:rsidRPr="000D7782">
        <w:rPr>
          <w:rFonts w:ascii="Arial" w:hAnsi="Arial" w:cs="Arial"/>
          <w:b w:val="0"/>
          <w:color w:val="auto"/>
        </w:rPr>
        <w:t xml:space="preserve">Messrs Louis September and Jacob </w:t>
      </w:r>
      <w:proofErr w:type="spellStart"/>
      <w:r w:rsidR="002C44FD" w:rsidRPr="000D7782">
        <w:rPr>
          <w:rFonts w:ascii="Arial" w:hAnsi="Arial" w:cs="Arial"/>
          <w:b w:val="0"/>
          <w:color w:val="auto"/>
        </w:rPr>
        <w:t>Matthee</w:t>
      </w:r>
      <w:proofErr w:type="spellEnd"/>
      <w:r w:rsidR="002C44FD" w:rsidRPr="000D7782">
        <w:rPr>
          <w:rFonts w:ascii="Arial" w:hAnsi="Arial" w:cs="Arial"/>
          <w:b w:val="0"/>
          <w:color w:val="auto"/>
        </w:rPr>
        <w:t>, both of whom it is assumed are still in the employ of the respondents or alive, this Court is constrained to find, for the purposes of this application, that the removal of the applicants from the list of cases for early release was not only procedurally unfair, but arbitrary and capricious</w:t>
      </w:r>
      <w:r w:rsidR="004320CA">
        <w:rPr>
          <w:rFonts w:ascii="Arial" w:hAnsi="Arial" w:cs="Arial"/>
          <w:b w:val="0"/>
          <w:color w:val="auto"/>
        </w:rPr>
        <w:t xml:space="preserve">.  </w:t>
      </w:r>
    </w:p>
    <w:p w:rsidR="00381ED6" w:rsidRPr="000D7782" w:rsidRDefault="00381ED6" w:rsidP="00FE32B1">
      <w:pPr>
        <w:pStyle w:val="ListParagraph"/>
        <w:spacing w:line="360" w:lineRule="auto"/>
        <w:ind w:left="851"/>
        <w:jc w:val="both"/>
        <w:rPr>
          <w:rFonts w:ascii="Arial" w:hAnsi="Arial" w:cs="Arial"/>
          <w:b w:val="0"/>
          <w:i/>
          <w:color w:val="auto"/>
        </w:rPr>
      </w:pPr>
    </w:p>
    <w:p w:rsidR="00381ED6" w:rsidRPr="000D7782" w:rsidRDefault="00381ED6" w:rsidP="00FE32B1">
      <w:pPr>
        <w:pStyle w:val="Level1"/>
        <w:numPr>
          <w:ilvl w:val="0"/>
          <w:numId w:val="2"/>
        </w:numPr>
        <w:spacing w:line="360" w:lineRule="auto"/>
        <w:ind w:left="851" w:hanging="851"/>
        <w:contextualSpacing/>
        <w:jc w:val="both"/>
        <w:rPr>
          <w:rFonts w:ascii="Arial" w:hAnsi="Arial" w:cs="Arial"/>
          <w:b w:val="0"/>
          <w:color w:val="auto"/>
        </w:rPr>
      </w:pPr>
      <w:r w:rsidRPr="000D7782">
        <w:rPr>
          <w:rFonts w:ascii="Arial" w:hAnsi="Arial" w:cs="Arial"/>
          <w:b w:val="0"/>
          <w:color w:val="auto"/>
        </w:rPr>
        <w:t xml:space="preserve">In </w:t>
      </w:r>
      <w:proofErr w:type="spellStart"/>
      <w:r w:rsidRPr="000D7782">
        <w:rPr>
          <w:rFonts w:ascii="Arial" w:hAnsi="Arial" w:cs="Arial"/>
          <w:color w:val="auto"/>
        </w:rPr>
        <w:t>Fedsure</w:t>
      </w:r>
      <w:proofErr w:type="spellEnd"/>
      <w:r w:rsidRPr="000D7782">
        <w:rPr>
          <w:rFonts w:ascii="Arial" w:hAnsi="Arial" w:cs="Arial"/>
          <w:color w:val="auto"/>
        </w:rPr>
        <w:t xml:space="preserve"> Life Assurance Ltd and Others </w:t>
      </w:r>
      <w:r w:rsidRPr="000D7782">
        <w:rPr>
          <w:rFonts w:ascii="Arial" w:hAnsi="Arial" w:cs="Arial"/>
          <w:i/>
          <w:color w:val="auto"/>
        </w:rPr>
        <w:t>v</w:t>
      </w:r>
      <w:r w:rsidRPr="000D7782">
        <w:rPr>
          <w:rFonts w:ascii="Arial" w:hAnsi="Arial" w:cs="Arial"/>
          <w:color w:val="auto"/>
        </w:rPr>
        <w:t xml:space="preserve"> Greater Johannesburg Transitional Metropolitan Council and Others</w:t>
      </w:r>
      <w:r w:rsidRPr="000D7782">
        <w:rPr>
          <w:rFonts w:ascii="Arial" w:hAnsi="Arial" w:cs="Arial"/>
          <w:b w:val="0"/>
          <w:color w:val="auto"/>
        </w:rPr>
        <w:t>, the pioneering decision which the Constitutional Court as the crow flies, relied on the principle legality and held thus:</w:t>
      </w:r>
      <w:r w:rsidRPr="000D7782">
        <w:rPr>
          <w:rStyle w:val="FootnoteReference"/>
          <w:rFonts w:ascii="Arial" w:hAnsi="Arial" w:cs="Arial"/>
          <w:b w:val="0"/>
          <w:color w:val="auto"/>
        </w:rPr>
        <w:footnoteReference w:id="73"/>
      </w:r>
    </w:p>
    <w:p w:rsidR="00381ED6" w:rsidRPr="000D7782" w:rsidRDefault="00381ED6" w:rsidP="00FE32B1">
      <w:pPr>
        <w:pStyle w:val="ListParagraph"/>
        <w:spacing w:line="360" w:lineRule="auto"/>
        <w:ind w:left="851"/>
        <w:jc w:val="both"/>
        <w:rPr>
          <w:rFonts w:ascii="Arial" w:hAnsi="Arial" w:cs="Arial"/>
          <w:b w:val="0"/>
          <w:i/>
          <w:color w:val="auto"/>
        </w:rPr>
      </w:pPr>
      <w:r w:rsidRPr="001F70B4">
        <w:rPr>
          <w:rFonts w:ascii="Times New Roman" w:hAnsi="Times New Roman"/>
          <w:b w:val="0"/>
          <w:i/>
          <w:color w:val="auto"/>
        </w:rPr>
        <w:lastRenderedPageBreak/>
        <w:t>“[I]t is a fundamental principle of the rule of law, recognised widely, that the exercise of public power is only legitimate where lawful</w:t>
      </w:r>
      <w:r w:rsidR="004320CA">
        <w:rPr>
          <w:rFonts w:ascii="Times New Roman" w:hAnsi="Times New Roman"/>
          <w:b w:val="0"/>
          <w:i/>
          <w:color w:val="auto"/>
        </w:rPr>
        <w:t xml:space="preserve">.  </w:t>
      </w:r>
      <w:r w:rsidRPr="001F70B4">
        <w:rPr>
          <w:rFonts w:ascii="Times New Roman" w:hAnsi="Times New Roman"/>
          <w:b w:val="0"/>
          <w:i/>
          <w:color w:val="auto"/>
        </w:rPr>
        <w:t>The rule of law – to the extent at least that it expresses the principle of legality – is generally understood to be a fundamental principle of constitutional law.</w:t>
      </w:r>
      <w:r w:rsidRPr="000D7782">
        <w:rPr>
          <w:rStyle w:val="FootnoteReference"/>
          <w:rFonts w:ascii="Arial" w:hAnsi="Arial" w:cs="Arial"/>
          <w:b w:val="0"/>
          <w:color w:val="auto"/>
        </w:rPr>
        <w:footnoteReference w:id="74"/>
      </w:r>
    </w:p>
    <w:p w:rsidR="005B2483" w:rsidRPr="000D7782" w:rsidRDefault="005B2483" w:rsidP="00FE32B1">
      <w:pPr>
        <w:pStyle w:val="ListParagraph"/>
        <w:spacing w:line="360" w:lineRule="auto"/>
        <w:ind w:left="851"/>
        <w:jc w:val="both"/>
        <w:rPr>
          <w:rFonts w:ascii="Arial" w:hAnsi="Arial" w:cs="Arial"/>
          <w:b w:val="0"/>
          <w:i/>
          <w:color w:val="auto"/>
        </w:rPr>
      </w:pPr>
    </w:p>
    <w:p w:rsidR="00381ED6" w:rsidRPr="000D7782" w:rsidRDefault="00381ED6" w:rsidP="00FE32B1">
      <w:pPr>
        <w:pStyle w:val="ListParagraph"/>
        <w:spacing w:line="360" w:lineRule="auto"/>
        <w:ind w:left="851"/>
        <w:jc w:val="both"/>
        <w:rPr>
          <w:rFonts w:ascii="Arial" w:hAnsi="Arial" w:cs="Arial"/>
          <w:b w:val="0"/>
          <w:i/>
          <w:color w:val="auto"/>
        </w:rPr>
      </w:pPr>
      <w:r w:rsidRPr="001F70B4">
        <w:rPr>
          <w:rFonts w:ascii="Times New Roman" w:hAnsi="Times New Roman"/>
          <w:b w:val="0"/>
          <w:i/>
          <w:color w:val="auto"/>
        </w:rPr>
        <w:t>It seems central to the conception of our constitutional order that the legislature and executive in every sphere are constrained by the principle that they exercise no power and perform no function beyond that conferred upon them by law…”</w:t>
      </w:r>
      <w:r w:rsidRPr="000D7782">
        <w:rPr>
          <w:rStyle w:val="FootnoteReference"/>
          <w:rFonts w:ascii="Arial" w:hAnsi="Arial" w:cs="Arial"/>
          <w:b w:val="0"/>
          <w:color w:val="auto"/>
        </w:rPr>
        <w:footnoteReference w:id="75"/>
      </w:r>
      <w:r w:rsidRPr="000D7782">
        <w:rPr>
          <w:rFonts w:ascii="Arial" w:hAnsi="Arial" w:cs="Arial"/>
          <w:b w:val="0"/>
          <w:i/>
          <w:color w:val="auto"/>
        </w:rPr>
        <w:t xml:space="preserve"> </w:t>
      </w:r>
    </w:p>
    <w:p w:rsidR="00381ED6" w:rsidRPr="000D7782" w:rsidRDefault="00381ED6" w:rsidP="00FE32B1">
      <w:pPr>
        <w:spacing w:line="360" w:lineRule="auto"/>
        <w:contextualSpacing/>
        <w:jc w:val="both"/>
        <w:rPr>
          <w:rFonts w:ascii="Arial" w:hAnsi="Arial" w:cs="Arial"/>
          <w:b w:val="0"/>
          <w:color w:val="auto"/>
        </w:rPr>
      </w:pPr>
    </w:p>
    <w:p w:rsidR="00381ED6" w:rsidRPr="000D7782" w:rsidRDefault="00381ED6" w:rsidP="00FE32B1">
      <w:pPr>
        <w:pStyle w:val="ListParagraph"/>
        <w:numPr>
          <w:ilvl w:val="0"/>
          <w:numId w:val="2"/>
        </w:numPr>
        <w:spacing w:line="360" w:lineRule="auto"/>
        <w:ind w:left="851" w:hanging="851"/>
        <w:jc w:val="both"/>
        <w:rPr>
          <w:rFonts w:ascii="Arial" w:hAnsi="Arial" w:cs="Arial"/>
          <w:b w:val="0"/>
          <w:color w:val="auto"/>
        </w:rPr>
      </w:pPr>
      <w:r w:rsidRPr="000D7782">
        <w:rPr>
          <w:rFonts w:ascii="Arial" w:hAnsi="Arial" w:cs="Arial"/>
          <w:b w:val="0"/>
          <w:color w:val="242121"/>
        </w:rPr>
        <w:t>In</w:t>
      </w:r>
      <w:r w:rsidRPr="000D7782">
        <w:rPr>
          <w:rFonts w:ascii="Arial" w:hAnsi="Arial" w:cs="Arial"/>
          <w:i/>
          <w:color w:val="242121"/>
        </w:rPr>
        <w:t> </w:t>
      </w:r>
      <w:r w:rsidRPr="000D7782">
        <w:rPr>
          <w:rFonts w:ascii="Arial" w:hAnsi="Arial" w:cs="Arial"/>
          <w:iCs/>
          <w:color w:val="242121"/>
        </w:rPr>
        <w:t xml:space="preserve">All Pay Consolidated Investment Holdings (Pty) Ltd &amp; others </w:t>
      </w:r>
      <w:r w:rsidRPr="000D7782">
        <w:rPr>
          <w:rFonts w:ascii="Arial" w:hAnsi="Arial" w:cs="Arial"/>
          <w:i/>
          <w:iCs/>
          <w:color w:val="242121"/>
        </w:rPr>
        <w:t>v</w:t>
      </w:r>
      <w:r w:rsidRPr="000D7782">
        <w:rPr>
          <w:rFonts w:ascii="Arial" w:hAnsi="Arial" w:cs="Arial"/>
          <w:iCs/>
          <w:color w:val="242121"/>
        </w:rPr>
        <w:t xml:space="preserve"> Chief Executive Officer, South African Social Security Agency &amp; Others</w:t>
      </w:r>
      <w:r w:rsidR="004320CA">
        <w:rPr>
          <w:rFonts w:ascii="Arial" w:hAnsi="Arial" w:cs="Arial"/>
          <w:color w:val="242121"/>
        </w:rPr>
        <w:t xml:space="preserve">.  </w:t>
      </w:r>
      <w:r w:rsidRPr="000D7782">
        <w:rPr>
          <w:rFonts w:ascii="Arial" w:hAnsi="Arial" w:cs="Arial"/>
          <w:b w:val="0"/>
          <w:color w:val="242121"/>
        </w:rPr>
        <w:t>There the Apex Court, dealing with questions of procedural fairness and lawfulness in a procurement matter, said:</w:t>
      </w:r>
      <w:r w:rsidRPr="000D7782">
        <w:rPr>
          <w:rStyle w:val="FootnoteReference"/>
          <w:rFonts w:ascii="Arial" w:hAnsi="Arial" w:cs="Arial"/>
          <w:b w:val="0"/>
          <w:color w:val="242121"/>
        </w:rPr>
        <w:footnoteReference w:id="76"/>
      </w:r>
    </w:p>
    <w:p w:rsidR="005B2483" w:rsidRPr="000D7782" w:rsidRDefault="005B2483" w:rsidP="00FE32B1">
      <w:pPr>
        <w:pStyle w:val="ListParagraph"/>
        <w:spacing w:line="360" w:lineRule="auto"/>
        <w:ind w:left="851"/>
        <w:jc w:val="both"/>
        <w:rPr>
          <w:rFonts w:ascii="Arial" w:hAnsi="Arial" w:cs="Arial"/>
          <w:b w:val="0"/>
          <w:color w:val="auto"/>
        </w:rPr>
      </w:pPr>
    </w:p>
    <w:p w:rsidR="00381ED6" w:rsidRPr="001F70B4" w:rsidRDefault="00381ED6" w:rsidP="00FE32B1">
      <w:pPr>
        <w:pStyle w:val="NormalWeb"/>
        <w:shd w:val="clear" w:color="auto" w:fill="FFFFFF"/>
        <w:spacing w:before="0" w:beforeAutospacing="0" w:after="0" w:afterAutospacing="0" w:line="360" w:lineRule="auto"/>
        <w:ind w:left="1701" w:hanging="850"/>
        <w:contextualSpacing/>
        <w:jc w:val="both"/>
        <w:rPr>
          <w:i/>
          <w:color w:val="242121"/>
        </w:rPr>
      </w:pPr>
      <w:r w:rsidRPr="001F70B4">
        <w:rPr>
          <w:i/>
          <w:color w:val="242121"/>
        </w:rPr>
        <w:t xml:space="preserve">“[23] </w:t>
      </w:r>
      <w:r w:rsidR="005B2483" w:rsidRPr="001F70B4">
        <w:rPr>
          <w:i/>
          <w:color w:val="242121"/>
        </w:rPr>
        <w:tab/>
      </w:r>
      <w:r w:rsidRPr="001F70B4">
        <w:rPr>
          <w:i/>
          <w:color w:val="242121"/>
        </w:rPr>
        <w:t>To the extent that the judgment of the Supreme Court of Appeal may be interpreted as suggesting that the public interest in procurement matters requires greater caution in finding that grounds for judicial review exist in a given matter, that misapprehension must be dispelled</w:t>
      </w:r>
      <w:r w:rsidR="004320CA">
        <w:rPr>
          <w:i/>
          <w:color w:val="242121"/>
        </w:rPr>
        <w:t xml:space="preserve">.  </w:t>
      </w:r>
      <w:r w:rsidRPr="001F70B4">
        <w:rPr>
          <w:i/>
          <w:color w:val="242121"/>
        </w:rPr>
        <w:t>So too the notion that, even if proven irregularities exist, the inevitability of a certain outcome is a factor that should be considered in determining the validity of administrative action.</w:t>
      </w:r>
    </w:p>
    <w:p w:rsidR="005B2483" w:rsidRPr="000D7782" w:rsidRDefault="005B2483" w:rsidP="00FE32B1">
      <w:pPr>
        <w:pStyle w:val="NormalWeb"/>
        <w:shd w:val="clear" w:color="auto" w:fill="FFFFFF"/>
        <w:spacing w:before="0" w:beforeAutospacing="0" w:after="0" w:afterAutospacing="0" w:line="360" w:lineRule="auto"/>
        <w:ind w:left="1701" w:hanging="850"/>
        <w:contextualSpacing/>
        <w:jc w:val="both"/>
        <w:rPr>
          <w:rFonts w:ascii="Arial" w:hAnsi="Arial" w:cs="Arial"/>
          <w:i/>
          <w:color w:val="242121"/>
        </w:rPr>
      </w:pPr>
    </w:p>
    <w:p w:rsidR="00381ED6" w:rsidRPr="001F70B4" w:rsidRDefault="00381ED6" w:rsidP="00FE32B1">
      <w:pPr>
        <w:pStyle w:val="NormalWeb"/>
        <w:shd w:val="clear" w:color="auto" w:fill="FFFFFF"/>
        <w:spacing w:before="0" w:beforeAutospacing="0" w:after="0" w:afterAutospacing="0" w:line="360" w:lineRule="auto"/>
        <w:ind w:left="1701" w:hanging="850"/>
        <w:contextualSpacing/>
        <w:jc w:val="both"/>
        <w:rPr>
          <w:b/>
          <w:i/>
          <w:color w:val="242121"/>
        </w:rPr>
      </w:pPr>
      <w:r w:rsidRPr="001F70B4">
        <w:rPr>
          <w:i/>
          <w:color w:val="242121"/>
        </w:rPr>
        <w:t xml:space="preserve">[24] </w:t>
      </w:r>
      <w:r w:rsidR="005B2483" w:rsidRPr="001F70B4">
        <w:rPr>
          <w:i/>
          <w:color w:val="242121"/>
        </w:rPr>
        <w:tab/>
      </w:r>
      <w:r w:rsidRPr="001F70B4">
        <w:rPr>
          <w:i/>
          <w:color w:val="242121"/>
        </w:rPr>
        <w:t>This approach to irregularities seems detrimental to important aspects of the procurement process</w:t>
      </w:r>
      <w:r w:rsidR="004320CA">
        <w:rPr>
          <w:i/>
          <w:color w:val="242121"/>
        </w:rPr>
        <w:t xml:space="preserve">.  </w:t>
      </w:r>
      <w:r w:rsidRPr="001F70B4">
        <w:rPr>
          <w:i/>
          <w:color w:val="242121"/>
        </w:rPr>
        <w:t>First, it undermines the role procedural requirements play in ensuring even treatment of all bidders</w:t>
      </w:r>
      <w:r w:rsidR="004320CA">
        <w:rPr>
          <w:i/>
          <w:color w:val="242121"/>
        </w:rPr>
        <w:t xml:space="preserve">.  </w:t>
      </w:r>
      <w:r w:rsidRPr="001F70B4">
        <w:rPr>
          <w:i/>
          <w:color w:val="242121"/>
        </w:rPr>
        <w:t>Second, it overlooks that the purpose of a fair process is to ensure the best outcome; the two cannot be severed</w:t>
      </w:r>
      <w:r w:rsidR="004320CA">
        <w:rPr>
          <w:i/>
          <w:color w:val="242121"/>
        </w:rPr>
        <w:t xml:space="preserve">.  </w:t>
      </w:r>
      <w:r w:rsidRPr="001F70B4">
        <w:rPr>
          <w:i/>
          <w:color w:val="242121"/>
        </w:rPr>
        <w:t>On the approach of the Supreme Court of Appeal, procedural requirements are not considered on their own merits but instead through the lens of the final outcome</w:t>
      </w:r>
      <w:r w:rsidR="004320CA">
        <w:rPr>
          <w:i/>
          <w:color w:val="242121"/>
        </w:rPr>
        <w:t xml:space="preserve">.  </w:t>
      </w:r>
      <w:r w:rsidRPr="001F70B4">
        <w:rPr>
          <w:i/>
          <w:color w:val="242121"/>
        </w:rPr>
        <w:t>This conflates the different and separate questions of unlawfulness and remedy</w:t>
      </w:r>
      <w:r w:rsidR="004320CA">
        <w:rPr>
          <w:i/>
          <w:color w:val="242121"/>
        </w:rPr>
        <w:t xml:space="preserve">.  </w:t>
      </w:r>
      <w:r w:rsidRPr="001F70B4">
        <w:rPr>
          <w:b/>
          <w:i/>
          <w:color w:val="242121"/>
        </w:rPr>
        <w:t xml:space="preserve">If the process leading to the bid’s success was </w:t>
      </w:r>
      <w:r w:rsidRPr="001F70B4">
        <w:rPr>
          <w:b/>
          <w:i/>
          <w:color w:val="242121"/>
        </w:rPr>
        <w:lastRenderedPageBreak/>
        <w:t>compromised, it cannot be known with certainty what course the process might have taken had procedural requirements been properly observed.</w:t>
      </w:r>
      <w:r w:rsidRPr="001F70B4">
        <w:rPr>
          <w:rStyle w:val="FootnoteReference"/>
          <w:color w:val="242121"/>
        </w:rPr>
        <w:footnoteReference w:id="77"/>
      </w:r>
    </w:p>
    <w:p w:rsidR="003D6EF0" w:rsidRPr="001F70B4" w:rsidRDefault="003D6EF0" w:rsidP="00FE32B1">
      <w:pPr>
        <w:pStyle w:val="NormalWeb"/>
        <w:shd w:val="clear" w:color="auto" w:fill="FFFFFF"/>
        <w:spacing w:before="0" w:beforeAutospacing="0" w:after="0" w:afterAutospacing="0" w:line="360" w:lineRule="auto"/>
        <w:ind w:left="1701" w:hanging="850"/>
        <w:contextualSpacing/>
        <w:jc w:val="both"/>
        <w:rPr>
          <w:b/>
          <w:i/>
          <w:color w:val="242121"/>
        </w:rPr>
      </w:pPr>
    </w:p>
    <w:p w:rsidR="00381ED6" w:rsidRPr="000D7782" w:rsidRDefault="00381ED6" w:rsidP="00FE32B1">
      <w:pPr>
        <w:pStyle w:val="NormalWeb"/>
        <w:shd w:val="clear" w:color="auto" w:fill="FFFFFF"/>
        <w:spacing w:before="0" w:beforeAutospacing="0" w:after="0" w:afterAutospacing="0" w:line="360" w:lineRule="auto"/>
        <w:ind w:left="1701" w:hanging="850"/>
        <w:contextualSpacing/>
        <w:jc w:val="both"/>
        <w:rPr>
          <w:rFonts w:ascii="Arial" w:hAnsi="Arial" w:cs="Arial"/>
          <w:b/>
          <w:i/>
          <w:color w:val="242121"/>
        </w:rPr>
      </w:pPr>
      <w:r w:rsidRPr="001F70B4">
        <w:rPr>
          <w:i/>
          <w:color w:val="242121"/>
        </w:rPr>
        <w:t xml:space="preserve">[25] </w:t>
      </w:r>
      <w:r w:rsidR="005B2483" w:rsidRPr="001F70B4">
        <w:rPr>
          <w:i/>
          <w:color w:val="242121"/>
        </w:rPr>
        <w:tab/>
      </w:r>
      <w:r w:rsidRPr="001F70B4">
        <w:rPr>
          <w:b/>
          <w:i/>
          <w:color w:val="242121"/>
        </w:rPr>
        <w:t>Once a ground of review under PAJA has been established there is no room for shying away from it</w:t>
      </w:r>
      <w:r w:rsidR="004320CA">
        <w:rPr>
          <w:b/>
          <w:i/>
          <w:color w:val="242121"/>
        </w:rPr>
        <w:t xml:space="preserve">.  </w:t>
      </w:r>
      <w:r w:rsidRPr="001F70B4">
        <w:rPr>
          <w:b/>
          <w:i/>
          <w:color w:val="242121"/>
        </w:rPr>
        <w:t>Section 172(1</w:t>
      </w:r>
      <w:proofErr w:type="gramStart"/>
      <w:r w:rsidRPr="001F70B4">
        <w:rPr>
          <w:b/>
          <w:i/>
          <w:color w:val="242121"/>
        </w:rPr>
        <w:t>)</w:t>
      </w:r>
      <w:r w:rsidRPr="001F70B4">
        <w:rPr>
          <w:b/>
          <w:i/>
          <w:iCs/>
          <w:color w:val="242121"/>
        </w:rPr>
        <w:t>(</w:t>
      </w:r>
      <w:proofErr w:type="gramEnd"/>
      <w:r w:rsidRPr="001F70B4">
        <w:rPr>
          <w:b/>
          <w:i/>
          <w:iCs/>
          <w:color w:val="242121"/>
        </w:rPr>
        <w:t>a) </w:t>
      </w:r>
      <w:r w:rsidRPr="001F70B4">
        <w:rPr>
          <w:b/>
          <w:i/>
          <w:color w:val="242121"/>
        </w:rPr>
        <w:t>of the Constitution requires the decision to be declared unlawful</w:t>
      </w:r>
      <w:r w:rsidR="004320CA">
        <w:rPr>
          <w:b/>
          <w:i/>
          <w:color w:val="242121"/>
        </w:rPr>
        <w:t xml:space="preserve">.  </w:t>
      </w:r>
      <w:r w:rsidRPr="001F70B4">
        <w:rPr>
          <w:b/>
          <w:i/>
          <w:color w:val="242121"/>
        </w:rPr>
        <w:t>The consequences of the declaration of unlawfulness must then be dealt with in a just and equitable order under s 172(1</w:t>
      </w:r>
      <w:proofErr w:type="gramStart"/>
      <w:r w:rsidRPr="001F70B4">
        <w:rPr>
          <w:b/>
          <w:i/>
          <w:color w:val="242121"/>
        </w:rPr>
        <w:t>)</w:t>
      </w:r>
      <w:r w:rsidRPr="001F70B4">
        <w:rPr>
          <w:b/>
          <w:i/>
          <w:iCs/>
          <w:color w:val="242121"/>
        </w:rPr>
        <w:t>(</w:t>
      </w:r>
      <w:proofErr w:type="gramEnd"/>
      <w:r w:rsidRPr="001F70B4">
        <w:rPr>
          <w:b/>
          <w:i/>
          <w:iCs/>
          <w:color w:val="242121"/>
        </w:rPr>
        <w:t>b)</w:t>
      </w:r>
      <w:r w:rsidR="004320CA">
        <w:rPr>
          <w:b/>
          <w:i/>
          <w:iCs/>
          <w:color w:val="242121"/>
        </w:rPr>
        <w:t xml:space="preserve">.  </w:t>
      </w:r>
      <w:r w:rsidRPr="001F70B4">
        <w:rPr>
          <w:b/>
          <w:i/>
          <w:color w:val="242121"/>
        </w:rPr>
        <w:t>Section 8 of PAJA gives detailed legislative content to the Constitution’s ‘just and equitable’ remedy.</w:t>
      </w:r>
      <w:r w:rsidRPr="000D7782">
        <w:rPr>
          <w:rFonts w:ascii="Arial" w:hAnsi="Arial" w:cs="Arial"/>
          <w:b/>
          <w:i/>
          <w:color w:val="242121"/>
        </w:rPr>
        <w:t>”</w:t>
      </w:r>
      <w:r w:rsidRPr="000D7782">
        <w:rPr>
          <w:rStyle w:val="FootnoteReference"/>
          <w:rFonts w:ascii="Arial" w:hAnsi="Arial" w:cs="Arial"/>
          <w:color w:val="242121"/>
        </w:rPr>
        <w:footnoteReference w:id="78"/>
      </w:r>
    </w:p>
    <w:p w:rsidR="00381ED6" w:rsidRPr="000D7782" w:rsidRDefault="00381ED6" w:rsidP="00FE32B1">
      <w:pPr>
        <w:pStyle w:val="ListParagraph"/>
        <w:spacing w:line="360" w:lineRule="auto"/>
        <w:rPr>
          <w:rFonts w:ascii="Arial" w:hAnsi="Arial" w:cs="Arial"/>
          <w:b w:val="0"/>
          <w:color w:val="auto"/>
        </w:rPr>
      </w:pPr>
    </w:p>
    <w:p w:rsidR="00A56A31" w:rsidRPr="000D7782" w:rsidRDefault="006F64CF" w:rsidP="00FE32B1">
      <w:pPr>
        <w:pStyle w:val="ListParagraph"/>
        <w:numPr>
          <w:ilvl w:val="0"/>
          <w:numId w:val="2"/>
        </w:numPr>
        <w:spacing w:line="360" w:lineRule="auto"/>
        <w:ind w:left="851" w:hanging="851"/>
        <w:jc w:val="both"/>
        <w:rPr>
          <w:rFonts w:ascii="Arial" w:hAnsi="Arial" w:cs="Arial"/>
          <w:b w:val="0"/>
          <w:i/>
          <w:color w:val="auto"/>
        </w:rPr>
      </w:pPr>
      <w:r w:rsidRPr="000D7782">
        <w:rPr>
          <w:rFonts w:ascii="Arial" w:hAnsi="Arial" w:cs="Arial"/>
          <w:b w:val="0"/>
          <w:color w:val="auto"/>
        </w:rPr>
        <w:t>With regard to whether or not the matter should be remitted, the following was submitted on behalf of the applicant</w:t>
      </w:r>
      <w:r w:rsidR="004320CA">
        <w:rPr>
          <w:rFonts w:ascii="Arial" w:hAnsi="Arial" w:cs="Arial"/>
          <w:b w:val="0"/>
          <w:color w:val="auto"/>
        </w:rPr>
        <w:t xml:space="preserve">.  </w:t>
      </w:r>
      <w:r w:rsidRPr="000D7782">
        <w:rPr>
          <w:rFonts w:ascii="Arial" w:hAnsi="Arial" w:cs="Arial"/>
          <w:b w:val="0"/>
          <w:color w:val="auto"/>
        </w:rPr>
        <w:t>That there is no reason to remit the issue</w:t>
      </w:r>
      <w:r w:rsidR="004320CA">
        <w:rPr>
          <w:rFonts w:ascii="Arial" w:hAnsi="Arial" w:cs="Arial"/>
          <w:b w:val="0"/>
          <w:color w:val="auto"/>
        </w:rPr>
        <w:t xml:space="preserve">.  </w:t>
      </w:r>
      <w:r w:rsidRPr="000D7782">
        <w:rPr>
          <w:rFonts w:ascii="Arial" w:hAnsi="Arial" w:cs="Arial"/>
          <w:b w:val="0"/>
          <w:color w:val="auto"/>
        </w:rPr>
        <w:t>That it is so because this Court can</w:t>
      </w:r>
      <w:r w:rsidR="00B95FF1">
        <w:rPr>
          <w:rFonts w:ascii="Arial" w:hAnsi="Arial" w:cs="Arial"/>
          <w:b w:val="0"/>
          <w:color w:val="auto"/>
        </w:rPr>
        <w:t xml:space="preserve"> very well</w:t>
      </w:r>
      <w:r w:rsidRPr="000D7782">
        <w:rPr>
          <w:rFonts w:ascii="Arial" w:hAnsi="Arial" w:cs="Arial"/>
          <w:b w:val="0"/>
          <w:color w:val="auto"/>
        </w:rPr>
        <w:t xml:space="preserve"> calculate the</w:t>
      </w:r>
      <w:r w:rsidR="00B95FF1">
        <w:rPr>
          <w:rFonts w:ascii="Arial" w:hAnsi="Arial" w:cs="Arial"/>
          <w:b w:val="0"/>
          <w:color w:val="auto"/>
        </w:rPr>
        <w:t xml:space="preserve"> relevant</w:t>
      </w:r>
      <w:r w:rsidRPr="000D7782">
        <w:rPr>
          <w:rFonts w:ascii="Arial" w:hAnsi="Arial" w:cs="Arial"/>
          <w:b w:val="0"/>
          <w:color w:val="auto"/>
        </w:rPr>
        <w:t xml:space="preserve"> period on its own</w:t>
      </w:r>
      <w:r w:rsidR="004320CA">
        <w:rPr>
          <w:rFonts w:ascii="Arial" w:hAnsi="Arial" w:cs="Arial"/>
          <w:b w:val="0"/>
          <w:color w:val="auto"/>
        </w:rPr>
        <w:t xml:space="preserve">.  </w:t>
      </w:r>
      <w:r w:rsidRPr="000D7782">
        <w:rPr>
          <w:rFonts w:ascii="Arial" w:hAnsi="Arial" w:cs="Arial"/>
          <w:b w:val="0"/>
          <w:color w:val="auto"/>
        </w:rPr>
        <w:t>That it has been shown how the period ought to have been calculated lawfully in a manner which complies with the Constitution</w:t>
      </w:r>
      <w:r w:rsidR="004320CA">
        <w:rPr>
          <w:rFonts w:ascii="Arial" w:hAnsi="Arial" w:cs="Arial"/>
          <w:b w:val="0"/>
          <w:color w:val="auto"/>
        </w:rPr>
        <w:t xml:space="preserve">.  </w:t>
      </w:r>
      <w:r w:rsidRPr="000D7782">
        <w:rPr>
          <w:rFonts w:ascii="Arial" w:hAnsi="Arial" w:cs="Arial"/>
          <w:b w:val="0"/>
          <w:color w:val="auto"/>
        </w:rPr>
        <w:t>That once the period is correctly calculated, there is no basis to refer the matter back to the Department</w:t>
      </w:r>
      <w:r w:rsidR="004320CA">
        <w:rPr>
          <w:rFonts w:ascii="Arial" w:hAnsi="Arial" w:cs="Arial"/>
          <w:b w:val="0"/>
          <w:color w:val="auto"/>
        </w:rPr>
        <w:t xml:space="preserve">.  </w:t>
      </w:r>
    </w:p>
    <w:p w:rsidR="00A56A31" w:rsidRPr="000D7782" w:rsidRDefault="00A56A31" w:rsidP="00FE32B1">
      <w:pPr>
        <w:pStyle w:val="ListParagraph"/>
        <w:spacing w:line="360" w:lineRule="auto"/>
        <w:ind w:left="851"/>
        <w:jc w:val="both"/>
        <w:rPr>
          <w:rFonts w:ascii="Arial" w:hAnsi="Arial" w:cs="Arial"/>
          <w:b w:val="0"/>
          <w:i/>
          <w:color w:val="auto"/>
        </w:rPr>
      </w:pPr>
    </w:p>
    <w:p w:rsidR="00A56A31" w:rsidRPr="000D7782" w:rsidRDefault="00A56A31" w:rsidP="00FE32B1">
      <w:pPr>
        <w:pStyle w:val="ListParagraph"/>
        <w:numPr>
          <w:ilvl w:val="0"/>
          <w:numId w:val="2"/>
        </w:numPr>
        <w:spacing w:line="360" w:lineRule="auto"/>
        <w:ind w:left="851" w:hanging="851"/>
        <w:jc w:val="both"/>
        <w:rPr>
          <w:rFonts w:ascii="Arial" w:hAnsi="Arial" w:cs="Arial"/>
          <w:b w:val="0"/>
          <w:i/>
          <w:color w:val="auto"/>
        </w:rPr>
      </w:pPr>
      <w:r w:rsidRPr="000D7782">
        <w:rPr>
          <w:rFonts w:ascii="Arial" w:hAnsi="Arial" w:cs="Arial"/>
          <w:b w:val="0"/>
          <w:color w:val="auto"/>
        </w:rPr>
        <w:t>That this case is exceptional considering the following factors: (a) the applicant remains in prison beyond the date he should have lawfully remained; (b) the evidence has shown selective targeting and bias</w:t>
      </w:r>
      <w:r w:rsidR="00A1506B" w:rsidRPr="000D7782">
        <w:rPr>
          <w:rFonts w:ascii="Arial" w:hAnsi="Arial" w:cs="Arial"/>
          <w:b w:val="0"/>
          <w:color w:val="auto"/>
        </w:rPr>
        <w:t xml:space="preserve"> affection </w:t>
      </w:r>
      <w:r w:rsidR="005B2483" w:rsidRPr="000D7782">
        <w:rPr>
          <w:rFonts w:ascii="Arial" w:hAnsi="Arial" w:cs="Arial"/>
          <w:b w:val="0"/>
          <w:color w:val="auto"/>
        </w:rPr>
        <w:t xml:space="preserve">towards </w:t>
      </w:r>
      <w:r w:rsidR="00A1506B" w:rsidRPr="000D7782">
        <w:rPr>
          <w:rFonts w:ascii="Arial" w:hAnsi="Arial" w:cs="Arial"/>
          <w:b w:val="0"/>
          <w:color w:val="auto"/>
        </w:rPr>
        <w:t xml:space="preserve">the applicant; </w:t>
      </w:r>
      <w:r w:rsidRPr="000D7782">
        <w:rPr>
          <w:rFonts w:ascii="Arial" w:hAnsi="Arial" w:cs="Arial"/>
          <w:b w:val="0"/>
          <w:color w:val="auto"/>
        </w:rPr>
        <w:t>(c) the evidence has shown arbitrariness on the part of the respondents who released certain unqualified inmates</w:t>
      </w:r>
      <w:r w:rsidR="00A1506B" w:rsidRPr="000D7782">
        <w:rPr>
          <w:rFonts w:ascii="Arial" w:hAnsi="Arial" w:cs="Arial"/>
          <w:b w:val="0"/>
          <w:color w:val="auto"/>
        </w:rPr>
        <w:t xml:space="preserve">; and (d) the record has shown falsification </w:t>
      </w:r>
      <w:r w:rsidR="00B95FF1" w:rsidRPr="000D7782">
        <w:rPr>
          <w:rFonts w:ascii="Arial" w:hAnsi="Arial" w:cs="Arial"/>
          <w:b w:val="0"/>
          <w:color w:val="auto"/>
        </w:rPr>
        <w:t>by the respondents’ deponent of</w:t>
      </w:r>
      <w:r w:rsidR="00A1506B" w:rsidRPr="000D7782">
        <w:rPr>
          <w:rFonts w:ascii="Arial" w:hAnsi="Arial" w:cs="Arial"/>
          <w:b w:val="0"/>
          <w:color w:val="auto"/>
        </w:rPr>
        <w:t xml:space="preserve"> the evidence under oath in </w:t>
      </w:r>
      <w:r w:rsidR="005B2483" w:rsidRPr="000D7782">
        <w:rPr>
          <w:rFonts w:ascii="Arial" w:hAnsi="Arial" w:cs="Arial"/>
          <w:b w:val="0"/>
          <w:color w:val="auto"/>
        </w:rPr>
        <w:t>an attempt to mislead the Court</w:t>
      </w:r>
      <w:r w:rsidR="00B95FF1">
        <w:rPr>
          <w:rFonts w:ascii="Arial" w:hAnsi="Arial" w:cs="Arial"/>
          <w:b w:val="0"/>
          <w:color w:val="auto"/>
        </w:rPr>
        <w:t>.</w:t>
      </w:r>
      <w:r w:rsidR="004320CA">
        <w:rPr>
          <w:rFonts w:ascii="Arial" w:hAnsi="Arial" w:cs="Arial"/>
          <w:b w:val="0"/>
          <w:color w:val="auto"/>
        </w:rPr>
        <w:t xml:space="preserve">  </w:t>
      </w:r>
      <w:r w:rsidRPr="000D7782">
        <w:rPr>
          <w:rFonts w:ascii="Arial" w:hAnsi="Arial" w:cs="Arial"/>
          <w:b w:val="0"/>
          <w:color w:val="auto"/>
        </w:rPr>
        <w:t xml:space="preserve">    </w:t>
      </w:r>
    </w:p>
    <w:p w:rsidR="00A56A31" w:rsidRPr="000D7782" w:rsidRDefault="00A56A31" w:rsidP="00FE32B1">
      <w:pPr>
        <w:pStyle w:val="ListParagraph"/>
        <w:spacing w:line="360" w:lineRule="auto"/>
        <w:ind w:left="851"/>
        <w:jc w:val="both"/>
        <w:rPr>
          <w:rFonts w:ascii="Arial" w:hAnsi="Arial" w:cs="Arial"/>
          <w:b w:val="0"/>
          <w:i/>
          <w:color w:val="auto"/>
        </w:rPr>
      </w:pPr>
    </w:p>
    <w:p w:rsidR="00ED736E" w:rsidRPr="000D7782" w:rsidRDefault="00AF24D5" w:rsidP="00FE32B1">
      <w:pPr>
        <w:pStyle w:val="ListParagraph"/>
        <w:numPr>
          <w:ilvl w:val="0"/>
          <w:numId w:val="2"/>
        </w:numPr>
        <w:spacing w:line="360" w:lineRule="auto"/>
        <w:ind w:left="851" w:hanging="851"/>
        <w:jc w:val="both"/>
        <w:rPr>
          <w:rFonts w:ascii="Arial" w:hAnsi="Arial" w:cs="Arial"/>
          <w:b w:val="0"/>
          <w:i/>
          <w:color w:val="auto"/>
        </w:rPr>
      </w:pPr>
      <w:r w:rsidRPr="000D7782">
        <w:rPr>
          <w:rFonts w:ascii="Arial" w:hAnsi="Arial" w:cs="Arial"/>
          <w:b w:val="0"/>
          <w:color w:val="auto"/>
        </w:rPr>
        <w:t>That there are no grounds advanced why this Court is not in as good a position as the Department to take the decision as to how many months should be taken off the applicant’s sentence</w:t>
      </w:r>
      <w:r w:rsidR="00B95FF1">
        <w:rPr>
          <w:rFonts w:ascii="Arial" w:hAnsi="Arial" w:cs="Arial"/>
          <w:b w:val="0"/>
          <w:color w:val="auto"/>
        </w:rPr>
        <w:t>. Whilst a</w:t>
      </w:r>
      <w:r w:rsidR="00ED736E" w:rsidRPr="000D7782">
        <w:rPr>
          <w:rFonts w:ascii="Arial" w:hAnsi="Arial" w:cs="Arial"/>
          <w:b w:val="0"/>
          <w:color w:val="auto"/>
        </w:rPr>
        <w:t xml:space="preserve"> period between </w:t>
      </w:r>
      <w:r w:rsidR="005B2483" w:rsidRPr="000D7782">
        <w:rPr>
          <w:rFonts w:ascii="Arial" w:hAnsi="Arial" w:cs="Arial"/>
          <w:b w:val="0"/>
          <w:color w:val="auto"/>
        </w:rPr>
        <w:t>three (</w:t>
      </w:r>
      <w:r w:rsidR="00ED736E" w:rsidRPr="000D7782">
        <w:rPr>
          <w:rFonts w:ascii="Arial" w:hAnsi="Arial" w:cs="Arial"/>
          <w:b w:val="0"/>
          <w:color w:val="auto"/>
        </w:rPr>
        <w:t>3</w:t>
      </w:r>
      <w:r w:rsidR="005B2483" w:rsidRPr="000D7782">
        <w:rPr>
          <w:rFonts w:ascii="Arial" w:hAnsi="Arial" w:cs="Arial"/>
          <w:b w:val="0"/>
          <w:color w:val="auto"/>
        </w:rPr>
        <w:t>)</w:t>
      </w:r>
      <w:r w:rsidR="00ED736E" w:rsidRPr="000D7782">
        <w:rPr>
          <w:rFonts w:ascii="Arial" w:hAnsi="Arial" w:cs="Arial"/>
          <w:b w:val="0"/>
          <w:color w:val="auto"/>
        </w:rPr>
        <w:t xml:space="preserve"> and </w:t>
      </w:r>
      <w:r w:rsidR="005B2483" w:rsidRPr="000D7782">
        <w:rPr>
          <w:rFonts w:ascii="Arial" w:hAnsi="Arial" w:cs="Arial"/>
          <w:b w:val="0"/>
          <w:color w:val="auto"/>
        </w:rPr>
        <w:t>six (</w:t>
      </w:r>
      <w:r w:rsidR="00ED736E" w:rsidRPr="000D7782">
        <w:rPr>
          <w:rFonts w:ascii="Arial" w:hAnsi="Arial" w:cs="Arial"/>
          <w:b w:val="0"/>
          <w:color w:val="auto"/>
        </w:rPr>
        <w:t>6</w:t>
      </w:r>
      <w:r w:rsidR="005B2483" w:rsidRPr="000D7782">
        <w:rPr>
          <w:rFonts w:ascii="Arial" w:hAnsi="Arial" w:cs="Arial"/>
          <w:b w:val="0"/>
          <w:color w:val="auto"/>
        </w:rPr>
        <w:t>)</w:t>
      </w:r>
      <w:r w:rsidR="00ED736E" w:rsidRPr="000D7782">
        <w:rPr>
          <w:rFonts w:ascii="Arial" w:hAnsi="Arial" w:cs="Arial"/>
          <w:b w:val="0"/>
          <w:color w:val="auto"/>
        </w:rPr>
        <w:t xml:space="preserve"> months was suggested as the appropriate bench mark</w:t>
      </w:r>
      <w:r w:rsidR="00B95FF1">
        <w:rPr>
          <w:rFonts w:ascii="Arial" w:hAnsi="Arial" w:cs="Arial"/>
          <w:b w:val="0"/>
          <w:color w:val="auto"/>
        </w:rPr>
        <w:t>, i</w:t>
      </w:r>
      <w:r w:rsidRPr="000D7782">
        <w:rPr>
          <w:rFonts w:ascii="Arial" w:hAnsi="Arial" w:cs="Arial"/>
          <w:b w:val="0"/>
          <w:color w:val="auto"/>
        </w:rPr>
        <w:t>t was submitted three (3) months would be just and equitable</w:t>
      </w:r>
      <w:r w:rsidR="004320CA">
        <w:rPr>
          <w:rFonts w:ascii="Arial" w:hAnsi="Arial" w:cs="Arial"/>
          <w:b w:val="0"/>
          <w:color w:val="auto"/>
        </w:rPr>
        <w:t xml:space="preserve">.  </w:t>
      </w:r>
      <w:r w:rsidRPr="000D7782">
        <w:rPr>
          <w:rFonts w:ascii="Arial" w:hAnsi="Arial" w:cs="Arial"/>
          <w:b w:val="0"/>
          <w:color w:val="auto"/>
        </w:rPr>
        <w:t xml:space="preserve">In the premise, it was submitted </w:t>
      </w:r>
      <w:r w:rsidRPr="000D7782">
        <w:rPr>
          <w:rFonts w:ascii="Arial" w:hAnsi="Arial" w:cs="Arial"/>
          <w:b w:val="0"/>
          <w:color w:val="auto"/>
        </w:rPr>
        <w:lastRenderedPageBreak/>
        <w:t>for the applicant that the correct approach is to make a determination of the applicant’s period of remission</w:t>
      </w:r>
      <w:r w:rsidR="004320CA">
        <w:rPr>
          <w:rFonts w:ascii="Arial" w:hAnsi="Arial" w:cs="Arial"/>
          <w:b w:val="0"/>
          <w:color w:val="auto"/>
        </w:rPr>
        <w:t xml:space="preserve">.  </w:t>
      </w:r>
    </w:p>
    <w:p w:rsidR="00ED736E" w:rsidRPr="000D7782" w:rsidRDefault="00ED736E" w:rsidP="00FE32B1">
      <w:pPr>
        <w:pStyle w:val="ListParagraph"/>
        <w:spacing w:line="360" w:lineRule="auto"/>
        <w:ind w:left="851"/>
        <w:jc w:val="both"/>
        <w:rPr>
          <w:rFonts w:ascii="Arial" w:hAnsi="Arial" w:cs="Arial"/>
          <w:b w:val="0"/>
          <w:i/>
          <w:color w:val="auto"/>
        </w:rPr>
      </w:pPr>
    </w:p>
    <w:p w:rsidR="00ED736E" w:rsidRPr="000D7782" w:rsidRDefault="00C3445F" w:rsidP="00FE32B1">
      <w:pPr>
        <w:pStyle w:val="ListParagraph"/>
        <w:numPr>
          <w:ilvl w:val="0"/>
          <w:numId w:val="2"/>
        </w:numPr>
        <w:spacing w:line="360" w:lineRule="auto"/>
        <w:ind w:left="851" w:hanging="851"/>
        <w:jc w:val="both"/>
        <w:rPr>
          <w:rFonts w:ascii="Arial" w:hAnsi="Arial" w:cs="Arial"/>
          <w:b w:val="0"/>
          <w:i/>
          <w:color w:val="auto"/>
        </w:rPr>
      </w:pPr>
      <w:r w:rsidRPr="000D7782">
        <w:rPr>
          <w:rFonts w:ascii="Arial" w:hAnsi="Arial" w:cs="Arial"/>
          <w:b w:val="0"/>
          <w:color w:val="auto"/>
        </w:rPr>
        <w:t>This Court has given th</w:t>
      </w:r>
      <w:r w:rsidR="00B95FF1">
        <w:rPr>
          <w:rFonts w:ascii="Arial" w:hAnsi="Arial" w:cs="Arial"/>
          <w:b w:val="0"/>
          <w:color w:val="auto"/>
        </w:rPr>
        <w:t>e foregoing serious and very</w:t>
      </w:r>
      <w:r w:rsidRPr="000D7782">
        <w:rPr>
          <w:rFonts w:ascii="Arial" w:hAnsi="Arial" w:cs="Arial"/>
          <w:b w:val="0"/>
          <w:color w:val="auto"/>
        </w:rPr>
        <w:t xml:space="preserve"> serious and careful consideration</w:t>
      </w:r>
      <w:r w:rsidR="004320CA">
        <w:rPr>
          <w:rFonts w:ascii="Arial" w:hAnsi="Arial" w:cs="Arial"/>
          <w:b w:val="0"/>
          <w:color w:val="auto"/>
        </w:rPr>
        <w:t xml:space="preserve">.  </w:t>
      </w:r>
      <w:r w:rsidR="00ED736E" w:rsidRPr="000D7782">
        <w:rPr>
          <w:rFonts w:ascii="Arial" w:hAnsi="Arial" w:cs="Arial"/>
          <w:b w:val="0"/>
          <w:color w:val="auto"/>
        </w:rPr>
        <w:t xml:space="preserve">The considerations which may come to play when the question facing the Court is how to deal with the consequences of setting aside a decision to refuse parole were set out in </w:t>
      </w:r>
      <w:proofErr w:type="spellStart"/>
      <w:r w:rsidR="00ED736E" w:rsidRPr="00FE32B1">
        <w:rPr>
          <w:rFonts w:ascii="Arial" w:hAnsi="Arial" w:cs="Arial"/>
          <w:i/>
          <w:color w:val="auto"/>
        </w:rPr>
        <w:t>Walus</w:t>
      </w:r>
      <w:proofErr w:type="spellEnd"/>
      <w:r w:rsidR="00ED736E" w:rsidRPr="000D7782">
        <w:rPr>
          <w:rFonts w:ascii="Arial" w:hAnsi="Arial" w:cs="Arial"/>
          <w:b w:val="0"/>
          <w:i/>
          <w:color w:val="auto"/>
        </w:rPr>
        <w:t xml:space="preserve"> </w:t>
      </w:r>
      <w:r w:rsidR="00ED736E" w:rsidRPr="000D7782">
        <w:rPr>
          <w:rFonts w:ascii="Arial" w:hAnsi="Arial" w:cs="Arial"/>
          <w:b w:val="0"/>
          <w:color w:val="auto"/>
        </w:rPr>
        <w:t>by</w:t>
      </w:r>
      <w:r w:rsidR="00ED736E" w:rsidRPr="000D7782">
        <w:rPr>
          <w:rFonts w:ascii="Arial" w:hAnsi="Arial" w:cs="Arial"/>
          <w:b w:val="0"/>
          <w:i/>
          <w:color w:val="auto"/>
        </w:rPr>
        <w:t xml:space="preserve"> </w:t>
      </w:r>
      <w:r w:rsidR="00ED736E" w:rsidRPr="000D7782">
        <w:rPr>
          <w:rFonts w:ascii="Arial" w:hAnsi="Arial" w:cs="Arial"/>
          <w:b w:val="0"/>
          <w:color w:val="auto"/>
        </w:rPr>
        <w:t>the Chief Justice; thus:</w:t>
      </w:r>
    </w:p>
    <w:p w:rsidR="00ED736E" w:rsidRPr="000D7782" w:rsidRDefault="00ED736E" w:rsidP="00FE32B1">
      <w:pPr>
        <w:pStyle w:val="ListParagraph"/>
        <w:spacing w:line="360" w:lineRule="auto"/>
        <w:ind w:left="851"/>
        <w:jc w:val="both"/>
        <w:rPr>
          <w:rFonts w:ascii="Arial" w:hAnsi="Arial" w:cs="Arial"/>
        </w:rPr>
      </w:pPr>
    </w:p>
    <w:p w:rsidR="00ED736E" w:rsidRPr="001F70B4" w:rsidRDefault="00ED736E" w:rsidP="00FE32B1">
      <w:pPr>
        <w:pStyle w:val="ListParagraph"/>
        <w:spacing w:line="360" w:lineRule="auto"/>
        <w:ind w:left="1701" w:hanging="850"/>
        <w:jc w:val="both"/>
        <w:rPr>
          <w:rFonts w:ascii="Times New Roman" w:hAnsi="Times New Roman"/>
          <w:b w:val="0"/>
          <w:i/>
          <w:color w:val="auto"/>
        </w:rPr>
      </w:pPr>
      <w:r w:rsidRPr="001F70B4">
        <w:rPr>
          <w:rFonts w:ascii="Times New Roman" w:hAnsi="Times New Roman"/>
          <w:b w:val="0"/>
          <w:color w:val="auto"/>
        </w:rPr>
        <w:t>“</w:t>
      </w:r>
      <w:r w:rsidRPr="001F70B4">
        <w:rPr>
          <w:rFonts w:ascii="Times New Roman" w:hAnsi="Times New Roman"/>
          <w:b w:val="0"/>
          <w:i/>
          <w:color w:val="auto"/>
        </w:rPr>
        <w:t>[87]</w:t>
      </w:r>
      <w:r w:rsidRPr="001F70B4">
        <w:rPr>
          <w:rFonts w:ascii="Times New Roman" w:hAnsi="Times New Roman"/>
          <w:b w:val="0"/>
          <w:i/>
          <w:color w:val="auto"/>
        </w:rPr>
        <w:tab/>
        <w:t xml:space="preserve">In </w:t>
      </w:r>
      <w:proofErr w:type="spellStart"/>
      <w:r w:rsidRPr="001F70B4">
        <w:rPr>
          <w:rFonts w:ascii="Times New Roman" w:hAnsi="Times New Roman"/>
          <w:i/>
          <w:color w:val="auto"/>
        </w:rPr>
        <w:t>Trencon</w:t>
      </w:r>
      <w:proofErr w:type="spellEnd"/>
      <w:r w:rsidRPr="001F70B4">
        <w:rPr>
          <w:rFonts w:ascii="Times New Roman" w:hAnsi="Times New Roman"/>
          <w:b w:val="0"/>
          <w:i/>
          <w:color w:val="auto"/>
        </w:rPr>
        <w:t xml:space="preserve"> this Court dealt extensively with the circumstances in which it would be justified for a Court not to remit a matter to the relevant functionary but, instead, to itself make the decision that the law vests in the functionary</w:t>
      </w:r>
      <w:r w:rsidR="004320CA">
        <w:rPr>
          <w:rFonts w:ascii="Times New Roman" w:hAnsi="Times New Roman"/>
          <w:b w:val="0"/>
          <w:i/>
          <w:color w:val="auto"/>
        </w:rPr>
        <w:t xml:space="preserve">.  </w:t>
      </w:r>
      <w:r w:rsidRPr="001F70B4">
        <w:rPr>
          <w:rFonts w:ascii="Times New Roman" w:hAnsi="Times New Roman"/>
          <w:b w:val="0"/>
          <w:i/>
          <w:color w:val="auto"/>
        </w:rPr>
        <w:t>It is not necessary for purposes of this judgment to deal with all those exceptions</w:t>
      </w:r>
      <w:r w:rsidR="004320CA">
        <w:rPr>
          <w:rFonts w:ascii="Times New Roman" w:hAnsi="Times New Roman"/>
          <w:b w:val="0"/>
          <w:i/>
          <w:color w:val="auto"/>
        </w:rPr>
        <w:t xml:space="preserve">.  </w:t>
      </w:r>
      <w:r w:rsidRPr="001F70B4">
        <w:rPr>
          <w:rFonts w:ascii="Times New Roman" w:hAnsi="Times New Roman"/>
          <w:b w:val="0"/>
          <w:i/>
          <w:color w:val="auto"/>
        </w:rPr>
        <w:t>It should suffice to refer only to one or two</w:t>
      </w:r>
      <w:r w:rsidR="004320CA">
        <w:rPr>
          <w:rFonts w:ascii="Times New Roman" w:hAnsi="Times New Roman"/>
          <w:b w:val="0"/>
          <w:i/>
          <w:color w:val="auto"/>
        </w:rPr>
        <w:t xml:space="preserve">.  </w:t>
      </w:r>
      <w:proofErr w:type="spellStart"/>
      <w:r w:rsidRPr="001F70B4">
        <w:rPr>
          <w:rFonts w:ascii="Times New Roman" w:hAnsi="Times New Roman"/>
          <w:b w:val="0"/>
          <w:i/>
          <w:color w:val="auto"/>
        </w:rPr>
        <w:t>Khampepe</w:t>
      </w:r>
      <w:proofErr w:type="spellEnd"/>
      <w:r w:rsidRPr="001F70B4">
        <w:rPr>
          <w:rFonts w:ascii="Times New Roman" w:hAnsi="Times New Roman"/>
          <w:b w:val="0"/>
          <w:i/>
          <w:color w:val="auto"/>
        </w:rPr>
        <w:t xml:space="preserve"> J, writing for a unanimous Court in </w:t>
      </w:r>
      <w:proofErr w:type="spellStart"/>
      <w:r w:rsidRPr="001F70B4">
        <w:rPr>
          <w:rFonts w:ascii="Times New Roman" w:hAnsi="Times New Roman"/>
          <w:i/>
          <w:color w:val="auto"/>
        </w:rPr>
        <w:t>Trencon</w:t>
      </w:r>
      <w:proofErr w:type="spellEnd"/>
      <w:r w:rsidRPr="001F70B4">
        <w:rPr>
          <w:rFonts w:ascii="Times New Roman" w:hAnsi="Times New Roman"/>
          <w:b w:val="0"/>
          <w:i/>
          <w:color w:val="auto"/>
        </w:rPr>
        <w:t xml:space="preserve"> said:</w:t>
      </w:r>
    </w:p>
    <w:p w:rsidR="00ED736E" w:rsidRPr="001F70B4" w:rsidRDefault="00ED736E" w:rsidP="00FE32B1">
      <w:pPr>
        <w:pStyle w:val="ListParagraph"/>
        <w:spacing w:line="360" w:lineRule="auto"/>
        <w:ind w:left="1701" w:hanging="850"/>
        <w:jc w:val="both"/>
        <w:rPr>
          <w:rFonts w:ascii="Times New Roman" w:hAnsi="Times New Roman"/>
          <w:b w:val="0"/>
          <w:i/>
          <w:color w:val="auto"/>
        </w:rPr>
      </w:pPr>
    </w:p>
    <w:p w:rsidR="00ED736E" w:rsidRPr="001F70B4" w:rsidRDefault="00ED736E" w:rsidP="00FE32B1">
      <w:pPr>
        <w:pStyle w:val="ListParagraph"/>
        <w:spacing w:line="360" w:lineRule="auto"/>
        <w:ind w:left="1701"/>
        <w:jc w:val="both"/>
        <w:rPr>
          <w:rFonts w:ascii="Times New Roman" w:hAnsi="Times New Roman"/>
          <w:b w:val="0"/>
          <w:i/>
          <w:color w:val="auto"/>
        </w:rPr>
      </w:pPr>
      <w:r w:rsidRPr="001F70B4">
        <w:rPr>
          <w:rFonts w:ascii="Times New Roman" w:hAnsi="Times New Roman"/>
          <w:b w:val="0"/>
          <w:i/>
          <w:color w:val="auto"/>
        </w:rPr>
        <w:t>‘Pursuant to administrative review under Section 6 of PAJA and once administrative action is set aside, Section 8(1) affords Courts a wide discretion to grant ‘any order that is just and equitable’</w:t>
      </w:r>
      <w:r w:rsidR="004320CA">
        <w:rPr>
          <w:rFonts w:ascii="Times New Roman" w:hAnsi="Times New Roman"/>
          <w:b w:val="0"/>
          <w:i/>
          <w:color w:val="auto"/>
        </w:rPr>
        <w:t xml:space="preserve">.  </w:t>
      </w:r>
      <w:r w:rsidRPr="001F70B4">
        <w:rPr>
          <w:rFonts w:ascii="Times New Roman" w:hAnsi="Times New Roman"/>
          <w:b w:val="0"/>
          <w:i/>
          <w:color w:val="auto"/>
        </w:rPr>
        <w:t>In exceptional circumstances, Section 8(1</w:t>
      </w:r>
      <w:proofErr w:type="gramStart"/>
      <w:r w:rsidRPr="001F70B4">
        <w:rPr>
          <w:rFonts w:ascii="Times New Roman" w:hAnsi="Times New Roman"/>
          <w:b w:val="0"/>
          <w:i/>
          <w:color w:val="auto"/>
        </w:rPr>
        <w:t>)(</w:t>
      </w:r>
      <w:proofErr w:type="gramEnd"/>
      <w:r w:rsidRPr="001F70B4">
        <w:rPr>
          <w:rFonts w:ascii="Times New Roman" w:hAnsi="Times New Roman"/>
          <w:b w:val="0"/>
          <w:i/>
          <w:color w:val="auto"/>
        </w:rPr>
        <w:t>c)(ii) (aa) affords a Court the discretion to make a substitution order.’</w:t>
      </w:r>
    </w:p>
    <w:p w:rsidR="00ED736E" w:rsidRPr="001F70B4" w:rsidRDefault="00ED736E" w:rsidP="00FE32B1">
      <w:pPr>
        <w:pStyle w:val="ListParagraph"/>
        <w:spacing w:line="360" w:lineRule="auto"/>
        <w:ind w:left="1701"/>
        <w:jc w:val="both"/>
        <w:rPr>
          <w:rFonts w:ascii="Times New Roman" w:hAnsi="Times New Roman"/>
          <w:b w:val="0"/>
          <w:i/>
          <w:color w:val="auto"/>
        </w:rPr>
      </w:pPr>
    </w:p>
    <w:p w:rsidR="00ED736E" w:rsidRPr="00B95FF1" w:rsidRDefault="00ED736E" w:rsidP="00FE32B1">
      <w:pPr>
        <w:pStyle w:val="ListParagraph"/>
        <w:spacing w:line="360" w:lineRule="auto"/>
        <w:ind w:left="1701"/>
        <w:jc w:val="both"/>
        <w:rPr>
          <w:rFonts w:ascii="Times New Roman" w:hAnsi="Times New Roman"/>
          <w:color w:val="auto"/>
        </w:rPr>
      </w:pPr>
      <w:r w:rsidRPr="001F70B4">
        <w:rPr>
          <w:rFonts w:ascii="Times New Roman" w:hAnsi="Times New Roman"/>
          <w:b w:val="0"/>
          <w:i/>
          <w:color w:val="auto"/>
        </w:rPr>
        <w:t>Section 8(1</w:t>
      </w:r>
      <w:proofErr w:type="gramStart"/>
      <w:r w:rsidRPr="001F70B4">
        <w:rPr>
          <w:rFonts w:ascii="Times New Roman" w:hAnsi="Times New Roman"/>
          <w:b w:val="0"/>
          <w:i/>
          <w:color w:val="auto"/>
        </w:rPr>
        <w:t>)(</w:t>
      </w:r>
      <w:proofErr w:type="gramEnd"/>
      <w:r w:rsidRPr="001F70B4">
        <w:rPr>
          <w:rFonts w:ascii="Times New Roman" w:hAnsi="Times New Roman"/>
          <w:b w:val="0"/>
          <w:i/>
          <w:color w:val="auto"/>
        </w:rPr>
        <w:t>c)(ii) (aa) must be read in the context of Section 8(1)</w:t>
      </w:r>
      <w:r w:rsidR="004320CA">
        <w:rPr>
          <w:rFonts w:ascii="Times New Roman" w:hAnsi="Times New Roman"/>
          <w:b w:val="0"/>
          <w:i/>
          <w:color w:val="auto"/>
        </w:rPr>
        <w:t xml:space="preserve">.  </w:t>
      </w:r>
      <w:r w:rsidRPr="00B95FF1">
        <w:rPr>
          <w:rFonts w:ascii="Times New Roman" w:hAnsi="Times New Roman"/>
          <w:i/>
          <w:color w:val="auto"/>
        </w:rPr>
        <w:t>Simply put, an exceptional circumstances enquiry must take place in the context of what is just and equitable in the circumstances</w:t>
      </w:r>
      <w:r w:rsidR="004320CA" w:rsidRPr="00B95FF1">
        <w:rPr>
          <w:rFonts w:ascii="Times New Roman" w:hAnsi="Times New Roman"/>
          <w:i/>
          <w:color w:val="auto"/>
        </w:rPr>
        <w:t xml:space="preserve">.  </w:t>
      </w:r>
      <w:r w:rsidRPr="00B95FF1">
        <w:rPr>
          <w:rFonts w:ascii="Times New Roman" w:hAnsi="Times New Roman"/>
          <w:i/>
          <w:color w:val="auto"/>
        </w:rPr>
        <w:t>In effect, even where there are exceptional circumstances, a Court must be satisfied that it would be just and equitable to grant an order of substitution.</w:t>
      </w:r>
    </w:p>
    <w:p w:rsidR="00ED736E" w:rsidRPr="001F70B4" w:rsidRDefault="00ED736E" w:rsidP="00FE32B1">
      <w:pPr>
        <w:pStyle w:val="ListParagraph"/>
        <w:spacing w:line="360" w:lineRule="auto"/>
        <w:ind w:left="1701" w:hanging="850"/>
        <w:jc w:val="both"/>
        <w:rPr>
          <w:rFonts w:ascii="Times New Roman" w:hAnsi="Times New Roman"/>
          <w:b w:val="0"/>
          <w:i/>
          <w:color w:val="auto"/>
        </w:rPr>
      </w:pPr>
    </w:p>
    <w:p w:rsidR="00E42F0A" w:rsidRDefault="00ED736E" w:rsidP="00FE32B1">
      <w:pPr>
        <w:pStyle w:val="ListParagraph"/>
        <w:spacing w:line="360" w:lineRule="auto"/>
        <w:ind w:left="1701" w:hanging="850"/>
        <w:jc w:val="both"/>
        <w:rPr>
          <w:rFonts w:ascii="Times New Roman" w:hAnsi="Times New Roman"/>
          <w:b w:val="0"/>
          <w:i/>
          <w:color w:val="auto"/>
        </w:rPr>
      </w:pPr>
      <w:r w:rsidRPr="001F70B4">
        <w:rPr>
          <w:rFonts w:ascii="Times New Roman" w:hAnsi="Times New Roman"/>
          <w:b w:val="0"/>
          <w:i/>
          <w:color w:val="auto"/>
        </w:rPr>
        <w:t>[88]</w:t>
      </w:r>
      <w:r w:rsidRPr="001F70B4">
        <w:rPr>
          <w:rFonts w:ascii="Times New Roman" w:hAnsi="Times New Roman"/>
          <w:b w:val="0"/>
          <w:i/>
          <w:color w:val="auto"/>
        </w:rPr>
        <w:tab/>
        <w:t>This Court also said in that case:</w:t>
      </w:r>
    </w:p>
    <w:p w:rsidR="001F70B4" w:rsidRPr="001F70B4" w:rsidRDefault="001F70B4" w:rsidP="00FE32B1">
      <w:pPr>
        <w:pStyle w:val="ListParagraph"/>
        <w:spacing w:line="360" w:lineRule="auto"/>
        <w:ind w:left="1701" w:hanging="850"/>
        <w:jc w:val="both"/>
        <w:rPr>
          <w:rFonts w:ascii="Times New Roman" w:hAnsi="Times New Roman"/>
          <w:b w:val="0"/>
          <w:i/>
          <w:color w:val="auto"/>
        </w:rPr>
      </w:pPr>
    </w:p>
    <w:p w:rsidR="00ED736E" w:rsidRPr="001F70B4" w:rsidRDefault="00ED736E" w:rsidP="00FE32B1">
      <w:pPr>
        <w:pStyle w:val="ListParagraph"/>
        <w:spacing w:line="360" w:lineRule="auto"/>
        <w:ind w:left="1701"/>
        <w:jc w:val="both"/>
        <w:rPr>
          <w:rFonts w:ascii="Times New Roman" w:hAnsi="Times New Roman"/>
          <w:b w:val="0"/>
          <w:i/>
          <w:color w:val="auto"/>
        </w:rPr>
      </w:pPr>
      <w:r w:rsidRPr="001F70B4">
        <w:rPr>
          <w:rFonts w:ascii="Times New Roman" w:hAnsi="Times New Roman"/>
          <w:b w:val="0"/>
          <w:i/>
          <w:color w:val="auto"/>
        </w:rPr>
        <w:t xml:space="preserve">‘In Livestock, the Court </w:t>
      </w:r>
      <w:proofErr w:type="spellStart"/>
      <w:r w:rsidRPr="001F70B4">
        <w:rPr>
          <w:rFonts w:ascii="Times New Roman" w:hAnsi="Times New Roman"/>
          <w:b w:val="0"/>
          <w:i/>
          <w:color w:val="auto"/>
        </w:rPr>
        <w:t>percipiently</w:t>
      </w:r>
      <w:proofErr w:type="spellEnd"/>
      <w:r w:rsidRPr="001F70B4">
        <w:rPr>
          <w:rFonts w:ascii="Times New Roman" w:hAnsi="Times New Roman"/>
          <w:b w:val="0"/>
          <w:i/>
          <w:color w:val="auto"/>
        </w:rPr>
        <w:t xml:space="preserve"> held that-</w:t>
      </w:r>
    </w:p>
    <w:p w:rsidR="00ED736E" w:rsidRPr="00597D22" w:rsidRDefault="00ED736E" w:rsidP="00FE32B1">
      <w:pPr>
        <w:pStyle w:val="ListParagraph"/>
        <w:spacing w:line="360" w:lineRule="auto"/>
        <w:ind w:left="1701"/>
        <w:jc w:val="both"/>
        <w:rPr>
          <w:rFonts w:ascii="Times New Roman" w:hAnsi="Times New Roman"/>
          <w:b w:val="0"/>
          <w:i/>
          <w:color w:val="auto"/>
        </w:rPr>
      </w:pPr>
      <w:r w:rsidRPr="001F70B4">
        <w:rPr>
          <w:rFonts w:ascii="Times New Roman" w:hAnsi="Times New Roman"/>
          <w:b w:val="0"/>
          <w:i/>
          <w:color w:val="auto"/>
        </w:rPr>
        <w:t xml:space="preserve">‘The Court has a discretion, to be exercised judicially upon a consideration of the facts of each case, and … although the matter will be sent back if there is no reason for not doing so, in essence it is a question of fairness to both sides.’ </w:t>
      </w:r>
      <w:r w:rsidRPr="001F70B4">
        <w:rPr>
          <w:rFonts w:ascii="Times New Roman" w:hAnsi="Times New Roman"/>
          <w:b w:val="0"/>
          <w:color w:val="auto"/>
          <w:sz w:val="20"/>
          <w:szCs w:val="20"/>
        </w:rPr>
        <w:t>(Footnotes omitted)</w:t>
      </w:r>
    </w:p>
    <w:p w:rsidR="00ED736E" w:rsidRPr="001F70B4" w:rsidRDefault="00ED736E" w:rsidP="00FE32B1">
      <w:pPr>
        <w:pStyle w:val="ListParagraph"/>
        <w:spacing w:line="360" w:lineRule="auto"/>
        <w:ind w:left="1701" w:hanging="850"/>
        <w:jc w:val="both"/>
        <w:rPr>
          <w:rFonts w:ascii="Times New Roman" w:hAnsi="Times New Roman"/>
          <w:b w:val="0"/>
          <w:i/>
          <w:color w:val="auto"/>
        </w:rPr>
      </w:pPr>
      <w:r w:rsidRPr="001F70B4">
        <w:rPr>
          <w:rFonts w:ascii="Times New Roman" w:hAnsi="Times New Roman"/>
          <w:b w:val="0"/>
          <w:i/>
          <w:color w:val="auto"/>
        </w:rPr>
        <w:lastRenderedPageBreak/>
        <w:t>[89]</w:t>
      </w:r>
      <w:r w:rsidRPr="001F70B4">
        <w:rPr>
          <w:rFonts w:ascii="Times New Roman" w:hAnsi="Times New Roman"/>
          <w:b w:val="0"/>
          <w:i/>
          <w:color w:val="auto"/>
        </w:rPr>
        <w:tab/>
      </w:r>
      <w:r w:rsidRPr="001F70B4">
        <w:rPr>
          <w:rFonts w:ascii="Times New Roman" w:hAnsi="Times New Roman"/>
          <w:i/>
          <w:color w:val="auto"/>
        </w:rPr>
        <w:t xml:space="preserve">One of the exceptions recognised in </w:t>
      </w:r>
      <w:proofErr w:type="spellStart"/>
      <w:r w:rsidRPr="001F70B4">
        <w:rPr>
          <w:rFonts w:ascii="Times New Roman" w:hAnsi="Times New Roman"/>
          <w:i/>
          <w:color w:val="auto"/>
        </w:rPr>
        <w:t>Trencon</w:t>
      </w:r>
      <w:proofErr w:type="spellEnd"/>
      <w:r w:rsidRPr="001F70B4">
        <w:rPr>
          <w:rFonts w:ascii="Times New Roman" w:hAnsi="Times New Roman"/>
          <w:i/>
          <w:color w:val="auto"/>
        </w:rPr>
        <w:t xml:space="preserve"> is where the decision is a foregone conclusion</w:t>
      </w:r>
      <w:r w:rsidR="004320CA">
        <w:rPr>
          <w:rFonts w:ascii="Times New Roman" w:hAnsi="Times New Roman"/>
          <w:i/>
          <w:color w:val="auto"/>
        </w:rPr>
        <w:t xml:space="preserve">.  </w:t>
      </w:r>
      <w:r w:rsidRPr="001F70B4">
        <w:rPr>
          <w:rFonts w:ascii="Times New Roman" w:hAnsi="Times New Roman"/>
          <w:b w:val="0"/>
          <w:i/>
          <w:color w:val="auto"/>
        </w:rPr>
        <w:t>This Court went on to say:</w:t>
      </w:r>
    </w:p>
    <w:p w:rsidR="00ED736E" w:rsidRPr="001F70B4" w:rsidRDefault="00ED736E" w:rsidP="00FE32B1">
      <w:pPr>
        <w:pStyle w:val="ListParagraph"/>
        <w:spacing w:line="360" w:lineRule="auto"/>
        <w:ind w:left="1701" w:hanging="850"/>
        <w:jc w:val="both"/>
        <w:rPr>
          <w:rFonts w:ascii="Times New Roman" w:hAnsi="Times New Roman"/>
          <w:b w:val="0"/>
          <w:i/>
          <w:color w:val="auto"/>
        </w:rPr>
      </w:pPr>
    </w:p>
    <w:p w:rsidR="00ED736E" w:rsidRPr="000D7782" w:rsidRDefault="00ED736E" w:rsidP="00FE32B1">
      <w:pPr>
        <w:pStyle w:val="ListParagraph"/>
        <w:spacing w:line="360" w:lineRule="auto"/>
        <w:ind w:left="1701"/>
        <w:jc w:val="both"/>
        <w:rPr>
          <w:rFonts w:ascii="Arial" w:hAnsi="Arial" w:cs="Arial"/>
          <w:b w:val="0"/>
          <w:color w:val="auto"/>
        </w:rPr>
      </w:pPr>
      <w:r w:rsidRPr="001F70B4">
        <w:rPr>
          <w:rFonts w:ascii="Times New Roman" w:hAnsi="Times New Roman"/>
          <w:i/>
          <w:color w:val="auto"/>
        </w:rPr>
        <w:t>‘To my mind, given the doctrine of separation of powers, in conducting this enquiry there are certain factors that should inevitably hold greater weight</w:t>
      </w:r>
      <w:r w:rsidR="004320CA">
        <w:rPr>
          <w:rFonts w:ascii="Times New Roman" w:hAnsi="Times New Roman"/>
          <w:i/>
          <w:color w:val="auto"/>
        </w:rPr>
        <w:t xml:space="preserve">.  </w:t>
      </w:r>
      <w:r w:rsidRPr="001F70B4">
        <w:rPr>
          <w:rFonts w:ascii="Times New Roman" w:hAnsi="Times New Roman"/>
          <w:i/>
          <w:color w:val="auto"/>
        </w:rPr>
        <w:t>The first is whether a Court is in as good a position as the administrator to make the decision</w:t>
      </w:r>
      <w:r w:rsidR="004320CA">
        <w:rPr>
          <w:rFonts w:ascii="Times New Roman" w:hAnsi="Times New Roman"/>
          <w:i/>
          <w:color w:val="auto"/>
        </w:rPr>
        <w:t xml:space="preserve">.  </w:t>
      </w:r>
      <w:r w:rsidRPr="001F70B4">
        <w:rPr>
          <w:rFonts w:ascii="Times New Roman" w:hAnsi="Times New Roman"/>
          <w:i/>
          <w:color w:val="auto"/>
        </w:rPr>
        <w:t>The second is whether the decision of an administrator is a foregone conclusion</w:t>
      </w:r>
      <w:r w:rsidR="004320CA">
        <w:rPr>
          <w:rFonts w:ascii="Times New Roman" w:hAnsi="Times New Roman"/>
          <w:i/>
          <w:color w:val="auto"/>
        </w:rPr>
        <w:t xml:space="preserve">.  </w:t>
      </w:r>
      <w:r w:rsidRPr="001F70B4">
        <w:rPr>
          <w:rFonts w:ascii="Times New Roman" w:hAnsi="Times New Roman"/>
          <w:b w:val="0"/>
          <w:i/>
          <w:color w:val="auto"/>
        </w:rPr>
        <w:t>These two factors must be considered cumulatively</w:t>
      </w:r>
      <w:r w:rsidR="004320CA">
        <w:rPr>
          <w:rFonts w:ascii="Times New Roman" w:hAnsi="Times New Roman"/>
          <w:b w:val="0"/>
          <w:i/>
          <w:color w:val="auto"/>
        </w:rPr>
        <w:t xml:space="preserve">.  </w:t>
      </w:r>
      <w:r w:rsidRPr="001F70B4">
        <w:rPr>
          <w:rFonts w:ascii="Times New Roman" w:hAnsi="Times New Roman"/>
          <w:b w:val="0"/>
          <w:i/>
          <w:color w:val="auto"/>
        </w:rPr>
        <w:t>Thereafter, a Court should still consider other relevant factors</w:t>
      </w:r>
      <w:r w:rsidR="004320CA">
        <w:rPr>
          <w:rFonts w:ascii="Times New Roman" w:hAnsi="Times New Roman"/>
          <w:b w:val="0"/>
          <w:i/>
          <w:color w:val="auto"/>
        </w:rPr>
        <w:t xml:space="preserve">.  </w:t>
      </w:r>
      <w:r w:rsidRPr="001F70B4">
        <w:rPr>
          <w:rFonts w:ascii="Times New Roman" w:hAnsi="Times New Roman"/>
          <w:b w:val="0"/>
          <w:i/>
          <w:color w:val="auto"/>
        </w:rPr>
        <w:t>These may include delay, bias or the incompetence of an administrator</w:t>
      </w:r>
      <w:r w:rsidR="004320CA">
        <w:rPr>
          <w:rFonts w:ascii="Times New Roman" w:hAnsi="Times New Roman"/>
          <w:i/>
          <w:color w:val="auto"/>
        </w:rPr>
        <w:t xml:space="preserve">.  </w:t>
      </w:r>
      <w:r w:rsidRPr="001F70B4">
        <w:rPr>
          <w:rFonts w:ascii="Times New Roman" w:hAnsi="Times New Roman"/>
          <w:i/>
          <w:color w:val="auto"/>
        </w:rPr>
        <w:t>The ultimate consideration is whether a substitution order is just and equitable</w:t>
      </w:r>
      <w:r w:rsidR="004320CA">
        <w:rPr>
          <w:rFonts w:ascii="Times New Roman" w:hAnsi="Times New Roman"/>
          <w:i/>
          <w:color w:val="auto"/>
        </w:rPr>
        <w:t xml:space="preserve">.  </w:t>
      </w:r>
      <w:r w:rsidRPr="001F70B4">
        <w:rPr>
          <w:rFonts w:ascii="Times New Roman" w:hAnsi="Times New Roman"/>
          <w:i/>
          <w:color w:val="auto"/>
        </w:rPr>
        <w:t>This will involve a consideration of fairness to all implicated parties</w:t>
      </w:r>
      <w:r w:rsidR="004320CA">
        <w:rPr>
          <w:rFonts w:ascii="Times New Roman" w:hAnsi="Times New Roman"/>
          <w:i/>
          <w:color w:val="auto"/>
        </w:rPr>
        <w:t xml:space="preserve">.  </w:t>
      </w:r>
      <w:r w:rsidRPr="00B95FF1">
        <w:rPr>
          <w:rFonts w:ascii="Times New Roman" w:hAnsi="Times New Roman"/>
          <w:i/>
          <w:color w:val="auto"/>
        </w:rPr>
        <w:t>It is prudent to emphasise that the exceptional circumstances enquiry requires an examination of each matter on a case-by-case basis that accounts for all relevant facts and circumstances.</w:t>
      </w:r>
      <w:r w:rsidRPr="001F70B4">
        <w:rPr>
          <w:rFonts w:ascii="Times New Roman" w:hAnsi="Times New Roman"/>
          <w:b w:val="0"/>
          <w:i/>
          <w:color w:val="auto"/>
        </w:rPr>
        <w:t>’”</w:t>
      </w:r>
      <w:r w:rsidRPr="001F70B4">
        <w:rPr>
          <w:rFonts w:ascii="Times New Roman" w:hAnsi="Times New Roman"/>
          <w:b w:val="0"/>
          <w:color w:val="auto"/>
        </w:rPr>
        <w:t xml:space="preserve"> </w:t>
      </w:r>
      <w:r w:rsidR="00A56A31" w:rsidRPr="000D7782">
        <w:rPr>
          <w:rStyle w:val="FootnoteReference"/>
          <w:rFonts w:ascii="Arial" w:hAnsi="Arial" w:cs="Arial"/>
          <w:b w:val="0"/>
          <w:color w:val="auto"/>
        </w:rPr>
        <w:footnoteReference w:id="79"/>
      </w:r>
    </w:p>
    <w:p w:rsidR="00ED736E" w:rsidRPr="000D7782" w:rsidRDefault="00ED736E" w:rsidP="00FE32B1">
      <w:pPr>
        <w:pStyle w:val="ListParagraph"/>
        <w:spacing w:line="360" w:lineRule="auto"/>
        <w:rPr>
          <w:rFonts w:ascii="Arial" w:hAnsi="Arial" w:cs="Arial"/>
          <w:b w:val="0"/>
          <w:color w:val="auto"/>
        </w:rPr>
      </w:pPr>
    </w:p>
    <w:p w:rsidR="008A4F38" w:rsidRPr="00AD2E9B" w:rsidRDefault="008A4F38" w:rsidP="00FE32B1">
      <w:pPr>
        <w:pStyle w:val="ListParagraph"/>
        <w:numPr>
          <w:ilvl w:val="0"/>
          <w:numId w:val="2"/>
        </w:numPr>
        <w:spacing w:line="360" w:lineRule="auto"/>
        <w:ind w:left="851" w:hanging="851"/>
        <w:jc w:val="both"/>
        <w:textAlignment w:val="baseline"/>
        <w:outlineLvl w:val="1"/>
        <w:rPr>
          <w:rFonts w:ascii="Arial" w:hAnsi="Arial" w:cs="Arial"/>
          <w:b w:val="0"/>
          <w:color w:val="121212"/>
          <w:spacing w:val="-5"/>
          <w:lang w:val="en-US"/>
        </w:rPr>
      </w:pPr>
      <w:r w:rsidRPr="000D7782">
        <w:rPr>
          <w:rFonts w:ascii="Arial" w:hAnsi="Arial" w:cs="Arial"/>
          <w:b w:val="0"/>
          <w:color w:val="auto"/>
        </w:rPr>
        <w:t xml:space="preserve">Masipa J in the </w:t>
      </w:r>
      <w:r w:rsidRPr="00FE32B1">
        <w:rPr>
          <w:rFonts w:ascii="Arial" w:hAnsi="Arial" w:cs="Arial"/>
          <w:i/>
          <w:color w:val="auto"/>
        </w:rPr>
        <w:t>Henry</w:t>
      </w:r>
      <w:r w:rsidRPr="000D7782">
        <w:rPr>
          <w:rFonts w:ascii="Arial" w:hAnsi="Arial" w:cs="Arial"/>
          <w:color w:val="auto"/>
        </w:rPr>
        <w:t xml:space="preserve"> </w:t>
      </w:r>
      <w:r w:rsidRPr="000D7782">
        <w:rPr>
          <w:rFonts w:ascii="Arial" w:hAnsi="Arial" w:cs="Arial"/>
          <w:b w:val="0"/>
          <w:color w:val="auto"/>
        </w:rPr>
        <w:t>case, instead of remitting the matter to the relevant authorities for reconsideration, declared him suitable for placement on parole as appeared on the recommendation made by the chairperson of the CMC</w:t>
      </w:r>
      <w:r w:rsidR="004320CA">
        <w:rPr>
          <w:rFonts w:ascii="Arial" w:hAnsi="Arial" w:cs="Arial"/>
          <w:b w:val="0"/>
          <w:color w:val="auto"/>
        </w:rPr>
        <w:t xml:space="preserve">.  </w:t>
      </w:r>
      <w:r w:rsidRPr="000D7782">
        <w:rPr>
          <w:rFonts w:ascii="Arial" w:hAnsi="Arial" w:cs="Arial"/>
          <w:b w:val="0"/>
          <w:color w:val="auto"/>
        </w:rPr>
        <w:t xml:space="preserve">This decision was based on </w:t>
      </w:r>
      <w:r w:rsidR="00F35269">
        <w:rPr>
          <w:rFonts w:ascii="Arial" w:hAnsi="Arial" w:cs="Arial"/>
          <w:b w:val="0"/>
          <w:i/>
          <w:color w:val="auto"/>
        </w:rPr>
        <w:t xml:space="preserve">inter </w:t>
      </w:r>
      <w:r w:rsidR="00B95FF1" w:rsidRPr="00B95FF1">
        <w:rPr>
          <w:rFonts w:ascii="Arial" w:hAnsi="Arial" w:cs="Arial"/>
          <w:b w:val="0"/>
          <w:i/>
          <w:color w:val="auto"/>
        </w:rPr>
        <w:t>alia</w:t>
      </w:r>
      <w:r w:rsidR="00B95FF1">
        <w:rPr>
          <w:rFonts w:ascii="Arial" w:hAnsi="Arial" w:cs="Arial"/>
          <w:b w:val="0"/>
          <w:color w:val="auto"/>
        </w:rPr>
        <w:t xml:space="preserve"> </w:t>
      </w:r>
      <w:r w:rsidRPr="000D7782">
        <w:rPr>
          <w:rFonts w:ascii="Arial" w:hAnsi="Arial" w:cs="Arial"/>
          <w:b w:val="0"/>
          <w:color w:val="auto"/>
        </w:rPr>
        <w:t>the finding that; (a) the end result was in any event a foregone conclusion and it would have merely been a waste of time to order the tribunal or functionary to reconsider the matter; (b) much time had already unjustifiably been lost</w:t>
      </w:r>
      <w:r w:rsidR="00B95FF1">
        <w:rPr>
          <w:rFonts w:ascii="Arial" w:hAnsi="Arial" w:cs="Arial"/>
          <w:b w:val="0"/>
          <w:color w:val="auto"/>
        </w:rPr>
        <w:t xml:space="preserve"> by an applicant to whom time was</w:t>
      </w:r>
      <w:r w:rsidRPr="000D7782">
        <w:rPr>
          <w:rFonts w:ascii="Arial" w:hAnsi="Arial" w:cs="Arial"/>
          <w:b w:val="0"/>
          <w:color w:val="auto"/>
        </w:rPr>
        <w:t xml:space="preserve"> in the circumstances valuable; (c) the further delay </w:t>
      </w:r>
      <w:r w:rsidR="00B95FF1">
        <w:rPr>
          <w:rFonts w:ascii="Arial" w:hAnsi="Arial" w:cs="Arial"/>
          <w:b w:val="0"/>
          <w:color w:val="auto"/>
        </w:rPr>
        <w:t>by reference back wa</w:t>
      </w:r>
      <w:r w:rsidRPr="000D7782">
        <w:rPr>
          <w:rFonts w:ascii="Arial" w:hAnsi="Arial" w:cs="Arial"/>
          <w:b w:val="0"/>
          <w:color w:val="auto"/>
        </w:rPr>
        <w:t>s significant in the context; and (d) the tribunal or functionary had exhibited bias or incompetence to such a degree that it would have been unfair to require the applicant to submit to the same jurisdiction again</w:t>
      </w:r>
      <w:r w:rsidR="004320CA">
        <w:rPr>
          <w:rFonts w:ascii="Arial" w:hAnsi="Arial" w:cs="Arial"/>
          <w:b w:val="0"/>
          <w:color w:val="auto"/>
        </w:rPr>
        <w:t xml:space="preserve">.  </w:t>
      </w:r>
    </w:p>
    <w:p w:rsidR="00AD2E9B" w:rsidRPr="00AD2E9B" w:rsidRDefault="00AD2E9B" w:rsidP="00FE32B1">
      <w:pPr>
        <w:spacing w:line="360" w:lineRule="auto"/>
        <w:contextualSpacing/>
        <w:jc w:val="both"/>
        <w:textAlignment w:val="baseline"/>
        <w:outlineLvl w:val="1"/>
        <w:rPr>
          <w:rFonts w:ascii="Arial" w:hAnsi="Arial" w:cs="Arial"/>
          <w:b w:val="0"/>
          <w:color w:val="121212"/>
          <w:spacing w:val="-5"/>
          <w:lang w:val="en-US"/>
        </w:rPr>
      </w:pPr>
    </w:p>
    <w:p w:rsidR="008A4F38" w:rsidRPr="000D7782" w:rsidRDefault="008A4F38" w:rsidP="00FE32B1">
      <w:pPr>
        <w:spacing w:line="360" w:lineRule="auto"/>
        <w:contextualSpacing/>
        <w:jc w:val="both"/>
        <w:rPr>
          <w:rFonts w:ascii="Arial" w:hAnsi="Arial" w:cs="Arial"/>
          <w:color w:val="auto"/>
        </w:rPr>
      </w:pPr>
      <w:r w:rsidRPr="000D7782">
        <w:rPr>
          <w:rFonts w:ascii="Arial" w:hAnsi="Arial" w:cs="Arial"/>
          <w:color w:val="auto"/>
          <w:u w:val="single"/>
        </w:rPr>
        <w:t>CONCLUSION</w:t>
      </w:r>
      <w:r w:rsidRPr="000D7782">
        <w:rPr>
          <w:rFonts w:ascii="Arial" w:hAnsi="Arial" w:cs="Arial"/>
          <w:color w:val="auto"/>
        </w:rPr>
        <w:t>:</w:t>
      </w:r>
    </w:p>
    <w:p w:rsidR="008A4F38" w:rsidRPr="000D7782" w:rsidRDefault="008A4F38" w:rsidP="00FE32B1">
      <w:pPr>
        <w:shd w:val="clear" w:color="auto" w:fill="FFFFFF" w:themeFill="background1"/>
        <w:spacing w:line="360" w:lineRule="auto"/>
        <w:contextualSpacing/>
        <w:jc w:val="both"/>
        <w:textAlignment w:val="baseline"/>
        <w:outlineLvl w:val="1"/>
        <w:rPr>
          <w:rFonts w:ascii="Arial" w:hAnsi="Arial" w:cs="Arial"/>
          <w:b w:val="0"/>
          <w:color w:val="121212"/>
          <w:spacing w:val="-5"/>
          <w:lang w:val="en-US"/>
        </w:rPr>
      </w:pPr>
    </w:p>
    <w:p w:rsidR="00E965A7" w:rsidRPr="00E965A7" w:rsidRDefault="00EF4F21" w:rsidP="00FE32B1">
      <w:pPr>
        <w:pStyle w:val="ListParagraph"/>
        <w:numPr>
          <w:ilvl w:val="0"/>
          <w:numId w:val="2"/>
        </w:numPr>
        <w:spacing w:line="360" w:lineRule="auto"/>
        <w:ind w:left="851" w:hanging="851"/>
        <w:jc w:val="both"/>
        <w:textAlignment w:val="baseline"/>
        <w:outlineLvl w:val="1"/>
        <w:rPr>
          <w:rFonts w:ascii="Arial" w:hAnsi="Arial" w:cs="Arial"/>
          <w:b w:val="0"/>
          <w:color w:val="121212"/>
          <w:spacing w:val="-5"/>
          <w:lang w:val="en-US"/>
        </w:rPr>
      </w:pPr>
      <w:r w:rsidRPr="000D7782">
        <w:rPr>
          <w:rFonts w:ascii="Arial" w:hAnsi="Arial" w:cs="Arial"/>
          <w:b w:val="0"/>
          <w:color w:val="auto"/>
        </w:rPr>
        <w:t xml:space="preserve">This Court did not find that the respondents exhibited bias or incompetence to such a degree that it would be unfair to require the applicant to submit to the </w:t>
      </w:r>
      <w:r w:rsidRPr="000D7782">
        <w:rPr>
          <w:rFonts w:ascii="Arial" w:hAnsi="Arial" w:cs="Arial"/>
          <w:b w:val="0"/>
          <w:color w:val="auto"/>
        </w:rPr>
        <w:lastRenderedPageBreak/>
        <w:t>same jurisdiction again</w:t>
      </w:r>
      <w:r>
        <w:rPr>
          <w:rFonts w:ascii="Arial" w:hAnsi="Arial" w:cs="Arial"/>
          <w:b w:val="0"/>
          <w:color w:val="auto"/>
        </w:rPr>
        <w:t xml:space="preserve">.  </w:t>
      </w:r>
      <w:r w:rsidR="00AC59E4" w:rsidRPr="000D7782">
        <w:rPr>
          <w:rFonts w:ascii="Arial" w:hAnsi="Arial" w:cs="Arial"/>
          <w:b w:val="0"/>
          <w:color w:val="auto"/>
        </w:rPr>
        <w:t>W</w:t>
      </w:r>
      <w:r w:rsidR="00DF401C" w:rsidRPr="000D7782">
        <w:rPr>
          <w:rFonts w:ascii="Arial" w:hAnsi="Arial" w:cs="Arial"/>
          <w:b w:val="0"/>
          <w:color w:val="auto"/>
        </w:rPr>
        <w:t>hilst the impugned decisions were procedurally unfair, same was in the main, genuinely but materially influe</w:t>
      </w:r>
      <w:r w:rsidR="00AC59E4" w:rsidRPr="000D7782">
        <w:rPr>
          <w:rFonts w:ascii="Arial" w:hAnsi="Arial" w:cs="Arial"/>
          <w:b w:val="0"/>
          <w:color w:val="auto"/>
        </w:rPr>
        <w:t>nced by an error of law and the</w:t>
      </w:r>
      <w:r w:rsidR="00DF401C" w:rsidRPr="000D7782">
        <w:rPr>
          <w:rFonts w:ascii="Arial" w:hAnsi="Arial" w:cs="Arial"/>
          <w:b w:val="0"/>
          <w:color w:val="auto"/>
        </w:rPr>
        <w:t xml:space="preserve"> </w:t>
      </w:r>
      <w:r w:rsidR="001D0947" w:rsidRPr="000D7782">
        <w:rPr>
          <w:rFonts w:ascii="Arial" w:hAnsi="Arial" w:cs="Arial"/>
          <w:b w:val="0"/>
          <w:i/>
          <w:color w:val="auto"/>
        </w:rPr>
        <w:t>ratio</w:t>
      </w:r>
      <w:r w:rsidR="001D0947" w:rsidRPr="000D7782">
        <w:rPr>
          <w:rFonts w:ascii="Arial" w:hAnsi="Arial" w:cs="Arial"/>
          <w:b w:val="0"/>
          <w:color w:val="auto"/>
        </w:rPr>
        <w:t xml:space="preserve"> in </w:t>
      </w:r>
      <w:r w:rsidR="001D0947" w:rsidRPr="00FE32B1">
        <w:rPr>
          <w:rFonts w:ascii="Arial" w:hAnsi="Arial" w:cs="Arial"/>
          <w:i/>
          <w:color w:val="auto"/>
        </w:rPr>
        <w:t>Smith</w:t>
      </w:r>
      <w:r w:rsidR="001D0947" w:rsidRPr="000D7782">
        <w:rPr>
          <w:rFonts w:ascii="Arial" w:hAnsi="Arial" w:cs="Arial"/>
          <w:b w:val="0"/>
          <w:i/>
          <w:color w:val="auto"/>
        </w:rPr>
        <w:t xml:space="preserve"> (</w:t>
      </w:r>
      <w:r w:rsidR="001D0947" w:rsidRPr="00F35269">
        <w:rPr>
          <w:rFonts w:ascii="Arial" w:hAnsi="Arial" w:cs="Arial"/>
          <w:i/>
          <w:color w:val="auto"/>
        </w:rPr>
        <w:t>supra</w:t>
      </w:r>
      <w:r w:rsidR="001D0947" w:rsidRPr="000D7782">
        <w:rPr>
          <w:rFonts w:ascii="Arial" w:hAnsi="Arial" w:cs="Arial"/>
          <w:b w:val="0"/>
          <w:i/>
          <w:color w:val="auto"/>
        </w:rPr>
        <w:t>)</w:t>
      </w:r>
      <w:r w:rsidR="004320CA">
        <w:rPr>
          <w:rFonts w:ascii="Arial" w:hAnsi="Arial" w:cs="Arial"/>
          <w:b w:val="0"/>
          <w:color w:val="auto"/>
        </w:rPr>
        <w:t xml:space="preserve">.  </w:t>
      </w:r>
      <w:r w:rsidR="00AC59E4" w:rsidRPr="000D7782">
        <w:rPr>
          <w:rFonts w:ascii="Arial" w:hAnsi="Arial" w:cs="Arial"/>
          <w:b w:val="0"/>
          <w:color w:val="auto"/>
        </w:rPr>
        <w:t xml:space="preserve">This Court is </w:t>
      </w:r>
      <w:r w:rsidR="008A4F38" w:rsidRPr="000D7782">
        <w:rPr>
          <w:rFonts w:ascii="Arial" w:hAnsi="Arial" w:cs="Arial"/>
          <w:b w:val="0"/>
          <w:color w:val="auto"/>
        </w:rPr>
        <w:t xml:space="preserve">therefore </w:t>
      </w:r>
      <w:r w:rsidR="00AC59E4" w:rsidRPr="000D7782">
        <w:rPr>
          <w:rFonts w:ascii="Arial" w:hAnsi="Arial" w:cs="Arial"/>
          <w:b w:val="0"/>
          <w:color w:val="auto"/>
        </w:rPr>
        <w:t>of the considered opinion that this is not one of those cases where this Court would be justified in substituting its own decision for that of impugned administrative body</w:t>
      </w:r>
      <w:r w:rsidR="00164D26" w:rsidRPr="000D7782">
        <w:rPr>
          <w:rFonts w:ascii="Arial" w:hAnsi="Arial" w:cs="Arial"/>
          <w:b w:val="0"/>
          <w:color w:val="auto"/>
        </w:rPr>
        <w:t>.</w:t>
      </w:r>
    </w:p>
    <w:p w:rsidR="00E965A7" w:rsidRPr="00E965A7" w:rsidRDefault="00E965A7" w:rsidP="00FE32B1">
      <w:pPr>
        <w:pStyle w:val="ListParagraph"/>
        <w:spacing w:line="360" w:lineRule="auto"/>
        <w:ind w:left="851"/>
        <w:jc w:val="both"/>
        <w:textAlignment w:val="baseline"/>
        <w:outlineLvl w:val="1"/>
        <w:rPr>
          <w:rFonts w:ascii="Arial" w:hAnsi="Arial" w:cs="Arial"/>
          <w:b w:val="0"/>
          <w:color w:val="121212"/>
          <w:spacing w:val="-5"/>
          <w:lang w:val="en-US"/>
        </w:rPr>
      </w:pPr>
    </w:p>
    <w:p w:rsidR="00C7032C" w:rsidRPr="000D7782" w:rsidRDefault="000B4CAC" w:rsidP="00FE32B1">
      <w:pPr>
        <w:pStyle w:val="ListParagraph"/>
        <w:numPr>
          <w:ilvl w:val="0"/>
          <w:numId w:val="2"/>
        </w:numPr>
        <w:spacing w:line="360" w:lineRule="auto"/>
        <w:ind w:left="851" w:hanging="851"/>
        <w:jc w:val="both"/>
        <w:textAlignment w:val="baseline"/>
        <w:outlineLvl w:val="1"/>
        <w:rPr>
          <w:rFonts w:ascii="Arial" w:hAnsi="Arial" w:cs="Arial"/>
          <w:b w:val="0"/>
          <w:color w:val="121212"/>
          <w:spacing w:val="-5"/>
          <w:lang w:val="en-US"/>
        </w:rPr>
      </w:pPr>
      <w:r>
        <w:rPr>
          <w:rFonts w:ascii="Arial" w:hAnsi="Arial" w:cs="Arial"/>
          <w:b w:val="0"/>
          <w:color w:val="auto"/>
        </w:rPr>
        <w:t xml:space="preserve">Clause 2.1(f) of </w:t>
      </w:r>
      <w:r w:rsidR="00E965A7">
        <w:rPr>
          <w:rFonts w:ascii="Arial" w:hAnsi="Arial" w:cs="Arial"/>
          <w:b w:val="0"/>
          <w:color w:val="auto"/>
        </w:rPr>
        <w:t xml:space="preserve">Chapter 23: </w:t>
      </w:r>
      <w:r>
        <w:rPr>
          <w:rFonts w:ascii="Arial" w:hAnsi="Arial" w:cs="Arial"/>
          <w:b w:val="0"/>
          <w:color w:val="auto"/>
        </w:rPr>
        <w:t>Granting of Amnesty/ Special Remission of Sentence expressly stipulates that a recommendation for the granting of special remission of sentence is also justified when a Court motivates or recommends, under certain circumstances, the special remission of sentence considered</w:t>
      </w:r>
      <w:r w:rsidR="004320CA">
        <w:rPr>
          <w:rFonts w:ascii="Arial" w:hAnsi="Arial" w:cs="Arial"/>
          <w:b w:val="0"/>
          <w:color w:val="auto"/>
        </w:rPr>
        <w:t xml:space="preserve">.  </w:t>
      </w:r>
      <w:r>
        <w:rPr>
          <w:rFonts w:ascii="Arial" w:hAnsi="Arial" w:cs="Arial"/>
          <w:b w:val="0"/>
          <w:color w:val="auto"/>
        </w:rPr>
        <w:t>Clause 2.1(g</w:t>
      </w:r>
      <w:proofErr w:type="gramStart"/>
      <w:r>
        <w:rPr>
          <w:rFonts w:ascii="Arial" w:hAnsi="Arial" w:cs="Arial"/>
          <w:b w:val="0"/>
          <w:color w:val="auto"/>
        </w:rPr>
        <w:t>)(</w:t>
      </w:r>
      <w:proofErr w:type="gramEnd"/>
      <w:r w:rsidRPr="00F35269">
        <w:rPr>
          <w:rFonts w:ascii="Arial" w:hAnsi="Arial" w:cs="Arial"/>
          <w:b w:val="0"/>
          <w:i/>
          <w:color w:val="auto"/>
        </w:rPr>
        <w:t>ibid</w:t>
      </w:r>
      <w:r>
        <w:rPr>
          <w:rFonts w:ascii="Arial" w:hAnsi="Arial" w:cs="Arial"/>
          <w:b w:val="0"/>
          <w:color w:val="auto"/>
        </w:rPr>
        <w:t>), for its own part stipulates that when correspondence in the above regard is received, it must be submitted via the Area Manager to the Provincial Commissioner, together with a recommendation to the Correctional Supervision and Parole Board for decision, within a period of twenty-one (21) days</w:t>
      </w:r>
      <w:r w:rsidR="004320CA">
        <w:rPr>
          <w:rFonts w:ascii="Arial" w:hAnsi="Arial" w:cs="Arial"/>
          <w:b w:val="0"/>
          <w:color w:val="auto"/>
        </w:rPr>
        <w:t xml:space="preserve">.  </w:t>
      </w:r>
      <w:r>
        <w:rPr>
          <w:rFonts w:ascii="Arial" w:hAnsi="Arial" w:cs="Arial"/>
          <w:b w:val="0"/>
          <w:color w:val="auto"/>
        </w:rPr>
        <w:t>This Court will order accordingly</w:t>
      </w:r>
      <w:r w:rsidR="004320CA">
        <w:rPr>
          <w:rFonts w:ascii="Arial" w:hAnsi="Arial" w:cs="Arial"/>
          <w:b w:val="0"/>
          <w:color w:val="auto"/>
        </w:rPr>
        <w:t xml:space="preserve">.  </w:t>
      </w:r>
      <w:r>
        <w:rPr>
          <w:rFonts w:ascii="Arial" w:hAnsi="Arial" w:cs="Arial"/>
          <w:b w:val="0"/>
          <w:color w:val="auto"/>
        </w:rPr>
        <w:t xml:space="preserve">  </w:t>
      </w:r>
      <w:r w:rsidR="00164D26" w:rsidRPr="000D7782">
        <w:rPr>
          <w:rFonts w:ascii="Arial" w:hAnsi="Arial" w:cs="Arial"/>
          <w:b w:val="0"/>
          <w:color w:val="auto"/>
        </w:rPr>
        <w:t xml:space="preserve">  </w:t>
      </w:r>
    </w:p>
    <w:p w:rsidR="00E965A7" w:rsidRPr="00E965A7" w:rsidRDefault="00E965A7" w:rsidP="00FE32B1">
      <w:pPr>
        <w:pStyle w:val="ListParagraph"/>
        <w:shd w:val="clear" w:color="auto" w:fill="FFFFFF" w:themeFill="background1"/>
        <w:spacing w:line="360" w:lineRule="auto"/>
        <w:ind w:left="851"/>
        <w:jc w:val="both"/>
        <w:textAlignment w:val="baseline"/>
        <w:outlineLvl w:val="1"/>
        <w:rPr>
          <w:rFonts w:ascii="Arial" w:hAnsi="Arial" w:cs="Arial"/>
          <w:b w:val="0"/>
          <w:color w:val="121212"/>
          <w:spacing w:val="-5"/>
          <w:lang w:val="en-US"/>
        </w:rPr>
      </w:pPr>
    </w:p>
    <w:p w:rsidR="006F64CF" w:rsidRPr="00187486" w:rsidRDefault="00C7032C" w:rsidP="00FE32B1">
      <w:pPr>
        <w:pStyle w:val="ListParagraph"/>
        <w:numPr>
          <w:ilvl w:val="0"/>
          <w:numId w:val="2"/>
        </w:numPr>
        <w:shd w:val="clear" w:color="auto" w:fill="FFFFFF" w:themeFill="background1"/>
        <w:spacing w:line="360" w:lineRule="auto"/>
        <w:ind w:left="851" w:hanging="851"/>
        <w:jc w:val="both"/>
        <w:textAlignment w:val="baseline"/>
        <w:outlineLvl w:val="1"/>
        <w:rPr>
          <w:rFonts w:ascii="Arial" w:hAnsi="Arial" w:cs="Arial"/>
          <w:b w:val="0"/>
          <w:color w:val="121212"/>
          <w:spacing w:val="-5"/>
          <w:lang w:val="en-US"/>
        </w:rPr>
      </w:pPr>
      <w:r w:rsidRPr="000D7782">
        <w:rPr>
          <w:rFonts w:ascii="Arial" w:hAnsi="Arial" w:cs="Arial"/>
          <w:b w:val="0"/>
          <w:color w:val="auto"/>
        </w:rPr>
        <w:t>The</w:t>
      </w:r>
      <w:r w:rsidR="00691518" w:rsidRPr="000D7782">
        <w:rPr>
          <w:rFonts w:ascii="Arial" w:hAnsi="Arial" w:cs="Arial"/>
          <w:b w:val="0"/>
          <w:color w:val="auto"/>
        </w:rPr>
        <w:t>re</w:t>
      </w:r>
      <w:r w:rsidRPr="000D7782">
        <w:rPr>
          <w:rFonts w:ascii="Arial" w:hAnsi="Arial" w:cs="Arial"/>
          <w:b w:val="0"/>
          <w:color w:val="auto"/>
        </w:rPr>
        <w:t xml:space="preserve"> is no reason why the a</w:t>
      </w:r>
      <w:r w:rsidR="00691518" w:rsidRPr="000D7782">
        <w:rPr>
          <w:rFonts w:ascii="Arial" w:hAnsi="Arial" w:cs="Arial"/>
          <w:b w:val="0"/>
          <w:color w:val="auto"/>
        </w:rPr>
        <w:t>pplicant should be out of pocket</w:t>
      </w:r>
      <w:r w:rsidRPr="000D7782">
        <w:rPr>
          <w:rFonts w:ascii="Arial" w:hAnsi="Arial" w:cs="Arial"/>
          <w:b w:val="0"/>
          <w:color w:val="auto"/>
        </w:rPr>
        <w:t xml:space="preserve"> with regard to costs</w:t>
      </w:r>
      <w:r w:rsidR="00B46681" w:rsidRPr="000D7782">
        <w:rPr>
          <w:rFonts w:ascii="Arial" w:hAnsi="Arial" w:cs="Arial"/>
          <w:b w:val="0"/>
          <w:color w:val="auto"/>
        </w:rPr>
        <w:t xml:space="preserve"> because he is substantially successful</w:t>
      </w:r>
      <w:r w:rsidR="004320CA">
        <w:rPr>
          <w:rFonts w:ascii="Arial" w:hAnsi="Arial" w:cs="Arial"/>
          <w:b w:val="0"/>
          <w:color w:val="auto"/>
        </w:rPr>
        <w:t xml:space="preserve">.  </w:t>
      </w:r>
      <w:r w:rsidR="008A4F38" w:rsidRPr="000D7782">
        <w:rPr>
          <w:rFonts w:ascii="Arial" w:hAnsi="Arial" w:cs="Arial"/>
          <w:b w:val="0"/>
          <w:color w:val="auto"/>
        </w:rPr>
        <w:t>The costs therefore must follow the event</w:t>
      </w:r>
      <w:r w:rsidR="004320CA">
        <w:rPr>
          <w:rFonts w:ascii="Arial" w:hAnsi="Arial" w:cs="Arial"/>
          <w:b w:val="0"/>
          <w:color w:val="auto"/>
        </w:rPr>
        <w:t xml:space="preserve">.  </w:t>
      </w:r>
      <w:r w:rsidR="002C44FD" w:rsidRPr="000D7782">
        <w:rPr>
          <w:rFonts w:ascii="Arial" w:hAnsi="Arial" w:cs="Arial"/>
          <w:color w:val="auto"/>
        </w:rPr>
        <w:t xml:space="preserve">    </w:t>
      </w:r>
      <w:r w:rsidR="002B28F2" w:rsidRPr="000D7782">
        <w:rPr>
          <w:rFonts w:ascii="Arial" w:hAnsi="Arial" w:cs="Arial"/>
          <w:color w:val="auto"/>
        </w:rPr>
        <w:t xml:space="preserve"> </w:t>
      </w:r>
      <w:r w:rsidR="0060604E" w:rsidRPr="000D7782">
        <w:rPr>
          <w:rFonts w:ascii="Arial" w:hAnsi="Arial" w:cs="Arial"/>
          <w:color w:val="auto"/>
        </w:rPr>
        <w:t xml:space="preserve">  </w:t>
      </w:r>
    </w:p>
    <w:p w:rsidR="00187486" w:rsidRPr="00187486" w:rsidRDefault="00187486" w:rsidP="00FE32B1">
      <w:pPr>
        <w:pStyle w:val="ListParagraph"/>
        <w:spacing w:line="360" w:lineRule="auto"/>
        <w:rPr>
          <w:rFonts w:ascii="Arial" w:hAnsi="Arial" w:cs="Arial"/>
          <w:b w:val="0"/>
          <w:color w:val="121212"/>
          <w:spacing w:val="-5"/>
          <w:lang w:val="en-US"/>
        </w:rPr>
      </w:pPr>
    </w:p>
    <w:p w:rsidR="000618F6" w:rsidRPr="000D7782" w:rsidRDefault="000618F6" w:rsidP="00FE32B1">
      <w:pPr>
        <w:shd w:val="clear" w:color="auto" w:fill="FFFFFF" w:themeFill="background1"/>
        <w:spacing w:line="360" w:lineRule="auto"/>
        <w:contextualSpacing/>
        <w:jc w:val="both"/>
        <w:rPr>
          <w:rFonts w:ascii="Arial" w:hAnsi="Arial" w:cs="Arial"/>
          <w:color w:val="auto"/>
        </w:rPr>
      </w:pPr>
      <w:r w:rsidRPr="000D7782">
        <w:rPr>
          <w:rFonts w:ascii="Arial" w:hAnsi="Arial" w:cs="Arial"/>
          <w:color w:val="auto"/>
          <w:u w:val="single"/>
        </w:rPr>
        <w:t>ORDER</w:t>
      </w:r>
      <w:r w:rsidR="00691518" w:rsidRPr="000D7782">
        <w:rPr>
          <w:rFonts w:ascii="Arial" w:hAnsi="Arial" w:cs="Arial"/>
          <w:color w:val="auto"/>
        </w:rPr>
        <w:t>:</w:t>
      </w:r>
    </w:p>
    <w:p w:rsidR="00691518" w:rsidRPr="000D7782" w:rsidRDefault="00691518" w:rsidP="00FE32B1">
      <w:pPr>
        <w:shd w:val="clear" w:color="auto" w:fill="FFFFFF" w:themeFill="background1"/>
        <w:spacing w:line="360" w:lineRule="auto"/>
        <w:contextualSpacing/>
        <w:jc w:val="both"/>
        <w:rPr>
          <w:rFonts w:ascii="Arial" w:hAnsi="Arial" w:cs="Arial"/>
          <w:b w:val="0"/>
          <w:color w:val="auto"/>
        </w:rPr>
      </w:pPr>
    </w:p>
    <w:p w:rsidR="00EB2EAB" w:rsidRPr="000D7782" w:rsidRDefault="006F64CF" w:rsidP="00FE32B1">
      <w:pPr>
        <w:pStyle w:val="ListParagraph"/>
        <w:numPr>
          <w:ilvl w:val="0"/>
          <w:numId w:val="2"/>
        </w:numPr>
        <w:shd w:val="clear" w:color="auto" w:fill="FFFFFF" w:themeFill="background1"/>
        <w:spacing w:line="360" w:lineRule="auto"/>
        <w:ind w:left="851" w:hanging="851"/>
        <w:jc w:val="both"/>
        <w:textAlignment w:val="baseline"/>
        <w:outlineLvl w:val="1"/>
        <w:rPr>
          <w:rFonts w:ascii="Arial" w:hAnsi="Arial" w:cs="Arial"/>
          <w:b w:val="0"/>
          <w:color w:val="auto"/>
        </w:rPr>
      </w:pPr>
      <w:r w:rsidRPr="000D7782">
        <w:rPr>
          <w:rFonts w:ascii="Arial" w:hAnsi="Arial" w:cs="Arial"/>
          <w:b w:val="0"/>
          <w:color w:val="auto"/>
        </w:rPr>
        <w:t xml:space="preserve">In the premise, </w:t>
      </w:r>
      <w:r w:rsidR="008A4F38" w:rsidRPr="000D7782">
        <w:rPr>
          <w:rFonts w:ascii="Arial" w:hAnsi="Arial" w:cs="Arial"/>
          <w:b w:val="0"/>
          <w:color w:val="auto"/>
        </w:rPr>
        <w:t>the following O</w:t>
      </w:r>
      <w:r w:rsidR="00EB2EAB" w:rsidRPr="000D7782">
        <w:rPr>
          <w:rFonts w:ascii="Arial" w:hAnsi="Arial" w:cs="Arial"/>
          <w:b w:val="0"/>
          <w:color w:val="auto"/>
        </w:rPr>
        <w:t>rder</w:t>
      </w:r>
      <w:r w:rsidR="008A4F38" w:rsidRPr="000D7782">
        <w:rPr>
          <w:rFonts w:ascii="Arial" w:hAnsi="Arial" w:cs="Arial"/>
          <w:b w:val="0"/>
          <w:color w:val="auto"/>
        </w:rPr>
        <w:t xml:space="preserve"> is granted</w:t>
      </w:r>
      <w:r w:rsidR="00C7032C" w:rsidRPr="000D7782">
        <w:rPr>
          <w:rFonts w:ascii="Arial" w:hAnsi="Arial" w:cs="Arial"/>
          <w:b w:val="0"/>
          <w:color w:val="auto"/>
        </w:rPr>
        <w:t xml:space="preserve">:  </w:t>
      </w:r>
    </w:p>
    <w:p w:rsidR="00C7032C" w:rsidRPr="000D7782" w:rsidRDefault="00C7032C" w:rsidP="00FE32B1">
      <w:pPr>
        <w:pStyle w:val="ListParagraph"/>
        <w:shd w:val="clear" w:color="auto" w:fill="FFFFFF" w:themeFill="background1"/>
        <w:spacing w:line="360" w:lineRule="auto"/>
        <w:ind w:left="851"/>
        <w:jc w:val="both"/>
        <w:textAlignment w:val="baseline"/>
        <w:outlineLvl w:val="1"/>
        <w:rPr>
          <w:rFonts w:ascii="Arial" w:hAnsi="Arial" w:cs="Arial"/>
          <w:b w:val="0"/>
          <w:color w:val="auto"/>
        </w:rPr>
      </w:pPr>
    </w:p>
    <w:p w:rsidR="00B46681" w:rsidRPr="000D7782" w:rsidRDefault="00691518" w:rsidP="00FE32B1">
      <w:pPr>
        <w:pStyle w:val="ListParagraph"/>
        <w:numPr>
          <w:ilvl w:val="0"/>
          <w:numId w:val="21"/>
        </w:numPr>
        <w:spacing w:line="360" w:lineRule="auto"/>
        <w:ind w:left="1701" w:hanging="850"/>
        <w:jc w:val="both"/>
        <w:rPr>
          <w:rFonts w:ascii="Arial" w:hAnsi="Arial" w:cs="Arial"/>
          <w:color w:val="auto"/>
        </w:rPr>
      </w:pPr>
      <w:r w:rsidRPr="000D7782">
        <w:rPr>
          <w:rFonts w:ascii="Arial" w:hAnsi="Arial" w:cs="Arial"/>
          <w:color w:val="auto"/>
        </w:rPr>
        <w:t xml:space="preserve">THIS COURT HEREBY DISPENSES WITH AND CONDONES THE APPLICANT’S NON-COMPLIANCE </w:t>
      </w:r>
      <w:r w:rsidR="00F20FC7" w:rsidRPr="000D7782">
        <w:rPr>
          <w:rFonts w:ascii="Arial" w:hAnsi="Arial" w:cs="Arial"/>
          <w:color w:val="auto"/>
        </w:rPr>
        <w:t>WITH THE</w:t>
      </w:r>
      <w:r w:rsidRPr="000D7782">
        <w:rPr>
          <w:rFonts w:ascii="Arial" w:hAnsi="Arial" w:cs="Arial"/>
          <w:color w:val="auto"/>
        </w:rPr>
        <w:t xml:space="preserve"> FORMS AND SERVICE PROVIDED FOR IN THE UNIFORM RULES OF COURT AND THE MATTER IS ENROLLED AND HEARD URGENTLY.</w:t>
      </w:r>
    </w:p>
    <w:p w:rsidR="000618F6" w:rsidRPr="000D7782" w:rsidRDefault="000618F6" w:rsidP="00FE32B1">
      <w:pPr>
        <w:spacing w:line="360" w:lineRule="auto"/>
        <w:contextualSpacing/>
        <w:jc w:val="both"/>
        <w:rPr>
          <w:rFonts w:ascii="Arial" w:hAnsi="Arial" w:cs="Arial"/>
          <w:color w:val="auto"/>
        </w:rPr>
      </w:pPr>
    </w:p>
    <w:p w:rsidR="00B51019" w:rsidRPr="000D7782" w:rsidRDefault="00691518" w:rsidP="00FE32B1">
      <w:pPr>
        <w:pStyle w:val="ListParagraph"/>
        <w:numPr>
          <w:ilvl w:val="0"/>
          <w:numId w:val="21"/>
        </w:numPr>
        <w:spacing w:line="360" w:lineRule="auto"/>
        <w:ind w:left="1701" w:hanging="850"/>
        <w:jc w:val="both"/>
        <w:rPr>
          <w:rFonts w:ascii="Arial" w:hAnsi="Arial" w:cs="Arial"/>
          <w:color w:val="auto"/>
        </w:rPr>
      </w:pPr>
      <w:r w:rsidRPr="000D7782">
        <w:rPr>
          <w:rFonts w:ascii="Arial" w:hAnsi="Arial" w:cs="Arial"/>
          <w:color w:val="auto"/>
        </w:rPr>
        <w:t>THE RESPONDENTS’ LATE FILING OF THE ANSWERING AFFIDAVIT IS HEREBY CONDONED.</w:t>
      </w:r>
    </w:p>
    <w:p w:rsidR="00B51019" w:rsidRPr="000D7782" w:rsidRDefault="00B51019" w:rsidP="00FE32B1">
      <w:pPr>
        <w:pStyle w:val="ListParagraph"/>
        <w:spacing w:line="360" w:lineRule="auto"/>
        <w:rPr>
          <w:rFonts w:ascii="Arial" w:hAnsi="Arial" w:cs="Arial"/>
          <w:color w:val="auto"/>
        </w:rPr>
      </w:pPr>
    </w:p>
    <w:p w:rsidR="00B51019" w:rsidRPr="000D7782" w:rsidRDefault="00691518" w:rsidP="00FE32B1">
      <w:pPr>
        <w:pStyle w:val="ListParagraph"/>
        <w:numPr>
          <w:ilvl w:val="0"/>
          <w:numId w:val="21"/>
        </w:numPr>
        <w:spacing w:line="360" w:lineRule="auto"/>
        <w:ind w:left="1701" w:hanging="850"/>
        <w:jc w:val="both"/>
        <w:rPr>
          <w:rFonts w:ascii="Arial" w:hAnsi="Arial" w:cs="Arial"/>
          <w:color w:val="auto"/>
        </w:rPr>
      </w:pPr>
      <w:r w:rsidRPr="000D7782">
        <w:rPr>
          <w:rFonts w:ascii="Arial" w:hAnsi="Arial" w:cs="Arial"/>
          <w:color w:val="auto"/>
        </w:rPr>
        <w:lastRenderedPageBreak/>
        <w:t>THE DECISION OF THE UPINGTON CORRECTIONAL SUPERVISION AND PAROLE BOARD DATED 29 SEPTEMBER 2020 IS HEREBY REVIEWED AND SET ASIDE.</w:t>
      </w:r>
    </w:p>
    <w:p w:rsidR="00B51019" w:rsidRPr="000D7782" w:rsidRDefault="00B51019" w:rsidP="00FE32B1">
      <w:pPr>
        <w:pStyle w:val="ListParagraph"/>
        <w:spacing w:line="360" w:lineRule="auto"/>
        <w:rPr>
          <w:rFonts w:ascii="Arial" w:hAnsi="Arial" w:cs="Arial"/>
          <w:color w:val="auto"/>
        </w:rPr>
      </w:pPr>
    </w:p>
    <w:p w:rsidR="00B51019" w:rsidRPr="000D7782" w:rsidRDefault="00691518" w:rsidP="00FE32B1">
      <w:pPr>
        <w:pStyle w:val="ListParagraph"/>
        <w:numPr>
          <w:ilvl w:val="0"/>
          <w:numId w:val="21"/>
        </w:numPr>
        <w:spacing w:line="360" w:lineRule="auto"/>
        <w:ind w:left="1701" w:hanging="850"/>
        <w:jc w:val="both"/>
        <w:rPr>
          <w:rFonts w:ascii="Arial" w:hAnsi="Arial" w:cs="Arial"/>
          <w:color w:val="auto"/>
        </w:rPr>
      </w:pPr>
      <w:r w:rsidRPr="000D7782">
        <w:rPr>
          <w:rFonts w:ascii="Arial" w:hAnsi="Arial" w:cs="Arial"/>
          <w:color w:val="auto"/>
        </w:rPr>
        <w:t>THE DECISION OF THE NATIONAL COMMISSIONER DATED 22 MAY 2023 IS HEREBY REVIEWED AND SET ASIDE.</w:t>
      </w:r>
    </w:p>
    <w:p w:rsidR="00B51019" w:rsidRPr="000D7782" w:rsidRDefault="00B51019" w:rsidP="00FE32B1">
      <w:pPr>
        <w:pStyle w:val="ListParagraph"/>
        <w:spacing w:line="360" w:lineRule="auto"/>
        <w:rPr>
          <w:rFonts w:ascii="Arial" w:hAnsi="Arial" w:cs="Arial"/>
          <w:color w:val="auto"/>
        </w:rPr>
      </w:pPr>
    </w:p>
    <w:p w:rsidR="00C9318E" w:rsidRPr="000D7782" w:rsidRDefault="00691518" w:rsidP="00FE32B1">
      <w:pPr>
        <w:pStyle w:val="ListParagraph"/>
        <w:numPr>
          <w:ilvl w:val="0"/>
          <w:numId w:val="21"/>
        </w:numPr>
        <w:spacing w:line="360" w:lineRule="auto"/>
        <w:ind w:left="1701" w:hanging="850"/>
        <w:jc w:val="both"/>
        <w:rPr>
          <w:rFonts w:ascii="Arial" w:hAnsi="Arial" w:cs="Arial"/>
          <w:color w:val="auto"/>
        </w:rPr>
      </w:pPr>
      <w:r w:rsidRPr="000D7782">
        <w:rPr>
          <w:rFonts w:ascii="Arial" w:hAnsi="Arial" w:cs="Arial"/>
          <w:color w:val="auto"/>
        </w:rPr>
        <w:t>THE APPLICANT’S APPLICATION FOR SPECIAL REMISSION OF SENTENCE FOR HIGHLY MERITORIOUS SERVICE IS HEREBY REMITTED TO THE UPINGTON CORRECTIONAL SUPERVISION AND PAROLE BOARD FOR A DECISION WITHIN A PERIOD OF TWENTY-ONE (21) DAYS OF THE DATE HEREOF.</w:t>
      </w:r>
    </w:p>
    <w:p w:rsidR="00C9318E" w:rsidRPr="000D7782" w:rsidRDefault="00C9318E" w:rsidP="00FE32B1">
      <w:pPr>
        <w:pStyle w:val="ListParagraph"/>
        <w:spacing w:line="360" w:lineRule="auto"/>
        <w:rPr>
          <w:rFonts w:ascii="Arial" w:hAnsi="Arial" w:cs="Arial"/>
          <w:color w:val="auto"/>
        </w:rPr>
      </w:pPr>
    </w:p>
    <w:p w:rsidR="008A4F38" w:rsidRPr="000D7782" w:rsidRDefault="00691518" w:rsidP="00FE32B1">
      <w:pPr>
        <w:pStyle w:val="ListParagraph"/>
        <w:numPr>
          <w:ilvl w:val="0"/>
          <w:numId w:val="21"/>
        </w:numPr>
        <w:spacing w:line="360" w:lineRule="auto"/>
        <w:ind w:left="1701" w:hanging="850"/>
        <w:jc w:val="both"/>
        <w:rPr>
          <w:rFonts w:ascii="Arial" w:hAnsi="Arial" w:cs="Arial"/>
          <w:b w:val="0"/>
          <w:color w:val="auto"/>
        </w:rPr>
      </w:pPr>
      <w:r w:rsidRPr="000D7782">
        <w:rPr>
          <w:rFonts w:ascii="Arial" w:hAnsi="Arial" w:cs="Arial"/>
          <w:color w:val="auto"/>
        </w:rPr>
        <w:t>THE DEPARTMENT IS HEREBY DIRECTED TO PAY THE COSTS OF THIS APPLICATION, INCLUDING THE COSTS OF TWO COUNSEL</w:t>
      </w:r>
      <w:r w:rsidR="004320CA">
        <w:rPr>
          <w:rFonts w:ascii="Arial" w:hAnsi="Arial" w:cs="Arial"/>
          <w:color w:val="auto"/>
        </w:rPr>
        <w:t xml:space="preserve">.  </w:t>
      </w:r>
      <w:r w:rsidRPr="000D7782">
        <w:rPr>
          <w:rFonts w:ascii="Arial" w:hAnsi="Arial" w:cs="Arial"/>
          <w:b w:val="0"/>
          <w:color w:val="auto"/>
        </w:rPr>
        <w:t xml:space="preserve"> </w:t>
      </w:r>
    </w:p>
    <w:p w:rsidR="008A4F38" w:rsidRPr="000D7782" w:rsidRDefault="008A4F38" w:rsidP="00187486">
      <w:pPr>
        <w:pStyle w:val="ListParagraph"/>
        <w:spacing w:line="360" w:lineRule="auto"/>
        <w:rPr>
          <w:rFonts w:ascii="Arial" w:hAnsi="Arial" w:cs="Arial"/>
          <w:b w:val="0"/>
          <w:color w:val="auto"/>
        </w:rPr>
      </w:pPr>
    </w:p>
    <w:p w:rsidR="008A4F38" w:rsidRPr="000D7782" w:rsidRDefault="00691518" w:rsidP="00187486">
      <w:pPr>
        <w:contextualSpacing/>
        <w:jc w:val="both"/>
        <w:rPr>
          <w:rFonts w:ascii="Arial" w:hAnsi="Arial" w:cs="Arial"/>
          <w:b w:val="0"/>
          <w:color w:val="auto"/>
        </w:rPr>
      </w:pPr>
      <w:r w:rsidRPr="000D7782">
        <w:rPr>
          <w:rFonts w:ascii="Arial" w:hAnsi="Arial" w:cs="Arial"/>
          <w:b w:val="0"/>
          <w:color w:val="auto"/>
        </w:rPr>
        <w:t xml:space="preserve"> </w:t>
      </w:r>
    </w:p>
    <w:p w:rsidR="00EC7D1F" w:rsidRPr="000D7782" w:rsidRDefault="00EC7D1F" w:rsidP="00187486">
      <w:pPr>
        <w:tabs>
          <w:tab w:val="right" w:pos="8931"/>
        </w:tabs>
        <w:ind w:left="4820"/>
        <w:contextualSpacing/>
        <w:jc w:val="both"/>
        <w:rPr>
          <w:rFonts w:ascii="Arial" w:hAnsi="Arial" w:cs="Arial"/>
          <w:b w:val="0"/>
          <w:color w:val="auto"/>
        </w:rPr>
      </w:pPr>
      <w:r w:rsidRPr="000D7782">
        <w:rPr>
          <w:rFonts w:ascii="Arial" w:hAnsi="Arial" w:cs="Arial"/>
          <w:b w:val="0"/>
          <w:color w:val="auto"/>
        </w:rPr>
        <w:t>___________</w:t>
      </w:r>
      <w:r w:rsidR="00187486">
        <w:rPr>
          <w:rFonts w:ascii="Arial" w:hAnsi="Arial" w:cs="Arial"/>
          <w:b w:val="0"/>
          <w:color w:val="auto"/>
        </w:rPr>
        <w:t>_________</w:t>
      </w:r>
      <w:r w:rsidRPr="000D7782">
        <w:rPr>
          <w:rFonts w:ascii="Arial" w:hAnsi="Arial" w:cs="Arial"/>
          <w:b w:val="0"/>
          <w:color w:val="auto"/>
        </w:rPr>
        <w:t>__________</w:t>
      </w:r>
    </w:p>
    <w:p w:rsidR="008F29FC" w:rsidRDefault="008F29FC" w:rsidP="00187486">
      <w:pPr>
        <w:tabs>
          <w:tab w:val="right" w:pos="8931"/>
        </w:tabs>
        <w:ind w:left="4820"/>
        <w:contextualSpacing/>
        <w:jc w:val="both"/>
        <w:rPr>
          <w:rFonts w:ascii="Arial" w:hAnsi="Arial" w:cs="Arial"/>
          <w:color w:val="auto"/>
        </w:rPr>
      </w:pPr>
    </w:p>
    <w:p w:rsidR="00EC7D1F" w:rsidRPr="000D7782" w:rsidRDefault="00EC7D1F" w:rsidP="00187486">
      <w:pPr>
        <w:tabs>
          <w:tab w:val="right" w:pos="8931"/>
        </w:tabs>
        <w:ind w:left="4820"/>
        <w:contextualSpacing/>
        <w:jc w:val="both"/>
        <w:rPr>
          <w:rFonts w:ascii="Arial" w:hAnsi="Arial" w:cs="Arial"/>
          <w:b w:val="0"/>
          <w:color w:val="auto"/>
        </w:rPr>
      </w:pPr>
      <w:r w:rsidRPr="000D7782">
        <w:rPr>
          <w:rFonts w:ascii="Arial" w:hAnsi="Arial" w:cs="Arial"/>
          <w:color w:val="auto"/>
        </w:rPr>
        <w:t>JUDGE APS NXUMALO</w:t>
      </w:r>
    </w:p>
    <w:p w:rsidR="00EC7D1F" w:rsidRPr="000D7782" w:rsidRDefault="00EC7D1F" w:rsidP="00187486">
      <w:pPr>
        <w:tabs>
          <w:tab w:val="right" w:pos="8931"/>
        </w:tabs>
        <w:ind w:left="4820"/>
        <w:contextualSpacing/>
        <w:jc w:val="both"/>
        <w:rPr>
          <w:rFonts w:ascii="Arial" w:hAnsi="Arial" w:cs="Arial"/>
          <w:b w:val="0"/>
          <w:color w:val="auto"/>
        </w:rPr>
      </w:pPr>
      <w:r w:rsidRPr="000D7782">
        <w:rPr>
          <w:rFonts w:ascii="Arial" w:hAnsi="Arial" w:cs="Arial"/>
          <w:b w:val="0"/>
          <w:color w:val="auto"/>
        </w:rPr>
        <w:t xml:space="preserve">HIGH COURT OF SOUTH AFRICA </w:t>
      </w:r>
    </w:p>
    <w:p w:rsidR="00EC7D1F" w:rsidRPr="000D7782" w:rsidRDefault="00EC7D1F" w:rsidP="00187486">
      <w:pPr>
        <w:tabs>
          <w:tab w:val="right" w:pos="8931"/>
        </w:tabs>
        <w:ind w:left="4820"/>
        <w:contextualSpacing/>
        <w:jc w:val="both"/>
        <w:rPr>
          <w:rFonts w:ascii="Arial" w:hAnsi="Arial" w:cs="Arial"/>
          <w:b w:val="0"/>
          <w:color w:val="auto"/>
        </w:rPr>
      </w:pPr>
      <w:r w:rsidRPr="000D7782">
        <w:rPr>
          <w:rFonts w:ascii="Arial" w:hAnsi="Arial" w:cs="Arial"/>
          <w:b w:val="0"/>
          <w:color w:val="auto"/>
        </w:rPr>
        <w:t>NORTHERN CAPE DIVISION</w:t>
      </w:r>
    </w:p>
    <w:p w:rsidR="00EC7D1F" w:rsidRDefault="00EC7D1F" w:rsidP="00187486">
      <w:pPr>
        <w:tabs>
          <w:tab w:val="right" w:pos="8931"/>
        </w:tabs>
        <w:ind w:left="4820"/>
        <w:contextualSpacing/>
        <w:jc w:val="both"/>
        <w:rPr>
          <w:rFonts w:ascii="Arial" w:hAnsi="Arial" w:cs="Arial"/>
          <w:b w:val="0"/>
          <w:color w:val="auto"/>
        </w:rPr>
      </w:pPr>
      <w:r w:rsidRPr="000D7782">
        <w:rPr>
          <w:rFonts w:ascii="Arial" w:hAnsi="Arial" w:cs="Arial"/>
          <w:b w:val="0"/>
          <w:color w:val="auto"/>
        </w:rPr>
        <w:t>KIMBERLEY</w:t>
      </w:r>
    </w:p>
    <w:p w:rsidR="008F29FC" w:rsidRPr="000D7782" w:rsidRDefault="008F29FC" w:rsidP="00187486">
      <w:pPr>
        <w:tabs>
          <w:tab w:val="right" w:pos="8931"/>
        </w:tabs>
        <w:ind w:left="4820"/>
        <w:contextualSpacing/>
        <w:jc w:val="both"/>
        <w:rPr>
          <w:rFonts w:ascii="Arial" w:hAnsi="Arial" w:cs="Arial"/>
          <w:b w:val="0"/>
          <w:color w:val="auto"/>
        </w:rPr>
      </w:pPr>
    </w:p>
    <w:p w:rsidR="00EC7D1F" w:rsidRPr="000D7782" w:rsidRDefault="00EC7D1F" w:rsidP="00187486">
      <w:pPr>
        <w:ind w:left="851" w:hanging="851"/>
        <w:contextualSpacing/>
        <w:jc w:val="both"/>
        <w:rPr>
          <w:rFonts w:ascii="Arial" w:hAnsi="Arial" w:cs="Arial"/>
          <w:b w:val="0"/>
          <w:color w:val="auto"/>
        </w:rPr>
      </w:pPr>
    </w:p>
    <w:tbl>
      <w:tblPr>
        <w:tblStyle w:val="TableGrid"/>
        <w:tblpPr w:leftFromText="118" w:rightFromText="118" w:vertAnchor="text" w:horzAnchor="margin" w:tblpX="-577" w:tblpY="2"/>
        <w:tblW w:w="102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9D9D9" w:themeFill="background1" w:themeFillShade="D9"/>
        <w:tblCellMar>
          <w:left w:w="71" w:type="dxa"/>
          <w:right w:w="71" w:type="dxa"/>
        </w:tblCellMar>
        <w:tblLook w:val="04A0" w:firstRow="1" w:lastRow="0" w:firstColumn="1" w:lastColumn="0" w:noHBand="0" w:noVBand="1"/>
      </w:tblPr>
      <w:tblGrid>
        <w:gridCol w:w="10206"/>
      </w:tblGrid>
      <w:tr w:rsidR="00EC7D1F" w:rsidRPr="000D7782" w:rsidTr="0032641F">
        <w:tc>
          <w:tcPr>
            <w:tcW w:w="10206" w:type="dxa"/>
            <w:shd w:val="clear" w:color="auto" w:fill="D9D9D9" w:themeFill="background1" w:themeFillShade="D9"/>
          </w:tcPr>
          <w:p w:rsidR="00EC7D1F" w:rsidRPr="000D7782" w:rsidRDefault="00EC7D1F" w:rsidP="0032641F">
            <w:pPr>
              <w:tabs>
                <w:tab w:val="left" w:pos="3894"/>
              </w:tabs>
              <w:spacing w:line="360" w:lineRule="auto"/>
              <w:contextualSpacing/>
              <w:jc w:val="both"/>
              <w:rPr>
                <w:rFonts w:ascii="Arial" w:hAnsi="Arial" w:cs="Arial"/>
                <w:color w:val="auto"/>
                <w:sz w:val="24"/>
                <w:szCs w:val="24"/>
              </w:rPr>
            </w:pPr>
          </w:p>
          <w:p w:rsidR="0032641F" w:rsidRDefault="00EC7D1F" w:rsidP="0032641F">
            <w:pPr>
              <w:tabs>
                <w:tab w:val="left" w:pos="3894"/>
              </w:tabs>
              <w:contextualSpacing/>
              <w:jc w:val="both"/>
              <w:rPr>
                <w:rFonts w:ascii="Arial" w:hAnsi="Arial" w:cs="Arial"/>
                <w:color w:val="auto"/>
                <w:sz w:val="24"/>
                <w:szCs w:val="24"/>
              </w:rPr>
            </w:pPr>
            <w:r w:rsidRPr="000D7782">
              <w:rPr>
                <w:rFonts w:ascii="Arial" w:hAnsi="Arial" w:cs="Arial"/>
                <w:b w:val="0"/>
                <w:color w:val="auto"/>
                <w:sz w:val="24"/>
                <w:szCs w:val="24"/>
              </w:rPr>
              <w:t>Counsel for the Appellant:</w:t>
            </w:r>
            <w:r w:rsidRPr="000D7782">
              <w:rPr>
                <w:rFonts w:ascii="Arial" w:hAnsi="Arial" w:cs="Arial"/>
                <w:color w:val="auto"/>
                <w:sz w:val="24"/>
                <w:szCs w:val="24"/>
              </w:rPr>
              <w:tab/>
              <w:t xml:space="preserve">ADV </w:t>
            </w:r>
            <w:r w:rsidR="004F3AF5" w:rsidRPr="000D7782">
              <w:rPr>
                <w:rFonts w:ascii="Arial" w:hAnsi="Arial" w:cs="Arial"/>
                <w:color w:val="auto"/>
                <w:sz w:val="24"/>
                <w:szCs w:val="24"/>
              </w:rPr>
              <w:t>NGCUKAITOBI SC</w:t>
            </w:r>
            <w:r w:rsidR="0032641F">
              <w:rPr>
                <w:rFonts w:ascii="Arial" w:hAnsi="Arial" w:cs="Arial"/>
                <w:color w:val="auto"/>
                <w:sz w:val="24"/>
                <w:szCs w:val="24"/>
              </w:rPr>
              <w:t xml:space="preserve"> </w:t>
            </w:r>
            <w:r w:rsidR="0032641F" w:rsidRPr="0032641F">
              <w:rPr>
                <w:rFonts w:ascii="Arial" w:hAnsi="Arial" w:cs="Arial"/>
                <w:b w:val="0"/>
                <w:color w:val="auto"/>
                <w:sz w:val="24"/>
                <w:szCs w:val="24"/>
              </w:rPr>
              <w:t>with</w:t>
            </w:r>
            <w:r w:rsidR="0032641F">
              <w:rPr>
                <w:rFonts w:ascii="Arial" w:hAnsi="Arial" w:cs="Arial"/>
                <w:color w:val="auto"/>
                <w:sz w:val="24"/>
                <w:szCs w:val="24"/>
              </w:rPr>
              <w:t xml:space="preserve"> A</w:t>
            </w:r>
            <w:r w:rsidR="00AD2E9B">
              <w:rPr>
                <w:rFonts w:ascii="Arial" w:hAnsi="Arial" w:cs="Arial"/>
                <w:color w:val="auto"/>
                <w:sz w:val="24"/>
                <w:szCs w:val="24"/>
              </w:rPr>
              <w:t>DV</w:t>
            </w:r>
            <w:r w:rsidR="0032641F">
              <w:rPr>
                <w:rFonts w:ascii="Arial" w:hAnsi="Arial" w:cs="Arial"/>
                <w:color w:val="auto"/>
                <w:sz w:val="24"/>
                <w:szCs w:val="24"/>
              </w:rPr>
              <w:t xml:space="preserve"> R NEL</w:t>
            </w:r>
            <w:r w:rsidR="00F35269">
              <w:rPr>
                <w:rFonts w:ascii="Arial" w:hAnsi="Arial" w:cs="Arial"/>
                <w:color w:val="auto"/>
                <w:sz w:val="24"/>
                <w:szCs w:val="24"/>
              </w:rPr>
              <w:t>W</w:t>
            </w:r>
            <w:r w:rsidR="0032641F">
              <w:rPr>
                <w:rFonts w:ascii="Arial" w:hAnsi="Arial" w:cs="Arial"/>
                <w:color w:val="auto"/>
                <w:sz w:val="24"/>
                <w:szCs w:val="24"/>
              </w:rPr>
              <w:t>AMONDO</w:t>
            </w:r>
          </w:p>
          <w:p w:rsidR="00EC7D1F" w:rsidRPr="00187486" w:rsidRDefault="00EC7D1F" w:rsidP="0032641F">
            <w:pPr>
              <w:tabs>
                <w:tab w:val="left" w:pos="3894"/>
              </w:tabs>
              <w:contextualSpacing/>
              <w:jc w:val="both"/>
              <w:rPr>
                <w:rFonts w:ascii="Arial" w:hAnsi="Arial" w:cs="Arial"/>
                <w:color w:val="auto"/>
                <w:sz w:val="20"/>
                <w:szCs w:val="20"/>
              </w:rPr>
            </w:pPr>
            <w:r w:rsidRPr="000D7782">
              <w:rPr>
                <w:rFonts w:ascii="Arial" w:hAnsi="Arial" w:cs="Arial"/>
                <w:b w:val="0"/>
                <w:color w:val="auto"/>
                <w:sz w:val="20"/>
                <w:szCs w:val="20"/>
              </w:rPr>
              <w:t>Instructed by:</w:t>
            </w:r>
            <w:r w:rsidRPr="000D7782">
              <w:rPr>
                <w:rFonts w:ascii="Arial" w:hAnsi="Arial" w:cs="Arial"/>
                <w:color w:val="auto"/>
                <w:sz w:val="20"/>
                <w:szCs w:val="20"/>
              </w:rPr>
              <w:tab/>
            </w:r>
            <w:r w:rsidR="00187486">
              <w:rPr>
                <w:rFonts w:ascii="Arial" w:hAnsi="Arial" w:cs="Arial"/>
                <w:color w:val="auto"/>
                <w:sz w:val="20"/>
                <w:szCs w:val="20"/>
              </w:rPr>
              <w:t xml:space="preserve">Becker Bergh &amp; More Inc. </w:t>
            </w:r>
            <w:r w:rsidR="00187486">
              <w:rPr>
                <w:rFonts w:ascii="Arial" w:hAnsi="Arial" w:cs="Arial"/>
                <w:b w:val="0"/>
                <w:color w:val="auto"/>
                <w:sz w:val="20"/>
                <w:szCs w:val="20"/>
              </w:rPr>
              <w:t xml:space="preserve">c/o </w:t>
            </w:r>
            <w:r w:rsidR="00187486">
              <w:rPr>
                <w:rFonts w:ascii="Arial" w:hAnsi="Arial" w:cs="Arial"/>
                <w:color w:val="auto"/>
                <w:sz w:val="20"/>
                <w:szCs w:val="20"/>
              </w:rPr>
              <w:t>Lulama Lobi Attorneys</w:t>
            </w:r>
          </w:p>
          <w:p w:rsidR="00EC7D1F" w:rsidRPr="000D7782" w:rsidRDefault="00EC7D1F" w:rsidP="0032641F">
            <w:pPr>
              <w:tabs>
                <w:tab w:val="left" w:pos="3894"/>
              </w:tabs>
              <w:contextualSpacing/>
              <w:jc w:val="both"/>
              <w:rPr>
                <w:rFonts w:ascii="Arial" w:hAnsi="Arial" w:cs="Arial"/>
                <w:b w:val="0"/>
                <w:color w:val="auto"/>
                <w:sz w:val="24"/>
                <w:szCs w:val="24"/>
              </w:rPr>
            </w:pPr>
          </w:p>
          <w:p w:rsidR="00EC7D1F" w:rsidRPr="000D7782" w:rsidRDefault="00EC7D1F" w:rsidP="0032641F">
            <w:pPr>
              <w:tabs>
                <w:tab w:val="left" w:pos="3894"/>
              </w:tabs>
              <w:contextualSpacing/>
              <w:jc w:val="both"/>
              <w:rPr>
                <w:rFonts w:ascii="Arial" w:hAnsi="Arial" w:cs="Arial"/>
                <w:color w:val="auto"/>
                <w:sz w:val="24"/>
                <w:szCs w:val="24"/>
              </w:rPr>
            </w:pPr>
            <w:r w:rsidRPr="000D7782">
              <w:rPr>
                <w:rFonts w:ascii="Arial" w:hAnsi="Arial" w:cs="Arial"/>
                <w:b w:val="0"/>
                <w:color w:val="auto"/>
                <w:sz w:val="24"/>
                <w:szCs w:val="24"/>
              </w:rPr>
              <w:t>Counsel for the Respondent:</w:t>
            </w:r>
            <w:r w:rsidRPr="000D7782">
              <w:rPr>
                <w:rFonts w:ascii="Arial" w:hAnsi="Arial" w:cs="Arial"/>
                <w:color w:val="auto"/>
                <w:sz w:val="24"/>
                <w:szCs w:val="24"/>
              </w:rPr>
              <w:tab/>
              <w:t>ADV MAPONYA</w:t>
            </w:r>
          </w:p>
          <w:p w:rsidR="00EC7D1F" w:rsidRPr="000D7782" w:rsidRDefault="00EC7D1F" w:rsidP="0032641F">
            <w:pPr>
              <w:tabs>
                <w:tab w:val="left" w:pos="3894"/>
              </w:tabs>
              <w:contextualSpacing/>
              <w:jc w:val="both"/>
              <w:rPr>
                <w:rFonts w:ascii="Arial" w:hAnsi="Arial" w:cs="Arial"/>
                <w:b w:val="0"/>
                <w:color w:val="auto"/>
                <w:sz w:val="20"/>
                <w:szCs w:val="20"/>
              </w:rPr>
            </w:pPr>
            <w:r w:rsidRPr="000D7782">
              <w:rPr>
                <w:rFonts w:ascii="Arial" w:hAnsi="Arial" w:cs="Arial"/>
                <w:b w:val="0"/>
                <w:color w:val="auto"/>
                <w:sz w:val="20"/>
                <w:szCs w:val="20"/>
              </w:rPr>
              <w:t>Instructed by:</w:t>
            </w:r>
            <w:r w:rsidRPr="000D7782">
              <w:rPr>
                <w:rFonts w:ascii="Arial" w:hAnsi="Arial" w:cs="Arial"/>
                <w:color w:val="auto"/>
                <w:sz w:val="20"/>
                <w:szCs w:val="20"/>
              </w:rPr>
              <w:tab/>
              <w:t>Office of the State Attorney</w:t>
            </w:r>
          </w:p>
          <w:p w:rsidR="00EC7D1F" w:rsidRPr="000D7782" w:rsidRDefault="00EC7D1F" w:rsidP="0032641F">
            <w:pPr>
              <w:tabs>
                <w:tab w:val="left" w:pos="3894"/>
              </w:tabs>
              <w:spacing w:line="360" w:lineRule="auto"/>
              <w:contextualSpacing/>
              <w:jc w:val="both"/>
              <w:rPr>
                <w:rFonts w:ascii="Arial" w:hAnsi="Arial" w:cs="Arial"/>
                <w:b w:val="0"/>
                <w:color w:val="auto"/>
                <w:sz w:val="24"/>
                <w:szCs w:val="24"/>
              </w:rPr>
            </w:pPr>
          </w:p>
        </w:tc>
      </w:tr>
    </w:tbl>
    <w:p w:rsidR="005B428E" w:rsidRDefault="005B428E" w:rsidP="00502FD0">
      <w:pPr>
        <w:spacing w:line="360" w:lineRule="auto"/>
        <w:contextualSpacing/>
        <w:jc w:val="both"/>
        <w:rPr>
          <w:rFonts w:ascii="Arial" w:hAnsi="Arial" w:cs="Arial"/>
          <w:color w:val="auto"/>
        </w:rPr>
      </w:pPr>
    </w:p>
    <w:tbl>
      <w:tblPr>
        <w:tblStyle w:val="TableGrid"/>
        <w:tblpPr w:leftFromText="180" w:rightFromText="180" w:vertAnchor="text" w:horzAnchor="page" w:tblpX="871" w:tblpY="489"/>
        <w:tblW w:w="0" w:type="auto"/>
        <w:tblLook w:val="04A0" w:firstRow="1" w:lastRow="0" w:firstColumn="1" w:lastColumn="0" w:noHBand="0" w:noVBand="1"/>
      </w:tblPr>
      <w:tblGrid>
        <w:gridCol w:w="2727"/>
      </w:tblGrid>
      <w:tr w:rsidR="007D3265" w:rsidTr="007D3265">
        <w:tc>
          <w:tcPr>
            <w:tcW w:w="2727" w:type="dxa"/>
          </w:tcPr>
          <w:p w:rsidR="007D3265" w:rsidRPr="00F35269" w:rsidRDefault="007D3265" w:rsidP="007D3265">
            <w:pPr>
              <w:tabs>
                <w:tab w:val="right" w:pos="3151"/>
              </w:tabs>
              <w:contextualSpacing/>
              <w:jc w:val="both"/>
              <w:rPr>
                <w:rFonts w:ascii="Franklin Gothic Book" w:hAnsi="Franklin Gothic Book" w:cs="Arial"/>
                <w:b w:val="0"/>
                <w:color w:val="auto"/>
              </w:rPr>
            </w:pPr>
            <w:r w:rsidRPr="00F35269">
              <w:rPr>
                <w:rFonts w:ascii="Franklin Gothic Book" w:hAnsi="Franklin Gothic Book" w:cs="Arial"/>
                <w:b w:val="0"/>
                <w:color w:val="auto"/>
              </w:rPr>
              <w:t>Edited:</w:t>
            </w:r>
            <w:r w:rsidRPr="00F35269">
              <w:rPr>
                <w:rFonts w:ascii="Franklin Gothic Book" w:hAnsi="Franklin Gothic Book" w:cs="Arial"/>
                <w:b w:val="0"/>
                <w:color w:val="auto"/>
              </w:rPr>
              <w:tab/>
            </w:r>
            <w:r w:rsidRPr="00F35269">
              <w:rPr>
                <w:rFonts w:ascii="Franklin Gothic Book" w:hAnsi="Franklin Gothic Book" w:cs="Arial"/>
                <w:i/>
                <w:color w:val="auto"/>
                <w:u w:val="single"/>
              </w:rPr>
              <w:t>YES</w:t>
            </w:r>
            <w:r w:rsidRPr="00F35269">
              <w:rPr>
                <w:rFonts w:ascii="Franklin Gothic Book" w:hAnsi="Franklin Gothic Book" w:cs="Arial"/>
                <w:b w:val="0"/>
                <w:color w:val="auto"/>
              </w:rPr>
              <w:t>/NO</w:t>
            </w:r>
          </w:p>
          <w:p w:rsidR="007D3265" w:rsidRPr="00F35269" w:rsidRDefault="007D3265" w:rsidP="007D3265">
            <w:pPr>
              <w:tabs>
                <w:tab w:val="right" w:pos="3151"/>
              </w:tabs>
              <w:contextualSpacing/>
              <w:jc w:val="both"/>
              <w:rPr>
                <w:rFonts w:ascii="Franklin Gothic Book" w:hAnsi="Franklin Gothic Book" w:cs="Arial"/>
                <w:b w:val="0"/>
                <w:color w:val="auto"/>
              </w:rPr>
            </w:pPr>
            <w:r w:rsidRPr="00F35269">
              <w:rPr>
                <w:rFonts w:ascii="Franklin Gothic Book" w:hAnsi="Franklin Gothic Book" w:cs="Arial"/>
                <w:b w:val="0"/>
                <w:color w:val="auto"/>
              </w:rPr>
              <w:t>Rev</w:t>
            </w:r>
            <w:bookmarkStart w:id="0" w:name="_GoBack"/>
            <w:bookmarkEnd w:id="0"/>
            <w:r w:rsidRPr="00F35269">
              <w:rPr>
                <w:rFonts w:ascii="Franklin Gothic Book" w:hAnsi="Franklin Gothic Book" w:cs="Arial"/>
                <w:b w:val="0"/>
                <w:color w:val="auto"/>
              </w:rPr>
              <w:t>ised:</w:t>
            </w:r>
            <w:r w:rsidRPr="00F35269">
              <w:rPr>
                <w:rFonts w:ascii="Franklin Gothic Book" w:hAnsi="Franklin Gothic Book" w:cs="Arial"/>
                <w:b w:val="0"/>
                <w:color w:val="auto"/>
              </w:rPr>
              <w:tab/>
            </w:r>
            <w:r w:rsidRPr="00F35269">
              <w:rPr>
                <w:rFonts w:ascii="Franklin Gothic Book" w:hAnsi="Franklin Gothic Book" w:cs="Arial"/>
                <w:i/>
                <w:color w:val="auto"/>
                <w:u w:val="single"/>
              </w:rPr>
              <w:t>YES</w:t>
            </w:r>
            <w:r w:rsidRPr="00F35269">
              <w:rPr>
                <w:rFonts w:ascii="Franklin Gothic Book" w:hAnsi="Franklin Gothic Book" w:cs="Arial"/>
                <w:b w:val="0"/>
                <w:color w:val="auto"/>
              </w:rPr>
              <w:t>/NO</w:t>
            </w:r>
          </w:p>
          <w:p w:rsidR="007D3265" w:rsidRPr="00F35269" w:rsidRDefault="007D3265" w:rsidP="007D3265">
            <w:pPr>
              <w:tabs>
                <w:tab w:val="right" w:pos="3151"/>
              </w:tabs>
              <w:contextualSpacing/>
              <w:jc w:val="both"/>
              <w:rPr>
                <w:rFonts w:ascii="Franklin Gothic Book" w:hAnsi="Franklin Gothic Book" w:cs="Arial"/>
                <w:b w:val="0"/>
                <w:color w:val="auto"/>
              </w:rPr>
            </w:pPr>
            <w:r w:rsidRPr="00F35269">
              <w:rPr>
                <w:rFonts w:ascii="Franklin Gothic Book" w:hAnsi="Franklin Gothic Book" w:cs="Arial"/>
                <w:b w:val="0"/>
                <w:color w:val="auto"/>
              </w:rPr>
              <w:t>Checked:</w:t>
            </w:r>
            <w:r w:rsidRPr="00F35269">
              <w:rPr>
                <w:rFonts w:ascii="Franklin Gothic Book" w:hAnsi="Franklin Gothic Book" w:cs="Arial"/>
                <w:b w:val="0"/>
                <w:color w:val="auto"/>
              </w:rPr>
              <w:tab/>
            </w:r>
            <w:r w:rsidRPr="00F35269">
              <w:rPr>
                <w:rFonts w:ascii="Franklin Gothic Book" w:hAnsi="Franklin Gothic Book" w:cs="Arial"/>
                <w:i/>
                <w:color w:val="auto"/>
                <w:u w:val="single"/>
              </w:rPr>
              <w:t>YES</w:t>
            </w:r>
            <w:r w:rsidRPr="00F35269">
              <w:rPr>
                <w:rFonts w:ascii="Franklin Gothic Book" w:hAnsi="Franklin Gothic Book" w:cs="Arial"/>
                <w:b w:val="0"/>
                <w:color w:val="auto"/>
              </w:rPr>
              <w:t>/NO</w:t>
            </w:r>
          </w:p>
        </w:tc>
      </w:tr>
    </w:tbl>
    <w:p w:rsidR="00502FD0" w:rsidRPr="000D7782" w:rsidRDefault="00502FD0" w:rsidP="00502FD0">
      <w:pPr>
        <w:spacing w:line="360" w:lineRule="auto"/>
        <w:contextualSpacing/>
        <w:jc w:val="both"/>
        <w:rPr>
          <w:rFonts w:ascii="Arial" w:hAnsi="Arial" w:cs="Arial"/>
          <w:color w:val="auto"/>
        </w:rPr>
      </w:pPr>
    </w:p>
    <w:sectPr w:rsidR="00502FD0" w:rsidRPr="000D7782" w:rsidSect="00025862">
      <w:footerReference w:type="default" r:id="rId10"/>
      <w:pgSz w:w="11906" w:h="16838"/>
      <w:pgMar w:top="1440" w:right="1440" w:bottom="1440" w:left="1440" w:header="708" w:footer="45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908" w:rsidRDefault="00BD5908" w:rsidP="009A2077">
      <w:r>
        <w:separator/>
      </w:r>
    </w:p>
  </w:endnote>
  <w:endnote w:type="continuationSeparator" w:id="0">
    <w:p w:rsidR="00BD5908" w:rsidRDefault="00BD5908" w:rsidP="009A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val="0"/>
        <w:color w:val="auto"/>
        <w:sz w:val="20"/>
        <w:szCs w:val="20"/>
      </w:rPr>
      <w:id w:val="261969653"/>
      <w:docPartObj>
        <w:docPartGallery w:val="Page Numbers (Bottom of Page)"/>
        <w:docPartUnique/>
      </w:docPartObj>
    </w:sdtPr>
    <w:sdtEndPr>
      <w:rPr>
        <w:noProof/>
      </w:rPr>
    </w:sdtEndPr>
    <w:sdtContent>
      <w:p w:rsidR="00567285" w:rsidRPr="00884096" w:rsidRDefault="00567285" w:rsidP="00D430E8">
        <w:pPr>
          <w:pStyle w:val="Footer"/>
          <w:jc w:val="right"/>
          <w:rPr>
            <w:rFonts w:ascii="Arial" w:hAnsi="Arial" w:cs="Arial"/>
            <w:b w:val="0"/>
            <w:color w:val="auto"/>
            <w:sz w:val="20"/>
            <w:szCs w:val="20"/>
          </w:rPr>
        </w:pPr>
        <w:r w:rsidRPr="00884096">
          <w:rPr>
            <w:rFonts w:ascii="Arial" w:hAnsi="Arial" w:cs="Arial"/>
            <w:b w:val="0"/>
            <w:color w:val="auto"/>
            <w:sz w:val="20"/>
            <w:szCs w:val="20"/>
          </w:rPr>
          <w:t xml:space="preserve">Page </w:t>
        </w:r>
        <w:r w:rsidRPr="00884096">
          <w:rPr>
            <w:rFonts w:ascii="Arial" w:hAnsi="Arial" w:cs="Arial"/>
            <w:b w:val="0"/>
            <w:color w:val="auto"/>
            <w:sz w:val="20"/>
            <w:szCs w:val="20"/>
          </w:rPr>
          <w:fldChar w:fldCharType="begin"/>
        </w:r>
        <w:r w:rsidRPr="00884096">
          <w:rPr>
            <w:rFonts w:ascii="Arial" w:hAnsi="Arial" w:cs="Arial"/>
            <w:b w:val="0"/>
            <w:color w:val="auto"/>
            <w:sz w:val="20"/>
            <w:szCs w:val="20"/>
          </w:rPr>
          <w:instrText xml:space="preserve"> PAGE   \* MERGEFORMAT </w:instrText>
        </w:r>
        <w:r w:rsidRPr="00884096">
          <w:rPr>
            <w:rFonts w:ascii="Arial" w:hAnsi="Arial" w:cs="Arial"/>
            <w:b w:val="0"/>
            <w:color w:val="auto"/>
            <w:sz w:val="20"/>
            <w:szCs w:val="20"/>
          </w:rPr>
          <w:fldChar w:fldCharType="separate"/>
        </w:r>
        <w:r w:rsidR="007D3265">
          <w:rPr>
            <w:rFonts w:ascii="Arial" w:hAnsi="Arial" w:cs="Arial"/>
            <w:b w:val="0"/>
            <w:noProof/>
            <w:color w:val="auto"/>
            <w:sz w:val="20"/>
            <w:szCs w:val="20"/>
          </w:rPr>
          <w:t>40</w:t>
        </w:r>
        <w:r w:rsidRPr="00884096">
          <w:rPr>
            <w:rFonts w:ascii="Arial" w:hAnsi="Arial" w:cs="Arial"/>
            <w:b w:val="0"/>
            <w:noProof/>
            <w:color w:val="auto"/>
            <w:sz w:val="20"/>
            <w:szCs w:val="20"/>
          </w:rPr>
          <w:fldChar w:fldCharType="end"/>
        </w:r>
      </w:p>
    </w:sdtContent>
  </w:sdt>
  <w:p w:rsidR="00567285" w:rsidRPr="005C2AA6" w:rsidRDefault="00567285" w:rsidP="00D430E8">
    <w:pPr>
      <w:pStyle w:val="Footer"/>
      <w:rPr>
        <w:rFonts w:ascii="Times New Roman" w:hAnsi="Times New Roman"/>
        <w:b w:val="0"/>
        <w:color w:val="aut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908" w:rsidRDefault="00BD5908" w:rsidP="009A2077">
      <w:r>
        <w:separator/>
      </w:r>
    </w:p>
  </w:footnote>
  <w:footnote w:type="continuationSeparator" w:id="0">
    <w:p w:rsidR="00BD5908" w:rsidRDefault="00BD5908" w:rsidP="009A2077">
      <w:r>
        <w:continuationSeparator/>
      </w:r>
    </w:p>
  </w:footnote>
  <w:footnote w:id="1">
    <w:p w:rsidR="00567285" w:rsidRPr="0010392A" w:rsidRDefault="00567285" w:rsidP="0010392A">
      <w:pPr>
        <w:pStyle w:val="FootnoteText"/>
        <w:rPr>
          <w:rFonts w:ascii="Times New Roman" w:hAnsi="Times New Roman"/>
          <w:b w:val="0"/>
          <w:color w:val="auto"/>
        </w:rPr>
      </w:pPr>
      <w:r w:rsidRPr="0010392A">
        <w:rPr>
          <w:rStyle w:val="FootnoteReference"/>
          <w:rFonts w:ascii="Times New Roman" w:hAnsi="Times New Roman"/>
          <w:b w:val="0"/>
          <w:color w:val="auto"/>
        </w:rPr>
        <w:footnoteRef/>
      </w:r>
      <w:r w:rsidRPr="0010392A">
        <w:rPr>
          <w:rFonts w:ascii="Times New Roman" w:hAnsi="Times New Roman"/>
          <w:b w:val="0"/>
          <w:color w:val="auto"/>
        </w:rPr>
        <w:t xml:space="preserve"> Hereinafter r</w:t>
      </w:r>
      <w:r>
        <w:rPr>
          <w:rFonts w:ascii="Times New Roman" w:hAnsi="Times New Roman"/>
          <w:b w:val="0"/>
          <w:color w:val="auto"/>
        </w:rPr>
        <w:t>eferred to as “</w:t>
      </w:r>
      <w:r w:rsidRPr="00884096">
        <w:rPr>
          <w:rFonts w:ascii="Times New Roman" w:hAnsi="Times New Roman"/>
          <w:i/>
          <w:color w:val="auto"/>
        </w:rPr>
        <w:t>the Parole Board</w:t>
      </w:r>
      <w:r w:rsidRPr="0010392A">
        <w:rPr>
          <w:rFonts w:ascii="Times New Roman" w:hAnsi="Times New Roman"/>
          <w:b w:val="0"/>
          <w:color w:val="auto"/>
        </w:rPr>
        <w:t>”</w:t>
      </w:r>
    </w:p>
  </w:footnote>
  <w:footnote w:id="2">
    <w:p w:rsidR="00567285" w:rsidRPr="0010392A" w:rsidRDefault="00567285" w:rsidP="0010392A">
      <w:pPr>
        <w:pStyle w:val="FootnoteText"/>
        <w:rPr>
          <w:rStyle w:val="FootnoteReference"/>
          <w:rFonts w:ascii="Times New Roman" w:hAnsi="Times New Roman"/>
          <w:b w:val="0"/>
          <w:color w:val="auto"/>
        </w:rPr>
      </w:pPr>
      <w:r w:rsidRPr="0010392A">
        <w:rPr>
          <w:rStyle w:val="FootnoteReference"/>
          <w:rFonts w:ascii="Times New Roman" w:hAnsi="Times New Roman"/>
          <w:b w:val="0"/>
          <w:color w:val="auto"/>
        </w:rPr>
        <w:footnoteRef/>
      </w:r>
      <w:r w:rsidRPr="0010392A">
        <w:rPr>
          <w:rFonts w:ascii="Times New Roman" w:hAnsi="Times New Roman"/>
          <w:b w:val="0"/>
          <w:color w:val="auto"/>
        </w:rPr>
        <w:t xml:space="preserve"> Here</w:t>
      </w:r>
      <w:r>
        <w:rPr>
          <w:rFonts w:ascii="Times New Roman" w:hAnsi="Times New Roman"/>
          <w:b w:val="0"/>
          <w:color w:val="auto"/>
        </w:rPr>
        <w:t>inafter referred to as “</w:t>
      </w:r>
      <w:r w:rsidRPr="00884096">
        <w:rPr>
          <w:rFonts w:ascii="Times New Roman" w:hAnsi="Times New Roman"/>
          <w:i/>
          <w:color w:val="auto"/>
        </w:rPr>
        <w:t>the Act</w:t>
      </w:r>
      <w:r w:rsidRPr="0010392A">
        <w:rPr>
          <w:rFonts w:ascii="Times New Roman" w:hAnsi="Times New Roman"/>
          <w:b w:val="0"/>
          <w:color w:val="auto"/>
        </w:rPr>
        <w:t>”</w:t>
      </w:r>
      <w:r w:rsidRPr="0010392A">
        <w:rPr>
          <w:rStyle w:val="FootnoteReference"/>
          <w:rFonts w:ascii="Times New Roman" w:hAnsi="Times New Roman"/>
          <w:b w:val="0"/>
          <w:color w:val="auto"/>
        </w:rPr>
        <w:t xml:space="preserve"> </w:t>
      </w:r>
    </w:p>
  </w:footnote>
  <w:footnote w:id="3">
    <w:p w:rsidR="00567285" w:rsidRPr="0010392A" w:rsidRDefault="00567285" w:rsidP="0010392A">
      <w:pPr>
        <w:pStyle w:val="FootnoteText"/>
        <w:rPr>
          <w:rFonts w:ascii="Times New Roman" w:hAnsi="Times New Roman"/>
          <w:b w:val="0"/>
          <w:color w:val="auto"/>
        </w:rPr>
      </w:pPr>
      <w:r w:rsidRPr="0010392A">
        <w:rPr>
          <w:rStyle w:val="FootnoteReference"/>
          <w:rFonts w:ascii="Times New Roman" w:hAnsi="Times New Roman"/>
          <w:b w:val="0"/>
          <w:color w:val="auto"/>
        </w:rPr>
        <w:footnoteRef/>
      </w:r>
      <w:r w:rsidRPr="0010392A">
        <w:rPr>
          <w:rFonts w:ascii="Times New Roman" w:hAnsi="Times New Roman"/>
          <w:b w:val="0"/>
          <w:color w:val="auto"/>
        </w:rPr>
        <w:t xml:space="preserve"> Section 75(1)(a) of the Act, expressly stipulates as follows:</w:t>
      </w:r>
    </w:p>
    <w:p w:rsidR="00567285" w:rsidRPr="00884096" w:rsidRDefault="00567285" w:rsidP="0010392A">
      <w:pPr>
        <w:pStyle w:val="FootnoteText"/>
        <w:rPr>
          <w:rFonts w:ascii="Times New Roman" w:hAnsi="Times New Roman"/>
          <w:b w:val="0"/>
          <w:i/>
          <w:color w:val="auto"/>
        </w:rPr>
      </w:pPr>
      <w:r w:rsidRPr="00884096">
        <w:rPr>
          <w:rFonts w:ascii="Times New Roman" w:hAnsi="Times New Roman"/>
          <w:b w:val="0"/>
          <w:i/>
          <w:color w:val="auto"/>
        </w:rPr>
        <w:t xml:space="preserve">“(1) A Correctional Supervision and Parole Board, having considered the report on any sentenced offender serving a determinate sentence of more than 24 months submitted to it by the Case Management Committee in terms of </w:t>
      </w:r>
      <w:r>
        <w:rPr>
          <w:rFonts w:ascii="Times New Roman" w:hAnsi="Times New Roman"/>
          <w:b w:val="0"/>
          <w:i/>
          <w:color w:val="auto"/>
        </w:rPr>
        <w:t>Section</w:t>
      </w:r>
      <w:r w:rsidRPr="00884096">
        <w:rPr>
          <w:rFonts w:ascii="Times New Roman" w:hAnsi="Times New Roman"/>
          <w:b w:val="0"/>
          <w:i/>
          <w:color w:val="auto"/>
        </w:rPr>
        <w:t xml:space="preserve"> 42 and in light of the any other information or argument, may – </w:t>
      </w:r>
    </w:p>
    <w:p w:rsidR="00567285" w:rsidRPr="0010392A" w:rsidRDefault="00567285" w:rsidP="0010392A">
      <w:pPr>
        <w:pStyle w:val="FootnoteText"/>
        <w:rPr>
          <w:rFonts w:ascii="Times New Roman" w:hAnsi="Times New Roman"/>
          <w:b w:val="0"/>
          <w:color w:val="auto"/>
        </w:rPr>
      </w:pPr>
      <w:r w:rsidRPr="00884096">
        <w:rPr>
          <w:rFonts w:ascii="Times New Roman" w:hAnsi="Times New Roman"/>
          <w:b w:val="0"/>
          <w:i/>
          <w:color w:val="auto"/>
        </w:rPr>
        <w:t xml:space="preserve">(a) Subject to the provision of paragraph (b) and (c) subsection (1A) place a sentenced offender under correctional supervision or day parole or grant parole or medical parole and, subject to the provisions of </w:t>
      </w:r>
      <w:r>
        <w:rPr>
          <w:rFonts w:ascii="Times New Roman" w:hAnsi="Times New Roman"/>
          <w:b w:val="0"/>
          <w:i/>
          <w:color w:val="auto"/>
        </w:rPr>
        <w:t>Section</w:t>
      </w:r>
      <w:r w:rsidRPr="00884096">
        <w:rPr>
          <w:rFonts w:ascii="Times New Roman" w:hAnsi="Times New Roman"/>
          <w:b w:val="0"/>
          <w:i/>
          <w:color w:val="auto"/>
        </w:rPr>
        <w:t xml:space="preserve"> 52, set the conditions of community corrections imposed on the sentenced offender.</w:t>
      </w:r>
      <w:r>
        <w:rPr>
          <w:rFonts w:ascii="Times New Roman" w:hAnsi="Times New Roman"/>
          <w:b w:val="0"/>
          <w:color w:val="auto"/>
        </w:rPr>
        <w:t>”</w:t>
      </w:r>
      <w:r w:rsidRPr="00884096">
        <w:rPr>
          <w:rFonts w:ascii="Times New Roman" w:hAnsi="Times New Roman"/>
          <w:b w:val="0"/>
          <w:i/>
          <w:color w:val="auto"/>
        </w:rPr>
        <w:t xml:space="preserve"> </w:t>
      </w:r>
      <w:r w:rsidRPr="0010392A">
        <w:rPr>
          <w:rFonts w:ascii="Times New Roman" w:hAnsi="Times New Roman"/>
          <w:b w:val="0"/>
          <w:color w:val="auto"/>
        </w:rPr>
        <w:t xml:space="preserve">   </w:t>
      </w:r>
    </w:p>
  </w:footnote>
  <w:footnote w:id="4">
    <w:p w:rsidR="00567285" w:rsidRPr="0010392A" w:rsidRDefault="00567285" w:rsidP="0010392A">
      <w:pPr>
        <w:pStyle w:val="Level1"/>
        <w:numPr>
          <w:ilvl w:val="0"/>
          <w:numId w:val="0"/>
        </w:numPr>
        <w:jc w:val="both"/>
        <w:rPr>
          <w:rFonts w:ascii="Times New Roman" w:hAnsi="Times New Roman"/>
          <w:b w:val="0"/>
          <w:color w:val="auto"/>
          <w:sz w:val="20"/>
          <w:szCs w:val="20"/>
        </w:rPr>
      </w:pPr>
      <w:r w:rsidRPr="0010392A">
        <w:rPr>
          <w:rStyle w:val="FootnoteReference"/>
          <w:rFonts w:ascii="Times New Roman" w:hAnsi="Times New Roman"/>
          <w:b w:val="0"/>
          <w:color w:val="auto"/>
          <w:sz w:val="20"/>
          <w:szCs w:val="20"/>
        </w:rPr>
        <w:footnoteRef/>
      </w:r>
      <w:r w:rsidRPr="0010392A">
        <w:rPr>
          <w:rFonts w:ascii="Times New Roman" w:hAnsi="Times New Roman"/>
          <w:b w:val="0"/>
          <w:color w:val="auto"/>
          <w:sz w:val="20"/>
          <w:szCs w:val="20"/>
        </w:rPr>
        <w:t xml:space="preserve">  Rule 53(5)(b), which expressly requir</w:t>
      </w:r>
      <w:r>
        <w:rPr>
          <w:rFonts w:ascii="Times New Roman" w:hAnsi="Times New Roman"/>
          <w:b w:val="0"/>
          <w:color w:val="auto"/>
          <w:sz w:val="20"/>
          <w:szCs w:val="20"/>
        </w:rPr>
        <w:t>es a presiding officer, chairperson</w:t>
      </w:r>
      <w:r w:rsidRPr="0010392A">
        <w:rPr>
          <w:rFonts w:ascii="Times New Roman" w:hAnsi="Times New Roman"/>
          <w:b w:val="0"/>
          <w:color w:val="auto"/>
          <w:sz w:val="20"/>
          <w:szCs w:val="20"/>
        </w:rPr>
        <w:t xml:space="preserve"> or officer, within 30 days after the expiry</w:t>
      </w:r>
      <w:r w:rsidR="00F35269">
        <w:rPr>
          <w:rFonts w:ascii="Times New Roman" w:hAnsi="Times New Roman"/>
          <w:b w:val="0"/>
          <w:color w:val="auto"/>
          <w:sz w:val="20"/>
          <w:szCs w:val="20"/>
        </w:rPr>
        <w:t xml:space="preserve"> of the time referred to in sub</w:t>
      </w:r>
      <w:r w:rsidRPr="0010392A">
        <w:rPr>
          <w:rFonts w:ascii="Times New Roman" w:hAnsi="Times New Roman"/>
          <w:b w:val="0"/>
          <w:color w:val="auto"/>
          <w:sz w:val="20"/>
          <w:szCs w:val="20"/>
        </w:rPr>
        <w:t>rule (4) hereof, deliver any affidavits he may desire in answer to the allegations made by the applicant</w:t>
      </w:r>
      <w:r>
        <w:rPr>
          <w:rFonts w:ascii="Times New Roman" w:hAnsi="Times New Roman"/>
          <w:b w:val="0"/>
          <w:color w:val="auto"/>
          <w:sz w:val="20"/>
          <w:szCs w:val="20"/>
        </w:rPr>
        <w:t xml:space="preserve">.  </w:t>
      </w:r>
    </w:p>
    <w:p w:rsidR="00567285" w:rsidRPr="0010392A" w:rsidRDefault="00567285" w:rsidP="0010392A">
      <w:pPr>
        <w:pStyle w:val="FootnoteText"/>
        <w:rPr>
          <w:rFonts w:ascii="Times New Roman" w:hAnsi="Times New Roman"/>
          <w:color w:val="auto"/>
        </w:rPr>
      </w:pPr>
    </w:p>
  </w:footnote>
  <w:footnote w:id="5">
    <w:p w:rsidR="00567285" w:rsidRPr="0010392A" w:rsidRDefault="00567285" w:rsidP="0010392A">
      <w:pPr>
        <w:pStyle w:val="FootnoteText"/>
        <w:rPr>
          <w:rFonts w:ascii="Times New Roman" w:hAnsi="Times New Roman"/>
          <w:b w:val="0"/>
          <w:color w:val="auto"/>
        </w:rPr>
      </w:pPr>
      <w:r w:rsidRPr="0010392A">
        <w:rPr>
          <w:rStyle w:val="FootnoteReference"/>
          <w:rFonts w:ascii="Times New Roman" w:hAnsi="Times New Roman"/>
          <w:color w:val="auto"/>
        </w:rPr>
        <w:footnoteRef/>
      </w:r>
      <w:r w:rsidRPr="0010392A">
        <w:rPr>
          <w:rFonts w:ascii="Times New Roman" w:hAnsi="Times New Roman"/>
          <w:color w:val="auto"/>
        </w:rPr>
        <w:t xml:space="preserve"> </w:t>
      </w:r>
      <w:r w:rsidRPr="0010392A">
        <w:rPr>
          <w:rFonts w:ascii="Times New Roman" w:hAnsi="Times New Roman"/>
          <w:b w:val="0"/>
          <w:color w:val="auto"/>
        </w:rPr>
        <w:t>The said heads are however dated 04 June 2023</w:t>
      </w:r>
      <w:r>
        <w:rPr>
          <w:rFonts w:ascii="Times New Roman" w:hAnsi="Times New Roman"/>
          <w:b w:val="0"/>
          <w:color w:val="auto"/>
        </w:rPr>
        <w:t xml:space="preserve">.  </w:t>
      </w:r>
    </w:p>
  </w:footnote>
  <w:footnote w:id="6">
    <w:p w:rsidR="00567285" w:rsidRPr="00633826" w:rsidRDefault="00567285" w:rsidP="00884096">
      <w:pPr>
        <w:pStyle w:val="FootnoteText"/>
        <w:contextualSpacing/>
        <w:rPr>
          <w:rFonts w:ascii="Times New Roman" w:hAnsi="Times New Roman"/>
          <w:b w:val="0"/>
          <w:color w:val="auto"/>
        </w:rPr>
      </w:pPr>
      <w:r w:rsidRPr="0010392A">
        <w:rPr>
          <w:rStyle w:val="FootnoteReference"/>
          <w:rFonts w:ascii="Times New Roman" w:hAnsi="Times New Roman"/>
          <w:b w:val="0"/>
          <w:color w:val="auto"/>
        </w:rPr>
        <w:footnoteRef/>
      </w:r>
      <w:r w:rsidRPr="0010392A">
        <w:rPr>
          <w:rFonts w:ascii="Times New Roman" w:hAnsi="Times New Roman"/>
          <w:b w:val="0"/>
          <w:color w:val="auto"/>
        </w:rPr>
        <w:t xml:space="preserve"> </w:t>
      </w:r>
      <w:proofErr w:type="spellStart"/>
      <w:r w:rsidRPr="0010392A">
        <w:rPr>
          <w:rFonts w:ascii="Times New Roman" w:hAnsi="Times New Roman"/>
          <w:b w:val="0"/>
          <w:i/>
          <w:color w:val="auto"/>
        </w:rPr>
        <w:t>cf</w:t>
      </w:r>
      <w:proofErr w:type="spellEnd"/>
      <w:r w:rsidRPr="0010392A">
        <w:rPr>
          <w:rFonts w:ascii="Times New Roman" w:hAnsi="Times New Roman"/>
          <w:b w:val="0"/>
          <w:i/>
          <w:color w:val="auto"/>
        </w:rPr>
        <w:t xml:space="preserve"> </w:t>
      </w:r>
      <w:r w:rsidRPr="0010392A">
        <w:rPr>
          <w:rFonts w:ascii="Times New Roman" w:hAnsi="Times New Roman"/>
          <w:i/>
          <w:color w:val="auto"/>
        </w:rPr>
        <w:t>Smith v Minister of Justice and Correctional Services and Others</w:t>
      </w:r>
      <w:r w:rsidRPr="0010392A">
        <w:rPr>
          <w:rFonts w:ascii="Times New Roman" w:hAnsi="Times New Roman"/>
          <w:b w:val="0"/>
          <w:i/>
          <w:color w:val="auto"/>
        </w:rPr>
        <w:t xml:space="preserve"> </w:t>
      </w:r>
      <w:r w:rsidRPr="0010392A">
        <w:rPr>
          <w:rFonts w:ascii="Times New Roman" w:hAnsi="Times New Roman"/>
          <w:b w:val="0"/>
          <w:color w:val="auto"/>
        </w:rPr>
        <w:t>(21/35658) [2022]</w:t>
      </w:r>
      <w:r>
        <w:rPr>
          <w:rFonts w:ascii="Times New Roman" w:hAnsi="Times New Roman"/>
          <w:b w:val="0"/>
          <w:color w:val="auto"/>
        </w:rPr>
        <w:t xml:space="preserve"> ZAGPJHC 60 (11 February 2022).  </w:t>
      </w:r>
      <w:r w:rsidRPr="00633826">
        <w:rPr>
          <w:rFonts w:ascii="Times New Roman" w:hAnsi="Times New Roman"/>
          <w:b w:val="0"/>
          <w:color w:val="auto"/>
        </w:rPr>
        <w:t>See also Section 20 of the Superior Courts Act 10 of 2013, expressly provides as follows:</w:t>
      </w:r>
    </w:p>
    <w:p w:rsidR="00567285" w:rsidRPr="0010392A" w:rsidRDefault="00567285" w:rsidP="00884096">
      <w:pPr>
        <w:pStyle w:val="NormalWeb"/>
        <w:shd w:val="clear" w:color="auto" w:fill="FFFFFF"/>
        <w:spacing w:before="0" w:beforeAutospacing="0" w:after="0" w:afterAutospacing="0"/>
        <w:contextualSpacing/>
        <w:rPr>
          <w:i/>
          <w:color w:val="242121"/>
          <w:sz w:val="20"/>
          <w:szCs w:val="20"/>
        </w:rPr>
      </w:pPr>
      <w:r>
        <w:rPr>
          <w:i/>
          <w:sz w:val="20"/>
          <w:szCs w:val="20"/>
        </w:rPr>
        <w:t>“</w:t>
      </w:r>
      <w:r w:rsidRPr="00633826">
        <w:rPr>
          <w:i/>
          <w:sz w:val="20"/>
          <w:szCs w:val="20"/>
        </w:rPr>
        <w:t>Settlement of conflicting</w:t>
      </w:r>
      <w:r w:rsidRPr="00633826">
        <w:rPr>
          <w:b/>
          <w:i/>
          <w:sz w:val="20"/>
          <w:szCs w:val="20"/>
        </w:rPr>
        <w:t xml:space="preserve"> </w:t>
      </w:r>
      <w:r w:rsidRPr="0010392A">
        <w:rPr>
          <w:b/>
          <w:i/>
          <w:color w:val="242121"/>
          <w:sz w:val="20"/>
          <w:szCs w:val="20"/>
        </w:rPr>
        <w:t>decisions in civil cases</w:t>
      </w:r>
      <w:r w:rsidRPr="0010392A">
        <w:rPr>
          <w:i/>
          <w:color w:val="242121"/>
          <w:sz w:val="20"/>
          <w:szCs w:val="20"/>
        </w:rPr>
        <w:t xml:space="preserve"> </w:t>
      </w:r>
    </w:p>
    <w:p w:rsidR="00567285" w:rsidRPr="0010392A" w:rsidRDefault="00567285" w:rsidP="00884096">
      <w:pPr>
        <w:pStyle w:val="NormalWeb"/>
        <w:shd w:val="clear" w:color="auto" w:fill="FFFFFF"/>
        <w:spacing w:before="0" w:beforeAutospacing="0" w:after="0" w:afterAutospacing="0"/>
        <w:contextualSpacing/>
        <w:rPr>
          <w:i/>
          <w:sz w:val="20"/>
          <w:szCs w:val="20"/>
        </w:rPr>
      </w:pPr>
      <w:r w:rsidRPr="0010392A">
        <w:rPr>
          <w:i/>
          <w:color w:val="242121"/>
          <w:sz w:val="20"/>
          <w:szCs w:val="20"/>
        </w:rPr>
        <w:t xml:space="preserve">Whenever a decision on a question of law is given by a </w:t>
      </w:r>
      <w:r>
        <w:rPr>
          <w:i/>
          <w:color w:val="242121"/>
          <w:sz w:val="20"/>
          <w:szCs w:val="20"/>
        </w:rPr>
        <w:t>Court</w:t>
      </w:r>
      <w:r w:rsidRPr="0010392A">
        <w:rPr>
          <w:i/>
          <w:color w:val="242121"/>
          <w:sz w:val="20"/>
          <w:szCs w:val="20"/>
        </w:rPr>
        <w:t xml:space="preserve"> of a Division which is in conflict with a decision on the same question of law given by a </w:t>
      </w:r>
      <w:r>
        <w:rPr>
          <w:i/>
          <w:color w:val="242121"/>
          <w:sz w:val="20"/>
          <w:szCs w:val="20"/>
        </w:rPr>
        <w:t>Court</w:t>
      </w:r>
      <w:r w:rsidRPr="0010392A">
        <w:rPr>
          <w:i/>
          <w:color w:val="242121"/>
          <w:sz w:val="20"/>
          <w:szCs w:val="20"/>
        </w:rPr>
        <w:t xml:space="preserve"> of any other Division, the Minister may submit such conflicting decisions to the Chief Justice, who must cause the matter to be argued before the Constitutional Court or the Supreme Court of Appeal, as the case may be, in order to determine the said question of law for guidance.”</w:t>
      </w:r>
    </w:p>
    <w:p w:rsidR="00567285" w:rsidRPr="0010392A" w:rsidRDefault="00567285" w:rsidP="0010392A">
      <w:pPr>
        <w:pStyle w:val="FootnoteText"/>
        <w:rPr>
          <w:rFonts w:ascii="Times New Roman" w:hAnsi="Times New Roman"/>
        </w:rPr>
      </w:pPr>
    </w:p>
  </w:footnote>
  <w:footnote w:id="7">
    <w:p w:rsidR="00567285" w:rsidRPr="00B4142C" w:rsidRDefault="00567285" w:rsidP="0010392A">
      <w:pPr>
        <w:pStyle w:val="FootnoteText"/>
        <w:rPr>
          <w:rFonts w:ascii="Times New Roman" w:hAnsi="Times New Roman"/>
          <w:i/>
          <w:color w:val="auto"/>
        </w:rPr>
      </w:pPr>
      <w:r w:rsidRPr="0010392A">
        <w:rPr>
          <w:rStyle w:val="FootnoteReference"/>
          <w:rFonts w:ascii="Times New Roman" w:hAnsi="Times New Roman"/>
          <w:b w:val="0"/>
          <w:color w:val="auto"/>
        </w:rPr>
        <w:footnoteRef/>
      </w:r>
      <w:r w:rsidRPr="0010392A">
        <w:rPr>
          <w:rFonts w:ascii="Times New Roman" w:hAnsi="Times New Roman"/>
          <w:b w:val="0"/>
          <w:color w:val="auto"/>
        </w:rPr>
        <w:t xml:space="preserve"> </w:t>
      </w:r>
      <w:proofErr w:type="spellStart"/>
      <w:r w:rsidRPr="0010392A">
        <w:rPr>
          <w:rFonts w:ascii="Times New Roman" w:hAnsi="Times New Roman"/>
          <w:i/>
          <w:color w:val="auto"/>
        </w:rPr>
        <w:t>Prinsloo</w:t>
      </w:r>
      <w:proofErr w:type="spellEnd"/>
      <w:r w:rsidRPr="0010392A">
        <w:rPr>
          <w:rFonts w:ascii="Times New Roman" w:hAnsi="Times New Roman"/>
          <w:i/>
          <w:color w:val="auto"/>
        </w:rPr>
        <w:t xml:space="preserve"> v RCP Medi</w:t>
      </w:r>
      <w:r>
        <w:rPr>
          <w:rFonts w:ascii="Times New Roman" w:hAnsi="Times New Roman"/>
          <w:i/>
          <w:color w:val="auto"/>
        </w:rPr>
        <w:t xml:space="preserve"> LTD T/A Rapport</w:t>
      </w:r>
      <w:r w:rsidRPr="0010392A">
        <w:rPr>
          <w:rFonts w:ascii="Times New Roman" w:hAnsi="Times New Roman"/>
          <w:b w:val="0"/>
          <w:color w:val="auto"/>
        </w:rPr>
        <w:t xml:space="preserve"> 2003(4) SA 456 (T) at 4</w:t>
      </w:r>
      <w:r>
        <w:rPr>
          <w:rFonts w:ascii="Times New Roman" w:hAnsi="Times New Roman"/>
          <w:b w:val="0"/>
          <w:color w:val="auto"/>
        </w:rPr>
        <w:t xml:space="preserve">62B-F; see also </w:t>
      </w:r>
      <w:proofErr w:type="spellStart"/>
      <w:r w:rsidRPr="00B4142C">
        <w:rPr>
          <w:rFonts w:ascii="Times New Roman" w:hAnsi="Times New Roman"/>
          <w:i/>
          <w:color w:val="auto"/>
        </w:rPr>
        <w:t>Majake</w:t>
      </w:r>
      <w:proofErr w:type="spellEnd"/>
      <w:r w:rsidRPr="00B4142C">
        <w:rPr>
          <w:rFonts w:ascii="Times New Roman" w:hAnsi="Times New Roman"/>
          <w:i/>
          <w:color w:val="auto"/>
        </w:rPr>
        <w:t xml:space="preserve"> v Commissioner of G</w:t>
      </w:r>
      <w:r>
        <w:rPr>
          <w:rFonts w:ascii="Times New Roman" w:hAnsi="Times New Roman"/>
          <w:i/>
          <w:color w:val="auto"/>
        </w:rPr>
        <w:t>ender</w:t>
      </w:r>
      <w:r w:rsidRPr="00B4142C">
        <w:rPr>
          <w:rFonts w:ascii="Times New Roman" w:hAnsi="Times New Roman"/>
          <w:i/>
          <w:color w:val="auto"/>
        </w:rPr>
        <w:t xml:space="preserve"> Equality</w:t>
      </w:r>
      <w:r>
        <w:rPr>
          <w:rFonts w:ascii="Times New Roman" w:hAnsi="Times New Roman"/>
          <w:i/>
          <w:color w:val="auto"/>
        </w:rPr>
        <w:t xml:space="preserve"> and Others </w:t>
      </w:r>
      <w:r w:rsidRPr="004320CA">
        <w:rPr>
          <w:rFonts w:ascii="Times New Roman" w:hAnsi="Times New Roman"/>
          <w:b w:val="0"/>
          <w:color w:val="auto"/>
        </w:rPr>
        <w:t>[2010] J</w:t>
      </w:r>
      <w:r>
        <w:rPr>
          <w:rFonts w:ascii="Times New Roman" w:hAnsi="Times New Roman"/>
          <w:b w:val="0"/>
          <w:color w:val="auto"/>
        </w:rPr>
        <w:t>OL</w:t>
      </w:r>
      <w:r w:rsidRPr="004320CA">
        <w:rPr>
          <w:rFonts w:ascii="Times New Roman" w:hAnsi="Times New Roman"/>
          <w:b w:val="0"/>
          <w:color w:val="auto"/>
        </w:rPr>
        <w:t xml:space="preserve"> 24985(G</w:t>
      </w:r>
      <w:r>
        <w:rPr>
          <w:rFonts w:ascii="Times New Roman" w:hAnsi="Times New Roman"/>
          <w:b w:val="0"/>
          <w:color w:val="auto"/>
        </w:rPr>
        <w:t>SJ</w:t>
      </w:r>
      <w:r w:rsidRPr="004320CA">
        <w:rPr>
          <w:rFonts w:ascii="Times New Roman" w:hAnsi="Times New Roman"/>
          <w:b w:val="0"/>
          <w:color w:val="auto"/>
        </w:rPr>
        <w:t xml:space="preserve">) </w:t>
      </w:r>
      <w:r>
        <w:rPr>
          <w:rFonts w:ascii="Times New Roman" w:hAnsi="Times New Roman"/>
          <w:b w:val="0"/>
          <w:color w:val="auto"/>
        </w:rPr>
        <w:t>a</w:t>
      </w:r>
      <w:r w:rsidRPr="004320CA">
        <w:rPr>
          <w:rFonts w:ascii="Times New Roman" w:hAnsi="Times New Roman"/>
          <w:b w:val="0"/>
          <w:color w:val="auto"/>
        </w:rPr>
        <w:t xml:space="preserve">t </w:t>
      </w:r>
      <w:r>
        <w:rPr>
          <w:rFonts w:ascii="Times New Roman" w:hAnsi="Times New Roman"/>
          <w:b w:val="0"/>
          <w:color w:val="auto"/>
        </w:rPr>
        <w:t>p</w:t>
      </w:r>
      <w:r w:rsidRPr="004320CA">
        <w:rPr>
          <w:rFonts w:ascii="Times New Roman" w:hAnsi="Times New Roman"/>
          <w:b w:val="0"/>
          <w:color w:val="auto"/>
        </w:rPr>
        <w:t>ara 45</w:t>
      </w:r>
    </w:p>
  </w:footnote>
  <w:footnote w:id="8">
    <w:p w:rsidR="00567285" w:rsidRPr="0010392A" w:rsidRDefault="00567285" w:rsidP="0010392A">
      <w:pPr>
        <w:pStyle w:val="FootnoteText"/>
        <w:rPr>
          <w:rFonts w:ascii="Times New Roman" w:hAnsi="Times New Roman"/>
          <w:b w:val="0"/>
          <w:color w:val="auto"/>
        </w:rPr>
      </w:pPr>
      <w:r w:rsidRPr="0010392A">
        <w:rPr>
          <w:rStyle w:val="FootnoteReference"/>
          <w:rFonts w:ascii="Times New Roman" w:hAnsi="Times New Roman"/>
          <w:b w:val="0"/>
          <w:color w:val="auto"/>
        </w:rPr>
        <w:footnoteRef/>
      </w:r>
      <w:r w:rsidRPr="0010392A">
        <w:rPr>
          <w:rFonts w:ascii="Times New Roman" w:hAnsi="Times New Roman"/>
          <w:b w:val="0"/>
          <w:color w:val="auto"/>
        </w:rPr>
        <w:t xml:space="preserve"> Section</w:t>
      </w:r>
      <w:r>
        <w:rPr>
          <w:rFonts w:ascii="Times New Roman" w:hAnsi="Times New Roman"/>
          <w:b w:val="0"/>
          <w:color w:val="auto"/>
        </w:rPr>
        <w:t xml:space="preserve"> 12 (1) (a) of the Constitution</w:t>
      </w:r>
      <w:r w:rsidRPr="0010392A">
        <w:rPr>
          <w:rFonts w:ascii="Times New Roman" w:hAnsi="Times New Roman"/>
          <w:b w:val="0"/>
          <w:color w:val="auto"/>
        </w:rPr>
        <w:t xml:space="preserve"> </w:t>
      </w:r>
    </w:p>
  </w:footnote>
  <w:footnote w:id="9">
    <w:p w:rsidR="00567285" w:rsidRPr="0010392A" w:rsidRDefault="00567285" w:rsidP="0010392A">
      <w:pPr>
        <w:pStyle w:val="FootnoteText"/>
        <w:rPr>
          <w:rFonts w:ascii="Times New Roman" w:hAnsi="Times New Roman"/>
          <w:b w:val="0"/>
          <w:color w:val="auto"/>
        </w:rPr>
      </w:pPr>
      <w:r w:rsidRPr="0010392A">
        <w:rPr>
          <w:rStyle w:val="FootnoteReference"/>
          <w:rFonts w:ascii="Times New Roman" w:hAnsi="Times New Roman"/>
          <w:b w:val="0"/>
          <w:color w:val="auto"/>
        </w:rPr>
        <w:footnoteRef/>
      </w:r>
      <w:r w:rsidRPr="0010392A">
        <w:rPr>
          <w:rFonts w:ascii="Times New Roman" w:hAnsi="Times New Roman"/>
          <w:b w:val="0"/>
          <w:color w:val="auto"/>
        </w:rPr>
        <w:t xml:space="preserve"> “</w:t>
      </w:r>
      <w:r w:rsidRPr="00884096">
        <w:rPr>
          <w:rFonts w:ascii="Times New Roman" w:hAnsi="Times New Roman"/>
          <w:i/>
          <w:color w:val="auto"/>
        </w:rPr>
        <w:t>the Department</w:t>
      </w:r>
      <w:r w:rsidRPr="0010392A">
        <w:rPr>
          <w:rFonts w:ascii="Times New Roman" w:hAnsi="Times New Roman"/>
          <w:b w:val="0"/>
          <w:color w:val="auto"/>
        </w:rPr>
        <w:t>”</w:t>
      </w:r>
    </w:p>
  </w:footnote>
  <w:footnote w:id="10">
    <w:p w:rsidR="00567285" w:rsidRPr="0010392A" w:rsidRDefault="00567285" w:rsidP="0010392A">
      <w:pPr>
        <w:pStyle w:val="FootnoteText"/>
        <w:rPr>
          <w:rFonts w:ascii="Times New Roman" w:hAnsi="Times New Roman"/>
        </w:rPr>
      </w:pPr>
      <w:r w:rsidRPr="0010392A">
        <w:rPr>
          <w:rStyle w:val="FootnoteReference"/>
          <w:rFonts w:ascii="Times New Roman" w:hAnsi="Times New Roman"/>
          <w:b w:val="0"/>
          <w:color w:val="auto"/>
        </w:rPr>
        <w:footnoteRef/>
      </w:r>
      <w:r w:rsidRPr="0010392A">
        <w:rPr>
          <w:rFonts w:ascii="Times New Roman" w:hAnsi="Times New Roman"/>
          <w:b w:val="0"/>
          <w:color w:val="auto"/>
        </w:rPr>
        <w:t xml:space="preserve"> </w:t>
      </w:r>
      <w:r w:rsidRPr="0010392A">
        <w:rPr>
          <w:rFonts w:ascii="Times New Roman" w:hAnsi="Times New Roman"/>
          <w:b w:val="0"/>
          <w:i/>
          <w:color w:val="auto"/>
        </w:rPr>
        <w:t>vide</w:t>
      </w:r>
      <w:r w:rsidRPr="0010392A">
        <w:rPr>
          <w:rFonts w:ascii="Times New Roman" w:hAnsi="Times New Roman"/>
          <w:b w:val="0"/>
          <w:color w:val="auto"/>
        </w:rPr>
        <w:t xml:space="preserve"> Proclamation 19 of 2020, </w:t>
      </w:r>
      <w:r>
        <w:rPr>
          <w:rFonts w:ascii="Times New Roman" w:hAnsi="Times New Roman"/>
          <w:b w:val="0"/>
          <w:color w:val="auto"/>
        </w:rPr>
        <w:t>Government Gazette number 43298</w:t>
      </w:r>
    </w:p>
  </w:footnote>
  <w:footnote w:id="11">
    <w:p w:rsidR="00567285" w:rsidRPr="0010392A" w:rsidRDefault="00567285" w:rsidP="0010392A">
      <w:pPr>
        <w:pStyle w:val="FootnoteText"/>
        <w:rPr>
          <w:rFonts w:ascii="Times New Roman" w:hAnsi="Times New Roman"/>
          <w:b w:val="0"/>
          <w:color w:val="auto"/>
        </w:rPr>
      </w:pPr>
      <w:r w:rsidRPr="0010392A">
        <w:rPr>
          <w:rStyle w:val="FootnoteReference"/>
          <w:rFonts w:ascii="Times New Roman" w:hAnsi="Times New Roman"/>
          <w:b w:val="0"/>
          <w:color w:val="auto"/>
        </w:rPr>
        <w:footnoteRef/>
      </w:r>
      <w:r>
        <w:rPr>
          <w:rFonts w:ascii="Times New Roman" w:hAnsi="Times New Roman"/>
          <w:b w:val="0"/>
          <w:color w:val="auto"/>
        </w:rPr>
        <w:t xml:space="preserve"> No. 43298, Vol 659</w:t>
      </w:r>
    </w:p>
  </w:footnote>
  <w:footnote w:id="12">
    <w:p w:rsidR="00567285" w:rsidRPr="0010392A" w:rsidRDefault="00567285" w:rsidP="0010392A">
      <w:pPr>
        <w:pStyle w:val="FootnoteText"/>
        <w:rPr>
          <w:rFonts w:ascii="Times New Roman" w:hAnsi="Times New Roman"/>
          <w:b w:val="0"/>
          <w:color w:val="auto"/>
        </w:rPr>
      </w:pPr>
      <w:r w:rsidRPr="0010392A">
        <w:rPr>
          <w:rStyle w:val="FootnoteReference"/>
          <w:rFonts w:ascii="Times New Roman" w:hAnsi="Times New Roman"/>
          <w:b w:val="0"/>
          <w:color w:val="auto"/>
        </w:rPr>
        <w:footnoteRef/>
      </w:r>
      <w:r>
        <w:rPr>
          <w:rFonts w:ascii="Times New Roman" w:hAnsi="Times New Roman"/>
          <w:b w:val="0"/>
          <w:color w:val="auto"/>
        </w:rPr>
        <w:t xml:space="preserve"> Emphasis supplied</w:t>
      </w:r>
    </w:p>
  </w:footnote>
  <w:footnote w:id="13">
    <w:p w:rsidR="00567285" w:rsidRPr="0010392A" w:rsidRDefault="00567285" w:rsidP="0010392A">
      <w:pPr>
        <w:jc w:val="both"/>
        <w:rPr>
          <w:rFonts w:ascii="Times New Roman" w:hAnsi="Times New Roman"/>
          <w:b w:val="0"/>
          <w:color w:val="auto"/>
          <w:sz w:val="20"/>
          <w:szCs w:val="20"/>
        </w:rPr>
      </w:pPr>
      <w:r w:rsidRPr="0010392A">
        <w:rPr>
          <w:rStyle w:val="FootnoteReference"/>
          <w:rFonts w:ascii="Times New Roman" w:hAnsi="Times New Roman"/>
          <w:b w:val="0"/>
          <w:color w:val="auto"/>
          <w:sz w:val="20"/>
          <w:szCs w:val="20"/>
        </w:rPr>
        <w:footnoteRef/>
      </w:r>
      <w:r>
        <w:rPr>
          <w:rFonts w:ascii="Times New Roman" w:hAnsi="Times New Roman"/>
          <w:b w:val="0"/>
          <w:color w:val="auto"/>
          <w:sz w:val="20"/>
          <w:szCs w:val="20"/>
        </w:rPr>
        <w:t xml:space="preserve"> 2000(2) SA 674 (CC)</w:t>
      </w:r>
      <w:r w:rsidRPr="0010392A">
        <w:rPr>
          <w:rFonts w:ascii="Times New Roman" w:hAnsi="Times New Roman"/>
          <w:b w:val="0"/>
          <w:color w:val="auto"/>
          <w:sz w:val="20"/>
          <w:szCs w:val="20"/>
        </w:rPr>
        <w:t xml:space="preserve"> </w:t>
      </w:r>
    </w:p>
  </w:footnote>
  <w:footnote w:id="14">
    <w:p w:rsidR="00567285" w:rsidRPr="0010392A" w:rsidRDefault="00567285" w:rsidP="0010392A">
      <w:pPr>
        <w:pStyle w:val="FootnoteText"/>
        <w:rPr>
          <w:rFonts w:ascii="Times New Roman" w:hAnsi="Times New Roman"/>
          <w:b w:val="0"/>
          <w:color w:val="auto"/>
          <w:lang w:val="en-ZA"/>
        </w:rPr>
      </w:pPr>
      <w:r w:rsidRPr="0010392A">
        <w:rPr>
          <w:rStyle w:val="FootnoteReference"/>
          <w:rFonts w:ascii="Times New Roman" w:hAnsi="Times New Roman"/>
          <w:b w:val="0"/>
          <w:color w:val="auto"/>
        </w:rPr>
        <w:footnoteRef/>
      </w:r>
      <w:r w:rsidRPr="0010392A">
        <w:rPr>
          <w:rFonts w:ascii="Times New Roman" w:hAnsi="Times New Roman"/>
          <w:b w:val="0"/>
          <w:color w:val="auto"/>
        </w:rPr>
        <w:t xml:space="preserve"> </w:t>
      </w:r>
      <w:r w:rsidRPr="0010392A">
        <w:rPr>
          <w:rFonts w:ascii="Times New Roman" w:hAnsi="Times New Roman"/>
          <w:b w:val="0"/>
          <w:color w:val="auto"/>
          <w:lang w:val="en-ZA"/>
        </w:rPr>
        <w:t>Act 33 of 1957</w:t>
      </w:r>
    </w:p>
  </w:footnote>
  <w:footnote w:id="15">
    <w:p w:rsidR="00567285" w:rsidRPr="0010392A" w:rsidRDefault="00567285" w:rsidP="0010392A">
      <w:pPr>
        <w:pStyle w:val="FootnoteText"/>
        <w:rPr>
          <w:rFonts w:ascii="Times New Roman" w:hAnsi="Times New Roman"/>
          <w:b w:val="0"/>
          <w:color w:val="auto"/>
        </w:rPr>
      </w:pPr>
      <w:r w:rsidRPr="0010392A">
        <w:rPr>
          <w:rStyle w:val="FootnoteReference"/>
          <w:rFonts w:ascii="Times New Roman" w:hAnsi="Times New Roman"/>
          <w:b w:val="0"/>
          <w:color w:val="auto"/>
        </w:rPr>
        <w:footnoteRef/>
      </w:r>
      <w:r>
        <w:rPr>
          <w:rFonts w:ascii="Times New Roman" w:hAnsi="Times New Roman"/>
          <w:b w:val="0"/>
          <w:color w:val="auto"/>
        </w:rPr>
        <w:t xml:space="preserve"> Underlining added</w:t>
      </w:r>
    </w:p>
  </w:footnote>
  <w:footnote w:id="16">
    <w:p w:rsidR="00567285" w:rsidRPr="0010392A" w:rsidRDefault="00567285" w:rsidP="00555EC8">
      <w:pPr>
        <w:pStyle w:val="FootnoteText"/>
        <w:rPr>
          <w:rFonts w:ascii="Times New Roman" w:hAnsi="Times New Roman"/>
          <w:b w:val="0"/>
          <w:color w:val="auto"/>
        </w:rPr>
      </w:pPr>
      <w:r w:rsidRPr="0010392A">
        <w:rPr>
          <w:rStyle w:val="FootnoteReference"/>
          <w:rFonts w:ascii="Times New Roman" w:hAnsi="Times New Roman"/>
          <w:b w:val="0"/>
          <w:color w:val="auto"/>
        </w:rPr>
        <w:footnoteRef/>
      </w:r>
      <w:r w:rsidRPr="0010392A">
        <w:rPr>
          <w:rFonts w:ascii="Times New Roman" w:hAnsi="Times New Roman"/>
          <w:b w:val="0"/>
          <w:color w:val="auto"/>
        </w:rPr>
        <w:t xml:space="preserve"> </w:t>
      </w:r>
      <w:r w:rsidRPr="00F35269">
        <w:rPr>
          <w:rFonts w:ascii="Times New Roman" w:hAnsi="Times New Roman"/>
          <w:i/>
          <w:color w:val="auto"/>
        </w:rPr>
        <w:t>Supra</w:t>
      </w:r>
    </w:p>
  </w:footnote>
  <w:footnote w:id="17">
    <w:p w:rsidR="00567285" w:rsidRPr="0010392A" w:rsidRDefault="00567285" w:rsidP="0010392A">
      <w:pPr>
        <w:pStyle w:val="FootnoteText"/>
        <w:rPr>
          <w:rFonts w:ascii="Times New Roman" w:hAnsi="Times New Roman"/>
          <w:b w:val="0"/>
          <w:color w:val="auto"/>
        </w:rPr>
      </w:pPr>
      <w:r w:rsidRPr="0010392A">
        <w:rPr>
          <w:rStyle w:val="FootnoteReference"/>
          <w:rFonts w:ascii="Times New Roman" w:hAnsi="Times New Roman"/>
          <w:b w:val="0"/>
          <w:color w:val="auto"/>
        </w:rPr>
        <w:footnoteRef/>
      </w:r>
      <w:r>
        <w:rPr>
          <w:rFonts w:ascii="Times New Roman" w:hAnsi="Times New Roman"/>
          <w:b w:val="0"/>
          <w:color w:val="auto"/>
        </w:rPr>
        <w:t xml:space="preserve"> Emphasis supplied</w:t>
      </w:r>
    </w:p>
  </w:footnote>
  <w:footnote w:id="18">
    <w:p w:rsidR="00567285" w:rsidRPr="0010392A" w:rsidRDefault="00567285" w:rsidP="00555EC8">
      <w:pPr>
        <w:pStyle w:val="FootnoteText"/>
        <w:rPr>
          <w:rFonts w:ascii="Times New Roman" w:hAnsi="Times New Roman"/>
          <w:b w:val="0"/>
          <w:color w:val="auto"/>
          <w:lang w:val="en-ZA"/>
        </w:rPr>
      </w:pPr>
      <w:r w:rsidRPr="0010392A">
        <w:rPr>
          <w:rStyle w:val="FootnoteReference"/>
          <w:rFonts w:ascii="Times New Roman" w:hAnsi="Times New Roman"/>
          <w:b w:val="0"/>
          <w:color w:val="auto"/>
        </w:rPr>
        <w:footnoteRef/>
      </w:r>
      <w:r w:rsidRPr="0010392A">
        <w:rPr>
          <w:rFonts w:ascii="Times New Roman" w:hAnsi="Times New Roman"/>
          <w:b w:val="0"/>
          <w:color w:val="auto"/>
        </w:rPr>
        <w:t xml:space="preserve"> </w:t>
      </w:r>
      <w:r>
        <w:rPr>
          <w:rFonts w:ascii="Times New Roman" w:hAnsi="Times New Roman"/>
          <w:b w:val="0"/>
          <w:color w:val="auto"/>
          <w:lang w:val="en-ZA"/>
        </w:rPr>
        <w:t>Paragraph 25 of the Judgment</w:t>
      </w:r>
    </w:p>
  </w:footnote>
  <w:footnote w:id="19">
    <w:p w:rsidR="00567285" w:rsidRPr="0010392A" w:rsidRDefault="00567285" w:rsidP="0010392A">
      <w:pPr>
        <w:pStyle w:val="FootnoteText"/>
        <w:rPr>
          <w:rFonts w:ascii="Times New Roman" w:hAnsi="Times New Roman"/>
          <w:b w:val="0"/>
          <w:color w:val="auto"/>
        </w:rPr>
      </w:pPr>
      <w:r w:rsidRPr="0010392A">
        <w:rPr>
          <w:rStyle w:val="FootnoteReference"/>
          <w:rFonts w:ascii="Times New Roman" w:hAnsi="Times New Roman"/>
          <w:b w:val="0"/>
          <w:color w:val="auto"/>
        </w:rPr>
        <w:footnoteRef/>
      </w:r>
      <w:r w:rsidRPr="0010392A">
        <w:rPr>
          <w:rFonts w:ascii="Times New Roman" w:hAnsi="Times New Roman"/>
          <w:b w:val="0"/>
          <w:color w:val="auto"/>
        </w:rPr>
        <w:t xml:space="preserve"> Section 101 of the Constitution, expressly stipulates as follows:</w:t>
      </w:r>
    </w:p>
    <w:p w:rsidR="00567285" w:rsidRPr="0010392A" w:rsidRDefault="00567285" w:rsidP="0010392A">
      <w:pPr>
        <w:pStyle w:val="FootnoteText"/>
        <w:rPr>
          <w:rFonts w:ascii="Times New Roman" w:hAnsi="Times New Roman"/>
          <w:b w:val="0"/>
          <w:i/>
          <w:color w:val="auto"/>
        </w:rPr>
      </w:pPr>
      <w:r w:rsidRPr="0010392A">
        <w:rPr>
          <w:rFonts w:ascii="Times New Roman" w:hAnsi="Times New Roman"/>
          <w:b w:val="0"/>
          <w:i/>
          <w:color w:val="auto"/>
        </w:rPr>
        <w:t>“101</w:t>
      </w:r>
      <w:r>
        <w:rPr>
          <w:rFonts w:ascii="Times New Roman" w:hAnsi="Times New Roman"/>
          <w:b w:val="0"/>
          <w:i/>
          <w:color w:val="auto"/>
        </w:rPr>
        <w:t xml:space="preserve">.  </w:t>
      </w:r>
      <w:r w:rsidRPr="0010392A">
        <w:rPr>
          <w:rFonts w:ascii="Times New Roman" w:hAnsi="Times New Roman"/>
          <w:b w:val="0"/>
          <w:i/>
          <w:color w:val="auto"/>
        </w:rPr>
        <w:t>(1) A decision by the President must be in writing if it-</w:t>
      </w:r>
    </w:p>
    <w:p w:rsidR="00567285" w:rsidRPr="0010392A" w:rsidRDefault="00567285" w:rsidP="0010392A">
      <w:pPr>
        <w:pStyle w:val="FootnoteText"/>
        <w:numPr>
          <w:ilvl w:val="0"/>
          <w:numId w:val="9"/>
        </w:numPr>
        <w:rPr>
          <w:rFonts w:ascii="Times New Roman" w:hAnsi="Times New Roman"/>
          <w:b w:val="0"/>
          <w:i/>
          <w:color w:val="auto"/>
        </w:rPr>
      </w:pPr>
      <w:r w:rsidRPr="0010392A">
        <w:rPr>
          <w:rFonts w:ascii="Times New Roman" w:hAnsi="Times New Roman"/>
          <w:b w:val="0"/>
          <w:i/>
          <w:color w:val="auto"/>
        </w:rPr>
        <w:t xml:space="preserve">Is taken in terms of legislation; or </w:t>
      </w:r>
    </w:p>
    <w:p w:rsidR="00567285" w:rsidRPr="0010392A" w:rsidRDefault="00567285" w:rsidP="0010392A">
      <w:pPr>
        <w:pStyle w:val="FootnoteText"/>
        <w:numPr>
          <w:ilvl w:val="0"/>
          <w:numId w:val="9"/>
        </w:numPr>
        <w:rPr>
          <w:rFonts w:ascii="Times New Roman" w:hAnsi="Times New Roman"/>
          <w:b w:val="0"/>
          <w:i/>
          <w:color w:val="auto"/>
        </w:rPr>
      </w:pPr>
      <w:r w:rsidRPr="0010392A">
        <w:rPr>
          <w:rFonts w:ascii="Times New Roman" w:hAnsi="Times New Roman"/>
          <w:b w:val="0"/>
          <w:i/>
          <w:color w:val="auto"/>
        </w:rPr>
        <w:t>Has legal consequences.”</w:t>
      </w:r>
    </w:p>
  </w:footnote>
  <w:footnote w:id="20">
    <w:p w:rsidR="00567285" w:rsidRPr="0010392A" w:rsidRDefault="00567285" w:rsidP="001C67D5">
      <w:pPr>
        <w:pStyle w:val="FootnoteText"/>
        <w:rPr>
          <w:rFonts w:ascii="Times New Roman" w:hAnsi="Times New Roman"/>
          <w:b w:val="0"/>
          <w:color w:val="auto"/>
        </w:rPr>
      </w:pPr>
      <w:r w:rsidRPr="0010392A">
        <w:rPr>
          <w:rStyle w:val="FootnoteReference"/>
          <w:rFonts w:ascii="Times New Roman" w:hAnsi="Times New Roman"/>
          <w:b w:val="0"/>
          <w:color w:val="auto"/>
        </w:rPr>
        <w:footnoteRef/>
      </w:r>
      <w:r>
        <w:rPr>
          <w:rFonts w:ascii="Times New Roman" w:hAnsi="Times New Roman"/>
          <w:b w:val="0"/>
          <w:color w:val="auto"/>
        </w:rPr>
        <w:t xml:space="preserve"> 33 of 1957</w:t>
      </w:r>
    </w:p>
  </w:footnote>
  <w:footnote w:id="21">
    <w:p w:rsidR="00567285" w:rsidRPr="001C67D5" w:rsidRDefault="00567285">
      <w:pPr>
        <w:pStyle w:val="FootnoteText"/>
        <w:rPr>
          <w:rFonts w:ascii="Times New Roman" w:hAnsi="Times New Roman"/>
          <w:b w:val="0"/>
          <w:color w:val="auto"/>
        </w:rPr>
      </w:pPr>
      <w:r w:rsidRPr="001C67D5">
        <w:rPr>
          <w:rStyle w:val="FootnoteReference"/>
          <w:rFonts w:ascii="Times New Roman" w:hAnsi="Times New Roman"/>
          <w:b w:val="0"/>
          <w:color w:val="auto"/>
        </w:rPr>
        <w:footnoteRef/>
      </w:r>
      <w:r w:rsidRPr="001C67D5">
        <w:rPr>
          <w:rFonts w:ascii="Times New Roman" w:hAnsi="Times New Roman"/>
          <w:b w:val="0"/>
          <w:color w:val="auto"/>
        </w:rPr>
        <w:t xml:space="preserve"> Section 2 of the Interpretation Act defines “</w:t>
      </w:r>
      <w:r w:rsidRPr="00884096">
        <w:rPr>
          <w:rFonts w:ascii="Times New Roman" w:hAnsi="Times New Roman"/>
          <w:b w:val="0"/>
          <w:i/>
          <w:color w:val="auto"/>
        </w:rPr>
        <w:t>law” as “any law, proclamation, ordinance, Act of Parliament or other enactment having the force of law</w:t>
      </w:r>
      <w:r>
        <w:rPr>
          <w:rFonts w:ascii="Times New Roman" w:hAnsi="Times New Roman"/>
          <w:b w:val="0"/>
          <w:i/>
          <w:color w:val="auto"/>
        </w:rPr>
        <w:t>.</w:t>
      </w:r>
      <w:r w:rsidRPr="00884096">
        <w:rPr>
          <w:rFonts w:ascii="Times New Roman" w:hAnsi="Times New Roman"/>
          <w:b w:val="0"/>
          <w:i/>
          <w:color w:val="auto"/>
        </w:rPr>
        <w:t>”</w:t>
      </w:r>
    </w:p>
  </w:footnote>
  <w:footnote w:id="22">
    <w:p w:rsidR="00567285" w:rsidRPr="001C67D5" w:rsidRDefault="00567285" w:rsidP="0010392A">
      <w:pPr>
        <w:pStyle w:val="FootnoteText"/>
        <w:rPr>
          <w:rFonts w:ascii="Times New Roman" w:hAnsi="Times New Roman"/>
          <w:b w:val="0"/>
          <w:color w:val="auto"/>
        </w:rPr>
      </w:pPr>
      <w:r w:rsidRPr="001C67D5">
        <w:rPr>
          <w:rStyle w:val="FootnoteReference"/>
          <w:rFonts w:ascii="Times New Roman" w:hAnsi="Times New Roman"/>
          <w:b w:val="0"/>
          <w:color w:val="auto"/>
        </w:rPr>
        <w:footnoteRef/>
      </w:r>
      <w:r w:rsidRPr="001C67D5">
        <w:rPr>
          <w:rFonts w:ascii="Times New Roman" w:hAnsi="Times New Roman"/>
          <w:b w:val="0"/>
          <w:color w:val="auto"/>
        </w:rPr>
        <w:t xml:space="preserve"> Sect</w:t>
      </w:r>
      <w:r>
        <w:rPr>
          <w:rFonts w:ascii="Times New Roman" w:hAnsi="Times New Roman"/>
          <w:b w:val="0"/>
          <w:color w:val="auto"/>
        </w:rPr>
        <w:t>ion 1 of the Interpretation Act</w:t>
      </w:r>
      <w:r w:rsidRPr="001C67D5">
        <w:rPr>
          <w:rFonts w:ascii="Times New Roman" w:hAnsi="Times New Roman"/>
          <w:b w:val="0"/>
          <w:color w:val="auto"/>
        </w:rPr>
        <w:t xml:space="preserve"> </w:t>
      </w:r>
    </w:p>
  </w:footnote>
  <w:footnote w:id="23">
    <w:p w:rsidR="00567285" w:rsidRPr="0010392A" w:rsidRDefault="00567285" w:rsidP="0010392A">
      <w:pPr>
        <w:pStyle w:val="FootnoteText"/>
        <w:rPr>
          <w:rFonts w:ascii="Times New Roman" w:hAnsi="Times New Roman"/>
          <w:b w:val="0"/>
          <w:color w:val="auto"/>
        </w:rPr>
      </w:pPr>
      <w:r w:rsidRPr="0010392A">
        <w:rPr>
          <w:rStyle w:val="FootnoteReference"/>
          <w:rFonts w:ascii="Times New Roman" w:hAnsi="Times New Roman"/>
          <w:b w:val="0"/>
          <w:color w:val="auto"/>
        </w:rPr>
        <w:footnoteRef/>
      </w:r>
      <w:r>
        <w:rPr>
          <w:rFonts w:ascii="Times New Roman" w:hAnsi="Times New Roman"/>
          <w:b w:val="0"/>
          <w:color w:val="auto"/>
        </w:rPr>
        <w:t xml:space="preserve"> Emphasis supplied</w:t>
      </w:r>
    </w:p>
  </w:footnote>
  <w:footnote w:id="24">
    <w:p w:rsidR="00567285" w:rsidRPr="0010392A" w:rsidRDefault="00567285" w:rsidP="0010392A">
      <w:pPr>
        <w:pStyle w:val="FootnoteText"/>
        <w:rPr>
          <w:rFonts w:ascii="Times New Roman" w:hAnsi="Times New Roman"/>
          <w:b w:val="0"/>
          <w:color w:val="auto"/>
        </w:rPr>
      </w:pPr>
      <w:r w:rsidRPr="0010392A">
        <w:rPr>
          <w:rStyle w:val="FootnoteReference"/>
          <w:rFonts w:ascii="Times New Roman" w:hAnsi="Times New Roman"/>
          <w:b w:val="0"/>
          <w:color w:val="auto"/>
        </w:rPr>
        <w:footnoteRef/>
      </w:r>
      <w:r w:rsidRPr="0010392A">
        <w:rPr>
          <w:rFonts w:ascii="Times New Roman" w:hAnsi="Times New Roman"/>
          <w:b w:val="0"/>
          <w:color w:val="auto"/>
        </w:rPr>
        <w:t xml:space="preserve"> 10</w:t>
      </w:r>
      <w:r w:rsidRPr="0010392A">
        <w:rPr>
          <w:rFonts w:ascii="Times New Roman" w:hAnsi="Times New Roman"/>
          <w:b w:val="0"/>
          <w:color w:val="auto"/>
          <w:vertAlign w:val="superscript"/>
        </w:rPr>
        <w:t>th</w:t>
      </w:r>
      <w:r>
        <w:rPr>
          <w:rFonts w:ascii="Times New Roman" w:hAnsi="Times New Roman"/>
          <w:b w:val="0"/>
          <w:color w:val="auto"/>
        </w:rPr>
        <w:t xml:space="preserve"> Ed Revised</w:t>
      </w:r>
    </w:p>
  </w:footnote>
  <w:footnote w:id="25">
    <w:p w:rsidR="00567285" w:rsidRPr="0010392A" w:rsidRDefault="00567285" w:rsidP="0010392A">
      <w:pPr>
        <w:pStyle w:val="FootnoteText"/>
        <w:rPr>
          <w:rFonts w:ascii="Times New Roman" w:hAnsi="Times New Roman"/>
          <w:b w:val="0"/>
          <w:color w:val="auto"/>
        </w:rPr>
      </w:pPr>
      <w:r w:rsidRPr="0010392A">
        <w:rPr>
          <w:rStyle w:val="FootnoteReference"/>
          <w:rFonts w:ascii="Times New Roman" w:hAnsi="Times New Roman"/>
          <w:b w:val="0"/>
          <w:color w:val="auto"/>
        </w:rPr>
        <w:footnoteRef/>
      </w:r>
      <w:r>
        <w:rPr>
          <w:rFonts w:ascii="Times New Roman" w:hAnsi="Times New Roman"/>
          <w:b w:val="0"/>
          <w:color w:val="auto"/>
        </w:rPr>
        <w:t xml:space="preserve"> 10</w:t>
      </w:r>
      <w:r w:rsidRPr="00555EC8">
        <w:rPr>
          <w:rFonts w:ascii="Times New Roman" w:hAnsi="Times New Roman"/>
          <w:b w:val="0"/>
          <w:color w:val="auto"/>
          <w:vertAlign w:val="superscript"/>
        </w:rPr>
        <w:t>th</w:t>
      </w:r>
      <w:r>
        <w:rPr>
          <w:rFonts w:ascii="Times New Roman" w:hAnsi="Times New Roman"/>
          <w:b w:val="0"/>
          <w:color w:val="auto"/>
        </w:rPr>
        <w:t xml:space="preserve"> Ed</w:t>
      </w:r>
    </w:p>
  </w:footnote>
  <w:footnote w:id="26">
    <w:p w:rsidR="00567285" w:rsidRPr="0010392A" w:rsidRDefault="00567285" w:rsidP="0010392A">
      <w:pPr>
        <w:pStyle w:val="FootnoteText"/>
        <w:rPr>
          <w:rFonts w:ascii="Times New Roman" w:hAnsi="Times New Roman"/>
          <w:i/>
          <w:color w:val="auto"/>
        </w:rPr>
      </w:pPr>
      <w:r w:rsidRPr="0010392A">
        <w:rPr>
          <w:rStyle w:val="FootnoteReference"/>
          <w:rFonts w:ascii="Times New Roman" w:hAnsi="Times New Roman"/>
          <w:color w:val="auto"/>
        </w:rPr>
        <w:footnoteRef/>
      </w:r>
      <w:r w:rsidRPr="0010392A">
        <w:rPr>
          <w:rFonts w:ascii="Times New Roman" w:hAnsi="Times New Roman"/>
          <w:color w:val="auto"/>
        </w:rPr>
        <w:t xml:space="preserve"> </w:t>
      </w:r>
      <w:proofErr w:type="spellStart"/>
      <w:r w:rsidRPr="0010392A">
        <w:rPr>
          <w:rFonts w:ascii="Times New Roman" w:hAnsi="Times New Roman"/>
          <w:i/>
          <w:color w:val="auto"/>
        </w:rPr>
        <w:t>cf</w:t>
      </w:r>
      <w:proofErr w:type="spellEnd"/>
      <w:r w:rsidRPr="0010392A">
        <w:rPr>
          <w:rFonts w:ascii="Times New Roman" w:hAnsi="Times New Roman"/>
          <w:i/>
          <w:color w:val="auto"/>
        </w:rPr>
        <w:t xml:space="preserve"> Smith</w:t>
      </w:r>
      <w:r w:rsidRPr="0010392A">
        <w:rPr>
          <w:rFonts w:ascii="Times New Roman" w:hAnsi="Times New Roman"/>
          <w:b w:val="0"/>
          <w:i/>
          <w:color w:val="auto"/>
        </w:rPr>
        <w:t xml:space="preserve"> </w:t>
      </w:r>
    </w:p>
  </w:footnote>
  <w:footnote w:id="27">
    <w:p w:rsidR="00567285" w:rsidRPr="0010392A" w:rsidRDefault="00567285" w:rsidP="00E64C49">
      <w:pPr>
        <w:pStyle w:val="FootnoteText"/>
        <w:rPr>
          <w:rFonts w:ascii="Times New Roman" w:hAnsi="Times New Roman"/>
          <w:b w:val="0"/>
          <w:color w:val="auto"/>
        </w:rPr>
      </w:pPr>
      <w:r w:rsidRPr="0010392A">
        <w:rPr>
          <w:rStyle w:val="FootnoteReference"/>
          <w:rFonts w:ascii="Times New Roman" w:hAnsi="Times New Roman"/>
          <w:b w:val="0"/>
          <w:color w:val="auto"/>
        </w:rPr>
        <w:footnoteRef/>
      </w:r>
      <w:r w:rsidRPr="0010392A">
        <w:rPr>
          <w:rFonts w:ascii="Times New Roman" w:hAnsi="Times New Roman"/>
          <w:b w:val="0"/>
          <w:color w:val="auto"/>
        </w:rPr>
        <w:t xml:space="preserve"> My emphasis</w:t>
      </w:r>
    </w:p>
  </w:footnote>
  <w:footnote w:id="28">
    <w:p w:rsidR="00567285" w:rsidRPr="00531AD8" w:rsidRDefault="00567285" w:rsidP="00531AD8">
      <w:pPr>
        <w:pStyle w:val="FootnoteText"/>
        <w:jc w:val="both"/>
        <w:rPr>
          <w:rFonts w:ascii="Times New Roman" w:hAnsi="Times New Roman"/>
          <w:b w:val="0"/>
          <w:color w:val="auto"/>
        </w:rPr>
      </w:pPr>
      <w:r w:rsidRPr="00531AD8">
        <w:rPr>
          <w:rStyle w:val="FootnoteReference"/>
          <w:rFonts w:ascii="Times New Roman" w:hAnsi="Times New Roman"/>
          <w:b w:val="0"/>
          <w:color w:val="auto"/>
        </w:rPr>
        <w:footnoteRef/>
      </w:r>
      <w:r w:rsidRPr="00531AD8">
        <w:rPr>
          <w:rFonts w:ascii="Times New Roman" w:hAnsi="Times New Roman"/>
          <w:b w:val="0"/>
          <w:color w:val="auto"/>
        </w:rPr>
        <w:t xml:space="preserve"> The said </w:t>
      </w:r>
      <w:r>
        <w:rPr>
          <w:rFonts w:ascii="Times New Roman" w:hAnsi="Times New Roman"/>
          <w:b w:val="0"/>
          <w:color w:val="auto"/>
        </w:rPr>
        <w:t>Section</w:t>
      </w:r>
      <w:r w:rsidRPr="00531AD8">
        <w:rPr>
          <w:rFonts w:ascii="Times New Roman" w:hAnsi="Times New Roman"/>
          <w:b w:val="0"/>
          <w:color w:val="auto"/>
        </w:rPr>
        <w:t xml:space="preserve"> expressly proclaims that the purpose of the correctional system is to contribute to maintaining and protecting a just, peaceful and safe society by promoting the social responsibility and human develop</w:t>
      </w:r>
      <w:r>
        <w:rPr>
          <w:rFonts w:ascii="Times New Roman" w:hAnsi="Times New Roman"/>
          <w:b w:val="0"/>
          <w:color w:val="auto"/>
        </w:rPr>
        <w:t>ment of all sentenced offenders</w:t>
      </w:r>
      <w:r w:rsidRPr="00531AD8">
        <w:rPr>
          <w:rFonts w:ascii="Times New Roman" w:hAnsi="Times New Roman"/>
          <w:b w:val="0"/>
          <w:color w:val="auto"/>
        </w:rPr>
        <w:t xml:space="preserve"> </w:t>
      </w:r>
    </w:p>
  </w:footnote>
  <w:footnote w:id="29">
    <w:p w:rsidR="00567285" w:rsidRPr="00275C0C" w:rsidRDefault="00567285" w:rsidP="00E64C49">
      <w:pPr>
        <w:pStyle w:val="FootnoteText"/>
        <w:rPr>
          <w:rFonts w:ascii="Times New Roman" w:hAnsi="Times New Roman"/>
          <w:b w:val="0"/>
          <w:color w:val="auto"/>
        </w:rPr>
      </w:pPr>
      <w:r w:rsidRPr="00275C0C">
        <w:rPr>
          <w:rStyle w:val="FootnoteReference"/>
          <w:rFonts w:ascii="Times New Roman" w:hAnsi="Times New Roman"/>
          <w:b w:val="0"/>
          <w:color w:val="auto"/>
        </w:rPr>
        <w:footnoteRef/>
      </w:r>
      <w:r w:rsidRPr="00275C0C">
        <w:rPr>
          <w:rFonts w:ascii="Times New Roman" w:hAnsi="Times New Roman"/>
          <w:b w:val="0"/>
          <w:color w:val="auto"/>
        </w:rPr>
        <w:t xml:space="preserve"> Act 3 of 2000.</w:t>
      </w:r>
      <w:r>
        <w:rPr>
          <w:rFonts w:ascii="Times New Roman" w:hAnsi="Times New Roman"/>
          <w:b w:val="0"/>
          <w:color w:val="auto"/>
        </w:rPr>
        <w:t xml:space="preserve">  </w:t>
      </w:r>
      <w:r w:rsidRPr="00275C0C">
        <w:rPr>
          <w:rFonts w:ascii="Times New Roman" w:hAnsi="Times New Roman"/>
          <w:b w:val="0"/>
          <w:color w:val="auto"/>
        </w:rPr>
        <w:t>Hereinafter referred to as “</w:t>
      </w:r>
      <w:r w:rsidRPr="00275C0C">
        <w:rPr>
          <w:rFonts w:ascii="Times New Roman" w:hAnsi="Times New Roman"/>
          <w:i/>
          <w:color w:val="auto"/>
        </w:rPr>
        <w:t>PAJA</w:t>
      </w:r>
      <w:r w:rsidRPr="00275C0C">
        <w:rPr>
          <w:rFonts w:ascii="Times New Roman" w:hAnsi="Times New Roman"/>
          <w:b w:val="0"/>
          <w:color w:val="auto"/>
        </w:rPr>
        <w:t>”</w:t>
      </w:r>
    </w:p>
  </w:footnote>
  <w:footnote w:id="30">
    <w:p w:rsidR="00567285" w:rsidRPr="001873F3" w:rsidRDefault="00567285">
      <w:pPr>
        <w:pStyle w:val="FootnoteText"/>
        <w:rPr>
          <w:rFonts w:ascii="Times New Roman" w:hAnsi="Times New Roman"/>
          <w:b w:val="0"/>
          <w:color w:val="auto"/>
        </w:rPr>
      </w:pPr>
      <w:r w:rsidRPr="001873F3">
        <w:rPr>
          <w:rStyle w:val="FootnoteReference"/>
          <w:rFonts w:ascii="Times New Roman" w:hAnsi="Times New Roman"/>
          <w:b w:val="0"/>
          <w:color w:val="auto"/>
        </w:rPr>
        <w:footnoteRef/>
      </w:r>
      <w:r w:rsidRPr="001873F3">
        <w:rPr>
          <w:rFonts w:ascii="Times New Roman" w:hAnsi="Times New Roman"/>
          <w:b w:val="0"/>
          <w:color w:val="auto"/>
        </w:rPr>
        <w:t xml:space="preserve"> Section 18 of the Act, expressly requires the respondents to allow every inmate access to available reading material of his/her choice, unless such material constitutes security risk or is not conducive to his/her rehabilitation</w:t>
      </w:r>
      <w:r>
        <w:rPr>
          <w:rFonts w:ascii="Times New Roman" w:hAnsi="Times New Roman"/>
          <w:b w:val="0"/>
          <w:color w:val="auto"/>
        </w:rPr>
        <w:t xml:space="preserve">.  </w:t>
      </w:r>
      <w:r w:rsidRPr="001873F3">
        <w:rPr>
          <w:rFonts w:ascii="Times New Roman" w:hAnsi="Times New Roman"/>
          <w:b w:val="0"/>
          <w:color w:val="auto"/>
        </w:rPr>
        <w:t>Such reading material may be drawn from a library or in the Centre or may be sent to the inmate from outside the Centre, in a manne</w:t>
      </w:r>
      <w:r>
        <w:rPr>
          <w:rFonts w:ascii="Times New Roman" w:hAnsi="Times New Roman"/>
          <w:b w:val="0"/>
          <w:color w:val="auto"/>
        </w:rPr>
        <w:t>r prescribed by the regulations</w:t>
      </w:r>
      <w:r w:rsidRPr="001873F3">
        <w:rPr>
          <w:rFonts w:ascii="Times New Roman" w:hAnsi="Times New Roman"/>
          <w:b w:val="0"/>
          <w:color w:val="auto"/>
        </w:rPr>
        <w:t xml:space="preserve"> </w:t>
      </w:r>
    </w:p>
  </w:footnote>
  <w:footnote w:id="31">
    <w:p w:rsidR="00567285" w:rsidRPr="001873F3" w:rsidRDefault="00567285" w:rsidP="00E64C49">
      <w:pPr>
        <w:pStyle w:val="FootnoteText"/>
        <w:rPr>
          <w:rFonts w:ascii="Times New Roman" w:hAnsi="Times New Roman"/>
          <w:b w:val="0"/>
          <w:color w:val="auto"/>
        </w:rPr>
      </w:pPr>
      <w:r w:rsidRPr="001873F3">
        <w:rPr>
          <w:rStyle w:val="FootnoteReference"/>
          <w:rFonts w:ascii="Times New Roman" w:hAnsi="Times New Roman"/>
          <w:b w:val="0"/>
          <w:color w:val="auto"/>
        </w:rPr>
        <w:footnoteRef/>
      </w:r>
      <w:r w:rsidRPr="001873F3">
        <w:rPr>
          <w:rFonts w:ascii="Times New Roman" w:hAnsi="Times New Roman"/>
          <w:b w:val="0"/>
          <w:color w:val="auto"/>
        </w:rPr>
        <w:t xml:space="preserve"> p45, Record  </w:t>
      </w:r>
    </w:p>
  </w:footnote>
  <w:footnote w:id="32">
    <w:p w:rsidR="00567285" w:rsidRPr="001873F3" w:rsidRDefault="00567285">
      <w:pPr>
        <w:pStyle w:val="FootnoteText"/>
        <w:rPr>
          <w:rFonts w:ascii="Times New Roman" w:hAnsi="Times New Roman"/>
          <w:b w:val="0"/>
          <w:color w:val="auto"/>
        </w:rPr>
      </w:pPr>
      <w:r w:rsidRPr="001873F3">
        <w:rPr>
          <w:rStyle w:val="FootnoteReference"/>
          <w:rFonts w:ascii="Times New Roman" w:hAnsi="Times New Roman"/>
          <w:b w:val="0"/>
          <w:color w:val="auto"/>
        </w:rPr>
        <w:footnoteRef/>
      </w:r>
      <w:r>
        <w:rPr>
          <w:rFonts w:ascii="Times New Roman" w:hAnsi="Times New Roman"/>
          <w:b w:val="0"/>
          <w:color w:val="auto"/>
        </w:rPr>
        <w:t xml:space="preserve"> Section 2(a) of the Act</w:t>
      </w:r>
    </w:p>
  </w:footnote>
  <w:footnote w:id="33">
    <w:p w:rsidR="00567285" w:rsidRPr="001873F3" w:rsidRDefault="00567285">
      <w:pPr>
        <w:pStyle w:val="FootnoteText"/>
        <w:rPr>
          <w:rFonts w:ascii="Times New Roman" w:hAnsi="Times New Roman"/>
          <w:b w:val="0"/>
          <w:color w:val="auto"/>
        </w:rPr>
      </w:pPr>
      <w:r w:rsidRPr="001873F3">
        <w:rPr>
          <w:rStyle w:val="FootnoteReference"/>
          <w:rFonts w:ascii="Times New Roman" w:hAnsi="Times New Roman"/>
          <w:b w:val="0"/>
          <w:color w:val="auto"/>
        </w:rPr>
        <w:footnoteRef/>
      </w:r>
      <w:r>
        <w:rPr>
          <w:rFonts w:ascii="Times New Roman" w:hAnsi="Times New Roman"/>
          <w:b w:val="0"/>
          <w:color w:val="auto"/>
        </w:rPr>
        <w:t xml:space="preserve"> Preamble to the Act</w:t>
      </w:r>
    </w:p>
  </w:footnote>
  <w:footnote w:id="34">
    <w:p w:rsidR="00567285" w:rsidRPr="0010392A" w:rsidRDefault="00567285" w:rsidP="000D320D">
      <w:pPr>
        <w:contextualSpacing/>
        <w:jc w:val="both"/>
        <w:rPr>
          <w:rFonts w:ascii="Times New Roman" w:hAnsi="Times New Roman"/>
          <w:b w:val="0"/>
          <w:color w:val="auto"/>
          <w:sz w:val="20"/>
          <w:szCs w:val="20"/>
        </w:rPr>
      </w:pPr>
      <w:r w:rsidRPr="001873F3">
        <w:rPr>
          <w:rStyle w:val="FootnoteReference"/>
          <w:rFonts w:ascii="Times New Roman" w:hAnsi="Times New Roman"/>
          <w:b w:val="0"/>
          <w:color w:val="auto"/>
          <w:sz w:val="20"/>
          <w:szCs w:val="20"/>
        </w:rPr>
        <w:footnoteRef/>
      </w:r>
      <w:r w:rsidRPr="001873F3">
        <w:rPr>
          <w:rFonts w:ascii="Times New Roman" w:hAnsi="Times New Roman"/>
          <w:b w:val="0"/>
          <w:color w:val="auto"/>
          <w:sz w:val="20"/>
          <w:szCs w:val="20"/>
        </w:rPr>
        <w:t xml:space="preserve"> </w:t>
      </w:r>
      <w:r>
        <w:rPr>
          <w:rFonts w:ascii="Times New Roman" w:hAnsi="Times New Roman"/>
          <w:b w:val="0"/>
          <w:color w:val="auto"/>
          <w:sz w:val="20"/>
          <w:szCs w:val="20"/>
        </w:rPr>
        <w:t>Annexure E lists t</w:t>
      </w:r>
      <w:r w:rsidRPr="001873F3">
        <w:rPr>
          <w:rFonts w:ascii="Times New Roman" w:hAnsi="Times New Roman"/>
          <w:b w:val="0"/>
          <w:color w:val="auto"/>
          <w:sz w:val="20"/>
          <w:szCs w:val="20"/>
        </w:rPr>
        <w:t>he following criteria for awarding special remission of sentence, variously</w:t>
      </w:r>
      <w:r>
        <w:rPr>
          <w:rFonts w:ascii="Times New Roman" w:hAnsi="Times New Roman"/>
          <w:b w:val="0"/>
          <w:color w:val="auto"/>
          <w:sz w:val="20"/>
          <w:szCs w:val="20"/>
        </w:rPr>
        <w:t xml:space="preserve">.  </w:t>
      </w:r>
      <w:r w:rsidRPr="001873F3">
        <w:rPr>
          <w:rFonts w:ascii="Times New Roman" w:hAnsi="Times New Roman"/>
          <w:b w:val="0"/>
          <w:color w:val="auto"/>
          <w:sz w:val="20"/>
          <w:szCs w:val="20"/>
        </w:rPr>
        <w:t xml:space="preserve">Informing about escapes (1-6 months); attacks/assaults </w:t>
      </w:r>
      <w:r w:rsidRPr="0010392A">
        <w:rPr>
          <w:rFonts w:ascii="Times New Roman" w:hAnsi="Times New Roman"/>
          <w:b w:val="0"/>
          <w:color w:val="auto"/>
          <w:sz w:val="20"/>
          <w:szCs w:val="20"/>
        </w:rPr>
        <w:t>(1-18 months); smuggling of dagga/</w:t>
      </w:r>
      <w:proofErr w:type="spellStart"/>
      <w:r w:rsidRPr="0010392A">
        <w:rPr>
          <w:rFonts w:ascii="Times New Roman" w:hAnsi="Times New Roman"/>
          <w:b w:val="0"/>
          <w:color w:val="auto"/>
          <w:sz w:val="20"/>
          <w:szCs w:val="20"/>
        </w:rPr>
        <w:t>mandrax</w:t>
      </w:r>
      <w:proofErr w:type="spellEnd"/>
      <w:r w:rsidRPr="0010392A">
        <w:rPr>
          <w:rFonts w:ascii="Times New Roman" w:hAnsi="Times New Roman"/>
          <w:b w:val="0"/>
          <w:color w:val="auto"/>
          <w:sz w:val="20"/>
          <w:szCs w:val="20"/>
        </w:rPr>
        <w:t xml:space="preserve"> (1-3 months) and smuggling fire-arms (3-12 months); and developing implements or devices to save the State money, e.g</w:t>
      </w:r>
      <w:r>
        <w:rPr>
          <w:rFonts w:ascii="Times New Roman" w:hAnsi="Times New Roman"/>
          <w:b w:val="0"/>
          <w:color w:val="auto"/>
          <w:sz w:val="20"/>
          <w:szCs w:val="20"/>
        </w:rPr>
        <w:t xml:space="preserve">.  </w:t>
      </w:r>
      <w:r w:rsidRPr="0010392A">
        <w:rPr>
          <w:rFonts w:ascii="Times New Roman" w:hAnsi="Times New Roman"/>
          <w:b w:val="0"/>
          <w:color w:val="auto"/>
          <w:sz w:val="20"/>
          <w:szCs w:val="20"/>
        </w:rPr>
        <w:t xml:space="preserve">a machine was broken and the prisoner repaired it which the State was going to pay a lot of money (6 months)  </w:t>
      </w:r>
    </w:p>
  </w:footnote>
  <w:footnote w:id="35">
    <w:p w:rsidR="00567285" w:rsidRPr="0010392A" w:rsidRDefault="00567285" w:rsidP="000D320D">
      <w:pPr>
        <w:pStyle w:val="FootnoteText"/>
        <w:contextualSpacing/>
        <w:rPr>
          <w:rFonts w:ascii="Times New Roman" w:hAnsi="Times New Roman"/>
          <w:b w:val="0"/>
          <w:color w:val="auto"/>
        </w:rPr>
      </w:pPr>
      <w:r w:rsidRPr="0010392A">
        <w:rPr>
          <w:rStyle w:val="FootnoteReference"/>
          <w:rFonts w:ascii="Times New Roman" w:hAnsi="Times New Roman"/>
          <w:b w:val="0"/>
          <w:color w:val="auto"/>
        </w:rPr>
        <w:footnoteRef/>
      </w:r>
      <w:r w:rsidRPr="0010392A">
        <w:rPr>
          <w:rFonts w:ascii="Times New Roman" w:hAnsi="Times New Roman"/>
          <w:b w:val="0"/>
          <w:color w:val="auto"/>
        </w:rPr>
        <w:t xml:space="preserve"> Clause 2.1 (b), Chapter 23: Granting of Amnesty/ Special Remission of Sentence  </w:t>
      </w:r>
    </w:p>
  </w:footnote>
  <w:footnote w:id="36">
    <w:p w:rsidR="00567285" w:rsidRPr="0010392A" w:rsidRDefault="00567285" w:rsidP="000D320D">
      <w:pPr>
        <w:pStyle w:val="FootnoteText"/>
        <w:contextualSpacing/>
        <w:rPr>
          <w:rFonts w:ascii="Times New Roman" w:hAnsi="Times New Roman"/>
          <w:b w:val="0"/>
          <w:color w:val="auto"/>
        </w:rPr>
      </w:pPr>
      <w:r w:rsidRPr="0010392A">
        <w:rPr>
          <w:rStyle w:val="FootnoteReference"/>
          <w:rFonts w:ascii="Times New Roman" w:hAnsi="Times New Roman"/>
          <w:b w:val="0"/>
          <w:color w:val="auto"/>
        </w:rPr>
        <w:footnoteRef/>
      </w:r>
      <w:r w:rsidRPr="0010392A">
        <w:rPr>
          <w:rFonts w:ascii="Times New Roman" w:hAnsi="Times New Roman"/>
          <w:color w:val="auto"/>
        </w:rPr>
        <w:t xml:space="preserve"> </w:t>
      </w:r>
      <w:r w:rsidRPr="0010392A">
        <w:rPr>
          <w:rFonts w:ascii="Times New Roman" w:hAnsi="Times New Roman"/>
          <w:b w:val="0"/>
          <w:color w:val="auto"/>
        </w:rPr>
        <w:t>2016(2) SACR 691(CC)</w:t>
      </w:r>
      <w:r>
        <w:rPr>
          <w:rFonts w:ascii="Times New Roman" w:hAnsi="Times New Roman"/>
          <w:b w:val="0"/>
          <w:color w:val="auto"/>
        </w:rPr>
        <w:t xml:space="preserve"> </w:t>
      </w:r>
    </w:p>
  </w:footnote>
  <w:footnote w:id="37">
    <w:p w:rsidR="00567285" w:rsidRPr="0010392A" w:rsidRDefault="00567285" w:rsidP="000D320D">
      <w:pPr>
        <w:pStyle w:val="FootnoteText"/>
        <w:contextualSpacing/>
        <w:rPr>
          <w:rFonts w:ascii="Times New Roman" w:hAnsi="Times New Roman"/>
          <w:b w:val="0"/>
          <w:color w:val="auto"/>
        </w:rPr>
      </w:pPr>
      <w:r w:rsidRPr="0010392A">
        <w:rPr>
          <w:rStyle w:val="FootnoteReference"/>
          <w:rFonts w:ascii="Times New Roman" w:hAnsi="Times New Roman"/>
          <w:b w:val="0"/>
          <w:color w:val="auto"/>
        </w:rPr>
        <w:footnoteRef/>
      </w:r>
      <w:r w:rsidRPr="0010392A">
        <w:rPr>
          <w:rFonts w:ascii="Times New Roman" w:hAnsi="Times New Roman"/>
          <w:b w:val="0"/>
          <w:color w:val="auto"/>
        </w:rPr>
        <w:t xml:space="preserve"> Emphasis supplied  </w:t>
      </w:r>
    </w:p>
  </w:footnote>
  <w:footnote w:id="38">
    <w:p w:rsidR="00567285" w:rsidRPr="0010392A" w:rsidRDefault="00567285" w:rsidP="000D320D">
      <w:pPr>
        <w:pStyle w:val="FootnoteText"/>
        <w:contextualSpacing/>
        <w:rPr>
          <w:rFonts w:ascii="Times New Roman" w:hAnsi="Times New Roman"/>
          <w:b w:val="0"/>
          <w:color w:val="auto"/>
        </w:rPr>
      </w:pPr>
      <w:r w:rsidRPr="0010392A">
        <w:rPr>
          <w:rStyle w:val="FootnoteReference"/>
          <w:rFonts w:ascii="Times New Roman" w:hAnsi="Times New Roman"/>
          <w:b w:val="0"/>
          <w:color w:val="auto"/>
        </w:rPr>
        <w:footnoteRef/>
      </w:r>
      <w:r w:rsidRPr="0010392A">
        <w:rPr>
          <w:rFonts w:ascii="Times New Roman" w:hAnsi="Times New Roman"/>
          <w:b w:val="0"/>
          <w:color w:val="auto"/>
        </w:rPr>
        <w:t xml:space="preserve"> Clause 2.1(a)-(e), Chapter 23: </w:t>
      </w:r>
      <w:r w:rsidRPr="0010392A">
        <w:rPr>
          <w:rFonts w:ascii="Times New Roman" w:hAnsi="Times New Roman"/>
          <w:b w:val="0"/>
          <w:i/>
          <w:color w:val="auto"/>
        </w:rPr>
        <w:t>Granting of Amnesty/Special Remission of Sentence</w:t>
      </w:r>
    </w:p>
  </w:footnote>
  <w:footnote w:id="39">
    <w:p w:rsidR="00567285" w:rsidRPr="0010392A" w:rsidRDefault="00567285" w:rsidP="000D320D">
      <w:pPr>
        <w:pStyle w:val="FootnoteText"/>
        <w:contextualSpacing/>
        <w:rPr>
          <w:rFonts w:ascii="Times New Roman" w:hAnsi="Times New Roman"/>
          <w:b w:val="0"/>
          <w:color w:val="auto"/>
        </w:rPr>
      </w:pPr>
      <w:r w:rsidRPr="0010392A">
        <w:rPr>
          <w:rStyle w:val="FootnoteReference"/>
          <w:rFonts w:ascii="Times New Roman" w:hAnsi="Times New Roman"/>
          <w:b w:val="0"/>
          <w:color w:val="auto"/>
        </w:rPr>
        <w:footnoteRef/>
      </w:r>
      <w:r w:rsidRPr="0010392A">
        <w:rPr>
          <w:rFonts w:ascii="Times New Roman" w:hAnsi="Times New Roman"/>
          <w:b w:val="0"/>
          <w:color w:val="auto"/>
        </w:rPr>
        <w:t xml:space="preserve"> p48, Record</w:t>
      </w:r>
    </w:p>
  </w:footnote>
  <w:footnote w:id="40">
    <w:p w:rsidR="00567285" w:rsidRPr="0066390D" w:rsidRDefault="00567285" w:rsidP="000D320D">
      <w:pPr>
        <w:pStyle w:val="FootnoteText"/>
        <w:contextualSpacing/>
        <w:rPr>
          <w:rFonts w:ascii="Times New Roman" w:hAnsi="Times New Roman"/>
          <w:b w:val="0"/>
          <w:color w:val="auto"/>
        </w:rPr>
      </w:pPr>
      <w:r w:rsidRPr="0066390D">
        <w:rPr>
          <w:rStyle w:val="FootnoteReference"/>
          <w:rFonts w:ascii="Times New Roman" w:hAnsi="Times New Roman"/>
          <w:b w:val="0"/>
          <w:color w:val="auto"/>
        </w:rPr>
        <w:footnoteRef/>
      </w:r>
      <w:r w:rsidRPr="0066390D">
        <w:rPr>
          <w:rFonts w:ascii="Times New Roman" w:hAnsi="Times New Roman"/>
          <w:b w:val="0"/>
          <w:color w:val="auto"/>
        </w:rPr>
        <w:t xml:space="preserve"> Clause 2.1(a)-(e), Chapter 23: </w:t>
      </w:r>
      <w:r w:rsidRPr="0066390D">
        <w:rPr>
          <w:rFonts w:ascii="Times New Roman" w:hAnsi="Times New Roman"/>
          <w:b w:val="0"/>
          <w:i/>
          <w:color w:val="auto"/>
        </w:rPr>
        <w:t>Granting of Amnesty/Special Remission of Sentence</w:t>
      </w:r>
    </w:p>
  </w:footnote>
  <w:footnote w:id="41">
    <w:p w:rsidR="00567285" w:rsidRPr="0066390D" w:rsidRDefault="00567285" w:rsidP="0066390D">
      <w:pPr>
        <w:pStyle w:val="Heading2"/>
        <w:shd w:val="clear" w:color="auto" w:fill="FFFFFF"/>
        <w:spacing w:before="0" w:beforeAutospacing="0" w:after="0" w:afterAutospacing="0"/>
        <w:contextualSpacing/>
        <w:rPr>
          <w:b w:val="0"/>
          <w:bCs/>
          <w:sz w:val="20"/>
          <w:szCs w:val="20"/>
        </w:rPr>
      </w:pPr>
      <w:r w:rsidRPr="0066390D">
        <w:rPr>
          <w:rStyle w:val="FootnoteReference"/>
          <w:b w:val="0"/>
          <w:sz w:val="20"/>
          <w:szCs w:val="20"/>
        </w:rPr>
        <w:footnoteRef/>
      </w:r>
      <w:r w:rsidRPr="0066390D">
        <w:rPr>
          <w:b w:val="0"/>
          <w:sz w:val="20"/>
          <w:szCs w:val="20"/>
        </w:rPr>
        <w:t xml:space="preserve"> (46475/2012) [2</w:t>
      </w:r>
      <w:r>
        <w:rPr>
          <w:b w:val="0"/>
          <w:sz w:val="20"/>
          <w:szCs w:val="20"/>
        </w:rPr>
        <w:t>012] ZAGPJHC 66 (19 April 2012)</w:t>
      </w:r>
    </w:p>
  </w:footnote>
  <w:footnote w:id="42">
    <w:p w:rsidR="00567285" w:rsidRPr="0066390D" w:rsidRDefault="00567285" w:rsidP="000D320D">
      <w:pPr>
        <w:pStyle w:val="FootnoteText"/>
        <w:contextualSpacing/>
        <w:rPr>
          <w:rFonts w:ascii="Times New Roman" w:hAnsi="Times New Roman"/>
          <w:b w:val="0"/>
          <w:color w:val="auto"/>
        </w:rPr>
      </w:pPr>
      <w:r w:rsidRPr="0066390D">
        <w:rPr>
          <w:rStyle w:val="FootnoteReference"/>
          <w:rFonts w:ascii="Times New Roman" w:hAnsi="Times New Roman"/>
          <w:b w:val="0"/>
          <w:color w:val="auto"/>
        </w:rPr>
        <w:footnoteRef/>
      </w:r>
      <w:r w:rsidRPr="0066390D">
        <w:rPr>
          <w:rFonts w:ascii="Times New Roman" w:hAnsi="Times New Roman"/>
          <w:b w:val="0"/>
          <w:color w:val="auto"/>
        </w:rPr>
        <w:t xml:space="preserve"> </w:t>
      </w:r>
      <w:hyperlink r:id="rId1" w:tooltip="View LawCiteRecord" w:history="1">
        <w:r w:rsidRPr="0066390D">
          <w:rPr>
            <w:rStyle w:val="Hyperlink"/>
            <w:rFonts w:ascii="Times New Roman" w:hAnsi="Times New Roman"/>
            <w:b w:val="0"/>
            <w:color w:val="auto"/>
            <w:u w:val="none"/>
          </w:rPr>
          <w:t>[2006] JOL 18079</w:t>
        </w:r>
      </w:hyperlink>
      <w:r w:rsidRPr="0066390D">
        <w:rPr>
          <w:rFonts w:ascii="Times New Roman" w:hAnsi="Times New Roman"/>
          <w:b w:val="0"/>
          <w:color w:val="auto"/>
        </w:rPr>
        <w:t> (W)</w:t>
      </w:r>
    </w:p>
  </w:footnote>
  <w:footnote w:id="43">
    <w:p w:rsidR="00567285" w:rsidRPr="0066390D" w:rsidRDefault="00567285">
      <w:pPr>
        <w:pStyle w:val="FootnoteText"/>
        <w:rPr>
          <w:rFonts w:ascii="Times New Roman" w:hAnsi="Times New Roman"/>
          <w:color w:val="auto"/>
          <w:lang w:val="en-ZA"/>
        </w:rPr>
      </w:pPr>
      <w:r w:rsidRPr="0066390D">
        <w:rPr>
          <w:rStyle w:val="FootnoteReference"/>
          <w:rFonts w:ascii="Times New Roman" w:hAnsi="Times New Roman"/>
          <w:color w:val="auto"/>
        </w:rPr>
        <w:footnoteRef/>
      </w:r>
      <w:r w:rsidRPr="0066390D">
        <w:rPr>
          <w:rFonts w:ascii="Times New Roman" w:hAnsi="Times New Roman"/>
          <w:color w:val="auto"/>
        </w:rPr>
        <w:t xml:space="preserve"> </w:t>
      </w:r>
      <w:r w:rsidRPr="0066390D">
        <w:rPr>
          <w:rFonts w:ascii="Times New Roman" w:hAnsi="Times New Roman"/>
          <w:b w:val="0"/>
          <w:color w:val="auto"/>
        </w:rPr>
        <w:t>Act 8 of 1959</w:t>
      </w:r>
    </w:p>
  </w:footnote>
  <w:footnote w:id="44">
    <w:p w:rsidR="00567285" w:rsidRPr="00A33454" w:rsidRDefault="00567285" w:rsidP="000D320D">
      <w:pPr>
        <w:pStyle w:val="FootnoteText"/>
        <w:contextualSpacing/>
        <w:rPr>
          <w:rFonts w:ascii="Times New Roman" w:hAnsi="Times New Roman"/>
          <w:b w:val="0"/>
          <w:color w:val="auto"/>
        </w:rPr>
      </w:pPr>
      <w:r w:rsidRPr="00A33454">
        <w:rPr>
          <w:rStyle w:val="FootnoteReference"/>
          <w:rFonts w:ascii="Times New Roman" w:hAnsi="Times New Roman"/>
          <w:b w:val="0"/>
          <w:color w:val="auto"/>
        </w:rPr>
        <w:footnoteRef/>
      </w:r>
      <w:r w:rsidRPr="00A33454">
        <w:rPr>
          <w:rFonts w:ascii="Times New Roman" w:hAnsi="Times New Roman"/>
          <w:b w:val="0"/>
          <w:color w:val="auto"/>
        </w:rPr>
        <w:t xml:space="preserve"> Section 39(2) of the Constitution</w:t>
      </w:r>
    </w:p>
  </w:footnote>
  <w:footnote w:id="45">
    <w:p w:rsidR="00567285" w:rsidRPr="00A33454" w:rsidRDefault="00567285">
      <w:pPr>
        <w:pStyle w:val="FootnoteText"/>
        <w:rPr>
          <w:rFonts w:ascii="Times New Roman" w:hAnsi="Times New Roman"/>
          <w:color w:val="auto"/>
          <w:lang w:val="en-ZA"/>
        </w:rPr>
      </w:pPr>
      <w:r w:rsidRPr="00A33454">
        <w:rPr>
          <w:rStyle w:val="FootnoteReference"/>
          <w:rFonts w:ascii="Times New Roman" w:hAnsi="Times New Roman"/>
          <w:color w:val="auto"/>
        </w:rPr>
        <w:footnoteRef/>
      </w:r>
      <w:r w:rsidRPr="00A33454">
        <w:rPr>
          <w:rFonts w:ascii="Times New Roman" w:hAnsi="Times New Roman"/>
          <w:color w:val="auto"/>
        </w:rPr>
        <w:t xml:space="preserve"> </w:t>
      </w:r>
      <w:r w:rsidRPr="00A33454">
        <w:rPr>
          <w:rFonts w:ascii="Times New Roman" w:hAnsi="Times New Roman"/>
          <w:b w:val="0"/>
          <w:color w:val="auto"/>
        </w:rPr>
        <w:t>2014 (1) SACR 217 (SCA)</w:t>
      </w:r>
    </w:p>
  </w:footnote>
  <w:footnote w:id="46">
    <w:p w:rsidR="00567285" w:rsidRPr="00A33454" w:rsidRDefault="00567285" w:rsidP="000D320D">
      <w:pPr>
        <w:pStyle w:val="FootnoteText"/>
        <w:contextualSpacing/>
        <w:rPr>
          <w:rFonts w:ascii="Times New Roman" w:hAnsi="Times New Roman"/>
          <w:b w:val="0"/>
          <w:color w:val="auto"/>
        </w:rPr>
      </w:pPr>
      <w:r w:rsidRPr="00A33454">
        <w:rPr>
          <w:rStyle w:val="FootnoteReference"/>
          <w:rFonts w:ascii="Times New Roman" w:hAnsi="Times New Roman"/>
          <w:b w:val="0"/>
          <w:color w:val="auto"/>
        </w:rPr>
        <w:footnoteRef/>
      </w:r>
      <w:r w:rsidRPr="00A33454">
        <w:rPr>
          <w:rFonts w:ascii="Times New Roman" w:hAnsi="Times New Roman"/>
          <w:b w:val="0"/>
          <w:color w:val="auto"/>
        </w:rPr>
        <w:t xml:space="preserve"> Emphasis supplied</w:t>
      </w:r>
    </w:p>
  </w:footnote>
  <w:footnote w:id="47">
    <w:p w:rsidR="00567285" w:rsidRPr="0010392A" w:rsidRDefault="00567285" w:rsidP="000D320D">
      <w:pPr>
        <w:pStyle w:val="FootnoteText"/>
        <w:ind w:left="142" w:hanging="142"/>
        <w:contextualSpacing/>
        <w:rPr>
          <w:rFonts w:ascii="Times New Roman" w:hAnsi="Times New Roman"/>
          <w:b w:val="0"/>
          <w:color w:val="auto"/>
          <w:lang w:val="en-ZA"/>
        </w:rPr>
      </w:pPr>
      <w:r w:rsidRPr="00A33454">
        <w:rPr>
          <w:rStyle w:val="FootnoteReference"/>
          <w:rFonts w:ascii="Times New Roman" w:hAnsi="Times New Roman"/>
          <w:b w:val="0"/>
          <w:color w:val="auto"/>
        </w:rPr>
        <w:footnoteRef/>
      </w:r>
      <w:r w:rsidRPr="00A33454">
        <w:rPr>
          <w:rFonts w:ascii="Times New Roman" w:hAnsi="Times New Roman"/>
          <w:color w:val="auto"/>
        </w:rPr>
        <w:t xml:space="preserve"> </w:t>
      </w:r>
      <w:proofErr w:type="spellStart"/>
      <w:r w:rsidRPr="00A33454">
        <w:rPr>
          <w:rFonts w:ascii="Times New Roman" w:hAnsi="Times New Roman"/>
          <w:i/>
          <w:color w:val="auto"/>
        </w:rPr>
        <w:t>Makate</w:t>
      </w:r>
      <w:proofErr w:type="spellEnd"/>
      <w:r w:rsidRPr="00A33454">
        <w:rPr>
          <w:rFonts w:ascii="Times New Roman" w:hAnsi="Times New Roman"/>
          <w:i/>
          <w:color w:val="auto"/>
        </w:rPr>
        <w:t xml:space="preserve"> v Vodacom (Pty) Ltd</w:t>
      </w:r>
      <w:r w:rsidRPr="00A33454">
        <w:rPr>
          <w:rFonts w:ascii="Times New Roman" w:hAnsi="Times New Roman"/>
          <w:color w:val="auto"/>
        </w:rPr>
        <w:t xml:space="preserve"> [</w:t>
      </w:r>
      <w:r w:rsidRPr="00A33454">
        <w:rPr>
          <w:rFonts w:ascii="Times New Roman" w:hAnsi="Times New Roman"/>
          <w:b w:val="0"/>
          <w:color w:val="auto"/>
        </w:rPr>
        <w:t xml:space="preserve">2016] ZACC </w:t>
      </w:r>
      <w:r w:rsidRPr="0010392A">
        <w:rPr>
          <w:rFonts w:ascii="Times New Roman" w:hAnsi="Times New Roman"/>
          <w:b w:val="0"/>
          <w:color w:val="auto"/>
        </w:rPr>
        <w:t>13; 2016 (6) BCLR 709 (CC); 2016 (4) SA 121 (CC) at para 87</w:t>
      </w:r>
    </w:p>
  </w:footnote>
  <w:footnote w:id="48">
    <w:p w:rsidR="00567285" w:rsidRPr="0010392A" w:rsidRDefault="00567285" w:rsidP="0066390D">
      <w:pPr>
        <w:pStyle w:val="FootnoteText"/>
        <w:contextualSpacing/>
        <w:rPr>
          <w:rFonts w:ascii="Times New Roman" w:hAnsi="Times New Roman"/>
          <w:b w:val="0"/>
          <w:color w:val="auto"/>
          <w:lang w:val="en-ZA"/>
        </w:rPr>
      </w:pPr>
      <w:r w:rsidRPr="0010392A">
        <w:rPr>
          <w:rStyle w:val="FootnoteReference"/>
          <w:rFonts w:ascii="Times New Roman" w:hAnsi="Times New Roman"/>
          <w:b w:val="0"/>
          <w:color w:val="auto"/>
        </w:rPr>
        <w:footnoteRef/>
      </w:r>
      <w:r w:rsidRPr="0010392A">
        <w:rPr>
          <w:rFonts w:ascii="Times New Roman" w:hAnsi="Times New Roman"/>
          <w:b w:val="0"/>
          <w:color w:val="auto"/>
        </w:rPr>
        <w:t xml:space="preserve"> </w:t>
      </w:r>
      <w:r w:rsidRPr="0010392A">
        <w:rPr>
          <w:rFonts w:ascii="Times New Roman" w:hAnsi="Times New Roman"/>
          <w:i/>
          <w:color w:val="auto"/>
          <w:lang w:val="en-ZA"/>
        </w:rPr>
        <w:t xml:space="preserve">Wary Holdings (Pty) Ltd v </w:t>
      </w:r>
      <w:proofErr w:type="spellStart"/>
      <w:r w:rsidRPr="0010392A">
        <w:rPr>
          <w:rFonts w:ascii="Times New Roman" w:hAnsi="Times New Roman"/>
          <w:i/>
          <w:color w:val="auto"/>
          <w:lang w:val="en-ZA"/>
        </w:rPr>
        <w:t>Stalwo</w:t>
      </w:r>
      <w:proofErr w:type="spellEnd"/>
      <w:r w:rsidRPr="0010392A">
        <w:rPr>
          <w:rFonts w:ascii="Times New Roman" w:hAnsi="Times New Roman"/>
          <w:i/>
          <w:color w:val="auto"/>
          <w:lang w:val="en-ZA"/>
        </w:rPr>
        <w:t xml:space="preserve"> (Pty) Ltd and Another</w:t>
      </w:r>
      <w:r w:rsidRPr="0010392A">
        <w:rPr>
          <w:rFonts w:ascii="Times New Roman" w:hAnsi="Times New Roman"/>
          <w:b w:val="0"/>
          <w:color w:val="auto"/>
          <w:lang w:val="en-ZA"/>
        </w:rPr>
        <w:t xml:space="preserve"> 2009 (1) SA 337 (CC at paras 46, 84 and 107</w:t>
      </w:r>
    </w:p>
  </w:footnote>
  <w:footnote w:id="49">
    <w:p w:rsidR="00567285" w:rsidRPr="0010392A" w:rsidRDefault="00567285" w:rsidP="000D320D">
      <w:pPr>
        <w:pStyle w:val="FootnoteText"/>
        <w:contextualSpacing/>
        <w:rPr>
          <w:rFonts w:ascii="Times New Roman" w:hAnsi="Times New Roman"/>
          <w:b w:val="0"/>
          <w:color w:val="auto"/>
          <w:lang w:val="en-ZA"/>
        </w:rPr>
      </w:pPr>
      <w:r w:rsidRPr="0010392A">
        <w:rPr>
          <w:rStyle w:val="FootnoteReference"/>
          <w:rFonts w:ascii="Times New Roman" w:hAnsi="Times New Roman"/>
          <w:b w:val="0"/>
          <w:color w:val="auto"/>
        </w:rPr>
        <w:footnoteRef/>
      </w:r>
      <w:r w:rsidRPr="0010392A">
        <w:rPr>
          <w:rFonts w:ascii="Times New Roman" w:hAnsi="Times New Roman"/>
          <w:b w:val="0"/>
          <w:color w:val="auto"/>
        </w:rPr>
        <w:t xml:space="preserve"> </w:t>
      </w:r>
      <w:r w:rsidRPr="0010392A">
        <w:rPr>
          <w:rFonts w:ascii="Times New Roman" w:hAnsi="Times New Roman"/>
          <w:b w:val="0"/>
          <w:color w:val="auto"/>
          <w:lang w:val="en-ZA"/>
        </w:rPr>
        <w:t>2001 (1) SA 545 (CC) at paras 22-23</w:t>
      </w:r>
    </w:p>
  </w:footnote>
  <w:footnote w:id="50">
    <w:p w:rsidR="00567285" w:rsidRPr="0010392A" w:rsidRDefault="00567285" w:rsidP="000D320D">
      <w:pPr>
        <w:pStyle w:val="FootnoteText"/>
        <w:contextualSpacing/>
        <w:rPr>
          <w:rFonts w:ascii="Times New Roman" w:hAnsi="Times New Roman"/>
          <w:b w:val="0"/>
          <w:color w:val="auto"/>
          <w:lang w:val="en-ZA"/>
        </w:rPr>
      </w:pPr>
      <w:r w:rsidRPr="0010392A">
        <w:rPr>
          <w:rStyle w:val="FootnoteReference"/>
          <w:rFonts w:ascii="Times New Roman" w:hAnsi="Times New Roman"/>
          <w:b w:val="0"/>
          <w:color w:val="auto"/>
        </w:rPr>
        <w:footnoteRef/>
      </w:r>
      <w:r w:rsidRPr="0010392A">
        <w:rPr>
          <w:rFonts w:ascii="Times New Roman" w:hAnsi="Times New Roman"/>
          <w:b w:val="0"/>
          <w:color w:val="auto"/>
        </w:rPr>
        <w:t xml:space="preserve"> </w:t>
      </w:r>
      <w:r w:rsidRPr="0010392A">
        <w:rPr>
          <w:rFonts w:ascii="Times New Roman" w:hAnsi="Times New Roman"/>
          <w:i/>
          <w:color w:val="auto"/>
          <w:lang w:val="en-ZA"/>
        </w:rPr>
        <w:t>South African Police Service v Public Servants Association</w:t>
      </w:r>
      <w:r w:rsidRPr="0010392A">
        <w:rPr>
          <w:rFonts w:ascii="Times New Roman" w:hAnsi="Times New Roman"/>
          <w:b w:val="0"/>
          <w:color w:val="auto"/>
          <w:lang w:val="en-ZA"/>
        </w:rPr>
        <w:t xml:space="preserve"> [2006] ZACC 18; 2007 (3) SA 521 (CC) at para 20</w:t>
      </w:r>
    </w:p>
  </w:footnote>
  <w:footnote w:id="51">
    <w:p w:rsidR="00567285" w:rsidRPr="0010392A" w:rsidRDefault="00567285" w:rsidP="000D320D">
      <w:pPr>
        <w:pStyle w:val="FootnoteText"/>
        <w:contextualSpacing/>
        <w:rPr>
          <w:rFonts w:ascii="Times New Roman" w:hAnsi="Times New Roman"/>
          <w:b w:val="0"/>
          <w:i/>
          <w:color w:val="auto"/>
        </w:rPr>
      </w:pPr>
      <w:r w:rsidRPr="0010392A">
        <w:rPr>
          <w:rStyle w:val="FootnoteReference"/>
          <w:rFonts w:ascii="Times New Roman" w:hAnsi="Times New Roman"/>
          <w:b w:val="0"/>
          <w:color w:val="auto"/>
        </w:rPr>
        <w:footnoteRef/>
      </w:r>
      <w:r w:rsidRPr="0010392A">
        <w:rPr>
          <w:rFonts w:ascii="Times New Roman" w:hAnsi="Times New Roman"/>
          <w:b w:val="0"/>
          <w:color w:val="auto"/>
        </w:rPr>
        <w:t xml:space="preserve"> </w:t>
      </w:r>
      <w:r w:rsidRPr="0010392A">
        <w:rPr>
          <w:rFonts w:ascii="Times New Roman" w:hAnsi="Times New Roman"/>
          <w:b w:val="0"/>
          <w:i/>
          <w:color w:val="auto"/>
        </w:rPr>
        <w:t xml:space="preserve">2004 (4) SA 490 (CC) </w:t>
      </w:r>
    </w:p>
  </w:footnote>
  <w:footnote w:id="52">
    <w:p w:rsidR="00567285" w:rsidRPr="0010392A" w:rsidRDefault="00567285" w:rsidP="000D320D">
      <w:pPr>
        <w:contextualSpacing/>
        <w:jc w:val="both"/>
        <w:rPr>
          <w:rFonts w:ascii="Times New Roman" w:hAnsi="Times New Roman"/>
          <w:b w:val="0"/>
          <w:color w:val="auto"/>
          <w:sz w:val="20"/>
          <w:szCs w:val="20"/>
        </w:rPr>
      </w:pPr>
      <w:r w:rsidRPr="0010392A">
        <w:rPr>
          <w:rStyle w:val="FootnoteReference"/>
          <w:rFonts w:ascii="Times New Roman" w:hAnsi="Times New Roman"/>
          <w:b w:val="0"/>
          <w:color w:val="auto"/>
          <w:sz w:val="20"/>
          <w:szCs w:val="20"/>
        </w:rPr>
        <w:footnoteRef/>
      </w:r>
      <w:r w:rsidRPr="0010392A">
        <w:rPr>
          <w:rFonts w:ascii="Times New Roman" w:hAnsi="Times New Roman"/>
          <w:color w:val="auto"/>
          <w:sz w:val="20"/>
          <w:szCs w:val="20"/>
        </w:rPr>
        <w:t xml:space="preserve"> </w:t>
      </w:r>
      <w:r w:rsidRPr="0010392A">
        <w:rPr>
          <w:rFonts w:ascii="Times New Roman" w:hAnsi="Times New Roman"/>
          <w:b w:val="0"/>
          <w:color w:val="auto"/>
          <w:sz w:val="20"/>
          <w:szCs w:val="20"/>
        </w:rPr>
        <w:t xml:space="preserve">2009 (2) SA 373 at para 40 </w:t>
      </w:r>
    </w:p>
  </w:footnote>
  <w:footnote w:id="53">
    <w:p w:rsidR="00567285" w:rsidRPr="0010392A" w:rsidRDefault="00567285" w:rsidP="000D320D">
      <w:pPr>
        <w:pStyle w:val="FootnoteText"/>
        <w:contextualSpacing/>
        <w:rPr>
          <w:rFonts w:ascii="Times New Roman" w:hAnsi="Times New Roman"/>
        </w:rPr>
      </w:pPr>
      <w:r w:rsidRPr="0010392A">
        <w:rPr>
          <w:rStyle w:val="FootnoteReference"/>
          <w:rFonts w:ascii="Times New Roman" w:hAnsi="Times New Roman"/>
          <w:b w:val="0"/>
          <w:color w:val="auto"/>
        </w:rPr>
        <w:footnoteRef/>
      </w:r>
      <w:r w:rsidRPr="0010392A">
        <w:rPr>
          <w:rFonts w:ascii="Times New Roman" w:hAnsi="Times New Roman"/>
          <w:b w:val="0"/>
          <w:color w:val="auto"/>
        </w:rPr>
        <w:t xml:space="preserve"> </w:t>
      </w:r>
      <w:proofErr w:type="spellStart"/>
      <w:r w:rsidRPr="0010392A">
        <w:rPr>
          <w:rFonts w:ascii="Times New Roman" w:hAnsi="Times New Roman"/>
          <w:i/>
          <w:color w:val="auto"/>
        </w:rPr>
        <w:t>Elrlich</w:t>
      </w:r>
      <w:proofErr w:type="spellEnd"/>
      <w:r w:rsidRPr="0010392A">
        <w:rPr>
          <w:rFonts w:ascii="Times New Roman" w:hAnsi="Times New Roman"/>
          <w:i/>
          <w:color w:val="auto"/>
        </w:rPr>
        <w:t xml:space="preserve"> (supra)  </w:t>
      </w:r>
    </w:p>
  </w:footnote>
  <w:footnote w:id="54">
    <w:p w:rsidR="00567285" w:rsidRPr="0010392A" w:rsidRDefault="00567285" w:rsidP="000D320D">
      <w:pPr>
        <w:pStyle w:val="FootnoteText"/>
        <w:contextualSpacing/>
        <w:rPr>
          <w:rFonts w:ascii="Times New Roman" w:hAnsi="Times New Roman"/>
          <w:b w:val="0"/>
          <w:color w:val="auto"/>
        </w:rPr>
      </w:pPr>
      <w:r w:rsidRPr="0010392A">
        <w:rPr>
          <w:rStyle w:val="FootnoteReference"/>
          <w:rFonts w:ascii="Times New Roman" w:hAnsi="Times New Roman"/>
          <w:b w:val="0"/>
          <w:color w:val="auto"/>
        </w:rPr>
        <w:footnoteRef/>
      </w:r>
      <w:r w:rsidRPr="0010392A">
        <w:rPr>
          <w:rFonts w:ascii="Times New Roman" w:hAnsi="Times New Roman"/>
          <w:b w:val="0"/>
          <w:color w:val="auto"/>
        </w:rPr>
        <w:t xml:space="preserve"> 2000 (2) SA 674</w:t>
      </w:r>
    </w:p>
  </w:footnote>
  <w:footnote w:id="55">
    <w:p w:rsidR="00567285" w:rsidRPr="0010392A" w:rsidRDefault="00567285" w:rsidP="000D320D">
      <w:pPr>
        <w:pStyle w:val="FootnoteText"/>
        <w:contextualSpacing/>
        <w:rPr>
          <w:rFonts w:ascii="Times New Roman" w:hAnsi="Times New Roman"/>
          <w:b w:val="0"/>
          <w:color w:val="auto"/>
        </w:rPr>
      </w:pPr>
      <w:r w:rsidRPr="0010392A">
        <w:rPr>
          <w:rStyle w:val="FootnoteReference"/>
          <w:rFonts w:ascii="Times New Roman" w:hAnsi="Times New Roman"/>
          <w:b w:val="0"/>
          <w:color w:val="auto"/>
        </w:rPr>
        <w:footnoteRef/>
      </w:r>
      <w:r w:rsidRPr="0010392A">
        <w:rPr>
          <w:rFonts w:ascii="Times New Roman" w:hAnsi="Times New Roman"/>
          <w:b w:val="0"/>
          <w:color w:val="auto"/>
        </w:rPr>
        <w:t xml:space="preserve"> My emphasis </w:t>
      </w:r>
    </w:p>
  </w:footnote>
  <w:footnote w:id="56">
    <w:p w:rsidR="00567285" w:rsidRPr="0010392A" w:rsidRDefault="00567285" w:rsidP="00654DF4">
      <w:pPr>
        <w:pStyle w:val="FootnoteText"/>
        <w:rPr>
          <w:rFonts w:ascii="Times New Roman" w:hAnsi="Times New Roman"/>
          <w:b w:val="0"/>
          <w:color w:val="auto"/>
        </w:rPr>
      </w:pPr>
      <w:r w:rsidRPr="0010392A">
        <w:rPr>
          <w:rStyle w:val="FootnoteReference"/>
          <w:rFonts w:ascii="Times New Roman" w:hAnsi="Times New Roman"/>
          <w:b w:val="0"/>
          <w:color w:val="auto"/>
        </w:rPr>
        <w:footnoteRef/>
      </w:r>
      <w:r w:rsidRPr="0010392A">
        <w:rPr>
          <w:rFonts w:ascii="Times New Roman" w:hAnsi="Times New Roman"/>
          <w:b w:val="0"/>
          <w:color w:val="auto"/>
        </w:rPr>
        <w:t xml:space="preserve"> p48, Record </w:t>
      </w:r>
    </w:p>
  </w:footnote>
  <w:footnote w:id="57">
    <w:p w:rsidR="00567285" w:rsidRPr="0010392A" w:rsidRDefault="00567285" w:rsidP="00654DF4">
      <w:pPr>
        <w:pStyle w:val="FootnoteText"/>
        <w:rPr>
          <w:rFonts w:ascii="Times New Roman" w:hAnsi="Times New Roman"/>
          <w:b w:val="0"/>
          <w:color w:val="auto"/>
        </w:rPr>
      </w:pPr>
      <w:r w:rsidRPr="0010392A">
        <w:rPr>
          <w:rStyle w:val="FootnoteReference"/>
          <w:rFonts w:ascii="Times New Roman" w:hAnsi="Times New Roman"/>
          <w:b w:val="0"/>
          <w:color w:val="auto"/>
        </w:rPr>
        <w:footnoteRef/>
      </w:r>
      <w:r w:rsidRPr="0010392A">
        <w:rPr>
          <w:rFonts w:ascii="Times New Roman" w:hAnsi="Times New Roman"/>
          <w:b w:val="0"/>
          <w:color w:val="auto"/>
        </w:rPr>
        <w:t xml:space="preserve"> Concise Oxford English Dictionary, Revised 10</w:t>
      </w:r>
      <w:r w:rsidRPr="0010392A">
        <w:rPr>
          <w:rFonts w:ascii="Times New Roman" w:hAnsi="Times New Roman"/>
          <w:b w:val="0"/>
          <w:color w:val="auto"/>
          <w:vertAlign w:val="superscript"/>
        </w:rPr>
        <w:t>th</w:t>
      </w:r>
      <w:r w:rsidRPr="0010392A">
        <w:rPr>
          <w:rFonts w:ascii="Times New Roman" w:hAnsi="Times New Roman"/>
          <w:b w:val="0"/>
          <w:color w:val="auto"/>
        </w:rPr>
        <w:t xml:space="preserve"> Ed</w:t>
      </w:r>
    </w:p>
  </w:footnote>
  <w:footnote w:id="58">
    <w:p w:rsidR="00567285" w:rsidRPr="0010392A" w:rsidRDefault="00567285" w:rsidP="00E64C49">
      <w:pPr>
        <w:pStyle w:val="FootnoteText"/>
        <w:rPr>
          <w:rFonts w:ascii="Times New Roman" w:hAnsi="Times New Roman"/>
          <w:b w:val="0"/>
          <w:color w:val="auto"/>
        </w:rPr>
      </w:pPr>
      <w:r w:rsidRPr="0010392A">
        <w:rPr>
          <w:rStyle w:val="FootnoteReference"/>
          <w:rFonts w:ascii="Times New Roman" w:hAnsi="Times New Roman"/>
          <w:b w:val="0"/>
          <w:color w:val="auto"/>
        </w:rPr>
        <w:footnoteRef/>
      </w:r>
      <w:r w:rsidRPr="0010392A">
        <w:rPr>
          <w:rFonts w:ascii="Times New Roman" w:hAnsi="Times New Roman"/>
          <w:b w:val="0"/>
          <w:color w:val="auto"/>
        </w:rPr>
        <w:t xml:space="preserve"> </w:t>
      </w:r>
      <w:r w:rsidRPr="0010392A">
        <w:rPr>
          <w:rFonts w:ascii="Times New Roman" w:hAnsi="Times New Roman"/>
          <w:i/>
          <w:color w:val="auto"/>
        </w:rPr>
        <w:t>BP Southern Africa v MEC</w:t>
      </w:r>
      <w:r w:rsidRPr="0010392A">
        <w:rPr>
          <w:rFonts w:ascii="Times New Roman" w:hAnsi="Times New Roman"/>
          <w:b w:val="0"/>
          <w:color w:val="auto"/>
        </w:rPr>
        <w:t xml:space="preserve"> at 155A-B </w:t>
      </w:r>
    </w:p>
  </w:footnote>
  <w:footnote w:id="59">
    <w:p w:rsidR="00567285" w:rsidRPr="0010392A" w:rsidRDefault="00567285" w:rsidP="00E64C49">
      <w:pPr>
        <w:pStyle w:val="FootnoteText"/>
        <w:rPr>
          <w:rFonts w:ascii="Times New Roman" w:hAnsi="Times New Roman"/>
          <w:b w:val="0"/>
          <w:color w:val="auto"/>
        </w:rPr>
      </w:pPr>
      <w:r w:rsidRPr="0010392A">
        <w:rPr>
          <w:rStyle w:val="FootnoteReference"/>
          <w:rFonts w:ascii="Times New Roman" w:hAnsi="Times New Roman"/>
          <w:b w:val="0"/>
          <w:color w:val="auto"/>
        </w:rPr>
        <w:footnoteRef/>
      </w:r>
      <w:r w:rsidRPr="0010392A">
        <w:rPr>
          <w:rFonts w:ascii="Times New Roman" w:hAnsi="Times New Roman"/>
          <w:b w:val="0"/>
          <w:color w:val="auto"/>
        </w:rPr>
        <w:t xml:space="preserve"> 2005 (6) 519 (SCA) </w:t>
      </w:r>
    </w:p>
  </w:footnote>
  <w:footnote w:id="60">
    <w:p w:rsidR="00567285" w:rsidRPr="0010392A" w:rsidRDefault="00567285" w:rsidP="00E64C49">
      <w:pPr>
        <w:pStyle w:val="FootnoteText"/>
        <w:rPr>
          <w:rFonts w:ascii="Times New Roman" w:hAnsi="Times New Roman"/>
          <w:b w:val="0"/>
          <w:color w:val="auto"/>
        </w:rPr>
      </w:pPr>
      <w:r w:rsidRPr="0010392A">
        <w:rPr>
          <w:rStyle w:val="FootnoteReference"/>
          <w:rFonts w:ascii="Times New Roman" w:hAnsi="Times New Roman"/>
          <w:b w:val="0"/>
          <w:color w:val="auto"/>
        </w:rPr>
        <w:footnoteRef/>
      </w:r>
      <w:r w:rsidRPr="0010392A">
        <w:rPr>
          <w:rFonts w:ascii="Times New Roman" w:hAnsi="Times New Roman"/>
          <w:b w:val="0"/>
          <w:color w:val="auto"/>
        </w:rPr>
        <w:t xml:space="preserve"> My emphasis </w:t>
      </w:r>
    </w:p>
  </w:footnote>
  <w:footnote w:id="61">
    <w:p w:rsidR="00567285" w:rsidRPr="0010392A" w:rsidRDefault="00567285" w:rsidP="00E64C49">
      <w:pPr>
        <w:pStyle w:val="FootnoteText"/>
        <w:rPr>
          <w:rFonts w:ascii="Times New Roman" w:hAnsi="Times New Roman"/>
          <w:color w:val="auto"/>
        </w:rPr>
      </w:pPr>
      <w:r w:rsidRPr="0010392A">
        <w:rPr>
          <w:rStyle w:val="FootnoteReference"/>
          <w:rFonts w:ascii="Times New Roman" w:hAnsi="Times New Roman"/>
          <w:b w:val="0"/>
          <w:i/>
          <w:color w:val="auto"/>
        </w:rPr>
        <w:footnoteRef/>
      </w:r>
      <w:r w:rsidRPr="0010392A">
        <w:rPr>
          <w:rFonts w:ascii="Times New Roman" w:hAnsi="Times New Roman"/>
          <w:b w:val="0"/>
          <w:i/>
          <w:color w:val="auto"/>
        </w:rPr>
        <w:t xml:space="preserve"> </w:t>
      </w:r>
      <w:r w:rsidRPr="0010392A">
        <w:rPr>
          <w:rFonts w:ascii="Times New Roman" w:hAnsi="Times New Roman"/>
          <w:i/>
          <w:color w:val="auto"/>
        </w:rPr>
        <w:t xml:space="preserve">Chairman of the State Tender Board v Digital Voice Processing; Chairman of the State Tender Board v </w:t>
      </w:r>
      <w:proofErr w:type="spellStart"/>
      <w:r w:rsidRPr="0010392A">
        <w:rPr>
          <w:rFonts w:ascii="Times New Roman" w:hAnsi="Times New Roman"/>
          <w:i/>
          <w:color w:val="auto"/>
        </w:rPr>
        <w:t>Sneller</w:t>
      </w:r>
      <w:proofErr w:type="spellEnd"/>
      <w:r w:rsidRPr="0010392A">
        <w:rPr>
          <w:rFonts w:ascii="Times New Roman" w:hAnsi="Times New Roman"/>
          <w:i/>
          <w:color w:val="auto"/>
        </w:rPr>
        <w:t xml:space="preserve"> Digital and Another</w:t>
      </w:r>
      <w:r w:rsidRPr="0010392A">
        <w:rPr>
          <w:rFonts w:ascii="Times New Roman" w:hAnsi="Times New Roman"/>
          <w:color w:val="auto"/>
        </w:rPr>
        <w:t xml:space="preserve"> </w:t>
      </w:r>
      <w:r w:rsidRPr="0010392A">
        <w:rPr>
          <w:rFonts w:ascii="Times New Roman" w:hAnsi="Times New Roman"/>
          <w:b w:val="0"/>
          <w:color w:val="auto"/>
        </w:rPr>
        <w:t xml:space="preserve">2012 (2) SA 16(SCA) at para 40  </w:t>
      </w:r>
    </w:p>
  </w:footnote>
  <w:footnote w:id="62">
    <w:p w:rsidR="00567285" w:rsidRPr="0010392A" w:rsidRDefault="00567285" w:rsidP="00E64C49">
      <w:pPr>
        <w:pStyle w:val="FootnoteText"/>
        <w:rPr>
          <w:rFonts w:ascii="Times New Roman" w:hAnsi="Times New Roman"/>
          <w:b w:val="0"/>
          <w:color w:val="auto"/>
        </w:rPr>
      </w:pPr>
      <w:r w:rsidRPr="0010392A">
        <w:rPr>
          <w:rStyle w:val="FootnoteReference"/>
          <w:rFonts w:ascii="Times New Roman" w:hAnsi="Times New Roman"/>
          <w:b w:val="0"/>
          <w:color w:val="auto"/>
        </w:rPr>
        <w:footnoteRef/>
      </w:r>
      <w:r w:rsidRPr="0010392A">
        <w:rPr>
          <w:rFonts w:ascii="Times New Roman" w:hAnsi="Times New Roman"/>
          <w:b w:val="0"/>
          <w:color w:val="auto"/>
        </w:rPr>
        <w:t xml:space="preserve"> </w:t>
      </w:r>
      <w:proofErr w:type="spellStart"/>
      <w:r w:rsidRPr="0010392A">
        <w:rPr>
          <w:rFonts w:ascii="Times New Roman" w:hAnsi="Times New Roman"/>
          <w:i/>
          <w:color w:val="auto"/>
        </w:rPr>
        <w:t>Soffiantini</w:t>
      </w:r>
      <w:proofErr w:type="spellEnd"/>
      <w:r w:rsidRPr="0010392A">
        <w:rPr>
          <w:rFonts w:ascii="Times New Roman" w:hAnsi="Times New Roman"/>
          <w:b w:val="0"/>
          <w:color w:val="auto"/>
        </w:rPr>
        <w:t xml:space="preserve"> </w:t>
      </w:r>
      <w:r w:rsidRPr="0010392A">
        <w:rPr>
          <w:rFonts w:ascii="Times New Roman" w:hAnsi="Times New Roman"/>
          <w:color w:val="auto"/>
        </w:rPr>
        <w:t>(</w:t>
      </w:r>
      <w:r w:rsidRPr="0010392A">
        <w:rPr>
          <w:rFonts w:ascii="Times New Roman" w:hAnsi="Times New Roman"/>
          <w:i/>
          <w:color w:val="auto"/>
        </w:rPr>
        <w:t>supra</w:t>
      </w:r>
      <w:r w:rsidRPr="0010392A">
        <w:rPr>
          <w:rFonts w:ascii="Times New Roman" w:hAnsi="Times New Roman"/>
          <w:color w:val="auto"/>
        </w:rPr>
        <w:t>)</w:t>
      </w:r>
      <w:r w:rsidRPr="0010392A">
        <w:rPr>
          <w:rFonts w:ascii="Times New Roman" w:hAnsi="Times New Roman"/>
          <w:b w:val="0"/>
          <w:color w:val="auto"/>
        </w:rPr>
        <w:t xml:space="preserve"> </w:t>
      </w:r>
    </w:p>
  </w:footnote>
  <w:footnote w:id="63">
    <w:p w:rsidR="00567285" w:rsidRPr="0010392A" w:rsidRDefault="00567285" w:rsidP="00E64C49">
      <w:pPr>
        <w:pStyle w:val="FootnoteText"/>
        <w:rPr>
          <w:rFonts w:ascii="Times New Roman" w:hAnsi="Times New Roman"/>
          <w:b w:val="0"/>
          <w:color w:val="auto"/>
        </w:rPr>
      </w:pPr>
      <w:r w:rsidRPr="0010392A">
        <w:rPr>
          <w:rStyle w:val="FootnoteReference"/>
          <w:rFonts w:ascii="Times New Roman" w:hAnsi="Times New Roman"/>
          <w:b w:val="0"/>
          <w:color w:val="auto"/>
        </w:rPr>
        <w:footnoteRef/>
      </w:r>
      <w:r w:rsidRPr="0010392A">
        <w:rPr>
          <w:rFonts w:ascii="Times New Roman" w:hAnsi="Times New Roman"/>
          <w:b w:val="0"/>
          <w:color w:val="auto"/>
        </w:rPr>
        <w:t xml:space="preserve"> </w:t>
      </w:r>
      <w:r w:rsidRPr="0010392A">
        <w:rPr>
          <w:rFonts w:ascii="Times New Roman" w:hAnsi="Times New Roman"/>
          <w:i/>
          <w:color w:val="auto"/>
        </w:rPr>
        <w:t xml:space="preserve">National Coalition for Gay and Lesbians v Minister of Home Affairs and Others </w:t>
      </w:r>
      <w:r w:rsidRPr="0010392A">
        <w:rPr>
          <w:rFonts w:ascii="Times New Roman" w:hAnsi="Times New Roman"/>
          <w:b w:val="0"/>
          <w:color w:val="auto"/>
        </w:rPr>
        <w:t>2000(2) SA 1 (CC) para 19</w:t>
      </w:r>
    </w:p>
  </w:footnote>
  <w:footnote w:id="64">
    <w:p w:rsidR="00567285" w:rsidRPr="0010392A" w:rsidRDefault="00567285" w:rsidP="00B95FF1">
      <w:pPr>
        <w:pStyle w:val="FootnoteText"/>
        <w:rPr>
          <w:rFonts w:ascii="Times New Roman" w:hAnsi="Times New Roman"/>
          <w:b w:val="0"/>
          <w:color w:val="auto"/>
        </w:rPr>
      </w:pPr>
      <w:r w:rsidRPr="0010392A">
        <w:rPr>
          <w:rStyle w:val="FootnoteReference"/>
          <w:rFonts w:ascii="Times New Roman" w:hAnsi="Times New Roman"/>
          <w:b w:val="0"/>
          <w:color w:val="auto"/>
        </w:rPr>
        <w:footnoteRef/>
      </w:r>
      <w:r w:rsidRPr="0010392A">
        <w:rPr>
          <w:rFonts w:ascii="Times New Roman" w:hAnsi="Times New Roman"/>
          <w:color w:val="auto"/>
        </w:rPr>
        <w:t xml:space="preserve"> </w:t>
      </w:r>
      <w:proofErr w:type="spellStart"/>
      <w:r w:rsidRPr="0010392A">
        <w:rPr>
          <w:rFonts w:ascii="Times New Roman" w:hAnsi="Times New Roman"/>
          <w:i/>
          <w:color w:val="auto"/>
        </w:rPr>
        <w:t>Thusi</w:t>
      </w:r>
      <w:proofErr w:type="spellEnd"/>
      <w:r w:rsidRPr="0010392A">
        <w:rPr>
          <w:rFonts w:ascii="Times New Roman" w:hAnsi="Times New Roman"/>
          <w:i/>
          <w:color w:val="auto"/>
        </w:rPr>
        <w:t xml:space="preserve"> v Minister of Home Affairs and 71 Others </w:t>
      </w:r>
      <w:r w:rsidRPr="0010392A">
        <w:rPr>
          <w:rFonts w:ascii="Times New Roman" w:hAnsi="Times New Roman"/>
          <w:b w:val="0"/>
          <w:color w:val="auto"/>
        </w:rPr>
        <w:t>2011(2) SA 475 at para 31</w:t>
      </w:r>
    </w:p>
  </w:footnote>
  <w:footnote w:id="65">
    <w:p w:rsidR="00567285" w:rsidRPr="0010392A" w:rsidRDefault="00567285" w:rsidP="00B95FF1">
      <w:pPr>
        <w:pStyle w:val="FootnoteText"/>
        <w:rPr>
          <w:rFonts w:ascii="Times New Roman" w:hAnsi="Times New Roman"/>
          <w:b w:val="0"/>
          <w:color w:val="auto"/>
        </w:rPr>
      </w:pPr>
      <w:r w:rsidRPr="0010392A">
        <w:rPr>
          <w:rStyle w:val="FootnoteReference"/>
          <w:rFonts w:ascii="Times New Roman" w:hAnsi="Times New Roman"/>
          <w:b w:val="0"/>
          <w:color w:val="auto"/>
        </w:rPr>
        <w:footnoteRef/>
      </w:r>
      <w:r w:rsidRPr="0010392A">
        <w:rPr>
          <w:rFonts w:ascii="Times New Roman" w:hAnsi="Times New Roman"/>
          <w:b w:val="0"/>
          <w:color w:val="auto"/>
        </w:rPr>
        <w:t xml:space="preserve"> Para 18, p94, AA  </w:t>
      </w:r>
    </w:p>
  </w:footnote>
  <w:footnote w:id="66">
    <w:p w:rsidR="00567285" w:rsidRPr="0010392A" w:rsidRDefault="00567285" w:rsidP="00B95FF1">
      <w:pPr>
        <w:pStyle w:val="Level1"/>
        <w:numPr>
          <w:ilvl w:val="0"/>
          <w:numId w:val="0"/>
        </w:numPr>
        <w:ind w:left="284" w:hanging="284"/>
        <w:jc w:val="both"/>
        <w:rPr>
          <w:rFonts w:ascii="Times New Roman" w:hAnsi="Times New Roman"/>
          <w:b w:val="0"/>
          <w:i/>
          <w:color w:val="auto"/>
          <w:sz w:val="20"/>
          <w:szCs w:val="20"/>
        </w:rPr>
      </w:pPr>
      <w:r w:rsidRPr="0010392A">
        <w:rPr>
          <w:rStyle w:val="FootnoteReference"/>
          <w:rFonts w:ascii="Times New Roman" w:hAnsi="Times New Roman"/>
          <w:b w:val="0"/>
          <w:color w:val="auto"/>
          <w:sz w:val="20"/>
          <w:szCs w:val="20"/>
        </w:rPr>
        <w:footnoteRef/>
      </w:r>
      <w:r w:rsidRPr="0010392A">
        <w:rPr>
          <w:rFonts w:ascii="Times New Roman" w:hAnsi="Times New Roman"/>
          <w:b w:val="0"/>
          <w:color w:val="auto"/>
          <w:sz w:val="20"/>
          <w:szCs w:val="20"/>
        </w:rPr>
        <w:t xml:space="preserve"> </w:t>
      </w:r>
      <w:r w:rsidRPr="0010392A">
        <w:rPr>
          <w:rFonts w:ascii="Times New Roman" w:hAnsi="Times New Roman"/>
          <w:i/>
          <w:color w:val="auto"/>
          <w:sz w:val="20"/>
          <w:szCs w:val="20"/>
          <w:lang w:eastAsia="en-ZA"/>
        </w:rPr>
        <w:t>Public Protector v South African Reserve Bank</w:t>
      </w:r>
      <w:r w:rsidRPr="0010392A">
        <w:rPr>
          <w:rFonts w:ascii="Times New Roman" w:hAnsi="Times New Roman"/>
          <w:b w:val="0"/>
          <w:color w:val="auto"/>
          <w:sz w:val="20"/>
          <w:szCs w:val="20"/>
          <w:lang w:eastAsia="en-ZA"/>
        </w:rPr>
        <w:t xml:space="preserve"> 2019 (9) BCLR 1113 (CC)</w:t>
      </w:r>
    </w:p>
  </w:footnote>
  <w:footnote w:id="67">
    <w:p w:rsidR="00567285" w:rsidRPr="0010392A" w:rsidRDefault="00567285" w:rsidP="00E64C49">
      <w:pPr>
        <w:pStyle w:val="FootnoteText"/>
        <w:rPr>
          <w:rFonts w:ascii="Times New Roman" w:hAnsi="Times New Roman"/>
          <w:b w:val="0"/>
          <w:color w:val="auto"/>
        </w:rPr>
      </w:pPr>
      <w:r w:rsidRPr="0010392A">
        <w:rPr>
          <w:rStyle w:val="FootnoteReference"/>
          <w:rFonts w:ascii="Times New Roman" w:hAnsi="Times New Roman"/>
          <w:b w:val="0"/>
          <w:color w:val="auto"/>
        </w:rPr>
        <w:footnoteRef/>
      </w:r>
      <w:r w:rsidRPr="0010392A">
        <w:rPr>
          <w:rFonts w:ascii="Times New Roman" w:hAnsi="Times New Roman"/>
          <w:b w:val="0"/>
          <w:color w:val="auto"/>
        </w:rPr>
        <w:t xml:space="preserve"> </w:t>
      </w:r>
      <w:r w:rsidRPr="0010392A">
        <w:rPr>
          <w:rFonts w:ascii="Times New Roman" w:hAnsi="Times New Roman"/>
          <w:i/>
          <w:color w:val="auto"/>
        </w:rPr>
        <w:t xml:space="preserve">Room Hire v </w:t>
      </w:r>
      <w:proofErr w:type="spellStart"/>
      <w:r w:rsidRPr="0010392A">
        <w:rPr>
          <w:rFonts w:ascii="Times New Roman" w:hAnsi="Times New Roman"/>
          <w:i/>
          <w:color w:val="auto"/>
        </w:rPr>
        <w:t>Jeppe</w:t>
      </w:r>
      <w:proofErr w:type="spellEnd"/>
      <w:r w:rsidRPr="0010392A">
        <w:rPr>
          <w:rFonts w:ascii="Times New Roman" w:hAnsi="Times New Roman"/>
          <w:i/>
          <w:color w:val="auto"/>
        </w:rPr>
        <w:t xml:space="preserve"> Street Mansions</w:t>
      </w:r>
      <w:r w:rsidRPr="0010392A">
        <w:rPr>
          <w:rFonts w:ascii="Times New Roman" w:hAnsi="Times New Roman"/>
          <w:b w:val="0"/>
          <w:color w:val="auto"/>
        </w:rPr>
        <w:t xml:space="preserve"> 1949(3) SA 1155(T) at 1163 and 1165  </w:t>
      </w:r>
    </w:p>
  </w:footnote>
  <w:footnote w:id="68">
    <w:p w:rsidR="00567285" w:rsidRPr="0010392A" w:rsidRDefault="00567285" w:rsidP="00E64C49">
      <w:pPr>
        <w:pStyle w:val="FootnoteText"/>
        <w:rPr>
          <w:rFonts w:ascii="Times New Roman" w:hAnsi="Times New Roman"/>
          <w:b w:val="0"/>
          <w:color w:val="auto"/>
        </w:rPr>
      </w:pPr>
      <w:r w:rsidRPr="0010392A">
        <w:rPr>
          <w:rStyle w:val="FootnoteReference"/>
          <w:rFonts w:ascii="Times New Roman" w:hAnsi="Times New Roman"/>
          <w:b w:val="0"/>
          <w:color w:val="auto"/>
        </w:rPr>
        <w:footnoteRef/>
      </w:r>
      <w:r w:rsidRPr="0010392A">
        <w:rPr>
          <w:rFonts w:ascii="Times New Roman" w:hAnsi="Times New Roman"/>
          <w:b w:val="0"/>
          <w:color w:val="auto"/>
        </w:rPr>
        <w:t xml:space="preserve"> </w:t>
      </w:r>
      <w:r w:rsidRPr="0010392A">
        <w:rPr>
          <w:rFonts w:ascii="Times New Roman" w:hAnsi="Times New Roman"/>
          <w:i/>
          <w:color w:val="auto"/>
        </w:rPr>
        <w:t xml:space="preserve">Whitman v </w:t>
      </w:r>
      <w:proofErr w:type="spellStart"/>
      <w:r w:rsidRPr="0010392A">
        <w:rPr>
          <w:rFonts w:ascii="Times New Roman" w:hAnsi="Times New Roman"/>
          <w:i/>
          <w:color w:val="auto"/>
        </w:rPr>
        <w:t>Headfour</w:t>
      </w:r>
      <w:proofErr w:type="spellEnd"/>
      <w:r w:rsidRPr="0010392A">
        <w:rPr>
          <w:rFonts w:ascii="Times New Roman" w:hAnsi="Times New Roman"/>
          <w:b w:val="0"/>
          <w:color w:val="auto"/>
        </w:rPr>
        <w:t xml:space="preserve"> 2008(3) SA 371 (SCA) at 375G  </w:t>
      </w:r>
    </w:p>
  </w:footnote>
  <w:footnote w:id="69">
    <w:p w:rsidR="00567285" w:rsidRPr="0010392A" w:rsidRDefault="00567285" w:rsidP="00A777BD">
      <w:pPr>
        <w:pStyle w:val="FootnoteText"/>
        <w:rPr>
          <w:rFonts w:ascii="Times New Roman" w:hAnsi="Times New Roman"/>
          <w:b w:val="0"/>
          <w:color w:val="auto"/>
        </w:rPr>
      </w:pPr>
      <w:r w:rsidRPr="0010392A">
        <w:rPr>
          <w:rStyle w:val="FootnoteReference"/>
          <w:rFonts w:ascii="Times New Roman" w:hAnsi="Times New Roman"/>
          <w:b w:val="0"/>
          <w:color w:val="auto"/>
        </w:rPr>
        <w:footnoteRef/>
      </w:r>
      <w:r w:rsidRPr="0010392A">
        <w:rPr>
          <w:rFonts w:ascii="Times New Roman" w:hAnsi="Times New Roman"/>
          <w:b w:val="0"/>
          <w:color w:val="auto"/>
        </w:rPr>
        <w:t xml:space="preserve"> Para 2.2, Chapter 23: </w:t>
      </w:r>
      <w:r w:rsidRPr="0010392A">
        <w:rPr>
          <w:rFonts w:ascii="Times New Roman" w:hAnsi="Times New Roman"/>
          <w:b w:val="0"/>
          <w:i/>
          <w:color w:val="auto"/>
        </w:rPr>
        <w:t>Granting of Amnesty/Special Remission of Sentence</w:t>
      </w:r>
      <w:r w:rsidRPr="0010392A">
        <w:rPr>
          <w:rFonts w:ascii="Times New Roman" w:hAnsi="Times New Roman"/>
          <w:b w:val="0"/>
          <w:color w:val="auto"/>
        </w:rPr>
        <w:t xml:space="preserve">  </w:t>
      </w:r>
    </w:p>
  </w:footnote>
  <w:footnote w:id="70">
    <w:p w:rsidR="00567285" w:rsidRPr="00B95FF1" w:rsidRDefault="00567285" w:rsidP="00B7726C">
      <w:pPr>
        <w:pStyle w:val="FootnoteText"/>
        <w:rPr>
          <w:rFonts w:ascii="Times New Roman" w:hAnsi="Times New Roman"/>
          <w:b w:val="0"/>
          <w:color w:val="auto"/>
        </w:rPr>
      </w:pPr>
      <w:r w:rsidRPr="00B95FF1">
        <w:rPr>
          <w:rStyle w:val="FootnoteReference"/>
          <w:rFonts w:ascii="Times New Roman" w:hAnsi="Times New Roman"/>
          <w:b w:val="0"/>
          <w:color w:val="auto"/>
        </w:rPr>
        <w:footnoteRef/>
      </w:r>
      <w:r w:rsidRPr="00B95FF1">
        <w:rPr>
          <w:rFonts w:ascii="Times New Roman" w:hAnsi="Times New Roman"/>
          <w:b w:val="0"/>
          <w:color w:val="auto"/>
        </w:rPr>
        <w:t xml:space="preserve"> </w:t>
      </w:r>
      <w:r w:rsidRPr="00B95FF1">
        <w:rPr>
          <w:rFonts w:ascii="Times New Roman" w:hAnsi="Times New Roman"/>
          <w:b w:val="0"/>
          <w:color w:val="auto"/>
          <w:shd w:val="clear" w:color="auto" w:fill="FFFFFF"/>
        </w:rPr>
        <w:t>Wade </w:t>
      </w:r>
      <w:r w:rsidRPr="00B95FF1">
        <w:rPr>
          <w:rFonts w:ascii="Times New Roman" w:hAnsi="Times New Roman"/>
          <w:b w:val="0"/>
          <w:i/>
          <w:iCs/>
          <w:color w:val="auto"/>
          <w:shd w:val="clear" w:color="auto" w:fill="FFFFFF"/>
        </w:rPr>
        <w:t>Administrative Law</w:t>
      </w:r>
      <w:r w:rsidRPr="00B95FF1">
        <w:rPr>
          <w:rFonts w:ascii="Times New Roman" w:hAnsi="Times New Roman"/>
          <w:b w:val="0"/>
          <w:color w:val="auto"/>
          <w:shd w:val="clear" w:color="auto" w:fill="FFFFFF"/>
        </w:rPr>
        <w:t xml:space="preserve"> 6 </w:t>
      </w:r>
      <w:proofErr w:type="spellStart"/>
      <w:r w:rsidRPr="00B95FF1">
        <w:rPr>
          <w:rFonts w:ascii="Times New Roman" w:hAnsi="Times New Roman"/>
          <w:b w:val="0"/>
          <w:color w:val="auto"/>
          <w:shd w:val="clear" w:color="auto" w:fill="FFFFFF"/>
        </w:rPr>
        <w:t>ed</w:t>
      </w:r>
      <w:proofErr w:type="spellEnd"/>
      <w:r w:rsidRPr="00B95FF1">
        <w:rPr>
          <w:rFonts w:ascii="Times New Roman" w:hAnsi="Times New Roman"/>
          <w:b w:val="0"/>
          <w:color w:val="auto"/>
          <w:shd w:val="clear" w:color="auto" w:fill="FFFFFF"/>
        </w:rPr>
        <w:t xml:space="preserve"> (Oxford University Press, New York 1988) at 533-4</w:t>
      </w:r>
    </w:p>
  </w:footnote>
  <w:footnote w:id="71">
    <w:p w:rsidR="00567285" w:rsidRPr="00B95FF1" w:rsidRDefault="00567285">
      <w:pPr>
        <w:pStyle w:val="FootnoteText"/>
        <w:rPr>
          <w:rFonts w:ascii="Times New Roman" w:hAnsi="Times New Roman"/>
          <w:b w:val="0"/>
          <w:color w:val="auto"/>
          <w:lang w:val="en-ZA"/>
        </w:rPr>
      </w:pPr>
      <w:r w:rsidRPr="00B95FF1">
        <w:rPr>
          <w:rStyle w:val="FootnoteReference"/>
          <w:rFonts w:ascii="Times New Roman" w:hAnsi="Times New Roman"/>
          <w:b w:val="0"/>
          <w:color w:val="auto"/>
        </w:rPr>
        <w:footnoteRef/>
      </w:r>
      <w:r w:rsidRPr="00B95FF1">
        <w:rPr>
          <w:rFonts w:ascii="Times New Roman" w:hAnsi="Times New Roman"/>
          <w:b w:val="0"/>
          <w:color w:val="auto"/>
        </w:rPr>
        <w:t xml:space="preserve"> </w:t>
      </w:r>
      <w:r w:rsidR="00AD2E9B">
        <w:rPr>
          <w:rFonts w:ascii="Times New Roman" w:hAnsi="Times New Roman"/>
          <w:b w:val="0"/>
          <w:color w:val="auto"/>
          <w:lang w:val="en-ZA"/>
        </w:rPr>
        <w:t>Emphasis supplied</w:t>
      </w:r>
      <w:r w:rsidRPr="00B95FF1">
        <w:rPr>
          <w:rFonts w:ascii="Times New Roman" w:hAnsi="Times New Roman"/>
          <w:b w:val="0"/>
          <w:color w:val="auto"/>
          <w:lang w:val="en-ZA"/>
        </w:rPr>
        <w:t xml:space="preserve"> </w:t>
      </w:r>
    </w:p>
  </w:footnote>
  <w:footnote w:id="72">
    <w:p w:rsidR="00567285" w:rsidRPr="00B95FF1" w:rsidRDefault="00567285">
      <w:pPr>
        <w:pStyle w:val="FootnoteText"/>
        <w:rPr>
          <w:rFonts w:ascii="Times New Roman" w:hAnsi="Times New Roman"/>
          <w:b w:val="0"/>
          <w:color w:val="auto"/>
          <w:lang w:val="en-ZA"/>
        </w:rPr>
      </w:pPr>
      <w:r w:rsidRPr="00B95FF1">
        <w:rPr>
          <w:rStyle w:val="FootnoteReference"/>
          <w:rFonts w:ascii="Times New Roman" w:hAnsi="Times New Roman"/>
          <w:b w:val="0"/>
          <w:color w:val="auto"/>
        </w:rPr>
        <w:footnoteRef/>
      </w:r>
      <w:r w:rsidRPr="00B95FF1">
        <w:rPr>
          <w:rFonts w:ascii="Times New Roman" w:hAnsi="Times New Roman"/>
          <w:b w:val="0"/>
          <w:color w:val="auto"/>
        </w:rPr>
        <w:t xml:space="preserve"> </w:t>
      </w:r>
      <w:r w:rsidRPr="00B95FF1">
        <w:rPr>
          <w:rFonts w:ascii="Times New Roman" w:hAnsi="Times New Roman"/>
          <w:b w:val="0"/>
          <w:color w:val="auto"/>
          <w:lang w:val="en-ZA"/>
        </w:rPr>
        <w:t xml:space="preserve">NUM v Lebanon Gold Mining Co (1994) 15 ILJ 585 (LAC) at 586. </w:t>
      </w:r>
    </w:p>
  </w:footnote>
  <w:footnote w:id="73">
    <w:p w:rsidR="00567285" w:rsidRPr="0010392A" w:rsidRDefault="00567285" w:rsidP="00381ED6">
      <w:pPr>
        <w:pStyle w:val="FootnoteText"/>
        <w:rPr>
          <w:rFonts w:ascii="Times New Roman" w:hAnsi="Times New Roman"/>
          <w:b w:val="0"/>
          <w:color w:val="auto"/>
        </w:rPr>
      </w:pPr>
      <w:r w:rsidRPr="0010392A">
        <w:rPr>
          <w:rStyle w:val="FootnoteReference"/>
          <w:rFonts w:ascii="Times New Roman" w:hAnsi="Times New Roman"/>
          <w:b w:val="0"/>
          <w:color w:val="auto"/>
        </w:rPr>
        <w:footnoteRef/>
      </w:r>
      <w:r w:rsidRPr="0010392A">
        <w:rPr>
          <w:rFonts w:ascii="Times New Roman" w:hAnsi="Times New Roman"/>
          <w:b w:val="0"/>
          <w:color w:val="auto"/>
        </w:rPr>
        <w:t xml:space="preserve"> 1998 (12) BCLR 1458 (CC) </w:t>
      </w:r>
    </w:p>
  </w:footnote>
  <w:footnote w:id="74">
    <w:p w:rsidR="00567285" w:rsidRPr="0010392A" w:rsidRDefault="00567285" w:rsidP="00381ED6">
      <w:pPr>
        <w:pStyle w:val="FootnoteText"/>
        <w:rPr>
          <w:rFonts w:ascii="Times New Roman" w:hAnsi="Times New Roman"/>
          <w:b w:val="0"/>
          <w:color w:val="auto"/>
        </w:rPr>
      </w:pPr>
      <w:r w:rsidRPr="0010392A">
        <w:rPr>
          <w:rStyle w:val="FootnoteReference"/>
          <w:rFonts w:ascii="Times New Roman" w:hAnsi="Times New Roman"/>
          <w:b w:val="0"/>
          <w:color w:val="auto"/>
        </w:rPr>
        <w:footnoteRef/>
      </w:r>
      <w:r>
        <w:rPr>
          <w:rFonts w:ascii="Times New Roman" w:hAnsi="Times New Roman"/>
          <w:b w:val="0"/>
          <w:color w:val="auto"/>
        </w:rPr>
        <w:t xml:space="preserve"> p</w:t>
      </w:r>
      <w:r w:rsidRPr="0010392A">
        <w:rPr>
          <w:rFonts w:ascii="Times New Roman" w:hAnsi="Times New Roman"/>
          <w:b w:val="0"/>
          <w:color w:val="auto"/>
        </w:rPr>
        <w:t xml:space="preserve">ara 56, </w:t>
      </w:r>
      <w:r w:rsidRPr="0010392A">
        <w:rPr>
          <w:rFonts w:ascii="Times New Roman" w:hAnsi="Times New Roman"/>
          <w:i/>
          <w:color w:val="auto"/>
        </w:rPr>
        <w:t>supra</w:t>
      </w:r>
    </w:p>
  </w:footnote>
  <w:footnote w:id="75">
    <w:p w:rsidR="00567285" w:rsidRPr="0010392A" w:rsidRDefault="00567285" w:rsidP="00381ED6">
      <w:pPr>
        <w:pStyle w:val="FootnoteText"/>
        <w:rPr>
          <w:rFonts w:ascii="Times New Roman" w:hAnsi="Times New Roman"/>
          <w:b w:val="0"/>
          <w:color w:val="auto"/>
        </w:rPr>
      </w:pPr>
      <w:r w:rsidRPr="0010392A">
        <w:rPr>
          <w:rStyle w:val="FootnoteReference"/>
          <w:rFonts w:ascii="Times New Roman" w:hAnsi="Times New Roman"/>
          <w:b w:val="0"/>
          <w:color w:val="auto"/>
        </w:rPr>
        <w:footnoteRef/>
      </w:r>
      <w:r w:rsidRPr="0010392A">
        <w:rPr>
          <w:rFonts w:ascii="Times New Roman" w:hAnsi="Times New Roman"/>
          <w:b w:val="0"/>
          <w:color w:val="auto"/>
        </w:rPr>
        <w:t xml:space="preserve"> para 56, </w:t>
      </w:r>
      <w:r w:rsidRPr="0010392A">
        <w:rPr>
          <w:rFonts w:ascii="Times New Roman" w:hAnsi="Times New Roman"/>
          <w:i/>
          <w:color w:val="auto"/>
        </w:rPr>
        <w:t>supra</w:t>
      </w:r>
    </w:p>
  </w:footnote>
  <w:footnote w:id="76">
    <w:p w:rsidR="00567285" w:rsidRPr="0010392A" w:rsidRDefault="00567285" w:rsidP="003D6EF0">
      <w:pPr>
        <w:pStyle w:val="FootnoteText"/>
        <w:contextualSpacing/>
        <w:rPr>
          <w:rFonts w:ascii="Times New Roman" w:hAnsi="Times New Roman"/>
          <w:b w:val="0"/>
          <w:color w:val="auto"/>
        </w:rPr>
      </w:pPr>
      <w:r w:rsidRPr="0010392A">
        <w:rPr>
          <w:rStyle w:val="FootnoteReference"/>
          <w:rFonts w:ascii="Times New Roman" w:hAnsi="Times New Roman"/>
          <w:b w:val="0"/>
          <w:color w:val="auto"/>
        </w:rPr>
        <w:footnoteRef/>
      </w:r>
      <w:r w:rsidRPr="0010392A">
        <w:rPr>
          <w:rFonts w:ascii="Times New Roman" w:hAnsi="Times New Roman"/>
          <w:b w:val="0"/>
          <w:color w:val="auto"/>
        </w:rPr>
        <w:t xml:space="preserve"> 2014 (1) SA 604 (CC) at para 23-25</w:t>
      </w:r>
    </w:p>
  </w:footnote>
  <w:footnote w:id="77">
    <w:p w:rsidR="00567285" w:rsidRPr="0010392A" w:rsidRDefault="00567285" w:rsidP="003D6EF0">
      <w:pPr>
        <w:pStyle w:val="FootnoteText"/>
        <w:contextualSpacing/>
        <w:rPr>
          <w:rFonts w:ascii="Times New Roman" w:hAnsi="Times New Roman"/>
          <w:b w:val="0"/>
          <w:color w:val="auto"/>
        </w:rPr>
      </w:pPr>
      <w:r w:rsidRPr="0010392A">
        <w:rPr>
          <w:rStyle w:val="FootnoteReference"/>
          <w:rFonts w:ascii="Times New Roman" w:hAnsi="Times New Roman"/>
          <w:b w:val="0"/>
          <w:color w:val="auto"/>
        </w:rPr>
        <w:footnoteRef/>
      </w:r>
      <w:r w:rsidRPr="0010392A">
        <w:rPr>
          <w:rFonts w:ascii="Times New Roman" w:hAnsi="Times New Roman"/>
          <w:b w:val="0"/>
          <w:color w:val="auto"/>
        </w:rPr>
        <w:t xml:space="preserve"> My emphasis</w:t>
      </w:r>
    </w:p>
  </w:footnote>
  <w:footnote w:id="78">
    <w:p w:rsidR="00567285" w:rsidRPr="0010392A" w:rsidRDefault="00567285" w:rsidP="003D6EF0">
      <w:pPr>
        <w:pStyle w:val="FootnoteText"/>
        <w:contextualSpacing/>
        <w:rPr>
          <w:rFonts w:ascii="Times New Roman" w:hAnsi="Times New Roman"/>
          <w:b w:val="0"/>
          <w:i/>
          <w:color w:val="auto"/>
        </w:rPr>
      </w:pPr>
      <w:r w:rsidRPr="0010392A">
        <w:rPr>
          <w:rStyle w:val="FootnoteReference"/>
          <w:rFonts w:ascii="Times New Roman" w:hAnsi="Times New Roman"/>
          <w:b w:val="0"/>
          <w:i/>
          <w:color w:val="auto"/>
        </w:rPr>
        <w:footnoteRef/>
      </w:r>
      <w:r w:rsidRPr="0010392A">
        <w:rPr>
          <w:rFonts w:ascii="Times New Roman" w:hAnsi="Times New Roman"/>
          <w:b w:val="0"/>
          <w:i/>
          <w:color w:val="auto"/>
        </w:rPr>
        <w:t xml:space="preserve"> Ditto  </w:t>
      </w:r>
    </w:p>
  </w:footnote>
  <w:footnote w:id="79">
    <w:p w:rsidR="00567285" w:rsidRPr="0010392A" w:rsidRDefault="00567285">
      <w:pPr>
        <w:pStyle w:val="FootnoteText"/>
        <w:rPr>
          <w:rFonts w:ascii="Times New Roman" w:hAnsi="Times New Roman"/>
          <w:b w:val="0"/>
          <w:color w:val="auto"/>
        </w:rPr>
      </w:pPr>
      <w:r w:rsidRPr="0010392A">
        <w:rPr>
          <w:rStyle w:val="FootnoteReference"/>
          <w:rFonts w:ascii="Times New Roman" w:hAnsi="Times New Roman"/>
          <w:b w:val="0"/>
          <w:color w:val="auto"/>
        </w:rPr>
        <w:footnoteRef/>
      </w:r>
      <w:r w:rsidRPr="0010392A">
        <w:rPr>
          <w:rFonts w:ascii="Times New Roman" w:hAnsi="Times New Roman"/>
          <w:b w:val="0"/>
          <w:color w:val="auto"/>
        </w:rPr>
        <w:t xml:space="preserve"> Emphasis supplied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1C42"/>
    <w:multiLevelType w:val="hybridMultilevel"/>
    <w:tmpl w:val="677A1530"/>
    <w:lvl w:ilvl="0" w:tplc="27566296">
      <w:start w:val="1"/>
      <w:numFmt w:val="decimal"/>
      <w:lvlText w:val="%1."/>
      <w:lvlJc w:val="left"/>
      <w:pPr>
        <w:ind w:left="720" w:hanging="360"/>
      </w:pPr>
      <w:rPr>
        <w:rFonts w:ascii="Arial" w:hAnsi="Arial" w:cs="Arial" w:hint="default"/>
        <w:b w:val="0"/>
        <w:i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33B53"/>
    <w:multiLevelType w:val="hybridMultilevel"/>
    <w:tmpl w:val="74D0B75A"/>
    <w:lvl w:ilvl="0" w:tplc="7C729214">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09774276"/>
    <w:multiLevelType w:val="hybridMultilevel"/>
    <w:tmpl w:val="0D6C30CC"/>
    <w:lvl w:ilvl="0" w:tplc="60EA6C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132429"/>
    <w:multiLevelType w:val="hybridMultilevel"/>
    <w:tmpl w:val="97A4099A"/>
    <w:lvl w:ilvl="0" w:tplc="568CB88E">
      <w:start w:val="1"/>
      <w:numFmt w:val="decimal"/>
      <w:lvlText w:val="%1."/>
      <w:lvlJc w:val="left"/>
      <w:pPr>
        <w:tabs>
          <w:tab w:val="num" w:pos="900"/>
        </w:tabs>
        <w:ind w:left="900" w:hanging="720"/>
      </w:pPr>
      <w:rPr>
        <w:rFonts w:ascii="Arial" w:eastAsia="Times" w:hAnsi="Arial" w:cs="Arial"/>
      </w:rPr>
    </w:lvl>
    <w:lvl w:ilvl="1" w:tplc="BBC06C92">
      <w:start w:val="1"/>
      <w:numFmt w:val="lowerLetter"/>
      <w:lvlText w:val="%2."/>
      <w:lvlJc w:val="left"/>
      <w:pPr>
        <w:tabs>
          <w:tab w:val="num" w:pos="1260"/>
        </w:tabs>
        <w:ind w:left="1260" w:hanging="360"/>
      </w:pPr>
      <w:rPr>
        <w:rFonts w:cs="Times New Roman"/>
      </w:rPr>
    </w:lvl>
    <w:lvl w:ilvl="2" w:tplc="ACA8391C">
      <w:start w:val="1"/>
      <w:numFmt w:val="lowerRoman"/>
      <w:lvlText w:val="%3."/>
      <w:lvlJc w:val="right"/>
      <w:pPr>
        <w:tabs>
          <w:tab w:val="num" w:pos="1980"/>
        </w:tabs>
        <w:ind w:left="1980" w:hanging="180"/>
      </w:pPr>
      <w:rPr>
        <w:rFonts w:cs="Times New Roman"/>
      </w:rPr>
    </w:lvl>
    <w:lvl w:ilvl="3" w:tplc="57886D22">
      <w:start w:val="1"/>
      <w:numFmt w:val="decimal"/>
      <w:lvlText w:val="%4."/>
      <w:lvlJc w:val="left"/>
      <w:pPr>
        <w:tabs>
          <w:tab w:val="num" w:pos="2700"/>
        </w:tabs>
        <w:ind w:left="2700" w:hanging="360"/>
      </w:pPr>
      <w:rPr>
        <w:rFonts w:cs="Times New Roman"/>
      </w:rPr>
    </w:lvl>
    <w:lvl w:ilvl="4" w:tplc="2E2E02E8">
      <w:start w:val="1"/>
      <w:numFmt w:val="lowerLetter"/>
      <w:lvlText w:val="%5."/>
      <w:lvlJc w:val="left"/>
      <w:pPr>
        <w:tabs>
          <w:tab w:val="num" w:pos="3420"/>
        </w:tabs>
        <w:ind w:left="3420" w:hanging="360"/>
      </w:pPr>
      <w:rPr>
        <w:rFonts w:cs="Times New Roman"/>
      </w:rPr>
    </w:lvl>
    <w:lvl w:ilvl="5" w:tplc="C1D48986">
      <w:start w:val="1"/>
      <w:numFmt w:val="lowerRoman"/>
      <w:lvlText w:val="%6."/>
      <w:lvlJc w:val="right"/>
      <w:pPr>
        <w:tabs>
          <w:tab w:val="num" w:pos="4140"/>
        </w:tabs>
        <w:ind w:left="4140" w:hanging="180"/>
      </w:pPr>
      <w:rPr>
        <w:rFonts w:cs="Times New Roman"/>
      </w:rPr>
    </w:lvl>
    <w:lvl w:ilvl="6" w:tplc="82C2AAB6">
      <w:start w:val="1"/>
      <w:numFmt w:val="decimal"/>
      <w:lvlText w:val="%7."/>
      <w:lvlJc w:val="left"/>
      <w:pPr>
        <w:tabs>
          <w:tab w:val="num" w:pos="4860"/>
        </w:tabs>
        <w:ind w:left="4860" w:hanging="360"/>
      </w:pPr>
      <w:rPr>
        <w:rFonts w:cs="Times New Roman"/>
      </w:rPr>
    </w:lvl>
    <w:lvl w:ilvl="7" w:tplc="76C028BA">
      <w:start w:val="1"/>
      <w:numFmt w:val="lowerLetter"/>
      <w:lvlText w:val="%8."/>
      <w:lvlJc w:val="left"/>
      <w:pPr>
        <w:tabs>
          <w:tab w:val="num" w:pos="5580"/>
        </w:tabs>
        <w:ind w:left="5580" w:hanging="360"/>
      </w:pPr>
      <w:rPr>
        <w:rFonts w:cs="Times New Roman"/>
      </w:rPr>
    </w:lvl>
    <w:lvl w:ilvl="8" w:tplc="D9FE8D14">
      <w:start w:val="1"/>
      <w:numFmt w:val="lowerRoman"/>
      <w:lvlText w:val="%9."/>
      <w:lvlJc w:val="right"/>
      <w:pPr>
        <w:tabs>
          <w:tab w:val="num" w:pos="6300"/>
        </w:tabs>
        <w:ind w:left="6300" w:hanging="180"/>
      </w:pPr>
      <w:rPr>
        <w:rFonts w:cs="Times New Roman"/>
      </w:rPr>
    </w:lvl>
  </w:abstractNum>
  <w:abstractNum w:abstractNumId="4" w15:restartNumberingAfterBreak="0">
    <w:nsid w:val="156C0C32"/>
    <w:multiLevelType w:val="hybridMultilevel"/>
    <w:tmpl w:val="7DD867F2"/>
    <w:lvl w:ilvl="0" w:tplc="915263DC">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551B8C"/>
    <w:multiLevelType w:val="hybridMultilevel"/>
    <w:tmpl w:val="426A3588"/>
    <w:lvl w:ilvl="0" w:tplc="F30478F8">
      <w:start w:val="9"/>
      <w:numFmt w:val="lowerLetter"/>
      <w:lvlText w:val="(%1)"/>
      <w:lvlJc w:val="left"/>
      <w:pPr>
        <w:ind w:left="2061" w:hanging="360"/>
      </w:pPr>
      <w:rPr>
        <w:rFonts w:hint="default"/>
        <w:i/>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6" w15:restartNumberingAfterBreak="0">
    <w:nsid w:val="27C160C2"/>
    <w:multiLevelType w:val="hybridMultilevel"/>
    <w:tmpl w:val="E3AE4CFE"/>
    <w:lvl w:ilvl="0" w:tplc="3208B570">
      <w:start w:val="2"/>
      <w:numFmt w:val="lowerRoman"/>
      <w:lvlText w:val="(%1)"/>
      <w:lvlJc w:val="left"/>
      <w:pPr>
        <w:ind w:left="2421" w:hanging="720"/>
      </w:pPr>
      <w:rPr>
        <w:rFonts w:hint="default"/>
        <w:i/>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7" w15:restartNumberingAfterBreak="0">
    <w:nsid w:val="2DAC5BF6"/>
    <w:multiLevelType w:val="hybridMultilevel"/>
    <w:tmpl w:val="345E7FE4"/>
    <w:lvl w:ilvl="0" w:tplc="DFF69C6E">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32EAB"/>
    <w:multiLevelType w:val="multilevel"/>
    <w:tmpl w:val="5BCAB68C"/>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361"/>
        </w:tabs>
        <w:ind w:left="1361" w:hanging="794"/>
      </w:pPr>
      <w:rPr>
        <w:rFonts w:hint="default"/>
        <w:b w:val="0"/>
        <w:i w:val="0"/>
      </w:rPr>
    </w:lvl>
    <w:lvl w:ilvl="2">
      <w:start w:val="1"/>
      <w:numFmt w:val="decimal"/>
      <w:pStyle w:val="3"/>
      <w:lvlText w:val="%1.%2.%3"/>
      <w:lvlJc w:val="left"/>
      <w:pPr>
        <w:tabs>
          <w:tab w:val="num" w:pos="2155"/>
        </w:tabs>
        <w:ind w:left="2155" w:hanging="794"/>
      </w:pPr>
      <w:rPr>
        <w:rFonts w:hint="default"/>
        <w:b w:val="0"/>
        <w:i w:val="0"/>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b w:val="0"/>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4D1718B"/>
    <w:multiLevelType w:val="hybridMultilevel"/>
    <w:tmpl w:val="569876BE"/>
    <w:lvl w:ilvl="0" w:tplc="E000FB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5BB0AE1"/>
    <w:multiLevelType w:val="multilevel"/>
    <w:tmpl w:val="23AA78F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092F10"/>
    <w:multiLevelType w:val="hybridMultilevel"/>
    <w:tmpl w:val="23584D54"/>
    <w:lvl w:ilvl="0" w:tplc="21A0628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D4F3C"/>
    <w:multiLevelType w:val="multilevel"/>
    <w:tmpl w:val="E7343900"/>
    <w:lvl w:ilvl="0">
      <w:start w:val="1"/>
      <w:numFmt w:val="decimal"/>
      <w:pStyle w:val="Level1"/>
      <w:lvlText w:val="[%1]"/>
      <w:lvlJc w:val="left"/>
      <w:rPr>
        <w:b w:val="0"/>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41B44DF7"/>
    <w:multiLevelType w:val="hybridMultilevel"/>
    <w:tmpl w:val="623E6646"/>
    <w:lvl w:ilvl="0" w:tplc="E166A270">
      <w:start w:val="1"/>
      <w:numFmt w:val="decimal"/>
      <w:lvlText w:val="(%1)"/>
      <w:lvlJc w:val="left"/>
      <w:pPr>
        <w:ind w:left="1241" w:hanging="390"/>
      </w:pPr>
      <w:rPr>
        <w:rFonts w:ascii="Times New Roman" w:hAnsi="Times New Roman" w:cs="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46235CD8"/>
    <w:multiLevelType w:val="multilevel"/>
    <w:tmpl w:val="3662B1E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4D41AD"/>
    <w:multiLevelType w:val="hybridMultilevel"/>
    <w:tmpl w:val="35F66E5A"/>
    <w:lvl w:ilvl="0" w:tplc="9C887DBC">
      <w:start w:val="1"/>
      <w:numFmt w:val="upp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6" w15:restartNumberingAfterBreak="0">
    <w:nsid w:val="4C3A05FE"/>
    <w:multiLevelType w:val="multilevel"/>
    <w:tmpl w:val="8F4E4C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8C661C8"/>
    <w:multiLevelType w:val="multilevel"/>
    <w:tmpl w:val="11A441F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CD6524D"/>
    <w:multiLevelType w:val="hybridMultilevel"/>
    <w:tmpl w:val="345E7FE4"/>
    <w:lvl w:ilvl="0" w:tplc="DFF69C6E">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3B57E0"/>
    <w:multiLevelType w:val="hybridMultilevel"/>
    <w:tmpl w:val="345E7FE4"/>
    <w:lvl w:ilvl="0" w:tplc="DFF69C6E">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3F23AF"/>
    <w:multiLevelType w:val="hybridMultilevel"/>
    <w:tmpl w:val="66568E9A"/>
    <w:lvl w:ilvl="0" w:tplc="15E43572">
      <w:start w:val="1"/>
      <w:numFmt w:val="decimal"/>
      <w:lvlText w:val="%1."/>
      <w:lvlJc w:val="left"/>
      <w:pPr>
        <w:ind w:left="720" w:hanging="360"/>
      </w:pPr>
      <w:rPr>
        <w:rFonts w:ascii="Times New Roman" w:hAnsi="Times New Roman" w:cs="Times New Roman"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D1166C"/>
    <w:multiLevelType w:val="multilevel"/>
    <w:tmpl w:val="A82E88B4"/>
    <w:lvl w:ilvl="0">
      <w:start w:val="17"/>
      <w:numFmt w:val="decimal"/>
      <w:lvlText w:val="%1"/>
      <w:lvlJc w:val="left"/>
      <w:pPr>
        <w:ind w:left="465" w:hanging="465"/>
      </w:pPr>
      <w:rPr>
        <w:rFonts w:hint="default"/>
      </w:rPr>
    </w:lvl>
    <w:lvl w:ilvl="1">
      <w:start w:val="3"/>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9A83043"/>
    <w:multiLevelType w:val="hybridMultilevel"/>
    <w:tmpl w:val="CC78A9B6"/>
    <w:lvl w:ilvl="0" w:tplc="4FEA1980">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714F27FA"/>
    <w:multiLevelType w:val="hybridMultilevel"/>
    <w:tmpl w:val="9800ABDC"/>
    <w:lvl w:ilvl="0" w:tplc="07B85C7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73FA7DD1"/>
    <w:multiLevelType w:val="hybridMultilevel"/>
    <w:tmpl w:val="5490862E"/>
    <w:lvl w:ilvl="0" w:tplc="02163F8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C0464"/>
    <w:multiLevelType w:val="multilevel"/>
    <w:tmpl w:val="2336380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2D3705"/>
    <w:multiLevelType w:val="hybridMultilevel"/>
    <w:tmpl w:val="0FACBB30"/>
    <w:lvl w:ilvl="0" w:tplc="1C09000F">
      <w:start w:val="1"/>
      <w:numFmt w:val="decimal"/>
      <w:lvlText w:val="%1."/>
      <w:lvlJc w:val="left"/>
      <w:pPr>
        <w:ind w:left="9650" w:hanging="360"/>
      </w:pPr>
    </w:lvl>
    <w:lvl w:ilvl="1" w:tplc="1C090019" w:tentative="1">
      <w:start w:val="1"/>
      <w:numFmt w:val="lowerLetter"/>
      <w:lvlText w:val="%2."/>
      <w:lvlJc w:val="left"/>
      <w:pPr>
        <w:ind w:left="10370" w:hanging="360"/>
      </w:pPr>
    </w:lvl>
    <w:lvl w:ilvl="2" w:tplc="1C09001B" w:tentative="1">
      <w:start w:val="1"/>
      <w:numFmt w:val="lowerRoman"/>
      <w:lvlText w:val="%3."/>
      <w:lvlJc w:val="right"/>
      <w:pPr>
        <w:ind w:left="11090" w:hanging="180"/>
      </w:pPr>
    </w:lvl>
    <w:lvl w:ilvl="3" w:tplc="1C09000F" w:tentative="1">
      <w:start w:val="1"/>
      <w:numFmt w:val="decimal"/>
      <w:lvlText w:val="%4."/>
      <w:lvlJc w:val="left"/>
      <w:pPr>
        <w:ind w:left="11810" w:hanging="360"/>
      </w:pPr>
    </w:lvl>
    <w:lvl w:ilvl="4" w:tplc="1C090019" w:tentative="1">
      <w:start w:val="1"/>
      <w:numFmt w:val="lowerLetter"/>
      <w:lvlText w:val="%5."/>
      <w:lvlJc w:val="left"/>
      <w:pPr>
        <w:ind w:left="12530" w:hanging="360"/>
      </w:pPr>
    </w:lvl>
    <w:lvl w:ilvl="5" w:tplc="1C09001B" w:tentative="1">
      <w:start w:val="1"/>
      <w:numFmt w:val="lowerRoman"/>
      <w:lvlText w:val="%6."/>
      <w:lvlJc w:val="right"/>
      <w:pPr>
        <w:ind w:left="13250" w:hanging="180"/>
      </w:pPr>
    </w:lvl>
    <w:lvl w:ilvl="6" w:tplc="1C09000F" w:tentative="1">
      <w:start w:val="1"/>
      <w:numFmt w:val="decimal"/>
      <w:lvlText w:val="%7."/>
      <w:lvlJc w:val="left"/>
      <w:pPr>
        <w:ind w:left="13970" w:hanging="360"/>
      </w:pPr>
    </w:lvl>
    <w:lvl w:ilvl="7" w:tplc="1C090019" w:tentative="1">
      <w:start w:val="1"/>
      <w:numFmt w:val="lowerLetter"/>
      <w:lvlText w:val="%8."/>
      <w:lvlJc w:val="left"/>
      <w:pPr>
        <w:ind w:left="14690" w:hanging="360"/>
      </w:pPr>
    </w:lvl>
    <w:lvl w:ilvl="8" w:tplc="1C09001B" w:tentative="1">
      <w:start w:val="1"/>
      <w:numFmt w:val="lowerRoman"/>
      <w:lvlText w:val="%9."/>
      <w:lvlJc w:val="right"/>
      <w:pPr>
        <w:ind w:left="15410" w:hanging="180"/>
      </w:pPr>
    </w:lvl>
  </w:abstractNum>
  <w:num w:numId="1">
    <w:abstractNumId w:val="12"/>
  </w:num>
  <w:num w:numId="2">
    <w:abstractNumId w:val="0"/>
  </w:num>
  <w:num w:numId="3">
    <w:abstractNumId w:val="2"/>
  </w:num>
  <w:num w:numId="4">
    <w:abstractNumId w:val="9"/>
  </w:num>
  <w:num w:numId="5">
    <w:abstractNumId w:val="21"/>
  </w:num>
  <w:num w:numId="6">
    <w:abstractNumId w:val="8"/>
  </w:num>
  <w:num w:numId="7">
    <w:abstractNumId w:val="23"/>
  </w:num>
  <w:num w:numId="8">
    <w:abstractNumId w:val="11"/>
  </w:num>
  <w:num w:numId="9">
    <w:abstractNumId w:val="24"/>
  </w:num>
  <w:num w:numId="10">
    <w:abstractNumId w:val="16"/>
  </w:num>
  <w:num w:numId="11">
    <w:abstractNumId w:val="20"/>
  </w:num>
  <w:num w:numId="12">
    <w:abstractNumId w:val="4"/>
  </w:num>
  <w:num w:numId="13">
    <w:abstractNumId w:val="17"/>
  </w:num>
  <w:num w:numId="14">
    <w:abstractNumId w:val="13"/>
  </w:num>
  <w:num w:numId="15">
    <w:abstractNumId w:val="19"/>
  </w:num>
  <w:num w:numId="16">
    <w:abstractNumId w:val="18"/>
  </w:num>
  <w:num w:numId="17">
    <w:abstractNumId w:val="25"/>
  </w:num>
  <w:num w:numId="18">
    <w:abstractNumId w:val="10"/>
  </w:num>
  <w:num w:numId="19">
    <w:abstractNumId w:val="14"/>
  </w:num>
  <w:num w:numId="20">
    <w:abstractNumId w:val="7"/>
  </w:num>
  <w:num w:numId="21">
    <w:abstractNumId w:val="1"/>
  </w:num>
  <w:num w:numId="22">
    <w:abstractNumId w:val="22"/>
  </w:num>
  <w:num w:numId="23">
    <w:abstractNumId w:val="5"/>
  </w:num>
  <w:num w:numId="24">
    <w:abstractNumId w:val="6"/>
  </w:num>
  <w:num w:numId="25">
    <w:abstractNumId w:val="15"/>
  </w:num>
  <w:num w:numId="26">
    <w:abstractNumId w:val="26"/>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2B"/>
    <w:rsid w:val="00005A27"/>
    <w:rsid w:val="00007272"/>
    <w:rsid w:val="00013876"/>
    <w:rsid w:val="00013BBF"/>
    <w:rsid w:val="00014C22"/>
    <w:rsid w:val="0001552B"/>
    <w:rsid w:val="000160A5"/>
    <w:rsid w:val="00020635"/>
    <w:rsid w:val="00023006"/>
    <w:rsid w:val="000232FA"/>
    <w:rsid w:val="00025862"/>
    <w:rsid w:val="00035BDA"/>
    <w:rsid w:val="00044882"/>
    <w:rsid w:val="00045CB3"/>
    <w:rsid w:val="00053259"/>
    <w:rsid w:val="000574E2"/>
    <w:rsid w:val="00061884"/>
    <w:rsid w:val="000618F6"/>
    <w:rsid w:val="00062325"/>
    <w:rsid w:val="00064A40"/>
    <w:rsid w:val="000700EA"/>
    <w:rsid w:val="00072ED9"/>
    <w:rsid w:val="00086A80"/>
    <w:rsid w:val="0009272F"/>
    <w:rsid w:val="000966C5"/>
    <w:rsid w:val="000A0908"/>
    <w:rsid w:val="000A7184"/>
    <w:rsid w:val="000B1763"/>
    <w:rsid w:val="000B4CAC"/>
    <w:rsid w:val="000C016F"/>
    <w:rsid w:val="000C1426"/>
    <w:rsid w:val="000D0988"/>
    <w:rsid w:val="000D0BFD"/>
    <w:rsid w:val="000D212A"/>
    <w:rsid w:val="000D320D"/>
    <w:rsid w:val="000D7782"/>
    <w:rsid w:val="000E392B"/>
    <w:rsid w:val="000F364E"/>
    <w:rsid w:val="00101C92"/>
    <w:rsid w:val="001030E1"/>
    <w:rsid w:val="0010392A"/>
    <w:rsid w:val="00117340"/>
    <w:rsid w:val="0011786E"/>
    <w:rsid w:val="001209D3"/>
    <w:rsid w:val="001215E8"/>
    <w:rsid w:val="0012218E"/>
    <w:rsid w:val="00130EE7"/>
    <w:rsid w:val="00135395"/>
    <w:rsid w:val="00155479"/>
    <w:rsid w:val="00157BE5"/>
    <w:rsid w:val="00161568"/>
    <w:rsid w:val="0016331C"/>
    <w:rsid w:val="00164D26"/>
    <w:rsid w:val="001727A3"/>
    <w:rsid w:val="0018195C"/>
    <w:rsid w:val="001825BC"/>
    <w:rsid w:val="001873F3"/>
    <w:rsid w:val="00187486"/>
    <w:rsid w:val="001A0A17"/>
    <w:rsid w:val="001A138B"/>
    <w:rsid w:val="001A5949"/>
    <w:rsid w:val="001C01E6"/>
    <w:rsid w:val="001C212D"/>
    <w:rsid w:val="001C2D68"/>
    <w:rsid w:val="001C4894"/>
    <w:rsid w:val="001C67D5"/>
    <w:rsid w:val="001D0947"/>
    <w:rsid w:val="001D0ABE"/>
    <w:rsid w:val="001D3A65"/>
    <w:rsid w:val="001D4DBA"/>
    <w:rsid w:val="001E0A93"/>
    <w:rsid w:val="001E4892"/>
    <w:rsid w:val="001F2601"/>
    <w:rsid w:val="001F70B4"/>
    <w:rsid w:val="00216762"/>
    <w:rsid w:val="002264EF"/>
    <w:rsid w:val="002445BB"/>
    <w:rsid w:val="0024532E"/>
    <w:rsid w:val="00256940"/>
    <w:rsid w:val="002574A9"/>
    <w:rsid w:val="00264923"/>
    <w:rsid w:val="00264D3B"/>
    <w:rsid w:val="00271B2F"/>
    <w:rsid w:val="00275C0C"/>
    <w:rsid w:val="00280FC4"/>
    <w:rsid w:val="002813E4"/>
    <w:rsid w:val="00281F55"/>
    <w:rsid w:val="00282850"/>
    <w:rsid w:val="00291805"/>
    <w:rsid w:val="00291852"/>
    <w:rsid w:val="002A18CD"/>
    <w:rsid w:val="002A2959"/>
    <w:rsid w:val="002B22CE"/>
    <w:rsid w:val="002B28F2"/>
    <w:rsid w:val="002C1054"/>
    <w:rsid w:val="002C44FD"/>
    <w:rsid w:val="002D01CF"/>
    <w:rsid w:val="002E1358"/>
    <w:rsid w:val="002E55DD"/>
    <w:rsid w:val="002E6627"/>
    <w:rsid w:val="002E6EC9"/>
    <w:rsid w:val="002E731F"/>
    <w:rsid w:val="002F1F01"/>
    <w:rsid w:val="002F4462"/>
    <w:rsid w:val="00323AE9"/>
    <w:rsid w:val="0032641F"/>
    <w:rsid w:val="00332B14"/>
    <w:rsid w:val="00337BCB"/>
    <w:rsid w:val="00343074"/>
    <w:rsid w:val="00345D34"/>
    <w:rsid w:val="00350D0E"/>
    <w:rsid w:val="003542A1"/>
    <w:rsid w:val="00354746"/>
    <w:rsid w:val="003621E5"/>
    <w:rsid w:val="00380559"/>
    <w:rsid w:val="00381ED6"/>
    <w:rsid w:val="00395595"/>
    <w:rsid w:val="00396BBC"/>
    <w:rsid w:val="0039701F"/>
    <w:rsid w:val="003A0A36"/>
    <w:rsid w:val="003A18BB"/>
    <w:rsid w:val="003A372B"/>
    <w:rsid w:val="003B10C5"/>
    <w:rsid w:val="003B1D36"/>
    <w:rsid w:val="003B2CA1"/>
    <w:rsid w:val="003B50BD"/>
    <w:rsid w:val="003B53D4"/>
    <w:rsid w:val="003C3FB6"/>
    <w:rsid w:val="003C471B"/>
    <w:rsid w:val="003C7EA5"/>
    <w:rsid w:val="003D6EF0"/>
    <w:rsid w:val="003D7124"/>
    <w:rsid w:val="003E0CB6"/>
    <w:rsid w:val="003E2435"/>
    <w:rsid w:val="003E3A72"/>
    <w:rsid w:val="003E5943"/>
    <w:rsid w:val="003F4C37"/>
    <w:rsid w:val="003F4F85"/>
    <w:rsid w:val="003F6C97"/>
    <w:rsid w:val="004043B2"/>
    <w:rsid w:val="004071BA"/>
    <w:rsid w:val="0042753A"/>
    <w:rsid w:val="004300B9"/>
    <w:rsid w:val="004320CA"/>
    <w:rsid w:val="00435C1F"/>
    <w:rsid w:val="00460D71"/>
    <w:rsid w:val="00465808"/>
    <w:rsid w:val="004748A8"/>
    <w:rsid w:val="004761C8"/>
    <w:rsid w:val="004762F9"/>
    <w:rsid w:val="004769CC"/>
    <w:rsid w:val="0048069F"/>
    <w:rsid w:val="00482310"/>
    <w:rsid w:val="00483B4B"/>
    <w:rsid w:val="00497E4E"/>
    <w:rsid w:val="004B3B90"/>
    <w:rsid w:val="004C2C91"/>
    <w:rsid w:val="004D09E1"/>
    <w:rsid w:val="004D46F4"/>
    <w:rsid w:val="004D7A23"/>
    <w:rsid w:val="004F3AF5"/>
    <w:rsid w:val="004F64F4"/>
    <w:rsid w:val="00502FD0"/>
    <w:rsid w:val="00503581"/>
    <w:rsid w:val="00522AF1"/>
    <w:rsid w:val="00523785"/>
    <w:rsid w:val="00523985"/>
    <w:rsid w:val="00531AD8"/>
    <w:rsid w:val="005536E5"/>
    <w:rsid w:val="00555EC8"/>
    <w:rsid w:val="00563553"/>
    <w:rsid w:val="00564E99"/>
    <w:rsid w:val="00567285"/>
    <w:rsid w:val="00570AD5"/>
    <w:rsid w:val="00573BCB"/>
    <w:rsid w:val="00573D90"/>
    <w:rsid w:val="00577EF1"/>
    <w:rsid w:val="0058128C"/>
    <w:rsid w:val="005931F0"/>
    <w:rsid w:val="00597D22"/>
    <w:rsid w:val="005A021D"/>
    <w:rsid w:val="005A37A6"/>
    <w:rsid w:val="005A5089"/>
    <w:rsid w:val="005B2483"/>
    <w:rsid w:val="005B2EE4"/>
    <w:rsid w:val="005B428E"/>
    <w:rsid w:val="005C2000"/>
    <w:rsid w:val="005C2AA6"/>
    <w:rsid w:val="005C453B"/>
    <w:rsid w:val="005D0E8A"/>
    <w:rsid w:val="005D3D90"/>
    <w:rsid w:val="005F356A"/>
    <w:rsid w:val="005F4881"/>
    <w:rsid w:val="00600091"/>
    <w:rsid w:val="00601009"/>
    <w:rsid w:val="00602563"/>
    <w:rsid w:val="0060383B"/>
    <w:rsid w:val="0060604E"/>
    <w:rsid w:val="006061E0"/>
    <w:rsid w:val="00607A62"/>
    <w:rsid w:val="006166AF"/>
    <w:rsid w:val="00621CB3"/>
    <w:rsid w:val="0062260A"/>
    <w:rsid w:val="00626086"/>
    <w:rsid w:val="0063176F"/>
    <w:rsid w:val="006335F9"/>
    <w:rsid w:val="00633826"/>
    <w:rsid w:val="00634A89"/>
    <w:rsid w:val="00636878"/>
    <w:rsid w:val="00640A3F"/>
    <w:rsid w:val="006420C4"/>
    <w:rsid w:val="00642A35"/>
    <w:rsid w:val="00647E85"/>
    <w:rsid w:val="00654DF4"/>
    <w:rsid w:val="00655010"/>
    <w:rsid w:val="0065714A"/>
    <w:rsid w:val="00661C41"/>
    <w:rsid w:val="00661C75"/>
    <w:rsid w:val="0066390D"/>
    <w:rsid w:val="0066701C"/>
    <w:rsid w:val="00670B17"/>
    <w:rsid w:val="00674DB3"/>
    <w:rsid w:val="0067541C"/>
    <w:rsid w:val="00691518"/>
    <w:rsid w:val="006921BA"/>
    <w:rsid w:val="006967A4"/>
    <w:rsid w:val="006A1F76"/>
    <w:rsid w:val="006A2BB2"/>
    <w:rsid w:val="006A4164"/>
    <w:rsid w:val="006B09B0"/>
    <w:rsid w:val="006B19CC"/>
    <w:rsid w:val="006B5793"/>
    <w:rsid w:val="006D018C"/>
    <w:rsid w:val="006D5F59"/>
    <w:rsid w:val="006D6191"/>
    <w:rsid w:val="006E41DB"/>
    <w:rsid w:val="006E77D3"/>
    <w:rsid w:val="006F141C"/>
    <w:rsid w:val="006F3191"/>
    <w:rsid w:val="006F46B9"/>
    <w:rsid w:val="006F6043"/>
    <w:rsid w:val="006F64CF"/>
    <w:rsid w:val="006F650C"/>
    <w:rsid w:val="007069BC"/>
    <w:rsid w:val="00711AA2"/>
    <w:rsid w:val="007168AC"/>
    <w:rsid w:val="0072449C"/>
    <w:rsid w:val="0072631A"/>
    <w:rsid w:val="00733EF9"/>
    <w:rsid w:val="007352F8"/>
    <w:rsid w:val="00735F0B"/>
    <w:rsid w:val="00750975"/>
    <w:rsid w:val="00750F1F"/>
    <w:rsid w:val="00751CA4"/>
    <w:rsid w:val="007525ED"/>
    <w:rsid w:val="00752BF1"/>
    <w:rsid w:val="00762CCB"/>
    <w:rsid w:val="00771AC6"/>
    <w:rsid w:val="0077295E"/>
    <w:rsid w:val="007731AB"/>
    <w:rsid w:val="0077639E"/>
    <w:rsid w:val="007873A0"/>
    <w:rsid w:val="00790108"/>
    <w:rsid w:val="007A545C"/>
    <w:rsid w:val="007B022C"/>
    <w:rsid w:val="007B604D"/>
    <w:rsid w:val="007C7CA7"/>
    <w:rsid w:val="007D0B57"/>
    <w:rsid w:val="007D1992"/>
    <w:rsid w:val="007D3265"/>
    <w:rsid w:val="007D3B7C"/>
    <w:rsid w:val="007D7C42"/>
    <w:rsid w:val="007D7E5F"/>
    <w:rsid w:val="007D7E94"/>
    <w:rsid w:val="007E0731"/>
    <w:rsid w:val="007E63E2"/>
    <w:rsid w:val="007F5FE3"/>
    <w:rsid w:val="007F76B8"/>
    <w:rsid w:val="00801ABE"/>
    <w:rsid w:val="0080448E"/>
    <w:rsid w:val="00805E13"/>
    <w:rsid w:val="00810265"/>
    <w:rsid w:val="0081162B"/>
    <w:rsid w:val="00812D31"/>
    <w:rsid w:val="00812D69"/>
    <w:rsid w:val="008178F0"/>
    <w:rsid w:val="00817E7F"/>
    <w:rsid w:val="00831011"/>
    <w:rsid w:val="008318A4"/>
    <w:rsid w:val="00834C50"/>
    <w:rsid w:val="00841078"/>
    <w:rsid w:val="0084154B"/>
    <w:rsid w:val="0084472D"/>
    <w:rsid w:val="00852427"/>
    <w:rsid w:val="00860CEF"/>
    <w:rsid w:val="00862249"/>
    <w:rsid w:val="00863857"/>
    <w:rsid w:val="00863F64"/>
    <w:rsid w:val="00865AE4"/>
    <w:rsid w:val="0087109B"/>
    <w:rsid w:val="00872F3E"/>
    <w:rsid w:val="008803FC"/>
    <w:rsid w:val="00881B9F"/>
    <w:rsid w:val="00884096"/>
    <w:rsid w:val="00884F58"/>
    <w:rsid w:val="008918DA"/>
    <w:rsid w:val="00892A74"/>
    <w:rsid w:val="00894390"/>
    <w:rsid w:val="0089467B"/>
    <w:rsid w:val="008A4F38"/>
    <w:rsid w:val="008B252D"/>
    <w:rsid w:val="008C7F2C"/>
    <w:rsid w:val="008D1E8C"/>
    <w:rsid w:val="008D44EC"/>
    <w:rsid w:val="008E318B"/>
    <w:rsid w:val="008E598B"/>
    <w:rsid w:val="008F29FC"/>
    <w:rsid w:val="00904172"/>
    <w:rsid w:val="009121D0"/>
    <w:rsid w:val="0091278E"/>
    <w:rsid w:val="00917D02"/>
    <w:rsid w:val="0092103C"/>
    <w:rsid w:val="00921958"/>
    <w:rsid w:val="00925F58"/>
    <w:rsid w:val="00926869"/>
    <w:rsid w:val="0094308F"/>
    <w:rsid w:val="00945CD7"/>
    <w:rsid w:val="00956E70"/>
    <w:rsid w:val="009571DF"/>
    <w:rsid w:val="0096017C"/>
    <w:rsid w:val="00960C10"/>
    <w:rsid w:val="00961FD9"/>
    <w:rsid w:val="00975EBB"/>
    <w:rsid w:val="00981089"/>
    <w:rsid w:val="00994AB8"/>
    <w:rsid w:val="009A2077"/>
    <w:rsid w:val="009A2527"/>
    <w:rsid w:val="009A2D9F"/>
    <w:rsid w:val="009A3D08"/>
    <w:rsid w:val="009A5EEF"/>
    <w:rsid w:val="009B65B4"/>
    <w:rsid w:val="009C27BD"/>
    <w:rsid w:val="009C5807"/>
    <w:rsid w:val="009D2E6F"/>
    <w:rsid w:val="009F683A"/>
    <w:rsid w:val="00A1506B"/>
    <w:rsid w:val="00A152F1"/>
    <w:rsid w:val="00A1746C"/>
    <w:rsid w:val="00A26284"/>
    <w:rsid w:val="00A31566"/>
    <w:rsid w:val="00A3165B"/>
    <w:rsid w:val="00A33454"/>
    <w:rsid w:val="00A339DC"/>
    <w:rsid w:val="00A37B7F"/>
    <w:rsid w:val="00A42865"/>
    <w:rsid w:val="00A43B1D"/>
    <w:rsid w:val="00A451A1"/>
    <w:rsid w:val="00A513EB"/>
    <w:rsid w:val="00A51D10"/>
    <w:rsid w:val="00A56A31"/>
    <w:rsid w:val="00A61470"/>
    <w:rsid w:val="00A6680E"/>
    <w:rsid w:val="00A70750"/>
    <w:rsid w:val="00A709AD"/>
    <w:rsid w:val="00A718CC"/>
    <w:rsid w:val="00A720B1"/>
    <w:rsid w:val="00A74060"/>
    <w:rsid w:val="00A761C6"/>
    <w:rsid w:val="00A777BD"/>
    <w:rsid w:val="00A80274"/>
    <w:rsid w:val="00A81FB9"/>
    <w:rsid w:val="00A84AAB"/>
    <w:rsid w:val="00A8767E"/>
    <w:rsid w:val="00A94BB6"/>
    <w:rsid w:val="00A974F5"/>
    <w:rsid w:val="00AA0E22"/>
    <w:rsid w:val="00AB54E1"/>
    <w:rsid w:val="00AC179D"/>
    <w:rsid w:val="00AC2762"/>
    <w:rsid w:val="00AC58C6"/>
    <w:rsid w:val="00AC59E4"/>
    <w:rsid w:val="00AC7305"/>
    <w:rsid w:val="00AD2E9B"/>
    <w:rsid w:val="00AD503B"/>
    <w:rsid w:val="00AE5CF6"/>
    <w:rsid w:val="00AF0856"/>
    <w:rsid w:val="00AF1391"/>
    <w:rsid w:val="00AF24D5"/>
    <w:rsid w:val="00AF312D"/>
    <w:rsid w:val="00B068E6"/>
    <w:rsid w:val="00B06B0A"/>
    <w:rsid w:val="00B17E81"/>
    <w:rsid w:val="00B20603"/>
    <w:rsid w:val="00B22264"/>
    <w:rsid w:val="00B241A1"/>
    <w:rsid w:val="00B323F1"/>
    <w:rsid w:val="00B34E9C"/>
    <w:rsid w:val="00B4142C"/>
    <w:rsid w:val="00B44A7E"/>
    <w:rsid w:val="00B46681"/>
    <w:rsid w:val="00B51019"/>
    <w:rsid w:val="00B5170F"/>
    <w:rsid w:val="00B540AB"/>
    <w:rsid w:val="00B55A87"/>
    <w:rsid w:val="00B63F9A"/>
    <w:rsid w:val="00B700D5"/>
    <w:rsid w:val="00B70F84"/>
    <w:rsid w:val="00B7726C"/>
    <w:rsid w:val="00B8524F"/>
    <w:rsid w:val="00B92006"/>
    <w:rsid w:val="00B92C37"/>
    <w:rsid w:val="00B95FF1"/>
    <w:rsid w:val="00BA2D04"/>
    <w:rsid w:val="00BA4A23"/>
    <w:rsid w:val="00BB1D2C"/>
    <w:rsid w:val="00BB3353"/>
    <w:rsid w:val="00BB7C0F"/>
    <w:rsid w:val="00BC10D8"/>
    <w:rsid w:val="00BD5908"/>
    <w:rsid w:val="00BD6CE4"/>
    <w:rsid w:val="00BE2AE0"/>
    <w:rsid w:val="00BF1687"/>
    <w:rsid w:val="00BF1B43"/>
    <w:rsid w:val="00BF6365"/>
    <w:rsid w:val="00C137BF"/>
    <w:rsid w:val="00C141E5"/>
    <w:rsid w:val="00C17776"/>
    <w:rsid w:val="00C17F40"/>
    <w:rsid w:val="00C23318"/>
    <w:rsid w:val="00C24352"/>
    <w:rsid w:val="00C27FE1"/>
    <w:rsid w:val="00C33A0A"/>
    <w:rsid w:val="00C3445F"/>
    <w:rsid w:val="00C35944"/>
    <w:rsid w:val="00C42087"/>
    <w:rsid w:val="00C42430"/>
    <w:rsid w:val="00C53B08"/>
    <w:rsid w:val="00C7000C"/>
    <w:rsid w:val="00C7032C"/>
    <w:rsid w:val="00C74756"/>
    <w:rsid w:val="00C77FDC"/>
    <w:rsid w:val="00C81FCB"/>
    <w:rsid w:val="00C83D28"/>
    <w:rsid w:val="00C9318E"/>
    <w:rsid w:val="00C96FD4"/>
    <w:rsid w:val="00CA0013"/>
    <w:rsid w:val="00CB0E68"/>
    <w:rsid w:val="00CB357B"/>
    <w:rsid w:val="00CB3789"/>
    <w:rsid w:val="00CC000F"/>
    <w:rsid w:val="00CC5B06"/>
    <w:rsid w:val="00CD2F63"/>
    <w:rsid w:val="00CD3583"/>
    <w:rsid w:val="00CD4259"/>
    <w:rsid w:val="00CD5997"/>
    <w:rsid w:val="00CE2EF8"/>
    <w:rsid w:val="00CE65E0"/>
    <w:rsid w:val="00CE6B33"/>
    <w:rsid w:val="00CE7EDC"/>
    <w:rsid w:val="00CF2863"/>
    <w:rsid w:val="00CF4175"/>
    <w:rsid w:val="00D10B9D"/>
    <w:rsid w:val="00D123C6"/>
    <w:rsid w:val="00D22A1E"/>
    <w:rsid w:val="00D3046B"/>
    <w:rsid w:val="00D35670"/>
    <w:rsid w:val="00D40812"/>
    <w:rsid w:val="00D430E8"/>
    <w:rsid w:val="00D47E04"/>
    <w:rsid w:val="00D50CCF"/>
    <w:rsid w:val="00D524A6"/>
    <w:rsid w:val="00D55BEB"/>
    <w:rsid w:val="00D6657B"/>
    <w:rsid w:val="00D71D59"/>
    <w:rsid w:val="00D752A3"/>
    <w:rsid w:val="00D8475B"/>
    <w:rsid w:val="00D9376D"/>
    <w:rsid w:val="00DB337B"/>
    <w:rsid w:val="00DB5502"/>
    <w:rsid w:val="00DB5BF8"/>
    <w:rsid w:val="00DB5CFE"/>
    <w:rsid w:val="00DC24C9"/>
    <w:rsid w:val="00DC3CCC"/>
    <w:rsid w:val="00DC7FC8"/>
    <w:rsid w:val="00DD172D"/>
    <w:rsid w:val="00DF401C"/>
    <w:rsid w:val="00DF4ED8"/>
    <w:rsid w:val="00E043A0"/>
    <w:rsid w:val="00E12D14"/>
    <w:rsid w:val="00E17812"/>
    <w:rsid w:val="00E35DA0"/>
    <w:rsid w:val="00E37CE7"/>
    <w:rsid w:val="00E42F0A"/>
    <w:rsid w:val="00E55631"/>
    <w:rsid w:val="00E63556"/>
    <w:rsid w:val="00E64C49"/>
    <w:rsid w:val="00E764BC"/>
    <w:rsid w:val="00E82A8C"/>
    <w:rsid w:val="00E85608"/>
    <w:rsid w:val="00E86AD4"/>
    <w:rsid w:val="00E965A7"/>
    <w:rsid w:val="00E978F3"/>
    <w:rsid w:val="00EA00C5"/>
    <w:rsid w:val="00EA46BD"/>
    <w:rsid w:val="00EB0521"/>
    <w:rsid w:val="00EB2EAB"/>
    <w:rsid w:val="00EC7D1F"/>
    <w:rsid w:val="00ED1C7A"/>
    <w:rsid w:val="00ED3E4B"/>
    <w:rsid w:val="00ED5CD0"/>
    <w:rsid w:val="00ED736E"/>
    <w:rsid w:val="00EE4770"/>
    <w:rsid w:val="00EF2122"/>
    <w:rsid w:val="00EF4F21"/>
    <w:rsid w:val="00EF6478"/>
    <w:rsid w:val="00F00897"/>
    <w:rsid w:val="00F01A66"/>
    <w:rsid w:val="00F03EEE"/>
    <w:rsid w:val="00F10984"/>
    <w:rsid w:val="00F16465"/>
    <w:rsid w:val="00F166C6"/>
    <w:rsid w:val="00F171A5"/>
    <w:rsid w:val="00F20FC7"/>
    <w:rsid w:val="00F21069"/>
    <w:rsid w:val="00F21851"/>
    <w:rsid w:val="00F22AB3"/>
    <w:rsid w:val="00F24643"/>
    <w:rsid w:val="00F26CA1"/>
    <w:rsid w:val="00F30B6C"/>
    <w:rsid w:val="00F327E1"/>
    <w:rsid w:val="00F33A30"/>
    <w:rsid w:val="00F35269"/>
    <w:rsid w:val="00F440A9"/>
    <w:rsid w:val="00F46E21"/>
    <w:rsid w:val="00F562CE"/>
    <w:rsid w:val="00F670FC"/>
    <w:rsid w:val="00F704EB"/>
    <w:rsid w:val="00F709F5"/>
    <w:rsid w:val="00F70BB6"/>
    <w:rsid w:val="00F725CC"/>
    <w:rsid w:val="00F73BA2"/>
    <w:rsid w:val="00F7590A"/>
    <w:rsid w:val="00F840FA"/>
    <w:rsid w:val="00F900EC"/>
    <w:rsid w:val="00F92A51"/>
    <w:rsid w:val="00FA2767"/>
    <w:rsid w:val="00FB2180"/>
    <w:rsid w:val="00FB6A22"/>
    <w:rsid w:val="00FC2BDA"/>
    <w:rsid w:val="00FC7788"/>
    <w:rsid w:val="00FD0956"/>
    <w:rsid w:val="00FD7F49"/>
    <w:rsid w:val="00FE32B1"/>
    <w:rsid w:val="00FE493F"/>
    <w:rsid w:val="00FE753F"/>
    <w:rsid w:val="00FF79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28891"/>
  <w15:chartTrackingRefBased/>
  <w15:docId w15:val="{AB85743A-89E1-4259-9660-64D57345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brima" w:eastAsiaTheme="minorHAnsi" w:hAnsi="Ebrima" w:cstheme="minorBidi"/>
        <w:sz w:val="24"/>
        <w:szCs w:val="24"/>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52B"/>
    <w:pPr>
      <w:spacing w:after="0" w:line="240" w:lineRule="auto"/>
    </w:pPr>
    <w:rPr>
      <w:rFonts w:ascii="Univers" w:eastAsia="Times New Roman" w:hAnsi="Univers" w:cs="Times New Roman"/>
      <w:b/>
      <w:bCs/>
      <w:color w:val="0000FF"/>
      <w:lang w:val="en-GB"/>
    </w:rPr>
  </w:style>
  <w:style w:type="paragraph" w:styleId="Heading1">
    <w:name w:val="heading 1"/>
    <w:basedOn w:val="Normal"/>
    <w:next w:val="Normal"/>
    <w:link w:val="Heading1Char"/>
    <w:uiPriority w:val="9"/>
    <w:qFormat/>
    <w:rsid w:val="000618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55631"/>
    <w:pPr>
      <w:spacing w:before="100" w:beforeAutospacing="1" w:after="100" w:afterAutospacing="1"/>
      <w:outlineLvl w:val="1"/>
    </w:pPr>
    <w:rPr>
      <w:rFonts w:ascii="Times New Roman" w:hAnsi="Times New Roman"/>
      <w:bCs w:val="0"/>
      <w:color w:val="auto"/>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1552B"/>
    <w:pPr>
      <w:numPr>
        <w:numId w:val="1"/>
      </w:numPr>
    </w:pPr>
  </w:style>
  <w:style w:type="paragraph" w:styleId="Header">
    <w:name w:val="header"/>
    <w:basedOn w:val="Normal"/>
    <w:link w:val="HeaderChar"/>
    <w:uiPriority w:val="99"/>
    <w:unhideWhenUsed/>
    <w:rsid w:val="009A2077"/>
    <w:pPr>
      <w:tabs>
        <w:tab w:val="center" w:pos="4680"/>
        <w:tab w:val="right" w:pos="9360"/>
      </w:tabs>
    </w:pPr>
  </w:style>
  <w:style w:type="character" w:customStyle="1" w:styleId="HeaderChar">
    <w:name w:val="Header Char"/>
    <w:basedOn w:val="DefaultParagraphFont"/>
    <w:link w:val="Header"/>
    <w:uiPriority w:val="99"/>
    <w:rsid w:val="009A2077"/>
    <w:rPr>
      <w:rFonts w:ascii="Univers" w:eastAsia="Times New Roman" w:hAnsi="Univers" w:cs="Times New Roman"/>
      <w:b/>
      <w:bCs/>
      <w:color w:val="0000FF"/>
      <w:lang w:val="en-GB"/>
    </w:rPr>
  </w:style>
  <w:style w:type="paragraph" w:styleId="Footer">
    <w:name w:val="footer"/>
    <w:basedOn w:val="Normal"/>
    <w:link w:val="FooterChar"/>
    <w:uiPriority w:val="99"/>
    <w:unhideWhenUsed/>
    <w:rsid w:val="009A2077"/>
    <w:pPr>
      <w:tabs>
        <w:tab w:val="center" w:pos="4680"/>
        <w:tab w:val="right" w:pos="9360"/>
      </w:tabs>
    </w:pPr>
  </w:style>
  <w:style w:type="character" w:customStyle="1" w:styleId="FooterChar">
    <w:name w:val="Footer Char"/>
    <w:basedOn w:val="DefaultParagraphFont"/>
    <w:link w:val="Footer"/>
    <w:uiPriority w:val="99"/>
    <w:rsid w:val="009A2077"/>
    <w:rPr>
      <w:rFonts w:ascii="Univers" w:eastAsia="Times New Roman" w:hAnsi="Univers" w:cs="Times New Roman"/>
      <w:b/>
      <w:bCs/>
      <w:color w:val="0000FF"/>
      <w:lang w:val="en-GB"/>
    </w:rPr>
  </w:style>
  <w:style w:type="paragraph" w:styleId="ListParagraph">
    <w:name w:val="List Paragraph"/>
    <w:basedOn w:val="Normal"/>
    <w:uiPriority w:val="34"/>
    <w:qFormat/>
    <w:rsid w:val="00BB1D2C"/>
    <w:pPr>
      <w:ind w:left="720"/>
      <w:contextualSpacing/>
    </w:pPr>
  </w:style>
  <w:style w:type="paragraph" w:styleId="FootnoteText">
    <w:name w:val="footnote text"/>
    <w:basedOn w:val="Normal"/>
    <w:link w:val="FootnoteTextChar"/>
    <w:unhideWhenUsed/>
    <w:rsid w:val="00BB1D2C"/>
    <w:rPr>
      <w:sz w:val="20"/>
      <w:szCs w:val="20"/>
    </w:rPr>
  </w:style>
  <w:style w:type="character" w:customStyle="1" w:styleId="FootnoteTextChar">
    <w:name w:val="Footnote Text Char"/>
    <w:basedOn w:val="DefaultParagraphFont"/>
    <w:link w:val="FootnoteText"/>
    <w:rsid w:val="00BB1D2C"/>
    <w:rPr>
      <w:rFonts w:ascii="Univers" w:eastAsia="Times New Roman" w:hAnsi="Univers" w:cs="Times New Roman"/>
      <w:b/>
      <w:bCs/>
      <w:color w:val="0000FF"/>
      <w:sz w:val="20"/>
      <w:szCs w:val="20"/>
      <w:lang w:val="en-GB"/>
    </w:rPr>
  </w:style>
  <w:style w:type="character" w:styleId="FootnoteReference">
    <w:name w:val="footnote reference"/>
    <w:basedOn w:val="DefaultParagraphFont"/>
    <w:uiPriority w:val="99"/>
    <w:semiHidden/>
    <w:unhideWhenUsed/>
    <w:rsid w:val="00BB1D2C"/>
    <w:rPr>
      <w:vertAlign w:val="superscript"/>
    </w:rPr>
  </w:style>
  <w:style w:type="paragraph" w:customStyle="1" w:styleId="1">
    <w:name w:val="1"/>
    <w:basedOn w:val="Normal"/>
    <w:link w:val="1Char"/>
    <w:qFormat/>
    <w:rsid w:val="0012218E"/>
    <w:pPr>
      <w:numPr>
        <w:numId w:val="6"/>
      </w:numPr>
      <w:spacing w:before="480" w:line="480" w:lineRule="auto"/>
      <w:jc w:val="both"/>
    </w:pPr>
    <w:rPr>
      <w:rFonts w:ascii="Arial" w:hAnsi="Arial"/>
      <w:b w:val="0"/>
      <w:iCs/>
      <w:color w:val="000000"/>
      <w:szCs w:val="22"/>
      <w:lang w:val="en-ZA"/>
    </w:rPr>
  </w:style>
  <w:style w:type="paragraph" w:customStyle="1" w:styleId="2">
    <w:name w:val="2"/>
    <w:basedOn w:val="1"/>
    <w:qFormat/>
    <w:rsid w:val="0012218E"/>
    <w:pPr>
      <w:numPr>
        <w:ilvl w:val="1"/>
      </w:numPr>
      <w:tabs>
        <w:tab w:val="clear" w:pos="1361"/>
        <w:tab w:val="num" w:pos="360"/>
      </w:tabs>
      <w:spacing w:before="240"/>
    </w:pPr>
  </w:style>
  <w:style w:type="paragraph" w:customStyle="1" w:styleId="3">
    <w:name w:val="3"/>
    <w:basedOn w:val="2"/>
    <w:qFormat/>
    <w:rsid w:val="0012218E"/>
    <w:pPr>
      <w:numPr>
        <w:ilvl w:val="2"/>
      </w:numPr>
      <w:tabs>
        <w:tab w:val="clear" w:pos="2155"/>
        <w:tab w:val="num" w:pos="360"/>
      </w:tabs>
    </w:pPr>
  </w:style>
  <w:style w:type="paragraph" w:customStyle="1" w:styleId="4">
    <w:name w:val="4"/>
    <w:basedOn w:val="2"/>
    <w:qFormat/>
    <w:rsid w:val="0012218E"/>
    <w:pPr>
      <w:numPr>
        <w:ilvl w:val="3"/>
      </w:numPr>
      <w:tabs>
        <w:tab w:val="clear" w:pos="2552"/>
        <w:tab w:val="num" w:pos="360"/>
      </w:tabs>
    </w:pPr>
    <w:rPr>
      <w:iCs w:val="0"/>
    </w:rPr>
  </w:style>
  <w:style w:type="paragraph" w:customStyle="1" w:styleId="5">
    <w:name w:val="5"/>
    <w:basedOn w:val="4"/>
    <w:qFormat/>
    <w:rsid w:val="0012218E"/>
    <w:pPr>
      <w:numPr>
        <w:ilvl w:val="4"/>
      </w:numPr>
      <w:tabs>
        <w:tab w:val="clear" w:pos="3119"/>
        <w:tab w:val="num" w:pos="360"/>
      </w:tabs>
    </w:pPr>
    <w:rPr>
      <w:iCs/>
      <w:szCs w:val="16"/>
      <w:lang w:eastAsia="en-ZA"/>
    </w:rPr>
  </w:style>
  <w:style w:type="character" w:customStyle="1" w:styleId="1Char">
    <w:name w:val="1 Char"/>
    <w:link w:val="1"/>
    <w:qFormat/>
    <w:rsid w:val="0012218E"/>
    <w:rPr>
      <w:rFonts w:ascii="Arial" w:eastAsia="Times New Roman" w:hAnsi="Arial" w:cs="Times New Roman"/>
      <w:bCs/>
      <w:iCs/>
      <w:color w:val="000000"/>
      <w:szCs w:val="22"/>
    </w:rPr>
  </w:style>
  <w:style w:type="paragraph" w:styleId="NormalWeb">
    <w:name w:val="Normal (Web)"/>
    <w:basedOn w:val="Normal"/>
    <w:uiPriority w:val="99"/>
    <w:unhideWhenUsed/>
    <w:rsid w:val="001E4892"/>
    <w:pPr>
      <w:spacing w:before="100" w:beforeAutospacing="1" w:after="100" w:afterAutospacing="1"/>
    </w:pPr>
    <w:rPr>
      <w:rFonts w:ascii="Times New Roman" w:hAnsi="Times New Roman"/>
      <w:b w:val="0"/>
      <w:color w:val="auto"/>
      <w:lang w:val="en-US"/>
    </w:rPr>
  </w:style>
  <w:style w:type="character" w:styleId="Hyperlink">
    <w:name w:val="Hyperlink"/>
    <w:basedOn w:val="DefaultParagraphFont"/>
    <w:uiPriority w:val="99"/>
    <w:semiHidden/>
    <w:unhideWhenUsed/>
    <w:rsid w:val="001E4892"/>
    <w:rPr>
      <w:color w:val="0000FF"/>
      <w:u w:val="single"/>
    </w:rPr>
  </w:style>
  <w:style w:type="character" w:customStyle="1" w:styleId="Heading2Char">
    <w:name w:val="Heading 2 Char"/>
    <w:basedOn w:val="DefaultParagraphFont"/>
    <w:link w:val="Heading2"/>
    <w:uiPriority w:val="9"/>
    <w:rsid w:val="00E55631"/>
    <w:rPr>
      <w:rFonts w:ascii="Times New Roman" w:eastAsia="Times New Roman" w:hAnsi="Times New Roman" w:cs="Times New Roman"/>
      <w:b/>
      <w:sz w:val="36"/>
      <w:szCs w:val="36"/>
      <w:lang w:val="en-US"/>
    </w:rPr>
  </w:style>
  <w:style w:type="paragraph" w:styleId="BalloonText">
    <w:name w:val="Balloon Text"/>
    <w:basedOn w:val="Normal"/>
    <w:link w:val="BalloonTextChar"/>
    <w:uiPriority w:val="99"/>
    <w:semiHidden/>
    <w:unhideWhenUsed/>
    <w:rsid w:val="00834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C50"/>
    <w:rPr>
      <w:rFonts w:ascii="Segoe UI" w:eastAsia="Times New Roman" w:hAnsi="Segoe UI" w:cs="Segoe UI"/>
      <w:b/>
      <w:bCs/>
      <w:color w:val="0000FF"/>
      <w:sz w:val="18"/>
      <w:szCs w:val="18"/>
      <w:lang w:val="en-GB"/>
    </w:rPr>
  </w:style>
  <w:style w:type="character" w:styleId="CommentReference">
    <w:name w:val="annotation reference"/>
    <w:basedOn w:val="DefaultParagraphFont"/>
    <w:uiPriority w:val="99"/>
    <w:semiHidden/>
    <w:unhideWhenUsed/>
    <w:rsid w:val="00D10B9D"/>
    <w:rPr>
      <w:sz w:val="16"/>
      <w:szCs w:val="16"/>
    </w:rPr>
  </w:style>
  <w:style w:type="paragraph" w:styleId="CommentText">
    <w:name w:val="annotation text"/>
    <w:basedOn w:val="Normal"/>
    <w:link w:val="CommentTextChar"/>
    <w:uiPriority w:val="99"/>
    <w:semiHidden/>
    <w:unhideWhenUsed/>
    <w:rsid w:val="00D10B9D"/>
    <w:rPr>
      <w:sz w:val="20"/>
      <w:szCs w:val="20"/>
    </w:rPr>
  </w:style>
  <w:style w:type="character" w:customStyle="1" w:styleId="CommentTextChar">
    <w:name w:val="Comment Text Char"/>
    <w:basedOn w:val="DefaultParagraphFont"/>
    <w:link w:val="CommentText"/>
    <w:uiPriority w:val="99"/>
    <w:semiHidden/>
    <w:rsid w:val="00D10B9D"/>
    <w:rPr>
      <w:rFonts w:ascii="Univers" w:eastAsia="Times New Roman" w:hAnsi="Univers" w:cs="Times New Roman"/>
      <w:b/>
      <w:bCs/>
      <w:color w:val="0000FF"/>
      <w:sz w:val="20"/>
      <w:szCs w:val="20"/>
      <w:lang w:val="en-GB"/>
    </w:rPr>
  </w:style>
  <w:style w:type="paragraph" w:styleId="CommentSubject">
    <w:name w:val="annotation subject"/>
    <w:basedOn w:val="CommentText"/>
    <w:next w:val="CommentText"/>
    <w:link w:val="CommentSubjectChar"/>
    <w:uiPriority w:val="99"/>
    <w:semiHidden/>
    <w:unhideWhenUsed/>
    <w:rsid w:val="00D10B9D"/>
    <w:rPr>
      <w:bCs w:val="0"/>
    </w:rPr>
  </w:style>
  <w:style w:type="character" w:customStyle="1" w:styleId="CommentSubjectChar">
    <w:name w:val="Comment Subject Char"/>
    <w:basedOn w:val="CommentTextChar"/>
    <w:link w:val="CommentSubject"/>
    <w:uiPriority w:val="99"/>
    <w:semiHidden/>
    <w:rsid w:val="00D10B9D"/>
    <w:rPr>
      <w:rFonts w:ascii="Univers" w:eastAsia="Times New Roman" w:hAnsi="Univers" w:cs="Times New Roman"/>
      <w:b/>
      <w:bCs w:val="0"/>
      <w:color w:val="0000FF"/>
      <w:sz w:val="20"/>
      <w:szCs w:val="20"/>
      <w:lang w:val="en-GB"/>
    </w:rPr>
  </w:style>
  <w:style w:type="paragraph" w:customStyle="1" w:styleId="western">
    <w:name w:val="western"/>
    <w:basedOn w:val="Normal"/>
    <w:rsid w:val="00B5170F"/>
    <w:pPr>
      <w:spacing w:before="100" w:beforeAutospacing="1" w:after="100" w:afterAutospacing="1"/>
    </w:pPr>
    <w:rPr>
      <w:rFonts w:ascii="Times New Roman" w:hAnsi="Times New Roman"/>
      <w:b w:val="0"/>
      <w:color w:val="auto"/>
      <w:lang w:val="en-US"/>
    </w:rPr>
  </w:style>
  <w:style w:type="character" w:customStyle="1" w:styleId="Heading1Char">
    <w:name w:val="Heading 1 Char"/>
    <w:basedOn w:val="DefaultParagraphFont"/>
    <w:link w:val="Heading1"/>
    <w:uiPriority w:val="9"/>
    <w:rsid w:val="00061884"/>
    <w:rPr>
      <w:rFonts w:asciiTheme="majorHAnsi" w:eastAsiaTheme="majorEastAsia" w:hAnsiTheme="majorHAnsi" w:cstheme="majorBidi"/>
      <w:b/>
      <w:bCs/>
      <w:color w:val="2E74B5" w:themeColor="accent1" w:themeShade="BF"/>
      <w:sz w:val="32"/>
      <w:szCs w:val="32"/>
      <w:lang w:val="en-GB"/>
    </w:rPr>
  </w:style>
  <w:style w:type="table" w:styleId="TableGrid">
    <w:name w:val="Table Grid"/>
    <w:basedOn w:val="TableNormal"/>
    <w:uiPriority w:val="59"/>
    <w:rsid w:val="00F33A30"/>
    <w:pPr>
      <w:spacing w:after="0" w:line="240" w:lineRule="auto"/>
    </w:pPr>
    <w:rPr>
      <w:rFonts w:asciiTheme="minorHAnsi" w:hAnsiTheme="minorHAnsi"/>
      <w:bC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21731">
      <w:bodyDiv w:val="1"/>
      <w:marLeft w:val="0"/>
      <w:marRight w:val="0"/>
      <w:marTop w:val="0"/>
      <w:marBottom w:val="0"/>
      <w:divBdr>
        <w:top w:val="none" w:sz="0" w:space="0" w:color="auto"/>
        <w:left w:val="none" w:sz="0" w:space="0" w:color="auto"/>
        <w:bottom w:val="none" w:sz="0" w:space="0" w:color="auto"/>
        <w:right w:val="none" w:sz="0" w:space="0" w:color="auto"/>
      </w:divBdr>
      <w:divsChild>
        <w:div w:id="1387608934">
          <w:marLeft w:val="0"/>
          <w:marRight w:val="0"/>
          <w:marTop w:val="0"/>
          <w:marBottom w:val="225"/>
          <w:divBdr>
            <w:top w:val="single" w:sz="24" w:space="0" w:color="auto"/>
            <w:left w:val="single" w:sz="24" w:space="0" w:color="auto"/>
            <w:bottom w:val="single" w:sz="36" w:space="0" w:color="003300"/>
            <w:right w:val="single" w:sz="24" w:space="0" w:color="auto"/>
          </w:divBdr>
          <w:divsChild>
            <w:div w:id="1880243283">
              <w:marLeft w:val="0"/>
              <w:marRight w:val="0"/>
              <w:marTop w:val="0"/>
              <w:marBottom w:val="0"/>
              <w:divBdr>
                <w:top w:val="none" w:sz="0" w:space="0" w:color="auto"/>
                <w:left w:val="none" w:sz="0" w:space="0" w:color="auto"/>
                <w:bottom w:val="none" w:sz="0" w:space="0" w:color="auto"/>
                <w:right w:val="none" w:sz="0" w:space="0" w:color="auto"/>
              </w:divBdr>
            </w:div>
          </w:divsChild>
        </w:div>
        <w:div w:id="1409420490">
          <w:marLeft w:val="0"/>
          <w:marRight w:val="0"/>
          <w:marTop w:val="0"/>
          <w:marBottom w:val="0"/>
          <w:divBdr>
            <w:top w:val="none" w:sz="0" w:space="0" w:color="auto"/>
            <w:left w:val="none" w:sz="0" w:space="0" w:color="auto"/>
            <w:bottom w:val="none" w:sz="0" w:space="0" w:color="auto"/>
            <w:right w:val="none" w:sz="0" w:space="0" w:color="auto"/>
          </w:divBdr>
          <w:divsChild>
            <w:div w:id="1886061500">
              <w:marLeft w:val="0"/>
              <w:marRight w:val="0"/>
              <w:marTop w:val="0"/>
              <w:marBottom w:val="0"/>
              <w:divBdr>
                <w:top w:val="none" w:sz="0" w:space="0" w:color="auto"/>
                <w:left w:val="none" w:sz="0" w:space="0" w:color="auto"/>
                <w:bottom w:val="none" w:sz="0" w:space="0" w:color="auto"/>
                <w:right w:val="none" w:sz="0" w:space="0" w:color="auto"/>
              </w:divBdr>
              <w:divsChild>
                <w:div w:id="1431044623">
                  <w:marLeft w:val="0"/>
                  <w:marRight w:val="0"/>
                  <w:marTop w:val="0"/>
                  <w:marBottom w:val="0"/>
                  <w:divBdr>
                    <w:top w:val="none" w:sz="0" w:space="0" w:color="auto"/>
                    <w:left w:val="none" w:sz="0" w:space="0" w:color="auto"/>
                    <w:bottom w:val="none" w:sz="0" w:space="0" w:color="auto"/>
                    <w:right w:val="none" w:sz="0" w:space="0" w:color="auto"/>
                  </w:divBdr>
                  <w:divsChild>
                    <w:div w:id="1415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7029">
      <w:bodyDiv w:val="1"/>
      <w:marLeft w:val="0"/>
      <w:marRight w:val="0"/>
      <w:marTop w:val="0"/>
      <w:marBottom w:val="0"/>
      <w:divBdr>
        <w:top w:val="none" w:sz="0" w:space="0" w:color="auto"/>
        <w:left w:val="none" w:sz="0" w:space="0" w:color="auto"/>
        <w:bottom w:val="none" w:sz="0" w:space="0" w:color="auto"/>
        <w:right w:val="none" w:sz="0" w:space="0" w:color="auto"/>
      </w:divBdr>
    </w:div>
    <w:div w:id="1043361187">
      <w:bodyDiv w:val="1"/>
      <w:marLeft w:val="0"/>
      <w:marRight w:val="0"/>
      <w:marTop w:val="0"/>
      <w:marBottom w:val="0"/>
      <w:divBdr>
        <w:top w:val="none" w:sz="0" w:space="0" w:color="auto"/>
        <w:left w:val="none" w:sz="0" w:space="0" w:color="auto"/>
        <w:bottom w:val="none" w:sz="0" w:space="0" w:color="auto"/>
        <w:right w:val="none" w:sz="0" w:space="0" w:color="auto"/>
      </w:divBdr>
    </w:div>
    <w:div w:id="1112168111">
      <w:bodyDiv w:val="1"/>
      <w:marLeft w:val="0"/>
      <w:marRight w:val="0"/>
      <w:marTop w:val="0"/>
      <w:marBottom w:val="0"/>
      <w:divBdr>
        <w:top w:val="none" w:sz="0" w:space="0" w:color="auto"/>
        <w:left w:val="none" w:sz="0" w:space="0" w:color="auto"/>
        <w:bottom w:val="none" w:sz="0" w:space="0" w:color="auto"/>
        <w:right w:val="none" w:sz="0" w:space="0" w:color="auto"/>
      </w:divBdr>
    </w:div>
    <w:div w:id="1143354735">
      <w:bodyDiv w:val="1"/>
      <w:marLeft w:val="0"/>
      <w:marRight w:val="0"/>
      <w:marTop w:val="0"/>
      <w:marBottom w:val="0"/>
      <w:divBdr>
        <w:top w:val="none" w:sz="0" w:space="0" w:color="auto"/>
        <w:left w:val="none" w:sz="0" w:space="0" w:color="auto"/>
        <w:bottom w:val="none" w:sz="0" w:space="0" w:color="auto"/>
        <w:right w:val="none" w:sz="0" w:space="0" w:color="auto"/>
      </w:divBdr>
    </w:div>
    <w:div w:id="1266303438">
      <w:bodyDiv w:val="1"/>
      <w:marLeft w:val="0"/>
      <w:marRight w:val="0"/>
      <w:marTop w:val="0"/>
      <w:marBottom w:val="0"/>
      <w:divBdr>
        <w:top w:val="none" w:sz="0" w:space="0" w:color="auto"/>
        <w:left w:val="none" w:sz="0" w:space="0" w:color="auto"/>
        <w:bottom w:val="none" w:sz="0" w:space="0" w:color="auto"/>
        <w:right w:val="none" w:sz="0" w:space="0" w:color="auto"/>
      </w:divBdr>
    </w:div>
    <w:div w:id="1398936255">
      <w:bodyDiv w:val="1"/>
      <w:marLeft w:val="0"/>
      <w:marRight w:val="0"/>
      <w:marTop w:val="0"/>
      <w:marBottom w:val="0"/>
      <w:divBdr>
        <w:top w:val="none" w:sz="0" w:space="0" w:color="auto"/>
        <w:left w:val="none" w:sz="0" w:space="0" w:color="auto"/>
        <w:bottom w:val="none" w:sz="0" w:space="0" w:color="auto"/>
        <w:right w:val="none" w:sz="0" w:space="0" w:color="auto"/>
      </w:divBdr>
    </w:div>
    <w:div w:id="1498304985">
      <w:bodyDiv w:val="1"/>
      <w:marLeft w:val="0"/>
      <w:marRight w:val="0"/>
      <w:marTop w:val="0"/>
      <w:marBottom w:val="0"/>
      <w:divBdr>
        <w:top w:val="none" w:sz="0" w:space="0" w:color="auto"/>
        <w:left w:val="none" w:sz="0" w:space="0" w:color="auto"/>
        <w:bottom w:val="none" w:sz="0" w:space="0" w:color="auto"/>
        <w:right w:val="none" w:sz="0" w:space="0" w:color="auto"/>
      </w:divBdr>
    </w:div>
    <w:div w:id="157392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aflii.org/cgi-bin/LawCite?cit=1916%20AD%2015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5b2006%5d%20JOL%20180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C1E01-2E5D-4894-B02A-4CD5C70D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41</Pages>
  <Words>11409</Words>
  <Characters>65036</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Sibongile Nxumalo</dc:creator>
  <cp:keywords/>
  <dc:description/>
  <cp:lastModifiedBy>Yolande Vos</cp:lastModifiedBy>
  <cp:revision>3</cp:revision>
  <cp:lastPrinted>2023-10-05T10:49:00Z</cp:lastPrinted>
  <dcterms:created xsi:type="dcterms:W3CDTF">2023-10-05T10:38:00Z</dcterms:created>
  <dcterms:modified xsi:type="dcterms:W3CDTF">2023-10-05T10:49:00Z</dcterms:modified>
</cp:coreProperties>
</file>