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49" w:rsidRPr="00DB0DF7" w:rsidRDefault="00DB0DF7" w:rsidP="00DB0DF7">
      <w:pPr>
        <w:rPr>
          <w:color w:val="FF0000"/>
          <w:u w:val="single"/>
        </w:rPr>
      </w:pPr>
      <w:r>
        <w:rPr>
          <w:rFonts w:ascii="Arial" w:hAnsi="Arial" w:cs="Arial"/>
          <w:color w:val="FF0000"/>
        </w:rPr>
        <w:t>Editorial note: Certain information has been redacted from this judgment in compliance with the law.</w:t>
      </w:r>
    </w:p>
    <w:p w:rsidR="00784249" w:rsidRDefault="00784249" w:rsidP="007C0CB2">
      <w:pPr>
        <w:spacing w:line="360" w:lineRule="auto"/>
        <w:jc w:val="center"/>
        <w:rPr>
          <w:rFonts w:ascii="Arial" w:hAnsi="Arial" w:cs="Arial"/>
          <w:b/>
          <w:sz w:val="24"/>
          <w:szCs w:val="24"/>
        </w:rPr>
      </w:pPr>
      <w:r w:rsidRPr="00280F19">
        <w:rPr>
          <w:rFonts w:ascii="Arial" w:hAnsi="Arial" w:cs="Arial"/>
          <w:noProof/>
          <w:lang w:val="en-ZA" w:eastAsia="en-ZA"/>
        </w:rPr>
        <w:drawing>
          <wp:inline distT="0" distB="0" distL="0" distR="0" wp14:anchorId="0C76AE99" wp14:editId="4014EA8A">
            <wp:extent cx="1225550" cy="1176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176655"/>
                    </a:xfrm>
                    <a:prstGeom prst="rect">
                      <a:avLst/>
                    </a:prstGeom>
                    <a:noFill/>
                  </pic:spPr>
                </pic:pic>
              </a:graphicData>
            </a:graphic>
          </wp:inline>
        </w:drawing>
      </w:r>
    </w:p>
    <w:tbl>
      <w:tblPr>
        <w:tblStyle w:val="TableGrid"/>
        <w:tblpPr w:leftFromText="180" w:rightFromText="180" w:horzAnchor="page" w:tblpX="7251" w:tblpY="-890"/>
        <w:tblW w:w="4111"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977"/>
        <w:gridCol w:w="1134"/>
      </w:tblGrid>
      <w:tr w:rsidR="00784249" w:rsidRPr="00784249" w:rsidTr="00C0164A">
        <w:tc>
          <w:tcPr>
            <w:tcW w:w="2977" w:type="dxa"/>
            <w:shd w:val="clear" w:color="auto" w:fill="BFBFBF" w:themeFill="background1" w:themeFillShade="BF"/>
          </w:tcPr>
          <w:p w:rsidR="00784249" w:rsidRPr="00784249" w:rsidRDefault="00784249" w:rsidP="00C0164A">
            <w:pPr>
              <w:pStyle w:val="Header"/>
              <w:rPr>
                <w:rFonts w:ascii="Arial" w:hAnsi="Arial" w:cs="Arial"/>
                <w:sz w:val="18"/>
                <w:szCs w:val="18"/>
              </w:rPr>
            </w:pPr>
            <w:r w:rsidRPr="00784249">
              <w:rPr>
                <w:rFonts w:ascii="Arial" w:hAnsi="Arial" w:cs="Arial"/>
                <w:sz w:val="18"/>
                <w:szCs w:val="18"/>
              </w:rPr>
              <w:t>Reportable:</w:t>
            </w:r>
          </w:p>
        </w:tc>
        <w:tc>
          <w:tcPr>
            <w:tcW w:w="1134" w:type="dxa"/>
            <w:shd w:val="clear" w:color="auto" w:fill="BFBFBF" w:themeFill="background1" w:themeFillShade="BF"/>
          </w:tcPr>
          <w:p w:rsidR="00784249" w:rsidRPr="00784249" w:rsidRDefault="00784249" w:rsidP="00C0164A">
            <w:pPr>
              <w:pStyle w:val="Header"/>
              <w:jc w:val="center"/>
              <w:rPr>
                <w:rFonts w:ascii="Arial" w:hAnsi="Arial" w:cs="Arial"/>
                <w:sz w:val="18"/>
                <w:szCs w:val="18"/>
              </w:rPr>
            </w:pPr>
            <w:r w:rsidRPr="00784249">
              <w:rPr>
                <w:rFonts w:ascii="Arial" w:hAnsi="Arial" w:cs="Arial"/>
                <w:sz w:val="18"/>
                <w:szCs w:val="18"/>
              </w:rPr>
              <w:t>YES  /  NO</w:t>
            </w:r>
          </w:p>
        </w:tc>
      </w:tr>
      <w:tr w:rsidR="00784249" w:rsidRPr="00784249" w:rsidTr="00C0164A">
        <w:tc>
          <w:tcPr>
            <w:tcW w:w="2977" w:type="dxa"/>
            <w:shd w:val="clear" w:color="auto" w:fill="BFBFBF" w:themeFill="background1" w:themeFillShade="BF"/>
          </w:tcPr>
          <w:p w:rsidR="00784249" w:rsidRPr="00784249" w:rsidRDefault="00784249" w:rsidP="00C0164A">
            <w:pPr>
              <w:pStyle w:val="Header"/>
              <w:rPr>
                <w:rFonts w:ascii="Arial" w:hAnsi="Arial" w:cs="Arial"/>
                <w:sz w:val="18"/>
                <w:szCs w:val="18"/>
              </w:rPr>
            </w:pPr>
            <w:r w:rsidRPr="00784249">
              <w:rPr>
                <w:rFonts w:ascii="Arial" w:hAnsi="Arial" w:cs="Arial"/>
                <w:sz w:val="18"/>
                <w:szCs w:val="18"/>
              </w:rPr>
              <w:t>Circulate to Judges:</w:t>
            </w:r>
          </w:p>
        </w:tc>
        <w:tc>
          <w:tcPr>
            <w:tcW w:w="1134" w:type="dxa"/>
            <w:shd w:val="clear" w:color="auto" w:fill="BFBFBF" w:themeFill="background1" w:themeFillShade="BF"/>
          </w:tcPr>
          <w:p w:rsidR="00784249" w:rsidRPr="00784249" w:rsidRDefault="00784249" w:rsidP="00C0164A">
            <w:pPr>
              <w:pStyle w:val="Header"/>
              <w:jc w:val="center"/>
              <w:rPr>
                <w:rFonts w:ascii="Arial" w:hAnsi="Arial" w:cs="Arial"/>
                <w:sz w:val="18"/>
                <w:szCs w:val="18"/>
              </w:rPr>
            </w:pPr>
            <w:r w:rsidRPr="00784249">
              <w:rPr>
                <w:rFonts w:ascii="Arial" w:hAnsi="Arial" w:cs="Arial"/>
                <w:sz w:val="18"/>
                <w:szCs w:val="18"/>
              </w:rPr>
              <w:t>YES  /  NO</w:t>
            </w:r>
          </w:p>
        </w:tc>
      </w:tr>
      <w:tr w:rsidR="00784249" w:rsidRPr="00784249" w:rsidTr="00C0164A">
        <w:tc>
          <w:tcPr>
            <w:tcW w:w="2977" w:type="dxa"/>
            <w:shd w:val="clear" w:color="auto" w:fill="BFBFBF" w:themeFill="background1" w:themeFillShade="BF"/>
          </w:tcPr>
          <w:p w:rsidR="00784249" w:rsidRPr="00784249" w:rsidRDefault="00784249" w:rsidP="00C0164A">
            <w:pPr>
              <w:pStyle w:val="Header"/>
              <w:rPr>
                <w:rFonts w:ascii="Arial" w:hAnsi="Arial" w:cs="Arial"/>
                <w:sz w:val="18"/>
                <w:szCs w:val="18"/>
              </w:rPr>
            </w:pPr>
            <w:r w:rsidRPr="00784249">
              <w:rPr>
                <w:rFonts w:ascii="Arial" w:hAnsi="Arial" w:cs="Arial"/>
                <w:sz w:val="18"/>
                <w:szCs w:val="18"/>
              </w:rPr>
              <w:t>Circulate to Regional Magistrates:</w:t>
            </w:r>
          </w:p>
        </w:tc>
        <w:tc>
          <w:tcPr>
            <w:tcW w:w="1134" w:type="dxa"/>
            <w:shd w:val="clear" w:color="auto" w:fill="BFBFBF" w:themeFill="background1" w:themeFillShade="BF"/>
          </w:tcPr>
          <w:p w:rsidR="00784249" w:rsidRPr="00784249" w:rsidRDefault="00784249" w:rsidP="00C0164A">
            <w:pPr>
              <w:pStyle w:val="Header"/>
              <w:jc w:val="center"/>
              <w:rPr>
                <w:rFonts w:ascii="Arial" w:hAnsi="Arial" w:cs="Arial"/>
                <w:b/>
                <w:sz w:val="18"/>
                <w:szCs w:val="18"/>
              </w:rPr>
            </w:pPr>
            <w:r w:rsidRPr="00784249">
              <w:rPr>
                <w:rFonts w:ascii="Arial" w:hAnsi="Arial" w:cs="Arial"/>
                <w:sz w:val="18"/>
                <w:szCs w:val="18"/>
              </w:rPr>
              <w:t>YES  /  NO</w:t>
            </w:r>
          </w:p>
        </w:tc>
      </w:tr>
      <w:tr w:rsidR="00784249" w:rsidRPr="00784249" w:rsidTr="00C0164A">
        <w:tc>
          <w:tcPr>
            <w:tcW w:w="2977" w:type="dxa"/>
            <w:shd w:val="clear" w:color="auto" w:fill="BFBFBF" w:themeFill="background1" w:themeFillShade="BF"/>
          </w:tcPr>
          <w:p w:rsidR="00784249" w:rsidRPr="00784249" w:rsidRDefault="00784249" w:rsidP="00C0164A">
            <w:pPr>
              <w:pStyle w:val="Header"/>
              <w:rPr>
                <w:rFonts w:ascii="Arial" w:hAnsi="Arial" w:cs="Arial"/>
                <w:sz w:val="18"/>
                <w:szCs w:val="18"/>
              </w:rPr>
            </w:pPr>
            <w:r w:rsidRPr="00784249">
              <w:rPr>
                <w:rFonts w:ascii="Arial" w:hAnsi="Arial" w:cs="Arial"/>
                <w:sz w:val="18"/>
                <w:szCs w:val="18"/>
              </w:rPr>
              <w:t>Circulate to Magistrates:</w:t>
            </w:r>
          </w:p>
        </w:tc>
        <w:tc>
          <w:tcPr>
            <w:tcW w:w="1134" w:type="dxa"/>
            <w:shd w:val="clear" w:color="auto" w:fill="BFBFBF" w:themeFill="background1" w:themeFillShade="BF"/>
          </w:tcPr>
          <w:p w:rsidR="00784249" w:rsidRPr="00784249" w:rsidRDefault="00784249" w:rsidP="00C0164A">
            <w:pPr>
              <w:pStyle w:val="Header"/>
              <w:jc w:val="center"/>
              <w:rPr>
                <w:rFonts w:ascii="Arial" w:hAnsi="Arial" w:cs="Arial"/>
                <w:sz w:val="18"/>
                <w:szCs w:val="18"/>
              </w:rPr>
            </w:pPr>
            <w:r w:rsidRPr="00784249">
              <w:rPr>
                <w:rFonts w:ascii="Arial" w:hAnsi="Arial" w:cs="Arial"/>
                <w:sz w:val="18"/>
                <w:szCs w:val="18"/>
              </w:rPr>
              <w:t>YES  /  NO</w:t>
            </w:r>
          </w:p>
        </w:tc>
      </w:tr>
    </w:tbl>
    <w:p w:rsidR="00AD0626" w:rsidRPr="00A557C0" w:rsidRDefault="005E25E7" w:rsidP="007C0CB2">
      <w:pPr>
        <w:spacing w:line="360" w:lineRule="auto"/>
        <w:jc w:val="center"/>
        <w:rPr>
          <w:rFonts w:ascii="Arial" w:hAnsi="Arial" w:cs="Arial"/>
          <w:b/>
          <w:sz w:val="24"/>
          <w:szCs w:val="24"/>
        </w:rPr>
      </w:pPr>
      <w:r w:rsidRPr="00A557C0">
        <w:rPr>
          <w:rFonts w:ascii="Arial" w:hAnsi="Arial" w:cs="Arial"/>
          <w:b/>
          <w:sz w:val="24"/>
          <w:szCs w:val="24"/>
        </w:rPr>
        <w:t>IN THE HIGH COURT OF SOUTH AFRICA</w:t>
      </w:r>
    </w:p>
    <w:p w:rsidR="005E25E7" w:rsidRPr="00A557C0" w:rsidRDefault="005E25E7" w:rsidP="007C0CB2">
      <w:pPr>
        <w:spacing w:line="360" w:lineRule="auto"/>
        <w:jc w:val="center"/>
        <w:rPr>
          <w:rFonts w:ascii="Arial" w:hAnsi="Arial" w:cs="Arial"/>
          <w:b/>
          <w:sz w:val="24"/>
          <w:szCs w:val="24"/>
        </w:rPr>
      </w:pPr>
      <w:r w:rsidRPr="00A557C0">
        <w:rPr>
          <w:rFonts w:ascii="Arial" w:hAnsi="Arial" w:cs="Arial"/>
          <w:b/>
          <w:sz w:val="24"/>
          <w:szCs w:val="24"/>
        </w:rPr>
        <w:t>(NORTHERN CAPE DIVISION, KIMBERLEY)</w:t>
      </w:r>
    </w:p>
    <w:p w:rsidR="005E25E7" w:rsidRPr="00A557C0" w:rsidRDefault="005E25E7" w:rsidP="007C0CB2">
      <w:pPr>
        <w:spacing w:line="360" w:lineRule="auto"/>
        <w:jc w:val="center"/>
        <w:rPr>
          <w:rFonts w:ascii="Arial" w:hAnsi="Arial" w:cs="Arial"/>
          <w:b/>
          <w:sz w:val="24"/>
          <w:szCs w:val="24"/>
        </w:rPr>
      </w:pPr>
    </w:p>
    <w:p w:rsidR="005E25E7" w:rsidRPr="00A557C0" w:rsidRDefault="005E25E7" w:rsidP="00A557C0">
      <w:pPr>
        <w:spacing w:line="360" w:lineRule="auto"/>
        <w:jc w:val="right"/>
        <w:rPr>
          <w:rFonts w:ascii="Arial" w:hAnsi="Arial" w:cs="Arial"/>
          <w:sz w:val="20"/>
          <w:szCs w:val="20"/>
        </w:rPr>
      </w:pPr>
      <w:r w:rsidRPr="00A557C0">
        <w:rPr>
          <w:rFonts w:ascii="Arial" w:hAnsi="Arial" w:cs="Arial"/>
          <w:b/>
          <w:sz w:val="20"/>
          <w:szCs w:val="20"/>
        </w:rPr>
        <w:t xml:space="preserve">CASE NUMBER: </w:t>
      </w:r>
      <w:r w:rsidRPr="00A557C0">
        <w:rPr>
          <w:rFonts w:ascii="Arial" w:hAnsi="Arial" w:cs="Arial"/>
          <w:sz w:val="20"/>
          <w:szCs w:val="20"/>
        </w:rPr>
        <w:t>1316/2023</w:t>
      </w:r>
    </w:p>
    <w:p w:rsidR="00991A7B" w:rsidRPr="00A557C0" w:rsidRDefault="00991A7B" w:rsidP="00A557C0">
      <w:pPr>
        <w:spacing w:line="360" w:lineRule="auto"/>
        <w:jc w:val="right"/>
        <w:rPr>
          <w:rFonts w:ascii="Arial" w:hAnsi="Arial" w:cs="Arial"/>
          <w:sz w:val="20"/>
          <w:szCs w:val="20"/>
        </w:rPr>
      </w:pPr>
      <w:r w:rsidRPr="00A557C0">
        <w:rPr>
          <w:rFonts w:ascii="Arial" w:hAnsi="Arial" w:cs="Arial"/>
          <w:b/>
          <w:sz w:val="20"/>
          <w:szCs w:val="20"/>
        </w:rPr>
        <w:t xml:space="preserve">DATE HEARD: </w:t>
      </w:r>
      <w:r w:rsidR="00F43171" w:rsidRPr="00A557C0">
        <w:rPr>
          <w:rFonts w:ascii="Arial" w:hAnsi="Arial" w:cs="Arial"/>
          <w:sz w:val="20"/>
          <w:szCs w:val="20"/>
        </w:rPr>
        <w:t>13 October 2023</w:t>
      </w:r>
    </w:p>
    <w:p w:rsidR="00F43171" w:rsidRPr="00A557C0" w:rsidRDefault="00F43171" w:rsidP="00A557C0">
      <w:pPr>
        <w:spacing w:line="360" w:lineRule="auto"/>
        <w:jc w:val="right"/>
        <w:rPr>
          <w:rFonts w:ascii="Arial" w:hAnsi="Arial" w:cs="Arial"/>
          <w:sz w:val="20"/>
          <w:szCs w:val="20"/>
        </w:rPr>
      </w:pPr>
      <w:r w:rsidRPr="00A557C0">
        <w:rPr>
          <w:rFonts w:ascii="Arial" w:hAnsi="Arial" w:cs="Arial"/>
          <w:b/>
          <w:sz w:val="20"/>
          <w:szCs w:val="20"/>
        </w:rPr>
        <w:t xml:space="preserve">DATE DELIVERED: </w:t>
      </w:r>
      <w:r w:rsidR="008C660C" w:rsidRPr="00A557C0">
        <w:rPr>
          <w:rFonts w:ascii="Arial" w:hAnsi="Arial" w:cs="Arial"/>
          <w:sz w:val="20"/>
          <w:szCs w:val="20"/>
        </w:rPr>
        <w:t>9 February 2024</w:t>
      </w:r>
    </w:p>
    <w:p w:rsidR="005E25E7" w:rsidRPr="00A557C0" w:rsidRDefault="005E25E7" w:rsidP="007C0CB2">
      <w:pPr>
        <w:spacing w:line="360" w:lineRule="auto"/>
        <w:rPr>
          <w:rFonts w:ascii="Arial" w:hAnsi="Arial" w:cs="Arial"/>
          <w:b/>
          <w:sz w:val="24"/>
          <w:szCs w:val="24"/>
        </w:rPr>
      </w:pPr>
    </w:p>
    <w:p w:rsidR="005E25E7" w:rsidRPr="00A557C0" w:rsidRDefault="005E25E7" w:rsidP="007C0CB2">
      <w:pPr>
        <w:spacing w:line="360" w:lineRule="auto"/>
        <w:rPr>
          <w:rFonts w:ascii="Arial" w:hAnsi="Arial" w:cs="Arial"/>
          <w:sz w:val="24"/>
          <w:szCs w:val="24"/>
        </w:rPr>
      </w:pPr>
      <w:r w:rsidRPr="00A557C0">
        <w:rPr>
          <w:rFonts w:ascii="Arial" w:hAnsi="Arial" w:cs="Arial"/>
          <w:sz w:val="24"/>
          <w:szCs w:val="24"/>
        </w:rPr>
        <w:t>In the matter between:</w:t>
      </w:r>
    </w:p>
    <w:p w:rsidR="005E25E7" w:rsidRPr="00A557C0" w:rsidRDefault="005E25E7" w:rsidP="007C0CB2">
      <w:pPr>
        <w:spacing w:line="360" w:lineRule="auto"/>
        <w:rPr>
          <w:rFonts w:ascii="Arial" w:hAnsi="Arial" w:cs="Arial"/>
          <w:sz w:val="24"/>
          <w:szCs w:val="24"/>
        </w:rPr>
      </w:pPr>
    </w:p>
    <w:p w:rsidR="005E25E7" w:rsidRPr="00B74D1A" w:rsidRDefault="005E25E7" w:rsidP="007C0CB2">
      <w:pPr>
        <w:spacing w:line="360" w:lineRule="auto"/>
        <w:rPr>
          <w:rFonts w:ascii="Arial" w:hAnsi="Arial" w:cs="Arial"/>
          <w:b/>
        </w:rPr>
      </w:pPr>
      <w:r w:rsidRPr="00B74D1A">
        <w:rPr>
          <w:rFonts w:ascii="Arial" w:hAnsi="Arial" w:cs="Arial"/>
          <w:b/>
        </w:rPr>
        <w:t>ELRICH RUWAYNE SMITH N.O.</w:t>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t>1</w:t>
      </w:r>
      <w:r w:rsidRPr="00B74D1A">
        <w:rPr>
          <w:rFonts w:ascii="Arial" w:hAnsi="Arial" w:cs="Arial"/>
          <w:b/>
          <w:vertAlign w:val="superscript"/>
        </w:rPr>
        <w:t>ST</w:t>
      </w:r>
      <w:r w:rsidRPr="00B74D1A">
        <w:rPr>
          <w:rFonts w:ascii="Arial" w:hAnsi="Arial" w:cs="Arial"/>
          <w:b/>
        </w:rPr>
        <w:t xml:space="preserve"> APPLICANT</w:t>
      </w:r>
    </w:p>
    <w:p w:rsidR="005E25E7" w:rsidRPr="00B74D1A" w:rsidRDefault="005E25E7" w:rsidP="007C0CB2">
      <w:pPr>
        <w:spacing w:line="360" w:lineRule="auto"/>
        <w:rPr>
          <w:rFonts w:ascii="Arial" w:hAnsi="Arial" w:cs="Arial"/>
          <w:b/>
        </w:rPr>
      </w:pPr>
    </w:p>
    <w:p w:rsidR="005E25E7" w:rsidRPr="00B74D1A" w:rsidRDefault="005E25E7" w:rsidP="007C0CB2">
      <w:pPr>
        <w:spacing w:line="360" w:lineRule="auto"/>
        <w:rPr>
          <w:rFonts w:ascii="Arial" w:hAnsi="Arial" w:cs="Arial"/>
          <w:b/>
        </w:rPr>
      </w:pPr>
      <w:r w:rsidRPr="00B74D1A">
        <w:rPr>
          <w:rFonts w:ascii="Arial" w:hAnsi="Arial" w:cs="Arial"/>
          <w:b/>
        </w:rPr>
        <w:t>ELNA ELSA POHL N.O.</w:t>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t>2</w:t>
      </w:r>
      <w:r w:rsidRPr="00B74D1A">
        <w:rPr>
          <w:rFonts w:ascii="Arial" w:hAnsi="Arial" w:cs="Arial"/>
          <w:b/>
          <w:vertAlign w:val="superscript"/>
        </w:rPr>
        <w:t>ND</w:t>
      </w:r>
      <w:r w:rsidRPr="00B74D1A">
        <w:rPr>
          <w:rFonts w:ascii="Arial" w:hAnsi="Arial" w:cs="Arial"/>
          <w:b/>
        </w:rPr>
        <w:t xml:space="preserve"> APPLICANT</w:t>
      </w:r>
    </w:p>
    <w:p w:rsidR="005E25E7" w:rsidRPr="00B74D1A" w:rsidRDefault="005E25E7" w:rsidP="007C0CB2">
      <w:pPr>
        <w:spacing w:line="360" w:lineRule="auto"/>
        <w:rPr>
          <w:rFonts w:ascii="Arial" w:hAnsi="Arial" w:cs="Arial"/>
          <w:b/>
        </w:rPr>
      </w:pPr>
    </w:p>
    <w:p w:rsidR="005E25E7" w:rsidRPr="00B74D1A" w:rsidRDefault="005E25E7" w:rsidP="007C0CB2">
      <w:pPr>
        <w:spacing w:line="360" w:lineRule="auto"/>
        <w:rPr>
          <w:rFonts w:ascii="Arial" w:hAnsi="Arial" w:cs="Arial"/>
          <w:b/>
        </w:rPr>
      </w:pPr>
      <w:r w:rsidRPr="00B74D1A">
        <w:rPr>
          <w:rFonts w:ascii="Arial" w:hAnsi="Arial" w:cs="Arial"/>
          <w:b/>
        </w:rPr>
        <w:t>LIZANNE CHANTAL MULLER N.O.</w:t>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t>3</w:t>
      </w:r>
      <w:r w:rsidRPr="00B74D1A">
        <w:rPr>
          <w:rFonts w:ascii="Arial" w:hAnsi="Arial" w:cs="Arial"/>
          <w:b/>
          <w:vertAlign w:val="superscript"/>
        </w:rPr>
        <w:t>RD</w:t>
      </w:r>
      <w:r w:rsidRPr="00B74D1A">
        <w:rPr>
          <w:rFonts w:ascii="Arial" w:hAnsi="Arial" w:cs="Arial"/>
          <w:b/>
        </w:rPr>
        <w:t xml:space="preserve"> APPLICANT</w:t>
      </w:r>
    </w:p>
    <w:p w:rsidR="005E25E7" w:rsidRPr="00B74D1A" w:rsidRDefault="005E25E7" w:rsidP="007C0CB2">
      <w:pPr>
        <w:spacing w:line="360" w:lineRule="auto"/>
        <w:rPr>
          <w:rFonts w:ascii="Arial" w:hAnsi="Arial" w:cs="Arial"/>
          <w:b/>
        </w:rPr>
      </w:pPr>
    </w:p>
    <w:p w:rsidR="005E25E7" w:rsidRPr="00B74D1A" w:rsidRDefault="005E25E7" w:rsidP="007C0CB2">
      <w:pPr>
        <w:spacing w:line="360" w:lineRule="auto"/>
        <w:rPr>
          <w:rFonts w:ascii="Arial" w:hAnsi="Arial" w:cs="Arial"/>
          <w:b/>
        </w:rPr>
      </w:pPr>
      <w:r w:rsidRPr="00B74D1A">
        <w:rPr>
          <w:rFonts w:ascii="Arial" w:hAnsi="Arial" w:cs="Arial"/>
        </w:rPr>
        <w:t xml:space="preserve">(In their capacities as trustees of the </w:t>
      </w:r>
      <w:r w:rsidRPr="00B74D1A">
        <w:rPr>
          <w:rFonts w:ascii="Arial" w:hAnsi="Arial" w:cs="Arial"/>
          <w:b/>
        </w:rPr>
        <w:t>Insolvent Estate</w:t>
      </w:r>
    </w:p>
    <w:p w:rsidR="005E25E7" w:rsidRPr="00B74D1A" w:rsidRDefault="005E25E7" w:rsidP="007C0CB2">
      <w:pPr>
        <w:spacing w:line="360" w:lineRule="auto"/>
        <w:rPr>
          <w:rFonts w:ascii="Arial" w:hAnsi="Arial" w:cs="Arial"/>
        </w:rPr>
      </w:pPr>
      <w:r w:rsidRPr="00B74D1A">
        <w:rPr>
          <w:rFonts w:ascii="Arial" w:hAnsi="Arial" w:cs="Arial"/>
          <w:b/>
        </w:rPr>
        <w:t>Jacobus Coenraad Van Der Ryst</w:t>
      </w:r>
      <w:r w:rsidRPr="00B74D1A">
        <w:rPr>
          <w:rFonts w:ascii="Arial" w:hAnsi="Arial" w:cs="Arial"/>
        </w:rPr>
        <w:t>, Master Reference</w:t>
      </w:r>
    </w:p>
    <w:p w:rsidR="005E25E7" w:rsidRPr="00B74D1A" w:rsidRDefault="005E25E7" w:rsidP="007C0CB2">
      <w:pPr>
        <w:spacing w:line="360" w:lineRule="auto"/>
        <w:rPr>
          <w:rFonts w:ascii="Arial" w:hAnsi="Arial" w:cs="Arial"/>
        </w:rPr>
      </w:pPr>
      <w:r w:rsidRPr="00B74D1A">
        <w:rPr>
          <w:rFonts w:ascii="Arial" w:hAnsi="Arial" w:cs="Arial"/>
        </w:rPr>
        <w:t>K21/2021)</w:t>
      </w:r>
    </w:p>
    <w:p w:rsidR="005E25E7" w:rsidRPr="00B74D1A" w:rsidRDefault="005E25E7" w:rsidP="007C0CB2">
      <w:pPr>
        <w:spacing w:line="360" w:lineRule="auto"/>
        <w:rPr>
          <w:rFonts w:ascii="Arial" w:hAnsi="Arial" w:cs="Arial"/>
        </w:rPr>
      </w:pPr>
    </w:p>
    <w:p w:rsidR="005E25E7" w:rsidRPr="00B74D1A" w:rsidRDefault="005E25E7" w:rsidP="007C0CB2">
      <w:pPr>
        <w:spacing w:line="360" w:lineRule="auto"/>
        <w:rPr>
          <w:rFonts w:ascii="Arial" w:hAnsi="Arial" w:cs="Arial"/>
        </w:rPr>
      </w:pPr>
      <w:r w:rsidRPr="00B74D1A">
        <w:rPr>
          <w:rFonts w:ascii="Arial" w:hAnsi="Arial" w:cs="Arial"/>
        </w:rPr>
        <w:t>and</w:t>
      </w:r>
    </w:p>
    <w:p w:rsidR="005E25E7" w:rsidRPr="00B74D1A" w:rsidRDefault="005E25E7" w:rsidP="007C0CB2">
      <w:pPr>
        <w:spacing w:line="360" w:lineRule="auto"/>
        <w:rPr>
          <w:rFonts w:ascii="Arial" w:hAnsi="Arial" w:cs="Arial"/>
        </w:rPr>
      </w:pPr>
    </w:p>
    <w:p w:rsidR="005E25E7" w:rsidRPr="00B74D1A" w:rsidRDefault="005E25E7" w:rsidP="007C0CB2">
      <w:pPr>
        <w:spacing w:line="360" w:lineRule="auto"/>
        <w:rPr>
          <w:rFonts w:ascii="Arial" w:hAnsi="Arial" w:cs="Arial"/>
          <w:b/>
        </w:rPr>
      </w:pPr>
      <w:r w:rsidRPr="00B74D1A">
        <w:rPr>
          <w:rFonts w:ascii="Arial" w:hAnsi="Arial" w:cs="Arial"/>
          <w:b/>
        </w:rPr>
        <w:t>JACOBUS COENRAAD VAN DER RYST</w:t>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t>RESPONDENT</w:t>
      </w:r>
    </w:p>
    <w:p w:rsidR="005E25E7" w:rsidRPr="00B74D1A" w:rsidRDefault="005E25E7" w:rsidP="007C0CB2">
      <w:pPr>
        <w:spacing w:line="360" w:lineRule="auto"/>
        <w:rPr>
          <w:rFonts w:ascii="Arial" w:hAnsi="Arial" w:cs="Arial"/>
        </w:rPr>
      </w:pPr>
      <w:r w:rsidRPr="00B74D1A">
        <w:rPr>
          <w:rFonts w:ascii="Arial" w:hAnsi="Arial" w:cs="Arial"/>
        </w:rPr>
        <w:t xml:space="preserve">(Identity Number: </w:t>
      </w:r>
      <w:r w:rsidR="00631CE3">
        <w:rPr>
          <w:rFonts w:ascii="Arial" w:hAnsi="Arial" w:cs="Arial"/>
        </w:rPr>
        <w:t>[…]</w:t>
      </w:r>
      <w:bookmarkStart w:id="0" w:name="_GoBack"/>
      <w:bookmarkEnd w:id="0"/>
      <w:r w:rsidRPr="00B74D1A">
        <w:rPr>
          <w:rFonts w:ascii="Arial" w:hAnsi="Arial" w:cs="Arial"/>
        </w:rPr>
        <w:t>)</w:t>
      </w:r>
    </w:p>
    <w:p w:rsidR="005E25E7" w:rsidRPr="00B74D1A" w:rsidRDefault="005E25E7" w:rsidP="007C0CB2">
      <w:pPr>
        <w:spacing w:line="360" w:lineRule="auto"/>
        <w:rPr>
          <w:rFonts w:ascii="Arial" w:hAnsi="Arial" w:cs="Arial"/>
        </w:rPr>
      </w:pPr>
    </w:p>
    <w:p w:rsidR="005E25E7" w:rsidRDefault="005E25E7" w:rsidP="007C0CB2">
      <w:pPr>
        <w:spacing w:line="360" w:lineRule="auto"/>
        <w:rPr>
          <w:rFonts w:ascii="Arial" w:hAnsi="Arial" w:cs="Arial"/>
          <w:i/>
        </w:rPr>
      </w:pPr>
    </w:p>
    <w:p w:rsidR="00E27197" w:rsidRDefault="00E27197" w:rsidP="007C0CB2">
      <w:pPr>
        <w:spacing w:line="360" w:lineRule="auto"/>
        <w:rPr>
          <w:rFonts w:ascii="Arial" w:hAnsi="Arial" w:cs="Arial"/>
          <w:i/>
        </w:rPr>
      </w:pPr>
    </w:p>
    <w:p w:rsidR="00E27197" w:rsidRPr="00B74D1A" w:rsidRDefault="00E27197" w:rsidP="007C0CB2">
      <w:pPr>
        <w:spacing w:line="360" w:lineRule="auto"/>
        <w:rPr>
          <w:rFonts w:ascii="Arial" w:hAnsi="Arial" w:cs="Arial"/>
          <w:i/>
        </w:rPr>
      </w:pPr>
    </w:p>
    <w:p w:rsidR="005E25E7" w:rsidRPr="00B74D1A" w:rsidRDefault="005E25E7" w:rsidP="007C0CB2">
      <w:pPr>
        <w:spacing w:line="360" w:lineRule="auto"/>
        <w:rPr>
          <w:rFonts w:ascii="Arial" w:hAnsi="Arial" w:cs="Arial"/>
          <w:i/>
        </w:rPr>
      </w:pPr>
      <w:r w:rsidRPr="00B74D1A">
        <w:rPr>
          <w:rFonts w:ascii="Arial" w:hAnsi="Arial" w:cs="Arial"/>
          <w:i/>
        </w:rPr>
        <w:lastRenderedPageBreak/>
        <w:t>In re:</w:t>
      </w:r>
    </w:p>
    <w:p w:rsidR="005E25E7" w:rsidRPr="00B74D1A" w:rsidRDefault="005E25E7" w:rsidP="007C0CB2">
      <w:pPr>
        <w:spacing w:line="360" w:lineRule="auto"/>
        <w:rPr>
          <w:rFonts w:ascii="Arial" w:hAnsi="Arial" w:cs="Arial"/>
        </w:rPr>
      </w:pPr>
    </w:p>
    <w:p w:rsidR="005E25E7" w:rsidRPr="00B74D1A" w:rsidRDefault="005E25E7" w:rsidP="007C0CB2">
      <w:pPr>
        <w:spacing w:line="360" w:lineRule="auto"/>
        <w:rPr>
          <w:rFonts w:ascii="Arial" w:hAnsi="Arial" w:cs="Arial"/>
        </w:rPr>
      </w:pPr>
      <w:r w:rsidRPr="00B74D1A">
        <w:rPr>
          <w:rFonts w:ascii="Arial" w:hAnsi="Arial" w:cs="Arial"/>
        </w:rPr>
        <w:t>In the application of:</w:t>
      </w:r>
    </w:p>
    <w:p w:rsidR="005E25E7" w:rsidRPr="00B74D1A" w:rsidRDefault="005E25E7" w:rsidP="007C0CB2">
      <w:pPr>
        <w:spacing w:line="360" w:lineRule="auto"/>
        <w:rPr>
          <w:rFonts w:ascii="Arial" w:hAnsi="Arial" w:cs="Arial"/>
        </w:rPr>
      </w:pPr>
    </w:p>
    <w:p w:rsidR="005E25E7" w:rsidRPr="00B74D1A" w:rsidRDefault="005E25E7" w:rsidP="007C0CB2">
      <w:pPr>
        <w:spacing w:line="360" w:lineRule="auto"/>
        <w:rPr>
          <w:rFonts w:ascii="Arial" w:hAnsi="Arial" w:cs="Arial"/>
          <w:b/>
        </w:rPr>
      </w:pPr>
      <w:r w:rsidRPr="00B74D1A">
        <w:rPr>
          <w:rFonts w:ascii="Arial" w:hAnsi="Arial" w:cs="Arial"/>
          <w:b/>
        </w:rPr>
        <w:t>JACOBUS COENRAAD VAN DER RYST</w:t>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t>APPLICANT</w:t>
      </w:r>
    </w:p>
    <w:p w:rsidR="005E25E7" w:rsidRPr="00B74D1A" w:rsidRDefault="005E25E7" w:rsidP="007C0CB2">
      <w:pPr>
        <w:spacing w:line="360" w:lineRule="auto"/>
        <w:rPr>
          <w:rFonts w:ascii="Arial" w:hAnsi="Arial" w:cs="Arial"/>
          <w:b/>
        </w:rPr>
      </w:pPr>
    </w:p>
    <w:p w:rsidR="005E25E7" w:rsidRPr="00B74D1A" w:rsidRDefault="005E25E7" w:rsidP="007C0CB2">
      <w:pPr>
        <w:spacing w:line="360" w:lineRule="auto"/>
        <w:rPr>
          <w:rFonts w:ascii="Arial" w:hAnsi="Arial" w:cs="Arial"/>
        </w:rPr>
      </w:pPr>
      <w:r w:rsidRPr="00B74D1A">
        <w:rPr>
          <w:rFonts w:ascii="Arial" w:hAnsi="Arial" w:cs="Arial"/>
        </w:rPr>
        <w:t>and</w:t>
      </w:r>
    </w:p>
    <w:p w:rsidR="005E25E7" w:rsidRPr="00B74D1A" w:rsidRDefault="005E25E7" w:rsidP="007C0CB2">
      <w:pPr>
        <w:spacing w:line="360" w:lineRule="auto"/>
        <w:rPr>
          <w:rFonts w:ascii="Arial" w:hAnsi="Arial" w:cs="Arial"/>
        </w:rPr>
      </w:pPr>
    </w:p>
    <w:p w:rsidR="005E25E7" w:rsidRPr="00B74D1A" w:rsidRDefault="005E25E7" w:rsidP="007C0CB2">
      <w:pPr>
        <w:spacing w:line="360" w:lineRule="auto"/>
        <w:rPr>
          <w:rFonts w:ascii="Arial" w:hAnsi="Arial" w:cs="Arial"/>
          <w:b/>
        </w:rPr>
      </w:pPr>
      <w:r w:rsidRPr="00B74D1A">
        <w:rPr>
          <w:rFonts w:ascii="Arial" w:hAnsi="Arial" w:cs="Arial"/>
          <w:b/>
        </w:rPr>
        <w:t>THE MASTER OF THE HIGH COURT, NORTHERN CAPE</w:t>
      </w:r>
      <w:r w:rsidRPr="00B74D1A">
        <w:rPr>
          <w:rFonts w:ascii="Arial" w:hAnsi="Arial" w:cs="Arial"/>
          <w:b/>
        </w:rPr>
        <w:tab/>
      </w:r>
      <w:r w:rsidRPr="00B74D1A">
        <w:rPr>
          <w:rFonts w:ascii="Arial" w:hAnsi="Arial" w:cs="Arial"/>
          <w:b/>
        </w:rPr>
        <w:tab/>
        <w:t>1</w:t>
      </w:r>
      <w:r w:rsidRPr="00B74D1A">
        <w:rPr>
          <w:rFonts w:ascii="Arial" w:hAnsi="Arial" w:cs="Arial"/>
          <w:b/>
          <w:vertAlign w:val="superscript"/>
        </w:rPr>
        <w:t>ST</w:t>
      </w:r>
      <w:r w:rsidRPr="00B74D1A">
        <w:rPr>
          <w:rFonts w:ascii="Arial" w:hAnsi="Arial" w:cs="Arial"/>
          <w:b/>
        </w:rPr>
        <w:t xml:space="preserve"> RESPONDENT</w:t>
      </w:r>
    </w:p>
    <w:p w:rsidR="005E25E7" w:rsidRPr="00B74D1A" w:rsidRDefault="005E25E7" w:rsidP="007C0CB2">
      <w:pPr>
        <w:spacing w:line="360" w:lineRule="auto"/>
        <w:rPr>
          <w:rFonts w:ascii="Arial" w:hAnsi="Arial" w:cs="Arial"/>
          <w:b/>
        </w:rPr>
      </w:pPr>
      <w:r w:rsidRPr="00B74D1A">
        <w:rPr>
          <w:rFonts w:ascii="Arial" w:hAnsi="Arial" w:cs="Arial"/>
          <w:b/>
        </w:rPr>
        <w:t>DIVISION</w:t>
      </w:r>
    </w:p>
    <w:p w:rsidR="005E25E7" w:rsidRPr="00B74D1A" w:rsidRDefault="005E25E7" w:rsidP="007C0CB2">
      <w:pPr>
        <w:spacing w:line="360" w:lineRule="auto"/>
        <w:rPr>
          <w:rFonts w:ascii="Arial" w:hAnsi="Arial" w:cs="Arial"/>
          <w:b/>
        </w:rPr>
      </w:pPr>
    </w:p>
    <w:p w:rsidR="005E25E7" w:rsidRPr="00B74D1A" w:rsidRDefault="005E25E7" w:rsidP="007C0CB2">
      <w:pPr>
        <w:spacing w:line="360" w:lineRule="auto"/>
        <w:rPr>
          <w:rFonts w:ascii="Arial" w:hAnsi="Arial" w:cs="Arial"/>
          <w:b/>
        </w:rPr>
      </w:pPr>
      <w:r w:rsidRPr="00B74D1A">
        <w:rPr>
          <w:rFonts w:ascii="Arial" w:hAnsi="Arial" w:cs="Arial"/>
          <w:b/>
        </w:rPr>
        <w:t>THE STANDARD BANK OF SOUTH AFRICA LTD</w:t>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t>2</w:t>
      </w:r>
      <w:r w:rsidRPr="00B74D1A">
        <w:rPr>
          <w:rFonts w:ascii="Arial" w:hAnsi="Arial" w:cs="Arial"/>
          <w:b/>
          <w:vertAlign w:val="superscript"/>
        </w:rPr>
        <w:t>ND</w:t>
      </w:r>
      <w:r w:rsidRPr="00B74D1A">
        <w:rPr>
          <w:rFonts w:ascii="Arial" w:hAnsi="Arial" w:cs="Arial"/>
          <w:b/>
        </w:rPr>
        <w:t xml:space="preserve"> RESPONDENT</w:t>
      </w:r>
    </w:p>
    <w:p w:rsidR="005E25E7" w:rsidRPr="00B74D1A" w:rsidRDefault="005E25E7" w:rsidP="007C0CB2">
      <w:pPr>
        <w:spacing w:line="360" w:lineRule="auto"/>
        <w:rPr>
          <w:rFonts w:ascii="Arial" w:hAnsi="Arial" w:cs="Arial"/>
          <w:b/>
        </w:rPr>
      </w:pPr>
    </w:p>
    <w:p w:rsidR="005E25E7" w:rsidRPr="00B74D1A" w:rsidRDefault="005E25E7" w:rsidP="007C0CB2">
      <w:pPr>
        <w:spacing w:line="360" w:lineRule="auto"/>
        <w:rPr>
          <w:rFonts w:ascii="Arial" w:hAnsi="Arial" w:cs="Arial"/>
          <w:b/>
        </w:rPr>
      </w:pPr>
      <w:r w:rsidRPr="00B74D1A">
        <w:rPr>
          <w:rFonts w:ascii="Arial" w:hAnsi="Arial" w:cs="Arial"/>
          <w:b/>
        </w:rPr>
        <w:t>NATIONAL CREDIT REGULATOR</w:t>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t>3</w:t>
      </w:r>
      <w:r w:rsidRPr="00B74D1A">
        <w:rPr>
          <w:rFonts w:ascii="Arial" w:hAnsi="Arial" w:cs="Arial"/>
          <w:b/>
          <w:vertAlign w:val="superscript"/>
        </w:rPr>
        <w:t>RD</w:t>
      </w:r>
      <w:r w:rsidRPr="00B74D1A">
        <w:rPr>
          <w:rFonts w:ascii="Arial" w:hAnsi="Arial" w:cs="Arial"/>
          <w:b/>
        </w:rPr>
        <w:t xml:space="preserve"> RESPONDENT</w:t>
      </w:r>
    </w:p>
    <w:p w:rsidR="005E25E7" w:rsidRPr="00B74D1A" w:rsidRDefault="005E25E7" w:rsidP="007C0CB2">
      <w:pPr>
        <w:spacing w:line="360" w:lineRule="auto"/>
        <w:rPr>
          <w:rFonts w:ascii="Arial" w:hAnsi="Arial" w:cs="Arial"/>
        </w:rPr>
      </w:pPr>
    </w:p>
    <w:p w:rsidR="005E25E7" w:rsidRPr="00B74D1A" w:rsidRDefault="00E5201C" w:rsidP="007C0CB2">
      <w:pPr>
        <w:spacing w:line="360" w:lineRule="auto"/>
        <w:rPr>
          <w:rFonts w:ascii="Arial" w:hAnsi="Arial" w:cs="Arial"/>
          <w:b/>
        </w:rPr>
      </w:pPr>
      <w:r w:rsidRPr="00B74D1A">
        <w:rPr>
          <w:rFonts w:ascii="Arial" w:hAnsi="Arial" w:cs="Arial"/>
          <w:b/>
        </w:rPr>
        <w:t>ELRICH RUWAYNE SMITH N.O.</w:t>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t>4</w:t>
      </w:r>
      <w:r w:rsidRPr="00B74D1A">
        <w:rPr>
          <w:rFonts w:ascii="Arial" w:hAnsi="Arial" w:cs="Arial"/>
          <w:b/>
          <w:vertAlign w:val="superscript"/>
        </w:rPr>
        <w:t>TH</w:t>
      </w:r>
      <w:r w:rsidRPr="00B74D1A">
        <w:rPr>
          <w:rFonts w:ascii="Arial" w:hAnsi="Arial" w:cs="Arial"/>
          <w:b/>
        </w:rPr>
        <w:t xml:space="preserve"> RESPONDENT</w:t>
      </w:r>
    </w:p>
    <w:p w:rsidR="005E25E7" w:rsidRPr="00B74D1A" w:rsidRDefault="005E25E7" w:rsidP="007C0CB2">
      <w:pPr>
        <w:spacing w:line="360" w:lineRule="auto"/>
        <w:rPr>
          <w:rFonts w:ascii="Arial" w:hAnsi="Arial" w:cs="Arial"/>
          <w:b/>
        </w:rPr>
      </w:pPr>
    </w:p>
    <w:p w:rsidR="005E25E7" w:rsidRPr="00B74D1A" w:rsidRDefault="00E5201C" w:rsidP="007C0CB2">
      <w:pPr>
        <w:spacing w:line="360" w:lineRule="auto"/>
        <w:rPr>
          <w:rFonts w:ascii="Arial" w:hAnsi="Arial" w:cs="Arial"/>
          <w:b/>
        </w:rPr>
      </w:pPr>
      <w:r w:rsidRPr="00B74D1A">
        <w:rPr>
          <w:rFonts w:ascii="Arial" w:hAnsi="Arial" w:cs="Arial"/>
          <w:b/>
        </w:rPr>
        <w:t>ELNA ELSA POHL N.O.</w:t>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t>5</w:t>
      </w:r>
      <w:r w:rsidRPr="00B74D1A">
        <w:rPr>
          <w:rFonts w:ascii="Arial" w:hAnsi="Arial" w:cs="Arial"/>
          <w:b/>
          <w:vertAlign w:val="superscript"/>
        </w:rPr>
        <w:t>TH</w:t>
      </w:r>
      <w:r w:rsidRPr="00B74D1A">
        <w:rPr>
          <w:rFonts w:ascii="Arial" w:hAnsi="Arial" w:cs="Arial"/>
          <w:b/>
        </w:rPr>
        <w:t xml:space="preserve"> RESPONDENT</w:t>
      </w:r>
    </w:p>
    <w:p w:rsidR="005E25E7" w:rsidRPr="00B74D1A" w:rsidRDefault="005E25E7" w:rsidP="007C0CB2">
      <w:pPr>
        <w:spacing w:line="360" w:lineRule="auto"/>
        <w:rPr>
          <w:rFonts w:ascii="Arial" w:hAnsi="Arial" w:cs="Arial"/>
          <w:b/>
        </w:rPr>
      </w:pPr>
    </w:p>
    <w:p w:rsidR="005E25E7" w:rsidRPr="00B74D1A" w:rsidRDefault="005E25E7" w:rsidP="007C0CB2">
      <w:pPr>
        <w:spacing w:line="360" w:lineRule="auto"/>
        <w:rPr>
          <w:rFonts w:ascii="Arial" w:hAnsi="Arial" w:cs="Arial"/>
          <w:b/>
        </w:rPr>
      </w:pPr>
      <w:r w:rsidRPr="00B74D1A">
        <w:rPr>
          <w:rFonts w:ascii="Arial" w:hAnsi="Arial" w:cs="Arial"/>
          <w:b/>
        </w:rPr>
        <w:t>LI</w:t>
      </w:r>
      <w:r w:rsidR="00E5201C" w:rsidRPr="00B74D1A">
        <w:rPr>
          <w:rFonts w:ascii="Arial" w:hAnsi="Arial" w:cs="Arial"/>
          <w:b/>
        </w:rPr>
        <w:t>ZANNE CHANTAL MULLER N.O.</w:t>
      </w:r>
      <w:r w:rsidR="00E5201C" w:rsidRPr="00B74D1A">
        <w:rPr>
          <w:rFonts w:ascii="Arial" w:hAnsi="Arial" w:cs="Arial"/>
          <w:b/>
        </w:rPr>
        <w:tab/>
      </w:r>
      <w:r w:rsidR="00E5201C" w:rsidRPr="00B74D1A">
        <w:rPr>
          <w:rFonts w:ascii="Arial" w:hAnsi="Arial" w:cs="Arial"/>
          <w:b/>
        </w:rPr>
        <w:tab/>
      </w:r>
      <w:r w:rsidR="00E5201C" w:rsidRPr="00B74D1A">
        <w:rPr>
          <w:rFonts w:ascii="Arial" w:hAnsi="Arial" w:cs="Arial"/>
          <w:b/>
        </w:rPr>
        <w:tab/>
      </w:r>
      <w:r w:rsidR="00E5201C" w:rsidRPr="00B74D1A">
        <w:rPr>
          <w:rFonts w:ascii="Arial" w:hAnsi="Arial" w:cs="Arial"/>
          <w:b/>
        </w:rPr>
        <w:tab/>
      </w:r>
      <w:r w:rsidR="00E5201C" w:rsidRPr="00B74D1A">
        <w:rPr>
          <w:rFonts w:ascii="Arial" w:hAnsi="Arial" w:cs="Arial"/>
          <w:b/>
        </w:rPr>
        <w:tab/>
      </w:r>
      <w:r w:rsidR="00E5201C" w:rsidRPr="00B74D1A">
        <w:rPr>
          <w:rFonts w:ascii="Arial" w:hAnsi="Arial" w:cs="Arial"/>
          <w:b/>
        </w:rPr>
        <w:tab/>
        <w:t>6</w:t>
      </w:r>
      <w:r w:rsidR="00E5201C" w:rsidRPr="00B74D1A">
        <w:rPr>
          <w:rFonts w:ascii="Arial" w:hAnsi="Arial" w:cs="Arial"/>
          <w:b/>
          <w:vertAlign w:val="superscript"/>
        </w:rPr>
        <w:t>TH</w:t>
      </w:r>
      <w:r w:rsidR="00E5201C" w:rsidRPr="00B74D1A">
        <w:rPr>
          <w:rFonts w:ascii="Arial" w:hAnsi="Arial" w:cs="Arial"/>
          <w:b/>
        </w:rPr>
        <w:t xml:space="preserve"> RESPONDENT</w:t>
      </w:r>
    </w:p>
    <w:p w:rsidR="00E5201C" w:rsidRPr="00B74D1A" w:rsidRDefault="00E5201C" w:rsidP="007C0CB2">
      <w:pPr>
        <w:spacing w:line="360" w:lineRule="auto"/>
        <w:rPr>
          <w:rFonts w:ascii="Arial" w:hAnsi="Arial" w:cs="Arial"/>
          <w:b/>
        </w:rPr>
      </w:pPr>
    </w:p>
    <w:p w:rsidR="00E5201C" w:rsidRPr="00B74D1A" w:rsidRDefault="00E5201C" w:rsidP="007C0CB2">
      <w:pPr>
        <w:spacing w:line="360" w:lineRule="auto"/>
        <w:rPr>
          <w:rFonts w:ascii="Arial" w:hAnsi="Arial" w:cs="Arial"/>
          <w:b/>
        </w:rPr>
      </w:pPr>
      <w:r w:rsidRPr="00B74D1A">
        <w:rPr>
          <w:rFonts w:ascii="Arial" w:hAnsi="Arial" w:cs="Arial"/>
          <w:b/>
        </w:rPr>
        <w:t>NATIONAL CONSUMER TRIBUNAL</w:t>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r>
      <w:r w:rsidRPr="00B74D1A">
        <w:rPr>
          <w:rFonts w:ascii="Arial" w:hAnsi="Arial" w:cs="Arial"/>
          <w:b/>
        </w:rPr>
        <w:tab/>
        <w:t>7</w:t>
      </w:r>
      <w:r w:rsidRPr="00B74D1A">
        <w:rPr>
          <w:rFonts w:ascii="Arial" w:hAnsi="Arial" w:cs="Arial"/>
          <w:b/>
          <w:vertAlign w:val="superscript"/>
        </w:rPr>
        <w:t>TH</w:t>
      </w:r>
      <w:r w:rsidRPr="00B74D1A">
        <w:rPr>
          <w:rFonts w:ascii="Arial" w:hAnsi="Arial" w:cs="Arial"/>
          <w:b/>
        </w:rPr>
        <w:t xml:space="preserve"> RESPONDENT</w:t>
      </w:r>
    </w:p>
    <w:p w:rsidR="00E5201C" w:rsidRPr="00A557C0" w:rsidRDefault="00E5201C" w:rsidP="007C0CB2">
      <w:pPr>
        <w:spacing w:line="360" w:lineRule="auto"/>
        <w:rPr>
          <w:rFonts w:ascii="Arial" w:hAnsi="Arial" w:cs="Arial"/>
          <w:b/>
          <w:sz w:val="24"/>
          <w:szCs w:val="24"/>
        </w:rPr>
      </w:pPr>
    </w:p>
    <w:p w:rsidR="00E5201C" w:rsidRPr="00A557C0" w:rsidRDefault="00E5201C" w:rsidP="007C0CB2">
      <w:pPr>
        <w:pBdr>
          <w:bottom w:val="single" w:sz="12" w:space="1" w:color="auto"/>
        </w:pBdr>
        <w:spacing w:line="360" w:lineRule="auto"/>
        <w:rPr>
          <w:rFonts w:ascii="Arial" w:hAnsi="Arial" w:cs="Arial"/>
          <w:b/>
          <w:sz w:val="24"/>
          <w:szCs w:val="24"/>
        </w:rPr>
      </w:pPr>
    </w:p>
    <w:p w:rsidR="00E5201C" w:rsidRPr="00A557C0" w:rsidRDefault="00E5201C" w:rsidP="007C0CB2">
      <w:pPr>
        <w:spacing w:line="360" w:lineRule="auto"/>
        <w:rPr>
          <w:rFonts w:ascii="Arial" w:hAnsi="Arial" w:cs="Arial"/>
          <w:b/>
          <w:sz w:val="24"/>
          <w:szCs w:val="24"/>
        </w:rPr>
      </w:pPr>
    </w:p>
    <w:p w:rsidR="00E5201C" w:rsidRPr="00A557C0" w:rsidRDefault="00E5201C" w:rsidP="007C0CB2">
      <w:pPr>
        <w:spacing w:line="360" w:lineRule="auto"/>
        <w:jc w:val="center"/>
        <w:rPr>
          <w:rFonts w:ascii="Arial" w:hAnsi="Arial" w:cs="Arial"/>
          <w:b/>
          <w:sz w:val="24"/>
          <w:szCs w:val="24"/>
        </w:rPr>
      </w:pPr>
      <w:r w:rsidRPr="00A557C0">
        <w:rPr>
          <w:rFonts w:ascii="Arial" w:hAnsi="Arial" w:cs="Arial"/>
          <w:b/>
          <w:sz w:val="24"/>
          <w:szCs w:val="24"/>
        </w:rPr>
        <w:t>JUDGMENT</w:t>
      </w:r>
    </w:p>
    <w:p w:rsidR="00E5201C" w:rsidRPr="00A557C0" w:rsidRDefault="00E5201C" w:rsidP="007C0CB2">
      <w:pPr>
        <w:pBdr>
          <w:bottom w:val="single" w:sz="12" w:space="1" w:color="auto"/>
        </w:pBdr>
        <w:spacing w:line="360" w:lineRule="auto"/>
        <w:rPr>
          <w:rFonts w:ascii="Arial" w:hAnsi="Arial" w:cs="Arial"/>
          <w:b/>
          <w:sz w:val="24"/>
          <w:szCs w:val="24"/>
        </w:rPr>
      </w:pPr>
    </w:p>
    <w:p w:rsidR="00E5201C" w:rsidRPr="00A557C0" w:rsidRDefault="00E5201C" w:rsidP="007C0CB2">
      <w:pPr>
        <w:spacing w:line="360" w:lineRule="auto"/>
        <w:rPr>
          <w:rFonts w:ascii="Arial" w:hAnsi="Arial" w:cs="Arial"/>
          <w:b/>
          <w:sz w:val="24"/>
          <w:szCs w:val="24"/>
        </w:rPr>
      </w:pPr>
    </w:p>
    <w:p w:rsidR="00E5201C" w:rsidRPr="00A557C0" w:rsidRDefault="00E5201C" w:rsidP="007C0CB2">
      <w:pPr>
        <w:spacing w:line="360" w:lineRule="auto"/>
        <w:rPr>
          <w:rFonts w:ascii="Arial" w:hAnsi="Arial" w:cs="Arial"/>
          <w:b/>
          <w:sz w:val="24"/>
          <w:szCs w:val="24"/>
        </w:rPr>
      </w:pPr>
      <w:r w:rsidRPr="00A557C0">
        <w:rPr>
          <w:rFonts w:ascii="Arial" w:hAnsi="Arial" w:cs="Arial"/>
          <w:b/>
          <w:sz w:val="24"/>
          <w:szCs w:val="24"/>
        </w:rPr>
        <w:t>Olivier AJ</w:t>
      </w:r>
    </w:p>
    <w:p w:rsidR="00BA7DD4" w:rsidRPr="00A557C0" w:rsidRDefault="00BA7DD4" w:rsidP="007C0CB2">
      <w:pPr>
        <w:spacing w:line="360" w:lineRule="auto"/>
        <w:rPr>
          <w:rFonts w:ascii="Arial" w:hAnsi="Arial" w:cs="Arial"/>
          <w:b/>
          <w:sz w:val="24"/>
          <w:szCs w:val="24"/>
        </w:rPr>
      </w:pPr>
    </w:p>
    <w:p w:rsidR="00BA7DD4" w:rsidRPr="00A557C0" w:rsidRDefault="00BA7DD4" w:rsidP="007C0CB2">
      <w:pPr>
        <w:spacing w:line="360" w:lineRule="auto"/>
        <w:rPr>
          <w:rFonts w:ascii="Arial" w:hAnsi="Arial" w:cs="Arial"/>
          <w:b/>
          <w:sz w:val="24"/>
          <w:szCs w:val="24"/>
        </w:rPr>
      </w:pPr>
      <w:r w:rsidRPr="00A557C0">
        <w:rPr>
          <w:rFonts w:ascii="Arial" w:hAnsi="Arial" w:cs="Arial"/>
          <w:b/>
          <w:sz w:val="24"/>
          <w:szCs w:val="24"/>
          <w:u w:val="single"/>
        </w:rPr>
        <w:t>INTRODUCTION</w:t>
      </w:r>
      <w:r w:rsidRPr="00A557C0">
        <w:rPr>
          <w:rFonts w:ascii="Arial" w:hAnsi="Arial" w:cs="Arial"/>
          <w:b/>
          <w:sz w:val="24"/>
          <w:szCs w:val="24"/>
        </w:rPr>
        <w:t>:</w:t>
      </w:r>
    </w:p>
    <w:p w:rsidR="00F70351" w:rsidRPr="00A557C0" w:rsidRDefault="00F70351" w:rsidP="007C0CB2">
      <w:pPr>
        <w:spacing w:line="360" w:lineRule="auto"/>
        <w:ind w:left="900" w:hanging="720"/>
        <w:rPr>
          <w:rFonts w:ascii="Arial" w:hAnsi="Arial" w:cs="Arial"/>
          <w:b/>
          <w:sz w:val="24"/>
          <w:szCs w:val="24"/>
        </w:rPr>
      </w:pPr>
    </w:p>
    <w:p w:rsidR="00F70351" w:rsidRPr="00E27197" w:rsidRDefault="00BE1836" w:rsidP="00E27197">
      <w:pPr>
        <w:spacing w:line="360" w:lineRule="auto"/>
        <w:ind w:left="900" w:hanging="720"/>
        <w:jc w:val="both"/>
        <w:rPr>
          <w:rFonts w:ascii="Arial" w:hAnsi="Arial" w:cs="Arial"/>
          <w:sz w:val="24"/>
          <w:szCs w:val="24"/>
        </w:rPr>
      </w:pPr>
      <w:r w:rsidRPr="00A557C0">
        <w:rPr>
          <w:rFonts w:ascii="Arial" w:hAnsi="Arial" w:cs="Arial"/>
          <w:sz w:val="24"/>
          <w:szCs w:val="24"/>
        </w:rPr>
        <w:lastRenderedPageBreak/>
        <w:t>1.</w:t>
      </w:r>
      <w:r w:rsidRPr="00A557C0">
        <w:rPr>
          <w:rFonts w:ascii="Arial" w:hAnsi="Arial" w:cs="Arial"/>
          <w:sz w:val="24"/>
          <w:szCs w:val="24"/>
        </w:rPr>
        <w:tab/>
      </w:r>
      <w:r w:rsidR="00BA7DD4" w:rsidRPr="00E27197">
        <w:rPr>
          <w:rFonts w:ascii="Arial" w:hAnsi="Arial" w:cs="Arial"/>
          <w:sz w:val="24"/>
          <w:szCs w:val="24"/>
        </w:rPr>
        <w:t>The 1</w:t>
      </w:r>
      <w:r w:rsidR="00BA7DD4" w:rsidRPr="00E27197">
        <w:rPr>
          <w:rFonts w:ascii="Arial" w:hAnsi="Arial" w:cs="Arial"/>
          <w:sz w:val="24"/>
          <w:szCs w:val="24"/>
          <w:vertAlign w:val="superscript"/>
        </w:rPr>
        <w:t>st</w:t>
      </w:r>
      <w:r w:rsidR="00BA7DD4" w:rsidRPr="00E27197">
        <w:rPr>
          <w:rFonts w:ascii="Arial" w:hAnsi="Arial" w:cs="Arial"/>
          <w:sz w:val="24"/>
          <w:szCs w:val="24"/>
        </w:rPr>
        <w:t xml:space="preserve"> to 3</w:t>
      </w:r>
      <w:r w:rsidR="00BA7DD4" w:rsidRPr="00E27197">
        <w:rPr>
          <w:rFonts w:ascii="Arial" w:hAnsi="Arial" w:cs="Arial"/>
          <w:sz w:val="24"/>
          <w:szCs w:val="24"/>
          <w:vertAlign w:val="superscript"/>
        </w:rPr>
        <w:t>rd</w:t>
      </w:r>
      <w:r w:rsidR="00BA7DD4" w:rsidRPr="00E27197">
        <w:rPr>
          <w:rFonts w:ascii="Arial" w:hAnsi="Arial" w:cs="Arial"/>
          <w:sz w:val="24"/>
          <w:szCs w:val="24"/>
        </w:rPr>
        <w:t xml:space="preserve"> Applicants</w:t>
      </w:r>
      <w:r w:rsidR="0015614F" w:rsidRPr="00E27197">
        <w:rPr>
          <w:rFonts w:ascii="Arial" w:hAnsi="Arial" w:cs="Arial"/>
          <w:sz w:val="24"/>
          <w:szCs w:val="24"/>
        </w:rPr>
        <w:t xml:space="preserve"> (herein after jointly referred to as “</w:t>
      </w:r>
      <w:r w:rsidR="0015614F" w:rsidRPr="00E27197">
        <w:rPr>
          <w:rFonts w:ascii="Arial" w:hAnsi="Arial" w:cs="Arial"/>
          <w:i/>
          <w:sz w:val="24"/>
          <w:szCs w:val="24"/>
        </w:rPr>
        <w:t>the Trustees</w:t>
      </w:r>
      <w:r w:rsidR="0015614F" w:rsidRPr="00E27197">
        <w:rPr>
          <w:rFonts w:ascii="Arial" w:hAnsi="Arial" w:cs="Arial"/>
          <w:sz w:val="24"/>
          <w:szCs w:val="24"/>
        </w:rPr>
        <w:t>”) lodged a semi-urgent interlocutory application on 15 September 2023 in terms whereof the Trustees moved for an order</w:t>
      </w:r>
      <w:r w:rsidR="00BA7DD4" w:rsidRPr="00E27197">
        <w:rPr>
          <w:rFonts w:ascii="Arial" w:hAnsi="Arial" w:cs="Arial"/>
          <w:sz w:val="24"/>
          <w:szCs w:val="24"/>
        </w:rPr>
        <w:t xml:space="preserve"> in essentially the following terms: </w:t>
      </w:r>
    </w:p>
    <w:p w:rsidR="00EB38D3" w:rsidRPr="00E27197" w:rsidRDefault="00EB38D3" w:rsidP="00E27197">
      <w:pPr>
        <w:spacing w:line="360" w:lineRule="auto"/>
        <w:ind w:left="1620" w:hanging="900"/>
        <w:jc w:val="both"/>
        <w:rPr>
          <w:rFonts w:ascii="Arial" w:hAnsi="Arial" w:cs="Arial"/>
          <w:sz w:val="24"/>
          <w:szCs w:val="24"/>
        </w:rPr>
      </w:pPr>
    </w:p>
    <w:p w:rsidR="00EB38D3" w:rsidRPr="00E27197" w:rsidRDefault="00BE1836" w:rsidP="00E27197">
      <w:pPr>
        <w:spacing w:line="360" w:lineRule="auto"/>
        <w:ind w:left="1620" w:hanging="900"/>
        <w:jc w:val="both"/>
        <w:rPr>
          <w:rFonts w:ascii="Arial" w:hAnsi="Arial" w:cs="Arial"/>
          <w:sz w:val="24"/>
          <w:szCs w:val="24"/>
        </w:rPr>
      </w:pPr>
      <w:r w:rsidRPr="00E27197">
        <w:rPr>
          <w:rFonts w:ascii="Arial" w:hAnsi="Arial" w:cs="Arial"/>
          <w:sz w:val="24"/>
          <w:szCs w:val="24"/>
        </w:rPr>
        <w:t>1.1</w:t>
      </w:r>
      <w:r w:rsidRPr="00E27197">
        <w:rPr>
          <w:rFonts w:ascii="Arial" w:hAnsi="Arial" w:cs="Arial"/>
          <w:sz w:val="24"/>
          <w:szCs w:val="24"/>
        </w:rPr>
        <w:tab/>
      </w:r>
      <w:r w:rsidR="00BA7DD4" w:rsidRPr="00E27197">
        <w:rPr>
          <w:rFonts w:ascii="Arial" w:hAnsi="Arial" w:cs="Arial"/>
          <w:sz w:val="24"/>
          <w:szCs w:val="24"/>
        </w:rPr>
        <w:t>That the</w:t>
      </w:r>
      <w:r w:rsidR="00EB38D3" w:rsidRPr="00E27197">
        <w:rPr>
          <w:rFonts w:ascii="Arial" w:hAnsi="Arial" w:cs="Arial"/>
          <w:sz w:val="24"/>
          <w:szCs w:val="24"/>
        </w:rPr>
        <w:t xml:space="preserve"> R</w:t>
      </w:r>
      <w:r w:rsidR="00BA7DD4" w:rsidRPr="00E27197">
        <w:rPr>
          <w:rFonts w:ascii="Arial" w:hAnsi="Arial" w:cs="Arial"/>
          <w:sz w:val="24"/>
          <w:szCs w:val="24"/>
        </w:rPr>
        <w:t>espondent</w:t>
      </w:r>
      <w:r w:rsidR="00EB38D3" w:rsidRPr="00E27197">
        <w:rPr>
          <w:rFonts w:ascii="Arial" w:hAnsi="Arial" w:cs="Arial"/>
          <w:sz w:val="24"/>
          <w:szCs w:val="24"/>
        </w:rPr>
        <w:t xml:space="preserve"> (herein after referred to as “</w:t>
      </w:r>
      <w:r w:rsidR="00EB38D3" w:rsidRPr="00E27197">
        <w:rPr>
          <w:rFonts w:ascii="Arial" w:hAnsi="Arial" w:cs="Arial"/>
          <w:i/>
          <w:sz w:val="24"/>
          <w:szCs w:val="24"/>
        </w:rPr>
        <w:t>Van Der Ryst</w:t>
      </w:r>
      <w:r w:rsidR="00EB38D3" w:rsidRPr="00E27197">
        <w:rPr>
          <w:rFonts w:ascii="Arial" w:hAnsi="Arial" w:cs="Arial"/>
          <w:sz w:val="24"/>
          <w:szCs w:val="24"/>
        </w:rPr>
        <w:t>”) would have to furnish security to the satisfaction of the Trustees in the amount of R 250 000,00 (Two Hundred and Fifty Thousand Rand) for the costs of the Trustees in their opposition of the Main Application under the above case number; and</w:t>
      </w:r>
    </w:p>
    <w:p w:rsidR="00EB38D3" w:rsidRPr="00E27197" w:rsidRDefault="00EB38D3" w:rsidP="00E27197">
      <w:pPr>
        <w:spacing w:line="360" w:lineRule="auto"/>
        <w:ind w:left="1620" w:hanging="900"/>
        <w:jc w:val="both"/>
        <w:rPr>
          <w:rFonts w:ascii="Arial" w:hAnsi="Arial" w:cs="Arial"/>
          <w:sz w:val="24"/>
          <w:szCs w:val="24"/>
        </w:rPr>
      </w:pPr>
    </w:p>
    <w:p w:rsidR="00EB38D3" w:rsidRPr="00E27197" w:rsidRDefault="00BE1836" w:rsidP="00E27197">
      <w:pPr>
        <w:spacing w:line="360" w:lineRule="auto"/>
        <w:ind w:left="1620" w:hanging="900"/>
        <w:jc w:val="both"/>
        <w:rPr>
          <w:rFonts w:ascii="Arial" w:hAnsi="Arial" w:cs="Arial"/>
          <w:sz w:val="24"/>
          <w:szCs w:val="24"/>
        </w:rPr>
      </w:pPr>
      <w:r w:rsidRPr="00E27197">
        <w:rPr>
          <w:rFonts w:ascii="Arial" w:hAnsi="Arial" w:cs="Arial"/>
          <w:sz w:val="24"/>
          <w:szCs w:val="24"/>
        </w:rPr>
        <w:t>1.2</w:t>
      </w:r>
      <w:r w:rsidRPr="00E27197">
        <w:rPr>
          <w:rFonts w:ascii="Arial" w:hAnsi="Arial" w:cs="Arial"/>
          <w:sz w:val="24"/>
          <w:szCs w:val="24"/>
        </w:rPr>
        <w:tab/>
      </w:r>
      <w:r w:rsidR="00BA7DD4" w:rsidRPr="00E27197">
        <w:rPr>
          <w:rFonts w:ascii="Arial" w:hAnsi="Arial" w:cs="Arial"/>
          <w:sz w:val="24"/>
          <w:szCs w:val="24"/>
        </w:rPr>
        <w:t>That the</w:t>
      </w:r>
      <w:r w:rsidR="00EB38D3" w:rsidRPr="00E27197">
        <w:rPr>
          <w:rFonts w:ascii="Arial" w:hAnsi="Arial" w:cs="Arial"/>
          <w:sz w:val="24"/>
          <w:szCs w:val="24"/>
        </w:rPr>
        <w:t xml:space="preserve"> Trustees would </w:t>
      </w:r>
      <w:r w:rsidR="00F4113A">
        <w:rPr>
          <w:rFonts w:ascii="Arial" w:hAnsi="Arial" w:cs="Arial"/>
          <w:sz w:val="24"/>
          <w:szCs w:val="24"/>
        </w:rPr>
        <w:t>be granted leave to approach this</w:t>
      </w:r>
      <w:r w:rsidR="00EB38D3" w:rsidRPr="00E27197">
        <w:rPr>
          <w:rFonts w:ascii="Arial" w:hAnsi="Arial" w:cs="Arial"/>
          <w:sz w:val="24"/>
          <w:szCs w:val="24"/>
        </w:rPr>
        <w:t xml:space="preserve"> Court, on the same papers duly supplemented, for an order dismissing the afore-said Main Application, in the event of Van Der Ryst failing to furnish the security mentioned above</w:t>
      </w:r>
      <w:r w:rsidR="009E23C7" w:rsidRPr="00E27197">
        <w:rPr>
          <w:rFonts w:ascii="Arial" w:hAnsi="Arial" w:cs="Arial"/>
          <w:sz w:val="24"/>
          <w:szCs w:val="24"/>
        </w:rPr>
        <w:t xml:space="preserve"> within 10 (ten) days from date of this order.</w:t>
      </w:r>
    </w:p>
    <w:p w:rsidR="009E23C7" w:rsidRPr="00E27197" w:rsidRDefault="009E23C7" w:rsidP="00E27197">
      <w:pPr>
        <w:spacing w:line="360" w:lineRule="auto"/>
        <w:ind w:left="900" w:hanging="720"/>
        <w:jc w:val="both"/>
        <w:rPr>
          <w:rFonts w:ascii="Arial" w:hAnsi="Arial" w:cs="Arial"/>
          <w:sz w:val="24"/>
          <w:szCs w:val="24"/>
        </w:rPr>
      </w:pPr>
    </w:p>
    <w:p w:rsidR="009E23C7" w:rsidRPr="00E27197" w:rsidRDefault="00BE1836" w:rsidP="00E27197">
      <w:pPr>
        <w:spacing w:line="360" w:lineRule="auto"/>
        <w:ind w:left="900" w:hanging="720"/>
        <w:jc w:val="both"/>
        <w:rPr>
          <w:rFonts w:ascii="Arial" w:hAnsi="Arial" w:cs="Arial"/>
          <w:sz w:val="24"/>
          <w:szCs w:val="24"/>
        </w:rPr>
      </w:pPr>
      <w:r w:rsidRPr="00E27197">
        <w:rPr>
          <w:rFonts w:ascii="Arial" w:hAnsi="Arial" w:cs="Arial"/>
          <w:sz w:val="24"/>
          <w:szCs w:val="24"/>
        </w:rPr>
        <w:t>2.</w:t>
      </w:r>
      <w:r w:rsidRPr="00E27197">
        <w:rPr>
          <w:rFonts w:ascii="Arial" w:hAnsi="Arial" w:cs="Arial"/>
          <w:sz w:val="24"/>
          <w:szCs w:val="24"/>
        </w:rPr>
        <w:tab/>
      </w:r>
      <w:r w:rsidR="009E23C7" w:rsidRPr="00E27197">
        <w:rPr>
          <w:rFonts w:ascii="Arial" w:hAnsi="Arial" w:cs="Arial"/>
          <w:sz w:val="24"/>
          <w:szCs w:val="24"/>
        </w:rPr>
        <w:t>The Trustees also moved for an order to the effect that Van Der Ryst was to pay the costs of this application to which I will henceforth refer as “</w:t>
      </w:r>
      <w:r w:rsidR="009E23C7" w:rsidRPr="00E27197">
        <w:rPr>
          <w:rFonts w:ascii="Arial" w:hAnsi="Arial" w:cs="Arial"/>
          <w:i/>
          <w:sz w:val="24"/>
          <w:szCs w:val="24"/>
        </w:rPr>
        <w:t>the Security Application</w:t>
      </w:r>
      <w:r w:rsidR="009E23C7" w:rsidRPr="00E27197">
        <w:rPr>
          <w:rFonts w:ascii="Arial" w:hAnsi="Arial" w:cs="Arial"/>
          <w:sz w:val="24"/>
          <w:szCs w:val="24"/>
        </w:rPr>
        <w:t>”).</w:t>
      </w:r>
    </w:p>
    <w:p w:rsidR="00B87F34" w:rsidRPr="00E27197" w:rsidRDefault="00B87F34" w:rsidP="00E27197">
      <w:pPr>
        <w:spacing w:line="360" w:lineRule="auto"/>
        <w:jc w:val="both"/>
        <w:rPr>
          <w:rFonts w:ascii="Arial" w:hAnsi="Arial" w:cs="Arial"/>
          <w:sz w:val="24"/>
          <w:szCs w:val="24"/>
        </w:rPr>
      </w:pPr>
    </w:p>
    <w:p w:rsidR="00B87F34" w:rsidRPr="00E27197" w:rsidRDefault="00B87F34" w:rsidP="00E27197">
      <w:pPr>
        <w:spacing w:line="360" w:lineRule="auto"/>
        <w:jc w:val="both"/>
        <w:rPr>
          <w:rFonts w:ascii="Arial" w:hAnsi="Arial" w:cs="Arial"/>
          <w:b/>
          <w:sz w:val="24"/>
          <w:szCs w:val="24"/>
        </w:rPr>
      </w:pPr>
      <w:r w:rsidRPr="00E27197">
        <w:rPr>
          <w:rFonts w:ascii="Arial" w:hAnsi="Arial" w:cs="Arial"/>
          <w:b/>
          <w:sz w:val="24"/>
          <w:szCs w:val="24"/>
          <w:u w:val="single"/>
        </w:rPr>
        <w:t>BACKGROUND</w:t>
      </w:r>
      <w:r w:rsidRPr="00E27197">
        <w:rPr>
          <w:rFonts w:ascii="Arial" w:hAnsi="Arial" w:cs="Arial"/>
          <w:b/>
          <w:sz w:val="24"/>
          <w:szCs w:val="24"/>
        </w:rPr>
        <w:t>:</w:t>
      </w:r>
    </w:p>
    <w:p w:rsidR="0062551B" w:rsidRPr="00E27197" w:rsidRDefault="0062551B" w:rsidP="00E27197">
      <w:pPr>
        <w:spacing w:line="360" w:lineRule="auto"/>
        <w:ind w:left="900" w:hanging="720"/>
        <w:jc w:val="both"/>
        <w:rPr>
          <w:rFonts w:ascii="Arial" w:hAnsi="Arial" w:cs="Arial"/>
          <w:sz w:val="24"/>
          <w:szCs w:val="24"/>
        </w:rPr>
      </w:pPr>
    </w:p>
    <w:p w:rsidR="0062551B" w:rsidRPr="00E27197" w:rsidRDefault="008B22EB" w:rsidP="00E27197">
      <w:pPr>
        <w:spacing w:line="360" w:lineRule="auto"/>
        <w:ind w:left="900" w:hanging="720"/>
        <w:jc w:val="both"/>
        <w:rPr>
          <w:rFonts w:ascii="Arial" w:hAnsi="Arial" w:cs="Arial"/>
          <w:sz w:val="24"/>
          <w:szCs w:val="24"/>
        </w:rPr>
      </w:pPr>
      <w:r w:rsidRPr="00E27197">
        <w:rPr>
          <w:rFonts w:ascii="Arial" w:hAnsi="Arial" w:cs="Arial"/>
          <w:sz w:val="24"/>
          <w:szCs w:val="24"/>
        </w:rPr>
        <w:t>3.</w:t>
      </w:r>
      <w:r w:rsidRPr="00E27197">
        <w:rPr>
          <w:rFonts w:ascii="Arial" w:hAnsi="Arial" w:cs="Arial"/>
          <w:sz w:val="24"/>
          <w:szCs w:val="24"/>
        </w:rPr>
        <w:tab/>
      </w:r>
      <w:r w:rsidR="0062551B" w:rsidRPr="00E27197">
        <w:rPr>
          <w:rFonts w:ascii="Arial" w:hAnsi="Arial" w:cs="Arial"/>
          <w:sz w:val="24"/>
          <w:szCs w:val="24"/>
        </w:rPr>
        <w:t xml:space="preserve">It is common cause and should be mentioned that the Main Application referred to herein above, is an application brought by Van Der Ryst against </w:t>
      </w:r>
      <w:r w:rsidR="0062551B" w:rsidRPr="00E27197">
        <w:rPr>
          <w:rFonts w:ascii="Arial" w:hAnsi="Arial" w:cs="Arial"/>
          <w:i/>
          <w:sz w:val="24"/>
          <w:szCs w:val="24"/>
        </w:rPr>
        <w:t>inter alia</w:t>
      </w:r>
      <w:r w:rsidR="0062551B" w:rsidRPr="00E27197">
        <w:rPr>
          <w:rFonts w:ascii="Arial" w:hAnsi="Arial" w:cs="Arial"/>
          <w:sz w:val="24"/>
          <w:szCs w:val="24"/>
        </w:rPr>
        <w:t xml:space="preserve"> the Trustees in</w:t>
      </w:r>
      <w:r w:rsidR="00B87F34" w:rsidRPr="00E27197">
        <w:rPr>
          <w:rFonts w:ascii="Arial" w:hAnsi="Arial" w:cs="Arial"/>
          <w:sz w:val="24"/>
          <w:szCs w:val="24"/>
        </w:rPr>
        <w:t xml:space="preserve"> terms whereof Van Der Ryst approaches</w:t>
      </w:r>
      <w:r w:rsidR="0062551B" w:rsidRPr="00E27197">
        <w:rPr>
          <w:rFonts w:ascii="Arial" w:hAnsi="Arial" w:cs="Arial"/>
          <w:sz w:val="24"/>
          <w:szCs w:val="24"/>
        </w:rPr>
        <w:t xml:space="preserve"> the Court </w:t>
      </w:r>
      <w:r w:rsidR="00E41A3E" w:rsidRPr="00E27197">
        <w:rPr>
          <w:rFonts w:ascii="Arial" w:hAnsi="Arial" w:cs="Arial"/>
          <w:sz w:val="24"/>
          <w:szCs w:val="24"/>
        </w:rPr>
        <w:t>for</w:t>
      </w:r>
      <w:r w:rsidR="0062551B" w:rsidRPr="00E27197">
        <w:rPr>
          <w:rFonts w:ascii="Arial" w:hAnsi="Arial" w:cs="Arial"/>
          <w:sz w:val="24"/>
          <w:szCs w:val="24"/>
        </w:rPr>
        <w:t xml:space="preserve"> an order</w:t>
      </w:r>
      <w:r w:rsidR="000E2FC3" w:rsidRPr="00E27197">
        <w:rPr>
          <w:rFonts w:ascii="Arial" w:hAnsi="Arial" w:cs="Arial"/>
          <w:sz w:val="24"/>
          <w:szCs w:val="24"/>
        </w:rPr>
        <w:t>:</w:t>
      </w:r>
    </w:p>
    <w:p w:rsidR="000E2FC3" w:rsidRPr="00E27197" w:rsidRDefault="000E2FC3" w:rsidP="00E27197">
      <w:pPr>
        <w:spacing w:line="360" w:lineRule="auto"/>
        <w:ind w:left="1620" w:hanging="900"/>
        <w:jc w:val="both"/>
        <w:rPr>
          <w:rFonts w:ascii="Arial" w:hAnsi="Arial" w:cs="Arial"/>
          <w:sz w:val="24"/>
          <w:szCs w:val="24"/>
        </w:rPr>
      </w:pPr>
    </w:p>
    <w:p w:rsidR="00E41A3E" w:rsidRPr="00E27197" w:rsidRDefault="008B22EB" w:rsidP="00E27197">
      <w:pPr>
        <w:spacing w:line="360" w:lineRule="auto"/>
        <w:ind w:left="1620" w:hanging="900"/>
        <w:jc w:val="both"/>
        <w:rPr>
          <w:rFonts w:ascii="Arial" w:hAnsi="Arial" w:cs="Arial"/>
          <w:sz w:val="24"/>
          <w:szCs w:val="24"/>
        </w:rPr>
      </w:pPr>
      <w:r w:rsidRPr="00E27197">
        <w:rPr>
          <w:rFonts w:ascii="Arial" w:hAnsi="Arial" w:cs="Arial"/>
          <w:sz w:val="24"/>
          <w:szCs w:val="24"/>
        </w:rPr>
        <w:t>3.1</w:t>
      </w:r>
      <w:r w:rsidRPr="00E27197">
        <w:rPr>
          <w:rFonts w:ascii="Arial" w:hAnsi="Arial" w:cs="Arial"/>
          <w:sz w:val="24"/>
          <w:szCs w:val="24"/>
        </w:rPr>
        <w:tab/>
      </w:r>
      <w:r w:rsidR="00B87F34" w:rsidRPr="00E27197">
        <w:rPr>
          <w:rFonts w:ascii="Arial" w:hAnsi="Arial" w:cs="Arial"/>
          <w:sz w:val="24"/>
          <w:szCs w:val="24"/>
        </w:rPr>
        <w:t>For the review</w:t>
      </w:r>
      <w:r w:rsidR="000E2FC3" w:rsidRPr="00E27197">
        <w:rPr>
          <w:rFonts w:ascii="Arial" w:hAnsi="Arial" w:cs="Arial"/>
          <w:sz w:val="24"/>
          <w:szCs w:val="24"/>
        </w:rPr>
        <w:t xml:space="preserve"> and </w:t>
      </w:r>
      <w:r w:rsidR="00B87F34" w:rsidRPr="00E27197">
        <w:rPr>
          <w:rFonts w:ascii="Arial" w:hAnsi="Arial" w:cs="Arial"/>
          <w:sz w:val="24"/>
          <w:szCs w:val="24"/>
        </w:rPr>
        <w:t xml:space="preserve">possible </w:t>
      </w:r>
      <w:r w:rsidR="000E2FC3" w:rsidRPr="00E27197">
        <w:rPr>
          <w:rFonts w:ascii="Arial" w:hAnsi="Arial" w:cs="Arial"/>
          <w:sz w:val="24"/>
          <w:szCs w:val="24"/>
        </w:rPr>
        <w:t xml:space="preserve">setting aside </w:t>
      </w:r>
      <w:r w:rsidR="004C6009" w:rsidRPr="00E27197">
        <w:rPr>
          <w:rFonts w:ascii="Arial" w:hAnsi="Arial" w:cs="Arial"/>
          <w:sz w:val="24"/>
          <w:szCs w:val="24"/>
        </w:rPr>
        <w:t xml:space="preserve">of </w:t>
      </w:r>
      <w:r w:rsidR="000E2FC3" w:rsidRPr="00E27197">
        <w:rPr>
          <w:rFonts w:ascii="Arial" w:hAnsi="Arial" w:cs="Arial"/>
          <w:sz w:val="24"/>
          <w:szCs w:val="24"/>
        </w:rPr>
        <w:t xml:space="preserve">the decision of </w:t>
      </w:r>
      <w:r w:rsidR="007301B1" w:rsidRPr="00E27197">
        <w:rPr>
          <w:rFonts w:ascii="Arial" w:hAnsi="Arial" w:cs="Arial"/>
          <w:sz w:val="24"/>
          <w:szCs w:val="24"/>
        </w:rPr>
        <w:t>the Master of the Northern Cape High Court (the 1</w:t>
      </w:r>
      <w:r w:rsidR="007301B1" w:rsidRPr="00E27197">
        <w:rPr>
          <w:rFonts w:ascii="Arial" w:hAnsi="Arial" w:cs="Arial"/>
          <w:sz w:val="24"/>
          <w:szCs w:val="24"/>
          <w:vertAlign w:val="superscript"/>
        </w:rPr>
        <w:t>st</w:t>
      </w:r>
      <w:r w:rsidR="007301B1" w:rsidRPr="00E27197">
        <w:rPr>
          <w:rFonts w:ascii="Arial" w:hAnsi="Arial" w:cs="Arial"/>
          <w:sz w:val="24"/>
          <w:szCs w:val="24"/>
        </w:rPr>
        <w:t xml:space="preserve"> Respondent in the Main Application</w:t>
      </w:r>
      <w:r w:rsidR="00E41A3E" w:rsidRPr="00E27197">
        <w:rPr>
          <w:rFonts w:ascii="Arial" w:hAnsi="Arial" w:cs="Arial"/>
          <w:sz w:val="24"/>
          <w:szCs w:val="24"/>
        </w:rPr>
        <w:t xml:space="preserve"> and herein after, where and if necessary referred to simply as “</w:t>
      </w:r>
      <w:r w:rsidR="00E41A3E" w:rsidRPr="00E27197">
        <w:rPr>
          <w:rFonts w:ascii="Arial" w:hAnsi="Arial" w:cs="Arial"/>
          <w:i/>
          <w:sz w:val="24"/>
          <w:szCs w:val="24"/>
        </w:rPr>
        <w:t>the Master</w:t>
      </w:r>
      <w:r w:rsidR="00E41A3E" w:rsidRPr="00E27197">
        <w:rPr>
          <w:rFonts w:ascii="Arial" w:hAnsi="Arial" w:cs="Arial"/>
          <w:sz w:val="24"/>
          <w:szCs w:val="24"/>
        </w:rPr>
        <w:t>”</w:t>
      </w:r>
      <w:r w:rsidR="007301B1" w:rsidRPr="00E27197">
        <w:rPr>
          <w:rFonts w:ascii="Arial" w:hAnsi="Arial" w:cs="Arial"/>
          <w:sz w:val="24"/>
          <w:szCs w:val="24"/>
        </w:rPr>
        <w:t>)</w:t>
      </w:r>
      <w:r w:rsidR="00E41A3E" w:rsidRPr="00E27197">
        <w:rPr>
          <w:rFonts w:ascii="Arial" w:hAnsi="Arial" w:cs="Arial"/>
          <w:sz w:val="24"/>
          <w:szCs w:val="24"/>
        </w:rPr>
        <w:t xml:space="preserve"> to admit certain claims submitted to proof by the Standard Bank of South Africa (the 2</w:t>
      </w:r>
      <w:r w:rsidR="00E41A3E" w:rsidRPr="00E27197">
        <w:rPr>
          <w:rFonts w:ascii="Arial" w:hAnsi="Arial" w:cs="Arial"/>
          <w:sz w:val="24"/>
          <w:szCs w:val="24"/>
          <w:vertAlign w:val="superscript"/>
        </w:rPr>
        <w:t>nd</w:t>
      </w:r>
      <w:r w:rsidR="00E41A3E" w:rsidRPr="00E27197">
        <w:rPr>
          <w:rFonts w:ascii="Arial" w:hAnsi="Arial" w:cs="Arial"/>
          <w:sz w:val="24"/>
          <w:szCs w:val="24"/>
        </w:rPr>
        <w:t xml:space="preserve"> Respondent in the Main Application and herein </w:t>
      </w:r>
      <w:r w:rsidR="00E41A3E" w:rsidRPr="00E27197">
        <w:rPr>
          <w:rFonts w:ascii="Arial" w:hAnsi="Arial" w:cs="Arial"/>
          <w:sz w:val="24"/>
          <w:szCs w:val="24"/>
        </w:rPr>
        <w:lastRenderedPageBreak/>
        <w:t>after where and if necessary referred to simply as “</w:t>
      </w:r>
      <w:r w:rsidR="00E41A3E" w:rsidRPr="00E27197">
        <w:rPr>
          <w:rFonts w:ascii="Arial" w:hAnsi="Arial" w:cs="Arial"/>
          <w:i/>
          <w:sz w:val="24"/>
          <w:szCs w:val="24"/>
        </w:rPr>
        <w:t>the Bank</w:t>
      </w:r>
      <w:r w:rsidR="00E41A3E" w:rsidRPr="00E27197">
        <w:rPr>
          <w:rFonts w:ascii="Arial" w:hAnsi="Arial" w:cs="Arial"/>
          <w:sz w:val="24"/>
          <w:szCs w:val="24"/>
        </w:rPr>
        <w:t>”) at the first meeting of creditors in the insolvent estate of Van Der Ryst;</w:t>
      </w:r>
    </w:p>
    <w:p w:rsidR="00E41A3E" w:rsidRPr="00E27197" w:rsidRDefault="00E41A3E" w:rsidP="00E27197">
      <w:pPr>
        <w:spacing w:line="360" w:lineRule="auto"/>
        <w:ind w:left="1620" w:hanging="900"/>
        <w:jc w:val="both"/>
        <w:rPr>
          <w:rFonts w:ascii="Arial" w:hAnsi="Arial" w:cs="Arial"/>
          <w:sz w:val="24"/>
          <w:szCs w:val="24"/>
        </w:rPr>
      </w:pPr>
    </w:p>
    <w:p w:rsidR="00E41A3E" w:rsidRPr="00E27197" w:rsidRDefault="008B22EB" w:rsidP="00E27197">
      <w:pPr>
        <w:spacing w:line="360" w:lineRule="auto"/>
        <w:ind w:left="1620" w:hanging="900"/>
        <w:jc w:val="both"/>
        <w:rPr>
          <w:rFonts w:ascii="Arial" w:hAnsi="Arial" w:cs="Arial"/>
          <w:sz w:val="24"/>
          <w:szCs w:val="24"/>
        </w:rPr>
      </w:pPr>
      <w:r w:rsidRPr="00E27197">
        <w:rPr>
          <w:rFonts w:ascii="Arial" w:hAnsi="Arial" w:cs="Arial"/>
          <w:sz w:val="24"/>
          <w:szCs w:val="24"/>
        </w:rPr>
        <w:t>3.2</w:t>
      </w:r>
      <w:r w:rsidRPr="00E27197">
        <w:rPr>
          <w:rFonts w:ascii="Arial" w:hAnsi="Arial" w:cs="Arial"/>
          <w:sz w:val="24"/>
          <w:szCs w:val="24"/>
        </w:rPr>
        <w:tab/>
      </w:r>
      <w:r w:rsidR="00B87F34" w:rsidRPr="00E27197">
        <w:rPr>
          <w:rFonts w:ascii="Arial" w:hAnsi="Arial" w:cs="Arial"/>
          <w:sz w:val="24"/>
          <w:szCs w:val="24"/>
        </w:rPr>
        <w:t>For the referral of t</w:t>
      </w:r>
      <w:r w:rsidR="00E41A3E" w:rsidRPr="00E27197">
        <w:rPr>
          <w:rFonts w:ascii="Arial" w:hAnsi="Arial" w:cs="Arial"/>
          <w:sz w:val="24"/>
          <w:szCs w:val="24"/>
        </w:rPr>
        <w:t>he matter to the National Consumer Tribunal (the 5</w:t>
      </w:r>
      <w:r w:rsidR="00E41A3E" w:rsidRPr="00E27197">
        <w:rPr>
          <w:rFonts w:ascii="Arial" w:hAnsi="Arial" w:cs="Arial"/>
          <w:sz w:val="24"/>
          <w:szCs w:val="24"/>
          <w:vertAlign w:val="superscript"/>
        </w:rPr>
        <w:t>th</w:t>
      </w:r>
      <w:r w:rsidR="00E41A3E" w:rsidRPr="00E27197">
        <w:rPr>
          <w:rFonts w:ascii="Arial" w:hAnsi="Arial" w:cs="Arial"/>
          <w:sz w:val="24"/>
          <w:szCs w:val="24"/>
        </w:rPr>
        <w:t xml:space="preserve"> Respondent in the Main Application and herein after referred to where and if necessary simply as “the NCT”) for consideration and determination in terms of </w:t>
      </w:r>
      <w:r w:rsidR="00E41A3E" w:rsidRPr="00E27197">
        <w:rPr>
          <w:rFonts w:ascii="Arial" w:hAnsi="Arial" w:cs="Arial"/>
          <w:b/>
          <w:i/>
          <w:sz w:val="24"/>
          <w:szCs w:val="24"/>
        </w:rPr>
        <w:t>Section 13</w:t>
      </w:r>
      <w:r w:rsidR="00B87F34" w:rsidRPr="00E27197">
        <w:rPr>
          <w:rFonts w:ascii="Arial" w:hAnsi="Arial" w:cs="Arial"/>
          <w:b/>
          <w:i/>
          <w:sz w:val="24"/>
          <w:szCs w:val="24"/>
        </w:rPr>
        <w:t>6</w:t>
      </w:r>
      <w:r w:rsidR="00E41A3E" w:rsidRPr="00E27197">
        <w:rPr>
          <w:rFonts w:ascii="Arial" w:hAnsi="Arial" w:cs="Arial"/>
          <w:sz w:val="24"/>
          <w:szCs w:val="24"/>
        </w:rPr>
        <w:t xml:space="preserve"> read with </w:t>
      </w:r>
      <w:r w:rsidR="00E41A3E" w:rsidRPr="00E27197">
        <w:rPr>
          <w:rFonts w:ascii="Arial" w:hAnsi="Arial" w:cs="Arial"/>
          <w:b/>
          <w:i/>
          <w:sz w:val="24"/>
          <w:szCs w:val="24"/>
        </w:rPr>
        <w:t>Section 137</w:t>
      </w:r>
      <w:r w:rsidR="00E41A3E" w:rsidRPr="00E27197">
        <w:rPr>
          <w:rFonts w:ascii="Arial" w:hAnsi="Arial" w:cs="Arial"/>
          <w:sz w:val="24"/>
          <w:szCs w:val="24"/>
        </w:rPr>
        <w:t xml:space="preserve"> of the National Credit Act</w:t>
      </w:r>
      <w:r w:rsidR="00E41A3E" w:rsidRPr="00E27197">
        <w:rPr>
          <w:rStyle w:val="FootnoteReference"/>
          <w:rFonts w:ascii="Arial" w:hAnsi="Arial" w:cs="Arial"/>
          <w:sz w:val="24"/>
          <w:szCs w:val="24"/>
        </w:rPr>
        <w:footnoteReference w:id="1"/>
      </w:r>
      <w:r w:rsidR="00E41A3E" w:rsidRPr="00E27197">
        <w:rPr>
          <w:rFonts w:ascii="Arial" w:hAnsi="Arial" w:cs="Arial"/>
          <w:sz w:val="24"/>
          <w:szCs w:val="24"/>
        </w:rPr>
        <w:t xml:space="preserve"> (herein after “</w:t>
      </w:r>
      <w:r w:rsidR="00E41A3E" w:rsidRPr="00E27197">
        <w:rPr>
          <w:rFonts w:ascii="Arial" w:hAnsi="Arial" w:cs="Arial"/>
          <w:i/>
          <w:sz w:val="24"/>
          <w:szCs w:val="24"/>
        </w:rPr>
        <w:t>the NCA</w:t>
      </w:r>
      <w:r w:rsidR="00E41A3E" w:rsidRPr="00E27197">
        <w:rPr>
          <w:rFonts w:ascii="Arial" w:hAnsi="Arial" w:cs="Arial"/>
          <w:sz w:val="24"/>
          <w:szCs w:val="24"/>
        </w:rPr>
        <w:t xml:space="preserve">”), alternatively referring the matter directly to a Debt Counsellor in terms of the provisions of </w:t>
      </w:r>
      <w:r w:rsidR="00E41A3E" w:rsidRPr="00E27197">
        <w:rPr>
          <w:rFonts w:ascii="Arial" w:hAnsi="Arial" w:cs="Arial"/>
          <w:b/>
          <w:i/>
          <w:sz w:val="24"/>
          <w:szCs w:val="24"/>
        </w:rPr>
        <w:t>Section 85(a)</w:t>
      </w:r>
      <w:r w:rsidR="00E41A3E" w:rsidRPr="00E27197">
        <w:rPr>
          <w:rFonts w:ascii="Arial" w:hAnsi="Arial" w:cs="Arial"/>
          <w:sz w:val="24"/>
          <w:szCs w:val="24"/>
        </w:rPr>
        <w:t xml:space="preserve"> of the NCA;</w:t>
      </w:r>
      <w:r w:rsidR="00FD3A9F" w:rsidRPr="00E27197">
        <w:rPr>
          <w:rFonts w:ascii="Arial" w:hAnsi="Arial" w:cs="Arial"/>
          <w:sz w:val="24"/>
          <w:szCs w:val="24"/>
        </w:rPr>
        <w:t xml:space="preserve"> </w:t>
      </w:r>
      <w:r w:rsidR="00FD3A9F" w:rsidRPr="00E27197">
        <w:rPr>
          <w:rFonts w:ascii="Arial" w:hAnsi="Arial" w:cs="Arial"/>
          <w:sz w:val="24"/>
          <w:szCs w:val="24"/>
          <w:u w:val="single"/>
        </w:rPr>
        <w:t>alternatively</w:t>
      </w:r>
    </w:p>
    <w:p w:rsidR="00E41A3E" w:rsidRPr="00E27197" w:rsidRDefault="00E41A3E" w:rsidP="00E27197">
      <w:pPr>
        <w:spacing w:line="360" w:lineRule="auto"/>
        <w:ind w:left="2340" w:hanging="1080"/>
        <w:jc w:val="both"/>
        <w:rPr>
          <w:rFonts w:ascii="Arial" w:hAnsi="Arial" w:cs="Arial"/>
          <w:sz w:val="24"/>
          <w:szCs w:val="24"/>
        </w:rPr>
      </w:pPr>
    </w:p>
    <w:p w:rsidR="00E41A3E" w:rsidRPr="00E27197" w:rsidRDefault="00B656B8" w:rsidP="00E27197">
      <w:pPr>
        <w:spacing w:line="360" w:lineRule="auto"/>
        <w:ind w:left="2340" w:hanging="1080"/>
        <w:jc w:val="both"/>
        <w:rPr>
          <w:rFonts w:ascii="Arial" w:hAnsi="Arial" w:cs="Arial"/>
          <w:sz w:val="24"/>
          <w:szCs w:val="24"/>
        </w:rPr>
      </w:pPr>
      <w:r w:rsidRPr="00E27197">
        <w:rPr>
          <w:rFonts w:ascii="Arial" w:hAnsi="Arial" w:cs="Arial"/>
          <w:sz w:val="24"/>
          <w:szCs w:val="24"/>
        </w:rPr>
        <w:t>3.2.1</w:t>
      </w:r>
      <w:r w:rsidRPr="00E27197">
        <w:rPr>
          <w:rFonts w:ascii="Arial" w:hAnsi="Arial" w:cs="Arial"/>
          <w:sz w:val="24"/>
          <w:szCs w:val="24"/>
        </w:rPr>
        <w:tab/>
      </w:r>
      <w:r w:rsidR="00E41A3E" w:rsidRPr="00E27197">
        <w:rPr>
          <w:rFonts w:ascii="Arial" w:hAnsi="Arial" w:cs="Arial"/>
          <w:sz w:val="24"/>
          <w:szCs w:val="24"/>
        </w:rPr>
        <w:t xml:space="preserve">Directing the Trustees to examine the claims submitted by the Bank and to report to the Master and to Van Der Ryst as envisaged in </w:t>
      </w:r>
      <w:r w:rsidR="00E41A3E" w:rsidRPr="00E27197">
        <w:rPr>
          <w:rFonts w:ascii="Arial" w:hAnsi="Arial" w:cs="Arial"/>
          <w:b/>
          <w:i/>
          <w:sz w:val="24"/>
          <w:szCs w:val="24"/>
        </w:rPr>
        <w:t>Section 45</w:t>
      </w:r>
      <w:r w:rsidR="00E41A3E" w:rsidRPr="00E27197">
        <w:rPr>
          <w:rFonts w:ascii="Arial" w:hAnsi="Arial" w:cs="Arial"/>
          <w:sz w:val="24"/>
          <w:szCs w:val="24"/>
        </w:rPr>
        <w:t xml:space="preserve"> of the Insolvency Act</w:t>
      </w:r>
      <w:r w:rsidR="00E41A3E" w:rsidRPr="00E27197">
        <w:rPr>
          <w:rStyle w:val="FootnoteReference"/>
          <w:rFonts w:ascii="Arial" w:hAnsi="Arial" w:cs="Arial"/>
          <w:sz w:val="24"/>
          <w:szCs w:val="24"/>
        </w:rPr>
        <w:footnoteReference w:id="2"/>
      </w:r>
      <w:r w:rsidR="00E41A3E" w:rsidRPr="00E27197">
        <w:rPr>
          <w:rFonts w:ascii="Arial" w:hAnsi="Arial" w:cs="Arial"/>
          <w:sz w:val="24"/>
          <w:szCs w:val="24"/>
        </w:rPr>
        <w:t xml:space="preserve"> (“</w:t>
      </w:r>
      <w:r w:rsidR="00E41A3E" w:rsidRPr="007634FA">
        <w:rPr>
          <w:rFonts w:ascii="Arial" w:hAnsi="Arial" w:cs="Arial"/>
          <w:i/>
          <w:sz w:val="24"/>
          <w:szCs w:val="24"/>
        </w:rPr>
        <w:t>the Insolvency Act</w:t>
      </w:r>
      <w:r w:rsidR="00E41A3E" w:rsidRPr="00E27197">
        <w:rPr>
          <w:rFonts w:ascii="Arial" w:hAnsi="Arial" w:cs="Arial"/>
          <w:sz w:val="24"/>
          <w:szCs w:val="24"/>
        </w:rPr>
        <w:t>”); and</w:t>
      </w:r>
    </w:p>
    <w:p w:rsidR="00E41A3E" w:rsidRPr="00E27197" w:rsidRDefault="00E41A3E" w:rsidP="00E27197">
      <w:pPr>
        <w:spacing w:line="360" w:lineRule="auto"/>
        <w:ind w:left="2340" w:hanging="1080"/>
        <w:jc w:val="both"/>
        <w:rPr>
          <w:rFonts w:ascii="Arial" w:hAnsi="Arial" w:cs="Arial"/>
          <w:sz w:val="24"/>
          <w:szCs w:val="24"/>
        </w:rPr>
      </w:pPr>
    </w:p>
    <w:p w:rsidR="00E41A3E" w:rsidRPr="00E27197" w:rsidRDefault="00B656B8" w:rsidP="00E27197">
      <w:pPr>
        <w:spacing w:line="360" w:lineRule="auto"/>
        <w:ind w:left="2340" w:hanging="1080"/>
        <w:jc w:val="both"/>
        <w:rPr>
          <w:rFonts w:ascii="Arial" w:hAnsi="Arial" w:cs="Arial"/>
          <w:sz w:val="24"/>
          <w:szCs w:val="24"/>
        </w:rPr>
      </w:pPr>
      <w:r w:rsidRPr="00E27197">
        <w:rPr>
          <w:rFonts w:ascii="Arial" w:hAnsi="Arial" w:cs="Arial"/>
          <w:sz w:val="24"/>
          <w:szCs w:val="24"/>
        </w:rPr>
        <w:t>3.2.2</w:t>
      </w:r>
      <w:r w:rsidRPr="00E27197">
        <w:rPr>
          <w:rFonts w:ascii="Arial" w:hAnsi="Arial" w:cs="Arial"/>
          <w:sz w:val="24"/>
          <w:szCs w:val="24"/>
        </w:rPr>
        <w:tab/>
      </w:r>
      <w:r w:rsidR="00E41A3E" w:rsidRPr="00E27197">
        <w:rPr>
          <w:rFonts w:ascii="Arial" w:hAnsi="Arial" w:cs="Arial"/>
          <w:sz w:val="24"/>
          <w:szCs w:val="24"/>
        </w:rPr>
        <w:t xml:space="preserve">Directing the Master to submit the Bank to interrogation in terms of the provisions of </w:t>
      </w:r>
      <w:r w:rsidR="00E41A3E" w:rsidRPr="007634FA">
        <w:rPr>
          <w:rFonts w:ascii="Arial" w:hAnsi="Arial" w:cs="Arial"/>
          <w:b/>
          <w:i/>
          <w:sz w:val="24"/>
          <w:szCs w:val="24"/>
        </w:rPr>
        <w:t>Section 44(7)</w:t>
      </w:r>
      <w:r w:rsidR="00E41A3E" w:rsidRPr="00E27197">
        <w:rPr>
          <w:rFonts w:ascii="Arial" w:hAnsi="Arial" w:cs="Arial"/>
          <w:sz w:val="24"/>
          <w:szCs w:val="24"/>
        </w:rPr>
        <w:t xml:space="preserve"> of the Insolvency Act.</w:t>
      </w:r>
    </w:p>
    <w:p w:rsidR="0062551B" w:rsidRPr="00E27197" w:rsidRDefault="0062551B" w:rsidP="00E27197">
      <w:pPr>
        <w:spacing w:line="360" w:lineRule="auto"/>
        <w:ind w:left="900" w:hanging="720"/>
        <w:jc w:val="both"/>
        <w:rPr>
          <w:rFonts w:ascii="Arial" w:hAnsi="Arial" w:cs="Arial"/>
          <w:sz w:val="24"/>
          <w:szCs w:val="24"/>
        </w:rPr>
      </w:pPr>
    </w:p>
    <w:p w:rsidR="0062551B" w:rsidRPr="00E27197" w:rsidRDefault="00426C31" w:rsidP="00E27197">
      <w:pPr>
        <w:spacing w:line="360" w:lineRule="auto"/>
        <w:ind w:left="900" w:hanging="720"/>
        <w:jc w:val="both"/>
        <w:rPr>
          <w:rFonts w:ascii="Arial" w:hAnsi="Arial" w:cs="Arial"/>
          <w:sz w:val="24"/>
          <w:szCs w:val="24"/>
        </w:rPr>
      </w:pPr>
      <w:r w:rsidRPr="00E27197">
        <w:rPr>
          <w:rFonts w:ascii="Arial" w:hAnsi="Arial" w:cs="Arial"/>
          <w:sz w:val="24"/>
          <w:szCs w:val="24"/>
        </w:rPr>
        <w:t>4.</w:t>
      </w:r>
      <w:r w:rsidRPr="00E27197">
        <w:rPr>
          <w:rFonts w:ascii="Arial" w:hAnsi="Arial" w:cs="Arial"/>
          <w:sz w:val="24"/>
          <w:szCs w:val="24"/>
        </w:rPr>
        <w:tab/>
      </w:r>
      <w:r w:rsidR="00E41A3E" w:rsidRPr="00E27197">
        <w:rPr>
          <w:rFonts w:ascii="Arial" w:hAnsi="Arial" w:cs="Arial"/>
          <w:sz w:val="24"/>
          <w:szCs w:val="24"/>
        </w:rPr>
        <w:t xml:space="preserve">I was informed </w:t>
      </w:r>
      <w:r w:rsidR="00076A5F" w:rsidRPr="00E27197">
        <w:rPr>
          <w:rFonts w:ascii="Arial" w:hAnsi="Arial" w:cs="Arial"/>
          <w:sz w:val="24"/>
          <w:szCs w:val="24"/>
        </w:rPr>
        <w:t xml:space="preserve">by the representatives of both parties to the Security Application </w:t>
      </w:r>
      <w:r w:rsidR="00E41A3E" w:rsidRPr="00E27197">
        <w:rPr>
          <w:rFonts w:ascii="Arial" w:hAnsi="Arial" w:cs="Arial"/>
          <w:sz w:val="24"/>
          <w:szCs w:val="24"/>
        </w:rPr>
        <w:t>that t</w:t>
      </w:r>
      <w:r w:rsidR="0062551B" w:rsidRPr="00E27197">
        <w:rPr>
          <w:rFonts w:ascii="Arial" w:hAnsi="Arial" w:cs="Arial"/>
          <w:sz w:val="24"/>
          <w:szCs w:val="24"/>
        </w:rPr>
        <w:t xml:space="preserve">he Main Application is </w:t>
      </w:r>
      <w:r w:rsidR="00E41A3E" w:rsidRPr="00E27197">
        <w:rPr>
          <w:rFonts w:ascii="Arial" w:hAnsi="Arial" w:cs="Arial"/>
          <w:sz w:val="24"/>
          <w:szCs w:val="24"/>
        </w:rPr>
        <w:t xml:space="preserve">still </w:t>
      </w:r>
      <w:r w:rsidR="0062551B" w:rsidRPr="00E27197">
        <w:rPr>
          <w:rFonts w:ascii="Arial" w:hAnsi="Arial" w:cs="Arial"/>
          <w:sz w:val="24"/>
          <w:szCs w:val="24"/>
        </w:rPr>
        <w:t>pending and, importantly for purposes hereof, is not yet ripe for hearing, alternatively has not been enrolled for argument and hearing as of yet.</w:t>
      </w:r>
    </w:p>
    <w:p w:rsidR="00C151A4" w:rsidRPr="00E27197" w:rsidRDefault="00C151A4" w:rsidP="00E27197">
      <w:pPr>
        <w:spacing w:line="360" w:lineRule="auto"/>
        <w:ind w:left="900" w:hanging="720"/>
        <w:jc w:val="both"/>
        <w:rPr>
          <w:rFonts w:ascii="Arial" w:hAnsi="Arial" w:cs="Arial"/>
          <w:sz w:val="24"/>
          <w:szCs w:val="24"/>
        </w:rPr>
      </w:pPr>
    </w:p>
    <w:p w:rsidR="00E5201C" w:rsidRPr="00E27197" w:rsidRDefault="00426C31" w:rsidP="00E27197">
      <w:pPr>
        <w:spacing w:line="360" w:lineRule="auto"/>
        <w:ind w:left="900" w:hanging="720"/>
        <w:jc w:val="both"/>
        <w:rPr>
          <w:rFonts w:ascii="Arial" w:hAnsi="Arial" w:cs="Arial"/>
          <w:sz w:val="24"/>
          <w:szCs w:val="24"/>
        </w:rPr>
      </w:pPr>
      <w:r w:rsidRPr="00E27197">
        <w:rPr>
          <w:rFonts w:ascii="Arial" w:hAnsi="Arial" w:cs="Arial"/>
          <w:sz w:val="24"/>
          <w:szCs w:val="24"/>
        </w:rPr>
        <w:t>5.</w:t>
      </w:r>
      <w:r w:rsidRPr="00E27197">
        <w:rPr>
          <w:rFonts w:ascii="Arial" w:hAnsi="Arial" w:cs="Arial"/>
          <w:sz w:val="24"/>
          <w:szCs w:val="24"/>
        </w:rPr>
        <w:tab/>
      </w:r>
      <w:r w:rsidR="00C151A4" w:rsidRPr="00E27197">
        <w:rPr>
          <w:rFonts w:ascii="Arial" w:hAnsi="Arial" w:cs="Arial"/>
          <w:sz w:val="24"/>
          <w:szCs w:val="24"/>
        </w:rPr>
        <w:t xml:space="preserve">In his Answering Affidavit in this Security Application, Van Der Ryst raised the issue of urgency as a point </w:t>
      </w:r>
      <w:r w:rsidR="00C151A4" w:rsidRPr="00E27197">
        <w:rPr>
          <w:rFonts w:ascii="Arial" w:hAnsi="Arial" w:cs="Arial"/>
          <w:i/>
          <w:sz w:val="24"/>
          <w:szCs w:val="24"/>
        </w:rPr>
        <w:t>in limine</w:t>
      </w:r>
      <w:r w:rsidR="00C151A4" w:rsidRPr="00E27197">
        <w:rPr>
          <w:rFonts w:ascii="Arial" w:hAnsi="Arial" w:cs="Arial"/>
          <w:sz w:val="24"/>
          <w:szCs w:val="24"/>
        </w:rPr>
        <w:t xml:space="preserve"> averring that the Security Application was not urgent as any urgency that might </w:t>
      </w:r>
      <w:r w:rsidR="004C6009" w:rsidRPr="00E27197">
        <w:rPr>
          <w:rFonts w:ascii="Arial" w:hAnsi="Arial" w:cs="Arial"/>
          <w:sz w:val="24"/>
          <w:szCs w:val="24"/>
        </w:rPr>
        <w:t>have existed</w:t>
      </w:r>
      <w:r w:rsidR="00C151A4" w:rsidRPr="00E27197">
        <w:rPr>
          <w:rFonts w:ascii="Arial" w:hAnsi="Arial" w:cs="Arial"/>
          <w:sz w:val="24"/>
          <w:szCs w:val="24"/>
        </w:rPr>
        <w:t xml:space="preserve">, was self-created and I was consequently required to hear argument on the issue of urgency and to determine the said point </w:t>
      </w:r>
      <w:r w:rsidR="00C151A4" w:rsidRPr="00E27197">
        <w:rPr>
          <w:rFonts w:ascii="Arial" w:hAnsi="Arial" w:cs="Arial"/>
          <w:i/>
          <w:sz w:val="24"/>
          <w:szCs w:val="24"/>
        </w:rPr>
        <w:t>in limine</w:t>
      </w:r>
      <w:r w:rsidR="007C1B2E">
        <w:rPr>
          <w:rFonts w:ascii="Arial" w:hAnsi="Arial" w:cs="Arial"/>
          <w:sz w:val="24"/>
          <w:szCs w:val="24"/>
        </w:rPr>
        <w:t xml:space="preserve"> before dealing with the merits of the Security Application.</w:t>
      </w:r>
    </w:p>
    <w:p w:rsidR="00C90B47" w:rsidRPr="00E27197" w:rsidRDefault="006D095B" w:rsidP="00E27197">
      <w:pPr>
        <w:tabs>
          <w:tab w:val="left" w:pos="1440"/>
        </w:tabs>
        <w:spacing w:line="360" w:lineRule="auto"/>
        <w:jc w:val="both"/>
        <w:rPr>
          <w:rFonts w:ascii="Arial" w:hAnsi="Arial" w:cs="Arial"/>
          <w:sz w:val="24"/>
          <w:szCs w:val="24"/>
        </w:rPr>
      </w:pPr>
      <w:r w:rsidRPr="00E27197">
        <w:rPr>
          <w:rFonts w:ascii="Arial" w:hAnsi="Arial" w:cs="Arial"/>
          <w:sz w:val="24"/>
          <w:szCs w:val="24"/>
        </w:rPr>
        <w:lastRenderedPageBreak/>
        <w:tab/>
      </w:r>
    </w:p>
    <w:p w:rsidR="00C90B47" w:rsidRPr="00E27197" w:rsidRDefault="00C90B47" w:rsidP="00E27197">
      <w:pPr>
        <w:spacing w:line="360" w:lineRule="auto"/>
        <w:jc w:val="both"/>
        <w:rPr>
          <w:rFonts w:ascii="Arial" w:hAnsi="Arial" w:cs="Arial"/>
          <w:b/>
          <w:sz w:val="24"/>
          <w:szCs w:val="24"/>
        </w:rPr>
      </w:pPr>
      <w:r w:rsidRPr="00E27197">
        <w:rPr>
          <w:rFonts w:ascii="Arial" w:hAnsi="Arial" w:cs="Arial"/>
          <w:b/>
          <w:sz w:val="24"/>
          <w:szCs w:val="24"/>
          <w:u w:val="single"/>
        </w:rPr>
        <w:t>AD URGENCY</w:t>
      </w:r>
      <w:r w:rsidRPr="00E27197">
        <w:rPr>
          <w:rFonts w:ascii="Arial" w:hAnsi="Arial" w:cs="Arial"/>
          <w:b/>
          <w:sz w:val="24"/>
          <w:szCs w:val="24"/>
        </w:rPr>
        <w:t>:</w:t>
      </w:r>
    </w:p>
    <w:p w:rsidR="00C90B47" w:rsidRPr="00E27197" w:rsidRDefault="00C90B47" w:rsidP="00E27197">
      <w:pPr>
        <w:spacing w:line="360" w:lineRule="auto"/>
        <w:ind w:left="900" w:hanging="720"/>
        <w:jc w:val="both"/>
        <w:rPr>
          <w:rFonts w:ascii="Arial" w:hAnsi="Arial" w:cs="Arial"/>
          <w:b/>
          <w:sz w:val="24"/>
          <w:szCs w:val="24"/>
        </w:rPr>
      </w:pPr>
    </w:p>
    <w:p w:rsidR="00C90B47" w:rsidRPr="00E27197" w:rsidRDefault="00CB2903" w:rsidP="00E27197">
      <w:pPr>
        <w:spacing w:line="360" w:lineRule="auto"/>
        <w:ind w:left="900" w:hanging="720"/>
        <w:jc w:val="both"/>
        <w:rPr>
          <w:rFonts w:ascii="Arial" w:hAnsi="Arial" w:cs="Arial"/>
          <w:sz w:val="24"/>
          <w:szCs w:val="24"/>
        </w:rPr>
      </w:pPr>
      <w:r w:rsidRPr="00E27197">
        <w:rPr>
          <w:rFonts w:ascii="Arial" w:hAnsi="Arial" w:cs="Arial"/>
          <w:sz w:val="24"/>
          <w:szCs w:val="24"/>
        </w:rPr>
        <w:t>6.</w:t>
      </w:r>
      <w:r w:rsidRPr="00E27197">
        <w:rPr>
          <w:rFonts w:ascii="Arial" w:hAnsi="Arial" w:cs="Arial"/>
          <w:sz w:val="24"/>
          <w:szCs w:val="24"/>
        </w:rPr>
        <w:tab/>
      </w:r>
      <w:r w:rsidR="00C90B47" w:rsidRPr="00E27197">
        <w:rPr>
          <w:rFonts w:ascii="Arial" w:hAnsi="Arial" w:cs="Arial"/>
          <w:sz w:val="24"/>
          <w:szCs w:val="24"/>
        </w:rPr>
        <w:t xml:space="preserve">It is common cause and warrants very little </w:t>
      </w:r>
      <w:r w:rsidRPr="00E27197">
        <w:rPr>
          <w:rFonts w:ascii="Arial" w:hAnsi="Arial" w:cs="Arial"/>
          <w:sz w:val="24"/>
          <w:szCs w:val="24"/>
        </w:rPr>
        <w:t>discussion</w:t>
      </w:r>
      <w:r w:rsidR="00C90B47" w:rsidRPr="00E27197">
        <w:rPr>
          <w:rFonts w:ascii="Arial" w:hAnsi="Arial" w:cs="Arial"/>
          <w:sz w:val="24"/>
          <w:szCs w:val="24"/>
        </w:rPr>
        <w:t xml:space="preserve"> that it is expected of any Applicant to make out a case for the relief sought by such Applicant in such Applicant’s Founding Affidavit.</w:t>
      </w:r>
      <w:r w:rsidR="004B3176" w:rsidRPr="00E27197">
        <w:rPr>
          <w:rStyle w:val="FootnoteReference"/>
          <w:rFonts w:ascii="Arial" w:hAnsi="Arial" w:cs="Arial"/>
          <w:sz w:val="24"/>
          <w:szCs w:val="24"/>
        </w:rPr>
        <w:footnoteReference w:id="3"/>
      </w:r>
    </w:p>
    <w:p w:rsidR="00E64912" w:rsidRPr="00E27197" w:rsidRDefault="00E64912" w:rsidP="00E27197">
      <w:pPr>
        <w:spacing w:line="360" w:lineRule="auto"/>
        <w:ind w:left="900" w:hanging="720"/>
        <w:jc w:val="both"/>
        <w:rPr>
          <w:rFonts w:ascii="Arial" w:hAnsi="Arial" w:cs="Arial"/>
          <w:sz w:val="24"/>
          <w:szCs w:val="24"/>
        </w:rPr>
      </w:pPr>
    </w:p>
    <w:p w:rsidR="00E64912" w:rsidRPr="00E27197" w:rsidRDefault="00CB2903" w:rsidP="00E27197">
      <w:pPr>
        <w:spacing w:line="360" w:lineRule="auto"/>
        <w:ind w:left="900" w:hanging="720"/>
        <w:jc w:val="both"/>
        <w:rPr>
          <w:rFonts w:ascii="Arial" w:hAnsi="Arial" w:cs="Arial"/>
          <w:sz w:val="24"/>
          <w:szCs w:val="24"/>
        </w:rPr>
      </w:pPr>
      <w:r w:rsidRPr="00E27197">
        <w:rPr>
          <w:rFonts w:ascii="Arial" w:hAnsi="Arial" w:cs="Arial"/>
          <w:sz w:val="24"/>
          <w:szCs w:val="24"/>
        </w:rPr>
        <w:t>7.</w:t>
      </w:r>
      <w:r w:rsidRPr="00E27197">
        <w:rPr>
          <w:rFonts w:ascii="Arial" w:hAnsi="Arial" w:cs="Arial"/>
          <w:sz w:val="24"/>
          <w:szCs w:val="24"/>
        </w:rPr>
        <w:tab/>
      </w:r>
      <w:r w:rsidR="00E64912" w:rsidRPr="00E27197">
        <w:rPr>
          <w:rFonts w:ascii="Arial" w:hAnsi="Arial" w:cs="Arial"/>
          <w:sz w:val="24"/>
          <w:szCs w:val="24"/>
        </w:rPr>
        <w:t>The above holds equally true in the case of applications brought on an urgent basis</w:t>
      </w:r>
      <w:r w:rsidR="00652EFA" w:rsidRPr="00E27197">
        <w:rPr>
          <w:rFonts w:ascii="Arial" w:hAnsi="Arial" w:cs="Arial"/>
          <w:sz w:val="24"/>
          <w:szCs w:val="24"/>
        </w:rPr>
        <w:t xml:space="preserve"> where the Uniform Rules of Court (herein after only referred to as “</w:t>
      </w:r>
      <w:r w:rsidR="00652EFA" w:rsidRPr="00E27197">
        <w:rPr>
          <w:rFonts w:ascii="Arial" w:hAnsi="Arial" w:cs="Arial"/>
          <w:i/>
          <w:sz w:val="24"/>
          <w:szCs w:val="24"/>
        </w:rPr>
        <w:t>the Rules</w:t>
      </w:r>
      <w:r w:rsidR="00252CFE">
        <w:rPr>
          <w:rFonts w:ascii="Arial" w:hAnsi="Arial" w:cs="Arial"/>
          <w:sz w:val="24"/>
          <w:szCs w:val="24"/>
        </w:rPr>
        <w:t>”) provide</w:t>
      </w:r>
      <w:r w:rsidR="00652EFA" w:rsidRPr="00E27197">
        <w:rPr>
          <w:rFonts w:ascii="Arial" w:hAnsi="Arial" w:cs="Arial"/>
          <w:sz w:val="24"/>
          <w:szCs w:val="24"/>
        </w:rPr>
        <w:t xml:space="preserve"> that in every application brought on an urgent basis, an Applicant, in his/her Founding Affidavit “</w:t>
      </w:r>
      <w:r w:rsidR="00652EFA" w:rsidRPr="00E27197">
        <w:rPr>
          <w:rFonts w:ascii="Arial" w:hAnsi="Arial" w:cs="Arial"/>
          <w:i/>
          <w:sz w:val="24"/>
          <w:szCs w:val="24"/>
        </w:rPr>
        <w:t>… must set forth explicitly the circumstances which is averred render the matter urgent and the reasons why the applicant claims that applicant could not be afforded substantial redress at a hearing in due course.</w:t>
      </w:r>
      <w:r w:rsidR="00652EFA" w:rsidRPr="00E27197">
        <w:rPr>
          <w:rFonts w:ascii="Arial" w:hAnsi="Arial" w:cs="Arial"/>
          <w:sz w:val="24"/>
          <w:szCs w:val="24"/>
        </w:rPr>
        <w:t>”</w:t>
      </w:r>
      <w:r w:rsidR="000271A5" w:rsidRPr="00E27197">
        <w:rPr>
          <w:rStyle w:val="FootnoteReference"/>
          <w:rFonts w:ascii="Arial" w:hAnsi="Arial" w:cs="Arial"/>
          <w:sz w:val="24"/>
          <w:szCs w:val="24"/>
        </w:rPr>
        <w:footnoteReference w:id="4"/>
      </w:r>
    </w:p>
    <w:p w:rsidR="000271A5" w:rsidRPr="00E27197" w:rsidRDefault="000271A5" w:rsidP="00E27197">
      <w:pPr>
        <w:spacing w:line="360" w:lineRule="auto"/>
        <w:ind w:left="900" w:hanging="720"/>
        <w:jc w:val="both"/>
        <w:rPr>
          <w:rFonts w:ascii="Arial" w:hAnsi="Arial" w:cs="Arial"/>
          <w:sz w:val="24"/>
          <w:szCs w:val="24"/>
        </w:rPr>
      </w:pPr>
    </w:p>
    <w:p w:rsidR="000271A5" w:rsidRPr="00E27197" w:rsidRDefault="00CB2903" w:rsidP="00E27197">
      <w:pPr>
        <w:spacing w:line="360" w:lineRule="auto"/>
        <w:ind w:left="900" w:hanging="720"/>
        <w:jc w:val="both"/>
        <w:rPr>
          <w:rFonts w:ascii="Arial" w:hAnsi="Arial" w:cs="Arial"/>
          <w:sz w:val="24"/>
          <w:szCs w:val="24"/>
        </w:rPr>
      </w:pPr>
      <w:r w:rsidRPr="00E27197">
        <w:rPr>
          <w:rFonts w:ascii="Arial" w:hAnsi="Arial" w:cs="Arial"/>
          <w:sz w:val="24"/>
          <w:szCs w:val="24"/>
        </w:rPr>
        <w:t>8.</w:t>
      </w:r>
      <w:r w:rsidRPr="00E27197">
        <w:rPr>
          <w:rFonts w:ascii="Arial" w:hAnsi="Arial" w:cs="Arial"/>
          <w:sz w:val="24"/>
          <w:szCs w:val="24"/>
        </w:rPr>
        <w:tab/>
      </w:r>
      <w:r w:rsidR="000271A5" w:rsidRPr="00E27197">
        <w:rPr>
          <w:rFonts w:ascii="Arial" w:hAnsi="Arial" w:cs="Arial"/>
          <w:sz w:val="24"/>
          <w:szCs w:val="24"/>
        </w:rPr>
        <w:t>Mr. Zietsman SC who appeared on behalf of the Trustees in the Security Application impressed on this Court that the Security Application was brought on a semi-urgent basis</w:t>
      </w:r>
      <w:r w:rsidR="00C40FED" w:rsidRPr="00E27197">
        <w:rPr>
          <w:rFonts w:ascii="Arial" w:hAnsi="Arial" w:cs="Arial"/>
          <w:sz w:val="24"/>
          <w:szCs w:val="24"/>
        </w:rPr>
        <w:t xml:space="preserve"> only</w:t>
      </w:r>
      <w:r w:rsidR="00B14A67" w:rsidRPr="00E27197">
        <w:rPr>
          <w:rFonts w:ascii="Arial" w:hAnsi="Arial" w:cs="Arial"/>
          <w:sz w:val="24"/>
          <w:szCs w:val="24"/>
        </w:rPr>
        <w:t>.</w:t>
      </w:r>
    </w:p>
    <w:p w:rsidR="005932D3" w:rsidRPr="00E27197" w:rsidRDefault="005932D3" w:rsidP="00E27197">
      <w:pPr>
        <w:spacing w:line="360" w:lineRule="auto"/>
        <w:ind w:left="900" w:hanging="720"/>
        <w:jc w:val="both"/>
        <w:rPr>
          <w:rFonts w:ascii="Arial" w:hAnsi="Arial" w:cs="Arial"/>
          <w:sz w:val="24"/>
          <w:szCs w:val="24"/>
        </w:rPr>
      </w:pPr>
    </w:p>
    <w:p w:rsidR="005932D3" w:rsidRDefault="005932D3" w:rsidP="00E27197">
      <w:pPr>
        <w:spacing w:line="360" w:lineRule="auto"/>
        <w:ind w:left="900"/>
        <w:jc w:val="both"/>
        <w:rPr>
          <w:rFonts w:ascii="Arial" w:hAnsi="Arial" w:cs="Arial"/>
          <w:sz w:val="24"/>
          <w:szCs w:val="24"/>
        </w:rPr>
      </w:pPr>
      <w:r w:rsidRPr="00E27197">
        <w:rPr>
          <w:rFonts w:ascii="Arial" w:hAnsi="Arial" w:cs="Arial"/>
          <w:sz w:val="24"/>
          <w:szCs w:val="24"/>
        </w:rPr>
        <w:t xml:space="preserve">I hold the view however that even semi-urgent applications should still be measured against the requirements of the above </w:t>
      </w:r>
      <w:r w:rsidRPr="00E27197">
        <w:rPr>
          <w:rFonts w:ascii="Arial" w:hAnsi="Arial" w:cs="Arial"/>
          <w:b/>
          <w:i/>
          <w:sz w:val="24"/>
          <w:szCs w:val="24"/>
        </w:rPr>
        <w:t xml:space="preserve">Rule 6(12) </w:t>
      </w:r>
      <w:r w:rsidRPr="00E27197">
        <w:rPr>
          <w:rFonts w:ascii="Arial" w:hAnsi="Arial" w:cs="Arial"/>
          <w:sz w:val="24"/>
          <w:szCs w:val="24"/>
        </w:rPr>
        <w:t>of the Rules and that an Applicant in a semi-urgent application is still expected to make out a case for urgency and</w:t>
      </w:r>
      <w:r w:rsidR="00216030">
        <w:rPr>
          <w:rFonts w:ascii="Arial" w:hAnsi="Arial" w:cs="Arial"/>
          <w:sz w:val="24"/>
          <w:szCs w:val="24"/>
        </w:rPr>
        <w:t xml:space="preserve"> to </w:t>
      </w:r>
      <w:r w:rsidRPr="00E27197">
        <w:rPr>
          <w:rFonts w:ascii="Arial" w:hAnsi="Arial" w:cs="Arial"/>
          <w:sz w:val="24"/>
          <w:szCs w:val="24"/>
        </w:rPr>
        <w:t>indicate why he/she will not be able to obtain substantial redress in due course.</w:t>
      </w:r>
    </w:p>
    <w:p w:rsidR="00E21E39" w:rsidRPr="00E27197" w:rsidRDefault="00E21E39" w:rsidP="00E27197">
      <w:pPr>
        <w:spacing w:line="360" w:lineRule="auto"/>
        <w:ind w:left="900"/>
        <w:jc w:val="both"/>
        <w:rPr>
          <w:rFonts w:ascii="Arial" w:hAnsi="Arial" w:cs="Arial"/>
          <w:sz w:val="24"/>
          <w:szCs w:val="24"/>
        </w:rPr>
      </w:pPr>
    </w:p>
    <w:p w:rsidR="008B1F13" w:rsidRPr="00E27197" w:rsidRDefault="005932D3" w:rsidP="00E27197">
      <w:pPr>
        <w:spacing w:line="360" w:lineRule="auto"/>
        <w:ind w:left="900" w:hanging="720"/>
        <w:jc w:val="both"/>
        <w:rPr>
          <w:rFonts w:ascii="Arial" w:hAnsi="Arial" w:cs="Arial"/>
          <w:sz w:val="24"/>
          <w:szCs w:val="24"/>
        </w:rPr>
      </w:pPr>
      <w:r w:rsidRPr="00E27197">
        <w:rPr>
          <w:rFonts w:ascii="Arial" w:hAnsi="Arial" w:cs="Arial"/>
          <w:sz w:val="24"/>
          <w:szCs w:val="24"/>
        </w:rPr>
        <w:t>9.</w:t>
      </w:r>
      <w:r w:rsidRPr="00E27197">
        <w:rPr>
          <w:rFonts w:ascii="Arial" w:hAnsi="Arial" w:cs="Arial"/>
          <w:sz w:val="24"/>
          <w:szCs w:val="24"/>
        </w:rPr>
        <w:tab/>
      </w:r>
      <w:r w:rsidR="008B1F13" w:rsidRPr="00E27197">
        <w:rPr>
          <w:rFonts w:ascii="Arial" w:hAnsi="Arial" w:cs="Arial"/>
          <w:sz w:val="24"/>
          <w:szCs w:val="24"/>
        </w:rPr>
        <w:t>In their Founding Affidavit, the Trustees set out the grounds for urgency in paragraph 7 of said Founding Affidavit and avers as follows:</w:t>
      </w:r>
    </w:p>
    <w:p w:rsidR="008B1F13" w:rsidRPr="00E27197" w:rsidRDefault="008B1F13" w:rsidP="00E27197">
      <w:pPr>
        <w:spacing w:line="360" w:lineRule="auto"/>
        <w:ind w:left="1620" w:hanging="720"/>
        <w:jc w:val="both"/>
        <w:rPr>
          <w:rFonts w:ascii="Arial" w:hAnsi="Arial" w:cs="Arial"/>
          <w:sz w:val="24"/>
          <w:szCs w:val="24"/>
        </w:rPr>
      </w:pPr>
    </w:p>
    <w:p w:rsidR="008B1F13" w:rsidRPr="00E27197" w:rsidRDefault="008B1F13" w:rsidP="00E27197">
      <w:pPr>
        <w:spacing w:line="360" w:lineRule="auto"/>
        <w:ind w:left="1620" w:hanging="720"/>
        <w:jc w:val="both"/>
        <w:rPr>
          <w:rFonts w:ascii="Arial" w:hAnsi="Arial" w:cs="Arial"/>
          <w:i/>
          <w:sz w:val="24"/>
          <w:szCs w:val="24"/>
        </w:rPr>
      </w:pPr>
      <w:r w:rsidRPr="00E27197">
        <w:rPr>
          <w:rFonts w:ascii="Arial" w:hAnsi="Arial" w:cs="Arial"/>
          <w:sz w:val="24"/>
          <w:szCs w:val="24"/>
        </w:rPr>
        <w:lastRenderedPageBreak/>
        <w:t>“</w:t>
      </w:r>
      <w:r w:rsidRPr="00E27197">
        <w:rPr>
          <w:rFonts w:ascii="Arial" w:hAnsi="Arial" w:cs="Arial"/>
          <w:i/>
          <w:sz w:val="24"/>
          <w:szCs w:val="24"/>
        </w:rPr>
        <w:t>7.1</w:t>
      </w:r>
      <w:r w:rsidRPr="00E27197">
        <w:rPr>
          <w:rFonts w:ascii="Arial" w:hAnsi="Arial" w:cs="Arial"/>
          <w:i/>
          <w:sz w:val="24"/>
          <w:szCs w:val="24"/>
        </w:rPr>
        <w:tab/>
      </w:r>
      <w:r w:rsidR="00E460CB" w:rsidRPr="00E27197">
        <w:rPr>
          <w:rFonts w:ascii="Arial" w:hAnsi="Arial" w:cs="Arial"/>
          <w:i/>
          <w:sz w:val="24"/>
          <w:szCs w:val="24"/>
        </w:rPr>
        <w:t>This application is urgent in the sense that the Applicant</w:t>
      </w:r>
      <w:r w:rsidR="00E460CB" w:rsidRPr="00E27197">
        <w:rPr>
          <w:rStyle w:val="FootnoteReference"/>
          <w:rFonts w:ascii="Arial" w:hAnsi="Arial" w:cs="Arial"/>
          <w:i/>
          <w:sz w:val="24"/>
          <w:szCs w:val="24"/>
        </w:rPr>
        <w:footnoteReference w:id="5"/>
      </w:r>
      <w:r w:rsidR="00E460CB" w:rsidRPr="00E27197">
        <w:rPr>
          <w:rFonts w:ascii="Arial" w:hAnsi="Arial" w:cs="Arial"/>
          <w:i/>
          <w:sz w:val="24"/>
          <w:szCs w:val="24"/>
        </w:rPr>
        <w:t xml:space="preserve"> should be ordered to put up security as soon as possible. The Applicants</w:t>
      </w:r>
      <w:r w:rsidR="00C04A03" w:rsidRPr="00E27197">
        <w:rPr>
          <w:rFonts w:ascii="Arial" w:hAnsi="Arial" w:cs="Arial"/>
          <w:i/>
          <w:sz w:val="24"/>
          <w:szCs w:val="24"/>
        </w:rPr>
        <w:t xml:space="preserve"> have already disbursed the fees of an attorney and counsel to consult and to prepare opposing affidavits and annexures in the main application, and will in due course have further disbursements in the opposing of the main application.</w:t>
      </w:r>
    </w:p>
    <w:p w:rsidR="00C04A03" w:rsidRPr="00E27197" w:rsidRDefault="00C04A03" w:rsidP="00E27197">
      <w:pPr>
        <w:spacing w:line="360" w:lineRule="auto"/>
        <w:ind w:left="1620" w:hanging="720"/>
        <w:jc w:val="both"/>
        <w:rPr>
          <w:rFonts w:ascii="Arial" w:hAnsi="Arial" w:cs="Arial"/>
          <w:i/>
          <w:sz w:val="24"/>
          <w:szCs w:val="24"/>
        </w:rPr>
      </w:pPr>
    </w:p>
    <w:p w:rsidR="00C04A03" w:rsidRPr="00E27197" w:rsidRDefault="00C04A03" w:rsidP="00E27197">
      <w:pPr>
        <w:spacing w:line="360" w:lineRule="auto"/>
        <w:ind w:left="1620" w:hanging="720"/>
        <w:jc w:val="both"/>
        <w:rPr>
          <w:rFonts w:ascii="Arial" w:hAnsi="Arial" w:cs="Arial"/>
          <w:i/>
          <w:sz w:val="24"/>
          <w:szCs w:val="24"/>
        </w:rPr>
      </w:pPr>
      <w:r w:rsidRPr="00E27197">
        <w:rPr>
          <w:rFonts w:ascii="Arial" w:hAnsi="Arial" w:cs="Arial"/>
          <w:i/>
          <w:sz w:val="24"/>
          <w:szCs w:val="24"/>
        </w:rPr>
        <w:t>7.2</w:t>
      </w:r>
      <w:r w:rsidRPr="00E27197">
        <w:rPr>
          <w:rFonts w:ascii="Arial" w:hAnsi="Arial" w:cs="Arial"/>
          <w:i/>
          <w:sz w:val="24"/>
          <w:szCs w:val="24"/>
        </w:rPr>
        <w:tab/>
        <w:t>… the Honourable Court would note that the Applicants ask the Honourable Court for the necessary condonation to deviate from the normal Rules relating to timeframes for the filing of opposing and replying affidavits.</w:t>
      </w:r>
    </w:p>
    <w:p w:rsidR="00C04A03" w:rsidRPr="00E27197" w:rsidRDefault="00C04A03" w:rsidP="00E27197">
      <w:pPr>
        <w:spacing w:line="360" w:lineRule="auto"/>
        <w:ind w:left="1620" w:hanging="720"/>
        <w:jc w:val="both"/>
        <w:rPr>
          <w:rFonts w:ascii="Arial" w:hAnsi="Arial" w:cs="Arial"/>
          <w:i/>
          <w:sz w:val="24"/>
          <w:szCs w:val="24"/>
        </w:rPr>
      </w:pPr>
    </w:p>
    <w:p w:rsidR="00C04A03" w:rsidRPr="00E27197" w:rsidRDefault="00C04A03" w:rsidP="00E27197">
      <w:pPr>
        <w:spacing w:line="360" w:lineRule="auto"/>
        <w:ind w:left="1620" w:hanging="720"/>
        <w:jc w:val="both"/>
        <w:rPr>
          <w:rFonts w:ascii="Arial" w:hAnsi="Arial" w:cs="Arial"/>
          <w:i/>
          <w:sz w:val="24"/>
          <w:szCs w:val="24"/>
        </w:rPr>
      </w:pPr>
      <w:r w:rsidRPr="00E27197">
        <w:rPr>
          <w:rFonts w:ascii="Arial" w:hAnsi="Arial" w:cs="Arial"/>
          <w:i/>
          <w:sz w:val="24"/>
          <w:szCs w:val="24"/>
        </w:rPr>
        <w:t>7.3</w:t>
      </w:r>
      <w:r w:rsidRPr="00E27197">
        <w:rPr>
          <w:rFonts w:ascii="Arial" w:hAnsi="Arial" w:cs="Arial"/>
          <w:i/>
          <w:sz w:val="24"/>
          <w:szCs w:val="24"/>
        </w:rPr>
        <w:tab/>
        <w:t>The reason being that if the Applicants followed the Rule 6(11) route in the normal course, the Respondent might as well</w:t>
      </w:r>
      <w:r w:rsidR="0090107A" w:rsidRPr="00E27197">
        <w:rPr>
          <w:rFonts w:ascii="Arial" w:hAnsi="Arial" w:cs="Arial"/>
          <w:i/>
          <w:sz w:val="24"/>
          <w:szCs w:val="24"/>
        </w:rPr>
        <w:t xml:space="preserve"> a</w:t>
      </w:r>
      <w:r w:rsidRPr="00E27197">
        <w:rPr>
          <w:rFonts w:ascii="Arial" w:hAnsi="Arial" w:cs="Arial"/>
          <w:i/>
          <w:sz w:val="24"/>
          <w:szCs w:val="24"/>
        </w:rPr>
        <w:t xml:space="preserve"> day or two before the application is heard in the Motion Court, file a notice of opposition and apply for the matter to be postponed in order for him to file the necessary opposing affidavits.</w:t>
      </w:r>
    </w:p>
    <w:p w:rsidR="00C04A03" w:rsidRPr="00E27197" w:rsidRDefault="00C04A03" w:rsidP="00E27197">
      <w:pPr>
        <w:spacing w:line="360" w:lineRule="auto"/>
        <w:ind w:left="1620" w:hanging="720"/>
        <w:jc w:val="both"/>
        <w:rPr>
          <w:rFonts w:ascii="Arial" w:hAnsi="Arial" w:cs="Arial"/>
          <w:i/>
          <w:sz w:val="24"/>
          <w:szCs w:val="24"/>
        </w:rPr>
      </w:pPr>
    </w:p>
    <w:p w:rsidR="00C04A03" w:rsidRPr="00E27197" w:rsidRDefault="00C04A03" w:rsidP="00E27197">
      <w:pPr>
        <w:spacing w:line="360" w:lineRule="auto"/>
        <w:ind w:left="1620" w:hanging="720"/>
        <w:jc w:val="both"/>
        <w:rPr>
          <w:rFonts w:ascii="Arial" w:hAnsi="Arial" w:cs="Arial"/>
          <w:i/>
          <w:sz w:val="24"/>
          <w:szCs w:val="24"/>
        </w:rPr>
      </w:pPr>
      <w:r w:rsidRPr="00E27197">
        <w:rPr>
          <w:rFonts w:ascii="Arial" w:hAnsi="Arial" w:cs="Arial"/>
          <w:i/>
          <w:sz w:val="24"/>
          <w:szCs w:val="24"/>
        </w:rPr>
        <w:t>7.4</w:t>
      </w:r>
      <w:r w:rsidRPr="00E27197">
        <w:rPr>
          <w:rFonts w:ascii="Arial" w:hAnsi="Arial" w:cs="Arial"/>
          <w:i/>
          <w:sz w:val="24"/>
          <w:szCs w:val="24"/>
        </w:rPr>
        <w:tab/>
        <w:t>If an eventual allocation is made to the opposed roll, well knowing how full the rolls are in the Kimberley High Court, another 6-8 months will have to be awaited for a hearing date of only the security application.</w:t>
      </w:r>
    </w:p>
    <w:p w:rsidR="00C04A03" w:rsidRPr="00E27197" w:rsidRDefault="00C04A03" w:rsidP="00E27197">
      <w:pPr>
        <w:spacing w:line="360" w:lineRule="auto"/>
        <w:ind w:left="1620" w:hanging="720"/>
        <w:jc w:val="both"/>
        <w:rPr>
          <w:rFonts w:ascii="Arial" w:hAnsi="Arial" w:cs="Arial"/>
          <w:i/>
          <w:sz w:val="24"/>
          <w:szCs w:val="24"/>
        </w:rPr>
      </w:pPr>
    </w:p>
    <w:p w:rsidR="00C04A03" w:rsidRPr="00E27197" w:rsidRDefault="00C04A03" w:rsidP="00E27197">
      <w:pPr>
        <w:spacing w:line="360" w:lineRule="auto"/>
        <w:ind w:left="1620" w:hanging="720"/>
        <w:jc w:val="both"/>
        <w:rPr>
          <w:rFonts w:ascii="Arial" w:hAnsi="Arial" w:cs="Arial"/>
          <w:sz w:val="24"/>
          <w:szCs w:val="24"/>
        </w:rPr>
      </w:pPr>
      <w:r w:rsidRPr="00E27197">
        <w:rPr>
          <w:rFonts w:ascii="Arial" w:hAnsi="Arial" w:cs="Arial"/>
          <w:i/>
          <w:sz w:val="24"/>
          <w:szCs w:val="24"/>
        </w:rPr>
        <w:t>7.5</w:t>
      </w:r>
      <w:r w:rsidRPr="00E27197">
        <w:rPr>
          <w:rFonts w:ascii="Arial" w:hAnsi="Arial" w:cs="Arial"/>
          <w:i/>
          <w:sz w:val="24"/>
          <w:szCs w:val="24"/>
        </w:rPr>
        <w:tab/>
        <w:t>This will cause the application to set security to become an academic exercise, especially if the Applicant (Respondent herein)</w:t>
      </w:r>
      <w:r w:rsidRPr="00E27197">
        <w:rPr>
          <w:rStyle w:val="FootnoteReference"/>
          <w:rFonts w:ascii="Arial" w:hAnsi="Arial" w:cs="Arial"/>
          <w:i/>
          <w:sz w:val="24"/>
          <w:szCs w:val="24"/>
        </w:rPr>
        <w:footnoteReference w:id="6"/>
      </w:r>
      <w:r w:rsidRPr="00E27197">
        <w:rPr>
          <w:rFonts w:ascii="Arial" w:hAnsi="Arial" w:cs="Arial"/>
          <w:i/>
          <w:sz w:val="24"/>
          <w:szCs w:val="24"/>
        </w:rPr>
        <w:t xml:space="preserve"> is not able to put up security in the process.</w:t>
      </w:r>
      <w:r w:rsidRPr="00E27197">
        <w:rPr>
          <w:rFonts w:ascii="Arial" w:hAnsi="Arial" w:cs="Arial"/>
          <w:sz w:val="24"/>
          <w:szCs w:val="24"/>
        </w:rPr>
        <w:t xml:space="preserve">” (My </w:t>
      </w:r>
      <w:r w:rsidR="006E7AF2" w:rsidRPr="00E27197">
        <w:rPr>
          <w:rFonts w:ascii="Arial" w:hAnsi="Arial" w:cs="Arial"/>
          <w:sz w:val="24"/>
          <w:szCs w:val="24"/>
        </w:rPr>
        <w:t>omissions</w:t>
      </w:r>
      <w:r w:rsidRPr="00E27197">
        <w:rPr>
          <w:rFonts w:ascii="Arial" w:hAnsi="Arial" w:cs="Arial"/>
          <w:sz w:val="24"/>
          <w:szCs w:val="24"/>
        </w:rPr>
        <w:t>)</w:t>
      </w:r>
    </w:p>
    <w:p w:rsidR="006E7AF2" w:rsidRPr="00E27197" w:rsidRDefault="006E7AF2" w:rsidP="00E27197">
      <w:pPr>
        <w:spacing w:line="360" w:lineRule="auto"/>
        <w:ind w:left="900" w:hanging="720"/>
        <w:jc w:val="both"/>
        <w:rPr>
          <w:rFonts w:ascii="Arial" w:hAnsi="Arial" w:cs="Arial"/>
          <w:sz w:val="24"/>
          <w:szCs w:val="24"/>
        </w:rPr>
      </w:pPr>
    </w:p>
    <w:p w:rsidR="00C04A03" w:rsidRPr="00E27197" w:rsidRDefault="00A115B4" w:rsidP="00E27197">
      <w:pPr>
        <w:spacing w:line="360" w:lineRule="auto"/>
        <w:ind w:left="900" w:hanging="720"/>
        <w:jc w:val="both"/>
        <w:rPr>
          <w:rFonts w:ascii="Arial" w:hAnsi="Arial" w:cs="Arial"/>
          <w:sz w:val="24"/>
          <w:szCs w:val="24"/>
        </w:rPr>
      </w:pPr>
      <w:r w:rsidRPr="00E27197">
        <w:rPr>
          <w:rFonts w:ascii="Arial" w:hAnsi="Arial" w:cs="Arial"/>
          <w:sz w:val="24"/>
          <w:szCs w:val="24"/>
        </w:rPr>
        <w:t>10.</w:t>
      </w:r>
      <w:r w:rsidRPr="00E27197">
        <w:rPr>
          <w:rFonts w:ascii="Arial" w:hAnsi="Arial" w:cs="Arial"/>
          <w:sz w:val="24"/>
          <w:szCs w:val="24"/>
        </w:rPr>
        <w:tab/>
      </w:r>
      <w:r w:rsidR="006A5295" w:rsidRPr="00E27197">
        <w:rPr>
          <w:rFonts w:ascii="Arial" w:hAnsi="Arial" w:cs="Arial"/>
          <w:sz w:val="24"/>
          <w:szCs w:val="24"/>
        </w:rPr>
        <w:t>It is clear</w:t>
      </w:r>
      <w:r w:rsidR="00560544" w:rsidRPr="00E27197">
        <w:rPr>
          <w:rFonts w:ascii="Arial" w:hAnsi="Arial" w:cs="Arial"/>
          <w:sz w:val="24"/>
          <w:szCs w:val="24"/>
        </w:rPr>
        <w:t xml:space="preserve"> (</w:t>
      </w:r>
      <w:r w:rsidR="006A5295" w:rsidRPr="00E27197">
        <w:rPr>
          <w:rFonts w:ascii="Arial" w:hAnsi="Arial" w:cs="Arial"/>
          <w:sz w:val="24"/>
          <w:szCs w:val="24"/>
        </w:rPr>
        <w:t xml:space="preserve">in my </w:t>
      </w:r>
      <w:r w:rsidR="00560544" w:rsidRPr="00E27197">
        <w:rPr>
          <w:rFonts w:ascii="Arial" w:hAnsi="Arial" w:cs="Arial"/>
          <w:sz w:val="24"/>
          <w:szCs w:val="24"/>
        </w:rPr>
        <w:t>view) that</w:t>
      </w:r>
      <w:r w:rsidR="006A5295" w:rsidRPr="00E27197">
        <w:rPr>
          <w:rFonts w:ascii="Arial" w:hAnsi="Arial" w:cs="Arial"/>
          <w:sz w:val="24"/>
          <w:szCs w:val="24"/>
        </w:rPr>
        <w:t xml:space="preserve"> t</w:t>
      </w:r>
      <w:r w:rsidR="006E7AF2" w:rsidRPr="00E27197">
        <w:rPr>
          <w:rFonts w:ascii="Arial" w:hAnsi="Arial" w:cs="Arial"/>
          <w:sz w:val="24"/>
          <w:szCs w:val="24"/>
        </w:rPr>
        <w:t xml:space="preserve">he Trustees, based on the contents of </w:t>
      </w:r>
      <w:r w:rsidR="00560544" w:rsidRPr="00E27197">
        <w:rPr>
          <w:rFonts w:ascii="Arial" w:hAnsi="Arial" w:cs="Arial"/>
          <w:sz w:val="24"/>
          <w:szCs w:val="24"/>
        </w:rPr>
        <w:t>their Founding Affidavit, rely</w:t>
      </w:r>
      <w:r w:rsidR="006E7AF2" w:rsidRPr="00E27197">
        <w:rPr>
          <w:rFonts w:ascii="Arial" w:hAnsi="Arial" w:cs="Arial"/>
          <w:sz w:val="24"/>
          <w:szCs w:val="24"/>
        </w:rPr>
        <w:t xml:space="preserve"> primarily on the period of time that it would take for the Security </w:t>
      </w:r>
      <w:r w:rsidR="006E7AF2" w:rsidRPr="00E27197">
        <w:rPr>
          <w:rFonts w:ascii="Arial" w:hAnsi="Arial" w:cs="Arial"/>
          <w:sz w:val="24"/>
          <w:szCs w:val="24"/>
        </w:rPr>
        <w:lastRenderedPageBreak/>
        <w:t xml:space="preserve">Application to be enrolled, argued and determined as grounds for bringing this Security Application on an urgent </w:t>
      </w:r>
      <w:r w:rsidR="00021B76" w:rsidRPr="00E27197">
        <w:rPr>
          <w:rFonts w:ascii="Arial" w:hAnsi="Arial" w:cs="Arial"/>
          <w:sz w:val="24"/>
          <w:szCs w:val="24"/>
        </w:rPr>
        <w:t xml:space="preserve">or at least on a semi-urgent </w:t>
      </w:r>
      <w:r w:rsidR="006E7AF2" w:rsidRPr="00E27197">
        <w:rPr>
          <w:rFonts w:ascii="Arial" w:hAnsi="Arial" w:cs="Arial"/>
          <w:sz w:val="24"/>
          <w:szCs w:val="24"/>
        </w:rPr>
        <w:t>basis.</w:t>
      </w:r>
    </w:p>
    <w:p w:rsidR="00C04A03" w:rsidRPr="00E27197" w:rsidRDefault="00C04A03" w:rsidP="00E27197">
      <w:pPr>
        <w:spacing w:line="360" w:lineRule="auto"/>
        <w:ind w:left="900" w:hanging="720"/>
        <w:jc w:val="both"/>
        <w:rPr>
          <w:rFonts w:ascii="Arial" w:hAnsi="Arial" w:cs="Arial"/>
          <w:sz w:val="24"/>
          <w:szCs w:val="24"/>
        </w:rPr>
      </w:pPr>
    </w:p>
    <w:p w:rsidR="00C04A03" w:rsidRPr="00E27197" w:rsidRDefault="00A115B4" w:rsidP="00E27197">
      <w:pPr>
        <w:spacing w:line="360" w:lineRule="auto"/>
        <w:ind w:left="900" w:hanging="720"/>
        <w:jc w:val="both"/>
        <w:rPr>
          <w:rFonts w:ascii="Arial" w:hAnsi="Arial" w:cs="Arial"/>
          <w:sz w:val="24"/>
          <w:szCs w:val="24"/>
        </w:rPr>
      </w:pPr>
      <w:r w:rsidRPr="00E27197">
        <w:rPr>
          <w:rFonts w:ascii="Arial" w:hAnsi="Arial" w:cs="Arial"/>
          <w:sz w:val="24"/>
          <w:szCs w:val="24"/>
        </w:rPr>
        <w:t>11.</w:t>
      </w:r>
      <w:r w:rsidRPr="00E27197">
        <w:rPr>
          <w:rFonts w:ascii="Arial" w:hAnsi="Arial" w:cs="Arial"/>
          <w:sz w:val="24"/>
          <w:szCs w:val="24"/>
        </w:rPr>
        <w:tab/>
      </w:r>
      <w:r w:rsidR="00C04A03" w:rsidRPr="00E27197">
        <w:rPr>
          <w:rFonts w:ascii="Arial" w:hAnsi="Arial" w:cs="Arial"/>
          <w:sz w:val="24"/>
          <w:szCs w:val="24"/>
        </w:rPr>
        <w:t>In as far as the above-stated paragraphs 7.3 and 7.4 of the Trustees’ Founding Affidavit is concerned, it is common cause that the Security Application had been opposed by Van Der Ryst and also that Answering and Replying Affidavits had been filed.</w:t>
      </w:r>
    </w:p>
    <w:p w:rsidR="0093089F" w:rsidRPr="00E27197" w:rsidRDefault="0093089F" w:rsidP="00E27197">
      <w:pPr>
        <w:spacing w:line="360" w:lineRule="auto"/>
        <w:ind w:left="900" w:hanging="720"/>
        <w:jc w:val="both"/>
        <w:rPr>
          <w:rFonts w:ascii="Arial" w:hAnsi="Arial" w:cs="Arial"/>
          <w:sz w:val="24"/>
          <w:szCs w:val="24"/>
        </w:rPr>
      </w:pPr>
    </w:p>
    <w:p w:rsidR="0093089F" w:rsidRPr="00E27197" w:rsidRDefault="0093089F" w:rsidP="00E27197">
      <w:pPr>
        <w:spacing w:line="360" w:lineRule="auto"/>
        <w:ind w:left="900"/>
        <w:jc w:val="both"/>
        <w:rPr>
          <w:rFonts w:ascii="Arial" w:hAnsi="Arial" w:cs="Arial"/>
          <w:sz w:val="24"/>
          <w:szCs w:val="24"/>
        </w:rPr>
      </w:pPr>
      <w:r w:rsidRPr="00E27197">
        <w:rPr>
          <w:rFonts w:ascii="Arial" w:hAnsi="Arial" w:cs="Arial"/>
          <w:sz w:val="24"/>
          <w:szCs w:val="24"/>
        </w:rPr>
        <w:t xml:space="preserve">The parties were also </w:t>
      </w:r>
      <w:r w:rsidRPr="00E27197">
        <w:rPr>
          <w:rFonts w:ascii="Arial" w:hAnsi="Arial" w:cs="Arial"/>
          <w:i/>
          <w:sz w:val="24"/>
          <w:szCs w:val="24"/>
        </w:rPr>
        <w:t>ad idem</w:t>
      </w:r>
      <w:r w:rsidRPr="00E27197">
        <w:rPr>
          <w:rFonts w:ascii="Arial" w:hAnsi="Arial" w:cs="Arial"/>
          <w:sz w:val="24"/>
          <w:szCs w:val="24"/>
        </w:rPr>
        <w:t xml:space="preserve"> that the Security A</w:t>
      </w:r>
      <w:r w:rsidR="00BB1F86" w:rsidRPr="00E27197">
        <w:rPr>
          <w:rFonts w:ascii="Arial" w:hAnsi="Arial" w:cs="Arial"/>
          <w:sz w:val="24"/>
          <w:szCs w:val="24"/>
        </w:rPr>
        <w:t>pplication was ripe for argument and determination.</w:t>
      </w:r>
    </w:p>
    <w:p w:rsidR="00C04A03" w:rsidRPr="00E27197" w:rsidRDefault="00C04A03" w:rsidP="00E27197">
      <w:pPr>
        <w:spacing w:line="360" w:lineRule="auto"/>
        <w:ind w:left="900" w:hanging="720"/>
        <w:jc w:val="both"/>
        <w:rPr>
          <w:rFonts w:ascii="Arial" w:hAnsi="Arial" w:cs="Arial"/>
          <w:sz w:val="24"/>
          <w:szCs w:val="24"/>
        </w:rPr>
      </w:pPr>
    </w:p>
    <w:p w:rsidR="00C04A03" w:rsidRPr="00E27197" w:rsidRDefault="00BB1F86" w:rsidP="00E27197">
      <w:pPr>
        <w:spacing w:line="360" w:lineRule="auto"/>
        <w:ind w:left="900"/>
        <w:jc w:val="both"/>
        <w:rPr>
          <w:rFonts w:ascii="Arial" w:hAnsi="Arial" w:cs="Arial"/>
          <w:sz w:val="24"/>
          <w:szCs w:val="24"/>
        </w:rPr>
      </w:pPr>
      <w:r w:rsidRPr="00E27197">
        <w:rPr>
          <w:rFonts w:ascii="Arial" w:hAnsi="Arial" w:cs="Arial"/>
          <w:sz w:val="24"/>
          <w:szCs w:val="24"/>
        </w:rPr>
        <w:t>The Trustees’</w:t>
      </w:r>
      <w:r w:rsidR="00C04A03" w:rsidRPr="00E27197">
        <w:rPr>
          <w:rFonts w:ascii="Arial" w:hAnsi="Arial" w:cs="Arial"/>
          <w:sz w:val="24"/>
          <w:szCs w:val="24"/>
        </w:rPr>
        <w:t xml:space="preserve"> argument</w:t>
      </w:r>
      <w:r w:rsidRPr="00E27197">
        <w:rPr>
          <w:rFonts w:ascii="Arial" w:hAnsi="Arial" w:cs="Arial"/>
          <w:sz w:val="24"/>
          <w:szCs w:val="24"/>
        </w:rPr>
        <w:t xml:space="preserve"> in this regard and as set out in the afore-said paragraphs 7.3 and 7.4 of the Founding Affidavit</w:t>
      </w:r>
      <w:r w:rsidR="00C04A03" w:rsidRPr="00E27197">
        <w:rPr>
          <w:rFonts w:ascii="Arial" w:hAnsi="Arial" w:cs="Arial"/>
          <w:sz w:val="24"/>
          <w:szCs w:val="24"/>
        </w:rPr>
        <w:t xml:space="preserve">, in my view, </w:t>
      </w:r>
      <w:r w:rsidR="00A115B4" w:rsidRPr="00E27197">
        <w:rPr>
          <w:rFonts w:ascii="Arial" w:hAnsi="Arial" w:cs="Arial"/>
          <w:sz w:val="24"/>
          <w:szCs w:val="24"/>
        </w:rPr>
        <w:t>has therefore become moot</w:t>
      </w:r>
      <w:r w:rsidR="00C04A03" w:rsidRPr="00E27197">
        <w:rPr>
          <w:rFonts w:ascii="Arial" w:hAnsi="Arial" w:cs="Arial"/>
          <w:sz w:val="24"/>
          <w:szCs w:val="24"/>
        </w:rPr>
        <w:t>.</w:t>
      </w:r>
    </w:p>
    <w:p w:rsidR="004F5FA7" w:rsidRPr="00E27197" w:rsidRDefault="004F5FA7" w:rsidP="00E27197">
      <w:pPr>
        <w:spacing w:line="360" w:lineRule="auto"/>
        <w:ind w:left="900" w:hanging="720"/>
        <w:jc w:val="both"/>
        <w:rPr>
          <w:rFonts w:ascii="Arial" w:hAnsi="Arial" w:cs="Arial"/>
          <w:sz w:val="24"/>
          <w:szCs w:val="24"/>
        </w:rPr>
      </w:pPr>
    </w:p>
    <w:p w:rsidR="004F5FA7" w:rsidRPr="00E27197" w:rsidRDefault="00487988" w:rsidP="00E27197">
      <w:pPr>
        <w:spacing w:line="360" w:lineRule="auto"/>
        <w:ind w:left="900" w:hanging="720"/>
        <w:jc w:val="both"/>
        <w:rPr>
          <w:rFonts w:ascii="Arial" w:hAnsi="Arial" w:cs="Arial"/>
          <w:sz w:val="24"/>
          <w:szCs w:val="24"/>
        </w:rPr>
      </w:pPr>
      <w:r w:rsidRPr="00E27197">
        <w:rPr>
          <w:rFonts w:ascii="Arial" w:hAnsi="Arial" w:cs="Arial"/>
          <w:sz w:val="24"/>
          <w:szCs w:val="24"/>
        </w:rPr>
        <w:t>12.</w:t>
      </w:r>
      <w:r w:rsidRPr="00E27197">
        <w:rPr>
          <w:rFonts w:ascii="Arial" w:hAnsi="Arial" w:cs="Arial"/>
          <w:sz w:val="24"/>
          <w:szCs w:val="24"/>
        </w:rPr>
        <w:tab/>
      </w:r>
      <w:r w:rsidR="004F5FA7" w:rsidRPr="00E27197">
        <w:rPr>
          <w:rFonts w:ascii="Arial" w:hAnsi="Arial" w:cs="Arial"/>
          <w:sz w:val="24"/>
          <w:szCs w:val="24"/>
        </w:rPr>
        <w:t>It is common cause and also appears clearly from the papers in the Security Application that the application itself was brought on 10 October 2023.</w:t>
      </w:r>
    </w:p>
    <w:p w:rsidR="004F5FA7" w:rsidRPr="00E27197" w:rsidRDefault="004F5FA7" w:rsidP="00E27197">
      <w:pPr>
        <w:spacing w:line="360" w:lineRule="auto"/>
        <w:ind w:left="900" w:hanging="720"/>
        <w:jc w:val="both"/>
        <w:rPr>
          <w:rFonts w:ascii="Arial" w:hAnsi="Arial" w:cs="Arial"/>
          <w:sz w:val="24"/>
          <w:szCs w:val="24"/>
        </w:rPr>
      </w:pPr>
    </w:p>
    <w:p w:rsidR="004F5FA7" w:rsidRPr="00E27197" w:rsidRDefault="00487988" w:rsidP="00E27197">
      <w:pPr>
        <w:spacing w:line="360" w:lineRule="auto"/>
        <w:ind w:left="900" w:hanging="720"/>
        <w:jc w:val="both"/>
        <w:rPr>
          <w:rFonts w:ascii="Arial" w:hAnsi="Arial" w:cs="Arial"/>
          <w:sz w:val="24"/>
          <w:szCs w:val="24"/>
        </w:rPr>
      </w:pPr>
      <w:r w:rsidRPr="00E27197">
        <w:rPr>
          <w:rFonts w:ascii="Arial" w:hAnsi="Arial" w:cs="Arial"/>
          <w:sz w:val="24"/>
          <w:szCs w:val="24"/>
        </w:rPr>
        <w:t>13.</w:t>
      </w:r>
      <w:r w:rsidRPr="00E27197">
        <w:rPr>
          <w:rFonts w:ascii="Arial" w:hAnsi="Arial" w:cs="Arial"/>
          <w:sz w:val="24"/>
          <w:szCs w:val="24"/>
        </w:rPr>
        <w:tab/>
      </w:r>
      <w:r w:rsidR="004F5FA7" w:rsidRPr="00E27197">
        <w:rPr>
          <w:rFonts w:ascii="Arial" w:hAnsi="Arial" w:cs="Arial"/>
          <w:sz w:val="24"/>
          <w:szCs w:val="24"/>
        </w:rPr>
        <w:t xml:space="preserve">The salient background events </w:t>
      </w:r>
      <w:r w:rsidR="006344D3">
        <w:rPr>
          <w:rFonts w:ascii="Arial" w:hAnsi="Arial" w:cs="Arial"/>
          <w:sz w:val="24"/>
          <w:szCs w:val="24"/>
        </w:rPr>
        <w:t xml:space="preserve">leading up </w:t>
      </w:r>
      <w:r w:rsidR="004F5FA7" w:rsidRPr="00E27197">
        <w:rPr>
          <w:rFonts w:ascii="Arial" w:hAnsi="Arial" w:cs="Arial"/>
          <w:sz w:val="24"/>
          <w:szCs w:val="24"/>
        </w:rPr>
        <w:t xml:space="preserve">to the lodging of the Security Application </w:t>
      </w:r>
      <w:r w:rsidR="00414486" w:rsidRPr="00E27197">
        <w:rPr>
          <w:rFonts w:ascii="Arial" w:hAnsi="Arial" w:cs="Arial"/>
          <w:sz w:val="24"/>
          <w:szCs w:val="24"/>
        </w:rPr>
        <w:t xml:space="preserve">as it appears from the papers at hand, </w:t>
      </w:r>
      <w:r w:rsidR="004F5FA7" w:rsidRPr="00E27197">
        <w:rPr>
          <w:rFonts w:ascii="Arial" w:hAnsi="Arial" w:cs="Arial"/>
          <w:sz w:val="24"/>
          <w:szCs w:val="24"/>
        </w:rPr>
        <w:t>are as follows:</w:t>
      </w:r>
    </w:p>
    <w:p w:rsidR="001740D9" w:rsidRPr="00E27197" w:rsidRDefault="001740D9" w:rsidP="00E27197">
      <w:pPr>
        <w:spacing w:line="360" w:lineRule="auto"/>
        <w:ind w:left="1620" w:hanging="900"/>
        <w:jc w:val="both"/>
        <w:rPr>
          <w:rFonts w:ascii="Arial" w:hAnsi="Arial" w:cs="Arial"/>
          <w:sz w:val="24"/>
          <w:szCs w:val="24"/>
        </w:rPr>
      </w:pPr>
    </w:p>
    <w:p w:rsidR="001740D9" w:rsidRPr="00E27197" w:rsidRDefault="00487988" w:rsidP="00E27197">
      <w:pPr>
        <w:spacing w:line="360" w:lineRule="auto"/>
        <w:ind w:left="1620" w:hanging="900"/>
        <w:jc w:val="both"/>
        <w:rPr>
          <w:rFonts w:ascii="Arial" w:hAnsi="Arial" w:cs="Arial"/>
          <w:sz w:val="24"/>
          <w:szCs w:val="24"/>
        </w:rPr>
      </w:pPr>
      <w:r w:rsidRPr="00E27197">
        <w:rPr>
          <w:rFonts w:ascii="Arial" w:hAnsi="Arial" w:cs="Arial"/>
          <w:sz w:val="24"/>
          <w:szCs w:val="24"/>
        </w:rPr>
        <w:t>13.1</w:t>
      </w:r>
      <w:r w:rsidRPr="00E27197">
        <w:rPr>
          <w:rFonts w:ascii="Arial" w:hAnsi="Arial" w:cs="Arial"/>
          <w:sz w:val="24"/>
          <w:szCs w:val="24"/>
        </w:rPr>
        <w:tab/>
      </w:r>
      <w:r w:rsidR="006344D3">
        <w:rPr>
          <w:rFonts w:ascii="Arial" w:hAnsi="Arial" w:cs="Arial"/>
          <w:sz w:val="24"/>
          <w:szCs w:val="24"/>
        </w:rPr>
        <w:t>The Main Application wa</w:t>
      </w:r>
      <w:r w:rsidR="001740D9" w:rsidRPr="00E27197">
        <w:rPr>
          <w:rFonts w:ascii="Arial" w:hAnsi="Arial" w:cs="Arial"/>
          <w:sz w:val="24"/>
          <w:szCs w:val="24"/>
        </w:rPr>
        <w:t>s issued on 19 July 2023;</w:t>
      </w:r>
    </w:p>
    <w:p w:rsidR="001740D9" w:rsidRPr="00E27197" w:rsidRDefault="001740D9" w:rsidP="00E27197">
      <w:pPr>
        <w:spacing w:line="360" w:lineRule="auto"/>
        <w:ind w:left="1620" w:hanging="900"/>
        <w:jc w:val="both"/>
        <w:rPr>
          <w:rFonts w:ascii="Arial" w:hAnsi="Arial" w:cs="Arial"/>
          <w:sz w:val="24"/>
          <w:szCs w:val="24"/>
        </w:rPr>
      </w:pPr>
    </w:p>
    <w:p w:rsidR="001740D9" w:rsidRPr="00E27197" w:rsidRDefault="00487988" w:rsidP="00E27197">
      <w:pPr>
        <w:spacing w:line="360" w:lineRule="auto"/>
        <w:ind w:left="1620" w:hanging="900"/>
        <w:jc w:val="both"/>
        <w:rPr>
          <w:rFonts w:ascii="Arial" w:hAnsi="Arial" w:cs="Arial"/>
          <w:sz w:val="24"/>
          <w:szCs w:val="24"/>
        </w:rPr>
      </w:pPr>
      <w:r w:rsidRPr="00E27197">
        <w:rPr>
          <w:rFonts w:ascii="Arial" w:hAnsi="Arial" w:cs="Arial"/>
          <w:sz w:val="24"/>
          <w:szCs w:val="24"/>
        </w:rPr>
        <w:t>13.2</w:t>
      </w:r>
      <w:r w:rsidRPr="00E27197">
        <w:rPr>
          <w:rFonts w:ascii="Arial" w:hAnsi="Arial" w:cs="Arial"/>
          <w:sz w:val="24"/>
          <w:szCs w:val="24"/>
        </w:rPr>
        <w:tab/>
      </w:r>
      <w:r w:rsidR="00180303">
        <w:rPr>
          <w:rFonts w:ascii="Arial" w:hAnsi="Arial" w:cs="Arial"/>
          <w:sz w:val="24"/>
          <w:szCs w:val="24"/>
        </w:rPr>
        <w:t>The Main Application wa</w:t>
      </w:r>
      <w:r w:rsidR="001740D9" w:rsidRPr="00E27197">
        <w:rPr>
          <w:rFonts w:ascii="Arial" w:hAnsi="Arial" w:cs="Arial"/>
          <w:sz w:val="24"/>
          <w:szCs w:val="24"/>
        </w:rPr>
        <w:t>s served on the 1</w:t>
      </w:r>
      <w:r w:rsidR="006344D3">
        <w:rPr>
          <w:rFonts w:ascii="Arial" w:hAnsi="Arial" w:cs="Arial"/>
          <w:sz w:val="24"/>
          <w:szCs w:val="24"/>
          <w:vertAlign w:val="superscript"/>
        </w:rPr>
        <w:t>st</w:t>
      </w:r>
      <w:r w:rsidR="001740D9" w:rsidRPr="00E27197">
        <w:rPr>
          <w:rFonts w:ascii="Arial" w:hAnsi="Arial" w:cs="Arial"/>
          <w:sz w:val="24"/>
          <w:szCs w:val="24"/>
        </w:rPr>
        <w:t xml:space="preserve"> and 2</w:t>
      </w:r>
      <w:r w:rsidR="006344D3">
        <w:rPr>
          <w:rFonts w:ascii="Arial" w:hAnsi="Arial" w:cs="Arial"/>
          <w:sz w:val="24"/>
          <w:szCs w:val="24"/>
          <w:vertAlign w:val="superscript"/>
        </w:rPr>
        <w:t>nd</w:t>
      </w:r>
      <w:r w:rsidR="001740D9" w:rsidRPr="00E27197">
        <w:rPr>
          <w:rFonts w:ascii="Arial" w:hAnsi="Arial" w:cs="Arial"/>
          <w:sz w:val="24"/>
          <w:szCs w:val="24"/>
        </w:rPr>
        <w:t xml:space="preserve"> A</w:t>
      </w:r>
      <w:r w:rsidRPr="00E27197">
        <w:rPr>
          <w:rFonts w:ascii="Arial" w:hAnsi="Arial" w:cs="Arial"/>
          <w:sz w:val="24"/>
          <w:szCs w:val="24"/>
        </w:rPr>
        <w:t>pplicants</w:t>
      </w:r>
      <w:r w:rsidR="001740D9" w:rsidRPr="00E27197">
        <w:rPr>
          <w:rFonts w:ascii="Arial" w:hAnsi="Arial" w:cs="Arial"/>
          <w:sz w:val="24"/>
          <w:szCs w:val="24"/>
        </w:rPr>
        <w:t xml:space="preserve"> in the Security Application by Sheriff on 26 July 2023 and on the 3</w:t>
      </w:r>
      <w:r w:rsidR="00180303">
        <w:rPr>
          <w:rFonts w:ascii="Arial" w:hAnsi="Arial" w:cs="Arial"/>
          <w:sz w:val="24"/>
          <w:szCs w:val="24"/>
          <w:vertAlign w:val="superscript"/>
        </w:rPr>
        <w:t>rd</w:t>
      </w:r>
      <w:r w:rsidRPr="00E27197">
        <w:rPr>
          <w:rFonts w:ascii="Arial" w:hAnsi="Arial" w:cs="Arial"/>
          <w:sz w:val="24"/>
          <w:szCs w:val="24"/>
        </w:rPr>
        <w:t xml:space="preserve"> Applicant</w:t>
      </w:r>
      <w:r w:rsidR="001740D9" w:rsidRPr="00E27197">
        <w:rPr>
          <w:rFonts w:ascii="Arial" w:hAnsi="Arial" w:cs="Arial"/>
          <w:sz w:val="24"/>
          <w:szCs w:val="24"/>
        </w:rPr>
        <w:t xml:space="preserve"> (also by Sheriff) on 21 August 2023;</w:t>
      </w:r>
    </w:p>
    <w:p w:rsidR="001740D9" w:rsidRPr="00E27197" w:rsidRDefault="001740D9" w:rsidP="00E27197">
      <w:pPr>
        <w:spacing w:line="360" w:lineRule="auto"/>
        <w:ind w:left="1620" w:hanging="900"/>
        <w:jc w:val="both"/>
        <w:rPr>
          <w:rFonts w:ascii="Arial" w:hAnsi="Arial" w:cs="Arial"/>
          <w:sz w:val="24"/>
          <w:szCs w:val="24"/>
        </w:rPr>
      </w:pPr>
    </w:p>
    <w:p w:rsidR="001740D9" w:rsidRPr="00E27197" w:rsidRDefault="005F7297" w:rsidP="00E27197">
      <w:pPr>
        <w:spacing w:line="360" w:lineRule="auto"/>
        <w:ind w:left="1620" w:hanging="900"/>
        <w:jc w:val="both"/>
        <w:rPr>
          <w:rFonts w:ascii="Arial" w:hAnsi="Arial" w:cs="Arial"/>
          <w:sz w:val="24"/>
          <w:szCs w:val="24"/>
        </w:rPr>
      </w:pPr>
      <w:r w:rsidRPr="00E27197">
        <w:rPr>
          <w:rFonts w:ascii="Arial" w:hAnsi="Arial" w:cs="Arial"/>
          <w:sz w:val="24"/>
          <w:szCs w:val="24"/>
        </w:rPr>
        <w:t>13.3</w:t>
      </w:r>
      <w:r w:rsidRPr="00E27197">
        <w:rPr>
          <w:rFonts w:ascii="Arial" w:hAnsi="Arial" w:cs="Arial"/>
          <w:sz w:val="24"/>
          <w:szCs w:val="24"/>
        </w:rPr>
        <w:tab/>
      </w:r>
      <w:r w:rsidR="001740D9" w:rsidRPr="00E27197">
        <w:rPr>
          <w:rFonts w:ascii="Arial" w:hAnsi="Arial" w:cs="Arial"/>
          <w:sz w:val="24"/>
          <w:szCs w:val="24"/>
        </w:rPr>
        <w:t xml:space="preserve">The Trustees required Van Der Ryst to furnish the security as prayed for in the Security Application by way of a notice in terms of </w:t>
      </w:r>
      <w:r w:rsidR="001740D9" w:rsidRPr="00E27197">
        <w:rPr>
          <w:rFonts w:ascii="Arial" w:hAnsi="Arial" w:cs="Arial"/>
          <w:b/>
          <w:i/>
          <w:sz w:val="24"/>
          <w:szCs w:val="24"/>
        </w:rPr>
        <w:t>Rule 47(1)</w:t>
      </w:r>
      <w:r w:rsidR="001740D9" w:rsidRPr="00E27197">
        <w:rPr>
          <w:rFonts w:ascii="Arial" w:hAnsi="Arial" w:cs="Arial"/>
          <w:sz w:val="24"/>
          <w:szCs w:val="24"/>
        </w:rPr>
        <w:t xml:space="preserve"> of the Rules dated 22 August 2023 (herein after referred to as “</w:t>
      </w:r>
      <w:r w:rsidR="001740D9" w:rsidRPr="00E27197">
        <w:rPr>
          <w:rFonts w:ascii="Arial" w:hAnsi="Arial" w:cs="Arial"/>
          <w:i/>
          <w:sz w:val="24"/>
          <w:szCs w:val="24"/>
        </w:rPr>
        <w:t>the Security Notice</w:t>
      </w:r>
      <w:r w:rsidR="001740D9" w:rsidRPr="00E27197">
        <w:rPr>
          <w:rFonts w:ascii="Arial" w:hAnsi="Arial" w:cs="Arial"/>
          <w:sz w:val="24"/>
          <w:szCs w:val="24"/>
        </w:rPr>
        <w:t>”);</w:t>
      </w:r>
    </w:p>
    <w:p w:rsidR="001740D9" w:rsidRPr="00E27197" w:rsidRDefault="001740D9" w:rsidP="00E27197">
      <w:pPr>
        <w:spacing w:line="360" w:lineRule="auto"/>
        <w:ind w:left="1620" w:hanging="900"/>
        <w:jc w:val="both"/>
        <w:rPr>
          <w:rFonts w:ascii="Arial" w:hAnsi="Arial" w:cs="Arial"/>
          <w:sz w:val="24"/>
          <w:szCs w:val="24"/>
        </w:rPr>
      </w:pPr>
    </w:p>
    <w:p w:rsidR="001740D9" w:rsidRPr="00E27197" w:rsidRDefault="005F7297" w:rsidP="00E27197">
      <w:pPr>
        <w:spacing w:line="360" w:lineRule="auto"/>
        <w:ind w:left="1620" w:hanging="900"/>
        <w:jc w:val="both"/>
        <w:rPr>
          <w:rFonts w:ascii="Arial" w:hAnsi="Arial" w:cs="Arial"/>
          <w:sz w:val="24"/>
          <w:szCs w:val="24"/>
        </w:rPr>
      </w:pPr>
      <w:r w:rsidRPr="00E27197">
        <w:rPr>
          <w:rFonts w:ascii="Arial" w:hAnsi="Arial" w:cs="Arial"/>
          <w:sz w:val="24"/>
          <w:szCs w:val="24"/>
        </w:rPr>
        <w:lastRenderedPageBreak/>
        <w:t>13.4</w:t>
      </w:r>
      <w:r w:rsidRPr="00E27197">
        <w:rPr>
          <w:rFonts w:ascii="Arial" w:hAnsi="Arial" w:cs="Arial"/>
          <w:sz w:val="24"/>
          <w:szCs w:val="24"/>
        </w:rPr>
        <w:tab/>
      </w:r>
      <w:r w:rsidR="001740D9" w:rsidRPr="00E27197">
        <w:rPr>
          <w:rFonts w:ascii="Arial" w:hAnsi="Arial" w:cs="Arial"/>
          <w:sz w:val="24"/>
          <w:szCs w:val="24"/>
        </w:rPr>
        <w:t xml:space="preserve">The Security Notice was served on the Attorneys for Van Der Ryst on 22 August 2023 and in terms of said Security Notice, Van Der Ryst was afforded 10 (ten) days within which to either provide the necessary security alternatively to indicate whether he refuses to provide the security demanded or </w:t>
      </w:r>
      <w:r w:rsidRPr="00E27197">
        <w:rPr>
          <w:rFonts w:ascii="Arial" w:hAnsi="Arial" w:cs="Arial"/>
          <w:sz w:val="24"/>
          <w:szCs w:val="24"/>
        </w:rPr>
        <w:t xml:space="preserve">whether he </w:t>
      </w:r>
      <w:r w:rsidR="001740D9" w:rsidRPr="00E27197">
        <w:rPr>
          <w:rFonts w:ascii="Arial" w:hAnsi="Arial" w:cs="Arial"/>
          <w:sz w:val="24"/>
          <w:szCs w:val="24"/>
        </w:rPr>
        <w:t>contests his liab</w:t>
      </w:r>
      <w:r w:rsidR="0066088A" w:rsidRPr="00E27197">
        <w:rPr>
          <w:rFonts w:ascii="Arial" w:hAnsi="Arial" w:cs="Arial"/>
          <w:sz w:val="24"/>
          <w:szCs w:val="24"/>
        </w:rPr>
        <w:t>i</w:t>
      </w:r>
      <w:r w:rsidR="001740D9" w:rsidRPr="00E27197">
        <w:rPr>
          <w:rFonts w:ascii="Arial" w:hAnsi="Arial" w:cs="Arial"/>
          <w:sz w:val="24"/>
          <w:szCs w:val="24"/>
        </w:rPr>
        <w:t>lity to</w:t>
      </w:r>
      <w:r w:rsidR="0066088A" w:rsidRPr="00E27197">
        <w:rPr>
          <w:rFonts w:ascii="Arial" w:hAnsi="Arial" w:cs="Arial"/>
          <w:sz w:val="24"/>
          <w:szCs w:val="24"/>
        </w:rPr>
        <w:t xml:space="preserve"> provide said security;</w:t>
      </w:r>
    </w:p>
    <w:p w:rsidR="0066088A" w:rsidRPr="00E27197" w:rsidRDefault="0066088A" w:rsidP="00E27197">
      <w:pPr>
        <w:spacing w:line="360" w:lineRule="auto"/>
        <w:ind w:left="1620" w:hanging="900"/>
        <w:jc w:val="both"/>
        <w:rPr>
          <w:rFonts w:ascii="Arial" w:hAnsi="Arial" w:cs="Arial"/>
          <w:sz w:val="24"/>
          <w:szCs w:val="24"/>
        </w:rPr>
      </w:pPr>
    </w:p>
    <w:p w:rsidR="0066088A" w:rsidRPr="00E27197" w:rsidRDefault="005F7297" w:rsidP="00E27197">
      <w:pPr>
        <w:spacing w:line="360" w:lineRule="auto"/>
        <w:ind w:left="1620" w:hanging="900"/>
        <w:jc w:val="both"/>
        <w:rPr>
          <w:rFonts w:ascii="Arial" w:hAnsi="Arial" w:cs="Arial"/>
          <w:sz w:val="24"/>
          <w:szCs w:val="24"/>
        </w:rPr>
      </w:pPr>
      <w:r w:rsidRPr="00E27197">
        <w:rPr>
          <w:rFonts w:ascii="Arial" w:hAnsi="Arial" w:cs="Arial"/>
          <w:sz w:val="24"/>
          <w:szCs w:val="24"/>
        </w:rPr>
        <w:t>13.5</w:t>
      </w:r>
      <w:r w:rsidRPr="00E27197">
        <w:rPr>
          <w:rFonts w:ascii="Arial" w:hAnsi="Arial" w:cs="Arial"/>
          <w:sz w:val="24"/>
          <w:szCs w:val="24"/>
        </w:rPr>
        <w:tab/>
      </w:r>
      <w:r w:rsidR="0066088A" w:rsidRPr="00E27197">
        <w:rPr>
          <w:rFonts w:ascii="Arial" w:hAnsi="Arial" w:cs="Arial"/>
          <w:sz w:val="24"/>
          <w:szCs w:val="24"/>
        </w:rPr>
        <w:t xml:space="preserve">The afore-said 10(ten) day period lapsed on </w:t>
      </w:r>
      <w:r w:rsidR="00B53F19" w:rsidRPr="00E27197">
        <w:rPr>
          <w:rFonts w:ascii="Arial" w:hAnsi="Arial" w:cs="Arial"/>
          <w:sz w:val="24"/>
          <w:szCs w:val="24"/>
        </w:rPr>
        <w:t>5 September 2023;</w:t>
      </w:r>
    </w:p>
    <w:p w:rsidR="00B53F19" w:rsidRPr="00E27197" w:rsidRDefault="00B53F19" w:rsidP="00E27197">
      <w:pPr>
        <w:spacing w:line="360" w:lineRule="auto"/>
        <w:ind w:left="1620" w:hanging="900"/>
        <w:jc w:val="both"/>
        <w:rPr>
          <w:rFonts w:ascii="Arial" w:hAnsi="Arial" w:cs="Arial"/>
          <w:sz w:val="24"/>
          <w:szCs w:val="24"/>
        </w:rPr>
      </w:pPr>
    </w:p>
    <w:p w:rsidR="00B53F19" w:rsidRPr="00E27197" w:rsidRDefault="005F7297" w:rsidP="00E27197">
      <w:pPr>
        <w:spacing w:line="360" w:lineRule="auto"/>
        <w:ind w:left="1620" w:hanging="900"/>
        <w:jc w:val="both"/>
        <w:rPr>
          <w:rFonts w:ascii="Arial" w:hAnsi="Arial" w:cs="Arial"/>
          <w:sz w:val="24"/>
          <w:szCs w:val="24"/>
        </w:rPr>
      </w:pPr>
      <w:r w:rsidRPr="00E27197">
        <w:rPr>
          <w:rFonts w:ascii="Arial" w:hAnsi="Arial" w:cs="Arial"/>
          <w:sz w:val="24"/>
          <w:szCs w:val="24"/>
        </w:rPr>
        <w:t>13.6</w:t>
      </w:r>
      <w:r w:rsidRPr="00E27197">
        <w:rPr>
          <w:rFonts w:ascii="Arial" w:hAnsi="Arial" w:cs="Arial"/>
          <w:sz w:val="24"/>
          <w:szCs w:val="24"/>
        </w:rPr>
        <w:tab/>
      </w:r>
      <w:r w:rsidR="00B53F19" w:rsidRPr="00E27197">
        <w:rPr>
          <w:rFonts w:ascii="Arial" w:hAnsi="Arial" w:cs="Arial"/>
          <w:sz w:val="24"/>
          <w:szCs w:val="24"/>
        </w:rPr>
        <w:t xml:space="preserve">On 5 September 2023 Van Der Ryst filed and served a notice in terms of </w:t>
      </w:r>
      <w:r w:rsidR="00B53F19" w:rsidRPr="00E27197">
        <w:rPr>
          <w:rFonts w:ascii="Arial" w:hAnsi="Arial" w:cs="Arial"/>
          <w:b/>
          <w:i/>
          <w:sz w:val="24"/>
          <w:szCs w:val="24"/>
        </w:rPr>
        <w:t>Rule 47(3)</w:t>
      </w:r>
      <w:r w:rsidR="00B53F19" w:rsidRPr="00E27197">
        <w:rPr>
          <w:rFonts w:ascii="Arial" w:hAnsi="Arial" w:cs="Arial"/>
          <w:sz w:val="24"/>
          <w:szCs w:val="24"/>
        </w:rPr>
        <w:t xml:space="preserve"> of the Rules in terms whereof he effectively contested his liability to provide security as requested; and</w:t>
      </w:r>
    </w:p>
    <w:p w:rsidR="00B53F19" w:rsidRPr="00E27197" w:rsidRDefault="00B53F19" w:rsidP="00E27197">
      <w:pPr>
        <w:spacing w:line="360" w:lineRule="auto"/>
        <w:ind w:left="1620" w:hanging="900"/>
        <w:jc w:val="both"/>
        <w:rPr>
          <w:rFonts w:ascii="Arial" w:hAnsi="Arial" w:cs="Arial"/>
          <w:sz w:val="24"/>
          <w:szCs w:val="24"/>
        </w:rPr>
      </w:pPr>
    </w:p>
    <w:p w:rsidR="00B53F19" w:rsidRPr="00E27197" w:rsidRDefault="0082416E" w:rsidP="00E27197">
      <w:pPr>
        <w:spacing w:line="360" w:lineRule="auto"/>
        <w:ind w:left="1620" w:hanging="900"/>
        <w:jc w:val="both"/>
        <w:rPr>
          <w:rFonts w:ascii="Arial" w:hAnsi="Arial" w:cs="Arial"/>
          <w:sz w:val="24"/>
          <w:szCs w:val="24"/>
        </w:rPr>
      </w:pPr>
      <w:r w:rsidRPr="00E27197">
        <w:rPr>
          <w:rFonts w:ascii="Arial" w:hAnsi="Arial" w:cs="Arial"/>
          <w:sz w:val="24"/>
          <w:szCs w:val="24"/>
        </w:rPr>
        <w:t>13.7</w:t>
      </w:r>
      <w:r w:rsidRPr="00E27197">
        <w:rPr>
          <w:rFonts w:ascii="Arial" w:hAnsi="Arial" w:cs="Arial"/>
          <w:sz w:val="24"/>
          <w:szCs w:val="24"/>
        </w:rPr>
        <w:tab/>
      </w:r>
      <w:r w:rsidR="00B53F19" w:rsidRPr="00E27197">
        <w:rPr>
          <w:rFonts w:ascii="Arial" w:hAnsi="Arial" w:cs="Arial"/>
          <w:sz w:val="24"/>
          <w:szCs w:val="24"/>
        </w:rPr>
        <w:t>The Trustees’ Answering Affidavit in the Main Application was filed on 4 September 2023 already.</w:t>
      </w:r>
      <w:r w:rsidR="00B53F19" w:rsidRPr="00E27197">
        <w:rPr>
          <w:rStyle w:val="FootnoteReference"/>
          <w:rFonts w:ascii="Arial" w:hAnsi="Arial" w:cs="Arial"/>
          <w:sz w:val="24"/>
          <w:szCs w:val="24"/>
        </w:rPr>
        <w:footnoteReference w:id="7"/>
      </w:r>
    </w:p>
    <w:p w:rsidR="00B53F19" w:rsidRPr="00E27197" w:rsidRDefault="00B53F19" w:rsidP="00E27197">
      <w:pPr>
        <w:spacing w:line="360" w:lineRule="auto"/>
        <w:ind w:left="900" w:hanging="720"/>
        <w:jc w:val="both"/>
        <w:rPr>
          <w:rFonts w:ascii="Arial" w:hAnsi="Arial" w:cs="Arial"/>
          <w:sz w:val="24"/>
          <w:szCs w:val="24"/>
        </w:rPr>
      </w:pPr>
    </w:p>
    <w:p w:rsidR="00B53F19" w:rsidRPr="00E27197" w:rsidRDefault="0082416E" w:rsidP="00E27197">
      <w:pPr>
        <w:spacing w:line="360" w:lineRule="auto"/>
        <w:ind w:left="900" w:hanging="720"/>
        <w:jc w:val="both"/>
        <w:rPr>
          <w:rFonts w:ascii="Arial" w:hAnsi="Arial" w:cs="Arial"/>
          <w:sz w:val="24"/>
          <w:szCs w:val="24"/>
        </w:rPr>
      </w:pPr>
      <w:r w:rsidRPr="00E27197">
        <w:rPr>
          <w:rFonts w:ascii="Arial" w:hAnsi="Arial" w:cs="Arial"/>
          <w:sz w:val="24"/>
          <w:szCs w:val="24"/>
        </w:rPr>
        <w:t>14.</w:t>
      </w:r>
      <w:r w:rsidRPr="00E27197">
        <w:rPr>
          <w:rFonts w:ascii="Arial" w:hAnsi="Arial" w:cs="Arial"/>
          <w:sz w:val="24"/>
          <w:szCs w:val="24"/>
        </w:rPr>
        <w:tab/>
      </w:r>
      <w:r w:rsidR="00B53F19" w:rsidRPr="00E27197">
        <w:rPr>
          <w:rFonts w:ascii="Arial" w:hAnsi="Arial" w:cs="Arial"/>
          <w:b/>
          <w:i/>
          <w:sz w:val="24"/>
          <w:szCs w:val="24"/>
        </w:rPr>
        <w:t>Rule 47(1)</w:t>
      </w:r>
      <w:r w:rsidR="00B53F19" w:rsidRPr="00E27197">
        <w:rPr>
          <w:rFonts w:ascii="Arial" w:hAnsi="Arial" w:cs="Arial"/>
          <w:sz w:val="24"/>
          <w:szCs w:val="24"/>
        </w:rPr>
        <w:t xml:space="preserve"> of the Rules</w:t>
      </w:r>
      <w:r w:rsidR="00915C8F" w:rsidRPr="00E27197">
        <w:rPr>
          <w:rFonts w:ascii="Arial" w:hAnsi="Arial" w:cs="Arial"/>
          <w:sz w:val="24"/>
          <w:szCs w:val="24"/>
        </w:rPr>
        <w:t xml:space="preserve"> provides as follows:</w:t>
      </w:r>
    </w:p>
    <w:p w:rsidR="00612E0B" w:rsidRPr="00E27197" w:rsidRDefault="00612E0B" w:rsidP="00E27197">
      <w:pPr>
        <w:spacing w:line="360" w:lineRule="auto"/>
        <w:ind w:left="900" w:hanging="720"/>
        <w:jc w:val="both"/>
        <w:rPr>
          <w:rFonts w:ascii="Arial" w:hAnsi="Arial" w:cs="Arial"/>
          <w:sz w:val="24"/>
          <w:szCs w:val="24"/>
        </w:rPr>
      </w:pPr>
    </w:p>
    <w:p w:rsidR="00612E0B" w:rsidRPr="00E27197" w:rsidRDefault="00612E0B" w:rsidP="00E27197">
      <w:pPr>
        <w:spacing w:line="360" w:lineRule="auto"/>
        <w:ind w:left="900"/>
        <w:jc w:val="both"/>
        <w:rPr>
          <w:rFonts w:ascii="Arial" w:hAnsi="Arial" w:cs="Arial"/>
          <w:sz w:val="24"/>
          <w:szCs w:val="24"/>
        </w:rPr>
      </w:pPr>
      <w:r w:rsidRPr="00E27197">
        <w:rPr>
          <w:rFonts w:ascii="Arial" w:hAnsi="Arial" w:cs="Arial"/>
          <w:sz w:val="24"/>
          <w:szCs w:val="24"/>
        </w:rPr>
        <w:t>“</w:t>
      </w:r>
      <w:r w:rsidRPr="00E27197">
        <w:rPr>
          <w:rFonts w:ascii="Arial" w:hAnsi="Arial" w:cs="Arial"/>
          <w:i/>
          <w:sz w:val="24"/>
          <w:szCs w:val="24"/>
        </w:rPr>
        <w:t xml:space="preserve">A party … shall, </w:t>
      </w:r>
      <w:r w:rsidRPr="00E27197">
        <w:rPr>
          <w:rFonts w:ascii="Arial" w:hAnsi="Arial" w:cs="Arial"/>
          <w:i/>
          <w:sz w:val="24"/>
          <w:szCs w:val="24"/>
          <w:u w:val="single"/>
        </w:rPr>
        <w:t>as soon as practicable after the commencement of proceedings</w:t>
      </w:r>
      <w:r w:rsidRPr="00E27197">
        <w:rPr>
          <w:rFonts w:ascii="Arial" w:hAnsi="Arial" w:cs="Arial"/>
          <w:i/>
          <w:sz w:val="24"/>
          <w:szCs w:val="24"/>
        </w:rPr>
        <w:t>, deliver a notice setting forth the grounds upon which such security is claimed …</w:t>
      </w:r>
      <w:r w:rsidRPr="00E27197">
        <w:rPr>
          <w:rFonts w:ascii="Arial" w:hAnsi="Arial" w:cs="Arial"/>
          <w:sz w:val="24"/>
          <w:szCs w:val="24"/>
        </w:rPr>
        <w:t>” (My underlining and omissions)</w:t>
      </w:r>
    </w:p>
    <w:p w:rsidR="00612E0B" w:rsidRPr="00E27197" w:rsidRDefault="00612E0B" w:rsidP="00E27197">
      <w:pPr>
        <w:spacing w:line="360" w:lineRule="auto"/>
        <w:ind w:left="900" w:hanging="720"/>
        <w:jc w:val="both"/>
        <w:rPr>
          <w:rFonts w:ascii="Arial" w:hAnsi="Arial" w:cs="Arial"/>
          <w:sz w:val="24"/>
          <w:szCs w:val="24"/>
        </w:rPr>
      </w:pPr>
    </w:p>
    <w:p w:rsidR="00612E0B" w:rsidRDefault="0082416E" w:rsidP="00E27197">
      <w:pPr>
        <w:spacing w:line="360" w:lineRule="auto"/>
        <w:ind w:left="900" w:hanging="720"/>
        <w:jc w:val="both"/>
        <w:rPr>
          <w:rFonts w:ascii="Arial" w:hAnsi="Arial" w:cs="Arial"/>
          <w:sz w:val="24"/>
          <w:szCs w:val="24"/>
        </w:rPr>
      </w:pPr>
      <w:r w:rsidRPr="00E27197">
        <w:rPr>
          <w:rFonts w:ascii="Arial" w:hAnsi="Arial" w:cs="Arial"/>
          <w:sz w:val="24"/>
          <w:szCs w:val="24"/>
        </w:rPr>
        <w:t>15.</w:t>
      </w:r>
      <w:r w:rsidRPr="00E27197">
        <w:rPr>
          <w:rFonts w:ascii="Arial" w:hAnsi="Arial" w:cs="Arial"/>
          <w:sz w:val="24"/>
          <w:szCs w:val="24"/>
        </w:rPr>
        <w:tab/>
      </w:r>
      <w:r w:rsidR="00612E0B" w:rsidRPr="00E27197">
        <w:rPr>
          <w:rFonts w:ascii="Arial" w:hAnsi="Arial" w:cs="Arial"/>
          <w:sz w:val="24"/>
          <w:szCs w:val="24"/>
        </w:rPr>
        <w:t xml:space="preserve">In this instance the Trustees delivered their notice in terms of </w:t>
      </w:r>
      <w:r w:rsidR="00612E0B" w:rsidRPr="00E27197">
        <w:rPr>
          <w:rFonts w:ascii="Arial" w:hAnsi="Arial" w:cs="Arial"/>
          <w:b/>
          <w:i/>
          <w:sz w:val="24"/>
          <w:szCs w:val="24"/>
        </w:rPr>
        <w:t>Rule 47(1)</w:t>
      </w:r>
      <w:r w:rsidR="00612E0B" w:rsidRPr="00E27197">
        <w:rPr>
          <w:rFonts w:ascii="Arial" w:hAnsi="Arial" w:cs="Arial"/>
          <w:sz w:val="24"/>
          <w:szCs w:val="24"/>
        </w:rPr>
        <w:t xml:space="preserve"> almost a month after the Main Application was served on the 1</w:t>
      </w:r>
      <w:r w:rsidR="00362B83">
        <w:rPr>
          <w:rFonts w:ascii="Arial" w:hAnsi="Arial" w:cs="Arial"/>
          <w:sz w:val="24"/>
          <w:szCs w:val="24"/>
          <w:vertAlign w:val="superscript"/>
        </w:rPr>
        <w:t>st</w:t>
      </w:r>
      <w:r w:rsidR="00612E0B" w:rsidRPr="00E27197">
        <w:rPr>
          <w:rFonts w:ascii="Arial" w:hAnsi="Arial" w:cs="Arial"/>
          <w:sz w:val="24"/>
          <w:szCs w:val="24"/>
        </w:rPr>
        <w:t xml:space="preserve"> and 2</w:t>
      </w:r>
      <w:r w:rsidR="00362B83">
        <w:rPr>
          <w:rFonts w:ascii="Arial" w:hAnsi="Arial" w:cs="Arial"/>
          <w:sz w:val="24"/>
          <w:szCs w:val="24"/>
          <w:vertAlign w:val="superscript"/>
        </w:rPr>
        <w:t>nd</w:t>
      </w:r>
      <w:r w:rsidRPr="00E27197">
        <w:rPr>
          <w:rFonts w:ascii="Arial" w:hAnsi="Arial" w:cs="Arial"/>
          <w:sz w:val="24"/>
          <w:szCs w:val="24"/>
        </w:rPr>
        <w:t xml:space="preserve"> Applicants</w:t>
      </w:r>
      <w:r w:rsidR="00612E0B" w:rsidRPr="00E27197">
        <w:rPr>
          <w:rFonts w:ascii="Arial" w:hAnsi="Arial" w:cs="Arial"/>
          <w:sz w:val="24"/>
          <w:szCs w:val="24"/>
        </w:rPr>
        <w:t xml:space="preserve"> in this Security Application which prompted me to pose the question to Mr. Zietsman whether one can </w:t>
      </w:r>
      <w:r w:rsidR="00362B83">
        <w:rPr>
          <w:rFonts w:ascii="Arial" w:hAnsi="Arial" w:cs="Arial"/>
          <w:sz w:val="24"/>
          <w:szCs w:val="24"/>
        </w:rPr>
        <w:t xml:space="preserve">really </w:t>
      </w:r>
      <w:r w:rsidR="00612E0B" w:rsidRPr="00E27197">
        <w:rPr>
          <w:rFonts w:ascii="Arial" w:hAnsi="Arial" w:cs="Arial"/>
          <w:sz w:val="24"/>
          <w:szCs w:val="24"/>
        </w:rPr>
        <w:t xml:space="preserve">say that the </w:t>
      </w:r>
      <w:r w:rsidRPr="00E27197">
        <w:rPr>
          <w:rFonts w:ascii="Arial" w:hAnsi="Arial" w:cs="Arial"/>
          <w:sz w:val="24"/>
          <w:szCs w:val="24"/>
        </w:rPr>
        <w:t xml:space="preserve">Security Notice </w:t>
      </w:r>
      <w:r w:rsidR="00612E0B" w:rsidRPr="00E27197">
        <w:rPr>
          <w:rFonts w:ascii="Arial" w:hAnsi="Arial" w:cs="Arial"/>
          <w:sz w:val="24"/>
          <w:szCs w:val="24"/>
        </w:rPr>
        <w:t>was delivered as soon as practicable after the institution of the Main Application.</w:t>
      </w:r>
    </w:p>
    <w:p w:rsidR="00362B83" w:rsidRPr="00E27197" w:rsidRDefault="00362B83" w:rsidP="00E27197">
      <w:pPr>
        <w:spacing w:line="360" w:lineRule="auto"/>
        <w:ind w:left="900" w:hanging="720"/>
        <w:jc w:val="both"/>
        <w:rPr>
          <w:rFonts w:ascii="Arial" w:hAnsi="Arial" w:cs="Arial"/>
          <w:sz w:val="24"/>
          <w:szCs w:val="24"/>
        </w:rPr>
      </w:pPr>
    </w:p>
    <w:p w:rsidR="00C177DA" w:rsidRPr="00E27197" w:rsidRDefault="0082416E" w:rsidP="00E27197">
      <w:pPr>
        <w:spacing w:line="360" w:lineRule="auto"/>
        <w:ind w:left="900" w:hanging="720"/>
        <w:jc w:val="both"/>
        <w:rPr>
          <w:rFonts w:ascii="Arial" w:hAnsi="Arial" w:cs="Arial"/>
          <w:sz w:val="24"/>
          <w:szCs w:val="24"/>
        </w:rPr>
      </w:pPr>
      <w:r w:rsidRPr="00E27197">
        <w:rPr>
          <w:rFonts w:ascii="Arial" w:hAnsi="Arial" w:cs="Arial"/>
          <w:sz w:val="24"/>
          <w:szCs w:val="24"/>
        </w:rPr>
        <w:t>16.</w:t>
      </w:r>
      <w:r w:rsidRPr="00E27197">
        <w:rPr>
          <w:rFonts w:ascii="Arial" w:hAnsi="Arial" w:cs="Arial"/>
          <w:sz w:val="24"/>
          <w:szCs w:val="24"/>
        </w:rPr>
        <w:tab/>
      </w:r>
      <w:r w:rsidR="00C177DA" w:rsidRPr="00E27197">
        <w:rPr>
          <w:rFonts w:ascii="Arial" w:hAnsi="Arial" w:cs="Arial"/>
          <w:sz w:val="24"/>
          <w:szCs w:val="24"/>
        </w:rPr>
        <w:t>The argument of Mr. Zietsman in respect of the above question may be summarized as follows:</w:t>
      </w:r>
    </w:p>
    <w:p w:rsidR="001D5734" w:rsidRPr="00E27197" w:rsidRDefault="001D5734" w:rsidP="00E27197">
      <w:pPr>
        <w:spacing w:line="360" w:lineRule="auto"/>
        <w:ind w:left="1620" w:hanging="900"/>
        <w:jc w:val="both"/>
        <w:rPr>
          <w:rFonts w:ascii="Arial" w:hAnsi="Arial" w:cs="Arial"/>
          <w:sz w:val="24"/>
          <w:szCs w:val="24"/>
        </w:rPr>
      </w:pPr>
    </w:p>
    <w:p w:rsidR="001D5734" w:rsidRPr="00E27197" w:rsidRDefault="0082416E" w:rsidP="00E27197">
      <w:pPr>
        <w:spacing w:line="360" w:lineRule="auto"/>
        <w:ind w:left="1620" w:hanging="900"/>
        <w:jc w:val="both"/>
        <w:rPr>
          <w:rFonts w:ascii="Arial" w:hAnsi="Arial" w:cs="Arial"/>
          <w:sz w:val="24"/>
          <w:szCs w:val="24"/>
        </w:rPr>
      </w:pPr>
      <w:r w:rsidRPr="00E27197">
        <w:rPr>
          <w:rFonts w:ascii="Arial" w:hAnsi="Arial" w:cs="Arial"/>
          <w:sz w:val="24"/>
          <w:szCs w:val="24"/>
        </w:rPr>
        <w:t>16.1</w:t>
      </w:r>
      <w:r w:rsidRPr="00E27197">
        <w:rPr>
          <w:rFonts w:ascii="Arial" w:hAnsi="Arial" w:cs="Arial"/>
          <w:sz w:val="24"/>
          <w:szCs w:val="24"/>
        </w:rPr>
        <w:tab/>
      </w:r>
      <w:r w:rsidR="001D5734" w:rsidRPr="00E27197">
        <w:rPr>
          <w:rFonts w:ascii="Arial" w:hAnsi="Arial" w:cs="Arial"/>
          <w:sz w:val="24"/>
          <w:szCs w:val="24"/>
        </w:rPr>
        <w:t>That the phrase “</w:t>
      </w:r>
      <w:r w:rsidR="001D5734" w:rsidRPr="00E27197">
        <w:rPr>
          <w:rFonts w:ascii="Arial" w:hAnsi="Arial" w:cs="Arial"/>
          <w:i/>
          <w:sz w:val="24"/>
          <w:szCs w:val="24"/>
        </w:rPr>
        <w:t>as soon as practicable</w:t>
      </w:r>
      <w:r w:rsidR="001D5734" w:rsidRPr="00E27197">
        <w:rPr>
          <w:rFonts w:ascii="Arial" w:hAnsi="Arial" w:cs="Arial"/>
          <w:sz w:val="24"/>
          <w:szCs w:val="24"/>
        </w:rPr>
        <w:t xml:space="preserve">” as it appears in </w:t>
      </w:r>
      <w:r w:rsidR="001D5734" w:rsidRPr="00E27197">
        <w:rPr>
          <w:rFonts w:ascii="Arial" w:hAnsi="Arial" w:cs="Arial"/>
          <w:b/>
          <w:i/>
          <w:sz w:val="24"/>
          <w:szCs w:val="24"/>
        </w:rPr>
        <w:t>Rule 47(1)</w:t>
      </w:r>
      <w:r w:rsidR="001D5734" w:rsidRPr="00E27197">
        <w:rPr>
          <w:rFonts w:ascii="Arial" w:hAnsi="Arial" w:cs="Arial"/>
          <w:sz w:val="24"/>
          <w:szCs w:val="24"/>
        </w:rPr>
        <w:t xml:space="preserve"> does not refer to a specific time frame and that a decision as to what would qualify as “</w:t>
      </w:r>
      <w:r w:rsidR="001D5734" w:rsidRPr="00E27197">
        <w:rPr>
          <w:rFonts w:ascii="Arial" w:hAnsi="Arial" w:cs="Arial"/>
          <w:i/>
          <w:sz w:val="24"/>
          <w:szCs w:val="24"/>
        </w:rPr>
        <w:t>as soon as practicable</w:t>
      </w:r>
      <w:r w:rsidR="001D5734" w:rsidRPr="00E27197">
        <w:rPr>
          <w:rFonts w:ascii="Arial" w:hAnsi="Arial" w:cs="Arial"/>
          <w:sz w:val="24"/>
          <w:szCs w:val="24"/>
        </w:rPr>
        <w:t>” would depend on the circumstances;</w:t>
      </w:r>
    </w:p>
    <w:p w:rsidR="00C177DA" w:rsidRPr="00E27197" w:rsidRDefault="00C177DA" w:rsidP="00E27197">
      <w:pPr>
        <w:spacing w:line="360" w:lineRule="auto"/>
        <w:ind w:left="1620" w:hanging="900"/>
        <w:jc w:val="both"/>
        <w:rPr>
          <w:rFonts w:ascii="Arial" w:hAnsi="Arial" w:cs="Arial"/>
          <w:sz w:val="24"/>
          <w:szCs w:val="24"/>
        </w:rPr>
      </w:pPr>
    </w:p>
    <w:p w:rsidR="00C177DA" w:rsidRPr="00E27197" w:rsidRDefault="0082416E" w:rsidP="00E27197">
      <w:pPr>
        <w:spacing w:line="360" w:lineRule="auto"/>
        <w:ind w:left="1620" w:hanging="900"/>
        <w:jc w:val="both"/>
        <w:rPr>
          <w:rFonts w:ascii="Arial" w:hAnsi="Arial" w:cs="Arial"/>
          <w:sz w:val="24"/>
          <w:szCs w:val="24"/>
        </w:rPr>
      </w:pPr>
      <w:r w:rsidRPr="00E27197">
        <w:rPr>
          <w:rFonts w:ascii="Arial" w:hAnsi="Arial" w:cs="Arial"/>
          <w:sz w:val="24"/>
          <w:szCs w:val="24"/>
        </w:rPr>
        <w:t>16.2</w:t>
      </w:r>
      <w:r w:rsidRPr="00E27197">
        <w:rPr>
          <w:rFonts w:ascii="Arial" w:hAnsi="Arial" w:cs="Arial"/>
          <w:sz w:val="24"/>
          <w:szCs w:val="24"/>
        </w:rPr>
        <w:tab/>
      </w:r>
      <w:r w:rsidR="00C177DA" w:rsidRPr="00E27197">
        <w:rPr>
          <w:rFonts w:ascii="Arial" w:hAnsi="Arial" w:cs="Arial"/>
          <w:sz w:val="24"/>
          <w:szCs w:val="24"/>
        </w:rPr>
        <w:t>That the Trustees could only decide on whether security should be demanded from Van Der Ryst after receipt of and consideration of the Main Application;</w:t>
      </w:r>
    </w:p>
    <w:p w:rsidR="00C177DA" w:rsidRPr="00E27197" w:rsidRDefault="00C177DA" w:rsidP="00E27197">
      <w:pPr>
        <w:spacing w:line="360" w:lineRule="auto"/>
        <w:ind w:left="1620" w:hanging="900"/>
        <w:jc w:val="both"/>
        <w:rPr>
          <w:rFonts w:ascii="Arial" w:hAnsi="Arial" w:cs="Arial"/>
          <w:sz w:val="24"/>
          <w:szCs w:val="24"/>
        </w:rPr>
      </w:pPr>
    </w:p>
    <w:p w:rsidR="00C177DA" w:rsidRPr="00E27197" w:rsidRDefault="0082416E" w:rsidP="00E27197">
      <w:pPr>
        <w:spacing w:line="360" w:lineRule="auto"/>
        <w:ind w:left="1620" w:hanging="900"/>
        <w:jc w:val="both"/>
        <w:rPr>
          <w:rFonts w:ascii="Arial" w:hAnsi="Arial" w:cs="Arial"/>
          <w:sz w:val="24"/>
          <w:szCs w:val="24"/>
        </w:rPr>
      </w:pPr>
      <w:r w:rsidRPr="00E27197">
        <w:rPr>
          <w:rFonts w:ascii="Arial" w:hAnsi="Arial" w:cs="Arial"/>
          <w:sz w:val="24"/>
          <w:szCs w:val="24"/>
        </w:rPr>
        <w:t>16.3</w:t>
      </w:r>
      <w:r w:rsidRPr="00E27197">
        <w:rPr>
          <w:rFonts w:ascii="Arial" w:hAnsi="Arial" w:cs="Arial"/>
          <w:sz w:val="24"/>
          <w:szCs w:val="24"/>
        </w:rPr>
        <w:tab/>
      </w:r>
      <w:r w:rsidR="00C177DA" w:rsidRPr="00E27197">
        <w:rPr>
          <w:rFonts w:ascii="Arial" w:hAnsi="Arial" w:cs="Arial"/>
          <w:sz w:val="24"/>
          <w:szCs w:val="24"/>
        </w:rPr>
        <w:t xml:space="preserve">That the Trustees are expected to and should act together in dealing with and deciding on matters such as this; </w:t>
      </w:r>
    </w:p>
    <w:p w:rsidR="00C177DA" w:rsidRPr="00E27197" w:rsidRDefault="00C177DA" w:rsidP="00E27197">
      <w:pPr>
        <w:spacing w:line="360" w:lineRule="auto"/>
        <w:ind w:left="1620" w:hanging="900"/>
        <w:jc w:val="both"/>
        <w:rPr>
          <w:rFonts w:ascii="Arial" w:hAnsi="Arial" w:cs="Arial"/>
          <w:sz w:val="24"/>
          <w:szCs w:val="24"/>
        </w:rPr>
      </w:pPr>
    </w:p>
    <w:p w:rsidR="00C177DA" w:rsidRPr="00E27197" w:rsidRDefault="0082416E" w:rsidP="00E27197">
      <w:pPr>
        <w:spacing w:line="360" w:lineRule="auto"/>
        <w:ind w:left="1620" w:hanging="900"/>
        <w:jc w:val="both"/>
        <w:rPr>
          <w:rFonts w:ascii="Arial" w:hAnsi="Arial" w:cs="Arial"/>
          <w:sz w:val="24"/>
          <w:szCs w:val="24"/>
        </w:rPr>
      </w:pPr>
      <w:r w:rsidRPr="00E27197">
        <w:rPr>
          <w:rFonts w:ascii="Arial" w:hAnsi="Arial" w:cs="Arial"/>
          <w:sz w:val="24"/>
          <w:szCs w:val="24"/>
        </w:rPr>
        <w:t>16.4</w:t>
      </w:r>
      <w:r w:rsidRPr="00E27197">
        <w:rPr>
          <w:rFonts w:ascii="Arial" w:hAnsi="Arial" w:cs="Arial"/>
          <w:sz w:val="24"/>
          <w:szCs w:val="24"/>
        </w:rPr>
        <w:tab/>
      </w:r>
      <w:r w:rsidR="00C177DA" w:rsidRPr="00E27197">
        <w:rPr>
          <w:rFonts w:ascii="Arial" w:hAnsi="Arial" w:cs="Arial"/>
          <w:sz w:val="24"/>
          <w:szCs w:val="24"/>
        </w:rPr>
        <w:t>That the question as to whether security should be demanded from Van Der Ryst could therefore only be considered after service of the Main Application on the 3</w:t>
      </w:r>
      <w:r w:rsidR="00C177DA" w:rsidRPr="00E27197">
        <w:rPr>
          <w:rFonts w:ascii="Arial" w:hAnsi="Arial" w:cs="Arial"/>
          <w:sz w:val="24"/>
          <w:szCs w:val="24"/>
          <w:vertAlign w:val="superscript"/>
        </w:rPr>
        <w:t>RD</w:t>
      </w:r>
      <w:r w:rsidRPr="00E27197">
        <w:rPr>
          <w:rFonts w:ascii="Arial" w:hAnsi="Arial" w:cs="Arial"/>
          <w:sz w:val="24"/>
          <w:szCs w:val="24"/>
        </w:rPr>
        <w:t xml:space="preserve"> Applicant</w:t>
      </w:r>
      <w:r w:rsidR="00C177DA" w:rsidRPr="00E27197">
        <w:rPr>
          <w:rFonts w:ascii="Arial" w:hAnsi="Arial" w:cs="Arial"/>
          <w:sz w:val="24"/>
          <w:szCs w:val="24"/>
        </w:rPr>
        <w:t xml:space="preserve"> (in this Security App</w:t>
      </w:r>
      <w:r w:rsidR="001D5734" w:rsidRPr="00E27197">
        <w:rPr>
          <w:rFonts w:ascii="Arial" w:hAnsi="Arial" w:cs="Arial"/>
          <w:sz w:val="24"/>
          <w:szCs w:val="24"/>
        </w:rPr>
        <w:t>lication) on 21 August 2023;</w:t>
      </w:r>
    </w:p>
    <w:p w:rsidR="00C177DA" w:rsidRPr="00E27197" w:rsidRDefault="00C177DA" w:rsidP="00E27197">
      <w:pPr>
        <w:spacing w:line="360" w:lineRule="auto"/>
        <w:ind w:left="1620" w:hanging="900"/>
        <w:jc w:val="both"/>
        <w:rPr>
          <w:rFonts w:ascii="Arial" w:hAnsi="Arial" w:cs="Arial"/>
          <w:sz w:val="24"/>
          <w:szCs w:val="24"/>
        </w:rPr>
      </w:pPr>
    </w:p>
    <w:p w:rsidR="00C177DA" w:rsidRPr="00E27197" w:rsidRDefault="0082416E" w:rsidP="00E27197">
      <w:pPr>
        <w:spacing w:line="360" w:lineRule="auto"/>
        <w:ind w:left="1620" w:hanging="900"/>
        <w:jc w:val="both"/>
        <w:rPr>
          <w:rFonts w:ascii="Arial" w:hAnsi="Arial" w:cs="Arial"/>
          <w:sz w:val="24"/>
          <w:szCs w:val="24"/>
        </w:rPr>
      </w:pPr>
      <w:r w:rsidRPr="00E27197">
        <w:rPr>
          <w:rFonts w:ascii="Arial" w:hAnsi="Arial" w:cs="Arial"/>
          <w:sz w:val="24"/>
          <w:szCs w:val="24"/>
        </w:rPr>
        <w:t>16.5</w:t>
      </w:r>
      <w:r w:rsidRPr="00E27197">
        <w:rPr>
          <w:rFonts w:ascii="Arial" w:hAnsi="Arial" w:cs="Arial"/>
          <w:sz w:val="24"/>
          <w:szCs w:val="24"/>
        </w:rPr>
        <w:tab/>
      </w:r>
      <w:r w:rsidR="00C177DA" w:rsidRPr="00E27197">
        <w:rPr>
          <w:rFonts w:ascii="Arial" w:hAnsi="Arial" w:cs="Arial"/>
          <w:sz w:val="24"/>
          <w:szCs w:val="24"/>
        </w:rPr>
        <w:t xml:space="preserve">That the </w:t>
      </w:r>
      <w:r w:rsidRPr="00E27197">
        <w:rPr>
          <w:rFonts w:ascii="Arial" w:hAnsi="Arial" w:cs="Arial"/>
          <w:sz w:val="24"/>
          <w:szCs w:val="24"/>
        </w:rPr>
        <w:t>Security N</w:t>
      </w:r>
      <w:r w:rsidR="00C177DA" w:rsidRPr="00E27197">
        <w:rPr>
          <w:rFonts w:ascii="Arial" w:hAnsi="Arial" w:cs="Arial"/>
          <w:sz w:val="24"/>
          <w:szCs w:val="24"/>
        </w:rPr>
        <w:t xml:space="preserve">otice in terms of </w:t>
      </w:r>
      <w:r w:rsidR="00C177DA" w:rsidRPr="00E27197">
        <w:rPr>
          <w:rFonts w:ascii="Arial" w:hAnsi="Arial" w:cs="Arial"/>
          <w:b/>
          <w:i/>
          <w:sz w:val="24"/>
          <w:szCs w:val="24"/>
        </w:rPr>
        <w:t>Rule 47(1)</w:t>
      </w:r>
      <w:r w:rsidR="00C177DA" w:rsidRPr="00E27197">
        <w:rPr>
          <w:rFonts w:ascii="Arial" w:hAnsi="Arial" w:cs="Arial"/>
          <w:sz w:val="24"/>
          <w:szCs w:val="24"/>
        </w:rPr>
        <w:t xml:space="preserve"> was therefore served as soon as practicable after the commencement of the Main Application seeing that sa</w:t>
      </w:r>
      <w:r w:rsidR="001D5734" w:rsidRPr="00E27197">
        <w:rPr>
          <w:rFonts w:ascii="Arial" w:hAnsi="Arial" w:cs="Arial"/>
          <w:sz w:val="24"/>
          <w:szCs w:val="24"/>
        </w:rPr>
        <w:t>me was served on 22 August 2023;</w:t>
      </w:r>
      <w:r w:rsidR="000A2B69" w:rsidRPr="00E27197">
        <w:rPr>
          <w:rFonts w:ascii="Arial" w:hAnsi="Arial" w:cs="Arial"/>
          <w:sz w:val="24"/>
          <w:szCs w:val="24"/>
        </w:rPr>
        <w:t xml:space="preserve"> and</w:t>
      </w:r>
    </w:p>
    <w:p w:rsidR="000A2B69" w:rsidRPr="00E27197" w:rsidRDefault="000A2B69" w:rsidP="00E27197">
      <w:pPr>
        <w:spacing w:line="360" w:lineRule="auto"/>
        <w:ind w:left="1620" w:hanging="900"/>
        <w:jc w:val="both"/>
        <w:rPr>
          <w:rFonts w:ascii="Arial" w:hAnsi="Arial" w:cs="Arial"/>
          <w:sz w:val="24"/>
          <w:szCs w:val="24"/>
        </w:rPr>
      </w:pPr>
    </w:p>
    <w:p w:rsidR="000A2B69" w:rsidRPr="00E27197" w:rsidRDefault="008C3E7A" w:rsidP="00E27197">
      <w:pPr>
        <w:spacing w:line="360" w:lineRule="auto"/>
        <w:ind w:left="1620" w:hanging="900"/>
        <w:jc w:val="both"/>
        <w:rPr>
          <w:rFonts w:ascii="Arial" w:hAnsi="Arial" w:cs="Arial"/>
          <w:sz w:val="24"/>
          <w:szCs w:val="24"/>
        </w:rPr>
      </w:pPr>
      <w:r w:rsidRPr="00E27197">
        <w:rPr>
          <w:rFonts w:ascii="Arial" w:hAnsi="Arial" w:cs="Arial"/>
          <w:sz w:val="24"/>
          <w:szCs w:val="24"/>
        </w:rPr>
        <w:t>16.6</w:t>
      </w:r>
      <w:r w:rsidRPr="00E27197">
        <w:rPr>
          <w:rFonts w:ascii="Arial" w:hAnsi="Arial" w:cs="Arial"/>
          <w:sz w:val="24"/>
          <w:szCs w:val="24"/>
        </w:rPr>
        <w:tab/>
      </w:r>
      <w:r w:rsidR="000A2B69" w:rsidRPr="00E27197">
        <w:rPr>
          <w:rFonts w:ascii="Arial" w:hAnsi="Arial" w:cs="Arial"/>
          <w:sz w:val="24"/>
          <w:szCs w:val="24"/>
        </w:rPr>
        <w:t>That the Security Application is an interlocutory application in another pending application as opposed to a pending action, which means that the Security Application might very well be heard simultaneously with or</w:t>
      </w:r>
      <w:r w:rsidR="001B208B">
        <w:rPr>
          <w:rFonts w:ascii="Arial" w:hAnsi="Arial" w:cs="Arial"/>
          <w:sz w:val="24"/>
          <w:szCs w:val="24"/>
        </w:rPr>
        <w:t xml:space="preserve"> even after the Main Application, </w:t>
      </w:r>
      <w:r w:rsidR="000A2B69" w:rsidRPr="00E27197">
        <w:rPr>
          <w:rFonts w:ascii="Arial" w:hAnsi="Arial" w:cs="Arial"/>
          <w:sz w:val="24"/>
          <w:szCs w:val="24"/>
        </w:rPr>
        <w:t xml:space="preserve"> if brought in </w:t>
      </w:r>
      <w:r w:rsidR="008F229B" w:rsidRPr="00E27197">
        <w:rPr>
          <w:rFonts w:ascii="Arial" w:hAnsi="Arial" w:cs="Arial"/>
          <w:sz w:val="24"/>
          <w:szCs w:val="24"/>
        </w:rPr>
        <w:t>due course</w:t>
      </w:r>
      <w:r w:rsidR="001B208B">
        <w:rPr>
          <w:rFonts w:ascii="Arial" w:hAnsi="Arial" w:cs="Arial"/>
          <w:sz w:val="24"/>
          <w:szCs w:val="24"/>
        </w:rPr>
        <w:t>,</w:t>
      </w:r>
      <w:r w:rsidR="008F229B" w:rsidRPr="00E27197">
        <w:rPr>
          <w:rFonts w:ascii="Arial" w:hAnsi="Arial" w:cs="Arial"/>
          <w:sz w:val="24"/>
          <w:szCs w:val="24"/>
        </w:rPr>
        <w:t xml:space="preserve"> which would negate the Security Application altogether.</w:t>
      </w:r>
    </w:p>
    <w:p w:rsidR="00DA7188" w:rsidRPr="00E27197" w:rsidRDefault="00DA7188" w:rsidP="00E27197">
      <w:pPr>
        <w:spacing w:line="360" w:lineRule="auto"/>
        <w:ind w:left="900" w:hanging="720"/>
        <w:jc w:val="both"/>
        <w:rPr>
          <w:rFonts w:ascii="Arial" w:hAnsi="Arial" w:cs="Arial"/>
          <w:sz w:val="24"/>
          <w:szCs w:val="24"/>
        </w:rPr>
      </w:pPr>
    </w:p>
    <w:p w:rsidR="001D5734" w:rsidRPr="00E27197" w:rsidRDefault="008C3E7A" w:rsidP="00E27197">
      <w:pPr>
        <w:spacing w:line="360" w:lineRule="auto"/>
        <w:ind w:left="900" w:hanging="720"/>
        <w:jc w:val="both"/>
        <w:rPr>
          <w:rFonts w:ascii="Arial" w:hAnsi="Arial" w:cs="Arial"/>
          <w:sz w:val="24"/>
          <w:szCs w:val="24"/>
        </w:rPr>
      </w:pPr>
      <w:r w:rsidRPr="00E27197">
        <w:rPr>
          <w:rFonts w:ascii="Arial" w:hAnsi="Arial" w:cs="Arial"/>
          <w:sz w:val="24"/>
          <w:szCs w:val="24"/>
        </w:rPr>
        <w:t>17.</w:t>
      </w:r>
      <w:r w:rsidRPr="00E27197">
        <w:rPr>
          <w:rFonts w:ascii="Arial" w:hAnsi="Arial" w:cs="Arial"/>
          <w:sz w:val="24"/>
          <w:szCs w:val="24"/>
        </w:rPr>
        <w:tab/>
      </w:r>
      <w:r w:rsidR="00DA7188" w:rsidRPr="00E27197">
        <w:rPr>
          <w:rFonts w:ascii="Arial" w:hAnsi="Arial" w:cs="Arial"/>
          <w:sz w:val="24"/>
          <w:szCs w:val="24"/>
        </w:rPr>
        <w:t>I have already set out my thoughts in respect of the last-mentioned argument by Mr. Zietsman and for the reasons set out above, this argument in my view does not hold water.</w:t>
      </w:r>
    </w:p>
    <w:p w:rsidR="00C177DA" w:rsidRPr="00E27197" w:rsidRDefault="00C177DA" w:rsidP="00E27197">
      <w:pPr>
        <w:spacing w:line="360" w:lineRule="auto"/>
        <w:ind w:left="900" w:hanging="720"/>
        <w:jc w:val="both"/>
        <w:rPr>
          <w:rFonts w:ascii="Arial" w:hAnsi="Arial" w:cs="Arial"/>
          <w:sz w:val="24"/>
          <w:szCs w:val="24"/>
        </w:rPr>
      </w:pPr>
    </w:p>
    <w:p w:rsidR="00C177DA" w:rsidRPr="00E27197" w:rsidRDefault="008C3E7A" w:rsidP="00E27197">
      <w:pPr>
        <w:spacing w:line="360" w:lineRule="auto"/>
        <w:ind w:left="900" w:hanging="720"/>
        <w:jc w:val="both"/>
        <w:rPr>
          <w:rFonts w:ascii="Arial" w:hAnsi="Arial" w:cs="Arial"/>
          <w:sz w:val="24"/>
          <w:szCs w:val="24"/>
        </w:rPr>
      </w:pPr>
      <w:r w:rsidRPr="00E27197">
        <w:rPr>
          <w:rFonts w:ascii="Arial" w:hAnsi="Arial" w:cs="Arial"/>
          <w:sz w:val="24"/>
          <w:szCs w:val="24"/>
        </w:rPr>
        <w:lastRenderedPageBreak/>
        <w:t>18.</w:t>
      </w:r>
      <w:r w:rsidRPr="00E27197">
        <w:rPr>
          <w:rFonts w:ascii="Arial" w:hAnsi="Arial" w:cs="Arial"/>
          <w:sz w:val="24"/>
          <w:szCs w:val="24"/>
        </w:rPr>
        <w:tab/>
      </w:r>
      <w:r w:rsidR="00DA7188" w:rsidRPr="00E27197">
        <w:rPr>
          <w:rFonts w:ascii="Arial" w:hAnsi="Arial" w:cs="Arial"/>
          <w:sz w:val="24"/>
          <w:szCs w:val="24"/>
        </w:rPr>
        <w:t>Further to the above and a</w:t>
      </w:r>
      <w:r w:rsidR="00C177DA" w:rsidRPr="00E27197">
        <w:rPr>
          <w:rFonts w:ascii="Arial" w:hAnsi="Arial" w:cs="Arial"/>
          <w:sz w:val="24"/>
          <w:szCs w:val="24"/>
        </w:rPr>
        <w:t xml:space="preserve">lthough I fully accept the arguments of Mr. Zietsman in respect of paragraphs </w:t>
      </w:r>
      <w:r w:rsidRPr="00E27197">
        <w:rPr>
          <w:rFonts w:ascii="Arial" w:hAnsi="Arial" w:cs="Arial"/>
          <w:sz w:val="24"/>
          <w:szCs w:val="24"/>
        </w:rPr>
        <w:t>16.2 and 16.3</w:t>
      </w:r>
      <w:r w:rsidR="00C177DA" w:rsidRPr="00E27197">
        <w:rPr>
          <w:rFonts w:ascii="Arial" w:hAnsi="Arial" w:cs="Arial"/>
          <w:sz w:val="24"/>
          <w:szCs w:val="24"/>
        </w:rPr>
        <w:t xml:space="preserve"> herein above, I can unfortunately not accept his arguments summarized in paragraphs </w:t>
      </w:r>
      <w:r w:rsidRPr="00E27197">
        <w:rPr>
          <w:rFonts w:ascii="Arial" w:hAnsi="Arial" w:cs="Arial"/>
          <w:sz w:val="24"/>
          <w:szCs w:val="24"/>
        </w:rPr>
        <w:t>16.4</w:t>
      </w:r>
      <w:r w:rsidR="00C177DA" w:rsidRPr="00E27197">
        <w:rPr>
          <w:rFonts w:ascii="Arial" w:hAnsi="Arial" w:cs="Arial"/>
          <w:sz w:val="24"/>
          <w:szCs w:val="24"/>
        </w:rPr>
        <w:t xml:space="preserve"> and </w:t>
      </w:r>
      <w:r w:rsidR="00E567F2" w:rsidRPr="00E27197">
        <w:rPr>
          <w:rFonts w:ascii="Arial" w:hAnsi="Arial" w:cs="Arial"/>
          <w:sz w:val="24"/>
          <w:szCs w:val="24"/>
        </w:rPr>
        <w:t>16.5</w:t>
      </w:r>
      <w:r w:rsidR="00C177DA" w:rsidRPr="00E27197">
        <w:rPr>
          <w:rFonts w:ascii="Arial" w:hAnsi="Arial" w:cs="Arial"/>
          <w:sz w:val="24"/>
          <w:szCs w:val="24"/>
        </w:rPr>
        <w:t xml:space="preserve"> above.</w:t>
      </w:r>
    </w:p>
    <w:p w:rsidR="00FA00A5" w:rsidRPr="00E27197" w:rsidRDefault="00FA00A5" w:rsidP="00E27197">
      <w:pPr>
        <w:spacing w:line="360" w:lineRule="auto"/>
        <w:ind w:left="900" w:hanging="720"/>
        <w:jc w:val="both"/>
        <w:rPr>
          <w:rFonts w:ascii="Arial" w:hAnsi="Arial" w:cs="Arial"/>
          <w:sz w:val="24"/>
          <w:szCs w:val="24"/>
        </w:rPr>
      </w:pPr>
    </w:p>
    <w:p w:rsidR="00FA00A5" w:rsidRPr="00E27197" w:rsidRDefault="00DA7188" w:rsidP="00E27197">
      <w:pPr>
        <w:spacing w:line="360" w:lineRule="auto"/>
        <w:ind w:left="900"/>
        <w:jc w:val="both"/>
        <w:rPr>
          <w:rFonts w:ascii="Arial" w:hAnsi="Arial" w:cs="Arial"/>
          <w:sz w:val="24"/>
          <w:szCs w:val="24"/>
        </w:rPr>
      </w:pPr>
      <w:r w:rsidRPr="00E27197">
        <w:rPr>
          <w:rFonts w:ascii="Arial" w:hAnsi="Arial" w:cs="Arial"/>
          <w:sz w:val="24"/>
          <w:szCs w:val="24"/>
        </w:rPr>
        <w:t xml:space="preserve">For the simple reason that the appointed Trustees are expected to act jointly in respect of any matter pertaining to the estate of Van Der Ryst, one can reasonably accept, on the probabilities, that the Trustees would have and </w:t>
      </w:r>
      <w:r w:rsidR="0009343E" w:rsidRPr="00E27197">
        <w:rPr>
          <w:rFonts w:ascii="Arial" w:hAnsi="Arial" w:cs="Arial"/>
          <w:sz w:val="24"/>
          <w:szCs w:val="24"/>
        </w:rPr>
        <w:t xml:space="preserve">more importantly </w:t>
      </w:r>
      <w:r w:rsidRPr="00E27197">
        <w:rPr>
          <w:rFonts w:ascii="Arial" w:hAnsi="Arial" w:cs="Arial"/>
          <w:sz w:val="24"/>
          <w:szCs w:val="24"/>
        </w:rPr>
        <w:t>should have had contact with one another after service of the Main Application on the 1</w:t>
      </w:r>
      <w:r w:rsidR="001B208B">
        <w:rPr>
          <w:rFonts w:ascii="Arial" w:hAnsi="Arial" w:cs="Arial"/>
          <w:sz w:val="24"/>
          <w:szCs w:val="24"/>
          <w:vertAlign w:val="superscript"/>
        </w:rPr>
        <w:t>st</w:t>
      </w:r>
      <w:r w:rsidRPr="00E27197">
        <w:rPr>
          <w:rFonts w:ascii="Arial" w:hAnsi="Arial" w:cs="Arial"/>
          <w:sz w:val="24"/>
          <w:szCs w:val="24"/>
        </w:rPr>
        <w:t xml:space="preserve"> and 2</w:t>
      </w:r>
      <w:r w:rsidR="001B208B">
        <w:rPr>
          <w:rFonts w:ascii="Arial" w:hAnsi="Arial" w:cs="Arial"/>
          <w:sz w:val="24"/>
          <w:szCs w:val="24"/>
          <w:vertAlign w:val="superscript"/>
        </w:rPr>
        <w:t>nd</w:t>
      </w:r>
      <w:r w:rsidR="00BA3B98" w:rsidRPr="00E27197">
        <w:rPr>
          <w:rFonts w:ascii="Arial" w:hAnsi="Arial" w:cs="Arial"/>
          <w:sz w:val="24"/>
          <w:szCs w:val="24"/>
        </w:rPr>
        <w:t xml:space="preserve"> Applicants</w:t>
      </w:r>
      <w:r w:rsidRPr="00E27197">
        <w:rPr>
          <w:rFonts w:ascii="Arial" w:hAnsi="Arial" w:cs="Arial"/>
          <w:sz w:val="24"/>
          <w:szCs w:val="24"/>
        </w:rPr>
        <w:t xml:space="preserve"> during July 2023. </w:t>
      </w:r>
    </w:p>
    <w:p w:rsidR="00DA7188" w:rsidRPr="00E27197" w:rsidRDefault="00DA7188" w:rsidP="00E27197">
      <w:pPr>
        <w:spacing w:line="360" w:lineRule="auto"/>
        <w:ind w:left="900" w:hanging="720"/>
        <w:jc w:val="both"/>
        <w:rPr>
          <w:rFonts w:ascii="Arial" w:hAnsi="Arial" w:cs="Arial"/>
          <w:sz w:val="24"/>
          <w:szCs w:val="24"/>
        </w:rPr>
      </w:pPr>
    </w:p>
    <w:p w:rsidR="00DA7188" w:rsidRPr="00E27197" w:rsidRDefault="00DA7188" w:rsidP="00E27197">
      <w:pPr>
        <w:spacing w:line="360" w:lineRule="auto"/>
        <w:ind w:left="900"/>
        <w:jc w:val="both"/>
        <w:rPr>
          <w:rFonts w:ascii="Arial" w:hAnsi="Arial" w:cs="Arial"/>
          <w:sz w:val="24"/>
          <w:szCs w:val="24"/>
        </w:rPr>
      </w:pPr>
      <w:r w:rsidRPr="00E27197">
        <w:rPr>
          <w:rFonts w:ascii="Arial" w:hAnsi="Arial" w:cs="Arial"/>
          <w:sz w:val="24"/>
          <w:szCs w:val="24"/>
        </w:rPr>
        <w:t>I therefore have to agree in this regard with Mr. Visser who appeared on behalf of Van Der Ryst</w:t>
      </w:r>
      <w:r w:rsidR="001A2039" w:rsidRPr="00E27197">
        <w:rPr>
          <w:rFonts w:ascii="Arial" w:hAnsi="Arial" w:cs="Arial"/>
          <w:sz w:val="24"/>
          <w:szCs w:val="24"/>
        </w:rPr>
        <w:t xml:space="preserve"> and it should </w:t>
      </w:r>
      <w:r w:rsidR="00C32FB7">
        <w:rPr>
          <w:rFonts w:ascii="Arial" w:hAnsi="Arial" w:cs="Arial"/>
          <w:sz w:val="24"/>
          <w:szCs w:val="24"/>
        </w:rPr>
        <w:t xml:space="preserve">also </w:t>
      </w:r>
      <w:r w:rsidR="001A2039" w:rsidRPr="00E27197">
        <w:rPr>
          <w:rFonts w:ascii="Arial" w:hAnsi="Arial" w:cs="Arial"/>
          <w:sz w:val="24"/>
          <w:szCs w:val="24"/>
        </w:rPr>
        <w:t>be mentioned that Mr. Zietsman</w:t>
      </w:r>
      <w:r w:rsidR="00880E6D" w:rsidRPr="00E27197">
        <w:rPr>
          <w:rFonts w:ascii="Arial" w:hAnsi="Arial" w:cs="Arial"/>
          <w:sz w:val="24"/>
          <w:szCs w:val="24"/>
        </w:rPr>
        <w:t>, to his credit,</w:t>
      </w:r>
      <w:r w:rsidR="001A2039" w:rsidRPr="00E27197">
        <w:rPr>
          <w:rFonts w:ascii="Arial" w:hAnsi="Arial" w:cs="Arial"/>
          <w:sz w:val="24"/>
          <w:szCs w:val="24"/>
        </w:rPr>
        <w:t xml:space="preserve"> did remark</w:t>
      </w:r>
      <w:r w:rsidR="00880E6D" w:rsidRPr="00E27197">
        <w:rPr>
          <w:rFonts w:ascii="Arial" w:hAnsi="Arial" w:cs="Arial"/>
          <w:sz w:val="24"/>
          <w:szCs w:val="24"/>
        </w:rPr>
        <w:t xml:space="preserve"> during</w:t>
      </w:r>
      <w:r w:rsidR="001A2039" w:rsidRPr="00E27197">
        <w:rPr>
          <w:rFonts w:ascii="Arial" w:hAnsi="Arial" w:cs="Arial"/>
          <w:sz w:val="24"/>
          <w:szCs w:val="24"/>
        </w:rPr>
        <w:t xml:space="preserve"> his argument in reply, that the Trustees might have been responsible for some self-created urgency in this regard.</w:t>
      </w:r>
    </w:p>
    <w:p w:rsidR="00AA1681" w:rsidRPr="00E27197" w:rsidRDefault="00AA1681" w:rsidP="00E27197">
      <w:pPr>
        <w:spacing w:line="360" w:lineRule="auto"/>
        <w:ind w:left="900" w:hanging="720"/>
        <w:jc w:val="both"/>
        <w:rPr>
          <w:rFonts w:ascii="Arial" w:hAnsi="Arial" w:cs="Arial"/>
          <w:sz w:val="24"/>
          <w:szCs w:val="24"/>
        </w:rPr>
      </w:pPr>
    </w:p>
    <w:p w:rsidR="00AA1681" w:rsidRPr="00E27197" w:rsidRDefault="00880E6D" w:rsidP="00E27197">
      <w:pPr>
        <w:spacing w:line="360" w:lineRule="auto"/>
        <w:ind w:left="900" w:hanging="720"/>
        <w:jc w:val="both"/>
        <w:rPr>
          <w:rFonts w:ascii="Arial" w:hAnsi="Arial" w:cs="Arial"/>
          <w:sz w:val="24"/>
          <w:szCs w:val="24"/>
        </w:rPr>
      </w:pPr>
      <w:r w:rsidRPr="00E27197">
        <w:rPr>
          <w:rFonts w:ascii="Arial" w:hAnsi="Arial" w:cs="Arial"/>
          <w:sz w:val="24"/>
          <w:szCs w:val="24"/>
        </w:rPr>
        <w:t>19.</w:t>
      </w:r>
      <w:r w:rsidRPr="00E27197">
        <w:rPr>
          <w:rFonts w:ascii="Arial" w:hAnsi="Arial" w:cs="Arial"/>
          <w:sz w:val="24"/>
          <w:szCs w:val="24"/>
        </w:rPr>
        <w:tab/>
      </w:r>
      <w:r w:rsidR="00AA1681" w:rsidRPr="00E27197">
        <w:rPr>
          <w:rFonts w:ascii="Arial" w:hAnsi="Arial" w:cs="Arial"/>
          <w:sz w:val="24"/>
          <w:szCs w:val="24"/>
        </w:rPr>
        <w:t xml:space="preserve">Further to the above and as was already pointed out, an Applicant in an urgent application should show that if the application is not heard on an urgent basis, he/she would not be afforded </w:t>
      </w:r>
      <w:r w:rsidR="00AA1681" w:rsidRPr="00E27197">
        <w:rPr>
          <w:rFonts w:ascii="Arial" w:hAnsi="Arial" w:cs="Arial"/>
          <w:sz w:val="24"/>
          <w:szCs w:val="24"/>
          <w:u w:val="single"/>
        </w:rPr>
        <w:t>substantial redress</w:t>
      </w:r>
      <w:r w:rsidR="00AA1681" w:rsidRPr="00E27197">
        <w:rPr>
          <w:rFonts w:ascii="Arial" w:hAnsi="Arial" w:cs="Arial"/>
          <w:sz w:val="24"/>
          <w:szCs w:val="24"/>
        </w:rPr>
        <w:t xml:space="preserve"> at a hearing in due course.</w:t>
      </w:r>
    </w:p>
    <w:p w:rsidR="0030462A" w:rsidRPr="00E27197" w:rsidRDefault="0030462A" w:rsidP="00E27197">
      <w:pPr>
        <w:spacing w:line="360" w:lineRule="auto"/>
        <w:ind w:left="900" w:hanging="720"/>
        <w:jc w:val="both"/>
        <w:rPr>
          <w:rFonts w:ascii="Arial" w:hAnsi="Arial" w:cs="Arial"/>
          <w:sz w:val="24"/>
          <w:szCs w:val="24"/>
        </w:rPr>
      </w:pPr>
    </w:p>
    <w:p w:rsidR="0030462A" w:rsidRPr="00E27197" w:rsidRDefault="00880E6D" w:rsidP="00E27197">
      <w:pPr>
        <w:spacing w:line="360" w:lineRule="auto"/>
        <w:ind w:left="900" w:hanging="720"/>
        <w:jc w:val="both"/>
        <w:rPr>
          <w:rFonts w:ascii="Arial" w:hAnsi="Arial" w:cs="Arial"/>
          <w:sz w:val="24"/>
          <w:szCs w:val="24"/>
        </w:rPr>
      </w:pPr>
      <w:r w:rsidRPr="00E27197">
        <w:rPr>
          <w:rFonts w:ascii="Arial" w:hAnsi="Arial" w:cs="Arial"/>
          <w:sz w:val="24"/>
          <w:szCs w:val="24"/>
        </w:rPr>
        <w:t>20.</w:t>
      </w:r>
      <w:r w:rsidRPr="00E27197">
        <w:rPr>
          <w:rFonts w:ascii="Arial" w:hAnsi="Arial" w:cs="Arial"/>
          <w:sz w:val="24"/>
          <w:szCs w:val="24"/>
        </w:rPr>
        <w:tab/>
      </w:r>
      <w:r w:rsidR="0030462A" w:rsidRPr="00E27197">
        <w:rPr>
          <w:rFonts w:ascii="Arial" w:hAnsi="Arial" w:cs="Arial"/>
          <w:sz w:val="24"/>
          <w:szCs w:val="24"/>
        </w:rPr>
        <w:t xml:space="preserve">It was held in the matter of </w:t>
      </w:r>
      <w:r w:rsidR="0030462A" w:rsidRPr="00E27197">
        <w:rPr>
          <w:rFonts w:ascii="Arial" w:hAnsi="Arial" w:cs="Arial"/>
          <w:b/>
          <w:i/>
          <w:sz w:val="24"/>
          <w:szCs w:val="24"/>
        </w:rPr>
        <w:t>East Rock Trading 7 (Pty) Ltd &amp; Ano</w:t>
      </w:r>
      <w:r w:rsidR="008464C8" w:rsidRPr="00E27197">
        <w:rPr>
          <w:rFonts w:ascii="Arial" w:hAnsi="Arial" w:cs="Arial"/>
          <w:b/>
          <w:i/>
          <w:sz w:val="24"/>
          <w:szCs w:val="24"/>
        </w:rPr>
        <w:t>ther</w:t>
      </w:r>
      <w:r w:rsidR="0030462A" w:rsidRPr="00E27197">
        <w:rPr>
          <w:rFonts w:ascii="Arial" w:hAnsi="Arial" w:cs="Arial"/>
          <w:b/>
          <w:i/>
          <w:sz w:val="24"/>
          <w:szCs w:val="24"/>
        </w:rPr>
        <w:t xml:space="preserve"> v Eagle Valley Granite (Pty) Ltd &amp; Others</w:t>
      </w:r>
      <w:r w:rsidR="0030462A" w:rsidRPr="00E27197">
        <w:rPr>
          <w:rStyle w:val="FootnoteReference"/>
          <w:rFonts w:ascii="Arial" w:hAnsi="Arial" w:cs="Arial"/>
          <w:sz w:val="24"/>
          <w:szCs w:val="24"/>
        </w:rPr>
        <w:footnoteReference w:id="8"/>
      </w:r>
      <w:r w:rsidR="000146E9" w:rsidRPr="00E27197">
        <w:rPr>
          <w:rFonts w:ascii="Arial" w:hAnsi="Arial" w:cs="Arial"/>
          <w:sz w:val="24"/>
          <w:szCs w:val="24"/>
        </w:rPr>
        <w:t>:</w:t>
      </w:r>
    </w:p>
    <w:p w:rsidR="000146E9" w:rsidRPr="00E27197" w:rsidRDefault="000146E9" w:rsidP="00E27197">
      <w:pPr>
        <w:spacing w:line="360" w:lineRule="auto"/>
        <w:ind w:left="900" w:hanging="720"/>
        <w:jc w:val="both"/>
        <w:rPr>
          <w:rFonts w:ascii="Arial" w:hAnsi="Arial" w:cs="Arial"/>
          <w:sz w:val="24"/>
          <w:szCs w:val="24"/>
        </w:rPr>
      </w:pPr>
    </w:p>
    <w:p w:rsidR="000146E9" w:rsidRPr="00E27197" w:rsidRDefault="000146E9" w:rsidP="00E27197">
      <w:pPr>
        <w:spacing w:line="360" w:lineRule="auto"/>
        <w:ind w:left="900"/>
        <w:jc w:val="both"/>
        <w:rPr>
          <w:rFonts w:ascii="Arial" w:hAnsi="Arial" w:cs="Arial"/>
          <w:sz w:val="24"/>
          <w:szCs w:val="24"/>
        </w:rPr>
      </w:pPr>
      <w:r w:rsidRPr="00E27197">
        <w:rPr>
          <w:rFonts w:ascii="Arial" w:hAnsi="Arial" w:cs="Arial"/>
          <w:sz w:val="24"/>
          <w:szCs w:val="24"/>
        </w:rPr>
        <w:t>“</w:t>
      </w:r>
      <w:r w:rsidRPr="00E27197">
        <w:rPr>
          <w:rFonts w:ascii="Arial" w:hAnsi="Arial" w:cs="Arial"/>
          <w:i/>
          <w:sz w:val="24"/>
          <w:szCs w:val="24"/>
        </w:rPr>
        <w:t xml:space="preserve">…the procedure set out in rule 6(12) is not there for the taking. An applicant has to set forth explicitly the circumstances which he avers render the matter urgent. </w:t>
      </w:r>
      <w:r w:rsidRPr="00E27197">
        <w:rPr>
          <w:rFonts w:ascii="Arial" w:hAnsi="Arial" w:cs="Arial"/>
          <w:i/>
          <w:sz w:val="24"/>
          <w:szCs w:val="24"/>
          <w:u w:val="single"/>
        </w:rPr>
        <w:t>More importantly, the applicant must state the reasons why he claims that he cannot be afforded substantial redress at a hearing in due course. The question of whether a matter is sufficiently urgent … is underpinned by the issue of absence of substan</w:t>
      </w:r>
      <w:r w:rsidR="005F2A45">
        <w:rPr>
          <w:rFonts w:ascii="Arial" w:hAnsi="Arial" w:cs="Arial"/>
          <w:i/>
          <w:sz w:val="24"/>
          <w:szCs w:val="24"/>
          <w:u w:val="single"/>
        </w:rPr>
        <w:t>tial redress in an application in</w:t>
      </w:r>
      <w:r w:rsidRPr="00E27197">
        <w:rPr>
          <w:rFonts w:ascii="Arial" w:hAnsi="Arial" w:cs="Arial"/>
          <w:i/>
          <w:sz w:val="24"/>
          <w:szCs w:val="24"/>
          <w:u w:val="single"/>
        </w:rPr>
        <w:t xml:space="preserve"> due course</w:t>
      </w:r>
      <w:r w:rsidRPr="00E27197">
        <w:rPr>
          <w:rFonts w:ascii="Arial" w:hAnsi="Arial" w:cs="Arial"/>
          <w:i/>
          <w:sz w:val="24"/>
          <w:szCs w:val="24"/>
        </w:rPr>
        <w:t xml:space="preserve">. The Rules allow the court to come to the assistance of a litigant because if the latter were to wait </w:t>
      </w:r>
      <w:r w:rsidRPr="00E27197">
        <w:rPr>
          <w:rFonts w:ascii="Arial" w:hAnsi="Arial" w:cs="Arial"/>
          <w:i/>
          <w:sz w:val="24"/>
          <w:szCs w:val="24"/>
        </w:rPr>
        <w:lastRenderedPageBreak/>
        <w:t>for the normal course laid down by the Rules it will not obtain substantial redress.</w:t>
      </w:r>
      <w:r w:rsidRPr="00E27197">
        <w:rPr>
          <w:rFonts w:ascii="Arial" w:hAnsi="Arial" w:cs="Arial"/>
          <w:sz w:val="24"/>
          <w:szCs w:val="24"/>
        </w:rPr>
        <w:t>”</w:t>
      </w:r>
      <w:r w:rsidRPr="00E27197">
        <w:rPr>
          <w:rStyle w:val="FootnoteReference"/>
          <w:rFonts w:ascii="Arial" w:hAnsi="Arial" w:cs="Arial"/>
          <w:sz w:val="24"/>
          <w:szCs w:val="24"/>
        </w:rPr>
        <w:footnoteReference w:id="9"/>
      </w:r>
      <w:r w:rsidRPr="00E27197">
        <w:rPr>
          <w:rFonts w:ascii="Arial" w:hAnsi="Arial" w:cs="Arial"/>
          <w:sz w:val="24"/>
          <w:szCs w:val="24"/>
        </w:rPr>
        <w:t xml:space="preserve"> (My omissions and underlining)</w:t>
      </w:r>
    </w:p>
    <w:p w:rsidR="003E0F5B" w:rsidRPr="00E27197" w:rsidRDefault="003E0F5B" w:rsidP="00E27197">
      <w:pPr>
        <w:spacing w:line="360" w:lineRule="auto"/>
        <w:ind w:left="900" w:hanging="720"/>
        <w:jc w:val="both"/>
        <w:rPr>
          <w:rFonts w:ascii="Arial" w:hAnsi="Arial" w:cs="Arial"/>
          <w:sz w:val="24"/>
          <w:szCs w:val="24"/>
        </w:rPr>
      </w:pPr>
    </w:p>
    <w:p w:rsidR="003E0F5B" w:rsidRPr="00E27197" w:rsidRDefault="00880E6D" w:rsidP="00E27197">
      <w:pPr>
        <w:spacing w:line="360" w:lineRule="auto"/>
        <w:ind w:left="900" w:hanging="720"/>
        <w:jc w:val="both"/>
        <w:rPr>
          <w:rFonts w:ascii="Arial" w:hAnsi="Arial" w:cs="Arial"/>
          <w:sz w:val="24"/>
          <w:szCs w:val="24"/>
        </w:rPr>
      </w:pPr>
      <w:r w:rsidRPr="00E27197">
        <w:rPr>
          <w:rFonts w:ascii="Arial" w:hAnsi="Arial" w:cs="Arial"/>
          <w:sz w:val="24"/>
          <w:szCs w:val="24"/>
        </w:rPr>
        <w:t>21.</w:t>
      </w:r>
      <w:r w:rsidRPr="00E27197">
        <w:rPr>
          <w:rFonts w:ascii="Arial" w:hAnsi="Arial" w:cs="Arial"/>
          <w:sz w:val="24"/>
          <w:szCs w:val="24"/>
        </w:rPr>
        <w:tab/>
      </w:r>
      <w:r w:rsidR="003E0F5B" w:rsidRPr="00E27197">
        <w:rPr>
          <w:rFonts w:ascii="Arial" w:hAnsi="Arial" w:cs="Arial"/>
          <w:sz w:val="24"/>
          <w:szCs w:val="24"/>
        </w:rPr>
        <w:t>In view again of the fact that the Main Application is still not ripe for hearing and, more importantly, have not been enrolled as of yet, I h</w:t>
      </w:r>
      <w:r w:rsidRPr="00E27197">
        <w:rPr>
          <w:rFonts w:ascii="Arial" w:hAnsi="Arial" w:cs="Arial"/>
          <w:sz w:val="24"/>
          <w:szCs w:val="24"/>
        </w:rPr>
        <w:t>old the view that the Trustees</w:t>
      </w:r>
      <w:r w:rsidR="003E0F5B" w:rsidRPr="00E27197">
        <w:rPr>
          <w:rFonts w:ascii="Arial" w:hAnsi="Arial" w:cs="Arial"/>
          <w:sz w:val="24"/>
          <w:szCs w:val="24"/>
        </w:rPr>
        <w:t xml:space="preserve"> can hardly argue with conviction that </w:t>
      </w:r>
      <w:r w:rsidR="00E266E1" w:rsidRPr="00E27197">
        <w:rPr>
          <w:rFonts w:ascii="Arial" w:hAnsi="Arial" w:cs="Arial"/>
          <w:sz w:val="24"/>
          <w:szCs w:val="24"/>
        </w:rPr>
        <w:t>they could not have been afforded substantial redress in a hearing in due course of the Security Application.</w:t>
      </w:r>
    </w:p>
    <w:p w:rsidR="00E266E1" w:rsidRPr="00E27197" w:rsidRDefault="00E266E1" w:rsidP="00E27197">
      <w:pPr>
        <w:spacing w:line="360" w:lineRule="auto"/>
        <w:ind w:left="900" w:hanging="720"/>
        <w:jc w:val="both"/>
        <w:rPr>
          <w:rFonts w:ascii="Arial" w:hAnsi="Arial" w:cs="Arial"/>
          <w:sz w:val="24"/>
          <w:szCs w:val="24"/>
        </w:rPr>
      </w:pPr>
    </w:p>
    <w:p w:rsidR="00E266E1" w:rsidRPr="00E27197" w:rsidRDefault="00880E6D" w:rsidP="00E27197">
      <w:pPr>
        <w:spacing w:line="360" w:lineRule="auto"/>
        <w:ind w:left="900" w:hanging="720"/>
        <w:jc w:val="both"/>
        <w:rPr>
          <w:rFonts w:ascii="Arial" w:hAnsi="Arial" w:cs="Arial"/>
          <w:sz w:val="24"/>
          <w:szCs w:val="24"/>
        </w:rPr>
      </w:pPr>
      <w:r w:rsidRPr="00E27197">
        <w:rPr>
          <w:rFonts w:ascii="Arial" w:hAnsi="Arial" w:cs="Arial"/>
          <w:sz w:val="24"/>
          <w:szCs w:val="24"/>
        </w:rPr>
        <w:t>22.</w:t>
      </w:r>
      <w:r w:rsidRPr="00E27197">
        <w:rPr>
          <w:rFonts w:ascii="Arial" w:hAnsi="Arial" w:cs="Arial"/>
          <w:sz w:val="24"/>
          <w:szCs w:val="24"/>
        </w:rPr>
        <w:tab/>
      </w:r>
      <w:r w:rsidR="00E266E1" w:rsidRPr="00E27197">
        <w:rPr>
          <w:rFonts w:ascii="Arial" w:hAnsi="Arial" w:cs="Arial"/>
          <w:sz w:val="24"/>
          <w:szCs w:val="24"/>
        </w:rPr>
        <w:t xml:space="preserve">For the above reasons I hold the view that the Security Application is not urgent and that same should </w:t>
      </w:r>
      <w:r w:rsidRPr="00E27197">
        <w:rPr>
          <w:rFonts w:ascii="Arial" w:hAnsi="Arial" w:cs="Arial"/>
          <w:sz w:val="24"/>
          <w:szCs w:val="24"/>
        </w:rPr>
        <w:t xml:space="preserve">in fact </w:t>
      </w:r>
      <w:r w:rsidR="00E266E1" w:rsidRPr="00E27197">
        <w:rPr>
          <w:rFonts w:ascii="Arial" w:hAnsi="Arial" w:cs="Arial"/>
          <w:sz w:val="24"/>
          <w:szCs w:val="24"/>
        </w:rPr>
        <w:t>be struck from the roll.</w:t>
      </w:r>
    </w:p>
    <w:p w:rsidR="00E31895" w:rsidRPr="00E27197" w:rsidRDefault="00E31895" w:rsidP="00E27197">
      <w:pPr>
        <w:spacing w:line="360" w:lineRule="auto"/>
        <w:ind w:left="900" w:hanging="720"/>
        <w:jc w:val="both"/>
        <w:rPr>
          <w:rFonts w:ascii="Arial" w:hAnsi="Arial" w:cs="Arial"/>
          <w:sz w:val="24"/>
          <w:szCs w:val="24"/>
        </w:rPr>
      </w:pPr>
    </w:p>
    <w:p w:rsidR="00A22744" w:rsidRPr="00E27197" w:rsidRDefault="00BC0F40" w:rsidP="00E27197">
      <w:pPr>
        <w:spacing w:line="360" w:lineRule="auto"/>
        <w:ind w:left="900"/>
        <w:jc w:val="both"/>
        <w:rPr>
          <w:rFonts w:ascii="Arial" w:hAnsi="Arial" w:cs="Arial"/>
          <w:sz w:val="24"/>
          <w:szCs w:val="24"/>
        </w:rPr>
      </w:pPr>
      <w:r w:rsidRPr="00E27197">
        <w:rPr>
          <w:rFonts w:ascii="Arial" w:hAnsi="Arial" w:cs="Arial"/>
          <w:sz w:val="24"/>
          <w:szCs w:val="24"/>
        </w:rPr>
        <w:t>It should be mentioned that Mr. Visser on behalf of Van Der Ryst, attempted to raise</w:t>
      </w:r>
      <w:r w:rsidR="00202266" w:rsidRPr="00E27197">
        <w:rPr>
          <w:rFonts w:ascii="Arial" w:hAnsi="Arial" w:cs="Arial"/>
          <w:sz w:val="24"/>
          <w:szCs w:val="24"/>
        </w:rPr>
        <w:t xml:space="preserve"> further issues </w:t>
      </w:r>
      <w:r w:rsidR="00202266" w:rsidRPr="00E27197">
        <w:rPr>
          <w:rFonts w:ascii="Arial" w:hAnsi="Arial" w:cs="Arial"/>
          <w:i/>
          <w:sz w:val="24"/>
          <w:szCs w:val="24"/>
        </w:rPr>
        <w:t>in limine</w:t>
      </w:r>
      <w:r w:rsidR="00202266" w:rsidRPr="00E27197">
        <w:rPr>
          <w:rFonts w:ascii="Arial" w:hAnsi="Arial" w:cs="Arial"/>
          <w:sz w:val="24"/>
          <w:szCs w:val="24"/>
        </w:rPr>
        <w:t xml:space="preserve"> which was not referred to in the Answering Affidavit of</w:t>
      </w:r>
      <w:r w:rsidR="00067C41" w:rsidRPr="00E27197">
        <w:rPr>
          <w:rFonts w:ascii="Arial" w:hAnsi="Arial" w:cs="Arial"/>
          <w:sz w:val="24"/>
          <w:szCs w:val="24"/>
        </w:rPr>
        <w:t xml:space="preserve"> Van Der Ryst </w:t>
      </w:r>
      <w:r w:rsidR="00B31381" w:rsidRPr="00E27197">
        <w:rPr>
          <w:rFonts w:ascii="Arial" w:hAnsi="Arial" w:cs="Arial"/>
          <w:sz w:val="24"/>
          <w:szCs w:val="24"/>
        </w:rPr>
        <w:t xml:space="preserve">the most important of which was </w:t>
      </w:r>
      <w:r w:rsidR="00067C41" w:rsidRPr="00E27197">
        <w:rPr>
          <w:rFonts w:ascii="Arial" w:hAnsi="Arial" w:cs="Arial"/>
          <w:sz w:val="24"/>
          <w:szCs w:val="24"/>
        </w:rPr>
        <w:t>that Van Der Ryst was prejudiced in the sense that</w:t>
      </w:r>
      <w:r w:rsidR="00B31381" w:rsidRPr="00E27197">
        <w:rPr>
          <w:rFonts w:ascii="Arial" w:hAnsi="Arial" w:cs="Arial"/>
          <w:sz w:val="24"/>
          <w:szCs w:val="24"/>
        </w:rPr>
        <w:t xml:space="preserve"> a</w:t>
      </w:r>
      <w:r w:rsidR="00A22744" w:rsidRPr="00E27197">
        <w:rPr>
          <w:rFonts w:ascii="Arial" w:hAnsi="Arial" w:cs="Arial"/>
          <w:sz w:val="24"/>
          <w:szCs w:val="24"/>
        </w:rPr>
        <w:t xml:space="preserve"> Certificate of Urgency was filed belatedly </w:t>
      </w:r>
      <w:r w:rsidR="005E4F5C">
        <w:rPr>
          <w:rFonts w:ascii="Arial" w:hAnsi="Arial" w:cs="Arial"/>
          <w:sz w:val="24"/>
          <w:szCs w:val="24"/>
        </w:rPr>
        <w:t xml:space="preserve">and </w:t>
      </w:r>
      <w:r w:rsidR="00A22744" w:rsidRPr="00E27197">
        <w:rPr>
          <w:rFonts w:ascii="Arial" w:hAnsi="Arial" w:cs="Arial"/>
          <w:sz w:val="24"/>
          <w:szCs w:val="24"/>
        </w:rPr>
        <w:t>together with the Replying Affidavit;</w:t>
      </w:r>
    </w:p>
    <w:p w:rsidR="00A22744" w:rsidRPr="00E27197" w:rsidRDefault="00A22744" w:rsidP="00E27197">
      <w:pPr>
        <w:spacing w:line="360" w:lineRule="auto"/>
        <w:ind w:left="900" w:hanging="720"/>
        <w:jc w:val="both"/>
        <w:rPr>
          <w:rFonts w:ascii="Arial" w:hAnsi="Arial" w:cs="Arial"/>
          <w:sz w:val="24"/>
          <w:szCs w:val="24"/>
        </w:rPr>
      </w:pPr>
    </w:p>
    <w:p w:rsidR="00964B03" w:rsidRPr="00E27197" w:rsidRDefault="00B31381" w:rsidP="00E27197">
      <w:pPr>
        <w:spacing w:line="360" w:lineRule="auto"/>
        <w:ind w:left="900"/>
        <w:jc w:val="both"/>
        <w:rPr>
          <w:rFonts w:ascii="Arial" w:hAnsi="Arial" w:cs="Arial"/>
          <w:sz w:val="24"/>
          <w:szCs w:val="24"/>
        </w:rPr>
      </w:pPr>
      <w:r w:rsidRPr="00E27197">
        <w:rPr>
          <w:rFonts w:ascii="Arial" w:hAnsi="Arial" w:cs="Arial"/>
          <w:sz w:val="24"/>
          <w:szCs w:val="24"/>
        </w:rPr>
        <w:t>I do not deem it necessary to deal with this issue in any sort of det</w:t>
      </w:r>
      <w:r w:rsidR="00661729" w:rsidRPr="00E27197">
        <w:rPr>
          <w:rFonts w:ascii="Arial" w:hAnsi="Arial" w:cs="Arial"/>
          <w:sz w:val="24"/>
          <w:szCs w:val="24"/>
        </w:rPr>
        <w:t>ail since the fact that such a c</w:t>
      </w:r>
      <w:r w:rsidRPr="00E27197">
        <w:rPr>
          <w:rFonts w:ascii="Arial" w:hAnsi="Arial" w:cs="Arial"/>
          <w:sz w:val="24"/>
          <w:szCs w:val="24"/>
        </w:rPr>
        <w:t>ertificate was filed after the fact, and specifically in view of what has been stated herein above, does not take the matter in respect of urgency any further.</w:t>
      </w:r>
    </w:p>
    <w:p w:rsidR="00661729" w:rsidRPr="00E27197" w:rsidRDefault="00661729" w:rsidP="00E27197">
      <w:pPr>
        <w:spacing w:line="360" w:lineRule="auto"/>
        <w:ind w:left="900" w:hanging="720"/>
        <w:jc w:val="both"/>
        <w:rPr>
          <w:rFonts w:ascii="Arial" w:hAnsi="Arial" w:cs="Arial"/>
          <w:sz w:val="24"/>
          <w:szCs w:val="24"/>
        </w:rPr>
      </w:pPr>
    </w:p>
    <w:p w:rsidR="00661729" w:rsidRPr="00E27197" w:rsidRDefault="00880E6D" w:rsidP="00E27197">
      <w:pPr>
        <w:spacing w:line="360" w:lineRule="auto"/>
        <w:ind w:left="900" w:hanging="720"/>
        <w:jc w:val="both"/>
        <w:rPr>
          <w:rFonts w:ascii="Arial" w:hAnsi="Arial" w:cs="Arial"/>
          <w:sz w:val="24"/>
          <w:szCs w:val="24"/>
        </w:rPr>
      </w:pPr>
      <w:r w:rsidRPr="00E27197">
        <w:rPr>
          <w:rFonts w:ascii="Arial" w:hAnsi="Arial" w:cs="Arial"/>
          <w:sz w:val="24"/>
          <w:szCs w:val="24"/>
        </w:rPr>
        <w:t>23.</w:t>
      </w:r>
      <w:r w:rsidRPr="00E27197">
        <w:rPr>
          <w:rFonts w:ascii="Arial" w:hAnsi="Arial" w:cs="Arial"/>
          <w:sz w:val="24"/>
          <w:szCs w:val="24"/>
        </w:rPr>
        <w:tab/>
      </w:r>
      <w:r w:rsidR="00661729" w:rsidRPr="00E27197">
        <w:rPr>
          <w:rFonts w:ascii="Arial" w:hAnsi="Arial" w:cs="Arial"/>
          <w:sz w:val="24"/>
          <w:szCs w:val="24"/>
        </w:rPr>
        <w:t>I do however take the view, for the reasons set out below, that the Security Application</w:t>
      </w:r>
      <w:r w:rsidR="008464C8" w:rsidRPr="00E27197">
        <w:rPr>
          <w:rFonts w:ascii="Arial" w:hAnsi="Arial" w:cs="Arial"/>
          <w:sz w:val="24"/>
          <w:szCs w:val="24"/>
        </w:rPr>
        <w:t>, despite not being urgent,</w:t>
      </w:r>
      <w:r w:rsidR="00661729" w:rsidRPr="00E27197">
        <w:rPr>
          <w:rFonts w:ascii="Arial" w:hAnsi="Arial" w:cs="Arial"/>
          <w:sz w:val="24"/>
          <w:szCs w:val="24"/>
        </w:rPr>
        <w:t xml:space="preserve"> should </w:t>
      </w:r>
      <w:r w:rsidR="00DB79BD" w:rsidRPr="00E27197">
        <w:rPr>
          <w:rFonts w:ascii="Arial" w:hAnsi="Arial" w:cs="Arial"/>
          <w:sz w:val="24"/>
          <w:szCs w:val="24"/>
        </w:rPr>
        <w:t xml:space="preserve">in this instance </w:t>
      </w:r>
      <w:r w:rsidR="00661729" w:rsidRPr="00E27197">
        <w:rPr>
          <w:rFonts w:ascii="Arial" w:hAnsi="Arial" w:cs="Arial"/>
          <w:sz w:val="24"/>
          <w:szCs w:val="24"/>
        </w:rPr>
        <w:t>not be removed from the roll simply due to a lack of urgency.</w:t>
      </w:r>
    </w:p>
    <w:p w:rsidR="00B31381" w:rsidRPr="00E27197" w:rsidRDefault="00B31381" w:rsidP="00E27197">
      <w:pPr>
        <w:spacing w:line="360" w:lineRule="auto"/>
        <w:ind w:left="900" w:hanging="720"/>
        <w:jc w:val="both"/>
        <w:rPr>
          <w:rFonts w:ascii="Arial" w:hAnsi="Arial" w:cs="Arial"/>
          <w:sz w:val="24"/>
          <w:szCs w:val="24"/>
        </w:rPr>
      </w:pPr>
    </w:p>
    <w:p w:rsidR="00964B03" w:rsidRPr="00E27197" w:rsidRDefault="00880E6D" w:rsidP="00E27197">
      <w:pPr>
        <w:spacing w:line="360" w:lineRule="auto"/>
        <w:ind w:left="900" w:hanging="720"/>
        <w:jc w:val="both"/>
        <w:rPr>
          <w:rFonts w:ascii="Arial" w:hAnsi="Arial" w:cs="Arial"/>
          <w:sz w:val="24"/>
          <w:szCs w:val="24"/>
        </w:rPr>
      </w:pPr>
      <w:r w:rsidRPr="00E27197">
        <w:rPr>
          <w:rFonts w:ascii="Arial" w:hAnsi="Arial" w:cs="Arial"/>
          <w:sz w:val="24"/>
          <w:szCs w:val="24"/>
        </w:rPr>
        <w:t>24.</w:t>
      </w:r>
      <w:r w:rsidRPr="00E27197">
        <w:rPr>
          <w:rFonts w:ascii="Arial" w:hAnsi="Arial" w:cs="Arial"/>
          <w:sz w:val="24"/>
          <w:szCs w:val="24"/>
        </w:rPr>
        <w:tab/>
      </w:r>
      <w:r w:rsidR="00964B03" w:rsidRPr="00E27197">
        <w:rPr>
          <w:rFonts w:ascii="Arial" w:hAnsi="Arial" w:cs="Arial"/>
          <w:sz w:val="24"/>
          <w:szCs w:val="24"/>
        </w:rPr>
        <w:t xml:space="preserve">It has been confirmed recently that </w:t>
      </w:r>
      <w:r w:rsidR="0092400C" w:rsidRPr="00E27197">
        <w:rPr>
          <w:rFonts w:ascii="Arial" w:hAnsi="Arial" w:cs="Arial"/>
          <w:sz w:val="24"/>
          <w:szCs w:val="24"/>
        </w:rPr>
        <w:t xml:space="preserve">depending on the facts of each case, </w:t>
      </w:r>
      <w:r w:rsidR="00964B03" w:rsidRPr="00E27197">
        <w:rPr>
          <w:rFonts w:ascii="Arial" w:hAnsi="Arial" w:cs="Arial"/>
          <w:sz w:val="24"/>
          <w:szCs w:val="24"/>
        </w:rPr>
        <w:t>circumstances might exist</w:t>
      </w:r>
      <w:r w:rsidR="0092400C" w:rsidRPr="00E27197">
        <w:rPr>
          <w:rFonts w:ascii="Arial" w:hAnsi="Arial" w:cs="Arial"/>
          <w:sz w:val="24"/>
          <w:szCs w:val="24"/>
        </w:rPr>
        <w:t xml:space="preserve"> </w:t>
      </w:r>
      <w:r w:rsidR="00964B03" w:rsidRPr="00E27197">
        <w:rPr>
          <w:rFonts w:ascii="Arial" w:hAnsi="Arial" w:cs="Arial"/>
          <w:sz w:val="24"/>
          <w:szCs w:val="24"/>
        </w:rPr>
        <w:t xml:space="preserve">where, notwithstanding material non-compliance with </w:t>
      </w:r>
      <w:r w:rsidR="00964B03" w:rsidRPr="00E27197">
        <w:rPr>
          <w:rFonts w:ascii="Arial" w:hAnsi="Arial" w:cs="Arial"/>
          <w:sz w:val="24"/>
          <w:szCs w:val="24"/>
        </w:rPr>
        <w:lastRenderedPageBreak/>
        <w:t>the Rules, a matter should be entertained where it would be in the interest of expediency.</w:t>
      </w:r>
      <w:r w:rsidR="00A11F40" w:rsidRPr="00E27197">
        <w:rPr>
          <w:rStyle w:val="FootnoteReference"/>
          <w:rFonts w:ascii="Arial" w:hAnsi="Arial" w:cs="Arial"/>
          <w:sz w:val="24"/>
          <w:szCs w:val="24"/>
        </w:rPr>
        <w:footnoteReference w:id="10"/>
      </w:r>
    </w:p>
    <w:p w:rsidR="00165233" w:rsidRPr="00E27197" w:rsidRDefault="00165233" w:rsidP="00E27197">
      <w:pPr>
        <w:spacing w:line="360" w:lineRule="auto"/>
        <w:ind w:left="900" w:hanging="720"/>
        <w:jc w:val="both"/>
        <w:rPr>
          <w:rFonts w:ascii="Arial" w:hAnsi="Arial" w:cs="Arial"/>
          <w:sz w:val="24"/>
          <w:szCs w:val="24"/>
        </w:rPr>
      </w:pPr>
    </w:p>
    <w:p w:rsidR="00165233" w:rsidRPr="00E27197" w:rsidRDefault="00165233" w:rsidP="00E27197">
      <w:pPr>
        <w:spacing w:line="360" w:lineRule="auto"/>
        <w:ind w:left="900"/>
        <w:jc w:val="both"/>
        <w:rPr>
          <w:rFonts w:ascii="Arial" w:hAnsi="Arial" w:cs="Arial"/>
          <w:sz w:val="24"/>
          <w:szCs w:val="24"/>
        </w:rPr>
      </w:pPr>
      <w:r w:rsidRPr="00E27197">
        <w:rPr>
          <w:rFonts w:ascii="Arial" w:hAnsi="Arial" w:cs="Arial"/>
          <w:sz w:val="24"/>
          <w:szCs w:val="24"/>
        </w:rPr>
        <w:t>In the matter of</w:t>
      </w:r>
      <w:r w:rsidR="00651289" w:rsidRPr="00E27197">
        <w:rPr>
          <w:rFonts w:ascii="Arial" w:hAnsi="Arial" w:cs="Arial"/>
          <w:sz w:val="24"/>
          <w:szCs w:val="24"/>
        </w:rPr>
        <w:t xml:space="preserve"> </w:t>
      </w:r>
      <w:r w:rsidR="00651289" w:rsidRPr="00E27197">
        <w:rPr>
          <w:rFonts w:ascii="Arial" w:hAnsi="Arial" w:cs="Arial"/>
          <w:b/>
          <w:i/>
          <w:sz w:val="24"/>
          <w:szCs w:val="24"/>
        </w:rPr>
        <w:t>Windsor Hotel (Pty) Ltd v New Windsor Properties (Pty) Ltd &amp; Others</w:t>
      </w:r>
      <w:r w:rsidR="00651289" w:rsidRPr="00E27197">
        <w:rPr>
          <w:rStyle w:val="FootnoteReference"/>
          <w:rFonts w:ascii="Arial" w:hAnsi="Arial" w:cs="Arial"/>
          <w:sz w:val="24"/>
          <w:szCs w:val="24"/>
        </w:rPr>
        <w:footnoteReference w:id="11"/>
      </w:r>
      <w:r w:rsidR="00446462" w:rsidRPr="00E27197">
        <w:rPr>
          <w:rFonts w:ascii="Arial" w:hAnsi="Arial" w:cs="Arial"/>
          <w:sz w:val="24"/>
          <w:szCs w:val="24"/>
        </w:rPr>
        <w:t xml:space="preserve"> it was held by Brooks AJ</w:t>
      </w:r>
      <w:r w:rsidR="00446462" w:rsidRPr="00E27197">
        <w:rPr>
          <w:rStyle w:val="FootnoteReference"/>
          <w:rFonts w:ascii="Arial" w:hAnsi="Arial" w:cs="Arial"/>
          <w:sz w:val="24"/>
          <w:szCs w:val="24"/>
        </w:rPr>
        <w:footnoteReference w:id="12"/>
      </w:r>
      <w:r w:rsidR="00446462" w:rsidRPr="00E27197">
        <w:rPr>
          <w:rFonts w:ascii="Arial" w:hAnsi="Arial" w:cs="Arial"/>
          <w:sz w:val="24"/>
          <w:szCs w:val="24"/>
        </w:rPr>
        <w:t>:</w:t>
      </w:r>
    </w:p>
    <w:p w:rsidR="00446462" w:rsidRPr="00E27197" w:rsidRDefault="00446462" w:rsidP="00E27197">
      <w:pPr>
        <w:spacing w:line="360" w:lineRule="auto"/>
        <w:ind w:left="900" w:hanging="720"/>
        <w:jc w:val="both"/>
        <w:rPr>
          <w:rFonts w:ascii="Arial" w:hAnsi="Arial" w:cs="Arial"/>
          <w:sz w:val="24"/>
          <w:szCs w:val="24"/>
        </w:rPr>
      </w:pPr>
    </w:p>
    <w:p w:rsidR="00446462" w:rsidRPr="00E27197" w:rsidRDefault="00446462" w:rsidP="00E27197">
      <w:pPr>
        <w:spacing w:line="360" w:lineRule="auto"/>
        <w:ind w:left="900"/>
        <w:jc w:val="both"/>
        <w:rPr>
          <w:rFonts w:ascii="Arial" w:hAnsi="Arial" w:cs="Arial"/>
          <w:sz w:val="24"/>
          <w:szCs w:val="24"/>
        </w:rPr>
      </w:pPr>
      <w:r w:rsidRPr="00E27197">
        <w:rPr>
          <w:rFonts w:ascii="Arial" w:hAnsi="Arial" w:cs="Arial"/>
          <w:sz w:val="24"/>
          <w:szCs w:val="24"/>
        </w:rPr>
        <w:t>“</w:t>
      </w:r>
      <w:r w:rsidRPr="00E27197">
        <w:rPr>
          <w:rFonts w:ascii="Arial" w:hAnsi="Arial" w:cs="Arial"/>
          <w:i/>
          <w:sz w:val="24"/>
          <w:szCs w:val="24"/>
        </w:rPr>
        <w:t>… I am of the respectful view</w:t>
      </w:r>
      <w:r w:rsidR="00BF526B" w:rsidRPr="00E27197">
        <w:rPr>
          <w:rFonts w:ascii="Arial" w:hAnsi="Arial" w:cs="Arial"/>
          <w:i/>
          <w:sz w:val="24"/>
          <w:szCs w:val="24"/>
        </w:rPr>
        <w:t xml:space="preserve"> that the very practical considerations of factors such as the incurring of unnecessarily duplicated case preparation and presentation procedures, with their concomitant increase in already substantial legal costs, and the undesirable duplication of the requirement of the attention and preparation of more than one court … must be weighed against any apparent prejudice to a respondent who has been brought to court on a truncated timeframe.</w:t>
      </w:r>
      <w:r w:rsidR="00BF526B" w:rsidRPr="00E27197">
        <w:rPr>
          <w:rFonts w:ascii="Arial" w:hAnsi="Arial" w:cs="Arial"/>
          <w:sz w:val="24"/>
          <w:szCs w:val="24"/>
        </w:rPr>
        <w:t>”</w:t>
      </w:r>
    </w:p>
    <w:p w:rsidR="00BF526B" w:rsidRPr="00E27197" w:rsidRDefault="00BF526B" w:rsidP="00E27197">
      <w:pPr>
        <w:spacing w:line="360" w:lineRule="auto"/>
        <w:ind w:left="900" w:hanging="720"/>
        <w:jc w:val="both"/>
        <w:rPr>
          <w:rFonts w:ascii="Arial" w:hAnsi="Arial" w:cs="Arial"/>
          <w:sz w:val="24"/>
          <w:szCs w:val="24"/>
        </w:rPr>
      </w:pPr>
    </w:p>
    <w:p w:rsidR="00BF526B" w:rsidRPr="00E27197" w:rsidRDefault="00880E6D" w:rsidP="00E27197">
      <w:pPr>
        <w:spacing w:line="360" w:lineRule="auto"/>
        <w:ind w:left="900" w:hanging="720"/>
        <w:jc w:val="both"/>
        <w:rPr>
          <w:rFonts w:ascii="Arial" w:hAnsi="Arial" w:cs="Arial"/>
          <w:sz w:val="24"/>
          <w:szCs w:val="24"/>
        </w:rPr>
      </w:pPr>
      <w:r w:rsidRPr="00E27197">
        <w:rPr>
          <w:rFonts w:ascii="Arial" w:hAnsi="Arial" w:cs="Arial"/>
          <w:sz w:val="24"/>
          <w:szCs w:val="24"/>
        </w:rPr>
        <w:t>25.</w:t>
      </w:r>
      <w:r w:rsidRPr="00E27197">
        <w:rPr>
          <w:rFonts w:ascii="Arial" w:hAnsi="Arial" w:cs="Arial"/>
          <w:sz w:val="24"/>
          <w:szCs w:val="24"/>
        </w:rPr>
        <w:tab/>
        <w:t>In the present</w:t>
      </w:r>
      <w:r w:rsidR="00BF526B" w:rsidRPr="00E27197">
        <w:rPr>
          <w:rFonts w:ascii="Arial" w:hAnsi="Arial" w:cs="Arial"/>
          <w:sz w:val="24"/>
          <w:szCs w:val="24"/>
        </w:rPr>
        <w:t xml:space="preserve"> matter both parties have had the opportunity to file the necessary affidavits in the Security Application and both parties have also had the opportunity to file Heads of Argument in the matter</w:t>
      </w:r>
      <w:r w:rsidR="00661729" w:rsidRPr="00E27197">
        <w:rPr>
          <w:rFonts w:ascii="Arial" w:hAnsi="Arial" w:cs="Arial"/>
          <w:sz w:val="24"/>
          <w:szCs w:val="24"/>
        </w:rPr>
        <w:t>, to properly prepare and to argue the matter properly</w:t>
      </w:r>
      <w:r w:rsidR="00BF526B" w:rsidRPr="00E27197">
        <w:rPr>
          <w:rFonts w:ascii="Arial" w:hAnsi="Arial" w:cs="Arial"/>
          <w:sz w:val="24"/>
          <w:szCs w:val="24"/>
        </w:rPr>
        <w:t>.</w:t>
      </w:r>
    </w:p>
    <w:p w:rsidR="00785B92" w:rsidRPr="00E27197" w:rsidRDefault="00785B92" w:rsidP="00E27197">
      <w:pPr>
        <w:spacing w:line="360" w:lineRule="auto"/>
        <w:ind w:left="900" w:hanging="720"/>
        <w:jc w:val="both"/>
        <w:rPr>
          <w:rFonts w:ascii="Arial" w:hAnsi="Arial" w:cs="Arial"/>
          <w:sz w:val="24"/>
          <w:szCs w:val="24"/>
        </w:rPr>
      </w:pPr>
    </w:p>
    <w:p w:rsidR="00785B92" w:rsidRPr="00E27197" w:rsidRDefault="00785B92" w:rsidP="00E27197">
      <w:pPr>
        <w:spacing w:line="360" w:lineRule="auto"/>
        <w:ind w:left="900"/>
        <w:jc w:val="both"/>
        <w:rPr>
          <w:rFonts w:ascii="Arial" w:hAnsi="Arial" w:cs="Arial"/>
          <w:sz w:val="24"/>
          <w:szCs w:val="24"/>
        </w:rPr>
      </w:pPr>
      <w:r w:rsidRPr="00E27197">
        <w:rPr>
          <w:rFonts w:ascii="Arial" w:hAnsi="Arial" w:cs="Arial"/>
          <w:sz w:val="24"/>
          <w:szCs w:val="24"/>
        </w:rPr>
        <w:t xml:space="preserve">The merits of the matter was furthermore also </w:t>
      </w:r>
      <w:r w:rsidR="00847200" w:rsidRPr="00E27197">
        <w:rPr>
          <w:rFonts w:ascii="Arial" w:hAnsi="Arial" w:cs="Arial"/>
          <w:sz w:val="24"/>
          <w:szCs w:val="24"/>
        </w:rPr>
        <w:t xml:space="preserve">fully </w:t>
      </w:r>
      <w:r w:rsidRPr="00E27197">
        <w:rPr>
          <w:rFonts w:ascii="Arial" w:hAnsi="Arial" w:cs="Arial"/>
          <w:sz w:val="24"/>
          <w:szCs w:val="24"/>
        </w:rPr>
        <w:t>argued by both parties’ representatives</w:t>
      </w:r>
      <w:r w:rsidR="00847200" w:rsidRPr="00E27197">
        <w:rPr>
          <w:rFonts w:ascii="Arial" w:hAnsi="Arial" w:cs="Arial"/>
          <w:sz w:val="24"/>
          <w:szCs w:val="24"/>
        </w:rPr>
        <w:t xml:space="preserve"> and I consequently deem it unnecessary to burden another Court with this </w:t>
      </w:r>
      <w:r w:rsidR="005701F5" w:rsidRPr="00E27197">
        <w:rPr>
          <w:rFonts w:ascii="Arial" w:hAnsi="Arial" w:cs="Arial"/>
          <w:sz w:val="24"/>
          <w:szCs w:val="24"/>
        </w:rPr>
        <w:t>Security A</w:t>
      </w:r>
      <w:r w:rsidR="00847200" w:rsidRPr="00E27197">
        <w:rPr>
          <w:rFonts w:ascii="Arial" w:hAnsi="Arial" w:cs="Arial"/>
          <w:sz w:val="24"/>
          <w:szCs w:val="24"/>
        </w:rPr>
        <w:t>pplic</w:t>
      </w:r>
      <w:r w:rsidR="003050B3" w:rsidRPr="00E27197">
        <w:rPr>
          <w:rFonts w:ascii="Arial" w:hAnsi="Arial" w:cs="Arial"/>
          <w:sz w:val="24"/>
          <w:szCs w:val="24"/>
        </w:rPr>
        <w:t xml:space="preserve">ation in circumstances where practical considerations </w:t>
      </w:r>
      <w:r w:rsidR="005701F5" w:rsidRPr="00E27197">
        <w:rPr>
          <w:rFonts w:ascii="Arial" w:hAnsi="Arial" w:cs="Arial"/>
          <w:sz w:val="24"/>
          <w:szCs w:val="24"/>
        </w:rPr>
        <w:t>dictate that the matter be dispensed with at this point in time.</w:t>
      </w:r>
    </w:p>
    <w:p w:rsidR="005701F5" w:rsidRPr="00E27197" w:rsidRDefault="005701F5" w:rsidP="00E27197">
      <w:pPr>
        <w:spacing w:line="360" w:lineRule="auto"/>
        <w:ind w:left="900" w:hanging="720"/>
        <w:jc w:val="both"/>
        <w:rPr>
          <w:rFonts w:ascii="Arial" w:hAnsi="Arial" w:cs="Arial"/>
          <w:sz w:val="24"/>
          <w:szCs w:val="24"/>
        </w:rPr>
      </w:pPr>
    </w:p>
    <w:p w:rsidR="005701F5" w:rsidRPr="00E27197" w:rsidRDefault="005701F5" w:rsidP="00E27197">
      <w:pPr>
        <w:spacing w:line="360" w:lineRule="auto"/>
        <w:ind w:left="900"/>
        <w:jc w:val="both"/>
        <w:rPr>
          <w:rFonts w:ascii="Arial" w:hAnsi="Arial" w:cs="Arial"/>
          <w:sz w:val="24"/>
          <w:szCs w:val="24"/>
        </w:rPr>
      </w:pPr>
      <w:r w:rsidRPr="00E27197">
        <w:rPr>
          <w:rFonts w:ascii="Arial" w:hAnsi="Arial" w:cs="Arial"/>
          <w:sz w:val="24"/>
          <w:szCs w:val="24"/>
        </w:rPr>
        <w:t xml:space="preserve">Mr. Visser did not take the point that Van Der Ryst was prejudiced by the truncated time periods set by the Trustees in the Security Application and he (Mr. Visser) certainly did not put up a vigorous argument when asked whether a </w:t>
      </w:r>
      <w:r w:rsidRPr="00E27197">
        <w:rPr>
          <w:rFonts w:ascii="Arial" w:hAnsi="Arial" w:cs="Arial"/>
          <w:sz w:val="24"/>
          <w:szCs w:val="24"/>
        </w:rPr>
        <w:lastRenderedPageBreak/>
        <w:t>determination of the Security Application at this point in time, would in any way be problematic.</w:t>
      </w:r>
    </w:p>
    <w:p w:rsidR="005701F5" w:rsidRPr="00E27197" w:rsidRDefault="005701F5" w:rsidP="00E27197">
      <w:pPr>
        <w:spacing w:line="360" w:lineRule="auto"/>
        <w:ind w:left="900" w:hanging="720"/>
        <w:jc w:val="both"/>
        <w:rPr>
          <w:rFonts w:ascii="Arial" w:hAnsi="Arial" w:cs="Arial"/>
          <w:sz w:val="24"/>
          <w:szCs w:val="24"/>
        </w:rPr>
      </w:pPr>
    </w:p>
    <w:p w:rsidR="005701F5" w:rsidRPr="00E27197" w:rsidRDefault="00737E22" w:rsidP="00E27197">
      <w:pPr>
        <w:spacing w:line="360" w:lineRule="auto"/>
        <w:ind w:left="900" w:hanging="720"/>
        <w:jc w:val="both"/>
        <w:rPr>
          <w:rFonts w:ascii="Arial" w:hAnsi="Arial" w:cs="Arial"/>
          <w:sz w:val="24"/>
          <w:szCs w:val="24"/>
        </w:rPr>
      </w:pPr>
      <w:r w:rsidRPr="00E27197">
        <w:rPr>
          <w:rFonts w:ascii="Arial" w:hAnsi="Arial" w:cs="Arial"/>
          <w:sz w:val="24"/>
          <w:szCs w:val="24"/>
        </w:rPr>
        <w:t>26.</w:t>
      </w:r>
      <w:r w:rsidRPr="00E27197">
        <w:rPr>
          <w:rFonts w:ascii="Arial" w:hAnsi="Arial" w:cs="Arial"/>
          <w:sz w:val="24"/>
          <w:szCs w:val="24"/>
        </w:rPr>
        <w:tab/>
      </w:r>
      <w:r w:rsidR="005701F5" w:rsidRPr="00E27197">
        <w:rPr>
          <w:rFonts w:ascii="Arial" w:hAnsi="Arial" w:cs="Arial"/>
          <w:sz w:val="24"/>
          <w:szCs w:val="24"/>
        </w:rPr>
        <w:t xml:space="preserve">I consequently hold the </w:t>
      </w:r>
      <w:r w:rsidRPr="00E27197">
        <w:rPr>
          <w:rFonts w:ascii="Arial" w:hAnsi="Arial" w:cs="Arial"/>
          <w:sz w:val="24"/>
          <w:szCs w:val="24"/>
        </w:rPr>
        <w:t xml:space="preserve">respectful </w:t>
      </w:r>
      <w:r w:rsidR="005701F5" w:rsidRPr="00E27197">
        <w:rPr>
          <w:rFonts w:ascii="Arial" w:hAnsi="Arial" w:cs="Arial"/>
          <w:sz w:val="24"/>
          <w:szCs w:val="24"/>
        </w:rPr>
        <w:t>view that it is in the interest of expediency for this Security Application to be dispensed with at this stage.</w:t>
      </w:r>
    </w:p>
    <w:p w:rsidR="005701F5" w:rsidRPr="00E27197" w:rsidRDefault="005701F5" w:rsidP="00E27197">
      <w:pPr>
        <w:spacing w:line="360" w:lineRule="auto"/>
        <w:jc w:val="both"/>
        <w:rPr>
          <w:rFonts w:ascii="Arial" w:hAnsi="Arial" w:cs="Arial"/>
          <w:sz w:val="24"/>
          <w:szCs w:val="24"/>
        </w:rPr>
      </w:pPr>
    </w:p>
    <w:p w:rsidR="005701F5" w:rsidRPr="00E27197" w:rsidRDefault="005701F5" w:rsidP="00E27197">
      <w:pPr>
        <w:spacing w:line="360" w:lineRule="auto"/>
        <w:jc w:val="both"/>
        <w:rPr>
          <w:rFonts w:ascii="Arial" w:hAnsi="Arial" w:cs="Arial"/>
          <w:b/>
          <w:sz w:val="24"/>
          <w:szCs w:val="24"/>
        </w:rPr>
      </w:pPr>
      <w:r w:rsidRPr="00E27197">
        <w:rPr>
          <w:rFonts w:ascii="Arial" w:hAnsi="Arial" w:cs="Arial"/>
          <w:b/>
          <w:sz w:val="24"/>
          <w:szCs w:val="24"/>
          <w:u w:val="single"/>
        </w:rPr>
        <w:t>AD MERITS</w:t>
      </w:r>
      <w:r w:rsidRPr="00E27197">
        <w:rPr>
          <w:rFonts w:ascii="Arial" w:hAnsi="Arial" w:cs="Arial"/>
          <w:b/>
          <w:sz w:val="24"/>
          <w:szCs w:val="24"/>
        </w:rPr>
        <w:t>:</w:t>
      </w:r>
    </w:p>
    <w:p w:rsidR="003D4B27" w:rsidRPr="00E27197" w:rsidRDefault="003D4B27" w:rsidP="00E27197">
      <w:pPr>
        <w:spacing w:line="360" w:lineRule="auto"/>
        <w:ind w:left="900" w:hanging="720"/>
        <w:jc w:val="both"/>
        <w:rPr>
          <w:rFonts w:ascii="Arial" w:hAnsi="Arial" w:cs="Arial"/>
          <w:b/>
          <w:sz w:val="24"/>
          <w:szCs w:val="24"/>
        </w:rPr>
      </w:pPr>
    </w:p>
    <w:p w:rsidR="003D4B27" w:rsidRPr="00E27197" w:rsidRDefault="006C2EF3" w:rsidP="00E27197">
      <w:pPr>
        <w:spacing w:line="360" w:lineRule="auto"/>
        <w:ind w:left="900" w:hanging="720"/>
        <w:jc w:val="both"/>
        <w:rPr>
          <w:rFonts w:ascii="Arial" w:hAnsi="Arial" w:cs="Arial"/>
          <w:sz w:val="24"/>
          <w:szCs w:val="24"/>
        </w:rPr>
      </w:pPr>
      <w:r w:rsidRPr="00E27197">
        <w:rPr>
          <w:rFonts w:ascii="Arial" w:hAnsi="Arial" w:cs="Arial"/>
          <w:sz w:val="24"/>
          <w:szCs w:val="24"/>
        </w:rPr>
        <w:t>27.</w:t>
      </w:r>
      <w:r w:rsidRPr="00E27197">
        <w:rPr>
          <w:rFonts w:ascii="Arial" w:hAnsi="Arial" w:cs="Arial"/>
          <w:sz w:val="24"/>
          <w:szCs w:val="24"/>
        </w:rPr>
        <w:tab/>
      </w:r>
      <w:r w:rsidR="00A53BB5" w:rsidRPr="00E27197">
        <w:rPr>
          <w:rFonts w:ascii="Arial" w:hAnsi="Arial" w:cs="Arial"/>
          <w:sz w:val="24"/>
          <w:szCs w:val="24"/>
        </w:rPr>
        <w:t xml:space="preserve">It is common cause that </w:t>
      </w:r>
      <w:r w:rsidR="003D4B27" w:rsidRPr="00E27197">
        <w:rPr>
          <w:rFonts w:ascii="Arial" w:hAnsi="Arial" w:cs="Arial"/>
          <w:sz w:val="24"/>
          <w:szCs w:val="24"/>
        </w:rPr>
        <w:t>Van Der Ryst had been declared insolvent by this Court on or about 15 July 2022</w:t>
      </w:r>
      <w:r w:rsidR="00A53BB5" w:rsidRPr="00E27197">
        <w:rPr>
          <w:rFonts w:ascii="Arial" w:hAnsi="Arial" w:cs="Arial"/>
          <w:sz w:val="24"/>
          <w:szCs w:val="24"/>
        </w:rPr>
        <w:t xml:space="preserve"> and that the position in respect of his insolvency had not changed since then. </w:t>
      </w:r>
    </w:p>
    <w:p w:rsidR="00C66A70" w:rsidRPr="00E27197" w:rsidRDefault="00C66A70" w:rsidP="00E27197">
      <w:pPr>
        <w:spacing w:line="360" w:lineRule="auto"/>
        <w:ind w:left="900" w:hanging="720"/>
        <w:jc w:val="both"/>
        <w:rPr>
          <w:rFonts w:ascii="Arial" w:hAnsi="Arial" w:cs="Arial"/>
          <w:sz w:val="24"/>
          <w:szCs w:val="24"/>
        </w:rPr>
      </w:pPr>
    </w:p>
    <w:p w:rsidR="00C66A70" w:rsidRPr="00E27197" w:rsidRDefault="006C2EF3" w:rsidP="00E27197">
      <w:pPr>
        <w:spacing w:line="360" w:lineRule="auto"/>
        <w:ind w:left="900" w:hanging="720"/>
        <w:jc w:val="both"/>
        <w:rPr>
          <w:rFonts w:ascii="Arial" w:hAnsi="Arial" w:cs="Arial"/>
          <w:sz w:val="24"/>
          <w:szCs w:val="24"/>
        </w:rPr>
      </w:pPr>
      <w:r w:rsidRPr="00E27197">
        <w:rPr>
          <w:rFonts w:ascii="Arial" w:hAnsi="Arial" w:cs="Arial"/>
          <w:sz w:val="24"/>
          <w:szCs w:val="24"/>
        </w:rPr>
        <w:t>28.</w:t>
      </w:r>
      <w:r w:rsidRPr="00E27197">
        <w:rPr>
          <w:rFonts w:ascii="Arial" w:hAnsi="Arial" w:cs="Arial"/>
          <w:sz w:val="24"/>
          <w:szCs w:val="24"/>
        </w:rPr>
        <w:tab/>
      </w:r>
      <w:r w:rsidR="00C66A70" w:rsidRPr="00E27197">
        <w:rPr>
          <w:rFonts w:ascii="Arial" w:hAnsi="Arial" w:cs="Arial"/>
          <w:sz w:val="24"/>
          <w:szCs w:val="24"/>
        </w:rPr>
        <w:t>The mere fact however that Van Der Ryst is an insolvent, does not entitle the Trustees to an order that Van Der Ryst should set security as it has been held that an order as to the provision of security will, in such circumstances, only be granted if the Main Application was found to be reckless and vexatious.</w:t>
      </w:r>
      <w:r w:rsidR="00F378E8" w:rsidRPr="00E27197">
        <w:rPr>
          <w:rStyle w:val="FootnoteReference"/>
          <w:rFonts w:ascii="Arial" w:hAnsi="Arial" w:cs="Arial"/>
          <w:sz w:val="24"/>
          <w:szCs w:val="24"/>
        </w:rPr>
        <w:footnoteReference w:id="13"/>
      </w:r>
    </w:p>
    <w:p w:rsidR="00160F8E" w:rsidRPr="00E27197" w:rsidRDefault="00160F8E" w:rsidP="00E27197">
      <w:pPr>
        <w:spacing w:line="360" w:lineRule="auto"/>
        <w:ind w:left="900" w:hanging="720"/>
        <w:jc w:val="both"/>
        <w:rPr>
          <w:rFonts w:ascii="Arial" w:hAnsi="Arial" w:cs="Arial"/>
          <w:sz w:val="24"/>
          <w:szCs w:val="24"/>
        </w:rPr>
      </w:pPr>
    </w:p>
    <w:p w:rsidR="00160F8E" w:rsidRPr="00E27197" w:rsidRDefault="00160F8E" w:rsidP="00E27197">
      <w:pPr>
        <w:spacing w:line="360" w:lineRule="auto"/>
        <w:ind w:left="900"/>
        <w:jc w:val="both"/>
        <w:rPr>
          <w:rFonts w:ascii="Arial" w:hAnsi="Arial" w:cs="Arial"/>
          <w:sz w:val="24"/>
          <w:szCs w:val="24"/>
        </w:rPr>
      </w:pPr>
      <w:r w:rsidRPr="00E27197">
        <w:rPr>
          <w:rFonts w:ascii="Arial" w:hAnsi="Arial" w:cs="Arial"/>
          <w:sz w:val="24"/>
          <w:szCs w:val="24"/>
        </w:rPr>
        <w:t xml:space="preserve">The above principle was </w:t>
      </w:r>
      <w:r w:rsidR="002468EF" w:rsidRPr="00E27197">
        <w:rPr>
          <w:rFonts w:ascii="Arial" w:hAnsi="Arial" w:cs="Arial"/>
          <w:sz w:val="24"/>
          <w:szCs w:val="24"/>
        </w:rPr>
        <w:t xml:space="preserve">actually </w:t>
      </w:r>
      <w:r w:rsidRPr="00E27197">
        <w:rPr>
          <w:rFonts w:ascii="Arial" w:hAnsi="Arial" w:cs="Arial"/>
          <w:sz w:val="24"/>
          <w:szCs w:val="24"/>
        </w:rPr>
        <w:t>established quite some time ago already where the Supreme Court of Appeal</w:t>
      </w:r>
      <w:r w:rsidR="002468EF" w:rsidRPr="00E27197">
        <w:rPr>
          <w:rFonts w:ascii="Arial" w:hAnsi="Arial" w:cs="Arial"/>
          <w:sz w:val="24"/>
          <w:szCs w:val="24"/>
        </w:rPr>
        <w:t xml:space="preserve">, in the matter of </w:t>
      </w:r>
      <w:r w:rsidR="002468EF" w:rsidRPr="00E27197">
        <w:rPr>
          <w:rFonts w:ascii="Arial" w:hAnsi="Arial" w:cs="Arial"/>
          <w:b/>
          <w:i/>
          <w:sz w:val="24"/>
          <w:szCs w:val="24"/>
        </w:rPr>
        <w:t>Ecker v Dean</w:t>
      </w:r>
      <w:r w:rsidR="002468EF" w:rsidRPr="00E27197">
        <w:rPr>
          <w:rStyle w:val="FootnoteReference"/>
          <w:rFonts w:ascii="Arial" w:hAnsi="Arial" w:cs="Arial"/>
          <w:sz w:val="24"/>
          <w:szCs w:val="24"/>
        </w:rPr>
        <w:footnoteReference w:id="14"/>
      </w:r>
      <w:r w:rsidR="002468EF" w:rsidRPr="00E27197">
        <w:rPr>
          <w:rFonts w:ascii="Arial" w:hAnsi="Arial" w:cs="Arial"/>
          <w:sz w:val="24"/>
          <w:szCs w:val="24"/>
        </w:rPr>
        <w:t xml:space="preserve"> confirmed same and added “</w:t>
      </w:r>
      <w:r w:rsidR="002468EF" w:rsidRPr="00E27197">
        <w:rPr>
          <w:rFonts w:ascii="Arial" w:hAnsi="Arial" w:cs="Arial"/>
          <w:i/>
          <w:sz w:val="24"/>
          <w:szCs w:val="24"/>
        </w:rPr>
        <w:t>… that every application for security must be decided on the merits of the particular case before the Court, bearing in mind that the basis of granting an order for security is that the action is reckless and vexatious.</w:t>
      </w:r>
      <w:r w:rsidR="002468EF" w:rsidRPr="00E27197">
        <w:rPr>
          <w:rFonts w:ascii="Arial" w:hAnsi="Arial" w:cs="Arial"/>
          <w:sz w:val="24"/>
          <w:szCs w:val="24"/>
        </w:rPr>
        <w:t>”</w:t>
      </w:r>
      <w:r w:rsidR="009E797D" w:rsidRPr="00E27197">
        <w:rPr>
          <w:rStyle w:val="FootnoteReference"/>
          <w:rFonts w:ascii="Arial" w:hAnsi="Arial" w:cs="Arial"/>
          <w:sz w:val="24"/>
          <w:szCs w:val="24"/>
        </w:rPr>
        <w:footnoteReference w:id="15"/>
      </w:r>
    </w:p>
    <w:p w:rsidR="009E797D" w:rsidRPr="00E27197" w:rsidRDefault="009E797D" w:rsidP="00E27197">
      <w:pPr>
        <w:spacing w:line="360" w:lineRule="auto"/>
        <w:ind w:left="900" w:hanging="720"/>
        <w:jc w:val="both"/>
        <w:rPr>
          <w:rFonts w:ascii="Arial" w:hAnsi="Arial" w:cs="Arial"/>
          <w:sz w:val="24"/>
          <w:szCs w:val="24"/>
        </w:rPr>
      </w:pPr>
    </w:p>
    <w:p w:rsidR="009E797D" w:rsidRPr="00E27197" w:rsidRDefault="006C2EF3" w:rsidP="00E27197">
      <w:pPr>
        <w:spacing w:line="360" w:lineRule="auto"/>
        <w:ind w:left="900" w:hanging="720"/>
        <w:jc w:val="both"/>
        <w:rPr>
          <w:rFonts w:ascii="Arial" w:hAnsi="Arial" w:cs="Arial"/>
          <w:sz w:val="24"/>
          <w:szCs w:val="24"/>
        </w:rPr>
      </w:pPr>
      <w:r w:rsidRPr="00E27197">
        <w:rPr>
          <w:rFonts w:ascii="Arial" w:hAnsi="Arial" w:cs="Arial"/>
          <w:sz w:val="24"/>
          <w:szCs w:val="24"/>
        </w:rPr>
        <w:t>29.</w:t>
      </w:r>
      <w:r w:rsidRPr="00E27197">
        <w:rPr>
          <w:rFonts w:ascii="Arial" w:hAnsi="Arial" w:cs="Arial"/>
          <w:sz w:val="24"/>
          <w:szCs w:val="24"/>
        </w:rPr>
        <w:tab/>
      </w:r>
      <w:r w:rsidR="009E797D" w:rsidRPr="00E27197">
        <w:rPr>
          <w:rFonts w:ascii="Arial" w:hAnsi="Arial" w:cs="Arial"/>
          <w:sz w:val="24"/>
          <w:szCs w:val="24"/>
        </w:rPr>
        <w:t>Further to the above and in the same matter, the Court confirmed that the Court has an inherent discretion to order that security be provided in order to prevent the abuse of its own processes</w:t>
      </w:r>
      <w:r w:rsidR="00AC61EF" w:rsidRPr="00E27197">
        <w:rPr>
          <w:rFonts w:ascii="Arial" w:hAnsi="Arial" w:cs="Arial"/>
          <w:sz w:val="24"/>
          <w:szCs w:val="24"/>
        </w:rPr>
        <w:t>, but that this discretion should be “</w:t>
      </w:r>
      <w:r w:rsidRPr="00E27197">
        <w:rPr>
          <w:rFonts w:ascii="Arial" w:hAnsi="Arial" w:cs="Arial"/>
          <w:i/>
          <w:sz w:val="24"/>
          <w:szCs w:val="24"/>
        </w:rPr>
        <w:t xml:space="preserve">… </w:t>
      </w:r>
      <w:r w:rsidR="00AC61EF" w:rsidRPr="00E27197">
        <w:rPr>
          <w:rFonts w:ascii="Arial" w:hAnsi="Arial" w:cs="Arial"/>
          <w:i/>
          <w:sz w:val="24"/>
          <w:szCs w:val="24"/>
        </w:rPr>
        <w:t>sparingly exercised</w:t>
      </w:r>
      <w:r w:rsidR="0036627C" w:rsidRPr="00E27197">
        <w:rPr>
          <w:rFonts w:ascii="Arial" w:hAnsi="Arial" w:cs="Arial"/>
          <w:i/>
          <w:sz w:val="24"/>
          <w:szCs w:val="24"/>
        </w:rPr>
        <w:t xml:space="preserve"> and only in very exceptional cases.</w:t>
      </w:r>
      <w:r w:rsidR="0036627C" w:rsidRPr="00E27197">
        <w:rPr>
          <w:rFonts w:ascii="Arial" w:hAnsi="Arial" w:cs="Arial"/>
          <w:sz w:val="24"/>
          <w:szCs w:val="24"/>
        </w:rPr>
        <w:t>”</w:t>
      </w:r>
      <w:r w:rsidR="000521EE" w:rsidRPr="00E27197">
        <w:rPr>
          <w:rStyle w:val="FootnoteReference"/>
          <w:rFonts w:ascii="Arial" w:hAnsi="Arial" w:cs="Arial"/>
          <w:sz w:val="24"/>
          <w:szCs w:val="24"/>
        </w:rPr>
        <w:footnoteReference w:id="16"/>
      </w:r>
    </w:p>
    <w:p w:rsidR="008325A0" w:rsidRPr="00E27197" w:rsidRDefault="008325A0" w:rsidP="00E27197">
      <w:pPr>
        <w:spacing w:line="360" w:lineRule="auto"/>
        <w:ind w:left="900" w:hanging="720"/>
        <w:jc w:val="both"/>
        <w:rPr>
          <w:rFonts w:ascii="Arial" w:hAnsi="Arial" w:cs="Arial"/>
          <w:sz w:val="24"/>
          <w:szCs w:val="24"/>
        </w:rPr>
      </w:pPr>
    </w:p>
    <w:p w:rsidR="008325A0" w:rsidRPr="00E27197" w:rsidRDefault="00DD5BCE" w:rsidP="00E27197">
      <w:pPr>
        <w:spacing w:line="360" w:lineRule="auto"/>
        <w:ind w:left="900" w:hanging="720"/>
        <w:jc w:val="both"/>
        <w:rPr>
          <w:rFonts w:ascii="Arial" w:hAnsi="Arial" w:cs="Arial"/>
          <w:sz w:val="24"/>
          <w:szCs w:val="24"/>
        </w:rPr>
      </w:pPr>
      <w:r w:rsidRPr="00E27197">
        <w:rPr>
          <w:rFonts w:ascii="Arial" w:hAnsi="Arial" w:cs="Arial"/>
          <w:sz w:val="24"/>
          <w:szCs w:val="24"/>
        </w:rPr>
        <w:t>30.</w:t>
      </w:r>
      <w:r w:rsidRPr="00E27197">
        <w:rPr>
          <w:rFonts w:ascii="Arial" w:hAnsi="Arial" w:cs="Arial"/>
          <w:sz w:val="24"/>
          <w:szCs w:val="24"/>
        </w:rPr>
        <w:tab/>
      </w:r>
      <w:r w:rsidR="008325A0" w:rsidRPr="00E27197">
        <w:rPr>
          <w:rFonts w:ascii="Arial" w:hAnsi="Arial" w:cs="Arial"/>
          <w:sz w:val="24"/>
          <w:szCs w:val="24"/>
        </w:rPr>
        <w:t xml:space="preserve">It is common cause </w:t>
      </w:r>
      <w:r w:rsidRPr="00E27197">
        <w:rPr>
          <w:rFonts w:ascii="Arial" w:hAnsi="Arial" w:cs="Arial"/>
          <w:sz w:val="24"/>
          <w:szCs w:val="24"/>
        </w:rPr>
        <w:t xml:space="preserve">and also stating the obvious </w:t>
      </w:r>
      <w:r w:rsidR="008325A0" w:rsidRPr="00E27197">
        <w:rPr>
          <w:rFonts w:ascii="Arial" w:hAnsi="Arial" w:cs="Arial"/>
          <w:sz w:val="24"/>
          <w:szCs w:val="24"/>
        </w:rPr>
        <w:t>that one of the ways in which to prevent the abuse of Court process, is to order that security for costs be provided</w:t>
      </w:r>
      <w:r w:rsidR="00E24CFC" w:rsidRPr="00E27197">
        <w:rPr>
          <w:rFonts w:ascii="Arial" w:hAnsi="Arial" w:cs="Arial"/>
          <w:sz w:val="24"/>
          <w:szCs w:val="24"/>
        </w:rPr>
        <w:t xml:space="preserve"> and thereby effectively stay the proceedings up and until such time that security is indeed provided</w:t>
      </w:r>
      <w:r w:rsidR="008325A0" w:rsidRPr="00E27197">
        <w:rPr>
          <w:rFonts w:ascii="Arial" w:hAnsi="Arial" w:cs="Arial"/>
          <w:sz w:val="24"/>
          <w:szCs w:val="24"/>
        </w:rPr>
        <w:t>.</w:t>
      </w:r>
      <w:r w:rsidR="008325A0" w:rsidRPr="00E27197">
        <w:rPr>
          <w:rStyle w:val="FootnoteReference"/>
          <w:rFonts w:ascii="Arial" w:hAnsi="Arial" w:cs="Arial"/>
          <w:sz w:val="24"/>
          <w:szCs w:val="24"/>
        </w:rPr>
        <w:footnoteReference w:id="17"/>
      </w:r>
    </w:p>
    <w:p w:rsidR="00442488" w:rsidRPr="00E27197" w:rsidRDefault="00442488" w:rsidP="00E27197">
      <w:pPr>
        <w:spacing w:line="360" w:lineRule="auto"/>
        <w:ind w:left="900" w:hanging="720"/>
        <w:jc w:val="both"/>
        <w:rPr>
          <w:rFonts w:ascii="Arial" w:hAnsi="Arial" w:cs="Arial"/>
          <w:sz w:val="24"/>
          <w:szCs w:val="24"/>
        </w:rPr>
      </w:pPr>
    </w:p>
    <w:p w:rsidR="00442488" w:rsidRPr="00E27197" w:rsidRDefault="00442488" w:rsidP="00E27197">
      <w:pPr>
        <w:spacing w:line="360" w:lineRule="auto"/>
        <w:ind w:left="900"/>
        <w:jc w:val="both"/>
        <w:rPr>
          <w:rFonts w:ascii="Arial" w:hAnsi="Arial" w:cs="Arial"/>
          <w:sz w:val="24"/>
          <w:szCs w:val="24"/>
        </w:rPr>
      </w:pPr>
      <w:r w:rsidRPr="00E27197">
        <w:rPr>
          <w:rFonts w:ascii="Arial" w:hAnsi="Arial" w:cs="Arial"/>
          <w:sz w:val="24"/>
          <w:szCs w:val="24"/>
        </w:rPr>
        <w:t>It has also been held, with reference to the af</w:t>
      </w:r>
      <w:r w:rsidR="00C8206B">
        <w:rPr>
          <w:rFonts w:ascii="Arial" w:hAnsi="Arial" w:cs="Arial"/>
          <w:sz w:val="24"/>
          <w:szCs w:val="24"/>
        </w:rPr>
        <w:t>ore-said discretion of</w:t>
      </w:r>
      <w:r w:rsidRPr="00E27197">
        <w:rPr>
          <w:rFonts w:ascii="Arial" w:hAnsi="Arial" w:cs="Arial"/>
          <w:sz w:val="24"/>
          <w:szCs w:val="24"/>
        </w:rPr>
        <w:t xml:space="preserve"> the Court to </w:t>
      </w:r>
      <w:r w:rsidR="00E24CFC" w:rsidRPr="00E27197">
        <w:rPr>
          <w:rFonts w:ascii="Arial" w:hAnsi="Arial" w:cs="Arial"/>
          <w:sz w:val="24"/>
          <w:szCs w:val="24"/>
        </w:rPr>
        <w:t>stay its proceedings i</w:t>
      </w:r>
      <w:r w:rsidRPr="00E27197">
        <w:rPr>
          <w:rFonts w:ascii="Arial" w:hAnsi="Arial" w:cs="Arial"/>
          <w:sz w:val="24"/>
          <w:szCs w:val="24"/>
        </w:rPr>
        <w:t>n order to prevent the abuse of process that:</w:t>
      </w:r>
    </w:p>
    <w:p w:rsidR="00442488" w:rsidRPr="00E27197" w:rsidRDefault="00442488" w:rsidP="00E27197">
      <w:pPr>
        <w:spacing w:line="360" w:lineRule="auto"/>
        <w:ind w:left="900" w:hanging="720"/>
        <w:jc w:val="both"/>
        <w:rPr>
          <w:rFonts w:ascii="Arial" w:hAnsi="Arial" w:cs="Arial"/>
          <w:sz w:val="24"/>
          <w:szCs w:val="24"/>
        </w:rPr>
      </w:pPr>
    </w:p>
    <w:p w:rsidR="00442488" w:rsidRPr="00E27197" w:rsidRDefault="00442488" w:rsidP="00E27197">
      <w:pPr>
        <w:spacing w:line="360" w:lineRule="auto"/>
        <w:ind w:left="900"/>
        <w:jc w:val="both"/>
        <w:rPr>
          <w:rFonts w:ascii="Arial" w:hAnsi="Arial" w:cs="Arial"/>
          <w:sz w:val="24"/>
          <w:szCs w:val="24"/>
        </w:rPr>
      </w:pPr>
      <w:r w:rsidRPr="00E27197">
        <w:rPr>
          <w:rFonts w:ascii="Arial" w:hAnsi="Arial" w:cs="Arial"/>
          <w:sz w:val="24"/>
          <w:szCs w:val="24"/>
        </w:rPr>
        <w:t>“</w:t>
      </w:r>
      <w:r w:rsidRPr="00E27197">
        <w:rPr>
          <w:rFonts w:ascii="Arial" w:hAnsi="Arial" w:cs="Arial"/>
          <w:i/>
          <w:sz w:val="24"/>
          <w:szCs w:val="24"/>
        </w:rPr>
        <w:t>Proceedings will be stayed when they are vexatious or frivolous or when their continuance, on all the circumstances of the case, is, or may prove to be, an injustice or serious embarrassment to one or other of the parties…</w:t>
      </w:r>
      <w:r w:rsidRPr="00E27197">
        <w:rPr>
          <w:rFonts w:ascii="Arial" w:hAnsi="Arial" w:cs="Arial"/>
          <w:sz w:val="24"/>
          <w:szCs w:val="24"/>
        </w:rPr>
        <w:t>”</w:t>
      </w:r>
      <w:r w:rsidRPr="00E27197">
        <w:rPr>
          <w:rStyle w:val="FootnoteReference"/>
          <w:rFonts w:ascii="Arial" w:hAnsi="Arial" w:cs="Arial"/>
          <w:sz w:val="24"/>
          <w:szCs w:val="24"/>
        </w:rPr>
        <w:footnoteReference w:id="18"/>
      </w:r>
    </w:p>
    <w:p w:rsidR="00CD08EA" w:rsidRPr="00E27197" w:rsidRDefault="00CD08EA" w:rsidP="00E27197">
      <w:pPr>
        <w:spacing w:line="360" w:lineRule="auto"/>
        <w:ind w:left="900" w:hanging="720"/>
        <w:jc w:val="both"/>
        <w:rPr>
          <w:rFonts w:ascii="Arial" w:hAnsi="Arial" w:cs="Arial"/>
          <w:sz w:val="24"/>
          <w:szCs w:val="24"/>
        </w:rPr>
      </w:pPr>
    </w:p>
    <w:p w:rsidR="00CD08EA" w:rsidRPr="00E27197" w:rsidRDefault="00DD5BCE" w:rsidP="00E27197">
      <w:pPr>
        <w:spacing w:line="360" w:lineRule="auto"/>
        <w:ind w:left="900" w:hanging="720"/>
        <w:jc w:val="both"/>
        <w:rPr>
          <w:rFonts w:ascii="Arial" w:hAnsi="Arial" w:cs="Arial"/>
          <w:sz w:val="24"/>
          <w:szCs w:val="24"/>
        </w:rPr>
      </w:pPr>
      <w:r w:rsidRPr="00E27197">
        <w:rPr>
          <w:rFonts w:ascii="Arial" w:hAnsi="Arial" w:cs="Arial"/>
          <w:sz w:val="24"/>
          <w:szCs w:val="24"/>
        </w:rPr>
        <w:t>31.</w:t>
      </w:r>
      <w:r w:rsidRPr="00E27197">
        <w:rPr>
          <w:rFonts w:ascii="Arial" w:hAnsi="Arial" w:cs="Arial"/>
          <w:sz w:val="24"/>
          <w:szCs w:val="24"/>
        </w:rPr>
        <w:tab/>
      </w:r>
      <w:r w:rsidR="00CD08EA" w:rsidRPr="00E27197">
        <w:rPr>
          <w:rFonts w:ascii="Arial" w:hAnsi="Arial" w:cs="Arial"/>
          <w:sz w:val="24"/>
          <w:szCs w:val="24"/>
        </w:rPr>
        <w:t>The term</w:t>
      </w:r>
      <w:r w:rsidR="00DE6048" w:rsidRPr="00E27197">
        <w:rPr>
          <w:rFonts w:ascii="Arial" w:hAnsi="Arial" w:cs="Arial"/>
          <w:sz w:val="24"/>
          <w:szCs w:val="24"/>
        </w:rPr>
        <w:t>s</w:t>
      </w:r>
      <w:r w:rsidR="00CD08EA" w:rsidRPr="00E27197">
        <w:rPr>
          <w:rFonts w:ascii="Arial" w:hAnsi="Arial" w:cs="Arial"/>
          <w:sz w:val="24"/>
          <w:szCs w:val="24"/>
        </w:rPr>
        <w:t xml:space="preserve"> “</w:t>
      </w:r>
      <w:r w:rsidR="00CD08EA" w:rsidRPr="00E27197">
        <w:rPr>
          <w:rFonts w:ascii="Arial" w:hAnsi="Arial" w:cs="Arial"/>
          <w:i/>
          <w:sz w:val="24"/>
          <w:szCs w:val="24"/>
        </w:rPr>
        <w:t>vexatious</w:t>
      </w:r>
      <w:r w:rsidR="00CD08EA" w:rsidRPr="00E27197">
        <w:rPr>
          <w:rFonts w:ascii="Arial" w:hAnsi="Arial" w:cs="Arial"/>
          <w:sz w:val="24"/>
          <w:szCs w:val="24"/>
        </w:rPr>
        <w:t xml:space="preserve">” </w:t>
      </w:r>
      <w:r w:rsidR="00E51375" w:rsidRPr="00E27197">
        <w:rPr>
          <w:rFonts w:ascii="Arial" w:hAnsi="Arial" w:cs="Arial"/>
          <w:sz w:val="24"/>
          <w:szCs w:val="24"/>
        </w:rPr>
        <w:t>and “</w:t>
      </w:r>
      <w:r w:rsidR="00E51375" w:rsidRPr="00E27197">
        <w:rPr>
          <w:rFonts w:ascii="Arial" w:hAnsi="Arial" w:cs="Arial"/>
          <w:i/>
          <w:sz w:val="24"/>
          <w:szCs w:val="24"/>
        </w:rPr>
        <w:t>abuse</w:t>
      </w:r>
      <w:r w:rsidR="00E51375" w:rsidRPr="00E27197">
        <w:rPr>
          <w:rFonts w:ascii="Arial" w:hAnsi="Arial" w:cs="Arial"/>
          <w:sz w:val="24"/>
          <w:szCs w:val="24"/>
        </w:rPr>
        <w:t xml:space="preserve">” </w:t>
      </w:r>
      <w:r w:rsidR="00DE6048" w:rsidRPr="00E27197">
        <w:rPr>
          <w:rFonts w:ascii="Arial" w:hAnsi="Arial" w:cs="Arial"/>
          <w:sz w:val="24"/>
          <w:szCs w:val="24"/>
        </w:rPr>
        <w:t>in the legal sense, have</w:t>
      </w:r>
      <w:r w:rsidR="00CD08EA" w:rsidRPr="00E27197">
        <w:rPr>
          <w:rFonts w:ascii="Arial" w:hAnsi="Arial" w:cs="Arial"/>
          <w:sz w:val="24"/>
          <w:szCs w:val="24"/>
        </w:rPr>
        <w:t xml:space="preserve"> been defined as</w:t>
      </w:r>
      <w:r w:rsidR="00194E96" w:rsidRPr="00E27197">
        <w:rPr>
          <w:rFonts w:ascii="Arial" w:hAnsi="Arial" w:cs="Arial"/>
          <w:sz w:val="24"/>
          <w:szCs w:val="24"/>
        </w:rPr>
        <w:t xml:space="preserve"> “</w:t>
      </w:r>
      <w:r w:rsidR="00194E96" w:rsidRPr="00E27197">
        <w:rPr>
          <w:rFonts w:ascii="Arial" w:hAnsi="Arial" w:cs="Arial"/>
          <w:i/>
          <w:sz w:val="24"/>
          <w:szCs w:val="24"/>
        </w:rPr>
        <w:t>frivolous, improper: instituted without sufficient ground, to serve solely as an annoyance to the defendant</w:t>
      </w:r>
      <w:r w:rsidRPr="00E27197">
        <w:rPr>
          <w:rFonts w:ascii="Arial" w:hAnsi="Arial" w:cs="Arial"/>
          <w:i/>
          <w:sz w:val="24"/>
          <w:szCs w:val="24"/>
        </w:rPr>
        <w:t xml:space="preserve"> </w:t>
      </w:r>
      <w:r w:rsidR="00194E96" w:rsidRPr="00E27197">
        <w:rPr>
          <w:rFonts w:ascii="Arial" w:hAnsi="Arial" w:cs="Arial"/>
          <w:i/>
          <w:sz w:val="24"/>
          <w:szCs w:val="24"/>
        </w:rPr>
        <w:t>…</w:t>
      </w:r>
      <w:r w:rsidRPr="00E27197">
        <w:rPr>
          <w:rFonts w:ascii="Arial" w:hAnsi="Arial" w:cs="Arial"/>
          <w:i/>
          <w:sz w:val="24"/>
          <w:szCs w:val="24"/>
        </w:rPr>
        <w:t xml:space="preserve"> </w:t>
      </w:r>
      <w:r w:rsidR="00194E96" w:rsidRPr="00E27197">
        <w:rPr>
          <w:rFonts w:ascii="Arial" w:hAnsi="Arial" w:cs="Arial"/>
          <w:i/>
          <w:sz w:val="24"/>
          <w:szCs w:val="24"/>
        </w:rPr>
        <w:t>Vexatious proceedings would also no doubt include proceedings which, although properly instituted, are continued with the sole purpose of causing annoyance to the defendant; ‘abuse’ connotes a misuse, an improper use, a use mala fide, a use for an ulterior motive.</w:t>
      </w:r>
      <w:r w:rsidR="00194E96" w:rsidRPr="00E27197">
        <w:rPr>
          <w:rFonts w:ascii="Arial" w:hAnsi="Arial" w:cs="Arial"/>
          <w:sz w:val="24"/>
          <w:szCs w:val="24"/>
        </w:rPr>
        <w:t>”</w:t>
      </w:r>
      <w:r w:rsidR="00E82403" w:rsidRPr="00E27197">
        <w:rPr>
          <w:rStyle w:val="FootnoteReference"/>
          <w:rFonts w:ascii="Arial" w:hAnsi="Arial" w:cs="Arial"/>
          <w:sz w:val="24"/>
          <w:szCs w:val="24"/>
        </w:rPr>
        <w:footnoteReference w:id="19"/>
      </w:r>
    </w:p>
    <w:p w:rsidR="002A2C33" w:rsidRPr="00E27197" w:rsidRDefault="002A2C33" w:rsidP="00E27197">
      <w:pPr>
        <w:spacing w:line="360" w:lineRule="auto"/>
        <w:ind w:left="900" w:hanging="720"/>
        <w:jc w:val="both"/>
        <w:rPr>
          <w:rFonts w:ascii="Arial" w:hAnsi="Arial" w:cs="Arial"/>
          <w:sz w:val="24"/>
          <w:szCs w:val="24"/>
        </w:rPr>
      </w:pPr>
    </w:p>
    <w:p w:rsidR="002A2C33" w:rsidRPr="00E27197" w:rsidRDefault="002A2C33" w:rsidP="00E27197">
      <w:pPr>
        <w:spacing w:line="360" w:lineRule="auto"/>
        <w:ind w:left="900"/>
        <w:jc w:val="both"/>
        <w:rPr>
          <w:rFonts w:ascii="Arial" w:hAnsi="Arial" w:cs="Arial"/>
          <w:sz w:val="24"/>
          <w:szCs w:val="24"/>
        </w:rPr>
      </w:pPr>
      <w:r w:rsidRPr="00E27197">
        <w:rPr>
          <w:rFonts w:ascii="Arial" w:hAnsi="Arial" w:cs="Arial"/>
          <w:sz w:val="24"/>
          <w:szCs w:val="24"/>
        </w:rPr>
        <w:t>It has also been held that a matter will be deemed to be vexatious and an abuse of Court processes “</w:t>
      </w:r>
      <w:r w:rsidRPr="00E27197">
        <w:rPr>
          <w:rFonts w:ascii="Arial" w:hAnsi="Arial" w:cs="Arial"/>
          <w:i/>
          <w:sz w:val="24"/>
          <w:szCs w:val="24"/>
        </w:rPr>
        <w:t>…i</w:t>
      </w:r>
      <w:r w:rsidR="00F47B61" w:rsidRPr="00E27197">
        <w:rPr>
          <w:rFonts w:ascii="Arial" w:hAnsi="Arial" w:cs="Arial"/>
          <w:i/>
          <w:sz w:val="24"/>
          <w:szCs w:val="24"/>
        </w:rPr>
        <w:t>f it is obviously unsustainable.</w:t>
      </w:r>
      <w:r w:rsidR="00F47B61" w:rsidRPr="00E27197">
        <w:rPr>
          <w:rFonts w:ascii="Arial" w:hAnsi="Arial" w:cs="Arial"/>
          <w:sz w:val="24"/>
          <w:szCs w:val="24"/>
        </w:rPr>
        <w:t>”</w:t>
      </w:r>
      <w:r w:rsidR="0061230A" w:rsidRPr="00E27197">
        <w:rPr>
          <w:rStyle w:val="FootnoteReference"/>
          <w:rFonts w:ascii="Arial" w:hAnsi="Arial" w:cs="Arial"/>
          <w:sz w:val="24"/>
          <w:szCs w:val="24"/>
        </w:rPr>
        <w:footnoteReference w:id="20"/>
      </w:r>
    </w:p>
    <w:p w:rsidR="00692570" w:rsidRPr="00E27197" w:rsidRDefault="00692570" w:rsidP="00E27197">
      <w:pPr>
        <w:spacing w:line="360" w:lineRule="auto"/>
        <w:ind w:left="900" w:hanging="720"/>
        <w:jc w:val="both"/>
        <w:rPr>
          <w:rFonts w:ascii="Arial" w:hAnsi="Arial" w:cs="Arial"/>
          <w:sz w:val="24"/>
          <w:szCs w:val="24"/>
        </w:rPr>
      </w:pPr>
    </w:p>
    <w:p w:rsidR="00692570" w:rsidRPr="00E27197" w:rsidRDefault="00DD5BCE" w:rsidP="00E27197">
      <w:pPr>
        <w:spacing w:line="360" w:lineRule="auto"/>
        <w:ind w:left="900" w:hanging="720"/>
        <w:jc w:val="both"/>
        <w:rPr>
          <w:rFonts w:ascii="Arial" w:hAnsi="Arial" w:cs="Arial"/>
          <w:sz w:val="24"/>
          <w:szCs w:val="24"/>
        </w:rPr>
      </w:pPr>
      <w:r w:rsidRPr="00E27197">
        <w:rPr>
          <w:rFonts w:ascii="Arial" w:hAnsi="Arial" w:cs="Arial"/>
          <w:sz w:val="24"/>
          <w:szCs w:val="24"/>
        </w:rPr>
        <w:lastRenderedPageBreak/>
        <w:t>31.</w:t>
      </w:r>
      <w:r w:rsidRPr="00E27197">
        <w:rPr>
          <w:rFonts w:ascii="Arial" w:hAnsi="Arial" w:cs="Arial"/>
          <w:sz w:val="24"/>
          <w:szCs w:val="24"/>
        </w:rPr>
        <w:tab/>
      </w:r>
      <w:r w:rsidR="00692570" w:rsidRPr="00E27197">
        <w:rPr>
          <w:rFonts w:ascii="Arial" w:hAnsi="Arial" w:cs="Arial"/>
          <w:sz w:val="24"/>
          <w:szCs w:val="24"/>
        </w:rPr>
        <w:t xml:space="preserve">In </w:t>
      </w:r>
      <w:r w:rsidR="00692570" w:rsidRPr="00E27197">
        <w:rPr>
          <w:rFonts w:ascii="Arial" w:hAnsi="Arial" w:cs="Arial"/>
          <w:b/>
          <w:i/>
          <w:sz w:val="24"/>
          <w:szCs w:val="24"/>
        </w:rPr>
        <w:t>Beinash v Wixley</w:t>
      </w:r>
      <w:r w:rsidR="00692570" w:rsidRPr="00E27197">
        <w:rPr>
          <w:rStyle w:val="FootnoteReference"/>
          <w:rFonts w:ascii="Arial" w:hAnsi="Arial" w:cs="Arial"/>
          <w:sz w:val="24"/>
          <w:szCs w:val="24"/>
        </w:rPr>
        <w:footnoteReference w:id="21"/>
      </w:r>
      <w:r w:rsidR="00692570" w:rsidRPr="00E27197">
        <w:rPr>
          <w:rFonts w:ascii="Arial" w:hAnsi="Arial" w:cs="Arial"/>
          <w:sz w:val="24"/>
          <w:szCs w:val="24"/>
        </w:rPr>
        <w:t xml:space="preserve"> it was held that the </w:t>
      </w:r>
      <w:r w:rsidR="00AA74A5" w:rsidRPr="00E27197">
        <w:rPr>
          <w:rFonts w:ascii="Arial" w:hAnsi="Arial" w:cs="Arial"/>
          <w:sz w:val="24"/>
          <w:szCs w:val="24"/>
        </w:rPr>
        <w:t>question</w:t>
      </w:r>
      <w:r w:rsidR="00692570" w:rsidRPr="00E27197">
        <w:rPr>
          <w:rFonts w:ascii="Arial" w:hAnsi="Arial" w:cs="Arial"/>
          <w:sz w:val="24"/>
          <w:szCs w:val="24"/>
        </w:rPr>
        <w:t xml:space="preserve"> as to whether proceedings constitute an abuse of the processes of the Court, needs to be answered by taking cognizance of the circumstances of each case as “</w:t>
      </w:r>
      <w:r w:rsidR="00692570" w:rsidRPr="00E27197">
        <w:rPr>
          <w:rFonts w:ascii="Arial" w:hAnsi="Arial" w:cs="Arial"/>
          <w:i/>
          <w:sz w:val="24"/>
          <w:szCs w:val="24"/>
        </w:rPr>
        <w:t>There can be no all-encompassing definition of the concept…</w:t>
      </w:r>
      <w:r w:rsidR="00692570" w:rsidRPr="00E27197">
        <w:rPr>
          <w:rFonts w:ascii="Arial" w:hAnsi="Arial" w:cs="Arial"/>
          <w:sz w:val="24"/>
          <w:szCs w:val="24"/>
        </w:rPr>
        <w:t>”</w:t>
      </w:r>
      <w:r w:rsidR="00252EC5" w:rsidRPr="00E27197">
        <w:rPr>
          <w:rStyle w:val="FootnoteReference"/>
          <w:rFonts w:ascii="Arial" w:hAnsi="Arial" w:cs="Arial"/>
          <w:sz w:val="24"/>
          <w:szCs w:val="24"/>
        </w:rPr>
        <w:footnoteReference w:id="22"/>
      </w:r>
    </w:p>
    <w:p w:rsidR="00C2703F" w:rsidRPr="00E27197" w:rsidRDefault="00C2703F" w:rsidP="00E27197">
      <w:pPr>
        <w:spacing w:line="360" w:lineRule="auto"/>
        <w:ind w:left="900" w:hanging="720"/>
        <w:jc w:val="both"/>
        <w:rPr>
          <w:rFonts w:ascii="Arial" w:hAnsi="Arial" w:cs="Arial"/>
          <w:sz w:val="24"/>
          <w:szCs w:val="24"/>
        </w:rPr>
      </w:pPr>
    </w:p>
    <w:p w:rsidR="00C2703F" w:rsidRPr="00E27197" w:rsidRDefault="00DD5BCE" w:rsidP="00E27197">
      <w:pPr>
        <w:spacing w:line="360" w:lineRule="auto"/>
        <w:ind w:left="900" w:hanging="720"/>
        <w:jc w:val="both"/>
        <w:rPr>
          <w:rFonts w:ascii="Arial" w:hAnsi="Arial" w:cs="Arial"/>
          <w:sz w:val="24"/>
          <w:szCs w:val="24"/>
        </w:rPr>
      </w:pPr>
      <w:r w:rsidRPr="00E27197">
        <w:rPr>
          <w:rFonts w:ascii="Arial" w:hAnsi="Arial" w:cs="Arial"/>
          <w:sz w:val="24"/>
          <w:szCs w:val="24"/>
        </w:rPr>
        <w:t>32.</w:t>
      </w:r>
      <w:r w:rsidRPr="00E27197">
        <w:rPr>
          <w:rFonts w:ascii="Arial" w:hAnsi="Arial" w:cs="Arial"/>
          <w:sz w:val="24"/>
          <w:szCs w:val="24"/>
        </w:rPr>
        <w:tab/>
      </w:r>
      <w:r w:rsidR="00C2703F" w:rsidRPr="00E27197">
        <w:rPr>
          <w:rFonts w:ascii="Arial" w:hAnsi="Arial" w:cs="Arial"/>
          <w:sz w:val="24"/>
          <w:szCs w:val="24"/>
        </w:rPr>
        <w:t>In this specific matter, Mr. Zietsman argued on behalf of the Trustees that the Main Application in effect constitutes an abuse of the Court process as it boils down to a vexatious application.</w:t>
      </w:r>
    </w:p>
    <w:p w:rsidR="00C2703F" w:rsidRPr="00E27197" w:rsidRDefault="00C2703F" w:rsidP="00E27197">
      <w:pPr>
        <w:spacing w:line="360" w:lineRule="auto"/>
        <w:ind w:left="900" w:hanging="720"/>
        <w:jc w:val="both"/>
        <w:rPr>
          <w:rFonts w:ascii="Arial" w:hAnsi="Arial" w:cs="Arial"/>
          <w:sz w:val="24"/>
          <w:szCs w:val="24"/>
        </w:rPr>
      </w:pPr>
    </w:p>
    <w:p w:rsidR="00C2703F" w:rsidRPr="00E27197" w:rsidRDefault="00C2703F" w:rsidP="00E27197">
      <w:pPr>
        <w:spacing w:line="360" w:lineRule="auto"/>
        <w:ind w:left="900"/>
        <w:jc w:val="both"/>
        <w:rPr>
          <w:rFonts w:ascii="Arial" w:hAnsi="Arial" w:cs="Arial"/>
          <w:sz w:val="24"/>
          <w:szCs w:val="24"/>
        </w:rPr>
      </w:pPr>
      <w:r w:rsidRPr="00E27197">
        <w:rPr>
          <w:rFonts w:ascii="Arial" w:hAnsi="Arial" w:cs="Arial"/>
          <w:sz w:val="24"/>
          <w:szCs w:val="24"/>
        </w:rPr>
        <w:t xml:space="preserve">In an attempt to avoid </w:t>
      </w:r>
      <w:r w:rsidR="003F5349" w:rsidRPr="00E27197">
        <w:rPr>
          <w:rFonts w:ascii="Arial" w:hAnsi="Arial" w:cs="Arial"/>
          <w:sz w:val="24"/>
          <w:szCs w:val="24"/>
        </w:rPr>
        <w:t>clouding the issues unnecessarily, I will however start off by referring to the reasons advanced by Mr. Visser on behalf of Van Der Ryst as to why the Security Application should fail and more specifically why the Main Application is not vexatious and does not constitute an abuse of process.</w:t>
      </w:r>
    </w:p>
    <w:p w:rsidR="003F5349" w:rsidRPr="00E27197" w:rsidRDefault="003F5349" w:rsidP="00E27197">
      <w:pPr>
        <w:spacing w:line="360" w:lineRule="auto"/>
        <w:ind w:left="900" w:hanging="720"/>
        <w:jc w:val="both"/>
        <w:rPr>
          <w:rFonts w:ascii="Arial" w:hAnsi="Arial" w:cs="Arial"/>
          <w:sz w:val="24"/>
          <w:szCs w:val="24"/>
        </w:rPr>
      </w:pPr>
    </w:p>
    <w:p w:rsidR="003F5349" w:rsidRPr="00E27197" w:rsidRDefault="00DD5BCE" w:rsidP="00E27197">
      <w:pPr>
        <w:spacing w:line="360" w:lineRule="auto"/>
        <w:ind w:left="900" w:hanging="720"/>
        <w:jc w:val="both"/>
        <w:rPr>
          <w:rFonts w:ascii="Arial" w:hAnsi="Arial" w:cs="Arial"/>
          <w:sz w:val="24"/>
          <w:szCs w:val="24"/>
        </w:rPr>
      </w:pPr>
      <w:r w:rsidRPr="00E27197">
        <w:rPr>
          <w:rFonts w:ascii="Arial" w:hAnsi="Arial" w:cs="Arial"/>
          <w:sz w:val="24"/>
          <w:szCs w:val="24"/>
        </w:rPr>
        <w:t>33.</w:t>
      </w:r>
      <w:r w:rsidRPr="00E27197">
        <w:rPr>
          <w:rFonts w:ascii="Arial" w:hAnsi="Arial" w:cs="Arial"/>
          <w:sz w:val="24"/>
          <w:szCs w:val="24"/>
        </w:rPr>
        <w:tab/>
      </w:r>
      <w:r w:rsidR="003F5349" w:rsidRPr="00E27197">
        <w:rPr>
          <w:rFonts w:ascii="Arial" w:hAnsi="Arial" w:cs="Arial"/>
          <w:sz w:val="24"/>
          <w:szCs w:val="24"/>
        </w:rPr>
        <w:t xml:space="preserve">Mr. Visser relied heavily on the provisions of </w:t>
      </w:r>
      <w:r w:rsidR="009D707C" w:rsidRPr="00E27197">
        <w:rPr>
          <w:rFonts w:ascii="Arial" w:hAnsi="Arial" w:cs="Arial"/>
          <w:sz w:val="24"/>
          <w:szCs w:val="24"/>
        </w:rPr>
        <w:t xml:space="preserve">specifically </w:t>
      </w:r>
      <w:r w:rsidR="009D707C" w:rsidRPr="00E27197">
        <w:rPr>
          <w:rFonts w:ascii="Arial" w:hAnsi="Arial" w:cs="Arial"/>
          <w:b/>
          <w:i/>
          <w:sz w:val="24"/>
          <w:szCs w:val="24"/>
        </w:rPr>
        <w:t>Section 151</w:t>
      </w:r>
      <w:r w:rsidR="009D707C" w:rsidRPr="00E27197">
        <w:rPr>
          <w:rFonts w:ascii="Arial" w:hAnsi="Arial" w:cs="Arial"/>
          <w:sz w:val="24"/>
          <w:szCs w:val="24"/>
        </w:rPr>
        <w:t xml:space="preserve"> of the Insolvency Act</w:t>
      </w:r>
      <w:r w:rsidR="00780D6B" w:rsidRPr="00E27197">
        <w:rPr>
          <w:rFonts w:ascii="Arial" w:hAnsi="Arial" w:cs="Arial"/>
          <w:sz w:val="24"/>
          <w:szCs w:val="24"/>
        </w:rPr>
        <w:t xml:space="preserve"> which states that “</w:t>
      </w:r>
      <w:r w:rsidR="00780D6B" w:rsidRPr="00E27197">
        <w:rPr>
          <w:rFonts w:ascii="Arial" w:hAnsi="Arial" w:cs="Arial"/>
          <w:i/>
          <w:sz w:val="24"/>
          <w:szCs w:val="24"/>
        </w:rPr>
        <w:t>…any person aggrieved by any decision, ruling, order or taxation of the Master or by a decision, ruling or order of an officer presiding at a meeting of creditors may bring it under review by the court…</w:t>
      </w:r>
      <w:r w:rsidR="00780D6B" w:rsidRPr="00E27197">
        <w:rPr>
          <w:rFonts w:ascii="Arial" w:hAnsi="Arial" w:cs="Arial"/>
          <w:sz w:val="24"/>
          <w:szCs w:val="24"/>
        </w:rPr>
        <w:t>”</w:t>
      </w:r>
    </w:p>
    <w:p w:rsidR="00780D6B" w:rsidRPr="00E27197" w:rsidRDefault="00780D6B" w:rsidP="00E27197">
      <w:pPr>
        <w:spacing w:line="360" w:lineRule="auto"/>
        <w:ind w:left="900" w:hanging="720"/>
        <w:jc w:val="both"/>
        <w:rPr>
          <w:rFonts w:ascii="Arial" w:hAnsi="Arial" w:cs="Arial"/>
          <w:sz w:val="24"/>
          <w:szCs w:val="24"/>
        </w:rPr>
      </w:pPr>
    </w:p>
    <w:p w:rsidR="00780D6B" w:rsidRPr="00E27197" w:rsidRDefault="00DD5BCE" w:rsidP="00E27197">
      <w:pPr>
        <w:spacing w:line="360" w:lineRule="auto"/>
        <w:ind w:left="900" w:hanging="720"/>
        <w:jc w:val="both"/>
        <w:rPr>
          <w:rFonts w:ascii="Arial" w:hAnsi="Arial" w:cs="Arial"/>
          <w:sz w:val="24"/>
          <w:szCs w:val="24"/>
        </w:rPr>
      </w:pPr>
      <w:r w:rsidRPr="00E27197">
        <w:rPr>
          <w:rFonts w:ascii="Arial" w:hAnsi="Arial" w:cs="Arial"/>
          <w:sz w:val="24"/>
          <w:szCs w:val="24"/>
        </w:rPr>
        <w:t>34.</w:t>
      </w:r>
      <w:r w:rsidRPr="00E27197">
        <w:rPr>
          <w:rFonts w:ascii="Arial" w:hAnsi="Arial" w:cs="Arial"/>
          <w:sz w:val="24"/>
          <w:szCs w:val="24"/>
        </w:rPr>
        <w:tab/>
      </w:r>
      <w:r w:rsidR="00780D6B" w:rsidRPr="00E27197">
        <w:rPr>
          <w:rFonts w:ascii="Arial" w:hAnsi="Arial" w:cs="Arial"/>
          <w:sz w:val="24"/>
          <w:szCs w:val="24"/>
        </w:rPr>
        <w:t xml:space="preserve">Mr. Visser’s primary argument, if I understood him correctly, was that the Main Application and specifically the relief sought in terms thereof, cannot be viewed as being vexatious and/or an abuse of the Court processes </w:t>
      </w:r>
      <w:r w:rsidR="00CC595C">
        <w:rPr>
          <w:rFonts w:ascii="Arial" w:hAnsi="Arial" w:cs="Arial"/>
          <w:sz w:val="24"/>
          <w:szCs w:val="24"/>
        </w:rPr>
        <w:t xml:space="preserve">because </w:t>
      </w:r>
      <w:r w:rsidR="00780D6B" w:rsidRPr="00E27197">
        <w:rPr>
          <w:rFonts w:ascii="Arial" w:hAnsi="Arial" w:cs="Arial"/>
          <w:b/>
          <w:i/>
          <w:sz w:val="24"/>
          <w:szCs w:val="24"/>
        </w:rPr>
        <w:t>Section 151</w:t>
      </w:r>
      <w:r w:rsidR="00CC595C">
        <w:rPr>
          <w:rFonts w:ascii="Arial" w:hAnsi="Arial" w:cs="Arial"/>
          <w:sz w:val="24"/>
          <w:szCs w:val="24"/>
        </w:rPr>
        <w:t>,</w:t>
      </w:r>
      <w:r w:rsidR="00780D6B" w:rsidRPr="00E27197">
        <w:rPr>
          <w:rFonts w:ascii="Arial" w:hAnsi="Arial" w:cs="Arial"/>
          <w:sz w:val="24"/>
          <w:szCs w:val="24"/>
        </w:rPr>
        <w:t xml:space="preserve"> in its effect</w:t>
      </w:r>
      <w:r w:rsidR="00CC595C">
        <w:rPr>
          <w:rFonts w:ascii="Arial" w:hAnsi="Arial" w:cs="Arial"/>
          <w:sz w:val="24"/>
          <w:szCs w:val="24"/>
        </w:rPr>
        <w:t>,</w:t>
      </w:r>
      <w:r w:rsidR="00780D6B" w:rsidRPr="00E27197">
        <w:rPr>
          <w:rFonts w:ascii="Arial" w:hAnsi="Arial" w:cs="Arial"/>
          <w:sz w:val="24"/>
          <w:szCs w:val="24"/>
        </w:rPr>
        <w:t xml:space="preserve"> affords the right to Van Der Ryst to approach the Court for a review of the conduct of the Bank during the first meeting of creditors in his insolvent estate.</w:t>
      </w:r>
    </w:p>
    <w:p w:rsidR="001141E4" w:rsidRDefault="001141E4" w:rsidP="00E27197">
      <w:pPr>
        <w:spacing w:line="360" w:lineRule="auto"/>
        <w:ind w:left="900"/>
        <w:jc w:val="both"/>
        <w:rPr>
          <w:rFonts w:ascii="Arial" w:hAnsi="Arial" w:cs="Arial"/>
          <w:sz w:val="24"/>
          <w:szCs w:val="24"/>
        </w:rPr>
      </w:pPr>
    </w:p>
    <w:p w:rsidR="005C1C33" w:rsidRPr="00E27197" w:rsidRDefault="005C1C33" w:rsidP="00E27197">
      <w:pPr>
        <w:spacing w:line="360" w:lineRule="auto"/>
        <w:ind w:left="900"/>
        <w:jc w:val="both"/>
        <w:rPr>
          <w:rFonts w:ascii="Arial" w:hAnsi="Arial" w:cs="Arial"/>
          <w:sz w:val="24"/>
          <w:szCs w:val="24"/>
        </w:rPr>
      </w:pPr>
      <w:r w:rsidRPr="00E27197">
        <w:rPr>
          <w:rFonts w:ascii="Arial" w:hAnsi="Arial" w:cs="Arial"/>
          <w:sz w:val="24"/>
          <w:szCs w:val="24"/>
        </w:rPr>
        <w:t>It appears that Van Der Ryst’s argument as to why the events during the first meeting of creditors stand to be reviewed, is based primarily on the fact that he (Van Der Ryst) did not receive notice of said meeting.</w:t>
      </w:r>
    </w:p>
    <w:p w:rsidR="005C1C33" w:rsidRPr="00E27197" w:rsidRDefault="005C1C33" w:rsidP="00E27197">
      <w:pPr>
        <w:spacing w:line="360" w:lineRule="auto"/>
        <w:ind w:left="900" w:hanging="720"/>
        <w:jc w:val="both"/>
        <w:rPr>
          <w:rFonts w:ascii="Arial" w:hAnsi="Arial" w:cs="Arial"/>
          <w:sz w:val="24"/>
          <w:szCs w:val="24"/>
        </w:rPr>
      </w:pPr>
    </w:p>
    <w:p w:rsidR="00334A46" w:rsidRPr="00E27197" w:rsidRDefault="00334A46" w:rsidP="00E27197">
      <w:pPr>
        <w:spacing w:line="360" w:lineRule="auto"/>
        <w:ind w:left="900"/>
        <w:jc w:val="both"/>
        <w:rPr>
          <w:rFonts w:ascii="Arial" w:hAnsi="Arial" w:cs="Arial"/>
          <w:sz w:val="24"/>
          <w:szCs w:val="24"/>
        </w:rPr>
      </w:pPr>
      <w:r w:rsidRPr="00E27197">
        <w:rPr>
          <w:rFonts w:ascii="Arial" w:hAnsi="Arial" w:cs="Arial"/>
          <w:sz w:val="24"/>
          <w:szCs w:val="24"/>
        </w:rPr>
        <w:t xml:space="preserve">The further relief sought by Van Der Ryst is already set out in </w:t>
      </w:r>
      <w:r w:rsidR="00DD5BCE" w:rsidRPr="00E27197">
        <w:rPr>
          <w:rFonts w:ascii="Arial" w:hAnsi="Arial" w:cs="Arial"/>
          <w:sz w:val="24"/>
          <w:szCs w:val="24"/>
        </w:rPr>
        <w:t xml:space="preserve">paragraphs 3.2.1 and 3.2.2 </w:t>
      </w:r>
      <w:r w:rsidRPr="00E27197">
        <w:rPr>
          <w:rFonts w:ascii="Arial" w:hAnsi="Arial" w:cs="Arial"/>
          <w:sz w:val="24"/>
          <w:szCs w:val="24"/>
        </w:rPr>
        <w:t>herein above and will not be repeated.</w:t>
      </w:r>
    </w:p>
    <w:p w:rsidR="00F65477" w:rsidRPr="00E27197" w:rsidRDefault="00F65477" w:rsidP="00E27197">
      <w:pPr>
        <w:spacing w:line="360" w:lineRule="auto"/>
        <w:ind w:left="900" w:hanging="720"/>
        <w:jc w:val="both"/>
        <w:rPr>
          <w:rFonts w:ascii="Arial" w:hAnsi="Arial" w:cs="Arial"/>
          <w:sz w:val="24"/>
          <w:szCs w:val="24"/>
        </w:rPr>
      </w:pPr>
    </w:p>
    <w:p w:rsidR="00F65477" w:rsidRPr="00E27197" w:rsidRDefault="00742596" w:rsidP="00E27197">
      <w:pPr>
        <w:spacing w:line="360" w:lineRule="auto"/>
        <w:ind w:left="900" w:hanging="720"/>
        <w:jc w:val="both"/>
        <w:rPr>
          <w:rFonts w:ascii="Arial" w:hAnsi="Arial" w:cs="Arial"/>
          <w:sz w:val="24"/>
          <w:szCs w:val="24"/>
        </w:rPr>
      </w:pPr>
      <w:r w:rsidRPr="00E27197">
        <w:rPr>
          <w:rFonts w:ascii="Arial" w:hAnsi="Arial" w:cs="Arial"/>
          <w:sz w:val="24"/>
          <w:szCs w:val="24"/>
        </w:rPr>
        <w:t>35.</w:t>
      </w:r>
      <w:r w:rsidRPr="00E27197">
        <w:rPr>
          <w:rFonts w:ascii="Arial" w:hAnsi="Arial" w:cs="Arial"/>
          <w:sz w:val="24"/>
          <w:szCs w:val="24"/>
        </w:rPr>
        <w:tab/>
      </w:r>
      <w:r w:rsidR="00F65477" w:rsidRPr="00E27197">
        <w:rPr>
          <w:rFonts w:ascii="Arial" w:hAnsi="Arial" w:cs="Arial"/>
          <w:sz w:val="24"/>
          <w:szCs w:val="24"/>
        </w:rPr>
        <w:t xml:space="preserve">It is however evident from the way in which the relief sought in terms of </w:t>
      </w:r>
      <w:r w:rsidRPr="00E27197">
        <w:rPr>
          <w:rFonts w:ascii="Arial" w:hAnsi="Arial" w:cs="Arial"/>
          <w:sz w:val="24"/>
          <w:szCs w:val="24"/>
        </w:rPr>
        <w:t>t</w:t>
      </w:r>
      <w:r w:rsidR="00F65477" w:rsidRPr="00E27197">
        <w:rPr>
          <w:rFonts w:ascii="Arial" w:hAnsi="Arial" w:cs="Arial"/>
          <w:sz w:val="24"/>
          <w:szCs w:val="24"/>
        </w:rPr>
        <w:t>he Notice of Motion in the Main Application is worded/structured, that what Van Der Ryst in effect wants from the Court after hearing argument in the Main Application, is an order in terms whereof “</w:t>
      </w:r>
      <w:r w:rsidR="00F65477" w:rsidRPr="00E27197">
        <w:rPr>
          <w:rFonts w:ascii="Arial" w:hAnsi="Arial" w:cs="Arial"/>
          <w:i/>
          <w:sz w:val="24"/>
          <w:szCs w:val="24"/>
        </w:rPr>
        <w:t>the matter</w:t>
      </w:r>
      <w:r w:rsidR="00F65477" w:rsidRPr="00E27197">
        <w:rPr>
          <w:rFonts w:ascii="Arial" w:hAnsi="Arial" w:cs="Arial"/>
          <w:sz w:val="24"/>
          <w:szCs w:val="24"/>
        </w:rPr>
        <w:t>” is reconside</w:t>
      </w:r>
      <w:r w:rsidRPr="00E27197">
        <w:rPr>
          <w:rFonts w:ascii="Arial" w:hAnsi="Arial" w:cs="Arial"/>
          <w:sz w:val="24"/>
          <w:szCs w:val="24"/>
        </w:rPr>
        <w:t>red by either the NCT, or by a Debt C</w:t>
      </w:r>
      <w:r w:rsidR="00F65477" w:rsidRPr="00E27197">
        <w:rPr>
          <w:rFonts w:ascii="Arial" w:hAnsi="Arial" w:cs="Arial"/>
          <w:sz w:val="24"/>
          <w:szCs w:val="24"/>
        </w:rPr>
        <w:t>ounsellor (in terms of the NCA) or by the Trustees (in terms of the Insolvency Act</w:t>
      </w:r>
      <w:r w:rsidRPr="00E27197">
        <w:rPr>
          <w:rFonts w:ascii="Arial" w:hAnsi="Arial" w:cs="Arial"/>
          <w:sz w:val="24"/>
          <w:szCs w:val="24"/>
        </w:rPr>
        <w:t>)</w:t>
      </w:r>
      <w:r w:rsidR="00F65477" w:rsidRPr="00E27197">
        <w:rPr>
          <w:rFonts w:ascii="Arial" w:hAnsi="Arial" w:cs="Arial"/>
          <w:sz w:val="24"/>
          <w:szCs w:val="24"/>
        </w:rPr>
        <w:t>.</w:t>
      </w:r>
    </w:p>
    <w:p w:rsidR="001D11B6" w:rsidRPr="00E27197" w:rsidRDefault="001D11B6" w:rsidP="00E27197">
      <w:pPr>
        <w:spacing w:line="360" w:lineRule="auto"/>
        <w:ind w:left="900" w:hanging="720"/>
        <w:jc w:val="both"/>
        <w:rPr>
          <w:rFonts w:ascii="Arial" w:hAnsi="Arial" w:cs="Arial"/>
          <w:sz w:val="24"/>
          <w:szCs w:val="24"/>
        </w:rPr>
      </w:pPr>
    </w:p>
    <w:p w:rsidR="001D11B6" w:rsidRPr="00E27197" w:rsidRDefault="001D11B6" w:rsidP="00E27197">
      <w:pPr>
        <w:spacing w:line="360" w:lineRule="auto"/>
        <w:ind w:left="900"/>
        <w:jc w:val="both"/>
        <w:rPr>
          <w:rFonts w:ascii="Arial" w:hAnsi="Arial" w:cs="Arial"/>
          <w:sz w:val="24"/>
          <w:szCs w:val="24"/>
        </w:rPr>
      </w:pPr>
      <w:r w:rsidRPr="00E27197">
        <w:rPr>
          <w:rFonts w:ascii="Arial" w:hAnsi="Arial" w:cs="Arial"/>
          <w:sz w:val="24"/>
          <w:szCs w:val="24"/>
        </w:rPr>
        <w:t>Although it is not clear precisely what is meant with the term “</w:t>
      </w:r>
      <w:r w:rsidRPr="00E27197">
        <w:rPr>
          <w:rFonts w:ascii="Arial" w:hAnsi="Arial" w:cs="Arial"/>
          <w:i/>
          <w:sz w:val="24"/>
          <w:szCs w:val="24"/>
        </w:rPr>
        <w:t>the matter</w:t>
      </w:r>
      <w:r w:rsidRPr="00E27197">
        <w:rPr>
          <w:rFonts w:ascii="Arial" w:hAnsi="Arial" w:cs="Arial"/>
          <w:sz w:val="24"/>
          <w:szCs w:val="24"/>
        </w:rPr>
        <w:t>” as it appears in prayer 2 of the Notice of Motion in the Main Application, it is my view that the logical inference that might be drawn in this instance, is that reference is being made to Van Der Ryst’s financial situation</w:t>
      </w:r>
      <w:r w:rsidR="00797270" w:rsidRPr="00E27197">
        <w:rPr>
          <w:rFonts w:ascii="Arial" w:hAnsi="Arial" w:cs="Arial"/>
          <w:sz w:val="24"/>
          <w:szCs w:val="24"/>
        </w:rPr>
        <w:t xml:space="preserve"> prior to his final liquidation.</w:t>
      </w:r>
    </w:p>
    <w:p w:rsidR="00F65477" w:rsidRPr="00E27197" w:rsidRDefault="00F65477" w:rsidP="00E27197">
      <w:pPr>
        <w:spacing w:line="360" w:lineRule="auto"/>
        <w:ind w:left="900" w:hanging="720"/>
        <w:jc w:val="both"/>
        <w:rPr>
          <w:rFonts w:ascii="Arial" w:hAnsi="Arial" w:cs="Arial"/>
          <w:sz w:val="24"/>
          <w:szCs w:val="24"/>
        </w:rPr>
      </w:pPr>
    </w:p>
    <w:p w:rsidR="00780D6B" w:rsidRPr="00E27197" w:rsidRDefault="00742596" w:rsidP="00E27197">
      <w:pPr>
        <w:spacing w:line="360" w:lineRule="auto"/>
        <w:ind w:left="900" w:hanging="720"/>
        <w:jc w:val="both"/>
        <w:rPr>
          <w:rFonts w:ascii="Arial" w:hAnsi="Arial" w:cs="Arial"/>
          <w:sz w:val="24"/>
          <w:szCs w:val="24"/>
        </w:rPr>
      </w:pPr>
      <w:r w:rsidRPr="00E27197">
        <w:rPr>
          <w:rFonts w:ascii="Arial" w:hAnsi="Arial" w:cs="Arial"/>
          <w:sz w:val="24"/>
          <w:szCs w:val="24"/>
        </w:rPr>
        <w:t>36.</w:t>
      </w:r>
      <w:r w:rsidRPr="00E27197">
        <w:rPr>
          <w:rFonts w:ascii="Arial" w:hAnsi="Arial" w:cs="Arial"/>
          <w:sz w:val="24"/>
          <w:szCs w:val="24"/>
        </w:rPr>
        <w:tab/>
      </w:r>
      <w:r w:rsidR="00F65477" w:rsidRPr="00E27197">
        <w:rPr>
          <w:rFonts w:ascii="Arial" w:hAnsi="Arial" w:cs="Arial"/>
          <w:sz w:val="24"/>
          <w:szCs w:val="24"/>
        </w:rPr>
        <w:t>Mr. Visser argued that the NCA might find application in this instance by virtue of the fact “</w:t>
      </w:r>
      <w:r w:rsidR="00F65477" w:rsidRPr="00E27197">
        <w:rPr>
          <w:rFonts w:ascii="Arial" w:hAnsi="Arial" w:cs="Arial"/>
          <w:i/>
          <w:sz w:val="24"/>
          <w:szCs w:val="24"/>
        </w:rPr>
        <w:t>… that there exists a harmonious inter-play and relation between the</w:t>
      </w:r>
      <w:r w:rsidR="0015401B" w:rsidRPr="00E27197">
        <w:rPr>
          <w:rFonts w:ascii="Arial" w:hAnsi="Arial" w:cs="Arial"/>
          <w:i/>
          <w:sz w:val="24"/>
          <w:szCs w:val="24"/>
        </w:rPr>
        <w:t xml:space="preserve"> provisions of the National Credit Act (NCA) and the Insolvency Act.</w:t>
      </w:r>
      <w:r w:rsidR="0015401B" w:rsidRPr="00E27197">
        <w:rPr>
          <w:rFonts w:ascii="Arial" w:hAnsi="Arial" w:cs="Arial"/>
          <w:sz w:val="24"/>
          <w:szCs w:val="24"/>
        </w:rPr>
        <w:t>”</w:t>
      </w:r>
      <w:r w:rsidR="00F07D41" w:rsidRPr="00E27197">
        <w:rPr>
          <w:rStyle w:val="FootnoteReference"/>
          <w:rFonts w:ascii="Arial" w:hAnsi="Arial" w:cs="Arial"/>
          <w:sz w:val="24"/>
          <w:szCs w:val="24"/>
        </w:rPr>
        <w:footnoteReference w:id="23"/>
      </w:r>
    </w:p>
    <w:p w:rsidR="00503047" w:rsidRPr="00E27197" w:rsidRDefault="00503047" w:rsidP="00E27197">
      <w:pPr>
        <w:spacing w:line="360" w:lineRule="auto"/>
        <w:ind w:left="900" w:hanging="720"/>
        <w:jc w:val="both"/>
        <w:rPr>
          <w:rFonts w:ascii="Arial" w:hAnsi="Arial" w:cs="Arial"/>
          <w:sz w:val="24"/>
          <w:szCs w:val="24"/>
        </w:rPr>
      </w:pPr>
    </w:p>
    <w:p w:rsidR="00780D6B" w:rsidRPr="00E27197" w:rsidRDefault="00742596" w:rsidP="00E27197">
      <w:pPr>
        <w:spacing w:line="360" w:lineRule="auto"/>
        <w:ind w:left="900" w:hanging="720"/>
        <w:jc w:val="both"/>
        <w:rPr>
          <w:rFonts w:ascii="Arial" w:hAnsi="Arial" w:cs="Arial"/>
          <w:sz w:val="24"/>
          <w:szCs w:val="24"/>
        </w:rPr>
      </w:pPr>
      <w:r w:rsidRPr="00E27197">
        <w:rPr>
          <w:rFonts w:ascii="Arial" w:hAnsi="Arial" w:cs="Arial"/>
          <w:sz w:val="24"/>
          <w:szCs w:val="24"/>
        </w:rPr>
        <w:t>37.</w:t>
      </w:r>
      <w:r w:rsidRPr="00E27197">
        <w:rPr>
          <w:rFonts w:ascii="Arial" w:hAnsi="Arial" w:cs="Arial"/>
          <w:sz w:val="24"/>
          <w:szCs w:val="24"/>
        </w:rPr>
        <w:tab/>
      </w:r>
      <w:r w:rsidR="00780D6B" w:rsidRPr="00E27197">
        <w:rPr>
          <w:rFonts w:ascii="Arial" w:hAnsi="Arial" w:cs="Arial"/>
          <w:sz w:val="24"/>
          <w:szCs w:val="24"/>
        </w:rPr>
        <w:t xml:space="preserve">In answer to Mr. Visser’s argument in respect of Van Der Ryst’s right to have brought the Main Application in terms of </w:t>
      </w:r>
      <w:r w:rsidR="00780D6B" w:rsidRPr="00E27197">
        <w:rPr>
          <w:rFonts w:ascii="Arial" w:hAnsi="Arial" w:cs="Arial"/>
          <w:b/>
          <w:i/>
          <w:sz w:val="24"/>
          <w:szCs w:val="24"/>
        </w:rPr>
        <w:t>Section 151</w:t>
      </w:r>
      <w:r w:rsidR="00780D6B" w:rsidRPr="00E27197">
        <w:rPr>
          <w:rFonts w:ascii="Arial" w:hAnsi="Arial" w:cs="Arial"/>
          <w:sz w:val="24"/>
          <w:szCs w:val="24"/>
        </w:rPr>
        <w:t xml:space="preserve"> of the Insol</w:t>
      </w:r>
      <w:r w:rsidRPr="00E27197">
        <w:rPr>
          <w:rFonts w:ascii="Arial" w:hAnsi="Arial" w:cs="Arial"/>
          <w:sz w:val="24"/>
          <w:szCs w:val="24"/>
        </w:rPr>
        <w:t>vency Act, Mr. Zietsman admitted</w:t>
      </w:r>
      <w:r w:rsidR="00780D6B" w:rsidRPr="00E27197">
        <w:rPr>
          <w:rFonts w:ascii="Arial" w:hAnsi="Arial" w:cs="Arial"/>
          <w:sz w:val="24"/>
          <w:szCs w:val="24"/>
        </w:rPr>
        <w:t xml:space="preserve"> that the said </w:t>
      </w:r>
      <w:r w:rsidR="00780D6B" w:rsidRPr="00E27197">
        <w:rPr>
          <w:rFonts w:ascii="Arial" w:hAnsi="Arial" w:cs="Arial"/>
          <w:b/>
          <w:i/>
          <w:sz w:val="24"/>
          <w:szCs w:val="24"/>
        </w:rPr>
        <w:t>Section 151</w:t>
      </w:r>
      <w:r w:rsidR="00780D6B" w:rsidRPr="00E27197">
        <w:rPr>
          <w:rFonts w:ascii="Arial" w:hAnsi="Arial" w:cs="Arial"/>
          <w:sz w:val="24"/>
          <w:szCs w:val="24"/>
        </w:rPr>
        <w:t xml:space="preserve"> does indeed afford such a right to Van Der Ryst, but submitted that an application for review in terms of </w:t>
      </w:r>
      <w:r w:rsidR="00780D6B" w:rsidRPr="00E27197">
        <w:rPr>
          <w:rFonts w:ascii="Arial" w:hAnsi="Arial" w:cs="Arial"/>
          <w:b/>
          <w:i/>
          <w:sz w:val="24"/>
          <w:szCs w:val="24"/>
        </w:rPr>
        <w:t>Section 151</w:t>
      </w:r>
      <w:r w:rsidR="00780D6B" w:rsidRPr="00E27197">
        <w:rPr>
          <w:rFonts w:ascii="Arial" w:hAnsi="Arial" w:cs="Arial"/>
          <w:sz w:val="24"/>
          <w:szCs w:val="24"/>
        </w:rPr>
        <w:t>, should still be based on</w:t>
      </w:r>
      <w:r w:rsidR="003B2E39" w:rsidRPr="00E27197">
        <w:rPr>
          <w:rFonts w:ascii="Arial" w:hAnsi="Arial" w:cs="Arial"/>
          <w:sz w:val="24"/>
          <w:szCs w:val="24"/>
        </w:rPr>
        <w:t xml:space="preserve"> proper grounds.</w:t>
      </w:r>
    </w:p>
    <w:p w:rsidR="003B2E39" w:rsidRPr="00E27197" w:rsidRDefault="003B2E39" w:rsidP="00E27197">
      <w:pPr>
        <w:spacing w:line="360" w:lineRule="auto"/>
        <w:ind w:left="900" w:hanging="720"/>
        <w:jc w:val="both"/>
        <w:rPr>
          <w:rFonts w:ascii="Arial" w:hAnsi="Arial" w:cs="Arial"/>
          <w:sz w:val="24"/>
          <w:szCs w:val="24"/>
        </w:rPr>
      </w:pPr>
    </w:p>
    <w:p w:rsidR="00B53231" w:rsidRPr="00E27197" w:rsidRDefault="003449CF" w:rsidP="00E27197">
      <w:pPr>
        <w:spacing w:line="360" w:lineRule="auto"/>
        <w:ind w:left="900" w:hanging="720"/>
        <w:jc w:val="both"/>
        <w:rPr>
          <w:rFonts w:ascii="Arial" w:hAnsi="Arial" w:cs="Arial"/>
          <w:sz w:val="24"/>
          <w:szCs w:val="24"/>
        </w:rPr>
      </w:pPr>
      <w:r w:rsidRPr="00E27197">
        <w:rPr>
          <w:rFonts w:ascii="Arial" w:hAnsi="Arial" w:cs="Arial"/>
          <w:sz w:val="24"/>
          <w:szCs w:val="24"/>
        </w:rPr>
        <w:t>38.</w:t>
      </w:r>
      <w:r w:rsidRPr="00E27197">
        <w:rPr>
          <w:rFonts w:ascii="Arial" w:hAnsi="Arial" w:cs="Arial"/>
          <w:sz w:val="24"/>
          <w:szCs w:val="24"/>
        </w:rPr>
        <w:tab/>
      </w:r>
      <w:r w:rsidR="003B2E39" w:rsidRPr="00E27197">
        <w:rPr>
          <w:rFonts w:ascii="Arial" w:hAnsi="Arial" w:cs="Arial"/>
          <w:sz w:val="24"/>
          <w:szCs w:val="24"/>
        </w:rPr>
        <w:t xml:space="preserve">I </w:t>
      </w:r>
      <w:r w:rsidR="00B53231" w:rsidRPr="00E27197">
        <w:rPr>
          <w:rFonts w:ascii="Arial" w:hAnsi="Arial" w:cs="Arial"/>
          <w:sz w:val="24"/>
          <w:szCs w:val="24"/>
        </w:rPr>
        <w:t xml:space="preserve">have to </w:t>
      </w:r>
      <w:r w:rsidR="003B2E39" w:rsidRPr="00E27197">
        <w:rPr>
          <w:rFonts w:ascii="Arial" w:hAnsi="Arial" w:cs="Arial"/>
          <w:sz w:val="24"/>
          <w:szCs w:val="24"/>
        </w:rPr>
        <w:t xml:space="preserve">agree with the above submission made by Mr. Zietsman </w:t>
      </w:r>
      <w:r w:rsidR="00B53231" w:rsidRPr="00E27197">
        <w:rPr>
          <w:rFonts w:ascii="Arial" w:hAnsi="Arial" w:cs="Arial"/>
          <w:sz w:val="24"/>
          <w:szCs w:val="24"/>
        </w:rPr>
        <w:t xml:space="preserve">as I cannot believe that the Legislature, by enacting </w:t>
      </w:r>
      <w:r w:rsidR="00B53231" w:rsidRPr="00E27197">
        <w:rPr>
          <w:rFonts w:ascii="Arial" w:hAnsi="Arial" w:cs="Arial"/>
          <w:b/>
          <w:i/>
          <w:sz w:val="24"/>
          <w:szCs w:val="24"/>
        </w:rPr>
        <w:t>Section 151</w:t>
      </w:r>
      <w:r w:rsidR="00B53231" w:rsidRPr="00E27197">
        <w:rPr>
          <w:rFonts w:ascii="Arial" w:hAnsi="Arial" w:cs="Arial"/>
          <w:sz w:val="24"/>
          <w:szCs w:val="24"/>
        </w:rPr>
        <w:t xml:space="preserve"> of the Insolvency Act, intended that such a review may be brought on improper and/or unsustainable </w:t>
      </w:r>
      <w:r w:rsidR="00B53231" w:rsidRPr="00E27197">
        <w:rPr>
          <w:rFonts w:ascii="Arial" w:hAnsi="Arial" w:cs="Arial"/>
          <w:sz w:val="24"/>
          <w:szCs w:val="24"/>
        </w:rPr>
        <w:lastRenderedPageBreak/>
        <w:t>grounds and that a Court will be obligated to simply hear such improper and/or unsustainable matter.</w:t>
      </w:r>
    </w:p>
    <w:p w:rsidR="00B53231" w:rsidRPr="00E27197" w:rsidRDefault="00B53231" w:rsidP="00E27197">
      <w:pPr>
        <w:spacing w:line="360" w:lineRule="auto"/>
        <w:ind w:left="900" w:hanging="720"/>
        <w:jc w:val="both"/>
        <w:rPr>
          <w:rFonts w:ascii="Arial" w:hAnsi="Arial" w:cs="Arial"/>
          <w:sz w:val="24"/>
          <w:szCs w:val="24"/>
        </w:rPr>
      </w:pPr>
    </w:p>
    <w:p w:rsidR="003B2E39" w:rsidRPr="00E27197" w:rsidRDefault="00B53231" w:rsidP="00E27197">
      <w:pPr>
        <w:spacing w:line="360" w:lineRule="auto"/>
        <w:ind w:left="900"/>
        <w:jc w:val="both"/>
        <w:rPr>
          <w:rFonts w:ascii="Arial" w:hAnsi="Arial" w:cs="Arial"/>
          <w:sz w:val="24"/>
          <w:szCs w:val="24"/>
        </w:rPr>
      </w:pPr>
      <w:r w:rsidRPr="00E27197">
        <w:rPr>
          <w:rFonts w:ascii="Arial" w:hAnsi="Arial" w:cs="Arial"/>
          <w:sz w:val="24"/>
          <w:szCs w:val="24"/>
        </w:rPr>
        <w:t xml:space="preserve">If I may therefore add to the argument of Mr. Zietsman, I </w:t>
      </w:r>
      <w:r w:rsidR="00645980" w:rsidRPr="00E27197">
        <w:rPr>
          <w:rFonts w:ascii="Arial" w:hAnsi="Arial" w:cs="Arial"/>
          <w:sz w:val="24"/>
          <w:szCs w:val="24"/>
        </w:rPr>
        <w:t>would say that the</w:t>
      </w:r>
      <w:r w:rsidR="003B2E39" w:rsidRPr="00E27197">
        <w:rPr>
          <w:rFonts w:ascii="Arial" w:hAnsi="Arial" w:cs="Arial"/>
          <w:sz w:val="24"/>
          <w:szCs w:val="24"/>
        </w:rPr>
        <w:t xml:space="preserve"> grounds</w:t>
      </w:r>
      <w:r w:rsidR="00645980" w:rsidRPr="00E27197">
        <w:rPr>
          <w:rFonts w:ascii="Arial" w:hAnsi="Arial" w:cs="Arial"/>
          <w:sz w:val="24"/>
          <w:szCs w:val="24"/>
        </w:rPr>
        <w:t xml:space="preserve"> upon which a review is brought in terms of </w:t>
      </w:r>
      <w:r w:rsidR="00645980" w:rsidRPr="00E27197">
        <w:rPr>
          <w:rFonts w:ascii="Arial" w:hAnsi="Arial" w:cs="Arial"/>
          <w:b/>
          <w:i/>
          <w:sz w:val="24"/>
          <w:szCs w:val="24"/>
        </w:rPr>
        <w:t>Section 151</w:t>
      </w:r>
      <w:r w:rsidR="00645980" w:rsidRPr="00E27197">
        <w:rPr>
          <w:rFonts w:ascii="Arial" w:hAnsi="Arial" w:cs="Arial"/>
          <w:sz w:val="24"/>
          <w:szCs w:val="24"/>
        </w:rPr>
        <w:t xml:space="preserve"> of the Insolvency Act should also be sustainable and I do so with reference to the above </w:t>
      </w:r>
      <w:r w:rsidR="003B2E39" w:rsidRPr="00E27197">
        <w:rPr>
          <w:rFonts w:ascii="Arial" w:hAnsi="Arial" w:cs="Arial"/>
          <w:sz w:val="24"/>
          <w:szCs w:val="24"/>
        </w:rPr>
        <w:t xml:space="preserve">matter of </w:t>
      </w:r>
      <w:r w:rsidR="003B2E39" w:rsidRPr="00E27197">
        <w:rPr>
          <w:rFonts w:ascii="Arial" w:hAnsi="Arial" w:cs="Arial"/>
          <w:b/>
          <w:i/>
          <w:sz w:val="24"/>
          <w:szCs w:val="24"/>
        </w:rPr>
        <w:t>African Farms &amp; Townships Ltd</w:t>
      </w:r>
      <w:r w:rsidR="00645980" w:rsidRPr="00E27197">
        <w:rPr>
          <w:rFonts w:ascii="Arial" w:hAnsi="Arial" w:cs="Arial"/>
          <w:sz w:val="24"/>
          <w:szCs w:val="24"/>
        </w:rPr>
        <w:t xml:space="preserve">. </w:t>
      </w:r>
    </w:p>
    <w:p w:rsidR="00503047" w:rsidRPr="00E27197" w:rsidRDefault="00503047" w:rsidP="00E27197">
      <w:pPr>
        <w:spacing w:line="360" w:lineRule="auto"/>
        <w:ind w:left="900" w:hanging="720"/>
        <w:jc w:val="both"/>
        <w:rPr>
          <w:rFonts w:ascii="Arial" w:hAnsi="Arial" w:cs="Arial"/>
          <w:sz w:val="24"/>
          <w:szCs w:val="24"/>
        </w:rPr>
      </w:pPr>
    </w:p>
    <w:p w:rsidR="00503047" w:rsidRPr="00E27197" w:rsidRDefault="003449CF" w:rsidP="00E27197">
      <w:pPr>
        <w:spacing w:line="360" w:lineRule="auto"/>
        <w:ind w:left="900" w:hanging="720"/>
        <w:jc w:val="both"/>
        <w:rPr>
          <w:rFonts w:ascii="Arial" w:hAnsi="Arial" w:cs="Arial"/>
          <w:sz w:val="24"/>
          <w:szCs w:val="24"/>
        </w:rPr>
      </w:pPr>
      <w:r w:rsidRPr="00E27197">
        <w:rPr>
          <w:rFonts w:ascii="Arial" w:hAnsi="Arial" w:cs="Arial"/>
          <w:sz w:val="24"/>
          <w:szCs w:val="24"/>
        </w:rPr>
        <w:t>39.</w:t>
      </w:r>
      <w:r w:rsidRPr="00E27197">
        <w:rPr>
          <w:rFonts w:ascii="Arial" w:hAnsi="Arial" w:cs="Arial"/>
          <w:sz w:val="24"/>
          <w:szCs w:val="24"/>
        </w:rPr>
        <w:tab/>
      </w:r>
      <w:r w:rsidR="00503047" w:rsidRPr="00E27197">
        <w:rPr>
          <w:rFonts w:ascii="Arial" w:hAnsi="Arial" w:cs="Arial"/>
          <w:sz w:val="24"/>
          <w:szCs w:val="24"/>
        </w:rPr>
        <w:t>Mr. Zietsman then proceeded to point out that Van Der Ryst’s primary ground for why he wants the conduct of the Bank reviewed, is the allegation that he was not present during the above-mentioned first meeting of creditors in his insolvent estate.</w:t>
      </w:r>
    </w:p>
    <w:p w:rsidR="00367DC1" w:rsidRPr="00E27197" w:rsidRDefault="00367DC1" w:rsidP="00E27197">
      <w:pPr>
        <w:spacing w:line="360" w:lineRule="auto"/>
        <w:ind w:left="900" w:hanging="720"/>
        <w:jc w:val="both"/>
        <w:rPr>
          <w:rFonts w:ascii="Arial" w:hAnsi="Arial" w:cs="Arial"/>
          <w:sz w:val="24"/>
          <w:szCs w:val="24"/>
        </w:rPr>
      </w:pPr>
    </w:p>
    <w:p w:rsidR="00367DC1" w:rsidRPr="00E27197" w:rsidRDefault="00367DC1" w:rsidP="00E27197">
      <w:pPr>
        <w:spacing w:line="360" w:lineRule="auto"/>
        <w:ind w:left="900"/>
        <w:jc w:val="both"/>
        <w:rPr>
          <w:rFonts w:ascii="Arial" w:hAnsi="Arial" w:cs="Arial"/>
          <w:sz w:val="24"/>
          <w:szCs w:val="24"/>
        </w:rPr>
      </w:pPr>
      <w:r w:rsidRPr="00E27197">
        <w:rPr>
          <w:rFonts w:ascii="Arial" w:hAnsi="Arial" w:cs="Arial"/>
          <w:sz w:val="24"/>
          <w:szCs w:val="24"/>
        </w:rPr>
        <w:t>If regards are to be had to the contents of Van Der Ryst’s Answering Affidavit (herein after “</w:t>
      </w:r>
      <w:r w:rsidRPr="00E27197">
        <w:rPr>
          <w:rFonts w:ascii="Arial" w:hAnsi="Arial" w:cs="Arial"/>
          <w:i/>
          <w:sz w:val="24"/>
          <w:szCs w:val="24"/>
        </w:rPr>
        <w:t>the Answering Affidavit</w:t>
      </w:r>
      <w:r w:rsidRPr="00E27197">
        <w:rPr>
          <w:rFonts w:ascii="Arial" w:hAnsi="Arial" w:cs="Arial"/>
          <w:sz w:val="24"/>
          <w:szCs w:val="24"/>
        </w:rPr>
        <w:t>”) in the Security Application, this contention by Mr. Zietsman SC appears to be correct.</w:t>
      </w:r>
    </w:p>
    <w:p w:rsidR="00367DC1" w:rsidRPr="00E27197" w:rsidRDefault="00367DC1" w:rsidP="00E27197">
      <w:pPr>
        <w:spacing w:line="360" w:lineRule="auto"/>
        <w:ind w:left="900" w:hanging="720"/>
        <w:jc w:val="both"/>
        <w:rPr>
          <w:rFonts w:ascii="Arial" w:hAnsi="Arial" w:cs="Arial"/>
          <w:sz w:val="24"/>
          <w:szCs w:val="24"/>
        </w:rPr>
      </w:pPr>
    </w:p>
    <w:p w:rsidR="00367DC1" w:rsidRPr="00E27197" w:rsidRDefault="00367DC1" w:rsidP="00E27197">
      <w:pPr>
        <w:spacing w:line="360" w:lineRule="auto"/>
        <w:ind w:left="900"/>
        <w:jc w:val="both"/>
        <w:rPr>
          <w:rFonts w:ascii="Arial" w:hAnsi="Arial" w:cs="Arial"/>
          <w:sz w:val="24"/>
          <w:szCs w:val="24"/>
        </w:rPr>
      </w:pPr>
      <w:r w:rsidRPr="00E27197">
        <w:rPr>
          <w:rFonts w:ascii="Arial" w:hAnsi="Arial" w:cs="Arial"/>
          <w:sz w:val="24"/>
          <w:szCs w:val="24"/>
        </w:rPr>
        <w:t>Van Der Ryst states in paragraph 13.4 of the Answering Affidavit as follows:</w:t>
      </w:r>
    </w:p>
    <w:p w:rsidR="00367DC1" w:rsidRPr="00E27197" w:rsidRDefault="00367DC1" w:rsidP="00E27197">
      <w:pPr>
        <w:spacing w:line="360" w:lineRule="auto"/>
        <w:ind w:left="900" w:hanging="720"/>
        <w:jc w:val="both"/>
        <w:rPr>
          <w:rFonts w:ascii="Arial" w:hAnsi="Arial" w:cs="Arial"/>
          <w:sz w:val="24"/>
          <w:szCs w:val="24"/>
        </w:rPr>
      </w:pPr>
    </w:p>
    <w:p w:rsidR="00367DC1" w:rsidRPr="00E27197" w:rsidRDefault="00367DC1" w:rsidP="00E27197">
      <w:pPr>
        <w:spacing w:line="360" w:lineRule="auto"/>
        <w:ind w:left="900"/>
        <w:jc w:val="both"/>
        <w:rPr>
          <w:rFonts w:ascii="Arial" w:hAnsi="Arial" w:cs="Arial"/>
          <w:sz w:val="24"/>
          <w:szCs w:val="24"/>
        </w:rPr>
      </w:pPr>
      <w:r w:rsidRPr="00E27197">
        <w:rPr>
          <w:rFonts w:ascii="Arial" w:hAnsi="Arial" w:cs="Arial"/>
          <w:sz w:val="24"/>
          <w:szCs w:val="24"/>
        </w:rPr>
        <w:t>“</w:t>
      </w:r>
      <w:r w:rsidRPr="00E27197">
        <w:rPr>
          <w:rFonts w:ascii="Arial" w:hAnsi="Arial" w:cs="Arial"/>
          <w:i/>
          <w:sz w:val="24"/>
          <w:szCs w:val="24"/>
        </w:rPr>
        <w:t>Inasmuch as the applicants are implying that the main application was launched with some ulterior purpose, which suggestion is without merit and is also denied.</w:t>
      </w:r>
      <w:r w:rsidRPr="00E27197">
        <w:rPr>
          <w:rFonts w:ascii="Arial" w:hAnsi="Arial" w:cs="Arial"/>
          <w:sz w:val="24"/>
          <w:szCs w:val="24"/>
        </w:rPr>
        <w:t>”</w:t>
      </w:r>
    </w:p>
    <w:p w:rsidR="00367DC1" w:rsidRPr="00E27197" w:rsidRDefault="00367DC1" w:rsidP="00E27197">
      <w:pPr>
        <w:spacing w:line="360" w:lineRule="auto"/>
        <w:ind w:left="900" w:hanging="720"/>
        <w:jc w:val="both"/>
        <w:rPr>
          <w:rFonts w:ascii="Arial" w:hAnsi="Arial" w:cs="Arial"/>
          <w:sz w:val="24"/>
          <w:szCs w:val="24"/>
        </w:rPr>
      </w:pPr>
    </w:p>
    <w:p w:rsidR="00367DC1" w:rsidRPr="00E27197" w:rsidRDefault="00367DC1" w:rsidP="00E27197">
      <w:pPr>
        <w:spacing w:line="360" w:lineRule="auto"/>
        <w:ind w:left="900"/>
        <w:jc w:val="both"/>
        <w:rPr>
          <w:rFonts w:ascii="Arial" w:hAnsi="Arial" w:cs="Arial"/>
          <w:sz w:val="24"/>
          <w:szCs w:val="24"/>
        </w:rPr>
      </w:pPr>
      <w:r w:rsidRPr="00E27197">
        <w:rPr>
          <w:rFonts w:ascii="Arial" w:hAnsi="Arial" w:cs="Arial"/>
          <w:sz w:val="24"/>
          <w:szCs w:val="24"/>
        </w:rPr>
        <w:t>In paragraph 13.5 of the Answering Affdavit, Van Der Ryst states:</w:t>
      </w:r>
    </w:p>
    <w:p w:rsidR="00367DC1" w:rsidRPr="00E27197" w:rsidRDefault="00367DC1" w:rsidP="00E27197">
      <w:pPr>
        <w:spacing w:line="360" w:lineRule="auto"/>
        <w:ind w:left="900" w:hanging="720"/>
        <w:jc w:val="both"/>
        <w:rPr>
          <w:rFonts w:ascii="Arial" w:hAnsi="Arial" w:cs="Arial"/>
          <w:sz w:val="24"/>
          <w:szCs w:val="24"/>
        </w:rPr>
      </w:pPr>
    </w:p>
    <w:p w:rsidR="00367DC1" w:rsidRPr="00E27197" w:rsidRDefault="00367DC1" w:rsidP="00E27197">
      <w:pPr>
        <w:spacing w:line="360" w:lineRule="auto"/>
        <w:ind w:left="900"/>
        <w:jc w:val="both"/>
        <w:rPr>
          <w:rFonts w:ascii="Arial" w:hAnsi="Arial" w:cs="Arial"/>
          <w:sz w:val="24"/>
          <w:szCs w:val="24"/>
        </w:rPr>
      </w:pPr>
      <w:r w:rsidRPr="00E27197">
        <w:rPr>
          <w:rFonts w:ascii="Arial" w:hAnsi="Arial" w:cs="Arial"/>
          <w:sz w:val="24"/>
          <w:szCs w:val="24"/>
        </w:rPr>
        <w:t>“</w:t>
      </w:r>
      <w:r w:rsidRPr="00E27197">
        <w:rPr>
          <w:rFonts w:ascii="Arial" w:hAnsi="Arial" w:cs="Arial"/>
          <w:i/>
          <w:sz w:val="24"/>
          <w:szCs w:val="24"/>
        </w:rPr>
        <w:t>The main application is to facilitate the pursuit of the veracity of the claims lodged by Standard Bank.</w:t>
      </w:r>
      <w:r w:rsidRPr="00E27197">
        <w:rPr>
          <w:rFonts w:ascii="Arial" w:hAnsi="Arial" w:cs="Arial"/>
          <w:sz w:val="24"/>
          <w:szCs w:val="24"/>
        </w:rPr>
        <w:t>”</w:t>
      </w:r>
    </w:p>
    <w:p w:rsidR="002D6B5D" w:rsidRPr="00E27197" w:rsidRDefault="002D6B5D" w:rsidP="00E27197">
      <w:pPr>
        <w:spacing w:line="360" w:lineRule="auto"/>
        <w:ind w:left="900" w:hanging="720"/>
        <w:jc w:val="both"/>
        <w:rPr>
          <w:rFonts w:ascii="Arial" w:hAnsi="Arial" w:cs="Arial"/>
          <w:sz w:val="24"/>
          <w:szCs w:val="24"/>
        </w:rPr>
      </w:pPr>
    </w:p>
    <w:p w:rsidR="002D6B5D" w:rsidRPr="00E27197" w:rsidRDefault="002D6B5D" w:rsidP="00E27197">
      <w:pPr>
        <w:spacing w:line="360" w:lineRule="auto"/>
        <w:ind w:left="900"/>
        <w:jc w:val="both"/>
        <w:rPr>
          <w:rFonts w:ascii="Arial" w:hAnsi="Arial" w:cs="Arial"/>
          <w:sz w:val="24"/>
          <w:szCs w:val="24"/>
        </w:rPr>
      </w:pPr>
      <w:r w:rsidRPr="00E27197">
        <w:rPr>
          <w:rFonts w:ascii="Arial" w:hAnsi="Arial" w:cs="Arial"/>
          <w:sz w:val="24"/>
          <w:szCs w:val="24"/>
        </w:rPr>
        <w:t>In paragraph 15.1 of the Answering Affidavit it is repeated that the Main Application was not lodged for an ulterior purpose and it is stated:</w:t>
      </w:r>
    </w:p>
    <w:p w:rsidR="002D6B5D" w:rsidRPr="00E27197" w:rsidRDefault="002D6B5D" w:rsidP="00E27197">
      <w:pPr>
        <w:spacing w:line="360" w:lineRule="auto"/>
        <w:ind w:left="900" w:hanging="720"/>
        <w:jc w:val="both"/>
        <w:rPr>
          <w:rFonts w:ascii="Arial" w:hAnsi="Arial" w:cs="Arial"/>
          <w:sz w:val="24"/>
          <w:szCs w:val="24"/>
        </w:rPr>
      </w:pPr>
    </w:p>
    <w:p w:rsidR="002D6B5D" w:rsidRPr="00E27197" w:rsidRDefault="002D6B5D" w:rsidP="00E27197">
      <w:pPr>
        <w:spacing w:line="360" w:lineRule="auto"/>
        <w:ind w:left="900"/>
        <w:jc w:val="both"/>
        <w:rPr>
          <w:rFonts w:ascii="Arial" w:hAnsi="Arial" w:cs="Arial"/>
          <w:sz w:val="24"/>
          <w:szCs w:val="24"/>
        </w:rPr>
      </w:pPr>
      <w:r w:rsidRPr="00E27197">
        <w:rPr>
          <w:rFonts w:ascii="Arial" w:hAnsi="Arial" w:cs="Arial"/>
          <w:sz w:val="24"/>
          <w:szCs w:val="24"/>
        </w:rPr>
        <w:t>“</w:t>
      </w:r>
      <w:r w:rsidRPr="00E27197">
        <w:rPr>
          <w:rFonts w:ascii="Arial" w:hAnsi="Arial" w:cs="Arial"/>
          <w:i/>
          <w:sz w:val="24"/>
          <w:szCs w:val="24"/>
        </w:rPr>
        <w:t>The main application has merit and is not vexatious.</w:t>
      </w:r>
      <w:r w:rsidRPr="00E27197">
        <w:rPr>
          <w:rFonts w:ascii="Arial" w:hAnsi="Arial" w:cs="Arial"/>
          <w:sz w:val="24"/>
          <w:szCs w:val="24"/>
        </w:rPr>
        <w:t>”</w:t>
      </w:r>
    </w:p>
    <w:p w:rsidR="00B56B56" w:rsidRPr="00E27197" w:rsidRDefault="00B56B56" w:rsidP="00E27197">
      <w:pPr>
        <w:spacing w:line="360" w:lineRule="auto"/>
        <w:ind w:left="900" w:hanging="720"/>
        <w:jc w:val="both"/>
        <w:rPr>
          <w:rFonts w:ascii="Arial" w:hAnsi="Arial" w:cs="Arial"/>
          <w:sz w:val="24"/>
          <w:szCs w:val="24"/>
        </w:rPr>
      </w:pPr>
    </w:p>
    <w:p w:rsidR="00B56B56" w:rsidRPr="00E27197" w:rsidRDefault="00B56B56" w:rsidP="00E27197">
      <w:pPr>
        <w:spacing w:line="360" w:lineRule="auto"/>
        <w:ind w:left="900"/>
        <w:jc w:val="both"/>
        <w:rPr>
          <w:rFonts w:ascii="Arial" w:hAnsi="Arial" w:cs="Arial"/>
          <w:sz w:val="24"/>
          <w:szCs w:val="24"/>
        </w:rPr>
      </w:pPr>
      <w:r w:rsidRPr="00E27197">
        <w:rPr>
          <w:rFonts w:ascii="Arial" w:hAnsi="Arial" w:cs="Arial"/>
          <w:sz w:val="24"/>
          <w:szCs w:val="24"/>
        </w:rPr>
        <w:t>In paragraphs 16.1 and 16.2 of the Answering Affidavit, Van Der Ryst intimates that he did not receive the notice of the first meeting of creditors and in paragraph 17.1 he states:</w:t>
      </w:r>
    </w:p>
    <w:p w:rsidR="00B56B56" w:rsidRPr="00E27197" w:rsidRDefault="00B56B56" w:rsidP="00E27197">
      <w:pPr>
        <w:spacing w:line="360" w:lineRule="auto"/>
        <w:ind w:left="900" w:hanging="720"/>
        <w:jc w:val="both"/>
        <w:rPr>
          <w:rFonts w:ascii="Arial" w:hAnsi="Arial" w:cs="Arial"/>
          <w:sz w:val="24"/>
          <w:szCs w:val="24"/>
        </w:rPr>
      </w:pPr>
    </w:p>
    <w:p w:rsidR="00B56B56" w:rsidRPr="00E27197" w:rsidRDefault="00B56B56" w:rsidP="00E27197">
      <w:pPr>
        <w:spacing w:line="360" w:lineRule="auto"/>
        <w:ind w:left="900"/>
        <w:jc w:val="both"/>
        <w:rPr>
          <w:rFonts w:ascii="Arial" w:hAnsi="Arial" w:cs="Arial"/>
          <w:sz w:val="24"/>
          <w:szCs w:val="24"/>
        </w:rPr>
      </w:pPr>
      <w:r w:rsidRPr="00E27197">
        <w:rPr>
          <w:rFonts w:ascii="Arial" w:hAnsi="Arial" w:cs="Arial"/>
          <w:sz w:val="24"/>
          <w:szCs w:val="24"/>
        </w:rPr>
        <w:t>“</w:t>
      </w:r>
      <w:r w:rsidRPr="00E27197">
        <w:rPr>
          <w:rFonts w:ascii="Arial" w:hAnsi="Arial" w:cs="Arial"/>
          <w:i/>
          <w:sz w:val="24"/>
          <w:szCs w:val="24"/>
        </w:rPr>
        <w:t>I have already indicated that I did not receive any notification of the first meeting of creditors and also indicated the reasons therefore.</w:t>
      </w:r>
      <w:r w:rsidRPr="00E27197">
        <w:rPr>
          <w:rFonts w:ascii="Arial" w:hAnsi="Arial" w:cs="Arial"/>
          <w:sz w:val="24"/>
          <w:szCs w:val="24"/>
        </w:rPr>
        <w:t>”</w:t>
      </w:r>
    </w:p>
    <w:p w:rsidR="003E1066" w:rsidRPr="00E27197" w:rsidRDefault="003E1066" w:rsidP="00E27197">
      <w:pPr>
        <w:spacing w:line="360" w:lineRule="auto"/>
        <w:ind w:left="900" w:hanging="720"/>
        <w:jc w:val="both"/>
        <w:rPr>
          <w:rFonts w:ascii="Arial" w:hAnsi="Arial" w:cs="Arial"/>
          <w:sz w:val="24"/>
          <w:szCs w:val="24"/>
        </w:rPr>
      </w:pPr>
    </w:p>
    <w:p w:rsidR="003E1066" w:rsidRPr="00E27197" w:rsidRDefault="004E5493" w:rsidP="00E27197">
      <w:pPr>
        <w:spacing w:line="360" w:lineRule="auto"/>
        <w:ind w:left="900" w:hanging="720"/>
        <w:jc w:val="both"/>
        <w:rPr>
          <w:rFonts w:ascii="Arial" w:hAnsi="Arial" w:cs="Arial"/>
          <w:sz w:val="24"/>
          <w:szCs w:val="24"/>
        </w:rPr>
      </w:pPr>
      <w:r w:rsidRPr="00E27197">
        <w:rPr>
          <w:rFonts w:ascii="Arial" w:hAnsi="Arial" w:cs="Arial"/>
          <w:sz w:val="24"/>
          <w:szCs w:val="24"/>
        </w:rPr>
        <w:t>40.</w:t>
      </w:r>
      <w:r w:rsidRPr="00E27197">
        <w:rPr>
          <w:rFonts w:ascii="Arial" w:hAnsi="Arial" w:cs="Arial"/>
          <w:sz w:val="24"/>
          <w:szCs w:val="24"/>
        </w:rPr>
        <w:tab/>
      </w:r>
      <w:r w:rsidR="003E1066" w:rsidRPr="00E27197">
        <w:rPr>
          <w:rFonts w:ascii="Arial" w:hAnsi="Arial" w:cs="Arial"/>
          <w:sz w:val="24"/>
          <w:szCs w:val="24"/>
        </w:rPr>
        <w:t>If regards are to be had to the notice of the first meeting of creditors, it appears that a copy of said notice was sent to Van Der Ryst at the Farm Allendale, Barkly West.</w:t>
      </w:r>
    </w:p>
    <w:p w:rsidR="003E1066" w:rsidRPr="00E27197" w:rsidRDefault="003E1066" w:rsidP="00E27197">
      <w:pPr>
        <w:spacing w:line="360" w:lineRule="auto"/>
        <w:ind w:left="900" w:hanging="720"/>
        <w:jc w:val="both"/>
        <w:rPr>
          <w:rFonts w:ascii="Arial" w:hAnsi="Arial" w:cs="Arial"/>
          <w:sz w:val="24"/>
          <w:szCs w:val="24"/>
        </w:rPr>
      </w:pPr>
    </w:p>
    <w:p w:rsidR="003E1066" w:rsidRPr="00E27197" w:rsidRDefault="003E1066" w:rsidP="00E27197">
      <w:pPr>
        <w:spacing w:line="360" w:lineRule="auto"/>
        <w:ind w:left="900"/>
        <w:jc w:val="both"/>
        <w:rPr>
          <w:rFonts w:ascii="Arial" w:hAnsi="Arial" w:cs="Arial"/>
          <w:sz w:val="24"/>
          <w:szCs w:val="24"/>
        </w:rPr>
      </w:pPr>
      <w:r w:rsidRPr="00E27197">
        <w:rPr>
          <w:rFonts w:ascii="Arial" w:hAnsi="Arial" w:cs="Arial"/>
          <w:sz w:val="24"/>
          <w:szCs w:val="24"/>
        </w:rPr>
        <w:t>It is this notice that Van Der Ryst denies receipt of</w:t>
      </w:r>
      <w:r w:rsidR="00DC5D02">
        <w:rPr>
          <w:rFonts w:ascii="Arial" w:hAnsi="Arial" w:cs="Arial"/>
          <w:sz w:val="24"/>
          <w:szCs w:val="24"/>
        </w:rPr>
        <w:t>,</w:t>
      </w:r>
      <w:r w:rsidRPr="00E27197">
        <w:rPr>
          <w:rFonts w:ascii="Arial" w:hAnsi="Arial" w:cs="Arial"/>
          <w:sz w:val="24"/>
          <w:szCs w:val="24"/>
        </w:rPr>
        <w:t xml:space="preserve"> stating in paragraph 16.2 of the Answering Affidavit as follows:</w:t>
      </w:r>
    </w:p>
    <w:p w:rsidR="003E1066" w:rsidRPr="00E27197" w:rsidRDefault="003E1066" w:rsidP="00E27197">
      <w:pPr>
        <w:spacing w:line="360" w:lineRule="auto"/>
        <w:ind w:left="900" w:hanging="720"/>
        <w:jc w:val="both"/>
        <w:rPr>
          <w:rFonts w:ascii="Arial" w:hAnsi="Arial" w:cs="Arial"/>
          <w:sz w:val="24"/>
          <w:szCs w:val="24"/>
        </w:rPr>
      </w:pPr>
    </w:p>
    <w:p w:rsidR="003E1066" w:rsidRPr="00E27197" w:rsidRDefault="003E1066" w:rsidP="00E27197">
      <w:pPr>
        <w:spacing w:line="360" w:lineRule="auto"/>
        <w:ind w:left="900"/>
        <w:jc w:val="both"/>
        <w:rPr>
          <w:rFonts w:ascii="Arial" w:hAnsi="Arial" w:cs="Arial"/>
          <w:sz w:val="24"/>
          <w:szCs w:val="24"/>
        </w:rPr>
      </w:pPr>
      <w:r w:rsidRPr="00E27197">
        <w:rPr>
          <w:rFonts w:ascii="Arial" w:hAnsi="Arial" w:cs="Arial"/>
          <w:sz w:val="24"/>
          <w:szCs w:val="24"/>
        </w:rPr>
        <w:t>“</w:t>
      </w:r>
      <w:r w:rsidRPr="00E27197">
        <w:rPr>
          <w:rFonts w:ascii="Arial" w:hAnsi="Arial" w:cs="Arial"/>
          <w:i/>
          <w:sz w:val="24"/>
          <w:szCs w:val="24"/>
        </w:rPr>
        <w:t>There is no postal delivery at this address and the letter would never have reached me.</w:t>
      </w:r>
      <w:r w:rsidRPr="00E27197">
        <w:rPr>
          <w:rFonts w:ascii="Arial" w:hAnsi="Arial" w:cs="Arial"/>
          <w:sz w:val="24"/>
          <w:szCs w:val="24"/>
        </w:rPr>
        <w:t>”</w:t>
      </w:r>
    </w:p>
    <w:p w:rsidR="009C664D" w:rsidRPr="00E27197" w:rsidRDefault="009C664D" w:rsidP="00E27197">
      <w:pPr>
        <w:spacing w:line="360" w:lineRule="auto"/>
        <w:ind w:left="900" w:hanging="720"/>
        <w:jc w:val="both"/>
        <w:rPr>
          <w:rFonts w:ascii="Arial" w:hAnsi="Arial" w:cs="Arial"/>
          <w:sz w:val="24"/>
          <w:szCs w:val="24"/>
        </w:rPr>
      </w:pPr>
    </w:p>
    <w:p w:rsidR="009C664D" w:rsidRPr="00E27197" w:rsidRDefault="004E5493" w:rsidP="00E27197">
      <w:pPr>
        <w:spacing w:line="360" w:lineRule="auto"/>
        <w:ind w:left="900" w:hanging="720"/>
        <w:jc w:val="both"/>
        <w:rPr>
          <w:rFonts w:ascii="Arial" w:hAnsi="Arial" w:cs="Arial"/>
          <w:sz w:val="24"/>
          <w:szCs w:val="24"/>
        </w:rPr>
      </w:pPr>
      <w:r w:rsidRPr="00E27197">
        <w:rPr>
          <w:rFonts w:ascii="Arial" w:hAnsi="Arial" w:cs="Arial"/>
          <w:sz w:val="24"/>
          <w:szCs w:val="24"/>
        </w:rPr>
        <w:t>41.</w:t>
      </w:r>
      <w:r w:rsidRPr="00E27197">
        <w:rPr>
          <w:rFonts w:ascii="Arial" w:hAnsi="Arial" w:cs="Arial"/>
          <w:sz w:val="24"/>
          <w:szCs w:val="24"/>
        </w:rPr>
        <w:tab/>
      </w:r>
      <w:r w:rsidR="009C664D" w:rsidRPr="00E27197">
        <w:rPr>
          <w:rFonts w:ascii="Arial" w:hAnsi="Arial" w:cs="Arial"/>
          <w:sz w:val="24"/>
          <w:szCs w:val="24"/>
        </w:rPr>
        <w:t xml:space="preserve">Mr. Zietsman argued that it was not necessary for Van Der Ryst to be present at the first meeting of creditors and amplified his argument by referring to </w:t>
      </w:r>
      <w:r w:rsidR="00FC19E6" w:rsidRPr="00E27197">
        <w:rPr>
          <w:rFonts w:ascii="Arial" w:hAnsi="Arial" w:cs="Arial"/>
          <w:i/>
          <w:sz w:val="24"/>
          <w:szCs w:val="24"/>
        </w:rPr>
        <w:t>inter alia</w:t>
      </w:r>
      <w:r w:rsidR="00FC19E6" w:rsidRPr="00E27197">
        <w:rPr>
          <w:rFonts w:ascii="Arial" w:hAnsi="Arial" w:cs="Arial"/>
          <w:sz w:val="24"/>
          <w:szCs w:val="24"/>
        </w:rPr>
        <w:t xml:space="preserve"> </w:t>
      </w:r>
      <w:r w:rsidR="00BC5848" w:rsidRPr="00E27197">
        <w:rPr>
          <w:rFonts w:ascii="Arial" w:hAnsi="Arial" w:cs="Arial"/>
          <w:b/>
          <w:i/>
          <w:sz w:val="24"/>
          <w:szCs w:val="24"/>
        </w:rPr>
        <w:t>Section 44(7)</w:t>
      </w:r>
      <w:r w:rsidR="00BC5848" w:rsidRPr="00E27197">
        <w:rPr>
          <w:rFonts w:ascii="Arial" w:hAnsi="Arial" w:cs="Arial"/>
          <w:sz w:val="24"/>
          <w:szCs w:val="24"/>
        </w:rPr>
        <w:t xml:space="preserve"> and </w:t>
      </w:r>
      <w:r w:rsidR="00FC19E6" w:rsidRPr="00E27197">
        <w:rPr>
          <w:rFonts w:ascii="Arial" w:hAnsi="Arial" w:cs="Arial"/>
          <w:b/>
          <w:i/>
          <w:sz w:val="24"/>
          <w:szCs w:val="24"/>
        </w:rPr>
        <w:t>Section 45</w:t>
      </w:r>
      <w:r w:rsidR="00FC19E6" w:rsidRPr="00E27197">
        <w:rPr>
          <w:rFonts w:ascii="Arial" w:hAnsi="Arial" w:cs="Arial"/>
          <w:sz w:val="24"/>
          <w:szCs w:val="24"/>
        </w:rPr>
        <w:t xml:space="preserve"> of the Insolvency Act which provides for a mechanism whereby the </w:t>
      </w:r>
      <w:r w:rsidR="00BC5848" w:rsidRPr="00E27197">
        <w:rPr>
          <w:rFonts w:ascii="Arial" w:hAnsi="Arial" w:cs="Arial"/>
          <w:sz w:val="24"/>
          <w:szCs w:val="24"/>
        </w:rPr>
        <w:t xml:space="preserve">Master may interrogate any person present at a meeting of creditors who wishes to prove or has proven its claim against the estate as well as a mechanism whereby the </w:t>
      </w:r>
      <w:r w:rsidR="00FC19E6" w:rsidRPr="00E27197">
        <w:rPr>
          <w:rFonts w:ascii="Arial" w:hAnsi="Arial" w:cs="Arial"/>
          <w:sz w:val="24"/>
          <w:szCs w:val="24"/>
        </w:rPr>
        <w:t>trustees of an insolvent estate is obliged to “</w:t>
      </w:r>
      <w:r w:rsidR="00FC19E6" w:rsidRPr="00E27197">
        <w:rPr>
          <w:rFonts w:ascii="Arial" w:hAnsi="Arial" w:cs="Arial"/>
          <w:i/>
          <w:sz w:val="24"/>
          <w:szCs w:val="24"/>
        </w:rPr>
        <w:t>review</w:t>
      </w:r>
      <w:r w:rsidR="00FC19E6" w:rsidRPr="00E27197">
        <w:rPr>
          <w:rFonts w:ascii="Arial" w:hAnsi="Arial" w:cs="Arial"/>
          <w:sz w:val="24"/>
          <w:szCs w:val="24"/>
        </w:rPr>
        <w:t>” any and all claims proved during meetings of creditors.</w:t>
      </w:r>
    </w:p>
    <w:p w:rsidR="00BC5848" w:rsidRPr="00E27197" w:rsidRDefault="00BC5848" w:rsidP="00E27197">
      <w:pPr>
        <w:spacing w:line="360" w:lineRule="auto"/>
        <w:ind w:left="900" w:hanging="720"/>
        <w:jc w:val="both"/>
        <w:rPr>
          <w:rFonts w:ascii="Arial" w:hAnsi="Arial" w:cs="Arial"/>
          <w:sz w:val="24"/>
          <w:szCs w:val="24"/>
        </w:rPr>
      </w:pPr>
    </w:p>
    <w:p w:rsidR="00BC5848" w:rsidRPr="00E27197" w:rsidRDefault="004E5493" w:rsidP="00E27197">
      <w:pPr>
        <w:spacing w:line="360" w:lineRule="auto"/>
        <w:ind w:left="900" w:hanging="720"/>
        <w:jc w:val="both"/>
        <w:rPr>
          <w:rFonts w:ascii="Arial" w:hAnsi="Arial" w:cs="Arial"/>
          <w:sz w:val="24"/>
          <w:szCs w:val="24"/>
        </w:rPr>
      </w:pPr>
      <w:r w:rsidRPr="00E27197">
        <w:rPr>
          <w:rFonts w:ascii="Arial" w:hAnsi="Arial" w:cs="Arial"/>
          <w:sz w:val="24"/>
          <w:szCs w:val="24"/>
        </w:rPr>
        <w:t>42.</w:t>
      </w:r>
      <w:r w:rsidRPr="00E27197">
        <w:rPr>
          <w:rFonts w:ascii="Arial" w:hAnsi="Arial" w:cs="Arial"/>
          <w:sz w:val="24"/>
          <w:szCs w:val="24"/>
        </w:rPr>
        <w:tab/>
      </w:r>
      <w:r w:rsidR="00BC5848" w:rsidRPr="00E27197">
        <w:rPr>
          <w:rFonts w:ascii="Arial" w:hAnsi="Arial" w:cs="Arial"/>
          <w:sz w:val="24"/>
          <w:szCs w:val="24"/>
        </w:rPr>
        <w:t xml:space="preserve">Although Mr. Zietsman is correct in his contentions about the procedures as set out in the above </w:t>
      </w:r>
      <w:r w:rsidR="00BC5848" w:rsidRPr="00E27197">
        <w:rPr>
          <w:rFonts w:ascii="Arial" w:hAnsi="Arial" w:cs="Arial"/>
          <w:b/>
          <w:i/>
          <w:sz w:val="24"/>
          <w:szCs w:val="24"/>
        </w:rPr>
        <w:t>Section 44(7)</w:t>
      </w:r>
      <w:r w:rsidR="00BC5848" w:rsidRPr="00E27197">
        <w:rPr>
          <w:rFonts w:ascii="Arial" w:hAnsi="Arial" w:cs="Arial"/>
          <w:sz w:val="24"/>
          <w:szCs w:val="24"/>
        </w:rPr>
        <w:t xml:space="preserve"> and </w:t>
      </w:r>
      <w:r w:rsidR="00BC5848" w:rsidRPr="00E27197">
        <w:rPr>
          <w:rFonts w:ascii="Arial" w:hAnsi="Arial" w:cs="Arial"/>
          <w:b/>
          <w:i/>
          <w:sz w:val="24"/>
          <w:szCs w:val="24"/>
        </w:rPr>
        <w:t>Section 45</w:t>
      </w:r>
      <w:r w:rsidR="00BC5848" w:rsidRPr="00E27197">
        <w:rPr>
          <w:rFonts w:ascii="Arial" w:hAnsi="Arial" w:cs="Arial"/>
          <w:sz w:val="24"/>
          <w:szCs w:val="24"/>
        </w:rPr>
        <w:t xml:space="preserve"> of the Insolvency Act, I can unfortunately not agree with his contention that the presence of Van Der Ryst at the first meeting of creditors was not necessary.</w:t>
      </w:r>
    </w:p>
    <w:p w:rsidR="008C168B" w:rsidRPr="00E27197" w:rsidRDefault="008C168B" w:rsidP="00E27197">
      <w:pPr>
        <w:spacing w:line="360" w:lineRule="auto"/>
        <w:ind w:left="900" w:hanging="720"/>
        <w:jc w:val="both"/>
        <w:rPr>
          <w:rFonts w:ascii="Arial" w:hAnsi="Arial" w:cs="Arial"/>
          <w:sz w:val="24"/>
          <w:szCs w:val="24"/>
        </w:rPr>
      </w:pPr>
    </w:p>
    <w:p w:rsidR="008C168B" w:rsidRPr="00E27197" w:rsidRDefault="004E5493" w:rsidP="00E27197">
      <w:pPr>
        <w:spacing w:line="360" w:lineRule="auto"/>
        <w:ind w:left="900" w:hanging="720"/>
        <w:jc w:val="both"/>
        <w:rPr>
          <w:rFonts w:ascii="Arial" w:hAnsi="Arial" w:cs="Arial"/>
          <w:sz w:val="24"/>
          <w:szCs w:val="24"/>
        </w:rPr>
      </w:pPr>
      <w:r w:rsidRPr="00E27197">
        <w:rPr>
          <w:rFonts w:ascii="Arial" w:hAnsi="Arial" w:cs="Arial"/>
          <w:sz w:val="24"/>
          <w:szCs w:val="24"/>
        </w:rPr>
        <w:lastRenderedPageBreak/>
        <w:t>43.</w:t>
      </w:r>
      <w:r w:rsidRPr="00E27197">
        <w:rPr>
          <w:rFonts w:ascii="Arial" w:hAnsi="Arial" w:cs="Arial"/>
          <w:sz w:val="24"/>
          <w:szCs w:val="24"/>
        </w:rPr>
        <w:tab/>
      </w:r>
      <w:r w:rsidR="008C168B" w:rsidRPr="00E27197">
        <w:rPr>
          <w:rFonts w:ascii="Arial" w:hAnsi="Arial" w:cs="Arial"/>
          <w:b/>
          <w:i/>
          <w:sz w:val="24"/>
          <w:szCs w:val="24"/>
        </w:rPr>
        <w:t xml:space="preserve">Section </w:t>
      </w:r>
      <w:r w:rsidR="00F66E33" w:rsidRPr="00E27197">
        <w:rPr>
          <w:rFonts w:ascii="Arial" w:hAnsi="Arial" w:cs="Arial"/>
          <w:b/>
          <w:i/>
          <w:sz w:val="24"/>
          <w:szCs w:val="24"/>
        </w:rPr>
        <w:t>64(1)</w:t>
      </w:r>
      <w:r w:rsidR="00F66E33" w:rsidRPr="00E27197">
        <w:rPr>
          <w:rFonts w:ascii="Arial" w:hAnsi="Arial" w:cs="Arial"/>
          <w:sz w:val="24"/>
          <w:szCs w:val="24"/>
        </w:rPr>
        <w:t xml:space="preserve"> of the Insolvency Act states as follows:</w:t>
      </w:r>
    </w:p>
    <w:p w:rsidR="00F66E33" w:rsidRPr="00E27197" w:rsidRDefault="00F66E33" w:rsidP="00E27197">
      <w:pPr>
        <w:spacing w:line="360" w:lineRule="auto"/>
        <w:ind w:left="900" w:hanging="720"/>
        <w:jc w:val="both"/>
        <w:rPr>
          <w:rFonts w:ascii="Arial" w:hAnsi="Arial" w:cs="Arial"/>
          <w:sz w:val="24"/>
          <w:szCs w:val="24"/>
        </w:rPr>
      </w:pPr>
    </w:p>
    <w:p w:rsidR="00F66E33" w:rsidRPr="00E27197" w:rsidRDefault="00F66E33" w:rsidP="00E27197">
      <w:pPr>
        <w:spacing w:line="360" w:lineRule="auto"/>
        <w:ind w:left="900"/>
        <w:jc w:val="both"/>
        <w:rPr>
          <w:rFonts w:ascii="Arial" w:hAnsi="Arial" w:cs="Arial"/>
          <w:sz w:val="24"/>
          <w:szCs w:val="24"/>
        </w:rPr>
      </w:pPr>
      <w:r w:rsidRPr="00E27197">
        <w:rPr>
          <w:rFonts w:ascii="Arial" w:hAnsi="Arial" w:cs="Arial"/>
          <w:sz w:val="24"/>
          <w:szCs w:val="24"/>
        </w:rPr>
        <w:t>“</w:t>
      </w:r>
      <w:r w:rsidRPr="00E27197">
        <w:rPr>
          <w:rFonts w:ascii="Arial" w:hAnsi="Arial" w:cs="Arial"/>
          <w:i/>
          <w:sz w:val="24"/>
          <w:szCs w:val="24"/>
        </w:rPr>
        <w:t xml:space="preserve">An insolvent </w:t>
      </w:r>
      <w:r w:rsidRPr="00E27197">
        <w:rPr>
          <w:rFonts w:ascii="Arial" w:hAnsi="Arial" w:cs="Arial"/>
          <w:i/>
          <w:sz w:val="24"/>
          <w:szCs w:val="24"/>
          <w:u w:val="single"/>
        </w:rPr>
        <w:t>shall attend the first and second meetings of the creditors</w:t>
      </w:r>
      <w:r w:rsidRPr="00E27197">
        <w:rPr>
          <w:rFonts w:ascii="Arial" w:hAnsi="Arial" w:cs="Arial"/>
          <w:i/>
          <w:sz w:val="24"/>
          <w:szCs w:val="24"/>
        </w:rPr>
        <w:t xml:space="preserve"> of his estate … </w:t>
      </w:r>
      <w:r w:rsidRPr="00E27197">
        <w:rPr>
          <w:rFonts w:ascii="Arial" w:hAnsi="Arial" w:cs="Arial"/>
          <w:i/>
          <w:sz w:val="24"/>
          <w:szCs w:val="24"/>
          <w:u w:val="single"/>
        </w:rPr>
        <w:t>unless he has previously obtained the written permission of the officer who is to preside or who presides at such meeting granted after consultation with the trustee to absent himself. The insolvent shall also attend any subsequent meeting of creditors if required so to do by written notice of the trustee of his estate</w:t>
      </w:r>
      <w:r w:rsidRPr="00E27197">
        <w:rPr>
          <w:rFonts w:ascii="Arial" w:hAnsi="Arial" w:cs="Arial"/>
          <w:i/>
          <w:sz w:val="24"/>
          <w:szCs w:val="24"/>
        </w:rPr>
        <w:t>.</w:t>
      </w:r>
      <w:r w:rsidRPr="00E27197">
        <w:rPr>
          <w:rFonts w:ascii="Arial" w:hAnsi="Arial" w:cs="Arial"/>
          <w:sz w:val="24"/>
          <w:szCs w:val="24"/>
        </w:rPr>
        <w:t>”</w:t>
      </w:r>
      <w:r w:rsidR="00B51B62" w:rsidRPr="00E27197">
        <w:rPr>
          <w:rFonts w:ascii="Arial" w:hAnsi="Arial" w:cs="Arial"/>
          <w:sz w:val="24"/>
          <w:szCs w:val="24"/>
        </w:rPr>
        <w:t xml:space="preserve"> (My underlining and omissions)</w:t>
      </w:r>
    </w:p>
    <w:p w:rsidR="00B51B62" w:rsidRPr="00E27197" w:rsidRDefault="00B51B62" w:rsidP="00E27197">
      <w:pPr>
        <w:spacing w:line="360" w:lineRule="auto"/>
        <w:ind w:left="900" w:hanging="720"/>
        <w:jc w:val="both"/>
        <w:rPr>
          <w:rFonts w:ascii="Arial" w:hAnsi="Arial" w:cs="Arial"/>
          <w:sz w:val="24"/>
          <w:szCs w:val="24"/>
        </w:rPr>
      </w:pPr>
    </w:p>
    <w:p w:rsidR="00B51B62" w:rsidRPr="00E27197" w:rsidRDefault="00B51B62" w:rsidP="00E27197">
      <w:pPr>
        <w:spacing w:line="360" w:lineRule="auto"/>
        <w:ind w:left="900"/>
        <w:jc w:val="both"/>
        <w:rPr>
          <w:rFonts w:ascii="Arial" w:hAnsi="Arial" w:cs="Arial"/>
          <w:sz w:val="24"/>
          <w:szCs w:val="24"/>
        </w:rPr>
      </w:pPr>
      <w:r w:rsidRPr="00E27197">
        <w:rPr>
          <w:rFonts w:ascii="Arial" w:hAnsi="Arial" w:cs="Arial"/>
          <w:sz w:val="24"/>
          <w:szCs w:val="24"/>
        </w:rPr>
        <w:t xml:space="preserve">I understand the above extract from </w:t>
      </w:r>
      <w:r w:rsidRPr="00E27197">
        <w:rPr>
          <w:rFonts w:ascii="Arial" w:hAnsi="Arial" w:cs="Arial"/>
          <w:b/>
          <w:i/>
          <w:sz w:val="24"/>
          <w:szCs w:val="24"/>
        </w:rPr>
        <w:t>Section 64(1)</w:t>
      </w:r>
      <w:r w:rsidRPr="00E27197">
        <w:rPr>
          <w:rFonts w:ascii="Arial" w:hAnsi="Arial" w:cs="Arial"/>
          <w:sz w:val="24"/>
          <w:szCs w:val="24"/>
        </w:rPr>
        <w:t xml:space="preserve"> of the Insolvency Act to mean exactly what it says namely that an insolvent is obligated to attend the first and second meetings of creditors unless excused (in this case) by the Master after consultation with the Trustees.</w:t>
      </w:r>
    </w:p>
    <w:p w:rsidR="003202F1" w:rsidRPr="00E27197" w:rsidRDefault="003202F1" w:rsidP="00E27197">
      <w:pPr>
        <w:spacing w:line="360" w:lineRule="auto"/>
        <w:ind w:left="900" w:hanging="720"/>
        <w:jc w:val="both"/>
        <w:rPr>
          <w:rFonts w:ascii="Arial" w:hAnsi="Arial" w:cs="Arial"/>
          <w:sz w:val="24"/>
          <w:szCs w:val="24"/>
        </w:rPr>
      </w:pPr>
    </w:p>
    <w:p w:rsidR="003202F1" w:rsidRPr="00E27197" w:rsidRDefault="003202F1" w:rsidP="00E27197">
      <w:pPr>
        <w:spacing w:line="360" w:lineRule="auto"/>
        <w:ind w:left="900"/>
        <w:jc w:val="both"/>
        <w:rPr>
          <w:rFonts w:ascii="Arial" w:hAnsi="Arial" w:cs="Arial"/>
          <w:sz w:val="24"/>
          <w:szCs w:val="24"/>
        </w:rPr>
      </w:pPr>
      <w:r w:rsidRPr="00E27197">
        <w:rPr>
          <w:rFonts w:ascii="Arial" w:hAnsi="Arial" w:cs="Arial"/>
          <w:sz w:val="24"/>
          <w:szCs w:val="24"/>
        </w:rPr>
        <w:t xml:space="preserve">The above is underlined, in my view, by the provisions of </w:t>
      </w:r>
      <w:r w:rsidRPr="00E27197">
        <w:rPr>
          <w:rFonts w:ascii="Arial" w:hAnsi="Arial" w:cs="Arial"/>
          <w:b/>
          <w:i/>
          <w:sz w:val="24"/>
          <w:szCs w:val="24"/>
        </w:rPr>
        <w:t>Section 66</w:t>
      </w:r>
      <w:r w:rsidRPr="00E27197">
        <w:rPr>
          <w:rFonts w:ascii="Arial" w:hAnsi="Arial" w:cs="Arial"/>
          <w:sz w:val="24"/>
          <w:szCs w:val="24"/>
        </w:rPr>
        <w:t xml:space="preserve"> of the Insolvency Act which provides therefore that an insolvent may effectively be imprisoned if he/she fails to attend the first and second meetings of creditors.</w:t>
      </w:r>
    </w:p>
    <w:p w:rsidR="00295DCE" w:rsidRPr="00E27197" w:rsidRDefault="00295DCE" w:rsidP="00E27197">
      <w:pPr>
        <w:spacing w:line="360" w:lineRule="auto"/>
        <w:ind w:left="900" w:hanging="720"/>
        <w:jc w:val="both"/>
        <w:rPr>
          <w:rFonts w:ascii="Arial" w:hAnsi="Arial" w:cs="Arial"/>
          <w:sz w:val="24"/>
          <w:szCs w:val="24"/>
        </w:rPr>
      </w:pPr>
    </w:p>
    <w:p w:rsidR="00295DCE" w:rsidRDefault="004E5493" w:rsidP="00E27197">
      <w:pPr>
        <w:spacing w:line="360" w:lineRule="auto"/>
        <w:ind w:left="900" w:hanging="720"/>
        <w:jc w:val="both"/>
        <w:rPr>
          <w:rFonts w:ascii="Arial" w:hAnsi="Arial" w:cs="Arial"/>
          <w:sz w:val="24"/>
          <w:szCs w:val="24"/>
        </w:rPr>
      </w:pPr>
      <w:r w:rsidRPr="00E27197">
        <w:rPr>
          <w:rFonts w:ascii="Arial" w:hAnsi="Arial" w:cs="Arial"/>
          <w:sz w:val="24"/>
          <w:szCs w:val="24"/>
        </w:rPr>
        <w:t>44.</w:t>
      </w:r>
      <w:r w:rsidRPr="00E27197">
        <w:rPr>
          <w:rFonts w:ascii="Arial" w:hAnsi="Arial" w:cs="Arial"/>
          <w:sz w:val="24"/>
          <w:szCs w:val="24"/>
        </w:rPr>
        <w:tab/>
      </w:r>
      <w:r w:rsidR="00295DCE" w:rsidRPr="00E27197">
        <w:rPr>
          <w:rFonts w:ascii="Arial" w:hAnsi="Arial" w:cs="Arial"/>
          <w:sz w:val="24"/>
          <w:szCs w:val="24"/>
        </w:rPr>
        <w:t xml:space="preserve">In view of the above therefore, I hold the </w:t>
      </w:r>
      <w:r w:rsidRPr="00E27197">
        <w:rPr>
          <w:rFonts w:ascii="Arial" w:hAnsi="Arial" w:cs="Arial"/>
          <w:sz w:val="24"/>
          <w:szCs w:val="24"/>
        </w:rPr>
        <w:t xml:space="preserve">respectful </w:t>
      </w:r>
      <w:r w:rsidR="00295DCE" w:rsidRPr="00E27197">
        <w:rPr>
          <w:rFonts w:ascii="Arial" w:hAnsi="Arial" w:cs="Arial"/>
          <w:sz w:val="24"/>
          <w:szCs w:val="24"/>
        </w:rPr>
        <w:t>view that Van Der Ryst had the obligation to attend the first meeting of creditors which forms the subject of the Main Application</w:t>
      </w:r>
      <w:r w:rsidR="00234213" w:rsidRPr="00E27197">
        <w:rPr>
          <w:rFonts w:ascii="Arial" w:hAnsi="Arial" w:cs="Arial"/>
          <w:sz w:val="24"/>
          <w:szCs w:val="24"/>
        </w:rPr>
        <w:t xml:space="preserve"> and that this obligation was an absolute one</w:t>
      </w:r>
      <w:r w:rsidR="00295DCE" w:rsidRPr="00E27197">
        <w:rPr>
          <w:rFonts w:ascii="Arial" w:hAnsi="Arial" w:cs="Arial"/>
          <w:sz w:val="24"/>
          <w:szCs w:val="24"/>
        </w:rPr>
        <w:t>.</w:t>
      </w:r>
      <w:r w:rsidR="00234213" w:rsidRPr="00E27197">
        <w:rPr>
          <w:rStyle w:val="FootnoteReference"/>
          <w:rFonts w:ascii="Arial" w:hAnsi="Arial" w:cs="Arial"/>
          <w:sz w:val="24"/>
          <w:szCs w:val="24"/>
        </w:rPr>
        <w:footnoteReference w:id="24"/>
      </w:r>
    </w:p>
    <w:p w:rsidR="0077087D" w:rsidRPr="00E27197" w:rsidRDefault="0077087D" w:rsidP="00E27197">
      <w:pPr>
        <w:spacing w:line="360" w:lineRule="auto"/>
        <w:ind w:left="900" w:hanging="720"/>
        <w:jc w:val="both"/>
        <w:rPr>
          <w:rFonts w:ascii="Arial" w:hAnsi="Arial" w:cs="Arial"/>
          <w:sz w:val="24"/>
          <w:szCs w:val="24"/>
        </w:rPr>
      </w:pPr>
    </w:p>
    <w:p w:rsidR="00B22343" w:rsidRPr="00E27197" w:rsidRDefault="004E5493" w:rsidP="00E27197">
      <w:pPr>
        <w:spacing w:line="360" w:lineRule="auto"/>
        <w:ind w:left="900" w:hanging="720"/>
        <w:jc w:val="both"/>
        <w:rPr>
          <w:rFonts w:ascii="Arial" w:hAnsi="Arial" w:cs="Arial"/>
          <w:sz w:val="24"/>
          <w:szCs w:val="24"/>
        </w:rPr>
      </w:pPr>
      <w:r w:rsidRPr="00E27197">
        <w:rPr>
          <w:rFonts w:ascii="Arial" w:hAnsi="Arial" w:cs="Arial"/>
          <w:sz w:val="24"/>
          <w:szCs w:val="24"/>
        </w:rPr>
        <w:t>45.</w:t>
      </w:r>
      <w:r w:rsidRPr="00E27197">
        <w:rPr>
          <w:rFonts w:ascii="Arial" w:hAnsi="Arial" w:cs="Arial"/>
          <w:sz w:val="24"/>
          <w:szCs w:val="24"/>
        </w:rPr>
        <w:tab/>
      </w:r>
      <w:r w:rsidR="00295DCE" w:rsidRPr="00E27197">
        <w:rPr>
          <w:rFonts w:ascii="Arial" w:hAnsi="Arial" w:cs="Arial"/>
          <w:sz w:val="24"/>
          <w:szCs w:val="24"/>
        </w:rPr>
        <w:t>It does not appear from the papers that Van Der Ryst was given notice of the said first meeting of creditors in any other way tha</w:t>
      </w:r>
      <w:r w:rsidR="00B22343" w:rsidRPr="00E27197">
        <w:rPr>
          <w:rFonts w:ascii="Arial" w:hAnsi="Arial" w:cs="Arial"/>
          <w:sz w:val="24"/>
          <w:szCs w:val="24"/>
        </w:rPr>
        <w:t xml:space="preserve">n by </w:t>
      </w:r>
      <w:r w:rsidR="000061EB" w:rsidRPr="00E27197">
        <w:rPr>
          <w:rFonts w:ascii="Arial" w:hAnsi="Arial" w:cs="Arial"/>
          <w:sz w:val="24"/>
          <w:szCs w:val="24"/>
        </w:rPr>
        <w:t xml:space="preserve">way of notice in the Government Gazette and by way of the notice to Van Der Ryst referred to </w:t>
      </w:r>
      <w:r w:rsidRPr="00E27197">
        <w:rPr>
          <w:rFonts w:ascii="Arial" w:hAnsi="Arial" w:cs="Arial"/>
          <w:sz w:val="24"/>
          <w:szCs w:val="24"/>
        </w:rPr>
        <w:t xml:space="preserve">in paragraph 40 </w:t>
      </w:r>
      <w:r w:rsidR="000061EB" w:rsidRPr="00E27197">
        <w:rPr>
          <w:rFonts w:ascii="Arial" w:hAnsi="Arial" w:cs="Arial"/>
          <w:sz w:val="24"/>
          <w:szCs w:val="24"/>
        </w:rPr>
        <w:t>above.</w:t>
      </w:r>
    </w:p>
    <w:p w:rsidR="00B25032" w:rsidRPr="00E27197" w:rsidRDefault="00B25032" w:rsidP="00E27197">
      <w:pPr>
        <w:spacing w:line="360" w:lineRule="auto"/>
        <w:ind w:left="900" w:hanging="720"/>
        <w:jc w:val="both"/>
        <w:rPr>
          <w:rFonts w:ascii="Arial" w:hAnsi="Arial" w:cs="Arial"/>
          <w:sz w:val="24"/>
          <w:szCs w:val="24"/>
        </w:rPr>
      </w:pPr>
    </w:p>
    <w:p w:rsidR="00B25032" w:rsidRPr="00E27197" w:rsidRDefault="00B25032" w:rsidP="00E27197">
      <w:pPr>
        <w:spacing w:line="360" w:lineRule="auto"/>
        <w:ind w:left="900"/>
        <w:jc w:val="both"/>
        <w:rPr>
          <w:rFonts w:ascii="Arial" w:hAnsi="Arial" w:cs="Arial"/>
          <w:sz w:val="24"/>
          <w:szCs w:val="24"/>
        </w:rPr>
      </w:pPr>
      <w:r w:rsidRPr="00E27197">
        <w:rPr>
          <w:rFonts w:ascii="Arial" w:hAnsi="Arial" w:cs="Arial"/>
          <w:sz w:val="24"/>
          <w:szCs w:val="24"/>
        </w:rPr>
        <w:t>It was certainly not argued to the contrary by any of the parties’ legal representatives.</w:t>
      </w:r>
    </w:p>
    <w:p w:rsidR="00D95897" w:rsidRPr="00E27197" w:rsidRDefault="00D95897" w:rsidP="00E27197">
      <w:pPr>
        <w:spacing w:line="360" w:lineRule="auto"/>
        <w:ind w:left="900" w:hanging="720"/>
        <w:jc w:val="both"/>
        <w:rPr>
          <w:rFonts w:ascii="Arial" w:hAnsi="Arial" w:cs="Arial"/>
          <w:sz w:val="24"/>
          <w:szCs w:val="24"/>
        </w:rPr>
      </w:pPr>
    </w:p>
    <w:p w:rsidR="00D95897" w:rsidRPr="00E27197" w:rsidRDefault="004E5493" w:rsidP="00E27197">
      <w:pPr>
        <w:spacing w:line="360" w:lineRule="auto"/>
        <w:ind w:left="900" w:hanging="720"/>
        <w:jc w:val="both"/>
        <w:rPr>
          <w:rFonts w:ascii="Arial" w:hAnsi="Arial" w:cs="Arial"/>
          <w:sz w:val="24"/>
          <w:szCs w:val="24"/>
        </w:rPr>
      </w:pPr>
      <w:r w:rsidRPr="00E27197">
        <w:rPr>
          <w:rFonts w:ascii="Arial" w:hAnsi="Arial" w:cs="Arial"/>
          <w:sz w:val="24"/>
          <w:szCs w:val="24"/>
        </w:rPr>
        <w:t>46.</w:t>
      </w:r>
      <w:r w:rsidRPr="00E27197">
        <w:rPr>
          <w:rFonts w:ascii="Arial" w:hAnsi="Arial" w:cs="Arial"/>
          <w:sz w:val="24"/>
          <w:szCs w:val="24"/>
        </w:rPr>
        <w:tab/>
      </w:r>
      <w:r w:rsidR="00D95897" w:rsidRPr="00E27197">
        <w:rPr>
          <w:rFonts w:ascii="Arial" w:hAnsi="Arial" w:cs="Arial"/>
          <w:sz w:val="24"/>
          <w:szCs w:val="24"/>
        </w:rPr>
        <w:t>The question that now arises is whether the above notice of the first meeting of creditors was sufficient or whether the Master had some or other obligation to ensure that Van Der Ryst’s attendance at the first meeting of creditors was ensured.</w:t>
      </w:r>
    </w:p>
    <w:p w:rsidR="007E161E" w:rsidRPr="00E27197" w:rsidRDefault="007E161E" w:rsidP="00E27197">
      <w:pPr>
        <w:spacing w:line="360" w:lineRule="auto"/>
        <w:ind w:left="900" w:hanging="720"/>
        <w:jc w:val="both"/>
        <w:rPr>
          <w:rFonts w:ascii="Arial" w:hAnsi="Arial" w:cs="Arial"/>
          <w:sz w:val="24"/>
          <w:szCs w:val="24"/>
        </w:rPr>
      </w:pPr>
    </w:p>
    <w:p w:rsidR="007E161E" w:rsidRPr="00E27197" w:rsidRDefault="004E5493" w:rsidP="00E27197">
      <w:pPr>
        <w:spacing w:line="360" w:lineRule="auto"/>
        <w:ind w:left="900" w:hanging="720"/>
        <w:jc w:val="both"/>
        <w:rPr>
          <w:rFonts w:ascii="Arial" w:hAnsi="Arial" w:cs="Arial"/>
          <w:sz w:val="24"/>
          <w:szCs w:val="24"/>
        </w:rPr>
      </w:pPr>
      <w:r w:rsidRPr="00E27197">
        <w:rPr>
          <w:rFonts w:ascii="Arial" w:hAnsi="Arial" w:cs="Arial"/>
          <w:sz w:val="24"/>
          <w:szCs w:val="24"/>
        </w:rPr>
        <w:t>47.</w:t>
      </w:r>
      <w:r w:rsidRPr="00E27197">
        <w:rPr>
          <w:rFonts w:ascii="Arial" w:hAnsi="Arial" w:cs="Arial"/>
          <w:sz w:val="24"/>
          <w:szCs w:val="24"/>
        </w:rPr>
        <w:tab/>
      </w:r>
      <w:r w:rsidR="007E161E" w:rsidRPr="00E27197">
        <w:rPr>
          <w:rFonts w:ascii="Arial" w:hAnsi="Arial" w:cs="Arial"/>
          <w:b/>
          <w:i/>
          <w:sz w:val="24"/>
          <w:szCs w:val="24"/>
        </w:rPr>
        <w:t>Section 40(1)</w:t>
      </w:r>
      <w:r w:rsidR="007E161E" w:rsidRPr="00E27197">
        <w:rPr>
          <w:rFonts w:ascii="Arial" w:hAnsi="Arial" w:cs="Arial"/>
          <w:sz w:val="24"/>
          <w:szCs w:val="24"/>
        </w:rPr>
        <w:t xml:space="preserve"> of the Insolvency Act only requires notification of a first meeting of creditors by way of a publication in the Government Gazette as opposed to publication also in a local newspaper (in the district within which the insolvent resides) of a second meeting of creditors.</w:t>
      </w:r>
      <w:r w:rsidR="00DE6948" w:rsidRPr="00E27197">
        <w:rPr>
          <w:rStyle w:val="FootnoteReference"/>
          <w:rFonts w:ascii="Arial" w:hAnsi="Arial" w:cs="Arial"/>
          <w:sz w:val="24"/>
          <w:szCs w:val="24"/>
        </w:rPr>
        <w:footnoteReference w:id="25"/>
      </w:r>
    </w:p>
    <w:p w:rsidR="006B3A3F" w:rsidRPr="00E27197" w:rsidRDefault="006B3A3F" w:rsidP="00E27197">
      <w:pPr>
        <w:spacing w:line="360" w:lineRule="auto"/>
        <w:ind w:left="900" w:hanging="720"/>
        <w:jc w:val="both"/>
        <w:rPr>
          <w:rFonts w:ascii="Arial" w:hAnsi="Arial" w:cs="Arial"/>
          <w:sz w:val="24"/>
          <w:szCs w:val="24"/>
        </w:rPr>
      </w:pPr>
    </w:p>
    <w:p w:rsidR="00EE111D" w:rsidRPr="00E27197" w:rsidRDefault="00EE111D" w:rsidP="00E27197">
      <w:pPr>
        <w:spacing w:line="360" w:lineRule="auto"/>
        <w:ind w:left="900"/>
        <w:jc w:val="both"/>
        <w:rPr>
          <w:rFonts w:ascii="Arial" w:hAnsi="Arial" w:cs="Arial"/>
          <w:sz w:val="24"/>
          <w:szCs w:val="24"/>
        </w:rPr>
      </w:pPr>
      <w:r w:rsidRPr="00E27197">
        <w:rPr>
          <w:rFonts w:ascii="Arial" w:hAnsi="Arial" w:cs="Arial"/>
          <w:sz w:val="24"/>
          <w:szCs w:val="24"/>
        </w:rPr>
        <w:t xml:space="preserve">In the matter of </w:t>
      </w:r>
      <w:r w:rsidRPr="00E27197">
        <w:rPr>
          <w:rFonts w:ascii="Arial" w:hAnsi="Arial" w:cs="Arial"/>
          <w:b/>
          <w:i/>
          <w:sz w:val="24"/>
          <w:szCs w:val="24"/>
        </w:rPr>
        <w:t>R v Mahomed Abbass</w:t>
      </w:r>
      <w:r w:rsidRPr="00E27197">
        <w:rPr>
          <w:rStyle w:val="FootnoteReference"/>
          <w:rFonts w:ascii="Arial" w:hAnsi="Arial" w:cs="Arial"/>
          <w:sz w:val="24"/>
          <w:szCs w:val="24"/>
        </w:rPr>
        <w:footnoteReference w:id="26"/>
      </w:r>
      <w:r w:rsidRPr="00E27197">
        <w:rPr>
          <w:rFonts w:ascii="Arial" w:hAnsi="Arial" w:cs="Arial"/>
          <w:sz w:val="24"/>
          <w:szCs w:val="24"/>
        </w:rPr>
        <w:t xml:space="preserve"> the Court held that notice by way of a publication in the Government Gazette was sufficient.</w:t>
      </w:r>
      <w:r w:rsidRPr="00E27197">
        <w:rPr>
          <w:rStyle w:val="FootnoteReference"/>
          <w:rFonts w:ascii="Arial" w:hAnsi="Arial" w:cs="Arial"/>
          <w:sz w:val="24"/>
          <w:szCs w:val="24"/>
        </w:rPr>
        <w:footnoteReference w:id="27"/>
      </w:r>
    </w:p>
    <w:p w:rsidR="00725E72" w:rsidRPr="00E27197" w:rsidRDefault="00725E72" w:rsidP="00E27197">
      <w:pPr>
        <w:spacing w:line="360" w:lineRule="auto"/>
        <w:ind w:left="900" w:hanging="720"/>
        <w:jc w:val="both"/>
        <w:rPr>
          <w:rFonts w:ascii="Arial" w:hAnsi="Arial" w:cs="Arial"/>
          <w:sz w:val="24"/>
          <w:szCs w:val="24"/>
        </w:rPr>
      </w:pPr>
    </w:p>
    <w:p w:rsidR="00725E72" w:rsidRPr="00E27197" w:rsidRDefault="00725E72" w:rsidP="00E27197">
      <w:pPr>
        <w:spacing w:line="360" w:lineRule="auto"/>
        <w:ind w:left="900"/>
        <w:jc w:val="both"/>
        <w:rPr>
          <w:rFonts w:ascii="Arial" w:hAnsi="Arial" w:cs="Arial"/>
          <w:sz w:val="24"/>
          <w:szCs w:val="24"/>
        </w:rPr>
      </w:pPr>
      <w:r w:rsidRPr="00E27197">
        <w:rPr>
          <w:rFonts w:ascii="Arial" w:hAnsi="Arial" w:cs="Arial"/>
          <w:sz w:val="24"/>
          <w:szCs w:val="24"/>
        </w:rPr>
        <w:t xml:space="preserve">The above was </w:t>
      </w:r>
      <w:r w:rsidR="004E5493" w:rsidRPr="00E27197">
        <w:rPr>
          <w:rFonts w:ascii="Arial" w:hAnsi="Arial" w:cs="Arial"/>
          <w:sz w:val="24"/>
          <w:szCs w:val="24"/>
        </w:rPr>
        <w:t xml:space="preserve">also </w:t>
      </w:r>
      <w:r w:rsidRPr="00E27197">
        <w:rPr>
          <w:rFonts w:ascii="Arial" w:hAnsi="Arial" w:cs="Arial"/>
          <w:sz w:val="24"/>
          <w:szCs w:val="24"/>
        </w:rPr>
        <w:t xml:space="preserve">confirmed in the matter of </w:t>
      </w:r>
      <w:r w:rsidRPr="00E27197">
        <w:rPr>
          <w:rFonts w:ascii="Arial" w:hAnsi="Arial" w:cs="Arial"/>
          <w:b/>
          <w:i/>
          <w:sz w:val="24"/>
          <w:szCs w:val="24"/>
        </w:rPr>
        <w:t>R v Parkar</w:t>
      </w:r>
      <w:r w:rsidRPr="00E27197">
        <w:rPr>
          <w:rStyle w:val="FootnoteReference"/>
          <w:rFonts w:ascii="Arial" w:hAnsi="Arial" w:cs="Arial"/>
          <w:sz w:val="24"/>
          <w:szCs w:val="24"/>
        </w:rPr>
        <w:footnoteReference w:id="28"/>
      </w:r>
      <w:r w:rsidRPr="00E27197">
        <w:rPr>
          <w:rFonts w:ascii="Arial" w:hAnsi="Arial" w:cs="Arial"/>
          <w:sz w:val="24"/>
          <w:szCs w:val="24"/>
        </w:rPr>
        <w:t xml:space="preserve"> where Gardiner J states:</w:t>
      </w:r>
    </w:p>
    <w:p w:rsidR="00725E72" w:rsidRPr="00E27197" w:rsidRDefault="00725E72" w:rsidP="00E27197">
      <w:pPr>
        <w:spacing w:line="360" w:lineRule="auto"/>
        <w:ind w:left="900" w:hanging="720"/>
        <w:jc w:val="both"/>
        <w:rPr>
          <w:rFonts w:ascii="Arial" w:hAnsi="Arial" w:cs="Arial"/>
          <w:sz w:val="24"/>
          <w:szCs w:val="24"/>
        </w:rPr>
      </w:pPr>
    </w:p>
    <w:p w:rsidR="00725E72" w:rsidRPr="00E27197" w:rsidRDefault="00725E72" w:rsidP="00E27197">
      <w:pPr>
        <w:spacing w:line="360" w:lineRule="auto"/>
        <w:ind w:left="900"/>
        <w:jc w:val="both"/>
        <w:rPr>
          <w:rFonts w:ascii="Arial" w:hAnsi="Arial" w:cs="Arial"/>
          <w:sz w:val="24"/>
          <w:szCs w:val="24"/>
        </w:rPr>
      </w:pPr>
      <w:r w:rsidRPr="00E27197">
        <w:rPr>
          <w:rFonts w:ascii="Arial" w:hAnsi="Arial" w:cs="Arial"/>
          <w:sz w:val="24"/>
          <w:szCs w:val="24"/>
        </w:rPr>
        <w:t>“</w:t>
      </w:r>
      <w:r w:rsidRPr="00E27197">
        <w:rPr>
          <w:rFonts w:ascii="Arial" w:hAnsi="Arial" w:cs="Arial"/>
          <w:i/>
          <w:sz w:val="24"/>
          <w:szCs w:val="24"/>
        </w:rPr>
        <w:t>I would like to add, with regard to the first count, that although the law throws upon an insolvent an obligation to attend meetings after notice in the Gazette, in common fairness a trustee, in the case of an insolvent of the class of this man, ought to give him some verbal notice in addition to the notice in the Gazette. I state this, not as a matter of law, but as a matter of common fairness</w:t>
      </w:r>
      <w:r w:rsidRPr="00E27197">
        <w:rPr>
          <w:rFonts w:ascii="Arial" w:hAnsi="Arial" w:cs="Arial"/>
          <w:sz w:val="24"/>
          <w:szCs w:val="24"/>
        </w:rPr>
        <w:t>”</w:t>
      </w:r>
      <w:r w:rsidR="00B83FFE" w:rsidRPr="00E27197">
        <w:rPr>
          <w:rFonts w:ascii="Arial" w:hAnsi="Arial" w:cs="Arial"/>
          <w:sz w:val="24"/>
          <w:szCs w:val="24"/>
        </w:rPr>
        <w:t>.</w:t>
      </w:r>
    </w:p>
    <w:p w:rsidR="00B83FFE" w:rsidRPr="00E27197" w:rsidRDefault="00B83FFE" w:rsidP="00E27197">
      <w:pPr>
        <w:spacing w:line="360" w:lineRule="auto"/>
        <w:ind w:left="900" w:hanging="720"/>
        <w:jc w:val="both"/>
        <w:rPr>
          <w:rFonts w:ascii="Arial" w:hAnsi="Arial" w:cs="Arial"/>
          <w:sz w:val="24"/>
          <w:szCs w:val="24"/>
        </w:rPr>
      </w:pPr>
    </w:p>
    <w:p w:rsidR="00B83FFE" w:rsidRPr="00E27197" w:rsidRDefault="004E5493" w:rsidP="00E27197">
      <w:pPr>
        <w:spacing w:line="360" w:lineRule="auto"/>
        <w:ind w:left="900" w:hanging="720"/>
        <w:jc w:val="both"/>
        <w:rPr>
          <w:rFonts w:ascii="Arial" w:hAnsi="Arial" w:cs="Arial"/>
          <w:sz w:val="24"/>
          <w:szCs w:val="24"/>
        </w:rPr>
      </w:pPr>
      <w:r w:rsidRPr="00E27197">
        <w:rPr>
          <w:rFonts w:ascii="Arial" w:hAnsi="Arial" w:cs="Arial"/>
          <w:sz w:val="24"/>
          <w:szCs w:val="24"/>
        </w:rPr>
        <w:t>48.</w:t>
      </w:r>
      <w:r w:rsidRPr="00E27197">
        <w:rPr>
          <w:rFonts w:ascii="Arial" w:hAnsi="Arial" w:cs="Arial"/>
          <w:sz w:val="24"/>
          <w:szCs w:val="24"/>
        </w:rPr>
        <w:tab/>
      </w:r>
      <w:r w:rsidR="00B83FFE" w:rsidRPr="00E27197">
        <w:rPr>
          <w:rFonts w:ascii="Arial" w:hAnsi="Arial" w:cs="Arial"/>
          <w:sz w:val="24"/>
          <w:szCs w:val="24"/>
        </w:rPr>
        <w:t xml:space="preserve">It should be mentioned that, since the decision of Di Stefano mentioned herein above, I could find no authorities which specifically answers the question posed in paragraph </w:t>
      </w:r>
      <w:r w:rsidRPr="00E27197">
        <w:rPr>
          <w:rFonts w:ascii="Arial" w:hAnsi="Arial" w:cs="Arial"/>
          <w:sz w:val="24"/>
          <w:szCs w:val="24"/>
        </w:rPr>
        <w:t>46</w:t>
      </w:r>
      <w:r w:rsidR="00B83FFE" w:rsidRPr="00E27197">
        <w:rPr>
          <w:rFonts w:ascii="Arial" w:hAnsi="Arial" w:cs="Arial"/>
          <w:sz w:val="24"/>
          <w:szCs w:val="24"/>
        </w:rPr>
        <w:t xml:space="preserve"> above</w:t>
      </w:r>
      <w:r w:rsidR="0073778C" w:rsidRPr="00E27197">
        <w:rPr>
          <w:rFonts w:ascii="Arial" w:hAnsi="Arial" w:cs="Arial"/>
          <w:sz w:val="24"/>
          <w:szCs w:val="24"/>
        </w:rPr>
        <w:t>, nor was I referred to any</w:t>
      </w:r>
      <w:r w:rsidR="00B83FFE" w:rsidRPr="00E27197">
        <w:rPr>
          <w:rFonts w:ascii="Arial" w:hAnsi="Arial" w:cs="Arial"/>
          <w:sz w:val="24"/>
          <w:szCs w:val="24"/>
        </w:rPr>
        <w:t>.</w:t>
      </w:r>
    </w:p>
    <w:p w:rsidR="00F66E33" w:rsidRPr="00E27197" w:rsidRDefault="00F66E33" w:rsidP="00E27197">
      <w:pPr>
        <w:spacing w:line="360" w:lineRule="auto"/>
        <w:ind w:left="900" w:hanging="720"/>
        <w:jc w:val="both"/>
        <w:rPr>
          <w:rFonts w:ascii="Arial" w:hAnsi="Arial" w:cs="Arial"/>
          <w:sz w:val="24"/>
          <w:szCs w:val="24"/>
        </w:rPr>
      </w:pPr>
    </w:p>
    <w:p w:rsidR="00415CAC" w:rsidRPr="00E27197" w:rsidRDefault="004E5493" w:rsidP="00E27197">
      <w:pPr>
        <w:spacing w:line="360" w:lineRule="auto"/>
        <w:ind w:left="900"/>
        <w:jc w:val="both"/>
        <w:rPr>
          <w:rFonts w:ascii="Arial" w:hAnsi="Arial" w:cs="Arial"/>
          <w:sz w:val="24"/>
          <w:szCs w:val="24"/>
        </w:rPr>
      </w:pPr>
      <w:r w:rsidRPr="00E27197">
        <w:rPr>
          <w:rFonts w:ascii="Arial" w:hAnsi="Arial" w:cs="Arial"/>
          <w:sz w:val="24"/>
          <w:szCs w:val="24"/>
        </w:rPr>
        <w:lastRenderedPageBreak/>
        <w:t>In the</w:t>
      </w:r>
      <w:r w:rsidR="00415CAC" w:rsidRPr="00E27197">
        <w:rPr>
          <w:rFonts w:ascii="Arial" w:hAnsi="Arial" w:cs="Arial"/>
          <w:sz w:val="24"/>
          <w:szCs w:val="24"/>
        </w:rPr>
        <w:t xml:space="preserve"> recent matter of </w:t>
      </w:r>
      <w:r w:rsidR="00415CAC" w:rsidRPr="00E27197">
        <w:rPr>
          <w:rFonts w:ascii="Arial" w:hAnsi="Arial" w:cs="Arial"/>
          <w:b/>
          <w:i/>
          <w:sz w:val="24"/>
          <w:szCs w:val="24"/>
        </w:rPr>
        <w:t>Sithole NO &amp; Others v Mulaudsi &amp; Another</w:t>
      </w:r>
      <w:r w:rsidR="00415CAC" w:rsidRPr="00E27197">
        <w:rPr>
          <w:rStyle w:val="FootnoteReference"/>
          <w:rFonts w:ascii="Arial" w:hAnsi="Arial" w:cs="Arial"/>
          <w:sz w:val="24"/>
          <w:szCs w:val="24"/>
        </w:rPr>
        <w:footnoteReference w:id="29"/>
      </w:r>
      <w:r w:rsidR="00415CAC" w:rsidRPr="00E27197">
        <w:rPr>
          <w:rFonts w:ascii="Arial" w:hAnsi="Arial" w:cs="Arial"/>
          <w:sz w:val="24"/>
          <w:szCs w:val="24"/>
        </w:rPr>
        <w:t xml:space="preserve"> the learned Tlhapi J refrained from commenting on whether the Master had an obligation to invite an insolvent to a first meeting of creditors.</w:t>
      </w:r>
      <w:r w:rsidR="00415CAC" w:rsidRPr="00E27197">
        <w:rPr>
          <w:rStyle w:val="FootnoteReference"/>
          <w:rFonts w:ascii="Arial" w:hAnsi="Arial" w:cs="Arial"/>
          <w:sz w:val="24"/>
          <w:szCs w:val="24"/>
        </w:rPr>
        <w:footnoteReference w:id="30"/>
      </w:r>
    </w:p>
    <w:p w:rsidR="00B83FFE" w:rsidRPr="00E27197" w:rsidRDefault="00B83FFE" w:rsidP="00E27197">
      <w:pPr>
        <w:spacing w:line="360" w:lineRule="auto"/>
        <w:ind w:left="900" w:hanging="720"/>
        <w:jc w:val="both"/>
        <w:rPr>
          <w:rFonts w:ascii="Arial" w:hAnsi="Arial" w:cs="Arial"/>
          <w:sz w:val="24"/>
          <w:szCs w:val="24"/>
        </w:rPr>
      </w:pPr>
    </w:p>
    <w:p w:rsidR="00B83FFE" w:rsidRPr="00E27197" w:rsidRDefault="00877453" w:rsidP="00E27197">
      <w:pPr>
        <w:spacing w:line="360" w:lineRule="auto"/>
        <w:ind w:left="900" w:hanging="720"/>
        <w:jc w:val="both"/>
        <w:rPr>
          <w:rFonts w:ascii="Arial" w:hAnsi="Arial" w:cs="Arial"/>
          <w:sz w:val="24"/>
          <w:szCs w:val="24"/>
        </w:rPr>
      </w:pPr>
      <w:r w:rsidRPr="00E27197">
        <w:rPr>
          <w:rFonts w:ascii="Arial" w:hAnsi="Arial" w:cs="Arial"/>
          <w:sz w:val="24"/>
          <w:szCs w:val="24"/>
        </w:rPr>
        <w:t>49.</w:t>
      </w:r>
      <w:r w:rsidRPr="00E27197">
        <w:rPr>
          <w:rFonts w:ascii="Arial" w:hAnsi="Arial" w:cs="Arial"/>
          <w:sz w:val="24"/>
          <w:szCs w:val="24"/>
        </w:rPr>
        <w:tab/>
      </w:r>
      <w:r w:rsidR="00B83FFE" w:rsidRPr="00E27197">
        <w:rPr>
          <w:rFonts w:ascii="Arial" w:hAnsi="Arial" w:cs="Arial"/>
          <w:sz w:val="24"/>
          <w:szCs w:val="24"/>
        </w:rPr>
        <w:t>The current legal position therefore appears to be that there is no obligation on the Master to give notice of a first meeting of creditors to an insolvent other than by way of publication in the Government Gazette and that the lack of individual/personal service of such notice on an insolvent, is not a defence.</w:t>
      </w:r>
      <w:r w:rsidR="00D21C2C" w:rsidRPr="00E27197">
        <w:rPr>
          <w:rStyle w:val="FootnoteReference"/>
          <w:rFonts w:ascii="Arial" w:hAnsi="Arial" w:cs="Arial"/>
          <w:sz w:val="24"/>
          <w:szCs w:val="24"/>
        </w:rPr>
        <w:footnoteReference w:id="31"/>
      </w:r>
    </w:p>
    <w:p w:rsidR="009E6356" w:rsidRPr="00E27197" w:rsidRDefault="009E6356" w:rsidP="00E27197">
      <w:pPr>
        <w:spacing w:line="360" w:lineRule="auto"/>
        <w:ind w:left="900" w:hanging="720"/>
        <w:jc w:val="both"/>
        <w:rPr>
          <w:rFonts w:ascii="Arial" w:hAnsi="Arial" w:cs="Arial"/>
          <w:sz w:val="24"/>
          <w:szCs w:val="24"/>
        </w:rPr>
      </w:pPr>
    </w:p>
    <w:p w:rsidR="009E6356" w:rsidRPr="00E27197" w:rsidRDefault="009E6356" w:rsidP="00E27197">
      <w:pPr>
        <w:spacing w:line="360" w:lineRule="auto"/>
        <w:ind w:left="900"/>
        <w:jc w:val="both"/>
        <w:rPr>
          <w:rFonts w:ascii="Arial" w:hAnsi="Arial" w:cs="Arial"/>
          <w:sz w:val="24"/>
          <w:szCs w:val="24"/>
        </w:rPr>
      </w:pPr>
      <w:r w:rsidRPr="00E27197">
        <w:rPr>
          <w:rFonts w:ascii="Arial" w:hAnsi="Arial" w:cs="Arial"/>
          <w:sz w:val="24"/>
          <w:szCs w:val="24"/>
        </w:rPr>
        <w:t xml:space="preserve">The argument of Van Der Ryst that the events during the first meeting of the creditors in his insolvent estate is reviewable by virtue of the fact that he did not attend said first meeting, </w:t>
      </w:r>
      <w:r w:rsidR="00DF5D98" w:rsidRPr="00E27197">
        <w:rPr>
          <w:rFonts w:ascii="Arial" w:hAnsi="Arial" w:cs="Arial"/>
          <w:sz w:val="24"/>
          <w:szCs w:val="24"/>
        </w:rPr>
        <w:t xml:space="preserve">therefore </w:t>
      </w:r>
      <w:r w:rsidRPr="00E27197">
        <w:rPr>
          <w:rFonts w:ascii="Arial" w:hAnsi="Arial" w:cs="Arial"/>
          <w:sz w:val="24"/>
          <w:szCs w:val="24"/>
        </w:rPr>
        <w:t>appears to be incapable of holding water.</w:t>
      </w:r>
    </w:p>
    <w:p w:rsidR="004661CE" w:rsidRPr="00E27197" w:rsidRDefault="004661CE" w:rsidP="00E27197">
      <w:pPr>
        <w:spacing w:line="360" w:lineRule="auto"/>
        <w:ind w:left="900" w:hanging="720"/>
        <w:jc w:val="both"/>
        <w:rPr>
          <w:rFonts w:ascii="Arial" w:hAnsi="Arial" w:cs="Arial"/>
          <w:sz w:val="24"/>
          <w:szCs w:val="24"/>
        </w:rPr>
      </w:pPr>
    </w:p>
    <w:p w:rsidR="004661CE" w:rsidRPr="00E27197" w:rsidRDefault="001757BE" w:rsidP="00E27197">
      <w:pPr>
        <w:spacing w:line="360" w:lineRule="auto"/>
        <w:ind w:left="900" w:hanging="720"/>
        <w:jc w:val="both"/>
        <w:rPr>
          <w:rFonts w:ascii="Arial" w:hAnsi="Arial" w:cs="Arial"/>
          <w:sz w:val="24"/>
          <w:szCs w:val="24"/>
        </w:rPr>
      </w:pPr>
      <w:r w:rsidRPr="00E27197">
        <w:rPr>
          <w:rFonts w:ascii="Arial" w:hAnsi="Arial" w:cs="Arial"/>
          <w:sz w:val="24"/>
          <w:szCs w:val="24"/>
        </w:rPr>
        <w:t>50.</w:t>
      </w:r>
      <w:r w:rsidRPr="00E27197">
        <w:rPr>
          <w:rFonts w:ascii="Arial" w:hAnsi="Arial" w:cs="Arial"/>
          <w:sz w:val="24"/>
          <w:szCs w:val="24"/>
        </w:rPr>
        <w:tab/>
      </w:r>
      <w:r w:rsidR="004661CE" w:rsidRPr="00E27197">
        <w:rPr>
          <w:rFonts w:ascii="Arial" w:hAnsi="Arial" w:cs="Arial"/>
          <w:sz w:val="24"/>
          <w:szCs w:val="24"/>
        </w:rPr>
        <w:t>The</w:t>
      </w:r>
      <w:r w:rsidRPr="00E27197">
        <w:rPr>
          <w:rFonts w:ascii="Arial" w:hAnsi="Arial" w:cs="Arial"/>
          <w:sz w:val="24"/>
          <w:szCs w:val="24"/>
        </w:rPr>
        <w:t xml:space="preserve"> further</w:t>
      </w:r>
      <w:r w:rsidR="004661CE" w:rsidRPr="00E27197">
        <w:rPr>
          <w:rFonts w:ascii="Arial" w:hAnsi="Arial" w:cs="Arial"/>
          <w:sz w:val="24"/>
          <w:szCs w:val="24"/>
        </w:rPr>
        <w:t xml:space="preserve"> argument on behalf of Van Der Ryst that the matter may be dealt with in terms of the NCA by virtue of the fact that there is “</w:t>
      </w:r>
      <w:r w:rsidR="004661CE" w:rsidRPr="00E27197">
        <w:rPr>
          <w:rFonts w:ascii="Arial" w:hAnsi="Arial" w:cs="Arial"/>
          <w:i/>
          <w:sz w:val="24"/>
          <w:szCs w:val="24"/>
        </w:rPr>
        <w:t>harmonious inter-play</w:t>
      </w:r>
      <w:r w:rsidR="004661CE" w:rsidRPr="00E27197">
        <w:rPr>
          <w:rFonts w:ascii="Arial" w:hAnsi="Arial" w:cs="Arial"/>
          <w:sz w:val="24"/>
          <w:szCs w:val="24"/>
        </w:rPr>
        <w:t>” between the provisions of the NCA and the Insolvency Act, similarly appears to be incapable of holding water.</w:t>
      </w:r>
    </w:p>
    <w:p w:rsidR="00581894" w:rsidRPr="00E27197" w:rsidRDefault="00581894" w:rsidP="00E27197">
      <w:pPr>
        <w:spacing w:line="360" w:lineRule="auto"/>
        <w:ind w:left="900" w:hanging="720"/>
        <w:jc w:val="both"/>
        <w:rPr>
          <w:rFonts w:ascii="Arial" w:hAnsi="Arial" w:cs="Arial"/>
          <w:sz w:val="24"/>
          <w:szCs w:val="24"/>
        </w:rPr>
      </w:pPr>
    </w:p>
    <w:p w:rsidR="00581894" w:rsidRPr="00E27197" w:rsidRDefault="003A3392" w:rsidP="00E27197">
      <w:pPr>
        <w:spacing w:line="360" w:lineRule="auto"/>
        <w:ind w:left="900"/>
        <w:jc w:val="both"/>
        <w:rPr>
          <w:rFonts w:ascii="Arial" w:hAnsi="Arial" w:cs="Arial"/>
          <w:sz w:val="24"/>
          <w:szCs w:val="24"/>
        </w:rPr>
      </w:pPr>
      <w:r>
        <w:rPr>
          <w:rFonts w:ascii="Arial" w:hAnsi="Arial" w:cs="Arial"/>
          <w:sz w:val="24"/>
          <w:szCs w:val="24"/>
        </w:rPr>
        <w:t>Although it wa</w:t>
      </w:r>
      <w:r w:rsidR="00581894" w:rsidRPr="00E27197">
        <w:rPr>
          <w:rFonts w:ascii="Arial" w:hAnsi="Arial" w:cs="Arial"/>
          <w:sz w:val="24"/>
          <w:szCs w:val="24"/>
        </w:rPr>
        <w:t>s admitted on behalf of the Trustees that a harmonious inter-play between the two sets o</w:t>
      </w:r>
      <w:r>
        <w:rPr>
          <w:rFonts w:ascii="Arial" w:hAnsi="Arial" w:cs="Arial"/>
          <w:sz w:val="24"/>
          <w:szCs w:val="24"/>
        </w:rPr>
        <w:t xml:space="preserve">f legislation might exist, it was vigorously </w:t>
      </w:r>
      <w:r w:rsidR="00581894" w:rsidRPr="00E27197">
        <w:rPr>
          <w:rFonts w:ascii="Arial" w:hAnsi="Arial" w:cs="Arial"/>
          <w:sz w:val="24"/>
          <w:szCs w:val="24"/>
        </w:rPr>
        <w:t xml:space="preserve">denied </w:t>
      </w:r>
      <w:r>
        <w:rPr>
          <w:rFonts w:ascii="Arial" w:hAnsi="Arial" w:cs="Arial"/>
          <w:sz w:val="24"/>
          <w:szCs w:val="24"/>
        </w:rPr>
        <w:t xml:space="preserve">on behalf of the Trustees </w:t>
      </w:r>
      <w:r w:rsidR="00581894" w:rsidRPr="00E27197">
        <w:rPr>
          <w:rFonts w:ascii="Arial" w:hAnsi="Arial" w:cs="Arial"/>
          <w:sz w:val="24"/>
          <w:szCs w:val="24"/>
        </w:rPr>
        <w:t>that it will have any impact on this matter.</w:t>
      </w:r>
    </w:p>
    <w:p w:rsidR="00181DA9" w:rsidRPr="00E27197" w:rsidRDefault="00181DA9" w:rsidP="00E27197">
      <w:pPr>
        <w:spacing w:line="360" w:lineRule="auto"/>
        <w:ind w:left="900" w:hanging="720"/>
        <w:jc w:val="both"/>
        <w:rPr>
          <w:rFonts w:ascii="Arial" w:hAnsi="Arial" w:cs="Arial"/>
          <w:sz w:val="24"/>
          <w:szCs w:val="24"/>
        </w:rPr>
      </w:pPr>
    </w:p>
    <w:p w:rsidR="00181DA9" w:rsidRPr="00E27197" w:rsidRDefault="001757BE" w:rsidP="00E27197">
      <w:pPr>
        <w:spacing w:line="360" w:lineRule="auto"/>
        <w:ind w:left="900" w:hanging="720"/>
        <w:jc w:val="both"/>
        <w:rPr>
          <w:rFonts w:ascii="Arial" w:hAnsi="Arial" w:cs="Arial"/>
          <w:sz w:val="24"/>
          <w:szCs w:val="24"/>
        </w:rPr>
      </w:pPr>
      <w:r w:rsidRPr="00E27197">
        <w:rPr>
          <w:rFonts w:ascii="Arial" w:hAnsi="Arial" w:cs="Arial"/>
          <w:sz w:val="24"/>
          <w:szCs w:val="24"/>
        </w:rPr>
        <w:t>51.</w:t>
      </w:r>
      <w:r w:rsidRPr="00E27197">
        <w:rPr>
          <w:rFonts w:ascii="Arial" w:hAnsi="Arial" w:cs="Arial"/>
          <w:sz w:val="24"/>
          <w:szCs w:val="24"/>
        </w:rPr>
        <w:tab/>
      </w:r>
      <w:r w:rsidR="00181DA9" w:rsidRPr="00E27197">
        <w:rPr>
          <w:rFonts w:ascii="Arial" w:hAnsi="Arial" w:cs="Arial"/>
          <w:sz w:val="24"/>
          <w:szCs w:val="24"/>
        </w:rPr>
        <w:t xml:space="preserve">It appears from the papers that were placed at my disposal that the arguments that were raised by Mr. Visser on behalf of Van Der Ryst in respect of the possible extension of reckless credit to Van Der Ryst and the referral of the matter to debt review in terms of </w:t>
      </w:r>
      <w:r w:rsidR="00181DA9" w:rsidRPr="00E27197">
        <w:rPr>
          <w:rFonts w:ascii="Arial" w:hAnsi="Arial" w:cs="Arial"/>
          <w:b/>
          <w:i/>
          <w:sz w:val="24"/>
          <w:szCs w:val="24"/>
        </w:rPr>
        <w:t>Section 85</w:t>
      </w:r>
      <w:r w:rsidR="00181DA9" w:rsidRPr="00E27197">
        <w:rPr>
          <w:rFonts w:ascii="Arial" w:hAnsi="Arial" w:cs="Arial"/>
          <w:sz w:val="24"/>
          <w:szCs w:val="24"/>
        </w:rPr>
        <w:t xml:space="preserve"> of the NCA, had already been dealt with by the learned Erasmus AJ in the </w:t>
      </w:r>
      <w:r w:rsidR="00F32420" w:rsidRPr="00E27197">
        <w:rPr>
          <w:rFonts w:ascii="Arial" w:hAnsi="Arial" w:cs="Arial"/>
          <w:sz w:val="24"/>
          <w:szCs w:val="24"/>
        </w:rPr>
        <w:t xml:space="preserve">unreported </w:t>
      </w:r>
      <w:r w:rsidR="00181DA9" w:rsidRPr="00E27197">
        <w:rPr>
          <w:rFonts w:ascii="Arial" w:hAnsi="Arial" w:cs="Arial"/>
          <w:sz w:val="24"/>
          <w:szCs w:val="24"/>
        </w:rPr>
        <w:t xml:space="preserve">matter of </w:t>
      </w:r>
      <w:r w:rsidR="00F32420" w:rsidRPr="00E27197">
        <w:rPr>
          <w:rFonts w:ascii="Arial" w:hAnsi="Arial" w:cs="Arial"/>
          <w:b/>
          <w:i/>
          <w:sz w:val="24"/>
          <w:szCs w:val="24"/>
        </w:rPr>
        <w:t>The Standard Bank of South Africa v</w:t>
      </w:r>
      <w:r w:rsidR="00424C09" w:rsidRPr="00E27197">
        <w:rPr>
          <w:rFonts w:ascii="Arial" w:hAnsi="Arial" w:cs="Arial"/>
          <w:b/>
          <w:i/>
          <w:sz w:val="24"/>
          <w:szCs w:val="24"/>
        </w:rPr>
        <w:t xml:space="preserve"> Jacobus Coenraad Van Der Ryst</w:t>
      </w:r>
      <w:r w:rsidR="005E23C7" w:rsidRPr="00E27197">
        <w:rPr>
          <w:rFonts w:ascii="Arial" w:hAnsi="Arial" w:cs="Arial"/>
          <w:sz w:val="24"/>
          <w:szCs w:val="24"/>
        </w:rPr>
        <w:t>.</w:t>
      </w:r>
      <w:r w:rsidR="00424C09" w:rsidRPr="00E27197">
        <w:rPr>
          <w:rStyle w:val="FootnoteReference"/>
          <w:rFonts w:ascii="Arial" w:hAnsi="Arial" w:cs="Arial"/>
          <w:sz w:val="24"/>
          <w:szCs w:val="24"/>
        </w:rPr>
        <w:footnoteReference w:id="32"/>
      </w:r>
    </w:p>
    <w:p w:rsidR="009874FA" w:rsidRPr="00E27197" w:rsidRDefault="009874FA" w:rsidP="00E27197">
      <w:pPr>
        <w:spacing w:line="360" w:lineRule="auto"/>
        <w:ind w:left="900" w:hanging="720"/>
        <w:jc w:val="both"/>
        <w:rPr>
          <w:rFonts w:ascii="Arial" w:hAnsi="Arial" w:cs="Arial"/>
          <w:sz w:val="24"/>
          <w:szCs w:val="24"/>
        </w:rPr>
      </w:pPr>
    </w:p>
    <w:p w:rsidR="009874FA" w:rsidRPr="00E27197" w:rsidRDefault="009874FA" w:rsidP="00E27197">
      <w:pPr>
        <w:spacing w:line="360" w:lineRule="auto"/>
        <w:ind w:left="900"/>
        <w:jc w:val="both"/>
        <w:rPr>
          <w:rFonts w:ascii="Arial" w:hAnsi="Arial" w:cs="Arial"/>
          <w:sz w:val="24"/>
          <w:szCs w:val="24"/>
        </w:rPr>
      </w:pPr>
      <w:r w:rsidRPr="00E27197">
        <w:rPr>
          <w:rFonts w:ascii="Arial" w:hAnsi="Arial" w:cs="Arial"/>
          <w:sz w:val="24"/>
          <w:szCs w:val="24"/>
        </w:rPr>
        <w:t xml:space="preserve">In dealing with a submission from Mr. Visser, who appeared for Van Der Ryst in that matter as well, to the effect that the Court should </w:t>
      </w:r>
      <w:r w:rsidR="00211AEF" w:rsidRPr="00E27197">
        <w:rPr>
          <w:rFonts w:ascii="Arial" w:hAnsi="Arial" w:cs="Arial"/>
          <w:sz w:val="24"/>
          <w:szCs w:val="24"/>
        </w:rPr>
        <w:t>utilis</w:t>
      </w:r>
      <w:r w:rsidRPr="00E27197">
        <w:rPr>
          <w:rFonts w:ascii="Arial" w:hAnsi="Arial" w:cs="Arial"/>
          <w:sz w:val="24"/>
          <w:szCs w:val="24"/>
        </w:rPr>
        <w:t xml:space="preserve">e the provisions of </w:t>
      </w:r>
      <w:r w:rsidRPr="00E27197">
        <w:rPr>
          <w:rFonts w:ascii="Arial" w:hAnsi="Arial" w:cs="Arial"/>
          <w:b/>
          <w:i/>
          <w:sz w:val="24"/>
          <w:szCs w:val="24"/>
        </w:rPr>
        <w:t>Section 85</w:t>
      </w:r>
      <w:r w:rsidRPr="00E27197">
        <w:rPr>
          <w:rFonts w:ascii="Arial" w:hAnsi="Arial" w:cs="Arial"/>
          <w:sz w:val="24"/>
          <w:szCs w:val="24"/>
        </w:rPr>
        <w:t xml:space="preserve"> of the NCA and refer the matter to debt review, Erasmus AJ held that it would not serve any purpose to do so.</w:t>
      </w:r>
      <w:r w:rsidRPr="00E27197">
        <w:rPr>
          <w:rStyle w:val="FootnoteReference"/>
          <w:rFonts w:ascii="Arial" w:hAnsi="Arial" w:cs="Arial"/>
          <w:sz w:val="24"/>
          <w:szCs w:val="24"/>
        </w:rPr>
        <w:footnoteReference w:id="33"/>
      </w:r>
    </w:p>
    <w:p w:rsidR="00715088" w:rsidRPr="00E27197" w:rsidRDefault="00715088" w:rsidP="00E27197">
      <w:pPr>
        <w:spacing w:line="360" w:lineRule="auto"/>
        <w:ind w:left="900" w:hanging="720"/>
        <w:jc w:val="both"/>
        <w:rPr>
          <w:rFonts w:ascii="Arial" w:hAnsi="Arial" w:cs="Arial"/>
          <w:sz w:val="24"/>
          <w:szCs w:val="24"/>
        </w:rPr>
      </w:pPr>
    </w:p>
    <w:p w:rsidR="00715088" w:rsidRPr="00E27197" w:rsidRDefault="00211AEF" w:rsidP="00E27197">
      <w:pPr>
        <w:spacing w:line="360" w:lineRule="auto"/>
        <w:ind w:left="900"/>
        <w:jc w:val="both"/>
        <w:rPr>
          <w:rFonts w:ascii="Arial" w:hAnsi="Arial" w:cs="Arial"/>
          <w:sz w:val="24"/>
          <w:szCs w:val="24"/>
        </w:rPr>
      </w:pPr>
      <w:r w:rsidRPr="00E27197">
        <w:rPr>
          <w:rFonts w:ascii="Arial" w:hAnsi="Arial" w:cs="Arial"/>
          <w:sz w:val="24"/>
          <w:szCs w:val="24"/>
        </w:rPr>
        <w:t xml:space="preserve">In coming to the above conclusion, </w:t>
      </w:r>
      <w:r w:rsidR="00715088" w:rsidRPr="00E27197">
        <w:rPr>
          <w:rFonts w:ascii="Arial" w:hAnsi="Arial" w:cs="Arial"/>
          <w:sz w:val="24"/>
          <w:szCs w:val="24"/>
        </w:rPr>
        <w:t>Erasmus AJ held as follows</w:t>
      </w:r>
      <w:r w:rsidRPr="00E27197">
        <w:rPr>
          <w:rFonts w:ascii="Arial" w:hAnsi="Arial" w:cs="Arial"/>
          <w:sz w:val="24"/>
          <w:szCs w:val="24"/>
        </w:rPr>
        <w:t>:</w:t>
      </w:r>
      <w:r w:rsidR="00715088" w:rsidRPr="00E27197">
        <w:rPr>
          <w:rStyle w:val="FootnoteReference"/>
          <w:rFonts w:ascii="Arial" w:hAnsi="Arial" w:cs="Arial"/>
          <w:sz w:val="24"/>
          <w:szCs w:val="24"/>
        </w:rPr>
        <w:footnoteReference w:id="34"/>
      </w:r>
    </w:p>
    <w:p w:rsidR="00211AEF" w:rsidRPr="00E27197" w:rsidRDefault="00211AEF" w:rsidP="00E27197">
      <w:pPr>
        <w:spacing w:line="360" w:lineRule="auto"/>
        <w:ind w:left="1620" w:hanging="720"/>
        <w:jc w:val="both"/>
        <w:rPr>
          <w:rFonts w:ascii="Arial" w:hAnsi="Arial" w:cs="Arial"/>
          <w:sz w:val="24"/>
          <w:szCs w:val="24"/>
        </w:rPr>
      </w:pPr>
    </w:p>
    <w:p w:rsidR="00211AEF" w:rsidRPr="00E27197" w:rsidRDefault="00211AEF" w:rsidP="00E27197">
      <w:pPr>
        <w:spacing w:line="360" w:lineRule="auto"/>
        <w:ind w:left="1620" w:hanging="720"/>
        <w:jc w:val="both"/>
        <w:rPr>
          <w:rFonts w:ascii="Arial" w:hAnsi="Arial" w:cs="Arial"/>
          <w:i/>
          <w:sz w:val="24"/>
          <w:szCs w:val="24"/>
        </w:rPr>
      </w:pPr>
      <w:r w:rsidRPr="00E27197">
        <w:rPr>
          <w:rFonts w:ascii="Arial" w:hAnsi="Arial" w:cs="Arial"/>
          <w:sz w:val="24"/>
          <w:szCs w:val="24"/>
        </w:rPr>
        <w:t>“</w:t>
      </w:r>
      <w:r w:rsidRPr="00E27197">
        <w:rPr>
          <w:rFonts w:ascii="Arial" w:hAnsi="Arial" w:cs="Arial"/>
          <w:i/>
          <w:sz w:val="24"/>
          <w:szCs w:val="24"/>
        </w:rPr>
        <w:t>43.1 In this instance the respondent has already utilised remedies available to him in terms of the NCA, The process failed.</w:t>
      </w:r>
    </w:p>
    <w:p w:rsidR="00211AEF" w:rsidRPr="00E27197" w:rsidRDefault="00211AEF" w:rsidP="00E27197">
      <w:pPr>
        <w:spacing w:line="360" w:lineRule="auto"/>
        <w:ind w:left="1620" w:hanging="720"/>
        <w:jc w:val="both"/>
        <w:rPr>
          <w:rFonts w:ascii="Arial" w:hAnsi="Arial" w:cs="Arial"/>
          <w:i/>
          <w:sz w:val="24"/>
          <w:szCs w:val="24"/>
        </w:rPr>
      </w:pPr>
    </w:p>
    <w:p w:rsidR="00211AEF" w:rsidRPr="00E27197" w:rsidRDefault="00211AEF" w:rsidP="00E27197">
      <w:pPr>
        <w:spacing w:line="360" w:lineRule="auto"/>
        <w:ind w:left="1620" w:hanging="720"/>
        <w:jc w:val="both"/>
        <w:rPr>
          <w:rFonts w:ascii="Arial" w:hAnsi="Arial" w:cs="Arial"/>
          <w:i/>
          <w:sz w:val="24"/>
          <w:szCs w:val="24"/>
        </w:rPr>
      </w:pPr>
      <w:r w:rsidRPr="00E27197">
        <w:rPr>
          <w:rFonts w:ascii="Arial" w:hAnsi="Arial" w:cs="Arial"/>
          <w:i/>
          <w:sz w:val="24"/>
          <w:szCs w:val="24"/>
        </w:rPr>
        <w:t>43.2 The respondent did not make out a case in support of the contention that the applicant’s granting of the credit facilities amounted to reckless credit or that he was over-indebted. The respondent was privy to all agreements, his bank statements and financial statements.</w:t>
      </w:r>
      <w:r w:rsidR="00A64D1C" w:rsidRPr="00E27197">
        <w:rPr>
          <w:rFonts w:ascii="Arial" w:hAnsi="Arial" w:cs="Arial"/>
          <w:i/>
          <w:sz w:val="24"/>
          <w:szCs w:val="24"/>
        </w:rPr>
        <w:t xml:space="preserve"> If he required additional documents, after this application was lodged, he could have utilised the remedies provided for in Rule 35(12) to inspect or make copies of documents.</w:t>
      </w:r>
    </w:p>
    <w:p w:rsidR="00A64D1C" w:rsidRPr="00E27197" w:rsidRDefault="00A64D1C" w:rsidP="00E27197">
      <w:pPr>
        <w:spacing w:line="360" w:lineRule="auto"/>
        <w:ind w:left="1620" w:hanging="720"/>
        <w:jc w:val="both"/>
        <w:rPr>
          <w:rFonts w:ascii="Arial" w:hAnsi="Arial" w:cs="Arial"/>
          <w:i/>
          <w:sz w:val="24"/>
          <w:szCs w:val="24"/>
        </w:rPr>
      </w:pPr>
    </w:p>
    <w:p w:rsidR="00A64D1C" w:rsidRPr="00E27197" w:rsidRDefault="00A64D1C" w:rsidP="00E27197">
      <w:pPr>
        <w:spacing w:line="360" w:lineRule="auto"/>
        <w:ind w:left="1620" w:hanging="720"/>
        <w:jc w:val="both"/>
        <w:rPr>
          <w:rFonts w:ascii="Arial" w:hAnsi="Arial" w:cs="Arial"/>
          <w:sz w:val="24"/>
          <w:szCs w:val="24"/>
        </w:rPr>
      </w:pPr>
      <w:r w:rsidRPr="00E27197">
        <w:rPr>
          <w:rFonts w:ascii="Arial" w:hAnsi="Arial" w:cs="Arial"/>
          <w:i/>
          <w:sz w:val="24"/>
          <w:szCs w:val="24"/>
        </w:rPr>
        <w:t>43.3 Any repayment plan, of whatever nature, will in principle depend on the availability of regular income for the debtor in order to make the required payments. He has disposed of his livestock and farming operations. Based on the history of this matter, any repayment plans will in all likelihood not be acceptable options as creditors may refuse to grant the respondent a rescheduling of the debt.</w:t>
      </w:r>
      <w:r w:rsidRPr="00E27197">
        <w:rPr>
          <w:rFonts w:ascii="Arial" w:hAnsi="Arial" w:cs="Arial"/>
          <w:sz w:val="24"/>
          <w:szCs w:val="24"/>
        </w:rPr>
        <w:t>”</w:t>
      </w:r>
    </w:p>
    <w:p w:rsidR="00A64D1C" w:rsidRPr="00E27197" w:rsidRDefault="00A64D1C" w:rsidP="00E27197">
      <w:pPr>
        <w:spacing w:line="360" w:lineRule="auto"/>
        <w:ind w:left="900" w:hanging="720"/>
        <w:jc w:val="both"/>
        <w:rPr>
          <w:rFonts w:ascii="Arial" w:hAnsi="Arial" w:cs="Arial"/>
          <w:sz w:val="24"/>
          <w:szCs w:val="24"/>
        </w:rPr>
      </w:pPr>
    </w:p>
    <w:p w:rsidR="00A64D1C" w:rsidRPr="00E27197" w:rsidRDefault="00A64D1C" w:rsidP="00E27197">
      <w:pPr>
        <w:spacing w:line="360" w:lineRule="auto"/>
        <w:ind w:left="900"/>
        <w:jc w:val="both"/>
        <w:rPr>
          <w:rFonts w:ascii="Arial" w:hAnsi="Arial" w:cs="Arial"/>
          <w:sz w:val="24"/>
          <w:szCs w:val="24"/>
        </w:rPr>
      </w:pPr>
      <w:r w:rsidRPr="00E27197">
        <w:rPr>
          <w:rFonts w:ascii="Arial" w:hAnsi="Arial" w:cs="Arial"/>
          <w:sz w:val="24"/>
          <w:szCs w:val="24"/>
        </w:rPr>
        <w:lastRenderedPageBreak/>
        <w:t xml:space="preserve">It should be mentioned that I could </w:t>
      </w:r>
      <w:r w:rsidR="0088752A" w:rsidRPr="00E27197">
        <w:rPr>
          <w:rFonts w:ascii="Arial" w:hAnsi="Arial" w:cs="Arial"/>
          <w:sz w:val="24"/>
          <w:szCs w:val="24"/>
        </w:rPr>
        <w:t xml:space="preserve">not </w:t>
      </w:r>
      <w:r w:rsidRPr="00E27197">
        <w:rPr>
          <w:rFonts w:ascii="Arial" w:hAnsi="Arial" w:cs="Arial"/>
          <w:sz w:val="24"/>
          <w:szCs w:val="24"/>
        </w:rPr>
        <w:t xml:space="preserve">find </w:t>
      </w:r>
      <w:r w:rsidR="0088752A" w:rsidRPr="00E27197">
        <w:rPr>
          <w:rFonts w:ascii="Arial" w:hAnsi="Arial" w:cs="Arial"/>
          <w:sz w:val="24"/>
          <w:szCs w:val="24"/>
        </w:rPr>
        <w:t>any</w:t>
      </w:r>
      <w:r w:rsidRPr="00E27197">
        <w:rPr>
          <w:rFonts w:ascii="Arial" w:hAnsi="Arial" w:cs="Arial"/>
          <w:sz w:val="24"/>
          <w:szCs w:val="24"/>
        </w:rPr>
        <w:t>thing in the Founding Affidavit of Van Der Ryst in the Main Application, or in his Answering Affidavit in the Security Application to convince me that Van Der Ryst’s position</w:t>
      </w:r>
      <w:r w:rsidR="0088752A" w:rsidRPr="00E27197">
        <w:rPr>
          <w:rFonts w:ascii="Arial" w:hAnsi="Arial" w:cs="Arial"/>
          <w:sz w:val="24"/>
          <w:szCs w:val="24"/>
        </w:rPr>
        <w:t>,</w:t>
      </w:r>
      <w:r w:rsidRPr="00E27197">
        <w:rPr>
          <w:rFonts w:ascii="Arial" w:hAnsi="Arial" w:cs="Arial"/>
          <w:sz w:val="24"/>
          <w:szCs w:val="24"/>
        </w:rPr>
        <w:t xml:space="preserve"> since the above judgment by Erasmus AJ</w:t>
      </w:r>
      <w:r w:rsidR="0088752A" w:rsidRPr="00E27197">
        <w:rPr>
          <w:rFonts w:ascii="Arial" w:hAnsi="Arial" w:cs="Arial"/>
          <w:sz w:val="24"/>
          <w:szCs w:val="24"/>
        </w:rPr>
        <w:t>,</w:t>
      </w:r>
      <w:r w:rsidRPr="00E27197">
        <w:rPr>
          <w:rFonts w:ascii="Arial" w:hAnsi="Arial" w:cs="Arial"/>
          <w:sz w:val="24"/>
          <w:szCs w:val="24"/>
        </w:rPr>
        <w:t xml:space="preserve"> had changed to such an extent that he will </w:t>
      </w:r>
      <w:r w:rsidR="0088752A" w:rsidRPr="00E27197">
        <w:rPr>
          <w:rFonts w:ascii="Arial" w:hAnsi="Arial" w:cs="Arial"/>
          <w:sz w:val="24"/>
          <w:szCs w:val="24"/>
        </w:rPr>
        <w:t xml:space="preserve">now suddenly </w:t>
      </w:r>
      <w:r w:rsidRPr="00E27197">
        <w:rPr>
          <w:rFonts w:ascii="Arial" w:hAnsi="Arial" w:cs="Arial"/>
          <w:sz w:val="24"/>
          <w:szCs w:val="24"/>
        </w:rPr>
        <w:t xml:space="preserve">be </w:t>
      </w:r>
      <w:r w:rsidR="00954C69" w:rsidRPr="00E27197">
        <w:rPr>
          <w:rFonts w:ascii="Arial" w:hAnsi="Arial" w:cs="Arial"/>
          <w:sz w:val="24"/>
          <w:szCs w:val="24"/>
        </w:rPr>
        <w:t>successful with this argument in his plight in the Main Application.</w:t>
      </w:r>
    </w:p>
    <w:p w:rsidR="00F4676B" w:rsidRPr="00E27197" w:rsidRDefault="00F4676B" w:rsidP="00E27197">
      <w:pPr>
        <w:spacing w:line="360" w:lineRule="auto"/>
        <w:ind w:left="900" w:hanging="720"/>
        <w:jc w:val="both"/>
        <w:rPr>
          <w:rFonts w:ascii="Arial" w:hAnsi="Arial" w:cs="Arial"/>
          <w:sz w:val="24"/>
          <w:szCs w:val="24"/>
        </w:rPr>
      </w:pPr>
    </w:p>
    <w:p w:rsidR="00F4676B" w:rsidRPr="00E27197" w:rsidRDefault="00F4676B" w:rsidP="00E27197">
      <w:pPr>
        <w:spacing w:line="360" w:lineRule="auto"/>
        <w:ind w:left="900"/>
        <w:jc w:val="both"/>
        <w:rPr>
          <w:rFonts w:ascii="Arial" w:hAnsi="Arial" w:cs="Arial"/>
          <w:sz w:val="24"/>
          <w:szCs w:val="24"/>
        </w:rPr>
      </w:pPr>
      <w:r w:rsidRPr="00E27197">
        <w:rPr>
          <w:rFonts w:ascii="Arial" w:hAnsi="Arial" w:cs="Arial"/>
          <w:sz w:val="24"/>
          <w:szCs w:val="24"/>
        </w:rPr>
        <w:t>It should be mentioned that the above decision by Erasmus AJ was upheld by the Supreme Court of Appeal and I could find no reason to differ from the above Courts.</w:t>
      </w:r>
    </w:p>
    <w:p w:rsidR="00EB2F2D" w:rsidRPr="00E27197" w:rsidRDefault="00EB2F2D" w:rsidP="00E27197">
      <w:pPr>
        <w:spacing w:line="360" w:lineRule="auto"/>
        <w:ind w:left="900" w:hanging="720"/>
        <w:jc w:val="both"/>
        <w:rPr>
          <w:rFonts w:ascii="Arial" w:hAnsi="Arial" w:cs="Arial"/>
          <w:sz w:val="24"/>
          <w:szCs w:val="24"/>
        </w:rPr>
      </w:pPr>
    </w:p>
    <w:p w:rsidR="003D2A49" w:rsidRPr="00E27197" w:rsidRDefault="001757BE" w:rsidP="00E27197">
      <w:pPr>
        <w:spacing w:line="360" w:lineRule="auto"/>
        <w:ind w:left="900" w:hanging="720"/>
        <w:jc w:val="both"/>
        <w:rPr>
          <w:rFonts w:ascii="Arial" w:hAnsi="Arial" w:cs="Arial"/>
          <w:sz w:val="24"/>
          <w:szCs w:val="24"/>
        </w:rPr>
      </w:pPr>
      <w:r w:rsidRPr="00E27197">
        <w:rPr>
          <w:rFonts w:ascii="Arial" w:hAnsi="Arial" w:cs="Arial"/>
          <w:sz w:val="24"/>
          <w:szCs w:val="24"/>
        </w:rPr>
        <w:t>52.</w:t>
      </w:r>
      <w:r w:rsidRPr="00E27197">
        <w:rPr>
          <w:rFonts w:ascii="Arial" w:hAnsi="Arial" w:cs="Arial"/>
          <w:sz w:val="24"/>
          <w:szCs w:val="24"/>
        </w:rPr>
        <w:tab/>
      </w:r>
      <w:r w:rsidR="00EB2F2D" w:rsidRPr="00E27197">
        <w:rPr>
          <w:rFonts w:ascii="Arial" w:hAnsi="Arial" w:cs="Arial"/>
          <w:sz w:val="24"/>
          <w:szCs w:val="24"/>
        </w:rPr>
        <w:t xml:space="preserve">In respect of the further relief sought by Van Der Ryst in the Main Application </w:t>
      </w:r>
      <w:r w:rsidR="003D2A49" w:rsidRPr="00E27197">
        <w:rPr>
          <w:rFonts w:ascii="Arial" w:hAnsi="Arial" w:cs="Arial"/>
          <w:sz w:val="24"/>
          <w:szCs w:val="24"/>
        </w:rPr>
        <w:t>where he asks of the Court to</w:t>
      </w:r>
      <w:r w:rsidRPr="00E27197">
        <w:rPr>
          <w:rFonts w:ascii="Arial" w:hAnsi="Arial" w:cs="Arial"/>
          <w:sz w:val="24"/>
          <w:szCs w:val="24"/>
        </w:rPr>
        <w:t xml:space="preserve"> d</w:t>
      </w:r>
      <w:r w:rsidR="003D2A49" w:rsidRPr="00E27197">
        <w:rPr>
          <w:rFonts w:ascii="Arial" w:hAnsi="Arial" w:cs="Arial"/>
          <w:sz w:val="24"/>
          <w:szCs w:val="24"/>
        </w:rPr>
        <w:t xml:space="preserve">irect the Trustees to examine the claims submitted by the Bank and to report to the Master and to Van Der Ryst as envisaged in </w:t>
      </w:r>
      <w:r w:rsidR="003D2A49" w:rsidRPr="00E27197">
        <w:rPr>
          <w:rFonts w:ascii="Arial" w:hAnsi="Arial" w:cs="Arial"/>
          <w:b/>
          <w:i/>
          <w:sz w:val="24"/>
          <w:szCs w:val="24"/>
        </w:rPr>
        <w:t>Section 45</w:t>
      </w:r>
      <w:r w:rsidR="003D2A49" w:rsidRPr="00E27197">
        <w:rPr>
          <w:rFonts w:ascii="Arial" w:hAnsi="Arial" w:cs="Arial"/>
          <w:sz w:val="24"/>
          <w:szCs w:val="24"/>
        </w:rPr>
        <w:t xml:space="preserve"> of the Insolvency Act</w:t>
      </w:r>
      <w:r w:rsidRPr="00E27197">
        <w:rPr>
          <w:rFonts w:ascii="Arial" w:hAnsi="Arial" w:cs="Arial"/>
          <w:sz w:val="24"/>
          <w:szCs w:val="24"/>
        </w:rPr>
        <w:t xml:space="preserve"> </w:t>
      </w:r>
      <w:r w:rsidR="00590BDA">
        <w:rPr>
          <w:rFonts w:ascii="Arial" w:hAnsi="Arial" w:cs="Arial"/>
          <w:sz w:val="24"/>
          <w:szCs w:val="24"/>
        </w:rPr>
        <w:t xml:space="preserve">or to </w:t>
      </w:r>
      <w:r w:rsidRPr="00E27197">
        <w:rPr>
          <w:rFonts w:ascii="Arial" w:hAnsi="Arial" w:cs="Arial"/>
          <w:sz w:val="24"/>
          <w:szCs w:val="24"/>
        </w:rPr>
        <w:t>d</w:t>
      </w:r>
      <w:r w:rsidR="003D2A49" w:rsidRPr="00E27197">
        <w:rPr>
          <w:rFonts w:ascii="Arial" w:hAnsi="Arial" w:cs="Arial"/>
          <w:sz w:val="24"/>
          <w:szCs w:val="24"/>
        </w:rPr>
        <w:t xml:space="preserve">irect the Master to submit the Bank to interrogation in terms of the provisions of </w:t>
      </w:r>
      <w:r w:rsidR="003D2A49" w:rsidRPr="00E27197">
        <w:rPr>
          <w:rFonts w:ascii="Arial" w:hAnsi="Arial" w:cs="Arial"/>
          <w:b/>
          <w:i/>
          <w:sz w:val="24"/>
          <w:szCs w:val="24"/>
        </w:rPr>
        <w:t>Section 44(7)</w:t>
      </w:r>
      <w:r w:rsidR="003D2A49" w:rsidRPr="00E27197">
        <w:rPr>
          <w:rFonts w:ascii="Arial" w:hAnsi="Arial" w:cs="Arial"/>
          <w:sz w:val="24"/>
          <w:szCs w:val="24"/>
        </w:rPr>
        <w:t xml:space="preserve"> of the Insolvency Act,</w:t>
      </w:r>
      <w:r w:rsidRPr="00E27197">
        <w:rPr>
          <w:rFonts w:ascii="Arial" w:hAnsi="Arial" w:cs="Arial"/>
          <w:sz w:val="24"/>
          <w:szCs w:val="24"/>
        </w:rPr>
        <w:t xml:space="preserve"> </w:t>
      </w:r>
      <w:r w:rsidR="003D2A49" w:rsidRPr="00E27197">
        <w:rPr>
          <w:rFonts w:ascii="Arial" w:hAnsi="Arial" w:cs="Arial"/>
          <w:sz w:val="24"/>
          <w:szCs w:val="24"/>
        </w:rPr>
        <w:t>I have to also agree with Mr.</w:t>
      </w:r>
      <w:r w:rsidR="0024392D">
        <w:rPr>
          <w:rFonts w:ascii="Arial" w:hAnsi="Arial" w:cs="Arial"/>
          <w:sz w:val="24"/>
          <w:szCs w:val="24"/>
        </w:rPr>
        <w:t xml:space="preserve"> Zietsman in the sense that the</w:t>
      </w:r>
      <w:r w:rsidR="003D2A49" w:rsidRPr="00E27197">
        <w:rPr>
          <w:rFonts w:ascii="Arial" w:hAnsi="Arial" w:cs="Arial"/>
          <w:sz w:val="24"/>
          <w:szCs w:val="24"/>
        </w:rPr>
        <w:t xml:space="preserve"> </w:t>
      </w:r>
      <w:r w:rsidRPr="00E27197">
        <w:rPr>
          <w:rFonts w:ascii="Arial" w:hAnsi="Arial" w:cs="Arial"/>
          <w:sz w:val="24"/>
          <w:szCs w:val="24"/>
        </w:rPr>
        <w:t xml:space="preserve">seeking of this </w:t>
      </w:r>
      <w:r w:rsidR="003D2A49" w:rsidRPr="00E27197">
        <w:rPr>
          <w:rFonts w:ascii="Arial" w:hAnsi="Arial" w:cs="Arial"/>
          <w:sz w:val="24"/>
          <w:szCs w:val="24"/>
        </w:rPr>
        <w:t xml:space="preserve">relief seems to be </w:t>
      </w:r>
      <w:r w:rsidR="0024392D">
        <w:rPr>
          <w:rFonts w:ascii="Arial" w:hAnsi="Arial" w:cs="Arial"/>
          <w:sz w:val="24"/>
          <w:szCs w:val="24"/>
        </w:rPr>
        <w:t xml:space="preserve">premature and for that matter </w:t>
      </w:r>
      <w:r w:rsidR="003D2A49" w:rsidRPr="00E27197">
        <w:rPr>
          <w:rFonts w:ascii="Arial" w:hAnsi="Arial" w:cs="Arial"/>
          <w:sz w:val="24"/>
          <w:szCs w:val="24"/>
        </w:rPr>
        <w:t>improper.</w:t>
      </w:r>
    </w:p>
    <w:p w:rsidR="003D2A49" w:rsidRPr="00E27197" w:rsidRDefault="003D2A49" w:rsidP="00E27197">
      <w:pPr>
        <w:spacing w:line="360" w:lineRule="auto"/>
        <w:ind w:left="900" w:hanging="720"/>
        <w:jc w:val="both"/>
        <w:rPr>
          <w:rFonts w:ascii="Arial" w:hAnsi="Arial" w:cs="Arial"/>
          <w:sz w:val="24"/>
          <w:szCs w:val="24"/>
        </w:rPr>
      </w:pPr>
    </w:p>
    <w:p w:rsidR="003D2A49" w:rsidRPr="00E27197" w:rsidRDefault="001757BE" w:rsidP="00E27197">
      <w:pPr>
        <w:spacing w:line="360" w:lineRule="auto"/>
        <w:ind w:left="900" w:hanging="720"/>
        <w:jc w:val="both"/>
        <w:rPr>
          <w:rFonts w:ascii="Arial" w:hAnsi="Arial" w:cs="Arial"/>
          <w:sz w:val="24"/>
          <w:szCs w:val="24"/>
        </w:rPr>
      </w:pPr>
      <w:r w:rsidRPr="00E27197">
        <w:rPr>
          <w:rFonts w:ascii="Arial" w:hAnsi="Arial" w:cs="Arial"/>
          <w:sz w:val="24"/>
          <w:szCs w:val="24"/>
        </w:rPr>
        <w:t>53.</w:t>
      </w:r>
      <w:r w:rsidRPr="00E27197">
        <w:rPr>
          <w:rFonts w:ascii="Arial" w:hAnsi="Arial" w:cs="Arial"/>
          <w:sz w:val="24"/>
          <w:szCs w:val="24"/>
        </w:rPr>
        <w:tab/>
      </w:r>
      <w:r w:rsidR="003D2A49" w:rsidRPr="00E27197">
        <w:rPr>
          <w:rFonts w:ascii="Arial" w:hAnsi="Arial" w:cs="Arial"/>
          <w:b/>
          <w:i/>
          <w:sz w:val="24"/>
          <w:szCs w:val="24"/>
        </w:rPr>
        <w:t>Section 45</w:t>
      </w:r>
      <w:r w:rsidR="003D2A49" w:rsidRPr="00E27197">
        <w:rPr>
          <w:rFonts w:ascii="Arial" w:hAnsi="Arial" w:cs="Arial"/>
          <w:sz w:val="24"/>
          <w:szCs w:val="24"/>
        </w:rPr>
        <w:t xml:space="preserve"> of the Insolvency Act places an obligation on trustees to examine claims made against the insolvent estate and that in the event of any dispute in respect of any claim, the dispute should be referred to the Master</w:t>
      </w:r>
      <w:r w:rsidR="00CB1B1B" w:rsidRPr="00E27197">
        <w:rPr>
          <w:rFonts w:ascii="Arial" w:hAnsi="Arial" w:cs="Arial"/>
          <w:sz w:val="24"/>
          <w:szCs w:val="24"/>
        </w:rPr>
        <w:t xml:space="preserve"> to investigate and to determine.</w:t>
      </w:r>
    </w:p>
    <w:p w:rsidR="00F00D68" w:rsidRPr="00E27197" w:rsidRDefault="00F00D68" w:rsidP="00E27197">
      <w:pPr>
        <w:spacing w:line="360" w:lineRule="auto"/>
        <w:ind w:left="900" w:hanging="720"/>
        <w:jc w:val="both"/>
        <w:rPr>
          <w:rFonts w:ascii="Arial" w:hAnsi="Arial" w:cs="Arial"/>
          <w:sz w:val="24"/>
          <w:szCs w:val="24"/>
        </w:rPr>
      </w:pPr>
    </w:p>
    <w:p w:rsidR="00F00D68" w:rsidRPr="00E27197" w:rsidRDefault="00F00D68" w:rsidP="00E27197">
      <w:pPr>
        <w:spacing w:line="360" w:lineRule="auto"/>
        <w:ind w:left="900"/>
        <w:jc w:val="both"/>
        <w:rPr>
          <w:rFonts w:ascii="Arial" w:hAnsi="Arial" w:cs="Arial"/>
          <w:sz w:val="24"/>
          <w:szCs w:val="24"/>
        </w:rPr>
      </w:pPr>
      <w:r w:rsidRPr="00E27197">
        <w:rPr>
          <w:rFonts w:ascii="Arial" w:hAnsi="Arial" w:cs="Arial"/>
          <w:sz w:val="24"/>
          <w:szCs w:val="24"/>
        </w:rPr>
        <w:t xml:space="preserve">There appears to be no case made out as to why the Court </w:t>
      </w:r>
      <w:r w:rsidR="00084B87">
        <w:rPr>
          <w:rFonts w:ascii="Arial" w:hAnsi="Arial" w:cs="Arial"/>
          <w:sz w:val="24"/>
          <w:szCs w:val="24"/>
        </w:rPr>
        <w:t xml:space="preserve">in the Main Application </w:t>
      </w:r>
      <w:r w:rsidRPr="00E27197">
        <w:rPr>
          <w:rFonts w:ascii="Arial" w:hAnsi="Arial" w:cs="Arial"/>
          <w:sz w:val="24"/>
          <w:szCs w:val="24"/>
        </w:rPr>
        <w:t xml:space="preserve">should order the Trustees to abide by the provisions of </w:t>
      </w:r>
      <w:r w:rsidRPr="00E27197">
        <w:rPr>
          <w:rFonts w:ascii="Arial" w:hAnsi="Arial" w:cs="Arial"/>
          <w:b/>
          <w:i/>
          <w:sz w:val="24"/>
          <w:szCs w:val="24"/>
        </w:rPr>
        <w:t>Section 45</w:t>
      </w:r>
      <w:r w:rsidRPr="00E27197">
        <w:rPr>
          <w:rFonts w:ascii="Arial" w:hAnsi="Arial" w:cs="Arial"/>
          <w:sz w:val="24"/>
          <w:szCs w:val="24"/>
        </w:rPr>
        <w:t xml:space="preserve"> of the Insolvency Act and it also does not appear from the papers in the Main Application why the Master should be ordered to conduct an interrogation in terms of </w:t>
      </w:r>
      <w:r w:rsidRPr="00E27197">
        <w:rPr>
          <w:rFonts w:ascii="Arial" w:hAnsi="Arial" w:cs="Arial"/>
          <w:b/>
          <w:i/>
          <w:sz w:val="24"/>
          <w:szCs w:val="24"/>
        </w:rPr>
        <w:t>Section 44(7)</w:t>
      </w:r>
      <w:r w:rsidRPr="00E27197">
        <w:rPr>
          <w:rFonts w:ascii="Arial" w:hAnsi="Arial" w:cs="Arial"/>
          <w:sz w:val="24"/>
          <w:szCs w:val="24"/>
        </w:rPr>
        <w:t xml:space="preserve"> of the Insolvency Act.</w:t>
      </w:r>
    </w:p>
    <w:p w:rsidR="001757BE" w:rsidRPr="00E27197" w:rsidRDefault="001757BE" w:rsidP="00E27197">
      <w:pPr>
        <w:spacing w:line="360" w:lineRule="auto"/>
        <w:ind w:left="900" w:hanging="720"/>
        <w:jc w:val="both"/>
        <w:rPr>
          <w:rFonts w:ascii="Arial" w:hAnsi="Arial" w:cs="Arial"/>
          <w:sz w:val="24"/>
          <w:szCs w:val="24"/>
        </w:rPr>
      </w:pPr>
    </w:p>
    <w:p w:rsidR="001757BE" w:rsidRPr="00E27197" w:rsidRDefault="001757BE" w:rsidP="00E27197">
      <w:pPr>
        <w:spacing w:line="360" w:lineRule="auto"/>
        <w:ind w:left="900"/>
        <w:jc w:val="both"/>
        <w:rPr>
          <w:rFonts w:ascii="Arial" w:hAnsi="Arial" w:cs="Arial"/>
          <w:sz w:val="24"/>
          <w:szCs w:val="24"/>
        </w:rPr>
      </w:pPr>
      <w:r w:rsidRPr="00E27197">
        <w:rPr>
          <w:rFonts w:ascii="Arial" w:hAnsi="Arial" w:cs="Arial"/>
          <w:sz w:val="24"/>
          <w:szCs w:val="24"/>
        </w:rPr>
        <w:t xml:space="preserve">The above are obligations placed on the Trustees and the Master by way of statute and I can find no reason why the review Court should be required to order </w:t>
      </w:r>
      <w:r w:rsidRPr="00E27197">
        <w:rPr>
          <w:rFonts w:ascii="Arial" w:hAnsi="Arial" w:cs="Arial"/>
          <w:sz w:val="24"/>
          <w:szCs w:val="24"/>
        </w:rPr>
        <w:lastRenderedPageBreak/>
        <w:t>the Trustees and the Master to do what they are supposed to do, unless good reason for such an order exists.</w:t>
      </w:r>
    </w:p>
    <w:p w:rsidR="001757BE" w:rsidRPr="00E27197" w:rsidRDefault="001757BE" w:rsidP="00E27197">
      <w:pPr>
        <w:spacing w:line="360" w:lineRule="auto"/>
        <w:ind w:left="900" w:hanging="720"/>
        <w:jc w:val="both"/>
        <w:rPr>
          <w:rFonts w:ascii="Arial" w:hAnsi="Arial" w:cs="Arial"/>
          <w:sz w:val="24"/>
          <w:szCs w:val="24"/>
        </w:rPr>
      </w:pPr>
    </w:p>
    <w:p w:rsidR="001757BE" w:rsidRPr="00E27197" w:rsidRDefault="001757BE" w:rsidP="00E27197">
      <w:pPr>
        <w:spacing w:line="360" w:lineRule="auto"/>
        <w:ind w:left="900"/>
        <w:jc w:val="both"/>
        <w:rPr>
          <w:rFonts w:ascii="Arial" w:hAnsi="Arial" w:cs="Arial"/>
          <w:sz w:val="24"/>
          <w:szCs w:val="24"/>
        </w:rPr>
      </w:pPr>
      <w:r w:rsidRPr="00E27197">
        <w:rPr>
          <w:rFonts w:ascii="Arial" w:hAnsi="Arial" w:cs="Arial"/>
          <w:sz w:val="24"/>
          <w:szCs w:val="24"/>
        </w:rPr>
        <w:t>I could find no such good reason.</w:t>
      </w:r>
    </w:p>
    <w:p w:rsidR="00712D36" w:rsidRPr="00E27197" w:rsidRDefault="00712D36" w:rsidP="00E27197">
      <w:pPr>
        <w:spacing w:line="360" w:lineRule="auto"/>
        <w:ind w:left="900" w:hanging="720"/>
        <w:jc w:val="both"/>
        <w:rPr>
          <w:rFonts w:ascii="Arial" w:hAnsi="Arial" w:cs="Arial"/>
          <w:sz w:val="24"/>
          <w:szCs w:val="24"/>
        </w:rPr>
      </w:pPr>
    </w:p>
    <w:p w:rsidR="00712D36" w:rsidRPr="00E27197" w:rsidRDefault="00587C3C" w:rsidP="00E27197">
      <w:pPr>
        <w:spacing w:line="360" w:lineRule="auto"/>
        <w:ind w:left="900" w:hanging="720"/>
        <w:jc w:val="both"/>
        <w:rPr>
          <w:rFonts w:ascii="Arial" w:hAnsi="Arial" w:cs="Arial"/>
          <w:sz w:val="24"/>
          <w:szCs w:val="24"/>
        </w:rPr>
      </w:pPr>
      <w:r w:rsidRPr="00E27197">
        <w:rPr>
          <w:rFonts w:ascii="Arial" w:hAnsi="Arial" w:cs="Arial"/>
          <w:sz w:val="24"/>
          <w:szCs w:val="24"/>
        </w:rPr>
        <w:t>54.</w:t>
      </w:r>
      <w:r w:rsidRPr="00E27197">
        <w:rPr>
          <w:rFonts w:ascii="Arial" w:hAnsi="Arial" w:cs="Arial"/>
          <w:sz w:val="24"/>
          <w:szCs w:val="24"/>
        </w:rPr>
        <w:tab/>
      </w:r>
      <w:r w:rsidR="00712D36" w:rsidRPr="00E27197">
        <w:rPr>
          <w:rFonts w:ascii="Arial" w:hAnsi="Arial" w:cs="Arial"/>
          <w:sz w:val="24"/>
          <w:szCs w:val="24"/>
        </w:rPr>
        <w:t xml:space="preserve">In view of all of the above, I am of the view that the relief sought by Van Der Ryst in the Main Application is </w:t>
      </w:r>
      <w:r w:rsidR="00AF1449">
        <w:rPr>
          <w:rFonts w:ascii="Arial" w:hAnsi="Arial" w:cs="Arial"/>
          <w:i/>
          <w:sz w:val="24"/>
          <w:szCs w:val="24"/>
        </w:rPr>
        <w:t xml:space="preserve">prima facie </w:t>
      </w:r>
      <w:r w:rsidR="00712D36" w:rsidRPr="00E27197">
        <w:rPr>
          <w:rFonts w:ascii="Arial" w:hAnsi="Arial" w:cs="Arial"/>
          <w:sz w:val="24"/>
          <w:szCs w:val="24"/>
        </w:rPr>
        <w:t>unsustainable</w:t>
      </w:r>
      <w:r w:rsidRPr="00E27197">
        <w:rPr>
          <w:rFonts w:ascii="Arial" w:hAnsi="Arial" w:cs="Arial"/>
          <w:sz w:val="24"/>
          <w:szCs w:val="24"/>
        </w:rPr>
        <w:t xml:space="preserve"> and that it appears that the Main Application</w:t>
      </w:r>
      <w:r w:rsidR="00325F2B" w:rsidRPr="00E27197">
        <w:rPr>
          <w:rFonts w:ascii="Arial" w:hAnsi="Arial" w:cs="Arial"/>
          <w:sz w:val="24"/>
          <w:szCs w:val="24"/>
        </w:rPr>
        <w:t xml:space="preserve"> was lodged with the sole purpose to annoy.</w:t>
      </w:r>
    </w:p>
    <w:p w:rsidR="00325F2B" w:rsidRPr="00E27197" w:rsidRDefault="00325F2B" w:rsidP="00E27197">
      <w:pPr>
        <w:spacing w:line="360" w:lineRule="auto"/>
        <w:ind w:left="900" w:hanging="720"/>
        <w:jc w:val="both"/>
        <w:rPr>
          <w:rFonts w:ascii="Arial" w:hAnsi="Arial" w:cs="Arial"/>
          <w:sz w:val="24"/>
          <w:szCs w:val="24"/>
        </w:rPr>
      </w:pPr>
    </w:p>
    <w:p w:rsidR="00325F2B" w:rsidRPr="00E27197" w:rsidRDefault="00587C3C" w:rsidP="00E27197">
      <w:pPr>
        <w:spacing w:line="360" w:lineRule="auto"/>
        <w:ind w:left="900" w:hanging="720"/>
        <w:jc w:val="both"/>
        <w:rPr>
          <w:rFonts w:ascii="Arial" w:hAnsi="Arial" w:cs="Arial"/>
          <w:sz w:val="24"/>
          <w:szCs w:val="24"/>
        </w:rPr>
      </w:pPr>
      <w:r w:rsidRPr="00E27197">
        <w:rPr>
          <w:rFonts w:ascii="Arial" w:hAnsi="Arial" w:cs="Arial"/>
          <w:sz w:val="24"/>
          <w:szCs w:val="24"/>
        </w:rPr>
        <w:t>55.</w:t>
      </w:r>
      <w:r w:rsidRPr="00E27197">
        <w:rPr>
          <w:rFonts w:ascii="Arial" w:hAnsi="Arial" w:cs="Arial"/>
          <w:sz w:val="24"/>
          <w:szCs w:val="24"/>
        </w:rPr>
        <w:tab/>
      </w:r>
      <w:r w:rsidR="00325F2B" w:rsidRPr="00E27197">
        <w:rPr>
          <w:rFonts w:ascii="Arial" w:hAnsi="Arial" w:cs="Arial"/>
          <w:sz w:val="24"/>
          <w:szCs w:val="24"/>
        </w:rPr>
        <w:t>I consequently find the Main Application to be vexatious and I hold the view that an order to the effect that security should be provided by Van Der Ryst, will not be improper in the circumstances.</w:t>
      </w:r>
    </w:p>
    <w:p w:rsidR="00B2298A" w:rsidRPr="00E27197" w:rsidRDefault="00B2298A" w:rsidP="00E27197">
      <w:pPr>
        <w:spacing w:line="360" w:lineRule="auto"/>
        <w:ind w:left="900" w:hanging="720"/>
        <w:jc w:val="both"/>
        <w:rPr>
          <w:rFonts w:ascii="Arial" w:hAnsi="Arial" w:cs="Arial"/>
          <w:sz w:val="24"/>
          <w:szCs w:val="24"/>
        </w:rPr>
      </w:pPr>
    </w:p>
    <w:p w:rsidR="00B2298A" w:rsidRPr="00E27197" w:rsidRDefault="00B2298A" w:rsidP="00E27197">
      <w:pPr>
        <w:spacing w:line="360" w:lineRule="auto"/>
        <w:ind w:left="900"/>
        <w:jc w:val="both"/>
        <w:rPr>
          <w:rFonts w:ascii="Arial" w:hAnsi="Arial" w:cs="Arial"/>
          <w:sz w:val="24"/>
          <w:szCs w:val="24"/>
        </w:rPr>
      </w:pPr>
      <w:r w:rsidRPr="00E27197">
        <w:rPr>
          <w:rFonts w:ascii="Arial" w:hAnsi="Arial" w:cs="Arial"/>
          <w:sz w:val="24"/>
          <w:szCs w:val="24"/>
        </w:rPr>
        <w:t xml:space="preserve">I am however not of the view that </w:t>
      </w:r>
      <w:r w:rsidR="002549FE">
        <w:rPr>
          <w:rFonts w:ascii="Arial" w:hAnsi="Arial" w:cs="Arial"/>
          <w:sz w:val="24"/>
          <w:szCs w:val="24"/>
        </w:rPr>
        <w:t xml:space="preserve">security in </w:t>
      </w:r>
      <w:r w:rsidRPr="00E27197">
        <w:rPr>
          <w:rFonts w:ascii="Arial" w:hAnsi="Arial" w:cs="Arial"/>
          <w:sz w:val="24"/>
          <w:szCs w:val="24"/>
        </w:rPr>
        <w:t xml:space="preserve">an amount of R 250 000,00 (Two Hundred and Fifty Thousand Rand) as prayed for would be </w:t>
      </w:r>
      <w:r w:rsidR="002549FE">
        <w:rPr>
          <w:rFonts w:ascii="Arial" w:hAnsi="Arial" w:cs="Arial"/>
          <w:sz w:val="24"/>
          <w:szCs w:val="24"/>
        </w:rPr>
        <w:t>pushing the envelope</w:t>
      </w:r>
      <w:r w:rsidRPr="00E27197">
        <w:rPr>
          <w:rFonts w:ascii="Arial" w:hAnsi="Arial" w:cs="Arial"/>
          <w:sz w:val="24"/>
          <w:szCs w:val="24"/>
        </w:rPr>
        <w:t>, seeing that the calculation of that amount as per the Founding Affidavit in the Security Application amounts to, at best, a thumb suck</w:t>
      </w:r>
      <w:r w:rsidR="00D74FE8" w:rsidRPr="00E27197">
        <w:rPr>
          <w:rFonts w:ascii="Arial" w:hAnsi="Arial" w:cs="Arial"/>
          <w:sz w:val="24"/>
          <w:szCs w:val="24"/>
        </w:rPr>
        <w:t xml:space="preserve"> and </w:t>
      </w:r>
      <w:r w:rsidR="002549FE">
        <w:rPr>
          <w:rFonts w:ascii="Arial" w:hAnsi="Arial" w:cs="Arial"/>
          <w:sz w:val="24"/>
          <w:szCs w:val="24"/>
        </w:rPr>
        <w:t xml:space="preserve">also </w:t>
      </w:r>
      <w:r w:rsidR="00D74FE8" w:rsidRPr="00E27197">
        <w:rPr>
          <w:rFonts w:ascii="Arial" w:hAnsi="Arial" w:cs="Arial"/>
          <w:sz w:val="24"/>
          <w:szCs w:val="24"/>
        </w:rPr>
        <w:t>appears to be excessive and I find</w:t>
      </w:r>
      <w:r w:rsidRPr="00E27197">
        <w:rPr>
          <w:rFonts w:ascii="Arial" w:hAnsi="Arial" w:cs="Arial"/>
          <w:sz w:val="24"/>
          <w:szCs w:val="24"/>
        </w:rPr>
        <w:t xml:space="preserve"> that an amount of R 150 000,00 (One Hundred and Fifty Thousand Rand) would be proper</w:t>
      </w:r>
      <w:r w:rsidR="00D74FE8" w:rsidRPr="00E27197">
        <w:rPr>
          <w:rFonts w:ascii="Arial" w:hAnsi="Arial" w:cs="Arial"/>
          <w:sz w:val="24"/>
          <w:szCs w:val="24"/>
        </w:rPr>
        <w:t xml:space="preserve"> as it will at least be sufficient to serve as security for the Trustees’ estimated future costs in opposing the Main Application.</w:t>
      </w:r>
    </w:p>
    <w:p w:rsidR="0055575E" w:rsidRPr="00E27197" w:rsidRDefault="0055575E" w:rsidP="00E27197">
      <w:pPr>
        <w:spacing w:line="360" w:lineRule="auto"/>
        <w:ind w:left="900" w:hanging="720"/>
        <w:jc w:val="both"/>
        <w:rPr>
          <w:rFonts w:ascii="Arial" w:hAnsi="Arial" w:cs="Arial"/>
          <w:sz w:val="24"/>
          <w:szCs w:val="24"/>
        </w:rPr>
      </w:pPr>
    </w:p>
    <w:p w:rsidR="0055575E" w:rsidRPr="00E27197" w:rsidRDefault="00D74FE8" w:rsidP="00E27197">
      <w:pPr>
        <w:spacing w:line="360" w:lineRule="auto"/>
        <w:ind w:left="900" w:hanging="720"/>
        <w:jc w:val="both"/>
        <w:rPr>
          <w:rFonts w:ascii="Arial" w:hAnsi="Arial" w:cs="Arial"/>
          <w:sz w:val="24"/>
          <w:szCs w:val="24"/>
        </w:rPr>
      </w:pPr>
      <w:r w:rsidRPr="00E27197">
        <w:rPr>
          <w:rFonts w:ascii="Arial" w:hAnsi="Arial" w:cs="Arial"/>
          <w:sz w:val="24"/>
          <w:szCs w:val="24"/>
        </w:rPr>
        <w:t>56.</w:t>
      </w:r>
      <w:r w:rsidRPr="00E27197">
        <w:rPr>
          <w:rFonts w:ascii="Arial" w:hAnsi="Arial" w:cs="Arial"/>
          <w:sz w:val="24"/>
          <w:szCs w:val="24"/>
        </w:rPr>
        <w:tab/>
      </w:r>
      <w:r w:rsidR="0055575E" w:rsidRPr="00E27197">
        <w:rPr>
          <w:rFonts w:ascii="Arial" w:hAnsi="Arial" w:cs="Arial"/>
          <w:sz w:val="24"/>
          <w:szCs w:val="24"/>
        </w:rPr>
        <w:t>In respect of the issue of costs of the Security Application, I hold the view that it would not be appropriate to make an order as to costs in the circumstances.</w:t>
      </w:r>
    </w:p>
    <w:p w:rsidR="0055575E" w:rsidRPr="00E27197" w:rsidRDefault="0055575E" w:rsidP="00E27197">
      <w:pPr>
        <w:spacing w:line="360" w:lineRule="auto"/>
        <w:ind w:left="900" w:hanging="720"/>
        <w:jc w:val="both"/>
        <w:rPr>
          <w:rFonts w:ascii="Arial" w:hAnsi="Arial" w:cs="Arial"/>
          <w:sz w:val="24"/>
          <w:szCs w:val="24"/>
        </w:rPr>
      </w:pPr>
    </w:p>
    <w:p w:rsidR="0055575E" w:rsidRPr="00E27197" w:rsidRDefault="0055575E" w:rsidP="00E27197">
      <w:pPr>
        <w:spacing w:line="360" w:lineRule="auto"/>
        <w:ind w:left="900"/>
        <w:jc w:val="both"/>
        <w:rPr>
          <w:rFonts w:ascii="Arial" w:hAnsi="Arial" w:cs="Arial"/>
          <w:sz w:val="24"/>
          <w:szCs w:val="24"/>
        </w:rPr>
      </w:pPr>
      <w:r w:rsidRPr="00E27197">
        <w:rPr>
          <w:rFonts w:ascii="Arial" w:hAnsi="Arial" w:cs="Arial"/>
          <w:sz w:val="24"/>
          <w:szCs w:val="24"/>
        </w:rPr>
        <w:t>The reason for this is simply the fact that I found the Security Application to be not urgent which in effect means that Van Der Ryst could be deemed to have been substan</w:t>
      </w:r>
      <w:r w:rsidR="00B9040E">
        <w:rPr>
          <w:rFonts w:ascii="Arial" w:hAnsi="Arial" w:cs="Arial"/>
          <w:sz w:val="24"/>
          <w:szCs w:val="24"/>
        </w:rPr>
        <w:t>tially successful in that</w:t>
      </w:r>
      <w:r w:rsidRPr="00E27197">
        <w:rPr>
          <w:rFonts w:ascii="Arial" w:hAnsi="Arial" w:cs="Arial"/>
          <w:sz w:val="24"/>
          <w:szCs w:val="24"/>
        </w:rPr>
        <w:t xml:space="preserve"> regard</w:t>
      </w:r>
      <w:r w:rsidR="00D74FE8" w:rsidRPr="00E27197">
        <w:rPr>
          <w:rFonts w:ascii="Arial" w:hAnsi="Arial" w:cs="Arial"/>
          <w:sz w:val="24"/>
          <w:szCs w:val="24"/>
        </w:rPr>
        <w:t xml:space="preserve"> and I am of the view that</w:t>
      </w:r>
      <w:r w:rsidR="00E547F0" w:rsidRPr="00E27197">
        <w:rPr>
          <w:rFonts w:ascii="Arial" w:hAnsi="Arial" w:cs="Arial"/>
          <w:sz w:val="24"/>
          <w:szCs w:val="24"/>
        </w:rPr>
        <w:t>, on this basis alone,</w:t>
      </w:r>
      <w:r w:rsidR="00D74FE8" w:rsidRPr="00E27197">
        <w:rPr>
          <w:rFonts w:ascii="Arial" w:hAnsi="Arial" w:cs="Arial"/>
          <w:sz w:val="24"/>
          <w:szCs w:val="24"/>
        </w:rPr>
        <w:t xml:space="preserve"> it would not be just to mulct Van Der Ryst with the cost</w:t>
      </w:r>
      <w:r w:rsidR="00B9040E">
        <w:rPr>
          <w:rFonts w:ascii="Arial" w:hAnsi="Arial" w:cs="Arial"/>
          <w:sz w:val="24"/>
          <w:szCs w:val="24"/>
        </w:rPr>
        <w:t xml:space="preserve">s of the Security Application even </w:t>
      </w:r>
      <w:r w:rsidR="00D74FE8" w:rsidRPr="00E27197">
        <w:rPr>
          <w:rFonts w:ascii="Arial" w:hAnsi="Arial" w:cs="Arial"/>
          <w:sz w:val="24"/>
          <w:szCs w:val="24"/>
        </w:rPr>
        <w:t xml:space="preserve">though the </w:t>
      </w:r>
      <w:r w:rsidRPr="00E27197">
        <w:rPr>
          <w:rFonts w:ascii="Arial" w:hAnsi="Arial" w:cs="Arial"/>
          <w:sz w:val="24"/>
          <w:szCs w:val="24"/>
        </w:rPr>
        <w:t xml:space="preserve">Trustees were substantially successful in the </w:t>
      </w:r>
      <w:r w:rsidR="00D74FE8" w:rsidRPr="00E27197">
        <w:rPr>
          <w:rFonts w:ascii="Arial" w:hAnsi="Arial" w:cs="Arial"/>
          <w:sz w:val="24"/>
          <w:szCs w:val="24"/>
        </w:rPr>
        <w:t xml:space="preserve">remainder of the </w:t>
      </w:r>
      <w:r w:rsidRPr="00E27197">
        <w:rPr>
          <w:rFonts w:ascii="Arial" w:hAnsi="Arial" w:cs="Arial"/>
          <w:sz w:val="24"/>
          <w:szCs w:val="24"/>
        </w:rPr>
        <w:t>Security Application.</w:t>
      </w:r>
    </w:p>
    <w:p w:rsidR="0055575E" w:rsidRDefault="0055575E" w:rsidP="00E27197">
      <w:pPr>
        <w:spacing w:line="360" w:lineRule="auto"/>
        <w:jc w:val="both"/>
        <w:rPr>
          <w:rFonts w:ascii="Arial" w:hAnsi="Arial" w:cs="Arial"/>
          <w:sz w:val="24"/>
          <w:szCs w:val="24"/>
        </w:rPr>
      </w:pPr>
    </w:p>
    <w:p w:rsidR="00E27197" w:rsidRPr="00E27197" w:rsidRDefault="00E27197" w:rsidP="00E27197">
      <w:pPr>
        <w:spacing w:line="360" w:lineRule="auto"/>
        <w:jc w:val="both"/>
        <w:rPr>
          <w:rFonts w:ascii="Arial" w:hAnsi="Arial" w:cs="Arial"/>
          <w:sz w:val="24"/>
          <w:szCs w:val="24"/>
        </w:rPr>
      </w:pPr>
    </w:p>
    <w:p w:rsidR="0055575E" w:rsidRPr="00E27197" w:rsidRDefault="0055575E" w:rsidP="00E27197">
      <w:pPr>
        <w:spacing w:line="360" w:lineRule="auto"/>
        <w:jc w:val="both"/>
        <w:rPr>
          <w:rFonts w:ascii="Arial" w:hAnsi="Arial" w:cs="Arial"/>
          <w:b/>
          <w:sz w:val="24"/>
          <w:szCs w:val="24"/>
        </w:rPr>
      </w:pPr>
      <w:r w:rsidRPr="00E27197">
        <w:rPr>
          <w:rFonts w:ascii="Arial" w:hAnsi="Arial" w:cs="Arial"/>
          <w:b/>
          <w:sz w:val="24"/>
          <w:szCs w:val="24"/>
          <w:u w:val="single"/>
        </w:rPr>
        <w:t>ORDER</w:t>
      </w:r>
      <w:r w:rsidRPr="00E27197">
        <w:rPr>
          <w:rFonts w:ascii="Arial" w:hAnsi="Arial" w:cs="Arial"/>
          <w:b/>
          <w:sz w:val="24"/>
          <w:szCs w:val="24"/>
        </w:rPr>
        <w:t>:</w:t>
      </w:r>
    </w:p>
    <w:p w:rsidR="00E83F78" w:rsidRPr="00E27197" w:rsidRDefault="00E83F78" w:rsidP="00E27197">
      <w:pPr>
        <w:spacing w:line="360" w:lineRule="auto"/>
        <w:jc w:val="both"/>
        <w:rPr>
          <w:rFonts w:ascii="Arial" w:hAnsi="Arial" w:cs="Arial"/>
          <w:b/>
          <w:sz w:val="24"/>
          <w:szCs w:val="24"/>
        </w:rPr>
      </w:pPr>
    </w:p>
    <w:p w:rsidR="00E83F78" w:rsidRPr="00E27197" w:rsidRDefault="001D4E0B" w:rsidP="00E27197">
      <w:pPr>
        <w:spacing w:line="360" w:lineRule="auto"/>
        <w:jc w:val="both"/>
        <w:rPr>
          <w:rFonts w:ascii="Arial" w:hAnsi="Arial" w:cs="Arial"/>
          <w:sz w:val="24"/>
          <w:szCs w:val="24"/>
        </w:rPr>
      </w:pPr>
      <w:r w:rsidRPr="00E27197">
        <w:rPr>
          <w:rFonts w:ascii="Arial" w:hAnsi="Arial" w:cs="Arial"/>
          <w:sz w:val="24"/>
          <w:szCs w:val="24"/>
        </w:rPr>
        <w:t>57.</w:t>
      </w:r>
      <w:r w:rsidRPr="00E27197">
        <w:rPr>
          <w:rFonts w:ascii="Arial" w:hAnsi="Arial" w:cs="Arial"/>
          <w:sz w:val="24"/>
          <w:szCs w:val="24"/>
        </w:rPr>
        <w:tab/>
      </w:r>
      <w:r w:rsidR="00E83F78" w:rsidRPr="00E27197">
        <w:rPr>
          <w:rFonts w:ascii="Arial" w:hAnsi="Arial" w:cs="Arial"/>
          <w:sz w:val="24"/>
          <w:szCs w:val="24"/>
        </w:rPr>
        <w:t>In view of all of the above, I make the following order:</w:t>
      </w:r>
    </w:p>
    <w:p w:rsidR="00E83F78" w:rsidRPr="00E27197" w:rsidRDefault="00E83F78" w:rsidP="00E27197">
      <w:pPr>
        <w:spacing w:line="360" w:lineRule="auto"/>
        <w:ind w:left="1620" w:hanging="1080"/>
        <w:jc w:val="both"/>
        <w:rPr>
          <w:rFonts w:ascii="Arial" w:hAnsi="Arial" w:cs="Arial"/>
          <w:b/>
          <w:sz w:val="24"/>
          <w:szCs w:val="24"/>
        </w:rPr>
      </w:pPr>
    </w:p>
    <w:p w:rsidR="00E83F78" w:rsidRPr="00E27197" w:rsidRDefault="001D4E0B" w:rsidP="00E27197">
      <w:pPr>
        <w:spacing w:line="360" w:lineRule="auto"/>
        <w:ind w:left="1620" w:hanging="1080"/>
        <w:jc w:val="both"/>
        <w:rPr>
          <w:rFonts w:ascii="Arial" w:hAnsi="Arial" w:cs="Arial"/>
          <w:b/>
          <w:sz w:val="24"/>
          <w:szCs w:val="24"/>
        </w:rPr>
      </w:pPr>
      <w:r w:rsidRPr="00E27197">
        <w:rPr>
          <w:rFonts w:ascii="Arial" w:hAnsi="Arial" w:cs="Arial"/>
          <w:b/>
          <w:sz w:val="24"/>
          <w:szCs w:val="24"/>
        </w:rPr>
        <w:t>57.1</w:t>
      </w:r>
      <w:r w:rsidRPr="00E27197">
        <w:rPr>
          <w:rFonts w:ascii="Arial" w:hAnsi="Arial" w:cs="Arial"/>
          <w:b/>
          <w:sz w:val="24"/>
          <w:szCs w:val="24"/>
        </w:rPr>
        <w:tab/>
      </w:r>
      <w:r w:rsidR="00E83F78" w:rsidRPr="00E27197">
        <w:rPr>
          <w:rFonts w:ascii="Arial" w:hAnsi="Arial" w:cs="Arial"/>
          <w:b/>
          <w:sz w:val="24"/>
          <w:szCs w:val="24"/>
        </w:rPr>
        <w:t>That the Respondent be ordered to furnish security in the amount of R 150 000,00 (One Hundred and Fifty Thousand Rand) within 15 (fifteen) days of date of this order for the costs of the Applicants in prosecuting the opposition of the main application under case number 1316/2023;</w:t>
      </w:r>
    </w:p>
    <w:p w:rsidR="00E83F78" w:rsidRPr="00E27197" w:rsidRDefault="00E83F78" w:rsidP="00E27197">
      <w:pPr>
        <w:spacing w:line="360" w:lineRule="auto"/>
        <w:ind w:left="1620" w:hanging="1080"/>
        <w:jc w:val="both"/>
        <w:rPr>
          <w:rFonts w:ascii="Arial" w:hAnsi="Arial" w:cs="Arial"/>
          <w:b/>
          <w:sz w:val="24"/>
          <w:szCs w:val="24"/>
        </w:rPr>
      </w:pPr>
    </w:p>
    <w:p w:rsidR="00E83F78" w:rsidRPr="00E27197" w:rsidRDefault="001D4E0B" w:rsidP="00E27197">
      <w:pPr>
        <w:spacing w:line="360" w:lineRule="auto"/>
        <w:ind w:left="1620" w:hanging="1080"/>
        <w:jc w:val="both"/>
        <w:rPr>
          <w:rFonts w:ascii="Arial" w:hAnsi="Arial" w:cs="Arial"/>
          <w:b/>
          <w:sz w:val="24"/>
          <w:szCs w:val="24"/>
        </w:rPr>
      </w:pPr>
      <w:r w:rsidRPr="00E27197">
        <w:rPr>
          <w:rFonts w:ascii="Arial" w:hAnsi="Arial" w:cs="Arial"/>
          <w:b/>
          <w:sz w:val="24"/>
          <w:szCs w:val="24"/>
        </w:rPr>
        <w:t>57.2</w:t>
      </w:r>
      <w:r w:rsidRPr="00E27197">
        <w:rPr>
          <w:rFonts w:ascii="Arial" w:hAnsi="Arial" w:cs="Arial"/>
          <w:b/>
          <w:sz w:val="24"/>
          <w:szCs w:val="24"/>
        </w:rPr>
        <w:tab/>
      </w:r>
      <w:r w:rsidR="00E83F78" w:rsidRPr="00E27197">
        <w:rPr>
          <w:rFonts w:ascii="Arial" w:hAnsi="Arial" w:cs="Arial"/>
          <w:b/>
          <w:sz w:val="24"/>
          <w:szCs w:val="24"/>
        </w:rPr>
        <w:t xml:space="preserve">That, in the event of the Respondent failing to furnish security in the amount of R 150 000,00 (One Hundred and Fifty Thousand Rand) within 15 (fifteen) days of date of this order, the Applicants are afforded leave to approach this Court on the same papers, supplemented if and where necessary </w:t>
      </w:r>
      <w:r w:rsidRPr="00E27197">
        <w:rPr>
          <w:rFonts w:ascii="Arial" w:hAnsi="Arial" w:cs="Arial"/>
          <w:b/>
          <w:sz w:val="24"/>
          <w:szCs w:val="24"/>
        </w:rPr>
        <w:t xml:space="preserve">for an order </w:t>
      </w:r>
      <w:r w:rsidR="00E83F78" w:rsidRPr="00E27197">
        <w:rPr>
          <w:rFonts w:ascii="Arial" w:hAnsi="Arial" w:cs="Arial"/>
          <w:b/>
          <w:sz w:val="24"/>
          <w:szCs w:val="24"/>
        </w:rPr>
        <w:t>dismissing the Respondent’s application under case number 1316/2023; and</w:t>
      </w:r>
    </w:p>
    <w:p w:rsidR="00E83F78" w:rsidRPr="00E27197" w:rsidRDefault="00E83F78" w:rsidP="00E27197">
      <w:pPr>
        <w:spacing w:line="360" w:lineRule="auto"/>
        <w:ind w:left="1620" w:hanging="1080"/>
        <w:jc w:val="both"/>
        <w:rPr>
          <w:rFonts w:ascii="Arial" w:hAnsi="Arial" w:cs="Arial"/>
          <w:b/>
          <w:sz w:val="24"/>
          <w:szCs w:val="24"/>
        </w:rPr>
      </w:pPr>
    </w:p>
    <w:p w:rsidR="00E83F78" w:rsidRPr="00E27197" w:rsidRDefault="0024189E" w:rsidP="00146CB7">
      <w:pPr>
        <w:spacing w:line="360" w:lineRule="auto"/>
        <w:ind w:left="1620" w:hanging="1080"/>
        <w:jc w:val="both"/>
        <w:rPr>
          <w:rFonts w:ascii="Arial" w:hAnsi="Arial" w:cs="Arial"/>
          <w:b/>
          <w:sz w:val="24"/>
          <w:szCs w:val="24"/>
        </w:rPr>
      </w:pPr>
      <w:r w:rsidRPr="00E27197">
        <w:rPr>
          <w:rFonts w:ascii="Arial" w:hAnsi="Arial" w:cs="Arial"/>
          <w:b/>
          <w:sz w:val="24"/>
          <w:szCs w:val="24"/>
        </w:rPr>
        <w:t>57.3</w:t>
      </w:r>
      <w:r w:rsidRPr="00E27197">
        <w:rPr>
          <w:rFonts w:ascii="Arial" w:hAnsi="Arial" w:cs="Arial"/>
          <w:b/>
          <w:sz w:val="24"/>
          <w:szCs w:val="24"/>
        </w:rPr>
        <w:tab/>
      </w:r>
      <w:r w:rsidR="00E83F78" w:rsidRPr="00E27197">
        <w:rPr>
          <w:rFonts w:ascii="Arial" w:hAnsi="Arial" w:cs="Arial"/>
          <w:b/>
          <w:sz w:val="24"/>
          <w:szCs w:val="24"/>
        </w:rPr>
        <w:t>No order as to costs is made.</w:t>
      </w:r>
    </w:p>
    <w:p w:rsidR="00E5201C" w:rsidRPr="00E27197" w:rsidRDefault="00146CB7" w:rsidP="00E27197">
      <w:pPr>
        <w:spacing w:line="360" w:lineRule="auto"/>
        <w:jc w:val="both"/>
        <w:rPr>
          <w:rFonts w:ascii="Arial" w:hAnsi="Arial" w:cs="Arial"/>
          <w:sz w:val="24"/>
          <w:szCs w:val="24"/>
        </w:rPr>
      </w:pPr>
      <w:r>
        <w:rPr>
          <w:noProof/>
          <w:lang w:val="en-ZA" w:eastAsia="en-ZA"/>
        </w:rPr>
        <w:drawing>
          <wp:inline distT="0" distB="0" distL="0" distR="0" wp14:anchorId="0F66D18B" wp14:editId="7681745F">
            <wp:extent cx="1181100" cy="908837"/>
            <wp:effectExtent l="0" t="0" r="0" b="5715"/>
            <wp:docPr id="1" name="Picture 1" descr="C:\Users\ADMIN\Desktop\INLEXSO 2020\NOVEMBER\HAND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NLEXSO 2020\NOVEMBER\HANDT3.jpg"/>
                    <pic:cNvPicPr>
                      <a:picLocks noChangeAspect="1" noChangeArrowheads="1"/>
                    </pic:cNvPicPr>
                  </pic:nvPicPr>
                  <pic:blipFill>
                    <a:blip r:embed="rId9" cstate="print"/>
                    <a:srcRect/>
                    <a:stretch>
                      <a:fillRect/>
                    </a:stretch>
                  </pic:blipFill>
                  <pic:spPr bwMode="auto">
                    <a:xfrm>
                      <a:off x="0" y="0"/>
                      <a:ext cx="1230233" cy="946644"/>
                    </a:xfrm>
                    <a:prstGeom prst="rect">
                      <a:avLst/>
                    </a:prstGeom>
                    <a:noFill/>
                    <a:ln w="9525">
                      <a:noFill/>
                      <a:miter lim="800000"/>
                      <a:headEnd/>
                      <a:tailEnd/>
                    </a:ln>
                  </pic:spPr>
                </pic:pic>
              </a:graphicData>
            </a:graphic>
          </wp:inline>
        </w:drawing>
      </w:r>
    </w:p>
    <w:p w:rsidR="00E5201C" w:rsidRPr="00E27197" w:rsidRDefault="00E5201C" w:rsidP="00E27197">
      <w:pPr>
        <w:spacing w:line="360" w:lineRule="auto"/>
        <w:jc w:val="both"/>
        <w:rPr>
          <w:rFonts w:ascii="Arial" w:hAnsi="Arial" w:cs="Arial"/>
          <w:sz w:val="24"/>
          <w:szCs w:val="24"/>
        </w:rPr>
      </w:pPr>
      <w:r w:rsidRPr="00E27197">
        <w:rPr>
          <w:rFonts w:ascii="Arial" w:hAnsi="Arial" w:cs="Arial"/>
          <w:sz w:val="24"/>
          <w:szCs w:val="24"/>
        </w:rPr>
        <w:t>_________________________</w:t>
      </w:r>
    </w:p>
    <w:p w:rsidR="00E5201C" w:rsidRPr="00E27197" w:rsidRDefault="00E27197" w:rsidP="00E27197">
      <w:pPr>
        <w:spacing w:line="360" w:lineRule="auto"/>
        <w:jc w:val="both"/>
        <w:rPr>
          <w:rFonts w:ascii="Arial" w:hAnsi="Arial" w:cs="Arial"/>
          <w:b/>
          <w:sz w:val="24"/>
          <w:szCs w:val="24"/>
        </w:rPr>
      </w:pPr>
      <w:r w:rsidRPr="00E27197">
        <w:rPr>
          <w:rFonts w:ascii="Arial" w:hAnsi="Arial" w:cs="Arial"/>
          <w:b/>
          <w:sz w:val="24"/>
          <w:szCs w:val="24"/>
        </w:rPr>
        <w:t xml:space="preserve">A.D </w:t>
      </w:r>
      <w:r w:rsidR="003D29A8" w:rsidRPr="00E27197">
        <w:rPr>
          <w:rFonts w:ascii="Arial" w:hAnsi="Arial" w:cs="Arial"/>
          <w:b/>
          <w:sz w:val="24"/>
          <w:szCs w:val="24"/>
        </w:rPr>
        <w:t xml:space="preserve">OLIVIER </w:t>
      </w:r>
    </w:p>
    <w:p w:rsidR="00E27197" w:rsidRPr="00E27197" w:rsidRDefault="00E27197" w:rsidP="00E27197">
      <w:pPr>
        <w:spacing w:line="360" w:lineRule="auto"/>
        <w:jc w:val="both"/>
        <w:rPr>
          <w:rFonts w:ascii="Arial" w:hAnsi="Arial" w:cs="Arial"/>
          <w:sz w:val="24"/>
          <w:szCs w:val="24"/>
        </w:rPr>
      </w:pPr>
      <w:r>
        <w:rPr>
          <w:rFonts w:ascii="Arial" w:hAnsi="Arial" w:cs="Arial"/>
          <w:sz w:val="24"/>
          <w:szCs w:val="24"/>
        </w:rPr>
        <w:t>ACTING JUDGE</w:t>
      </w:r>
    </w:p>
    <w:p w:rsidR="00E5201C" w:rsidRPr="00E27197" w:rsidRDefault="00E5201C" w:rsidP="00E27197">
      <w:pPr>
        <w:jc w:val="both"/>
        <w:rPr>
          <w:rFonts w:ascii="Arial" w:hAnsi="Arial" w:cs="Arial"/>
          <w:sz w:val="24"/>
          <w:szCs w:val="24"/>
        </w:rPr>
      </w:pPr>
    </w:p>
    <w:p w:rsidR="00E5201C" w:rsidRPr="00E27197" w:rsidRDefault="00E5201C" w:rsidP="00E27197">
      <w:pPr>
        <w:jc w:val="both"/>
        <w:rPr>
          <w:rFonts w:ascii="Arial" w:hAnsi="Arial" w:cs="Arial"/>
          <w:sz w:val="24"/>
          <w:szCs w:val="24"/>
        </w:rPr>
      </w:pPr>
      <w:r w:rsidRPr="00E27197">
        <w:rPr>
          <w:rFonts w:ascii="Arial" w:hAnsi="Arial" w:cs="Arial"/>
          <w:sz w:val="24"/>
          <w:szCs w:val="24"/>
        </w:rPr>
        <w:t>For 1</w:t>
      </w:r>
      <w:r w:rsidRPr="00E27197">
        <w:rPr>
          <w:rFonts w:ascii="Arial" w:hAnsi="Arial" w:cs="Arial"/>
          <w:sz w:val="24"/>
          <w:szCs w:val="24"/>
          <w:vertAlign w:val="superscript"/>
        </w:rPr>
        <w:t>ST</w:t>
      </w:r>
      <w:r w:rsidRPr="00E27197">
        <w:rPr>
          <w:rFonts w:ascii="Arial" w:hAnsi="Arial" w:cs="Arial"/>
          <w:sz w:val="24"/>
          <w:szCs w:val="24"/>
        </w:rPr>
        <w:t xml:space="preserve"> to 3</w:t>
      </w:r>
      <w:r w:rsidRPr="00E27197">
        <w:rPr>
          <w:rFonts w:ascii="Arial" w:hAnsi="Arial" w:cs="Arial"/>
          <w:sz w:val="24"/>
          <w:szCs w:val="24"/>
          <w:vertAlign w:val="superscript"/>
        </w:rPr>
        <w:t>RD</w:t>
      </w:r>
      <w:r w:rsidRPr="00E27197">
        <w:rPr>
          <w:rFonts w:ascii="Arial" w:hAnsi="Arial" w:cs="Arial"/>
          <w:sz w:val="24"/>
          <w:szCs w:val="24"/>
        </w:rPr>
        <w:t xml:space="preserve"> APPLICANTS</w:t>
      </w:r>
      <w:r w:rsidRPr="00E27197">
        <w:rPr>
          <w:rFonts w:ascii="Arial" w:hAnsi="Arial" w:cs="Arial"/>
          <w:sz w:val="24"/>
          <w:szCs w:val="24"/>
        </w:rPr>
        <w:tab/>
        <w:t>:</w:t>
      </w:r>
      <w:r w:rsidRPr="00E27197">
        <w:rPr>
          <w:rFonts w:ascii="Arial" w:hAnsi="Arial" w:cs="Arial"/>
          <w:sz w:val="24"/>
          <w:szCs w:val="24"/>
        </w:rPr>
        <w:tab/>
        <w:t>Adv. P. Zietsman SC</w:t>
      </w:r>
    </w:p>
    <w:p w:rsidR="00E5201C" w:rsidRPr="00E27197" w:rsidRDefault="00E5201C" w:rsidP="00E27197">
      <w:pPr>
        <w:jc w:val="both"/>
        <w:rPr>
          <w:rFonts w:ascii="Arial" w:hAnsi="Arial" w:cs="Arial"/>
          <w:sz w:val="24"/>
          <w:szCs w:val="24"/>
        </w:rPr>
      </w:pP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t>o.i.o EG Cooper, Majiedt Inc.</w:t>
      </w:r>
    </w:p>
    <w:p w:rsidR="00E5201C" w:rsidRPr="00E27197" w:rsidRDefault="00E5201C" w:rsidP="00E27197">
      <w:pPr>
        <w:jc w:val="both"/>
        <w:rPr>
          <w:rFonts w:ascii="Arial" w:hAnsi="Arial" w:cs="Arial"/>
          <w:b/>
          <w:sz w:val="24"/>
          <w:szCs w:val="24"/>
        </w:rPr>
      </w:pP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b/>
          <w:sz w:val="24"/>
          <w:szCs w:val="24"/>
        </w:rPr>
        <w:t>BLOEMFONTEIN</w:t>
      </w:r>
    </w:p>
    <w:p w:rsidR="00E5201C" w:rsidRPr="00E27197" w:rsidRDefault="00E5201C" w:rsidP="00E27197">
      <w:pPr>
        <w:jc w:val="both"/>
        <w:rPr>
          <w:rFonts w:ascii="Arial" w:hAnsi="Arial" w:cs="Arial"/>
          <w:sz w:val="24"/>
          <w:szCs w:val="24"/>
        </w:rPr>
      </w:pPr>
      <w:r w:rsidRPr="00E27197">
        <w:rPr>
          <w:rFonts w:ascii="Arial" w:hAnsi="Arial" w:cs="Arial"/>
          <w:b/>
          <w:sz w:val="24"/>
          <w:szCs w:val="24"/>
        </w:rPr>
        <w:tab/>
      </w:r>
      <w:r w:rsidRPr="00E27197">
        <w:rPr>
          <w:rFonts w:ascii="Arial" w:hAnsi="Arial" w:cs="Arial"/>
          <w:b/>
          <w:sz w:val="24"/>
          <w:szCs w:val="24"/>
        </w:rPr>
        <w:tab/>
      </w:r>
      <w:r w:rsidRPr="00E27197">
        <w:rPr>
          <w:rFonts w:ascii="Arial" w:hAnsi="Arial" w:cs="Arial"/>
          <w:b/>
          <w:sz w:val="24"/>
          <w:szCs w:val="24"/>
        </w:rPr>
        <w:tab/>
      </w:r>
      <w:r w:rsidRPr="00E27197">
        <w:rPr>
          <w:rFonts w:ascii="Arial" w:hAnsi="Arial" w:cs="Arial"/>
          <w:b/>
          <w:sz w:val="24"/>
          <w:szCs w:val="24"/>
        </w:rPr>
        <w:tab/>
      </w:r>
      <w:r w:rsidRPr="00E27197">
        <w:rPr>
          <w:rFonts w:ascii="Arial" w:hAnsi="Arial" w:cs="Arial"/>
          <w:b/>
          <w:sz w:val="24"/>
          <w:szCs w:val="24"/>
        </w:rPr>
        <w:tab/>
      </w:r>
      <w:r w:rsidRPr="00E27197">
        <w:rPr>
          <w:rFonts w:ascii="Arial" w:hAnsi="Arial" w:cs="Arial"/>
          <w:b/>
          <w:sz w:val="24"/>
          <w:szCs w:val="24"/>
        </w:rPr>
        <w:tab/>
      </w:r>
      <w:r w:rsidRPr="00E27197">
        <w:rPr>
          <w:rFonts w:ascii="Arial" w:hAnsi="Arial" w:cs="Arial"/>
          <w:sz w:val="24"/>
          <w:szCs w:val="24"/>
        </w:rPr>
        <w:t>c/o Van De Wall Inc.</w:t>
      </w:r>
    </w:p>
    <w:p w:rsidR="00E5201C" w:rsidRPr="00E27197" w:rsidRDefault="00E5201C" w:rsidP="00E27197">
      <w:pPr>
        <w:jc w:val="both"/>
        <w:rPr>
          <w:rFonts w:ascii="Arial" w:hAnsi="Arial" w:cs="Arial"/>
          <w:b/>
          <w:sz w:val="24"/>
          <w:szCs w:val="24"/>
        </w:rPr>
      </w:pP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b/>
          <w:sz w:val="24"/>
          <w:szCs w:val="24"/>
        </w:rPr>
        <w:t>KIMBERLEY</w:t>
      </w:r>
    </w:p>
    <w:p w:rsidR="00E5201C" w:rsidRDefault="00E5201C" w:rsidP="00E27197">
      <w:pPr>
        <w:jc w:val="both"/>
        <w:rPr>
          <w:rFonts w:ascii="Arial" w:hAnsi="Arial" w:cs="Arial"/>
          <w:b/>
          <w:sz w:val="24"/>
          <w:szCs w:val="24"/>
        </w:rPr>
      </w:pPr>
    </w:p>
    <w:p w:rsidR="00330D6F" w:rsidRPr="00E27197" w:rsidRDefault="00330D6F" w:rsidP="00E27197">
      <w:pPr>
        <w:jc w:val="both"/>
        <w:rPr>
          <w:rFonts w:ascii="Arial" w:hAnsi="Arial" w:cs="Arial"/>
          <w:b/>
          <w:sz w:val="24"/>
          <w:szCs w:val="24"/>
        </w:rPr>
      </w:pPr>
    </w:p>
    <w:p w:rsidR="00E5201C" w:rsidRPr="00E27197" w:rsidRDefault="00E5201C" w:rsidP="00E27197">
      <w:pPr>
        <w:jc w:val="both"/>
        <w:rPr>
          <w:rFonts w:ascii="Arial" w:hAnsi="Arial" w:cs="Arial"/>
          <w:sz w:val="24"/>
          <w:szCs w:val="24"/>
        </w:rPr>
      </w:pPr>
      <w:r w:rsidRPr="00E27197">
        <w:rPr>
          <w:rFonts w:ascii="Arial" w:hAnsi="Arial" w:cs="Arial"/>
          <w:sz w:val="24"/>
          <w:szCs w:val="24"/>
        </w:rPr>
        <w:lastRenderedPageBreak/>
        <w:t>For RESPONDENT</w:t>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t>:</w:t>
      </w:r>
      <w:r w:rsidRPr="00E27197">
        <w:rPr>
          <w:rFonts w:ascii="Arial" w:hAnsi="Arial" w:cs="Arial"/>
          <w:sz w:val="24"/>
          <w:szCs w:val="24"/>
        </w:rPr>
        <w:tab/>
        <w:t>Mr. E. Visser</w:t>
      </w:r>
    </w:p>
    <w:p w:rsidR="00E5201C" w:rsidRPr="00E27197" w:rsidRDefault="00E5201C" w:rsidP="00E27197">
      <w:pPr>
        <w:jc w:val="both"/>
        <w:rPr>
          <w:rFonts w:ascii="Arial" w:hAnsi="Arial" w:cs="Arial"/>
          <w:sz w:val="24"/>
          <w:szCs w:val="24"/>
        </w:rPr>
      </w:pP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t>Etienne Visser Attorneys</w:t>
      </w:r>
    </w:p>
    <w:p w:rsidR="00E5201C" w:rsidRPr="00E27197" w:rsidRDefault="00E5201C" w:rsidP="00E27197">
      <w:pPr>
        <w:jc w:val="both"/>
        <w:rPr>
          <w:rFonts w:ascii="Arial" w:hAnsi="Arial" w:cs="Arial"/>
          <w:b/>
          <w:sz w:val="24"/>
          <w:szCs w:val="24"/>
        </w:rPr>
      </w:pP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b/>
          <w:sz w:val="24"/>
          <w:szCs w:val="24"/>
        </w:rPr>
        <w:t>BLOEMFONTEIN</w:t>
      </w:r>
    </w:p>
    <w:p w:rsidR="00E5201C" w:rsidRPr="00E27197" w:rsidRDefault="00E5201C" w:rsidP="00E27197">
      <w:pPr>
        <w:jc w:val="both"/>
        <w:rPr>
          <w:rFonts w:ascii="Arial" w:hAnsi="Arial" w:cs="Arial"/>
          <w:sz w:val="24"/>
          <w:szCs w:val="24"/>
        </w:rPr>
      </w:pPr>
      <w:r w:rsidRPr="00E27197">
        <w:rPr>
          <w:rFonts w:ascii="Arial" w:hAnsi="Arial" w:cs="Arial"/>
          <w:b/>
          <w:sz w:val="24"/>
          <w:szCs w:val="24"/>
        </w:rPr>
        <w:tab/>
      </w:r>
      <w:r w:rsidRPr="00E27197">
        <w:rPr>
          <w:rFonts w:ascii="Arial" w:hAnsi="Arial" w:cs="Arial"/>
          <w:b/>
          <w:sz w:val="24"/>
          <w:szCs w:val="24"/>
        </w:rPr>
        <w:tab/>
      </w:r>
      <w:r w:rsidRPr="00E27197">
        <w:rPr>
          <w:rFonts w:ascii="Arial" w:hAnsi="Arial" w:cs="Arial"/>
          <w:b/>
          <w:sz w:val="24"/>
          <w:szCs w:val="24"/>
        </w:rPr>
        <w:tab/>
      </w:r>
      <w:r w:rsidRPr="00E27197">
        <w:rPr>
          <w:rFonts w:ascii="Arial" w:hAnsi="Arial" w:cs="Arial"/>
          <w:b/>
          <w:sz w:val="24"/>
          <w:szCs w:val="24"/>
        </w:rPr>
        <w:tab/>
      </w:r>
      <w:r w:rsidRPr="00E27197">
        <w:rPr>
          <w:rFonts w:ascii="Arial" w:hAnsi="Arial" w:cs="Arial"/>
          <w:b/>
          <w:sz w:val="24"/>
          <w:szCs w:val="24"/>
        </w:rPr>
        <w:tab/>
      </w:r>
      <w:r w:rsidRPr="00E27197">
        <w:rPr>
          <w:rFonts w:ascii="Arial" w:hAnsi="Arial" w:cs="Arial"/>
          <w:b/>
          <w:sz w:val="24"/>
          <w:szCs w:val="24"/>
        </w:rPr>
        <w:tab/>
      </w:r>
      <w:r w:rsidRPr="00E27197">
        <w:rPr>
          <w:rFonts w:ascii="Arial" w:hAnsi="Arial" w:cs="Arial"/>
          <w:sz w:val="24"/>
          <w:szCs w:val="24"/>
        </w:rPr>
        <w:t>c/o Van Den Heever Inc.</w:t>
      </w:r>
    </w:p>
    <w:p w:rsidR="00E5201C" w:rsidRPr="00E27197" w:rsidRDefault="00E5201C" w:rsidP="00E27197">
      <w:pPr>
        <w:jc w:val="both"/>
        <w:rPr>
          <w:rFonts w:ascii="Arial" w:hAnsi="Arial" w:cs="Arial"/>
          <w:b/>
          <w:sz w:val="24"/>
          <w:szCs w:val="24"/>
        </w:rPr>
      </w:pP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sz w:val="24"/>
          <w:szCs w:val="24"/>
        </w:rPr>
        <w:tab/>
      </w:r>
      <w:r w:rsidRPr="00E27197">
        <w:rPr>
          <w:rFonts w:ascii="Arial" w:hAnsi="Arial" w:cs="Arial"/>
          <w:b/>
          <w:sz w:val="24"/>
          <w:szCs w:val="24"/>
        </w:rPr>
        <w:t>KIMBERLEY</w:t>
      </w:r>
    </w:p>
    <w:p w:rsidR="00E5201C" w:rsidRPr="00E27197" w:rsidRDefault="00E5201C" w:rsidP="00E27197">
      <w:pPr>
        <w:rPr>
          <w:rFonts w:ascii="Arial" w:hAnsi="Arial" w:cs="Arial"/>
          <w:b/>
          <w:sz w:val="24"/>
          <w:szCs w:val="24"/>
        </w:rPr>
      </w:pPr>
    </w:p>
    <w:sectPr w:rsidR="00E5201C" w:rsidRPr="00E27197" w:rsidSect="002D15B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E25" w:rsidRDefault="00993E25" w:rsidP="00E41A3E">
      <w:r>
        <w:separator/>
      </w:r>
    </w:p>
  </w:endnote>
  <w:endnote w:type="continuationSeparator" w:id="0">
    <w:p w:rsidR="00993E25" w:rsidRDefault="00993E25" w:rsidP="00E4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E25" w:rsidRDefault="00993E25" w:rsidP="00E41A3E">
      <w:r>
        <w:separator/>
      </w:r>
    </w:p>
  </w:footnote>
  <w:footnote w:type="continuationSeparator" w:id="0">
    <w:p w:rsidR="00993E25" w:rsidRDefault="00993E25" w:rsidP="00E41A3E">
      <w:r>
        <w:continuationSeparator/>
      </w:r>
    </w:p>
  </w:footnote>
  <w:footnote w:id="1">
    <w:p w:rsidR="00E41A3E" w:rsidRPr="00E27197" w:rsidRDefault="00E41A3E">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Act 34 of 2005.</w:t>
      </w:r>
    </w:p>
  </w:footnote>
  <w:footnote w:id="2">
    <w:p w:rsidR="00E41A3E" w:rsidRPr="00E27197" w:rsidRDefault="00E41A3E">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Act 24 of 1936.</w:t>
      </w:r>
    </w:p>
  </w:footnote>
  <w:footnote w:id="3">
    <w:p w:rsidR="00320F64" w:rsidRPr="00E27197" w:rsidRDefault="004B3176" w:rsidP="004C6009">
      <w:pPr>
        <w:pStyle w:val="FootnoteText"/>
        <w:rPr>
          <w:rFonts w:ascii="Arial" w:hAnsi="Arial" w:cs="Arial"/>
          <w:b/>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r>
      <w:r w:rsidR="00C03D09" w:rsidRPr="00E27197">
        <w:rPr>
          <w:rFonts w:ascii="Arial" w:hAnsi="Arial" w:cs="Arial"/>
          <w:b/>
        </w:rPr>
        <w:t>Treasure Karoo Action Group &amp; Ano</w:t>
      </w:r>
      <w:r w:rsidR="004C6009" w:rsidRPr="00E27197">
        <w:rPr>
          <w:rFonts w:ascii="Arial" w:hAnsi="Arial" w:cs="Arial"/>
          <w:b/>
        </w:rPr>
        <w:t>ther</w:t>
      </w:r>
      <w:r w:rsidR="00C03D09" w:rsidRPr="00E27197">
        <w:rPr>
          <w:rFonts w:ascii="Arial" w:hAnsi="Arial" w:cs="Arial"/>
          <w:b/>
        </w:rPr>
        <w:t xml:space="preserve"> v Department of Mineral Resources </w:t>
      </w:r>
    </w:p>
    <w:p w:rsidR="004B3176" w:rsidRPr="00E27197" w:rsidRDefault="00C03D09" w:rsidP="00320F64">
      <w:pPr>
        <w:pStyle w:val="FootnoteText"/>
        <w:ind w:left="720"/>
        <w:rPr>
          <w:rFonts w:ascii="Arial" w:hAnsi="Arial" w:cs="Arial"/>
        </w:rPr>
      </w:pPr>
      <w:r w:rsidRPr="00E27197">
        <w:rPr>
          <w:rFonts w:ascii="Arial" w:hAnsi="Arial" w:cs="Arial"/>
          <w:b/>
        </w:rPr>
        <w:t xml:space="preserve">&amp; Others </w:t>
      </w:r>
      <w:r w:rsidRPr="00E27197">
        <w:rPr>
          <w:rFonts w:ascii="Arial" w:hAnsi="Arial" w:cs="Arial"/>
        </w:rPr>
        <w:t xml:space="preserve">[2018] 3 All SA 896 (GP), par [10]. Also see </w:t>
      </w:r>
      <w:r w:rsidRPr="00E27197">
        <w:rPr>
          <w:rFonts w:ascii="Arial" w:hAnsi="Arial" w:cs="Arial"/>
          <w:b/>
        </w:rPr>
        <w:t xml:space="preserve">Skjelbreds Rederi A/S &amp; Others v Hartless (Pty) Ltd </w:t>
      </w:r>
      <w:r w:rsidRPr="00E27197">
        <w:rPr>
          <w:rFonts w:ascii="Arial" w:hAnsi="Arial" w:cs="Arial"/>
        </w:rPr>
        <w:t>[1982] 1 All SA 1 (W)</w:t>
      </w:r>
      <w:r w:rsidR="00320F64" w:rsidRPr="00E27197">
        <w:rPr>
          <w:rFonts w:ascii="Arial" w:hAnsi="Arial" w:cs="Arial"/>
        </w:rPr>
        <w:t xml:space="preserve">, </w:t>
      </w:r>
      <w:r w:rsidRPr="00E27197">
        <w:rPr>
          <w:rFonts w:ascii="Arial" w:hAnsi="Arial" w:cs="Arial"/>
        </w:rPr>
        <w:t>at page</w:t>
      </w:r>
      <w:r w:rsidR="00320F64" w:rsidRPr="00E27197">
        <w:rPr>
          <w:rFonts w:ascii="Arial" w:hAnsi="Arial" w:cs="Arial"/>
        </w:rPr>
        <w:t xml:space="preserve"> 3.</w:t>
      </w:r>
    </w:p>
  </w:footnote>
  <w:footnote w:id="4">
    <w:p w:rsidR="000271A5" w:rsidRPr="00E27197" w:rsidRDefault="000271A5">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See </w:t>
      </w:r>
      <w:r w:rsidRPr="00E27197">
        <w:rPr>
          <w:rFonts w:ascii="Arial" w:hAnsi="Arial" w:cs="Arial"/>
          <w:b/>
        </w:rPr>
        <w:t xml:space="preserve">Rule 6(12)(b) </w:t>
      </w:r>
      <w:r w:rsidRPr="00E27197">
        <w:rPr>
          <w:rFonts w:ascii="Arial" w:hAnsi="Arial" w:cs="Arial"/>
        </w:rPr>
        <w:t>of the Rules.</w:t>
      </w:r>
    </w:p>
  </w:footnote>
  <w:footnote w:id="5">
    <w:p w:rsidR="00E460CB" w:rsidRPr="00E27197" w:rsidRDefault="00E460CB">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I suspect that this is a tying error and that “</w:t>
      </w:r>
      <w:r w:rsidRPr="00E27197">
        <w:rPr>
          <w:rFonts w:ascii="Arial" w:hAnsi="Arial" w:cs="Arial"/>
          <w:i/>
        </w:rPr>
        <w:t>Applicant</w:t>
      </w:r>
      <w:r w:rsidRPr="00E27197">
        <w:rPr>
          <w:rFonts w:ascii="Arial" w:hAnsi="Arial" w:cs="Arial"/>
        </w:rPr>
        <w:t xml:space="preserve">” should in </w:t>
      </w:r>
    </w:p>
    <w:p w:rsidR="00E460CB" w:rsidRPr="00E27197" w:rsidRDefault="00E460CB" w:rsidP="00E460CB">
      <w:pPr>
        <w:pStyle w:val="FootnoteText"/>
        <w:ind w:firstLine="720"/>
        <w:rPr>
          <w:rFonts w:ascii="Arial" w:hAnsi="Arial" w:cs="Arial"/>
        </w:rPr>
      </w:pPr>
      <w:r w:rsidRPr="00E27197">
        <w:rPr>
          <w:rFonts w:ascii="Arial" w:hAnsi="Arial" w:cs="Arial"/>
        </w:rPr>
        <w:t>fact read “</w:t>
      </w:r>
      <w:r w:rsidRPr="00E27197">
        <w:rPr>
          <w:rFonts w:ascii="Arial" w:hAnsi="Arial" w:cs="Arial"/>
          <w:i/>
        </w:rPr>
        <w:t>Respondent</w:t>
      </w:r>
      <w:r w:rsidRPr="00E27197">
        <w:rPr>
          <w:rFonts w:ascii="Arial" w:hAnsi="Arial" w:cs="Arial"/>
        </w:rPr>
        <w:t>” with reference to Van Der Ryst.</w:t>
      </w:r>
    </w:p>
  </w:footnote>
  <w:footnote w:id="6">
    <w:p w:rsidR="00C04A03" w:rsidRPr="00E27197" w:rsidRDefault="00C04A03">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Referring obviously to </w:t>
      </w:r>
      <w:r w:rsidR="0093089F" w:rsidRPr="00E27197">
        <w:rPr>
          <w:rFonts w:ascii="Arial" w:hAnsi="Arial" w:cs="Arial"/>
        </w:rPr>
        <w:t>Van Der</w:t>
      </w:r>
      <w:r w:rsidRPr="00E27197">
        <w:rPr>
          <w:rFonts w:ascii="Arial" w:hAnsi="Arial" w:cs="Arial"/>
        </w:rPr>
        <w:t xml:space="preserve"> Ryst.</w:t>
      </w:r>
    </w:p>
  </w:footnote>
  <w:footnote w:id="7">
    <w:p w:rsidR="00B53F19" w:rsidRPr="00E27197" w:rsidRDefault="00B53F19">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The said Answering Affidavit was filed a few days out of time as it </w:t>
      </w:r>
    </w:p>
    <w:p w:rsidR="00B53F19" w:rsidRPr="00E27197" w:rsidRDefault="00B53F19" w:rsidP="00B53F19">
      <w:pPr>
        <w:pStyle w:val="FootnoteText"/>
        <w:ind w:firstLine="720"/>
        <w:rPr>
          <w:rFonts w:ascii="Arial" w:hAnsi="Arial" w:cs="Arial"/>
        </w:rPr>
      </w:pPr>
      <w:r w:rsidRPr="00E27197">
        <w:rPr>
          <w:rFonts w:ascii="Arial" w:hAnsi="Arial" w:cs="Arial"/>
        </w:rPr>
        <w:t>apparently had to be filed by 1 September 2023.</w:t>
      </w:r>
    </w:p>
  </w:footnote>
  <w:footnote w:id="8">
    <w:p w:rsidR="0030462A" w:rsidRPr="00E27197" w:rsidRDefault="0030462A">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[2012] JOL 28244 (GSJ).</w:t>
      </w:r>
    </w:p>
  </w:footnote>
  <w:footnote w:id="9">
    <w:p w:rsidR="000146E9" w:rsidRPr="00E27197" w:rsidRDefault="000146E9">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r>
      <w:r w:rsidRPr="00E27197">
        <w:rPr>
          <w:rFonts w:ascii="Arial" w:hAnsi="Arial" w:cs="Arial"/>
          <w:b/>
        </w:rPr>
        <w:t>East Rock Trading 7 (Pty) Ltd</w:t>
      </w:r>
      <w:r w:rsidRPr="00E27197">
        <w:rPr>
          <w:rFonts w:ascii="Arial" w:hAnsi="Arial" w:cs="Arial"/>
        </w:rPr>
        <w:t xml:space="preserve">, </w:t>
      </w:r>
      <w:r w:rsidRPr="00E27197">
        <w:rPr>
          <w:rFonts w:ascii="Arial" w:hAnsi="Arial" w:cs="Arial"/>
          <w:i/>
        </w:rPr>
        <w:t>supra</w:t>
      </w:r>
      <w:r w:rsidRPr="00E27197">
        <w:rPr>
          <w:rFonts w:ascii="Arial" w:hAnsi="Arial" w:cs="Arial"/>
        </w:rPr>
        <w:t xml:space="preserve"> at paragraph [6].</w:t>
      </w:r>
    </w:p>
  </w:footnote>
  <w:footnote w:id="10">
    <w:p w:rsidR="006C0550" w:rsidRPr="00E27197" w:rsidRDefault="00A11F40">
      <w:pPr>
        <w:pStyle w:val="FootnoteText"/>
        <w:rPr>
          <w:rFonts w:ascii="Arial" w:hAnsi="Arial" w:cs="Arial"/>
          <w:b/>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See </w:t>
      </w:r>
      <w:r w:rsidR="006C0550" w:rsidRPr="00E27197">
        <w:rPr>
          <w:rFonts w:ascii="Arial" w:hAnsi="Arial" w:cs="Arial"/>
          <w:b/>
        </w:rPr>
        <w:t xml:space="preserve">Magricor (Pty) Ltd v Border Seed Distributors CC: </w:t>
      </w:r>
      <w:r w:rsidR="006C0550" w:rsidRPr="00E27197">
        <w:rPr>
          <w:rFonts w:ascii="Arial" w:hAnsi="Arial" w:cs="Arial"/>
          <w:b/>
          <w:i/>
        </w:rPr>
        <w:t>In re</w:t>
      </w:r>
      <w:r w:rsidR="006C0550" w:rsidRPr="00E27197">
        <w:rPr>
          <w:rFonts w:ascii="Arial" w:hAnsi="Arial" w:cs="Arial"/>
          <w:b/>
        </w:rPr>
        <w:t xml:space="preserve">: Border </w:t>
      </w:r>
    </w:p>
    <w:p w:rsidR="00A11F40" w:rsidRPr="00E27197" w:rsidRDefault="006C0550" w:rsidP="006C0550">
      <w:pPr>
        <w:pStyle w:val="FootnoteText"/>
        <w:ind w:left="720"/>
        <w:rPr>
          <w:rFonts w:ascii="Arial" w:hAnsi="Arial" w:cs="Arial"/>
        </w:rPr>
      </w:pPr>
      <w:r w:rsidRPr="00E27197">
        <w:rPr>
          <w:rFonts w:ascii="Arial" w:hAnsi="Arial" w:cs="Arial"/>
          <w:b/>
        </w:rPr>
        <w:t xml:space="preserve">Seed Distributors CC v Magricor (Pty) Ltd </w:t>
      </w:r>
      <w:r w:rsidRPr="00E27197">
        <w:rPr>
          <w:rFonts w:ascii="Arial" w:hAnsi="Arial" w:cs="Arial"/>
        </w:rPr>
        <w:t>[2020] ZAECGHC 103 (SAFLII Reference)</w:t>
      </w:r>
      <w:r w:rsidR="00745585" w:rsidRPr="00E27197">
        <w:rPr>
          <w:rFonts w:ascii="Arial" w:hAnsi="Arial" w:cs="Arial"/>
        </w:rPr>
        <w:t>at paragraph 38</w:t>
      </w:r>
      <w:r w:rsidRPr="00E27197">
        <w:rPr>
          <w:rFonts w:ascii="Arial" w:hAnsi="Arial" w:cs="Arial"/>
        </w:rPr>
        <w:t>.</w:t>
      </w:r>
    </w:p>
  </w:footnote>
  <w:footnote w:id="11">
    <w:p w:rsidR="00651289" w:rsidRPr="00E27197" w:rsidRDefault="00651289">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r>
      <w:r w:rsidR="00446462" w:rsidRPr="00E27197">
        <w:rPr>
          <w:rFonts w:ascii="Arial" w:hAnsi="Arial" w:cs="Arial"/>
        </w:rPr>
        <w:t>[2013] ZAECMHC 14 (SAFLII Reference).</w:t>
      </w:r>
    </w:p>
  </w:footnote>
  <w:footnote w:id="12">
    <w:p w:rsidR="00446462" w:rsidRPr="00E27197" w:rsidRDefault="00446462">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r>
      <w:r w:rsidRPr="00E27197">
        <w:rPr>
          <w:rFonts w:ascii="Arial" w:hAnsi="Arial" w:cs="Arial"/>
          <w:i/>
        </w:rPr>
        <w:t>Supra</w:t>
      </w:r>
      <w:r w:rsidRPr="00E27197">
        <w:rPr>
          <w:rFonts w:ascii="Arial" w:hAnsi="Arial" w:cs="Arial"/>
        </w:rPr>
        <w:t>, at paragraph [10].</w:t>
      </w:r>
    </w:p>
  </w:footnote>
  <w:footnote w:id="13">
    <w:p w:rsidR="00F378E8" w:rsidRPr="00E27197" w:rsidRDefault="00F378E8">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r>
      <w:r w:rsidRPr="00E27197">
        <w:rPr>
          <w:rFonts w:ascii="Arial" w:hAnsi="Arial" w:cs="Arial"/>
          <w:b/>
        </w:rPr>
        <w:t xml:space="preserve">MTN Service Provider (Pty) Ltd v Afro Call (Pty) Ltd </w:t>
      </w:r>
      <w:r w:rsidRPr="00E27197">
        <w:rPr>
          <w:rFonts w:ascii="Arial" w:hAnsi="Arial" w:cs="Arial"/>
        </w:rPr>
        <w:t xml:space="preserve">[2008] 1 All SA </w:t>
      </w:r>
    </w:p>
    <w:p w:rsidR="00F378E8" w:rsidRPr="00E27197" w:rsidRDefault="00F378E8" w:rsidP="00F378E8">
      <w:pPr>
        <w:pStyle w:val="FootnoteText"/>
        <w:ind w:firstLine="720"/>
        <w:rPr>
          <w:rFonts w:ascii="Arial" w:hAnsi="Arial" w:cs="Arial"/>
        </w:rPr>
      </w:pPr>
      <w:r w:rsidRPr="00E27197">
        <w:rPr>
          <w:rFonts w:ascii="Arial" w:hAnsi="Arial" w:cs="Arial"/>
        </w:rPr>
        <w:t>329 (SCA) at paragraph [15].</w:t>
      </w:r>
    </w:p>
  </w:footnote>
  <w:footnote w:id="14">
    <w:p w:rsidR="002468EF" w:rsidRPr="00E27197" w:rsidRDefault="002468EF">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1938 AD 102.</w:t>
      </w:r>
    </w:p>
  </w:footnote>
  <w:footnote w:id="15">
    <w:p w:rsidR="00C65FEC" w:rsidRPr="00E27197" w:rsidRDefault="009E797D">
      <w:pPr>
        <w:pStyle w:val="FootnoteText"/>
        <w:rPr>
          <w:rFonts w:ascii="Arial" w:hAnsi="Arial" w:cs="Arial"/>
          <w:b/>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See </w:t>
      </w:r>
      <w:r w:rsidRPr="00E27197">
        <w:rPr>
          <w:rFonts w:ascii="Arial" w:hAnsi="Arial" w:cs="Arial"/>
          <w:b/>
        </w:rPr>
        <w:t>Ecker</w:t>
      </w:r>
      <w:r w:rsidRPr="00E27197">
        <w:rPr>
          <w:rFonts w:ascii="Arial" w:hAnsi="Arial" w:cs="Arial"/>
        </w:rPr>
        <w:t xml:space="preserve">, </w:t>
      </w:r>
      <w:r w:rsidRPr="00E27197">
        <w:rPr>
          <w:rFonts w:ascii="Arial" w:hAnsi="Arial" w:cs="Arial"/>
          <w:i/>
        </w:rPr>
        <w:t>supra</w:t>
      </w:r>
      <w:r w:rsidRPr="00E27197">
        <w:rPr>
          <w:rFonts w:ascii="Arial" w:hAnsi="Arial" w:cs="Arial"/>
        </w:rPr>
        <w:t xml:space="preserve"> at page 110.</w:t>
      </w:r>
      <w:r w:rsidR="00C65FEC" w:rsidRPr="00E27197">
        <w:rPr>
          <w:rFonts w:ascii="Arial" w:hAnsi="Arial" w:cs="Arial"/>
        </w:rPr>
        <w:t xml:space="preserve"> Also see </w:t>
      </w:r>
      <w:r w:rsidR="00C65FEC" w:rsidRPr="00E27197">
        <w:rPr>
          <w:rFonts w:ascii="Arial" w:hAnsi="Arial" w:cs="Arial"/>
          <w:b/>
        </w:rPr>
        <w:t xml:space="preserve">Boost Sports Africa (Pty) Ltd v </w:t>
      </w:r>
    </w:p>
    <w:p w:rsidR="009E797D" w:rsidRPr="00E27197" w:rsidRDefault="00C65FEC" w:rsidP="00C65FEC">
      <w:pPr>
        <w:pStyle w:val="FootnoteText"/>
        <w:ind w:left="720"/>
        <w:rPr>
          <w:rFonts w:ascii="Arial" w:hAnsi="Arial" w:cs="Arial"/>
        </w:rPr>
      </w:pPr>
      <w:r w:rsidRPr="00E27197">
        <w:rPr>
          <w:rFonts w:ascii="Arial" w:hAnsi="Arial" w:cs="Arial"/>
          <w:b/>
        </w:rPr>
        <w:t xml:space="preserve">South Africa Breweries (Pty) Ltd </w:t>
      </w:r>
      <w:r w:rsidRPr="00E27197">
        <w:rPr>
          <w:rFonts w:ascii="Arial" w:hAnsi="Arial" w:cs="Arial"/>
        </w:rPr>
        <w:t>[2015] 3 All SA 255 (SCA) at paragraph [16].</w:t>
      </w:r>
    </w:p>
  </w:footnote>
  <w:footnote w:id="16">
    <w:p w:rsidR="00442488" w:rsidRPr="00E27197" w:rsidRDefault="000521EE">
      <w:pPr>
        <w:pStyle w:val="FootnoteText"/>
        <w:rPr>
          <w:rFonts w:ascii="Arial" w:hAnsi="Arial" w:cs="Arial"/>
          <w:b/>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r>
      <w:r w:rsidRPr="00E27197">
        <w:rPr>
          <w:rFonts w:ascii="Arial" w:hAnsi="Arial" w:cs="Arial"/>
          <w:b/>
        </w:rPr>
        <w:t>Ecker</w:t>
      </w:r>
      <w:r w:rsidRPr="00E27197">
        <w:rPr>
          <w:rFonts w:ascii="Arial" w:hAnsi="Arial" w:cs="Arial"/>
        </w:rPr>
        <w:t xml:space="preserve">, </w:t>
      </w:r>
      <w:r w:rsidRPr="00E27197">
        <w:rPr>
          <w:rFonts w:ascii="Arial" w:hAnsi="Arial" w:cs="Arial"/>
          <w:i/>
        </w:rPr>
        <w:t xml:space="preserve">supra </w:t>
      </w:r>
      <w:r w:rsidRPr="00E27197">
        <w:rPr>
          <w:rFonts w:ascii="Arial" w:hAnsi="Arial" w:cs="Arial"/>
        </w:rPr>
        <w:t>at page 111.</w:t>
      </w:r>
      <w:r w:rsidR="00442488" w:rsidRPr="00E27197">
        <w:rPr>
          <w:rFonts w:ascii="Arial" w:hAnsi="Arial" w:cs="Arial"/>
        </w:rPr>
        <w:t xml:space="preserve"> Also see </w:t>
      </w:r>
      <w:r w:rsidR="00442488" w:rsidRPr="00E27197">
        <w:rPr>
          <w:rFonts w:ascii="Arial" w:hAnsi="Arial" w:cs="Arial"/>
          <w:b/>
        </w:rPr>
        <w:t xml:space="preserve">Ramsamy NO &amp; Others v Maarman NO &amp; </w:t>
      </w:r>
    </w:p>
    <w:p w:rsidR="000521EE" w:rsidRPr="00E27197" w:rsidRDefault="00442488" w:rsidP="00442488">
      <w:pPr>
        <w:pStyle w:val="FootnoteText"/>
        <w:ind w:firstLine="720"/>
        <w:rPr>
          <w:rFonts w:ascii="Arial" w:hAnsi="Arial" w:cs="Arial"/>
        </w:rPr>
      </w:pPr>
      <w:r w:rsidRPr="00E27197">
        <w:rPr>
          <w:rFonts w:ascii="Arial" w:hAnsi="Arial" w:cs="Arial"/>
          <w:b/>
        </w:rPr>
        <w:t xml:space="preserve">Another </w:t>
      </w:r>
      <w:r w:rsidRPr="00E27197">
        <w:rPr>
          <w:rFonts w:ascii="Arial" w:hAnsi="Arial" w:cs="Arial"/>
        </w:rPr>
        <w:t>2002 (6) SA 159 (C) at page 173.</w:t>
      </w:r>
    </w:p>
  </w:footnote>
  <w:footnote w:id="17">
    <w:p w:rsidR="009729C7" w:rsidRPr="00E27197" w:rsidRDefault="008325A0">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See </w:t>
      </w:r>
      <w:r w:rsidRPr="00E27197">
        <w:rPr>
          <w:rFonts w:ascii="Arial" w:hAnsi="Arial" w:cs="Arial"/>
          <w:i/>
        </w:rPr>
        <w:t xml:space="preserve">inter alia </w:t>
      </w:r>
      <w:r w:rsidRPr="00E27197">
        <w:rPr>
          <w:rFonts w:ascii="Arial" w:hAnsi="Arial" w:cs="Arial"/>
          <w:b/>
        </w:rPr>
        <w:t xml:space="preserve">Fitchet v Fitchet </w:t>
      </w:r>
      <w:r w:rsidRPr="00E27197">
        <w:rPr>
          <w:rFonts w:ascii="Arial" w:hAnsi="Arial" w:cs="Arial"/>
        </w:rPr>
        <w:t xml:space="preserve">[1987] 4 All SA 14 (E) at page 17 as </w:t>
      </w:r>
    </w:p>
    <w:p w:rsidR="008325A0" w:rsidRPr="00E27197" w:rsidRDefault="008325A0" w:rsidP="009729C7">
      <w:pPr>
        <w:pStyle w:val="FootnoteText"/>
        <w:ind w:left="720"/>
        <w:rPr>
          <w:rFonts w:ascii="Arial" w:hAnsi="Arial" w:cs="Arial"/>
        </w:rPr>
      </w:pPr>
      <w:r w:rsidRPr="00E27197">
        <w:rPr>
          <w:rFonts w:ascii="Arial" w:hAnsi="Arial" w:cs="Arial"/>
        </w:rPr>
        <w:t xml:space="preserve">well as the matter of </w:t>
      </w:r>
      <w:r w:rsidRPr="00E27197">
        <w:rPr>
          <w:rFonts w:ascii="Arial" w:hAnsi="Arial" w:cs="Arial"/>
          <w:b/>
        </w:rPr>
        <w:t xml:space="preserve">Zietsman v Electronic Media Network &amp; Others </w:t>
      </w:r>
      <w:r w:rsidRPr="00E27197">
        <w:rPr>
          <w:rFonts w:ascii="Arial" w:hAnsi="Arial" w:cs="Arial"/>
        </w:rPr>
        <w:t>[2008] 2 All SA 523 (SCA) at page 4.</w:t>
      </w:r>
    </w:p>
  </w:footnote>
  <w:footnote w:id="18">
    <w:p w:rsidR="00442488" w:rsidRPr="00E27197" w:rsidRDefault="00442488">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r>
      <w:r w:rsidRPr="00E27197">
        <w:rPr>
          <w:rFonts w:ascii="Arial" w:hAnsi="Arial" w:cs="Arial"/>
          <w:b/>
        </w:rPr>
        <w:t xml:space="preserve">Belmont House (Pty) Ltd v Gore &amp; Another NNO </w:t>
      </w:r>
      <w:r w:rsidRPr="00E27197">
        <w:rPr>
          <w:rFonts w:ascii="Arial" w:hAnsi="Arial" w:cs="Arial"/>
        </w:rPr>
        <w:t xml:space="preserve">2011 (6) SA 173 (WCC) at </w:t>
      </w:r>
    </w:p>
    <w:p w:rsidR="00442488" w:rsidRPr="00E27197" w:rsidRDefault="00442488" w:rsidP="00442488">
      <w:pPr>
        <w:pStyle w:val="FootnoteText"/>
        <w:ind w:firstLine="720"/>
        <w:rPr>
          <w:rFonts w:ascii="Arial" w:hAnsi="Arial" w:cs="Arial"/>
        </w:rPr>
      </w:pPr>
      <w:r w:rsidRPr="00E27197">
        <w:rPr>
          <w:rFonts w:ascii="Arial" w:hAnsi="Arial" w:cs="Arial"/>
        </w:rPr>
        <w:t>page 178.</w:t>
      </w:r>
    </w:p>
  </w:footnote>
  <w:footnote w:id="19">
    <w:p w:rsidR="00E82403" w:rsidRPr="00E27197" w:rsidRDefault="00E82403">
      <w:pPr>
        <w:pStyle w:val="FootnoteText"/>
        <w:rPr>
          <w:rFonts w:ascii="Arial" w:hAnsi="Arial" w:cs="Arial"/>
          <w:b/>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r>
      <w:r w:rsidRPr="00E27197">
        <w:rPr>
          <w:rFonts w:ascii="Arial" w:hAnsi="Arial" w:cs="Arial"/>
          <w:b/>
        </w:rPr>
        <w:t xml:space="preserve">Fisheries Development Corporation of SA Ltd v Jorgensen &amp; Another; </w:t>
      </w:r>
    </w:p>
    <w:p w:rsidR="00E82403" w:rsidRPr="00E27197" w:rsidRDefault="00E82403" w:rsidP="00E82403">
      <w:pPr>
        <w:pStyle w:val="FootnoteText"/>
        <w:ind w:left="720"/>
        <w:rPr>
          <w:rFonts w:ascii="Arial" w:hAnsi="Arial" w:cs="Arial"/>
        </w:rPr>
      </w:pPr>
      <w:r w:rsidRPr="00E27197">
        <w:rPr>
          <w:rFonts w:ascii="Arial" w:hAnsi="Arial" w:cs="Arial"/>
          <w:b/>
        </w:rPr>
        <w:t xml:space="preserve">Fisheries Development Corporation of SA Ltd v AWJ Investments (Pty) Ltd &amp; Others </w:t>
      </w:r>
      <w:r w:rsidRPr="00E27197">
        <w:rPr>
          <w:rFonts w:ascii="Arial" w:hAnsi="Arial" w:cs="Arial"/>
        </w:rPr>
        <w:t>1979 (3) SA 1331 (TPD) at page 1339.</w:t>
      </w:r>
    </w:p>
  </w:footnote>
  <w:footnote w:id="20">
    <w:p w:rsidR="0061230A" w:rsidRPr="00E27197" w:rsidRDefault="0061230A">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See </w:t>
      </w:r>
      <w:r w:rsidRPr="00E27197">
        <w:rPr>
          <w:rFonts w:ascii="Arial" w:hAnsi="Arial" w:cs="Arial"/>
          <w:b/>
        </w:rPr>
        <w:t xml:space="preserve">African Farms and Townships Ltd v Cape Town Municipality </w:t>
      </w:r>
      <w:r w:rsidRPr="00E27197">
        <w:rPr>
          <w:rFonts w:ascii="Arial" w:hAnsi="Arial" w:cs="Arial"/>
        </w:rPr>
        <w:t xml:space="preserve">1963 (2) </w:t>
      </w:r>
    </w:p>
    <w:p w:rsidR="0061230A" w:rsidRPr="00E27197" w:rsidRDefault="0061230A" w:rsidP="0061230A">
      <w:pPr>
        <w:pStyle w:val="FootnoteText"/>
        <w:ind w:firstLine="720"/>
        <w:rPr>
          <w:rFonts w:ascii="Arial" w:hAnsi="Arial" w:cs="Arial"/>
        </w:rPr>
      </w:pPr>
      <w:r w:rsidRPr="00E27197">
        <w:rPr>
          <w:rFonts w:ascii="Arial" w:hAnsi="Arial" w:cs="Arial"/>
        </w:rPr>
        <w:t>SA 555 (A) at page 565.</w:t>
      </w:r>
    </w:p>
  </w:footnote>
  <w:footnote w:id="21">
    <w:p w:rsidR="00692570" w:rsidRPr="00E27197" w:rsidRDefault="00692570">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[1997] 2 All SA 241 (A).</w:t>
      </w:r>
    </w:p>
  </w:footnote>
  <w:footnote w:id="22">
    <w:p w:rsidR="00252EC5" w:rsidRPr="00E27197" w:rsidRDefault="00252EC5">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See </w:t>
      </w:r>
      <w:r w:rsidRPr="00E27197">
        <w:rPr>
          <w:rFonts w:ascii="Arial" w:hAnsi="Arial" w:cs="Arial"/>
          <w:b/>
        </w:rPr>
        <w:t>Beinash</w:t>
      </w:r>
      <w:r w:rsidRPr="00E27197">
        <w:rPr>
          <w:rFonts w:ascii="Arial" w:hAnsi="Arial" w:cs="Arial"/>
        </w:rPr>
        <w:t xml:space="preserve">, </w:t>
      </w:r>
      <w:r w:rsidRPr="00E27197">
        <w:rPr>
          <w:rFonts w:ascii="Arial" w:hAnsi="Arial" w:cs="Arial"/>
          <w:i/>
        </w:rPr>
        <w:t xml:space="preserve">supra </w:t>
      </w:r>
      <w:r w:rsidRPr="00E27197">
        <w:rPr>
          <w:rFonts w:ascii="Arial" w:hAnsi="Arial" w:cs="Arial"/>
        </w:rPr>
        <w:t>at page 251.</w:t>
      </w:r>
    </w:p>
  </w:footnote>
  <w:footnote w:id="23">
    <w:p w:rsidR="00F07D41" w:rsidRPr="00E27197" w:rsidRDefault="00F07D41">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This is quoted from the Answering Affidavit in the Security Application </w:t>
      </w:r>
    </w:p>
    <w:p w:rsidR="00F07D41" w:rsidRPr="00E27197" w:rsidRDefault="00F07D41" w:rsidP="00F07D41">
      <w:pPr>
        <w:pStyle w:val="FootnoteText"/>
        <w:ind w:firstLine="720"/>
        <w:rPr>
          <w:rFonts w:ascii="Arial" w:hAnsi="Arial" w:cs="Arial"/>
        </w:rPr>
      </w:pPr>
      <w:r w:rsidRPr="00E27197">
        <w:rPr>
          <w:rFonts w:ascii="Arial" w:hAnsi="Arial" w:cs="Arial"/>
        </w:rPr>
        <w:t>and specifically paragraph 18.2 thereof.</w:t>
      </w:r>
    </w:p>
  </w:footnote>
  <w:footnote w:id="24">
    <w:p w:rsidR="006B3A3F" w:rsidRPr="00E27197" w:rsidRDefault="00234213">
      <w:pPr>
        <w:pStyle w:val="FootnoteText"/>
        <w:rPr>
          <w:rFonts w:ascii="Arial" w:hAnsi="Arial" w:cs="Arial"/>
          <w:b/>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See </w:t>
      </w:r>
      <w:r w:rsidRPr="00E27197">
        <w:rPr>
          <w:rFonts w:ascii="Arial" w:hAnsi="Arial" w:cs="Arial"/>
          <w:b/>
        </w:rPr>
        <w:t xml:space="preserve">R v Abbass </w:t>
      </w:r>
      <w:r w:rsidRPr="00E27197">
        <w:rPr>
          <w:rFonts w:ascii="Arial" w:hAnsi="Arial" w:cs="Arial"/>
        </w:rPr>
        <w:t>1916 AD 233 at page 235.</w:t>
      </w:r>
      <w:r w:rsidR="006B3A3F" w:rsidRPr="00E27197">
        <w:rPr>
          <w:rFonts w:ascii="Arial" w:hAnsi="Arial" w:cs="Arial"/>
        </w:rPr>
        <w:t xml:space="preserve"> See also the matter of </w:t>
      </w:r>
      <w:r w:rsidR="006B3A3F" w:rsidRPr="00E27197">
        <w:rPr>
          <w:rFonts w:ascii="Arial" w:hAnsi="Arial" w:cs="Arial"/>
          <w:b/>
        </w:rPr>
        <w:t xml:space="preserve">S v Di </w:t>
      </w:r>
    </w:p>
    <w:p w:rsidR="00234213" w:rsidRPr="00E27197" w:rsidRDefault="006B3A3F" w:rsidP="006B3A3F">
      <w:pPr>
        <w:pStyle w:val="FootnoteText"/>
        <w:ind w:firstLine="720"/>
        <w:rPr>
          <w:rFonts w:ascii="Arial" w:hAnsi="Arial" w:cs="Arial"/>
        </w:rPr>
      </w:pPr>
      <w:r w:rsidRPr="00E27197">
        <w:rPr>
          <w:rFonts w:ascii="Arial" w:hAnsi="Arial" w:cs="Arial"/>
          <w:b/>
        </w:rPr>
        <w:t xml:space="preserve">Stefano </w:t>
      </w:r>
      <w:r w:rsidRPr="00E27197">
        <w:rPr>
          <w:rFonts w:ascii="Arial" w:hAnsi="Arial" w:cs="Arial"/>
        </w:rPr>
        <w:t>[1977] 1 All SA 209 (C) at page 211.</w:t>
      </w:r>
    </w:p>
  </w:footnote>
  <w:footnote w:id="25">
    <w:p w:rsidR="00DE6948" w:rsidRPr="00E27197" w:rsidRDefault="00DE6948">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See </w:t>
      </w:r>
      <w:r w:rsidRPr="00E27197">
        <w:rPr>
          <w:rFonts w:ascii="Arial" w:hAnsi="Arial" w:cs="Arial"/>
          <w:b/>
        </w:rPr>
        <w:t xml:space="preserve">Section 40(3)(b) </w:t>
      </w:r>
      <w:r w:rsidRPr="00E27197">
        <w:rPr>
          <w:rFonts w:ascii="Arial" w:hAnsi="Arial" w:cs="Arial"/>
        </w:rPr>
        <w:t>of the Insolvency Act.</w:t>
      </w:r>
    </w:p>
  </w:footnote>
  <w:footnote w:id="26">
    <w:p w:rsidR="00EE111D" w:rsidRPr="00E27197" w:rsidRDefault="00EE111D">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1916 CPD 178 at page 185.</w:t>
      </w:r>
    </w:p>
  </w:footnote>
  <w:footnote w:id="27">
    <w:p w:rsidR="000A074A" w:rsidRPr="00E27197" w:rsidRDefault="00EE111D">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This decision was confirmed on appeal in the matter of </w:t>
      </w:r>
      <w:r w:rsidRPr="00E27197">
        <w:rPr>
          <w:rFonts w:ascii="Arial" w:hAnsi="Arial" w:cs="Arial"/>
          <w:b/>
        </w:rPr>
        <w:t xml:space="preserve">Abbass </w:t>
      </w:r>
      <w:r w:rsidR="003C68C4" w:rsidRPr="00E27197">
        <w:rPr>
          <w:rFonts w:ascii="Arial" w:hAnsi="Arial" w:cs="Arial"/>
        </w:rPr>
        <w:t xml:space="preserve">referred </w:t>
      </w:r>
    </w:p>
    <w:p w:rsidR="00EE111D" w:rsidRPr="00E27197" w:rsidRDefault="003C68C4" w:rsidP="000A074A">
      <w:pPr>
        <w:pStyle w:val="FootnoteText"/>
        <w:ind w:left="720"/>
        <w:rPr>
          <w:rFonts w:ascii="Arial" w:hAnsi="Arial" w:cs="Arial"/>
        </w:rPr>
      </w:pPr>
      <w:r w:rsidRPr="00E27197">
        <w:rPr>
          <w:rFonts w:ascii="Arial" w:hAnsi="Arial" w:cs="Arial"/>
        </w:rPr>
        <w:t>to in footnote 23 herein above.</w:t>
      </w:r>
      <w:r w:rsidR="000A074A" w:rsidRPr="00E27197">
        <w:rPr>
          <w:rFonts w:ascii="Arial" w:hAnsi="Arial" w:cs="Arial"/>
        </w:rPr>
        <w:t xml:space="preserve"> See also the matter of </w:t>
      </w:r>
      <w:r w:rsidR="000A074A" w:rsidRPr="00E27197">
        <w:rPr>
          <w:rFonts w:ascii="Arial" w:hAnsi="Arial" w:cs="Arial"/>
          <w:b/>
        </w:rPr>
        <w:t>Di Stefano</w:t>
      </w:r>
      <w:r w:rsidR="000A074A" w:rsidRPr="00E27197">
        <w:rPr>
          <w:rFonts w:ascii="Arial" w:hAnsi="Arial" w:cs="Arial"/>
        </w:rPr>
        <w:t xml:space="preserve">, </w:t>
      </w:r>
      <w:r w:rsidR="000A074A" w:rsidRPr="00E27197">
        <w:rPr>
          <w:rFonts w:ascii="Arial" w:hAnsi="Arial" w:cs="Arial"/>
          <w:i/>
        </w:rPr>
        <w:t>supra</w:t>
      </w:r>
      <w:r w:rsidR="00725E72" w:rsidRPr="00E27197">
        <w:rPr>
          <w:rFonts w:ascii="Arial" w:hAnsi="Arial" w:cs="Arial"/>
        </w:rPr>
        <w:t>.</w:t>
      </w:r>
    </w:p>
  </w:footnote>
  <w:footnote w:id="28">
    <w:p w:rsidR="00725E72" w:rsidRPr="00E27197" w:rsidRDefault="00725E72">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1916 CPD 692 at page 695.</w:t>
      </w:r>
    </w:p>
  </w:footnote>
  <w:footnote w:id="29">
    <w:p w:rsidR="00415CAC" w:rsidRPr="00E27197" w:rsidRDefault="00415CAC">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[2022] ZAGPPHC 476 (SAFLII Reference).</w:t>
      </w:r>
    </w:p>
  </w:footnote>
  <w:footnote w:id="30">
    <w:p w:rsidR="00415CAC" w:rsidRPr="00E27197" w:rsidRDefault="00415CAC">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See </w:t>
      </w:r>
      <w:r w:rsidRPr="00E27197">
        <w:rPr>
          <w:rFonts w:ascii="Arial" w:hAnsi="Arial" w:cs="Arial"/>
          <w:b/>
        </w:rPr>
        <w:t>Sithole NO</w:t>
      </w:r>
      <w:r w:rsidRPr="00E27197">
        <w:rPr>
          <w:rFonts w:ascii="Arial" w:hAnsi="Arial" w:cs="Arial"/>
        </w:rPr>
        <w:t xml:space="preserve">, </w:t>
      </w:r>
      <w:r w:rsidRPr="00E27197">
        <w:rPr>
          <w:rFonts w:ascii="Arial" w:hAnsi="Arial" w:cs="Arial"/>
          <w:i/>
        </w:rPr>
        <w:t xml:space="preserve">supra </w:t>
      </w:r>
      <w:r w:rsidRPr="00E27197">
        <w:rPr>
          <w:rFonts w:ascii="Arial" w:hAnsi="Arial" w:cs="Arial"/>
        </w:rPr>
        <w:t>at paragraph [21].</w:t>
      </w:r>
    </w:p>
  </w:footnote>
  <w:footnote w:id="31">
    <w:p w:rsidR="00D21C2C" w:rsidRPr="00E27197" w:rsidRDefault="00D21C2C">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See </w:t>
      </w:r>
      <w:r w:rsidRPr="00E27197">
        <w:rPr>
          <w:rFonts w:ascii="Arial" w:hAnsi="Arial" w:cs="Arial"/>
          <w:b/>
        </w:rPr>
        <w:t>Di Stefano</w:t>
      </w:r>
      <w:r w:rsidRPr="00E27197">
        <w:rPr>
          <w:rFonts w:ascii="Arial" w:hAnsi="Arial" w:cs="Arial"/>
        </w:rPr>
        <w:t xml:space="preserve">, </w:t>
      </w:r>
      <w:r w:rsidRPr="00E27197">
        <w:rPr>
          <w:rFonts w:ascii="Arial" w:hAnsi="Arial" w:cs="Arial"/>
          <w:i/>
        </w:rPr>
        <w:t>supra</w:t>
      </w:r>
      <w:r w:rsidRPr="00E27197">
        <w:rPr>
          <w:rFonts w:ascii="Arial" w:hAnsi="Arial" w:cs="Arial"/>
        </w:rPr>
        <w:t>.</w:t>
      </w:r>
    </w:p>
  </w:footnote>
  <w:footnote w:id="32">
    <w:p w:rsidR="00424C09" w:rsidRPr="00E27197" w:rsidRDefault="00424C09">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Northern Cape High Court Case Number 1294/2021. The matter was heard on </w:t>
      </w:r>
    </w:p>
    <w:p w:rsidR="00424C09" w:rsidRPr="00E27197" w:rsidRDefault="00424C09" w:rsidP="00424C09">
      <w:pPr>
        <w:pStyle w:val="FootnoteText"/>
        <w:ind w:firstLine="720"/>
        <w:rPr>
          <w:rFonts w:ascii="Arial" w:hAnsi="Arial" w:cs="Arial"/>
        </w:rPr>
      </w:pPr>
      <w:r w:rsidRPr="00E27197">
        <w:rPr>
          <w:rFonts w:ascii="Arial" w:hAnsi="Arial" w:cs="Arial"/>
        </w:rPr>
        <w:t>26 November 2021 and judgment was handed down on 14 January 2022.</w:t>
      </w:r>
    </w:p>
  </w:footnote>
  <w:footnote w:id="33">
    <w:p w:rsidR="00715088" w:rsidRPr="00E27197" w:rsidRDefault="009874FA">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r>
      <w:r w:rsidRPr="00E27197">
        <w:rPr>
          <w:rFonts w:ascii="Arial" w:hAnsi="Arial" w:cs="Arial"/>
          <w:b/>
        </w:rPr>
        <w:t>The Standard Bank of South Africa v Jacobus Coenraad Van Der Ryst</w:t>
      </w:r>
      <w:r w:rsidRPr="00E27197">
        <w:rPr>
          <w:rFonts w:ascii="Arial" w:hAnsi="Arial" w:cs="Arial"/>
        </w:rPr>
        <w:t xml:space="preserve">, </w:t>
      </w:r>
    </w:p>
    <w:p w:rsidR="009874FA" w:rsidRPr="00E27197" w:rsidRDefault="009874FA" w:rsidP="00715088">
      <w:pPr>
        <w:pStyle w:val="FootnoteText"/>
        <w:ind w:firstLine="720"/>
        <w:rPr>
          <w:rFonts w:ascii="Arial" w:hAnsi="Arial" w:cs="Arial"/>
        </w:rPr>
      </w:pPr>
      <w:r w:rsidRPr="00E27197">
        <w:rPr>
          <w:rFonts w:ascii="Arial" w:hAnsi="Arial" w:cs="Arial"/>
          <w:i/>
        </w:rPr>
        <w:t>supra</w:t>
      </w:r>
      <w:r w:rsidRPr="00E27197">
        <w:rPr>
          <w:rFonts w:ascii="Arial" w:hAnsi="Arial" w:cs="Arial"/>
        </w:rPr>
        <w:t>, paragraph [43].</w:t>
      </w:r>
    </w:p>
  </w:footnote>
  <w:footnote w:id="34">
    <w:p w:rsidR="00715088" w:rsidRPr="00E27197" w:rsidRDefault="00715088">
      <w:pPr>
        <w:pStyle w:val="FootnoteText"/>
        <w:rPr>
          <w:rFonts w:ascii="Arial" w:hAnsi="Arial" w:cs="Arial"/>
        </w:rPr>
      </w:pPr>
      <w:r w:rsidRPr="00E27197">
        <w:rPr>
          <w:rStyle w:val="FootnoteReference"/>
          <w:rFonts w:ascii="Arial" w:hAnsi="Arial" w:cs="Arial"/>
        </w:rPr>
        <w:footnoteRef/>
      </w:r>
      <w:r w:rsidRPr="00E27197">
        <w:rPr>
          <w:rFonts w:ascii="Arial" w:hAnsi="Arial" w:cs="Arial"/>
        </w:rPr>
        <w:t xml:space="preserve"> </w:t>
      </w:r>
      <w:r w:rsidRPr="00E27197">
        <w:rPr>
          <w:rFonts w:ascii="Arial" w:hAnsi="Arial" w:cs="Arial"/>
        </w:rPr>
        <w:tab/>
        <w:t xml:space="preserve">See </w:t>
      </w:r>
      <w:r w:rsidRPr="00E27197">
        <w:rPr>
          <w:rFonts w:ascii="Arial" w:hAnsi="Arial" w:cs="Arial"/>
          <w:b/>
        </w:rPr>
        <w:t>The Standard Bank of South Africa v Jacobus Coenraad Van Der Ryst</w:t>
      </w:r>
      <w:r w:rsidRPr="00E27197">
        <w:rPr>
          <w:rFonts w:ascii="Arial" w:hAnsi="Arial" w:cs="Arial"/>
        </w:rPr>
        <w:t xml:space="preserve">, </w:t>
      </w:r>
    </w:p>
    <w:p w:rsidR="00715088" w:rsidRPr="00E27197" w:rsidRDefault="00715088" w:rsidP="00715088">
      <w:pPr>
        <w:pStyle w:val="FootnoteText"/>
        <w:ind w:firstLine="720"/>
        <w:rPr>
          <w:rFonts w:ascii="Arial" w:hAnsi="Arial" w:cs="Arial"/>
        </w:rPr>
      </w:pPr>
      <w:r w:rsidRPr="00E27197">
        <w:rPr>
          <w:rFonts w:ascii="Arial" w:hAnsi="Arial" w:cs="Arial"/>
          <w:i/>
        </w:rPr>
        <w:t>supra</w:t>
      </w:r>
      <w:r w:rsidRPr="00E27197">
        <w:rPr>
          <w:rFonts w:ascii="Arial" w:hAnsi="Arial" w:cs="Arial"/>
        </w:rPr>
        <w:t>, paragraphs 43.1 to 43.3.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51442"/>
      <w:docPartObj>
        <w:docPartGallery w:val="Page Numbers (Top of Page)"/>
        <w:docPartUnique/>
      </w:docPartObj>
    </w:sdtPr>
    <w:sdtEndPr>
      <w:rPr>
        <w:noProof/>
      </w:rPr>
    </w:sdtEndPr>
    <w:sdtContent>
      <w:p w:rsidR="002D15B7" w:rsidRDefault="002D15B7">
        <w:pPr>
          <w:pStyle w:val="Header"/>
          <w:jc w:val="right"/>
        </w:pPr>
        <w:r>
          <w:fldChar w:fldCharType="begin"/>
        </w:r>
        <w:r>
          <w:instrText xml:space="preserve"> PAGE   \* MERGEFORMAT </w:instrText>
        </w:r>
        <w:r>
          <w:fldChar w:fldCharType="separate"/>
        </w:r>
        <w:r w:rsidR="00631CE3">
          <w:rPr>
            <w:noProof/>
          </w:rPr>
          <w:t>2</w:t>
        </w:r>
        <w:r>
          <w:rPr>
            <w:noProof/>
          </w:rPr>
          <w:fldChar w:fldCharType="end"/>
        </w:r>
      </w:p>
    </w:sdtContent>
  </w:sdt>
  <w:p w:rsidR="002D15B7" w:rsidRDefault="002D15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5A5"/>
    <w:multiLevelType w:val="hybridMultilevel"/>
    <w:tmpl w:val="7A42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E7"/>
    <w:rsid w:val="000061EB"/>
    <w:rsid w:val="000106BD"/>
    <w:rsid w:val="000146E9"/>
    <w:rsid w:val="00021B76"/>
    <w:rsid w:val="00022463"/>
    <w:rsid w:val="000271A5"/>
    <w:rsid w:val="00046F22"/>
    <w:rsid w:val="000508B2"/>
    <w:rsid w:val="000521EE"/>
    <w:rsid w:val="0006738D"/>
    <w:rsid w:val="00067C41"/>
    <w:rsid w:val="00076A5F"/>
    <w:rsid w:val="00084B87"/>
    <w:rsid w:val="00086611"/>
    <w:rsid w:val="0009343E"/>
    <w:rsid w:val="000A074A"/>
    <w:rsid w:val="000A2B69"/>
    <w:rsid w:val="000E2FC3"/>
    <w:rsid w:val="000F2BB7"/>
    <w:rsid w:val="001141E4"/>
    <w:rsid w:val="0012434A"/>
    <w:rsid w:val="0013158F"/>
    <w:rsid w:val="00146CB7"/>
    <w:rsid w:val="0015401B"/>
    <w:rsid w:val="0015614F"/>
    <w:rsid w:val="00160F8E"/>
    <w:rsid w:val="00165233"/>
    <w:rsid w:val="001740D9"/>
    <w:rsid w:val="001757BE"/>
    <w:rsid w:val="00180303"/>
    <w:rsid w:val="00181DA9"/>
    <w:rsid w:val="00194E96"/>
    <w:rsid w:val="001A2039"/>
    <w:rsid w:val="001B208B"/>
    <w:rsid w:val="001D11B6"/>
    <w:rsid w:val="001D4E0B"/>
    <w:rsid w:val="001D5734"/>
    <w:rsid w:val="001F2449"/>
    <w:rsid w:val="00202266"/>
    <w:rsid w:val="00211AEF"/>
    <w:rsid w:val="00216030"/>
    <w:rsid w:val="00234213"/>
    <w:rsid w:val="0024189E"/>
    <w:rsid w:val="0024392D"/>
    <w:rsid w:val="002468EF"/>
    <w:rsid w:val="00246A71"/>
    <w:rsid w:val="00252CFE"/>
    <w:rsid w:val="00252EC5"/>
    <w:rsid w:val="002549FE"/>
    <w:rsid w:val="00295DCE"/>
    <w:rsid w:val="002A2C33"/>
    <w:rsid w:val="002C2822"/>
    <w:rsid w:val="002D15B7"/>
    <w:rsid w:val="002D6B5D"/>
    <w:rsid w:val="002E43BD"/>
    <w:rsid w:val="002F33DB"/>
    <w:rsid w:val="0030462A"/>
    <w:rsid w:val="003050B3"/>
    <w:rsid w:val="003074C7"/>
    <w:rsid w:val="003202F1"/>
    <w:rsid w:val="00320F64"/>
    <w:rsid w:val="00322575"/>
    <w:rsid w:val="0032445C"/>
    <w:rsid w:val="00325F2B"/>
    <w:rsid w:val="00330D6F"/>
    <w:rsid w:val="00334A46"/>
    <w:rsid w:val="003449CF"/>
    <w:rsid w:val="00346214"/>
    <w:rsid w:val="00362B83"/>
    <w:rsid w:val="0036627C"/>
    <w:rsid w:val="00367DC1"/>
    <w:rsid w:val="003845E8"/>
    <w:rsid w:val="00396AE1"/>
    <w:rsid w:val="003A3392"/>
    <w:rsid w:val="003A7368"/>
    <w:rsid w:val="003B2E39"/>
    <w:rsid w:val="003C68C4"/>
    <w:rsid w:val="003D29A8"/>
    <w:rsid w:val="003D2A49"/>
    <w:rsid w:val="003D4B27"/>
    <w:rsid w:val="003D68D7"/>
    <w:rsid w:val="003E0F5B"/>
    <w:rsid w:val="003E1066"/>
    <w:rsid w:val="003F5349"/>
    <w:rsid w:val="00401A92"/>
    <w:rsid w:val="00414486"/>
    <w:rsid w:val="00415CAC"/>
    <w:rsid w:val="00424C09"/>
    <w:rsid w:val="00426C31"/>
    <w:rsid w:val="00442488"/>
    <w:rsid w:val="00446462"/>
    <w:rsid w:val="00457A47"/>
    <w:rsid w:val="004661CE"/>
    <w:rsid w:val="00483037"/>
    <w:rsid w:val="00487988"/>
    <w:rsid w:val="00495089"/>
    <w:rsid w:val="004B3176"/>
    <w:rsid w:val="004C6009"/>
    <w:rsid w:val="004D4125"/>
    <w:rsid w:val="004E5493"/>
    <w:rsid w:val="004F49CC"/>
    <w:rsid w:val="004F5FA7"/>
    <w:rsid w:val="00503047"/>
    <w:rsid w:val="0053026A"/>
    <w:rsid w:val="0055575E"/>
    <w:rsid w:val="00560544"/>
    <w:rsid w:val="00560F8C"/>
    <w:rsid w:val="00566C28"/>
    <w:rsid w:val="005701F5"/>
    <w:rsid w:val="00581894"/>
    <w:rsid w:val="00587C3C"/>
    <w:rsid w:val="00590BDA"/>
    <w:rsid w:val="005932D3"/>
    <w:rsid w:val="005A134B"/>
    <w:rsid w:val="005C1C33"/>
    <w:rsid w:val="005E23C7"/>
    <w:rsid w:val="005E25E7"/>
    <w:rsid w:val="005E4F5C"/>
    <w:rsid w:val="005F2A45"/>
    <w:rsid w:val="005F7297"/>
    <w:rsid w:val="006060EC"/>
    <w:rsid w:val="00606D16"/>
    <w:rsid w:val="0061230A"/>
    <w:rsid w:val="00612E0B"/>
    <w:rsid w:val="006147B3"/>
    <w:rsid w:val="0062551B"/>
    <w:rsid w:val="00631CE3"/>
    <w:rsid w:val="006344D3"/>
    <w:rsid w:val="00645980"/>
    <w:rsid w:val="00645F8B"/>
    <w:rsid w:val="00651289"/>
    <w:rsid w:val="00652EFA"/>
    <w:rsid w:val="0066088A"/>
    <w:rsid w:val="00661729"/>
    <w:rsid w:val="006624E8"/>
    <w:rsid w:val="00692570"/>
    <w:rsid w:val="006A5295"/>
    <w:rsid w:val="006A6A8C"/>
    <w:rsid w:val="006B3A3F"/>
    <w:rsid w:val="006C0550"/>
    <w:rsid w:val="006C2EF3"/>
    <w:rsid w:val="006D095B"/>
    <w:rsid w:val="006D18A9"/>
    <w:rsid w:val="006D6910"/>
    <w:rsid w:val="006D6F39"/>
    <w:rsid w:val="006E7AF2"/>
    <w:rsid w:val="00712D36"/>
    <w:rsid w:val="00715088"/>
    <w:rsid w:val="007154C5"/>
    <w:rsid w:val="00725E72"/>
    <w:rsid w:val="007301B1"/>
    <w:rsid w:val="0073778C"/>
    <w:rsid w:val="00737E22"/>
    <w:rsid w:val="00742596"/>
    <w:rsid w:val="00745585"/>
    <w:rsid w:val="007634FA"/>
    <w:rsid w:val="0077087D"/>
    <w:rsid w:val="00780D6B"/>
    <w:rsid w:val="00784249"/>
    <w:rsid w:val="00785B92"/>
    <w:rsid w:val="00797270"/>
    <w:rsid w:val="007B646B"/>
    <w:rsid w:val="007C0CB2"/>
    <w:rsid w:val="007C1B2E"/>
    <w:rsid w:val="007E161E"/>
    <w:rsid w:val="007F0E7C"/>
    <w:rsid w:val="0082416E"/>
    <w:rsid w:val="008325A0"/>
    <w:rsid w:val="008464C8"/>
    <w:rsid w:val="00847200"/>
    <w:rsid w:val="00861544"/>
    <w:rsid w:val="00877453"/>
    <w:rsid w:val="0088030A"/>
    <w:rsid w:val="00880E6D"/>
    <w:rsid w:val="0088752A"/>
    <w:rsid w:val="008919A1"/>
    <w:rsid w:val="00892BB0"/>
    <w:rsid w:val="008B1F13"/>
    <w:rsid w:val="008B22EB"/>
    <w:rsid w:val="008C168B"/>
    <w:rsid w:val="008C3E7A"/>
    <w:rsid w:val="008C4C4E"/>
    <w:rsid w:val="008C660C"/>
    <w:rsid w:val="008F229B"/>
    <w:rsid w:val="0090107A"/>
    <w:rsid w:val="00915C8F"/>
    <w:rsid w:val="0092400C"/>
    <w:rsid w:val="0093089F"/>
    <w:rsid w:val="00950E5C"/>
    <w:rsid w:val="00954C69"/>
    <w:rsid w:val="00964B03"/>
    <w:rsid w:val="009729C7"/>
    <w:rsid w:val="009874FA"/>
    <w:rsid w:val="00991A7B"/>
    <w:rsid w:val="00993E25"/>
    <w:rsid w:val="009C664D"/>
    <w:rsid w:val="009D24A7"/>
    <w:rsid w:val="009D707C"/>
    <w:rsid w:val="009E23C7"/>
    <w:rsid w:val="009E6356"/>
    <w:rsid w:val="009E797D"/>
    <w:rsid w:val="00A03826"/>
    <w:rsid w:val="00A07CE5"/>
    <w:rsid w:val="00A115B4"/>
    <w:rsid w:val="00A11F40"/>
    <w:rsid w:val="00A13967"/>
    <w:rsid w:val="00A15E52"/>
    <w:rsid w:val="00A22744"/>
    <w:rsid w:val="00A23023"/>
    <w:rsid w:val="00A32C50"/>
    <w:rsid w:val="00A3670F"/>
    <w:rsid w:val="00A45A04"/>
    <w:rsid w:val="00A53BB5"/>
    <w:rsid w:val="00A557C0"/>
    <w:rsid w:val="00A64ACF"/>
    <w:rsid w:val="00A64D1C"/>
    <w:rsid w:val="00A7536F"/>
    <w:rsid w:val="00A8254B"/>
    <w:rsid w:val="00AA1681"/>
    <w:rsid w:val="00AA74A5"/>
    <w:rsid w:val="00AC61EF"/>
    <w:rsid w:val="00AD0626"/>
    <w:rsid w:val="00AF13B1"/>
    <w:rsid w:val="00AF1449"/>
    <w:rsid w:val="00B066B5"/>
    <w:rsid w:val="00B14A67"/>
    <w:rsid w:val="00B22343"/>
    <w:rsid w:val="00B2298A"/>
    <w:rsid w:val="00B25032"/>
    <w:rsid w:val="00B31381"/>
    <w:rsid w:val="00B4656C"/>
    <w:rsid w:val="00B51B62"/>
    <w:rsid w:val="00B53231"/>
    <w:rsid w:val="00B53F19"/>
    <w:rsid w:val="00B56B56"/>
    <w:rsid w:val="00B656B8"/>
    <w:rsid w:val="00B74D1A"/>
    <w:rsid w:val="00B83FFE"/>
    <w:rsid w:val="00B87F34"/>
    <w:rsid w:val="00B9040E"/>
    <w:rsid w:val="00B97648"/>
    <w:rsid w:val="00BA3B98"/>
    <w:rsid w:val="00BA7DD4"/>
    <w:rsid w:val="00BB1F86"/>
    <w:rsid w:val="00BC0F40"/>
    <w:rsid w:val="00BC193E"/>
    <w:rsid w:val="00BC5848"/>
    <w:rsid w:val="00BE1836"/>
    <w:rsid w:val="00BF526B"/>
    <w:rsid w:val="00C03D09"/>
    <w:rsid w:val="00C04A03"/>
    <w:rsid w:val="00C14C89"/>
    <w:rsid w:val="00C151A4"/>
    <w:rsid w:val="00C177DA"/>
    <w:rsid w:val="00C2703F"/>
    <w:rsid w:val="00C32FB7"/>
    <w:rsid w:val="00C40FED"/>
    <w:rsid w:val="00C65FEC"/>
    <w:rsid w:val="00C66A70"/>
    <w:rsid w:val="00C8206B"/>
    <w:rsid w:val="00C90B47"/>
    <w:rsid w:val="00CB1B1B"/>
    <w:rsid w:val="00CB2903"/>
    <w:rsid w:val="00CC595C"/>
    <w:rsid w:val="00CD08EA"/>
    <w:rsid w:val="00CD7285"/>
    <w:rsid w:val="00D03DE5"/>
    <w:rsid w:val="00D21C2C"/>
    <w:rsid w:val="00D323E9"/>
    <w:rsid w:val="00D74FE8"/>
    <w:rsid w:val="00D95897"/>
    <w:rsid w:val="00DA7188"/>
    <w:rsid w:val="00DB0DF7"/>
    <w:rsid w:val="00DB79BD"/>
    <w:rsid w:val="00DC5D02"/>
    <w:rsid w:val="00DD5BCE"/>
    <w:rsid w:val="00DE6048"/>
    <w:rsid w:val="00DE6948"/>
    <w:rsid w:val="00DF5D98"/>
    <w:rsid w:val="00E21E39"/>
    <w:rsid w:val="00E24CFC"/>
    <w:rsid w:val="00E266E1"/>
    <w:rsid w:val="00E27197"/>
    <w:rsid w:val="00E31895"/>
    <w:rsid w:val="00E41A3E"/>
    <w:rsid w:val="00E460CB"/>
    <w:rsid w:val="00E51375"/>
    <w:rsid w:val="00E5201C"/>
    <w:rsid w:val="00E547F0"/>
    <w:rsid w:val="00E567F2"/>
    <w:rsid w:val="00E64912"/>
    <w:rsid w:val="00E82403"/>
    <w:rsid w:val="00E83F78"/>
    <w:rsid w:val="00EA5130"/>
    <w:rsid w:val="00EB2F2D"/>
    <w:rsid w:val="00EB38D3"/>
    <w:rsid w:val="00EC1D83"/>
    <w:rsid w:val="00EE111D"/>
    <w:rsid w:val="00F00D68"/>
    <w:rsid w:val="00F07D41"/>
    <w:rsid w:val="00F32420"/>
    <w:rsid w:val="00F378E8"/>
    <w:rsid w:val="00F4113A"/>
    <w:rsid w:val="00F43171"/>
    <w:rsid w:val="00F4676B"/>
    <w:rsid w:val="00F47B61"/>
    <w:rsid w:val="00F63B20"/>
    <w:rsid w:val="00F63DD4"/>
    <w:rsid w:val="00F65477"/>
    <w:rsid w:val="00F66E33"/>
    <w:rsid w:val="00F70351"/>
    <w:rsid w:val="00F8648B"/>
    <w:rsid w:val="00FA00A5"/>
    <w:rsid w:val="00FC19E6"/>
    <w:rsid w:val="00FD3A9F"/>
    <w:rsid w:val="00FE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E2F2"/>
  <w15:chartTrackingRefBased/>
  <w15:docId w15:val="{CB03A8DA-9FBB-437E-B695-F323C839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Typewriter" w:eastAsiaTheme="minorHAnsi" w:hAnsi="Lucida Sans Typewrit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1A3E"/>
    <w:rPr>
      <w:sz w:val="20"/>
      <w:szCs w:val="20"/>
    </w:rPr>
  </w:style>
  <w:style w:type="character" w:customStyle="1" w:styleId="FootnoteTextChar">
    <w:name w:val="Footnote Text Char"/>
    <w:basedOn w:val="DefaultParagraphFont"/>
    <w:link w:val="FootnoteText"/>
    <w:uiPriority w:val="99"/>
    <w:semiHidden/>
    <w:rsid w:val="00E41A3E"/>
    <w:rPr>
      <w:sz w:val="20"/>
      <w:szCs w:val="20"/>
    </w:rPr>
  </w:style>
  <w:style w:type="character" w:styleId="FootnoteReference">
    <w:name w:val="footnote reference"/>
    <w:basedOn w:val="DefaultParagraphFont"/>
    <w:uiPriority w:val="99"/>
    <w:semiHidden/>
    <w:unhideWhenUsed/>
    <w:rsid w:val="00E41A3E"/>
    <w:rPr>
      <w:vertAlign w:val="superscript"/>
    </w:rPr>
  </w:style>
  <w:style w:type="paragraph" w:customStyle="1" w:styleId="cm-quote-1">
    <w:name w:val="cm-quote-1"/>
    <w:basedOn w:val="Normal"/>
    <w:rsid w:val="00652EF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F5FA7"/>
    <w:pPr>
      <w:spacing w:after="160" w:line="259" w:lineRule="auto"/>
      <w:ind w:left="720"/>
      <w:contextualSpacing/>
    </w:pPr>
    <w:rPr>
      <w:rFonts w:asciiTheme="minorHAnsi" w:hAnsiTheme="minorHAnsi"/>
    </w:rPr>
  </w:style>
  <w:style w:type="paragraph" w:customStyle="1" w:styleId="cm-parafullout-bold">
    <w:name w:val="cm-parafullout-bold"/>
    <w:basedOn w:val="Normal"/>
    <w:rsid w:val="00612E0B"/>
    <w:pPr>
      <w:spacing w:before="100" w:beforeAutospacing="1" w:after="100" w:afterAutospacing="1"/>
    </w:pPr>
    <w:rPr>
      <w:rFonts w:ascii="Times New Roman" w:eastAsia="Times New Roman" w:hAnsi="Times New Roman" w:cs="Times New Roman"/>
      <w:sz w:val="24"/>
      <w:szCs w:val="24"/>
    </w:rPr>
  </w:style>
  <w:style w:type="paragraph" w:customStyle="1" w:styleId="cm-quote">
    <w:name w:val="cm-quote"/>
    <w:basedOn w:val="Normal"/>
    <w:rsid w:val="00612E0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B"/>
    <w:rPr>
      <w:color w:val="0000FF"/>
      <w:u w:val="single"/>
    </w:rPr>
  </w:style>
  <w:style w:type="paragraph" w:customStyle="1" w:styleId="cm-footnote">
    <w:name w:val="cm-footnote"/>
    <w:basedOn w:val="Normal"/>
    <w:rsid w:val="00612E0B"/>
    <w:pPr>
      <w:spacing w:before="100" w:beforeAutospacing="1" w:after="100" w:afterAutospacing="1"/>
    </w:pPr>
    <w:rPr>
      <w:rFonts w:ascii="Times New Roman" w:eastAsia="Times New Roman" w:hAnsi="Times New Roman" w:cs="Times New Roman"/>
      <w:sz w:val="24"/>
      <w:szCs w:val="24"/>
    </w:rPr>
  </w:style>
  <w:style w:type="paragraph" w:customStyle="1" w:styleId="cm-para1quad">
    <w:name w:val="cm-para1quad"/>
    <w:basedOn w:val="Normal"/>
    <w:rsid w:val="00612E0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15B7"/>
    <w:pPr>
      <w:tabs>
        <w:tab w:val="center" w:pos="4680"/>
        <w:tab w:val="right" w:pos="9360"/>
      </w:tabs>
    </w:pPr>
  </w:style>
  <w:style w:type="character" w:customStyle="1" w:styleId="HeaderChar">
    <w:name w:val="Header Char"/>
    <w:basedOn w:val="DefaultParagraphFont"/>
    <w:link w:val="Header"/>
    <w:uiPriority w:val="99"/>
    <w:rsid w:val="002D15B7"/>
  </w:style>
  <w:style w:type="paragraph" w:styleId="Footer">
    <w:name w:val="footer"/>
    <w:basedOn w:val="Normal"/>
    <w:link w:val="FooterChar"/>
    <w:uiPriority w:val="99"/>
    <w:unhideWhenUsed/>
    <w:rsid w:val="002D15B7"/>
    <w:pPr>
      <w:tabs>
        <w:tab w:val="center" w:pos="4680"/>
        <w:tab w:val="right" w:pos="9360"/>
      </w:tabs>
    </w:pPr>
  </w:style>
  <w:style w:type="character" w:customStyle="1" w:styleId="FooterChar">
    <w:name w:val="Footer Char"/>
    <w:basedOn w:val="DefaultParagraphFont"/>
    <w:link w:val="Footer"/>
    <w:uiPriority w:val="99"/>
    <w:rsid w:val="002D15B7"/>
  </w:style>
  <w:style w:type="paragraph" w:customStyle="1" w:styleId="normaltext">
    <w:name w:val="normaltext"/>
    <w:basedOn w:val="Normal"/>
    <w:rsid w:val="0030462A"/>
    <w:pPr>
      <w:spacing w:before="100" w:beforeAutospacing="1" w:after="100" w:afterAutospacing="1"/>
    </w:pPr>
    <w:rPr>
      <w:rFonts w:ascii="Times New Roman" w:eastAsia="Times New Roman" w:hAnsi="Times New Roman" w:cs="Times New Roman"/>
      <w:sz w:val="24"/>
      <w:szCs w:val="24"/>
    </w:rPr>
  </w:style>
  <w:style w:type="paragraph" w:customStyle="1" w:styleId="para-10">
    <w:name w:val="para-10"/>
    <w:basedOn w:val="Normal"/>
    <w:rsid w:val="00A53BB5"/>
    <w:pPr>
      <w:spacing w:before="100" w:beforeAutospacing="1" w:after="100" w:afterAutospacing="1"/>
    </w:pPr>
    <w:rPr>
      <w:rFonts w:ascii="Times New Roman" w:eastAsia="Times New Roman" w:hAnsi="Times New Roman" w:cs="Times New Roman"/>
      <w:sz w:val="24"/>
      <w:szCs w:val="24"/>
    </w:rPr>
  </w:style>
  <w:style w:type="paragraph" w:customStyle="1" w:styleId="q-normal">
    <w:name w:val="q-normal"/>
    <w:basedOn w:val="Normal"/>
    <w:rsid w:val="00194E96"/>
    <w:pPr>
      <w:spacing w:before="100" w:beforeAutospacing="1" w:after="100" w:afterAutospacing="1"/>
    </w:pPr>
    <w:rPr>
      <w:rFonts w:ascii="Times New Roman" w:eastAsia="Times New Roman" w:hAnsi="Times New Roman" w:cs="Times New Roman"/>
      <w:sz w:val="24"/>
      <w:szCs w:val="24"/>
    </w:rPr>
  </w:style>
  <w:style w:type="character" w:customStyle="1" w:styleId="footnote-link">
    <w:name w:val="footnote-link"/>
    <w:basedOn w:val="DefaultParagraphFont"/>
    <w:rsid w:val="00194E96"/>
  </w:style>
  <w:style w:type="paragraph" w:customStyle="1" w:styleId="arunninghead">
    <w:name w:val="arunninghead"/>
    <w:basedOn w:val="Normal"/>
    <w:rsid w:val="003D68D7"/>
    <w:pPr>
      <w:spacing w:before="100" w:beforeAutospacing="1" w:after="100" w:afterAutospacing="1"/>
    </w:pPr>
    <w:rPr>
      <w:rFonts w:ascii="Times New Roman" w:eastAsia="Times New Roman" w:hAnsi="Times New Roman" w:cs="Times New Roman"/>
      <w:sz w:val="24"/>
      <w:szCs w:val="24"/>
    </w:rPr>
  </w:style>
  <w:style w:type="paragraph" w:customStyle="1" w:styleId="q-normal-1">
    <w:name w:val="q-normal-1"/>
    <w:basedOn w:val="Normal"/>
    <w:rsid w:val="003D68D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784249"/>
    <w:rPr>
      <w:rFonts w:asciiTheme="minorHAnsi" w:hAnsiTheme="minorHAns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792">
      <w:bodyDiv w:val="1"/>
      <w:marLeft w:val="0"/>
      <w:marRight w:val="0"/>
      <w:marTop w:val="0"/>
      <w:marBottom w:val="0"/>
      <w:divBdr>
        <w:top w:val="none" w:sz="0" w:space="0" w:color="auto"/>
        <w:left w:val="none" w:sz="0" w:space="0" w:color="auto"/>
        <w:bottom w:val="none" w:sz="0" w:space="0" w:color="auto"/>
        <w:right w:val="none" w:sz="0" w:space="0" w:color="auto"/>
      </w:divBdr>
    </w:div>
    <w:div w:id="220988462">
      <w:bodyDiv w:val="1"/>
      <w:marLeft w:val="0"/>
      <w:marRight w:val="0"/>
      <w:marTop w:val="0"/>
      <w:marBottom w:val="0"/>
      <w:divBdr>
        <w:top w:val="none" w:sz="0" w:space="0" w:color="auto"/>
        <w:left w:val="none" w:sz="0" w:space="0" w:color="auto"/>
        <w:bottom w:val="none" w:sz="0" w:space="0" w:color="auto"/>
        <w:right w:val="none" w:sz="0" w:space="0" w:color="auto"/>
      </w:divBdr>
    </w:div>
    <w:div w:id="394092100">
      <w:bodyDiv w:val="1"/>
      <w:marLeft w:val="0"/>
      <w:marRight w:val="0"/>
      <w:marTop w:val="0"/>
      <w:marBottom w:val="0"/>
      <w:divBdr>
        <w:top w:val="none" w:sz="0" w:space="0" w:color="auto"/>
        <w:left w:val="none" w:sz="0" w:space="0" w:color="auto"/>
        <w:bottom w:val="none" w:sz="0" w:space="0" w:color="auto"/>
        <w:right w:val="none" w:sz="0" w:space="0" w:color="auto"/>
      </w:divBdr>
    </w:div>
    <w:div w:id="875392619">
      <w:bodyDiv w:val="1"/>
      <w:marLeft w:val="0"/>
      <w:marRight w:val="0"/>
      <w:marTop w:val="0"/>
      <w:marBottom w:val="0"/>
      <w:divBdr>
        <w:top w:val="none" w:sz="0" w:space="0" w:color="auto"/>
        <w:left w:val="none" w:sz="0" w:space="0" w:color="auto"/>
        <w:bottom w:val="none" w:sz="0" w:space="0" w:color="auto"/>
        <w:right w:val="none" w:sz="0" w:space="0" w:color="auto"/>
      </w:divBdr>
    </w:div>
    <w:div w:id="1171138505">
      <w:bodyDiv w:val="1"/>
      <w:marLeft w:val="0"/>
      <w:marRight w:val="0"/>
      <w:marTop w:val="0"/>
      <w:marBottom w:val="0"/>
      <w:divBdr>
        <w:top w:val="none" w:sz="0" w:space="0" w:color="auto"/>
        <w:left w:val="none" w:sz="0" w:space="0" w:color="auto"/>
        <w:bottom w:val="none" w:sz="0" w:space="0" w:color="auto"/>
        <w:right w:val="none" w:sz="0" w:space="0" w:color="auto"/>
      </w:divBdr>
    </w:div>
    <w:div w:id="1493642703">
      <w:bodyDiv w:val="1"/>
      <w:marLeft w:val="0"/>
      <w:marRight w:val="0"/>
      <w:marTop w:val="0"/>
      <w:marBottom w:val="0"/>
      <w:divBdr>
        <w:top w:val="none" w:sz="0" w:space="0" w:color="auto"/>
        <w:left w:val="none" w:sz="0" w:space="0" w:color="auto"/>
        <w:bottom w:val="none" w:sz="0" w:space="0" w:color="auto"/>
        <w:right w:val="none" w:sz="0" w:space="0" w:color="auto"/>
      </w:divBdr>
    </w:div>
    <w:div w:id="15999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B9EE-63E2-4EDF-9910-29F36443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5439</Words>
  <Characters>31007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a.d.olivier007@gmail.com</dc:creator>
  <cp:keywords/>
  <dc:description/>
  <cp:lastModifiedBy>Mary Bruce</cp:lastModifiedBy>
  <cp:revision>5</cp:revision>
  <dcterms:created xsi:type="dcterms:W3CDTF">2024-02-06T14:29:00Z</dcterms:created>
  <dcterms:modified xsi:type="dcterms:W3CDTF">2024-02-09T11:34:00Z</dcterms:modified>
</cp:coreProperties>
</file>