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B7" w:rsidRPr="002C316C" w:rsidRDefault="007034E7" w:rsidP="005A4617">
      <w:pPr>
        <w:adjustRightInd w:val="0"/>
        <w:snapToGrid w:val="0"/>
        <w:spacing w:line="360" w:lineRule="auto"/>
        <w:ind w:left="720" w:hanging="720"/>
        <w:jc w:val="both"/>
        <w:rPr>
          <w:rFonts w:ascii="Arial" w:hAnsi="Arial" w:cs="Arial"/>
          <w:color w:val="000000" w:themeColor="text1"/>
          <w:lang w:val="en-GB"/>
        </w:rPr>
      </w:pPr>
      <w:bookmarkStart w:id="0" w:name="_GoBack"/>
      <w:bookmarkEnd w:id="0"/>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r>
      <w:r w:rsidRPr="00213C8C">
        <w:rPr>
          <w:rFonts w:ascii="Verdana" w:eastAsia="Verdana" w:hAnsi="Verdana" w:cs="Verdana"/>
          <w:i/>
          <w:noProof/>
          <w:color w:val="000000"/>
        </w:rPr>
        <w:drawing>
          <wp:inline distT="0" distB="0" distL="0" distR="0" wp14:anchorId="0C06131D" wp14:editId="60180884">
            <wp:extent cx="1340263"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0263" cy="1203960"/>
                    </a:xfrm>
                    <a:prstGeom prst="rect">
                      <a:avLst/>
                    </a:prstGeom>
                    <a:noFill/>
                    <a:ln>
                      <a:noFill/>
                    </a:ln>
                  </pic:spPr>
                </pic:pic>
              </a:graphicData>
            </a:graphic>
          </wp:inline>
        </w:drawing>
      </w:r>
    </w:p>
    <w:p w:rsidR="00102DB7" w:rsidRPr="007034E7" w:rsidRDefault="00102DB7" w:rsidP="007034E7">
      <w:pPr>
        <w:adjustRightInd w:val="0"/>
        <w:snapToGrid w:val="0"/>
        <w:spacing w:before="0" w:beforeAutospacing="0" w:after="0" w:afterAutospacing="0" w:line="360" w:lineRule="auto"/>
        <w:ind w:left="288" w:hanging="720"/>
        <w:jc w:val="both"/>
        <w:rPr>
          <w:rFonts w:ascii="Arial" w:hAnsi="Arial" w:cs="Arial"/>
          <w:b/>
          <w:color w:val="000000" w:themeColor="text1"/>
          <w:lang w:val="en-GB"/>
        </w:rPr>
      </w:pPr>
      <w:r w:rsidRPr="007034E7">
        <w:rPr>
          <w:rFonts w:ascii="Arial" w:hAnsi="Arial" w:cs="Arial"/>
          <w:b/>
          <w:color w:val="000000" w:themeColor="text1"/>
          <w:lang w:val="en-GB"/>
        </w:rPr>
        <w:t>IN THE HIGH COURT OF SOUTH AFRICA, NORTHERN CAPE DIVISION, KIMBERLEY</w:t>
      </w:r>
    </w:p>
    <w:p w:rsidR="00102DB7" w:rsidRPr="002C316C" w:rsidRDefault="007034E7" w:rsidP="00B854AC">
      <w:pPr>
        <w:adjustRightInd w:val="0"/>
        <w:snapToGrid w:val="0"/>
        <w:spacing w:before="0" w:beforeAutospacing="0" w:after="0" w:afterAutospacing="0" w:line="360" w:lineRule="auto"/>
        <w:ind w:left="288" w:hanging="720"/>
        <w:jc w:val="both"/>
        <w:rPr>
          <w:rFonts w:ascii="Arial" w:hAnsi="Arial" w:cs="Arial"/>
          <w:color w:val="000000" w:themeColor="text1"/>
          <w:lang w:val="en-GB"/>
        </w:rPr>
      </w:pP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sidR="00B854AC">
        <w:rPr>
          <w:rFonts w:ascii="Arial" w:hAnsi="Arial" w:cs="Arial"/>
          <w:b/>
          <w:color w:val="000000" w:themeColor="text1"/>
          <w:lang w:val="en-GB"/>
        </w:rPr>
        <w:tab/>
      </w:r>
      <w:r w:rsidR="00B854AC">
        <w:rPr>
          <w:rFonts w:ascii="Arial" w:hAnsi="Arial" w:cs="Arial"/>
          <w:b/>
          <w:color w:val="000000" w:themeColor="text1"/>
          <w:lang w:val="en-GB"/>
        </w:rPr>
        <w:tab/>
      </w:r>
      <w:r w:rsidR="00B854AC">
        <w:rPr>
          <w:rFonts w:ascii="Arial" w:hAnsi="Arial" w:cs="Arial"/>
          <w:b/>
          <w:color w:val="000000" w:themeColor="text1"/>
          <w:lang w:val="en-GB"/>
        </w:rPr>
        <w:tab/>
      </w:r>
      <w:r w:rsidR="00B854AC">
        <w:rPr>
          <w:rFonts w:ascii="Arial" w:hAnsi="Arial" w:cs="Arial"/>
          <w:b/>
          <w:color w:val="000000" w:themeColor="text1"/>
          <w:lang w:val="en-GB"/>
        </w:rPr>
        <w:tab/>
      </w:r>
      <w:r w:rsidR="00C668FD">
        <w:rPr>
          <w:rFonts w:ascii="Arial" w:hAnsi="Arial" w:cs="Arial"/>
          <w:color w:val="000000" w:themeColor="text1"/>
          <w:lang w:val="en-GB"/>
        </w:rPr>
        <w:t>Not Reportable</w:t>
      </w:r>
    </w:p>
    <w:p w:rsidR="00102DB7" w:rsidRDefault="00102DB7" w:rsidP="007034E7">
      <w:pPr>
        <w:adjustRightInd w:val="0"/>
        <w:snapToGrid w:val="0"/>
        <w:spacing w:before="0" w:beforeAutospacing="0" w:after="0" w:afterAutospacing="0" w:line="360" w:lineRule="auto"/>
        <w:ind w:left="720" w:hanging="720"/>
        <w:jc w:val="right"/>
        <w:rPr>
          <w:rFonts w:ascii="Arial" w:hAnsi="Arial" w:cs="Arial"/>
          <w:color w:val="000000" w:themeColor="text1"/>
          <w:lang w:val="en-GB"/>
        </w:rPr>
      </w:pPr>
      <w:r w:rsidRPr="002C316C">
        <w:rPr>
          <w:rFonts w:ascii="Arial" w:hAnsi="Arial" w:cs="Arial"/>
          <w:color w:val="000000" w:themeColor="text1"/>
          <w:lang w:val="en-GB"/>
        </w:rPr>
        <w:t xml:space="preserve">Case </w:t>
      </w:r>
      <w:r>
        <w:rPr>
          <w:rFonts w:ascii="Arial" w:hAnsi="Arial" w:cs="Arial"/>
          <w:color w:val="000000" w:themeColor="text1"/>
          <w:lang w:val="en-GB"/>
        </w:rPr>
        <w:t>N</w:t>
      </w:r>
      <w:r w:rsidRPr="002C316C">
        <w:rPr>
          <w:rFonts w:ascii="Arial" w:hAnsi="Arial" w:cs="Arial"/>
          <w:color w:val="000000" w:themeColor="text1"/>
          <w:lang w:val="en-GB"/>
        </w:rPr>
        <w:t>o</w:t>
      </w:r>
      <w:r>
        <w:rPr>
          <w:rFonts w:ascii="Arial" w:hAnsi="Arial" w:cs="Arial"/>
          <w:color w:val="000000" w:themeColor="text1"/>
          <w:lang w:val="en-GB"/>
        </w:rPr>
        <w:t xml:space="preserve">: </w:t>
      </w:r>
      <w:r w:rsidR="00E42DA2">
        <w:rPr>
          <w:rFonts w:ascii="Arial" w:hAnsi="Arial" w:cs="Arial"/>
          <w:color w:val="000000" w:themeColor="text1"/>
          <w:lang w:val="en-GB"/>
        </w:rPr>
        <w:t>CA &amp; R 65</w:t>
      </w:r>
      <w:r w:rsidR="0018701E">
        <w:rPr>
          <w:rFonts w:ascii="Arial" w:hAnsi="Arial" w:cs="Arial"/>
          <w:color w:val="000000" w:themeColor="text1"/>
          <w:lang w:val="en-GB"/>
        </w:rPr>
        <w:t>/20</w:t>
      </w:r>
      <w:r w:rsidR="00E42DA2">
        <w:rPr>
          <w:rFonts w:ascii="Arial" w:hAnsi="Arial" w:cs="Arial"/>
          <w:color w:val="000000" w:themeColor="text1"/>
          <w:lang w:val="en-GB"/>
        </w:rPr>
        <w:t>22</w:t>
      </w:r>
    </w:p>
    <w:p w:rsidR="00102DB7" w:rsidRPr="00DD4148" w:rsidRDefault="00102DB7" w:rsidP="00102DB7">
      <w:pPr>
        <w:adjustRightInd w:val="0"/>
        <w:snapToGrid w:val="0"/>
        <w:spacing w:before="240" w:after="120" w:line="360" w:lineRule="auto"/>
        <w:ind w:left="720" w:hanging="720"/>
        <w:jc w:val="both"/>
        <w:rPr>
          <w:rFonts w:ascii="Arial" w:hAnsi="Arial" w:cs="Arial"/>
          <w:color w:val="000000" w:themeColor="text1"/>
          <w:lang w:val="en-GB"/>
        </w:rPr>
      </w:pPr>
      <w:r w:rsidRPr="00DD4148">
        <w:rPr>
          <w:rFonts w:ascii="Arial" w:hAnsi="Arial" w:cs="Arial"/>
          <w:color w:val="000000" w:themeColor="text1"/>
          <w:lang w:val="en-GB"/>
        </w:rPr>
        <w:t>In the matter between:</w:t>
      </w:r>
    </w:p>
    <w:p w:rsidR="0018701E" w:rsidRDefault="00E42DA2" w:rsidP="00B854AC">
      <w:pPr>
        <w:adjustRightInd w:val="0"/>
        <w:snapToGrid w:val="0"/>
        <w:spacing w:before="0" w:beforeAutospacing="0" w:after="0" w:afterAutospacing="0" w:line="360" w:lineRule="auto"/>
        <w:ind w:left="720" w:hanging="720"/>
        <w:jc w:val="both"/>
        <w:rPr>
          <w:rFonts w:ascii="Arial" w:hAnsi="Arial" w:cs="Arial"/>
          <w:b/>
          <w:color w:val="000000" w:themeColor="text1"/>
          <w:lang w:val="en-GB"/>
        </w:rPr>
      </w:pPr>
      <w:r>
        <w:rPr>
          <w:rFonts w:ascii="Arial" w:hAnsi="Arial" w:cs="Arial"/>
          <w:b/>
          <w:color w:val="000000" w:themeColor="text1"/>
          <w:lang w:val="en-GB"/>
        </w:rPr>
        <w:t>QCK LEZMIN 4791</w:t>
      </w:r>
      <w:r w:rsidR="007034E7" w:rsidRPr="00DD4148">
        <w:rPr>
          <w:rFonts w:ascii="Arial" w:hAnsi="Arial" w:cs="Arial"/>
          <w:b/>
          <w:color w:val="000000" w:themeColor="text1"/>
          <w:lang w:val="en-GB"/>
        </w:rPr>
        <w:t xml:space="preserve"> CC</w:t>
      </w:r>
      <w:r w:rsidR="00921FE0" w:rsidRPr="00DD4148">
        <w:rPr>
          <w:rFonts w:ascii="Arial" w:hAnsi="Arial" w:cs="Arial"/>
          <w:b/>
          <w:color w:val="000000" w:themeColor="text1"/>
          <w:lang w:val="en-GB"/>
        </w:rPr>
        <w:t xml:space="preserve"> </w:t>
      </w:r>
      <w:r w:rsidR="007034E7" w:rsidRPr="00DD4148">
        <w:rPr>
          <w:rFonts w:ascii="Arial" w:hAnsi="Arial" w:cs="Arial"/>
          <w:b/>
          <w:color w:val="000000" w:themeColor="text1"/>
          <w:lang w:val="en-GB"/>
        </w:rPr>
        <w:tab/>
      </w:r>
      <w:r w:rsidR="007034E7" w:rsidRPr="00DD4148">
        <w:rPr>
          <w:rFonts w:ascii="Arial" w:hAnsi="Arial" w:cs="Arial"/>
          <w:b/>
          <w:color w:val="000000" w:themeColor="text1"/>
          <w:lang w:val="en-GB"/>
        </w:rPr>
        <w:tab/>
      </w:r>
      <w:r w:rsidR="007034E7" w:rsidRPr="00DD4148">
        <w:rPr>
          <w:rFonts w:ascii="Arial" w:hAnsi="Arial" w:cs="Arial"/>
          <w:b/>
          <w:color w:val="000000" w:themeColor="text1"/>
          <w:lang w:val="en-GB"/>
        </w:rPr>
        <w:tab/>
      </w:r>
      <w:r w:rsidR="007034E7" w:rsidRPr="00DD4148">
        <w:rPr>
          <w:rFonts w:ascii="Arial" w:hAnsi="Arial" w:cs="Arial"/>
          <w:b/>
          <w:color w:val="000000" w:themeColor="text1"/>
          <w:lang w:val="en-GB"/>
        </w:rPr>
        <w:tab/>
      </w:r>
      <w:r w:rsidR="00454DE9">
        <w:rPr>
          <w:rFonts w:ascii="Arial" w:hAnsi="Arial" w:cs="Arial"/>
          <w:b/>
          <w:color w:val="000000" w:themeColor="text1"/>
          <w:lang w:val="en-GB"/>
        </w:rPr>
        <w:tab/>
      </w:r>
      <w:r w:rsidR="00454DE9">
        <w:rPr>
          <w:rFonts w:ascii="Arial" w:hAnsi="Arial" w:cs="Arial"/>
          <w:b/>
          <w:color w:val="000000" w:themeColor="text1"/>
          <w:lang w:val="en-GB"/>
        </w:rPr>
        <w:tab/>
      </w:r>
      <w:r>
        <w:rPr>
          <w:rFonts w:ascii="Arial" w:hAnsi="Arial" w:cs="Arial"/>
          <w:b/>
          <w:color w:val="000000" w:themeColor="text1"/>
          <w:lang w:val="en-GB"/>
        </w:rPr>
        <w:t xml:space="preserve">FIRST </w:t>
      </w:r>
      <w:r w:rsidR="007034E7" w:rsidRPr="00DD4148">
        <w:rPr>
          <w:rFonts w:ascii="Arial" w:hAnsi="Arial" w:cs="Arial"/>
          <w:b/>
          <w:color w:val="000000" w:themeColor="text1"/>
          <w:lang w:val="en-GB"/>
        </w:rPr>
        <w:t>APPELLANT</w:t>
      </w:r>
    </w:p>
    <w:p w:rsidR="00E42DA2" w:rsidRDefault="00E42DA2" w:rsidP="00B854AC">
      <w:pPr>
        <w:adjustRightInd w:val="0"/>
        <w:snapToGrid w:val="0"/>
        <w:spacing w:before="0" w:beforeAutospacing="0" w:after="0" w:afterAutospacing="0" w:line="360" w:lineRule="auto"/>
        <w:ind w:left="720" w:hanging="720"/>
        <w:jc w:val="both"/>
        <w:rPr>
          <w:rFonts w:ascii="Arial" w:hAnsi="Arial" w:cs="Arial"/>
          <w:b/>
          <w:color w:val="000000" w:themeColor="text1"/>
          <w:lang w:val="en-GB"/>
        </w:rPr>
      </w:pPr>
      <w:r>
        <w:rPr>
          <w:rFonts w:ascii="Arial" w:hAnsi="Arial" w:cs="Arial"/>
          <w:b/>
          <w:color w:val="000000" w:themeColor="text1"/>
          <w:lang w:val="en-GB"/>
        </w:rPr>
        <w:t xml:space="preserve">LORE TRADE AND INVESTMENT </w:t>
      </w:r>
      <w:r w:rsidR="001D5913">
        <w:rPr>
          <w:rFonts w:ascii="Arial" w:hAnsi="Arial" w:cs="Arial"/>
          <w:b/>
          <w:color w:val="000000" w:themeColor="text1"/>
          <w:lang w:val="en-GB"/>
        </w:rPr>
        <w:t>(</w:t>
      </w:r>
      <w:r>
        <w:rPr>
          <w:rFonts w:ascii="Arial" w:hAnsi="Arial" w:cs="Arial"/>
          <w:b/>
          <w:color w:val="000000" w:themeColor="text1"/>
          <w:lang w:val="en-GB"/>
        </w:rPr>
        <w:t>PTY) LTD</w:t>
      </w:r>
      <w:r>
        <w:rPr>
          <w:rFonts w:ascii="Arial" w:hAnsi="Arial" w:cs="Arial"/>
          <w:b/>
          <w:color w:val="000000" w:themeColor="text1"/>
          <w:lang w:val="en-GB"/>
        </w:rPr>
        <w:tab/>
      </w:r>
      <w:r>
        <w:rPr>
          <w:rFonts w:ascii="Arial" w:hAnsi="Arial" w:cs="Arial"/>
          <w:b/>
          <w:color w:val="000000" w:themeColor="text1"/>
          <w:lang w:val="en-GB"/>
        </w:rPr>
        <w:tab/>
      </w:r>
      <w:r w:rsidR="001D5913">
        <w:rPr>
          <w:rFonts w:ascii="Arial" w:hAnsi="Arial" w:cs="Arial"/>
          <w:b/>
          <w:color w:val="000000" w:themeColor="text1"/>
          <w:lang w:val="en-GB"/>
        </w:rPr>
        <w:tab/>
      </w:r>
      <w:r>
        <w:rPr>
          <w:rFonts w:ascii="Arial" w:hAnsi="Arial" w:cs="Arial"/>
          <w:b/>
          <w:color w:val="000000" w:themeColor="text1"/>
          <w:lang w:val="en-GB"/>
        </w:rPr>
        <w:t>SECOND APPELLANT</w:t>
      </w:r>
    </w:p>
    <w:p w:rsidR="00E42DA2" w:rsidRPr="00DD4148" w:rsidRDefault="00E42DA2" w:rsidP="00B854AC">
      <w:pPr>
        <w:adjustRightInd w:val="0"/>
        <w:snapToGrid w:val="0"/>
        <w:spacing w:before="0" w:beforeAutospacing="0" w:after="0" w:afterAutospacing="0" w:line="360" w:lineRule="auto"/>
        <w:ind w:left="720" w:hanging="720"/>
        <w:jc w:val="both"/>
        <w:rPr>
          <w:rFonts w:ascii="Arial" w:hAnsi="Arial" w:cs="Arial"/>
          <w:b/>
          <w:color w:val="000000" w:themeColor="text1"/>
          <w:lang w:val="en-GB"/>
        </w:rPr>
      </w:pPr>
      <w:r>
        <w:rPr>
          <w:rFonts w:ascii="Arial" w:hAnsi="Arial" w:cs="Arial"/>
          <w:b/>
          <w:color w:val="000000" w:themeColor="text1"/>
          <w:lang w:val="en-GB"/>
        </w:rPr>
        <w:t>DULOSTYLE (PTY) LTD</w:t>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t>THIRD APPELLANT</w:t>
      </w:r>
    </w:p>
    <w:p w:rsidR="00102DB7" w:rsidRPr="00DD4148" w:rsidRDefault="00102DB7" w:rsidP="00102DB7">
      <w:pPr>
        <w:tabs>
          <w:tab w:val="left" w:pos="5670"/>
        </w:tabs>
        <w:adjustRightInd w:val="0"/>
        <w:snapToGrid w:val="0"/>
        <w:spacing w:before="240" w:after="120" w:line="360" w:lineRule="auto"/>
        <w:ind w:left="720" w:right="-382" w:hanging="720"/>
        <w:jc w:val="both"/>
        <w:rPr>
          <w:rFonts w:ascii="Arial" w:hAnsi="Arial" w:cs="Arial"/>
          <w:color w:val="000000" w:themeColor="text1"/>
          <w:lang w:val="en-GB"/>
        </w:rPr>
      </w:pPr>
      <w:r w:rsidRPr="00DD4148">
        <w:rPr>
          <w:rFonts w:ascii="Arial" w:hAnsi="Arial" w:cs="Arial"/>
          <w:color w:val="000000" w:themeColor="text1"/>
          <w:lang w:val="en-GB"/>
        </w:rPr>
        <w:t>And</w:t>
      </w:r>
    </w:p>
    <w:p w:rsidR="00E42DA2" w:rsidRDefault="00E42DA2" w:rsidP="007034E7">
      <w:pPr>
        <w:tabs>
          <w:tab w:val="left" w:pos="5670"/>
        </w:tabs>
        <w:adjustRightInd w:val="0"/>
        <w:snapToGrid w:val="0"/>
        <w:spacing w:before="0" w:beforeAutospacing="0" w:after="0" w:afterAutospacing="0" w:line="360" w:lineRule="auto"/>
        <w:ind w:left="720" w:right="-380" w:hanging="720"/>
        <w:jc w:val="both"/>
        <w:rPr>
          <w:rFonts w:ascii="Arial" w:hAnsi="Arial" w:cs="Arial"/>
          <w:b/>
          <w:bCs/>
          <w:caps/>
          <w:color w:val="000000" w:themeColor="text1"/>
          <w:lang w:val="en-GB"/>
        </w:rPr>
      </w:pPr>
      <w:r>
        <w:rPr>
          <w:rFonts w:ascii="Arial" w:hAnsi="Arial" w:cs="Arial"/>
          <w:b/>
          <w:bCs/>
          <w:caps/>
          <w:color w:val="000000" w:themeColor="text1"/>
          <w:lang w:val="en-GB"/>
        </w:rPr>
        <w:t>SIKHOVA IMPORTERS CC</w:t>
      </w:r>
      <w:r w:rsidR="0018701E" w:rsidRPr="00DD4148">
        <w:rPr>
          <w:rFonts w:ascii="Arial" w:hAnsi="Arial" w:cs="Arial"/>
          <w:b/>
          <w:bCs/>
          <w:caps/>
          <w:color w:val="000000" w:themeColor="text1"/>
          <w:lang w:val="en-GB"/>
        </w:rPr>
        <w:t xml:space="preserve">     </w:t>
      </w:r>
      <w:r w:rsidR="0018701E" w:rsidRPr="00DD4148">
        <w:rPr>
          <w:rFonts w:ascii="Arial" w:hAnsi="Arial" w:cs="Arial"/>
          <w:b/>
          <w:bCs/>
          <w:caps/>
          <w:color w:val="000000" w:themeColor="text1"/>
          <w:lang w:val="en-GB"/>
        </w:rPr>
        <w:tab/>
      </w:r>
      <w:r w:rsidR="007034E7" w:rsidRPr="00DD4148">
        <w:rPr>
          <w:rFonts w:ascii="Arial" w:hAnsi="Arial" w:cs="Arial"/>
          <w:b/>
          <w:bCs/>
          <w:caps/>
          <w:color w:val="000000" w:themeColor="text1"/>
          <w:lang w:val="en-GB"/>
        </w:rPr>
        <w:tab/>
      </w:r>
      <w:r w:rsidR="00454DE9">
        <w:rPr>
          <w:rFonts w:ascii="Arial" w:hAnsi="Arial" w:cs="Arial"/>
          <w:b/>
          <w:bCs/>
          <w:caps/>
          <w:color w:val="000000" w:themeColor="text1"/>
          <w:lang w:val="en-GB"/>
        </w:rPr>
        <w:tab/>
      </w:r>
      <w:r>
        <w:rPr>
          <w:rFonts w:ascii="Arial" w:hAnsi="Arial" w:cs="Arial"/>
          <w:b/>
          <w:bCs/>
          <w:caps/>
          <w:color w:val="000000" w:themeColor="text1"/>
          <w:lang w:val="en-GB"/>
        </w:rPr>
        <w:t>FIRST</w:t>
      </w:r>
      <w:r w:rsidR="00454DE9">
        <w:rPr>
          <w:rFonts w:ascii="Arial" w:hAnsi="Arial" w:cs="Arial"/>
          <w:b/>
          <w:bCs/>
          <w:caps/>
          <w:color w:val="000000" w:themeColor="text1"/>
          <w:lang w:val="en-GB"/>
        </w:rPr>
        <w:tab/>
      </w:r>
      <w:r>
        <w:rPr>
          <w:rFonts w:ascii="Arial" w:hAnsi="Arial" w:cs="Arial"/>
          <w:b/>
          <w:bCs/>
          <w:caps/>
          <w:color w:val="000000" w:themeColor="text1"/>
          <w:lang w:val="en-GB"/>
        </w:rPr>
        <w:t xml:space="preserve"> </w:t>
      </w:r>
      <w:r w:rsidR="0018701E" w:rsidRPr="00DD4148">
        <w:rPr>
          <w:rFonts w:ascii="Arial" w:hAnsi="Arial" w:cs="Arial"/>
          <w:b/>
          <w:bCs/>
          <w:caps/>
          <w:color w:val="000000" w:themeColor="text1"/>
          <w:lang w:val="en-GB"/>
        </w:rPr>
        <w:t>RESPONDENT</w:t>
      </w:r>
    </w:p>
    <w:p w:rsidR="00C765A0" w:rsidRPr="00DD4148" w:rsidRDefault="00E42DA2" w:rsidP="007034E7">
      <w:pPr>
        <w:tabs>
          <w:tab w:val="left" w:pos="5670"/>
        </w:tabs>
        <w:adjustRightInd w:val="0"/>
        <w:snapToGrid w:val="0"/>
        <w:spacing w:before="0" w:beforeAutospacing="0" w:after="0" w:afterAutospacing="0" w:line="360" w:lineRule="auto"/>
        <w:ind w:left="720" w:right="-380" w:hanging="720"/>
        <w:jc w:val="both"/>
        <w:rPr>
          <w:rFonts w:ascii="Arial" w:hAnsi="Arial" w:cs="Arial"/>
          <w:b/>
          <w:bCs/>
          <w:color w:val="000000" w:themeColor="text1"/>
          <w:lang w:val="en-GB"/>
        </w:rPr>
      </w:pPr>
      <w:r>
        <w:rPr>
          <w:rFonts w:ascii="Arial" w:hAnsi="Arial" w:cs="Arial"/>
          <w:b/>
          <w:bCs/>
          <w:caps/>
          <w:color w:val="000000" w:themeColor="text1"/>
          <w:lang w:val="en-GB"/>
        </w:rPr>
        <w:t>RE HARD ROCK MINI</w:t>
      </w:r>
      <w:r w:rsidR="00F20519">
        <w:rPr>
          <w:rFonts w:ascii="Arial" w:hAnsi="Arial" w:cs="Arial"/>
          <w:b/>
          <w:bCs/>
          <w:caps/>
          <w:color w:val="000000" w:themeColor="text1"/>
          <w:lang w:val="en-GB"/>
        </w:rPr>
        <w:t>n</w:t>
      </w:r>
      <w:r>
        <w:rPr>
          <w:rFonts w:ascii="Arial" w:hAnsi="Arial" w:cs="Arial"/>
          <w:b/>
          <w:bCs/>
          <w:caps/>
          <w:color w:val="000000" w:themeColor="text1"/>
          <w:lang w:val="en-GB"/>
        </w:rPr>
        <w:t>G (PTY) LTD</w:t>
      </w:r>
      <w:r>
        <w:rPr>
          <w:rFonts w:ascii="Arial" w:hAnsi="Arial" w:cs="Arial"/>
          <w:b/>
          <w:bCs/>
          <w:caps/>
          <w:color w:val="000000" w:themeColor="text1"/>
          <w:lang w:val="en-GB"/>
        </w:rPr>
        <w:tab/>
      </w:r>
      <w:r>
        <w:rPr>
          <w:rFonts w:ascii="Arial" w:hAnsi="Arial" w:cs="Arial"/>
          <w:b/>
          <w:bCs/>
          <w:caps/>
          <w:color w:val="000000" w:themeColor="text1"/>
          <w:lang w:val="en-GB"/>
        </w:rPr>
        <w:tab/>
      </w:r>
      <w:r>
        <w:rPr>
          <w:rFonts w:ascii="Arial" w:hAnsi="Arial" w:cs="Arial"/>
          <w:b/>
          <w:bCs/>
          <w:caps/>
          <w:color w:val="000000" w:themeColor="text1"/>
          <w:lang w:val="en-GB"/>
        </w:rPr>
        <w:tab/>
        <w:t>SECOND RESPONDENT</w:t>
      </w:r>
      <w:r w:rsidR="0018701E" w:rsidRPr="00DD4148">
        <w:rPr>
          <w:rFonts w:ascii="Arial" w:hAnsi="Arial" w:cs="Arial"/>
          <w:b/>
          <w:bCs/>
          <w:caps/>
          <w:color w:val="000000" w:themeColor="text1"/>
          <w:lang w:val="en-GB"/>
        </w:rPr>
        <w:t xml:space="preserve"> </w:t>
      </w:r>
    </w:p>
    <w:p w:rsidR="007034E7" w:rsidRPr="007034E7" w:rsidRDefault="007034E7" w:rsidP="007034E7">
      <w:pPr>
        <w:spacing w:after="240" w:line="360" w:lineRule="auto"/>
        <w:ind w:left="2160" w:hanging="2160"/>
        <w:rPr>
          <w:rFonts w:ascii="Arial" w:hAnsi="Arial" w:cs="Arial"/>
          <w:bCs/>
        </w:rPr>
      </w:pPr>
      <w:r w:rsidRPr="007034E7">
        <w:rPr>
          <w:rFonts w:ascii="Arial" w:hAnsi="Arial" w:cs="Arial"/>
          <w:b/>
          <w:bCs/>
        </w:rPr>
        <w:t>Neutral citation:</w:t>
      </w:r>
      <w:r w:rsidRPr="007034E7">
        <w:rPr>
          <w:rFonts w:ascii="Arial" w:hAnsi="Arial" w:cs="Arial"/>
          <w:b/>
          <w:bCs/>
        </w:rPr>
        <w:tab/>
      </w:r>
      <w:r w:rsidR="00B82A48">
        <w:rPr>
          <w:rFonts w:ascii="Arial" w:hAnsi="Arial" w:cs="Arial"/>
          <w:bCs/>
          <w:i/>
        </w:rPr>
        <w:t xml:space="preserve">QCK Lezmin 4791 </w:t>
      </w:r>
      <w:r w:rsidR="009B05ED">
        <w:rPr>
          <w:rFonts w:ascii="Arial" w:hAnsi="Arial" w:cs="Arial"/>
          <w:bCs/>
          <w:i/>
        </w:rPr>
        <w:t>CC</w:t>
      </w:r>
      <w:r w:rsidR="00B82A48">
        <w:rPr>
          <w:rFonts w:ascii="Arial" w:hAnsi="Arial" w:cs="Arial"/>
          <w:bCs/>
          <w:i/>
        </w:rPr>
        <w:t xml:space="preserve"> and Others v Sikhova Importers and </w:t>
      </w:r>
      <w:r w:rsidR="00112529">
        <w:rPr>
          <w:rFonts w:ascii="Arial" w:hAnsi="Arial" w:cs="Arial"/>
          <w:bCs/>
          <w:i/>
        </w:rPr>
        <w:t>Ano</w:t>
      </w:r>
      <w:r w:rsidR="00B82A48">
        <w:rPr>
          <w:rFonts w:ascii="Arial" w:hAnsi="Arial" w:cs="Arial"/>
          <w:bCs/>
          <w:i/>
        </w:rPr>
        <w:t>ther</w:t>
      </w:r>
      <w:r w:rsidRPr="007034E7">
        <w:rPr>
          <w:rFonts w:ascii="Arial" w:hAnsi="Arial" w:cs="Arial"/>
          <w:bCs/>
          <w:i/>
        </w:rPr>
        <w:t xml:space="preserve"> </w:t>
      </w:r>
      <w:r w:rsidRPr="007034E7">
        <w:rPr>
          <w:rFonts w:ascii="Arial" w:hAnsi="Arial" w:cs="Arial"/>
          <w:bCs/>
        </w:rPr>
        <w:t xml:space="preserve">(Case no </w:t>
      </w:r>
      <w:r w:rsidR="00B82A48">
        <w:rPr>
          <w:rFonts w:ascii="Arial" w:hAnsi="Arial" w:cs="Arial"/>
          <w:bCs/>
        </w:rPr>
        <w:t>CA &amp; R 65/22</w:t>
      </w:r>
      <w:r w:rsidRPr="00A60B86">
        <w:rPr>
          <w:rFonts w:ascii="Arial" w:hAnsi="Arial" w:cs="Arial"/>
          <w:bCs/>
        </w:rPr>
        <w:t>) (</w:t>
      </w:r>
      <w:r w:rsidR="00A60B86">
        <w:rPr>
          <w:rFonts w:ascii="Arial" w:hAnsi="Arial" w:cs="Arial"/>
          <w:bCs/>
        </w:rPr>
        <w:t>23</w:t>
      </w:r>
      <w:r w:rsidRPr="00A60B86">
        <w:rPr>
          <w:rFonts w:ascii="Arial" w:hAnsi="Arial" w:cs="Arial"/>
          <w:bCs/>
        </w:rPr>
        <w:t xml:space="preserve"> </w:t>
      </w:r>
      <w:r w:rsidR="00742361" w:rsidRPr="00A60B86">
        <w:rPr>
          <w:rFonts w:ascii="Arial" w:hAnsi="Arial" w:cs="Arial"/>
          <w:bCs/>
        </w:rPr>
        <w:t>F</w:t>
      </w:r>
      <w:r w:rsidR="00742361">
        <w:rPr>
          <w:rFonts w:ascii="Arial" w:hAnsi="Arial" w:cs="Arial"/>
          <w:bCs/>
        </w:rPr>
        <w:t>ebruary</w:t>
      </w:r>
      <w:r w:rsidR="00B854AC">
        <w:rPr>
          <w:rFonts w:ascii="Arial" w:hAnsi="Arial" w:cs="Arial"/>
          <w:bCs/>
        </w:rPr>
        <w:t xml:space="preserve"> </w:t>
      </w:r>
      <w:r w:rsidRPr="007034E7">
        <w:rPr>
          <w:rFonts w:ascii="Arial" w:hAnsi="Arial" w:cs="Arial"/>
          <w:bCs/>
        </w:rPr>
        <w:t>202</w:t>
      </w:r>
      <w:r w:rsidR="00A40C23">
        <w:rPr>
          <w:rFonts w:ascii="Arial" w:hAnsi="Arial" w:cs="Arial"/>
          <w:bCs/>
        </w:rPr>
        <w:t>4</w:t>
      </w:r>
      <w:r w:rsidRPr="007034E7">
        <w:rPr>
          <w:rFonts w:ascii="Arial" w:hAnsi="Arial" w:cs="Arial"/>
          <w:bCs/>
        </w:rPr>
        <w:t>)</w:t>
      </w:r>
    </w:p>
    <w:p w:rsidR="007034E7" w:rsidRPr="007034E7" w:rsidRDefault="007034E7" w:rsidP="007034E7">
      <w:pPr>
        <w:spacing w:after="240" w:line="360" w:lineRule="auto"/>
        <w:ind w:left="1440" w:hanging="1440"/>
        <w:rPr>
          <w:rFonts w:ascii="Arial" w:hAnsi="Arial" w:cs="Arial"/>
          <w:bCs/>
        </w:rPr>
      </w:pPr>
      <w:r w:rsidRPr="007034E7">
        <w:rPr>
          <w:rFonts w:ascii="Arial" w:hAnsi="Arial" w:cs="Arial"/>
          <w:b/>
          <w:bCs/>
        </w:rPr>
        <w:t>Coram:</w:t>
      </w:r>
      <w:r w:rsidRPr="007034E7">
        <w:rPr>
          <w:rFonts w:ascii="Arial" w:hAnsi="Arial" w:cs="Arial"/>
          <w:b/>
          <w:bCs/>
        </w:rPr>
        <w:tab/>
      </w:r>
      <w:r w:rsidR="00DD4148" w:rsidRPr="00DD4148">
        <w:rPr>
          <w:rFonts w:ascii="Arial" w:hAnsi="Arial" w:cs="Arial"/>
          <w:bCs/>
        </w:rPr>
        <w:t xml:space="preserve">PHATSHOANE </w:t>
      </w:r>
      <w:r w:rsidR="00B82A48">
        <w:rPr>
          <w:rFonts w:ascii="Arial" w:hAnsi="Arial" w:cs="Arial"/>
          <w:bCs/>
        </w:rPr>
        <w:t>A</w:t>
      </w:r>
      <w:r w:rsidR="00DD4148" w:rsidRPr="00DD4148">
        <w:rPr>
          <w:rFonts w:ascii="Arial" w:hAnsi="Arial" w:cs="Arial"/>
          <w:bCs/>
        </w:rPr>
        <w:t xml:space="preserve">JP, </w:t>
      </w:r>
      <w:r w:rsidR="00B82A48">
        <w:rPr>
          <w:rFonts w:ascii="Arial" w:hAnsi="Arial" w:cs="Arial"/>
          <w:bCs/>
        </w:rPr>
        <w:t>NXUMALO J</w:t>
      </w:r>
      <w:r w:rsidR="00DD4148">
        <w:rPr>
          <w:rFonts w:ascii="Arial" w:hAnsi="Arial" w:cs="Arial"/>
          <w:b/>
          <w:bCs/>
        </w:rPr>
        <w:t xml:space="preserve"> </w:t>
      </w:r>
      <w:r w:rsidRPr="007034E7">
        <w:rPr>
          <w:rFonts w:ascii="Arial" w:hAnsi="Arial" w:cs="Arial"/>
          <w:bCs/>
        </w:rPr>
        <w:t xml:space="preserve">and </w:t>
      </w:r>
      <w:r w:rsidR="00B82A48">
        <w:rPr>
          <w:rFonts w:ascii="Arial" w:hAnsi="Arial" w:cs="Arial"/>
          <w:bCs/>
        </w:rPr>
        <w:t xml:space="preserve">OLIVIER </w:t>
      </w:r>
      <w:r w:rsidR="00654905">
        <w:rPr>
          <w:rFonts w:ascii="Arial" w:hAnsi="Arial" w:cs="Arial"/>
          <w:bCs/>
        </w:rPr>
        <w:t>A</w:t>
      </w:r>
      <w:r w:rsidR="00DD4148">
        <w:rPr>
          <w:rFonts w:ascii="Arial" w:hAnsi="Arial" w:cs="Arial"/>
          <w:bCs/>
        </w:rPr>
        <w:t>J</w:t>
      </w:r>
    </w:p>
    <w:p w:rsidR="00102DB7" w:rsidRPr="00756C5F" w:rsidRDefault="00102DB7" w:rsidP="00B854AC">
      <w:pPr>
        <w:adjustRightInd w:val="0"/>
        <w:snapToGrid w:val="0"/>
        <w:spacing w:before="0" w:beforeAutospacing="0" w:after="0" w:afterAutospacing="0" w:line="360" w:lineRule="auto"/>
        <w:ind w:left="720" w:hanging="720"/>
        <w:jc w:val="both"/>
        <w:rPr>
          <w:rFonts w:ascii="Arial" w:hAnsi="Arial" w:cs="Arial"/>
          <w:color w:val="000000" w:themeColor="text1"/>
          <w:lang w:val="en-GB"/>
        </w:rPr>
      </w:pPr>
      <w:r w:rsidRPr="007034E7">
        <w:rPr>
          <w:rFonts w:ascii="Arial" w:hAnsi="Arial" w:cs="Arial"/>
          <w:b/>
          <w:color w:val="000000" w:themeColor="text1"/>
          <w:lang w:val="en-GB"/>
        </w:rPr>
        <w:t>Heard:</w:t>
      </w:r>
      <w:r w:rsidR="00E047F8" w:rsidRPr="007034E7">
        <w:rPr>
          <w:rFonts w:ascii="Arial" w:hAnsi="Arial" w:cs="Arial"/>
          <w:b/>
          <w:color w:val="000000" w:themeColor="text1"/>
          <w:lang w:val="en-GB"/>
        </w:rPr>
        <w:t xml:space="preserve"> </w:t>
      </w:r>
      <w:r w:rsidR="00B82A48" w:rsidRPr="00756C5F">
        <w:rPr>
          <w:rFonts w:ascii="Arial" w:hAnsi="Arial" w:cs="Arial"/>
          <w:color w:val="000000" w:themeColor="text1"/>
          <w:lang w:val="en-GB"/>
        </w:rPr>
        <w:t>16 October 2023</w:t>
      </w:r>
    </w:p>
    <w:p w:rsidR="00102DB7" w:rsidRPr="007034E7" w:rsidRDefault="00102DB7" w:rsidP="00B854AC">
      <w:pPr>
        <w:adjustRightInd w:val="0"/>
        <w:snapToGrid w:val="0"/>
        <w:spacing w:before="0" w:beforeAutospacing="0" w:after="0" w:afterAutospacing="0" w:line="360" w:lineRule="auto"/>
        <w:ind w:left="720" w:hanging="720"/>
        <w:jc w:val="both"/>
        <w:rPr>
          <w:rFonts w:ascii="Arial" w:hAnsi="Arial" w:cs="Arial"/>
          <w:b/>
          <w:color w:val="000000" w:themeColor="text1"/>
          <w:lang w:val="en-GB"/>
        </w:rPr>
      </w:pPr>
      <w:r w:rsidRPr="007034E7">
        <w:rPr>
          <w:rFonts w:ascii="Arial" w:hAnsi="Arial" w:cs="Arial"/>
          <w:b/>
          <w:color w:val="000000" w:themeColor="text1"/>
          <w:lang w:val="en-GB"/>
        </w:rPr>
        <w:t xml:space="preserve">Delivered: </w:t>
      </w:r>
      <w:r w:rsidR="00A60B86" w:rsidRPr="00A60B86">
        <w:rPr>
          <w:rFonts w:ascii="Arial" w:hAnsi="Arial" w:cs="Arial"/>
          <w:color w:val="000000" w:themeColor="text1"/>
          <w:lang w:val="en-GB"/>
        </w:rPr>
        <w:t>23</w:t>
      </w:r>
      <w:r w:rsidR="00A60B86">
        <w:rPr>
          <w:rFonts w:ascii="Arial" w:hAnsi="Arial" w:cs="Arial"/>
          <w:b/>
          <w:color w:val="000000" w:themeColor="text1"/>
          <w:lang w:val="en-GB"/>
        </w:rPr>
        <w:t xml:space="preserve"> </w:t>
      </w:r>
      <w:r w:rsidR="00742361">
        <w:rPr>
          <w:rFonts w:ascii="Arial" w:hAnsi="Arial" w:cs="Arial"/>
          <w:color w:val="000000" w:themeColor="text1"/>
          <w:lang w:val="en-GB"/>
        </w:rPr>
        <w:t xml:space="preserve">February </w:t>
      </w:r>
      <w:r w:rsidR="00585957" w:rsidRPr="007034E7">
        <w:rPr>
          <w:rFonts w:ascii="Arial" w:hAnsi="Arial" w:cs="Arial"/>
          <w:color w:val="000000" w:themeColor="text1"/>
          <w:lang w:val="en-GB"/>
        </w:rPr>
        <w:t>202</w:t>
      </w:r>
      <w:r w:rsidR="00A40C23">
        <w:rPr>
          <w:rFonts w:ascii="Arial" w:hAnsi="Arial" w:cs="Arial"/>
          <w:color w:val="000000" w:themeColor="text1"/>
          <w:lang w:val="en-GB"/>
        </w:rPr>
        <w:t>4</w:t>
      </w:r>
    </w:p>
    <w:p w:rsidR="00E047F8" w:rsidRPr="00E047F8" w:rsidRDefault="00E047F8" w:rsidP="00E047F8">
      <w:pPr>
        <w:pBdr>
          <w:top w:val="single" w:sz="12" w:space="1" w:color="auto"/>
          <w:bottom w:val="single" w:sz="12" w:space="1" w:color="auto"/>
        </w:pBdr>
        <w:adjustRightInd w:val="0"/>
        <w:snapToGrid w:val="0"/>
        <w:spacing w:before="240" w:after="120" w:line="360" w:lineRule="auto"/>
        <w:jc w:val="both"/>
        <w:rPr>
          <w:rFonts w:ascii="Arial" w:hAnsi="Arial" w:cs="Arial"/>
          <w:b/>
          <w:color w:val="000000" w:themeColor="text1"/>
          <w:sz w:val="28"/>
          <w:szCs w:val="28"/>
          <w:lang w:val="en-GB"/>
        </w:rPr>
      </w:pPr>
      <w:r>
        <w:rPr>
          <w:rFonts w:ascii="Arial" w:hAnsi="Arial" w:cs="Arial"/>
          <w:b/>
          <w:color w:val="000000" w:themeColor="text1"/>
          <w:sz w:val="22"/>
          <w:szCs w:val="22"/>
          <w:lang w:val="en-GB"/>
        </w:rPr>
        <w:tab/>
      </w:r>
      <w:r>
        <w:rPr>
          <w:rFonts w:ascii="Arial" w:hAnsi="Arial" w:cs="Arial"/>
          <w:b/>
          <w:color w:val="000000" w:themeColor="text1"/>
          <w:sz w:val="22"/>
          <w:szCs w:val="22"/>
          <w:lang w:val="en-GB"/>
        </w:rPr>
        <w:tab/>
      </w:r>
      <w:r>
        <w:rPr>
          <w:rFonts w:ascii="Arial" w:hAnsi="Arial" w:cs="Arial"/>
          <w:b/>
          <w:color w:val="000000" w:themeColor="text1"/>
          <w:sz w:val="22"/>
          <w:szCs w:val="22"/>
          <w:lang w:val="en-GB"/>
        </w:rPr>
        <w:tab/>
      </w:r>
      <w:r>
        <w:rPr>
          <w:rFonts w:ascii="Arial" w:hAnsi="Arial" w:cs="Arial"/>
          <w:b/>
          <w:color w:val="000000" w:themeColor="text1"/>
          <w:sz w:val="22"/>
          <w:szCs w:val="22"/>
          <w:lang w:val="en-GB"/>
        </w:rPr>
        <w:tab/>
      </w:r>
      <w:r>
        <w:rPr>
          <w:rFonts w:ascii="Arial" w:hAnsi="Arial" w:cs="Arial"/>
          <w:b/>
          <w:color w:val="000000" w:themeColor="text1"/>
          <w:sz w:val="22"/>
          <w:szCs w:val="22"/>
          <w:lang w:val="en-GB"/>
        </w:rPr>
        <w:tab/>
      </w:r>
      <w:r w:rsidRPr="00E047F8">
        <w:rPr>
          <w:rFonts w:ascii="Arial" w:hAnsi="Arial" w:cs="Arial"/>
          <w:b/>
          <w:color w:val="000000" w:themeColor="text1"/>
          <w:sz w:val="28"/>
          <w:szCs w:val="28"/>
          <w:lang w:val="en-GB"/>
        </w:rPr>
        <w:t>Judgment</w:t>
      </w:r>
    </w:p>
    <w:p w:rsidR="00102DB7" w:rsidRDefault="00E047F8" w:rsidP="00064F58">
      <w:pPr>
        <w:adjustRightInd w:val="0"/>
        <w:snapToGrid w:val="0"/>
        <w:spacing w:before="240" w:after="120" w:line="360" w:lineRule="auto"/>
        <w:ind w:left="720" w:hanging="720"/>
        <w:jc w:val="both"/>
        <w:rPr>
          <w:rFonts w:ascii="Arial" w:hAnsi="Arial" w:cs="Arial"/>
          <w:color w:val="000000" w:themeColor="text1"/>
          <w:lang w:val="en-GB"/>
        </w:rPr>
      </w:pPr>
      <w:r>
        <w:rPr>
          <w:rFonts w:ascii="Arial" w:hAnsi="Arial" w:cs="Arial"/>
          <w:color w:val="000000" w:themeColor="text1"/>
          <w:lang w:val="en-GB"/>
        </w:rPr>
        <w:t>Phatshoane</w:t>
      </w:r>
      <w:r w:rsidR="00102DB7">
        <w:rPr>
          <w:rFonts w:ascii="Arial" w:hAnsi="Arial" w:cs="Arial"/>
          <w:color w:val="000000" w:themeColor="text1"/>
          <w:lang w:val="en-GB"/>
        </w:rPr>
        <w:t xml:space="preserve"> </w:t>
      </w:r>
      <w:r w:rsidR="00B82A48">
        <w:rPr>
          <w:rFonts w:ascii="Arial" w:hAnsi="Arial" w:cs="Arial"/>
          <w:color w:val="000000" w:themeColor="text1"/>
          <w:lang w:val="en-GB"/>
        </w:rPr>
        <w:t>A</w:t>
      </w:r>
      <w:r w:rsidR="0018701E">
        <w:rPr>
          <w:rFonts w:ascii="Arial" w:hAnsi="Arial" w:cs="Arial"/>
          <w:color w:val="000000" w:themeColor="text1"/>
          <w:lang w:val="en-GB"/>
        </w:rPr>
        <w:t>JP</w:t>
      </w:r>
    </w:p>
    <w:p w:rsidR="006C0002" w:rsidRPr="008D0B74" w:rsidRDefault="006C0002" w:rsidP="00064F58">
      <w:pPr>
        <w:adjustRightInd w:val="0"/>
        <w:snapToGrid w:val="0"/>
        <w:spacing w:before="240" w:after="120" w:line="360" w:lineRule="auto"/>
        <w:ind w:left="720" w:hanging="720"/>
        <w:jc w:val="both"/>
        <w:rPr>
          <w:rFonts w:ascii="Arial" w:hAnsi="Arial" w:cs="Arial"/>
          <w:b/>
          <w:color w:val="000000" w:themeColor="text1"/>
          <w:lang w:val="en-GB"/>
        </w:rPr>
      </w:pPr>
      <w:r w:rsidRPr="008D0B74">
        <w:rPr>
          <w:rFonts w:ascii="Arial" w:hAnsi="Arial" w:cs="Arial"/>
          <w:b/>
          <w:color w:val="000000" w:themeColor="text1"/>
          <w:lang w:val="en-GB"/>
        </w:rPr>
        <w:t>Introduction</w:t>
      </w:r>
    </w:p>
    <w:p w:rsidR="00264664" w:rsidRDefault="006D01AA" w:rsidP="003F2FAE">
      <w:pPr>
        <w:tabs>
          <w:tab w:val="left" w:pos="567"/>
        </w:tabs>
        <w:spacing w:line="360" w:lineRule="auto"/>
        <w:ind w:left="567" w:hanging="567"/>
        <w:jc w:val="both"/>
        <w:rPr>
          <w:rFonts w:ascii="Arial" w:hAnsi="Arial" w:cs="Arial"/>
        </w:rPr>
      </w:pPr>
      <w:r>
        <w:rPr>
          <w:rFonts w:ascii="Arial" w:hAnsi="Arial" w:cs="Arial"/>
        </w:rPr>
        <w:t xml:space="preserve">[1] </w:t>
      </w:r>
      <w:r>
        <w:rPr>
          <w:rFonts w:ascii="Arial" w:hAnsi="Arial" w:cs="Arial"/>
        </w:rPr>
        <w:tab/>
      </w:r>
      <w:r w:rsidR="003F2FAE">
        <w:rPr>
          <w:rFonts w:ascii="Arial" w:hAnsi="Arial" w:cs="Arial"/>
        </w:rPr>
        <w:t>Th</w:t>
      </w:r>
      <w:r w:rsidR="007931F7">
        <w:rPr>
          <w:rFonts w:ascii="Arial" w:hAnsi="Arial" w:cs="Arial"/>
        </w:rPr>
        <w:t>is</w:t>
      </w:r>
      <w:r w:rsidR="003F2FAE">
        <w:rPr>
          <w:rFonts w:ascii="Arial" w:hAnsi="Arial" w:cs="Arial"/>
        </w:rPr>
        <w:t xml:space="preserve"> appeal</w:t>
      </w:r>
      <w:r w:rsidR="00DE398A">
        <w:rPr>
          <w:rFonts w:ascii="Arial" w:hAnsi="Arial" w:cs="Arial"/>
        </w:rPr>
        <w:t>,</w:t>
      </w:r>
      <w:r w:rsidR="003F2FAE">
        <w:rPr>
          <w:rFonts w:ascii="Arial" w:hAnsi="Arial" w:cs="Arial"/>
        </w:rPr>
        <w:t xml:space="preserve"> </w:t>
      </w:r>
      <w:r w:rsidR="00B854AC">
        <w:rPr>
          <w:rFonts w:ascii="Arial" w:hAnsi="Arial" w:cs="Arial"/>
        </w:rPr>
        <w:t>with leave of the court a quo</w:t>
      </w:r>
      <w:r w:rsidR="00DE398A">
        <w:rPr>
          <w:rFonts w:ascii="Arial" w:hAnsi="Arial" w:cs="Arial"/>
        </w:rPr>
        <w:t xml:space="preserve"> (per Moses AJ),</w:t>
      </w:r>
      <w:r w:rsidR="00B854AC">
        <w:rPr>
          <w:rFonts w:ascii="Arial" w:hAnsi="Arial" w:cs="Arial"/>
        </w:rPr>
        <w:t xml:space="preserve"> was initially </w:t>
      </w:r>
      <w:r w:rsidR="00CF1D22">
        <w:rPr>
          <w:rFonts w:ascii="Arial" w:hAnsi="Arial" w:cs="Arial"/>
        </w:rPr>
        <w:t xml:space="preserve">on </w:t>
      </w:r>
      <w:r w:rsidR="007931F7">
        <w:rPr>
          <w:rFonts w:ascii="Arial" w:hAnsi="Arial" w:cs="Arial"/>
        </w:rPr>
        <w:t xml:space="preserve">a </w:t>
      </w:r>
      <w:r w:rsidR="00F935A4">
        <w:rPr>
          <w:rFonts w:ascii="Arial" w:hAnsi="Arial" w:cs="Arial"/>
        </w:rPr>
        <w:t>limited</w:t>
      </w:r>
      <w:r w:rsidR="00B854AC">
        <w:rPr>
          <w:rFonts w:ascii="Arial" w:hAnsi="Arial" w:cs="Arial"/>
        </w:rPr>
        <w:t xml:space="preserve"> </w:t>
      </w:r>
      <w:r w:rsidR="00CF1D22">
        <w:rPr>
          <w:rFonts w:ascii="Arial" w:hAnsi="Arial" w:cs="Arial"/>
        </w:rPr>
        <w:t>basis</w:t>
      </w:r>
      <w:r w:rsidR="007530BB">
        <w:rPr>
          <w:rFonts w:ascii="Arial" w:hAnsi="Arial" w:cs="Arial"/>
        </w:rPr>
        <w:t xml:space="preserve">. </w:t>
      </w:r>
      <w:r w:rsidR="00A40C23">
        <w:rPr>
          <w:rFonts w:ascii="Arial" w:hAnsi="Arial" w:cs="Arial"/>
        </w:rPr>
        <w:t>I</w:t>
      </w:r>
      <w:r w:rsidR="007530BB">
        <w:rPr>
          <w:rFonts w:ascii="Arial" w:hAnsi="Arial" w:cs="Arial"/>
        </w:rPr>
        <w:t xml:space="preserve">t is </w:t>
      </w:r>
      <w:r w:rsidR="004A10A7">
        <w:rPr>
          <w:rFonts w:ascii="Arial" w:hAnsi="Arial" w:cs="Arial"/>
        </w:rPr>
        <w:t>now on unqualified terms</w:t>
      </w:r>
      <w:r w:rsidR="00DE398A">
        <w:rPr>
          <w:rFonts w:ascii="Arial" w:hAnsi="Arial" w:cs="Arial"/>
        </w:rPr>
        <w:t xml:space="preserve">, </w:t>
      </w:r>
      <w:r w:rsidR="00F935A4">
        <w:rPr>
          <w:rFonts w:ascii="Arial" w:hAnsi="Arial" w:cs="Arial"/>
        </w:rPr>
        <w:t xml:space="preserve">with leave of </w:t>
      </w:r>
      <w:r w:rsidR="00DE398A">
        <w:rPr>
          <w:rFonts w:ascii="Arial" w:hAnsi="Arial" w:cs="Arial"/>
        </w:rPr>
        <w:t>t</w:t>
      </w:r>
      <w:r w:rsidR="00B854AC">
        <w:rPr>
          <w:rFonts w:ascii="Arial" w:hAnsi="Arial" w:cs="Arial"/>
        </w:rPr>
        <w:t>he Supreme Court of Appeal</w:t>
      </w:r>
      <w:r w:rsidR="004A10A7">
        <w:rPr>
          <w:rFonts w:ascii="Arial" w:hAnsi="Arial" w:cs="Arial"/>
        </w:rPr>
        <w:t>,</w:t>
      </w:r>
      <w:r w:rsidR="00B854AC">
        <w:rPr>
          <w:rFonts w:ascii="Arial" w:hAnsi="Arial" w:cs="Arial"/>
        </w:rPr>
        <w:t xml:space="preserve"> </w:t>
      </w:r>
      <w:r w:rsidR="009A0C2A">
        <w:rPr>
          <w:rFonts w:ascii="Arial" w:hAnsi="Arial" w:cs="Arial"/>
        </w:rPr>
        <w:lastRenderedPageBreak/>
        <w:t xml:space="preserve">against the whole of the judgment and order </w:t>
      </w:r>
      <w:r w:rsidR="003B4CBE">
        <w:rPr>
          <w:rFonts w:ascii="Arial" w:hAnsi="Arial" w:cs="Arial"/>
        </w:rPr>
        <w:t>of the court a quo</w:t>
      </w:r>
      <w:r w:rsidR="0001387A">
        <w:rPr>
          <w:rFonts w:ascii="Arial" w:hAnsi="Arial" w:cs="Arial"/>
        </w:rPr>
        <w:t xml:space="preserve"> in which it had directed that </w:t>
      </w:r>
      <w:r w:rsidR="0001387A">
        <w:rPr>
          <w:rFonts w:ascii="Arial" w:hAnsi="Arial" w:cs="Arial"/>
          <w:color w:val="000000"/>
        </w:rPr>
        <w:t>QCK Lezmin 4791 CC (QCK)</w:t>
      </w:r>
      <w:r w:rsidR="00A376BC" w:rsidRPr="00A376BC">
        <w:rPr>
          <w:rFonts w:ascii="Arial" w:hAnsi="Arial" w:cs="Arial"/>
          <w:color w:val="000000"/>
        </w:rPr>
        <w:t xml:space="preserve"> </w:t>
      </w:r>
      <w:r w:rsidR="00A376BC">
        <w:rPr>
          <w:rFonts w:ascii="Arial" w:hAnsi="Arial" w:cs="Arial"/>
          <w:color w:val="000000"/>
        </w:rPr>
        <w:t>and</w:t>
      </w:r>
      <w:r w:rsidR="00A376BC" w:rsidRPr="0001387A">
        <w:rPr>
          <w:rFonts w:ascii="Arial" w:hAnsi="Arial" w:cs="Arial"/>
          <w:color w:val="000000"/>
        </w:rPr>
        <w:t xml:space="preserve"> </w:t>
      </w:r>
      <w:r w:rsidR="00A376BC">
        <w:rPr>
          <w:rFonts w:ascii="Arial" w:hAnsi="Arial" w:cs="Arial"/>
          <w:color w:val="000000"/>
        </w:rPr>
        <w:t xml:space="preserve"> Dulostyle (Pty) Ltd (Dulostyle)</w:t>
      </w:r>
      <w:r w:rsidR="0001387A">
        <w:rPr>
          <w:rFonts w:ascii="Arial" w:hAnsi="Arial" w:cs="Arial"/>
          <w:color w:val="000000"/>
        </w:rPr>
        <w:t xml:space="preserve">, the first </w:t>
      </w:r>
      <w:r w:rsidR="00E04030">
        <w:rPr>
          <w:rFonts w:ascii="Arial" w:hAnsi="Arial" w:cs="Arial"/>
          <w:color w:val="000000"/>
        </w:rPr>
        <w:t xml:space="preserve">and </w:t>
      </w:r>
      <w:r w:rsidR="0001387A">
        <w:rPr>
          <w:rFonts w:ascii="Arial" w:hAnsi="Arial" w:cs="Arial"/>
          <w:color w:val="000000"/>
        </w:rPr>
        <w:t xml:space="preserve">third appellant,  restore to Sikhova Importers CC (Sikhova), the first respondent, its peaceful and undisturbed possession of </w:t>
      </w:r>
      <w:r w:rsidR="006B1210">
        <w:rPr>
          <w:rFonts w:ascii="Arial" w:hAnsi="Arial" w:cs="Arial"/>
          <w:color w:val="000000"/>
        </w:rPr>
        <w:t xml:space="preserve">a certain </w:t>
      </w:r>
      <w:r w:rsidR="00CE2634">
        <w:rPr>
          <w:rFonts w:ascii="Arial" w:hAnsi="Arial" w:cs="Arial"/>
          <w:color w:val="000000"/>
        </w:rPr>
        <w:t xml:space="preserve">remainder of </w:t>
      </w:r>
      <w:r w:rsidR="00E04030">
        <w:rPr>
          <w:rFonts w:ascii="Arial" w:hAnsi="Arial" w:cs="Arial"/>
          <w:color w:val="000000"/>
        </w:rPr>
        <w:t xml:space="preserve">a </w:t>
      </w:r>
      <w:r w:rsidR="004C161A">
        <w:rPr>
          <w:rFonts w:ascii="Arial" w:hAnsi="Arial" w:cs="Arial"/>
          <w:color w:val="000000"/>
        </w:rPr>
        <w:t xml:space="preserve">farm </w:t>
      </w:r>
      <w:r w:rsidR="0001387A">
        <w:rPr>
          <w:rFonts w:ascii="Arial" w:hAnsi="Arial" w:cs="Arial"/>
          <w:color w:val="000000"/>
        </w:rPr>
        <w:t xml:space="preserve">known as Koedoeskloof 602, </w:t>
      </w:r>
      <w:r w:rsidR="00DC4B6C">
        <w:rPr>
          <w:rFonts w:ascii="Arial" w:hAnsi="Arial" w:cs="Arial"/>
          <w:color w:val="000000"/>
        </w:rPr>
        <w:t>Grie</w:t>
      </w:r>
      <w:r w:rsidR="007A5A0B">
        <w:rPr>
          <w:rFonts w:ascii="Arial" w:hAnsi="Arial" w:cs="Arial"/>
          <w:color w:val="000000"/>
        </w:rPr>
        <w:t xml:space="preserve">kwastad, </w:t>
      </w:r>
      <w:r w:rsidR="0001387A">
        <w:rPr>
          <w:rFonts w:ascii="Arial" w:hAnsi="Arial" w:cs="Arial"/>
          <w:color w:val="000000"/>
        </w:rPr>
        <w:t>Northern Cape</w:t>
      </w:r>
      <w:r w:rsidR="00F52B86">
        <w:rPr>
          <w:rFonts w:ascii="Arial" w:hAnsi="Arial" w:cs="Arial"/>
          <w:color w:val="000000"/>
        </w:rPr>
        <w:t>,</w:t>
      </w:r>
      <w:r w:rsidR="0001387A">
        <w:rPr>
          <w:rFonts w:ascii="Arial" w:hAnsi="Arial" w:cs="Arial"/>
          <w:color w:val="000000"/>
        </w:rPr>
        <w:t xml:space="preserve"> including </w:t>
      </w:r>
      <w:r w:rsidR="00E04030">
        <w:rPr>
          <w:rFonts w:ascii="Arial" w:hAnsi="Arial" w:cs="Arial"/>
          <w:color w:val="000000"/>
        </w:rPr>
        <w:t xml:space="preserve">some </w:t>
      </w:r>
      <w:r w:rsidR="0001387A">
        <w:rPr>
          <w:rFonts w:ascii="Arial" w:hAnsi="Arial" w:cs="Arial"/>
          <w:color w:val="000000"/>
        </w:rPr>
        <w:t>machines and equipment moved by Sikhova on</w:t>
      </w:r>
      <w:r w:rsidR="00FF5BCD">
        <w:rPr>
          <w:rFonts w:ascii="Arial" w:hAnsi="Arial" w:cs="Arial"/>
          <w:color w:val="000000"/>
        </w:rPr>
        <w:t>to</w:t>
      </w:r>
      <w:r w:rsidR="0001387A">
        <w:rPr>
          <w:rFonts w:ascii="Arial" w:hAnsi="Arial" w:cs="Arial"/>
          <w:color w:val="000000"/>
        </w:rPr>
        <w:t xml:space="preserve"> th</w:t>
      </w:r>
      <w:r w:rsidR="004A10A7">
        <w:rPr>
          <w:rFonts w:ascii="Arial" w:hAnsi="Arial" w:cs="Arial"/>
          <w:color w:val="000000"/>
        </w:rPr>
        <w:t xml:space="preserve">at </w:t>
      </w:r>
      <w:r w:rsidR="0001387A">
        <w:rPr>
          <w:rFonts w:ascii="Arial" w:hAnsi="Arial" w:cs="Arial"/>
          <w:color w:val="000000"/>
        </w:rPr>
        <w:t xml:space="preserve">property; ordering </w:t>
      </w:r>
      <w:r w:rsidR="000E0E12">
        <w:rPr>
          <w:rFonts w:ascii="Arial" w:hAnsi="Arial" w:cs="Arial"/>
          <w:color w:val="000000"/>
        </w:rPr>
        <w:t xml:space="preserve">Sikhova </w:t>
      </w:r>
      <w:r w:rsidR="006B1210">
        <w:rPr>
          <w:rFonts w:ascii="Arial" w:hAnsi="Arial" w:cs="Arial"/>
          <w:color w:val="000000"/>
        </w:rPr>
        <w:t xml:space="preserve">and </w:t>
      </w:r>
      <w:r w:rsidR="006B1210" w:rsidRPr="00411D49">
        <w:rPr>
          <w:rFonts w:ascii="Arial" w:hAnsi="Arial" w:cs="Arial"/>
          <w:color w:val="000000"/>
        </w:rPr>
        <w:t>Re Hard Rock Mining (Pty) Ltd (Hard Rock), the second respondent</w:t>
      </w:r>
      <w:r w:rsidR="00512BFC">
        <w:rPr>
          <w:rFonts w:ascii="Arial" w:hAnsi="Arial" w:cs="Arial"/>
          <w:color w:val="000000"/>
        </w:rPr>
        <w:t xml:space="preserve"> (the respondents)</w:t>
      </w:r>
      <w:r w:rsidR="006B1210">
        <w:rPr>
          <w:rFonts w:ascii="Arial" w:hAnsi="Arial" w:cs="Arial"/>
          <w:color w:val="000000"/>
        </w:rPr>
        <w:t xml:space="preserve">, </w:t>
      </w:r>
      <w:r w:rsidR="0001387A">
        <w:rPr>
          <w:rFonts w:ascii="Arial" w:hAnsi="Arial" w:cs="Arial"/>
          <w:color w:val="000000"/>
        </w:rPr>
        <w:t xml:space="preserve">to pay the costs of  Dulostyle in respect </w:t>
      </w:r>
      <w:r w:rsidR="00CA0C5A">
        <w:rPr>
          <w:rFonts w:ascii="Arial" w:hAnsi="Arial" w:cs="Arial"/>
          <w:color w:val="000000"/>
        </w:rPr>
        <w:t xml:space="preserve">of </w:t>
      </w:r>
      <w:r w:rsidR="0001387A">
        <w:rPr>
          <w:rFonts w:ascii="Arial" w:hAnsi="Arial" w:cs="Arial"/>
          <w:color w:val="000000"/>
        </w:rPr>
        <w:t xml:space="preserve">the declaratory relief and dismissing </w:t>
      </w:r>
      <w:r w:rsidR="0038369A">
        <w:rPr>
          <w:rFonts w:ascii="Arial" w:hAnsi="Arial" w:cs="Arial"/>
        </w:rPr>
        <w:t>QCK and Lore</w:t>
      </w:r>
      <w:r w:rsidR="0038369A" w:rsidRPr="0001387A">
        <w:rPr>
          <w:rFonts w:ascii="Arial" w:hAnsi="Arial" w:cs="Arial"/>
          <w:color w:val="000000"/>
        </w:rPr>
        <w:t xml:space="preserve"> </w:t>
      </w:r>
      <w:r w:rsidR="0038369A">
        <w:rPr>
          <w:rFonts w:ascii="Arial" w:hAnsi="Arial" w:cs="Arial"/>
          <w:color w:val="000000"/>
        </w:rPr>
        <w:t>Trade and Investment (Pty) Ltd (Lore), the second appellant’s</w:t>
      </w:r>
      <w:r w:rsidR="004A10A7">
        <w:rPr>
          <w:rFonts w:ascii="Arial" w:hAnsi="Arial" w:cs="Arial"/>
          <w:color w:val="000000"/>
        </w:rPr>
        <w:t>,</w:t>
      </w:r>
      <w:r w:rsidR="0038369A">
        <w:rPr>
          <w:rFonts w:ascii="Arial" w:hAnsi="Arial" w:cs="Arial"/>
        </w:rPr>
        <w:t xml:space="preserve"> </w:t>
      </w:r>
      <w:r w:rsidR="00D3260F">
        <w:rPr>
          <w:rFonts w:ascii="Arial" w:hAnsi="Arial" w:cs="Arial"/>
          <w:color w:val="000000"/>
        </w:rPr>
        <w:t xml:space="preserve">application to strike-out the whole of the replying affidavit or the greater part of its paragraphs </w:t>
      </w:r>
      <w:r w:rsidR="0001387A">
        <w:rPr>
          <w:rFonts w:ascii="Arial" w:hAnsi="Arial" w:cs="Arial"/>
          <w:color w:val="000000"/>
        </w:rPr>
        <w:t>with costs</w:t>
      </w:r>
      <w:r w:rsidR="003B4CBE">
        <w:rPr>
          <w:rFonts w:ascii="Arial" w:hAnsi="Arial" w:cs="Arial"/>
        </w:rPr>
        <w:t>.</w:t>
      </w:r>
      <w:r w:rsidR="00640143" w:rsidRPr="00640143">
        <w:rPr>
          <w:rFonts w:ascii="Arial" w:hAnsi="Arial" w:cs="Arial"/>
        </w:rPr>
        <w:t xml:space="preserve"> </w:t>
      </w:r>
      <w:r w:rsidR="00640143">
        <w:rPr>
          <w:rFonts w:ascii="Arial" w:hAnsi="Arial" w:cs="Arial"/>
        </w:rPr>
        <w:t>Dulostyle did not participate in th</w:t>
      </w:r>
      <w:r w:rsidR="006B1210">
        <w:rPr>
          <w:rFonts w:ascii="Arial" w:hAnsi="Arial" w:cs="Arial"/>
        </w:rPr>
        <w:t>is</w:t>
      </w:r>
      <w:r w:rsidR="00640143">
        <w:rPr>
          <w:rFonts w:ascii="Arial" w:hAnsi="Arial" w:cs="Arial"/>
        </w:rPr>
        <w:t xml:space="preserve"> appeal.</w:t>
      </w:r>
    </w:p>
    <w:p w:rsidR="006C0002" w:rsidRPr="008D0B74" w:rsidRDefault="006C0002" w:rsidP="003F2FAE">
      <w:pPr>
        <w:tabs>
          <w:tab w:val="left" w:pos="567"/>
        </w:tabs>
        <w:spacing w:line="360" w:lineRule="auto"/>
        <w:ind w:left="567" w:hanging="567"/>
        <w:jc w:val="both"/>
        <w:rPr>
          <w:rFonts w:ascii="Arial" w:hAnsi="Arial" w:cs="Arial"/>
          <w:b/>
        </w:rPr>
      </w:pPr>
      <w:r w:rsidRPr="008D0B74">
        <w:rPr>
          <w:rFonts w:ascii="Arial" w:hAnsi="Arial" w:cs="Arial"/>
          <w:b/>
        </w:rPr>
        <w:t>Applications for condonation</w:t>
      </w:r>
    </w:p>
    <w:p w:rsidR="003D49F5" w:rsidRPr="00411D49" w:rsidRDefault="00264664" w:rsidP="00DD4148">
      <w:pPr>
        <w:tabs>
          <w:tab w:val="left" w:pos="567"/>
        </w:tabs>
        <w:spacing w:line="360" w:lineRule="auto"/>
        <w:ind w:left="567" w:hanging="567"/>
        <w:jc w:val="both"/>
        <w:rPr>
          <w:rFonts w:ascii="Arial" w:hAnsi="Arial" w:cs="Arial"/>
          <w:color w:val="000000"/>
        </w:rPr>
      </w:pPr>
      <w:r>
        <w:rPr>
          <w:rFonts w:ascii="Arial" w:hAnsi="Arial" w:cs="Arial"/>
        </w:rPr>
        <w:t>[2]</w:t>
      </w:r>
      <w:r>
        <w:rPr>
          <w:rFonts w:ascii="Arial" w:hAnsi="Arial" w:cs="Arial"/>
        </w:rPr>
        <w:tab/>
      </w:r>
      <w:r w:rsidR="00B52FDF" w:rsidRPr="00900C5B">
        <w:rPr>
          <w:rFonts w:ascii="Arial" w:hAnsi="Arial" w:cs="Arial"/>
        </w:rPr>
        <w:t>QCK and Lore defaulted in complying with rule 49</w:t>
      </w:r>
      <w:r w:rsidR="00B52FDF" w:rsidRPr="00900C5B">
        <w:rPr>
          <w:rFonts w:ascii="Arial" w:hAnsi="Arial" w:cs="Arial"/>
          <w:color w:val="000000"/>
        </w:rPr>
        <w:t>(6)</w:t>
      </w:r>
      <w:bookmarkStart w:id="1" w:name="0-0-0-60779"/>
      <w:bookmarkEnd w:id="1"/>
      <w:r w:rsidR="00B52FDF" w:rsidRPr="00900C5B">
        <w:rPr>
          <w:rFonts w:ascii="Arial" w:hAnsi="Arial" w:cs="Arial"/>
          <w:i/>
          <w:iCs/>
          <w:color w:val="000000"/>
        </w:rPr>
        <w:t>(a)</w:t>
      </w:r>
      <w:r w:rsidR="00B52FDF" w:rsidRPr="00900C5B">
        <w:rPr>
          <w:rFonts w:ascii="Arial" w:hAnsi="Arial" w:cs="Arial"/>
          <w:color w:val="000000"/>
        </w:rPr>
        <w:t xml:space="preserve"> which requires that within sixty days after delivery of a </w:t>
      </w:r>
      <w:r w:rsidR="00532BE9">
        <w:rPr>
          <w:rFonts w:ascii="Arial" w:hAnsi="Arial" w:cs="Arial"/>
          <w:color w:val="000000"/>
        </w:rPr>
        <w:t>n</w:t>
      </w:r>
      <w:r w:rsidR="00B52FDF" w:rsidRPr="00900C5B">
        <w:rPr>
          <w:rFonts w:ascii="Arial" w:hAnsi="Arial" w:cs="Arial"/>
          <w:color w:val="000000"/>
        </w:rPr>
        <w:t xml:space="preserve">otice of </w:t>
      </w:r>
      <w:r w:rsidR="00532BE9">
        <w:rPr>
          <w:rFonts w:ascii="Arial" w:hAnsi="Arial" w:cs="Arial"/>
          <w:color w:val="000000"/>
        </w:rPr>
        <w:t>a</w:t>
      </w:r>
      <w:r w:rsidR="00B52FDF" w:rsidRPr="00900C5B">
        <w:rPr>
          <w:rFonts w:ascii="Arial" w:hAnsi="Arial" w:cs="Arial"/>
          <w:color w:val="000000"/>
        </w:rPr>
        <w:t>ppeal, an appellant make written application to the registrar for a date for the hearing of the appeal and rule 49(7)(a) which provides in part that simultaneously with the application for a date for the hearing the appellant file with the registrar three copies of the record on appeal and furnish two copies to the respondent.  </w:t>
      </w:r>
      <w:r w:rsidR="00B256A2">
        <w:rPr>
          <w:rFonts w:ascii="Arial" w:hAnsi="Arial" w:cs="Arial"/>
          <w:color w:val="000000"/>
        </w:rPr>
        <w:t>The</w:t>
      </w:r>
      <w:r w:rsidR="003509D7">
        <w:rPr>
          <w:rFonts w:ascii="Arial" w:hAnsi="Arial" w:cs="Arial"/>
          <w:color w:val="000000"/>
        </w:rPr>
        <w:t>refore</w:t>
      </w:r>
      <w:r w:rsidR="00CF1D22">
        <w:rPr>
          <w:rFonts w:ascii="Arial" w:hAnsi="Arial" w:cs="Arial"/>
          <w:color w:val="000000"/>
        </w:rPr>
        <w:t>,</w:t>
      </w:r>
      <w:r w:rsidR="003509D7">
        <w:rPr>
          <w:rFonts w:ascii="Arial" w:hAnsi="Arial" w:cs="Arial"/>
          <w:color w:val="000000"/>
        </w:rPr>
        <w:t xml:space="preserve"> they </w:t>
      </w:r>
      <w:r w:rsidR="00B256A2">
        <w:rPr>
          <w:rFonts w:ascii="Arial" w:hAnsi="Arial" w:cs="Arial"/>
          <w:color w:val="000000"/>
        </w:rPr>
        <w:t>s</w:t>
      </w:r>
      <w:r w:rsidR="00CF1D22">
        <w:rPr>
          <w:rFonts w:ascii="Arial" w:hAnsi="Arial" w:cs="Arial"/>
          <w:color w:val="000000"/>
        </w:rPr>
        <w:t xml:space="preserve">eek </w:t>
      </w:r>
      <w:r w:rsidR="00B256A2">
        <w:rPr>
          <w:rFonts w:ascii="Arial" w:hAnsi="Arial" w:cs="Arial"/>
          <w:color w:val="000000"/>
        </w:rPr>
        <w:t>condonation</w:t>
      </w:r>
      <w:r w:rsidR="00A51D7A">
        <w:rPr>
          <w:rFonts w:ascii="Arial" w:hAnsi="Arial" w:cs="Arial"/>
          <w:color w:val="000000"/>
        </w:rPr>
        <w:t xml:space="preserve"> </w:t>
      </w:r>
      <w:r w:rsidR="00B256A2">
        <w:rPr>
          <w:rFonts w:ascii="Arial" w:hAnsi="Arial" w:cs="Arial"/>
          <w:color w:val="000000"/>
        </w:rPr>
        <w:t>for non-</w:t>
      </w:r>
      <w:r w:rsidR="003D49F5">
        <w:rPr>
          <w:rFonts w:ascii="Arial" w:hAnsi="Arial" w:cs="Arial"/>
          <w:color w:val="000000"/>
        </w:rPr>
        <w:t>compliance</w:t>
      </w:r>
      <w:r w:rsidR="00B256A2">
        <w:rPr>
          <w:rFonts w:ascii="Arial" w:hAnsi="Arial" w:cs="Arial"/>
          <w:color w:val="000000"/>
        </w:rPr>
        <w:t xml:space="preserve"> and </w:t>
      </w:r>
      <w:r w:rsidR="00C27611">
        <w:rPr>
          <w:rFonts w:ascii="Arial" w:hAnsi="Arial" w:cs="Arial"/>
          <w:color w:val="000000"/>
        </w:rPr>
        <w:t xml:space="preserve">the </w:t>
      </w:r>
      <w:r w:rsidR="00B256A2">
        <w:rPr>
          <w:rFonts w:ascii="Arial" w:hAnsi="Arial" w:cs="Arial"/>
          <w:color w:val="000000"/>
        </w:rPr>
        <w:t xml:space="preserve">reinstatement of the appeal insofar as it may be deemed to have lapsed. </w:t>
      </w:r>
      <w:r w:rsidR="00B52FDF" w:rsidRPr="00900C5B">
        <w:rPr>
          <w:rFonts w:ascii="Arial" w:hAnsi="Arial" w:cs="Arial"/>
          <w:color w:val="000000"/>
        </w:rPr>
        <w:t xml:space="preserve">In their application seeking condonation they demonstrated that their attorneys acted with due diligence </w:t>
      </w:r>
      <w:r w:rsidR="00AC3A04">
        <w:rPr>
          <w:rFonts w:ascii="Arial" w:hAnsi="Arial" w:cs="Arial"/>
          <w:color w:val="000000"/>
        </w:rPr>
        <w:t xml:space="preserve">in </w:t>
      </w:r>
      <w:r w:rsidR="00C975F3">
        <w:rPr>
          <w:rFonts w:ascii="Arial" w:hAnsi="Arial" w:cs="Arial"/>
          <w:color w:val="000000"/>
        </w:rPr>
        <w:t xml:space="preserve">an </w:t>
      </w:r>
      <w:r w:rsidR="00AC3A04">
        <w:rPr>
          <w:rFonts w:ascii="Arial" w:hAnsi="Arial" w:cs="Arial"/>
          <w:color w:val="000000"/>
        </w:rPr>
        <w:t xml:space="preserve">attempt to secure the </w:t>
      </w:r>
      <w:r w:rsidR="00E04030">
        <w:rPr>
          <w:rFonts w:ascii="Arial" w:hAnsi="Arial" w:cs="Arial"/>
          <w:color w:val="000000"/>
        </w:rPr>
        <w:t xml:space="preserve">appeal </w:t>
      </w:r>
      <w:r w:rsidR="00AC3A04">
        <w:rPr>
          <w:rFonts w:ascii="Arial" w:hAnsi="Arial" w:cs="Arial"/>
          <w:color w:val="000000"/>
        </w:rPr>
        <w:t xml:space="preserve">record and had not </w:t>
      </w:r>
      <w:r w:rsidR="00900C5B" w:rsidRPr="00900C5B">
        <w:rPr>
          <w:rFonts w:ascii="Arial" w:hAnsi="Arial" w:cs="Arial"/>
          <w:color w:val="000000"/>
        </w:rPr>
        <w:t>adopt</w:t>
      </w:r>
      <w:r w:rsidR="00AC3A04">
        <w:rPr>
          <w:rFonts w:ascii="Arial" w:hAnsi="Arial" w:cs="Arial"/>
          <w:color w:val="000000"/>
        </w:rPr>
        <w:t>ed</w:t>
      </w:r>
      <w:r w:rsidR="00900C5B" w:rsidRPr="00900C5B">
        <w:rPr>
          <w:rFonts w:ascii="Arial" w:hAnsi="Arial" w:cs="Arial"/>
          <w:color w:val="000000"/>
        </w:rPr>
        <w:t xml:space="preserve"> a </w:t>
      </w:r>
      <w:r w:rsidR="00B52FDF" w:rsidRPr="00900C5B">
        <w:rPr>
          <w:rFonts w:ascii="Arial" w:hAnsi="Arial" w:cs="Arial"/>
          <w:color w:val="000000"/>
        </w:rPr>
        <w:t>supine</w:t>
      </w:r>
      <w:r w:rsidR="00900C5B" w:rsidRPr="00900C5B">
        <w:rPr>
          <w:rFonts w:ascii="Arial" w:hAnsi="Arial" w:cs="Arial"/>
          <w:color w:val="000000"/>
        </w:rPr>
        <w:t xml:space="preserve"> </w:t>
      </w:r>
      <w:r w:rsidR="00900C5B" w:rsidRPr="00411D49">
        <w:rPr>
          <w:rFonts w:ascii="Arial" w:hAnsi="Arial" w:cs="Arial"/>
          <w:color w:val="000000"/>
        </w:rPr>
        <w:t>attitude in prosecuting the appeal</w:t>
      </w:r>
      <w:r w:rsidR="00B52FDF" w:rsidRPr="00411D49">
        <w:rPr>
          <w:rFonts w:ascii="Arial" w:hAnsi="Arial" w:cs="Arial"/>
          <w:color w:val="000000"/>
        </w:rPr>
        <w:t>.</w:t>
      </w:r>
      <w:r w:rsidR="00900C5B" w:rsidRPr="00411D49">
        <w:rPr>
          <w:rFonts w:ascii="Arial" w:hAnsi="Arial" w:cs="Arial"/>
          <w:color w:val="000000"/>
        </w:rPr>
        <w:t xml:space="preserve"> </w:t>
      </w:r>
    </w:p>
    <w:p w:rsidR="00532BE9" w:rsidRDefault="003D49F5" w:rsidP="00DD4148">
      <w:pPr>
        <w:tabs>
          <w:tab w:val="left" w:pos="567"/>
        </w:tabs>
        <w:spacing w:line="360" w:lineRule="auto"/>
        <w:ind w:left="567" w:hanging="567"/>
        <w:jc w:val="both"/>
        <w:rPr>
          <w:rFonts w:ascii="Arial" w:hAnsi="Arial" w:cs="Arial"/>
          <w:color w:val="000000"/>
        </w:rPr>
      </w:pPr>
      <w:r w:rsidRPr="00411D49">
        <w:rPr>
          <w:rFonts w:ascii="Arial" w:hAnsi="Arial" w:cs="Arial"/>
          <w:color w:val="000000"/>
        </w:rPr>
        <w:t>[3]</w:t>
      </w:r>
      <w:r w:rsidRPr="00411D49">
        <w:rPr>
          <w:rFonts w:ascii="Arial" w:hAnsi="Arial" w:cs="Arial"/>
          <w:color w:val="000000"/>
        </w:rPr>
        <w:tab/>
      </w:r>
      <w:r w:rsidR="00900C5B" w:rsidRPr="00411D49">
        <w:rPr>
          <w:rFonts w:ascii="Arial" w:hAnsi="Arial" w:cs="Arial"/>
          <w:color w:val="000000"/>
        </w:rPr>
        <w:t xml:space="preserve">The record which </w:t>
      </w:r>
      <w:r w:rsidR="00CF1D22">
        <w:rPr>
          <w:rFonts w:ascii="Arial" w:hAnsi="Arial" w:cs="Arial"/>
          <w:color w:val="000000"/>
        </w:rPr>
        <w:t xml:space="preserve">they sought to file, which </w:t>
      </w:r>
      <w:r w:rsidR="00900C5B" w:rsidRPr="00411D49">
        <w:rPr>
          <w:rFonts w:ascii="Arial" w:hAnsi="Arial" w:cs="Arial"/>
          <w:color w:val="000000"/>
        </w:rPr>
        <w:t>delayed the prosecution of the appeal</w:t>
      </w:r>
      <w:r w:rsidR="00CF1D22">
        <w:rPr>
          <w:rFonts w:ascii="Arial" w:hAnsi="Arial" w:cs="Arial"/>
          <w:color w:val="000000"/>
        </w:rPr>
        <w:t>,</w:t>
      </w:r>
      <w:r w:rsidR="00900C5B" w:rsidRPr="00411D49">
        <w:rPr>
          <w:rFonts w:ascii="Arial" w:hAnsi="Arial" w:cs="Arial"/>
          <w:color w:val="000000"/>
        </w:rPr>
        <w:t xml:space="preserve"> constitute</w:t>
      </w:r>
      <w:r w:rsidR="00AF4A25">
        <w:rPr>
          <w:rFonts w:ascii="Arial" w:hAnsi="Arial" w:cs="Arial"/>
          <w:color w:val="000000"/>
        </w:rPr>
        <w:t>s</w:t>
      </w:r>
      <w:r w:rsidR="00900C5B" w:rsidRPr="00411D49">
        <w:rPr>
          <w:rFonts w:ascii="Arial" w:hAnsi="Arial" w:cs="Arial"/>
          <w:color w:val="000000"/>
        </w:rPr>
        <w:t xml:space="preserve"> </w:t>
      </w:r>
      <w:r w:rsidR="005F634B">
        <w:rPr>
          <w:rFonts w:ascii="Arial" w:hAnsi="Arial" w:cs="Arial"/>
          <w:color w:val="000000"/>
        </w:rPr>
        <w:t xml:space="preserve">of </w:t>
      </w:r>
      <w:r w:rsidR="00227185">
        <w:rPr>
          <w:rFonts w:ascii="Arial" w:hAnsi="Arial" w:cs="Arial"/>
          <w:color w:val="000000"/>
        </w:rPr>
        <w:t xml:space="preserve">oral argument </w:t>
      </w:r>
      <w:r w:rsidR="00900C5B" w:rsidRPr="00411D49">
        <w:rPr>
          <w:rFonts w:ascii="Arial" w:hAnsi="Arial" w:cs="Arial"/>
          <w:color w:val="000000"/>
        </w:rPr>
        <w:t xml:space="preserve">by counsel in the court a quo which naturally ought not to </w:t>
      </w:r>
      <w:r w:rsidR="005F634B">
        <w:rPr>
          <w:rFonts w:ascii="Arial" w:hAnsi="Arial" w:cs="Arial"/>
          <w:color w:val="000000"/>
        </w:rPr>
        <w:t xml:space="preserve">have </w:t>
      </w:r>
      <w:r w:rsidR="00900C5B" w:rsidRPr="00411D49">
        <w:rPr>
          <w:rFonts w:ascii="Arial" w:hAnsi="Arial" w:cs="Arial"/>
          <w:color w:val="000000"/>
        </w:rPr>
        <w:t>form</w:t>
      </w:r>
      <w:r w:rsidR="005F634B">
        <w:rPr>
          <w:rFonts w:ascii="Arial" w:hAnsi="Arial" w:cs="Arial"/>
          <w:color w:val="000000"/>
        </w:rPr>
        <w:t>ed</w:t>
      </w:r>
      <w:r w:rsidR="00900C5B" w:rsidRPr="00411D49">
        <w:rPr>
          <w:rFonts w:ascii="Arial" w:hAnsi="Arial" w:cs="Arial"/>
          <w:color w:val="000000"/>
        </w:rPr>
        <w:t xml:space="preserve"> part of the </w:t>
      </w:r>
      <w:r w:rsidR="00C975F3" w:rsidRPr="00411D49">
        <w:rPr>
          <w:rFonts w:ascii="Arial" w:hAnsi="Arial" w:cs="Arial"/>
          <w:color w:val="000000"/>
        </w:rPr>
        <w:t xml:space="preserve">appeal </w:t>
      </w:r>
      <w:r w:rsidR="00900C5B" w:rsidRPr="00411D49">
        <w:rPr>
          <w:rFonts w:ascii="Arial" w:hAnsi="Arial" w:cs="Arial"/>
          <w:color w:val="000000"/>
        </w:rPr>
        <w:t xml:space="preserve">record. </w:t>
      </w:r>
      <w:r w:rsidR="006D5821" w:rsidRPr="00411D49">
        <w:rPr>
          <w:rFonts w:ascii="Arial" w:hAnsi="Arial" w:cs="Arial"/>
          <w:color w:val="000000"/>
        </w:rPr>
        <w:t xml:space="preserve">The attorneys for </w:t>
      </w:r>
      <w:r w:rsidR="006D5821" w:rsidRPr="00411D49">
        <w:rPr>
          <w:rFonts w:ascii="Arial" w:hAnsi="Arial" w:cs="Arial"/>
        </w:rPr>
        <w:t xml:space="preserve">QCK and Lore stated that they </w:t>
      </w:r>
      <w:r w:rsidR="000760E7">
        <w:rPr>
          <w:rFonts w:ascii="Arial" w:hAnsi="Arial" w:cs="Arial"/>
        </w:rPr>
        <w:t xml:space="preserve">laboured under the </w:t>
      </w:r>
      <w:r w:rsidR="004029D2">
        <w:rPr>
          <w:rFonts w:ascii="Arial" w:hAnsi="Arial" w:cs="Arial"/>
        </w:rPr>
        <w:t>misapprehension</w:t>
      </w:r>
      <w:r w:rsidR="000760E7">
        <w:rPr>
          <w:rFonts w:ascii="Arial" w:hAnsi="Arial" w:cs="Arial"/>
        </w:rPr>
        <w:t xml:space="preserve"> </w:t>
      </w:r>
      <w:r w:rsidR="00281233">
        <w:rPr>
          <w:rFonts w:ascii="Arial" w:hAnsi="Arial" w:cs="Arial"/>
        </w:rPr>
        <w:t xml:space="preserve">that the filing of the record concerned was necessary and </w:t>
      </w:r>
      <w:r w:rsidR="004029D2">
        <w:rPr>
          <w:rFonts w:ascii="Arial" w:hAnsi="Arial" w:cs="Arial"/>
        </w:rPr>
        <w:t>were</w:t>
      </w:r>
      <w:r w:rsidR="00281233">
        <w:rPr>
          <w:rFonts w:ascii="Arial" w:hAnsi="Arial" w:cs="Arial"/>
        </w:rPr>
        <w:t xml:space="preserve"> </w:t>
      </w:r>
      <w:r w:rsidR="006D5821" w:rsidRPr="00411D49">
        <w:rPr>
          <w:rFonts w:ascii="Arial" w:hAnsi="Arial" w:cs="Arial"/>
        </w:rPr>
        <w:t>incorrectly advised by the registrar’</w:t>
      </w:r>
      <w:r w:rsidR="00E4222E">
        <w:rPr>
          <w:rFonts w:ascii="Arial" w:hAnsi="Arial" w:cs="Arial"/>
        </w:rPr>
        <w:t>s</w:t>
      </w:r>
      <w:r w:rsidR="006D5821" w:rsidRPr="00411D49">
        <w:rPr>
          <w:rFonts w:ascii="Arial" w:hAnsi="Arial" w:cs="Arial"/>
        </w:rPr>
        <w:t xml:space="preserve"> personnel </w:t>
      </w:r>
      <w:r w:rsidR="00281233">
        <w:rPr>
          <w:rFonts w:ascii="Arial" w:hAnsi="Arial" w:cs="Arial"/>
        </w:rPr>
        <w:t xml:space="preserve">for that to be the case </w:t>
      </w:r>
      <w:r w:rsidR="006D5821" w:rsidRPr="00411D49">
        <w:rPr>
          <w:rFonts w:ascii="Arial" w:hAnsi="Arial" w:cs="Arial"/>
        </w:rPr>
        <w:t xml:space="preserve">which advise they bona fide accepted. </w:t>
      </w:r>
      <w:r w:rsidR="00350DE0">
        <w:rPr>
          <w:rFonts w:ascii="Arial" w:hAnsi="Arial" w:cs="Arial"/>
        </w:rPr>
        <w:t>It is so that t</w:t>
      </w:r>
      <w:r w:rsidR="000B0297" w:rsidRPr="00411D49">
        <w:rPr>
          <w:rFonts w:ascii="Arial" w:hAnsi="Arial" w:cs="Arial"/>
          <w:color w:val="000000"/>
        </w:rPr>
        <w:t>he</w:t>
      </w:r>
      <w:r w:rsidR="00922E7D">
        <w:rPr>
          <w:rFonts w:ascii="Arial" w:hAnsi="Arial" w:cs="Arial"/>
          <w:color w:val="000000"/>
        </w:rPr>
        <w:t xml:space="preserve"> </w:t>
      </w:r>
      <w:r w:rsidR="000B0297" w:rsidRPr="00411D49">
        <w:rPr>
          <w:rFonts w:ascii="Arial" w:hAnsi="Arial" w:cs="Arial"/>
          <w:color w:val="000000"/>
        </w:rPr>
        <w:t>administration of justice is sometimes a</w:t>
      </w:r>
      <w:r w:rsidR="000C1C99">
        <w:rPr>
          <w:rFonts w:ascii="Arial" w:hAnsi="Arial" w:cs="Arial"/>
          <w:color w:val="000000"/>
        </w:rPr>
        <w:t xml:space="preserve"> demanding </w:t>
      </w:r>
      <w:r w:rsidR="000B0297" w:rsidRPr="00411D49">
        <w:rPr>
          <w:rFonts w:ascii="Arial" w:hAnsi="Arial" w:cs="Arial"/>
          <w:color w:val="000000"/>
        </w:rPr>
        <w:t>discipline</w:t>
      </w:r>
      <w:r w:rsidR="000C1C99">
        <w:rPr>
          <w:rFonts w:ascii="Arial" w:hAnsi="Arial" w:cs="Arial"/>
          <w:color w:val="000000"/>
        </w:rPr>
        <w:t xml:space="preserve"> that </w:t>
      </w:r>
      <w:r w:rsidR="000B0297" w:rsidRPr="00411D49">
        <w:rPr>
          <w:rFonts w:ascii="Arial" w:hAnsi="Arial" w:cs="Arial"/>
          <w:color w:val="000000"/>
        </w:rPr>
        <w:t xml:space="preserve">even </w:t>
      </w:r>
      <w:r w:rsidR="000B0297" w:rsidRPr="00411D49">
        <w:rPr>
          <w:rFonts w:ascii="Arial" w:hAnsi="Arial" w:cs="Arial"/>
          <w:color w:val="000000"/>
        </w:rPr>
        <w:lastRenderedPageBreak/>
        <w:t xml:space="preserve">the most skilful practitioners </w:t>
      </w:r>
      <w:r w:rsidR="009D2A0E" w:rsidRPr="00411D49">
        <w:rPr>
          <w:rFonts w:ascii="Arial" w:hAnsi="Arial" w:cs="Arial"/>
          <w:color w:val="000000"/>
        </w:rPr>
        <w:t xml:space="preserve">do </w:t>
      </w:r>
      <w:r w:rsidR="000B0297" w:rsidRPr="00411D49">
        <w:rPr>
          <w:rFonts w:ascii="Arial" w:hAnsi="Arial" w:cs="Arial"/>
          <w:color w:val="000000"/>
        </w:rPr>
        <w:t>make mistakes</w:t>
      </w:r>
      <w:r w:rsidR="009D2A0E" w:rsidRPr="00411D49">
        <w:rPr>
          <w:rFonts w:ascii="Arial" w:hAnsi="Arial" w:cs="Arial"/>
          <w:color w:val="000000"/>
        </w:rPr>
        <w:t>.</w:t>
      </w:r>
      <w:r w:rsidR="009D2A0E" w:rsidRPr="00411D49">
        <w:rPr>
          <w:rStyle w:val="FootnoteReference"/>
          <w:rFonts w:ascii="Arial" w:hAnsi="Arial" w:cs="Arial"/>
          <w:color w:val="000000"/>
        </w:rPr>
        <w:footnoteReference w:id="1"/>
      </w:r>
      <w:r w:rsidR="000B0297" w:rsidRPr="00411D49">
        <w:rPr>
          <w:rFonts w:ascii="Arial" w:hAnsi="Arial" w:cs="Arial"/>
        </w:rPr>
        <w:t xml:space="preserve"> </w:t>
      </w:r>
      <w:r w:rsidR="00227185">
        <w:rPr>
          <w:rFonts w:ascii="Arial" w:hAnsi="Arial" w:cs="Arial"/>
        </w:rPr>
        <w:t>In my view, t</w:t>
      </w:r>
      <w:r w:rsidR="005F634B" w:rsidRPr="00411D49">
        <w:rPr>
          <w:rFonts w:ascii="Arial" w:hAnsi="Arial" w:cs="Arial"/>
          <w:color w:val="000000"/>
        </w:rPr>
        <w:t xml:space="preserve">he </w:t>
      </w:r>
      <w:r w:rsidR="005F634B">
        <w:rPr>
          <w:rFonts w:ascii="Arial" w:hAnsi="Arial" w:cs="Arial"/>
          <w:color w:val="000000"/>
        </w:rPr>
        <w:t xml:space="preserve">forceful </w:t>
      </w:r>
      <w:r w:rsidR="00E35DA5">
        <w:rPr>
          <w:rFonts w:ascii="Arial" w:hAnsi="Arial" w:cs="Arial"/>
          <w:color w:val="000000"/>
        </w:rPr>
        <w:t xml:space="preserve">and prolix </w:t>
      </w:r>
      <w:r w:rsidR="005F634B" w:rsidRPr="00411D49">
        <w:rPr>
          <w:rFonts w:ascii="Arial" w:hAnsi="Arial" w:cs="Arial"/>
          <w:color w:val="000000"/>
        </w:rPr>
        <w:t xml:space="preserve">opposition to the reinstatement of the appeal by Sikhova and </w:t>
      </w:r>
      <w:r w:rsidR="006B1210">
        <w:rPr>
          <w:rFonts w:ascii="Arial" w:hAnsi="Arial" w:cs="Arial"/>
          <w:color w:val="000000"/>
        </w:rPr>
        <w:t xml:space="preserve">Hard Rock </w:t>
      </w:r>
      <w:r w:rsidR="005F634B">
        <w:rPr>
          <w:rFonts w:ascii="Arial" w:hAnsi="Arial" w:cs="Arial"/>
          <w:color w:val="000000"/>
        </w:rPr>
        <w:t>is fastidious and not well</w:t>
      </w:r>
      <w:r w:rsidR="008E2BC3">
        <w:rPr>
          <w:rFonts w:ascii="Arial" w:hAnsi="Arial" w:cs="Arial"/>
          <w:color w:val="000000"/>
        </w:rPr>
        <w:t>-</w:t>
      </w:r>
      <w:r w:rsidR="005F634B">
        <w:rPr>
          <w:rFonts w:ascii="Arial" w:hAnsi="Arial" w:cs="Arial"/>
          <w:color w:val="000000"/>
        </w:rPr>
        <w:t>founded</w:t>
      </w:r>
      <w:r w:rsidR="005F634B" w:rsidRPr="00411D49">
        <w:rPr>
          <w:rFonts w:ascii="Arial" w:hAnsi="Arial" w:cs="Arial"/>
          <w:color w:val="000000"/>
        </w:rPr>
        <w:t xml:space="preserve">. </w:t>
      </w:r>
      <w:r w:rsidR="00350DE0">
        <w:rPr>
          <w:rFonts w:ascii="Arial" w:hAnsi="Arial" w:cs="Arial"/>
          <w:color w:val="000000"/>
        </w:rPr>
        <w:t>This is so because t</w:t>
      </w:r>
      <w:r w:rsidR="00C975F3" w:rsidRPr="00411D49">
        <w:rPr>
          <w:rFonts w:ascii="Arial" w:hAnsi="Arial" w:cs="Arial"/>
          <w:color w:val="000000"/>
        </w:rPr>
        <w:t>he appeal lapsed on 25</w:t>
      </w:r>
      <w:r w:rsidR="00C975F3">
        <w:rPr>
          <w:rFonts w:ascii="Arial" w:hAnsi="Arial" w:cs="Arial"/>
          <w:color w:val="000000"/>
        </w:rPr>
        <w:t xml:space="preserve"> August 2022</w:t>
      </w:r>
      <w:r w:rsidR="004029D2">
        <w:rPr>
          <w:rFonts w:ascii="Arial" w:hAnsi="Arial" w:cs="Arial"/>
          <w:color w:val="000000"/>
        </w:rPr>
        <w:t xml:space="preserve"> and t</w:t>
      </w:r>
      <w:r w:rsidR="00C975F3">
        <w:rPr>
          <w:rFonts w:ascii="Arial" w:hAnsi="Arial" w:cs="Arial"/>
          <w:color w:val="000000"/>
        </w:rPr>
        <w:t xml:space="preserve">he application for condonation and reinstatement was brought </w:t>
      </w:r>
      <w:r w:rsidR="005F634B">
        <w:rPr>
          <w:rFonts w:ascii="Arial" w:hAnsi="Arial" w:cs="Arial"/>
          <w:color w:val="000000"/>
        </w:rPr>
        <w:t>on 23 September 2022</w:t>
      </w:r>
      <w:r w:rsidR="00E35DA5">
        <w:rPr>
          <w:rFonts w:ascii="Arial" w:hAnsi="Arial" w:cs="Arial"/>
          <w:color w:val="000000"/>
        </w:rPr>
        <w:t xml:space="preserve">, </w:t>
      </w:r>
      <w:r w:rsidR="004029D2">
        <w:rPr>
          <w:rFonts w:ascii="Arial" w:hAnsi="Arial" w:cs="Arial"/>
          <w:color w:val="000000"/>
        </w:rPr>
        <w:t xml:space="preserve">merely </w:t>
      </w:r>
      <w:r w:rsidR="00C975F3">
        <w:rPr>
          <w:rFonts w:ascii="Arial" w:hAnsi="Arial" w:cs="Arial"/>
          <w:color w:val="000000"/>
        </w:rPr>
        <w:t xml:space="preserve">a month later. </w:t>
      </w:r>
      <w:r w:rsidR="00900C5B" w:rsidRPr="00900C5B">
        <w:rPr>
          <w:rFonts w:ascii="Arial" w:hAnsi="Arial" w:cs="Arial"/>
          <w:color w:val="000000"/>
        </w:rPr>
        <w:t>The delay</w:t>
      </w:r>
      <w:r w:rsidR="002505B6">
        <w:rPr>
          <w:rFonts w:ascii="Arial" w:hAnsi="Arial" w:cs="Arial"/>
          <w:color w:val="000000"/>
        </w:rPr>
        <w:t xml:space="preserve"> </w:t>
      </w:r>
      <w:r w:rsidR="00900C5B" w:rsidRPr="00900C5B">
        <w:rPr>
          <w:rFonts w:ascii="Arial" w:hAnsi="Arial" w:cs="Arial"/>
          <w:color w:val="000000"/>
        </w:rPr>
        <w:t xml:space="preserve">is </w:t>
      </w:r>
      <w:r w:rsidR="00D401C2">
        <w:rPr>
          <w:rFonts w:ascii="Arial" w:hAnsi="Arial" w:cs="Arial"/>
          <w:color w:val="000000"/>
        </w:rPr>
        <w:t xml:space="preserve">not excessive </w:t>
      </w:r>
      <w:r w:rsidR="00900C5B" w:rsidRPr="00900C5B">
        <w:rPr>
          <w:rFonts w:ascii="Arial" w:hAnsi="Arial" w:cs="Arial"/>
          <w:color w:val="000000"/>
        </w:rPr>
        <w:t xml:space="preserve">and, in </w:t>
      </w:r>
      <w:r w:rsidR="00C27611">
        <w:rPr>
          <w:rFonts w:ascii="Arial" w:hAnsi="Arial" w:cs="Arial"/>
          <w:color w:val="000000"/>
        </w:rPr>
        <w:t>the interest of justice</w:t>
      </w:r>
      <w:r w:rsidR="00900C5B" w:rsidRPr="00900C5B">
        <w:rPr>
          <w:rFonts w:ascii="Arial" w:hAnsi="Arial" w:cs="Arial"/>
          <w:color w:val="000000"/>
        </w:rPr>
        <w:t xml:space="preserve">, condonable. It follows that the application for </w:t>
      </w:r>
      <w:r w:rsidR="00532BE9">
        <w:rPr>
          <w:rFonts w:ascii="Arial" w:hAnsi="Arial" w:cs="Arial"/>
          <w:color w:val="000000"/>
        </w:rPr>
        <w:t xml:space="preserve">condonation and </w:t>
      </w:r>
      <w:r w:rsidR="00900C5B" w:rsidRPr="00900C5B">
        <w:rPr>
          <w:rFonts w:ascii="Arial" w:hAnsi="Arial" w:cs="Arial"/>
          <w:color w:val="000000"/>
        </w:rPr>
        <w:t>the reinstatement of the appeal ought to be upheld</w:t>
      </w:r>
      <w:r w:rsidR="00227185">
        <w:rPr>
          <w:rFonts w:ascii="Arial" w:hAnsi="Arial" w:cs="Arial"/>
          <w:color w:val="000000"/>
        </w:rPr>
        <w:t xml:space="preserve"> for th</w:t>
      </w:r>
      <w:r w:rsidR="004029D2">
        <w:rPr>
          <w:rFonts w:ascii="Arial" w:hAnsi="Arial" w:cs="Arial"/>
          <w:color w:val="000000"/>
        </w:rPr>
        <w:t xml:space="preserve">e further </w:t>
      </w:r>
      <w:r w:rsidR="00227185">
        <w:rPr>
          <w:rFonts w:ascii="Arial" w:hAnsi="Arial" w:cs="Arial"/>
          <w:color w:val="000000"/>
        </w:rPr>
        <w:t xml:space="preserve">reason </w:t>
      </w:r>
      <w:r w:rsidR="004029D2">
        <w:rPr>
          <w:rFonts w:ascii="Arial" w:hAnsi="Arial" w:cs="Arial"/>
          <w:color w:val="000000"/>
        </w:rPr>
        <w:t xml:space="preserve">that it has </w:t>
      </w:r>
      <w:r w:rsidR="00227185">
        <w:rPr>
          <w:rFonts w:ascii="Arial" w:hAnsi="Arial" w:cs="Arial"/>
          <w:color w:val="000000"/>
        </w:rPr>
        <w:t>reasonable prospects of success</w:t>
      </w:r>
      <w:r w:rsidR="00900C5B" w:rsidRPr="00900C5B">
        <w:rPr>
          <w:rFonts w:ascii="Arial" w:hAnsi="Arial" w:cs="Arial"/>
          <w:color w:val="000000"/>
        </w:rPr>
        <w:t xml:space="preserve">. </w:t>
      </w:r>
    </w:p>
    <w:p w:rsidR="005B0447" w:rsidRDefault="00532BE9" w:rsidP="00DD4148">
      <w:pPr>
        <w:tabs>
          <w:tab w:val="left" w:pos="567"/>
        </w:tabs>
        <w:spacing w:line="360" w:lineRule="auto"/>
        <w:ind w:left="567" w:hanging="567"/>
        <w:jc w:val="both"/>
        <w:rPr>
          <w:rFonts w:ascii="Arial" w:hAnsi="Arial" w:cs="Arial"/>
          <w:color w:val="000000"/>
        </w:rPr>
      </w:pPr>
      <w:r>
        <w:rPr>
          <w:rFonts w:ascii="Arial" w:hAnsi="Arial" w:cs="Arial"/>
          <w:color w:val="000000"/>
        </w:rPr>
        <w:t>[4]</w:t>
      </w:r>
      <w:r>
        <w:rPr>
          <w:rFonts w:ascii="Arial" w:hAnsi="Arial" w:cs="Arial"/>
          <w:color w:val="000000"/>
        </w:rPr>
        <w:tab/>
      </w:r>
      <w:r w:rsidR="00F13A05">
        <w:rPr>
          <w:rFonts w:ascii="Arial" w:hAnsi="Arial" w:cs="Arial"/>
          <w:color w:val="000000"/>
        </w:rPr>
        <w:t>Sikhova and Hard</w:t>
      </w:r>
      <w:r w:rsidR="00D67699">
        <w:rPr>
          <w:rFonts w:ascii="Arial" w:hAnsi="Arial" w:cs="Arial"/>
          <w:color w:val="000000"/>
        </w:rPr>
        <w:t xml:space="preserve"> Rock</w:t>
      </w:r>
      <w:r w:rsidR="003D49F5">
        <w:rPr>
          <w:rFonts w:ascii="Arial" w:hAnsi="Arial" w:cs="Arial"/>
          <w:color w:val="000000"/>
        </w:rPr>
        <w:t xml:space="preserve"> </w:t>
      </w:r>
      <w:r w:rsidR="00350DE0">
        <w:rPr>
          <w:rFonts w:ascii="Arial" w:hAnsi="Arial" w:cs="Arial"/>
          <w:color w:val="000000"/>
        </w:rPr>
        <w:t xml:space="preserve">were </w:t>
      </w:r>
      <w:r w:rsidR="003D49F5">
        <w:rPr>
          <w:rFonts w:ascii="Arial" w:hAnsi="Arial" w:cs="Arial"/>
          <w:color w:val="000000"/>
        </w:rPr>
        <w:t xml:space="preserve">also late </w:t>
      </w:r>
      <w:r w:rsidR="00512BFC">
        <w:rPr>
          <w:rFonts w:ascii="Arial" w:hAnsi="Arial" w:cs="Arial"/>
          <w:color w:val="000000"/>
        </w:rPr>
        <w:t xml:space="preserve">with the </w:t>
      </w:r>
      <w:r w:rsidR="003D49F5">
        <w:rPr>
          <w:rFonts w:ascii="Arial" w:hAnsi="Arial" w:cs="Arial"/>
          <w:color w:val="000000"/>
        </w:rPr>
        <w:t xml:space="preserve">filing </w:t>
      </w:r>
      <w:r w:rsidR="00512BFC">
        <w:rPr>
          <w:rFonts w:ascii="Arial" w:hAnsi="Arial" w:cs="Arial"/>
          <w:color w:val="000000"/>
        </w:rPr>
        <w:t xml:space="preserve">of </w:t>
      </w:r>
      <w:r w:rsidR="003D49F5">
        <w:rPr>
          <w:rFonts w:ascii="Arial" w:hAnsi="Arial" w:cs="Arial"/>
          <w:color w:val="000000"/>
        </w:rPr>
        <w:t>their heads of argument</w:t>
      </w:r>
      <w:r w:rsidR="00F763B3">
        <w:rPr>
          <w:rFonts w:ascii="Arial" w:hAnsi="Arial" w:cs="Arial"/>
          <w:color w:val="000000"/>
        </w:rPr>
        <w:t>,</w:t>
      </w:r>
      <w:r w:rsidR="00350DE0" w:rsidRPr="00350DE0">
        <w:rPr>
          <w:rFonts w:ascii="Arial" w:hAnsi="Arial" w:cs="Arial"/>
          <w:color w:val="000000"/>
        </w:rPr>
        <w:t xml:space="preserve"> </w:t>
      </w:r>
      <w:r w:rsidR="007F6F46">
        <w:rPr>
          <w:rFonts w:ascii="Arial" w:hAnsi="Arial" w:cs="Arial"/>
          <w:color w:val="000000"/>
        </w:rPr>
        <w:t xml:space="preserve">having delivered this </w:t>
      </w:r>
      <w:r w:rsidR="00AD58BE">
        <w:rPr>
          <w:rFonts w:ascii="Arial" w:hAnsi="Arial" w:cs="Arial"/>
          <w:color w:val="000000"/>
        </w:rPr>
        <w:t xml:space="preserve">only </w:t>
      </w:r>
      <w:r w:rsidR="0076600C">
        <w:rPr>
          <w:rFonts w:ascii="Arial" w:hAnsi="Arial" w:cs="Arial"/>
          <w:color w:val="000000"/>
        </w:rPr>
        <w:t>0</w:t>
      </w:r>
      <w:r w:rsidR="00AD58BE">
        <w:rPr>
          <w:rFonts w:ascii="Arial" w:hAnsi="Arial" w:cs="Arial"/>
          <w:color w:val="000000"/>
        </w:rPr>
        <w:t xml:space="preserve">5 days prior to the hearing of the appeal. Thus, they </w:t>
      </w:r>
      <w:r w:rsidR="00B566F0">
        <w:rPr>
          <w:rFonts w:ascii="Arial" w:hAnsi="Arial" w:cs="Arial"/>
          <w:color w:val="000000"/>
        </w:rPr>
        <w:t xml:space="preserve">sought </w:t>
      </w:r>
      <w:r w:rsidR="00350DE0">
        <w:rPr>
          <w:rFonts w:ascii="Arial" w:hAnsi="Arial" w:cs="Arial"/>
          <w:color w:val="000000"/>
        </w:rPr>
        <w:t xml:space="preserve">condonation </w:t>
      </w:r>
      <w:r w:rsidR="00B566F0">
        <w:rPr>
          <w:rFonts w:ascii="Arial" w:hAnsi="Arial" w:cs="Arial"/>
          <w:color w:val="000000"/>
        </w:rPr>
        <w:t>which went unopposed</w:t>
      </w:r>
      <w:r w:rsidR="003D49F5">
        <w:rPr>
          <w:rFonts w:ascii="Arial" w:hAnsi="Arial" w:cs="Arial"/>
          <w:color w:val="000000"/>
        </w:rPr>
        <w:t>.</w:t>
      </w:r>
      <w:r w:rsidR="00D67699">
        <w:rPr>
          <w:rFonts w:ascii="Arial" w:hAnsi="Arial" w:cs="Arial"/>
          <w:color w:val="000000"/>
        </w:rPr>
        <w:t xml:space="preserve"> Heads of argument are for the </w:t>
      </w:r>
      <w:r w:rsidR="00AB09A1">
        <w:rPr>
          <w:rFonts w:ascii="Arial" w:hAnsi="Arial" w:cs="Arial"/>
          <w:color w:val="000000"/>
        </w:rPr>
        <w:t xml:space="preserve">convenience </w:t>
      </w:r>
      <w:r w:rsidR="00D67699">
        <w:rPr>
          <w:rFonts w:ascii="Arial" w:hAnsi="Arial" w:cs="Arial"/>
          <w:color w:val="000000"/>
        </w:rPr>
        <w:t>of the court</w:t>
      </w:r>
      <w:r w:rsidR="00AD58BE">
        <w:rPr>
          <w:rFonts w:ascii="Arial" w:hAnsi="Arial" w:cs="Arial"/>
          <w:color w:val="000000"/>
        </w:rPr>
        <w:t xml:space="preserve"> and so their </w:t>
      </w:r>
      <w:r w:rsidR="00D67699">
        <w:rPr>
          <w:rFonts w:ascii="Arial" w:hAnsi="Arial" w:cs="Arial"/>
          <w:color w:val="000000"/>
        </w:rPr>
        <w:t xml:space="preserve">application for condonation </w:t>
      </w:r>
      <w:r w:rsidR="00512BFC">
        <w:rPr>
          <w:rFonts w:ascii="Arial" w:hAnsi="Arial" w:cs="Arial"/>
          <w:color w:val="000000"/>
        </w:rPr>
        <w:t xml:space="preserve">would have </w:t>
      </w:r>
      <w:r w:rsidR="00F763B3">
        <w:rPr>
          <w:rFonts w:ascii="Arial" w:hAnsi="Arial" w:cs="Arial"/>
          <w:color w:val="000000"/>
        </w:rPr>
        <w:t>to succeed</w:t>
      </w:r>
      <w:r w:rsidR="00600AF0">
        <w:rPr>
          <w:rFonts w:ascii="Arial" w:hAnsi="Arial" w:cs="Arial"/>
          <w:color w:val="000000"/>
        </w:rPr>
        <w:t xml:space="preserve">. </w:t>
      </w:r>
      <w:r w:rsidR="00E35DA5">
        <w:rPr>
          <w:rFonts w:ascii="Arial" w:hAnsi="Arial" w:cs="Arial"/>
          <w:color w:val="000000"/>
        </w:rPr>
        <w:t xml:space="preserve">There can hardly be any </w:t>
      </w:r>
      <w:r w:rsidR="00600AF0">
        <w:rPr>
          <w:rFonts w:ascii="Arial" w:hAnsi="Arial" w:cs="Arial"/>
          <w:color w:val="000000"/>
        </w:rPr>
        <w:t>prejudice</w:t>
      </w:r>
      <w:r w:rsidR="00D67699">
        <w:rPr>
          <w:rFonts w:ascii="Arial" w:hAnsi="Arial" w:cs="Arial"/>
          <w:color w:val="000000"/>
        </w:rPr>
        <w:t xml:space="preserve">. </w:t>
      </w:r>
    </w:p>
    <w:p w:rsidR="006C0002" w:rsidRPr="008D0B74" w:rsidRDefault="00C76BFD" w:rsidP="00DD4148">
      <w:pPr>
        <w:tabs>
          <w:tab w:val="left" w:pos="567"/>
        </w:tabs>
        <w:spacing w:line="360" w:lineRule="auto"/>
        <w:ind w:left="567" w:hanging="567"/>
        <w:jc w:val="both"/>
        <w:rPr>
          <w:rFonts w:ascii="Arial" w:hAnsi="Arial" w:cs="Arial"/>
          <w:b/>
        </w:rPr>
      </w:pPr>
      <w:r w:rsidRPr="008D0B74">
        <w:rPr>
          <w:rFonts w:ascii="Arial" w:hAnsi="Arial" w:cs="Arial"/>
          <w:b/>
        </w:rPr>
        <w:t>The background</w:t>
      </w:r>
    </w:p>
    <w:p w:rsidR="0001387A" w:rsidRDefault="005B0447" w:rsidP="0001387A">
      <w:pPr>
        <w:tabs>
          <w:tab w:val="left" w:pos="567"/>
        </w:tabs>
        <w:spacing w:line="360" w:lineRule="auto"/>
        <w:ind w:left="567" w:hanging="567"/>
        <w:jc w:val="both"/>
        <w:rPr>
          <w:rFonts w:ascii="Arial" w:hAnsi="Arial" w:cs="Arial"/>
        </w:rPr>
      </w:pPr>
      <w:r>
        <w:rPr>
          <w:rFonts w:ascii="Arial" w:hAnsi="Arial" w:cs="Arial"/>
          <w:color w:val="000000"/>
        </w:rPr>
        <w:t>[</w:t>
      </w:r>
      <w:r w:rsidR="00532BE9">
        <w:rPr>
          <w:rFonts w:ascii="Arial" w:hAnsi="Arial" w:cs="Arial"/>
          <w:color w:val="000000"/>
        </w:rPr>
        <w:t>5</w:t>
      </w:r>
      <w:r>
        <w:rPr>
          <w:rFonts w:ascii="Arial" w:hAnsi="Arial" w:cs="Arial"/>
          <w:color w:val="000000"/>
        </w:rPr>
        <w:t>]</w:t>
      </w:r>
      <w:r>
        <w:rPr>
          <w:rFonts w:ascii="Arial" w:hAnsi="Arial" w:cs="Arial"/>
          <w:color w:val="000000"/>
        </w:rPr>
        <w:tab/>
      </w:r>
      <w:bookmarkStart w:id="2" w:name="LPHit4"/>
      <w:bookmarkStart w:id="3" w:name="LPHit5"/>
      <w:bookmarkEnd w:id="2"/>
      <w:bookmarkEnd w:id="3"/>
      <w:r w:rsidR="0001387A">
        <w:rPr>
          <w:rFonts w:ascii="Arial" w:hAnsi="Arial" w:cs="Arial"/>
          <w:color w:val="000000"/>
        </w:rPr>
        <w:t>QCK</w:t>
      </w:r>
      <w:r>
        <w:rPr>
          <w:rFonts w:ascii="Arial" w:hAnsi="Arial" w:cs="Arial"/>
          <w:color w:val="000000"/>
        </w:rPr>
        <w:t xml:space="preserve"> </w:t>
      </w:r>
      <w:r w:rsidR="004C161A">
        <w:rPr>
          <w:rFonts w:ascii="Arial" w:hAnsi="Arial" w:cs="Arial"/>
          <w:color w:val="000000"/>
        </w:rPr>
        <w:t xml:space="preserve">is </w:t>
      </w:r>
      <w:r w:rsidR="008E2C39">
        <w:rPr>
          <w:rFonts w:ascii="Arial" w:hAnsi="Arial" w:cs="Arial"/>
          <w:color w:val="000000"/>
        </w:rPr>
        <w:t xml:space="preserve">the </w:t>
      </w:r>
      <w:r w:rsidR="00F52B86">
        <w:rPr>
          <w:rFonts w:ascii="Arial" w:hAnsi="Arial" w:cs="Arial"/>
          <w:color w:val="000000"/>
        </w:rPr>
        <w:t xml:space="preserve">owner of </w:t>
      </w:r>
      <w:r w:rsidR="00512BFC">
        <w:rPr>
          <w:rFonts w:ascii="Arial" w:hAnsi="Arial" w:cs="Arial"/>
          <w:color w:val="000000"/>
        </w:rPr>
        <w:t>F</w:t>
      </w:r>
      <w:r w:rsidR="008E2C39">
        <w:rPr>
          <w:rFonts w:ascii="Arial" w:hAnsi="Arial" w:cs="Arial"/>
          <w:color w:val="000000"/>
        </w:rPr>
        <w:t>arm</w:t>
      </w:r>
      <w:r w:rsidR="0001387A">
        <w:rPr>
          <w:rFonts w:ascii="Arial" w:hAnsi="Arial" w:cs="Arial"/>
          <w:color w:val="000000"/>
        </w:rPr>
        <w:t xml:space="preserve"> </w:t>
      </w:r>
      <w:r w:rsidR="00F52B86">
        <w:rPr>
          <w:rFonts w:ascii="Arial" w:hAnsi="Arial" w:cs="Arial"/>
          <w:color w:val="000000"/>
        </w:rPr>
        <w:t>Koedoeskloof 602 (the farm)</w:t>
      </w:r>
      <w:r>
        <w:rPr>
          <w:rFonts w:ascii="Arial" w:hAnsi="Arial" w:cs="Arial"/>
          <w:color w:val="000000"/>
        </w:rPr>
        <w:t xml:space="preserve">. </w:t>
      </w:r>
      <w:r w:rsidR="00DB5DE4">
        <w:rPr>
          <w:rFonts w:ascii="Arial" w:hAnsi="Arial" w:cs="Arial"/>
          <w:color w:val="000000"/>
        </w:rPr>
        <w:t xml:space="preserve">At all </w:t>
      </w:r>
      <w:r w:rsidR="008E2C39">
        <w:rPr>
          <w:rFonts w:ascii="Arial" w:hAnsi="Arial" w:cs="Arial"/>
          <w:color w:val="000000"/>
        </w:rPr>
        <w:t xml:space="preserve">relevant times </w:t>
      </w:r>
      <w:r w:rsidR="002F0835">
        <w:rPr>
          <w:rFonts w:ascii="Arial" w:hAnsi="Arial" w:cs="Arial"/>
          <w:color w:val="000000"/>
        </w:rPr>
        <w:t xml:space="preserve">Lore held </w:t>
      </w:r>
      <w:r w:rsidR="008E2C39">
        <w:rPr>
          <w:rFonts w:ascii="Arial" w:hAnsi="Arial" w:cs="Arial"/>
          <w:color w:val="000000"/>
        </w:rPr>
        <w:t xml:space="preserve">a prospecting right over a portion of the farm. </w:t>
      </w:r>
      <w:r w:rsidR="0001387A" w:rsidRPr="00C27204">
        <w:rPr>
          <w:rFonts w:ascii="Arial" w:hAnsi="Arial" w:cs="Arial"/>
        </w:rPr>
        <w:t xml:space="preserve">The </w:t>
      </w:r>
      <w:r w:rsidR="0001387A">
        <w:rPr>
          <w:rFonts w:ascii="Arial" w:hAnsi="Arial" w:cs="Arial"/>
        </w:rPr>
        <w:t xml:space="preserve">disputes between </w:t>
      </w:r>
      <w:r w:rsidR="002F0835">
        <w:rPr>
          <w:rFonts w:ascii="Arial" w:hAnsi="Arial" w:cs="Arial"/>
        </w:rPr>
        <w:t xml:space="preserve">appellants and the respondents </w:t>
      </w:r>
      <w:r w:rsidR="0001387A">
        <w:rPr>
          <w:rFonts w:ascii="Arial" w:hAnsi="Arial" w:cs="Arial"/>
        </w:rPr>
        <w:t>ha</w:t>
      </w:r>
      <w:r w:rsidR="00CB1C97">
        <w:rPr>
          <w:rFonts w:ascii="Arial" w:hAnsi="Arial" w:cs="Arial"/>
        </w:rPr>
        <w:t xml:space="preserve">ve their </w:t>
      </w:r>
      <w:r w:rsidR="0001387A">
        <w:rPr>
          <w:rFonts w:ascii="Arial" w:hAnsi="Arial" w:cs="Arial"/>
        </w:rPr>
        <w:t xml:space="preserve">origin </w:t>
      </w:r>
      <w:r w:rsidR="00613956">
        <w:rPr>
          <w:rFonts w:ascii="Arial" w:hAnsi="Arial" w:cs="Arial"/>
        </w:rPr>
        <w:t xml:space="preserve">in </w:t>
      </w:r>
      <w:r w:rsidR="0001387A">
        <w:rPr>
          <w:rFonts w:ascii="Arial" w:hAnsi="Arial" w:cs="Arial"/>
        </w:rPr>
        <w:t xml:space="preserve">two agreements. </w:t>
      </w:r>
      <w:r w:rsidR="002F0835">
        <w:rPr>
          <w:rFonts w:ascii="Arial" w:hAnsi="Arial" w:cs="Arial"/>
        </w:rPr>
        <w:t>First, the so-called</w:t>
      </w:r>
      <w:r w:rsidR="0001387A" w:rsidRPr="00C27204">
        <w:rPr>
          <w:rFonts w:ascii="Arial" w:hAnsi="Arial" w:cs="Arial"/>
        </w:rPr>
        <w:t xml:space="preserve"> </w:t>
      </w:r>
      <w:r w:rsidR="0001387A" w:rsidRPr="0001387A">
        <w:rPr>
          <w:rFonts w:ascii="Arial" w:hAnsi="Arial" w:cs="Arial"/>
        </w:rPr>
        <w:t>Surface Use</w:t>
      </w:r>
      <w:r w:rsidR="00685BE8">
        <w:rPr>
          <w:rFonts w:ascii="Arial" w:hAnsi="Arial" w:cs="Arial"/>
        </w:rPr>
        <w:t>, Access and Mining Royalty</w:t>
      </w:r>
      <w:r w:rsidR="0001387A" w:rsidRPr="0001387A">
        <w:rPr>
          <w:rFonts w:ascii="Arial" w:hAnsi="Arial" w:cs="Arial"/>
        </w:rPr>
        <w:t xml:space="preserve"> Agreement</w:t>
      </w:r>
      <w:r w:rsidR="00204708">
        <w:rPr>
          <w:rFonts w:ascii="Arial" w:hAnsi="Arial" w:cs="Arial"/>
        </w:rPr>
        <w:t xml:space="preserve"> (S</w:t>
      </w:r>
      <w:r w:rsidR="00633592">
        <w:rPr>
          <w:rFonts w:ascii="Arial" w:hAnsi="Arial" w:cs="Arial"/>
        </w:rPr>
        <w:t xml:space="preserve">urface </w:t>
      </w:r>
      <w:r w:rsidR="00204708">
        <w:rPr>
          <w:rFonts w:ascii="Arial" w:hAnsi="Arial" w:cs="Arial"/>
        </w:rPr>
        <w:t>U</w:t>
      </w:r>
      <w:r w:rsidR="00633592">
        <w:rPr>
          <w:rFonts w:ascii="Arial" w:hAnsi="Arial" w:cs="Arial"/>
        </w:rPr>
        <w:t xml:space="preserve">se </w:t>
      </w:r>
      <w:r w:rsidR="00204708">
        <w:rPr>
          <w:rFonts w:ascii="Arial" w:hAnsi="Arial" w:cs="Arial"/>
        </w:rPr>
        <w:t>A</w:t>
      </w:r>
      <w:r w:rsidR="00633592">
        <w:rPr>
          <w:rFonts w:ascii="Arial" w:hAnsi="Arial" w:cs="Arial"/>
        </w:rPr>
        <w:t>greement</w:t>
      </w:r>
      <w:r w:rsidR="00204708">
        <w:rPr>
          <w:rFonts w:ascii="Arial" w:hAnsi="Arial" w:cs="Arial"/>
        </w:rPr>
        <w:t>)</w:t>
      </w:r>
      <w:r w:rsidR="0001387A" w:rsidRPr="0001387A">
        <w:rPr>
          <w:rFonts w:ascii="Arial" w:hAnsi="Arial" w:cs="Arial"/>
        </w:rPr>
        <w:t xml:space="preserve"> </w:t>
      </w:r>
      <w:r w:rsidR="006F11DF">
        <w:rPr>
          <w:rFonts w:ascii="Arial" w:hAnsi="Arial" w:cs="Arial"/>
        </w:rPr>
        <w:t xml:space="preserve">allegedly </w:t>
      </w:r>
      <w:r w:rsidR="0001387A" w:rsidRPr="0001387A">
        <w:rPr>
          <w:rFonts w:ascii="Arial" w:hAnsi="Arial" w:cs="Arial"/>
        </w:rPr>
        <w:t>concluded during mid-August 2019</w:t>
      </w:r>
      <w:r w:rsidR="0038369A">
        <w:rPr>
          <w:rFonts w:ascii="Arial" w:hAnsi="Arial" w:cs="Arial"/>
        </w:rPr>
        <w:t xml:space="preserve"> i</w:t>
      </w:r>
      <w:r w:rsidR="0001387A" w:rsidRPr="0001387A">
        <w:rPr>
          <w:rFonts w:ascii="Arial" w:hAnsi="Arial" w:cs="Arial"/>
        </w:rPr>
        <w:t xml:space="preserve">n terms of </w:t>
      </w:r>
      <w:r w:rsidR="0038369A">
        <w:rPr>
          <w:rFonts w:ascii="Arial" w:hAnsi="Arial" w:cs="Arial"/>
        </w:rPr>
        <w:t xml:space="preserve">which </w:t>
      </w:r>
      <w:r w:rsidR="00570B1A">
        <w:rPr>
          <w:rFonts w:ascii="Arial" w:hAnsi="Arial" w:cs="Arial"/>
        </w:rPr>
        <w:t xml:space="preserve">Sikhova and Hard Rock </w:t>
      </w:r>
      <w:r w:rsidR="0001387A" w:rsidRPr="0001387A">
        <w:rPr>
          <w:rFonts w:ascii="Arial" w:hAnsi="Arial" w:cs="Arial"/>
        </w:rPr>
        <w:t>aver</w:t>
      </w:r>
      <w:r w:rsidR="002F0835">
        <w:rPr>
          <w:rFonts w:ascii="Arial" w:hAnsi="Arial" w:cs="Arial"/>
        </w:rPr>
        <w:t xml:space="preserve"> that</w:t>
      </w:r>
      <w:r w:rsidR="0001387A" w:rsidRPr="0001387A">
        <w:rPr>
          <w:rFonts w:ascii="Arial" w:hAnsi="Arial" w:cs="Arial"/>
        </w:rPr>
        <w:t xml:space="preserve">, QCK, being the registered owner of the </w:t>
      </w:r>
      <w:r w:rsidR="00613956">
        <w:rPr>
          <w:rFonts w:ascii="Arial" w:hAnsi="Arial" w:cs="Arial"/>
        </w:rPr>
        <w:t>farm</w:t>
      </w:r>
      <w:r w:rsidR="0001387A" w:rsidRPr="0001387A">
        <w:rPr>
          <w:rFonts w:ascii="Arial" w:hAnsi="Arial" w:cs="Arial"/>
        </w:rPr>
        <w:t xml:space="preserve">, </w:t>
      </w:r>
      <w:r w:rsidR="0001387A" w:rsidRPr="00E4222E">
        <w:rPr>
          <w:rFonts w:ascii="Arial" w:hAnsi="Arial" w:cs="Arial"/>
        </w:rPr>
        <w:t>inter alia</w:t>
      </w:r>
      <w:r w:rsidR="0001387A" w:rsidRPr="0001387A">
        <w:rPr>
          <w:rFonts w:ascii="Arial" w:hAnsi="Arial" w:cs="Arial"/>
          <w:i/>
        </w:rPr>
        <w:t xml:space="preserve">, </w:t>
      </w:r>
      <w:r w:rsidR="0001387A" w:rsidRPr="0001387A">
        <w:rPr>
          <w:rFonts w:ascii="Arial" w:hAnsi="Arial" w:cs="Arial"/>
        </w:rPr>
        <w:t>purportedly</w:t>
      </w:r>
      <w:r w:rsidR="0001387A" w:rsidRPr="0001387A">
        <w:rPr>
          <w:rFonts w:ascii="Arial" w:hAnsi="Arial" w:cs="Arial"/>
          <w:i/>
        </w:rPr>
        <w:t xml:space="preserve"> </w:t>
      </w:r>
      <w:r w:rsidR="0001387A" w:rsidRPr="0001387A">
        <w:rPr>
          <w:rFonts w:ascii="Arial" w:hAnsi="Arial" w:cs="Arial"/>
        </w:rPr>
        <w:t xml:space="preserve">granted Sikhova access to the </w:t>
      </w:r>
      <w:r w:rsidR="00613956">
        <w:rPr>
          <w:rFonts w:ascii="Arial" w:hAnsi="Arial" w:cs="Arial"/>
        </w:rPr>
        <w:t>farm</w:t>
      </w:r>
      <w:r w:rsidR="0001387A" w:rsidRPr="0001387A">
        <w:rPr>
          <w:rFonts w:ascii="Arial" w:hAnsi="Arial" w:cs="Arial"/>
        </w:rPr>
        <w:t xml:space="preserve"> so as to prospect for, dig, mine, win, remove, for its own benefit and to dispose of </w:t>
      </w:r>
      <w:r w:rsidR="006A2A17">
        <w:rPr>
          <w:rFonts w:ascii="Arial" w:hAnsi="Arial" w:cs="Arial"/>
        </w:rPr>
        <w:t>m</w:t>
      </w:r>
      <w:r w:rsidR="0001387A" w:rsidRPr="0001387A">
        <w:rPr>
          <w:rFonts w:ascii="Arial" w:hAnsi="Arial" w:cs="Arial"/>
        </w:rPr>
        <w:t xml:space="preserve">anganese </w:t>
      </w:r>
      <w:r w:rsidR="006A2A17">
        <w:rPr>
          <w:rFonts w:ascii="Arial" w:hAnsi="Arial" w:cs="Arial"/>
        </w:rPr>
        <w:t>o</w:t>
      </w:r>
      <w:r w:rsidR="0001387A" w:rsidRPr="0001387A">
        <w:rPr>
          <w:rFonts w:ascii="Arial" w:hAnsi="Arial" w:cs="Arial"/>
        </w:rPr>
        <w:t xml:space="preserve">re and </w:t>
      </w:r>
      <w:r w:rsidR="006A2A17">
        <w:rPr>
          <w:rFonts w:ascii="Arial" w:hAnsi="Arial" w:cs="Arial"/>
        </w:rPr>
        <w:t>i</w:t>
      </w:r>
      <w:r w:rsidR="0001387A" w:rsidRPr="0001387A">
        <w:rPr>
          <w:rFonts w:ascii="Arial" w:hAnsi="Arial" w:cs="Arial"/>
        </w:rPr>
        <w:t xml:space="preserve">ron </w:t>
      </w:r>
      <w:r w:rsidR="006A2A17">
        <w:rPr>
          <w:rFonts w:ascii="Arial" w:hAnsi="Arial" w:cs="Arial"/>
        </w:rPr>
        <w:t>o</w:t>
      </w:r>
      <w:r w:rsidR="0001387A" w:rsidRPr="0001387A">
        <w:rPr>
          <w:rFonts w:ascii="Arial" w:hAnsi="Arial" w:cs="Arial"/>
        </w:rPr>
        <w:t xml:space="preserve">re. </w:t>
      </w:r>
      <w:r w:rsidR="00613956">
        <w:rPr>
          <w:rFonts w:ascii="Arial" w:hAnsi="Arial" w:cs="Arial"/>
        </w:rPr>
        <w:t>Furthermore</w:t>
      </w:r>
      <w:r w:rsidR="00204708">
        <w:rPr>
          <w:rFonts w:ascii="Arial" w:hAnsi="Arial" w:cs="Arial"/>
        </w:rPr>
        <w:t xml:space="preserve">, </w:t>
      </w:r>
      <w:r w:rsidR="00570B1A">
        <w:rPr>
          <w:rFonts w:ascii="Arial" w:hAnsi="Arial" w:cs="Arial"/>
        </w:rPr>
        <w:t xml:space="preserve">Sikhova and Hard Rock </w:t>
      </w:r>
      <w:r w:rsidR="00204708">
        <w:rPr>
          <w:rFonts w:ascii="Arial" w:hAnsi="Arial" w:cs="Arial"/>
        </w:rPr>
        <w:t xml:space="preserve">allege that </w:t>
      </w:r>
      <w:r w:rsidR="0001387A" w:rsidRPr="0001387A">
        <w:rPr>
          <w:rFonts w:ascii="Arial" w:hAnsi="Arial" w:cs="Arial"/>
        </w:rPr>
        <w:t xml:space="preserve">QCK granted Sikhova an unrestricted right of access to the </w:t>
      </w:r>
      <w:r w:rsidR="0001387A">
        <w:rPr>
          <w:rFonts w:ascii="Arial" w:hAnsi="Arial" w:cs="Arial"/>
        </w:rPr>
        <w:t xml:space="preserve">farm </w:t>
      </w:r>
      <w:r w:rsidR="0001387A" w:rsidRPr="0001387A">
        <w:rPr>
          <w:rFonts w:ascii="Arial" w:hAnsi="Arial" w:cs="Arial"/>
        </w:rPr>
        <w:t>and to bring any plant, machinery or equipment reasonably required to exercise an exclusive right to prospect for</w:t>
      </w:r>
      <w:r w:rsidR="00FF4DC8">
        <w:rPr>
          <w:rFonts w:ascii="Arial" w:hAnsi="Arial" w:cs="Arial"/>
        </w:rPr>
        <w:t xml:space="preserve"> and </w:t>
      </w:r>
      <w:r w:rsidR="0001387A" w:rsidRPr="0001387A">
        <w:rPr>
          <w:rFonts w:ascii="Arial" w:hAnsi="Arial" w:cs="Arial"/>
        </w:rPr>
        <w:t>remove</w:t>
      </w:r>
      <w:r w:rsidR="00FF4DC8" w:rsidRPr="00FF4DC8">
        <w:rPr>
          <w:rFonts w:ascii="Arial" w:hAnsi="Arial" w:cs="Arial"/>
        </w:rPr>
        <w:t xml:space="preserve"> </w:t>
      </w:r>
      <w:r w:rsidR="00FF4DC8">
        <w:rPr>
          <w:rFonts w:ascii="Arial" w:hAnsi="Arial" w:cs="Arial"/>
        </w:rPr>
        <w:t>the minerals mentioned</w:t>
      </w:r>
      <w:r w:rsidR="00FF4DC8" w:rsidRPr="00FF4DC8">
        <w:rPr>
          <w:rFonts w:ascii="Arial" w:hAnsi="Arial" w:cs="Arial"/>
        </w:rPr>
        <w:t xml:space="preserve"> </w:t>
      </w:r>
      <w:r w:rsidR="00FF4DC8">
        <w:rPr>
          <w:rFonts w:ascii="Arial" w:hAnsi="Arial" w:cs="Arial"/>
        </w:rPr>
        <w:t xml:space="preserve">from </w:t>
      </w:r>
      <w:r w:rsidR="00FF4DC8" w:rsidRPr="0001387A">
        <w:rPr>
          <w:rFonts w:ascii="Arial" w:hAnsi="Arial" w:cs="Arial"/>
        </w:rPr>
        <w:t xml:space="preserve">the </w:t>
      </w:r>
      <w:r w:rsidR="00FF4DC8">
        <w:rPr>
          <w:rFonts w:ascii="Arial" w:hAnsi="Arial" w:cs="Arial"/>
        </w:rPr>
        <w:t xml:space="preserve">farm </w:t>
      </w:r>
      <w:r w:rsidR="0001387A" w:rsidRPr="0001387A">
        <w:rPr>
          <w:rFonts w:ascii="Arial" w:hAnsi="Arial" w:cs="Arial"/>
        </w:rPr>
        <w:t>for its own benefit and account</w:t>
      </w:r>
      <w:r w:rsidR="00FF4DC8">
        <w:rPr>
          <w:rFonts w:ascii="Arial" w:hAnsi="Arial" w:cs="Arial"/>
        </w:rPr>
        <w:t>.</w:t>
      </w:r>
    </w:p>
    <w:p w:rsidR="003E007D" w:rsidRPr="0001387A" w:rsidRDefault="003E007D" w:rsidP="0001387A">
      <w:pPr>
        <w:tabs>
          <w:tab w:val="left" w:pos="567"/>
        </w:tabs>
        <w:spacing w:line="360" w:lineRule="auto"/>
        <w:ind w:left="567" w:hanging="567"/>
        <w:jc w:val="both"/>
        <w:rPr>
          <w:rFonts w:ascii="Arial" w:hAnsi="Arial" w:cs="Arial"/>
        </w:rPr>
      </w:pPr>
      <w:r>
        <w:rPr>
          <w:rFonts w:ascii="Arial" w:hAnsi="Arial" w:cs="Arial"/>
        </w:rPr>
        <w:lastRenderedPageBreak/>
        <w:t>[</w:t>
      </w:r>
      <w:r w:rsidR="00532BE9">
        <w:rPr>
          <w:rFonts w:ascii="Arial" w:hAnsi="Arial" w:cs="Arial"/>
        </w:rPr>
        <w:t>6</w:t>
      </w:r>
      <w:r>
        <w:rPr>
          <w:rFonts w:ascii="Arial" w:hAnsi="Arial" w:cs="Arial"/>
        </w:rPr>
        <w:t>]</w:t>
      </w:r>
      <w:r>
        <w:rPr>
          <w:rFonts w:ascii="Arial" w:hAnsi="Arial" w:cs="Arial"/>
        </w:rPr>
        <w:tab/>
        <w:t xml:space="preserve">QCK and Lore intimated that the </w:t>
      </w:r>
      <w:r w:rsidR="00633592">
        <w:rPr>
          <w:rFonts w:ascii="Arial" w:hAnsi="Arial" w:cs="Arial"/>
        </w:rPr>
        <w:t xml:space="preserve">Surface Use Agreement </w:t>
      </w:r>
      <w:r>
        <w:rPr>
          <w:rFonts w:ascii="Arial" w:hAnsi="Arial" w:cs="Arial"/>
        </w:rPr>
        <w:t>was designed</w:t>
      </w:r>
      <w:r w:rsidR="00FF4DC8">
        <w:rPr>
          <w:rFonts w:ascii="Arial" w:hAnsi="Arial" w:cs="Arial"/>
        </w:rPr>
        <w:t xml:space="preserve"> to be a </w:t>
      </w:r>
      <w:r w:rsidR="00CD1D4B">
        <w:rPr>
          <w:rFonts w:ascii="Arial" w:hAnsi="Arial" w:cs="Arial"/>
        </w:rPr>
        <w:t>t</w:t>
      </w:r>
      <w:r>
        <w:rPr>
          <w:rFonts w:ascii="Arial" w:hAnsi="Arial" w:cs="Arial"/>
        </w:rPr>
        <w:t xml:space="preserve">ripartite </w:t>
      </w:r>
      <w:r w:rsidR="00CD1D4B">
        <w:rPr>
          <w:rFonts w:ascii="Arial" w:hAnsi="Arial" w:cs="Arial"/>
        </w:rPr>
        <w:t>a</w:t>
      </w:r>
      <w:r>
        <w:rPr>
          <w:rFonts w:ascii="Arial" w:hAnsi="Arial" w:cs="Arial"/>
        </w:rPr>
        <w:t>greement</w:t>
      </w:r>
      <w:r w:rsidR="00CD1D4B">
        <w:rPr>
          <w:rFonts w:ascii="Arial" w:hAnsi="Arial" w:cs="Arial"/>
        </w:rPr>
        <w:t xml:space="preserve"> which would involve QCK, Lore and Sikhova</w:t>
      </w:r>
      <w:r>
        <w:rPr>
          <w:rFonts w:ascii="Arial" w:hAnsi="Arial" w:cs="Arial"/>
        </w:rPr>
        <w:t xml:space="preserve">. It is not in dispute that Lore was not a </w:t>
      </w:r>
      <w:r w:rsidR="00CD1D4B">
        <w:rPr>
          <w:rFonts w:ascii="Arial" w:hAnsi="Arial" w:cs="Arial"/>
        </w:rPr>
        <w:t>signatory</w:t>
      </w:r>
      <w:r>
        <w:rPr>
          <w:rFonts w:ascii="Arial" w:hAnsi="Arial" w:cs="Arial"/>
        </w:rPr>
        <w:t xml:space="preserve"> to the said agreement</w:t>
      </w:r>
      <w:r w:rsidR="00A036C3">
        <w:rPr>
          <w:rFonts w:ascii="Arial" w:hAnsi="Arial" w:cs="Arial"/>
        </w:rPr>
        <w:t xml:space="preserve"> because it says </w:t>
      </w:r>
      <w:r w:rsidR="006A2A17">
        <w:rPr>
          <w:rFonts w:ascii="Arial" w:hAnsi="Arial" w:cs="Arial"/>
        </w:rPr>
        <w:t xml:space="preserve">that </w:t>
      </w:r>
      <w:r w:rsidR="00CD1D4B">
        <w:rPr>
          <w:rFonts w:ascii="Arial" w:hAnsi="Arial" w:cs="Arial"/>
        </w:rPr>
        <w:t>at no sta</w:t>
      </w:r>
      <w:r w:rsidR="00491B8E">
        <w:rPr>
          <w:rFonts w:ascii="Arial" w:hAnsi="Arial" w:cs="Arial"/>
        </w:rPr>
        <w:t>g</w:t>
      </w:r>
      <w:r w:rsidR="00CD1D4B">
        <w:rPr>
          <w:rFonts w:ascii="Arial" w:hAnsi="Arial" w:cs="Arial"/>
        </w:rPr>
        <w:t xml:space="preserve">e did it agree to any of </w:t>
      </w:r>
      <w:r w:rsidR="00321633">
        <w:rPr>
          <w:rFonts w:ascii="Arial" w:hAnsi="Arial" w:cs="Arial"/>
        </w:rPr>
        <w:t xml:space="preserve">the </w:t>
      </w:r>
      <w:r w:rsidR="001A792D">
        <w:rPr>
          <w:rFonts w:ascii="Arial" w:hAnsi="Arial" w:cs="Arial"/>
        </w:rPr>
        <w:t xml:space="preserve">terms of the </w:t>
      </w:r>
      <w:r w:rsidR="00633592">
        <w:rPr>
          <w:rFonts w:ascii="Arial" w:hAnsi="Arial" w:cs="Arial"/>
        </w:rPr>
        <w:t xml:space="preserve">Surface Use Agreement </w:t>
      </w:r>
      <w:r w:rsidR="00CD1D4B">
        <w:rPr>
          <w:rFonts w:ascii="Arial" w:hAnsi="Arial" w:cs="Arial"/>
        </w:rPr>
        <w:t>with either QCK or Sikhova</w:t>
      </w:r>
      <w:r w:rsidR="009A7576">
        <w:rPr>
          <w:rFonts w:ascii="Arial" w:hAnsi="Arial" w:cs="Arial"/>
        </w:rPr>
        <w:t xml:space="preserve">. Lore went on to say that its involvement in the said agreement is a legal </w:t>
      </w:r>
      <w:r w:rsidR="00204708">
        <w:rPr>
          <w:rFonts w:ascii="Arial" w:hAnsi="Arial" w:cs="Arial"/>
        </w:rPr>
        <w:t xml:space="preserve">substratum </w:t>
      </w:r>
      <w:r w:rsidR="009A7576">
        <w:rPr>
          <w:rFonts w:ascii="Arial" w:hAnsi="Arial" w:cs="Arial"/>
        </w:rPr>
        <w:t xml:space="preserve">to its lawful </w:t>
      </w:r>
      <w:r w:rsidR="00321633">
        <w:rPr>
          <w:rFonts w:ascii="Arial" w:hAnsi="Arial" w:cs="Arial"/>
        </w:rPr>
        <w:t>existence</w:t>
      </w:r>
      <w:r w:rsidR="009A7576">
        <w:rPr>
          <w:rFonts w:ascii="Arial" w:hAnsi="Arial" w:cs="Arial"/>
        </w:rPr>
        <w:t xml:space="preserve">. Absent </w:t>
      </w:r>
      <w:r w:rsidR="00204708">
        <w:rPr>
          <w:rFonts w:ascii="Arial" w:hAnsi="Arial" w:cs="Arial"/>
        </w:rPr>
        <w:t>its participation</w:t>
      </w:r>
      <w:r w:rsidR="009A7576">
        <w:rPr>
          <w:rFonts w:ascii="Arial" w:hAnsi="Arial" w:cs="Arial"/>
        </w:rPr>
        <w:t>, it a</w:t>
      </w:r>
      <w:r w:rsidR="00204708">
        <w:rPr>
          <w:rFonts w:ascii="Arial" w:hAnsi="Arial" w:cs="Arial"/>
        </w:rPr>
        <w:t>r</w:t>
      </w:r>
      <w:r w:rsidR="009A7576">
        <w:rPr>
          <w:rFonts w:ascii="Arial" w:hAnsi="Arial" w:cs="Arial"/>
        </w:rPr>
        <w:t xml:space="preserve">gued, </w:t>
      </w:r>
      <w:r w:rsidR="00CD1D4B">
        <w:rPr>
          <w:rFonts w:ascii="Arial" w:hAnsi="Arial" w:cs="Arial"/>
        </w:rPr>
        <w:t>the agreement was not validly entered into.</w:t>
      </w:r>
    </w:p>
    <w:p w:rsidR="0001387A" w:rsidRPr="0001387A" w:rsidRDefault="0001387A" w:rsidP="0001387A">
      <w:pPr>
        <w:spacing w:line="360" w:lineRule="auto"/>
        <w:ind w:left="567" w:hanging="567"/>
        <w:jc w:val="both"/>
        <w:rPr>
          <w:rFonts w:ascii="Arial" w:hAnsi="Arial" w:cs="Arial"/>
        </w:rPr>
      </w:pPr>
      <w:r>
        <w:rPr>
          <w:rFonts w:ascii="Arial" w:hAnsi="Arial" w:cs="Arial"/>
        </w:rPr>
        <w:t>[</w:t>
      </w:r>
      <w:r w:rsidR="00532BE9">
        <w:rPr>
          <w:rFonts w:ascii="Arial" w:hAnsi="Arial" w:cs="Arial"/>
        </w:rPr>
        <w:t>7</w:t>
      </w:r>
      <w:r>
        <w:rPr>
          <w:rFonts w:ascii="Arial" w:hAnsi="Arial" w:cs="Arial"/>
        </w:rPr>
        <w:t>]</w:t>
      </w:r>
      <w:r>
        <w:rPr>
          <w:rFonts w:ascii="Arial" w:hAnsi="Arial" w:cs="Arial"/>
        </w:rPr>
        <w:tab/>
      </w:r>
      <w:r w:rsidRPr="0001387A">
        <w:rPr>
          <w:rFonts w:ascii="Arial" w:hAnsi="Arial" w:cs="Arial"/>
        </w:rPr>
        <w:t xml:space="preserve">Sikhova and Hard Rock allege </w:t>
      </w:r>
      <w:r w:rsidR="00766B3F">
        <w:rPr>
          <w:rFonts w:ascii="Arial" w:hAnsi="Arial" w:cs="Arial"/>
        </w:rPr>
        <w:t xml:space="preserve">that </w:t>
      </w:r>
      <w:r w:rsidRPr="0001387A">
        <w:rPr>
          <w:rFonts w:ascii="Arial" w:hAnsi="Arial" w:cs="Arial"/>
        </w:rPr>
        <w:t xml:space="preserve">a </w:t>
      </w:r>
      <w:r w:rsidR="00C11135">
        <w:rPr>
          <w:rFonts w:ascii="Arial" w:hAnsi="Arial" w:cs="Arial"/>
        </w:rPr>
        <w:t xml:space="preserve">prospecting </w:t>
      </w:r>
      <w:r w:rsidRPr="0001387A">
        <w:rPr>
          <w:rFonts w:ascii="Arial" w:hAnsi="Arial" w:cs="Arial"/>
        </w:rPr>
        <w:t xml:space="preserve">right, similar to </w:t>
      </w:r>
      <w:r w:rsidR="00E56613">
        <w:rPr>
          <w:rFonts w:ascii="Arial" w:hAnsi="Arial" w:cs="Arial"/>
        </w:rPr>
        <w:t xml:space="preserve">the one described </w:t>
      </w:r>
      <w:r w:rsidRPr="0001387A">
        <w:rPr>
          <w:rFonts w:ascii="Arial" w:hAnsi="Arial" w:cs="Arial"/>
        </w:rPr>
        <w:t xml:space="preserve">above, was granted to the </w:t>
      </w:r>
      <w:r w:rsidR="00AE1918">
        <w:rPr>
          <w:rFonts w:ascii="Arial" w:hAnsi="Arial" w:cs="Arial"/>
        </w:rPr>
        <w:t>j</w:t>
      </w:r>
      <w:r w:rsidRPr="0001387A">
        <w:rPr>
          <w:rFonts w:ascii="Arial" w:hAnsi="Arial" w:cs="Arial"/>
        </w:rPr>
        <w:t xml:space="preserve">oint </w:t>
      </w:r>
      <w:r w:rsidR="00AE1918">
        <w:rPr>
          <w:rFonts w:ascii="Arial" w:hAnsi="Arial" w:cs="Arial"/>
        </w:rPr>
        <w:t>v</w:t>
      </w:r>
      <w:r w:rsidRPr="0001387A">
        <w:rPr>
          <w:rFonts w:ascii="Arial" w:hAnsi="Arial" w:cs="Arial"/>
        </w:rPr>
        <w:t xml:space="preserve">enture between Lore and Sikhova which had been defined in the </w:t>
      </w:r>
      <w:r w:rsidR="00633592">
        <w:rPr>
          <w:rFonts w:ascii="Arial" w:hAnsi="Arial" w:cs="Arial"/>
        </w:rPr>
        <w:t>Surface Use Agreement</w:t>
      </w:r>
      <w:r w:rsidR="00633592" w:rsidRPr="0001387A">
        <w:rPr>
          <w:rFonts w:ascii="Arial" w:hAnsi="Arial" w:cs="Arial"/>
        </w:rPr>
        <w:t xml:space="preserve"> </w:t>
      </w:r>
      <w:r w:rsidR="00766B3F">
        <w:rPr>
          <w:rFonts w:ascii="Arial" w:hAnsi="Arial" w:cs="Arial"/>
        </w:rPr>
        <w:t>as</w:t>
      </w:r>
      <w:r w:rsidRPr="0001387A">
        <w:rPr>
          <w:rFonts w:ascii="Arial" w:hAnsi="Arial" w:cs="Arial"/>
        </w:rPr>
        <w:t xml:space="preserve"> the “Unincorporated Hard Rock Mining Koedoeskloof Joint Venture”. The operation of the agreement would allegedly continue until Hard Rock Mining Koedoeskloof Joint Venture or Hard Rock as its successor-in-tittle had completed its exploration of the minerals. </w:t>
      </w:r>
    </w:p>
    <w:p w:rsidR="0001387A" w:rsidRPr="0001387A" w:rsidRDefault="0001387A" w:rsidP="0001387A">
      <w:pPr>
        <w:spacing w:line="360" w:lineRule="auto"/>
        <w:ind w:left="567" w:hanging="567"/>
        <w:jc w:val="both"/>
        <w:rPr>
          <w:rFonts w:ascii="Arial" w:hAnsi="Arial" w:cs="Arial"/>
        </w:rPr>
      </w:pPr>
      <w:r>
        <w:rPr>
          <w:rFonts w:ascii="Arial" w:hAnsi="Arial" w:cs="Arial"/>
        </w:rPr>
        <w:t>[</w:t>
      </w:r>
      <w:r w:rsidR="00532BE9">
        <w:rPr>
          <w:rFonts w:ascii="Arial" w:hAnsi="Arial" w:cs="Arial"/>
        </w:rPr>
        <w:t>8</w:t>
      </w:r>
      <w:r>
        <w:rPr>
          <w:rFonts w:ascii="Arial" w:hAnsi="Arial" w:cs="Arial"/>
        </w:rPr>
        <w:t>]</w:t>
      </w:r>
      <w:r>
        <w:rPr>
          <w:rFonts w:ascii="Arial" w:hAnsi="Arial" w:cs="Arial"/>
        </w:rPr>
        <w:tab/>
      </w:r>
      <w:r w:rsidRPr="0001387A">
        <w:rPr>
          <w:rFonts w:ascii="Arial" w:hAnsi="Arial" w:cs="Arial"/>
        </w:rPr>
        <w:t>In exchange for the rights granted by QCK</w:t>
      </w:r>
      <w:r w:rsidR="001A792D">
        <w:rPr>
          <w:rFonts w:ascii="Arial" w:hAnsi="Arial" w:cs="Arial"/>
        </w:rPr>
        <w:t xml:space="preserve"> under the Surface Use Agreement</w:t>
      </w:r>
      <w:r w:rsidRPr="0001387A">
        <w:rPr>
          <w:rFonts w:ascii="Arial" w:hAnsi="Arial" w:cs="Arial"/>
        </w:rPr>
        <w:t xml:space="preserve">, Sikhova was required to pay R30 000 </w:t>
      </w:r>
      <w:r w:rsidR="00A01D4D">
        <w:rPr>
          <w:rFonts w:ascii="Arial" w:hAnsi="Arial" w:cs="Arial"/>
        </w:rPr>
        <w:t xml:space="preserve">monthly </w:t>
      </w:r>
      <w:r w:rsidRPr="0001387A">
        <w:rPr>
          <w:rFonts w:ascii="Arial" w:hAnsi="Arial" w:cs="Arial"/>
        </w:rPr>
        <w:t>occupation fee on or before the 15</w:t>
      </w:r>
      <w:r w:rsidRPr="0001387A">
        <w:rPr>
          <w:rFonts w:ascii="Arial" w:hAnsi="Arial" w:cs="Arial"/>
          <w:vertAlign w:val="superscript"/>
        </w:rPr>
        <w:t>th</w:t>
      </w:r>
      <w:r w:rsidRPr="0001387A">
        <w:rPr>
          <w:rFonts w:ascii="Arial" w:hAnsi="Arial" w:cs="Arial"/>
        </w:rPr>
        <w:t xml:space="preserve"> of each month for the first six months of </w:t>
      </w:r>
      <w:r w:rsidR="001A792D">
        <w:rPr>
          <w:rFonts w:ascii="Arial" w:hAnsi="Arial" w:cs="Arial"/>
        </w:rPr>
        <w:t>the mining activities</w:t>
      </w:r>
      <w:r w:rsidRPr="0001387A">
        <w:rPr>
          <w:rFonts w:ascii="Arial" w:hAnsi="Arial" w:cs="Arial"/>
        </w:rPr>
        <w:t xml:space="preserve"> and thereafter a royalty</w:t>
      </w:r>
      <w:r w:rsidR="00A15A20">
        <w:rPr>
          <w:rFonts w:ascii="Arial" w:hAnsi="Arial" w:cs="Arial"/>
        </w:rPr>
        <w:t xml:space="preserve"> to the extent described in the agreement</w:t>
      </w:r>
      <w:r w:rsidRPr="0001387A">
        <w:rPr>
          <w:rFonts w:ascii="Arial" w:hAnsi="Arial" w:cs="Arial"/>
        </w:rPr>
        <w:t xml:space="preserve">. In the event of failure by the “Joint Venture” or Hard Rock, as </w:t>
      </w:r>
      <w:r w:rsidR="007D3506">
        <w:rPr>
          <w:rFonts w:ascii="Arial" w:hAnsi="Arial" w:cs="Arial"/>
        </w:rPr>
        <w:t xml:space="preserve">the </w:t>
      </w:r>
      <w:r w:rsidR="00AE1918">
        <w:rPr>
          <w:rFonts w:ascii="Arial" w:hAnsi="Arial" w:cs="Arial"/>
        </w:rPr>
        <w:t>j</w:t>
      </w:r>
      <w:r w:rsidRPr="0001387A">
        <w:rPr>
          <w:rFonts w:ascii="Arial" w:hAnsi="Arial" w:cs="Arial"/>
        </w:rPr>
        <w:t xml:space="preserve">oint </w:t>
      </w:r>
      <w:r w:rsidR="00AE1918">
        <w:rPr>
          <w:rFonts w:ascii="Arial" w:hAnsi="Arial" w:cs="Arial"/>
        </w:rPr>
        <w:t>v</w:t>
      </w:r>
      <w:r w:rsidRPr="0001387A">
        <w:rPr>
          <w:rFonts w:ascii="Arial" w:hAnsi="Arial" w:cs="Arial"/>
        </w:rPr>
        <w:t>enture’s successor-in-tittle</w:t>
      </w:r>
      <w:r w:rsidR="007D3506">
        <w:rPr>
          <w:rFonts w:ascii="Arial" w:hAnsi="Arial" w:cs="Arial"/>
        </w:rPr>
        <w:t>,</w:t>
      </w:r>
      <w:r w:rsidRPr="0001387A">
        <w:rPr>
          <w:rFonts w:ascii="Arial" w:hAnsi="Arial" w:cs="Arial"/>
        </w:rPr>
        <w:t xml:space="preserve"> to pay the amounts due in terms of the agreement or </w:t>
      </w:r>
      <w:r w:rsidR="00864C76">
        <w:rPr>
          <w:rFonts w:ascii="Arial" w:hAnsi="Arial" w:cs="Arial"/>
        </w:rPr>
        <w:t xml:space="preserve">in the event </w:t>
      </w:r>
      <w:r w:rsidRPr="0001387A">
        <w:rPr>
          <w:rFonts w:ascii="Arial" w:hAnsi="Arial" w:cs="Arial"/>
        </w:rPr>
        <w:t>of</w:t>
      </w:r>
      <w:r w:rsidR="00457E89">
        <w:rPr>
          <w:rFonts w:ascii="Arial" w:hAnsi="Arial" w:cs="Arial"/>
        </w:rPr>
        <w:t xml:space="preserve">, inter alia, </w:t>
      </w:r>
      <w:r w:rsidRPr="0001387A">
        <w:rPr>
          <w:rFonts w:ascii="Arial" w:hAnsi="Arial" w:cs="Arial"/>
        </w:rPr>
        <w:t xml:space="preserve"> a material breach of the agreement</w:t>
      </w:r>
      <w:r w:rsidR="00457E89">
        <w:rPr>
          <w:rFonts w:ascii="Arial" w:hAnsi="Arial" w:cs="Arial"/>
        </w:rPr>
        <w:t xml:space="preserve"> and failure to remedy such  breach within 90 days</w:t>
      </w:r>
      <w:r w:rsidRPr="0001387A">
        <w:rPr>
          <w:rFonts w:ascii="Arial" w:hAnsi="Arial" w:cs="Arial"/>
        </w:rPr>
        <w:t xml:space="preserve">, QCK would be entitled to cancel the agreement </w:t>
      </w:r>
      <w:r w:rsidR="00457E89">
        <w:rPr>
          <w:rFonts w:ascii="Arial" w:hAnsi="Arial" w:cs="Arial"/>
        </w:rPr>
        <w:t>and resume possession of the prospecting area without prejudice to its claim of the arrear amounts owing or dam</w:t>
      </w:r>
      <w:r w:rsidR="00685BE8">
        <w:rPr>
          <w:rFonts w:ascii="Arial" w:hAnsi="Arial" w:cs="Arial"/>
        </w:rPr>
        <w:t>a</w:t>
      </w:r>
      <w:r w:rsidR="00457E89">
        <w:rPr>
          <w:rFonts w:ascii="Arial" w:hAnsi="Arial" w:cs="Arial"/>
        </w:rPr>
        <w:t>ges it may have suffered</w:t>
      </w:r>
      <w:r w:rsidR="00685BE8">
        <w:rPr>
          <w:rFonts w:ascii="Arial" w:hAnsi="Arial" w:cs="Arial"/>
        </w:rPr>
        <w:t xml:space="preserve"> by reason of the breach</w:t>
      </w:r>
      <w:r w:rsidR="007D3506">
        <w:rPr>
          <w:rFonts w:ascii="Arial" w:hAnsi="Arial" w:cs="Arial"/>
        </w:rPr>
        <w:t>.</w:t>
      </w:r>
    </w:p>
    <w:p w:rsidR="00F90513" w:rsidRDefault="0001387A" w:rsidP="0001387A">
      <w:pPr>
        <w:spacing w:line="360" w:lineRule="auto"/>
        <w:ind w:left="567" w:hanging="567"/>
        <w:jc w:val="both"/>
        <w:rPr>
          <w:rFonts w:ascii="Arial" w:hAnsi="Arial" w:cs="Arial"/>
        </w:rPr>
      </w:pPr>
      <w:r>
        <w:rPr>
          <w:rFonts w:ascii="Arial" w:hAnsi="Arial" w:cs="Arial"/>
        </w:rPr>
        <w:t>[</w:t>
      </w:r>
      <w:r w:rsidR="00532BE9">
        <w:rPr>
          <w:rFonts w:ascii="Arial" w:hAnsi="Arial" w:cs="Arial"/>
        </w:rPr>
        <w:t>9</w:t>
      </w:r>
      <w:r>
        <w:rPr>
          <w:rFonts w:ascii="Arial" w:hAnsi="Arial" w:cs="Arial"/>
        </w:rPr>
        <w:t>]</w:t>
      </w:r>
      <w:r>
        <w:rPr>
          <w:rFonts w:ascii="Arial" w:hAnsi="Arial" w:cs="Arial"/>
        </w:rPr>
        <w:tab/>
      </w:r>
      <w:r w:rsidRPr="0001387A">
        <w:rPr>
          <w:rFonts w:ascii="Arial" w:hAnsi="Arial" w:cs="Arial"/>
        </w:rPr>
        <w:t>The second agreement</w:t>
      </w:r>
      <w:r w:rsidR="00230072">
        <w:rPr>
          <w:rFonts w:ascii="Arial" w:hAnsi="Arial" w:cs="Arial"/>
        </w:rPr>
        <w:t>, the joint venture (JV),</w:t>
      </w:r>
      <w:r w:rsidRPr="0001387A">
        <w:rPr>
          <w:rFonts w:ascii="Arial" w:hAnsi="Arial" w:cs="Arial"/>
        </w:rPr>
        <w:t xml:space="preserve"> was </w:t>
      </w:r>
      <w:r w:rsidR="00A01D4D">
        <w:rPr>
          <w:rFonts w:ascii="Arial" w:hAnsi="Arial" w:cs="Arial"/>
        </w:rPr>
        <w:t xml:space="preserve">allegedly </w:t>
      </w:r>
      <w:r w:rsidRPr="0001387A">
        <w:rPr>
          <w:rFonts w:ascii="Arial" w:hAnsi="Arial" w:cs="Arial"/>
        </w:rPr>
        <w:t>concluded on 16 August 2019 between Sikhova and Lore</w:t>
      </w:r>
      <w:r w:rsidR="00F43D71">
        <w:rPr>
          <w:rFonts w:ascii="Arial" w:hAnsi="Arial" w:cs="Arial"/>
        </w:rPr>
        <w:t>,</w:t>
      </w:r>
      <w:r w:rsidRPr="0001387A">
        <w:rPr>
          <w:rFonts w:ascii="Arial" w:hAnsi="Arial" w:cs="Arial"/>
        </w:rPr>
        <w:t xml:space="preserve"> as the holder of the prospecting rights. The </w:t>
      </w:r>
      <w:r w:rsidR="00230072">
        <w:rPr>
          <w:rFonts w:ascii="Arial" w:hAnsi="Arial" w:cs="Arial"/>
        </w:rPr>
        <w:t>JV</w:t>
      </w:r>
      <w:r w:rsidRPr="0001387A">
        <w:rPr>
          <w:rFonts w:ascii="Arial" w:hAnsi="Arial" w:cs="Arial"/>
        </w:rPr>
        <w:t xml:space="preserve"> </w:t>
      </w:r>
      <w:r w:rsidR="008673B7">
        <w:rPr>
          <w:rFonts w:ascii="Arial" w:hAnsi="Arial" w:cs="Arial"/>
        </w:rPr>
        <w:t xml:space="preserve">is to the effect </w:t>
      </w:r>
      <w:r w:rsidRPr="0001387A">
        <w:rPr>
          <w:rFonts w:ascii="Arial" w:hAnsi="Arial" w:cs="Arial"/>
        </w:rPr>
        <w:t xml:space="preserve">that “the company”, which  </w:t>
      </w:r>
      <w:r w:rsidR="00121A1B">
        <w:rPr>
          <w:rFonts w:ascii="Arial" w:hAnsi="Arial" w:cs="Arial"/>
        </w:rPr>
        <w:t xml:space="preserve">Sikhova and Hard Rock </w:t>
      </w:r>
      <w:r w:rsidRPr="0001387A">
        <w:rPr>
          <w:rFonts w:ascii="Arial" w:hAnsi="Arial" w:cs="Arial"/>
        </w:rPr>
        <w:t xml:space="preserve">submit is Hard Rock, would locate, prospect, explore, mine and market the minerals </w:t>
      </w:r>
      <w:r>
        <w:rPr>
          <w:rFonts w:ascii="Arial" w:hAnsi="Arial" w:cs="Arial"/>
        </w:rPr>
        <w:t xml:space="preserve">for </w:t>
      </w:r>
      <w:r w:rsidRPr="0001387A">
        <w:rPr>
          <w:rFonts w:ascii="Arial" w:hAnsi="Arial" w:cs="Arial"/>
        </w:rPr>
        <w:t xml:space="preserve">an indeterminate period unless </w:t>
      </w:r>
      <w:r w:rsidR="00AA7E19">
        <w:rPr>
          <w:rFonts w:ascii="Arial" w:hAnsi="Arial" w:cs="Arial"/>
        </w:rPr>
        <w:t>t</w:t>
      </w:r>
      <w:r w:rsidR="00AA7E19" w:rsidRPr="0001387A">
        <w:rPr>
          <w:rFonts w:ascii="Arial" w:hAnsi="Arial" w:cs="Arial"/>
        </w:rPr>
        <w:t xml:space="preserve">he </w:t>
      </w:r>
      <w:r w:rsidR="00230072">
        <w:rPr>
          <w:rFonts w:ascii="Arial" w:hAnsi="Arial" w:cs="Arial"/>
        </w:rPr>
        <w:t>JV</w:t>
      </w:r>
      <w:r w:rsidR="00AA7E19" w:rsidRPr="0001387A">
        <w:rPr>
          <w:rFonts w:ascii="Arial" w:hAnsi="Arial" w:cs="Arial"/>
        </w:rPr>
        <w:t xml:space="preserve"> </w:t>
      </w:r>
      <w:r w:rsidR="00121A1B">
        <w:rPr>
          <w:rFonts w:ascii="Arial" w:hAnsi="Arial" w:cs="Arial"/>
        </w:rPr>
        <w:t>was</w:t>
      </w:r>
      <w:r w:rsidR="00AA7E19">
        <w:rPr>
          <w:rFonts w:ascii="Arial" w:hAnsi="Arial" w:cs="Arial"/>
        </w:rPr>
        <w:t xml:space="preserve"> </w:t>
      </w:r>
      <w:r w:rsidRPr="0001387A">
        <w:rPr>
          <w:rFonts w:ascii="Arial" w:hAnsi="Arial" w:cs="Arial"/>
        </w:rPr>
        <w:t xml:space="preserve">mutually cancelled by the parties. According to </w:t>
      </w:r>
      <w:r w:rsidR="00CD596B">
        <w:rPr>
          <w:rFonts w:ascii="Arial" w:hAnsi="Arial" w:cs="Arial"/>
        </w:rPr>
        <w:t xml:space="preserve">Sikhova and Hard Rock, </w:t>
      </w:r>
      <w:r w:rsidRPr="0001387A">
        <w:rPr>
          <w:rFonts w:ascii="Arial" w:hAnsi="Arial" w:cs="Arial"/>
        </w:rPr>
        <w:t xml:space="preserve">Lore had to apply for the extension of the prospecting rights </w:t>
      </w:r>
      <w:r w:rsidR="00666CB2">
        <w:rPr>
          <w:rFonts w:ascii="Arial" w:hAnsi="Arial" w:cs="Arial"/>
        </w:rPr>
        <w:t xml:space="preserve">or for the granting of mining rights in respect of </w:t>
      </w:r>
      <w:r w:rsidRPr="0001387A">
        <w:rPr>
          <w:rFonts w:ascii="Arial" w:hAnsi="Arial" w:cs="Arial"/>
        </w:rPr>
        <w:t xml:space="preserve">all minerals available on the </w:t>
      </w:r>
      <w:r w:rsidR="00230072">
        <w:rPr>
          <w:rFonts w:ascii="Arial" w:hAnsi="Arial" w:cs="Arial"/>
        </w:rPr>
        <w:t>farm</w:t>
      </w:r>
      <w:r w:rsidR="000735D7">
        <w:rPr>
          <w:rFonts w:ascii="Arial" w:hAnsi="Arial" w:cs="Arial"/>
        </w:rPr>
        <w:t xml:space="preserve"> </w:t>
      </w:r>
      <w:r w:rsidR="00377E99">
        <w:rPr>
          <w:rFonts w:ascii="Arial" w:hAnsi="Arial" w:cs="Arial"/>
        </w:rPr>
        <w:t xml:space="preserve">which obligation would survive any termination of the </w:t>
      </w:r>
      <w:r w:rsidR="00230072">
        <w:rPr>
          <w:rFonts w:ascii="Arial" w:hAnsi="Arial" w:cs="Arial"/>
        </w:rPr>
        <w:t>JV</w:t>
      </w:r>
      <w:r w:rsidRPr="0001387A">
        <w:rPr>
          <w:rFonts w:ascii="Arial" w:hAnsi="Arial" w:cs="Arial"/>
        </w:rPr>
        <w:t xml:space="preserve">. </w:t>
      </w:r>
      <w:r w:rsidRPr="0001387A">
        <w:rPr>
          <w:rFonts w:ascii="Arial" w:hAnsi="Arial" w:cs="Arial"/>
        </w:rPr>
        <w:lastRenderedPageBreak/>
        <w:t xml:space="preserve">Sikhova would hold 700 shares of the issued share capital </w:t>
      </w:r>
      <w:r>
        <w:rPr>
          <w:rFonts w:ascii="Arial" w:hAnsi="Arial" w:cs="Arial"/>
        </w:rPr>
        <w:t xml:space="preserve">whereas </w:t>
      </w:r>
      <w:r w:rsidRPr="0001387A">
        <w:rPr>
          <w:rFonts w:ascii="Arial" w:hAnsi="Arial" w:cs="Arial"/>
        </w:rPr>
        <w:t>Lore 300 shares. A</w:t>
      </w:r>
      <w:r w:rsidR="006C6196">
        <w:rPr>
          <w:rFonts w:ascii="Arial" w:hAnsi="Arial" w:cs="Arial"/>
        </w:rPr>
        <w:t xml:space="preserve">ny of the parties </w:t>
      </w:r>
      <w:r w:rsidRPr="0001387A">
        <w:rPr>
          <w:rFonts w:ascii="Arial" w:hAnsi="Arial" w:cs="Arial"/>
        </w:rPr>
        <w:t xml:space="preserve">who wished to withdraw from the </w:t>
      </w:r>
      <w:r w:rsidR="00230072">
        <w:rPr>
          <w:rFonts w:ascii="Arial" w:hAnsi="Arial" w:cs="Arial"/>
        </w:rPr>
        <w:t>JV</w:t>
      </w:r>
      <w:r w:rsidRPr="0001387A">
        <w:rPr>
          <w:rFonts w:ascii="Arial" w:hAnsi="Arial" w:cs="Arial"/>
        </w:rPr>
        <w:t xml:space="preserve"> would be required to give the other party three month</w:t>
      </w:r>
      <w:r w:rsidR="00567173">
        <w:rPr>
          <w:rFonts w:ascii="Arial" w:hAnsi="Arial" w:cs="Arial"/>
        </w:rPr>
        <w:t>s</w:t>
      </w:r>
      <w:r w:rsidRPr="0001387A">
        <w:rPr>
          <w:rFonts w:ascii="Arial" w:hAnsi="Arial" w:cs="Arial"/>
        </w:rPr>
        <w:t>’ written notice provided that such party would not be discharged from performing any obligation already due or becoming due.</w:t>
      </w:r>
    </w:p>
    <w:p w:rsidR="00026BCF" w:rsidRDefault="00F90513" w:rsidP="00F90513">
      <w:pPr>
        <w:spacing w:line="360" w:lineRule="auto"/>
        <w:ind w:left="567" w:hanging="567"/>
        <w:jc w:val="both"/>
        <w:rPr>
          <w:rFonts w:ascii="Arial" w:hAnsi="Arial" w:cs="Arial"/>
        </w:rPr>
      </w:pPr>
      <w:r>
        <w:rPr>
          <w:rFonts w:ascii="Arial" w:hAnsi="Arial" w:cs="Arial"/>
        </w:rPr>
        <w:t>[</w:t>
      </w:r>
      <w:r w:rsidR="00532BE9">
        <w:rPr>
          <w:rFonts w:ascii="Arial" w:hAnsi="Arial" w:cs="Arial"/>
        </w:rPr>
        <w:t>10</w:t>
      </w:r>
      <w:r>
        <w:rPr>
          <w:rFonts w:ascii="Arial" w:hAnsi="Arial" w:cs="Arial"/>
        </w:rPr>
        <w:t>]</w:t>
      </w:r>
      <w:r>
        <w:rPr>
          <w:rFonts w:ascii="Arial" w:hAnsi="Arial" w:cs="Arial"/>
        </w:rPr>
        <w:tab/>
      </w:r>
      <w:r w:rsidR="00026BCF">
        <w:rPr>
          <w:rFonts w:ascii="Arial" w:hAnsi="Arial" w:cs="Arial"/>
        </w:rPr>
        <w:t xml:space="preserve">QCK and Lore intimated that the </w:t>
      </w:r>
      <w:r w:rsidR="00F94D7E">
        <w:rPr>
          <w:rFonts w:ascii="Arial" w:hAnsi="Arial" w:cs="Arial"/>
        </w:rPr>
        <w:t xml:space="preserve">above </w:t>
      </w:r>
      <w:r w:rsidR="00230072">
        <w:rPr>
          <w:rFonts w:ascii="Arial" w:hAnsi="Arial" w:cs="Arial"/>
        </w:rPr>
        <w:t>JV</w:t>
      </w:r>
      <w:r w:rsidR="00026BCF">
        <w:rPr>
          <w:rFonts w:ascii="Arial" w:hAnsi="Arial" w:cs="Arial"/>
        </w:rPr>
        <w:t xml:space="preserve"> was entered into </w:t>
      </w:r>
      <w:r w:rsidR="00F60EF8">
        <w:rPr>
          <w:rFonts w:ascii="Arial" w:hAnsi="Arial" w:cs="Arial"/>
        </w:rPr>
        <w:t xml:space="preserve">so as to promote and incorporate </w:t>
      </w:r>
      <w:r w:rsidR="00026BCF">
        <w:rPr>
          <w:rFonts w:ascii="Arial" w:hAnsi="Arial" w:cs="Arial"/>
        </w:rPr>
        <w:t>a company which would expl</w:t>
      </w:r>
      <w:r w:rsidR="00E4441A">
        <w:rPr>
          <w:rFonts w:ascii="Arial" w:hAnsi="Arial" w:cs="Arial"/>
        </w:rPr>
        <w:t>o</w:t>
      </w:r>
      <w:r w:rsidR="00026BCF">
        <w:rPr>
          <w:rFonts w:ascii="Arial" w:hAnsi="Arial" w:cs="Arial"/>
        </w:rPr>
        <w:t xml:space="preserve">it and exercise the prospecting rights. They </w:t>
      </w:r>
      <w:r w:rsidR="00CB1C97">
        <w:rPr>
          <w:rFonts w:ascii="Arial" w:hAnsi="Arial" w:cs="Arial"/>
        </w:rPr>
        <w:t>maintain</w:t>
      </w:r>
      <w:r w:rsidR="00026BCF">
        <w:rPr>
          <w:rFonts w:ascii="Arial" w:hAnsi="Arial" w:cs="Arial"/>
        </w:rPr>
        <w:t xml:space="preserve"> </w:t>
      </w:r>
      <w:r w:rsidR="00F94D7E">
        <w:rPr>
          <w:rFonts w:ascii="Arial" w:hAnsi="Arial" w:cs="Arial"/>
        </w:rPr>
        <w:t xml:space="preserve">that </w:t>
      </w:r>
      <w:r w:rsidR="00026BCF">
        <w:rPr>
          <w:rFonts w:ascii="Arial" w:hAnsi="Arial" w:cs="Arial"/>
        </w:rPr>
        <w:t xml:space="preserve">the </w:t>
      </w:r>
      <w:r w:rsidR="00230072">
        <w:rPr>
          <w:rFonts w:ascii="Arial" w:hAnsi="Arial" w:cs="Arial"/>
        </w:rPr>
        <w:t>JV</w:t>
      </w:r>
      <w:r w:rsidR="00026BCF">
        <w:rPr>
          <w:rFonts w:ascii="Arial" w:hAnsi="Arial" w:cs="Arial"/>
        </w:rPr>
        <w:t xml:space="preserve"> </w:t>
      </w:r>
      <w:r w:rsidR="00F94D7E">
        <w:rPr>
          <w:rFonts w:ascii="Arial" w:hAnsi="Arial" w:cs="Arial"/>
        </w:rPr>
        <w:t>in question did not materialise</w:t>
      </w:r>
      <w:r w:rsidR="00E56613">
        <w:rPr>
          <w:rFonts w:ascii="Arial" w:hAnsi="Arial" w:cs="Arial"/>
        </w:rPr>
        <w:t xml:space="preserve"> because, inter alia, a </w:t>
      </w:r>
      <w:r w:rsidR="00026BCF">
        <w:rPr>
          <w:rFonts w:ascii="Arial" w:hAnsi="Arial" w:cs="Arial"/>
        </w:rPr>
        <w:t xml:space="preserve">company </w:t>
      </w:r>
      <w:r w:rsidR="00230072">
        <w:rPr>
          <w:rFonts w:ascii="Arial" w:hAnsi="Arial" w:cs="Arial"/>
        </w:rPr>
        <w:t xml:space="preserve">which </w:t>
      </w:r>
      <w:r w:rsidR="00026BCF">
        <w:rPr>
          <w:rFonts w:ascii="Arial" w:hAnsi="Arial" w:cs="Arial"/>
        </w:rPr>
        <w:t xml:space="preserve">was to be </w:t>
      </w:r>
      <w:r w:rsidR="00CB1C97">
        <w:rPr>
          <w:rFonts w:ascii="Arial" w:hAnsi="Arial" w:cs="Arial"/>
        </w:rPr>
        <w:t>“</w:t>
      </w:r>
      <w:r w:rsidR="00026BCF">
        <w:rPr>
          <w:rFonts w:ascii="Arial" w:hAnsi="Arial" w:cs="Arial"/>
        </w:rPr>
        <w:t>promoted</w:t>
      </w:r>
      <w:r w:rsidR="00CB1C97">
        <w:rPr>
          <w:rFonts w:ascii="Arial" w:hAnsi="Arial" w:cs="Arial"/>
        </w:rPr>
        <w:t>”</w:t>
      </w:r>
      <w:r w:rsidR="00026BCF">
        <w:rPr>
          <w:rFonts w:ascii="Arial" w:hAnsi="Arial" w:cs="Arial"/>
        </w:rPr>
        <w:t xml:space="preserve"> to the </w:t>
      </w:r>
      <w:r w:rsidR="00230072">
        <w:rPr>
          <w:rFonts w:ascii="Arial" w:hAnsi="Arial" w:cs="Arial"/>
        </w:rPr>
        <w:t>JV</w:t>
      </w:r>
      <w:r w:rsidR="00026BCF">
        <w:rPr>
          <w:rFonts w:ascii="Arial" w:hAnsi="Arial" w:cs="Arial"/>
        </w:rPr>
        <w:t xml:space="preserve"> was never registered or incorporated. </w:t>
      </w:r>
      <w:r w:rsidR="00CB1C97">
        <w:rPr>
          <w:rFonts w:ascii="Arial" w:hAnsi="Arial" w:cs="Arial"/>
        </w:rPr>
        <w:t xml:space="preserve">According to them </w:t>
      </w:r>
      <w:r w:rsidR="006A5709">
        <w:rPr>
          <w:rFonts w:ascii="Arial" w:hAnsi="Arial" w:cs="Arial"/>
        </w:rPr>
        <w:t>Hard Rock is unknown to Lore</w:t>
      </w:r>
      <w:r w:rsidR="006C6196">
        <w:rPr>
          <w:rFonts w:ascii="Arial" w:hAnsi="Arial" w:cs="Arial"/>
        </w:rPr>
        <w:t xml:space="preserve"> and </w:t>
      </w:r>
      <w:r w:rsidR="00026BCF">
        <w:rPr>
          <w:rFonts w:ascii="Arial" w:hAnsi="Arial" w:cs="Arial"/>
        </w:rPr>
        <w:t>den</w:t>
      </w:r>
      <w:r w:rsidR="00121A1B">
        <w:rPr>
          <w:rFonts w:ascii="Arial" w:hAnsi="Arial" w:cs="Arial"/>
        </w:rPr>
        <w:t>ied t</w:t>
      </w:r>
      <w:r w:rsidR="00026BCF">
        <w:rPr>
          <w:rFonts w:ascii="Arial" w:hAnsi="Arial" w:cs="Arial"/>
        </w:rPr>
        <w:t xml:space="preserve">hat </w:t>
      </w:r>
      <w:r w:rsidR="006C6196">
        <w:rPr>
          <w:rFonts w:ascii="Arial" w:hAnsi="Arial" w:cs="Arial"/>
        </w:rPr>
        <w:t xml:space="preserve">it </w:t>
      </w:r>
      <w:r w:rsidR="00026BCF">
        <w:rPr>
          <w:rFonts w:ascii="Arial" w:hAnsi="Arial" w:cs="Arial"/>
        </w:rPr>
        <w:t xml:space="preserve">was the company envisaged by the </w:t>
      </w:r>
      <w:r w:rsidR="00230072">
        <w:rPr>
          <w:rFonts w:ascii="Arial" w:hAnsi="Arial" w:cs="Arial"/>
        </w:rPr>
        <w:t>JV</w:t>
      </w:r>
      <w:r w:rsidR="006C6196">
        <w:rPr>
          <w:rFonts w:ascii="Arial" w:hAnsi="Arial" w:cs="Arial"/>
        </w:rPr>
        <w:t xml:space="preserve">. They </w:t>
      </w:r>
      <w:r w:rsidR="00121A1B">
        <w:rPr>
          <w:rFonts w:ascii="Arial" w:hAnsi="Arial" w:cs="Arial"/>
        </w:rPr>
        <w:t>submitted that i</w:t>
      </w:r>
      <w:r w:rsidR="00B65A97">
        <w:rPr>
          <w:rFonts w:ascii="Arial" w:hAnsi="Arial" w:cs="Arial"/>
        </w:rPr>
        <w:t xml:space="preserve">t was incorporated by Sikhova acting on </w:t>
      </w:r>
      <w:r w:rsidR="00CB1C97">
        <w:rPr>
          <w:rFonts w:ascii="Arial" w:hAnsi="Arial" w:cs="Arial"/>
        </w:rPr>
        <w:t>a</w:t>
      </w:r>
      <w:r w:rsidR="00B65A97">
        <w:rPr>
          <w:rFonts w:ascii="Arial" w:hAnsi="Arial" w:cs="Arial"/>
        </w:rPr>
        <w:t xml:space="preserve"> frolic of its own</w:t>
      </w:r>
      <w:r w:rsidR="00026BCF">
        <w:rPr>
          <w:rFonts w:ascii="Arial" w:hAnsi="Arial" w:cs="Arial"/>
        </w:rPr>
        <w:t xml:space="preserve"> and </w:t>
      </w:r>
      <w:r w:rsidR="00CB1C97">
        <w:rPr>
          <w:rFonts w:ascii="Arial" w:hAnsi="Arial" w:cs="Arial"/>
        </w:rPr>
        <w:t xml:space="preserve">that </w:t>
      </w:r>
      <w:r w:rsidR="00026BCF">
        <w:rPr>
          <w:rFonts w:ascii="Arial" w:hAnsi="Arial" w:cs="Arial"/>
        </w:rPr>
        <w:t xml:space="preserve">none of the terms of the </w:t>
      </w:r>
      <w:r w:rsidR="00230072">
        <w:rPr>
          <w:rFonts w:ascii="Arial" w:hAnsi="Arial" w:cs="Arial"/>
        </w:rPr>
        <w:t>JV</w:t>
      </w:r>
      <w:r w:rsidR="00026BCF">
        <w:rPr>
          <w:rFonts w:ascii="Arial" w:hAnsi="Arial" w:cs="Arial"/>
        </w:rPr>
        <w:t xml:space="preserve"> were given effect to. </w:t>
      </w:r>
    </w:p>
    <w:p w:rsidR="0001387A" w:rsidRPr="0001387A" w:rsidRDefault="0001387A" w:rsidP="0001387A">
      <w:pPr>
        <w:spacing w:line="360" w:lineRule="auto"/>
        <w:ind w:left="567" w:hanging="567"/>
        <w:jc w:val="both"/>
        <w:rPr>
          <w:rFonts w:ascii="Arial" w:hAnsi="Arial" w:cs="Arial"/>
        </w:rPr>
      </w:pPr>
      <w:r>
        <w:rPr>
          <w:rFonts w:ascii="Arial" w:hAnsi="Arial" w:cs="Arial"/>
        </w:rPr>
        <w:t>[</w:t>
      </w:r>
      <w:r w:rsidR="00B3738C">
        <w:rPr>
          <w:rFonts w:ascii="Arial" w:hAnsi="Arial" w:cs="Arial"/>
        </w:rPr>
        <w:t>1</w:t>
      </w:r>
      <w:r w:rsidR="00532BE9">
        <w:rPr>
          <w:rFonts w:ascii="Arial" w:hAnsi="Arial" w:cs="Arial"/>
        </w:rPr>
        <w:t>1</w:t>
      </w:r>
      <w:r>
        <w:rPr>
          <w:rFonts w:ascii="Arial" w:hAnsi="Arial" w:cs="Arial"/>
        </w:rPr>
        <w:t>]</w:t>
      </w:r>
      <w:r>
        <w:rPr>
          <w:rFonts w:ascii="Arial" w:hAnsi="Arial" w:cs="Arial"/>
        </w:rPr>
        <w:tab/>
      </w:r>
      <w:r w:rsidRPr="0001387A">
        <w:rPr>
          <w:rFonts w:ascii="Arial" w:hAnsi="Arial" w:cs="Arial"/>
        </w:rPr>
        <w:t>In the exercise of the rights conferred upon Sikhova in terms of the</w:t>
      </w:r>
      <w:r w:rsidR="00B96F4D">
        <w:rPr>
          <w:rFonts w:ascii="Arial" w:hAnsi="Arial" w:cs="Arial"/>
        </w:rPr>
        <w:t xml:space="preserve"> above </w:t>
      </w:r>
      <w:r w:rsidRPr="0001387A">
        <w:rPr>
          <w:rFonts w:ascii="Arial" w:hAnsi="Arial" w:cs="Arial"/>
        </w:rPr>
        <w:t>agreements</w:t>
      </w:r>
      <w:r w:rsidR="00B9741C">
        <w:rPr>
          <w:rFonts w:ascii="Arial" w:hAnsi="Arial" w:cs="Arial"/>
        </w:rPr>
        <w:t xml:space="preserve"> </w:t>
      </w:r>
      <w:r w:rsidRPr="0001387A">
        <w:rPr>
          <w:rFonts w:ascii="Arial" w:hAnsi="Arial" w:cs="Arial"/>
        </w:rPr>
        <w:t xml:space="preserve">Sikhova and Hard Rock state that as from </w:t>
      </w:r>
      <w:r w:rsidR="00C5066C">
        <w:rPr>
          <w:rFonts w:ascii="Arial" w:hAnsi="Arial" w:cs="Arial"/>
        </w:rPr>
        <w:t>mid-</w:t>
      </w:r>
      <w:r w:rsidRPr="0001387A">
        <w:rPr>
          <w:rFonts w:ascii="Arial" w:hAnsi="Arial" w:cs="Arial"/>
        </w:rPr>
        <w:t xml:space="preserve">August 2019 they gained access to the </w:t>
      </w:r>
      <w:r w:rsidR="00B9741C">
        <w:rPr>
          <w:rFonts w:ascii="Arial" w:hAnsi="Arial" w:cs="Arial"/>
        </w:rPr>
        <w:t>farm</w:t>
      </w:r>
      <w:r w:rsidRPr="0001387A">
        <w:rPr>
          <w:rFonts w:ascii="Arial" w:hAnsi="Arial" w:cs="Arial"/>
        </w:rPr>
        <w:t xml:space="preserve"> and commenced extensive prospecting operations</w:t>
      </w:r>
      <w:r w:rsidR="0038437A">
        <w:rPr>
          <w:rFonts w:ascii="Arial" w:hAnsi="Arial" w:cs="Arial"/>
        </w:rPr>
        <w:t xml:space="preserve"> on the identified portion of the farm (the prospecting area)</w:t>
      </w:r>
      <w:r w:rsidRPr="0001387A">
        <w:rPr>
          <w:rFonts w:ascii="Arial" w:hAnsi="Arial" w:cs="Arial"/>
        </w:rPr>
        <w:t>.</w:t>
      </w:r>
      <w:r w:rsidR="0067490A">
        <w:rPr>
          <w:rFonts w:ascii="Arial" w:hAnsi="Arial" w:cs="Arial"/>
        </w:rPr>
        <w:t xml:space="preserve"> </w:t>
      </w:r>
      <w:r w:rsidR="00121A1B">
        <w:rPr>
          <w:rFonts w:ascii="Arial" w:hAnsi="Arial" w:cs="Arial"/>
        </w:rPr>
        <w:t xml:space="preserve">They </w:t>
      </w:r>
      <w:r w:rsidR="002F6896">
        <w:rPr>
          <w:rFonts w:ascii="Arial" w:hAnsi="Arial" w:cs="Arial"/>
        </w:rPr>
        <w:t xml:space="preserve">further </w:t>
      </w:r>
      <w:r w:rsidR="00121A1B">
        <w:rPr>
          <w:rFonts w:ascii="Arial" w:hAnsi="Arial" w:cs="Arial"/>
        </w:rPr>
        <w:t>claim that v</w:t>
      </w:r>
      <w:r w:rsidR="0067490A">
        <w:rPr>
          <w:rFonts w:ascii="Arial" w:hAnsi="Arial" w:cs="Arial"/>
        </w:rPr>
        <w:t>arious tests were conducted to determine the existence not only of manganese ore and iron ore but also other minerals.</w:t>
      </w:r>
      <w:r w:rsidRPr="0001387A">
        <w:rPr>
          <w:rFonts w:ascii="Arial" w:hAnsi="Arial" w:cs="Arial"/>
        </w:rPr>
        <w:t xml:space="preserve"> They further </w:t>
      </w:r>
      <w:r w:rsidR="00CB1C97">
        <w:rPr>
          <w:rFonts w:ascii="Arial" w:hAnsi="Arial" w:cs="Arial"/>
        </w:rPr>
        <w:t xml:space="preserve">contend </w:t>
      </w:r>
      <w:r w:rsidRPr="0001387A">
        <w:rPr>
          <w:rFonts w:ascii="Arial" w:hAnsi="Arial" w:cs="Arial"/>
        </w:rPr>
        <w:t>that they had been in peaceful</w:t>
      </w:r>
      <w:r w:rsidR="002B03B2">
        <w:rPr>
          <w:rFonts w:ascii="Arial" w:hAnsi="Arial" w:cs="Arial"/>
        </w:rPr>
        <w:t xml:space="preserve"> and </w:t>
      </w:r>
      <w:r w:rsidRPr="0001387A">
        <w:rPr>
          <w:rFonts w:ascii="Arial" w:hAnsi="Arial" w:cs="Arial"/>
        </w:rPr>
        <w:t xml:space="preserve">undisturbed </w:t>
      </w:r>
      <w:r w:rsidR="0038437A">
        <w:rPr>
          <w:rFonts w:ascii="Arial" w:hAnsi="Arial" w:cs="Arial"/>
        </w:rPr>
        <w:t xml:space="preserve">possession </w:t>
      </w:r>
      <w:r w:rsidRPr="0001387A">
        <w:rPr>
          <w:rFonts w:ascii="Arial" w:hAnsi="Arial" w:cs="Arial"/>
        </w:rPr>
        <w:t>o</w:t>
      </w:r>
      <w:r w:rsidR="0038437A">
        <w:rPr>
          <w:rFonts w:ascii="Arial" w:hAnsi="Arial" w:cs="Arial"/>
        </w:rPr>
        <w:t>f</w:t>
      </w:r>
      <w:r w:rsidRPr="0001387A">
        <w:rPr>
          <w:rFonts w:ascii="Arial" w:hAnsi="Arial" w:cs="Arial"/>
        </w:rPr>
        <w:t xml:space="preserve"> the </w:t>
      </w:r>
      <w:r w:rsidR="002F6896">
        <w:rPr>
          <w:rFonts w:ascii="Arial" w:hAnsi="Arial" w:cs="Arial"/>
        </w:rPr>
        <w:t>prospecting area</w:t>
      </w:r>
      <w:r w:rsidR="00664927">
        <w:rPr>
          <w:rFonts w:ascii="Arial" w:hAnsi="Arial" w:cs="Arial"/>
        </w:rPr>
        <w:t xml:space="preserve">. It is not </w:t>
      </w:r>
      <w:r w:rsidR="006C6196">
        <w:rPr>
          <w:rFonts w:ascii="Arial" w:hAnsi="Arial" w:cs="Arial"/>
        </w:rPr>
        <w:t xml:space="preserve">in </w:t>
      </w:r>
      <w:r w:rsidR="00664927">
        <w:rPr>
          <w:rFonts w:ascii="Arial" w:hAnsi="Arial" w:cs="Arial"/>
        </w:rPr>
        <w:t>dispute that Sikhova</w:t>
      </w:r>
      <w:r w:rsidRPr="0001387A">
        <w:rPr>
          <w:rFonts w:ascii="Arial" w:hAnsi="Arial" w:cs="Arial"/>
        </w:rPr>
        <w:t xml:space="preserve"> had moved various machinery and equipment on the </w:t>
      </w:r>
      <w:r w:rsidR="00230072">
        <w:rPr>
          <w:rFonts w:ascii="Arial" w:hAnsi="Arial" w:cs="Arial"/>
        </w:rPr>
        <w:t>farm</w:t>
      </w:r>
      <w:r w:rsidRPr="0001387A">
        <w:rPr>
          <w:rFonts w:ascii="Arial" w:hAnsi="Arial" w:cs="Arial"/>
        </w:rPr>
        <w:t xml:space="preserve"> such as one Hitachi Front End Loader, two Kamatsu PC 600 Excavators and various components of </w:t>
      </w:r>
      <w:r w:rsidR="003B4A1F">
        <w:rPr>
          <w:rFonts w:ascii="Arial" w:hAnsi="Arial" w:cs="Arial"/>
        </w:rPr>
        <w:t xml:space="preserve">the </w:t>
      </w:r>
      <w:r w:rsidR="00243755">
        <w:rPr>
          <w:rFonts w:ascii="Arial" w:hAnsi="Arial" w:cs="Arial"/>
        </w:rPr>
        <w:t>c</w:t>
      </w:r>
      <w:r w:rsidRPr="0001387A">
        <w:rPr>
          <w:rFonts w:ascii="Arial" w:hAnsi="Arial" w:cs="Arial"/>
        </w:rPr>
        <w:t xml:space="preserve">rushing and </w:t>
      </w:r>
      <w:r w:rsidR="00243755">
        <w:rPr>
          <w:rFonts w:ascii="Arial" w:hAnsi="Arial" w:cs="Arial"/>
        </w:rPr>
        <w:t>s</w:t>
      </w:r>
      <w:r w:rsidRPr="0001387A">
        <w:rPr>
          <w:rFonts w:ascii="Arial" w:hAnsi="Arial" w:cs="Arial"/>
        </w:rPr>
        <w:t>creening Plant.</w:t>
      </w:r>
    </w:p>
    <w:p w:rsidR="0001387A" w:rsidRPr="0001387A" w:rsidRDefault="0001387A" w:rsidP="0001387A">
      <w:pPr>
        <w:spacing w:line="360" w:lineRule="auto"/>
        <w:ind w:left="567" w:hanging="567"/>
        <w:jc w:val="both"/>
        <w:rPr>
          <w:rFonts w:ascii="Arial" w:hAnsi="Arial" w:cs="Arial"/>
        </w:rPr>
      </w:pPr>
      <w:r>
        <w:rPr>
          <w:rFonts w:ascii="Arial" w:hAnsi="Arial" w:cs="Arial"/>
        </w:rPr>
        <w:t>[</w:t>
      </w:r>
      <w:r w:rsidR="00B3738C">
        <w:rPr>
          <w:rFonts w:ascii="Arial" w:hAnsi="Arial" w:cs="Arial"/>
        </w:rPr>
        <w:t>1</w:t>
      </w:r>
      <w:r w:rsidR="00532BE9">
        <w:rPr>
          <w:rFonts w:ascii="Arial" w:hAnsi="Arial" w:cs="Arial"/>
        </w:rPr>
        <w:t>2</w:t>
      </w:r>
      <w:r>
        <w:rPr>
          <w:rFonts w:ascii="Arial" w:hAnsi="Arial" w:cs="Arial"/>
        </w:rPr>
        <w:t>]</w:t>
      </w:r>
      <w:r>
        <w:rPr>
          <w:rFonts w:ascii="Arial" w:hAnsi="Arial" w:cs="Arial"/>
        </w:rPr>
        <w:tab/>
      </w:r>
      <w:r w:rsidRPr="0001387A">
        <w:rPr>
          <w:rFonts w:ascii="Arial" w:hAnsi="Arial" w:cs="Arial"/>
        </w:rPr>
        <w:t>Sikhova and Hard Rock state that</w:t>
      </w:r>
      <w:r w:rsidR="0038437A">
        <w:rPr>
          <w:rFonts w:ascii="Arial" w:hAnsi="Arial" w:cs="Arial"/>
        </w:rPr>
        <w:t xml:space="preserve"> about four months later,</w:t>
      </w:r>
      <w:r w:rsidRPr="0001387A">
        <w:rPr>
          <w:rFonts w:ascii="Arial" w:hAnsi="Arial" w:cs="Arial"/>
        </w:rPr>
        <w:t xml:space="preserve"> during mid-December 2019</w:t>
      </w:r>
      <w:r w:rsidR="0038437A">
        <w:rPr>
          <w:rFonts w:ascii="Arial" w:hAnsi="Arial" w:cs="Arial"/>
        </w:rPr>
        <w:t xml:space="preserve">, </w:t>
      </w:r>
      <w:r w:rsidRPr="0001387A">
        <w:rPr>
          <w:rFonts w:ascii="Arial" w:hAnsi="Arial" w:cs="Arial"/>
        </w:rPr>
        <w:t xml:space="preserve">they </w:t>
      </w:r>
      <w:r>
        <w:rPr>
          <w:rFonts w:ascii="Arial" w:hAnsi="Arial" w:cs="Arial"/>
        </w:rPr>
        <w:t xml:space="preserve">temporarily </w:t>
      </w:r>
      <w:r w:rsidRPr="0001387A">
        <w:rPr>
          <w:rFonts w:ascii="Arial" w:hAnsi="Arial" w:cs="Arial"/>
        </w:rPr>
        <w:t xml:space="preserve">ceased operations </w:t>
      </w:r>
      <w:r w:rsidR="00064305">
        <w:rPr>
          <w:rFonts w:ascii="Arial" w:hAnsi="Arial" w:cs="Arial"/>
        </w:rPr>
        <w:t>because various heavy machinery and equipment</w:t>
      </w:r>
      <w:r w:rsidR="00483CDB">
        <w:rPr>
          <w:rFonts w:ascii="Arial" w:hAnsi="Arial" w:cs="Arial"/>
        </w:rPr>
        <w:t>,</w:t>
      </w:r>
      <w:r w:rsidR="00064305">
        <w:rPr>
          <w:rFonts w:ascii="Arial" w:hAnsi="Arial" w:cs="Arial"/>
        </w:rPr>
        <w:t xml:space="preserve"> </w:t>
      </w:r>
      <w:r w:rsidR="00CB1C97">
        <w:rPr>
          <w:rFonts w:ascii="Arial" w:hAnsi="Arial" w:cs="Arial"/>
        </w:rPr>
        <w:t xml:space="preserve">meant for </w:t>
      </w:r>
      <w:r w:rsidR="00064305">
        <w:rPr>
          <w:rFonts w:ascii="Arial" w:hAnsi="Arial" w:cs="Arial"/>
        </w:rPr>
        <w:t xml:space="preserve">further exploration on the property, could not be moved </w:t>
      </w:r>
      <w:r w:rsidR="00483CDB">
        <w:rPr>
          <w:rFonts w:ascii="Arial" w:hAnsi="Arial" w:cs="Arial"/>
        </w:rPr>
        <w:t xml:space="preserve">thereon </w:t>
      </w:r>
      <w:r w:rsidR="0038437A">
        <w:rPr>
          <w:rFonts w:ascii="Arial" w:hAnsi="Arial" w:cs="Arial"/>
        </w:rPr>
        <w:t xml:space="preserve">because of </w:t>
      </w:r>
      <w:r w:rsidR="00064305">
        <w:rPr>
          <w:rFonts w:ascii="Arial" w:hAnsi="Arial" w:cs="Arial"/>
        </w:rPr>
        <w:t xml:space="preserve">an embargo on vehicles carrying abnormal heavy loads on the roads during the festive season. </w:t>
      </w:r>
      <w:r w:rsidRPr="0001387A">
        <w:rPr>
          <w:rFonts w:ascii="Arial" w:hAnsi="Arial" w:cs="Arial"/>
        </w:rPr>
        <w:t xml:space="preserve">On Sikhova’s and Hard Rock’s return to the </w:t>
      </w:r>
      <w:r w:rsidR="00CD23C5">
        <w:rPr>
          <w:rFonts w:ascii="Arial" w:hAnsi="Arial" w:cs="Arial"/>
        </w:rPr>
        <w:t>farm</w:t>
      </w:r>
      <w:r w:rsidRPr="0001387A">
        <w:rPr>
          <w:rFonts w:ascii="Arial" w:hAnsi="Arial" w:cs="Arial"/>
        </w:rPr>
        <w:t xml:space="preserve"> during January 2020</w:t>
      </w:r>
      <w:r w:rsidR="000E640F">
        <w:rPr>
          <w:rFonts w:ascii="Arial" w:hAnsi="Arial" w:cs="Arial"/>
        </w:rPr>
        <w:t>,</w:t>
      </w:r>
      <w:r w:rsidRPr="0001387A">
        <w:rPr>
          <w:rFonts w:ascii="Arial" w:hAnsi="Arial" w:cs="Arial"/>
        </w:rPr>
        <w:t xml:space="preserve"> to co</w:t>
      </w:r>
      <w:r w:rsidR="00CD23C5">
        <w:rPr>
          <w:rFonts w:ascii="Arial" w:hAnsi="Arial" w:cs="Arial"/>
        </w:rPr>
        <w:t xml:space="preserve">ntinue </w:t>
      </w:r>
      <w:r w:rsidRPr="0001387A">
        <w:rPr>
          <w:rFonts w:ascii="Arial" w:hAnsi="Arial" w:cs="Arial"/>
        </w:rPr>
        <w:t xml:space="preserve">with their </w:t>
      </w:r>
      <w:r w:rsidR="00CD23C5">
        <w:rPr>
          <w:rFonts w:ascii="Arial" w:hAnsi="Arial" w:cs="Arial"/>
        </w:rPr>
        <w:t xml:space="preserve">mining </w:t>
      </w:r>
      <w:r w:rsidRPr="0001387A">
        <w:rPr>
          <w:rFonts w:ascii="Arial" w:hAnsi="Arial" w:cs="Arial"/>
        </w:rPr>
        <w:t>activities, they claim</w:t>
      </w:r>
      <w:r w:rsidR="00483CDB">
        <w:rPr>
          <w:rFonts w:ascii="Arial" w:hAnsi="Arial" w:cs="Arial"/>
        </w:rPr>
        <w:t>,</w:t>
      </w:r>
      <w:r w:rsidRPr="0001387A">
        <w:rPr>
          <w:rFonts w:ascii="Arial" w:hAnsi="Arial" w:cs="Arial"/>
        </w:rPr>
        <w:t xml:space="preserve">  QCK refused them access</w:t>
      </w:r>
      <w:r w:rsidR="002F6896">
        <w:rPr>
          <w:rFonts w:ascii="Arial" w:hAnsi="Arial" w:cs="Arial"/>
        </w:rPr>
        <w:t xml:space="preserve"> into the farm</w:t>
      </w:r>
      <w:r w:rsidRPr="0001387A">
        <w:rPr>
          <w:rFonts w:ascii="Arial" w:hAnsi="Arial" w:cs="Arial"/>
        </w:rPr>
        <w:t xml:space="preserve"> </w:t>
      </w:r>
      <w:r>
        <w:rPr>
          <w:rFonts w:ascii="Arial" w:hAnsi="Arial" w:cs="Arial"/>
        </w:rPr>
        <w:t xml:space="preserve">including access to </w:t>
      </w:r>
      <w:r w:rsidRPr="0001387A">
        <w:rPr>
          <w:rFonts w:ascii="Arial" w:hAnsi="Arial" w:cs="Arial"/>
        </w:rPr>
        <w:t xml:space="preserve">their machinery and equipment in that </w:t>
      </w:r>
      <w:r>
        <w:rPr>
          <w:rFonts w:ascii="Arial" w:hAnsi="Arial" w:cs="Arial"/>
        </w:rPr>
        <w:t xml:space="preserve">QCK </w:t>
      </w:r>
      <w:r w:rsidR="00483CDB">
        <w:rPr>
          <w:rFonts w:ascii="Arial" w:hAnsi="Arial" w:cs="Arial"/>
        </w:rPr>
        <w:t xml:space="preserve">replaced the locks </w:t>
      </w:r>
      <w:r w:rsidRPr="0001387A">
        <w:rPr>
          <w:rFonts w:ascii="Arial" w:hAnsi="Arial" w:cs="Arial"/>
        </w:rPr>
        <w:t xml:space="preserve">mutually </w:t>
      </w:r>
      <w:r w:rsidR="00483CDB">
        <w:rPr>
          <w:rFonts w:ascii="Arial" w:hAnsi="Arial" w:cs="Arial"/>
        </w:rPr>
        <w:t xml:space="preserve">used by them </w:t>
      </w:r>
      <w:r w:rsidRPr="0001387A">
        <w:rPr>
          <w:rFonts w:ascii="Arial" w:hAnsi="Arial" w:cs="Arial"/>
        </w:rPr>
        <w:t xml:space="preserve">with </w:t>
      </w:r>
      <w:r w:rsidR="00FC651C">
        <w:rPr>
          <w:rFonts w:ascii="Arial" w:hAnsi="Arial" w:cs="Arial"/>
        </w:rPr>
        <w:t>theirs</w:t>
      </w:r>
      <w:r w:rsidR="0008469F">
        <w:rPr>
          <w:rFonts w:ascii="Arial" w:hAnsi="Arial" w:cs="Arial"/>
        </w:rPr>
        <w:t>.</w:t>
      </w:r>
    </w:p>
    <w:p w:rsidR="005606CA" w:rsidRDefault="00B9741C" w:rsidP="00DC7AD7">
      <w:pPr>
        <w:spacing w:line="360" w:lineRule="auto"/>
        <w:ind w:left="567" w:hanging="567"/>
        <w:jc w:val="both"/>
        <w:rPr>
          <w:rFonts w:ascii="Arial" w:hAnsi="Arial" w:cs="Arial"/>
        </w:rPr>
      </w:pPr>
      <w:r>
        <w:rPr>
          <w:rFonts w:ascii="Arial" w:hAnsi="Arial" w:cs="Arial"/>
        </w:rPr>
        <w:lastRenderedPageBreak/>
        <w:t>[</w:t>
      </w:r>
      <w:r w:rsidR="00B3738C">
        <w:rPr>
          <w:rFonts w:ascii="Arial" w:hAnsi="Arial" w:cs="Arial"/>
        </w:rPr>
        <w:t>1</w:t>
      </w:r>
      <w:r w:rsidR="00532BE9">
        <w:rPr>
          <w:rFonts w:ascii="Arial" w:hAnsi="Arial" w:cs="Arial"/>
        </w:rPr>
        <w:t>3</w:t>
      </w:r>
      <w:r>
        <w:rPr>
          <w:rFonts w:ascii="Arial" w:hAnsi="Arial" w:cs="Arial"/>
        </w:rPr>
        <w:t>]</w:t>
      </w:r>
      <w:r>
        <w:rPr>
          <w:rFonts w:ascii="Arial" w:hAnsi="Arial" w:cs="Arial"/>
        </w:rPr>
        <w:tab/>
        <w:t>As support for their contention that they had been despoiled</w:t>
      </w:r>
      <w:r w:rsidR="0027015C">
        <w:rPr>
          <w:rFonts w:ascii="Arial" w:hAnsi="Arial" w:cs="Arial"/>
        </w:rPr>
        <w:t>,</w:t>
      </w:r>
      <w:r w:rsidRPr="0001387A">
        <w:rPr>
          <w:rFonts w:ascii="Arial" w:hAnsi="Arial" w:cs="Arial"/>
        </w:rPr>
        <w:t xml:space="preserve"> </w:t>
      </w:r>
      <w:r w:rsidR="0001387A" w:rsidRPr="0001387A">
        <w:rPr>
          <w:rFonts w:ascii="Arial" w:hAnsi="Arial" w:cs="Arial"/>
        </w:rPr>
        <w:t xml:space="preserve">Sikhova and Hard Rock </w:t>
      </w:r>
      <w:r w:rsidR="00243755">
        <w:rPr>
          <w:rFonts w:ascii="Arial" w:hAnsi="Arial" w:cs="Arial"/>
        </w:rPr>
        <w:t>heavily rel</w:t>
      </w:r>
      <w:r w:rsidR="0038437A">
        <w:rPr>
          <w:rFonts w:ascii="Arial" w:hAnsi="Arial" w:cs="Arial"/>
        </w:rPr>
        <w:t xml:space="preserve">ied </w:t>
      </w:r>
      <w:r w:rsidR="00243755">
        <w:rPr>
          <w:rFonts w:ascii="Arial" w:hAnsi="Arial" w:cs="Arial"/>
        </w:rPr>
        <w:t xml:space="preserve">on </w:t>
      </w:r>
      <w:r w:rsidR="00482008">
        <w:rPr>
          <w:rFonts w:ascii="Arial" w:hAnsi="Arial" w:cs="Arial"/>
        </w:rPr>
        <w:t xml:space="preserve">a </w:t>
      </w:r>
      <w:r w:rsidR="00243755">
        <w:rPr>
          <w:rFonts w:ascii="Arial" w:hAnsi="Arial" w:cs="Arial"/>
        </w:rPr>
        <w:t>letter</w:t>
      </w:r>
      <w:r w:rsidR="00482008">
        <w:rPr>
          <w:rFonts w:ascii="Arial" w:hAnsi="Arial" w:cs="Arial"/>
        </w:rPr>
        <w:t xml:space="preserve"> dated</w:t>
      </w:r>
      <w:r w:rsidR="00243755">
        <w:rPr>
          <w:rFonts w:ascii="Arial" w:hAnsi="Arial" w:cs="Arial"/>
        </w:rPr>
        <w:t xml:space="preserve"> </w:t>
      </w:r>
      <w:r w:rsidR="00243755" w:rsidRPr="0001387A">
        <w:rPr>
          <w:rFonts w:ascii="Arial" w:hAnsi="Arial" w:cs="Arial"/>
        </w:rPr>
        <w:t xml:space="preserve">25 January 2020 from Ms J M Labuschagne, the erstwhile </w:t>
      </w:r>
      <w:r w:rsidR="005606CA">
        <w:rPr>
          <w:rFonts w:ascii="Arial" w:hAnsi="Arial" w:cs="Arial"/>
        </w:rPr>
        <w:t xml:space="preserve">legal representative </w:t>
      </w:r>
      <w:r w:rsidR="00243755" w:rsidRPr="0001387A">
        <w:rPr>
          <w:rFonts w:ascii="Arial" w:hAnsi="Arial" w:cs="Arial"/>
        </w:rPr>
        <w:t>for QCK</w:t>
      </w:r>
      <w:r w:rsidR="00243755">
        <w:rPr>
          <w:rFonts w:ascii="Arial" w:hAnsi="Arial" w:cs="Arial"/>
        </w:rPr>
        <w:t xml:space="preserve">. </w:t>
      </w:r>
      <w:r w:rsidR="005606CA">
        <w:rPr>
          <w:rFonts w:ascii="Arial" w:hAnsi="Arial" w:cs="Arial"/>
        </w:rPr>
        <w:t xml:space="preserve">The </w:t>
      </w:r>
      <w:r w:rsidR="00357EB3">
        <w:rPr>
          <w:rFonts w:ascii="Arial" w:hAnsi="Arial" w:cs="Arial"/>
        </w:rPr>
        <w:t xml:space="preserve">translated </w:t>
      </w:r>
      <w:r w:rsidR="005606CA">
        <w:rPr>
          <w:rFonts w:ascii="Arial" w:hAnsi="Arial" w:cs="Arial"/>
        </w:rPr>
        <w:t>relevant part reads:</w:t>
      </w:r>
    </w:p>
    <w:p w:rsidR="00AC6CD6" w:rsidRPr="00AC6CD6" w:rsidRDefault="005606CA" w:rsidP="00B5380F">
      <w:pPr>
        <w:spacing w:line="360" w:lineRule="auto"/>
        <w:ind w:left="680" w:hanging="567"/>
        <w:jc w:val="both"/>
        <w:rPr>
          <w:rFonts w:ascii="Arial" w:hAnsi="Arial" w:cs="Arial"/>
          <w:sz w:val="22"/>
          <w:szCs w:val="22"/>
        </w:rPr>
      </w:pPr>
      <w:r>
        <w:rPr>
          <w:rFonts w:ascii="Arial" w:hAnsi="Arial" w:cs="Arial"/>
        </w:rPr>
        <w:tab/>
      </w:r>
      <w:r w:rsidRPr="00AC6CD6">
        <w:rPr>
          <w:rFonts w:ascii="Arial" w:hAnsi="Arial" w:cs="Arial"/>
          <w:sz w:val="22"/>
          <w:szCs w:val="22"/>
        </w:rPr>
        <w:t>“</w:t>
      </w:r>
      <w:r w:rsidR="00AC6CD6" w:rsidRPr="00AC6CD6">
        <w:rPr>
          <w:rFonts w:ascii="Arial" w:hAnsi="Arial" w:cs="Arial"/>
          <w:sz w:val="22"/>
          <w:szCs w:val="22"/>
        </w:rPr>
        <w:t xml:space="preserve">..Our instructions are that our clients had a partially oral, partially written agreement which terms and conditions were breached by your client in that your client had fallen in arrears with two months’ occupation fee in the amount of R60 000.00….your client has failed to perform in terms of the partially oral and partially written and wilfully ceased exploration operations, which actions are to the detriment of our clients and have placed them in a financial predicament.   </w:t>
      </w:r>
    </w:p>
    <w:p w:rsidR="005606CA" w:rsidRPr="00AC6CD6" w:rsidRDefault="002A74E2" w:rsidP="00B5380F">
      <w:pPr>
        <w:spacing w:line="360" w:lineRule="auto"/>
        <w:ind w:left="680"/>
        <w:jc w:val="both"/>
        <w:rPr>
          <w:rFonts w:ascii="Arial" w:hAnsi="Arial" w:cs="Arial"/>
          <w:sz w:val="22"/>
          <w:szCs w:val="22"/>
        </w:rPr>
      </w:pPr>
      <w:r w:rsidRPr="00AC6CD6">
        <w:rPr>
          <w:rFonts w:ascii="Arial" w:hAnsi="Arial" w:cs="Arial"/>
          <w:sz w:val="22"/>
          <w:szCs w:val="22"/>
        </w:rPr>
        <w:t>Y</w:t>
      </w:r>
      <w:r w:rsidR="005606CA" w:rsidRPr="00AC6CD6">
        <w:rPr>
          <w:rFonts w:ascii="Arial" w:hAnsi="Arial" w:cs="Arial"/>
          <w:sz w:val="22"/>
          <w:szCs w:val="22"/>
        </w:rPr>
        <w:t>our client’s actions therefore leave our client no choice but to cancel the consent to surface and the agreement and we confirm our instructions that the agreement is hereby cancelled and our client specifically cancels access to the surface</w:t>
      </w:r>
      <w:r w:rsidR="00357EB3">
        <w:rPr>
          <w:rFonts w:ascii="Arial" w:hAnsi="Arial" w:cs="Arial"/>
          <w:sz w:val="22"/>
          <w:szCs w:val="22"/>
        </w:rPr>
        <w:t>.</w:t>
      </w:r>
    </w:p>
    <w:p w:rsidR="002A74E2" w:rsidRPr="00AC6CD6" w:rsidRDefault="005606CA" w:rsidP="00B5380F">
      <w:pPr>
        <w:spacing w:line="360" w:lineRule="auto"/>
        <w:ind w:left="680"/>
        <w:jc w:val="both"/>
        <w:rPr>
          <w:rFonts w:ascii="Arial" w:hAnsi="Arial" w:cs="Arial"/>
          <w:sz w:val="22"/>
          <w:szCs w:val="22"/>
        </w:rPr>
      </w:pPr>
      <w:r w:rsidRPr="00AC6CD6">
        <w:rPr>
          <w:rFonts w:ascii="Arial" w:hAnsi="Arial" w:cs="Arial"/>
          <w:sz w:val="22"/>
          <w:szCs w:val="22"/>
        </w:rPr>
        <w:t xml:space="preserve">Our instructions are that our client exercise </w:t>
      </w:r>
      <w:r w:rsidR="002A74E2" w:rsidRPr="00AC6CD6">
        <w:rPr>
          <w:rFonts w:ascii="Arial" w:hAnsi="Arial" w:cs="Arial"/>
          <w:sz w:val="22"/>
          <w:szCs w:val="22"/>
        </w:rPr>
        <w:t>their retention rights on the assets of Sikhova Importers CC held on Farm Koedoeskloof, Griekwastad</w:t>
      </w:r>
      <w:r w:rsidR="00357EB3">
        <w:rPr>
          <w:rFonts w:ascii="Arial" w:hAnsi="Arial" w:cs="Arial"/>
          <w:sz w:val="22"/>
          <w:szCs w:val="22"/>
        </w:rPr>
        <w:t>,</w:t>
      </w:r>
      <w:r w:rsidR="002A74E2" w:rsidRPr="00AC6CD6">
        <w:rPr>
          <w:rFonts w:ascii="Arial" w:hAnsi="Arial" w:cs="Arial"/>
          <w:sz w:val="22"/>
          <w:szCs w:val="22"/>
        </w:rPr>
        <w:t xml:space="preserve"> and exercises same until such time as the arrears of R60 0000.00 occupation fee had been settled in full</w:t>
      </w:r>
      <w:r w:rsidR="005E7C6F">
        <w:rPr>
          <w:rFonts w:ascii="Arial" w:hAnsi="Arial" w:cs="Arial"/>
          <w:sz w:val="22"/>
          <w:szCs w:val="22"/>
        </w:rPr>
        <w:t>.</w:t>
      </w:r>
    </w:p>
    <w:p w:rsidR="005606CA" w:rsidRPr="00AC6CD6" w:rsidRDefault="002A74E2" w:rsidP="00B5380F">
      <w:pPr>
        <w:spacing w:line="360" w:lineRule="auto"/>
        <w:ind w:left="680"/>
        <w:jc w:val="both"/>
        <w:rPr>
          <w:rFonts w:ascii="Arial" w:hAnsi="Arial" w:cs="Arial"/>
          <w:sz w:val="22"/>
          <w:szCs w:val="22"/>
        </w:rPr>
      </w:pPr>
      <w:r w:rsidRPr="00AC6CD6">
        <w:rPr>
          <w:rFonts w:ascii="Arial" w:hAnsi="Arial" w:cs="Arial"/>
          <w:sz w:val="22"/>
          <w:szCs w:val="22"/>
        </w:rPr>
        <w:t xml:space="preserve">Our instructions are that should your client unlawfully remove the assets our client will bring a special application, </w:t>
      </w:r>
      <w:r w:rsidR="005E7C6F">
        <w:rPr>
          <w:rFonts w:ascii="Arial" w:hAnsi="Arial" w:cs="Arial"/>
          <w:sz w:val="22"/>
          <w:szCs w:val="22"/>
        </w:rPr>
        <w:t xml:space="preserve">the </w:t>
      </w:r>
      <w:r w:rsidRPr="00AC6CD6">
        <w:rPr>
          <w:rFonts w:ascii="Arial" w:hAnsi="Arial" w:cs="Arial"/>
          <w:sz w:val="22"/>
          <w:szCs w:val="22"/>
        </w:rPr>
        <w:t xml:space="preserve">costs </w:t>
      </w:r>
      <w:r w:rsidR="005E7C6F">
        <w:rPr>
          <w:rFonts w:ascii="Arial" w:hAnsi="Arial" w:cs="Arial"/>
          <w:sz w:val="22"/>
          <w:szCs w:val="22"/>
        </w:rPr>
        <w:t xml:space="preserve">of </w:t>
      </w:r>
      <w:r w:rsidRPr="00AC6CD6">
        <w:rPr>
          <w:rFonts w:ascii="Arial" w:hAnsi="Arial" w:cs="Arial"/>
          <w:sz w:val="22"/>
          <w:szCs w:val="22"/>
        </w:rPr>
        <w:t>which your clients will be held liable.”</w:t>
      </w:r>
    </w:p>
    <w:p w:rsidR="00E6270F" w:rsidRDefault="005606CA" w:rsidP="00DC7AD7">
      <w:pPr>
        <w:spacing w:line="360" w:lineRule="auto"/>
        <w:ind w:left="567" w:hanging="567"/>
        <w:jc w:val="both"/>
        <w:rPr>
          <w:rFonts w:ascii="Arial" w:hAnsi="Arial" w:cs="Arial"/>
          <w:color w:val="000000"/>
        </w:rPr>
      </w:pPr>
      <w:r>
        <w:rPr>
          <w:rFonts w:ascii="Arial" w:hAnsi="Arial" w:cs="Arial"/>
        </w:rPr>
        <w:t>[</w:t>
      </w:r>
      <w:r w:rsidR="00B3738C">
        <w:rPr>
          <w:rFonts w:ascii="Arial" w:hAnsi="Arial" w:cs="Arial"/>
        </w:rPr>
        <w:t>1</w:t>
      </w:r>
      <w:r w:rsidR="00532BE9">
        <w:rPr>
          <w:rFonts w:ascii="Arial" w:hAnsi="Arial" w:cs="Arial"/>
        </w:rPr>
        <w:t>4</w:t>
      </w:r>
      <w:r>
        <w:rPr>
          <w:rFonts w:ascii="Arial" w:hAnsi="Arial" w:cs="Arial"/>
        </w:rPr>
        <w:t>]</w:t>
      </w:r>
      <w:r>
        <w:rPr>
          <w:rFonts w:ascii="Arial" w:hAnsi="Arial" w:cs="Arial"/>
        </w:rPr>
        <w:tab/>
        <w:t xml:space="preserve">Sikhova and Hard </w:t>
      </w:r>
      <w:r w:rsidR="00673760">
        <w:rPr>
          <w:rFonts w:ascii="Arial" w:hAnsi="Arial" w:cs="Arial"/>
        </w:rPr>
        <w:t>R</w:t>
      </w:r>
      <w:r>
        <w:rPr>
          <w:rFonts w:ascii="Arial" w:hAnsi="Arial" w:cs="Arial"/>
        </w:rPr>
        <w:t xml:space="preserve">ock </w:t>
      </w:r>
      <w:r w:rsidR="0001387A" w:rsidRPr="0001387A">
        <w:rPr>
          <w:rFonts w:ascii="Arial" w:hAnsi="Arial" w:cs="Arial"/>
        </w:rPr>
        <w:t>submit</w:t>
      </w:r>
      <w:r w:rsidR="00243755">
        <w:rPr>
          <w:rFonts w:ascii="Arial" w:hAnsi="Arial" w:cs="Arial"/>
        </w:rPr>
        <w:t xml:space="preserve">ted </w:t>
      </w:r>
      <w:r w:rsidR="0001387A" w:rsidRPr="0001387A">
        <w:rPr>
          <w:rFonts w:ascii="Arial" w:hAnsi="Arial" w:cs="Arial"/>
        </w:rPr>
        <w:t>that what can be d</w:t>
      </w:r>
      <w:r w:rsidR="00E6270F">
        <w:rPr>
          <w:rFonts w:ascii="Arial" w:hAnsi="Arial" w:cs="Arial"/>
        </w:rPr>
        <w:t xml:space="preserve">istilled </w:t>
      </w:r>
      <w:r w:rsidR="0001387A" w:rsidRPr="0001387A">
        <w:rPr>
          <w:rFonts w:ascii="Arial" w:hAnsi="Arial" w:cs="Arial"/>
        </w:rPr>
        <w:t xml:space="preserve">from </w:t>
      </w:r>
      <w:r w:rsidR="00243755">
        <w:rPr>
          <w:rFonts w:ascii="Arial" w:hAnsi="Arial" w:cs="Arial"/>
        </w:rPr>
        <w:t xml:space="preserve">the </w:t>
      </w:r>
      <w:r w:rsidR="0001387A" w:rsidRPr="0001387A">
        <w:rPr>
          <w:rFonts w:ascii="Arial" w:hAnsi="Arial" w:cs="Arial"/>
        </w:rPr>
        <w:t xml:space="preserve">letter </w:t>
      </w:r>
      <w:r>
        <w:rPr>
          <w:rFonts w:ascii="Arial" w:hAnsi="Arial" w:cs="Arial"/>
        </w:rPr>
        <w:t xml:space="preserve">above </w:t>
      </w:r>
      <w:r w:rsidR="00565B02">
        <w:rPr>
          <w:rFonts w:ascii="Arial" w:hAnsi="Arial" w:cs="Arial"/>
        </w:rPr>
        <w:t xml:space="preserve">is that </w:t>
      </w:r>
      <w:r w:rsidR="00482008">
        <w:rPr>
          <w:rFonts w:ascii="Arial" w:hAnsi="Arial" w:cs="Arial"/>
        </w:rPr>
        <w:t xml:space="preserve">the </w:t>
      </w:r>
      <w:r w:rsidR="0001387A" w:rsidRPr="0001387A">
        <w:rPr>
          <w:rFonts w:ascii="Arial" w:hAnsi="Arial" w:cs="Arial"/>
        </w:rPr>
        <w:t xml:space="preserve">denial of access </w:t>
      </w:r>
      <w:r w:rsidR="00565B02">
        <w:rPr>
          <w:rFonts w:ascii="Arial" w:hAnsi="Arial" w:cs="Arial"/>
        </w:rPr>
        <w:t xml:space="preserve">had </w:t>
      </w:r>
      <w:r w:rsidR="0001387A" w:rsidRPr="0001387A">
        <w:rPr>
          <w:rFonts w:ascii="Arial" w:hAnsi="Arial" w:cs="Arial"/>
        </w:rPr>
        <w:t xml:space="preserve">been on two bases. First, that Sikhova owed QCK R60 000 occupation fees and had deliberately ceased exploration activities on the property. Secondly, </w:t>
      </w:r>
      <w:r w:rsidR="00565B02">
        <w:rPr>
          <w:rFonts w:ascii="Arial" w:hAnsi="Arial" w:cs="Arial"/>
        </w:rPr>
        <w:t xml:space="preserve">that </w:t>
      </w:r>
      <w:r w:rsidR="0001387A" w:rsidRPr="0001387A">
        <w:rPr>
          <w:rFonts w:ascii="Arial" w:hAnsi="Arial" w:cs="Arial"/>
        </w:rPr>
        <w:t xml:space="preserve">the </w:t>
      </w:r>
      <w:r w:rsidR="00C464FC">
        <w:rPr>
          <w:rFonts w:ascii="Arial" w:hAnsi="Arial" w:cs="Arial"/>
        </w:rPr>
        <w:t xml:space="preserve">Surface Use Agreement </w:t>
      </w:r>
      <w:r w:rsidR="0001387A" w:rsidRPr="0001387A">
        <w:rPr>
          <w:rFonts w:ascii="Arial" w:hAnsi="Arial" w:cs="Arial"/>
        </w:rPr>
        <w:t xml:space="preserve">was summarily cancelled consequent upon the alleged breaches, </w:t>
      </w:r>
      <w:r w:rsidR="002730DF">
        <w:rPr>
          <w:rFonts w:ascii="Arial" w:hAnsi="Arial" w:cs="Arial"/>
        </w:rPr>
        <w:t xml:space="preserve">thus </w:t>
      </w:r>
      <w:r w:rsidR="0001387A" w:rsidRPr="0001387A">
        <w:rPr>
          <w:rFonts w:ascii="Arial" w:hAnsi="Arial" w:cs="Arial"/>
        </w:rPr>
        <w:t>Sikhova and Hard Rock were</w:t>
      </w:r>
      <w:r w:rsidR="00FC651C">
        <w:rPr>
          <w:rFonts w:ascii="Arial" w:hAnsi="Arial" w:cs="Arial"/>
        </w:rPr>
        <w:t xml:space="preserve"> </w:t>
      </w:r>
      <w:r w:rsidR="0001387A" w:rsidRPr="0001387A">
        <w:rPr>
          <w:rFonts w:ascii="Arial" w:hAnsi="Arial" w:cs="Arial"/>
        </w:rPr>
        <w:t>informed that QCK was exercising its right of retention over all Sikhova</w:t>
      </w:r>
      <w:r w:rsidR="00565B02">
        <w:rPr>
          <w:rFonts w:ascii="Arial" w:hAnsi="Arial" w:cs="Arial"/>
        </w:rPr>
        <w:t>’s</w:t>
      </w:r>
      <w:r w:rsidR="0001387A" w:rsidRPr="0001387A">
        <w:rPr>
          <w:rFonts w:ascii="Arial" w:hAnsi="Arial" w:cs="Arial"/>
        </w:rPr>
        <w:t xml:space="preserve"> </w:t>
      </w:r>
      <w:r w:rsidR="00565B02">
        <w:rPr>
          <w:rFonts w:ascii="Arial" w:hAnsi="Arial" w:cs="Arial"/>
        </w:rPr>
        <w:t>a</w:t>
      </w:r>
      <w:r w:rsidR="00565B02" w:rsidRPr="0001387A">
        <w:rPr>
          <w:rFonts w:ascii="Arial" w:hAnsi="Arial" w:cs="Arial"/>
        </w:rPr>
        <w:t xml:space="preserve">ssets </w:t>
      </w:r>
      <w:r w:rsidR="0001387A" w:rsidRPr="0001387A">
        <w:rPr>
          <w:rFonts w:ascii="Arial" w:hAnsi="Arial" w:cs="Arial"/>
        </w:rPr>
        <w:t xml:space="preserve">until the arrear of R60 000 </w:t>
      </w:r>
      <w:r w:rsidR="00565B02">
        <w:rPr>
          <w:rFonts w:ascii="Arial" w:hAnsi="Arial" w:cs="Arial"/>
        </w:rPr>
        <w:t xml:space="preserve">had been </w:t>
      </w:r>
      <w:r w:rsidR="0001387A" w:rsidRPr="0001387A">
        <w:rPr>
          <w:rFonts w:ascii="Arial" w:hAnsi="Arial" w:cs="Arial"/>
        </w:rPr>
        <w:t xml:space="preserve">paid. </w:t>
      </w:r>
      <w:r w:rsidR="00E6270F">
        <w:rPr>
          <w:rFonts w:ascii="Arial" w:hAnsi="Arial" w:cs="Arial"/>
          <w:color w:val="000000"/>
        </w:rPr>
        <w:t>Sikhova and Hard Roc</w:t>
      </w:r>
      <w:r w:rsidR="00D655E5">
        <w:rPr>
          <w:rFonts w:ascii="Arial" w:hAnsi="Arial" w:cs="Arial"/>
          <w:color w:val="000000"/>
        </w:rPr>
        <w:t xml:space="preserve">k </w:t>
      </w:r>
      <w:r w:rsidR="00FC651C">
        <w:rPr>
          <w:rFonts w:ascii="Arial" w:hAnsi="Arial" w:cs="Arial"/>
          <w:color w:val="000000"/>
        </w:rPr>
        <w:t xml:space="preserve">maintain </w:t>
      </w:r>
      <w:r w:rsidR="00D655E5">
        <w:rPr>
          <w:rFonts w:ascii="Arial" w:hAnsi="Arial" w:cs="Arial"/>
          <w:color w:val="000000"/>
        </w:rPr>
        <w:t xml:space="preserve">having paid the arrear on 28 January 2020 and denied having ceased exploration activities. </w:t>
      </w:r>
    </w:p>
    <w:p w:rsidR="00D851C3" w:rsidRDefault="00E6270F" w:rsidP="00D851C3">
      <w:pPr>
        <w:tabs>
          <w:tab w:val="left" w:pos="567"/>
        </w:tabs>
        <w:spacing w:line="360" w:lineRule="auto"/>
        <w:ind w:left="567" w:hanging="567"/>
        <w:jc w:val="both"/>
        <w:rPr>
          <w:rFonts w:ascii="Arial" w:hAnsi="Arial" w:cs="Arial"/>
          <w:color w:val="000000"/>
        </w:rPr>
      </w:pPr>
      <w:r>
        <w:rPr>
          <w:rFonts w:ascii="Arial" w:hAnsi="Arial" w:cs="Arial"/>
          <w:color w:val="000000"/>
        </w:rPr>
        <w:t>[1</w:t>
      </w:r>
      <w:r w:rsidR="00532BE9">
        <w:rPr>
          <w:rFonts w:ascii="Arial" w:hAnsi="Arial" w:cs="Arial"/>
          <w:color w:val="000000"/>
        </w:rPr>
        <w:t>5</w:t>
      </w:r>
      <w:r>
        <w:rPr>
          <w:rFonts w:ascii="Arial" w:hAnsi="Arial" w:cs="Arial"/>
          <w:color w:val="000000"/>
        </w:rPr>
        <w:t>]</w:t>
      </w:r>
      <w:r>
        <w:rPr>
          <w:rFonts w:ascii="Arial" w:hAnsi="Arial" w:cs="Arial"/>
          <w:color w:val="000000"/>
        </w:rPr>
        <w:tab/>
      </w:r>
      <w:r w:rsidR="00A20DBE">
        <w:rPr>
          <w:rFonts w:ascii="Arial" w:hAnsi="Arial" w:cs="Arial"/>
          <w:color w:val="000000"/>
        </w:rPr>
        <w:t xml:space="preserve">As already discussed, </w:t>
      </w:r>
      <w:r w:rsidR="00D851C3">
        <w:rPr>
          <w:rFonts w:ascii="Arial" w:hAnsi="Arial" w:cs="Arial"/>
          <w:color w:val="000000"/>
        </w:rPr>
        <w:t xml:space="preserve">QCK and Lore dispute the existence, validity and enforceability of the </w:t>
      </w:r>
      <w:r w:rsidR="00A20DBE">
        <w:rPr>
          <w:rFonts w:ascii="Arial" w:hAnsi="Arial" w:cs="Arial"/>
          <w:color w:val="000000"/>
        </w:rPr>
        <w:t xml:space="preserve">JV </w:t>
      </w:r>
      <w:r w:rsidR="00D851C3">
        <w:rPr>
          <w:rFonts w:ascii="Arial" w:hAnsi="Arial" w:cs="Arial"/>
          <w:color w:val="000000"/>
        </w:rPr>
        <w:t xml:space="preserve">and the </w:t>
      </w:r>
      <w:r w:rsidR="00633592">
        <w:rPr>
          <w:rFonts w:ascii="Arial" w:hAnsi="Arial" w:cs="Arial"/>
        </w:rPr>
        <w:t>Surface Use Agreement</w:t>
      </w:r>
      <w:r w:rsidR="00D851C3">
        <w:rPr>
          <w:rFonts w:ascii="Arial" w:hAnsi="Arial" w:cs="Arial"/>
          <w:color w:val="000000"/>
        </w:rPr>
        <w:t xml:space="preserve">. To the extent that the </w:t>
      </w:r>
      <w:r w:rsidR="00A20DBE">
        <w:rPr>
          <w:rFonts w:ascii="Arial" w:hAnsi="Arial" w:cs="Arial"/>
          <w:color w:val="000000"/>
        </w:rPr>
        <w:t>JV</w:t>
      </w:r>
      <w:r w:rsidR="00D851C3">
        <w:rPr>
          <w:rFonts w:ascii="Arial" w:hAnsi="Arial" w:cs="Arial"/>
          <w:color w:val="000000"/>
        </w:rPr>
        <w:t xml:space="preserve"> may be said to have been valid, which QCK and Lore deny, they intimated </w:t>
      </w:r>
      <w:r w:rsidR="0027015C">
        <w:rPr>
          <w:rFonts w:ascii="Arial" w:hAnsi="Arial" w:cs="Arial"/>
          <w:color w:val="000000"/>
        </w:rPr>
        <w:t xml:space="preserve">that </w:t>
      </w:r>
      <w:r w:rsidR="00D851C3">
        <w:rPr>
          <w:rFonts w:ascii="Arial" w:hAnsi="Arial" w:cs="Arial"/>
          <w:color w:val="000000"/>
        </w:rPr>
        <w:t xml:space="preserve">Sikhova and Lore were joint parties to the </w:t>
      </w:r>
      <w:r w:rsidR="00F9292F">
        <w:rPr>
          <w:rFonts w:ascii="Arial" w:hAnsi="Arial" w:cs="Arial"/>
          <w:color w:val="000000"/>
        </w:rPr>
        <w:t xml:space="preserve">agreement </w:t>
      </w:r>
      <w:r w:rsidR="007A5D4C">
        <w:rPr>
          <w:rFonts w:ascii="Arial" w:hAnsi="Arial" w:cs="Arial"/>
        </w:rPr>
        <w:t>and further t</w:t>
      </w:r>
      <w:r w:rsidR="00D851C3">
        <w:rPr>
          <w:rFonts w:ascii="Arial" w:hAnsi="Arial" w:cs="Arial"/>
          <w:color w:val="000000"/>
        </w:rPr>
        <w:t xml:space="preserve">hat the </w:t>
      </w:r>
      <w:r w:rsidR="00D851C3">
        <w:rPr>
          <w:rFonts w:ascii="Arial" w:hAnsi="Arial" w:cs="Arial"/>
          <w:color w:val="000000"/>
        </w:rPr>
        <w:lastRenderedPageBreak/>
        <w:t xml:space="preserve">rights arising from the said agreement (if any) accrued to the said parties jointly and could not be exercised by Sikhova to the exclusion </w:t>
      </w:r>
      <w:r w:rsidR="0027015C">
        <w:rPr>
          <w:rFonts w:ascii="Arial" w:hAnsi="Arial" w:cs="Arial"/>
          <w:color w:val="000000"/>
        </w:rPr>
        <w:t xml:space="preserve">of </w:t>
      </w:r>
      <w:r w:rsidR="00D851C3">
        <w:rPr>
          <w:rFonts w:ascii="Arial" w:hAnsi="Arial" w:cs="Arial"/>
          <w:color w:val="000000"/>
        </w:rPr>
        <w:t xml:space="preserve">Lore. They further deny that the </w:t>
      </w:r>
      <w:r w:rsidR="00633592">
        <w:rPr>
          <w:rFonts w:ascii="Arial" w:hAnsi="Arial" w:cs="Arial"/>
        </w:rPr>
        <w:t>Surface Use Agreement</w:t>
      </w:r>
      <w:r w:rsidR="00633592">
        <w:rPr>
          <w:rFonts w:ascii="Arial" w:hAnsi="Arial" w:cs="Arial"/>
          <w:color w:val="000000"/>
        </w:rPr>
        <w:t xml:space="preserve"> </w:t>
      </w:r>
      <w:r w:rsidR="00D851C3">
        <w:rPr>
          <w:rFonts w:ascii="Arial" w:hAnsi="Arial" w:cs="Arial"/>
          <w:color w:val="000000"/>
        </w:rPr>
        <w:t>gave the respondents access to the farm to exploit mineral resources, for their own benefit.</w:t>
      </w:r>
      <w:r w:rsidR="00234372">
        <w:rPr>
          <w:rFonts w:ascii="Arial" w:hAnsi="Arial" w:cs="Arial"/>
          <w:color w:val="000000"/>
        </w:rPr>
        <w:t xml:space="preserve"> They </w:t>
      </w:r>
      <w:r w:rsidR="007A5D4C">
        <w:rPr>
          <w:rFonts w:ascii="Arial" w:hAnsi="Arial" w:cs="Arial"/>
          <w:color w:val="000000"/>
        </w:rPr>
        <w:t xml:space="preserve">assert </w:t>
      </w:r>
      <w:r w:rsidR="00234372">
        <w:rPr>
          <w:rFonts w:ascii="Arial" w:hAnsi="Arial" w:cs="Arial"/>
          <w:color w:val="000000"/>
        </w:rPr>
        <w:t xml:space="preserve">that the </w:t>
      </w:r>
      <w:r w:rsidR="00385C3B">
        <w:rPr>
          <w:rFonts w:ascii="Arial" w:hAnsi="Arial" w:cs="Arial"/>
        </w:rPr>
        <w:t>Surface Use Agreement</w:t>
      </w:r>
      <w:r w:rsidR="00385C3B">
        <w:rPr>
          <w:rFonts w:ascii="Arial" w:hAnsi="Arial" w:cs="Arial"/>
          <w:color w:val="000000"/>
        </w:rPr>
        <w:t xml:space="preserve"> </w:t>
      </w:r>
      <w:r w:rsidR="00234372">
        <w:rPr>
          <w:rFonts w:ascii="Arial" w:hAnsi="Arial" w:cs="Arial"/>
          <w:color w:val="000000"/>
        </w:rPr>
        <w:t xml:space="preserve">was cancelled </w:t>
      </w:r>
      <w:r w:rsidR="00306CE5">
        <w:rPr>
          <w:rFonts w:ascii="Arial" w:hAnsi="Arial" w:cs="Arial"/>
          <w:color w:val="000000"/>
        </w:rPr>
        <w:t xml:space="preserve">not only </w:t>
      </w:r>
      <w:r w:rsidR="00234372">
        <w:rPr>
          <w:rFonts w:ascii="Arial" w:hAnsi="Arial" w:cs="Arial"/>
          <w:color w:val="000000"/>
        </w:rPr>
        <w:t>because</w:t>
      </w:r>
      <w:r w:rsidR="00306CE5">
        <w:rPr>
          <w:rFonts w:ascii="Arial" w:hAnsi="Arial" w:cs="Arial"/>
          <w:color w:val="000000"/>
        </w:rPr>
        <w:t xml:space="preserve"> of the breach but also on </w:t>
      </w:r>
      <w:r w:rsidR="00491B8E">
        <w:rPr>
          <w:rFonts w:ascii="Arial" w:hAnsi="Arial" w:cs="Arial"/>
          <w:color w:val="000000"/>
        </w:rPr>
        <w:t xml:space="preserve">the basis </w:t>
      </w:r>
      <w:r w:rsidR="00306CE5">
        <w:rPr>
          <w:rFonts w:ascii="Arial" w:hAnsi="Arial" w:cs="Arial"/>
          <w:color w:val="000000"/>
        </w:rPr>
        <w:t>that Lore was never a party thereto</w:t>
      </w:r>
      <w:r w:rsidR="00AE1371">
        <w:rPr>
          <w:rFonts w:ascii="Arial" w:hAnsi="Arial" w:cs="Arial"/>
          <w:color w:val="000000"/>
        </w:rPr>
        <w:t xml:space="preserve">. </w:t>
      </w:r>
      <w:r w:rsidR="00306CE5">
        <w:rPr>
          <w:rFonts w:ascii="Arial" w:hAnsi="Arial" w:cs="Arial"/>
          <w:color w:val="000000"/>
        </w:rPr>
        <w:t>The</w:t>
      </w:r>
      <w:r w:rsidR="00101547">
        <w:rPr>
          <w:rFonts w:ascii="Arial" w:hAnsi="Arial" w:cs="Arial"/>
          <w:color w:val="000000"/>
        </w:rPr>
        <w:t>y further contended that the</w:t>
      </w:r>
      <w:r w:rsidR="00306CE5">
        <w:rPr>
          <w:rFonts w:ascii="Arial" w:hAnsi="Arial" w:cs="Arial"/>
          <w:color w:val="000000"/>
        </w:rPr>
        <w:t xml:space="preserve"> payment </w:t>
      </w:r>
      <w:r w:rsidR="00671E51">
        <w:rPr>
          <w:rFonts w:ascii="Arial" w:hAnsi="Arial" w:cs="Arial"/>
          <w:color w:val="000000"/>
        </w:rPr>
        <w:t xml:space="preserve">by Sikhova, which was </w:t>
      </w:r>
      <w:r w:rsidR="007A5D4C">
        <w:rPr>
          <w:rFonts w:ascii="Arial" w:hAnsi="Arial" w:cs="Arial"/>
          <w:color w:val="000000"/>
        </w:rPr>
        <w:t xml:space="preserve">for </w:t>
      </w:r>
      <w:r w:rsidR="00671E51">
        <w:rPr>
          <w:rFonts w:ascii="Arial" w:hAnsi="Arial" w:cs="Arial"/>
          <w:color w:val="000000"/>
        </w:rPr>
        <w:t xml:space="preserve">past access, </w:t>
      </w:r>
      <w:r w:rsidR="00306CE5">
        <w:rPr>
          <w:rFonts w:ascii="Arial" w:hAnsi="Arial" w:cs="Arial"/>
          <w:color w:val="000000"/>
        </w:rPr>
        <w:t xml:space="preserve">was made following the cancellation of the </w:t>
      </w:r>
      <w:r w:rsidR="00385C3B">
        <w:rPr>
          <w:rFonts w:ascii="Arial" w:hAnsi="Arial" w:cs="Arial"/>
        </w:rPr>
        <w:t>Surface Use Agreement</w:t>
      </w:r>
      <w:r w:rsidR="00671E51">
        <w:rPr>
          <w:rFonts w:ascii="Arial" w:hAnsi="Arial" w:cs="Arial"/>
          <w:color w:val="000000"/>
        </w:rPr>
        <w:t>, to the extent that it existed, which QCK and Lore deny</w:t>
      </w:r>
      <w:r w:rsidR="00306CE5">
        <w:rPr>
          <w:rFonts w:ascii="Arial" w:hAnsi="Arial" w:cs="Arial"/>
          <w:color w:val="000000"/>
        </w:rPr>
        <w:t>.</w:t>
      </w:r>
    </w:p>
    <w:p w:rsidR="00C76BFD" w:rsidRDefault="00AD75C2" w:rsidP="00C55EAB">
      <w:pPr>
        <w:spacing w:line="360" w:lineRule="auto"/>
        <w:ind w:left="567" w:hanging="567"/>
        <w:jc w:val="both"/>
        <w:rPr>
          <w:rFonts w:ascii="Arial" w:hAnsi="Arial" w:cs="Arial"/>
        </w:rPr>
      </w:pPr>
      <w:r>
        <w:rPr>
          <w:rFonts w:ascii="Arial" w:hAnsi="Arial" w:cs="Arial"/>
        </w:rPr>
        <w:t>[</w:t>
      </w:r>
      <w:r w:rsidR="00B3738C">
        <w:rPr>
          <w:rFonts w:ascii="Arial" w:hAnsi="Arial" w:cs="Arial"/>
        </w:rPr>
        <w:t>1</w:t>
      </w:r>
      <w:r w:rsidR="00624FF3">
        <w:rPr>
          <w:rFonts w:ascii="Arial" w:hAnsi="Arial" w:cs="Arial"/>
        </w:rPr>
        <w:t>6</w:t>
      </w:r>
      <w:r>
        <w:rPr>
          <w:rFonts w:ascii="Arial" w:hAnsi="Arial" w:cs="Arial"/>
        </w:rPr>
        <w:t>]</w:t>
      </w:r>
      <w:r>
        <w:rPr>
          <w:rFonts w:ascii="Arial" w:hAnsi="Arial" w:cs="Arial"/>
        </w:rPr>
        <w:tab/>
      </w:r>
      <w:r w:rsidR="00BC1F77">
        <w:rPr>
          <w:rFonts w:ascii="Arial" w:hAnsi="Arial" w:cs="Arial"/>
        </w:rPr>
        <w:t>R</w:t>
      </w:r>
      <w:r w:rsidR="00C55EAB">
        <w:rPr>
          <w:rFonts w:ascii="Arial" w:hAnsi="Arial" w:cs="Arial"/>
        </w:rPr>
        <w:t xml:space="preserve">eference is also made in the papers to a </w:t>
      </w:r>
      <w:r w:rsidR="00C76BFD">
        <w:rPr>
          <w:rFonts w:ascii="Arial" w:hAnsi="Arial" w:cs="Arial"/>
        </w:rPr>
        <w:t>“</w:t>
      </w:r>
      <w:r w:rsidR="00047EB7">
        <w:rPr>
          <w:rFonts w:ascii="Arial" w:hAnsi="Arial" w:cs="Arial"/>
        </w:rPr>
        <w:t xml:space="preserve">new </w:t>
      </w:r>
      <w:r w:rsidR="00C55EAB">
        <w:rPr>
          <w:rFonts w:ascii="Arial" w:hAnsi="Arial" w:cs="Arial"/>
        </w:rPr>
        <w:t>joint venture agreement</w:t>
      </w:r>
      <w:r w:rsidR="00C76BFD">
        <w:rPr>
          <w:rFonts w:ascii="Arial" w:hAnsi="Arial" w:cs="Arial"/>
        </w:rPr>
        <w:t>”</w:t>
      </w:r>
      <w:r w:rsidR="00C55EAB">
        <w:rPr>
          <w:rFonts w:ascii="Arial" w:hAnsi="Arial" w:cs="Arial"/>
        </w:rPr>
        <w:t xml:space="preserve"> concluded between Dulostyle and Lore </w:t>
      </w:r>
      <w:r w:rsidR="00BC1F77">
        <w:rPr>
          <w:rFonts w:ascii="Arial" w:hAnsi="Arial" w:cs="Arial"/>
        </w:rPr>
        <w:t xml:space="preserve">(the third agreement) </w:t>
      </w:r>
      <w:r w:rsidR="00C55EAB">
        <w:rPr>
          <w:rFonts w:ascii="Arial" w:hAnsi="Arial" w:cs="Arial"/>
        </w:rPr>
        <w:t xml:space="preserve">which concerned </w:t>
      </w:r>
      <w:r w:rsidR="00C55EAB">
        <w:rPr>
          <w:rFonts w:ascii="Arial" w:hAnsi="Arial" w:cs="Arial"/>
          <w:color w:val="000000"/>
        </w:rPr>
        <w:t>the exercising of the prospecting rights in issue by Dulostyle wh</w:t>
      </w:r>
      <w:r w:rsidR="00491B8E">
        <w:rPr>
          <w:rFonts w:ascii="Arial" w:hAnsi="Arial" w:cs="Arial"/>
          <w:color w:val="000000"/>
        </w:rPr>
        <w:t>ich</w:t>
      </w:r>
      <w:r w:rsidR="00C55EAB">
        <w:rPr>
          <w:rFonts w:ascii="Arial" w:hAnsi="Arial" w:cs="Arial"/>
          <w:color w:val="000000"/>
        </w:rPr>
        <w:t xml:space="preserve"> also took </w:t>
      </w:r>
      <w:r w:rsidR="007C4464">
        <w:rPr>
          <w:rFonts w:ascii="Arial" w:hAnsi="Arial" w:cs="Arial"/>
          <w:color w:val="000000"/>
        </w:rPr>
        <w:t xml:space="preserve">occupation </w:t>
      </w:r>
      <w:r w:rsidR="00C55EAB">
        <w:rPr>
          <w:rFonts w:ascii="Arial" w:hAnsi="Arial" w:cs="Arial"/>
          <w:color w:val="000000"/>
        </w:rPr>
        <w:t xml:space="preserve">of the portion of the farm for that purpose. </w:t>
      </w:r>
      <w:r w:rsidR="00A16D5C">
        <w:rPr>
          <w:rFonts w:ascii="Arial" w:hAnsi="Arial" w:cs="Arial"/>
          <w:color w:val="000000"/>
        </w:rPr>
        <w:t>It is on that basi</w:t>
      </w:r>
      <w:r w:rsidR="008B4BD4">
        <w:rPr>
          <w:rFonts w:ascii="Arial" w:hAnsi="Arial" w:cs="Arial"/>
          <w:color w:val="000000"/>
        </w:rPr>
        <w:t xml:space="preserve">s that </w:t>
      </w:r>
      <w:r w:rsidR="008B4BD4">
        <w:rPr>
          <w:rFonts w:ascii="Arial" w:hAnsi="Arial" w:cs="Arial"/>
        </w:rPr>
        <w:t xml:space="preserve">Sikhova and Hard Rock </w:t>
      </w:r>
      <w:r w:rsidR="007A5D4C">
        <w:rPr>
          <w:rFonts w:ascii="Arial" w:hAnsi="Arial" w:cs="Arial"/>
        </w:rPr>
        <w:t xml:space="preserve">claim </w:t>
      </w:r>
      <w:r w:rsidR="00AE1371">
        <w:rPr>
          <w:rFonts w:ascii="Arial" w:hAnsi="Arial" w:cs="Arial"/>
        </w:rPr>
        <w:t xml:space="preserve">that </w:t>
      </w:r>
      <w:r w:rsidR="008B4BD4">
        <w:rPr>
          <w:rFonts w:ascii="Arial" w:hAnsi="Arial" w:cs="Arial"/>
        </w:rPr>
        <w:t xml:space="preserve">Dulostyle </w:t>
      </w:r>
      <w:r w:rsidR="00AE1371">
        <w:rPr>
          <w:rFonts w:ascii="Arial" w:hAnsi="Arial" w:cs="Arial"/>
        </w:rPr>
        <w:t xml:space="preserve">equally </w:t>
      </w:r>
      <w:r w:rsidR="008B4BD4">
        <w:rPr>
          <w:rFonts w:ascii="Arial" w:hAnsi="Arial" w:cs="Arial"/>
        </w:rPr>
        <w:t>despoiled them</w:t>
      </w:r>
      <w:r w:rsidR="007C4464">
        <w:rPr>
          <w:rFonts w:ascii="Arial" w:hAnsi="Arial" w:cs="Arial"/>
        </w:rPr>
        <w:t xml:space="preserve">, alternatively that it occupied the farm unlawfully and had to vacate </w:t>
      </w:r>
      <w:r w:rsidR="00DA5016">
        <w:rPr>
          <w:rFonts w:ascii="Arial" w:hAnsi="Arial" w:cs="Arial"/>
        </w:rPr>
        <w:t>the prospecting area</w:t>
      </w:r>
      <w:r w:rsidR="008B4BD4">
        <w:rPr>
          <w:rFonts w:ascii="Arial" w:hAnsi="Arial" w:cs="Arial"/>
        </w:rPr>
        <w:t>.</w:t>
      </w:r>
      <w:r w:rsidR="00CE52D7">
        <w:rPr>
          <w:rFonts w:ascii="Arial" w:hAnsi="Arial" w:cs="Arial"/>
        </w:rPr>
        <w:t xml:space="preserve"> </w:t>
      </w:r>
    </w:p>
    <w:p w:rsidR="00C55EAB" w:rsidRPr="008D0B74" w:rsidRDefault="00C76BFD" w:rsidP="00C55EAB">
      <w:pPr>
        <w:spacing w:line="360" w:lineRule="auto"/>
        <w:ind w:left="567" w:hanging="567"/>
        <w:jc w:val="both"/>
        <w:rPr>
          <w:rFonts w:ascii="Arial" w:hAnsi="Arial" w:cs="Arial"/>
          <w:b/>
          <w:color w:val="000000"/>
        </w:rPr>
      </w:pPr>
      <w:r w:rsidRPr="008D0B74">
        <w:rPr>
          <w:rFonts w:ascii="Arial" w:hAnsi="Arial" w:cs="Arial"/>
          <w:b/>
        </w:rPr>
        <w:t>The relief sought in the court a quo</w:t>
      </w:r>
      <w:r w:rsidR="00CE52D7" w:rsidRPr="008D0B74">
        <w:rPr>
          <w:rFonts w:ascii="Arial" w:hAnsi="Arial" w:cs="Arial"/>
          <w:b/>
        </w:rPr>
        <w:t xml:space="preserve"> </w:t>
      </w:r>
    </w:p>
    <w:p w:rsidR="00482008" w:rsidRDefault="0001387A" w:rsidP="0001387A">
      <w:pPr>
        <w:tabs>
          <w:tab w:val="left" w:pos="567"/>
        </w:tabs>
        <w:spacing w:line="360" w:lineRule="auto"/>
        <w:ind w:left="567" w:hanging="567"/>
        <w:jc w:val="both"/>
        <w:rPr>
          <w:rFonts w:ascii="Arial" w:hAnsi="Arial" w:cs="Arial"/>
        </w:rPr>
      </w:pPr>
      <w:r>
        <w:rPr>
          <w:rFonts w:ascii="Arial" w:hAnsi="Arial" w:cs="Arial"/>
          <w:color w:val="000000"/>
        </w:rPr>
        <w:t>[</w:t>
      </w:r>
      <w:r w:rsidR="00B3738C">
        <w:rPr>
          <w:rFonts w:ascii="Arial" w:hAnsi="Arial" w:cs="Arial"/>
          <w:color w:val="000000"/>
        </w:rPr>
        <w:t>1</w:t>
      </w:r>
      <w:r w:rsidR="00624FF3">
        <w:rPr>
          <w:rFonts w:ascii="Arial" w:hAnsi="Arial" w:cs="Arial"/>
          <w:color w:val="000000"/>
        </w:rPr>
        <w:t>7</w:t>
      </w:r>
      <w:r>
        <w:rPr>
          <w:rFonts w:ascii="Arial" w:hAnsi="Arial" w:cs="Arial"/>
          <w:color w:val="000000"/>
        </w:rPr>
        <w:t>]</w:t>
      </w:r>
      <w:r>
        <w:rPr>
          <w:rFonts w:ascii="Arial" w:hAnsi="Arial" w:cs="Arial"/>
          <w:color w:val="000000"/>
        </w:rPr>
        <w:tab/>
      </w:r>
      <w:r>
        <w:rPr>
          <w:rFonts w:ascii="Arial" w:hAnsi="Arial" w:cs="Arial"/>
        </w:rPr>
        <w:t xml:space="preserve">Sikhova and Hard Rock sought </w:t>
      </w:r>
      <w:r w:rsidR="007A5D4C">
        <w:rPr>
          <w:rFonts w:ascii="Arial" w:hAnsi="Arial" w:cs="Arial"/>
        </w:rPr>
        <w:t xml:space="preserve">an order </w:t>
      </w:r>
      <w:r>
        <w:rPr>
          <w:rFonts w:ascii="Arial" w:hAnsi="Arial" w:cs="Arial"/>
        </w:rPr>
        <w:t xml:space="preserve">in the court a quo directing QCK to restore to them, </w:t>
      </w:r>
      <w:r w:rsidRPr="00AE1371">
        <w:rPr>
          <w:rFonts w:ascii="Arial" w:hAnsi="Arial" w:cs="Arial"/>
          <w:i/>
        </w:rPr>
        <w:t>ante omnia</w:t>
      </w:r>
      <w:r>
        <w:rPr>
          <w:rFonts w:ascii="Arial" w:hAnsi="Arial" w:cs="Arial"/>
        </w:rPr>
        <w:t>, immediate peaceful and undisturbed possession of the farm, including their machine</w:t>
      </w:r>
      <w:r w:rsidR="005E7C6F">
        <w:rPr>
          <w:rFonts w:ascii="Arial" w:hAnsi="Arial" w:cs="Arial"/>
        </w:rPr>
        <w:t xml:space="preserve">ry </w:t>
      </w:r>
      <w:r>
        <w:rPr>
          <w:rFonts w:ascii="Arial" w:hAnsi="Arial" w:cs="Arial"/>
        </w:rPr>
        <w:t xml:space="preserve">and equipment that were still on the farm. The same </w:t>
      </w:r>
      <w:r w:rsidR="001D1B6C">
        <w:rPr>
          <w:rFonts w:ascii="Arial" w:hAnsi="Arial" w:cs="Arial"/>
        </w:rPr>
        <w:t xml:space="preserve">spoliatory </w:t>
      </w:r>
      <w:r>
        <w:rPr>
          <w:rFonts w:ascii="Arial" w:hAnsi="Arial" w:cs="Arial"/>
        </w:rPr>
        <w:t xml:space="preserve">relief was sought against Dulostyle, alternatively, that Dulostyle vacate the property. They also sought a declarator that the </w:t>
      </w:r>
      <w:r w:rsidR="007504D5">
        <w:rPr>
          <w:rFonts w:ascii="Arial" w:hAnsi="Arial" w:cs="Arial"/>
        </w:rPr>
        <w:t xml:space="preserve">JV </w:t>
      </w:r>
      <w:r>
        <w:rPr>
          <w:rFonts w:ascii="Arial" w:hAnsi="Arial" w:cs="Arial"/>
        </w:rPr>
        <w:t xml:space="preserve">between Lore and Dulostyle was unlawful and of no force and effect. </w:t>
      </w:r>
      <w:r w:rsidR="007504D5">
        <w:rPr>
          <w:rFonts w:ascii="Arial" w:hAnsi="Arial" w:cs="Arial"/>
        </w:rPr>
        <w:t>F</w:t>
      </w:r>
      <w:r w:rsidR="00BC1F77">
        <w:rPr>
          <w:rFonts w:ascii="Arial" w:hAnsi="Arial" w:cs="Arial"/>
        </w:rPr>
        <w:t xml:space="preserve">urther consequential </w:t>
      </w:r>
      <w:r>
        <w:rPr>
          <w:rFonts w:ascii="Arial" w:hAnsi="Arial" w:cs="Arial"/>
        </w:rPr>
        <w:t>relief pertain</w:t>
      </w:r>
      <w:r w:rsidR="008E7213">
        <w:rPr>
          <w:rFonts w:ascii="Arial" w:hAnsi="Arial" w:cs="Arial"/>
        </w:rPr>
        <w:t xml:space="preserve">ing </w:t>
      </w:r>
      <w:r>
        <w:rPr>
          <w:rFonts w:ascii="Arial" w:hAnsi="Arial" w:cs="Arial"/>
        </w:rPr>
        <w:t xml:space="preserve">to costs of the application against QCK </w:t>
      </w:r>
      <w:r w:rsidR="001E6E2E">
        <w:rPr>
          <w:rFonts w:ascii="Arial" w:hAnsi="Arial" w:cs="Arial"/>
        </w:rPr>
        <w:t xml:space="preserve">but also </w:t>
      </w:r>
      <w:r>
        <w:rPr>
          <w:rFonts w:ascii="Arial" w:hAnsi="Arial" w:cs="Arial"/>
        </w:rPr>
        <w:t>against Lore and Dulostyle</w:t>
      </w:r>
      <w:r w:rsidR="000A1A4C">
        <w:rPr>
          <w:rFonts w:ascii="Arial" w:hAnsi="Arial" w:cs="Arial"/>
        </w:rPr>
        <w:t>,</w:t>
      </w:r>
      <w:r>
        <w:rPr>
          <w:rFonts w:ascii="Arial" w:hAnsi="Arial" w:cs="Arial"/>
        </w:rPr>
        <w:t xml:space="preserve"> in the event of opposition</w:t>
      </w:r>
      <w:r w:rsidR="000A1A4C">
        <w:rPr>
          <w:rFonts w:ascii="Arial" w:hAnsi="Arial" w:cs="Arial"/>
        </w:rPr>
        <w:t>,</w:t>
      </w:r>
      <w:r w:rsidR="007504D5">
        <w:rPr>
          <w:rFonts w:ascii="Arial" w:hAnsi="Arial" w:cs="Arial"/>
        </w:rPr>
        <w:t xml:space="preserve"> was </w:t>
      </w:r>
      <w:r w:rsidR="00EA30FC">
        <w:rPr>
          <w:rFonts w:ascii="Arial" w:hAnsi="Arial" w:cs="Arial"/>
        </w:rPr>
        <w:t>sought</w:t>
      </w:r>
      <w:r>
        <w:rPr>
          <w:rFonts w:ascii="Arial" w:hAnsi="Arial" w:cs="Arial"/>
        </w:rPr>
        <w:t xml:space="preserve">. </w:t>
      </w:r>
      <w:r w:rsidR="00C87AEC">
        <w:rPr>
          <w:rFonts w:ascii="Arial" w:hAnsi="Arial" w:cs="Arial"/>
        </w:rPr>
        <w:t>In addition</w:t>
      </w:r>
      <w:r w:rsidR="00D3260F">
        <w:rPr>
          <w:rFonts w:ascii="Arial" w:hAnsi="Arial" w:cs="Arial"/>
        </w:rPr>
        <w:t>,</w:t>
      </w:r>
      <w:r w:rsidR="00D3260F" w:rsidRPr="00D3260F">
        <w:rPr>
          <w:rFonts w:ascii="Arial" w:hAnsi="Arial" w:cs="Arial"/>
        </w:rPr>
        <w:t xml:space="preserve"> </w:t>
      </w:r>
      <w:r w:rsidR="00D3260F">
        <w:rPr>
          <w:rFonts w:ascii="Arial" w:hAnsi="Arial" w:cs="Arial"/>
        </w:rPr>
        <w:t>QCK, Lore and Dulostyle</w:t>
      </w:r>
      <w:r w:rsidR="00C87AEC">
        <w:rPr>
          <w:rFonts w:ascii="Arial" w:hAnsi="Arial" w:cs="Arial"/>
        </w:rPr>
        <w:t xml:space="preserve"> </w:t>
      </w:r>
      <w:r w:rsidR="00D3260F">
        <w:rPr>
          <w:rFonts w:ascii="Arial" w:hAnsi="Arial" w:cs="Arial"/>
        </w:rPr>
        <w:t xml:space="preserve">sought an order striking </w:t>
      </w:r>
      <w:r w:rsidR="00D3260F">
        <w:rPr>
          <w:rFonts w:ascii="Arial" w:hAnsi="Arial" w:cs="Arial"/>
          <w:color w:val="000000"/>
        </w:rPr>
        <w:t xml:space="preserve">out the whole of the replying affidavit or the greater part of its paragraphs. </w:t>
      </w:r>
    </w:p>
    <w:p w:rsidR="0049283D" w:rsidRDefault="00CC38DC" w:rsidP="0001387A">
      <w:pPr>
        <w:tabs>
          <w:tab w:val="left" w:pos="567"/>
        </w:tabs>
        <w:spacing w:line="360" w:lineRule="auto"/>
        <w:ind w:left="567" w:hanging="567"/>
        <w:jc w:val="both"/>
        <w:rPr>
          <w:rFonts w:ascii="Arial" w:hAnsi="Arial" w:cs="Arial"/>
        </w:rPr>
      </w:pPr>
      <w:r>
        <w:rPr>
          <w:rFonts w:ascii="Arial" w:hAnsi="Arial" w:cs="Arial"/>
          <w:color w:val="000000"/>
        </w:rPr>
        <w:t>[1</w:t>
      </w:r>
      <w:r w:rsidR="00624FF3">
        <w:rPr>
          <w:rFonts w:ascii="Arial" w:hAnsi="Arial" w:cs="Arial"/>
          <w:color w:val="000000"/>
        </w:rPr>
        <w:t>8</w:t>
      </w:r>
      <w:r>
        <w:rPr>
          <w:rFonts w:ascii="Arial" w:hAnsi="Arial" w:cs="Arial"/>
          <w:color w:val="000000"/>
        </w:rPr>
        <w:t>]</w:t>
      </w:r>
      <w:r>
        <w:rPr>
          <w:rFonts w:ascii="Arial" w:hAnsi="Arial" w:cs="Arial"/>
          <w:color w:val="000000"/>
        </w:rPr>
        <w:tab/>
      </w:r>
      <w:r w:rsidR="00FF3E30">
        <w:rPr>
          <w:rFonts w:ascii="Arial" w:hAnsi="Arial" w:cs="Arial"/>
        </w:rPr>
        <w:t xml:space="preserve">On the date of the hearing of the applications Sikhova and Hard Rock abandoned the declaratory relief. </w:t>
      </w:r>
      <w:r w:rsidR="00482008">
        <w:rPr>
          <w:rFonts w:ascii="Arial" w:hAnsi="Arial" w:cs="Arial"/>
          <w:color w:val="000000"/>
        </w:rPr>
        <w:t xml:space="preserve">The </w:t>
      </w:r>
      <w:r w:rsidR="001D1B6C">
        <w:rPr>
          <w:rFonts w:ascii="Arial" w:hAnsi="Arial" w:cs="Arial"/>
          <w:color w:val="000000"/>
        </w:rPr>
        <w:t xml:space="preserve">multifarious </w:t>
      </w:r>
      <w:r w:rsidR="00482008">
        <w:rPr>
          <w:rFonts w:ascii="Arial" w:hAnsi="Arial" w:cs="Arial"/>
          <w:color w:val="000000"/>
        </w:rPr>
        <w:t>disputes regarding the</w:t>
      </w:r>
      <w:r w:rsidR="006C0002">
        <w:rPr>
          <w:rFonts w:ascii="Arial" w:hAnsi="Arial" w:cs="Arial"/>
          <w:color w:val="000000"/>
        </w:rPr>
        <w:t xml:space="preserve"> validity and enforceability of the</w:t>
      </w:r>
      <w:r w:rsidR="00482008">
        <w:rPr>
          <w:rFonts w:ascii="Arial" w:hAnsi="Arial" w:cs="Arial"/>
          <w:color w:val="000000"/>
        </w:rPr>
        <w:t xml:space="preserve"> </w:t>
      </w:r>
      <w:r w:rsidR="007504D5">
        <w:rPr>
          <w:rFonts w:ascii="Arial" w:hAnsi="Arial" w:cs="Arial"/>
          <w:color w:val="000000"/>
        </w:rPr>
        <w:t xml:space="preserve">JV and the </w:t>
      </w:r>
      <w:r w:rsidR="00385C3B">
        <w:rPr>
          <w:rFonts w:ascii="Arial" w:hAnsi="Arial" w:cs="Arial"/>
        </w:rPr>
        <w:t>Surface Use Agreement</w:t>
      </w:r>
      <w:r w:rsidR="00385C3B">
        <w:rPr>
          <w:rFonts w:ascii="Arial" w:hAnsi="Arial" w:cs="Arial"/>
          <w:color w:val="000000"/>
        </w:rPr>
        <w:t xml:space="preserve"> </w:t>
      </w:r>
      <w:r w:rsidR="002876F5">
        <w:rPr>
          <w:rFonts w:ascii="Arial" w:hAnsi="Arial" w:cs="Arial"/>
          <w:color w:val="000000"/>
        </w:rPr>
        <w:t xml:space="preserve">were </w:t>
      </w:r>
      <w:r w:rsidR="007504D5">
        <w:rPr>
          <w:rFonts w:ascii="Arial" w:hAnsi="Arial" w:cs="Arial"/>
          <w:color w:val="000000"/>
        </w:rPr>
        <w:t>largely</w:t>
      </w:r>
      <w:r w:rsidR="002876F5">
        <w:rPr>
          <w:rFonts w:ascii="Arial" w:hAnsi="Arial" w:cs="Arial"/>
          <w:color w:val="000000"/>
        </w:rPr>
        <w:t xml:space="preserve"> central</w:t>
      </w:r>
      <w:r w:rsidR="007504D5">
        <w:rPr>
          <w:rFonts w:ascii="Arial" w:hAnsi="Arial" w:cs="Arial"/>
          <w:color w:val="000000"/>
        </w:rPr>
        <w:t xml:space="preserve"> to the </w:t>
      </w:r>
      <w:r w:rsidR="002B4467">
        <w:rPr>
          <w:rFonts w:ascii="Arial" w:hAnsi="Arial" w:cs="Arial"/>
          <w:color w:val="000000"/>
        </w:rPr>
        <w:t xml:space="preserve">declaratory relief that Sikhova and </w:t>
      </w:r>
      <w:r>
        <w:rPr>
          <w:rFonts w:ascii="Arial" w:hAnsi="Arial" w:cs="Arial"/>
          <w:color w:val="000000"/>
        </w:rPr>
        <w:t>Hard Rock</w:t>
      </w:r>
      <w:r w:rsidR="002B4467">
        <w:rPr>
          <w:rFonts w:ascii="Arial" w:hAnsi="Arial" w:cs="Arial"/>
          <w:color w:val="000000"/>
        </w:rPr>
        <w:t xml:space="preserve"> sought against Lore and </w:t>
      </w:r>
      <w:r w:rsidR="002B4467">
        <w:rPr>
          <w:rFonts w:ascii="Arial" w:hAnsi="Arial" w:cs="Arial"/>
          <w:color w:val="000000"/>
        </w:rPr>
        <w:lastRenderedPageBreak/>
        <w:t>Dulostyle</w:t>
      </w:r>
      <w:r w:rsidR="007504D5">
        <w:rPr>
          <w:rFonts w:ascii="Arial" w:hAnsi="Arial" w:cs="Arial"/>
          <w:color w:val="000000"/>
        </w:rPr>
        <w:t xml:space="preserve">. That relief, as </w:t>
      </w:r>
      <w:r w:rsidR="003C1396">
        <w:rPr>
          <w:rFonts w:ascii="Arial" w:hAnsi="Arial" w:cs="Arial"/>
          <w:color w:val="000000"/>
        </w:rPr>
        <w:t>already mentioned</w:t>
      </w:r>
      <w:r w:rsidR="007504D5">
        <w:rPr>
          <w:rFonts w:ascii="Arial" w:hAnsi="Arial" w:cs="Arial"/>
          <w:color w:val="000000"/>
        </w:rPr>
        <w:t xml:space="preserve">, was </w:t>
      </w:r>
      <w:r w:rsidR="003C1396">
        <w:rPr>
          <w:rFonts w:ascii="Arial" w:hAnsi="Arial" w:cs="Arial"/>
          <w:color w:val="000000"/>
        </w:rPr>
        <w:t>aborted</w:t>
      </w:r>
      <w:r w:rsidR="002B4467">
        <w:rPr>
          <w:rFonts w:ascii="Arial" w:hAnsi="Arial" w:cs="Arial"/>
          <w:color w:val="000000"/>
        </w:rPr>
        <w:t xml:space="preserve">. </w:t>
      </w:r>
      <w:r w:rsidR="0001387A">
        <w:rPr>
          <w:rFonts w:ascii="Arial" w:hAnsi="Arial" w:cs="Arial"/>
        </w:rPr>
        <w:t xml:space="preserve">What </w:t>
      </w:r>
      <w:r w:rsidR="00332732">
        <w:rPr>
          <w:rFonts w:ascii="Arial" w:hAnsi="Arial" w:cs="Arial"/>
        </w:rPr>
        <w:t xml:space="preserve">thus </w:t>
      </w:r>
      <w:r w:rsidR="0001387A">
        <w:rPr>
          <w:rFonts w:ascii="Arial" w:hAnsi="Arial" w:cs="Arial"/>
        </w:rPr>
        <w:t xml:space="preserve">remained </w:t>
      </w:r>
      <w:r w:rsidR="00FF3E30">
        <w:rPr>
          <w:rFonts w:ascii="Arial" w:hAnsi="Arial" w:cs="Arial"/>
        </w:rPr>
        <w:t xml:space="preserve">for </w:t>
      </w:r>
      <w:r w:rsidR="0001387A">
        <w:rPr>
          <w:rFonts w:ascii="Arial" w:hAnsi="Arial" w:cs="Arial"/>
        </w:rPr>
        <w:t>consider</w:t>
      </w:r>
      <w:r w:rsidR="00FF3E30">
        <w:rPr>
          <w:rFonts w:ascii="Arial" w:hAnsi="Arial" w:cs="Arial"/>
        </w:rPr>
        <w:t xml:space="preserve">ation </w:t>
      </w:r>
      <w:r w:rsidR="0001387A">
        <w:rPr>
          <w:rFonts w:ascii="Arial" w:hAnsi="Arial" w:cs="Arial"/>
        </w:rPr>
        <w:t xml:space="preserve">in the </w:t>
      </w:r>
      <w:r w:rsidR="007504D5">
        <w:rPr>
          <w:rFonts w:ascii="Arial" w:hAnsi="Arial" w:cs="Arial"/>
        </w:rPr>
        <w:t>c</w:t>
      </w:r>
      <w:r w:rsidR="0001387A">
        <w:rPr>
          <w:rFonts w:ascii="Arial" w:hAnsi="Arial" w:cs="Arial"/>
        </w:rPr>
        <w:t xml:space="preserve">ourt a quo was the </w:t>
      </w:r>
      <w:r w:rsidR="00335448">
        <w:rPr>
          <w:rFonts w:ascii="Arial" w:hAnsi="Arial" w:cs="Arial"/>
        </w:rPr>
        <w:t xml:space="preserve">appellants’ application to strike out; the respondents’ </w:t>
      </w:r>
      <w:r w:rsidR="0001387A">
        <w:rPr>
          <w:rFonts w:ascii="Arial" w:hAnsi="Arial" w:cs="Arial"/>
        </w:rPr>
        <w:t>spoliation</w:t>
      </w:r>
      <w:r w:rsidR="00335448">
        <w:rPr>
          <w:rFonts w:ascii="Arial" w:hAnsi="Arial" w:cs="Arial"/>
        </w:rPr>
        <w:t xml:space="preserve"> application</w:t>
      </w:r>
      <w:r w:rsidR="0001387A">
        <w:rPr>
          <w:rFonts w:ascii="Arial" w:hAnsi="Arial" w:cs="Arial"/>
        </w:rPr>
        <w:t xml:space="preserve"> and the ancillary relief </w:t>
      </w:r>
      <w:r w:rsidR="00335448">
        <w:rPr>
          <w:rFonts w:ascii="Arial" w:hAnsi="Arial" w:cs="Arial"/>
        </w:rPr>
        <w:t xml:space="preserve">attendant </w:t>
      </w:r>
      <w:r w:rsidR="0001387A">
        <w:rPr>
          <w:rFonts w:ascii="Arial" w:hAnsi="Arial" w:cs="Arial"/>
        </w:rPr>
        <w:t xml:space="preserve">to </w:t>
      </w:r>
      <w:r w:rsidR="003C1396">
        <w:rPr>
          <w:rFonts w:ascii="Arial" w:hAnsi="Arial" w:cs="Arial"/>
        </w:rPr>
        <w:t xml:space="preserve">the </w:t>
      </w:r>
      <w:r w:rsidR="0001387A">
        <w:rPr>
          <w:rFonts w:ascii="Arial" w:hAnsi="Arial" w:cs="Arial"/>
        </w:rPr>
        <w:t>costs of the application</w:t>
      </w:r>
      <w:r w:rsidR="005A37F4">
        <w:rPr>
          <w:rFonts w:ascii="Arial" w:hAnsi="Arial" w:cs="Arial"/>
        </w:rPr>
        <w:t>s</w:t>
      </w:r>
      <w:r w:rsidR="0001387A">
        <w:rPr>
          <w:rFonts w:ascii="Arial" w:hAnsi="Arial" w:cs="Arial"/>
        </w:rPr>
        <w:t>.</w:t>
      </w:r>
    </w:p>
    <w:p w:rsidR="0001387A" w:rsidRPr="008D0B74" w:rsidRDefault="0049283D" w:rsidP="0001387A">
      <w:pPr>
        <w:tabs>
          <w:tab w:val="left" w:pos="567"/>
        </w:tabs>
        <w:spacing w:line="360" w:lineRule="auto"/>
        <w:ind w:left="567" w:hanging="567"/>
        <w:jc w:val="both"/>
        <w:rPr>
          <w:rFonts w:ascii="Arial" w:hAnsi="Arial" w:cs="Arial"/>
          <w:b/>
        </w:rPr>
      </w:pPr>
      <w:r w:rsidRPr="008D0B74">
        <w:rPr>
          <w:rFonts w:ascii="Arial" w:hAnsi="Arial" w:cs="Arial"/>
          <w:b/>
        </w:rPr>
        <w:t>The judgment of the court a quo</w:t>
      </w:r>
      <w:r w:rsidR="0001387A" w:rsidRPr="008D0B74">
        <w:rPr>
          <w:rFonts w:ascii="Arial" w:hAnsi="Arial" w:cs="Arial"/>
          <w:b/>
        </w:rPr>
        <w:t xml:space="preserve">  </w:t>
      </w:r>
    </w:p>
    <w:p w:rsidR="001842A8" w:rsidRDefault="0008684B" w:rsidP="002032F8">
      <w:pPr>
        <w:tabs>
          <w:tab w:val="left" w:pos="567"/>
        </w:tabs>
        <w:spacing w:line="360" w:lineRule="auto"/>
        <w:ind w:left="562" w:hanging="562"/>
        <w:jc w:val="both"/>
        <w:rPr>
          <w:rFonts w:ascii="Arial" w:hAnsi="Arial" w:cs="Arial"/>
          <w:color w:val="000000"/>
        </w:rPr>
      </w:pPr>
      <w:r>
        <w:rPr>
          <w:rFonts w:ascii="Arial" w:hAnsi="Arial" w:cs="Arial"/>
          <w:color w:val="000000"/>
        </w:rPr>
        <w:t>[1</w:t>
      </w:r>
      <w:r w:rsidR="00624FF3">
        <w:rPr>
          <w:rFonts w:ascii="Arial" w:hAnsi="Arial" w:cs="Arial"/>
          <w:color w:val="000000"/>
        </w:rPr>
        <w:t>9</w:t>
      </w:r>
      <w:r>
        <w:rPr>
          <w:rFonts w:ascii="Arial" w:hAnsi="Arial" w:cs="Arial"/>
          <w:color w:val="000000"/>
        </w:rPr>
        <w:t>]</w:t>
      </w:r>
      <w:r>
        <w:rPr>
          <w:rFonts w:ascii="Arial" w:hAnsi="Arial" w:cs="Arial"/>
          <w:color w:val="000000"/>
        </w:rPr>
        <w:tab/>
      </w:r>
      <w:r w:rsidR="00081FF6">
        <w:rPr>
          <w:rFonts w:ascii="Arial" w:hAnsi="Arial" w:cs="Arial"/>
          <w:color w:val="000000"/>
        </w:rPr>
        <w:t xml:space="preserve">In a judgment that </w:t>
      </w:r>
      <w:r w:rsidR="00624FF3">
        <w:rPr>
          <w:rFonts w:ascii="Arial" w:hAnsi="Arial" w:cs="Arial"/>
          <w:color w:val="000000"/>
        </w:rPr>
        <w:t xml:space="preserve">stretches over </w:t>
      </w:r>
      <w:r w:rsidR="006317A2">
        <w:rPr>
          <w:rFonts w:ascii="Arial" w:hAnsi="Arial" w:cs="Arial"/>
          <w:color w:val="000000"/>
        </w:rPr>
        <w:t>63 pages</w:t>
      </w:r>
      <w:r w:rsidR="00081FF6">
        <w:rPr>
          <w:rFonts w:ascii="Arial" w:hAnsi="Arial" w:cs="Arial"/>
          <w:color w:val="000000"/>
        </w:rPr>
        <w:t xml:space="preserve"> t</w:t>
      </w:r>
      <w:r>
        <w:rPr>
          <w:rFonts w:ascii="Arial" w:hAnsi="Arial" w:cs="Arial"/>
          <w:color w:val="000000"/>
        </w:rPr>
        <w:t xml:space="preserve">he court a quo found that Sikhova gained access to the farm and its prospecting area in mid-August 2019 </w:t>
      </w:r>
      <w:r w:rsidR="002231F2">
        <w:rPr>
          <w:rFonts w:ascii="Arial" w:hAnsi="Arial" w:cs="Arial"/>
          <w:color w:val="000000"/>
        </w:rPr>
        <w:t xml:space="preserve">with </w:t>
      </w:r>
      <w:r>
        <w:rPr>
          <w:rFonts w:ascii="Arial" w:hAnsi="Arial" w:cs="Arial"/>
          <w:color w:val="000000"/>
        </w:rPr>
        <w:t>its machinery and equipment</w:t>
      </w:r>
      <w:r w:rsidR="002231F2">
        <w:rPr>
          <w:rFonts w:ascii="Arial" w:hAnsi="Arial" w:cs="Arial"/>
          <w:color w:val="000000"/>
        </w:rPr>
        <w:t>; i</w:t>
      </w:r>
      <w:r w:rsidR="00B66788">
        <w:rPr>
          <w:rFonts w:ascii="Arial" w:hAnsi="Arial" w:cs="Arial"/>
          <w:color w:val="000000"/>
        </w:rPr>
        <w:t xml:space="preserve">t </w:t>
      </w:r>
      <w:r>
        <w:rPr>
          <w:rFonts w:ascii="Arial" w:hAnsi="Arial" w:cs="Arial"/>
          <w:color w:val="000000"/>
        </w:rPr>
        <w:t>conducted mining activities on the farm from mid-</w:t>
      </w:r>
      <w:r w:rsidR="000A316B">
        <w:rPr>
          <w:rFonts w:ascii="Arial" w:hAnsi="Arial" w:cs="Arial"/>
          <w:color w:val="000000"/>
        </w:rPr>
        <w:t>A</w:t>
      </w:r>
      <w:r>
        <w:rPr>
          <w:rFonts w:ascii="Arial" w:hAnsi="Arial" w:cs="Arial"/>
          <w:color w:val="000000"/>
        </w:rPr>
        <w:t xml:space="preserve">ugust 2019 to December 2019 and had been in peaceful and undisturbed possession of the portion of </w:t>
      </w:r>
      <w:r w:rsidR="00E4222E">
        <w:rPr>
          <w:rFonts w:ascii="Arial" w:hAnsi="Arial" w:cs="Arial"/>
          <w:color w:val="000000"/>
        </w:rPr>
        <w:t xml:space="preserve">the </w:t>
      </w:r>
      <w:r>
        <w:rPr>
          <w:rFonts w:ascii="Arial" w:hAnsi="Arial" w:cs="Arial"/>
          <w:color w:val="000000"/>
        </w:rPr>
        <w:t>farm</w:t>
      </w:r>
      <w:r w:rsidR="009C15C4">
        <w:rPr>
          <w:rFonts w:ascii="Arial" w:hAnsi="Arial" w:cs="Arial"/>
          <w:color w:val="000000"/>
        </w:rPr>
        <w:t xml:space="preserve">. </w:t>
      </w:r>
      <w:r w:rsidR="00F54BDC">
        <w:rPr>
          <w:rFonts w:ascii="Arial" w:hAnsi="Arial" w:cs="Arial"/>
          <w:color w:val="000000"/>
        </w:rPr>
        <w:t xml:space="preserve">The court </w:t>
      </w:r>
      <w:r w:rsidR="009C15C4">
        <w:rPr>
          <w:rFonts w:ascii="Arial" w:hAnsi="Arial" w:cs="Arial"/>
          <w:color w:val="000000"/>
        </w:rPr>
        <w:t xml:space="preserve">held </w:t>
      </w:r>
      <w:r w:rsidR="006C1E2F">
        <w:rPr>
          <w:rFonts w:ascii="Arial" w:hAnsi="Arial" w:cs="Arial"/>
          <w:color w:val="000000"/>
        </w:rPr>
        <w:t xml:space="preserve">that </w:t>
      </w:r>
      <w:r w:rsidR="00673972">
        <w:rPr>
          <w:rFonts w:ascii="Arial" w:hAnsi="Arial" w:cs="Arial"/>
          <w:color w:val="000000"/>
        </w:rPr>
        <w:t>Sikhova was denied a</w:t>
      </w:r>
      <w:r w:rsidR="00904E6E">
        <w:rPr>
          <w:rFonts w:ascii="Arial" w:hAnsi="Arial" w:cs="Arial"/>
          <w:color w:val="000000"/>
        </w:rPr>
        <w:t>c</w:t>
      </w:r>
      <w:r w:rsidR="00673972">
        <w:rPr>
          <w:rFonts w:ascii="Arial" w:hAnsi="Arial" w:cs="Arial"/>
          <w:color w:val="000000"/>
        </w:rPr>
        <w:t xml:space="preserve">cess to the farm from January 2020 </w:t>
      </w:r>
      <w:r w:rsidR="00B73D4E">
        <w:rPr>
          <w:rFonts w:ascii="Arial" w:hAnsi="Arial" w:cs="Arial"/>
          <w:color w:val="000000"/>
        </w:rPr>
        <w:t>in that QCK</w:t>
      </w:r>
      <w:r w:rsidR="00DF7414">
        <w:rPr>
          <w:rFonts w:ascii="Arial" w:hAnsi="Arial" w:cs="Arial"/>
          <w:color w:val="000000"/>
        </w:rPr>
        <w:t>,</w:t>
      </w:r>
      <w:r w:rsidR="00B73D4E">
        <w:rPr>
          <w:rFonts w:ascii="Arial" w:hAnsi="Arial" w:cs="Arial"/>
          <w:color w:val="000000"/>
        </w:rPr>
        <w:t xml:space="preserve"> whom Lore made common cause with</w:t>
      </w:r>
      <w:r w:rsidR="00DF7414">
        <w:rPr>
          <w:rFonts w:ascii="Arial" w:hAnsi="Arial" w:cs="Arial"/>
          <w:color w:val="000000"/>
        </w:rPr>
        <w:t>,</w:t>
      </w:r>
      <w:r w:rsidR="00B73D4E">
        <w:rPr>
          <w:rFonts w:ascii="Arial" w:hAnsi="Arial" w:cs="Arial"/>
          <w:color w:val="000000"/>
        </w:rPr>
        <w:t xml:space="preserve"> refused to open the gate</w:t>
      </w:r>
      <w:r w:rsidR="00444A1B">
        <w:rPr>
          <w:rFonts w:ascii="Arial" w:hAnsi="Arial" w:cs="Arial"/>
          <w:color w:val="000000"/>
        </w:rPr>
        <w:t>(</w:t>
      </w:r>
      <w:r w:rsidR="00B73D4E">
        <w:rPr>
          <w:rFonts w:ascii="Arial" w:hAnsi="Arial" w:cs="Arial"/>
          <w:color w:val="000000"/>
        </w:rPr>
        <w:t>s</w:t>
      </w:r>
      <w:r w:rsidR="00444A1B">
        <w:rPr>
          <w:rFonts w:ascii="Arial" w:hAnsi="Arial" w:cs="Arial"/>
          <w:color w:val="000000"/>
        </w:rPr>
        <w:t>)</w:t>
      </w:r>
      <w:r w:rsidR="00B73D4E">
        <w:rPr>
          <w:rFonts w:ascii="Arial" w:hAnsi="Arial" w:cs="Arial"/>
          <w:color w:val="000000"/>
        </w:rPr>
        <w:t xml:space="preserve"> which remained locked. The </w:t>
      </w:r>
      <w:r w:rsidR="00673972">
        <w:rPr>
          <w:rFonts w:ascii="Arial" w:hAnsi="Arial" w:cs="Arial"/>
          <w:color w:val="000000"/>
        </w:rPr>
        <w:t xml:space="preserve">denial </w:t>
      </w:r>
      <w:r w:rsidR="00B73D4E">
        <w:rPr>
          <w:rFonts w:ascii="Arial" w:hAnsi="Arial" w:cs="Arial"/>
          <w:color w:val="000000"/>
        </w:rPr>
        <w:t>of access</w:t>
      </w:r>
      <w:r w:rsidR="00DF7414">
        <w:rPr>
          <w:rFonts w:ascii="Arial" w:hAnsi="Arial" w:cs="Arial"/>
          <w:color w:val="000000"/>
        </w:rPr>
        <w:t>,</w:t>
      </w:r>
      <w:r w:rsidR="00B73D4E">
        <w:rPr>
          <w:rFonts w:ascii="Arial" w:hAnsi="Arial" w:cs="Arial"/>
          <w:color w:val="000000"/>
        </w:rPr>
        <w:t xml:space="preserve"> </w:t>
      </w:r>
      <w:r w:rsidR="00DF7414">
        <w:rPr>
          <w:rFonts w:ascii="Arial" w:hAnsi="Arial" w:cs="Arial"/>
          <w:color w:val="000000"/>
        </w:rPr>
        <w:t xml:space="preserve">the court found, </w:t>
      </w:r>
      <w:r w:rsidR="00673972">
        <w:rPr>
          <w:rFonts w:ascii="Arial" w:hAnsi="Arial" w:cs="Arial"/>
          <w:color w:val="000000"/>
        </w:rPr>
        <w:t xml:space="preserve">was manifested in the cancellation of the agreements, which act was used by QCK and Lore </w:t>
      </w:r>
      <w:r w:rsidR="00DF7414">
        <w:rPr>
          <w:rFonts w:ascii="Arial" w:hAnsi="Arial" w:cs="Arial"/>
          <w:color w:val="000000"/>
        </w:rPr>
        <w:t xml:space="preserve">to </w:t>
      </w:r>
      <w:r w:rsidR="00673972">
        <w:rPr>
          <w:rFonts w:ascii="Arial" w:hAnsi="Arial" w:cs="Arial"/>
          <w:color w:val="000000"/>
        </w:rPr>
        <w:t>prohibit Sikhova and Hard Rock from accessing the farm</w:t>
      </w:r>
      <w:r w:rsidR="006A4792">
        <w:rPr>
          <w:rFonts w:ascii="Arial" w:hAnsi="Arial" w:cs="Arial"/>
          <w:color w:val="000000"/>
        </w:rPr>
        <w:t xml:space="preserve"> and</w:t>
      </w:r>
      <w:r w:rsidR="008E05CD">
        <w:rPr>
          <w:rFonts w:ascii="Arial" w:hAnsi="Arial" w:cs="Arial"/>
          <w:color w:val="000000"/>
        </w:rPr>
        <w:t xml:space="preserve"> </w:t>
      </w:r>
      <w:r w:rsidR="006A4792">
        <w:rPr>
          <w:rFonts w:ascii="Arial" w:hAnsi="Arial" w:cs="Arial"/>
          <w:color w:val="000000"/>
        </w:rPr>
        <w:t>to remove the machinery</w:t>
      </w:r>
      <w:r w:rsidR="00673972">
        <w:rPr>
          <w:rFonts w:ascii="Arial" w:hAnsi="Arial" w:cs="Arial"/>
          <w:color w:val="000000"/>
        </w:rPr>
        <w:t>.</w:t>
      </w:r>
      <w:r w:rsidR="00E64227">
        <w:rPr>
          <w:rFonts w:ascii="Arial" w:hAnsi="Arial" w:cs="Arial"/>
          <w:color w:val="000000"/>
        </w:rPr>
        <w:t xml:space="preserve"> </w:t>
      </w:r>
      <w:r w:rsidR="00DF7414">
        <w:rPr>
          <w:rFonts w:ascii="Arial" w:hAnsi="Arial" w:cs="Arial"/>
          <w:color w:val="000000"/>
        </w:rPr>
        <w:t>The court held that t</w:t>
      </w:r>
      <w:r w:rsidR="00E64227">
        <w:rPr>
          <w:rFonts w:ascii="Arial" w:hAnsi="Arial" w:cs="Arial"/>
          <w:color w:val="000000"/>
        </w:rPr>
        <w:t xml:space="preserve">he </w:t>
      </w:r>
      <w:r w:rsidR="002371D0">
        <w:rPr>
          <w:rFonts w:ascii="Arial" w:hAnsi="Arial" w:cs="Arial"/>
          <w:color w:val="000000"/>
        </w:rPr>
        <w:t xml:space="preserve">acts were carried out </w:t>
      </w:r>
      <w:r w:rsidR="00E64227">
        <w:rPr>
          <w:rFonts w:ascii="Arial" w:hAnsi="Arial" w:cs="Arial"/>
          <w:color w:val="000000"/>
        </w:rPr>
        <w:t xml:space="preserve">without any </w:t>
      </w:r>
      <w:r w:rsidR="00EE4E98">
        <w:rPr>
          <w:rFonts w:ascii="Arial" w:hAnsi="Arial" w:cs="Arial"/>
          <w:color w:val="000000"/>
        </w:rPr>
        <w:t>c</w:t>
      </w:r>
      <w:r w:rsidR="00A4246D">
        <w:rPr>
          <w:rFonts w:ascii="Arial" w:hAnsi="Arial" w:cs="Arial"/>
          <w:color w:val="000000"/>
        </w:rPr>
        <w:t>ourt order authorising the ejectment</w:t>
      </w:r>
      <w:r w:rsidR="00624FF3">
        <w:rPr>
          <w:rFonts w:ascii="Arial" w:hAnsi="Arial" w:cs="Arial"/>
          <w:color w:val="000000"/>
        </w:rPr>
        <w:t xml:space="preserve"> and that </w:t>
      </w:r>
      <w:r w:rsidR="00984405">
        <w:rPr>
          <w:rFonts w:ascii="Arial" w:hAnsi="Arial" w:cs="Arial"/>
          <w:color w:val="000000"/>
        </w:rPr>
        <w:t xml:space="preserve">Sikhova </w:t>
      </w:r>
      <w:r w:rsidR="00624FF3">
        <w:rPr>
          <w:rFonts w:ascii="Arial" w:hAnsi="Arial" w:cs="Arial"/>
          <w:color w:val="000000"/>
        </w:rPr>
        <w:t xml:space="preserve">had </w:t>
      </w:r>
      <w:r w:rsidR="00984405">
        <w:rPr>
          <w:rFonts w:ascii="Arial" w:hAnsi="Arial" w:cs="Arial"/>
          <w:color w:val="000000"/>
        </w:rPr>
        <w:t xml:space="preserve">never consented to vacating the farm. </w:t>
      </w:r>
      <w:r w:rsidR="002371D0">
        <w:rPr>
          <w:rFonts w:ascii="Arial" w:hAnsi="Arial" w:cs="Arial"/>
          <w:color w:val="000000"/>
        </w:rPr>
        <w:t>Accordingly</w:t>
      </w:r>
      <w:r w:rsidR="00984405">
        <w:rPr>
          <w:rFonts w:ascii="Arial" w:hAnsi="Arial" w:cs="Arial"/>
          <w:color w:val="000000"/>
        </w:rPr>
        <w:t xml:space="preserve">, so </w:t>
      </w:r>
      <w:r w:rsidR="008E05CD">
        <w:rPr>
          <w:rFonts w:ascii="Arial" w:hAnsi="Arial" w:cs="Arial"/>
          <w:color w:val="000000"/>
        </w:rPr>
        <w:t xml:space="preserve">the </w:t>
      </w:r>
      <w:r w:rsidR="00984405">
        <w:rPr>
          <w:rFonts w:ascii="Arial" w:hAnsi="Arial" w:cs="Arial"/>
          <w:color w:val="000000"/>
        </w:rPr>
        <w:t xml:space="preserve">court reasoned, the denial of access amounted to wrongful dispossession of the farm. </w:t>
      </w:r>
      <w:r w:rsidR="00904E6E">
        <w:rPr>
          <w:rFonts w:ascii="Arial" w:hAnsi="Arial" w:cs="Arial"/>
          <w:color w:val="000000"/>
        </w:rPr>
        <w:t xml:space="preserve">It </w:t>
      </w:r>
      <w:r w:rsidR="006A4792">
        <w:rPr>
          <w:rFonts w:ascii="Arial" w:hAnsi="Arial" w:cs="Arial"/>
          <w:color w:val="000000"/>
        </w:rPr>
        <w:t xml:space="preserve">rejected the appellant’s submission that Sikhova and Hard Rock had abandoned the farm as speculative and </w:t>
      </w:r>
      <w:r w:rsidR="006A79F6">
        <w:rPr>
          <w:rFonts w:ascii="Arial" w:hAnsi="Arial" w:cs="Arial"/>
          <w:color w:val="000000"/>
        </w:rPr>
        <w:t>unsustainable.</w:t>
      </w:r>
      <w:r w:rsidR="00673972">
        <w:rPr>
          <w:rFonts w:ascii="Arial" w:hAnsi="Arial" w:cs="Arial"/>
          <w:color w:val="000000"/>
        </w:rPr>
        <w:t xml:space="preserve"> </w:t>
      </w:r>
      <w:r w:rsidR="0001387A">
        <w:rPr>
          <w:rFonts w:ascii="Arial" w:hAnsi="Arial" w:cs="Arial"/>
          <w:color w:val="000000"/>
        </w:rPr>
        <w:t xml:space="preserve"> </w:t>
      </w:r>
    </w:p>
    <w:p w:rsidR="00013F68" w:rsidRDefault="00013F68" w:rsidP="002032F8">
      <w:pPr>
        <w:tabs>
          <w:tab w:val="left" w:pos="567"/>
        </w:tabs>
        <w:spacing w:line="360" w:lineRule="auto"/>
        <w:ind w:left="562" w:hanging="562"/>
        <w:jc w:val="both"/>
        <w:rPr>
          <w:rFonts w:ascii="Arial" w:hAnsi="Arial" w:cs="Arial"/>
        </w:rPr>
      </w:pPr>
      <w:r w:rsidRPr="00013F68">
        <w:rPr>
          <w:rFonts w:ascii="Arial" w:hAnsi="Arial" w:cs="Arial"/>
          <w:color w:val="000000"/>
        </w:rPr>
        <w:t>[</w:t>
      </w:r>
      <w:r w:rsidR="00624FF3">
        <w:rPr>
          <w:rFonts w:ascii="Arial" w:hAnsi="Arial" w:cs="Arial"/>
          <w:color w:val="000000"/>
        </w:rPr>
        <w:t>20</w:t>
      </w:r>
      <w:r w:rsidRPr="00013F68">
        <w:rPr>
          <w:rFonts w:ascii="Arial" w:hAnsi="Arial" w:cs="Arial"/>
          <w:color w:val="000000"/>
        </w:rPr>
        <w:t>]</w:t>
      </w:r>
      <w:r w:rsidRPr="00013F68">
        <w:rPr>
          <w:rFonts w:ascii="Arial" w:hAnsi="Arial" w:cs="Arial"/>
          <w:color w:val="000000"/>
        </w:rPr>
        <w:tab/>
        <w:t xml:space="preserve">As </w:t>
      </w:r>
      <w:r w:rsidR="009D008E">
        <w:rPr>
          <w:rFonts w:ascii="Arial" w:hAnsi="Arial" w:cs="Arial"/>
          <w:color w:val="000000"/>
        </w:rPr>
        <w:t xml:space="preserve">regards </w:t>
      </w:r>
      <w:r w:rsidRPr="00013F68">
        <w:rPr>
          <w:rFonts w:ascii="Arial" w:hAnsi="Arial" w:cs="Arial"/>
          <w:color w:val="000000"/>
        </w:rPr>
        <w:t>Dulostyle</w:t>
      </w:r>
      <w:r w:rsidR="00984405">
        <w:rPr>
          <w:rFonts w:ascii="Arial" w:hAnsi="Arial" w:cs="Arial"/>
          <w:color w:val="000000"/>
        </w:rPr>
        <w:t>,</w:t>
      </w:r>
      <w:r w:rsidRPr="00013F68">
        <w:rPr>
          <w:rFonts w:ascii="Arial" w:hAnsi="Arial" w:cs="Arial"/>
          <w:color w:val="000000"/>
        </w:rPr>
        <w:t xml:space="preserve"> the court a quo </w:t>
      </w:r>
      <w:r>
        <w:rPr>
          <w:rFonts w:ascii="Arial" w:hAnsi="Arial" w:cs="Arial"/>
        </w:rPr>
        <w:t>held</w:t>
      </w:r>
      <w:r w:rsidR="00984405">
        <w:rPr>
          <w:rFonts w:ascii="Arial" w:hAnsi="Arial" w:cs="Arial"/>
        </w:rPr>
        <w:t>,</w:t>
      </w:r>
      <w:r>
        <w:rPr>
          <w:rFonts w:ascii="Arial" w:hAnsi="Arial" w:cs="Arial"/>
        </w:rPr>
        <w:t xml:space="preserve"> </w:t>
      </w:r>
      <w:r w:rsidR="0084041E">
        <w:rPr>
          <w:rFonts w:ascii="Arial" w:hAnsi="Arial" w:cs="Arial"/>
        </w:rPr>
        <w:t xml:space="preserve">that </w:t>
      </w:r>
      <w:r>
        <w:rPr>
          <w:rFonts w:ascii="Arial" w:hAnsi="Arial" w:cs="Arial"/>
        </w:rPr>
        <w:t xml:space="preserve">it “gained possession of the mining area based on a “new joint venture” between [itself] and [Lore] with the permission and </w:t>
      </w:r>
      <w:r w:rsidR="00AE6FBE">
        <w:rPr>
          <w:rFonts w:ascii="Arial" w:hAnsi="Arial" w:cs="Arial"/>
        </w:rPr>
        <w:t xml:space="preserve">authority </w:t>
      </w:r>
      <w:r>
        <w:rPr>
          <w:rFonts w:ascii="Arial" w:hAnsi="Arial" w:cs="Arial"/>
        </w:rPr>
        <w:t>of [QCK]</w:t>
      </w:r>
      <w:r w:rsidR="00CE5F40">
        <w:rPr>
          <w:rFonts w:ascii="Arial" w:hAnsi="Arial" w:cs="Arial"/>
        </w:rPr>
        <w:t xml:space="preserve"> . . .</w:t>
      </w:r>
      <w:r>
        <w:rPr>
          <w:rFonts w:ascii="Arial" w:hAnsi="Arial" w:cs="Arial"/>
        </w:rPr>
        <w:t xml:space="preserve"> [it] literally [stepped] in and [gained] the benefit of the spoils”. The bona fides of Dulostyle</w:t>
      </w:r>
      <w:r w:rsidR="00AE6FBE">
        <w:rPr>
          <w:rFonts w:ascii="Arial" w:hAnsi="Arial" w:cs="Arial"/>
        </w:rPr>
        <w:t>’</w:t>
      </w:r>
      <w:r>
        <w:rPr>
          <w:rFonts w:ascii="Arial" w:hAnsi="Arial" w:cs="Arial"/>
        </w:rPr>
        <w:t>s occupation of the prospecting site</w:t>
      </w:r>
      <w:r w:rsidR="007C7484">
        <w:rPr>
          <w:rFonts w:ascii="Arial" w:hAnsi="Arial" w:cs="Arial"/>
        </w:rPr>
        <w:t>,</w:t>
      </w:r>
      <w:r>
        <w:rPr>
          <w:rFonts w:ascii="Arial" w:hAnsi="Arial" w:cs="Arial"/>
        </w:rPr>
        <w:t xml:space="preserve"> it held</w:t>
      </w:r>
      <w:r w:rsidR="007C7484">
        <w:rPr>
          <w:rFonts w:ascii="Arial" w:hAnsi="Arial" w:cs="Arial"/>
        </w:rPr>
        <w:t>, were</w:t>
      </w:r>
      <w:r>
        <w:rPr>
          <w:rFonts w:ascii="Arial" w:hAnsi="Arial" w:cs="Arial"/>
        </w:rPr>
        <w:t xml:space="preserve"> questionable</w:t>
      </w:r>
      <w:r w:rsidR="00AE6FBE">
        <w:rPr>
          <w:rFonts w:ascii="Arial" w:hAnsi="Arial" w:cs="Arial"/>
        </w:rPr>
        <w:t>.</w:t>
      </w:r>
      <w:r>
        <w:rPr>
          <w:rFonts w:ascii="Arial" w:hAnsi="Arial" w:cs="Arial"/>
        </w:rPr>
        <w:t xml:space="preserve"> </w:t>
      </w:r>
      <w:r w:rsidR="00172203">
        <w:rPr>
          <w:rFonts w:ascii="Arial" w:hAnsi="Arial" w:cs="Arial"/>
        </w:rPr>
        <w:t>It was o</w:t>
      </w:r>
      <w:r w:rsidR="00C626B8">
        <w:rPr>
          <w:rFonts w:ascii="Arial" w:hAnsi="Arial" w:cs="Arial"/>
        </w:rPr>
        <w:t xml:space="preserve">n the aforesaid bases that the court a quo granted the spoliation order against QCK and Dulostyle. </w:t>
      </w:r>
    </w:p>
    <w:p w:rsidR="003A286B" w:rsidRDefault="001E0435" w:rsidP="002032F8">
      <w:pPr>
        <w:tabs>
          <w:tab w:val="left" w:pos="567"/>
        </w:tabs>
        <w:spacing w:line="360" w:lineRule="auto"/>
        <w:ind w:left="562" w:hanging="562"/>
        <w:jc w:val="both"/>
        <w:rPr>
          <w:rFonts w:ascii="Arial" w:hAnsi="Arial" w:cs="Arial"/>
          <w:color w:val="000000"/>
        </w:rPr>
      </w:pPr>
      <w:r w:rsidRPr="001E0435">
        <w:rPr>
          <w:rFonts w:ascii="Arial" w:hAnsi="Arial" w:cs="Arial"/>
          <w:color w:val="000000"/>
        </w:rPr>
        <w:t>[</w:t>
      </w:r>
      <w:r w:rsidR="00B3738C">
        <w:rPr>
          <w:rFonts w:ascii="Arial" w:hAnsi="Arial" w:cs="Arial"/>
          <w:color w:val="000000"/>
        </w:rPr>
        <w:t>2</w:t>
      </w:r>
      <w:r w:rsidR="00624FF3">
        <w:rPr>
          <w:rFonts w:ascii="Arial" w:hAnsi="Arial" w:cs="Arial"/>
          <w:color w:val="000000"/>
        </w:rPr>
        <w:t>1</w:t>
      </w:r>
      <w:r w:rsidRPr="001E0435">
        <w:rPr>
          <w:rFonts w:ascii="Arial" w:hAnsi="Arial" w:cs="Arial"/>
          <w:color w:val="000000"/>
        </w:rPr>
        <w:t>]</w:t>
      </w:r>
      <w:r>
        <w:rPr>
          <w:rFonts w:ascii="Arial" w:hAnsi="Arial" w:cs="Arial"/>
          <w:color w:val="000000"/>
        </w:rPr>
        <w:tab/>
      </w:r>
      <w:r w:rsidR="00423C9B">
        <w:rPr>
          <w:rFonts w:ascii="Arial" w:hAnsi="Arial" w:cs="Arial"/>
          <w:color w:val="000000"/>
        </w:rPr>
        <w:t xml:space="preserve">Turning its attention </w:t>
      </w:r>
      <w:r>
        <w:rPr>
          <w:rFonts w:ascii="Arial" w:hAnsi="Arial" w:cs="Arial"/>
          <w:color w:val="000000"/>
        </w:rPr>
        <w:t>to the appellant’s application to strike out the whole of the replying affidavit or the greater part of its paragraphs th</w:t>
      </w:r>
      <w:r w:rsidR="00BF4BBA">
        <w:rPr>
          <w:rFonts w:ascii="Arial" w:hAnsi="Arial" w:cs="Arial"/>
          <w:color w:val="000000"/>
        </w:rPr>
        <w:t xml:space="preserve">at </w:t>
      </w:r>
      <w:r>
        <w:rPr>
          <w:rFonts w:ascii="Arial" w:hAnsi="Arial" w:cs="Arial"/>
          <w:color w:val="000000"/>
        </w:rPr>
        <w:t xml:space="preserve">court </w:t>
      </w:r>
      <w:r w:rsidR="00BF4BBA">
        <w:rPr>
          <w:rFonts w:ascii="Arial" w:hAnsi="Arial" w:cs="Arial"/>
          <w:color w:val="000000"/>
        </w:rPr>
        <w:t xml:space="preserve">reckoned </w:t>
      </w:r>
      <w:r w:rsidR="00CF6606">
        <w:rPr>
          <w:rFonts w:ascii="Arial" w:hAnsi="Arial" w:cs="Arial"/>
          <w:color w:val="000000"/>
        </w:rPr>
        <w:t>that the affidavit</w:t>
      </w:r>
      <w:r w:rsidR="00EC028F">
        <w:rPr>
          <w:rFonts w:ascii="Arial" w:hAnsi="Arial" w:cs="Arial"/>
          <w:color w:val="000000"/>
        </w:rPr>
        <w:t xml:space="preserve"> in issue</w:t>
      </w:r>
      <w:r w:rsidR="00CF6606">
        <w:rPr>
          <w:rFonts w:ascii="Arial" w:hAnsi="Arial" w:cs="Arial"/>
          <w:color w:val="000000"/>
        </w:rPr>
        <w:t xml:space="preserve"> </w:t>
      </w:r>
      <w:r w:rsidR="00BE4D35">
        <w:rPr>
          <w:rFonts w:ascii="Arial" w:hAnsi="Arial" w:cs="Arial"/>
          <w:color w:val="000000"/>
        </w:rPr>
        <w:t xml:space="preserve">had three parts. </w:t>
      </w:r>
      <w:r w:rsidR="00EC028F">
        <w:rPr>
          <w:rFonts w:ascii="Arial" w:hAnsi="Arial" w:cs="Arial"/>
          <w:color w:val="000000"/>
        </w:rPr>
        <w:t>T</w:t>
      </w:r>
      <w:r>
        <w:rPr>
          <w:rFonts w:ascii="Arial" w:hAnsi="Arial" w:cs="Arial"/>
          <w:color w:val="000000"/>
        </w:rPr>
        <w:t>he first part</w:t>
      </w:r>
      <w:r w:rsidR="00EC028F">
        <w:rPr>
          <w:rFonts w:ascii="Arial" w:hAnsi="Arial" w:cs="Arial"/>
          <w:color w:val="000000"/>
        </w:rPr>
        <w:t xml:space="preserve">, it found, </w:t>
      </w:r>
      <w:r>
        <w:rPr>
          <w:rFonts w:ascii="Arial" w:hAnsi="Arial" w:cs="Arial"/>
          <w:color w:val="000000"/>
        </w:rPr>
        <w:t xml:space="preserve">was a fair and necessary exposition of the status of the case </w:t>
      </w:r>
      <w:r w:rsidR="00E1243D">
        <w:rPr>
          <w:rFonts w:ascii="Arial" w:hAnsi="Arial" w:cs="Arial"/>
          <w:color w:val="000000"/>
        </w:rPr>
        <w:t xml:space="preserve">because </w:t>
      </w:r>
      <w:r>
        <w:rPr>
          <w:rFonts w:ascii="Arial" w:hAnsi="Arial" w:cs="Arial"/>
          <w:color w:val="000000"/>
        </w:rPr>
        <w:t xml:space="preserve">it outlined the chronology of </w:t>
      </w:r>
      <w:r w:rsidR="00102414">
        <w:rPr>
          <w:rFonts w:ascii="Arial" w:hAnsi="Arial" w:cs="Arial"/>
          <w:color w:val="000000"/>
        </w:rPr>
        <w:t xml:space="preserve">the </w:t>
      </w:r>
      <w:r>
        <w:rPr>
          <w:rFonts w:ascii="Arial" w:hAnsi="Arial" w:cs="Arial"/>
          <w:color w:val="000000"/>
        </w:rPr>
        <w:lastRenderedPageBreak/>
        <w:t xml:space="preserve">process followed from </w:t>
      </w:r>
      <w:r w:rsidR="00CE5F40">
        <w:rPr>
          <w:rFonts w:ascii="Arial" w:hAnsi="Arial" w:cs="Arial"/>
          <w:color w:val="000000"/>
        </w:rPr>
        <w:t xml:space="preserve">the </w:t>
      </w:r>
      <w:r>
        <w:rPr>
          <w:rFonts w:ascii="Arial" w:hAnsi="Arial" w:cs="Arial"/>
          <w:color w:val="000000"/>
        </w:rPr>
        <w:t>date of service of the application</w:t>
      </w:r>
      <w:r w:rsidR="00C826EF">
        <w:rPr>
          <w:rFonts w:ascii="Arial" w:hAnsi="Arial" w:cs="Arial"/>
          <w:color w:val="000000"/>
        </w:rPr>
        <w:t xml:space="preserve">. </w:t>
      </w:r>
      <w:r w:rsidR="00EC12FF">
        <w:rPr>
          <w:rFonts w:ascii="Arial" w:hAnsi="Arial" w:cs="Arial"/>
          <w:color w:val="000000"/>
        </w:rPr>
        <w:t xml:space="preserve">The </w:t>
      </w:r>
      <w:r w:rsidR="00E1243D">
        <w:rPr>
          <w:rFonts w:ascii="Arial" w:hAnsi="Arial" w:cs="Arial"/>
          <w:color w:val="000000"/>
        </w:rPr>
        <w:t>layout</w:t>
      </w:r>
      <w:r w:rsidR="00BE4D35">
        <w:rPr>
          <w:rFonts w:ascii="Arial" w:hAnsi="Arial" w:cs="Arial"/>
          <w:color w:val="000000"/>
        </w:rPr>
        <w:t xml:space="preserve"> a</w:t>
      </w:r>
      <w:r w:rsidR="00C826EF">
        <w:rPr>
          <w:rFonts w:ascii="Arial" w:hAnsi="Arial" w:cs="Arial"/>
          <w:color w:val="000000"/>
        </w:rPr>
        <w:t xml:space="preserve">ssisted </w:t>
      </w:r>
      <w:r w:rsidR="00BE4D35">
        <w:rPr>
          <w:rFonts w:ascii="Arial" w:hAnsi="Arial" w:cs="Arial"/>
          <w:color w:val="000000"/>
        </w:rPr>
        <w:t xml:space="preserve">the court </w:t>
      </w:r>
      <w:r w:rsidR="00C826EF">
        <w:rPr>
          <w:rFonts w:ascii="Arial" w:hAnsi="Arial" w:cs="Arial"/>
          <w:color w:val="000000"/>
        </w:rPr>
        <w:t>in revisiting the various allegations set out in the papers. The second part</w:t>
      </w:r>
      <w:r w:rsidR="00E1243D">
        <w:rPr>
          <w:rFonts w:ascii="Arial" w:hAnsi="Arial" w:cs="Arial"/>
          <w:color w:val="000000"/>
        </w:rPr>
        <w:t xml:space="preserve">, the court </w:t>
      </w:r>
      <w:r w:rsidR="002371D0">
        <w:rPr>
          <w:rFonts w:ascii="Arial" w:hAnsi="Arial" w:cs="Arial"/>
          <w:color w:val="000000"/>
        </w:rPr>
        <w:t>concluded</w:t>
      </w:r>
      <w:r w:rsidR="00E1243D">
        <w:rPr>
          <w:rFonts w:ascii="Arial" w:hAnsi="Arial" w:cs="Arial"/>
          <w:color w:val="000000"/>
        </w:rPr>
        <w:t xml:space="preserve">, </w:t>
      </w:r>
      <w:r w:rsidR="00C826EF">
        <w:rPr>
          <w:rFonts w:ascii="Arial" w:hAnsi="Arial" w:cs="Arial"/>
          <w:color w:val="000000"/>
        </w:rPr>
        <w:t xml:space="preserve">was necessary as it addressed the allegations made by QCK and Lore which were denials of </w:t>
      </w:r>
      <w:r w:rsidR="00BF4BBA">
        <w:rPr>
          <w:rFonts w:ascii="Arial" w:hAnsi="Arial" w:cs="Arial"/>
          <w:color w:val="000000"/>
        </w:rPr>
        <w:t xml:space="preserve">a </w:t>
      </w:r>
      <w:r w:rsidR="00C826EF">
        <w:rPr>
          <w:rFonts w:ascii="Arial" w:hAnsi="Arial" w:cs="Arial"/>
          <w:color w:val="000000"/>
        </w:rPr>
        <w:t>general and vague nature</w:t>
      </w:r>
      <w:r w:rsidR="00AB7AF2">
        <w:rPr>
          <w:rFonts w:ascii="Arial" w:hAnsi="Arial" w:cs="Arial"/>
          <w:color w:val="000000"/>
        </w:rPr>
        <w:t xml:space="preserve">. This, the court found helpful </w:t>
      </w:r>
      <w:r w:rsidR="00C826EF">
        <w:rPr>
          <w:rFonts w:ascii="Arial" w:hAnsi="Arial" w:cs="Arial"/>
          <w:color w:val="000000"/>
        </w:rPr>
        <w:t>in determining w</w:t>
      </w:r>
      <w:r w:rsidR="00BE4D35">
        <w:rPr>
          <w:rFonts w:ascii="Arial" w:hAnsi="Arial" w:cs="Arial"/>
          <w:color w:val="000000"/>
        </w:rPr>
        <w:t>h</w:t>
      </w:r>
      <w:r w:rsidR="00C826EF">
        <w:rPr>
          <w:rFonts w:ascii="Arial" w:hAnsi="Arial" w:cs="Arial"/>
          <w:color w:val="000000"/>
        </w:rPr>
        <w:t>ere the</w:t>
      </w:r>
      <w:r w:rsidR="00BE4D35">
        <w:rPr>
          <w:rFonts w:ascii="Arial" w:hAnsi="Arial" w:cs="Arial"/>
          <w:color w:val="000000"/>
        </w:rPr>
        <w:t xml:space="preserve"> balance</w:t>
      </w:r>
      <w:r w:rsidR="00852375">
        <w:rPr>
          <w:rFonts w:ascii="Arial" w:hAnsi="Arial" w:cs="Arial"/>
          <w:color w:val="000000"/>
        </w:rPr>
        <w:t xml:space="preserve"> of </w:t>
      </w:r>
      <w:r w:rsidR="00C826EF">
        <w:rPr>
          <w:rFonts w:ascii="Arial" w:hAnsi="Arial" w:cs="Arial"/>
          <w:color w:val="000000"/>
        </w:rPr>
        <w:t>probabilities l</w:t>
      </w:r>
      <w:r w:rsidR="00BE4D35">
        <w:rPr>
          <w:rFonts w:ascii="Arial" w:hAnsi="Arial" w:cs="Arial"/>
          <w:color w:val="000000"/>
        </w:rPr>
        <w:t>aid</w:t>
      </w:r>
      <w:r w:rsidR="00C826EF">
        <w:rPr>
          <w:rFonts w:ascii="Arial" w:hAnsi="Arial" w:cs="Arial"/>
          <w:color w:val="000000"/>
        </w:rPr>
        <w:t>.  The third part, albeit repetitive</w:t>
      </w:r>
      <w:r w:rsidR="002E72E5">
        <w:rPr>
          <w:rFonts w:ascii="Arial" w:hAnsi="Arial" w:cs="Arial"/>
          <w:color w:val="000000"/>
        </w:rPr>
        <w:t>,</w:t>
      </w:r>
      <w:r w:rsidR="00C826EF">
        <w:rPr>
          <w:rFonts w:ascii="Arial" w:hAnsi="Arial" w:cs="Arial"/>
          <w:color w:val="000000"/>
        </w:rPr>
        <w:t xml:space="preserve"> </w:t>
      </w:r>
      <w:r w:rsidR="00AB7AF2">
        <w:rPr>
          <w:rFonts w:ascii="Arial" w:hAnsi="Arial" w:cs="Arial"/>
          <w:color w:val="000000"/>
        </w:rPr>
        <w:t xml:space="preserve">the court held </w:t>
      </w:r>
      <w:r w:rsidR="00C826EF">
        <w:rPr>
          <w:rFonts w:ascii="Arial" w:hAnsi="Arial" w:cs="Arial"/>
          <w:color w:val="000000"/>
        </w:rPr>
        <w:t>were</w:t>
      </w:r>
      <w:r w:rsidR="004B7CB1">
        <w:rPr>
          <w:rFonts w:ascii="Arial" w:hAnsi="Arial" w:cs="Arial"/>
          <w:color w:val="000000"/>
        </w:rPr>
        <w:t xml:space="preserve"> responses to </w:t>
      </w:r>
      <w:r w:rsidR="00BF4BBA">
        <w:rPr>
          <w:rFonts w:ascii="Arial" w:hAnsi="Arial" w:cs="Arial"/>
          <w:color w:val="000000"/>
        </w:rPr>
        <w:t xml:space="preserve">the </w:t>
      </w:r>
      <w:r w:rsidR="004B7CB1">
        <w:rPr>
          <w:rFonts w:ascii="Arial" w:hAnsi="Arial" w:cs="Arial"/>
          <w:color w:val="000000"/>
        </w:rPr>
        <w:t xml:space="preserve">answering affidavit and had been within </w:t>
      </w:r>
      <w:r w:rsidR="00EC028F">
        <w:rPr>
          <w:rFonts w:ascii="Arial" w:hAnsi="Arial" w:cs="Arial"/>
          <w:color w:val="000000"/>
        </w:rPr>
        <w:t>permissible</w:t>
      </w:r>
      <w:r w:rsidR="004B7CB1">
        <w:rPr>
          <w:rFonts w:ascii="Arial" w:hAnsi="Arial" w:cs="Arial"/>
          <w:color w:val="000000"/>
        </w:rPr>
        <w:t xml:space="preserve"> limits. </w:t>
      </w:r>
    </w:p>
    <w:p w:rsidR="001E0435" w:rsidRDefault="003A286B" w:rsidP="002032F8">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2</w:t>
      </w:r>
      <w:r w:rsidR="00624FF3">
        <w:rPr>
          <w:rFonts w:ascii="Arial" w:hAnsi="Arial" w:cs="Arial"/>
          <w:color w:val="000000"/>
        </w:rPr>
        <w:t>2</w:t>
      </w:r>
      <w:r>
        <w:rPr>
          <w:rFonts w:ascii="Arial" w:hAnsi="Arial" w:cs="Arial"/>
          <w:color w:val="000000"/>
        </w:rPr>
        <w:t>]</w:t>
      </w:r>
      <w:r>
        <w:rPr>
          <w:rFonts w:ascii="Arial" w:hAnsi="Arial" w:cs="Arial"/>
          <w:color w:val="000000"/>
        </w:rPr>
        <w:tab/>
      </w:r>
      <w:r w:rsidR="002E72E5">
        <w:rPr>
          <w:rFonts w:ascii="Arial" w:hAnsi="Arial" w:cs="Arial"/>
          <w:color w:val="000000"/>
        </w:rPr>
        <w:t xml:space="preserve">The court </w:t>
      </w:r>
      <w:r>
        <w:rPr>
          <w:rFonts w:ascii="Arial" w:hAnsi="Arial" w:cs="Arial"/>
          <w:color w:val="000000"/>
        </w:rPr>
        <w:t xml:space="preserve">a quo </w:t>
      </w:r>
      <w:r w:rsidR="00AB7AF2">
        <w:rPr>
          <w:rFonts w:ascii="Arial" w:hAnsi="Arial" w:cs="Arial"/>
          <w:color w:val="000000"/>
        </w:rPr>
        <w:t xml:space="preserve">went on to hold </w:t>
      </w:r>
      <w:r w:rsidR="002E72E5">
        <w:rPr>
          <w:rFonts w:ascii="Arial" w:hAnsi="Arial" w:cs="Arial"/>
          <w:color w:val="000000"/>
        </w:rPr>
        <w:t>that t</w:t>
      </w:r>
      <w:r w:rsidR="004B7CB1">
        <w:rPr>
          <w:rFonts w:ascii="Arial" w:hAnsi="Arial" w:cs="Arial"/>
          <w:color w:val="000000"/>
        </w:rPr>
        <w:t xml:space="preserve">he </w:t>
      </w:r>
      <w:r w:rsidR="004E3D4D">
        <w:rPr>
          <w:rFonts w:ascii="Arial" w:hAnsi="Arial" w:cs="Arial"/>
          <w:color w:val="000000"/>
        </w:rPr>
        <w:t xml:space="preserve">averments in the </w:t>
      </w:r>
      <w:r w:rsidR="004B7CB1">
        <w:rPr>
          <w:rFonts w:ascii="Arial" w:hAnsi="Arial" w:cs="Arial"/>
          <w:color w:val="000000"/>
        </w:rPr>
        <w:t xml:space="preserve">replying affidavit contradicted many of the allegations </w:t>
      </w:r>
      <w:r w:rsidR="002E72E5">
        <w:rPr>
          <w:rFonts w:ascii="Arial" w:hAnsi="Arial" w:cs="Arial"/>
          <w:color w:val="000000"/>
        </w:rPr>
        <w:t xml:space="preserve">contained </w:t>
      </w:r>
      <w:r w:rsidR="004B7CB1">
        <w:rPr>
          <w:rFonts w:ascii="Arial" w:hAnsi="Arial" w:cs="Arial"/>
          <w:color w:val="000000"/>
        </w:rPr>
        <w:t>in the</w:t>
      </w:r>
      <w:r w:rsidR="002E72E5">
        <w:rPr>
          <w:rFonts w:ascii="Arial" w:hAnsi="Arial" w:cs="Arial"/>
          <w:color w:val="000000"/>
        </w:rPr>
        <w:t xml:space="preserve"> </w:t>
      </w:r>
      <w:r w:rsidR="00EC028F">
        <w:rPr>
          <w:rFonts w:ascii="Arial" w:hAnsi="Arial" w:cs="Arial"/>
          <w:color w:val="000000"/>
        </w:rPr>
        <w:t>QCK and Lore</w:t>
      </w:r>
      <w:r w:rsidR="002E72E5">
        <w:rPr>
          <w:rFonts w:ascii="Arial" w:hAnsi="Arial" w:cs="Arial"/>
          <w:color w:val="000000"/>
        </w:rPr>
        <w:t>’</w:t>
      </w:r>
      <w:r w:rsidR="00EC028F">
        <w:rPr>
          <w:rFonts w:ascii="Arial" w:hAnsi="Arial" w:cs="Arial"/>
          <w:color w:val="000000"/>
        </w:rPr>
        <w:t>s</w:t>
      </w:r>
      <w:r w:rsidR="004B7CB1">
        <w:rPr>
          <w:rFonts w:ascii="Arial" w:hAnsi="Arial" w:cs="Arial"/>
          <w:color w:val="000000"/>
        </w:rPr>
        <w:t xml:space="preserve"> answering affidavit</w:t>
      </w:r>
      <w:r w:rsidR="00EC028F">
        <w:rPr>
          <w:rFonts w:ascii="Arial" w:hAnsi="Arial" w:cs="Arial"/>
          <w:color w:val="000000"/>
        </w:rPr>
        <w:t xml:space="preserve"> and </w:t>
      </w:r>
      <w:r w:rsidR="002371D0">
        <w:rPr>
          <w:rFonts w:ascii="Arial" w:hAnsi="Arial" w:cs="Arial"/>
          <w:color w:val="000000"/>
        </w:rPr>
        <w:t xml:space="preserve">was of the view </w:t>
      </w:r>
      <w:r>
        <w:rPr>
          <w:rFonts w:ascii="Arial" w:hAnsi="Arial" w:cs="Arial"/>
          <w:color w:val="000000"/>
        </w:rPr>
        <w:t xml:space="preserve">that </w:t>
      </w:r>
      <w:r w:rsidR="00D341CC">
        <w:rPr>
          <w:rFonts w:ascii="Arial" w:hAnsi="Arial" w:cs="Arial"/>
          <w:color w:val="000000"/>
        </w:rPr>
        <w:t xml:space="preserve">QCK and Lore </w:t>
      </w:r>
      <w:r w:rsidR="004B7CB1">
        <w:rPr>
          <w:rFonts w:ascii="Arial" w:hAnsi="Arial" w:cs="Arial"/>
          <w:color w:val="000000"/>
        </w:rPr>
        <w:t xml:space="preserve">ought not to have complained of prejudice in the circumstances where their </w:t>
      </w:r>
      <w:r w:rsidR="00D341CC">
        <w:rPr>
          <w:rFonts w:ascii="Arial" w:hAnsi="Arial" w:cs="Arial"/>
          <w:color w:val="000000"/>
        </w:rPr>
        <w:t>assertions</w:t>
      </w:r>
      <w:r w:rsidR="004B7CB1">
        <w:rPr>
          <w:rFonts w:ascii="Arial" w:hAnsi="Arial" w:cs="Arial"/>
          <w:color w:val="000000"/>
        </w:rPr>
        <w:t xml:space="preserve"> were corrected and shown to have been </w:t>
      </w:r>
      <w:r w:rsidR="006317A2">
        <w:rPr>
          <w:rFonts w:ascii="Arial" w:hAnsi="Arial" w:cs="Arial"/>
          <w:color w:val="000000"/>
        </w:rPr>
        <w:t xml:space="preserve">untenable. </w:t>
      </w:r>
      <w:r w:rsidR="002E72E5">
        <w:rPr>
          <w:rFonts w:ascii="Arial" w:hAnsi="Arial" w:cs="Arial"/>
          <w:color w:val="000000"/>
        </w:rPr>
        <w:t>Accordingly</w:t>
      </w:r>
      <w:r w:rsidR="0049283D">
        <w:rPr>
          <w:rFonts w:ascii="Arial" w:hAnsi="Arial" w:cs="Arial"/>
          <w:color w:val="000000"/>
        </w:rPr>
        <w:t>,</w:t>
      </w:r>
      <w:r w:rsidR="002E72E5">
        <w:rPr>
          <w:rFonts w:ascii="Arial" w:hAnsi="Arial" w:cs="Arial"/>
          <w:color w:val="000000"/>
        </w:rPr>
        <w:t xml:space="preserve"> </w:t>
      </w:r>
      <w:r w:rsidR="00E0487E">
        <w:rPr>
          <w:rFonts w:ascii="Arial" w:hAnsi="Arial" w:cs="Arial"/>
          <w:color w:val="000000"/>
        </w:rPr>
        <w:t xml:space="preserve">the court </w:t>
      </w:r>
      <w:r w:rsidR="006317A2">
        <w:rPr>
          <w:rFonts w:ascii="Arial" w:hAnsi="Arial" w:cs="Arial"/>
          <w:color w:val="000000"/>
        </w:rPr>
        <w:t>dismissed the application to strike out with costs.</w:t>
      </w:r>
    </w:p>
    <w:p w:rsidR="006E0349" w:rsidRDefault="006E0349" w:rsidP="002032F8">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2</w:t>
      </w:r>
      <w:r w:rsidR="001617CA">
        <w:rPr>
          <w:rFonts w:ascii="Arial" w:hAnsi="Arial" w:cs="Arial"/>
          <w:color w:val="000000"/>
        </w:rPr>
        <w:t>3</w:t>
      </w:r>
      <w:r>
        <w:rPr>
          <w:rFonts w:ascii="Arial" w:hAnsi="Arial" w:cs="Arial"/>
          <w:color w:val="000000"/>
        </w:rPr>
        <w:t>]</w:t>
      </w:r>
      <w:r>
        <w:rPr>
          <w:rFonts w:ascii="Arial" w:hAnsi="Arial" w:cs="Arial"/>
          <w:color w:val="000000"/>
        </w:rPr>
        <w:tab/>
      </w:r>
      <w:r w:rsidR="00046B38">
        <w:rPr>
          <w:rFonts w:ascii="Arial" w:hAnsi="Arial" w:cs="Arial"/>
          <w:color w:val="000000"/>
        </w:rPr>
        <w:t xml:space="preserve">Finally, </w:t>
      </w:r>
      <w:r w:rsidR="00671D2D">
        <w:rPr>
          <w:rFonts w:ascii="Arial" w:hAnsi="Arial" w:cs="Arial"/>
          <w:color w:val="000000"/>
        </w:rPr>
        <w:t xml:space="preserve">the court a quo awarded costs </w:t>
      </w:r>
      <w:r w:rsidR="005428A3">
        <w:rPr>
          <w:rFonts w:ascii="Arial" w:hAnsi="Arial" w:cs="Arial"/>
          <w:color w:val="000000"/>
        </w:rPr>
        <w:t xml:space="preserve">to Sikhova </w:t>
      </w:r>
      <w:r w:rsidR="00D341CC">
        <w:rPr>
          <w:rFonts w:ascii="Arial" w:hAnsi="Arial" w:cs="Arial"/>
          <w:color w:val="000000"/>
        </w:rPr>
        <w:t xml:space="preserve">for </w:t>
      </w:r>
      <w:r w:rsidR="005428A3">
        <w:rPr>
          <w:rFonts w:ascii="Arial" w:hAnsi="Arial" w:cs="Arial"/>
          <w:color w:val="000000"/>
        </w:rPr>
        <w:t xml:space="preserve">its success with the spoliatory relief. In respect of the aborted declaratory relief </w:t>
      </w:r>
      <w:r w:rsidR="00046B38">
        <w:rPr>
          <w:rFonts w:ascii="Arial" w:hAnsi="Arial" w:cs="Arial"/>
          <w:color w:val="000000"/>
        </w:rPr>
        <w:t xml:space="preserve">the court </w:t>
      </w:r>
      <w:r w:rsidR="00C928EE">
        <w:rPr>
          <w:rFonts w:ascii="Arial" w:hAnsi="Arial" w:cs="Arial"/>
          <w:color w:val="000000"/>
        </w:rPr>
        <w:t xml:space="preserve">ruled </w:t>
      </w:r>
      <w:r w:rsidR="001F4A4B">
        <w:rPr>
          <w:rFonts w:ascii="Arial" w:hAnsi="Arial" w:cs="Arial"/>
          <w:color w:val="000000"/>
        </w:rPr>
        <w:t xml:space="preserve">that </w:t>
      </w:r>
      <w:r>
        <w:rPr>
          <w:rFonts w:ascii="Arial" w:hAnsi="Arial" w:cs="Arial"/>
          <w:color w:val="000000"/>
        </w:rPr>
        <w:t xml:space="preserve">Sikhova and Hard Rock </w:t>
      </w:r>
      <w:r w:rsidR="005428A3">
        <w:rPr>
          <w:rFonts w:ascii="Arial" w:hAnsi="Arial" w:cs="Arial"/>
          <w:color w:val="000000"/>
        </w:rPr>
        <w:t xml:space="preserve">bear </w:t>
      </w:r>
      <w:r>
        <w:rPr>
          <w:rFonts w:ascii="Arial" w:hAnsi="Arial" w:cs="Arial"/>
          <w:color w:val="000000"/>
        </w:rPr>
        <w:t>Dulostyle’s costs</w:t>
      </w:r>
      <w:r w:rsidR="00046B38">
        <w:rPr>
          <w:rFonts w:ascii="Arial" w:hAnsi="Arial" w:cs="Arial"/>
          <w:color w:val="000000"/>
        </w:rPr>
        <w:t>. It made no similar order in favour of Lore</w:t>
      </w:r>
      <w:r w:rsidR="00C928EE">
        <w:rPr>
          <w:rFonts w:ascii="Arial" w:hAnsi="Arial" w:cs="Arial"/>
          <w:color w:val="000000"/>
        </w:rPr>
        <w:t xml:space="preserve">, which had </w:t>
      </w:r>
      <w:r w:rsidR="005D7D86">
        <w:rPr>
          <w:rFonts w:ascii="Arial" w:hAnsi="Arial" w:cs="Arial"/>
          <w:color w:val="000000"/>
        </w:rPr>
        <w:t xml:space="preserve">also </w:t>
      </w:r>
      <w:r w:rsidR="00C928EE">
        <w:rPr>
          <w:rFonts w:ascii="Arial" w:hAnsi="Arial" w:cs="Arial"/>
          <w:color w:val="000000"/>
        </w:rPr>
        <w:t>opposed the declarator</w:t>
      </w:r>
      <w:r w:rsidR="005B0B85">
        <w:rPr>
          <w:rFonts w:ascii="Arial" w:hAnsi="Arial" w:cs="Arial"/>
          <w:color w:val="000000"/>
        </w:rPr>
        <w:t xml:space="preserve">. </w:t>
      </w:r>
      <w:r w:rsidR="00046B38">
        <w:rPr>
          <w:rFonts w:ascii="Arial" w:hAnsi="Arial" w:cs="Arial"/>
          <w:color w:val="000000"/>
        </w:rPr>
        <w:t xml:space="preserve">The </w:t>
      </w:r>
      <w:r w:rsidR="005428A3">
        <w:rPr>
          <w:rFonts w:ascii="Arial" w:hAnsi="Arial" w:cs="Arial"/>
          <w:color w:val="000000"/>
        </w:rPr>
        <w:t>c</w:t>
      </w:r>
      <w:r w:rsidR="00046B38">
        <w:rPr>
          <w:rFonts w:ascii="Arial" w:hAnsi="Arial" w:cs="Arial"/>
          <w:color w:val="000000"/>
        </w:rPr>
        <w:t>ourt reason</w:t>
      </w:r>
      <w:r w:rsidR="00BF4BBA">
        <w:rPr>
          <w:rFonts w:ascii="Arial" w:hAnsi="Arial" w:cs="Arial"/>
          <w:color w:val="000000"/>
        </w:rPr>
        <w:t>ed</w:t>
      </w:r>
      <w:r w:rsidR="00046B38">
        <w:rPr>
          <w:rFonts w:ascii="Arial" w:hAnsi="Arial" w:cs="Arial"/>
          <w:color w:val="000000"/>
        </w:rPr>
        <w:t xml:space="preserve"> that Mr </w:t>
      </w:r>
      <w:r w:rsidR="006F5087">
        <w:rPr>
          <w:rFonts w:ascii="Arial" w:hAnsi="Arial" w:cs="Arial"/>
          <w:color w:val="000000"/>
        </w:rPr>
        <w:t xml:space="preserve">Jan </w:t>
      </w:r>
      <w:r w:rsidR="005B0B85">
        <w:rPr>
          <w:rFonts w:ascii="Arial" w:hAnsi="Arial" w:cs="Arial"/>
          <w:color w:val="000000"/>
        </w:rPr>
        <w:t>Erasmus</w:t>
      </w:r>
      <w:r w:rsidR="006F5087">
        <w:rPr>
          <w:rFonts w:ascii="Arial" w:hAnsi="Arial" w:cs="Arial"/>
          <w:color w:val="000000"/>
        </w:rPr>
        <w:t xml:space="preserve">, the sole member of Sikhova and the sole director of Hard Rock, </w:t>
      </w:r>
      <w:r w:rsidR="005B0B85">
        <w:rPr>
          <w:rFonts w:ascii="Arial" w:hAnsi="Arial" w:cs="Arial"/>
          <w:color w:val="000000"/>
        </w:rPr>
        <w:t xml:space="preserve">deposed to </w:t>
      </w:r>
      <w:r w:rsidR="00C928EE">
        <w:rPr>
          <w:rFonts w:ascii="Arial" w:hAnsi="Arial" w:cs="Arial"/>
          <w:color w:val="000000"/>
        </w:rPr>
        <w:t xml:space="preserve">the </w:t>
      </w:r>
      <w:r w:rsidR="005B0B85">
        <w:rPr>
          <w:rFonts w:ascii="Arial" w:hAnsi="Arial" w:cs="Arial"/>
          <w:color w:val="000000"/>
        </w:rPr>
        <w:t xml:space="preserve">founding papers on behalf of both </w:t>
      </w:r>
      <w:r w:rsidR="006F5087">
        <w:rPr>
          <w:rFonts w:ascii="Arial" w:hAnsi="Arial" w:cs="Arial"/>
          <w:color w:val="000000"/>
        </w:rPr>
        <w:t>entities</w:t>
      </w:r>
      <w:r w:rsidR="00BF4BBA">
        <w:rPr>
          <w:rFonts w:ascii="Arial" w:hAnsi="Arial" w:cs="Arial"/>
          <w:color w:val="000000"/>
        </w:rPr>
        <w:t xml:space="preserve"> and t</w:t>
      </w:r>
      <w:r w:rsidR="00C928EE">
        <w:rPr>
          <w:rFonts w:ascii="Arial" w:hAnsi="Arial" w:cs="Arial"/>
          <w:color w:val="000000"/>
        </w:rPr>
        <w:t xml:space="preserve">here </w:t>
      </w:r>
      <w:r w:rsidR="00BF4BBA">
        <w:rPr>
          <w:rFonts w:ascii="Arial" w:hAnsi="Arial" w:cs="Arial"/>
          <w:color w:val="000000"/>
        </w:rPr>
        <w:t xml:space="preserve">was </w:t>
      </w:r>
      <w:r w:rsidR="00C928EE">
        <w:rPr>
          <w:rFonts w:ascii="Arial" w:hAnsi="Arial" w:cs="Arial"/>
          <w:color w:val="000000"/>
        </w:rPr>
        <w:t>n</w:t>
      </w:r>
      <w:r w:rsidR="005B0B85">
        <w:rPr>
          <w:rFonts w:ascii="Arial" w:hAnsi="Arial" w:cs="Arial"/>
          <w:color w:val="000000"/>
        </w:rPr>
        <w:t>o one</w:t>
      </w:r>
      <w:r w:rsidR="00C928EE">
        <w:rPr>
          <w:rFonts w:ascii="Arial" w:hAnsi="Arial" w:cs="Arial"/>
          <w:color w:val="000000"/>
        </w:rPr>
        <w:t>,</w:t>
      </w:r>
      <w:r w:rsidR="005B0B85">
        <w:rPr>
          <w:rFonts w:ascii="Arial" w:hAnsi="Arial" w:cs="Arial"/>
          <w:color w:val="000000"/>
        </w:rPr>
        <w:t xml:space="preserve"> </w:t>
      </w:r>
      <w:r w:rsidR="006201D1">
        <w:rPr>
          <w:rFonts w:ascii="Arial" w:hAnsi="Arial" w:cs="Arial"/>
          <w:color w:val="000000"/>
        </w:rPr>
        <w:t xml:space="preserve">who </w:t>
      </w:r>
      <w:r w:rsidR="00C928EE">
        <w:rPr>
          <w:rFonts w:ascii="Arial" w:hAnsi="Arial" w:cs="Arial"/>
          <w:color w:val="000000"/>
        </w:rPr>
        <w:t xml:space="preserve">independently </w:t>
      </w:r>
      <w:r w:rsidR="005B0B85">
        <w:rPr>
          <w:rFonts w:ascii="Arial" w:hAnsi="Arial" w:cs="Arial"/>
          <w:color w:val="000000"/>
        </w:rPr>
        <w:t>deposed to an affidavit</w:t>
      </w:r>
      <w:r w:rsidR="00C928EE">
        <w:rPr>
          <w:rFonts w:ascii="Arial" w:hAnsi="Arial" w:cs="Arial"/>
          <w:color w:val="000000"/>
        </w:rPr>
        <w:t>,</w:t>
      </w:r>
      <w:r w:rsidR="005B0B85">
        <w:rPr>
          <w:rFonts w:ascii="Arial" w:hAnsi="Arial" w:cs="Arial"/>
          <w:color w:val="000000"/>
        </w:rPr>
        <w:t xml:space="preserve"> representing </w:t>
      </w:r>
      <w:r w:rsidR="001951B6">
        <w:rPr>
          <w:rFonts w:ascii="Arial" w:hAnsi="Arial" w:cs="Arial"/>
          <w:color w:val="000000"/>
        </w:rPr>
        <w:t>H</w:t>
      </w:r>
      <w:r w:rsidR="005B0B85">
        <w:rPr>
          <w:rFonts w:ascii="Arial" w:hAnsi="Arial" w:cs="Arial"/>
          <w:color w:val="000000"/>
        </w:rPr>
        <w:t xml:space="preserve">ard Rock. </w:t>
      </w:r>
      <w:r w:rsidR="003D366B">
        <w:rPr>
          <w:rFonts w:ascii="Arial" w:hAnsi="Arial" w:cs="Arial"/>
          <w:color w:val="000000"/>
        </w:rPr>
        <w:t xml:space="preserve">Insofar as </w:t>
      </w:r>
      <w:r w:rsidR="005B0B85">
        <w:rPr>
          <w:rFonts w:ascii="Arial" w:hAnsi="Arial" w:cs="Arial"/>
          <w:color w:val="000000"/>
        </w:rPr>
        <w:t>Hard Rock was incorporated around January 2020</w:t>
      </w:r>
      <w:r w:rsidR="003D366B">
        <w:rPr>
          <w:rFonts w:ascii="Arial" w:hAnsi="Arial" w:cs="Arial"/>
          <w:color w:val="000000"/>
        </w:rPr>
        <w:t xml:space="preserve">, the court </w:t>
      </w:r>
      <w:r w:rsidR="00437624">
        <w:rPr>
          <w:rFonts w:ascii="Arial" w:hAnsi="Arial" w:cs="Arial"/>
          <w:color w:val="000000"/>
        </w:rPr>
        <w:t xml:space="preserve">was of the view, </w:t>
      </w:r>
      <w:r w:rsidR="003D366B">
        <w:rPr>
          <w:rFonts w:ascii="Arial" w:hAnsi="Arial" w:cs="Arial"/>
          <w:color w:val="000000"/>
        </w:rPr>
        <w:t xml:space="preserve">it </w:t>
      </w:r>
      <w:r w:rsidR="005B0B85">
        <w:rPr>
          <w:rFonts w:ascii="Arial" w:hAnsi="Arial" w:cs="Arial"/>
          <w:color w:val="000000"/>
        </w:rPr>
        <w:t>could not be mulcted in costs</w:t>
      </w:r>
      <w:r w:rsidR="002C4938">
        <w:rPr>
          <w:rFonts w:ascii="Arial" w:hAnsi="Arial" w:cs="Arial"/>
          <w:color w:val="000000"/>
        </w:rPr>
        <w:t xml:space="preserve"> save </w:t>
      </w:r>
      <w:r w:rsidR="001617CA">
        <w:rPr>
          <w:rFonts w:ascii="Arial" w:hAnsi="Arial" w:cs="Arial"/>
          <w:color w:val="000000"/>
        </w:rPr>
        <w:t xml:space="preserve">for costs </w:t>
      </w:r>
      <w:r w:rsidR="002C4938">
        <w:rPr>
          <w:rFonts w:ascii="Arial" w:hAnsi="Arial" w:cs="Arial"/>
          <w:color w:val="000000"/>
        </w:rPr>
        <w:t>in respect of the abandoned declaratory relief</w:t>
      </w:r>
      <w:r w:rsidR="005B0B85">
        <w:rPr>
          <w:rFonts w:ascii="Arial" w:hAnsi="Arial" w:cs="Arial"/>
          <w:color w:val="000000"/>
        </w:rPr>
        <w:t xml:space="preserve">. </w:t>
      </w:r>
    </w:p>
    <w:p w:rsidR="00320875" w:rsidRPr="00EC6020" w:rsidRDefault="0049283D" w:rsidP="002032F8">
      <w:pPr>
        <w:tabs>
          <w:tab w:val="left" w:pos="567"/>
        </w:tabs>
        <w:spacing w:line="360" w:lineRule="auto"/>
        <w:ind w:left="562" w:hanging="562"/>
        <w:jc w:val="both"/>
        <w:rPr>
          <w:rFonts w:ascii="Arial" w:hAnsi="Arial" w:cs="Arial"/>
          <w:b/>
          <w:color w:val="000000"/>
        </w:rPr>
      </w:pPr>
      <w:r w:rsidRPr="00EC6020">
        <w:rPr>
          <w:rFonts w:ascii="Arial" w:hAnsi="Arial" w:cs="Arial"/>
          <w:b/>
          <w:color w:val="000000"/>
        </w:rPr>
        <w:t xml:space="preserve">Discussion on the </w:t>
      </w:r>
      <w:r w:rsidR="00320875" w:rsidRPr="00EC6020">
        <w:rPr>
          <w:rFonts w:ascii="Arial" w:hAnsi="Arial" w:cs="Arial"/>
          <w:b/>
          <w:color w:val="000000"/>
        </w:rPr>
        <w:t>application to strike-out</w:t>
      </w:r>
    </w:p>
    <w:p w:rsidR="00155322" w:rsidRDefault="00320875" w:rsidP="003A7AFE">
      <w:pPr>
        <w:tabs>
          <w:tab w:val="left" w:pos="567"/>
        </w:tabs>
        <w:spacing w:line="360" w:lineRule="auto"/>
        <w:ind w:left="562" w:hanging="562"/>
        <w:jc w:val="both"/>
        <w:rPr>
          <w:rFonts w:ascii="Verdana" w:hAnsi="Verdana"/>
          <w:color w:val="000000"/>
          <w:sz w:val="20"/>
          <w:szCs w:val="20"/>
        </w:rPr>
      </w:pPr>
      <w:r>
        <w:rPr>
          <w:rFonts w:ascii="Arial" w:hAnsi="Arial" w:cs="Arial"/>
          <w:color w:val="000000"/>
        </w:rPr>
        <w:t>[</w:t>
      </w:r>
      <w:r w:rsidR="000860F1">
        <w:rPr>
          <w:rFonts w:ascii="Arial" w:hAnsi="Arial" w:cs="Arial"/>
          <w:color w:val="000000"/>
        </w:rPr>
        <w:t>2</w:t>
      </w:r>
      <w:r w:rsidR="001617CA">
        <w:rPr>
          <w:rFonts w:ascii="Arial" w:hAnsi="Arial" w:cs="Arial"/>
          <w:color w:val="000000"/>
        </w:rPr>
        <w:t>4</w:t>
      </w:r>
      <w:r>
        <w:rPr>
          <w:rFonts w:ascii="Arial" w:hAnsi="Arial" w:cs="Arial"/>
          <w:color w:val="000000"/>
        </w:rPr>
        <w:t>]</w:t>
      </w:r>
      <w:r>
        <w:rPr>
          <w:rFonts w:ascii="Arial" w:hAnsi="Arial" w:cs="Arial"/>
          <w:color w:val="000000"/>
        </w:rPr>
        <w:tab/>
      </w:r>
      <w:r w:rsidR="009F155D">
        <w:rPr>
          <w:rFonts w:ascii="Arial" w:hAnsi="Arial" w:cs="Arial"/>
          <w:color w:val="000000"/>
        </w:rPr>
        <w:t xml:space="preserve">As already alluded to, </w:t>
      </w:r>
      <w:r w:rsidR="00E1686B">
        <w:rPr>
          <w:rFonts w:ascii="Arial" w:hAnsi="Arial" w:cs="Arial"/>
          <w:color w:val="000000"/>
        </w:rPr>
        <w:t>Q</w:t>
      </w:r>
      <w:r w:rsidR="00155322">
        <w:rPr>
          <w:rFonts w:ascii="Arial" w:hAnsi="Arial" w:cs="Arial"/>
          <w:color w:val="000000"/>
        </w:rPr>
        <w:t>CK, Lore and Dulostyle brought an application in the court a quo to strike out Sikhova and Hard Rock’s replying affidavit in its entirety as constituting an abuse of court process. In the alternative</w:t>
      </w:r>
      <w:r w:rsidR="00C928EE">
        <w:rPr>
          <w:rFonts w:ascii="Arial" w:hAnsi="Arial" w:cs="Arial"/>
          <w:color w:val="000000"/>
        </w:rPr>
        <w:t>,</w:t>
      </w:r>
      <w:r w:rsidR="00155322">
        <w:rPr>
          <w:rFonts w:ascii="Arial" w:hAnsi="Arial" w:cs="Arial"/>
          <w:color w:val="000000"/>
        </w:rPr>
        <w:t xml:space="preserve"> they sought an order that </w:t>
      </w:r>
      <w:r w:rsidR="006F5087">
        <w:rPr>
          <w:rFonts w:ascii="Arial" w:hAnsi="Arial" w:cs="Arial"/>
          <w:color w:val="000000"/>
        </w:rPr>
        <w:t xml:space="preserve">the </w:t>
      </w:r>
      <w:r w:rsidR="00155322">
        <w:rPr>
          <w:rFonts w:ascii="Arial" w:hAnsi="Arial" w:cs="Arial"/>
          <w:color w:val="000000"/>
        </w:rPr>
        <w:t xml:space="preserve">greater portions of the affidavit be struck out as impermissible and or vexatious. </w:t>
      </w:r>
      <w:r w:rsidR="003141AD">
        <w:rPr>
          <w:rFonts w:ascii="Arial" w:hAnsi="Arial" w:cs="Arial"/>
          <w:color w:val="000000"/>
        </w:rPr>
        <w:t xml:space="preserve">The founding </w:t>
      </w:r>
      <w:r w:rsidR="00696157">
        <w:rPr>
          <w:rFonts w:ascii="Arial" w:hAnsi="Arial" w:cs="Arial"/>
          <w:color w:val="000000"/>
        </w:rPr>
        <w:t xml:space="preserve">and the answering </w:t>
      </w:r>
      <w:r w:rsidR="003141AD">
        <w:rPr>
          <w:rFonts w:ascii="Arial" w:hAnsi="Arial" w:cs="Arial"/>
          <w:color w:val="000000"/>
        </w:rPr>
        <w:t xml:space="preserve">affidavit </w:t>
      </w:r>
      <w:r w:rsidR="00155322">
        <w:rPr>
          <w:rFonts w:ascii="Arial" w:hAnsi="Arial" w:cs="Arial"/>
          <w:color w:val="000000"/>
        </w:rPr>
        <w:t>comprise</w:t>
      </w:r>
      <w:r w:rsidR="003141AD">
        <w:rPr>
          <w:rFonts w:ascii="Arial" w:hAnsi="Arial" w:cs="Arial"/>
          <w:color w:val="000000"/>
        </w:rPr>
        <w:t xml:space="preserve"> 27</w:t>
      </w:r>
      <w:r w:rsidR="00696157">
        <w:rPr>
          <w:rFonts w:ascii="Arial" w:hAnsi="Arial" w:cs="Arial"/>
          <w:color w:val="000000"/>
        </w:rPr>
        <w:t xml:space="preserve"> and</w:t>
      </w:r>
      <w:r w:rsidR="003141AD">
        <w:rPr>
          <w:rFonts w:ascii="Arial" w:hAnsi="Arial" w:cs="Arial"/>
          <w:color w:val="000000"/>
        </w:rPr>
        <w:t xml:space="preserve"> </w:t>
      </w:r>
      <w:r w:rsidR="00696157">
        <w:rPr>
          <w:rFonts w:ascii="Arial" w:hAnsi="Arial" w:cs="Arial"/>
          <w:color w:val="000000"/>
        </w:rPr>
        <w:t>3</w:t>
      </w:r>
      <w:r w:rsidR="00173B0E">
        <w:rPr>
          <w:rFonts w:ascii="Arial" w:hAnsi="Arial" w:cs="Arial"/>
          <w:color w:val="000000"/>
        </w:rPr>
        <w:t>6</w:t>
      </w:r>
      <w:r w:rsidR="001C670C">
        <w:rPr>
          <w:rFonts w:ascii="Arial" w:hAnsi="Arial" w:cs="Arial"/>
          <w:color w:val="000000"/>
        </w:rPr>
        <w:t xml:space="preserve"> pages</w:t>
      </w:r>
      <w:r w:rsidR="00696157">
        <w:rPr>
          <w:rFonts w:ascii="Arial" w:hAnsi="Arial" w:cs="Arial"/>
          <w:color w:val="000000"/>
        </w:rPr>
        <w:t>, respectively</w:t>
      </w:r>
      <w:r w:rsidR="002F0937">
        <w:rPr>
          <w:rFonts w:ascii="Arial" w:hAnsi="Arial" w:cs="Arial"/>
          <w:color w:val="000000"/>
        </w:rPr>
        <w:t>,</w:t>
      </w:r>
      <w:r w:rsidR="00696157">
        <w:rPr>
          <w:rFonts w:ascii="Arial" w:hAnsi="Arial" w:cs="Arial"/>
          <w:color w:val="000000"/>
        </w:rPr>
        <w:t xml:space="preserve"> </w:t>
      </w:r>
      <w:r w:rsidR="00062F61">
        <w:rPr>
          <w:rFonts w:ascii="Arial" w:hAnsi="Arial" w:cs="Arial"/>
          <w:color w:val="000000"/>
        </w:rPr>
        <w:t xml:space="preserve">appendices </w:t>
      </w:r>
      <w:r w:rsidR="003141AD">
        <w:rPr>
          <w:rFonts w:ascii="Arial" w:hAnsi="Arial" w:cs="Arial"/>
          <w:color w:val="000000"/>
        </w:rPr>
        <w:t>exclud</w:t>
      </w:r>
      <w:r w:rsidR="00062F61">
        <w:rPr>
          <w:rFonts w:ascii="Arial" w:hAnsi="Arial" w:cs="Arial"/>
          <w:color w:val="000000"/>
        </w:rPr>
        <w:t>ed</w:t>
      </w:r>
      <w:r w:rsidR="002F0937">
        <w:rPr>
          <w:rFonts w:ascii="Arial" w:hAnsi="Arial" w:cs="Arial"/>
          <w:color w:val="000000"/>
        </w:rPr>
        <w:t>,</w:t>
      </w:r>
      <w:r w:rsidR="003141AD">
        <w:rPr>
          <w:rFonts w:ascii="Arial" w:hAnsi="Arial" w:cs="Arial"/>
          <w:color w:val="000000"/>
        </w:rPr>
        <w:t xml:space="preserve"> whereas the replying affidavit </w:t>
      </w:r>
      <w:r w:rsidR="001617CA">
        <w:rPr>
          <w:rFonts w:ascii="Arial" w:hAnsi="Arial" w:cs="Arial"/>
          <w:color w:val="000000"/>
        </w:rPr>
        <w:t xml:space="preserve">occupies </w:t>
      </w:r>
      <w:r w:rsidR="00696157">
        <w:rPr>
          <w:rFonts w:ascii="Arial" w:hAnsi="Arial" w:cs="Arial"/>
          <w:color w:val="000000"/>
        </w:rPr>
        <w:t xml:space="preserve">a </w:t>
      </w:r>
      <w:r w:rsidR="00696157">
        <w:rPr>
          <w:rFonts w:ascii="Arial" w:hAnsi="Arial" w:cs="Arial"/>
          <w:color w:val="000000"/>
        </w:rPr>
        <w:lastRenderedPageBreak/>
        <w:t xml:space="preserve">staggering </w:t>
      </w:r>
      <w:r w:rsidR="008C3CE9">
        <w:rPr>
          <w:rFonts w:ascii="Arial" w:hAnsi="Arial" w:cs="Arial"/>
          <w:color w:val="000000"/>
        </w:rPr>
        <w:t xml:space="preserve">56 </w:t>
      </w:r>
      <w:r w:rsidR="003141AD">
        <w:rPr>
          <w:rFonts w:ascii="Arial" w:hAnsi="Arial" w:cs="Arial"/>
          <w:color w:val="000000"/>
        </w:rPr>
        <w:t>pages</w:t>
      </w:r>
      <w:r w:rsidR="001617CA">
        <w:rPr>
          <w:rFonts w:ascii="Arial" w:hAnsi="Arial" w:cs="Arial"/>
          <w:color w:val="000000"/>
        </w:rPr>
        <w:t xml:space="preserve">, appendices excluded, </w:t>
      </w:r>
      <w:r w:rsidR="00062F61">
        <w:rPr>
          <w:rFonts w:ascii="Arial" w:hAnsi="Arial" w:cs="Arial"/>
          <w:color w:val="000000"/>
        </w:rPr>
        <w:t xml:space="preserve">(almost as long as the founding and answering affidavit </w:t>
      </w:r>
      <w:r w:rsidR="00437624">
        <w:rPr>
          <w:rFonts w:ascii="Arial" w:hAnsi="Arial" w:cs="Arial"/>
          <w:color w:val="000000"/>
        </w:rPr>
        <w:t>combined</w:t>
      </w:r>
      <w:r w:rsidR="00062F61">
        <w:rPr>
          <w:rFonts w:ascii="Arial" w:hAnsi="Arial" w:cs="Arial"/>
          <w:color w:val="000000"/>
        </w:rPr>
        <w:t>)</w:t>
      </w:r>
      <w:r w:rsidR="003141AD">
        <w:rPr>
          <w:rFonts w:ascii="Arial" w:hAnsi="Arial" w:cs="Arial"/>
          <w:color w:val="000000"/>
        </w:rPr>
        <w:t>.</w:t>
      </w:r>
      <w:r w:rsidR="00DD446A" w:rsidRPr="00DD446A">
        <w:rPr>
          <w:rFonts w:ascii="Verdana" w:hAnsi="Verdana"/>
          <w:color w:val="000000"/>
          <w:sz w:val="20"/>
          <w:szCs w:val="20"/>
        </w:rPr>
        <w:t xml:space="preserve"> </w:t>
      </w:r>
    </w:p>
    <w:p w:rsidR="008560C9" w:rsidRPr="001D09C0" w:rsidRDefault="00155322" w:rsidP="003A7AFE">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2</w:t>
      </w:r>
      <w:r w:rsidR="001617CA">
        <w:rPr>
          <w:rFonts w:ascii="Arial" w:hAnsi="Arial" w:cs="Arial"/>
          <w:color w:val="000000"/>
        </w:rPr>
        <w:t>5</w:t>
      </w:r>
      <w:r>
        <w:rPr>
          <w:rFonts w:ascii="Arial" w:hAnsi="Arial" w:cs="Arial"/>
          <w:color w:val="000000"/>
        </w:rPr>
        <w:t>]</w:t>
      </w:r>
      <w:r w:rsidRPr="001D09C0">
        <w:rPr>
          <w:rFonts w:ascii="Arial" w:hAnsi="Arial" w:cs="Arial"/>
          <w:color w:val="000000"/>
        </w:rPr>
        <w:tab/>
      </w:r>
      <w:r w:rsidR="002E1AB3" w:rsidRPr="00120A30">
        <w:rPr>
          <w:rFonts w:ascii="Arial" w:hAnsi="Arial" w:cs="Arial"/>
          <w:color w:val="000000" w:themeColor="text1"/>
          <w:lang w:val="en-GB"/>
        </w:rPr>
        <w:t>It is trite that t</w:t>
      </w:r>
      <w:r w:rsidR="002E1AB3" w:rsidRPr="00120A30">
        <w:rPr>
          <w:rFonts w:ascii="Arial" w:hAnsi="Arial" w:cs="Arial"/>
          <w:color w:val="000000"/>
        </w:rPr>
        <w:t>wo requirements must be met before a</w:t>
      </w:r>
      <w:r w:rsidR="002E1AB3">
        <w:rPr>
          <w:rFonts w:ascii="Arial" w:hAnsi="Arial" w:cs="Arial"/>
          <w:color w:val="000000"/>
        </w:rPr>
        <w:t xml:space="preserve">n application to strike out can </w:t>
      </w:r>
      <w:r w:rsidR="002E1AB3" w:rsidRPr="00120A30">
        <w:rPr>
          <w:rFonts w:ascii="Arial" w:hAnsi="Arial" w:cs="Arial"/>
          <w:color w:val="000000"/>
        </w:rPr>
        <w:t>succeed in terms of rule</w:t>
      </w:r>
      <w:r w:rsidR="002E1AB3">
        <w:rPr>
          <w:rFonts w:ascii="Arial" w:hAnsi="Arial" w:cs="Arial"/>
          <w:color w:val="000000"/>
        </w:rPr>
        <w:t xml:space="preserve"> </w:t>
      </w:r>
      <w:r w:rsidR="002E1AB3" w:rsidRPr="00120A30">
        <w:rPr>
          <w:rFonts w:ascii="Arial" w:hAnsi="Arial" w:cs="Arial"/>
          <w:color w:val="000000"/>
        </w:rPr>
        <w:t>6(15) of the uniform rules. First</w:t>
      </w:r>
      <w:r w:rsidR="002E1AB3">
        <w:rPr>
          <w:rFonts w:ascii="Arial" w:hAnsi="Arial" w:cs="Arial"/>
          <w:color w:val="000000"/>
        </w:rPr>
        <w:t>,</w:t>
      </w:r>
      <w:r w:rsidR="002E1AB3" w:rsidRPr="00120A30">
        <w:rPr>
          <w:rFonts w:ascii="Arial" w:hAnsi="Arial" w:cs="Arial"/>
          <w:color w:val="000000"/>
        </w:rPr>
        <w:t xml:space="preserve"> the matter sought to be struck out must be scandalous, vexatious or irrelevant; and secondly, the court must be satisfied that if such a matter is not struck out the party seeking such relief would be prejudiced.</w:t>
      </w:r>
      <w:r w:rsidR="002E1AB3" w:rsidRPr="00120A30">
        <w:rPr>
          <w:rStyle w:val="FootnoteReference"/>
          <w:rFonts w:ascii="Arial" w:hAnsi="Arial" w:cs="Arial"/>
          <w:color w:val="000000"/>
        </w:rPr>
        <w:footnoteReference w:id="2"/>
      </w:r>
      <w:r w:rsidR="002E1AB3">
        <w:rPr>
          <w:rFonts w:ascii="Verdana" w:hAnsi="Verdana"/>
          <w:color w:val="000000"/>
          <w:sz w:val="20"/>
          <w:szCs w:val="20"/>
        </w:rPr>
        <w:t xml:space="preserve"> </w:t>
      </w:r>
      <w:r w:rsidR="008560C9" w:rsidRPr="001D09C0">
        <w:rPr>
          <w:rFonts w:ascii="Arial" w:hAnsi="Arial" w:cs="Arial"/>
          <w:color w:val="000000"/>
        </w:rPr>
        <w:t xml:space="preserve">In </w:t>
      </w:r>
      <w:r w:rsidR="006948B9" w:rsidRPr="001D09C0">
        <w:rPr>
          <w:rFonts w:ascii="Arial" w:hAnsi="Arial" w:cs="Arial"/>
          <w:i/>
          <w:iCs/>
          <w:color w:val="000000"/>
        </w:rPr>
        <w:t>Minister of Environmental Affairs and Tourism and Others v Phambili Fisheries (Pty) Ltd</w:t>
      </w:r>
      <w:r w:rsidR="001D09C0" w:rsidRPr="001D09C0">
        <w:rPr>
          <w:rStyle w:val="FootnoteReference"/>
          <w:rFonts w:ascii="Arial" w:hAnsi="Arial" w:cs="Arial"/>
          <w:iCs/>
          <w:color w:val="000000"/>
        </w:rPr>
        <w:footnoteReference w:id="3"/>
      </w:r>
      <w:r w:rsidR="006948B9" w:rsidRPr="001D09C0">
        <w:rPr>
          <w:rFonts w:ascii="Arial" w:hAnsi="Arial" w:cs="Arial"/>
          <w:i/>
          <w:iCs/>
          <w:color w:val="000000"/>
        </w:rPr>
        <w:t xml:space="preserve"> </w:t>
      </w:r>
      <w:r w:rsidR="008560C9" w:rsidRPr="001D09C0">
        <w:rPr>
          <w:rFonts w:ascii="Arial" w:hAnsi="Arial" w:cs="Arial"/>
          <w:color w:val="000000"/>
        </w:rPr>
        <w:t>Schutz JA</w:t>
      </w:r>
      <w:r w:rsidR="001D09C0">
        <w:rPr>
          <w:rFonts w:ascii="Arial" w:hAnsi="Arial" w:cs="Arial"/>
          <w:color w:val="000000"/>
        </w:rPr>
        <w:t xml:space="preserve"> </w:t>
      </w:r>
      <w:r w:rsidR="00F90A25">
        <w:rPr>
          <w:rFonts w:ascii="Arial" w:hAnsi="Arial" w:cs="Arial"/>
          <w:color w:val="000000"/>
        </w:rPr>
        <w:t>made this poignant</w:t>
      </w:r>
      <w:r w:rsidR="004C3E08">
        <w:rPr>
          <w:rFonts w:ascii="Arial" w:hAnsi="Arial" w:cs="Arial"/>
          <w:color w:val="000000"/>
        </w:rPr>
        <w:t xml:space="preserve"> and</w:t>
      </w:r>
      <w:r w:rsidR="00F90A25">
        <w:rPr>
          <w:rFonts w:ascii="Arial" w:hAnsi="Arial" w:cs="Arial"/>
          <w:color w:val="000000"/>
        </w:rPr>
        <w:t xml:space="preserve"> apt observation:</w:t>
      </w:r>
    </w:p>
    <w:p w:rsidR="008560C9" w:rsidRPr="008560C9" w:rsidRDefault="008560C9" w:rsidP="001D0338">
      <w:pPr>
        <w:tabs>
          <w:tab w:val="left" w:pos="567"/>
        </w:tabs>
        <w:spacing w:line="360" w:lineRule="auto"/>
        <w:ind w:left="675" w:hanging="562"/>
        <w:jc w:val="both"/>
        <w:rPr>
          <w:rFonts w:ascii="Arial" w:hAnsi="Arial" w:cs="Arial"/>
          <w:color w:val="000000"/>
          <w:sz w:val="22"/>
          <w:szCs w:val="22"/>
        </w:rPr>
      </w:pPr>
      <w:r>
        <w:rPr>
          <w:rFonts w:ascii="Arial" w:hAnsi="Arial" w:cs="Arial"/>
          <w:color w:val="000000"/>
        </w:rPr>
        <w:tab/>
      </w:r>
      <w:r w:rsidR="00BA37EF">
        <w:rPr>
          <w:rFonts w:ascii="Arial" w:hAnsi="Arial" w:cs="Arial"/>
          <w:color w:val="000000"/>
        </w:rPr>
        <w:tab/>
      </w:r>
      <w:r w:rsidRPr="008560C9">
        <w:rPr>
          <w:rFonts w:ascii="Arial" w:hAnsi="Arial" w:cs="Arial"/>
          <w:color w:val="000000"/>
          <w:sz w:val="22"/>
          <w:szCs w:val="22"/>
        </w:rPr>
        <w:t>“In the great majority of cases the replying affidavit should be by far the shortest. But in practice it is very often by far the longest - and the most valueless. It was so in these reviews. The respondents, who were the applicants below, filed replying affidavits of inordinate length. Being forced to wade through their almost endless repetition when the pleading of the case is all but over brings about irritation, not persuasion. It is time that the Courts declare war on unnecessarily prolix replying affidavits and upon those who inflate them.</w:t>
      </w:r>
      <w:r>
        <w:rPr>
          <w:rFonts w:ascii="Arial" w:hAnsi="Arial" w:cs="Arial"/>
          <w:color w:val="000000"/>
          <w:sz w:val="22"/>
          <w:szCs w:val="22"/>
        </w:rPr>
        <w:t>”</w:t>
      </w:r>
      <w:r w:rsidRPr="008560C9">
        <w:rPr>
          <w:rFonts w:ascii="Arial" w:hAnsi="Arial" w:cs="Arial"/>
          <w:color w:val="000000"/>
          <w:sz w:val="22"/>
          <w:szCs w:val="22"/>
        </w:rPr>
        <w:t xml:space="preserve"> </w:t>
      </w:r>
    </w:p>
    <w:p w:rsidR="00701173" w:rsidRDefault="008560C9" w:rsidP="003A7AFE">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2</w:t>
      </w:r>
      <w:r w:rsidR="004C4D91">
        <w:rPr>
          <w:rFonts w:ascii="Arial" w:hAnsi="Arial" w:cs="Arial"/>
          <w:color w:val="000000"/>
        </w:rPr>
        <w:t>6</w:t>
      </w:r>
      <w:r>
        <w:rPr>
          <w:rFonts w:ascii="Arial" w:hAnsi="Arial" w:cs="Arial"/>
          <w:color w:val="000000"/>
        </w:rPr>
        <w:t>]</w:t>
      </w:r>
      <w:r>
        <w:rPr>
          <w:rFonts w:ascii="Arial" w:hAnsi="Arial" w:cs="Arial"/>
          <w:color w:val="000000"/>
        </w:rPr>
        <w:tab/>
      </w:r>
      <w:r w:rsidR="005150FA" w:rsidRPr="005150FA">
        <w:rPr>
          <w:rFonts w:ascii="Arial" w:hAnsi="Arial" w:cs="Arial"/>
          <w:color w:val="000000"/>
        </w:rPr>
        <w:t>A</w:t>
      </w:r>
      <w:r w:rsidR="00DD446A" w:rsidRPr="005150FA">
        <w:rPr>
          <w:rFonts w:ascii="Arial" w:hAnsi="Arial" w:cs="Arial"/>
          <w:color w:val="000000"/>
        </w:rPr>
        <w:t xml:space="preserve"> respondent has the right to know what case he or she has to meet and to respond thereto, </w:t>
      </w:r>
      <w:r w:rsidR="005150FA" w:rsidRPr="005150FA">
        <w:rPr>
          <w:rFonts w:ascii="Arial" w:hAnsi="Arial" w:cs="Arial"/>
          <w:color w:val="000000"/>
        </w:rPr>
        <w:t xml:space="preserve">thus </w:t>
      </w:r>
      <w:r w:rsidR="00DD446A" w:rsidRPr="005150FA">
        <w:rPr>
          <w:rFonts w:ascii="Arial" w:hAnsi="Arial" w:cs="Arial"/>
          <w:color w:val="000000"/>
        </w:rPr>
        <w:t>the general rule</w:t>
      </w:r>
      <w:r w:rsidR="005150FA" w:rsidRPr="005150FA">
        <w:rPr>
          <w:rFonts w:ascii="Arial" w:hAnsi="Arial" w:cs="Arial"/>
          <w:color w:val="000000"/>
        </w:rPr>
        <w:t xml:space="preserve">, although not absolute, </w:t>
      </w:r>
      <w:r w:rsidR="00DD446A" w:rsidRPr="005150FA">
        <w:rPr>
          <w:rFonts w:ascii="Arial" w:hAnsi="Arial" w:cs="Arial"/>
          <w:color w:val="000000"/>
        </w:rPr>
        <w:t xml:space="preserve">is that an applicant will not be permitted to make or supplement his or her case in the replying affidavit. </w:t>
      </w:r>
      <w:r w:rsidR="005150FA" w:rsidRPr="005150FA">
        <w:rPr>
          <w:rFonts w:ascii="Arial" w:hAnsi="Arial" w:cs="Arial"/>
          <w:color w:val="000000"/>
        </w:rPr>
        <w:t xml:space="preserve">In exceptional circumstances a </w:t>
      </w:r>
      <w:r w:rsidR="00DD446A" w:rsidRPr="005150FA">
        <w:rPr>
          <w:rFonts w:ascii="Arial" w:hAnsi="Arial" w:cs="Arial"/>
          <w:color w:val="000000"/>
        </w:rPr>
        <w:t xml:space="preserve">court may in the exercise of its discretion allow </w:t>
      </w:r>
      <w:r w:rsidR="00570DB6">
        <w:rPr>
          <w:rFonts w:ascii="Arial" w:hAnsi="Arial" w:cs="Arial"/>
          <w:color w:val="000000"/>
        </w:rPr>
        <w:t xml:space="preserve">a </w:t>
      </w:r>
      <w:r w:rsidR="00DD446A" w:rsidRPr="005150FA">
        <w:rPr>
          <w:rFonts w:ascii="Arial" w:hAnsi="Arial" w:cs="Arial"/>
          <w:color w:val="000000"/>
        </w:rPr>
        <w:t>new matter in a replying affidavit.</w:t>
      </w:r>
      <w:r w:rsidR="005150FA">
        <w:rPr>
          <w:rStyle w:val="FootnoteReference"/>
          <w:rFonts w:ascii="Arial" w:hAnsi="Arial" w:cs="Arial"/>
          <w:color w:val="000000"/>
        </w:rPr>
        <w:footnoteReference w:id="4"/>
      </w:r>
      <w:r w:rsidR="00DD446A" w:rsidRPr="005150FA">
        <w:rPr>
          <w:rFonts w:ascii="Arial" w:hAnsi="Arial" w:cs="Arial"/>
          <w:b/>
          <w:color w:val="000000"/>
        </w:rPr>
        <w:t> </w:t>
      </w:r>
      <w:r w:rsidR="001264B6" w:rsidRPr="001264B6">
        <w:rPr>
          <w:rFonts w:ascii="Arial" w:hAnsi="Arial" w:cs="Arial"/>
          <w:color w:val="000000"/>
        </w:rPr>
        <w:t xml:space="preserve">The primary purpose of the replying affidavit is to put up evidence which serves to refute the case made out by the respondent in </w:t>
      </w:r>
      <w:r w:rsidR="00024F4E">
        <w:rPr>
          <w:rFonts w:ascii="Arial" w:hAnsi="Arial" w:cs="Arial"/>
          <w:color w:val="000000"/>
        </w:rPr>
        <w:t xml:space="preserve">its </w:t>
      </w:r>
      <w:r w:rsidR="001264B6" w:rsidRPr="001264B6">
        <w:rPr>
          <w:rFonts w:ascii="Arial" w:hAnsi="Arial" w:cs="Arial"/>
          <w:color w:val="000000"/>
        </w:rPr>
        <w:t>answering affidavit.</w:t>
      </w:r>
      <w:r w:rsidR="002179CD">
        <w:rPr>
          <w:rStyle w:val="FootnoteReference"/>
          <w:rFonts w:ascii="Arial" w:hAnsi="Arial" w:cs="Arial"/>
          <w:color w:val="000000"/>
        </w:rPr>
        <w:footnoteReference w:id="5"/>
      </w:r>
      <w:r w:rsidR="001264B6" w:rsidRPr="00107C7C">
        <w:rPr>
          <w:rFonts w:ascii="Arial" w:hAnsi="Arial" w:cs="Arial"/>
          <w:b/>
          <w:color w:val="000000"/>
        </w:rPr>
        <w:t> </w:t>
      </w:r>
      <w:r w:rsidR="000948C7" w:rsidRPr="000948C7">
        <w:rPr>
          <w:rFonts w:ascii="Arial" w:hAnsi="Arial" w:cs="Arial"/>
          <w:color w:val="000000"/>
        </w:rPr>
        <w:t>This is particularly so in s</w:t>
      </w:r>
      <w:r w:rsidR="003A7AFE" w:rsidRPr="000948C7">
        <w:rPr>
          <w:rFonts w:ascii="Arial" w:hAnsi="Arial" w:cs="Arial"/>
          <w:color w:val="000000"/>
        </w:rPr>
        <w:t>poliation</w:t>
      </w:r>
      <w:r w:rsidR="000948C7">
        <w:rPr>
          <w:rFonts w:ascii="Arial" w:hAnsi="Arial" w:cs="Arial"/>
          <w:color w:val="000000"/>
        </w:rPr>
        <w:t xml:space="preserve"> proceedings where </w:t>
      </w:r>
      <w:r w:rsidR="003A7AFE" w:rsidRPr="003A7AFE">
        <w:rPr>
          <w:rFonts w:ascii="Arial" w:hAnsi="Arial" w:cs="Arial"/>
          <w:color w:val="000000"/>
        </w:rPr>
        <w:t>speedy</w:t>
      </w:r>
      <w:r w:rsidR="003A7AFE" w:rsidRPr="00CC67D9">
        <w:rPr>
          <w:rFonts w:ascii="Arial" w:hAnsi="Arial" w:cs="Arial"/>
          <w:color w:val="000000"/>
        </w:rPr>
        <w:t xml:space="preserve"> relief </w:t>
      </w:r>
      <w:r w:rsidR="000948C7">
        <w:rPr>
          <w:rFonts w:ascii="Arial" w:hAnsi="Arial" w:cs="Arial"/>
          <w:color w:val="000000"/>
        </w:rPr>
        <w:t xml:space="preserve">is </w:t>
      </w:r>
      <w:r w:rsidR="003A7AFE" w:rsidRPr="00CC67D9">
        <w:rPr>
          <w:rFonts w:ascii="Arial" w:hAnsi="Arial" w:cs="Arial"/>
          <w:color w:val="000000"/>
        </w:rPr>
        <w:t xml:space="preserve">given upon the simple facts of possession </w:t>
      </w:r>
      <w:r w:rsidR="003A7AFE" w:rsidRPr="00CC67D9">
        <w:rPr>
          <w:rFonts w:ascii="Arial" w:hAnsi="Arial" w:cs="Arial"/>
          <w:color w:val="000000"/>
        </w:rPr>
        <w:lastRenderedPageBreak/>
        <w:t>and dispossession</w:t>
      </w:r>
      <w:r w:rsidR="000948C7">
        <w:rPr>
          <w:rFonts w:ascii="Arial" w:hAnsi="Arial" w:cs="Arial"/>
          <w:color w:val="000000"/>
        </w:rPr>
        <w:t xml:space="preserve"> which </w:t>
      </w:r>
      <w:r w:rsidR="003A7AFE" w:rsidRPr="00CC67D9">
        <w:rPr>
          <w:rFonts w:ascii="Arial" w:hAnsi="Arial" w:cs="Arial"/>
          <w:color w:val="000000"/>
        </w:rPr>
        <w:t>involves, or should involve, short affidavits filed expeditiously on those very limited issues.</w:t>
      </w:r>
      <w:r w:rsidR="003A7AFE" w:rsidRPr="00CC67D9">
        <w:rPr>
          <w:rStyle w:val="FootnoteReference"/>
          <w:rFonts w:ascii="Arial" w:hAnsi="Arial" w:cs="Arial"/>
          <w:color w:val="000000"/>
        </w:rPr>
        <w:footnoteReference w:id="6"/>
      </w:r>
      <w:r w:rsidR="003A7AFE" w:rsidRPr="00CC67D9">
        <w:rPr>
          <w:rFonts w:ascii="Arial" w:hAnsi="Arial" w:cs="Arial"/>
          <w:color w:val="000000"/>
        </w:rPr>
        <w:t> </w:t>
      </w:r>
    </w:p>
    <w:p w:rsidR="00CB37FE" w:rsidRDefault="00701173" w:rsidP="003A7AFE">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2</w:t>
      </w:r>
      <w:r w:rsidR="00DD73AB">
        <w:rPr>
          <w:rFonts w:ascii="Arial" w:hAnsi="Arial" w:cs="Arial"/>
          <w:color w:val="000000"/>
        </w:rPr>
        <w:t>7</w:t>
      </w:r>
      <w:r>
        <w:rPr>
          <w:rFonts w:ascii="Arial" w:hAnsi="Arial" w:cs="Arial"/>
          <w:color w:val="000000"/>
        </w:rPr>
        <w:t>]</w:t>
      </w:r>
      <w:r>
        <w:rPr>
          <w:rFonts w:ascii="Arial" w:hAnsi="Arial" w:cs="Arial"/>
          <w:color w:val="000000"/>
        </w:rPr>
        <w:tab/>
      </w:r>
      <w:r w:rsidR="00BC055F">
        <w:rPr>
          <w:rFonts w:ascii="Arial" w:hAnsi="Arial" w:cs="Arial"/>
          <w:color w:val="000000"/>
        </w:rPr>
        <w:t>It was not open to Sikhova and Hard Rock to re</w:t>
      </w:r>
      <w:r w:rsidR="009E0AC3">
        <w:rPr>
          <w:rFonts w:ascii="Arial" w:hAnsi="Arial" w:cs="Arial"/>
          <w:color w:val="000000"/>
        </w:rPr>
        <w:t>gurgitate</w:t>
      </w:r>
      <w:r w:rsidR="002E1AB3">
        <w:rPr>
          <w:rFonts w:ascii="Arial" w:hAnsi="Arial" w:cs="Arial"/>
          <w:color w:val="000000"/>
        </w:rPr>
        <w:t>,</w:t>
      </w:r>
      <w:r w:rsidR="009E0AC3">
        <w:rPr>
          <w:rFonts w:ascii="Arial" w:hAnsi="Arial" w:cs="Arial"/>
          <w:color w:val="000000"/>
        </w:rPr>
        <w:t xml:space="preserve"> </w:t>
      </w:r>
      <w:r w:rsidR="00D83D1F">
        <w:rPr>
          <w:rFonts w:ascii="Arial" w:hAnsi="Arial" w:cs="Arial"/>
          <w:color w:val="000000"/>
        </w:rPr>
        <w:t>in their replying affidavit</w:t>
      </w:r>
      <w:r w:rsidR="002E1AB3">
        <w:rPr>
          <w:rFonts w:ascii="Arial" w:hAnsi="Arial" w:cs="Arial"/>
          <w:color w:val="000000"/>
        </w:rPr>
        <w:t>,</w:t>
      </w:r>
      <w:r w:rsidR="00D83D1F">
        <w:rPr>
          <w:rFonts w:ascii="Arial" w:hAnsi="Arial" w:cs="Arial"/>
          <w:color w:val="000000"/>
        </w:rPr>
        <w:t xml:space="preserve"> </w:t>
      </w:r>
      <w:r w:rsidR="009E0AC3">
        <w:rPr>
          <w:rFonts w:ascii="Arial" w:hAnsi="Arial" w:cs="Arial"/>
          <w:color w:val="000000"/>
        </w:rPr>
        <w:t>by means of a prelude</w:t>
      </w:r>
      <w:r w:rsidR="00D83D1F">
        <w:rPr>
          <w:rFonts w:ascii="Arial" w:hAnsi="Arial" w:cs="Arial"/>
          <w:color w:val="000000"/>
        </w:rPr>
        <w:t xml:space="preserve"> which stretched over four pages</w:t>
      </w:r>
      <w:r w:rsidR="009E0AC3">
        <w:rPr>
          <w:rFonts w:ascii="Arial" w:hAnsi="Arial" w:cs="Arial"/>
          <w:color w:val="000000"/>
        </w:rPr>
        <w:t xml:space="preserve">, the case </w:t>
      </w:r>
      <w:r w:rsidR="00391C86">
        <w:rPr>
          <w:rFonts w:ascii="Arial" w:hAnsi="Arial" w:cs="Arial"/>
          <w:color w:val="000000"/>
        </w:rPr>
        <w:t xml:space="preserve">put </w:t>
      </w:r>
      <w:r w:rsidR="009E0AC3">
        <w:rPr>
          <w:rFonts w:ascii="Arial" w:hAnsi="Arial" w:cs="Arial"/>
          <w:color w:val="000000"/>
        </w:rPr>
        <w:t>u</w:t>
      </w:r>
      <w:r w:rsidR="00391C86">
        <w:rPr>
          <w:rFonts w:ascii="Arial" w:hAnsi="Arial" w:cs="Arial"/>
          <w:color w:val="000000"/>
        </w:rPr>
        <w:t>p</w:t>
      </w:r>
      <w:r w:rsidR="009E0AC3">
        <w:rPr>
          <w:rFonts w:ascii="Arial" w:hAnsi="Arial" w:cs="Arial"/>
          <w:color w:val="000000"/>
        </w:rPr>
        <w:t xml:space="preserve"> in the</w:t>
      </w:r>
      <w:r w:rsidR="002E1AB3">
        <w:rPr>
          <w:rFonts w:ascii="Arial" w:hAnsi="Arial" w:cs="Arial"/>
          <w:color w:val="000000"/>
        </w:rPr>
        <w:t>ir</w:t>
      </w:r>
      <w:r w:rsidR="009E0AC3">
        <w:rPr>
          <w:rFonts w:ascii="Arial" w:hAnsi="Arial" w:cs="Arial"/>
          <w:color w:val="000000"/>
        </w:rPr>
        <w:t xml:space="preserve"> founding papers</w:t>
      </w:r>
      <w:r w:rsidR="00940C89">
        <w:rPr>
          <w:rFonts w:ascii="Arial" w:hAnsi="Arial" w:cs="Arial"/>
          <w:color w:val="000000"/>
        </w:rPr>
        <w:t xml:space="preserve">. </w:t>
      </w:r>
      <w:r w:rsidR="00CB37FE">
        <w:rPr>
          <w:rFonts w:ascii="Arial" w:hAnsi="Arial" w:cs="Arial"/>
          <w:color w:val="000000"/>
        </w:rPr>
        <w:t>In my view</w:t>
      </w:r>
      <w:r w:rsidR="00254863">
        <w:rPr>
          <w:rFonts w:ascii="Arial" w:hAnsi="Arial" w:cs="Arial"/>
          <w:color w:val="000000"/>
        </w:rPr>
        <w:t>,</w:t>
      </w:r>
      <w:r w:rsidR="00CB37FE">
        <w:rPr>
          <w:rFonts w:ascii="Arial" w:hAnsi="Arial" w:cs="Arial"/>
          <w:color w:val="000000"/>
        </w:rPr>
        <w:t xml:space="preserve"> paras 2.2 to 2.3.6, the prelude or so-called brief statement of</w:t>
      </w:r>
      <w:r w:rsidR="002E1AB3">
        <w:rPr>
          <w:rFonts w:ascii="Arial" w:hAnsi="Arial" w:cs="Arial"/>
          <w:color w:val="000000"/>
        </w:rPr>
        <w:t xml:space="preserve"> Sikhova and Hard Rock’s </w:t>
      </w:r>
      <w:r w:rsidR="00CB37FE">
        <w:rPr>
          <w:rFonts w:ascii="Arial" w:hAnsi="Arial" w:cs="Arial"/>
          <w:color w:val="000000"/>
        </w:rPr>
        <w:t>case, d</w:t>
      </w:r>
      <w:r w:rsidR="008F1019">
        <w:rPr>
          <w:rFonts w:ascii="Arial" w:hAnsi="Arial" w:cs="Arial"/>
          <w:color w:val="000000"/>
        </w:rPr>
        <w:t xml:space="preserve">efeats </w:t>
      </w:r>
      <w:r w:rsidR="00CB37FE">
        <w:rPr>
          <w:rFonts w:ascii="Arial" w:hAnsi="Arial" w:cs="Arial"/>
          <w:color w:val="000000"/>
        </w:rPr>
        <w:t xml:space="preserve">the legitimate purpose of </w:t>
      </w:r>
      <w:r w:rsidR="00254863">
        <w:rPr>
          <w:rFonts w:ascii="Arial" w:hAnsi="Arial" w:cs="Arial"/>
          <w:color w:val="000000"/>
        </w:rPr>
        <w:t xml:space="preserve">a </w:t>
      </w:r>
      <w:r w:rsidR="00CB37FE">
        <w:rPr>
          <w:rFonts w:ascii="Arial" w:hAnsi="Arial" w:cs="Arial"/>
          <w:color w:val="000000"/>
        </w:rPr>
        <w:t xml:space="preserve">replying affidavit and falls to </w:t>
      </w:r>
      <w:r w:rsidR="00E4222E">
        <w:rPr>
          <w:rFonts w:ascii="Arial" w:hAnsi="Arial" w:cs="Arial"/>
          <w:color w:val="000000"/>
        </w:rPr>
        <w:t xml:space="preserve">be </w:t>
      </w:r>
      <w:r w:rsidR="00CB37FE">
        <w:rPr>
          <w:rFonts w:ascii="Arial" w:hAnsi="Arial" w:cs="Arial"/>
          <w:color w:val="000000"/>
        </w:rPr>
        <w:t xml:space="preserve">struck out. </w:t>
      </w:r>
    </w:p>
    <w:p w:rsidR="00B14173" w:rsidRDefault="00CB37FE" w:rsidP="003A7AFE">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2</w:t>
      </w:r>
      <w:r w:rsidR="00DD73AB">
        <w:rPr>
          <w:rFonts w:ascii="Arial" w:hAnsi="Arial" w:cs="Arial"/>
          <w:color w:val="000000"/>
        </w:rPr>
        <w:t>8</w:t>
      </w:r>
      <w:r>
        <w:rPr>
          <w:rFonts w:ascii="Arial" w:hAnsi="Arial" w:cs="Arial"/>
          <w:color w:val="000000"/>
        </w:rPr>
        <w:t>]</w:t>
      </w:r>
      <w:r w:rsidR="009C1CFE">
        <w:rPr>
          <w:rFonts w:ascii="Arial" w:hAnsi="Arial" w:cs="Arial"/>
          <w:color w:val="000000"/>
        </w:rPr>
        <w:tab/>
      </w:r>
      <w:r w:rsidR="001D006A">
        <w:rPr>
          <w:rFonts w:ascii="Arial" w:hAnsi="Arial" w:cs="Arial"/>
          <w:color w:val="000000"/>
        </w:rPr>
        <w:t>I</w:t>
      </w:r>
      <w:r>
        <w:rPr>
          <w:rFonts w:ascii="Arial" w:hAnsi="Arial" w:cs="Arial"/>
          <w:color w:val="000000"/>
        </w:rPr>
        <w:t xml:space="preserve">n paras 2.4 to 2.11 </w:t>
      </w:r>
      <w:r w:rsidR="001D006A">
        <w:rPr>
          <w:rFonts w:ascii="Arial" w:hAnsi="Arial" w:cs="Arial"/>
          <w:color w:val="000000"/>
        </w:rPr>
        <w:t xml:space="preserve">of their replying affidavit </w:t>
      </w:r>
      <w:r>
        <w:rPr>
          <w:rFonts w:ascii="Arial" w:hAnsi="Arial" w:cs="Arial"/>
          <w:color w:val="000000"/>
        </w:rPr>
        <w:t>(</w:t>
      </w:r>
      <w:r w:rsidR="00254863">
        <w:rPr>
          <w:rFonts w:ascii="Arial" w:hAnsi="Arial" w:cs="Arial"/>
          <w:color w:val="000000"/>
        </w:rPr>
        <w:t xml:space="preserve">which </w:t>
      </w:r>
      <w:r w:rsidR="001D006A">
        <w:rPr>
          <w:rFonts w:ascii="Arial" w:hAnsi="Arial" w:cs="Arial"/>
          <w:color w:val="000000"/>
        </w:rPr>
        <w:t xml:space="preserve">comprised </w:t>
      </w:r>
      <w:r>
        <w:rPr>
          <w:rFonts w:ascii="Arial" w:hAnsi="Arial" w:cs="Arial"/>
          <w:color w:val="000000"/>
        </w:rPr>
        <w:t>about 12 pages</w:t>
      </w:r>
      <w:r w:rsidR="009C1CFE">
        <w:rPr>
          <w:rFonts w:ascii="Arial" w:hAnsi="Arial" w:cs="Arial"/>
          <w:color w:val="000000"/>
        </w:rPr>
        <w:t>)</w:t>
      </w:r>
      <w:r>
        <w:rPr>
          <w:rFonts w:ascii="Arial" w:hAnsi="Arial" w:cs="Arial"/>
          <w:color w:val="000000"/>
        </w:rPr>
        <w:t xml:space="preserve"> </w:t>
      </w:r>
      <w:r w:rsidR="001D006A">
        <w:rPr>
          <w:rFonts w:ascii="Arial" w:hAnsi="Arial" w:cs="Arial"/>
          <w:color w:val="000000"/>
        </w:rPr>
        <w:t xml:space="preserve">Sikhova and Hard Rock </w:t>
      </w:r>
      <w:r w:rsidR="00981077">
        <w:rPr>
          <w:rFonts w:ascii="Arial" w:hAnsi="Arial" w:cs="Arial"/>
          <w:color w:val="000000"/>
        </w:rPr>
        <w:t xml:space="preserve">impermissibly </w:t>
      </w:r>
      <w:r w:rsidR="00254863">
        <w:rPr>
          <w:rFonts w:ascii="Arial" w:hAnsi="Arial" w:cs="Arial"/>
          <w:color w:val="000000"/>
        </w:rPr>
        <w:t xml:space="preserve">and extensively </w:t>
      </w:r>
      <w:r w:rsidR="00461405">
        <w:rPr>
          <w:rFonts w:ascii="Arial" w:hAnsi="Arial" w:cs="Arial"/>
          <w:color w:val="000000"/>
        </w:rPr>
        <w:t>subject</w:t>
      </w:r>
      <w:r w:rsidR="00981077">
        <w:rPr>
          <w:rFonts w:ascii="Arial" w:hAnsi="Arial" w:cs="Arial"/>
          <w:color w:val="000000"/>
        </w:rPr>
        <w:t>ed</w:t>
      </w:r>
      <w:r w:rsidR="00461405">
        <w:rPr>
          <w:rFonts w:ascii="Arial" w:hAnsi="Arial" w:cs="Arial"/>
          <w:color w:val="000000"/>
        </w:rPr>
        <w:t xml:space="preserve"> </w:t>
      </w:r>
      <w:r w:rsidR="00570DB6">
        <w:rPr>
          <w:rFonts w:ascii="Arial" w:hAnsi="Arial" w:cs="Arial"/>
          <w:color w:val="000000"/>
        </w:rPr>
        <w:t xml:space="preserve">QCK and Lore’s </w:t>
      </w:r>
      <w:r w:rsidR="00026178">
        <w:rPr>
          <w:rFonts w:ascii="Arial" w:hAnsi="Arial" w:cs="Arial"/>
          <w:color w:val="000000"/>
        </w:rPr>
        <w:t>answering</w:t>
      </w:r>
      <w:r w:rsidR="00461405">
        <w:rPr>
          <w:rFonts w:ascii="Arial" w:hAnsi="Arial" w:cs="Arial"/>
          <w:color w:val="000000"/>
        </w:rPr>
        <w:t xml:space="preserve"> affidavit to their </w:t>
      </w:r>
      <w:r w:rsidR="00F92A61">
        <w:rPr>
          <w:rFonts w:ascii="Arial" w:hAnsi="Arial" w:cs="Arial"/>
          <w:color w:val="000000"/>
        </w:rPr>
        <w:t xml:space="preserve">own </w:t>
      </w:r>
      <w:r w:rsidR="008D6DEA">
        <w:rPr>
          <w:rFonts w:ascii="Arial" w:hAnsi="Arial" w:cs="Arial"/>
          <w:color w:val="000000"/>
        </w:rPr>
        <w:t xml:space="preserve">argumentative </w:t>
      </w:r>
      <w:r w:rsidR="009F79F7">
        <w:rPr>
          <w:rFonts w:ascii="Arial" w:hAnsi="Arial" w:cs="Arial"/>
          <w:color w:val="000000"/>
        </w:rPr>
        <w:t xml:space="preserve">and misdirected </w:t>
      </w:r>
      <w:r w:rsidR="00461405">
        <w:rPr>
          <w:rFonts w:ascii="Arial" w:hAnsi="Arial" w:cs="Arial"/>
          <w:color w:val="000000"/>
        </w:rPr>
        <w:t>assessment</w:t>
      </w:r>
      <w:r w:rsidR="00981077">
        <w:rPr>
          <w:rFonts w:ascii="Arial" w:hAnsi="Arial" w:cs="Arial"/>
          <w:color w:val="000000"/>
        </w:rPr>
        <w:t xml:space="preserve"> prior to refuting the specific averments contained therein</w:t>
      </w:r>
      <w:r w:rsidR="009E0AC3">
        <w:rPr>
          <w:rFonts w:ascii="Arial" w:hAnsi="Arial" w:cs="Arial"/>
          <w:color w:val="000000"/>
        </w:rPr>
        <w:t>.</w:t>
      </w:r>
      <w:r w:rsidR="00701173">
        <w:rPr>
          <w:rFonts w:ascii="Arial" w:hAnsi="Arial" w:cs="Arial"/>
          <w:color w:val="000000"/>
        </w:rPr>
        <w:t xml:space="preserve"> </w:t>
      </w:r>
      <w:r w:rsidR="00391C86">
        <w:rPr>
          <w:rFonts w:ascii="Arial" w:hAnsi="Arial" w:cs="Arial"/>
          <w:color w:val="000000"/>
        </w:rPr>
        <w:t>T</w:t>
      </w:r>
      <w:r w:rsidR="00701173">
        <w:rPr>
          <w:rFonts w:ascii="Arial" w:hAnsi="Arial" w:cs="Arial"/>
          <w:color w:val="000000"/>
        </w:rPr>
        <w:t xml:space="preserve">he court a quo </w:t>
      </w:r>
      <w:r w:rsidR="00391C86">
        <w:rPr>
          <w:rFonts w:ascii="Arial" w:hAnsi="Arial" w:cs="Arial"/>
          <w:color w:val="000000"/>
        </w:rPr>
        <w:t xml:space="preserve">erroneously </w:t>
      </w:r>
      <w:r w:rsidR="00701173">
        <w:rPr>
          <w:rFonts w:ascii="Arial" w:hAnsi="Arial" w:cs="Arial"/>
          <w:color w:val="000000"/>
        </w:rPr>
        <w:t>lauded the approach adopted by Sikhova and Hard Rock</w:t>
      </w:r>
      <w:r w:rsidR="008D6DEA">
        <w:rPr>
          <w:rFonts w:ascii="Arial" w:hAnsi="Arial" w:cs="Arial"/>
          <w:color w:val="000000"/>
        </w:rPr>
        <w:t xml:space="preserve"> as having been </w:t>
      </w:r>
      <w:r w:rsidR="00186184">
        <w:rPr>
          <w:rFonts w:ascii="Arial" w:hAnsi="Arial" w:cs="Arial"/>
          <w:color w:val="000000"/>
        </w:rPr>
        <w:t xml:space="preserve">helpful </w:t>
      </w:r>
      <w:r w:rsidR="008D6DEA">
        <w:rPr>
          <w:rFonts w:ascii="Arial" w:hAnsi="Arial" w:cs="Arial"/>
          <w:color w:val="000000"/>
        </w:rPr>
        <w:t>to it</w:t>
      </w:r>
      <w:r w:rsidR="00391C86">
        <w:rPr>
          <w:rFonts w:ascii="Arial" w:hAnsi="Arial" w:cs="Arial"/>
          <w:color w:val="000000"/>
        </w:rPr>
        <w:t>.</w:t>
      </w:r>
      <w:r w:rsidR="00254863">
        <w:rPr>
          <w:rFonts w:ascii="Arial" w:hAnsi="Arial" w:cs="Arial"/>
          <w:color w:val="000000"/>
        </w:rPr>
        <w:t xml:space="preserve"> </w:t>
      </w:r>
      <w:r w:rsidR="001D006A">
        <w:rPr>
          <w:rFonts w:ascii="Arial" w:hAnsi="Arial" w:cs="Arial"/>
          <w:color w:val="000000"/>
        </w:rPr>
        <w:t>In my view, t</w:t>
      </w:r>
      <w:r w:rsidR="009C1CFE">
        <w:rPr>
          <w:rFonts w:ascii="Arial" w:hAnsi="Arial" w:cs="Arial"/>
          <w:color w:val="000000"/>
        </w:rPr>
        <w:t>he specified paragraphs</w:t>
      </w:r>
      <w:r w:rsidR="008F1019">
        <w:rPr>
          <w:rFonts w:ascii="Arial" w:hAnsi="Arial" w:cs="Arial"/>
          <w:color w:val="000000"/>
        </w:rPr>
        <w:t xml:space="preserve"> are </w:t>
      </w:r>
      <w:r w:rsidR="001D006A">
        <w:rPr>
          <w:rFonts w:ascii="Arial" w:hAnsi="Arial" w:cs="Arial"/>
          <w:color w:val="000000"/>
        </w:rPr>
        <w:t xml:space="preserve">argumentative </w:t>
      </w:r>
      <w:r w:rsidR="008F1019">
        <w:rPr>
          <w:rFonts w:ascii="Arial" w:hAnsi="Arial" w:cs="Arial"/>
          <w:color w:val="000000"/>
        </w:rPr>
        <w:t xml:space="preserve">in nature </w:t>
      </w:r>
      <w:r w:rsidR="009C1CFE">
        <w:rPr>
          <w:rFonts w:ascii="Arial" w:hAnsi="Arial" w:cs="Arial"/>
          <w:color w:val="000000"/>
        </w:rPr>
        <w:t>an</w:t>
      </w:r>
      <w:r w:rsidR="005B4E46">
        <w:rPr>
          <w:rFonts w:ascii="Arial" w:hAnsi="Arial" w:cs="Arial"/>
          <w:color w:val="000000"/>
        </w:rPr>
        <w:t>d</w:t>
      </w:r>
      <w:r w:rsidR="009C1CFE">
        <w:rPr>
          <w:rFonts w:ascii="Arial" w:hAnsi="Arial" w:cs="Arial"/>
          <w:color w:val="000000"/>
        </w:rPr>
        <w:t xml:space="preserve"> ought to be struck out. </w:t>
      </w:r>
    </w:p>
    <w:p w:rsidR="00314CC6" w:rsidRDefault="006C2EF1" w:rsidP="003A7AFE">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2</w:t>
      </w:r>
      <w:r w:rsidR="00DD73AB">
        <w:rPr>
          <w:rFonts w:ascii="Arial" w:hAnsi="Arial" w:cs="Arial"/>
          <w:color w:val="000000"/>
        </w:rPr>
        <w:t>9</w:t>
      </w:r>
      <w:r>
        <w:rPr>
          <w:rFonts w:ascii="Arial" w:hAnsi="Arial" w:cs="Arial"/>
          <w:color w:val="000000"/>
        </w:rPr>
        <w:t>]</w:t>
      </w:r>
      <w:r>
        <w:rPr>
          <w:rFonts w:ascii="Arial" w:hAnsi="Arial" w:cs="Arial"/>
          <w:color w:val="000000"/>
        </w:rPr>
        <w:tab/>
      </w:r>
      <w:r w:rsidR="00C143CF">
        <w:rPr>
          <w:rFonts w:ascii="Arial" w:hAnsi="Arial" w:cs="Arial"/>
          <w:color w:val="000000"/>
        </w:rPr>
        <w:t>From para</w:t>
      </w:r>
      <w:r w:rsidR="001A1343">
        <w:rPr>
          <w:rFonts w:ascii="Arial" w:hAnsi="Arial" w:cs="Arial"/>
          <w:color w:val="000000"/>
        </w:rPr>
        <w:t>s</w:t>
      </w:r>
      <w:r w:rsidR="00C143CF">
        <w:rPr>
          <w:rFonts w:ascii="Arial" w:hAnsi="Arial" w:cs="Arial"/>
          <w:color w:val="000000"/>
        </w:rPr>
        <w:t xml:space="preserve"> 3 to 49</w:t>
      </w:r>
      <w:r w:rsidR="003E03DD">
        <w:rPr>
          <w:rFonts w:ascii="Arial" w:hAnsi="Arial" w:cs="Arial"/>
          <w:color w:val="000000"/>
        </w:rPr>
        <w:t xml:space="preserve"> </w:t>
      </w:r>
      <w:r w:rsidR="002C3A85">
        <w:rPr>
          <w:rFonts w:ascii="Arial" w:hAnsi="Arial" w:cs="Arial"/>
          <w:color w:val="000000"/>
        </w:rPr>
        <w:t xml:space="preserve">(the so-called part three </w:t>
      </w:r>
      <w:r w:rsidR="002E1AB3">
        <w:rPr>
          <w:rFonts w:ascii="Arial" w:hAnsi="Arial" w:cs="Arial"/>
          <w:color w:val="000000"/>
        </w:rPr>
        <w:t>of the replying affidavit</w:t>
      </w:r>
      <w:r w:rsidR="002C3A85">
        <w:rPr>
          <w:rFonts w:ascii="Arial" w:hAnsi="Arial" w:cs="Arial"/>
          <w:color w:val="000000"/>
        </w:rPr>
        <w:t>)</w:t>
      </w:r>
      <w:r w:rsidR="002E1AB3">
        <w:rPr>
          <w:rFonts w:ascii="Arial" w:hAnsi="Arial" w:cs="Arial"/>
          <w:color w:val="000000"/>
        </w:rPr>
        <w:t xml:space="preserve"> </w:t>
      </w:r>
      <w:r w:rsidR="00F16384">
        <w:rPr>
          <w:rFonts w:ascii="Arial" w:hAnsi="Arial" w:cs="Arial"/>
          <w:color w:val="000000"/>
        </w:rPr>
        <w:t xml:space="preserve">Sikhova and Hard Rock </w:t>
      </w:r>
      <w:r w:rsidR="00C10BAF">
        <w:rPr>
          <w:rFonts w:ascii="Arial" w:hAnsi="Arial" w:cs="Arial"/>
          <w:color w:val="000000"/>
        </w:rPr>
        <w:t xml:space="preserve">set out responses </w:t>
      </w:r>
      <w:r w:rsidR="00F16384">
        <w:rPr>
          <w:rFonts w:ascii="Arial" w:hAnsi="Arial" w:cs="Arial"/>
          <w:color w:val="000000"/>
        </w:rPr>
        <w:t xml:space="preserve">to specific paragraphs of the answering affidavit and its two supporting affidavits. </w:t>
      </w:r>
      <w:r w:rsidR="00013E7B">
        <w:rPr>
          <w:rFonts w:ascii="Arial" w:hAnsi="Arial" w:cs="Arial"/>
          <w:color w:val="000000"/>
        </w:rPr>
        <w:t>QCK, Lore and Dulostyle urged that s</w:t>
      </w:r>
      <w:r w:rsidR="00B1498A">
        <w:rPr>
          <w:rFonts w:ascii="Arial" w:hAnsi="Arial" w:cs="Arial"/>
          <w:color w:val="000000"/>
        </w:rPr>
        <w:t>everal paragraphs</w:t>
      </w:r>
      <w:r w:rsidR="0043104B">
        <w:rPr>
          <w:rFonts w:ascii="Arial" w:hAnsi="Arial" w:cs="Arial"/>
          <w:color w:val="000000"/>
        </w:rPr>
        <w:t>,</w:t>
      </w:r>
      <w:r w:rsidR="00B1498A">
        <w:rPr>
          <w:rFonts w:ascii="Arial" w:hAnsi="Arial" w:cs="Arial"/>
          <w:color w:val="000000"/>
        </w:rPr>
        <w:t xml:space="preserve"> </w:t>
      </w:r>
      <w:r w:rsidR="0043104B">
        <w:rPr>
          <w:rFonts w:ascii="Arial" w:hAnsi="Arial" w:cs="Arial"/>
          <w:color w:val="000000"/>
        </w:rPr>
        <w:t xml:space="preserve">in </w:t>
      </w:r>
      <w:r w:rsidR="003970B0">
        <w:rPr>
          <w:rFonts w:ascii="Arial" w:hAnsi="Arial" w:cs="Arial"/>
          <w:color w:val="000000"/>
        </w:rPr>
        <w:t>this part of the replying affidavit, in particular</w:t>
      </w:r>
      <w:r w:rsidR="0043104B">
        <w:rPr>
          <w:rFonts w:ascii="Arial" w:hAnsi="Arial" w:cs="Arial"/>
          <w:color w:val="000000"/>
        </w:rPr>
        <w:t>,</w:t>
      </w:r>
      <w:r w:rsidR="003970B0">
        <w:rPr>
          <w:rFonts w:ascii="Arial" w:hAnsi="Arial" w:cs="Arial"/>
          <w:color w:val="000000"/>
        </w:rPr>
        <w:t xml:space="preserve"> paras 3.2, 33, 10.2, 12.2</w:t>
      </w:r>
      <w:r w:rsidR="00CE53DD">
        <w:rPr>
          <w:rFonts w:ascii="Arial" w:hAnsi="Arial" w:cs="Arial"/>
          <w:color w:val="000000"/>
        </w:rPr>
        <w:t xml:space="preserve"> to 12.5</w:t>
      </w:r>
      <w:r w:rsidR="00D317B8">
        <w:rPr>
          <w:rFonts w:ascii="Arial" w:hAnsi="Arial" w:cs="Arial"/>
          <w:color w:val="000000"/>
        </w:rPr>
        <w:t xml:space="preserve">, 13.2 and its subparagraphs, 21.1.2, 25.2 and its subparagraphs, 27, 29,30, 31,33 to 36, 40 and 48 </w:t>
      </w:r>
      <w:r w:rsidR="002E1AB3">
        <w:rPr>
          <w:rFonts w:ascii="Arial" w:hAnsi="Arial" w:cs="Arial"/>
          <w:color w:val="000000"/>
        </w:rPr>
        <w:t xml:space="preserve">and </w:t>
      </w:r>
      <w:r w:rsidR="00D317B8">
        <w:rPr>
          <w:rFonts w:ascii="Arial" w:hAnsi="Arial" w:cs="Arial"/>
          <w:color w:val="000000"/>
        </w:rPr>
        <w:t>all their subparagraphs</w:t>
      </w:r>
      <w:r w:rsidR="0043104B">
        <w:rPr>
          <w:rFonts w:ascii="Arial" w:hAnsi="Arial" w:cs="Arial"/>
          <w:color w:val="000000"/>
        </w:rPr>
        <w:t>,</w:t>
      </w:r>
      <w:r w:rsidR="00013E7B">
        <w:rPr>
          <w:rFonts w:ascii="Arial" w:hAnsi="Arial" w:cs="Arial"/>
          <w:color w:val="000000"/>
        </w:rPr>
        <w:t xml:space="preserve"> be struck out as </w:t>
      </w:r>
      <w:r w:rsidR="001A128A">
        <w:rPr>
          <w:rFonts w:ascii="Arial" w:hAnsi="Arial" w:cs="Arial"/>
          <w:color w:val="000000"/>
        </w:rPr>
        <w:t xml:space="preserve">they contain only argumentative matter; a new matter that should have been contained in the founding affidavit; </w:t>
      </w:r>
      <w:r w:rsidR="0006722A">
        <w:rPr>
          <w:rFonts w:ascii="Arial" w:hAnsi="Arial" w:cs="Arial"/>
          <w:color w:val="000000"/>
        </w:rPr>
        <w:t>or inadmissible evidence</w:t>
      </w:r>
      <w:r w:rsidR="006D5644">
        <w:rPr>
          <w:rFonts w:ascii="Arial" w:hAnsi="Arial" w:cs="Arial"/>
          <w:color w:val="000000"/>
        </w:rPr>
        <w:t xml:space="preserve"> that r</w:t>
      </w:r>
      <w:r w:rsidR="00013E7B">
        <w:rPr>
          <w:rFonts w:ascii="Arial" w:hAnsi="Arial" w:cs="Arial"/>
          <w:color w:val="000000"/>
        </w:rPr>
        <w:t>a</w:t>
      </w:r>
      <w:r w:rsidR="006D5644">
        <w:rPr>
          <w:rFonts w:ascii="Arial" w:hAnsi="Arial" w:cs="Arial"/>
          <w:color w:val="000000"/>
        </w:rPr>
        <w:t>n counter to the parole evidence rule.</w:t>
      </w:r>
    </w:p>
    <w:p w:rsidR="00177DDF" w:rsidRDefault="001E3BC0" w:rsidP="00177DDF">
      <w:pPr>
        <w:adjustRightInd w:val="0"/>
        <w:snapToGrid w:val="0"/>
        <w:spacing w:before="240" w:after="120" w:line="360" w:lineRule="auto"/>
        <w:ind w:left="540" w:hanging="540"/>
        <w:jc w:val="both"/>
        <w:rPr>
          <w:rFonts w:ascii="Arial" w:hAnsi="Arial" w:cs="Arial"/>
          <w:color w:val="000000" w:themeColor="text1"/>
          <w:lang w:val="en-GB"/>
        </w:rPr>
      </w:pPr>
      <w:r>
        <w:rPr>
          <w:rFonts w:ascii="Arial" w:hAnsi="Arial" w:cs="Arial"/>
          <w:color w:val="000000"/>
        </w:rPr>
        <w:t>[</w:t>
      </w:r>
      <w:r w:rsidR="00DD73AB">
        <w:rPr>
          <w:rFonts w:ascii="Arial" w:hAnsi="Arial" w:cs="Arial"/>
          <w:color w:val="000000"/>
        </w:rPr>
        <w:t>30</w:t>
      </w:r>
      <w:r>
        <w:rPr>
          <w:rFonts w:ascii="Arial" w:hAnsi="Arial" w:cs="Arial"/>
          <w:color w:val="000000"/>
        </w:rPr>
        <w:t>]</w:t>
      </w:r>
      <w:r>
        <w:rPr>
          <w:rFonts w:ascii="Arial" w:hAnsi="Arial" w:cs="Arial"/>
          <w:color w:val="000000"/>
        </w:rPr>
        <w:tab/>
      </w:r>
      <w:r w:rsidR="00FC32CE">
        <w:rPr>
          <w:rFonts w:ascii="Arial" w:hAnsi="Arial" w:cs="Arial"/>
          <w:color w:val="000000"/>
        </w:rPr>
        <w:t xml:space="preserve">Some of the </w:t>
      </w:r>
      <w:r w:rsidR="001A1343">
        <w:rPr>
          <w:rFonts w:ascii="Arial" w:hAnsi="Arial" w:cs="Arial"/>
          <w:color w:val="000000"/>
        </w:rPr>
        <w:t xml:space="preserve">assailed </w:t>
      </w:r>
      <w:r w:rsidR="00FC32CE">
        <w:rPr>
          <w:rFonts w:ascii="Arial" w:hAnsi="Arial" w:cs="Arial"/>
          <w:color w:val="000000"/>
        </w:rPr>
        <w:t xml:space="preserve">paragraphs </w:t>
      </w:r>
      <w:r w:rsidR="009A35E3">
        <w:rPr>
          <w:rFonts w:ascii="Arial" w:hAnsi="Arial" w:cs="Arial"/>
          <w:color w:val="000000"/>
        </w:rPr>
        <w:t xml:space="preserve">in part three of the replying affidavit </w:t>
      </w:r>
      <w:r w:rsidR="00FC32CE">
        <w:rPr>
          <w:rFonts w:ascii="Arial" w:hAnsi="Arial" w:cs="Arial"/>
          <w:color w:val="000000"/>
        </w:rPr>
        <w:t>relate to the abandoned declarator</w:t>
      </w:r>
      <w:r w:rsidR="009A35E3">
        <w:rPr>
          <w:rFonts w:ascii="Arial" w:hAnsi="Arial" w:cs="Arial"/>
          <w:color w:val="000000"/>
        </w:rPr>
        <w:t xml:space="preserve"> and some</w:t>
      </w:r>
      <w:r w:rsidR="009E6A3C">
        <w:rPr>
          <w:rFonts w:ascii="Arial" w:hAnsi="Arial" w:cs="Arial"/>
          <w:color w:val="000000"/>
        </w:rPr>
        <w:t>,</w:t>
      </w:r>
      <w:r w:rsidR="009A35E3">
        <w:rPr>
          <w:rFonts w:ascii="Arial" w:hAnsi="Arial" w:cs="Arial"/>
          <w:color w:val="000000"/>
        </w:rPr>
        <w:t xml:space="preserve"> which seek to refute the averments contained in the answering affidavit,</w:t>
      </w:r>
      <w:r w:rsidR="002C3A85">
        <w:rPr>
          <w:rFonts w:ascii="Arial" w:hAnsi="Arial" w:cs="Arial"/>
          <w:color w:val="000000"/>
        </w:rPr>
        <w:t xml:space="preserve"> </w:t>
      </w:r>
      <w:r w:rsidR="009A35E3">
        <w:rPr>
          <w:rFonts w:ascii="Arial" w:hAnsi="Arial" w:cs="Arial"/>
          <w:color w:val="000000"/>
        </w:rPr>
        <w:t>f</w:t>
      </w:r>
      <w:r w:rsidR="00D74F9D">
        <w:rPr>
          <w:rFonts w:ascii="Arial" w:hAnsi="Arial" w:cs="Arial"/>
          <w:color w:val="000000"/>
        </w:rPr>
        <w:t>or the most part</w:t>
      </w:r>
      <w:r w:rsidR="00E34F98">
        <w:rPr>
          <w:rFonts w:ascii="Arial" w:hAnsi="Arial" w:cs="Arial"/>
          <w:color w:val="000000"/>
        </w:rPr>
        <w:t>,</w:t>
      </w:r>
      <w:r w:rsidR="00D74F9D">
        <w:rPr>
          <w:rFonts w:ascii="Arial" w:hAnsi="Arial" w:cs="Arial"/>
          <w:color w:val="000000"/>
        </w:rPr>
        <w:t xml:space="preserve"> </w:t>
      </w:r>
      <w:r w:rsidR="009E6A3C">
        <w:rPr>
          <w:rFonts w:ascii="Arial" w:hAnsi="Arial" w:cs="Arial"/>
          <w:color w:val="000000"/>
        </w:rPr>
        <w:t xml:space="preserve">are </w:t>
      </w:r>
      <w:r w:rsidR="009A35E3">
        <w:rPr>
          <w:rFonts w:ascii="Arial" w:hAnsi="Arial" w:cs="Arial"/>
          <w:color w:val="000000"/>
        </w:rPr>
        <w:t xml:space="preserve">either </w:t>
      </w:r>
      <w:r w:rsidR="00FC32CE">
        <w:rPr>
          <w:rFonts w:ascii="Arial" w:hAnsi="Arial" w:cs="Arial"/>
          <w:color w:val="000000"/>
        </w:rPr>
        <w:t>argumentative</w:t>
      </w:r>
      <w:r w:rsidR="00497AF5">
        <w:rPr>
          <w:rFonts w:ascii="Arial" w:hAnsi="Arial" w:cs="Arial"/>
          <w:color w:val="000000"/>
        </w:rPr>
        <w:t xml:space="preserve">, </w:t>
      </w:r>
      <w:r w:rsidR="00D92153">
        <w:rPr>
          <w:rFonts w:ascii="Arial" w:hAnsi="Arial" w:cs="Arial"/>
          <w:color w:val="000000"/>
        </w:rPr>
        <w:t>repetitive</w:t>
      </w:r>
      <w:r w:rsidR="00676D16">
        <w:rPr>
          <w:rFonts w:ascii="Arial" w:hAnsi="Arial" w:cs="Arial"/>
          <w:color w:val="000000"/>
        </w:rPr>
        <w:t xml:space="preserve"> </w:t>
      </w:r>
      <w:r w:rsidR="009A35E3">
        <w:rPr>
          <w:rFonts w:ascii="Arial" w:hAnsi="Arial" w:cs="Arial"/>
          <w:color w:val="000000"/>
        </w:rPr>
        <w:t xml:space="preserve">or </w:t>
      </w:r>
      <w:r w:rsidR="00497AF5">
        <w:rPr>
          <w:rFonts w:ascii="Arial" w:hAnsi="Arial" w:cs="Arial"/>
          <w:color w:val="000000"/>
        </w:rPr>
        <w:t>seek to introduce new evidence</w:t>
      </w:r>
      <w:r w:rsidR="00416CB6">
        <w:rPr>
          <w:rFonts w:ascii="Arial" w:hAnsi="Arial" w:cs="Arial"/>
          <w:color w:val="000000"/>
        </w:rPr>
        <w:t>.</w:t>
      </w:r>
      <w:r w:rsidR="002C3A85">
        <w:rPr>
          <w:rFonts w:ascii="Arial" w:hAnsi="Arial" w:cs="Arial"/>
          <w:color w:val="000000"/>
        </w:rPr>
        <w:t xml:space="preserve"> This ought to be strongly deprecated. </w:t>
      </w:r>
      <w:r w:rsidR="004263F1">
        <w:rPr>
          <w:rFonts w:ascii="Arial" w:hAnsi="Arial" w:cs="Arial"/>
          <w:color w:val="000000"/>
        </w:rPr>
        <w:t xml:space="preserve">However, I am unpersuaded that the impugned paragraphs should </w:t>
      </w:r>
      <w:r w:rsidR="004263F1">
        <w:rPr>
          <w:rFonts w:ascii="Arial" w:hAnsi="Arial" w:cs="Arial"/>
          <w:color w:val="000000"/>
        </w:rPr>
        <w:lastRenderedPageBreak/>
        <w:t xml:space="preserve">be </w:t>
      </w:r>
      <w:r w:rsidR="009E6A3C">
        <w:rPr>
          <w:rFonts w:ascii="Arial" w:hAnsi="Arial" w:cs="Arial"/>
          <w:color w:val="000000"/>
        </w:rPr>
        <w:t>s</w:t>
      </w:r>
      <w:r w:rsidR="004263F1">
        <w:rPr>
          <w:rFonts w:ascii="Arial" w:hAnsi="Arial" w:cs="Arial"/>
          <w:color w:val="000000"/>
        </w:rPr>
        <w:t>truck out</w:t>
      </w:r>
      <w:r w:rsidR="00651FBC">
        <w:rPr>
          <w:rFonts w:ascii="Arial" w:hAnsi="Arial" w:cs="Arial"/>
          <w:color w:val="000000"/>
        </w:rPr>
        <w:t>.</w:t>
      </w:r>
      <w:r w:rsidR="003A1623">
        <w:rPr>
          <w:rFonts w:ascii="Arial" w:hAnsi="Arial" w:cs="Arial"/>
          <w:color w:val="000000"/>
        </w:rPr>
        <w:t xml:space="preserve"> </w:t>
      </w:r>
      <w:r w:rsidR="002C3A85">
        <w:rPr>
          <w:rFonts w:ascii="Arial" w:hAnsi="Arial" w:cs="Arial"/>
          <w:color w:val="000000"/>
        </w:rPr>
        <w:t xml:space="preserve">It is so that an applicant is entitled to file a replying affidavit. </w:t>
      </w:r>
      <w:r w:rsidR="00D46B07">
        <w:rPr>
          <w:rFonts w:ascii="Arial" w:hAnsi="Arial" w:cs="Arial"/>
          <w:color w:val="000000"/>
        </w:rPr>
        <w:t xml:space="preserve">Even though the </w:t>
      </w:r>
      <w:r w:rsidR="002C3A85">
        <w:rPr>
          <w:rFonts w:ascii="Arial" w:hAnsi="Arial" w:cs="Arial"/>
          <w:color w:val="000000"/>
        </w:rPr>
        <w:t xml:space="preserve">averments are inelegantly </w:t>
      </w:r>
      <w:r w:rsidR="003A1623">
        <w:rPr>
          <w:rFonts w:ascii="Arial" w:hAnsi="Arial" w:cs="Arial"/>
          <w:color w:val="000000"/>
        </w:rPr>
        <w:t>ph</w:t>
      </w:r>
      <w:r w:rsidR="001A1343">
        <w:rPr>
          <w:rFonts w:ascii="Arial" w:hAnsi="Arial" w:cs="Arial"/>
          <w:color w:val="000000"/>
        </w:rPr>
        <w:t>r</w:t>
      </w:r>
      <w:r w:rsidR="003A1623">
        <w:rPr>
          <w:rFonts w:ascii="Arial" w:hAnsi="Arial" w:cs="Arial"/>
          <w:color w:val="000000"/>
        </w:rPr>
        <w:t>ased</w:t>
      </w:r>
      <w:r w:rsidR="004263F1">
        <w:rPr>
          <w:rFonts w:ascii="Arial" w:hAnsi="Arial" w:cs="Arial"/>
          <w:color w:val="000000"/>
        </w:rPr>
        <w:t xml:space="preserve"> </w:t>
      </w:r>
      <w:r w:rsidR="002C3A85">
        <w:rPr>
          <w:rFonts w:ascii="Arial" w:hAnsi="Arial" w:cs="Arial"/>
          <w:color w:val="000000"/>
        </w:rPr>
        <w:t>i</w:t>
      </w:r>
      <w:r w:rsidR="00416CB6">
        <w:rPr>
          <w:rFonts w:ascii="Arial" w:hAnsi="Arial" w:cs="Arial"/>
          <w:color w:val="000000"/>
        </w:rPr>
        <w:t xml:space="preserve">t is to be borne in mind that </w:t>
      </w:r>
      <w:r w:rsidR="00932844" w:rsidRPr="00A63692">
        <w:rPr>
          <w:rFonts w:ascii="Arial" w:hAnsi="Arial" w:cs="Arial"/>
          <w:color w:val="000000" w:themeColor="text1"/>
          <w:lang w:val="en-GB"/>
        </w:rPr>
        <w:t xml:space="preserve">Judges </w:t>
      </w:r>
      <w:r w:rsidR="00416CB6">
        <w:rPr>
          <w:rFonts w:ascii="Arial" w:hAnsi="Arial" w:cs="Arial"/>
          <w:color w:val="000000" w:themeColor="text1"/>
          <w:lang w:val="en-GB"/>
        </w:rPr>
        <w:t xml:space="preserve">do </w:t>
      </w:r>
      <w:r w:rsidR="00932844" w:rsidRPr="00A63692">
        <w:rPr>
          <w:rFonts w:ascii="Arial" w:hAnsi="Arial" w:cs="Arial"/>
          <w:color w:val="000000"/>
        </w:rPr>
        <w:t xml:space="preserve">disabuse their minds of </w:t>
      </w:r>
      <w:bookmarkStart w:id="4" w:name="LPHit8"/>
      <w:bookmarkEnd w:id="4"/>
      <w:r w:rsidR="00932844" w:rsidRPr="00A63692">
        <w:rPr>
          <w:rFonts w:ascii="Arial" w:hAnsi="Arial" w:cs="Arial"/>
          <w:color w:val="000000"/>
        </w:rPr>
        <w:t>any vexatious, scandalous or irrelevant matter contained in the affidavits.</w:t>
      </w:r>
      <w:r w:rsidR="00932844" w:rsidRPr="00A63692">
        <w:rPr>
          <w:rStyle w:val="FootnoteReference"/>
          <w:rFonts w:ascii="Arial" w:hAnsi="Arial" w:cs="Arial"/>
          <w:color w:val="000000"/>
        </w:rPr>
        <w:footnoteReference w:id="7"/>
      </w:r>
      <w:r w:rsidR="00177DDF">
        <w:rPr>
          <w:rFonts w:ascii="Arial" w:hAnsi="Arial" w:cs="Arial"/>
          <w:color w:val="000000"/>
        </w:rPr>
        <w:t xml:space="preserve"> For this reason</w:t>
      </w:r>
      <w:r w:rsidR="009A35E3">
        <w:rPr>
          <w:rFonts w:ascii="Arial" w:hAnsi="Arial" w:cs="Arial"/>
          <w:color w:val="000000"/>
        </w:rPr>
        <w:t xml:space="preserve"> </w:t>
      </w:r>
      <w:r w:rsidR="00177DDF" w:rsidRPr="00FD20E5">
        <w:rPr>
          <w:rFonts w:ascii="Arial" w:hAnsi="Arial" w:cs="Arial"/>
          <w:color w:val="000000" w:themeColor="text1"/>
          <w:lang w:val="en-GB"/>
        </w:rPr>
        <w:t xml:space="preserve">the application to strike out </w:t>
      </w:r>
      <w:r w:rsidR="009A35E3">
        <w:rPr>
          <w:rFonts w:ascii="Arial" w:hAnsi="Arial" w:cs="Arial"/>
          <w:color w:val="000000" w:themeColor="text1"/>
          <w:lang w:val="en-GB"/>
        </w:rPr>
        <w:t xml:space="preserve">the identified paragraphs in part three of the replying affidavit ought to fail. </w:t>
      </w:r>
      <w:r w:rsidR="009E6A3C">
        <w:rPr>
          <w:rFonts w:ascii="Arial" w:hAnsi="Arial" w:cs="Arial"/>
          <w:color w:val="000000" w:themeColor="text1"/>
          <w:lang w:val="en-GB"/>
        </w:rPr>
        <w:t xml:space="preserve">It follows </w:t>
      </w:r>
      <w:r w:rsidR="009A35E3">
        <w:rPr>
          <w:rFonts w:ascii="Arial" w:hAnsi="Arial" w:cs="Arial"/>
          <w:color w:val="000000" w:themeColor="text1"/>
          <w:lang w:val="en-GB"/>
        </w:rPr>
        <w:t>th</w:t>
      </w:r>
      <w:r w:rsidR="009E6A3C">
        <w:rPr>
          <w:rFonts w:ascii="Arial" w:hAnsi="Arial" w:cs="Arial"/>
          <w:color w:val="000000" w:themeColor="text1"/>
          <w:lang w:val="en-GB"/>
        </w:rPr>
        <w:t xml:space="preserve">at the </w:t>
      </w:r>
      <w:r w:rsidR="009A35E3">
        <w:rPr>
          <w:rFonts w:ascii="Arial" w:hAnsi="Arial" w:cs="Arial"/>
          <w:color w:val="000000" w:themeColor="text1"/>
          <w:lang w:val="en-GB"/>
        </w:rPr>
        <w:t xml:space="preserve">application </w:t>
      </w:r>
      <w:r w:rsidR="009E6A3C">
        <w:rPr>
          <w:rFonts w:ascii="Arial" w:hAnsi="Arial" w:cs="Arial"/>
          <w:color w:val="000000" w:themeColor="text1"/>
          <w:lang w:val="en-GB"/>
        </w:rPr>
        <w:t xml:space="preserve">to strike out should </w:t>
      </w:r>
      <w:r w:rsidR="00177DDF" w:rsidRPr="00FD20E5">
        <w:rPr>
          <w:rFonts w:ascii="Arial" w:hAnsi="Arial" w:cs="Arial"/>
          <w:color w:val="000000" w:themeColor="text1"/>
          <w:lang w:val="en-GB"/>
        </w:rPr>
        <w:t xml:space="preserve">succeed only in part. </w:t>
      </w:r>
    </w:p>
    <w:p w:rsidR="00C76BFD" w:rsidRPr="00177DDF" w:rsidRDefault="00C76BFD" w:rsidP="00177DDF">
      <w:pPr>
        <w:adjustRightInd w:val="0"/>
        <w:snapToGrid w:val="0"/>
        <w:spacing w:before="240" w:after="120" w:line="360" w:lineRule="auto"/>
        <w:ind w:left="540" w:hanging="540"/>
        <w:jc w:val="both"/>
        <w:rPr>
          <w:rFonts w:ascii="Arial" w:hAnsi="Arial" w:cs="Arial"/>
          <w:color w:val="000000" w:themeColor="text1"/>
          <w:lang w:val="en-GB"/>
        </w:rPr>
      </w:pPr>
      <w:r w:rsidRPr="00EC6020">
        <w:rPr>
          <w:rFonts w:ascii="Arial" w:hAnsi="Arial" w:cs="Arial"/>
          <w:b/>
          <w:color w:val="000000"/>
        </w:rPr>
        <w:t xml:space="preserve">Discussion on the spoliatory relief </w:t>
      </w:r>
    </w:p>
    <w:p w:rsidR="002F0937" w:rsidRDefault="00583255" w:rsidP="00583255">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3</w:t>
      </w:r>
      <w:r w:rsidR="00DD73AB">
        <w:rPr>
          <w:rFonts w:ascii="Arial" w:hAnsi="Arial" w:cs="Arial"/>
          <w:color w:val="000000"/>
        </w:rPr>
        <w:t>1</w:t>
      </w:r>
      <w:r>
        <w:rPr>
          <w:rFonts w:ascii="Arial" w:hAnsi="Arial" w:cs="Arial"/>
          <w:color w:val="000000"/>
        </w:rPr>
        <w:t>]</w:t>
      </w:r>
      <w:r>
        <w:rPr>
          <w:rFonts w:ascii="Arial" w:hAnsi="Arial" w:cs="Arial"/>
          <w:color w:val="000000"/>
        </w:rPr>
        <w:tab/>
      </w:r>
      <w:r w:rsidR="002F0937" w:rsidRPr="00CC67D9">
        <w:rPr>
          <w:rFonts w:ascii="Arial" w:hAnsi="Arial" w:cs="Arial"/>
        </w:rPr>
        <w:t xml:space="preserve">The spoliation application was </w:t>
      </w:r>
      <w:r w:rsidR="003E5BDD">
        <w:rPr>
          <w:rFonts w:ascii="Arial" w:hAnsi="Arial" w:cs="Arial"/>
        </w:rPr>
        <w:t xml:space="preserve">launched </w:t>
      </w:r>
      <w:r w:rsidR="002F0937" w:rsidRPr="00CC67D9">
        <w:rPr>
          <w:rFonts w:ascii="Arial" w:hAnsi="Arial" w:cs="Arial"/>
        </w:rPr>
        <w:t xml:space="preserve">on 23 September 2020, </w:t>
      </w:r>
      <w:r w:rsidR="00F70390">
        <w:rPr>
          <w:rFonts w:ascii="Arial" w:hAnsi="Arial" w:cs="Arial"/>
        </w:rPr>
        <w:t xml:space="preserve">some </w:t>
      </w:r>
      <w:r w:rsidR="002F0937" w:rsidRPr="00CC67D9">
        <w:rPr>
          <w:rFonts w:ascii="Arial" w:hAnsi="Arial" w:cs="Arial"/>
        </w:rPr>
        <w:t xml:space="preserve">nine months </w:t>
      </w:r>
      <w:r w:rsidR="00570DB6">
        <w:rPr>
          <w:rFonts w:ascii="Arial" w:hAnsi="Arial" w:cs="Arial"/>
        </w:rPr>
        <w:t xml:space="preserve">following </w:t>
      </w:r>
      <w:r w:rsidR="001F7E6B">
        <w:rPr>
          <w:rFonts w:ascii="Arial" w:hAnsi="Arial" w:cs="Arial"/>
        </w:rPr>
        <w:t>the spoliat</w:t>
      </w:r>
      <w:r w:rsidR="003E5BDD">
        <w:rPr>
          <w:rFonts w:ascii="Arial" w:hAnsi="Arial" w:cs="Arial"/>
        </w:rPr>
        <w:t xml:space="preserve">ory </w:t>
      </w:r>
      <w:r w:rsidR="001F7E6B">
        <w:rPr>
          <w:rFonts w:ascii="Arial" w:hAnsi="Arial" w:cs="Arial"/>
        </w:rPr>
        <w:t xml:space="preserve">event of </w:t>
      </w:r>
      <w:r w:rsidR="002F0937" w:rsidRPr="00CC67D9">
        <w:rPr>
          <w:rFonts w:ascii="Arial" w:hAnsi="Arial" w:cs="Arial"/>
        </w:rPr>
        <w:t>early January 2020.</w:t>
      </w:r>
      <w:r w:rsidR="002F0937" w:rsidRPr="00CC67D9">
        <w:rPr>
          <w:rFonts w:ascii="Arial" w:hAnsi="Arial" w:cs="Arial"/>
          <w:color w:val="000000"/>
        </w:rPr>
        <w:t xml:space="preserve"> Although </w:t>
      </w:r>
      <w:r w:rsidR="00024F4E">
        <w:rPr>
          <w:rFonts w:ascii="Arial" w:hAnsi="Arial" w:cs="Arial"/>
          <w:color w:val="000000"/>
        </w:rPr>
        <w:t xml:space="preserve">this ought not to be taken as </w:t>
      </w:r>
      <w:r w:rsidR="002F0937" w:rsidRPr="00CC67D9">
        <w:rPr>
          <w:rFonts w:ascii="Arial" w:hAnsi="Arial" w:cs="Arial"/>
          <w:color w:val="000000"/>
        </w:rPr>
        <w:t>consistent with </w:t>
      </w:r>
      <w:r w:rsidR="002F0937" w:rsidRPr="00CC67D9">
        <w:rPr>
          <w:rFonts w:ascii="Arial" w:hAnsi="Arial" w:cs="Arial"/>
          <w:iCs/>
          <w:color w:val="000000"/>
        </w:rPr>
        <w:t>acquiescence</w:t>
      </w:r>
      <w:r w:rsidR="002F0937" w:rsidRPr="00CC67D9">
        <w:rPr>
          <w:rFonts w:ascii="Arial" w:hAnsi="Arial" w:cs="Arial"/>
          <w:color w:val="000000"/>
        </w:rPr>
        <w:t> in the dispossession</w:t>
      </w:r>
      <w:r w:rsidR="001F7E6B">
        <w:rPr>
          <w:rFonts w:ascii="Arial" w:hAnsi="Arial" w:cs="Arial"/>
          <w:color w:val="000000"/>
        </w:rPr>
        <w:t>,</w:t>
      </w:r>
      <w:r w:rsidR="002F0937" w:rsidRPr="00CC67D9">
        <w:rPr>
          <w:rFonts w:ascii="Arial" w:hAnsi="Arial" w:cs="Arial"/>
        </w:rPr>
        <w:t xml:space="preserve"> the delay is </w:t>
      </w:r>
      <w:r w:rsidR="00C33209">
        <w:rPr>
          <w:rFonts w:ascii="Arial" w:hAnsi="Arial" w:cs="Arial"/>
        </w:rPr>
        <w:t>inordinate</w:t>
      </w:r>
      <w:r w:rsidR="002F0937" w:rsidRPr="00CC67D9">
        <w:rPr>
          <w:rFonts w:ascii="Arial" w:hAnsi="Arial" w:cs="Arial"/>
        </w:rPr>
        <w:t xml:space="preserve">. </w:t>
      </w:r>
      <w:r w:rsidR="002F0937" w:rsidRPr="00CC67D9">
        <w:rPr>
          <w:rFonts w:ascii="Arial" w:hAnsi="Arial" w:cs="Arial"/>
          <w:color w:val="000000"/>
        </w:rPr>
        <w:t xml:space="preserve">The </w:t>
      </w:r>
      <w:r w:rsidR="002F0937">
        <w:rPr>
          <w:rFonts w:ascii="Arial" w:hAnsi="Arial" w:cs="Arial"/>
          <w:color w:val="000000"/>
        </w:rPr>
        <w:t xml:space="preserve">established </w:t>
      </w:r>
      <w:r w:rsidR="002F0937" w:rsidRPr="00CC67D9">
        <w:rPr>
          <w:rFonts w:ascii="Arial" w:hAnsi="Arial" w:cs="Arial"/>
          <w:color w:val="000000"/>
        </w:rPr>
        <w:t>principle is that spoliation must be adjudicated upon </w:t>
      </w:r>
      <w:r w:rsidR="002F0937" w:rsidRPr="00CC67D9">
        <w:rPr>
          <w:rFonts w:ascii="Arial" w:hAnsi="Arial" w:cs="Arial"/>
          <w:i/>
          <w:iCs/>
          <w:color w:val="000000"/>
        </w:rPr>
        <w:t>ante omnia</w:t>
      </w:r>
      <w:r w:rsidR="002F0937" w:rsidRPr="00CC67D9">
        <w:rPr>
          <w:rFonts w:ascii="Arial" w:hAnsi="Arial" w:cs="Arial"/>
          <w:color w:val="000000"/>
        </w:rPr>
        <w:t xml:space="preserve"> and thus speedily. </w:t>
      </w:r>
    </w:p>
    <w:p w:rsidR="00832760" w:rsidRPr="00D65AF6" w:rsidRDefault="002F0937" w:rsidP="00832760">
      <w:pPr>
        <w:spacing w:before="0" w:beforeAutospacing="0" w:after="0" w:afterAutospacing="0"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3</w:t>
      </w:r>
      <w:r w:rsidR="00DD73AB">
        <w:rPr>
          <w:rFonts w:ascii="Arial" w:hAnsi="Arial" w:cs="Arial"/>
          <w:color w:val="000000"/>
        </w:rPr>
        <w:t>2</w:t>
      </w:r>
      <w:r>
        <w:rPr>
          <w:rFonts w:ascii="Arial" w:hAnsi="Arial" w:cs="Arial"/>
          <w:color w:val="000000"/>
        </w:rPr>
        <w:t>]</w:t>
      </w:r>
      <w:r>
        <w:rPr>
          <w:rFonts w:ascii="Arial" w:hAnsi="Arial" w:cs="Arial"/>
          <w:color w:val="000000"/>
        </w:rPr>
        <w:tab/>
      </w:r>
      <w:r w:rsidR="00832760" w:rsidRPr="00D65AF6">
        <w:rPr>
          <w:rFonts w:ascii="Arial" w:hAnsi="Arial" w:cs="Arial"/>
          <w:color w:val="000000"/>
        </w:rPr>
        <w:t>The requirements for spoliation are </w:t>
      </w:r>
      <w:r w:rsidR="00832760" w:rsidRPr="00D65AF6">
        <w:rPr>
          <w:rFonts w:ascii="Arial" w:hAnsi="Arial" w:cs="Arial"/>
          <w:i/>
          <w:iCs/>
          <w:color w:val="000000"/>
        </w:rPr>
        <w:t>(a)</w:t>
      </w:r>
      <w:r w:rsidR="00832760" w:rsidRPr="00D65AF6">
        <w:rPr>
          <w:rFonts w:ascii="Arial" w:hAnsi="Arial" w:cs="Arial"/>
          <w:color w:val="000000"/>
        </w:rPr>
        <w:t> peaceful and undisturbed possession of a thing; and </w:t>
      </w:r>
      <w:r w:rsidR="00832760" w:rsidRPr="00D65AF6">
        <w:rPr>
          <w:rFonts w:ascii="Arial" w:hAnsi="Arial" w:cs="Arial"/>
          <w:i/>
          <w:iCs/>
          <w:color w:val="000000"/>
        </w:rPr>
        <w:t>(b)</w:t>
      </w:r>
      <w:r w:rsidR="00832760" w:rsidRPr="00D65AF6">
        <w:rPr>
          <w:rFonts w:ascii="Arial" w:hAnsi="Arial" w:cs="Arial"/>
          <w:color w:val="000000"/>
        </w:rPr>
        <w:t> unlawful deprivation of such possession.</w:t>
      </w:r>
      <w:r w:rsidR="00832760" w:rsidRPr="00D65AF6">
        <w:rPr>
          <w:rStyle w:val="FootnoteReference"/>
          <w:rFonts w:ascii="Arial" w:hAnsi="Arial" w:cs="Arial"/>
          <w:color w:val="000000"/>
        </w:rPr>
        <w:footnoteReference w:id="8"/>
      </w:r>
      <w:r w:rsidR="00832760" w:rsidRPr="00D65AF6">
        <w:rPr>
          <w:rFonts w:ascii="Arial" w:hAnsi="Arial" w:cs="Arial"/>
          <w:color w:val="000000"/>
        </w:rPr>
        <w:t xml:space="preserve">  As I see it, insofar as Sikhova had gained access to the farm</w:t>
      </w:r>
      <w:r w:rsidR="001C43B7" w:rsidRPr="00D65AF6">
        <w:rPr>
          <w:rFonts w:ascii="Arial" w:hAnsi="Arial" w:cs="Arial"/>
          <w:color w:val="000000"/>
        </w:rPr>
        <w:t xml:space="preserve"> and conducted some </w:t>
      </w:r>
      <w:r w:rsidR="00F5240E" w:rsidRPr="00D65AF6">
        <w:rPr>
          <w:rFonts w:ascii="Arial" w:hAnsi="Arial" w:cs="Arial"/>
          <w:color w:val="000000"/>
        </w:rPr>
        <w:t>mining operations</w:t>
      </w:r>
      <w:r w:rsidR="003770AB">
        <w:rPr>
          <w:rFonts w:ascii="Arial" w:hAnsi="Arial" w:cs="Arial"/>
          <w:color w:val="000000"/>
        </w:rPr>
        <w:t>,</w:t>
      </w:r>
      <w:r w:rsidR="00832760" w:rsidRPr="00D65AF6">
        <w:rPr>
          <w:rFonts w:ascii="Arial" w:hAnsi="Arial" w:cs="Arial"/>
          <w:color w:val="000000"/>
        </w:rPr>
        <w:t xml:space="preserve"> the determination of possession does not arise</w:t>
      </w:r>
      <w:r w:rsidR="001F7E6B" w:rsidRPr="00D65AF6">
        <w:rPr>
          <w:rFonts w:ascii="Arial" w:hAnsi="Arial" w:cs="Arial"/>
          <w:color w:val="000000"/>
        </w:rPr>
        <w:t xml:space="preserve"> because it was established</w:t>
      </w:r>
      <w:r w:rsidR="00832760" w:rsidRPr="00D65AF6">
        <w:rPr>
          <w:rFonts w:ascii="Arial" w:hAnsi="Arial" w:cs="Arial"/>
          <w:color w:val="000000"/>
        </w:rPr>
        <w:t xml:space="preserve">. What ought to be considered is the unlawful deprivation of possession. On this aspect </w:t>
      </w:r>
      <w:r w:rsidR="00847778">
        <w:rPr>
          <w:rFonts w:ascii="Arial" w:hAnsi="Arial" w:cs="Arial"/>
          <w:color w:val="000000"/>
        </w:rPr>
        <w:t xml:space="preserve">the </w:t>
      </w:r>
      <w:r w:rsidR="00854659" w:rsidRPr="00D65AF6">
        <w:rPr>
          <w:rFonts w:ascii="Arial" w:hAnsi="Arial" w:cs="Arial"/>
          <w:color w:val="000000"/>
        </w:rPr>
        <w:t>evidence as contained in the affidavits</w:t>
      </w:r>
      <w:r w:rsidR="00832760" w:rsidRPr="00D65AF6">
        <w:rPr>
          <w:rFonts w:ascii="Arial" w:hAnsi="Arial" w:cs="Arial"/>
          <w:color w:val="000000"/>
        </w:rPr>
        <w:t xml:space="preserve"> raised disputes of fact which </w:t>
      </w:r>
      <w:r w:rsidR="00F5240E" w:rsidRPr="00D65AF6">
        <w:rPr>
          <w:rFonts w:ascii="Arial" w:hAnsi="Arial" w:cs="Arial"/>
          <w:color w:val="000000"/>
        </w:rPr>
        <w:t xml:space="preserve">QCK and Lore </w:t>
      </w:r>
      <w:r w:rsidR="00832760" w:rsidRPr="00D65AF6">
        <w:rPr>
          <w:rFonts w:ascii="Arial" w:hAnsi="Arial" w:cs="Arial"/>
          <w:color w:val="000000"/>
        </w:rPr>
        <w:t>contended both in this Court and in the court a</w:t>
      </w:r>
      <w:r w:rsidR="003770AB">
        <w:rPr>
          <w:rFonts w:ascii="Arial" w:hAnsi="Arial" w:cs="Arial"/>
          <w:color w:val="000000"/>
        </w:rPr>
        <w:t xml:space="preserve"> </w:t>
      </w:r>
      <w:r w:rsidR="00832760" w:rsidRPr="00D65AF6">
        <w:rPr>
          <w:rFonts w:ascii="Arial" w:hAnsi="Arial" w:cs="Arial"/>
          <w:color w:val="000000"/>
        </w:rPr>
        <w:t xml:space="preserve">quo that they </w:t>
      </w:r>
      <w:r w:rsidR="00976D9D">
        <w:rPr>
          <w:rFonts w:ascii="Arial" w:hAnsi="Arial" w:cs="Arial"/>
          <w:color w:val="000000"/>
        </w:rPr>
        <w:t xml:space="preserve">warranted to </w:t>
      </w:r>
      <w:r w:rsidR="00854659" w:rsidRPr="00D65AF6">
        <w:rPr>
          <w:rFonts w:ascii="Arial" w:hAnsi="Arial" w:cs="Arial"/>
          <w:color w:val="000000"/>
        </w:rPr>
        <w:t>be interrogated through the prism of the time-honoured rule in </w:t>
      </w:r>
      <w:r w:rsidR="00854659" w:rsidRPr="00D65AF6">
        <w:rPr>
          <w:rFonts w:ascii="Arial" w:hAnsi="Arial" w:cs="Arial"/>
          <w:i/>
          <w:iCs/>
          <w:color w:val="000000"/>
        </w:rPr>
        <w:t>Plascon-Evans</w:t>
      </w:r>
      <w:r w:rsidR="00D65AF6" w:rsidRPr="00D65AF6">
        <w:rPr>
          <w:rFonts w:ascii="Arial" w:hAnsi="Arial" w:cs="Arial"/>
          <w:i/>
          <w:iCs/>
          <w:color w:val="000000"/>
        </w:rPr>
        <w:t>.</w:t>
      </w:r>
      <w:r w:rsidR="00854659" w:rsidRPr="00D65AF6">
        <w:rPr>
          <w:rStyle w:val="FootnoteReference"/>
          <w:rFonts w:ascii="Arial" w:hAnsi="Arial" w:cs="Arial"/>
          <w:i/>
          <w:iCs/>
          <w:color w:val="000000"/>
        </w:rPr>
        <w:footnoteReference w:id="9"/>
      </w:r>
      <w:r w:rsidR="00D65AF6" w:rsidRPr="00D65AF6">
        <w:rPr>
          <w:rFonts w:ascii="Arial" w:hAnsi="Arial" w:cs="Arial"/>
          <w:i/>
          <w:iCs/>
          <w:color w:val="000000"/>
        </w:rPr>
        <w:t xml:space="preserve"> </w:t>
      </w:r>
    </w:p>
    <w:p w:rsidR="00832760" w:rsidRPr="00D65AF6" w:rsidRDefault="00832760" w:rsidP="00832760">
      <w:pPr>
        <w:spacing w:before="0" w:beforeAutospacing="0" w:after="0" w:afterAutospacing="0" w:line="360" w:lineRule="auto"/>
        <w:ind w:left="562" w:hanging="562"/>
        <w:jc w:val="both"/>
        <w:rPr>
          <w:rFonts w:ascii="Arial" w:hAnsi="Arial" w:cs="Arial"/>
          <w:color w:val="000000"/>
        </w:rPr>
      </w:pPr>
    </w:p>
    <w:p w:rsidR="00583255" w:rsidRPr="003E3E6B" w:rsidRDefault="00832760" w:rsidP="00832760">
      <w:pPr>
        <w:spacing w:before="0" w:beforeAutospacing="0" w:after="0" w:afterAutospacing="0"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3</w:t>
      </w:r>
      <w:r w:rsidR="00DD73AB">
        <w:rPr>
          <w:rFonts w:ascii="Arial" w:hAnsi="Arial" w:cs="Arial"/>
          <w:color w:val="000000"/>
        </w:rPr>
        <w:t>3</w:t>
      </w:r>
      <w:r>
        <w:rPr>
          <w:rFonts w:ascii="Arial" w:hAnsi="Arial" w:cs="Arial"/>
          <w:color w:val="000000"/>
        </w:rPr>
        <w:t>]</w:t>
      </w:r>
      <w:r>
        <w:rPr>
          <w:rFonts w:ascii="Arial" w:hAnsi="Arial" w:cs="Arial"/>
          <w:color w:val="000000"/>
        </w:rPr>
        <w:tab/>
      </w:r>
      <w:r w:rsidR="00583255" w:rsidRPr="003E3E6B">
        <w:rPr>
          <w:rFonts w:ascii="Arial" w:hAnsi="Arial" w:cs="Arial"/>
          <w:color w:val="000000"/>
        </w:rPr>
        <w:t xml:space="preserve">The spoliation relief sought against QCK and Dulostyle </w:t>
      </w:r>
      <w:r w:rsidR="00847778">
        <w:rPr>
          <w:rFonts w:ascii="Arial" w:hAnsi="Arial" w:cs="Arial"/>
          <w:color w:val="000000"/>
        </w:rPr>
        <w:t xml:space="preserve">was </w:t>
      </w:r>
      <w:r w:rsidR="00583255" w:rsidRPr="003E3E6B">
        <w:rPr>
          <w:rFonts w:ascii="Arial" w:hAnsi="Arial" w:cs="Arial"/>
          <w:color w:val="000000"/>
        </w:rPr>
        <w:t>final in effect. In terms of the</w:t>
      </w:r>
      <w:r w:rsidR="00FF3958">
        <w:rPr>
          <w:rFonts w:ascii="Arial" w:hAnsi="Arial" w:cs="Arial"/>
          <w:color w:val="000000"/>
        </w:rPr>
        <w:t xml:space="preserve"> </w:t>
      </w:r>
      <w:r w:rsidR="00583255" w:rsidRPr="003E3E6B">
        <w:rPr>
          <w:rFonts w:ascii="Arial" w:hAnsi="Arial" w:cs="Arial"/>
          <w:i/>
          <w:iCs/>
          <w:color w:val="000000"/>
        </w:rPr>
        <w:t xml:space="preserve">Plascon-Evans </w:t>
      </w:r>
      <w:r w:rsidR="00583255" w:rsidRPr="003E3E6B">
        <w:rPr>
          <w:rFonts w:ascii="Arial" w:hAnsi="Arial" w:cs="Arial"/>
          <w:iCs/>
          <w:color w:val="000000"/>
        </w:rPr>
        <w:t>rule</w:t>
      </w:r>
      <w:r w:rsidR="00976D9D">
        <w:rPr>
          <w:rFonts w:ascii="Arial" w:hAnsi="Arial" w:cs="Arial"/>
          <w:iCs/>
          <w:color w:val="000000"/>
        </w:rPr>
        <w:t>,</w:t>
      </w:r>
      <w:r w:rsidR="00583255" w:rsidRPr="003E3E6B">
        <w:rPr>
          <w:rFonts w:ascii="Arial" w:hAnsi="Arial" w:cs="Arial"/>
          <w:iCs/>
          <w:color w:val="000000"/>
        </w:rPr>
        <w:t xml:space="preserve"> where</w:t>
      </w:r>
      <w:r w:rsidR="00583255" w:rsidRPr="003E3E6B">
        <w:rPr>
          <w:rFonts w:ascii="Arial" w:hAnsi="Arial" w:cs="Arial"/>
          <w:i/>
          <w:iCs/>
          <w:color w:val="000000"/>
        </w:rPr>
        <w:t xml:space="preserve"> </w:t>
      </w:r>
      <w:r w:rsidR="00583255" w:rsidRPr="003E3E6B">
        <w:rPr>
          <w:rFonts w:ascii="Arial" w:hAnsi="Arial" w:cs="Arial"/>
          <w:color w:val="000000"/>
        </w:rPr>
        <w:t>disputes of fact arise on the papers</w:t>
      </w:r>
      <w:r w:rsidR="00FF3958">
        <w:rPr>
          <w:rFonts w:ascii="Arial" w:hAnsi="Arial" w:cs="Arial"/>
          <w:color w:val="000000"/>
        </w:rPr>
        <w:t>,</w:t>
      </w:r>
      <w:r w:rsidR="00583255" w:rsidRPr="003E3E6B">
        <w:rPr>
          <w:rFonts w:ascii="Arial" w:hAnsi="Arial" w:cs="Arial"/>
          <w:color w:val="000000"/>
        </w:rPr>
        <w:t xml:space="preserve"> subject to certain exceptions</w:t>
      </w:r>
      <w:r w:rsidR="00583255" w:rsidRPr="00E156FC">
        <w:rPr>
          <w:rFonts w:ascii="Arial" w:hAnsi="Arial" w:cs="Arial"/>
          <w:color w:val="000000"/>
        </w:rPr>
        <w:t xml:space="preserve">, a court </w:t>
      </w:r>
      <w:r w:rsidR="00545B4D" w:rsidRPr="00E156FC">
        <w:rPr>
          <w:rFonts w:ascii="Arial" w:hAnsi="Arial" w:cs="Arial"/>
          <w:color w:val="000000"/>
        </w:rPr>
        <w:t>w</w:t>
      </w:r>
      <w:r w:rsidR="00583255" w:rsidRPr="00E156FC">
        <w:rPr>
          <w:rFonts w:ascii="Arial" w:hAnsi="Arial" w:cs="Arial"/>
          <w:color w:val="000000"/>
        </w:rPr>
        <w:t xml:space="preserve">ould </w:t>
      </w:r>
      <w:r w:rsidR="00545B4D" w:rsidRPr="00E156FC">
        <w:rPr>
          <w:rFonts w:ascii="Arial" w:hAnsi="Arial" w:cs="Arial"/>
          <w:color w:val="000000"/>
        </w:rPr>
        <w:t xml:space="preserve">ordinarily </w:t>
      </w:r>
      <w:r w:rsidR="00583255" w:rsidRPr="00E156FC">
        <w:rPr>
          <w:rFonts w:ascii="Arial" w:hAnsi="Arial" w:cs="Arial"/>
          <w:color w:val="000000"/>
        </w:rPr>
        <w:t>rely on evidence given by the deponents for the respondents, in this case QCK and Lore.</w:t>
      </w:r>
      <w:r w:rsidR="00583255" w:rsidRPr="00E156FC">
        <w:rPr>
          <w:rStyle w:val="FootnoteReference"/>
          <w:rFonts w:ascii="Arial" w:hAnsi="Arial" w:cs="Arial"/>
          <w:color w:val="000000"/>
        </w:rPr>
        <w:footnoteReference w:id="10"/>
      </w:r>
      <w:r w:rsidR="00583255" w:rsidRPr="003E3E6B">
        <w:rPr>
          <w:rFonts w:ascii="Arial" w:hAnsi="Arial" w:cs="Arial"/>
          <w:color w:val="000000"/>
        </w:rPr>
        <w:t xml:space="preserve">  The approach </w:t>
      </w:r>
      <w:r w:rsidR="00583255" w:rsidRPr="003E3E6B">
        <w:rPr>
          <w:rFonts w:ascii="Arial" w:hAnsi="Arial" w:cs="Arial"/>
          <w:color w:val="000000"/>
        </w:rPr>
        <w:lastRenderedPageBreak/>
        <w:t xml:space="preserve">was restated by Harms DP in </w:t>
      </w:r>
      <w:r w:rsidR="00583255" w:rsidRPr="003E3E6B">
        <w:rPr>
          <w:rFonts w:ascii="Arial" w:hAnsi="Arial" w:cs="Arial"/>
          <w:i/>
          <w:iCs/>
          <w:color w:val="000000"/>
        </w:rPr>
        <w:t>National Director of Public Prosecutions v Zuma</w:t>
      </w:r>
      <w:r w:rsidR="00583255" w:rsidRPr="003E3E6B">
        <w:rPr>
          <w:rStyle w:val="FootnoteReference"/>
          <w:rFonts w:ascii="Arial" w:hAnsi="Arial" w:cs="Arial"/>
          <w:i/>
          <w:iCs/>
          <w:color w:val="000000"/>
        </w:rPr>
        <w:footnoteReference w:id="11"/>
      </w:r>
      <w:r w:rsidR="00583255" w:rsidRPr="003E3E6B">
        <w:rPr>
          <w:rFonts w:ascii="Arial" w:hAnsi="Arial" w:cs="Arial"/>
          <w:color w:val="000000"/>
        </w:rPr>
        <w:t> as follows:</w:t>
      </w:r>
    </w:p>
    <w:p w:rsidR="00583255" w:rsidRPr="00332AC5" w:rsidRDefault="00583255" w:rsidP="001D0338">
      <w:pPr>
        <w:tabs>
          <w:tab w:val="left" w:pos="567"/>
        </w:tabs>
        <w:spacing w:line="360" w:lineRule="auto"/>
        <w:ind w:left="675" w:hanging="562"/>
        <w:jc w:val="both"/>
        <w:rPr>
          <w:rFonts w:ascii="Arial" w:hAnsi="Arial" w:cs="Arial"/>
          <w:color w:val="000000"/>
          <w:sz w:val="22"/>
          <w:szCs w:val="22"/>
        </w:rPr>
      </w:pPr>
      <w:r>
        <w:rPr>
          <w:rFonts w:ascii="Arial" w:hAnsi="Arial" w:cs="Arial"/>
          <w:color w:val="000000"/>
        </w:rPr>
        <w:tab/>
      </w:r>
      <w:r w:rsidR="00F52BA6" w:rsidRPr="00627AD6">
        <w:rPr>
          <w:rFonts w:ascii="Arial" w:hAnsi="Arial" w:cs="Arial"/>
          <w:color w:val="000000"/>
          <w:sz w:val="22"/>
          <w:szCs w:val="22"/>
        </w:rPr>
        <w:tab/>
      </w:r>
      <w:r w:rsidRPr="00332AC5">
        <w:rPr>
          <w:rFonts w:ascii="Arial" w:hAnsi="Arial" w:cs="Arial"/>
          <w:color w:val="000000"/>
          <w:sz w:val="22"/>
          <w:szCs w:val="22"/>
        </w:rPr>
        <w:t>‘Motion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 </w:t>
      </w:r>
      <w:r w:rsidRPr="000F30CD">
        <w:rPr>
          <w:rFonts w:ascii="Arial" w:hAnsi="Arial" w:cs="Arial"/>
          <w:i/>
          <w:iCs/>
          <w:color w:val="000000"/>
          <w:sz w:val="22"/>
          <w:szCs w:val="22"/>
        </w:rPr>
        <w:t>Plascon-Evans</w:t>
      </w:r>
      <w:r w:rsidRPr="000F30CD">
        <w:rPr>
          <w:rFonts w:ascii="Arial" w:hAnsi="Arial" w:cs="Arial"/>
          <w:color w:val="000000"/>
          <w:sz w:val="22"/>
          <w:szCs w:val="22"/>
        </w:rPr>
        <w:t> rule [</w:t>
      </w:r>
      <w:r w:rsidRPr="000F30CD">
        <w:rPr>
          <w:rFonts w:ascii="Arial" w:hAnsi="Arial" w:cs="Arial"/>
          <w:i/>
          <w:iCs/>
          <w:color w:val="000000"/>
          <w:sz w:val="22"/>
          <w:szCs w:val="22"/>
        </w:rPr>
        <w:t>Plascon-Evans Paints Ltd v Van Riebeeck Paints (Pty) Ltd</w:t>
      </w:r>
      <w:r w:rsidRPr="000F30CD">
        <w:rPr>
          <w:rFonts w:ascii="Arial" w:hAnsi="Arial" w:cs="Arial"/>
          <w:color w:val="000000"/>
          <w:sz w:val="22"/>
          <w:szCs w:val="22"/>
        </w:rPr>
        <w:t> </w:t>
      </w:r>
      <w:r w:rsidRPr="000F30CD">
        <w:rPr>
          <w:rFonts w:ascii="Arial" w:hAnsi="Arial" w:cs="Arial"/>
          <w:sz w:val="22"/>
          <w:szCs w:val="22"/>
        </w:rPr>
        <w:t>1984 (3) SA 623 (A)</w:t>
      </w:r>
      <w:r w:rsidRPr="000F30CD">
        <w:rPr>
          <w:rFonts w:ascii="Arial" w:hAnsi="Arial" w:cs="Arial"/>
          <w:color w:val="000000"/>
          <w:sz w:val="22"/>
          <w:szCs w:val="22"/>
        </w:rPr>
        <w:t> 634 – 635]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consists of bald or uncreditworthy denials, raises fictitious disputes of fact, is palpably implausible, far-fetched or so clearly untenable that the court is justified in rejecting them merely on the papers.</w:t>
      </w:r>
      <w:bookmarkStart w:id="6" w:name="0-0-0-247781"/>
      <w:bookmarkEnd w:id="6"/>
      <w:r w:rsidRPr="00332AC5">
        <w:rPr>
          <w:rFonts w:ascii="Arial" w:hAnsi="Arial" w:cs="Arial"/>
          <w:color w:val="000000"/>
          <w:sz w:val="22"/>
          <w:szCs w:val="22"/>
        </w:rPr>
        <w:t>’ </w:t>
      </w:r>
    </w:p>
    <w:p w:rsidR="00A477FE" w:rsidRDefault="00AA1EB0" w:rsidP="00A60B86">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3</w:t>
      </w:r>
      <w:r w:rsidR="00DD73AB">
        <w:rPr>
          <w:rFonts w:ascii="Arial" w:hAnsi="Arial" w:cs="Arial"/>
          <w:color w:val="000000"/>
        </w:rPr>
        <w:t>4</w:t>
      </w:r>
      <w:r>
        <w:rPr>
          <w:rFonts w:ascii="Arial" w:hAnsi="Arial" w:cs="Arial"/>
          <w:color w:val="000000"/>
        </w:rPr>
        <w:t>]</w:t>
      </w:r>
      <w:r>
        <w:rPr>
          <w:rFonts w:ascii="Arial" w:hAnsi="Arial" w:cs="Arial"/>
          <w:color w:val="000000"/>
        </w:rPr>
        <w:tab/>
      </w:r>
      <w:r w:rsidR="004734D0" w:rsidRPr="0058319C">
        <w:rPr>
          <w:rFonts w:ascii="Arial" w:hAnsi="Arial" w:cs="Arial"/>
        </w:rPr>
        <w:t xml:space="preserve">It is to be remembered that the event of </w:t>
      </w:r>
      <w:r w:rsidR="00FF3958" w:rsidRPr="0058319C">
        <w:rPr>
          <w:rFonts w:ascii="Arial" w:hAnsi="Arial" w:cs="Arial"/>
        </w:rPr>
        <w:t>spoliation, as</w:t>
      </w:r>
      <w:r w:rsidR="004734D0" w:rsidRPr="0058319C">
        <w:rPr>
          <w:rFonts w:ascii="Arial" w:hAnsi="Arial" w:cs="Arial"/>
        </w:rPr>
        <w:t xml:space="preserve"> articulated in the founding papers</w:t>
      </w:r>
      <w:r w:rsidR="00FF3958" w:rsidRPr="0058319C">
        <w:rPr>
          <w:rFonts w:ascii="Arial" w:hAnsi="Arial" w:cs="Arial"/>
        </w:rPr>
        <w:t>,</w:t>
      </w:r>
      <w:r w:rsidR="004734D0" w:rsidRPr="0058319C">
        <w:rPr>
          <w:rFonts w:ascii="Arial" w:hAnsi="Arial" w:cs="Arial"/>
        </w:rPr>
        <w:t xml:space="preserve"> was that </w:t>
      </w:r>
      <w:r w:rsidR="00E2152C" w:rsidRPr="0058319C">
        <w:rPr>
          <w:rFonts w:ascii="Arial" w:hAnsi="Arial" w:cs="Arial"/>
        </w:rPr>
        <w:t>QCK denied Sikhova and Hard Rock access to the farm “by having removed the mutually available key from the chain locks on the gate to the property and replaced it with its own locks.”</w:t>
      </w:r>
      <w:r w:rsidR="00E2152C">
        <w:rPr>
          <w:rFonts w:ascii="Arial" w:hAnsi="Arial" w:cs="Arial"/>
        </w:rPr>
        <w:t xml:space="preserve"> </w:t>
      </w:r>
    </w:p>
    <w:p w:rsidR="00DD6B9F" w:rsidRDefault="00A477FE" w:rsidP="00DD6B9F">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3</w:t>
      </w:r>
      <w:r w:rsidR="00DD73AB">
        <w:rPr>
          <w:rFonts w:ascii="Arial" w:hAnsi="Arial" w:cs="Arial"/>
          <w:color w:val="000000"/>
        </w:rPr>
        <w:t>5</w:t>
      </w:r>
      <w:r>
        <w:rPr>
          <w:rFonts w:ascii="Arial" w:hAnsi="Arial" w:cs="Arial"/>
          <w:color w:val="000000"/>
        </w:rPr>
        <w:t>]</w:t>
      </w:r>
      <w:r>
        <w:rPr>
          <w:rFonts w:ascii="Arial" w:hAnsi="Arial" w:cs="Arial"/>
          <w:color w:val="000000"/>
        </w:rPr>
        <w:tab/>
      </w:r>
      <w:r w:rsidR="00E2152C">
        <w:rPr>
          <w:rFonts w:ascii="Arial" w:hAnsi="Arial" w:cs="Arial"/>
          <w:color w:val="000000"/>
        </w:rPr>
        <w:t xml:space="preserve">QCK and Lore </w:t>
      </w:r>
      <w:r w:rsidR="00E2152C">
        <w:rPr>
          <w:rFonts w:ascii="Arial" w:hAnsi="Arial" w:cs="Arial"/>
        </w:rPr>
        <w:t xml:space="preserve">contended that in the absence of prospecting rights founded on </w:t>
      </w:r>
      <w:r w:rsidR="007C7BE9">
        <w:rPr>
          <w:rFonts w:ascii="Arial" w:hAnsi="Arial" w:cs="Arial"/>
        </w:rPr>
        <w:t xml:space="preserve">a valid </w:t>
      </w:r>
      <w:r w:rsidR="00385C3B">
        <w:rPr>
          <w:rFonts w:ascii="Arial" w:hAnsi="Arial" w:cs="Arial"/>
        </w:rPr>
        <w:t xml:space="preserve">Surface Use Agreement </w:t>
      </w:r>
      <w:r w:rsidR="00E2152C">
        <w:rPr>
          <w:rFonts w:ascii="Arial" w:hAnsi="Arial" w:cs="Arial"/>
        </w:rPr>
        <w:t xml:space="preserve">being available to Sikhova and Hard Rock their conduct in giving effect to the </w:t>
      </w:r>
      <w:r w:rsidR="00385C3B">
        <w:rPr>
          <w:rFonts w:ascii="Arial" w:hAnsi="Arial" w:cs="Arial"/>
        </w:rPr>
        <w:t xml:space="preserve">Surface Use Agreement </w:t>
      </w:r>
      <w:r w:rsidR="00E2152C">
        <w:rPr>
          <w:rFonts w:ascii="Arial" w:hAnsi="Arial" w:cs="Arial"/>
        </w:rPr>
        <w:t xml:space="preserve">was unlawful. </w:t>
      </w:r>
      <w:r w:rsidR="00E2152C">
        <w:rPr>
          <w:rFonts w:ascii="Arial" w:hAnsi="Arial" w:cs="Arial"/>
          <w:color w:val="000000"/>
        </w:rPr>
        <w:t xml:space="preserve">QCK stated that Sikhova “probably abandoned the site where it had previously prospected unlawfully when it could no longer avoid the fact that its conduct was unlawful.”  </w:t>
      </w:r>
      <w:r>
        <w:rPr>
          <w:rFonts w:ascii="Arial" w:hAnsi="Arial" w:cs="Arial"/>
          <w:color w:val="000000"/>
        </w:rPr>
        <w:t>More crucially,</w:t>
      </w:r>
      <w:r w:rsidR="00DD6B9F">
        <w:rPr>
          <w:rFonts w:ascii="Arial" w:hAnsi="Arial" w:cs="Arial"/>
          <w:color w:val="000000"/>
        </w:rPr>
        <w:t xml:space="preserve"> </w:t>
      </w:r>
      <w:r w:rsidR="000F19AA">
        <w:rPr>
          <w:rFonts w:ascii="Arial" w:hAnsi="Arial" w:cs="Arial"/>
          <w:color w:val="000000"/>
        </w:rPr>
        <w:t>i</w:t>
      </w:r>
      <w:r w:rsidR="00DD6B9F">
        <w:rPr>
          <w:rFonts w:ascii="Arial" w:hAnsi="Arial" w:cs="Arial"/>
          <w:color w:val="000000"/>
        </w:rPr>
        <w:t xml:space="preserve">nsofar as Sikhova and Hard Rock </w:t>
      </w:r>
      <w:r w:rsidR="005B45F4">
        <w:rPr>
          <w:rFonts w:ascii="Arial" w:hAnsi="Arial" w:cs="Arial"/>
          <w:color w:val="000000"/>
        </w:rPr>
        <w:t xml:space="preserve">had </w:t>
      </w:r>
      <w:r w:rsidR="00DD6B9F">
        <w:rPr>
          <w:rFonts w:ascii="Arial" w:hAnsi="Arial" w:cs="Arial"/>
          <w:color w:val="000000"/>
        </w:rPr>
        <w:t xml:space="preserve">alleged that there </w:t>
      </w:r>
      <w:r w:rsidR="000F19AA">
        <w:rPr>
          <w:rFonts w:ascii="Arial" w:hAnsi="Arial" w:cs="Arial"/>
          <w:color w:val="000000"/>
        </w:rPr>
        <w:t xml:space="preserve">had been </w:t>
      </w:r>
      <w:r w:rsidR="005B45F4">
        <w:rPr>
          <w:rFonts w:ascii="Arial" w:hAnsi="Arial" w:cs="Arial"/>
          <w:color w:val="000000"/>
        </w:rPr>
        <w:t xml:space="preserve">a </w:t>
      </w:r>
      <w:r w:rsidR="00DD6B9F">
        <w:rPr>
          <w:rFonts w:ascii="Arial" w:hAnsi="Arial" w:cs="Arial"/>
          <w:color w:val="000000"/>
        </w:rPr>
        <w:t>mutually available key for the lock on a single gate to the farm that was removed and replaced by QCK, Q</w:t>
      </w:r>
      <w:r>
        <w:rPr>
          <w:rFonts w:ascii="Arial" w:hAnsi="Arial" w:cs="Arial"/>
          <w:color w:val="000000"/>
        </w:rPr>
        <w:t>CK</w:t>
      </w:r>
      <w:r w:rsidR="00DD6B9F">
        <w:rPr>
          <w:rFonts w:ascii="Arial" w:hAnsi="Arial" w:cs="Arial"/>
          <w:color w:val="000000"/>
        </w:rPr>
        <w:t xml:space="preserve"> demonstrated that there </w:t>
      </w:r>
      <w:r>
        <w:rPr>
          <w:rFonts w:ascii="Arial" w:hAnsi="Arial" w:cs="Arial"/>
          <w:color w:val="000000"/>
        </w:rPr>
        <w:t xml:space="preserve">was </w:t>
      </w:r>
      <w:r w:rsidR="00E156FC">
        <w:rPr>
          <w:rFonts w:ascii="Arial" w:hAnsi="Arial" w:cs="Arial"/>
          <w:color w:val="000000"/>
        </w:rPr>
        <w:t xml:space="preserve">more than </w:t>
      </w:r>
      <w:r w:rsidR="00DD6B9F">
        <w:rPr>
          <w:rFonts w:ascii="Arial" w:hAnsi="Arial" w:cs="Arial"/>
          <w:color w:val="000000"/>
        </w:rPr>
        <w:t xml:space="preserve">one gate to the farm </w:t>
      </w:r>
      <w:r>
        <w:rPr>
          <w:rFonts w:ascii="Arial" w:hAnsi="Arial" w:cs="Arial"/>
          <w:color w:val="000000"/>
        </w:rPr>
        <w:t xml:space="preserve">for </w:t>
      </w:r>
      <w:r w:rsidR="00DD6B9F">
        <w:rPr>
          <w:rFonts w:ascii="Arial" w:hAnsi="Arial" w:cs="Arial"/>
          <w:color w:val="000000"/>
        </w:rPr>
        <w:t>the shared use by itself and Sikhova</w:t>
      </w:r>
      <w:r w:rsidR="000E31F0">
        <w:rPr>
          <w:rFonts w:ascii="Arial" w:hAnsi="Arial" w:cs="Arial"/>
          <w:color w:val="000000"/>
        </w:rPr>
        <w:t xml:space="preserve"> </w:t>
      </w:r>
      <w:r w:rsidR="007C7BE9">
        <w:rPr>
          <w:rFonts w:ascii="Arial" w:hAnsi="Arial" w:cs="Arial"/>
          <w:color w:val="000000"/>
        </w:rPr>
        <w:t xml:space="preserve">which </w:t>
      </w:r>
      <w:r w:rsidR="000E31F0">
        <w:rPr>
          <w:rFonts w:ascii="Arial" w:hAnsi="Arial" w:cs="Arial"/>
          <w:color w:val="000000"/>
        </w:rPr>
        <w:t xml:space="preserve">fact </w:t>
      </w:r>
      <w:r w:rsidR="000F19AA">
        <w:rPr>
          <w:rFonts w:ascii="Arial" w:hAnsi="Arial" w:cs="Arial"/>
          <w:color w:val="000000"/>
        </w:rPr>
        <w:t xml:space="preserve">was </w:t>
      </w:r>
      <w:r w:rsidR="000E31F0">
        <w:rPr>
          <w:rFonts w:ascii="Arial" w:hAnsi="Arial" w:cs="Arial"/>
          <w:color w:val="000000"/>
        </w:rPr>
        <w:t>acknowledged by Sikhova in its replying affidavit</w:t>
      </w:r>
      <w:r w:rsidR="00DD6B9F">
        <w:rPr>
          <w:rFonts w:ascii="Arial" w:hAnsi="Arial" w:cs="Arial"/>
          <w:color w:val="000000"/>
        </w:rPr>
        <w:t xml:space="preserve">. The true facts, </w:t>
      </w:r>
      <w:r w:rsidR="00C866B3">
        <w:rPr>
          <w:rFonts w:ascii="Arial" w:hAnsi="Arial" w:cs="Arial"/>
          <w:color w:val="000000"/>
        </w:rPr>
        <w:t>QCK stated</w:t>
      </w:r>
      <w:r w:rsidR="00DD6B9F">
        <w:rPr>
          <w:rFonts w:ascii="Arial" w:hAnsi="Arial" w:cs="Arial"/>
          <w:color w:val="000000"/>
        </w:rPr>
        <w:t xml:space="preserve">, </w:t>
      </w:r>
      <w:r w:rsidR="00DD6B9F">
        <w:rPr>
          <w:rFonts w:ascii="Arial" w:hAnsi="Arial" w:cs="Arial"/>
          <w:color w:val="000000"/>
        </w:rPr>
        <w:lastRenderedPageBreak/>
        <w:t xml:space="preserve">were that Sikhova had installed its own gate to </w:t>
      </w:r>
      <w:r w:rsidR="005B45F4">
        <w:rPr>
          <w:rFonts w:ascii="Arial" w:hAnsi="Arial" w:cs="Arial"/>
          <w:color w:val="000000"/>
        </w:rPr>
        <w:t xml:space="preserve">gain </w:t>
      </w:r>
      <w:r w:rsidR="00DD6B9F">
        <w:rPr>
          <w:rFonts w:ascii="Arial" w:hAnsi="Arial" w:cs="Arial"/>
          <w:color w:val="000000"/>
        </w:rPr>
        <w:t xml:space="preserve">access to the portion of the farm, which gate Sikhova had its own key. It denied the existence of </w:t>
      </w:r>
      <w:r w:rsidR="0022749A">
        <w:rPr>
          <w:rFonts w:ascii="Arial" w:hAnsi="Arial" w:cs="Arial"/>
          <w:color w:val="000000"/>
        </w:rPr>
        <w:t xml:space="preserve">a </w:t>
      </w:r>
      <w:r w:rsidR="00DD6B9F">
        <w:rPr>
          <w:rFonts w:ascii="Arial" w:hAnsi="Arial" w:cs="Arial"/>
          <w:color w:val="000000"/>
        </w:rPr>
        <w:t>mutually available key that could be removed</w:t>
      </w:r>
      <w:r w:rsidR="00976D9D">
        <w:rPr>
          <w:rFonts w:ascii="Arial" w:hAnsi="Arial" w:cs="Arial"/>
          <w:color w:val="000000"/>
        </w:rPr>
        <w:t xml:space="preserve"> and </w:t>
      </w:r>
      <w:r w:rsidR="00DD6B9F">
        <w:rPr>
          <w:rFonts w:ascii="Arial" w:hAnsi="Arial" w:cs="Arial"/>
          <w:color w:val="000000"/>
        </w:rPr>
        <w:t>gainsaid that it replaced Sikhova’s lock with its own.</w:t>
      </w:r>
      <w:r w:rsidR="000F19AA" w:rsidRPr="000F19AA">
        <w:rPr>
          <w:rFonts w:ascii="Arial" w:hAnsi="Arial" w:cs="Arial"/>
          <w:color w:val="000000"/>
        </w:rPr>
        <w:t xml:space="preserve"> </w:t>
      </w:r>
    </w:p>
    <w:p w:rsidR="007B15F5" w:rsidRPr="0092024E" w:rsidRDefault="00A44160" w:rsidP="00DD6B9F">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3</w:t>
      </w:r>
      <w:r w:rsidR="00DD73AB">
        <w:rPr>
          <w:rFonts w:ascii="Arial" w:hAnsi="Arial" w:cs="Arial"/>
          <w:color w:val="000000"/>
        </w:rPr>
        <w:t>6</w:t>
      </w:r>
      <w:r>
        <w:rPr>
          <w:rFonts w:ascii="Arial" w:hAnsi="Arial" w:cs="Arial"/>
          <w:color w:val="000000"/>
        </w:rPr>
        <w:t>]</w:t>
      </w:r>
      <w:r>
        <w:rPr>
          <w:rFonts w:ascii="Arial" w:hAnsi="Arial" w:cs="Arial"/>
          <w:color w:val="000000"/>
        </w:rPr>
        <w:tab/>
      </w:r>
      <w:r w:rsidR="0046112B">
        <w:rPr>
          <w:rFonts w:ascii="Arial" w:hAnsi="Arial" w:cs="Arial"/>
          <w:color w:val="000000"/>
        </w:rPr>
        <w:t xml:space="preserve">There appears to be </w:t>
      </w:r>
      <w:r w:rsidR="0046112B" w:rsidRPr="002001AC">
        <w:rPr>
          <w:rFonts w:ascii="Arial" w:hAnsi="Arial" w:cs="Arial"/>
          <w:color w:val="000000"/>
        </w:rPr>
        <w:t xml:space="preserve">no good reason to regard as untrue QCK and Lore’s </w:t>
      </w:r>
      <w:r w:rsidR="0046112B">
        <w:rPr>
          <w:rFonts w:ascii="Arial" w:hAnsi="Arial" w:cs="Arial"/>
          <w:color w:val="000000"/>
        </w:rPr>
        <w:t>version</w:t>
      </w:r>
      <w:r w:rsidR="00FC3817">
        <w:rPr>
          <w:rFonts w:ascii="Arial" w:hAnsi="Arial" w:cs="Arial"/>
          <w:color w:val="000000"/>
        </w:rPr>
        <w:t xml:space="preserve">. </w:t>
      </w:r>
      <w:r w:rsidR="007C03B0">
        <w:rPr>
          <w:rFonts w:ascii="Arial" w:hAnsi="Arial" w:cs="Arial"/>
          <w:color w:val="000000"/>
        </w:rPr>
        <w:t>More</w:t>
      </w:r>
      <w:r w:rsidR="00FC3817">
        <w:rPr>
          <w:rFonts w:ascii="Arial" w:hAnsi="Arial" w:cs="Arial"/>
          <w:color w:val="000000"/>
        </w:rPr>
        <w:t xml:space="preserve"> so because </w:t>
      </w:r>
      <w:r w:rsidR="007B15F5">
        <w:rPr>
          <w:rFonts w:ascii="Arial" w:hAnsi="Arial" w:cs="Arial"/>
          <w:color w:val="000000"/>
        </w:rPr>
        <w:t xml:space="preserve">Sikhova and Hard Rock did not </w:t>
      </w:r>
      <w:r w:rsidR="006C724A">
        <w:rPr>
          <w:rFonts w:ascii="Arial" w:hAnsi="Arial" w:cs="Arial"/>
          <w:color w:val="000000"/>
        </w:rPr>
        <w:t xml:space="preserve">in their reply </w:t>
      </w:r>
      <w:r w:rsidR="007B15F5">
        <w:rPr>
          <w:rFonts w:ascii="Arial" w:hAnsi="Arial" w:cs="Arial"/>
          <w:color w:val="000000"/>
        </w:rPr>
        <w:t>place in dispute that Sikhova had its own lock. Instead, i</w:t>
      </w:r>
      <w:r w:rsidR="00A45F91">
        <w:rPr>
          <w:rFonts w:ascii="Arial" w:hAnsi="Arial" w:cs="Arial"/>
          <w:color w:val="000000"/>
        </w:rPr>
        <w:t>n their pro</w:t>
      </w:r>
      <w:r w:rsidR="00393D81">
        <w:rPr>
          <w:rFonts w:ascii="Arial" w:hAnsi="Arial" w:cs="Arial"/>
          <w:color w:val="000000"/>
        </w:rPr>
        <w:t xml:space="preserve">lix </w:t>
      </w:r>
      <w:r w:rsidR="00A45F91">
        <w:rPr>
          <w:rFonts w:ascii="Arial" w:hAnsi="Arial" w:cs="Arial"/>
          <w:color w:val="000000"/>
        </w:rPr>
        <w:t>replying affidavit Sikhova and Hard Rock put up a</w:t>
      </w:r>
      <w:r w:rsidR="007B15F5">
        <w:rPr>
          <w:rFonts w:ascii="Arial" w:hAnsi="Arial" w:cs="Arial"/>
          <w:color w:val="000000"/>
        </w:rPr>
        <w:t xml:space="preserve"> </w:t>
      </w:r>
      <w:r w:rsidR="00A45F91">
        <w:rPr>
          <w:rFonts w:ascii="Arial" w:hAnsi="Arial" w:cs="Arial"/>
          <w:color w:val="000000"/>
        </w:rPr>
        <w:t xml:space="preserve">case </w:t>
      </w:r>
      <w:r w:rsidR="0092024E">
        <w:rPr>
          <w:rFonts w:ascii="Arial" w:hAnsi="Arial" w:cs="Arial"/>
          <w:color w:val="000000"/>
        </w:rPr>
        <w:t xml:space="preserve">at variance with </w:t>
      </w:r>
      <w:r w:rsidR="007B15F5">
        <w:rPr>
          <w:rFonts w:ascii="Arial" w:hAnsi="Arial" w:cs="Arial"/>
          <w:color w:val="000000"/>
        </w:rPr>
        <w:t xml:space="preserve">the </w:t>
      </w:r>
      <w:r w:rsidR="00A45F91">
        <w:rPr>
          <w:rFonts w:ascii="Arial" w:hAnsi="Arial" w:cs="Arial"/>
          <w:color w:val="000000"/>
        </w:rPr>
        <w:t xml:space="preserve">case </w:t>
      </w:r>
      <w:r w:rsidR="007B15F5">
        <w:rPr>
          <w:rFonts w:ascii="Arial" w:hAnsi="Arial" w:cs="Arial"/>
          <w:color w:val="000000"/>
        </w:rPr>
        <w:t xml:space="preserve">they </w:t>
      </w:r>
      <w:r w:rsidR="00A45F91">
        <w:rPr>
          <w:rFonts w:ascii="Arial" w:hAnsi="Arial" w:cs="Arial"/>
          <w:color w:val="000000"/>
        </w:rPr>
        <w:t xml:space="preserve">made out in their founding </w:t>
      </w:r>
      <w:r w:rsidR="00A45F91" w:rsidRPr="0092024E">
        <w:rPr>
          <w:rFonts w:ascii="Arial" w:hAnsi="Arial" w:cs="Arial"/>
          <w:color w:val="000000"/>
        </w:rPr>
        <w:t xml:space="preserve">papers. </w:t>
      </w:r>
      <w:r w:rsidR="0092024E" w:rsidRPr="0092024E">
        <w:rPr>
          <w:rFonts w:ascii="Arial" w:hAnsi="Arial" w:cs="Arial"/>
          <w:color w:val="000000"/>
        </w:rPr>
        <w:t>This is what t</w:t>
      </w:r>
      <w:r w:rsidR="007B15F5" w:rsidRPr="0092024E">
        <w:rPr>
          <w:rFonts w:ascii="Arial" w:hAnsi="Arial" w:cs="Arial"/>
          <w:color w:val="000000"/>
        </w:rPr>
        <w:t xml:space="preserve">heir deponent, Mr </w:t>
      </w:r>
      <w:r w:rsidR="00EA3CB0" w:rsidRPr="0092024E">
        <w:rPr>
          <w:rFonts w:ascii="Arial" w:hAnsi="Arial" w:cs="Arial"/>
          <w:color w:val="000000"/>
        </w:rPr>
        <w:t>Jan</w:t>
      </w:r>
      <w:r w:rsidR="004B2CF0" w:rsidRPr="0092024E">
        <w:rPr>
          <w:rFonts w:ascii="Arial" w:hAnsi="Arial" w:cs="Arial"/>
          <w:color w:val="000000"/>
        </w:rPr>
        <w:t xml:space="preserve"> Erasmus, </w:t>
      </w:r>
      <w:r w:rsidR="007B15F5" w:rsidRPr="0092024E">
        <w:rPr>
          <w:rFonts w:ascii="Arial" w:hAnsi="Arial" w:cs="Arial"/>
          <w:color w:val="000000"/>
        </w:rPr>
        <w:t>intimated</w:t>
      </w:r>
      <w:r w:rsidR="00393D81">
        <w:rPr>
          <w:rFonts w:ascii="Arial" w:hAnsi="Arial" w:cs="Arial"/>
          <w:color w:val="000000"/>
        </w:rPr>
        <w:t>:</w:t>
      </w:r>
      <w:r w:rsidR="007B15F5" w:rsidRPr="0092024E">
        <w:rPr>
          <w:rFonts w:ascii="Arial" w:hAnsi="Arial" w:cs="Arial"/>
          <w:color w:val="000000"/>
        </w:rPr>
        <w:t xml:space="preserve"> </w:t>
      </w:r>
    </w:p>
    <w:p w:rsidR="00C866B3" w:rsidRDefault="007B15F5" w:rsidP="001D0338">
      <w:pPr>
        <w:tabs>
          <w:tab w:val="left" w:pos="567"/>
        </w:tabs>
        <w:spacing w:line="360" w:lineRule="auto"/>
        <w:ind w:left="675" w:hanging="562"/>
        <w:jc w:val="both"/>
        <w:rPr>
          <w:rFonts w:ascii="Arial" w:hAnsi="Arial" w:cs="Arial"/>
          <w:color w:val="000000"/>
          <w:sz w:val="22"/>
          <w:szCs w:val="22"/>
        </w:rPr>
      </w:pPr>
      <w:r>
        <w:rPr>
          <w:rFonts w:ascii="Arial" w:hAnsi="Arial" w:cs="Arial"/>
          <w:color w:val="000000"/>
        </w:rPr>
        <w:tab/>
      </w:r>
      <w:r w:rsidRPr="00C10D43">
        <w:rPr>
          <w:rFonts w:ascii="Arial" w:hAnsi="Arial" w:cs="Arial"/>
          <w:color w:val="000000"/>
          <w:sz w:val="22"/>
          <w:szCs w:val="22"/>
        </w:rPr>
        <w:t>“</w:t>
      </w:r>
      <w:r w:rsidR="00C866B3">
        <w:rPr>
          <w:rFonts w:ascii="Arial" w:hAnsi="Arial" w:cs="Arial"/>
          <w:color w:val="000000"/>
          <w:sz w:val="22"/>
          <w:szCs w:val="22"/>
        </w:rPr>
        <w:t>29.1</w:t>
      </w:r>
      <w:r w:rsidR="00C866B3">
        <w:rPr>
          <w:rFonts w:ascii="Arial" w:hAnsi="Arial" w:cs="Arial"/>
          <w:color w:val="000000"/>
          <w:sz w:val="22"/>
          <w:szCs w:val="22"/>
        </w:rPr>
        <w:tab/>
        <w:t>During the period mid-</w:t>
      </w:r>
      <w:r w:rsidR="008D5F7D">
        <w:rPr>
          <w:rFonts w:ascii="Arial" w:hAnsi="Arial" w:cs="Arial"/>
          <w:color w:val="000000"/>
          <w:sz w:val="22"/>
          <w:szCs w:val="22"/>
        </w:rPr>
        <w:t>A</w:t>
      </w:r>
      <w:r w:rsidR="00C866B3">
        <w:rPr>
          <w:rFonts w:ascii="Arial" w:hAnsi="Arial" w:cs="Arial"/>
          <w:color w:val="000000"/>
          <w:sz w:val="22"/>
          <w:szCs w:val="22"/>
        </w:rPr>
        <w:t xml:space="preserve">ugust 2019 to date on which the applicants were denied access to the property the arrangement between [Sikhova] and QCK was that the keys to the locks at the various gates were left, as mutually available </w:t>
      </w:r>
      <w:r w:rsidR="00C866B3" w:rsidRPr="00681998">
        <w:rPr>
          <w:rFonts w:ascii="Arial" w:hAnsi="Arial" w:cs="Arial"/>
          <w:color w:val="000000"/>
          <w:sz w:val="22"/>
          <w:szCs w:val="22"/>
        </w:rPr>
        <w:t>keys, han</w:t>
      </w:r>
      <w:r w:rsidR="00B974B7" w:rsidRPr="00681998">
        <w:rPr>
          <w:rFonts w:ascii="Arial" w:hAnsi="Arial" w:cs="Arial"/>
          <w:color w:val="000000"/>
          <w:sz w:val="22"/>
          <w:szCs w:val="22"/>
        </w:rPr>
        <w:t>g</w:t>
      </w:r>
      <w:r w:rsidR="00C866B3" w:rsidRPr="00681998">
        <w:rPr>
          <w:rFonts w:ascii="Arial" w:hAnsi="Arial" w:cs="Arial"/>
          <w:color w:val="000000"/>
          <w:sz w:val="22"/>
          <w:szCs w:val="22"/>
        </w:rPr>
        <w:t>ing</w:t>
      </w:r>
      <w:r w:rsidR="00C866B3">
        <w:rPr>
          <w:rFonts w:ascii="Arial" w:hAnsi="Arial" w:cs="Arial"/>
          <w:color w:val="000000"/>
          <w:sz w:val="22"/>
          <w:szCs w:val="22"/>
        </w:rPr>
        <w:t xml:space="preserve"> behind the gate post where [Sikhova] could easily have reached it.</w:t>
      </w:r>
    </w:p>
    <w:p w:rsidR="00EC2170" w:rsidRDefault="00C866B3" w:rsidP="001D0338">
      <w:pPr>
        <w:tabs>
          <w:tab w:val="left" w:pos="567"/>
        </w:tabs>
        <w:spacing w:line="360" w:lineRule="auto"/>
        <w:ind w:left="675" w:hanging="562"/>
        <w:jc w:val="both"/>
        <w:rPr>
          <w:rFonts w:ascii="Arial" w:hAnsi="Arial" w:cs="Arial"/>
          <w:color w:val="000000"/>
          <w:sz w:val="22"/>
          <w:szCs w:val="22"/>
        </w:rPr>
      </w:pPr>
      <w:r>
        <w:rPr>
          <w:rFonts w:ascii="Arial" w:hAnsi="Arial" w:cs="Arial"/>
          <w:color w:val="000000"/>
          <w:sz w:val="22"/>
          <w:szCs w:val="22"/>
        </w:rPr>
        <w:tab/>
        <w:t>29.2</w:t>
      </w:r>
      <w:r w:rsidR="00EC2170">
        <w:rPr>
          <w:rFonts w:ascii="Arial" w:hAnsi="Arial" w:cs="Arial"/>
          <w:color w:val="000000"/>
          <w:sz w:val="22"/>
          <w:szCs w:val="22"/>
        </w:rPr>
        <w:tab/>
        <w:t>However, on our return to the property during January 2020 it was discovered that the keys had been removed from where they were left during the period [Sikhova and Hard Rock] were conducting their operations on the property.</w:t>
      </w:r>
    </w:p>
    <w:p w:rsidR="002C3B3A" w:rsidRPr="00C10D43" w:rsidRDefault="00EC2170" w:rsidP="001D0338">
      <w:pPr>
        <w:tabs>
          <w:tab w:val="left" w:pos="567"/>
        </w:tabs>
        <w:spacing w:line="360" w:lineRule="auto"/>
        <w:ind w:left="675" w:hanging="562"/>
        <w:jc w:val="both"/>
        <w:rPr>
          <w:rFonts w:ascii="Arial" w:hAnsi="Arial" w:cs="Arial"/>
          <w:color w:val="000000"/>
          <w:sz w:val="22"/>
          <w:szCs w:val="22"/>
        </w:rPr>
      </w:pPr>
      <w:r>
        <w:rPr>
          <w:rFonts w:ascii="Arial" w:hAnsi="Arial" w:cs="Arial"/>
          <w:color w:val="000000"/>
          <w:sz w:val="22"/>
          <w:szCs w:val="22"/>
        </w:rPr>
        <w:tab/>
        <w:t>29.3</w:t>
      </w:r>
      <w:r>
        <w:rPr>
          <w:rFonts w:ascii="Arial" w:hAnsi="Arial" w:cs="Arial"/>
          <w:color w:val="000000"/>
          <w:sz w:val="22"/>
          <w:szCs w:val="22"/>
        </w:rPr>
        <w:tab/>
        <w:t>Having noticed that the keys were so removed I assumed that the locks on the gate to the property had been removed and replaced with [QCK’s] own locks.</w:t>
      </w:r>
      <w:r w:rsidR="0022749A">
        <w:rPr>
          <w:rFonts w:ascii="Arial" w:hAnsi="Arial" w:cs="Arial"/>
          <w:color w:val="000000"/>
          <w:sz w:val="22"/>
          <w:szCs w:val="22"/>
        </w:rPr>
        <w:t>”</w:t>
      </w:r>
      <w:r>
        <w:rPr>
          <w:rFonts w:ascii="Arial" w:hAnsi="Arial" w:cs="Arial"/>
          <w:color w:val="000000"/>
          <w:sz w:val="22"/>
          <w:szCs w:val="22"/>
        </w:rPr>
        <w:t xml:space="preserve"> </w:t>
      </w:r>
    </w:p>
    <w:p w:rsidR="00C50AFE" w:rsidRDefault="00C10D43" w:rsidP="003875FA">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3</w:t>
      </w:r>
      <w:r w:rsidR="00DD73AB">
        <w:rPr>
          <w:rFonts w:ascii="Arial" w:hAnsi="Arial" w:cs="Arial"/>
          <w:color w:val="000000"/>
        </w:rPr>
        <w:t>7</w:t>
      </w:r>
      <w:r>
        <w:rPr>
          <w:rFonts w:ascii="Arial" w:hAnsi="Arial" w:cs="Arial"/>
          <w:color w:val="000000"/>
        </w:rPr>
        <w:t>]</w:t>
      </w:r>
      <w:r>
        <w:rPr>
          <w:rFonts w:ascii="Arial" w:hAnsi="Arial" w:cs="Arial"/>
          <w:color w:val="000000"/>
        </w:rPr>
        <w:tab/>
      </w:r>
      <w:r w:rsidR="00F076DE" w:rsidRPr="00C50AFE">
        <w:rPr>
          <w:rFonts w:ascii="Arial" w:hAnsi="Arial" w:cs="Arial"/>
          <w:color w:val="000000"/>
        </w:rPr>
        <w:t xml:space="preserve">Apparent from the </w:t>
      </w:r>
      <w:r w:rsidR="00537DA0">
        <w:rPr>
          <w:rFonts w:ascii="Arial" w:hAnsi="Arial" w:cs="Arial"/>
          <w:color w:val="000000"/>
        </w:rPr>
        <w:t>above</w:t>
      </w:r>
      <w:r w:rsidR="00537DA0" w:rsidRPr="00C50AFE">
        <w:rPr>
          <w:rFonts w:ascii="Arial" w:hAnsi="Arial" w:cs="Arial"/>
          <w:color w:val="000000"/>
        </w:rPr>
        <w:t xml:space="preserve"> </w:t>
      </w:r>
      <w:r w:rsidR="00F076DE" w:rsidRPr="00C50AFE">
        <w:rPr>
          <w:rFonts w:ascii="Arial" w:hAnsi="Arial" w:cs="Arial"/>
          <w:color w:val="000000"/>
        </w:rPr>
        <w:t>excerpt Sikhova and Hard Rock admitted that there was more than one gate, reference is made to “various gates”</w:t>
      </w:r>
      <w:r w:rsidR="00715084">
        <w:rPr>
          <w:rFonts w:ascii="Arial" w:hAnsi="Arial" w:cs="Arial"/>
          <w:color w:val="000000"/>
        </w:rPr>
        <w:t>.</w:t>
      </w:r>
      <w:r w:rsidR="00F076DE" w:rsidRPr="00C50AFE">
        <w:rPr>
          <w:rFonts w:ascii="Arial" w:hAnsi="Arial" w:cs="Arial"/>
          <w:color w:val="000000"/>
        </w:rPr>
        <w:t xml:space="preserve"> </w:t>
      </w:r>
      <w:r w:rsidR="00B974B7" w:rsidRPr="00C50AFE">
        <w:rPr>
          <w:rFonts w:ascii="Arial" w:hAnsi="Arial" w:cs="Arial"/>
          <w:color w:val="000000"/>
        </w:rPr>
        <w:t>They mentioned</w:t>
      </w:r>
      <w:r w:rsidR="000D2B85">
        <w:rPr>
          <w:rFonts w:ascii="Arial" w:hAnsi="Arial" w:cs="Arial"/>
          <w:color w:val="000000"/>
        </w:rPr>
        <w:t>,</w:t>
      </w:r>
      <w:r w:rsidR="00B974B7" w:rsidRPr="00C50AFE">
        <w:rPr>
          <w:rFonts w:ascii="Arial" w:hAnsi="Arial" w:cs="Arial"/>
          <w:color w:val="000000"/>
        </w:rPr>
        <w:t xml:space="preserve"> for the very first time in their replying affidavit</w:t>
      </w:r>
      <w:r w:rsidR="000D2B85">
        <w:rPr>
          <w:rFonts w:ascii="Arial" w:hAnsi="Arial" w:cs="Arial"/>
          <w:color w:val="000000"/>
        </w:rPr>
        <w:t>,</w:t>
      </w:r>
      <w:r w:rsidR="00B974B7" w:rsidRPr="00C50AFE">
        <w:rPr>
          <w:rFonts w:ascii="Arial" w:hAnsi="Arial" w:cs="Arial"/>
          <w:color w:val="000000"/>
        </w:rPr>
        <w:t xml:space="preserve"> t</w:t>
      </w:r>
      <w:r w:rsidR="00F076DE" w:rsidRPr="00C50AFE">
        <w:rPr>
          <w:rFonts w:ascii="Arial" w:hAnsi="Arial" w:cs="Arial"/>
          <w:color w:val="000000"/>
        </w:rPr>
        <w:t xml:space="preserve">hat </w:t>
      </w:r>
      <w:r w:rsidR="00B974B7" w:rsidRPr="00C50AFE">
        <w:rPr>
          <w:rFonts w:ascii="Arial" w:hAnsi="Arial" w:cs="Arial"/>
          <w:color w:val="000000"/>
        </w:rPr>
        <w:t xml:space="preserve">the keys </w:t>
      </w:r>
      <w:r w:rsidR="007313F3" w:rsidRPr="00C50AFE">
        <w:rPr>
          <w:rFonts w:ascii="Arial" w:hAnsi="Arial" w:cs="Arial"/>
          <w:color w:val="000000"/>
        </w:rPr>
        <w:t>w</w:t>
      </w:r>
      <w:r w:rsidR="007313F3">
        <w:rPr>
          <w:rFonts w:ascii="Arial" w:hAnsi="Arial" w:cs="Arial"/>
          <w:color w:val="000000"/>
        </w:rPr>
        <w:t>ere</w:t>
      </w:r>
      <w:r w:rsidR="000D2B85">
        <w:rPr>
          <w:rFonts w:ascii="Arial" w:hAnsi="Arial" w:cs="Arial"/>
          <w:color w:val="000000"/>
        </w:rPr>
        <w:t xml:space="preserve"> </w:t>
      </w:r>
      <w:r w:rsidR="00B974B7" w:rsidRPr="00C50AFE">
        <w:rPr>
          <w:rFonts w:ascii="Arial" w:hAnsi="Arial" w:cs="Arial"/>
          <w:color w:val="000000"/>
        </w:rPr>
        <w:t xml:space="preserve">ordinarily “left </w:t>
      </w:r>
      <w:r w:rsidR="00F076DE" w:rsidRPr="00C50AFE">
        <w:rPr>
          <w:rFonts w:ascii="Arial" w:hAnsi="Arial" w:cs="Arial"/>
          <w:color w:val="000000"/>
        </w:rPr>
        <w:t>han</w:t>
      </w:r>
      <w:r w:rsidR="00B974B7" w:rsidRPr="00C50AFE">
        <w:rPr>
          <w:rFonts w:ascii="Arial" w:hAnsi="Arial" w:cs="Arial"/>
          <w:color w:val="000000"/>
        </w:rPr>
        <w:t>g</w:t>
      </w:r>
      <w:r w:rsidR="00F076DE" w:rsidRPr="00C50AFE">
        <w:rPr>
          <w:rFonts w:ascii="Arial" w:hAnsi="Arial" w:cs="Arial"/>
          <w:color w:val="000000"/>
        </w:rPr>
        <w:t>ing behind the gate post</w:t>
      </w:r>
      <w:r w:rsidR="00B974B7" w:rsidRPr="00C50AFE">
        <w:rPr>
          <w:rFonts w:ascii="Arial" w:hAnsi="Arial" w:cs="Arial"/>
          <w:color w:val="000000"/>
        </w:rPr>
        <w:t>”</w:t>
      </w:r>
      <w:r w:rsidR="00F076DE" w:rsidRPr="00C50AFE">
        <w:rPr>
          <w:rFonts w:ascii="Arial" w:hAnsi="Arial" w:cs="Arial"/>
          <w:color w:val="000000"/>
        </w:rPr>
        <w:t xml:space="preserve"> where [Sikhova] could </w:t>
      </w:r>
      <w:r w:rsidR="007313F3" w:rsidRPr="00C50AFE">
        <w:rPr>
          <w:rFonts w:ascii="Arial" w:hAnsi="Arial" w:cs="Arial"/>
          <w:color w:val="000000"/>
        </w:rPr>
        <w:t xml:space="preserve">have </w:t>
      </w:r>
      <w:r w:rsidR="00F076DE" w:rsidRPr="00C50AFE">
        <w:rPr>
          <w:rFonts w:ascii="Arial" w:hAnsi="Arial" w:cs="Arial"/>
          <w:color w:val="000000"/>
        </w:rPr>
        <w:t>easily reached</w:t>
      </w:r>
      <w:r w:rsidR="00B974B7" w:rsidRPr="00C50AFE">
        <w:rPr>
          <w:rFonts w:ascii="Arial" w:hAnsi="Arial" w:cs="Arial"/>
          <w:color w:val="000000"/>
        </w:rPr>
        <w:t xml:space="preserve"> them</w:t>
      </w:r>
      <w:r w:rsidR="00C50AFE" w:rsidRPr="00C50AFE">
        <w:rPr>
          <w:rFonts w:ascii="Arial" w:hAnsi="Arial" w:cs="Arial"/>
          <w:color w:val="000000"/>
        </w:rPr>
        <w:t>. Th</w:t>
      </w:r>
      <w:r w:rsidR="0067335D">
        <w:rPr>
          <w:rFonts w:ascii="Arial" w:hAnsi="Arial" w:cs="Arial"/>
          <w:color w:val="000000"/>
        </w:rPr>
        <w:t xml:space="preserve">is </w:t>
      </w:r>
      <w:r w:rsidR="007313F3">
        <w:rPr>
          <w:rFonts w:ascii="Arial" w:hAnsi="Arial" w:cs="Arial"/>
          <w:color w:val="000000"/>
        </w:rPr>
        <w:t xml:space="preserve">new evidence </w:t>
      </w:r>
      <w:r w:rsidR="00C50AFE" w:rsidRPr="00C50AFE">
        <w:rPr>
          <w:rFonts w:ascii="Arial" w:hAnsi="Arial" w:cs="Arial"/>
          <w:color w:val="000000"/>
        </w:rPr>
        <w:t xml:space="preserve">was clearly prejudicial to their opponents who </w:t>
      </w:r>
      <w:r w:rsidR="00541CA1">
        <w:rPr>
          <w:rFonts w:ascii="Arial" w:hAnsi="Arial" w:cs="Arial"/>
          <w:color w:val="000000"/>
        </w:rPr>
        <w:t xml:space="preserve">could not have filed </w:t>
      </w:r>
      <w:r w:rsidR="007313F3">
        <w:rPr>
          <w:rFonts w:ascii="Arial" w:hAnsi="Arial" w:cs="Arial"/>
          <w:color w:val="000000"/>
        </w:rPr>
        <w:t>a further affidavit</w:t>
      </w:r>
      <w:r w:rsidR="007B618F">
        <w:rPr>
          <w:rFonts w:ascii="Arial" w:hAnsi="Arial" w:cs="Arial"/>
          <w:color w:val="000000"/>
        </w:rPr>
        <w:t xml:space="preserve"> </w:t>
      </w:r>
      <w:r w:rsidR="00541CA1">
        <w:rPr>
          <w:rFonts w:ascii="Arial" w:hAnsi="Arial" w:cs="Arial"/>
          <w:color w:val="000000"/>
        </w:rPr>
        <w:t>in response</w:t>
      </w:r>
      <w:r w:rsidR="007313F3">
        <w:rPr>
          <w:rFonts w:ascii="Arial" w:hAnsi="Arial" w:cs="Arial"/>
          <w:color w:val="000000"/>
        </w:rPr>
        <w:t xml:space="preserve"> </w:t>
      </w:r>
      <w:r w:rsidR="00541CA1">
        <w:rPr>
          <w:rFonts w:ascii="Arial" w:hAnsi="Arial" w:cs="Arial"/>
          <w:color w:val="000000"/>
        </w:rPr>
        <w:t>without the court’s leave</w:t>
      </w:r>
      <w:r w:rsidR="00C50AFE" w:rsidRPr="00C50AFE">
        <w:rPr>
          <w:rFonts w:ascii="Arial" w:hAnsi="Arial" w:cs="Arial"/>
          <w:color w:val="000000"/>
        </w:rPr>
        <w:t xml:space="preserve">. </w:t>
      </w:r>
      <w:r w:rsidR="007313F3">
        <w:rPr>
          <w:rFonts w:ascii="Arial" w:hAnsi="Arial" w:cs="Arial"/>
          <w:color w:val="000000"/>
        </w:rPr>
        <w:t xml:space="preserve">Sikhova and Hard Rock </w:t>
      </w:r>
      <w:r w:rsidR="00C50AFE" w:rsidRPr="00C50AFE">
        <w:rPr>
          <w:rFonts w:ascii="Arial" w:hAnsi="Arial" w:cs="Arial"/>
          <w:color w:val="000000"/>
        </w:rPr>
        <w:t xml:space="preserve">also </w:t>
      </w:r>
      <w:r w:rsidR="00F076DE" w:rsidRPr="00C50AFE">
        <w:rPr>
          <w:rFonts w:ascii="Arial" w:hAnsi="Arial" w:cs="Arial"/>
          <w:color w:val="000000"/>
        </w:rPr>
        <w:t>“assumed” that the lock</w:t>
      </w:r>
      <w:r w:rsidR="00F076DE" w:rsidRPr="0092024E">
        <w:rPr>
          <w:rFonts w:ascii="Arial" w:hAnsi="Arial" w:cs="Arial"/>
          <w:color w:val="000000"/>
        </w:rPr>
        <w:t xml:space="preserve"> on the gate to the property had been removed and replaced</w:t>
      </w:r>
      <w:r w:rsidR="00F076DE" w:rsidRPr="00AB2164">
        <w:rPr>
          <w:rFonts w:ascii="Arial" w:hAnsi="Arial" w:cs="Arial"/>
          <w:color w:val="000000"/>
        </w:rPr>
        <w:t xml:space="preserve"> </w:t>
      </w:r>
      <w:r w:rsidR="00F076DE">
        <w:rPr>
          <w:rFonts w:ascii="Arial" w:hAnsi="Arial" w:cs="Arial"/>
          <w:color w:val="000000"/>
        </w:rPr>
        <w:t>by QCK</w:t>
      </w:r>
      <w:r w:rsidR="00F076DE" w:rsidRPr="0092024E">
        <w:rPr>
          <w:rFonts w:ascii="Arial" w:hAnsi="Arial" w:cs="Arial"/>
          <w:color w:val="000000"/>
        </w:rPr>
        <w:t xml:space="preserve">. </w:t>
      </w:r>
      <w:r w:rsidR="007B618F">
        <w:rPr>
          <w:rFonts w:ascii="Arial" w:hAnsi="Arial" w:cs="Arial"/>
          <w:color w:val="000000"/>
        </w:rPr>
        <w:t>That the antagonists locked the gates</w:t>
      </w:r>
      <w:r w:rsidR="00C16343">
        <w:rPr>
          <w:rFonts w:ascii="Arial" w:hAnsi="Arial" w:cs="Arial"/>
          <w:color w:val="000000"/>
        </w:rPr>
        <w:t xml:space="preserve">, as stated in the founding papers, </w:t>
      </w:r>
      <w:r w:rsidR="001012B6">
        <w:rPr>
          <w:rFonts w:ascii="Arial" w:hAnsi="Arial" w:cs="Arial"/>
          <w:color w:val="000000"/>
        </w:rPr>
        <w:t xml:space="preserve">was </w:t>
      </w:r>
      <w:r w:rsidR="007B618F">
        <w:rPr>
          <w:rFonts w:ascii="Arial" w:hAnsi="Arial" w:cs="Arial"/>
          <w:color w:val="000000"/>
        </w:rPr>
        <w:t xml:space="preserve">no longer factual but </w:t>
      </w:r>
      <w:r w:rsidR="00C16343">
        <w:rPr>
          <w:rFonts w:ascii="Arial" w:hAnsi="Arial" w:cs="Arial"/>
          <w:color w:val="000000"/>
        </w:rPr>
        <w:t>based on an assumption.</w:t>
      </w:r>
    </w:p>
    <w:p w:rsidR="00740F5B" w:rsidRPr="002001AC" w:rsidRDefault="000618B8" w:rsidP="003875FA">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3</w:t>
      </w:r>
      <w:r w:rsidR="00DD73AB">
        <w:rPr>
          <w:rFonts w:ascii="Arial" w:hAnsi="Arial" w:cs="Arial"/>
          <w:color w:val="000000"/>
        </w:rPr>
        <w:t>8</w:t>
      </w:r>
      <w:r>
        <w:rPr>
          <w:rFonts w:ascii="Arial" w:hAnsi="Arial" w:cs="Arial"/>
          <w:color w:val="000000"/>
        </w:rPr>
        <w:t>]</w:t>
      </w:r>
      <w:r>
        <w:rPr>
          <w:rFonts w:ascii="Arial" w:hAnsi="Arial" w:cs="Arial"/>
          <w:color w:val="000000"/>
        </w:rPr>
        <w:tab/>
        <w:t>A reading of t</w:t>
      </w:r>
      <w:r w:rsidR="006A4792">
        <w:rPr>
          <w:rFonts w:ascii="Arial" w:hAnsi="Arial" w:cs="Arial"/>
          <w:color w:val="000000"/>
        </w:rPr>
        <w:t xml:space="preserve">he court a quo </w:t>
      </w:r>
      <w:r>
        <w:rPr>
          <w:rFonts w:ascii="Arial" w:hAnsi="Arial" w:cs="Arial"/>
          <w:color w:val="000000"/>
        </w:rPr>
        <w:t xml:space="preserve">judgment shows that it </w:t>
      </w:r>
      <w:r w:rsidR="003403A7">
        <w:rPr>
          <w:rFonts w:ascii="Arial" w:hAnsi="Arial" w:cs="Arial"/>
          <w:color w:val="000000"/>
        </w:rPr>
        <w:t>w</w:t>
      </w:r>
      <w:r w:rsidR="00C10D43">
        <w:rPr>
          <w:rFonts w:ascii="Arial" w:hAnsi="Arial" w:cs="Arial"/>
          <w:color w:val="000000"/>
        </w:rPr>
        <w:t xml:space="preserve">as </w:t>
      </w:r>
      <w:r w:rsidR="006A4792">
        <w:rPr>
          <w:rFonts w:ascii="Arial" w:hAnsi="Arial" w:cs="Arial"/>
          <w:color w:val="000000"/>
        </w:rPr>
        <w:t>alive</w:t>
      </w:r>
      <w:r w:rsidR="003403A7">
        <w:rPr>
          <w:rFonts w:ascii="Arial" w:hAnsi="Arial" w:cs="Arial"/>
          <w:color w:val="000000"/>
        </w:rPr>
        <w:t xml:space="preserve"> to th</w:t>
      </w:r>
      <w:r w:rsidR="00C10D43">
        <w:rPr>
          <w:rFonts w:ascii="Arial" w:hAnsi="Arial" w:cs="Arial"/>
          <w:color w:val="000000"/>
        </w:rPr>
        <w:t>e</w:t>
      </w:r>
      <w:r w:rsidR="00F44BE4">
        <w:rPr>
          <w:rFonts w:ascii="Arial" w:hAnsi="Arial" w:cs="Arial"/>
          <w:color w:val="000000"/>
        </w:rPr>
        <w:t xml:space="preserve"> existence of </w:t>
      </w:r>
      <w:r w:rsidR="0067335D">
        <w:rPr>
          <w:rFonts w:ascii="Arial" w:hAnsi="Arial" w:cs="Arial"/>
          <w:color w:val="000000"/>
        </w:rPr>
        <w:t xml:space="preserve">the </w:t>
      </w:r>
      <w:r w:rsidR="00C10D43">
        <w:rPr>
          <w:rFonts w:ascii="Arial" w:hAnsi="Arial" w:cs="Arial"/>
          <w:color w:val="000000"/>
        </w:rPr>
        <w:t>dispute</w:t>
      </w:r>
      <w:r w:rsidR="00F44BE4">
        <w:rPr>
          <w:rFonts w:ascii="Arial" w:hAnsi="Arial" w:cs="Arial"/>
          <w:color w:val="000000"/>
        </w:rPr>
        <w:t>s</w:t>
      </w:r>
      <w:r w:rsidR="00C10D43">
        <w:rPr>
          <w:rFonts w:ascii="Arial" w:hAnsi="Arial" w:cs="Arial"/>
          <w:color w:val="000000"/>
        </w:rPr>
        <w:t xml:space="preserve"> of fact</w:t>
      </w:r>
      <w:r>
        <w:rPr>
          <w:rFonts w:ascii="Arial" w:hAnsi="Arial" w:cs="Arial"/>
          <w:color w:val="000000"/>
        </w:rPr>
        <w:t xml:space="preserve"> on the </w:t>
      </w:r>
      <w:r w:rsidR="0022749A">
        <w:rPr>
          <w:rFonts w:ascii="Arial" w:hAnsi="Arial" w:cs="Arial"/>
          <w:color w:val="000000"/>
        </w:rPr>
        <w:t>crucial</w:t>
      </w:r>
      <w:r>
        <w:rPr>
          <w:rFonts w:ascii="Arial" w:hAnsi="Arial" w:cs="Arial"/>
          <w:color w:val="000000"/>
        </w:rPr>
        <w:t xml:space="preserve"> evidence</w:t>
      </w:r>
      <w:r w:rsidR="00FB1705">
        <w:rPr>
          <w:rFonts w:ascii="Arial" w:hAnsi="Arial" w:cs="Arial"/>
          <w:color w:val="000000"/>
        </w:rPr>
        <w:t xml:space="preserve"> that pertained to the alleged </w:t>
      </w:r>
      <w:r w:rsidR="00C16343">
        <w:rPr>
          <w:rFonts w:ascii="Arial" w:hAnsi="Arial" w:cs="Arial"/>
          <w:color w:val="000000"/>
        </w:rPr>
        <w:t xml:space="preserve">act of </w:t>
      </w:r>
      <w:r w:rsidR="00FB1705">
        <w:rPr>
          <w:rFonts w:ascii="Arial" w:hAnsi="Arial" w:cs="Arial"/>
          <w:color w:val="000000"/>
        </w:rPr>
        <w:lastRenderedPageBreak/>
        <w:t>spoliation</w:t>
      </w:r>
      <w:r>
        <w:rPr>
          <w:rFonts w:ascii="Arial" w:hAnsi="Arial" w:cs="Arial"/>
          <w:color w:val="000000"/>
        </w:rPr>
        <w:t xml:space="preserve">. </w:t>
      </w:r>
      <w:r w:rsidR="00FB1705">
        <w:rPr>
          <w:rFonts w:ascii="Arial" w:hAnsi="Arial" w:cs="Arial"/>
          <w:color w:val="000000"/>
        </w:rPr>
        <w:t>This notwithstanding</w:t>
      </w:r>
      <w:r>
        <w:rPr>
          <w:rFonts w:ascii="Arial" w:hAnsi="Arial" w:cs="Arial"/>
          <w:color w:val="000000"/>
        </w:rPr>
        <w:t>, t</w:t>
      </w:r>
      <w:r w:rsidR="00E14DA3" w:rsidRPr="002001AC">
        <w:rPr>
          <w:rFonts w:ascii="Arial" w:hAnsi="Arial" w:cs="Arial"/>
          <w:color w:val="000000"/>
        </w:rPr>
        <w:t>he court did not subject the</w:t>
      </w:r>
      <w:r>
        <w:rPr>
          <w:rFonts w:ascii="Arial" w:hAnsi="Arial" w:cs="Arial"/>
          <w:color w:val="000000"/>
        </w:rPr>
        <w:t xml:space="preserve">se </w:t>
      </w:r>
      <w:r w:rsidR="00E14DA3" w:rsidRPr="002001AC">
        <w:rPr>
          <w:rFonts w:ascii="Arial" w:hAnsi="Arial" w:cs="Arial"/>
          <w:color w:val="000000"/>
        </w:rPr>
        <w:t>dispute</w:t>
      </w:r>
      <w:r w:rsidR="004F7FC5" w:rsidRPr="002001AC">
        <w:rPr>
          <w:rFonts w:ascii="Arial" w:hAnsi="Arial" w:cs="Arial"/>
          <w:color w:val="000000"/>
        </w:rPr>
        <w:t>s</w:t>
      </w:r>
      <w:r w:rsidR="00E14DA3" w:rsidRPr="002001AC">
        <w:rPr>
          <w:rFonts w:ascii="Arial" w:hAnsi="Arial" w:cs="Arial"/>
          <w:color w:val="000000"/>
        </w:rPr>
        <w:t xml:space="preserve"> to closer scrutiny</w:t>
      </w:r>
      <w:r w:rsidR="00CA6DD7" w:rsidRPr="002001AC">
        <w:rPr>
          <w:rFonts w:ascii="Arial" w:hAnsi="Arial" w:cs="Arial"/>
          <w:color w:val="000000"/>
        </w:rPr>
        <w:t xml:space="preserve">. </w:t>
      </w:r>
      <w:r w:rsidR="009E3D04" w:rsidRPr="002001AC">
        <w:rPr>
          <w:rFonts w:ascii="Arial" w:hAnsi="Arial" w:cs="Arial"/>
          <w:color w:val="000000"/>
        </w:rPr>
        <w:t xml:space="preserve">It </w:t>
      </w:r>
      <w:r w:rsidR="00F11106" w:rsidRPr="002001AC">
        <w:rPr>
          <w:rFonts w:ascii="Arial" w:hAnsi="Arial" w:cs="Arial"/>
          <w:color w:val="000000"/>
        </w:rPr>
        <w:t>impli</w:t>
      </w:r>
      <w:r w:rsidR="00AD0B85" w:rsidRPr="002001AC">
        <w:rPr>
          <w:rFonts w:ascii="Arial" w:hAnsi="Arial" w:cs="Arial"/>
          <w:color w:val="000000"/>
        </w:rPr>
        <w:t xml:space="preserve">edly </w:t>
      </w:r>
      <w:r w:rsidR="00F11106" w:rsidRPr="002001AC">
        <w:rPr>
          <w:rFonts w:ascii="Arial" w:hAnsi="Arial" w:cs="Arial"/>
          <w:color w:val="000000"/>
        </w:rPr>
        <w:t xml:space="preserve">took a robust view of the matter and </w:t>
      </w:r>
      <w:r w:rsidR="00CA6DD7" w:rsidRPr="002001AC">
        <w:rPr>
          <w:rFonts w:ascii="Arial" w:hAnsi="Arial" w:cs="Arial"/>
          <w:color w:val="000000"/>
        </w:rPr>
        <w:t xml:space="preserve">labelled </w:t>
      </w:r>
      <w:r w:rsidR="003E3E6B" w:rsidRPr="002001AC">
        <w:rPr>
          <w:rFonts w:ascii="Arial" w:hAnsi="Arial" w:cs="Arial"/>
          <w:color w:val="000000"/>
        </w:rPr>
        <w:t>QCK and Lore’s</w:t>
      </w:r>
      <w:r w:rsidR="00CA6DD7" w:rsidRPr="002001AC">
        <w:rPr>
          <w:rFonts w:ascii="Arial" w:hAnsi="Arial" w:cs="Arial"/>
          <w:color w:val="000000"/>
        </w:rPr>
        <w:t xml:space="preserve"> version (the respondents</w:t>
      </w:r>
      <w:r w:rsidR="00F11106" w:rsidRPr="002001AC">
        <w:rPr>
          <w:rFonts w:ascii="Arial" w:hAnsi="Arial" w:cs="Arial"/>
          <w:color w:val="000000"/>
        </w:rPr>
        <w:t>’</w:t>
      </w:r>
      <w:r w:rsidR="00CA6DD7" w:rsidRPr="002001AC">
        <w:rPr>
          <w:rFonts w:ascii="Arial" w:hAnsi="Arial" w:cs="Arial"/>
          <w:color w:val="000000"/>
        </w:rPr>
        <w:t xml:space="preserve"> in the court a quo) as vague and untenable without </w:t>
      </w:r>
      <w:r w:rsidR="00FB1705">
        <w:rPr>
          <w:rFonts w:ascii="Arial" w:hAnsi="Arial" w:cs="Arial"/>
          <w:color w:val="000000"/>
        </w:rPr>
        <w:t xml:space="preserve">any </w:t>
      </w:r>
      <w:r w:rsidR="00CA6DD7" w:rsidRPr="002001AC">
        <w:rPr>
          <w:rFonts w:ascii="Arial" w:hAnsi="Arial" w:cs="Arial"/>
          <w:color w:val="000000"/>
        </w:rPr>
        <w:t>substantiati</w:t>
      </w:r>
      <w:r w:rsidR="00FB1705">
        <w:rPr>
          <w:rFonts w:ascii="Arial" w:hAnsi="Arial" w:cs="Arial"/>
          <w:color w:val="000000"/>
        </w:rPr>
        <w:t>on.</w:t>
      </w:r>
      <w:r w:rsidR="002001AC" w:rsidRPr="002001AC">
        <w:rPr>
          <w:rFonts w:ascii="Arial" w:hAnsi="Arial" w:cs="Arial"/>
          <w:color w:val="000000"/>
        </w:rPr>
        <w:t xml:space="preserve"> </w:t>
      </w:r>
    </w:p>
    <w:p w:rsidR="00891F6F" w:rsidRDefault="00056305" w:rsidP="000927E5">
      <w:pPr>
        <w:spacing w:before="0" w:beforeAutospacing="0" w:after="0" w:afterAutospacing="0" w:line="360" w:lineRule="auto"/>
        <w:ind w:left="562" w:hanging="562"/>
        <w:jc w:val="both"/>
        <w:rPr>
          <w:rFonts w:ascii="Arial" w:hAnsi="Arial" w:cs="Arial"/>
        </w:rPr>
      </w:pPr>
      <w:r>
        <w:rPr>
          <w:rFonts w:ascii="Arial" w:hAnsi="Arial" w:cs="Arial"/>
          <w:color w:val="000000"/>
        </w:rPr>
        <w:t>[</w:t>
      </w:r>
      <w:r w:rsidR="000860F1">
        <w:rPr>
          <w:rFonts w:ascii="Arial" w:hAnsi="Arial" w:cs="Arial"/>
          <w:color w:val="000000"/>
        </w:rPr>
        <w:t>3</w:t>
      </w:r>
      <w:r w:rsidR="00DD73AB">
        <w:rPr>
          <w:rFonts w:ascii="Arial" w:hAnsi="Arial" w:cs="Arial"/>
          <w:color w:val="000000"/>
        </w:rPr>
        <w:t>9</w:t>
      </w:r>
      <w:r>
        <w:rPr>
          <w:rFonts w:ascii="Arial" w:hAnsi="Arial" w:cs="Arial"/>
          <w:color w:val="000000"/>
        </w:rPr>
        <w:t>]</w:t>
      </w:r>
      <w:r>
        <w:rPr>
          <w:rFonts w:ascii="Arial" w:hAnsi="Arial" w:cs="Arial"/>
          <w:color w:val="000000"/>
        </w:rPr>
        <w:tab/>
      </w:r>
      <w:r w:rsidR="00356F6C">
        <w:rPr>
          <w:rFonts w:ascii="Arial" w:hAnsi="Arial" w:cs="Arial"/>
        </w:rPr>
        <w:t>The</w:t>
      </w:r>
      <w:r w:rsidR="000927E5">
        <w:rPr>
          <w:rFonts w:ascii="Arial" w:hAnsi="Arial" w:cs="Arial"/>
        </w:rPr>
        <w:t xml:space="preserve"> alleged act of spoliation</w:t>
      </w:r>
      <w:r w:rsidR="00356F6C">
        <w:rPr>
          <w:rFonts w:ascii="Arial" w:hAnsi="Arial" w:cs="Arial"/>
        </w:rPr>
        <w:t xml:space="preserve"> and unlawful deprivation of possession, in the present case, must</w:t>
      </w:r>
      <w:r w:rsidR="00FC3817">
        <w:rPr>
          <w:rFonts w:ascii="Arial" w:hAnsi="Arial" w:cs="Arial"/>
        </w:rPr>
        <w:t xml:space="preserve"> also </w:t>
      </w:r>
      <w:r w:rsidR="000927E5">
        <w:rPr>
          <w:rFonts w:ascii="Arial" w:hAnsi="Arial" w:cs="Arial"/>
        </w:rPr>
        <w:t xml:space="preserve">be viewed contextually having regard to the events that followed it. </w:t>
      </w:r>
      <w:r w:rsidR="00C80ED5">
        <w:rPr>
          <w:rFonts w:ascii="Arial" w:hAnsi="Arial" w:cs="Arial"/>
        </w:rPr>
        <w:t>Some of t</w:t>
      </w:r>
      <w:r w:rsidR="000927E5">
        <w:rPr>
          <w:rFonts w:ascii="Arial" w:hAnsi="Arial" w:cs="Arial"/>
        </w:rPr>
        <w:t xml:space="preserve">he contemporaneous </w:t>
      </w:r>
      <w:r w:rsidR="006B0739">
        <w:rPr>
          <w:rFonts w:ascii="Arial" w:hAnsi="Arial" w:cs="Arial"/>
        </w:rPr>
        <w:t>written exchange</w:t>
      </w:r>
      <w:r w:rsidR="00715084">
        <w:rPr>
          <w:rFonts w:ascii="Arial" w:hAnsi="Arial" w:cs="Arial"/>
        </w:rPr>
        <w:t>s</w:t>
      </w:r>
      <w:r w:rsidR="006B0739">
        <w:rPr>
          <w:rFonts w:ascii="Arial" w:hAnsi="Arial" w:cs="Arial"/>
        </w:rPr>
        <w:t xml:space="preserve"> </w:t>
      </w:r>
      <w:r w:rsidR="000927E5">
        <w:rPr>
          <w:rFonts w:ascii="Arial" w:hAnsi="Arial" w:cs="Arial"/>
        </w:rPr>
        <w:t>between the parties provide useful exposition. In a letter of 23 January 2020 by Sikhova</w:t>
      </w:r>
      <w:r w:rsidR="0022749A">
        <w:rPr>
          <w:rFonts w:ascii="Arial" w:hAnsi="Arial" w:cs="Arial"/>
        </w:rPr>
        <w:t>’s</w:t>
      </w:r>
      <w:r w:rsidR="000927E5">
        <w:rPr>
          <w:rFonts w:ascii="Arial" w:hAnsi="Arial" w:cs="Arial"/>
        </w:rPr>
        <w:t xml:space="preserve"> </w:t>
      </w:r>
      <w:r w:rsidR="006B0739">
        <w:rPr>
          <w:rFonts w:ascii="Arial" w:hAnsi="Arial" w:cs="Arial"/>
        </w:rPr>
        <w:t xml:space="preserve">erstwhile </w:t>
      </w:r>
      <w:r w:rsidR="000927E5">
        <w:rPr>
          <w:rFonts w:ascii="Arial" w:hAnsi="Arial" w:cs="Arial"/>
        </w:rPr>
        <w:t>attorneys</w:t>
      </w:r>
      <w:r w:rsidR="006B0739">
        <w:rPr>
          <w:rFonts w:ascii="Arial" w:hAnsi="Arial" w:cs="Arial"/>
        </w:rPr>
        <w:t xml:space="preserve">, </w:t>
      </w:r>
      <w:r w:rsidR="000927E5">
        <w:rPr>
          <w:rFonts w:ascii="Arial" w:hAnsi="Arial" w:cs="Arial"/>
        </w:rPr>
        <w:t>Odendaal &amp; Kruger</w:t>
      </w:r>
      <w:r w:rsidR="006B0739">
        <w:rPr>
          <w:rFonts w:ascii="Arial" w:hAnsi="Arial" w:cs="Arial"/>
        </w:rPr>
        <w:t xml:space="preserve"> Attorneys,</w:t>
      </w:r>
      <w:r w:rsidR="000927E5">
        <w:rPr>
          <w:rFonts w:ascii="Arial" w:hAnsi="Arial" w:cs="Arial"/>
        </w:rPr>
        <w:t xml:space="preserve"> to Ms Labuschagne</w:t>
      </w:r>
      <w:r w:rsidR="00C73155">
        <w:rPr>
          <w:rFonts w:ascii="Arial" w:hAnsi="Arial" w:cs="Arial"/>
        </w:rPr>
        <w:t>, QCK</w:t>
      </w:r>
      <w:r w:rsidR="0022749A">
        <w:rPr>
          <w:rFonts w:ascii="Arial" w:hAnsi="Arial" w:cs="Arial"/>
        </w:rPr>
        <w:t>’s</w:t>
      </w:r>
      <w:r w:rsidR="00C73155">
        <w:rPr>
          <w:rFonts w:ascii="Arial" w:hAnsi="Arial" w:cs="Arial"/>
        </w:rPr>
        <w:t xml:space="preserve"> erstwhile legal representative</w:t>
      </w:r>
      <w:r w:rsidR="00794C33">
        <w:rPr>
          <w:rFonts w:ascii="Arial" w:hAnsi="Arial" w:cs="Arial"/>
        </w:rPr>
        <w:t xml:space="preserve">, </w:t>
      </w:r>
      <w:r w:rsidR="006B0739">
        <w:rPr>
          <w:rFonts w:ascii="Arial" w:hAnsi="Arial" w:cs="Arial"/>
        </w:rPr>
        <w:t xml:space="preserve">a proposal was made </w:t>
      </w:r>
      <w:r w:rsidR="000927E5">
        <w:rPr>
          <w:rFonts w:ascii="Arial" w:hAnsi="Arial" w:cs="Arial"/>
        </w:rPr>
        <w:t>to purchase the farm from QCK</w:t>
      </w:r>
      <w:r w:rsidR="009E5A41">
        <w:rPr>
          <w:rFonts w:ascii="Arial" w:hAnsi="Arial" w:cs="Arial"/>
        </w:rPr>
        <w:t xml:space="preserve">. </w:t>
      </w:r>
      <w:r w:rsidR="00D549A6">
        <w:rPr>
          <w:rFonts w:ascii="Arial" w:hAnsi="Arial" w:cs="Arial"/>
        </w:rPr>
        <w:t>M</w:t>
      </w:r>
      <w:r w:rsidR="00103B03">
        <w:rPr>
          <w:rFonts w:ascii="Arial" w:hAnsi="Arial" w:cs="Arial"/>
        </w:rPr>
        <w:t>ore st</w:t>
      </w:r>
      <w:r w:rsidR="00891F6F">
        <w:rPr>
          <w:rFonts w:ascii="Arial" w:hAnsi="Arial" w:cs="Arial"/>
        </w:rPr>
        <w:t>ri</w:t>
      </w:r>
      <w:r w:rsidR="00103B03">
        <w:rPr>
          <w:rFonts w:ascii="Arial" w:hAnsi="Arial" w:cs="Arial"/>
        </w:rPr>
        <w:t>kingly</w:t>
      </w:r>
      <w:r w:rsidR="00D549A6">
        <w:rPr>
          <w:rFonts w:ascii="Arial" w:hAnsi="Arial" w:cs="Arial"/>
        </w:rPr>
        <w:t>,</w:t>
      </w:r>
      <w:r w:rsidR="00103B03">
        <w:rPr>
          <w:rFonts w:ascii="Arial" w:hAnsi="Arial" w:cs="Arial"/>
        </w:rPr>
        <w:t xml:space="preserve"> </w:t>
      </w:r>
      <w:r w:rsidR="000927E5">
        <w:rPr>
          <w:rFonts w:ascii="Arial" w:hAnsi="Arial" w:cs="Arial"/>
        </w:rPr>
        <w:t>no mention is made of any spoliation</w:t>
      </w:r>
      <w:r w:rsidR="00D549A6">
        <w:rPr>
          <w:rFonts w:ascii="Arial" w:hAnsi="Arial" w:cs="Arial"/>
        </w:rPr>
        <w:t>, an issue which was supposed to have been the main point of contention at the time.</w:t>
      </w:r>
      <w:r w:rsidR="000927E5">
        <w:rPr>
          <w:rFonts w:ascii="Arial" w:hAnsi="Arial" w:cs="Arial"/>
        </w:rPr>
        <w:t xml:space="preserve"> </w:t>
      </w:r>
    </w:p>
    <w:p w:rsidR="00891F6F" w:rsidRDefault="00891F6F" w:rsidP="000927E5">
      <w:pPr>
        <w:spacing w:before="0" w:beforeAutospacing="0" w:after="0" w:afterAutospacing="0" w:line="360" w:lineRule="auto"/>
        <w:ind w:left="562" w:hanging="562"/>
        <w:jc w:val="both"/>
        <w:rPr>
          <w:rFonts w:ascii="Arial" w:hAnsi="Arial" w:cs="Arial"/>
        </w:rPr>
      </w:pPr>
    </w:p>
    <w:p w:rsidR="00891F6F" w:rsidRDefault="00891F6F" w:rsidP="000927E5">
      <w:pPr>
        <w:spacing w:before="0" w:beforeAutospacing="0" w:after="0" w:afterAutospacing="0" w:line="360" w:lineRule="auto"/>
        <w:ind w:left="562" w:hanging="562"/>
        <w:jc w:val="both"/>
        <w:rPr>
          <w:rFonts w:ascii="Arial" w:hAnsi="Arial" w:cs="Arial"/>
        </w:rPr>
      </w:pPr>
      <w:r>
        <w:rPr>
          <w:rFonts w:ascii="Arial" w:hAnsi="Arial" w:cs="Arial"/>
        </w:rPr>
        <w:t>[</w:t>
      </w:r>
      <w:r w:rsidR="00DD73AB">
        <w:rPr>
          <w:rFonts w:ascii="Arial" w:hAnsi="Arial" w:cs="Arial"/>
        </w:rPr>
        <w:t>40</w:t>
      </w:r>
      <w:r>
        <w:rPr>
          <w:rFonts w:ascii="Arial" w:hAnsi="Arial" w:cs="Arial"/>
        </w:rPr>
        <w:t>]</w:t>
      </w:r>
      <w:r>
        <w:rPr>
          <w:rFonts w:ascii="Arial" w:hAnsi="Arial" w:cs="Arial"/>
        </w:rPr>
        <w:tab/>
      </w:r>
      <w:r w:rsidR="000927E5">
        <w:rPr>
          <w:rFonts w:ascii="Arial" w:hAnsi="Arial" w:cs="Arial"/>
        </w:rPr>
        <w:t xml:space="preserve">In a further letter of 28 January 2020, the attorneys for Sikhova requested QCK’s attorneys to provide written confirmation that it would not prevent Sikhova </w:t>
      </w:r>
      <w:r w:rsidR="006C2948">
        <w:rPr>
          <w:rFonts w:ascii="Arial" w:hAnsi="Arial" w:cs="Arial"/>
        </w:rPr>
        <w:t>from carrying</w:t>
      </w:r>
      <w:r w:rsidR="000927E5">
        <w:rPr>
          <w:rFonts w:ascii="Arial" w:hAnsi="Arial" w:cs="Arial"/>
        </w:rPr>
        <w:t xml:space="preserve"> on with the exploration work. </w:t>
      </w:r>
      <w:r>
        <w:rPr>
          <w:rFonts w:ascii="Arial" w:hAnsi="Arial" w:cs="Arial"/>
        </w:rPr>
        <w:t xml:space="preserve">Once more no mention is made of any act of spoliation. </w:t>
      </w:r>
      <w:r w:rsidR="000927E5">
        <w:rPr>
          <w:rFonts w:ascii="Arial" w:hAnsi="Arial" w:cs="Arial"/>
        </w:rPr>
        <w:t xml:space="preserve">A letter dated 17 March 2020 (which runs into five pages) by Sikhova’s attorneys to Lore was apparently </w:t>
      </w:r>
      <w:r w:rsidR="00715084">
        <w:rPr>
          <w:rFonts w:ascii="Arial" w:hAnsi="Arial" w:cs="Arial"/>
        </w:rPr>
        <w:t xml:space="preserve">meant </w:t>
      </w:r>
      <w:r w:rsidR="000927E5">
        <w:rPr>
          <w:rFonts w:ascii="Arial" w:hAnsi="Arial" w:cs="Arial"/>
        </w:rPr>
        <w:t>to clear some misunderstanding</w:t>
      </w:r>
      <w:r w:rsidR="006C2948">
        <w:rPr>
          <w:rFonts w:ascii="Arial" w:hAnsi="Arial" w:cs="Arial"/>
        </w:rPr>
        <w:t>s</w:t>
      </w:r>
      <w:r w:rsidR="000927E5">
        <w:rPr>
          <w:rFonts w:ascii="Arial" w:hAnsi="Arial" w:cs="Arial"/>
        </w:rPr>
        <w:t xml:space="preserve"> around the </w:t>
      </w:r>
      <w:r w:rsidR="00385C3B">
        <w:rPr>
          <w:rFonts w:ascii="Arial" w:hAnsi="Arial" w:cs="Arial"/>
        </w:rPr>
        <w:t>Surface Use Agreement</w:t>
      </w:r>
      <w:r w:rsidR="000927E5">
        <w:rPr>
          <w:rFonts w:ascii="Arial" w:hAnsi="Arial" w:cs="Arial"/>
        </w:rPr>
        <w:t xml:space="preserve"> </w:t>
      </w:r>
      <w:r w:rsidR="00F1250D" w:rsidRPr="0046112B">
        <w:rPr>
          <w:rFonts w:ascii="Arial" w:hAnsi="Arial" w:cs="Arial"/>
        </w:rPr>
        <w:t xml:space="preserve">and the </w:t>
      </w:r>
      <w:r w:rsidR="000927E5" w:rsidRPr="0046112B">
        <w:rPr>
          <w:rFonts w:ascii="Arial" w:hAnsi="Arial" w:cs="Arial"/>
        </w:rPr>
        <w:t>attempt by</w:t>
      </w:r>
      <w:r w:rsidR="000927E5">
        <w:rPr>
          <w:rFonts w:ascii="Arial" w:hAnsi="Arial" w:cs="Arial"/>
        </w:rPr>
        <w:t xml:space="preserve"> Sikhova to buy the </w:t>
      </w:r>
      <w:r w:rsidR="00E1572D">
        <w:rPr>
          <w:rFonts w:ascii="Arial" w:hAnsi="Arial" w:cs="Arial"/>
        </w:rPr>
        <w:t xml:space="preserve">whole </w:t>
      </w:r>
      <w:r w:rsidR="00F1250D">
        <w:rPr>
          <w:rFonts w:ascii="Arial" w:hAnsi="Arial" w:cs="Arial"/>
        </w:rPr>
        <w:t>f</w:t>
      </w:r>
      <w:r w:rsidR="000927E5">
        <w:rPr>
          <w:rFonts w:ascii="Arial" w:hAnsi="Arial" w:cs="Arial"/>
        </w:rPr>
        <w:t>arm from QCK</w:t>
      </w:r>
      <w:r w:rsidR="00DC5850">
        <w:rPr>
          <w:rFonts w:ascii="Arial" w:hAnsi="Arial" w:cs="Arial"/>
        </w:rPr>
        <w:t>.</w:t>
      </w:r>
      <w:r w:rsidR="000927E5">
        <w:rPr>
          <w:rFonts w:ascii="Arial" w:hAnsi="Arial" w:cs="Arial"/>
        </w:rPr>
        <w:t xml:space="preserve"> The letter called for an urgent meeting to resolve contractual disputes – </w:t>
      </w:r>
      <w:r w:rsidR="00F1250D">
        <w:rPr>
          <w:rFonts w:ascii="Arial" w:hAnsi="Arial" w:cs="Arial"/>
        </w:rPr>
        <w:t xml:space="preserve">again </w:t>
      </w:r>
      <w:r w:rsidR="000927E5">
        <w:rPr>
          <w:rFonts w:ascii="Arial" w:hAnsi="Arial" w:cs="Arial"/>
        </w:rPr>
        <w:t>nothing was said about spoliation</w:t>
      </w:r>
      <w:r w:rsidR="00715084">
        <w:rPr>
          <w:rFonts w:ascii="Arial" w:hAnsi="Arial" w:cs="Arial"/>
        </w:rPr>
        <w:t xml:space="preserve">, </w:t>
      </w:r>
      <w:r w:rsidR="005B7F73">
        <w:rPr>
          <w:rFonts w:ascii="Arial" w:hAnsi="Arial" w:cs="Arial"/>
        </w:rPr>
        <w:t>the matter of the moment</w:t>
      </w:r>
      <w:r w:rsidR="000927E5">
        <w:rPr>
          <w:rFonts w:ascii="Arial" w:hAnsi="Arial" w:cs="Arial"/>
        </w:rPr>
        <w:t xml:space="preserve">. </w:t>
      </w:r>
    </w:p>
    <w:p w:rsidR="00891F6F" w:rsidRDefault="00891F6F" w:rsidP="000927E5">
      <w:pPr>
        <w:spacing w:before="0" w:beforeAutospacing="0" w:after="0" w:afterAutospacing="0" w:line="360" w:lineRule="auto"/>
        <w:ind w:left="562" w:hanging="562"/>
        <w:jc w:val="both"/>
        <w:rPr>
          <w:rFonts w:ascii="Arial" w:hAnsi="Arial" w:cs="Arial"/>
        </w:rPr>
      </w:pPr>
    </w:p>
    <w:p w:rsidR="00641091" w:rsidRDefault="00891F6F" w:rsidP="000927E5">
      <w:pPr>
        <w:spacing w:before="0" w:beforeAutospacing="0" w:after="0" w:afterAutospacing="0" w:line="360" w:lineRule="auto"/>
        <w:ind w:left="562" w:hanging="562"/>
        <w:jc w:val="both"/>
        <w:rPr>
          <w:rFonts w:ascii="Arial" w:hAnsi="Arial" w:cs="Arial"/>
        </w:rPr>
      </w:pPr>
      <w:r>
        <w:rPr>
          <w:rFonts w:ascii="Arial" w:hAnsi="Arial" w:cs="Arial"/>
        </w:rPr>
        <w:t>[4</w:t>
      </w:r>
      <w:r w:rsidR="00DD73AB">
        <w:rPr>
          <w:rFonts w:ascii="Arial" w:hAnsi="Arial" w:cs="Arial"/>
        </w:rPr>
        <w:t>1</w:t>
      </w:r>
      <w:r>
        <w:rPr>
          <w:rFonts w:ascii="Arial" w:hAnsi="Arial" w:cs="Arial"/>
        </w:rPr>
        <w:t>]</w:t>
      </w:r>
      <w:r>
        <w:rPr>
          <w:rFonts w:ascii="Arial" w:hAnsi="Arial" w:cs="Arial"/>
        </w:rPr>
        <w:tab/>
      </w:r>
      <w:r w:rsidR="000927E5">
        <w:rPr>
          <w:rFonts w:ascii="Arial" w:hAnsi="Arial" w:cs="Arial"/>
        </w:rPr>
        <w:t>It was only 6 months later, on 26 June 2020</w:t>
      </w:r>
      <w:r w:rsidR="001012B6">
        <w:rPr>
          <w:rFonts w:ascii="Arial" w:hAnsi="Arial" w:cs="Arial"/>
        </w:rPr>
        <w:t>,</w:t>
      </w:r>
      <w:r w:rsidR="000927E5">
        <w:rPr>
          <w:rFonts w:ascii="Arial" w:hAnsi="Arial" w:cs="Arial"/>
        </w:rPr>
        <w:t xml:space="preserve"> when Sikhova and Hard Rock’s new attorneys </w:t>
      </w:r>
      <w:r w:rsidR="001012B6">
        <w:rPr>
          <w:rFonts w:ascii="Arial" w:hAnsi="Arial" w:cs="Arial"/>
        </w:rPr>
        <w:t>took over</w:t>
      </w:r>
      <w:r w:rsidR="000927E5">
        <w:rPr>
          <w:rFonts w:ascii="Arial" w:hAnsi="Arial" w:cs="Arial"/>
        </w:rPr>
        <w:t xml:space="preserve">, that </w:t>
      </w:r>
      <w:r w:rsidR="00F5477A">
        <w:rPr>
          <w:rFonts w:ascii="Arial" w:hAnsi="Arial" w:cs="Arial"/>
        </w:rPr>
        <w:t xml:space="preserve">it was mentioned in </w:t>
      </w:r>
      <w:r w:rsidR="00BA6064">
        <w:rPr>
          <w:rFonts w:ascii="Arial" w:hAnsi="Arial" w:cs="Arial"/>
        </w:rPr>
        <w:t xml:space="preserve">their </w:t>
      </w:r>
      <w:r w:rsidR="00F5477A">
        <w:rPr>
          <w:rFonts w:ascii="Arial" w:hAnsi="Arial" w:cs="Arial"/>
        </w:rPr>
        <w:t xml:space="preserve">letter directed </w:t>
      </w:r>
      <w:r w:rsidR="00715084">
        <w:rPr>
          <w:rFonts w:ascii="Arial" w:hAnsi="Arial" w:cs="Arial"/>
        </w:rPr>
        <w:t>to</w:t>
      </w:r>
      <w:r w:rsidR="00F5477A">
        <w:rPr>
          <w:rFonts w:ascii="Arial" w:hAnsi="Arial" w:cs="Arial"/>
        </w:rPr>
        <w:t xml:space="preserve"> QCK attorneys, </w:t>
      </w:r>
      <w:r w:rsidR="000927E5">
        <w:rPr>
          <w:rFonts w:ascii="Arial" w:hAnsi="Arial" w:cs="Arial"/>
        </w:rPr>
        <w:t>for the very first time</w:t>
      </w:r>
      <w:r w:rsidR="00F5477A">
        <w:rPr>
          <w:rFonts w:ascii="Arial" w:hAnsi="Arial" w:cs="Arial"/>
        </w:rPr>
        <w:t xml:space="preserve">, that </w:t>
      </w:r>
      <w:r w:rsidR="000927E5">
        <w:rPr>
          <w:rFonts w:ascii="Arial" w:hAnsi="Arial" w:cs="Arial"/>
        </w:rPr>
        <w:t xml:space="preserve">Sikhova and Hard Rock </w:t>
      </w:r>
      <w:r w:rsidR="00F5477A">
        <w:rPr>
          <w:rFonts w:ascii="Arial" w:hAnsi="Arial" w:cs="Arial"/>
        </w:rPr>
        <w:t>had been despoiled</w:t>
      </w:r>
      <w:r w:rsidR="000927E5">
        <w:rPr>
          <w:rFonts w:ascii="Arial" w:hAnsi="Arial" w:cs="Arial"/>
        </w:rPr>
        <w:t xml:space="preserve">. </w:t>
      </w:r>
      <w:r w:rsidR="00F1250D">
        <w:rPr>
          <w:rFonts w:ascii="Arial" w:hAnsi="Arial" w:cs="Arial"/>
        </w:rPr>
        <w:t>Still</w:t>
      </w:r>
      <w:r w:rsidR="006C2948">
        <w:rPr>
          <w:rFonts w:ascii="Arial" w:hAnsi="Arial" w:cs="Arial"/>
        </w:rPr>
        <w:t>,</w:t>
      </w:r>
      <w:r w:rsidR="00F1250D">
        <w:rPr>
          <w:rFonts w:ascii="Arial" w:hAnsi="Arial" w:cs="Arial"/>
        </w:rPr>
        <w:t xml:space="preserve"> n</w:t>
      </w:r>
      <w:r w:rsidR="000927E5">
        <w:rPr>
          <w:rFonts w:ascii="Arial" w:hAnsi="Arial" w:cs="Arial"/>
        </w:rPr>
        <w:t xml:space="preserve">othing in this letter </w:t>
      </w:r>
      <w:r w:rsidR="00BA6064">
        <w:rPr>
          <w:rFonts w:ascii="Arial" w:hAnsi="Arial" w:cs="Arial"/>
        </w:rPr>
        <w:t xml:space="preserve">was </w:t>
      </w:r>
      <w:r w:rsidR="00DC5850">
        <w:rPr>
          <w:rFonts w:ascii="Arial" w:hAnsi="Arial" w:cs="Arial"/>
        </w:rPr>
        <w:t xml:space="preserve">said regarding the alleged act by </w:t>
      </w:r>
      <w:r w:rsidR="000927E5">
        <w:rPr>
          <w:rFonts w:ascii="Arial" w:hAnsi="Arial" w:cs="Arial"/>
        </w:rPr>
        <w:t xml:space="preserve">QCK </w:t>
      </w:r>
      <w:r w:rsidR="00DC5850">
        <w:rPr>
          <w:rFonts w:ascii="Arial" w:hAnsi="Arial" w:cs="Arial"/>
        </w:rPr>
        <w:t xml:space="preserve">to </w:t>
      </w:r>
      <w:r w:rsidR="000927E5">
        <w:rPr>
          <w:rFonts w:ascii="Arial" w:hAnsi="Arial" w:cs="Arial"/>
        </w:rPr>
        <w:t>change the lock. Instead</w:t>
      </w:r>
      <w:r w:rsidR="006C2948">
        <w:rPr>
          <w:rFonts w:ascii="Arial" w:hAnsi="Arial" w:cs="Arial"/>
        </w:rPr>
        <w:t>,</w:t>
      </w:r>
      <w:r w:rsidR="000927E5">
        <w:rPr>
          <w:rFonts w:ascii="Arial" w:hAnsi="Arial" w:cs="Arial"/>
        </w:rPr>
        <w:t xml:space="preserve"> the act of spoliation was said to have its genesis in the cancellation of the </w:t>
      </w:r>
      <w:r w:rsidR="00385C3B">
        <w:rPr>
          <w:rFonts w:ascii="Arial" w:hAnsi="Arial" w:cs="Arial"/>
        </w:rPr>
        <w:t>Surface Use Agreement</w:t>
      </w:r>
      <w:r w:rsidR="000927E5">
        <w:rPr>
          <w:rFonts w:ascii="Arial" w:hAnsi="Arial" w:cs="Arial"/>
        </w:rPr>
        <w:t xml:space="preserve">. </w:t>
      </w:r>
      <w:r w:rsidR="001967CE">
        <w:rPr>
          <w:rFonts w:ascii="Arial" w:hAnsi="Arial" w:cs="Arial"/>
        </w:rPr>
        <w:t>It reads in part</w:t>
      </w:r>
      <w:r w:rsidR="00E3408C">
        <w:rPr>
          <w:rFonts w:ascii="Arial" w:hAnsi="Arial" w:cs="Arial"/>
        </w:rPr>
        <w:t>:</w:t>
      </w:r>
    </w:p>
    <w:p w:rsidR="00641091" w:rsidRPr="006C2948" w:rsidRDefault="00641091" w:rsidP="001D0338">
      <w:pPr>
        <w:spacing w:before="0" w:beforeAutospacing="0" w:after="0" w:afterAutospacing="0" w:line="360" w:lineRule="auto"/>
        <w:ind w:left="680"/>
        <w:jc w:val="both"/>
        <w:rPr>
          <w:rFonts w:ascii="Arial" w:hAnsi="Arial" w:cs="Arial"/>
          <w:sz w:val="22"/>
          <w:szCs w:val="22"/>
        </w:rPr>
      </w:pPr>
      <w:r w:rsidRPr="001D0338">
        <w:rPr>
          <w:rFonts w:ascii="Arial" w:hAnsi="Arial" w:cs="Arial"/>
          <w:sz w:val="22"/>
          <w:szCs w:val="22"/>
        </w:rPr>
        <w:t>“</w:t>
      </w:r>
      <w:r w:rsidRPr="006C2948">
        <w:rPr>
          <w:rFonts w:ascii="Arial" w:hAnsi="Arial" w:cs="Arial"/>
          <w:sz w:val="22"/>
          <w:szCs w:val="22"/>
        </w:rPr>
        <w:t>9.</w:t>
      </w:r>
      <w:r w:rsidRPr="006C2948">
        <w:rPr>
          <w:rFonts w:ascii="Arial" w:hAnsi="Arial" w:cs="Arial"/>
          <w:sz w:val="22"/>
          <w:szCs w:val="22"/>
        </w:rPr>
        <w:tab/>
        <w:t>In view of the aforegoing history of the issues involved in this matter, it is in our view apparent:</w:t>
      </w:r>
    </w:p>
    <w:p w:rsidR="00641091" w:rsidRPr="000F30CD" w:rsidRDefault="00641091" w:rsidP="001D0338">
      <w:pPr>
        <w:spacing w:before="0" w:beforeAutospacing="0" w:after="0" w:afterAutospacing="0" w:line="360" w:lineRule="auto"/>
        <w:ind w:left="680"/>
        <w:jc w:val="both"/>
        <w:rPr>
          <w:rFonts w:ascii="Arial" w:hAnsi="Arial" w:cs="Arial"/>
          <w:sz w:val="22"/>
          <w:szCs w:val="22"/>
        </w:rPr>
      </w:pPr>
      <w:r w:rsidRPr="000F30CD">
        <w:rPr>
          <w:rFonts w:ascii="Arial" w:hAnsi="Arial" w:cs="Arial"/>
          <w:sz w:val="22"/>
          <w:szCs w:val="22"/>
        </w:rPr>
        <w:lastRenderedPageBreak/>
        <w:t>9.2</w:t>
      </w:r>
      <w:r w:rsidRPr="000F30CD">
        <w:rPr>
          <w:rFonts w:ascii="Arial" w:hAnsi="Arial" w:cs="Arial"/>
          <w:sz w:val="22"/>
          <w:szCs w:val="22"/>
        </w:rPr>
        <w:tab/>
        <w:t>that your client has, contrary to, particularly clause 12 of the Surface use, Access and Mining Royalty Agreement, unlawfully denied our client ac</w:t>
      </w:r>
      <w:r w:rsidR="00E3408C" w:rsidRPr="000F30CD">
        <w:rPr>
          <w:rFonts w:ascii="Arial" w:hAnsi="Arial" w:cs="Arial"/>
          <w:sz w:val="22"/>
          <w:szCs w:val="22"/>
        </w:rPr>
        <w:t>c</w:t>
      </w:r>
      <w:r w:rsidRPr="000F30CD">
        <w:rPr>
          <w:rFonts w:ascii="Arial" w:hAnsi="Arial" w:cs="Arial"/>
          <w:sz w:val="22"/>
          <w:szCs w:val="22"/>
        </w:rPr>
        <w:t>ess to the farm and furthermore cancelled the Surface Use Access and Mining Royalty Agreement, which amounts to an unlawful spoliation and has, in so doing, caused our client</w:t>
      </w:r>
      <w:r w:rsidR="00364A74" w:rsidRPr="000F30CD">
        <w:rPr>
          <w:rFonts w:ascii="Arial" w:hAnsi="Arial" w:cs="Arial"/>
          <w:sz w:val="22"/>
          <w:szCs w:val="22"/>
        </w:rPr>
        <w:t>’</w:t>
      </w:r>
      <w:r w:rsidRPr="000F30CD">
        <w:rPr>
          <w:rFonts w:ascii="Arial" w:hAnsi="Arial" w:cs="Arial"/>
          <w:sz w:val="22"/>
          <w:szCs w:val="22"/>
        </w:rPr>
        <w:t>s suffering losses amounting to millions of rand.”</w:t>
      </w:r>
    </w:p>
    <w:p w:rsidR="0048239C" w:rsidRDefault="00A048F5" w:rsidP="003875FA">
      <w:pPr>
        <w:tabs>
          <w:tab w:val="left" w:pos="567"/>
        </w:tabs>
        <w:spacing w:line="360" w:lineRule="auto"/>
        <w:ind w:left="562" w:hanging="562"/>
        <w:jc w:val="both"/>
        <w:rPr>
          <w:rFonts w:ascii="Arial" w:hAnsi="Arial" w:cs="Arial"/>
        </w:rPr>
      </w:pPr>
      <w:r>
        <w:rPr>
          <w:rFonts w:ascii="Arial" w:hAnsi="Arial" w:cs="Arial"/>
          <w:color w:val="000000"/>
        </w:rPr>
        <w:t xml:space="preserve"> </w:t>
      </w:r>
      <w:r w:rsidR="00B3138F">
        <w:rPr>
          <w:rFonts w:ascii="Arial" w:hAnsi="Arial" w:cs="Arial"/>
          <w:color w:val="000000"/>
        </w:rPr>
        <w:t>[</w:t>
      </w:r>
      <w:r w:rsidR="000860F1">
        <w:rPr>
          <w:rFonts w:ascii="Arial" w:hAnsi="Arial" w:cs="Arial"/>
          <w:color w:val="000000"/>
        </w:rPr>
        <w:t>4</w:t>
      </w:r>
      <w:r w:rsidR="00DD73AB">
        <w:rPr>
          <w:rFonts w:ascii="Arial" w:hAnsi="Arial" w:cs="Arial"/>
          <w:color w:val="000000"/>
        </w:rPr>
        <w:t>2</w:t>
      </w:r>
      <w:r w:rsidR="00B3138F">
        <w:rPr>
          <w:rFonts w:ascii="Arial" w:hAnsi="Arial" w:cs="Arial"/>
          <w:color w:val="000000"/>
        </w:rPr>
        <w:t>]</w:t>
      </w:r>
      <w:r w:rsidR="00B3138F">
        <w:rPr>
          <w:rFonts w:ascii="Arial" w:hAnsi="Arial" w:cs="Arial"/>
          <w:color w:val="000000"/>
        </w:rPr>
        <w:tab/>
      </w:r>
      <w:r w:rsidR="008075B7">
        <w:rPr>
          <w:rFonts w:ascii="Arial" w:hAnsi="Arial" w:cs="Arial"/>
          <w:color w:val="000000"/>
        </w:rPr>
        <w:t xml:space="preserve">The </w:t>
      </w:r>
      <w:r w:rsidR="008075B7">
        <w:rPr>
          <w:rFonts w:ascii="Arial" w:hAnsi="Arial" w:cs="Arial"/>
        </w:rPr>
        <w:t>above cancellation</w:t>
      </w:r>
      <w:r w:rsidR="008075B7" w:rsidRPr="008E3038">
        <w:rPr>
          <w:rFonts w:ascii="Arial" w:hAnsi="Arial" w:cs="Arial"/>
        </w:rPr>
        <w:t xml:space="preserve"> </w:t>
      </w:r>
      <w:r w:rsidR="008075B7">
        <w:rPr>
          <w:rFonts w:ascii="Arial" w:hAnsi="Arial" w:cs="Arial"/>
        </w:rPr>
        <w:t>of the Surface Use Agreement</w:t>
      </w:r>
      <w:r w:rsidR="00472E6F">
        <w:rPr>
          <w:rFonts w:ascii="Arial" w:hAnsi="Arial" w:cs="Arial"/>
        </w:rPr>
        <w:t xml:space="preserve"> through Ms Labuschagne’s letter of 25 January 2020</w:t>
      </w:r>
      <w:r w:rsidR="008075B7">
        <w:rPr>
          <w:rFonts w:ascii="Arial" w:hAnsi="Arial" w:cs="Arial"/>
        </w:rPr>
        <w:t>, in addition to the alleged changing of the lock,</w:t>
      </w:r>
      <w:r w:rsidR="008075B7" w:rsidRPr="008E3038">
        <w:rPr>
          <w:rFonts w:ascii="Arial" w:hAnsi="Arial" w:cs="Arial"/>
        </w:rPr>
        <w:t xml:space="preserve"> </w:t>
      </w:r>
      <w:r w:rsidR="008E3038" w:rsidRPr="008E3038">
        <w:rPr>
          <w:rFonts w:ascii="Arial" w:hAnsi="Arial" w:cs="Arial"/>
        </w:rPr>
        <w:t xml:space="preserve">appeared to </w:t>
      </w:r>
      <w:r w:rsidR="00F5477A">
        <w:rPr>
          <w:rFonts w:ascii="Arial" w:hAnsi="Arial" w:cs="Arial"/>
        </w:rPr>
        <w:t xml:space="preserve">have </w:t>
      </w:r>
      <w:r w:rsidR="008E3038" w:rsidRPr="008E3038">
        <w:rPr>
          <w:rFonts w:ascii="Arial" w:hAnsi="Arial" w:cs="Arial"/>
        </w:rPr>
        <w:t>weigh</w:t>
      </w:r>
      <w:r w:rsidR="00F5477A">
        <w:rPr>
          <w:rFonts w:ascii="Arial" w:hAnsi="Arial" w:cs="Arial"/>
        </w:rPr>
        <w:t>ed</w:t>
      </w:r>
      <w:r w:rsidR="008E3038" w:rsidRPr="008E3038">
        <w:rPr>
          <w:rFonts w:ascii="Arial" w:hAnsi="Arial" w:cs="Arial"/>
        </w:rPr>
        <w:t xml:space="preserve"> with the court </w:t>
      </w:r>
      <w:r w:rsidR="00846A26">
        <w:rPr>
          <w:rFonts w:ascii="Arial" w:hAnsi="Arial" w:cs="Arial"/>
        </w:rPr>
        <w:t>a quo</w:t>
      </w:r>
      <w:r w:rsidR="0048239C">
        <w:rPr>
          <w:rFonts w:ascii="Arial" w:hAnsi="Arial" w:cs="Arial"/>
        </w:rPr>
        <w:t xml:space="preserve"> as an act of spoliation</w:t>
      </w:r>
      <w:r w:rsidR="00300CCC">
        <w:rPr>
          <w:rFonts w:ascii="Arial" w:hAnsi="Arial" w:cs="Arial"/>
        </w:rPr>
        <w:t xml:space="preserve"> although in its judgment on leave to appeal </w:t>
      </w:r>
      <w:r w:rsidR="00472E6F">
        <w:rPr>
          <w:rFonts w:ascii="Arial" w:hAnsi="Arial" w:cs="Arial"/>
        </w:rPr>
        <w:t xml:space="preserve">the court </w:t>
      </w:r>
      <w:r w:rsidR="00300CCC">
        <w:rPr>
          <w:rFonts w:ascii="Arial" w:hAnsi="Arial" w:cs="Arial"/>
        </w:rPr>
        <w:t>stated that Sikhova did not rely on the cancellation as constituting an act of s</w:t>
      </w:r>
      <w:r w:rsidR="009D2D4C">
        <w:rPr>
          <w:rFonts w:ascii="Arial" w:hAnsi="Arial" w:cs="Arial"/>
        </w:rPr>
        <w:t>p</w:t>
      </w:r>
      <w:r w:rsidR="00300CCC">
        <w:rPr>
          <w:rFonts w:ascii="Arial" w:hAnsi="Arial" w:cs="Arial"/>
        </w:rPr>
        <w:t>oliation</w:t>
      </w:r>
      <w:r w:rsidR="0048239C">
        <w:rPr>
          <w:rFonts w:ascii="Arial" w:hAnsi="Arial" w:cs="Arial"/>
        </w:rPr>
        <w:t xml:space="preserve">. </w:t>
      </w:r>
      <w:r w:rsidR="00300CCC">
        <w:rPr>
          <w:rFonts w:ascii="Arial" w:hAnsi="Arial" w:cs="Arial"/>
        </w:rPr>
        <w:t xml:space="preserve">In its main judgment the court </w:t>
      </w:r>
      <w:r w:rsidR="0048239C">
        <w:rPr>
          <w:rFonts w:ascii="Arial" w:hAnsi="Arial" w:cs="Arial"/>
        </w:rPr>
        <w:t>remarked:</w:t>
      </w:r>
    </w:p>
    <w:p w:rsidR="0048239C" w:rsidRPr="009B6A53" w:rsidRDefault="0048239C" w:rsidP="00627AD6">
      <w:pPr>
        <w:tabs>
          <w:tab w:val="left" w:pos="567"/>
        </w:tabs>
        <w:spacing w:line="360" w:lineRule="auto"/>
        <w:ind w:left="675" w:hanging="562"/>
        <w:jc w:val="both"/>
        <w:rPr>
          <w:rFonts w:ascii="Arial" w:hAnsi="Arial" w:cs="Arial"/>
          <w:sz w:val="22"/>
          <w:szCs w:val="22"/>
        </w:rPr>
      </w:pPr>
      <w:r>
        <w:rPr>
          <w:rFonts w:ascii="Arial" w:hAnsi="Arial" w:cs="Arial"/>
        </w:rPr>
        <w:tab/>
      </w:r>
      <w:r w:rsidR="006C6E8F">
        <w:rPr>
          <w:rFonts w:ascii="Arial" w:hAnsi="Arial" w:cs="Arial"/>
        </w:rPr>
        <w:tab/>
      </w:r>
      <w:r w:rsidR="0033216A">
        <w:rPr>
          <w:rFonts w:ascii="Arial" w:hAnsi="Arial" w:cs="Arial"/>
        </w:rPr>
        <w:t>“</w:t>
      </w:r>
      <w:r w:rsidRPr="009B6A53">
        <w:rPr>
          <w:rFonts w:ascii="Arial" w:hAnsi="Arial" w:cs="Arial"/>
          <w:sz w:val="22"/>
          <w:szCs w:val="22"/>
        </w:rPr>
        <w:t>Objectively therefore, on the facts at the disposal of t</w:t>
      </w:r>
      <w:r w:rsidR="008075B7">
        <w:rPr>
          <w:rFonts w:ascii="Arial" w:hAnsi="Arial" w:cs="Arial"/>
          <w:sz w:val="22"/>
          <w:szCs w:val="22"/>
        </w:rPr>
        <w:t>h</w:t>
      </w:r>
      <w:r w:rsidRPr="009B6A53">
        <w:rPr>
          <w:rFonts w:ascii="Arial" w:hAnsi="Arial" w:cs="Arial"/>
          <w:sz w:val="22"/>
          <w:szCs w:val="22"/>
        </w:rPr>
        <w:t>is Court, that gate to the property remained locked and denied the first applicant at least, any access as from January 2020 until at l</w:t>
      </w:r>
      <w:r w:rsidR="00253136">
        <w:rPr>
          <w:rFonts w:ascii="Arial" w:hAnsi="Arial" w:cs="Arial"/>
          <w:sz w:val="22"/>
          <w:szCs w:val="22"/>
        </w:rPr>
        <w:t>e</w:t>
      </w:r>
      <w:r w:rsidRPr="009B6A53">
        <w:rPr>
          <w:rFonts w:ascii="Arial" w:hAnsi="Arial" w:cs="Arial"/>
          <w:sz w:val="22"/>
          <w:szCs w:val="22"/>
        </w:rPr>
        <w:t>ast March 202</w:t>
      </w:r>
      <w:r w:rsidR="00253136">
        <w:rPr>
          <w:rFonts w:ascii="Arial" w:hAnsi="Arial" w:cs="Arial"/>
          <w:sz w:val="22"/>
          <w:szCs w:val="22"/>
        </w:rPr>
        <w:t>0</w:t>
      </w:r>
      <w:r w:rsidRPr="009B6A53">
        <w:rPr>
          <w:rFonts w:ascii="Arial" w:hAnsi="Arial" w:cs="Arial"/>
          <w:sz w:val="22"/>
          <w:szCs w:val="22"/>
        </w:rPr>
        <w:t xml:space="preserve">, and which denial of access to the said property was further manifested in their [the respondents] respective “cancellation” of the </w:t>
      </w:r>
      <w:r w:rsidR="009B6A53" w:rsidRPr="009B6A53">
        <w:rPr>
          <w:rFonts w:ascii="Arial" w:hAnsi="Arial" w:cs="Arial"/>
          <w:sz w:val="22"/>
          <w:szCs w:val="22"/>
        </w:rPr>
        <w:t>two agreements as afore-stated, which cancellation was used by both the first respondent and the second respondent to, in express terms, prohibit the applicants…from accessing the property..”</w:t>
      </w:r>
      <w:r w:rsidRPr="009B6A53">
        <w:rPr>
          <w:rFonts w:ascii="Arial" w:hAnsi="Arial" w:cs="Arial"/>
          <w:sz w:val="22"/>
          <w:szCs w:val="22"/>
        </w:rPr>
        <w:t xml:space="preserve"> </w:t>
      </w:r>
    </w:p>
    <w:p w:rsidR="0048239C" w:rsidRPr="004D2AD5" w:rsidRDefault="007B56AC" w:rsidP="003875FA">
      <w:pPr>
        <w:tabs>
          <w:tab w:val="left" w:pos="567"/>
        </w:tabs>
        <w:spacing w:line="360" w:lineRule="auto"/>
        <w:ind w:left="562" w:hanging="562"/>
        <w:jc w:val="both"/>
        <w:rPr>
          <w:rFonts w:ascii="Arial" w:hAnsi="Arial" w:cs="Arial"/>
          <w:color w:val="000000"/>
        </w:rPr>
      </w:pPr>
      <w:r>
        <w:rPr>
          <w:rFonts w:ascii="Arial" w:hAnsi="Arial" w:cs="Arial"/>
        </w:rPr>
        <w:t>[</w:t>
      </w:r>
      <w:r w:rsidR="000860F1">
        <w:rPr>
          <w:rFonts w:ascii="Arial" w:hAnsi="Arial" w:cs="Arial"/>
        </w:rPr>
        <w:t>4</w:t>
      </w:r>
      <w:r w:rsidR="00DD73AB">
        <w:rPr>
          <w:rFonts w:ascii="Arial" w:hAnsi="Arial" w:cs="Arial"/>
        </w:rPr>
        <w:t>3</w:t>
      </w:r>
      <w:r>
        <w:rPr>
          <w:rFonts w:ascii="Arial" w:hAnsi="Arial" w:cs="Arial"/>
        </w:rPr>
        <w:t>]</w:t>
      </w:r>
      <w:r>
        <w:rPr>
          <w:rFonts w:ascii="Arial" w:hAnsi="Arial" w:cs="Arial"/>
        </w:rPr>
        <w:tab/>
      </w:r>
      <w:r w:rsidR="003209F8" w:rsidRPr="000C7F33">
        <w:rPr>
          <w:rFonts w:ascii="Arial" w:hAnsi="Arial" w:cs="Arial"/>
          <w:color w:val="000000"/>
        </w:rPr>
        <w:t xml:space="preserve">In </w:t>
      </w:r>
      <w:r w:rsidR="001F4AF1" w:rsidRPr="000C7F33">
        <w:rPr>
          <w:rFonts w:ascii="Arial" w:hAnsi="Arial" w:cs="Arial"/>
          <w:i/>
        </w:rPr>
        <w:t>B</w:t>
      </w:r>
      <w:r w:rsidR="001F4AF1" w:rsidRPr="000C7F33">
        <w:rPr>
          <w:rFonts w:ascii="Arial" w:hAnsi="Arial" w:cs="Arial"/>
          <w:bCs/>
          <w:i/>
          <w:color w:val="000000"/>
        </w:rPr>
        <w:t>isschoff and Others v Welbeplan Boerdery</w:t>
      </w:r>
      <w:r w:rsidR="001F4AF1" w:rsidRPr="000C7F33">
        <w:rPr>
          <w:rStyle w:val="FootnoteReference"/>
          <w:rFonts w:ascii="Arial" w:hAnsi="Arial" w:cs="Arial"/>
          <w:bCs/>
          <w:i/>
          <w:color w:val="000000"/>
        </w:rPr>
        <w:footnoteReference w:id="12"/>
      </w:r>
      <w:r w:rsidR="001F4AF1" w:rsidRPr="000C7F33">
        <w:rPr>
          <w:rFonts w:ascii="Arial" w:hAnsi="Arial" w:cs="Arial"/>
          <w:bCs/>
          <w:i/>
          <w:color w:val="000000"/>
        </w:rPr>
        <w:t xml:space="preserve"> </w:t>
      </w:r>
      <w:r w:rsidR="001F4AF1" w:rsidRPr="000C7F33">
        <w:rPr>
          <w:rFonts w:ascii="Arial" w:hAnsi="Arial" w:cs="Arial"/>
          <w:bCs/>
          <w:color w:val="000000"/>
        </w:rPr>
        <w:t xml:space="preserve">reliance had been placed on a letter </w:t>
      </w:r>
      <w:r w:rsidR="00B40674">
        <w:rPr>
          <w:rFonts w:ascii="Arial" w:hAnsi="Arial" w:cs="Arial"/>
          <w:bCs/>
          <w:color w:val="000000"/>
        </w:rPr>
        <w:t xml:space="preserve">which called for cancellation of a </w:t>
      </w:r>
      <w:r w:rsidR="001F4AF1" w:rsidRPr="000C7F33">
        <w:rPr>
          <w:rFonts w:ascii="Arial" w:hAnsi="Arial" w:cs="Arial"/>
          <w:bCs/>
          <w:color w:val="000000"/>
        </w:rPr>
        <w:t xml:space="preserve">contract for breach as constituting an act of </w:t>
      </w:r>
      <w:r w:rsidR="00472E6F">
        <w:rPr>
          <w:rFonts w:ascii="Arial" w:hAnsi="Arial" w:cs="Arial"/>
          <w:bCs/>
          <w:color w:val="000000"/>
        </w:rPr>
        <w:t>s</w:t>
      </w:r>
      <w:r w:rsidR="001F4AF1" w:rsidRPr="000C7F33">
        <w:rPr>
          <w:rFonts w:ascii="Arial" w:hAnsi="Arial" w:cs="Arial"/>
          <w:bCs/>
          <w:color w:val="000000"/>
        </w:rPr>
        <w:t>poliation.</w:t>
      </w:r>
      <w:r w:rsidR="00BC6376" w:rsidRPr="000C7F33">
        <w:rPr>
          <w:rFonts w:ascii="Arial" w:hAnsi="Arial" w:cs="Arial"/>
          <w:bCs/>
          <w:color w:val="000000"/>
        </w:rPr>
        <w:t xml:space="preserve"> It was there held that t</w:t>
      </w:r>
      <w:r w:rsidR="00BC6376" w:rsidRPr="000C7F33">
        <w:rPr>
          <w:rFonts w:ascii="Arial" w:hAnsi="Arial" w:cs="Arial"/>
          <w:color w:val="000000"/>
        </w:rPr>
        <w:t>he mere use of 'strong and unequivocal' words in a letter, that a person should not trespass upon land, does not constitute deprivation, let alone unlawful deprivation, of possession of the land.</w:t>
      </w:r>
      <w:r w:rsidR="00C949DC" w:rsidRPr="000C7F33">
        <w:rPr>
          <w:rFonts w:ascii="Arial" w:hAnsi="Arial" w:cs="Arial"/>
          <w:color w:val="000000"/>
        </w:rPr>
        <w:t xml:space="preserve"> </w:t>
      </w:r>
      <w:r w:rsidR="000C7F33" w:rsidRPr="000C7F33">
        <w:rPr>
          <w:rFonts w:ascii="Arial" w:hAnsi="Arial" w:cs="Arial"/>
          <w:color w:val="000000"/>
        </w:rPr>
        <w:t>The SCA held that b</w:t>
      </w:r>
      <w:r w:rsidR="00C949DC" w:rsidRPr="000C7F33">
        <w:rPr>
          <w:rFonts w:ascii="Arial" w:hAnsi="Arial" w:cs="Arial"/>
          <w:color w:val="000000"/>
        </w:rPr>
        <w:t xml:space="preserve">y instructing their attorneys to write to the respondent, the appellants did no more than exercise their contractual rights of cancelling the lease agreements. One of the consequences of cancellation, as the appellants saw it, </w:t>
      </w:r>
      <w:r w:rsidR="00C949DC" w:rsidRPr="004D2AD5">
        <w:rPr>
          <w:rFonts w:ascii="Arial" w:hAnsi="Arial" w:cs="Arial"/>
          <w:color w:val="000000"/>
        </w:rPr>
        <w:t>was that the respondent was not entitled to remain in possession of the property.</w:t>
      </w:r>
      <w:r w:rsidR="000C7F33" w:rsidRPr="004D2AD5">
        <w:rPr>
          <w:rFonts w:ascii="Arial" w:hAnsi="Arial" w:cs="Arial"/>
          <w:color w:val="000000"/>
        </w:rPr>
        <w:t xml:space="preserve"> The SCA further quoted with approval the Namibian decision in </w:t>
      </w:r>
      <w:r w:rsidR="000C7F33" w:rsidRPr="004D2AD5">
        <w:rPr>
          <w:rFonts w:ascii="Arial" w:hAnsi="Arial" w:cs="Arial"/>
          <w:i/>
          <w:iCs/>
          <w:color w:val="000000"/>
        </w:rPr>
        <w:t xml:space="preserve">The Three </w:t>
      </w:r>
      <w:r w:rsidR="000C7F33" w:rsidRPr="004D2AD5">
        <w:rPr>
          <w:rFonts w:ascii="Arial" w:hAnsi="Arial" w:cs="Arial"/>
          <w:i/>
          <w:iCs/>
          <w:color w:val="000000"/>
        </w:rPr>
        <w:lastRenderedPageBreak/>
        <w:t>Musketeers Properties (Pty) Ltd and Another v Ongopolo Mining and Processing Ltd and Others</w:t>
      </w:r>
      <w:r w:rsidR="000C7F33" w:rsidRPr="004D2AD5">
        <w:rPr>
          <w:rStyle w:val="FootnoteReference"/>
          <w:rFonts w:ascii="Arial" w:hAnsi="Arial" w:cs="Arial"/>
          <w:i/>
          <w:iCs/>
          <w:color w:val="000000"/>
        </w:rPr>
        <w:footnoteReference w:id="13"/>
      </w:r>
      <w:r w:rsidR="000C7F33" w:rsidRPr="004D2AD5">
        <w:rPr>
          <w:rFonts w:ascii="Arial" w:hAnsi="Arial" w:cs="Arial"/>
          <w:color w:val="000000"/>
        </w:rPr>
        <w:t>  where it was said:</w:t>
      </w:r>
    </w:p>
    <w:p w:rsidR="000C7F33" w:rsidRPr="000C7F33" w:rsidRDefault="000C7F33" w:rsidP="00627AD6">
      <w:pPr>
        <w:tabs>
          <w:tab w:val="left" w:pos="567"/>
        </w:tabs>
        <w:spacing w:line="360" w:lineRule="auto"/>
        <w:ind w:left="675" w:hanging="562"/>
        <w:jc w:val="both"/>
        <w:rPr>
          <w:rFonts w:ascii="Arial" w:hAnsi="Arial" w:cs="Arial"/>
          <w:sz w:val="22"/>
          <w:szCs w:val="22"/>
        </w:rPr>
      </w:pPr>
      <w:r>
        <w:rPr>
          <w:rFonts w:ascii="Arial" w:hAnsi="Arial" w:cs="Arial"/>
        </w:rPr>
        <w:tab/>
      </w:r>
      <w:r w:rsidR="00DE043F">
        <w:rPr>
          <w:rFonts w:ascii="Arial" w:hAnsi="Arial" w:cs="Arial"/>
        </w:rPr>
        <w:tab/>
      </w:r>
      <w:r w:rsidRPr="000C7F33">
        <w:rPr>
          <w:rFonts w:ascii="Arial" w:hAnsi="Arial" w:cs="Arial"/>
          <w:sz w:val="22"/>
          <w:szCs w:val="22"/>
        </w:rPr>
        <w:t>“</w:t>
      </w:r>
      <w:r w:rsidRPr="000C7F33">
        <w:rPr>
          <w:rFonts w:ascii="Arial" w:hAnsi="Arial" w:cs="Arial"/>
          <w:color w:val="000000"/>
          <w:sz w:val="22"/>
          <w:szCs w:val="22"/>
        </w:rPr>
        <w:t>Describing the contents of the letter . . . of 28 August 2006 or the addressing of that letter to appellant as an act of spoliation is, in my opinion, stretching the meaning of the word spoliation beyond permissible limits, grammatically speaking, or is an interpretation beyond what common sense would allow. The most one can say of that letter is that it constitutes a threat and appellant's remedy for that would be no more than to seek an interdict against Respondent, as nothing done by the letter makes the principle </w:t>
      </w:r>
      <w:r w:rsidRPr="000C7F33">
        <w:rPr>
          <w:rFonts w:ascii="Arial" w:hAnsi="Arial" w:cs="Arial"/>
          <w:i/>
          <w:iCs/>
          <w:color w:val="000000"/>
          <w:sz w:val="22"/>
          <w:szCs w:val="22"/>
        </w:rPr>
        <w:t>spoliatus ante omnia restituendus est</w:t>
      </w:r>
      <w:r w:rsidRPr="000C7F33">
        <w:rPr>
          <w:rFonts w:ascii="Arial" w:hAnsi="Arial" w:cs="Arial"/>
          <w:color w:val="000000"/>
          <w:sz w:val="22"/>
          <w:szCs w:val="22"/>
        </w:rPr>
        <w:t> applicable</w:t>
      </w:r>
      <w:r>
        <w:rPr>
          <w:rFonts w:ascii="Arial" w:hAnsi="Arial" w:cs="Arial"/>
          <w:color w:val="000000"/>
          <w:sz w:val="22"/>
          <w:szCs w:val="22"/>
        </w:rPr>
        <w:t>.”</w:t>
      </w:r>
    </w:p>
    <w:p w:rsidR="00EE2A67" w:rsidRPr="00EE2A67" w:rsidRDefault="004D2AD5" w:rsidP="003875FA">
      <w:pPr>
        <w:tabs>
          <w:tab w:val="left" w:pos="567"/>
        </w:tabs>
        <w:spacing w:line="360" w:lineRule="auto"/>
        <w:ind w:left="562" w:hanging="562"/>
        <w:jc w:val="both"/>
        <w:rPr>
          <w:rFonts w:ascii="Arial" w:hAnsi="Arial" w:cs="Arial"/>
          <w:color w:val="000000"/>
        </w:rPr>
      </w:pPr>
      <w:bookmarkStart w:id="7" w:name="_Hlk142851555"/>
      <w:r w:rsidRPr="00EE2A67">
        <w:rPr>
          <w:rFonts w:ascii="Arial" w:hAnsi="Arial" w:cs="Arial"/>
          <w:color w:val="000000"/>
        </w:rPr>
        <w:t>[</w:t>
      </w:r>
      <w:r w:rsidR="000860F1">
        <w:rPr>
          <w:rFonts w:ascii="Arial" w:hAnsi="Arial" w:cs="Arial"/>
          <w:color w:val="000000"/>
        </w:rPr>
        <w:t>4</w:t>
      </w:r>
      <w:r w:rsidR="00DD73AB">
        <w:rPr>
          <w:rFonts w:ascii="Arial" w:hAnsi="Arial" w:cs="Arial"/>
          <w:color w:val="000000"/>
        </w:rPr>
        <w:t>4</w:t>
      </w:r>
      <w:r w:rsidRPr="00EE2A67">
        <w:rPr>
          <w:rFonts w:ascii="Arial" w:hAnsi="Arial" w:cs="Arial"/>
          <w:color w:val="000000"/>
        </w:rPr>
        <w:t>]</w:t>
      </w:r>
      <w:r w:rsidRPr="00EE2A67">
        <w:rPr>
          <w:rFonts w:ascii="Arial" w:hAnsi="Arial" w:cs="Arial"/>
          <w:color w:val="000000"/>
        </w:rPr>
        <w:tab/>
        <w:t>The principles adverted to in the above decision</w:t>
      </w:r>
      <w:r w:rsidR="00953617" w:rsidRPr="00EE2A67">
        <w:rPr>
          <w:rFonts w:ascii="Arial" w:hAnsi="Arial" w:cs="Arial"/>
          <w:color w:val="000000"/>
        </w:rPr>
        <w:t>s</w:t>
      </w:r>
      <w:r w:rsidRPr="00EE2A67">
        <w:rPr>
          <w:rFonts w:ascii="Arial" w:hAnsi="Arial" w:cs="Arial"/>
          <w:color w:val="000000"/>
        </w:rPr>
        <w:t xml:space="preserve"> apply equally</w:t>
      </w:r>
      <w:bookmarkEnd w:id="7"/>
      <w:r w:rsidRPr="00EE2A67">
        <w:rPr>
          <w:rFonts w:ascii="Arial" w:hAnsi="Arial" w:cs="Arial"/>
          <w:color w:val="000000"/>
        </w:rPr>
        <w:t xml:space="preserve"> to the present matter. </w:t>
      </w:r>
      <w:r w:rsidR="00FA1431">
        <w:rPr>
          <w:rFonts w:ascii="Arial" w:hAnsi="Arial" w:cs="Arial"/>
        </w:rPr>
        <w:t>In concluding as it did</w:t>
      </w:r>
      <w:r w:rsidR="00715084">
        <w:rPr>
          <w:rFonts w:ascii="Arial" w:hAnsi="Arial" w:cs="Arial"/>
        </w:rPr>
        <w:t>,</w:t>
      </w:r>
      <w:r w:rsidR="00FA1431">
        <w:rPr>
          <w:rFonts w:ascii="Arial" w:hAnsi="Arial" w:cs="Arial"/>
        </w:rPr>
        <w:t xml:space="preserve"> </w:t>
      </w:r>
      <w:r w:rsidR="00FA1431" w:rsidRPr="000C7F33">
        <w:rPr>
          <w:rFonts w:ascii="Arial" w:hAnsi="Arial" w:cs="Arial"/>
        </w:rPr>
        <w:t xml:space="preserve">the court a quo </w:t>
      </w:r>
      <w:r w:rsidR="00FA1431">
        <w:rPr>
          <w:rFonts w:ascii="Arial" w:hAnsi="Arial" w:cs="Arial"/>
        </w:rPr>
        <w:t xml:space="preserve">erred because </w:t>
      </w:r>
      <w:r w:rsidR="00FA1431" w:rsidRPr="000C7F33">
        <w:rPr>
          <w:rFonts w:ascii="Arial" w:hAnsi="Arial" w:cs="Arial"/>
        </w:rPr>
        <w:t xml:space="preserve">spoliation </w:t>
      </w:r>
      <w:r w:rsidR="00FA1431" w:rsidRPr="000C7F33">
        <w:rPr>
          <w:rFonts w:ascii="Arial" w:hAnsi="Arial" w:cs="Arial"/>
          <w:color w:val="000000"/>
        </w:rPr>
        <w:t>is not available for threatened deprivation of possession</w:t>
      </w:r>
      <w:r w:rsidR="00FA1431">
        <w:rPr>
          <w:rFonts w:ascii="Arial" w:hAnsi="Arial" w:cs="Arial"/>
          <w:color w:val="000000"/>
        </w:rPr>
        <w:t>. I</w:t>
      </w:r>
      <w:r w:rsidR="00FA1431" w:rsidRPr="000C7F33">
        <w:rPr>
          <w:rFonts w:ascii="Arial" w:hAnsi="Arial" w:cs="Arial"/>
          <w:color w:val="000000"/>
        </w:rPr>
        <w:t>t is a remedy aimed at the actual loss of possession.</w:t>
      </w:r>
      <w:r w:rsidR="00FA1431" w:rsidRPr="000C7F33">
        <w:rPr>
          <w:rStyle w:val="FootnoteReference"/>
          <w:rFonts w:ascii="Arial" w:hAnsi="Arial" w:cs="Arial"/>
          <w:color w:val="000000"/>
        </w:rPr>
        <w:footnoteReference w:id="14"/>
      </w:r>
      <w:r w:rsidR="00FA1431" w:rsidRPr="000C7F33">
        <w:rPr>
          <w:rFonts w:ascii="Arial" w:hAnsi="Arial" w:cs="Arial"/>
          <w:color w:val="000000"/>
        </w:rPr>
        <w:t xml:space="preserve"> </w:t>
      </w:r>
      <w:r w:rsidR="009C6F2F" w:rsidRPr="00EE2A67">
        <w:rPr>
          <w:rFonts w:ascii="Arial" w:hAnsi="Arial" w:cs="Arial"/>
          <w:color w:val="000000"/>
        </w:rPr>
        <w:t xml:space="preserve">Its </w:t>
      </w:r>
      <w:r w:rsidR="00FA1431">
        <w:rPr>
          <w:rFonts w:ascii="Arial" w:hAnsi="Arial" w:cs="Arial"/>
          <w:color w:val="000000"/>
        </w:rPr>
        <w:t xml:space="preserve">finding </w:t>
      </w:r>
      <w:r w:rsidR="009C6F2F" w:rsidRPr="00EE2A67">
        <w:rPr>
          <w:rFonts w:ascii="Arial" w:hAnsi="Arial" w:cs="Arial"/>
          <w:color w:val="000000"/>
        </w:rPr>
        <w:t>with regard to Dulostyle, as already discussed</w:t>
      </w:r>
      <w:r w:rsidR="00EE2A67">
        <w:rPr>
          <w:rFonts w:ascii="Arial" w:hAnsi="Arial" w:cs="Arial"/>
          <w:color w:val="000000"/>
        </w:rPr>
        <w:t>,</w:t>
      </w:r>
      <w:r w:rsidR="009C6F2F" w:rsidRPr="00EE2A67">
        <w:rPr>
          <w:rFonts w:ascii="Arial" w:hAnsi="Arial" w:cs="Arial"/>
          <w:color w:val="000000"/>
        </w:rPr>
        <w:t xml:space="preserve"> was that its possession was questionable. Relying on the decisions of the High Court in </w:t>
      </w:r>
      <w:r w:rsidR="00EF3EF2" w:rsidRPr="00EE2A67">
        <w:rPr>
          <w:rFonts w:ascii="Arial" w:hAnsi="Arial" w:cs="Arial"/>
          <w:i/>
          <w:iCs/>
          <w:color w:val="000000"/>
        </w:rPr>
        <w:t>Malan v Dippenaar</w:t>
      </w:r>
      <w:r w:rsidR="001233F5" w:rsidRPr="00EE2A67">
        <w:rPr>
          <w:rStyle w:val="FootnoteReference"/>
          <w:rFonts w:ascii="Arial" w:hAnsi="Arial" w:cs="Arial"/>
          <w:i/>
          <w:iCs/>
          <w:color w:val="000000"/>
        </w:rPr>
        <w:footnoteReference w:id="15"/>
      </w:r>
      <w:r w:rsidR="00EF3EF2" w:rsidRPr="00EE2A67">
        <w:rPr>
          <w:rFonts w:ascii="Arial" w:hAnsi="Arial" w:cs="Arial"/>
          <w:color w:val="000000"/>
        </w:rPr>
        <w:t> </w:t>
      </w:r>
      <w:r w:rsidR="001233F5" w:rsidRPr="00EE2A67">
        <w:rPr>
          <w:rFonts w:ascii="Arial" w:hAnsi="Arial" w:cs="Arial"/>
          <w:color w:val="000000"/>
        </w:rPr>
        <w:t xml:space="preserve">and </w:t>
      </w:r>
      <w:r w:rsidR="00EF3EF2" w:rsidRPr="00EE2A67">
        <w:rPr>
          <w:rFonts w:ascii="Arial" w:hAnsi="Arial" w:cs="Arial"/>
          <w:i/>
          <w:iCs/>
          <w:color w:val="000000"/>
        </w:rPr>
        <w:t>Painter v Strauss</w:t>
      </w:r>
      <w:r w:rsidR="001233F5" w:rsidRPr="00EE2A67">
        <w:rPr>
          <w:rStyle w:val="FootnoteReference"/>
          <w:rFonts w:ascii="Arial" w:hAnsi="Arial" w:cs="Arial"/>
          <w:i/>
          <w:iCs/>
          <w:color w:val="000000"/>
        </w:rPr>
        <w:footnoteReference w:id="16"/>
      </w:r>
      <w:r w:rsidR="00EF3EF2" w:rsidRPr="00EE2A67">
        <w:rPr>
          <w:rFonts w:ascii="Arial" w:hAnsi="Arial" w:cs="Arial"/>
          <w:color w:val="000000"/>
        </w:rPr>
        <w:t> </w:t>
      </w:r>
      <w:r w:rsidR="00AC353A" w:rsidRPr="00EE2A67">
        <w:rPr>
          <w:rFonts w:ascii="Arial" w:hAnsi="Arial" w:cs="Arial"/>
          <w:color w:val="000000"/>
        </w:rPr>
        <w:t>the court a quo</w:t>
      </w:r>
      <w:r w:rsidR="009C6F2F" w:rsidRPr="00EE2A67">
        <w:rPr>
          <w:rFonts w:ascii="Arial" w:hAnsi="Arial" w:cs="Arial"/>
          <w:color w:val="000000"/>
        </w:rPr>
        <w:t xml:space="preserve"> held</w:t>
      </w:r>
      <w:r w:rsidR="00AC353A" w:rsidRPr="00EE2A67">
        <w:rPr>
          <w:rFonts w:ascii="Arial" w:hAnsi="Arial" w:cs="Arial"/>
          <w:color w:val="000000"/>
        </w:rPr>
        <w:t xml:space="preserve"> that </w:t>
      </w:r>
      <w:r w:rsidR="009C6F2F" w:rsidRPr="00EE2A67">
        <w:rPr>
          <w:rFonts w:ascii="Arial" w:hAnsi="Arial" w:cs="Arial"/>
          <w:color w:val="000000"/>
        </w:rPr>
        <w:t>even a bona fide possessor of a spoliated property may</w:t>
      </w:r>
      <w:r w:rsidR="00E31C5D" w:rsidRPr="00EE2A67">
        <w:rPr>
          <w:rFonts w:ascii="Arial" w:hAnsi="Arial" w:cs="Arial"/>
          <w:color w:val="000000"/>
        </w:rPr>
        <w:t xml:space="preserve"> be ordered to restore possession of the property so spoliated. </w:t>
      </w:r>
      <w:r w:rsidR="00EE2A67">
        <w:rPr>
          <w:rFonts w:ascii="Arial" w:hAnsi="Arial" w:cs="Arial"/>
          <w:color w:val="000000"/>
        </w:rPr>
        <w:t>Th</w:t>
      </w:r>
      <w:r w:rsidR="00D50E85">
        <w:rPr>
          <w:rFonts w:ascii="Arial" w:hAnsi="Arial" w:cs="Arial"/>
          <w:color w:val="000000"/>
        </w:rPr>
        <w:t>e</w:t>
      </w:r>
      <w:r w:rsidR="00EE2A67">
        <w:rPr>
          <w:rFonts w:ascii="Arial" w:hAnsi="Arial" w:cs="Arial"/>
          <w:color w:val="000000"/>
        </w:rPr>
        <w:t xml:space="preserve"> </w:t>
      </w:r>
      <w:r w:rsidR="00FA1431">
        <w:rPr>
          <w:rFonts w:ascii="Arial" w:hAnsi="Arial" w:cs="Arial"/>
          <w:color w:val="000000"/>
        </w:rPr>
        <w:t xml:space="preserve">view </w:t>
      </w:r>
      <w:r w:rsidR="00D50E85">
        <w:rPr>
          <w:rFonts w:ascii="Arial" w:hAnsi="Arial" w:cs="Arial"/>
          <w:color w:val="000000"/>
        </w:rPr>
        <w:t>expressed in</w:t>
      </w:r>
      <w:r w:rsidR="00D50E85" w:rsidRPr="00D50E85">
        <w:rPr>
          <w:rFonts w:ascii="Arial" w:hAnsi="Arial" w:cs="Arial"/>
          <w:i/>
          <w:iCs/>
          <w:color w:val="000000"/>
        </w:rPr>
        <w:t xml:space="preserve"> </w:t>
      </w:r>
      <w:r w:rsidR="00D50E85" w:rsidRPr="00EE2A67">
        <w:rPr>
          <w:rFonts w:ascii="Arial" w:hAnsi="Arial" w:cs="Arial"/>
          <w:i/>
          <w:iCs/>
          <w:color w:val="000000"/>
        </w:rPr>
        <w:t>Malan</w:t>
      </w:r>
      <w:r w:rsidR="00D50E85" w:rsidRPr="00EE2A67">
        <w:rPr>
          <w:rFonts w:ascii="Arial" w:hAnsi="Arial" w:cs="Arial"/>
          <w:color w:val="000000"/>
        </w:rPr>
        <w:t xml:space="preserve"> and </w:t>
      </w:r>
      <w:r w:rsidR="00D50E85" w:rsidRPr="00EE2A67">
        <w:rPr>
          <w:rFonts w:ascii="Arial" w:hAnsi="Arial" w:cs="Arial"/>
          <w:i/>
          <w:iCs/>
          <w:color w:val="000000"/>
        </w:rPr>
        <w:t>Painter</w:t>
      </w:r>
      <w:r w:rsidR="00D50E85" w:rsidRPr="00EE2A67">
        <w:rPr>
          <w:rFonts w:ascii="Arial" w:hAnsi="Arial" w:cs="Arial"/>
          <w:color w:val="000000"/>
        </w:rPr>
        <w:t> </w:t>
      </w:r>
      <w:r w:rsidR="00EE2A67">
        <w:rPr>
          <w:rFonts w:ascii="Arial" w:hAnsi="Arial" w:cs="Arial"/>
          <w:color w:val="000000"/>
        </w:rPr>
        <w:t>is</w:t>
      </w:r>
      <w:r w:rsidR="00FA1431">
        <w:rPr>
          <w:rFonts w:ascii="Arial" w:hAnsi="Arial" w:cs="Arial"/>
          <w:color w:val="000000"/>
        </w:rPr>
        <w:t xml:space="preserve"> certainly </w:t>
      </w:r>
      <w:r w:rsidR="00EE2A67">
        <w:rPr>
          <w:rFonts w:ascii="Arial" w:hAnsi="Arial" w:cs="Arial"/>
          <w:color w:val="000000"/>
        </w:rPr>
        <w:t>not definitive because t</w:t>
      </w:r>
      <w:r w:rsidR="00604014" w:rsidRPr="00EE2A67">
        <w:rPr>
          <w:rFonts w:ascii="Arial" w:hAnsi="Arial" w:cs="Arial"/>
          <w:color w:val="000000"/>
        </w:rPr>
        <w:t xml:space="preserve">here is a differing </w:t>
      </w:r>
      <w:r w:rsidR="00FA1431">
        <w:rPr>
          <w:rFonts w:ascii="Arial" w:hAnsi="Arial" w:cs="Arial"/>
          <w:color w:val="000000"/>
        </w:rPr>
        <w:t xml:space="preserve">opinion </w:t>
      </w:r>
      <w:r w:rsidR="00C55FDC" w:rsidRPr="00EE2A67">
        <w:rPr>
          <w:rFonts w:ascii="Arial" w:hAnsi="Arial" w:cs="Arial"/>
          <w:color w:val="000000"/>
        </w:rPr>
        <w:t xml:space="preserve">to the effect </w:t>
      </w:r>
      <w:r w:rsidR="00604014" w:rsidRPr="00EE2A67">
        <w:rPr>
          <w:rFonts w:ascii="Arial" w:hAnsi="Arial" w:cs="Arial"/>
          <w:color w:val="000000"/>
        </w:rPr>
        <w:t>that spoliation does not lie in circumstances where possession of the property ha</w:t>
      </w:r>
      <w:r w:rsidR="00D50E85">
        <w:rPr>
          <w:rFonts w:ascii="Arial" w:hAnsi="Arial" w:cs="Arial"/>
          <w:color w:val="000000"/>
        </w:rPr>
        <w:t>d</w:t>
      </w:r>
      <w:r w:rsidR="00604014" w:rsidRPr="00EE2A67">
        <w:rPr>
          <w:rFonts w:ascii="Arial" w:hAnsi="Arial" w:cs="Arial"/>
          <w:color w:val="000000"/>
        </w:rPr>
        <w:t xml:space="preserve"> passed into the possession of a bona fide third party.</w:t>
      </w:r>
      <w:r w:rsidR="00604014" w:rsidRPr="00EE2A67">
        <w:rPr>
          <w:rStyle w:val="FootnoteReference"/>
          <w:rFonts w:ascii="Arial" w:hAnsi="Arial" w:cs="Arial"/>
          <w:color w:val="000000"/>
        </w:rPr>
        <w:footnoteReference w:id="17"/>
      </w:r>
      <w:r w:rsidR="009C6F2F" w:rsidRPr="00EE2A67">
        <w:rPr>
          <w:rFonts w:ascii="Arial" w:hAnsi="Arial" w:cs="Arial"/>
          <w:color w:val="000000"/>
        </w:rPr>
        <w:t xml:space="preserve"> </w:t>
      </w:r>
      <w:r w:rsidR="00604014" w:rsidRPr="00EE2A67">
        <w:rPr>
          <w:rFonts w:ascii="Arial" w:hAnsi="Arial" w:cs="Arial"/>
          <w:color w:val="000000"/>
        </w:rPr>
        <w:t xml:space="preserve">In </w:t>
      </w:r>
      <w:r w:rsidR="00C55FDC" w:rsidRPr="00EE2A67">
        <w:rPr>
          <w:rFonts w:ascii="Arial" w:hAnsi="Arial" w:cs="Arial"/>
          <w:i/>
          <w:color w:val="000000"/>
        </w:rPr>
        <w:t>M</w:t>
      </w:r>
      <w:r w:rsidR="00C55FDC" w:rsidRPr="00EE2A67">
        <w:rPr>
          <w:rFonts w:ascii="Arial" w:hAnsi="Arial" w:cs="Arial"/>
          <w:bCs/>
          <w:i/>
          <w:color w:val="000000"/>
        </w:rPr>
        <w:t>onteiro and Another v Diedricks</w:t>
      </w:r>
      <w:r w:rsidR="00C55FDC" w:rsidRPr="00EE2A67">
        <w:rPr>
          <w:rStyle w:val="FootnoteReference"/>
          <w:rFonts w:ascii="Arial" w:hAnsi="Arial" w:cs="Arial"/>
          <w:bCs/>
          <w:i/>
          <w:color w:val="000000"/>
        </w:rPr>
        <w:footnoteReference w:id="18"/>
      </w:r>
      <w:r w:rsidR="00C55FDC" w:rsidRPr="00EE2A67">
        <w:rPr>
          <w:rFonts w:ascii="Arial" w:hAnsi="Arial" w:cs="Arial"/>
          <w:bCs/>
          <w:color w:val="000000"/>
        </w:rPr>
        <w:t xml:space="preserve"> the SCA found it </w:t>
      </w:r>
      <w:r w:rsidR="00C55FDC" w:rsidRPr="00EE2A67">
        <w:rPr>
          <w:rFonts w:ascii="Arial" w:hAnsi="Arial" w:cs="Arial"/>
          <w:color w:val="000000"/>
        </w:rPr>
        <w:t xml:space="preserve">unnecessary to enter upon the terrain of the academic controversy regarding the availability, in principle, of the remedy </w:t>
      </w:r>
      <w:r w:rsidR="00D50E85">
        <w:rPr>
          <w:rFonts w:ascii="Arial" w:hAnsi="Arial" w:cs="Arial"/>
          <w:color w:val="000000"/>
        </w:rPr>
        <w:t>under those circumstances</w:t>
      </w:r>
      <w:r w:rsidR="00C55FDC" w:rsidRPr="00EE2A67">
        <w:rPr>
          <w:rFonts w:ascii="Arial" w:hAnsi="Arial" w:cs="Arial"/>
          <w:color w:val="000000"/>
        </w:rPr>
        <w:t xml:space="preserve">. </w:t>
      </w:r>
      <w:r w:rsidR="00EE2A67" w:rsidRPr="00EE2A67">
        <w:rPr>
          <w:rFonts w:ascii="Arial" w:hAnsi="Arial" w:cs="Arial"/>
          <w:color w:val="000000"/>
        </w:rPr>
        <w:t>It held:</w:t>
      </w:r>
    </w:p>
    <w:p w:rsidR="00EE2A67" w:rsidRPr="00EE2A67" w:rsidRDefault="00EE2A67" w:rsidP="00627AD6">
      <w:pPr>
        <w:tabs>
          <w:tab w:val="left" w:pos="567"/>
        </w:tabs>
        <w:spacing w:line="360" w:lineRule="auto"/>
        <w:ind w:left="675" w:hanging="562"/>
        <w:jc w:val="both"/>
        <w:rPr>
          <w:rFonts w:ascii="Arial" w:hAnsi="Arial" w:cs="Arial"/>
          <w:color w:val="000000"/>
          <w:sz w:val="22"/>
          <w:szCs w:val="22"/>
        </w:rPr>
      </w:pPr>
      <w:r w:rsidRPr="00EE2A67">
        <w:rPr>
          <w:rFonts w:ascii="Arial" w:hAnsi="Arial" w:cs="Arial"/>
          <w:color w:val="000000"/>
          <w:sz w:val="22"/>
          <w:szCs w:val="22"/>
        </w:rPr>
        <w:tab/>
      </w:r>
      <w:r w:rsidR="00714FCA">
        <w:rPr>
          <w:rFonts w:ascii="Arial" w:hAnsi="Arial" w:cs="Arial"/>
          <w:color w:val="000000"/>
          <w:sz w:val="22"/>
          <w:szCs w:val="22"/>
        </w:rPr>
        <w:tab/>
      </w:r>
      <w:r w:rsidRPr="00EE2A67">
        <w:rPr>
          <w:rFonts w:ascii="Arial" w:hAnsi="Arial" w:cs="Arial"/>
          <w:color w:val="000000"/>
          <w:sz w:val="22"/>
          <w:szCs w:val="22"/>
        </w:rPr>
        <w:t>“</w:t>
      </w:r>
      <w:r w:rsidR="00C55FDC" w:rsidRPr="00EE2A67">
        <w:rPr>
          <w:rFonts w:ascii="Arial" w:hAnsi="Arial" w:cs="Arial"/>
          <w:color w:val="000000"/>
          <w:sz w:val="22"/>
          <w:szCs w:val="22"/>
        </w:rPr>
        <w:t>That is so because the </w:t>
      </w:r>
      <w:r w:rsidR="00C55FDC" w:rsidRPr="00EE2A67">
        <w:rPr>
          <w:rFonts w:ascii="Arial" w:hAnsi="Arial" w:cs="Arial"/>
          <w:i/>
          <w:iCs/>
          <w:color w:val="000000"/>
          <w:sz w:val="22"/>
          <w:szCs w:val="22"/>
        </w:rPr>
        <w:t>mandament</w:t>
      </w:r>
      <w:r w:rsidR="00C55FDC" w:rsidRPr="00EE2A67">
        <w:rPr>
          <w:rFonts w:ascii="Arial" w:hAnsi="Arial" w:cs="Arial"/>
          <w:color w:val="000000"/>
          <w:sz w:val="22"/>
          <w:szCs w:val="22"/>
        </w:rPr>
        <w:t xml:space="preserve"> by its nature may involve either mandatory elements, such as the delivery of movable property, or prohibitory elements, as in the case where a party is restrained from preventing certain steps being taken to restore </w:t>
      </w:r>
      <w:r w:rsidR="00C55FDC" w:rsidRPr="00EE2A67">
        <w:rPr>
          <w:rFonts w:ascii="Arial" w:hAnsi="Arial" w:cs="Arial"/>
          <w:color w:val="000000"/>
          <w:sz w:val="22"/>
          <w:szCs w:val="22"/>
        </w:rPr>
        <w:lastRenderedPageBreak/>
        <w:t>possession. </w:t>
      </w:r>
      <w:bookmarkStart w:id="8" w:name="0-0-0-18699"/>
      <w:bookmarkEnd w:id="8"/>
      <w:r w:rsidR="00C55FDC" w:rsidRPr="00EE2A67">
        <w:rPr>
          <w:rFonts w:ascii="Arial" w:hAnsi="Arial" w:cs="Arial"/>
          <w:color w:val="000000"/>
          <w:sz w:val="22"/>
          <w:szCs w:val="22"/>
        </w:rPr>
        <w:t>Where the order cannot be carried into effect, it cannot, competently, be granted. Whether the order can be carried into effect is a question of fact to be determined by the court asked to grant an order.</w:t>
      </w:r>
      <w:r w:rsidRPr="00EE2A67">
        <w:rPr>
          <w:rFonts w:ascii="Arial" w:hAnsi="Arial" w:cs="Arial"/>
          <w:color w:val="000000"/>
          <w:sz w:val="22"/>
          <w:szCs w:val="22"/>
        </w:rPr>
        <w:t>”</w:t>
      </w:r>
    </w:p>
    <w:p w:rsidR="00BB0423" w:rsidRDefault="00EE2A67" w:rsidP="003875FA">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4</w:t>
      </w:r>
      <w:r w:rsidR="00DD73AB">
        <w:rPr>
          <w:rFonts w:ascii="Arial" w:hAnsi="Arial" w:cs="Arial"/>
          <w:color w:val="000000"/>
        </w:rPr>
        <w:t>5</w:t>
      </w:r>
      <w:r>
        <w:rPr>
          <w:rFonts w:ascii="Arial" w:hAnsi="Arial" w:cs="Arial"/>
          <w:color w:val="000000"/>
        </w:rPr>
        <w:t>]</w:t>
      </w:r>
      <w:r>
        <w:rPr>
          <w:rFonts w:ascii="Arial" w:hAnsi="Arial" w:cs="Arial"/>
          <w:color w:val="000000"/>
        </w:rPr>
        <w:tab/>
      </w:r>
      <w:r w:rsidR="00DF4F86">
        <w:rPr>
          <w:rFonts w:ascii="Arial" w:hAnsi="Arial" w:cs="Arial"/>
          <w:color w:val="000000"/>
        </w:rPr>
        <w:t xml:space="preserve">On </w:t>
      </w:r>
      <w:r w:rsidR="0058319C">
        <w:rPr>
          <w:rFonts w:ascii="Arial" w:hAnsi="Arial" w:cs="Arial"/>
          <w:color w:val="000000"/>
        </w:rPr>
        <w:t xml:space="preserve">the </w:t>
      </w:r>
      <w:r w:rsidR="00DF4F86">
        <w:rPr>
          <w:rFonts w:ascii="Arial" w:hAnsi="Arial" w:cs="Arial"/>
          <w:color w:val="000000"/>
        </w:rPr>
        <w:t>very li</w:t>
      </w:r>
      <w:r w:rsidR="0023698E">
        <w:rPr>
          <w:rFonts w:ascii="Arial" w:hAnsi="Arial" w:cs="Arial"/>
          <w:color w:val="000000"/>
        </w:rPr>
        <w:t xml:space="preserve">mited </w:t>
      </w:r>
      <w:r w:rsidR="00DF4F86">
        <w:rPr>
          <w:rFonts w:ascii="Arial" w:hAnsi="Arial" w:cs="Arial"/>
          <w:color w:val="000000"/>
        </w:rPr>
        <w:t>evidence</w:t>
      </w:r>
      <w:r w:rsidR="0023698E">
        <w:rPr>
          <w:rFonts w:ascii="Arial" w:hAnsi="Arial" w:cs="Arial"/>
          <w:color w:val="000000"/>
        </w:rPr>
        <w:t xml:space="preserve"> available following the alleged spoliatory incidents, </w:t>
      </w:r>
      <w:r w:rsidR="005D2A0E">
        <w:rPr>
          <w:rFonts w:ascii="Arial" w:hAnsi="Arial" w:cs="Arial"/>
          <w:color w:val="000000"/>
        </w:rPr>
        <w:t xml:space="preserve">Lore had </w:t>
      </w:r>
      <w:r w:rsidR="0023698E">
        <w:rPr>
          <w:rFonts w:ascii="Arial" w:hAnsi="Arial" w:cs="Arial"/>
          <w:color w:val="000000"/>
        </w:rPr>
        <w:t xml:space="preserve">concluded a new joint venture agreement with Dulostyle which took possession of the prospecting area.  </w:t>
      </w:r>
      <w:r w:rsidR="0058319C">
        <w:rPr>
          <w:rFonts w:ascii="Arial" w:hAnsi="Arial" w:cs="Arial"/>
          <w:color w:val="000000"/>
        </w:rPr>
        <w:t>Clearly</w:t>
      </w:r>
      <w:r w:rsidR="00C22AD5">
        <w:rPr>
          <w:rFonts w:ascii="Arial" w:hAnsi="Arial" w:cs="Arial"/>
          <w:color w:val="000000"/>
        </w:rPr>
        <w:t>,</w:t>
      </w:r>
      <w:r w:rsidR="0058319C">
        <w:rPr>
          <w:rFonts w:ascii="Arial" w:hAnsi="Arial" w:cs="Arial"/>
          <w:color w:val="000000"/>
        </w:rPr>
        <w:t xml:space="preserve"> </w:t>
      </w:r>
      <w:r w:rsidR="00663B4A">
        <w:rPr>
          <w:rFonts w:ascii="Arial" w:hAnsi="Arial" w:cs="Arial"/>
          <w:color w:val="000000"/>
        </w:rPr>
        <w:t xml:space="preserve">Dulostyle </w:t>
      </w:r>
      <w:r w:rsidR="0058319C">
        <w:rPr>
          <w:rFonts w:ascii="Arial" w:hAnsi="Arial" w:cs="Arial"/>
          <w:color w:val="000000"/>
        </w:rPr>
        <w:t xml:space="preserve">could never have been </w:t>
      </w:r>
      <w:r w:rsidR="00663B4A">
        <w:rPr>
          <w:rFonts w:ascii="Arial" w:hAnsi="Arial" w:cs="Arial"/>
          <w:color w:val="000000"/>
        </w:rPr>
        <w:t xml:space="preserve">the spoliator. There is </w:t>
      </w:r>
      <w:r w:rsidR="006D1043">
        <w:rPr>
          <w:rFonts w:ascii="Arial" w:hAnsi="Arial" w:cs="Arial"/>
          <w:color w:val="000000"/>
        </w:rPr>
        <w:t xml:space="preserve">also </w:t>
      </w:r>
      <w:r w:rsidR="00663B4A">
        <w:rPr>
          <w:rFonts w:ascii="Arial" w:hAnsi="Arial" w:cs="Arial"/>
          <w:color w:val="000000"/>
        </w:rPr>
        <w:t xml:space="preserve">no evidence to suggest that </w:t>
      </w:r>
      <w:r w:rsidR="0023698E">
        <w:rPr>
          <w:rFonts w:ascii="Arial" w:hAnsi="Arial" w:cs="Arial"/>
          <w:color w:val="000000"/>
        </w:rPr>
        <w:t xml:space="preserve">it </w:t>
      </w:r>
      <w:r w:rsidR="00663B4A">
        <w:rPr>
          <w:rFonts w:ascii="Arial" w:hAnsi="Arial" w:cs="Arial"/>
          <w:color w:val="000000"/>
        </w:rPr>
        <w:t>did not become the new possessor in good</w:t>
      </w:r>
      <w:r w:rsidR="00B71FD8">
        <w:rPr>
          <w:rFonts w:ascii="Arial" w:hAnsi="Arial" w:cs="Arial"/>
          <w:color w:val="000000"/>
        </w:rPr>
        <w:t xml:space="preserve"> faith</w:t>
      </w:r>
      <w:r w:rsidR="00700B69">
        <w:rPr>
          <w:rFonts w:ascii="Arial" w:hAnsi="Arial" w:cs="Arial"/>
          <w:color w:val="000000"/>
        </w:rPr>
        <w:t xml:space="preserve"> or took the law int</w:t>
      </w:r>
      <w:r w:rsidR="008A55C8">
        <w:rPr>
          <w:rFonts w:ascii="Arial" w:hAnsi="Arial" w:cs="Arial"/>
          <w:color w:val="000000"/>
        </w:rPr>
        <w:t>o</w:t>
      </w:r>
      <w:r w:rsidR="00700B69">
        <w:rPr>
          <w:rFonts w:ascii="Arial" w:hAnsi="Arial" w:cs="Arial"/>
          <w:color w:val="000000"/>
        </w:rPr>
        <w:t xml:space="preserve"> its own hand</w:t>
      </w:r>
      <w:r w:rsidR="00D50E85">
        <w:rPr>
          <w:rFonts w:ascii="Arial" w:hAnsi="Arial" w:cs="Arial"/>
          <w:color w:val="000000"/>
        </w:rPr>
        <w:t>s</w:t>
      </w:r>
      <w:r w:rsidR="00B71FD8">
        <w:rPr>
          <w:rFonts w:ascii="Arial" w:hAnsi="Arial" w:cs="Arial"/>
          <w:color w:val="000000"/>
        </w:rPr>
        <w:t>.</w:t>
      </w:r>
      <w:r w:rsidR="00663B4A">
        <w:rPr>
          <w:rFonts w:ascii="Arial" w:hAnsi="Arial" w:cs="Arial"/>
          <w:color w:val="000000"/>
        </w:rPr>
        <w:t xml:space="preserve"> </w:t>
      </w:r>
    </w:p>
    <w:p w:rsidR="00C464FC" w:rsidRDefault="00093321" w:rsidP="00C464FC">
      <w:pPr>
        <w:spacing w:line="360" w:lineRule="auto"/>
        <w:ind w:left="567" w:hanging="567"/>
        <w:jc w:val="both"/>
        <w:rPr>
          <w:rFonts w:ascii="Arial" w:hAnsi="Arial" w:cs="Arial"/>
        </w:rPr>
      </w:pPr>
      <w:r>
        <w:rPr>
          <w:rFonts w:ascii="Arial" w:hAnsi="Arial" w:cs="Arial"/>
          <w:color w:val="000000"/>
        </w:rPr>
        <w:t>[</w:t>
      </w:r>
      <w:r w:rsidR="000860F1">
        <w:rPr>
          <w:rFonts w:ascii="Arial" w:hAnsi="Arial" w:cs="Arial"/>
          <w:color w:val="000000"/>
        </w:rPr>
        <w:t>4</w:t>
      </w:r>
      <w:r w:rsidR="00DD73AB">
        <w:rPr>
          <w:rFonts w:ascii="Arial" w:hAnsi="Arial" w:cs="Arial"/>
          <w:color w:val="000000"/>
        </w:rPr>
        <w:t>6</w:t>
      </w:r>
      <w:r>
        <w:rPr>
          <w:rFonts w:ascii="Arial" w:hAnsi="Arial" w:cs="Arial"/>
          <w:color w:val="000000"/>
        </w:rPr>
        <w:t>]</w:t>
      </w:r>
      <w:r>
        <w:rPr>
          <w:rFonts w:ascii="Arial" w:hAnsi="Arial" w:cs="Arial"/>
          <w:color w:val="000000"/>
        </w:rPr>
        <w:tab/>
      </w:r>
      <w:r w:rsidR="00F47A91">
        <w:rPr>
          <w:rFonts w:ascii="Arial" w:hAnsi="Arial" w:cs="Arial"/>
          <w:color w:val="000000"/>
        </w:rPr>
        <w:t xml:space="preserve">With regard to </w:t>
      </w:r>
      <w:r w:rsidR="00715084">
        <w:rPr>
          <w:rFonts w:ascii="Arial" w:hAnsi="Arial" w:cs="Arial"/>
          <w:color w:val="000000"/>
        </w:rPr>
        <w:t xml:space="preserve">the </w:t>
      </w:r>
      <w:r w:rsidR="00F47A91">
        <w:rPr>
          <w:rFonts w:ascii="Arial" w:hAnsi="Arial" w:cs="Arial"/>
          <w:color w:val="000000"/>
        </w:rPr>
        <w:t>machinery and equipment</w:t>
      </w:r>
      <w:r w:rsidR="006D1043">
        <w:rPr>
          <w:rFonts w:ascii="Arial" w:hAnsi="Arial" w:cs="Arial"/>
          <w:color w:val="000000"/>
        </w:rPr>
        <w:t>,</w:t>
      </w:r>
      <w:r w:rsidR="00F47A91">
        <w:rPr>
          <w:rFonts w:ascii="Arial" w:hAnsi="Arial" w:cs="Arial"/>
          <w:color w:val="000000"/>
        </w:rPr>
        <w:t xml:space="preserve"> </w:t>
      </w:r>
      <w:r w:rsidR="00663B4A">
        <w:rPr>
          <w:rFonts w:ascii="Arial" w:hAnsi="Arial" w:cs="Arial"/>
          <w:color w:val="000000"/>
        </w:rPr>
        <w:t>t</w:t>
      </w:r>
      <w:r w:rsidR="00044643" w:rsidRPr="00044643">
        <w:rPr>
          <w:rFonts w:ascii="Arial" w:hAnsi="Arial" w:cs="Arial"/>
          <w:color w:val="000000"/>
        </w:rPr>
        <w:t>he facts speak for themselves.</w:t>
      </w:r>
      <w:r w:rsidR="00044643">
        <w:rPr>
          <w:rFonts w:ascii="Arial" w:hAnsi="Arial" w:cs="Arial"/>
          <w:color w:val="000000"/>
        </w:rPr>
        <w:t xml:space="preserve"> </w:t>
      </w:r>
      <w:r w:rsidR="000946E9">
        <w:rPr>
          <w:rFonts w:ascii="Arial" w:hAnsi="Arial" w:cs="Arial"/>
          <w:color w:val="000000"/>
        </w:rPr>
        <w:t>It is so that in a letter dated 25 January 2020 by Ms Labuschagne QCK purported to exercise its right of retention over Sikhova’s assets subsequent to Sikhova’s alleged breach. However, i</w:t>
      </w:r>
      <w:r w:rsidR="00C464FC">
        <w:rPr>
          <w:rFonts w:ascii="Arial" w:hAnsi="Arial" w:cs="Arial"/>
        </w:rPr>
        <w:t>n a letter dated 12 March 2020 by Lore to Sikhova</w:t>
      </w:r>
      <w:r w:rsidR="00D50E85">
        <w:rPr>
          <w:rFonts w:ascii="Arial" w:hAnsi="Arial" w:cs="Arial"/>
        </w:rPr>
        <w:t xml:space="preserve">, </w:t>
      </w:r>
      <w:r w:rsidR="00C464FC">
        <w:rPr>
          <w:rFonts w:ascii="Arial" w:hAnsi="Arial" w:cs="Arial"/>
        </w:rPr>
        <w:t xml:space="preserve">Sikhova </w:t>
      </w:r>
      <w:r w:rsidR="006D1043">
        <w:rPr>
          <w:rFonts w:ascii="Arial" w:hAnsi="Arial" w:cs="Arial"/>
        </w:rPr>
        <w:t xml:space="preserve">was notified </w:t>
      </w:r>
      <w:r w:rsidR="00C464FC">
        <w:rPr>
          <w:rFonts w:ascii="Arial" w:hAnsi="Arial" w:cs="Arial"/>
        </w:rPr>
        <w:t xml:space="preserve">that the JV was cancelled. More relevant for present purpose, Sikhova was also instructed to remove its equipment from the property within a period of 21 days. </w:t>
      </w:r>
      <w:r w:rsidR="00900270">
        <w:rPr>
          <w:rFonts w:ascii="Arial" w:hAnsi="Arial" w:cs="Arial"/>
        </w:rPr>
        <w:t xml:space="preserve">It may well be that </w:t>
      </w:r>
      <w:r w:rsidR="00C464FC">
        <w:rPr>
          <w:rFonts w:ascii="Arial" w:hAnsi="Arial" w:cs="Arial"/>
        </w:rPr>
        <w:t xml:space="preserve">the instruction was </w:t>
      </w:r>
      <w:r w:rsidR="00CE7D39">
        <w:rPr>
          <w:rFonts w:ascii="Arial" w:hAnsi="Arial" w:cs="Arial"/>
        </w:rPr>
        <w:t>absurd</w:t>
      </w:r>
      <w:r w:rsidR="000946E9">
        <w:rPr>
          <w:rFonts w:ascii="Arial" w:hAnsi="Arial" w:cs="Arial"/>
        </w:rPr>
        <w:t>,</w:t>
      </w:r>
      <w:r w:rsidR="00C464FC">
        <w:rPr>
          <w:rFonts w:ascii="Arial" w:hAnsi="Arial" w:cs="Arial"/>
        </w:rPr>
        <w:t xml:space="preserve"> as </w:t>
      </w:r>
      <w:r w:rsidR="00CE7D39">
        <w:rPr>
          <w:rFonts w:ascii="Arial" w:hAnsi="Arial" w:cs="Arial"/>
        </w:rPr>
        <w:t xml:space="preserve">Sikhova </w:t>
      </w:r>
      <w:r w:rsidR="006D1043">
        <w:rPr>
          <w:rFonts w:ascii="Arial" w:hAnsi="Arial" w:cs="Arial"/>
        </w:rPr>
        <w:t xml:space="preserve">and Hard Rock </w:t>
      </w:r>
      <w:r w:rsidR="00CE7D39">
        <w:rPr>
          <w:rFonts w:ascii="Arial" w:hAnsi="Arial" w:cs="Arial"/>
        </w:rPr>
        <w:t>argued</w:t>
      </w:r>
      <w:r w:rsidR="000946E9">
        <w:rPr>
          <w:rFonts w:ascii="Arial" w:hAnsi="Arial" w:cs="Arial"/>
        </w:rPr>
        <w:t>,</w:t>
      </w:r>
      <w:r w:rsidR="00CE7D39">
        <w:rPr>
          <w:rFonts w:ascii="Arial" w:hAnsi="Arial" w:cs="Arial"/>
        </w:rPr>
        <w:t xml:space="preserve"> because Lore </w:t>
      </w:r>
      <w:r w:rsidR="00C464FC">
        <w:rPr>
          <w:rFonts w:ascii="Arial" w:hAnsi="Arial" w:cs="Arial"/>
        </w:rPr>
        <w:t xml:space="preserve">had no authority over the farm or machinery. </w:t>
      </w:r>
      <w:r w:rsidR="00CE7D39">
        <w:rPr>
          <w:rFonts w:ascii="Arial" w:hAnsi="Arial" w:cs="Arial"/>
        </w:rPr>
        <w:t xml:space="preserve">However, by means of an </w:t>
      </w:r>
      <w:r w:rsidR="00C464FC">
        <w:rPr>
          <w:rFonts w:ascii="Arial" w:hAnsi="Arial" w:cs="Arial"/>
        </w:rPr>
        <w:t>e-mail dated 22 July 2020</w:t>
      </w:r>
      <w:r w:rsidR="00CE7D39">
        <w:rPr>
          <w:rFonts w:ascii="Arial" w:hAnsi="Arial" w:cs="Arial"/>
        </w:rPr>
        <w:t>,</w:t>
      </w:r>
      <w:r w:rsidR="00C464FC">
        <w:rPr>
          <w:rFonts w:ascii="Arial" w:hAnsi="Arial" w:cs="Arial"/>
        </w:rPr>
        <w:t xml:space="preserve"> Ms Labuschagne informed Sikhova’s attorneys:</w:t>
      </w:r>
    </w:p>
    <w:p w:rsidR="00C464FC" w:rsidRPr="00761834" w:rsidRDefault="00C464FC" w:rsidP="00C464FC">
      <w:pPr>
        <w:spacing w:line="360" w:lineRule="auto"/>
        <w:ind w:left="567"/>
        <w:jc w:val="both"/>
        <w:rPr>
          <w:rFonts w:ascii="Arial" w:hAnsi="Arial" w:cs="Arial"/>
          <w:sz w:val="22"/>
          <w:szCs w:val="22"/>
        </w:rPr>
      </w:pPr>
      <w:r w:rsidRPr="00761834">
        <w:rPr>
          <w:rFonts w:ascii="Arial" w:hAnsi="Arial" w:cs="Arial"/>
          <w:sz w:val="22"/>
          <w:szCs w:val="22"/>
        </w:rPr>
        <w:t>“…(Y)our client [Sikhova] contacted our client directly to remove his machinery from the property and was requested to arrange for [the] removal of the machinery through our offices…</w:t>
      </w:r>
    </w:p>
    <w:p w:rsidR="00C464FC" w:rsidRPr="00761834" w:rsidRDefault="00C464FC" w:rsidP="00C464FC">
      <w:pPr>
        <w:spacing w:line="360" w:lineRule="auto"/>
        <w:ind w:left="567"/>
        <w:jc w:val="both"/>
        <w:rPr>
          <w:rFonts w:ascii="Arial" w:hAnsi="Arial" w:cs="Arial"/>
          <w:sz w:val="22"/>
          <w:szCs w:val="22"/>
        </w:rPr>
      </w:pPr>
      <w:r w:rsidRPr="00761834">
        <w:rPr>
          <w:rFonts w:ascii="Arial" w:hAnsi="Arial" w:cs="Arial"/>
          <w:sz w:val="22"/>
          <w:szCs w:val="22"/>
        </w:rPr>
        <w:t>You are requested to furnish us with a list of machinery your client intent to remove from our client’s property as well as information on persons and/or representatives who will assist in removing the machinery and equipment”</w:t>
      </w:r>
    </w:p>
    <w:p w:rsidR="00D46895" w:rsidRDefault="00CE7D39" w:rsidP="003875FA">
      <w:pPr>
        <w:tabs>
          <w:tab w:val="left" w:pos="567"/>
        </w:tabs>
        <w:spacing w:line="360" w:lineRule="auto"/>
        <w:ind w:left="562" w:hanging="562"/>
        <w:jc w:val="both"/>
        <w:rPr>
          <w:rFonts w:ascii="Arial" w:hAnsi="Arial" w:cs="Arial"/>
          <w:color w:val="000000"/>
        </w:rPr>
      </w:pPr>
      <w:r>
        <w:rPr>
          <w:rFonts w:ascii="Arial" w:hAnsi="Arial" w:cs="Arial"/>
          <w:color w:val="000000"/>
        </w:rPr>
        <w:tab/>
      </w:r>
      <w:r w:rsidR="00FE1909">
        <w:rPr>
          <w:rFonts w:ascii="Arial" w:hAnsi="Arial" w:cs="Arial"/>
          <w:color w:val="000000"/>
        </w:rPr>
        <w:t xml:space="preserve">Apparent from </w:t>
      </w:r>
      <w:r>
        <w:rPr>
          <w:rFonts w:ascii="Arial" w:hAnsi="Arial" w:cs="Arial"/>
          <w:color w:val="000000"/>
        </w:rPr>
        <w:t xml:space="preserve">the above </w:t>
      </w:r>
      <w:r w:rsidR="006D1043">
        <w:rPr>
          <w:rFonts w:ascii="Arial" w:hAnsi="Arial" w:cs="Arial"/>
          <w:color w:val="000000"/>
        </w:rPr>
        <w:t>correspondence</w:t>
      </w:r>
      <w:r w:rsidR="00715084">
        <w:rPr>
          <w:rFonts w:ascii="Arial" w:hAnsi="Arial" w:cs="Arial"/>
          <w:color w:val="000000"/>
        </w:rPr>
        <w:t>,</w:t>
      </w:r>
      <w:r w:rsidR="006D1043">
        <w:rPr>
          <w:rFonts w:ascii="Arial" w:hAnsi="Arial" w:cs="Arial"/>
          <w:color w:val="000000"/>
        </w:rPr>
        <w:t xml:space="preserve"> </w:t>
      </w:r>
      <w:r w:rsidR="00FE1909">
        <w:rPr>
          <w:rFonts w:ascii="Arial" w:hAnsi="Arial" w:cs="Arial"/>
          <w:color w:val="000000"/>
        </w:rPr>
        <w:t>i</w:t>
      </w:r>
      <w:r>
        <w:rPr>
          <w:rFonts w:ascii="Arial" w:hAnsi="Arial" w:cs="Arial"/>
          <w:color w:val="000000"/>
        </w:rPr>
        <w:t xml:space="preserve">t remained open to </w:t>
      </w:r>
      <w:r w:rsidR="00FE1909">
        <w:rPr>
          <w:rFonts w:ascii="Arial" w:hAnsi="Arial" w:cs="Arial"/>
          <w:color w:val="000000"/>
        </w:rPr>
        <w:t xml:space="preserve">Sikhova </w:t>
      </w:r>
      <w:r>
        <w:rPr>
          <w:rFonts w:ascii="Arial" w:hAnsi="Arial" w:cs="Arial"/>
          <w:color w:val="000000"/>
        </w:rPr>
        <w:t xml:space="preserve">to collect its </w:t>
      </w:r>
      <w:r w:rsidR="001C43B7">
        <w:rPr>
          <w:rFonts w:ascii="Arial" w:hAnsi="Arial" w:cs="Arial"/>
          <w:color w:val="000000"/>
        </w:rPr>
        <w:t xml:space="preserve">assets from the farm. </w:t>
      </w:r>
      <w:r>
        <w:rPr>
          <w:rFonts w:ascii="Arial" w:hAnsi="Arial" w:cs="Arial"/>
          <w:color w:val="000000"/>
        </w:rPr>
        <w:t xml:space="preserve"> </w:t>
      </w:r>
      <w:r w:rsidR="008278C4">
        <w:rPr>
          <w:rFonts w:ascii="Arial" w:hAnsi="Arial" w:cs="Arial"/>
          <w:color w:val="000000"/>
        </w:rPr>
        <w:t>As for Hard Rock, t</w:t>
      </w:r>
      <w:r w:rsidR="00FD42C4">
        <w:rPr>
          <w:rFonts w:ascii="Arial" w:hAnsi="Arial" w:cs="Arial"/>
          <w:color w:val="000000"/>
        </w:rPr>
        <w:t xml:space="preserve">here could hardly </w:t>
      </w:r>
      <w:r w:rsidR="002D097B">
        <w:rPr>
          <w:rFonts w:ascii="Arial" w:hAnsi="Arial" w:cs="Arial"/>
          <w:color w:val="000000"/>
        </w:rPr>
        <w:t xml:space="preserve">have </w:t>
      </w:r>
      <w:r w:rsidR="00FD42C4">
        <w:rPr>
          <w:rFonts w:ascii="Arial" w:hAnsi="Arial" w:cs="Arial"/>
          <w:color w:val="000000"/>
        </w:rPr>
        <w:t>be</w:t>
      </w:r>
      <w:r w:rsidR="002D097B">
        <w:rPr>
          <w:rFonts w:ascii="Arial" w:hAnsi="Arial" w:cs="Arial"/>
          <w:color w:val="000000"/>
        </w:rPr>
        <w:t>en</w:t>
      </w:r>
      <w:r w:rsidR="00FD42C4">
        <w:rPr>
          <w:rFonts w:ascii="Arial" w:hAnsi="Arial" w:cs="Arial"/>
          <w:color w:val="000000"/>
        </w:rPr>
        <w:t xml:space="preserve"> any act of spoliation against </w:t>
      </w:r>
      <w:r w:rsidR="004A0B97">
        <w:rPr>
          <w:rFonts w:ascii="Arial" w:hAnsi="Arial" w:cs="Arial"/>
          <w:color w:val="000000"/>
        </w:rPr>
        <w:t xml:space="preserve">it because </w:t>
      </w:r>
      <w:r w:rsidR="00FD42C4">
        <w:rPr>
          <w:rFonts w:ascii="Arial" w:hAnsi="Arial" w:cs="Arial"/>
          <w:color w:val="000000"/>
        </w:rPr>
        <w:t xml:space="preserve">it was incorporated </w:t>
      </w:r>
      <w:r w:rsidR="0012328F">
        <w:rPr>
          <w:rFonts w:ascii="Arial" w:hAnsi="Arial" w:cs="Arial"/>
          <w:color w:val="000000"/>
        </w:rPr>
        <w:t xml:space="preserve">and registered </w:t>
      </w:r>
      <w:r w:rsidR="00230029">
        <w:rPr>
          <w:rFonts w:ascii="Arial" w:hAnsi="Arial" w:cs="Arial"/>
          <w:color w:val="000000"/>
        </w:rPr>
        <w:t xml:space="preserve">only </w:t>
      </w:r>
      <w:r w:rsidR="008770E8">
        <w:rPr>
          <w:rFonts w:ascii="Arial" w:hAnsi="Arial" w:cs="Arial"/>
          <w:color w:val="000000"/>
        </w:rPr>
        <w:t xml:space="preserve">on 21 </w:t>
      </w:r>
      <w:r w:rsidR="00FD42C4">
        <w:rPr>
          <w:rFonts w:ascii="Arial" w:hAnsi="Arial" w:cs="Arial"/>
          <w:color w:val="000000"/>
        </w:rPr>
        <w:t>January 202</w:t>
      </w:r>
      <w:r w:rsidR="008770E8">
        <w:rPr>
          <w:rFonts w:ascii="Arial" w:hAnsi="Arial" w:cs="Arial"/>
          <w:color w:val="000000"/>
        </w:rPr>
        <w:t>0</w:t>
      </w:r>
      <w:r w:rsidR="00245287">
        <w:rPr>
          <w:rFonts w:ascii="Arial" w:hAnsi="Arial" w:cs="Arial"/>
          <w:color w:val="000000"/>
        </w:rPr>
        <w:t>,</w:t>
      </w:r>
      <w:r w:rsidR="00FD42C4">
        <w:rPr>
          <w:rFonts w:ascii="Arial" w:hAnsi="Arial" w:cs="Arial"/>
          <w:color w:val="000000"/>
        </w:rPr>
        <w:t xml:space="preserve"> </w:t>
      </w:r>
      <w:r w:rsidR="00CB5A35">
        <w:rPr>
          <w:rFonts w:ascii="Arial" w:hAnsi="Arial" w:cs="Arial"/>
          <w:color w:val="000000"/>
        </w:rPr>
        <w:t xml:space="preserve">following </w:t>
      </w:r>
      <w:r w:rsidR="00FD42C4">
        <w:rPr>
          <w:rFonts w:ascii="Arial" w:hAnsi="Arial" w:cs="Arial"/>
          <w:color w:val="000000"/>
        </w:rPr>
        <w:t xml:space="preserve">the alleged spoliatory </w:t>
      </w:r>
      <w:r w:rsidR="008278C4">
        <w:rPr>
          <w:rFonts w:ascii="Arial" w:hAnsi="Arial" w:cs="Arial"/>
          <w:color w:val="000000"/>
        </w:rPr>
        <w:t>events</w:t>
      </w:r>
      <w:r w:rsidR="00FD42C4">
        <w:rPr>
          <w:rFonts w:ascii="Arial" w:hAnsi="Arial" w:cs="Arial"/>
          <w:color w:val="000000"/>
        </w:rPr>
        <w:t>.</w:t>
      </w:r>
    </w:p>
    <w:p w:rsidR="003C6F5E" w:rsidRDefault="001C43B7" w:rsidP="003875FA">
      <w:pPr>
        <w:tabs>
          <w:tab w:val="left" w:pos="567"/>
        </w:tabs>
        <w:spacing w:line="360" w:lineRule="auto"/>
        <w:ind w:left="562" w:hanging="562"/>
        <w:jc w:val="both"/>
        <w:rPr>
          <w:rFonts w:ascii="Arial" w:hAnsi="Arial" w:cs="Arial"/>
          <w:color w:val="000000"/>
        </w:rPr>
      </w:pPr>
      <w:r>
        <w:rPr>
          <w:rFonts w:ascii="Arial" w:hAnsi="Arial" w:cs="Arial"/>
          <w:color w:val="000000"/>
        </w:rPr>
        <w:lastRenderedPageBreak/>
        <w:t>[</w:t>
      </w:r>
      <w:r w:rsidR="000860F1">
        <w:rPr>
          <w:rFonts w:ascii="Arial" w:hAnsi="Arial" w:cs="Arial"/>
          <w:color w:val="000000"/>
        </w:rPr>
        <w:t>4</w:t>
      </w:r>
      <w:r w:rsidR="00DD73AB">
        <w:rPr>
          <w:rFonts w:ascii="Arial" w:hAnsi="Arial" w:cs="Arial"/>
          <w:color w:val="000000"/>
        </w:rPr>
        <w:t>7</w:t>
      </w:r>
      <w:r>
        <w:rPr>
          <w:rFonts w:ascii="Arial" w:hAnsi="Arial" w:cs="Arial"/>
          <w:color w:val="000000"/>
        </w:rPr>
        <w:t>]</w:t>
      </w:r>
      <w:r>
        <w:rPr>
          <w:rFonts w:ascii="Arial" w:hAnsi="Arial" w:cs="Arial"/>
          <w:color w:val="000000"/>
        </w:rPr>
        <w:tab/>
      </w:r>
      <w:r w:rsidR="00D65AF6">
        <w:rPr>
          <w:rFonts w:ascii="Arial" w:hAnsi="Arial" w:cs="Arial"/>
          <w:color w:val="000000"/>
        </w:rPr>
        <w:t>On the aforegoing analysis</w:t>
      </w:r>
      <w:r w:rsidR="00C0419C">
        <w:rPr>
          <w:rFonts w:ascii="Arial" w:hAnsi="Arial" w:cs="Arial"/>
          <w:color w:val="000000"/>
        </w:rPr>
        <w:t>,</w:t>
      </w:r>
      <w:r w:rsidR="00D65AF6">
        <w:rPr>
          <w:rFonts w:ascii="Arial" w:hAnsi="Arial" w:cs="Arial"/>
          <w:color w:val="000000"/>
        </w:rPr>
        <w:t xml:space="preserve"> the court a quo </w:t>
      </w:r>
      <w:r w:rsidR="003C6F5E">
        <w:rPr>
          <w:rFonts w:ascii="Arial" w:hAnsi="Arial" w:cs="Arial"/>
          <w:color w:val="000000"/>
        </w:rPr>
        <w:t xml:space="preserve">erred </w:t>
      </w:r>
      <w:r w:rsidR="00D65AF6">
        <w:rPr>
          <w:rFonts w:ascii="Arial" w:hAnsi="Arial" w:cs="Arial"/>
          <w:color w:val="000000"/>
        </w:rPr>
        <w:t xml:space="preserve">in concluding that Sikhova and </w:t>
      </w:r>
      <w:r w:rsidR="00FE1909">
        <w:rPr>
          <w:rFonts w:ascii="Arial" w:hAnsi="Arial" w:cs="Arial"/>
          <w:color w:val="000000"/>
        </w:rPr>
        <w:t xml:space="preserve">Hard Rock </w:t>
      </w:r>
      <w:r w:rsidR="00B40674">
        <w:rPr>
          <w:rFonts w:ascii="Arial" w:hAnsi="Arial" w:cs="Arial"/>
          <w:color w:val="000000"/>
        </w:rPr>
        <w:t>had been unlawfully deprived of possession</w:t>
      </w:r>
      <w:r w:rsidR="0046112B">
        <w:rPr>
          <w:rFonts w:ascii="Arial" w:hAnsi="Arial" w:cs="Arial"/>
          <w:color w:val="000000"/>
        </w:rPr>
        <w:t xml:space="preserve">. </w:t>
      </w:r>
      <w:r w:rsidR="00B40674">
        <w:rPr>
          <w:rFonts w:ascii="Arial" w:hAnsi="Arial" w:cs="Arial"/>
          <w:color w:val="000000"/>
        </w:rPr>
        <w:t>Its order stand</w:t>
      </w:r>
      <w:r w:rsidR="00D315DA">
        <w:rPr>
          <w:rFonts w:ascii="Arial" w:hAnsi="Arial" w:cs="Arial"/>
          <w:color w:val="000000"/>
        </w:rPr>
        <w:t>s</w:t>
      </w:r>
      <w:r w:rsidR="00B40674">
        <w:rPr>
          <w:rFonts w:ascii="Arial" w:hAnsi="Arial" w:cs="Arial"/>
          <w:color w:val="000000"/>
        </w:rPr>
        <w:t xml:space="preserve"> to be set aside on this score.</w:t>
      </w:r>
    </w:p>
    <w:p w:rsidR="00C76BFD" w:rsidRPr="00EC6020" w:rsidRDefault="00320875" w:rsidP="003875FA">
      <w:pPr>
        <w:tabs>
          <w:tab w:val="left" w:pos="567"/>
        </w:tabs>
        <w:spacing w:line="360" w:lineRule="auto"/>
        <w:ind w:left="562" w:hanging="562"/>
        <w:jc w:val="both"/>
        <w:rPr>
          <w:rFonts w:ascii="Arial" w:hAnsi="Arial" w:cs="Arial"/>
          <w:b/>
          <w:color w:val="000000"/>
        </w:rPr>
      </w:pPr>
      <w:r w:rsidRPr="00EC6020">
        <w:rPr>
          <w:rFonts w:ascii="Arial" w:hAnsi="Arial" w:cs="Arial"/>
          <w:b/>
          <w:color w:val="000000"/>
        </w:rPr>
        <w:t>The question of costs</w:t>
      </w:r>
    </w:p>
    <w:p w:rsidR="00D73248" w:rsidRDefault="00392DB9" w:rsidP="006A79F6">
      <w:pPr>
        <w:tabs>
          <w:tab w:val="left" w:pos="567"/>
        </w:tabs>
        <w:spacing w:line="360" w:lineRule="auto"/>
        <w:ind w:left="562" w:hanging="562"/>
        <w:jc w:val="both"/>
        <w:rPr>
          <w:rFonts w:ascii="Arial" w:hAnsi="Arial" w:cs="Arial"/>
          <w:color w:val="000000"/>
        </w:rPr>
      </w:pPr>
      <w:r w:rsidRPr="00392DB9">
        <w:rPr>
          <w:rFonts w:ascii="Arial" w:hAnsi="Arial" w:cs="Arial"/>
          <w:color w:val="000000"/>
        </w:rPr>
        <w:t>[</w:t>
      </w:r>
      <w:r w:rsidR="000860F1">
        <w:rPr>
          <w:rFonts w:ascii="Arial" w:hAnsi="Arial" w:cs="Arial"/>
          <w:color w:val="000000"/>
        </w:rPr>
        <w:t>4</w:t>
      </w:r>
      <w:r w:rsidR="00DD73AB">
        <w:rPr>
          <w:rFonts w:ascii="Arial" w:hAnsi="Arial" w:cs="Arial"/>
          <w:color w:val="000000"/>
        </w:rPr>
        <w:t>8</w:t>
      </w:r>
      <w:r w:rsidRPr="00392DB9">
        <w:rPr>
          <w:rFonts w:ascii="Arial" w:hAnsi="Arial" w:cs="Arial"/>
          <w:color w:val="000000"/>
        </w:rPr>
        <w:t>]</w:t>
      </w:r>
      <w:r w:rsidRPr="00392DB9">
        <w:rPr>
          <w:rFonts w:ascii="Arial" w:hAnsi="Arial" w:cs="Arial"/>
          <w:color w:val="000000"/>
        </w:rPr>
        <w:tab/>
      </w:r>
      <w:r w:rsidR="006B0256">
        <w:rPr>
          <w:rFonts w:ascii="Arial" w:hAnsi="Arial" w:cs="Arial"/>
          <w:color w:val="000000"/>
        </w:rPr>
        <w:t xml:space="preserve">On the conclusion I </w:t>
      </w:r>
      <w:r w:rsidR="006F3FDD">
        <w:rPr>
          <w:rFonts w:ascii="Arial" w:hAnsi="Arial" w:cs="Arial"/>
          <w:color w:val="000000"/>
        </w:rPr>
        <w:t xml:space="preserve">have </w:t>
      </w:r>
      <w:r w:rsidR="006B0256">
        <w:rPr>
          <w:rFonts w:ascii="Arial" w:hAnsi="Arial" w:cs="Arial"/>
          <w:color w:val="000000"/>
        </w:rPr>
        <w:t>c</w:t>
      </w:r>
      <w:r w:rsidR="006F3FDD">
        <w:rPr>
          <w:rFonts w:ascii="Arial" w:hAnsi="Arial" w:cs="Arial"/>
          <w:color w:val="000000"/>
        </w:rPr>
        <w:t>o</w:t>
      </w:r>
      <w:r w:rsidR="006B0256">
        <w:rPr>
          <w:rFonts w:ascii="Arial" w:hAnsi="Arial" w:cs="Arial"/>
          <w:color w:val="000000"/>
        </w:rPr>
        <w:t xml:space="preserve">me to, in respect of the application for condonation and the reinstatement of the appeal, in the normal course, a party who seeks an indulgence from the court ought to bear the costs. I have already found that the </w:t>
      </w:r>
      <w:r w:rsidR="00232A96">
        <w:rPr>
          <w:rFonts w:ascii="Arial" w:hAnsi="Arial" w:cs="Arial"/>
          <w:color w:val="000000"/>
        </w:rPr>
        <w:t xml:space="preserve">prolix </w:t>
      </w:r>
      <w:r w:rsidR="006B0256">
        <w:rPr>
          <w:rFonts w:ascii="Arial" w:hAnsi="Arial" w:cs="Arial"/>
          <w:color w:val="000000"/>
        </w:rPr>
        <w:t xml:space="preserve">opposition to the application for condonation and reinstatement of the appeal was fastidious. </w:t>
      </w:r>
      <w:r w:rsidR="00473A67">
        <w:rPr>
          <w:rFonts w:ascii="Arial" w:hAnsi="Arial" w:cs="Arial"/>
          <w:color w:val="000000"/>
        </w:rPr>
        <w:t>Therefore, i</w:t>
      </w:r>
      <w:r w:rsidR="006B0256">
        <w:rPr>
          <w:rFonts w:ascii="Arial" w:hAnsi="Arial" w:cs="Arial"/>
          <w:color w:val="000000"/>
        </w:rPr>
        <w:t xml:space="preserve">t follows that Sikhova and </w:t>
      </w:r>
      <w:r w:rsidR="00473A67">
        <w:rPr>
          <w:rFonts w:ascii="Arial" w:hAnsi="Arial" w:cs="Arial"/>
          <w:color w:val="000000"/>
        </w:rPr>
        <w:t>H</w:t>
      </w:r>
      <w:r w:rsidR="006B0256">
        <w:rPr>
          <w:rFonts w:ascii="Arial" w:hAnsi="Arial" w:cs="Arial"/>
          <w:color w:val="000000"/>
        </w:rPr>
        <w:t xml:space="preserve">ard Rock ought to pay those costs. </w:t>
      </w:r>
      <w:r w:rsidR="0034449C" w:rsidRPr="00392DB9">
        <w:rPr>
          <w:rFonts w:ascii="Arial" w:hAnsi="Arial" w:cs="Arial"/>
          <w:color w:val="000000"/>
        </w:rPr>
        <w:t xml:space="preserve">The costs </w:t>
      </w:r>
      <w:r w:rsidR="006B0256">
        <w:rPr>
          <w:rFonts w:ascii="Arial" w:hAnsi="Arial" w:cs="Arial"/>
          <w:color w:val="000000"/>
        </w:rPr>
        <w:t xml:space="preserve">of the appeal itself </w:t>
      </w:r>
      <w:bookmarkStart w:id="9" w:name="LPHit1"/>
      <w:bookmarkEnd w:id="9"/>
      <w:r w:rsidR="0034449C" w:rsidRPr="00392DB9">
        <w:rPr>
          <w:rFonts w:ascii="Arial" w:hAnsi="Arial" w:cs="Arial"/>
          <w:color w:val="000000"/>
        </w:rPr>
        <w:t>including co</w:t>
      </w:r>
      <w:r>
        <w:rPr>
          <w:rFonts w:ascii="Arial" w:hAnsi="Arial" w:cs="Arial"/>
          <w:color w:val="000000"/>
        </w:rPr>
        <w:t>s</w:t>
      </w:r>
      <w:r w:rsidR="0034449C" w:rsidRPr="00392DB9">
        <w:rPr>
          <w:rFonts w:ascii="Arial" w:hAnsi="Arial" w:cs="Arial"/>
          <w:color w:val="000000"/>
        </w:rPr>
        <w:t xml:space="preserve">ts in respect of the application for leave to appeal </w:t>
      </w:r>
      <w:r w:rsidR="006A79F6" w:rsidRPr="00392DB9">
        <w:rPr>
          <w:rFonts w:ascii="Arial" w:hAnsi="Arial" w:cs="Arial"/>
          <w:color w:val="000000"/>
        </w:rPr>
        <w:t xml:space="preserve">present no difficulty and must follow the result. </w:t>
      </w:r>
    </w:p>
    <w:p w:rsidR="00EA2E83" w:rsidRDefault="008228EE" w:rsidP="00157FD2">
      <w:pPr>
        <w:tabs>
          <w:tab w:val="left" w:pos="567"/>
        </w:tabs>
        <w:spacing w:line="360" w:lineRule="auto"/>
        <w:ind w:left="562" w:hanging="562"/>
        <w:jc w:val="both"/>
        <w:rPr>
          <w:rFonts w:ascii="Arial" w:hAnsi="Arial" w:cs="Arial"/>
          <w:color w:val="000000"/>
        </w:rPr>
      </w:pPr>
      <w:r>
        <w:rPr>
          <w:rFonts w:ascii="Arial" w:hAnsi="Arial" w:cs="Arial"/>
          <w:color w:val="000000"/>
        </w:rPr>
        <w:t>[</w:t>
      </w:r>
      <w:r w:rsidR="000860F1">
        <w:rPr>
          <w:rFonts w:ascii="Arial" w:hAnsi="Arial" w:cs="Arial"/>
          <w:color w:val="000000"/>
        </w:rPr>
        <w:t>4</w:t>
      </w:r>
      <w:r w:rsidR="00DD73AB">
        <w:rPr>
          <w:rFonts w:ascii="Arial" w:hAnsi="Arial" w:cs="Arial"/>
          <w:color w:val="000000"/>
        </w:rPr>
        <w:t>9</w:t>
      </w:r>
      <w:r>
        <w:rPr>
          <w:rFonts w:ascii="Arial" w:hAnsi="Arial" w:cs="Arial"/>
          <w:color w:val="000000"/>
        </w:rPr>
        <w:t>]</w:t>
      </w:r>
      <w:r>
        <w:rPr>
          <w:rFonts w:ascii="Arial" w:hAnsi="Arial" w:cs="Arial"/>
          <w:color w:val="000000"/>
        </w:rPr>
        <w:tab/>
      </w:r>
      <w:r w:rsidR="0034449C" w:rsidRPr="007A2264">
        <w:rPr>
          <w:rFonts w:ascii="Arial" w:hAnsi="Arial" w:cs="Arial"/>
          <w:color w:val="000000"/>
        </w:rPr>
        <w:t xml:space="preserve">That leaves </w:t>
      </w:r>
      <w:r w:rsidR="006A79F6" w:rsidRPr="007A2264">
        <w:rPr>
          <w:rFonts w:ascii="Arial" w:hAnsi="Arial" w:cs="Arial"/>
          <w:color w:val="000000"/>
        </w:rPr>
        <w:t>costs in the court a quo</w:t>
      </w:r>
      <w:r w:rsidR="0034449C" w:rsidRPr="007A2264">
        <w:rPr>
          <w:rFonts w:ascii="Arial" w:hAnsi="Arial" w:cs="Arial"/>
          <w:color w:val="000000"/>
        </w:rPr>
        <w:t xml:space="preserve">. </w:t>
      </w:r>
      <w:r w:rsidR="00874D6D" w:rsidRPr="007A2264">
        <w:rPr>
          <w:rFonts w:ascii="Arial" w:hAnsi="Arial" w:cs="Arial"/>
          <w:color w:val="000000"/>
        </w:rPr>
        <w:t>An appeal court will not lightly interfere with the exercise of the </w:t>
      </w:r>
      <w:bookmarkStart w:id="10" w:name="LPHit6"/>
      <w:bookmarkEnd w:id="10"/>
      <w:r w:rsidR="00874D6D" w:rsidRPr="007A2264">
        <w:rPr>
          <w:rFonts w:ascii="Arial" w:hAnsi="Arial" w:cs="Arial"/>
          <w:color w:val="000000"/>
        </w:rPr>
        <w:t xml:space="preserve">discretion of a </w:t>
      </w:r>
      <w:r w:rsidR="00874D6D" w:rsidRPr="003153B3">
        <w:rPr>
          <w:rFonts w:ascii="Arial" w:hAnsi="Arial" w:cs="Arial"/>
          <w:color w:val="000000"/>
        </w:rPr>
        <w:t>court of first instance which granted </w:t>
      </w:r>
      <w:bookmarkStart w:id="11" w:name="LPHit7"/>
      <w:bookmarkEnd w:id="11"/>
      <w:r w:rsidR="00874D6D" w:rsidRPr="003153B3">
        <w:rPr>
          <w:rFonts w:ascii="Arial" w:hAnsi="Arial" w:cs="Arial"/>
          <w:color w:val="000000"/>
        </w:rPr>
        <w:t xml:space="preserve">costs, even </w:t>
      </w:r>
      <w:r w:rsidR="004A0B97" w:rsidRPr="003153B3">
        <w:rPr>
          <w:rFonts w:ascii="Arial" w:hAnsi="Arial" w:cs="Arial"/>
          <w:color w:val="000000"/>
        </w:rPr>
        <w:t xml:space="preserve">where </w:t>
      </w:r>
      <w:r w:rsidR="00874D6D" w:rsidRPr="003153B3">
        <w:rPr>
          <w:rFonts w:ascii="Arial" w:hAnsi="Arial" w:cs="Arial"/>
          <w:color w:val="000000"/>
        </w:rPr>
        <w:t>it is of the view that it would itself have made a different order. </w:t>
      </w:r>
      <w:bookmarkStart w:id="12" w:name="0-0-0-5981"/>
      <w:bookmarkEnd w:id="12"/>
      <w:r w:rsidR="00874D6D" w:rsidRPr="003153B3">
        <w:rPr>
          <w:rFonts w:ascii="Arial" w:hAnsi="Arial" w:cs="Arial"/>
          <w:color w:val="000000"/>
        </w:rPr>
        <w:t xml:space="preserve">It will only interfere </w:t>
      </w:r>
      <w:r w:rsidR="004A0B97" w:rsidRPr="003153B3">
        <w:rPr>
          <w:rFonts w:ascii="Arial" w:hAnsi="Arial" w:cs="Arial"/>
          <w:color w:val="000000"/>
        </w:rPr>
        <w:t xml:space="preserve">in the event of </w:t>
      </w:r>
      <w:r w:rsidR="00874D6D" w:rsidRPr="003153B3">
        <w:rPr>
          <w:rFonts w:ascii="Arial" w:hAnsi="Arial" w:cs="Arial"/>
          <w:color w:val="000000"/>
        </w:rPr>
        <w:t>a misdirection or irregularity, or if there was an absence of grounds on which a court, acting reasonably, could have made the order in question.</w:t>
      </w:r>
      <w:r w:rsidR="00874D6D" w:rsidRPr="003153B3">
        <w:rPr>
          <w:rStyle w:val="FootnoteReference"/>
          <w:rFonts w:ascii="Arial" w:hAnsi="Arial" w:cs="Arial"/>
          <w:color w:val="000000"/>
        </w:rPr>
        <w:footnoteReference w:id="19"/>
      </w:r>
      <w:r w:rsidR="003153B3">
        <w:rPr>
          <w:rFonts w:ascii="Arial" w:hAnsi="Arial" w:cs="Arial"/>
          <w:color w:val="000000"/>
        </w:rPr>
        <w:t xml:space="preserve"> </w:t>
      </w:r>
      <w:r w:rsidR="000B5F90" w:rsidRPr="007A2264">
        <w:rPr>
          <w:rFonts w:ascii="Arial" w:hAnsi="Arial" w:cs="Arial"/>
          <w:color w:val="000000"/>
        </w:rPr>
        <w:t>As</w:t>
      </w:r>
      <w:r w:rsidR="000B5F90">
        <w:rPr>
          <w:rFonts w:ascii="Arial" w:hAnsi="Arial" w:cs="Arial"/>
          <w:color w:val="000000"/>
        </w:rPr>
        <w:t xml:space="preserve"> already alluded to, t</w:t>
      </w:r>
      <w:r w:rsidR="000B5F90" w:rsidRPr="00392DB9">
        <w:rPr>
          <w:rFonts w:ascii="Arial" w:hAnsi="Arial" w:cs="Arial"/>
          <w:color w:val="000000"/>
        </w:rPr>
        <w:t xml:space="preserve">he declaratory relief was aborted </w:t>
      </w:r>
      <w:r w:rsidR="00473A67">
        <w:rPr>
          <w:rFonts w:ascii="Arial" w:hAnsi="Arial" w:cs="Arial"/>
          <w:color w:val="000000"/>
        </w:rPr>
        <w:t>o</w:t>
      </w:r>
      <w:r w:rsidR="000B5F90" w:rsidRPr="00392DB9">
        <w:rPr>
          <w:rFonts w:ascii="Arial" w:hAnsi="Arial" w:cs="Arial"/>
          <w:color w:val="000000"/>
        </w:rPr>
        <w:t>n the morning of the hearing of the application.</w:t>
      </w:r>
      <w:r w:rsidR="000B5F90">
        <w:rPr>
          <w:rFonts w:ascii="Arial" w:hAnsi="Arial" w:cs="Arial"/>
          <w:color w:val="000000"/>
        </w:rPr>
        <w:t xml:space="preserve"> </w:t>
      </w:r>
      <w:r w:rsidR="0034449C" w:rsidRPr="00392DB9">
        <w:rPr>
          <w:rFonts w:ascii="Arial" w:hAnsi="Arial" w:cs="Arial"/>
          <w:color w:val="000000"/>
        </w:rPr>
        <w:t>It was contended for Lore that it</w:t>
      </w:r>
      <w:r w:rsidR="000B5F90">
        <w:rPr>
          <w:rFonts w:ascii="Arial" w:hAnsi="Arial" w:cs="Arial"/>
          <w:color w:val="000000"/>
        </w:rPr>
        <w:t xml:space="preserve"> had,</w:t>
      </w:r>
      <w:r w:rsidR="0034449C" w:rsidRPr="00392DB9">
        <w:rPr>
          <w:rFonts w:ascii="Arial" w:hAnsi="Arial" w:cs="Arial"/>
          <w:color w:val="000000"/>
        </w:rPr>
        <w:t xml:space="preserve"> </w:t>
      </w:r>
      <w:r w:rsidR="000B5F90">
        <w:rPr>
          <w:rFonts w:ascii="Arial" w:hAnsi="Arial" w:cs="Arial"/>
          <w:color w:val="000000"/>
        </w:rPr>
        <w:t>like Dulostyle</w:t>
      </w:r>
      <w:r w:rsidR="00070780">
        <w:rPr>
          <w:rFonts w:ascii="Arial" w:hAnsi="Arial" w:cs="Arial"/>
          <w:color w:val="000000"/>
        </w:rPr>
        <w:t>,</w:t>
      </w:r>
      <w:r w:rsidR="000B5F90">
        <w:rPr>
          <w:rFonts w:ascii="Arial" w:hAnsi="Arial" w:cs="Arial"/>
          <w:color w:val="000000"/>
        </w:rPr>
        <w:t xml:space="preserve"> </w:t>
      </w:r>
      <w:r w:rsidR="0034449C" w:rsidRPr="00392DB9">
        <w:rPr>
          <w:rFonts w:ascii="Arial" w:hAnsi="Arial" w:cs="Arial"/>
          <w:color w:val="000000"/>
        </w:rPr>
        <w:t xml:space="preserve">opposed </w:t>
      </w:r>
      <w:r w:rsidR="005805D4" w:rsidRPr="00392DB9">
        <w:rPr>
          <w:rFonts w:ascii="Arial" w:hAnsi="Arial" w:cs="Arial"/>
          <w:color w:val="000000"/>
        </w:rPr>
        <w:t>the abandoned declarator</w:t>
      </w:r>
      <w:r w:rsidR="00A50307">
        <w:rPr>
          <w:rFonts w:ascii="Arial" w:hAnsi="Arial" w:cs="Arial"/>
          <w:color w:val="000000"/>
        </w:rPr>
        <w:t xml:space="preserve"> </w:t>
      </w:r>
      <w:r w:rsidR="005805D4" w:rsidRPr="00392DB9">
        <w:rPr>
          <w:rFonts w:ascii="Arial" w:hAnsi="Arial" w:cs="Arial"/>
          <w:color w:val="000000"/>
        </w:rPr>
        <w:t xml:space="preserve">but the court a quo </w:t>
      </w:r>
      <w:r w:rsidR="000B5F90">
        <w:rPr>
          <w:rFonts w:ascii="Arial" w:hAnsi="Arial" w:cs="Arial"/>
          <w:color w:val="000000"/>
        </w:rPr>
        <w:t>awarded costs in respect of that relief in favour of Dulostyle</w:t>
      </w:r>
      <w:r w:rsidR="00EA2E83">
        <w:rPr>
          <w:rFonts w:ascii="Arial" w:hAnsi="Arial" w:cs="Arial"/>
          <w:color w:val="000000"/>
        </w:rPr>
        <w:t xml:space="preserve"> excluding Lore</w:t>
      </w:r>
      <w:r w:rsidR="000B5F90">
        <w:rPr>
          <w:rFonts w:ascii="Arial" w:hAnsi="Arial" w:cs="Arial"/>
          <w:color w:val="000000"/>
        </w:rPr>
        <w:t>. The differentia</w:t>
      </w:r>
      <w:r w:rsidR="00070780">
        <w:rPr>
          <w:rFonts w:ascii="Arial" w:hAnsi="Arial" w:cs="Arial"/>
          <w:color w:val="000000"/>
        </w:rPr>
        <w:t>l treatment</w:t>
      </w:r>
      <w:r w:rsidR="000B5F90">
        <w:rPr>
          <w:rFonts w:ascii="Arial" w:hAnsi="Arial" w:cs="Arial"/>
          <w:color w:val="000000"/>
        </w:rPr>
        <w:t xml:space="preserve">, so it was argued, was unjustified. </w:t>
      </w:r>
    </w:p>
    <w:p w:rsidR="009701B8" w:rsidRDefault="00EA2E83" w:rsidP="009701B8">
      <w:pPr>
        <w:adjustRightInd w:val="0"/>
        <w:snapToGrid w:val="0"/>
        <w:spacing w:before="240" w:after="120" w:line="360" w:lineRule="auto"/>
        <w:ind w:left="540" w:hanging="540"/>
        <w:jc w:val="both"/>
        <w:rPr>
          <w:rFonts w:ascii="Arial" w:hAnsi="Arial" w:cs="Arial"/>
          <w:color w:val="000000" w:themeColor="text1"/>
          <w:lang w:val="en-GB"/>
        </w:rPr>
      </w:pPr>
      <w:r>
        <w:rPr>
          <w:rFonts w:ascii="Arial" w:hAnsi="Arial" w:cs="Arial"/>
          <w:color w:val="000000"/>
        </w:rPr>
        <w:t>[</w:t>
      </w:r>
      <w:r w:rsidR="00DD73AB">
        <w:rPr>
          <w:rFonts w:ascii="Arial" w:hAnsi="Arial" w:cs="Arial"/>
          <w:color w:val="000000"/>
        </w:rPr>
        <w:t>50</w:t>
      </w:r>
      <w:r>
        <w:rPr>
          <w:rFonts w:ascii="Arial" w:hAnsi="Arial" w:cs="Arial"/>
          <w:color w:val="000000"/>
        </w:rPr>
        <w:t>]</w:t>
      </w:r>
      <w:r>
        <w:rPr>
          <w:rFonts w:ascii="Arial" w:hAnsi="Arial" w:cs="Arial"/>
          <w:color w:val="000000"/>
        </w:rPr>
        <w:tab/>
      </w:r>
      <w:r w:rsidR="00114102">
        <w:rPr>
          <w:rFonts w:ascii="Arial" w:hAnsi="Arial" w:cs="Arial"/>
          <w:color w:val="000000"/>
        </w:rPr>
        <w:t>In its main judgment t</w:t>
      </w:r>
      <w:r w:rsidR="00D2261D" w:rsidRPr="00392DB9">
        <w:rPr>
          <w:rFonts w:ascii="Arial" w:hAnsi="Arial" w:cs="Arial"/>
          <w:color w:val="000000"/>
        </w:rPr>
        <w:t xml:space="preserve">here </w:t>
      </w:r>
      <w:r w:rsidR="00D2261D">
        <w:rPr>
          <w:rFonts w:ascii="Arial" w:hAnsi="Arial" w:cs="Arial"/>
          <w:color w:val="000000"/>
        </w:rPr>
        <w:t xml:space="preserve">is </w:t>
      </w:r>
      <w:r w:rsidR="00ED1161">
        <w:rPr>
          <w:rFonts w:ascii="Arial" w:hAnsi="Arial" w:cs="Arial"/>
          <w:color w:val="000000"/>
        </w:rPr>
        <w:t xml:space="preserve">a </w:t>
      </w:r>
      <w:r w:rsidR="00D2261D">
        <w:rPr>
          <w:rFonts w:ascii="Arial" w:hAnsi="Arial" w:cs="Arial"/>
          <w:color w:val="000000"/>
        </w:rPr>
        <w:t xml:space="preserve">dearth </w:t>
      </w:r>
      <w:r w:rsidR="002D50F9">
        <w:rPr>
          <w:rFonts w:ascii="Arial" w:hAnsi="Arial" w:cs="Arial"/>
          <w:color w:val="000000"/>
        </w:rPr>
        <w:t xml:space="preserve">of </w:t>
      </w:r>
      <w:r w:rsidR="00D2261D">
        <w:rPr>
          <w:rFonts w:ascii="Arial" w:hAnsi="Arial" w:cs="Arial"/>
          <w:color w:val="000000"/>
        </w:rPr>
        <w:t xml:space="preserve">reasoning by the court a quo </w:t>
      </w:r>
      <w:r w:rsidR="00D2261D" w:rsidRPr="00392DB9">
        <w:rPr>
          <w:rFonts w:ascii="Arial" w:hAnsi="Arial" w:cs="Arial"/>
          <w:color w:val="000000"/>
        </w:rPr>
        <w:t xml:space="preserve">why </w:t>
      </w:r>
      <w:r w:rsidR="00D2261D" w:rsidRPr="00114102">
        <w:rPr>
          <w:rFonts w:ascii="Arial" w:hAnsi="Arial" w:cs="Arial"/>
          <w:color w:val="000000"/>
        </w:rPr>
        <w:t xml:space="preserve">Lore was deprived of its costs. </w:t>
      </w:r>
      <w:r w:rsidR="00F52DB6">
        <w:rPr>
          <w:rFonts w:ascii="Arial" w:hAnsi="Arial" w:cs="Arial"/>
          <w:color w:val="000000"/>
        </w:rPr>
        <w:t>However, i</w:t>
      </w:r>
      <w:r w:rsidR="00114102" w:rsidRPr="00114102">
        <w:rPr>
          <w:rFonts w:ascii="Arial" w:hAnsi="Arial" w:cs="Arial"/>
          <w:color w:val="000000"/>
        </w:rPr>
        <w:t>n the leave-to-appeal judgment</w:t>
      </w:r>
      <w:r w:rsidR="00ED1161">
        <w:rPr>
          <w:rFonts w:ascii="Arial" w:hAnsi="Arial" w:cs="Arial"/>
          <w:color w:val="000000"/>
        </w:rPr>
        <w:t>,</w:t>
      </w:r>
      <w:r w:rsidR="00114102" w:rsidRPr="00114102">
        <w:rPr>
          <w:rFonts w:ascii="Arial" w:hAnsi="Arial" w:cs="Arial"/>
          <w:color w:val="000000"/>
        </w:rPr>
        <w:t xml:space="preserve"> the court a quo</w:t>
      </w:r>
      <w:r w:rsidR="00F52DB6">
        <w:rPr>
          <w:rFonts w:ascii="Arial" w:hAnsi="Arial" w:cs="Arial"/>
          <w:color w:val="000000"/>
        </w:rPr>
        <w:t xml:space="preserve"> took issue</w:t>
      </w:r>
      <w:r w:rsidR="00A04BE7">
        <w:rPr>
          <w:rFonts w:ascii="Arial" w:hAnsi="Arial" w:cs="Arial"/>
          <w:color w:val="000000"/>
        </w:rPr>
        <w:t>, in the main,</w:t>
      </w:r>
      <w:r w:rsidR="00F52DB6">
        <w:rPr>
          <w:rFonts w:ascii="Arial" w:hAnsi="Arial" w:cs="Arial"/>
          <w:color w:val="000000"/>
        </w:rPr>
        <w:t xml:space="preserve"> that Lore made common cause with QCK</w:t>
      </w:r>
      <w:r w:rsidR="008D1FFD">
        <w:rPr>
          <w:rFonts w:ascii="Arial" w:hAnsi="Arial" w:cs="Arial"/>
          <w:color w:val="000000"/>
        </w:rPr>
        <w:t xml:space="preserve"> and Dulostyle in opposing the whole application. The reasoning is unpersuasive and certainly does not explain why Lore had to be deprived of its costs. L</w:t>
      </w:r>
      <w:r w:rsidR="00A95276">
        <w:rPr>
          <w:rFonts w:ascii="Arial" w:hAnsi="Arial" w:cs="Arial"/>
          <w:color w:val="000000"/>
        </w:rPr>
        <w:t>ore</w:t>
      </w:r>
      <w:r w:rsidR="00070780">
        <w:rPr>
          <w:rFonts w:ascii="Arial" w:hAnsi="Arial" w:cs="Arial"/>
          <w:color w:val="000000"/>
        </w:rPr>
        <w:t>,</w:t>
      </w:r>
      <w:r w:rsidR="000B5F90" w:rsidRPr="000B5F90">
        <w:rPr>
          <w:rFonts w:ascii="Arial" w:hAnsi="Arial" w:cs="Arial"/>
          <w:color w:val="000000"/>
        </w:rPr>
        <w:t xml:space="preserve"> </w:t>
      </w:r>
      <w:r w:rsidR="000B5F90">
        <w:rPr>
          <w:rFonts w:ascii="Arial" w:hAnsi="Arial" w:cs="Arial"/>
          <w:color w:val="000000"/>
        </w:rPr>
        <w:t>like Dulostyle</w:t>
      </w:r>
      <w:r w:rsidR="00E00197">
        <w:rPr>
          <w:rFonts w:ascii="Arial" w:hAnsi="Arial" w:cs="Arial"/>
          <w:color w:val="000000"/>
        </w:rPr>
        <w:t xml:space="preserve">, having </w:t>
      </w:r>
      <w:r w:rsidR="00A95276">
        <w:rPr>
          <w:rFonts w:ascii="Arial" w:hAnsi="Arial" w:cs="Arial"/>
          <w:color w:val="000000"/>
        </w:rPr>
        <w:t>opposed the application</w:t>
      </w:r>
      <w:r w:rsidR="00BA4482">
        <w:rPr>
          <w:rFonts w:ascii="Arial" w:hAnsi="Arial" w:cs="Arial"/>
          <w:color w:val="000000"/>
        </w:rPr>
        <w:t>,</w:t>
      </w:r>
      <w:r w:rsidR="00A95276">
        <w:rPr>
          <w:rFonts w:ascii="Arial" w:hAnsi="Arial" w:cs="Arial"/>
          <w:color w:val="000000"/>
        </w:rPr>
        <w:t xml:space="preserve"> </w:t>
      </w:r>
      <w:r w:rsidR="00BA4482">
        <w:rPr>
          <w:rFonts w:ascii="Arial" w:hAnsi="Arial" w:cs="Arial"/>
          <w:color w:val="000000"/>
        </w:rPr>
        <w:t xml:space="preserve">and in particular </w:t>
      </w:r>
      <w:r w:rsidR="00A95276">
        <w:rPr>
          <w:rFonts w:ascii="Arial" w:hAnsi="Arial" w:cs="Arial"/>
          <w:color w:val="000000"/>
        </w:rPr>
        <w:t>the aborted relief</w:t>
      </w:r>
      <w:r w:rsidR="00BA4482">
        <w:rPr>
          <w:rFonts w:ascii="Arial" w:hAnsi="Arial" w:cs="Arial"/>
          <w:color w:val="000000"/>
        </w:rPr>
        <w:t>,</w:t>
      </w:r>
      <w:r w:rsidR="00A95276">
        <w:rPr>
          <w:rFonts w:ascii="Arial" w:hAnsi="Arial" w:cs="Arial"/>
          <w:color w:val="000000"/>
        </w:rPr>
        <w:t xml:space="preserve"> </w:t>
      </w:r>
      <w:r w:rsidR="003E1578">
        <w:rPr>
          <w:rFonts w:ascii="Arial" w:hAnsi="Arial" w:cs="Arial"/>
          <w:color w:val="000000"/>
        </w:rPr>
        <w:lastRenderedPageBreak/>
        <w:t xml:space="preserve">was entitled </w:t>
      </w:r>
      <w:r w:rsidR="00070780">
        <w:rPr>
          <w:rFonts w:ascii="Arial" w:hAnsi="Arial" w:cs="Arial"/>
          <w:color w:val="000000"/>
        </w:rPr>
        <w:t>to its costs</w:t>
      </w:r>
      <w:r w:rsidR="007F24AB">
        <w:rPr>
          <w:rFonts w:ascii="Arial" w:hAnsi="Arial" w:cs="Arial"/>
          <w:color w:val="000000"/>
        </w:rPr>
        <w:t xml:space="preserve"> in terms of</w:t>
      </w:r>
      <w:r w:rsidR="00BA4482">
        <w:rPr>
          <w:rFonts w:ascii="Arial" w:hAnsi="Arial" w:cs="Arial"/>
          <w:color w:val="000000"/>
        </w:rPr>
        <w:t xml:space="preserve"> the normal rule</w:t>
      </w:r>
      <w:r w:rsidR="00BA4482" w:rsidRPr="00BA4482">
        <w:rPr>
          <w:rFonts w:ascii="Arial" w:hAnsi="Arial" w:cs="Arial"/>
          <w:color w:val="000000"/>
        </w:rPr>
        <w:t xml:space="preserve"> </w:t>
      </w:r>
      <w:r w:rsidR="00BA4482">
        <w:rPr>
          <w:rFonts w:ascii="Arial" w:hAnsi="Arial" w:cs="Arial"/>
          <w:color w:val="000000"/>
        </w:rPr>
        <w:t>which is to the effect that when relief is abandoned a party so abandoning should pay the costs of the other party</w:t>
      </w:r>
      <w:r w:rsidR="007F24AB">
        <w:rPr>
          <w:rFonts w:ascii="Arial" w:hAnsi="Arial" w:cs="Arial"/>
          <w:color w:val="000000"/>
        </w:rPr>
        <w:t xml:space="preserve">. </w:t>
      </w:r>
      <w:r w:rsidR="006F3FDD">
        <w:rPr>
          <w:rFonts w:ascii="Arial" w:hAnsi="Arial" w:cs="Arial"/>
          <w:color w:val="000000"/>
        </w:rPr>
        <w:t>However, I am not swayed that such costs should be on a punitive scale</w:t>
      </w:r>
      <w:r w:rsidR="00473A67">
        <w:rPr>
          <w:rFonts w:ascii="Arial" w:hAnsi="Arial" w:cs="Arial"/>
          <w:color w:val="000000"/>
        </w:rPr>
        <w:t xml:space="preserve"> as contended </w:t>
      </w:r>
      <w:r w:rsidR="004A0B97">
        <w:rPr>
          <w:rFonts w:ascii="Arial" w:hAnsi="Arial" w:cs="Arial"/>
          <w:color w:val="000000"/>
        </w:rPr>
        <w:t xml:space="preserve">for </w:t>
      </w:r>
      <w:r w:rsidR="00473A67">
        <w:rPr>
          <w:rFonts w:ascii="Arial" w:hAnsi="Arial" w:cs="Arial"/>
          <w:color w:val="000000"/>
        </w:rPr>
        <w:t>by QCK and Lore</w:t>
      </w:r>
      <w:r w:rsidR="006F3FDD">
        <w:rPr>
          <w:rFonts w:ascii="Arial" w:hAnsi="Arial" w:cs="Arial"/>
          <w:color w:val="000000"/>
        </w:rPr>
        <w:t xml:space="preserve">. </w:t>
      </w:r>
      <w:r w:rsidR="00C74895" w:rsidRPr="00D2261D">
        <w:rPr>
          <w:rFonts w:ascii="Arial" w:hAnsi="Arial" w:cs="Arial"/>
          <w:color w:val="000000"/>
        </w:rPr>
        <w:t>Insofar</w:t>
      </w:r>
      <w:r w:rsidR="00C74895">
        <w:rPr>
          <w:rFonts w:ascii="Arial" w:hAnsi="Arial" w:cs="Arial"/>
          <w:color w:val="000000"/>
        </w:rPr>
        <w:t xml:space="preserve"> as the court a quo made no costs order </w:t>
      </w:r>
      <w:r w:rsidR="00473A67">
        <w:rPr>
          <w:rFonts w:ascii="Arial" w:hAnsi="Arial" w:cs="Arial"/>
          <w:color w:val="000000"/>
        </w:rPr>
        <w:t xml:space="preserve">for the benefit </w:t>
      </w:r>
      <w:r w:rsidR="00C74895">
        <w:rPr>
          <w:rFonts w:ascii="Arial" w:hAnsi="Arial" w:cs="Arial"/>
          <w:color w:val="000000"/>
        </w:rPr>
        <w:t>of Lore</w:t>
      </w:r>
      <w:r>
        <w:rPr>
          <w:rFonts w:ascii="Arial" w:hAnsi="Arial" w:cs="Arial"/>
          <w:color w:val="000000"/>
        </w:rPr>
        <w:t>,</w:t>
      </w:r>
      <w:r w:rsidR="00C74895">
        <w:rPr>
          <w:rFonts w:ascii="Arial" w:hAnsi="Arial" w:cs="Arial"/>
          <w:color w:val="000000"/>
        </w:rPr>
        <w:t xml:space="preserve"> </w:t>
      </w:r>
      <w:r w:rsidR="00473A67">
        <w:rPr>
          <w:rFonts w:ascii="Arial" w:hAnsi="Arial" w:cs="Arial"/>
          <w:color w:val="000000"/>
        </w:rPr>
        <w:t xml:space="preserve">in respect of </w:t>
      </w:r>
      <w:r w:rsidR="00C74895">
        <w:rPr>
          <w:rFonts w:ascii="Arial" w:hAnsi="Arial" w:cs="Arial"/>
          <w:color w:val="000000"/>
        </w:rPr>
        <w:t>th</w:t>
      </w:r>
      <w:r w:rsidR="00070780">
        <w:rPr>
          <w:rFonts w:ascii="Arial" w:hAnsi="Arial" w:cs="Arial"/>
          <w:color w:val="000000"/>
        </w:rPr>
        <w:t>e abandoned declarator</w:t>
      </w:r>
      <w:r>
        <w:rPr>
          <w:rFonts w:ascii="Arial" w:hAnsi="Arial" w:cs="Arial"/>
          <w:color w:val="000000"/>
        </w:rPr>
        <w:t>,</w:t>
      </w:r>
      <w:r w:rsidR="00070780">
        <w:rPr>
          <w:rFonts w:ascii="Arial" w:hAnsi="Arial" w:cs="Arial"/>
          <w:color w:val="000000"/>
        </w:rPr>
        <w:t xml:space="preserve"> </w:t>
      </w:r>
      <w:r w:rsidR="00C74895">
        <w:rPr>
          <w:rFonts w:ascii="Arial" w:hAnsi="Arial" w:cs="Arial"/>
          <w:color w:val="000000"/>
        </w:rPr>
        <w:t xml:space="preserve">it </w:t>
      </w:r>
      <w:r>
        <w:rPr>
          <w:rFonts w:ascii="Arial" w:hAnsi="Arial" w:cs="Arial"/>
          <w:color w:val="000000"/>
        </w:rPr>
        <w:t xml:space="preserve">did not </w:t>
      </w:r>
      <w:r w:rsidR="00864F7F">
        <w:rPr>
          <w:rFonts w:ascii="Arial" w:hAnsi="Arial" w:cs="Arial"/>
          <w:color w:val="000000"/>
        </w:rPr>
        <w:t>exercise</w:t>
      </w:r>
      <w:r>
        <w:rPr>
          <w:rFonts w:ascii="Arial" w:hAnsi="Arial" w:cs="Arial"/>
          <w:color w:val="000000"/>
        </w:rPr>
        <w:t xml:space="preserve"> its </w:t>
      </w:r>
      <w:r w:rsidR="007F24AB">
        <w:rPr>
          <w:rFonts w:ascii="Arial" w:hAnsi="Arial" w:cs="Arial"/>
          <w:color w:val="000000"/>
        </w:rPr>
        <w:t xml:space="preserve">judicial </w:t>
      </w:r>
      <w:r>
        <w:rPr>
          <w:rFonts w:ascii="Arial" w:hAnsi="Arial" w:cs="Arial"/>
          <w:color w:val="000000"/>
        </w:rPr>
        <w:t xml:space="preserve">discretion properly </w:t>
      </w:r>
      <w:r w:rsidR="00864F7F">
        <w:rPr>
          <w:rFonts w:ascii="Arial" w:hAnsi="Arial" w:cs="Arial"/>
          <w:color w:val="000000"/>
        </w:rPr>
        <w:t xml:space="preserve">which </w:t>
      </w:r>
      <w:r w:rsidR="00B44ED0">
        <w:rPr>
          <w:rFonts w:ascii="Arial" w:hAnsi="Arial" w:cs="Arial"/>
          <w:color w:val="000000"/>
        </w:rPr>
        <w:t>merits our intervention</w:t>
      </w:r>
      <w:r w:rsidR="00C74895">
        <w:rPr>
          <w:rFonts w:ascii="Arial" w:hAnsi="Arial" w:cs="Arial"/>
          <w:color w:val="000000"/>
        </w:rPr>
        <w:t xml:space="preserve">. </w:t>
      </w:r>
      <w:r w:rsidR="009701B8">
        <w:rPr>
          <w:rFonts w:ascii="Arial" w:hAnsi="Arial" w:cs="Arial"/>
          <w:color w:val="000000" w:themeColor="text1"/>
          <w:lang w:val="en-GB"/>
        </w:rPr>
        <w:t xml:space="preserve">Insofar as I have determined that the application to strike out ought to have succeeded in part, I am of the view, </w:t>
      </w:r>
      <w:r w:rsidR="00ED1161">
        <w:rPr>
          <w:rFonts w:ascii="Arial" w:hAnsi="Arial" w:cs="Arial"/>
          <w:color w:val="000000" w:themeColor="text1"/>
          <w:lang w:val="en-GB"/>
        </w:rPr>
        <w:t xml:space="preserve">that </w:t>
      </w:r>
      <w:r w:rsidR="009701B8" w:rsidRPr="00FD20E5">
        <w:rPr>
          <w:rFonts w:ascii="Arial" w:hAnsi="Arial" w:cs="Arial"/>
          <w:color w:val="000000" w:themeColor="text1"/>
          <w:lang w:val="en-GB"/>
        </w:rPr>
        <w:t xml:space="preserve">each party </w:t>
      </w:r>
      <w:r w:rsidR="009701B8">
        <w:rPr>
          <w:rFonts w:ascii="Arial" w:hAnsi="Arial" w:cs="Arial"/>
          <w:color w:val="000000" w:themeColor="text1"/>
          <w:lang w:val="en-GB"/>
        </w:rPr>
        <w:t xml:space="preserve">should </w:t>
      </w:r>
      <w:r w:rsidR="009701B8" w:rsidRPr="00FD20E5">
        <w:rPr>
          <w:rFonts w:ascii="Arial" w:hAnsi="Arial" w:cs="Arial"/>
          <w:color w:val="000000" w:themeColor="text1"/>
          <w:lang w:val="en-GB"/>
        </w:rPr>
        <w:t>bear its own costs.</w:t>
      </w:r>
      <w:r w:rsidR="004A0B97" w:rsidRPr="004A0B97">
        <w:rPr>
          <w:rFonts w:ascii="Arial" w:hAnsi="Arial" w:cs="Arial"/>
          <w:color w:val="000000"/>
        </w:rPr>
        <w:t xml:space="preserve"> </w:t>
      </w:r>
      <w:r w:rsidR="004A0B97" w:rsidRPr="00392DB9">
        <w:rPr>
          <w:rFonts w:ascii="Arial" w:hAnsi="Arial" w:cs="Arial"/>
          <w:color w:val="000000"/>
        </w:rPr>
        <w:t xml:space="preserve">In the result, </w:t>
      </w:r>
      <w:r w:rsidR="004A0B97">
        <w:rPr>
          <w:rFonts w:ascii="Arial" w:hAnsi="Arial" w:cs="Arial"/>
          <w:color w:val="000000"/>
        </w:rPr>
        <w:t xml:space="preserve">the </w:t>
      </w:r>
      <w:r w:rsidR="004A0B97" w:rsidRPr="00392DB9">
        <w:rPr>
          <w:rFonts w:ascii="Arial" w:hAnsi="Arial" w:cs="Arial"/>
          <w:color w:val="000000"/>
        </w:rPr>
        <w:t>following order</w:t>
      </w:r>
      <w:r w:rsidR="004A0B97">
        <w:rPr>
          <w:rFonts w:ascii="Arial" w:hAnsi="Arial" w:cs="Arial"/>
          <w:color w:val="000000"/>
        </w:rPr>
        <w:t xml:space="preserve"> is made</w:t>
      </w:r>
      <w:r w:rsidR="004A0B97" w:rsidRPr="00392DB9">
        <w:rPr>
          <w:rFonts w:ascii="Arial" w:hAnsi="Arial" w:cs="Arial"/>
          <w:color w:val="000000"/>
        </w:rPr>
        <w:t>.</w:t>
      </w:r>
    </w:p>
    <w:p w:rsidR="000A574E" w:rsidRPr="00E81A79" w:rsidRDefault="000A574E" w:rsidP="003875FA">
      <w:pPr>
        <w:tabs>
          <w:tab w:val="left" w:pos="567"/>
        </w:tabs>
        <w:spacing w:line="360" w:lineRule="auto"/>
        <w:ind w:left="562" w:hanging="562"/>
        <w:jc w:val="both"/>
        <w:rPr>
          <w:rFonts w:ascii="Arial" w:hAnsi="Arial" w:cs="Arial"/>
          <w:b/>
          <w:color w:val="000000"/>
        </w:rPr>
      </w:pPr>
      <w:r w:rsidRPr="00E81A79">
        <w:rPr>
          <w:rFonts w:ascii="Arial" w:hAnsi="Arial" w:cs="Arial"/>
          <w:b/>
          <w:color w:val="000000"/>
        </w:rPr>
        <w:t>Order:</w:t>
      </w:r>
    </w:p>
    <w:p w:rsidR="000A574E" w:rsidRPr="0052478A" w:rsidRDefault="0052478A" w:rsidP="0052478A">
      <w:pPr>
        <w:tabs>
          <w:tab w:val="left" w:pos="567"/>
        </w:tabs>
        <w:spacing w:line="360" w:lineRule="auto"/>
        <w:ind w:left="1080" w:hanging="360"/>
        <w:jc w:val="both"/>
        <w:rPr>
          <w:rFonts w:ascii="Arial" w:hAnsi="Arial" w:cs="Arial"/>
        </w:rPr>
      </w:pPr>
      <w:r>
        <w:rPr>
          <w:rFonts w:ascii="Arial" w:eastAsiaTheme="minorHAnsi" w:hAnsi="Arial" w:cs="Arial"/>
          <w:color w:val="000000"/>
          <w:lang w:eastAsia="en-US"/>
        </w:rPr>
        <w:t>1.</w:t>
      </w:r>
      <w:r>
        <w:rPr>
          <w:rFonts w:ascii="Arial" w:eastAsiaTheme="minorHAnsi" w:hAnsi="Arial" w:cs="Arial"/>
          <w:color w:val="000000"/>
          <w:lang w:eastAsia="en-US"/>
        </w:rPr>
        <w:tab/>
      </w:r>
      <w:r w:rsidR="00493F9A" w:rsidRPr="0052478A">
        <w:rPr>
          <w:rFonts w:ascii="Arial" w:hAnsi="Arial" w:cs="Arial"/>
        </w:rPr>
        <w:t>The application for condonation and reinstatement of the appeal is granted</w:t>
      </w:r>
      <w:r w:rsidR="008B5BE0" w:rsidRPr="0052478A">
        <w:rPr>
          <w:rFonts w:ascii="Arial" w:hAnsi="Arial" w:cs="Arial"/>
        </w:rPr>
        <w:t xml:space="preserve"> with costs</w:t>
      </w:r>
      <w:r w:rsidR="00493F9A" w:rsidRPr="0052478A">
        <w:rPr>
          <w:rFonts w:ascii="Arial" w:hAnsi="Arial" w:cs="Arial"/>
        </w:rPr>
        <w:t>;</w:t>
      </w:r>
    </w:p>
    <w:p w:rsidR="00C40D46" w:rsidRDefault="00C40D46" w:rsidP="00C40D46">
      <w:pPr>
        <w:pStyle w:val="ListParagraph"/>
        <w:tabs>
          <w:tab w:val="left" w:pos="567"/>
        </w:tabs>
        <w:spacing w:line="360" w:lineRule="auto"/>
        <w:ind w:left="1080"/>
        <w:jc w:val="both"/>
        <w:rPr>
          <w:rFonts w:ascii="Arial" w:hAnsi="Arial" w:cs="Arial"/>
          <w:sz w:val="24"/>
          <w:szCs w:val="24"/>
        </w:rPr>
      </w:pPr>
    </w:p>
    <w:p w:rsidR="00493F9A" w:rsidRPr="0052478A" w:rsidRDefault="0052478A" w:rsidP="0052478A">
      <w:pPr>
        <w:tabs>
          <w:tab w:val="left" w:pos="567"/>
        </w:tabs>
        <w:spacing w:line="360" w:lineRule="auto"/>
        <w:ind w:left="1080" w:hanging="360"/>
        <w:jc w:val="both"/>
        <w:rPr>
          <w:rFonts w:ascii="Arial" w:hAnsi="Arial" w:cs="Arial"/>
        </w:rPr>
      </w:pPr>
      <w:r w:rsidRPr="00E81A79">
        <w:rPr>
          <w:rFonts w:ascii="Arial" w:eastAsiaTheme="minorHAnsi" w:hAnsi="Arial" w:cs="Arial"/>
          <w:color w:val="000000"/>
          <w:lang w:eastAsia="en-US"/>
        </w:rPr>
        <w:t>2.</w:t>
      </w:r>
      <w:r w:rsidRPr="00E81A79">
        <w:rPr>
          <w:rFonts w:ascii="Arial" w:eastAsiaTheme="minorHAnsi" w:hAnsi="Arial" w:cs="Arial"/>
          <w:color w:val="000000"/>
          <w:lang w:eastAsia="en-US"/>
        </w:rPr>
        <w:tab/>
      </w:r>
      <w:r w:rsidR="00493F9A" w:rsidRPr="0052478A">
        <w:rPr>
          <w:rFonts w:ascii="Arial" w:hAnsi="Arial" w:cs="Arial"/>
        </w:rPr>
        <w:t>The appeal is u</w:t>
      </w:r>
      <w:r w:rsidR="007179B2" w:rsidRPr="0052478A">
        <w:rPr>
          <w:rFonts w:ascii="Arial" w:hAnsi="Arial" w:cs="Arial"/>
        </w:rPr>
        <w:t>p</w:t>
      </w:r>
      <w:r w:rsidR="00493F9A" w:rsidRPr="0052478A">
        <w:rPr>
          <w:rFonts w:ascii="Arial" w:hAnsi="Arial" w:cs="Arial"/>
        </w:rPr>
        <w:t>held with costs</w:t>
      </w:r>
      <w:r w:rsidR="00FA6EA3" w:rsidRPr="0052478A">
        <w:rPr>
          <w:rFonts w:ascii="Arial" w:hAnsi="Arial" w:cs="Arial"/>
        </w:rPr>
        <w:t xml:space="preserve"> including costs of the application for leave to appeal</w:t>
      </w:r>
      <w:r w:rsidR="008F7E20" w:rsidRPr="0052478A">
        <w:rPr>
          <w:rFonts w:ascii="Arial" w:hAnsi="Arial" w:cs="Arial"/>
        </w:rPr>
        <w:t xml:space="preserve"> and costs</w:t>
      </w:r>
      <w:r w:rsidR="00BE0785" w:rsidRPr="0052478A">
        <w:rPr>
          <w:rFonts w:ascii="Arial" w:hAnsi="Arial" w:cs="Arial"/>
        </w:rPr>
        <w:t xml:space="preserve"> consequent upon the employment</w:t>
      </w:r>
      <w:r w:rsidR="008F7E20" w:rsidRPr="0052478A">
        <w:rPr>
          <w:rFonts w:ascii="Arial" w:hAnsi="Arial" w:cs="Arial"/>
        </w:rPr>
        <w:t xml:space="preserve"> of senior counsel where so employed</w:t>
      </w:r>
      <w:r w:rsidR="007179B2" w:rsidRPr="0052478A">
        <w:rPr>
          <w:rFonts w:ascii="Arial" w:hAnsi="Arial" w:cs="Arial"/>
        </w:rPr>
        <w:t>;</w:t>
      </w:r>
    </w:p>
    <w:p w:rsidR="007179B2" w:rsidRPr="00E81A79" w:rsidRDefault="007179B2" w:rsidP="007179B2">
      <w:pPr>
        <w:pStyle w:val="ListParagraph"/>
        <w:rPr>
          <w:rFonts w:ascii="Arial" w:hAnsi="Arial" w:cs="Arial"/>
          <w:sz w:val="24"/>
          <w:szCs w:val="24"/>
        </w:rPr>
      </w:pPr>
    </w:p>
    <w:p w:rsidR="003F2FAE" w:rsidRPr="0052478A" w:rsidRDefault="0052478A" w:rsidP="0052478A">
      <w:pPr>
        <w:tabs>
          <w:tab w:val="left" w:pos="567"/>
        </w:tabs>
        <w:spacing w:line="360" w:lineRule="auto"/>
        <w:ind w:left="1080" w:hanging="360"/>
        <w:jc w:val="both"/>
        <w:rPr>
          <w:rFonts w:ascii="Arial" w:hAnsi="Arial" w:cs="Arial"/>
        </w:rPr>
      </w:pPr>
      <w:r>
        <w:rPr>
          <w:rFonts w:ascii="Arial" w:eastAsiaTheme="minorHAnsi" w:hAnsi="Arial" w:cs="Arial"/>
          <w:color w:val="000000"/>
          <w:lang w:eastAsia="en-US"/>
        </w:rPr>
        <w:t>3.</w:t>
      </w:r>
      <w:r>
        <w:rPr>
          <w:rFonts w:ascii="Arial" w:eastAsiaTheme="minorHAnsi" w:hAnsi="Arial" w:cs="Arial"/>
          <w:color w:val="000000"/>
          <w:lang w:eastAsia="en-US"/>
        </w:rPr>
        <w:tab/>
      </w:r>
      <w:r w:rsidR="00493F9A" w:rsidRPr="0052478A">
        <w:rPr>
          <w:rFonts w:ascii="Arial" w:hAnsi="Arial" w:cs="Arial"/>
        </w:rPr>
        <w:t xml:space="preserve">The </w:t>
      </w:r>
      <w:r w:rsidR="003F2FAE" w:rsidRPr="0052478A">
        <w:rPr>
          <w:rFonts w:ascii="Arial" w:hAnsi="Arial" w:cs="Arial"/>
        </w:rPr>
        <w:t>order of the court a quo is set aside and in its place is substituted the following:</w:t>
      </w:r>
    </w:p>
    <w:p w:rsidR="003F2FAE" w:rsidRPr="003F2FAE" w:rsidRDefault="003F2FAE" w:rsidP="003F2FAE">
      <w:pPr>
        <w:pStyle w:val="ListParagraph"/>
        <w:rPr>
          <w:rFonts w:ascii="Arial" w:hAnsi="Arial" w:cs="Arial"/>
          <w:sz w:val="24"/>
          <w:szCs w:val="24"/>
        </w:rPr>
      </w:pPr>
    </w:p>
    <w:p w:rsidR="003F2FAE" w:rsidRPr="00D65A36" w:rsidRDefault="003F2FAE" w:rsidP="00564E03">
      <w:pPr>
        <w:pStyle w:val="ListParagraph"/>
        <w:tabs>
          <w:tab w:val="left" w:pos="567"/>
        </w:tabs>
        <w:spacing w:line="360" w:lineRule="auto"/>
        <w:ind w:left="1080"/>
        <w:jc w:val="both"/>
        <w:rPr>
          <w:rFonts w:ascii="Arial" w:hAnsi="Arial" w:cs="Arial"/>
        </w:rPr>
      </w:pPr>
      <w:r w:rsidRPr="00D65A36">
        <w:rPr>
          <w:rFonts w:ascii="Arial" w:hAnsi="Arial" w:cs="Arial"/>
        </w:rPr>
        <w:t>‘1.</w:t>
      </w:r>
      <w:r w:rsidRPr="00D65A36">
        <w:rPr>
          <w:rFonts w:ascii="Arial" w:hAnsi="Arial" w:cs="Arial"/>
        </w:rPr>
        <w:tab/>
      </w:r>
      <w:r w:rsidR="00197B4E">
        <w:rPr>
          <w:rFonts w:ascii="Arial" w:hAnsi="Arial" w:cs="Arial"/>
        </w:rPr>
        <w:t>The application is dismissed with costs including costs consequent upon the employment of senior counsel</w:t>
      </w:r>
      <w:r w:rsidR="00263F54">
        <w:rPr>
          <w:rFonts w:ascii="Arial" w:hAnsi="Arial" w:cs="Arial"/>
        </w:rPr>
        <w:t>, where so employed</w:t>
      </w:r>
      <w:r w:rsidR="00197B4E">
        <w:rPr>
          <w:rFonts w:ascii="Arial" w:hAnsi="Arial" w:cs="Arial"/>
        </w:rPr>
        <w:t>.</w:t>
      </w:r>
    </w:p>
    <w:p w:rsidR="003F2FAE" w:rsidRPr="00D65A36" w:rsidRDefault="003F2FAE" w:rsidP="003F2FAE">
      <w:pPr>
        <w:pStyle w:val="ListParagraph"/>
        <w:tabs>
          <w:tab w:val="left" w:pos="567"/>
        </w:tabs>
        <w:spacing w:line="360" w:lineRule="auto"/>
        <w:ind w:left="1080"/>
        <w:jc w:val="both"/>
        <w:rPr>
          <w:rFonts w:ascii="Arial" w:hAnsi="Arial" w:cs="Arial"/>
        </w:rPr>
      </w:pPr>
    </w:p>
    <w:p w:rsidR="00E07F36" w:rsidRDefault="00C73267" w:rsidP="003F2FAE">
      <w:pPr>
        <w:pStyle w:val="ListParagraph"/>
        <w:tabs>
          <w:tab w:val="left" w:pos="567"/>
        </w:tabs>
        <w:spacing w:line="360" w:lineRule="auto"/>
        <w:ind w:left="1080"/>
        <w:jc w:val="both"/>
        <w:rPr>
          <w:rFonts w:ascii="Arial" w:hAnsi="Arial" w:cs="Arial"/>
        </w:rPr>
      </w:pPr>
      <w:r>
        <w:rPr>
          <w:rFonts w:ascii="Arial" w:hAnsi="Arial" w:cs="Arial"/>
        </w:rPr>
        <w:t>2</w:t>
      </w:r>
      <w:r w:rsidR="003F2FAE" w:rsidRPr="00D65A36">
        <w:rPr>
          <w:rFonts w:ascii="Arial" w:hAnsi="Arial" w:cs="Arial"/>
        </w:rPr>
        <w:t>.</w:t>
      </w:r>
      <w:r w:rsidR="003F2FAE" w:rsidRPr="00D65A36">
        <w:rPr>
          <w:rFonts w:ascii="Arial" w:hAnsi="Arial" w:cs="Arial"/>
        </w:rPr>
        <w:tab/>
      </w:r>
      <w:r>
        <w:rPr>
          <w:rFonts w:ascii="Arial" w:hAnsi="Arial" w:cs="Arial"/>
        </w:rPr>
        <w:t xml:space="preserve">The applicants are ordered to pay the costs of </w:t>
      </w:r>
      <w:r w:rsidR="005E6568">
        <w:rPr>
          <w:rFonts w:ascii="Arial" w:hAnsi="Arial" w:cs="Arial"/>
        </w:rPr>
        <w:t xml:space="preserve"> Lore</w:t>
      </w:r>
      <w:r w:rsidR="005E6568" w:rsidRPr="0001387A">
        <w:rPr>
          <w:rFonts w:ascii="Arial" w:hAnsi="Arial" w:cs="Arial"/>
          <w:color w:val="000000"/>
        </w:rPr>
        <w:t xml:space="preserve"> </w:t>
      </w:r>
      <w:r w:rsidR="005E6568">
        <w:rPr>
          <w:rFonts w:ascii="Arial" w:hAnsi="Arial" w:cs="Arial"/>
          <w:color w:val="000000"/>
        </w:rPr>
        <w:t>Trade and Investment (Pty) Ltd</w:t>
      </w:r>
      <w:r w:rsidR="005E6568">
        <w:rPr>
          <w:rFonts w:ascii="Arial" w:hAnsi="Arial" w:cs="Arial"/>
        </w:rPr>
        <w:t xml:space="preserve"> and </w:t>
      </w:r>
      <w:r w:rsidR="00733D90">
        <w:rPr>
          <w:rFonts w:ascii="Arial" w:hAnsi="Arial" w:cs="Arial"/>
          <w:color w:val="000000"/>
        </w:rPr>
        <w:t xml:space="preserve">Dulostyle (Pty) Ltd, </w:t>
      </w:r>
      <w:r>
        <w:rPr>
          <w:rFonts w:ascii="Arial" w:hAnsi="Arial" w:cs="Arial"/>
        </w:rPr>
        <w:t>the second and third respondent</w:t>
      </w:r>
      <w:r w:rsidR="001A5AF9">
        <w:rPr>
          <w:rFonts w:ascii="Arial" w:hAnsi="Arial" w:cs="Arial"/>
        </w:rPr>
        <w:t>s,</w:t>
      </w:r>
      <w:r>
        <w:rPr>
          <w:rFonts w:ascii="Arial" w:hAnsi="Arial" w:cs="Arial"/>
        </w:rPr>
        <w:t xml:space="preserve"> in respect of the declaratory relief</w:t>
      </w:r>
      <w:r w:rsidR="001A5AF9">
        <w:rPr>
          <w:rFonts w:ascii="Arial" w:hAnsi="Arial" w:cs="Arial"/>
        </w:rPr>
        <w:t>,</w:t>
      </w:r>
      <w:r>
        <w:rPr>
          <w:rFonts w:ascii="Arial" w:hAnsi="Arial" w:cs="Arial"/>
        </w:rPr>
        <w:t xml:space="preserve"> </w:t>
      </w:r>
      <w:r w:rsidR="00C573BB">
        <w:rPr>
          <w:rFonts w:ascii="Arial" w:hAnsi="Arial" w:cs="Arial"/>
        </w:rPr>
        <w:t>including costs consequent upon the employment of senior counsel</w:t>
      </w:r>
      <w:r w:rsidR="0095643A">
        <w:rPr>
          <w:rFonts w:ascii="Arial" w:hAnsi="Arial" w:cs="Arial"/>
        </w:rPr>
        <w:t>,</w:t>
      </w:r>
      <w:r w:rsidR="00C573BB">
        <w:rPr>
          <w:rFonts w:ascii="Arial" w:hAnsi="Arial" w:cs="Arial"/>
        </w:rPr>
        <w:t xml:space="preserve"> </w:t>
      </w:r>
      <w:r>
        <w:rPr>
          <w:rFonts w:ascii="Arial" w:hAnsi="Arial" w:cs="Arial"/>
        </w:rPr>
        <w:t>jointly and severally the one paying the other to be absolved.</w:t>
      </w:r>
    </w:p>
    <w:p w:rsidR="00C73267" w:rsidRDefault="00C73267" w:rsidP="003F2FAE">
      <w:pPr>
        <w:pStyle w:val="ListParagraph"/>
        <w:tabs>
          <w:tab w:val="left" w:pos="567"/>
        </w:tabs>
        <w:spacing w:line="360" w:lineRule="auto"/>
        <w:ind w:left="1080"/>
        <w:jc w:val="both"/>
        <w:rPr>
          <w:rFonts w:ascii="Arial" w:hAnsi="Arial" w:cs="Arial"/>
        </w:rPr>
      </w:pPr>
    </w:p>
    <w:p w:rsidR="00C73267" w:rsidRDefault="00C73267" w:rsidP="003F2FAE">
      <w:pPr>
        <w:pStyle w:val="ListParagraph"/>
        <w:tabs>
          <w:tab w:val="left" w:pos="567"/>
        </w:tabs>
        <w:spacing w:line="360" w:lineRule="auto"/>
        <w:ind w:left="1080"/>
        <w:jc w:val="both"/>
        <w:rPr>
          <w:rFonts w:ascii="Arial" w:hAnsi="Arial" w:cs="Arial"/>
        </w:rPr>
      </w:pPr>
      <w:r>
        <w:rPr>
          <w:rFonts w:ascii="Arial" w:hAnsi="Arial" w:cs="Arial"/>
        </w:rPr>
        <w:t xml:space="preserve">3. The application to strike out is upheld in part with no order as to costs.’ </w:t>
      </w:r>
    </w:p>
    <w:p w:rsidR="00C73267" w:rsidRPr="00D65A36" w:rsidRDefault="00C73267" w:rsidP="003F2FAE">
      <w:pPr>
        <w:pStyle w:val="ListParagraph"/>
        <w:tabs>
          <w:tab w:val="left" w:pos="567"/>
        </w:tabs>
        <w:spacing w:line="360" w:lineRule="auto"/>
        <w:ind w:left="1080"/>
        <w:jc w:val="both"/>
        <w:rPr>
          <w:rFonts w:ascii="Arial" w:hAnsi="Arial" w:cs="Arial"/>
        </w:rPr>
      </w:pPr>
    </w:p>
    <w:p w:rsidR="007179B2" w:rsidRPr="00E81A79" w:rsidRDefault="007179B2" w:rsidP="007179B2">
      <w:pPr>
        <w:pStyle w:val="ListParagraph"/>
        <w:rPr>
          <w:rFonts w:ascii="Arial" w:hAnsi="Arial" w:cs="Arial"/>
          <w:sz w:val="24"/>
          <w:szCs w:val="24"/>
        </w:rPr>
      </w:pPr>
    </w:p>
    <w:p w:rsidR="00664FE0" w:rsidRPr="006A6633" w:rsidRDefault="00664FE0" w:rsidP="00A560E3">
      <w:pPr>
        <w:pStyle w:val="ListParagraph"/>
        <w:spacing w:after="0" w:line="360" w:lineRule="auto"/>
        <w:jc w:val="both"/>
        <w:rPr>
          <w:rFonts w:ascii="Arial" w:hAnsi="Arial" w:cs="Arial"/>
          <w:sz w:val="24"/>
          <w:szCs w:val="24"/>
        </w:rPr>
      </w:pPr>
    </w:p>
    <w:p w:rsidR="00290AE6" w:rsidRPr="008E1A5E" w:rsidRDefault="00290AE6" w:rsidP="00290AE6">
      <w:pPr>
        <w:spacing w:after="0"/>
        <w:ind w:left="567" w:hanging="567"/>
        <w:jc w:val="both"/>
        <w:rPr>
          <w:rFonts w:ascii="Arial" w:hAnsi="Arial" w:cs="Arial"/>
        </w:rPr>
      </w:pPr>
      <w:r w:rsidRPr="008E1A5E">
        <w:rPr>
          <w:rFonts w:ascii="Arial" w:hAnsi="Arial" w:cs="Arial"/>
        </w:rPr>
        <w:t>_______________________________</w:t>
      </w:r>
    </w:p>
    <w:p w:rsidR="00A937CD" w:rsidRDefault="00290AE6" w:rsidP="00C0014E">
      <w:pPr>
        <w:spacing w:before="0" w:beforeAutospacing="0" w:after="0" w:afterAutospacing="0"/>
        <w:ind w:left="567" w:hanging="567"/>
        <w:jc w:val="both"/>
        <w:rPr>
          <w:rFonts w:ascii="Arial" w:hAnsi="Arial" w:cs="Arial"/>
        </w:rPr>
      </w:pPr>
      <w:r w:rsidRPr="008E1A5E">
        <w:rPr>
          <w:rFonts w:ascii="Arial" w:hAnsi="Arial" w:cs="Arial"/>
        </w:rPr>
        <w:t>Phatshoane</w:t>
      </w:r>
      <w:r>
        <w:rPr>
          <w:rFonts w:ascii="Arial" w:hAnsi="Arial" w:cs="Arial"/>
        </w:rPr>
        <w:t xml:space="preserve"> </w:t>
      </w:r>
      <w:r w:rsidR="00BF6077">
        <w:rPr>
          <w:rFonts w:ascii="Arial" w:hAnsi="Arial" w:cs="Arial"/>
        </w:rPr>
        <w:t>A</w:t>
      </w:r>
      <w:r w:rsidR="00C0014E">
        <w:rPr>
          <w:rFonts w:ascii="Arial" w:hAnsi="Arial" w:cs="Arial"/>
        </w:rPr>
        <w:t>JP</w:t>
      </w:r>
    </w:p>
    <w:p w:rsidR="007179B2" w:rsidRDefault="007179B2" w:rsidP="00C0014E">
      <w:pPr>
        <w:spacing w:before="0" w:beforeAutospacing="0" w:after="0" w:afterAutospacing="0"/>
        <w:ind w:left="567" w:hanging="567"/>
        <w:jc w:val="both"/>
        <w:rPr>
          <w:rFonts w:ascii="Arial" w:hAnsi="Arial" w:cs="Arial"/>
        </w:rPr>
      </w:pPr>
    </w:p>
    <w:p w:rsidR="007179B2" w:rsidRDefault="007179B2" w:rsidP="00C0014E">
      <w:pPr>
        <w:spacing w:before="0" w:beforeAutospacing="0" w:after="0" w:afterAutospacing="0"/>
        <w:ind w:left="567" w:hanging="567"/>
        <w:jc w:val="both"/>
        <w:rPr>
          <w:rFonts w:ascii="Arial" w:hAnsi="Arial" w:cs="Arial"/>
        </w:rPr>
      </w:pPr>
    </w:p>
    <w:p w:rsidR="00E84806" w:rsidRDefault="00E84806" w:rsidP="005A2B09">
      <w:pPr>
        <w:spacing w:before="0" w:beforeAutospacing="0" w:after="0" w:afterAutospacing="0"/>
        <w:jc w:val="both"/>
        <w:rPr>
          <w:rFonts w:ascii="Arial" w:hAnsi="Arial" w:cs="Arial"/>
        </w:rPr>
      </w:pPr>
    </w:p>
    <w:p w:rsidR="007179B2" w:rsidRDefault="009F3FEA" w:rsidP="005A2B09">
      <w:pPr>
        <w:spacing w:before="0" w:beforeAutospacing="0" w:after="0" w:afterAutospacing="0"/>
        <w:jc w:val="both"/>
        <w:rPr>
          <w:rFonts w:ascii="Arial" w:hAnsi="Arial" w:cs="Arial"/>
        </w:rPr>
      </w:pPr>
      <w:r>
        <w:rPr>
          <w:rFonts w:ascii="Arial" w:hAnsi="Arial" w:cs="Arial"/>
        </w:rPr>
        <w:t xml:space="preserve">Nxumalo </w:t>
      </w:r>
      <w:r w:rsidR="007179B2">
        <w:rPr>
          <w:rFonts w:ascii="Arial" w:hAnsi="Arial" w:cs="Arial"/>
        </w:rPr>
        <w:t xml:space="preserve">J and </w:t>
      </w:r>
      <w:r>
        <w:rPr>
          <w:rFonts w:ascii="Arial" w:hAnsi="Arial" w:cs="Arial"/>
        </w:rPr>
        <w:t xml:space="preserve">Olivier </w:t>
      </w:r>
      <w:r w:rsidR="007179B2">
        <w:rPr>
          <w:rFonts w:ascii="Arial" w:hAnsi="Arial" w:cs="Arial"/>
        </w:rPr>
        <w:t xml:space="preserve">AJ concur in the Judgment </w:t>
      </w:r>
      <w:r w:rsidR="005A2B09">
        <w:rPr>
          <w:rFonts w:ascii="Arial" w:hAnsi="Arial" w:cs="Arial"/>
        </w:rPr>
        <w:t xml:space="preserve">and order of Phatshoane </w:t>
      </w:r>
      <w:r>
        <w:rPr>
          <w:rFonts w:ascii="Arial" w:hAnsi="Arial" w:cs="Arial"/>
        </w:rPr>
        <w:t>A</w:t>
      </w:r>
      <w:r w:rsidR="005A2B09">
        <w:rPr>
          <w:rFonts w:ascii="Arial" w:hAnsi="Arial" w:cs="Arial"/>
        </w:rPr>
        <w:t>JP</w:t>
      </w:r>
    </w:p>
    <w:p w:rsidR="00E84806" w:rsidRDefault="00E84806" w:rsidP="00290AE6">
      <w:pPr>
        <w:spacing w:after="0"/>
        <w:ind w:left="567" w:hanging="567"/>
        <w:jc w:val="both"/>
        <w:rPr>
          <w:rFonts w:ascii="Arial" w:hAnsi="Arial" w:cs="Arial"/>
        </w:rPr>
      </w:pPr>
    </w:p>
    <w:p w:rsidR="00290AE6" w:rsidRPr="001F680E" w:rsidRDefault="00290AE6" w:rsidP="00F116B1">
      <w:pPr>
        <w:spacing w:before="0" w:beforeAutospacing="0" w:after="0" w:afterAutospacing="0" w:line="360" w:lineRule="auto"/>
        <w:ind w:left="57"/>
        <w:jc w:val="both"/>
        <w:rPr>
          <w:rFonts w:ascii="Arial" w:hAnsi="Arial" w:cs="Arial"/>
          <w:sz w:val="22"/>
          <w:szCs w:val="22"/>
          <w:lang w:val="en-GB"/>
        </w:rPr>
      </w:pPr>
      <w:r w:rsidRPr="001F680E">
        <w:rPr>
          <w:rFonts w:ascii="Arial" w:hAnsi="Arial" w:cs="Arial"/>
          <w:i/>
          <w:sz w:val="22"/>
          <w:szCs w:val="22"/>
          <w:lang w:val="en-GB"/>
        </w:rPr>
        <w:t>A</w:t>
      </w:r>
      <w:r w:rsidR="009F3FEA" w:rsidRPr="001F680E">
        <w:rPr>
          <w:rFonts w:ascii="Arial" w:hAnsi="Arial" w:cs="Arial"/>
          <w:i/>
          <w:sz w:val="22"/>
          <w:szCs w:val="22"/>
          <w:lang w:val="en-GB"/>
        </w:rPr>
        <w:t>ppearances</w:t>
      </w:r>
      <w:r w:rsidRPr="001F680E">
        <w:rPr>
          <w:rFonts w:ascii="Arial" w:hAnsi="Arial" w:cs="Arial"/>
          <w:sz w:val="22"/>
          <w:szCs w:val="22"/>
          <w:lang w:val="en-GB"/>
        </w:rPr>
        <w:t>:</w:t>
      </w:r>
    </w:p>
    <w:p w:rsidR="00290AE6" w:rsidRPr="00B57E8A" w:rsidRDefault="00C0014E" w:rsidP="00F116B1">
      <w:pPr>
        <w:spacing w:before="0" w:beforeAutospacing="0" w:after="0" w:afterAutospacing="0" w:line="360" w:lineRule="auto"/>
        <w:ind w:left="57"/>
        <w:jc w:val="both"/>
        <w:rPr>
          <w:rFonts w:ascii="Arial" w:hAnsi="Arial" w:cs="Arial"/>
          <w:sz w:val="22"/>
          <w:szCs w:val="22"/>
          <w:lang w:val="en-GB"/>
        </w:rPr>
      </w:pPr>
      <w:r>
        <w:rPr>
          <w:rFonts w:ascii="Arial" w:hAnsi="Arial" w:cs="Arial"/>
          <w:sz w:val="22"/>
          <w:szCs w:val="22"/>
          <w:lang w:val="en-GB"/>
        </w:rPr>
        <w:t xml:space="preserve">For the </w:t>
      </w:r>
      <w:r w:rsidR="00DD4148">
        <w:rPr>
          <w:rFonts w:ascii="Arial" w:hAnsi="Arial" w:cs="Arial"/>
          <w:sz w:val="22"/>
          <w:szCs w:val="22"/>
          <w:lang w:val="en-GB"/>
        </w:rPr>
        <w:t>appellant</w:t>
      </w:r>
      <w:r w:rsidR="009F3FEA">
        <w:rPr>
          <w:rFonts w:ascii="Arial" w:hAnsi="Arial" w:cs="Arial"/>
          <w:sz w:val="22"/>
          <w:szCs w:val="22"/>
          <w:lang w:val="en-GB"/>
        </w:rPr>
        <w:t>s</w:t>
      </w:r>
      <w:r w:rsidR="00290AE6" w:rsidRPr="001F680E">
        <w:rPr>
          <w:rFonts w:ascii="Arial" w:hAnsi="Arial" w:cs="Arial"/>
          <w:sz w:val="22"/>
          <w:szCs w:val="22"/>
          <w:lang w:val="en-GB"/>
        </w:rPr>
        <w:t>:</w:t>
      </w:r>
      <w:r w:rsidR="00290AE6" w:rsidRPr="001F680E">
        <w:rPr>
          <w:rFonts w:ascii="Arial" w:hAnsi="Arial" w:cs="Arial"/>
          <w:sz w:val="22"/>
          <w:szCs w:val="22"/>
          <w:lang w:val="en-GB"/>
        </w:rPr>
        <w:tab/>
      </w:r>
      <w:r w:rsidR="00664FE0">
        <w:rPr>
          <w:rFonts w:ascii="Arial" w:hAnsi="Arial" w:cs="Arial"/>
          <w:sz w:val="22"/>
          <w:szCs w:val="22"/>
          <w:lang w:val="en-GB"/>
        </w:rPr>
        <w:tab/>
      </w:r>
      <w:r w:rsidR="00A60B39">
        <w:rPr>
          <w:rFonts w:ascii="Arial" w:hAnsi="Arial" w:cs="Arial"/>
          <w:sz w:val="22"/>
          <w:szCs w:val="22"/>
          <w:lang w:val="en-GB"/>
        </w:rPr>
        <w:tab/>
      </w:r>
      <w:r w:rsidR="001F680E" w:rsidRPr="00B57E8A">
        <w:rPr>
          <w:rFonts w:ascii="Arial" w:hAnsi="Arial" w:cs="Arial"/>
          <w:sz w:val="22"/>
          <w:szCs w:val="22"/>
          <w:lang w:val="en-GB"/>
        </w:rPr>
        <w:t xml:space="preserve">Adv </w:t>
      </w:r>
      <w:r w:rsidR="008A2E7A">
        <w:rPr>
          <w:rFonts w:ascii="Arial" w:hAnsi="Arial" w:cs="Arial"/>
          <w:sz w:val="22"/>
          <w:szCs w:val="22"/>
          <w:lang w:val="en-GB"/>
        </w:rPr>
        <w:t xml:space="preserve">SD Wagener </w:t>
      </w:r>
      <w:r w:rsidR="00A60B39">
        <w:rPr>
          <w:rFonts w:ascii="Arial" w:hAnsi="Arial" w:cs="Arial"/>
          <w:sz w:val="22"/>
          <w:szCs w:val="22"/>
          <w:lang w:val="en-GB"/>
        </w:rPr>
        <w:t>SC</w:t>
      </w:r>
    </w:p>
    <w:p w:rsidR="00064F58" w:rsidRPr="00B57E8A" w:rsidRDefault="00290AE6" w:rsidP="00664FE0">
      <w:pPr>
        <w:spacing w:before="0" w:beforeAutospacing="0" w:after="0" w:afterAutospacing="0" w:line="360" w:lineRule="auto"/>
        <w:ind w:left="2880" w:firstLine="720"/>
        <w:jc w:val="both"/>
        <w:rPr>
          <w:rFonts w:ascii="Arial" w:hAnsi="Arial" w:cs="Arial"/>
          <w:sz w:val="22"/>
          <w:szCs w:val="22"/>
          <w:lang w:val="en-GB"/>
        </w:rPr>
      </w:pPr>
      <w:r w:rsidRPr="00B57E8A">
        <w:rPr>
          <w:rFonts w:ascii="Arial" w:hAnsi="Arial" w:cs="Arial"/>
          <w:sz w:val="22"/>
          <w:szCs w:val="22"/>
          <w:lang w:val="en-GB"/>
        </w:rPr>
        <w:t xml:space="preserve">Instructed by </w:t>
      </w:r>
      <w:r w:rsidR="008A2E7A">
        <w:rPr>
          <w:rFonts w:ascii="Arial" w:hAnsi="Arial" w:cs="Arial"/>
          <w:sz w:val="22"/>
          <w:szCs w:val="22"/>
          <w:lang w:val="en-GB"/>
        </w:rPr>
        <w:t xml:space="preserve">Van De Wall </w:t>
      </w:r>
      <w:r w:rsidR="005A2B09">
        <w:rPr>
          <w:rFonts w:ascii="Arial" w:hAnsi="Arial" w:cs="Arial"/>
          <w:sz w:val="22"/>
          <w:szCs w:val="22"/>
          <w:lang w:val="en-GB"/>
        </w:rPr>
        <w:t>Inc, Kimberley</w:t>
      </w:r>
      <w:r w:rsidR="00C0014E">
        <w:rPr>
          <w:rFonts w:ascii="Arial" w:hAnsi="Arial" w:cs="Arial"/>
          <w:sz w:val="22"/>
          <w:szCs w:val="22"/>
          <w:lang w:val="en-GB"/>
        </w:rPr>
        <w:t>.</w:t>
      </w:r>
      <w:r w:rsidR="006D01AA" w:rsidRPr="00B57E8A">
        <w:rPr>
          <w:rFonts w:ascii="Arial" w:hAnsi="Arial" w:cs="Arial"/>
          <w:sz w:val="22"/>
          <w:szCs w:val="22"/>
          <w:lang w:val="en-GB"/>
        </w:rPr>
        <w:t xml:space="preserve"> </w:t>
      </w:r>
    </w:p>
    <w:p w:rsidR="00A60B39" w:rsidRDefault="006750B3" w:rsidP="00A60B39">
      <w:pPr>
        <w:spacing w:before="0" w:beforeAutospacing="0" w:after="0" w:afterAutospacing="0" w:line="360" w:lineRule="auto"/>
        <w:jc w:val="both"/>
        <w:rPr>
          <w:rFonts w:ascii="Arial" w:hAnsi="Arial" w:cs="Arial"/>
          <w:sz w:val="22"/>
          <w:szCs w:val="22"/>
          <w:lang w:val="en-GB"/>
        </w:rPr>
      </w:pPr>
      <w:r>
        <w:rPr>
          <w:rFonts w:ascii="Arial" w:hAnsi="Arial" w:cs="Arial"/>
          <w:sz w:val="22"/>
          <w:szCs w:val="22"/>
          <w:lang w:val="en-GB"/>
        </w:rPr>
        <w:t xml:space="preserve"> </w:t>
      </w:r>
      <w:r w:rsidR="00C0014E">
        <w:rPr>
          <w:rFonts w:ascii="Arial" w:hAnsi="Arial" w:cs="Arial"/>
          <w:sz w:val="22"/>
          <w:szCs w:val="22"/>
          <w:lang w:val="en-GB"/>
        </w:rPr>
        <w:t xml:space="preserve">For the </w:t>
      </w:r>
      <w:r w:rsidR="00400FED">
        <w:rPr>
          <w:rFonts w:ascii="Arial" w:hAnsi="Arial" w:cs="Arial"/>
          <w:sz w:val="22"/>
          <w:szCs w:val="22"/>
          <w:lang w:val="en-GB"/>
        </w:rPr>
        <w:t>respondent</w:t>
      </w:r>
      <w:r w:rsidR="009F3FEA">
        <w:rPr>
          <w:rFonts w:ascii="Arial" w:hAnsi="Arial" w:cs="Arial"/>
          <w:sz w:val="22"/>
          <w:szCs w:val="22"/>
          <w:lang w:val="en-GB"/>
        </w:rPr>
        <w:t>s</w:t>
      </w:r>
      <w:r w:rsidR="00290AE6" w:rsidRPr="00B57E8A">
        <w:rPr>
          <w:rFonts w:ascii="Arial" w:hAnsi="Arial" w:cs="Arial"/>
          <w:sz w:val="22"/>
          <w:szCs w:val="22"/>
          <w:lang w:val="en-GB"/>
        </w:rPr>
        <w:t>:</w:t>
      </w:r>
      <w:r w:rsidR="00290AE6" w:rsidRPr="00B57E8A">
        <w:rPr>
          <w:rFonts w:ascii="Arial" w:hAnsi="Arial" w:cs="Arial"/>
          <w:sz w:val="22"/>
          <w:szCs w:val="22"/>
          <w:lang w:val="en-GB"/>
        </w:rPr>
        <w:tab/>
      </w:r>
      <w:r w:rsidR="00400FED">
        <w:rPr>
          <w:rFonts w:ascii="Arial" w:hAnsi="Arial" w:cs="Arial"/>
          <w:sz w:val="22"/>
          <w:szCs w:val="22"/>
          <w:lang w:val="en-GB"/>
        </w:rPr>
        <w:tab/>
      </w:r>
      <w:r w:rsidR="00400FED">
        <w:rPr>
          <w:rFonts w:ascii="Arial" w:hAnsi="Arial" w:cs="Arial"/>
          <w:sz w:val="22"/>
          <w:szCs w:val="22"/>
          <w:lang w:val="en-GB"/>
        </w:rPr>
        <w:tab/>
      </w:r>
      <w:r w:rsidR="001F680E" w:rsidRPr="00B57E8A">
        <w:rPr>
          <w:rFonts w:ascii="Arial" w:hAnsi="Arial" w:cs="Arial"/>
          <w:sz w:val="22"/>
          <w:szCs w:val="22"/>
          <w:lang w:val="en-GB"/>
        </w:rPr>
        <w:t xml:space="preserve">Adv </w:t>
      </w:r>
      <w:r w:rsidR="005A2B09">
        <w:rPr>
          <w:rFonts w:ascii="Arial" w:hAnsi="Arial" w:cs="Arial"/>
          <w:sz w:val="22"/>
          <w:szCs w:val="22"/>
          <w:lang w:val="en-GB"/>
        </w:rPr>
        <w:t>J</w:t>
      </w:r>
      <w:r w:rsidR="00BF6077">
        <w:rPr>
          <w:rFonts w:ascii="Arial" w:hAnsi="Arial" w:cs="Arial"/>
          <w:sz w:val="22"/>
          <w:szCs w:val="22"/>
          <w:lang w:val="en-GB"/>
        </w:rPr>
        <w:t xml:space="preserve"> Hershensohn</w:t>
      </w:r>
    </w:p>
    <w:p w:rsidR="004B3222" w:rsidRPr="001F680E" w:rsidRDefault="00290AE6" w:rsidP="00A60B39">
      <w:pPr>
        <w:spacing w:before="0" w:beforeAutospacing="0" w:after="0" w:afterAutospacing="0" w:line="360" w:lineRule="auto"/>
        <w:ind w:left="2880" w:firstLine="720"/>
        <w:jc w:val="both"/>
        <w:rPr>
          <w:rFonts w:ascii="Arial" w:hAnsi="Arial" w:cs="Arial"/>
          <w:sz w:val="22"/>
          <w:szCs w:val="22"/>
        </w:rPr>
      </w:pPr>
      <w:r w:rsidRPr="00B57E8A">
        <w:rPr>
          <w:rFonts w:ascii="Arial" w:hAnsi="Arial" w:cs="Arial"/>
          <w:sz w:val="22"/>
          <w:szCs w:val="22"/>
          <w:lang w:val="en-GB"/>
        </w:rPr>
        <w:t>Instructed by</w:t>
      </w:r>
      <w:r w:rsidR="00C0014E">
        <w:rPr>
          <w:rFonts w:ascii="Arial" w:hAnsi="Arial" w:cs="Arial"/>
          <w:sz w:val="22"/>
          <w:szCs w:val="22"/>
          <w:lang w:val="en-GB"/>
        </w:rPr>
        <w:t xml:space="preserve"> </w:t>
      </w:r>
      <w:r w:rsidR="005A2B09">
        <w:rPr>
          <w:rFonts w:ascii="Arial" w:hAnsi="Arial" w:cs="Arial"/>
          <w:sz w:val="22"/>
          <w:szCs w:val="22"/>
          <w:lang w:val="en-GB"/>
        </w:rPr>
        <w:t>Haarhoffs Inc, Kimberley.</w:t>
      </w:r>
      <w:r w:rsidR="004B3222" w:rsidRPr="001F680E">
        <w:rPr>
          <w:rFonts w:ascii="Arial" w:hAnsi="Arial" w:cs="Arial"/>
          <w:sz w:val="22"/>
          <w:szCs w:val="22"/>
        </w:rPr>
        <w:t xml:space="preserve">   </w:t>
      </w:r>
    </w:p>
    <w:p w:rsidR="00BD05C1" w:rsidRDefault="00BD05C1" w:rsidP="00BD05C1">
      <w:pPr>
        <w:spacing w:before="0" w:beforeAutospacing="0" w:after="0" w:afterAutospacing="0" w:line="360" w:lineRule="auto"/>
        <w:jc w:val="both"/>
        <w:rPr>
          <w:rFonts w:ascii="Arial" w:hAnsi="Arial" w:cs="Arial"/>
        </w:rPr>
      </w:pPr>
    </w:p>
    <w:sectPr w:rsidR="00BD05C1" w:rsidSect="001A693D">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67D" w:rsidRDefault="00C4567D" w:rsidP="00BA3DEF">
      <w:pPr>
        <w:spacing w:before="0" w:after="0"/>
      </w:pPr>
      <w:r>
        <w:separator/>
      </w:r>
    </w:p>
  </w:endnote>
  <w:endnote w:type="continuationSeparator" w:id="0">
    <w:p w:rsidR="00C4567D" w:rsidRDefault="00C4567D" w:rsidP="00BA3D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E9" w:rsidRDefault="001B6B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E9" w:rsidRDefault="001B6BE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E9" w:rsidRDefault="001B6B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67D" w:rsidRDefault="00C4567D" w:rsidP="00BA3DEF">
      <w:pPr>
        <w:spacing w:before="0" w:after="0"/>
      </w:pPr>
      <w:r>
        <w:separator/>
      </w:r>
    </w:p>
  </w:footnote>
  <w:footnote w:type="continuationSeparator" w:id="0">
    <w:p w:rsidR="00C4567D" w:rsidRDefault="00C4567D" w:rsidP="00BA3DEF">
      <w:pPr>
        <w:spacing w:before="0" w:after="0"/>
      </w:pPr>
      <w:r>
        <w:continuationSeparator/>
      </w:r>
    </w:p>
  </w:footnote>
  <w:footnote w:id="1">
    <w:p w:rsidR="002E1AB3" w:rsidRPr="00DD3D56" w:rsidRDefault="002E1AB3" w:rsidP="00627AD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Albeit said in a different context, see the remarks by Steyn J in </w:t>
      </w:r>
      <w:r w:rsidRPr="00DD3D56">
        <w:rPr>
          <w:rFonts w:ascii="Arial" w:hAnsi="Arial" w:cs="Arial"/>
          <w:bCs/>
          <w:i/>
          <w:color w:val="000000"/>
        </w:rPr>
        <w:t>Waar v Louw</w:t>
      </w:r>
      <w:r w:rsidRPr="00DD3D56">
        <w:rPr>
          <w:rFonts w:ascii="Arial" w:hAnsi="Arial" w:cs="Arial"/>
          <w:bCs/>
          <w:color w:val="000000"/>
        </w:rPr>
        <w:t xml:space="preserve"> 1977 (3) SA 297 (O) at 304F-G.</w:t>
      </w:r>
    </w:p>
  </w:footnote>
  <w:footnote w:id="2">
    <w:p w:rsidR="002E1AB3" w:rsidRPr="00DD3D56" w:rsidRDefault="002E1AB3" w:rsidP="00DD3D56">
      <w:pPr>
        <w:pStyle w:val="FootnoteText"/>
        <w:jc w:val="both"/>
        <w:rPr>
          <w:rFonts w:ascii="Arial" w:hAnsi="Arial" w:cs="Arial"/>
        </w:rPr>
      </w:pPr>
      <w:r w:rsidRPr="00DD3D56">
        <w:rPr>
          <w:rStyle w:val="FootnoteReference"/>
          <w:rFonts w:ascii="Arial" w:hAnsi="Arial" w:cs="Arial"/>
        </w:rPr>
        <w:footnoteRef/>
      </w:r>
      <w:r w:rsidRPr="00DD3D56">
        <w:rPr>
          <w:rFonts w:ascii="Arial" w:hAnsi="Arial" w:cs="Arial"/>
        </w:rPr>
        <w:t xml:space="preserve"> </w:t>
      </w:r>
      <w:r w:rsidRPr="00DD3D56">
        <w:rPr>
          <w:rFonts w:ascii="Arial" w:hAnsi="Arial" w:cs="Arial"/>
          <w:i/>
          <w:iCs/>
          <w:color w:val="000000"/>
        </w:rPr>
        <w:t>Beinash v Wixley</w:t>
      </w:r>
      <w:r w:rsidRPr="00DD3D56">
        <w:rPr>
          <w:rFonts w:ascii="Arial" w:hAnsi="Arial" w:cs="Arial"/>
          <w:color w:val="000000"/>
        </w:rPr>
        <w:t> </w:t>
      </w:r>
      <w:r w:rsidRPr="00DD3D56">
        <w:rPr>
          <w:rFonts w:ascii="Arial" w:hAnsi="Arial" w:cs="Arial"/>
        </w:rPr>
        <w:t>1997 (3) SA 721 (SCA)</w:t>
      </w:r>
      <w:r w:rsidRPr="00DD3D56">
        <w:rPr>
          <w:rFonts w:ascii="Arial" w:hAnsi="Arial" w:cs="Arial"/>
          <w:color w:val="000000"/>
        </w:rPr>
        <w:t xml:space="preserve"> at 733B; </w:t>
      </w:r>
      <w:r w:rsidRPr="00DD3D56">
        <w:rPr>
          <w:rFonts w:ascii="Arial" w:hAnsi="Arial" w:cs="Arial"/>
          <w:i/>
          <w:iCs/>
          <w:color w:val="000000"/>
        </w:rPr>
        <w:t>Helen Suzman Foundation v President of the Republic of South Africa</w:t>
      </w:r>
      <w:r w:rsidRPr="00DD3D56">
        <w:rPr>
          <w:rFonts w:ascii="Arial" w:hAnsi="Arial" w:cs="Arial"/>
          <w:color w:val="000000"/>
        </w:rPr>
        <w:t> </w:t>
      </w:r>
      <w:r w:rsidRPr="00DD3D56">
        <w:rPr>
          <w:rFonts w:ascii="Arial" w:hAnsi="Arial" w:cs="Arial"/>
        </w:rPr>
        <w:t>2015 (2) SA 1 (CC)</w:t>
      </w:r>
      <w:r w:rsidRPr="00DD3D56">
        <w:rPr>
          <w:rFonts w:ascii="Arial" w:hAnsi="Arial" w:cs="Arial"/>
          <w:color w:val="000000"/>
        </w:rPr>
        <w:t> para 27.</w:t>
      </w:r>
    </w:p>
  </w:footnote>
  <w:footnote w:id="3">
    <w:p w:rsidR="002E1AB3" w:rsidRPr="00DD3D56" w:rsidRDefault="002E1AB3" w:rsidP="00DD3D5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w:t>
      </w:r>
      <w:r w:rsidRPr="00DD3D56">
        <w:rPr>
          <w:rFonts w:ascii="Arial" w:hAnsi="Arial" w:cs="Arial"/>
          <w:i/>
          <w:iCs/>
          <w:color w:val="000000"/>
        </w:rPr>
        <w:t>Minister of Environmental Affairs and Tourism and Others v Phambili Fisheries (Pty) Ltd; Minister of Environmental Affairs and Tourism and Others v Bato Star Fishing (Pty) Ltd</w:t>
      </w:r>
      <w:r w:rsidRPr="00DD3D56">
        <w:rPr>
          <w:rFonts w:ascii="Arial" w:hAnsi="Arial" w:cs="Arial"/>
          <w:color w:val="000000"/>
        </w:rPr>
        <w:t> </w:t>
      </w:r>
      <w:r w:rsidRPr="00DD3D56">
        <w:rPr>
          <w:rFonts w:ascii="Arial" w:hAnsi="Arial" w:cs="Arial"/>
        </w:rPr>
        <w:t>2003 (6) SA 407 (SCA) para 80.</w:t>
      </w:r>
    </w:p>
  </w:footnote>
  <w:footnote w:id="4">
    <w:p w:rsidR="002E1AB3" w:rsidRPr="00DD3D56" w:rsidRDefault="002E1AB3" w:rsidP="00DD3D5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w:t>
      </w:r>
      <w:r w:rsidRPr="00DD3D56">
        <w:rPr>
          <w:rFonts w:ascii="Arial" w:hAnsi="Arial" w:cs="Arial"/>
          <w:color w:val="000000"/>
        </w:rPr>
        <w:t> </w:t>
      </w:r>
      <w:r w:rsidRPr="00DD3D56">
        <w:rPr>
          <w:rFonts w:ascii="Arial" w:hAnsi="Arial" w:cs="Arial"/>
          <w:i/>
          <w:iCs/>
          <w:color w:val="000000"/>
        </w:rPr>
        <w:t>Mostert</w:t>
      </w:r>
      <w:r w:rsidR="00537FD6" w:rsidRPr="00DD3D56">
        <w:rPr>
          <w:rFonts w:ascii="Arial" w:hAnsi="Arial" w:cs="Arial"/>
          <w:i/>
          <w:iCs/>
          <w:color w:val="000000"/>
        </w:rPr>
        <w:t xml:space="preserve"> and Others</w:t>
      </w:r>
      <w:r w:rsidRPr="00DD3D56">
        <w:rPr>
          <w:rFonts w:ascii="Arial" w:hAnsi="Arial" w:cs="Arial"/>
          <w:i/>
          <w:iCs/>
          <w:color w:val="000000"/>
        </w:rPr>
        <w:t xml:space="preserve"> v FirstRand Bank Ltd t/a RMB Private Bank</w:t>
      </w:r>
      <w:r w:rsidRPr="00627AD6">
        <w:rPr>
          <w:rFonts w:ascii="Arial" w:hAnsi="Arial" w:cs="Arial"/>
          <w:i/>
          <w:color w:val="000000"/>
        </w:rPr>
        <w:t> </w:t>
      </w:r>
      <w:r w:rsidR="00537FD6" w:rsidRPr="00627AD6">
        <w:rPr>
          <w:rFonts w:ascii="Arial" w:hAnsi="Arial" w:cs="Arial"/>
          <w:i/>
          <w:color w:val="000000"/>
        </w:rPr>
        <w:t>and Another</w:t>
      </w:r>
      <w:r w:rsidR="00537FD6" w:rsidRPr="00DD3D56">
        <w:rPr>
          <w:rFonts w:ascii="Arial" w:hAnsi="Arial" w:cs="Arial"/>
          <w:color w:val="000000"/>
        </w:rPr>
        <w:t xml:space="preserve"> </w:t>
      </w:r>
      <w:r w:rsidRPr="00DD3D56">
        <w:rPr>
          <w:rFonts w:ascii="Arial" w:hAnsi="Arial" w:cs="Arial"/>
        </w:rPr>
        <w:t>2018 (4) SA 443 (SCA)</w:t>
      </w:r>
      <w:r w:rsidRPr="00DD3D56">
        <w:rPr>
          <w:rFonts w:ascii="Arial" w:hAnsi="Arial" w:cs="Arial"/>
          <w:color w:val="000000"/>
        </w:rPr>
        <w:t> para 13.</w:t>
      </w:r>
    </w:p>
  </w:footnote>
  <w:footnote w:id="5">
    <w:p w:rsidR="002E1AB3" w:rsidRPr="00DD3D56" w:rsidRDefault="002E1AB3" w:rsidP="00DD3D5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w:t>
      </w:r>
      <w:r w:rsidRPr="00DD3D56">
        <w:rPr>
          <w:rFonts w:ascii="Arial" w:eastAsia="Times New Roman" w:hAnsi="Arial" w:cs="Arial"/>
          <w:i/>
          <w:iCs/>
          <w:color w:val="000000"/>
          <w:lang w:eastAsia="en-ZA"/>
        </w:rPr>
        <w:t>Standard Bank of South Africa Ltd v Sewpersadh</w:t>
      </w:r>
      <w:r w:rsidRPr="00DD3D56">
        <w:rPr>
          <w:rFonts w:ascii="Arial" w:eastAsia="Times New Roman" w:hAnsi="Arial" w:cs="Arial"/>
          <w:color w:val="000000"/>
          <w:lang w:eastAsia="en-ZA"/>
        </w:rPr>
        <w:t> </w:t>
      </w:r>
      <w:r w:rsidR="00537FD6" w:rsidRPr="00627AD6">
        <w:rPr>
          <w:rFonts w:ascii="Arial" w:eastAsia="Times New Roman" w:hAnsi="Arial" w:cs="Arial"/>
          <w:i/>
          <w:color w:val="000000"/>
          <w:lang w:eastAsia="en-ZA"/>
        </w:rPr>
        <w:t>and Another</w:t>
      </w:r>
      <w:r w:rsidR="00537FD6" w:rsidRPr="00DD3D56">
        <w:rPr>
          <w:rFonts w:ascii="Arial" w:eastAsia="Times New Roman" w:hAnsi="Arial" w:cs="Arial"/>
          <w:color w:val="000000"/>
          <w:lang w:eastAsia="en-ZA"/>
        </w:rPr>
        <w:t xml:space="preserve"> </w:t>
      </w:r>
      <w:r w:rsidRPr="00DD3D56">
        <w:rPr>
          <w:rFonts w:ascii="Arial" w:eastAsia="Times New Roman" w:hAnsi="Arial" w:cs="Arial"/>
          <w:lang w:eastAsia="en-ZA"/>
        </w:rPr>
        <w:t>2005 (4) SA 148 (C) </w:t>
      </w:r>
      <w:r w:rsidRPr="00DD3D56">
        <w:rPr>
          <w:rFonts w:ascii="Arial" w:eastAsia="Times New Roman" w:hAnsi="Arial" w:cs="Arial"/>
          <w:color w:val="000000"/>
          <w:lang w:eastAsia="en-ZA"/>
        </w:rPr>
        <w:t>para 21.</w:t>
      </w:r>
    </w:p>
  </w:footnote>
  <w:footnote w:id="6">
    <w:p w:rsidR="002E1AB3" w:rsidRPr="00DD3D56" w:rsidRDefault="002E1AB3" w:rsidP="00627AD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w:t>
      </w:r>
      <w:r w:rsidRPr="00DD3D56">
        <w:rPr>
          <w:rFonts w:ascii="Arial" w:eastAsia="Times New Roman" w:hAnsi="Arial" w:cs="Arial"/>
          <w:color w:val="000000"/>
          <w:lang w:eastAsia="en-ZA"/>
        </w:rPr>
        <w:t> </w:t>
      </w:r>
      <w:r w:rsidRPr="00DD3D56">
        <w:rPr>
          <w:rFonts w:ascii="Arial" w:eastAsia="Times New Roman" w:hAnsi="Arial" w:cs="Arial"/>
          <w:i/>
          <w:iCs/>
          <w:color w:val="000000"/>
          <w:lang w:eastAsia="en-ZA"/>
        </w:rPr>
        <w:t>Willowvale Estates CC v Bryanmore Estates Ltd</w:t>
      </w:r>
      <w:r w:rsidRPr="00DD3D56">
        <w:rPr>
          <w:rFonts w:ascii="Arial" w:eastAsia="Times New Roman" w:hAnsi="Arial" w:cs="Arial"/>
          <w:color w:val="000000"/>
          <w:lang w:eastAsia="en-ZA"/>
        </w:rPr>
        <w:t> </w:t>
      </w:r>
      <w:r w:rsidRPr="00DD3D56">
        <w:rPr>
          <w:rFonts w:ascii="Arial" w:eastAsia="Times New Roman" w:hAnsi="Arial" w:cs="Arial"/>
          <w:lang w:eastAsia="en-ZA"/>
        </w:rPr>
        <w:t>1990 (3) SA 954 (W) </w:t>
      </w:r>
      <w:r w:rsidRPr="00DD3D56">
        <w:rPr>
          <w:rFonts w:ascii="Arial" w:eastAsia="Times New Roman" w:hAnsi="Arial" w:cs="Arial"/>
          <w:color w:val="000000"/>
          <w:lang w:eastAsia="en-ZA"/>
        </w:rPr>
        <w:t>at 961E–F</w:t>
      </w:r>
    </w:p>
  </w:footnote>
  <w:footnote w:id="7">
    <w:p w:rsidR="002E1AB3" w:rsidRPr="00DD3D56" w:rsidRDefault="002E1AB3" w:rsidP="00627AD6">
      <w:pPr>
        <w:pStyle w:val="FootnoteText"/>
        <w:jc w:val="both"/>
        <w:rPr>
          <w:rFonts w:ascii="Arial" w:hAnsi="Arial" w:cs="Arial"/>
        </w:rPr>
      </w:pPr>
      <w:r w:rsidRPr="00627AD6">
        <w:rPr>
          <w:rStyle w:val="FootnoteReference"/>
          <w:rFonts w:ascii="Arial" w:hAnsi="Arial" w:cs="Arial"/>
        </w:rPr>
        <w:footnoteRef/>
      </w:r>
      <w:r w:rsidRPr="00627AD6">
        <w:rPr>
          <w:rFonts w:ascii="Arial" w:hAnsi="Arial" w:cs="Arial"/>
        </w:rPr>
        <w:t xml:space="preserve"> </w:t>
      </w:r>
      <w:r w:rsidRPr="00DD3D56">
        <w:rPr>
          <w:rFonts w:ascii="Arial" w:hAnsi="Arial" w:cs="Arial"/>
          <w:bCs/>
          <w:i/>
          <w:color w:val="000000"/>
        </w:rPr>
        <w:t>Beinash v Wixley</w:t>
      </w:r>
      <w:r w:rsidRPr="00DD3D56">
        <w:rPr>
          <w:rFonts w:ascii="Arial" w:hAnsi="Arial" w:cs="Arial"/>
          <w:bCs/>
          <w:color w:val="000000"/>
        </w:rPr>
        <w:t xml:space="preserve"> 1997 (3) SA 721 (SCA) at 73</w:t>
      </w:r>
      <w:r w:rsidR="00791ABA" w:rsidRPr="00DD3D56">
        <w:rPr>
          <w:rFonts w:ascii="Arial" w:hAnsi="Arial" w:cs="Arial"/>
          <w:bCs/>
          <w:color w:val="000000"/>
        </w:rPr>
        <w:t>4</w:t>
      </w:r>
      <w:r w:rsidRPr="00DD3D56">
        <w:rPr>
          <w:rFonts w:ascii="Arial" w:hAnsi="Arial" w:cs="Arial"/>
          <w:bCs/>
          <w:color w:val="000000"/>
        </w:rPr>
        <w:t>A-C.</w:t>
      </w:r>
    </w:p>
  </w:footnote>
  <w:footnote w:id="8">
    <w:p w:rsidR="002E1AB3" w:rsidRPr="00DD3D56" w:rsidRDefault="002E1AB3" w:rsidP="00DD3D5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w:t>
      </w:r>
      <w:r w:rsidRPr="00DD3D56">
        <w:rPr>
          <w:rFonts w:ascii="Arial" w:hAnsi="Arial" w:cs="Arial"/>
          <w:i/>
        </w:rPr>
        <w:t>B</w:t>
      </w:r>
      <w:r w:rsidRPr="00DD3D56">
        <w:rPr>
          <w:rFonts w:ascii="Arial" w:hAnsi="Arial" w:cs="Arial"/>
          <w:bCs/>
          <w:i/>
          <w:color w:val="000000"/>
        </w:rPr>
        <w:t>isschoff and Others v Welbeplan Boerdery (Pty) Ltd</w:t>
      </w:r>
      <w:bookmarkStart w:id="5" w:name="LPHit2"/>
      <w:bookmarkEnd w:id="5"/>
      <w:r w:rsidRPr="00DD3D56">
        <w:rPr>
          <w:rFonts w:ascii="Arial" w:hAnsi="Arial" w:cs="Arial"/>
          <w:bCs/>
          <w:color w:val="000000"/>
        </w:rPr>
        <w:t xml:space="preserve"> 2021 (5) SA 54 (SCA) para 5.</w:t>
      </w:r>
    </w:p>
  </w:footnote>
  <w:footnote w:id="9">
    <w:p w:rsidR="002E1AB3" w:rsidRPr="00627AD6" w:rsidRDefault="002E1AB3" w:rsidP="00DD3D56">
      <w:pPr>
        <w:pStyle w:val="FootnoteText"/>
        <w:jc w:val="both"/>
        <w:rPr>
          <w:rFonts w:ascii="Arial" w:hAnsi="Arial" w:cs="Arial"/>
          <w:lang w:val="en-US"/>
        </w:rPr>
      </w:pPr>
      <w:r w:rsidRPr="00627AD6">
        <w:rPr>
          <w:rStyle w:val="FootnoteReference"/>
          <w:rFonts w:ascii="Arial" w:hAnsi="Arial" w:cs="Arial"/>
        </w:rPr>
        <w:footnoteRef/>
      </w:r>
      <w:r w:rsidRPr="00627AD6">
        <w:rPr>
          <w:rFonts w:ascii="Arial" w:hAnsi="Arial" w:cs="Arial"/>
        </w:rPr>
        <w:t xml:space="preserve"> </w:t>
      </w:r>
      <w:r w:rsidRPr="00DD3D56">
        <w:rPr>
          <w:rFonts w:ascii="Arial" w:hAnsi="Arial" w:cs="Arial"/>
          <w:i/>
          <w:iCs/>
          <w:color w:val="000000"/>
        </w:rPr>
        <w:t>Plascon-Evans Paints Ltd v Van Riebeeck Paints (Pty) Ltd</w:t>
      </w:r>
      <w:r w:rsidRPr="00DD3D56">
        <w:rPr>
          <w:rFonts w:ascii="Arial" w:hAnsi="Arial" w:cs="Arial"/>
          <w:color w:val="000000"/>
        </w:rPr>
        <w:t> </w:t>
      </w:r>
      <w:r w:rsidRPr="00DD3D56">
        <w:rPr>
          <w:rFonts w:ascii="Arial" w:hAnsi="Arial" w:cs="Arial"/>
        </w:rPr>
        <w:t>1984 (3) SA 623 (A)</w:t>
      </w:r>
      <w:r w:rsidRPr="00DD3D56">
        <w:rPr>
          <w:rFonts w:ascii="Arial" w:hAnsi="Arial" w:cs="Arial"/>
          <w:color w:val="000000"/>
        </w:rPr>
        <w:t> 634 – 635</w:t>
      </w:r>
    </w:p>
  </w:footnote>
  <w:footnote w:id="10">
    <w:p w:rsidR="002E1AB3" w:rsidRPr="00DD3D56" w:rsidRDefault="002E1AB3" w:rsidP="00DD3D5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w:t>
      </w:r>
      <w:r w:rsidRPr="00DD3D56">
        <w:rPr>
          <w:rFonts w:ascii="Arial" w:hAnsi="Arial" w:cs="Arial"/>
          <w:i/>
          <w:iCs/>
          <w:color w:val="000000"/>
        </w:rPr>
        <w:t>Thint (Pty) Ltd v National Director of Public Prosecutions and Others; Zuma v National Director of Public Prosecutions and Others</w:t>
      </w:r>
      <w:r w:rsidRPr="00DD3D56">
        <w:rPr>
          <w:rFonts w:ascii="Arial" w:hAnsi="Arial" w:cs="Arial"/>
          <w:color w:val="000000"/>
        </w:rPr>
        <w:t> </w:t>
      </w:r>
      <w:r w:rsidRPr="00DD3D56">
        <w:rPr>
          <w:rFonts w:ascii="Arial" w:hAnsi="Arial" w:cs="Arial"/>
        </w:rPr>
        <w:t>2009 (1) SA 1 (CC)</w:t>
      </w:r>
      <w:r w:rsidRPr="00DD3D56">
        <w:rPr>
          <w:rFonts w:ascii="Arial" w:hAnsi="Arial" w:cs="Arial"/>
          <w:color w:val="000000"/>
        </w:rPr>
        <w:t> (2008 (2) SACR 421; [2008] ZACC 13) para 8.</w:t>
      </w:r>
    </w:p>
  </w:footnote>
  <w:footnote w:id="11">
    <w:p w:rsidR="00187A4C" w:rsidRPr="00DD3D56" w:rsidRDefault="002E1AB3">
      <w:pPr>
        <w:tabs>
          <w:tab w:val="left" w:pos="567"/>
        </w:tabs>
        <w:spacing w:before="0" w:beforeAutospacing="0" w:after="0" w:afterAutospacing="0" w:line="360" w:lineRule="auto"/>
        <w:ind w:left="562" w:hanging="562"/>
        <w:jc w:val="both"/>
        <w:rPr>
          <w:rFonts w:ascii="Arial" w:hAnsi="Arial" w:cs="Arial"/>
          <w:color w:val="000000"/>
          <w:sz w:val="20"/>
          <w:szCs w:val="20"/>
        </w:rPr>
      </w:pPr>
      <w:r w:rsidRPr="00DD3D56">
        <w:rPr>
          <w:rStyle w:val="FootnoteReference"/>
          <w:rFonts w:ascii="Arial" w:hAnsi="Arial" w:cs="Arial"/>
          <w:sz w:val="20"/>
          <w:szCs w:val="20"/>
        </w:rPr>
        <w:footnoteRef/>
      </w:r>
      <w:r w:rsidRPr="00DD3D56">
        <w:rPr>
          <w:rFonts w:ascii="Arial" w:hAnsi="Arial" w:cs="Arial"/>
          <w:sz w:val="20"/>
          <w:szCs w:val="20"/>
        </w:rPr>
        <w:t xml:space="preserve"> 2009 (2) SA 277 (SCA)</w:t>
      </w:r>
      <w:r w:rsidR="00F52BA6" w:rsidRPr="00DD3D56">
        <w:rPr>
          <w:rFonts w:ascii="Arial" w:hAnsi="Arial" w:cs="Arial"/>
          <w:sz w:val="20"/>
          <w:szCs w:val="20"/>
        </w:rPr>
        <w:t>;</w:t>
      </w:r>
      <w:r w:rsidRPr="00DD3D56">
        <w:rPr>
          <w:rFonts w:ascii="Arial" w:hAnsi="Arial" w:cs="Arial"/>
          <w:color w:val="000000"/>
          <w:sz w:val="20"/>
          <w:szCs w:val="20"/>
        </w:rPr>
        <w:t xml:space="preserve"> (2009 (1) SACR 361; 2009 (4) BCLR 393; </w:t>
      </w:r>
      <w:r w:rsidR="00187A4C" w:rsidRPr="00DD3D56">
        <w:rPr>
          <w:rFonts w:ascii="Arial" w:hAnsi="Arial" w:cs="Arial"/>
          <w:color w:val="000000"/>
          <w:sz w:val="20"/>
          <w:szCs w:val="20"/>
        </w:rPr>
        <w:t>[2009] 2 All SA 243 (SCA)</w:t>
      </w:r>
    </w:p>
    <w:p w:rsidR="002E1AB3" w:rsidRPr="00DD3D56" w:rsidRDefault="00187A4C">
      <w:pPr>
        <w:tabs>
          <w:tab w:val="left" w:pos="567"/>
        </w:tabs>
        <w:spacing w:before="0" w:beforeAutospacing="0" w:after="0" w:afterAutospacing="0" w:line="360" w:lineRule="auto"/>
        <w:ind w:left="562" w:hanging="562"/>
        <w:jc w:val="both"/>
        <w:rPr>
          <w:rFonts w:ascii="Arial" w:hAnsi="Arial" w:cs="Arial"/>
          <w:color w:val="000000"/>
          <w:sz w:val="20"/>
          <w:szCs w:val="20"/>
        </w:rPr>
      </w:pPr>
      <w:r w:rsidRPr="00DD3D56" w:rsidDel="00187A4C">
        <w:rPr>
          <w:rFonts w:ascii="Arial" w:hAnsi="Arial" w:cs="Arial"/>
          <w:color w:val="000000"/>
          <w:sz w:val="20"/>
          <w:szCs w:val="20"/>
        </w:rPr>
        <w:t xml:space="preserve"> </w:t>
      </w:r>
      <w:r w:rsidR="002E1AB3" w:rsidRPr="00DD3D56">
        <w:rPr>
          <w:rFonts w:ascii="Arial" w:hAnsi="Arial" w:cs="Arial"/>
          <w:color w:val="000000"/>
          <w:sz w:val="20"/>
          <w:szCs w:val="20"/>
        </w:rPr>
        <w:t>para 26.</w:t>
      </w:r>
    </w:p>
    <w:p w:rsidR="002E1AB3" w:rsidRPr="00627AD6" w:rsidRDefault="002E1AB3">
      <w:pPr>
        <w:pStyle w:val="FootnoteText"/>
        <w:jc w:val="both"/>
        <w:rPr>
          <w:rFonts w:ascii="Arial" w:hAnsi="Arial" w:cs="Arial"/>
          <w:lang w:val="en-US"/>
        </w:rPr>
      </w:pPr>
    </w:p>
  </w:footnote>
  <w:footnote w:id="12">
    <w:p w:rsidR="002E1AB3" w:rsidRPr="00DD3D56" w:rsidRDefault="002E1AB3" w:rsidP="00627AD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w:t>
      </w:r>
      <w:r w:rsidRPr="00DD3D56">
        <w:rPr>
          <w:rFonts w:ascii="Arial" w:hAnsi="Arial" w:cs="Arial"/>
          <w:lang w:val="en-US"/>
        </w:rPr>
        <w:t>Ibid</w:t>
      </w:r>
      <w:r w:rsidRPr="005F54FF">
        <w:rPr>
          <w:rFonts w:ascii="Arial" w:hAnsi="Arial" w:cs="Arial"/>
          <w:lang w:val="en-US"/>
        </w:rPr>
        <w:t xml:space="preserve">, </w:t>
      </w:r>
      <w:r w:rsidR="005F54FF" w:rsidRPr="005F54FF">
        <w:rPr>
          <w:rFonts w:ascii="Arial" w:hAnsi="Arial" w:cs="Arial"/>
          <w:lang w:val="en-US"/>
        </w:rPr>
        <w:t>F</w:t>
      </w:r>
      <w:r w:rsidRPr="005F54FF">
        <w:rPr>
          <w:rFonts w:ascii="Arial" w:hAnsi="Arial" w:cs="Arial"/>
          <w:lang w:val="en-US"/>
        </w:rPr>
        <w:t xml:space="preserve">n </w:t>
      </w:r>
      <w:r w:rsidR="00253136" w:rsidRPr="005F54FF">
        <w:rPr>
          <w:rFonts w:ascii="Arial" w:hAnsi="Arial" w:cs="Arial"/>
          <w:lang w:val="en-US"/>
        </w:rPr>
        <w:t>8</w:t>
      </w:r>
      <w:r w:rsidR="005F54FF">
        <w:rPr>
          <w:rFonts w:ascii="Arial" w:hAnsi="Arial" w:cs="Arial"/>
          <w:lang w:val="en-US"/>
        </w:rPr>
        <w:t>.</w:t>
      </w:r>
      <w:r w:rsidRPr="00DD3D56">
        <w:rPr>
          <w:rFonts w:ascii="Arial" w:hAnsi="Arial" w:cs="Arial"/>
          <w:lang w:val="en-US"/>
        </w:rPr>
        <w:t xml:space="preserve"> </w:t>
      </w:r>
    </w:p>
  </w:footnote>
  <w:footnote w:id="13">
    <w:p w:rsidR="002E1AB3" w:rsidRPr="00DD3D56" w:rsidRDefault="002E1AB3" w:rsidP="00627AD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w:t>
      </w:r>
      <w:r w:rsidRPr="00DD3D56">
        <w:rPr>
          <w:rFonts w:ascii="Arial" w:hAnsi="Arial" w:cs="Arial"/>
          <w:color w:val="000000"/>
        </w:rPr>
        <w:t xml:space="preserve">NASC SA 3/2007 ([2008] NASC 15). </w:t>
      </w:r>
    </w:p>
  </w:footnote>
  <w:footnote w:id="14">
    <w:p w:rsidR="002E1AB3" w:rsidRPr="00DD3D56" w:rsidRDefault="002E1AB3" w:rsidP="00627AD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w:t>
      </w:r>
      <w:r w:rsidRPr="00DD3D56">
        <w:rPr>
          <w:rFonts w:ascii="Arial" w:hAnsi="Arial" w:cs="Arial"/>
          <w:lang w:val="en-US"/>
        </w:rPr>
        <w:t xml:space="preserve">Ibid, </w:t>
      </w:r>
      <w:r w:rsidRPr="00B84094">
        <w:rPr>
          <w:rFonts w:ascii="Arial" w:hAnsi="Arial" w:cs="Arial"/>
          <w:lang w:val="en-US"/>
        </w:rPr>
        <w:t xml:space="preserve">Fn </w:t>
      </w:r>
      <w:r w:rsidR="00D344C4" w:rsidRPr="00B84094">
        <w:rPr>
          <w:rFonts w:ascii="Arial" w:hAnsi="Arial" w:cs="Arial"/>
          <w:lang w:val="en-US"/>
        </w:rPr>
        <w:t>8</w:t>
      </w:r>
      <w:r w:rsidRPr="00DD3D56">
        <w:rPr>
          <w:rFonts w:ascii="Arial" w:hAnsi="Arial" w:cs="Arial"/>
          <w:i/>
        </w:rPr>
        <w:t xml:space="preserve"> B</w:t>
      </w:r>
      <w:r w:rsidRPr="00DD3D56">
        <w:rPr>
          <w:rFonts w:ascii="Arial" w:hAnsi="Arial" w:cs="Arial"/>
          <w:bCs/>
          <w:i/>
          <w:color w:val="000000"/>
        </w:rPr>
        <w:t xml:space="preserve">isschoff and Others v Welbeplan Boerdery </w:t>
      </w:r>
      <w:r w:rsidRPr="00DD3D56">
        <w:rPr>
          <w:rFonts w:ascii="Arial" w:hAnsi="Arial" w:cs="Arial"/>
          <w:lang w:val="en-US"/>
        </w:rPr>
        <w:t>para 7.</w:t>
      </w:r>
    </w:p>
  </w:footnote>
  <w:footnote w:id="15">
    <w:p w:rsidR="002E1AB3" w:rsidRPr="00DD3D56" w:rsidRDefault="002E1AB3" w:rsidP="00627AD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w:t>
      </w:r>
      <w:r w:rsidRPr="00DD3D56">
        <w:rPr>
          <w:rFonts w:ascii="Arial" w:hAnsi="Arial" w:cs="Arial"/>
          <w:color w:val="000000"/>
        </w:rPr>
        <w:t>1969 (2) SA 59 (O) at 65G – 66A.</w:t>
      </w:r>
    </w:p>
  </w:footnote>
  <w:footnote w:id="16">
    <w:p w:rsidR="002E1AB3" w:rsidRPr="00DD3D56" w:rsidRDefault="002E1AB3" w:rsidP="00627AD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w:t>
      </w:r>
      <w:r w:rsidRPr="00DD3D56">
        <w:rPr>
          <w:rFonts w:ascii="Arial" w:hAnsi="Arial" w:cs="Arial"/>
          <w:color w:val="000000"/>
        </w:rPr>
        <w:t xml:space="preserve">1951 (3) SA 307 (O).  </w:t>
      </w:r>
    </w:p>
  </w:footnote>
  <w:footnote w:id="17">
    <w:p w:rsidR="002E1AB3" w:rsidRPr="00DD3D56" w:rsidRDefault="002E1AB3" w:rsidP="00627AD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w:t>
      </w:r>
      <w:r w:rsidRPr="00DD3D56">
        <w:rPr>
          <w:rFonts w:ascii="Arial" w:hAnsi="Arial" w:cs="Arial"/>
          <w:i/>
          <w:iCs/>
          <w:color w:val="000000"/>
        </w:rPr>
        <w:t>Burnham v Neumeyer</w:t>
      </w:r>
      <w:r w:rsidRPr="00DD3D56">
        <w:rPr>
          <w:rFonts w:ascii="Arial" w:hAnsi="Arial" w:cs="Arial"/>
          <w:color w:val="000000"/>
        </w:rPr>
        <w:t> 1917 TPD 630 at 633; </w:t>
      </w:r>
      <w:r w:rsidRPr="00DD3D56">
        <w:rPr>
          <w:rFonts w:ascii="Arial" w:hAnsi="Arial" w:cs="Arial"/>
          <w:i/>
          <w:iCs/>
          <w:color w:val="000000"/>
        </w:rPr>
        <w:t>Jivan v National Housing Commission</w:t>
      </w:r>
      <w:r w:rsidRPr="00DD3D56">
        <w:rPr>
          <w:rFonts w:ascii="Arial" w:hAnsi="Arial" w:cs="Arial"/>
          <w:color w:val="000000"/>
        </w:rPr>
        <w:t> 1977 (3) SA 890 (W) at 894A – 896G.</w:t>
      </w:r>
    </w:p>
  </w:footnote>
  <w:footnote w:id="18">
    <w:p w:rsidR="002E1AB3" w:rsidRPr="00DD3D56" w:rsidRDefault="002E1AB3" w:rsidP="00627AD6">
      <w:pPr>
        <w:pStyle w:val="FootnoteText"/>
        <w:jc w:val="both"/>
        <w:rPr>
          <w:rFonts w:ascii="Arial" w:hAnsi="Arial" w:cs="Arial"/>
          <w:lang w:val="en-US"/>
        </w:rPr>
      </w:pPr>
      <w:r w:rsidRPr="00DD3D56">
        <w:rPr>
          <w:rStyle w:val="FootnoteReference"/>
          <w:rFonts w:ascii="Arial" w:hAnsi="Arial" w:cs="Arial"/>
        </w:rPr>
        <w:footnoteRef/>
      </w:r>
      <w:r w:rsidRPr="00DD3D56">
        <w:rPr>
          <w:rFonts w:ascii="Arial" w:hAnsi="Arial" w:cs="Arial"/>
        </w:rPr>
        <w:t xml:space="preserve"> </w:t>
      </w:r>
      <w:r w:rsidRPr="00DD3D56">
        <w:rPr>
          <w:rFonts w:ascii="Arial" w:hAnsi="Arial" w:cs="Arial"/>
          <w:bCs/>
          <w:color w:val="000000"/>
        </w:rPr>
        <w:t>2021 (3) SA 482 (SCA) para 21.</w:t>
      </w:r>
      <w:r w:rsidRPr="00DD3D56">
        <w:rPr>
          <w:rFonts w:ascii="Arial" w:hAnsi="Arial" w:cs="Arial"/>
          <w:color w:val="000000"/>
        </w:rPr>
        <w:t xml:space="preserve">    </w:t>
      </w:r>
    </w:p>
  </w:footnote>
  <w:footnote w:id="19">
    <w:p w:rsidR="002E1AB3" w:rsidRPr="00627AD6" w:rsidRDefault="002E1AB3" w:rsidP="00627AD6">
      <w:pPr>
        <w:pStyle w:val="FootnoteText"/>
        <w:jc w:val="both"/>
        <w:rPr>
          <w:rFonts w:ascii="Arial" w:hAnsi="Arial" w:cs="Arial"/>
          <w:bCs/>
          <w:color w:val="000000"/>
        </w:rPr>
      </w:pPr>
      <w:r w:rsidRPr="00627AD6">
        <w:rPr>
          <w:rStyle w:val="FootnoteReference"/>
          <w:rFonts w:ascii="Arial" w:hAnsi="Arial" w:cs="Arial"/>
        </w:rPr>
        <w:footnoteRef/>
      </w:r>
      <w:r w:rsidRPr="00DD3D56">
        <w:rPr>
          <w:rFonts w:ascii="Arial" w:hAnsi="Arial" w:cs="Arial"/>
          <w:bCs/>
          <w:i/>
          <w:color w:val="000000"/>
        </w:rPr>
        <w:t>Vantage Goldfields SA (Pty) Ltd and Others v Arqomanzi (Pty) Ltd</w:t>
      </w:r>
      <w:r w:rsidRPr="00DD3D56">
        <w:rPr>
          <w:rFonts w:ascii="Arial" w:hAnsi="Arial" w:cs="Arial"/>
          <w:bCs/>
          <w:color w:val="000000"/>
        </w:rPr>
        <w:t xml:space="preserve"> 2023 (4) SA 568 (SCA) para 36</w:t>
      </w:r>
      <w:r w:rsidR="00D95D67" w:rsidRPr="00DD3D56">
        <w:rPr>
          <w:rFonts w:ascii="Arial" w:hAnsi="Arial" w:cs="Arial"/>
          <w:bCs/>
          <w:color w:val="000000"/>
        </w:rPr>
        <w:t xml:space="preserve">; see also </w:t>
      </w:r>
      <w:r w:rsidR="00D95D67" w:rsidRPr="00DD3D56">
        <w:rPr>
          <w:rFonts w:ascii="Arial" w:hAnsi="Arial" w:cs="Arial"/>
          <w:bCs/>
          <w:i/>
          <w:color w:val="000000"/>
        </w:rPr>
        <w:t>Mngomezulu v Ethekwini Metropolitan Municipality</w:t>
      </w:r>
      <w:r w:rsidR="00D95D67" w:rsidRPr="00DD3D56">
        <w:rPr>
          <w:rFonts w:ascii="Arial" w:hAnsi="Arial" w:cs="Arial"/>
          <w:bCs/>
          <w:color w:val="000000"/>
        </w:rPr>
        <w:t xml:space="preserve"> [2019] JOL 42098 (SCA), para 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E9" w:rsidRDefault="001B6B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8521"/>
      <w:docPartObj>
        <w:docPartGallery w:val="Page Numbers (Top of Page)"/>
        <w:docPartUnique/>
      </w:docPartObj>
    </w:sdtPr>
    <w:sdtEndPr>
      <w:rPr>
        <w:noProof/>
      </w:rPr>
    </w:sdtEndPr>
    <w:sdtContent>
      <w:p w:rsidR="002E1AB3" w:rsidRDefault="002E1AB3">
        <w:pPr>
          <w:pStyle w:val="Header"/>
          <w:jc w:val="right"/>
        </w:pPr>
        <w:r>
          <w:fldChar w:fldCharType="begin"/>
        </w:r>
        <w:r>
          <w:instrText xml:space="preserve"> PAGE   \* MERGEFORMAT </w:instrText>
        </w:r>
        <w:r>
          <w:fldChar w:fldCharType="separate"/>
        </w:r>
        <w:r w:rsidR="0052478A">
          <w:rPr>
            <w:noProof/>
          </w:rPr>
          <w:t>21</w:t>
        </w:r>
        <w:r>
          <w:rPr>
            <w:noProof/>
          </w:rPr>
          <w:fldChar w:fldCharType="end"/>
        </w:r>
      </w:p>
    </w:sdtContent>
  </w:sdt>
  <w:p w:rsidR="002E1AB3" w:rsidRDefault="002E1A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E9" w:rsidRDefault="001B6B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0FE"/>
    <w:multiLevelType w:val="hybridMultilevel"/>
    <w:tmpl w:val="D9FA0E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AF13EF"/>
    <w:multiLevelType w:val="hybridMultilevel"/>
    <w:tmpl w:val="CC264D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2333E3"/>
    <w:multiLevelType w:val="hybridMultilevel"/>
    <w:tmpl w:val="67A22CF8"/>
    <w:lvl w:ilvl="0" w:tplc="8BC8E93C">
      <w:start w:val="40"/>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07766679"/>
    <w:multiLevelType w:val="multilevel"/>
    <w:tmpl w:val="AE8CBDD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D61487C"/>
    <w:multiLevelType w:val="hybridMultilevel"/>
    <w:tmpl w:val="63566CFE"/>
    <w:lvl w:ilvl="0" w:tplc="AE741E3E">
      <w:start w:val="1"/>
      <w:numFmt w:val="decimal"/>
      <w:lvlText w:val="%1."/>
      <w:lvlJc w:val="left"/>
      <w:pPr>
        <w:tabs>
          <w:tab w:val="num" w:pos="720"/>
        </w:tabs>
        <w:ind w:left="720" w:hanging="360"/>
      </w:pPr>
      <w:rPr>
        <w:rFonts w:hint="default"/>
        <w:b w:val="0"/>
        <w:i w:val="0"/>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6B4274"/>
    <w:multiLevelType w:val="hybridMultilevel"/>
    <w:tmpl w:val="286625EC"/>
    <w:lvl w:ilvl="0" w:tplc="975AD314">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EC486E"/>
    <w:multiLevelType w:val="hybridMultilevel"/>
    <w:tmpl w:val="DCFC4D14"/>
    <w:lvl w:ilvl="0" w:tplc="4B78B48C">
      <w:start w:val="1"/>
      <w:numFmt w:val="decimal"/>
      <w:lvlText w:val="(%1)"/>
      <w:lvlJc w:val="left"/>
      <w:pPr>
        <w:ind w:left="1443" w:hanging="876"/>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78B33487"/>
    <w:multiLevelType w:val="hybridMultilevel"/>
    <w:tmpl w:val="CD98B7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B7"/>
    <w:rsid w:val="000001BA"/>
    <w:rsid w:val="000011FA"/>
    <w:rsid w:val="00002B3A"/>
    <w:rsid w:val="00007816"/>
    <w:rsid w:val="00007E2F"/>
    <w:rsid w:val="00011CA4"/>
    <w:rsid w:val="0001255E"/>
    <w:rsid w:val="00012729"/>
    <w:rsid w:val="0001387A"/>
    <w:rsid w:val="00013E7B"/>
    <w:rsid w:val="00013F68"/>
    <w:rsid w:val="00014F46"/>
    <w:rsid w:val="00020739"/>
    <w:rsid w:val="00023049"/>
    <w:rsid w:val="00024F4E"/>
    <w:rsid w:val="00025F20"/>
    <w:rsid w:val="00026178"/>
    <w:rsid w:val="00026BCF"/>
    <w:rsid w:val="000304FB"/>
    <w:rsid w:val="0003085F"/>
    <w:rsid w:val="00034E2A"/>
    <w:rsid w:val="0003689F"/>
    <w:rsid w:val="00040902"/>
    <w:rsid w:val="00043CAC"/>
    <w:rsid w:val="00044643"/>
    <w:rsid w:val="000456C9"/>
    <w:rsid w:val="00046B38"/>
    <w:rsid w:val="00047EB7"/>
    <w:rsid w:val="00050A44"/>
    <w:rsid w:val="00051505"/>
    <w:rsid w:val="000518DF"/>
    <w:rsid w:val="000529A9"/>
    <w:rsid w:val="00056305"/>
    <w:rsid w:val="00060264"/>
    <w:rsid w:val="000618B8"/>
    <w:rsid w:val="00062F61"/>
    <w:rsid w:val="00063F3F"/>
    <w:rsid w:val="00064305"/>
    <w:rsid w:val="00064F58"/>
    <w:rsid w:val="00066B29"/>
    <w:rsid w:val="0006722A"/>
    <w:rsid w:val="00067837"/>
    <w:rsid w:val="00070780"/>
    <w:rsid w:val="0007161A"/>
    <w:rsid w:val="00071E94"/>
    <w:rsid w:val="00072E0B"/>
    <w:rsid w:val="000735D7"/>
    <w:rsid w:val="00074560"/>
    <w:rsid w:val="000760E7"/>
    <w:rsid w:val="00077296"/>
    <w:rsid w:val="00080AE8"/>
    <w:rsid w:val="000815B6"/>
    <w:rsid w:val="00081FF6"/>
    <w:rsid w:val="00082B50"/>
    <w:rsid w:val="00083B38"/>
    <w:rsid w:val="00083E45"/>
    <w:rsid w:val="0008469F"/>
    <w:rsid w:val="000860F1"/>
    <w:rsid w:val="0008684B"/>
    <w:rsid w:val="00087412"/>
    <w:rsid w:val="000902DE"/>
    <w:rsid w:val="000906D3"/>
    <w:rsid w:val="000927E5"/>
    <w:rsid w:val="00093321"/>
    <w:rsid w:val="000939F6"/>
    <w:rsid w:val="000946E9"/>
    <w:rsid w:val="000948C7"/>
    <w:rsid w:val="000965D2"/>
    <w:rsid w:val="000966C4"/>
    <w:rsid w:val="000A1A4C"/>
    <w:rsid w:val="000A316B"/>
    <w:rsid w:val="000A52BD"/>
    <w:rsid w:val="000A574E"/>
    <w:rsid w:val="000A6E96"/>
    <w:rsid w:val="000B0297"/>
    <w:rsid w:val="000B3F6E"/>
    <w:rsid w:val="000B46A4"/>
    <w:rsid w:val="000B4E1C"/>
    <w:rsid w:val="000B5F90"/>
    <w:rsid w:val="000C18A9"/>
    <w:rsid w:val="000C1995"/>
    <w:rsid w:val="000C1C99"/>
    <w:rsid w:val="000C41A0"/>
    <w:rsid w:val="000C4998"/>
    <w:rsid w:val="000C5476"/>
    <w:rsid w:val="000C5FEE"/>
    <w:rsid w:val="000C6A8D"/>
    <w:rsid w:val="000C7F33"/>
    <w:rsid w:val="000D1E82"/>
    <w:rsid w:val="000D20E4"/>
    <w:rsid w:val="000D2B85"/>
    <w:rsid w:val="000D4B36"/>
    <w:rsid w:val="000E0E12"/>
    <w:rsid w:val="000E259A"/>
    <w:rsid w:val="000E31F0"/>
    <w:rsid w:val="000E640F"/>
    <w:rsid w:val="000E64AB"/>
    <w:rsid w:val="000F19AA"/>
    <w:rsid w:val="000F2300"/>
    <w:rsid w:val="000F2433"/>
    <w:rsid w:val="000F30CD"/>
    <w:rsid w:val="00100BF9"/>
    <w:rsid w:val="001012B6"/>
    <w:rsid w:val="00101547"/>
    <w:rsid w:val="00102414"/>
    <w:rsid w:val="00102DB7"/>
    <w:rsid w:val="00103B03"/>
    <w:rsid w:val="00103CC2"/>
    <w:rsid w:val="00105CD7"/>
    <w:rsid w:val="00106D86"/>
    <w:rsid w:val="00107B79"/>
    <w:rsid w:val="00107C7C"/>
    <w:rsid w:val="0011108F"/>
    <w:rsid w:val="0011225E"/>
    <w:rsid w:val="00112529"/>
    <w:rsid w:val="00112A05"/>
    <w:rsid w:val="00114102"/>
    <w:rsid w:val="00115D7A"/>
    <w:rsid w:val="00116842"/>
    <w:rsid w:val="001205DF"/>
    <w:rsid w:val="0012114A"/>
    <w:rsid w:val="00121A1B"/>
    <w:rsid w:val="00121BB5"/>
    <w:rsid w:val="0012237D"/>
    <w:rsid w:val="0012300F"/>
    <w:rsid w:val="0012328F"/>
    <w:rsid w:val="001232DA"/>
    <w:rsid w:val="001233F5"/>
    <w:rsid w:val="001248D2"/>
    <w:rsid w:val="001264B6"/>
    <w:rsid w:val="00132DB3"/>
    <w:rsid w:val="001330A1"/>
    <w:rsid w:val="001331A0"/>
    <w:rsid w:val="00133F0E"/>
    <w:rsid w:val="00135328"/>
    <w:rsid w:val="00140BA3"/>
    <w:rsid w:val="00143379"/>
    <w:rsid w:val="00143FA9"/>
    <w:rsid w:val="0014430F"/>
    <w:rsid w:val="0014755B"/>
    <w:rsid w:val="0015024E"/>
    <w:rsid w:val="00152AEF"/>
    <w:rsid w:val="00155322"/>
    <w:rsid w:val="00157FD2"/>
    <w:rsid w:val="001604CA"/>
    <w:rsid w:val="00160EA3"/>
    <w:rsid w:val="001617CA"/>
    <w:rsid w:val="0016439E"/>
    <w:rsid w:val="00172203"/>
    <w:rsid w:val="00173B0E"/>
    <w:rsid w:val="00173B96"/>
    <w:rsid w:val="00177DDF"/>
    <w:rsid w:val="001834D4"/>
    <w:rsid w:val="001842A8"/>
    <w:rsid w:val="001844F4"/>
    <w:rsid w:val="00184D1C"/>
    <w:rsid w:val="00186184"/>
    <w:rsid w:val="001864FF"/>
    <w:rsid w:val="0018700F"/>
    <w:rsid w:val="0018701E"/>
    <w:rsid w:val="00187A4C"/>
    <w:rsid w:val="0019044B"/>
    <w:rsid w:val="00192457"/>
    <w:rsid w:val="001951B6"/>
    <w:rsid w:val="001954B5"/>
    <w:rsid w:val="001955CD"/>
    <w:rsid w:val="001967CE"/>
    <w:rsid w:val="00197B4E"/>
    <w:rsid w:val="001A128A"/>
    <w:rsid w:val="001A1343"/>
    <w:rsid w:val="001A206E"/>
    <w:rsid w:val="001A5AF9"/>
    <w:rsid w:val="001A693D"/>
    <w:rsid w:val="001A7335"/>
    <w:rsid w:val="001A737A"/>
    <w:rsid w:val="001A76DF"/>
    <w:rsid w:val="001A792D"/>
    <w:rsid w:val="001A79AC"/>
    <w:rsid w:val="001B2143"/>
    <w:rsid w:val="001B29DB"/>
    <w:rsid w:val="001B2CB1"/>
    <w:rsid w:val="001B5C25"/>
    <w:rsid w:val="001B6BE9"/>
    <w:rsid w:val="001C2535"/>
    <w:rsid w:val="001C43B7"/>
    <w:rsid w:val="001C4D41"/>
    <w:rsid w:val="001C670C"/>
    <w:rsid w:val="001C7F31"/>
    <w:rsid w:val="001D006A"/>
    <w:rsid w:val="001D0338"/>
    <w:rsid w:val="001D09C0"/>
    <w:rsid w:val="001D153E"/>
    <w:rsid w:val="001D1B6C"/>
    <w:rsid w:val="001D22B3"/>
    <w:rsid w:val="001D542F"/>
    <w:rsid w:val="001D5913"/>
    <w:rsid w:val="001D5E82"/>
    <w:rsid w:val="001D622C"/>
    <w:rsid w:val="001D6C86"/>
    <w:rsid w:val="001D77EC"/>
    <w:rsid w:val="001E0435"/>
    <w:rsid w:val="001E1F94"/>
    <w:rsid w:val="001E3BC0"/>
    <w:rsid w:val="001E4F8F"/>
    <w:rsid w:val="001E6BB4"/>
    <w:rsid w:val="001E6E2E"/>
    <w:rsid w:val="001E7BDC"/>
    <w:rsid w:val="001F4A4B"/>
    <w:rsid w:val="001F4AF1"/>
    <w:rsid w:val="001F680E"/>
    <w:rsid w:val="001F6C2D"/>
    <w:rsid w:val="001F7E6B"/>
    <w:rsid w:val="002001AC"/>
    <w:rsid w:val="00201E66"/>
    <w:rsid w:val="00202B99"/>
    <w:rsid w:val="00202C41"/>
    <w:rsid w:val="00202EF7"/>
    <w:rsid w:val="00202F73"/>
    <w:rsid w:val="00202F9A"/>
    <w:rsid w:val="002032F8"/>
    <w:rsid w:val="00203E6C"/>
    <w:rsid w:val="0020423D"/>
    <w:rsid w:val="002044BD"/>
    <w:rsid w:val="00204708"/>
    <w:rsid w:val="0020681A"/>
    <w:rsid w:val="00207E9D"/>
    <w:rsid w:val="0021151E"/>
    <w:rsid w:val="002121AF"/>
    <w:rsid w:val="00212421"/>
    <w:rsid w:val="00214614"/>
    <w:rsid w:val="00214C27"/>
    <w:rsid w:val="002156F9"/>
    <w:rsid w:val="002166F9"/>
    <w:rsid w:val="002179CD"/>
    <w:rsid w:val="00221721"/>
    <w:rsid w:val="00221948"/>
    <w:rsid w:val="002230E9"/>
    <w:rsid w:val="002231F2"/>
    <w:rsid w:val="00223A5D"/>
    <w:rsid w:val="002262EC"/>
    <w:rsid w:val="00227185"/>
    <w:rsid w:val="0022749A"/>
    <w:rsid w:val="00227A0E"/>
    <w:rsid w:val="00230029"/>
    <w:rsid w:val="00230072"/>
    <w:rsid w:val="00232A96"/>
    <w:rsid w:val="00234372"/>
    <w:rsid w:val="0023698E"/>
    <w:rsid w:val="002371D0"/>
    <w:rsid w:val="00243755"/>
    <w:rsid w:val="00245287"/>
    <w:rsid w:val="002505B6"/>
    <w:rsid w:val="002520A2"/>
    <w:rsid w:val="00253136"/>
    <w:rsid w:val="00254863"/>
    <w:rsid w:val="00254A4E"/>
    <w:rsid w:val="00263F54"/>
    <w:rsid w:val="00264664"/>
    <w:rsid w:val="00265772"/>
    <w:rsid w:val="00265F44"/>
    <w:rsid w:val="00266ED6"/>
    <w:rsid w:val="0027015C"/>
    <w:rsid w:val="00270472"/>
    <w:rsid w:val="00271C96"/>
    <w:rsid w:val="00272C9C"/>
    <w:rsid w:val="002730DF"/>
    <w:rsid w:val="00275482"/>
    <w:rsid w:val="00281233"/>
    <w:rsid w:val="00281536"/>
    <w:rsid w:val="00282EF9"/>
    <w:rsid w:val="00286C72"/>
    <w:rsid w:val="002876F5"/>
    <w:rsid w:val="00290AE6"/>
    <w:rsid w:val="00290BFD"/>
    <w:rsid w:val="00294DCA"/>
    <w:rsid w:val="00295DF1"/>
    <w:rsid w:val="002A161A"/>
    <w:rsid w:val="002A17A3"/>
    <w:rsid w:val="002A594B"/>
    <w:rsid w:val="002A74E2"/>
    <w:rsid w:val="002B03B2"/>
    <w:rsid w:val="002B0EBE"/>
    <w:rsid w:val="002B4467"/>
    <w:rsid w:val="002B5145"/>
    <w:rsid w:val="002B5191"/>
    <w:rsid w:val="002C3A85"/>
    <w:rsid w:val="002C3B3A"/>
    <w:rsid w:val="002C3BD1"/>
    <w:rsid w:val="002C4938"/>
    <w:rsid w:val="002D097B"/>
    <w:rsid w:val="002D1276"/>
    <w:rsid w:val="002D3D2A"/>
    <w:rsid w:val="002D50F9"/>
    <w:rsid w:val="002D52AA"/>
    <w:rsid w:val="002D5457"/>
    <w:rsid w:val="002D743F"/>
    <w:rsid w:val="002E1163"/>
    <w:rsid w:val="002E1AB3"/>
    <w:rsid w:val="002E4AC0"/>
    <w:rsid w:val="002E4D3D"/>
    <w:rsid w:val="002E50C0"/>
    <w:rsid w:val="002E6FF4"/>
    <w:rsid w:val="002E72E5"/>
    <w:rsid w:val="002F0835"/>
    <w:rsid w:val="002F0937"/>
    <w:rsid w:val="002F41A9"/>
    <w:rsid w:val="002F4516"/>
    <w:rsid w:val="002F6442"/>
    <w:rsid w:val="002F6896"/>
    <w:rsid w:val="003000A7"/>
    <w:rsid w:val="00300CCC"/>
    <w:rsid w:val="00306CE5"/>
    <w:rsid w:val="0031094A"/>
    <w:rsid w:val="00311185"/>
    <w:rsid w:val="0031134D"/>
    <w:rsid w:val="003141AD"/>
    <w:rsid w:val="00314CC6"/>
    <w:rsid w:val="003153B3"/>
    <w:rsid w:val="0031655B"/>
    <w:rsid w:val="00316A05"/>
    <w:rsid w:val="0031738E"/>
    <w:rsid w:val="003203BF"/>
    <w:rsid w:val="00320875"/>
    <w:rsid w:val="003209F8"/>
    <w:rsid w:val="00321633"/>
    <w:rsid w:val="0033048F"/>
    <w:rsid w:val="0033122B"/>
    <w:rsid w:val="00331CE0"/>
    <w:rsid w:val="0033216A"/>
    <w:rsid w:val="00332732"/>
    <w:rsid w:val="00332AC5"/>
    <w:rsid w:val="00335448"/>
    <w:rsid w:val="003403A7"/>
    <w:rsid w:val="00341826"/>
    <w:rsid w:val="0034299B"/>
    <w:rsid w:val="00342A4E"/>
    <w:rsid w:val="0034449C"/>
    <w:rsid w:val="00345DDE"/>
    <w:rsid w:val="003509D7"/>
    <w:rsid w:val="00350DE0"/>
    <w:rsid w:val="00356F6C"/>
    <w:rsid w:val="003579A4"/>
    <w:rsid w:val="00357EB3"/>
    <w:rsid w:val="003616FF"/>
    <w:rsid w:val="0036279B"/>
    <w:rsid w:val="00363702"/>
    <w:rsid w:val="00363E18"/>
    <w:rsid w:val="00364A74"/>
    <w:rsid w:val="00365A06"/>
    <w:rsid w:val="00366D59"/>
    <w:rsid w:val="00367142"/>
    <w:rsid w:val="00370A7D"/>
    <w:rsid w:val="003719C0"/>
    <w:rsid w:val="00373EF4"/>
    <w:rsid w:val="00375224"/>
    <w:rsid w:val="003770AB"/>
    <w:rsid w:val="003777F1"/>
    <w:rsid w:val="00377E99"/>
    <w:rsid w:val="00380368"/>
    <w:rsid w:val="0038369A"/>
    <w:rsid w:val="0038437A"/>
    <w:rsid w:val="003848F9"/>
    <w:rsid w:val="00385C3B"/>
    <w:rsid w:val="00385F98"/>
    <w:rsid w:val="003862C9"/>
    <w:rsid w:val="003875FA"/>
    <w:rsid w:val="00391C86"/>
    <w:rsid w:val="00392564"/>
    <w:rsid w:val="00392A59"/>
    <w:rsid w:val="00392DB9"/>
    <w:rsid w:val="00393D81"/>
    <w:rsid w:val="00395877"/>
    <w:rsid w:val="003970B0"/>
    <w:rsid w:val="003A12E7"/>
    <w:rsid w:val="003A1623"/>
    <w:rsid w:val="003A286B"/>
    <w:rsid w:val="003A6F7E"/>
    <w:rsid w:val="003A7AFE"/>
    <w:rsid w:val="003B0999"/>
    <w:rsid w:val="003B1B6A"/>
    <w:rsid w:val="003B4A1F"/>
    <w:rsid w:val="003B4CBE"/>
    <w:rsid w:val="003B725E"/>
    <w:rsid w:val="003B7B3C"/>
    <w:rsid w:val="003C1396"/>
    <w:rsid w:val="003C6F5E"/>
    <w:rsid w:val="003D04DC"/>
    <w:rsid w:val="003D273F"/>
    <w:rsid w:val="003D27B9"/>
    <w:rsid w:val="003D366B"/>
    <w:rsid w:val="003D3A94"/>
    <w:rsid w:val="003D49F5"/>
    <w:rsid w:val="003D5345"/>
    <w:rsid w:val="003D58B0"/>
    <w:rsid w:val="003E007D"/>
    <w:rsid w:val="003E03DD"/>
    <w:rsid w:val="003E1578"/>
    <w:rsid w:val="003E3E6B"/>
    <w:rsid w:val="003E403F"/>
    <w:rsid w:val="003E5B23"/>
    <w:rsid w:val="003E5BDD"/>
    <w:rsid w:val="003E6338"/>
    <w:rsid w:val="003E6430"/>
    <w:rsid w:val="003F2FAE"/>
    <w:rsid w:val="003F5EDB"/>
    <w:rsid w:val="00400FED"/>
    <w:rsid w:val="004029D2"/>
    <w:rsid w:val="00403182"/>
    <w:rsid w:val="00406999"/>
    <w:rsid w:val="00411035"/>
    <w:rsid w:val="00411D49"/>
    <w:rsid w:val="00415A34"/>
    <w:rsid w:val="00416CB6"/>
    <w:rsid w:val="00416F7D"/>
    <w:rsid w:val="00417A76"/>
    <w:rsid w:val="00417F3B"/>
    <w:rsid w:val="00421EE0"/>
    <w:rsid w:val="0042331B"/>
    <w:rsid w:val="00423C9B"/>
    <w:rsid w:val="00424B3E"/>
    <w:rsid w:val="00425CED"/>
    <w:rsid w:val="00426392"/>
    <w:rsid w:val="004263F1"/>
    <w:rsid w:val="00430644"/>
    <w:rsid w:val="0043104B"/>
    <w:rsid w:val="0043217E"/>
    <w:rsid w:val="00432742"/>
    <w:rsid w:val="00437624"/>
    <w:rsid w:val="00442506"/>
    <w:rsid w:val="00443B89"/>
    <w:rsid w:val="00443F71"/>
    <w:rsid w:val="004444AD"/>
    <w:rsid w:val="0044478F"/>
    <w:rsid w:val="00444A1B"/>
    <w:rsid w:val="004455FB"/>
    <w:rsid w:val="00446DE4"/>
    <w:rsid w:val="0045061A"/>
    <w:rsid w:val="00451ECE"/>
    <w:rsid w:val="00454DE9"/>
    <w:rsid w:val="00457E89"/>
    <w:rsid w:val="0046112B"/>
    <w:rsid w:val="00461405"/>
    <w:rsid w:val="00462109"/>
    <w:rsid w:val="00463BCC"/>
    <w:rsid w:val="004715A6"/>
    <w:rsid w:val="00472E6F"/>
    <w:rsid w:val="004734D0"/>
    <w:rsid w:val="00473A67"/>
    <w:rsid w:val="00482008"/>
    <w:rsid w:val="0048239C"/>
    <w:rsid w:val="00483CDB"/>
    <w:rsid w:val="00483F4E"/>
    <w:rsid w:val="004869FC"/>
    <w:rsid w:val="00491B8E"/>
    <w:rsid w:val="0049283D"/>
    <w:rsid w:val="00493F9A"/>
    <w:rsid w:val="004942C9"/>
    <w:rsid w:val="00494482"/>
    <w:rsid w:val="00497AF5"/>
    <w:rsid w:val="00497D50"/>
    <w:rsid w:val="004A0B97"/>
    <w:rsid w:val="004A10A7"/>
    <w:rsid w:val="004A1AB4"/>
    <w:rsid w:val="004A6135"/>
    <w:rsid w:val="004B2CF0"/>
    <w:rsid w:val="004B3222"/>
    <w:rsid w:val="004B360B"/>
    <w:rsid w:val="004B492A"/>
    <w:rsid w:val="004B6581"/>
    <w:rsid w:val="004B7BE8"/>
    <w:rsid w:val="004B7CB1"/>
    <w:rsid w:val="004C161A"/>
    <w:rsid w:val="004C391D"/>
    <w:rsid w:val="004C3AC8"/>
    <w:rsid w:val="004C3E08"/>
    <w:rsid w:val="004C3E0B"/>
    <w:rsid w:val="004C4D91"/>
    <w:rsid w:val="004C7095"/>
    <w:rsid w:val="004D08F1"/>
    <w:rsid w:val="004D0F53"/>
    <w:rsid w:val="004D2AD5"/>
    <w:rsid w:val="004D4CEB"/>
    <w:rsid w:val="004D4E34"/>
    <w:rsid w:val="004D5748"/>
    <w:rsid w:val="004D7546"/>
    <w:rsid w:val="004E1870"/>
    <w:rsid w:val="004E32B6"/>
    <w:rsid w:val="004E3D4D"/>
    <w:rsid w:val="004E4A83"/>
    <w:rsid w:val="004E71D9"/>
    <w:rsid w:val="004F31FD"/>
    <w:rsid w:val="004F4FA6"/>
    <w:rsid w:val="004F5002"/>
    <w:rsid w:val="004F6B50"/>
    <w:rsid w:val="004F7C8F"/>
    <w:rsid w:val="004F7EC7"/>
    <w:rsid w:val="004F7F6C"/>
    <w:rsid w:val="004F7FC5"/>
    <w:rsid w:val="00500733"/>
    <w:rsid w:val="00502458"/>
    <w:rsid w:val="00512BFC"/>
    <w:rsid w:val="0051343D"/>
    <w:rsid w:val="00514498"/>
    <w:rsid w:val="005150FA"/>
    <w:rsid w:val="00515881"/>
    <w:rsid w:val="0051711E"/>
    <w:rsid w:val="00521448"/>
    <w:rsid w:val="0052249E"/>
    <w:rsid w:val="005234D2"/>
    <w:rsid w:val="00523FDA"/>
    <w:rsid w:val="0052478A"/>
    <w:rsid w:val="00526655"/>
    <w:rsid w:val="00526F12"/>
    <w:rsid w:val="005275F1"/>
    <w:rsid w:val="00531055"/>
    <w:rsid w:val="005320F1"/>
    <w:rsid w:val="00532BE9"/>
    <w:rsid w:val="0053388F"/>
    <w:rsid w:val="00534824"/>
    <w:rsid w:val="00535A05"/>
    <w:rsid w:val="00537DA0"/>
    <w:rsid w:val="00537FD6"/>
    <w:rsid w:val="00537FFA"/>
    <w:rsid w:val="00541867"/>
    <w:rsid w:val="00541CA1"/>
    <w:rsid w:val="005428A3"/>
    <w:rsid w:val="00545B4D"/>
    <w:rsid w:val="00545BE5"/>
    <w:rsid w:val="00552334"/>
    <w:rsid w:val="00552534"/>
    <w:rsid w:val="0055279A"/>
    <w:rsid w:val="00552DD4"/>
    <w:rsid w:val="0055343B"/>
    <w:rsid w:val="005606CA"/>
    <w:rsid w:val="005648EF"/>
    <w:rsid w:val="00564E03"/>
    <w:rsid w:val="00565491"/>
    <w:rsid w:val="00565B02"/>
    <w:rsid w:val="00567173"/>
    <w:rsid w:val="0056786F"/>
    <w:rsid w:val="00570252"/>
    <w:rsid w:val="005709BA"/>
    <w:rsid w:val="00570B1A"/>
    <w:rsid w:val="00570DB6"/>
    <w:rsid w:val="00573DE6"/>
    <w:rsid w:val="00575369"/>
    <w:rsid w:val="005805D4"/>
    <w:rsid w:val="0058060C"/>
    <w:rsid w:val="00581C7D"/>
    <w:rsid w:val="00582E02"/>
    <w:rsid w:val="0058319C"/>
    <w:rsid w:val="00583255"/>
    <w:rsid w:val="00583B81"/>
    <w:rsid w:val="00585957"/>
    <w:rsid w:val="005875A1"/>
    <w:rsid w:val="00587B0B"/>
    <w:rsid w:val="00590F92"/>
    <w:rsid w:val="00592174"/>
    <w:rsid w:val="00594658"/>
    <w:rsid w:val="0059545E"/>
    <w:rsid w:val="005A13F6"/>
    <w:rsid w:val="005A2B09"/>
    <w:rsid w:val="005A37F4"/>
    <w:rsid w:val="005A416B"/>
    <w:rsid w:val="005A4617"/>
    <w:rsid w:val="005A53DB"/>
    <w:rsid w:val="005A6400"/>
    <w:rsid w:val="005A7914"/>
    <w:rsid w:val="005B0447"/>
    <w:rsid w:val="005B0B85"/>
    <w:rsid w:val="005B45F4"/>
    <w:rsid w:val="005B4E46"/>
    <w:rsid w:val="005B7F73"/>
    <w:rsid w:val="005C2EE0"/>
    <w:rsid w:val="005C3F13"/>
    <w:rsid w:val="005C7738"/>
    <w:rsid w:val="005D00DE"/>
    <w:rsid w:val="005D2A0E"/>
    <w:rsid w:val="005D4A37"/>
    <w:rsid w:val="005D4C17"/>
    <w:rsid w:val="005D7D86"/>
    <w:rsid w:val="005E06A2"/>
    <w:rsid w:val="005E6568"/>
    <w:rsid w:val="005E7C6F"/>
    <w:rsid w:val="005F0121"/>
    <w:rsid w:val="005F2481"/>
    <w:rsid w:val="005F3154"/>
    <w:rsid w:val="005F536A"/>
    <w:rsid w:val="005F54FF"/>
    <w:rsid w:val="005F5AAB"/>
    <w:rsid w:val="005F634B"/>
    <w:rsid w:val="00600ABD"/>
    <w:rsid w:val="00600AF0"/>
    <w:rsid w:val="00601F49"/>
    <w:rsid w:val="0060323F"/>
    <w:rsid w:val="00603484"/>
    <w:rsid w:val="00604014"/>
    <w:rsid w:val="006043C9"/>
    <w:rsid w:val="00604C9F"/>
    <w:rsid w:val="00604E72"/>
    <w:rsid w:val="00605E2C"/>
    <w:rsid w:val="006061F5"/>
    <w:rsid w:val="00611182"/>
    <w:rsid w:val="0061121E"/>
    <w:rsid w:val="00613004"/>
    <w:rsid w:val="00613625"/>
    <w:rsid w:val="00613956"/>
    <w:rsid w:val="00613B5E"/>
    <w:rsid w:val="006154C0"/>
    <w:rsid w:val="00615EFF"/>
    <w:rsid w:val="006201D1"/>
    <w:rsid w:val="00620603"/>
    <w:rsid w:val="00621DCF"/>
    <w:rsid w:val="00624FF3"/>
    <w:rsid w:val="00625FAA"/>
    <w:rsid w:val="00627AD6"/>
    <w:rsid w:val="00631030"/>
    <w:rsid w:val="006317A2"/>
    <w:rsid w:val="00632A93"/>
    <w:rsid w:val="00633592"/>
    <w:rsid w:val="00634407"/>
    <w:rsid w:val="00640140"/>
    <w:rsid w:val="00640143"/>
    <w:rsid w:val="00641091"/>
    <w:rsid w:val="0064381D"/>
    <w:rsid w:val="0064578F"/>
    <w:rsid w:val="006463DA"/>
    <w:rsid w:val="00651FBC"/>
    <w:rsid w:val="00652124"/>
    <w:rsid w:val="00652FEC"/>
    <w:rsid w:val="00654609"/>
    <w:rsid w:val="00654905"/>
    <w:rsid w:val="00657355"/>
    <w:rsid w:val="00657CA5"/>
    <w:rsid w:val="00660A82"/>
    <w:rsid w:val="00663B4A"/>
    <w:rsid w:val="00663F20"/>
    <w:rsid w:val="00664927"/>
    <w:rsid w:val="00664FE0"/>
    <w:rsid w:val="006652D7"/>
    <w:rsid w:val="00666CB2"/>
    <w:rsid w:val="006679EE"/>
    <w:rsid w:val="00670C4C"/>
    <w:rsid w:val="00671D2D"/>
    <w:rsid w:val="00671E51"/>
    <w:rsid w:val="006728AF"/>
    <w:rsid w:val="0067335D"/>
    <w:rsid w:val="00673760"/>
    <w:rsid w:val="00673972"/>
    <w:rsid w:val="0067490A"/>
    <w:rsid w:val="006750B3"/>
    <w:rsid w:val="00676D16"/>
    <w:rsid w:val="00681217"/>
    <w:rsid w:val="0068165D"/>
    <w:rsid w:val="00681998"/>
    <w:rsid w:val="00685BE8"/>
    <w:rsid w:val="00687DFC"/>
    <w:rsid w:val="006948B9"/>
    <w:rsid w:val="00696157"/>
    <w:rsid w:val="00697150"/>
    <w:rsid w:val="00697A76"/>
    <w:rsid w:val="006A2A17"/>
    <w:rsid w:val="006A4792"/>
    <w:rsid w:val="006A4991"/>
    <w:rsid w:val="006A4D37"/>
    <w:rsid w:val="006A4ED8"/>
    <w:rsid w:val="006A5709"/>
    <w:rsid w:val="006A6633"/>
    <w:rsid w:val="006A79F6"/>
    <w:rsid w:val="006A7A2D"/>
    <w:rsid w:val="006B0256"/>
    <w:rsid w:val="006B0739"/>
    <w:rsid w:val="006B11AC"/>
    <w:rsid w:val="006B1210"/>
    <w:rsid w:val="006B1966"/>
    <w:rsid w:val="006B2005"/>
    <w:rsid w:val="006B2333"/>
    <w:rsid w:val="006B2CAC"/>
    <w:rsid w:val="006B6187"/>
    <w:rsid w:val="006C0002"/>
    <w:rsid w:val="006C1E2F"/>
    <w:rsid w:val="006C2948"/>
    <w:rsid w:val="006C2EF1"/>
    <w:rsid w:val="006C41E1"/>
    <w:rsid w:val="006C595F"/>
    <w:rsid w:val="006C6196"/>
    <w:rsid w:val="006C6E8F"/>
    <w:rsid w:val="006C724A"/>
    <w:rsid w:val="006D01AA"/>
    <w:rsid w:val="006D1043"/>
    <w:rsid w:val="006D4A07"/>
    <w:rsid w:val="006D5644"/>
    <w:rsid w:val="006D5821"/>
    <w:rsid w:val="006E0349"/>
    <w:rsid w:val="006E1A40"/>
    <w:rsid w:val="006E2C32"/>
    <w:rsid w:val="006E4883"/>
    <w:rsid w:val="006E602A"/>
    <w:rsid w:val="006F11DF"/>
    <w:rsid w:val="006F13AA"/>
    <w:rsid w:val="006F2D37"/>
    <w:rsid w:val="006F3EFF"/>
    <w:rsid w:val="006F3FDD"/>
    <w:rsid w:val="006F5087"/>
    <w:rsid w:val="006F70F8"/>
    <w:rsid w:val="00700B69"/>
    <w:rsid w:val="00701173"/>
    <w:rsid w:val="00701359"/>
    <w:rsid w:val="007034E7"/>
    <w:rsid w:val="00705290"/>
    <w:rsid w:val="007065DE"/>
    <w:rsid w:val="007069B4"/>
    <w:rsid w:val="00707625"/>
    <w:rsid w:val="00711443"/>
    <w:rsid w:val="00712D1D"/>
    <w:rsid w:val="00714798"/>
    <w:rsid w:val="00714FCA"/>
    <w:rsid w:val="00715084"/>
    <w:rsid w:val="00717662"/>
    <w:rsid w:val="007179B2"/>
    <w:rsid w:val="00720506"/>
    <w:rsid w:val="00720F5B"/>
    <w:rsid w:val="007250F2"/>
    <w:rsid w:val="00727361"/>
    <w:rsid w:val="007313F3"/>
    <w:rsid w:val="00733D90"/>
    <w:rsid w:val="00733F7E"/>
    <w:rsid w:val="0073638F"/>
    <w:rsid w:val="00740F5B"/>
    <w:rsid w:val="007414F1"/>
    <w:rsid w:val="00741D35"/>
    <w:rsid w:val="00742361"/>
    <w:rsid w:val="007451E7"/>
    <w:rsid w:val="00747756"/>
    <w:rsid w:val="007477EC"/>
    <w:rsid w:val="007504D5"/>
    <w:rsid w:val="0075054E"/>
    <w:rsid w:val="0075240A"/>
    <w:rsid w:val="007530BB"/>
    <w:rsid w:val="00756C5F"/>
    <w:rsid w:val="00761834"/>
    <w:rsid w:val="00764383"/>
    <w:rsid w:val="00764DCD"/>
    <w:rsid w:val="0076600C"/>
    <w:rsid w:val="00766B3F"/>
    <w:rsid w:val="00770093"/>
    <w:rsid w:val="00771B24"/>
    <w:rsid w:val="00771F00"/>
    <w:rsid w:val="007727D5"/>
    <w:rsid w:val="00775960"/>
    <w:rsid w:val="007759A2"/>
    <w:rsid w:val="00781257"/>
    <w:rsid w:val="0078138C"/>
    <w:rsid w:val="007814DA"/>
    <w:rsid w:val="00781F3B"/>
    <w:rsid w:val="007826ED"/>
    <w:rsid w:val="00785289"/>
    <w:rsid w:val="00791ABA"/>
    <w:rsid w:val="00792629"/>
    <w:rsid w:val="00793074"/>
    <w:rsid w:val="007931F7"/>
    <w:rsid w:val="00793DEF"/>
    <w:rsid w:val="00794C33"/>
    <w:rsid w:val="007972BA"/>
    <w:rsid w:val="007A045D"/>
    <w:rsid w:val="007A2264"/>
    <w:rsid w:val="007A327A"/>
    <w:rsid w:val="007A3741"/>
    <w:rsid w:val="007A5888"/>
    <w:rsid w:val="007A5A0B"/>
    <w:rsid w:val="007A5D4C"/>
    <w:rsid w:val="007A718E"/>
    <w:rsid w:val="007A7AE2"/>
    <w:rsid w:val="007B0CF3"/>
    <w:rsid w:val="007B15F5"/>
    <w:rsid w:val="007B26E2"/>
    <w:rsid w:val="007B56AC"/>
    <w:rsid w:val="007B59C2"/>
    <w:rsid w:val="007B5BA5"/>
    <w:rsid w:val="007B618F"/>
    <w:rsid w:val="007B6BB3"/>
    <w:rsid w:val="007C03B0"/>
    <w:rsid w:val="007C4464"/>
    <w:rsid w:val="007C7484"/>
    <w:rsid w:val="007C7BE9"/>
    <w:rsid w:val="007D2B0E"/>
    <w:rsid w:val="007D3506"/>
    <w:rsid w:val="007D7B91"/>
    <w:rsid w:val="007E098B"/>
    <w:rsid w:val="007E2B61"/>
    <w:rsid w:val="007E2DF3"/>
    <w:rsid w:val="007E4FAB"/>
    <w:rsid w:val="007E5879"/>
    <w:rsid w:val="007F0A0A"/>
    <w:rsid w:val="007F156F"/>
    <w:rsid w:val="007F24AB"/>
    <w:rsid w:val="007F59E7"/>
    <w:rsid w:val="007F6F46"/>
    <w:rsid w:val="007F7B00"/>
    <w:rsid w:val="00803127"/>
    <w:rsid w:val="00806AAC"/>
    <w:rsid w:val="008075B7"/>
    <w:rsid w:val="0080773A"/>
    <w:rsid w:val="00816C2C"/>
    <w:rsid w:val="00816D07"/>
    <w:rsid w:val="00820795"/>
    <w:rsid w:val="008228EE"/>
    <w:rsid w:val="00824BDB"/>
    <w:rsid w:val="00824E8F"/>
    <w:rsid w:val="008278C4"/>
    <w:rsid w:val="00830B24"/>
    <w:rsid w:val="008316BA"/>
    <w:rsid w:val="00831928"/>
    <w:rsid w:val="00831C10"/>
    <w:rsid w:val="008321D1"/>
    <w:rsid w:val="00832760"/>
    <w:rsid w:val="00833383"/>
    <w:rsid w:val="00834377"/>
    <w:rsid w:val="00836226"/>
    <w:rsid w:val="00836CC8"/>
    <w:rsid w:val="00837685"/>
    <w:rsid w:val="0084041E"/>
    <w:rsid w:val="00843C69"/>
    <w:rsid w:val="00846A26"/>
    <w:rsid w:val="00847778"/>
    <w:rsid w:val="00847C64"/>
    <w:rsid w:val="00852375"/>
    <w:rsid w:val="00852B47"/>
    <w:rsid w:val="00854659"/>
    <w:rsid w:val="008560C9"/>
    <w:rsid w:val="00860E41"/>
    <w:rsid w:val="00862055"/>
    <w:rsid w:val="00864C76"/>
    <w:rsid w:val="00864F7F"/>
    <w:rsid w:val="008671CD"/>
    <w:rsid w:val="008673B7"/>
    <w:rsid w:val="00870A9A"/>
    <w:rsid w:val="00871697"/>
    <w:rsid w:val="00871C5B"/>
    <w:rsid w:val="00873CE4"/>
    <w:rsid w:val="0087422E"/>
    <w:rsid w:val="00874A69"/>
    <w:rsid w:val="00874D6D"/>
    <w:rsid w:val="00875AC5"/>
    <w:rsid w:val="008770E8"/>
    <w:rsid w:val="00881152"/>
    <w:rsid w:val="008813C5"/>
    <w:rsid w:val="0088357D"/>
    <w:rsid w:val="00883AFE"/>
    <w:rsid w:val="00884E24"/>
    <w:rsid w:val="00885D60"/>
    <w:rsid w:val="00887729"/>
    <w:rsid w:val="00891F6F"/>
    <w:rsid w:val="00892118"/>
    <w:rsid w:val="00892AB5"/>
    <w:rsid w:val="0089321A"/>
    <w:rsid w:val="00894900"/>
    <w:rsid w:val="00894E35"/>
    <w:rsid w:val="008A2E7A"/>
    <w:rsid w:val="008A441E"/>
    <w:rsid w:val="008A515A"/>
    <w:rsid w:val="008A55C8"/>
    <w:rsid w:val="008A6486"/>
    <w:rsid w:val="008B4BD4"/>
    <w:rsid w:val="008B5084"/>
    <w:rsid w:val="008B5BE0"/>
    <w:rsid w:val="008B5DF0"/>
    <w:rsid w:val="008C3CE9"/>
    <w:rsid w:val="008D0B74"/>
    <w:rsid w:val="008D1087"/>
    <w:rsid w:val="008D15FD"/>
    <w:rsid w:val="008D1B68"/>
    <w:rsid w:val="008D1FFD"/>
    <w:rsid w:val="008D2C5A"/>
    <w:rsid w:val="008D4926"/>
    <w:rsid w:val="008D4E65"/>
    <w:rsid w:val="008D5F7D"/>
    <w:rsid w:val="008D611E"/>
    <w:rsid w:val="008D6DEA"/>
    <w:rsid w:val="008E05CD"/>
    <w:rsid w:val="008E224E"/>
    <w:rsid w:val="008E2BC3"/>
    <w:rsid w:val="008E2C39"/>
    <w:rsid w:val="008E3038"/>
    <w:rsid w:val="008E3698"/>
    <w:rsid w:val="008E7213"/>
    <w:rsid w:val="008E79BE"/>
    <w:rsid w:val="008F1019"/>
    <w:rsid w:val="008F11AD"/>
    <w:rsid w:val="008F4382"/>
    <w:rsid w:val="008F4E53"/>
    <w:rsid w:val="008F768D"/>
    <w:rsid w:val="008F7E20"/>
    <w:rsid w:val="00900270"/>
    <w:rsid w:val="009005F8"/>
    <w:rsid w:val="00900C5B"/>
    <w:rsid w:val="00901570"/>
    <w:rsid w:val="0090276B"/>
    <w:rsid w:val="00903FB2"/>
    <w:rsid w:val="00904E6E"/>
    <w:rsid w:val="00905820"/>
    <w:rsid w:val="00905A42"/>
    <w:rsid w:val="00910636"/>
    <w:rsid w:val="009141B1"/>
    <w:rsid w:val="009148FE"/>
    <w:rsid w:val="009152F8"/>
    <w:rsid w:val="00916608"/>
    <w:rsid w:val="00917BB2"/>
    <w:rsid w:val="0092024E"/>
    <w:rsid w:val="0092103C"/>
    <w:rsid w:val="009219E7"/>
    <w:rsid w:val="00921FE0"/>
    <w:rsid w:val="00922E7D"/>
    <w:rsid w:val="009244A9"/>
    <w:rsid w:val="00927C8E"/>
    <w:rsid w:val="00927F1B"/>
    <w:rsid w:val="00932844"/>
    <w:rsid w:val="00933D33"/>
    <w:rsid w:val="009364E6"/>
    <w:rsid w:val="00940C89"/>
    <w:rsid w:val="009416CB"/>
    <w:rsid w:val="009417C1"/>
    <w:rsid w:val="00942150"/>
    <w:rsid w:val="00944407"/>
    <w:rsid w:val="00951524"/>
    <w:rsid w:val="00953617"/>
    <w:rsid w:val="00953DC5"/>
    <w:rsid w:val="00953DCF"/>
    <w:rsid w:val="00954033"/>
    <w:rsid w:val="0095584D"/>
    <w:rsid w:val="0095643A"/>
    <w:rsid w:val="009579C7"/>
    <w:rsid w:val="00957E26"/>
    <w:rsid w:val="009674BD"/>
    <w:rsid w:val="009701B8"/>
    <w:rsid w:val="009705C5"/>
    <w:rsid w:val="009713B3"/>
    <w:rsid w:val="009747AD"/>
    <w:rsid w:val="00976D9D"/>
    <w:rsid w:val="00981077"/>
    <w:rsid w:val="00984405"/>
    <w:rsid w:val="00984A98"/>
    <w:rsid w:val="00987B5C"/>
    <w:rsid w:val="009909BF"/>
    <w:rsid w:val="009965C0"/>
    <w:rsid w:val="009967AB"/>
    <w:rsid w:val="009A0C2A"/>
    <w:rsid w:val="009A2F7D"/>
    <w:rsid w:val="009A35E3"/>
    <w:rsid w:val="009A3FC6"/>
    <w:rsid w:val="009A63E0"/>
    <w:rsid w:val="009A7576"/>
    <w:rsid w:val="009A7E15"/>
    <w:rsid w:val="009B05ED"/>
    <w:rsid w:val="009B1235"/>
    <w:rsid w:val="009B2AE6"/>
    <w:rsid w:val="009B2C6D"/>
    <w:rsid w:val="009B4128"/>
    <w:rsid w:val="009B4CA7"/>
    <w:rsid w:val="009B6A53"/>
    <w:rsid w:val="009B7DC9"/>
    <w:rsid w:val="009C0837"/>
    <w:rsid w:val="009C15C4"/>
    <w:rsid w:val="009C1CFE"/>
    <w:rsid w:val="009C3F4E"/>
    <w:rsid w:val="009C4600"/>
    <w:rsid w:val="009C4E61"/>
    <w:rsid w:val="009C54A8"/>
    <w:rsid w:val="009C6283"/>
    <w:rsid w:val="009C6E2B"/>
    <w:rsid w:val="009C6F2F"/>
    <w:rsid w:val="009D008E"/>
    <w:rsid w:val="009D1A3B"/>
    <w:rsid w:val="009D2A0E"/>
    <w:rsid w:val="009D2D4C"/>
    <w:rsid w:val="009D4DCE"/>
    <w:rsid w:val="009D7FDC"/>
    <w:rsid w:val="009E0AC3"/>
    <w:rsid w:val="009E1AE5"/>
    <w:rsid w:val="009E27B5"/>
    <w:rsid w:val="009E3D04"/>
    <w:rsid w:val="009E4F19"/>
    <w:rsid w:val="009E5A41"/>
    <w:rsid w:val="009E6A3C"/>
    <w:rsid w:val="009F0C41"/>
    <w:rsid w:val="009F155D"/>
    <w:rsid w:val="009F1F05"/>
    <w:rsid w:val="009F2A34"/>
    <w:rsid w:val="009F38D0"/>
    <w:rsid w:val="009F3FEA"/>
    <w:rsid w:val="009F4494"/>
    <w:rsid w:val="009F751C"/>
    <w:rsid w:val="009F79F7"/>
    <w:rsid w:val="00A01D4D"/>
    <w:rsid w:val="00A01F9F"/>
    <w:rsid w:val="00A02C0D"/>
    <w:rsid w:val="00A036C3"/>
    <w:rsid w:val="00A0391B"/>
    <w:rsid w:val="00A048F5"/>
    <w:rsid w:val="00A04AA9"/>
    <w:rsid w:val="00A04BE7"/>
    <w:rsid w:val="00A072CA"/>
    <w:rsid w:val="00A10205"/>
    <w:rsid w:val="00A10946"/>
    <w:rsid w:val="00A1126B"/>
    <w:rsid w:val="00A1273E"/>
    <w:rsid w:val="00A141C3"/>
    <w:rsid w:val="00A15A20"/>
    <w:rsid w:val="00A15FCB"/>
    <w:rsid w:val="00A16D5C"/>
    <w:rsid w:val="00A2068B"/>
    <w:rsid w:val="00A20DBE"/>
    <w:rsid w:val="00A239E6"/>
    <w:rsid w:val="00A239EF"/>
    <w:rsid w:val="00A2492F"/>
    <w:rsid w:val="00A30C20"/>
    <w:rsid w:val="00A32EEF"/>
    <w:rsid w:val="00A33E2D"/>
    <w:rsid w:val="00A36744"/>
    <w:rsid w:val="00A376BC"/>
    <w:rsid w:val="00A40055"/>
    <w:rsid w:val="00A40C23"/>
    <w:rsid w:val="00A417C4"/>
    <w:rsid w:val="00A4246D"/>
    <w:rsid w:val="00A438B3"/>
    <w:rsid w:val="00A44160"/>
    <w:rsid w:val="00A44D54"/>
    <w:rsid w:val="00A45F91"/>
    <w:rsid w:val="00A477FE"/>
    <w:rsid w:val="00A50307"/>
    <w:rsid w:val="00A50F1E"/>
    <w:rsid w:val="00A51352"/>
    <w:rsid w:val="00A518CA"/>
    <w:rsid w:val="00A51D7A"/>
    <w:rsid w:val="00A53D88"/>
    <w:rsid w:val="00A560E3"/>
    <w:rsid w:val="00A56F3E"/>
    <w:rsid w:val="00A60672"/>
    <w:rsid w:val="00A60B39"/>
    <w:rsid w:val="00A60B86"/>
    <w:rsid w:val="00A64F66"/>
    <w:rsid w:val="00A77BE7"/>
    <w:rsid w:val="00A85DC1"/>
    <w:rsid w:val="00A90132"/>
    <w:rsid w:val="00A91737"/>
    <w:rsid w:val="00A9188E"/>
    <w:rsid w:val="00A92B2A"/>
    <w:rsid w:val="00A932CD"/>
    <w:rsid w:val="00A933D6"/>
    <w:rsid w:val="00A937CD"/>
    <w:rsid w:val="00A95276"/>
    <w:rsid w:val="00A955D7"/>
    <w:rsid w:val="00AA1EB0"/>
    <w:rsid w:val="00AA6A07"/>
    <w:rsid w:val="00AA6CBC"/>
    <w:rsid w:val="00AA73C6"/>
    <w:rsid w:val="00AA7E19"/>
    <w:rsid w:val="00AB09A1"/>
    <w:rsid w:val="00AB1CF0"/>
    <w:rsid w:val="00AB2164"/>
    <w:rsid w:val="00AB239F"/>
    <w:rsid w:val="00AB4FE1"/>
    <w:rsid w:val="00AB5608"/>
    <w:rsid w:val="00AB7AF2"/>
    <w:rsid w:val="00AC14DA"/>
    <w:rsid w:val="00AC353A"/>
    <w:rsid w:val="00AC3A04"/>
    <w:rsid w:val="00AC3CC0"/>
    <w:rsid w:val="00AC4C7A"/>
    <w:rsid w:val="00AC6CD6"/>
    <w:rsid w:val="00AC77E6"/>
    <w:rsid w:val="00AD0B85"/>
    <w:rsid w:val="00AD17C3"/>
    <w:rsid w:val="00AD3C22"/>
    <w:rsid w:val="00AD4E10"/>
    <w:rsid w:val="00AD4FFE"/>
    <w:rsid w:val="00AD58BE"/>
    <w:rsid w:val="00AD75C2"/>
    <w:rsid w:val="00AE1371"/>
    <w:rsid w:val="00AE1918"/>
    <w:rsid w:val="00AE223B"/>
    <w:rsid w:val="00AE6966"/>
    <w:rsid w:val="00AE6ED0"/>
    <w:rsid w:val="00AE6FBE"/>
    <w:rsid w:val="00AE7D6E"/>
    <w:rsid w:val="00AF177D"/>
    <w:rsid w:val="00AF2E7C"/>
    <w:rsid w:val="00AF4A25"/>
    <w:rsid w:val="00AF644E"/>
    <w:rsid w:val="00AF68C9"/>
    <w:rsid w:val="00AF77A1"/>
    <w:rsid w:val="00B00DA7"/>
    <w:rsid w:val="00B02188"/>
    <w:rsid w:val="00B049F4"/>
    <w:rsid w:val="00B05ED5"/>
    <w:rsid w:val="00B10D32"/>
    <w:rsid w:val="00B11111"/>
    <w:rsid w:val="00B121C8"/>
    <w:rsid w:val="00B14173"/>
    <w:rsid w:val="00B141BC"/>
    <w:rsid w:val="00B1498A"/>
    <w:rsid w:val="00B174D1"/>
    <w:rsid w:val="00B1762F"/>
    <w:rsid w:val="00B17F7B"/>
    <w:rsid w:val="00B20F0B"/>
    <w:rsid w:val="00B2181D"/>
    <w:rsid w:val="00B219AE"/>
    <w:rsid w:val="00B2235D"/>
    <w:rsid w:val="00B22F2C"/>
    <w:rsid w:val="00B247C6"/>
    <w:rsid w:val="00B256A2"/>
    <w:rsid w:val="00B278C7"/>
    <w:rsid w:val="00B3138F"/>
    <w:rsid w:val="00B33418"/>
    <w:rsid w:val="00B34BDF"/>
    <w:rsid w:val="00B35BB4"/>
    <w:rsid w:val="00B36A43"/>
    <w:rsid w:val="00B3738C"/>
    <w:rsid w:val="00B40674"/>
    <w:rsid w:val="00B40B75"/>
    <w:rsid w:val="00B44ED0"/>
    <w:rsid w:val="00B45D30"/>
    <w:rsid w:val="00B46D87"/>
    <w:rsid w:val="00B470B4"/>
    <w:rsid w:val="00B47762"/>
    <w:rsid w:val="00B47E8C"/>
    <w:rsid w:val="00B51339"/>
    <w:rsid w:val="00B52FDF"/>
    <w:rsid w:val="00B5366B"/>
    <w:rsid w:val="00B5380F"/>
    <w:rsid w:val="00B55D68"/>
    <w:rsid w:val="00B566F0"/>
    <w:rsid w:val="00B57E8A"/>
    <w:rsid w:val="00B62013"/>
    <w:rsid w:val="00B625AD"/>
    <w:rsid w:val="00B63C2C"/>
    <w:rsid w:val="00B65A97"/>
    <w:rsid w:val="00B65E94"/>
    <w:rsid w:val="00B66788"/>
    <w:rsid w:val="00B66C9B"/>
    <w:rsid w:val="00B673E7"/>
    <w:rsid w:val="00B7042D"/>
    <w:rsid w:val="00B71FD8"/>
    <w:rsid w:val="00B7225C"/>
    <w:rsid w:val="00B73A57"/>
    <w:rsid w:val="00B73D4E"/>
    <w:rsid w:val="00B744F6"/>
    <w:rsid w:val="00B77150"/>
    <w:rsid w:val="00B77601"/>
    <w:rsid w:val="00B82A0F"/>
    <w:rsid w:val="00B82A48"/>
    <w:rsid w:val="00B83E8F"/>
    <w:rsid w:val="00B84094"/>
    <w:rsid w:val="00B854AC"/>
    <w:rsid w:val="00B858F5"/>
    <w:rsid w:val="00B9033F"/>
    <w:rsid w:val="00B9060C"/>
    <w:rsid w:val="00B92054"/>
    <w:rsid w:val="00B923AA"/>
    <w:rsid w:val="00B925B1"/>
    <w:rsid w:val="00B931E1"/>
    <w:rsid w:val="00B96F4D"/>
    <w:rsid w:val="00B97311"/>
    <w:rsid w:val="00B9741C"/>
    <w:rsid w:val="00B974B7"/>
    <w:rsid w:val="00BA16EF"/>
    <w:rsid w:val="00BA2450"/>
    <w:rsid w:val="00BA37EF"/>
    <w:rsid w:val="00BA3DEF"/>
    <w:rsid w:val="00BA4482"/>
    <w:rsid w:val="00BA6064"/>
    <w:rsid w:val="00BB0423"/>
    <w:rsid w:val="00BB04F1"/>
    <w:rsid w:val="00BB38CA"/>
    <w:rsid w:val="00BB3DD2"/>
    <w:rsid w:val="00BB5237"/>
    <w:rsid w:val="00BC055F"/>
    <w:rsid w:val="00BC1F77"/>
    <w:rsid w:val="00BC49ED"/>
    <w:rsid w:val="00BC6376"/>
    <w:rsid w:val="00BC7CA7"/>
    <w:rsid w:val="00BD0326"/>
    <w:rsid w:val="00BD05C1"/>
    <w:rsid w:val="00BD3DCD"/>
    <w:rsid w:val="00BE0785"/>
    <w:rsid w:val="00BE109E"/>
    <w:rsid w:val="00BE494D"/>
    <w:rsid w:val="00BE4D35"/>
    <w:rsid w:val="00BE769B"/>
    <w:rsid w:val="00BF023E"/>
    <w:rsid w:val="00BF4B6D"/>
    <w:rsid w:val="00BF4BBA"/>
    <w:rsid w:val="00BF6077"/>
    <w:rsid w:val="00BF6104"/>
    <w:rsid w:val="00BF61B8"/>
    <w:rsid w:val="00C0014E"/>
    <w:rsid w:val="00C018FF"/>
    <w:rsid w:val="00C024C2"/>
    <w:rsid w:val="00C02A66"/>
    <w:rsid w:val="00C0419C"/>
    <w:rsid w:val="00C05BF8"/>
    <w:rsid w:val="00C06D82"/>
    <w:rsid w:val="00C06E29"/>
    <w:rsid w:val="00C10BAF"/>
    <w:rsid w:val="00C10D43"/>
    <w:rsid w:val="00C11135"/>
    <w:rsid w:val="00C131EC"/>
    <w:rsid w:val="00C143CF"/>
    <w:rsid w:val="00C16343"/>
    <w:rsid w:val="00C1634F"/>
    <w:rsid w:val="00C22473"/>
    <w:rsid w:val="00C227BD"/>
    <w:rsid w:val="00C22AD5"/>
    <w:rsid w:val="00C24030"/>
    <w:rsid w:val="00C2490B"/>
    <w:rsid w:val="00C27611"/>
    <w:rsid w:val="00C329FC"/>
    <w:rsid w:val="00C33209"/>
    <w:rsid w:val="00C34F20"/>
    <w:rsid w:val="00C353D8"/>
    <w:rsid w:val="00C35D6F"/>
    <w:rsid w:val="00C362F3"/>
    <w:rsid w:val="00C37110"/>
    <w:rsid w:val="00C37533"/>
    <w:rsid w:val="00C40D46"/>
    <w:rsid w:val="00C449D8"/>
    <w:rsid w:val="00C44B0C"/>
    <w:rsid w:val="00C4567D"/>
    <w:rsid w:val="00C457BE"/>
    <w:rsid w:val="00C46448"/>
    <w:rsid w:val="00C464FC"/>
    <w:rsid w:val="00C5066C"/>
    <w:rsid w:val="00C50AFE"/>
    <w:rsid w:val="00C5182D"/>
    <w:rsid w:val="00C52B3F"/>
    <w:rsid w:val="00C55EAB"/>
    <w:rsid w:val="00C55FDC"/>
    <w:rsid w:val="00C573BB"/>
    <w:rsid w:val="00C6152C"/>
    <w:rsid w:val="00C626B8"/>
    <w:rsid w:val="00C653FC"/>
    <w:rsid w:val="00C668FD"/>
    <w:rsid w:val="00C66A46"/>
    <w:rsid w:val="00C70154"/>
    <w:rsid w:val="00C704C7"/>
    <w:rsid w:val="00C73155"/>
    <w:rsid w:val="00C73267"/>
    <w:rsid w:val="00C73809"/>
    <w:rsid w:val="00C74676"/>
    <w:rsid w:val="00C7476F"/>
    <w:rsid w:val="00C74895"/>
    <w:rsid w:val="00C765A0"/>
    <w:rsid w:val="00C76BFD"/>
    <w:rsid w:val="00C76CFC"/>
    <w:rsid w:val="00C77466"/>
    <w:rsid w:val="00C80ED5"/>
    <w:rsid w:val="00C826EF"/>
    <w:rsid w:val="00C8387B"/>
    <w:rsid w:val="00C866B3"/>
    <w:rsid w:val="00C867B9"/>
    <w:rsid w:val="00C87AEC"/>
    <w:rsid w:val="00C902F6"/>
    <w:rsid w:val="00C928EE"/>
    <w:rsid w:val="00C949DC"/>
    <w:rsid w:val="00C975F3"/>
    <w:rsid w:val="00CA0C5A"/>
    <w:rsid w:val="00CA215A"/>
    <w:rsid w:val="00CA3384"/>
    <w:rsid w:val="00CA4B2E"/>
    <w:rsid w:val="00CA5DFF"/>
    <w:rsid w:val="00CA6565"/>
    <w:rsid w:val="00CA6DD7"/>
    <w:rsid w:val="00CA7151"/>
    <w:rsid w:val="00CA797D"/>
    <w:rsid w:val="00CB1C97"/>
    <w:rsid w:val="00CB37FE"/>
    <w:rsid w:val="00CB5A35"/>
    <w:rsid w:val="00CB7462"/>
    <w:rsid w:val="00CC0CC5"/>
    <w:rsid w:val="00CC38DC"/>
    <w:rsid w:val="00CC67D9"/>
    <w:rsid w:val="00CC7FBF"/>
    <w:rsid w:val="00CD17D0"/>
    <w:rsid w:val="00CD1988"/>
    <w:rsid w:val="00CD1D4B"/>
    <w:rsid w:val="00CD23C5"/>
    <w:rsid w:val="00CD249F"/>
    <w:rsid w:val="00CD4486"/>
    <w:rsid w:val="00CD596B"/>
    <w:rsid w:val="00CD5F9B"/>
    <w:rsid w:val="00CE1127"/>
    <w:rsid w:val="00CE2634"/>
    <w:rsid w:val="00CE2727"/>
    <w:rsid w:val="00CE3C25"/>
    <w:rsid w:val="00CE52D7"/>
    <w:rsid w:val="00CE53DD"/>
    <w:rsid w:val="00CE5422"/>
    <w:rsid w:val="00CE5740"/>
    <w:rsid w:val="00CE5F40"/>
    <w:rsid w:val="00CE7A13"/>
    <w:rsid w:val="00CE7D00"/>
    <w:rsid w:val="00CE7D39"/>
    <w:rsid w:val="00CF1D22"/>
    <w:rsid w:val="00CF1E1C"/>
    <w:rsid w:val="00CF5871"/>
    <w:rsid w:val="00CF6606"/>
    <w:rsid w:val="00D0055A"/>
    <w:rsid w:val="00D01A66"/>
    <w:rsid w:val="00D02339"/>
    <w:rsid w:val="00D0244F"/>
    <w:rsid w:val="00D07E9E"/>
    <w:rsid w:val="00D14B5C"/>
    <w:rsid w:val="00D15931"/>
    <w:rsid w:val="00D163B0"/>
    <w:rsid w:val="00D1792D"/>
    <w:rsid w:val="00D20EBB"/>
    <w:rsid w:val="00D21ABA"/>
    <w:rsid w:val="00D2261D"/>
    <w:rsid w:val="00D2577F"/>
    <w:rsid w:val="00D31510"/>
    <w:rsid w:val="00D315DA"/>
    <w:rsid w:val="00D315FD"/>
    <w:rsid w:val="00D317B8"/>
    <w:rsid w:val="00D32032"/>
    <w:rsid w:val="00D321B4"/>
    <w:rsid w:val="00D3260F"/>
    <w:rsid w:val="00D341CC"/>
    <w:rsid w:val="00D344C4"/>
    <w:rsid w:val="00D36766"/>
    <w:rsid w:val="00D401C2"/>
    <w:rsid w:val="00D435C8"/>
    <w:rsid w:val="00D46895"/>
    <w:rsid w:val="00D46B07"/>
    <w:rsid w:val="00D50E85"/>
    <w:rsid w:val="00D50EA1"/>
    <w:rsid w:val="00D549A6"/>
    <w:rsid w:val="00D562D8"/>
    <w:rsid w:val="00D61C47"/>
    <w:rsid w:val="00D642A7"/>
    <w:rsid w:val="00D655E5"/>
    <w:rsid w:val="00D65954"/>
    <w:rsid w:val="00D65A36"/>
    <w:rsid w:val="00D65AF6"/>
    <w:rsid w:val="00D672B4"/>
    <w:rsid w:val="00D67310"/>
    <w:rsid w:val="00D67699"/>
    <w:rsid w:val="00D67C1D"/>
    <w:rsid w:val="00D71148"/>
    <w:rsid w:val="00D71E4C"/>
    <w:rsid w:val="00D72C05"/>
    <w:rsid w:val="00D72D1E"/>
    <w:rsid w:val="00D73248"/>
    <w:rsid w:val="00D74063"/>
    <w:rsid w:val="00D74F9D"/>
    <w:rsid w:val="00D75CC9"/>
    <w:rsid w:val="00D778F5"/>
    <w:rsid w:val="00D77BA9"/>
    <w:rsid w:val="00D77EFF"/>
    <w:rsid w:val="00D83CBF"/>
    <w:rsid w:val="00D83D1F"/>
    <w:rsid w:val="00D851C3"/>
    <w:rsid w:val="00D90DFC"/>
    <w:rsid w:val="00D90E32"/>
    <w:rsid w:val="00D9100F"/>
    <w:rsid w:val="00D92153"/>
    <w:rsid w:val="00D93A27"/>
    <w:rsid w:val="00D95D67"/>
    <w:rsid w:val="00D96E57"/>
    <w:rsid w:val="00D96E8D"/>
    <w:rsid w:val="00D97638"/>
    <w:rsid w:val="00DA14A2"/>
    <w:rsid w:val="00DA24DA"/>
    <w:rsid w:val="00DA5016"/>
    <w:rsid w:val="00DA5192"/>
    <w:rsid w:val="00DB017D"/>
    <w:rsid w:val="00DB0EDE"/>
    <w:rsid w:val="00DB3582"/>
    <w:rsid w:val="00DB5DE4"/>
    <w:rsid w:val="00DB629B"/>
    <w:rsid w:val="00DB7FDA"/>
    <w:rsid w:val="00DC0822"/>
    <w:rsid w:val="00DC39BC"/>
    <w:rsid w:val="00DC4B6C"/>
    <w:rsid w:val="00DC5850"/>
    <w:rsid w:val="00DC7AD7"/>
    <w:rsid w:val="00DD32C8"/>
    <w:rsid w:val="00DD3D56"/>
    <w:rsid w:val="00DD4148"/>
    <w:rsid w:val="00DD4469"/>
    <w:rsid w:val="00DD446A"/>
    <w:rsid w:val="00DD52EA"/>
    <w:rsid w:val="00DD5F27"/>
    <w:rsid w:val="00DD6B9F"/>
    <w:rsid w:val="00DD73AB"/>
    <w:rsid w:val="00DD7B8E"/>
    <w:rsid w:val="00DE043F"/>
    <w:rsid w:val="00DE398A"/>
    <w:rsid w:val="00DE45A7"/>
    <w:rsid w:val="00DE490E"/>
    <w:rsid w:val="00DE623C"/>
    <w:rsid w:val="00DE6A67"/>
    <w:rsid w:val="00DE71F9"/>
    <w:rsid w:val="00DE72C6"/>
    <w:rsid w:val="00DF1C35"/>
    <w:rsid w:val="00DF4F86"/>
    <w:rsid w:val="00DF55A2"/>
    <w:rsid w:val="00DF7414"/>
    <w:rsid w:val="00DF7CA4"/>
    <w:rsid w:val="00DF7FA6"/>
    <w:rsid w:val="00E00151"/>
    <w:rsid w:val="00E00197"/>
    <w:rsid w:val="00E035E8"/>
    <w:rsid w:val="00E04030"/>
    <w:rsid w:val="00E047F8"/>
    <w:rsid w:val="00E0487E"/>
    <w:rsid w:val="00E0584D"/>
    <w:rsid w:val="00E06676"/>
    <w:rsid w:val="00E07F36"/>
    <w:rsid w:val="00E10184"/>
    <w:rsid w:val="00E101F1"/>
    <w:rsid w:val="00E12034"/>
    <w:rsid w:val="00E1243D"/>
    <w:rsid w:val="00E12956"/>
    <w:rsid w:val="00E136BA"/>
    <w:rsid w:val="00E14DA3"/>
    <w:rsid w:val="00E14E46"/>
    <w:rsid w:val="00E156FC"/>
    <w:rsid w:val="00E1572D"/>
    <w:rsid w:val="00E1686B"/>
    <w:rsid w:val="00E16D67"/>
    <w:rsid w:val="00E2152C"/>
    <w:rsid w:val="00E21C48"/>
    <w:rsid w:val="00E23EDD"/>
    <w:rsid w:val="00E24530"/>
    <w:rsid w:val="00E27349"/>
    <w:rsid w:val="00E31C5D"/>
    <w:rsid w:val="00E3380F"/>
    <w:rsid w:val="00E33B7B"/>
    <w:rsid w:val="00E3408C"/>
    <w:rsid w:val="00E349A2"/>
    <w:rsid w:val="00E34F98"/>
    <w:rsid w:val="00E34FA0"/>
    <w:rsid w:val="00E35DA5"/>
    <w:rsid w:val="00E402F6"/>
    <w:rsid w:val="00E4222E"/>
    <w:rsid w:val="00E42DA2"/>
    <w:rsid w:val="00E4441A"/>
    <w:rsid w:val="00E46544"/>
    <w:rsid w:val="00E4704B"/>
    <w:rsid w:val="00E504B2"/>
    <w:rsid w:val="00E52729"/>
    <w:rsid w:val="00E54442"/>
    <w:rsid w:val="00E5488B"/>
    <w:rsid w:val="00E56613"/>
    <w:rsid w:val="00E618C9"/>
    <w:rsid w:val="00E61E6B"/>
    <w:rsid w:val="00E6270F"/>
    <w:rsid w:val="00E64227"/>
    <w:rsid w:val="00E64B45"/>
    <w:rsid w:val="00E6615D"/>
    <w:rsid w:val="00E66535"/>
    <w:rsid w:val="00E66E62"/>
    <w:rsid w:val="00E67D7B"/>
    <w:rsid w:val="00E73841"/>
    <w:rsid w:val="00E74714"/>
    <w:rsid w:val="00E807DB"/>
    <w:rsid w:val="00E81A79"/>
    <w:rsid w:val="00E81B1E"/>
    <w:rsid w:val="00E82B00"/>
    <w:rsid w:val="00E82E02"/>
    <w:rsid w:val="00E84806"/>
    <w:rsid w:val="00E877D3"/>
    <w:rsid w:val="00E87FFD"/>
    <w:rsid w:val="00E95778"/>
    <w:rsid w:val="00E95F58"/>
    <w:rsid w:val="00E9710A"/>
    <w:rsid w:val="00E97A5E"/>
    <w:rsid w:val="00EA02E2"/>
    <w:rsid w:val="00EA2E83"/>
    <w:rsid w:val="00EA30FC"/>
    <w:rsid w:val="00EA3CB0"/>
    <w:rsid w:val="00EA498F"/>
    <w:rsid w:val="00EA5098"/>
    <w:rsid w:val="00EA7BF3"/>
    <w:rsid w:val="00EB0DC1"/>
    <w:rsid w:val="00EB11A0"/>
    <w:rsid w:val="00EB6D73"/>
    <w:rsid w:val="00EC028F"/>
    <w:rsid w:val="00EC0C02"/>
    <w:rsid w:val="00EC12FF"/>
    <w:rsid w:val="00EC2170"/>
    <w:rsid w:val="00EC2E68"/>
    <w:rsid w:val="00EC4DBB"/>
    <w:rsid w:val="00EC6020"/>
    <w:rsid w:val="00ED0352"/>
    <w:rsid w:val="00ED1161"/>
    <w:rsid w:val="00ED1A5D"/>
    <w:rsid w:val="00ED1E4A"/>
    <w:rsid w:val="00EE1D06"/>
    <w:rsid w:val="00EE2587"/>
    <w:rsid w:val="00EE2A67"/>
    <w:rsid w:val="00EE4E98"/>
    <w:rsid w:val="00EE7190"/>
    <w:rsid w:val="00EF01FD"/>
    <w:rsid w:val="00EF3EF2"/>
    <w:rsid w:val="00EF4514"/>
    <w:rsid w:val="00EF750C"/>
    <w:rsid w:val="00EF7ADD"/>
    <w:rsid w:val="00F04959"/>
    <w:rsid w:val="00F076DE"/>
    <w:rsid w:val="00F11106"/>
    <w:rsid w:val="00F115A8"/>
    <w:rsid w:val="00F116B1"/>
    <w:rsid w:val="00F11A8E"/>
    <w:rsid w:val="00F1250D"/>
    <w:rsid w:val="00F13A05"/>
    <w:rsid w:val="00F13A60"/>
    <w:rsid w:val="00F146A1"/>
    <w:rsid w:val="00F148EB"/>
    <w:rsid w:val="00F16384"/>
    <w:rsid w:val="00F17B83"/>
    <w:rsid w:val="00F20519"/>
    <w:rsid w:val="00F21938"/>
    <w:rsid w:val="00F23D55"/>
    <w:rsid w:val="00F2575B"/>
    <w:rsid w:val="00F2753C"/>
    <w:rsid w:val="00F27B04"/>
    <w:rsid w:val="00F316DD"/>
    <w:rsid w:val="00F31708"/>
    <w:rsid w:val="00F33A5B"/>
    <w:rsid w:val="00F36F33"/>
    <w:rsid w:val="00F43AEA"/>
    <w:rsid w:val="00F43D71"/>
    <w:rsid w:val="00F4417A"/>
    <w:rsid w:val="00F447DC"/>
    <w:rsid w:val="00F4484C"/>
    <w:rsid w:val="00F44BE4"/>
    <w:rsid w:val="00F4533B"/>
    <w:rsid w:val="00F468E4"/>
    <w:rsid w:val="00F46F7C"/>
    <w:rsid w:val="00F479B7"/>
    <w:rsid w:val="00F47A91"/>
    <w:rsid w:val="00F47B83"/>
    <w:rsid w:val="00F50B11"/>
    <w:rsid w:val="00F51A5D"/>
    <w:rsid w:val="00F52305"/>
    <w:rsid w:val="00F5240E"/>
    <w:rsid w:val="00F52B86"/>
    <w:rsid w:val="00F52BA6"/>
    <w:rsid w:val="00F52DB6"/>
    <w:rsid w:val="00F5477A"/>
    <w:rsid w:val="00F54BDC"/>
    <w:rsid w:val="00F55CE9"/>
    <w:rsid w:val="00F56A6F"/>
    <w:rsid w:val="00F60EF8"/>
    <w:rsid w:val="00F62F08"/>
    <w:rsid w:val="00F636DB"/>
    <w:rsid w:val="00F70390"/>
    <w:rsid w:val="00F73E36"/>
    <w:rsid w:val="00F74573"/>
    <w:rsid w:val="00F763B3"/>
    <w:rsid w:val="00F80677"/>
    <w:rsid w:val="00F81737"/>
    <w:rsid w:val="00F81E11"/>
    <w:rsid w:val="00F81E40"/>
    <w:rsid w:val="00F844AA"/>
    <w:rsid w:val="00F85C4E"/>
    <w:rsid w:val="00F9024C"/>
    <w:rsid w:val="00F90513"/>
    <w:rsid w:val="00F90638"/>
    <w:rsid w:val="00F90A25"/>
    <w:rsid w:val="00F91180"/>
    <w:rsid w:val="00F91228"/>
    <w:rsid w:val="00F91310"/>
    <w:rsid w:val="00F91EE5"/>
    <w:rsid w:val="00F9292F"/>
    <w:rsid w:val="00F92A61"/>
    <w:rsid w:val="00F935A4"/>
    <w:rsid w:val="00F94895"/>
    <w:rsid w:val="00F94D7E"/>
    <w:rsid w:val="00FA1431"/>
    <w:rsid w:val="00FA2543"/>
    <w:rsid w:val="00FA3040"/>
    <w:rsid w:val="00FA31C5"/>
    <w:rsid w:val="00FA38C7"/>
    <w:rsid w:val="00FA5BCC"/>
    <w:rsid w:val="00FA6B38"/>
    <w:rsid w:val="00FA6EA3"/>
    <w:rsid w:val="00FB001D"/>
    <w:rsid w:val="00FB10D7"/>
    <w:rsid w:val="00FB1705"/>
    <w:rsid w:val="00FB4C7A"/>
    <w:rsid w:val="00FB598B"/>
    <w:rsid w:val="00FB73FC"/>
    <w:rsid w:val="00FC32CE"/>
    <w:rsid w:val="00FC3817"/>
    <w:rsid w:val="00FC4125"/>
    <w:rsid w:val="00FC651C"/>
    <w:rsid w:val="00FC7715"/>
    <w:rsid w:val="00FD2179"/>
    <w:rsid w:val="00FD3F92"/>
    <w:rsid w:val="00FD42C4"/>
    <w:rsid w:val="00FD4F0F"/>
    <w:rsid w:val="00FD6B30"/>
    <w:rsid w:val="00FE08D0"/>
    <w:rsid w:val="00FE1909"/>
    <w:rsid w:val="00FE34FD"/>
    <w:rsid w:val="00FE3918"/>
    <w:rsid w:val="00FE50DE"/>
    <w:rsid w:val="00FE5783"/>
    <w:rsid w:val="00FE735C"/>
    <w:rsid w:val="00FE74D4"/>
    <w:rsid w:val="00FF00E9"/>
    <w:rsid w:val="00FF0C43"/>
    <w:rsid w:val="00FF0E63"/>
    <w:rsid w:val="00FF31F7"/>
    <w:rsid w:val="00FF3462"/>
    <w:rsid w:val="00FF3582"/>
    <w:rsid w:val="00FF3958"/>
    <w:rsid w:val="00FF3E30"/>
    <w:rsid w:val="00FF4DC8"/>
    <w:rsid w:val="00FF5383"/>
    <w:rsid w:val="00FF5BCD"/>
    <w:rsid w:val="00FF5D83"/>
    <w:rsid w:val="00FF63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1B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ing2">
    <w:name w:val="heading 2"/>
    <w:basedOn w:val="Normal"/>
    <w:link w:val="Heading2Char"/>
    <w:uiPriority w:val="9"/>
    <w:qFormat/>
    <w:rsid w:val="0044478F"/>
    <w:pP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DB7"/>
    <w:pPr>
      <w:spacing w:before="0" w:beforeAutospacing="0" w:after="200" w:afterAutospacing="0" w:line="276" w:lineRule="auto"/>
      <w:ind w:left="720"/>
      <w:contextualSpacing/>
    </w:pPr>
    <w:rPr>
      <w:rFonts w:asciiTheme="minorHAnsi" w:eastAsiaTheme="minorHAnsi" w:hAnsiTheme="minorHAnsi" w:cstheme="minorBidi"/>
      <w:sz w:val="22"/>
      <w:szCs w:val="22"/>
      <w:lang w:eastAsia="en-US"/>
    </w:rPr>
  </w:style>
  <w:style w:type="paragraph" w:customStyle="1" w:styleId="para-10">
    <w:name w:val="para-10"/>
    <w:basedOn w:val="Normal"/>
    <w:rsid w:val="00290AE6"/>
  </w:style>
  <w:style w:type="paragraph" w:styleId="FootnoteText">
    <w:name w:val="footnote text"/>
    <w:aliases w:val="Char"/>
    <w:basedOn w:val="Normal"/>
    <w:link w:val="FootnoteTextChar"/>
    <w:uiPriority w:val="99"/>
    <w:unhideWhenUsed/>
    <w:rsid w:val="00BA3DEF"/>
    <w:pPr>
      <w:spacing w:before="0" w:beforeAutospacing="0" w:after="0" w:afterAutospacing="0"/>
    </w:pPr>
    <w:rPr>
      <w:rFonts w:asciiTheme="minorHAnsi" w:eastAsiaTheme="minorHAnsi" w:hAnsiTheme="minorHAnsi" w:cstheme="minorBidi"/>
      <w:sz w:val="20"/>
      <w:szCs w:val="20"/>
      <w:lang w:eastAsia="en-US"/>
    </w:rPr>
  </w:style>
  <w:style w:type="character" w:customStyle="1" w:styleId="FootnoteTextChar">
    <w:name w:val="Footnote Text Char"/>
    <w:aliases w:val="Char Char"/>
    <w:basedOn w:val="DefaultParagraphFont"/>
    <w:link w:val="FootnoteText"/>
    <w:uiPriority w:val="99"/>
    <w:rsid w:val="00BA3DEF"/>
    <w:rPr>
      <w:sz w:val="20"/>
      <w:szCs w:val="20"/>
    </w:rPr>
  </w:style>
  <w:style w:type="character" w:styleId="FootnoteReference">
    <w:name w:val="footnote reference"/>
    <w:basedOn w:val="DefaultParagraphFont"/>
    <w:uiPriority w:val="99"/>
    <w:unhideWhenUsed/>
    <w:rsid w:val="00BA3DEF"/>
    <w:rPr>
      <w:vertAlign w:val="superscript"/>
    </w:rPr>
  </w:style>
  <w:style w:type="character" w:customStyle="1" w:styleId="mc">
    <w:name w:val="mc"/>
    <w:basedOn w:val="DefaultParagraphFont"/>
    <w:rsid w:val="00203E6C"/>
  </w:style>
  <w:style w:type="paragraph" w:styleId="NormalWeb">
    <w:name w:val="Normal (Web)"/>
    <w:basedOn w:val="Normal"/>
    <w:uiPriority w:val="99"/>
    <w:unhideWhenUsed/>
    <w:rsid w:val="00E34FA0"/>
  </w:style>
  <w:style w:type="character" w:customStyle="1" w:styleId="Heading2Char">
    <w:name w:val="Heading 2 Char"/>
    <w:basedOn w:val="DefaultParagraphFont"/>
    <w:link w:val="Heading2"/>
    <w:uiPriority w:val="9"/>
    <w:rsid w:val="0044478F"/>
    <w:rPr>
      <w:rFonts w:ascii="Times New Roman" w:eastAsia="Times New Roman" w:hAnsi="Times New Roman" w:cs="Times New Roman"/>
      <w:b/>
      <w:bCs/>
      <w:sz w:val="36"/>
      <w:szCs w:val="36"/>
      <w:lang w:eastAsia="en-ZA"/>
    </w:rPr>
  </w:style>
  <w:style w:type="paragraph" w:styleId="Header">
    <w:name w:val="header"/>
    <w:basedOn w:val="Normal"/>
    <w:link w:val="HeaderChar"/>
    <w:uiPriority w:val="99"/>
    <w:unhideWhenUsed/>
    <w:rsid w:val="001A693D"/>
    <w:pPr>
      <w:tabs>
        <w:tab w:val="center" w:pos="4513"/>
        <w:tab w:val="right" w:pos="9026"/>
      </w:tabs>
      <w:spacing w:before="0" w:after="0"/>
    </w:pPr>
  </w:style>
  <w:style w:type="character" w:customStyle="1" w:styleId="HeaderChar">
    <w:name w:val="Header Char"/>
    <w:basedOn w:val="DefaultParagraphFont"/>
    <w:link w:val="Header"/>
    <w:uiPriority w:val="99"/>
    <w:rsid w:val="001A693D"/>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1A693D"/>
    <w:pPr>
      <w:tabs>
        <w:tab w:val="center" w:pos="4513"/>
        <w:tab w:val="right" w:pos="9026"/>
      </w:tabs>
      <w:spacing w:before="0" w:after="0"/>
    </w:pPr>
  </w:style>
  <w:style w:type="character" w:customStyle="1" w:styleId="FooterChar">
    <w:name w:val="Footer Char"/>
    <w:basedOn w:val="DefaultParagraphFont"/>
    <w:link w:val="Footer"/>
    <w:uiPriority w:val="99"/>
    <w:rsid w:val="001A693D"/>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D5F9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F9B"/>
    <w:rPr>
      <w:rFonts w:ascii="Segoe UI" w:eastAsia="Times New Roman" w:hAnsi="Segoe UI" w:cs="Segoe UI"/>
      <w:sz w:val="18"/>
      <w:szCs w:val="18"/>
      <w:lang w:eastAsia="en-ZA"/>
    </w:rPr>
  </w:style>
  <w:style w:type="paragraph" w:customStyle="1" w:styleId="lg-section">
    <w:name w:val="lg-section"/>
    <w:basedOn w:val="Normal"/>
    <w:rsid w:val="00B9060C"/>
  </w:style>
  <w:style w:type="paragraph" w:customStyle="1" w:styleId="lg-a-1">
    <w:name w:val="lg-a-1"/>
    <w:basedOn w:val="Normal"/>
    <w:rsid w:val="00B9060C"/>
  </w:style>
  <w:style w:type="paragraph" w:customStyle="1" w:styleId="lg-i-a-1">
    <w:name w:val="lg-i-a-1"/>
    <w:basedOn w:val="Normal"/>
    <w:rsid w:val="00B9060C"/>
  </w:style>
  <w:style w:type="paragraph" w:customStyle="1" w:styleId="lg-para3">
    <w:name w:val="lg-para3"/>
    <w:basedOn w:val="Normal"/>
    <w:rsid w:val="00143FA9"/>
  </w:style>
  <w:style w:type="character" w:styleId="Hyperlink">
    <w:name w:val="Hyperlink"/>
    <w:basedOn w:val="DefaultParagraphFont"/>
    <w:uiPriority w:val="99"/>
    <w:semiHidden/>
    <w:unhideWhenUsed/>
    <w:rsid w:val="00FE08D0"/>
    <w:rPr>
      <w:color w:val="0000FF"/>
      <w:u w:val="single"/>
    </w:rPr>
  </w:style>
  <w:style w:type="character" w:customStyle="1" w:styleId="g1">
    <w:name w:val="g1"/>
    <w:basedOn w:val="DefaultParagraphFont"/>
    <w:rsid w:val="00FF0C43"/>
  </w:style>
  <w:style w:type="character" w:styleId="CommentReference">
    <w:name w:val="annotation reference"/>
    <w:basedOn w:val="DefaultParagraphFont"/>
    <w:uiPriority w:val="99"/>
    <w:semiHidden/>
    <w:unhideWhenUsed/>
    <w:rsid w:val="003616FF"/>
    <w:rPr>
      <w:sz w:val="16"/>
      <w:szCs w:val="16"/>
    </w:rPr>
  </w:style>
  <w:style w:type="paragraph" w:styleId="CommentText">
    <w:name w:val="annotation text"/>
    <w:basedOn w:val="Normal"/>
    <w:link w:val="CommentTextChar"/>
    <w:uiPriority w:val="99"/>
    <w:semiHidden/>
    <w:unhideWhenUsed/>
    <w:rsid w:val="003616FF"/>
    <w:rPr>
      <w:sz w:val="20"/>
      <w:szCs w:val="20"/>
    </w:rPr>
  </w:style>
  <w:style w:type="character" w:customStyle="1" w:styleId="CommentTextChar">
    <w:name w:val="Comment Text Char"/>
    <w:basedOn w:val="DefaultParagraphFont"/>
    <w:link w:val="CommentText"/>
    <w:uiPriority w:val="99"/>
    <w:semiHidden/>
    <w:rsid w:val="003616FF"/>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3616FF"/>
    <w:rPr>
      <w:b/>
      <w:bCs/>
    </w:rPr>
  </w:style>
  <w:style w:type="character" w:customStyle="1" w:styleId="CommentSubjectChar">
    <w:name w:val="Comment Subject Char"/>
    <w:basedOn w:val="CommentTextChar"/>
    <w:link w:val="CommentSubject"/>
    <w:uiPriority w:val="99"/>
    <w:semiHidden/>
    <w:rsid w:val="003616FF"/>
    <w:rPr>
      <w:rFonts w:ascii="Times New Roman" w:eastAsia="Times New Roman" w:hAnsi="Times New Roman" w:cs="Times New Roman"/>
      <w:b/>
      <w:bCs/>
      <w:sz w:val="20"/>
      <w:szCs w:val="20"/>
      <w:lang w:eastAsia="en-ZA"/>
    </w:rPr>
  </w:style>
  <w:style w:type="paragraph" w:styleId="Revision">
    <w:name w:val="Revision"/>
    <w:hidden/>
    <w:uiPriority w:val="99"/>
    <w:semiHidden/>
    <w:rsid w:val="00E504B2"/>
    <w:pPr>
      <w:spacing w:after="0"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7485">
      <w:bodyDiv w:val="1"/>
      <w:marLeft w:val="0"/>
      <w:marRight w:val="0"/>
      <w:marTop w:val="0"/>
      <w:marBottom w:val="0"/>
      <w:divBdr>
        <w:top w:val="none" w:sz="0" w:space="0" w:color="auto"/>
        <w:left w:val="none" w:sz="0" w:space="0" w:color="auto"/>
        <w:bottom w:val="none" w:sz="0" w:space="0" w:color="auto"/>
        <w:right w:val="none" w:sz="0" w:space="0" w:color="auto"/>
      </w:divBdr>
    </w:div>
    <w:div w:id="170224716">
      <w:bodyDiv w:val="1"/>
      <w:marLeft w:val="360"/>
      <w:marRight w:val="360"/>
      <w:marTop w:val="0"/>
      <w:marBottom w:val="0"/>
      <w:divBdr>
        <w:top w:val="none" w:sz="0" w:space="0" w:color="auto"/>
        <w:left w:val="none" w:sz="0" w:space="0" w:color="auto"/>
        <w:bottom w:val="none" w:sz="0" w:space="0" w:color="auto"/>
        <w:right w:val="none" w:sz="0" w:space="0" w:color="auto"/>
      </w:divBdr>
      <w:divsChild>
        <w:div w:id="36396370">
          <w:marLeft w:val="0"/>
          <w:marRight w:val="0"/>
          <w:marTop w:val="0"/>
          <w:marBottom w:val="0"/>
          <w:divBdr>
            <w:top w:val="none" w:sz="0" w:space="0" w:color="auto"/>
            <w:left w:val="none" w:sz="0" w:space="0" w:color="auto"/>
            <w:bottom w:val="none" w:sz="0" w:space="0" w:color="auto"/>
            <w:right w:val="none" w:sz="0" w:space="0" w:color="auto"/>
          </w:divBdr>
        </w:div>
        <w:div w:id="632061151">
          <w:marLeft w:val="0"/>
          <w:marRight w:val="0"/>
          <w:marTop w:val="0"/>
          <w:marBottom w:val="0"/>
          <w:divBdr>
            <w:top w:val="none" w:sz="0" w:space="0" w:color="auto"/>
            <w:left w:val="none" w:sz="0" w:space="0" w:color="auto"/>
            <w:bottom w:val="none" w:sz="0" w:space="0" w:color="auto"/>
            <w:right w:val="none" w:sz="0" w:space="0" w:color="auto"/>
          </w:divBdr>
        </w:div>
        <w:div w:id="698823696">
          <w:marLeft w:val="0"/>
          <w:marRight w:val="0"/>
          <w:marTop w:val="0"/>
          <w:marBottom w:val="0"/>
          <w:divBdr>
            <w:top w:val="none" w:sz="0" w:space="0" w:color="auto"/>
            <w:left w:val="none" w:sz="0" w:space="0" w:color="auto"/>
            <w:bottom w:val="none" w:sz="0" w:space="0" w:color="auto"/>
            <w:right w:val="none" w:sz="0" w:space="0" w:color="auto"/>
          </w:divBdr>
        </w:div>
        <w:div w:id="745999625">
          <w:marLeft w:val="0"/>
          <w:marRight w:val="0"/>
          <w:marTop w:val="0"/>
          <w:marBottom w:val="0"/>
          <w:divBdr>
            <w:top w:val="none" w:sz="0" w:space="0" w:color="auto"/>
            <w:left w:val="none" w:sz="0" w:space="0" w:color="auto"/>
            <w:bottom w:val="none" w:sz="0" w:space="0" w:color="auto"/>
            <w:right w:val="none" w:sz="0" w:space="0" w:color="auto"/>
          </w:divBdr>
        </w:div>
        <w:div w:id="781068639">
          <w:marLeft w:val="0"/>
          <w:marRight w:val="0"/>
          <w:marTop w:val="0"/>
          <w:marBottom w:val="0"/>
          <w:divBdr>
            <w:top w:val="none" w:sz="0" w:space="0" w:color="auto"/>
            <w:left w:val="none" w:sz="0" w:space="0" w:color="auto"/>
            <w:bottom w:val="none" w:sz="0" w:space="0" w:color="auto"/>
            <w:right w:val="none" w:sz="0" w:space="0" w:color="auto"/>
          </w:divBdr>
        </w:div>
        <w:div w:id="811799131">
          <w:marLeft w:val="0"/>
          <w:marRight w:val="0"/>
          <w:marTop w:val="0"/>
          <w:marBottom w:val="0"/>
          <w:divBdr>
            <w:top w:val="none" w:sz="0" w:space="0" w:color="auto"/>
            <w:left w:val="none" w:sz="0" w:space="0" w:color="auto"/>
            <w:bottom w:val="none" w:sz="0" w:space="0" w:color="auto"/>
            <w:right w:val="none" w:sz="0" w:space="0" w:color="auto"/>
          </w:divBdr>
        </w:div>
        <w:div w:id="1043751229">
          <w:marLeft w:val="0"/>
          <w:marRight w:val="0"/>
          <w:marTop w:val="0"/>
          <w:marBottom w:val="0"/>
          <w:divBdr>
            <w:top w:val="none" w:sz="0" w:space="0" w:color="auto"/>
            <w:left w:val="none" w:sz="0" w:space="0" w:color="auto"/>
            <w:bottom w:val="none" w:sz="0" w:space="0" w:color="auto"/>
            <w:right w:val="none" w:sz="0" w:space="0" w:color="auto"/>
          </w:divBdr>
        </w:div>
        <w:div w:id="1204437427">
          <w:marLeft w:val="0"/>
          <w:marRight w:val="0"/>
          <w:marTop w:val="0"/>
          <w:marBottom w:val="0"/>
          <w:divBdr>
            <w:top w:val="none" w:sz="0" w:space="0" w:color="auto"/>
            <w:left w:val="none" w:sz="0" w:space="0" w:color="auto"/>
            <w:bottom w:val="none" w:sz="0" w:space="0" w:color="auto"/>
            <w:right w:val="none" w:sz="0" w:space="0" w:color="auto"/>
          </w:divBdr>
        </w:div>
        <w:div w:id="1873881585">
          <w:marLeft w:val="0"/>
          <w:marRight w:val="0"/>
          <w:marTop w:val="0"/>
          <w:marBottom w:val="0"/>
          <w:divBdr>
            <w:top w:val="none" w:sz="0" w:space="0" w:color="auto"/>
            <w:left w:val="none" w:sz="0" w:space="0" w:color="auto"/>
            <w:bottom w:val="none" w:sz="0" w:space="0" w:color="auto"/>
            <w:right w:val="none" w:sz="0" w:space="0" w:color="auto"/>
          </w:divBdr>
        </w:div>
        <w:div w:id="2079590458">
          <w:marLeft w:val="0"/>
          <w:marRight w:val="0"/>
          <w:marTop w:val="0"/>
          <w:marBottom w:val="0"/>
          <w:divBdr>
            <w:top w:val="none" w:sz="0" w:space="0" w:color="auto"/>
            <w:left w:val="none" w:sz="0" w:space="0" w:color="auto"/>
            <w:bottom w:val="none" w:sz="0" w:space="0" w:color="auto"/>
            <w:right w:val="none" w:sz="0" w:space="0" w:color="auto"/>
          </w:divBdr>
        </w:div>
      </w:divsChild>
    </w:div>
    <w:div w:id="181474250">
      <w:bodyDiv w:val="1"/>
      <w:marLeft w:val="0"/>
      <w:marRight w:val="0"/>
      <w:marTop w:val="0"/>
      <w:marBottom w:val="0"/>
      <w:divBdr>
        <w:top w:val="none" w:sz="0" w:space="0" w:color="auto"/>
        <w:left w:val="none" w:sz="0" w:space="0" w:color="auto"/>
        <w:bottom w:val="none" w:sz="0" w:space="0" w:color="auto"/>
        <w:right w:val="none" w:sz="0" w:space="0" w:color="auto"/>
      </w:divBdr>
    </w:div>
    <w:div w:id="233636047">
      <w:bodyDiv w:val="1"/>
      <w:marLeft w:val="0"/>
      <w:marRight w:val="0"/>
      <w:marTop w:val="0"/>
      <w:marBottom w:val="0"/>
      <w:divBdr>
        <w:top w:val="none" w:sz="0" w:space="0" w:color="auto"/>
        <w:left w:val="none" w:sz="0" w:space="0" w:color="auto"/>
        <w:bottom w:val="none" w:sz="0" w:space="0" w:color="auto"/>
        <w:right w:val="none" w:sz="0" w:space="0" w:color="auto"/>
      </w:divBdr>
      <w:divsChild>
        <w:div w:id="1304696490">
          <w:marLeft w:val="225"/>
          <w:marRight w:val="0"/>
          <w:marTop w:val="0"/>
          <w:marBottom w:val="0"/>
          <w:divBdr>
            <w:top w:val="none" w:sz="0" w:space="0" w:color="auto"/>
            <w:left w:val="none" w:sz="0" w:space="0" w:color="auto"/>
            <w:bottom w:val="none" w:sz="0" w:space="0" w:color="auto"/>
            <w:right w:val="none" w:sz="0" w:space="0" w:color="auto"/>
          </w:divBdr>
        </w:div>
      </w:divsChild>
    </w:div>
    <w:div w:id="290869053">
      <w:bodyDiv w:val="1"/>
      <w:marLeft w:val="360"/>
      <w:marRight w:val="360"/>
      <w:marTop w:val="0"/>
      <w:marBottom w:val="0"/>
      <w:divBdr>
        <w:top w:val="none" w:sz="0" w:space="0" w:color="auto"/>
        <w:left w:val="none" w:sz="0" w:space="0" w:color="auto"/>
        <w:bottom w:val="none" w:sz="0" w:space="0" w:color="auto"/>
        <w:right w:val="none" w:sz="0" w:space="0" w:color="auto"/>
      </w:divBdr>
      <w:divsChild>
        <w:div w:id="113913075">
          <w:marLeft w:val="0"/>
          <w:marRight w:val="0"/>
          <w:marTop w:val="0"/>
          <w:marBottom w:val="0"/>
          <w:divBdr>
            <w:top w:val="none" w:sz="0" w:space="0" w:color="auto"/>
            <w:left w:val="none" w:sz="0" w:space="0" w:color="auto"/>
            <w:bottom w:val="none" w:sz="0" w:space="0" w:color="auto"/>
            <w:right w:val="none" w:sz="0" w:space="0" w:color="auto"/>
          </w:divBdr>
        </w:div>
        <w:div w:id="171575910">
          <w:marLeft w:val="0"/>
          <w:marRight w:val="0"/>
          <w:marTop w:val="0"/>
          <w:marBottom w:val="0"/>
          <w:divBdr>
            <w:top w:val="none" w:sz="0" w:space="0" w:color="auto"/>
            <w:left w:val="none" w:sz="0" w:space="0" w:color="auto"/>
            <w:bottom w:val="none" w:sz="0" w:space="0" w:color="auto"/>
            <w:right w:val="none" w:sz="0" w:space="0" w:color="auto"/>
          </w:divBdr>
        </w:div>
        <w:div w:id="875889748">
          <w:marLeft w:val="0"/>
          <w:marRight w:val="0"/>
          <w:marTop w:val="0"/>
          <w:marBottom w:val="0"/>
          <w:divBdr>
            <w:top w:val="none" w:sz="0" w:space="0" w:color="auto"/>
            <w:left w:val="none" w:sz="0" w:space="0" w:color="auto"/>
            <w:bottom w:val="none" w:sz="0" w:space="0" w:color="auto"/>
            <w:right w:val="none" w:sz="0" w:space="0" w:color="auto"/>
          </w:divBdr>
        </w:div>
        <w:div w:id="1701782083">
          <w:marLeft w:val="0"/>
          <w:marRight w:val="0"/>
          <w:marTop w:val="0"/>
          <w:marBottom w:val="0"/>
          <w:divBdr>
            <w:top w:val="none" w:sz="0" w:space="0" w:color="auto"/>
            <w:left w:val="none" w:sz="0" w:space="0" w:color="auto"/>
            <w:bottom w:val="none" w:sz="0" w:space="0" w:color="auto"/>
            <w:right w:val="none" w:sz="0" w:space="0" w:color="auto"/>
          </w:divBdr>
        </w:div>
        <w:div w:id="2058822519">
          <w:marLeft w:val="0"/>
          <w:marRight w:val="0"/>
          <w:marTop w:val="0"/>
          <w:marBottom w:val="0"/>
          <w:divBdr>
            <w:top w:val="none" w:sz="0" w:space="0" w:color="auto"/>
            <w:left w:val="none" w:sz="0" w:space="0" w:color="auto"/>
            <w:bottom w:val="none" w:sz="0" w:space="0" w:color="auto"/>
            <w:right w:val="none" w:sz="0" w:space="0" w:color="auto"/>
          </w:divBdr>
        </w:div>
      </w:divsChild>
    </w:div>
    <w:div w:id="342558737">
      <w:bodyDiv w:val="1"/>
      <w:marLeft w:val="0"/>
      <w:marRight w:val="0"/>
      <w:marTop w:val="0"/>
      <w:marBottom w:val="0"/>
      <w:divBdr>
        <w:top w:val="none" w:sz="0" w:space="0" w:color="auto"/>
        <w:left w:val="none" w:sz="0" w:space="0" w:color="auto"/>
        <w:bottom w:val="none" w:sz="0" w:space="0" w:color="auto"/>
        <w:right w:val="none" w:sz="0" w:space="0" w:color="auto"/>
      </w:divBdr>
      <w:divsChild>
        <w:div w:id="247884785">
          <w:marLeft w:val="0"/>
          <w:marRight w:val="0"/>
          <w:marTop w:val="120"/>
          <w:marBottom w:val="0"/>
          <w:divBdr>
            <w:top w:val="none" w:sz="0" w:space="0" w:color="auto"/>
            <w:left w:val="none" w:sz="0" w:space="0" w:color="auto"/>
            <w:bottom w:val="none" w:sz="0" w:space="0" w:color="auto"/>
            <w:right w:val="none" w:sz="0" w:space="0" w:color="auto"/>
          </w:divBdr>
        </w:div>
        <w:div w:id="352538423">
          <w:marLeft w:val="0"/>
          <w:marRight w:val="0"/>
          <w:marTop w:val="120"/>
          <w:marBottom w:val="0"/>
          <w:divBdr>
            <w:top w:val="none" w:sz="0" w:space="0" w:color="auto"/>
            <w:left w:val="none" w:sz="0" w:space="0" w:color="auto"/>
            <w:bottom w:val="none" w:sz="0" w:space="0" w:color="auto"/>
            <w:right w:val="none" w:sz="0" w:space="0" w:color="auto"/>
          </w:divBdr>
        </w:div>
        <w:div w:id="639383776">
          <w:marLeft w:val="0"/>
          <w:marRight w:val="0"/>
          <w:marTop w:val="180"/>
          <w:marBottom w:val="0"/>
          <w:divBdr>
            <w:top w:val="single" w:sz="8" w:space="1" w:color="808080"/>
            <w:left w:val="none" w:sz="0" w:space="0" w:color="auto"/>
            <w:bottom w:val="none" w:sz="0" w:space="0" w:color="auto"/>
            <w:right w:val="none" w:sz="0" w:space="0" w:color="auto"/>
          </w:divBdr>
        </w:div>
      </w:divsChild>
    </w:div>
    <w:div w:id="388892626">
      <w:bodyDiv w:val="1"/>
      <w:marLeft w:val="360"/>
      <w:marRight w:val="360"/>
      <w:marTop w:val="0"/>
      <w:marBottom w:val="0"/>
      <w:divBdr>
        <w:top w:val="none" w:sz="0" w:space="0" w:color="auto"/>
        <w:left w:val="none" w:sz="0" w:space="0" w:color="auto"/>
        <w:bottom w:val="none" w:sz="0" w:space="0" w:color="auto"/>
        <w:right w:val="none" w:sz="0" w:space="0" w:color="auto"/>
      </w:divBdr>
      <w:divsChild>
        <w:div w:id="536354812">
          <w:marLeft w:val="0"/>
          <w:marRight w:val="0"/>
          <w:marTop w:val="0"/>
          <w:marBottom w:val="0"/>
          <w:divBdr>
            <w:top w:val="none" w:sz="0" w:space="0" w:color="auto"/>
            <w:left w:val="none" w:sz="0" w:space="0" w:color="auto"/>
            <w:bottom w:val="none" w:sz="0" w:space="0" w:color="auto"/>
            <w:right w:val="none" w:sz="0" w:space="0" w:color="auto"/>
          </w:divBdr>
        </w:div>
        <w:div w:id="621422302">
          <w:marLeft w:val="0"/>
          <w:marRight w:val="0"/>
          <w:marTop w:val="0"/>
          <w:marBottom w:val="0"/>
          <w:divBdr>
            <w:top w:val="none" w:sz="0" w:space="0" w:color="auto"/>
            <w:left w:val="none" w:sz="0" w:space="0" w:color="auto"/>
            <w:bottom w:val="none" w:sz="0" w:space="0" w:color="auto"/>
            <w:right w:val="none" w:sz="0" w:space="0" w:color="auto"/>
          </w:divBdr>
        </w:div>
      </w:divsChild>
    </w:div>
    <w:div w:id="569579003">
      <w:bodyDiv w:val="1"/>
      <w:marLeft w:val="360"/>
      <w:marRight w:val="360"/>
      <w:marTop w:val="0"/>
      <w:marBottom w:val="0"/>
      <w:divBdr>
        <w:top w:val="none" w:sz="0" w:space="0" w:color="auto"/>
        <w:left w:val="none" w:sz="0" w:space="0" w:color="auto"/>
        <w:bottom w:val="none" w:sz="0" w:space="0" w:color="auto"/>
        <w:right w:val="none" w:sz="0" w:space="0" w:color="auto"/>
      </w:divBdr>
      <w:divsChild>
        <w:div w:id="660427064">
          <w:marLeft w:val="0"/>
          <w:marRight w:val="0"/>
          <w:marTop w:val="0"/>
          <w:marBottom w:val="0"/>
          <w:divBdr>
            <w:top w:val="none" w:sz="0" w:space="0" w:color="auto"/>
            <w:left w:val="none" w:sz="0" w:space="0" w:color="auto"/>
            <w:bottom w:val="none" w:sz="0" w:space="0" w:color="auto"/>
            <w:right w:val="none" w:sz="0" w:space="0" w:color="auto"/>
          </w:divBdr>
        </w:div>
        <w:div w:id="1457677347">
          <w:marLeft w:val="0"/>
          <w:marRight w:val="0"/>
          <w:marTop w:val="0"/>
          <w:marBottom w:val="0"/>
          <w:divBdr>
            <w:top w:val="none" w:sz="0" w:space="0" w:color="auto"/>
            <w:left w:val="none" w:sz="0" w:space="0" w:color="auto"/>
            <w:bottom w:val="none" w:sz="0" w:space="0" w:color="auto"/>
            <w:right w:val="none" w:sz="0" w:space="0" w:color="auto"/>
          </w:divBdr>
        </w:div>
        <w:div w:id="1681614889">
          <w:marLeft w:val="0"/>
          <w:marRight w:val="0"/>
          <w:marTop w:val="0"/>
          <w:marBottom w:val="0"/>
          <w:divBdr>
            <w:top w:val="none" w:sz="0" w:space="0" w:color="auto"/>
            <w:left w:val="none" w:sz="0" w:space="0" w:color="auto"/>
            <w:bottom w:val="none" w:sz="0" w:space="0" w:color="auto"/>
            <w:right w:val="none" w:sz="0" w:space="0" w:color="auto"/>
          </w:divBdr>
        </w:div>
      </w:divsChild>
    </w:div>
    <w:div w:id="745801887">
      <w:bodyDiv w:val="1"/>
      <w:marLeft w:val="360"/>
      <w:marRight w:val="360"/>
      <w:marTop w:val="0"/>
      <w:marBottom w:val="0"/>
      <w:divBdr>
        <w:top w:val="none" w:sz="0" w:space="0" w:color="auto"/>
        <w:left w:val="none" w:sz="0" w:space="0" w:color="auto"/>
        <w:bottom w:val="none" w:sz="0" w:space="0" w:color="auto"/>
        <w:right w:val="none" w:sz="0" w:space="0" w:color="auto"/>
      </w:divBdr>
      <w:divsChild>
        <w:div w:id="1634288039">
          <w:marLeft w:val="0"/>
          <w:marRight w:val="0"/>
          <w:marTop w:val="0"/>
          <w:marBottom w:val="0"/>
          <w:divBdr>
            <w:top w:val="none" w:sz="0" w:space="0" w:color="auto"/>
            <w:left w:val="none" w:sz="0" w:space="0" w:color="auto"/>
            <w:bottom w:val="none" w:sz="0" w:space="0" w:color="auto"/>
            <w:right w:val="none" w:sz="0" w:space="0" w:color="auto"/>
          </w:divBdr>
        </w:div>
        <w:div w:id="1642996200">
          <w:marLeft w:val="0"/>
          <w:marRight w:val="0"/>
          <w:marTop w:val="0"/>
          <w:marBottom w:val="0"/>
          <w:divBdr>
            <w:top w:val="none" w:sz="0" w:space="0" w:color="auto"/>
            <w:left w:val="none" w:sz="0" w:space="0" w:color="auto"/>
            <w:bottom w:val="none" w:sz="0" w:space="0" w:color="auto"/>
            <w:right w:val="none" w:sz="0" w:space="0" w:color="auto"/>
          </w:divBdr>
        </w:div>
      </w:divsChild>
    </w:div>
    <w:div w:id="913466233">
      <w:bodyDiv w:val="1"/>
      <w:marLeft w:val="360"/>
      <w:marRight w:val="360"/>
      <w:marTop w:val="0"/>
      <w:marBottom w:val="0"/>
      <w:divBdr>
        <w:top w:val="none" w:sz="0" w:space="0" w:color="auto"/>
        <w:left w:val="none" w:sz="0" w:space="0" w:color="auto"/>
        <w:bottom w:val="none" w:sz="0" w:space="0" w:color="auto"/>
        <w:right w:val="none" w:sz="0" w:space="0" w:color="auto"/>
      </w:divBdr>
      <w:divsChild>
        <w:div w:id="277444716">
          <w:marLeft w:val="0"/>
          <w:marRight w:val="0"/>
          <w:marTop w:val="0"/>
          <w:marBottom w:val="0"/>
          <w:divBdr>
            <w:top w:val="none" w:sz="0" w:space="0" w:color="auto"/>
            <w:left w:val="none" w:sz="0" w:space="0" w:color="auto"/>
            <w:bottom w:val="none" w:sz="0" w:space="0" w:color="auto"/>
            <w:right w:val="none" w:sz="0" w:space="0" w:color="auto"/>
          </w:divBdr>
        </w:div>
        <w:div w:id="1282803889">
          <w:marLeft w:val="0"/>
          <w:marRight w:val="0"/>
          <w:marTop w:val="0"/>
          <w:marBottom w:val="0"/>
          <w:divBdr>
            <w:top w:val="none" w:sz="0" w:space="0" w:color="auto"/>
            <w:left w:val="none" w:sz="0" w:space="0" w:color="auto"/>
            <w:bottom w:val="none" w:sz="0" w:space="0" w:color="auto"/>
            <w:right w:val="none" w:sz="0" w:space="0" w:color="auto"/>
          </w:divBdr>
        </w:div>
        <w:div w:id="1318728402">
          <w:marLeft w:val="0"/>
          <w:marRight w:val="0"/>
          <w:marTop w:val="0"/>
          <w:marBottom w:val="0"/>
          <w:divBdr>
            <w:top w:val="none" w:sz="0" w:space="0" w:color="auto"/>
            <w:left w:val="none" w:sz="0" w:space="0" w:color="auto"/>
            <w:bottom w:val="none" w:sz="0" w:space="0" w:color="auto"/>
            <w:right w:val="none" w:sz="0" w:space="0" w:color="auto"/>
          </w:divBdr>
        </w:div>
        <w:div w:id="1963607436">
          <w:marLeft w:val="0"/>
          <w:marRight w:val="0"/>
          <w:marTop w:val="0"/>
          <w:marBottom w:val="0"/>
          <w:divBdr>
            <w:top w:val="none" w:sz="0" w:space="0" w:color="auto"/>
            <w:left w:val="none" w:sz="0" w:space="0" w:color="auto"/>
            <w:bottom w:val="none" w:sz="0" w:space="0" w:color="auto"/>
            <w:right w:val="none" w:sz="0" w:space="0" w:color="auto"/>
          </w:divBdr>
        </w:div>
        <w:div w:id="2001080453">
          <w:marLeft w:val="0"/>
          <w:marRight w:val="0"/>
          <w:marTop w:val="0"/>
          <w:marBottom w:val="0"/>
          <w:divBdr>
            <w:top w:val="none" w:sz="0" w:space="0" w:color="auto"/>
            <w:left w:val="none" w:sz="0" w:space="0" w:color="auto"/>
            <w:bottom w:val="none" w:sz="0" w:space="0" w:color="auto"/>
            <w:right w:val="none" w:sz="0" w:space="0" w:color="auto"/>
          </w:divBdr>
        </w:div>
      </w:divsChild>
    </w:div>
    <w:div w:id="984552730">
      <w:bodyDiv w:val="1"/>
      <w:marLeft w:val="0"/>
      <w:marRight w:val="0"/>
      <w:marTop w:val="0"/>
      <w:marBottom w:val="0"/>
      <w:divBdr>
        <w:top w:val="none" w:sz="0" w:space="0" w:color="auto"/>
        <w:left w:val="none" w:sz="0" w:space="0" w:color="auto"/>
        <w:bottom w:val="none" w:sz="0" w:space="0" w:color="auto"/>
        <w:right w:val="none" w:sz="0" w:space="0" w:color="auto"/>
      </w:divBdr>
      <w:divsChild>
        <w:div w:id="725107980">
          <w:marLeft w:val="0"/>
          <w:marRight w:val="0"/>
          <w:marTop w:val="120"/>
          <w:marBottom w:val="0"/>
          <w:divBdr>
            <w:top w:val="none" w:sz="0" w:space="0" w:color="auto"/>
            <w:left w:val="none" w:sz="0" w:space="0" w:color="auto"/>
            <w:bottom w:val="none" w:sz="0" w:space="0" w:color="auto"/>
            <w:right w:val="none" w:sz="0" w:space="0" w:color="auto"/>
          </w:divBdr>
        </w:div>
        <w:div w:id="754206179">
          <w:marLeft w:val="0"/>
          <w:marRight w:val="0"/>
          <w:marTop w:val="120"/>
          <w:marBottom w:val="0"/>
          <w:divBdr>
            <w:top w:val="none" w:sz="0" w:space="0" w:color="auto"/>
            <w:left w:val="none" w:sz="0" w:space="0" w:color="auto"/>
            <w:bottom w:val="none" w:sz="0" w:space="0" w:color="auto"/>
            <w:right w:val="none" w:sz="0" w:space="0" w:color="auto"/>
          </w:divBdr>
        </w:div>
        <w:div w:id="1559854387">
          <w:marLeft w:val="0"/>
          <w:marRight w:val="0"/>
          <w:marTop w:val="120"/>
          <w:marBottom w:val="0"/>
          <w:divBdr>
            <w:top w:val="none" w:sz="0" w:space="0" w:color="auto"/>
            <w:left w:val="none" w:sz="0" w:space="0" w:color="auto"/>
            <w:bottom w:val="none" w:sz="0" w:space="0" w:color="auto"/>
            <w:right w:val="none" w:sz="0" w:space="0" w:color="auto"/>
          </w:divBdr>
        </w:div>
        <w:div w:id="1944219358">
          <w:marLeft w:val="0"/>
          <w:marRight w:val="0"/>
          <w:marTop w:val="240"/>
          <w:marBottom w:val="24"/>
          <w:divBdr>
            <w:top w:val="single" w:sz="8" w:space="2" w:color="808080"/>
            <w:left w:val="none" w:sz="0" w:space="0" w:color="auto"/>
            <w:bottom w:val="none" w:sz="0" w:space="0" w:color="auto"/>
            <w:right w:val="none" w:sz="0" w:space="0" w:color="auto"/>
          </w:divBdr>
        </w:div>
      </w:divsChild>
    </w:div>
    <w:div w:id="1000234239">
      <w:bodyDiv w:val="1"/>
      <w:marLeft w:val="360"/>
      <w:marRight w:val="360"/>
      <w:marTop w:val="0"/>
      <w:marBottom w:val="0"/>
      <w:divBdr>
        <w:top w:val="none" w:sz="0" w:space="0" w:color="auto"/>
        <w:left w:val="none" w:sz="0" w:space="0" w:color="auto"/>
        <w:bottom w:val="none" w:sz="0" w:space="0" w:color="auto"/>
        <w:right w:val="none" w:sz="0" w:space="0" w:color="auto"/>
      </w:divBdr>
      <w:divsChild>
        <w:div w:id="146898650">
          <w:marLeft w:val="0"/>
          <w:marRight w:val="0"/>
          <w:marTop w:val="0"/>
          <w:marBottom w:val="0"/>
          <w:divBdr>
            <w:top w:val="none" w:sz="0" w:space="0" w:color="auto"/>
            <w:left w:val="none" w:sz="0" w:space="0" w:color="auto"/>
            <w:bottom w:val="none" w:sz="0" w:space="0" w:color="auto"/>
            <w:right w:val="none" w:sz="0" w:space="0" w:color="auto"/>
          </w:divBdr>
        </w:div>
        <w:div w:id="228616891">
          <w:marLeft w:val="0"/>
          <w:marRight w:val="0"/>
          <w:marTop w:val="0"/>
          <w:marBottom w:val="0"/>
          <w:divBdr>
            <w:top w:val="none" w:sz="0" w:space="0" w:color="auto"/>
            <w:left w:val="none" w:sz="0" w:space="0" w:color="auto"/>
            <w:bottom w:val="none" w:sz="0" w:space="0" w:color="auto"/>
            <w:right w:val="none" w:sz="0" w:space="0" w:color="auto"/>
          </w:divBdr>
        </w:div>
        <w:div w:id="401097716">
          <w:marLeft w:val="0"/>
          <w:marRight w:val="0"/>
          <w:marTop w:val="0"/>
          <w:marBottom w:val="0"/>
          <w:divBdr>
            <w:top w:val="none" w:sz="0" w:space="0" w:color="auto"/>
            <w:left w:val="none" w:sz="0" w:space="0" w:color="auto"/>
            <w:bottom w:val="none" w:sz="0" w:space="0" w:color="auto"/>
            <w:right w:val="none" w:sz="0" w:space="0" w:color="auto"/>
          </w:divBdr>
        </w:div>
        <w:div w:id="599803429">
          <w:marLeft w:val="0"/>
          <w:marRight w:val="0"/>
          <w:marTop w:val="0"/>
          <w:marBottom w:val="0"/>
          <w:divBdr>
            <w:top w:val="none" w:sz="0" w:space="0" w:color="auto"/>
            <w:left w:val="none" w:sz="0" w:space="0" w:color="auto"/>
            <w:bottom w:val="none" w:sz="0" w:space="0" w:color="auto"/>
            <w:right w:val="none" w:sz="0" w:space="0" w:color="auto"/>
          </w:divBdr>
        </w:div>
        <w:div w:id="1272324198">
          <w:marLeft w:val="0"/>
          <w:marRight w:val="0"/>
          <w:marTop w:val="0"/>
          <w:marBottom w:val="0"/>
          <w:divBdr>
            <w:top w:val="none" w:sz="0" w:space="0" w:color="auto"/>
            <w:left w:val="none" w:sz="0" w:space="0" w:color="auto"/>
            <w:bottom w:val="none" w:sz="0" w:space="0" w:color="auto"/>
            <w:right w:val="none" w:sz="0" w:space="0" w:color="auto"/>
          </w:divBdr>
        </w:div>
        <w:div w:id="1351839658">
          <w:marLeft w:val="0"/>
          <w:marRight w:val="0"/>
          <w:marTop w:val="0"/>
          <w:marBottom w:val="0"/>
          <w:divBdr>
            <w:top w:val="none" w:sz="0" w:space="0" w:color="auto"/>
            <w:left w:val="none" w:sz="0" w:space="0" w:color="auto"/>
            <w:bottom w:val="none" w:sz="0" w:space="0" w:color="auto"/>
            <w:right w:val="none" w:sz="0" w:space="0" w:color="auto"/>
          </w:divBdr>
        </w:div>
        <w:div w:id="2103184947">
          <w:marLeft w:val="0"/>
          <w:marRight w:val="0"/>
          <w:marTop w:val="0"/>
          <w:marBottom w:val="0"/>
          <w:divBdr>
            <w:top w:val="none" w:sz="0" w:space="0" w:color="auto"/>
            <w:left w:val="none" w:sz="0" w:space="0" w:color="auto"/>
            <w:bottom w:val="none" w:sz="0" w:space="0" w:color="auto"/>
            <w:right w:val="none" w:sz="0" w:space="0" w:color="auto"/>
          </w:divBdr>
        </w:div>
      </w:divsChild>
    </w:div>
    <w:div w:id="1046952188">
      <w:bodyDiv w:val="1"/>
      <w:marLeft w:val="360"/>
      <w:marRight w:val="360"/>
      <w:marTop w:val="0"/>
      <w:marBottom w:val="0"/>
      <w:divBdr>
        <w:top w:val="none" w:sz="0" w:space="0" w:color="auto"/>
        <w:left w:val="none" w:sz="0" w:space="0" w:color="auto"/>
        <w:bottom w:val="none" w:sz="0" w:space="0" w:color="auto"/>
        <w:right w:val="none" w:sz="0" w:space="0" w:color="auto"/>
      </w:divBdr>
      <w:divsChild>
        <w:div w:id="445083064">
          <w:marLeft w:val="0"/>
          <w:marRight w:val="0"/>
          <w:marTop w:val="0"/>
          <w:marBottom w:val="0"/>
          <w:divBdr>
            <w:top w:val="none" w:sz="0" w:space="0" w:color="auto"/>
            <w:left w:val="none" w:sz="0" w:space="0" w:color="auto"/>
            <w:bottom w:val="none" w:sz="0" w:space="0" w:color="auto"/>
            <w:right w:val="none" w:sz="0" w:space="0" w:color="auto"/>
          </w:divBdr>
        </w:div>
        <w:div w:id="1108037612">
          <w:marLeft w:val="0"/>
          <w:marRight w:val="0"/>
          <w:marTop w:val="0"/>
          <w:marBottom w:val="0"/>
          <w:divBdr>
            <w:top w:val="none" w:sz="0" w:space="0" w:color="auto"/>
            <w:left w:val="none" w:sz="0" w:space="0" w:color="auto"/>
            <w:bottom w:val="none" w:sz="0" w:space="0" w:color="auto"/>
            <w:right w:val="none" w:sz="0" w:space="0" w:color="auto"/>
          </w:divBdr>
        </w:div>
      </w:divsChild>
    </w:div>
    <w:div w:id="1064715830">
      <w:bodyDiv w:val="1"/>
      <w:marLeft w:val="360"/>
      <w:marRight w:val="360"/>
      <w:marTop w:val="0"/>
      <w:marBottom w:val="0"/>
      <w:divBdr>
        <w:top w:val="none" w:sz="0" w:space="0" w:color="auto"/>
        <w:left w:val="none" w:sz="0" w:space="0" w:color="auto"/>
        <w:bottom w:val="none" w:sz="0" w:space="0" w:color="auto"/>
        <w:right w:val="none" w:sz="0" w:space="0" w:color="auto"/>
      </w:divBdr>
      <w:divsChild>
        <w:div w:id="73018472">
          <w:marLeft w:val="0"/>
          <w:marRight w:val="0"/>
          <w:marTop w:val="0"/>
          <w:marBottom w:val="0"/>
          <w:divBdr>
            <w:top w:val="none" w:sz="0" w:space="0" w:color="auto"/>
            <w:left w:val="none" w:sz="0" w:space="0" w:color="auto"/>
            <w:bottom w:val="none" w:sz="0" w:space="0" w:color="auto"/>
            <w:right w:val="none" w:sz="0" w:space="0" w:color="auto"/>
          </w:divBdr>
        </w:div>
        <w:div w:id="366872697">
          <w:marLeft w:val="0"/>
          <w:marRight w:val="0"/>
          <w:marTop w:val="0"/>
          <w:marBottom w:val="0"/>
          <w:divBdr>
            <w:top w:val="none" w:sz="0" w:space="0" w:color="auto"/>
            <w:left w:val="none" w:sz="0" w:space="0" w:color="auto"/>
            <w:bottom w:val="none" w:sz="0" w:space="0" w:color="auto"/>
            <w:right w:val="none" w:sz="0" w:space="0" w:color="auto"/>
          </w:divBdr>
        </w:div>
        <w:div w:id="487864179">
          <w:marLeft w:val="0"/>
          <w:marRight w:val="0"/>
          <w:marTop w:val="0"/>
          <w:marBottom w:val="0"/>
          <w:divBdr>
            <w:top w:val="none" w:sz="0" w:space="0" w:color="auto"/>
            <w:left w:val="none" w:sz="0" w:space="0" w:color="auto"/>
            <w:bottom w:val="none" w:sz="0" w:space="0" w:color="auto"/>
            <w:right w:val="none" w:sz="0" w:space="0" w:color="auto"/>
          </w:divBdr>
        </w:div>
        <w:div w:id="1635524754">
          <w:marLeft w:val="0"/>
          <w:marRight w:val="0"/>
          <w:marTop w:val="0"/>
          <w:marBottom w:val="0"/>
          <w:divBdr>
            <w:top w:val="none" w:sz="0" w:space="0" w:color="auto"/>
            <w:left w:val="none" w:sz="0" w:space="0" w:color="auto"/>
            <w:bottom w:val="none" w:sz="0" w:space="0" w:color="auto"/>
            <w:right w:val="none" w:sz="0" w:space="0" w:color="auto"/>
          </w:divBdr>
        </w:div>
      </w:divsChild>
    </w:div>
    <w:div w:id="1225218996">
      <w:bodyDiv w:val="1"/>
      <w:marLeft w:val="360"/>
      <w:marRight w:val="360"/>
      <w:marTop w:val="0"/>
      <w:marBottom w:val="0"/>
      <w:divBdr>
        <w:top w:val="none" w:sz="0" w:space="0" w:color="auto"/>
        <w:left w:val="none" w:sz="0" w:space="0" w:color="auto"/>
        <w:bottom w:val="none" w:sz="0" w:space="0" w:color="auto"/>
        <w:right w:val="none" w:sz="0" w:space="0" w:color="auto"/>
      </w:divBdr>
      <w:divsChild>
        <w:div w:id="271519580">
          <w:marLeft w:val="0"/>
          <w:marRight w:val="0"/>
          <w:marTop w:val="0"/>
          <w:marBottom w:val="0"/>
          <w:divBdr>
            <w:top w:val="none" w:sz="0" w:space="0" w:color="auto"/>
            <w:left w:val="none" w:sz="0" w:space="0" w:color="auto"/>
            <w:bottom w:val="none" w:sz="0" w:space="0" w:color="auto"/>
            <w:right w:val="none" w:sz="0" w:space="0" w:color="auto"/>
          </w:divBdr>
        </w:div>
        <w:div w:id="1159351143">
          <w:marLeft w:val="0"/>
          <w:marRight w:val="0"/>
          <w:marTop w:val="0"/>
          <w:marBottom w:val="0"/>
          <w:divBdr>
            <w:top w:val="none" w:sz="0" w:space="0" w:color="auto"/>
            <w:left w:val="none" w:sz="0" w:space="0" w:color="auto"/>
            <w:bottom w:val="none" w:sz="0" w:space="0" w:color="auto"/>
            <w:right w:val="none" w:sz="0" w:space="0" w:color="auto"/>
          </w:divBdr>
        </w:div>
      </w:divsChild>
    </w:div>
    <w:div w:id="1558781733">
      <w:bodyDiv w:val="1"/>
      <w:marLeft w:val="0"/>
      <w:marRight w:val="0"/>
      <w:marTop w:val="0"/>
      <w:marBottom w:val="0"/>
      <w:divBdr>
        <w:top w:val="none" w:sz="0" w:space="0" w:color="auto"/>
        <w:left w:val="none" w:sz="0" w:space="0" w:color="auto"/>
        <w:bottom w:val="none" w:sz="0" w:space="0" w:color="auto"/>
        <w:right w:val="none" w:sz="0" w:space="0" w:color="auto"/>
      </w:divBdr>
    </w:div>
    <w:div w:id="1586762262">
      <w:bodyDiv w:val="1"/>
      <w:marLeft w:val="360"/>
      <w:marRight w:val="360"/>
      <w:marTop w:val="0"/>
      <w:marBottom w:val="0"/>
      <w:divBdr>
        <w:top w:val="none" w:sz="0" w:space="0" w:color="auto"/>
        <w:left w:val="none" w:sz="0" w:space="0" w:color="auto"/>
        <w:bottom w:val="none" w:sz="0" w:space="0" w:color="auto"/>
        <w:right w:val="none" w:sz="0" w:space="0" w:color="auto"/>
      </w:divBdr>
      <w:divsChild>
        <w:div w:id="20906732">
          <w:marLeft w:val="0"/>
          <w:marRight w:val="0"/>
          <w:marTop w:val="0"/>
          <w:marBottom w:val="0"/>
          <w:divBdr>
            <w:top w:val="none" w:sz="0" w:space="0" w:color="auto"/>
            <w:left w:val="none" w:sz="0" w:space="0" w:color="auto"/>
            <w:bottom w:val="none" w:sz="0" w:space="0" w:color="auto"/>
            <w:right w:val="none" w:sz="0" w:space="0" w:color="auto"/>
          </w:divBdr>
        </w:div>
        <w:div w:id="223955722">
          <w:marLeft w:val="0"/>
          <w:marRight w:val="0"/>
          <w:marTop w:val="0"/>
          <w:marBottom w:val="0"/>
          <w:divBdr>
            <w:top w:val="none" w:sz="0" w:space="0" w:color="auto"/>
            <w:left w:val="none" w:sz="0" w:space="0" w:color="auto"/>
            <w:bottom w:val="none" w:sz="0" w:space="0" w:color="auto"/>
            <w:right w:val="none" w:sz="0" w:space="0" w:color="auto"/>
          </w:divBdr>
        </w:div>
        <w:div w:id="248082450">
          <w:marLeft w:val="0"/>
          <w:marRight w:val="0"/>
          <w:marTop w:val="0"/>
          <w:marBottom w:val="0"/>
          <w:divBdr>
            <w:top w:val="none" w:sz="0" w:space="0" w:color="auto"/>
            <w:left w:val="none" w:sz="0" w:space="0" w:color="auto"/>
            <w:bottom w:val="none" w:sz="0" w:space="0" w:color="auto"/>
            <w:right w:val="none" w:sz="0" w:space="0" w:color="auto"/>
          </w:divBdr>
        </w:div>
        <w:div w:id="543100829">
          <w:marLeft w:val="0"/>
          <w:marRight w:val="0"/>
          <w:marTop w:val="0"/>
          <w:marBottom w:val="0"/>
          <w:divBdr>
            <w:top w:val="none" w:sz="0" w:space="0" w:color="auto"/>
            <w:left w:val="none" w:sz="0" w:space="0" w:color="auto"/>
            <w:bottom w:val="none" w:sz="0" w:space="0" w:color="auto"/>
            <w:right w:val="none" w:sz="0" w:space="0" w:color="auto"/>
          </w:divBdr>
        </w:div>
        <w:div w:id="1363239883">
          <w:marLeft w:val="0"/>
          <w:marRight w:val="0"/>
          <w:marTop w:val="0"/>
          <w:marBottom w:val="0"/>
          <w:divBdr>
            <w:top w:val="none" w:sz="0" w:space="0" w:color="auto"/>
            <w:left w:val="none" w:sz="0" w:space="0" w:color="auto"/>
            <w:bottom w:val="none" w:sz="0" w:space="0" w:color="auto"/>
            <w:right w:val="none" w:sz="0" w:space="0" w:color="auto"/>
          </w:divBdr>
        </w:div>
        <w:div w:id="2080132986">
          <w:marLeft w:val="0"/>
          <w:marRight w:val="0"/>
          <w:marTop w:val="0"/>
          <w:marBottom w:val="0"/>
          <w:divBdr>
            <w:top w:val="none" w:sz="0" w:space="0" w:color="auto"/>
            <w:left w:val="none" w:sz="0" w:space="0" w:color="auto"/>
            <w:bottom w:val="none" w:sz="0" w:space="0" w:color="auto"/>
            <w:right w:val="none" w:sz="0" w:space="0" w:color="auto"/>
          </w:divBdr>
        </w:div>
        <w:div w:id="2101827759">
          <w:marLeft w:val="0"/>
          <w:marRight w:val="0"/>
          <w:marTop w:val="0"/>
          <w:marBottom w:val="0"/>
          <w:divBdr>
            <w:top w:val="none" w:sz="0" w:space="0" w:color="auto"/>
            <w:left w:val="none" w:sz="0" w:space="0" w:color="auto"/>
            <w:bottom w:val="none" w:sz="0" w:space="0" w:color="auto"/>
            <w:right w:val="none" w:sz="0" w:space="0" w:color="auto"/>
          </w:divBdr>
        </w:div>
      </w:divsChild>
    </w:div>
    <w:div w:id="1657687572">
      <w:bodyDiv w:val="1"/>
      <w:marLeft w:val="360"/>
      <w:marRight w:val="360"/>
      <w:marTop w:val="0"/>
      <w:marBottom w:val="0"/>
      <w:divBdr>
        <w:top w:val="none" w:sz="0" w:space="0" w:color="auto"/>
        <w:left w:val="none" w:sz="0" w:space="0" w:color="auto"/>
        <w:bottom w:val="none" w:sz="0" w:space="0" w:color="auto"/>
        <w:right w:val="none" w:sz="0" w:space="0" w:color="auto"/>
      </w:divBdr>
      <w:divsChild>
        <w:div w:id="439764376">
          <w:marLeft w:val="0"/>
          <w:marRight w:val="0"/>
          <w:marTop w:val="0"/>
          <w:marBottom w:val="0"/>
          <w:divBdr>
            <w:top w:val="none" w:sz="0" w:space="0" w:color="auto"/>
            <w:left w:val="none" w:sz="0" w:space="0" w:color="auto"/>
            <w:bottom w:val="none" w:sz="0" w:space="0" w:color="auto"/>
            <w:right w:val="none" w:sz="0" w:space="0" w:color="auto"/>
          </w:divBdr>
        </w:div>
        <w:div w:id="972519748">
          <w:marLeft w:val="0"/>
          <w:marRight w:val="0"/>
          <w:marTop w:val="0"/>
          <w:marBottom w:val="0"/>
          <w:divBdr>
            <w:top w:val="none" w:sz="0" w:space="0" w:color="auto"/>
            <w:left w:val="none" w:sz="0" w:space="0" w:color="auto"/>
            <w:bottom w:val="none" w:sz="0" w:space="0" w:color="auto"/>
            <w:right w:val="none" w:sz="0" w:space="0" w:color="auto"/>
          </w:divBdr>
        </w:div>
        <w:div w:id="1378117885">
          <w:marLeft w:val="0"/>
          <w:marRight w:val="0"/>
          <w:marTop w:val="0"/>
          <w:marBottom w:val="0"/>
          <w:divBdr>
            <w:top w:val="none" w:sz="0" w:space="0" w:color="auto"/>
            <w:left w:val="none" w:sz="0" w:space="0" w:color="auto"/>
            <w:bottom w:val="none" w:sz="0" w:space="0" w:color="auto"/>
            <w:right w:val="none" w:sz="0" w:space="0" w:color="auto"/>
          </w:divBdr>
        </w:div>
        <w:div w:id="2060394289">
          <w:marLeft w:val="0"/>
          <w:marRight w:val="0"/>
          <w:marTop w:val="0"/>
          <w:marBottom w:val="0"/>
          <w:divBdr>
            <w:top w:val="none" w:sz="0" w:space="0" w:color="auto"/>
            <w:left w:val="none" w:sz="0" w:space="0" w:color="auto"/>
            <w:bottom w:val="none" w:sz="0" w:space="0" w:color="auto"/>
            <w:right w:val="none" w:sz="0" w:space="0" w:color="auto"/>
          </w:divBdr>
        </w:div>
      </w:divsChild>
    </w:div>
    <w:div w:id="1676608104">
      <w:bodyDiv w:val="1"/>
      <w:marLeft w:val="0"/>
      <w:marRight w:val="0"/>
      <w:marTop w:val="0"/>
      <w:marBottom w:val="0"/>
      <w:divBdr>
        <w:top w:val="none" w:sz="0" w:space="0" w:color="auto"/>
        <w:left w:val="none" w:sz="0" w:space="0" w:color="auto"/>
        <w:bottom w:val="none" w:sz="0" w:space="0" w:color="auto"/>
        <w:right w:val="none" w:sz="0" w:space="0" w:color="auto"/>
      </w:divBdr>
      <w:divsChild>
        <w:div w:id="1197427917">
          <w:marLeft w:val="225"/>
          <w:marRight w:val="0"/>
          <w:marTop w:val="0"/>
          <w:marBottom w:val="0"/>
          <w:divBdr>
            <w:top w:val="none" w:sz="0" w:space="0" w:color="auto"/>
            <w:left w:val="none" w:sz="0" w:space="0" w:color="auto"/>
            <w:bottom w:val="none" w:sz="0" w:space="0" w:color="auto"/>
            <w:right w:val="none" w:sz="0" w:space="0" w:color="auto"/>
          </w:divBdr>
        </w:div>
      </w:divsChild>
    </w:div>
    <w:div w:id="2045447679">
      <w:bodyDiv w:val="1"/>
      <w:marLeft w:val="360"/>
      <w:marRight w:val="360"/>
      <w:marTop w:val="0"/>
      <w:marBottom w:val="0"/>
      <w:divBdr>
        <w:top w:val="none" w:sz="0" w:space="0" w:color="auto"/>
        <w:left w:val="none" w:sz="0" w:space="0" w:color="auto"/>
        <w:bottom w:val="none" w:sz="0" w:space="0" w:color="auto"/>
        <w:right w:val="none" w:sz="0" w:space="0" w:color="auto"/>
      </w:divBdr>
      <w:divsChild>
        <w:div w:id="19165565">
          <w:marLeft w:val="0"/>
          <w:marRight w:val="0"/>
          <w:marTop w:val="0"/>
          <w:marBottom w:val="0"/>
          <w:divBdr>
            <w:top w:val="none" w:sz="0" w:space="0" w:color="auto"/>
            <w:left w:val="none" w:sz="0" w:space="0" w:color="auto"/>
            <w:bottom w:val="none" w:sz="0" w:space="0" w:color="auto"/>
            <w:right w:val="none" w:sz="0" w:space="0" w:color="auto"/>
          </w:divBdr>
        </w:div>
        <w:div w:id="69230966">
          <w:marLeft w:val="0"/>
          <w:marRight w:val="0"/>
          <w:marTop w:val="0"/>
          <w:marBottom w:val="0"/>
          <w:divBdr>
            <w:top w:val="none" w:sz="0" w:space="0" w:color="auto"/>
            <w:left w:val="none" w:sz="0" w:space="0" w:color="auto"/>
            <w:bottom w:val="none" w:sz="0" w:space="0" w:color="auto"/>
            <w:right w:val="none" w:sz="0" w:space="0" w:color="auto"/>
          </w:divBdr>
        </w:div>
        <w:div w:id="69887518">
          <w:marLeft w:val="0"/>
          <w:marRight w:val="0"/>
          <w:marTop w:val="0"/>
          <w:marBottom w:val="0"/>
          <w:divBdr>
            <w:top w:val="none" w:sz="0" w:space="0" w:color="auto"/>
            <w:left w:val="none" w:sz="0" w:space="0" w:color="auto"/>
            <w:bottom w:val="none" w:sz="0" w:space="0" w:color="auto"/>
            <w:right w:val="none" w:sz="0" w:space="0" w:color="auto"/>
          </w:divBdr>
        </w:div>
        <w:div w:id="1067990970">
          <w:marLeft w:val="0"/>
          <w:marRight w:val="0"/>
          <w:marTop w:val="0"/>
          <w:marBottom w:val="0"/>
          <w:divBdr>
            <w:top w:val="none" w:sz="0" w:space="0" w:color="auto"/>
            <w:left w:val="none" w:sz="0" w:space="0" w:color="auto"/>
            <w:bottom w:val="none" w:sz="0" w:space="0" w:color="auto"/>
            <w:right w:val="none" w:sz="0" w:space="0" w:color="auto"/>
          </w:divBdr>
        </w:div>
        <w:div w:id="1093821190">
          <w:marLeft w:val="0"/>
          <w:marRight w:val="0"/>
          <w:marTop w:val="0"/>
          <w:marBottom w:val="0"/>
          <w:divBdr>
            <w:top w:val="none" w:sz="0" w:space="0" w:color="auto"/>
            <w:left w:val="none" w:sz="0" w:space="0" w:color="auto"/>
            <w:bottom w:val="none" w:sz="0" w:space="0" w:color="auto"/>
            <w:right w:val="none" w:sz="0" w:space="0" w:color="auto"/>
          </w:divBdr>
        </w:div>
        <w:div w:id="1378243826">
          <w:marLeft w:val="0"/>
          <w:marRight w:val="0"/>
          <w:marTop w:val="0"/>
          <w:marBottom w:val="0"/>
          <w:divBdr>
            <w:top w:val="none" w:sz="0" w:space="0" w:color="auto"/>
            <w:left w:val="none" w:sz="0" w:space="0" w:color="auto"/>
            <w:bottom w:val="none" w:sz="0" w:space="0" w:color="auto"/>
            <w:right w:val="none" w:sz="0" w:space="0" w:color="auto"/>
          </w:divBdr>
        </w:div>
        <w:div w:id="1456681732">
          <w:marLeft w:val="0"/>
          <w:marRight w:val="0"/>
          <w:marTop w:val="0"/>
          <w:marBottom w:val="0"/>
          <w:divBdr>
            <w:top w:val="none" w:sz="0" w:space="0" w:color="auto"/>
            <w:left w:val="none" w:sz="0" w:space="0" w:color="auto"/>
            <w:bottom w:val="none" w:sz="0" w:space="0" w:color="auto"/>
            <w:right w:val="none" w:sz="0" w:space="0" w:color="auto"/>
          </w:divBdr>
        </w:div>
        <w:div w:id="2010063557">
          <w:marLeft w:val="0"/>
          <w:marRight w:val="0"/>
          <w:marTop w:val="0"/>
          <w:marBottom w:val="0"/>
          <w:divBdr>
            <w:top w:val="none" w:sz="0" w:space="0" w:color="auto"/>
            <w:left w:val="none" w:sz="0" w:space="0" w:color="auto"/>
            <w:bottom w:val="none" w:sz="0" w:space="0" w:color="auto"/>
            <w:right w:val="none" w:sz="0" w:space="0" w:color="auto"/>
          </w:divBdr>
        </w:div>
        <w:div w:id="2025588766">
          <w:marLeft w:val="0"/>
          <w:marRight w:val="0"/>
          <w:marTop w:val="0"/>
          <w:marBottom w:val="0"/>
          <w:divBdr>
            <w:top w:val="none" w:sz="0" w:space="0" w:color="auto"/>
            <w:left w:val="none" w:sz="0" w:space="0" w:color="auto"/>
            <w:bottom w:val="none" w:sz="0" w:space="0" w:color="auto"/>
            <w:right w:val="none" w:sz="0" w:space="0" w:color="auto"/>
          </w:divBdr>
        </w:div>
        <w:div w:id="209099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3" ma:contentTypeDescription="Create a new document." ma:contentTypeScope="" ma:versionID="ad5fb03f08e6b210f6878b53499a37f6">
  <xsd:schema xmlns:xsd="http://www.w3.org/2001/XMLSchema" xmlns:xs="http://www.w3.org/2001/XMLSchema" xmlns:p="http://schemas.microsoft.com/office/2006/metadata/properties" xmlns:ns3="5652ad7a-feb6-4809-a38f-6dfd0bb97631" xmlns:ns4="06925759-ab12-4bdf-a823-41c11c3fabf7" targetNamespace="http://schemas.microsoft.com/office/2006/metadata/properties" ma:root="true" ma:fieldsID="44f9ccdd751a731ce761af483a11fa78" ns3:_="" ns4:_="">
    <xsd:import namespace="5652ad7a-feb6-4809-a38f-6dfd0bb97631"/>
    <xsd:import namespace="06925759-ab12-4bdf-a823-41c11c3fab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F879-B198-4ECC-8653-B19C28D32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2ad7a-feb6-4809-a38f-6dfd0bb97631"/>
    <ds:schemaRef ds:uri="06925759-ab12-4bdf-a823-41c11c3fa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7E02A-0106-491E-9730-3D148B29C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35CFCE-F7AE-4E07-8DC2-8E0158382E1F}">
  <ds:schemaRefs>
    <ds:schemaRef ds:uri="http://schemas.microsoft.com/sharepoint/v3/contenttype/forms"/>
  </ds:schemaRefs>
</ds:datastoreItem>
</file>

<file path=customXml/itemProps4.xml><?xml version="1.0" encoding="utf-8"?>
<ds:datastoreItem xmlns:ds="http://schemas.openxmlformats.org/officeDocument/2006/customXml" ds:itemID="{06FC697A-317B-4009-9714-76B47BAC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6115</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2024-02-22T10:38:00Z</dcterms:created>
  <dcterms:modified xsi:type="dcterms:W3CDTF">2024-02-23T12:44:00Z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90d14f78c51c63305942b5ebb21a12fa02784e7879148781780db944b0af5b48</vt:lpwstr>
  </property>
  <property fmtid="{D5CDD505-2E9C-101B-9397-08002B2CF9AE}" pid="3" name="ContentTypeId">
    <vt:lpwstr>0x0101007268CC235A2AC34DB85E3EEC145134D1</vt:lpwstr>
  </property>
</Properties>
</file>