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page" w:tblpX="7482"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tblGrid>
      <w:tr w:rsidR="00434569" w:rsidRPr="00EB0EEF" w14:paraId="6150EAF4" w14:textId="77777777" w:rsidTr="00CF2B5D">
        <w:trPr>
          <w:trHeight w:val="285"/>
        </w:trPr>
        <w:tc>
          <w:tcPr>
            <w:tcW w:w="3947" w:type="dxa"/>
          </w:tcPr>
          <w:p w14:paraId="6B38D86C" w14:textId="77777777" w:rsidR="00434569" w:rsidRPr="00E55B13" w:rsidRDefault="00434569" w:rsidP="00CF2B5D">
            <w:pPr>
              <w:tabs>
                <w:tab w:val="left" w:pos="2452"/>
              </w:tabs>
              <w:spacing w:after="0" w:line="276" w:lineRule="auto"/>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 xml:space="preserve">Reportable: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7ED3A795" w14:textId="77777777" w:rsidR="00434569" w:rsidRPr="00E56A13" w:rsidRDefault="00434569" w:rsidP="00CF2B5D">
            <w:pPr>
              <w:spacing w:after="0" w:line="276" w:lineRule="auto"/>
              <w:jc w:val="both"/>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 xml:space="preserve">Circulate to Judges: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18D1052E" w14:textId="77777777" w:rsidR="00434569" w:rsidRPr="00E55B13" w:rsidRDefault="00434569" w:rsidP="00CF2B5D">
            <w:pPr>
              <w:spacing w:after="0" w:line="276" w:lineRule="auto"/>
              <w:jc w:val="both"/>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Circulat</w:t>
            </w:r>
            <w:r>
              <w:rPr>
                <w:rFonts w:ascii="Bookman Old Style" w:eastAsia="Times New Roman" w:hAnsi="Bookman Old Style" w:cs="Times New Roman"/>
                <w:sz w:val="16"/>
                <w:szCs w:val="16"/>
                <w:lang w:val="en-GB" w:eastAsia="en-GB"/>
              </w:rPr>
              <w:t xml:space="preserve">e </w:t>
            </w:r>
            <w:r w:rsidRPr="00E55B13">
              <w:rPr>
                <w:rFonts w:ascii="Bookman Old Style" w:eastAsia="Times New Roman" w:hAnsi="Bookman Old Style" w:cs="Times New Roman"/>
                <w:sz w:val="16"/>
                <w:szCs w:val="16"/>
                <w:lang w:val="en-GB" w:eastAsia="en-GB"/>
              </w:rPr>
              <w:t>to</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Magistrates: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25C0678A" w14:textId="77777777" w:rsidR="00434569" w:rsidRPr="00EB0EEF" w:rsidRDefault="00434569" w:rsidP="00CF2B5D">
            <w:pPr>
              <w:spacing w:after="0" w:line="276" w:lineRule="auto"/>
              <w:jc w:val="both"/>
              <w:rPr>
                <w:rFonts w:ascii="Bookman Old Style" w:eastAsia="Times New Roman" w:hAnsi="Bookman Old Style" w:cs="Times New Roman"/>
                <w:sz w:val="18"/>
                <w:szCs w:val="18"/>
                <w:lang w:val="en-GB" w:eastAsia="en-GB"/>
              </w:rPr>
            </w:pPr>
            <w:r w:rsidRPr="00E55B13">
              <w:rPr>
                <w:rFonts w:ascii="Bookman Old Style" w:eastAsia="Times New Roman" w:hAnsi="Bookman Old Style" w:cs="Times New Roman"/>
                <w:sz w:val="16"/>
                <w:szCs w:val="16"/>
                <w:lang w:val="en-GB" w:eastAsia="en-GB"/>
              </w:rPr>
              <w:t>Circulate to Regional Magistrates</w:t>
            </w:r>
            <w:r>
              <w:rPr>
                <w:rFonts w:ascii="Bookman Old Style" w:eastAsia="Times New Roman" w:hAnsi="Bookman Old Style" w:cs="Times New Roman"/>
                <w:sz w:val="16"/>
                <w:szCs w:val="16"/>
                <w:lang w:val="en-GB" w:eastAsia="en-GB"/>
              </w:rPr>
              <w:t>:</w:t>
            </w:r>
            <w:r w:rsidRPr="00E55B13">
              <w:rPr>
                <w:rFonts w:ascii="Bookman Old Style" w:eastAsia="Times New Roman" w:hAnsi="Bookman Old Style" w:cs="Times New Roman"/>
                <w:sz w:val="16"/>
                <w:szCs w:val="16"/>
                <w:lang w:val="en-GB" w:eastAsia="en-GB"/>
              </w:rPr>
              <w:t xml:space="preserv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 YES/</w:t>
            </w:r>
            <w:r w:rsidRPr="00E56A13">
              <w:rPr>
                <w:rFonts w:ascii="Bookman Old Style" w:eastAsia="Times New Roman" w:hAnsi="Bookman Old Style" w:cs="Times New Roman"/>
                <w:sz w:val="16"/>
                <w:szCs w:val="16"/>
                <w:lang w:val="en-GB" w:eastAsia="en-GB"/>
              </w:rPr>
              <w:t>NO</w:t>
            </w:r>
          </w:p>
        </w:tc>
      </w:tr>
    </w:tbl>
    <w:p w14:paraId="785279F7" w14:textId="77777777" w:rsidR="00434569" w:rsidRPr="007C0159" w:rsidRDefault="00434569" w:rsidP="00434569">
      <w:pPr>
        <w:pStyle w:val="NormalEmail"/>
        <w:spacing w:before="60" w:after="60" w:line="360" w:lineRule="auto"/>
        <w:ind w:firstLine="0"/>
        <w:jc w:val="right"/>
        <w:rPr>
          <w:rFonts w:ascii="Bookman Old Style" w:hAnsi="Bookman Old Style"/>
          <w:iCs/>
          <w:noProof/>
          <w:lang w:val="en-ZA" w:eastAsia="en-ZA"/>
        </w:rPr>
      </w:pPr>
    </w:p>
    <w:p w14:paraId="0F1DE515" w14:textId="77777777" w:rsidR="00434569" w:rsidRDefault="00434569" w:rsidP="00434569">
      <w:pPr>
        <w:pStyle w:val="NormalEmail"/>
        <w:spacing w:before="60" w:after="60" w:line="360" w:lineRule="auto"/>
        <w:ind w:firstLine="0"/>
        <w:jc w:val="center"/>
        <w:rPr>
          <w:rFonts w:cs="Arial"/>
          <w:b/>
        </w:rPr>
      </w:pPr>
      <w:r w:rsidRPr="00444511">
        <w:rPr>
          <w:rFonts w:ascii="Times New Roman" w:hAnsi="Times New Roman"/>
          <w:i/>
          <w:noProof/>
          <w:lang w:val="en-ZA" w:eastAsia="en-ZA"/>
        </w:rPr>
        <w:drawing>
          <wp:inline distT="0" distB="0" distL="0" distR="0" wp14:anchorId="08E9FCEC" wp14:editId="1398963F">
            <wp:extent cx="134175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746" cy="1089889"/>
                    </a:xfrm>
                    <a:prstGeom prst="rect">
                      <a:avLst/>
                    </a:prstGeom>
                    <a:noFill/>
                    <a:ln>
                      <a:noFill/>
                    </a:ln>
                  </pic:spPr>
                </pic:pic>
              </a:graphicData>
            </a:graphic>
          </wp:inline>
        </w:drawing>
      </w:r>
    </w:p>
    <w:p w14:paraId="4898C041" w14:textId="3E26B623" w:rsidR="005527B9" w:rsidRDefault="005527B9" w:rsidP="005527B9">
      <w:pPr>
        <w:jc w:val="center"/>
        <w:rPr>
          <w:rFonts w:ascii="Verdana" w:hAnsi="Verdana"/>
          <w:sz w:val="24"/>
          <w:szCs w:val="24"/>
        </w:rPr>
      </w:pPr>
      <w:r>
        <w:rPr>
          <w:rFonts w:ascii="Verdana" w:hAnsi="Verdana"/>
          <w:sz w:val="24"/>
          <w:szCs w:val="24"/>
        </w:rPr>
        <w:t>IN THE HIGH COURT OF SOUTH AFRICA</w:t>
      </w:r>
    </w:p>
    <w:p w14:paraId="3B73037F" w14:textId="589B6D22" w:rsidR="005527B9" w:rsidRDefault="005527B9" w:rsidP="005527B9">
      <w:pPr>
        <w:jc w:val="center"/>
        <w:rPr>
          <w:rFonts w:ascii="Verdana" w:hAnsi="Verdana"/>
          <w:sz w:val="24"/>
          <w:szCs w:val="24"/>
        </w:rPr>
      </w:pPr>
      <w:r>
        <w:rPr>
          <w:rFonts w:ascii="Verdana" w:hAnsi="Verdana"/>
          <w:sz w:val="24"/>
          <w:szCs w:val="24"/>
        </w:rPr>
        <w:t>NORTHERN CAPE</w:t>
      </w:r>
      <w:r w:rsidR="00705B7E">
        <w:rPr>
          <w:rFonts w:ascii="Verdana" w:hAnsi="Verdana"/>
          <w:sz w:val="24"/>
          <w:szCs w:val="24"/>
        </w:rPr>
        <w:t xml:space="preserve"> DIVISION</w:t>
      </w:r>
      <w:r>
        <w:rPr>
          <w:rFonts w:ascii="Verdana" w:hAnsi="Verdana"/>
          <w:sz w:val="24"/>
          <w:szCs w:val="24"/>
        </w:rPr>
        <w:t>, KIMBERLEY</w:t>
      </w:r>
    </w:p>
    <w:p w14:paraId="70018AC1" w14:textId="77777777" w:rsidR="005527B9" w:rsidRDefault="005527B9" w:rsidP="005527B9">
      <w:pPr>
        <w:jc w:val="center"/>
        <w:rPr>
          <w:rFonts w:ascii="Verdana" w:hAnsi="Verdana"/>
          <w:sz w:val="24"/>
          <w:szCs w:val="24"/>
        </w:rPr>
      </w:pPr>
    </w:p>
    <w:p w14:paraId="3BA4147C" w14:textId="6EA8D685" w:rsidR="005527B9" w:rsidRDefault="005527B9" w:rsidP="005527B9">
      <w:pPr>
        <w:jc w:val="right"/>
        <w:rPr>
          <w:rFonts w:ascii="Verdana" w:hAnsi="Verdana"/>
          <w:sz w:val="24"/>
          <w:szCs w:val="24"/>
        </w:rPr>
      </w:pPr>
      <w:r>
        <w:rPr>
          <w:rFonts w:ascii="Verdana" w:hAnsi="Verdana"/>
          <w:sz w:val="24"/>
          <w:szCs w:val="24"/>
        </w:rPr>
        <w:t>Case No: 1635/22</w:t>
      </w:r>
    </w:p>
    <w:p w14:paraId="404539E0" w14:textId="49E8BA04" w:rsidR="005527B9" w:rsidRDefault="005527B9" w:rsidP="005527B9">
      <w:pPr>
        <w:rPr>
          <w:rFonts w:ascii="Verdana" w:hAnsi="Verdana"/>
          <w:sz w:val="24"/>
          <w:szCs w:val="24"/>
        </w:rPr>
      </w:pPr>
      <w:r>
        <w:rPr>
          <w:rFonts w:ascii="Verdana" w:hAnsi="Verdana"/>
          <w:sz w:val="24"/>
          <w:szCs w:val="24"/>
        </w:rPr>
        <w:t>In the matter between:</w:t>
      </w:r>
    </w:p>
    <w:p w14:paraId="1020FD01" w14:textId="77777777" w:rsidR="005527B9" w:rsidRDefault="005527B9" w:rsidP="005527B9">
      <w:pPr>
        <w:rPr>
          <w:rFonts w:ascii="Verdana" w:hAnsi="Verdana"/>
          <w:sz w:val="24"/>
          <w:szCs w:val="24"/>
        </w:rPr>
      </w:pPr>
    </w:p>
    <w:p w14:paraId="1EA6932F" w14:textId="167742B6" w:rsidR="005527B9" w:rsidRDefault="005527B9" w:rsidP="005527B9">
      <w:pPr>
        <w:rPr>
          <w:rFonts w:ascii="Verdana" w:hAnsi="Verdana"/>
          <w:sz w:val="24"/>
          <w:szCs w:val="24"/>
        </w:rPr>
      </w:pPr>
      <w:r>
        <w:rPr>
          <w:rFonts w:ascii="Verdana" w:hAnsi="Verdana"/>
          <w:sz w:val="24"/>
          <w:szCs w:val="24"/>
        </w:rPr>
        <w:t>THE LEGAL PRACTICE COUNCIL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Applicant</w:t>
      </w:r>
    </w:p>
    <w:p w14:paraId="31FDCE49" w14:textId="77777777" w:rsidR="005527B9" w:rsidRDefault="005527B9" w:rsidP="005527B9">
      <w:pPr>
        <w:rPr>
          <w:rFonts w:ascii="Verdana" w:hAnsi="Verdana"/>
          <w:sz w:val="24"/>
          <w:szCs w:val="24"/>
        </w:rPr>
      </w:pPr>
    </w:p>
    <w:p w14:paraId="4A12A964" w14:textId="64BBB9EF" w:rsidR="005527B9" w:rsidRDefault="005527B9" w:rsidP="005527B9">
      <w:pPr>
        <w:rPr>
          <w:rFonts w:ascii="Verdana" w:hAnsi="Verdana"/>
          <w:sz w:val="24"/>
          <w:szCs w:val="24"/>
        </w:rPr>
      </w:pPr>
      <w:r>
        <w:rPr>
          <w:rFonts w:ascii="Verdana" w:hAnsi="Verdana"/>
          <w:sz w:val="24"/>
          <w:szCs w:val="24"/>
        </w:rPr>
        <w:t>and</w:t>
      </w:r>
    </w:p>
    <w:p w14:paraId="1EEF14CF" w14:textId="77777777" w:rsidR="005527B9" w:rsidRDefault="005527B9" w:rsidP="005527B9">
      <w:pPr>
        <w:rPr>
          <w:rFonts w:ascii="Verdana" w:hAnsi="Verdana"/>
          <w:sz w:val="24"/>
          <w:szCs w:val="24"/>
        </w:rPr>
      </w:pPr>
    </w:p>
    <w:p w14:paraId="403E891A" w14:textId="0CE9CC78" w:rsidR="005527B9" w:rsidRDefault="005527B9" w:rsidP="005527B9">
      <w:pPr>
        <w:rPr>
          <w:rFonts w:ascii="Verdana" w:hAnsi="Verdana"/>
          <w:sz w:val="24"/>
          <w:szCs w:val="24"/>
        </w:rPr>
      </w:pPr>
      <w:r>
        <w:rPr>
          <w:rFonts w:ascii="Verdana" w:hAnsi="Verdana"/>
          <w:sz w:val="24"/>
          <w:szCs w:val="24"/>
        </w:rPr>
        <w:t xml:space="preserve">ANNA MJILA (IN HER CAPACITY AS THE </w:t>
      </w:r>
    </w:p>
    <w:p w14:paraId="6C0EE2A9" w14:textId="56061EF8" w:rsidR="005527B9" w:rsidRDefault="005527B9" w:rsidP="005527B9">
      <w:pPr>
        <w:rPr>
          <w:rFonts w:ascii="Verdana" w:hAnsi="Verdana"/>
          <w:sz w:val="24"/>
          <w:szCs w:val="24"/>
        </w:rPr>
      </w:pPr>
      <w:r>
        <w:rPr>
          <w:rFonts w:ascii="Verdana" w:hAnsi="Verdana"/>
          <w:sz w:val="24"/>
          <w:szCs w:val="24"/>
        </w:rPr>
        <w:t>EXECUTRIX OF THE LATE ESTATE OF</w:t>
      </w:r>
    </w:p>
    <w:p w14:paraId="72717F7E" w14:textId="77777777" w:rsidR="005527B9" w:rsidRDefault="005527B9" w:rsidP="005527B9">
      <w:pPr>
        <w:rPr>
          <w:rFonts w:ascii="Verdana" w:hAnsi="Verdana"/>
          <w:sz w:val="24"/>
          <w:szCs w:val="24"/>
        </w:rPr>
      </w:pPr>
      <w:r>
        <w:rPr>
          <w:rFonts w:ascii="Verdana" w:hAnsi="Verdana"/>
          <w:sz w:val="24"/>
          <w:szCs w:val="24"/>
        </w:rPr>
        <w:t xml:space="preserve">ABEL VUMILE MJILA) </w:t>
      </w:r>
    </w:p>
    <w:p w14:paraId="5C8A276C" w14:textId="1B974D25" w:rsidR="005527B9" w:rsidRDefault="005527B9" w:rsidP="005527B9">
      <w:pPr>
        <w:rPr>
          <w:rFonts w:ascii="Verdana" w:hAnsi="Verdana"/>
          <w:sz w:val="24"/>
          <w:szCs w:val="24"/>
        </w:rPr>
      </w:pPr>
      <w:r>
        <w:rPr>
          <w:rFonts w:ascii="Verdana" w:hAnsi="Verdana"/>
          <w:sz w:val="24"/>
          <w:szCs w:val="24"/>
        </w:rPr>
        <w:t>ESTATE No: 2501/2022</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w:t>
      </w:r>
      <w:r w:rsidRPr="005527B9">
        <w:rPr>
          <w:rFonts w:ascii="Verdana" w:hAnsi="Verdana"/>
          <w:sz w:val="24"/>
          <w:szCs w:val="24"/>
          <w:vertAlign w:val="superscript"/>
        </w:rPr>
        <w:t>st</w:t>
      </w:r>
      <w:r>
        <w:rPr>
          <w:rFonts w:ascii="Verdana" w:hAnsi="Verdana"/>
          <w:sz w:val="24"/>
          <w:szCs w:val="24"/>
        </w:rPr>
        <w:t xml:space="preserve"> Respondent</w:t>
      </w:r>
    </w:p>
    <w:p w14:paraId="526D9ECA" w14:textId="77777777" w:rsidR="005527B9" w:rsidRDefault="005527B9" w:rsidP="005527B9">
      <w:pPr>
        <w:rPr>
          <w:rFonts w:ascii="Verdana" w:hAnsi="Verdana"/>
          <w:sz w:val="24"/>
          <w:szCs w:val="24"/>
        </w:rPr>
      </w:pPr>
    </w:p>
    <w:p w14:paraId="66A95D8B" w14:textId="762B76D1" w:rsidR="005527B9" w:rsidRDefault="005527B9" w:rsidP="005527B9">
      <w:pPr>
        <w:rPr>
          <w:rFonts w:ascii="Verdana" w:hAnsi="Verdana"/>
          <w:sz w:val="24"/>
          <w:szCs w:val="24"/>
        </w:rPr>
      </w:pPr>
      <w:r>
        <w:rPr>
          <w:rFonts w:ascii="Verdana" w:hAnsi="Verdana"/>
          <w:sz w:val="24"/>
          <w:szCs w:val="24"/>
        </w:rPr>
        <w:t>MASTER OF THE HIGH COURT,</w:t>
      </w:r>
    </w:p>
    <w:p w14:paraId="73E072FA" w14:textId="74FFFCEF" w:rsidR="005527B9" w:rsidRDefault="005527B9" w:rsidP="005527B9">
      <w:pPr>
        <w:rPr>
          <w:rFonts w:ascii="Verdana" w:hAnsi="Verdana"/>
          <w:sz w:val="24"/>
          <w:szCs w:val="24"/>
        </w:rPr>
      </w:pPr>
      <w:r>
        <w:rPr>
          <w:rFonts w:ascii="Verdana" w:hAnsi="Verdana"/>
          <w:sz w:val="24"/>
          <w:szCs w:val="24"/>
        </w:rPr>
        <w:t>KIMBERLEY</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w:t>
      </w:r>
      <w:r w:rsidRPr="005527B9">
        <w:rPr>
          <w:rFonts w:ascii="Verdana" w:hAnsi="Verdana"/>
          <w:sz w:val="24"/>
          <w:szCs w:val="24"/>
          <w:vertAlign w:val="superscript"/>
        </w:rPr>
        <w:t>nd</w:t>
      </w:r>
      <w:r>
        <w:rPr>
          <w:rFonts w:ascii="Verdana" w:hAnsi="Verdana"/>
          <w:sz w:val="24"/>
          <w:szCs w:val="24"/>
        </w:rPr>
        <w:t xml:space="preserve"> Respondent</w:t>
      </w:r>
    </w:p>
    <w:p w14:paraId="098E28ED" w14:textId="77777777" w:rsidR="005527B9" w:rsidRDefault="005527B9" w:rsidP="005527B9">
      <w:pPr>
        <w:rPr>
          <w:rFonts w:ascii="Verdana" w:hAnsi="Verdana"/>
          <w:sz w:val="24"/>
          <w:szCs w:val="24"/>
        </w:rPr>
      </w:pPr>
    </w:p>
    <w:p w14:paraId="24848790" w14:textId="119CDFA9" w:rsidR="005527B9" w:rsidRDefault="005527B9" w:rsidP="00434569">
      <w:pPr>
        <w:pBdr>
          <w:bottom w:val="single" w:sz="12" w:space="1" w:color="auto"/>
        </w:pBdr>
        <w:spacing w:after="0"/>
        <w:rPr>
          <w:rFonts w:ascii="Verdana" w:hAnsi="Verdana"/>
          <w:sz w:val="24"/>
          <w:szCs w:val="24"/>
        </w:rPr>
      </w:pPr>
      <w:r>
        <w:rPr>
          <w:rFonts w:ascii="Verdana" w:hAnsi="Verdana"/>
          <w:sz w:val="24"/>
          <w:szCs w:val="24"/>
        </w:rPr>
        <w:t xml:space="preserve">Coram: </w:t>
      </w:r>
      <w:proofErr w:type="spellStart"/>
      <w:r>
        <w:rPr>
          <w:rFonts w:ascii="Verdana" w:hAnsi="Verdana"/>
          <w:sz w:val="24"/>
          <w:szCs w:val="24"/>
        </w:rPr>
        <w:t>Tlaletsi</w:t>
      </w:r>
      <w:proofErr w:type="spellEnd"/>
      <w:r>
        <w:rPr>
          <w:rFonts w:ascii="Verdana" w:hAnsi="Verdana"/>
          <w:sz w:val="24"/>
          <w:szCs w:val="24"/>
        </w:rPr>
        <w:t xml:space="preserve"> JP, Williams J et Lever J</w:t>
      </w:r>
    </w:p>
    <w:p w14:paraId="63294A9C" w14:textId="77777777" w:rsidR="005527B9" w:rsidRDefault="005527B9" w:rsidP="00434569">
      <w:pPr>
        <w:spacing w:after="0"/>
        <w:rPr>
          <w:rFonts w:ascii="Verdana" w:hAnsi="Verdana"/>
          <w:sz w:val="24"/>
          <w:szCs w:val="24"/>
        </w:rPr>
      </w:pPr>
    </w:p>
    <w:p w14:paraId="60FD4F90" w14:textId="1709A5A7" w:rsidR="005527B9" w:rsidRDefault="005527B9" w:rsidP="00434569">
      <w:pPr>
        <w:spacing w:after="0"/>
        <w:jc w:val="center"/>
        <w:rPr>
          <w:rFonts w:ascii="Verdana" w:hAnsi="Verdana"/>
          <w:sz w:val="24"/>
          <w:szCs w:val="24"/>
        </w:rPr>
      </w:pPr>
      <w:r>
        <w:rPr>
          <w:rFonts w:ascii="Verdana" w:hAnsi="Verdana"/>
          <w:sz w:val="24"/>
          <w:szCs w:val="24"/>
        </w:rPr>
        <w:t>JUDGMENT</w:t>
      </w:r>
    </w:p>
    <w:p w14:paraId="692E4E81" w14:textId="77777777" w:rsidR="005527B9" w:rsidRDefault="005527B9" w:rsidP="00434569">
      <w:pPr>
        <w:pBdr>
          <w:bottom w:val="single" w:sz="12" w:space="1" w:color="auto"/>
        </w:pBdr>
        <w:spacing w:after="0"/>
        <w:rPr>
          <w:rFonts w:ascii="Verdana" w:hAnsi="Verdana"/>
          <w:sz w:val="24"/>
          <w:szCs w:val="24"/>
        </w:rPr>
      </w:pPr>
    </w:p>
    <w:p w14:paraId="217FFF75" w14:textId="2DAC1463" w:rsidR="005527B9" w:rsidRDefault="005527B9" w:rsidP="005527B9">
      <w:pPr>
        <w:rPr>
          <w:rFonts w:ascii="Verdana" w:hAnsi="Verdana"/>
          <w:sz w:val="24"/>
          <w:szCs w:val="24"/>
        </w:rPr>
      </w:pPr>
      <w:r>
        <w:rPr>
          <w:rFonts w:ascii="Verdana" w:hAnsi="Verdana"/>
          <w:sz w:val="24"/>
          <w:szCs w:val="24"/>
        </w:rPr>
        <w:t>Lever J</w:t>
      </w:r>
    </w:p>
    <w:p w14:paraId="70E068CD" w14:textId="23DF37A8" w:rsidR="005527B9"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w:t>
      </w:r>
      <w:r>
        <w:rPr>
          <w:rFonts w:ascii="Verdana" w:hAnsi="Verdana"/>
          <w:sz w:val="24"/>
          <w:szCs w:val="24"/>
        </w:rPr>
        <w:tab/>
      </w:r>
      <w:r w:rsidR="00054B8F" w:rsidRPr="000459A8">
        <w:rPr>
          <w:rFonts w:ascii="Verdana" w:hAnsi="Verdana"/>
          <w:sz w:val="24"/>
          <w:szCs w:val="24"/>
        </w:rPr>
        <w:t xml:space="preserve">After the passing of the late ABEL VUMILE MJILA </w:t>
      </w:r>
      <w:r w:rsidR="00905591" w:rsidRPr="000459A8">
        <w:rPr>
          <w:rFonts w:ascii="Verdana" w:hAnsi="Verdana"/>
          <w:sz w:val="24"/>
          <w:szCs w:val="24"/>
        </w:rPr>
        <w:t xml:space="preserve">(the deceased) </w:t>
      </w:r>
      <w:r w:rsidR="00054B8F" w:rsidRPr="000459A8">
        <w:rPr>
          <w:rFonts w:ascii="Verdana" w:hAnsi="Verdana"/>
          <w:sz w:val="24"/>
          <w:szCs w:val="24"/>
        </w:rPr>
        <w:t xml:space="preserve">the applicant being the Legal Practice Council of the Northern Cape (the LPC) </w:t>
      </w:r>
      <w:r w:rsidR="00054B8F" w:rsidRPr="000459A8">
        <w:rPr>
          <w:rFonts w:ascii="Verdana" w:hAnsi="Verdana"/>
          <w:sz w:val="24"/>
          <w:szCs w:val="24"/>
        </w:rPr>
        <w:lastRenderedPageBreak/>
        <w:t xml:space="preserve">resolved to bring an application that its director in the Northern Cape be appointed as </w:t>
      </w:r>
      <w:r w:rsidR="00054B8F" w:rsidRPr="000459A8">
        <w:rPr>
          <w:rFonts w:ascii="Verdana" w:hAnsi="Verdana"/>
          <w:i/>
          <w:iCs/>
          <w:sz w:val="24"/>
          <w:szCs w:val="24"/>
        </w:rPr>
        <w:t xml:space="preserve">curator </w:t>
      </w:r>
      <w:proofErr w:type="spellStart"/>
      <w:r w:rsidR="00054B8F" w:rsidRPr="000459A8">
        <w:rPr>
          <w:rFonts w:ascii="Verdana" w:hAnsi="Verdana"/>
          <w:i/>
          <w:iCs/>
          <w:sz w:val="24"/>
          <w:szCs w:val="24"/>
        </w:rPr>
        <w:t>bonis</w:t>
      </w:r>
      <w:proofErr w:type="spellEnd"/>
      <w:r w:rsidR="00054B8F" w:rsidRPr="000459A8">
        <w:rPr>
          <w:rFonts w:ascii="Verdana" w:hAnsi="Verdana"/>
          <w:sz w:val="24"/>
          <w:szCs w:val="24"/>
        </w:rPr>
        <w:t xml:space="preserve"> to the legal practice of the </w:t>
      </w:r>
      <w:r w:rsidR="00905591" w:rsidRPr="000459A8">
        <w:rPr>
          <w:rFonts w:ascii="Verdana" w:hAnsi="Verdana"/>
          <w:sz w:val="24"/>
          <w:szCs w:val="24"/>
        </w:rPr>
        <w:t>deceased</w:t>
      </w:r>
      <w:r w:rsidR="007761A5" w:rsidRPr="000459A8">
        <w:rPr>
          <w:rFonts w:ascii="Verdana" w:hAnsi="Verdana"/>
          <w:sz w:val="24"/>
          <w:szCs w:val="24"/>
        </w:rPr>
        <w:t>, who was an attorney of this court</w:t>
      </w:r>
      <w:r w:rsidR="00054B8F" w:rsidRPr="000459A8">
        <w:rPr>
          <w:rFonts w:ascii="Verdana" w:hAnsi="Verdana"/>
          <w:sz w:val="24"/>
          <w:szCs w:val="24"/>
        </w:rPr>
        <w:t>.</w:t>
      </w:r>
    </w:p>
    <w:p w14:paraId="17F24A86" w14:textId="77777777" w:rsidR="00054B8F" w:rsidRDefault="00054B8F" w:rsidP="006B3021">
      <w:pPr>
        <w:pStyle w:val="ListParagraph"/>
        <w:spacing w:line="480" w:lineRule="auto"/>
        <w:ind w:left="360"/>
        <w:jc w:val="both"/>
        <w:rPr>
          <w:rFonts w:ascii="Verdana" w:hAnsi="Verdana"/>
          <w:sz w:val="24"/>
          <w:szCs w:val="24"/>
        </w:rPr>
      </w:pPr>
    </w:p>
    <w:p w14:paraId="169BAF0D" w14:textId="7DAE1C9C" w:rsidR="00905591"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w:t>
      </w:r>
      <w:r>
        <w:rPr>
          <w:rFonts w:ascii="Verdana" w:hAnsi="Verdana"/>
          <w:sz w:val="24"/>
          <w:szCs w:val="24"/>
        </w:rPr>
        <w:tab/>
      </w:r>
      <w:r w:rsidR="00054B8F" w:rsidRPr="000459A8">
        <w:rPr>
          <w:rFonts w:ascii="Verdana" w:hAnsi="Verdana"/>
          <w:sz w:val="24"/>
          <w:szCs w:val="24"/>
        </w:rPr>
        <w:t>Pursuant to the said resolution of the LPC an urgent application</w:t>
      </w:r>
      <w:r w:rsidR="00905591" w:rsidRPr="000459A8">
        <w:rPr>
          <w:rFonts w:ascii="Verdana" w:hAnsi="Verdana"/>
          <w:sz w:val="24"/>
          <w:szCs w:val="24"/>
        </w:rPr>
        <w:t xml:space="preserve"> was filed on the 17 August 2022 and a </w:t>
      </w:r>
      <w:r w:rsidR="00905591" w:rsidRPr="000459A8">
        <w:rPr>
          <w:rFonts w:ascii="Verdana" w:hAnsi="Verdana"/>
          <w:i/>
          <w:iCs/>
          <w:sz w:val="24"/>
          <w:szCs w:val="24"/>
        </w:rPr>
        <w:t>Rule Nisi</w:t>
      </w:r>
      <w:r w:rsidR="00905591" w:rsidRPr="000459A8">
        <w:rPr>
          <w:rFonts w:ascii="Verdana" w:hAnsi="Verdana"/>
          <w:sz w:val="24"/>
          <w:szCs w:val="24"/>
        </w:rPr>
        <w:t xml:space="preserve"> was issued by Williams J on the 19 August 2022. In terms of the said </w:t>
      </w:r>
      <w:r w:rsidR="00905591" w:rsidRPr="000459A8">
        <w:rPr>
          <w:rFonts w:ascii="Verdana" w:hAnsi="Verdana"/>
          <w:i/>
          <w:iCs/>
          <w:sz w:val="24"/>
          <w:szCs w:val="24"/>
        </w:rPr>
        <w:t>Rule Nisi</w:t>
      </w:r>
      <w:r w:rsidR="00905591" w:rsidRPr="000459A8">
        <w:rPr>
          <w:rFonts w:ascii="Verdana" w:hAnsi="Verdana"/>
          <w:sz w:val="24"/>
          <w:szCs w:val="24"/>
        </w:rPr>
        <w:t xml:space="preserve">, the director of the Northern Cape LPC was appointed as </w:t>
      </w:r>
      <w:r w:rsidR="00905591" w:rsidRPr="000459A8">
        <w:rPr>
          <w:rFonts w:ascii="Verdana" w:hAnsi="Verdana"/>
          <w:i/>
          <w:iCs/>
          <w:sz w:val="24"/>
          <w:szCs w:val="24"/>
        </w:rPr>
        <w:t xml:space="preserve">curator </w:t>
      </w:r>
      <w:proofErr w:type="spellStart"/>
      <w:r w:rsidR="00905591" w:rsidRPr="000459A8">
        <w:rPr>
          <w:rFonts w:ascii="Verdana" w:hAnsi="Verdana"/>
          <w:i/>
          <w:iCs/>
          <w:sz w:val="24"/>
          <w:szCs w:val="24"/>
        </w:rPr>
        <w:t>bonis</w:t>
      </w:r>
      <w:proofErr w:type="spellEnd"/>
      <w:r w:rsidR="00905591" w:rsidRPr="000459A8">
        <w:rPr>
          <w:rFonts w:ascii="Verdana" w:hAnsi="Verdana"/>
          <w:sz w:val="24"/>
          <w:szCs w:val="24"/>
        </w:rPr>
        <w:t xml:space="preserve"> to the legal practice of the deceased with the usual powers and obligations as are appropriate in such circumstances.</w:t>
      </w:r>
    </w:p>
    <w:p w14:paraId="6D97305B" w14:textId="77777777" w:rsidR="00905591" w:rsidRPr="00905591" w:rsidRDefault="00905591" w:rsidP="006B3021">
      <w:pPr>
        <w:pStyle w:val="ListParagraph"/>
        <w:jc w:val="both"/>
        <w:rPr>
          <w:rFonts w:ascii="Verdana" w:hAnsi="Verdana"/>
          <w:sz w:val="24"/>
          <w:szCs w:val="24"/>
        </w:rPr>
      </w:pPr>
    </w:p>
    <w:p w14:paraId="1739BF7D" w14:textId="23CDFA26" w:rsidR="007418E3"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3.</w:t>
      </w:r>
      <w:r>
        <w:rPr>
          <w:rFonts w:ascii="Verdana" w:hAnsi="Verdana"/>
          <w:sz w:val="24"/>
          <w:szCs w:val="24"/>
        </w:rPr>
        <w:tab/>
      </w:r>
      <w:r w:rsidR="007418E3" w:rsidRPr="000459A8">
        <w:rPr>
          <w:rFonts w:ascii="Verdana" w:hAnsi="Verdana"/>
          <w:sz w:val="24"/>
          <w:szCs w:val="24"/>
        </w:rPr>
        <w:t xml:space="preserve">There were no less than four postponements where the </w:t>
      </w:r>
      <w:r w:rsidR="007418E3" w:rsidRPr="000459A8">
        <w:rPr>
          <w:rFonts w:ascii="Verdana" w:hAnsi="Verdana"/>
          <w:i/>
          <w:iCs/>
          <w:sz w:val="24"/>
          <w:szCs w:val="24"/>
        </w:rPr>
        <w:t>Rule Nisi</w:t>
      </w:r>
      <w:r w:rsidR="007418E3" w:rsidRPr="000459A8">
        <w:rPr>
          <w:rFonts w:ascii="Verdana" w:hAnsi="Verdana"/>
          <w:sz w:val="24"/>
          <w:szCs w:val="24"/>
        </w:rPr>
        <w:t xml:space="preserve"> was extended. </w:t>
      </w:r>
    </w:p>
    <w:p w14:paraId="1D73C9DF" w14:textId="77777777" w:rsidR="007418E3" w:rsidRPr="007418E3" w:rsidRDefault="007418E3" w:rsidP="006B3021">
      <w:pPr>
        <w:pStyle w:val="ListParagraph"/>
        <w:jc w:val="both"/>
        <w:rPr>
          <w:rFonts w:ascii="Verdana" w:hAnsi="Verdana"/>
          <w:sz w:val="24"/>
          <w:szCs w:val="24"/>
        </w:rPr>
      </w:pPr>
    </w:p>
    <w:p w14:paraId="3062845A" w14:textId="20B1C79B" w:rsidR="007418E3"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4.</w:t>
      </w:r>
      <w:r>
        <w:rPr>
          <w:rFonts w:ascii="Verdana" w:hAnsi="Verdana"/>
          <w:sz w:val="24"/>
          <w:szCs w:val="24"/>
        </w:rPr>
        <w:tab/>
      </w:r>
      <w:r w:rsidR="007418E3" w:rsidRPr="000459A8">
        <w:rPr>
          <w:rFonts w:ascii="Verdana" w:hAnsi="Verdana"/>
          <w:sz w:val="24"/>
          <w:szCs w:val="24"/>
        </w:rPr>
        <w:t>A full bench of this division was constituted because it appeared that the rights of the deceased’s estate</w:t>
      </w:r>
      <w:r w:rsidR="00A30689" w:rsidRPr="000459A8">
        <w:rPr>
          <w:rFonts w:ascii="Verdana" w:hAnsi="Verdana"/>
          <w:sz w:val="24"/>
          <w:szCs w:val="24"/>
        </w:rPr>
        <w:t>, controlled by the first respondent,</w:t>
      </w:r>
      <w:r w:rsidR="007418E3" w:rsidRPr="000459A8">
        <w:rPr>
          <w:rFonts w:ascii="Verdana" w:hAnsi="Verdana"/>
          <w:sz w:val="24"/>
          <w:szCs w:val="24"/>
        </w:rPr>
        <w:t xml:space="preserve"> to the practice of the deceased</w:t>
      </w:r>
      <w:r w:rsidR="0032639A" w:rsidRPr="000459A8">
        <w:rPr>
          <w:rFonts w:ascii="Verdana" w:hAnsi="Verdana"/>
          <w:sz w:val="24"/>
          <w:szCs w:val="24"/>
        </w:rPr>
        <w:t>, was in issue,</w:t>
      </w:r>
      <w:r w:rsidR="007418E3" w:rsidRPr="000459A8">
        <w:rPr>
          <w:rFonts w:ascii="Verdana" w:hAnsi="Verdana"/>
          <w:sz w:val="24"/>
          <w:szCs w:val="24"/>
        </w:rPr>
        <w:t xml:space="preserve"> where it was alleged by the fist respondent that the deceased ran his practice as an incorporated professional entity without limited liability</w:t>
      </w:r>
      <w:r w:rsidR="002F40DE" w:rsidRPr="000459A8">
        <w:rPr>
          <w:rFonts w:ascii="Verdana" w:hAnsi="Verdana"/>
          <w:sz w:val="24"/>
          <w:szCs w:val="24"/>
        </w:rPr>
        <w:t xml:space="preserve">, in the current terminology referred to as a </w:t>
      </w:r>
      <w:r w:rsidR="00D13AB8" w:rsidRPr="000459A8">
        <w:rPr>
          <w:rFonts w:ascii="Verdana" w:hAnsi="Verdana"/>
          <w:sz w:val="24"/>
          <w:szCs w:val="24"/>
        </w:rPr>
        <w:t>‘personal liability company’,</w:t>
      </w:r>
      <w:r w:rsidR="007418E3" w:rsidRPr="000459A8">
        <w:rPr>
          <w:rFonts w:ascii="Verdana" w:hAnsi="Verdana"/>
          <w:sz w:val="24"/>
          <w:szCs w:val="24"/>
        </w:rPr>
        <w:t xml:space="preserve"> in accordance with the company laws of the Republic of South Africa.</w:t>
      </w:r>
      <w:r w:rsidR="0032639A" w:rsidRPr="000459A8">
        <w:rPr>
          <w:rFonts w:ascii="Verdana" w:hAnsi="Verdana"/>
          <w:sz w:val="24"/>
          <w:szCs w:val="24"/>
        </w:rPr>
        <w:t xml:space="preserve"> Section 19</w:t>
      </w:r>
      <w:r w:rsidR="002F40DE" w:rsidRPr="000459A8">
        <w:rPr>
          <w:rFonts w:ascii="Verdana" w:hAnsi="Verdana"/>
          <w:sz w:val="24"/>
          <w:szCs w:val="24"/>
        </w:rPr>
        <w:t>(1)(a) of the Companies Act</w:t>
      </w:r>
      <w:r w:rsidR="002F40DE">
        <w:rPr>
          <w:rStyle w:val="FootnoteReference"/>
          <w:rFonts w:ascii="Verdana" w:hAnsi="Verdana"/>
          <w:sz w:val="24"/>
          <w:szCs w:val="24"/>
        </w:rPr>
        <w:footnoteReference w:id="1"/>
      </w:r>
      <w:r w:rsidR="002F40DE" w:rsidRPr="000459A8">
        <w:rPr>
          <w:rFonts w:ascii="Verdana" w:hAnsi="Verdana"/>
          <w:sz w:val="24"/>
          <w:szCs w:val="24"/>
        </w:rPr>
        <w:t xml:space="preserve"> (the Act) provides that once a company is incorporated </w:t>
      </w:r>
      <w:r w:rsidR="002F40DE" w:rsidRPr="000459A8">
        <w:rPr>
          <w:rFonts w:ascii="Verdana" w:hAnsi="Verdana"/>
          <w:sz w:val="24"/>
          <w:szCs w:val="24"/>
        </w:rPr>
        <w:lastRenderedPageBreak/>
        <w:t xml:space="preserve">and registered, it exists continuously until its name is removed from the companies register in the manner provided for in the Act. The rights of the deceased’s estate in relation to a ‘personal liability company’ such as an attorney’s incorporated practice is an area of our law that is not yet settled. Hence the full bench set up to hear this matter. </w:t>
      </w:r>
      <w:r w:rsidR="007418E3" w:rsidRPr="000459A8">
        <w:rPr>
          <w:rFonts w:ascii="Verdana" w:hAnsi="Verdana"/>
          <w:sz w:val="24"/>
          <w:szCs w:val="24"/>
        </w:rPr>
        <w:t xml:space="preserve"> </w:t>
      </w:r>
    </w:p>
    <w:p w14:paraId="4E7C4331" w14:textId="77777777" w:rsidR="007418E3" w:rsidRPr="007418E3" w:rsidRDefault="007418E3" w:rsidP="006B3021">
      <w:pPr>
        <w:pStyle w:val="ListParagraph"/>
        <w:jc w:val="both"/>
        <w:rPr>
          <w:rFonts w:ascii="Verdana" w:hAnsi="Verdana"/>
          <w:sz w:val="24"/>
          <w:szCs w:val="24"/>
        </w:rPr>
      </w:pPr>
    </w:p>
    <w:p w14:paraId="3FA0546C" w14:textId="5FD50629" w:rsidR="005E5FD8"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5.</w:t>
      </w:r>
      <w:r>
        <w:rPr>
          <w:rFonts w:ascii="Verdana" w:hAnsi="Verdana"/>
          <w:sz w:val="24"/>
          <w:szCs w:val="24"/>
        </w:rPr>
        <w:tab/>
      </w:r>
      <w:r w:rsidR="007761A5" w:rsidRPr="000459A8">
        <w:rPr>
          <w:rFonts w:ascii="Verdana" w:hAnsi="Verdana"/>
          <w:sz w:val="24"/>
          <w:szCs w:val="24"/>
        </w:rPr>
        <w:t>There was indeed an incorporated professional entity registered in the name of the deceased.</w:t>
      </w:r>
      <w:r w:rsidR="005E5FD8" w:rsidRPr="000459A8">
        <w:rPr>
          <w:rFonts w:ascii="Verdana" w:hAnsi="Verdana"/>
          <w:sz w:val="24"/>
          <w:szCs w:val="24"/>
        </w:rPr>
        <w:t xml:space="preserve"> It emerged that the deceased was the sole director and shareholder of this entity at the time of his passing. </w:t>
      </w:r>
      <w:r w:rsidR="007761A5" w:rsidRPr="000459A8">
        <w:rPr>
          <w:rFonts w:ascii="Verdana" w:hAnsi="Verdana"/>
          <w:sz w:val="24"/>
          <w:szCs w:val="24"/>
        </w:rPr>
        <w:t>However, no Legal Practitioners Fidelity Fund Certificate was ever issued to the</w:t>
      </w:r>
      <w:r w:rsidR="005E5FD8" w:rsidRPr="000459A8">
        <w:rPr>
          <w:rFonts w:ascii="Verdana" w:hAnsi="Verdana"/>
          <w:sz w:val="24"/>
          <w:szCs w:val="24"/>
        </w:rPr>
        <w:t xml:space="preserve"> said</w:t>
      </w:r>
      <w:r w:rsidR="007761A5" w:rsidRPr="000459A8">
        <w:rPr>
          <w:rFonts w:ascii="Verdana" w:hAnsi="Verdana"/>
          <w:sz w:val="24"/>
          <w:szCs w:val="24"/>
        </w:rPr>
        <w:t xml:space="preserve"> incorporated professional entity. The relevant Fidelity Fund Certificate was issued in the name of the deceased as a sole practitioner</w:t>
      </w:r>
      <w:r w:rsidR="002903E7" w:rsidRPr="000459A8">
        <w:rPr>
          <w:rFonts w:ascii="Verdana" w:hAnsi="Verdana"/>
          <w:sz w:val="24"/>
          <w:szCs w:val="24"/>
        </w:rPr>
        <w:t>,</w:t>
      </w:r>
      <w:r w:rsidR="007761A5" w:rsidRPr="000459A8">
        <w:rPr>
          <w:rFonts w:ascii="Verdana" w:hAnsi="Verdana"/>
          <w:sz w:val="24"/>
          <w:szCs w:val="24"/>
        </w:rPr>
        <w:t xml:space="preserve"> </w:t>
      </w:r>
      <w:r w:rsidR="005E5FD8" w:rsidRPr="000459A8">
        <w:rPr>
          <w:rFonts w:ascii="Verdana" w:hAnsi="Verdana"/>
          <w:sz w:val="24"/>
          <w:szCs w:val="24"/>
        </w:rPr>
        <w:t xml:space="preserve">which certificate was valid at the date of his passing. </w:t>
      </w:r>
    </w:p>
    <w:p w14:paraId="04D385EC" w14:textId="77777777" w:rsidR="005E5FD8" w:rsidRPr="005E5FD8" w:rsidRDefault="005E5FD8" w:rsidP="006B3021">
      <w:pPr>
        <w:pStyle w:val="ListParagraph"/>
        <w:jc w:val="both"/>
        <w:rPr>
          <w:rFonts w:ascii="Verdana" w:hAnsi="Verdana"/>
          <w:sz w:val="24"/>
          <w:szCs w:val="24"/>
        </w:rPr>
      </w:pPr>
    </w:p>
    <w:p w14:paraId="0F2DF6A4" w14:textId="40F021DF" w:rsidR="007761A5"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6.</w:t>
      </w:r>
      <w:r>
        <w:rPr>
          <w:rFonts w:ascii="Verdana" w:hAnsi="Verdana"/>
          <w:sz w:val="24"/>
          <w:szCs w:val="24"/>
        </w:rPr>
        <w:tab/>
      </w:r>
      <w:r w:rsidR="007761A5" w:rsidRPr="000459A8">
        <w:rPr>
          <w:rFonts w:ascii="Verdana" w:hAnsi="Verdana"/>
          <w:sz w:val="24"/>
          <w:szCs w:val="24"/>
        </w:rPr>
        <w:t>As an attorney</w:t>
      </w:r>
      <w:r w:rsidR="005E5FD8" w:rsidRPr="000459A8">
        <w:rPr>
          <w:rFonts w:ascii="Verdana" w:hAnsi="Verdana"/>
          <w:sz w:val="24"/>
          <w:szCs w:val="24"/>
        </w:rPr>
        <w:t xml:space="preserve"> whether practicing under a partnership, a</w:t>
      </w:r>
      <w:r w:rsidR="00D13AB8" w:rsidRPr="000459A8">
        <w:rPr>
          <w:rFonts w:ascii="Verdana" w:hAnsi="Verdana"/>
          <w:sz w:val="24"/>
          <w:szCs w:val="24"/>
        </w:rPr>
        <w:t xml:space="preserve"> ‘personal liability company’</w:t>
      </w:r>
      <w:r w:rsidR="005E5FD8" w:rsidRPr="000459A8">
        <w:rPr>
          <w:rFonts w:ascii="Verdana" w:hAnsi="Verdana"/>
          <w:sz w:val="24"/>
          <w:szCs w:val="24"/>
        </w:rPr>
        <w:t xml:space="preserve"> or a sole practitioner</w:t>
      </w:r>
      <w:r w:rsidR="007761A5" w:rsidRPr="000459A8">
        <w:rPr>
          <w:rFonts w:ascii="Verdana" w:hAnsi="Verdana"/>
          <w:sz w:val="24"/>
          <w:szCs w:val="24"/>
        </w:rPr>
        <w:t xml:space="preserve"> may not lawfully practice without a Fidelity Fund Certificate</w:t>
      </w:r>
      <w:r w:rsidR="005E5FD8" w:rsidRPr="000459A8">
        <w:rPr>
          <w:rFonts w:ascii="Verdana" w:hAnsi="Verdana"/>
          <w:sz w:val="24"/>
          <w:szCs w:val="24"/>
        </w:rPr>
        <w:t xml:space="preserve"> issued to cover the appropriate entity</w:t>
      </w:r>
      <w:r w:rsidR="007761A5" w:rsidRPr="000459A8">
        <w:rPr>
          <w:rFonts w:ascii="Verdana" w:hAnsi="Verdana"/>
          <w:sz w:val="24"/>
          <w:szCs w:val="24"/>
        </w:rPr>
        <w:t xml:space="preserve">, it follows that the deceased never practiced </w:t>
      </w:r>
      <w:r w:rsidR="00FA7A23" w:rsidRPr="000459A8">
        <w:rPr>
          <w:rFonts w:ascii="Verdana" w:hAnsi="Verdana"/>
          <w:sz w:val="24"/>
          <w:szCs w:val="24"/>
        </w:rPr>
        <w:t>through the vehicle of</w:t>
      </w:r>
      <w:r w:rsidR="007761A5" w:rsidRPr="000459A8">
        <w:rPr>
          <w:rFonts w:ascii="Verdana" w:hAnsi="Verdana"/>
          <w:sz w:val="24"/>
          <w:szCs w:val="24"/>
        </w:rPr>
        <w:t xml:space="preserve"> </w:t>
      </w:r>
      <w:r w:rsidR="00D13AB8" w:rsidRPr="000459A8">
        <w:rPr>
          <w:rFonts w:ascii="Verdana" w:hAnsi="Verdana"/>
          <w:sz w:val="24"/>
          <w:szCs w:val="24"/>
        </w:rPr>
        <w:t>the personal liability company that bore his name</w:t>
      </w:r>
      <w:r w:rsidR="007761A5" w:rsidRPr="000459A8">
        <w:rPr>
          <w:rFonts w:ascii="Verdana" w:hAnsi="Verdana"/>
          <w:sz w:val="24"/>
          <w:szCs w:val="24"/>
        </w:rPr>
        <w:t xml:space="preserve">. </w:t>
      </w:r>
    </w:p>
    <w:p w14:paraId="715B9E29" w14:textId="77777777" w:rsidR="007761A5" w:rsidRPr="007761A5" w:rsidRDefault="007761A5" w:rsidP="006B3021">
      <w:pPr>
        <w:pStyle w:val="ListParagraph"/>
        <w:jc w:val="both"/>
        <w:rPr>
          <w:rFonts w:ascii="Verdana" w:hAnsi="Verdana"/>
          <w:sz w:val="24"/>
          <w:szCs w:val="24"/>
        </w:rPr>
      </w:pPr>
    </w:p>
    <w:p w14:paraId="5823A66A" w14:textId="31A8F90D" w:rsidR="00054B8F"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7.</w:t>
      </w:r>
      <w:r>
        <w:rPr>
          <w:rFonts w:ascii="Verdana" w:hAnsi="Verdana"/>
          <w:sz w:val="24"/>
          <w:szCs w:val="24"/>
        </w:rPr>
        <w:tab/>
      </w:r>
      <w:r w:rsidR="005E5FD8" w:rsidRPr="000459A8">
        <w:rPr>
          <w:rFonts w:ascii="Verdana" w:hAnsi="Verdana"/>
          <w:sz w:val="24"/>
          <w:szCs w:val="24"/>
        </w:rPr>
        <w:t xml:space="preserve">The first respondent opposed the confirmation of the </w:t>
      </w:r>
      <w:r w:rsidR="005E5FD8" w:rsidRPr="000459A8">
        <w:rPr>
          <w:rFonts w:ascii="Verdana" w:hAnsi="Verdana"/>
          <w:i/>
          <w:iCs/>
          <w:sz w:val="24"/>
          <w:szCs w:val="24"/>
        </w:rPr>
        <w:t>Rule Nisi</w:t>
      </w:r>
      <w:r w:rsidR="007418E3" w:rsidRPr="000459A8">
        <w:rPr>
          <w:rFonts w:ascii="Verdana" w:hAnsi="Verdana"/>
          <w:sz w:val="24"/>
          <w:szCs w:val="24"/>
        </w:rPr>
        <w:t xml:space="preserve"> </w:t>
      </w:r>
      <w:r w:rsidR="009F7684" w:rsidRPr="000459A8">
        <w:rPr>
          <w:rFonts w:ascii="Verdana" w:hAnsi="Verdana"/>
          <w:sz w:val="24"/>
          <w:szCs w:val="24"/>
        </w:rPr>
        <w:t xml:space="preserve">on several technical grounds. However, the main ground of opposition was that the deceased practiced under the </w:t>
      </w:r>
      <w:r w:rsidR="00D13AB8" w:rsidRPr="000459A8">
        <w:rPr>
          <w:rFonts w:ascii="Verdana" w:hAnsi="Verdana"/>
          <w:sz w:val="24"/>
          <w:szCs w:val="24"/>
        </w:rPr>
        <w:t>personal liability company that bore his name</w:t>
      </w:r>
      <w:r w:rsidR="009F7684" w:rsidRPr="000459A8">
        <w:rPr>
          <w:rFonts w:ascii="Verdana" w:hAnsi="Verdana"/>
          <w:sz w:val="24"/>
          <w:szCs w:val="24"/>
        </w:rPr>
        <w:t xml:space="preserve"> and that in her position as </w:t>
      </w:r>
      <w:r w:rsidR="009F7684" w:rsidRPr="000459A8">
        <w:rPr>
          <w:rFonts w:ascii="Verdana" w:hAnsi="Verdana"/>
          <w:i/>
          <w:iCs/>
          <w:sz w:val="24"/>
          <w:szCs w:val="24"/>
        </w:rPr>
        <w:t>executrix</w:t>
      </w:r>
      <w:r w:rsidR="00905591" w:rsidRPr="000459A8">
        <w:rPr>
          <w:rFonts w:ascii="Verdana" w:hAnsi="Verdana"/>
          <w:sz w:val="24"/>
          <w:szCs w:val="24"/>
        </w:rPr>
        <w:t xml:space="preserve"> </w:t>
      </w:r>
      <w:r w:rsidR="009F7684" w:rsidRPr="000459A8">
        <w:rPr>
          <w:rFonts w:ascii="Verdana" w:hAnsi="Verdana"/>
          <w:sz w:val="24"/>
          <w:szCs w:val="24"/>
        </w:rPr>
        <w:t xml:space="preserve">of the deceased’s estate she </w:t>
      </w:r>
      <w:r w:rsidR="009F7684" w:rsidRPr="000459A8">
        <w:rPr>
          <w:rFonts w:ascii="Verdana" w:hAnsi="Verdana"/>
          <w:sz w:val="24"/>
          <w:szCs w:val="24"/>
        </w:rPr>
        <w:lastRenderedPageBreak/>
        <w:t>could nominate a new director who had his own fidelity fund certificate and transfer the share in the company to that person.</w:t>
      </w:r>
    </w:p>
    <w:p w14:paraId="790E64FB" w14:textId="77777777" w:rsidR="009F7684" w:rsidRPr="009F7684" w:rsidRDefault="009F7684" w:rsidP="006B3021">
      <w:pPr>
        <w:pStyle w:val="ListParagraph"/>
        <w:jc w:val="both"/>
        <w:rPr>
          <w:rFonts w:ascii="Verdana" w:hAnsi="Verdana"/>
          <w:sz w:val="24"/>
          <w:szCs w:val="24"/>
        </w:rPr>
      </w:pPr>
    </w:p>
    <w:p w14:paraId="5FCDEE70" w14:textId="1C17A712" w:rsidR="00746A2E"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8.</w:t>
      </w:r>
      <w:r>
        <w:rPr>
          <w:rFonts w:ascii="Verdana" w:hAnsi="Verdana"/>
          <w:sz w:val="24"/>
          <w:szCs w:val="24"/>
        </w:rPr>
        <w:tab/>
      </w:r>
      <w:r w:rsidR="009F7684" w:rsidRPr="000459A8">
        <w:rPr>
          <w:rFonts w:ascii="Verdana" w:hAnsi="Verdana"/>
          <w:sz w:val="24"/>
          <w:szCs w:val="24"/>
        </w:rPr>
        <w:t>In the end the contention that the deceased practiced in an incorporated p</w:t>
      </w:r>
      <w:r w:rsidR="00D13AB8" w:rsidRPr="000459A8">
        <w:rPr>
          <w:rFonts w:ascii="Verdana" w:hAnsi="Verdana"/>
          <w:sz w:val="24"/>
          <w:szCs w:val="24"/>
        </w:rPr>
        <w:t>ersonal liability company</w:t>
      </w:r>
      <w:r w:rsidR="009F7684" w:rsidRPr="000459A8">
        <w:rPr>
          <w:rFonts w:ascii="Verdana" w:hAnsi="Verdana"/>
          <w:sz w:val="24"/>
          <w:szCs w:val="24"/>
        </w:rPr>
        <w:t xml:space="preserve"> could not be sustained and ultimately the first respondent consented to the confirmation of the relevant </w:t>
      </w:r>
      <w:r w:rsidR="009F7684" w:rsidRPr="000459A8">
        <w:rPr>
          <w:rFonts w:ascii="Verdana" w:hAnsi="Verdana"/>
          <w:i/>
          <w:iCs/>
          <w:sz w:val="24"/>
          <w:szCs w:val="24"/>
        </w:rPr>
        <w:t>Rule Nisi</w:t>
      </w:r>
      <w:r w:rsidR="009F7684" w:rsidRPr="000459A8">
        <w:rPr>
          <w:rFonts w:ascii="Verdana" w:hAnsi="Verdana"/>
          <w:sz w:val="24"/>
          <w:szCs w:val="24"/>
        </w:rPr>
        <w:t>, but the question of who should bear the costs of this application was still in issue.</w:t>
      </w:r>
      <w:r w:rsidR="00746A2E" w:rsidRPr="000459A8">
        <w:rPr>
          <w:rFonts w:ascii="Verdana" w:hAnsi="Verdana"/>
          <w:sz w:val="24"/>
          <w:szCs w:val="24"/>
        </w:rPr>
        <w:t xml:space="preserve"> </w:t>
      </w:r>
    </w:p>
    <w:p w14:paraId="7A412AE1" w14:textId="77777777" w:rsidR="00746A2E" w:rsidRPr="00746A2E" w:rsidRDefault="00746A2E" w:rsidP="006B3021">
      <w:pPr>
        <w:pStyle w:val="ListParagraph"/>
        <w:jc w:val="both"/>
        <w:rPr>
          <w:rFonts w:ascii="Verdana" w:hAnsi="Verdana"/>
          <w:sz w:val="24"/>
          <w:szCs w:val="24"/>
        </w:rPr>
      </w:pPr>
    </w:p>
    <w:p w14:paraId="2E3FA26F" w14:textId="39BF0E4F" w:rsidR="00746A2E"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9.</w:t>
      </w:r>
      <w:r>
        <w:rPr>
          <w:rFonts w:ascii="Verdana" w:hAnsi="Verdana"/>
          <w:sz w:val="24"/>
          <w:szCs w:val="24"/>
        </w:rPr>
        <w:tab/>
      </w:r>
      <w:r w:rsidR="00746A2E" w:rsidRPr="000459A8">
        <w:rPr>
          <w:rFonts w:ascii="Verdana" w:hAnsi="Verdana"/>
          <w:sz w:val="24"/>
          <w:szCs w:val="24"/>
        </w:rPr>
        <w:t xml:space="preserve">Consequently, on the 13 April 2023 </w:t>
      </w:r>
      <w:r w:rsidR="00FA7A23" w:rsidRPr="000459A8">
        <w:rPr>
          <w:rFonts w:ascii="Verdana" w:hAnsi="Verdana"/>
          <w:sz w:val="24"/>
          <w:szCs w:val="24"/>
        </w:rPr>
        <w:t xml:space="preserve">the </w:t>
      </w:r>
      <w:r w:rsidR="00FA7A23" w:rsidRPr="000459A8">
        <w:rPr>
          <w:rFonts w:ascii="Verdana" w:hAnsi="Verdana"/>
          <w:i/>
          <w:iCs/>
          <w:sz w:val="24"/>
          <w:szCs w:val="24"/>
        </w:rPr>
        <w:t>Rule Nisi</w:t>
      </w:r>
      <w:r w:rsidR="00FA7A23" w:rsidRPr="000459A8">
        <w:rPr>
          <w:rFonts w:ascii="Verdana" w:hAnsi="Verdana"/>
          <w:sz w:val="24"/>
          <w:szCs w:val="24"/>
        </w:rPr>
        <w:t xml:space="preserve"> </w:t>
      </w:r>
      <w:r w:rsidR="00746A2E" w:rsidRPr="000459A8">
        <w:rPr>
          <w:rFonts w:ascii="Verdana" w:hAnsi="Verdana"/>
          <w:sz w:val="24"/>
          <w:szCs w:val="24"/>
        </w:rPr>
        <w:t>was confirmed and the judgment on the question of costs was reserved.</w:t>
      </w:r>
    </w:p>
    <w:p w14:paraId="5A474DD8" w14:textId="77777777" w:rsidR="00746A2E" w:rsidRPr="00746A2E" w:rsidRDefault="00746A2E" w:rsidP="006B3021">
      <w:pPr>
        <w:pStyle w:val="ListParagraph"/>
        <w:jc w:val="both"/>
        <w:rPr>
          <w:rFonts w:ascii="Verdana" w:hAnsi="Verdana"/>
          <w:sz w:val="24"/>
          <w:szCs w:val="24"/>
        </w:rPr>
      </w:pPr>
    </w:p>
    <w:p w14:paraId="33F19E6D" w14:textId="5C3388C8" w:rsidR="00230B92"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10.</w:t>
      </w:r>
      <w:r>
        <w:rPr>
          <w:rFonts w:ascii="Verdana" w:hAnsi="Verdana"/>
          <w:sz w:val="24"/>
          <w:szCs w:val="24"/>
        </w:rPr>
        <w:tab/>
      </w:r>
      <w:r w:rsidR="00746A2E" w:rsidRPr="000459A8">
        <w:rPr>
          <w:rFonts w:ascii="Verdana" w:hAnsi="Verdana"/>
          <w:sz w:val="24"/>
          <w:szCs w:val="24"/>
        </w:rPr>
        <w:t xml:space="preserve">The question of who is awarded the costs of litigation is governed by two rules. </w:t>
      </w:r>
      <w:r w:rsidR="00230B92" w:rsidRPr="000459A8">
        <w:rPr>
          <w:rFonts w:ascii="Verdana" w:hAnsi="Verdana"/>
          <w:sz w:val="24"/>
          <w:szCs w:val="24"/>
        </w:rPr>
        <w:t xml:space="preserve">The first rule is sometimes referred to as the </w:t>
      </w:r>
      <w:r w:rsidR="00A77BBD" w:rsidRPr="000459A8">
        <w:rPr>
          <w:rFonts w:ascii="Verdana" w:hAnsi="Verdana"/>
          <w:sz w:val="24"/>
          <w:szCs w:val="24"/>
        </w:rPr>
        <w:t>‘</w:t>
      </w:r>
      <w:r w:rsidR="00230B92" w:rsidRPr="000459A8">
        <w:rPr>
          <w:rFonts w:ascii="Verdana" w:hAnsi="Verdana"/>
          <w:sz w:val="24"/>
          <w:szCs w:val="24"/>
        </w:rPr>
        <w:t>basic rule</w:t>
      </w:r>
      <w:r w:rsidR="00A77BBD" w:rsidRPr="000459A8">
        <w:rPr>
          <w:rFonts w:ascii="Verdana" w:hAnsi="Verdana"/>
          <w:sz w:val="24"/>
          <w:szCs w:val="24"/>
        </w:rPr>
        <w:t>’</w:t>
      </w:r>
      <w:r w:rsidR="00230B92" w:rsidRPr="000459A8">
        <w:rPr>
          <w:rFonts w:ascii="Verdana" w:hAnsi="Verdana"/>
          <w:sz w:val="24"/>
          <w:szCs w:val="24"/>
        </w:rPr>
        <w:t xml:space="preserve">, </w:t>
      </w:r>
      <w:r w:rsidR="00A77BBD" w:rsidRPr="000459A8">
        <w:rPr>
          <w:rFonts w:ascii="Verdana" w:hAnsi="Verdana"/>
          <w:sz w:val="24"/>
          <w:szCs w:val="24"/>
        </w:rPr>
        <w:t>‘</w:t>
      </w:r>
      <w:r w:rsidR="00230B92" w:rsidRPr="000459A8">
        <w:rPr>
          <w:rFonts w:ascii="Verdana" w:hAnsi="Verdana"/>
          <w:sz w:val="24"/>
          <w:szCs w:val="24"/>
        </w:rPr>
        <w:t>the first rule</w:t>
      </w:r>
      <w:r w:rsidR="00A77BBD" w:rsidRPr="000459A8">
        <w:rPr>
          <w:rFonts w:ascii="Verdana" w:hAnsi="Verdana"/>
          <w:sz w:val="24"/>
          <w:szCs w:val="24"/>
        </w:rPr>
        <w:t>’</w:t>
      </w:r>
      <w:r w:rsidR="00230B92" w:rsidRPr="000459A8">
        <w:rPr>
          <w:rFonts w:ascii="Verdana" w:hAnsi="Verdana"/>
          <w:sz w:val="24"/>
          <w:szCs w:val="24"/>
        </w:rPr>
        <w:t xml:space="preserve"> or </w:t>
      </w:r>
      <w:r w:rsidR="00A77BBD" w:rsidRPr="000459A8">
        <w:rPr>
          <w:rFonts w:ascii="Verdana" w:hAnsi="Verdana"/>
          <w:sz w:val="24"/>
          <w:szCs w:val="24"/>
        </w:rPr>
        <w:t>‘</w:t>
      </w:r>
      <w:r w:rsidR="00230B92" w:rsidRPr="000459A8">
        <w:rPr>
          <w:rFonts w:ascii="Verdana" w:hAnsi="Verdana"/>
          <w:sz w:val="24"/>
          <w:szCs w:val="24"/>
        </w:rPr>
        <w:t>the primary rule</w:t>
      </w:r>
      <w:r w:rsidR="00A77BBD" w:rsidRPr="000459A8">
        <w:rPr>
          <w:rFonts w:ascii="Verdana" w:hAnsi="Verdana"/>
          <w:sz w:val="24"/>
          <w:szCs w:val="24"/>
        </w:rPr>
        <w:t>’</w:t>
      </w:r>
      <w:r w:rsidR="00230B92" w:rsidRPr="000459A8">
        <w:rPr>
          <w:rFonts w:ascii="Verdana" w:hAnsi="Verdana"/>
          <w:sz w:val="24"/>
          <w:szCs w:val="24"/>
        </w:rPr>
        <w:t>. This</w:t>
      </w:r>
      <w:r w:rsidR="00A77BBD" w:rsidRPr="000459A8">
        <w:rPr>
          <w:rFonts w:ascii="Verdana" w:hAnsi="Verdana"/>
          <w:sz w:val="24"/>
          <w:szCs w:val="24"/>
        </w:rPr>
        <w:t xml:space="preserve"> ‘primary</w:t>
      </w:r>
      <w:r w:rsidR="00230B92" w:rsidRPr="000459A8">
        <w:rPr>
          <w:rFonts w:ascii="Verdana" w:hAnsi="Verdana"/>
          <w:sz w:val="24"/>
          <w:szCs w:val="24"/>
        </w:rPr>
        <w:t xml:space="preserve"> rule</w:t>
      </w:r>
      <w:r w:rsidR="00A77BBD" w:rsidRPr="000459A8">
        <w:rPr>
          <w:rFonts w:ascii="Verdana" w:hAnsi="Verdana"/>
          <w:sz w:val="24"/>
          <w:szCs w:val="24"/>
        </w:rPr>
        <w:t>’</w:t>
      </w:r>
      <w:r w:rsidR="00230B92" w:rsidRPr="000459A8">
        <w:rPr>
          <w:rFonts w:ascii="Verdana" w:hAnsi="Verdana"/>
          <w:sz w:val="24"/>
          <w:szCs w:val="24"/>
        </w:rPr>
        <w:t xml:space="preserve"> states that the award of costs in litigation is within the discretion of the trial Judge. The second rule is sometimes referred to as </w:t>
      </w:r>
      <w:r w:rsidR="00A77BBD" w:rsidRPr="000459A8">
        <w:rPr>
          <w:rFonts w:ascii="Verdana" w:hAnsi="Verdana"/>
          <w:sz w:val="24"/>
          <w:szCs w:val="24"/>
        </w:rPr>
        <w:t>‘</w:t>
      </w:r>
      <w:r w:rsidR="00230B92" w:rsidRPr="000459A8">
        <w:rPr>
          <w:rFonts w:ascii="Verdana" w:hAnsi="Verdana"/>
          <w:sz w:val="24"/>
          <w:szCs w:val="24"/>
        </w:rPr>
        <w:t>the general rule</w:t>
      </w:r>
      <w:r w:rsidR="00A77BBD" w:rsidRPr="000459A8">
        <w:rPr>
          <w:rFonts w:ascii="Verdana" w:hAnsi="Verdana"/>
          <w:sz w:val="24"/>
          <w:szCs w:val="24"/>
        </w:rPr>
        <w:t>’</w:t>
      </w:r>
      <w:r w:rsidR="00230B92" w:rsidRPr="000459A8">
        <w:rPr>
          <w:rFonts w:ascii="Verdana" w:hAnsi="Verdana"/>
          <w:sz w:val="24"/>
          <w:szCs w:val="24"/>
        </w:rPr>
        <w:t xml:space="preserve"> or </w:t>
      </w:r>
      <w:r w:rsidR="00A77BBD" w:rsidRPr="000459A8">
        <w:rPr>
          <w:rFonts w:ascii="Verdana" w:hAnsi="Verdana"/>
          <w:sz w:val="24"/>
          <w:szCs w:val="24"/>
        </w:rPr>
        <w:t>‘</w:t>
      </w:r>
      <w:r w:rsidR="00230B92" w:rsidRPr="000459A8">
        <w:rPr>
          <w:rFonts w:ascii="Verdana" w:hAnsi="Verdana"/>
          <w:sz w:val="24"/>
          <w:szCs w:val="24"/>
        </w:rPr>
        <w:t>the secondary rule</w:t>
      </w:r>
      <w:r w:rsidR="00A77BBD" w:rsidRPr="000459A8">
        <w:rPr>
          <w:rFonts w:ascii="Verdana" w:hAnsi="Verdana"/>
          <w:sz w:val="24"/>
          <w:szCs w:val="24"/>
        </w:rPr>
        <w:t>’</w:t>
      </w:r>
      <w:r w:rsidR="00230B92" w:rsidRPr="000459A8">
        <w:rPr>
          <w:rFonts w:ascii="Verdana" w:hAnsi="Verdana"/>
          <w:sz w:val="24"/>
          <w:szCs w:val="24"/>
        </w:rPr>
        <w:t xml:space="preserve">. This </w:t>
      </w:r>
      <w:r w:rsidR="00A77BBD" w:rsidRPr="000459A8">
        <w:rPr>
          <w:rFonts w:ascii="Verdana" w:hAnsi="Verdana"/>
          <w:sz w:val="24"/>
          <w:szCs w:val="24"/>
        </w:rPr>
        <w:t>‘</w:t>
      </w:r>
      <w:r w:rsidR="00230B92" w:rsidRPr="000459A8">
        <w:rPr>
          <w:rFonts w:ascii="Verdana" w:hAnsi="Verdana"/>
          <w:sz w:val="24"/>
          <w:szCs w:val="24"/>
        </w:rPr>
        <w:t>general rule</w:t>
      </w:r>
      <w:r w:rsidR="00A77BBD" w:rsidRPr="000459A8">
        <w:rPr>
          <w:rFonts w:ascii="Verdana" w:hAnsi="Verdana"/>
          <w:sz w:val="24"/>
          <w:szCs w:val="24"/>
        </w:rPr>
        <w:t>’</w:t>
      </w:r>
      <w:r w:rsidR="00230B92" w:rsidRPr="000459A8">
        <w:rPr>
          <w:rFonts w:ascii="Verdana" w:hAnsi="Verdana"/>
          <w:sz w:val="24"/>
          <w:szCs w:val="24"/>
        </w:rPr>
        <w:t xml:space="preserve"> states that costs are awarded to the successful party.</w:t>
      </w:r>
    </w:p>
    <w:p w14:paraId="1C7167E2" w14:textId="77777777" w:rsidR="00230B92" w:rsidRPr="00230B92" w:rsidRDefault="00230B92" w:rsidP="006B3021">
      <w:pPr>
        <w:pStyle w:val="ListParagraph"/>
        <w:jc w:val="both"/>
        <w:rPr>
          <w:rFonts w:ascii="Verdana" w:hAnsi="Verdana"/>
          <w:sz w:val="24"/>
          <w:szCs w:val="24"/>
        </w:rPr>
      </w:pPr>
    </w:p>
    <w:p w14:paraId="68017EFC" w14:textId="4AB81AA2" w:rsidR="00230B92"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11.</w:t>
      </w:r>
      <w:r>
        <w:rPr>
          <w:rFonts w:ascii="Verdana" w:hAnsi="Verdana"/>
          <w:sz w:val="24"/>
          <w:szCs w:val="24"/>
        </w:rPr>
        <w:tab/>
      </w:r>
      <w:r w:rsidR="0035240A" w:rsidRPr="000459A8">
        <w:rPr>
          <w:rFonts w:ascii="Verdana" w:hAnsi="Verdana"/>
          <w:sz w:val="24"/>
          <w:szCs w:val="24"/>
        </w:rPr>
        <w:t xml:space="preserve">Innes CJ in the case of  KRUGER BROS. &amp; WASSERMAN v RUSKIN set </w:t>
      </w:r>
      <w:r w:rsidR="00705B7E" w:rsidRPr="000459A8">
        <w:rPr>
          <w:rFonts w:ascii="Verdana" w:hAnsi="Verdana"/>
          <w:sz w:val="24"/>
          <w:szCs w:val="24"/>
        </w:rPr>
        <w:t xml:space="preserve">  </w:t>
      </w:r>
      <w:r w:rsidR="0035240A" w:rsidRPr="000459A8">
        <w:rPr>
          <w:rFonts w:ascii="Verdana" w:hAnsi="Verdana"/>
          <w:sz w:val="24"/>
          <w:szCs w:val="24"/>
        </w:rPr>
        <w:t>out the ‘primary rule’ in the following terms:</w:t>
      </w:r>
    </w:p>
    <w:p w14:paraId="4DC392C7" w14:textId="77777777" w:rsidR="00A017E0" w:rsidRDefault="0035240A" w:rsidP="006B3021">
      <w:pPr>
        <w:pStyle w:val="ListParagraph"/>
        <w:spacing w:line="276" w:lineRule="auto"/>
        <w:jc w:val="both"/>
        <w:rPr>
          <w:rFonts w:ascii="Verdana" w:hAnsi="Verdana"/>
          <w:sz w:val="24"/>
          <w:szCs w:val="24"/>
        </w:rPr>
      </w:pPr>
      <w:r>
        <w:rPr>
          <w:rFonts w:ascii="Verdana" w:hAnsi="Verdana"/>
          <w:sz w:val="24"/>
          <w:szCs w:val="24"/>
        </w:rPr>
        <w:t>“As already pointed out, the rule of our law is that all costs – unless expressly otherwise enacted – are in the discretion of the Judge</w:t>
      </w:r>
      <w:r w:rsidR="00A017E0">
        <w:rPr>
          <w:rFonts w:ascii="Verdana" w:hAnsi="Verdana"/>
          <w:sz w:val="24"/>
          <w:szCs w:val="24"/>
        </w:rPr>
        <w:t xml:space="preserve">. His </w:t>
      </w:r>
      <w:r w:rsidR="00A017E0">
        <w:rPr>
          <w:rFonts w:ascii="Verdana" w:hAnsi="Verdana"/>
          <w:sz w:val="24"/>
          <w:szCs w:val="24"/>
        </w:rPr>
        <w:lastRenderedPageBreak/>
        <w:t>discretion must be judicially exercised; but it cannot be challenged taken alone and apart from the main order, without his permission.”</w:t>
      </w:r>
      <w:r w:rsidR="00A017E0">
        <w:rPr>
          <w:rStyle w:val="FootnoteReference"/>
          <w:rFonts w:ascii="Verdana" w:hAnsi="Verdana"/>
          <w:sz w:val="24"/>
          <w:szCs w:val="24"/>
        </w:rPr>
        <w:footnoteReference w:id="2"/>
      </w:r>
    </w:p>
    <w:p w14:paraId="1AD05010" w14:textId="1A230D57" w:rsidR="0035240A" w:rsidRDefault="00A017E0" w:rsidP="006B3021">
      <w:pPr>
        <w:pStyle w:val="ListParagraph"/>
        <w:spacing w:line="276" w:lineRule="auto"/>
        <w:jc w:val="both"/>
        <w:rPr>
          <w:rFonts w:ascii="Verdana" w:hAnsi="Verdana"/>
          <w:sz w:val="24"/>
          <w:szCs w:val="24"/>
        </w:rPr>
      </w:pPr>
      <w:r>
        <w:rPr>
          <w:rFonts w:ascii="Verdana" w:hAnsi="Verdana"/>
          <w:sz w:val="24"/>
          <w:szCs w:val="24"/>
        </w:rPr>
        <w:t xml:space="preserve"> </w:t>
      </w:r>
      <w:r w:rsidR="0035240A">
        <w:rPr>
          <w:rFonts w:ascii="Verdana" w:hAnsi="Verdana"/>
          <w:sz w:val="24"/>
          <w:szCs w:val="24"/>
        </w:rPr>
        <w:t xml:space="preserve"> </w:t>
      </w:r>
    </w:p>
    <w:p w14:paraId="6415422C" w14:textId="77777777" w:rsidR="0035240A" w:rsidRPr="0035240A" w:rsidRDefault="0035240A" w:rsidP="006B3021">
      <w:pPr>
        <w:pStyle w:val="ListParagraph"/>
        <w:jc w:val="both"/>
        <w:rPr>
          <w:rFonts w:ascii="Verdana" w:hAnsi="Verdana"/>
          <w:sz w:val="24"/>
          <w:szCs w:val="24"/>
        </w:rPr>
      </w:pPr>
    </w:p>
    <w:p w14:paraId="4E89E2D8" w14:textId="5ACF458A" w:rsidR="0035240A"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12.</w:t>
      </w:r>
      <w:r>
        <w:rPr>
          <w:rFonts w:ascii="Verdana" w:hAnsi="Verdana"/>
          <w:sz w:val="24"/>
          <w:szCs w:val="24"/>
        </w:rPr>
        <w:tab/>
      </w:r>
      <w:r w:rsidR="00A017E0" w:rsidRPr="000459A8">
        <w:rPr>
          <w:rFonts w:ascii="Verdana" w:hAnsi="Verdana"/>
          <w:sz w:val="24"/>
          <w:szCs w:val="24"/>
        </w:rPr>
        <w:t xml:space="preserve">The two rules relating to costs </w:t>
      </w:r>
      <w:r w:rsidR="00362A19" w:rsidRPr="000459A8">
        <w:rPr>
          <w:rFonts w:ascii="Verdana" w:hAnsi="Verdana"/>
          <w:sz w:val="24"/>
          <w:szCs w:val="24"/>
        </w:rPr>
        <w:t>do not exist in isolation to each other, there is an interplay between these two rules relating to the award of costs.  This interplay is illustrated by Boshoff J in the matter of  LETSITELE STORES (PTY) LTD v ROETS, where he states:</w:t>
      </w:r>
    </w:p>
    <w:p w14:paraId="3CCB51FB" w14:textId="537E2168" w:rsidR="00362A19" w:rsidRDefault="00362A19" w:rsidP="006B3021">
      <w:pPr>
        <w:pStyle w:val="ListParagraph"/>
        <w:spacing w:line="276" w:lineRule="auto"/>
        <w:ind w:left="360"/>
        <w:jc w:val="both"/>
        <w:rPr>
          <w:rFonts w:ascii="Verdana" w:hAnsi="Verdana"/>
          <w:sz w:val="24"/>
          <w:szCs w:val="24"/>
        </w:rPr>
      </w:pPr>
      <w:r>
        <w:rPr>
          <w:rFonts w:ascii="Verdana" w:hAnsi="Verdana"/>
          <w:sz w:val="24"/>
          <w:szCs w:val="24"/>
        </w:rPr>
        <w:t xml:space="preserve">“In an appeal of this nature two general principles should be observed. The first is that the Court of first instance has a judicial discretion in regard to costs and this Court cannot interfere unless it is satisfied that the discretion is not exercised judicially. The second is that the successful party should as a general rule, have his costs. This is a rule that should not be departed from without the existence of good grounds for doing so. Where a successful party has been deprived of his costs, </w:t>
      </w:r>
      <w:r w:rsidR="00956888">
        <w:rPr>
          <w:rFonts w:ascii="Verdana" w:hAnsi="Verdana"/>
          <w:sz w:val="24"/>
          <w:szCs w:val="24"/>
        </w:rPr>
        <w:t xml:space="preserve">an appeal Court will enquire whether there were any grounds for this departure from the general rule, and if there are no such grounds, then ordinarily it will interfere. Any grounds here mean any grounds upon which a reasonable person could </w:t>
      </w:r>
      <w:proofErr w:type="gramStart"/>
      <w:r w:rsidR="00956888">
        <w:rPr>
          <w:rFonts w:ascii="Verdana" w:hAnsi="Verdana"/>
          <w:sz w:val="24"/>
          <w:szCs w:val="24"/>
        </w:rPr>
        <w:t>come to the conclusion</w:t>
      </w:r>
      <w:proofErr w:type="gramEnd"/>
      <w:r w:rsidR="00956888">
        <w:rPr>
          <w:rFonts w:ascii="Verdana" w:hAnsi="Verdana"/>
          <w:sz w:val="24"/>
          <w:szCs w:val="24"/>
        </w:rPr>
        <w:t xml:space="preserve"> arrived at.”</w:t>
      </w:r>
      <w:r w:rsidR="00FA7A23">
        <w:rPr>
          <w:rStyle w:val="FootnoteReference"/>
          <w:rFonts w:ascii="Verdana" w:hAnsi="Verdana"/>
          <w:sz w:val="24"/>
          <w:szCs w:val="24"/>
        </w:rPr>
        <w:footnoteReference w:id="3"/>
      </w:r>
      <w:r w:rsidR="00956888">
        <w:rPr>
          <w:rFonts w:ascii="Verdana" w:hAnsi="Verdana"/>
          <w:sz w:val="24"/>
          <w:szCs w:val="24"/>
        </w:rPr>
        <w:t xml:space="preserve"> (references omitted) </w:t>
      </w:r>
    </w:p>
    <w:p w14:paraId="57577E82" w14:textId="77777777" w:rsidR="00230B92" w:rsidRDefault="00230B92" w:rsidP="006B3021">
      <w:pPr>
        <w:pStyle w:val="ListParagraph"/>
        <w:jc w:val="both"/>
        <w:rPr>
          <w:rFonts w:ascii="Verdana" w:hAnsi="Verdana"/>
          <w:sz w:val="24"/>
          <w:szCs w:val="24"/>
        </w:rPr>
      </w:pPr>
    </w:p>
    <w:p w14:paraId="59F91282" w14:textId="77777777" w:rsidR="00956888" w:rsidRPr="00230B92" w:rsidRDefault="00956888" w:rsidP="006B3021">
      <w:pPr>
        <w:pStyle w:val="ListParagraph"/>
        <w:jc w:val="both"/>
        <w:rPr>
          <w:rFonts w:ascii="Verdana" w:hAnsi="Verdana"/>
          <w:sz w:val="24"/>
          <w:szCs w:val="24"/>
        </w:rPr>
      </w:pPr>
    </w:p>
    <w:p w14:paraId="2E7DEA97" w14:textId="67C0CB22" w:rsidR="004D7E08"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13.</w:t>
      </w:r>
      <w:r>
        <w:rPr>
          <w:rFonts w:ascii="Verdana" w:hAnsi="Verdana"/>
          <w:sz w:val="24"/>
          <w:szCs w:val="24"/>
        </w:rPr>
        <w:tab/>
      </w:r>
      <w:r w:rsidR="00956888" w:rsidRPr="000459A8">
        <w:rPr>
          <w:rFonts w:ascii="Verdana" w:hAnsi="Verdana"/>
          <w:sz w:val="24"/>
          <w:szCs w:val="24"/>
        </w:rPr>
        <w:t xml:space="preserve">From this it emerges that it is possible to depart from the general rule. </w:t>
      </w:r>
      <w:r w:rsidR="004D7E08" w:rsidRPr="000459A8">
        <w:rPr>
          <w:rFonts w:ascii="Verdana" w:hAnsi="Verdana"/>
          <w:sz w:val="24"/>
          <w:szCs w:val="24"/>
        </w:rPr>
        <w:t xml:space="preserve">However, there must be a substantial reasonable basis for doing so, which must emerge from the facts of the case before the court. The grounds for departing from the general rule can thus never be a closed list. In these circumstances, it will also be extremely difficult to systematise when a court will depart from the general rule. At best we </w:t>
      </w:r>
      <w:r w:rsidR="004D7E08" w:rsidRPr="000459A8">
        <w:rPr>
          <w:rFonts w:ascii="Verdana" w:hAnsi="Verdana"/>
          <w:sz w:val="24"/>
          <w:szCs w:val="24"/>
        </w:rPr>
        <w:lastRenderedPageBreak/>
        <w:t>will be able to point to examples of when and in what circumstances a court departed from the general rule</w:t>
      </w:r>
      <w:r w:rsidR="0028739C" w:rsidRPr="000459A8">
        <w:rPr>
          <w:rFonts w:ascii="Verdana" w:hAnsi="Verdana"/>
          <w:sz w:val="24"/>
          <w:szCs w:val="24"/>
        </w:rPr>
        <w:t>,</w:t>
      </w:r>
      <w:r w:rsidR="004D7E08" w:rsidRPr="000459A8">
        <w:rPr>
          <w:rFonts w:ascii="Verdana" w:hAnsi="Verdana"/>
          <w:sz w:val="24"/>
          <w:szCs w:val="24"/>
        </w:rPr>
        <w:t xml:space="preserve"> that costs follow the event.</w:t>
      </w:r>
    </w:p>
    <w:p w14:paraId="564D638C" w14:textId="77777777" w:rsidR="004D7E08" w:rsidRDefault="004D7E08" w:rsidP="006B3021">
      <w:pPr>
        <w:pStyle w:val="ListParagraph"/>
        <w:spacing w:line="480" w:lineRule="auto"/>
        <w:ind w:left="360"/>
        <w:jc w:val="both"/>
        <w:rPr>
          <w:rFonts w:ascii="Verdana" w:hAnsi="Verdana"/>
          <w:sz w:val="24"/>
          <w:szCs w:val="24"/>
        </w:rPr>
      </w:pPr>
    </w:p>
    <w:p w14:paraId="3B893FF2" w14:textId="0A3C2E82" w:rsidR="004D7E08"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14.</w:t>
      </w:r>
      <w:r>
        <w:rPr>
          <w:rFonts w:ascii="Verdana" w:hAnsi="Verdana"/>
          <w:sz w:val="24"/>
          <w:szCs w:val="24"/>
        </w:rPr>
        <w:tab/>
      </w:r>
      <w:r w:rsidR="006B2D4C" w:rsidRPr="000459A8">
        <w:rPr>
          <w:rFonts w:ascii="Verdana" w:hAnsi="Verdana"/>
          <w:sz w:val="24"/>
          <w:szCs w:val="24"/>
        </w:rPr>
        <w:t xml:space="preserve">Mr Mthombeni who appeared on behalf of the first respondent submitted that the first respondent acted reasonably in opposing the confirmation of the </w:t>
      </w:r>
      <w:r w:rsidR="006B2D4C" w:rsidRPr="000459A8">
        <w:rPr>
          <w:rFonts w:ascii="Verdana" w:hAnsi="Verdana"/>
          <w:i/>
          <w:iCs/>
          <w:sz w:val="24"/>
          <w:szCs w:val="24"/>
        </w:rPr>
        <w:t>Rule Nisi</w:t>
      </w:r>
      <w:r w:rsidR="006B2D4C" w:rsidRPr="000459A8">
        <w:rPr>
          <w:rFonts w:ascii="Verdana" w:hAnsi="Verdana"/>
          <w:sz w:val="24"/>
          <w:szCs w:val="24"/>
        </w:rPr>
        <w:t xml:space="preserve"> and that at least to some extent the applicant was responsible for the confusion that the first respondent laboured under in relation to the legal vehicle in which the deceased practiced as an attorney. If the facts as they emerge from the papers support these submissions, this would probably constitute a sufficient basis to depart from the general rule that costs follow the event.</w:t>
      </w:r>
    </w:p>
    <w:p w14:paraId="3D239FD7" w14:textId="77777777" w:rsidR="006B2D4C" w:rsidRPr="006B2D4C" w:rsidRDefault="006B2D4C" w:rsidP="006B3021">
      <w:pPr>
        <w:pStyle w:val="ListParagraph"/>
        <w:jc w:val="both"/>
        <w:rPr>
          <w:rFonts w:ascii="Verdana" w:hAnsi="Verdana"/>
          <w:sz w:val="24"/>
          <w:szCs w:val="24"/>
        </w:rPr>
      </w:pPr>
    </w:p>
    <w:p w14:paraId="6F1614AA" w14:textId="493198A9" w:rsidR="006B2D4C"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15.</w:t>
      </w:r>
      <w:r>
        <w:rPr>
          <w:rFonts w:ascii="Verdana" w:hAnsi="Verdana"/>
          <w:sz w:val="24"/>
          <w:szCs w:val="24"/>
        </w:rPr>
        <w:tab/>
      </w:r>
      <w:r w:rsidR="006B2D4C" w:rsidRPr="000459A8">
        <w:rPr>
          <w:rFonts w:ascii="Verdana" w:hAnsi="Verdana"/>
          <w:sz w:val="24"/>
          <w:szCs w:val="24"/>
        </w:rPr>
        <w:t xml:space="preserve">Mr </w:t>
      </w:r>
      <w:proofErr w:type="spellStart"/>
      <w:r w:rsidR="006B2D4C" w:rsidRPr="000459A8">
        <w:rPr>
          <w:rFonts w:ascii="Verdana" w:hAnsi="Verdana"/>
          <w:sz w:val="24"/>
          <w:szCs w:val="24"/>
        </w:rPr>
        <w:t>Groenewaldt</w:t>
      </w:r>
      <w:proofErr w:type="spellEnd"/>
      <w:r w:rsidR="00223D4C" w:rsidRPr="000459A8">
        <w:rPr>
          <w:rFonts w:ascii="Verdana" w:hAnsi="Verdana"/>
          <w:sz w:val="24"/>
          <w:szCs w:val="24"/>
        </w:rPr>
        <w:t>,</w:t>
      </w:r>
      <w:r w:rsidR="006B2D4C" w:rsidRPr="000459A8">
        <w:rPr>
          <w:rFonts w:ascii="Verdana" w:hAnsi="Verdana"/>
          <w:sz w:val="24"/>
          <w:szCs w:val="24"/>
        </w:rPr>
        <w:t xml:space="preserve"> who appeared for the applicant, contended that</w:t>
      </w:r>
      <w:r w:rsidR="00223D4C" w:rsidRPr="000459A8">
        <w:rPr>
          <w:rFonts w:ascii="Verdana" w:hAnsi="Verdana"/>
          <w:sz w:val="24"/>
          <w:szCs w:val="24"/>
        </w:rPr>
        <w:t>:</w:t>
      </w:r>
      <w:r w:rsidR="006B2D4C" w:rsidRPr="000459A8">
        <w:rPr>
          <w:rFonts w:ascii="Verdana" w:hAnsi="Verdana"/>
          <w:sz w:val="24"/>
          <w:szCs w:val="24"/>
        </w:rPr>
        <w:t xml:space="preserve"> the first respondent was not reasonable in her opposition to confirmation of the </w:t>
      </w:r>
      <w:r w:rsidR="006B2D4C" w:rsidRPr="000459A8">
        <w:rPr>
          <w:rFonts w:ascii="Verdana" w:hAnsi="Verdana"/>
          <w:i/>
          <w:iCs/>
          <w:sz w:val="24"/>
          <w:szCs w:val="24"/>
        </w:rPr>
        <w:t>Rule Nisi</w:t>
      </w:r>
      <w:r w:rsidR="00223D4C" w:rsidRPr="000459A8">
        <w:rPr>
          <w:rFonts w:ascii="Verdana" w:hAnsi="Verdana"/>
          <w:sz w:val="24"/>
          <w:szCs w:val="24"/>
        </w:rPr>
        <w:t>; it had always been the applicant’s case that the deceased had been a sole practitioner; there was no confusion on this issue and certainly not on the part of the applicant; and first respondent had clung to the contention that the deceased practised through the vehicle of an incorporated professional entity long after it was established even by her own attorney that the deceased practiced as a sole practitioner.</w:t>
      </w:r>
    </w:p>
    <w:p w14:paraId="508A1678" w14:textId="77777777" w:rsidR="00223D4C" w:rsidRPr="00223D4C" w:rsidRDefault="00223D4C" w:rsidP="006B3021">
      <w:pPr>
        <w:pStyle w:val="ListParagraph"/>
        <w:jc w:val="both"/>
        <w:rPr>
          <w:rFonts w:ascii="Verdana" w:hAnsi="Verdana"/>
          <w:sz w:val="24"/>
          <w:szCs w:val="24"/>
        </w:rPr>
      </w:pPr>
    </w:p>
    <w:p w14:paraId="7FF0B62F" w14:textId="5342393E" w:rsidR="00223D4C"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lastRenderedPageBreak/>
        <w:t>16.</w:t>
      </w:r>
      <w:r>
        <w:rPr>
          <w:rFonts w:ascii="Verdana" w:hAnsi="Verdana"/>
          <w:sz w:val="24"/>
          <w:szCs w:val="24"/>
        </w:rPr>
        <w:tab/>
      </w:r>
      <w:r w:rsidR="009744C9" w:rsidRPr="000459A8">
        <w:rPr>
          <w:rFonts w:ascii="Verdana" w:hAnsi="Verdana"/>
          <w:sz w:val="24"/>
          <w:szCs w:val="24"/>
        </w:rPr>
        <w:t>The applicant made the positive assertion that the deceased practiced as a sole practitioner within the jurisdiction of this court in its founding affidavit.</w:t>
      </w:r>
    </w:p>
    <w:p w14:paraId="30978D82" w14:textId="77777777" w:rsidR="00431BDB" w:rsidRPr="00431BDB" w:rsidRDefault="00431BDB" w:rsidP="006B3021">
      <w:pPr>
        <w:pStyle w:val="ListParagraph"/>
        <w:jc w:val="both"/>
        <w:rPr>
          <w:rFonts w:ascii="Verdana" w:hAnsi="Verdana"/>
          <w:sz w:val="24"/>
          <w:szCs w:val="24"/>
        </w:rPr>
      </w:pPr>
    </w:p>
    <w:p w14:paraId="1C1A1B57" w14:textId="70A1E870" w:rsidR="00431BDB"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17.</w:t>
      </w:r>
      <w:r>
        <w:rPr>
          <w:rFonts w:ascii="Verdana" w:hAnsi="Verdana"/>
          <w:sz w:val="24"/>
          <w:szCs w:val="24"/>
        </w:rPr>
        <w:tab/>
      </w:r>
      <w:r w:rsidR="00431BDB" w:rsidRPr="000459A8">
        <w:rPr>
          <w:rFonts w:ascii="Verdana" w:hAnsi="Verdana"/>
          <w:sz w:val="24"/>
          <w:szCs w:val="24"/>
        </w:rPr>
        <w:t>In her answering affidavit the first respondent denies the contention that the deceased practiced as a sole practitioner and asserts that he practiced as an attorney through the vehicle of an incorporated professional entity</w:t>
      </w:r>
      <w:r w:rsidR="00D13AB8" w:rsidRPr="000459A8">
        <w:rPr>
          <w:rFonts w:ascii="Verdana" w:hAnsi="Verdana"/>
          <w:sz w:val="24"/>
          <w:szCs w:val="24"/>
        </w:rPr>
        <w:t xml:space="preserve">, </w:t>
      </w:r>
      <w:r w:rsidR="0051370E" w:rsidRPr="000459A8">
        <w:rPr>
          <w:rFonts w:ascii="Verdana" w:hAnsi="Verdana"/>
          <w:sz w:val="24"/>
          <w:szCs w:val="24"/>
        </w:rPr>
        <w:t>being a personal liability company</w:t>
      </w:r>
      <w:r w:rsidR="00431BDB" w:rsidRPr="000459A8">
        <w:rPr>
          <w:rFonts w:ascii="Verdana" w:hAnsi="Verdana"/>
          <w:sz w:val="24"/>
          <w:szCs w:val="24"/>
        </w:rPr>
        <w:t xml:space="preserve">. The first respondent further asserts that on the 14 July 2022 she sent one Sanele </w:t>
      </w:r>
      <w:proofErr w:type="spellStart"/>
      <w:r w:rsidR="00431BDB" w:rsidRPr="000459A8">
        <w:rPr>
          <w:rFonts w:ascii="Verdana" w:hAnsi="Verdana"/>
          <w:sz w:val="24"/>
          <w:szCs w:val="24"/>
        </w:rPr>
        <w:t>Mjila</w:t>
      </w:r>
      <w:proofErr w:type="spellEnd"/>
      <w:r w:rsidR="00431BDB" w:rsidRPr="000459A8">
        <w:rPr>
          <w:rFonts w:ascii="Verdana" w:hAnsi="Verdana"/>
          <w:sz w:val="24"/>
          <w:szCs w:val="24"/>
        </w:rPr>
        <w:t xml:space="preserve"> to the office of the applicant to enquire as to the status of </w:t>
      </w:r>
      <w:proofErr w:type="spellStart"/>
      <w:r w:rsidR="00431BDB" w:rsidRPr="000459A8">
        <w:rPr>
          <w:rFonts w:ascii="Verdana" w:hAnsi="Verdana"/>
          <w:sz w:val="24"/>
          <w:szCs w:val="24"/>
        </w:rPr>
        <w:t>Mjila</w:t>
      </w:r>
      <w:proofErr w:type="spellEnd"/>
      <w:r w:rsidR="00431BDB" w:rsidRPr="000459A8">
        <w:rPr>
          <w:rFonts w:ascii="Verdana" w:hAnsi="Verdana"/>
          <w:sz w:val="24"/>
          <w:szCs w:val="24"/>
        </w:rPr>
        <w:t xml:space="preserve"> and Partners Inc</w:t>
      </w:r>
      <w:r w:rsidR="0028739C" w:rsidRPr="000459A8">
        <w:rPr>
          <w:rFonts w:ascii="Verdana" w:hAnsi="Verdana"/>
          <w:sz w:val="24"/>
          <w:szCs w:val="24"/>
        </w:rPr>
        <w:t xml:space="preserve"> and that the Director of the Northern Cape LPC told him that it was a special case</w:t>
      </w:r>
      <w:r w:rsidR="00431BDB" w:rsidRPr="000459A8">
        <w:rPr>
          <w:rFonts w:ascii="Verdana" w:hAnsi="Verdana"/>
          <w:sz w:val="24"/>
          <w:szCs w:val="24"/>
        </w:rPr>
        <w:t xml:space="preserve">. The confirmatory affidavit </w:t>
      </w:r>
      <w:r w:rsidR="0028739C" w:rsidRPr="000459A8">
        <w:rPr>
          <w:rFonts w:ascii="Verdana" w:hAnsi="Verdana"/>
          <w:sz w:val="24"/>
          <w:szCs w:val="24"/>
        </w:rPr>
        <w:t xml:space="preserve">of the said Sanele </w:t>
      </w:r>
      <w:proofErr w:type="spellStart"/>
      <w:r w:rsidR="0028739C" w:rsidRPr="000459A8">
        <w:rPr>
          <w:rFonts w:ascii="Verdana" w:hAnsi="Verdana"/>
          <w:sz w:val="24"/>
          <w:szCs w:val="24"/>
        </w:rPr>
        <w:t>Mjila</w:t>
      </w:r>
      <w:proofErr w:type="spellEnd"/>
      <w:r w:rsidR="0028739C" w:rsidRPr="000459A8">
        <w:rPr>
          <w:rFonts w:ascii="Verdana" w:hAnsi="Verdana"/>
          <w:sz w:val="24"/>
          <w:szCs w:val="24"/>
        </w:rPr>
        <w:t xml:space="preserve"> </w:t>
      </w:r>
      <w:r w:rsidR="00431BDB" w:rsidRPr="000459A8">
        <w:rPr>
          <w:rFonts w:ascii="Verdana" w:hAnsi="Verdana"/>
          <w:sz w:val="24"/>
          <w:szCs w:val="24"/>
        </w:rPr>
        <w:t>was attached to the first respondent’s answering affidavit.</w:t>
      </w:r>
    </w:p>
    <w:p w14:paraId="0AE272AF" w14:textId="77777777" w:rsidR="000A613C" w:rsidRPr="000A613C" w:rsidRDefault="000A613C" w:rsidP="006B3021">
      <w:pPr>
        <w:pStyle w:val="ListParagraph"/>
        <w:jc w:val="both"/>
        <w:rPr>
          <w:rFonts w:ascii="Verdana" w:hAnsi="Verdana"/>
          <w:sz w:val="24"/>
          <w:szCs w:val="24"/>
        </w:rPr>
      </w:pPr>
    </w:p>
    <w:p w14:paraId="3651A415" w14:textId="41FFEA85" w:rsidR="0028739C"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18.</w:t>
      </w:r>
      <w:r>
        <w:rPr>
          <w:rFonts w:ascii="Verdana" w:hAnsi="Verdana"/>
          <w:sz w:val="24"/>
          <w:szCs w:val="24"/>
        </w:rPr>
        <w:tab/>
      </w:r>
      <w:r w:rsidR="000A613C" w:rsidRPr="000459A8">
        <w:rPr>
          <w:rFonts w:ascii="Verdana" w:hAnsi="Verdana"/>
          <w:sz w:val="24"/>
          <w:szCs w:val="24"/>
        </w:rPr>
        <w:t xml:space="preserve">In responding to this contention, the deponent to the applicant’s </w:t>
      </w:r>
      <w:proofErr w:type="gramStart"/>
      <w:r w:rsidR="000A613C" w:rsidRPr="000459A8">
        <w:rPr>
          <w:rFonts w:ascii="Verdana" w:hAnsi="Verdana"/>
          <w:sz w:val="24"/>
          <w:szCs w:val="24"/>
        </w:rPr>
        <w:t>replying</w:t>
      </w:r>
      <w:proofErr w:type="gramEnd"/>
      <w:r w:rsidR="000A613C" w:rsidRPr="000459A8">
        <w:rPr>
          <w:rFonts w:ascii="Verdana" w:hAnsi="Verdana"/>
          <w:sz w:val="24"/>
          <w:szCs w:val="24"/>
        </w:rPr>
        <w:t xml:space="preserve"> affidavit states that she told S</w:t>
      </w:r>
      <w:r w:rsidR="0028739C" w:rsidRPr="000459A8">
        <w:rPr>
          <w:rFonts w:ascii="Verdana" w:hAnsi="Verdana"/>
          <w:sz w:val="24"/>
          <w:szCs w:val="24"/>
        </w:rPr>
        <w:t>a</w:t>
      </w:r>
      <w:r w:rsidR="000A613C" w:rsidRPr="000459A8">
        <w:rPr>
          <w:rFonts w:ascii="Verdana" w:hAnsi="Verdana"/>
          <w:sz w:val="24"/>
          <w:szCs w:val="24"/>
        </w:rPr>
        <w:t xml:space="preserve">nele </w:t>
      </w:r>
      <w:proofErr w:type="spellStart"/>
      <w:r w:rsidR="000A613C" w:rsidRPr="000459A8">
        <w:rPr>
          <w:rFonts w:ascii="Verdana" w:hAnsi="Verdana"/>
          <w:sz w:val="24"/>
          <w:szCs w:val="24"/>
        </w:rPr>
        <w:t>Mjila</w:t>
      </w:r>
      <w:proofErr w:type="spellEnd"/>
      <w:r w:rsidR="000A613C" w:rsidRPr="000459A8">
        <w:rPr>
          <w:rFonts w:ascii="Verdana" w:hAnsi="Verdana"/>
          <w:sz w:val="24"/>
          <w:szCs w:val="24"/>
        </w:rPr>
        <w:t xml:space="preserve"> that “…the practice is a special case because the Applicant was under the impression that the firm of the deceased was a sole proprietor and not an incorporated company.” </w:t>
      </w:r>
    </w:p>
    <w:p w14:paraId="751077AB" w14:textId="77777777" w:rsidR="0028739C" w:rsidRPr="0028739C" w:rsidRDefault="0028739C" w:rsidP="006B3021">
      <w:pPr>
        <w:pStyle w:val="ListParagraph"/>
        <w:jc w:val="both"/>
        <w:rPr>
          <w:rFonts w:ascii="Verdana" w:hAnsi="Verdana"/>
          <w:sz w:val="24"/>
          <w:szCs w:val="24"/>
        </w:rPr>
      </w:pPr>
    </w:p>
    <w:p w14:paraId="7FFF941F" w14:textId="311242E1" w:rsidR="000A613C"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19.</w:t>
      </w:r>
      <w:r>
        <w:rPr>
          <w:rFonts w:ascii="Verdana" w:hAnsi="Verdana"/>
          <w:sz w:val="24"/>
          <w:szCs w:val="24"/>
        </w:rPr>
        <w:tab/>
      </w:r>
      <w:r w:rsidR="000A613C" w:rsidRPr="000459A8">
        <w:rPr>
          <w:rFonts w:ascii="Verdana" w:hAnsi="Verdana"/>
          <w:sz w:val="24"/>
          <w:szCs w:val="24"/>
        </w:rPr>
        <w:t xml:space="preserve">Given the fact that the applicant was always in possession of a copy of the fidelity fund </w:t>
      </w:r>
      <w:r w:rsidR="0051370E" w:rsidRPr="000459A8">
        <w:rPr>
          <w:rFonts w:ascii="Verdana" w:hAnsi="Verdana"/>
          <w:sz w:val="24"/>
          <w:szCs w:val="24"/>
        </w:rPr>
        <w:t xml:space="preserve">certificate </w:t>
      </w:r>
      <w:r w:rsidR="000A613C" w:rsidRPr="000459A8">
        <w:rPr>
          <w:rFonts w:ascii="Verdana" w:hAnsi="Verdana"/>
          <w:sz w:val="24"/>
          <w:szCs w:val="24"/>
        </w:rPr>
        <w:t>issued to the deceased, that a copy</w:t>
      </w:r>
      <w:r w:rsidR="0051370E" w:rsidRPr="000459A8">
        <w:rPr>
          <w:rFonts w:ascii="Verdana" w:hAnsi="Verdana"/>
          <w:sz w:val="24"/>
          <w:szCs w:val="24"/>
        </w:rPr>
        <w:t xml:space="preserve"> of the said certificate</w:t>
      </w:r>
      <w:r w:rsidR="000A613C" w:rsidRPr="000459A8">
        <w:rPr>
          <w:rFonts w:ascii="Verdana" w:hAnsi="Verdana"/>
          <w:sz w:val="24"/>
          <w:szCs w:val="24"/>
        </w:rPr>
        <w:t xml:space="preserve"> was annexed to the replying affidavit, that it is self-evident from the said Fidelity Fund certificate that the deceased was a </w:t>
      </w:r>
      <w:r w:rsidR="000A613C" w:rsidRPr="000459A8">
        <w:rPr>
          <w:rFonts w:ascii="Verdana" w:hAnsi="Verdana"/>
          <w:sz w:val="24"/>
          <w:szCs w:val="24"/>
        </w:rPr>
        <w:lastRenderedPageBreak/>
        <w:t xml:space="preserve">sole practitioner, the facts overwhelmingly support her version of this exchange between </w:t>
      </w:r>
      <w:r w:rsidR="0028739C" w:rsidRPr="000459A8">
        <w:rPr>
          <w:rFonts w:ascii="Verdana" w:hAnsi="Verdana"/>
          <w:sz w:val="24"/>
          <w:szCs w:val="24"/>
        </w:rPr>
        <w:t>h</w:t>
      </w:r>
      <w:r w:rsidR="00433948" w:rsidRPr="000459A8">
        <w:rPr>
          <w:rFonts w:ascii="Verdana" w:hAnsi="Verdana"/>
          <w:sz w:val="24"/>
          <w:szCs w:val="24"/>
        </w:rPr>
        <w:t>erself</w:t>
      </w:r>
      <w:r w:rsidR="000A613C" w:rsidRPr="000459A8">
        <w:rPr>
          <w:rFonts w:ascii="Verdana" w:hAnsi="Verdana"/>
          <w:sz w:val="24"/>
          <w:szCs w:val="24"/>
        </w:rPr>
        <w:t xml:space="preserve"> and S</w:t>
      </w:r>
      <w:r w:rsidR="0028739C" w:rsidRPr="000459A8">
        <w:rPr>
          <w:rFonts w:ascii="Verdana" w:hAnsi="Verdana"/>
          <w:sz w:val="24"/>
          <w:szCs w:val="24"/>
        </w:rPr>
        <w:t>a</w:t>
      </w:r>
      <w:r w:rsidR="000A613C" w:rsidRPr="000459A8">
        <w:rPr>
          <w:rFonts w:ascii="Verdana" w:hAnsi="Verdana"/>
          <w:sz w:val="24"/>
          <w:szCs w:val="24"/>
        </w:rPr>
        <w:t xml:space="preserve">nele </w:t>
      </w:r>
      <w:proofErr w:type="spellStart"/>
      <w:r w:rsidR="000A613C" w:rsidRPr="000459A8">
        <w:rPr>
          <w:rFonts w:ascii="Verdana" w:hAnsi="Verdana"/>
          <w:sz w:val="24"/>
          <w:szCs w:val="24"/>
        </w:rPr>
        <w:t>Mjila</w:t>
      </w:r>
      <w:proofErr w:type="spellEnd"/>
      <w:r w:rsidR="000A613C" w:rsidRPr="000459A8">
        <w:rPr>
          <w:rFonts w:ascii="Verdana" w:hAnsi="Verdana"/>
          <w:sz w:val="24"/>
          <w:szCs w:val="24"/>
        </w:rPr>
        <w:t>.</w:t>
      </w:r>
      <w:r w:rsidR="004A74DD" w:rsidRPr="000459A8">
        <w:rPr>
          <w:rFonts w:ascii="Verdana" w:hAnsi="Verdana"/>
          <w:sz w:val="24"/>
          <w:szCs w:val="24"/>
        </w:rPr>
        <w:t xml:space="preserve"> In these circumstances the contention that the applicant was at least partially responsible for any confusion relating to the legal vehicle the deceased used </w:t>
      </w:r>
      <w:r w:rsidR="0028739C" w:rsidRPr="000459A8">
        <w:rPr>
          <w:rFonts w:ascii="Verdana" w:hAnsi="Verdana"/>
          <w:sz w:val="24"/>
          <w:szCs w:val="24"/>
        </w:rPr>
        <w:t>in his</w:t>
      </w:r>
      <w:r w:rsidR="004A74DD" w:rsidRPr="000459A8">
        <w:rPr>
          <w:rFonts w:ascii="Verdana" w:hAnsi="Verdana"/>
          <w:sz w:val="24"/>
          <w:szCs w:val="24"/>
        </w:rPr>
        <w:t xml:space="preserve"> practice as an attorney cannot be sustained.</w:t>
      </w:r>
    </w:p>
    <w:p w14:paraId="6EA23D23" w14:textId="77777777" w:rsidR="00642EE8" w:rsidRPr="00642EE8" w:rsidRDefault="00642EE8" w:rsidP="00642EE8">
      <w:pPr>
        <w:pStyle w:val="ListParagraph"/>
        <w:rPr>
          <w:rFonts w:ascii="Verdana" w:hAnsi="Verdana"/>
          <w:sz w:val="24"/>
          <w:szCs w:val="24"/>
        </w:rPr>
      </w:pPr>
    </w:p>
    <w:p w14:paraId="504E70E3" w14:textId="3CF092CF" w:rsidR="000E1EE9"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20.</w:t>
      </w:r>
      <w:r>
        <w:rPr>
          <w:rFonts w:ascii="Verdana" w:hAnsi="Verdana"/>
          <w:sz w:val="24"/>
          <w:szCs w:val="24"/>
        </w:rPr>
        <w:tab/>
      </w:r>
      <w:r w:rsidR="004A74DD" w:rsidRPr="000459A8">
        <w:rPr>
          <w:rFonts w:ascii="Verdana" w:hAnsi="Verdana"/>
          <w:sz w:val="24"/>
          <w:szCs w:val="24"/>
        </w:rPr>
        <w:t xml:space="preserve">It subsequently came to light that a letter was written by a Mr B.A. </w:t>
      </w:r>
      <w:proofErr w:type="spellStart"/>
      <w:r w:rsidR="004A74DD" w:rsidRPr="000459A8">
        <w:rPr>
          <w:rFonts w:ascii="Verdana" w:hAnsi="Verdana"/>
          <w:sz w:val="24"/>
          <w:szCs w:val="24"/>
        </w:rPr>
        <w:t>Mahlabeni</w:t>
      </w:r>
      <w:proofErr w:type="spellEnd"/>
      <w:r w:rsidR="004A74DD" w:rsidRPr="000459A8">
        <w:rPr>
          <w:rFonts w:ascii="Verdana" w:hAnsi="Verdana"/>
          <w:sz w:val="24"/>
          <w:szCs w:val="24"/>
        </w:rPr>
        <w:t xml:space="preserve"> on the letterhead of </w:t>
      </w:r>
      <w:proofErr w:type="spellStart"/>
      <w:r w:rsidR="004A74DD" w:rsidRPr="000459A8">
        <w:rPr>
          <w:rFonts w:ascii="Verdana" w:hAnsi="Verdana"/>
          <w:sz w:val="24"/>
          <w:szCs w:val="24"/>
        </w:rPr>
        <w:t>Mjila</w:t>
      </w:r>
      <w:proofErr w:type="spellEnd"/>
      <w:r w:rsidR="004A74DD" w:rsidRPr="000459A8">
        <w:rPr>
          <w:rFonts w:ascii="Verdana" w:hAnsi="Verdana"/>
          <w:sz w:val="24"/>
          <w:szCs w:val="24"/>
        </w:rPr>
        <w:t xml:space="preserve"> &amp; Partners Inc dated 13 September 2022 </w:t>
      </w:r>
      <w:r w:rsidR="000E1EE9" w:rsidRPr="000459A8">
        <w:rPr>
          <w:rFonts w:ascii="Verdana" w:hAnsi="Verdana"/>
          <w:sz w:val="24"/>
          <w:szCs w:val="24"/>
        </w:rPr>
        <w:t xml:space="preserve">to the Northern Cape LPC. This letter </w:t>
      </w:r>
      <w:r w:rsidR="004A74DD" w:rsidRPr="000459A8">
        <w:rPr>
          <w:rFonts w:ascii="Verdana" w:hAnsi="Verdana"/>
          <w:sz w:val="24"/>
          <w:szCs w:val="24"/>
        </w:rPr>
        <w:t xml:space="preserve">revealed that Mr </w:t>
      </w:r>
      <w:proofErr w:type="spellStart"/>
      <w:r w:rsidR="004A74DD" w:rsidRPr="000459A8">
        <w:rPr>
          <w:rFonts w:ascii="Verdana" w:hAnsi="Verdana"/>
          <w:sz w:val="24"/>
          <w:szCs w:val="24"/>
        </w:rPr>
        <w:t>Mahlabeni</w:t>
      </w:r>
      <w:proofErr w:type="spellEnd"/>
      <w:r w:rsidR="004A74DD" w:rsidRPr="000459A8">
        <w:rPr>
          <w:rFonts w:ascii="Verdana" w:hAnsi="Verdana"/>
          <w:sz w:val="24"/>
          <w:szCs w:val="24"/>
        </w:rPr>
        <w:t xml:space="preserve"> who was to take over the company </w:t>
      </w:r>
      <w:proofErr w:type="spellStart"/>
      <w:r w:rsidR="004A74DD" w:rsidRPr="000459A8">
        <w:rPr>
          <w:rFonts w:ascii="Verdana" w:hAnsi="Verdana"/>
          <w:sz w:val="24"/>
          <w:szCs w:val="24"/>
        </w:rPr>
        <w:t>Mjila</w:t>
      </w:r>
      <w:proofErr w:type="spellEnd"/>
      <w:r w:rsidR="004A74DD" w:rsidRPr="000459A8">
        <w:rPr>
          <w:rFonts w:ascii="Verdana" w:hAnsi="Verdana"/>
          <w:sz w:val="24"/>
          <w:szCs w:val="24"/>
        </w:rPr>
        <w:t xml:space="preserve"> &amp; Partners Inc knew from the trust account the deceased ran for his practice that the deceased practiced as a sole proprietor and not as an incorporated professional entity. </w:t>
      </w:r>
    </w:p>
    <w:p w14:paraId="6C4D9F76" w14:textId="77777777" w:rsidR="000E1EE9" w:rsidRPr="000E1EE9" w:rsidRDefault="000E1EE9" w:rsidP="006B3021">
      <w:pPr>
        <w:pStyle w:val="ListParagraph"/>
        <w:jc w:val="both"/>
        <w:rPr>
          <w:rFonts w:ascii="Verdana" w:hAnsi="Verdana"/>
          <w:sz w:val="24"/>
          <w:szCs w:val="24"/>
        </w:rPr>
      </w:pPr>
    </w:p>
    <w:p w14:paraId="3EA15AE6" w14:textId="17DB2ECE" w:rsidR="004A74DD"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21.</w:t>
      </w:r>
      <w:r>
        <w:rPr>
          <w:rFonts w:ascii="Verdana" w:hAnsi="Verdana"/>
          <w:sz w:val="24"/>
          <w:szCs w:val="24"/>
        </w:rPr>
        <w:tab/>
      </w:r>
      <w:r w:rsidR="004A74DD" w:rsidRPr="000459A8">
        <w:rPr>
          <w:rFonts w:ascii="Verdana" w:hAnsi="Verdana"/>
          <w:sz w:val="24"/>
          <w:szCs w:val="24"/>
        </w:rPr>
        <w:t>The applicant sought to place this letter before this court in a supplementary affidavit. The first respondent fought the admission of this letter quite vehemently. Be that as it may, the important consideration here is that she had direct knowledge of this letter and its import. That is quite clear from her affidavit opposing the admission of the supplementary affidavit.</w:t>
      </w:r>
    </w:p>
    <w:p w14:paraId="4F2909FD" w14:textId="77777777" w:rsidR="004A74DD" w:rsidRPr="004A74DD" w:rsidRDefault="004A74DD" w:rsidP="006B3021">
      <w:pPr>
        <w:pStyle w:val="ListParagraph"/>
        <w:jc w:val="both"/>
        <w:rPr>
          <w:rFonts w:ascii="Verdana" w:hAnsi="Verdana"/>
          <w:sz w:val="24"/>
          <w:szCs w:val="24"/>
        </w:rPr>
      </w:pPr>
    </w:p>
    <w:p w14:paraId="3E93392B" w14:textId="3C9AD8EC" w:rsidR="005318A1"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22.</w:t>
      </w:r>
      <w:r>
        <w:rPr>
          <w:rFonts w:ascii="Verdana" w:hAnsi="Verdana"/>
          <w:sz w:val="24"/>
          <w:szCs w:val="24"/>
        </w:rPr>
        <w:tab/>
      </w:r>
      <w:r w:rsidR="004A74DD" w:rsidRPr="000459A8">
        <w:rPr>
          <w:rFonts w:ascii="Verdana" w:hAnsi="Verdana"/>
          <w:sz w:val="24"/>
          <w:szCs w:val="24"/>
        </w:rPr>
        <w:t>These facts indicate that at least from</w:t>
      </w:r>
      <w:r w:rsidR="005318A1" w:rsidRPr="000459A8">
        <w:rPr>
          <w:rFonts w:ascii="Verdana" w:hAnsi="Verdana"/>
          <w:sz w:val="24"/>
          <w:szCs w:val="24"/>
        </w:rPr>
        <w:t xml:space="preserve"> 13 September 2022 the </w:t>
      </w:r>
      <w:r w:rsidR="00433948" w:rsidRPr="000459A8">
        <w:rPr>
          <w:rFonts w:ascii="Verdana" w:hAnsi="Verdana"/>
          <w:sz w:val="24"/>
          <w:szCs w:val="24"/>
        </w:rPr>
        <w:t>first respondent</w:t>
      </w:r>
      <w:r w:rsidR="005318A1" w:rsidRPr="000459A8">
        <w:rPr>
          <w:rFonts w:ascii="Verdana" w:hAnsi="Verdana"/>
          <w:sz w:val="24"/>
          <w:szCs w:val="24"/>
        </w:rPr>
        <w:t xml:space="preserve"> had direct knowledge of the true facts relating to her late husband’s legal practice as an attorney. She continued to oppose the </w:t>
      </w:r>
      <w:r w:rsidR="005318A1" w:rsidRPr="000459A8">
        <w:rPr>
          <w:rFonts w:ascii="Verdana" w:hAnsi="Verdana"/>
          <w:sz w:val="24"/>
          <w:szCs w:val="24"/>
        </w:rPr>
        <w:lastRenderedPageBreak/>
        <w:t xml:space="preserve">confirmation of the </w:t>
      </w:r>
      <w:r w:rsidR="005318A1" w:rsidRPr="000459A8">
        <w:rPr>
          <w:rFonts w:ascii="Verdana" w:hAnsi="Verdana"/>
          <w:i/>
          <w:iCs/>
          <w:sz w:val="24"/>
          <w:szCs w:val="24"/>
        </w:rPr>
        <w:t>Rule Nisi</w:t>
      </w:r>
      <w:r w:rsidR="005318A1" w:rsidRPr="000459A8">
        <w:rPr>
          <w:rFonts w:ascii="Verdana" w:hAnsi="Verdana"/>
          <w:sz w:val="24"/>
          <w:szCs w:val="24"/>
        </w:rPr>
        <w:t xml:space="preserve"> until April 2023. </w:t>
      </w:r>
      <w:r w:rsidR="0051370E" w:rsidRPr="000459A8">
        <w:rPr>
          <w:rFonts w:ascii="Verdana" w:hAnsi="Verdana"/>
          <w:sz w:val="24"/>
          <w:szCs w:val="24"/>
        </w:rPr>
        <w:t xml:space="preserve">Such </w:t>
      </w:r>
      <w:r w:rsidR="003B32F1" w:rsidRPr="000459A8">
        <w:rPr>
          <w:rFonts w:ascii="Verdana" w:hAnsi="Verdana"/>
          <w:sz w:val="24"/>
          <w:szCs w:val="24"/>
        </w:rPr>
        <w:t>continued opposition</w:t>
      </w:r>
      <w:r w:rsidR="0051370E" w:rsidRPr="000459A8">
        <w:rPr>
          <w:rFonts w:ascii="Verdana" w:hAnsi="Verdana"/>
          <w:sz w:val="24"/>
          <w:szCs w:val="24"/>
        </w:rPr>
        <w:t xml:space="preserve">, cannot, in those circumstances be considered reasonable. </w:t>
      </w:r>
    </w:p>
    <w:p w14:paraId="31050D0D" w14:textId="77777777" w:rsidR="005318A1" w:rsidRPr="005318A1" w:rsidRDefault="005318A1" w:rsidP="006B3021">
      <w:pPr>
        <w:pStyle w:val="ListParagraph"/>
        <w:jc w:val="both"/>
        <w:rPr>
          <w:rFonts w:ascii="Verdana" w:hAnsi="Verdana"/>
          <w:sz w:val="24"/>
          <w:szCs w:val="24"/>
        </w:rPr>
      </w:pPr>
    </w:p>
    <w:p w14:paraId="1145B3B4" w14:textId="2C97C330" w:rsidR="004A74DD"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23.</w:t>
      </w:r>
      <w:r>
        <w:rPr>
          <w:rFonts w:ascii="Verdana" w:hAnsi="Verdana"/>
          <w:sz w:val="24"/>
          <w:szCs w:val="24"/>
        </w:rPr>
        <w:tab/>
      </w:r>
      <w:r w:rsidR="005318A1" w:rsidRPr="000459A8">
        <w:rPr>
          <w:rFonts w:ascii="Verdana" w:hAnsi="Verdana"/>
          <w:sz w:val="24"/>
          <w:szCs w:val="24"/>
        </w:rPr>
        <w:t xml:space="preserve">In </w:t>
      </w:r>
      <w:proofErr w:type="gramStart"/>
      <w:r w:rsidR="005318A1" w:rsidRPr="000459A8">
        <w:rPr>
          <w:rFonts w:ascii="Verdana" w:hAnsi="Verdana"/>
          <w:sz w:val="24"/>
          <w:szCs w:val="24"/>
        </w:rPr>
        <w:t>all of</w:t>
      </w:r>
      <w:proofErr w:type="gramEnd"/>
      <w:r w:rsidR="005318A1" w:rsidRPr="000459A8">
        <w:rPr>
          <w:rFonts w:ascii="Verdana" w:hAnsi="Verdana"/>
          <w:sz w:val="24"/>
          <w:szCs w:val="24"/>
        </w:rPr>
        <w:t xml:space="preserve"> these circumstances I cannot find that the first respondent acted reasonably in opposing the confirmation of the </w:t>
      </w:r>
      <w:r w:rsidR="005318A1" w:rsidRPr="000459A8">
        <w:rPr>
          <w:rFonts w:ascii="Verdana" w:hAnsi="Verdana"/>
          <w:i/>
          <w:iCs/>
          <w:sz w:val="24"/>
          <w:szCs w:val="24"/>
        </w:rPr>
        <w:t>Rule Nisi</w:t>
      </w:r>
      <w:r w:rsidR="005318A1" w:rsidRPr="000459A8">
        <w:rPr>
          <w:rFonts w:ascii="Verdana" w:hAnsi="Verdana"/>
          <w:sz w:val="24"/>
          <w:szCs w:val="24"/>
        </w:rPr>
        <w:t>.</w:t>
      </w:r>
      <w:r w:rsidR="004A74DD" w:rsidRPr="000459A8">
        <w:rPr>
          <w:rFonts w:ascii="Verdana" w:hAnsi="Verdana"/>
          <w:sz w:val="24"/>
          <w:szCs w:val="24"/>
        </w:rPr>
        <w:t xml:space="preserve"> </w:t>
      </w:r>
      <w:r w:rsidR="005318A1" w:rsidRPr="000459A8">
        <w:rPr>
          <w:rFonts w:ascii="Verdana" w:hAnsi="Verdana"/>
          <w:sz w:val="24"/>
          <w:szCs w:val="24"/>
        </w:rPr>
        <w:t>Nor can I find in these circumstances that the applicant is partially responsible for causing confusion relating to the vehicle used by the deceased in his legal practice as an attorney.</w:t>
      </w:r>
    </w:p>
    <w:p w14:paraId="54D8CE83" w14:textId="77777777" w:rsidR="0051370E" w:rsidRPr="0051370E" w:rsidRDefault="0051370E" w:rsidP="006B3021">
      <w:pPr>
        <w:pStyle w:val="ListParagraph"/>
        <w:jc w:val="both"/>
        <w:rPr>
          <w:rFonts w:ascii="Verdana" w:hAnsi="Verdana"/>
          <w:sz w:val="24"/>
          <w:szCs w:val="24"/>
        </w:rPr>
      </w:pPr>
    </w:p>
    <w:p w14:paraId="451BC170" w14:textId="6B94F8F1" w:rsidR="0051370E"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24.</w:t>
      </w:r>
      <w:r>
        <w:rPr>
          <w:rFonts w:ascii="Verdana" w:hAnsi="Verdana"/>
          <w:sz w:val="24"/>
          <w:szCs w:val="24"/>
        </w:rPr>
        <w:tab/>
      </w:r>
      <w:r w:rsidR="0051370E" w:rsidRPr="000459A8">
        <w:rPr>
          <w:rFonts w:ascii="Verdana" w:hAnsi="Verdana"/>
          <w:sz w:val="24"/>
          <w:szCs w:val="24"/>
        </w:rPr>
        <w:t>Further, in considering the exercise of this court’s discretion, it is necessary to look to the nature and function of the LPC. The LPC is a body created by statute</w:t>
      </w:r>
      <w:r w:rsidR="0051370E">
        <w:rPr>
          <w:rStyle w:val="FootnoteReference"/>
          <w:rFonts w:ascii="Verdana" w:hAnsi="Verdana"/>
          <w:sz w:val="24"/>
          <w:szCs w:val="24"/>
        </w:rPr>
        <w:footnoteReference w:id="4"/>
      </w:r>
      <w:r w:rsidR="0051370E" w:rsidRPr="000459A8">
        <w:rPr>
          <w:rFonts w:ascii="Verdana" w:hAnsi="Verdana"/>
          <w:sz w:val="24"/>
          <w:szCs w:val="24"/>
        </w:rPr>
        <w:t xml:space="preserve">. It has </w:t>
      </w:r>
      <w:proofErr w:type="gramStart"/>
      <w:r w:rsidR="0051370E" w:rsidRPr="000459A8">
        <w:rPr>
          <w:rFonts w:ascii="Verdana" w:hAnsi="Verdana"/>
          <w:sz w:val="24"/>
          <w:szCs w:val="24"/>
        </w:rPr>
        <w:t>a number of</w:t>
      </w:r>
      <w:proofErr w:type="gramEnd"/>
      <w:r w:rsidR="0051370E" w:rsidRPr="000459A8">
        <w:rPr>
          <w:rFonts w:ascii="Verdana" w:hAnsi="Verdana"/>
          <w:sz w:val="24"/>
          <w:szCs w:val="24"/>
        </w:rPr>
        <w:t xml:space="preserve"> objectives and functions set out in the relevant statute.</w:t>
      </w:r>
      <w:r w:rsidR="00A03844" w:rsidRPr="000459A8">
        <w:rPr>
          <w:rFonts w:ascii="Verdana" w:hAnsi="Verdana"/>
          <w:sz w:val="24"/>
          <w:szCs w:val="24"/>
        </w:rPr>
        <w:t xml:space="preserve"> Amongst those functions the LPC is to protect the public interest and regulate the profession</w:t>
      </w:r>
      <w:r w:rsidR="00A03844">
        <w:rPr>
          <w:rStyle w:val="FootnoteReference"/>
          <w:rFonts w:ascii="Verdana" w:hAnsi="Verdana"/>
          <w:sz w:val="24"/>
          <w:szCs w:val="24"/>
        </w:rPr>
        <w:footnoteReference w:id="5"/>
      </w:r>
      <w:r w:rsidR="00A03844" w:rsidRPr="000459A8">
        <w:rPr>
          <w:rFonts w:ascii="Verdana" w:hAnsi="Verdana"/>
          <w:sz w:val="24"/>
          <w:szCs w:val="24"/>
        </w:rPr>
        <w:t>.</w:t>
      </w:r>
      <w:r w:rsidR="0051370E" w:rsidRPr="000459A8">
        <w:rPr>
          <w:rFonts w:ascii="Verdana" w:hAnsi="Verdana"/>
          <w:sz w:val="24"/>
          <w:szCs w:val="24"/>
        </w:rPr>
        <w:t xml:space="preserve"> </w:t>
      </w:r>
      <w:r w:rsidR="00A03844" w:rsidRPr="000459A8">
        <w:rPr>
          <w:rFonts w:ascii="Verdana" w:hAnsi="Verdana"/>
          <w:sz w:val="24"/>
          <w:szCs w:val="24"/>
        </w:rPr>
        <w:t xml:space="preserve">Although certain allegations were made and aspersions cast against both the Director and Mr Groenewaldt, there was no evidence to substantiate these. On the contrary, the evidence shows that the application before us was brought in the public interest to protect the litigating public in the form of the clients of the deceased’s firm, the profession and the deceased’s firm.  </w:t>
      </w:r>
      <w:r w:rsidR="0051370E" w:rsidRPr="000459A8">
        <w:rPr>
          <w:rFonts w:ascii="Verdana" w:hAnsi="Verdana"/>
          <w:sz w:val="24"/>
          <w:szCs w:val="24"/>
        </w:rPr>
        <w:t xml:space="preserve"> </w:t>
      </w:r>
    </w:p>
    <w:p w14:paraId="612F172F" w14:textId="77777777" w:rsidR="005318A1" w:rsidRPr="005318A1" w:rsidRDefault="005318A1" w:rsidP="006B3021">
      <w:pPr>
        <w:pStyle w:val="ListParagraph"/>
        <w:jc w:val="both"/>
        <w:rPr>
          <w:rFonts w:ascii="Verdana" w:hAnsi="Verdana"/>
          <w:sz w:val="24"/>
          <w:szCs w:val="24"/>
        </w:rPr>
      </w:pPr>
    </w:p>
    <w:p w14:paraId="7E82CDE3" w14:textId="35E084DA" w:rsidR="000E1EE9"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25.</w:t>
      </w:r>
      <w:r>
        <w:rPr>
          <w:rFonts w:ascii="Verdana" w:hAnsi="Verdana"/>
          <w:sz w:val="24"/>
          <w:szCs w:val="24"/>
        </w:rPr>
        <w:tab/>
      </w:r>
      <w:r w:rsidR="005318A1" w:rsidRPr="000459A8">
        <w:rPr>
          <w:rFonts w:ascii="Verdana" w:hAnsi="Verdana"/>
          <w:sz w:val="24"/>
          <w:szCs w:val="24"/>
        </w:rPr>
        <w:t xml:space="preserve">There were times when the first respondent had legal representation but there were also times when she stood alone as a lay person. </w:t>
      </w:r>
      <w:r w:rsidR="005318A1" w:rsidRPr="000459A8">
        <w:rPr>
          <w:rFonts w:ascii="Verdana" w:hAnsi="Verdana"/>
          <w:sz w:val="24"/>
          <w:szCs w:val="24"/>
        </w:rPr>
        <w:lastRenderedPageBreak/>
        <w:t xml:space="preserve">Allegations were made by the first respondent against Mr Groenewaldt that he was conflicted in this matter as he had acted for the deceased in at least two matters. It is clear from the first respondent who was not represented at that time that she regarded </w:t>
      </w:r>
      <w:r w:rsidR="00334DA9" w:rsidRPr="000459A8">
        <w:rPr>
          <w:rFonts w:ascii="Verdana" w:hAnsi="Verdana"/>
          <w:sz w:val="24"/>
          <w:szCs w:val="24"/>
        </w:rPr>
        <w:t>Mr</w:t>
      </w:r>
      <w:r w:rsidR="005318A1" w:rsidRPr="000459A8">
        <w:rPr>
          <w:rFonts w:ascii="Verdana" w:hAnsi="Verdana"/>
          <w:sz w:val="24"/>
          <w:szCs w:val="24"/>
        </w:rPr>
        <w:t xml:space="preserve"> </w:t>
      </w:r>
      <w:proofErr w:type="spellStart"/>
      <w:r w:rsidR="005318A1" w:rsidRPr="000459A8">
        <w:rPr>
          <w:rFonts w:ascii="Verdana" w:hAnsi="Verdana"/>
          <w:sz w:val="24"/>
          <w:szCs w:val="24"/>
        </w:rPr>
        <w:t>Groenewaldt’s</w:t>
      </w:r>
      <w:proofErr w:type="spellEnd"/>
      <w:r w:rsidR="005318A1" w:rsidRPr="000459A8">
        <w:rPr>
          <w:rFonts w:ascii="Verdana" w:hAnsi="Verdana"/>
          <w:sz w:val="24"/>
          <w:szCs w:val="24"/>
        </w:rPr>
        <w:t xml:space="preserve"> taking of this case on behalf of the LPC as a personal betrayal by Mr Groenewaldt. </w:t>
      </w:r>
    </w:p>
    <w:p w14:paraId="7B2170DA" w14:textId="77777777" w:rsidR="000E1EE9" w:rsidRPr="000E1EE9" w:rsidRDefault="000E1EE9" w:rsidP="006B3021">
      <w:pPr>
        <w:pStyle w:val="ListParagraph"/>
        <w:jc w:val="both"/>
        <w:rPr>
          <w:rFonts w:ascii="Verdana" w:hAnsi="Verdana"/>
          <w:sz w:val="24"/>
          <w:szCs w:val="24"/>
        </w:rPr>
      </w:pPr>
    </w:p>
    <w:p w14:paraId="5866DE2B" w14:textId="3E3CB791" w:rsidR="00FB7A25"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26.</w:t>
      </w:r>
      <w:r>
        <w:rPr>
          <w:rFonts w:ascii="Verdana" w:hAnsi="Verdana"/>
          <w:sz w:val="24"/>
          <w:szCs w:val="24"/>
        </w:rPr>
        <w:tab/>
      </w:r>
      <w:r w:rsidR="005318A1" w:rsidRPr="000459A8">
        <w:rPr>
          <w:rFonts w:ascii="Verdana" w:hAnsi="Verdana"/>
          <w:sz w:val="24"/>
          <w:szCs w:val="24"/>
        </w:rPr>
        <w:t xml:space="preserve">Mr </w:t>
      </w:r>
      <w:proofErr w:type="spellStart"/>
      <w:r w:rsidR="005318A1" w:rsidRPr="000459A8">
        <w:rPr>
          <w:rFonts w:ascii="Verdana" w:hAnsi="Verdana"/>
          <w:sz w:val="24"/>
          <w:szCs w:val="24"/>
        </w:rPr>
        <w:t>Groenewaldt</w:t>
      </w:r>
      <w:proofErr w:type="spellEnd"/>
      <w:r w:rsidR="005318A1" w:rsidRPr="000459A8">
        <w:rPr>
          <w:rFonts w:ascii="Verdana" w:hAnsi="Verdana"/>
          <w:sz w:val="24"/>
          <w:szCs w:val="24"/>
        </w:rPr>
        <w:t xml:space="preserve"> dealt with this contention comprehensively and showed that</w:t>
      </w:r>
      <w:r w:rsidR="000E1EE9" w:rsidRPr="000459A8">
        <w:rPr>
          <w:rFonts w:ascii="Verdana" w:hAnsi="Verdana"/>
          <w:sz w:val="24"/>
          <w:szCs w:val="24"/>
        </w:rPr>
        <w:t xml:space="preserve"> the</w:t>
      </w:r>
      <w:r w:rsidR="005318A1" w:rsidRPr="000459A8">
        <w:rPr>
          <w:rFonts w:ascii="Verdana" w:hAnsi="Verdana"/>
          <w:sz w:val="24"/>
          <w:szCs w:val="24"/>
        </w:rPr>
        <w:t xml:space="preserve"> </w:t>
      </w:r>
      <w:r w:rsidR="00FB7A25" w:rsidRPr="000459A8">
        <w:rPr>
          <w:rFonts w:ascii="Verdana" w:hAnsi="Verdana"/>
          <w:sz w:val="24"/>
          <w:szCs w:val="24"/>
        </w:rPr>
        <w:t xml:space="preserve">two matters concerned were so far removed </w:t>
      </w:r>
      <w:r w:rsidR="000E1EE9" w:rsidRPr="000459A8">
        <w:rPr>
          <w:rFonts w:ascii="Verdana" w:hAnsi="Verdana"/>
          <w:sz w:val="24"/>
          <w:szCs w:val="24"/>
        </w:rPr>
        <w:t xml:space="preserve">from the facts of the present case </w:t>
      </w:r>
      <w:r w:rsidR="00FB7A25" w:rsidRPr="000459A8">
        <w:rPr>
          <w:rFonts w:ascii="Verdana" w:hAnsi="Verdana"/>
          <w:sz w:val="24"/>
          <w:szCs w:val="24"/>
        </w:rPr>
        <w:t>that there could be no question of confidences entrusted to him being used to the disadvantage of the first respondent. Therefore, there was no conflict of interest.</w:t>
      </w:r>
    </w:p>
    <w:p w14:paraId="7D660ED4" w14:textId="77777777" w:rsidR="00FB7A25" w:rsidRPr="00FB7A25" w:rsidRDefault="00FB7A25" w:rsidP="006B3021">
      <w:pPr>
        <w:pStyle w:val="ListParagraph"/>
        <w:jc w:val="both"/>
        <w:rPr>
          <w:rFonts w:ascii="Verdana" w:hAnsi="Verdana"/>
          <w:sz w:val="24"/>
          <w:szCs w:val="24"/>
        </w:rPr>
      </w:pPr>
    </w:p>
    <w:p w14:paraId="173A59DC" w14:textId="4E7320AD" w:rsidR="00FB7A25"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27.</w:t>
      </w:r>
      <w:r>
        <w:rPr>
          <w:rFonts w:ascii="Verdana" w:hAnsi="Verdana"/>
          <w:sz w:val="24"/>
          <w:szCs w:val="24"/>
        </w:rPr>
        <w:tab/>
      </w:r>
      <w:r w:rsidR="00FB7A25" w:rsidRPr="000459A8">
        <w:rPr>
          <w:rFonts w:ascii="Verdana" w:hAnsi="Verdana"/>
          <w:sz w:val="24"/>
          <w:szCs w:val="24"/>
        </w:rPr>
        <w:t>I can understand that a lay person in these circumstances would feel personally betrayed and injured. However, on the facts there is no basis for me to exercise my discretion to depart from the general rule</w:t>
      </w:r>
      <w:r w:rsidR="000E1EE9" w:rsidRPr="000459A8">
        <w:rPr>
          <w:rFonts w:ascii="Verdana" w:hAnsi="Verdana"/>
          <w:sz w:val="24"/>
          <w:szCs w:val="24"/>
        </w:rPr>
        <w:t xml:space="preserve"> on the question of costs</w:t>
      </w:r>
      <w:r w:rsidR="00FB7A25" w:rsidRPr="000459A8">
        <w:rPr>
          <w:rFonts w:ascii="Verdana" w:hAnsi="Verdana"/>
          <w:sz w:val="24"/>
          <w:szCs w:val="24"/>
        </w:rPr>
        <w:t>.</w:t>
      </w:r>
    </w:p>
    <w:p w14:paraId="34960040" w14:textId="77777777" w:rsidR="00FB7A25" w:rsidRPr="00FB7A25" w:rsidRDefault="00FB7A25" w:rsidP="006B3021">
      <w:pPr>
        <w:pStyle w:val="ListParagraph"/>
        <w:jc w:val="both"/>
        <w:rPr>
          <w:rFonts w:ascii="Verdana" w:hAnsi="Verdana"/>
          <w:sz w:val="24"/>
          <w:szCs w:val="24"/>
        </w:rPr>
      </w:pPr>
    </w:p>
    <w:p w14:paraId="0B39DAD4" w14:textId="769CB151" w:rsidR="00FB7A25"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28.</w:t>
      </w:r>
      <w:r>
        <w:rPr>
          <w:rFonts w:ascii="Verdana" w:hAnsi="Verdana"/>
          <w:sz w:val="24"/>
          <w:szCs w:val="24"/>
        </w:rPr>
        <w:tab/>
      </w:r>
      <w:r w:rsidR="00FB7A25" w:rsidRPr="000459A8">
        <w:rPr>
          <w:rFonts w:ascii="Verdana" w:hAnsi="Verdana"/>
          <w:sz w:val="24"/>
          <w:szCs w:val="24"/>
        </w:rPr>
        <w:t>There were four postponements in this matter for the most part costs relating to these postponements were reserved. Having regard to the order I intend making on the costs generally, the record of who requested these postponements and the reasons for such postponements, there would be no prejudice to either party if they were simply made costs in the cause.</w:t>
      </w:r>
    </w:p>
    <w:p w14:paraId="458CBEF2" w14:textId="77777777" w:rsidR="00FB7A25" w:rsidRPr="00FB7A25" w:rsidRDefault="00FB7A25" w:rsidP="006B3021">
      <w:pPr>
        <w:pStyle w:val="ListParagraph"/>
        <w:jc w:val="both"/>
        <w:rPr>
          <w:rFonts w:ascii="Verdana" w:hAnsi="Verdana"/>
          <w:sz w:val="24"/>
          <w:szCs w:val="24"/>
        </w:rPr>
      </w:pPr>
    </w:p>
    <w:p w14:paraId="16BC1C29" w14:textId="7C1118B9" w:rsidR="00FB7A25" w:rsidRPr="000459A8" w:rsidRDefault="000459A8" w:rsidP="000459A8">
      <w:pPr>
        <w:spacing w:line="480" w:lineRule="auto"/>
        <w:ind w:left="360" w:hanging="360"/>
        <w:jc w:val="both"/>
        <w:rPr>
          <w:rFonts w:ascii="Verdana" w:hAnsi="Verdana"/>
          <w:sz w:val="24"/>
          <w:szCs w:val="24"/>
        </w:rPr>
      </w:pPr>
      <w:r>
        <w:rPr>
          <w:rFonts w:ascii="Verdana" w:hAnsi="Verdana"/>
          <w:sz w:val="24"/>
          <w:szCs w:val="24"/>
        </w:rPr>
        <w:t>29.</w:t>
      </w:r>
      <w:r>
        <w:rPr>
          <w:rFonts w:ascii="Verdana" w:hAnsi="Verdana"/>
          <w:sz w:val="24"/>
          <w:szCs w:val="24"/>
        </w:rPr>
        <w:tab/>
      </w:r>
      <w:r w:rsidR="00FB7A25" w:rsidRPr="000459A8">
        <w:rPr>
          <w:rFonts w:ascii="Verdana" w:hAnsi="Verdana"/>
          <w:sz w:val="24"/>
          <w:szCs w:val="24"/>
        </w:rPr>
        <w:t xml:space="preserve">In </w:t>
      </w:r>
      <w:proofErr w:type="gramStart"/>
      <w:r w:rsidR="00FB7A25" w:rsidRPr="000459A8">
        <w:rPr>
          <w:rFonts w:ascii="Verdana" w:hAnsi="Verdana"/>
          <w:sz w:val="24"/>
          <w:szCs w:val="24"/>
        </w:rPr>
        <w:t>all of</w:t>
      </w:r>
      <w:proofErr w:type="gramEnd"/>
      <w:r w:rsidR="00FB7A25" w:rsidRPr="000459A8">
        <w:rPr>
          <w:rFonts w:ascii="Verdana" w:hAnsi="Verdana"/>
          <w:sz w:val="24"/>
          <w:szCs w:val="24"/>
        </w:rPr>
        <w:t xml:space="preserve"> these circumstances, the applicant was substantially successful and there are no reasonable grounds to depart from the general rule that costs should follow the result.</w:t>
      </w:r>
    </w:p>
    <w:p w14:paraId="499107AB" w14:textId="77777777" w:rsidR="00FB7A25" w:rsidRPr="00FB7A25" w:rsidRDefault="00FB7A25" w:rsidP="006B3021">
      <w:pPr>
        <w:pStyle w:val="ListParagraph"/>
        <w:jc w:val="both"/>
        <w:rPr>
          <w:rFonts w:ascii="Verdana" w:hAnsi="Verdana"/>
          <w:sz w:val="24"/>
          <w:szCs w:val="24"/>
        </w:rPr>
      </w:pPr>
    </w:p>
    <w:p w14:paraId="08E82AEC" w14:textId="77777777" w:rsidR="00FB7A25" w:rsidRDefault="00FB7A25" w:rsidP="006B3021">
      <w:pPr>
        <w:spacing w:line="480" w:lineRule="auto"/>
        <w:jc w:val="both"/>
        <w:rPr>
          <w:rFonts w:ascii="Verdana" w:hAnsi="Verdana"/>
          <w:sz w:val="24"/>
          <w:szCs w:val="24"/>
        </w:rPr>
      </w:pPr>
      <w:r>
        <w:rPr>
          <w:rFonts w:ascii="Verdana" w:hAnsi="Verdana"/>
          <w:sz w:val="24"/>
          <w:szCs w:val="24"/>
        </w:rPr>
        <w:t>Accordingly, the following order is made:</w:t>
      </w:r>
    </w:p>
    <w:p w14:paraId="78B5EA1B" w14:textId="48305733" w:rsidR="00FB7A25" w:rsidRPr="000459A8" w:rsidRDefault="000459A8" w:rsidP="000459A8">
      <w:pPr>
        <w:spacing w:line="480" w:lineRule="auto"/>
        <w:ind w:left="720" w:hanging="360"/>
        <w:jc w:val="both"/>
        <w:rPr>
          <w:rFonts w:ascii="Verdana" w:hAnsi="Verdana"/>
          <w:sz w:val="24"/>
          <w:szCs w:val="24"/>
        </w:rPr>
      </w:pPr>
      <w:r>
        <w:rPr>
          <w:rFonts w:ascii="Verdana" w:hAnsi="Verdana"/>
          <w:sz w:val="24"/>
          <w:szCs w:val="24"/>
        </w:rPr>
        <w:t>1)</w:t>
      </w:r>
      <w:r>
        <w:rPr>
          <w:rFonts w:ascii="Verdana" w:hAnsi="Verdana"/>
          <w:sz w:val="24"/>
          <w:szCs w:val="24"/>
        </w:rPr>
        <w:tab/>
      </w:r>
      <w:r w:rsidR="00FB7A25" w:rsidRPr="000459A8">
        <w:rPr>
          <w:rFonts w:ascii="Verdana" w:hAnsi="Verdana"/>
          <w:sz w:val="24"/>
          <w:szCs w:val="24"/>
        </w:rPr>
        <w:t>The applicant is awarded costs against the first respondent on the ordinary party and party scale.</w:t>
      </w:r>
    </w:p>
    <w:p w14:paraId="1BB475A3" w14:textId="0F152F16" w:rsidR="002903E7" w:rsidRPr="000459A8" w:rsidRDefault="000459A8" w:rsidP="000459A8">
      <w:pPr>
        <w:spacing w:line="480" w:lineRule="auto"/>
        <w:ind w:left="720" w:hanging="360"/>
        <w:jc w:val="both"/>
        <w:rPr>
          <w:rFonts w:ascii="Verdana" w:hAnsi="Verdana"/>
          <w:sz w:val="24"/>
          <w:szCs w:val="24"/>
        </w:rPr>
      </w:pPr>
      <w:r>
        <w:rPr>
          <w:rFonts w:ascii="Verdana" w:hAnsi="Verdana"/>
          <w:sz w:val="24"/>
          <w:szCs w:val="24"/>
        </w:rPr>
        <w:t>2)</w:t>
      </w:r>
      <w:r>
        <w:rPr>
          <w:rFonts w:ascii="Verdana" w:hAnsi="Verdana"/>
          <w:sz w:val="24"/>
          <w:szCs w:val="24"/>
        </w:rPr>
        <w:tab/>
      </w:r>
      <w:r w:rsidR="002903E7" w:rsidRPr="000459A8">
        <w:rPr>
          <w:rFonts w:ascii="Verdana" w:hAnsi="Verdana"/>
          <w:sz w:val="24"/>
          <w:szCs w:val="24"/>
        </w:rPr>
        <w:t>The costs of the postponement</w:t>
      </w:r>
      <w:r w:rsidR="00AA4D23" w:rsidRPr="000459A8">
        <w:rPr>
          <w:rFonts w:ascii="Verdana" w:hAnsi="Verdana"/>
          <w:sz w:val="24"/>
          <w:szCs w:val="24"/>
        </w:rPr>
        <w:t>s</w:t>
      </w:r>
      <w:r w:rsidR="002903E7" w:rsidRPr="000459A8">
        <w:rPr>
          <w:rFonts w:ascii="Verdana" w:hAnsi="Verdana"/>
          <w:sz w:val="24"/>
          <w:szCs w:val="24"/>
        </w:rPr>
        <w:t xml:space="preserve"> are to be costs in the cause</w:t>
      </w:r>
      <w:r w:rsidR="004F2DD0" w:rsidRPr="000459A8">
        <w:rPr>
          <w:rFonts w:ascii="Verdana" w:hAnsi="Verdana"/>
          <w:sz w:val="24"/>
          <w:szCs w:val="24"/>
        </w:rPr>
        <w:t>.</w:t>
      </w:r>
    </w:p>
    <w:p w14:paraId="520D9641" w14:textId="77777777" w:rsidR="00FB7A25" w:rsidRDefault="00FB7A25" w:rsidP="006B3021">
      <w:pPr>
        <w:spacing w:line="480" w:lineRule="auto"/>
        <w:jc w:val="both"/>
        <w:rPr>
          <w:rFonts w:ascii="Verdana" w:hAnsi="Verdana"/>
          <w:sz w:val="24"/>
          <w:szCs w:val="24"/>
        </w:rPr>
      </w:pPr>
    </w:p>
    <w:p w14:paraId="384186D5" w14:textId="77777777" w:rsidR="00FB7A25" w:rsidRDefault="00FB7A25" w:rsidP="006B3021">
      <w:pPr>
        <w:spacing w:after="0" w:line="240" w:lineRule="auto"/>
        <w:jc w:val="both"/>
        <w:rPr>
          <w:rFonts w:ascii="Verdana" w:hAnsi="Verdana"/>
          <w:sz w:val="24"/>
          <w:szCs w:val="24"/>
        </w:rPr>
      </w:pPr>
      <w:r>
        <w:rPr>
          <w:rFonts w:ascii="Verdana" w:hAnsi="Verdana"/>
          <w:sz w:val="24"/>
          <w:szCs w:val="24"/>
        </w:rPr>
        <w:t>________________</w:t>
      </w:r>
    </w:p>
    <w:p w14:paraId="2B17DEC7" w14:textId="77777777" w:rsidR="00FB7A25" w:rsidRDefault="00FB7A25" w:rsidP="006B3021">
      <w:pPr>
        <w:spacing w:after="0" w:line="240" w:lineRule="auto"/>
        <w:jc w:val="both"/>
        <w:rPr>
          <w:rFonts w:ascii="Verdana" w:hAnsi="Verdana"/>
          <w:sz w:val="24"/>
          <w:szCs w:val="24"/>
        </w:rPr>
      </w:pPr>
      <w:r>
        <w:rPr>
          <w:rFonts w:ascii="Verdana" w:hAnsi="Verdana"/>
          <w:sz w:val="24"/>
          <w:szCs w:val="24"/>
        </w:rPr>
        <w:t>Lawrence Lever</w:t>
      </w:r>
    </w:p>
    <w:p w14:paraId="69945FB3" w14:textId="77777777" w:rsidR="006B3021" w:rsidRDefault="00FB7A25" w:rsidP="006B3021">
      <w:pPr>
        <w:spacing w:after="0" w:line="240" w:lineRule="auto"/>
        <w:jc w:val="both"/>
        <w:rPr>
          <w:rFonts w:ascii="Verdana" w:hAnsi="Verdana"/>
          <w:sz w:val="24"/>
          <w:szCs w:val="24"/>
        </w:rPr>
      </w:pPr>
      <w:r>
        <w:rPr>
          <w:rFonts w:ascii="Verdana" w:hAnsi="Verdana"/>
          <w:sz w:val="24"/>
          <w:szCs w:val="24"/>
        </w:rPr>
        <w:t>Judge</w:t>
      </w:r>
    </w:p>
    <w:p w14:paraId="2B2FBB3F" w14:textId="7036C4EA" w:rsidR="005318A1" w:rsidRPr="00FB7A25" w:rsidRDefault="00FB7A25" w:rsidP="006B3021">
      <w:pPr>
        <w:spacing w:after="0" w:line="240" w:lineRule="auto"/>
        <w:jc w:val="both"/>
        <w:rPr>
          <w:rFonts w:ascii="Verdana" w:hAnsi="Verdana"/>
          <w:sz w:val="24"/>
          <w:szCs w:val="24"/>
        </w:rPr>
      </w:pPr>
      <w:r>
        <w:rPr>
          <w:rFonts w:ascii="Verdana" w:hAnsi="Verdana"/>
          <w:sz w:val="24"/>
          <w:szCs w:val="24"/>
        </w:rPr>
        <w:t>Northern Cape Division</w:t>
      </w:r>
      <w:r w:rsidR="006B3021">
        <w:rPr>
          <w:rFonts w:ascii="Verdana" w:hAnsi="Verdana"/>
          <w:sz w:val="24"/>
          <w:szCs w:val="24"/>
        </w:rPr>
        <w:t>, Kimberley</w:t>
      </w:r>
      <w:r w:rsidRPr="00FB7A25">
        <w:rPr>
          <w:rFonts w:ascii="Verdana" w:hAnsi="Verdana"/>
          <w:sz w:val="24"/>
          <w:szCs w:val="24"/>
        </w:rPr>
        <w:t xml:space="preserve"> </w:t>
      </w:r>
    </w:p>
    <w:p w14:paraId="480A873B" w14:textId="77777777" w:rsidR="004D7E08" w:rsidRDefault="004D7E08" w:rsidP="006B3021">
      <w:pPr>
        <w:pStyle w:val="ListParagraph"/>
        <w:spacing w:line="480" w:lineRule="auto"/>
        <w:ind w:left="360"/>
        <w:jc w:val="both"/>
        <w:rPr>
          <w:rFonts w:ascii="Verdana" w:hAnsi="Verdana"/>
          <w:sz w:val="24"/>
          <w:szCs w:val="24"/>
        </w:rPr>
      </w:pPr>
    </w:p>
    <w:p w14:paraId="049591FE" w14:textId="119055C6" w:rsidR="009F7684" w:rsidRDefault="00FB7A25" w:rsidP="006B3021">
      <w:pPr>
        <w:spacing w:line="480" w:lineRule="auto"/>
        <w:jc w:val="both"/>
        <w:rPr>
          <w:rFonts w:ascii="Verdana" w:hAnsi="Verdana"/>
          <w:sz w:val="24"/>
          <w:szCs w:val="24"/>
        </w:rPr>
      </w:pPr>
      <w:r>
        <w:rPr>
          <w:rFonts w:ascii="Verdana" w:hAnsi="Verdana"/>
          <w:sz w:val="24"/>
          <w:szCs w:val="24"/>
        </w:rPr>
        <w:t>I agree,</w:t>
      </w:r>
    </w:p>
    <w:p w14:paraId="5DCC3259" w14:textId="77777777" w:rsidR="00FB7A25" w:rsidRDefault="00FB7A25" w:rsidP="006B3021">
      <w:pPr>
        <w:spacing w:line="240" w:lineRule="auto"/>
        <w:jc w:val="both"/>
        <w:rPr>
          <w:rFonts w:ascii="Verdana" w:hAnsi="Verdana"/>
          <w:sz w:val="24"/>
          <w:szCs w:val="24"/>
        </w:rPr>
      </w:pPr>
    </w:p>
    <w:p w14:paraId="0F5AE8F7" w14:textId="09E40737" w:rsidR="00FB7A25" w:rsidRDefault="00FB7A25" w:rsidP="006B3021">
      <w:pPr>
        <w:spacing w:after="0" w:line="240" w:lineRule="auto"/>
        <w:jc w:val="both"/>
        <w:rPr>
          <w:rFonts w:ascii="Verdana" w:hAnsi="Verdana"/>
          <w:sz w:val="24"/>
          <w:szCs w:val="24"/>
        </w:rPr>
      </w:pPr>
      <w:r>
        <w:rPr>
          <w:rFonts w:ascii="Verdana" w:hAnsi="Verdana"/>
          <w:sz w:val="24"/>
          <w:szCs w:val="24"/>
        </w:rPr>
        <w:t>_______________</w:t>
      </w:r>
    </w:p>
    <w:p w14:paraId="61CBBC29" w14:textId="79C23C57" w:rsidR="00FB7A25" w:rsidRDefault="000E1EE9" w:rsidP="006B3021">
      <w:pPr>
        <w:spacing w:after="0" w:line="240" w:lineRule="auto"/>
        <w:jc w:val="both"/>
        <w:rPr>
          <w:rFonts w:ascii="Verdana" w:hAnsi="Verdana"/>
          <w:sz w:val="24"/>
          <w:szCs w:val="24"/>
        </w:rPr>
      </w:pPr>
      <w:r>
        <w:rPr>
          <w:rFonts w:ascii="Verdana" w:hAnsi="Verdana"/>
          <w:sz w:val="24"/>
          <w:szCs w:val="24"/>
        </w:rPr>
        <w:t xml:space="preserve">P </w:t>
      </w:r>
      <w:proofErr w:type="spellStart"/>
      <w:r w:rsidR="00FB7A25">
        <w:rPr>
          <w:rFonts w:ascii="Verdana" w:hAnsi="Verdana"/>
          <w:sz w:val="24"/>
          <w:szCs w:val="24"/>
        </w:rPr>
        <w:t>Tlaletsi</w:t>
      </w:r>
      <w:proofErr w:type="spellEnd"/>
      <w:r w:rsidR="00FB7A25">
        <w:rPr>
          <w:rFonts w:ascii="Verdana" w:hAnsi="Verdana"/>
          <w:sz w:val="24"/>
          <w:szCs w:val="24"/>
        </w:rPr>
        <w:t xml:space="preserve"> </w:t>
      </w:r>
    </w:p>
    <w:p w14:paraId="04C1E12C" w14:textId="328B1D2B" w:rsidR="005168BD" w:rsidRDefault="005168BD" w:rsidP="006B3021">
      <w:pPr>
        <w:spacing w:after="0" w:line="240" w:lineRule="auto"/>
        <w:jc w:val="both"/>
        <w:rPr>
          <w:rFonts w:ascii="Verdana" w:hAnsi="Verdana"/>
          <w:sz w:val="24"/>
          <w:szCs w:val="24"/>
        </w:rPr>
      </w:pPr>
      <w:r>
        <w:rPr>
          <w:rFonts w:ascii="Verdana" w:hAnsi="Verdana"/>
          <w:sz w:val="24"/>
          <w:szCs w:val="24"/>
        </w:rPr>
        <w:t>Judge President</w:t>
      </w:r>
    </w:p>
    <w:p w14:paraId="6F91BA4E" w14:textId="4F5B40D2" w:rsidR="00FB7A25" w:rsidRDefault="00FB7A25" w:rsidP="006B3021">
      <w:pPr>
        <w:spacing w:after="0" w:line="240" w:lineRule="auto"/>
        <w:jc w:val="both"/>
        <w:rPr>
          <w:rFonts w:ascii="Verdana" w:hAnsi="Verdana"/>
          <w:sz w:val="24"/>
          <w:szCs w:val="24"/>
        </w:rPr>
      </w:pPr>
      <w:r>
        <w:rPr>
          <w:rFonts w:ascii="Verdana" w:hAnsi="Verdana"/>
          <w:sz w:val="24"/>
          <w:szCs w:val="24"/>
        </w:rPr>
        <w:t>Northern Cape</w:t>
      </w:r>
      <w:r w:rsidR="006B3021">
        <w:rPr>
          <w:rFonts w:ascii="Verdana" w:hAnsi="Verdana"/>
          <w:sz w:val="24"/>
          <w:szCs w:val="24"/>
        </w:rPr>
        <w:t xml:space="preserve"> </w:t>
      </w:r>
      <w:r>
        <w:rPr>
          <w:rFonts w:ascii="Verdana" w:hAnsi="Verdana"/>
          <w:sz w:val="24"/>
          <w:szCs w:val="24"/>
        </w:rPr>
        <w:t>Division</w:t>
      </w:r>
      <w:r w:rsidR="006B3021">
        <w:rPr>
          <w:rFonts w:ascii="Verdana" w:hAnsi="Verdana"/>
          <w:sz w:val="24"/>
          <w:szCs w:val="24"/>
        </w:rPr>
        <w:t>, Kimberley</w:t>
      </w:r>
    </w:p>
    <w:p w14:paraId="5567C5AE" w14:textId="77777777" w:rsidR="00FB7A25" w:rsidRDefault="00FB7A25" w:rsidP="006B3021">
      <w:pPr>
        <w:spacing w:line="240" w:lineRule="auto"/>
        <w:jc w:val="both"/>
        <w:rPr>
          <w:rFonts w:ascii="Verdana" w:hAnsi="Verdana"/>
          <w:sz w:val="24"/>
          <w:szCs w:val="24"/>
        </w:rPr>
      </w:pPr>
    </w:p>
    <w:p w14:paraId="1362A7C8" w14:textId="77777777" w:rsidR="000E1EE9" w:rsidRDefault="000E1EE9" w:rsidP="006B3021">
      <w:pPr>
        <w:spacing w:line="240" w:lineRule="auto"/>
        <w:jc w:val="both"/>
        <w:rPr>
          <w:rFonts w:ascii="Verdana" w:hAnsi="Verdana"/>
          <w:sz w:val="24"/>
          <w:szCs w:val="24"/>
        </w:rPr>
      </w:pPr>
    </w:p>
    <w:p w14:paraId="6BFED85F" w14:textId="44473C7E" w:rsidR="005168BD" w:rsidRDefault="005168BD" w:rsidP="006B3021">
      <w:pPr>
        <w:spacing w:line="240" w:lineRule="auto"/>
        <w:jc w:val="both"/>
        <w:rPr>
          <w:rFonts w:ascii="Verdana" w:hAnsi="Verdana"/>
          <w:sz w:val="24"/>
          <w:szCs w:val="24"/>
        </w:rPr>
      </w:pPr>
      <w:r>
        <w:rPr>
          <w:rFonts w:ascii="Verdana" w:hAnsi="Verdana"/>
          <w:sz w:val="24"/>
          <w:szCs w:val="24"/>
        </w:rPr>
        <w:t>I agree,</w:t>
      </w:r>
    </w:p>
    <w:p w14:paraId="24F4A932" w14:textId="7C8F0CB5" w:rsidR="005168BD" w:rsidRDefault="005168BD" w:rsidP="006B3021">
      <w:pPr>
        <w:spacing w:line="240" w:lineRule="auto"/>
        <w:jc w:val="both"/>
        <w:rPr>
          <w:rFonts w:ascii="Verdana" w:hAnsi="Verdana"/>
          <w:sz w:val="24"/>
          <w:szCs w:val="24"/>
        </w:rPr>
      </w:pPr>
    </w:p>
    <w:p w14:paraId="16E77836" w14:textId="77777777" w:rsidR="006B3021" w:rsidRDefault="006B3021" w:rsidP="006B3021">
      <w:pPr>
        <w:spacing w:line="240" w:lineRule="auto"/>
        <w:jc w:val="both"/>
        <w:rPr>
          <w:rFonts w:ascii="Verdana" w:hAnsi="Verdana"/>
          <w:sz w:val="24"/>
          <w:szCs w:val="24"/>
        </w:rPr>
      </w:pPr>
    </w:p>
    <w:p w14:paraId="5E1EB160" w14:textId="12A1171B" w:rsidR="005168BD" w:rsidRDefault="005168BD" w:rsidP="006B3021">
      <w:pPr>
        <w:spacing w:after="0" w:line="240" w:lineRule="auto"/>
        <w:jc w:val="both"/>
        <w:rPr>
          <w:rFonts w:ascii="Verdana" w:hAnsi="Verdana"/>
          <w:sz w:val="24"/>
          <w:szCs w:val="24"/>
        </w:rPr>
      </w:pPr>
      <w:r>
        <w:rPr>
          <w:rFonts w:ascii="Verdana" w:hAnsi="Verdana"/>
          <w:sz w:val="24"/>
          <w:szCs w:val="24"/>
        </w:rPr>
        <w:t>_____________</w:t>
      </w:r>
      <w:r w:rsidR="00561682">
        <w:rPr>
          <w:rFonts w:ascii="Verdana" w:hAnsi="Verdana"/>
          <w:sz w:val="24"/>
          <w:szCs w:val="24"/>
        </w:rPr>
        <w:t>__</w:t>
      </w:r>
    </w:p>
    <w:p w14:paraId="3C30491E" w14:textId="1FF65C51" w:rsidR="005168BD" w:rsidRDefault="005168BD" w:rsidP="006B3021">
      <w:pPr>
        <w:spacing w:after="0" w:line="240" w:lineRule="auto"/>
        <w:jc w:val="both"/>
        <w:rPr>
          <w:rFonts w:ascii="Verdana" w:hAnsi="Verdana"/>
          <w:sz w:val="24"/>
          <w:szCs w:val="24"/>
        </w:rPr>
      </w:pPr>
      <w:r>
        <w:rPr>
          <w:rFonts w:ascii="Verdana" w:hAnsi="Verdana"/>
          <w:sz w:val="24"/>
          <w:szCs w:val="24"/>
        </w:rPr>
        <w:t>C Williams</w:t>
      </w:r>
    </w:p>
    <w:p w14:paraId="444D2752" w14:textId="47F329BC" w:rsidR="005168BD" w:rsidRDefault="005168BD" w:rsidP="006B3021">
      <w:pPr>
        <w:spacing w:after="0" w:line="240" w:lineRule="auto"/>
        <w:jc w:val="both"/>
        <w:rPr>
          <w:rFonts w:ascii="Verdana" w:hAnsi="Verdana"/>
          <w:sz w:val="24"/>
          <w:szCs w:val="24"/>
        </w:rPr>
      </w:pPr>
      <w:r>
        <w:rPr>
          <w:rFonts w:ascii="Verdana" w:hAnsi="Verdana"/>
          <w:sz w:val="24"/>
          <w:szCs w:val="24"/>
        </w:rPr>
        <w:t>Judge</w:t>
      </w:r>
    </w:p>
    <w:p w14:paraId="72A6DC04" w14:textId="2C366374" w:rsidR="005168BD" w:rsidRDefault="005168BD" w:rsidP="006B3021">
      <w:pPr>
        <w:spacing w:after="0" w:line="240" w:lineRule="auto"/>
        <w:jc w:val="both"/>
        <w:rPr>
          <w:rFonts w:ascii="Verdana" w:hAnsi="Verdana"/>
          <w:sz w:val="24"/>
          <w:szCs w:val="24"/>
        </w:rPr>
      </w:pPr>
      <w:r>
        <w:rPr>
          <w:rFonts w:ascii="Verdana" w:hAnsi="Verdana"/>
          <w:sz w:val="24"/>
          <w:szCs w:val="24"/>
        </w:rPr>
        <w:lastRenderedPageBreak/>
        <w:t>Northern Cape</w:t>
      </w:r>
      <w:r w:rsidR="006B3021">
        <w:rPr>
          <w:rFonts w:ascii="Verdana" w:hAnsi="Verdana"/>
          <w:sz w:val="24"/>
          <w:szCs w:val="24"/>
        </w:rPr>
        <w:t xml:space="preserve"> </w:t>
      </w:r>
      <w:r>
        <w:rPr>
          <w:rFonts w:ascii="Verdana" w:hAnsi="Verdana"/>
          <w:sz w:val="24"/>
          <w:szCs w:val="24"/>
        </w:rPr>
        <w:t>Division</w:t>
      </w:r>
      <w:r w:rsidR="006B3021">
        <w:rPr>
          <w:rFonts w:ascii="Verdana" w:hAnsi="Verdana"/>
          <w:sz w:val="24"/>
          <w:szCs w:val="24"/>
        </w:rPr>
        <w:t>, Kimberley</w:t>
      </w:r>
    </w:p>
    <w:p w14:paraId="3D923680" w14:textId="3AA780F0" w:rsidR="00D12915" w:rsidRDefault="00D12915" w:rsidP="006B3021">
      <w:pPr>
        <w:spacing w:after="0" w:line="240" w:lineRule="auto"/>
        <w:jc w:val="both"/>
        <w:rPr>
          <w:rFonts w:ascii="Verdana" w:hAnsi="Verdana"/>
          <w:sz w:val="24"/>
          <w:szCs w:val="24"/>
        </w:rPr>
      </w:pPr>
    </w:p>
    <w:p w14:paraId="470A3B99" w14:textId="4DFC88D8" w:rsidR="00D12915" w:rsidRDefault="00D12915" w:rsidP="006B3021">
      <w:pPr>
        <w:spacing w:after="0" w:line="240" w:lineRule="auto"/>
        <w:jc w:val="both"/>
        <w:rPr>
          <w:rFonts w:ascii="Verdana" w:hAnsi="Verdana"/>
          <w:sz w:val="24"/>
          <w:szCs w:val="24"/>
        </w:rPr>
      </w:pPr>
    </w:p>
    <w:p w14:paraId="6C1AB762" w14:textId="77777777" w:rsidR="00D12915" w:rsidRDefault="00D12915" w:rsidP="006B3021">
      <w:pPr>
        <w:spacing w:after="0" w:line="240" w:lineRule="auto"/>
        <w:jc w:val="both"/>
        <w:rPr>
          <w:rFonts w:ascii="Verdana" w:hAnsi="Verdana"/>
          <w:sz w:val="24"/>
          <w:szCs w:val="24"/>
        </w:rPr>
      </w:pPr>
    </w:p>
    <w:p w14:paraId="2446CCA7" w14:textId="77777777" w:rsidR="006B3021" w:rsidRDefault="006B3021" w:rsidP="006B3021">
      <w:pPr>
        <w:spacing w:after="0" w:line="240" w:lineRule="auto"/>
        <w:jc w:val="both"/>
        <w:rPr>
          <w:rFonts w:ascii="Verdana" w:hAnsi="Verdana"/>
          <w:sz w:val="24"/>
          <w:szCs w:val="24"/>
        </w:rPr>
      </w:pPr>
    </w:p>
    <w:p w14:paraId="4D32C235" w14:textId="41CDE177" w:rsidR="006B3021" w:rsidRDefault="006B3021" w:rsidP="006B3021">
      <w:pPr>
        <w:spacing w:after="0" w:line="240" w:lineRule="auto"/>
        <w:jc w:val="both"/>
        <w:rPr>
          <w:rFonts w:ascii="Verdana" w:hAnsi="Verdana"/>
          <w:sz w:val="24"/>
          <w:szCs w:val="24"/>
        </w:rPr>
      </w:pPr>
    </w:p>
    <w:p w14:paraId="681CE50F" w14:textId="77777777" w:rsidR="006B3021" w:rsidRPr="00845969" w:rsidRDefault="006B3021" w:rsidP="006B3021">
      <w:pPr>
        <w:shd w:val="pct10" w:color="auto" w:fill="auto"/>
        <w:spacing w:after="0" w:line="360" w:lineRule="auto"/>
        <w:ind w:right="-46"/>
        <w:jc w:val="both"/>
        <w:rPr>
          <w:rFonts w:ascii="Verdana" w:hAnsi="Verdana"/>
          <w:i/>
          <w:szCs w:val="24"/>
          <w:u w:val="single"/>
        </w:rPr>
      </w:pPr>
      <w:r w:rsidRPr="00845969">
        <w:rPr>
          <w:rFonts w:ascii="Verdana" w:hAnsi="Verdana"/>
          <w:i/>
          <w:szCs w:val="24"/>
          <w:u w:val="single"/>
        </w:rPr>
        <w:t>Representation:</w:t>
      </w:r>
    </w:p>
    <w:p w14:paraId="378C71A0" w14:textId="108F68A2" w:rsidR="006B3021" w:rsidRPr="00845969" w:rsidRDefault="00845969" w:rsidP="006B3021">
      <w:pPr>
        <w:shd w:val="pct10" w:color="auto" w:fill="auto"/>
        <w:spacing w:after="0" w:line="360" w:lineRule="auto"/>
        <w:ind w:right="-46"/>
        <w:jc w:val="both"/>
        <w:rPr>
          <w:rFonts w:ascii="Verdana" w:hAnsi="Verdana"/>
          <w:i/>
          <w:szCs w:val="24"/>
        </w:rPr>
      </w:pPr>
      <w:r>
        <w:rPr>
          <w:rFonts w:ascii="Verdana" w:hAnsi="Verdana"/>
          <w:i/>
          <w:szCs w:val="24"/>
        </w:rPr>
        <w:t>For The Applicant:</w:t>
      </w:r>
      <w:r>
        <w:rPr>
          <w:rFonts w:ascii="Verdana" w:hAnsi="Verdana"/>
          <w:i/>
          <w:szCs w:val="24"/>
        </w:rPr>
        <w:tab/>
      </w:r>
      <w:r>
        <w:rPr>
          <w:rFonts w:ascii="Verdana" w:hAnsi="Verdana"/>
          <w:i/>
          <w:szCs w:val="24"/>
        </w:rPr>
        <w:tab/>
      </w:r>
      <w:r>
        <w:rPr>
          <w:rFonts w:ascii="Verdana" w:hAnsi="Verdana"/>
          <w:i/>
          <w:szCs w:val="24"/>
        </w:rPr>
        <w:tab/>
      </w:r>
      <w:r>
        <w:rPr>
          <w:rFonts w:ascii="Verdana" w:hAnsi="Verdana"/>
          <w:i/>
          <w:szCs w:val="24"/>
        </w:rPr>
        <w:tab/>
      </w:r>
      <w:r w:rsidR="00FC4686" w:rsidRPr="00845969">
        <w:rPr>
          <w:rFonts w:ascii="Verdana" w:hAnsi="Verdana"/>
          <w:i/>
          <w:szCs w:val="24"/>
        </w:rPr>
        <w:t xml:space="preserve">Mr </w:t>
      </w:r>
      <w:r w:rsidR="00422EB9" w:rsidRPr="00845969">
        <w:rPr>
          <w:rFonts w:ascii="Verdana" w:hAnsi="Verdana"/>
          <w:i/>
          <w:szCs w:val="24"/>
        </w:rPr>
        <w:t xml:space="preserve">SJ </w:t>
      </w:r>
      <w:r w:rsidR="00FC4686" w:rsidRPr="00845969">
        <w:rPr>
          <w:rFonts w:ascii="Verdana" w:hAnsi="Verdana"/>
          <w:i/>
          <w:szCs w:val="24"/>
        </w:rPr>
        <w:t>Groenewald</w:t>
      </w:r>
      <w:r w:rsidR="00280F11" w:rsidRPr="00845969">
        <w:rPr>
          <w:rFonts w:ascii="Verdana" w:hAnsi="Verdana"/>
          <w:i/>
          <w:szCs w:val="24"/>
        </w:rPr>
        <w:t>t</w:t>
      </w:r>
      <w:r w:rsidR="006B3021" w:rsidRPr="00845969">
        <w:rPr>
          <w:rFonts w:ascii="Verdana" w:hAnsi="Verdana"/>
          <w:i/>
          <w:szCs w:val="24"/>
        </w:rPr>
        <w:t xml:space="preserve">  </w:t>
      </w:r>
    </w:p>
    <w:p w14:paraId="21EFE6A9" w14:textId="1E6FFDDD" w:rsidR="006B3021" w:rsidRPr="00845969" w:rsidRDefault="00845969" w:rsidP="006B3021">
      <w:pPr>
        <w:shd w:val="pct10" w:color="auto" w:fill="auto"/>
        <w:spacing w:after="0" w:line="360" w:lineRule="auto"/>
        <w:ind w:right="-46"/>
        <w:jc w:val="both"/>
        <w:rPr>
          <w:rFonts w:ascii="Verdana" w:hAnsi="Verdana"/>
          <w:i/>
          <w:szCs w:val="24"/>
        </w:rPr>
      </w:pPr>
      <w:r>
        <w:rPr>
          <w:rFonts w:ascii="Verdana" w:hAnsi="Verdana"/>
          <w:i/>
          <w:szCs w:val="24"/>
        </w:rPr>
        <w:t>Instructed by:</w:t>
      </w:r>
      <w:r>
        <w:rPr>
          <w:rFonts w:ascii="Verdana" w:hAnsi="Verdana"/>
          <w:i/>
          <w:szCs w:val="24"/>
        </w:rPr>
        <w:tab/>
      </w:r>
      <w:r>
        <w:rPr>
          <w:rFonts w:ascii="Verdana" w:hAnsi="Verdana"/>
          <w:i/>
          <w:szCs w:val="24"/>
        </w:rPr>
        <w:tab/>
      </w:r>
      <w:r>
        <w:rPr>
          <w:rFonts w:ascii="Verdana" w:hAnsi="Verdana"/>
          <w:i/>
          <w:szCs w:val="24"/>
        </w:rPr>
        <w:tab/>
      </w:r>
      <w:r>
        <w:rPr>
          <w:rFonts w:ascii="Verdana" w:hAnsi="Verdana"/>
          <w:i/>
          <w:szCs w:val="24"/>
        </w:rPr>
        <w:tab/>
      </w:r>
      <w:r w:rsidR="00280F11" w:rsidRPr="00845969">
        <w:rPr>
          <w:rFonts w:ascii="Verdana" w:hAnsi="Verdana"/>
          <w:i/>
          <w:szCs w:val="24"/>
        </w:rPr>
        <w:t xml:space="preserve">Towell and </w:t>
      </w:r>
      <w:proofErr w:type="spellStart"/>
      <w:r w:rsidR="00280F11" w:rsidRPr="00845969">
        <w:rPr>
          <w:rFonts w:ascii="Verdana" w:hAnsi="Verdana"/>
          <w:i/>
          <w:szCs w:val="24"/>
        </w:rPr>
        <w:t>Groenewaldt</w:t>
      </w:r>
      <w:proofErr w:type="spellEnd"/>
      <w:r w:rsidR="00280F11" w:rsidRPr="00845969">
        <w:rPr>
          <w:rFonts w:ascii="Verdana" w:hAnsi="Verdana"/>
          <w:i/>
          <w:szCs w:val="24"/>
        </w:rPr>
        <w:t xml:space="preserve"> Attorneys</w:t>
      </w:r>
    </w:p>
    <w:p w14:paraId="0B70AB94" w14:textId="77777777" w:rsidR="006B3021" w:rsidRPr="00845969" w:rsidRDefault="006B3021" w:rsidP="006B3021">
      <w:pPr>
        <w:shd w:val="pct10" w:color="auto" w:fill="auto"/>
        <w:spacing w:after="0" w:line="360" w:lineRule="auto"/>
        <w:ind w:right="-46"/>
        <w:jc w:val="both"/>
        <w:rPr>
          <w:rFonts w:ascii="Verdana" w:hAnsi="Verdana"/>
          <w:i/>
          <w:szCs w:val="24"/>
        </w:rPr>
      </w:pPr>
    </w:p>
    <w:p w14:paraId="7C72F97F" w14:textId="3E6C1F6E" w:rsidR="006B3021" w:rsidRPr="00845969" w:rsidRDefault="006B3021" w:rsidP="006B3021">
      <w:pPr>
        <w:shd w:val="pct10" w:color="auto" w:fill="auto"/>
        <w:spacing w:after="0" w:line="360" w:lineRule="auto"/>
        <w:ind w:right="-46"/>
        <w:jc w:val="both"/>
        <w:rPr>
          <w:rFonts w:ascii="Verdana" w:hAnsi="Verdana"/>
          <w:i/>
          <w:szCs w:val="24"/>
        </w:rPr>
      </w:pPr>
      <w:r w:rsidRPr="00845969">
        <w:rPr>
          <w:rFonts w:ascii="Verdana" w:hAnsi="Verdana"/>
          <w:i/>
          <w:szCs w:val="24"/>
        </w:rPr>
        <w:t>For The</w:t>
      </w:r>
      <w:r w:rsidR="00A912A3" w:rsidRPr="00845969">
        <w:rPr>
          <w:rFonts w:ascii="Verdana" w:hAnsi="Verdana"/>
          <w:i/>
          <w:szCs w:val="24"/>
        </w:rPr>
        <w:t xml:space="preserve"> 1</w:t>
      </w:r>
      <w:r w:rsidR="00A912A3" w:rsidRPr="00845969">
        <w:rPr>
          <w:rFonts w:ascii="Verdana" w:hAnsi="Verdana"/>
          <w:i/>
          <w:szCs w:val="24"/>
          <w:vertAlign w:val="superscript"/>
        </w:rPr>
        <w:t>st</w:t>
      </w:r>
      <w:r w:rsidR="00845969">
        <w:rPr>
          <w:rFonts w:ascii="Verdana" w:hAnsi="Verdana"/>
          <w:i/>
          <w:szCs w:val="24"/>
        </w:rPr>
        <w:t xml:space="preserve"> Respondents:</w:t>
      </w:r>
      <w:r w:rsidR="00845969">
        <w:rPr>
          <w:rFonts w:ascii="Verdana" w:hAnsi="Verdana"/>
          <w:i/>
          <w:szCs w:val="24"/>
        </w:rPr>
        <w:tab/>
      </w:r>
      <w:r w:rsidR="00845969">
        <w:rPr>
          <w:rFonts w:ascii="Verdana" w:hAnsi="Verdana"/>
          <w:i/>
          <w:szCs w:val="24"/>
        </w:rPr>
        <w:tab/>
      </w:r>
      <w:r w:rsidR="00845969">
        <w:rPr>
          <w:rFonts w:ascii="Verdana" w:hAnsi="Verdana"/>
          <w:i/>
          <w:szCs w:val="24"/>
        </w:rPr>
        <w:tab/>
      </w:r>
      <w:r w:rsidRPr="00845969">
        <w:rPr>
          <w:rFonts w:ascii="Verdana" w:hAnsi="Verdana"/>
          <w:i/>
          <w:szCs w:val="24"/>
        </w:rPr>
        <w:t>A</w:t>
      </w:r>
      <w:r w:rsidR="00FC4686" w:rsidRPr="00845969">
        <w:rPr>
          <w:rFonts w:ascii="Verdana" w:hAnsi="Verdana"/>
          <w:i/>
          <w:szCs w:val="24"/>
        </w:rPr>
        <w:t>dv</w:t>
      </w:r>
      <w:r w:rsidR="00422EB9" w:rsidRPr="00845969">
        <w:rPr>
          <w:rFonts w:ascii="Verdana" w:hAnsi="Verdana"/>
          <w:i/>
          <w:szCs w:val="24"/>
        </w:rPr>
        <w:t xml:space="preserve"> XP</w:t>
      </w:r>
      <w:r w:rsidRPr="00845969">
        <w:rPr>
          <w:rFonts w:ascii="Verdana" w:hAnsi="Verdana"/>
          <w:i/>
          <w:szCs w:val="24"/>
        </w:rPr>
        <w:t xml:space="preserve"> M</w:t>
      </w:r>
      <w:r w:rsidR="00FC4686" w:rsidRPr="00845969">
        <w:rPr>
          <w:rFonts w:ascii="Verdana" w:hAnsi="Verdana"/>
          <w:i/>
          <w:szCs w:val="24"/>
        </w:rPr>
        <w:t>thombeni</w:t>
      </w:r>
      <w:r w:rsidRPr="00845969">
        <w:rPr>
          <w:rFonts w:ascii="Verdana" w:hAnsi="Verdana"/>
          <w:i/>
          <w:szCs w:val="24"/>
        </w:rPr>
        <w:t xml:space="preserve"> </w:t>
      </w:r>
    </w:p>
    <w:p w14:paraId="61DA67D5" w14:textId="51CBB7BE" w:rsidR="006B3021" w:rsidRPr="00845969" w:rsidRDefault="00845969" w:rsidP="006B3021">
      <w:pPr>
        <w:shd w:val="pct10" w:color="auto" w:fill="auto"/>
        <w:spacing w:after="0" w:line="360" w:lineRule="auto"/>
        <w:ind w:right="-46"/>
        <w:jc w:val="both"/>
        <w:rPr>
          <w:rFonts w:ascii="Verdana" w:hAnsi="Verdana"/>
          <w:i/>
          <w:szCs w:val="24"/>
        </w:rPr>
      </w:pPr>
      <w:r>
        <w:rPr>
          <w:rFonts w:ascii="Verdana" w:hAnsi="Verdana"/>
          <w:i/>
          <w:szCs w:val="24"/>
        </w:rPr>
        <w:t>Instructed by:</w:t>
      </w:r>
      <w:r>
        <w:rPr>
          <w:rFonts w:ascii="Verdana" w:hAnsi="Verdana"/>
          <w:i/>
          <w:szCs w:val="24"/>
        </w:rPr>
        <w:tab/>
      </w:r>
      <w:r>
        <w:rPr>
          <w:rFonts w:ascii="Verdana" w:hAnsi="Verdana"/>
          <w:i/>
          <w:szCs w:val="24"/>
        </w:rPr>
        <w:tab/>
      </w:r>
      <w:r>
        <w:rPr>
          <w:rFonts w:ascii="Verdana" w:hAnsi="Verdana"/>
          <w:i/>
          <w:szCs w:val="24"/>
        </w:rPr>
        <w:tab/>
      </w:r>
      <w:r>
        <w:rPr>
          <w:rFonts w:ascii="Verdana" w:hAnsi="Verdana"/>
          <w:i/>
          <w:szCs w:val="24"/>
        </w:rPr>
        <w:tab/>
      </w:r>
      <w:r w:rsidR="00280F11" w:rsidRPr="00845969">
        <w:rPr>
          <w:rFonts w:ascii="Verdana" w:hAnsi="Verdana"/>
          <w:i/>
          <w:szCs w:val="24"/>
        </w:rPr>
        <w:t>L-M</w:t>
      </w:r>
      <w:r w:rsidR="006B3021" w:rsidRPr="00845969">
        <w:rPr>
          <w:rFonts w:ascii="Verdana" w:hAnsi="Verdana"/>
          <w:i/>
          <w:szCs w:val="24"/>
        </w:rPr>
        <w:t xml:space="preserve"> Attorney</w:t>
      </w:r>
      <w:r w:rsidR="00280F11" w:rsidRPr="00845969">
        <w:rPr>
          <w:rFonts w:ascii="Verdana" w:hAnsi="Verdana"/>
          <w:i/>
          <w:szCs w:val="24"/>
        </w:rPr>
        <w:t>s &amp; Partners Inc</w:t>
      </w:r>
      <w:r w:rsidR="006B3021" w:rsidRPr="00845969">
        <w:rPr>
          <w:rFonts w:ascii="Verdana" w:hAnsi="Verdana"/>
          <w:i/>
          <w:szCs w:val="24"/>
        </w:rPr>
        <w:t>.</w:t>
      </w:r>
    </w:p>
    <w:p w14:paraId="12CE4966" w14:textId="77777777" w:rsidR="006B3021" w:rsidRPr="00845969" w:rsidRDefault="006B3021" w:rsidP="006B3021">
      <w:pPr>
        <w:shd w:val="pct10" w:color="auto" w:fill="auto"/>
        <w:spacing w:after="0" w:line="360" w:lineRule="auto"/>
        <w:ind w:right="-46"/>
        <w:jc w:val="both"/>
        <w:rPr>
          <w:rFonts w:ascii="Verdana" w:hAnsi="Verdana"/>
          <w:i/>
          <w:szCs w:val="24"/>
        </w:rPr>
      </w:pPr>
    </w:p>
    <w:p w14:paraId="0EE27A91" w14:textId="01324C20" w:rsidR="006B3021" w:rsidRPr="00845969" w:rsidRDefault="00845969" w:rsidP="00845969">
      <w:pPr>
        <w:shd w:val="pct10" w:color="auto" w:fill="auto"/>
        <w:spacing w:after="0" w:line="360" w:lineRule="auto"/>
        <w:ind w:left="4320" w:right="-46" w:hanging="4320"/>
        <w:jc w:val="both"/>
        <w:rPr>
          <w:rFonts w:ascii="Verdana" w:hAnsi="Verdana"/>
          <w:i/>
          <w:szCs w:val="24"/>
        </w:rPr>
      </w:pPr>
      <w:r>
        <w:rPr>
          <w:rFonts w:ascii="Verdana" w:hAnsi="Verdana"/>
          <w:i/>
          <w:szCs w:val="24"/>
        </w:rPr>
        <w:t xml:space="preserve">Date of Hearing: </w:t>
      </w:r>
      <w:r>
        <w:rPr>
          <w:rFonts w:ascii="Verdana" w:hAnsi="Verdana"/>
          <w:i/>
          <w:szCs w:val="24"/>
        </w:rPr>
        <w:tab/>
      </w:r>
      <w:r w:rsidR="002903E7" w:rsidRPr="00845969">
        <w:rPr>
          <w:rFonts w:ascii="Verdana" w:hAnsi="Verdana"/>
          <w:i/>
          <w:szCs w:val="24"/>
        </w:rPr>
        <w:t>15 S</w:t>
      </w:r>
      <w:r w:rsidRPr="00845969">
        <w:rPr>
          <w:rFonts w:ascii="Verdana" w:hAnsi="Verdana"/>
          <w:i/>
          <w:szCs w:val="24"/>
        </w:rPr>
        <w:t xml:space="preserve">eptember </w:t>
      </w:r>
      <w:r w:rsidR="002903E7" w:rsidRPr="00845969">
        <w:rPr>
          <w:rFonts w:ascii="Verdana" w:hAnsi="Verdana"/>
          <w:i/>
          <w:szCs w:val="24"/>
        </w:rPr>
        <w:t xml:space="preserve">2022; 16 November 2022; 08 </w:t>
      </w:r>
      <w:r w:rsidRPr="00845969">
        <w:rPr>
          <w:rFonts w:ascii="Verdana" w:hAnsi="Verdana"/>
          <w:i/>
          <w:szCs w:val="24"/>
        </w:rPr>
        <w:t xml:space="preserve">February 2023; 01 March 2023; </w:t>
      </w:r>
      <w:r w:rsidR="006B3021" w:rsidRPr="00845969">
        <w:rPr>
          <w:rFonts w:ascii="Verdana" w:hAnsi="Verdana"/>
          <w:i/>
          <w:szCs w:val="24"/>
        </w:rPr>
        <w:t>1</w:t>
      </w:r>
      <w:r w:rsidR="00CE0636" w:rsidRPr="00845969">
        <w:rPr>
          <w:rFonts w:ascii="Verdana" w:hAnsi="Verdana"/>
          <w:i/>
          <w:szCs w:val="24"/>
        </w:rPr>
        <w:t>3</w:t>
      </w:r>
      <w:r w:rsidR="006B3021" w:rsidRPr="00845969">
        <w:rPr>
          <w:rFonts w:ascii="Verdana" w:hAnsi="Verdana"/>
          <w:i/>
          <w:szCs w:val="24"/>
        </w:rPr>
        <w:t xml:space="preserve"> </w:t>
      </w:r>
      <w:r w:rsidR="00CE0636" w:rsidRPr="00845969">
        <w:rPr>
          <w:rFonts w:ascii="Verdana" w:hAnsi="Verdana"/>
          <w:i/>
          <w:szCs w:val="24"/>
        </w:rPr>
        <w:t>April</w:t>
      </w:r>
      <w:r w:rsidR="006B3021" w:rsidRPr="00845969">
        <w:rPr>
          <w:rFonts w:ascii="Verdana" w:hAnsi="Verdana"/>
          <w:i/>
          <w:szCs w:val="24"/>
        </w:rPr>
        <w:t xml:space="preserve"> 202</w:t>
      </w:r>
      <w:r w:rsidR="00CE0636" w:rsidRPr="00845969">
        <w:rPr>
          <w:rFonts w:ascii="Verdana" w:hAnsi="Verdana"/>
          <w:i/>
          <w:szCs w:val="24"/>
        </w:rPr>
        <w:t>3</w:t>
      </w:r>
      <w:r w:rsidRPr="00845969">
        <w:rPr>
          <w:rFonts w:ascii="Verdana" w:hAnsi="Verdana"/>
          <w:i/>
          <w:szCs w:val="24"/>
        </w:rPr>
        <w:t>.</w:t>
      </w:r>
    </w:p>
    <w:p w14:paraId="3760B033" w14:textId="77777777" w:rsidR="00845969" w:rsidRPr="00845969" w:rsidRDefault="00845969" w:rsidP="00845969">
      <w:pPr>
        <w:shd w:val="pct10" w:color="auto" w:fill="auto"/>
        <w:spacing w:after="0" w:line="360" w:lineRule="auto"/>
        <w:ind w:left="4320" w:right="-46" w:hanging="4320"/>
        <w:jc w:val="both"/>
        <w:rPr>
          <w:rFonts w:ascii="Verdana" w:hAnsi="Verdana"/>
          <w:i/>
          <w:szCs w:val="24"/>
        </w:rPr>
      </w:pPr>
    </w:p>
    <w:p w14:paraId="2184BC1C" w14:textId="052FEFF4" w:rsidR="006B3021" w:rsidRPr="00845969" w:rsidRDefault="00845969" w:rsidP="006B3021">
      <w:pPr>
        <w:shd w:val="pct10" w:color="auto" w:fill="auto"/>
        <w:spacing w:after="0" w:line="360" w:lineRule="auto"/>
        <w:ind w:right="-46"/>
        <w:jc w:val="both"/>
        <w:rPr>
          <w:rFonts w:ascii="Verdana" w:hAnsi="Verdana"/>
          <w:i/>
          <w:szCs w:val="24"/>
        </w:rPr>
      </w:pPr>
      <w:r>
        <w:rPr>
          <w:rFonts w:ascii="Verdana" w:hAnsi="Verdana"/>
          <w:i/>
          <w:szCs w:val="24"/>
        </w:rPr>
        <w:t>Date of Judgment:</w:t>
      </w:r>
      <w:r>
        <w:rPr>
          <w:rFonts w:ascii="Verdana" w:hAnsi="Verdana"/>
          <w:i/>
          <w:szCs w:val="24"/>
        </w:rPr>
        <w:tab/>
      </w:r>
      <w:r>
        <w:rPr>
          <w:rFonts w:ascii="Verdana" w:hAnsi="Verdana"/>
          <w:i/>
          <w:szCs w:val="24"/>
        </w:rPr>
        <w:tab/>
      </w:r>
      <w:r w:rsidR="006F5028">
        <w:rPr>
          <w:rFonts w:ascii="Verdana" w:hAnsi="Verdana"/>
          <w:i/>
          <w:szCs w:val="24"/>
        </w:rPr>
        <w:tab/>
      </w:r>
      <w:r w:rsidR="006F5028">
        <w:rPr>
          <w:rFonts w:ascii="Verdana" w:hAnsi="Verdana"/>
          <w:i/>
          <w:szCs w:val="24"/>
        </w:rPr>
        <w:tab/>
      </w:r>
      <w:r w:rsidRPr="00845969">
        <w:rPr>
          <w:rFonts w:ascii="Verdana" w:hAnsi="Verdana"/>
          <w:i/>
          <w:szCs w:val="24"/>
        </w:rPr>
        <w:t>01</w:t>
      </w:r>
      <w:r w:rsidR="006B3021" w:rsidRPr="00845969">
        <w:rPr>
          <w:rFonts w:ascii="Verdana" w:hAnsi="Verdana"/>
          <w:i/>
          <w:szCs w:val="24"/>
        </w:rPr>
        <w:t xml:space="preserve"> </w:t>
      </w:r>
      <w:r w:rsidRPr="00845969">
        <w:rPr>
          <w:rFonts w:ascii="Verdana" w:hAnsi="Verdana"/>
          <w:i/>
          <w:szCs w:val="24"/>
        </w:rPr>
        <w:t>March</w:t>
      </w:r>
      <w:r w:rsidR="006B3021" w:rsidRPr="00845969">
        <w:rPr>
          <w:rFonts w:ascii="Verdana" w:hAnsi="Verdana"/>
          <w:i/>
          <w:szCs w:val="24"/>
        </w:rPr>
        <w:t xml:space="preserve"> 2024</w:t>
      </w:r>
    </w:p>
    <w:p w14:paraId="124F7A3C" w14:textId="77777777" w:rsidR="006B3021" w:rsidRPr="00FB7A25" w:rsidRDefault="006B3021" w:rsidP="006B3021">
      <w:pPr>
        <w:spacing w:after="0" w:line="240" w:lineRule="auto"/>
        <w:jc w:val="both"/>
        <w:rPr>
          <w:rFonts w:ascii="Verdana" w:hAnsi="Verdana"/>
          <w:sz w:val="24"/>
          <w:szCs w:val="24"/>
        </w:rPr>
      </w:pPr>
    </w:p>
    <w:sectPr w:rsidR="006B3021" w:rsidRPr="00FB7A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38502" w14:textId="77777777" w:rsidR="001724A5" w:rsidRDefault="001724A5" w:rsidP="007761A5">
      <w:pPr>
        <w:spacing w:after="0" w:line="240" w:lineRule="auto"/>
      </w:pPr>
      <w:r>
        <w:separator/>
      </w:r>
    </w:p>
  </w:endnote>
  <w:endnote w:type="continuationSeparator" w:id="0">
    <w:p w14:paraId="6A7D787D" w14:textId="77777777" w:rsidR="001724A5" w:rsidRDefault="001724A5" w:rsidP="0077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3635699"/>
      <w:docPartObj>
        <w:docPartGallery w:val="Page Numbers (Bottom of Page)"/>
        <w:docPartUnique/>
      </w:docPartObj>
    </w:sdtPr>
    <w:sdtEndPr/>
    <w:sdtContent>
      <w:sdt>
        <w:sdtPr>
          <w:id w:val="1728636285"/>
          <w:docPartObj>
            <w:docPartGallery w:val="Page Numbers (Top of Page)"/>
            <w:docPartUnique/>
          </w:docPartObj>
        </w:sdtPr>
        <w:sdtEndPr/>
        <w:sdtContent>
          <w:p w14:paraId="4B7D7D4B" w14:textId="3C537A2E" w:rsidR="007761A5" w:rsidRDefault="007761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DA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DA9">
              <w:rPr>
                <w:b/>
                <w:bCs/>
                <w:noProof/>
              </w:rPr>
              <w:t>11</w:t>
            </w:r>
            <w:r>
              <w:rPr>
                <w:b/>
                <w:bCs/>
                <w:sz w:val="24"/>
                <w:szCs w:val="24"/>
              </w:rPr>
              <w:fldChar w:fldCharType="end"/>
            </w:r>
          </w:p>
        </w:sdtContent>
      </w:sdt>
    </w:sdtContent>
  </w:sdt>
  <w:p w14:paraId="0488238B" w14:textId="77777777" w:rsidR="007761A5" w:rsidRDefault="0077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2A0B3" w14:textId="77777777" w:rsidR="001724A5" w:rsidRDefault="001724A5" w:rsidP="007761A5">
      <w:pPr>
        <w:spacing w:after="0" w:line="240" w:lineRule="auto"/>
      </w:pPr>
      <w:r>
        <w:separator/>
      </w:r>
    </w:p>
  </w:footnote>
  <w:footnote w:type="continuationSeparator" w:id="0">
    <w:p w14:paraId="60274B26" w14:textId="77777777" w:rsidR="001724A5" w:rsidRDefault="001724A5" w:rsidP="007761A5">
      <w:pPr>
        <w:spacing w:after="0" w:line="240" w:lineRule="auto"/>
      </w:pPr>
      <w:r>
        <w:continuationSeparator/>
      </w:r>
    </w:p>
  </w:footnote>
  <w:footnote w:id="1">
    <w:p w14:paraId="72E731F0" w14:textId="79F2934F" w:rsidR="002F40DE" w:rsidRDefault="002F40DE">
      <w:pPr>
        <w:pStyle w:val="FootnoteText"/>
      </w:pPr>
      <w:r>
        <w:rPr>
          <w:rStyle w:val="FootnoteReference"/>
        </w:rPr>
        <w:footnoteRef/>
      </w:r>
      <w:r>
        <w:t xml:space="preserve"> Act 71 of 2008.</w:t>
      </w:r>
    </w:p>
  </w:footnote>
  <w:footnote w:id="2">
    <w:p w14:paraId="6C2335B8" w14:textId="257F3060" w:rsidR="00A017E0" w:rsidRDefault="00A017E0">
      <w:pPr>
        <w:pStyle w:val="FootnoteText"/>
      </w:pPr>
      <w:r>
        <w:rPr>
          <w:rStyle w:val="FootnoteReference"/>
        </w:rPr>
        <w:footnoteRef/>
      </w:r>
      <w:r w:rsidR="00864C38">
        <w:t xml:space="preserve"> 1918 AD 63 at</w:t>
      </w:r>
      <w:r>
        <w:t xml:space="preserve"> 69.</w:t>
      </w:r>
    </w:p>
  </w:footnote>
  <w:footnote w:id="3">
    <w:p w14:paraId="28D461D5" w14:textId="465E94B1" w:rsidR="00FA7A23" w:rsidRDefault="00FA7A23">
      <w:pPr>
        <w:pStyle w:val="FootnoteText"/>
      </w:pPr>
      <w:r>
        <w:rPr>
          <w:rStyle w:val="FootnoteReference"/>
        </w:rPr>
        <w:footnoteRef/>
      </w:r>
      <w:r>
        <w:t xml:space="preserve"> 1959 (4) SA 579 (T) </w:t>
      </w:r>
      <w:r w:rsidR="009164CE">
        <w:t>at 579H to 580B.</w:t>
      </w:r>
    </w:p>
  </w:footnote>
  <w:footnote w:id="4">
    <w:p w14:paraId="3CB05B59" w14:textId="406839CD" w:rsidR="0051370E" w:rsidRDefault="0051370E">
      <w:pPr>
        <w:pStyle w:val="FootnoteText"/>
      </w:pPr>
      <w:r>
        <w:rPr>
          <w:rStyle w:val="FootnoteReference"/>
        </w:rPr>
        <w:footnoteRef/>
      </w:r>
      <w:r>
        <w:t xml:space="preserve"> Legal Practice Act 28 of 2014.</w:t>
      </w:r>
    </w:p>
  </w:footnote>
  <w:footnote w:id="5">
    <w:p w14:paraId="632DB0EB" w14:textId="5E7F905A" w:rsidR="00A03844" w:rsidRDefault="00A03844">
      <w:pPr>
        <w:pStyle w:val="FootnoteText"/>
      </w:pPr>
      <w:r>
        <w:rPr>
          <w:rStyle w:val="FootnoteReference"/>
        </w:rPr>
        <w:footnoteRef/>
      </w:r>
      <w:r>
        <w:t xml:space="preserve"> Section 5 of the above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EA2BD1"/>
    <w:multiLevelType w:val="hybridMultilevel"/>
    <w:tmpl w:val="DB88813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13B4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4480008">
    <w:abstractNumId w:val="1"/>
  </w:num>
  <w:num w:numId="2" w16cid:durableId="164616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B9"/>
    <w:rsid w:val="00011F04"/>
    <w:rsid w:val="000459A8"/>
    <w:rsid w:val="00054B8F"/>
    <w:rsid w:val="00056F9F"/>
    <w:rsid w:val="00063586"/>
    <w:rsid w:val="000A613C"/>
    <w:rsid w:val="000E1EE9"/>
    <w:rsid w:val="001724A5"/>
    <w:rsid w:val="001B3F84"/>
    <w:rsid w:val="00223D4C"/>
    <w:rsid w:val="00230B92"/>
    <w:rsid w:val="00280F11"/>
    <w:rsid w:val="0028739C"/>
    <w:rsid w:val="002903E7"/>
    <w:rsid w:val="002F40DE"/>
    <w:rsid w:val="0032639A"/>
    <w:rsid w:val="00334DA9"/>
    <w:rsid w:val="0035240A"/>
    <w:rsid w:val="00362A19"/>
    <w:rsid w:val="003B32F1"/>
    <w:rsid w:val="00422EB9"/>
    <w:rsid w:val="00431BDB"/>
    <w:rsid w:val="00433948"/>
    <w:rsid w:val="00434569"/>
    <w:rsid w:val="004A74DD"/>
    <w:rsid w:val="004D7E08"/>
    <w:rsid w:val="004F2DD0"/>
    <w:rsid w:val="0051370E"/>
    <w:rsid w:val="005168BD"/>
    <w:rsid w:val="005318A1"/>
    <w:rsid w:val="005527B9"/>
    <w:rsid w:val="00561682"/>
    <w:rsid w:val="005932FD"/>
    <w:rsid w:val="005E5FD8"/>
    <w:rsid w:val="00642EE8"/>
    <w:rsid w:val="00665666"/>
    <w:rsid w:val="006B2D4C"/>
    <w:rsid w:val="006B3021"/>
    <w:rsid w:val="006F5028"/>
    <w:rsid w:val="00705B7E"/>
    <w:rsid w:val="00726CBF"/>
    <w:rsid w:val="007418E3"/>
    <w:rsid w:val="00746A2E"/>
    <w:rsid w:val="007761A5"/>
    <w:rsid w:val="00781E55"/>
    <w:rsid w:val="007D72CF"/>
    <w:rsid w:val="00845969"/>
    <w:rsid w:val="00864C38"/>
    <w:rsid w:val="008B75FE"/>
    <w:rsid w:val="00905591"/>
    <w:rsid w:val="009164CE"/>
    <w:rsid w:val="00956888"/>
    <w:rsid w:val="009744C9"/>
    <w:rsid w:val="009F64CD"/>
    <w:rsid w:val="009F7684"/>
    <w:rsid w:val="00A017E0"/>
    <w:rsid w:val="00A03844"/>
    <w:rsid w:val="00A30689"/>
    <w:rsid w:val="00A77BBD"/>
    <w:rsid w:val="00A912A3"/>
    <w:rsid w:val="00AA4D23"/>
    <w:rsid w:val="00CB1A47"/>
    <w:rsid w:val="00CE0636"/>
    <w:rsid w:val="00D057A7"/>
    <w:rsid w:val="00D12915"/>
    <w:rsid w:val="00D13AB8"/>
    <w:rsid w:val="00FA7A23"/>
    <w:rsid w:val="00FB7A25"/>
    <w:rsid w:val="00FC46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FA58"/>
  <w15:chartTrackingRefBased/>
  <w15:docId w15:val="{02E5C918-30ED-4CAE-A46D-C43A0687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B9"/>
    <w:pPr>
      <w:ind w:left="720"/>
      <w:contextualSpacing/>
    </w:pPr>
  </w:style>
  <w:style w:type="paragraph" w:styleId="Header">
    <w:name w:val="header"/>
    <w:basedOn w:val="Normal"/>
    <w:link w:val="HeaderChar"/>
    <w:uiPriority w:val="99"/>
    <w:unhideWhenUsed/>
    <w:rsid w:val="00776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A5"/>
  </w:style>
  <w:style w:type="paragraph" w:styleId="Footer">
    <w:name w:val="footer"/>
    <w:basedOn w:val="Normal"/>
    <w:link w:val="FooterChar"/>
    <w:uiPriority w:val="99"/>
    <w:unhideWhenUsed/>
    <w:rsid w:val="00776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A5"/>
  </w:style>
  <w:style w:type="paragraph" w:styleId="FootnoteText">
    <w:name w:val="footnote text"/>
    <w:basedOn w:val="Normal"/>
    <w:link w:val="FootnoteTextChar"/>
    <w:uiPriority w:val="99"/>
    <w:semiHidden/>
    <w:unhideWhenUsed/>
    <w:rsid w:val="00A01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7E0"/>
    <w:rPr>
      <w:sz w:val="20"/>
      <w:szCs w:val="20"/>
    </w:rPr>
  </w:style>
  <w:style w:type="character" w:styleId="FootnoteReference">
    <w:name w:val="footnote reference"/>
    <w:basedOn w:val="DefaultParagraphFont"/>
    <w:uiPriority w:val="99"/>
    <w:semiHidden/>
    <w:unhideWhenUsed/>
    <w:rsid w:val="00A017E0"/>
    <w:rPr>
      <w:vertAlign w:val="superscript"/>
    </w:rPr>
  </w:style>
  <w:style w:type="paragraph" w:customStyle="1" w:styleId="NormalEmail">
    <w:name w:val="NormalEmail"/>
    <w:basedOn w:val="Normal"/>
    <w:rsid w:val="00434569"/>
    <w:pPr>
      <w:suppressAutoHyphens/>
      <w:spacing w:after="0" w:line="240" w:lineRule="auto"/>
      <w:ind w:left="720" w:hanging="720"/>
      <w:jc w:val="both"/>
    </w:pPr>
    <w:rPr>
      <w:rFonts w:ascii="Arial" w:eastAsia="Times New Roman" w:hAnsi="Arial" w:cs="Times New Roman"/>
      <w:kern w:val="0"/>
      <w:sz w:val="24"/>
      <w:szCs w:val="24"/>
      <w:lang w:val="en-US" w:eastAsia="ja-JP"/>
      <w14:ligatures w14:val="none"/>
    </w:rPr>
  </w:style>
  <w:style w:type="paragraph" w:styleId="BalloonText">
    <w:name w:val="Balloon Text"/>
    <w:basedOn w:val="Normal"/>
    <w:link w:val="BalloonTextChar"/>
    <w:uiPriority w:val="99"/>
    <w:semiHidden/>
    <w:unhideWhenUsed/>
    <w:rsid w:val="0005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377A-7597-4876-A19D-F02A5BC6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Lever</dc:creator>
  <cp:keywords/>
  <dc:description/>
  <cp:lastModifiedBy>FUNDISIWE CYNTHIA NTSEBESHA</cp:lastModifiedBy>
  <cp:revision>16</cp:revision>
  <cp:lastPrinted>2024-02-27T07:30:00Z</cp:lastPrinted>
  <dcterms:created xsi:type="dcterms:W3CDTF">2024-02-21T09:03:00Z</dcterms:created>
  <dcterms:modified xsi:type="dcterms:W3CDTF">2024-04-21T20:29:00Z</dcterms:modified>
</cp:coreProperties>
</file>