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7B2" w:rsidRPr="00D33A5C" w:rsidRDefault="00FD0DC6" w:rsidP="00FD0DC6">
      <w:pPr>
        <w:rPr>
          <w:rFonts w:ascii="Arial" w:hAnsi="Arial" w:cs="Arial"/>
          <w:b/>
          <w:sz w:val="28"/>
          <w:szCs w:val="28"/>
        </w:rPr>
      </w:pPr>
      <w:bookmarkStart w:id="0" w:name="_GoBack"/>
      <w:bookmarkEnd w:id="0"/>
      <w:r w:rsidRPr="00D33A5C">
        <w:rPr>
          <w:rFonts w:ascii="Arial" w:hAnsi="Arial" w:cs="Arial"/>
          <w:b/>
          <w:sz w:val="28"/>
          <w:szCs w:val="28"/>
        </w:rPr>
        <w:tab/>
      </w:r>
      <w:r w:rsidRPr="00D33A5C">
        <w:rPr>
          <w:rFonts w:ascii="Arial" w:hAnsi="Arial" w:cs="Arial"/>
          <w:b/>
          <w:sz w:val="28"/>
          <w:szCs w:val="28"/>
        </w:rPr>
        <w:tab/>
      </w:r>
      <w:r w:rsidRPr="00D33A5C">
        <w:rPr>
          <w:rFonts w:ascii="Arial" w:hAnsi="Arial" w:cs="Arial"/>
          <w:b/>
          <w:sz w:val="28"/>
          <w:szCs w:val="28"/>
        </w:rPr>
        <w:tab/>
      </w:r>
      <w:r w:rsidRPr="00D33A5C">
        <w:rPr>
          <w:rFonts w:ascii="Arial" w:hAnsi="Arial" w:cs="Arial"/>
          <w:b/>
          <w:sz w:val="28"/>
          <w:szCs w:val="28"/>
        </w:rPr>
        <w:tab/>
      </w:r>
      <w:r w:rsidRPr="00D33A5C">
        <w:rPr>
          <w:rFonts w:ascii="Arial" w:hAnsi="Arial" w:cs="Arial"/>
          <w:b/>
          <w:sz w:val="28"/>
          <w:szCs w:val="28"/>
        </w:rPr>
        <w:tab/>
      </w:r>
    </w:p>
    <w:tbl>
      <w:tblPr>
        <w:tblpPr w:leftFromText="180" w:rightFromText="180" w:bottomFromText="200" w:vertAnchor="page" w:horzAnchor="page" w:tblpX="7080" w:tblpY="451"/>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7"/>
      </w:tblGrid>
      <w:tr w:rsidR="007A57B2" w:rsidTr="00563C7F">
        <w:tc>
          <w:tcPr>
            <w:tcW w:w="4257" w:type="dxa"/>
            <w:tcBorders>
              <w:top w:val="single" w:sz="4" w:space="0" w:color="auto"/>
              <w:left w:val="single" w:sz="4" w:space="0" w:color="auto"/>
              <w:bottom w:val="single" w:sz="4" w:space="0" w:color="auto"/>
              <w:right w:val="single" w:sz="4" w:space="0" w:color="auto"/>
            </w:tcBorders>
            <w:hideMark/>
          </w:tcPr>
          <w:p w:rsidR="007A57B2" w:rsidRDefault="007A57B2" w:rsidP="00563C7F">
            <w:pPr>
              <w:tabs>
                <w:tab w:val="right" w:pos="4144"/>
              </w:tabs>
              <w:spacing w:after="0" w:line="360" w:lineRule="auto"/>
              <w:contextualSpacing/>
              <w:jc w:val="both"/>
              <w:rPr>
                <w:rFonts w:ascii="Arial" w:hAnsi="Arial" w:cs="Arial"/>
                <w:sz w:val="20"/>
                <w:szCs w:val="20"/>
                <w:lang w:val="en-GB"/>
              </w:rPr>
            </w:pPr>
            <w:r>
              <w:rPr>
                <w:rFonts w:ascii="Arial" w:hAnsi="Arial" w:cs="Arial"/>
                <w:sz w:val="20"/>
                <w:szCs w:val="20"/>
                <w:lang w:val="en-GB"/>
              </w:rPr>
              <w:t xml:space="preserve">Reportable:  </w:t>
            </w:r>
            <w:r>
              <w:rPr>
                <w:rFonts w:ascii="Arial" w:hAnsi="Arial" w:cs="Arial"/>
                <w:sz w:val="20"/>
                <w:szCs w:val="20"/>
                <w:lang w:val="en-GB"/>
              </w:rPr>
              <w:tab/>
              <w:t xml:space="preserve">                              YES / </w:t>
            </w:r>
            <w:r>
              <w:rPr>
                <w:rFonts w:ascii="Arial" w:hAnsi="Arial" w:cs="Arial"/>
                <w:b/>
                <w:sz w:val="20"/>
                <w:szCs w:val="20"/>
                <w:u w:val="single"/>
                <w:lang w:val="en-GB"/>
              </w:rPr>
              <w:t>NO</w:t>
            </w:r>
          </w:p>
          <w:p w:rsidR="007A57B2" w:rsidRDefault="007A57B2" w:rsidP="00563C7F">
            <w:pPr>
              <w:tabs>
                <w:tab w:val="right" w:pos="4144"/>
              </w:tabs>
              <w:spacing w:after="0" w:line="360" w:lineRule="auto"/>
              <w:contextualSpacing/>
              <w:jc w:val="both"/>
              <w:rPr>
                <w:rFonts w:ascii="Arial" w:hAnsi="Arial" w:cs="Arial"/>
                <w:sz w:val="20"/>
                <w:szCs w:val="20"/>
                <w:lang w:val="en-GB"/>
              </w:rPr>
            </w:pPr>
            <w:r>
              <w:rPr>
                <w:rFonts w:ascii="Arial" w:hAnsi="Arial" w:cs="Arial"/>
                <w:sz w:val="20"/>
                <w:szCs w:val="20"/>
                <w:lang w:val="en-GB"/>
              </w:rPr>
              <w:t xml:space="preserve">Circulate to Judges: </w:t>
            </w:r>
            <w:r>
              <w:rPr>
                <w:rFonts w:ascii="Arial" w:hAnsi="Arial" w:cs="Arial"/>
                <w:sz w:val="20"/>
                <w:szCs w:val="20"/>
                <w:lang w:val="en-GB"/>
              </w:rPr>
              <w:tab/>
              <w:t xml:space="preserve">                     YES / </w:t>
            </w:r>
            <w:r>
              <w:rPr>
                <w:rFonts w:ascii="Arial" w:hAnsi="Arial" w:cs="Arial"/>
                <w:b/>
                <w:sz w:val="20"/>
                <w:szCs w:val="20"/>
                <w:u w:val="single"/>
                <w:lang w:val="en-GB"/>
              </w:rPr>
              <w:t>NO</w:t>
            </w:r>
          </w:p>
          <w:p w:rsidR="007A57B2" w:rsidRDefault="007A57B2" w:rsidP="00563C7F">
            <w:pPr>
              <w:tabs>
                <w:tab w:val="right" w:pos="4144"/>
              </w:tabs>
              <w:spacing w:after="0" w:line="360" w:lineRule="auto"/>
              <w:contextualSpacing/>
              <w:jc w:val="both"/>
              <w:rPr>
                <w:rFonts w:ascii="Arial" w:hAnsi="Arial" w:cs="Arial"/>
                <w:sz w:val="20"/>
                <w:szCs w:val="20"/>
                <w:lang w:val="en-GB"/>
              </w:rPr>
            </w:pPr>
            <w:r>
              <w:rPr>
                <w:rFonts w:ascii="Arial" w:hAnsi="Arial" w:cs="Arial"/>
                <w:sz w:val="20"/>
                <w:szCs w:val="20"/>
                <w:lang w:val="en-GB"/>
              </w:rPr>
              <w:t>Circulate to Magistrates:</w:t>
            </w:r>
            <w:r>
              <w:rPr>
                <w:rFonts w:ascii="Arial" w:hAnsi="Arial" w:cs="Arial"/>
                <w:sz w:val="20"/>
                <w:szCs w:val="20"/>
                <w:lang w:val="en-GB"/>
              </w:rPr>
              <w:tab/>
              <w:t xml:space="preserve">               YES / </w:t>
            </w:r>
            <w:r>
              <w:rPr>
                <w:rFonts w:ascii="Arial" w:hAnsi="Arial" w:cs="Arial"/>
                <w:b/>
                <w:sz w:val="20"/>
                <w:szCs w:val="20"/>
                <w:u w:val="single"/>
                <w:lang w:val="en-GB"/>
              </w:rPr>
              <w:t>NO</w:t>
            </w:r>
          </w:p>
          <w:p w:rsidR="007A57B2" w:rsidRDefault="007A57B2" w:rsidP="00563C7F">
            <w:pPr>
              <w:tabs>
                <w:tab w:val="right" w:pos="4144"/>
              </w:tabs>
              <w:spacing w:after="0" w:line="360" w:lineRule="auto"/>
              <w:contextualSpacing/>
              <w:jc w:val="both"/>
              <w:rPr>
                <w:rFonts w:ascii="Calibri" w:hAnsi="Calibri" w:cs="Calibri"/>
                <w:sz w:val="28"/>
                <w:szCs w:val="28"/>
                <w:lang w:val="en-GB"/>
              </w:rPr>
            </w:pPr>
            <w:r>
              <w:rPr>
                <w:rFonts w:ascii="Arial" w:hAnsi="Arial" w:cs="Arial"/>
                <w:sz w:val="20"/>
                <w:szCs w:val="20"/>
                <w:lang w:val="en-GB"/>
              </w:rPr>
              <w:t>Circulate to Regional Magistrates:</w:t>
            </w:r>
            <w:r>
              <w:rPr>
                <w:rFonts w:ascii="Arial" w:hAnsi="Arial" w:cs="Arial"/>
                <w:sz w:val="20"/>
                <w:szCs w:val="20"/>
                <w:lang w:val="en-GB"/>
              </w:rPr>
              <w:tab/>
              <w:t xml:space="preserve">  YES / </w:t>
            </w:r>
            <w:r>
              <w:rPr>
                <w:rFonts w:ascii="Arial" w:hAnsi="Arial" w:cs="Arial"/>
                <w:b/>
                <w:sz w:val="20"/>
                <w:szCs w:val="20"/>
                <w:u w:val="single"/>
                <w:lang w:val="en-GB"/>
              </w:rPr>
              <w:t>NO</w:t>
            </w:r>
          </w:p>
        </w:tc>
      </w:tr>
    </w:tbl>
    <w:p w:rsidR="007A57B2" w:rsidRDefault="007A57B2" w:rsidP="007A57B2">
      <w:pPr>
        <w:spacing w:after="0" w:line="360" w:lineRule="auto"/>
        <w:jc w:val="both"/>
        <w:rPr>
          <w:rFonts w:ascii="Calibri" w:eastAsia="Times New Roman" w:hAnsi="Calibri" w:cs="Calibri"/>
          <w:b/>
          <w:noProof/>
          <w:sz w:val="28"/>
          <w:szCs w:val="28"/>
        </w:rPr>
      </w:pPr>
      <w:r>
        <w:rPr>
          <w:noProof/>
          <w:lang w:eastAsia="en-ZA"/>
        </w:rPr>
        <w:drawing>
          <wp:anchor distT="0" distB="0" distL="114300" distR="114300" simplePos="0" relativeHeight="251659264" behindDoc="1" locked="0" layoutInCell="1" allowOverlap="1" wp14:anchorId="0E47D62D" wp14:editId="74F027F4">
            <wp:simplePos x="0" y="0"/>
            <wp:positionH relativeFrom="column">
              <wp:posOffset>2076450</wp:posOffset>
            </wp:positionH>
            <wp:positionV relativeFrom="paragraph">
              <wp:posOffset>-560705</wp:posOffset>
            </wp:positionV>
            <wp:extent cx="1416050" cy="1358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6050" cy="13589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b/>
          <w:noProof/>
          <w:sz w:val="28"/>
          <w:szCs w:val="28"/>
        </w:rPr>
        <w:t xml:space="preserve">     </w:t>
      </w:r>
    </w:p>
    <w:p w:rsidR="007A57B2" w:rsidRDefault="007A57B2" w:rsidP="007A57B2">
      <w:pPr>
        <w:autoSpaceDE w:val="0"/>
        <w:autoSpaceDN w:val="0"/>
        <w:adjustRightInd w:val="0"/>
        <w:spacing w:after="0" w:line="360" w:lineRule="auto"/>
        <w:jc w:val="both"/>
        <w:rPr>
          <w:rFonts w:ascii="Arial" w:hAnsi="Arial" w:cs="Arial"/>
          <w:caps/>
          <w:sz w:val="24"/>
          <w:szCs w:val="24"/>
        </w:rPr>
      </w:pPr>
    </w:p>
    <w:p w:rsidR="007A57B2" w:rsidRDefault="007A57B2" w:rsidP="007A57B2">
      <w:pPr>
        <w:spacing w:after="0" w:line="360" w:lineRule="auto"/>
        <w:jc w:val="both"/>
        <w:rPr>
          <w:rFonts w:ascii="Arial" w:eastAsia="MS Mincho" w:hAnsi="Arial" w:cs="Arial"/>
          <w:b/>
          <w:iCs/>
          <w:sz w:val="28"/>
          <w:szCs w:val="28"/>
          <w:lang w:val="en-GB"/>
        </w:rPr>
      </w:pPr>
    </w:p>
    <w:p w:rsidR="007A57B2" w:rsidRDefault="007A57B2" w:rsidP="007A57B2">
      <w:pPr>
        <w:spacing w:after="0" w:line="360" w:lineRule="auto"/>
        <w:jc w:val="center"/>
        <w:rPr>
          <w:rFonts w:ascii="Arial" w:eastAsia="MS Mincho" w:hAnsi="Arial" w:cs="Arial"/>
          <w:b/>
          <w:iCs/>
          <w:sz w:val="26"/>
          <w:szCs w:val="26"/>
          <w:lang w:val="en-GB"/>
        </w:rPr>
      </w:pPr>
      <w:r>
        <w:rPr>
          <w:rFonts w:ascii="Arial" w:eastAsia="MS Mincho" w:hAnsi="Arial" w:cs="Arial"/>
          <w:b/>
          <w:iCs/>
          <w:sz w:val="26"/>
          <w:szCs w:val="26"/>
          <w:lang w:val="en-GB"/>
        </w:rPr>
        <w:t>IN THE HIGH COURT OF SOUTH AFRICA</w:t>
      </w:r>
    </w:p>
    <w:p w:rsidR="007A57B2" w:rsidRDefault="007A57B2" w:rsidP="007A57B2">
      <w:pPr>
        <w:spacing w:after="0" w:line="360" w:lineRule="auto"/>
        <w:jc w:val="center"/>
        <w:rPr>
          <w:rFonts w:ascii="Arial" w:eastAsia="MS Mincho" w:hAnsi="Arial" w:cs="Arial"/>
          <w:b/>
          <w:iCs/>
          <w:sz w:val="26"/>
          <w:szCs w:val="26"/>
          <w:lang w:val="en-GB"/>
        </w:rPr>
      </w:pPr>
      <w:r>
        <w:rPr>
          <w:rFonts w:ascii="Arial" w:eastAsia="MS Mincho" w:hAnsi="Arial" w:cs="Arial"/>
          <w:b/>
          <w:iCs/>
          <w:sz w:val="26"/>
          <w:szCs w:val="26"/>
          <w:lang w:val="en-GB"/>
        </w:rPr>
        <w:t>NORTH WEST DIVISION – MAHIKENG</w:t>
      </w:r>
    </w:p>
    <w:p w:rsidR="007A57B2" w:rsidRDefault="00FD0DC6" w:rsidP="00FD0DC6">
      <w:pPr>
        <w:rPr>
          <w:rFonts w:ascii="Arial" w:hAnsi="Arial" w:cs="Arial"/>
          <w:b/>
          <w:sz w:val="28"/>
          <w:szCs w:val="28"/>
        </w:rPr>
      </w:pPr>
      <w:r w:rsidRPr="00D33A5C">
        <w:rPr>
          <w:rFonts w:ascii="Arial" w:hAnsi="Arial" w:cs="Arial"/>
          <w:b/>
          <w:sz w:val="28"/>
          <w:szCs w:val="28"/>
        </w:rPr>
        <w:tab/>
      </w:r>
      <w:r w:rsidRPr="00D33A5C">
        <w:rPr>
          <w:rFonts w:ascii="Arial" w:hAnsi="Arial" w:cs="Arial"/>
          <w:b/>
          <w:sz w:val="28"/>
          <w:szCs w:val="28"/>
        </w:rPr>
        <w:tab/>
      </w:r>
    </w:p>
    <w:p w:rsidR="007A57B2" w:rsidRDefault="007A57B2" w:rsidP="00FD0DC6">
      <w:pPr>
        <w:rPr>
          <w:rFonts w:ascii="Arial" w:hAnsi="Arial" w:cs="Arial"/>
          <w:b/>
          <w:sz w:val="28"/>
          <w:szCs w:val="28"/>
        </w:rPr>
      </w:pPr>
    </w:p>
    <w:p w:rsidR="00FD0DC6" w:rsidRPr="001D6264" w:rsidRDefault="00721986" w:rsidP="007A57B2">
      <w:pPr>
        <w:ind w:left="5040"/>
        <w:rPr>
          <w:rFonts w:ascii="Arial" w:hAnsi="Arial" w:cs="Arial"/>
          <w:sz w:val="28"/>
          <w:szCs w:val="28"/>
        </w:rPr>
      </w:pPr>
      <w:r w:rsidRPr="001D6264">
        <w:rPr>
          <w:rFonts w:ascii="Arial" w:hAnsi="Arial" w:cs="Arial"/>
          <w:sz w:val="28"/>
          <w:szCs w:val="28"/>
        </w:rPr>
        <w:t xml:space="preserve">CASE </w:t>
      </w:r>
      <w:r w:rsidR="008F1976" w:rsidRPr="001D6264">
        <w:rPr>
          <w:rFonts w:ascii="Arial" w:hAnsi="Arial" w:cs="Arial"/>
          <w:sz w:val="28"/>
          <w:szCs w:val="28"/>
        </w:rPr>
        <w:t>NUMBER:</w:t>
      </w:r>
      <w:r w:rsidR="00FD0DC6" w:rsidRPr="001D6264">
        <w:rPr>
          <w:rFonts w:ascii="Arial" w:hAnsi="Arial" w:cs="Arial"/>
          <w:sz w:val="28"/>
          <w:szCs w:val="28"/>
        </w:rPr>
        <w:t xml:space="preserve"> </w:t>
      </w:r>
      <w:r w:rsidR="001D6264" w:rsidRPr="001D6264">
        <w:rPr>
          <w:rFonts w:ascii="Arial" w:hAnsi="Arial" w:cs="Arial"/>
          <w:sz w:val="28"/>
          <w:szCs w:val="28"/>
        </w:rPr>
        <w:t>109/2016</w:t>
      </w:r>
    </w:p>
    <w:p w:rsidR="00FD0DC6" w:rsidRPr="00D33A5C" w:rsidRDefault="00FD0DC6" w:rsidP="00FD0DC6">
      <w:pPr>
        <w:rPr>
          <w:rFonts w:ascii="Arial" w:hAnsi="Arial" w:cs="Arial"/>
          <w:b/>
          <w:sz w:val="16"/>
          <w:szCs w:val="16"/>
        </w:rPr>
      </w:pPr>
    </w:p>
    <w:p w:rsidR="00FD0DC6" w:rsidRPr="001D6264" w:rsidRDefault="00FD0DC6" w:rsidP="00FD0DC6">
      <w:pPr>
        <w:rPr>
          <w:rFonts w:ascii="Arial" w:hAnsi="Arial" w:cs="Arial"/>
          <w:sz w:val="28"/>
          <w:szCs w:val="28"/>
        </w:rPr>
      </w:pPr>
      <w:r w:rsidRPr="001D6264">
        <w:rPr>
          <w:rFonts w:ascii="Arial" w:hAnsi="Arial" w:cs="Arial"/>
          <w:sz w:val="28"/>
          <w:szCs w:val="28"/>
        </w:rPr>
        <w:t>In the matter between:</w:t>
      </w:r>
    </w:p>
    <w:p w:rsidR="00FD0DC6" w:rsidRPr="001D6264" w:rsidRDefault="00FD0DC6" w:rsidP="00FD0DC6">
      <w:pPr>
        <w:rPr>
          <w:rFonts w:ascii="Arial" w:hAnsi="Arial" w:cs="Arial"/>
          <w:b/>
          <w:sz w:val="28"/>
          <w:szCs w:val="28"/>
        </w:rPr>
      </w:pPr>
    </w:p>
    <w:p w:rsidR="00FD0DC6" w:rsidRPr="001D6264" w:rsidRDefault="007A57B2" w:rsidP="00FD0DC6">
      <w:pPr>
        <w:rPr>
          <w:rFonts w:ascii="Arial" w:hAnsi="Arial" w:cs="Arial"/>
          <w:sz w:val="28"/>
          <w:szCs w:val="28"/>
        </w:rPr>
      </w:pPr>
      <w:r>
        <w:rPr>
          <w:rFonts w:ascii="Arial" w:hAnsi="Arial" w:cs="Arial"/>
          <w:b/>
          <w:sz w:val="28"/>
          <w:szCs w:val="28"/>
        </w:rPr>
        <w:t>LEKGOTLA PAUL CHIRWA</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372905" w:rsidRPr="001D6264">
        <w:rPr>
          <w:rFonts w:ascii="Arial" w:hAnsi="Arial" w:cs="Arial"/>
          <w:b/>
          <w:sz w:val="28"/>
          <w:szCs w:val="28"/>
        </w:rPr>
        <w:t>APPLICANT</w:t>
      </w:r>
      <w:r w:rsidR="00FD0DC6" w:rsidRPr="001D6264">
        <w:rPr>
          <w:rFonts w:ascii="Arial" w:hAnsi="Arial" w:cs="Arial"/>
          <w:b/>
          <w:sz w:val="28"/>
          <w:szCs w:val="28"/>
        </w:rPr>
        <w:t xml:space="preserve">             </w:t>
      </w:r>
    </w:p>
    <w:p w:rsidR="00FD0DC6" w:rsidRPr="001D6264" w:rsidRDefault="00FD0DC6" w:rsidP="00FD0DC6">
      <w:pPr>
        <w:rPr>
          <w:rFonts w:ascii="Arial" w:hAnsi="Arial" w:cs="Arial"/>
          <w:b/>
          <w:sz w:val="28"/>
          <w:szCs w:val="28"/>
        </w:rPr>
      </w:pPr>
    </w:p>
    <w:p w:rsidR="00FD0DC6" w:rsidRPr="001D6264" w:rsidRDefault="00FD0DC6" w:rsidP="00FD0DC6">
      <w:pPr>
        <w:rPr>
          <w:rFonts w:ascii="Arial" w:hAnsi="Arial" w:cs="Arial"/>
          <w:b/>
          <w:sz w:val="28"/>
          <w:szCs w:val="28"/>
        </w:rPr>
      </w:pPr>
      <w:r w:rsidRPr="001D6264">
        <w:rPr>
          <w:rFonts w:ascii="Arial" w:hAnsi="Arial" w:cs="Arial"/>
          <w:b/>
          <w:sz w:val="28"/>
          <w:szCs w:val="28"/>
        </w:rPr>
        <w:t>AND</w:t>
      </w:r>
    </w:p>
    <w:p w:rsidR="00FD0DC6" w:rsidRPr="001D6264" w:rsidRDefault="00FD0DC6" w:rsidP="00FD0DC6">
      <w:pPr>
        <w:rPr>
          <w:rFonts w:ascii="Arial" w:hAnsi="Arial" w:cs="Arial"/>
          <w:b/>
          <w:sz w:val="28"/>
          <w:szCs w:val="28"/>
        </w:rPr>
      </w:pPr>
    </w:p>
    <w:p w:rsidR="001D6264" w:rsidRDefault="001D6264" w:rsidP="00B85947">
      <w:pPr>
        <w:rPr>
          <w:rFonts w:ascii="Arial" w:hAnsi="Arial" w:cs="Arial"/>
          <w:b/>
          <w:sz w:val="28"/>
          <w:szCs w:val="28"/>
        </w:rPr>
      </w:pPr>
      <w:r>
        <w:rPr>
          <w:rFonts w:ascii="Arial" w:hAnsi="Arial" w:cs="Arial"/>
          <w:b/>
          <w:sz w:val="28"/>
          <w:szCs w:val="28"/>
        </w:rPr>
        <w:t>IKEMELENG BAGAETSHO CONSTRUCTION</w:t>
      </w:r>
    </w:p>
    <w:p w:rsidR="00DE3CB0" w:rsidRPr="001D6264" w:rsidRDefault="007A57B2" w:rsidP="00B85947">
      <w:pPr>
        <w:rPr>
          <w:rFonts w:ascii="Arial" w:hAnsi="Arial" w:cs="Arial"/>
          <w:b/>
          <w:sz w:val="28"/>
          <w:szCs w:val="28"/>
        </w:rPr>
      </w:pPr>
      <w:r>
        <w:rPr>
          <w:rFonts w:ascii="Arial" w:hAnsi="Arial" w:cs="Arial"/>
          <w:b/>
          <w:sz w:val="28"/>
          <w:szCs w:val="28"/>
        </w:rPr>
        <w:t>AND PROJECTS CC</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DE3CB0" w:rsidRPr="001D6264">
        <w:rPr>
          <w:rFonts w:ascii="Arial" w:hAnsi="Arial" w:cs="Arial"/>
          <w:b/>
          <w:sz w:val="28"/>
          <w:szCs w:val="28"/>
        </w:rPr>
        <w:t>RESPONDENT</w:t>
      </w:r>
    </w:p>
    <w:tbl>
      <w:tblPr>
        <w:tblStyle w:val="TableGrid"/>
        <w:tblW w:w="9466" w:type="dxa"/>
        <w:tblInd w:w="0" w:type="dxa"/>
        <w:tblLook w:val="04A0" w:firstRow="1" w:lastRow="0" w:firstColumn="1" w:lastColumn="0" w:noHBand="0" w:noVBand="1"/>
      </w:tblPr>
      <w:tblGrid>
        <w:gridCol w:w="9466"/>
      </w:tblGrid>
      <w:tr w:rsidR="007A57B2" w:rsidRPr="00695D56" w:rsidTr="00563C7F">
        <w:trPr>
          <w:trHeight w:val="701"/>
        </w:trPr>
        <w:tc>
          <w:tcPr>
            <w:tcW w:w="9466" w:type="dxa"/>
            <w:shd w:val="clear" w:color="auto" w:fill="D9D9D9"/>
          </w:tcPr>
          <w:p w:rsidR="007A57B2" w:rsidRPr="00695D56" w:rsidRDefault="007A57B2" w:rsidP="00563C7F">
            <w:pPr>
              <w:spacing w:line="360" w:lineRule="auto"/>
              <w:jc w:val="both"/>
              <w:rPr>
                <w:rFonts w:ascii="Arial" w:hAnsi="Arial" w:cs="Arial"/>
                <w:b/>
                <w:bCs/>
                <w:color w:val="242121"/>
                <w:sz w:val="28"/>
                <w:szCs w:val="28"/>
              </w:rPr>
            </w:pPr>
          </w:p>
          <w:p w:rsidR="007A57B2" w:rsidRPr="00695D56" w:rsidRDefault="007A57B2" w:rsidP="00563C7F">
            <w:pPr>
              <w:spacing w:line="360" w:lineRule="auto"/>
              <w:jc w:val="center"/>
              <w:rPr>
                <w:rFonts w:ascii="Arial" w:hAnsi="Arial" w:cs="Arial"/>
                <w:b/>
                <w:bCs/>
                <w:color w:val="242121"/>
                <w:sz w:val="28"/>
                <w:szCs w:val="28"/>
              </w:rPr>
            </w:pPr>
            <w:r>
              <w:rPr>
                <w:rFonts w:ascii="Arial" w:hAnsi="Arial" w:cs="Arial"/>
                <w:b/>
                <w:bCs/>
                <w:color w:val="242121"/>
                <w:sz w:val="28"/>
                <w:szCs w:val="28"/>
              </w:rPr>
              <w:t>ORDER</w:t>
            </w:r>
          </w:p>
          <w:p w:rsidR="007A57B2" w:rsidRPr="00695D56" w:rsidRDefault="007A57B2" w:rsidP="00563C7F">
            <w:pPr>
              <w:spacing w:line="360" w:lineRule="auto"/>
              <w:jc w:val="both"/>
              <w:rPr>
                <w:rFonts w:ascii="Arial" w:hAnsi="Arial" w:cs="Arial"/>
                <w:b/>
                <w:bCs/>
                <w:color w:val="242121"/>
                <w:sz w:val="28"/>
                <w:szCs w:val="28"/>
              </w:rPr>
            </w:pPr>
          </w:p>
        </w:tc>
      </w:tr>
    </w:tbl>
    <w:p w:rsidR="007A57B2" w:rsidRDefault="007A57B2" w:rsidP="007A57B2">
      <w:pPr>
        <w:spacing w:line="240" w:lineRule="auto"/>
        <w:jc w:val="both"/>
        <w:rPr>
          <w:rFonts w:ascii="Arial" w:eastAsia="Times New Roman" w:hAnsi="Arial" w:cs="Arial"/>
          <w:color w:val="000000" w:themeColor="text1"/>
          <w:sz w:val="28"/>
          <w:szCs w:val="28"/>
          <w:lang w:eastAsia="en-ZA"/>
        </w:rPr>
      </w:pPr>
    </w:p>
    <w:p w:rsidR="007A57B2" w:rsidRDefault="007A57B2" w:rsidP="00C4626F">
      <w:pPr>
        <w:spacing w:line="240" w:lineRule="auto"/>
        <w:jc w:val="both"/>
        <w:rPr>
          <w:rFonts w:ascii="Arial" w:hAnsi="Arial" w:cs="Arial"/>
          <w:b/>
          <w:sz w:val="28"/>
          <w:szCs w:val="28"/>
        </w:rPr>
      </w:pPr>
      <w:r>
        <w:rPr>
          <w:rFonts w:ascii="Arial" w:eastAsia="Times New Roman" w:hAnsi="Arial" w:cs="Arial"/>
          <w:color w:val="000000" w:themeColor="text1"/>
          <w:sz w:val="28"/>
          <w:szCs w:val="28"/>
          <w:lang w:eastAsia="en-ZA"/>
        </w:rPr>
        <w:t>Consequently, the following order is made:</w:t>
      </w:r>
    </w:p>
    <w:p w:rsidR="00C4626F" w:rsidRPr="00AB5F87" w:rsidRDefault="00AB5F87" w:rsidP="00AB5F87">
      <w:pPr>
        <w:autoSpaceDE w:val="0"/>
        <w:autoSpaceDN w:val="0"/>
        <w:adjustRightInd w:val="0"/>
        <w:spacing w:after="0" w:line="360" w:lineRule="auto"/>
        <w:ind w:left="1080" w:hanging="360"/>
        <w:jc w:val="both"/>
        <w:rPr>
          <w:rFonts w:ascii="Arial" w:hAnsi="Arial" w:cs="Arial"/>
          <w:sz w:val="28"/>
          <w:szCs w:val="28"/>
        </w:rPr>
      </w:pPr>
      <w:r w:rsidRPr="00C4626F">
        <w:rPr>
          <w:rFonts w:ascii="Arial" w:hAnsi="Arial" w:cs="Arial"/>
          <w:sz w:val="28"/>
          <w:szCs w:val="28"/>
        </w:rPr>
        <w:t>1.</w:t>
      </w:r>
      <w:r w:rsidRPr="00C4626F">
        <w:rPr>
          <w:rFonts w:ascii="Arial" w:hAnsi="Arial" w:cs="Arial"/>
          <w:sz w:val="28"/>
          <w:szCs w:val="28"/>
        </w:rPr>
        <w:tab/>
      </w:r>
      <w:r w:rsidR="00C4626F" w:rsidRPr="00AB5F87">
        <w:rPr>
          <w:rFonts w:ascii="Arial" w:hAnsi="Arial" w:cs="Arial"/>
          <w:sz w:val="28"/>
          <w:szCs w:val="28"/>
        </w:rPr>
        <w:t>The application is dismissed.</w:t>
      </w:r>
    </w:p>
    <w:p w:rsidR="007A57B2" w:rsidRPr="00AB5F87" w:rsidRDefault="00AB5F87" w:rsidP="00AB5F87">
      <w:pPr>
        <w:autoSpaceDE w:val="0"/>
        <w:autoSpaceDN w:val="0"/>
        <w:adjustRightInd w:val="0"/>
        <w:spacing w:after="0" w:line="360" w:lineRule="auto"/>
        <w:ind w:left="1080" w:hanging="360"/>
        <w:jc w:val="both"/>
        <w:rPr>
          <w:rFonts w:ascii="Arial" w:hAnsi="Arial" w:cs="Arial"/>
          <w:sz w:val="28"/>
          <w:szCs w:val="28"/>
        </w:rPr>
      </w:pPr>
      <w:r w:rsidRPr="00E3232C">
        <w:rPr>
          <w:rFonts w:ascii="Arial" w:hAnsi="Arial" w:cs="Arial"/>
          <w:sz w:val="28"/>
          <w:szCs w:val="28"/>
        </w:rPr>
        <w:t>2.</w:t>
      </w:r>
      <w:r w:rsidRPr="00E3232C">
        <w:rPr>
          <w:rFonts w:ascii="Arial" w:hAnsi="Arial" w:cs="Arial"/>
          <w:sz w:val="28"/>
          <w:szCs w:val="28"/>
        </w:rPr>
        <w:tab/>
      </w:r>
      <w:r w:rsidR="00C4626F" w:rsidRPr="00AB5F87">
        <w:rPr>
          <w:rFonts w:ascii="Arial" w:hAnsi="Arial" w:cs="Arial"/>
          <w:sz w:val="28"/>
          <w:szCs w:val="28"/>
        </w:rPr>
        <w:t xml:space="preserve">The Applicant is ordered to pay costs of the application from the date delivery of the replying affidavit. </w:t>
      </w:r>
    </w:p>
    <w:tbl>
      <w:tblPr>
        <w:tblStyle w:val="TableGrid"/>
        <w:tblW w:w="9466" w:type="dxa"/>
        <w:tblInd w:w="0" w:type="dxa"/>
        <w:tblLook w:val="04A0" w:firstRow="1" w:lastRow="0" w:firstColumn="1" w:lastColumn="0" w:noHBand="0" w:noVBand="1"/>
      </w:tblPr>
      <w:tblGrid>
        <w:gridCol w:w="9466"/>
      </w:tblGrid>
      <w:tr w:rsidR="007A57B2" w:rsidTr="00563C7F">
        <w:trPr>
          <w:trHeight w:val="701"/>
        </w:trPr>
        <w:tc>
          <w:tcPr>
            <w:tcW w:w="9466" w:type="dxa"/>
            <w:tcBorders>
              <w:top w:val="single" w:sz="4" w:space="0" w:color="auto"/>
              <w:left w:val="single" w:sz="4" w:space="0" w:color="auto"/>
              <w:bottom w:val="single" w:sz="4" w:space="0" w:color="auto"/>
              <w:right w:val="single" w:sz="4" w:space="0" w:color="auto"/>
            </w:tcBorders>
            <w:shd w:val="clear" w:color="auto" w:fill="D9D9D9"/>
          </w:tcPr>
          <w:p w:rsidR="007A57B2" w:rsidRDefault="007A57B2" w:rsidP="00563C7F">
            <w:pPr>
              <w:spacing w:line="360" w:lineRule="auto"/>
              <w:jc w:val="both"/>
              <w:rPr>
                <w:rFonts w:ascii="Arial" w:hAnsi="Arial" w:cs="Arial"/>
                <w:b/>
                <w:bCs/>
                <w:color w:val="242121"/>
                <w:sz w:val="28"/>
                <w:szCs w:val="28"/>
              </w:rPr>
            </w:pPr>
          </w:p>
          <w:p w:rsidR="007A57B2" w:rsidRDefault="007A57B2" w:rsidP="00563C7F">
            <w:pPr>
              <w:spacing w:line="360" w:lineRule="auto"/>
              <w:jc w:val="center"/>
              <w:rPr>
                <w:rFonts w:ascii="Arial" w:hAnsi="Arial" w:cs="Arial"/>
                <w:b/>
                <w:bCs/>
                <w:color w:val="242121"/>
                <w:sz w:val="28"/>
                <w:szCs w:val="28"/>
              </w:rPr>
            </w:pPr>
            <w:r>
              <w:rPr>
                <w:rFonts w:ascii="Arial" w:hAnsi="Arial" w:cs="Arial"/>
                <w:b/>
                <w:bCs/>
                <w:color w:val="242121"/>
                <w:sz w:val="28"/>
                <w:szCs w:val="28"/>
              </w:rPr>
              <w:t>JUDGMENT</w:t>
            </w:r>
          </w:p>
          <w:p w:rsidR="007A57B2" w:rsidRDefault="007A57B2" w:rsidP="00563C7F">
            <w:pPr>
              <w:spacing w:line="360" w:lineRule="auto"/>
              <w:jc w:val="both"/>
              <w:rPr>
                <w:rFonts w:ascii="Arial" w:hAnsi="Arial" w:cs="Arial"/>
                <w:b/>
                <w:bCs/>
                <w:color w:val="242121"/>
                <w:sz w:val="28"/>
                <w:szCs w:val="28"/>
              </w:rPr>
            </w:pPr>
          </w:p>
        </w:tc>
      </w:tr>
    </w:tbl>
    <w:p w:rsidR="007A57B2" w:rsidRDefault="007A57B2" w:rsidP="007A57B2">
      <w:pPr>
        <w:rPr>
          <w:rFonts w:ascii="Arial" w:hAnsi="Arial" w:cs="Arial"/>
          <w:b/>
          <w:sz w:val="28"/>
          <w:szCs w:val="28"/>
          <w:u w:val="single"/>
        </w:rPr>
      </w:pPr>
    </w:p>
    <w:p w:rsidR="007A57B2" w:rsidRPr="005C6649" w:rsidRDefault="007A57B2" w:rsidP="007A57B2">
      <w:pPr>
        <w:spacing w:line="240" w:lineRule="auto"/>
        <w:jc w:val="both"/>
        <w:rPr>
          <w:rFonts w:ascii="Arial" w:hAnsi="Arial" w:cs="Arial"/>
          <w:b/>
          <w:sz w:val="28"/>
          <w:szCs w:val="28"/>
          <w:u w:val="single"/>
        </w:rPr>
      </w:pPr>
      <w:r w:rsidRPr="005C6649">
        <w:rPr>
          <w:rFonts w:ascii="Arial" w:hAnsi="Arial" w:cs="Arial"/>
          <w:b/>
          <w:sz w:val="28"/>
          <w:szCs w:val="28"/>
          <w:u w:val="single"/>
        </w:rPr>
        <w:t>DJAJE ADJP</w:t>
      </w:r>
    </w:p>
    <w:p w:rsidR="005C414D" w:rsidRPr="00D33A5C" w:rsidRDefault="005C414D" w:rsidP="00FD0DC6">
      <w:pPr>
        <w:rPr>
          <w:rFonts w:ascii="Arial" w:hAnsi="Arial" w:cs="Arial"/>
          <w:sz w:val="28"/>
          <w:szCs w:val="28"/>
        </w:rPr>
      </w:pPr>
    </w:p>
    <w:p w:rsidR="005C414D" w:rsidRPr="00D33A5C" w:rsidRDefault="00F610EB" w:rsidP="00D33A5C">
      <w:pPr>
        <w:spacing w:line="360" w:lineRule="auto"/>
        <w:ind w:left="720" w:hanging="720"/>
        <w:jc w:val="both"/>
        <w:rPr>
          <w:rFonts w:ascii="Arial" w:hAnsi="Arial" w:cs="Arial"/>
          <w:sz w:val="28"/>
          <w:szCs w:val="28"/>
        </w:rPr>
      </w:pPr>
      <w:r w:rsidRPr="00D33A5C">
        <w:rPr>
          <w:rFonts w:ascii="Arial" w:hAnsi="Arial" w:cs="Arial"/>
          <w:sz w:val="28"/>
          <w:szCs w:val="28"/>
        </w:rPr>
        <w:t>[1]</w:t>
      </w:r>
      <w:r w:rsidR="00D33A5C">
        <w:rPr>
          <w:rFonts w:ascii="Arial" w:hAnsi="Arial" w:cs="Arial"/>
          <w:sz w:val="28"/>
          <w:szCs w:val="28"/>
        </w:rPr>
        <w:tab/>
      </w:r>
      <w:r w:rsidR="005C414D" w:rsidRPr="00D33A5C">
        <w:rPr>
          <w:rFonts w:ascii="Arial" w:hAnsi="Arial" w:cs="Arial"/>
          <w:sz w:val="28"/>
          <w:szCs w:val="28"/>
        </w:rPr>
        <w:t>Th</w:t>
      </w:r>
      <w:r w:rsidR="00693C5E">
        <w:rPr>
          <w:rFonts w:ascii="Arial" w:hAnsi="Arial" w:cs="Arial"/>
          <w:sz w:val="28"/>
          <w:szCs w:val="28"/>
        </w:rPr>
        <w:t xml:space="preserve">e applicant brought an </w:t>
      </w:r>
      <w:r w:rsidR="005C414D" w:rsidRPr="00D33A5C">
        <w:rPr>
          <w:rFonts w:ascii="Arial" w:hAnsi="Arial" w:cs="Arial"/>
          <w:sz w:val="28"/>
          <w:szCs w:val="28"/>
        </w:rPr>
        <w:t>application</w:t>
      </w:r>
      <w:r w:rsidR="00372905">
        <w:rPr>
          <w:rFonts w:ascii="Arial" w:hAnsi="Arial" w:cs="Arial"/>
          <w:sz w:val="28"/>
          <w:szCs w:val="28"/>
        </w:rPr>
        <w:t xml:space="preserve"> </w:t>
      </w:r>
      <w:r w:rsidR="003E5457">
        <w:rPr>
          <w:rFonts w:ascii="Arial" w:hAnsi="Arial" w:cs="Arial"/>
          <w:sz w:val="28"/>
          <w:szCs w:val="28"/>
        </w:rPr>
        <w:t xml:space="preserve">to compel the </w:t>
      </w:r>
      <w:r w:rsidR="00440F10">
        <w:rPr>
          <w:rFonts w:ascii="Arial" w:hAnsi="Arial" w:cs="Arial"/>
          <w:sz w:val="28"/>
          <w:szCs w:val="28"/>
        </w:rPr>
        <w:t>r</w:t>
      </w:r>
      <w:r w:rsidR="003E5457">
        <w:rPr>
          <w:rFonts w:ascii="Arial" w:hAnsi="Arial" w:cs="Arial"/>
          <w:sz w:val="28"/>
          <w:szCs w:val="28"/>
        </w:rPr>
        <w:t>espondent to comply with the notice in terms of Rule 35(3) of the Uniform Rules of Court</w:t>
      </w:r>
      <w:r w:rsidR="00440F10">
        <w:rPr>
          <w:rFonts w:ascii="Arial" w:hAnsi="Arial" w:cs="Arial"/>
          <w:sz w:val="28"/>
          <w:szCs w:val="28"/>
        </w:rPr>
        <w:t xml:space="preserve">. The notice was issued after the respondent had delivered its discovery affidavit on </w:t>
      </w:r>
      <w:r w:rsidR="00440F10" w:rsidRPr="007A57B2">
        <w:rPr>
          <w:rFonts w:ascii="Arial" w:hAnsi="Arial" w:cs="Arial"/>
          <w:b/>
          <w:sz w:val="28"/>
          <w:szCs w:val="28"/>
        </w:rPr>
        <w:t>12 September 2019</w:t>
      </w:r>
      <w:r w:rsidR="00440F10">
        <w:rPr>
          <w:rFonts w:ascii="Arial" w:hAnsi="Arial" w:cs="Arial"/>
          <w:sz w:val="28"/>
          <w:szCs w:val="28"/>
        </w:rPr>
        <w:t xml:space="preserve">. The applicant’s case is that the discovery affidavit by the respondent, </w:t>
      </w:r>
      <w:r w:rsidR="00577C29">
        <w:rPr>
          <w:rFonts w:ascii="Arial" w:hAnsi="Arial" w:cs="Arial"/>
          <w:sz w:val="28"/>
          <w:szCs w:val="28"/>
        </w:rPr>
        <w:t>did not include</w:t>
      </w:r>
      <w:r w:rsidR="00440F10">
        <w:rPr>
          <w:rFonts w:ascii="Arial" w:hAnsi="Arial" w:cs="Arial"/>
          <w:sz w:val="28"/>
          <w:szCs w:val="28"/>
        </w:rPr>
        <w:t xml:space="preserve"> any document of substance.</w:t>
      </w:r>
    </w:p>
    <w:p w:rsidR="00D33A5C" w:rsidRDefault="00D33A5C" w:rsidP="005C414D">
      <w:pPr>
        <w:spacing w:line="360" w:lineRule="auto"/>
        <w:jc w:val="both"/>
        <w:rPr>
          <w:rFonts w:ascii="Arial" w:hAnsi="Arial" w:cs="Arial"/>
          <w:b/>
          <w:sz w:val="28"/>
          <w:szCs w:val="28"/>
        </w:rPr>
      </w:pPr>
    </w:p>
    <w:p w:rsidR="00B666C2" w:rsidRDefault="00F610EB" w:rsidP="00C4626F">
      <w:pPr>
        <w:spacing w:line="360" w:lineRule="auto"/>
        <w:ind w:left="720" w:hanging="720"/>
        <w:jc w:val="both"/>
        <w:rPr>
          <w:rFonts w:ascii="Arial" w:hAnsi="Arial" w:cs="Arial"/>
          <w:sz w:val="28"/>
          <w:szCs w:val="28"/>
        </w:rPr>
      </w:pPr>
      <w:r w:rsidRPr="00D33A5C">
        <w:rPr>
          <w:rFonts w:ascii="Arial" w:hAnsi="Arial" w:cs="Arial"/>
          <w:sz w:val="28"/>
          <w:szCs w:val="28"/>
        </w:rPr>
        <w:t>[2</w:t>
      </w:r>
      <w:r w:rsidR="00606C0B" w:rsidRPr="00D33A5C">
        <w:rPr>
          <w:rFonts w:ascii="Arial" w:hAnsi="Arial" w:cs="Arial"/>
          <w:sz w:val="28"/>
          <w:szCs w:val="28"/>
        </w:rPr>
        <w:t>]</w:t>
      </w:r>
      <w:r w:rsidR="00D33A5C">
        <w:rPr>
          <w:rFonts w:ascii="Arial" w:hAnsi="Arial" w:cs="Arial"/>
          <w:sz w:val="28"/>
          <w:szCs w:val="28"/>
        </w:rPr>
        <w:tab/>
      </w:r>
      <w:r w:rsidR="00606C0B" w:rsidRPr="00D33A5C">
        <w:rPr>
          <w:rFonts w:ascii="Arial" w:hAnsi="Arial" w:cs="Arial"/>
          <w:sz w:val="28"/>
          <w:szCs w:val="28"/>
        </w:rPr>
        <w:t>The</w:t>
      </w:r>
      <w:r w:rsidR="005C414D" w:rsidRPr="00D33A5C">
        <w:rPr>
          <w:rFonts w:ascii="Arial" w:hAnsi="Arial" w:cs="Arial"/>
          <w:sz w:val="28"/>
          <w:szCs w:val="28"/>
        </w:rPr>
        <w:t xml:space="preserve"> </w:t>
      </w:r>
      <w:r w:rsidR="00440F10">
        <w:rPr>
          <w:rFonts w:ascii="Arial" w:hAnsi="Arial" w:cs="Arial"/>
          <w:sz w:val="28"/>
          <w:szCs w:val="28"/>
        </w:rPr>
        <w:t>a</w:t>
      </w:r>
      <w:r w:rsidR="003E5457">
        <w:rPr>
          <w:rFonts w:ascii="Arial" w:hAnsi="Arial" w:cs="Arial"/>
          <w:sz w:val="28"/>
          <w:szCs w:val="28"/>
        </w:rPr>
        <w:t xml:space="preserve">pplicant </w:t>
      </w:r>
      <w:r w:rsidR="005C414D" w:rsidRPr="00D33A5C">
        <w:rPr>
          <w:rFonts w:ascii="Arial" w:hAnsi="Arial" w:cs="Arial"/>
          <w:sz w:val="28"/>
          <w:szCs w:val="28"/>
        </w:rPr>
        <w:t xml:space="preserve">issued summons against the </w:t>
      </w:r>
      <w:r w:rsidR="00440F10">
        <w:rPr>
          <w:rFonts w:ascii="Arial" w:hAnsi="Arial" w:cs="Arial"/>
          <w:sz w:val="28"/>
          <w:szCs w:val="28"/>
        </w:rPr>
        <w:t>respondent</w:t>
      </w:r>
      <w:r w:rsidR="003E5457">
        <w:rPr>
          <w:rFonts w:ascii="Arial" w:hAnsi="Arial" w:cs="Arial"/>
          <w:sz w:val="28"/>
          <w:szCs w:val="28"/>
        </w:rPr>
        <w:t xml:space="preserve"> </w:t>
      </w:r>
      <w:r w:rsidR="005C414D" w:rsidRPr="00D33A5C">
        <w:rPr>
          <w:rFonts w:ascii="Arial" w:hAnsi="Arial" w:cs="Arial"/>
          <w:sz w:val="28"/>
          <w:szCs w:val="28"/>
        </w:rPr>
        <w:t xml:space="preserve">for </w:t>
      </w:r>
      <w:r w:rsidR="00440F10">
        <w:rPr>
          <w:rFonts w:ascii="Arial" w:hAnsi="Arial" w:cs="Arial"/>
          <w:sz w:val="28"/>
          <w:szCs w:val="28"/>
        </w:rPr>
        <w:t>services rendered</w:t>
      </w:r>
      <w:r w:rsidR="00494F14">
        <w:rPr>
          <w:rFonts w:ascii="Arial" w:hAnsi="Arial" w:cs="Arial"/>
          <w:sz w:val="28"/>
          <w:szCs w:val="28"/>
        </w:rPr>
        <w:t xml:space="preserve"> to the respondent as chairperson and project manager. The applicant claims t</w:t>
      </w:r>
      <w:r w:rsidR="00577C29">
        <w:rPr>
          <w:rFonts w:ascii="Arial" w:hAnsi="Arial" w:cs="Arial"/>
          <w:sz w:val="28"/>
          <w:szCs w:val="28"/>
        </w:rPr>
        <w:t xml:space="preserve">hat he is entitled to a </w:t>
      </w:r>
      <w:r w:rsidR="00577C29" w:rsidRPr="00577C29">
        <w:rPr>
          <w:rFonts w:ascii="Arial" w:hAnsi="Arial" w:cs="Arial"/>
          <w:i/>
          <w:sz w:val="28"/>
          <w:szCs w:val="28"/>
        </w:rPr>
        <w:t>pro rata</w:t>
      </w:r>
      <w:r w:rsidR="00494F14">
        <w:rPr>
          <w:rFonts w:ascii="Arial" w:hAnsi="Arial" w:cs="Arial"/>
          <w:sz w:val="28"/>
          <w:szCs w:val="28"/>
        </w:rPr>
        <w:t xml:space="preserve"> distribution of profits of the respondent as a percentage holder member of the respondent. The applicant’s claim is as laid out in the amended particulars of claim and summarised in the applicant’s heads of argument as follows:</w:t>
      </w:r>
    </w:p>
    <w:p w:rsidR="00B666C2" w:rsidRPr="00E3232C" w:rsidRDefault="00B666C2" w:rsidP="00B666C2">
      <w:pPr>
        <w:pStyle w:val="PlainText"/>
        <w:spacing w:line="360" w:lineRule="auto"/>
        <w:jc w:val="both"/>
        <w:rPr>
          <w:rFonts w:ascii="Arial" w:hAnsi="Arial" w:cs="Arial"/>
          <w:sz w:val="12"/>
          <w:szCs w:val="12"/>
        </w:rPr>
      </w:pPr>
    </w:p>
    <w:p w:rsidR="00494F14" w:rsidRPr="00577C29" w:rsidRDefault="00705012" w:rsidP="00705012">
      <w:pPr>
        <w:spacing w:line="360" w:lineRule="auto"/>
        <w:ind w:left="1440" w:hanging="720"/>
        <w:jc w:val="both"/>
        <w:rPr>
          <w:rFonts w:ascii="Arial" w:hAnsi="Arial" w:cs="Arial"/>
          <w:i/>
          <w:sz w:val="24"/>
          <w:szCs w:val="24"/>
        </w:rPr>
      </w:pPr>
      <w:r w:rsidRPr="00577C29">
        <w:rPr>
          <w:rFonts w:ascii="Arial" w:hAnsi="Arial" w:cs="Arial"/>
          <w:i/>
          <w:sz w:val="24"/>
          <w:szCs w:val="24"/>
        </w:rPr>
        <w:t>“2.</w:t>
      </w:r>
      <w:r w:rsidRPr="00577C29">
        <w:rPr>
          <w:rFonts w:ascii="Arial" w:hAnsi="Arial" w:cs="Arial"/>
          <w:i/>
          <w:sz w:val="24"/>
          <w:szCs w:val="24"/>
        </w:rPr>
        <w:tab/>
        <w:t>The circumstances giving rise to both claims, including the alternative to the first claim, emanate from the Respondent, through the Moses Kotane Local Municipality, obtaining rights of ownership and development in respect of property formally described as Portion 22 of the Farm Olivenboom 62, Registration Division JQ, North West Province (“the property”).</w:t>
      </w:r>
    </w:p>
    <w:p w:rsidR="00705012" w:rsidRPr="00AB5F87" w:rsidRDefault="00AB5F87" w:rsidP="00AB5F87">
      <w:pPr>
        <w:spacing w:line="360" w:lineRule="auto"/>
        <w:ind w:left="1080" w:hanging="360"/>
        <w:jc w:val="both"/>
        <w:rPr>
          <w:rFonts w:ascii="Arial" w:hAnsi="Arial" w:cs="Arial"/>
          <w:i/>
          <w:sz w:val="24"/>
          <w:szCs w:val="24"/>
        </w:rPr>
      </w:pPr>
      <w:r w:rsidRPr="00577C29">
        <w:rPr>
          <w:rFonts w:ascii="Arial" w:hAnsi="Arial" w:cs="Arial"/>
          <w:i/>
          <w:sz w:val="24"/>
          <w:szCs w:val="24"/>
        </w:rPr>
        <w:lastRenderedPageBreak/>
        <w:t>3.</w:t>
      </w:r>
      <w:r w:rsidRPr="00577C29">
        <w:rPr>
          <w:rFonts w:ascii="Arial" w:hAnsi="Arial" w:cs="Arial"/>
          <w:i/>
          <w:sz w:val="24"/>
          <w:szCs w:val="24"/>
        </w:rPr>
        <w:tab/>
      </w:r>
      <w:r w:rsidR="00705012" w:rsidRPr="00AB5F87">
        <w:rPr>
          <w:rFonts w:ascii="Arial" w:hAnsi="Arial" w:cs="Arial"/>
          <w:i/>
          <w:sz w:val="24"/>
          <w:szCs w:val="24"/>
        </w:rPr>
        <w:t xml:space="preserve">Pursuant to the securing such rights over the Property, the Applicant was appointed to facilitate the sale or development of the Property, and the </w:t>
      </w:r>
      <w:r w:rsidR="00577C29" w:rsidRPr="00AB5F87">
        <w:rPr>
          <w:rFonts w:ascii="Arial" w:hAnsi="Arial" w:cs="Arial"/>
          <w:i/>
          <w:sz w:val="24"/>
          <w:szCs w:val="24"/>
        </w:rPr>
        <w:t>Applicant contends that he is entitled to compensation emanating from his successful efforts in securing the developmental potential of the Property.</w:t>
      </w:r>
    </w:p>
    <w:p w:rsidR="00577C29" w:rsidRPr="00AB5F87" w:rsidRDefault="00AB5F87" w:rsidP="00AB5F87">
      <w:pPr>
        <w:spacing w:line="360" w:lineRule="auto"/>
        <w:ind w:left="1080" w:hanging="360"/>
        <w:jc w:val="both"/>
        <w:rPr>
          <w:rFonts w:ascii="Arial" w:hAnsi="Arial" w:cs="Arial"/>
          <w:i/>
          <w:sz w:val="24"/>
          <w:szCs w:val="24"/>
        </w:rPr>
      </w:pPr>
      <w:r w:rsidRPr="00577C29">
        <w:rPr>
          <w:rFonts w:ascii="Arial" w:hAnsi="Arial" w:cs="Arial"/>
          <w:i/>
          <w:sz w:val="24"/>
          <w:szCs w:val="24"/>
        </w:rPr>
        <w:t>4.</w:t>
      </w:r>
      <w:r w:rsidRPr="00577C29">
        <w:rPr>
          <w:rFonts w:ascii="Arial" w:hAnsi="Arial" w:cs="Arial"/>
          <w:i/>
          <w:sz w:val="24"/>
          <w:szCs w:val="24"/>
        </w:rPr>
        <w:tab/>
      </w:r>
      <w:r w:rsidR="00577C29" w:rsidRPr="00AB5F87">
        <w:rPr>
          <w:rFonts w:ascii="Arial" w:hAnsi="Arial" w:cs="Arial"/>
          <w:i/>
          <w:sz w:val="24"/>
          <w:szCs w:val="24"/>
        </w:rPr>
        <w:t>Through this intervention, the Respondent secured Sashqia Beleggings CC as a purchaser and developer of the Property. Through the conclusion of a deed of sale concluded with Sashqia Beleggings CC (“Sashqia”), the Respondent would receive significant sums of money. The Applicant contends that he is entitled to share in such proceeds in terms of the aforementioned agreement (as related to services rendered) in addition to in his capacity as a member of the Respondent.”</w:t>
      </w:r>
    </w:p>
    <w:p w:rsidR="00705012" w:rsidRDefault="00705012" w:rsidP="00ED7C92">
      <w:pPr>
        <w:spacing w:line="360" w:lineRule="auto"/>
        <w:ind w:left="720" w:hanging="720"/>
        <w:jc w:val="both"/>
        <w:rPr>
          <w:rFonts w:ascii="Arial" w:hAnsi="Arial" w:cs="Arial"/>
          <w:sz w:val="28"/>
          <w:szCs w:val="28"/>
        </w:rPr>
      </w:pPr>
    </w:p>
    <w:p w:rsidR="007752E1" w:rsidRDefault="00157576" w:rsidP="00D33A5C">
      <w:pPr>
        <w:spacing w:line="360" w:lineRule="auto"/>
        <w:ind w:left="720" w:hanging="720"/>
        <w:jc w:val="both"/>
        <w:rPr>
          <w:rFonts w:ascii="Arial" w:hAnsi="Arial" w:cs="Arial"/>
          <w:sz w:val="28"/>
          <w:szCs w:val="28"/>
        </w:rPr>
      </w:pPr>
      <w:r>
        <w:rPr>
          <w:rFonts w:ascii="Arial" w:hAnsi="Arial" w:cs="Arial"/>
          <w:sz w:val="28"/>
          <w:szCs w:val="28"/>
        </w:rPr>
        <w:t>[3]</w:t>
      </w:r>
      <w:r>
        <w:rPr>
          <w:rFonts w:ascii="Arial" w:hAnsi="Arial" w:cs="Arial"/>
          <w:sz w:val="28"/>
          <w:szCs w:val="28"/>
        </w:rPr>
        <w:tab/>
      </w:r>
      <w:r w:rsidR="00B85947">
        <w:rPr>
          <w:rFonts w:ascii="Arial" w:hAnsi="Arial" w:cs="Arial"/>
          <w:sz w:val="28"/>
          <w:szCs w:val="28"/>
        </w:rPr>
        <w:t xml:space="preserve">The </w:t>
      </w:r>
      <w:r w:rsidR="00494F14">
        <w:rPr>
          <w:rFonts w:ascii="Arial" w:hAnsi="Arial" w:cs="Arial"/>
          <w:sz w:val="28"/>
          <w:szCs w:val="28"/>
        </w:rPr>
        <w:t>a</w:t>
      </w:r>
      <w:r w:rsidR="005020D4">
        <w:rPr>
          <w:rFonts w:ascii="Arial" w:hAnsi="Arial" w:cs="Arial"/>
          <w:sz w:val="28"/>
          <w:szCs w:val="28"/>
        </w:rPr>
        <w:t xml:space="preserve">pplicant </w:t>
      </w:r>
      <w:r w:rsidR="00B85947">
        <w:rPr>
          <w:rFonts w:ascii="Arial" w:hAnsi="Arial" w:cs="Arial"/>
          <w:sz w:val="28"/>
          <w:szCs w:val="28"/>
        </w:rPr>
        <w:t xml:space="preserve">seeks an order </w:t>
      </w:r>
      <w:r w:rsidR="005020D4">
        <w:rPr>
          <w:rFonts w:ascii="Arial" w:hAnsi="Arial" w:cs="Arial"/>
          <w:sz w:val="28"/>
          <w:szCs w:val="28"/>
        </w:rPr>
        <w:t xml:space="preserve">compelling the </w:t>
      </w:r>
      <w:r w:rsidR="00494F14">
        <w:rPr>
          <w:rFonts w:ascii="Arial" w:hAnsi="Arial" w:cs="Arial"/>
          <w:sz w:val="28"/>
          <w:szCs w:val="28"/>
        </w:rPr>
        <w:t>r</w:t>
      </w:r>
      <w:r w:rsidR="005020D4">
        <w:rPr>
          <w:rFonts w:ascii="Arial" w:hAnsi="Arial" w:cs="Arial"/>
          <w:sz w:val="28"/>
          <w:szCs w:val="28"/>
        </w:rPr>
        <w:t>espondents to discover the documents as stated in</w:t>
      </w:r>
      <w:r w:rsidR="00494F14">
        <w:rPr>
          <w:rFonts w:ascii="Arial" w:hAnsi="Arial" w:cs="Arial"/>
          <w:sz w:val="28"/>
          <w:szCs w:val="28"/>
        </w:rPr>
        <w:t xml:space="preserve"> t</w:t>
      </w:r>
      <w:r w:rsidR="005020D4">
        <w:rPr>
          <w:rFonts w:ascii="Arial" w:hAnsi="Arial" w:cs="Arial"/>
          <w:sz w:val="28"/>
          <w:szCs w:val="28"/>
        </w:rPr>
        <w:t xml:space="preserve">he notice in terms of Rule 35(3). It is the </w:t>
      </w:r>
      <w:r w:rsidR="00494F14">
        <w:rPr>
          <w:rFonts w:ascii="Arial" w:hAnsi="Arial" w:cs="Arial"/>
          <w:sz w:val="28"/>
          <w:szCs w:val="28"/>
        </w:rPr>
        <w:t>a</w:t>
      </w:r>
      <w:r w:rsidR="005020D4">
        <w:rPr>
          <w:rFonts w:ascii="Arial" w:hAnsi="Arial" w:cs="Arial"/>
          <w:sz w:val="28"/>
          <w:szCs w:val="28"/>
        </w:rPr>
        <w:t xml:space="preserve">pplicant’s case that </w:t>
      </w:r>
      <w:r w:rsidR="00494F14">
        <w:rPr>
          <w:rFonts w:ascii="Arial" w:hAnsi="Arial" w:cs="Arial"/>
          <w:sz w:val="28"/>
          <w:szCs w:val="28"/>
        </w:rPr>
        <w:t xml:space="preserve">the said documents are relevant and </w:t>
      </w:r>
      <w:r w:rsidR="005020D4">
        <w:rPr>
          <w:rFonts w:ascii="Arial" w:hAnsi="Arial" w:cs="Arial"/>
          <w:sz w:val="28"/>
          <w:szCs w:val="28"/>
        </w:rPr>
        <w:t>he will not be in a position to proceed with trial without the</w:t>
      </w:r>
      <w:r w:rsidR="00494F14">
        <w:rPr>
          <w:rFonts w:ascii="Arial" w:hAnsi="Arial" w:cs="Arial"/>
          <w:sz w:val="28"/>
          <w:szCs w:val="28"/>
        </w:rPr>
        <w:t xml:space="preserve">m. </w:t>
      </w:r>
      <w:r w:rsidR="00862641">
        <w:rPr>
          <w:rFonts w:ascii="Arial" w:hAnsi="Arial" w:cs="Arial"/>
          <w:sz w:val="28"/>
          <w:szCs w:val="28"/>
        </w:rPr>
        <w:t>These documents will be dealt with hereunder.</w:t>
      </w:r>
    </w:p>
    <w:p w:rsidR="00E3232C" w:rsidRDefault="00E3232C" w:rsidP="005A0FE7">
      <w:pPr>
        <w:spacing w:line="360" w:lineRule="auto"/>
        <w:jc w:val="both"/>
        <w:rPr>
          <w:rFonts w:ascii="Arial" w:hAnsi="Arial" w:cs="Arial"/>
          <w:sz w:val="28"/>
          <w:szCs w:val="28"/>
        </w:rPr>
      </w:pPr>
    </w:p>
    <w:p w:rsidR="00862641" w:rsidRPr="00862641" w:rsidRDefault="00862641" w:rsidP="00D33A5C">
      <w:pPr>
        <w:spacing w:line="360" w:lineRule="auto"/>
        <w:ind w:left="720" w:hanging="720"/>
        <w:jc w:val="both"/>
        <w:rPr>
          <w:rFonts w:ascii="Arial" w:hAnsi="Arial" w:cs="Arial"/>
          <w:b/>
          <w:sz w:val="28"/>
          <w:szCs w:val="28"/>
        </w:rPr>
      </w:pPr>
      <w:r w:rsidRPr="00862641">
        <w:rPr>
          <w:rFonts w:ascii="Arial" w:hAnsi="Arial" w:cs="Arial"/>
          <w:b/>
          <w:sz w:val="28"/>
          <w:szCs w:val="28"/>
        </w:rPr>
        <w:t>Bank statements and agreements with Sashqia</w:t>
      </w:r>
    </w:p>
    <w:p w:rsidR="007752E1" w:rsidRPr="007A57B2" w:rsidRDefault="007752E1" w:rsidP="00D33A5C">
      <w:pPr>
        <w:spacing w:line="360" w:lineRule="auto"/>
        <w:ind w:left="720" w:hanging="720"/>
        <w:jc w:val="both"/>
        <w:rPr>
          <w:rFonts w:ascii="Arial" w:hAnsi="Arial" w:cs="Arial"/>
          <w:sz w:val="12"/>
          <w:szCs w:val="12"/>
        </w:rPr>
      </w:pPr>
    </w:p>
    <w:p w:rsidR="003D6102" w:rsidRDefault="00E3232C" w:rsidP="00D33A5C">
      <w:pPr>
        <w:spacing w:line="360" w:lineRule="auto"/>
        <w:ind w:left="720" w:hanging="720"/>
        <w:jc w:val="both"/>
        <w:rPr>
          <w:rFonts w:ascii="Arial" w:hAnsi="Arial" w:cs="Arial"/>
          <w:sz w:val="28"/>
          <w:szCs w:val="28"/>
        </w:rPr>
      </w:pPr>
      <w:r>
        <w:rPr>
          <w:rFonts w:ascii="Arial" w:hAnsi="Arial" w:cs="Arial"/>
          <w:sz w:val="28"/>
          <w:szCs w:val="28"/>
        </w:rPr>
        <w:t>[4]</w:t>
      </w:r>
      <w:r>
        <w:rPr>
          <w:rFonts w:ascii="Arial" w:hAnsi="Arial" w:cs="Arial"/>
          <w:sz w:val="28"/>
          <w:szCs w:val="28"/>
        </w:rPr>
        <w:tab/>
      </w:r>
      <w:r w:rsidR="00862641">
        <w:rPr>
          <w:rFonts w:ascii="Arial" w:hAnsi="Arial" w:cs="Arial"/>
          <w:sz w:val="28"/>
          <w:szCs w:val="28"/>
        </w:rPr>
        <w:t xml:space="preserve">The applicant abandoned the argument as it relates to the bank statement as the respondent indicated that these are not in their possession. It was argued that the respondent concluded a sale agreement with Sashqia and as such the individual sale agreements is evidence of the applicant’s efforts for which he should be compensated. The applicant as a member of the respondent is entitled to share in the proceeds of the money paid to the respondent by Sashqia. In contention the respondent argued that </w:t>
      </w:r>
      <w:r w:rsidR="00862641">
        <w:rPr>
          <w:rFonts w:ascii="Arial" w:hAnsi="Arial" w:cs="Arial"/>
          <w:sz w:val="28"/>
          <w:szCs w:val="28"/>
        </w:rPr>
        <w:lastRenderedPageBreak/>
        <w:t>based on the claim by the applicant, it is completely irrelevant whether the respondent was paid by S</w:t>
      </w:r>
      <w:r w:rsidR="003D6102">
        <w:rPr>
          <w:rFonts w:ascii="Arial" w:hAnsi="Arial" w:cs="Arial"/>
          <w:sz w:val="28"/>
          <w:szCs w:val="28"/>
        </w:rPr>
        <w:t>ashqia.</w:t>
      </w:r>
    </w:p>
    <w:p w:rsidR="003D6102" w:rsidRDefault="003D6102" w:rsidP="00D33A5C">
      <w:pPr>
        <w:spacing w:line="360" w:lineRule="auto"/>
        <w:ind w:left="720" w:hanging="720"/>
        <w:jc w:val="both"/>
        <w:rPr>
          <w:rFonts w:ascii="Arial" w:hAnsi="Arial" w:cs="Arial"/>
          <w:sz w:val="28"/>
          <w:szCs w:val="28"/>
        </w:rPr>
      </w:pPr>
    </w:p>
    <w:p w:rsidR="00C06FDB" w:rsidRDefault="007A57B2" w:rsidP="00C53A7A">
      <w:pPr>
        <w:spacing w:line="360" w:lineRule="auto"/>
        <w:ind w:left="720" w:hanging="720"/>
        <w:jc w:val="both"/>
        <w:rPr>
          <w:rFonts w:ascii="Arial" w:hAnsi="Arial" w:cs="Arial"/>
          <w:b/>
          <w:sz w:val="28"/>
          <w:szCs w:val="28"/>
        </w:rPr>
      </w:pPr>
      <w:r>
        <w:rPr>
          <w:rFonts w:ascii="Arial" w:hAnsi="Arial" w:cs="Arial"/>
          <w:sz w:val="28"/>
          <w:szCs w:val="28"/>
        </w:rPr>
        <w:t>[5]</w:t>
      </w:r>
      <w:r>
        <w:rPr>
          <w:rFonts w:ascii="Arial" w:hAnsi="Arial" w:cs="Arial"/>
          <w:sz w:val="28"/>
          <w:szCs w:val="28"/>
        </w:rPr>
        <w:tab/>
      </w:r>
      <w:r w:rsidR="00F55A56">
        <w:rPr>
          <w:rFonts w:ascii="Arial" w:hAnsi="Arial" w:cs="Arial"/>
          <w:sz w:val="28"/>
          <w:szCs w:val="28"/>
        </w:rPr>
        <w:t>Rule 35 makes provision for the discovery and inspection of</w:t>
      </w:r>
      <w:r w:rsidR="00E3232C">
        <w:rPr>
          <w:rFonts w:ascii="Arial" w:hAnsi="Arial" w:cs="Arial"/>
          <w:sz w:val="28"/>
          <w:szCs w:val="28"/>
        </w:rPr>
        <w:t xml:space="preserve"> d</w:t>
      </w:r>
      <w:r w:rsidR="00F55A56">
        <w:rPr>
          <w:rFonts w:ascii="Arial" w:hAnsi="Arial" w:cs="Arial"/>
          <w:sz w:val="28"/>
          <w:szCs w:val="28"/>
        </w:rPr>
        <w:t>ocuments before trial by the parties in civil litigation. This process</w:t>
      </w:r>
      <w:r w:rsidR="00E3232C">
        <w:rPr>
          <w:rFonts w:ascii="Arial" w:hAnsi="Arial" w:cs="Arial"/>
          <w:sz w:val="28"/>
          <w:szCs w:val="28"/>
        </w:rPr>
        <w:t xml:space="preserve"> </w:t>
      </w:r>
      <w:r w:rsidR="00F55A56">
        <w:rPr>
          <w:rFonts w:ascii="Arial" w:hAnsi="Arial" w:cs="Arial"/>
          <w:sz w:val="28"/>
          <w:szCs w:val="28"/>
        </w:rPr>
        <w:t>is crucial as it ensures that issues can be narrowed before trial and</w:t>
      </w:r>
      <w:r w:rsidR="00E3232C">
        <w:rPr>
          <w:rFonts w:ascii="Arial" w:hAnsi="Arial" w:cs="Arial"/>
          <w:sz w:val="28"/>
          <w:szCs w:val="28"/>
        </w:rPr>
        <w:t xml:space="preserve"> </w:t>
      </w:r>
      <w:r w:rsidR="00F55A56">
        <w:rPr>
          <w:rFonts w:ascii="Arial" w:hAnsi="Arial" w:cs="Arial"/>
          <w:sz w:val="28"/>
          <w:szCs w:val="28"/>
        </w:rPr>
        <w:t>parties are aware of the all the documentary evidence which is</w:t>
      </w:r>
      <w:r w:rsidR="00E3232C">
        <w:rPr>
          <w:rFonts w:ascii="Arial" w:hAnsi="Arial" w:cs="Arial"/>
          <w:sz w:val="28"/>
          <w:szCs w:val="28"/>
        </w:rPr>
        <w:t xml:space="preserve"> </w:t>
      </w:r>
      <w:r w:rsidR="00F55A56">
        <w:rPr>
          <w:rFonts w:ascii="Arial" w:hAnsi="Arial" w:cs="Arial"/>
          <w:sz w:val="28"/>
          <w:szCs w:val="28"/>
        </w:rPr>
        <w:t xml:space="preserve">available. </w:t>
      </w:r>
      <w:r w:rsidR="00F55A56" w:rsidRPr="00F55A56">
        <w:rPr>
          <w:rFonts w:ascii="Arial" w:hAnsi="Arial" w:cs="Arial"/>
          <w:b/>
          <w:sz w:val="28"/>
          <w:szCs w:val="28"/>
        </w:rPr>
        <w:t>See</w:t>
      </w:r>
      <w:r w:rsidR="00F55A56">
        <w:rPr>
          <w:rFonts w:ascii="Arial" w:hAnsi="Arial" w:cs="Arial"/>
          <w:b/>
          <w:sz w:val="28"/>
          <w:szCs w:val="28"/>
        </w:rPr>
        <w:t>:</w:t>
      </w:r>
      <w:r w:rsidR="00F55A56" w:rsidRPr="00F55A56">
        <w:rPr>
          <w:rFonts w:ascii="Arial" w:hAnsi="Arial" w:cs="Arial"/>
          <w:b/>
          <w:sz w:val="28"/>
          <w:szCs w:val="28"/>
        </w:rPr>
        <w:t xml:space="preserve"> Durbach v Fairway Hotel Ltd 1949 (3) SA 1081.</w:t>
      </w:r>
    </w:p>
    <w:p w:rsidR="00CE22DA" w:rsidRDefault="00CE22DA" w:rsidP="00C06FDB">
      <w:pPr>
        <w:pStyle w:val="Default"/>
        <w:spacing w:line="360" w:lineRule="auto"/>
        <w:jc w:val="both"/>
        <w:rPr>
          <w:rFonts w:ascii="Arial" w:hAnsi="Arial" w:cs="Arial"/>
          <w:b/>
          <w:sz w:val="28"/>
          <w:szCs w:val="28"/>
        </w:rPr>
      </w:pPr>
    </w:p>
    <w:p w:rsidR="00CE22DA" w:rsidRPr="00927A28" w:rsidRDefault="00CE22DA" w:rsidP="005A0FE7">
      <w:pPr>
        <w:autoSpaceDE w:val="0"/>
        <w:autoSpaceDN w:val="0"/>
        <w:adjustRightInd w:val="0"/>
        <w:spacing w:after="0" w:line="360" w:lineRule="auto"/>
        <w:ind w:left="720" w:hanging="720"/>
        <w:jc w:val="both"/>
        <w:rPr>
          <w:rFonts w:ascii="Arial" w:hAnsi="Arial" w:cs="Arial"/>
          <w:sz w:val="28"/>
          <w:szCs w:val="28"/>
        </w:rPr>
      </w:pPr>
      <w:r>
        <w:rPr>
          <w:rFonts w:ascii="Arial" w:hAnsi="Arial" w:cs="Arial"/>
          <w:sz w:val="28"/>
          <w:szCs w:val="28"/>
        </w:rPr>
        <w:t>[</w:t>
      </w:r>
      <w:r w:rsidR="003D6102">
        <w:rPr>
          <w:rFonts w:ascii="Arial" w:hAnsi="Arial" w:cs="Arial"/>
          <w:sz w:val="28"/>
          <w:szCs w:val="28"/>
        </w:rPr>
        <w:t>6</w:t>
      </w:r>
      <w:r w:rsidR="00157576">
        <w:rPr>
          <w:rFonts w:ascii="Arial" w:hAnsi="Arial" w:cs="Arial"/>
          <w:sz w:val="28"/>
          <w:szCs w:val="28"/>
        </w:rPr>
        <w:t>]</w:t>
      </w:r>
      <w:r w:rsidR="00157576">
        <w:rPr>
          <w:rFonts w:ascii="Arial" w:hAnsi="Arial" w:cs="Arial"/>
          <w:sz w:val="28"/>
          <w:szCs w:val="28"/>
        </w:rPr>
        <w:tab/>
      </w:r>
      <w:r w:rsidR="00927A28" w:rsidRPr="00927A28">
        <w:rPr>
          <w:rFonts w:ascii="Arial" w:hAnsi="Arial" w:cs="Arial"/>
          <w:sz w:val="28"/>
          <w:szCs w:val="28"/>
        </w:rPr>
        <w:t>Parties are therefore under a duty to discover all documents which</w:t>
      </w:r>
      <w:r w:rsidR="005A0FE7">
        <w:rPr>
          <w:rFonts w:ascii="Arial" w:hAnsi="Arial" w:cs="Arial"/>
          <w:sz w:val="28"/>
          <w:szCs w:val="28"/>
        </w:rPr>
        <w:t xml:space="preserve"> </w:t>
      </w:r>
      <w:r w:rsidR="00927A28" w:rsidRPr="00927A28">
        <w:rPr>
          <w:rFonts w:ascii="Arial" w:hAnsi="Arial" w:cs="Arial"/>
          <w:sz w:val="28"/>
          <w:szCs w:val="28"/>
        </w:rPr>
        <w:t xml:space="preserve">may </w:t>
      </w:r>
      <w:r w:rsidR="00927A28" w:rsidRPr="007A57B2">
        <w:rPr>
          <w:rFonts w:ascii="Arial" w:hAnsi="Arial" w:cs="Arial"/>
          <w:i/>
          <w:iCs/>
          <w:sz w:val="24"/>
          <w:szCs w:val="24"/>
        </w:rPr>
        <w:t>“either directly or indirectly enable the party requiring the</w:t>
      </w:r>
      <w:r w:rsidR="007A57B2" w:rsidRPr="007A57B2">
        <w:rPr>
          <w:rFonts w:ascii="Arial" w:hAnsi="Arial" w:cs="Arial"/>
          <w:i/>
          <w:iCs/>
          <w:sz w:val="24"/>
          <w:szCs w:val="24"/>
        </w:rPr>
        <w:t xml:space="preserve"> </w:t>
      </w:r>
      <w:r w:rsidR="00927A28" w:rsidRPr="007A57B2">
        <w:rPr>
          <w:rFonts w:ascii="Arial" w:hAnsi="Arial" w:cs="Arial"/>
          <w:i/>
          <w:iCs/>
          <w:sz w:val="24"/>
          <w:szCs w:val="24"/>
        </w:rPr>
        <w:t>affidavit</w:t>
      </w:r>
      <w:r w:rsidR="00C53A7A" w:rsidRPr="007A57B2">
        <w:rPr>
          <w:rFonts w:ascii="Arial" w:hAnsi="Arial" w:cs="Arial"/>
          <w:i/>
          <w:iCs/>
          <w:sz w:val="24"/>
          <w:szCs w:val="24"/>
        </w:rPr>
        <w:t xml:space="preserve"> </w:t>
      </w:r>
      <w:r w:rsidR="00927A28" w:rsidRPr="007A57B2">
        <w:rPr>
          <w:rFonts w:ascii="Arial" w:hAnsi="Arial" w:cs="Arial"/>
          <w:i/>
          <w:iCs/>
          <w:sz w:val="24"/>
          <w:szCs w:val="24"/>
        </w:rPr>
        <w:t>either to advance his own case or to damage the case of</w:t>
      </w:r>
      <w:r w:rsidR="007A57B2" w:rsidRPr="007A57B2">
        <w:rPr>
          <w:rFonts w:ascii="Arial" w:hAnsi="Arial" w:cs="Arial"/>
          <w:i/>
          <w:iCs/>
          <w:sz w:val="24"/>
          <w:szCs w:val="24"/>
        </w:rPr>
        <w:t xml:space="preserve"> </w:t>
      </w:r>
      <w:r w:rsidR="00927A28" w:rsidRPr="007A57B2">
        <w:rPr>
          <w:rFonts w:ascii="Arial" w:hAnsi="Arial" w:cs="Arial"/>
          <w:i/>
          <w:iCs/>
          <w:sz w:val="24"/>
          <w:szCs w:val="24"/>
        </w:rPr>
        <w:t>his adversary</w:t>
      </w:r>
      <w:r w:rsidR="00927A28" w:rsidRPr="007A57B2">
        <w:rPr>
          <w:rFonts w:ascii="Arial" w:hAnsi="Arial" w:cs="Arial"/>
          <w:sz w:val="24"/>
          <w:szCs w:val="24"/>
        </w:rPr>
        <w:t>.”</w:t>
      </w:r>
      <w:r w:rsidR="00927A28" w:rsidRPr="00927A28">
        <w:rPr>
          <w:rFonts w:ascii="Arial" w:hAnsi="Arial" w:cs="Arial"/>
          <w:sz w:val="28"/>
          <w:szCs w:val="28"/>
        </w:rPr>
        <w:t>(</w:t>
      </w:r>
      <w:r w:rsidR="00927A28" w:rsidRPr="00927A28">
        <w:rPr>
          <w:rFonts w:ascii="Arial" w:hAnsi="Arial" w:cs="Arial"/>
          <w:b/>
          <w:bCs/>
          <w:sz w:val="28"/>
          <w:szCs w:val="28"/>
        </w:rPr>
        <w:t>Swissborough Diamond Mines (Pty) Ltd and</w:t>
      </w:r>
      <w:r w:rsidR="007A57B2">
        <w:rPr>
          <w:rFonts w:ascii="Arial" w:hAnsi="Arial" w:cs="Arial"/>
          <w:b/>
          <w:bCs/>
          <w:sz w:val="28"/>
          <w:szCs w:val="28"/>
        </w:rPr>
        <w:t xml:space="preserve"> </w:t>
      </w:r>
      <w:r w:rsidR="00927A28" w:rsidRPr="00927A28">
        <w:rPr>
          <w:rFonts w:ascii="Arial" w:hAnsi="Arial" w:cs="Arial"/>
          <w:b/>
          <w:bCs/>
          <w:sz w:val="28"/>
          <w:szCs w:val="28"/>
        </w:rPr>
        <w:t>Others v Government</w:t>
      </w:r>
      <w:r w:rsidR="00C53A7A">
        <w:rPr>
          <w:rFonts w:ascii="Arial" w:hAnsi="Arial" w:cs="Arial"/>
          <w:b/>
          <w:bCs/>
          <w:sz w:val="28"/>
          <w:szCs w:val="28"/>
        </w:rPr>
        <w:t xml:space="preserve"> </w:t>
      </w:r>
      <w:r w:rsidR="00927A28" w:rsidRPr="00927A28">
        <w:rPr>
          <w:rFonts w:ascii="Arial" w:hAnsi="Arial" w:cs="Arial"/>
          <w:b/>
          <w:bCs/>
          <w:sz w:val="28"/>
          <w:szCs w:val="28"/>
        </w:rPr>
        <w:t>of the Republic of South Africa and</w:t>
      </w:r>
      <w:r w:rsidR="007A57B2">
        <w:rPr>
          <w:rFonts w:ascii="Arial" w:hAnsi="Arial" w:cs="Arial"/>
          <w:b/>
          <w:bCs/>
          <w:sz w:val="28"/>
          <w:szCs w:val="28"/>
        </w:rPr>
        <w:t xml:space="preserve"> </w:t>
      </w:r>
      <w:r w:rsidR="00927A28" w:rsidRPr="00927A28">
        <w:rPr>
          <w:rFonts w:ascii="Arial" w:hAnsi="Arial" w:cs="Arial"/>
          <w:b/>
          <w:bCs/>
          <w:sz w:val="28"/>
          <w:szCs w:val="28"/>
        </w:rPr>
        <w:t xml:space="preserve">others 1999 (2) SA 279 (T) </w:t>
      </w:r>
      <w:r w:rsidR="00927A28" w:rsidRPr="00927A28">
        <w:rPr>
          <w:rFonts w:ascii="Arial" w:hAnsi="Arial" w:cs="Arial"/>
          <w:sz w:val="28"/>
          <w:szCs w:val="28"/>
        </w:rPr>
        <w:t>at</w:t>
      </w:r>
      <w:r w:rsidR="00C53A7A">
        <w:rPr>
          <w:rFonts w:ascii="Arial" w:hAnsi="Arial" w:cs="Arial"/>
          <w:sz w:val="28"/>
          <w:szCs w:val="28"/>
        </w:rPr>
        <w:t xml:space="preserve"> </w:t>
      </w:r>
      <w:r w:rsidR="00927A28" w:rsidRPr="00927A28">
        <w:rPr>
          <w:rFonts w:ascii="Arial" w:hAnsi="Arial" w:cs="Arial"/>
          <w:sz w:val="28"/>
          <w:szCs w:val="28"/>
        </w:rPr>
        <w:t>316-317)</w:t>
      </w:r>
      <w:r w:rsidR="00927A28" w:rsidRPr="00927A28">
        <w:rPr>
          <w:rFonts w:ascii="Arial" w:hAnsi="Arial" w:cs="Arial"/>
          <w:b/>
          <w:bCs/>
          <w:sz w:val="28"/>
          <w:szCs w:val="28"/>
        </w:rPr>
        <w:t>.</w:t>
      </w:r>
    </w:p>
    <w:p w:rsidR="00CE22DA" w:rsidRDefault="00CE22DA" w:rsidP="00C06FDB">
      <w:pPr>
        <w:pStyle w:val="Default"/>
        <w:spacing w:line="360" w:lineRule="auto"/>
        <w:jc w:val="both"/>
        <w:rPr>
          <w:rFonts w:ascii="Arial" w:hAnsi="Arial" w:cs="Arial"/>
          <w:b/>
          <w:sz w:val="28"/>
          <w:szCs w:val="28"/>
        </w:rPr>
      </w:pPr>
    </w:p>
    <w:p w:rsidR="003D6102" w:rsidRDefault="00C06FDB" w:rsidP="007A57B2">
      <w:pPr>
        <w:pStyle w:val="Default"/>
        <w:spacing w:line="360" w:lineRule="auto"/>
        <w:ind w:left="720" w:hanging="720"/>
        <w:jc w:val="both"/>
        <w:rPr>
          <w:rFonts w:ascii="Arial" w:hAnsi="Arial" w:cs="Arial"/>
          <w:sz w:val="28"/>
          <w:szCs w:val="28"/>
        </w:rPr>
      </w:pPr>
      <w:r>
        <w:rPr>
          <w:rFonts w:ascii="Arial" w:hAnsi="Arial" w:cs="Arial"/>
          <w:sz w:val="28"/>
          <w:szCs w:val="28"/>
        </w:rPr>
        <w:t>[</w:t>
      </w:r>
      <w:r w:rsidR="003D6102">
        <w:rPr>
          <w:rFonts w:ascii="Arial" w:hAnsi="Arial" w:cs="Arial"/>
          <w:sz w:val="28"/>
          <w:szCs w:val="28"/>
        </w:rPr>
        <w:t>7</w:t>
      </w:r>
      <w:r w:rsidR="007A57B2">
        <w:rPr>
          <w:rFonts w:ascii="Arial" w:hAnsi="Arial" w:cs="Arial"/>
          <w:sz w:val="28"/>
          <w:szCs w:val="28"/>
        </w:rPr>
        <w:t>]</w:t>
      </w:r>
      <w:r w:rsidR="007A57B2">
        <w:rPr>
          <w:rFonts w:ascii="Arial" w:hAnsi="Arial" w:cs="Arial"/>
          <w:sz w:val="28"/>
          <w:szCs w:val="28"/>
        </w:rPr>
        <w:tab/>
      </w:r>
      <w:r w:rsidR="003D6102">
        <w:rPr>
          <w:rFonts w:ascii="Arial" w:hAnsi="Arial" w:cs="Arial"/>
          <w:sz w:val="28"/>
          <w:szCs w:val="28"/>
        </w:rPr>
        <w:t>The applicant in this matter is required to show that the documents requested are relevant and will advance his case directly or indirectly. As submitted by the respondent the applicant has not done that. In the amended particulars of claim the applicant’s claim 1 is as follows:</w:t>
      </w:r>
    </w:p>
    <w:p w:rsidR="00C4626F" w:rsidRPr="00E3232C" w:rsidRDefault="00C4626F" w:rsidP="00C4626F">
      <w:pPr>
        <w:pStyle w:val="Default"/>
        <w:spacing w:line="360" w:lineRule="auto"/>
        <w:ind w:left="720" w:hanging="720"/>
        <w:jc w:val="both"/>
        <w:rPr>
          <w:rFonts w:ascii="Arial" w:hAnsi="Arial" w:cs="Arial"/>
          <w:sz w:val="12"/>
          <w:szCs w:val="12"/>
        </w:rPr>
      </w:pPr>
      <w:r>
        <w:rPr>
          <w:rFonts w:ascii="Arial" w:hAnsi="Arial" w:cs="Arial"/>
          <w:sz w:val="28"/>
          <w:szCs w:val="28"/>
        </w:rPr>
        <w:tab/>
      </w:r>
    </w:p>
    <w:p w:rsidR="00C4626F" w:rsidRPr="00C4626F" w:rsidRDefault="00C4626F" w:rsidP="00C4626F">
      <w:pPr>
        <w:pStyle w:val="PlainText"/>
        <w:spacing w:line="360" w:lineRule="auto"/>
        <w:ind w:left="1440" w:hanging="720"/>
        <w:jc w:val="both"/>
        <w:rPr>
          <w:rFonts w:ascii="Arial" w:hAnsi="Arial" w:cs="Arial"/>
          <w:i/>
          <w:sz w:val="24"/>
          <w:szCs w:val="24"/>
        </w:rPr>
      </w:pPr>
      <w:r w:rsidRPr="00C4626F">
        <w:rPr>
          <w:rFonts w:ascii="Arial" w:hAnsi="Arial" w:cs="Arial"/>
          <w:i/>
          <w:sz w:val="24"/>
          <w:szCs w:val="24"/>
        </w:rPr>
        <w:t>“19.</w:t>
      </w:r>
      <w:r w:rsidRPr="00C4626F">
        <w:rPr>
          <w:rFonts w:ascii="Arial" w:hAnsi="Arial" w:cs="Arial"/>
          <w:i/>
          <w:sz w:val="24"/>
          <w:szCs w:val="24"/>
        </w:rPr>
        <w:tab/>
        <w:t>Applicant's main claim 1, as set out in the amended particulars of claim", is simply based upon the following grounds:</w:t>
      </w:r>
    </w:p>
    <w:p w:rsidR="00C4626F" w:rsidRPr="00C4626F" w:rsidRDefault="00C4626F" w:rsidP="00C4626F">
      <w:pPr>
        <w:pStyle w:val="PlainText"/>
        <w:spacing w:line="360" w:lineRule="auto"/>
        <w:ind w:left="2160" w:hanging="720"/>
        <w:jc w:val="both"/>
        <w:rPr>
          <w:rFonts w:ascii="Arial" w:hAnsi="Arial" w:cs="Arial"/>
          <w:i/>
          <w:sz w:val="24"/>
          <w:szCs w:val="24"/>
        </w:rPr>
      </w:pPr>
      <w:r w:rsidRPr="00C4626F">
        <w:rPr>
          <w:rFonts w:ascii="Arial" w:hAnsi="Arial" w:cs="Arial"/>
          <w:i/>
          <w:sz w:val="24"/>
          <w:szCs w:val="24"/>
        </w:rPr>
        <w:t>19.1</w:t>
      </w:r>
      <w:r w:rsidRPr="00C4626F">
        <w:rPr>
          <w:rFonts w:ascii="Arial" w:hAnsi="Arial" w:cs="Arial"/>
          <w:i/>
          <w:sz w:val="24"/>
          <w:szCs w:val="24"/>
        </w:rPr>
        <w:tab/>
        <w:t>Applicant is entitled, based upon the provisions of a written agreement, to payment of RI '500'000.00 as Project Manager;</w:t>
      </w:r>
    </w:p>
    <w:p w:rsidR="00C4626F" w:rsidRPr="00C4626F" w:rsidRDefault="00C4626F" w:rsidP="00C4626F">
      <w:pPr>
        <w:pStyle w:val="PlainText"/>
        <w:spacing w:line="360" w:lineRule="auto"/>
        <w:ind w:left="2160" w:hanging="720"/>
        <w:jc w:val="both"/>
        <w:rPr>
          <w:rFonts w:ascii="Arial" w:hAnsi="Arial" w:cs="Arial"/>
          <w:i/>
          <w:sz w:val="24"/>
          <w:szCs w:val="24"/>
        </w:rPr>
      </w:pPr>
      <w:r w:rsidRPr="00C4626F">
        <w:rPr>
          <w:rFonts w:ascii="Arial" w:hAnsi="Arial" w:cs="Arial"/>
          <w:i/>
          <w:sz w:val="24"/>
          <w:szCs w:val="24"/>
        </w:rPr>
        <w:t>19.2</w:t>
      </w:r>
      <w:r w:rsidRPr="00C4626F">
        <w:rPr>
          <w:rFonts w:ascii="Arial" w:hAnsi="Arial" w:cs="Arial"/>
          <w:i/>
          <w:sz w:val="24"/>
          <w:szCs w:val="24"/>
        </w:rPr>
        <w:tab/>
        <w:t xml:space="preserve">Payment of this amount to the applicant should be made by an agreed "escrow agent". Du Plessis van der Westhuizen Inc </w:t>
      </w:r>
      <w:r w:rsidRPr="00C4626F">
        <w:rPr>
          <w:rFonts w:ascii="Arial" w:hAnsi="Arial" w:cs="Arial"/>
          <w:i/>
          <w:sz w:val="24"/>
          <w:szCs w:val="24"/>
        </w:rPr>
        <w:lastRenderedPageBreak/>
        <w:t>("DupWest"), from funds paid by the purchaser (Sashqia) to Dupwest;</w:t>
      </w:r>
    </w:p>
    <w:p w:rsidR="00C4626F" w:rsidRPr="00C4626F" w:rsidRDefault="00C4626F" w:rsidP="00C4626F">
      <w:pPr>
        <w:pStyle w:val="PlainText"/>
        <w:spacing w:line="360" w:lineRule="auto"/>
        <w:ind w:left="2160" w:hanging="720"/>
        <w:jc w:val="both"/>
        <w:rPr>
          <w:rFonts w:ascii="Arial" w:hAnsi="Arial" w:cs="Arial"/>
          <w:i/>
          <w:sz w:val="24"/>
          <w:szCs w:val="24"/>
        </w:rPr>
      </w:pPr>
      <w:r w:rsidRPr="00C4626F">
        <w:rPr>
          <w:rFonts w:ascii="Arial" w:hAnsi="Arial" w:cs="Arial"/>
          <w:i/>
          <w:sz w:val="24"/>
          <w:szCs w:val="24"/>
        </w:rPr>
        <w:t>19.3</w:t>
      </w:r>
      <w:r w:rsidRPr="00C4626F">
        <w:rPr>
          <w:rFonts w:ascii="Arial" w:hAnsi="Arial" w:cs="Arial"/>
          <w:i/>
          <w:sz w:val="24"/>
          <w:szCs w:val="24"/>
        </w:rPr>
        <w:tab/>
        <w:t>Payments will be made to the relevant parties in their proportionate share of the purchase price as the funds become available.”</w:t>
      </w:r>
    </w:p>
    <w:p w:rsidR="003D6102" w:rsidRDefault="003D6102" w:rsidP="00F6052B">
      <w:pPr>
        <w:pStyle w:val="Default"/>
        <w:spacing w:line="360" w:lineRule="auto"/>
        <w:jc w:val="both"/>
        <w:rPr>
          <w:rFonts w:ascii="Arial" w:hAnsi="Arial" w:cs="Arial"/>
          <w:sz w:val="28"/>
          <w:szCs w:val="28"/>
        </w:rPr>
      </w:pPr>
    </w:p>
    <w:p w:rsidR="003D6102" w:rsidRDefault="007A57B2" w:rsidP="007A57B2">
      <w:pPr>
        <w:pStyle w:val="Default"/>
        <w:spacing w:line="360" w:lineRule="auto"/>
        <w:ind w:left="720" w:hanging="720"/>
        <w:jc w:val="both"/>
        <w:rPr>
          <w:rFonts w:ascii="Arial" w:hAnsi="Arial" w:cs="Arial"/>
          <w:sz w:val="28"/>
          <w:szCs w:val="28"/>
        </w:rPr>
      </w:pPr>
      <w:r>
        <w:rPr>
          <w:rFonts w:ascii="Arial" w:hAnsi="Arial" w:cs="Arial"/>
          <w:sz w:val="28"/>
          <w:szCs w:val="28"/>
        </w:rPr>
        <w:t>[8]</w:t>
      </w:r>
      <w:r>
        <w:rPr>
          <w:rFonts w:ascii="Arial" w:hAnsi="Arial" w:cs="Arial"/>
          <w:sz w:val="28"/>
          <w:szCs w:val="28"/>
        </w:rPr>
        <w:tab/>
      </w:r>
      <w:r w:rsidR="003D6102">
        <w:rPr>
          <w:rFonts w:ascii="Arial" w:hAnsi="Arial" w:cs="Arial"/>
          <w:sz w:val="28"/>
          <w:szCs w:val="28"/>
        </w:rPr>
        <w:t>The said claim does not r</w:t>
      </w:r>
      <w:r>
        <w:rPr>
          <w:rFonts w:ascii="Arial" w:hAnsi="Arial" w:cs="Arial"/>
          <w:sz w:val="28"/>
          <w:szCs w:val="28"/>
        </w:rPr>
        <w:t xml:space="preserve">equire any proof of payment </w:t>
      </w:r>
      <w:r w:rsidR="003D6102">
        <w:rPr>
          <w:rFonts w:ascii="Arial" w:hAnsi="Arial" w:cs="Arial"/>
          <w:sz w:val="28"/>
          <w:szCs w:val="28"/>
        </w:rPr>
        <w:t>by Sashqia to the respondent. It is entirely based on what payment should be made to the applicant. The same applies to claim 2 in the amended particulars of claim. The claim does not require any proof of payment from Sashqia to the respondent. The discovery of the sale agreement as required by the applicant is not relevant and cannot be granted.</w:t>
      </w:r>
    </w:p>
    <w:p w:rsidR="003D6102" w:rsidRDefault="003D6102" w:rsidP="00F6052B">
      <w:pPr>
        <w:pStyle w:val="Default"/>
        <w:spacing w:line="360" w:lineRule="auto"/>
        <w:jc w:val="both"/>
        <w:rPr>
          <w:rFonts w:ascii="Arial" w:hAnsi="Arial" w:cs="Arial"/>
          <w:sz w:val="28"/>
          <w:szCs w:val="28"/>
        </w:rPr>
      </w:pPr>
    </w:p>
    <w:p w:rsidR="003D6102" w:rsidRPr="003D6102" w:rsidRDefault="003D6102" w:rsidP="00F6052B">
      <w:pPr>
        <w:pStyle w:val="Default"/>
        <w:spacing w:line="360" w:lineRule="auto"/>
        <w:jc w:val="both"/>
        <w:rPr>
          <w:rFonts w:ascii="Arial" w:hAnsi="Arial" w:cs="Arial"/>
          <w:b/>
          <w:sz w:val="28"/>
          <w:szCs w:val="28"/>
        </w:rPr>
      </w:pPr>
      <w:r w:rsidRPr="003D6102">
        <w:rPr>
          <w:rFonts w:ascii="Arial" w:hAnsi="Arial" w:cs="Arial"/>
          <w:b/>
          <w:sz w:val="28"/>
          <w:szCs w:val="28"/>
        </w:rPr>
        <w:t>Pr</w:t>
      </w:r>
      <w:r>
        <w:rPr>
          <w:rFonts w:ascii="Arial" w:hAnsi="Arial" w:cs="Arial"/>
          <w:b/>
          <w:sz w:val="28"/>
          <w:szCs w:val="28"/>
        </w:rPr>
        <w:t>o</w:t>
      </w:r>
      <w:r w:rsidRPr="003D6102">
        <w:rPr>
          <w:rFonts w:ascii="Arial" w:hAnsi="Arial" w:cs="Arial"/>
          <w:b/>
          <w:sz w:val="28"/>
          <w:szCs w:val="28"/>
        </w:rPr>
        <w:t>of of payment by Sashqia</w:t>
      </w:r>
    </w:p>
    <w:p w:rsidR="003D6102" w:rsidRPr="00157576" w:rsidRDefault="003D6102" w:rsidP="00F6052B">
      <w:pPr>
        <w:pStyle w:val="Default"/>
        <w:spacing w:line="360" w:lineRule="auto"/>
        <w:jc w:val="both"/>
        <w:rPr>
          <w:rFonts w:ascii="Arial" w:hAnsi="Arial" w:cs="Arial"/>
          <w:sz w:val="12"/>
          <w:szCs w:val="12"/>
        </w:rPr>
      </w:pPr>
    </w:p>
    <w:p w:rsidR="00153FA4" w:rsidRDefault="007A57B2" w:rsidP="00157576">
      <w:pPr>
        <w:pStyle w:val="Default"/>
        <w:spacing w:line="360" w:lineRule="auto"/>
        <w:ind w:left="720" w:hanging="720"/>
        <w:jc w:val="both"/>
        <w:rPr>
          <w:rFonts w:ascii="Arial" w:hAnsi="Arial" w:cs="Arial"/>
          <w:sz w:val="28"/>
          <w:szCs w:val="28"/>
        </w:rPr>
      </w:pPr>
      <w:r>
        <w:rPr>
          <w:rFonts w:ascii="Arial" w:hAnsi="Arial" w:cs="Arial"/>
          <w:sz w:val="28"/>
          <w:szCs w:val="28"/>
        </w:rPr>
        <w:t>[9]</w:t>
      </w:r>
      <w:r>
        <w:rPr>
          <w:rFonts w:ascii="Arial" w:hAnsi="Arial" w:cs="Arial"/>
          <w:sz w:val="28"/>
          <w:szCs w:val="28"/>
        </w:rPr>
        <w:tab/>
      </w:r>
      <w:r w:rsidR="003D6102">
        <w:rPr>
          <w:rFonts w:ascii="Arial" w:hAnsi="Arial" w:cs="Arial"/>
          <w:sz w:val="28"/>
          <w:szCs w:val="28"/>
        </w:rPr>
        <w:t>The applicant argued that such payments have a direct bearing on the share</w:t>
      </w:r>
      <w:r w:rsidR="00153FA4">
        <w:rPr>
          <w:rFonts w:ascii="Arial" w:hAnsi="Arial" w:cs="Arial"/>
          <w:sz w:val="28"/>
          <w:szCs w:val="28"/>
        </w:rPr>
        <w:t xml:space="preserve"> in </w:t>
      </w:r>
      <w:r w:rsidR="00153FA4" w:rsidRPr="007A57B2">
        <w:rPr>
          <w:rFonts w:ascii="Arial" w:hAnsi="Arial" w:cs="Arial"/>
          <w:i/>
          <w:sz w:val="28"/>
          <w:szCs w:val="28"/>
        </w:rPr>
        <w:t>pro rata</w:t>
      </w:r>
      <w:r w:rsidR="00153FA4">
        <w:rPr>
          <w:rFonts w:ascii="Arial" w:hAnsi="Arial" w:cs="Arial"/>
          <w:sz w:val="28"/>
          <w:szCs w:val="28"/>
        </w:rPr>
        <w:t xml:space="preserve"> portion that he is entitled to as a member of the respondent. The respondent argued that from the pleadings it is clear that no payment would be received by the respondent from Sashqia an</w:t>
      </w:r>
      <w:r w:rsidR="003D6102">
        <w:rPr>
          <w:rFonts w:ascii="Arial" w:hAnsi="Arial" w:cs="Arial"/>
          <w:sz w:val="28"/>
          <w:szCs w:val="28"/>
        </w:rPr>
        <w:t>d</w:t>
      </w:r>
      <w:r w:rsidR="00153FA4">
        <w:rPr>
          <w:rFonts w:ascii="Arial" w:hAnsi="Arial" w:cs="Arial"/>
          <w:sz w:val="28"/>
          <w:szCs w:val="28"/>
        </w:rPr>
        <w:t xml:space="preserve"> as such the respondent cannot discover documents that are not in their possession. The applicant on this point as well had to prove that the documents required are in the possession of the respondents. Failure to do so does not entitle him to an order.</w:t>
      </w:r>
    </w:p>
    <w:p w:rsidR="00C4626F" w:rsidRDefault="00C4626F" w:rsidP="00157576">
      <w:pPr>
        <w:pStyle w:val="Default"/>
        <w:spacing w:line="360" w:lineRule="auto"/>
        <w:ind w:left="720" w:hanging="720"/>
        <w:jc w:val="both"/>
        <w:rPr>
          <w:rFonts w:ascii="Arial" w:hAnsi="Arial" w:cs="Arial"/>
          <w:sz w:val="28"/>
          <w:szCs w:val="28"/>
        </w:rPr>
      </w:pPr>
    </w:p>
    <w:p w:rsidR="00153FA4" w:rsidRDefault="00153FA4" w:rsidP="00F6052B">
      <w:pPr>
        <w:pStyle w:val="Default"/>
        <w:spacing w:line="360" w:lineRule="auto"/>
        <w:jc w:val="both"/>
        <w:rPr>
          <w:rFonts w:ascii="Arial" w:hAnsi="Arial" w:cs="Arial"/>
          <w:b/>
          <w:sz w:val="28"/>
          <w:szCs w:val="28"/>
        </w:rPr>
      </w:pPr>
      <w:r w:rsidRPr="00153FA4">
        <w:rPr>
          <w:rFonts w:ascii="Arial" w:hAnsi="Arial" w:cs="Arial"/>
          <w:b/>
          <w:sz w:val="28"/>
          <w:szCs w:val="28"/>
        </w:rPr>
        <w:t>Sta</w:t>
      </w:r>
      <w:r>
        <w:rPr>
          <w:rFonts w:ascii="Arial" w:hAnsi="Arial" w:cs="Arial"/>
          <w:b/>
          <w:sz w:val="28"/>
          <w:szCs w:val="28"/>
        </w:rPr>
        <w:t>t</w:t>
      </w:r>
      <w:r w:rsidRPr="00153FA4">
        <w:rPr>
          <w:rFonts w:ascii="Arial" w:hAnsi="Arial" w:cs="Arial"/>
          <w:b/>
          <w:sz w:val="28"/>
          <w:szCs w:val="28"/>
        </w:rPr>
        <w:t xml:space="preserve">ement of account of the transferring attorney </w:t>
      </w:r>
    </w:p>
    <w:p w:rsidR="00153FA4" w:rsidRPr="00157576" w:rsidRDefault="00153FA4" w:rsidP="00F6052B">
      <w:pPr>
        <w:pStyle w:val="Default"/>
        <w:spacing w:line="360" w:lineRule="auto"/>
        <w:jc w:val="both"/>
        <w:rPr>
          <w:rFonts w:ascii="Arial" w:hAnsi="Arial" w:cs="Arial"/>
          <w:b/>
          <w:sz w:val="12"/>
          <w:szCs w:val="12"/>
        </w:rPr>
      </w:pPr>
    </w:p>
    <w:p w:rsidR="00153FA4" w:rsidRDefault="00153FA4" w:rsidP="007A57B2">
      <w:pPr>
        <w:pStyle w:val="Default"/>
        <w:spacing w:line="360" w:lineRule="auto"/>
        <w:ind w:left="720" w:hanging="720"/>
        <w:jc w:val="both"/>
        <w:rPr>
          <w:rFonts w:ascii="Arial" w:hAnsi="Arial" w:cs="Arial"/>
          <w:sz w:val="28"/>
          <w:szCs w:val="28"/>
        </w:rPr>
      </w:pPr>
      <w:r>
        <w:rPr>
          <w:rFonts w:ascii="Arial" w:hAnsi="Arial" w:cs="Arial"/>
          <w:sz w:val="28"/>
          <w:szCs w:val="28"/>
        </w:rPr>
        <w:t>[10</w:t>
      </w:r>
      <w:r w:rsidR="007A57B2">
        <w:rPr>
          <w:rFonts w:ascii="Arial" w:hAnsi="Arial" w:cs="Arial"/>
          <w:sz w:val="28"/>
          <w:szCs w:val="28"/>
        </w:rPr>
        <w:t>]</w:t>
      </w:r>
      <w:r w:rsidR="007A57B2">
        <w:rPr>
          <w:rFonts w:ascii="Arial" w:hAnsi="Arial" w:cs="Arial"/>
          <w:sz w:val="28"/>
          <w:szCs w:val="28"/>
        </w:rPr>
        <w:tab/>
      </w:r>
      <w:r>
        <w:rPr>
          <w:rFonts w:ascii="Arial" w:hAnsi="Arial" w:cs="Arial"/>
          <w:sz w:val="28"/>
          <w:szCs w:val="28"/>
        </w:rPr>
        <w:t xml:space="preserve">According to the applicant, the transferring attorney accounts to the respondent in relation to any monies paid. </w:t>
      </w:r>
      <w:r w:rsidR="00F1003A">
        <w:rPr>
          <w:rFonts w:ascii="Arial" w:hAnsi="Arial" w:cs="Arial"/>
          <w:sz w:val="28"/>
          <w:szCs w:val="28"/>
        </w:rPr>
        <w:t xml:space="preserve">Therefore, the attorney’s accounts are under the control of the respondent as a client. Again with this point the applicant must prove that these documents exist </w:t>
      </w:r>
      <w:r w:rsidR="00F1003A">
        <w:rPr>
          <w:rFonts w:ascii="Arial" w:hAnsi="Arial" w:cs="Arial"/>
          <w:sz w:val="28"/>
          <w:szCs w:val="28"/>
        </w:rPr>
        <w:lastRenderedPageBreak/>
        <w:t xml:space="preserve">and are in the control of the respondent. The respondent argued that the transferring attorneys are not its legal representatives and they have never been in possession of the transferring attorney’s statement of account. Those documents are in possession of the attorneys and that is a fact known by the applicant. It is indeed correct that the court cannot order a party to discover documents that are not in their possession. These are documents that cannot be in the possession of the respondent and to order that they be discovered by the respondent would result in an ineffectual legal order. </w:t>
      </w:r>
    </w:p>
    <w:p w:rsidR="00F1003A" w:rsidRDefault="00F1003A" w:rsidP="00F6052B">
      <w:pPr>
        <w:pStyle w:val="Default"/>
        <w:spacing w:line="360" w:lineRule="auto"/>
        <w:jc w:val="both"/>
        <w:rPr>
          <w:rFonts w:ascii="Arial" w:hAnsi="Arial" w:cs="Arial"/>
          <w:sz w:val="28"/>
          <w:szCs w:val="28"/>
        </w:rPr>
      </w:pPr>
    </w:p>
    <w:p w:rsidR="00F1003A" w:rsidRDefault="00F1003A" w:rsidP="00F6052B">
      <w:pPr>
        <w:pStyle w:val="Default"/>
        <w:spacing w:line="360" w:lineRule="auto"/>
        <w:jc w:val="both"/>
        <w:rPr>
          <w:rFonts w:ascii="Arial" w:hAnsi="Arial" w:cs="Arial"/>
          <w:b/>
          <w:sz w:val="28"/>
          <w:szCs w:val="28"/>
        </w:rPr>
      </w:pPr>
      <w:r w:rsidRPr="00F1003A">
        <w:rPr>
          <w:rFonts w:ascii="Arial" w:hAnsi="Arial" w:cs="Arial"/>
          <w:b/>
          <w:sz w:val="28"/>
          <w:szCs w:val="28"/>
        </w:rPr>
        <w:t>Minutes of the meetings and correspondence pertaining to ownership and development of property.</w:t>
      </w:r>
    </w:p>
    <w:p w:rsidR="00F1003A" w:rsidRPr="00157576" w:rsidRDefault="00F1003A" w:rsidP="00F6052B">
      <w:pPr>
        <w:pStyle w:val="Default"/>
        <w:spacing w:line="360" w:lineRule="auto"/>
        <w:jc w:val="both"/>
        <w:rPr>
          <w:rFonts w:ascii="Arial" w:hAnsi="Arial" w:cs="Arial"/>
          <w:b/>
          <w:sz w:val="12"/>
          <w:szCs w:val="12"/>
        </w:rPr>
      </w:pPr>
    </w:p>
    <w:p w:rsidR="00F1003A" w:rsidRDefault="007A57B2" w:rsidP="007A57B2">
      <w:pPr>
        <w:pStyle w:val="Default"/>
        <w:spacing w:line="360" w:lineRule="auto"/>
        <w:ind w:left="720" w:hanging="720"/>
        <w:jc w:val="both"/>
        <w:rPr>
          <w:rFonts w:ascii="Arial" w:hAnsi="Arial" w:cs="Arial"/>
          <w:sz w:val="28"/>
          <w:szCs w:val="28"/>
        </w:rPr>
      </w:pPr>
      <w:r>
        <w:rPr>
          <w:rFonts w:ascii="Arial" w:hAnsi="Arial" w:cs="Arial"/>
          <w:sz w:val="28"/>
          <w:szCs w:val="28"/>
        </w:rPr>
        <w:t>[11]</w:t>
      </w:r>
      <w:r>
        <w:rPr>
          <w:rFonts w:ascii="Arial" w:hAnsi="Arial" w:cs="Arial"/>
          <w:sz w:val="28"/>
          <w:szCs w:val="28"/>
        </w:rPr>
        <w:tab/>
      </w:r>
      <w:r w:rsidR="00F1003A">
        <w:rPr>
          <w:rFonts w:ascii="Arial" w:hAnsi="Arial" w:cs="Arial"/>
          <w:sz w:val="28"/>
          <w:szCs w:val="28"/>
        </w:rPr>
        <w:t>The applicant argued that these documents are relevant as they are proof that he was appointed as project manager and the remuneration he is entitled to. In this instance as well, the applicant must prove the existence of these documents and that they are in the possession of the respondent. There is no such proof and as such the point stands to fail.</w:t>
      </w:r>
    </w:p>
    <w:p w:rsidR="00B331E6" w:rsidRDefault="00B331E6" w:rsidP="00F6052B">
      <w:pPr>
        <w:pStyle w:val="Default"/>
        <w:spacing w:line="360" w:lineRule="auto"/>
        <w:jc w:val="both"/>
        <w:rPr>
          <w:rFonts w:ascii="Arial" w:hAnsi="Arial" w:cs="Arial"/>
          <w:sz w:val="28"/>
          <w:szCs w:val="28"/>
        </w:rPr>
      </w:pPr>
    </w:p>
    <w:p w:rsidR="00B331E6" w:rsidRDefault="00B331E6" w:rsidP="00F6052B">
      <w:pPr>
        <w:pStyle w:val="Default"/>
        <w:spacing w:line="360" w:lineRule="auto"/>
        <w:jc w:val="both"/>
        <w:rPr>
          <w:rFonts w:ascii="Arial" w:hAnsi="Arial" w:cs="Arial"/>
          <w:b/>
          <w:sz w:val="28"/>
          <w:szCs w:val="28"/>
        </w:rPr>
      </w:pPr>
      <w:r w:rsidRPr="00B331E6">
        <w:rPr>
          <w:rFonts w:ascii="Arial" w:hAnsi="Arial" w:cs="Arial"/>
          <w:b/>
          <w:sz w:val="28"/>
          <w:szCs w:val="28"/>
        </w:rPr>
        <w:t>Contents of the</w:t>
      </w:r>
      <w:r>
        <w:rPr>
          <w:rFonts w:ascii="Arial" w:hAnsi="Arial" w:cs="Arial"/>
          <w:b/>
          <w:sz w:val="28"/>
          <w:szCs w:val="28"/>
        </w:rPr>
        <w:t xml:space="preserve"> </w:t>
      </w:r>
      <w:r w:rsidRPr="00B331E6">
        <w:rPr>
          <w:rFonts w:ascii="Arial" w:hAnsi="Arial" w:cs="Arial"/>
          <w:b/>
          <w:sz w:val="28"/>
          <w:szCs w:val="28"/>
        </w:rPr>
        <w:t>attorney’s file</w:t>
      </w:r>
    </w:p>
    <w:p w:rsidR="00B331E6" w:rsidRPr="00157576" w:rsidRDefault="00B331E6" w:rsidP="00F6052B">
      <w:pPr>
        <w:pStyle w:val="Default"/>
        <w:spacing w:line="360" w:lineRule="auto"/>
        <w:jc w:val="both"/>
        <w:rPr>
          <w:rFonts w:ascii="Arial" w:hAnsi="Arial" w:cs="Arial"/>
          <w:b/>
          <w:sz w:val="12"/>
          <w:szCs w:val="12"/>
        </w:rPr>
      </w:pPr>
    </w:p>
    <w:p w:rsidR="00B331E6" w:rsidRDefault="007A57B2" w:rsidP="007A57B2">
      <w:pPr>
        <w:pStyle w:val="Default"/>
        <w:spacing w:line="360" w:lineRule="auto"/>
        <w:ind w:left="720" w:hanging="720"/>
        <w:jc w:val="both"/>
        <w:rPr>
          <w:rFonts w:ascii="Arial" w:hAnsi="Arial" w:cs="Arial"/>
          <w:sz w:val="28"/>
          <w:szCs w:val="28"/>
        </w:rPr>
      </w:pPr>
      <w:r>
        <w:rPr>
          <w:rFonts w:ascii="Arial" w:hAnsi="Arial" w:cs="Arial"/>
          <w:sz w:val="28"/>
          <w:szCs w:val="28"/>
        </w:rPr>
        <w:t>[12]</w:t>
      </w:r>
      <w:r>
        <w:rPr>
          <w:rFonts w:ascii="Arial" w:hAnsi="Arial" w:cs="Arial"/>
          <w:sz w:val="28"/>
          <w:szCs w:val="28"/>
        </w:rPr>
        <w:tab/>
      </w:r>
      <w:r w:rsidR="00B331E6">
        <w:rPr>
          <w:rFonts w:ascii="Arial" w:hAnsi="Arial" w:cs="Arial"/>
          <w:sz w:val="28"/>
          <w:szCs w:val="28"/>
        </w:rPr>
        <w:t>The argument in relation to the statement of accounts was repeated herein. These are not documents in the possession of the respondent and the order to have them discovered by the respondent would not be competent.</w:t>
      </w:r>
    </w:p>
    <w:p w:rsidR="007A57B2" w:rsidRDefault="007A57B2" w:rsidP="007A57B2">
      <w:pPr>
        <w:pStyle w:val="Default"/>
        <w:spacing w:line="360" w:lineRule="auto"/>
        <w:ind w:left="720" w:hanging="720"/>
        <w:jc w:val="both"/>
        <w:rPr>
          <w:rFonts w:ascii="Arial" w:hAnsi="Arial" w:cs="Arial"/>
          <w:sz w:val="28"/>
          <w:szCs w:val="28"/>
        </w:rPr>
      </w:pPr>
    </w:p>
    <w:p w:rsidR="005A0FE7" w:rsidRDefault="005A0FE7" w:rsidP="007A57B2">
      <w:pPr>
        <w:pStyle w:val="Default"/>
        <w:spacing w:line="360" w:lineRule="auto"/>
        <w:ind w:left="720" w:hanging="720"/>
        <w:jc w:val="both"/>
        <w:rPr>
          <w:rFonts w:ascii="Arial" w:hAnsi="Arial" w:cs="Arial"/>
          <w:sz w:val="28"/>
          <w:szCs w:val="28"/>
        </w:rPr>
      </w:pPr>
    </w:p>
    <w:p w:rsidR="005A0FE7" w:rsidRPr="00B331E6" w:rsidRDefault="005A0FE7" w:rsidP="007A57B2">
      <w:pPr>
        <w:pStyle w:val="Default"/>
        <w:spacing w:line="360" w:lineRule="auto"/>
        <w:ind w:left="720" w:hanging="720"/>
        <w:jc w:val="both"/>
        <w:rPr>
          <w:rFonts w:ascii="Arial" w:hAnsi="Arial" w:cs="Arial"/>
          <w:sz w:val="28"/>
          <w:szCs w:val="28"/>
        </w:rPr>
      </w:pPr>
    </w:p>
    <w:p w:rsidR="00025347" w:rsidRPr="00025347" w:rsidRDefault="00025347" w:rsidP="00F6052B">
      <w:pPr>
        <w:pStyle w:val="Default"/>
        <w:spacing w:line="360" w:lineRule="auto"/>
        <w:jc w:val="both"/>
        <w:rPr>
          <w:rFonts w:ascii="Arial" w:hAnsi="Arial" w:cs="Arial"/>
          <w:b/>
          <w:sz w:val="28"/>
          <w:szCs w:val="28"/>
        </w:rPr>
      </w:pPr>
      <w:r w:rsidRPr="00025347">
        <w:rPr>
          <w:rFonts w:ascii="Arial" w:hAnsi="Arial" w:cs="Arial"/>
          <w:b/>
          <w:sz w:val="28"/>
          <w:szCs w:val="28"/>
        </w:rPr>
        <w:lastRenderedPageBreak/>
        <w:t>Costs</w:t>
      </w:r>
    </w:p>
    <w:p w:rsidR="00025347" w:rsidRPr="007A57B2" w:rsidRDefault="00025347" w:rsidP="00F6052B">
      <w:pPr>
        <w:pStyle w:val="Default"/>
        <w:spacing w:line="360" w:lineRule="auto"/>
        <w:jc w:val="both"/>
        <w:rPr>
          <w:rFonts w:ascii="Arial" w:hAnsi="Arial" w:cs="Arial"/>
          <w:sz w:val="12"/>
          <w:szCs w:val="12"/>
        </w:rPr>
      </w:pPr>
    </w:p>
    <w:p w:rsidR="00153FA4" w:rsidRDefault="007A57B2" w:rsidP="007A57B2">
      <w:pPr>
        <w:pStyle w:val="Default"/>
        <w:spacing w:line="360" w:lineRule="auto"/>
        <w:ind w:left="720" w:hanging="720"/>
        <w:jc w:val="both"/>
        <w:rPr>
          <w:rFonts w:ascii="Arial" w:hAnsi="Arial" w:cs="Arial"/>
          <w:sz w:val="28"/>
          <w:szCs w:val="28"/>
        </w:rPr>
      </w:pPr>
      <w:r>
        <w:rPr>
          <w:rFonts w:ascii="Arial" w:hAnsi="Arial" w:cs="Arial"/>
          <w:sz w:val="28"/>
          <w:szCs w:val="28"/>
        </w:rPr>
        <w:t>[13]</w:t>
      </w:r>
      <w:r>
        <w:rPr>
          <w:rFonts w:ascii="Arial" w:hAnsi="Arial" w:cs="Arial"/>
          <w:sz w:val="28"/>
          <w:szCs w:val="28"/>
        </w:rPr>
        <w:tab/>
      </w:r>
      <w:r w:rsidR="00025347">
        <w:rPr>
          <w:rFonts w:ascii="Arial" w:hAnsi="Arial" w:cs="Arial"/>
          <w:sz w:val="28"/>
          <w:szCs w:val="28"/>
        </w:rPr>
        <w:t>It is trite that costs follow the event and it was argued that the applicant should pay the costs of this application from the date of the delivery of the replying affidavit as the applicant became aware in the answering affidavit that the respondent was not in possession of the documents requested. This submission was correctly made as the applicant persisted with this application despite the answering affidavit indicating that the respondent was not</w:t>
      </w:r>
      <w:r w:rsidR="00577C29">
        <w:rPr>
          <w:rFonts w:ascii="Arial" w:hAnsi="Arial" w:cs="Arial"/>
          <w:sz w:val="28"/>
          <w:szCs w:val="28"/>
        </w:rPr>
        <w:t xml:space="preserve"> in</w:t>
      </w:r>
      <w:r w:rsidR="00025347">
        <w:rPr>
          <w:rFonts w:ascii="Arial" w:hAnsi="Arial" w:cs="Arial"/>
          <w:sz w:val="28"/>
          <w:szCs w:val="28"/>
        </w:rPr>
        <w:t xml:space="preserve"> possession of the requested documents.</w:t>
      </w:r>
    </w:p>
    <w:p w:rsidR="007A57B2" w:rsidRDefault="007A57B2" w:rsidP="007A57B2">
      <w:pPr>
        <w:autoSpaceDE w:val="0"/>
        <w:autoSpaceDN w:val="0"/>
        <w:adjustRightInd w:val="0"/>
        <w:spacing w:after="0" w:line="360" w:lineRule="auto"/>
        <w:jc w:val="both"/>
        <w:rPr>
          <w:rFonts w:ascii="Arial" w:hAnsi="Arial" w:cs="Arial"/>
          <w:sz w:val="28"/>
          <w:szCs w:val="28"/>
        </w:rPr>
      </w:pPr>
    </w:p>
    <w:p w:rsidR="007A57B2" w:rsidRPr="00E155BC" w:rsidRDefault="007A57B2" w:rsidP="007A57B2">
      <w:pPr>
        <w:autoSpaceDE w:val="0"/>
        <w:autoSpaceDN w:val="0"/>
        <w:adjustRightInd w:val="0"/>
        <w:spacing w:after="0" w:line="360" w:lineRule="auto"/>
        <w:jc w:val="both"/>
        <w:rPr>
          <w:rFonts w:ascii="Arial" w:hAnsi="Arial" w:cs="Arial"/>
          <w:b/>
          <w:sz w:val="28"/>
          <w:szCs w:val="28"/>
        </w:rPr>
      </w:pPr>
      <w:r w:rsidRPr="00E155BC">
        <w:rPr>
          <w:rFonts w:ascii="Arial" w:hAnsi="Arial" w:cs="Arial"/>
          <w:b/>
          <w:sz w:val="28"/>
          <w:szCs w:val="28"/>
        </w:rPr>
        <w:t>Order</w:t>
      </w:r>
    </w:p>
    <w:p w:rsidR="00E155BC" w:rsidRPr="00157576" w:rsidRDefault="00E155BC" w:rsidP="003B1623">
      <w:pPr>
        <w:autoSpaceDE w:val="0"/>
        <w:autoSpaceDN w:val="0"/>
        <w:adjustRightInd w:val="0"/>
        <w:spacing w:after="0" w:line="360" w:lineRule="auto"/>
        <w:jc w:val="both"/>
        <w:rPr>
          <w:rFonts w:ascii="Arial" w:hAnsi="Arial" w:cs="Arial"/>
          <w:sz w:val="12"/>
          <w:szCs w:val="12"/>
        </w:rPr>
      </w:pPr>
    </w:p>
    <w:p w:rsidR="00E155BC" w:rsidRDefault="007A57B2" w:rsidP="003B1623">
      <w:pPr>
        <w:autoSpaceDE w:val="0"/>
        <w:autoSpaceDN w:val="0"/>
        <w:adjustRightInd w:val="0"/>
        <w:spacing w:after="0" w:line="360" w:lineRule="auto"/>
        <w:jc w:val="both"/>
        <w:rPr>
          <w:rFonts w:ascii="Arial" w:hAnsi="Arial" w:cs="Arial"/>
          <w:sz w:val="28"/>
          <w:szCs w:val="28"/>
        </w:rPr>
      </w:pPr>
      <w:r>
        <w:rPr>
          <w:rFonts w:ascii="Arial" w:hAnsi="Arial" w:cs="Arial"/>
          <w:sz w:val="28"/>
          <w:szCs w:val="28"/>
        </w:rPr>
        <w:t>[14]</w:t>
      </w:r>
      <w:r>
        <w:rPr>
          <w:rFonts w:ascii="Arial" w:hAnsi="Arial" w:cs="Arial"/>
          <w:sz w:val="28"/>
          <w:szCs w:val="28"/>
        </w:rPr>
        <w:tab/>
      </w:r>
      <w:r w:rsidR="00E155BC">
        <w:rPr>
          <w:rFonts w:ascii="Arial" w:hAnsi="Arial" w:cs="Arial"/>
          <w:sz w:val="28"/>
          <w:szCs w:val="28"/>
        </w:rPr>
        <w:t>Consequently</w:t>
      </w:r>
      <w:r w:rsidR="00025347">
        <w:rPr>
          <w:rFonts w:ascii="Arial" w:hAnsi="Arial" w:cs="Arial"/>
          <w:sz w:val="28"/>
          <w:szCs w:val="28"/>
        </w:rPr>
        <w:t>,</w:t>
      </w:r>
      <w:r w:rsidR="00E155BC">
        <w:rPr>
          <w:rFonts w:ascii="Arial" w:hAnsi="Arial" w:cs="Arial"/>
          <w:sz w:val="28"/>
          <w:szCs w:val="28"/>
        </w:rPr>
        <w:t xml:space="preserve"> the following order is made:</w:t>
      </w:r>
    </w:p>
    <w:p w:rsidR="00E155BC" w:rsidRPr="00157576" w:rsidRDefault="00E155BC" w:rsidP="003B1623">
      <w:pPr>
        <w:autoSpaceDE w:val="0"/>
        <w:autoSpaceDN w:val="0"/>
        <w:adjustRightInd w:val="0"/>
        <w:spacing w:after="0" w:line="360" w:lineRule="auto"/>
        <w:jc w:val="both"/>
        <w:rPr>
          <w:rFonts w:ascii="Arial" w:hAnsi="Arial" w:cs="Arial"/>
          <w:sz w:val="12"/>
          <w:szCs w:val="12"/>
        </w:rPr>
      </w:pPr>
    </w:p>
    <w:p w:rsidR="00E155BC" w:rsidRPr="00AB5F87" w:rsidRDefault="00AB5F87" w:rsidP="00AB5F87">
      <w:pPr>
        <w:autoSpaceDE w:val="0"/>
        <w:autoSpaceDN w:val="0"/>
        <w:adjustRightInd w:val="0"/>
        <w:spacing w:after="0" w:line="360" w:lineRule="auto"/>
        <w:ind w:left="1080" w:hanging="360"/>
        <w:jc w:val="both"/>
        <w:rPr>
          <w:rFonts w:ascii="Arial" w:hAnsi="Arial" w:cs="Arial"/>
          <w:sz w:val="28"/>
          <w:szCs w:val="28"/>
        </w:rPr>
      </w:pPr>
      <w:r w:rsidRPr="00E3232C">
        <w:rPr>
          <w:rFonts w:ascii="Arial" w:hAnsi="Arial" w:cs="Arial"/>
          <w:sz w:val="28"/>
          <w:szCs w:val="28"/>
        </w:rPr>
        <w:t>1.</w:t>
      </w:r>
      <w:r w:rsidRPr="00E3232C">
        <w:rPr>
          <w:rFonts w:ascii="Arial" w:hAnsi="Arial" w:cs="Arial"/>
          <w:sz w:val="28"/>
          <w:szCs w:val="28"/>
        </w:rPr>
        <w:tab/>
      </w:r>
      <w:r w:rsidR="00E155BC" w:rsidRPr="00AB5F87">
        <w:rPr>
          <w:rFonts w:ascii="Arial" w:hAnsi="Arial" w:cs="Arial"/>
          <w:sz w:val="28"/>
          <w:szCs w:val="28"/>
        </w:rPr>
        <w:t>The application is dismissed.</w:t>
      </w:r>
    </w:p>
    <w:p w:rsidR="00D33A5C" w:rsidRPr="00AB5F87" w:rsidRDefault="00AB5F87" w:rsidP="00AB5F87">
      <w:pPr>
        <w:autoSpaceDE w:val="0"/>
        <w:autoSpaceDN w:val="0"/>
        <w:adjustRightInd w:val="0"/>
        <w:spacing w:after="0" w:line="360" w:lineRule="auto"/>
        <w:ind w:left="1080" w:hanging="360"/>
        <w:jc w:val="both"/>
        <w:rPr>
          <w:rFonts w:ascii="Arial" w:hAnsi="Arial" w:cs="Arial"/>
          <w:sz w:val="28"/>
          <w:szCs w:val="28"/>
        </w:rPr>
      </w:pPr>
      <w:r>
        <w:rPr>
          <w:rFonts w:ascii="Arial" w:hAnsi="Arial" w:cs="Arial"/>
          <w:sz w:val="28"/>
          <w:szCs w:val="28"/>
        </w:rPr>
        <w:t>2.</w:t>
      </w:r>
      <w:r>
        <w:rPr>
          <w:rFonts w:ascii="Arial" w:hAnsi="Arial" w:cs="Arial"/>
          <w:sz w:val="28"/>
          <w:szCs w:val="28"/>
        </w:rPr>
        <w:tab/>
      </w:r>
      <w:r w:rsidR="002160B3" w:rsidRPr="00AB5F87">
        <w:rPr>
          <w:rFonts w:ascii="Arial" w:hAnsi="Arial" w:cs="Arial"/>
          <w:sz w:val="28"/>
          <w:szCs w:val="28"/>
        </w:rPr>
        <w:t>The Applicant is ordered to pay costs of the application</w:t>
      </w:r>
      <w:r w:rsidR="00025347" w:rsidRPr="00AB5F87">
        <w:rPr>
          <w:rFonts w:ascii="Arial" w:hAnsi="Arial" w:cs="Arial"/>
          <w:sz w:val="28"/>
          <w:szCs w:val="28"/>
        </w:rPr>
        <w:t xml:space="preserve"> from the date delivery of the replying affidavit</w:t>
      </w:r>
      <w:r w:rsidR="002160B3" w:rsidRPr="00AB5F87">
        <w:rPr>
          <w:rFonts w:ascii="Arial" w:hAnsi="Arial" w:cs="Arial"/>
          <w:sz w:val="28"/>
          <w:szCs w:val="28"/>
        </w:rPr>
        <w:t>.</w:t>
      </w:r>
      <w:r w:rsidR="00C06FDB" w:rsidRPr="00AB5F87">
        <w:rPr>
          <w:rFonts w:ascii="Arial" w:hAnsi="Arial" w:cs="Arial"/>
          <w:sz w:val="28"/>
          <w:szCs w:val="28"/>
        </w:rPr>
        <w:t xml:space="preserve"> </w:t>
      </w:r>
    </w:p>
    <w:p w:rsidR="00EA1236" w:rsidRDefault="00E155BC" w:rsidP="00E155BC">
      <w:pPr>
        <w:spacing w:line="360" w:lineRule="auto"/>
        <w:ind w:left="1440" w:right="746"/>
        <w:jc w:val="both"/>
        <w:rPr>
          <w:rFonts w:ascii="Arial" w:hAnsi="Arial" w:cs="Arial"/>
          <w:sz w:val="28"/>
          <w:szCs w:val="28"/>
        </w:rPr>
      </w:pPr>
      <w:r w:rsidRPr="00D33A5C">
        <w:rPr>
          <w:rFonts w:ascii="Arial" w:hAnsi="Arial" w:cs="Arial"/>
          <w:i/>
          <w:sz w:val="24"/>
          <w:szCs w:val="24"/>
        </w:rPr>
        <w:t xml:space="preserve"> </w:t>
      </w:r>
    </w:p>
    <w:p w:rsidR="00EA1236" w:rsidRDefault="00EA1236" w:rsidP="00EA1236">
      <w:pPr>
        <w:spacing w:line="360" w:lineRule="auto"/>
        <w:jc w:val="both"/>
        <w:rPr>
          <w:rFonts w:ascii="Arial" w:hAnsi="Arial" w:cs="Arial"/>
          <w:sz w:val="28"/>
          <w:szCs w:val="28"/>
        </w:rPr>
      </w:pPr>
    </w:p>
    <w:p w:rsidR="00EA1236" w:rsidRDefault="00EA1236" w:rsidP="00EA1236">
      <w:pPr>
        <w:spacing w:line="360" w:lineRule="auto"/>
        <w:jc w:val="both"/>
        <w:rPr>
          <w:rFonts w:ascii="Arial" w:hAnsi="Arial" w:cs="Arial"/>
          <w:sz w:val="28"/>
          <w:szCs w:val="28"/>
        </w:rPr>
      </w:pPr>
    </w:p>
    <w:p w:rsidR="002160B3" w:rsidRDefault="002160B3" w:rsidP="00EA1236">
      <w:pPr>
        <w:spacing w:line="360" w:lineRule="auto"/>
        <w:jc w:val="both"/>
        <w:rPr>
          <w:rFonts w:ascii="Arial" w:hAnsi="Arial" w:cs="Arial"/>
          <w:sz w:val="28"/>
          <w:szCs w:val="28"/>
        </w:rPr>
      </w:pPr>
    </w:p>
    <w:p w:rsidR="002160B3" w:rsidRDefault="002160B3" w:rsidP="00EA1236">
      <w:pPr>
        <w:spacing w:line="360" w:lineRule="auto"/>
        <w:jc w:val="both"/>
        <w:rPr>
          <w:rFonts w:ascii="Arial" w:hAnsi="Arial" w:cs="Arial"/>
          <w:sz w:val="28"/>
          <w:szCs w:val="28"/>
        </w:rPr>
      </w:pPr>
    </w:p>
    <w:p w:rsidR="002160B3" w:rsidRPr="00E3232C" w:rsidRDefault="00E3232C" w:rsidP="00EA1236">
      <w:pPr>
        <w:spacing w:line="360" w:lineRule="auto"/>
        <w:jc w:val="both"/>
        <w:rPr>
          <w:rFonts w:ascii="Arial" w:hAnsi="Arial" w:cs="Arial"/>
          <w:b/>
          <w:sz w:val="28"/>
          <w:szCs w:val="28"/>
        </w:rPr>
      </w:pPr>
      <w:r w:rsidRPr="00E3232C">
        <w:rPr>
          <w:rFonts w:ascii="Arial" w:hAnsi="Arial" w:cs="Arial"/>
          <w:b/>
          <w:sz w:val="28"/>
          <w:szCs w:val="28"/>
        </w:rPr>
        <w:t>_____________________</w:t>
      </w:r>
    </w:p>
    <w:p w:rsidR="00EA1236" w:rsidRPr="00EA1236" w:rsidRDefault="006D5627" w:rsidP="00EA1236">
      <w:pPr>
        <w:spacing w:after="0" w:line="360" w:lineRule="auto"/>
        <w:jc w:val="both"/>
        <w:rPr>
          <w:rFonts w:ascii="Arial" w:hAnsi="Arial" w:cs="Arial"/>
          <w:b/>
          <w:sz w:val="28"/>
          <w:szCs w:val="28"/>
        </w:rPr>
      </w:pPr>
      <w:r>
        <w:rPr>
          <w:rFonts w:ascii="Arial" w:hAnsi="Arial" w:cs="Arial"/>
          <w:b/>
          <w:sz w:val="28"/>
          <w:szCs w:val="28"/>
        </w:rPr>
        <w:t xml:space="preserve">J T </w:t>
      </w:r>
      <w:r w:rsidR="00EA1236" w:rsidRPr="00EA1236">
        <w:rPr>
          <w:rFonts w:ascii="Arial" w:hAnsi="Arial" w:cs="Arial"/>
          <w:b/>
          <w:sz w:val="28"/>
          <w:szCs w:val="28"/>
        </w:rPr>
        <w:t xml:space="preserve">DJAJE </w:t>
      </w:r>
    </w:p>
    <w:p w:rsidR="00025347" w:rsidRDefault="00EA1236" w:rsidP="00EA1236">
      <w:pPr>
        <w:spacing w:after="0" w:line="360" w:lineRule="auto"/>
        <w:jc w:val="both"/>
        <w:rPr>
          <w:rFonts w:ascii="Arial" w:hAnsi="Arial" w:cs="Arial"/>
          <w:b/>
          <w:sz w:val="28"/>
          <w:szCs w:val="28"/>
        </w:rPr>
      </w:pPr>
      <w:r w:rsidRPr="00EA1236">
        <w:rPr>
          <w:rFonts w:ascii="Arial" w:hAnsi="Arial" w:cs="Arial"/>
          <w:b/>
          <w:sz w:val="28"/>
          <w:szCs w:val="28"/>
        </w:rPr>
        <w:t xml:space="preserve">ACTING </w:t>
      </w:r>
      <w:r w:rsidR="00025347">
        <w:rPr>
          <w:rFonts w:ascii="Arial" w:hAnsi="Arial" w:cs="Arial"/>
          <w:b/>
          <w:sz w:val="28"/>
          <w:szCs w:val="28"/>
        </w:rPr>
        <w:t xml:space="preserve">DEPUTY </w:t>
      </w:r>
      <w:r w:rsidRPr="00EA1236">
        <w:rPr>
          <w:rFonts w:ascii="Arial" w:hAnsi="Arial" w:cs="Arial"/>
          <w:b/>
          <w:sz w:val="28"/>
          <w:szCs w:val="28"/>
        </w:rPr>
        <w:t>JUDGE</w:t>
      </w:r>
      <w:r w:rsidR="00025347">
        <w:rPr>
          <w:rFonts w:ascii="Arial" w:hAnsi="Arial" w:cs="Arial"/>
          <w:b/>
          <w:sz w:val="28"/>
          <w:szCs w:val="28"/>
        </w:rPr>
        <w:t xml:space="preserve"> PRESIDENT</w:t>
      </w:r>
    </w:p>
    <w:p w:rsidR="00EA1236" w:rsidRPr="00EA1236" w:rsidRDefault="00025347" w:rsidP="00EA1236">
      <w:pPr>
        <w:spacing w:after="0" w:line="360" w:lineRule="auto"/>
        <w:jc w:val="both"/>
        <w:rPr>
          <w:rFonts w:ascii="Arial" w:hAnsi="Arial" w:cs="Arial"/>
          <w:b/>
          <w:sz w:val="28"/>
          <w:szCs w:val="28"/>
        </w:rPr>
      </w:pPr>
      <w:r>
        <w:rPr>
          <w:rFonts w:ascii="Arial" w:hAnsi="Arial" w:cs="Arial"/>
          <w:b/>
          <w:sz w:val="28"/>
          <w:szCs w:val="28"/>
        </w:rPr>
        <w:t xml:space="preserve">NORTH WEST </w:t>
      </w:r>
      <w:r w:rsidR="00EA1236" w:rsidRPr="00EA1236">
        <w:rPr>
          <w:rFonts w:ascii="Arial" w:hAnsi="Arial" w:cs="Arial"/>
          <w:b/>
          <w:sz w:val="28"/>
          <w:szCs w:val="28"/>
        </w:rPr>
        <w:t>HIGH COURT</w:t>
      </w:r>
    </w:p>
    <w:p w:rsidR="00EA1236" w:rsidRPr="00D33A5C" w:rsidRDefault="00EA1236" w:rsidP="00EA1236">
      <w:pPr>
        <w:spacing w:line="360" w:lineRule="auto"/>
        <w:ind w:left="720" w:hanging="720"/>
        <w:jc w:val="both"/>
        <w:rPr>
          <w:rFonts w:ascii="Arial" w:hAnsi="Arial" w:cs="Arial"/>
          <w:sz w:val="28"/>
          <w:szCs w:val="28"/>
        </w:rPr>
      </w:pPr>
    </w:p>
    <w:p w:rsidR="00E3232C" w:rsidRPr="00C018B2" w:rsidRDefault="00E3232C" w:rsidP="00E3232C">
      <w:pPr>
        <w:spacing w:after="0" w:line="360" w:lineRule="auto"/>
        <w:jc w:val="both"/>
        <w:rPr>
          <w:rFonts w:ascii="Arial" w:hAnsi="Arial" w:cs="Arial"/>
          <w:b/>
          <w:sz w:val="28"/>
          <w:szCs w:val="28"/>
          <w:u w:val="single"/>
        </w:rPr>
      </w:pPr>
      <w:r w:rsidRPr="00C018B2">
        <w:rPr>
          <w:rFonts w:ascii="Arial" w:hAnsi="Arial" w:cs="Arial"/>
          <w:b/>
          <w:sz w:val="28"/>
          <w:szCs w:val="28"/>
          <w:u w:val="single"/>
        </w:rPr>
        <w:lastRenderedPageBreak/>
        <w:t>APPEARANCES</w:t>
      </w:r>
    </w:p>
    <w:p w:rsidR="00E3232C" w:rsidRDefault="00E3232C" w:rsidP="00E3232C">
      <w:pPr>
        <w:pStyle w:val="Default"/>
        <w:spacing w:line="360" w:lineRule="auto"/>
        <w:jc w:val="both"/>
        <w:rPr>
          <w:sz w:val="28"/>
          <w:szCs w:val="28"/>
        </w:rPr>
      </w:pPr>
    </w:p>
    <w:p w:rsidR="00E3232C" w:rsidRDefault="00E3232C" w:rsidP="00E3232C">
      <w:pPr>
        <w:spacing w:after="0" w:line="360" w:lineRule="auto"/>
        <w:jc w:val="both"/>
        <w:rPr>
          <w:rFonts w:ascii="Arial" w:eastAsia="Times New Roman" w:hAnsi="Arial" w:cs="Arial"/>
          <w:sz w:val="28"/>
          <w:szCs w:val="28"/>
        </w:rPr>
      </w:pPr>
      <w:r w:rsidRPr="005C5C19">
        <w:rPr>
          <w:rFonts w:ascii="Arial" w:eastAsia="Times New Roman" w:hAnsi="Arial" w:cs="Arial"/>
          <w:b/>
          <w:sz w:val="28"/>
          <w:szCs w:val="28"/>
        </w:rPr>
        <w:t>DATE OF HEARING</w:t>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sidRPr="00B21271">
        <w:rPr>
          <w:rFonts w:ascii="Arial" w:eastAsia="Times New Roman" w:hAnsi="Arial" w:cs="Arial"/>
          <w:b/>
          <w:sz w:val="28"/>
          <w:szCs w:val="28"/>
        </w:rPr>
        <w:t>:</w:t>
      </w:r>
      <w:r w:rsidR="00F85D6A">
        <w:rPr>
          <w:rFonts w:ascii="Arial" w:eastAsia="Times New Roman" w:hAnsi="Arial" w:cs="Arial"/>
          <w:b/>
          <w:sz w:val="28"/>
          <w:szCs w:val="28"/>
        </w:rPr>
        <w:t xml:space="preserve"> 28 OCTOBER</w:t>
      </w:r>
      <w:r>
        <w:rPr>
          <w:rFonts w:ascii="Arial" w:eastAsia="Times New Roman" w:hAnsi="Arial" w:cs="Arial"/>
          <w:b/>
          <w:sz w:val="28"/>
          <w:szCs w:val="28"/>
        </w:rPr>
        <w:t xml:space="preserve"> 2022</w:t>
      </w:r>
      <w:r w:rsidRPr="005C5C19">
        <w:rPr>
          <w:rFonts w:ascii="Arial" w:eastAsia="Times New Roman" w:hAnsi="Arial" w:cs="Arial"/>
          <w:sz w:val="28"/>
          <w:szCs w:val="28"/>
        </w:rPr>
        <w:tab/>
      </w:r>
    </w:p>
    <w:p w:rsidR="00E3232C" w:rsidRDefault="00E3232C" w:rsidP="00E3232C">
      <w:pPr>
        <w:spacing w:after="0" w:line="360" w:lineRule="auto"/>
        <w:jc w:val="both"/>
        <w:rPr>
          <w:rFonts w:ascii="Arial" w:eastAsia="Times New Roman" w:hAnsi="Arial" w:cs="Arial"/>
          <w:b/>
          <w:sz w:val="28"/>
          <w:szCs w:val="28"/>
        </w:rPr>
      </w:pPr>
      <w:r w:rsidRPr="00981B9A">
        <w:rPr>
          <w:rFonts w:ascii="Arial" w:eastAsia="Times New Roman" w:hAnsi="Arial" w:cs="Arial"/>
          <w:b/>
          <w:sz w:val="28"/>
          <w:szCs w:val="28"/>
        </w:rPr>
        <w:t>JUDGMENT RESERVED</w:t>
      </w:r>
      <w:r w:rsidR="00F85D6A">
        <w:rPr>
          <w:rFonts w:ascii="Arial" w:eastAsia="Times New Roman" w:hAnsi="Arial" w:cs="Arial"/>
          <w:b/>
          <w:sz w:val="28"/>
          <w:szCs w:val="28"/>
        </w:rPr>
        <w:t xml:space="preserve"> </w:t>
      </w:r>
      <w:r w:rsidR="00F85D6A">
        <w:rPr>
          <w:rFonts w:ascii="Arial" w:eastAsia="Times New Roman" w:hAnsi="Arial" w:cs="Arial"/>
          <w:b/>
          <w:sz w:val="28"/>
          <w:szCs w:val="28"/>
        </w:rPr>
        <w:tab/>
      </w:r>
      <w:r w:rsidR="00F85D6A">
        <w:rPr>
          <w:rFonts w:ascii="Arial" w:eastAsia="Times New Roman" w:hAnsi="Arial" w:cs="Arial"/>
          <w:b/>
          <w:sz w:val="28"/>
          <w:szCs w:val="28"/>
        </w:rPr>
        <w:tab/>
      </w:r>
      <w:r w:rsidR="00F85D6A">
        <w:rPr>
          <w:rFonts w:ascii="Arial" w:eastAsia="Times New Roman" w:hAnsi="Arial" w:cs="Arial"/>
          <w:b/>
          <w:sz w:val="28"/>
          <w:szCs w:val="28"/>
        </w:rPr>
        <w:tab/>
        <w:t>: 28 OCTOBER</w:t>
      </w:r>
      <w:r>
        <w:rPr>
          <w:rFonts w:ascii="Arial" w:eastAsia="Times New Roman" w:hAnsi="Arial" w:cs="Arial"/>
          <w:b/>
          <w:sz w:val="28"/>
          <w:szCs w:val="28"/>
        </w:rPr>
        <w:t xml:space="preserve"> 2022</w:t>
      </w:r>
    </w:p>
    <w:p w:rsidR="00E3232C" w:rsidRDefault="00E3232C" w:rsidP="00E3232C">
      <w:pPr>
        <w:spacing w:after="0" w:line="360" w:lineRule="auto"/>
        <w:jc w:val="both"/>
        <w:rPr>
          <w:rFonts w:ascii="Arial" w:eastAsia="Times New Roman" w:hAnsi="Arial" w:cs="Arial"/>
          <w:b/>
          <w:sz w:val="28"/>
          <w:szCs w:val="28"/>
        </w:rPr>
      </w:pPr>
      <w:r w:rsidRPr="005C5C19">
        <w:rPr>
          <w:rFonts w:ascii="Arial" w:eastAsia="Times New Roman" w:hAnsi="Arial" w:cs="Arial"/>
          <w:b/>
          <w:sz w:val="28"/>
          <w:szCs w:val="28"/>
        </w:rPr>
        <w:t>DATE OF JUDGMENT</w:t>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b/>
          <w:sz w:val="28"/>
          <w:szCs w:val="28"/>
        </w:rPr>
        <w:t xml:space="preserve">: </w:t>
      </w:r>
      <w:r w:rsidR="005A0FE7">
        <w:rPr>
          <w:rFonts w:ascii="Arial" w:eastAsia="Times New Roman" w:hAnsi="Arial" w:cs="Arial"/>
          <w:b/>
          <w:sz w:val="28"/>
          <w:szCs w:val="28"/>
        </w:rPr>
        <w:t xml:space="preserve">14 </w:t>
      </w:r>
      <w:r w:rsidR="00F85D6A">
        <w:rPr>
          <w:rFonts w:ascii="Arial" w:eastAsia="Times New Roman" w:hAnsi="Arial" w:cs="Arial"/>
          <w:b/>
          <w:sz w:val="28"/>
          <w:szCs w:val="28"/>
        </w:rPr>
        <w:t>NOVEMBER</w:t>
      </w:r>
      <w:r>
        <w:rPr>
          <w:rFonts w:ascii="Arial" w:eastAsia="Times New Roman" w:hAnsi="Arial" w:cs="Arial"/>
          <w:b/>
          <w:sz w:val="28"/>
          <w:szCs w:val="28"/>
        </w:rPr>
        <w:t xml:space="preserve"> 2022</w:t>
      </w:r>
    </w:p>
    <w:p w:rsidR="00E3232C" w:rsidRPr="00FE7C4E" w:rsidRDefault="00E3232C" w:rsidP="00E3232C">
      <w:pPr>
        <w:spacing w:after="0" w:line="360" w:lineRule="auto"/>
        <w:jc w:val="both"/>
        <w:rPr>
          <w:rFonts w:ascii="Arial" w:eastAsia="Times New Roman" w:hAnsi="Arial" w:cs="Arial"/>
          <w:sz w:val="28"/>
          <w:szCs w:val="28"/>
        </w:rPr>
      </w:pPr>
      <w:r w:rsidRPr="0006198A">
        <w:rPr>
          <w:rFonts w:ascii="Arial" w:eastAsia="Times New Roman" w:hAnsi="Arial" w:cs="Arial"/>
          <w:b/>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sidRPr="005C5C19">
        <w:rPr>
          <w:rFonts w:ascii="Arial" w:eastAsia="Times New Roman" w:hAnsi="Arial" w:cs="Arial"/>
          <w:b/>
          <w:sz w:val="28"/>
          <w:szCs w:val="28"/>
        </w:rPr>
        <w:tab/>
      </w:r>
    </w:p>
    <w:p w:rsidR="00E3232C" w:rsidRDefault="00E3232C" w:rsidP="00E3232C">
      <w:pPr>
        <w:spacing w:after="0" w:line="360" w:lineRule="auto"/>
        <w:jc w:val="both"/>
        <w:rPr>
          <w:rFonts w:ascii="Arial" w:eastAsia="Times New Roman" w:hAnsi="Arial" w:cs="Arial"/>
          <w:b/>
          <w:sz w:val="28"/>
          <w:szCs w:val="28"/>
        </w:rPr>
      </w:pPr>
      <w:r>
        <w:rPr>
          <w:rFonts w:ascii="Arial" w:eastAsia="Times New Roman" w:hAnsi="Arial" w:cs="Arial"/>
          <w:b/>
          <w:sz w:val="28"/>
          <w:szCs w:val="28"/>
        </w:rPr>
        <w:t>COUNSE</w:t>
      </w:r>
      <w:r w:rsidR="00F85D6A">
        <w:rPr>
          <w:rFonts w:ascii="Arial" w:eastAsia="Times New Roman" w:hAnsi="Arial" w:cs="Arial"/>
          <w:b/>
          <w:sz w:val="28"/>
          <w:szCs w:val="28"/>
        </w:rPr>
        <w:t>L FOR THE PLAINTIFF</w:t>
      </w:r>
      <w:r w:rsidR="00F85D6A">
        <w:rPr>
          <w:rFonts w:ascii="Arial" w:eastAsia="Times New Roman" w:hAnsi="Arial" w:cs="Arial"/>
          <w:b/>
          <w:sz w:val="28"/>
          <w:szCs w:val="28"/>
        </w:rPr>
        <w:tab/>
      </w:r>
      <w:r w:rsidR="00F85D6A">
        <w:rPr>
          <w:rFonts w:ascii="Arial" w:eastAsia="Times New Roman" w:hAnsi="Arial" w:cs="Arial"/>
          <w:b/>
          <w:sz w:val="28"/>
          <w:szCs w:val="28"/>
        </w:rPr>
        <w:tab/>
        <w:t>: MR KEENY</w:t>
      </w:r>
    </w:p>
    <w:p w:rsidR="00E3232C" w:rsidRPr="006513EF" w:rsidRDefault="00E3232C" w:rsidP="00E3232C">
      <w:pPr>
        <w:spacing w:line="360" w:lineRule="auto"/>
        <w:jc w:val="both"/>
        <w:rPr>
          <w:rFonts w:ascii="Arial" w:hAnsi="Arial" w:cs="Arial"/>
          <w:sz w:val="28"/>
          <w:szCs w:val="28"/>
          <w:lang w:val="en-GB"/>
        </w:rPr>
      </w:pPr>
      <w:r>
        <w:rPr>
          <w:rFonts w:ascii="Arial" w:eastAsia="Times New Roman" w:hAnsi="Arial" w:cs="Arial"/>
          <w:b/>
          <w:sz w:val="28"/>
          <w:szCs w:val="28"/>
        </w:rPr>
        <w:t>COUNSEL FO</w:t>
      </w:r>
      <w:r w:rsidR="00F85D6A">
        <w:rPr>
          <w:rFonts w:ascii="Arial" w:eastAsia="Times New Roman" w:hAnsi="Arial" w:cs="Arial"/>
          <w:b/>
          <w:sz w:val="28"/>
          <w:szCs w:val="28"/>
        </w:rPr>
        <w:t xml:space="preserve">R THE DEFENDANT </w:t>
      </w:r>
      <w:r w:rsidR="00F85D6A">
        <w:rPr>
          <w:rFonts w:ascii="Arial" w:eastAsia="Times New Roman" w:hAnsi="Arial" w:cs="Arial"/>
          <w:b/>
          <w:sz w:val="28"/>
          <w:szCs w:val="28"/>
        </w:rPr>
        <w:tab/>
        <w:t>: MR ESTERHUYSE</w:t>
      </w:r>
    </w:p>
    <w:p w:rsidR="00830F8D" w:rsidRPr="00D33A5C" w:rsidRDefault="00830F8D" w:rsidP="005C414D">
      <w:pPr>
        <w:spacing w:line="360" w:lineRule="auto"/>
        <w:jc w:val="both"/>
        <w:rPr>
          <w:rFonts w:ascii="Arial" w:hAnsi="Arial" w:cs="Arial"/>
          <w:sz w:val="28"/>
          <w:szCs w:val="28"/>
          <w:u w:val="single"/>
        </w:rPr>
      </w:pPr>
    </w:p>
    <w:p w:rsidR="00D33A5C" w:rsidRPr="00D33A5C" w:rsidRDefault="00D33A5C">
      <w:pPr>
        <w:spacing w:line="360" w:lineRule="auto"/>
        <w:jc w:val="both"/>
        <w:rPr>
          <w:rFonts w:ascii="Arial" w:hAnsi="Arial" w:cs="Arial"/>
          <w:sz w:val="28"/>
          <w:szCs w:val="28"/>
          <w:u w:val="single"/>
        </w:rPr>
      </w:pPr>
    </w:p>
    <w:sectPr w:rsidR="00D33A5C" w:rsidRPr="00D33A5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DD2" w:rsidRDefault="00D61DD2" w:rsidP="00DC738E">
      <w:pPr>
        <w:spacing w:after="0" w:line="240" w:lineRule="auto"/>
      </w:pPr>
      <w:r>
        <w:separator/>
      </w:r>
    </w:p>
  </w:endnote>
  <w:endnote w:type="continuationSeparator" w:id="0">
    <w:p w:rsidR="00D61DD2" w:rsidRDefault="00D61DD2" w:rsidP="00DC7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1588630"/>
      <w:docPartObj>
        <w:docPartGallery w:val="Page Numbers (Bottom of Page)"/>
        <w:docPartUnique/>
      </w:docPartObj>
    </w:sdtPr>
    <w:sdtEndPr>
      <w:rPr>
        <w:noProof/>
      </w:rPr>
    </w:sdtEndPr>
    <w:sdtContent>
      <w:p w:rsidR="00485213" w:rsidRDefault="00485213">
        <w:pPr>
          <w:pStyle w:val="Footer"/>
          <w:jc w:val="center"/>
        </w:pPr>
        <w:r>
          <w:fldChar w:fldCharType="begin"/>
        </w:r>
        <w:r>
          <w:instrText xml:space="preserve"> PAGE   \* MERGEFORMAT </w:instrText>
        </w:r>
        <w:r>
          <w:fldChar w:fldCharType="separate"/>
        </w:r>
        <w:r w:rsidR="00AB5F87">
          <w:rPr>
            <w:noProof/>
          </w:rPr>
          <w:t>8</w:t>
        </w:r>
        <w:r>
          <w:rPr>
            <w:noProof/>
          </w:rPr>
          <w:fldChar w:fldCharType="end"/>
        </w:r>
      </w:p>
    </w:sdtContent>
  </w:sdt>
  <w:p w:rsidR="00485213" w:rsidRDefault="0048521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DD2" w:rsidRDefault="00D61DD2" w:rsidP="00DC738E">
      <w:pPr>
        <w:spacing w:after="0" w:line="240" w:lineRule="auto"/>
      </w:pPr>
      <w:r>
        <w:separator/>
      </w:r>
    </w:p>
  </w:footnote>
  <w:footnote w:type="continuationSeparator" w:id="0">
    <w:p w:rsidR="00D61DD2" w:rsidRDefault="00D61DD2" w:rsidP="00DC73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7B2" w:rsidRDefault="007A57B2">
    <w:pPr>
      <w:pStyle w:val="Header"/>
    </w:pPr>
  </w:p>
  <w:p w:rsidR="007A57B2" w:rsidRDefault="007A57B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1CA7"/>
    <w:multiLevelType w:val="hybridMultilevel"/>
    <w:tmpl w:val="CE3C60F2"/>
    <w:lvl w:ilvl="0" w:tplc="99F4C5F6">
      <w:start w:val="1"/>
      <w:numFmt w:val="decimal"/>
      <w:lvlText w:val="%1."/>
      <w:lvlJc w:val="left"/>
      <w:pPr>
        <w:ind w:left="1080" w:hanging="36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15022CBB"/>
    <w:multiLevelType w:val="hybridMultilevel"/>
    <w:tmpl w:val="6104536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6B3A7103"/>
    <w:multiLevelType w:val="hybridMultilevel"/>
    <w:tmpl w:val="4FF25396"/>
    <w:lvl w:ilvl="0" w:tplc="36BE839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7FA363E8"/>
    <w:multiLevelType w:val="hybridMultilevel"/>
    <w:tmpl w:val="C52E1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DC6"/>
    <w:rsid w:val="00011FAC"/>
    <w:rsid w:val="00023D0B"/>
    <w:rsid w:val="00025347"/>
    <w:rsid w:val="0008050B"/>
    <w:rsid w:val="000B7314"/>
    <w:rsid w:val="00116081"/>
    <w:rsid w:val="00121470"/>
    <w:rsid w:val="00131EB8"/>
    <w:rsid w:val="00153FA4"/>
    <w:rsid w:val="00157576"/>
    <w:rsid w:val="00161B4F"/>
    <w:rsid w:val="001D6264"/>
    <w:rsid w:val="002061F4"/>
    <w:rsid w:val="002160B3"/>
    <w:rsid w:val="00224CB1"/>
    <w:rsid w:val="00297971"/>
    <w:rsid w:val="002B14B3"/>
    <w:rsid w:val="002C616B"/>
    <w:rsid w:val="00372905"/>
    <w:rsid w:val="00387D55"/>
    <w:rsid w:val="003B1623"/>
    <w:rsid w:val="003D6102"/>
    <w:rsid w:val="003E5457"/>
    <w:rsid w:val="00440E01"/>
    <w:rsid w:val="00440F10"/>
    <w:rsid w:val="00441978"/>
    <w:rsid w:val="00485213"/>
    <w:rsid w:val="00485F81"/>
    <w:rsid w:val="00494F14"/>
    <w:rsid w:val="004D1E5E"/>
    <w:rsid w:val="004E1DD9"/>
    <w:rsid w:val="005020D4"/>
    <w:rsid w:val="00505F39"/>
    <w:rsid w:val="005624D9"/>
    <w:rsid w:val="00577C29"/>
    <w:rsid w:val="005A0FE7"/>
    <w:rsid w:val="005B2F67"/>
    <w:rsid w:val="005C414D"/>
    <w:rsid w:val="005D0CE2"/>
    <w:rsid w:val="00606C0B"/>
    <w:rsid w:val="00693C5E"/>
    <w:rsid w:val="006A1D50"/>
    <w:rsid w:val="006B7B38"/>
    <w:rsid w:val="006C4787"/>
    <w:rsid w:val="006D5627"/>
    <w:rsid w:val="00705012"/>
    <w:rsid w:val="00721986"/>
    <w:rsid w:val="00725853"/>
    <w:rsid w:val="007356C2"/>
    <w:rsid w:val="007450E7"/>
    <w:rsid w:val="007752E1"/>
    <w:rsid w:val="007A57B2"/>
    <w:rsid w:val="00830F8D"/>
    <w:rsid w:val="00834C17"/>
    <w:rsid w:val="00843922"/>
    <w:rsid w:val="00855167"/>
    <w:rsid w:val="00862641"/>
    <w:rsid w:val="00876BA9"/>
    <w:rsid w:val="00877E6A"/>
    <w:rsid w:val="00887908"/>
    <w:rsid w:val="00890722"/>
    <w:rsid w:val="008D1856"/>
    <w:rsid w:val="008F1976"/>
    <w:rsid w:val="008F389B"/>
    <w:rsid w:val="00927A28"/>
    <w:rsid w:val="0096208D"/>
    <w:rsid w:val="009A07F4"/>
    <w:rsid w:val="009A0FFF"/>
    <w:rsid w:val="009A6A3C"/>
    <w:rsid w:val="009C1AE5"/>
    <w:rsid w:val="009D7F77"/>
    <w:rsid w:val="009F6343"/>
    <w:rsid w:val="009F7915"/>
    <w:rsid w:val="00AB5F87"/>
    <w:rsid w:val="00AC4381"/>
    <w:rsid w:val="00B21354"/>
    <w:rsid w:val="00B331E6"/>
    <w:rsid w:val="00B65A7E"/>
    <w:rsid w:val="00B666C2"/>
    <w:rsid w:val="00B85947"/>
    <w:rsid w:val="00B96667"/>
    <w:rsid w:val="00C06FDB"/>
    <w:rsid w:val="00C4545C"/>
    <w:rsid w:val="00C4626F"/>
    <w:rsid w:val="00C53A7A"/>
    <w:rsid w:val="00C653BD"/>
    <w:rsid w:val="00CE22DA"/>
    <w:rsid w:val="00CF6B03"/>
    <w:rsid w:val="00D027E2"/>
    <w:rsid w:val="00D0556F"/>
    <w:rsid w:val="00D33A5C"/>
    <w:rsid w:val="00D61DD2"/>
    <w:rsid w:val="00DC738E"/>
    <w:rsid w:val="00DE3CB0"/>
    <w:rsid w:val="00E155BC"/>
    <w:rsid w:val="00E15E92"/>
    <w:rsid w:val="00E3232C"/>
    <w:rsid w:val="00E96FD3"/>
    <w:rsid w:val="00EA1236"/>
    <w:rsid w:val="00ED7C92"/>
    <w:rsid w:val="00EF4319"/>
    <w:rsid w:val="00F013F2"/>
    <w:rsid w:val="00F1003A"/>
    <w:rsid w:val="00F55A56"/>
    <w:rsid w:val="00F6052B"/>
    <w:rsid w:val="00F610EB"/>
    <w:rsid w:val="00F717EA"/>
    <w:rsid w:val="00F84297"/>
    <w:rsid w:val="00F85D6A"/>
    <w:rsid w:val="00FB24B5"/>
    <w:rsid w:val="00FD0DC6"/>
    <w:rsid w:val="00FE192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378636-1EF0-41A0-9D58-52B7E3867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470"/>
    <w:pPr>
      <w:ind w:left="720"/>
      <w:contextualSpacing/>
    </w:pPr>
  </w:style>
  <w:style w:type="paragraph" w:styleId="BalloonText">
    <w:name w:val="Balloon Text"/>
    <w:basedOn w:val="Normal"/>
    <w:link w:val="BalloonTextChar"/>
    <w:uiPriority w:val="99"/>
    <w:semiHidden/>
    <w:unhideWhenUsed/>
    <w:rsid w:val="00D33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A5C"/>
    <w:rPr>
      <w:rFonts w:ascii="Tahoma" w:hAnsi="Tahoma" w:cs="Tahoma"/>
      <w:sz w:val="16"/>
      <w:szCs w:val="16"/>
    </w:rPr>
  </w:style>
  <w:style w:type="paragraph" w:styleId="Header">
    <w:name w:val="header"/>
    <w:basedOn w:val="Normal"/>
    <w:link w:val="HeaderChar"/>
    <w:uiPriority w:val="99"/>
    <w:unhideWhenUsed/>
    <w:rsid w:val="00DC7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38E"/>
  </w:style>
  <w:style w:type="paragraph" w:styleId="Footer">
    <w:name w:val="footer"/>
    <w:basedOn w:val="Normal"/>
    <w:link w:val="FooterChar"/>
    <w:uiPriority w:val="99"/>
    <w:unhideWhenUsed/>
    <w:rsid w:val="00DC7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38E"/>
  </w:style>
  <w:style w:type="paragraph" w:customStyle="1" w:styleId="Default">
    <w:name w:val="Default"/>
    <w:rsid w:val="00F55A56"/>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39"/>
    <w:rsid w:val="007A57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666C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666C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1307</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Masiane Tebogo</dc:creator>
  <cp:lastModifiedBy>Mary Bruce</cp:lastModifiedBy>
  <cp:revision>3</cp:revision>
  <cp:lastPrinted>2022-11-10T11:57:00Z</cp:lastPrinted>
  <dcterms:created xsi:type="dcterms:W3CDTF">2023-02-23T14:17:00Z</dcterms:created>
  <dcterms:modified xsi:type="dcterms:W3CDTF">2024-05-28T12:09:00Z</dcterms:modified>
</cp:coreProperties>
</file>