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4B76" w14:textId="153C9409" w:rsidR="00FF225D" w:rsidRPr="00811814" w:rsidRDefault="00811814" w:rsidP="00FF225D">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14:paraId="0772B9D9" w14:textId="77777777" w:rsidR="00FF225D" w:rsidRPr="00FF225D" w:rsidRDefault="00FF225D" w:rsidP="00FF225D">
      <w:pPr>
        <w:widowControl w:val="0"/>
        <w:spacing w:line="480" w:lineRule="auto"/>
        <w:jc w:val="center"/>
        <w:rPr>
          <w:rFonts w:ascii="Arial" w:hAnsi="Arial" w:cs="Arial"/>
          <w:b/>
        </w:rPr>
      </w:pPr>
      <w:r w:rsidRPr="00FF225D">
        <w:rPr>
          <w:rFonts w:ascii="Arial" w:hAnsi="Arial" w:cs="Arial"/>
          <w:noProof/>
          <w:sz w:val="28"/>
          <w:szCs w:val="28"/>
          <w:lang w:eastAsia="en-ZA"/>
        </w:rPr>
        <w:drawing>
          <wp:inline distT="0" distB="0" distL="0" distR="0" wp14:anchorId="1666B740" wp14:editId="7D90DFB9">
            <wp:extent cx="1447800" cy="1327150"/>
            <wp:effectExtent l="0" t="0" r="0" b="635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327150"/>
                    </a:xfrm>
                    <a:prstGeom prst="rect">
                      <a:avLst/>
                    </a:prstGeom>
                    <a:noFill/>
                    <a:ln>
                      <a:noFill/>
                    </a:ln>
                  </pic:spPr>
                </pic:pic>
              </a:graphicData>
            </a:graphic>
          </wp:inline>
        </w:drawing>
      </w:r>
    </w:p>
    <w:p w14:paraId="5750745A" w14:textId="77777777" w:rsidR="00FF225D" w:rsidRPr="00FF225D" w:rsidRDefault="00FF225D" w:rsidP="00FF225D">
      <w:pPr>
        <w:spacing w:line="240" w:lineRule="auto"/>
        <w:jc w:val="center"/>
        <w:rPr>
          <w:rFonts w:ascii="Arial" w:hAnsi="Arial" w:cs="Arial"/>
          <w:b/>
          <w:sz w:val="28"/>
          <w:szCs w:val="28"/>
        </w:rPr>
      </w:pPr>
      <w:r w:rsidRPr="00FF225D">
        <w:rPr>
          <w:rFonts w:ascii="Arial" w:hAnsi="Arial" w:cs="Arial"/>
          <w:b/>
          <w:sz w:val="28"/>
          <w:szCs w:val="28"/>
        </w:rPr>
        <w:t>IN THE HIGH COURT OF SOUTH AFRICA</w:t>
      </w:r>
    </w:p>
    <w:p w14:paraId="448C7537" w14:textId="77777777" w:rsidR="00FF225D" w:rsidRPr="00FF225D" w:rsidRDefault="00FF225D" w:rsidP="00FF225D">
      <w:pPr>
        <w:spacing w:line="240" w:lineRule="auto"/>
        <w:jc w:val="center"/>
        <w:rPr>
          <w:rFonts w:ascii="Arial" w:hAnsi="Arial" w:cs="Arial"/>
          <w:b/>
          <w:sz w:val="28"/>
          <w:szCs w:val="28"/>
        </w:rPr>
      </w:pPr>
      <w:r w:rsidRPr="00FF225D">
        <w:rPr>
          <w:rFonts w:ascii="Arial" w:hAnsi="Arial" w:cs="Arial"/>
          <w:b/>
          <w:sz w:val="28"/>
          <w:szCs w:val="28"/>
        </w:rPr>
        <w:t>NORTH WEST DIVISION, MAHIKENG</w:t>
      </w:r>
    </w:p>
    <w:p w14:paraId="5B79949F" w14:textId="77777777" w:rsidR="00FF225D" w:rsidRPr="00FF225D" w:rsidRDefault="00FF225D" w:rsidP="00FF225D">
      <w:pPr>
        <w:spacing w:line="240" w:lineRule="auto"/>
        <w:jc w:val="right"/>
        <w:rPr>
          <w:rFonts w:ascii="Arial" w:hAnsi="Arial" w:cs="Arial"/>
          <w:b/>
          <w:sz w:val="28"/>
          <w:szCs w:val="28"/>
          <w:lang w:val="en-GB"/>
        </w:rPr>
      </w:pPr>
    </w:p>
    <w:p w14:paraId="62478934" w14:textId="77777777" w:rsidR="00FF225D" w:rsidRPr="00FF225D" w:rsidRDefault="00FF225D" w:rsidP="00FF225D">
      <w:pPr>
        <w:spacing w:line="240" w:lineRule="auto"/>
        <w:jc w:val="right"/>
        <w:rPr>
          <w:rFonts w:ascii="Arial" w:hAnsi="Arial" w:cs="Arial"/>
          <w:b/>
          <w:sz w:val="28"/>
          <w:szCs w:val="28"/>
          <w:lang w:val="en-GB"/>
        </w:rPr>
      </w:pPr>
    </w:p>
    <w:p w14:paraId="6D6769E1" w14:textId="77777777" w:rsidR="00FF225D" w:rsidRPr="00FF225D" w:rsidRDefault="00FF225D" w:rsidP="00FF225D">
      <w:pPr>
        <w:spacing w:line="240" w:lineRule="auto"/>
        <w:jc w:val="right"/>
        <w:rPr>
          <w:rFonts w:ascii="Arial" w:hAnsi="Arial" w:cs="Arial"/>
          <w:b/>
          <w:sz w:val="28"/>
          <w:szCs w:val="28"/>
          <w:lang w:val="en-GB"/>
        </w:rPr>
      </w:pPr>
      <w:r w:rsidRPr="00FF225D">
        <w:rPr>
          <w:rFonts w:ascii="Arial" w:hAnsi="Arial" w:cs="Arial"/>
          <w:b/>
          <w:sz w:val="28"/>
          <w:szCs w:val="28"/>
          <w:lang w:val="en-GB"/>
        </w:rPr>
        <w:t xml:space="preserve">CASE NUMBER: </w:t>
      </w:r>
      <w:r>
        <w:rPr>
          <w:rFonts w:ascii="Arial" w:hAnsi="Arial" w:cs="Arial"/>
          <w:b/>
          <w:sz w:val="28"/>
          <w:szCs w:val="28"/>
          <w:lang w:val="en-GB"/>
        </w:rPr>
        <w:t>CC22/2023</w:t>
      </w:r>
    </w:p>
    <w:p w14:paraId="3355BC59" w14:textId="77777777" w:rsidR="00FF225D" w:rsidRPr="00FF225D" w:rsidRDefault="00FF225D" w:rsidP="00FF225D">
      <w:pPr>
        <w:spacing w:line="240" w:lineRule="auto"/>
        <w:jc w:val="right"/>
        <w:rPr>
          <w:rFonts w:ascii="Arial" w:hAnsi="Arial" w:cs="Arial"/>
          <w:sz w:val="28"/>
          <w:szCs w:val="28"/>
          <w:lang w:val="en-GB"/>
        </w:rPr>
      </w:pPr>
    </w:p>
    <w:p w14:paraId="7B27737A" w14:textId="77777777" w:rsidR="00FF225D" w:rsidRPr="00FF225D" w:rsidRDefault="00FF225D" w:rsidP="00FF225D">
      <w:pPr>
        <w:spacing w:line="240" w:lineRule="auto"/>
        <w:jc w:val="both"/>
        <w:rPr>
          <w:rFonts w:ascii="Arial" w:hAnsi="Arial" w:cs="Arial"/>
          <w:sz w:val="28"/>
          <w:szCs w:val="28"/>
          <w:lang w:val="en-GB"/>
        </w:rPr>
      </w:pPr>
      <w:r w:rsidRPr="00FF225D">
        <w:rPr>
          <w:rFonts w:ascii="Arial" w:hAnsi="Arial" w:cs="Arial"/>
          <w:sz w:val="28"/>
          <w:szCs w:val="28"/>
          <w:lang w:val="en-GB"/>
        </w:rPr>
        <w:t xml:space="preserve">In the matter </w:t>
      </w:r>
      <w:proofErr w:type="gramStart"/>
      <w:r w:rsidRPr="00FF225D">
        <w:rPr>
          <w:rFonts w:ascii="Arial" w:hAnsi="Arial" w:cs="Arial"/>
          <w:sz w:val="28"/>
          <w:szCs w:val="28"/>
          <w:lang w:val="en-GB"/>
        </w:rPr>
        <w:t>between:-</w:t>
      </w:r>
      <w:proofErr w:type="gramEnd"/>
    </w:p>
    <w:p w14:paraId="338604A9" w14:textId="77777777" w:rsidR="00FF225D" w:rsidRPr="00FF225D" w:rsidRDefault="00FF225D" w:rsidP="00FF225D">
      <w:pPr>
        <w:spacing w:line="240" w:lineRule="auto"/>
        <w:jc w:val="both"/>
        <w:rPr>
          <w:rFonts w:ascii="Arial" w:hAnsi="Arial" w:cs="Arial"/>
          <w:sz w:val="28"/>
          <w:szCs w:val="28"/>
          <w:lang w:val="en-GB"/>
        </w:rPr>
      </w:pPr>
    </w:p>
    <w:tbl>
      <w:tblPr>
        <w:tblW w:w="0" w:type="auto"/>
        <w:tblLayout w:type="fixed"/>
        <w:tblLook w:val="0000" w:firstRow="0" w:lastRow="0" w:firstColumn="0" w:lastColumn="0" w:noHBand="0" w:noVBand="0"/>
      </w:tblPr>
      <w:tblGrid>
        <w:gridCol w:w="6204"/>
        <w:gridCol w:w="2727"/>
      </w:tblGrid>
      <w:tr w:rsidR="00FF225D" w:rsidRPr="00FF225D" w14:paraId="25B19F99" w14:textId="77777777" w:rsidTr="00FF225D">
        <w:tc>
          <w:tcPr>
            <w:tcW w:w="6204" w:type="dxa"/>
          </w:tcPr>
          <w:p w14:paraId="376D8C41" w14:textId="77777777" w:rsidR="00FF225D" w:rsidRPr="00FF225D" w:rsidRDefault="00FF225D" w:rsidP="00FF225D">
            <w:pPr>
              <w:pStyle w:val="NoSpacing"/>
              <w:rPr>
                <w:rFonts w:ascii="Arial" w:hAnsi="Arial" w:cs="Arial"/>
                <w:b/>
                <w:sz w:val="28"/>
                <w:szCs w:val="28"/>
                <w:lang w:val="en-GB"/>
              </w:rPr>
            </w:pPr>
            <w:r>
              <w:rPr>
                <w:rFonts w:ascii="Arial" w:hAnsi="Arial" w:cs="Arial"/>
                <w:b/>
                <w:sz w:val="28"/>
                <w:szCs w:val="28"/>
                <w:lang w:val="en-GB"/>
              </w:rPr>
              <w:t>THAPELO NGWENYA</w:t>
            </w:r>
          </w:p>
        </w:tc>
        <w:tc>
          <w:tcPr>
            <w:tcW w:w="2727" w:type="dxa"/>
          </w:tcPr>
          <w:p w14:paraId="00AA70AF" w14:textId="77777777" w:rsidR="00FF225D" w:rsidRPr="00FF225D" w:rsidRDefault="00FF225D" w:rsidP="00FF225D">
            <w:pPr>
              <w:pStyle w:val="NoSpacing"/>
              <w:jc w:val="right"/>
              <w:rPr>
                <w:rFonts w:ascii="Arial" w:hAnsi="Arial" w:cs="Arial"/>
                <w:sz w:val="28"/>
                <w:szCs w:val="28"/>
                <w:lang w:val="en-GB"/>
              </w:rPr>
            </w:pPr>
            <w:r>
              <w:rPr>
                <w:rFonts w:ascii="Arial" w:hAnsi="Arial" w:cs="Arial"/>
                <w:sz w:val="28"/>
                <w:szCs w:val="28"/>
                <w:lang w:val="en-GB"/>
              </w:rPr>
              <w:t>1</w:t>
            </w:r>
            <w:r w:rsidRPr="00FF225D">
              <w:rPr>
                <w:rFonts w:ascii="Arial" w:hAnsi="Arial" w:cs="Arial"/>
                <w:sz w:val="28"/>
                <w:szCs w:val="28"/>
                <w:vertAlign w:val="superscript"/>
                <w:lang w:val="en-GB"/>
              </w:rPr>
              <w:t>st</w:t>
            </w:r>
            <w:r>
              <w:rPr>
                <w:rFonts w:ascii="Arial" w:hAnsi="Arial" w:cs="Arial"/>
                <w:sz w:val="28"/>
                <w:szCs w:val="28"/>
                <w:lang w:val="en-GB"/>
              </w:rPr>
              <w:t xml:space="preserve"> </w:t>
            </w:r>
            <w:r w:rsidRPr="00FF225D">
              <w:rPr>
                <w:rFonts w:ascii="Arial" w:hAnsi="Arial" w:cs="Arial"/>
                <w:sz w:val="28"/>
                <w:szCs w:val="28"/>
                <w:lang w:val="en-GB"/>
              </w:rPr>
              <w:t>App</w:t>
            </w:r>
            <w:r>
              <w:rPr>
                <w:rFonts w:ascii="Arial" w:hAnsi="Arial" w:cs="Arial"/>
                <w:sz w:val="28"/>
                <w:szCs w:val="28"/>
                <w:lang w:val="en-GB"/>
              </w:rPr>
              <w:t>licant</w:t>
            </w:r>
          </w:p>
        </w:tc>
      </w:tr>
      <w:tr w:rsidR="00FF225D" w:rsidRPr="00FF225D" w14:paraId="54EA57E5" w14:textId="77777777" w:rsidTr="00FF225D">
        <w:tc>
          <w:tcPr>
            <w:tcW w:w="6204" w:type="dxa"/>
          </w:tcPr>
          <w:p w14:paraId="2A448900" w14:textId="77777777" w:rsidR="00FF225D" w:rsidRDefault="00FF225D" w:rsidP="00FF225D">
            <w:pPr>
              <w:pStyle w:val="NoSpacing"/>
              <w:rPr>
                <w:rFonts w:ascii="Arial" w:hAnsi="Arial" w:cs="Arial"/>
                <w:b/>
                <w:sz w:val="28"/>
                <w:szCs w:val="28"/>
                <w:lang w:val="en-GB"/>
              </w:rPr>
            </w:pPr>
          </w:p>
        </w:tc>
        <w:tc>
          <w:tcPr>
            <w:tcW w:w="2727" w:type="dxa"/>
          </w:tcPr>
          <w:p w14:paraId="224890DE" w14:textId="77777777" w:rsidR="00FF225D" w:rsidRDefault="00FF225D" w:rsidP="00FF225D">
            <w:pPr>
              <w:pStyle w:val="NoSpacing"/>
              <w:jc w:val="right"/>
              <w:rPr>
                <w:rFonts w:ascii="Arial" w:hAnsi="Arial" w:cs="Arial"/>
                <w:sz w:val="28"/>
                <w:szCs w:val="28"/>
                <w:lang w:val="en-GB"/>
              </w:rPr>
            </w:pPr>
          </w:p>
        </w:tc>
      </w:tr>
      <w:tr w:rsidR="00FF225D" w:rsidRPr="00FF225D" w14:paraId="6FBB06D7" w14:textId="77777777" w:rsidTr="00FF225D">
        <w:tc>
          <w:tcPr>
            <w:tcW w:w="6204" w:type="dxa"/>
          </w:tcPr>
          <w:p w14:paraId="3D3ADA13" w14:textId="77777777" w:rsidR="00FF225D" w:rsidRPr="00FF225D" w:rsidRDefault="00FF225D" w:rsidP="00FF225D">
            <w:pPr>
              <w:pStyle w:val="NoSpacing"/>
              <w:rPr>
                <w:rFonts w:ascii="Arial" w:hAnsi="Arial" w:cs="Arial"/>
                <w:b/>
                <w:sz w:val="28"/>
                <w:szCs w:val="28"/>
                <w:lang w:val="en-GB"/>
              </w:rPr>
            </w:pPr>
            <w:r>
              <w:rPr>
                <w:rFonts w:ascii="Arial" w:hAnsi="Arial" w:cs="Arial"/>
                <w:b/>
                <w:sz w:val="28"/>
                <w:szCs w:val="28"/>
                <w:lang w:val="en-GB"/>
              </w:rPr>
              <w:t>SIFISO SYDNEY MASEKO</w:t>
            </w:r>
          </w:p>
        </w:tc>
        <w:tc>
          <w:tcPr>
            <w:tcW w:w="2727" w:type="dxa"/>
          </w:tcPr>
          <w:p w14:paraId="15CCE006" w14:textId="77777777" w:rsidR="00FF225D" w:rsidRPr="00FF225D" w:rsidRDefault="00FF225D" w:rsidP="00FF225D">
            <w:pPr>
              <w:pStyle w:val="NoSpacing"/>
              <w:jc w:val="right"/>
              <w:rPr>
                <w:rFonts w:ascii="Arial" w:hAnsi="Arial" w:cs="Arial"/>
                <w:sz w:val="28"/>
                <w:szCs w:val="28"/>
                <w:lang w:val="en-GB"/>
              </w:rPr>
            </w:pPr>
            <w:r>
              <w:rPr>
                <w:rFonts w:ascii="Arial" w:hAnsi="Arial" w:cs="Arial"/>
                <w:sz w:val="28"/>
                <w:szCs w:val="28"/>
                <w:lang w:val="en-GB"/>
              </w:rPr>
              <w:t>2</w:t>
            </w:r>
            <w:r w:rsidRPr="00FF225D">
              <w:rPr>
                <w:rFonts w:ascii="Arial" w:hAnsi="Arial" w:cs="Arial"/>
                <w:sz w:val="28"/>
                <w:szCs w:val="28"/>
                <w:vertAlign w:val="superscript"/>
                <w:lang w:val="en-GB"/>
              </w:rPr>
              <w:t>nd</w:t>
            </w:r>
            <w:r>
              <w:rPr>
                <w:rFonts w:ascii="Arial" w:hAnsi="Arial" w:cs="Arial"/>
                <w:sz w:val="28"/>
                <w:szCs w:val="28"/>
                <w:lang w:val="en-GB"/>
              </w:rPr>
              <w:t xml:space="preserve"> Applicant</w:t>
            </w:r>
          </w:p>
        </w:tc>
      </w:tr>
      <w:tr w:rsidR="00FF225D" w:rsidRPr="00FF225D" w14:paraId="01D43F64" w14:textId="77777777" w:rsidTr="00FF225D">
        <w:tc>
          <w:tcPr>
            <w:tcW w:w="6204" w:type="dxa"/>
          </w:tcPr>
          <w:p w14:paraId="75025CF0" w14:textId="77777777" w:rsidR="00FF225D" w:rsidRDefault="00FF225D" w:rsidP="00FF225D">
            <w:pPr>
              <w:pStyle w:val="NoSpacing"/>
              <w:rPr>
                <w:rFonts w:ascii="Arial" w:hAnsi="Arial" w:cs="Arial"/>
                <w:b/>
                <w:sz w:val="28"/>
                <w:szCs w:val="28"/>
                <w:lang w:val="en-GB"/>
              </w:rPr>
            </w:pPr>
          </w:p>
        </w:tc>
        <w:tc>
          <w:tcPr>
            <w:tcW w:w="2727" w:type="dxa"/>
          </w:tcPr>
          <w:p w14:paraId="76B466AF" w14:textId="77777777" w:rsidR="00FF225D" w:rsidRDefault="00FF225D" w:rsidP="00FF225D">
            <w:pPr>
              <w:pStyle w:val="NoSpacing"/>
              <w:jc w:val="right"/>
              <w:rPr>
                <w:rFonts w:ascii="Arial" w:hAnsi="Arial" w:cs="Arial"/>
                <w:sz w:val="28"/>
                <w:szCs w:val="28"/>
                <w:lang w:val="en-GB"/>
              </w:rPr>
            </w:pPr>
          </w:p>
        </w:tc>
      </w:tr>
      <w:tr w:rsidR="00FF225D" w:rsidRPr="00FF225D" w14:paraId="314E84AC" w14:textId="77777777" w:rsidTr="00FF225D">
        <w:tc>
          <w:tcPr>
            <w:tcW w:w="6204" w:type="dxa"/>
          </w:tcPr>
          <w:p w14:paraId="46907D86" w14:textId="77777777" w:rsidR="00FF225D" w:rsidRPr="00FF225D" w:rsidRDefault="00FF225D" w:rsidP="00FF225D">
            <w:pPr>
              <w:pStyle w:val="NoSpacing"/>
              <w:rPr>
                <w:rFonts w:ascii="Arial" w:hAnsi="Arial" w:cs="Arial"/>
                <w:sz w:val="28"/>
                <w:szCs w:val="28"/>
                <w:lang w:val="en-GB"/>
              </w:rPr>
            </w:pPr>
            <w:r w:rsidRPr="00FF225D">
              <w:rPr>
                <w:rFonts w:ascii="Arial" w:hAnsi="Arial" w:cs="Arial"/>
                <w:sz w:val="28"/>
                <w:szCs w:val="28"/>
                <w:lang w:val="en-GB"/>
              </w:rPr>
              <w:t>and</w:t>
            </w:r>
          </w:p>
        </w:tc>
        <w:tc>
          <w:tcPr>
            <w:tcW w:w="2727" w:type="dxa"/>
          </w:tcPr>
          <w:p w14:paraId="302C5F3D" w14:textId="77777777" w:rsidR="00FF225D" w:rsidRPr="00FF225D" w:rsidRDefault="00FF225D" w:rsidP="00FF225D">
            <w:pPr>
              <w:pStyle w:val="NoSpacing"/>
              <w:jc w:val="right"/>
              <w:rPr>
                <w:rFonts w:ascii="Arial" w:hAnsi="Arial" w:cs="Arial"/>
                <w:sz w:val="28"/>
                <w:szCs w:val="28"/>
                <w:lang w:val="en-GB"/>
              </w:rPr>
            </w:pPr>
          </w:p>
        </w:tc>
      </w:tr>
      <w:tr w:rsidR="00FF225D" w:rsidRPr="00FF225D" w14:paraId="16191A8A" w14:textId="77777777" w:rsidTr="00FF225D">
        <w:tc>
          <w:tcPr>
            <w:tcW w:w="6204" w:type="dxa"/>
          </w:tcPr>
          <w:p w14:paraId="2C448856" w14:textId="77777777" w:rsidR="00FF225D" w:rsidRPr="00FF225D" w:rsidRDefault="00FF225D" w:rsidP="00FF225D">
            <w:pPr>
              <w:pStyle w:val="NoSpacing"/>
              <w:rPr>
                <w:rFonts w:ascii="Arial" w:hAnsi="Arial" w:cs="Arial"/>
                <w:b/>
                <w:sz w:val="28"/>
                <w:szCs w:val="28"/>
                <w:lang w:val="en-GB"/>
              </w:rPr>
            </w:pPr>
          </w:p>
        </w:tc>
        <w:tc>
          <w:tcPr>
            <w:tcW w:w="2727" w:type="dxa"/>
          </w:tcPr>
          <w:p w14:paraId="5C2F1A84" w14:textId="77777777" w:rsidR="00FF225D" w:rsidRPr="00FF225D" w:rsidRDefault="00FF225D" w:rsidP="00FF225D">
            <w:pPr>
              <w:pStyle w:val="NoSpacing"/>
              <w:jc w:val="right"/>
              <w:rPr>
                <w:rFonts w:ascii="Arial" w:hAnsi="Arial" w:cs="Arial"/>
                <w:sz w:val="28"/>
                <w:szCs w:val="28"/>
                <w:lang w:val="en-GB"/>
              </w:rPr>
            </w:pPr>
          </w:p>
        </w:tc>
      </w:tr>
      <w:tr w:rsidR="00FF225D" w:rsidRPr="00FF225D" w14:paraId="594668D0" w14:textId="77777777" w:rsidTr="00FF225D">
        <w:tc>
          <w:tcPr>
            <w:tcW w:w="6204" w:type="dxa"/>
          </w:tcPr>
          <w:p w14:paraId="5C1BD8C7" w14:textId="77777777" w:rsidR="00FF225D" w:rsidRPr="00FF225D" w:rsidRDefault="00FF225D" w:rsidP="00FF225D">
            <w:pPr>
              <w:pStyle w:val="NoSpacing"/>
              <w:rPr>
                <w:rFonts w:ascii="Arial" w:hAnsi="Arial" w:cs="Arial"/>
                <w:b/>
                <w:sz w:val="28"/>
                <w:szCs w:val="28"/>
                <w:lang w:val="en-GB"/>
              </w:rPr>
            </w:pPr>
            <w:r>
              <w:rPr>
                <w:rFonts w:ascii="Arial" w:hAnsi="Arial" w:cs="Arial"/>
                <w:b/>
                <w:sz w:val="28"/>
                <w:szCs w:val="28"/>
                <w:lang w:val="en-GB"/>
              </w:rPr>
              <w:t xml:space="preserve">STATE </w:t>
            </w:r>
          </w:p>
        </w:tc>
        <w:tc>
          <w:tcPr>
            <w:tcW w:w="2727" w:type="dxa"/>
          </w:tcPr>
          <w:p w14:paraId="3358306C" w14:textId="77777777" w:rsidR="00FF225D" w:rsidRPr="00FF225D" w:rsidRDefault="00FF225D" w:rsidP="00FF225D">
            <w:pPr>
              <w:pStyle w:val="NoSpacing"/>
              <w:jc w:val="right"/>
              <w:rPr>
                <w:rFonts w:ascii="Arial" w:hAnsi="Arial" w:cs="Arial"/>
                <w:sz w:val="28"/>
                <w:szCs w:val="28"/>
                <w:lang w:val="en-GB"/>
              </w:rPr>
            </w:pPr>
            <w:r w:rsidRPr="00FF225D">
              <w:rPr>
                <w:rFonts w:ascii="Arial" w:hAnsi="Arial" w:cs="Arial"/>
                <w:sz w:val="28"/>
                <w:szCs w:val="28"/>
                <w:lang w:val="en-GB"/>
              </w:rPr>
              <w:t>Respondent</w:t>
            </w:r>
          </w:p>
        </w:tc>
      </w:tr>
      <w:tr w:rsidR="00FF225D" w:rsidRPr="00FF225D" w14:paraId="061D74FA" w14:textId="77777777" w:rsidTr="00FF225D">
        <w:tc>
          <w:tcPr>
            <w:tcW w:w="6204" w:type="dxa"/>
          </w:tcPr>
          <w:p w14:paraId="7D2FDBA2" w14:textId="77777777" w:rsidR="00FF225D" w:rsidRPr="00FF225D" w:rsidRDefault="00FF225D" w:rsidP="00FF225D">
            <w:pPr>
              <w:pStyle w:val="NoSpacing"/>
              <w:rPr>
                <w:rFonts w:ascii="Arial" w:hAnsi="Arial" w:cs="Arial"/>
                <w:b/>
                <w:sz w:val="28"/>
                <w:szCs w:val="28"/>
                <w:lang w:val="en-GB"/>
              </w:rPr>
            </w:pPr>
          </w:p>
        </w:tc>
        <w:tc>
          <w:tcPr>
            <w:tcW w:w="2727" w:type="dxa"/>
          </w:tcPr>
          <w:p w14:paraId="3009E185" w14:textId="77777777" w:rsidR="00FF225D" w:rsidRPr="00FF225D" w:rsidRDefault="00FF225D" w:rsidP="00FF225D">
            <w:pPr>
              <w:pStyle w:val="NoSpacing"/>
              <w:jc w:val="right"/>
              <w:rPr>
                <w:rFonts w:ascii="Arial" w:hAnsi="Arial" w:cs="Arial"/>
                <w:sz w:val="28"/>
                <w:szCs w:val="28"/>
                <w:lang w:val="en-GB"/>
              </w:rPr>
            </w:pPr>
          </w:p>
        </w:tc>
      </w:tr>
    </w:tbl>
    <w:p w14:paraId="331D3D23" w14:textId="77777777" w:rsidR="00FF225D" w:rsidRPr="00FF225D" w:rsidRDefault="00FF225D" w:rsidP="00FF225D">
      <w:pPr>
        <w:spacing w:line="480" w:lineRule="auto"/>
        <w:rPr>
          <w:rFonts w:ascii="Arial" w:hAnsi="Arial" w:cs="Arial"/>
          <w:b/>
          <w:i/>
          <w:sz w:val="28"/>
          <w:szCs w:val="28"/>
          <w:lang w:val="en-US"/>
        </w:rPr>
      </w:pPr>
      <w:r>
        <w:rPr>
          <w:rFonts w:ascii="Arial" w:hAnsi="Arial" w:cs="Arial"/>
          <w:b/>
          <w:i/>
          <w:sz w:val="28"/>
          <w:szCs w:val="28"/>
          <w:lang w:val="en-US"/>
        </w:rPr>
        <w:t>IN RE</w:t>
      </w:r>
    </w:p>
    <w:tbl>
      <w:tblPr>
        <w:tblStyle w:val="TableGrid"/>
        <w:tblW w:w="0" w:type="auto"/>
        <w:tblLayout w:type="fixed"/>
        <w:tblLook w:val="04A0" w:firstRow="1" w:lastRow="0" w:firstColumn="1" w:lastColumn="0" w:noHBand="0" w:noVBand="1"/>
      </w:tblPr>
      <w:tblGrid>
        <w:gridCol w:w="6204"/>
        <w:gridCol w:w="2727"/>
        <w:gridCol w:w="90"/>
      </w:tblGrid>
      <w:tr w:rsidR="00FF225D" w:rsidRPr="00FF225D" w14:paraId="604B64A6" w14:textId="77777777" w:rsidTr="008671AF">
        <w:trPr>
          <w:gridAfter w:val="1"/>
          <w:wAfter w:w="90" w:type="dxa"/>
        </w:trPr>
        <w:tc>
          <w:tcPr>
            <w:tcW w:w="6204" w:type="dxa"/>
            <w:tcBorders>
              <w:top w:val="nil"/>
              <w:left w:val="nil"/>
              <w:bottom w:val="nil"/>
              <w:right w:val="nil"/>
            </w:tcBorders>
          </w:tcPr>
          <w:p w14:paraId="03BF48E7" w14:textId="77777777" w:rsidR="00FF225D" w:rsidRPr="00FF225D" w:rsidRDefault="00FF225D" w:rsidP="008055CA">
            <w:pPr>
              <w:pStyle w:val="NoSpacing"/>
              <w:rPr>
                <w:rFonts w:ascii="Arial" w:hAnsi="Arial" w:cs="Arial"/>
                <w:b/>
                <w:sz w:val="28"/>
                <w:szCs w:val="28"/>
                <w:lang w:val="en-GB"/>
              </w:rPr>
            </w:pPr>
            <w:r>
              <w:rPr>
                <w:rFonts w:ascii="Arial" w:hAnsi="Arial" w:cs="Arial"/>
                <w:b/>
                <w:sz w:val="28"/>
                <w:szCs w:val="28"/>
                <w:lang w:val="en-GB"/>
              </w:rPr>
              <w:t xml:space="preserve">STATE </w:t>
            </w:r>
          </w:p>
        </w:tc>
        <w:tc>
          <w:tcPr>
            <w:tcW w:w="2727" w:type="dxa"/>
            <w:tcBorders>
              <w:top w:val="nil"/>
              <w:left w:val="nil"/>
              <w:bottom w:val="nil"/>
              <w:right w:val="nil"/>
            </w:tcBorders>
          </w:tcPr>
          <w:p w14:paraId="5C5C6995" w14:textId="77777777" w:rsidR="00FF225D" w:rsidRPr="00FF225D" w:rsidRDefault="00FF225D" w:rsidP="008055CA">
            <w:pPr>
              <w:pStyle w:val="NoSpacing"/>
              <w:jc w:val="right"/>
              <w:rPr>
                <w:rFonts w:ascii="Arial" w:hAnsi="Arial" w:cs="Arial"/>
                <w:sz w:val="28"/>
                <w:szCs w:val="28"/>
                <w:lang w:val="en-GB"/>
              </w:rPr>
            </w:pPr>
          </w:p>
        </w:tc>
      </w:tr>
      <w:tr w:rsidR="00FF225D" w:rsidRPr="00FF225D" w14:paraId="1D398A4D" w14:textId="77777777" w:rsidTr="008671AF">
        <w:trPr>
          <w:gridAfter w:val="1"/>
          <w:wAfter w:w="90" w:type="dxa"/>
        </w:trPr>
        <w:tc>
          <w:tcPr>
            <w:tcW w:w="6204" w:type="dxa"/>
            <w:tcBorders>
              <w:top w:val="nil"/>
              <w:left w:val="nil"/>
              <w:bottom w:val="nil"/>
              <w:right w:val="nil"/>
            </w:tcBorders>
          </w:tcPr>
          <w:p w14:paraId="4761273F" w14:textId="77777777" w:rsidR="00FF225D" w:rsidRDefault="00FF225D" w:rsidP="008055CA">
            <w:pPr>
              <w:pStyle w:val="NoSpacing"/>
              <w:rPr>
                <w:rFonts w:ascii="Arial" w:hAnsi="Arial" w:cs="Arial"/>
                <w:b/>
                <w:sz w:val="28"/>
                <w:szCs w:val="28"/>
                <w:lang w:val="en-GB"/>
              </w:rPr>
            </w:pPr>
          </w:p>
        </w:tc>
        <w:tc>
          <w:tcPr>
            <w:tcW w:w="2727" w:type="dxa"/>
            <w:tcBorders>
              <w:top w:val="nil"/>
              <w:left w:val="nil"/>
              <w:bottom w:val="nil"/>
              <w:right w:val="nil"/>
            </w:tcBorders>
          </w:tcPr>
          <w:p w14:paraId="752B67C9" w14:textId="77777777" w:rsidR="00FF225D" w:rsidRDefault="00FF225D" w:rsidP="008055CA">
            <w:pPr>
              <w:pStyle w:val="NoSpacing"/>
              <w:jc w:val="right"/>
              <w:rPr>
                <w:rFonts w:ascii="Arial" w:hAnsi="Arial" w:cs="Arial"/>
                <w:sz w:val="28"/>
                <w:szCs w:val="28"/>
                <w:lang w:val="en-GB"/>
              </w:rPr>
            </w:pPr>
          </w:p>
        </w:tc>
      </w:tr>
      <w:tr w:rsidR="00FF225D" w:rsidRPr="00FF225D" w14:paraId="7890C6EA" w14:textId="77777777" w:rsidTr="008671AF">
        <w:trPr>
          <w:gridAfter w:val="1"/>
          <w:wAfter w:w="90" w:type="dxa"/>
        </w:trPr>
        <w:tc>
          <w:tcPr>
            <w:tcW w:w="6204" w:type="dxa"/>
            <w:tcBorders>
              <w:top w:val="nil"/>
              <w:left w:val="nil"/>
              <w:bottom w:val="nil"/>
              <w:right w:val="nil"/>
            </w:tcBorders>
          </w:tcPr>
          <w:p w14:paraId="437B5E40" w14:textId="77777777" w:rsidR="00FF225D" w:rsidRDefault="00FF225D" w:rsidP="008055CA">
            <w:pPr>
              <w:pStyle w:val="NoSpacing"/>
              <w:rPr>
                <w:rFonts w:ascii="Arial" w:hAnsi="Arial" w:cs="Arial"/>
                <w:b/>
                <w:sz w:val="28"/>
                <w:szCs w:val="28"/>
                <w:lang w:val="en-GB"/>
              </w:rPr>
            </w:pPr>
            <w:r>
              <w:rPr>
                <w:rFonts w:ascii="Arial" w:hAnsi="Arial" w:cs="Arial"/>
                <w:b/>
                <w:sz w:val="28"/>
                <w:szCs w:val="28"/>
                <w:lang w:val="en-GB"/>
              </w:rPr>
              <w:t>v</w:t>
            </w:r>
          </w:p>
        </w:tc>
        <w:tc>
          <w:tcPr>
            <w:tcW w:w="2727" w:type="dxa"/>
            <w:tcBorders>
              <w:top w:val="nil"/>
              <w:left w:val="nil"/>
              <w:bottom w:val="nil"/>
              <w:right w:val="nil"/>
            </w:tcBorders>
          </w:tcPr>
          <w:p w14:paraId="6EDB9284" w14:textId="77777777" w:rsidR="00FF225D" w:rsidRDefault="00FF225D" w:rsidP="008055CA">
            <w:pPr>
              <w:pStyle w:val="NoSpacing"/>
              <w:jc w:val="right"/>
              <w:rPr>
                <w:rFonts w:ascii="Arial" w:hAnsi="Arial" w:cs="Arial"/>
                <w:sz w:val="28"/>
                <w:szCs w:val="28"/>
                <w:lang w:val="en-GB"/>
              </w:rPr>
            </w:pPr>
          </w:p>
        </w:tc>
      </w:tr>
      <w:tr w:rsidR="00FF225D" w:rsidRPr="00FF225D" w14:paraId="6BBAE1BA" w14:textId="77777777" w:rsidTr="008671AF">
        <w:trPr>
          <w:gridAfter w:val="1"/>
          <w:wAfter w:w="90" w:type="dxa"/>
        </w:trPr>
        <w:tc>
          <w:tcPr>
            <w:tcW w:w="6204" w:type="dxa"/>
            <w:tcBorders>
              <w:top w:val="nil"/>
              <w:left w:val="nil"/>
              <w:bottom w:val="nil"/>
              <w:right w:val="nil"/>
            </w:tcBorders>
          </w:tcPr>
          <w:p w14:paraId="652BEDAD" w14:textId="77777777" w:rsidR="00FF225D" w:rsidRDefault="00FF225D" w:rsidP="008055CA">
            <w:pPr>
              <w:pStyle w:val="NoSpacing"/>
              <w:rPr>
                <w:rFonts w:ascii="Arial" w:hAnsi="Arial" w:cs="Arial"/>
                <w:b/>
                <w:sz w:val="28"/>
                <w:szCs w:val="28"/>
                <w:lang w:val="en-GB"/>
              </w:rPr>
            </w:pPr>
          </w:p>
        </w:tc>
        <w:tc>
          <w:tcPr>
            <w:tcW w:w="2727" w:type="dxa"/>
            <w:tcBorders>
              <w:top w:val="nil"/>
              <w:left w:val="nil"/>
              <w:bottom w:val="nil"/>
              <w:right w:val="nil"/>
            </w:tcBorders>
          </w:tcPr>
          <w:p w14:paraId="6149EAA0" w14:textId="77777777" w:rsidR="00FF225D" w:rsidRDefault="00FF225D" w:rsidP="008055CA">
            <w:pPr>
              <w:pStyle w:val="NoSpacing"/>
              <w:jc w:val="right"/>
              <w:rPr>
                <w:rFonts w:ascii="Arial" w:hAnsi="Arial" w:cs="Arial"/>
                <w:sz w:val="28"/>
                <w:szCs w:val="28"/>
                <w:lang w:val="en-GB"/>
              </w:rPr>
            </w:pPr>
          </w:p>
        </w:tc>
      </w:tr>
      <w:tr w:rsidR="00FF225D" w:rsidRPr="00FF225D" w14:paraId="5C617134" w14:textId="77777777" w:rsidTr="008671AF">
        <w:trPr>
          <w:gridAfter w:val="1"/>
          <w:wAfter w:w="90" w:type="dxa"/>
        </w:trPr>
        <w:tc>
          <w:tcPr>
            <w:tcW w:w="6204" w:type="dxa"/>
            <w:tcBorders>
              <w:top w:val="nil"/>
              <w:left w:val="nil"/>
              <w:bottom w:val="nil"/>
              <w:right w:val="nil"/>
            </w:tcBorders>
          </w:tcPr>
          <w:p w14:paraId="7B728218" w14:textId="77777777" w:rsidR="00FF225D" w:rsidRPr="00FF225D" w:rsidRDefault="00FF225D" w:rsidP="008055CA">
            <w:pPr>
              <w:pStyle w:val="NoSpacing"/>
              <w:rPr>
                <w:rFonts w:ascii="Arial" w:hAnsi="Arial" w:cs="Arial"/>
                <w:b/>
                <w:sz w:val="28"/>
                <w:szCs w:val="28"/>
                <w:lang w:val="en-GB"/>
              </w:rPr>
            </w:pPr>
            <w:r>
              <w:rPr>
                <w:rFonts w:ascii="Arial" w:hAnsi="Arial" w:cs="Arial"/>
                <w:b/>
                <w:sz w:val="28"/>
                <w:szCs w:val="28"/>
                <w:lang w:val="en-GB"/>
              </w:rPr>
              <w:t>THAPELO NGWENYA</w:t>
            </w:r>
          </w:p>
        </w:tc>
        <w:tc>
          <w:tcPr>
            <w:tcW w:w="2727" w:type="dxa"/>
            <w:tcBorders>
              <w:top w:val="nil"/>
              <w:left w:val="nil"/>
              <w:bottom w:val="nil"/>
              <w:right w:val="nil"/>
            </w:tcBorders>
          </w:tcPr>
          <w:p w14:paraId="72F5D7B7" w14:textId="77777777" w:rsidR="00FF225D" w:rsidRPr="00FF225D" w:rsidRDefault="00FF225D" w:rsidP="00FF225D">
            <w:pPr>
              <w:pStyle w:val="NoSpacing"/>
              <w:jc w:val="right"/>
              <w:rPr>
                <w:rFonts w:ascii="Arial" w:hAnsi="Arial" w:cs="Arial"/>
                <w:sz w:val="28"/>
                <w:szCs w:val="28"/>
                <w:lang w:val="en-GB"/>
              </w:rPr>
            </w:pPr>
            <w:r>
              <w:rPr>
                <w:rFonts w:ascii="Arial" w:hAnsi="Arial" w:cs="Arial"/>
                <w:sz w:val="28"/>
                <w:szCs w:val="28"/>
                <w:lang w:val="en-GB"/>
              </w:rPr>
              <w:t>1</w:t>
            </w:r>
            <w:r w:rsidRPr="00FF225D">
              <w:rPr>
                <w:rFonts w:ascii="Arial" w:hAnsi="Arial" w:cs="Arial"/>
                <w:sz w:val="28"/>
                <w:szCs w:val="28"/>
                <w:vertAlign w:val="superscript"/>
                <w:lang w:val="en-GB"/>
              </w:rPr>
              <w:t>st</w:t>
            </w:r>
            <w:r>
              <w:rPr>
                <w:rFonts w:ascii="Arial" w:hAnsi="Arial" w:cs="Arial"/>
                <w:sz w:val="28"/>
                <w:szCs w:val="28"/>
                <w:lang w:val="en-GB"/>
              </w:rPr>
              <w:t xml:space="preserve"> </w:t>
            </w:r>
            <w:r w:rsidRPr="00FF225D">
              <w:rPr>
                <w:rFonts w:ascii="Arial" w:hAnsi="Arial" w:cs="Arial"/>
                <w:sz w:val="28"/>
                <w:szCs w:val="28"/>
                <w:lang w:val="en-GB"/>
              </w:rPr>
              <w:t>A</w:t>
            </w:r>
            <w:r>
              <w:rPr>
                <w:rFonts w:ascii="Arial" w:hAnsi="Arial" w:cs="Arial"/>
                <w:sz w:val="28"/>
                <w:szCs w:val="28"/>
                <w:lang w:val="en-GB"/>
              </w:rPr>
              <w:t>ccused</w:t>
            </w:r>
          </w:p>
        </w:tc>
      </w:tr>
      <w:tr w:rsidR="00FF225D" w:rsidRPr="00FF225D" w14:paraId="702B0714" w14:textId="77777777" w:rsidTr="008671AF">
        <w:trPr>
          <w:gridAfter w:val="1"/>
          <w:wAfter w:w="90" w:type="dxa"/>
        </w:trPr>
        <w:tc>
          <w:tcPr>
            <w:tcW w:w="6204" w:type="dxa"/>
            <w:tcBorders>
              <w:top w:val="nil"/>
              <w:left w:val="nil"/>
              <w:bottom w:val="nil"/>
              <w:right w:val="nil"/>
            </w:tcBorders>
          </w:tcPr>
          <w:p w14:paraId="2140BD1F" w14:textId="77777777" w:rsidR="00FF225D" w:rsidRDefault="00FF225D" w:rsidP="008055CA">
            <w:pPr>
              <w:pStyle w:val="NoSpacing"/>
              <w:rPr>
                <w:rFonts w:ascii="Arial" w:hAnsi="Arial" w:cs="Arial"/>
                <w:b/>
                <w:sz w:val="28"/>
                <w:szCs w:val="28"/>
                <w:lang w:val="en-GB"/>
              </w:rPr>
            </w:pPr>
          </w:p>
        </w:tc>
        <w:tc>
          <w:tcPr>
            <w:tcW w:w="2727" w:type="dxa"/>
            <w:tcBorders>
              <w:top w:val="nil"/>
              <w:left w:val="nil"/>
              <w:bottom w:val="nil"/>
              <w:right w:val="nil"/>
            </w:tcBorders>
          </w:tcPr>
          <w:p w14:paraId="4BA410F3" w14:textId="77777777" w:rsidR="00FF225D" w:rsidRDefault="00FF225D" w:rsidP="008055CA">
            <w:pPr>
              <w:pStyle w:val="NoSpacing"/>
              <w:jc w:val="right"/>
              <w:rPr>
                <w:rFonts w:ascii="Arial" w:hAnsi="Arial" w:cs="Arial"/>
                <w:sz w:val="28"/>
                <w:szCs w:val="28"/>
                <w:lang w:val="en-GB"/>
              </w:rPr>
            </w:pPr>
          </w:p>
        </w:tc>
      </w:tr>
      <w:tr w:rsidR="00FF225D" w:rsidRPr="00FF225D" w14:paraId="6D978CE7" w14:textId="77777777" w:rsidTr="008671AF">
        <w:trPr>
          <w:gridAfter w:val="1"/>
          <w:wAfter w:w="90" w:type="dxa"/>
        </w:trPr>
        <w:tc>
          <w:tcPr>
            <w:tcW w:w="6204" w:type="dxa"/>
            <w:tcBorders>
              <w:top w:val="nil"/>
              <w:left w:val="nil"/>
              <w:bottom w:val="nil"/>
              <w:right w:val="nil"/>
            </w:tcBorders>
          </w:tcPr>
          <w:p w14:paraId="3DBB6B13" w14:textId="77777777" w:rsidR="00FF225D" w:rsidRPr="00FF225D" w:rsidRDefault="00FF225D" w:rsidP="008055CA">
            <w:pPr>
              <w:pStyle w:val="NoSpacing"/>
              <w:rPr>
                <w:rFonts w:ascii="Arial" w:hAnsi="Arial" w:cs="Arial"/>
                <w:b/>
                <w:sz w:val="28"/>
                <w:szCs w:val="28"/>
                <w:lang w:val="en-GB"/>
              </w:rPr>
            </w:pPr>
            <w:r>
              <w:rPr>
                <w:rFonts w:ascii="Arial" w:hAnsi="Arial" w:cs="Arial"/>
                <w:b/>
                <w:sz w:val="28"/>
                <w:szCs w:val="28"/>
                <w:lang w:val="en-GB"/>
              </w:rPr>
              <w:t>SIFISO SYDNEY MASEKO</w:t>
            </w:r>
          </w:p>
        </w:tc>
        <w:tc>
          <w:tcPr>
            <w:tcW w:w="2727" w:type="dxa"/>
            <w:tcBorders>
              <w:top w:val="nil"/>
              <w:left w:val="nil"/>
              <w:bottom w:val="nil"/>
              <w:right w:val="nil"/>
            </w:tcBorders>
          </w:tcPr>
          <w:p w14:paraId="5A078574" w14:textId="77777777" w:rsidR="00FF225D" w:rsidRPr="00FF225D" w:rsidRDefault="00FF225D" w:rsidP="00FF225D">
            <w:pPr>
              <w:pStyle w:val="NoSpacing"/>
              <w:jc w:val="right"/>
              <w:rPr>
                <w:rFonts w:ascii="Arial" w:hAnsi="Arial" w:cs="Arial"/>
                <w:sz w:val="28"/>
                <w:szCs w:val="28"/>
                <w:lang w:val="en-GB"/>
              </w:rPr>
            </w:pPr>
            <w:r>
              <w:rPr>
                <w:rFonts w:ascii="Arial" w:hAnsi="Arial" w:cs="Arial"/>
                <w:sz w:val="28"/>
                <w:szCs w:val="28"/>
                <w:lang w:val="en-GB"/>
              </w:rPr>
              <w:t>2</w:t>
            </w:r>
            <w:r w:rsidRPr="00FF225D">
              <w:rPr>
                <w:rFonts w:ascii="Arial" w:hAnsi="Arial" w:cs="Arial"/>
                <w:sz w:val="28"/>
                <w:szCs w:val="28"/>
                <w:vertAlign w:val="superscript"/>
                <w:lang w:val="en-GB"/>
              </w:rPr>
              <w:t>nd</w:t>
            </w:r>
            <w:r>
              <w:rPr>
                <w:rFonts w:ascii="Arial" w:hAnsi="Arial" w:cs="Arial"/>
                <w:sz w:val="28"/>
                <w:szCs w:val="28"/>
                <w:lang w:val="en-GB"/>
              </w:rPr>
              <w:t xml:space="preserve"> Accused</w:t>
            </w:r>
          </w:p>
        </w:tc>
      </w:tr>
      <w:tr w:rsidR="00FF225D" w:rsidRPr="00FF225D" w14:paraId="53DEA42B" w14:textId="77777777" w:rsidTr="008671AF">
        <w:trPr>
          <w:gridAfter w:val="1"/>
          <w:wAfter w:w="90" w:type="dxa"/>
        </w:trPr>
        <w:tc>
          <w:tcPr>
            <w:tcW w:w="6204" w:type="dxa"/>
            <w:tcBorders>
              <w:top w:val="nil"/>
              <w:left w:val="nil"/>
              <w:bottom w:val="nil"/>
              <w:right w:val="nil"/>
            </w:tcBorders>
          </w:tcPr>
          <w:p w14:paraId="6A056AFC" w14:textId="77777777" w:rsidR="00FF225D" w:rsidRDefault="00FF225D" w:rsidP="008055CA">
            <w:pPr>
              <w:pStyle w:val="NoSpacing"/>
              <w:rPr>
                <w:rFonts w:ascii="Arial" w:hAnsi="Arial" w:cs="Arial"/>
                <w:b/>
                <w:sz w:val="28"/>
                <w:szCs w:val="28"/>
                <w:lang w:val="en-GB"/>
              </w:rPr>
            </w:pPr>
          </w:p>
        </w:tc>
        <w:tc>
          <w:tcPr>
            <w:tcW w:w="2727" w:type="dxa"/>
            <w:tcBorders>
              <w:top w:val="nil"/>
              <w:left w:val="nil"/>
              <w:bottom w:val="nil"/>
              <w:right w:val="nil"/>
            </w:tcBorders>
          </w:tcPr>
          <w:p w14:paraId="6CE62321" w14:textId="77777777" w:rsidR="00FF225D" w:rsidRDefault="00FF225D" w:rsidP="008055CA">
            <w:pPr>
              <w:pStyle w:val="NoSpacing"/>
              <w:jc w:val="right"/>
              <w:rPr>
                <w:rFonts w:ascii="Arial" w:hAnsi="Arial" w:cs="Arial"/>
                <w:sz w:val="28"/>
                <w:szCs w:val="28"/>
                <w:lang w:val="en-GB"/>
              </w:rPr>
            </w:pPr>
          </w:p>
        </w:tc>
      </w:tr>
      <w:tr w:rsidR="00FF225D" w:rsidRPr="00FF225D" w14:paraId="501ED3F9" w14:textId="77777777" w:rsidTr="008671AF">
        <w:trPr>
          <w:gridAfter w:val="1"/>
          <w:wAfter w:w="90" w:type="dxa"/>
        </w:trPr>
        <w:tc>
          <w:tcPr>
            <w:tcW w:w="6204" w:type="dxa"/>
            <w:tcBorders>
              <w:top w:val="nil"/>
              <w:left w:val="nil"/>
              <w:bottom w:val="nil"/>
              <w:right w:val="nil"/>
            </w:tcBorders>
          </w:tcPr>
          <w:p w14:paraId="1F4CF724" w14:textId="77777777" w:rsidR="00FF225D" w:rsidRPr="008055CA" w:rsidRDefault="008055CA" w:rsidP="008055CA">
            <w:pPr>
              <w:pStyle w:val="NoSpacing"/>
              <w:rPr>
                <w:rFonts w:ascii="Arial" w:hAnsi="Arial" w:cs="Arial"/>
                <w:b/>
                <w:sz w:val="28"/>
                <w:szCs w:val="28"/>
                <w:lang w:val="en-GB"/>
              </w:rPr>
            </w:pPr>
            <w:r>
              <w:rPr>
                <w:rFonts w:ascii="Arial" w:hAnsi="Arial" w:cs="Arial"/>
                <w:b/>
                <w:sz w:val="28"/>
                <w:szCs w:val="28"/>
                <w:lang w:val="en-GB"/>
              </w:rPr>
              <w:t>KABELO JOSEPH NGWENYA</w:t>
            </w:r>
          </w:p>
        </w:tc>
        <w:tc>
          <w:tcPr>
            <w:tcW w:w="2727" w:type="dxa"/>
            <w:tcBorders>
              <w:top w:val="nil"/>
              <w:left w:val="nil"/>
              <w:bottom w:val="nil"/>
              <w:right w:val="nil"/>
            </w:tcBorders>
          </w:tcPr>
          <w:p w14:paraId="66B1DAAC" w14:textId="77777777" w:rsidR="00FF225D" w:rsidRPr="00FF225D" w:rsidRDefault="008055CA" w:rsidP="008055CA">
            <w:pPr>
              <w:pStyle w:val="NoSpacing"/>
              <w:jc w:val="right"/>
              <w:rPr>
                <w:rFonts w:ascii="Arial" w:hAnsi="Arial" w:cs="Arial"/>
                <w:sz w:val="28"/>
                <w:szCs w:val="28"/>
                <w:lang w:val="en-GB"/>
              </w:rPr>
            </w:pPr>
            <w:r>
              <w:rPr>
                <w:rFonts w:ascii="Arial" w:hAnsi="Arial" w:cs="Arial"/>
                <w:sz w:val="28"/>
                <w:szCs w:val="28"/>
                <w:lang w:val="en-GB"/>
              </w:rPr>
              <w:t>3</w:t>
            </w:r>
            <w:r w:rsidRPr="008055CA">
              <w:rPr>
                <w:rFonts w:ascii="Arial" w:hAnsi="Arial" w:cs="Arial"/>
                <w:sz w:val="28"/>
                <w:szCs w:val="28"/>
                <w:vertAlign w:val="superscript"/>
                <w:lang w:val="en-GB"/>
              </w:rPr>
              <w:t>rd</w:t>
            </w:r>
            <w:r>
              <w:rPr>
                <w:rFonts w:ascii="Arial" w:hAnsi="Arial" w:cs="Arial"/>
                <w:sz w:val="28"/>
                <w:szCs w:val="28"/>
                <w:lang w:val="en-GB"/>
              </w:rPr>
              <w:t xml:space="preserve"> Accused</w:t>
            </w:r>
          </w:p>
        </w:tc>
      </w:tr>
      <w:tr w:rsidR="00FF225D" w:rsidRPr="00FF225D" w14:paraId="021013B0" w14:textId="77777777" w:rsidTr="008671AF">
        <w:trPr>
          <w:gridAfter w:val="1"/>
          <w:wAfter w:w="90" w:type="dxa"/>
        </w:trPr>
        <w:tc>
          <w:tcPr>
            <w:tcW w:w="6204" w:type="dxa"/>
            <w:tcBorders>
              <w:top w:val="nil"/>
              <w:left w:val="nil"/>
              <w:bottom w:val="nil"/>
              <w:right w:val="nil"/>
            </w:tcBorders>
          </w:tcPr>
          <w:p w14:paraId="49B6C8FB" w14:textId="77777777" w:rsidR="00FF225D" w:rsidRPr="00FF225D" w:rsidRDefault="00FF225D" w:rsidP="008055CA">
            <w:pPr>
              <w:pStyle w:val="NoSpacing"/>
              <w:rPr>
                <w:rFonts w:ascii="Arial" w:hAnsi="Arial" w:cs="Arial"/>
                <w:b/>
                <w:sz w:val="28"/>
                <w:szCs w:val="28"/>
                <w:lang w:val="en-GB"/>
              </w:rPr>
            </w:pPr>
          </w:p>
        </w:tc>
        <w:tc>
          <w:tcPr>
            <w:tcW w:w="2727" w:type="dxa"/>
            <w:tcBorders>
              <w:top w:val="nil"/>
              <w:left w:val="nil"/>
              <w:bottom w:val="nil"/>
              <w:right w:val="nil"/>
            </w:tcBorders>
          </w:tcPr>
          <w:p w14:paraId="044910A4" w14:textId="77777777" w:rsidR="00FF225D" w:rsidRPr="00FF225D" w:rsidRDefault="00FF225D" w:rsidP="008055CA">
            <w:pPr>
              <w:pStyle w:val="NoSpacing"/>
              <w:jc w:val="right"/>
              <w:rPr>
                <w:rFonts w:ascii="Arial" w:hAnsi="Arial" w:cs="Arial"/>
                <w:sz w:val="28"/>
                <w:szCs w:val="28"/>
                <w:lang w:val="en-GB"/>
              </w:rPr>
            </w:pPr>
          </w:p>
        </w:tc>
      </w:tr>
      <w:tr w:rsidR="00FF225D" w:rsidRPr="00FF225D" w14:paraId="06A09CC2" w14:textId="77777777" w:rsidTr="008671AF">
        <w:trPr>
          <w:gridAfter w:val="1"/>
          <w:wAfter w:w="90" w:type="dxa"/>
        </w:trPr>
        <w:tc>
          <w:tcPr>
            <w:tcW w:w="6204" w:type="dxa"/>
            <w:tcBorders>
              <w:top w:val="nil"/>
              <w:left w:val="nil"/>
              <w:bottom w:val="nil"/>
              <w:right w:val="nil"/>
            </w:tcBorders>
          </w:tcPr>
          <w:p w14:paraId="3DCFEB94" w14:textId="77777777" w:rsidR="00FF225D" w:rsidRDefault="008055CA" w:rsidP="008055CA">
            <w:pPr>
              <w:pStyle w:val="NoSpacing"/>
              <w:rPr>
                <w:rFonts w:ascii="Arial" w:hAnsi="Arial" w:cs="Arial"/>
                <w:b/>
                <w:sz w:val="28"/>
                <w:szCs w:val="28"/>
                <w:lang w:val="en-GB"/>
              </w:rPr>
            </w:pPr>
            <w:r>
              <w:rPr>
                <w:rFonts w:ascii="Arial" w:hAnsi="Arial" w:cs="Arial"/>
                <w:b/>
                <w:sz w:val="28"/>
                <w:szCs w:val="28"/>
                <w:lang w:val="en-GB"/>
              </w:rPr>
              <w:lastRenderedPageBreak/>
              <w:t>NTSINDISO ALFRED MTUNZINI</w:t>
            </w:r>
          </w:p>
        </w:tc>
        <w:tc>
          <w:tcPr>
            <w:tcW w:w="2727" w:type="dxa"/>
            <w:tcBorders>
              <w:top w:val="nil"/>
              <w:left w:val="nil"/>
              <w:bottom w:val="nil"/>
              <w:right w:val="nil"/>
            </w:tcBorders>
          </w:tcPr>
          <w:p w14:paraId="6C8D5FC9" w14:textId="77777777" w:rsidR="00FF225D" w:rsidRDefault="008055CA" w:rsidP="008055CA">
            <w:pPr>
              <w:pStyle w:val="NoSpacing"/>
              <w:jc w:val="right"/>
              <w:rPr>
                <w:rFonts w:ascii="Arial" w:hAnsi="Arial" w:cs="Arial"/>
                <w:sz w:val="28"/>
                <w:szCs w:val="28"/>
                <w:lang w:val="en-GB"/>
              </w:rPr>
            </w:pPr>
            <w:r>
              <w:rPr>
                <w:rFonts w:ascii="Arial" w:hAnsi="Arial" w:cs="Arial"/>
                <w:sz w:val="28"/>
                <w:szCs w:val="28"/>
                <w:lang w:val="en-GB"/>
              </w:rPr>
              <w:t>4</w:t>
            </w:r>
            <w:r w:rsidRPr="008055CA">
              <w:rPr>
                <w:rFonts w:ascii="Arial" w:hAnsi="Arial" w:cs="Arial"/>
                <w:sz w:val="28"/>
                <w:szCs w:val="28"/>
                <w:vertAlign w:val="superscript"/>
                <w:lang w:val="en-GB"/>
              </w:rPr>
              <w:t>th</w:t>
            </w:r>
            <w:r>
              <w:rPr>
                <w:rFonts w:ascii="Arial" w:hAnsi="Arial" w:cs="Arial"/>
                <w:sz w:val="28"/>
                <w:szCs w:val="28"/>
                <w:lang w:val="en-GB"/>
              </w:rPr>
              <w:t xml:space="preserve"> Accused</w:t>
            </w:r>
          </w:p>
        </w:tc>
      </w:tr>
      <w:tr w:rsidR="008055CA" w:rsidRPr="008055CA" w14:paraId="1B0A9A58" w14:textId="77777777" w:rsidTr="008055CA">
        <w:tc>
          <w:tcPr>
            <w:tcW w:w="9016" w:type="dxa"/>
            <w:gridSpan w:val="3"/>
            <w:shd w:val="clear" w:color="auto" w:fill="D9D9D9" w:themeFill="background1" w:themeFillShade="D9"/>
          </w:tcPr>
          <w:p w14:paraId="5AAA5FF8" w14:textId="77777777" w:rsidR="008055CA" w:rsidRPr="008055CA" w:rsidRDefault="008055CA" w:rsidP="008055CA">
            <w:pPr>
              <w:pStyle w:val="NoSpacing"/>
              <w:rPr>
                <w:rFonts w:ascii="Arial" w:hAnsi="Arial" w:cs="Arial"/>
                <w:b/>
                <w:sz w:val="28"/>
                <w:szCs w:val="28"/>
                <w:lang w:val="en-US"/>
              </w:rPr>
            </w:pPr>
          </w:p>
          <w:p w14:paraId="55308E5A" w14:textId="77777777" w:rsidR="008055CA" w:rsidRDefault="008055CA" w:rsidP="008055CA">
            <w:pPr>
              <w:pStyle w:val="NoSpacing"/>
              <w:jc w:val="center"/>
              <w:rPr>
                <w:rFonts w:ascii="Arial" w:hAnsi="Arial" w:cs="Arial"/>
                <w:b/>
                <w:sz w:val="28"/>
                <w:szCs w:val="28"/>
                <w:lang w:val="en-US"/>
              </w:rPr>
            </w:pPr>
            <w:r w:rsidRPr="008055CA">
              <w:rPr>
                <w:rFonts w:ascii="Arial" w:hAnsi="Arial" w:cs="Arial"/>
                <w:b/>
                <w:sz w:val="28"/>
                <w:szCs w:val="28"/>
                <w:highlight w:val="lightGray"/>
                <w:lang w:val="en-US"/>
              </w:rPr>
              <w:t>JUDGMENT</w:t>
            </w:r>
          </w:p>
          <w:p w14:paraId="42D1E3B1" w14:textId="56ABB935" w:rsidR="008055CA" w:rsidRPr="008055CA" w:rsidRDefault="008055CA" w:rsidP="008055CA">
            <w:pPr>
              <w:pStyle w:val="NoSpacing"/>
              <w:jc w:val="center"/>
              <w:rPr>
                <w:rFonts w:ascii="Arial" w:hAnsi="Arial" w:cs="Arial"/>
                <w:b/>
                <w:sz w:val="28"/>
                <w:szCs w:val="28"/>
                <w:lang w:val="en-US"/>
              </w:rPr>
            </w:pPr>
            <w:r>
              <w:rPr>
                <w:rFonts w:ascii="Arial" w:hAnsi="Arial" w:cs="Arial"/>
                <w:b/>
                <w:sz w:val="28"/>
                <w:szCs w:val="28"/>
                <w:lang w:val="en-US"/>
              </w:rPr>
              <w:t>BAIL APPLICATION ACCUSED 1 &amp; 2</w:t>
            </w:r>
          </w:p>
          <w:p w14:paraId="0918E4B5" w14:textId="77777777" w:rsidR="008055CA" w:rsidRPr="008055CA" w:rsidRDefault="008055CA" w:rsidP="008055CA">
            <w:pPr>
              <w:pStyle w:val="NoSpacing"/>
              <w:rPr>
                <w:rFonts w:ascii="Arial" w:hAnsi="Arial" w:cs="Arial"/>
                <w:b/>
                <w:sz w:val="28"/>
                <w:szCs w:val="28"/>
                <w:lang w:val="en-US"/>
              </w:rPr>
            </w:pPr>
          </w:p>
        </w:tc>
      </w:tr>
    </w:tbl>
    <w:p w14:paraId="00CFEA5B" w14:textId="77777777" w:rsidR="008671AF" w:rsidRDefault="008671AF" w:rsidP="008671AF">
      <w:pPr>
        <w:widowControl w:val="0"/>
        <w:spacing w:after="0" w:line="480" w:lineRule="auto"/>
        <w:jc w:val="both"/>
        <w:rPr>
          <w:rFonts w:ascii="Arial" w:hAnsi="Arial" w:cs="Arial"/>
          <w:sz w:val="28"/>
          <w:szCs w:val="28"/>
        </w:rPr>
      </w:pPr>
    </w:p>
    <w:p w14:paraId="435E4401" w14:textId="77777777" w:rsidR="008055CA" w:rsidRDefault="00277FE8" w:rsidP="008055CA">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On 12 April 2024 two (</w:t>
      </w:r>
      <w:r w:rsidR="00CC2AD8">
        <w:rPr>
          <w:rFonts w:ascii="Arial" w:hAnsi="Arial" w:cs="Arial"/>
          <w:sz w:val="28"/>
          <w:szCs w:val="28"/>
        </w:rPr>
        <w:t>2</w:t>
      </w:r>
      <w:r>
        <w:rPr>
          <w:rFonts w:ascii="Arial" w:hAnsi="Arial" w:cs="Arial"/>
          <w:sz w:val="28"/>
          <w:szCs w:val="28"/>
        </w:rPr>
        <w:t>)</w:t>
      </w:r>
      <w:r w:rsidR="004D113D">
        <w:rPr>
          <w:rFonts w:ascii="Arial" w:hAnsi="Arial" w:cs="Arial"/>
          <w:sz w:val="28"/>
          <w:szCs w:val="28"/>
        </w:rPr>
        <w:t xml:space="preserve"> application</w:t>
      </w:r>
      <w:r w:rsidR="00CC2AD8">
        <w:rPr>
          <w:rFonts w:ascii="Arial" w:hAnsi="Arial" w:cs="Arial"/>
          <w:sz w:val="28"/>
          <w:szCs w:val="28"/>
        </w:rPr>
        <w:t>s</w:t>
      </w:r>
      <w:r w:rsidR="004D113D">
        <w:rPr>
          <w:rFonts w:ascii="Arial" w:hAnsi="Arial" w:cs="Arial"/>
          <w:sz w:val="28"/>
          <w:szCs w:val="28"/>
        </w:rPr>
        <w:t xml:space="preserve"> for bail of accused 1 and 2, herein after called the accused</w:t>
      </w:r>
      <w:r>
        <w:rPr>
          <w:rFonts w:ascii="Arial" w:hAnsi="Arial" w:cs="Arial"/>
          <w:sz w:val="28"/>
          <w:szCs w:val="28"/>
        </w:rPr>
        <w:t>, were brought before this Court</w:t>
      </w:r>
      <w:r w:rsidR="004D113D">
        <w:rPr>
          <w:rFonts w:ascii="Arial" w:hAnsi="Arial" w:cs="Arial"/>
          <w:sz w:val="28"/>
          <w:szCs w:val="28"/>
        </w:rPr>
        <w:t>.</w:t>
      </w:r>
      <w:r>
        <w:rPr>
          <w:rFonts w:ascii="Arial" w:hAnsi="Arial" w:cs="Arial"/>
          <w:sz w:val="28"/>
          <w:szCs w:val="28"/>
        </w:rPr>
        <w:t xml:space="preserve"> </w:t>
      </w:r>
    </w:p>
    <w:p w14:paraId="1263B4E2" w14:textId="77777777" w:rsidR="0095306F" w:rsidRDefault="0095306F" w:rsidP="0095306F">
      <w:pPr>
        <w:widowControl w:val="0"/>
        <w:spacing w:after="0" w:line="480" w:lineRule="auto"/>
        <w:ind w:left="709"/>
        <w:jc w:val="both"/>
        <w:rPr>
          <w:rFonts w:ascii="Arial" w:hAnsi="Arial" w:cs="Arial"/>
          <w:sz w:val="28"/>
          <w:szCs w:val="28"/>
        </w:rPr>
      </w:pPr>
    </w:p>
    <w:p w14:paraId="161EEADE" w14:textId="77777777" w:rsidR="009576DA" w:rsidRDefault="009576DA" w:rsidP="008055CA">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Adv Shela appears for accused 1 and 2, and </w:t>
      </w:r>
      <w:proofErr w:type="spellStart"/>
      <w:r>
        <w:rPr>
          <w:rFonts w:ascii="Arial" w:hAnsi="Arial" w:cs="Arial"/>
          <w:sz w:val="28"/>
          <w:szCs w:val="28"/>
        </w:rPr>
        <w:t>Adv</w:t>
      </w:r>
      <w:proofErr w:type="spellEnd"/>
      <w:r>
        <w:rPr>
          <w:rFonts w:ascii="Arial" w:hAnsi="Arial" w:cs="Arial"/>
          <w:sz w:val="28"/>
          <w:szCs w:val="28"/>
        </w:rPr>
        <w:t xml:space="preserve"> </w:t>
      </w:r>
      <w:proofErr w:type="spellStart"/>
      <w:r>
        <w:rPr>
          <w:rFonts w:ascii="Arial" w:hAnsi="Arial" w:cs="Arial"/>
          <w:sz w:val="28"/>
          <w:szCs w:val="28"/>
        </w:rPr>
        <w:t>Marueme</w:t>
      </w:r>
      <w:proofErr w:type="spellEnd"/>
      <w:r>
        <w:rPr>
          <w:rFonts w:ascii="Arial" w:hAnsi="Arial" w:cs="Arial"/>
          <w:sz w:val="28"/>
          <w:szCs w:val="28"/>
        </w:rPr>
        <w:t xml:space="preserve"> appears for the State.</w:t>
      </w:r>
    </w:p>
    <w:p w14:paraId="3B24F2EF" w14:textId="77777777" w:rsidR="00277FE8" w:rsidRDefault="00277FE8" w:rsidP="00277FE8">
      <w:pPr>
        <w:widowControl w:val="0"/>
        <w:spacing w:after="0" w:line="480" w:lineRule="auto"/>
        <w:ind w:left="709"/>
        <w:jc w:val="both"/>
        <w:rPr>
          <w:rFonts w:ascii="Arial" w:hAnsi="Arial" w:cs="Arial"/>
          <w:sz w:val="28"/>
          <w:szCs w:val="28"/>
        </w:rPr>
      </w:pPr>
    </w:p>
    <w:p w14:paraId="13887BB7" w14:textId="77777777" w:rsidR="004D113D" w:rsidRDefault="004D113D" w:rsidP="008055CA">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The accused are arraigned on the following charges</w:t>
      </w:r>
      <w:r w:rsidR="009576DA">
        <w:rPr>
          <w:rFonts w:ascii="Arial" w:hAnsi="Arial" w:cs="Arial"/>
          <w:sz w:val="28"/>
          <w:szCs w:val="28"/>
        </w:rPr>
        <w:t>, which are classified as Schedule 6 offences</w:t>
      </w:r>
      <w:r>
        <w:rPr>
          <w:rFonts w:ascii="Arial" w:hAnsi="Arial" w:cs="Arial"/>
          <w:sz w:val="28"/>
          <w:szCs w:val="28"/>
        </w:rPr>
        <w:t>:</w:t>
      </w:r>
    </w:p>
    <w:p w14:paraId="75FEDA7E" w14:textId="77777777" w:rsidR="004D113D" w:rsidRDefault="00074306" w:rsidP="004D113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One (1) charge of </w:t>
      </w:r>
      <w:r w:rsidR="00CC2AD8" w:rsidRPr="00074306">
        <w:rPr>
          <w:rFonts w:ascii="Arial" w:hAnsi="Arial" w:cs="Arial"/>
          <w:b/>
          <w:sz w:val="28"/>
          <w:szCs w:val="28"/>
        </w:rPr>
        <w:t>Murder</w:t>
      </w:r>
      <w:r w:rsidR="00CC2AD8">
        <w:rPr>
          <w:rFonts w:ascii="Arial" w:hAnsi="Arial" w:cs="Arial"/>
          <w:sz w:val="28"/>
          <w:szCs w:val="28"/>
        </w:rPr>
        <w:t xml:space="preserve"> read with section 51(1) of the Criminal Law Amendment Act 105 of 1997;</w:t>
      </w:r>
    </w:p>
    <w:p w14:paraId="4D110AC2" w14:textId="77777777" w:rsidR="00CC2AD8" w:rsidRDefault="00074306" w:rsidP="004D113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Four (4) charges of </w:t>
      </w:r>
      <w:r w:rsidR="00CC2AD8" w:rsidRPr="00074306">
        <w:rPr>
          <w:rFonts w:ascii="Arial" w:hAnsi="Arial" w:cs="Arial"/>
          <w:b/>
          <w:sz w:val="28"/>
          <w:szCs w:val="28"/>
        </w:rPr>
        <w:t>Robbery</w:t>
      </w:r>
      <w:r w:rsidR="00CC2AD8">
        <w:rPr>
          <w:rFonts w:ascii="Arial" w:hAnsi="Arial" w:cs="Arial"/>
          <w:sz w:val="28"/>
          <w:szCs w:val="28"/>
        </w:rPr>
        <w:t xml:space="preserve"> with aggravating circumstances as defined in section 1 of Act 51 of 1977, read with the provisions of section 51(2)(a) of the Criminal Law Amendment Act 105 of 1997;</w:t>
      </w:r>
    </w:p>
    <w:p w14:paraId="21D69F67" w14:textId="77777777" w:rsidR="00074306" w:rsidRDefault="00074306" w:rsidP="004D113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Five (5) charges of </w:t>
      </w:r>
      <w:r w:rsidRPr="00074306">
        <w:rPr>
          <w:rFonts w:ascii="Arial" w:hAnsi="Arial" w:cs="Arial"/>
          <w:b/>
          <w:sz w:val="28"/>
          <w:szCs w:val="28"/>
        </w:rPr>
        <w:t>unlawful possession of a fire-arm</w:t>
      </w:r>
      <w:r>
        <w:rPr>
          <w:rFonts w:ascii="Arial" w:hAnsi="Arial" w:cs="Arial"/>
          <w:sz w:val="28"/>
          <w:szCs w:val="28"/>
        </w:rPr>
        <w:t xml:space="preserve"> </w:t>
      </w:r>
      <w:r w:rsidR="00CC2AD8">
        <w:rPr>
          <w:rFonts w:ascii="Arial" w:hAnsi="Arial" w:cs="Arial"/>
          <w:sz w:val="28"/>
          <w:szCs w:val="28"/>
        </w:rPr>
        <w:t>Contravention of section 3 of the Firearms Control Act 60 of 2000, read with section 103</w:t>
      </w:r>
      <w:r w:rsidR="00F94FC8">
        <w:rPr>
          <w:rFonts w:ascii="Arial" w:hAnsi="Arial" w:cs="Arial"/>
          <w:sz w:val="28"/>
          <w:szCs w:val="28"/>
        </w:rPr>
        <w:t xml:space="preserve">, 117, 120 (1)(a), Section 121 read with Schedule 4 and Section 151 and section 51(2)(a) of the </w:t>
      </w:r>
      <w:r w:rsidR="00F94FC8">
        <w:rPr>
          <w:rFonts w:ascii="Arial" w:hAnsi="Arial" w:cs="Arial"/>
          <w:sz w:val="28"/>
          <w:szCs w:val="28"/>
        </w:rPr>
        <w:lastRenderedPageBreak/>
        <w:t>Criminal Law Amendment Act 105 of 1997</w:t>
      </w:r>
      <w:r>
        <w:rPr>
          <w:rFonts w:ascii="Arial" w:hAnsi="Arial" w:cs="Arial"/>
          <w:sz w:val="28"/>
          <w:szCs w:val="28"/>
        </w:rPr>
        <w:t>;</w:t>
      </w:r>
    </w:p>
    <w:p w14:paraId="41ADED9D" w14:textId="77777777" w:rsidR="00DE0139" w:rsidRDefault="00074306" w:rsidP="004D113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One (1) charge of</w:t>
      </w:r>
      <w:r w:rsidR="00DE0139">
        <w:rPr>
          <w:rFonts w:ascii="Arial" w:hAnsi="Arial" w:cs="Arial"/>
          <w:sz w:val="28"/>
          <w:szCs w:val="28"/>
        </w:rPr>
        <w:t xml:space="preserve"> Organised Crime in contravening the provisions of Section 9(1)(a) of the Prevention of Organised Crime Act 121 of 1998, read with sections 1, 10 and 11 of the said act and further read with section 94, 155, 156 and 157(1) of Act 51 of 1977 – gang related offence, alternatively contravention of the provisions of section 9(2)(a) of the Act.</w:t>
      </w:r>
    </w:p>
    <w:p w14:paraId="4881668B" w14:textId="77777777" w:rsidR="00CC2AD8" w:rsidRDefault="00DE0139" w:rsidP="004D113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One (1) charge of Unlawful possession of Ammunition, contravention of section 90 of the Firearms Control Act 60 of 2000, read with sections 1, 103, 117, 120(1)(a), section 121 read with schedule 4 and section 151 of Act 60 of 2000 and further read with section 250 of Act 51 of 1977.</w:t>
      </w:r>
      <w:r w:rsidR="00F94FC8">
        <w:rPr>
          <w:rFonts w:ascii="Arial" w:hAnsi="Arial" w:cs="Arial"/>
          <w:sz w:val="28"/>
          <w:szCs w:val="28"/>
        </w:rPr>
        <w:t xml:space="preserve"> </w:t>
      </w:r>
    </w:p>
    <w:p w14:paraId="2747B96A" w14:textId="77777777" w:rsidR="004D113D" w:rsidRPr="008055CA" w:rsidRDefault="004D113D" w:rsidP="004D113D">
      <w:pPr>
        <w:widowControl w:val="0"/>
        <w:spacing w:after="0" w:line="480" w:lineRule="auto"/>
        <w:ind w:left="709"/>
        <w:jc w:val="both"/>
        <w:rPr>
          <w:rFonts w:ascii="Arial" w:hAnsi="Arial" w:cs="Arial"/>
          <w:sz w:val="28"/>
          <w:szCs w:val="28"/>
        </w:rPr>
      </w:pPr>
    </w:p>
    <w:p w14:paraId="05A0E5F6" w14:textId="77777777" w:rsidR="008055CA" w:rsidRDefault="00DE0139" w:rsidP="008055CA">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Charge 1, murder, is against accused 1 and 2 only. </w:t>
      </w:r>
      <w:r w:rsidR="00277FE8">
        <w:rPr>
          <w:rFonts w:ascii="Arial" w:hAnsi="Arial" w:cs="Arial"/>
          <w:sz w:val="28"/>
          <w:szCs w:val="28"/>
        </w:rPr>
        <w:t xml:space="preserve"> Charges 11 and 12 (unlawful possession of a firearm and ammunition) is brought against accused 2 only.</w:t>
      </w:r>
      <w:r>
        <w:rPr>
          <w:rFonts w:ascii="Arial" w:hAnsi="Arial" w:cs="Arial"/>
          <w:sz w:val="28"/>
          <w:szCs w:val="28"/>
        </w:rPr>
        <w:t xml:space="preserve"> </w:t>
      </w:r>
    </w:p>
    <w:p w14:paraId="08A2C8AA" w14:textId="77777777" w:rsidR="00277FE8" w:rsidRDefault="00277FE8" w:rsidP="00277FE8">
      <w:pPr>
        <w:widowControl w:val="0"/>
        <w:spacing w:after="0" w:line="480" w:lineRule="auto"/>
        <w:ind w:left="709"/>
        <w:jc w:val="both"/>
        <w:rPr>
          <w:rFonts w:ascii="Arial" w:hAnsi="Arial" w:cs="Arial"/>
          <w:sz w:val="28"/>
          <w:szCs w:val="28"/>
        </w:rPr>
      </w:pPr>
    </w:p>
    <w:p w14:paraId="67F8E15F" w14:textId="77777777" w:rsidR="00277FE8" w:rsidRDefault="00277FE8" w:rsidP="008055CA">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In the application for bail, accused 1 and 2 have both presented written statements.  Both have confirmed independently the content of the affidavits in support of the bail applications.</w:t>
      </w:r>
      <w:r w:rsidR="00F203CC">
        <w:rPr>
          <w:rFonts w:ascii="Arial" w:hAnsi="Arial" w:cs="Arial"/>
          <w:sz w:val="28"/>
          <w:szCs w:val="28"/>
        </w:rPr>
        <w:t xml:space="preserve"> Since the charges fall under Schedule 6, the court has to determine whether it is in the interest of justice that the accused be granted bail.</w:t>
      </w:r>
      <w:r w:rsidR="0052247A">
        <w:rPr>
          <w:rFonts w:ascii="Arial" w:hAnsi="Arial" w:cs="Arial"/>
          <w:sz w:val="28"/>
          <w:szCs w:val="28"/>
        </w:rPr>
        <w:t xml:space="preserve">  These </w:t>
      </w:r>
      <w:r w:rsidR="0052247A">
        <w:rPr>
          <w:rFonts w:ascii="Arial" w:hAnsi="Arial" w:cs="Arial"/>
          <w:sz w:val="28"/>
          <w:szCs w:val="28"/>
        </w:rPr>
        <w:lastRenderedPageBreak/>
        <w:t xml:space="preserve">statements were accepted as evidence and marked respectively Exhibit </w:t>
      </w:r>
      <w:r w:rsidR="0052247A">
        <w:rPr>
          <w:rFonts w:ascii="Arial" w:hAnsi="Arial" w:cs="Arial"/>
          <w:b/>
          <w:sz w:val="28"/>
          <w:szCs w:val="28"/>
        </w:rPr>
        <w:t xml:space="preserve">“A” </w:t>
      </w:r>
      <w:r w:rsidR="0052247A">
        <w:rPr>
          <w:rFonts w:ascii="Arial" w:hAnsi="Arial" w:cs="Arial"/>
          <w:sz w:val="28"/>
          <w:szCs w:val="28"/>
        </w:rPr>
        <w:t xml:space="preserve">and Exhibit </w:t>
      </w:r>
      <w:r w:rsidR="0052247A">
        <w:rPr>
          <w:rFonts w:ascii="Arial" w:hAnsi="Arial" w:cs="Arial"/>
          <w:b/>
          <w:sz w:val="28"/>
          <w:szCs w:val="28"/>
        </w:rPr>
        <w:t>“B”</w:t>
      </w:r>
      <w:r w:rsidR="0052247A">
        <w:rPr>
          <w:rFonts w:ascii="Arial" w:hAnsi="Arial" w:cs="Arial"/>
          <w:sz w:val="28"/>
          <w:szCs w:val="28"/>
        </w:rPr>
        <w:t xml:space="preserve"> in the bail proceedings.</w:t>
      </w:r>
    </w:p>
    <w:p w14:paraId="51EADB84" w14:textId="77777777" w:rsidR="00F203CC" w:rsidRDefault="00F203CC" w:rsidP="00F203CC">
      <w:pPr>
        <w:pStyle w:val="ListParagraph"/>
        <w:rPr>
          <w:rFonts w:ascii="Arial" w:hAnsi="Arial" w:cs="Arial"/>
          <w:sz w:val="28"/>
          <w:szCs w:val="28"/>
        </w:rPr>
      </w:pPr>
    </w:p>
    <w:p w14:paraId="39F44745" w14:textId="77777777" w:rsidR="00277FE8" w:rsidRPr="00277FE8" w:rsidRDefault="00277FE8" w:rsidP="00277FE8">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In opposing the application for bail, oral evidence of the investigating officer Sergeant Tshabalala who is a </w:t>
      </w:r>
      <w:r w:rsidRPr="00277FE8">
        <w:rPr>
          <w:rFonts w:ascii="Arial" w:hAnsi="Arial" w:cs="Arial"/>
          <w:sz w:val="28"/>
          <w:szCs w:val="28"/>
          <w:lang w:val="en-US"/>
        </w:rPr>
        <w:t xml:space="preserve">Police officer for 17 years </w:t>
      </w:r>
      <w:r>
        <w:rPr>
          <w:rFonts w:ascii="Arial" w:hAnsi="Arial" w:cs="Arial"/>
          <w:sz w:val="28"/>
          <w:szCs w:val="28"/>
          <w:lang w:val="en-US"/>
        </w:rPr>
        <w:t xml:space="preserve">and working at the </w:t>
      </w:r>
      <w:r w:rsidRPr="00277FE8">
        <w:rPr>
          <w:rFonts w:ascii="Arial" w:hAnsi="Arial" w:cs="Arial"/>
          <w:sz w:val="28"/>
          <w:szCs w:val="28"/>
          <w:lang w:val="en-US"/>
        </w:rPr>
        <w:t xml:space="preserve">Provincial Office, </w:t>
      </w:r>
      <w:proofErr w:type="spellStart"/>
      <w:r w:rsidRPr="00277FE8">
        <w:rPr>
          <w:rFonts w:ascii="Arial" w:hAnsi="Arial" w:cs="Arial"/>
          <w:sz w:val="28"/>
          <w:szCs w:val="28"/>
          <w:lang w:val="en-US"/>
        </w:rPr>
        <w:t>Organised</w:t>
      </w:r>
      <w:proofErr w:type="spellEnd"/>
      <w:r w:rsidRPr="00277FE8">
        <w:rPr>
          <w:rFonts w:ascii="Arial" w:hAnsi="Arial" w:cs="Arial"/>
          <w:sz w:val="28"/>
          <w:szCs w:val="28"/>
          <w:lang w:val="en-US"/>
        </w:rPr>
        <w:t xml:space="preserve"> Crime in Gauteng</w:t>
      </w:r>
      <w:r>
        <w:rPr>
          <w:rFonts w:ascii="Arial" w:hAnsi="Arial" w:cs="Arial"/>
          <w:sz w:val="28"/>
          <w:szCs w:val="28"/>
          <w:lang w:val="en-US"/>
        </w:rPr>
        <w:t>.</w:t>
      </w:r>
    </w:p>
    <w:p w14:paraId="6B5F069E" w14:textId="77777777" w:rsidR="00277FE8" w:rsidRDefault="00277FE8" w:rsidP="00277FE8">
      <w:pPr>
        <w:pStyle w:val="ListParagraph"/>
        <w:rPr>
          <w:rFonts w:ascii="Arial" w:hAnsi="Arial" w:cs="Arial"/>
          <w:sz w:val="28"/>
          <w:szCs w:val="28"/>
        </w:rPr>
      </w:pPr>
    </w:p>
    <w:p w14:paraId="378DD276" w14:textId="77777777" w:rsidR="008671AF" w:rsidRPr="008671AF" w:rsidRDefault="008671AF"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The </w:t>
      </w:r>
      <w:r w:rsidRPr="008671AF">
        <w:rPr>
          <w:rFonts w:ascii="Arial" w:hAnsi="Arial" w:cs="Arial"/>
          <w:sz w:val="28"/>
          <w:szCs w:val="28"/>
          <w:lang w:val="en-US"/>
        </w:rPr>
        <w:t>1</w:t>
      </w:r>
      <w:r w:rsidRPr="008671AF">
        <w:rPr>
          <w:rFonts w:ascii="Arial" w:hAnsi="Arial" w:cs="Arial"/>
          <w:sz w:val="28"/>
          <w:szCs w:val="28"/>
          <w:vertAlign w:val="superscript"/>
          <w:lang w:val="en-US"/>
        </w:rPr>
        <w:t>st</w:t>
      </w:r>
      <w:r>
        <w:rPr>
          <w:rFonts w:ascii="Arial" w:hAnsi="Arial" w:cs="Arial"/>
          <w:sz w:val="28"/>
          <w:szCs w:val="28"/>
          <w:lang w:val="en-US"/>
        </w:rPr>
        <w:t xml:space="preserve"> accused</w:t>
      </w:r>
      <w:r w:rsidRPr="008671AF">
        <w:rPr>
          <w:rFonts w:ascii="Arial" w:hAnsi="Arial" w:cs="Arial"/>
          <w:sz w:val="28"/>
          <w:szCs w:val="28"/>
          <w:lang w:val="en-US"/>
        </w:rPr>
        <w:t xml:space="preserve"> Thapelo Ngwenya</w:t>
      </w:r>
      <w:r>
        <w:rPr>
          <w:rFonts w:ascii="Arial" w:hAnsi="Arial" w:cs="Arial"/>
          <w:sz w:val="28"/>
          <w:szCs w:val="28"/>
          <w:lang w:val="en-US"/>
        </w:rPr>
        <w:t xml:space="preserve"> stated the following</w:t>
      </w:r>
      <w:r w:rsidR="0095306F">
        <w:rPr>
          <w:rFonts w:ascii="Arial" w:hAnsi="Arial" w:cs="Arial"/>
          <w:sz w:val="28"/>
          <w:szCs w:val="28"/>
          <w:lang w:val="en-US"/>
        </w:rPr>
        <w:t xml:space="preserve"> in his affidavit in support of bail</w:t>
      </w:r>
      <w:r w:rsidRPr="008671AF">
        <w:rPr>
          <w:rFonts w:ascii="Arial" w:hAnsi="Arial" w:cs="Arial"/>
          <w:sz w:val="28"/>
          <w:szCs w:val="28"/>
          <w:lang w:val="en-US"/>
        </w:rPr>
        <w:t>:</w:t>
      </w:r>
    </w:p>
    <w:p w14:paraId="56CFC478" w14:textId="77777777" w:rsidR="008671AF" w:rsidRDefault="008671AF" w:rsidP="008671AF">
      <w:pPr>
        <w:pStyle w:val="ListParagraph"/>
        <w:rPr>
          <w:rFonts w:ascii="Arial" w:hAnsi="Arial" w:cs="Arial"/>
          <w:sz w:val="28"/>
          <w:szCs w:val="28"/>
        </w:rPr>
      </w:pPr>
    </w:p>
    <w:p w14:paraId="7BB113FF" w14:textId="77777777" w:rsidR="008671AF" w:rsidRPr="005561C1" w:rsidRDefault="008671AF" w:rsidP="008671A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In terms of </w:t>
      </w:r>
      <w:r>
        <w:rPr>
          <w:rFonts w:ascii="Arial" w:hAnsi="Arial" w:cs="Arial"/>
          <w:sz w:val="28"/>
          <w:szCs w:val="28"/>
          <w:lang w:val="en-US"/>
        </w:rPr>
        <w:t>Section 60(</w:t>
      </w:r>
      <w:r w:rsidRPr="008671AF">
        <w:rPr>
          <w:rFonts w:ascii="Arial" w:hAnsi="Arial" w:cs="Arial"/>
          <w:sz w:val="28"/>
          <w:szCs w:val="28"/>
          <w:lang w:val="en-US"/>
        </w:rPr>
        <w:t>B</w:t>
      </w:r>
      <w:r>
        <w:rPr>
          <w:rFonts w:ascii="Arial" w:hAnsi="Arial" w:cs="Arial"/>
          <w:sz w:val="28"/>
          <w:szCs w:val="28"/>
          <w:lang w:val="en-US"/>
        </w:rPr>
        <w:t>) of the Criminal Procedure Act</w:t>
      </w:r>
      <w:r w:rsidRPr="008671AF">
        <w:rPr>
          <w:rFonts w:ascii="Arial" w:hAnsi="Arial" w:cs="Arial"/>
          <w:sz w:val="28"/>
          <w:szCs w:val="28"/>
          <w:lang w:val="en-US"/>
        </w:rPr>
        <w:t xml:space="preserve"> </w:t>
      </w:r>
      <w:r>
        <w:rPr>
          <w:rFonts w:ascii="Arial" w:hAnsi="Arial" w:cs="Arial"/>
          <w:sz w:val="28"/>
          <w:szCs w:val="28"/>
          <w:lang w:val="en-US"/>
        </w:rPr>
        <w:t>he confirmed that he</w:t>
      </w:r>
      <w:r>
        <w:rPr>
          <w:rFonts w:ascii="Arial" w:hAnsi="Arial" w:cs="Arial"/>
          <w:sz w:val="28"/>
          <w:szCs w:val="28"/>
        </w:rPr>
        <w:t xml:space="preserve"> has n</w:t>
      </w:r>
      <w:r w:rsidRPr="008671AF">
        <w:rPr>
          <w:rFonts w:ascii="Arial" w:hAnsi="Arial" w:cs="Arial"/>
          <w:sz w:val="28"/>
          <w:szCs w:val="28"/>
          <w:lang w:val="en-US"/>
        </w:rPr>
        <w:t>ever been convicted any criminal offences, SA or other</w:t>
      </w:r>
      <w:r>
        <w:rPr>
          <w:rFonts w:ascii="Arial" w:hAnsi="Arial" w:cs="Arial"/>
          <w:sz w:val="28"/>
          <w:szCs w:val="28"/>
          <w:lang w:val="en-US"/>
        </w:rPr>
        <w:t xml:space="preserve"> countries and that there are </w:t>
      </w:r>
      <w:r>
        <w:rPr>
          <w:rFonts w:ascii="Arial" w:hAnsi="Arial" w:cs="Arial"/>
          <w:sz w:val="28"/>
          <w:szCs w:val="28"/>
        </w:rPr>
        <w:t>n</w:t>
      </w:r>
      <w:r w:rsidRPr="008671AF">
        <w:rPr>
          <w:rFonts w:ascii="Arial" w:hAnsi="Arial" w:cs="Arial"/>
          <w:sz w:val="28"/>
          <w:szCs w:val="28"/>
          <w:lang w:val="en-US"/>
        </w:rPr>
        <w:t>o outstanding warrants</w:t>
      </w:r>
      <w:r>
        <w:rPr>
          <w:rFonts w:ascii="Arial" w:hAnsi="Arial" w:cs="Arial"/>
          <w:sz w:val="28"/>
          <w:szCs w:val="28"/>
          <w:lang w:val="en-US"/>
        </w:rPr>
        <w:t xml:space="preserve"> or arrest against him.</w:t>
      </w:r>
    </w:p>
    <w:p w14:paraId="535906C3" w14:textId="77777777" w:rsidR="0095306F" w:rsidRPr="0095306F" w:rsidRDefault="0095306F" w:rsidP="0095306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He has been r</w:t>
      </w:r>
      <w:r w:rsidRPr="0095306F">
        <w:rPr>
          <w:rFonts w:ascii="Arial" w:hAnsi="Arial" w:cs="Arial"/>
          <w:sz w:val="28"/>
          <w:szCs w:val="28"/>
          <w:lang w:val="en-US"/>
        </w:rPr>
        <w:t xml:space="preserve">esiding at </w:t>
      </w:r>
      <w:r>
        <w:rPr>
          <w:rFonts w:ascii="Arial" w:hAnsi="Arial" w:cs="Arial"/>
          <w:sz w:val="28"/>
          <w:szCs w:val="28"/>
          <w:lang w:val="en-US"/>
        </w:rPr>
        <w:t>his residential address for 2 years and s</w:t>
      </w:r>
      <w:r w:rsidRPr="0095306F">
        <w:rPr>
          <w:rFonts w:ascii="Arial" w:hAnsi="Arial" w:cs="Arial"/>
          <w:sz w:val="28"/>
          <w:szCs w:val="28"/>
          <w:lang w:val="en-US"/>
        </w:rPr>
        <w:t xml:space="preserve">ince </w:t>
      </w:r>
      <w:r>
        <w:rPr>
          <w:rFonts w:ascii="Arial" w:hAnsi="Arial" w:cs="Arial"/>
          <w:sz w:val="28"/>
          <w:szCs w:val="28"/>
          <w:lang w:val="en-US"/>
        </w:rPr>
        <w:t xml:space="preserve">his </w:t>
      </w:r>
      <w:r w:rsidRPr="0095306F">
        <w:rPr>
          <w:rFonts w:ascii="Arial" w:hAnsi="Arial" w:cs="Arial"/>
          <w:sz w:val="28"/>
          <w:szCs w:val="28"/>
          <w:lang w:val="en-US"/>
        </w:rPr>
        <w:t>arrest and detention</w:t>
      </w:r>
      <w:r>
        <w:rPr>
          <w:rFonts w:ascii="Arial" w:hAnsi="Arial" w:cs="Arial"/>
          <w:sz w:val="28"/>
          <w:szCs w:val="28"/>
          <w:lang w:val="en-US"/>
        </w:rPr>
        <w:t>, his</w:t>
      </w:r>
      <w:r w:rsidRPr="0095306F">
        <w:rPr>
          <w:rFonts w:ascii="Arial" w:hAnsi="Arial" w:cs="Arial"/>
          <w:sz w:val="28"/>
          <w:szCs w:val="28"/>
          <w:lang w:val="en-US"/>
        </w:rPr>
        <w:t xml:space="preserve"> partner</w:t>
      </w:r>
      <w:r>
        <w:rPr>
          <w:rFonts w:ascii="Arial" w:hAnsi="Arial" w:cs="Arial"/>
          <w:sz w:val="28"/>
          <w:szCs w:val="28"/>
          <w:lang w:val="en-US"/>
        </w:rPr>
        <w:t xml:space="preserve"> stayed at the address.  Prior to living with his partner, he stayed at the family.  His partner does not reside there anymore, as she cannot afford the place on her income alone.</w:t>
      </w:r>
    </w:p>
    <w:p w14:paraId="19653AB0" w14:textId="77777777" w:rsidR="0095306F" w:rsidRDefault="0095306F" w:rsidP="0095306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sidRPr="0095306F">
        <w:rPr>
          <w:rFonts w:ascii="Arial" w:hAnsi="Arial" w:cs="Arial"/>
          <w:sz w:val="28"/>
          <w:szCs w:val="28"/>
          <w:lang w:val="en-US"/>
        </w:rPr>
        <w:t>Since</w:t>
      </w:r>
      <w:r>
        <w:rPr>
          <w:rFonts w:ascii="Arial" w:hAnsi="Arial" w:cs="Arial"/>
          <w:sz w:val="28"/>
          <w:szCs w:val="28"/>
          <w:lang w:val="en-US"/>
        </w:rPr>
        <w:t xml:space="preserve"> the</w:t>
      </w:r>
      <w:r w:rsidRPr="0095306F">
        <w:rPr>
          <w:rFonts w:ascii="Arial" w:hAnsi="Arial" w:cs="Arial"/>
          <w:sz w:val="28"/>
          <w:szCs w:val="28"/>
          <w:lang w:val="en-US"/>
        </w:rPr>
        <w:t xml:space="preserve"> date and time of </w:t>
      </w:r>
      <w:r>
        <w:rPr>
          <w:rFonts w:ascii="Arial" w:hAnsi="Arial" w:cs="Arial"/>
          <w:sz w:val="28"/>
          <w:szCs w:val="28"/>
          <w:lang w:val="en-US"/>
        </w:rPr>
        <w:t xml:space="preserve">his </w:t>
      </w:r>
      <w:r w:rsidRPr="0095306F">
        <w:rPr>
          <w:rFonts w:ascii="Arial" w:hAnsi="Arial" w:cs="Arial"/>
          <w:sz w:val="28"/>
          <w:szCs w:val="28"/>
          <w:lang w:val="en-US"/>
        </w:rPr>
        <w:t xml:space="preserve">arrest, </w:t>
      </w:r>
      <w:r>
        <w:rPr>
          <w:rFonts w:ascii="Arial" w:hAnsi="Arial" w:cs="Arial"/>
          <w:sz w:val="28"/>
          <w:szCs w:val="28"/>
          <w:lang w:val="en-US"/>
        </w:rPr>
        <w:t xml:space="preserve">his </w:t>
      </w:r>
      <w:r w:rsidRPr="0095306F">
        <w:rPr>
          <w:rFonts w:ascii="Arial" w:hAnsi="Arial" w:cs="Arial"/>
          <w:sz w:val="28"/>
          <w:szCs w:val="28"/>
          <w:lang w:val="en-US"/>
        </w:rPr>
        <w:t xml:space="preserve">family confirmed </w:t>
      </w:r>
      <w:r>
        <w:rPr>
          <w:rFonts w:ascii="Arial" w:hAnsi="Arial" w:cs="Arial"/>
          <w:sz w:val="28"/>
          <w:szCs w:val="28"/>
          <w:lang w:val="en-US"/>
        </w:rPr>
        <w:t>that he can</w:t>
      </w:r>
      <w:r w:rsidRPr="0095306F">
        <w:rPr>
          <w:rFonts w:ascii="Arial" w:hAnsi="Arial" w:cs="Arial"/>
          <w:sz w:val="28"/>
          <w:szCs w:val="28"/>
          <w:lang w:val="en-US"/>
        </w:rPr>
        <w:t xml:space="preserve"> be living at </w:t>
      </w:r>
      <w:r>
        <w:rPr>
          <w:rFonts w:ascii="Arial" w:hAnsi="Arial" w:cs="Arial"/>
          <w:sz w:val="28"/>
          <w:szCs w:val="28"/>
          <w:lang w:val="en-US"/>
        </w:rPr>
        <w:t xml:space="preserve">his </w:t>
      </w:r>
      <w:r w:rsidRPr="0095306F">
        <w:rPr>
          <w:rFonts w:ascii="Arial" w:hAnsi="Arial" w:cs="Arial"/>
          <w:sz w:val="28"/>
          <w:szCs w:val="28"/>
          <w:lang w:val="en-US"/>
        </w:rPr>
        <w:t>family home</w:t>
      </w:r>
      <w:r>
        <w:rPr>
          <w:rFonts w:ascii="Arial" w:hAnsi="Arial" w:cs="Arial"/>
          <w:sz w:val="28"/>
          <w:szCs w:val="28"/>
          <w:lang w:val="en-US"/>
        </w:rPr>
        <w:t xml:space="preserve"> and </w:t>
      </w:r>
      <w:r w:rsidRPr="0095306F">
        <w:rPr>
          <w:rFonts w:ascii="Arial" w:hAnsi="Arial" w:cs="Arial"/>
          <w:sz w:val="28"/>
          <w:szCs w:val="28"/>
          <w:lang w:val="en-US"/>
        </w:rPr>
        <w:t>confirmation</w:t>
      </w:r>
      <w:r>
        <w:rPr>
          <w:rFonts w:ascii="Arial" w:hAnsi="Arial" w:cs="Arial"/>
          <w:sz w:val="28"/>
          <w:szCs w:val="28"/>
          <w:lang w:val="en-US"/>
        </w:rPr>
        <w:t xml:space="preserve"> thereof is provided in the affidavit.</w:t>
      </w:r>
    </w:p>
    <w:p w14:paraId="5B892F3A" w14:textId="77777777" w:rsidR="0095306F" w:rsidRPr="0095306F" w:rsidRDefault="0095306F" w:rsidP="0095306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lastRenderedPageBreak/>
        <w:t>He has never traveled abroa</w:t>
      </w:r>
      <w:r w:rsidRPr="0095306F">
        <w:rPr>
          <w:rFonts w:ascii="Arial" w:hAnsi="Arial" w:cs="Arial"/>
          <w:sz w:val="28"/>
          <w:szCs w:val="28"/>
          <w:lang w:val="en-US"/>
        </w:rPr>
        <w:t>d</w:t>
      </w:r>
      <w:r>
        <w:rPr>
          <w:rFonts w:ascii="Arial" w:hAnsi="Arial" w:cs="Arial"/>
          <w:sz w:val="28"/>
          <w:szCs w:val="28"/>
          <w:lang w:val="en-US"/>
        </w:rPr>
        <w:t xml:space="preserve"> and has no passport or other travel documents.</w:t>
      </w:r>
    </w:p>
    <w:p w14:paraId="38E5B43D" w14:textId="77777777" w:rsidR="0095306F" w:rsidRPr="0095306F" w:rsidRDefault="0095306F" w:rsidP="0095306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He has a h</w:t>
      </w:r>
      <w:proofErr w:type="spellStart"/>
      <w:r w:rsidRPr="0095306F">
        <w:rPr>
          <w:rFonts w:ascii="Arial" w:hAnsi="Arial" w:cs="Arial"/>
          <w:sz w:val="28"/>
          <w:szCs w:val="28"/>
          <w:lang w:val="en-US"/>
        </w:rPr>
        <w:t>ouse</w:t>
      </w:r>
      <w:proofErr w:type="spellEnd"/>
      <w:r w:rsidRPr="0095306F">
        <w:rPr>
          <w:rFonts w:ascii="Arial" w:hAnsi="Arial" w:cs="Arial"/>
          <w:sz w:val="28"/>
          <w:szCs w:val="28"/>
          <w:lang w:val="en-US"/>
        </w:rPr>
        <w:t xml:space="preserve"> </w:t>
      </w:r>
      <w:r>
        <w:rPr>
          <w:rFonts w:ascii="Arial" w:hAnsi="Arial" w:cs="Arial"/>
          <w:sz w:val="28"/>
          <w:szCs w:val="28"/>
          <w:lang w:val="en-US"/>
        </w:rPr>
        <w:t xml:space="preserve">in </w:t>
      </w:r>
      <w:proofErr w:type="spellStart"/>
      <w:r>
        <w:rPr>
          <w:rFonts w:ascii="Arial" w:hAnsi="Arial" w:cs="Arial"/>
          <w:sz w:val="28"/>
          <w:szCs w:val="28"/>
          <w:lang w:val="en-US"/>
        </w:rPr>
        <w:t>G</w:t>
      </w:r>
      <w:r w:rsidRPr="0095306F">
        <w:rPr>
          <w:rFonts w:ascii="Arial" w:hAnsi="Arial" w:cs="Arial"/>
          <w:sz w:val="28"/>
          <w:szCs w:val="28"/>
          <w:lang w:val="en-US"/>
        </w:rPr>
        <w:t>arankuwa</w:t>
      </w:r>
      <w:proofErr w:type="spellEnd"/>
      <w:r w:rsidRPr="0095306F">
        <w:rPr>
          <w:rFonts w:ascii="Arial" w:hAnsi="Arial" w:cs="Arial"/>
          <w:sz w:val="28"/>
          <w:szCs w:val="28"/>
          <w:lang w:val="en-US"/>
        </w:rPr>
        <w:t xml:space="preserve"> </w:t>
      </w:r>
      <w:r>
        <w:rPr>
          <w:rFonts w:ascii="Arial" w:hAnsi="Arial" w:cs="Arial"/>
          <w:sz w:val="28"/>
          <w:szCs w:val="28"/>
          <w:lang w:val="en-US"/>
        </w:rPr>
        <w:t xml:space="preserve">to the </w:t>
      </w:r>
      <w:r w:rsidRPr="0095306F">
        <w:rPr>
          <w:rFonts w:ascii="Arial" w:hAnsi="Arial" w:cs="Arial"/>
          <w:sz w:val="28"/>
          <w:szCs w:val="28"/>
          <w:lang w:val="en-US"/>
        </w:rPr>
        <w:t xml:space="preserve">value </w:t>
      </w:r>
      <w:r>
        <w:rPr>
          <w:rFonts w:ascii="Arial" w:hAnsi="Arial" w:cs="Arial"/>
          <w:sz w:val="28"/>
          <w:szCs w:val="28"/>
          <w:lang w:val="en-US"/>
        </w:rPr>
        <w:t xml:space="preserve">of </w:t>
      </w:r>
      <w:r w:rsidRPr="0095306F">
        <w:rPr>
          <w:rFonts w:ascii="Arial" w:hAnsi="Arial" w:cs="Arial"/>
          <w:sz w:val="28"/>
          <w:szCs w:val="28"/>
          <w:lang w:val="en-US"/>
        </w:rPr>
        <w:t>R300k,</w:t>
      </w:r>
      <w:r>
        <w:rPr>
          <w:rFonts w:ascii="Arial" w:hAnsi="Arial" w:cs="Arial"/>
          <w:sz w:val="28"/>
          <w:szCs w:val="28"/>
          <w:lang w:val="en-US"/>
        </w:rPr>
        <w:t xml:space="preserve"> which he inherited from his mother</w:t>
      </w:r>
      <w:r w:rsidRPr="0095306F">
        <w:rPr>
          <w:rFonts w:ascii="Arial" w:hAnsi="Arial" w:cs="Arial"/>
          <w:sz w:val="28"/>
          <w:szCs w:val="28"/>
          <w:lang w:val="en-US"/>
        </w:rPr>
        <w:t xml:space="preserve">.  </w:t>
      </w:r>
      <w:r>
        <w:rPr>
          <w:rFonts w:ascii="Arial" w:hAnsi="Arial" w:cs="Arial"/>
          <w:sz w:val="28"/>
          <w:szCs w:val="28"/>
          <w:lang w:val="en-US"/>
        </w:rPr>
        <w:t>This w</w:t>
      </w:r>
      <w:r w:rsidRPr="0095306F">
        <w:rPr>
          <w:rFonts w:ascii="Arial" w:hAnsi="Arial" w:cs="Arial"/>
          <w:sz w:val="28"/>
          <w:szCs w:val="28"/>
          <w:lang w:val="en-US"/>
        </w:rPr>
        <w:t xml:space="preserve">as </w:t>
      </w:r>
      <w:r>
        <w:rPr>
          <w:rFonts w:ascii="Arial" w:hAnsi="Arial" w:cs="Arial"/>
          <w:sz w:val="28"/>
          <w:szCs w:val="28"/>
          <w:lang w:val="en-US"/>
        </w:rPr>
        <w:t xml:space="preserve">the </w:t>
      </w:r>
      <w:r w:rsidRPr="0095306F">
        <w:rPr>
          <w:rFonts w:ascii="Arial" w:hAnsi="Arial" w:cs="Arial"/>
          <w:sz w:val="28"/>
          <w:szCs w:val="28"/>
          <w:lang w:val="en-US"/>
        </w:rPr>
        <w:t xml:space="preserve">family </w:t>
      </w:r>
      <w:proofErr w:type="gramStart"/>
      <w:r w:rsidRPr="0095306F">
        <w:rPr>
          <w:rFonts w:ascii="Arial" w:hAnsi="Arial" w:cs="Arial"/>
          <w:sz w:val="28"/>
          <w:szCs w:val="28"/>
          <w:lang w:val="en-US"/>
        </w:rPr>
        <w:t>home,</w:t>
      </w:r>
      <w:proofErr w:type="gramEnd"/>
      <w:r w:rsidRPr="0095306F">
        <w:rPr>
          <w:rFonts w:ascii="Arial" w:hAnsi="Arial" w:cs="Arial"/>
          <w:sz w:val="28"/>
          <w:szCs w:val="28"/>
          <w:lang w:val="en-US"/>
        </w:rPr>
        <w:t xml:space="preserve"> it is bequeathed to me as I am only surviving heir</w:t>
      </w:r>
      <w:r>
        <w:rPr>
          <w:rFonts w:ascii="Arial" w:hAnsi="Arial" w:cs="Arial"/>
          <w:sz w:val="28"/>
          <w:szCs w:val="28"/>
          <w:lang w:val="en-US"/>
        </w:rPr>
        <w:t xml:space="preserve">.  Since the house is abandoned, </w:t>
      </w:r>
      <w:r>
        <w:rPr>
          <w:rFonts w:ascii="Arial" w:hAnsi="Arial" w:cs="Arial"/>
          <w:sz w:val="28"/>
          <w:szCs w:val="28"/>
        </w:rPr>
        <w:t xml:space="preserve">the lights </w:t>
      </w:r>
      <w:r w:rsidRPr="0095306F">
        <w:rPr>
          <w:rFonts w:ascii="Arial" w:hAnsi="Arial" w:cs="Arial"/>
          <w:sz w:val="28"/>
          <w:szCs w:val="28"/>
          <w:lang w:val="en-US"/>
        </w:rPr>
        <w:t>and water cut off</w:t>
      </w:r>
      <w:r>
        <w:rPr>
          <w:rFonts w:ascii="Arial" w:hAnsi="Arial" w:cs="Arial"/>
          <w:sz w:val="28"/>
          <w:szCs w:val="28"/>
        </w:rPr>
        <w:t xml:space="preserve"> and the property </w:t>
      </w:r>
      <w:r>
        <w:rPr>
          <w:rFonts w:ascii="Arial" w:hAnsi="Arial" w:cs="Arial"/>
          <w:sz w:val="28"/>
          <w:szCs w:val="28"/>
          <w:lang w:val="en-US"/>
        </w:rPr>
        <w:t>is left to fall in d</w:t>
      </w:r>
      <w:r w:rsidRPr="0095306F">
        <w:rPr>
          <w:rFonts w:ascii="Arial" w:hAnsi="Arial" w:cs="Arial"/>
          <w:sz w:val="28"/>
          <w:szCs w:val="28"/>
          <w:lang w:val="en-US"/>
        </w:rPr>
        <w:t>isarray</w:t>
      </w:r>
      <w:r>
        <w:rPr>
          <w:rFonts w:ascii="Arial" w:hAnsi="Arial" w:cs="Arial"/>
          <w:sz w:val="28"/>
          <w:szCs w:val="28"/>
        </w:rPr>
        <w:t xml:space="preserve">.  He is also the only surviving </w:t>
      </w:r>
      <w:r w:rsidRPr="0095306F">
        <w:rPr>
          <w:rFonts w:ascii="Arial" w:hAnsi="Arial" w:cs="Arial"/>
          <w:sz w:val="28"/>
          <w:szCs w:val="28"/>
          <w:lang w:val="en-US"/>
        </w:rPr>
        <w:t>heir to</w:t>
      </w:r>
      <w:r>
        <w:rPr>
          <w:rFonts w:ascii="Arial" w:hAnsi="Arial" w:cs="Arial"/>
          <w:sz w:val="28"/>
          <w:szCs w:val="28"/>
          <w:lang w:val="en-US"/>
        </w:rPr>
        <w:t xml:space="preserve"> his </w:t>
      </w:r>
      <w:r w:rsidRPr="0095306F">
        <w:rPr>
          <w:rFonts w:ascii="Arial" w:hAnsi="Arial" w:cs="Arial"/>
          <w:sz w:val="28"/>
          <w:szCs w:val="28"/>
          <w:lang w:val="en-US"/>
        </w:rPr>
        <w:t>brother, inherit his estate but no knowledge to amount of estate</w:t>
      </w:r>
      <w:r>
        <w:rPr>
          <w:rFonts w:ascii="Arial" w:hAnsi="Arial" w:cs="Arial"/>
          <w:sz w:val="28"/>
          <w:szCs w:val="28"/>
          <w:lang w:val="en-US"/>
        </w:rPr>
        <w:t>.</w:t>
      </w:r>
    </w:p>
    <w:p w14:paraId="5F405EC7" w14:textId="77777777" w:rsidR="0095306F" w:rsidRPr="0095306F" w:rsidRDefault="0095306F" w:rsidP="0095306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He is the owner of movable property to the value of </w:t>
      </w:r>
      <w:r w:rsidRPr="0095306F">
        <w:rPr>
          <w:rFonts w:ascii="Arial" w:hAnsi="Arial" w:cs="Arial"/>
          <w:sz w:val="28"/>
          <w:szCs w:val="28"/>
          <w:lang w:val="en-US"/>
        </w:rPr>
        <w:t>R150k,</w:t>
      </w:r>
      <w:r>
        <w:rPr>
          <w:rFonts w:ascii="Arial" w:hAnsi="Arial" w:cs="Arial"/>
          <w:sz w:val="28"/>
          <w:szCs w:val="28"/>
          <w:lang w:val="en-US"/>
        </w:rPr>
        <w:t xml:space="preserve"> and a motor vehicle being a </w:t>
      </w:r>
      <w:r w:rsidRPr="0095306F">
        <w:rPr>
          <w:rFonts w:ascii="Arial" w:hAnsi="Arial" w:cs="Arial"/>
          <w:sz w:val="28"/>
          <w:szCs w:val="28"/>
          <w:lang w:val="en-US"/>
        </w:rPr>
        <w:t>Venture</w:t>
      </w:r>
      <w:r>
        <w:rPr>
          <w:rFonts w:ascii="Arial" w:hAnsi="Arial" w:cs="Arial"/>
          <w:sz w:val="28"/>
          <w:szCs w:val="28"/>
          <w:lang w:val="en-US"/>
        </w:rPr>
        <w:t xml:space="preserve"> Combi worth</w:t>
      </w:r>
      <w:r w:rsidRPr="0095306F">
        <w:rPr>
          <w:rFonts w:ascii="Arial" w:hAnsi="Arial" w:cs="Arial"/>
          <w:sz w:val="28"/>
          <w:szCs w:val="28"/>
          <w:lang w:val="en-US"/>
        </w:rPr>
        <w:t xml:space="preserve"> R75k</w:t>
      </w:r>
      <w:r>
        <w:rPr>
          <w:rFonts w:ascii="Arial" w:hAnsi="Arial" w:cs="Arial"/>
          <w:sz w:val="28"/>
          <w:szCs w:val="28"/>
          <w:lang w:val="en-US"/>
        </w:rPr>
        <w:t>.</w:t>
      </w:r>
    </w:p>
    <w:p w14:paraId="4380D13C" w14:textId="77777777" w:rsidR="0095306F" w:rsidRPr="00F203CC" w:rsidRDefault="0095306F" w:rsidP="0095306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 xml:space="preserve">He is not married and has 3 minor children.  The mothers of the children </w:t>
      </w:r>
      <w:r w:rsidR="00F203CC">
        <w:rPr>
          <w:rFonts w:ascii="Arial" w:hAnsi="Arial" w:cs="Arial"/>
          <w:sz w:val="28"/>
          <w:szCs w:val="28"/>
          <w:lang w:val="en-US"/>
        </w:rPr>
        <w:t>were</w:t>
      </w:r>
      <w:r>
        <w:rPr>
          <w:rFonts w:ascii="Arial" w:hAnsi="Arial" w:cs="Arial"/>
          <w:sz w:val="28"/>
          <w:szCs w:val="28"/>
          <w:lang w:val="en-US"/>
        </w:rPr>
        <w:t xml:space="preserve"> dependent on his financial assistance</w:t>
      </w:r>
      <w:r w:rsidR="00F203CC">
        <w:rPr>
          <w:rFonts w:ascii="Arial" w:hAnsi="Arial" w:cs="Arial"/>
          <w:sz w:val="28"/>
          <w:szCs w:val="28"/>
          <w:lang w:val="en-US"/>
        </w:rPr>
        <w:t>, prior to his arrest</w:t>
      </w:r>
      <w:r>
        <w:rPr>
          <w:rFonts w:ascii="Arial" w:hAnsi="Arial" w:cs="Arial"/>
          <w:sz w:val="28"/>
          <w:szCs w:val="28"/>
          <w:lang w:val="en-US"/>
        </w:rPr>
        <w:t>.</w:t>
      </w:r>
      <w:r w:rsidR="00F203CC">
        <w:rPr>
          <w:rFonts w:ascii="Arial" w:hAnsi="Arial" w:cs="Arial"/>
          <w:sz w:val="28"/>
          <w:szCs w:val="28"/>
          <w:lang w:val="en-US"/>
        </w:rPr>
        <w:t xml:space="preserve">  None of the mothers are employed.</w:t>
      </w:r>
    </w:p>
    <w:p w14:paraId="3FE7B593" w14:textId="77777777" w:rsidR="00F203CC" w:rsidRDefault="00F203CC" w:rsidP="0095306F">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His highest academic qualification is standard 9 and he could not complete high school due to the passing of his mother.</w:t>
      </w:r>
    </w:p>
    <w:p w14:paraId="372DACE2" w14:textId="77777777" w:rsidR="0095306F" w:rsidRP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Prior to his arrest he earned approximately </w:t>
      </w:r>
      <w:r w:rsidR="0095306F" w:rsidRPr="00F203CC">
        <w:rPr>
          <w:rFonts w:ascii="Arial" w:hAnsi="Arial" w:cs="Arial"/>
          <w:sz w:val="28"/>
          <w:szCs w:val="28"/>
          <w:lang w:val="en-US"/>
        </w:rPr>
        <w:t xml:space="preserve">R8k pm by being </w:t>
      </w:r>
      <w:r>
        <w:rPr>
          <w:rFonts w:ascii="Arial" w:hAnsi="Arial" w:cs="Arial"/>
          <w:sz w:val="28"/>
          <w:szCs w:val="28"/>
          <w:lang w:val="en-US"/>
        </w:rPr>
        <w:t xml:space="preserve">a </w:t>
      </w:r>
      <w:r w:rsidR="0095306F" w:rsidRPr="00F203CC">
        <w:rPr>
          <w:rFonts w:ascii="Arial" w:hAnsi="Arial" w:cs="Arial"/>
          <w:sz w:val="28"/>
          <w:szCs w:val="28"/>
          <w:lang w:val="en-US"/>
        </w:rPr>
        <w:t>taxi driver</w:t>
      </w:r>
      <w:r>
        <w:rPr>
          <w:rFonts w:ascii="Arial" w:hAnsi="Arial" w:cs="Arial"/>
          <w:sz w:val="28"/>
          <w:szCs w:val="28"/>
          <w:lang w:val="en-US"/>
        </w:rPr>
        <w:t>.</w:t>
      </w:r>
    </w:p>
    <w:p w14:paraId="6E4E23D4" w14:textId="77777777" w:rsid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In relation to his health he states that the </w:t>
      </w:r>
      <w:r w:rsidR="0095306F" w:rsidRPr="00F203CC">
        <w:rPr>
          <w:rFonts w:ascii="Arial" w:hAnsi="Arial" w:cs="Arial"/>
          <w:sz w:val="28"/>
          <w:szCs w:val="28"/>
          <w:lang w:val="en-US"/>
        </w:rPr>
        <w:t xml:space="preserve">correctional facility </w:t>
      </w:r>
      <w:r>
        <w:rPr>
          <w:rFonts w:ascii="Arial" w:hAnsi="Arial" w:cs="Arial"/>
          <w:sz w:val="28"/>
          <w:szCs w:val="28"/>
          <w:lang w:val="en-US"/>
        </w:rPr>
        <w:t xml:space="preserve">does </w:t>
      </w:r>
      <w:r w:rsidR="0095306F" w:rsidRPr="00F203CC">
        <w:rPr>
          <w:rFonts w:ascii="Arial" w:hAnsi="Arial" w:cs="Arial"/>
          <w:sz w:val="28"/>
          <w:szCs w:val="28"/>
          <w:lang w:val="en-US"/>
        </w:rPr>
        <w:t xml:space="preserve">not provided </w:t>
      </w:r>
      <w:r>
        <w:rPr>
          <w:rFonts w:ascii="Arial" w:hAnsi="Arial" w:cs="Arial"/>
          <w:sz w:val="28"/>
          <w:szCs w:val="28"/>
          <w:lang w:val="en-US"/>
        </w:rPr>
        <w:t xml:space="preserve">him </w:t>
      </w:r>
      <w:r w:rsidR="0095306F" w:rsidRPr="00F203CC">
        <w:rPr>
          <w:rFonts w:ascii="Arial" w:hAnsi="Arial" w:cs="Arial"/>
          <w:sz w:val="28"/>
          <w:szCs w:val="28"/>
          <w:lang w:val="en-US"/>
        </w:rPr>
        <w:t>with any vaccine to date</w:t>
      </w:r>
      <w:r>
        <w:rPr>
          <w:rFonts w:ascii="Arial" w:hAnsi="Arial" w:cs="Arial"/>
          <w:sz w:val="28"/>
          <w:szCs w:val="28"/>
          <w:lang w:val="en-US"/>
        </w:rPr>
        <w:t>.</w:t>
      </w:r>
    </w:p>
    <w:p w14:paraId="46C17207" w14:textId="77777777" w:rsidR="00F203CC" w:rsidRP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He was a</w:t>
      </w:r>
      <w:proofErr w:type="spellStart"/>
      <w:r w:rsidRPr="00F203CC">
        <w:rPr>
          <w:rFonts w:ascii="Arial" w:hAnsi="Arial" w:cs="Arial"/>
          <w:sz w:val="28"/>
          <w:szCs w:val="28"/>
          <w:lang w:val="en-US"/>
        </w:rPr>
        <w:t>rrested</w:t>
      </w:r>
      <w:proofErr w:type="spellEnd"/>
      <w:r w:rsidRPr="00F203CC">
        <w:rPr>
          <w:rFonts w:ascii="Arial" w:hAnsi="Arial" w:cs="Arial"/>
          <w:sz w:val="28"/>
          <w:szCs w:val="28"/>
          <w:lang w:val="en-US"/>
        </w:rPr>
        <w:t xml:space="preserve"> on 23 March 2022 at </w:t>
      </w:r>
      <w:proofErr w:type="spellStart"/>
      <w:r w:rsidRPr="00F203CC">
        <w:rPr>
          <w:rFonts w:ascii="Arial" w:hAnsi="Arial" w:cs="Arial"/>
          <w:sz w:val="28"/>
          <w:szCs w:val="28"/>
          <w:lang w:val="en-US"/>
        </w:rPr>
        <w:t>Nyamankasi</w:t>
      </w:r>
      <w:proofErr w:type="spellEnd"/>
      <w:r w:rsidRPr="00F203CC">
        <w:rPr>
          <w:rFonts w:ascii="Arial" w:hAnsi="Arial" w:cs="Arial"/>
          <w:sz w:val="28"/>
          <w:szCs w:val="28"/>
          <w:lang w:val="en-US"/>
        </w:rPr>
        <w:t xml:space="preserve"> stand, </w:t>
      </w:r>
      <w:r>
        <w:rPr>
          <w:rFonts w:ascii="Arial" w:hAnsi="Arial" w:cs="Arial"/>
          <w:sz w:val="28"/>
          <w:szCs w:val="28"/>
          <w:lang w:val="en-US"/>
        </w:rPr>
        <w:t>where he</w:t>
      </w:r>
      <w:r w:rsidRPr="00F203CC">
        <w:rPr>
          <w:rFonts w:ascii="Arial" w:hAnsi="Arial" w:cs="Arial"/>
          <w:sz w:val="28"/>
          <w:szCs w:val="28"/>
          <w:lang w:val="en-US"/>
        </w:rPr>
        <w:t xml:space="preserve"> was renting a room, </w:t>
      </w:r>
      <w:r>
        <w:rPr>
          <w:rFonts w:ascii="Arial" w:hAnsi="Arial" w:cs="Arial"/>
          <w:sz w:val="28"/>
          <w:szCs w:val="28"/>
          <w:lang w:val="en-US"/>
        </w:rPr>
        <w:t xml:space="preserve">and </w:t>
      </w:r>
      <w:r w:rsidRPr="00F203CC">
        <w:rPr>
          <w:rFonts w:ascii="Arial" w:hAnsi="Arial" w:cs="Arial"/>
          <w:sz w:val="28"/>
          <w:szCs w:val="28"/>
          <w:lang w:val="en-US"/>
        </w:rPr>
        <w:t>initia</w:t>
      </w:r>
      <w:r>
        <w:rPr>
          <w:rFonts w:ascii="Arial" w:hAnsi="Arial" w:cs="Arial"/>
          <w:sz w:val="28"/>
          <w:szCs w:val="28"/>
          <w:lang w:val="en-US"/>
        </w:rPr>
        <w:t>l</w:t>
      </w:r>
      <w:r w:rsidRPr="00F203CC">
        <w:rPr>
          <w:rFonts w:ascii="Arial" w:hAnsi="Arial" w:cs="Arial"/>
          <w:sz w:val="28"/>
          <w:szCs w:val="28"/>
          <w:lang w:val="en-US"/>
        </w:rPr>
        <w:t xml:space="preserve">ly charged for possession of </w:t>
      </w:r>
      <w:r>
        <w:rPr>
          <w:rFonts w:ascii="Arial" w:hAnsi="Arial" w:cs="Arial"/>
          <w:sz w:val="28"/>
          <w:szCs w:val="28"/>
          <w:lang w:val="en-US"/>
        </w:rPr>
        <w:t xml:space="preserve">a firearm without a </w:t>
      </w:r>
      <w:r w:rsidRPr="00F203CC">
        <w:rPr>
          <w:rFonts w:ascii="Arial" w:hAnsi="Arial" w:cs="Arial"/>
          <w:sz w:val="28"/>
          <w:szCs w:val="28"/>
          <w:lang w:val="en-US"/>
        </w:rPr>
        <w:t>li</w:t>
      </w:r>
      <w:r>
        <w:rPr>
          <w:rFonts w:ascii="Arial" w:hAnsi="Arial" w:cs="Arial"/>
          <w:sz w:val="28"/>
          <w:szCs w:val="28"/>
          <w:lang w:val="en-US"/>
        </w:rPr>
        <w:t>cens</w:t>
      </w:r>
      <w:r w:rsidRPr="00F203CC">
        <w:rPr>
          <w:rFonts w:ascii="Arial" w:hAnsi="Arial" w:cs="Arial"/>
          <w:sz w:val="28"/>
          <w:szCs w:val="28"/>
          <w:lang w:val="en-US"/>
        </w:rPr>
        <w:t>e</w:t>
      </w:r>
      <w:r>
        <w:rPr>
          <w:rFonts w:ascii="Arial" w:hAnsi="Arial" w:cs="Arial"/>
          <w:sz w:val="28"/>
          <w:szCs w:val="28"/>
          <w:lang w:val="en-US"/>
        </w:rPr>
        <w:t xml:space="preserve">.  Murder was later </w:t>
      </w:r>
      <w:r>
        <w:rPr>
          <w:rFonts w:ascii="Arial" w:hAnsi="Arial" w:cs="Arial"/>
          <w:sz w:val="28"/>
          <w:szCs w:val="28"/>
          <w:lang w:val="en-US"/>
        </w:rPr>
        <w:lastRenderedPageBreak/>
        <w:t>added to the charges.</w:t>
      </w:r>
    </w:p>
    <w:p w14:paraId="064053AF" w14:textId="77777777" w:rsid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He is advised, which advice he accepts, that he need not deal with the merits of the charges levelled against him and he is not going to disclose his defence in terms of his rights.</w:t>
      </w:r>
    </w:p>
    <w:p w14:paraId="6CD70B95" w14:textId="77777777" w:rsid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At the onset of the hearing, he intends to plead not guilty and reserve his right to silence.</w:t>
      </w:r>
    </w:p>
    <w:p w14:paraId="10E43703" w14:textId="77777777" w:rsid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To his mind he has a cast iron defence as an alibi defence and there was no identification parade held that links him to the crimes.</w:t>
      </w:r>
    </w:p>
    <w:p w14:paraId="1E1F2683" w14:textId="77777777" w:rsid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Whilst he is detained, he is suffering harm in that his property is getting vandalised.</w:t>
      </w:r>
    </w:p>
    <w:p w14:paraId="2C1540D0" w14:textId="77777777" w:rsidR="004D70FD" w:rsidRDefault="004D70FD"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His aunt is present in court and can vouch for his request for bail.</w:t>
      </w:r>
    </w:p>
    <w:p w14:paraId="46644181" w14:textId="77777777" w:rsid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He has participated in the investigation and he investigation is finalised.  There is thus no prospect that he can interfere with the investigation and the witnesses.</w:t>
      </w:r>
    </w:p>
    <w:p w14:paraId="0F31D8D1" w14:textId="77777777" w:rsidR="00F203CC" w:rsidRDefault="00F203CC" w:rsidP="00F203CC">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He is prejudiced in his preparation for his case in that the legal representative cannot bring all the legal documents that he wishes to use at trial, to the jail to consult.  His legal representative cannot have access to his computer which hampers the preparation of his defence in the criminal trial.</w:t>
      </w:r>
    </w:p>
    <w:p w14:paraId="0657936F"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sidRPr="004D70FD">
        <w:rPr>
          <w:rFonts w:ascii="Arial" w:hAnsi="Arial" w:cs="Arial"/>
          <w:sz w:val="28"/>
          <w:szCs w:val="28"/>
        </w:rPr>
        <w:t>He can afford</w:t>
      </w:r>
      <w:r>
        <w:rPr>
          <w:rFonts w:ascii="Arial" w:hAnsi="Arial" w:cs="Arial"/>
          <w:sz w:val="28"/>
          <w:szCs w:val="28"/>
        </w:rPr>
        <w:t xml:space="preserve"> the amount of</w:t>
      </w:r>
      <w:r w:rsidRPr="004D70FD">
        <w:rPr>
          <w:rFonts w:ascii="Arial" w:hAnsi="Arial" w:cs="Arial"/>
          <w:sz w:val="28"/>
          <w:szCs w:val="28"/>
        </w:rPr>
        <w:t xml:space="preserve"> </w:t>
      </w:r>
      <w:r w:rsidRPr="004D70FD">
        <w:rPr>
          <w:rFonts w:ascii="Arial" w:hAnsi="Arial" w:cs="Arial"/>
          <w:sz w:val="28"/>
          <w:szCs w:val="28"/>
          <w:lang w:val="en-US"/>
        </w:rPr>
        <w:t xml:space="preserve">R2,000 </w:t>
      </w:r>
      <w:r>
        <w:rPr>
          <w:rFonts w:ascii="Arial" w:hAnsi="Arial" w:cs="Arial"/>
          <w:sz w:val="28"/>
          <w:szCs w:val="28"/>
          <w:lang w:val="en-US"/>
        </w:rPr>
        <w:t>for bail.</w:t>
      </w:r>
    </w:p>
    <w:p w14:paraId="68BFC411"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lastRenderedPageBreak/>
        <w:t>He c</w:t>
      </w:r>
      <w:r w:rsidRPr="004D70FD">
        <w:rPr>
          <w:rFonts w:ascii="Arial" w:hAnsi="Arial" w:cs="Arial"/>
          <w:sz w:val="28"/>
          <w:szCs w:val="28"/>
          <w:lang w:val="en-US"/>
        </w:rPr>
        <w:t xml:space="preserve">an report at Soshanguve SAPS near </w:t>
      </w:r>
      <w:r>
        <w:rPr>
          <w:rFonts w:ascii="Arial" w:hAnsi="Arial" w:cs="Arial"/>
          <w:sz w:val="28"/>
          <w:szCs w:val="28"/>
          <w:lang w:val="en-US"/>
        </w:rPr>
        <w:t xml:space="preserve">his </w:t>
      </w:r>
      <w:r w:rsidRPr="004D70FD">
        <w:rPr>
          <w:rFonts w:ascii="Arial" w:hAnsi="Arial" w:cs="Arial"/>
          <w:sz w:val="28"/>
          <w:szCs w:val="28"/>
          <w:lang w:val="en-US"/>
        </w:rPr>
        <w:t xml:space="preserve">family house </w:t>
      </w:r>
      <w:r>
        <w:rPr>
          <w:rFonts w:ascii="Arial" w:hAnsi="Arial" w:cs="Arial"/>
          <w:sz w:val="28"/>
          <w:szCs w:val="28"/>
          <w:lang w:val="en-US"/>
        </w:rPr>
        <w:t xml:space="preserve">which is a </w:t>
      </w:r>
      <w:r w:rsidRPr="004D70FD">
        <w:rPr>
          <w:rFonts w:ascii="Arial" w:hAnsi="Arial" w:cs="Arial"/>
          <w:sz w:val="28"/>
          <w:szCs w:val="28"/>
          <w:lang w:val="en-US"/>
        </w:rPr>
        <w:t>fixed address</w:t>
      </w:r>
      <w:r>
        <w:rPr>
          <w:rFonts w:ascii="Arial" w:hAnsi="Arial" w:cs="Arial"/>
          <w:sz w:val="28"/>
          <w:szCs w:val="28"/>
          <w:lang w:val="en-US"/>
        </w:rPr>
        <w:t>.</w:t>
      </w:r>
    </w:p>
    <w:p w14:paraId="1FD1A99A" w14:textId="77777777" w:rsidR="004D70FD" w:rsidRDefault="004D70FD" w:rsidP="004D70FD">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In relation to the second accused applying for bail, the following information is provided in the statement presented in support of bail.</w:t>
      </w:r>
    </w:p>
    <w:p w14:paraId="4964423A" w14:textId="77777777" w:rsidR="004D70FD" w:rsidRDefault="004D70FD" w:rsidP="004D70FD">
      <w:pPr>
        <w:pStyle w:val="ListParagraph"/>
        <w:rPr>
          <w:rFonts w:ascii="Arial" w:hAnsi="Arial" w:cs="Arial"/>
          <w:sz w:val="28"/>
          <w:szCs w:val="28"/>
        </w:rPr>
      </w:pPr>
    </w:p>
    <w:p w14:paraId="264D7746" w14:textId="77777777" w:rsid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He has n</w:t>
      </w:r>
      <w:r w:rsidRPr="004D70FD">
        <w:rPr>
          <w:rFonts w:ascii="Arial" w:hAnsi="Arial" w:cs="Arial"/>
          <w:sz w:val="28"/>
          <w:szCs w:val="28"/>
          <w:lang w:val="en-US"/>
        </w:rPr>
        <w:t xml:space="preserve">o </w:t>
      </w:r>
      <w:r>
        <w:rPr>
          <w:rFonts w:ascii="Arial" w:hAnsi="Arial" w:cs="Arial"/>
          <w:sz w:val="28"/>
          <w:szCs w:val="28"/>
          <w:lang w:val="en-US"/>
        </w:rPr>
        <w:t xml:space="preserve">previous </w:t>
      </w:r>
      <w:r w:rsidRPr="004D70FD">
        <w:rPr>
          <w:rFonts w:ascii="Arial" w:hAnsi="Arial" w:cs="Arial"/>
          <w:sz w:val="28"/>
          <w:szCs w:val="28"/>
          <w:lang w:val="en-US"/>
        </w:rPr>
        <w:t>convictions no investigations except current matter</w:t>
      </w:r>
      <w:r>
        <w:rPr>
          <w:rFonts w:ascii="Arial" w:hAnsi="Arial" w:cs="Arial"/>
          <w:sz w:val="28"/>
          <w:szCs w:val="28"/>
        </w:rPr>
        <w:t>.</w:t>
      </w:r>
    </w:p>
    <w:p w14:paraId="04E587DC"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It will be in the interest </w:t>
      </w:r>
      <w:r w:rsidRPr="004D70FD">
        <w:rPr>
          <w:rFonts w:ascii="Arial" w:hAnsi="Arial" w:cs="Arial"/>
          <w:sz w:val="28"/>
          <w:szCs w:val="28"/>
          <w:lang w:val="en-US"/>
        </w:rPr>
        <w:t>of justice</w:t>
      </w:r>
      <w:r>
        <w:rPr>
          <w:rFonts w:ascii="Arial" w:hAnsi="Arial" w:cs="Arial"/>
          <w:sz w:val="28"/>
          <w:szCs w:val="28"/>
          <w:lang w:val="en-US"/>
        </w:rPr>
        <w:t xml:space="preserve"> to be released on bail</w:t>
      </w:r>
      <w:r w:rsidRPr="004D70FD">
        <w:rPr>
          <w:rFonts w:ascii="Arial" w:hAnsi="Arial" w:cs="Arial"/>
          <w:sz w:val="28"/>
          <w:szCs w:val="28"/>
          <w:lang w:val="en-US"/>
        </w:rPr>
        <w:t>.</w:t>
      </w:r>
    </w:p>
    <w:p w14:paraId="7499A4B6"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He was arrested </w:t>
      </w:r>
      <w:r w:rsidRPr="004D70FD">
        <w:rPr>
          <w:rFonts w:ascii="Arial" w:hAnsi="Arial" w:cs="Arial"/>
          <w:sz w:val="28"/>
          <w:szCs w:val="28"/>
          <w:lang w:val="en-US"/>
        </w:rPr>
        <w:t xml:space="preserve">on 23 March 2022 around 6am in </w:t>
      </w:r>
      <w:proofErr w:type="spellStart"/>
      <w:r w:rsidRPr="004D70FD">
        <w:rPr>
          <w:rFonts w:ascii="Arial" w:hAnsi="Arial" w:cs="Arial"/>
          <w:sz w:val="28"/>
          <w:szCs w:val="28"/>
          <w:lang w:val="en-US"/>
        </w:rPr>
        <w:t>GaRankuwa</w:t>
      </w:r>
      <w:proofErr w:type="spellEnd"/>
      <w:r w:rsidRPr="004D70FD">
        <w:rPr>
          <w:rFonts w:ascii="Arial" w:hAnsi="Arial" w:cs="Arial"/>
          <w:sz w:val="28"/>
          <w:szCs w:val="28"/>
          <w:lang w:val="en-US"/>
        </w:rPr>
        <w:t xml:space="preserve"> where</w:t>
      </w:r>
      <w:r>
        <w:rPr>
          <w:rFonts w:ascii="Arial" w:hAnsi="Arial" w:cs="Arial"/>
          <w:sz w:val="28"/>
          <w:szCs w:val="28"/>
          <w:lang w:val="en-US"/>
        </w:rPr>
        <w:t xml:space="preserve"> he</w:t>
      </w:r>
      <w:r w:rsidRPr="004D70FD">
        <w:rPr>
          <w:rFonts w:ascii="Arial" w:hAnsi="Arial" w:cs="Arial"/>
          <w:sz w:val="28"/>
          <w:szCs w:val="28"/>
          <w:lang w:val="en-US"/>
        </w:rPr>
        <w:t xml:space="preserve"> was renting a room</w:t>
      </w:r>
      <w:r>
        <w:rPr>
          <w:rFonts w:ascii="Arial" w:hAnsi="Arial" w:cs="Arial"/>
          <w:sz w:val="28"/>
          <w:szCs w:val="28"/>
          <w:lang w:val="en-US"/>
        </w:rPr>
        <w:t>, next to accused 1</w:t>
      </w:r>
      <w:r w:rsidRPr="004D70FD">
        <w:rPr>
          <w:rFonts w:ascii="Arial" w:hAnsi="Arial" w:cs="Arial"/>
          <w:sz w:val="28"/>
          <w:szCs w:val="28"/>
          <w:lang w:val="en-US"/>
        </w:rPr>
        <w:t>.</w:t>
      </w:r>
    </w:p>
    <w:p w14:paraId="4550D73F"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sidRPr="004D70FD">
        <w:rPr>
          <w:rFonts w:ascii="Arial" w:hAnsi="Arial" w:cs="Arial"/>
          <w:sz w:val="28"/>
          <w:szCs w:val="28"/>
          <w:lang w:val="en-US"/>
        </w:rPr>
        <w:t xml:space="preserve"> </w:t>
      </w:r>
      <w:r>
        <w:rPr>
          <w:rFonts w:ascii="Arial" w:hAnsi="Arial" w:cs="Arial"/>
          <w:sz w:val="28"/>
          <w:szCs w:val="28"/>
        </w:rPr>
        <w:t>He was</w:t>
      </w:r>
      <w:r w:rsidRPr="004D70FD">
        <w:rPr>
          <w:rFonts w:ascii="Arial" w:hAnsi="Arial" w:cs="Arial"/>
          <w:sz w:val="28"/>
          <w:szCs w:val="28"/>
          <w:lang w:val="en-US"/>
        </w:rPr>
        <w:t xml:space="preserve"> charged</w:t>
      </w:r>
      <w:r>
        <w:rPr>
          <w:rFonts w:ascii="Arial" w:hAnsi="Arial" w:cs="Arial"/>
          <w:sz w:val="28"/>
          <w:szCs w:val="28"/>
          <w:lang w:val="en-US"/>
        </w:rPr>
        <w:t xml:space="preserve"> and made </w:t>
      </w:r>
      <w:r w:rsidRPr="004D70FD">
        <w:rPr>
          <w:rFonts w:ascii="Arial" w:hAnsi="Arial" w:cs="Arial"/>
          <w:sz w:val="28"/>
          <w:szCs w:val="28"/>
          <w:lang w:val="en-US"/>
        </w:rPr>
        <w:t>appearance</w:t>
      </w:r>
      <w:r>
        <w:rPr>
          <w:rFonts w:ascii="Arial" w:hAnsi="Arial" w:cs="Arial"/>
          <w:sz w:val="28"/>
          <w:szCs w:val="28"/>
          <w:lang w:val="en-US"/>
        </w:rPr>
        <w:t>s</w:t>
      </w:r>
      <w:r w:rsidRPr="004D70FD">
        <w:rPr>
          <w:rFonts w:ascii="Arial" w:hAnsi="Arial" w:cs="Arial"/>
          <w:sz w:val="28"/>
          <w:szCs w:val="28"/>
          <w:lang w:val="en-US"/>
        </w:rPr>
        <w:t xml:space="preserve"> at Ga-Rankuwa</w:t>
      </w:r>
      <w:r>
        <w:rPr>
          <w:rFonts w:ascii="Arial" w:hAnsi="Arial" w:cs="Arial"/>
          <w:sz w:val="28"/>
          <w:szCs w:val="28"/>
          <w:lang w:val="en-US"/>
        </w:rPr>
        <w:t xml:space="preserve"> Court.</w:t>
      </w:r>
    </w:p>
    <w:p w14:paraId="495E72EA"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He has been in custody since the day of his arrest.</w:t>
      </w:r>
    </w:p>
    <w:p w14:paraId="476B4B7B"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He has r</w:t>
      </w:r>
      <w:r w:rsidRPr="004D70FD">
        <w:rPr>
          <w:rFonts w:ascii="Arial" w:hAnsi="Arial" w:cs="Arial"/>
          <w:sz w:val="28"/>
          <w:szCs w:val="28"/>
          <w:lang w:val="en-US"/>
        </w:rPr>
        <w:t xml:space="preserve">esided at </w:t>
      </w:r>
      <w:r>
        <w:rPr>
          <w:rFonts w:ascii="Arial" w:hAnsi="Arial" w:cs="Arial"/>
          <w:sz w:val="28"/>
          <w:szCs w:val="28"/>
          <w:lang w:val="en-US"/>
        </w:rPr>
        <w:t xml:space="preserve">his </w:t>
      </w:r>
      <w:r w:rsidRPr="004D70FD">
        <w:rPr>
          <w:rFonts w:ascii="Arial" w:hAnsi="Arial" w:cs="Arial"/>
          <w:sz w:val="28"/>
          <w:szCs w:val="28"/>
          <w:lang w:val="en-US"/>
        </w:rPr>
        <w:t xml:space="preserve">address for 2 years with </w:t>
      </w:r>
      <w:r>
        <w:rPr>
          <w:rFonts w:ascii="Arial" w:hAnsi="Arial" w:cs="Arial"/>
          <w:sz w:val="28"/>
          <w:szCs w:val="28"/>
          <w:lang w:val="en-US"/>
        </w:rPr>
        <w:t xml:space="preserve">his </w:t>
      </w:r>
      <w:r w:rsidRPr="004D70FD">
        <w:rPr>
          <w:rFonts w:ascii="Arial" w:hAnsi="Arial" w:cs="Arial"/>
          <w:sz w:val="28"/>
          <w:szCs w:val="28"/>
          <w:lang w:val="en-US"/>
        </w:rPr>
        <w:t>partner</w:t>
      </w:r>
      <w:r>
        <w:rPr>
          <w:rFonts w:ascii="Arial" w:hAnsi="Arial" w:cs="Arial"/>
          <w:sz w:val="28"/>
          <w:szCs w:val="28"/>
          <w:lang w:val="en-US"/>
        </w:rPr>
        <w:t>.</w:t>
      </w:r>
    </w:p>
    <w:p w14:paraId="7A3B8AAB"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sidRPr="004D70FD">
        <w:rPr>
          <w:rFonts w:ascii="Arial" w:hAnsi="Arial" w:cs="Arial"/>
          <w:sz w:val="28"/>
          <w:szCs w:val="28"/>
          <w:lang w:val="en-US"/>
        </w:rPr>
        <w:t xml:space="preserve">Partner has advised </w:t>
      </w:r>
      <w:r>
        <w:rPr>
          <w:rFonts w:ascii="Arial" w:hAnsi="Arial" w:cs="Arial"/>
          <w:sz w:val="28"/>
          <w:szCs w:val="28"/>
          <w:lang w:val="en-US"/>
        </w:rPr>
        <w:t xml:space="preserve">him </w:t>
      </w:r>
      <w:r w:rsidRPr="004D70FD">
        <w:rPr>
          <w:rFonts w:ascii="Arial" w:hAnsi="Arial" w:cs="Arial"/>
          <w:sz w:val="28"/>
          <w:szCs w:val="28"/>
          <w:lang w:val="en-US"/>
        </w:rPr>
        <w:t>that she has moved due to financial difficulties</w:t>
      </w:r>
      <w:r>
        <w:rPr>
          <w:rFonts w:ascii="Arial" w:hAnsi="Arial" w:cs="Arial"/>
          <w:sz w:val="28"/>
          <w:szCs w:val="28"/>
          <w:lang w:val="en-US"/>
        </w:rPr>
        <w:t>.</w:t>
      </w:r>
    </w:p>
    <w:p w14:paraId="5943ABEB"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If released on bail he </w:t>
      </w:r>
      <w:r w:rsidRPr="004D70FD">
        <w:rPr>
          <w:rFonts w:ascii="Arial" w:hAnsi="Arial" w:cs="Arial"/>
          <w:sz w:val="28"/>
          <w:szCs w:val="28"/>
          <w:lang w:val="en-US"/>
        </w:rPr>
        <w:t xml:space="preserve">will reside with </w:t>
      </w:r>
      <w:r>
        <w:rPr>
          <w:rFonts w:ascii="Arial" w:hAnsi="Arial" w:cs="Arial"/>
          <w:sz w:val="28"/>
          <w:szCs w:val="28"/>
          <w:lang w:val="en-US"/>
        </w:rPr>
        <w:t>his family.</w:t>
      </w:r>
    </w:p>
    <w:p w14:paraId="1427427F"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 xml:space="preserve">He has no travel documents such as a passport and has never travelled abroad. </w:t>
      </w:r>
    </w:p>
    <w:p w14:paraId="412EB9BC" w14:textId="406DC1F1"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He owns a house</w:t>
      </w:r>
      <w:r>
        <w:rPr>
          <w:rFonts w:ascii="Arial" w:hAnsi="Arial" w:cs="Arial"/>
          <w:sz w:val="28"/>
          <w:szCs w:val="28"/>
        </w:rPr>
        <w:t xml:space="preserve"> </w:t>
      </w:r>
      <w:r w:rsidRPr="004D70FD">
        <w:rPr>
          <w:rFonts w:ascii="Arial" w:hAnsi="Arial" w:cs="Arial"/>
          <w:sz w:val="28"/>
          <w:szCs w:val="28"/>
          <w:lang w:val="en-US"/>
        </w:rPr>
        <w:t xml:space="preserve">at </w:t>
      </w:r>
      <w:r w:rsidR="00054DBB">
        <w:rPr>
          <w:rFonts w:ascii="Arial" w:hAnsi="Arial" w:cs="Arial"/>
          <w:sz w:val="28"/>
          <w:szCs w:val="28"/>
          <w:lang w:val="en-US"/>
        </w:rPr>
        <w:t>[…]</w:t>
      </w:r>
      <w:r w:rsidRPr="004D70FD">
        <w:rPr>
          <w:rFonts w:ascii="Arial" w:hAnsi="Arial" w:cs="Arial"/>
          <w:sz w:val="28"/>
          <w:szCs w:val="28"/>
          <w:lang w:val="en-US"/>
        </w:rPr>
        <w:t xml:space="preserve"> </w:t>
      </w:r>
      <w:proofErr w:type="spellStart"/>
      <w:r w:rsidRPr="004D70FD">
        <w:rPr>
          <w:rFonts w:ascii="Arial" w:hAnsi="Arial" w:cs="Arial"/>
          <w:sz w:val="28"/>
          <w:szCs w:val="28"/>
          <w:lang w:val="en-US"/>
        </w:rPr>
        <w:t>Soshanguve</w:t>
      </w:r>
      <w:proofErr w:type="spellEnd"/>
      <w:r w:rsidRPr="004D70FD">
        <w:rPr>
          <w:rFonts w:ascii="Arial" w:hAnsi="Arial" w:cs="Arial"/>
          <w:sz w:val="28"/>
          <w:szCs w:val="28"/>
          <w:lang w:val="en-US"/>
        </w:rPr>
        <w:t xml:space="preserve"> </w:t>
      </w:r>
      <w:r>
        <w:rPr>
          <w:rFonts w:ascii="Arial" w:hAnsi="Arial" w:cs="Arial"/>
          <w:sz w:val="28"/>
          <w:szCs w:val="28"/>
          <w:lang w:val="en-US"/>
        </w:rPr>
        <w:t xml:space="preserve">to the value of </w:t>
      </w:r>
      <w:r w:rsidRPr="004D70FD">
        <w:rPr>
          <w:rFonts w:ascii="Arial" w:hAnsi="Arial" w:cs="Arial"/>
          <w:sz w:val="28"/>
          <w:szCs w:val="28"/>
          <w:lang w:val="en-US"/>
        </w:rPr>
        <w:t xml:space="preserve">R500k, </w:t>
      </w:r>
      <w:r>
        <w:rPr>
          <w:rFonts w:ascii="Arial" w:hAnsi="Arial" w:cs="Arial"/>
          <w:sz w:val="28"/>
          <w:szCs w:val="28"/>
          <w:lang w:val="en-US"/>
        </w:rPr>
        <w:t xml:space="preserve">and </w:t>
      </w:r>
      <w:r w:rsidRPr="004D70FD">
        <w:rPr>
          <w:rFonts w:ascii="Arial" w:hAnsi="Arial" w:cs="Arial"/>
          <w:sz w:val="28"/>
          <w:szCs w:val="28"/>
          <w:lang w:val="en-US"/>
        </w:rPr>
        <w:t xml:space="preserve">prior to </w:t>
      </w:r>
      <w:r>
        <w:rPr>
          <w:rFonts w:ascii="Arial" w:hAnsi="Arial" w:cs="Arial"/>
          <w:sz w:val="28"/>
          <w:szCs w:val="28"/>
          <w:lang w:val="en-US"/>
        </w:rPr>
        <w:t>his arrest he</w:t>
      </w:r>
      <w:r w:rsidRPr="004D70FD">
        <w:rPr>
          <w:rFonts w:ascii="Arial" w:hAnsi="Arial" w:cs="Arial"/>
          <w:sz w:val="28"/>
          <w:szCs w:val="28"/>
          <w:lang w:val="en-US"/>
        </w:rPr>
        <w:t xml:space="preserve"> was busy building </w:t>
      </w:r>
      <w:r>
        <w:rPr>
          <w:rFonts w:ascii="Arial" w:hAnsi="Arial" w:cs="Arial"/>
          <w:sz w:val="28"/>
          <w:szCs w:val="28"/>
          <w:lang w:val="en-US"/>
        </w:rPr>
        <w:t>the</w:t>
      </w:r>
      <w:r w:rsidRPr="004D70FD">
        <w:rPr>
          <w:rFonts w:ascii="Arial" w:hAnsi="Arial" w:cs="Arial"/>
          <w:sz w:val="28"/>
          <w:szCs w:val="28"/>
          <w:lang w:val="en-US"/>
        </w:rPr>
        <w:t xml:space="preserve"> house</w:t>
      </w:r>
      <w:r>
        <w:rPr>
          <w:rFonts w:ascii="Arial" w:hAnsi="Arial" w:cs="Arial"/>
          <w:sz w:val="28"/>
          <w:szCs w:val="28"/>
          <w:lang w:val="en-US"/>
        </w:rPr>
        <w:t>.</w:t>
      </w:r>
    </w:p>
    <w:p w14:paraId="38983298"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 xml:space="preserve">He has </w:t>
      </w:r>
      <w:r w:rsidRPr="004D70FD">
        <w:rPr>
          <w:rFonts w:ascii="Arial" w:hAnsi="Arial" w:cs="Arial"/>
          <w:sz w:val="28"/>
          <w:szCs w:val="28"/>
          <w:lang w:val="en-US"/>
        </w:rPr>
        <w:t xml:space="preserve">household affects and jewelry </w:t>
      </w:r>
      <w:r>
        <w:rPr>
          <w:rFonts w:ascii="Arial" w:hAnsi="Arial" w:cs="Arial"/>
          <w:sz w:val="28"/>
          <w:szCs w:val="28"/>
          <w:lang w:val="en-US"/>
        </w:rPr>
        <w:t xml:space="preserve">valued at </w:t>
      </w:r>
      <w:r w:rsidRPr="004D70FD">
        <w:rPr>
          <w:rFonts w:ascii="Arial" w:hAnsi="Arial" w:cs="Arial"/>
          <w:sz w:val="28"/>
          <w:szCs w:val="28"/>
          <w:lang w:val="en-US"/>
        </w:rPr>
        <w:t xml:space="preserve">R200k and </w:t>
      </w:r>
      <w:r>
        <w:rPr>
          <w:rFonts w:ascii="Arial" w:hAnsi="Arial" w:cs="Arial"/>
          <w:sz w:val="28"/>
          <w:szCs w:val="28"/>
          <w:lang w:val="en-US"/>
        </w:rPr>
        <w:t>he</w:t>
      </w:r>
      <w:r w:rsidRPr="004D70FD">
        <w:rPr>
          <w:rFonts w:ascii="Arial" w:hAnsi="Arial" w:cs="Arial"/>
          <w:sz w:val="28"/>
          <w:szCs w:val="28"/>
          <w:lang w:val="en-US"/>
        </w:rPr>
        <w:t xml:space="preserve"> </w:t>
      </w:r>
      <w:r w:rsidRPr="004D70FD">
        <w:rPr>
          <w:rFonts w:ascii="Arial" w:hAnsi="Arial" w:cs="Arial"/>
          <w:sz w:val="28"/>
          <w:szCs w:val="28"/>
          <w:lang w:val="en-US"/>
        </w:rPr>
        <w:lastRenderedPageBreak/>
        <w:t>ha</w:t>
      </w:r>
      <w:r>
        <w:rPr>
          <w:rFonts w:ascii="Arial" w:hAnsi="Arial" w:cs="Arial"/>
          <w:sz w:val="28"/>
          <w:szCs w:val="28"/>
          <w:lang w:val="en-US"/>
        </w:rPr>
        <w:t>s</w:t>
      </w:r>
      <w:r w:rsidRPr="004D70FD">
        <w:rPr>
          <w:rFonts w:ascii="Arial" w:hAnsi="Arial" w:cs="Arial"/>
          <w:sz w:val="28"/>
          <w:szCs w:val="28"/>
          <w:lang w:val="en-US"/>
        </w:rPr>
        <w:t xml:space="preserve"> no friends or family outside </w:t>
      </w:r>
      <w:r>
        <w:rPr>
          <w:rFonts w:ascii="Arial" w:hAnsi="Arial" w:cs="Arial"/>
          <w:sz w:val="28"/>
          <w:szCs w:val="28"/>
          <w:lang w:val="en-US"/>
        </w:rPr>
        <w:t xml:space="preserve">the </w:t>
      </w:r>
      <w:r w:rsidRPr="004D70FD">
        <w:rPr>
          <w:rFonts w:ascii="Arial" w:hAnsi="Arial" w:cs="Arial"/>
          <w:sz w:val="28"/>
          <w:szCs w:val="28"/>
          <w:lang w:val="en-US"/>
        </w:rPr>
        <w:t>country</w:t>
      </w:r>
      <w:r>
        <w:rPr>
          <w:rFonts w:ascii="Arial" w:hAnsi="Arial" w:cs="Arial"/>
          <w:sz w:val="28"/>
          <w:szCs w:val="28"/>
          <w:lang w:val="en-US"/>
        </w:rPr>
        <w:t>.</w:t>
      </w:r>
    </w:p>
    <w:p w14:paraId="41D9CE21"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He is not </w:t>
      </w:r>
      <w:r w:rsidRPr="004D70FD">
        <w:rPr>
          <w:rFonts w:ascii="Arial" w:hAnsi="Arial" w:cs="Arial"/>
          <w:sz w:val="28"/>
          <w:szCs w:val="28"/>
          <w:lang w:val="en-US"/>
        </w:rPr>
        <w:t>married</w:t>
      </w:r>
      <w:r>
        <w:rPr>
          <w:rFonts w:ascii="Arial" w:hAnsi="Arial" w:cs="Arial"/>
          <w:sz w:val="28"/>
          <w:szCs w:val="28"/>
        </w:rPr>
        <w:t xml:space="preserve"> and his living </w:t>
      </w:r>
      <w:r w:rsidRPr="004D70FD">
        <w:rPr>
          <w:rFonts w:ascii="Arial" w:hAnsi="Arial" w:cs="Arial"/>
          <w:sz w:val="28"/>
          <w:szCs w:val="28"/>
          <w:lang w:val="en-US"/>
        </w:rPr>
        <w:t>child passed away</w:t>
      </w:r>
      <w:r>
        <w:rPr>
          <w:rFonts w:ascii="Arial" w:hAnsi="Arial" w:cs="Arial"/>
          <w:sz w:val="28"/>
          <w:szCs w:val="28"/>
        </w:rPr>
        <w:t>.  The m</w:t>
      </w:r>
      <w:r w:rsidRPr="004D70FD">
        <w:rPr>
          <w:rFonts w:ascii="Arial" w:hAnsi="Arial" w:cs="Arial"/>
          <w:sz w:val="28"/>
          <w:szCs w:val="28"/>
          <w:lang w:val="en-US"/>
        </w:rPr>
        <w:t xml:space="preserve">other of </w:t>
      </w:r>
      <w:r>
        <w:rPr>
          <w:rFonts w:ascii="Arial" w:hAnsi="Arial" w:cs="Arial"/>
          <w:sz w:val="28"/>
          <w:szCs w:val="28"/>
          <w:lang w:val="en-US"/>
        </w:rPr>
        <w:t xml:space="preserve">an </w:t>
      </w:r>
      <w:r w:rsidRPr="004D70FD">
        <w:rPr>
          <w:rFonts w:ascii="Arial" w:hAnsi="Arial" w:cs="Arial"/>
          <w:sz w:val="28"/>
          <w:szCs w:val="28"/>
          <w:lang w:val="en-US"/>
        </w:rPr>
        <w:t>unborn child was pregnant</w:t>
      </w:r>
      <w:r>
        <w:rPr>
          <w:rFonts w:ascii="Arial" w:hAnsi="Arial" w:cs="Arial"/>
          <w:sz w:val="28"/>
          <w:szCs w:val="28"/>
          <w:lang w:val="en-US"/>
        </w:rPr>
        <w:t xml:space="preserve"> at the stage that he was arrested and he </w:t>
      </w:r>
      <w:r w:rsidRPr="004D70FD">
        <w:rPr>
          <w:rFonts w:ascii="Arial" w:hAnsi="Arial" w:cs="Arial"/>
          <w:sz w:val="28"/>
          <w:szCs w:val="28"/>
          <w:lang w:val="en-US"/>
        </w:rPr>
        <w:t>do</w:t>
      </w:r>
      <w:r>
        <w:rPr>
          <w:rFonts w:ascii="Arial" w:hAnsi="Arial" w:cs="Arial"/>
          <w:sz w:val="28"/>
          <w:szCs w:val="28"/>
          <w:lang w:val="en-US"/>
        </w:rPr>
        <w:t>es</w:t>
      </w:r>
      <w:r w:rsidRPr="004D70FD">
        <w:rPr>
          <w:rFonts w:ascii="Arial" w:hAnsi="Arial" w:cs="Arial"/>
          <w:sz w:val="28"/>
          <w:szCs w:val="28"/>
          <w:lang w:val="en-US"/>
        </w:rPr>
        <w:t xml:space="preserve"> not know if </w:t>
      </w:r>
      <w:r>
        <w:rPr>
          <w:rFonts w:ascii="Arial" w:hAnsi="Arial" w:cs="Arial"/>
          <w:sz w:val="28"/>
          <w:szCs w:val="28"/>
          <w:lang w:val="en-US"/>
        </w:rPr>
        <w:t xml:space="preserve">the child was </w:t>
      </w:r>
      <w:r w:rsidRPr="004D70FD">
        <w:rPr>
          <w:rFonts w:ascii="Arial" w:hAnsi="Arial" w:cs="Arial"/>
          <w:sz w:val="28"/>
          <w:szCs w:val="28"/>
          <w:lang w:val="en-US"/>
        </w:rPr>
        <w:t>born</w:t>
      </w:r>
      <w:r>
        <w:rPr>
          <w:rFonts w:ascii="Arial" w:hAnsi="Arial" w:cs="Arial"/>
          <w:sz w:val="28"/>
          <w:szCs w:val="28"/>
          <w:lang w:val="en-US"/>
        </w:rPr>
        <w:t>.</w:t>
      </w:r>
    </w:p>
    <w:p w14:paraId="5BC5AAD1"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Prior to his arrest he w</w:t>
      </w:r>
      <w:r w:rsidRPr="004D70FD">
        <w:rPr>
          <w:rFonts w:ascii="Arial" w:hAnsi="Arial" w:cs="Arial"/>
          <w:sz w:val="28"/>
          <w:szCs w:val="28"/>
          <w:lang w:val="en-US"/>
        </w:rPr>
        <w:t xml:space="preserve">as self employed as </w:t>
      </w:r>
      <w:r>
        <w:rPr>
          <w:rFonts w:ascii="Arial" w:hAnsi="Arial" w:cs="Arial"/>
          <w:sz w:val="28"/>
          <w:szCs w:val="28"/>
          <w:lang w:val="en-US"/>
        </w:rPr>
        <w:t xml:space="preserve">a certified </w:t>
      </w:r>
      <w:r w:rsidRPr="004D70FD">
        <w:rPr>
          <w:rFonts w:ascii="Arial" w:hAnsi="Arial" w:cs="Arial"/>
          <w:sz w:val="28"/>
          <w:szCs w:val="28"/>
          <w:lang w:val="en-US"/>
        </w:rPr>
        <w:t>herbalist and assisted people with traditional affairs.</w:t>
      </w:r>
    </w:p>
    <w:p w14:paraId="4937042B"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rPr>
        <w:t xml:space="preserve">His health is </w:t>
      </w:r>
      <w:r w:rsidRPr="004D70FD">
        <w:rPr>
          <w:rFonts w:ascii="Arial" w:hAnsi="Arial" w:cs="Arial"/>
          <w:sz w:val="28"/>
          <w:szCs w:val="28"/>
          <w:lang w:val="en-US"/>
        </w:rPr>
        <w:t xml:space="preserve">in good condition but </w:t>
      </w:r>
      <w:r>
        <w:rPr>
          <w:rFonts w:ascii="Arial" w:hAnsi="Arial" w:cs="Arial"/>
          <w:sz w:val="28"/>
          <w:szCs w:val="28"/>
          <w:lang w:val="en-US"/>
        </w:rPr>
        <w:t xml:space="preserve">in the </w:t>
      </w:r>
      <w:r w:rsidRPr="004D70FD">
        <w:rPr>
          <w:rFonts w:ascii="Arial" w:hAnsi="Arial" w:cs="Arial"/>
          <w:sz w:val="28"/>
          <w:szCs w:val="28"/>
          <w:lang w:val="en-US"/>
        </w:rPr>
        <w:t xml:space="preserve">detention facility </w:t>
      </w:r>
      <w:r>
        <w:rPr>
          <w:rFonts w:ascii="Arial" w:hAnsi="Arial" w:cs="Arial"/>
          <w:sz w:val="28"/>
          <w:szCs w:val="28"/>
          <w:lang w:val="en-US"/>
        </w:rPr>
        <w:t xml:space="preserve">he has received </w:t>
      </w:r>
      <w:r w:rsidRPr="004D70FD">
        <w:rPr>
          <w:rFonts w:ascii="Arial" w:hAnsi="Arial" w:cs="Arial"/>
          <w:sz w:val="28"/>
          <w:szCs w:val="28"/>
          <w:lang w:val="en-US"/>
        </w:rPr>
        <w:t>no vaccines to date.</w:t>
      </w:r>
    </w:p>
    <w:p w14:paraId="5EA7C334"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sidRPr="004D70FD">
        <w:rPr>
          <w:rFonts w:ascii="Arial" w:hAnsi="Arial" w:cs="Arial"/>
          <w:sz w:val="28"/>
          <w:szCs w:val="28"/>
          <w:lang w:val="en-US"/>
        </w:rPr>
        <w:t xml:space="preserve">He </w:t>
      </w:r>
      <w:r>
        <w:rPr>
          <w:rFonts w:ascii="Arial" w:hAnsi="Arial" w:cs="Arial"/>
          <w:sz w:val="28"/>
          <w:szCs w:val="28"/>
          <w:lang w:val="en-US"/>
        </w:rPr>
        <w:t>i</w:t>
      </w:r>
      <w:r w:rsidRPr="004D70FD">
        <w:rPr>
          <w:rFonts w:ascii="Arial" w:hAnsi="Arial" w:cs="Arial"/>
          <w:sz w:val="28"/>
          <w:szCs w:val="28"/>
          <w:lang w:val="en-US"/>
        </w:rPr>
        <w:t>ntend</w:t>
      </w:r>
      <w:r>
        <w:rPr>
          <w:rFonts w:ascii="Arial" w:hAnsi="Arial" w:cs="Arial"/>
          <w:sz w:val="28"/>
          <w:szCs w:val="28"/>
          <w:lang w:val="en-US"/>
        </w:rPr>
        <w:t>s to plead</w:t>
      </w:r>
      <w:r w:rsidRPr="004D70FD">
        <w:rPr>
          <w:rFonts w:ascii="Arial" w:hAnsi="Arial" w:cs="Arial"/>
          <w:sz w:val="28"/>
          <w:szCs w:val="28"/>
          <w:lang w:val="en-US"/>
        </w:rPr>
        <w:t xml:space="preserve"> not guilty</w:t>
      </w:r>
      <w:r>
        <w:rPr>
          <w:rFonts w:ascii="Arial" w:hAnsi="Arial" w:cs="Arial"/>
          <w:sz w:val="28"/>
          <w:szCs w:val="28"/>
          <w:lang w:val="en-US"/>
        </w:rPr>
        <w:t xml:space="preserve"> and</w:t>
      </w:r>
      <w:r w:rsidRPr="004D70FD">
        <w:rPr>
          <w:rFonts w:ascii="Arial" w:hAnsi="Arial" w:cs="Arial"/>
          <w:sz w:val="28"/>
          <w:szCs w:val="28"/>
          <w:lang w:val="en-US"/>
        </w:rPr>
        <w:t xml:space="preserve"> reserve </w:t>
      </w:r>
      <w:r>
        <w:rPr>
          <w:rFonts w:ascii="Arial" w:hAnsi="Arial" w:cs="Arial"/>
          <w:sz w:val="28"/>
          <w:szCs w:val="28"/>
          <w:lang w:val="en-US"/>
        </w:rPr>
        <w:t xml:space="preserve">his </w:t>
      </w:r>
      <w:r w:rsidRPr="004D70FD">
        <w:rPr>
          <w:rFonts w:ascii="Arial" w:hAnsi="Arial" w:cs="Arial"/>
          <w:sz w:val="28"/>
          <w:szCs w:val="28"/>
          <w:lang w:val="en-US"/>
        </w:rPr>
        <w:t>righ</w:t>
      </w:r>
      <w:r>
        <w:rPr>
          <w:rFonts w:ascii="Arial" w:hAnsi="Arial" w:cs="Arial"/>
          <w:sz w:val="28"/>
          <w:szCs w:val="28"/>
          <w:lang w:val="en-US"/>
        </w:rPr>
        <w:t>t to remain silent at the trial</w:t>
      </w:r>
      <w:r w:rsidRPr="004D70FD">
        <w:rPr>
          <w:rFonts w:ascii="Arial" w:hAnsi="Arial" w:cs="Arial"/>
          <w:sz w:val="28"/>
          <w:szCs w:val="28"/>
          <w:lang w:val="en-US"/>
        </w:rPr>
        <w:t>.</w:t>
      </w:r>
    </w:p>
    <w:p w14:paraId="64F89D12" w14:textId="77777777" w:rsidR="004D70FD" w:rsidRPr="004D70FD" w:rsidRDefault="004D70FD" w:rsidP="004D70FD">
      <w:pPr>
        <w:widowControl w:val="0"/>
        <w:numPr>
          <w:ilvl w:val="1"/>
          <w:numId w:val="14"/>
        </w:numPr>
        <w:tabs>
          <w:tab w:val="clear" w:pos="851"/>
          <w:tab w:val="num" w:pos="1276"/>
        </w:tabs>
        <w:spacing w:after="0" w:line="480" w:lineRule="auto"/>
        <w:ind w:left="1276" w:hanging="1276"/>
        <w:jc w:val="both"/>
        <w:rPr>
          <w:rFonts w:ascii="Arial" w:hAnsi="Arial" w:cs="Arial"/>
          <w:sz w:val="28"/>
          <w:szCs w:val="28"/>
        </w:rPr>
      </w:pPr>
      <w:r>
        <w:rPr>
          <w:rFonts w:ascii="Arial" w:hAnsi="Arial" w:cs="Arial"/>
          <w:sz w:val="28"/>
          <w:szCs w:val="28"/>
          <w:lang w:val="en-US"/>
        </w:rPr>
        <w:t>The following exceptional circumstances warrants his release on bail:</w:t>
      </w:r>
    </w:p>
    <w:p w14:paraId="30AEAD0F" w14:textId="77777777" w:rsidR="004D70FD" w:rsidRPr="004D70FD" w:rsidRDefault="004D70FD" w:rsidP="004D70FD">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That there was n</w:t>
      </w:r>
      <w:r w:rsidRPr="004D70FD">
        <w:rPr>
          <w:rFonts w:ascii="Arial" w:hAnsi="Arial" w:cs="Arial"/>
          <w:sz w:val="28"/>
          <w:szCs w:val="28"/>
          <w:lang w:val="en-US"/>
        </w:rPr>
        <w:t>o identification parade</w:t>
      </w:r>
      <w:r>
        <w:rPr>
          <w:rFonts w:ascii="Arial" w:hAnsi="Arial" w:cs="Arial"/>
          <w:sz w:val="28"/>
          <w:szCs w:val="28"/>
          <w:lang w:val="en-US"/>
        </w:rPr>
        <w:t xml:space="preserve"> held.</w:t>
      </w:r>
    </w:p>
    <w:p w14:paraId="3831D30B" w14:textId="77777777" w:rsidR="004D70FD" w:rsidRPr="004D70FD" w:rsidRDefault="004D70FD" w:rsidP="004D70FD">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lang w:val="en-US"/>
        </w:rPr>
        <w:t>That nothing incriminating was recovered from his possession</w:t>
      </w:r>
    </w:p>
    <w:p w14:paraId="6A7A287B" w14:textId="77777777" w:rsidR="004D70FD" w:rsidRPr="004D70FD" w:rsidRDefault="004D70FD" w:rsidP="004D70FD">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lang w:val="en-US"/>
        </w:rPr>
        <w:t>The State would suffer no prejudice should he be granted bail.</w:t>
      </w:r>
    </w:p>
    <w:p w14:paraId="6B6FEE91" w14:textId="77777777" w:rsidR="004D70FD" w:rsidRPr="004D70FD" w:rsidRDefault="004D70FD" w:rsidP="004D70FD">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i</w:t>
      </w:r>
      <w:proofErr w:type="spellEnd"/>
      <w:r w:rsidR="00CA484F" w:rsidRPr="004D70FD">
        <w:rPr>
          <w:rFonts w:ascii="Arial" w:hAnsi="Arial" w:cs="Arial"/>
          <w:sz w:val="28"/>
          <w:szCs w:val="28"/>
          <w:lang w:val="en-US"/>
        </w:rPr>
        <w:t>investigation</w:t>
      </w:r>
      <w:r>
        <w:rPr>
          <w:rFonts w:ascii="Arial" w:hAnsi="Arial" w:cs="Arial"/>
          <w:sz w:val="28"/>
          <w:szCs w:val="28"/>
          <w:lang w:val="en-US"/>
        </w:rPr>
        <w:t xml:space="preserve"> is </w:t>
      </w:r>
      <w:proofErr w:type="spellStart"/>
      <w:r>
        <w:rPr>
          <w:rFonts w:ascii="Arial" w:hAnsi="Arial" w:cs="Arial"/>
          <w:sz w:val="28"/>
          <w:szCs w:val="28"/>
          <w:lang w:val="en-US"/>
        </w:rPr>
        <w:t>finalis</w:t>
      </w:r>
      <w:r w:rsidRPr="004D70FD">
        <w:rPr>
          <w:rFonts w:ascii="Arial" w:hAnsi="Arial" w:cs="Arial"/>
          <w:sz w:val="28"/>
          <w:szCs w:val="28"/>
          <w:lang w:val="en-US"/>
        </w:rPr>
        <w:t>ed</w:t>
      </w:r>
      <w:proofErr w:type="spellEnd"/>
      <w:r w:rsidRPr="004D70FD">
        <w:rPr>
          <w:rFonts w:ascii="Arial" w:hAnsi="Arial" w:cs="Arial"/>
          <w:sz w:val="28"/>
          <w:szCs w:val="28"/>
          <w:lang w:val="en-US"/>
        </w:rPr>
        <w:t xml:space="preserve"> and </w:t>
      </w:r>
      <w:r>
        <w:rPr>
          <w:rFonts w:ascii="Arial" w:hAnsi="Arial" w:cs="Arial"/>
          <w:sz w:val="28"/>
          <w:szCs w:val="28"/>
          <w:lang w:val="en-US"/>
        </w:rPr>
        <w:t>he cannot interfere with the investigation or the witnesses.</w:t>
      </w:r>
    </w:p>
    <w:p w14:paraId="4020227E" w14:textId="77777777" w:rsidR="004D70FD" w:rsidRDefault="004D70FD" w:rsidP="004D70FD">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lang w:val="en-US"/>
        </w:rPr>
        <w:t>Further detention will hinder him</w:t>
      </w:r>
      <w:r w:rsidRPr="004D70FD">
        <w:rPr>
          <w:rFonts w:ascii="Arial" w:hAnsi="Arial" w:cs="Arial"/>
          <w:sz w:val="28"/>
          <w:szCs w:val="28"/>
          <w:lang w:val="en-US"/>
        </w:rPr>
        <w:t xml:space="preserve"> with being adequately prepared for trial, </w:t>
      </w:r>
      <w:r>
        <w:rPr>
          <w:rFonts w:ascii="Arial" w:hAnsi="Arial" w:cs="Arial"/>
          <w:sz w:val="28"/>
          <w:szCs w:val="28"/>
          <w:lang w:val="en-US"/>
        </w:rPr>
        <w:t>as his</w:t>
      </w:r>
      <w:r w:rsidRPr="004D70FD">
        <w:rPr>
          <w:rFonts w:ascii="Arial" w:hAnsi="Arial" w:cs="Arial"/>
          <w:sz w:val="28"/>
          <w:szCs w:val="28"/>
          <w:lang w:val="en-US"/>
        </w:rPr>
        <w:t xml:space="preserve"> attorney cannot bring all documents to jail</w:t>
      </w:r>
      <w:r>
        <w:rPr>
          <w:rFonts w:ascii="Arial" w:hAnsi="Arial" w:cs="Arial"/>
          <w:sz w:val="28"/>
          <w:szCs w:val="28"/>
        </w:rPr>
        <w:t>.</w:t>
      </w:r>
    </w:p>
    <w:p w14:paraId="2BD81251" w14:textId="77777777" w:rsidR="004D70FD" w:rsidRPr="00CA484F" w:rsidRDefault="004D70FD" w:rsidP="004D70FD">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lastRenderedPageBreak/>
        <w:t xml:space="preserve">His </w:t>
      </w:r>
      <w:r w:rsidRPr="004D70FD">
        <w:rPr>
          <w:rFonts w:ascii="Arial" w:hAnsi="Arial" w:cs="Arial"/>
          <w:sz w:val="28"/>
          <w:szCs w:val="28"/>
          <w:lang w:val="en-US"/>
        </w:rPr>
        <w:t>aunt is present in court room.</w:t>
      </w:r>
    </w:p>
    <w:p w14:paraId="1B437F66" w14:textId="77777777" w:rsidR="004D70FD" w:rsidRPr="00CA484F" w:rsidRDefault="00CA484F"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 xml:space="preserve">He </w:t>
      </w:r>
      <w:r w:rsidR="004D70FD" w:rsidRPr="00CA484F">
        <w:rPr>
          <w:rFonts w:ascii="Arial" w:hAnsi="Arial" w:cs="Arial"/>
          <w:sz w:val="28"/>
          <w:szCs w:val="28"/>
          <w:lang w:val="en-US"/>
        </w:rPr>
        <w:t>cooperated with the police in investigation</w:t>
      </w:r>
      <w:r>
        <w:rPr>
          <w:rFonts w:ascii="Arial" w:hAnsi="Arial" w:cs="Arial"/>
          <w:sz w:val="28"/>
          <w:szCs w:val="28"/>
          <w:lang w:val="en-US"/>
        </w:rPr>
        <w:t>.</w:t>
      </w:r>
    </w:p>
    <w:p w14:paraId="077B3AF5" w14:textId="77777777" w:rsidR="004D70FD" w:rsidRPr="00CA484F" w:rsidRDefault="00CA484F"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 xml:space="preserve">In terms of section </w:t>
      </w:r>
      <w:r w:rsidR="004D70FD" w:rsidRPr="00CA484F">
        <w:rPr>
          <w:rFonts w:ascii="Arial" w:hAnsi="Arial" w:cs="Arial"/>
          <w:sz w:val="28"/>
          <w:szCs w:val="28"/>
          <w:lang w:val="en-US"/>
        </w:rPr>
        <w:t xml:space="preserve">64 </w:t>
      </w:r>
      <w:r>
        <w:rPr>
          <w:rFonts w:ascii="Arial" w:hAnsi="Arial" w:cs="Arial"/>
          <w:sz w:val="28"/>
          <w:szCs w:val="28"/>
          <w:lang w:val="en-US"/>
        </w:rPr>
        <w:t xml:space="preserve">he has </w:t>
      </w:r>
      <w:r w:rsidR="004D70FD" w:rsidRPr="00CA484F">
        <w:rPr>
          <w:rFonts w:ascii="Arial" w:hAnsi="Arial" w:cs="Arial"/>
          <w:sz w:val="28"/>
          <w:szCs w:val="28"/>
          <w:lang w:val="en-US"/>
        </w:rPr>
        <w:t xml:space="preserve">no knowledge of any evidence, </w:t>
      </w:r>
      <w:r>
        <w:rPr>
          <w:rFonts w:ascii="Arial" w:hAnsi="Arial" w:cs="Arial"/>
          <w:sz w:val="28"/>
          <w:szCs w:val="28"/>
          <w:lang w:val="en-US"/>
        </w:rPr>
        <w:t>and undertakes</w:t>
      </w:r>
      <w:r w:rsidR="004D70FD" w:rsidRPr="00CA484F">
        <w:rPr>
          <w:rFonts w:ascii="Arial" w:hAnsi="Arial" w:cs="Arial"/>
          <w:sz w:val="28"/>
          <w:szCs w:val="28"/>
          <w:lang w:val="en-US"/>
        </w:rPr>
        <w:t xml:space="preserve"> to not interfere with further investig</w:t>
      </w:r>
      <w:r>
        <w:rPr>
          <w:rFonts w:ascii="Arial" w:hAnsi="Arial" w:cs="Arial"/>
          <w:sz w:val="28"/>
          <w:szCs w:val="28"/>
          <w:lang w:val="en-US"/>
        </w:rPr>
        <w:t>ations and will not contact</w:t>
      </w:r>
      <w:r w:rsidR="004D70FD" w:rsidRPr="00CA484F">
        <w:rPr>
          <w:rFonts w:ascii="Arial" w:hAnsi="Arial" w:cs="Arial"/>
          <w:sz w:val="28"/>
          <w:szCs w:val="28"/>
          <w:lang w:val="en-US"/>
        </w:rPr>
        <w:t xml:space="preserve"> with</w:t>
      </w:r>
      <w:r>
        <w:rPr>
          <w:rFonts w:ascii="Arial" w:hAnsi="Arial" w:cs="Arial"/>
          <w:sz w:val="28"/>
          <w:szCs w:val="28"/>
          <w:lang w:val="en-US"/>
        </w:rPr>
        <w:t xml:space="preserve"> </w:t>
      </w:r>
    </w:p>
    <w:p w14:paraId="1D9186BF" w14:textId="77777777" w:rsidR="004D70FD" w:rsidRPr="00CA484F" w:rsidRDefault="004D70FD"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sidRPr="00CA484F">
        <w:rPr>
          <w:rFonts w:ascii="Arial" w:hAnsi="Arial" w:cs="Arial"/>
          <w:sz w:val="28"/>
          <w:szCs w:val="28"/>
          <w:lang w:val="en-US"/>
        </w:rPr>
        <w:t xml:space="preserve">Incarceration </w:t>
      </w:r>
      <w:r w:rsidR="00CA484F">
        <w:rPr>
          <w:rFonts w:ascii="Arial" w:hAnsi="Arial" w:cs="Arial"/>
          <w:sz w:val="28"/>
          <w:szCs w:val="28"/>
          <w:lang w:val="en-US"/>
        </w:rPr>
        <w:t xml:space="preserve">will </w:t>
      </w:r>
      <w:r w:rsidRPr="00CA484F">
        <w:rPr>
          <w:rFonts w:ascii="Arial" w:hAnsi="Arial" w:cs="Arial"/>
          <w:sz w:val="28"/>
          <w:szCs w:val="28"/>
          <w:lang w:val="en-US"/>
        </w:rPr>
        <w:t xml:space="preserve">only prejudice </w:t>
      </w:r>
      <w:r w:rsidR="00CA484F">
        <w:rPr>
          <w:rFonts w:ascii="Arial" w:hAnsi="Arial" w:cs="Arial"/>
          <w:sz w:val="28"/>
          <w:szCs w:val="28"/>
          <w:lang w:val="en-US"/>
        </w:rPr>
        <w:t>hips</w:t>
      </w:r>
      <w:r w:rsidRPr="00CA484F">
        <w:rPr>
          <w:rFonts w:ascii="Arial" w:hAnsi="Arial" w:cs="Arial"/>
          <w:sz w:val="28"/>
          <w:szCs w:val="28"/>
          <w:lang w:val="en-US"/>
        </w:rPr>
        <w:t>, not anyone else</w:t>
      </w:r>
      <w:r w:rsidR="00CA484F">
        <w:rPr>
          <w:rFonts w:ascii="Arial" w:hAnsi="Arial" w:cs="Arial"/>
          <w:sz w:val="28"/>
          <w:szCs w:val="28"/>
          <w:lang w:val="en-US"/>
        </w:rPr>
        <w:t>.</w:t>
      </w:r>
    </w:p>
    <w:p w14:paraId="72EB1AA3" w14:textId="77777777" w:rsidR="004D70FD" w:rsidRPr="00CA484F" w:rsidRDefault="00CA484F"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 xml:space="preserve">His </w:t>
      </w:r>
      <w:r w:rsidR="004D70FD" w:rsidRPr="00CA484F">
        <w:rPr>
          <w:rFonts w:ascii="Arial" w:hAnsi="Arial" w:cs="Arial"/>
          <w:sz w:val="28"/>
          <w:szCs w:val="28"/>
          <w:lang w:val="en-US"/>
        </w:rPr>
        <w:t xml:space="preserve">release will not disturb public order, </w:t>
      </w:r>
      <w:r>
        <w:rPr>
          <w:rFonts w:ascii="Arial" w:hAnsi="Arial" w:cs="Arial"/>
          <w:sz w:val="28"/>
          <w:szCs w:val="28"/>
          <w:lang w:val="en-US"/>
        </w:rPr>
        <w:t xml:space="preserve">it </w:t>
      </w:r>
      <w:r w:rsidR="004D70FD" w:rsidRPr="00CA484F">
        <w:rPr>
          <w:rFonts w:ascii="Arial" w:hAnsi="Arial" w:cs="Arial"/>
          <w:sz w:val="28"/>
          <w:szCs w:val="28"/>
          <w:lang w:val="en-US"/>
        </w:rPr>
        <w:t xml:space="preserve">will not be against proper functioning of legal </w:t>
      </w:r>
      <w:r>
        <w:rPr>
          <w:rFonts w:ascii="Arial" w:hAnsi="Arial" w:cs="Arial"/>
          <w:sz w:val="28"/>
          <w:szCs w:val="28"/>
          <w:lang w:val="en-US"/>
        </w:rPr>
        <w:t>process.</w:t>
      </w:r>
    </w:p>
    <w:p w14:paraId="4069C378" w14:textId="77777777" w:rsidR="004D70FD" w:rsidRPr="00CA484F" w:rsidRDefault="00CA484F"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 xml:space="preserve">He stands </w:t>
      </w:r>
      <w:r>
        <w:rPr>
          <w:rFonts w:ascii="Arial" w:hAnsi="Arial" w:cs="Arial"/>
          <w:sz w:val="28"/>
          <w:szCs w:val="28"/>
          <w:lang w:val="en-US"/>
        </w:rPr>
        <w:t>the</w:t>
      </w:r>
      <w:r w:rsidR="004D70FD" w:rsidRPr="00CA484F">
        <w:rPr>
          <w:rFonts w:ascii="Arial" w:hAnsi="Arial" w:cs="Arial"/>
          <w:sz w:val="28"/>
          <w:szCs w:val="28"/>
          <w:lang w:val="en-US"/>
        </w:rPr>
        <w:t xml:space="preserve"> risk of losing </w:t>
      </w:r>
      <w:r>
        <w:rPr>
          <w:rFonts w:ascii="Arial" w:hAnsi="Arial" w:cs="Arial"/>
          <w:sz w:val="28"/>
          <w:szCs w:val="28"/>
          <w:lang w:val="en-US"/>
        </w:rPr>
        <w:t>his</w:t>
      </w:r>
      <w:r w:rsidR="004D70FD" w:rsidRPr="00CA484F">
        <w:rPr>
          <w:rFonts w:ascii="Arial" w:hAnsi="Arial" w:cs="Arial"/>
          <w:sz w:val="28"/>
          <w:szCs w:val="28"/>
          <w:lang w:val="en-US"/>
        </w:rPr>
        <w:t xml:space="preserve"> assets</w:t>
      </w:r>
      <w:r>
        <w:rPr>
          <w:rFonts w:ascii="Arial" w:hAnsi="Arial" w:cs="Arial"/>
          <w:sz w:val="28"/>
          <w:szCs w:val="28"/>
          <w:lang w:val="en-US"/>
        </w:rPr>
        <w:t>.</w:t>
      </w:r>
    </w:p>
    <w:p w14:paraId="347CADEF" w14:textId="77777777" w:rsidR="004D70FD" w:rsidRPr="00CA484F" w:rsidRDefault="00CA484F"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 xml:space="preserve">He </w:t>
      </w:r>
      <w:r w:rsidR="004D70FD" w:rsidRPr="00CA484F">
        <w:rPr>
          <w:rFonts w:ascii="Arial" w:hAnsi="Arial" w:cs="Arial"/>
          <w:sz w:val="28"/>
          <w:szCs w:val="28"/>
          <w:lang w:val="en-US"/>
        </w:rPr>
        <w:t xml:space="preserve">can afford R2,000 </w:t>
      </w:r>
      <w:r>
        <w:rPr>
          <w:rFonts w:ascii="Arial" w:hAnsi="Arial" w:cs="Arial"/>
          <w:sz w:val="28"/>
          <w:szCs w:val="28"/>
          <w:lang w:val="en-US"/>
        </w:rPr>
        <w:t>for bail.</w:t>
      </w:r>
    </w:p>
    <w:p w14:paraId="2E296D69" w14:textId="77777777" w:rsidR="004D70FD" w:rsidRPr="00CA484F" w:rsidRDefault="00CA484F"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He c</w:t>
      </w:r>
      <w:r w:rsidR="004D70FD" w:rsidRPr="00CA484F">
        <w:rPr>
          <w:rFonts w:ascii="Arial" w:hAnsi="Arial" w:cs="Arial"/>
          <w:sz w:val="28"/>
          <w:szCs w:val="28"/>
          <w:lang w:val="en-US"/>
        </w:rPr>
        <w:t xml:space="preserve">an comply </w:t>
      </w:r>
      <w:r>
        <w:rPr>
          <w:rFonts w:ascii="Arial" w:hAnsi="Arial" w:cs="Arial"/>
          <w:sz w:val="28"/>
          <w:szCs w:val="28"/>
          <w:lang w:val="en-US"/>
        </w:rPr>
        <w:t>with all conditions placed on his</w:t>
      </w:r>
      <w:r w:rsidR="004D70FD" w:rsidRPr="00CA484F">
        <w:rPr>
          <w:rFonts w:ascii="Arial" w:hAnsi="Arial" w:cs="Arial"/>
          <w:sz w:val="28"/>
          <w:szCs w:val="28"/>
          <w:lang w:val="en-US"/>
        </w:rPr>
        <w:t xml:space="preserve"> bail, should </w:t>
      </w:r>
      <w:r>
        <w:rPr>
          <w:rFonts w:ascii="Arial" w:hAnsi="Arial" w:cs="Arial"/>
          <w:sz w:val="28"/>
          <w:szCs w:val="28"/>
          <w:lang w:val="en-US"/>
        </w:rPr>
        <w:t xml:space="preserve">it </w:t>
      </w:r>
      <w:r w:rsidR="004D70FD" w:rsidRPr="00CA484F">
        <w:rPr>
          <w:rFonts w:ascii="Arial" w:hAnsi="Arial" w:cs="Arial"/>
          <w:sz w:val="28"/>
          <w:szCs w:val="28"/>
          <w:lang w:val="en-US"/>
        </w:rPr>
        <w:t>be granted</w:t>
      </w:r>
      <w:r>
        <w:rPr>
          <w:rFonts w:ascii="Arial" w:hAnsi="Arial" w:cs="Arial"/>
          <w:sz w:val="28"/>
          <w:szCs w:val="28"/>
          <w:lang w:val="en-US"/>
        </w:rPr>
        <w:t>.</w:t>
      </w:r>
    </w:p>
    <w:p w14:paraId="065728D8" w14:textId="77777777" w:rsidR="004D70FD" w:rsidRPr="00CA484F" w:rsidRDefault="00CA484F" w:rsidP="00CA484F">
      <w:pPr>
        <w:widowControl w:val="0"/>
        <w:numPr>
          <w:ilvl w:val="2"/>
          <w:numId w:val="14"/>
        </w:numPr>
        <w:tabs>
          <w:tab w:val="clear" w:pos="1474"/>
          <w:tab w:val="num" w:pos="1843"/>
        </w:tabs>
        <w:spacing w:after="0" w:line="480" w:lineRule="auto"/>
        <w:ind w:left="1843" w:hanging="1843"/>
        <w:jc w:val="both"/>
        <w:rPr>
          <w:rFonts w:ascii="Arial" w:hAnsi="Arial" w:cs="Arial"/>
          <w:sz w:val="28"/>
          <w:szCs w:val="28"/>
        </w:rPr>
      </w:pPr>
      <w:r>
        <w:rPr>
          <w:rFonts w:ascii="Arial" w:hAnsi="Arial" w:cs="Arial"/>
          <w:sz w:val="28"/>
          <w:szCs w:val="28"/>
        </w:rPr>
        <w:t xml:space="preserve">He can report at </w:t>
      </w:r>
      <w:proofErr w:type="spellStart"/>
      <w:r>
        <w:rPr>
          <w:rFonts w:ascii="Arial" w:hAnsi="Arial" w:cs="Arial"/>
          <w:sz w:val="28"/>
          <w:szCs w:val="28"/>
        </w:rPr>
        <w:t>Loata</w:t>
      </w:r>
      <w:proofErr w:type="spellEnd"/>
      <w:r w:rsidR="004D70FD" w:rsidRPr="00CA484F">
        <w:rPr>
          <w:rFonts w:ascii="Arial" w:hAnsi="Arial" w:cs="Arial"/>
          <w:sz w:val="28"/>
          <w:szCs w:val="28"/>
          <w:lang w:val="en-US"/>
        </w:rPr>
        <w:t xml:space="preserve"> SAPS in </w:t>
      </w:r>
      <w:proofErr w:type="spellStart"/>
      <w:r w:rsidR="004D70FD" w:rsidRPr="00CA484F">
        <w:rPr>
          <w:rFonts w:ascii="Arial" w:hAnsi="Arial" w:cs="Arial"/>
          <w:sz w:val="28"/>
          <w:szCs w:val="28"/>
          <w:lang w:val="en-US"/>
        </w:rPr>
        <w:t>Soshanguve</w:t>
      </w:r>
      <w:proofErr w:type="spellEnd"/>
    </w:p>
    <w:p w14:paraId="58C695D2" w14:textId="77777777" w:rsidR="00277FE8" w:rsidRDefault="00277FE8" w:rsidP="005561C1">
      <w:pPr>
        <w:widowControl w:val="0"/>
        <w:spacing w:after="0" w:line="480" w:lineRule="auto"/>
        <w:jc w:val="both"/>
        <w:rPr>
          <w:rFonts w:ascii="Arial" w:hAnsi="Arial" w:cs="Arial"/>
          <w:sz w:val="28"/>
          <w:szCs w:val="28"/>
        </w:rPr>
      </w:pPr>
    </w:p>
    <w:p w14:paraId="556E91B3" w14:textId="77777777" w:rsidR="00CA484F" w:rsidRPr="0052247A" w:rsidRDefault="0052247A" w:rsidP="005561C1">
      <w:pPr>
        <w:widowControl w:val="0"/>
        <w:numPr>
          <w:ilvl w:val="0"/>
          <w:numId w:val="14"/>
        </w:numPr>
        <w:tabs>
          <w:tab w:val="clear" w:pos="4386"/>
        </w:tabs>
        <w:spacing w:after="0" w:line="480" w:lineRule="auto"/>
        <w:ind w:left="709" w:hanging="709"/>
        <w:jc w:val="both"/>
        <w:rPr>
          <w:rFonts w:ascii="Verdana" w:hAnsi="Verdana"/>
          <w:color w:val="000000"/>
          <w:sz w:val="20"/>
          <w:szCs w:val="20"/>
        </w:rPr>
      </w:pPr>
      <w:r>
        <w:rPr>
          <w:rFonts w:ascii="Arial" w:hAnsi="Arial" w:cs="Arial"/>
          <w:color w:val="000000"/>
          <w:sz w:val="28"/>
          <w:szCs w:val="28"/>
        </w:rPr>
        <w:t>The State led the following evidence by the investigating officer:</w:t>
      </w:r>
    </w:p>
    <w:p w14:paraId="0DD855E6" w14:textId="77777777" w:rsidR="0052247A" w:rsidRPr="0052247A" w:rsidRDefault="0052247A" w:rsidP="0052247A">
      <w:pPr>
        <w:widowControl w:val="0"/>
        <w:spacing w:after="0" w:line="480" w:lineRule="auto"/>
        <w:ind w:left="709"/>
        <w:jc w:val="both"/>
        <w:rPr>
          <w:rFonts w:ascii="Arial" w:hAnsi="Arial" w:cs="Arial"/>
          <w:color w:val="000000"/>
          <w:sz w:val="28"/>
          <w:szCs w:val="28"/>
        </w:rPr>
      </w:pPr>
    </w:p>
    <w:p w14:paraId="3F64122D"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Both accused were identified by means of an Identification Parade conducted.</w:t>
      </w:r>
    </w:p>
    <w:p w14:paraId="7D1A15F8"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 xml:space="preserve">Both of the accused are linked to the crimes by virtue of the </w:t>
      </w:r>
      <w:proofErr w:type="spellStart"/>
      <w:r>
        <w:rPr>
          <w:rFonts w:ascii="Arial" w:hAnsi="Arial" w:cs="Arial"/>
          <w:color w:val="000000"/>
          <w:sz w:val="28"/>
          <w:szCs w:val="28"/>
        </w:rPr>
        <w:t>cellphones</w:t>
      </w:r>
      <w:proofErr w:type="spellEnd"/>
      <w:r>
        <w:rPr>
          <w:rFonts w:ascii="Arial" w:hAnsi="Arial" w:cs="Arial"/>
          <w:color w:val="000000"/>
          <w:sz w:val="28"/>
          <w:szCs w:val="28"/>
        </w:rPr>
        <w:t xml:space="preserve"> that were found in their possession, which </w:t>
      </w:r>
      <w:proofErr w:type="spellStart"/>
      <w:r>
        <w:rPr>
          <w:rFonts w:ascii="Arial" w:hAnsi="Arial" w:cs="Arial"/>
          <w:color w:val="000000"/>
          <w:sz w:val="28"/>
          <w:szCs w:val="28"/>
        </w:rPr>
        <w:t>cellphones</w:t>
      </w:r>
      <w:proofErr w:type="spellEnd"/>
      <w:r>
        <w:rPr>
          <w:rFonts w:ascii="Arial" w:hAnsi="Arial" w:cs="Arial"/>
          <w:color w:val="000000"/>
          <w:sz w:val="28"/>
          <w:szCs w:val="28"/>
        </w:rPr>
        <w:t xml:space="preserve"> are directly connected to the commission of the crimes.</w:t>
      </w:r>
    </w:p>
    <w:p w14:paraId="6CC9D230"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lastRenderedPageBreak/>
        <w:t xml:space="preserve">The modus operandi followed by the accused, were to place Facebook advertisement under Facebook </w:t>
      </w:r>
      <w:proofErr w:type="spellStart"/>
      <w:r>
        <w:rPr>
          <w:rFonts w:ascii="Arial" w:hAnsi="Arial" w:cs="Arial"/>
          <w:color w:val="000000"/>
          <w:sz w:val="28"/>
          <w:szCs w:val="28"/>
        </w:rPr>
        <w:t>Markeplace</w:t>
      </w:r>
      <w:proofErr w:type="spellEnd"/>
      <w:r>
        <w:rPr>
          <w:rFonts w:ascii="Arial" w:hAnsi="Arial" w:cs="Arial"/>
          <w:color w:val="000000"/>
          <w:sz w:val="28"/>
          <w:szCs w:val="28"/>
        </w:rPr>
        <w:t xml:space="preserve"> for various items.  Members of the public would respond and the accused would meet the members of the public, at which point the complainants were either transported to another location, or robbed of their property.</w:t>
      </w:r>
    </w:p>
    <w:p w14:paraId="15916876"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The count of murder was where a former South African Defence Force officer attempted to defend himself with his own weapon, but was killed with that very same weapon.</w:t>
      </w:r>
    </w:p>
    <w:p w14:paraId="06613570"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 xml:space="preserve">The </w:t>
      </w:r>
      <w:proofErr w:type="spellStart"/>
      <w:r>
        <w:rPr>
          <w:rFonts w:ascii="Arial" w:hAnsi="Arial" w:cs="Arial"/>
          <w:color w:val="000000"/>
          <w:sz w:val="28"/>
          <w:szCs w:val="28"/>
        </w:rPr>
        <w:t>cellphones</w:t>
      </w:r>
      <w:proofErr w:type="spellEnd"/>
      <w:r>
        <w:rPr>
          <w:rFonts w:ascii="Arial" w:hAnsi="Arial" w:cs="Arial"/>
          <w:color w:val="000000"/>
          <w:sz w:val="28"/>
          <w:szCs w:val="28"/>
        </w:rPr>
        <w:t xml:space="preserve"> of the accused are not registered in their names.</w:t>
      </w:r>
    </w:p>
    <w:p w14:paraId="5A4BB080"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 xml:space="preserve">The </w:t>
      </w:r>
      <w:proofErr w:type="spellStart"/>
      <w:r>
        <w:rPr>
          <w:rFonts w:ascii="Arial" w:hAnsi="Arial" w:cs="Arial"/>
          <w:color w:val="000000"/>
          <w:sz w:val="28"/>
          <w:szCs w:val="28"/>
        </w:rPr>
        <w:t>cellphones</w:t>
      </w:r>
      <w:proofErr w:type="spellEnd"/>
      <w:r>
        <w:rPr>
          <w:rFonts w:ascii="Arial" w:hAnsi="Arial" w:cs="Arial"/>
          <w:color w:val="000000"/>
          <w:sz w:val="28"/>
          <w:szCs w:val="28"/>
        </w:rPr>
        <w:t xml:space="preserve"> of the accused were confiscated from the person of the accused.</w:t>
      </w:r>
    </w:p>
    <w:p w14:paraId="24BEFBCA"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 xml:space="preserve">The </w:t>
      </w:r>
      <w:proofErr w:type="spellStart"/>
      <w:r>
        <w:rPr>
          <w:rFonts w:ascii="Arial" w:hAnsi="Arial" w:cs="Arial"/>
          <w:color w:val="000000"/>
          <w:sz w:val="28"/>
          <w:szCs w:val="28"/>
        </w:rPr>
        <w:t>cellphone</w:t>
      </w:r>
      <w:proofErr w:type="spellEnd"/>
      <w:r>
        <w:rPr>
          <w:rFonts w:ascii="Arial" w:hAnsi="Arial" w:cs="Arial"/>
          <w:color w:val="000000"/>
          <w:sz w:val="28"/>
          <w:szCs w:val="28"/>
        </w:rPr>
        <w:t xml:space="preserve"> records place the accused’s and the complainants on the same vicinity during the time that the offences were committed.</w:t>
      </w:r>
    </w:p>
    <w:p w14:paraId="4DCE2D54" w14:textId="77777777" w:rsidR="0052247A" w:rsidRPr="0052247A" w:rsidRDefault="0052247A" w:rsidP="0052247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The investigation of the South African Police has been finalised.</w:t>
      </w:r>
    </w:p>
    <w:p w14:paraId="79ADCB26" w14:textId="77777777" w:rsidR="0052247A" w:rsidRPr="00AB74CA" w:rsidRDefault="0052247A" w:rsidP="00AB74CA">
      <w:pPr>
        <w:widowControl w:val="0"/>
        <w:numPr>
          <w:ilvl w:val="1"/>
          <w:numId w:val="14"/>
        </w:numPr>
        <w:tabs>
          <w:tab w:val="clear" w:pos="851"/>
          <w:tab w:val="num" w:pos="1276"/>
        </w:tabs>
        <w:spacing w:after="0" w:line="480" w:lineRule="auto"/>
        <w:ind w:left="1276" w:hanging="1276"/>
        <w:jc w:val="both"/>
        <w:rPr>
          <w:rFonts w:ascii="Verdana" w:hAnsi="Verdana"/>
          <w:color w:val="000000"/>
          <w:sz w:val="20"/>
          <w:szCs w:val="20"/>
        </w:rPr>
      </w:pPr>
      <w:r>
        <w:rPr>
          <w:rFonts w:ascii="Arial" w:hAnsi="Arial" w:cs="Arial"/>
          <w:color w:val="000000"/>
          <w:sz w:val="28"/>
          <w:szCs w:val="28"/>
        </w:rPr>
        <w:t xml:space="preserve">The investigating officer is against granting the accused bail, on the basis that, </w:t>
      </w:r>
      <w:r>
        <w:rPr>
          <w:rFonts w:ascii="Arial" w:hAnsi="Arial" w:cs="Arial"/>
          <w:i/>
          <w:color w:val="000000"/>
          <w:sz w:val="28"/>
          <w:szCs w:val="28"/>
        </w:rPr>
        <w:t xml:space="preserve">inter alia, </w:t>
      </w:r>
      <w:r>
        <w:rPr>
          <w:rFonts w:ascii="Arial" w:hAnsi="Arial" w:cs="Arial"/>
          <w:color w:val="000000"/>
          <w:sz w:val="28"/>
          <w:szCs w:val="28"/>
        </w:rPr>
        <w:t xml:space="preserve">the </w:t>
      </w:r>
      <w:r w:rsidR="0060791E">
        <w:rPr>
          <w:rFonts w:ascii="Arial" w:hAnsi="Arial" w:cs="Arial"/>
          <w:color w:val="000000"/>
          <w:sz w:val="28"/>
          <w:szCs w:val="28"/>
        </w:rPr>
        <w:t xml:space="preserve">case against the accused, especially accused 1 and 2 is so strong and supported with so much real and independent evidence that an escape of failure to adhere to bail conditions is a reality which cannot be </w:t>
      </w:r>
      <w:r w:rsidR="0060791E">
        <w:rPr>
          <w:rFonts w:ascii="Arial" w:hAnsi="Arial" w:cs="Arial"/>
          <w:color w:val="000000"/>
          <w:sz w:val="28"/>
          <w:szCs w:val="28"/>
        </w:rPr>
        <w:lastRenderedPageBreak/>
        <w:t>overlooked.</w:t>
      </w:r>
      <w:r>
        <w:rPr>
          <w:rFonts w:ascii="Arial" w:hAnsi="Arial" w:cs="Arial"/>
          <w:color w:val="000000"/>
          <w:sz w:val="28"/>
          <w:szCs w:val="28"/>
        </w:rPr>
        <w:t xml:space="preserve">  </w:t>
      </w:r>
    </w:p>
    <w:p w14:paraId="1B5776A1" w14:textId="77777777" w:rsidR="00CA484F" w:rsidRDefault="00CA484F" w:rsidP="00CA484F">
      <w:pPr>
        <w:widowControl w:val="0"/>
        <w:spacing w:after="0" w:line="480" w:lineRule="auto"/>
        <w:jc w:val="both"/>
        <w:rPr>
          <w:rFonts w:ascii="Verdana" w:hAnsi="Verdana"/>
          <w:color w:val="000000"/>
          <w:sz w:val="20"/>
          <w:szCs w:val="20"/>
        </w:rPr>
      </w:pPr>
    </w:p>
    <w:p w14:paraId="056EC1DA" w14:textId="77777777" w:rsidR="00CA484F" w:rsidRPr="005561C1" w:rsidRDefault="00CA484F" w:rsidP="00CA484F">
      <w:pPr>
        <w:widowControl w:val="0"/>
        <w:spacing w:after="0" w:line="480" w:lineRule="auto"/>
        <w:jc w:val="both"/>
        <w:rPr>
          <w:rFonts w:ascii="Arial" w:hAnsi="Arial" w:cs="Arial"/>
          <w:b/>
          <w:sz w:val="28"/>
          <w:szCs w:val="28"/>
        </w:rPr>
      </w:pPr>
      <w:r>
        <w:rPr>
          <w:rFonts w:ascii="Arial" w:hAnsi="Arial" w:cs="Arial"/>
          <w:b/>
          <w:sz w:val="28"/>
          <w:szCs w:val="28"/>
        </w:rPr>
        <w:t>Legal position</w:t>
      </w:r>
    </w:p>
    <w:p w14:paraId="050F86FD" w14:textId="77777777" w:rsidR="005561C1" w:rsidRPr="005561C1" w:rsidRDefault="005561C1" w:rsidP="005561C1">
      <w:pPr>
        <w:widowControl w:val="0"/>
        <w:numPr>
          <w:ilvl w:val="0"/>
          <w:numId w:val="14"/>
        </w:numPr>
        <w:tabs>
          <w:tab w:val="clear" w:pos="4386"/>
        </w:tabs>
        <w:spacing w:after="0" w:line="480" w:lineRule="auto"/>
        <w:ind w:left="709" w:hanging="709"/>
        <w:jc w:val="both"/>
        <w:rPr>
          <w:rFonts w:ascii="Verdana" w:hAnsi="Verdana"/>
          <w:color w:val="000000"/>
          <w:sz w:val="20"/>
          <w:szCs w:val="20"/>
        </w:rPr>
      </w:pPr>
      <w:r>
        <w:rPr>
          <w:rFonts w:ascii="Arial" w:hAnsi="Arial" w:cs="Arial"/>
          <w:sz w:val="28"/>
          <w:szCs w:val="28"/>
        </w:rPr>
        <w:t xml:space="preserve">Prior to the enactment of section 67A of the CPA, which was inserted by section 9 of the Criminal Procedure Second Amendment Act 75 of 1995, the position of bail was described by authors as the enactment of a contract between the accused and the State in terms of which the accused, under certain conditions, undertook to be present at the hearing.  Section 9 however, provides that failure to adhere to the bail conditions is to be held criminally liable.  This is clear from the legal position as discussed in </w:t>
      </w:r>
      <w:r w:rsidRPr="005561C1">
        <w:rPr>
          <w:rFonts w:ascii="Arial" w:hAnsi="Arial" w:cs="Arial"/>
          <w:b/>
          <w:sz w:val="28"/>
          <w:szCs w:val="28"/>
        </w:rPr>
        <w:t>Joubert (ed) </w:t>
      </w:r>
      <w:r w:rsidRPr="005561C1">
        <w:rPr>
          <w:rFonts w:ascii="Arial" w:hAnsi="Arial" w:cs="Arial"/>
          <w:b/>
          <w:iCs/>
          <w:sz w:val="28"/>
          <w:szCs w:val="28"/>
        </w:rPr>
        <w:t>Criminal Procedure Handbook</w:t>
      </w:r>
      <w:r w:rsidRPr="005561C1">
        <w:rPr>
          <w:rFonts w:ascii="Arial" w:hAnsi="Arial" w:cs="Arial"/>
          <w:sz w:val="28"/>
          <w:szCs w:val="28"/>
        </w:rPr>
        <w:t> 13 ed (2020) 229; </w:t>
      </w:r>
      <w:r w:rsidRPr="005561C1">
        <w:rPr>
          <w:rFonts w:ascii="Arial" w:hAnsi="Arial" w:cs="Arial"/>
          <w:b/>
          <w:iCs/>
          <w:sz w:val="28"/>
          <w:szCs w:val="28"/>
        </w:rPr>
        <w:t>S v Williams</w:t>
      </w:r>
      <w:r w:rsidRPr="005561C1">
        <w:rPr>
          <w:rFonts w:ascii="Arial" w:hAnsi="Arial" w:cs="Arial"/>
          <w:sz w:val="28"/>
          <w:szCs w:val="28"/>
        </w:rPr>
        <w:t>  </w:t>
      </w:r>
      <w:hyperlink r:id="rId9" w:tgtFrame="main" w:history="1">
        <w:r w:rsidRPr="005561C1">
          <w:rPr>
            <w:rStyle w:val="Hyperlink"/>
            <w:rFonts w:ascii="Arial" w:hAnsi="Arial" w:cs="Arial"/>
            <w:color w:val="auto"/>
            <w:sz w:val="28"/>
            <w:szCs w:val="28"/>
            <w:u w:val="none"/>
          </w:rPr>
          <w:t>2012 (2) SACR 158 (WCC)</w:t>
        </w:r>
      </w:hyperlink>
      <w:r>
        <w:rPr>
          <w:rFonts w:ascii="Arial" w:hAnsi="Arial" w:cs="Arial"/>
          <w:sz w:val="28"/>
          <w:szCs w:val="28"/>
        </w:rPr>
        <w:t> at [3]–[4]</w:t>
      </w:r>
      <w:r w:rsidRPr="005561C1">
        <w:rPr>
          <w:rFonts w:ascii="Arial" w:hAnsi="Arial" w:cs="Arial"/>
          <w:sz w:val="28"/>
          <w:szCs w:val="28"/>
        </w:rPr>
        <w:t>.</w:t>
      </w:r>
    </w:p>
    <w:p w14:paraId="3FBA53A1" w14:textId="77777777" w:rsidR="008055CA" w:rsidRPr="008055CA" w:rsidRDefault="008055CA" w:rsidP="005561C1">
      <w:pPr>
        <w:widowControl w:val="0"/>
        <w:spacing w:after="0" w:line="480" w:lineRule="auto"/>
        <w:ind w:left="709"/>
        <w:jc w:val="both"/>
        <w:rPr>
          <w:rFonts w:ascii="Arial" w:hAnsi="Arial" w:cs="Arial"/>
          <w:sz w:val="28"/>
          <w:szCs w:val="28"/>
        </w:rPr>
      </w:pPr>
    </w:p>
    <w:p w14:paraId="6A271869" w14:textId="77777777" w:rsidR="008055CA" w:rsidRPr="005561C1" w:rsidRDefault="009576DA" w:rsidP="008055CA">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Adv Shel</w:t>
      </w:r>
      <w:r w:rsidR="005561C1">
        <w:rPr>
          <w:rFonts w:ascii="Arial" w:hAnsi="Arial" w:cs="Arial"/>
          <w:sz w:val="28"/>
          <w:szCs w:val="28"/>
        </w:rPr>
        <w:t xml:space="preserve">a argued that the overpopulation by the prisons are a fact that should be taken into account in the decision whether to provide bail or not.  the following has been stated in </w:t>
      </w:r>
      <w:r w:rsidR="005561C1" w:rsidRPr="005561C1">
        <w:rPr>
          <w:rFonts w:ascii="Arial" w:hAnsi="Arial" w:cs="Arial"/>
          <w:b/>
          <w:sz w:val="28"/>
          <w:szCs w:val="28"/>
        </w:rPr>
        <w:t>Du Toit: Commentary of the Criminal Procedure Act</w:t>
      </w:r>
      <w:r w:rsidR="005561C1">
        <w:rPr>
          <w:rFonts w:ascii="Arial" w:hAnsi="Arial" w:cs="Arial"/>
          <w:b/>
          <w:sz w:val="28"/>
          <w:szCs w:val="28"/>
        </w:rPr>
        <w:t xml:space="preserve">: </w:t>
      </w:r>
    </w:p>
    <w:p w14:paraId="78E05493" w14:textId="77777777" w:rsidR="005561C1" w:rsidRDefault="005561C1" w:rsidP="005561C1">
      <w:pPr>
        <w:pStyle w:val="ListParagraph"/>
        <w:rPr>
          <w:rFonts w:ascii="Arial" w:hAnsi="Arial" w:cs="Arial"/>
          <w:sz w:val="28"/>
          <w:szCs w:val="28"/>
        </w:rPr>
      </w:pPr>
    </w:p>
    <w:p w14:paraId="511982D6" w14:textId="77777777" w:rsidR="005561C1" w:rsidRPr="005561C1" w:rsidRDefault="005561C1" w:rsidP="005561C1">
      <w:pPr>
        <w:widowControl w:val="0"/>
        <w:spacing w:after="0" w:line="360" w:lineRule="auto"/>
        <w:ind w:left="1440"/>
        <w:jc w:val="both"/>
        <w:rPr>
          <w:rFonts w:ascii="Arial" w:hAnsi="Arial" w:cs="Arial"/>
          <w:i/>
          <w:sz w:val="24"/>
          <w:szCs w:val="24"/>
        </w:rPr>
      </w:pPr>
      <w:r>
        <w:rPr>
          <w:rFonts w:ascii="Arial" w:hAnsi="Arial" w:cs="Arial"/>
          <w:i/>
          <w:color w:val="000000"/>
          <w:sz w:val="24"/>
          <w:szCs w:val="24"/>
        </w:rPr>
        <w:t>“</w:t>
      </w:r>
      <w:r w:rsidRPr="005561C1">
        <w:rPr>
          <w:rFonts w:ascii="Arial" w:hAnsi="Arial" w:cs="Arial"/>
          <w:i/>
          <w:color w:val="000000"/>
          <w:sz w:val="24"/>
          <w:szCs w:val="24"/>
        </w:rPr>
        <w:t xml:space="preserve">Overpopulation of a prison poses a threat to the dignity, physical health and safety of its inmates (see generally </w:t>
      </w:r>
      <w:r w:rsidRPr="005561C1">
        <w:rPr>
          <w:rFonts w:ascii="Arial" w:hAnsi="Arial" w:cs="Arial"/>
          <w:b/>
          <w:i/>
          <w:color w:val="000000"/>
          <w:sz w:val="24"/>
          <w:szCs w:val="24"/>
        </w:rPr>
        <w:t>Cameron</w:t>
      </w:r>
      <w:r w:rsidRPr="005561C1">
        <w:rPr>
          <w:rFonts w:ascii="Arial" w:hAnsi="Arial" w:cs="Arial"/>
          <w:i/>
          <w:color w:val="000000"/>
          <w:sz w:val="24"/>
          <w:szCs w:val="24"/>
        </w:rPr>
        <w:t xml:space="preserve"> 2020 </w:t>
      </w:r>
      <w:r w:rsidRPr="005561C1">
        <w:rPr>
          <w:rFonts w:ascii="Arial" w:hAnsi="Arial" w:cs="Arial"/>
          <w:i/>
          <w:iCs/>
          <w:color w:val="000000"/>
          <w:sz w:val="24"/>
          <w:szCs w:val="24"/>
        </w:rPr>
        <w:t>SALJ</w:t>
      </w:r>
      <w:r w:rsidRPr="005561C1">
        <w:rPr>
          <w:rFonts w:ascii="Arial" w:hAnsi="Arial" w:cs="Arial"/>
          <w:i/>
          <w:color w:val="000000"/>
          <w:sz w:val="24"/>
          <w:szCs w:val="24"/>
        </w:rPr>
        <w:t> 32 at 45; </w:t>
      </w:r>
      <w:r w:rsidRPr="005561C1">
        <w:rPr>
          <w:rFonts w:ascii="Arial" w:hAnsi="Arial" w:cs="Arial"/>
          <w:b/>
          <w:i/>
          <w:iCs/>
          <w:color w:val="000000"/>
          <w:sz w:val="24"/>
          <w:szCs w:val="24"/>
        </w:rPr>
        <w:t>S v Nando</w:t>
      </w:r>
      <w:r w:rsidRPr="005561C1">
        <w:rPr>
          <w:rFonts w:ascii="Arial" w:hAnsi="Arial" w:cs="Arial"/>
          <w:i/>
          <w:color w:val="000000"/>
          <w:sz w:val="24"/>
          <w:szCs w:val="24"/>
        </w:rPr>
        <w:t xml:space="preserve"> (unreported, GJ case no A39/2020, 8 May 2020) at [6]). This much has been acknowledged by the legislature by its insertion of s 63A in the Criminal Procedure Act. Section 63A was inserted by s 6 of the </w:t>
      </w:r>
      <w:r w:rsidRPr="005561C1">
        <w:rPr>
          <w:rFonts w:ascii="Arial" w:hAnsi="Arial" w:cs="Arial"/>
          <w:b/>
          <w:i/>
          <w:color w:val="000000"/>
          <w:sz w:val="24"/>
          <w:szCs w:val="24"/>
        </w:rPr>
        <w:lastRenderedPageBreak/>
        <w:t>Judicial Matters Amendment Act</w:t>
      </w:r>
      <w:r w:rsidRPr="005561C1">
        <w:rPr>
          <w:rFonts w:ascii="Arial" w:hAnsi="Arial" w:cs="Arial"/>
          <w:i/>
          <w:color w:val="000000"/>
          <w:sz w:val="24"/>
          <w:szCs w:val="24"/>
        </w:rPr>
        <w:t xml:space="preserve"> 42 of 2001 and came into operation on 7 December 2001. See </w:t>
      </w:r>
      <w:r w:rsidRPr="005561C1">
        <w:rPr>
          <w:rFonts w:ascii="Arial" w:hAnsi="Arial" w:cs="Arial"/>
          <w:b/>
          <w:i/>
          <w:iCs/>
          <w:color w:val="000000"/>
          <w:sz w:val="24"/>
          <w:szCs w:val="24"/>
        </w:rPr>
        <w:t>Government Gazette</w:t>
      </w:r>
      <w:r w:rsidRPr="005561C1">
        <w:rPr>
          <w:rFonts w:ascii="Arial" w:hAnsi="Arial" w:cs="Arial"/>
          <w:i/>
          <w:color w:val="000000"/>
          <w:sz w:val="24"/>
          <w:szCs w:val="24"/>
        </w:rPr>
        <w:t> 22912 dated 7 December 2001. Section 63A introduced a novelty. It provides for the possible release (or possible amendment of the bail conditions) of accused persons who fall in a prescribed limited category and who find themselves in a prison where the head of the prison is satisfied that the prison population of his prison 'is reaching such proportions that it constitutes a material and imminent threat to the human dignity, physical health or safety of the accused concerned. . .’ See s 63</w:t>
      </w:r>
      <w:proofErr w:type="gramStart"/>
      <w:r w:rsidRPr="005561C1">
        <w:rPr>
          <w:rFonts w:ascii="Arial" w:hAnsi="Arial" w:cs="Arial"/>
          <w:i/>
          <w:color w:val="000000"/>
          <w:sz w:val="24"/>
          <w:szCs w:val="24"/>
        </w:rPr>
        <w:t>A(</w:t>
      </w:r>
      <w:proofErr w:type="gramEnd"/>
      <w:r w:rsidRPr="005561C1">
        <w:rPr>
          <w:rFonts w:ascii="Arial" w:hAnsi="Arial" w:cs="Arial"/>
          <w:i/>
          <w:color w:val="000000"/>
          <w:sz w:val="24"/>
          <w:szCs w:val="24"/>
        </w:rPr>
        <w:t>1)</w:t>
      </w:r>
      <w:r>
        <w:rPr>
          <w:rFonts w:ascii="Arial" w:hAnsi="Arial" w:cs="Arial"/>
          <w:i/>
          <w:color w:val="000000"/>
          <w:sz w:val="24"/>
          <w:szCs w:val="24"/>
        </w:rPr>
        <w:t>.”</w:t>
      </w:r>
    </w:p>
    <w:p w14:paraId="5ABD3A43" w14:textId="77777777" w:rsidR="005561C1" w:rsidRDefault="005561C1" w:rsidP="005561C1">
      <w:pPr>
        <w:pStyle w:val="ListParagraph"/>
        <w:spacing w:line="360" w:lineRule="auto"/>
        <w:rPr>
          <w:rFonts w:ascii="Arial" w:hAnsi="Arial" w:cs="Arial"/>
          <w:sz w:val="28"/>
          <w:szCs w:val="28"/>
        </w:rPr>
      </w:pPr>
    </w:p>
    <w:p w14:paraId="2870F31C" w14:textId="77777777" w:rsidR="005561C1" w:rsidRDefault="005561C1" w:rsidP="005561C1">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Two (2) issues are relevant on this score. </w:t>
      </w:r>
      <w:r w:rsidR="009576DA">
        <w:rPr>
          <w:rFonts w:ascii="Arial" w:hAnsi="Arial" w:cs="Arial"/>
          <w:sz w:val="28"/>
          <w:szCs w:val="28"/>
        </w:rPr>
        <w:t>The first issue, is that it is a novelty and should be initiated by the prison head on satisfaction of certain conditions.  There is a limited category of accused persons who fall in that prescribed limited category and with the charges levelled against the accused, they are not part of these limited category prisoners. Further, when the accused are imprisoned pending trial proceedings, the head of the prison may apply for the release on bail to be reconsidered upon being satisfied of certain conditions.</w:t>
      </w:r>
    </w:p>
    <w:p w14:paraId="102B39B0" w14:textId="77777777" w:rsidR="004D70FD" w:rsidRDefault="004D70FD" w:rsidP="00CA484F">
      <w:pPr>
        <w:widowControl w:val="0"/>
        <w:spacing w:after="0" w:line="480" w:lineRule="auto"/>
        <w:jc w:val="both"/>
        <w:rPr>
          <w:rFonts w:ascii="Arial" w:hAnsi="Arial" w:cs="Arial"/>
          <w:sz w:val="28"/>
          <w:szCs w:val="28"/>
        </w:rPr>
      </w:pPr>
    </w:p>
    <w:p w14:paraId="6550D779" w14:textId="77777777" w:rsidR="004D70FD" w:rsidRPr="0060791E" w:rsidRDefault="0060791E" w:rsidP="0060791E">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The purpose of bail is set out as follows in </w:t>
      </w:r>
      <w:r>
        <w:rPr>
          <w:rFonts w:ascii="Arial" w:hAnsi="Arial" w:cs="Arial"/>
          <w:b/>
          <w:sz w:val="28"/>
          <w:szCs w:val="28"/>
        </w:rPr>
        <w:t>Du Toit: Commentary on the Criminal Procedures Act</w:t>
      </w:r>
      <w:r>
        <w:rPr>
          <w:rFonts w:ascii="Arial" w:hAnsi="Arial" w:cs="Arial"/>
          <w:sz w:val="28"/>
          <w:szCs w:val="28"/>
        </w:rPr>
        <w:t xml:space="preserve">, </w:t>
      </w:r>
      <w:r w:rsidRPr="0060791E">
        <w:rPr>
          <w:rFonts w:ascii="Arial" w:hAnsi="Arial" w:cs="Arial"/>
          <w:bCs/>
          <w:sz w:val="28"/>
          <w:szCs w:val="28"/>
        </w:rPr>
        <w:t>RS 66, 2021 </w:t>
      </w:r>
      <w:bookmarkStart w:id="1" w:name="0-0-0-11625"/>
      <w:bookmarkEnd w:id="1"/>
      <w:r w:rsidRPr="0060791E">
        <w:rPr>
          <w:rFonts w:ascii="Arial" w:hAnsi="Arial" w:cs="Arial"/>
          <w:bCs/>
          <w:sz w:val="28"/>
          <w:szCs w:val="28"/>
        </w:rPr>
        <w:t>ch9-p5</w:t>
      </w:r>
    </w:p>
    <w:p w14:paraId="6967222F" w14:textId="77777777" w:rsidR="0060791E" w:rsidRPr="0060791E" w:rsidRDefault="0060791E" w:rsidP="0060791E">
      <w:pPr>
        <w:spacing w:after="0" w:line="360" w:lineRule="auto"/>
        <w:ind w:left="1440"/>
        <w:jc w:val="both"/>
        <w:rPr>
          <w:rFonts w:ascii="Arial" w:eastAsia="Times New Roman" w:hAnsi="Arial" w:cs="Arial"/>
          <w:i/>
          <w:color w:val="000000"/>
          <w:sz w:val="24"/>
          <w:szCs w:val="24"/>
          <w:lang w:eastAsia="en-ZA"/>
        </w:rPr>
      </w:pPr>
      <w:r>
        <w:rPr>
          <w:rFonts w:ascii="Arial" w:eastAsia="Times New Roman" w:hAnsi="Arial" w:cs="Arial"/>
          <w:i/>
          <w:color w:val="000000"/>
          <w:sz w:val="24"/>
          <w:szCs w:val="24"/>
          <w:lang w:eastAsia="en-ZA"/>
        </w:rPr>
        <w:t>“</w:t>
      </w:r>
      <w:r w:rsidRPr="0060791E">
        <w:rPr>
          <w:rFonts w:ascii="Arial" w:eastAsia="Times New Roman" w:hAnsi="Arial" w:cs="Arial"/>
          <w:i/>
          <w:color w:val="000000"/>
          <w:sz w:val="24"/>
          <w:szCs w:val="24"/>
          <w:lang w:eastAsia="en-ZA"/>
        </w:rPr>
        <w:t xml:space="preserve">The purpose of bail is to strike a balance between the interests of society (the accused should stand his trial and there should be no interference with the administration of justice) and the liberty of an accused (who, pending the outcome of his trial, is presumed to be </w:t>
      </w:r>
      <w:r w:rsidRPr="0060791E">
        <w:rPr>
          <w:rFonts w:ascii="Arial" w:eastAsia="Times New Roman" w:hAnsi="Arial" w:cs="Arial"/>
          <w:i/>
          <w:color w:val="000000"/>
          <w:sz w:val="24"/>
          <w:szCs w:val="24"/>
          <w:lang w:eastAsia="en-ZA"/>
        </w:rPr>
        <w:lastRenderedPageBreak/>
        <w:t>innocent) (</w:t>
      </w:r>
      <w:r w:rsidRPr="0060791E">
        <w:rPr>
          <w:rFonts w:ascii="Arial" w:eastAsia="Times New Roman" w:hAnsi="Arial" w:cs="Arial"/>
          <w:b/>
          <w:i/>
          <w:iCs/>
          <w:color w:val="000000"/>
          <w:sz w:val="24"/>
          <w:szCs w:val="24"/>
          <w:lang w:eastAsia="en-ZA"/>
        </w:rPr>
        <w:t>Majali v S</w:t>
      </w:r>
      <w:r w:rsidRPr="0060791E">
        <w:rPr>
          <w:rFonts w:ascii="Arial" w:eastAsia="Times New Roman" w:hAnsi="Arial" w:cs="Arial"/>
          <w:i/>
          <w:color w:val="000000"/>
          <w:sz w:val="24"/>
          <w:szCs w:val="24"/>
          <w:lang w:eastAsia="en-ZA"/>
        </w:rPr>
        <w:t> (unreported, GSJ case no 41210/2010, 19 July 2011) at [17]; Cameron 2020 </w:t>
      </w:r>
      <w:r w:rsidRPr="0060791E">
        <w:rPr>
          <w:rFonts w:ascii="Arial" w:eastAsia="Times New Roman" w:hAnsi="Arial" w:cs="Arial"/>
          <w:i/>
          <w:iCs/>
          <w:color w:val="000000"/>
          <w:sz w:val="24"/>
          <w:szCs w:val="24"/>
          <w:lang w:eastAsia="en-ZA"/>
        </w:rPr>
        <w:t>SALJ</w:t>
      </w:r>
      <w:r w:rsidRPr="0060791E">
        <w:rPr>
          <w:rFonts w:ascii="Arial" w:eastAsia="Times New Roman" w:hAnsi="Arial" w:cs="Arial"/>
          <w:i/>
          <w:color w:val="000000"/>
          <w:sz w:val="24"/>
          <w:szCs w:val="24"/>
          <w:lang w:eastAsia="en-ZA"/>
        </w:rPr>
        <w:t xml:space="preserve"> 32 59–60). In </w:t>
      </w:r>
      <w:r w:rsidRPr="0060791E">
        <w:rPr>
          <w:rFonts w:ascii="Arial" w:eastAsia="Times New Roman" w:hAnsi="Arial" w:cs="Arial"/>
          <w:b/>
          <w:i/>
          <w:color w:val="000000"/>
          <w:sz w:val="24"/>
          <w:szCs w:val="24"/>
          <w:lang w:eastAsia="en-ZA"/>
        </w:rPr>
        <w:t>Nagel (ed) </w:t>
      </w:r>
      <w:r w:rsidRPr="0060791E">
        <w:rPr>
          <w:rFonts w:ascii="Arial" w:eastAsia="Times New Roman" w:hAnsi="Arial" w:cs="Arial"/>
          <w:b/>
          <w:i/>
          <w:iCs/>
          <w:color w:val="000000"/>
          <w:sz w:val="24"/>
          <w:szCs w:val="24"/>
          <w:lang w:eastAsia="en-ZA"/>
        </w:rPr>
        <w:t>Rights of the Accused</w:t>
      </w:r>
      <w:r w:rsidRPr="0060791E">
        <w:rPr>
          <w:rFonts w:ascii="Arial" w:eastAsia="Times New Roman" w:hAnsi="Arial" w:cs="Arial"/>
          <w:i/>
          <w:color w:val="000000"/>
          <w:sz w:val="24"/>
          <w:szCs w:val="24"/>
          <w:lang w:eastAsia="en-ZA"/>
        </w:rPr>
        <w:t> (1972) 177–8 the following valid remarks are also made (our emphasis):</w:t>
      </w:r>
    </w:p>
    <w:p w14:paraId="34974E20" w14:textId="77777777" w:rsidR="0060791E" w:rsidRPr="0060791E" w:rsidRDefault="0060791E" w:rsidP="0060791E">
      <w:pPr>
        <w:spacing w:after="0" w:line="360" w:lineRule="auto"/>
        <w:ind w:left="1440"/>
        <w:jc w:val="both"/>
        <w:rPr>
          <w:rFonts w:ascii="Verdana" w:eastAsia="Times New Roman" w:hAnsi="Verdana" w:cs="Times New Roman"/>
          <w:i/>
          <w:color w:val="000000"/>
          <w:sz w:val="18"/>
          <w:szCs w:val="18"/>
          <w:lang w:eastAsia="en-ZA"/>
        </w:rPr>
      </w:pPr>
      <w:r w:rsidRPr="0060791E">
        <w:rPr>
          <w:rFonts w:ascii="Arial" w:eastAsia="Times New Roman" w:hAnsi="Arial" w:cs="Arial"/>
          <w:i/>
          <w:color w:val="000000"/>
          <w:sz w:val="24"/>
          <w:szCs w:val="24"/>
          <w:lang w:eastAsia="en-ZA"/>
        </w:rPr>
        <w:t>'The basic purpose of bail, from society’s point of view, has always been and still is to ensure the accused’s reappearance for trial. But pretrial release serves other purposes as well, purposes recognised over the last decade as often dispositive of the fairness of the entire criminal proceeding. </w:t>
      </w:r>
      <w:r w:rsidRPr="0060791E">
        <w:rPr>
          <w:rFonts w:ascii="Arial" w:eastAsia="Times New Roman" w:hAnsi="Arial" w:cs="Arial"/>
          <w:i/>
          <w:iCs/>
          <w:color w:val="000000"/>
          <w:sz w:val="24"/>
          <w:szCs w:val="24"/>
          <w:lang w:eastAsia="en-ZA"/>
        </w:rPr>
        <w:t>Pretrial release allows a man accused of crime to keep the fabric of his life intact, to maintain employment and family ties in the event he is acquitted or given a suspended sentence or probation</w:t>
      </w:r>
      <w:r w:rsidRPr="0060791E">
        <w:rPr>
          <w:rFonts w:ascii="Arial" w:eastAsia="Times New Roman" w:hAnsi="Arial" w:cs="Arial"/>
          <w:i/>
          <w:color w:val="000000"/>
          <w:sz w:val="24"/>
          <w:szCs w:val="24"/>
          <w:lang w:eastAsia="en-ZA"/>
        </w:rPr>
        <w:t>. It spares his family the hardship and indignity of welfare and enforced separation. </w:t>
      </w:r>
      <w:r w:rsidRPr="0060791E">
        <w:rPr>
          <w:rFonts w:ascii="Arial" w:eastAsia="Times New Roman" w:hAnsi="Arial" w:cs="Arial"/>
          <w:i/>
          <w:iCs/>
          <w:color w:val="000000"/>
          <w:sz w:val="24"/>
          <w:szCs w:val="24"/>
          <w:lang w:eastAsia="en-ZA"/>
        </w:rPr>
        <w:t xml:space="preserve">It permits the accused to take an active part in planning his </w:t>
      </w:r>
      <w:proofErr w:type="spellStart"/>
      <w:r w:rsidRPr="0060791E">
        <w:rPr>
          <w:rFonts w:ascii="Arial" w:eastAsia="Times New Roman" w:hAnsi="Arial" w:cs="Arial"/>
          <w:i/>
          <w:iCs/>
          <w:color w:val="000000"/>
          <w:sz w:val="24"/>
          <w:szCs w:val="24"/>
          <w:lang w:eastAsia="en-ZA"/>
        </w:rPr>
        <w:t>defense</w:t>
      </w:r>
      <w:proofErr w:type="spellEnd"/>
      <w:r w:rsidRPr="0060791E">
        <w:rPr>
          <w:rFonts w:ascii="Arial" w:eastAsia="Times New Roman" w:hAnsi="Arial" w:cs="Arial"/>
          <w:i/>
          <w:color w:val="000000"/>
          <w:sz w:val="24"/>
          <w:szCs w:val="24"/>
          <w:lang w:eastAsia="en-ZA"/>
        </w:rPr>
        <w:t> [</w:t>
      </w:r>
      <w:r w:rsidRPr="0060791E">
        <w:rPr>
          <w:rFonts w:ascii="Arial" w:eastAsia="Times New Roman" w:hAnsi="Arial" w:cs="Arial"/>
          <w:i/>
          <w:iCs/>
          <w:color w:val="000000"/>
          <w:sz w:val="24"/>
          <w:szCs w:val="24"/>
          <w:lang w:eastAsia="en-ZA"/>
        </w:rPr>
        <w:t>sic</w:t>
      </w:r>
      <w:r w:rsidRPr="0060791E">
        <w:rPr>
          <w:rFonts w:ascii="Arial" w:eastAsia="Times New Roman" w:hAnsi="Arial" w:cs="Arial"/>
          <w:i/>
          <w:color w:val="000000"/>
          <w:sz w:val="24"/>
          <w:szCs w:val="24"/>
          <w:lang w:eastAsia="en-ZA"/>
        </w:rPr>
        <w:t>] </w:t>
      </w:r>
      <w:r w:rsidRPr="0060791E">
        <w:rPr>
          <w:rFonts w:ascii="Arial" w:eastAsia="Times New Roman" w:hAnsi="Arial" w:cs="Arial"/>
          <w:i/>
          <w:iCs/>
          <w:color w:val="000000"/>
          <w:sz w:val="24"/>
          <w:szCs w:val="24"/>
          <w:lang w:eastAsia="en-ZA"/>
        </w:rPr>
        <w:t>with his counsel, locating witnesses, proving his capability of staying free in the community without getting into trouble</w:t>
      </w:r>
      <w:proofErr w:type="gramStart"/>
      <w:r w:rsidRPr="0060791E">
        <w:rPr>
          <w:rFonts w:ascii="Arial" w:eastAsia="Times New Roman" w:hAnsi="Arial" w:cs="Arial"/>
          <w:i/>
          <w:color w:val="000000"/>
          <w:sz w:val="24"/>
          <w:szCs w:val="24"/>
          <w:lang w:eastAsia="en-ZA"/>
        </w:rPr>
        <w:t>. . . .</w:t>
      </w:r>
      <w:proofErr w:type="gramEnd"/>
      <w:r w:rsidRPr="0060791E">
        <w:rPr>
          <w:rFonts w:ascii="Arial" w:eastAsia="Times New Roman" w:hAnsi="Arial" w:cs="Arial"/>
          <w:i/>
          <w:color w:val="000000"/>
          <w:sz w:val="24"/>
          <w:szCs w:val="24"/>
          <w:lang w:eastAsia="en-ZA"/>
        </w:rPr>
        <w:t xml:space="preserve"> In the past decade, studies have shown that those on pretrial release plead guilty less often, are convicted less often, go to prison less often following conviction than those detained before trial. This is true even when the study controls for factors such as employment at the time of arrest, retained or assigned counsel, family ties, past record and present charge. The factor of pretrial release alone shows up as a vitally controlling factor in the outcome of the trial and sentencing</w:t>
      </w:r>
      <w:proofErr w:type="gramStart"/>
      <w:r w:rsidRPr="0060791E">
        <w:rPr>
          <w:rFonts w:ascii="Arial" w:eastAsia="Times New Roman" w:hAnsi="Arial" w:cs="Arial"/>
          <w:i/>
          <w:color w:val="000000"/>
          <w:sz w:val="24"/>
          <w:szCs w:val="24"/>
          <w:lang w:eastAsia="en-ZA"/>
        </w:rPr>
        <w:t>. . . .</w:t>
      </w:r>
      <w:proofErr w:type="gramEnd"/>
      <w:r w:rsidRPr="0060791E">
        <w:rPr>
          <w:rFonts w:ascii="Arial" w:eastAsia="Times New Roman" w:hAnsi="Arial" w:cs="Arial"/>
          <w:i/>
          <w:color w:val="000000"/>
          <w:sz w:val="24"/>
          <w:szCs w:val="24"/>
          <w:lang w:eastAsia="en-ZA"/>
        </w:rPr>
        <w:t>’</w:t>
      </w:r>
      <w:r>
        <w:rPr>
          <w:rFonts w:ascii="Arial" w:eastAsia="Times New Roman" w:hAnsi="Arial" w:cs="Arial"/>
          <w:i/>
          <w:color w:val="000000"/>
          <w:sz w:val="24"/>
          <w:szCs w:val="24"/>
          <w:lang w:eastAsia="en-ZA"/>
        </w:rPr>
        <w:t>”</w:t>
      </w:r>
    </w:p>
    <w:p w14:paraId="2B9CEE6E" w14:textId="77777777" w:rsidR="0060791E" w:rsidRDefault="0060791E" w:rsidP="0060791E">
      <w:pPr>
        <w:rPr>
          <w:rFonts w:ascii="Arial" w:hAnsi="Arial" w:cs="Arial"/>
          <w:sz w:val="28"/>
          <w:szCs w:val="28"/>
        </w:rPr>
      </w:pPr>
    </w:p>
    <w:p w14:paraId="3E73AC68" w14:textId="77777777" w:rsidR="0060791E" w:rsidRPr="0060791E" w:rsidRDefault="0060791E" w:rsidP="0060791E">
      <w:pPr>
        <w:rPr>
          <w:rFonts w:ascii="Arial" w:hAnsi="Arial" w:cs="Arial"/>
          <w:sz w:val="28"/>
          <w:szCs w:val="28"/>
        </w:rPr>
      </w:pPr>
    </w:p>
    <w:p w14:paraId="76A9DF54" w14:textId="77777777" w:rsidR="0060791E" w:rsidRPr="0060791E" w:rsidRDefault="0060791E" w:rsidP="0060791E">
      <w:pPr>
        <w:widowControl w:val="0"/>
        <w:numPr>
          <w:ilvl w:val="0"/>
          <w:numId w:val="14"/>
        </w:numPr>
        <w:tabs>
          <w:tab w:val="clear" w:pos="4386"/>
        </w:tabs>
        <w:spacing w:after="0" w:line="480" w:lineRule="auto"/>
        <w:ind w:left="709" w:hanging="709"/>
        <w:jc w:val="both"/>
        <w:rPr>
          <w:rFonts w:ascii="Arial" w:hAnsi="Arial" w:cs="Arial"/>
          <w:sz w:val="28"/>
          <w:szCs w:val="28"/>
        </w:rPr>
      </w:pPr>
      <w:r w:rsidRPr="0060791E">
        <w:rPr>
          <w:rFonts w:ascii="Arial" w:hAnsi="Arial" w:cs="Arial"/>
          <w:color w:val="000000"/>
          <w:sz w:val="28"/>
          <w:szCs w:val="28"/>
        </w:rPr>
        <w:t xml:space="preserve">The granting of bail,’ said Roberson AJ </w:t>
      </w:r>
      <w:r w:rsidRPr="0060791E">
        <w:rPr>
          <w:rFonts w:ascii="Arial" w:hAnsi="Arial" w:cs="Arial"/>
          <w:b/>
          <w:color w:val="000000"/>
          <w:sz w:val="28"/>
          <w:szCs w:val="28"/>
        </w:rPr>
        <w:t>in </w:t>
      </w:r>
      <w:r w:rsidRPr="0060791E">
        <w:rPr>
          <w:rFonts w:ascii="Arial" w:hAnsi="Arial" w:cs="Arial"/>
          <w:b/>
          <w:iCs/>
          <w:sz w:val="28"/>
          <w:szCs w:val="28"/>
        </w:rPr>
        <w:t>S v Jaco</w:t>
      </w:r>
      <w:r w:rsidRPr="0060791E">
        <w:rPr>
          <w:rFonts w:ascii="Arial" w:hAnsi="Arial" w:cs="Arial"/>
          <w:iCs/>
          <w:sz w:val="28"/>
          <w:szCs w:val="28"/>
        </w:rPr>
        <w:t>bs</w:t>
      </w:r>
      <w:r w:rsidRPr="0060791E">
        <w:rPr>
          <w:rFonts w:ascii="Arial" w:hAnsi="Arial" w:cs="Arial"/>
          <w:sz w:val="28"/>
          <w:szCs w:val="28"/>
        </w:rPr>
        <w:t>  </w:t>
      </w:r>
      <w:hyperlink r:id="rId10" w:tgtFrame="main" w:history="1">
        <w:r w:rsidRPr="0060791E">
          <w:rPr>
            <w:rStyle w:val="Hyperlink"/>
            <w:rFonts w:ascii="Arial" w:hAnsi="Arial" w:cs="Arial"/>
            <w:color w:val="auto"/>
            <w:sz w:val="28"/>
            <w:szCs w:val="28"/>
            <w:u w:val="none"/>
          </w:rPr>
          <w:t>2011 (1) SACR 490 (ECP)</w:t>
        </w:r>
      </w:hyperlink>
      <w:r w:rsidRPr="0060791E">
        <w:rPr>
          <w:rFonts w:ascii="Arial" w:hAnsi="Arial" w:cs="Arial"/>
          <w:color w:val="000000"/>
          <w:sz w:val="28"/>
          <w:szCs w:val="28"/>
        </w:rPr>
        <w:t> at [12], 'recognises an awaiting-trial accused’s right to liberty while he is presumed innocent.’ In</w:t>
      </w:r>
      <w:r w:rsidRPr="0060791E">
        <w:rPr>
          <w:rFonts w:ascii="Arial" w:hAnsi="Arial" w:cs="Arial"/>
          <w:b/>
          <w:color w:val="000000"/>
          <w:sz w:val="28"/>
          <w:szCs w:val="28"/>
        </w:rPr>
        <w:t> </w:t>
      </w:r>
      <w:r w:rsidRPr="0060791E">
        <w:rPr>
          <w:rFonts w:ascii="Arial" w:hAnsi="Arial" w:cs="Arial"/>
          <w:b/>
          <w:iCs/>
          <w:color w:val="000000"/>
          <w:sz w:val="28"/>
          <w:szCs w:val="28"/>
        </w:rPr>
        <w:t>S v Panayiotou</w:t>
      </w:r>
      <w:r w:rsidRPr="0060791E">
        <w:rPr>
          <w:rFonts w:ascii="Arial" w:hAnsi="Arial" w:cs="Arial"/>
          <w:color w:val="000000"/>
          <w:sz w:val="28"/>
          <w:szCs w:val="28"/>
        </w:rPr>
        <w:t xml:space="preserve"> (unreported, ECG case no CA&amp;R 06/2015, 28 July 2015) at [11] Goosen J stated: 'Bail proceedings . . . concern questions of the liberty interest of a person who is presumed to be </w:t>
      </w:r>
      <w:r w:rsidRPr="0060791E">
        <w:rPr>
          <w:rFonts w:ascii="Arial" w:hAnsi="Arial" w:cs="Arial"/>
          <w:color w:val="000000"/>
          <w:sz w:val="28"/>
          <w:szCs w:val="28"/>
        </w:rPr>
        <w:lastRenderedPageBreak/>
        <w:t>innocent until his . . . guilt is proved in a court of law.’</w:t>
      </w:r>
    </w:p>
    <w:p w14:paraId="6DE999A4" w14:textId="77777777" w:rsidR="00C1147E" w:rsidRPr="00C1147E" w:rsidRDefault="00C1147E" w:rsidP="00C1147E">
      <w:pPr>
        <w:widowControl w:val="0"/>
        <w:spacing w:after="0" w:line="480" w:lineRule="auto"/>
        <w:jc w:val="both"/>
        <w:rPr>
          <w:rFonts w:ascii="Arial" w:hAnsi="Arial" w:cs="Arial"/>
          <w:sz w:val="28"/>
          <w:szCs w:val="28"/>
        </w:rPr>
      </w:pPr>
    </w:p>
    <w:p w14:paraId="35B819CC" w14:textId="77777777" w:rsidR="00C1147E" w:rsidRPr="0060791E" w:rsidRDefault="00C1147E" w:rsidP="00C1147E">
      <w:pPr>
        <w:widowControl w:val="0"/>
        <w:numPr>
          <w:ilvl w:val="0"/>
          <w:numId w:val="14"/>
        </w:numPr>
        <w:tabs>
          <w:tab w:val="clear" w:pos="4386"/>
        </w:tabs>
        <w:spacing w:after="0" w:line="480" w:lineRule="auto"/>
        <w:ind w:left="709" w:hanging="709"/>
        <w:jc w:val="both"/>
        <w:rPr>
          <w:rFonts w:ascii="Arial" w:hAnsi="Arial" w:cs="Arial"/>
          <w:sz w:val="28"/>
          <w:szCs w:val="28"/>
        </w:rPr>
      </w:pPr>
      <w:r w:rsidRPr="0060791E">
        <w:rPr>
          <w:rFonts w:ascii="Arial" w:eastAsia="Times New Roman" w:hAnsi="Arial" w:cs="Arial"/>
          <w:color w:val="000000"/>
          <w:sz w:val="28"/>
          <w:szCs w:val="28"/>
          <w:lang w:eastAsia="en-ZA"/>
        </w:rPr>
        <w:t>In </w:t>
      </w:r>
      <w:r w:rsidRPr="0060791E">
        <w:rPr>
          <w:rFonts w:ascii="Arial" w:eastAsia="Times New Roman" w:hAnsi="Arial" w:cs="Arial"/>
          <w:b/>
          <w:iCs/>
          <w:sz w:val="28"/>
          <w:szCs w:val="28"/>
          <w:lang w:eastAsia="en-ZA"/>
        </w:rPr>
        <w:t>S v Acheson</w:t>
      </w:r>
      <w:r w:rsidRPr="0060791E">
        <w:rPr>
          <w:rFonts w:ascii="Arial" w:eastAsia="Times New Roman" w:hAnsi="Arial" w:cs="Arial"/>
          <w:sz w:val="28"/>
          <w:szCs w:val="28"/>
          <w:lang w:eastAsia="en-ZA"/>
        </w:rPr>
        <w:t>  </w:t>
      </w:r>
      <w:hyperlink r:id="rId11" w:tgtFrame="main" w:history="1">
        <w:r w:rsidRPr="0060791E">
          <w:rPr>
            <w:rFonts w:ascii="Arial" w:eastAsia="Times New Roman" w:hAnsi="Arial" w:cs="Arial"/>
            <w:sz w:val="28"/>
            <w:szCs w:val="28"/>
            <w:lang w:eastAsia="en-ZA"/>
          </w:rPr>
          <w:t>1991 (2) SA 805 (Nm)</w:t>
        </w:r>
      </w:hyperlink>
      <w:r w:rsidRPr="0060791E">
        <w:rPr>
          <w:rFonts w:ascii="Arial" w:eastAsia="Times New Roman" w:hAnsi="Arial" w:cs="Arial"/>
          <w:color w:val="000000"/>
          <w:sz w:val="28"/>
          <w:szCs w:val="28"/>
          <w:lang w:eastAsia="en-ZA"/>
        </w:rPr>
        <w:t> Mahomed J remarked as follows (at 822A–B):</w:t>
      </w:r>
    </w:p>
    <w:p w14:paraId="72C26C44" w14:textId="77777777" w:rsidR="00C1147E" w:rsidRPr="0060791E" w:rsidRDefault="00C1147E" w:rsidP="00C1147E">
      <w:pPr>
        <w:spacing w:after="0" w:line="480" w:lineRule="auto"/>
        <w:ind w:left="1440"/>
        <w:jc w:val="both"/>
        <w:rPr>
          <w:rFonts w:ascii="Arial" w:eastAsia="Times New Roman" w:hAnsi="Arial" w:cs="Arial"/>
          <w:i/>
          <w:color w:val="000000"/>
          <w:sz w:val="28"/>
          <w:szCs w:val="28"/>
          <w:lang w:eastAsia="en-ZA"/>
        </w:rPr>
      </w:pPr>
      <w:r w:rsidRPr="0060791E">
        <w:rPr>
          <w:rFonts w:ascii="Arial" w:eastAsia="Times New Roman" w:hAnsi="Arial" w:cs="Arial"/>
          <w:i/>
          <w:color w:val="000000"/>
          <w:sz w:val="28"/>
          <w:szCs w:val="28"/>
          <w:lang w:eastAsia="en-ZA"/>
        </w:rPr>
        <w:t>'An accused person cannot be kept in detention pending his trial as a form of anticipatory punishment. The presumption of the law is that he is innocent until his guilt has been established in court. The court will therefore ordinarily grant bail to an accused person unless this is likely to prejudice the ends of justice.’</w:t>
      </w:r>
    </w:p>
    <w:p w14:paraId="27C05FA5" w14:textId="77777777" w:rsidR="00C1147E" w:rsidRPr="007C19EE" w:rsidRDefault="00C1147E" w:rsidP="007C19EE">
      <w:pPr>
        <w:widowControl w:val="0"/>
        <w:spacing w:after="0" w:line="480" w:lineRule="auto"/>
        <w:jc w:val="both"/>
        <w:rPr>
          <w:rFonts w:ascii="Arial" w:hAnsi="Arial" w:cs="Arial"/>
          <w:sz w:val="28"/>
          <w:szCs w:val="28"/>
        </w:rPr>
      </w:pPr>
    </w:p>
    <w:p w14:paraId="1A2208FF" w14:textId="77777777" w:rsidR="00C1147E" w:rsidRPr="00C1147E" w:rsidRDefault="00C1147E" w:rsidP="00C1147E">
      <w:pPr>
        <w:widowControl w:val="0"/>
        <w:numPr>
          <w:ilvl w:val="0"/>
          <w:numId w:val="14"/>
        </w:numPr>
        <w:tabs>
          <w:tab w:val="clear" w:pos="4386"/>
        </w:tabs>
        <w:spacing w:after="0" w:line="480" w:lineRule="auto"/>
        <w:ind w:left="709" w:hanging="709"/>
        <w:jc w:val="both"/>
        <w:rPr>
          <w:rFonts w:ascii="Arial" w:hAnsi="Arial" w:cs="Arial"/>
          <w:sz w:val="28"/>
          <w:szCs w:val="28"/>
        </w:rPr>
      </w:pPr>
      <w:r w:rsidRPr="007C19EE">
        <w:rPr>
          <w:rFonts w:ascii="Arial" w:hAnsi="Arial" w:cs="Arial"/>
          <w:b/>
          <w:sz w:val="28"/>
          <w:szCs w:val="28"/>
        </w:rPr>
        <w:t xml:space="preserve">In Du </w:t>
      </w:r>
      <w:proofErr w:type="spellStart"/>
      <w:r w:rsidRPr="007C19EE">
        <w:rPr>
          <w:rFonts w:ascii="Arial" w:hAnsi="Arial" w:cs="Arial"/>
          <w:b/>
          <w:sz w:val="28"/>
          <w:szCs w:val="28"/>
        </w:rPr>
        <w:t>Toit</w:t>
      </w:r>
      <w:proofErr w:type="spellEnd"/>
      <w:r w:rsidRPr="007C19EE">
        <w:rPr>
          <w:rFonts w:ascii="Arial" w:hAnsi="Arial" w:cs="Arial"/>
          <w:b/>
          <w:sz w:val="28"/>
          <w:szCs w:val="28"/>
        </w:rPr>
        <w:t xml:space="preserve">: </w:t>
      </w:r>
      <w:proofErr w:type="spellStart"/>
      <w:r w:rsidRPr="007C19EE">
        <w:rPr>
          <w:rFonts w:ascii="Arial" w:hAnsi="Arial" w:cs="Arial"/>
          <w:b/>
          <w:sz w:val="28"/>
          <w:szCs w:val="28"/>
        </w:rPr>
        <w:t>Commontary</w:t>
      </w:r>
      <w:proofErr w:type="spellEnd"/>
      <w:r w:rsidRPr="007C19EE">
        <w:rPr>
          <w:rFonts w:ascii="Arial" w:hAnsi="Arial" w:cs="Arial"/>
          <w:b/>
          <w:sz w:val="28"/>
          <w:szCs w:val="28"/>
        </w:rPr>
        <w:t xml:space="preserve"> on the Criminal Procedure Act</w:t>
      </w:r>
      <w:r>
        <w:rPr>
          <w:rFonts w:ascii="Arial" w:hAnsi="Arial" w:cs="Arial"/>
          <w:sz w:val="28"/>
          <w:szCs w:val="28"/>
        </w:rPr>
        <w:t xml:space="preserve"> the following is held at </w:t>
      </w:r>
      <w:r w:rsidRPr="00C1147E">
        <w:rPr>
          <w:rFonts w:ascii="Arial" w:hAnsi="Arial" w:cs="Arial"/>
          <w:bCs/>
          <w:sz w:val="28"/>
          <w:szCs w:val="28"/>
        </w:rPr>
        <w:t>RS 66, 2021 </w:t>
      </w:r>
      <w:bookmarkStart w:id="2" w:name="0-0-0-11635"/>
      <w:bookmarkEnd w:id="2"/>
      <w:r w:rsidRPr="00C1147E">
        <w:rPr>
          <w:rFonts w:ascii="Arial" w:hAnsi="Arial" w:cs="Arial"/>
          <w:bCs/>
          <w:sz w:val="28"/>
          <w:szCs w:val="28"/>
        </w:rPr>
        <w:t>ch9-p6</w:t>
      </w:r>
      <w:r w:rsidR="007C19EE">
        <w:rPr>
          <w:rFonts w:ascii="Arial" w:hAnsi="Arial" w:cs="Arial"/>
          <w:bCs/>
          <w:sz w:val="28"/>
          <w:szCs w:val="28"/>
        </w:rPr>
        <w:t xml:space="preserve">: </w:t>
      </w:r>
    </w:p>
    <w:p w14:paraId="26BFE020" w14:textId="77777777" w:rsidR="0060791E" w:rsidRDefault="0060791E" w:rsidP="0060791E">
      <w:pPr>
        <w:rPr>
          <w:rFonts w:ascii="Arial" w:eastAsia="Times New Roman" w:hAnsi="Arial" w:cs="Arial"/>
          <w:color w:val="000000"/>
          <w:sz w:val="28"/>
          <w:szCs w:val="28"/>
          <w:lang w:eastAsia="en-ZA"/>
        </w:rPr>
      </w:pPr>
    </w:p>
    <w:p w14:paraId="2A05FC06" w14:textId="77777777" w:rsidR="00C1147E" w:rsidRDefault="00C1147E" w:rsidP="00C1147E">
      <w:pPr>
        <w:spacing w:after="0" w:line="276" w:lineRule="auto"/>
        <w:ind w:left="1440"/>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w:t>
      </w:r>
      <w:r w:rsidR="0060791E" w:rsidRPr="0060791E">
        <w:rPr>
          <w:rFonts w:ascii="Arial" w:eastAsia="Times New Roman" w:hAnsi="Arial" w:cs="Arial"/>
          <w:color w:val="000000"/>
          <w:sz w:val="28"/>
          <w:szCs w:val="28"/>
          <w:lang w:eastAsia="en-ZA"/>
        </w:rPr>
        <w:t>The above passage was cited with approval by the Supreme Court of Appeal in </w:t>
      </w:r>
      <w:proofErr w:type="spellStart"/>
      <w:r w:rsidR="0060791E" w:rsidRPr="0060791E">
        <w:rPr>
          <w:rFonts w:ascii="Arial" w:eastAsia="Times New Roman" w:hAnsi="Arial" w:cs="Arial"/>
          <w:b/>
          <w:iCs/>
          <w:color w:val="000000"/>
          <w:sz w:val="28"/>
          <w:szCs w:val="28"/>
          <w:lang w:eastAsia="en-ZA"/>
        </w:rPr>
        <w:t>Crossberg</w:t>
      </w:r>
      <w:proofErr w:type="spellEnd"/>
      <w:r w:rsidR="0060791E" w:rsidRPr="0060791E">
        <w:rPr>
          <w:rFonts w:ascii="Arial" w:eastAsia="Times New Roman" w:hAnsi="Arial" w:cs="Arial"/>
          <w:b/>
          <w:iCs/>
          <w:color w:val="000000"/>
          <w:sz w:val="28"/>
          <w:szCs w:val="28"/>
          <w:lang w:eastAsia="en-ZA"/>
        </w:rPr>
        <w:t xml:space="preserve"> v S</w:t>
      </w:r>
      <w:r w:rsidR="0060791E" w:rsidRPr="0060791E">
        <w:rPr>
          <w:rFonts w:ascii="Arial" w:eastAsia="Times New Roman" w:hAnsi="Arial" w:cs="Arial"/>
          <w:color w:val="000000"/>
          <w:sz w:val="28"/>
          <w:szCs w:val="28"/>
          <w:lang w:eastAsia="en-ZA"/>
        </w:rPr>
        <w:t xml:space="preserve"> [2007] SCA 93 (RSA) at [13] note 1. At [13] it was also said: </w:t>
      </w:r>
    </w:p>
    <w:p w14:paraId="42A24833" w14:textId="77777777" w:rsidR="00C1147E" w:rsidRDefault="00C1147E" w:rsidP="00C1147E">
      <w:pPr>
        <w:spacing w:after="0" w:line="276" w:lineRule="auto"/>
        <w:ind w:left="1440"/>
        <w:jc w:val="both"/>
        <w:rPr>
          <w:rFonts w:ascii="Arial" w:eastAsia="Times New Roman" w:hAnsi="Arial" w:cs="Arial"/>
          <w:color w:val="000000"/>
          <w:sz w:val="28"/>
          <w:szCs w:val="28"/>
          <w:lang w:eastAsia="en-ZA"/>
        </w:rPr>
      </w:pPr>
    </w:p>
    <w:p w14:paraId="66B89415" w14:textId="77777777" w:rsidR="00C1147E" w:rsidRDefault="0060791E" w:rsidP="00C1147E">
      <w:pPr>
        <w:spacing w:after="0" w:line="276" w:lineRule="auto"/>
        <w:ind w:left="2160"/>
        <w:jc w:val="both"/>
        <w:rPr>
          <w:rFonts w:ascii="Arial" w:eastAsia="Times New Roman" w:hAnsi="Arial" w:cs="Arial"/>
          <w:color w:val="000000"/>
          <w:sz w:val="28"/>
          <w:szCs w:val="28"/>
          <w:lang w:eastAsia="en-ZA"/>
        </w:rPr>
      </w:pPr>
      <w:r w:rsidRPr="0060791E">
        <w:rPr>
          <w:rFonts w:ascii="Arial" w:eastAsia="Times New Roman" w:hAnsi="Arial" w:cs="Arial"/>
          <w:i/>
          <w:color w:val="000000"/>
          <w:sz w:val="28"/>
          <w:szCs w:val="28"/>
          <w:lang w:eastAsia="en-ZA"/>
        </w:rPr>
        <w:t>'It is so that there is a different emphasis in respect of bail pending finalisation of a trial as against bail pending finalisation of an appeal. The presumption of innocence operates in favour of an accused until his guilt has been established in court.’</w:t>
      </w:r>
      <w:r w:rsidRPr="0060791E">
        <w:rPr>
          <w:rFonts w:ascii="Arial" w:eastAsia="Times New Roman" w:hAnsi="Arial" w:cs="Arial"/>
          <w:color w:val="000000"/>
          <w:sz w:val="28"/>
          <w:szCs w:val="28"/>
          <w:lang w:eastAsia="en-ZA"/>
        </w:rPr>
        <w:t xml:space="preserve"> </w:t>
      </w:r>
    </w:p>
    <w:p w14:paraId="5215D560" w14:textId="77777777" w:rsidR="0060791E" w:rsidRPr="0060791E" w:rsidRDefault="0060791E" w:rsidP="00C1147E">
      <w:pPr>
        <w:spacing w:after="0" w:line="276" w:lineRule="auto"/>
        <w:ind w:left="1440"/>
        <w:jc w:val="both"/>
        <w:rPr>
          <w:rFonts w:ascii="Arial" w:eastAsia="Times New Roman" w:hAnsi="Arial" w:cs="Arial"/>
          <w:color w:val="000000"/>
          <w:sz w:val="28"/>
          <w:szCs w:val="28"/>
          <w:lang w:eastAsia="en-ZA"/>
        </w:rPr>
      </w:pPr>
      <w:r w:rsidRPr="0060791E">
        <w:rPr>
          <w:rFonts w:ascii="Arial" w:eastAsia="Times New Roman" w:hAnsi="Arial" w:cs="Arial"/>
          <w:color w:val="000000"/>
          <w:sz w:val="28"/>
          <w:szCs w:val="28"/>
          <w:lang w:eastAsia="en-ZA"/>
        </w:rPr>
        <w:t>(See also </w:t>
      </w:r>
      <w:r w:rsidRPr="0060791E">
        <w:rPr>
          <w:rFonts w:ascii="Arial" w:eastAsia="Times New Roman" w:hAnsi="Arial" w:cs="Arial"/>
          <w:b/>
          <w:iCs/>
          <w:color w:val="000000"/>
          <w:sz w:val="28"/>
          <w:szCs w:val="28"/>
          <w:lang w:eastAsia="en-ZA"/>
        </w:rPr>
        <w:t>S v Sambo</w:t>
      </w:r>
      <w:r w:rsidRPr="0060791E">
        <w:rPr>
          <w:rFonts w:ascii="Arial" w:eastAsia="Times New Roman" w:hAnsi="Arial" w:cs="Arial"/>
          <w:color w:val="000000"/>
          <w:sz w:val="28"/>
          <w:szCs w:val="28"/>
          <w:lang w:eastAsia="en-ZA"/>
        </w:rPr>
        <w:t> (unreported, NCK case no CA 01/2020, 17 June 2020) at [33]; Mokoena </w:t>
      </w:r>
      <w:r w:rsidRPr="0060791E">
        <w:rPr>
          <w:rFonts w:ascii="Arial" w:eastAsia="Times New Roman" w:hAnsi="Arial" w:cs="Arial"/>
          <w:iCs/>
          <w:color w:val="000000"/>
          <w:sz w:val="28"/>
          <w:szCs w:val="28"/>
          <w:lang w:eastAsia="en-ZA"/>
        </w:rPr>
        <w:t>A Guide to Bail Applications</w:t>
      </w:r>
      <w:r w:rsidRPr="0060791E">
        <w:rPr>
          <w:rFonts w:ascii="Arial" w:eastAsia="Times New Roman" w:hAnsi="Arial" w:cs="Arial"/>
          <w:color w:val="000000"/>
          <w:sz w:val="28"/>
          <w:szCs w:val="28"/>
          <w:lang w:eastAsia="en-ZA"/>
        </w:rPr>
        <w:t> 2 ed (2018) 48.)</w:t>
      </w:r>
      <w:r w:rsidR="00C1147E">
        <w:rPr>
          <w:rFonts w:ascii="Arial" w:eastAsia="Times New Roman" w:hAnsi="Arial" w:cs="Arial"/>
          <w:color w:val="000000"/>
          <w:sz w:val="28"/>
          <w:szCs w:val="28"/>
          <w:lang w:eastAsia="en-ZA"/>
        </w:rPr>
        <w:t>”</w:t>
      </w:r>
    </w:p>
    <w:p w14:paraId="2AA7A55C" w14:textId="77777777" w:rsidR="0060791E" w:rsidRDefault="0060791E" w:rsidP="0060791E">
      <w:pPr>
        <w:rPr>
          <w:rFonts w:ascii="Arial" w:eastAsia="Times New Roman" w:hAnsi="Arial" w:cs="Arial"/>
          <w:color w:val="000000"/>
          <w:sz w:val="28"/>
          <w:szCs w:val="28"/>
          <w:lang w:eastAsia="en-ZA"/>
        </w:rPr>
      </w:pPr>
    </w:p>
    <w:p w14:paraId="7C7F79F5" w14:textId="77777777" w:rsidR="0060791E" w:rsidRPr="0060791E" w:rsidRDefault="0060791E" w:rsidP="0060791E">
      <w:pPr>
        <w:rPr>
          <w:rFonts w:ascii="Arial" w:eastAsia="Times New Roman" w:hAnsi="Arial" w:cs="Arial"/>
          <w:color w:val="000000"/>
          <w:sz w:val="28"/>
          <w:szCs w:val="28"/>
          <w:lang w:eastAsia="en-ZA"/>
        </w:rPr>
      </w:pPr>
    </w:p>
    <w:p w14:paraId="4176AD68" w14:textId="77777777" w:rsidR="00C1147E" w:rsidRPr="00C1147E" w:rsidRDefault="00C1147E" w:rsidP="00C1147E">
      <w:pPr>
        <w:widowControl w:val="0"/>
        <w:numPr>
          <w:ilvl w:val="0"/>
          <w:numId w:val="14"/>
        </w:numPr>
        <w:tabs>
          <w:tab w:val="clear" w:pos="4386"/>
        </w:tabs>
        <w:spacing w:after="0" w:line="480" w:lineRule="auto"/>
        <w:ind w:left="709" w:hanging="709"/>
        <w:jc w:val="both"/>
        <w:rPr>
          <w:rFonts w:ascii="Arial" w:hAnsi="Arial" w:cs="Arial"/>
          <w:sz w:val="28"/>
          <w:szCs w:val="28"/>
        </w:rPr>
      </w:pPr>
      <w:r w:rsidRPr="00C1147E">
        <w:rPr>
          <w:rFonts w:ascii="Arial" w:hAnsi="Arial" w:cs="Arial"/>
          <w:color w:val="000000"/>
          <w:sz w:val="28"/>
          <w:szCs w:val="28"/>
        </w:rPr>
        <w:t>Each case should be considered on its merits and the court should consider the 'totality of the evidence’ (</w:t>
      </w:r>
      <w:r w:rsidRPr="00C1147E">
        <w:rPr>
          <w:rFonts w:ascii="Arial" w:hAnsi="Arial" w:cs="Arial"/>
          <w:b/>
          <w:iCs/>
          <w:color w:val="000000"/>
          <w:sz w:val="28"/>
          <w:szCs w:val="28"/>
        </w:rPr>
        <w:t>S v Nkuna</w:t>
      </w:r>
      <w:r w:rsidRPr="00C1147E">
        <w:rPr>
          <w:rFonts w:ascii="Arial" w:hAnsi="Arial" w:cs="Arial"/>
          <w:b/>
          <w:color w:val="000000"/>
          <w:sz w:val="28"/>
          <w:szCs w:val="28"/>
        </w:rPr>
        <w:t> </w:t>
      </w:r>
      <w:r w:rsidRPr="00C1147E">
        <w:rPr>
          <w:rFonts w:ascii="Arial" w:hAnsi="Arial" w:cs="Arial"/>
          <w:color w:val="000000"/>
          <w:sz w:val="28"/>
          <w:szCs w:val="28"/>
        </w:rPr>
        <w:t>(unreported, GNP case no A82/2013, 22 February 2013) at [9]) or the 'totality of the facts’ (</w:t>
      </w:r>
      <w:r w:rsidRPr="00C1147E">
        <w:rPr>
          <w:rFonts w:ascii="Arial" w:hAnsi="Arial" w:cs="Arial"/>
          <w:b/>
          <w:iCs/>
          <w:color w:val="000000"/>
          <w:sz w:val="28"/>
          <w:szCs w:val="28"/>
        </w:rPr>
        <w:t>S v Mawela</w:t>
      </w:r>
      <w:r w:rsidRPr="00C1147E">
        <w:rPr>
          <w:rFonts w:ascii="Arial" w:hAnsi="Arial" w:cs="Arial"/>
          <w:color w:val="000000"/>
          <w:sz w:val="28"/>
          <w:szCs w:val="28"/>
        </w:rPr>
        <w:t> (unreported, GNP case no A713/2012, 30 November 2012) at [20]). A bail court’s judgment must account for all the evidence (</w:t>
      </w:r>
      <w:r w:rsidRPr="00C1147E">
        <w:rPr>
          <w:rFonts w:ascii="Arial" w:hAnsi="Arial" w:cs="Arial"/>
          <w:b/>
          <w:iCs/>
          <w:sz w:val="28"/>
          <w:szCs w:val="28"/>
        </w:rPr>
        <w:t xml:space="preserve">S v </w:t>
      </w:r>
      <w:proofErr w:type="spellStart"/>
      <w:r w:rsidRPr="00C1147E">
        <w:rPr>
          <w:rFonts w:ascii="Arial" w:hAnsi="Arial" w:cs="Arial"/>
          <w:b/>
          <w:iCs/>
          <w:sz w:val="28"/>
          <w:szCs w:val="28"/>
        </w:rPr>
        <w:t>Mququ</w:t>
      </w:r>
      <w:proofErr w:type="spellEnd"/>
      <w:r w:rsidRPr="00C1147E">
        <w:rPr>
          <w:rFonts w:ascii="Arial" w:hAnsi="Arial" w:cs="Arial"/>
          <w:b/>
          <w:sz w:val="28"/>
          <w:szCs w:val="28"/>
        </w:rPr>
        <w:t> </w:t>
      </w:r>
      <w:r w:rsidRPr="00C1147E">
        <w:rPr>
          <w:rFonts w:ascii="Arial" w:hAnsi="Arial" w:cs="Arial"/>
          <w:sz w:val="28"/>
          <w:szCs w:val="28"/>
        </w:rPr>
        <w:t> </w:t>
      </w:r>
      <w:hyperlink r:id="rId12" w:tgtFrame="main" w:history="1">
        <w:r w:rsidRPr="00C1147E">
          <w:rPr>
            <w:rStyle w:val="Hyperlink"/>
            <w:rFonts w:ascii="Arial" w:hAnsi="Arial" w:cs="Arial"/>
            <w:color w:val="auto"/>
            <w:sz w:val="28"/>
            <w:szCs w:val="28"/>
            <w:u w:val="none"/>
          </w:rPr>
          <w:t>2019 (2) SACR 207 (ECG)</w:t>
        </w:r>
      </w:hyperlink>
      <w:r w:rsidRPr="00C1147E">
        <w:rPr>
          <w:rFonts w:ascii="Arial" w:hAnsi="Arial" w:cs="Arial"/>
          <w:color w:val="000000"/>
          <w:sz w:val="28"/>
          <w:szCs w:val="28"/>
        </w:rPr>
        <w:t> at [16]).</w:t>
      </w:r>
    </w:p>
    <w:p w14:paraId="00E73CF0" w14:textId="77777777" w:rsidR="007C19EE" w:rsidRDefault="007C19EE" w:rsidP="007C19EE">
      <w:pPr>
        <w:widowControl w:val="0"/>
        <w:spacing w:after="0" w:line="480" w:lineRule="auto"/>
        <w:ind w:left="709"/>
        <w:jc w:val="both"/>
        <w:rPr>
          <w:rFonts w:ascii="Arial" w:hAnsi="Arial" w:cs="Arial"/>
          <w:sz w:val="28"/>
          <w:szCs w:val="28"/>
        </w:rPr>
      </w:pPr>
    </w:p>
    <w:p w14:paraId="4219619C" w14:textId="77777777" w:rsidR="008671AF" w:rsidRDefault="008671AF"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sidRPr="008055CA">
        <w:rPr>
          <w:rFonts w:ascii="Arial" w:hAnsi="Arial" w:cs="Arial"/>
          <w:sz w:val="28"/>
          <w:szCs w:val="28"/>
        </w:rPr>
        <w:t xml:space="preserve">In the matter of </w:t>
      </w:r>
      <w:r w:rsidRPr="008055CA">
        <w:rPr>
          <w:rFonts w:ascii="Arial" w:hAnsi="Arial" w:cs="Arial"/>
          <w:b/>
          <w:sz w:val="28"/>
          <w:szCs w:val="28"/>
        </w:rPr>
        <w:t xml:space="preserve">S v Yanta 2000 (1) SACR 237 (Tk) </w:t>
      </w:r>
      <w:r w:rsidRPr="008055CA">
        <w:rPr>
          <w:rFonts w:ascii="Arial" w:hAnsi="Arial" w:cs="Arial"/>
          <w:sz w:val="28"/>
          <w:szCs w:val="28"/>
        </w:rPr>
        <w:t>at 249C-D the court expressed the view that, on a proper construction of Section 60(11) of the Criminal Procedure Act, the interests of the society and the proper and effective administration of the criminal justice system are paramount and the personal interest of the accused must be secondary to the administration of criminal justice.</w:t>
      </w:r>
    </w:p>
    <w:p w14:paraId="62C26DC5" w14:textId="77777777" w:rsidR="00C1147E" w:rsidRDefault="00C1147E" w:rsidP="00C1147E">
      <w:pPr>
        <w:widowControl w:val="0"/>
        <w:spacing w:after="0" w:line="480" w:lineRule="auto"/>
        <w:jc w:val="both"/>
        <w:rPr>
          <w:rFonts w:ascii="Arial" w:hAnsi="Arial" w:cs="Arial"/>
          <w:sz w:val="28"/>
          <w:szCs w:val="28"/>
        </w:rPr>
      </w:pPr>
    </w:p>
    <w:p w14:paraId="57FA0A89" w14:textId="77777777" w:rsidR="00C1147E" w:rsidRPr="00C1147E" w:rsidRDefault="00C1147E" w:rsidP="00C1147E">
      <w:pPr>
        <w:widowControl w:val="0"/>
        <w:spacing w:after="0" w:line="480" w:lineRule="auto"/>
        <w:jc w:val="both"/>
        <w:rPr>
          <w:rFonts w:ascii="Arial" w:hAnsi="Arial" w:cs="Arial"/>
          <w:b/>
          <w:sz w:val="28"/>
          <w:szCs w:val="28"/>
        </w:rPr>
      </w:pPr>
      <w:r>
        <w:rPr>
          <w:rFonts w:ascii="Arial" w:hAnsi="Arial" w:cs="Arial"/>
          <w:b/>
          <w:sz w:val="28"/>
          <w:szCs w:val="28"/>
        </w:rPr>
        <w:t>Analysis</w:t>
      </w:r>
    </w:p>
    <w:p w14:paraId="2E732028" w14:textId="77777777" w:rsidR="00C1147E" w:rsidRDefault="00C1147E"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The question of whether the accused would stand trial and should be granted bail, should be weighed against the question of the strength of the State’s case against the accused.</w:t>
      </w:r>
    </w:p>
    <w:p w14:paraId="11A57813" w14:textId="77777777" w:rsidR="00C1147E" w:rsidRDefault="00C1147E" w:rsidP="00C1147E">
      <w:pPr>
        <w:widowControl w:val="0"/>
        <w:spacing w:after="0" w:line="480" w:lineRule="auto"/>
        <w:ind w:left="709"/>
        <w:jc w:val="both"/>
        <w:rPr>
          <w:rFonts w:ascii="Arial" w:hAnsi="Arial" w:cs="Arial"/>
          <w:sz w:val="28"/>
          <w:szCs w:val="28"/>
        </w:rPr>
      </w:pPr>
    </w:p>
    <w:p w14:paraId="13FC26B4" w14:textId="77777777" w:rsidR="003A300A" w:rsidRDefault="00C1147E"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The evidence of sergeant Tshabalala impressed this Court as straight-forward and honest.  He readily conceded that the </w:t>
      </w:r>
      <w:proofErr w:type="spellStart"/>
      <w:r>
        <w:rPr>
          <w:rFonts w:ascii="Arial" w:hAnsi="Arial" w:cs="Arial"/>
          <w:sz w:val="28"/>
          <w:szCs w:val="28"/>
        </w:rPr>
        <w:lastRenderedPageBreak/>
        <w:t>cellphones</w:t>
      </w:r>
      <w:proofErr w:type="spellEnd"/>
      <w:r>
        <w:rPr>
          <w:rFonts w:ascii="Arial" w:hAnsi="Arial" w:cs="Arial"/>
          <w:sz w:val="28"/>
          <w:szCs w:val="28"/>
        </w:rPr>
        <w:t xml:space="preserve"> were not registered in the accused’s names.  He was also very consistent with his evidence that the case against the accused is extremely strong, which included the holding of ID parades during which the accused were identified, and the tracing of the </w:t>
      </w:r>
      <w:proofErr w:type="spellStart"/>
      <w:r>
        <w:rPr>
          <w:rFonts w:ascii="Arial" w:hAnsi="Arial" w:cs="Arial"/>
          <w:sz w:val="28"/>
          <w:szCs w:val="28"/>
        </w:rPr>
        <w:t>cellphone</w:t>
      </w:r>
      <w:proofErr w:type="spellEnd"/>
      <w:r>
        <w:rPr>
          <w:rFonts w:ascii="Arial" w:hAnsi="Arial" w:cs="Arial"/>
          <w:sz w:val="28"/>
          <w:szCs w:val="28"/>
        </w:rPr>
        <w:t xml:space="preserve"> records that</w:t>
      </w:r>
      <w:r w:rsidR="003A300A">
        <w:rPr>
          <w:rFonts w:ascii="Arial" w:hAnsi="Arial" w:cs="Arial"/>
          <w:sz w:val="28"/>
          <w:szCs w:val="28"/>
        </w:rPr>
        <w:t xml:space="preserve"> prove that the accused were in the vicinity of the complainants when the charges occurred.  Sergeant Tshabalala also conceded that the investigation has been finalised.  He conceded that there cannot be interference with the witnesses on the basis that the investigation has been finalised.</w:t>
      </w:r>
      <w:r>
        <w:rPr>
          <w:rFonts w:ascii="Arial" w:hAnsi="Arial" w:cs="Arial"/>
          <w:sz w:val="28"/>
          <w:szCs w:val="28"/>
        </w:rPr>
        <w:t xml:space="preserve">  </w:t>
      </w:r>
    </w:p>
    <w:p w14:paraId="4B658AE7" w14:textId="77777777" w:rsidR="003A300A" w:rsidRDefault="003A300A" w:rsidP="003A300A">
      <w:pPr>
        <w:pStyle w:val="ListParagraph"/>
        <w:spacing w:line="480" w:lineRule="auto"/>
        <w:rPr>
          <w:rFonts w:ascii="Arial" w:hAnsi="Arial" w:cs="Arial"/>
          <w:sz w:val="28"/>
          <w:szCs w:val="28"/>
        </w:rPr>
      </w:pPr>
    </w:p>
    <w:p w14:paraId="118E8CA6" w14:textId="77777777" w:rsidR="00C1147E" w:rsidRDefault="003A300A"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This, however is not for the investigating officer to speculate on whether the witnesses can be intimidated by the accused, should they be released on bail.  The charges against the accused are serious of nature and the witness list has been made available to the accused.  The accused have the opportunity to intimidate the witnesses as identified on the list</w:t>
      </w:r>
      <w:r w:rsidR="00B6277B">
        <w:rPr>
          <w:rFonts w:ascii="Arial" w:hAnsi="Arial" w:cs="Arial"/>
          <w:sz w:val="28"/>
          <w:szCs w:val="28"/>
        </w:rPr>
        <w:t>, should they be released on bail</w:t>
      </w:r>
      <w:r>
        <w:rPr>
          <w:rFonts w:ascii="Arial" w:hAnsi="Arial" w:cs="Arial"/>
          <w:sz w:val="28"/>
          <w:szCs w:val="28"/>
        </w:rPr>
        <w:t>.</w:t>
      </w:r>
      <w:r w:rsidR="00B6277B">
        <w:rPr>
          <w:rFonts w:ascii="Arial" w:hAnsi="Arial" w:cs="Arial"/>
          <w:sz w:val="28"/>
          <w:szCs w:val="28"/>
        </w:rPr>
        <w:t xml:space="preserve">  The seriousness of the charges faced by the accused make this a real possibility.</w:t>
      </w:r>
    </w:p>
    <w:p w14:paraId="24B66FC8" w14:textId="77777777" w:rsidR="003A300A" w:rsidRDefault="003A300A" w:rsidP="003A300A">
      <w:pPr>
        <w:pStyle w:val="ListParagraph"/>
        <w:rPr>
          <w:rFonts w:ascii="Arial" w:hAnsi="Arial" w:cs="Arial"/>
          <w:sz w:val="28"/>
          <w:szCs w:val="28"/>
        </w:rPr>
      </w:pPr>
    </w:p>
    <w:p w14:paraId="05EB1D55" w14:textId="77777777" w:rsidR="003A300A" w:rsidRDefault="003A300A"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 xml:space="preserve">The version of the accused that no identification parade was held, is in stark contrast with the version of the investigating officer that stood firm under cross-examination that the identification parade </w:t>
      </w:r>
      <w:r>
        <w:rPr>
          <w:rFonts w:ascii="Arial" w:hAnsi="Arial" w:cs="Arial"/>
          <w:sz w:val="28"/>
          <w:szCs w:val="28"/>
        </w:rPr>
        <w:lastRenderedPageBreak/>
        <w:t>was indeed held.  The evidentiary value of a statement, which cannot be cross-examined, and the evidentiary value of a witness providing oral evidence (and has been cross-examined) are not the same.  The oral evidence, having been tested under cross examination, has more weight than the statements under oath that was read into the record.</w:t>
      </w:r>
    </w:p>
    <w:p w14:paraId="27D0F8E8" w14:textId="77777777" w:rsidR="003A300A" w:rsidRDefault="003A300A" w:rsidP="003A300A">
      <w:pPr>
        <w:rPr>
          <w:rFonts w:ascii="Arial" w:hAnsi="Arial" w:cs="Arial"/>
          <w:sz w:val="28"/>
          <w:szCs w:val="28"/>
        </w:rPr>
      </w:pPr>
    </w:p>
    <w:p w14:paraId="16E9AA82" w14:textId="77777777" w:rsidR="003A300A" w:rsidRDefault="003A300A" w:rsidP="003A300A">
      <w:pPr>
        <w:rPr>
          <w:rFonts w:ascii="Arial" w:hAnsi="Arial" w:cs="Arial"/>
          <w:b/>
          <w:sz w:val="28"/>
          <w:szCs w:val="28"/>
        </w:rPr>
      </w:pPr>
      <w:r>
        <w:rPr>
          <w:rFonts w:ascii="Arial" w:hAnsi="Arial" w:cs="Arial"/>
          <w:b/>
          <w:sz w:val="28"/>
          <w:szCs w:val="28"/>
        </w:rPr>
        <w:t>Conclusion</w:t>
      </w:r>
    </w:p>
    <w:p w14:paraId="1D3F08FB" w14:textId="77777777" w:rsidR="003A300A" w:rsidRPr="003A300A" w:rsidRDefault="003A300A" w:rsidP="003A300A">
      <w:pPr>
        <w:rPr>
          <w:rFonts w:ascii="Arial" w:hAnsi="Arial" w:cs="Arial"/>
          <w:b/>
          <w:sz w:val="28"/>
          <w:szCs w:val="28"/>
        </w:rPr>
      </w:pPr>
    </w:p>
    <w:p w14:paraId="1648512A" w14:textId="77777777" w:rsidR="003A300A" w:rsidRDefault="003A300A"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For the reasons above, I find that it would not be in the interest of justice that bail be granted.</w:t>
      </w:r>
    </w:p>
    <w:p w14:paraId="6F5E72C6" w14:textId="77777777" w:rsidR="003A300A" w:rsidRDefault="003A300A" w:rsidP="003A300A">
      <w:pPr>
        <w:pStyle w:val="ListParagraph"/>
        <w:rPr>
          <w:rFonts w:ascii="Arial" w:hAnsi="Arial" w:cs="Arial"/>
          <w:sz w:val="28"/>
          <w:szCs w:val="28"/>
        </w:rPr>
      </w:pPr>
    </w:p>
    <w:p w14:paraId="156610D1" w14:textId="77777777" w:rsidR="003A300A" w:rsidRDefault="003A300A" w:rsidP="008671AF">
      <w:pPr>
        <w:widowControl w:val="0"/>
        <w:numPr>
          <w:ilvl w:val="0"/>
          <w:numId w:val="14"/>
        </w:numPr>
        <w:tabs>
          <w:tab w:val="clear" w:pos="4386"/>
        </w:tabs>
        <w:spacing w:after="0" w:line="480" w:lineRule="auto"/>
        <w:ind w:left="709" w:hanging="709"/>
        <w:jc w:val="both"/>
        <w:rPr>
          <w:rFonts w:ascii="Arial" w:hAnsi="Arial" w:cs="Arial"/>
          <w:sz w:val="28"/>
          <w:szCs w:val="28"/>
        </w:rPr>
      </w:pPr>
      <w:r>
        <w:rPr>
          <w:rFonts w:ascii="Arial" w:hAnsi="Arial" w:cs="Arial"/>
          <w:sz w:val="28"/>
          <w:szCs w:val="28"/>
        </w:rPr>
        <w:t>As such, bail is denied.</w:t>
      </w:r>
    </w:p>
    <w:p w14:paraId="079FD136" w14:textId="77777777" w:rsidR="003A300A" w:rsidRDefault="003A300A" w:rsidP="003A300A">
      <w:pPr>
        <w:pStyle w:val="ListParagraph"/>
        <w:rPr>
          <w:rFonts w:ascii="Arial" w:hAnsi="Arial" w:cs="Arial"/>
          <w:sz w:val="28"/>
          <w:szCs w:val="28"/>
        </w:rPr>
      </w:pPr>
    </w:p>
    <w:p w14:paraId="1929A956" w14:textId="77777777" w:rsidR="003A300A" w:rsidRDefault="003A300A" w:rsidP="003A300A">
      <w:pPr>
        <w:widowControl w:val="0"/>
        <w:spacing w:after="0" w:line="480" w:lineRule="auto"/>
        <w:jc w:val="both"/>
        <w:rPr>
          <w:rFonts w:ascii="Arial" w:hAnsi="Arial" w:cs="Arial"/>
          <w:b/>
          <w:sz w:val="28"/>
          <w:szCs w:val="28"/>
        </w:rPr>
      </w:pPr>
      <w:r>
        <w:rPr>
          <w:rFonts w:ascii="Arial" w:hAnsi="Arial" w:cs="Arial"/>
          <w:b/>
          <w:sz w:val="28"/>
          <w:szCs w:val="28"/>
        </w:rPr>
        <w:t>Order:</w:t>
      </w:r>
    </w:p>
    <w:p w14:paraId="6E51FBDE" w14:textId="77777777" w:rsidR="008E293D" w:rsidRPr="003A300A" w:rsidRDefault="003A300A" w:rsidP="003A300A">
      <w:pPr>
        <w:widowControl w:val="0"/>
        <w:spacing w:after="0" w:line="480" w:lineRule="auto"/>
        <w:jc w:val="both"/>
        <w:rPr>
          <w:rFonts w:ascii="Arial" w:hAnsi="Arial" w:cs="Arial"/>
          <w:sz w:val="28"/>
          <w:szCs w:val="28"/>
        </w:rPr>
      </w:pPr>
      <w:r>
        <w:rPr>
          <w:rFonts w:ascii="Arial" w:hAnsi="Arial" w:cs="Arial"/>
          <w:sz w:val="28"/>
          <w:szCs w:val="28"/>
        </w:rPr>
        <w:t xml:space="preserve">Bail is </w:t>
      </w:r>
      <w:r w:rsidR="00B6277B">
        <w:rPr>
          <w:rFonts w:ascii="Arial" w:hAnsi="Arial" w:cs="Arial"/>
          <w:sz w:val="28"/>
          <w:szCs w:val="28"/>
        </w:rPr>
        <w:t xml:space="preserve">refused </w:t>
      </w:r>
      <w:r>
        <w:rPr>
          <w:rFonts w:ascii="Arial" w:hAnsi="Arial" w:cs="Arial"/>
          <w:sz w:val="28"/>
          <w:szCs w:val="28"/>
        </w:rPr>
        <w:t>for accused 1 and 2.</w:t>
      </w:r>
    </w:p>
    <w:p w14:paraId="5A385341" w14:textId="77777777" w:rsidR="002E424B" w:rsidRDefault="002E424B" w:rsidP="00FB1473">
      <w:pPr>
        <w:spacing w:line="480" w:lineRule="auto"/>
        <w:rPr>
          <w:rFonts w:ascii="Arial" w:hAnsi="Arial" w:cs="Arial"/>
          <w:sz w:val="24"/>
          <w:szCs w:val="24"/>
          <w:lang w:val="en-US"/>
        </w:rPr>
      </w:pPr>
    </w:p>
    <w:p w14:paraId="3DDEDC20" w14:textId="77777777" w:rsidR="007C19EE" w:rsidRDefault="007C19EE" w:rsidP="00FB1473">
      <w:pPr>
        <w:spacing w:line="480" w:lineRule="auto"/>
        <w:rPr>
          <w:rFonts w:ascii="Arial" w:hAnsi="Arial" w:cs="Arial"/>
          <w:sz w:val="24"/>
          <w:szCs w:val="24"/>
          <w:lang w:val="en-US"/>
        </w:rPr>
      </w:pPr>
    </w:p>
    <w:p w14:paraId="29AF869A" w14:textId="77777777" w:rsidR="002E424B" w:rsidRPr="003A300A" w:rsidRDefault="003A300A" w:rsidP="003A300A">
      <w:pPr>
        <w:spacing w:line="240" w:lineRule="auto"/>
        <w:rPr>
          <w:rFonts w:ascii="Arial" w:hAnsi="Arial" w:cs="Arial"/>
          <w:b/>
          <w:sz w:val="28"/>
          <w:szCs w:val="28"/>
          <w:lang w:val="en-US"/>
        </w:rPr>
      </w:pPr>
      <w:r w:rsidRPr="003A300A">
        <w:rPr>
          <w:rFonts w:ascii="Arial" w:hAnsi="Arial" w:cs="Arial"/>
          <w:b/>
          <w:sz w:val="28"/>
          <w:szCs w:val="28"/>
          <w:lang w:val="en-US"/>
        </w:rPr>
        <w:t>_____________________</w:t>
      </w:r>
    </w:p>
    <w:p w14:paraId="4DCB86A7" w14:textId="77777777" w:rsidR="003A300A" w:rsidRPr="003A300A" w:rsidRDefault="003A300A" w:rsidP="003A300A">
      <w:pPr>
        <w:spacing w:line="240" w:lineRule="auto"/>
        <w:rPr>
          <w:rFonts w:ascii="Arial" w:hAnsi="Arial" w:cs="Arial"/>
          <w:b/>
          <w:sz w:val="28"/>
          <w:szCs w:val="28"/>
          <w:lang w:val="en-US"/>
        </w:rPr>
      </w:pPr>
      <w:r w:rsidRPr="003A300A">
        <w:rPr>
          <w:rFonts w:ascii="Arial" w:hAnsi="Arial" w:cs="Arial"/>
          <w:b/>
          <w:sz w:val="28"/>
          <w:szCs w:val="28"/>
          <w:lang w:val="en-US"/>
        </w:rPr>
        <w:t>FMM REID</w:t>
      </w:r>
    </w:p>
    <w:p w14:paraId="13F9A42A" w14:textId="77777777" w:rsidR="003A300A" w:rsidRPr="003A300A" w:rsidRDefault="003A300A" w:rsidP="003A300A">
      <w:pPr>
        <w:spacing w:line="240" w:lineRule="auto"/>
        <w:rPr>
          <w:rFonts w:ascii="Arial" w:hAnsi="Arial" w:cs="Arial"/>
          <w:b/>
          <w:sz w:val="28"/>
          <w:szCs w:val="28"/>
          <w:lang w:val="en-US"/>
        </w:rPr>
      </w:pPr>
      <w:r w:rsidRPr="003A300A">
        <w:rPr>
          <w:rFonts w:ascii="Arial" w:hAnsi="Arial" w:cs="Arial"/>
          <w:b/>
          <w:sz w:val="28"/>
          <w:szCs w:val="28"/>
          <w:lang w:val="en-US"/>
        </w:rPr>
        <w:t>JUDGE OF THE HIGH COURT</w:t>
      </w:r>
    </w:p>
    <w:p w14:paraId="6B1B9D85" w14:textId="77777777" w:rsidR="003A300A" w:rsidRPr="003A300A" w:rsidRDefault="003A300A" w:rsidP="003A300A">
      <w:pPr>
        <w:spacing w:line="240" w:lineRule="auto"/>
        <w:rPr>
          <w:rFonts w:ascii="Arial" w:hAnsi="Arial" w:cs="Arial"/>
          <w:b/>
          <w:sz w:val="28"/>
          <w:szCs w:val="28"/>
          <w:lang w:val="en-US"/>
        </w:rPr>
      </w:pPr>
      <w:r w:rsidRPr="003A300A">
        <w:rPr>
          <w:rFonts w:ascii="Arial" w:hAnsi="Arial" w:cs="Arial"/>
          <w:b/>
          <w:sz w:val="28"/>
          <w:szCs w:val="28"/>
          <w:lang w:val="en-US"/>
        </w:rPr>
        <w:t>NORTH WEST DIVISION</w:t>
      </w:r>
    </w:p>
    <w:p w14:paraId="1D76F559" w14:textId="77777777" w:rsidR="003A300A" w:rsidRDefault="003A300A" w:rsidP="003A300A">
      <w:pPr>
        <w:spacing w:line="240" w:lineRule="auto"/>
        <w:rPr>
          <w:rFonts w:ascii="Arial" w:hAnsi="Arial" w:cs="Arial"/>
          <w:b/>
          <w:sz w:val="28"/>
          <w:szCs w:val="28"/>
          <w:lang w:val="en-US"/>
        </w:rPr>
      </w:pPr>
    </w:p>
    <w:p w14:paraId="77AF1EE3" w14:textId="77777777" w:rsidR="003A300A" w:rsidRPr="003A300A" w:rsidRDefault="003A300A" w:rsidP="003A300A">
      <w:pPr>
        <w:spacing w:line="240" w:lineRule="auto"/>
        <w:rPr>
          <w:rFonts w:ascii="Arial" w:hAnsi="Arial" w:cs="Arial"/>
          <w:b/>
          <w:sz w:val="28"/>
          <w:szCs w:val="28"/>
          <w:lang w:val="en-US"/>
        </w:rPr>
      </w:pPr>
      <w:r w:rsidRPr="003A300A">
        <w:rPr>
          <w:rFonts w:ascii="Arial" w:hAnsi="Arial" w:cs="Arial"/>
          <w:b/>
          <w:sz w:val="28"/>
          <w:szCs w:val="28"/>
          <w:lang w:val="en-US"/>
        </w:rPr>
        <w:t>DATE OF ARGUMENT:</w:t>
      </w:r>
      <w:r w:rsidRPr="003A300A">
        <w:rPr>
          <w:rFonts w:ascii="Arial" w:hAnsi="Arial" w:cs="Arial"/>
          <w:b/>
          <w:sz w:val="28"/>
          <w:szCs w:val="28"/>
          <w:lang w:val="en-US"/>
        </w:rPr>
        <w:tab/>
        <w:t>12 JUNE 2024</w:t>
      </w:r>
    </w:p>
    <w:p w14:paraId="1440D637" w14:textId="77777777" w:rsidR="003A300A" w:rsidRPr="003A300A" w:rsidRDefault="003A300A" w:rsidP="003A300A">
      <w:pPr>
        <w:spacing w:line="240" w:lineRule="auto"/>
        <w:rPr>
          <w:rFonts w:ascii="Arial" w:hAnsi="Arial" w:cs="Arial"/>
          <w:b/>
          <w:sz w:val="28"/>
          <w:szCs w:val="28"/>
          <w:lang w:val="en-US"/>
        </w:rPr>
      </w:pPr>
      <w:r w:rsidRPr="003A300A">
        <w:rPr>
          <w:rFonts w:ascii="Arial" w:hAnsi="Arial" w:cs="Arial"/>
          <w:b/>
          <w:sz w:val="28"/>
          <w:szCs w:val="28"/>
          <w:lang w:val="en-US"/>
        </w:rPr>
        <w:lastRenderedPageBreak/>
        <w:t xml:space="preserve">DATE OF JUDGMENT: </w:t>
      </w:r>
      <w:r w:rsidRPr="003A300A">
        <w:rPr>
          <w:rFonts w:ascii="Arial" w:hAnsi="Arial" w:cs="Arial"/>
          <w:b/>
          <w:sz w:val="28"/>
          <w:szCs w:val="28"/>
          <w:lang w:val="en-US"/>
        </w:rPr>
        <w:tab/>
      </w:r>
      <w:r w:rsidR="00D8429C">
        <w:rPr>
          <w:rFonts w:ascii="Arial" w:hAnsi="Arial" w:cs="Arial"/>
          <w:b/>
          <w:sz w:val="28"/>
          <w:szCs w:val="28"/>
          <w:lang w:val="en-US"/>
        </w:rPr>
        <w:t>20</w:t>
      </w:r>
      <w:r w:rsidRPr="003A300A">
        <w:rPr>
          <w:rFonts w:ascii="Arial" w:hAnsi="Arial" w:cs="Arial"/>
          <w:b/>
          <w:sz w:val="28"/>
          <w:szCs w:val="28"/>
          <w:lang w:val="en-US"/>
        </w:rPr>
        <w:t xml:space="preserve"> JUNE 2024 </w:t>
      </w:r>
    </w:p>
    <w:sectPr w:rsidR="003A300A" w:rsidRPr="003A300A" w:rsidSect="00D6481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99AA" w14:textId="77777777" w:rsidR="006E5994" w:rsidRDefault="006E5994" w:rsidP="00D64819">
      <w:pPr>
        <w:spacing w:after="0" w:line="240" w:lineRule="auto"/>
      </w:pPr>
      <w:r>
        <w:separator/>
      </w:r>
    </w:p>
  </w:endnote>
  <w:endnote w:type="continuationSeparator" w:id="0">
    <w:p w14:paraId="5E15413F" w14:textId="77777777" w:rsidR="006E5994" w:rsidRDefault="006E5994" w:rsidP="00D6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1457" w14:textId="77777777" w:rsidR="00C1147E" w:rsidRDefault="00C114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A94F" w14:textId="77777777" w:rsidR="00C1147E" w:rsidRDefault="00C114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987F" w14:textId="77777777" w:rsidR="00C1147E" w:rsidRDefault="00C114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65BD" w14:textId="77777777" w:rsidR="006E5994" w:rsidRDefault="006E5994" w:rsidP="00D64819">
      <w:pPr>
        <w:spacing w:after="0" w:line="240" w:lineRule="auto"/>
      </w:pPr>
      <w:r>
        <w:separator/>
      </w:r>
    </w:p>
  </w:footnote>
  <w:footnote w:type="continuationSeparator" w:id="0">
    <w:p w14:paraId="0C44D83C" w14:textId="77777777" w:rsidR="006E5994" w:rsidRDefault="006E5994" w:rsidP="00D6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8884" w14:textId="77777777" w:rsidR="00C1147E" w:rsidRDefault="00C114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071650"/>
      <w:docPartObj>
        <w:docPartGallery w:val="Page Numbers (Top of Page)"/>
        <w:docPartUnique/>
      </w:docPartObj>
    </w:sdtPr>
    <w:sdtEndPr>
      <w:rPr>
        <w:noProof/>
      </w:rPr>
    </w:sdtEndPr>
    <w:sdtContent>
      <w:p w14:paraId="55898FFB" w14:textId="43F86103" w:rsidR="00C1147E" w:rsidRDefault="00C1147E">
        <w:pPr>
          <w:pStyle w:val="Header"/>
          <w:jc w:val="right"/>
        </w:pPr>
        <w:r>
          <w:fldChar w:fldCharType="begin"/>
        </w:r>
        <w:r>
          <w:instrText xml:space="preserve"> PAGE   \* MERGEFORMAT </w:instrText>
        </w:r>
        <w:r>
          <w:fldChar w:fldCharType="separate"/>
        </w:r>
        <w:r w:rsidR="00811814">
          <w:rPr>
            <w:noProof/>
          </w:rPr>
          <w:t>18</w:t>
        </w:r>
        <w:r>
          <w:rPr>
            <w:noProof/>
          </w:rPr>
          <w:fldChar w:fldCharType="end"/>
        </w:r>
      </w:p>
    </w:sdtContent>
  </w:sdt>
  <w:p w14:paraId="19656D9F" w14:textId="77777777" w:rsidR="00C1147E" w:rsidRDefault="00C114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4A3E" w14:textId="77777777" w:rsidR="00C1147E" w:rsidRDefault="00C114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C62"/>
    <w:multiLevelType w:val="hybridMultilevel"/>
    <w:tmpl w:val="6CFEEDB2"/>
    <w:lvl w:ilvl="0" w:tplc="32C65670">
      <w:start w:val="2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A459AE"/>
    <w:multiLevelType w:val="hybridMultilevel"/>
    <w:tmpl w:val="E58CAA90"/>
    <w:lvl w:ilvl="0" w:tplc="60C85082">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5C6BDF"/>
    <w:multiLevelType w:val="hybridMultilevel"/>
    <w:tmpl w:val="9EB86D36"/>
    <w:lvl w:ilvl="0" w:tplc="208AB90C">
      <w:start w:val="14"/>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40768D"/>
    <w:multiLevelType w:val="hybridMultilevel"/>
    <w:tmpl w:val="7814279E"/>
    <w:lvl w:ilvl="0" w:tplc="71E4AB20">
      <w:start w:val="200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0475018"/>
    <w:multiLevelType w:val="hybridMultilevel"/>
    <w:tmpl w:val="E3EC860C"/>
    <w:lvl w:ilvl="0" w:tplc="54D259C8">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102F21"/>
    <w:multiLevelType w:val="hybridMultilevel"/>
    <w:tmpl w:val="72E65D42"/>
    <w:lvl w:ilvl="0" w:tplc="B774766C">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4A44549"/>
    <w:multiLevelType w:val="multilevel"/>
    <w:tmpl w:val="3BE2C9A8"/>
    <w:lvl w:ilvl="0">
      <w:start w:val="1"/>
      <w:numFmt w:val="decimal"/>
      <w:lvlText w:val="[%1]"/>
      <w:lvlJc w:val="left"/>
      <w:pPr>
        <w:tabs>
          <w:tab w:val="num" w:pos="4386"/>
        </w:tabs>
        <w:ind w:left="964" w:firstLine="3005"/>
      </w:pPr>
      <w:rPr>
        <w:rFonts w:ascii="Arial" w:hAnsi="Arial" w:cs="Arial" w:hint="default"/>
        <w:b w:val="0"/>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5"/>
        <w:szCs w:val="25"/>
      </w:rPr>
    </w:lvl>
    <w:lvl w:ilvl="2">
      <w:start w:val="1"/>
      <w:numFmt w:val="decimal"/>
      <w:lvlText w:val="%1.%2.%3."/>
      <w:lvlJc w:val="left"/>
      <w:pPr>
        <w:tabs>
          <w:tab w:val="num" w:pos="1474"/>
        </w:tabs>
        <w:ind w:left="1474" w:hanging="1474"/>
      </w:pPr>
    </w:lvl>
    <w:lvl w:ilvl="3">
      <w:start w:val="1"/>
      <w:numFmt w:val="decimal"/>
      <w:lvlText w:val="%1.%2.%3.%4."/>
      <w:lvlJc w:val="left"/>
      <w:pPr>
        <w:tabs>
          <w:tab w:val="num" w:pos="2268"/>
        </w:tabs>
        <w:ind w:left="2268" w:hanging="2268"/>
      </w:pPr>
    </w:lvl>
    <w:lvl w:ilvl="4">
      <w:start w:val="1"/>
      <w:numFmt w:val="decimal"/>
      <w:lvlText w:val="%1.%2.%3.%4.%5."/>
      <w:lvlJc w:val="left"/>
      <w:pPr>
        <w:tabs>
          <w:tab w:val="num" w:pos="3062"/>
        </w:tabs>
        <w:ind w:left="3969" w:hanging="3969"/>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B7422D4"/>
    <w:multiLevelType w:val="hybridMultilevel"/>
    <w:tmpl w:val="71987456"/>
    <w:lvl w:ilvl="0" w:tplc="FA809A56">
      <w:start w:val="1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20B592F"/>
    <w:multiLevelType w:val="hybridMultilevel"/>
    <w:tmpl w:val="D93450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1615D1"/>
    <w:multiLevelType w:val="hybridMultilevel"/>
    <w:tmpl w:val="F13C2E4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B110ADD"/>
    <w:multiLevelType w:val="hybridMultilevel"/>
    <w:tmpl w:val="3E7EDE8E"/>
    <w:lvl w:ilvl="0" w:tplc="F4005D7E">
      <w:start w:val="2019"/>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1B7042"/>
    <w:multiLevelType w:val="hybridMultilevel"/>
    <w:tmpl w:val="EFFAFE7E"/>
    <w:lvl w:ilvl="0" w:tplc="024EC270">
      <w:start w:val="1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1FC416B"/>
    <w:multiLevelType w:val="hybridMultilevel"/>
    <w:tmpl w:val="263C2BD0"/>
    <w:lvl w:ilvl="0" w:tplc="1EFC3448">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9BD24B2"/>
    <w:multiLevelType w:val="hybridMultilevel"/>
    <w:tmpl w:val="666257C6"/>
    <w:lvl w:ilvl="0" w:tplc="47B45676">
      <w:start w:val="2"/>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C466E6A"/>
    <w:multiLevelType w:val="hybridMultilevel"/>
    <w:tmpl w:val="63A40698"/>
    <w:lvl w:ilvl="0" w:tplc="5EF42ED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7"/>
  </w:num>
  <w:num w:numId="5">
    <w:abstractNumId w:val="2"/>
  </w:num>
  <w:num w:numId="6">
    <w:abstractNumId w:val="3"/>
  </w:num>
  <w:num w:numId="7">
    <w:abstractNumId w:val="4"/>
  </w:num>
  <w:num w:numId="8">
    <w:abstractNumId w:val="11"/>
  </w:num>
  <w:num w:numId="9">
    <w:abstractNumId w:val="8"/>
  </w:num>
  <w:num w:numId="10">
    <w:abstractNumId w:val="9"/>
  </w:num>
  <w:num w:numId="11">
    <w:abstractNumId w:val="13"/>
  </w:num>
  <w:num w:numId="12">
    <w:abstractNumId w:val="12"/>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52"/>
    <w:rsid w:val="00014841"/>
    <w:rsid w:val="00026391"/>
    <w:rsid w:val="00031CDC"/>
    <w:rsid w:val="00037260"/>
    <w:rsid w:val="00054DBB"/>
    <w:rsid w:val="00060406"/>
    <w:rsid w:val="00074306"/>
    <w:rsid w:val="00080C29"/>
    <w:rsid w:val="00083B58"/>
    <w:rsid w:val="000A5866"/>
    <w:rsid w:val="000B2904"/>
    <w:rsid w:val="000C0CE7"/>
    <w:rsid w:val="000C5135"/>
    <w:rsid w:val="000C6D18"/>
    <w:rsid w:val="000D06A7"/>
    <w:rsid w:val="00103BFC"/>
    <w:rsid w:val="00115A51"/>
    <w:rsid w:val="0012189E"/>
    <w:rsid w:val="001320F5"/>
    <w:rsid w:val="00133189"/>
    <w:rsid w:val="001B49C8"/>
    <w:rsid w:val="001B74D8"/>
    <w:rsid w:val="001C5CA1"/>
    <w:rsid w:val="001D0435"/>
    <w:rsid w:val="001D2431"/>
    <w:rsid w:val="001D7C10"/>
    <w:rsid w:val="002024B7"/>
    <w:rsid w:val="00210E67"/>
    <w:rsid w:val="00277FE8"/>
    <w:rsid w:val="002D0E2C"/>
    <w:rsid w:val="002E424B"/>
    <w:rsid w:val="002F606C"/>
    <w:rsid w:val="003174A5"/>
    <w:rsid w:val="00322EF6"/>
    <w:rsid w:val="003368DF"/>
    <w:rsid w:val="00372AD8"/>
    <w:rsid w:val="00383205"/>
    <w:rsid w:val="00383937"/>
    <w:rsid w:val="0038619C"/>
    <w:rsid w:val="0039465D"/>
    <w:rsid w:val="003954A0"/>
    <w:rsid w:val="003A300A"/>
    <w:rsid w:val="003A392E"/>
    <w:rsid w:val="003A4F48"/>
    <w:rsid w:val="003B5C3D"/>
    <w:rsid w:val="003D527A"/>
    <w:rsid w:val="00416437"/>
    <w:rsid w:val="00433238"/>
    <w:rsid w:val="0045322C"/>
    <w:rsid w:val="00474CE6"/>
    <w:rsid w:val="0049200D"/>
    <w:rsid w:val="004934ED"/>
    <w:rsid w:val="004B02F0"/>
    <w:rsid w:val="004D113D"/>
    <w:rsid w:val="004D70FD"/>
    <w:rsid w:val="0052247A"/>
    <w:rsid w:val="00525A9D"/>
    <w:rsid w:val="005350C4"/>
    <w:rsid w:val="00535930"/>
    <w:rsid w:val="00541BF6"/>
    <w:rsid w:val="0054344B"/>
    <w:rsid w:val="005561C1"/>
    <w:rsid w:val="00575590"/>
    <w:rsid w:val="00575D32"/>
    <w:rsid w:val="00577747"/>
    <w:rsid w:val="00590497"/>
    <w:rsid w:val="005C1242"/>
    <w:rsid w:val="005F77BD"/>
    <w:rsid w:val="0060791E"/>
    <w:rsid w:val="0061432C"/>
    <w:rsid w:val="00614B54"/>
    <w:rsid w:val="00653326"/>
    <w:rsid w:val="00695690"/>
    <w:rsid w:val="006B053F"/>
    <w:rsid w:val="006C12AE"/>
    <w:rsid w:val="006E5994"/>
    <w:rsid w:val="00730CBE"/>
    <w:rsid w:val="00740DDC"/>
    <w:rsid w:val="007511FD"/>
    <w:rsid w:val="00770181"/>
    <w:rsid w:val="0077602B"/>
    <w:rsid w:val="007904EC"/>
    <w:rsid w:val="00794B7A"/>
    <w:rsid w:val="007C19EE"/>
    <w:rsid w:val="007C369C"/>
    <w:rsid w:val="008055CA"/>
    <w:rsid w:val="00811814"/>
    <w:rsid w:val="008301BF"/>
    <w:rsid w:val="008671AF"/>
    <w:rsid w:val="008B39F7"/>
    <w:rsid w:val="008B42A3"/>
    <w:rsid w:val="008C4C3E"/>
    <w:rsid w:val="008C5C4A"/>
    <w:rsid w:val="008C7BCE"/>
    <w:rsid w:val="008E0E9D"/>
    <w:rsid w:val="008E293D"/>
    <w:rsid w:val="009165F1"/>
    <w:rsid w:val="00917940"/>
    <w:rsid w:val="009308AD"/>
    <w:rsid w:val="00931824"/>
    <w:rsid w:val="0095306F"/>
    <w:rsid w:val="009576DA"/>
    <w:rsid w:val="00972E43"/>
    <w:rsid w:val="009841AD"/>
    <w:rsid w:val="009A304E"/>
    <w:rsid w:val="009B133D"/>
    <w:rsid w:val="009B38E9"/>
    <w:rsid w:val="009C1558"/>
    <w:rsid w:val="009F4AC9"/>
    <w:rsid w:val="00A1188C"/>
    <w:rsid w:val="00A14E81"/>
    <w:rsid w:val="00A168AC"/>
    <w:rsid w:val="00A168AD"/>
    <w:rsid w:val="00A211B3"/>
    <w:rsid w:val="00A21E6D"/>
    <w:rsid w:val="00A24768"/>
    <w:rsid w:val="00A24D7D"/>
    <w:rsid w:val="00A402BE"/>
    <w:rsid w:val="00A40613"/>
    <w:rsid w:val="00A54672"/>
    <w:rsid w:val="00A72101"/>
    <w:rsid w:val="00AA3323"/>
    <w:rsid w:val="00AA4725"/>
    <w:rsid w:val="00AB4B1E"/>
    <w:rsid w:val="00AB5563"/>
    <w:rsid w:val="00AB74CA"/>
    <w:rsid w:val="00AC60E6"/>
    <w:rsid w:val="00AD31D1"/>
    <w:rsid w:val="00AE720F"/>
    <w:rsid w:val="00B25400"/>
    <w:rsid w:val="00B31AEC"/>
    <w:rsid w:val="00B61A67"/>
    <w:rsid w:val="00B6277B"/>
    <w:rsid w:val="00B9640C"/>
    <w:rsid w:val="00BD4343"/>
    <w:rsid w:val="00BF3943"/>
    <w:rsid w:val="00C061CB"/>
    <w:rsid w:val="00C1147E"/>
    <w:rsid w:val="00C1613D"/>
    <w:rsid w:val="00C52E4A"/>
    <w:rsid w:val="00C56252"/>
    <w:rsid w:val="00C57CDE"/>
    <w:rsid w:val="00C83EA2"/>
    <w:rsid w:val="00C97ACA"/>
    <w:rsid w:val="00CA484F"/>
    <w:rsid w:val="00CC2AD8"/>
    <w:rsid w:val="00CE4D08"/>
    <w:rsid w:val="00D45001"/>
    <w:rsid w:val="00D6350A"/>
    <w:rsid w:val="00D64819"/>
    <w:rsid w:val="00D66F29"/>
    <w:rsid w:val="00D74E3B"/>
    <w:rsid w:val="00D8429C"/>
    <w:rsid w:val="00DE0139"/>
    <w:rsid w:val="00DE784F"/>
    <w:rsid w:val="00E14B8A"/>
    <w:rsid w:val="00E25B41"/>
    <w:rsid w:val="00E43578"/>
    <w:rsid w:val="00E7712B"/>
    <w:rsid w:val="00E86B41"/>
    <w:rsid w:val="00EA7EA5"/>
    <w:rsid w:val="00EB1152"/>
    <w:rsid w:val="00EC01D7"/>
    <w:rsid w:val="00EC4025"/>
    <w:rsid w:val="00EF0111"/>
    <w:rsid w:val="00EF6F89"/>
    <w:rsid w:val="00F15D5F"/>
    <w:rsid w:val="00F203CC"/>
    <w:rsid w:val="00F21548"/>
    <w:rsid w:val="00F30CA5"/>
    <w:rsid w:val="00F358B7"/>
    <w:rsid w:val="00F370E7"/>
    <w:rsid w:val="00F54F1F"/>
    <w:rsid w:val="00F74966"/>
    <w:rsid w:val="00F80539"/>
    <w:rsid w:val="00F867F0"/>
    <w:rsid w:val="00F92E3C"/>
    <w:rsid w:val="00F94FC8"/>
    <w:rsid w:val="00F972CD"/>
    <w:rsid w:val="00FA7D27"/>
    <w:rsid w:val="00FB1473"/>
    <w:rsid w:val="00FF22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1837"/>
  <w15:chartTrackingRefBased/>
  <w15:docId w15:val="{85F85E15-6837-4765-892B-20BC5EA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E6"/>
    <w:pPr>
      <w:ind w:left="720"/>
      <w:contextualSpacing/>
    </w:pPr>
  </w:style>
  <w:style w:type="table" w:styleId="TableGrid">
    <w:name w:val="Table Grid"/>
    <w:basedOn w:val="TableNormal"/>
    <w:uiPriority w:val="39"/>
    <w:rsid w:val="0011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819"/>
  </w:style>
  <w:style w:type="paragraph" w:styleId="Footer">
    <w:name w:val="footer"/>
    <w:basedOn w:val="Normal"/>
    <w:link w:val="FooterChar"/>
    <w:uiPriority w:val="99"/>
    <w:unhideWhenUsed/>
    <w:rsid w:val="00D6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819"/>
  </w:style>
  <w:style w:type="paragraph" w:styleId="NoSpacing">
    <w:name w:val="No Spacing"/>
    <w:uiPriority w:val="1"/>
    <w:qFormat/>
    <w:rsid w:val="007511FD"/>
    <w:pPr>
      <w:spacing w:after="0" w:line="240" w:lineRule="auto"/>
    </w:pPr>
  </w:style>
  <w:style w:type="character" w:styleId="Hyperlink">
    <w:name w:val="Hyperlink"/>
    <w:basedOn w:val="DefaultParagraphFont"/>
    <w:uiPriority w:val="99"/>
    <w:semiHidden/>
    <w:unhideWhenUsed/>
    <w:rsid w:val="005561C1"/>
    <w:rPr>
      <w:color w:val="0000FF"/>
      <w:u w:val="single"/>
    </w:rPr>
  </w:style>
  <w:style w:type="paragraph" w:styleId="BalloonText">
    <w:name w:val="Balloon Text"/>
    <w:basedOn w:val="Normal"/>
    <w:link w:val="BalloonTextChar"/>
    <w:uiPriority w:val="99"/>
    <w:semiHidden/>
    <w:unhideWhenUsed/>
    <w:rsid w:val="00B6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2040">
      <w:bodyDiv w:val="1"/>
      <w:marLeft w:val="0"/>
      <w:marRight w:val="0"/>
      <w:marTop w:val="0"/>
      <w:marBottom w:val="0"/>
      <w:divBdr>
        <w:top w:val="none" w:sz="0" w:space="0" w:color="auto"/>
        <w:left w:val="none" w:sz="0" w:space="0" w:color="auto"/>
        <w:bottom w:val="none" w:sz="0" w:space="0" w:color="auto"/>
        <w:right w:val="none" w:sz="0" w:space="0" w:color="auto"/>
      </w:divBdr>
      <w:divsChild>
        <w:div w:id="1485467506">
          <w:marLeft w:val="0"/>
          <w:marRight w:val="0"/>
          <w:marTop w:val="120"/>
          <w:marBottom w:val="0"/>
          <w:divBdr>
            <w:top w:val="none" w:sz="0" w:space="0" w:color="auto"/>
            <w:left w:val="none" w:sz="0" w:space="0" w:color="auto"/>
            <w:bottom w:val="none" w:sz="0" w:space="0" w:color="auto"/>
            <w:right w:val="none" w:sz="0" w:space="0" w:color="auto"/>
          </w:divBdr>
        </w:div>
        <w:div w:id="583998320">
          <w:marLeft w:val="567"/>
          <w:marRight w:val="0"/>
          <w:marTop w:val="60"/>
          <w:marBottom w:val="0"/>
          <w:divBdr>
            <w:top w:val="none" w:sz="0" w:space="0" w:color="auto"/>
            <w:left w:val="none" w:sz="0" w:space="0" w:color="auto"/>
            <w:bottom w:val="none" w:sz="0" w:space="0" w:color="auto"/>
            <w:right w:val="none" w:sz="0" w:space="0" w:color="auto"/>
          </w:divBdr>
        </w:div>
      </w:divsChild>
    </w:div>
    <w:div w:id="806823984">
      <w:bodyDiv w:val="1"/>
      <w:marLeft w:val="0"/>
      <w:marRight w:val="0"/>
      <w:marTop w:val="0"/>
      <w:marBottom w:val="0"/>
      <w:divBdr>
        <w:top w:val="none" w:sz="0" w:space="0" w:color="auto"/>
        <w:left w:val="none" w:sz="0" w:space="0" w:color="auto"/>
        <w:bottom w:val="none" w:sz="0" w:space="0" w:color="auto"/>
        <w:right w:val="none" w:sz="0" w:space="0" w:color="auto"/>
      </w:divBdr>
      <w:divsChild>
        <w:div w:id="2041201693">
          <w:marLeft w:val="0"/>
          <w:marRight w:val="0"/>
          <w:marTop w:val="120"/>
          <w:marBottom w:val="0"/>
          <w:divBdr>
            <w:top w:val="none" w:sz="0" w:space="0" w:color="auto"/>
            <w:left w:val="none" w:sz="0" w:space="0" w:color="auto"/>
            <w:bottom w:val="none" w:sz="0" w:space="0" w:color="auto"/>
            <w:right w:val="none" w:sz="0" w:space="0" w:color="auto"/>
          </w:divBdr>
        </w:div>
        <w:div w:id="420109621">
          <w:marLeft w:val="567"/>
          <w:marRight w:val="0"/>
          <w:marTop w:val="60"/>
          <w:marBottom w:val="0"/>
          <w:divBdr>
            <w:top w:val="none" w:sz="0" w:space="0" w:color="auto"/>
            <w:left w:val="none" w:sz="0" w:space="0" w:color="auto"/>
            <w:bottom w:val="none" w:sz="0" w:space="0" w:color="auto"/>
            <w:right w:val="none" w:sz="0" w:space="0" w:color="auto"/>
          </w:divBdr>
        </w:div>
        <w:div w:id="1541358291">
          <w:marLeft w:val="0"/>
          <w:marRight w:val="0"/>
          <w:marTop w:val="120"/>
          <w:marBottom w:val="0"/>
          <w:divBdr>
            <w:top w:val="none" w:sz="0" w:space="0" w:color="auto"/>
            <w:left w:val="none" w:sz="0" w:space="0" w:color="auto"/>
            <w:bottom w:val="none" w:sz="0" w:space="0" w:color="auto"/>
            <w:right w:val="none" w:sz="0" w:space="0" w:color="auto"/>
          </w:divBdr>
        </w:div>
      </w:divsChild>
    </w:div>
    <w:div w:id="990600294">
      <w:bodyDiv w:val="1"/>
      <w:marLeft w:val="0"/>
      <w:marRight w:val="0"/>
      <w:marTop w:val="0"/>
      <w:marBottom w:val="0"/>
      <w:divBdr>
        <w:top w:val="none" w:sz="0" w:space="0" w:color="auto"/>
        <w:left w:val="none" w:sz="0" w:space="0" w:color="auto"/>
        <w:bottom w:val="none" w:sz="0" w:space="0" w:color="auto"/>
        <w:right w:val="none" w:sz="0" w:space="0" w:color="auto"/>
      </w:divBdr>
      <w:divsChild>
        <w:div w:id="1771193409">
          <w:marLeft w:val="0"/>
          <w:marRight w:val="0"/>
          <w:marTop w:val="60"/>
          <w:marBottom w:val="0"/>
          <w:divBdr>
            <w:top w:val="none" w:sz="0" w:space="0" w:color="auto"/>
            <w:left w:val="none" w:sz="0" w:space="0" w:color="auto"/>
            <w:bottom w:val="none" w:sz="0" w:space="0" w:color="auto"/>
            <w:right w:val="none" w:sz="0" w:space="0" w:color="auto"/>
          </w:divBdr>
        </w:div>
        <w:div w:id="265429160">
          <w:marLeft w:val="907"/>
          <w:marRight w:val="0"/>
          <w:marTop w:val="60"/>
          <w:marBottom w:val="0"/>
          <w:divBdr>
            <w:top w:val="none" w:sz="0" w:space="0" w:color="auto"/>
            <w:left w:val="none" w:sz="0" w:space="0" w:color="auto"/>
            <w:bottom w:val="none" w:sz="0" w:space="0" w:color="auto"/>
            <w:right w:val="none" w:sz="0" w:space="0" w:color="auto"/>
          </w:divBdr>
        </w:div>
        <w:div w:id="1472475080">
          <w:marLeft w:val="907"/>
          <w:marRight w:val="0"/>
          <w:marTop w:val="60"/>
          <w:marBottom w:val="0"/>
          <w:divBdr>
            <w:top w:val="none" w:sz="0" w:space="0" w:color="auto"/>
            <w:left w:val="none" w:sz="0" w:space="0" w:color="auto"/>
            <w:bottom w:val="none" w:sz="0" w:space="0" w:color="auto"/>
            <w:right w:val="none" w:sz="0" w:space="0" w:color="auto"/>
          </w:divBdr>
        </w:div>
        <w:div w:id="264461171">
          <w:marLeft w:val="907"/>
          <w:marRight w:val="0"/>
          <w:marTop w:val="60"/>
          <w:marBottom w:val="0"/>
          <w:divBdr>
            <w:top w:val="none" w:sz="0" w:space="0" w:color="auto"/>
            <w:left w:val="none" w:sz="0" w:space="0" w:color="auto"/>
            <w:bottom w:val="none" w:sz="0" w:space="0" w:color="auto"/>
            <w:right w:val="none" w:sz="0" w:space="0" w:color="auto"/>
          </w:divBdr>
        </w:div>
        <w:div w:id="1987859483">
          <w:marLeft w:val="907"/>
          <w:marRight w:val="0"/>
          <w:marTop w:val="60"/>
          <w:marBottom w:val="0"/>
          <w:divBdr>
            <w:top w:val="none" w:sz="0" w:space="0" w:color="auto"/>
            <w:left w:val="none" w:sz="0" w:space="0" w:color="auto"/>
            <w:bottom w:val="none" w:sz="0" w:space="0" w:color="auto"/>
            <w:right w:val="none" w:sz="0" w:space="0" w:color="auto"/>
          </w:divBdr>
        </w:div>
        <w:div w:id="602618331">
          <w:marLeft w:val="0"/>
          <w:marRight w:val="0"/>
          <w:marTop w:val="20"/>
          <w:marBottom w:val="20"/>
          <w:divBdr>
            <w:top w:val="none" w:sz="0" w:space="0" w:color="auto"/>
            <w:left w:val="none" w:sz="0" w:space="0" w:color="auto"/>
            <w:bottom w:val="none" w:sz="0" w:space="0" w:color="auto"/>
            <w:right w:val="none" w:sz="0" w:space="0" w:color="auto"/>
          </w:divBdr>
        </w:div>
        <w:div w:id="581530026">
          <w:marLeft w:val="0"/>
          <w:marRight w:val="0"/>
          <w:marTop w:val="60"/>
          <w:marBottom w:val="0"/>
          <w:divBdr>
            <w:top w:val="none" w:sz="0" w:space="0" w:color="auto"/>
            <w:left w:val="none" w:sz="0" w:space="0" w:color="auto"/>
            <w:bottom w:val="none" w:sz="0" w:space="0" w:color="auto"/>
            <w:right w:val="none" w:sz="0" w:space="0" w:color="auto"/>
          </w:divBdr>
        </w:div>
        <w:div w:id="1027751203">
          <w:marLeft w:val="0"/>
          <w:marRight w:val="0"/>
          <w:marTop w:val="60"/>
          <w:marBottom w:val="0"/>
          <w:divBdr>
            <w:top w:val="none" w:sz="0" w:space="0" w:color="auto"/>
            <w:left w:val="none" w:sz="0" w:space="0" w:color="auto"/>
            <w:bottom w:val="none" w:sz="0" w:space="0" w:color="auto"/>
            <w:right w:val="none" w:sz="0" w:space="0" w:color="auto"/>
          </w:divBdr>
        </w:div>
        <w:div w:id="107090537">
          <w:marLeft w:val="0"/>
          <w:marRight w:val="0"/>
          <w:marTop w:val="60"/>
          <w:marBottom w:val="0"/>
          <w:divBdr>
            <w:top w:val="none" w:sz="0" w:space="0" w:color="auto"/>
            <w:left w:val="none" w:sz="0" w:space="0" w:color="auto"/>
            <w:bottom w:val="none" w:sz="0" w:space="0" w:color="auto"/>
            <w:right w:val="none" w:sz="0" w:space="0" w:color="auto"/>
          </w:divBdr>
        </w:div>
        <w:div w:id="1184899992">
          <w:marLeft w:val="907"/>
          <w:marRight w:val="0"/>
          <w:marTop w:val="60"/>
          <w:marBottom w:val="0"/>
          <w:divBdr>
            <w:top w:val="none" w:sz="0" w:space="0" w:color="auto"/>
            <w:left w:val="none" w:sz="0" w:space="0" w:color="auto"/>
            <w:bottom w:val="none" w:sz="0" w:space="0" w:color="auto"/>
            <w:right w:val="none" w:sz="0" w:space="0" w:color="auto"/>
          </w:divBdr>
        </w:div>
        <w:div w:id="584463053">
          <w:marLeft w:val="907"/>
          <w:marRight w:val="0"/>
          <w:marTop w:val="60"/>
          <w:marBottom w:val="0"/>
          <w:divBdr>
            <w:top w:val="none" w:sz="0" w:space="0" w:color="auto"/>
            <w:left w:val="none" w:sz="0" w:space="0" w:color="auto"/>
            <w:bottom w:val="none" w:sz="0" w:space="0" w:color="auto"/>
            <w:right w:val="none" w:sz="0" w:space="0" w:color="auto"/>
          </w:divBdr>
        </w:div>
        <w:div w:id="148524172">
          <w:marLeft w:val="0"/>
          <w:marRight w:val="0"/>
          <w:marTop w:val="60"/>
          <w:marBottom w:val="0"/>
          <w:divBdr>
            <w:top w:val="none" w:sz="0" w:space="0" w:color="auto"/>
            <w:left w:val="none" w:sz="0" w:space="0" w:color="auto"/>
            <w:bottom w:val="none" w:sz="0" w:space="0" w:color="auto"/>
            <w:right w:val="none" w:sz="0" w:space="0" w:color="auto"/>
          </w:divBdr>
        </w:div>
      </w:divsChild>
    </w:div>
    <w:div w:id="1368025522">
      <w:bodyDiv w:val="1"/>
      <w:marLeft w:val="0"/>
      <w:marRight w:val="0"/>
      <w:marTop w:val="0"/>
      <w:marBottom w:val="0"/>
      <w:divBdr>
        <w:top w:val="none" w:sz="0" w:space="0" w:color="auto"/>
        <w:left w:val="none" w:sz="0" w:space="0" w:color="auto"/>
        <w:bottom w:val="none" w:sz="0" w:space="0" w:color="auto"/>
        <w:right w:val="none" w:sz="0" w:space="0" w:color="auto"/>
      </w:divBdr>
      <w:divsChild>
        <w:div w:id="774979894">
          <w:marLeft w:val="0"/>
          <w:marRight w:val="0"/>
          <w:marTop w:val="120"/>
          <w:marBottom w:val="0"/>
          <w:divBdr>
            <w:top w:val="none" w:sz="0" w:space="0" w:color="auto"/>
            <w:left w:val="none" w:sz="0" w:space="0" w:color="auto"/>
            <w:bottom w:val="none" w:sz="0" w:space="0" w:color="auto"/>
            <w:right w:val="none" w:sz="0" w:space="0" w:color="auto"/>
          </w:divBdr>
        </w:div>
        <w:div w:id="1226719126">
          <w:marLeft w:val="567"/>
          <w:marRight w:val="0"/>
          <w:marTop w:val="60"/>
          <w:marBottom w:val="0"/>
          <w:divBdr>
            <w:top w:val="none" w:sz="0" w:space="0" w:color="auto"/>
            <w:left w:val="none" w:sz="0" w:space="0" w:color="auto"/>
            <w:bottom w:val="none" w:sz="0" w:space="0" w:color="auto"/>
            <w:right w:val="none" w:sz="0" w:space="0" w:color="auto"/>
          </w:divBdr>
        </w:div>
        <w:div w:id="1709338040">
          <w:marLeft w:val="0"/>
          <w:marRight w:val="0"/>
          <w:marTop w:val="120"/>
          <w:marBottom w:val="0"/>
          <w:divBdr>
            <w:top w:val="none" w:sz="0" w:space="0" w:color="auto"/>
            <w:left w:val="none" w:sz="0" w:space="0" w:color="auto"/>
            <w:bottom w:val="none" w:sz="0" w:space="0" w:color="auto"/>
            <w:right w:val="none" w:sz="0" w:space="0" w:color="auto"/>
          </w:divBdr>
        </w:div>
      </w:divsChild>
    </w:div>
    <w:div w:id="1858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9v2SACRpg207%27%5d&amp;xhitlist_md=target-id=0-0-0-1167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1991v2SApg805%27%5d&amp;xhitlist_md=target-id=0-0-0-116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1v1SACRpg490%27%5d&amp;xhitlist_md=target-id=0-0-0-116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2v2SACRpg158%27%5d&amp;xhitlist_md=target-id=0-0-0-1159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EB41-6B97-4E5D-B414-5BAA62DD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 Snyman</dc:creator>
  <cp:keywords/>
  <dc:description/>
  <cp:lastModifiedBy>Mary Bruce</cp:lastModifiedBy>
  <cp:revision>5</cp:revision>
  <cp:lastPrinted>2024-06-18T08:52:00Z</cp:lastPrinted>
  <dcterms:created xsi:type="dcterms:W3CDTF">2024-06-24T13:41:00Z</dcterms:created>
  <dcterms:modified xsi:type="dcterms:W3CDTF">2024-06-24T17:48:00Z</dcterms:modified>
</cp:coreProperties>
</file>