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661AE" w14:textId="77777777" w:rsidR="002717D3" w:rsidRPr="00D92CC0" w:rsidRDefault="002717D3" w:rsidP="002717D3">
      <w:pPr>
        <w:spacing w:after="0" w:line="360" w:lineRule="auto"/>
        <w:jc w:val="both"/>
        <w:rPr>
          <w:rFonts w:ascii="Arial" w:hAnsi="Arial" w:cs="Arial"/>
          <w:b/>
          <w:sz w:val="28"/>
          <w:szCs w:val="28"/>
        </w:rPr>
      </w:pPr>
      <w:bookmarkStart w:id="0" w:name="_GoBack"/>
      <w:bookmarkEnd w:id="0"/>
      <w:r w:rsidRPr="001133B7">
        <w:rPr>
          <w:rFonts w:ascii="Calibri" w:eastAsia="Times New Roman" w:hAnsi="Calibri" w:cs="Calibri"/>
          <w:b/>
          <w:noProof/>
          <w:sz w:val="28"/>
          <w:szCs w:val="28"/>
          <w:lang w:eastAsia="en-ZA"/>
        </w:rPr>
        <w:drawing>
          <wp:anchor distT="0" distB="0" distL="114300" distR="114300" simplePos="0" relativeHeight="251659264" behindDoc="1" locked="0" layoutInCell="1" allowOverlap="1" wp14:anchorId="549EC375" wp14:editId="69BD4BFF">
            <wp:simplePos x="0" y="0"/>
            <wp:positionH relativeFrom="column">
              <wp:posOffset>1823720</wp:posOffset>
            </wp:positionH>
            <wp:positionV relativeFrom="paragraph">
              <wp:posOffset>-403225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a:ln>
                      <a:noFill/>
                    </a:ln>
                  </pic:spPr>
                </pic:pic>
              </a:graphicData>
            </a:graphic>
          </wp:anchor>
        </w:drawing>
      </w:r>
      <w:r w:rsidRPr="00D92CC0">
        <w:rPr>
          <w:rFonts w:ascii="Arial" w:hAnsi="Arial" w:cs="Arial"/>
          <w:b/>
          <w:sz w:val="28"/>
          <w:szCs w:val="28"/>
        </w:rPr>
        <w:t xml:space="preserve"> </w:t>
      </w:r>
    </w:p>
    <w:tbl>
      <w:tblPr>
        <w:tblpPr w:leftFromText="180" w:rightFromText="180" w:vertAnchor="page" w:horzAnchor="page" w:tblpX="6943" w:tblpY="451"/>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tblGrid>
      <w:tr w:rsidR="002717D3" w:rsidRPr="00930F60" w14:paraId="09B95B40" w14:textId="77777777" w:rsidTr="000F5F85">
        <w:trPr>
          <w:trHeight w:val="975"/>
        </w:trPr>
        <w:tc>
          <w:tcPr>
            <w:tcW w:w="4105" w:type="dxa"/>
          </w:tcPr>
          <w:p w14:paraId="2FCE22B6" w14:textId="77777777" w:rsidR="002717D3" w:rsidRPr="00195AE6" w:rsidRDefault="002717D3" w:rsidP="000F5F85">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Reportable:  </w:t>
            </w:r>
            <w:r w:rsidRPr="00195AE6">
              <w:rPr>
                <w:rFonts w:ascii="Calibri" w:hAnsi="Calibri" w:cs="Calibri"/>
                <w:lang w:val="en-GB"/>
              </w:rPr>
              <w:tab/>
              <w:t xml:space="preserve">                              YES / </w:t>
            </w:r>
            <w:r w:rsidRPr="00B06CC4">
              <w:rPr>
                <w:rFonts w:ascii="Calibri" w:hAnsi="Calibri" w:cs="Calibri"/>
                <w:b/>
                <w:u w:val="single"/>
                <w:lang w:val="en-GB"/>
              </w:rPr>
              <w:t>NO</w:t>
            </w:r>
          </w:p>
          <w:p w14:paraId="12165E89" w14:textId="77777777" w:rsidR="002717D3" w:rsidRPr="00195AE6" w:rsidRDefault="002717D3" w:rsidP="000F5F85">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Circulate to Judges: </w:t>
            </w:r>
            <w:r w:rsidRPr="00195AE6">
              <w:rPr>
                <w:rFonts w:ascii="Calibri" w:hAnsi="Calibri" w:cs="Calibri"/>
                <w:lang w:val="en-GB"/>
              </w:rPr>
              <w:tab/>
              <w:t xml:space="preserve">                     YES / </w:t>
            </w:r>
            <w:r w:rsidRPr="00B06CC4">
              <w:rPr>
                <w:rFonts w:ascii="Calibri" w:hAnsi="Calibri" w:cs="Calibri"/>
                <w:b/>
                <w:u w:val="single"/>
                <w:lang w:val="en-GB"/>
              </w:rPr>
              <w:t>NO</w:t>
            </w:r>
          </w:p>
          <w:p w14:paraId="7F356D01" w14:textId="77777777" w:rsidR="002717D3" w:rsidRPr="00195AE6" w:rsidRDefault="002717D3" w:rsidP="000F5F85">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Circulate to Magistrates:</w:t>
            </w:r>
            <w:r w:rsidRPr="00195AE6">
              <w:rPr>
                <w:rFonts w:ascii="Calibri" w:hAnsi="Calibri" w:cs="Calibri"/>
                <w:lang w:val="en-GB"/>
              </w:rPr>
              <w:tab/>
              <w:t xml:space="preserve">               YES / </w:t>
            </w:r>
            <w:r w:rsidRPr="00B06CC4">
              <w:rPr>
                <w:rFonts w:ascii="Calibri" w:hAnsi="Calibri" w:cs="Calibri"/>
                <w:b/>
                <w:u w:val="single"/>
                <w:lang w:val="en-GB"/>
              </w:rPr>
              <w:t>NO</w:t>
            </w:r>
          </w:p>
          <w:p w14:paraId="3FA3CB41" w14:textId="77777777" w:rsidR="002717D3" w:rsidRPr="00930F60" w:rsidRDefault="002717D3" w:rsidP="000F5F85">
            <w:pPr>
              <w:tabs>
                <w:tab w:val="right" w:pos="4144"/>
              </w:tabs>
              <w:spacing w:after="0" w:line="360" w:lineRule="auto"/>
              <w:contextualSpacing/>
              <w:jc w:val="both"/>
              <w:rPr>
                <w:rFonts w:ascii="Calibri" w:hAnsi="Calibri" w:cs="Calibri"/>
                <w:sz w:val="28"/>
                <w:szCs w:val="28"/>
                <w:lang w:val="en-GB"/>
              </w:rPr>
            </w:pPr>
            <w:r w:rsidRPr="00195AE6">
              <w:rPr>
                <w:rFonts w:ascii="Calibri" w:hAnsi="Calibri" w:cs="Calibri"/>
                <w:lang w:val="en-GB"/>
              </w:rPr>
              <w:t>Circulate to Regional Magistrates:</w:t>
            </w:r>
            <w:r w:rsidRPr="00195AE6">
              <w:rPr>
                <w:rFonts w:ascii="Calibri" w:hAnsi="Calibri" w:cs="Calibri"/>
                <w:lang w:val="en-GB"/>
              </w:rPr>
              <w:tab/>
              <w:t xml:space="preserve">  YES / </w:t>
            </w:r>
            <w:r w:rsidRPr="00B06CC4">
              <w:rPr>
                <w:rFonts w:ascii="Calibri" w:hAnsi="Calibri" w:cs="Calibri"/>
                <w:b/>
                <w:u w:val="single"/>
                <w:lang w:val="en-GB"/>
              </w:rPr>
              <w:t>NO</w:t>
            </w:r>
          </w:p>
        </w:tc>
      </w:tr>
    </w:tbl>
    <w:p w14:paraId="26EE698A" w14:textId="77777777" w:rsidR="002717D3" w:rsidRDefault="002717D3" w:rsidP="002717D3">
      <w:pPr>
        <w:spacing w:after="0" w:line="360" w:lineRule="auto"/>
        <w:jc w:val="both"/>
        <w:rPr>
          <w:rFonts w:ascii="Calibri" w:eastAsia="Times New Roman" w:hAnsi="Calibri" w:cs="Calibri"/>
          <w:b/>
          <w:noProof/>
          <w:sz w:val="28"/>
          <w:szCs w:val="28"/>
        </w:rPr>
      </w:pPr>
    </w:p>
    <w:p w14:paraId="23538AF5" w14:textId="77777777" w:rsidR="002717D3" w:rsidRDefault="002717D3" w:rsidP="002717D3">
      <w:pPr>
        <w:spacing w:after="0" w:line="360" w:lineRule="auto"/>
        <w:jc w:val="both"/>
        <w:rPr>
          <w:rFonts w:ascii="Arial" w:hAnsi="Arial" w:cs="Arial"/>
          <w:b/>
          <w:sz w:val="26"/>
          <w:szCs w:val="26"/>
        </w:rPr>
      </w:pPr>
    </w:p>
    <w:p w14:paraId="570698D7" w14:textId="77777777" w:rsidR="002717D3" w:rsidRPr="00A82698" w:rsidRDefault="002717D3" w:rsidP="002717D3">
      <w:pPr>
        <w:spacing w:after="0" w:line="360" w:lineRule="auto"/>
        <w:jc w:val="both"/>
        <w:rPr>
          <w:rFonts w:ascii="Arial" w:eastAsia="MS Mincho" w:hAnsi="Arial" w:cs="Arial"/>
          <w:b/>
          <w:iCs/>
          <w:sz w:val="16"/>
          <w:szCs w:val="16"/>
          <w:lang w:val="en-GB"/>
        </w:rPr>
      </w:pPr>
    </w:p>
    <w:p w14:paraId="33226705" w14:textId="77777777" w:rsidR="002717D3" w:rsidRDefault="002717D3" w:rsidP="002717D3">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49D6E868" w14:textId="77777777" w:rsidR="002717D3" w:rsidRDefault="002717D3" w:rsidP="002717D3">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NORTH WEST</w:t>
      </w:r>
      <w:r w:rsidRPr="00FE2FF5">
        <w:rPr>
          <w:rFonts w:ascii="Arial" w:eastAsia="MS Mincho" w:hAnsi="Arial" w:cs="Arial"/>
          <w:b/>
          <w:iCs/>
          <w:sz w:val="28"/>
          <w:szCs w:val="28"/>
          <w:lang w:val="en-GB"/>
        </w:rPr>
        <w:t xml:space="preserve"> </w:t>
      </w:r>
      <w:r>
        <w:rPr>
          <w:rFonts w:ascii="Arial" w:eastAsia="MS Mincho" w:hAnsi="Arial" w:cs="Arial"/>
          <w:b/>
          <w:iCs/>
          <w:sz w:val="28"/>
          <w:szCs w:val="28"/>
          <w:lang w:val="en-GB"/>
        </w:rPr>
        <w:t>DIVISION, MAHIKENG</w:t>
      </w:r>
    </w:p>
    <w:p w14:paraId="2068AA81" w14:textId="77777777" w:rsidR="002717D3" w:rsidRDefault="002717D3" w:rsidP="002926BD">
      <w:pPr>
        <w:spacing w:line="240" w:lineRule="auto"/>
        <w:jc w:val="both"/>
        <w:rPr>
          <w:rFonts w:ascii="Arial" w:hAnsi="Arial" w:cs="Arial"/>
          <w:b/>
          <w:sz w:val="28"/>
          <w:szCs w:val="28"/>
        </w:rPr>
      </w:pPr>
    </w:p>
    <w:p w14:paraId="4476DEF5" w14:textId="77777777" w:rsidR="002717D3" w:rsidRDefault="002717D3" w:rsidP="002926BD">
      <w:pPr>
        <w:spacing w:line="240" w:lineRule="auto"/>
        <w:jc w:val="both"/>
        <w:rPr>
          <w:rFonts w:ascii="Arial" w:hAnsi="Arial" w:cs="Arial"/>
          <w:b/>
          <w:sz w:val="28"/>
          <w:szCs w:val="28"/>
        </w:rPr>
      </w:pPr>
    </w:p>
    <w:p w14:paraId="029ADE8F" w14:textId="6A61C95D" w:rsidR="00FA6F26" w:rsidRDefault="008E2B20" w:rsidP="002926BD">
      <w:pPr>
        <w:spacing w:line="240" w:lineRule="auto"/>
        <w:jc w:val="both"/>
        <w:rPr>
          <w:rFonts w:ascii="Arial" w:hAnsi="Arial" w:cs="Arial"/>
          <w:b/>
          <w:sz w:val="28"/>
          <w:szCs w:val="28"/>
        </w:rPr>
      </w:pPr>
      <w:r w:rsidRPr="0093400B">
        <w:rPr>
          <w:rFonts w:ascii="Arial" w:hAnsi="Arial" w:cs="Arial"/>
          <w:b/>
          <w:sz w:val="28"/>
          <w:szCs w:val="28"/>
        </w:rPr>
        <w:t xml:space="preserve">                                                                               CASE</w:t>
      </w:r>
      <w:r w:rsidR="00FA6F26">
        <w:rPr>
          <w:rFonts w:ascii="Arial" w:hAnsi="Arial" w:cs="Arial"/>
          <w:b/>
          <w:sz w:val="28"/>
          <w:szCs w:val="28"/>
        </w:rPr>
        <w:t xml:space="preserve"> </w:t>
      </w:r>
      <w:r w:rsidRPr="0093400B">
        <w:rPr>
          <w:rFonts w:ascii="Arial" w:hAnsi="Arial" w:cs="Arial"/>
          <w:b/>
          <w:sz w:val="28"/>
          <w:szCs w:val="28"/>
        </w:rPr>
        <w:t>NO:</w:t>
      </w:r>
      <w:r w:rsidR="00031AAE">
        <w:rPr>
          <w:rFonts w:ascii="Arial" w:hAnsi="Arial" w:cs="Arial"/>
          <w:b/>
          <w:sz w:val="28"/>
          <w:szCs w:val="28"/>
        </w:rPr>
        <w:t xml:space="preserve"> </w:t>
      </w:r>
      <w:r w:rsidR="00FA6F26">
        <w:rPr>
          <w:rFonts w:ascii="Arial" w:hAnsi="Arial" w:cs="Arial"/>
          <w:b/>
          <w:sz w:val="28"/>
          <w:szCs w:val="28"/>
        </w:rPr>
        <w:t>M</w:t>
      </w:r>
      <w:r w:rsidR="0090152E">
        <w:rPr>
          <w:rFonts w:ascii="Arial" w:hAnsi="Arial" w:cs="Arial"/>
          <w:b/>
          <w:sz w:val="28"/>
          <w:szCs w:val="28"/>
        </w:rPr>
        <w:t>373/2021</w:t>
      </w:r>
    </w:p>
    <w:p w14:paraId="0A58CCF9" w14:textId="77777777" w:rsidR="008E2B20" w:rsidRPr="0093400B" w:rsidRDefault="008E2B20" w:rsidP="002926BD">
      <w:pPr>
        <w:spacing w:line="240" w:lineRule="auto"/>
        <w:jc w:val="both"/>
        <w:rPr>
          <w:rFonts w:ascii="Arial" w:hAnsi="Arial" w:cs="Arial"/>
          <w:b/>
          <w:sz w:val="28"/>
          <w:szCs w:val="28"/>
        </w:rPr>
      </w:pPr>
      <w:r w:rsidRPr="0093400B">
        <w:rPr>
          <w:rFonts w:ascii="Arial" w:hAnsi="Arial" w:cs="Arial"/>
          <w:b/>
          <w:sz w:val="28"/>
          <w:szCs w:val="28"/>
        </w:rPr>
        <w:t xml:space="preserve">In the matter between: </w:t>
      </w:r>
    </w:p>
    <w:p w14:paraId="0BBC28B5" w14:textId="77777777" w:rsidR="003B160D" w:rsidRPr="0093400B" w:rsidRDefault="003B160D" w:rsidP="002926BD">
      <w:pPr>
        <w:spacing w:line="240" w:lineRule="auto"/>
        <w:jc w:val="both"/>
        <w:rPr>
          <w:rFonts w:ascii="Arial" w:hAnsi="Arial" w:cs="Arial"/>
          <w:b/>
          <w:sz w:val="28"/>
          <w:szCs w:val="28"/>
        </w:rPr>
      </w:pPr>
    </w:p>
    <w:p w14:paraId="4C724D5C" w14:textId="77777777" w:rsidR="0090152E" w:rsidRDefault="0090152E" w:rsidP="002926BD">
      <w:pPr>
        <w:spacing w:line="240" w:lineRule="auto"/>
        <w:jc w:val="both"/>
        <w:rPr>
          <w:rFonts w:ascii="Arial" w:hAnsi="Arial" w:cs="Arial"/>
          <w:b/>
          <w:sz w:val="28"/>
          <w:szCs w:val="28"/>
        </w:rPr>
      </w:pPr>
      <w:r>
        <w:rPr>
          <w:rFonts w:ascii="Arial" w:hAnsi="Arial" w:cs="Arial"/>
          <w:b/>
          <w:sz w:val="28"/>
          <w:szCs w:val="28"/>
        </w:rPr>
        <w:t>THE KGETLENGRIVIER CONCERNED</w:t>
      </w:r>
    </w:p>
    <w:p w14:paraId="580E940C" w14:textId="1F94828D" w:rsidR="008E2B20" w:rsidRPr="0093400B" w:rsidRDefault="0090152E" w:rsidP="002926BD">
      <w:pPr>
        <w:spacing w:line="240" w:lineRule="auto"/>
        <w:jc w:val="both"/>
        <w:rPr>
          <w:rFonts w:ascii="Arial" w:hAnsi="Arial" w:cs="Arial"/>
          <w:b/>
          <w:sz w:val="28"/>
          <w:szCs w:val="28"/>
        </w:rPr>
      </w:pPr>
      <w:r>
        <w:rPr>
          <w:rFonts w:ascii="Arial" w:hAnsi="Arial" w:cs="Arial"/>
          <w:b/>
          <w:sz w:val="28"/>
          <w:szCs w:val="28"/>
        </w:rPr>
        <w:t>CITIZENS</w:t>
      </w:r>
      <w:r w:rsidR="00AF6C84">
        <w:rPr>
          <w:rFonts w:ascii="Arial" w:hAnsi="Arial" w:cs="Arial"/>
          <w:b/>
          <w:sz w:val="28"/>
          <w:szCs w:val="28"/>
        </w:rPr>
        <w:tab/>
      </w:r>
      <w:r w:rsidR="00AF6C84">
        <w:rPr>
          <w:rFonts w:ascii="Arial" w:hAnsi="Arial" w:cs="Arial"/>
          <w:b/>
          <w:sz w:val="28"/>
          <w:szCs w:val="28"/>
        </w:rPr>
        <w:tab/>
      </w:r>
      <w:r w:rsidR="00AF6C84">
        <w:rPr>
          <w:rFonts w:ascii="Arial" w:hAnsi="Arial" w:cs="Arial"/>
          <w:b/>
          <w:sz w:val="28"/>
          <w:szCs w:val="28"/>
        </w:rPr>
        <w:tab/>
      </w:r>
      <w:r w:rsidR="00AF6C84">
        <w:rPr>
          <w:rFonts w:ascii="Arial" w:hAnsi="Arial" w:cs="Arial"/>
          <w:b/>
          <w:sz w:val="28"/>
          <w:szCs w:val="28"/>
        </w:rPr>
        <w:tab/>
      </w:r>
      <w:r w:rsidR="00AF6C84">
        <w:rPr>
          <w:rFonts w:ascii="Arial" w:hAnsi="Arial" w:cs="Arial"/>
          <w:b/>
          <w:sz w:val="28"/>
          <w:szCs w:val="28"/>
        </w:rPr>
        <w:tab/>
      </w:r>
      <w:r w:rsidR="00AF6C84">
        <w:rPr>
          <w:rFonts w:ascii="Arial" w:hAnsi="Arial" w:cs="Arial"/>
          <w:b/>
          <w:sz w:val="28"/>
          <w:szCs w:val="28"/>
        </w:rPr>
        <w:tab/>
      </w:r>
      <w:r w:rsidR="00AF6C84">
        <w:rPr>
          <w:rFonts w:ascii="Arial" w:hAnsi="Arial" w:cs="Arial"/>
          <w:b/>
          <w:sz w:val="28"/>
          <w:szCs w:val="28"/>
        </w:rPr>
        <w:tab/>
      </w:r>
      <w:r w:rsidR="00AF6C84">
        <w:rPr>
          <w:rFonts w:ascii="Arial" w:hAnsi="Arial" w:cs="Arial"/>
          <w:b/>
          <w:sz w:val="28"/>
          <w:szCs w:val="28"/>
        </w:rPr>
        <w:tab/>
      </w:r>
      <w:r w:rsidR="00280A3F" w:rsidRPr="0093400B">
        <w:rPr>
          <w:rFonts w:ascii="Arial" w:hAnsi="Arial" w:cs="Arial"/>
          <w:b/>
          <w:sz w:val="28"/>
          <w:szCs w:val="28"/>
        </w:rPr>
        <w:t>Applicant</w:t>
      </w:r>
    </w:p>
    <w:p w14:paraId="42526A33" w14:textId="77777777" w:rsidR="003B160D" w:rsidRPr="0093400B" w:rsidRDefault="003B160D" w:rsidP="002926BD">
      <w:pPr>
        <w:spacing w:line="240" w:lineRule="auto"/>
        <w:jc w:val="both"/>
        <w:rPr>
          <w:rFonts w:ascii="Arial" w:hAnsi="Arial" w:cs="Arial"/>
          <w:b/>
          <w:sz w:val="28"/>
          <w:szCs w:val="28"/>
        </w:rPr>
      </w:pPr>
    </w:p>
    <w:p w14:paraId="6EC0F832" w14:textId="77777777" w:rsidR="008E2B20" w:rsidRPr="0093400B" w:rsidRDefault="008E2B20" w:rsidP="002926BD">
      <w:pPr>
        <w:spacing w:line="240" w:lineRule="auto"/>
        <w:jc w:val="both"/>
        <w:rPr>
          <w:rFonts w:ascii="Arial" w:hAnsi="Arial" w:cs="Arial"/>
          <w:b/>
          <w:sz w:val="28"/>
          <w:szCs w:val="28"/>
        </w:rPr>
      </w:pPr>
      <w:r w:rsidRPr="0093400B">
        <w:rPr>
          <w:rFonts w:ascii="Arial" w:hAnsi="Arial" w:cs="Arial"/>
          <w:b/>
          <w:sz w:val="28"/>
          <w:szCs w:val="28"/>
        </w:rPr>
        <w:t xml:space="preserve">And </w:t>
      </w:r>
    </w:p>
    <w:p w14:paraId="7BFE95EA" w14:textId="77777777" w:rsidR="003B160D" w:rsidRPr="0093400B" w:rsidRDefault="003B160D" w:rsidP="002926BD">
      <w:pPr>
        <w:spacing w:line="240" w:lineRule="auto"/>
        <w:jc w:val="both"/>
        <w:rPr>
          <w:rFonts w:ascii="Arial" w:hAnsi="Arial" w:cs="Arial"/>
          <w:b/>
          <w:sz w:val="28"/>
          <w:szCs w:val="28"/>
        </w:rPr>
      </w:pPr>
    </w:p>
    <w:p w14:paraId="70CA26AB" w14:textId="1F613105" w:rsidR="002926BD" w:rsidRDefault="0090152E" w:rsidP="002926BD">
      <w:pPr>
        <w:spacing w:line="240" w:lineRule="auto"/>
        <w:jc w:val="both"/>
        <w:rPr>
          <w:rFonts w:ascii="Arial" w:hAnsi="Arial" w:cs="Arial"/>
          <w:b/>
          <w:sz w:val="28"/>
          <w:szCs w:val="28"/>
        </w:rPr>
      </w:pPr>
      <w:r>
        <w:rPr>
          <w:rFonts w:ascii="Arial" w:hAnsi="Arial" w:cs="Arial"/>
          <w:b/>
          <w:sz w:val="28"/>
          <w:szCs w:val="28"/>
        </w:rPr>
        <w:t>KGETLENGRIVIER LOCAL</w:t>
      </w:r>
      <w:r w:rsidR="00FA6F26">
        <w:rPr>
          <w:rFonts w:ascii="Arial" w:hAnsi="Arial" w:cs="Arial"/>
          <w:b/>
          <w:sz w:val="28"/>
          <w:szCs w:val="28"/>
        </w:rPr>
        <w:t xml:space="preserve"> MUNICIPALITY</w:t>
      </w:r>
      <w:r w:rsidR="00AF6C84">
        <w:rPr>
          <w:rFonts w:ascii="Arial" w:hAnsi="Arial" w:cs="Arial"/>
          <w:b/>
          <w:sz w:val="28"/>
          <w:szCs w:val="28"/>
        </w:rPr>
        <w:tab/>
      </w:r>
      <w:r w:rsidR="00AF6C84">
        <w:rPr>
          <w:rFonts w:ascii="Arial" w:hAnsi="Arial" w:cs="Arial"/>
          <w:b/>
          <w:sz w:val="28"/>
          <w:szCs w:val="28"/>
        </w:rPr>
        <w:tab/>
      </w:r>
      <w:r w:rsidR="00031AAE">
        <w:rPr>
          <w:rFonts w:ascii="Arial" w:hAnsi="Arial" w:cs="Arial"/>
          <w:b/>
          <w:sz w:val="28"/>
          <w:szCs w:val="28"/>
        </w:rPr>
        <w:t>1</w:t>
      </w:r>
      <w:r w:rsidR="00AF6C84" w:rsidRPr="00AF6C84">
        <w:rPr>
          <w:rFonts w:ascii="Arial" w:hAnsi="Arial" w:cs="Arial"/>
          <w:b/>
          <w:sz w:val="28"/>
          <w:szCs w:val="28"/>
          <w:vertAlign w:val="superscript"/>
        </w:rPr>
        <w:t>ST</w:t>
      </w:r>
      <w:r w:rsidR="00AF6C84">
        <w:rPr>
          <w:rFonts w:ascii="Arial" w:hAnsi="Arial" w:cs="Arial"/>
          <w:b/>
          <w:sz w:val="28"/>
          <w:szCs w:val="28"/>
        </w:rPr>
        <w:t xml:space="preserve"> </w:t>
      </w:r>
      <w:r w:rsidR="000A1C43">
        <w:rPr>
          <w:rFonts w:ascii="Arial" w:hAnsi="Arial" w:cs="Arial"/>
          <w:b/>
          <w:sz w:val="28"/>
          <w:szCs w:val="28"/>
        </w:rPr>
        <w:t>R</w:t>
      </w:r>
      <w:r>
        <w:rPr>
          <w:rFonts w:ascii="Arial" w:hAnsi="Arial" w:cs="Arial"/>
          <w:b/>
          <w:sz w:val="28"/>
          <w:szCs w:val="28"/>
        </w:rPr>
        <w:t>espondent</w:t>
      </w:r>
    </w:p>
    <w:p w14:paraId="163A6748" w14:textId="27289E26" w:rsidR="0090152E" w:rsidRDefault="0090152E" w:rsidP="002926BD">
      <w:pPr>
        <w:spacing w:line="240" w:lineRule="auto"/>
        <w:jc w:val="both"/>
        <w:rPr>
          <w:rFonts w:ascii="Arial" w:hAnsi="Arial" w:cs="Arial"/>
          <w:b/>
          <w:sz w:val="28"/>
          <w:szCs w:val="28"/>
        </w:rPr>
      </w:pPr>
      <w:r>
        <w:rPr>
          <w:rFonts w:ascii="Arial" w:hAnsi="Arial" w:cs="Arial"/>
          <w:b/>
          <w:sz w:val="28"/>
          <w:szCs w:val="28"/>
        </w:rPr>
        <w:t>MAGALIES WATER BOARD</w:t>
      </w:r>
      <w:r w:rsidR="00AF6C84">
        <w:rPr>
          <w:rFonts w:ascii="Arial" w:hAnsi="Arial" w:cs="Arial"/>
          <w:b/>
          <w:sz w:val="28"/>
          <w:szCs w:val="28"/>
        </w:rPr>
        <w:tab/>
      </w:r>
      <w:r w:rsidR="00AF6C84">
        <w:rPr>
          <w:rFonts w:ascii="Arial" w:hAnsi="Arial" w:cs="Arial"/>
          <w:b/>
          <w:sz w:val="28"/>
          <w:szCs w:val="28"/>
        </w:rPr>
        <w:tab/>
      </w:r>
      <w:r w:rsidR="00AF6C84">
        <w:rPr>
          <w:rFonts w:ascii="Arial" w:hAnsi="Arial" w:cs="Arial"/>
          <w:b/>
          <w:sz w:val="28"/>
          <w:szCs w:val="28"/>
        </w:rPr>
        <w:tab/>
      </w:r>
      <w:r w:rsidR="00AF6C84">
        <w:rPr>
          <w:rFonts w:ascii="Arial" w:hAnsi="Arial" w:cs="Arial"/>
          <w:b/>
          <w:sz w:val="28"/>
          <w:szCs w:val="28"/>
        </w:rPr>
        <w:tab/>
      </w:r>
      <w:r>
        <w:rPr>
          <w:rFonts w:ascii="Arial" w:hAnsi="Arial" w:cs="Arial"/>
          <w:b/>
          <w:sz w:val="28"/>
          <w:szCs w:val="28"/>
        </w:rPr>
        <w:t>2</w:t>
      </w:r>
      <w:r w:rsidRPr="0090152E">
        <w:rPr>
          <w:rFonts w:ascii="Arial" w:hAnsi="Arial" w:cs="Arial"/>
          <w:b/>
          <w:sz w:val="28"/>
          <w:szCs w:val="28"/>
          <w:vertAlign w:val="superscript"/>
        </w:rPr>
        <w:t>ND</w:t>
      </w:r>
      <w:r>
        <w:rPr>
          <w:rFonts w:ascii="Arial" w:hAnsi="Arial" w:cs="Arial"/>
          <w:b/>
          <w:sz w:val="28"/>
          <w:szCs w:val="28"/>
        </w:rPr>
        <w:t xml:space="preserve"> Respondent</w:t>
      </w:r>
    </w:p>
    <w:p w14:paraId="38394C1E" w14:textId="77777777" w:rsidR="00946262" w:rsidRDefault="00946262" w:rsidP="002926BD">
      <w:pPr>
        <w:spacing w:line="240" w:lineRule="auto"/>
        <w:jc w:val="both"/>
        <w:rPr>
          <w:rFonts w:ascii="Arial" w:hAnsi="Arial" w:cs="Arial"/>
          <w:b/>
          <w:sz w:val="28"/>
          <w:szCs w:val="28"/>
        </w:rPr>
      </w:pPr>
    </w:p>
    <w:p w14:paraId="6D1B7933" w14:textId="40EE1D86" w:rsidR="00946262" w:rsidRDefault="00946262" w:rsidP="00946262">
      <w:pPr>
        <w:spacing w:after="0" w:line="360" w:lineRule="auto"/>
        <w:jc w:val="both"/>
        <w:rPr>
          <w:rFonts w:ascii="Arial" w:hAnsi="Arial" w:cs="Arial"/>
          <w:b/>
          <w:sz w:val="28"/>
          <w:szCs w:val="28"/>
        </w:rPr>
      </w:pPr>
      <w:r>
        <w:rPr>
          <w:rFonts w:ascii="Arial" w:hAnsi="Arial" w:cs="Arial"/>
          <w:b/>
          <w:sz w:val="28"/>
          <w:szCs w:val="28"/>
        </w:rPr>
        <w:t>Heard:</w:t>
      </w:r>
      <w:r>
        <w:rPr>
          <w:rFonts w:ascii="Arial" w:hAnsi="Arial" w:cs="Arial"/>
          <w:b/>
          <w:sz w:val="28"/>
          <w:szCs w:val="28"/>
        </w:rPr>
        <w:tab/>
      </w:r>
      <w:r w:rsidR="00F2562F">
        <w:rPr>
          <w:rFonts w:ascii="Arial" w:hAnsi="Arial" w:cs="Arial"/>
          <w:b/>
          <w:sz w:val="28"/>
          <w:szCs w:val="28"/>
        </w:rPr>
        <w:t xml:space="preserve">17 </w:t>
      </w:r>
      <w:r>
        <w:rPr>
          <w:rFonts w:ascii="Arial" w:hAnsi="Arial" w:cs="Arial"/>
          <w:b/>
          <w:sz w:val="28"/>
          <w:szCs w:val="28"/>
        </w:rPr>
        <w:t>MAY 2024</w:t>
      </w:r>
    </w:p>
    <w:p w14:paraId="520591C9" w14:textId="3F0FFCCE" w:rsidR="00946262" w:rsidRDefault="00946262" w:rsidP="00946262">
      <w:pPr>
        <w:spacing w:after="0" w:line="360" w:lineRule="auto"/>
        <w:jc w:val="both"/>
        <w:rPr>
          <w:rFonts w:ascii="Arial" w:hAnsi="Arial" w:cs="Arial"/>
          <w:b/>
          <w:sz w:val="28"/>
          <w:szCs w:val="28"/>
        </w:rPr>
      </w:pPr>
      <w:r w:rsidRPr="006E1B91">
        <w:rPr>
          <w:rFonts w:ascii="Arial" w:hAnsi="Arial" w:cs="Arial"/>
          <w:b/>
          <w:bCs/>
          <w:sz w:val="28"/>
          <w:szCs w:val="28"/>
        </w:rPr>
        <w:t>Delivered</w:t>
      </w:r>
      <w:r>
        <w:rPr>
          <w:rFonts w:ascii="Arial" w:hAnsi="Arial" w:cs="Arial"/>
          <w:sz w:val="28"/>
          <w:szCs w:val="28"/>
        </w:rPr>
        <w:t xml:space="preserve">: This judgment is handed down electronically by circulation to the parties through their legal representatives’ email addresses. The date for the hand-down is deemed to be </w:t>
      </w:r>
      <w:r w:rsidR="00BD194D">
        <w:rPr>
          <w:rFonts w:ascii="Arial" w:hAnsi="Arial" w:cs="Arial"/>
          <w:b/>
          <w:sz w:val="28"/>
          <w:szCs w:val="28"/>
        </w:rPr>
        <w:t>0</w:t>
      </w:r>
      <w:r w:rsidR="00A71D15">
        <w:rPr>
          <w:rFonts w:ascii="Arial" w:hAnsi="Arial" w:cs="Arial"/>
          <w:b/>
          <w:sz w:val="28"/>
          <w:szCs w:val="28"/>
        </w:rPr>
        <w:t>6</w:t>
      </w:r>
      <w:r w:rsidR="00BD194D">
        <w:rPr>
          <w:rFonts w:ascii="Arial" w:hAnsi="Arial" w:cs="Arial"/>
          <w:b/>
          <w:sz w:val="28"/>
          <w:szCs w:val="28"/>
        </w:rPr>
        <w:t xml:space="preserve"> JUNE </w:t>
      </w:r>
      <w:r>
        <w:rPr>
          <w:rFonts w:ascii="Arial" w:hAnsi="Arial" w:cs="Arial"/>
          <w:b/>
          <w:sz w:val="28"/>
          <w:szCs w:val="28"/>
        </w:rPr>
        <w:t>2024</w:t>
      </w:r>
    </w:p>
    <w:p w14:paraId="3AB6BA64" w14:textId="77777777" w:rsidR="00946262" w:rsidRDefault="00946262" w:rsidP="00946262">
      <w:pPr>
        <w:spacing w:after="0" w:line="360" w:lineRule="auto"/>
        <w:jc w:val="both"/>
        <w:rPr>
          <w:rFonts w:ascii="Arial" w:hAnsi="Arial" w:cs="Arial"/>
          <w:b/>
          <w:sz w:val="24"/>
          <w:szCs w:val="24"/>
        </w:rPr>
      </w:pPr>
    </w:p>
    <w:p w14:paraId="0F195729" w14:textId="77777777" w:rsidR="00946262" w:rsidRPr="00B518FD" w:rsidRDefault="00946262" w:rsidP="00946262">
      <w:pPr>
        <w:pBdr>
          <w:top w:val="single" w:sz="4" w:space="0" w:color="auto"/>
          <w:left w:val="single" w:sz="4" w:space="4" w:color="auto"/>
          <w:bottom w:val="single" w:sz="4" w:space="11" w:color="auto"/>
          <w:right w:val="single" w:sz="4" w:space="4" w:color="auto"/>
        </w:pBdr>
        <w:shd w:val="clear" w:color="auto" w:fill="A6A6A6"/>
        <w:spacing w:after="0" w:line="360" w:lineRule="auto"/>
        <w:jc w:val="both"/>
        <w:rPr>
          <w:rFonts w:ascii="Arial" w:hAnsi="Arial" w:cs="Arial"/>
          <w:b/>
          <w:sz w:val="28"/>
          <w:szCs w:val="28"/>
          <w:lang w:val="en-GB"/>
        </w:rPr>
      </w:pPr>
    </w:p>
    <w:p w14:paraId="5A3188A6" w14:textId="77777777" w:rsidR="00946262" w:rsidRPr="00535F89" w:rsidRDefault="00946262" w:rsidP="00946262">
      <w:pPr>
        <w:pBdr>
          <w:top w:val="single" w:sz="4" w:space="0" w:color="auto"/>
          <w:left w:val="single" w:sz="4" w:space="4" w:color="auto"/>
          <w:bottom w:val="single" w:sz="4" w:space="11" w:color="auto"/>
          <w:right w:val="single" w:sz="4" w:space="4" w:color="auto"/>
        </w:pBdr>
        <w:shd w:val="clear" w:color="auto" w:fill="A6A6A6"/>
        <w:spacing w:after="0" w:line="360" w:lineRule="auto"/>
        <w:jc w:val="center"/>
        <w:rPr>
          <w:rFonts w:ascii="Arial" w:hAnsi="Arial" w:cs="Arial"/>
          <w:b/>
          <w:sz w:val="28"/>
          <w:szCs w:val="28"/>
          <w:lang w:val="en-GB"/>
        </w:rPr>
      </w:pPr>
      <w:r>
        <w:rPr>
          <w:rFonts w:ascii="Arial" w:hAnsi="Arial" w:cs="Arial"/>
          <w:b/>
          <w:sz w:val="28"/>
          <w:szCs w:val="28"/>
          <w:lang w:val="en-GB"/>
        </w:rPr>
        <w:t>ORDER</w:t>
      </w:r>
    </w:p>
    <w:p w14:paraId="39543075" w14:textId="77777777" w:rsidR="00946262" w:rsidRDefault="00946262" w:rsidP="00946262">
      <w:pPr>
        <w:spacing w:after="0" w:line="360" w:lineRule="auto"/>
        <w:jc w:val="both"/>
        <w:rPr>
          <w:rFonts w:ascii="Arial" w:hAnsi="Arial" w:cs="Arial"/>
          <w:b/>
          <w:sz w:val="16"/>
          <w:szCs w:val="16"/>
        </w:rPr>
      </w:pPr>
    </w:p>
    <w:p w14:paraId="6DD3BE69" w14:textId="77777777" w:rsidR="00946262" w:rsidRDefault="00946262" w:rsidP="00946262">
      <w:pPr>
        <w:spacing w:after="0" w:line="360" w:lineRule="auto"/>
        <w:jc w:val="both"/>
        <w:rPr>
          <w:rFonts w:ascii="Arial" w:hAnsi="Arial" w:cs="Arial"/>
          <w:sz w:val="28"/>
          <w:szCs w:val="28"/>
        </w:rPr>
      </w:pPr>
      <w:r>
        <w:rPr>
          <w:rFonts w:ascii="Arial" w:hAnsi="Arial" w:cs="Arial"/>
          <w:sz w:val="28"/>
          <w:szCs w:val="28"/>
        </w:rPr>
        <w:t>I make the following order:</w:t>
      </w:r>
    </w:p>
    <w:p w14:paraId="00710C4A" w14:textId="77777777" w:rsidR="008513A1" w:rsidRDefault="008513A1" w:rsidP="008513A1">
      <w:pPr>
        <w:spacing w:line="360" w:lineRule="auto"/>
        <w:ind w:firstLine="720"/>
        <w:jc w:val="both"/>
        <w:rPr>
          <w:rFonts w:ascii="Arial" w:eastAsia="Times New Roman" w:hAnsi="Arial" w:cs="Arial"/>
          <w:sz w:val="28"/>
          <w:szCs w:val="28"/>
          <w:lang w:eastAsia="en-GB"/>
        </w:rPr>
      </w:pPr>
      <w:r>
        <w:rPr>
          <w:rFonts w:ascii="Arial" w:eastAsia="Times New Roman" w:hAnsi="Arial" w:cs="Arial"/>
          <w:sz w:val="28"/>
          <w:szCs w:val="28"/>
          <w:lang w:eastAsia="en-GB"/>
        </w:rPr>
        <w:lastRenderedPageBreak/>
        <w:t xml:space="preserve">1. Application for leave to appeal is dismissed </w:t>
      </w:r>
    </w:p>
    <w:p w14:paraId="0690C074" w14:textId="6433A1F6" w:rsidR="00946262" w:rsidRPr="008513A1" w:rsidRDefault="008513A1" w:rsidP="008513A1">
      <w:pPr>
        <w:spacing w:line="360" w:lineRule="auto"/>
        <w:ind w:firstLine="720"/>
        <w:jc w:val="both"/>
        <w:rPr>
          <w:rFonts w:ascii="Arial" w:eastAsia="Times New Roman" w:hAnsi="Arial" w:cs="Arial"/>
          <w:sz w:val="28"/>
          <w:szCs w:val="28"/>
          <w:lang w:eastAsia="en-GB"/>
        </w:rPr>
      </w:pPr>
      <w:r>
        <w:rPr>
          <w:rFonts w:ascii="Arial" w:eastAsia="Times New Roman" w:hAnsi="Arial" w:cs="Arial"/>
          <w:sz w:val="28"/>
          <w:szCs w:val="28"/>
          <w:lang w:eastAsia="en-GB"/>
        </w:rPr>
        <w:t>2. The applicant is ordered to pay costs on scale B.</w:t>
      </w:r>
    </w:p>
    <w:p w14:paraId="7A33CA73" w14:textId="77777777" w:rsidR="00946262" w:rsidRPr="00701D42" w:rsidRDefault="00946262" w:rsidP="00946262">
      <w:pPr>
        <w:spacing w:after="0" w:line="360" w:lineRule="auto"/>
        <w:ind w:left="360"/>
        <w:jc w:val="both"/>
        <w:rPr>
          <w:rFonts w:ascii="Arial" w:hAnsi="Arial" w:cs="Arial"/>
          <w:sz w:val="12"/>
          <w:szCs w:val="12"/>
        </w:rPr>
      </w:pPr>
    </w:p>
    <w:tbl>
      <w:tblPr>
        <w:tblStyle w:val="TableGrid"/>
        <w:tblW w:w="0" w:type="auto"/>
        <w:tblLook w:val="04A0" w:firstRow="1" w:lastRow="0" w:firstColumn="1" w:lastColumn="0" w:noHBand="0" w:noVBand="1"/>
      </w:tblPr>
      <w:tblGrid>
        <w:gridCol w:w="9016"/>
      </w:tblGrid>
      <w:tr w:rsidR="00946262" w:rsidRPr="00C11D38" w14:paraId="2501569A" w14:textId="77777777" w:rsidTr="000F5F85">
        <w:tc>
          <w:tcPr>
            <w:tcW w:w="9016" w:type="dxa"/>
            <w:shd w:val="clear" w:color="auto" w:fill="D9D9D9"/>
          </w:tcPr>
          <w:p w14:paraId="2FEA9357" w14:textId="77777777" w:rsidR="00946262" w:rsidRPr="000B7A0B" w:rsidRDefault="00946262" w:rsidP="000F5F85">
            <w:pPr>
              <w:pStyle w:val="ListParagraph"/>
              <w:spacing w:line="360" w:lineRule="auto"/>
              <w:ind w:left="1080"/>
              <w:rPr>
                <w:rFonts w:ascii="Arial" w:eastAsia="Calibri" w:hAnsi="Arial" w:cs="Arial"/>
                <w:b/>
                <w:bCs/>
                <w:sz w:val="16"/>
                <w:szCs w:val="16"/>
              </w:rPr>
            </w:pPr>
          </w:p>
          <w:p w14:paraId="55234A4B" w14:textId="040CF204" w:rsidR="00946262" w:rsidRPr="000B7A0B" w:rsidRDefault="00946262" w:rsidP="000F5F85">
            <w:pPr>
              <w:pStyle w:val="ListParagraph"/>
              <w:spacing w:line="360" w:lineRule="auto"/>
              <w:ind w:left="1080"/>
              <w:jc w:val="center"/>
              <w:rPr>
                <w:rFonts w:ascii="Arial" w:eastAsia="Calibri" w:hAnsi="Arial" w:cs="Arial"/>
                <w:b/>
                <w:bCs/>
                <w:sz w:val="26"/>
                <w:szCs w:val="26"/>
              </w:rPr>
            </w:pPr>
            <w:r>
              <w:rPr>
                <w:rFonts w:ascii="Arial" w:eastAsia="Calibri" w:hAnsi="Arial" w:cs="Arial"/>
                <w:b/>
                <w:bCs/>
                <w:sz w:val="26"/>
                <w:szCs w:val="26"/>
              </w:rPr>
              <w:t xml:space="preserve">LEAVE TO APPEAL </w:t>
            </w:r>
            <w:r w:rsidRPr="000B7A0B">
              <w:rPr>
                <w:rFonts w:ascii="Arial" w:eastAsia="Calibri" w:hAnsi="Arial" w:cs="Arial"/>
                <w:b/>
                <w:bCs/>
                <w:sz w:val="26"/>
                <w:szCs w:val="26"/>
              </w:rPr>
              <w:t>JUDGMENT</w:t>
            </w:r>
          </w:p>
          <w:p w14:paraId="45E60958" w14:textId="77777777" w:rsidR="00946262" w:rsidRPr="000B7A0B" w:rsidRDefault="00946262" w:rsidP="000F5F85">
            <w:pPr>
              <w:pStyle w:val="ListParagraph"/>
              <w:spacing w:line="360" w:lineRule="auto"/>
              <w:ind w:left="1080"/>
              <w:rPr>
                <w:rFonts w:ascii="Arial" w:eastAsia="Calibri" w:hAnsi="Arial" w:cs="Arial"/>
                <w:b/>
                <w:bCs/>
                <w:sz w:val="16"/>
                <w:szCs w:val="16"/>
              </w:rPr>
            </w:pPr>
          </w:p>
        </w:tc>
      </w:tr>
    </w:tbl>
    <w:p w14:paraId="3F641F6C" w14:textId="77777777" w:rsidR="00946262" w:rsidRPr="00727683" w:rsidRDefault="00946262" w:rsidP="00946262">
      <w:pPr>
        <w:spacing w:after="0" w:line="360" w:lineRule="auto"/>
        <w:jc w:val="both"/>
        <w:rPr>
          <w:rFonts w:ascii="Arial" w:hAnsi="Arial" w:cs="Arial"/>
          <w:sz w:val="28"/>
          <w:szCs w:val="28"/>
        </w:rPr>
      </w:pPr>
    </w:p>
    <w:p w14:paraId="7F164507" w14:textId="77777777" w:rsidR="00946262" w:rsidRPr="00D92CC0" w:rsidRDefault="00946262" w:rsidP="00946262">
      <w:pPr>
        <w:spacing w:after="0" w:line="360" w:lineRule="auto"/>
        <w:jc w:val="both"/>
        <w:rPr>
          <w:rFonts w:ascii="Arial" w:hAnsi="Arial" w:cs="Arial"/>
          <w:b/>
          <w:sz w:val="28"/>
          <w:szCs w:val="28"/>
          <w:u w:val="single"/>
        </w:rPr>
      </w:pPr>
      <w:r w:rsidRPr="00D92CC0">
        <w:rPr>
          <w:rFonts w:ascii="Arial" w:hAnsi="Arial" w:cs="Arial"/>
          <w:b/>
          <w:sz w:val="28"/>
          <w:szCs w:val="28"/>
          <w:u w:val="single"/>
        </w:rPr>
        <w:t xml:space="preserve">DJAJE </w:t>
      </w:r>
      <w:r>
        <w:rPr>
          <w:rFonts w:ascii="Arial" w:hAnsi="Arial" w:cs="Arial"/>
          <w:b/>
          <w:sz w:val="28"/>
          <w:szCs w:val="28"/>
          <w:u w:val="single"/>
        </w:rPr>
        <w:t>DJP</w:t>
      </w:r>
    </w:p>
    <w:p w14:paraId="7126EC60" w14:textId="53140C8C" w:rsidR="00E90640" w:rsidRPr="00946262" w:rsidRDefault="000B7DA8" w:rsidP="002926BD">
      <w:pPr>
        <w:spacing w:line="240" w:lineRule="auto"/>
        <w:jc w:val="both"/>
        <w:rPr>
          <w:rFonts w:ascii="Arial" w:hAnsi="Arial" w:cs="Arial"/>
          <w:b/>
          <w:sz w:val="28"/>
          <w:szCs w:val="28"/>
        </w:rPr>
      </w:pPr>
      <w:r w:rsidRPr="0093400B">
        <w:rPr>
          <w:rFonts w:ascii="Arial" w:hAnsi="Arial" w:cs="Arial"/>
          <w:b/>
          <w:sz w:val="28"/>
          <w:szCs w:val="28"/>
        </w:rPr>
        <w:t xml:space="preserve"> </w:t>
      </w:r>
    </w:p>
    <w:p w14:paraId="1293C29D" w14:textId="77777777" w:rsidR="009A2827" w:rsidRDefault="003E3B2F" w:rsidP="00C34291">
      <w:pPr>
        <w:spacing w:line="360" w:lineRule="auto"/>
        <w:ind w:left="720" w:hanging="720"/>
        <w:jc w:val="both"/>
        <w:rPr>
          <w:rFonts w:ascii="Arial" w:hAnsi="Arial" w:cs="Arial"/>
          <w:sz w:val="28"/>
          <w:szCs w:val="28"/>
        </w:rPr>
      </w:pPr>
      <w:r w:rsidRPr="00944CF4">
        <w:rPr>
          <w:rFonts w:ascii="Arial" w:hAnsi="Arial" w:cs="Arial"/>
          <w:sz w:val="28"/>
          <w:szCs w:val="28"/>
        </w:rPr>
        <w:t>[1]</w:t>
      </w:r>
      <w:r w:rsidRPr="00944CF4">
        <w:rPr>
          <w:rFonts w:ascii="Arial" w:hAnsi="Arial" w:cs="Arial"/>
          <w:sz w:val="28"/>
          <w:szCs w:val="28"/>
        </w:rPr>
        <w:tab/>
      </w:r>
      <w:r w:rsidR="0090152E">
        <w:rPr>
          <w:rFonts w:ascii="Arial" w:hAnsi="Arial" w:cs="Arial"/>
          <w:sz w:val="28"/>
          <w:szCs w:val="28"/>
        </w:rPr>
        <w:t>This is an application</w:t>
      </w:r>
      <w:r w:rsidR="009A2827">
        <w:rPr>
          <w:rFonts w:ascii="Arial" w:hAnsi="Arial" w:cs="Arial"/>
          <w:sz w:val="28"/>
          <w:szCs w:val="28"/>
        </w:rPr>
        <w:t xml:space="preserve"> leave to appeal against the judgment handed down on </w:t>
      </w:r>
      <w:r w:rsidR="009A2827" w:rsidRPr="00946262">
        <w:rPr>
          <w:rFonts w:ascii="Arial" w:hAnsi="Arial" w:cs="Arial"/>
          <w:b/>
          <w:bCs/>
          <w:sz w:val="28"/>
          <w:szCs w:val="28"/>
        </w:rPr>
        <w:t xml:space="preserve">26 January 2023 </w:t>
      </w:r>
      <w:r w:rsidR="009A2827">
        <w:rPr>
          <w:rFonts w:ascii="Arial" w:hAnsi="Arial" w:cs="Arial"/>
          <w:sz w:val="28"/>
          <w:szCs w:val="28"/>
        </w:rPr>
        <w:t>in which the following order was made:</w:t>
      </w:r>
    </w:p>
    <w:p w14:paraId="0427E322" w14:textId="55F03D98" w:rsidR="00391C8F" w:rsidRPr="00946262" w:rsidRDefault="00391C8F" w:rsidP="00C34291">
      <w:pPr>
        <w:spacing w:line="360" w:lineRule="auto"/>
        <w:ind w:left="720" w:hanging="720"/>
        <w:jc w:val="both"/>
        <w:rPr>
          <w:rFonts w:ascii="Arial" w:hAnsi="Arial" w:cs="Arial"/>
          <w:i/>
          <w:iCs/>
          <w:sz w:val="24"/>
          <w:szCs w:val="24"/>
        </w:rPr>
      </w:pPr>
      <w:r>
        <w:rPr>
          <w:rFonts w:ascii="Arial" w:hAnsi="Arial" w:cs="Arial"/>
          <w:sz w:val="28"/>
          <w:szCs w:val="28"/>
        </w:rPr>
        <w:tab/>
      </w:r>
      <w:r w:rsidRPr="00946262">
        <w:rPr>
          <w:rFonts w:ascii="Arial" w:hAnsi="Arial" w:cs="Arial"/>
          <w:i/>
          <w:iCs/>
          <w:sz w:val="24"/>
          <w:szCs w:val="24"/>
        </w:rPr>
        <w:t>“</w:t>
      </w:r>
      <w:r w:rsidR="00D30A3F" w:rsidRPr="00946262">
        <w:rPr>
          <w:rFonts w:ascii="Arial" w:hAnsi="Arial" w:cs="Arial"/>
          <w:i/>
          <w:iCs/>
          <w:sz w:val="24"/>
          <w:szCs w:val="24"/>
        </w:rPr>
        <w:t>1. Application is dismissed</w:t>
      </w:r>
      <w:r w:rsidR="00AF6C84">
        <w:rPr>
          <w:rFonts w:ascii="Arial" w:hAnsi="Arial" w:cs="Arial"/>
          <w:i/>
          <w:iCs/>
          <w:sz w:val="24"/>
          <w:szCs w:val="24"/>
        </w:rPr>
        <w:t>,</w:t>
      </w:r>
    </w:p>
    <w:p w14:paraId="1CA6E9D9" w14:textId="37C2939C" w:rsidR="00D30A3F" w:rsidRPr="00946262" w:rsidRDefault="00D30A3F" w:rsidP="00C34291">
      <w:pPr>
        <w:spacing w:line="360" w:lineRule="auto"/>
        <w:ind w:left="720" w:hanging="720"/>
        <w:jc w:val="both"/>
        <w:rPr>
          <w:rFonts w:ascii="Arial" w:hAnsi="Arial" w:cs="Arial"/>
          <w:i/>
          <w:iCs/>
          <w:sz w:val="24"/>
          <w:szCs w:val="24"/>
        </w:rPr>
      </w:pPr>
      <w:r w:rsidRPr="00946262">
        <w:rPr>
          <w:rFonts w:ascii="Arial" w:hAnsi="Arial" w:cs="Arial"/>
          <w:i/>
          <w:iCs/>
          <w:sz w:val="24"/>
          <w:szCs w:val="24"/>
        </w:rPr>
        <w:tab/>
        <w:t xml:space="preserve"> 2. The applicant is ordered to pay costs.”</w:t>
      </w:r>
    </w:p>
    <w:p w14:paraId="0AD6BF1D" w14:textId="77777777" w:rsidR="009A2827" w:rsidRDefault="009A2827" w:rsidP="00944CF4">
      <w:pPr>
        <w:spacing w:line="360" w:lineRule="auto"/>
        <w:jc w:val="both"/>
        <w:rPr>
          <w:rFonts w:ascii="Arial" w:hAnsi="Arial" w:cs="Arial"/>
          <w:sz w:val="28"/>
          <w:szCs w:val="28"/>
        </w:rPr>
      </w:pPr>
    </w:p>
    <w:p w14:paraId="4EC1C7EB" w14:textId="4E2705D4" w:rsidR="005F6372" w:rsidRDefault="009A2827" w:rsidP="00944CF4">
      <w:pPr>
        <w:spacing w:line="360" w:lineRule="auto"/>
        <w:jc w:val="both"/>
        <w:rPr>
          <w:rFonts w:ascii="Arial" w:hAnsi="Arial" w:cs="Arial"/>
          <w:sz w:val="28"/>
          <w:szCs w:val="28"/>
        </w:rPr>
      </w:pPr>
      <w:r>
        <w:rPr>
          <w:rFonts w:ascii="Arial" w:hAnsi="Arial" w:cs="Arial"/>
          <w:sz w:val="28"/>
          <w:szCs w:val="28"/>
        </w:rPr>
        <w:t>[2</w:t>
      </w:r>
      <w:r w:rsidR="00062A06">
        <w:rPr>
          <w:rFonts w:ascii="Arial" w:hAnsi="Arial" w:cs="Arial"/>
          <w:sz w:val="28"/>
          <w:szCs w:val="28"/>
        </w:rPr>
        <w:t>]</w:t>
      </w:r>
      <w:r w:rsidR="00D21BFB">
        <w:rPr>
          <w:rFonts w:ascii="Arial" w:hAnsi="Arial" w:cs="Arial"/>
          <w:sz w:val="28"/>
          <w:szCs w:val="28"/>
        </w:rPr>
        <w:tab/>
      </w:r>
      <w:r w:rsidR="00062A06">
        <w:rPr>
          <w:rFonts w:ascii="Arial" w:hAnsi="Arial" w:cs="Arial"/>
          <w:sz w:val="28"/>
          <w:szCs w:val="28"/>
        </w:rPr>
        <w:t>The</w:t>
      </w:r>
      <w:r w:rsidR="00843845">
        <w:rPr>
          <w:rFonts w:ascii="Arial" w:hAnsi="Arial" w:cs="Arial"/>
          <w:sz w:val="28"/>
          <w:szCs w:val="28"/>
        </w:rPr>
        <w:t xml:space="preserve"> applicant raised </w:t>
      </w:r>
      <w:r w:rsidR="00062A06">
        <w:rPr>
          <w:rFonts w:ascii="Arial" w:hAnsi="Arial" w:cs="Arial"/>
          <w:sz w:val="28"/>
          <w:szCs w:val="28"/>
        </w:rPr>
        <w:t>several</w:t>
      </w:r>
      <w:r w:rsidR="00843845">
        <w:rPr>
          <w:rFonts w:ascii="Arial" w:hAnsi="Arial" w:cs="Arial"/>
          <w:sz w:val="28"/>
          <w:szCs w:val="28"/>
        </w:rPr>
        <w:t xml:space="preserve"> grounds for leave to appeal as follows:</w:t>
      </w:r>
    </w:p>
    <w:p w14:paraId="55AD5550" w14:textId="28309D1A" w:rsidR="00061D9E" w:rsidRPr="00061D9E" w:rsidRDefault="00061D9E" w:rsidP="00061D9E">
      <w:pPr>
        <w:spacing w:line="360" w:lineRule="auto"/>
        <w:ind w:left="1440" w:hanging="720"/>
        <w:jc w:val="both"/>
        <w:rPr>
          <w:rFonts w:ascii="Arial" w:hAnsi="Arial" w:cs="Arial"/>
          <w:i/>
          <w:iCs/>
          <w:sz w:val="24"/>
          <w:szCs w:val="24"/>
        </w:rPr>
      </w:pPr>
      <w:r w:rsidRPr="00061D9E">
        <w:rPr>
          <w:rFonts w:ascii="Arial" w:hAnsi="Arial" w:cs="Arial"/>
          <w:i/>
          <w:iCs/>
          <w:sz w:val="24"/>
          <w:szCs w:val="24"/>
        </w:rPr>
        <w:t>“3.</w:t>
      </w:r>
      <w:r w:rsidRPr="00061D9E">
        <w:rPr>
          <w:rFonts w:ascii="Arial" w:hAnsi="Arial" w:cs="Arial"/>
          <w:i/>
          <w:iCs/>
          <w:sz w:val="24"/>
          <w:szCs w:val="24"/>
        </w:rPr>
        <w:tab/>
        <w:t xml:space="preserve">The Court, with respect, should have found, and another Court may reasonably find, that: </w:t>
      </w:r>
    </w:p>
    <w:p w14:paraId="75AEC815" w14:textId="7D515B97"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t>3.1.</w:t>
      </w:r>
      <w:r w:rsidRPr="00061D9E">
        <w:rPr>
          <w:rFonts w:ascii="Arial" w:hAnsi="Arial" w:cs="Arial"/>
          <w:i/>
          <w:iCs/>
          <w:sz w:val="24"/>
          <w:szCs w:val="24"/>
        </w:rPr>
        <w:tab/>
        <w:t xml:space="preserve"> The respective respondents failed to disclose their complete records of decision.</w:t>
      </w:r>
    </w:p>
    <w:p w14:paraId="4D3ECEA8" w14:textId="1B187FA6"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t>3.2.</w:t>
      </w:r>
      <w:r w:rsidRPr="00061D9E">
        <w:rPr>
          <w:rFonts w:ascii="Arial" w:hAnsi="Arial" w:cs="Arial"/>
          <w:i/>
          <w:iCs/>
          <w:sz w:val="24"/>
          <w:szCs w:val="24"/>
        </w:rPr>
        <w:tab/>
        <w:t>Mr Mogale was not authorised to represent the first respondent on 12 January 2020, alternatively, the respective respondents did not address the material issue.</w:t>
      </w:r>
    </w:p>
    <w:p w14:paraId="7D8AD4C6" w14:textId="27F29038"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t>3.3.</w:t>
      </w:r>
      <w:r w:rsidRPr="00061D9E">
        <w:rPr>
          <w:rFonts w:ascii="Arial" w:hAnsi="Arial" w:cs="Arial"/>
          <w:i/>
          <w:iCs/>
          <w:sz w:val="24"/>
          <w:szCs w:val="24"/>
        </w:rPr>
        <w:tab/>
        <w:t xml:space="preserve">Absent the provision of a council resolution or minute of council where the accounting officer reported the reasons for any deviation in policy and absent a note to the annual financial statements, the first respondent failed to follow its supply chain management policy, leaves the decision vulnerable to a review thereof.   </w:t>
      </w:r>
    </w:p>
    <w:p w14:paraId="5211B6A6" w14:textId="781EF122"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lastRenderedPageBreak/>
        <w:t>3.4.</w:t>
      </w:r>
      <w:r w:rsidRPr="00061D9E">
        <w:rPr>
          <w:rFonts w:ascii="Arial" w:hAnsi="Arial" w:cs="Arial"/>
          <w:i/>
          <w:iCs/>
          <w:sz w:val="24"/>
          <w:szCs w:val="24"/>
        </w:rPr>
        <w:tab/>
        <w:t>Absent a due and proper explanation, the re-appointment of the second respondent on 12 January 2020 with the Municipal Manager stating on oath on 5 January 2020 that the second respondent caused or contributed to the water and sewage crisis, constitutes an irrational and unreasonable decision.</w:t>
      </w:r>
    </w:p>
    <w:p w14:paraId="0C98EEED" w14:textId="18D31B05"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t>3.5.</w:t>
      </w:r>
      <w:r w:rsidRPr="00061D9E">
        <w:rPr>
          <w:rFonts w:ascii="Arial" w:hAnsi="Arial" w:cs="Arial"/>
          <w:i/>
          <w:iCs/>
          <w:sz w:val="24"/>
          <w:szCs w:val="24"/>
        </w:rPr>
        <w:tab/>
        <w:t>The second respondent was appointed on 12 January 2021 minutes after the settlement was made an order of Court, (and not on 18 January 2021 as erroneously held by the Court) which brings into question whether the decision to deviate was considered at all and considered and applied through a council resolution.</w:t>
      </w:r>
    </w:p>
    <w:p w14:paraId="6212ADCC" w14:textId="6F008348"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t>3.6.</w:t>
      </w:r>
      <w:r w:rsidRPr="00061D9E">
        <w:rPr>
          <w:rFonts w:ascii="Arial" w:hAnsi="Arial" w:cs="Arial"/>
          <w:i/>
          <w:iCs/>
          <w:sz w:val="24"/>
          <w:szCs w:val="24"/>
        </w:rPr>
        <w:tab/>
        <w:t>Absent evidence that the agreement between the respondents is funded, the court cannot find that the decision to appoint the second respondent as implementing agent was rational.</w:t>
      </w:r>
    </w:p>
    <w:p w14:paraId="01A251B1" w14:textId="3E4C2A04"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t>3.7.</w:t>
      </w:r>
      <w:r w:rsidRPr="00061D9E">
        <w:rPr>
          <w:rFonts w:ascii="Arial" w:hAnsi="Arial" w:cs="Arial"/>
          <w:i/>
          <w:iCs/>
          <w:sz w:val="24"/>
          <w:szCs w:val="24"/>
        </w:rPr>
        <w:tab/>
        <w:t>The ostensible decision of 12 January 2020 to appoint the second respondent soon after the decision to cancel the services of the second respondent, opens such latter decision to a review having regard to Kirland.</w:t>
      </w:r>
    </w:p>
    <w:p w14:paraId="4B2499F7" w14:textId="68D3474F"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t>3.8.</w:t>
      </w:r>
      <w:r w:rsidRPr="00061D9E">
        <w:rPr>
          <w:rFonts w:ascii="Arial" w:hAnsi="Arial" w:cs="Arial"/>
          <w:i/>
          <w:iCs/>
          <w:sz w:val="24"/>
          <w:szCs w:val="24"/>
        </w:rPr>
        <w:tab/>
        <w:t xml:space="preserve"> The Municipality admitted in court that its workers are not duly qualified to render the water and sewage services and both respondents failed to tender evidence that duly qualified employees are employed under the contract between the respondents.  The failure or refusal to dispense the information on the employees’ competence leaves the decision open to review inter alia as relevant considerations were not considered, the decision was taken arbitrarily or capriciously and/or such decision was so unreasonable that no reasonable person could have made the decision in the circumstances.</w:t>
      </w:r>
    </w:p>
    <w:p w14:paraId="56336814" w14:textId="5FF469E3"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t>3.9.</w:t>
      </w:r>
      <w:r w:rsidRPr="00061D9E">
        <w:rPr>
          <w:rFonts w:ascii="Arial" w:hAnsi="Arial" w:cs="Arial"/>
          <w:i/>
          <w:iCs/>
          <w:sz w:val="24"/>
          <w:szCs w:val="24"/>
        </w:rPr>
        <w:tab/>
        <w:t xml:space="preserve">The refusal by the respondents to render complete records of decision, inclusive of the agreement between the parties and proof that such contract was funded, and the relevant council </w:t>
      </w:r>
      <w:r w:rsidRPr="00061D9E">
        <w:rPr>
          <w:rFonts w:ascii="Arial" w:hAnsi="Arial" w:cs="Arial"/>
          <w:i/>
          <w:iCs/>
          <w:sz w:val="24"/>
          <w:szCs w:val="24"/>
        </w:rPr>
        <w:lastRenderedPageBreak/>
        <w:t xml:space="preserve">resolution has put the applicant to unnecessary trouble and expense which the respondents ought to bear, in an instance where the decision constitutes administrative action affecting the public.  </w:t>
      </w:r>
    </w:p>
    <w:p w14:paraId="0D2CBA49" w14:textId="14B45D01"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t>3.10.</w:t>
      </w:r>
      <w:r w:rsidRPr="00061D9E">
        <w:rPr>
          <w:rFonts w:ascii="Arial" w:hAnsi="Arial" w:cs="Arial"/>
          <w:i/>
          <w:iCs/>
          <w:sz w:val="24"/>
          <w:szCs w:val="24"/>
        </w:rPr>
        <w:tab/>
        <w:t>The undisputed evidence confirms that raw sewage continues to flow into the Elands and Koster Rivers and that frequent lapses in the provision of potable water are experienced during the period that the second respondent acts as implementing agent for the first respondent casting doubt on the rationality of the decision, and shows that the decision may have been taken in bad faith, for ulterior purposes or motives and because relevant considerations were ignored.</w:t>
      </w:r>
    </w:p>
    <w:p w14:paraId="07F32F08" w14:textId="25289A36" w:rsidR="00061D9E" w:rsidRPr="00061D9E" w:rsidRDefault="00061D9E" w:rsidP="00061D9E">
      <w:pPr>
        <w:spacing w:line="360" w:lineRule="auto"/>
        <w:ind w:left="720" w:firstLine="720"/>
        <w:jc w:val="both"/>
        <w:rPr>
          <w:rFonts w:ascii="Arial" w:hAnsi="Arial" w:cs="Arial"/>
          <w:i/>
          <w:iCs/>
          <w:sz w:val="24"/>
          <w:szCs w:val="24"/>
        </w:rPr>
      </w:pPr>
      <w:r w:rsidRPr="00061D9E">
        <w:rPr>
          <w:rFonts w:ascii="Arial" w:hAnsi="Arial" w:cs="Arial"/>
          <w:i/>
          <w:iCs/>
          <w:sz w:val="24"/>
          <w:szCs w:val="24"/>
        </w:rPr>
        <w:t>3.11.</w:t>
      </w:r>
      <w:r w:rsidRPr="00061D9E">
        <w:rPr>
          <w:rFonts w:ascii="Arial" w:hAnsi="Arial" w:cs="Arial"/>
          <w:i/>
          <w:iCs/>
          <w:sz w:val="24"/>
          <w:szCs w:val="24"/>
        </w:rPr>
        <w:tab/>
        <w:t>The review succeeds with costs.</w:t>
      </w:r>
    </w:p>
    <w:p w14:paraId="175FF557" w14:textId="77777777" w:rsidR="00061D9E" w:rsidRPr="00061D9E" w:rsidRDefault="00061D9E" w:rsidP="00061D9E">
      <w:pPr>
        <w:spacing w:line="360" w:lineRule="auto"/>
        <w:ind w:left="720" w:firstLine="720"/>
        <w:jc w:val="both"/>
        <w:rPr>
          <w:rFonts w:ascii="Arial" w:hAnsi="Arial" w:cs="Arial"/>
          <w:i/>
          <w:iCs/>
          <w:sz w:val="24"/>
          <w:szCs w:val="24"/>
        </w:rPr>
      </w:pPr>
      <w:r w:rsidRPr="00061D9E">
        <w:rPr>
          <w:rFonts w:ascii="Arial" w:hAnsi="Arial" w:cs="Arial"/>
          <w:i/>
          <w:iCs/>
          <w:sz w:val="24"/>
          <w:szCs w:val="24"/>
        </w:rPr>
        <w:t>And in respect of the ancillary relief that:</w:t>
      </w:r>
    </w:p>
    <w:p w14:paraId="5753BD42" w14:textId="77777777"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t>-</w:t>
      </w:r>
      <w:r w:rsidRPr="00061D9E">
        <w:rPr>
          <w:rFonts w:ascii="Arial" w:hAnsi="Arial" w:cs="Arial"/>
          <w:i/>
          <w:iCs/>
          <w:sz w:val="24"/>
          <w:szCs w:val="24"/>
        </w:rPr>
        <w:tab/>
        <w:t>There is no proof of duly trained and qualified employees;</w:t>
      </w:r>
    </w:p>
    <w:p w14:paraId="42905EB9" w14:textId="77777777"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t>-</w:t>
      </w:r>
      <w:r w:rsidRPr="00061D9E">
        <w:rPr>
          <w:rFonts w:ascii="Arial" w:hAnsi="Arial" w:cs="Arial"/>
          <w:i/>
          <w:iCs/>
          <w:sz w:val="24"/>
          <w:szCs w:val="24"/>
        </w:rPr>
        <w:tab/>
        <w:t>Raw sewage spills into the Koster and Elands rivers since 18 March 2021 and again since the orders by Mahlangu AJ;</w:t>
      </w:r>
    </w:p>
    <w:p w14:paraId="378EBF91" w14:textId="77777777"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t>-</w:t>
      </w:r>
      <w:r w:rsidRPr="00061D9E">
        <w:rPr>
          <w:rFonts w:ascii="Arial" w:hAnsi="Arial" w:cs="Arial"/>
          <w:i/>
          <w:iCs/>
          <w:sz w:val="24"/>
          <w:szCs w:val="24"/>
        </w:rPr>
        <w:tab/>
        <w:t xml:space="preserve">Insufficient potable water is delivered in </w:t>
      </w:r>
      <w:proofErr w:type="spellStart"/>
      <w:r w:rsidRPr="00061D9E">
        <w:rPr>
          <w:rFonts w:ascii="Arial" w:hAnsi="Arial" w:cs="Arial"/>
          <w:i/>
          <w:iCs/>
          <w:sz w:val="24"/>
          <w:szCs w:val="24"/>
        </w:rPr>
        <w:t>Koster</w:t>
      </w:r>
      <w:proofErr w:type="spellEnd"/>
      <w:r w:rsidRPr="00061D9E">
        <w:rPr>
          <w:rFonts w:ascii="Arial" w:hAnsi="Arial" w:cs="Arial"/>
          <w:i/>
          <w:iCs/>
          <w:sz w:val="24"/>
          <w:szCs w:val="24"/>
        </w:rPr>
        <w:t xml:space="preserve"> and </w:t>
      </w:r>
      <w:proofErr w:type="spellStart"/>
      <w:r w:rsidRPr="00061D9E">
        <w:rPr>
          <w:rFonts w:ascii="Arial" w:hAnsi="Arial" w:cs="Arial"/>
          <w:i/>
          <w:iCs/>
          <w:sz w:val="24"/>
          <w:szCs w:val="24"/>
        </w:rPr>
        <w:t>Swartruggens</w:t>
      </w:r>
      <w:proofErr w:type="spellEnd"/>
      <w:r w:rsidRPr="00061D9E">
        <w:rPr>
          <w:rFonts w:ascii="Arial" w:hAnsi="Arial" w:cs="Arial"/>
          <w:i/>
          <w:iCs/>
          <w:sz w:val="24"/>
          <w:szCs w:val="24"/>
        </w:rPr>
        <w:t xml:space="preserve"> since 18 March 2021 and again since the orders by Mahlangu AJ;</w:t>
      </w:r>
    </w:p>
    <w:p w14:paraId="7A57E7C7" w14:textId="77777777"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t>-</w:t>
      </w:r>
      <w:r w:rsidRPr="00061D9E">
        <w:rPr>
          <w:rFonts w:ascii="Arial" w:hAnsi="Arial" w:cs="Arial"/>
          <w:i/>
          <w:iCs/>
          <w:sz w:val="24"/>
          <w:szCs w:val="24"/>
        </w:rPr>
        <w:tab/>
        <w:t>And accordingly, that the applicant is entitled to the relief per prayer 3 of the Notice of Motion; and or that the above continuous incidences support the view that the decision to appoint the second respondent as implementing agent was not rational or reasonable.</w:t>
      </w:r>
    </w:p>
    <w:p w14:paraId="1963AFC9" w14:textId="148C90CF" w:rsidR="00061D9E" w:rsidRPr="00061D9E"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t>3.12.</w:t>
      </w:r>
      <w:r w:rsidRPr="00061D9E">
        <w:rPr>
          <w:rFonts w:ascii="Arial" w:hAnsi="Arial" w:cs="Arial"/>
          <w:i/>
          <w:iCs/>
          <w:sz w:val="24"/>
          <w:szCs w:val="24"/>
        </w:rPr>
        <w:tab/>
      </w:r>
      <w:proofErr w:type="gramStart"/>
      <w:r w:rsidRPr="00061D9E">
        <w:rPr>
          <w:rFonts w:ascii="Arial" w:hAnsi="Arial" w:cs="Arial"/>
          <w:i/>
          <w:iCs/>
          <w:sz w:val="24"/>
          <w:szCs w:val="24"/>
        </w:rPr>
        <w:t>Alternatively</w:t>
      </w:r>
      <w:proofErr w:type="gramEnd"/>
      <w:r w:rsidRPr="00061D9E">
        <w:rPr>
          <w:rFonts w:ascii="Arial" w:hAnsi="Arial" w:cs="Arial"/>
          <w:i/>
          <w:iCs/>
          <w:sz w:val="24"/>
          <w:szCs w:val="24"/>
        </w:rPr>
        <w:t xml:space="preserve"> and to the extent that the court found in the Applicant’s favour on the review, that it was not necessary to make separate declaratory findings.</w:t>
      </w:r>
    </w:p>
    <w:p w14:paraId="7D6814C9" w14:textId="0161DBB5" w:rsidR="0054186D" w:rsidRDefault="00061D9E" w:rsidP="00061D9E">
      <w:pPr>
        <w:spacing w:line="360" w:lineRule="auto"/>
        <w:ind w:left="2160" w:hanging="720"/>
        <w:jc w:val="both"/>
        <w:rPr>
          <w:rFonts w:ascii="Arial" w:hAnsi="Arial" w:cs="Arial"/>
          <w:i/>
          <w:iCs/>
          <w:sz w:val="24"/>
          <w:szCs w:val="24"/>
        </w:rPr>
      </w:pPr>
      <w:r w:rsidRPr="00061D9E">
        <w:rPr>
          <w:rFonts w:ascii="Arial" w:hAnsi="Arial" w:cs="Arial"/>
          <w:i/>
          <w:iCs/>
          <w:sz w:val="24"/>
          <w:szCs w:val="24"/>
        </w:rPr>
        <w:lastRenderedPageBreak/>
        <w:t>3.13.</w:t>
      </w:r>
      <w:r w:rsidRPr="00061D9E">
        <w:rPr>
          <w:rFonts w:ascii="Arial" w:hAnsi="Arial" w:cs="Arial"/>
          <w:i/>
          <w:iCs/>
          <w:sz w:val="24"/>
          <w:szCs w:val="24"/>
        </w:rPr>
        <w:tab/>
        <w:t>Further in the alternative to the above in the event that the court dismissed the application, that the respondents be ordered to pay the costs of the application.”</w:t>
      </w:r>
    </w:p>
    <w:p w14:paraId="1D20CF10" w14:textId="77777777" w:rsidR="00061D9E" w:rsidRPr="00061D9E" w:rsidRDefault="00061D9E" w:rsidP="00061D9E">
      <w:pPr>
        <w:spacing w:line="360" w:lineRule="auto"/>
        <w:ind w:left="2160" w:hanging="720"/>
        <w:jc w:val="both"/>
        <w:rPr>
          <w:rFonts w:ascii="Arial" w:hAnsi="Arial" w:cs="Arial"/>
          <w:i/>
          <w:iCs/>
          <w:sz w:val="28"/>
          <w:szCs w:val="28"/>
        </w:rPr>
      </w:pPr>
    </w:p>
    <w:p w14:paraId="76C88E17" w14:textId="74E96A7F" w:rsidR="00C033B1" w:rsidRPr="00BB6C9F" w:rsidRDefault="00C033B1" w:rsidP="00132A25">
      <w:pPr>
        <w:spacing w:line="360" w:lineRule="auto"/>
        <w:ind w:left="720" w:hanging="720"/>
        <w:jc w:val="both"/>
        <w:rPr>
          <w:rFonts w:ascii="Arial" w:hAnsi="Arial" w:cs="Arial"/>
          <w:sz w:val="28"/>
          <w:szCs w:val="28"/>
        </w:rPr>
      </w:pPr>
      <w:r>
        <w:rPr>
          <w:rFonts w:ascii="Arial" w:hAnsi="Arial" w:cs="Arial"/>
          <w:sz w:val="28"/>
          <w:szCs w:val="28"/>
        </w:rPr>
        <w:t>[3</w:t>
      </w:r>
      <w:r w:rsidR="001A51FC">
        <w:rPr>
          <w:rFonts w:ascii="Arial" w:hAnsi="Arial" w:cs="Arial"/>
          <w:sz w:val="28"/>
          <w:szCs w:val="28"/>
        </w:rPr>
        <w:t>]</w:t>
      </w:r>
      <w:r w:rsidR="00132A25">
        <w:rPr>
          <w:rFonts w:ascii="Arial" w:hAnsi="Arial" w:cs="Arial"/>
          <w:sz w:val="28"/>
          <w:szCs w:val="28"/>
        </w:rPr>
        <w:tab/>
      </w:r>
      <w:r w:rsidR="001A51FC">
        <w:rPr>
          <w:rFonts w:ascii="Arial" w:hAnsi="Arial" w:cs="Arial"/>
          <w:sz w:val="28"/>
          <w:szCs w:val="28"/>
        </w:rPr>
        <w:t>The</w:t>
      </w:r>
      <w:r w:rsidRPr="00BB6C9F">
        <w:rPr>
          <w:rFonts w:ascii="Arial" w:hAnsi="Arial" w:cs="Arial"/>
          <w:sz w:val="28"/>
          <w:szCs w:val="28"/>
        </w:rPr>
        <w:t xml:space="preserve"> test to be applied in an application for leave to appeal is set out in section 17 (1)(a) of the Superior Courts Act 10 of 2013 which provides that:</w:t>
      </w:r>
    </w:p>
    <w:p w14:paraId="06FFFB60" w14:textId="6AD5FA8B" w:rsidR="00C033B1" w:rsidRPr="00861C11" w:rsidRDefault="00C033B1" w:rsidP="00204C87">
      <w:pPr>
        <w:spacing w:line="360" w:lineRule="auto"/>
        <w:ind w:left="1440" w:hanging="720"/>
        <w:jc w:val="both"/>
        <w:rPr>
          <w:rFonts w:ascii="Arial" w:hAnsi="Arial" w:cs="Arial"/>
          <w:i/>
          <w:iCs/>
          <w:sz w:val="24"/>
          <w:szCs w:val="24"/>
        </w:rPr>
      </w:pPr>
      <w:r w:rsidRPr="00861C11">
        <w:rPr>
          <w:rFonts w:ascii="Arial" w:hAnsi="Arial" w:cs="Arial"/>
          <w:i/>
          <w:iCs/>
          <w:sz w:val="24"/>
          <w:szCs w:val="24"/>
        </w:rPr>
        <w:t>“(1)</w:t>
      </w:r>
      <w:r w:rsidR="00132A25" w:rsidRPr="00861C11">
        <w:rPr>
          <w:rFonts w:ascii="Arial" w:hAnsi="Arial" w:cs="Arial"/>
          <w:i/>
          <w:iCs/>
          <w:sz w:val="24"/>
          <w:szCs w:val="24"/>
        </w:rPr>
        <w:tab/>
      </w:r>
      <w:r w:rsidRPr="00861C11">
        <w:rPr>
          <w:rFonts w:ascii="Arial" w:hAnsi="Arial" w:cs="Arial"/>
          <w:i/>
          <w:iCs/>
          <w:sz w:val="24"/>
          <w:szCs w:val="24"/>
        </w:rPr>
        <w:t>Leave to appeal may only be given where the judge or judges concerned are of the opinion that-</w:t>
      </w:r>
    </w:p>
    <w:p w14:paraId="255B3E76" w14:textId="16AB57C3" w:rsidR="00C033B1" w:rsidRPr="00861C11" w:rsidRDefault="00204C87" w:rsidP="00204C87">
      <w:pPr>
        <w:pStyle w:val="ListParagraph"/>
        <w:spacing w:line="360" w:lineRule="auto"/>
        <w:ind w:left="1440"/>
        <w:jc w:val="both"/>
        <w:rPr>
          <w:rFonts w:ascii="Arial" w:hAnsi="Arial" w:cs="Arial"/>
          <w:i/>
          <w:iCs/>
          <w:sz w:val="24"/>
          <w:szCs w:val="24"/>
        </w:rPr>
      </w:pPr>
      <w:r w:rsidRPr="00861C11">
        <w:rPr>
          <w:rFonts w:ascii="Arial" w:hAnsi="Arial" w:cs="Arial"/>
          <w:i/>
          <w:iCs/>
          <w:sz w:val="24"/>
          <w:szCs w:val="24"/>
        </w:rPr>
        <w:t>(a)</w:t>
      </w:r>
      <w:r w:rsidR="00C033B1" w:rsidRPr="00861C11">
        <w:rPr>
          <w:rFonts w:ascii="Arial" w:hAnsi="Arial" w:cs="Arial"/>
          <w:i/>
          <w:iCs/>
          <w:sz w:val="24"/>
          <w:szCs w:val="24"/>
        </w:rPr>
        <w:t>(</w:t>
      </w:r>
      <w:proofErr w:type="spellStart"/>
      <w:r w:rsidR="00C033B1" w:rsidRPr="00861C11">
        <w:rPr>
          <w:rFonts w:ascii="Arial" w:hAnsi="Arial" w:cs="Arial"/>
          <w:i/>
          <w:iCs/>
          <w:sz w:val="24"/>
          <w:szCs w:val="24"/>
        </w:rPr>
        <w:t>i</w:t>
      </w:r>
      <w:proofErr w:type="spellEnd"/>
      <w:r w:rsidR="00C033B1" w:rsidRPr="00861C11">
        <w:rPr>
          <w:rFonts w:ascii="Arial" w:hAnsi="Arial" w:cs="Arial"/>
          <w:i/>
          <w:iCs/>
          <w:sz w:val="24"/>
          <w:szCs w:val="24"/>
        </w:rPr>
        <w:t xml:space="preserve">) </w:t>
      </w:r>
      <w:r w:rsidRPr="00861C11">
        <w:rPr>
          <w:rFonts w:ascii="Arial" w:hAnsi="Arial" w:cs="Arial"/>
          <w:i/>
          <w:iCs/>
          <w:sz w:val="24"/>
          <w:szCs w:val="24"/>
        </w:rPr>
        <w:tab/>
      </w:r>
      <w:r w:rsidR="00C033B1" w:rsidRPr="00861C11">
        <w:rPr>
          <w:rFonts w:ascii="Arial" w:hAnsi="Arial" w:cs="Arial"/>
          <w:i/>
          <w:iCs/>
          <w:sz w:val="24"/>
          <w:szCs w:val="24"/>
        </w:rPr>
        <w:t>the appeal would have a reasonable prospect of success; or</w:t>
      </w:r>
    </w:p>
    <w:p w14:paraId="3877EB44" w14:textId="668886D2" w:rsidR="00C033B1" w:rsidRPr="00861C11" w:rsidRDefault="00C033B1" w:rsidP="00204C87">
      <w:pPr>
        <w:pStyle w:val="ListParagraph"/>
        <w:spacing w:line="360" w:lineRule="auto"/>
        <w:ind w:left="1080"/>
        <w:jc w:val="both"/>
        <w:rPr>
          <w:rFonts w:ascii="Arial" w:hAnsi="Arial" w:cs="Arial"/>
          <w:i/>
          <w:iCs/>
          <w:sz w:val="24"/>
          <w:szCs w:val="24"/>
        </w:rPr>
      </w:pPr>
      <w:r w:rsidRPr="00861C11">
        <w:rPr>
          <w:rFonts w:ascii="Arial" w:hAnsi="Arial" w:cs="Arial"/>
          <w:i/>
          <w:iCs/>
          <w:sz w:val="24"/>
          <w:szCs w:val="24"/>
        </w:rPr>
        <w:t xml:space="preserve">         (ii)</w:t>
      </w:r>
      <w:r w:rsidR="00204C87" w:rsidRPr="00861C11">
        <w:rPr>
          <w:rFonts w:ascii="Arial" w:hAnsi="Arial" w:cs="Arial"/>
          <w:i/>
          <w:iCs/>
          <w:sz w:val="24"/>
          <w:szCs w:val="24"/>
        </w:rPr>
        <w:tab/>
      </w:r>
      <w:r w:rsidRPr="00861C11">
        <w:rPr>
          <w:rFonts w:ascii="Arial" w:hAnsi="Arial" w:cs="Arial"/>
          <w:i/>
          <w:iCs/>
          <w:sz w:val="24"/>
          <w:szCs w:val="24"/>
        </w:rPr>
        <w:t>there is some other compelling reason why the appeal should be</w:t>
      </w:r>
    </w:p>
    <w:p w14:paraId="10E513B5" w14:textId="55B1D6B3" w:rsidR="00C033B1" w:rsidRPr="00861C11" w:rsidRDefault="00C033B1" w:rsidP="00861C11">
      <w:pPr>
        <w:pStyle w:val="ListParagraph"/>
        <w:spacing w:line="360" w:lineRule="auto"/>
        <w:ind w:left="2160"/>
        <w:jc w:val="both"/>
        <w:rPr>
          <w:rFonts w:ascii="Times New Roman" w:hAnsi="Times New Roman" w:cs="Times New Roman"/>
          <w:i/>
          <w:iCs/>
          <w:sz w:val="24"/>
          <w:szCs w:val="24"/>
        </w:rPr>
      </w:pPr>
      <w:r w:rsidRPr="00861C11">
        <w:rPr>
          <w:rFonts w:ascii="Arial" w:hAnsi="Arial" w:cs="Arial"/>
          <w:i/>
          <w:iCs/>
          <w:sz w:val="24"/>
          <w:szCs w:val="24"/>
        </w:rPr>
        <w:t>heard, including conflicting judgments on the matter under</w:t>
      </w:r>
      <w:r w:rsidR="00204C87" w:rsidRPr="00861C11">
        <w:rPr>
          <w:rFonts w:ascii="Arial" w:hAnsi="Arial" w:cs="Arial"/>
          <w:i/>
          <w:iCs/>
          <w:sz w:val="24"/>
          <w:szCs w:val="24"/>
        </w:rPr>
        <w:t xml:space="preserve"> </w:t>
      </w:r>
      <w:r w:rsidRPr="00861C11">
        <w:rPr>
          <w:rFonts w:ascii="Arial" w:hAnsi="Arial" w:cs="Arial"/>
          <w:i/>
          <w:iCs/>
          <w:sz w:val="24"/>
          <w:szCs w:val="24"/>
        </w:rPr>
        <w:t>consideration</w:t>
      </w:r>
      <w:r w:rsidRPr="00861C11">
        <w:rPr>
          <w:rFonts w:ascii="Times New Roman" w:hAnsi="Times New Roman" w:cs="Times New Roman"/>
          <w:i/>
          <w:iCs/>
          <w:sz w:val="24"/>
          <w:szCs w:val="24"/>
        </w:rPr>
        <w:t>;”</w:t>
      </w:r>
    </w:p>
    <w:p w14:paraId="3F31BD3A" w14:textId="77777777" w:rsidR="00C033B1" w:rsidRDefault="00C033B1" w:rsidP="00C033B1">
      <w:pPr>
        <w:pStyle w:val="ListParagraph"/>
        <w:spacing w:line="360" w:lineRule="auto"/>
        <w:ind w:left="1080"/>
        <w:jc w:val="both"/>
        <w:rPr>
          <w:rFonts w:ascii="Times New Roman" w:hAnsi="Times New Roman" w:cs="Times New Roman"/>
          <w:sz w:val="24"/>
          <w:szCs w:val="24"/>
        </w:rPr>
      </w:pPr>
    </w:p>
    <w:p w14:paraId="784CD922" w14:textId="4A25F121" w:rsidR="00C033B1" w:rsidRDefault="00952AB2" w:rsidP="00AF6C84">
      <w:pPr>
        <w:spacing w:line="360" w:lineRule="auto"/>
        <w:ind w:left="720" w:hanging="720"/>
        <w:jc w:val="both"/>
        <w:rPr>
          <w:rFonts w:ascii="Arial" w:hAnsi="Arial" w:cs="Arial"/>
          <w:sz w:val="28"/>
          <w:szCs w:val="28"/>
        </w:rPr>
      </w:pPr>
      <w:r>
        <w:rPr>
          <w:rFonts w:ascii="Arial" w:hAnsi="Arial" w:cs="Arial"/>
          <w:sz w:val="28"/>
          <w:szCs w:val="28"/>
        </w:rPr>
        <w:t>[4</w:t>
      </w:r>
      <w:r w:rsidR="00943BFD">
        <w:rPr>
          <w:rFonts w:ascii="Arial" w:hAnsi="Arial" w:cs="Arial"/>
          <w:sz w:val="28"/>
          <w:szCs w:val="28"/>
        </w:rPr>
        <w:t>]</w:t>
      </w:r>
      <w:r w:rsidR="00AF6C84">
        <w:rPr>
          <w:rFonts w:ascii="Arial" w:hAnsi="Arial" w:cs="Arial"/>
          <w:sz w:val="28"/>
          <w:szCs w:val="28"/>
        </w:rPr>
        <w:tab/>
      </w:r>
      <w:r w:rsidR="00943BFD">
        <w:rPr>
          <w:rFonts w:ascii="Arial" w:hAnsi="Arial" w:cs="Arial"/>
          <w:sz w:val="28"/>
          <w:szCs w:val="28"/>
        </w:rPr>
        <w:t>The</w:t>
      </w:r>
      <w:r w:rsidR="00BA3765">
        <w:rPr>
          <w:rFonts w:ascii="Arial" w:hAnsi="Arial" w:cs="Arial"/>
          <w:sz w:val="28"/>
          <w:szCs w:val="28"/>
        </w:rPr>
        <w:t xml:space="preserve"> Supreme </w:t>
      </w:r>
      <w:r w:rsidR="00307E04">
        <w:rPr>
          <w:rFonts w:ascii="Arial" w:hAnsi="Arial" w:cs="Arial"/>
          <w:sz w:val="28"/>
          <w:szCs w:val="28"/>
        </w:rPr>
        <w:t xml:space="preserve">Court of Appeal in </w:t>
      </w:r>
      <w:r w:rsidR="00307E04" w:rsidRPr="00943BFD">
        <w:rPr>
          <w:rFonts w:ascii="Arial" w:hAnsi="Arial" w:cs="Arial"/>
          <w:b/>
          <w:bCs/>
          <w:sz w:val="28"/>
          <w:szCs w:val="28"/>
        </w:rPr>
        <w:t xml:space="preserve">MEC for Health, </w:t>
      </w:r>
      <w:r w:rsidR="00943BFD" w:rsidRPr="00943BFD">
        <w:rPr>
          <w:rFonts w:ascii="Arial" w:hAnsi="Arial" w:cs="Arial"/>
          <w:b/>
          <w:bCs/>
          <w:sz w:val="28"/>
          <w:szCs w:val="28"/>
        </w:rPr>
        <w:t>Eastern</w:t>
      </w:r>
      <w:r w:rsidR="00307E04" w:rsidRPr="00943BFD">
        <w:rPr>
          <w:rFonts w:ascii="Arial" w:hAnsi="Arial" w:cs="Arial"/>
          <w:b/>
          <w:bCs/>
          <w:sz w:val="28"/>
          <w:szCs w:val="28"/>
        </w:rPr>
        <w:t xml:space="preserve"> Cape v Mkhita </w:t>
      </w:r>
      <w:r w:rsidR="00727C81" w:rsidRPr="00943BFD">
        <w:rPr>
          <w:rFonts w:ascii="Arial" w:hAnsi="Arial" w:cs="Arial"/>
          <w:b/>
          <w:bCs/>
          <w:sz w:val="28"/>
          <w:szCs w:val="28"/>
        </w:rPr>
        <w:t>2016 JDR 2214 (SCA)</w:t>
      </w:r>
      <w:r w:rsidR="00727C81">
        <w:rPr>
          <w:rFonts w:ascii="Arial" w:hAnsi="Arial" w:cs="Arial"/>
          <w:sz w:val="28"/>
          <w:szCs w:val="28"/>
        </w:rPr>
        <w:t xml:space="preserve"> on the test for leave to appeal held that:</w:t>
      </w:r>
    </w:p>
    <w:p w14:paraId="071534D5" w14:textId="5BDF0565" w:rsidR="00727C81" w:rsidRPr="00861C11" w:rsidRDefault="006435AB" w:rsidP="00AF6C84">
      <w:pPr>
        <w:spacing w:line="360" w:lineRule="auto"/>
        <w:ind w:left="1440" w:hanging="720"/>
        <w:jc w:val="both"/>
        <w:rPr>
          <w:rFonts w:ascii="Arial" w:hAnsi="Arial" w:cs="Arial"/>
          <w:i/>
          <w:iCs/>
          <w:sz w:val="24"/>
          <w:szCs w:val="24"/>
        </w:rPr>
      </w:pPr>
      <w:r w:rsidRPr="00861C11">
        <w:rPr>
          <w:rFonts w:ascii="Arial" w:hAnsi="Arial" w:cs="Arial"/>
          <w:i/>
          <w:iCs/>
          <w:sz w:val="24"/>
          <w:szCs w:val="24"/>
        </w:rPr>
        <w:t>“</w:t>
      </w:r>
      <w:r w:rsidR="00D9440C" w:rsidRPr="00861C11">
        <w:rPr>
          <w:rFonts w:ascii="Arial" w:hAnsi="Arial" w:cs="Arial"/>
          <w:i/>
          <w:iCs/>
          <w:sz w:val="24"/>
          <w:szCs w:val="24"/>
        </w:rPr>
        <w:t>[16]</w:t>
      </w:r>
      <w:r w:rsidR="00861C11" w:rsidRPr="00861C11">
        <w:rPr>
          <w:rFonts w:ascii="Arial" w:hAnsi="Arial" w:cs="Arial"/>
          <w:i/>
          <w:iCs/>
          <w:sz w:val="24"/>
          <w:szCs w:val="24"/>
        </w:rPr>
        <w:tab/>
      </w:r>
      <w:r w:rsidRPr="00861C11">
        <w:rPr>
          <w:rFonts w:ascii="Arial" w:hAnsi="Arial" w:cs="Arial"/>
          <w:i/>
          <w:iCs/>
          <w:sz w:val="24"/>
          <w:szCs w:val="24"/>
        </w:rPr>
        <w:t>Once</w:t>
      </w:r>
      <w:r w:rsidR="00873DD3" w:rsidRPr="00861C11">
        <w:rPr>
          <w:rFonts w:ascii="Arial" w:hAnsi="Arial" w:cs="Arial"/>
          <w:i/>
          <w:iCs/>
          <w:sz w:val="24"/>
          <w:szCs w:val="24"/>
        </w:rPr>
        <w:t xml:space="preserve"> again it is necessary to say that leave to appeal, especially to</w:t>
      </w:r>
      <w:r w:rsidR="00A936FA" w:rsidRPr="00861C11">
        <w:rPr>
          <w:rFonts w:ascii="Arial" w:hAnsi="Arial" w:cs="Arial"/>
          <w:i/>
          <w:iCs/>
          <w:sz w:val="24"/>
          <w:szCs w:val="24"/>
        </w:rPr>
        <w:t xml:space="preserve"> this court, must not be granted unless there truly is a reasonable</w:t>
      </w:r>
      <w:r w:rsidR="003C1A36" w:rsidRPr="00861C11">
        <w:rPr>
          <w:rFonts w:ascii="Arial" w:hAnsi="Arial" w:cs="Arial"/>
          <w:i/>
          <w:iCs/>
          <w:sz w:val="24"/>
          <w:szCs w:val="24"/>
        </w:rPr>
        <w:t xml:space="preserve"> prospect of success. Section 17(1)(</w:t>
      </w:r>
      <w:r w:rsidRPr="00861C11">
        <w:rPr>
          <w:rFonts w:ascii="Arial" w:hAnsi="Arial" w:cs="Arial"/>
          <w:i/>
          <w:iCs/>
          <w:sz w:val="24"/>
          <w:szCs w:val="24"/>
        </w:rPr>
        <w:t>a) of</w:t>
      </w:r>
      <w:r w:rsidR="003C1A36" w:rsidRPr="00861C11">
        <w:rPr>
          <w:rFonts w:ascii="Arial" w:hAnsi="Arial" w:cs="Arial"/>
          <w:i/>
          <w:iCs/>
          <w:sz w:val="24"/>
          <w:szCs w:val="24"/>
        </w:rPr>
        <w:t xml:space="preserve"> the Superior Courts Act</w:t>
      </w:r>
      <w:r w:rsidR="000D6B81" w:rsidRPr="00861C11">
        <w:rPr>
          <w:rFonts w:ascii="Arial" w:hAnsi="Arial" w:cs="Arial"/>
          <w:i/>
          <w:iCs/>
          <w:sz w:val="24"/>
          <w:szCs w:val="24"/>
        </w:rPr>
        <w:t xml:space="preserve"> 10 of 2013 makes it clear that leave to appeal may only be given where the </w:t>
      </w:r>
      <w:r w:rsidR="00657DE9" w:rsidRPr="00861C11">
        <w:rPr>
          <w:rFonts w:ascii="Arial" w:hAnsi="Arial" w:cs="Arial"/>
          <w:i/>
          <w:iCs/>
          <w:sz w:val="24"/>
          <w:szCs w:val="24"/>
        </w:rPr>
        <w:t xml:space="preserve">judge concerned is of the opinion that the appeal would have a reasonable prospect of success; or there </w:t>
      </w:r>
      <w:r w:rsidR="0037718D" w:rsidRPr="00861C11">
        <w:rPr>
          <w:rFonts w:ascii="Arial" w:hAnsi="Arial" w:cs="Arial"/>
          <w:i/>
          <w:iCs/>
          <w:sz w:val="24"/>
          <w:szCs w:val="24"/>
        </w:rPr>
        <w:t>is some other compelling reason why it should be heard.</w:t>
      </w:r>
    </w:p>
    <w:p w14:paraId="35942BFF" w14:textId="17DA5528" w:rsidR="00C033B1" w:rsidRDefault="00D9440C" w:rsidP="00AF6C84">
      <w:pPr>
        <w:spacing w:line="360" w:lineRule="auto"/>
        <w:ind w:left="1440" w:hanging="720"/>
        <w:jc w:val="both"/>
        <w:rPr>
          <w:rFonts w:ascii="Arial" w:hAnsi="Arial" w:cs="Arial"/>
          <w:i/>
          <w:iCs/>
          <w:sz w:val="24"/>
          <w:szCs w:val="24"/>
        </w:rPr>
      </w:pPr>
      <w:r w:rsidRPr="00861C11">
        <w:rPr>
          <w:rFonts w:ascii="Arial" w:hAnsi="Arial" w:cs="Arial"/>
          <w:i/>
          <w:iCs/>
          <w:sz w:val="24"/>
          <w:szCs w:val="24"/>
        </w:rPr>
        <w:t>[17]</w:t>
      </w:r>
      <w:r w:rsidR="00861C11" w:rsidRPr="00861C11">
        <w:rPr>
          <w:rFonts w:ascii="Arial" w:hAnsi="Arial" w:cs="Arial"/>
          <w:i/>
          <w:iCs/>
          <w:sz w:val="24"/>
          <w:szCs w:val="24"/>
        </w:rPr>
        <w:tab/>
      </w:r>
      <w:r w:rsidR="0037718D" w:rsidRPr="00861C11">
        <w:rPr>
          <w:rFonts w:ascii="Arial" w:hAnsi="Arial" w:cs="Arial"/>
          <w:i/>
          <w:iCs/>
          <w:sz w:val="24"/>
          <w:szCs w:val="24"/>
        </w:rPr>
        <w:t xml:space="preserve">An applicant for leave to appeal must </w:t>
      </w:r>
      <w:r w:rsidR="00EE60F0" w:rsidRPr="00861C11">
        <w:rPr>
          <w:rFonts w:ascii="Arial" w:hAnsi="Arial" w:cs="Arial"/>
          <w:i/>
          <w:iCs/>
          <w:sz w:val="24"/>
          <w:szCs w:val="24"/>
        </w:rPr>
        <w:t xml:space="preserve">convince the court on proper </w:t>
      </w:r>
      <w:r w:rsidR="006435AB" w:rsidRPr="00861C11">
        <w:rPr>
          <w:rFonts w:ascii="Arial" w:hAnsi="Arial" w:cs="Arial"/>
          <w:i/>
          <w:iCs/>
          <w:sz w:val="24"/>
          <w:szCs w:val="24"/>
        </w:rPr>
        <w:t>grounds</w:t>
      </w:r>
      <w:r w:rsidR="00EE60F0" w:rsidRPr="00861C11">
        <w:rPr>
          <w:rFonts w:ascii="Arial" w:hAnsi="Arial" w:cs="Arial"/>
          <w:i/>
          <w:iCs/>
          <w:sz w:val="24"/>
          <w:szCs w:val="24"/>
        </w:rPr>
        <w:t xml:space="preserve"> that there is a </w:t>
      </w:r>
      <w:r w:rsidR="006435AB" w:rsidRPr="00861C11">
        <w:rPr>
          <w:rFonts w:ascii="Arial" w:hAnsi="Arial" w:cs="Arial"/>
          <w:i/>
          <w:iCs/>
          <w:sz w:val="24"/>
          <w:szCs w:val="24"/>
        </w:rPr>
        <w:t>reasonable prospect</w:t>
      </w:r>
      <w:r w:rsidR="00EE60F0" w:rsidRPr="00861C11">
        <w:rPr>
          <w:rFonts w:ascii="Arial" w:hAnsi="Arial" w:cs="Arial"/>
          <w:i/>
          <w:iCs/>
          <w:sz w:val="24"/>
          <w:szCs w:val="24"/>
        </w:rPr>
        <w:t xml:space="preserve"> or realistic </w:t>
      </w:r>
      <w:r w:rsidR="00772E3A" w:rsidRPr="00861C11">
        <w:rPr>
          <w:rFonts w:ascii="Arial" w:hAnsi="Arial" w:cs="Arial"/>
          <w:i/>
          <w:iCs/>
          <w:sz w:val="24"/>
          <w:szCs w:val="24"/>
        </w:rPr>
        <w:t xml:space="preserve">chance </w:t>
      </w:r>
      <w:r w:rsidR="006435AB" w:rsidRPr="00861C11">
        <w:rPr>
          <w:rFonts w:ascii="Arial" w:hAnsi="Arial" w:cs="Arial"/>
          <w:i/>
          <w:iCs/>
          <w:sz w:val="24"/>
          <w:szCs w:val="24"/>
        </w:rPr>
        <w:t>of</w:t>
      </w:r>
      <w:r w:rsidR="00772E3A" w:rsidRPr="00861C11">
        <w:rPr>
          <w:rFonts w:ascii="Arial" w:hAnsi="Arial" w:cs="Arial"/>
          <w:i/>
          <w:iCs/>
          <w:sz w:val="24"/>
          <w:szCs w:val="24"/>
        </w:rPr>
        <w:t xml:space="preserve"> success on appeal. A mere possibility of </w:t>
      </w:r>
      <w:r w:rsidR="006435AB" w:rsidRPr="00861C11">
        <w:rPr>
          <w:rFonts w:ascii="Arial" w:hAnsi="Arial" w:cs="Arial"/>
          <w:i/>
          <w:iCs/>
          <w:sz w:val="24"/>
          <w:szCs w:val="24"/>
        </w:rPr>
        <w:t>success,</w:t>
      </w:r>
      <w:r w:rsidR="00772E3A" w:rsidRPr="00861C11">
        <w:rPr>
          <w:rFonts w:ascii="Arial" w:hAnsi="Arial" w:cs="Arial"/>
          <w:i/>
          <w:iCs/>
          <w:sz w:val="24"/>
          <w:szCs w:val="24"/>
        </w:rPr>
        <w:t xml:space="preserve"> an</w:t>
      </w:r>
      <w:r w:rsidR="006435AB" w:rsidRPr="00861C11">
        <w:rPr>
          <w:rFonts w:ascii="Arial" w:hAnsi="Arial" w:cs="Arial"/>
          <w:i/>
          <w:iCs/>
          <w:sz w:val="24"/>
          <w:szCs w:val="24"/>
        </w:rPr>
        <w:t xml:space="preserve"> </w:t>
      </w:r>
      <w:r w:rsidR="00772E3A" w:rsidRPr="00861C11">
        <w:rPr>
          <w:rFonts w:ascii="Arial" w:hAnsi="Arial" w:cs="Arial"/>
          <w:i/>
          <w:iCs/>
          <w:sz w:val="24"/>
          <w:szCs w:val="24"/>
        </w:rPr>
        <w:t xml:space="preserve">arguable case or one </w:t>
      </w:r>
      <w:r w:rsidR="00E81019" w:rsidRPr="00861C11">
        <w:rPr>
          <w:rFonts w:ascii="Arial" w:hAnsi="Arial" w:cs="Arial"/>
          <w:i/>
          <w:iCs/>
          <w:sz w:val="24"/>
          <w:szCs w:val="24"/>
        </w:rPr>
        <w:t xml:space="preserve">that is not hopeless, is not enough. There must be a sound, rational </w:t>
      </w:r>
      <w:r w:rsidR="00E81019" w:rsidRPr="00861C11">
        <w:rPr>
          <w:rFonts w:ascii="Arial" w:hAnsi="Arial" w:cs="Arial"/>
          <w:i/>
          <w:iCs/>
          <w:sz w:val="24"/>
          <w:szCs w:val="24"/>
        </w:rPr>
        <w:lastRenderedPageBreak/>
        <w:t xml:space="preserve">basis to conclude that there is a reasonable </w:t>
      </w:r>
      <w:r w:rsidR="006435AB" w:rsidRPr="00861C11">
        <w:rPr>
          <w:rFonts w:ascii="Arial" w:hAnsi="Arial" w:cs="Arial"/>
          <w:i/>
          <w:iCs/>
          <w:sz w:val="24"/>
          <w:szCs w:val="24"/>
        </w:rPr>
        <w:t>prospect of success on appeal.”</w:t>
      </w:r>
    </w:p>
    <w:p w14:paraId="7AADB3DE" w14:textId="77777777" w:rsidR="00061D9E" w:rsidRPr="00061D9E" w:rsidRDefault="00061D9E" w:rsidP="00AF6C84">
      <w:pPr>
        <w:spacing w:line="360" w:lineRule="auto"/>
        <w:ind w:left="1440" w:hanging="720"/>
        <w:jc w:val="both"/>
        <w:rPr>
          <w:rFonts w:ascii="Arial" w:hAnsi="Arial" w:cs="Arial"/>
          <w:sz w:val="28"/>
          <w:szCs w:val="28"/>
        </w:rPr>
      </w:pPr>
    </w:p>
    <w:p w14:paraId="4806DC9D" w14:textId="4C77BB5D" w:rsidR="00132E5F" w:rsidRDefault="00394F19" w:rsidP="00861C11">
      <w:pPr>
        <w:spacing w:line="360" w:lineRule="auto"/>
        <w:ind w:left="720" w:hanging="720"/>
        <w:jc w:val="both"/>
        <w:rPr>
          <w:rFonts w:ascii="Arial" w:hAnsi="Arial" w:cs="Arial"/>
          <w:sz w:val="28"/>
          <w:szCs w:val="28"/>
        </w:rPr>
      </w:pPr>
      <w:r>
        <w:rPr>
          <w:rFonts w:ascii="Arial" w:hAnsi="Arial" w:cs="Arial"/>
          <w:sz w:val="28"/>
          <w:szCs w:val="28"/>
        </w:rPr>
        <w:t>[</w:t>
      </w:r>
      <w:r w:rsidR="00D9440C">
        <w:rPr>
          <w:rFonts w:ascii="Arial" w:hAnsi="Arial" w:cs="Arial"/>
          <w:sz w:val="28"/>
          <w:szCs w:val="28"/>
        </w:rPr>
        <w:t>5</w:t>
      </w:r>
      <w:r w:rsidR="005D6AF5">
        <w:rPr>
          <w:rFonts w:ascii="Arial" w:hAnsi="Arial" w:cs="Arial"/>
          <w:sz w:val="28"/>
          <w:szCs w:val="28"/>
        </w:rPr>
        <w:t>]</w:t>
      </w:r>
      <w:r w:rsidR="00861C11">
        <w:rPr>
          <w:rFonts w:ascii="Arial" w:hAnsi="Arial" w:cs="Arial"/>
          <w:sz w:val="28"/>
          <w:szCs w:val="28"/>
        </w:rPr>
        <w:tab/>
      </w:r>
      <w:r w:rsidR="005D6AF5">
        <w:rPr>
          <w:rFonts w:ascii="Arial" w:hAnsi="Arial" w:cs="Arial"/>
          <w:sz w:val="28"/>
          <w:szCs w:val="28"/>
        </w:rPr>
        <w:t>The</w:t>
      </w:r>
      <w:r w:rsidR="00415462">
        <w:rPr>
          <w:rFonts w:ascii="Arial" w:hAnsi="Arial" w:cs="Arial"/>
          <w:sz w:val="28"/>
          <w:szCs w:val="28"/>
        </w:rPr>
        <w:t xml:space="preserve"> applicant argued that </w:t>
      </w:r>
      <w:r w:rsidR="00640F0B">
        <w:rPr>
          <w:rFonts w:ascii="Arial" w:hAnsi="Arial" w:cs="Arial"/>
          <w:sz w:val="28"/>
          <w:szCs w:val="28"/>
        </w:rPr>
        <w:t>the agreement to appoint the second respondent was incomplete</w:t>
      </w:r>
      <w:r w:rsidR="00BA6FED">
        <w:rPr>
          <w:rFonts w:ascii="Arial" w:hAnsi="Arial" w:cs="Arial"/>
          <w:sz w:val="28"/>
          <w:szCs w:val="28"/>
        </w:rPr>
        <w:t xml:space="preserve"> as the section referring to the </w:t>
      </w:r>
      <w:r w:rsidR="004250ED">
        <w:rPr>
          <w:rFonts w:ascii="Arial" w:hAnsi="Arial" w:cs="Arial"/>
          <w:sz w:val="28"/>
          <w:szCs w:val="28"/>
        </w:rPr>
        <w:t>services</w:t>
      </w:r>
      <w:r w:rsidR="00BA6FED">
        <w:rPr>
          <w:rFonts w:ascii="Arial" w:hAnsi="Arial" w:cs="Arial"/>
          <w:sz w:val="28"/>
          <w:szCs w:val="28"/>
        </w:rPr>
        <w:t xml:space="preserve"> </w:t>
      </w:r>
      <w:r w:rsidR="004250ED">
        <w:rPr>
          <w:rFonts w:ascii="Arial" w:hAnsi="Arial" w:cs="Arial"/>
          <w:sz w:val="28"/>
          <w:szCs w:val="28"/>
        </w:rPr>
        <w:t xml:space="preserve">is not </w:t>
      </w:r>
      <w:r w:rsidR="00D824A7">
        <w:rPr>
          <w:rFonts w:ascii="Arial" w:hAnsi="Arial" w:cs="Arial"/>
          <w:sz w:val="28"/>
          <w:szCs w:val="28"/>
        </w:rPr>
        <w:t>completed</w:t>
      </w:r>
      <w:r w:rsidR="004250ED">
        <w:rPr>
          <w:rFonts w:ascii="Arial" w:hAnsi="Arial" w:cs="Arial"/>
          <w:sz w:val="28"/>
          <w:szCs w:val="28"/>
        </w:rPr>
        <w:t xml:space="preserve">. </w:t>
      </w:r>
      <w:r w:rsidR="00A044C4">
        <w:rPr>
          <w:rFonts w:ascii="Arial" w:hAnsi="Arial" w:cs="Arial"/>
          <w:sz w:val="28"/>
          <w:szCs w:val="28"/>
        </w:rPr>
        <w:t xml:space="preserve">As a </w:t>
      </w:r>
      <w:r w:rsidR="005D6AF5">
        <w:rPr>
          <w:rFonts w:ascii="Arial" w:hAnsi="Arial" w:cs="Arial"/>
          <w:sz w:val="28"/>
          <w:szCs w:val="28"/>
        </w:rPr>
        <w:t>result,</w:t>
      </w:r>
      <w:r w:rsidR="00A044C4">
        <w:rPr>
          <w:rFonts w:ascii="Arial" w:hAnsi="Arial" w:cs="Arial"/>
          <w:sz w:val="28"/>
          <w:szCs w:val="28"/>
        </w:rPr>
        <w:t xml:space="preserve"> it is not possible to establish whether the services rendered were cost effective</w:t>
      </w:r>
      <w:r w:rsidR="005D6AF5">
        <w:rPr>
          <w:rFonts w:ascii="Arial" w:hAnsi="Arial" w:cs="Arial"/>
          <w:sz w:val="28"/>
          <w:szCs w:val="28"/>
        </w:rPr>
        <w:t xml:space="preserve">. </w:t>
      </w:r>
      <w:r w:rsidR="00CA2747">
        <w:rPr>
          <w:rFonts w:ascii="Arial" w:hAnsi="Arial" w:cs="Arial"/>
          <w:sz w:val="28"/>
          <w:szCs w:val="28"/>
        </w:rPr>
        <w:t xml:space="preserve">Further that the absence of an agreement is proof that </w:t>
      </w:r>
      <w:r w:rsidR="00302877">
        <w:rPr>
          <w:rFonts w:ascii="Arial" w:hAnsi="Arial" w:cs="Arial"/>
          <w:sz w:val="28"/>
          <w:szCs w:val="28"/>
        </w:rPr>
        <w:t xml:space="preserve">no proper decision was taken in the appointment of the second respondent. </w:t>
      </w:r>
    </w:p>
    <w:p w14:paraId="1D37F8C9" w14:textId="77777777" w:rsidR="00132E5F" w:rsidRDefault="00132E5F" w:rsidP="00944CF4">
      <w:pPr>
        <w:spacing w:line="360" w:lineRule="auto"/>
        <w:jc w:val="both"/>
        <w:rPr>
          <w:rFonts w:ascii="Arial" w:hAnsi="Arial" w:cs="Arial"/>
          <w:sz w:val="28"/>
          <w:szCs w:val="28"/>
        </w:rPr>
      </w:pPr>
    </w:p>
    <w:p w14:paraId="228F8B29" w14:textId="709F9250" w:rsidR="00BC363A" w:rsidRDefault="00132E5F" w:rsidP="00861C11">
      <w:pPr>
        <w:spacing w:line="360" w:lineRule="auto"/>
        <w:ind w:left="720" w:hanging="720"/>
        <w:jc w:val="both"/>
        <w:rPr>
          <w:rFonts w:ascii="Arial" w:hAnsi="Arial" w:cs="Arial"/>
          <w:sz w:val="28"/>
          <w:szCs w:val="28"/>
        </w:rPr>
      </w:pPr>
      <w:r>
        <w:rPr>
          <w:rFonts w:ascii="Arial" w:hAnsi="Arial" w:cs="Arial"/>
          <w:sz w:val="28"/>
          <w:szCs w:val="28"/>
        </w:rPr>
        <w:t>[6</w:t>
      </w:r>
      <w:r w:rsidR="00E56315">
        <w:rPr>
          <w:rFonts w:ascii="Arial" w:hAnsi="Arial" w:cs="Arial"/>
          <w:sz w:val="28"/>
          <w:szCs w:val="28"/>
        </w:rPr>
        <w:t>]</w:t>
      </w:r>
      <w:r w:rsidR="00861C11">
        <w:rPr>
          <w:rFonts w:ascii="Arial" w:hAnsi="Arial" w:cs="Arial"/>
          <w:sz w:val="28"/>
          <w:szCs w:val="28"/>
        </w:rPr>
        <w:tab/>
      </w:r>
      <w:r w:rsidR="004B24D8">
        <w:rPr>
          <w:rFonts w:ascii="Arial" w:hAnsi="Arial" w:cs="Arial"/>
          <w:sz w:val="28"/>
          <w:szCs w:val="28"/>
        </w:rPr>
        <w:t xml:space="preserve">The applicant argued that the </w:t>
      </w:r>
      <w:r w:rsidR="008739F7">
        <w:rPr>
          <w:rFonts w:ascii="Arial" w:hAnsi="Arial" w:cs="Arial"/>
          <w:sz w:val="28"/>
          <w:szCs w:val="28"/>
        </w:rPr>
        <w:t xml:space="preserve">second respondent was previously appointed to manage the water works by the first respondent </w:t>
      </w:r>
      <w:r w:rsidR="00865090">
        <w:rPr>
          <w:rFonts w:ascii="Arial" w:hAnsi="Arial" w:cs="Arial"/>
          <w:sz w:val="28"/>
          <w:szCs w:val="28"/>
        </w:rPr>
        <w:t xml:space="preserve">and </w:t>
      </w:r>
      <w:r w:rsidR="008739F7">
        <w:rPr>
          <w:rFonts w:ascii="Arial" w:hAnsi="Arial" w:cs="Arial"/>
          <w:sz w:val="28"/>
          <w:szCs w:val="28"/>
        </w:rPr>
        <w:t>the contract was terminated due to the second respondent</w:t>
      </w:r>
      <w:r w:rsidR="002313D3">
        <w:rPr>
          <w:rFonts w:ascii="Arial" w:hAnsi="Arial" w:cs="Arial"/>
          <w:sz w:val="28"/>
          <w:szCs w:val="28"/>
        </w:rPr>
        <w:t>’s</w:t>
      </w:r>
      <w:r w:rsidR="008739F7">
        <w:rPr>
          <w:rFonts w:ascii="Arial" w:hAnsi="Arial" w:cs="Arial"/>
          <w:sz w:val="28"/>
          <w:szCs w:val="28"/>
        </w:rPr>
        <w:t xml:space="preserve"> failure to perform. </w:t>
      </w:r>
      <w:r w:rsidR="00CA35CA">
        <w:rPr>
          <w:rFonts w:ascii="Arial" w:hAnsi="Arial" w:cs="Arial"/>
          <w:sz w:val="28"/>
          <w:szCs w:val="28"/>
        </w:rPr>
        <w:t xml:space="preserve">However, </w:t>
      </w:r>
      <w:r w:rsidR="008739F7">
        <w:rPr>
          <w:rFonts w:ascii="Arial" w:hAnsi="Arial" w:cs="Arial"/>
          <w:sz w:val="28"/>
          <w:szCs w:val="28"/>
        </w:rPr>
        <w:t xml:space="preserve">the second respondent was again appointed in </w:t>
      </w:r>
      <w:r w:rsidR="008739F7" w:rsidRPr="00861C11">
        <w:rPr>
          <w:rFonts w:ascii="Arial" w:hAnsi="Arial" w:cs="Arial"/>
          <w:b/>
          <w:bCs/>
          <w:sz w:val="28"/>
          <w:szCs w:val="28"/>
        </w:rPr>
        <w:t>January 2021</w:t>
      </w:r>
      <w:r w:rsidR="008739F7">
        <w:rPr>
          <w:rFonts w:ascii="Arial" w:hAnsi="Arial" w:cs="Arial"/>
          <w:sz w:val="28"/>
          <w:szCs w:val="28"/>
        </w:rPr>
        <w:t xml:space="preserve"> as the implementing agent</w:t>
      </w:r>
      <w:r w:rsidR="00D32D28">
        <w:rPr>
          <w:rFonts w:ascii="Arial" w:hAnsi="Arial" w:cs="Arial"/>
          <w:sz w:val="28"/>
          <w:szCs w:val="28"/>
        </w:rPr>
        <w:t xml:space="preserve"> </w:t>
      </w:r>
      <w:r w:rsidR="00142A18">
        <w:rPr>
          <w:rFonts w:ascii="Arial" w:hAnsi="Arial" w:cs="Arial"/>
          <w:sz w:val="28"/>
          <w:szCs w:val="28"/>
        </w:rPr>
        <w:t xml:space="preserve">when it failed to perform. The applicant argued </w:t>
      </w:r>
      <w:r w:rsidR="0052329E">
        <w:rPr>
          <w:rFonts w:ascii="Arial" w:hAnsi="Arial" w:cs="Arial"/>
          <w:sz w:val="28"/>
          <w:szCs w:val="28"/>
        </w:rPr>
        <w:t>again on the issue of unqualified personnel employed by the second respondent.</w:t>
      </w:r>
    </w:p>
    <w:p w14:paraId="77DA64C8" w14:textId="77777777" w:rsidR="00BC363A" w:rsidRDefault="00BC363A" w:rsidP="00944CF4">
      <w:pPr>
        <w:spacing w:line="360" w:lineRule="auto"/>
        <w:jc w:val="both"/>
        <w:rPr>
          <w:rFonts w:ascii="Arial" w:hAnsi="Arial" w:cs="Arial"/>
          <w:sz w:val="28"/>
          <w:szCs w:val="28"/>
        </w:rPr>
      </w:pPr>
    </w:p>
    <w:p w14:paraId="66D9DD32" w14:textId="1E3FD1DD" w:rsidR="00051BAB" w:rsidRDefault="00BC363A" w:rsidP="00061D9E">
      <w:pPr>
        <w:spacing w:line="360" w:lineRule="auto"/>
        <w:ind w:left="720" w:hanging="720"/>
        <w:jc w:val="both"/>
        <w:rPr>
          <w:rFonts w:ascii="Arial" w:hAnsi="Arial" w:cs="Arial"/>
          <w:sz w:val="28"/>
          <w:szCs w:val="28"/>
        </w:rPr>
      </w:pPr>
      <w:r>
        <w:rPr>
          <w:rFonts w:ascii="Arial" w:hAnsi="Arial" w:cs="Arial"/>
          <w:sz w:val="28"/>
          <w:szCs w:val="28"/>
        </w:rPr>
        <w:t>[7]</w:t>
      </w:r>
      <w:r w:rsidR="002E2CC2">
        <w:rPr>
          <w:rFonts w:ascii="Arial" w:hAnsi="Arial" w:cs="Arial"/>
          <w:sz w:val="28"/>
          <w:szCs w:val="28"/>
        </w:rPr>
        <w:tab/>
      </w:r>
      <w:r w:rsidR="00464408">
        <w:rPr>
          <w:rFonts w:ascii="Arial" w:hAnsi="Arial" w:cs="Arial"/>
          <w:sz w:val="28"/>
          <w:szCs w:val="28"/>
        </w:rPr>
        <w:t xml:space="preserve">In opposing the application the </w:t>
      </w:r>
      <w:r w:rsidR="0080449C">
        <w:rPr>
          <w:rFonts w:ascii="Arial" w:hAnsi="Arial" w:cs="Arial"/>
          <w:sz w:val="28"/>
          <w:szCs w:val="28"/>
        </w:rPr>
        <w:t xml:space="preserve">second </w:t>
      </w:r>
      <w:r w:rsidR="00464408">
        <w:rPr>
          <w:rFonts w:ascii="Arial" w:hAnsi="Arial" w:cs="Arial"/>
          <w:sz w:val="28"/>
          <w:szCs w:val="28"/>
        </w:rPr>
        <w:t xml:space="preserve">respondent argued that </w:t>
      </w:r>
      <w:r w:rsidR="0080449C">
        <w:rPr>
          <w:rFonts w:ascii="Arial" w:hAnsi="Arial" w:cs="Arial"/>
          <w:sz w:val="28"/>
          <w:szCs w:val="28"/>
        </w:rPr>
        <w:t xml:space="preserve">the applicant is raising issues that were dealt with the in the main </w:t>
      </w:r>
      <w:r w:rsidR="00232852">
        <w:rPr>
          <w:rFonts w:ascii="Arial" w:hAnsi="Arial" w:cs="Arial"/>
          <w:sz w:val="28"/>
          <w:szCs w:val="28"/>
        </w:rPr>
        <w:t xml:space="preserve">application and were dealt with fully in the judgment. </w:t>
      </w:r>
      <w:r w:rsidR="009D56A0">
        <w:rPr>
          <w:rFonts w:ascii="Arial" w:hAnsi="Arial" w:cs="Arial"/>
          <w:sz w:val="28"/>
          <w:szCs w:val="28"/>
        </w:rPr>
        <w:t>On the issue of the agr</w:t>
      </w:r>
      <w:r w:rsidR="001B0CAD">
        <w:rPr>
          <w:rFonts w:ascii="Arial" w:hAnsi="Arial" w:cs="Arial"/>
          <w:sz w:val="28"/>
          <w:szCs w:val="28"/>
        </w:rPr>
        <w:t xml:space="preserve">eement appointing the second </w:t>
      </w:r>
      <w:r w:rsidR="001B5F30">
        <w:rPr>
          <w:rFonts w:ascii="Arial" w:hAnsi="Arial" w:cs="Arial"/>
          <w:sz w:val="28"/>
          <w:szCs w:val="28"/>
        </w:rPr>
        <w:t>respondent,</w:t>
      </w:r>
      <w:r w:rsidR="001B0CAD">
        <w:rPr>
          <w:rFonts w:ascii="Arial" w:hAnsi="Arial" w:cs="Arial"/>
          <w:sz w:val="28"/>
          <w:szCs w:val="28"/>
        </w:rPr>
        <w:t xml:space="preserve"> it was argued that such </w:t>
      </w:r>
      <w:r w:rsidR="00E055EE">
        <w:rPr>
          <w:rFonts w:ascii="Arial" w:hAnsi="Arial" w:cs="Arial"/>
          <w:sz w:val="28"/>
          <w:szCs w:val="28"/>
        </w:rPr>
        <w:t>disclosure</w:t>
      </w:r>
      <w:r w:rsidR="001B0CAD">
        <w:rPr>
          <w:rFonts w:ascii="Arial" w:hAnsi="Arial" w:cs="Arial"/>
          <w:sz w:val="28"/>
          <w:szCs w:val="28"/>
        </w:rPr>
        <w:t xml:space="preserve"> would serve no purpose as the second respondent was appointed in terms </w:t>
      </w:r>
      <w:r w:rsidR="00E055EE">
        <w:rPr>
          <w:rFonts w:ascii="Arial" w:hAnsi="Arial" w:cs="Arial"/>
          <w:sz w:val="28"/>
          <w:szCs w:val="28"/>
        </w:rPr>
        <w:t xml:space="preserve">of </w:t>
      </w:r>
      <w:r w:rsidR="00464408">
        <w:rPr>
          <w:rFonts w:ascii="Arial" w:hAnsi="Arial" w:cs="Arial"/>
          <w:sz w:val="28"/>
          <w:szCs w:val="28"/>
        </w:rPr>
        <w:t>section 110(2) of the Local Government Municipal Finance Management Act 56 of 2003 (“LGMFMA”)</w:t>
      </w:r>
      <w:r w:rsidR="001B5F30">
        <w:rPr>
          <w:rFonts w:ascii="Arial" w:hAnsi="Arial" w:cs="Arial"/>
          <w:sz w:val="28"/>
          <w:szCs w:val="28"/>
        </w:rPr>
        <w:t>.</w:t>
      </w:r>
      <w:r w:rsidR="00464408">
        <w:rPr>
          <w:rFonts w:ascii="Arial" w:hAnsi="Arial" w:cs="Arial"/>
          <w:sz w:val="28"/>
          <w:szCs w:val="28"/>
        </w:rPr>
        <w:t xml:space="preserve"> </w:t>
      </w:r>
    </w:p>
    <w:p w14:paraId="06FAAC94" w14:textId="5EE49A4C" w:rsidR="00D93C01" w:rsidRDefault="00051BAB" w:rsidP="002E2CC2">
      <w:pPr>
        <w:spacing w:line="360" w:lineRule="auto"/>
        <w:ind w:left="720" w:hanging="720"/>
        <w:jc w:val="both"/>
        <w:rPr>
          <w:rFonts w:ascii="Arial" w:hAnsi="Arial" w:cs="Arial"/>
          <w:sz w:val="28"/>
          <w:szCs w:val="28"/>
        </w:rPr>
      </w:pPr>
      <w:r>
        <w:rPr>
          <w:rFonts w:ascii="Arial" w:hAnsi="Arial" w:cs="Arial"/>
          <w:sz w:val="28"/>
          <w:szCs w:val="28"/>
        </w:rPr>
        <w:lastRenderedPageBreak/>
        <w:t>[8]</w:t>
      </w:r>
      <w:r w:rsidR="002E2CC2">
        <w:rPr>
          <w:rFonts w:ascii="Arial" w:hAnsi="Arial" w:cs="Arial"/>
          <w:sz w:val="28"/>
          <w:szCs w:val="28"/>
        </w:rPr>
        <w:tab/>
      </w:r>
      <w:r w:rsidR="003E3B97">
        <w:rPr>
          <w:rFonts w:ascii="Arial" w:hAnsi="Arial" w:cs="Arial"/>
          <w:sz w:val="28"/>
          <w:szCs w:val="28"/>
        </w:rPr>
        <w:t xml:space="preserve">The applicant in the leave to appeal raised arguments which were </w:t>
      </w:r>
      <w:r w:rsidR="002D387B">
        <w:rPr>
          <w:rFonts w:ascii="Arial" w:hAnsi="Arial" w:cs="Arial"/>
          <w:sz w:val="28"/>
          <w:szCs w:val="28"/>
        </w:rPr>
        <w:t>argued</w:t>
      </w:r>
      <w:r w:rsidR="003E3B97">
        <w:rPr>
          <w:rFonts w:ascii="Arial" w:hAnsi="Arial" w:cs="Arial"/>
          <w:sz w:val="28"/>
          <w:szCs w:val="28"/>
        </w:rPr>
        <w:t xml:space="preserve"> in the main application and were fully dealt with in the judgement.</w:t>
      </w:r>
      <w:r w:rsidR="00FC2D14">
        <w:rPr>
          <w:rFonts w:ascii="Arial" w:hAnsi="Arial" w:cs="Arial"/>
          <w:sz w:val="28"/>
          <w:szCs w:val="28"/>
        </w:rPr>
        <w:t xml:space="preserve"> The </w:t>
      </w:r>
      <w:r w:rsidR="00351C0F">
        <w:rPr>
          <w:rFonts w:ascii="Arial" w:hAnsi="Arial" w:cs="Arial"/>
          <w:sz w:val="28"/>
          <w:szCs w:val="28"/>
        </w:rPr>
        <w:t xml:space="preserve">LGMFMA deals with procurement processes for municipalities and </w:t>
      </w:r>
      <w:r w:rsidR="001A3F3C">
        <w:rPr>
          <w:rFonts w:ascii="Arial" w:hAnsi="Arial" w:cs="Arial"/>
          <w:sz w:val="28"/>
          <w:szCs w:val="28"/>
        </w:rPr>
        <w:t>provides for deviation from the</w:t>
      </w:r>
      <w:r w:rsidR="00351C0F">
        <w:rPr>
          <w:rFonts w:ascii="Arial" w:hAnsi="Arial" w:cs="Arial"/>
          <w:sz w:val="28"/>
          <w:szCs w:val="28"/>
        </w:rPr>
        <w:t xml:space="preserve"> supply chain processes. </w:t>
      </w:r>
      <w:r w:rsidR="001A3F3C">
        <w:rPr>
          <w:rFonts w:ascii="Arial" w:hAnsi="Arial" w:cs="Arial"/>
          <w:sz w:val="28"/>
          <w:szCs w:val="28"/>
        </w:rPr>
        <w:t xml:space="preserve">The Act requires that the policy followed by municipalities should </w:t>
      </w:r>
      <w:r w:rsidR="005658B5">
        <w:rPr>
          <w:rFonts w:ascii="Arial" w:hAnsi="Arial" w:cs="Arial"/>
          <w:sz w:val="28"/>
          <w:szCs w:val="28"/>
        </w:rPr>
        <w:t xml:space="preserve">be </w:t>
      </w:r>
      <w:r w:rsidR="001A3F3C">
        <w:rPr>
          <w:rFonts w:ascii="Arial" w:hAnsi="Arial" w:cs="Arial"/>
          <w:sz w:val="28"/>
          <w:szCs w:val="28"/>
        </w:rPr>
        <w:t>fair, equitable, transparent, competitive and cost effective. I</w:t>
      </w:r>
      <w:r w:rsidR="00D93C01">
        <w:rPr>
          <w:rFonts w:ascii="Arial" w:hAnsi="Arial" w:cs="Arial"/>
          <w:sz w:val="28"/>
          <w:szCs w:val="28"/>
        </w:rPr>
        <w:t>n</w:t>
      </w:r>
      <w:r w:rsidR="001A3F3C">
        <w:rPr>
          <w:rFonts w:ascii="Arial" w:hAnsi="Arial" w:cs="Arial"/>
          <w:sz w:val="28"/>
          <w:szCs w:val="28"/>
        </w:rPr>
        <w:t xml:space="preserve"> keeping with the procurement processes section 110(2) of the LGMFMA clearly provides that there can be deviation when the municipality seeks to acquire goods or services from an organ of state or a public entity or where the municipality seeks assistance in the provision of municipal services.</w:t>
      </w:r>
    </w:p>
    <w:p w14:paraId="3D7B5B3F" w14:textId="77777777" w:rsidR="00913F1B" w:rsidRDefault="00913F1B" w:rsidP="00944CF4">
      <w:pPr>
        <w:spacing w:line="360" w:lineRule="auto"/>
        <w:jc w:val="both"/>
        <w:rPr>
          <w:rFonts w:ascii="Arial" w:hAnsi="Arial" w:cs="Arial"/>
          <w:sz w:val="28"/>
          <w:szCs w:val="28"/>
        </w:rPr>
      </w:pPr>
    </w:p>
    <w:p w14:paraId="717E8ABA" w14:textId="1780E1FE" w:rsidR="0004101D" w:rsidRDefault="00913F1B" w:rsidP="002E2CC2">
      <w:pPr>
        <w:spacing w:line="360" w:lineRule="auto"/>
        <w:ind w:left="720" w:hanging="720"/>
        <w:jc w:val="both"/>
        <w:rPr>
          <w:rFonts w:ascii="Arial" w:hAnsi="Arial" w:cs="Arial"/>
          <w:sz w:val="28"/>
          <w:szCs w:val="28"/>
        </w:rPr>
      </w:pPr>
      <w:r>
        <w:rPr>
          <w:rFonts w:ascii="Arial" w:hAnsi="Arial" w:cs="Arial"/>
          <w:sz w:val="28"/>
          <w:szCs w:val="28"/>
        </w:rPr>
        <w:t>[</w:t>
      </w:r>
      <w:r w:rsidR="00D93C01">
        <w:rPr>
          <w:rFonts w:ascii="Arial" w:hAnsi="Arial" w:cs="Arial"/>
          <w:sz w:val="28"/>
          <w:szCs w:val="28"/>
        </w:rPr>
        <w:t>9</w:t>
      </w:r>
      <w:r>
        <w:rPr>
          <w:rFonts w:ascii="Arial" w:hAnsi="Arial" w:cs="Arial"/>
          <w:sz w:val="28"/>
          <w:szCs w:val="28"/>
        </w:rPr>
        <w:t>]</w:t>
      </w:r>
      <w:r w:rsidR="002E2CC2">
        <w:rPr>
          <w:rFonts w:ascii="Arial" w:hAnsi="Arial" w:cs="Arial"/>
          <w:sz w:val="28"/>
          <w:szCs w:val="28"/>
        </w:rPr>
        <w:tab/>
      </w:r>
      <w:r w:rsidR="00C672CE">
        <w:rPr>
          <w:rFonts w:ascii="Arial" w:hAnsi="Arial" w:cs="Arial"/>
          <w:sz w:val="28"/>
          <w:szCs w:val="28"/>
        </w:rPr>
        <w:t xml:space="preserve">On the appointment of unqualified employees the applicant failed to establish in what respect the employees were unqualified. As such there is no prospect that another court would come to a different conclusion in the absence of facts relied on </w:t>
      </w:r>
      <w:r w:rsidR="00DD6C50">
        <w:rPr>
          <w:rFonts w:ascii="Arial" w:hAnsi="Arial" w:cs="Arial"/>
          <w:sz w:val="28"/>
          <w:szCs w:val="28"/>
        </w:rPr>
        <w:t xml:space="preserve">for such submission. </w:t>
      </w:r>
    </w:p>
    <w:p w14:paraId="108D0AF2" w14:textId="77777777" w:rsidR="00796207" w:rsidRPr="00CE3A69" w:rsidRDefault="00796207" w:rsidP="00DD6C50">
      <w:pPr>
        <w:spacing w:line="360" w:lineRule="auto"/>
        <w:jc w:val="both"/>
        <w:rPr>
          <w:rFonts w:ascii="Arial" w:hAnsi="Arial" w:cs="Arial"/>
          <w:b/>
          <w:sz w:val="28"/>
          <w:szCs w:val="28"/>
        </w:rPr>
      </w:pPr>
    </w:p>
    <w:p w14:paraId="1E9CEC45" w14:textId="331572BD" w:rsidR="008D1261" w:rsidRDefault="00E86F3F" w:rsidP="002E2CC2">
      <w:pPr>
        <w:spacing w:line="360" w:lineRule="auto"/>
        <w:ind w:left="720" w:hanging="720"/>
        <w:jc w:val="both"/>
        <w:rPr>
          <w:rFonts w:ascii="Arial" w:hAnsi="Arial" w:cs="Arial"/>
          <w:sz w:val="28"/>
          <w:szCs w:val="28"/>
        </w:rPr>
      </w:pPr>
      <w:r>
        <w:rPr>
          <w:rFonts w:ascii="Arial" w:hAnsi="Arial" w:cs="Arial"/>
          <w:sz w:val="28"/>
          <w:szCs w:val="28"/>
        </w:rPr>
        <w:t>[</w:t>
      </w:r>
      <w:r w:rsidR="00FE7B70">
        <w:rPr>
          <w:rFonts w:ascii="Arial" w:hAnsi="Arial" w:cs="Arial"/>
          <w:sz w:val="28"/>
          <w:szCs w:val="28"/>
        </w:rPr>
        <w:t>10</w:t>
      </w:r>
      <w:r>
        <w:rPr>
          <w:rFonts w:ascii="Arial" w:hAnsi="Arial" w:cs="Arial"/>
          <w:sz w:val="28"/>
          <w:szCs w:val="28"/>
        </w:rPr>
        <w:t>]</w:t>
      </w:r>
      <w:r w:rsidR="002E2CC2">
        <w:rPr>
          <w:rFonts w:ascii="Arial" w:hAnsi="Arial" w:cs="Arial"/>
          <w:sz w:val="28"/>
          <w:szCs w:val="28"/>
        </w:rPr>
        <w:tab/>
      </w:r>
      <w:r>
        <w:rPr>
          <w:rFonts w:ascii="Arial" w:hAnsi="Arial" w:cs="Arial"/>
          <w:sz w:val="28"/>
          <w:szCs w:val="28"/>
        </w:rPr>
        <w:t xml:space="preserve">The applicant </w:t>
      </w:r>
      <w:r w:rsidR="00FE7B70">
        <w:rPr>
          <w:rFonts w:ascii="Arial" w:hAnsi="Arial" w:cs="Arial"/>
          <w:sz w:val="28"/>
          <w:szCs w:val="28"/>
        </w:rPr>
        <w:t>has not made out a case that another court would come to a different conclusion and the leave to appeal stands to be dismissed.</w:t>
      </w:r>
      <w:r>
        <w:rPr>
          <w:rFonts w:ascii="Arial" w:hAnsi="Arial" w:cs="Arial"/>
          <w:sz w:val="28"/>
          <w:szCs w:val="28"/>
        </w:rPr>
        <w:t xml:space="preserve"> </w:t>
      </w:r>
      <w:r w:rsidR="00FC4B6B">
        <w:rPr>
          <w:rFonts w:ascii="Arial" w:hAnsi="Arial" w:cs="Arial"/>
          <w:sz w:val="28"/>
          <w:szCs w:val="28"/>
        </w:rPr>
        <w:t xml:space="preserve"> </w:t>
      </w:r>
    </w:p>
    <w:p w14:paraId="0520DFB9" w14:textId="77777777" w:rsidR="00E86F3F" w:rsidRDefault="00E86F3F" w:rsidP="00944CF4">
      <w:pPr>
        <w:spacing w:line="360" w:lineRule="auto"/>
        <w:jc w:val="both"/>
        <w:rPr>
          <w:rFonts w:ascii="Arial" w:hAnsi="Arial" w:cs="Arial"/>
          <w:sz w:val="28"/>
          <w:szCs w:val="28"/>
        </w:rPr>
      </w:pPr>
    </w:p>
    <w:p w14:paraId="593368B7" w14:textId="77777777" w:rsidR="00E86F3F" w:rsidRDefault="00E86F3F" w:rsidP="00944CF4">
      <w:pPr>
        <w:spacing w:line="360" w:lineRule="auto"/>
        <w:jc w:val="both"/>
        <w:rPr>
          <w:rFonts w:ascii="Arial" w:hAnsi="Arial" w:cs="Arial"/>
          <w:b/>
          <w:sz w:val="28"/>
          <w:szCs w:val="28"/>
        </w:rPr>
      </w:pPr>
      <w:r w:rsidRPr="00E86F3F">
        <w:rPr>
          <w:rFonts w:ascii="Arial" w:hAnsi="Arial" w:cs="Arial"/>
          <w:b/>
          <w:sz w:val="28"/>
          <w:szCs w:val="28"/>
        </w:rPr>
        <w:t>Costs</w:t>
      </w:r>
    </w:p>
    <w:p w14:paraId="51F2FF29" w14:textId="10A9ABB3" w:rsidR="00264EF6" w:rsidRDefault="00FC4B6B" w:rsidP="004A5A3E">
      <w:pPr>
        <w:spacing w:line="360" w:lineRule="auto"/>
        <w:jc w:val="both"/>
        <w:rPr>
          <w:rFonts w:ascii="Arial" w:hAnsi="Arial" w:cs="Arial"/>
          <w:sz w:val="28"/>
          <w:szCs w:val="28"/>
        </w:rPr>
      </w:pPr>
      <w:r>
        <w:rPr>
          <w:rFonts w:ascii="Arial" w:hAnsi="Arial" w:cs="Arial"/>
          <w:sz w:val="28"/>
          <w:szCs w:val="28"/>
        </w:rPr>
        <w:t>[</w:t>
      </w:r>
      <w:r w:rsidR="00FE7B70">
        <w:rPr>
          <w:rFonts w:ascii="Arial" w:hAnsi="Arial" w:cs="Arial"/>
          <w:sz w:val="28"/>
          <w:szCs w:val="28"/>
        </w:rPr>
        <w:t>11</w:t>
      </w:r>
      <w:r>
        <w:rPr>
          <w:rFonts w:ascii="Arial" w:hAnsi="Arial" w:cs="Arial"/>
          <w:sz w:val="28"/>
          <w:szCs w:val="28"/>
        </w:rPr>
        <w:t>]</w:t>
      </w:r>
      <w:r w:rsidR="002E2CC2">
        <w:rPr>
          <w:rFonts w:ascii="Arial" w:hAnsi="Arial" w:cs="Arial"/>
          <w:sz w:val="28"/>
          <w:szCs w:val="28"/>
        </w:rPr>
        <w:tab/>
      </w:r>
      <w:r w:rsidR="00796207">
        <w:rPr>
          <w:rFonts w:ascii="Arial" w:hAnsi="Arial" w:cs="Arial"/>
          <w:sz w:val="28"/>
          <w:szCs w:val="28"/>
        </w:rPr>
        <w:t>I find no reason why costs should not follow the result.</w:t>
      </w:r>
    </w:p>
    <w:p w14:paraId="3D496740" w14:textId="77777777" w:rsidR="002E2CC2" w:rsidRDefault="002E2CC2" w:rsidP="004A5A3E">
      <w:pPr>
        <w:spacing w:line="360" w:lineRule="auto"/>
        <w:jc w:val="both"/>
        <w:rPr>
          <w:rFonts w:ascii="Arial" w:hAnsi="Arial" w:cs="Arial"/>
          <w:sz w:val="28"/>
          <w:szCs w:val="28"/>
        </w:rPr>
      </w:pPr>
    </w:p>
    <w:p w14:paraId="164B18D9" w14:textId="77777777" w:rsidR="00061D9E" w:rsidRDefault="00061D9E" w:rsidP="004A5A3E">
      <w:pPr>
        <w:spacing w:line="360" w:lineRule="auto"/>
        <w:jc w:val="both"/>
        <w:rPr>
          <w:rFonts w:ascii="Arial" w:hAnsi="Arial" w:cs="Arial"/>
          <w:sz w:val="28"/>
          <w:szCs w:val="28"/>
        </w:rPr>
      </w:pPr>
    </w:p>
    <w:p w14:paraId="6F1D80B2" w14:textId="77E88460" w:rsidR="00796207" w:rsidRDefault="002E2CC2" w:rsidP="004A5A3E">
      <w:pPr>
        <w:spacing w:line="360" w:lineRule="auto"/>
        <w:jc w:val="both"/>
        <w:rPr>
          <w:rFonts w:ascii="Arial" w:eastAsia="Times New Roman" w:hAnsi="Arial" w:cs="Arial"/>
          <w:b/>
          <w:bCs/>
          <w:sz w:val="28"/>
          <w:szCs w:val="28"/>
          <w:lang w:eastAsia="en-GB"/>
        </w:rPr>
      </w:pPr>
      <w:r w:rsidRPr="002E2CC2">
        <w:rPr>
          <w:rFonts w:ascii="Arial" w:eastAsia="Times New Roman" w:hAnsi="Arial" w:cs="Arial"/>
          <w:b/>
          <w:bCs/>
          <w:sz w:val="28"/>
          <w:szCs w:val="28"/>
          <w:lang w:eastAsia="en-GB"/>
        </w:rPr>
        <w:lastRenderedPageBreak/>
        <w:t>Order</w:t>
      </w:r>
    </w:p>
    <w:p w14:paraId="0C69A285" w14:textId="77777777" w:rsidR="00061D9E" w:rsidRPr="00061D9E" w:rsidRDefault="00061D9E" w:rsidP="004A5A3E">
      <w:pPr>
        <w:spacing w:line="360" w:lineRule="auto"/>
        <w:jc w:val="both"/>
        <w:rPr>
          <w:rFonts w:ascii="Arial" w:eastAsia="Times New Roman" w:hAnsi="Arial" w:cs="Arial"/>
          <w:b/>
          <w:bCs/>
          <w:sz w:val="12"/>
          <w:szCs w:val="12"/>
          <w:lang w:eastAsia="en-GB"/>
        </w:rPr>
      </w:pPr>
    </w:p>
    <w:p w14:paraId="7233A840" w14:textId="6AE7442C" w:rsidR="004A5A3E" w:rsidRDefault="002E2CC2" w:rsidP="004A5A3E">
      <w:pPr>
        <w:spacing w:line="360" w:lineRule="auto"/>
        <w:jc w:val="both"/>
        <w:rPr>
          <w:rFonts w:ascii="Arial" w:eastAsia="Times New Roman" w:hAnsi="Arial" w:cs="Arial"/>
          <w:sz w:val="28"/>
          <w:szCs w:val="28"/>
          <w:lang w:eastAsia="en-GB"/>
        </w:rPr>
      </w:pPr>
      <w:r>
        <w:rPr>
          <w:rFonts w:ascii="Arial" w:eastAsia="Times New Roman" w:hAnsi="Arial" w:cs="Arial"/>
          <w:sz w:val="28"/>
          <w:szCs w:val="28"/>
          <w:lang w:eastAsia="en-GB"/>
        </w:rPr>
        <w:t>[12]</w:t>
      </w:r>
      <w:r>
        <w:rPr>
          <w:rFonts w:ascii="Arial" w:eastAsia="Times New Roman" w:hAnsi="Arial" w:cs="Arial"/>
          <w:sz w:val="28"/>
          <w:szCs w:val="28"/>
          <w:lang w:eastAsia="en-GB"/>
        </w:rPr>
        <w:tab/>
      </w:r>
      <w:r w:rsidR="00944C4B">
        <w:rPr>
          <w:rFonts w:ascii="Arial" w:eastAsia="Times New Roman" w:hAnsi="Arial" w:cs="Arial"/>
          <w:sz w:val="28"/>
          <w:szCs w:val="28"/>
          <w:lang w:eastAsia="en-GB"/>
        </w:rPr>
        <w:t>Consequently</w:t>
      </w:r>
      <w:r w:rsidR="00D910F1">
        <w:rPr>
          <w:rFonts w:ascii="Arial" w:eastAsia="Times New Roman" w:hAnsi="Arial" w:cs="Arial"/>
          <w:sz w:val="28"/>
          <w:szCs w:val="28"/>
          <w:lang w:eastAsia="en-GB"/>
        </w:rPr>
        <w:t>,</w:t>
      </w:r>
      <w:r w:rsidR="00944C4B">
        <w:rPr>
          <w:rFonts w:ascii="Arial" w:eastAsia="Times New Roman" w:hAnsi="Arial" w:cs="Arial"/>
          <w:sz w:val="28"/>
          <w:szCs w:val="28"/>
          <w:lang w:eastAsia="en-GB"/>
        </w:rPr>
        <w:t xml:space="preserve"> </w:t>
      </w:r>
      <w:r w:rsidR="00264EF6">
        <w:rPr>
          <w:rFonts w:ascii="Arial" w:eastAsia="Times New Roman" w:hAnsi="Arial" w:cs="Arial"/>
          <w:sz w:val="28"/>
          <w:szCs w:val="28"/>
          <w:lang w:eastAsia="en-GB"/>
        </w:rPr>
        <w:t>the following order is made:</w:t>
      </w:r>
      <w:r w:rsidR="004A5A3E" w:rsidRPr="004A5A3E">
        <w:rPr>
          <w:rFonts w:ascii="Arial" w:eastAsia="Times New Roman" w:hAnsi="Arial" w:cs="Arial"/>
          <w:sz w:val="28"/>
          <w:szCs w:val="28"/>
          <w:lang w:eastAsia="en-GB"/>
        </w:rPr>
        <w:t xml:space="preserve"> </w:t>
      </w:r>
    </w:p>
    <w:p w14:paraId="6FF8520B" w14:textId="5ED170BD" w:rsidR="00E86F3F" w:rsidRDefault="00E86F3F" w:rsidP="002E2CC2">
      <w:pPr>
        <w:spacing w:line="360" w:lineRule="auto"/>
        <w:ind w:firstLine="720"/>
        <w:jc w:val="both"/>
        <w:rPr>
          <w:rFonts w:ascii="Arial" w:eastAsia="Times New Roman" w:hAnsi="Arial" w:cs="Arial"/>
          <w:sz w:val="28"/>
          <w:szCs w:val="28"/>
          <w:lang w:eastAsia="en-GB"/>
        </w:rPr>
      </w:pPr>
      <w:bookmarkStart w:id="1" w:name="_Hlk167795417"/>
      <w:bookmarkStart w:id="2" w:name="_Hlk167795576"/>
      <w:r>
        <w:rPr>
          <w:rFonts w:ascii="Arial" w:eastAsia="Times New Roman" w:hAnsi="Arial" w:cs="Arial"/>
          <w:sz w:val="28"/>
          <w:szCs w:val="28"/>
          <w:lang w:eastAsia="en-GB"/>
        </w:rPr>
        <w:t>1. Application</w:t>
      </w:r>
      <w:r w:rsidR="00796207">
        <w:rPr>
          <w:rFonts w:ascii="Arial" w:eastAsia="Times New Roman" w:hAnsi="Arial" w:cs="Arial"/>
          <w:sz w:val="28"/>
          <w:szCs w:val="28"/>
          <w:lang w:eastAsia="en-GB"/>
        </w:rPr>
        <w:t xml:space="preserve"> for leave to appeal</w:t>
      </w:r>
      <w:r>
        <w:rPr>
          <w:rFonts w:ascii="Arial" w:eastAsia="Times New Roman" w:hAnsi="Arial" w:cs="Arial"/>
          <w:sz w:val="28"/>
          <w:szCs w:val="28"/>
          <w:lang w:eastAsia="en-GB"/>
        </w:rPr>
        <w:t xml:space="preserve"> is dismissed </w:t>
      </w:r>
    </w:p>
    <w:p w14:paraId="247065C9" w14:textId="446DAE52" w:rsidR="00E86F3F" w:rsidRDefault="00E86F3F" w:rsidP="002E2CC2">
      <w:pPr>
        <w:spacing w:line="360" w:lineRule="auto"/>
        <w:ind w:firstLine="720"/>
        <w:jc w:val="both"/>
        <w:rPr>
          <w:rFonts w:ascii="Arial" w:eastAsia="Times New Roman" w:hAnsi="Arial" w:cs="Arial"/>
          <w:sz w:val="28"/>
          <w:szCs w:val="28"/>
          <w:lang w:eastAsia="en-GB"/>
        </w:rPr>
      </w:pPr>
      <w:r>
        <w:rPr>
          <w:rFonts w:ascii="Arial" w:eastAsia="Times New Roman" w:hAnsi="Arial" w:cs="Arial"/>
          <w:sz w:val="28"/>
          <w:szCs w:val="28"/>
          <w:lang w:eastAsia="en-GB"/>
        </w:rPr>
        <w:t>2. The applicant is ordered to pay costs</w:t>
      </w:r>
      <w:r w:rsidR="00796207">
        <w:rPr>
          <w:rFonts w:ascii="Arial" w:eastAsia="Times New Roman" w:hAnsi="Arial" w:cs="Arial"/>
          <w:sz w:val="28"/>
          <w:szCs w:val="28"/>
          <w:lang w:eastAsia="en-GB"/>
        </w:rPr>
        <w:t xml:space="preserve"> on scale </w:t>
      </w:r>
      <w:bookmarkEnd w:id="1"/>
      <w:r w:rsidR="00796207">
        <w:rPr>
          <w:rFonts w:ascii="Arial" w:eastAsia="Times New Roman" w:hAnsi="Arial" w:cs="Arial"/>
          <w:sz w:val="28"/>
          <w:szCs w:val="28"/>
          <w:lang w:eastAsia="en-GB"/>
        </w:rPr>
        <w:t>B</w:t>
      </w:r>
      <w:r>
        <w:rPr>
          <w:rFonts w:ascii="Arial" w:eastAsia="Times New Roman" w:hAnsi="Arial" w:cs="Arial"/>
          <w:sz w:val="28"/>
          <w:szCs w:val="28"/>
          <w:lang w:eastAsia="en-GB"/>
        </w:rPr>
        <w:t>.</w:t>
      </w:r>
    </w:p>
    <w:bookmarkEnd w:id="2"/>
    <w:p w14:paraId="06FD982E" w14:textId="77777777" w:rsidR="0039678A" w:rsidRDefault="0039678A" w:rsidP="004A5A3E">
      <w:pPr>
        <w:spacing w:line="360" w:lineRule="auto"/>
        <w:jc w:val="both"/>
        <w:rPr>
          <w:rFonts w:ascii="Arial" w:eastAsia="Times New Roman" w:hAnsi="Arial" w:cs="Arial"/>
          <w:sz w:val="28"/>
          <w:szCs w:val="28"/>
          <w:lang w:eastAsia="en-GB"/>
        </w:rPr>
      </w:pPr>
    </w:p>
    <w:p w14:paraId="49C3CD1D" w14:textId="77777777" w:rsidR="00944C4B" w:rsidRDefault="00944C4B" w:rsidP="004A5A3E">
      <w:pPr>
        <w:spacing w:line="360" w:lineRule="auto"/>
        <w:jc w:val="both"/>
        <w:rPr>
          <w:rFonts w:ascii="Arial" w:eastAsia="Times New Roman" w:hAnsi="Arial" w:cs="Arial"/>
          <w:sz w:val="28"/>
          <w:szCs w:val="28"/>
          <w:lang w:eastAsia="en-GB"/>
        </w:rPr>
      </w:pPr>
    </w:p>
    <w:p w14:paraId="09C6442C" w14:textId="77777777" w:rsidR="004B6313" w:rsidRPr="00525C98" w:rsidRDefault="004B6313" w:rsidP="004B6313">
      <w:pPr>
        <w:spacing w:after="0" w:line="360" w:lineRule="auto"/>
        <w:jc w:val="both"/>
        <w:rPr>
          <w:rFonts w:ascii="Arial" w:hAnsi="Arial" w:cs="Arial"/>
          <w:sz w:val="28"/>
          <w:szCs w:val="28"/>
        </w:rPr>
      </w:pPr>
      <w:r>
        <w:rPr>
          <w:rFonts w:ascii="Arial" w:hAnsi="Arial" w:cs="Arial"/>
          <w:sz w:val="28"/>
          <w:szCs w:val="28"/>
        </w:rPr>
        <w:t>________________________</w:t>
      </w:r>
    </w:p>
    <w:p w14:paraId="16321079" w14:textId="77777777" w:rsidR="004B6313" w:rsidRDefault="004B6313" w:rsidP="004B6313">
      <w:pPr>
        <w:spacing w:after="0" w:line="360" w:lineRule="auto"/>
        <w:jc w:val="both"/>
        <w:rPr>
          <w:rFonts w:ascii="Arial" w:hAnsi="Arial" w:cs="Arial"/>
          <w:b/>
          <w:sz w:val="28"/>
          <w:szCs w:val="28"/>
        </w:rPr>
      </w:pPr>
      <w:r>
        <w:rPr>
          <w:rFonts w:ascii="Arial" w:hAnsi="Arial" w:cs="Arial"/>
          <w:b/>
          <w:sz w:val="28"/>
          <w:szCs w:val="28"/>
        </w:rPr>
        <w:t xml:space="preserve">J T </w:t>
      </w:r>
      <w:r w:rsidRPr="00525C98">
        <w:rPr>
          <w:rFonts w:ascii="Arial" w:hAnsi="Arial" w:cs="Arial"/>
          <w:b/>
          <w:sz w:val="28"/>
          <w:szCs w:val="28"/>
        </w:rPr>
        <w:t xml:space="preserve">DJAJE </w:t>
      </w:r>
    </w:p>
    <w:p w14:paraId="19AEA62F" w14:textId="77777777" w:rsidR="004B6313" w:rsidRDefault="004B6313" w:rsidP="004B6313">
      <w:pPr>
        <w:spacing w:after="0" w:line="360" w:lineRule="auto"/>
        <w:jc w:val="both"/>
        <w:rPr>
          <w:rFonts w:ascii="Arial" w:hAnsi="Arial" w:cs="Arial"/>
          <w:b/>
          <w:sz w:val="28"/>
          <w:szCs w:val="28"/>
        </w:rPr>
      </w:pPr>
      <w:r>
        <w:rPr>
          <w:rFonts w:ascii="Arial" w:hAnsi="Arial" w:cs="Arial"/>
          <w:b/>
          <w:sz w:val="28"/>
          <w:szCs w:val="28"/>
        </w:rPr>
        <w:t>DEPUTY JUDGE PRESIDENT</w:t>
      </w:r>
    </w:p>
    <w:p w14:paraId="5C2A23B4" w14:textId="77777777" w:rsidR="004B6313" w:rsidRDefault="004B6313" w:rsidP="004B6313">
      <w:pPr>
        <w:spacing w:after="0" w:line="360" w:lineRule="auto"/>
        <w:jc w:val="both"/>
        <w:rPr>
          <w:rFonts w:ascii="Arial" w:hAnsi="Arial" w:cs="Arial"/>
          <w:b/>
          <w:sz w:val="28"/>
          <w:szCs w:val="28"/>
        </w:rPr>
      </w:pPr>
      <w:r>
        <w:rPr>
          <w:rFonts w:ascii="Arial" w:hAnsi="Arial" w:cs="Arial"/>
          <w:b/>
          <w:sz w:val="28"/>
          <w:szCs w:val="28"/>
        </w:rPr>
        <w:t>NORTH WEST HIGH COURT, MAHIKENG</w:t>
      </w:r>
    </w:p>
    <w:p w14:paraId="57A886EF" w14:textId="77777777" w:rsidR="004B6313" w:rsidRDefault="004B6313" w:rsidP="004B6313">
      <w:pPr>
        <w:spacing w:after="0" w:line="360" w:lineRule="auto"/>
        <w:jc w:val="both"/>
        <w:rPr>
          <w:rFonts w:ascii="Arial" w:hAnsi="Arial" w:cs="Arial"/>
          <w:b/>
          <w:sz w:val="28"/>
          <w:szCs w:val="28"/>
        </w:rPr>
      </w:pPr>
    </w:p>
    <w:p w14:paraId="774D50CB" w14:textId="77777777" w:rsidR="004B6313" w:rsidRDefault="004B6313" w:rsidP="004B6313">
      <w:pPr>
        <w:spacing w:after="0" w:line="360" w:lineRule="auto"/>
        <w:jc w:val="both"/>
        <w:rPr>
          <w:rFonts w:ascii="Arial" w:hAnsi="Arial" w:cs="Arial"/>
          <w:b/>
          <w:sz w:val="28"/>
          <w:szCs w:val="28"/>
        </w:rPr>
      </w:pPr>
    </w:p>
    <w:p w14:paraId="6C217102" w14:textId="77777777" w:rsidR="004B6313" w:rsidRDefault="004B6313" w:rsidP="004B6313">
      <w:pPr>
        <w:spacing w:after="0" w:line="360" w:lineRule="auto"/>
        <w:jc w:val="both"/>
        <w:rPr>
          <w:rFonts w:ascii="Arial" w:hAnsi="Arial" w:cs="Arial"/>
          <w:b/>
          <w:sz w:val="28"/>
          <w:szCs w:val="28"/>
        </w:rPr>
      </w:pPr>
    </w:p>
    <w:p w14:paraId="59F93DE8" w14:textId="77777777" w:rsidR="004B6313" w:rsidRDefault="004B6313" w:rsidP="004B6313">
      <w:pPr>
        <w:spacing w:after="0" w:line="360" w:lineRule="auto"/>
        <w:jc w:val="both"/>
        <w:rPr>
          <w:rFonts w:ascii="Arial" w:hAnsi="Arial" w:cs="Arial"/>
          <w:b/>
          <w:sz w:val="28"/>
          <w:szCs w:val="28"/>
        </w:rPr>
      </w:pPr>
    </w:p>
    <w:p w14:paraId="49C8C193" w14:textId="77777777" w:rsidR="004B6313" w:rsidRDefault="004B6313" w:rsidP="004B6313">
      <w:pPr>
        <w:spacing w:after="0" w:line="360" w:lineRule="auto"/>
        <w:jc w:val="both"/>
        <w:rPr>
          <w:rFonts w:ascii="Arial" w:hAnsi="Arial" w:cs="Arial"/>
          <w:b/>
          <w:sz w:val="28"/>
          <w:szCs w:val="28"/>
        </w:rPr>
      </w:pPr>
    </w:p>
    <w:p w14:paraId="35B70B81" w14:textId="77777777" w:rsidR="004B6313" w:rsidRDefault="004B6313" w:rsidP="004B6313">
      <w:pPr>
        <w:spacing w:after="0" w:line="360" w:lineRule="auto"/>
        <w:jc w:val="both"/>
        <w:rPr>
          <w:rFonts w:ascii="Arial" w:hAnsi="Arial" w:cs="Arial"/>
          <w:b/>
          <w:sz w:val="28"/>
          <w:szCs w:val="28"/>
        </w:rPr>
      </w:pPr>
    </w:p>
    <w:p w14:paraId="4A412B4E" w14:textId="77777777" w:rsidR="004B6313" w:rsidRDefault="004B6313" w:rsidP="004B6313">
      <w:pPr>
        <w:spacing w:after="0" w:line="360" w:lineRule="auto"/>
        <w:jc w:val="both"/>
        <w:rPr>
          <w:rFonts w:ascii="Arial" w:hAnsi="Arial" w:cs="Arial"/>
          <w:b/>
          <w:sz w:val="28"/>
          <w:szCs w:val="28"/>
        </w:rPr>
      </w:pPr>
    </w:p>
    <w:p w14:paraId="41272833" w14:textId="77777777" w:rsidR="004B6313" w:rsidRDefault="004B6313" w:rsidP="004B6313">
      <w:pPr>
        <w:spacing w:after="0" w:line="360" w:lineRule="auto"/>
        <w:jc w:val="both"/>
        <w:rPr>
          <w:rFonts w:ascii="Arial" w:hAnsi="Arial" w:cs="Arial"/>
          <w:b/>
          <w:sz w:val="28"/>
          <w:szCs w:val="28"/>
        </w:rPr>
      </w:pPr>
    </w:p>
    <w:p w14:paraId="163E16B4" w14:textId="77777777" w:rsidR="004B6313" w:rsidRPr="00FA1D54" w:rsidRDefault="004B6313" w:rsidP="004B6313">
      <w:pPr>
        <w:autoSpaceDE w:val="0"/>
        <w:autoSpaceDN w:val="0"/>
        <w:adjustRightInd w:val="0"/>
        <w:spacing w:after="0" w:line="360" w:lineRule="auto"/>
        <w:jc w:val="both"/>
        <w:rPr>
          <w:rFonts w:ascii="Arial" w:hAnsi="Arial" w:cs="Arial"/>
          <w:b/>
          <w:color w:val="000000"/>
          <w:sz w:val="26"/>
          <w:szCs w:val="26"/>
          <w:u w:val="single"/>
        </w:rPr>
      </w:pPr>
      <w:r w:rsidRPr="00FA1D54">
        <w:rPr>
          <w:rFonts w:ascii="Arial" w:hAnsi="Arial" w:cs="Arial"/>
          <w:b/>
          <w:color w:val="000000"/>
          <w:sz w:val="26"/>
          <w:szCs w:val="26"/>
          <w:u w:val="single"/>
        </w:rPr>
        <w:t>APPEARANCES</w:t>
      </w:r>
    </w:p>
    <w:p w14:paraId="66F9B9A0" w14:textId="77777777" w:rsidR="004B6313" w:rsidRPr="00FA1D54" w:rsidRDefault="004B6313" w:rsidP="004B6313">
      <w:pPr>
        <w:autoSpaceDE w:val="0"/>
        <w:autoSpaceDN w:val="0"/>
        <w:adjustRightInd w:val="0"/>
        <w:spacing w:after="0" w:line="360" w:lineRule="auto"/>
        <w:jc w:val="both"/>
        <w:rPr>
          <w:rFonts w:ascii="Arial" w:hAnsi="Arial" w:cs="Arial"/>
          <w:color w:val="000000"/>
          <w:sz w:val="26"/>
          <w:szCs w:val="26"/>
        </w:rPr>
      </w:pPr>
    </w:p>
    <w:p w14:paraId="15531ED9" w14:textId="418CB231" w:rsidR="004B6313" w:rsidRPr="00FA1D54" w:rsidRDefault="004B6313" w:rsidP="004B6313">
      <w:pPr>
        <w:spacing w:after="0" w:line="360" w:lineRule="auto"/>
        <w:jc w:val="both"/>
        <w:rPr>
          <w:rFonts w:ascii="Arial" w:eastAsia="Times New Roman" w:hAnsi="Arial" w:cs="Arial"/>
          <w:b/>
          <w:bCs/>
          <w:sz w:val="26"/>
          <w:szCs w:val="26"/>
        </w:rPr>
      </w:pPr>
      <w:r w:rsidRPr="00FA1D54">
        <w:rPr>
          <w:rFonts w:ascii="Arial" w:eastAsia="Times New Roman" w:hAnsi="Arial" w:cs="Arial"/>
          <w:b/>
          <w:sz w:val="26"/>
          <w:szCs w:val="26"/>
        </w:rPr>
        <w:t>DATE OF HEARING</w:t>
      </w:r>
      <w:r w:rsidRPr="00FA1D54">
        <w:rPr>
          <w:rFonts w:ascii="Arial" w:eastAsia="Times New Roman" w:hAnsi="Arial" w:cs="Arial"/>
          <w:b/>
          <w:sz w:val="26"/>
          <w:szCs w:val="26"/>
        </w:rPr>
        <w:tab/>
      </w:r>
      <w:r w:rsidRPr="00FA1D54">
        <w:rPr>
          <w:rFonts w:ascii="Arial" w:eastAsia="Times New Roman" w:hAnsi="Arial" w:cs="Arial"/>
          <w:b/>
          <w:sz w:val="26"/>
          <w:szCs w:val="26"/>
        </w:rPr>
        <w:tab/>
      </w:r>
      <w:r w:rsidRPr="00FA1D54">
        <w:rPr>
          <w:rFonts w:ascii="Arial" w:eastAsia="Times New Roman" w:hAnsi="Arial" w:cs="Arial"/>
          <w:b/>
          <w:sz w:val="26"/>
          <w:szCs w:val="26"/>
        </w:rPr>
        <w:tab/>
      </w:r>
      <w:r w:rsidRPr="00FA1D54">
        <w:rPr>
          <w:rFonts w:ascii="Arial" w:eastAsia="Times New Roman" w:hAnsi="Arial" w:cs="Arial"/>
          <w:b/>
          <w:sz w:val="26"/>
          <w:szCs w:val="26"/>
        </w:rPr>
        <w:tab/>
      </w:r>
      <w:r w:rsidRPr="00FA1D54">
        <w:rPr>
          <w:rFonts w:ascii="Arial" w:eastAsia="Times New Roman" w:hAnsi="Arial" w:cs="Arial"/>
          <w:b/>
          <w:bCs/>
          <w:sz w:val="26"/>
          <w:szCs w:val="26"/>
        </w:rPr>
        <w:t xml:space="preserve">: </w:t>
      </w:r>
      <w:r w:rsidR="00183604">
        <w:rPr>
          <w:rFonts w:ascii="Arial" w:eastAsia="Times New Roman" w:hAnsi="Arial" w:cs="Arial"/>
          <w:b/>
          <w:bCs/>
          <w:sz w:val="26"/>
          <w:szCs w:val="26"/>
        </w:rPr>
        <w:t>17</w:t>
      </w:r>
      <w:r>
        <w:rPr>
          <w:rFonts w:ascii="Arial" w:eastAsia="Times New Roman" w:hAnsi="Arial" w:cs="Arial"/>
          <w:b/>
          <w:bCs/>
          <w:sz w:val="26"/>
          <w:szCs w:val="26"/>
        </w:rPr>
        <w:t xml:space="preserve"> MA</w:t>
      </w:r>
      <w:r w:rsidR="00183604">
        <w:rPr>
          <w:rFonts w:ascii="Arial" w:eastAsia="Times New Roman" w:hAnsi="Arial" w:cs="Arial"/>
          <w:b/>
          <w:bCs/>
          <w:sz w:val="26"/>
          <w:szCs w:val="26"/>
        </w:rPr>
        <w:t>Y</w:t>
      </w:r>
      <w:r>
        <w:rPr>
          <w:rFonts w:ascii="Arial" w:eastAsia="Times New Roman" w:hAnsi="Arial" w:cs="Arial"/>
          <w:b/>
          <w:bCs/>
          <w:sz w:val="26"/>
          <w:szCs w:val="26"/>
        </w:rPr>
        <w:t xml:space="preserve"> 2024</w:t>
      </w:r>
      <w:r w:rsidRPr="00FA1D54">
        <w:rPr>
          <w:rFonts w:ascii="Arial" w:eastAsia="Times New Roman" w:hAnsi="Arial" w:cs="Arial"/>
          <w:b/>
          <w:bCs/>
          <w:sz w:val="26"/>
          <w:szCs w:val="26"/>
        </w:rPr>
        <w:tab/>
      </w:r>
    </w:p>
    <w:p w14:paraId="30D317A4" w14:textId="5341C6D8" w:rsidR="004B6313" w:rsidRPr="00FA1D54" w:rsidRDefault="004B6313" w:rsidP="004B6313">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JUDGMENT RESERVED</w:t>
      </w:r>
      <w:r w:rsidRPr="00FA1D54">
        <w:rPr>
          <w:rFonts w:ascii="Arial" w:eastAsia="Times New Roman" w:hAnsi="Arial" w:cs="Arial"/>
          <w:b/>
          <w:bCs/>
          <w:sz w:val="26"/>
          <w:szCs w:val="26"/>
        </w:rPr>
        <w:tab/>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sidR="00183604">
        <w:rPr>
          <w:rFonts w:ascii="Arial" w:eastAsia="Times New Roman" w:hAnsi="Arial" w:cs="Arial"/>
          <w:b/>
          <w:bCs/>
          <w:sz w:val="26"/>
          <w:szCs w:val="26"/>
        </w:rPr>
        <w:t>17 MAY</w:t>
      </w:r>
      <w:r>
        <w:rPr>
          <w:rFonts w:ascii="Arial" w:eastAsia="Times New Roman" w:hAnsi="Arial" w:cs="Arial"/>
          <w:b/>
          <w:bCs/>
          <w:sz w:val="26"/>
          <w:szCs w:val="26"/>
        </w:rPr>
        <w:t xml:space="preserve"> 2024</w:t>
      </w:r>
    </w:p>
    <w:p w14:paraId="2D3EB9E2" w14:textId="5BD314D3" w:rsidR="004B6313" w:rsidRPr="00FA1D54" w:rsidRDefault="004B6313" w:rsidP="004B6313">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DATE OF JUDGMENT</w:t>
      </w:r>
      <w:r w:rsidRPr="00FA1D54">
        <w:rPr>
          <w:rFonts w:ascii="Arial" w:eastAsia="Times New Roman" w:hAnsi="Arial" w:cs="Arial"/>
          <w:b/>
          <w:bCs/>
          <w:sz w:val="26"/>
          <w:szCs w:val="26"/>
        </w:rPr>
        <w:tab/>
      </w:r>
      <w:r w:rsidRPr="00FA1D54">
        <w:rPr>
          <w:rFonts w:ascii="Arial" w:eastAsia="Times New Roman" w:hAnsi="Arial" w:cs="Arial"/>
          <w:b/>
          <w:bCs/>
          <w:sz w:val="26"/>
          <w:szCs w:val="26"/>
        </w:rPr>
        <w:tab/>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sidR="00BD194D">
        <w:rPr>
          <w:rFonts w:ascii="Arial" w:eastAsia="Times New Roman" w:hAnsi="Arial" w:cs="Arial"/>
          <w:b/>
          <w:bCs/>
          <w:sz w:val="26"/>
          <w:szCs w:val="26"/>
        </w:rPr>
        <w:t>0</w:t>
      </w:r>
      <w:r w:rsidR="00877FAF">
        <w:rPr>
          <w:rFonts w:ascii="Arial" w:eastAsia="Times New Roman" w:hAnsi="Arial" w:cs="Arial"/>
          <w:b/>
          <w:bCs/>
          <w:sz w:val="26"/>
          <w:szCs w:val="26"/>
        </w:rPr>
        <w:t>6</w:t>
      </w:r>
      <w:r w:rsidR="00BD194D">
        <w:rPr>
          <w:rFonts w:ascii="Arial" w:eastAsia="Times New Roman" w:hAnsi="Arial" w:cs="Arial"/>
          <w:b/>
          <w:bCs/>
          <w:sz w:val="26"/>
          <w:szCs w:val="26"/>
        </w:rPr>
        <w:t xml:space="preserve"> JUNE</w:t>
      </w:r>
      <w:r>
        <w:rPr>
          <w:rFonts w:ascii="Arial" w:eastAsia="Times New Roman" w:hAnsi="Arial" w:cs="Arial"/>
          <w:b/>
          <w:bCs/>
          <w:sz w:val="26"/>
          <w:szCs w:val="26"/>
        </w:rPr>
        <w:t xml:space="preserve"> 2024</w:t>
      </w:r>
      <w:r w:rsidRPr="00FA1D54">
        <w:rPr>
          <w:rFonts w:ascii="Arial" w:eastAsia="Times New Roman" w:hAnsi="Arial" w:cs="Arial"/>
          <w:b/>
          <w:bCs/>
          <w:sz w:val="26"/>
          <w:szCs w:val="26"/>
        </w:rPr>
        <w:t xml:space="preserve">       </w:t>
      </w:r>
    </w:p>
    <w:p w14:paraId="5A6DDBA2" w14:textId="77777777" w:rsidR="004B6313" w:rsidRPr="00FA1D54" w:rsidRDefault="004B6313" w:rsidP="004B6313">
      <w:pPr>
        <w:spacing w:after="0" w:line="360" w:lineRule="auto"/>
        <w:jc w:val="both"/>
        <w:rPr>
          <w:rFonts w:ascii="Arial" w:eastAsia="Times New Roman" w:hAnsi="Arial" w:cs="Arial"/>
          <w:b/>
          <w:bCs/>
          <w:sz w:val="26"/>
          <w:szCs w:val="26"/>
        </w:rPr>
      </w:pPr>
    </w:p>
    <w:p w14:paraId="438FA919" w14:textId="032AA76F" w:rsidR="004B6313" w:rsidRDefault="004B6313" w:rsidP="004B6313">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 xml:space="preserve">COUNSEL FOR THE PLAINTIFF </w:t>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Pr>
          <w:rFonts w:ascii="Arial" w:eastAsia="Times New Roman" w:hAnsi="Arial" w:cs="Arial"/>
          <w:b/>
          <w:bCs/>
          <w:sz w:val="26"/>
          <w:szCs w:val="26"/>
        </w:rPr>
        <w:t xml:space="preserve">ADV </w:t>
      </w:r>
      <w:r w:rsidR="00183604">
        <w:rPr>
          <w:rFonts w:ascii="Arial" w:eastAsia="Times New Roman" w:hAnsi="Arial" w:cs="Arial"/>
          <w:b/>
          <w:bCs/>
          <w:sz w:val="26"/>
          <w:szCs w:val="26"/>
        </w:rPr>
        <w:t>D H WIJNBEEK</w:t>
      </w:r>
    </w:p>
    <w:p w14:paraId="7956F65A" w14:textId="70797F85" w:rsidR="004B6313" w:rsidRPr="002C515A" w:rsidRDefault="004B6313" w:rsidP="004B6313">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 xml:space="preserve">COUNSEL FOR THE DEFENDANT </w:t>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Pr>
          <w:rFonts w:ascii="Arial" w:eastAsia="Times New Roman" w:hAnsi="Arial" w:cs="Arial"/>
          <w:b/>
          <w:bCs/>
          <w:sz w:val="26"/>
          <w:szCs w:val="26"/>
        </w:rPr>
        <w:t xml:space="preserve">ADV </w:t>
      </w:r>
      <w:r w:rsidR="00183604">
        <w:rPr>
          <w:rFonts w:ascii="Arial" w:eastAsia="Times New Roman" w:hAnsi="Arial" w:cs="Arial"/>
          <w:b/>
          <w:bCs/>
          <w:sz w:val="26"/>
          <w:szCs w:val="26"/>
        </w:rPr>
        <w:t>K NONDWANGU</w:t>
      </w:r>
    </w:p>
    <w:p w14:paraId="77A0B869" w14:textId="77777777" w:rsidR="00264EF6" w:rsidRDefault="00264EF6" w:rsidP="00952FAD">
      <w:pPr>
        <w:spacing w:line="360" w:lineRule="auto"/>
        <w:jc w:val="both"/>
        <w:rPr>
          <w:rFonts w:ascii="Arial" w:eastAsia="Times New Roman" w:hAnsi="Arial" w:cs="Arial"/>
          <w:sz w:val="28"/>
          <w:szCs w:val="28"/>
          <w:lang w:eastAsia="en-GB"/>
        </w:rPr>
      </w:pPr>
    </w:p>
    <w:p w14:paraId="6BCF7D0B" w14:textId="62A96884" w:rsidR="0093400B" w:rsidRDefault="0008330E" w:rsidP="0008330E">
      <w:pPr>
        <w:spacing w:line="360" w:lineRule="auto"/>
        <w:jc w:val="both"/>
        <w:rPr>
          <w:rFonts w:ascii="Arial" w:eastAsia="Times New Roman" w:hAnsi="Arial" w:cs="Arial"/>
          <w:sz w:val="28"/>
          <w:szCs w:val="28"/>
          <w:lang w:eastAsia="en-GB"/>
        </w:rPr>
      </w:pPr>
      <w:r>
        <w:rPr>
          <w:rFonts w:ascii="Arial" w:eastAsia="Times New Roman" w:hAnsi="Arial" w:cs="Arial"/>
          <w:sz w:val="28"/>
          <w:szCs w:val="28"/>
          <w:lang w:eastAsia="en-GB"/>
        </w:rPr>
        <w:tab/>
      </w:r>
      <w:r w:rsidR="00264EF6">
        <w:rPr>
          <w:rFonts w:ascii="Arial" w:eastAsia="Times New Roman" w:hAnsi="Arial" w:cs="Arial"/>
          <w:sz w:val="28"/>
          <w:szCs w:val="28"/>
          <w:lang w:eastAsia="en-GB"/>
        </w:rPr>
        <w:t xml:space="preserve">   </w:t>
      </w:r>
    </w:p>
    <w:p w14:paraId="11FCF43A" w14:textId="4FC20E3F" w:rsidR="004A5A3E" w:rsidRPr="0093400B" w:rsidRDefault="0008330E" w:rsidP="0008330E">
      <w:pPr>
        <w:spacing w:line="360" w:lineRule="auto"/>
        <w:jc w:val="both"/>
        <w:rPr>
          <w:rFonts w:ascii="Arial" w:eastAsia="Times New Roman" w:hAnsi="Arial" w:cs="Arial"/>
          <w:sz w:val="28"/>
          <w:szCs w:val="28"/>
          <w:lang w:eastAsia="en-GB"/>
        </w:rPr>
      </w:pPr>
      <w:r w:rsidRPr="0093400B">
        <w:rPr>
          <w:rFonts w:ascii="Arial" w:eastAsia="Times New Roman" w:hAnsi="Arial" w:cs="Arial"/>
          <w:sz w:val="28"/>
          <w:szCs w:val="28"/>
          <w:lang w:eastAsia="en-GB"/>
        </w:rPr>
        <w:tab/>
      </w:r>
      <w:r w:rsidR="0093400B">
        <w:rPr>
          <w:rFonts w:ascii="Arial" w:eastAsia="Times New Roman" w:hAnsi="Arial" w:cs="Arial"/>
          <w:sz w:val="28"/>
          <w:szCs w:val="28"/>
          <w:lang w:eastAsia="en-GB"/>
        </w:rPr>
        <w:t xml:space="preserve">      </w:t>
      </w:r>
      <w:r w:rsidR="004A5A3E" w:rsidRPr="0093400B">
        <w:rPr>
          <w:rFonts w:ascii="Arial" w:eastAsia="Times New Roman" w:hAnsi="Arial" w:cs="Arial"/>
          <w:sz w:val="28"/>
          <w:szCs w:val="28"/>
          <w:lang w:eastAsia="en-GB"/>
        </w:rPr>
        <w:t xml:space="preserve"> </w:t>
      </w:r>
    </w:p>
    <w:p w14:paraId="210014EE" w14:textId="77777777" w:rsidR="00CC37DF" w:rsidRPr="0093400B" w:rsidRDefault="00CC37DF" w:rsidP="00E37D4C">
      <w:pPr>
        <w:spacing w:line="360" w:lineRule="auto"/>
        <w:rPr>
          <w:rFonts w:ascii="Arial" w:eastAsia="Calibri" w:hAnsi="Arial" w:cs="Arial"/>
          <w:b/>
          <w:sz w:val="28"/>
          <w:szCs w:val="28"/>
        </w:rPr>
      </w:pPr>
    </w:p>
    <w:p w14:paraId="1B2FBEDD" w14:textId="77777777" w:rsidR="00CC37DF" w:rsidRPr="0093400B" w:rsidRDefault="00CC37DF" w:rsidP="00E37D4C">
      <w:pPr>
        <w:spacing w:line="360" w:lineRule="auto"/>
        <w:rPr>
          <w:rFonts w:ascii="Arial" w:eastAsia="Calibri" w:hAnsi="Arial" w:cs="Arial"/>
          <w:b/>
          <w:sz w:val="28"/>
          <w:szCs w:val="28"/>
        </w:rPr>
      </w:pPr>
    </w:p>
    <w:sectPr w:rsidR="00CC37DF" w:rsidRPr="0093400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1F13C" w14:textId="77777777" w:rsidR="00095DE2" w:rsidRDefault="00095DE2" w:rsidP="001E073E">
      <w:pPr>
        <w:spacing w:after="0" w:line="240" w:lineRule="auto"/>
      </w:pPr>
      <w:r>
        <w:separator/>
      </w:r>
    </w:p>
  </w:endnote>
  <w:endnote w:type="continuationSeparator" w:id="0">
    <w:p w14:paraId="0E26EB0F" w14:textId="77777777" w:rsidR="00095DE2" w:rsidRDefault="00095DE2" w:rsidP="001E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71899"/>
      <w:docPartObj>
        <w:docPartGallery w:val="Page Numbers (Bottom of Page)"/>
        <w:docPartUnique/>
      </w:docPartObj>
    </w:sdtPr>
    <w:sdtEndPr>
      <w:rPr>
        <w:noProof/>
      </w:rPr>
    </w:sdtEndPr>
    <w:sdtContent>
      <w:p w14:paraId="01920719" w14:textId="1A95578F" w:rsidR="00952FAD" w:rsidRDefault="00952FAD">
        <w:pPr>
          <w:pStyle w:val="Footer"/>
          <w:jc w:val="center"/>
        </w:pPr>
        <w:r>
          <w:fldChar w:fldCharType="begin"/>
        </w:r>
        <w:r>
          <w:instrText xml:space="preserve"> PAGE   \* MERGEFORMAT </w:instrText>
        </w:r>
        <w:r>
          <w:fldChar w:fldCharType="separate"/>
        </w:r>
        <w:r w:rsidR="0008330E">
          <w:rPr>
            <w:noProof/>
          </w:rPr>
          <w:t>9</w:t>
        </w:r>
        <w:r>
          <w:rPr>
            <w:noProof/>
          </w:rPr>
          <w:fldChar w:fldCharType="end"/>
        </w:r>
      </w:p>
    </w:sdtContent>
  </w:sdt>
  <w:p w14:paraId="5A26E834" w14:textId="77777777" w:rsidR="00952FAD" w:rsidRDefault="00952F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A9970" w14:textId="77777777" w:rsidR="00095DE2" w:rsidRDefault="00095DE2" w:rsidP="001E073E">
      <w:pPr>
        <w:spacing w:after="0" w:line="240" w:lineRule="auto"/>
      </w:pPr>
      <w:r>
        <w:separator/>
      </w:r>
    </w:p>
  </w:footnote>
  <w:footnote w:type="continuationSeparator" w:id="0">
    <w:p w14:paraId="109E1854" w14:textId="77777777" w:rsidR="00095DE2" w:rsidRDefault="00095DE2" w:rsidP="001E0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pStyle w:val="Level2"/>
      <w:lvlText w:val="%1.%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73BA0B"/>
    <w:multiLevelType w:val="hybridMultilevel"/>
    <w:tmpl w:val="F12627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520D03"/>
    <w:multiLevelType w:val="hybridMultilevel"/>
    <w:tmpl w:val="8FA41450"/>
    <w:lvl w:ilvl="0" w:tplc="F402B9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61298D"/>
    <w:multiLevelType w:val="hybridMultilevel"/>
    <w:tmpl w:val="72908388"/>
    <w:lvl w:ilvl="0" w:tplc="8370085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70232A9"/>
    <w:multiLevelType w:val="hybridMultilevel"/>
    <w:tmpl w:val="BC1AD8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019F6B4"/>
    <w:multiLevelType w:val="hybridMultilevel"/>
    <w:tmpl w:val="6D91D8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5473C0"/>
    <w:multiLevelType w:val="hybridMultilevel"/>
    <w:tmpl w:val="D02697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9F53FC"/>
    <w:multiLevelType w:val="hybridMultilevel"/>
    <w:tmpl w:val="155A9C9C"/>
    <w:lvl w:ilvl="0" w:tplc="707A5144">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02D47DC"/>
    <w:multiLevelType w:val="hybridMultilevel"/>
    <w:tmpl w:val="CCE28606"/>
    <w:lvl w:ilvl="0" w:tplc="17428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1E10B9C"/>
    <w:multiLevelType w:val="hybridMultilevel"/>
    <w:tmpl w:val="52B0B472"/>
    <w:lvl w:ilvl="0" w:tplc="659456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4600F75"/>
    <w:multiLevelType w:val="hybridMultilevel"/>
    <w:tmpl w:val="E34DAA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A5A7F16"/>
    <w:multiLevelType w:val="hybridMultilevel"/>
    <w:tmpl w:val="7DC0CC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0A554BA"/>
    <w:multiLevelType w:val="hybridMultilevel"/>
    <w:tmpl w:val="6BCCCDAC"/>
    <w:lvl w:ilvl="0" w:tplc="2FFC5F02">
      <w:numFmt w:val="bullet"/>
      <w:lvlText w:val="-"/>
      <w:lvlJc w:val="left"/>
      <w:pPr>
        <w:ind w:left="1152" w:hanging="360"/>
      </w:pPr>
      <w:rPr>
        <w:rFonts w:ascii="Tahoma" w:eastAsia="Times New Roman" w:hAnsi="Tahoma" w:cs="Tahoma"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13" w15:restartNumberingAfterBreak="0">
    <w:nsid w:val="66021ECA"/>
    <w:multiLevelType w:val="hybridMultilevel"/>
    <w:tmpl w:val="440AC7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9D25F2D"/>
    <w:multiLevelType w:val="hybridMultilevel"/>
    <w:tmpl w:val="218C822C"/>
    <w:lvl w:ilvl="0" w:tplc="EE94428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7A37AE7"/>
    <w:multiLevelType w:val="hybridMultilevel"/>
    <w:tmpl w:val="CA34B416"/>
    <w:lvl w:ilvl="0" w:tplc="581CA2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C848CF"/>
    <w:multiLevelType w:val="hybridMultilevel"/>
    <w:tmpl w:val="143E1172"/>
    <w:lvl w:ilvl="0" w:tplc="B86EDD88">
      <w:start w:val="1"/>
      <w:numFmt w:val="decimal"/>
      <w:lvlText w:val="[%1]"/>
      <w:lvlJc w:val="left"/>
      <w:pPr>
        <w:ind w:left="502" w:hanging="360"/>
      </w:pPr>
      <w:rPr>
        <w:rFonts w:cs="Times New Roman" w:hint="default"/>
        <w:b w:val="0"/>
        <w:i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3"/>
  </w:num>
  <w:num w:numId="2">
    <w:abstractNumId w:val="2"/>
  </w:num>
  <w:num w:numId="3">
    <w:abstractNumId w:val="16"/>
  </w:num>
  <w:num w:numId="4">
    <w:abstractNumId w:val="7"/>
  </w:num>
  <w:num w:numId="5">
    <w:abstractNumId w:val="8"/>
  </w:num>
  <w:num w:numId="6">
    <w:abstractNumId w:val="14"/>
  </w:num>
  <w:num w:numId="7">
    <w:abstractNumId w:val="5"/>
  </w:num>
  <w:num w:numId="8">
    <w:abstractNumId w:val="10"/>
  </w:num>
  <w:num w:numId="9">
    <w:abstractNumId w:val="6"/>
  </w:num>
  <w:num w:numId="10">
    <w:abstractNumId w:val="1"/>
  </w:num>
  <w:num w:numId="11">
    <w:abstractNumId w:val="4"/>
  </w:num>
  <w:num w:numId="12">
    <w:abstractNumId w:val="11"/>
  </w:num>
  <w:num w:numId="13">
    <w:abstractNumId w:val="15"/>
  </w:num>
  <w:num w:numId="14">
    <w:abstractNumId w:val="3"/>
  </w:num>
  <w:num w:numId="15">
    <w:abstractNumId w:val="0"/>
    <w:lvlOverride w:ilvl="0">
      <w:lvl w:ilvl="0">
        <w:start w:val="1"/>
        <w:numFmt w:val="decimal"/>
        <w:pStyle w:val="Level1"/>
        <w:lvlText w:val="%1."/>
        <w:lvlJc w:val="left"/>
        <w:pPr>
          <w:ind w:left="2160" w:hanging="360"/>
        </w:pPr>
      </w:lvl>
    </w:lvlOverride>
    <w:lvlOverride w:ilvl="1">
      <w:lvl w:ilvl="1">
        <w:start w:val="1"/>
        <w:numFmt w:val="decimal"/>
        <w:pStyle w:val="Level2"/>
        <w:lvlText w:val="%1.%2."/>
        <w:lvlJc w:val="left"/>
        <w:pPr>
          <w:ind w:left="2592" w:hanging="432"/>
        </w:pPr>
      </w:lvl>
    </w:lvlOverride>
    <w:lvlOverride w:ilvl="2">
      <w:lvl w:ilvl="2">
        <w:start w:val="1"/>
        <w:numFmt w:val="decimal"/>
        <w:lvlText w:val="%1.%2.%3."/>
        <w:lvlJc w:val="left"/>
        <w:pPr>
          <w:ind w:left="3024" w:hanging="504"/>
        </w:pPr>
      </w:lvl>
    </w:lvlOverride>
    <w:lvlOverride w:ilvl="3">
      <w:lvl w:ilvl="3">
        <w:start w:val="1"/>
        <w:numFmt w:val="decimal"/>
        <w:lvlText w:val="%1.%2.%3.%4."/>
        <w:lvlJc w:val="left"/>
        <w:pPr>
          <w:ind w:left="3528" w:hanging="648"/>
        </w:pPr>
      </w:lvl>
    </w:lvlOverride>
    <w:lvlOverride w:ilvl="4">
      <w:lvl w:ilvl="4">
        <w:start w:val="1"/>
        <w:numFmt w:val="decimal"/>
        <w:lvlText w:val="%1.%2.%3.%4.%5."/>
        <w:lvlJc w:val="left"/>
        <w:pPr>
          <w:ind w:left="4032" w:hanging="792"/>
        </w:pPr>
      </w:lvl>
    </w:lvlOverride>
    <w:lvlOverride w:ilvl="5">
      <w:lvl w:ilvl="5">
        <w:start w:val="1"/>
        <w:numFmt w:val="decimal"/>
        <w:lvlText w:val="%1.%2.%3.%4.%5.%6."/>
        <w:lvlJc w:val="left"/>
        <w:pPr>
          <w:ind w:left="4536" w:hanging="936"/>
        </w:pPr>
      </w:lvl>
    </w:lvlOverride>
    <w:lvlOverride w:ilvl="6">
      <w:lvl w:ilvl="6">
        <w:start w:val="1"/>
        <w:numFmt w:val="decimal"/>
        <w:lvlText w:val="%1.%2.%3.%4.%5.%6.%7."/>
        <w:lvlJc w:val="left"/>
        <w:pPr>
          <w:ind w:left="5040" w:hanging="1080"/>
        </w:pPr>
      </w:lvl>
    </w:lvlOverride>
    <w:lvlOverride w:ilvl="7">
      <w:lvl w:ilvl="7">
        <w:start w:val="1"/>
        <w:numFmt w:val="decimal"/>
        <w:lvlText w:val="%1.%2.%3.%4.%5.%6.%7.%8."/>
        <w:lvlJc w:val="left"/>
        <w:pPr>
          <w:ind w:left="5544" w:hanging="1224"/>
        </w:pPr>
      </w:lvl>
    </w:lvlOverride>
    <w:lvlOverride w:ilvl="8">
      <w:lvl w:ilvl="8">
        <w:start w:val="1"/>
        <w:numFmt w:val="decimal"/>
        <w:lvlText w:val="%1.%2.%3.%4.%5.%6.%7.%8.%9."/>
        <w:lvlJc w:val="left"/>
        <w:pPr>
          <w:ind w:left="6120" w:hanging="1440"/>
        </w:pPr>
      </w:lvl>
    </w:lvlOverride>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0D1438-9F9D-4871-9727-5E4F43C49DBC}"/>
    <w:docVar w:name="dgnword-eventsink" w:val="130931504"/>
  </w:docVars>
  <w:rsids>
    <w:rsidRoot w:val="008E2B20"/>
    <w:rsid w:val="00005646"/>
    <w:rsid w:val="000059B5"/>
    <w:rsid w:val="00007869"/>
    <w:rsid w:val="00012FBC"/>
    <w:rsid w:val="00031A07"/>
    <w:rsid w:val="00031AAE"/>
    <w:rsid w:val="0004088E"/>
    <w:rsid w:val="0004101D"/>
    <w:rsid w:val="000429E2"/>
    <w:rsid w:val="00047E2F"/>
    <w:rsid w:val="00051BAB"/>
    <w:rsid w:val="00057AFC"/>
    <w:rsid w:val="00061D9E"/>
    <w:rsid w:val="00062A06"/>
    <w:rsid w:val="0006313C"/>
    <w:rsid w:val="0008330E"/>
    <w:rsid w:val="00084015"/>
    <w:rsid w:val="00095DE2"/>
    <w:rsid w:val="000A1C43"/>
    <w:rsid w:val="000A76D0"/>
    <w:rsid w:val="000B1535"/>
    <w:rsid w:val="000B7DA8"/>
    <w:rsid w:val="000D27E8"/>
    <w:rsid w:val="000D4F71"/>
    <w:rsid w:val="000D5301"/>
    <w:rsid w:val="000D60FB"/>
    <w:rsid w:val="000D6B81"/>
    <w:rsid w:val="000D7D9B"/>
    <w:rsid w:val="00102FF6"/>
    <w:rsid w:val="001047EB"/>
    <w:rsid w:val="00106603"/>
    <w:rsid w:val="00106F7A"/>
    <w:rsid w:val="00110350"/>
    <w:rsid w:val="001277EF"/>
    <w:rsid w:val="00132A25"/>
    <w:rsid w:val="00132C7B"/>
    <w:rsid w:val="00132E5F"/>
    <w:rsid w:val="00134978"/>
    <w:rsid w:val="00142A18"/>
    <w:rsid w:val="00143E62"/>
    <w:rsid w:val="001552C7"/>
    <w:rsid w:val="001575C1"/>
    <w:rsid w:val="001809AD"/>
    <w:rsid w:val="00183604"/>
    <w:rsid w:val="00187253"/>
    <w:rsid w:val="001935C1"/>
    <w:rsid w:val="00195F22"/>
    <w:rsid w:val="001A013D"/>
    <w:rsid w:val="001A3F3C"/>
    <w:rsid w:val="001A51FC"/>
    <w:rsid w:val="001A59F9"/>
    <w:rsid w:val="001A75ED"/>
    <w:rsid w:val="001B0CAD"/>
    <w:rsid w:val="001B35D3"/>
    <w:rsid w:val="001B5F30"/>
    <w:rsid w:val="001C6FA0"/>
    <w:rsid w:val="001D1FC9"/>
    <w:rsid w:val="001E073E"/>
    <w:rsid w:val="001E1D35"/>
    <w:rsid w:val="00204C87"/>
    <w:rsid w:val="00205F3C"/>
    <w:rsid w:val="002313D3"/>
    <w:rsid w:val="00232852"/>
    <w:rsid w:val="00253218"/>
    <w:rsid w:val="00253D88"/>
    <w:rsid w:val="00254088"/>
    <w:rsid w:val="00263AA8"/>
    <w:rsid w:val="00264EF6"/>
    <w:rsid w:val="00266546"/>
    <w:rsid w:val="00267B3E"/>
    <w:rsid w:val="002711F8"/>
    <w:rsid w:val="002717D3"/>
    <w:rsid w:val="00280A3F"/>
    <w:rsid w:val="002828EE"/>
    <w:rsid w:val="00291024"/>
    <w:rsid w:val="002916EE"/>
    <w:rsid w:val="002918AA"/>
    <w:rsid w:val="00292489"/>
    <w:rsid w:val="002926BD"/>
    <w:rsid w:val="00293FE6"/>
    <w:rsid w:val="002A2056"/>
    <w:rsid w:val="002A7B82"/>
    <w:rsid w:val="002B67E4"/>
    <w:rsid w:val="002B72E2"/>
    <w:rsid w:val="002D1DCA"/>
    <w:rsid w:val="002D387B"/>
    <w:rsid w:val="002E1456"/>
    <w:rsid w:val="002E2CC2"/>
    <w:rsid w:val="002E7739"/>
    <w:rsid w:val="002F3694"/>
    <w:rsid w:val="002F4A3C"/>
    <w:rsid w:val="002F7F91"/>
    <w:rsid w:val="00302877"/>
    <w:rsid w:val="00305861"/>
    <w:rsid w:val="00307E04"/>
    <w:rsid w:val="00311C3F"/>
    <w:rsid w:val="003141B2"/>
    <w:rsid w:val="00341334"/>
    <w:rsid w:val="00350AA3"/>
    <w:rsid w:val="00351C0F"/>
    <w:rsid w:val="003556A2"/>
    <w:rsid w:val="0036416D"/>
    <w:rsid w:val="00364D2D"/>
    <w:rsid w:val="0037718D"/>
    <w:rsid w:val="00384614"/>
    <w:rsid w:val="00384E7A"/>
    <w:rsid w:val="00386B33"/>
    <w:rsid w:val="0039027E"/>
    <w:rsid w:val="00391C8F"/>
    <w:rsid w:val="00394F19"/>
    <w:rsid w:val="003965B9"/>
    <w:rsid w:val="0039678A"/>
    <w:rsid w:val="003A63A8"/>
    <w:rsid w:val="003A7036"/>
    <w:rsid w:val="003B160D"/>
    <w:rsid w:val="003B2A26"/>
    <w:rsid w:val="003B64A2"/>
    <w:rsid w:val="003C1A36"/>
    <w:rsid w:val="003C4692"/>
    <w:rsid w:val="003C6007"/>
    <w:rsid w:val="003C7A5B"/>
    <w:rsid w:val="003D1D3E"/>
    <w:rsid w:val="003E3B2F"/>
    <w:rsid w:val="003E3B97"/>
    <w:rsid w:val="003E6435"/>
    <w:rsid w:val="003F3350"/>
    <w:rsid w:val="004121E2"/>
    <w:rsid w:val="004132A8"/>
    <w:rsid w:val="00415462"/>
    <w:rsid w:val="004220DD"/>
    <w:rsid w:val="004250ED"/>
    <w:rsid w:val="00431661"/>
    <w:rsid w:val="00431DB0"/>
    <w:rsid w:val="00435384"/>
    <w:rsid w:val="00464408"/>
    <w:rsid w:val="004729C5"/>
    <w:rsid w:val="00485362"/>
    <w:rsid w:val="004914BF"/>
    <w:rsid w:val="00494CE5"/>
    <w:rsid w:val="00494DE1"/>
    <w:rsid w:val="004A3D2B"/>
    <w:rsid w:val="004A5A3E"/>
    <w:rsid w:val="004B1F02"/>
    <w:rsid w:val="004B24D8"/>
    <w:rsid w:val="004B5F2F"/>
    <w:rsid w:val="004B6313"/>
    <w:rsid w:val="004D7794"/>
    <w:rsid w:val="004F0826"/>
    <w:rsid w:val="004F2962"/>
    <w:rsid w:val="004F2EC8"/>
    <w:rsid w:val="004F4EE7"/>
    <w:rsid w:val="0050707C"/>
    <w:rsid w:val="00511380"/>
    <w:rsid w:val="00514DF2"/>
    <w:rsid w:val="0052329E"/>
    <w:rsid w:val="00526E6A"/>
    <w:rsid w:val="0053216F"/>
    <w:rsid w:val="0054186D"/>
    <w:rsid w:val="00544FB3"/>
    <w:rsid w:val="005625EE"/>
    <w:rsid w:val="00564C7B"/>
    <w:rsid w:val="005658B5"/>
    <w:rsid w:val="0056614F"/>
    <w:rsid w:val="005761D7"/>
    <w:rsid w:val="00583F59"/>
    <w:rsid w:val="005C5F8B"/>
    <w:rsid w:val="005C7318"/>
    <w:rsid w:val="005C76FE"/>
    <w:rsid w:val="005D4225"/>
    <w:rsid w:val="005D6886"/>
    <w:rsid w:val="005D6AF5"/>
    <w:rsid w:val="005F4085"/>
    <w:rsid w:val="005F49A2"/>
    <w:rsid w:val="005F5470"/>
    <w:rsid w:val="005F6372"/>
    <w:rsid w:val="005F6B79"/>
    <w:rsid w:val="005F7E5C"/>
    <w:rsid w:val="00603048"/>
    <w:rsid w:val="006063C4"/>
    <w:rsid w:val="006161E8"/>
    <w:rsid w:val="00621449"/>
    <w:rsid w:val="00640F0B"/>
    <w:rsid w:val="00643534"/>
    <w:rsid w:val="006435AB"/>
    <w:rsid w:val="00643FA5"/>
    <w:rsid w:val="006527F3"/>
    <w:rsid w:val="00655ABA"/>
    <w:rsid w:val="00656DC3"/>
    <w:rsid w:val="00657DE9"/>
    <w:rsid w:val="006713CC"/>
    <w:rsid w:val="00671DDB"/>
    <w:rsid w:val="006869C1"/>
    <w:rsid w:val="00695400"/>
    <w:rsid w:val="006A3D60"/>
    <w:rsid w:val="006C0406"/>
    <w:rsid w:val="006C0879"/>
    <w:rsid w:val="006C4A5D"/>
    <w:rsid w:val="006D4FCA"/>
    <w:rsid w:val="006E2CF1"/>
    <w:rsid w:val="006E39A1"/>
    <w:rsid w:val="006F1636"/>
    <w:rsid w:val="006F78FC"/>
    <w:rsid w:val="00701877"/>
    <w:rsid w:val="00706A54"/>
    <w:rsid w:val="00707901"/>
    <w:rsid w:val="00715182"/>
    <w:rsid w:val="00717BA5"/>
    <w:rsid w:val="00720EA8"/>
    <w:rsid w:val="007269DB"/>
    <w:rsid w:val="00727C81"/>
    <w:rsid w:val="00727DCE"/>
    <w:rsid w:val="007401FB"/>
    <w:rsid w:val="00740E41"/>
    <w:rsid w:val="00747F5F"/>
    <w:rsid w:val="00764909"/>
    <w:rsid w:val="00772E3A"/>
    <w:rsid w:val="00776D16"/>
    <w:rsid w:val="007870A9"/>
    <w:rsid w:val="007912C6"/>
    <w:rsid w:val="00796207"/>
    <w:rsid w:val="007969AD"/>
    <w:rsid w:val="007A0A0A"/>
    <w:rsid w:val="007B0358"/>
    <w:rsid w:val="007B1108"/>
    <w:rsid w:val="007B213E"/>
    <w:rsid w:val="007B3FEB"/>
    <w:rsid w:val="007C0713"/>
    <w:rsid w:val="007D0FDB"/>
    <w:rsid w:val="007D363B"/>
    <w:rsid w:val="007F1589"/>
    <w:rsid w:val="0080449C"/>
    <w:rsid w:val="00812892"/>
    <w:rsid w:val="00812B3E"/>
    <w:rsid w:val="00826D9B"/>
    <w:rsid w:val="00831428"/>
    <w:rsid w:val="008324B3"/>
    <w:rsid w:val="00842D3B"/>
    <w:rsid w:val="00843845"/>
    <w:rsid w:val="008510BD"/>
    <w:rsid w:val="008513A1"/>
    <w:rsid w:val="00854490"/>
    <w:rsid w:val="00860BF9"/>
    <w:rsid w:val="00861C11"/>
    <w:rsid w:val="00862D90"/>
    <w:rsid w:val="00865090"/>
    <w:rsid w:val="008739F7"/>
    <w:rsid w:val="00873DD3"/>
    <w:rsid w:val="008749AB"/>
    <w:rsid w:val="00877FAF"/>
    <w:rsid w:val="00886CF0"/>
    <w:rsid w:val="008919A2"/>
    <w:rsid w:val="008951C4"/>
    <w:rsid w:val="008A1244"/>
    <w:rsid w:val="008A2122"/>
    <w:rsid w:val="008A5C6B"/>
    <w:rsid w:val="008A6427"/>
    <w:rsid w:val="008B0EF6"/>
    <w:rsid w:val="008B5781"/>
    <w:rsid w:val="008B5BE1"/>
    <w:rsid w:val="008C36E1"/>
    <w:rsid w:val="008C5F28"/>
    <w:rsid w:val="008D1261"/>
    <w:rsid w:val="008D1F3D"/>
    <w:rsid w:val="008E2B20"/>
    <w:rsid w:val="008E3F95"/>
    <w:rsid w:val="008E49C7"/>
    <w:rsid w:val="008F4F17"/>
    <w:rsid w:val="0090152E"/>
    <w:rsid w:val="00901945"/>
    <w:rsid w:val="009115E9"/>
    <w:rsid w:val="00913F1B"/>
    <w:rsid w:val="00926F92"/>
    <w:rsid w:val="0093400B"/>
    <w:rsid w:val="00937994"/>
    <w:rsid w:val="00943BFD"/>
    <w:rsid w:val="00944C4B"/>
    <w:rsid w:val="00944CF4"/>
    <w:rsid w:val="00946262"/>
    <w:rsid w:val="00952AB2"/>
    <w:rsid w:val="00952FAD"/>
    <w:rsid w:val="00955731"/>
    <w:rsid w:val="00957837"/>
    <w:rsid w:val="00974CAA"/>
    <w:rsid w:val="009770B5"/>
    <w:rsid w:val="009849FD"/>
    <w:rsid w:val="00996AF6"/>
    <w:rsid w:val="009A2827"/>
    <w:rsid w:val="009A30E2"/>
    <w:rsid w:val="009A46B0"/>
    <w:rsid w:val="009B08B0"/>
    <w:rsid w:val="009B4C31"/>
    <w:rsid w:val="009C0C4A"/>
    <w:rsid w:val="009C37BC"/>
    <w:rsid w:val="009C75E4"/>
    <w:rsid w:val="009D1339"/>
    <w:rsid w:val="009D4CC4"/>
    <w:rsid w:val="009D50B2"/>
    <w:rsid w:val="009D56A0"/>
    <w:rsid w:val="009D77DB"/>
    <w:rsid w:val="009D7C1E"/>
    <w:rsid w:val="009F1F7D"/>
    <w:rsid w:val="009F4784"/>
    <w:rsid w:val="009F571F"/>
    <w:rsid w:val="00A00506"/>
    <w:rsid w:val="00A00BB4"/>
    <w:rsid w:val="00A044C4"/>
    <w:rsid w:val="00A2047A"/>
    <w:rsid w:val="00A23110"/>
    <w:rsid w:val="00A24C20"/>
    <w:rsid w:val="00A27D88"/>
    <w:rsid w:val="00A30080"/>
    <w:rsid w:val="00A30703"/>
    <w:rsid w:val="00A4087A"/>
    <w:rsid w:val="00A444E4"/>
    <w:rsid w:val="00A45FC0"/>
    <w:rsid w:val="00A47196"/>
    <w:rsid w:val="00A60BA6"/>
    <w:rsid w:val="00A662C9"/>
    <w:rsid w:val="00A71D15"/>
    <w:rsid w:val="00A75C4A"/>
    <w:rsid w:val="00A7646B"/>
    <w:rsid w:val="00A76FA9"/>
    <w:rsid w:val="00A913FD"/>
    <w:rsid w:val="00A936FA"/>
    <w:rsid w:val="00A93AE1"/>
    <w:rsid w:val="00A949D5"/>
    <w:rsid w:val="00AA58E4"/>
    <w:rsid w:val="00AC1103"/>
    <w:rsid w:val="00AC7D4A"/>
    <w:rsid w:val="00AD0CBD"/>
    <w:rsid w:val="00AD2077"/>
    <w:rsid w:val="00AD4A97"/>
    <w:rsid w:val="00AF6C84"/>
    <w:rsid w:val="00B02A37"/>
    <w:rsid w:val="00B1037B"/>
    <w:rsid w:val="00B11837"/>
    <w:rsid w:val="00B126E4"/>
    <w:rsid w:val="00B12AA6"/>
    <w:rsid w:val="00B14277"/>
    <w:rsid w:val="00B2378D"/>
    <w:rsid w:val="00B479D4"/>
    <w:rsid w:val="00B5453B"/>
    <w:rsid w:val="00B552BE"/>
    <w:rsid w:val="00B55802"/>
    <w:rsid w:val="00B57699"/>
    <w:rsid w:val="00B62B55"/>
    <w:rsid w:val="00B65892"/>
    <w:rsid w:val="00B67FB0"/>
    <w:rsid w:val="00B76B50"/>
    <w:rsid w:val="00B817CD"/>
    <w:rsid w:val="00B81AF4"/>
    <w:rsid w:val="00B870BB"/>
    <w:rsid w:val="00BA36E9"/>
    <w:rsid w:val="00BA3765"/>
    <w:rsid w:val="00BA6FED"/>
    <w:rsid w:val="00BC363A"/>
    <w:rsid w:val="00BD194D"/>
    <w:rsid w:val="00BD481A"/>
    <w:rsid w:val="00BF75E3"/>
    <w:rsid w:val="00C013C8"/>
    <w:rsid w:val="00C033B1"/>
    <w:rsid w:val="00C173EE"/>
    <w:rsid w:val="00C21429"/>
    <w:rsid w:val="00C228BB"/>
    <w:rsid w:val="00C24C17"/>
    <w:rsid w:val="00C34291"/>
    <w:rsid w:val="00C357E2"/>
    <w:rsid w:val="00C52D2B"/>
    <w:rsid w:val="00C52E72"/>
    <w:rsid w:val="00C5428A"/>
    <w:rsid w:val="00C60E99"/>
    <w:rsid w:val="00C62D45"/>
    <w:rsid w:val="00C64E1B"/>
    <w:rsid w:val="00C672CE"/>
    <w:rsid w:val="00C75960"/>
    <w:rsid w:val="00C76043"/>
    <w:rsid w:val="00C879F7"/>
    <w:rsid w:val="00CA1666"/>
    <w:rsid w:val="00CA2107"/>
    <w:rsid w:val="00CA2747"/>
    <w:rsid w:val="00CA35CA"/>
    <w:rsid w:val="00CA376A"/>
    <w:rsid w:val="00CB507B"/>
    <w:rsid w:val="00CB7AED"/>
    <w:rsid w:val="00CC0A5E"/>
    <w:rsid w:val="00CC37DF"/>
    <w:rsid w:val="00CC75B5"/>
    <w:rsid w:val="00CD30A0"/>
    <w:rsid w:val="00CE3A69"/>
    <w:rsid w:val="00CE6F4D"/>
    <w:rsid w:val="00CF746B"/>
    <w:rsid w:val="00D110A6"/>
    <w:rsid w:val="00D13CDB"/>
    <w:rsid w:val="00D14133"/>
    <w:rsid w:val="00D173E1"/>
    <w:rsid w:val="00D21BFB"/>
    <w:rsid w:val="00D23AC2"/>
    <w:rsid w:val="00D27400"/>
    <w:rsid w:val="00D30A3F"/>
    <w:rsid w:val="00D32D28"/>
    <w:rsid w:val="00D41502"/>
    <w:rsid w:val="00D425BD"/>
    <w:rsid w:val="00D4474B"/>
    <w:rsid w:val="00D45458"/>
    <w:rsid w:val="00D55CFE"/>
    <w:rsid w:val="00D63BFF"/>
    <w:rsid w:val="00D809AF"/>
    <w:rsid w:val="00D824A7"/>
    <w:rsid w:val="00D90F6D"/>
    <w:rsid w:val="00D910F1"/>
    <w:rsid w:val="00D93BF8"/>
    <w:rsid w:val="00D93C01"/>
    <w:rsid w:val="00D9440C"/>
    <w:rsid w:val="00D944BB"/>
    <w:rsid w:val="00D96F7E"/>
    <w:rsid w:val="00DA2CF3"/>
    <w:rsid w:val="00DB5FF8"/>
    <w:rsid w:val="00DC5A0C"/>
    <w:rsid w:val="00DD6C50"/>
    <w:rsid w:val="00DE0FF9"/>
    <w:rsid w:val="00DE3DC7"/>
    <w:rsid w:val="00DE72F9"/>
    <w:rsid w:val="00DE7F48"/>
    <w:rsid w:val="00DF7DBF"/>
    <w:rsid w:val="00E02A2C"/>
    <w:rsid w:val="00E055EE"/>
    <w:rsid w:val="00E068B5"/>
    <w:rsid w:val="00E159F9"/>
    <w:rsid w:val="00E26619"/>
    <w:rsid w:val="00E37D4C"/>
    <w:rsid w:val="00E45BB6"/>
    <w:rsid w:val="00E56315"/>
    <w:rsid w:val="00E56AB0"/>
    <w:rsid w:val="00E65EC8"/>
    <w:rsid w:val="00E77D7A"/>
    <w:rsid w:val="00E81019"/>
    <w:rsid w:val="00E82994"/>
    <w:rsid w:val="00E86F3F"/>
    <w:rsid w:val="00E900D5"/>
    <w:rsid w:val="00E90640"/>
    <w:rsid w:val="00E96B9D"/>
    <w:rsid w:val="00EA0C25"/>
    <w:rsid w:val="00EA1763"/>
    <w:rsid w:val="00EA30A0"/>
    <w:rsid w:val="00EA7FAB"/>
    <w:rsid w:val="00EC2ADB"/>
    <w:rsid w:val="00EC5C68"/>
    <w:rsid w:val="00ED0D37"/>
    <w:rsid w:val="00EE3396"/>
    <w:rsid w:val="00EE4E9E"/>
    <w:rsid w:val="00EE5C94"/>
    <w:rsid w:val="00EE60F0"/>
    <w:rsid w:val="00EF2A0B"/>
    <w:rsid w:val="00F0052F"/>
    <w:rsid w:val="00F02E1A"/>
    <w:rsid w:val="00F2562F"/>
    <w:rsid w:val="00F26048"/>
    <w:rsid w:val="00F3103B"/>
    <w:rsid w:val="00F60606"/>
    <w:rsid w:val="00F64353"/>
    <w:rsid w:val="00F71D69"/>
    <w:rsid w:val="00F746C5"/>
    <w:rsid w:val="00F75C49"/>
    <w:rsid w:val="00F81172"/>
    <w:rsid w:val="00F84B36"/>
    <w:rsid w:val="00F85A70"/>
    <w:rsid w:val="00F85DEC"/>
    <w:rsid w:val="00FA0B8A"/>
    <w:rsid w:val="00FA6F26"/>
    <w:rsid w:val="00FB2BD3"/>
    <w:rsid w:val="00FC2D14"/>
    <w:rsid w:val="00FC3B3F"/>
    <w:rsid w:val="00FC4B6B"/>
    <w:rsid w:val="00FC7AAC"/>
    <w:rsid w:val="00FD0571"/>
    <w:rsid w:val="00FD37F1"/>
    <w:rsid w:val="00FD4C96"/>
    <w:rsid w:val="00FE7B70"/>
    <w:rsid w:val="00FF14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5E8D"/>
  <w15:docId w15:val="{4E3D0C70-1A3C-4C8F-BB04-8399667F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BD"/>
    <w:pPr>
      <w:ind w:left="720"/>
      <w:contextualSpacing/>
    </w:pPr>
  </w:style>
  <w:style w:type="paragraph" w:styleId="FootnoteText">
    <w:name w:val="footnote text"/>
    <w:basedOn w:val="Normal"/>
    <w:link w:val="FootnoteTextChar"/>
    <w:uiPriority w:val="99"/>
    <w:semiHidden/>
    <w:unhideWhenUsed/>
    <w:rsid w:val="001E073E"/>
    <w:pPr>
      <w:spacing w:after="0" w:line="240" w:lineRule="auto"/>
    </w:pPr>
    <w:rPr>
      <w:rFonts w:ascii="Arial" w:eastAsia="Times New Roman" w:hAnsi="Arial" w:cs="Arial"/>
      <w:sz w:val="20"/>
      <w:szCs w:val="20"/>
      <w:lang w:val="en-US" w:eastAsia="en-GB"/>
    </w:rPr>
  </w:style>
  <w:style w:type="character" w:customStyle="1" w:styleId="FootnoteTextChar">
    <w:name w:val="Footnote Text Char"/>
    <w:basedOn w:val="DefaultParagraphFont"/>
    <w:link w:val="FootnoteText"/>
    <w:uiPriority w:val="99"/>
    <w:semiHidden/>
    <w:rsid w:val="001E073E"/>
    <w:rPr>
      <w:rFonts w:ascii="Arial" w:eastAsia="Times New Roman" w:hAnsi="Arial" w:cs="Arial"/>
      <w:sz w:val="20"/>
      <w:szCs w:val="20"/>
      <w:lang w:val="en-US" w:eastAsia="en-GB"/>
    </w:rPr>
  </w:style>
  <w:style w:type="character" w:styleId="FootnoteReference">
    <w:name w:val="footnote reference"/>
    <w:basedOn w:val="DefaultParagraphFont"/>
    <w:uiPriority w:val="99"/>
    <w:semiHidden/>
    <w:unhideWhenUsed/>
    <w:rsid w:val="001E073E"/>
    <w:rPr>
      <w:rFonts w:cs="Times New Roman"/>
      <w:vertAlign w:val="superscript"/>
    </w:rPr>
  </w:style>
  <w:style w:type="paragraph" w:styleId="BalloonText">
    <w:name w:val="Balloon Text"/>
    <w:basedOn w:val="Normal"/>
    <w:link w:val="BalloonTextChar"/>
    <w:uiPriority w:val="99"/>
    <w:semiHidden/>
    <w:unhideWhenUsed/>
    <w:rsid w:val="00B8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AF4"/>
    <w:rPr>
      <w:rFonts w:ascii="Tahoma" w:hAnsi="Tahoma" w:cs="Tahoma"/>
      <w:sz w:val="16"/>
      <w:szCs w:val="16"/>
    </w:rPr>
  </w:style>
  <w:style w:type="paragraph" w:customStyle="1" w:styleId="Default">
    <w:name w:val="Default"/>
    <w:rsid w:val="009770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1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837"/>
  </w:style>
  <w:style w:type="paragraph" w:styleId="Footer">
    <w:name w:val="footer"/>
    <w:basedOn w:val="Normal"/>
    <w:link w:val="FooterChar"/>
    <w:uiPriority w:val="99"/>
    <w:unhideWhenUsed/>
    <w:rsid w:val="00B11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837"/>
  </w:style>
  <w:style w:type="paragraph" w:customStyle="1" w:styleId="Level1">
    <w:name w:val="Level 1"/>
    <w:basedOn w:val="Normal"/>
    <w:rsid w:val="00D21BFB"/>
    <w:pPr>
      <w:widowControl w:val="0"/>
      <w:numPr>
        <w:numId w:val="15"/>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lang w:val="en-US"/>
    </w:rPr>
  </w:style>
  <w:style w:type="paragraph" w:customStyle="1" w:styleId="Level2">
    <w:name w:val="Level 2"/>
    <w:basedOn w:val="Normal"/>
    <w:rsid w:val="00D21BFB"/>
    <w:pPr>
      <w:widowControl w:val="0"/>
      <w:numPr>
        <w:ilvl w:val="1"/>
        <w:numId w:val="15"/>
      </w:numPr>
      <w:autoSpaceDE w:val="0"/>
      <w:autoSpaceDN w:val="0"/>
      <w:adjustRightInd w:val="0"/>
      <w:spacing w:after="0" w:line="240" w:lineRule="auto"/>
      <w:ind w:left="792"/>
      <w:outlineLvl w:val="1"/>
    </w:pPr>
    <w:rPr>
      <w:rFonts w:ascii="Times New Roman" w:eastAsia="Times New Roman" w:hAnsi="Times New Roman" w:cs="Times New Roman"/>
      <w:sz w:val="20"/>
      <w:szCs w:val="24"/>
      <w:lang w:val="en-US"/>
    </w:rPr>
  </w:style>
  <w:style w:type="table" w:styleId="TableGrid">
    <w:name w:val="Table Grid"/>
    <w:basedOn w:val="TableNormal"/>
    <w:uiPriority w:val="39"/>
    <w:rsid w:val="0094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ACF6-C0AD-49C5-A061-DF9F5227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Masiane Tebogo</dc:creator>
  <cp:keywords/>
  <dc:description/>
  <cp:lastModifiedBy>Mary Bruce</cp:lastModifiedBy>
  <cp:revision>3</cp:revision>
  <cp:lastPrinted>2024-06-06T12:09:00Z</cp:lastPrinted>
  <dcterms:created xsi:type="dcterms:W3CDTF">2024-06-27T12:22:00Z</dcterms:created>
  <dcterms:modified xsi:type="dcterms:W3CDTF">2024-06-27T14:08:00Z</dcterms:modified>
</cp:coreProperties>
</file>