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ACD" w:rsidRPr="00994EE5" w:rsidRDefault="00942ACD" w:rsidP="00942ACD">
      <w:pPr>
        <w:keepNext/>
        <w:widowControl w:val="0"/>
        <w:jc w:val="center"/>
        <w:outlineLvl w:val="0"/>
        <w:rPr>
          <w:rFonts w:eastAsia="Arial Unicode MS"/>
          <w:b/>
          <w:snapToGrid w:val="0"/>
          <w:sz w:val="16"/>
          <w:szCs w:val="16"/>
          <w:lang w:val="en-GB"/>
        </w:rPr>
      </w:pPr>
      <w:bookmarkStart w:id="0" w:name="_GoBack"/>
      <w:bookmarkEnd w:id="0"/>
      <w:r w:rsidRPr="00994EE5">
        <w:rPr>
          <w:rFonts w:eastAsia="Arial Unicode MS"/>
          <w:b/>
          <w:noProof/>
          <w:snapToGrid w:val="0"/>
          <w:sz w:val="16"/>
          <w:szCs w:val="16"/>
          <w:lang w:eastAsia="en-ZA"/>
        </w:rPr>
        <w:drawing>
          <wp:inline distT="0" distB="0" distL="0" distR="0" wp14:anchorId="67D9F499" wp14:editId="2F898FB0">
            <wp:extent cx="1362075" cy="1362075"/>
            <wp:effectExtent l="0" t="0" r="9525" b="9525"/>
            <wp:docPr id="6" name="Picture 6"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rsidR="00942ACD" w:rsidRPr="00994EE5" w:rsidRDefault="00942ACD" w:rsidP="00942ACD">
      <w:pPr>
        <w:keepNext/>
        <w:widowControl w:val="0"/>
        <w:jc w:val="center"/>
        <w:outlineLvl w:val="0"/>
        <w:rPr>
          <w:rFonts w:eastAsia="Arial Unicode MS"/>
          <w:b/>
          <w:snapToGrid w:val="0"/>
          <w:sz w:val="16"/>
          <w:szCs w:val="16"/>
          <w:lang w:val="en-GB"/>
        </w:rPr>
      </w:pPr>
    </w:p>
    <w:p w:rsidR="00942ACD" w:rsidRPr="00994EE5" w:rsidRDefault="00942ACD" w:rsidP="00942ACD">
      <w:pPr>
        <w:keepNext/>
        <w:widowControl w:val="0"/>
        <w:jc w:val="center"/>
        <w:outlineLvl w:val="0"/>
        <w:rPr>
          <w:rFonts w:ascii="Arial" w:eastAsia="Arial Unicode MS" w:hAnsi="Arial" w:cs="Arial"/>
          <w:b/>
          <w:snapToGrid w:val="0"/>
          <w:sz w:val="16"/>
          <w:szCs w:val="16"/>
          <w:lang w:val="en-GB"/>
        </w:rPr>
      </w:pPr>
      <w:r w:rsidRPr="00994EE5">
        <w:rPr>
          <w:rFonts w:ascii="Arial" w:eastAsia="Arial Unicode MS" w:hAnsi="Arial" w:cs="Arial"/>
          <w:b/>
          <w:snapToGrid w:val="0"/>
          <w:sz w:val="16"/>
          <w:szCs w:val="16"/>
          <w:lang w:val="en-GB"/>
        </w:rPr>
        <w:t>THE REPUBLIC OF SOUTH AFRICA</w:t>
      </w:r>
    </w:p>
    <w:p w:rsidR="00942ACD" w:rsidRPr="00994EE5" w:rsidRDefault="00942ACD" w:rsidP="00942ACD">
      <w:pPr>
        <w:jc w:val="center"/>
        <w:rPr>
          <w:rFonts w:ascii="Arial" w:eastAsia="Arial Unicode MS" w:hAnsi="Arial" w:cs="Arial"/>
          <w:b/>
          <w:spacing w:val="20"/>
        </w:rPr>
      </w:pPr>
      <w:r w:rsidRPr="00994EE5">
        <w:rPr>
          <w:rFonts w:ascii="Arial" w:eastAsia="Arial Unicode MS" w:hAnsi="Arial" w:cs="Arial"/>
          <w:b/>
          <w:spacing w:val="20"/>
        </w:rPr>
        <w:t>IN THE HIGH COURT OF SOUTH AFRICA</w:t>
      </w:r>
    </w:p>
    <w:p w:rsidR="00942ACD" w:rsidRPr="00994EE5" w:rsidRDefault="00942ACD" w:rsidP="00942ACD">
      <w:pPr>
        <w:jc w:val="center"/>
        <w:rPr>
          <w:rFonts w:ascii="Arial" w:eastAsia="Arial Unicode MS" w:hAnsi="Arial" w:cs="Arial"/>
          <w:b/>
          <w:spacing w:val="20"/>
        </w:rPr>
      </w:pPr>
      <w:r w:rsidRPr="00994EE5">
        <w:rPr>
          <w:rFonts w:ascii="Arial" w:eastAsia="Arial Unicode MS" w:hAnsi="Arial" w:cs="Arial"/>
          <w:b/>
          <w:spacing w:val="20"/>
        </w:rPr>
        <w:t>(</w:t>
      </w:r>
      <w:r>
        <w:rPr>
          <w:rFonts w:ascii="Arial" w:eastAsia="Arial Unicode MS" w:hAnsi="Arial" w:cs="Arial"/>
          <w:b/>
          <w:spacing w:val="20"/>
        </w:rPr>
        <w:t>W</w:t>
      </w:r>
      <w:r w:rsidRPr="00994EE5">
        <w:rPr>
          <w:rFonts w:ascii="Arial" w:eastAsia="Arial Unicode MS" w:hAnsi="Arial" w:cs="Arial"/>
          <w:b/>
          <w:spacing w:val="20"/>
        </w:rPr>
        <w:t xml:space="preserve">ESTERN CAPE DIVISION, </w:t>
      </w:r>
      <w:r>
        <w:rPr>
          <w:rFonts w:ascii="Arial" w:eastAsia="Arial Unicode MS" w:hAnsi="Arial" w:cs="Arial"/>
          <w:b/>
          <w:spacing w:val="20"/>
        </w:rPr>
        <w:t>CAPE TOWN</w:t>
      </w:r>
      <w:r w:rsidRPr="00994EE5">
        <w:rPr>
          <w:rFonts w:ascii="Arial" w:eastAsia="Arial Unicode MS" w:hAnsi="Arial" w:cs="Arial"/>
          <w:b/>
          <w:spacing w:val="20"/>
        </w:rPr>
        <w:t>)</w:t>
      </w:r>
    </w:p>
    <w:p w:rsidR="00942ACD" w:rsidRDefault="00942ACD" w:rsidP="00942ACD">
      <w:pPr>
        <w:tabs>
          <w:tab w:val="left" w:pos="3969"/>
        </w:tabs>
        <w:ind w:firstLine="720"/>
        <w:rPr>
          <w:rFonts w:ascii="Arial" w:hAnsi="Arial" w:cs="Arial"/>
          <w:sz w:val="20"/>
          <w:szCs w:val="20"/>
        </w:rPr>
      </w:pPr>
      <w:r>
        <w:rPr>
          <w:rFonts w:ascii="Arial" w:hAnsi="Arial" w:cs="Arial"/>
          <w:sz w:val="20"/>
          <w:szCs w:val="20"/>
        </w:rPr>
        <w:t xml:space="preserve">                        </w:t>
      </w:r>
    </w:p>
    <w:p w:rsidR="00942ACD" w:rsidRPr="00F10023" w:rsidRDefault="00942ACD" w:rsidP="00942ACD">
      <w:pPr>
        <w:tabs>
          <w:tab w:val="left" w:pos="3969"/>
        </w:tabs>
        <w:ind w:firstLine="720"/>
        <w:rPr>
          <w:rFonts w:ascii="Arial" w:hAnsi="Arial" w:cs="Arial"/>
          <w:i/>
          <w:iCs/>
          <w:sz w:val="20"/>
          <w:szCs w:val="20"/>
        </w:rPr>
      </w:pPr>
      <w:r>
        <w:rPr>
          <w:rFonts w:ascii="Arial" w:hAnsi="Arial" w:cs="Arial"/>
          <w:sz w:val="20"/>
          <w:szCs w:val="20"/>
        </w:rPr>
        <w:t xml:space="preserve">                       </w:t>
      </w:r>
      <w:r w:rsidRPr="00F10023">
        <w:rPr>
          <w:rFonts w:ascii="Arial" w:hAnsi="Arial" w:cs="Arial"/>
          <w:i/>
          <w:iCs/>
          <w:sz w:val="20"/>
          <w:szCs w:val="20"/>
        </w:rPr>
        <w:t>Before: The Hon. Ms Acting Justice Mangcu-Lockwood</w:t>
      </w:r>
    </w:p>
    <w:p w:rsidR="00942ACD" w:rsidRPr="00F10023" w:rsidRDefault="00942ACD" w:rsidP="00942ACD">
      <w:pPr>
        <w:tabs>
          <w:tab w:val="left" w:pos="3969"/>
        </w:tabs>
        <w:ind w:firstLine="720"/>
        <w:rPr>
          <w:rFonts w:ascii="Arial" w:hAnsi="Arial" w:cs="Arial"/>
          <w:i/>
          <w:iCs/>
          <w:sz w:val="20"/>
          <w:szCs w:val="20"/>
        </w:rPr>
      </w:pPr>
      <w:r w:rsidRPr="00F10023">
        <w:rPr>
          <w:rFonts w:ascii="Arial" w:hAnsi="Arial" w:cs="Arial"/>
          <w:i/>
          <w:iCs/>
          <w:sz w:val="20"/>
          <w:szCs w:val="20"/>
        </w:rPr>
        <w:t xml:space="preserve">                                        Date of hearing: </w:t>
      </w:r>
      <w:r w:rsidRPr="00A2775E">
        <w:rPr>
          <w:rFonts w:ascii="Arial" w:hAnsi="Arial" w:cs="Arial"/>
          <w:i/>
          <w:iCs/>
          <w:sz w:val="20"/>
          <w:szCs w:val="20"/>
        </w:rPr>
        <w:t>13 July 2021</w:t>
      </w:r>
    </w:p>
    <w:p w:rsidR="00942ACD" w:rsidRPr="00F10023" w:rsidRDefault="00942ACD" w:rsidP="00942ACD">
      <w:pPr>
        <w:ind w:firstLine="720"/>
        <w:rPr>
          <w:rFonts w:ascii="Arial" w:hAnsi="Arial" w:cs="Arial"/>
          <w:i/>
          <w:iCs/>
          <w:sz w:val="20"/>
          <w:szCs w:val="20"/>
        </w:rPr>
      </w:pPr>
      <w:r w:rsidRPr="00F10023">
        <w:rPr>
          <w:rFonts w:ascii="Arial" w:hAnsi="Arial" w:cs="Arial"/>
          <w:i/>
          <w:iCs/>
          <w:sz w:val="20"/>
          <w:szCs w:val="20"/>
        </w:rPr>
        <w:t xml:space="preserve">                                        </w:t>
      </w:r>
      <w:r w:rsidRPr="007F4682">
        <w:rPr>
          <w:rFonts w:ascii="Arial" w:hAnsi="Arial" w:cs="Arial"/>
          <w:i/>
          <w:iCs/>
          <w:sz w:val="20"/>
          <w:szCs w:val="20"/>
        </w:rPr>
        <w:t xml:space="preserve">Date of judgment: </w:t>
      </w:r>
      <w:r>
        <w:rPr>
          <w:rFonts w:ascii="Arial" w:hAnsi="Arial" w:cs="Arial"/>
          <w:i/>
          <w:iCs/>
          <w:sz w:val="20"/>
          <w:szCs w:val="20"/>
        </w:rPr>
        <w:t xml:space="preserve">21 July </w:t>
      </w:r>
      <w:r w:rsidRPr="007F4682">
        <w:rPr>
          <w:rFonts w:ascii="Arial" w:hAnsi="Arial" w:cs="Arial"/>
          <w:i/>
          <w:iCs/>
          <w:sz w:val="20"/>
          <w:szCs w:val="20"/>
        </w:rPr>
        <w:t>2021</w:t>
      </w:r>
    </w:p>
    <w:p w:rsidR="00942ACD" w:rsidRPr="00994EE5" w:rsidRDefault="00942ACD" w:rsidP="00942ACD">
      <w:pPr>
        <w:tabs>
          <w:tab w:val="right" w:pos="9072"/>
        </w:tabs>
        <w:rPr>
          <w:rFonts w:ascii="Arial" w:eastAsia="Arial Unicode MS" w:hAnsi="Arial" w:cs="Arial"/>
        </w:rPr>
      </w:pPr>
      <w:r>
        <w:rPr>
          <w:rFonts w:ascii="Arial" w:eastAsia="Arial Unicode MS" w:hAnsi="Arial" w:cs="Arial"/>
        </w:rPr>
        <w:t xml:space="preserve">  </w:t>
      </w:r>
      <w:r>
        <w:rPr>
          <w:rFonts w:ascii="Arial" w:eastAsia="Arial Unicode MS" w:hAnsi="Arial" w:cs="Arial"/>
        </w:rPr>
        <w:tab/>
      </w:r>
    </w:p>
    <w:p w:rsidR="00942ACD" w:rsidRPr="00DE35D9" w:rsidRDefault="00942ACD" w:rsidP="00942ACD">
      <w:pPr>
        <w:tabs>
          <w:tab w:val="left" w:pos="3969"/>
        </w:tabs>
        <w:spacing w:line="360" w:lineRule="auto"/>
        <w:ind w:left="720" w:firstLine="720"/>
        <w:contextualSpacing/>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E35D9">
        <w:rPr>
          <w:rFonts w:ascii="Arial" w:hAnsi="Arial" w:cs="Arial"/>
          <w:sz w:val="22"/>
          <w:szCs w:val="22"/>
        </w:rPr>
        <w:t xml:space="preserve">         Case No: 8084</w:t>
      </w:r>
      <w:r w:rsidRPr="00DE35D9">
        <w:rPr>
          <w:rFonts w:ascii="Arial" w:hAnsi="Arial" w:cs="Arial"/>
          <w:bCs/>
          <w:sz w:val="22"/>
          <w:szCs w:val="22"/>
          <w:lang w:val="en-GB"/>
        </w:rPr>
        <w:t>/</w:t>
      </w:r>
      <w:r w:rsidR="00DE35D9">
        <w:rPr>
          <w:rFonts w:ascii="Arial" w:hAnsi="Arial" w:cs="Arial"/>
          <w:bCs/>
          <w:sz w:val="22"/>
          <w:szCs w:val="22"/>
          <w:lang w:val="en-GB"/>
        </w:rPr>
        <w:t>2018</w:t>
      </w:r>
    </w:p>
    <w:p w:rsidR="00942ACD" w:rsidRPr="00DE35D9" w:rsidRDefault="00942ACD" w:rsidP="00942ACD">
      <w:pPr>
        <w:rPr>
          <w:rFonts w:ascii="Arial" w:hAnsi="Arial" w:cs="Arial"/>
          <w:sz w:val="22"/>
          <w:szCs w:val="22"/>
        </w:rPr>
      </w:pPr>
    </w:p>
    <w:p w:rsidR="00942ACD" w:rsidRPr="00DE35D9" w:rsidRDefault="00942ACD" w:rsidP="00942ACD">
      <w:pPr>
        <w:rPr>
          <w:rFonts w:ascii="Arial" w:hAnsi="Arial" w:cs="Arial"/>
          <w:sz w:val="22"/>
          <w:szCs w:val="22"/>
        </w:rPr>
      </w:pPr>
      <w:r w:rsidRPr="00DE35D9">
        <w:rPr>
          <w:rFonts w:ascii="Arial" w:hAnsi="Arial" w:cs="Arial"/>
          <w:sz w:val="22"/>
          <w:szCs w:val="22"/>
        </w:rPr>
        <w:t>In the matter between:</w:t>
      </w:r>
    </w:p>
    <w:p w:rsidR="00942ACD" w:rsidRPr="00DE35D9" w:rsidRDefault="00942ACD" w:rsidP="00942ACD">
      <w:pPr>
        <w:ind w:left="720" w:firstLine="720"/>
        <w:rPr>
          <w:rFonts w:ascii="Arial" w:hAnsi="Arial" w:cs="Arial"/>
          <w:sz w:val="22"/>
          <w:szCs w:val="22"/>
        </w:rPr>
      </w:pPr>
    </w:p>
    <w:p w:rsidR="00942ACD" w:rsidRPr="00DE35D9" w:rsidRDefault="00942ACD" w:rsidP="00942ACD">
      <w:pPr>
        <w:rPr>
          <w:rFonts w:ascii="Arial" w:hAnsi="Arial" w:cs="Arial"/>
          <w:b/>
          <w:sz w:val="22"/>
          <w:szCs w:val="22"/>
        </w:rPr>
      </w:pPr>
    </w:p>
    <w:tbl>
      <w:tblPr>
        <w:tblW w:w="9039" w:type="dxa"/>
        <w:tblLook w:val="0000" w:firstRow="0" w:lastRow="0" w:firstColumn="0" w:lastColumn="0" w:noHBand="0" w:noVBand="0"/>
      </w:tblPr>
      <w:tblGrid>
        <w:gridCol w:w="5920"/>
        <w:gridCol w:w="3119"/>
      </w:tblGrid>
      <w:tr w:rsidR="00942ACD" w:rsidRPr="00DE35D9" w:rsidTr="00D04268">
        <w:tc>
          <w:tcPr>
            <w:tcW w:w="5920" w:type="dxa"/>
          </w:tcPr>
          <w:p w:rsidR="00942ACD" w:rsidRPr="00DE35D9" w:rsidRDefault="00DE35D9" w:rsidP="00D04268">
            <w:pPr>
              <w:pStyle w:val="Header"/>
              <w:widowControl w:val="0"/>
              <w:rPr>
                <w:rFonts w:ascii="Arial" w:hAnsi="Arial" w:cs="Arial"/>
                <w:b/>
                <w:bCs/>
              </w:rPr>
            </w:pPr>
            <w:r>
              <w:rPr>
                <w:rFonts w:ascii="Arial" w:hAnsi="Arial" w:cs="Arial"/>
                <w:b/>
                <w:bCs/>
              </w:rPr>
              <w:t>VUYOKASI APLENI</w:t>
            </w:r>
          </w:p>
        </w:tc>
        <w:tc>
          <w:tcPr>
            <w:tcW w:w="3119" w:type="dxa"/>
          </w:tcPr>
          <w:p w:rsidR="00942ACD" w:rsidRPr="00DE35D9" w:rsidRDefault="00DE35D9" w:rsidP="00D04268">
            <w:pPr>
              <w:pStyle w:val="Header"/>
              <w:widowControl w:val="0"/>
              <w:jc w:val="right"/>
              <w:rPr>
                <w:rFonts w:ascii="Arial" w:hAnsi="Arial" w:cs="Arial"/>
              </w:rPr>
            </w:pPr>
            <w:r>
              <w:rPr>
                <w:rFonts w:ascii="Arial" w:hAnsi="Arial" w:cs="Arial"/>
              </w:rPr>
              <w:t>Plaintiff</w:t>
            </w:r>
          </w:p>
        </w:tc>
      </w:tr>
      <w:tr w:rsidR="00942ACD" w:rsidRPr="00DE35D9" w:rsidTr="00D04268">
        <w:tc>
          <w:tcPr>
            <w:tcW w:w="5920" w:type="dxa"/>
          </w:tcPr>
          <w:p w:rsidR="00942ACD" w:rsidRPr="00DE35D9" w:rsidRDefault="00942ACD" w:rsidP="00D04268">
            <w:pPr>
              <w:pStyle w:val="Header"/>
              <w:widowControl w:val="0"/>
              <w:rPr>
                <w:rFonts w:ascii="Arial" w:hAnsi="Arial" w:cs="Arial"/>
              </w:rPr>
            </w:pPr>
          </w:p>
        </w:tc>
        <w:tc>
          <w:tcPr>
            <w:tcW w:w="3119" w:type="dxa"/>
          </w:tcPr>
          <w:p w:rsidR="00942ACD" w:rsidRPr="00DE35D9" w:rsidRDefault="00942ACD" w:rsidP="00D04268">
            <w:pPr>
              <w:pStyle w:val="Header"/>
              <w:widowControl w:val="0"/>
              <w:jc w:val="right"/>
              <w:rPr>
                <w:rFonts w:ascii="Arial" w:hAnsi="Arial" w:cs="Arial"/>
              </w:rPr>
            </w:pPr>
          </w:p>
        </w:tc>
      </w:tr>
      <w:tr w:rsidR="00942ACD" w:rsidRPr="00DE35D9" w:rsidTr="00D04268">
        <w:tc>
          <w:tcPr>
            <w:tcW w:w="5920" w:type="dxa"/>
          </w:tcPr>
          <w:p w:rsidR="00942ACD" w:rsidRPr="00DE35D9" w:rsidRDefault="00942ACD" w:rsidP="00D04268">
            <w:pPr>
              <w:pStyle w:val="Header"/>
              <w:widowControl w:val="0"/>
              <w:rPr>
                <w:rFonts w:ascii="Arial" w:hAnsi="Arial" w:cs="Arial"/>
              </w:rPr>
            </w:pPr>
            <w:r w:rsidRPr="00DE35D9">
              <w:rPr>
                <w:rFonts w:ascii="Arial" w:hAnsi="Arial" w:cs="Arial"/>
              </w:rPr>
              <w:t>and</w:t>
            </w:r>
          </w:p>
        </w:tc>
        <w:tc>
          <w:tcPr>
            <w:tcW w:w="3119" w:type="dxa"/>
          </w:tcPr>
          <w:p w:rsidR="00942ACD" w:rsidRPr="00DE35D9" w:rsidRDefault="00942ACD" w:rsidP="00D04268">
            <w:pPr>
              <w:pStyle w:val="Header"/>
              <w:widowControl w:val="0"/>
              <w:jc w:val="right"/>
              <w:rPr>
                <w:rFonts w:ascii="Arial" w:hAnsi="Arial" w:cs="Arial"/>
              </w:rPr>
            </w:pPr>
          </w:p>
        </w:tc>
      </w:tr>
      <w:tr w:rsidR="00942ACD" w:rsidRPr="00DE35D9" w:rsidTr="00D04268">
        <w:tc>
          <w:tcPr>
            <w:tcW w:w="5920" w:type="dxa"/>
          </w:tcPr>
          <w:p w:rsidR="00942ACD" w:rsidRPr="00DE35D9" w:rsidRDefault="00942ACD" w:rsidP="00D04268">
            <w:pPr>
              <w:pStyle w:val="Header"/>
              <w:widowControl w:val="0"/>
              <w:rPr>
                <w:rFonts w:ascii="Arial" w:hAnsi="Arial" w:cs="Arial"/>
              </w:rPr>
            </w:pPr>
          </w:p>
        </w:tc>
        <w:tc>
          <w:tcPr>
            <w:tcW w:w="3119" w:type="dxa"/>
          </w:tcPr>
          <w:p w:rsidR="00942ACD" w:rsidRPr="00DE35D9" w:rsidRDefault="00942ACD" w:rsidP="00D04268">
            <w:pPr>
              <w:pStyle w:val="Header"/>
              <w:widowControl w:val="0"/>
              <w:jc w:val="right"/>
              <w:rPr>
                <w:rFonts w:ascii="Arial" w:hAnsi="Arial" w:cs="Arial"/>
              </w:rPr>
            </w:pPr>
          </w:p>
        </w:tc>
      </w:tr>
      <w:tr w:rsidR="00942ACD" w:rsidRPr="00DE35D9" w:rsidTr="00D04268">
        <w:tc>
          <w:tcPr>
            <w:tcW w:w="5920" w:type="dxa"/>
          </w:tcPr>
          <w:p w:rsidR="00942ACD" w:rsidRPr="00DE35D9" w:rsidRDefault="00DE35D9" w:rsidP="00D04268">
            <w:pPr>
              <w:pStyle w:val="Header"/>
              <w:widowControl w:val="0"/>
              <w:rPr>
                <w:rFonts w:ascii="Arial" w:hAnsi="Arial" w:cs="Arial"/>
                <w:b/>
              </w:rPr>
            </w:pPr>
            <w:r w:rsidRPr="00DE35D9">
              <w:rPr>
                <w:rFonts w:ascii="Arial" w:hAnsi="Arial" w:cs="Arial"/>
                <w:b/>
              </w:rPr>
              <w:t>MINISTER OF POLICE</w:t>
            </w:r>
          </w:p>
        </w:tc>
        <w:tc>
          <w:tcPr>
            <w:tcW w:w="3119" w:type="dxa"/>
          </w:tcPr>
          <w:p w:rsidR="00942ACD" w:rsidRPr="00DE35D9" w:rsidRDefault="00942ACD" w:rsidP="00D04268">
            <w:pPr>
              <w:pStyle w:val="Header"/>
              <w:widowControl w:val="0"/>
              <w:jc w:val="right"/>
              <w:rPr>
                <w:rFonts w:ascii="Arial" w:hAnsi="Arial" w:cs="Arial"/>
              </w:rPr>
            </w:pPr>
          </w:p>
        </w:tc>
      </w:tr>
      <w:tr w:rsidR="00942ACD" w:rsidRPr="00DE35D9" w:rsidTr="00D04268">
        <w:tc>
          <w:tcPr>
            <w:tcW w:w="5920" w:type="dxa"/>
          </w:tcPr>
          <w:p w:rsidR="00942ACD" w:rsidRPr="00DE35D9" w:rsidRDefault="00942ACD" w:rsidP="00D04268">
            <w:pPr>
              <w:pStyle w:val="Header"/>
              <w:widowControl w:val="0"/>
              <w:rPr>
                <w:rFonts w:ascii="Arial" w:hAnsi="Arial" w:cs="Arial"/>
              </w:rPr>
            </w:pPr>
          </w:p>
        </w:tc>
        <w:tc>
          <w:tcPr>
            <w:tcW w:w="3119" w:type="dxa"/>
          </w:tcPr>
          <w:p w:rsidR="00942ACD" w:rsidRPr="00DE35D9" w:rsidRDefault="00DE35D9" w:rsidP="00D04268">
            <w:pPr>
              <w:pStyle w:val="Header"/>
              <w:widowControl w:val="0"/>
              <w:jc w:val="right"/>
              <w:rPr>
                <w:rFonts w:ascii="Arial" w:hAnsi="Arial" w:cs="Arial"/>
              </w:rPr>
            </w:pPr>
            <w:r>
              <w:rPr>
                <w:rFonts w:ascii="Arial" w:hAnsi="Arial" w:cs="Arial"/>
              </w:rPr>
              <w:t>Defendant</w:t>
            </w:r>
          </w:p>
        </w:tc>
      </w:tr>
    </w:tbl>
    <w:p w:rsidR="00DE35D9" w:rsidRDefault="00DE35D9" w:rsidP="00DE35D9">
      <w:pPr>
        <w:spacing w:line="360" w:lineRule="auto"/>
        <w:jc w:val="both"/>
        <w:rPr>
          <w:rFonts w:ascii="Arial" w:hAnsi="Arial" w:cs="Arial"/>
          <w:b/>
          <w:bCs/>
          <w:sz w:val="22"/>
          <w:szCs w:val="22"/>
        </w:rPr>
      </w:pPr>
    </w:p>
    <w:p w:rsidR="00904E3F" w:rsidRPr="000C0814" w:rsidRDefault="009B1104" w:rsidP="00DE35D9">
      <w:pPr>
        <w:spacing w:line="360" w:lineRule="auto"/>
        <w:jc w:val="both"/>
        <w:rPr>
          <w:rFonts w:ascii="Arial" w:hAnsi="Arial" w:cs="Arial"/>
          <w:bCs/>
          <w:sz w:val="22"/>
          <w:szCs w:val="22"/>
        </w:rPr>
      </w:pPr>
      <w:r w:rsidRPr="000C0814">
        <w:rPr>
          <w:rFonts w:ascii="Arial" w:hAnsi="Arial" w:cs="Arial"/>
          <w:bCs/>
          <w:sz w:val="22"/>
          <w:szCs w:val="22"/>
        </w:rPr>
        <w:t>And</w:t>
      </w:r>
    </w:p>
    <w:p w:rsidR="00202DA1" w:rsidRDefault="00DE35D9" w:rsidP="00DE35D9">
      <w:pPr>
        <w:spacing w:line="360" w:lineRule="auto"/>
        <w:jc w:val="both"/>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rsidR="00DE35D9" w:rsidRPr="00DE35D9" w:rsidRDefault="00202DA1" w:rsidP="00202DA1">
      <w:pPr>
        <w:spacing w:line="360" w:lineRule="auto"/>
        <w:ind w:left="6480"/>
        <w:jc w:val="both"/>
        <w:rPr>
          <w:rFonts w:ascii="Arial" w:hAnsi="Arial" w:cs="Arial"/>
          <w:bCs/>
          <w:sz w:val="22"/>
          <w:szCs w:val="22"/>
        </w:rPr>
      </w:pPr>
      <w:r>
        <w:rPr>
          <w:rFonts w:ascii="Arial" w:hAnsi="Arial" w:cs="Arial"/>
          <w:b/>
          <w:bCs/>
          <w:sz w:val="22"/>
          <w:szCs w:val="22"/>
        </w:rPr>
        <w:t xml:space="preserve">         </w:t>
      </w:r>
      <w:r w:rsidR="002F70BC">
        <w:rPr>
          <w:rFonts w:ascii="Arial" w:hAnsi="Arial" w:cs="Arial"/>
          <w:sz w:val="22"/>
          <w:szCs w:val="22"/>
        </w:rPr>
        <w:t>Case No: 8085</w:t>
      </w:r>
      <w:r w:rsidR="00DE35D9" w:rsidRPr="00DE35D9">
        <w:rPr>
          <w:rFonts w:ascii="Arial" w:hAnsi="Arial" w:cs="Arial"/>
          <w:bCs/>
          <w:sz w:val="22"/>
          <w:szCs w:val="22"/>
          <w:lang w:val="en-GB"/>
        </w:rPr>
        <w:t>/</w:t>
      </w:r>
      <w:r w:rsidR="00DE35D9">
        <w:rPr>
          <w:rFonts w:ascii="Arial" w:hAnsi="Arial" w:cs="Arial"/>
          <w:bCs/>
          <w:sz w:val="22"/>
          <w:szCs w:val="22"/>
          <w:lang w:val="en-GB"/>
        </w:rPr>
        <w:t>20</w:t>
      </w:r>
      <w:r w:rsidR="002F70BC">
        <w:rPr>
          <w:rFonts w:ascii="Arial" w:hAnsi="Arial" w:cs="Arial"/>
          <w:bCs/>
          <w:sz w:val="22"/>
          <w:szCs w:val="22"/>
          <w:lang w:val="en-GB"/>
        </w:rPr>
        <w:t>18</w:t>
      </w:r>
    </w:p>
    <w:p w:rsidR="00DE35D9" w:rsidRDefault="00DE35D9" w:rsidP="00DE35D9">
      <w:pPr>
        <w:spacing w:line="360" w:lineRule="auto"/>
        <w:jc w:val="both"/>
        <w:rPr>
          <w:rFonts w:ascii="Arial" w:hAnsi="Arial" w:cs="Arial"/>
          <w:b/>
          <w:bCs/>
          <w:sz w:val="22"/>
          <w:szCs w:val="22"/>
        </w:rPr>
      </w:pPr>
    </w:p>
    <w:p w:rsidR="00DE35D9" w:rsidRPr="00DE35D9" w:rsidRDefault="00DE35D9" w:rsidP="00DE35D9">
      <w:pPr>
        <w:rPr>
          <w:rFonts w:ascii="Arial" w:hAnsi="Arial" w:cs="Arial"/>
          <w:sz w:val="22"/>
          <w:szCs w:val="22"/>
        </w:rPr>
      </w:pPr>
      <w:r w:rsidRPr="00DE35D9">
        <w:rPr>
          <w:rFonts w:ascii="Arial" w:hAnsi="Arial" w:cs="Arial"/>
          <w:sz w:val="22"/>
          <w:szCs w:val="22"/>
        </w:rPr>
        <w:t>In the matter between:</w:t>
      </w:r>
    </w:p>
    <w:p w:rsidR="00DE35D9" w:rsidRDefault="00DE35D9" w:rsidP="00DE35D9">
      <w:pPr>
        <w:spacing w:line="360" w:lineRule="auto"/>
        <w:jc w:val="both"/>
        <w:rPr>
          <w:rFonts w:ascii="Arial" w:hAnsi="Arial" w:cs="Arial"/>
          <w:b/>
          <w:bCs/>
          <w:sz w:val="22"/>
          <w:szCs w:val="22"/>
        </w:rPr>
      </w:pPr>
    </w:p>
    <w:tbl>
      <w:tblPr>
        <w:tblW w:w="9039" w:type="dxa"/>
        <w:tblLook w:val="0000" w:firstRow="0" w:lastRow="0" w:firstColumn="0" w:lastColumn="0" w:noHBand="0" w:noVBand="0"/>
      </w:tblPr>
      <w:tblGrid>
        <w:gridCol w:w="5920"/>
        <w:gridCol w:w="3119"/>
      </w:tblGrid>
      <w:tr w:rsidR="00DE35D9" w:rsidRPr="00DE35D9" w:rsidTr="00F53837">
        <w:tc>
          <w:tcPr>
            <w:tcW w:w="5920" w:type="dxa"/>
          </w:tcPr>
          <w:p w:rsidR="00DE35D9" w:rsidRPr="00DE35D9" w:rsidRDefault="002F70BC" w:rsidP="00DE35D9">
            <w:pPr>
              <w:pStyle w:val="Header"/>
              <w:widowControl w:val="0"/>
              <w:rPr>
                <w:rFonts w:ascii="Arial" w:hAnsi="Arial" w:cs="Arial"/>
                <w:b/>
                <w:bCs/>
              </w:rPr>
            </w:pPr>
            <w:r>
              <w:rPr>
                <w:rFonts w:ascii="Arial" w:hAnsi="Arial" w:cs="Arial"/>
                <w:b/>
                <w:bCs/>
              </w:rPr>
              <w:t>NONTSINDISO PEGGY MASHIYANA</w:t>
            </w:r>
          </w:p>
        </w:tc>
        <w:tc>
          <w:tcPr>
            <w:tcW w:w="3119" w:type="dxa"/>
          </w:tcPr>
          <w:p w:rsidR="00DE35D9" w:rsidRPr="00DE35D9" w:rsidRDefault="00DE35D9" w:rsidP="00DE35D9">
            <w:pPr>
              <w:pStyle w:val="Header"/>
              <w:widowControl w:val="0"/>
              <w:jc w:val="right"/>
              <w:rPr>
                <w:rFonts w:ascii="Arial" w:hAnsi="Arial" w:cs="Arial"/>
              </w:rPr>
            </w:pPr>
            <w:r>
              <w:rPr>
                <w:rFonts w:ascii="Arial" w:hAnsi="Arial" w:cs="Arial"/>
              </w:rPr>
              <w:t>Plaintiff</w:t>
            </w:r>
          </w:p>
        </w:tc>
      </w:tr>
      <w:tr w:rsidR="00DE35D9" w:rsidRPr="00DE35D9" w:rsidTr="00F53837">
        <w:tc>
          <w:tcPr>
            <w:tcW w:w="5920" w:type="dxa"/>
          </w:tcPr>
          <w:p w:rsidR="00DE35D9" w:rsidRPr="00DE35D9" w:rsidRDefault="00DE35D9" w:rsidP="00F53837">
            <w:pPr>
              <w:pStyle w:val="Header"/>
              <w:widowControl w:val="0"/>
              <w:rPr>
                <w:rFonts w:ascii="Arial" w:hAnsi="Arial" w:cs="Arial"/>
              </w:rPr>
            </w:pPr>
          </w:p>
        </w:tc>
        <w:tc>
          <w:tcPr>
            <w:tcW w:w="3119" w:type="dxa"/>
          </w:tcPr>
          <w:p w:rsidR="00DE35D9" w:rsidRPr="00DE35D9" w:rsidRDefault="00DE35D9" w:rsidP="00F53837">
            <w:pPr>
              <w:pStyle w:val="Header"/>
              <w:widowControl w:val="0"/>
              <w:jc w:val="right"/>
              <w:rPr>
                <w:rFonts w:ascii="Arial" w:hAnsi="Arial" w:cs="Arial"/>
              </w:rPr>
            </w:pPr>
          </w:p>
        </w:tc>
      </w:tr>
      <w:tr w:rsidR="00DE35D9" w:rsidRPr="00DE35D9" w:rsidTr="00F53837">
        <w:tc>
          <w:tcPr>
            <w:tcW w:w="5920" w:type="dxa"/>
          </w:tcPr>
          <w:p w:rsidR="00DE35D9" w:rsidRPr="00DE35D9" w:rsidRDefault="00DE35D9" w:rsidP="00F53837">
            <w:pPr>
              <w:pStyle w:val="Header"/>
              <w:widowControl w:val="0"/>
              <w:rPr>
                <w:rFonts w:ascii="Arial" w:hAnsi="Arial" w:cs="Arial"/>
              </w:rPr>
            </w:pPr>
            <w:r w:rsidRPr="00DE35D9">
              <w:rPr>
                <w:rFonts w:ascii="Arial" w:hAnsi="Arial" w:cs="Arial"/>
              </w:rPr>
              <w:t>and</w:t>
            </w:r>
          </w:p>
        </w:tc>
        <w:tc>
          <w:tcPr>
            <w:tcW w:w="3119" w:type="dxa"/>
          </w:tcPr>
          <w:p w:rsidR="00DE35D9" w:rsidRPr="00DE35D9" w:rsidRDefault="00DE35D9" w:rsidP="00F53837">
            <w:pPr>
              <w:pStyle w:val="Header"/>
              <w:widowControl w:val="0"/>
              <w:jc w:val="right"/>
              <w:rPr>
                <w:rFonts w:ascii="Arial" w:hAnsi="Arial" w:cs="Arial"/>
              </w:rPr>
            </w:pPr>
          </w:p>
        </w:tc>
      </w:tr>
      <w:tr w:rsidR="00DE35D9" w:rsidRPr="00DE35D9" w:rsidTr="00F53837">
        <w:tc>
          <w:tcPr>
            <w:tcW w:w="5920" w:type="dxa"/>
          </w:tcPr>
          <w:p w:rsidR="00DE35D9" w:rsidRPr="00DE35D9" w:rsidRDefault="00DE35D9" w:rsidP="00F53837">
            <w:pPr>
              <w:pStyle w:val="Header"/>
              <w:widowControl w:val="0"/>
              <w:rPr>
                <w:rFonts w:ascii="Arial" w:hAnsi="Arial" w:cs="Arial"/>
              </w:rPr>
            </w:pPr>
          </w:p>
        </w:tc>
        <w:tc>
          <w:tcPr>
            <w:tcW w:w="3119" w:type="dxa"/>
          </w:tcPr>
          <w:p w:rsidR="00DE35D9" w:rsidRPr="00DE35D9" w:rsidRDefault="00DE35D9" w:rsidP="00F53837">
            <w:pPr>
              <w:pStyle w:val="Header"/>
              <w:widowControl w:val="0"/>
              <w:jc w:val="right"/>
              <w:rPr>
                <w:rFonts w:ascii="Arial" w:hAnsi="Arial" w:cs="Arial"/>
              </w:rPr>
            </w:pPr>
          </w:p>
        </w:tc>
      </w:tr>
      <w:tr w:rsidR="00DE35D9" w:rsidRPr="00DE35D9" w:rsidTr="00F53837">
        <w:tc>
          <w:tcPr>
            <w:tcW w:w="5920" w:type="dxa"/>
          </w:tcPr>
          <w:p w:rsidR="00DE35D9" w:rsidRPr="00DE35D9" w:rsidRDefault="00DE35D9" w:rsidP="00F53837">
            <w:pPr>
              <w:pStyle w:val="Header"/>
              <w:widowControl w:val="0"/>
              <w:rPr>
                <w:rFonts w:ascii="Arial" w:hAnsi="Arial" w:cs="Arial"/>
                <w:b/>
              </w:rPr>
            </w:pPr>
            <w:r w:rsidRPr="00DE35D9">
              <w:rPr>
                <w:rFonts w:ascii="Arial" w:hAnsi="Arial" w:cs="Arial"/>
                <w:b/>
              </w:rPr>
              <w:t>MINISTER OF POLICE</w:t>
            </w:r>
          </w:p>
        </w:tc>
        <w:tc>
          <w:tcPr>
            <w:tcW w:w="3119" w:type="dxa"/>
          </w:tcPr>
          <w:p w:rsidR="00DE35D9" w:rsidRPr="00DE35D9" w:rsidRDefault="00DE35D9" w:rsidP="00F53837">
            <w:pPr>
              <w:pStyle w:val="Header"/>
              <w:widowControl w:val="0"/>
              <w:jc w:val="right"/>
              <w:rPr>
                <w:rFonts w:ascii="Arial" w:hAnsi="Arial" w:cs="Arial"/>
              </w:rPr>
            </w:pPr>
          </w:p>
        </w:tc>
      </w:tr>
      <w:tr w:rsidR="00DE35D9" w:rsidRPr="00DE35D9" w:rsidTr="00F53837">
        <w:tc>
          <w:tcPr>
            <w:tcW w:w="5920" w:type="dxa"/>
          </w:tcPr>
          <w:p w:rsidR="00DE35D9" w:rsidRPr="00DE35D9" w:rsidRDefault="00DE35D9" w:rsidP="00F53837">
            <w:pPr>
              <w:pStyle w:val="Header"/>
              <w:widowControl w:val="0"/>
              <w:rPr>
                <w:rFonts w:ascii="Arial" w:hAnsi="Arial" w:cs="Arial"/>
              </w:rPr>
            </w:pPr>
          </w:p>
        </w:tc>
        <w:tc>
          <w:tcPr>
            <w:tcW w:w="3119" w:type="dxa"/>
          </w:tcPr>
          <w:p w:rsidR="00DE35D9" w:rsidRPr="00DE35D9" w:rsidRDefault="00DE35D9" w:rsidP="00F53837">
            <w:pPr>
              <w:pStyle w:val="Header"/>
              <w:widowControl w:val="0"/>
              <w:jc w:val="right"/>
              <w:rPr>
                <w:rFonts w:ascii="Arial" w:hAnsi="Arial" w:cs="Arial"/>
              </w:rPr>
            </w:pPr>
            <w:r>
              <w:rPr>
                <w:rFonts w:ascii="Arial" w:hAnsi="Arial" w:cs="Arial"/>
              </w:rPr>
              <w:t>Defendant</w:t>
            </w:r>
          </w:p>
        </w:tc>
      </w:tr>
    </w:tbl>
    <w:p w:rsidR="00DE35D9" w:rsidRPr="00DE35D9" w:rsidRDefault="00DE35D9" w:rsidP="00942ACD">
      <w:pPr>
        <w:pBdr>
          <w:bottom w:val="single" w:sz="12" w:space="1" w:color="auto"/>
        </w:pBdr>
        <w:spacing w:line="360" w:lineRule="auto"/>
        <w:jc w:val="both"/>
        <w:rPr>
          <w:rFonts w:ascii="Arial" w:hAnsi="Arial" w:cs="Arial"/>
          <w:bCs/>
          <w:sz w:val="22"/>
          <w:szCs w:val="22"/>
        </w:rPr>
      </w:pPr>
    </w:p>
    <w:p w:rsidR="00942ACD" w:rsidRDefault="00942ACD" w:rsidP="00942ACD">
      <w:pPr>
        <w:pBdr>
          <w:bottom w:val="single" w:sz="12" w:space="1" w:color="auto"/>
        </w:pBdr>
        <w:spacing w:line="360" w:lineRule="auto"/>
        <w:jc w:val="both"/>
        <w:rPr>
          <w:rFonts w:ascii="Arial" w:hAnsi="Arial" w:cs="Arial"/>
          <w:b/>
          <w:bCs/>
          <w:sz w:val="22"/>
          <w:szCs w:val="22"/>
        </w:rPr>
      </w:pPr>
      <w:r w:rsidRPr="00A25B03">
        <w:rPr>
          <w:rFonts w:ascii="Arial" w:hAnsi="Arial" w:cs="Arial"/>
          <w:b/>
          <w:bCs/>
          <w:sz w:val="22"/>
          <w:szCs w:val="22"/>
        </w:rPr>
        <w:t>___________________________________________________________________</w:t>
      </w:r>
      <w:r>
        <w:rPr>
          <w:rFonts w:ascii="Arial" w:hAnsi="Arial" w:cs="Arial"/>
          <w:b/>
          <w:bCs/>
          <w:sz w:val="22"/>
          <w:szCs w:val="22"/>
        </w:rPr>
        <w:t>______</w:t>
      </w:r>
    </w:p>
    <w:p w:rsidR="00DE35D9" w:rsidRPr="00A25B03" w:rsidRDefault="00DE35D9" w:rsidP="002F70BC">
      <w:pPr>
        <w:pBdr>
          <w:bottom w:val="single" w:sz="12" w:space="1" w:color="auto"/>
        </w:pBdr>
        <w:spacing w:line="276" w:lineRule="auto"/>
        <w:jc w:val="both"/>
        <w:rPr>
          <w:rFonts w:ascii="Arial" w:hAnsi="Arial" w:cs="Arial"/>
          <w:b/>
          <w:bCs/>
          <w:sz w:val="22"/>
          <w:szCs w:val="22"/>
        </w:rPr>
      </w:pPr>
    </w:p>
    <w:p w:rsidR="00942ACD" w:rsidRDefault="00942ACD" w:rsidP="002F70BC">
      <w:pPr>
        <w:pBdr>
          <w:bottom w:val="single" w:sz="12" w:space="1" w:color="auto"/>
        </w:pBdr>
        <w:spacing w:line="276" w:lineRule="auto"/>
        <w:ind w:firstLine="720"/>
        <w:jc w:val="center"/>
        <w:rPr>
          <w:rFonts w:ascii="Arial" w:hAnsi="Arial" w:cs="Arial"/>
          <w:b/>
          <w:bCs/>
        </w:rPr>
      </w:pPr>
      <w:r w:rsidRPr="00A25B03">
        <w:rPr>
          <w:rFonts w:ascii="Arial" w:hAnsi="Arial" w:cs="Arial"/>
          <w:b/>
          <w:bCs/>
          <w:sz w:val="22"/>
          <w:szCs w:val="22"/>
        </w:rPr>
        <w:t>JUDGMENT</w:t>
      </w:r>
      <w:r w:rsidR="00911608">
        <w:rPr>
          <w:rFonts w:ascii="Arial" w:hAnsi="Arial" w:cs="Arial"/>
          <w:b/>
          <w:bCs/>
          <w:sz w:val="22"/>
          <w:szCs w:val="22"/>
        </w:rPr>
        <w:t xml:space="preserve"> DELIVERED ELECTRONICALLY</w:t>
      </w:r>
    </w:p>
    <w:p w:rsidR="00202D91" w:rsidRPr="00A25B03" w:rsidRDefault="00202D91" w:rsidP="002F70BC">
      <w:pPr>
        <w:pBdr>
          <w:bottom w:val="single" w:sz="12" w:space="1" w:color="auto"/>
        </w:pBdr>
        <w:spacing w:line="276" w:lineRule="auto"/>
        <w:ind w:firstLine="720"/>
        <w:jc w:val="both"/>
        <w:rPr>
          <w:rFonts w:ascii="Arial" w:hAnsi="Arial" w:cs="Arial"/>
          <w:b/>
          <w:bCs/>
          <w:sz w:val="22"/>
          <w:szCs w:val="22"/>
        </w:rPr>
      </w:pPr>
    </w:p>
    <w:p w:rsidR="00942ACD" w:rsidRDefault="00942ACD" w:rsidP="00942ACD">
      <w:pPr>
        <w:spacing w:line="480" w:lineRule="auto"/>
        <w:rPr>
          <w:rFonts w:ascii="Arial" w:hAnsi="Arial" w:cs="Arial"/>
          <w:b/>
          <w:bCs/>
          <w:u w:val="single"/>
          <w:lang w:val="en-US"/>
        </w:rPr>
      </w:pPr>
    </w:p>
    <w:p w:rsidR="00942ACD" w:rsidRPr="00A2775E" w:rsidRDefault="00942ACD" w:rsidP="00942ACD">
      <w:pPr>
        <w:spacing w:line="480" w:lineRule="auto"/>
        <w:rPr>
          <w:rFonts w:ascii="Arial" w:hAnsi="Arial" w:cs="Arial"/>
          <w:b/>
          <w:bCs/>
          <w:sz w:val="22"/>
          <w:szCs w:val="22"/>
          <w:u w:val="single"/>
          <w:lang w:val="en-US"/>
        </w:rPr>
      </w:pPr>
      <w:r w:rsidRPr="00A2775E">
        <w:rPr>
          <w:rFonts w:ascii="Arial" w:hAnsi="Arial" w:cs="Arial"/>
          <w:b/>
          <w:bCs/>
          <w:sz w:val="22"/>
          <w:szCs w:val="22"/>
          <w:u w:val="single"/>
          <w:lang w:val="en-US"/>
        </w:rPr>
        <w:t>MANGCU-LOCKWOOD J,</w:t>
      </w:r>
    </w:p>
    <w:p w:rsidR="002309E4" w:rsidRPr="006B33CD" w:rsidRDefault="006B33CD" w:rsidP="006B33CD">
      <w:pPr>
        <w:ind w:left="720" w:hanging="360"/>
        <w:rPr>
          <w:rFonts w:ascii="Arial" w:hAnsi="Arial" w:cs="Arial"/>
          <w:b/>
          <w:bCs/>
          <w:color w:val="000000"/>
          <w:u w:val="single"/>
          <w:lang w:eastAsia="en-ZA"/>
        </w:rPr>
      </w:pPr>
      <w:r w:rsidRPr="00202DA1">
        <w:rPr>
          <w:rFonts w:ascii="Arial" w:eastAsiaTheme="minorHAnsi" w:hAnsi="Arial" w:cs="Arial"/>
          <w:b/>
          <w:bCs/>
          <w:color w:val="000000"/>
          <w:sz w:val="22"/>
          <w:szCs w:val="22"/>
          <w:lang w:eastAsia="en-ZA"/>
        </w:rPr>
        <w:lastRenderedPageBreak/>
        <w:t>I.</w:t>
      </w:r>
      <w:r w:rsidRPr="00202DA1">
        <w:rPr>
          <w:rFonts w:ascii="Arial" w:eastAsiaTheme="minorHAnsi" w:hAnsi="Arial" w:cs="Arial"/>
          <w:b/>
          <w:bCs/>
          <w:color w:val="000000"/>
          <w:sz w:val="22"/>
          <w:szCs w:val="22"/>
          <w:lang w:eastAsia="en-ZA"/>
        </w:rPr>
        <w:tab/>
      </w:r>
      <w:r w:rsidR="00202DA1" w:rsidRPr="006B33CD">
        <w:rPr>
          <w:rFonts w:ascii="Arial" w:hAnsi="Arial" w:cs="Arial"/>
          <w:b/>
          <w:bCs/>
          <w:color w:val="000000"/>
          <w:u w:val="single"/>
          <w:lang w:eastAsia="en-ZA"/>
        </w:rPr>
        <w:t xml:space="preserve">INTRODUCTION </w:t>
      </w:r>
    </w:p>
    <w:p w:rsidR="00202DA1" w:rsidRPr="00A2775E" w:rsidRDefault="00202DA1" w:rsidP="00936A4A">
      <w:pPr>
        <w:rPr>
          <w:rFonts w:ascii="Arial" w:hAnsi="Arial" w:cs="Arial"/>
          <w:b/>
          <w:bCs/>
          <w:color w:val="000000"/>
          <w:sz w:val="22"/>
          <w:szCs w:val="22"/>
          <w:lang w:eastAsia="en-ZA"/>
        </w:rPr>
      </w:pPr>
    </w:p>
    <w:p w:rsidR="00C4137D"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1.</w:t>
      </w:r>
      <w:r w:rsidRPr="00A2775E">
        <w:rPr>
          <w:rFonts w:ascii="Arial" w:hAnsi="Arial" w:cs="Arial"/>
          <w:color w:val="000000"/>
          <w:sz w:val="22"/>
          <w:szCs w:val="22"/>
          <w:lang w:eastAsia="en-ZA"/>
        </w:rPr>
        <w:tab/>
      </w:r>
      <w:r w:rsidR="002309E4" w:rsidRPr="006B33CD">
        <w:rPr>
          <w:rFonts w:ascii="Arial" w:hAnsi="Arial" w:cs="Arial"/>
          <w:color w:val="000000"/>
          <w:lang w:val="en-US" w:eastAsia="en-ZA"/>
        </w:rPr>
        <w:t>These two matters came before me on the unopposed roll. They are applications for interim payment in terms of Uniform Rule 34A</w:t>
      </w:r>
      <w:r w:rsidR="00CA029E" w:rsidRPr="006B33CD">
        <w:rPr>
          <w:rFonts w:ascii="Arial" w:hAnsi="Arial" w:cs="Arial"/>
          <w:color w:val="000000"/>
          <w:lang w:val="en-US" w:eastAsia="en-ZA"/>
        </w:rPr>
        <w:t>,</w:t>
      </w:r>
      <w:r w:rsidR="00EB50D3" w:rsidRPr="006B33CD">
        <w:rPr>
          <w:rFonts w:ascii="Arial" w:hAnsi="Arial" w:cs="Arial"/>
          <w:color w:val="000000"/>
          <w:lang w:val="en-US" w:eastAsia="en-ZA"/>
        </w:rPr>
        <w:t xml:space="preserve"> against the same respondent, the Minister of Police</w:t>
      </w:r>
      <w:r w:rsidR="00CA029E" w:rsidRPr="006B33CD">
        <w:rPr>
          <w:rFonts w:ascii="Arial" w:hAnsi="Arial" w:cs="Arial"/>
          <w:color w:val="000000"/>
          <w:lang w:val="en-US" w:eastAsia="en-ZA"/>
        </w:rPr>
        <w:t xml:space="preserve"> (</w:t>
      </w:r>
      <w:r w:rsidR="00CA029E" w:rsidRPr="006B33CD">
        <w:rPr>
          <w:rFonts w:ascii="Arial" w:hAnsi="Arial" w:cs="Arial"/>
          <w:i/>
          <w:iCs/>
          <w:color w:val="000000"/>
          <w:lang w:val="en-US" w:eastAsia="en-ZA"/>
        </w:rPr>
        <w:t>“the Minister”</w:t>
      </w:r>
      <w:r w:rsidR="00CA029E" w:rsidRPr="006B33CD">
        <w:rPr>
          <w:rFonts w:ascii="Arial" w:hAnsi="Arial" w:cs="Arial"/>
          <w:color w:val="000000"/>
          <w:lang w:val="en-US" w:eastAsia="en-ZA"/>
        </w:rPr>
        <w:t>)</w:t>
      </w:r>
      <w:r w:rsidR="002309E4" w:rsidRPr="006B33CD">
        <w:rPr>
          <w:rFonts w:ascii="Arial" w:hAnsi="Arial" w:cs="Arial"/>
          <w:color w:val="000000"/>
          <w:lang w:val="en-US" w:eastAsia="en-ZA"/>
        </w:rPr>
        <w:t xml:space="preserve">. </w:t>
      </w:r>
      <w:r w:rsidR="00C4137D" w:rsidRPr="006B33CD">
        <w:rPr>
          <w:rFonts w:ascii="Arial" w:hAnsi="Arial" w:cs="Arial"/>
          <w:color w:val="000000"/>
          <w:lang w:val="en-US" w:eastAsia="en-ZA"/>
        </w:rPr>
        <w:t>Two days before the hearing of the matters, the respondent delivered notices of intention to oppose, but did not deliver answering affidavits. However, on the day of the hearing, Mr Manu</w:t>
      </w:r>
      <w:r w:rsidR="00CA029E" w:rsidRPr="006B33CD">
        <w:rPr>
          <w:rFonts w:ascii="Arial" w:hAnsi="Arial" w:cs="Arial"/>
          <w:color w:val="000000"/>
          <w:lang w:val="en-US" w:eastAsia="en-ZA"/>
        </w:rPr>
        <w:t>e</w:t>
      </w:r>
      <w:r w:rsidR="00C4137D" w:rsidRPr="006B33CD">
        <w:rPr>
          <w:rFonts w:ascii="Arial" w:hAnsi="Arial" w:cs="Arial"/>
          <w:color w:val="000000"/>
          <w:lang w:val="en-US" w:eastAsia="en-ZA"/>
        </w:rPr>
        <w:t xml:space="preserve">l from the state attorney appeared to represent the respondent and </w:t>
      </w:r>
      <w:r w:rsidR="00EB50D3" w:rsidRPr="006B33CD">
        <w:rPr>
          <w:rFonts w:ascii="Arial" w:hAnsi="Arial" w:cs="Arial"/>
          <w:color w:val="000000"/>
          <w:lang w:val="en-US" w:eastAsia="en-ZA"/>
        </w:rPr>
        <w:t xml:space="preserve">proceeded to </w:t>
      </w:r>
      <w:r w:rsidR="00CA029E" w:rsidRPr="006B33CD">
        <w:rPr>
          <w:rFonts w:ascii="Arial" w:hAnsi="Arial" w:cs="Arial"/>
          <w:color w:val="000000"/>
          <w:lang w:val="en-US" w:eastAsia="en-ZA"/>
        </w:rPr>
        <w:t>argue against the granting of the orders sought</w:t>
      </w:r>
      <w:r w:rsidR="00C4137D" w:rsidRPr="006B33CD">
        <w:rPr>
          <w:rFonts w:ascii="Arial" w:hAnsi="Arial" w:cs="Arial"/>
          <w:color w:val="000000"/>
          <w:lang w:val="en-US" w:eastAsia="en-ZA"/>
        </w:rPr>
        <w:t>. The bas</w:t>
      </w:r>
      <w:r w:rsidR="00EB50D3" w:rsidRPr="006B33CD">
        <w:rPr>
          <w:rFonts w:ascii="Arial" w:hAnsi="Arial" w:cs="Arial"/>
          <w:color w:val="000000"/>
          <w:lang w:val="en-US" w:eastAsia="en-ZA"/>
        </w:rPr>
        <w:t>i</w:t>
      </w:r>
      <w:r w:rsidR="00C4137D" w:rsidRPr="006B33CD">
        <w:rPr>
          <w:rFonts w:ascii="Arial" w:hAnsi="Arial" w:cs="Arial"/>
          <w:color w:val="000000"/>
          <w:lang w:val="en-US" w:eastAsia="en-ZA"/>
        </w:rPr>
        <w:t>s for the opposition is dealt with later below.</w:t>
      </w:r>
    </w:p>
    <w:p w:rsidR="00202DA1" w:rsidRDefault="00202DA1" w:rsidP="00202DA1">
      <w:pPr>
        <w:spacing w:line="480" w:lineRule="auto"/>
        <w:ind w:left="284"/>
        <w:jc w:val="both"/>
        <w:rPr>
          <w:rFonts w:ascii="Arial" w:hAnsi="Arial" w:cs="Arial"/>
          <w:color w:val="000000"/>
          <w:lang w:eastAsia="en-ZA"/>
        </w:rPr>
      </w:pPr>
    </w:p>
    <w:p w:rsidR="00C4137D" w:rsidRPr="006B33CD" w:rsidRDefault="006B33CD" w:rsidP="006B33CD">
      <w:pPr>
        <w:ind w:left="720" w:hanging="360"/>
        <w:rPr>
          <w:rFonts w:ascii="Arial" w:hAnsi="Arial" w:cs="Arial"/>
          <w:b/>
          <w:bCs/>
          <w:color w:val="000000"/>
          <w:u w:val="single"/>
          <w:lang w:eastAsia="en-ZA"/>
        </w:rPr>
      </w:pPr>
      <w:r w:rsidRPr="00202DA1">
        <w:rPr>
          <w:rFonts w:ascii="Arial" w:hAnsi="Arial" w:cs="Arial"/>
          <w:b/>
          <w:bCs/>
          <w:color w:val="000000"/>
          <w:sz w:val="22"/>
          <w:szCs w:val="22"/>
          <w:lang w:eastAsia="en-ZA"/>
        </w:rPr>
        <w:t>II.</w:t>
      </w:r>
      <w:r w:rsidRPr="00202DA1">
        <w:rPr>
          <w:rFonts w:ascii="Arial" w:hAnsi="Arial" w:cs="Arial"/>
          <w:b/>
          <w:bCs/>
          <w:color w:val="000000"/>
          <w:sz w:val="22"/>
          <w:szCs w:val="22"/>
          <w:lang w:eastAsia="en-ZA"/>
        </w:rPr>
        <w:tab/>
      </w:r>
      <w:r w:rsidR="00202DA1" w:rsidRPr="006B33CD">
        <w:rPr>
          <w:rFonts w:ascii="Arial" w:hAnsi="Arial" w:cs="Arial"/>
          <w:b/>
          <w:bCs/>
          <w:color w:val="000000"/>
          <w:u w:val="single"/>
          <w:lang w:eastAsia="en-ZA"/>
        </w:rPr>
        <w:t>THE RELEVANT FACTS</w:t>
      </w:r>
    </w:p>
    <w:p w:rsidR="00202DA1" w:rsidRPr="00202DA1" w:rsidRDefault="00202DA1" w:rsidP="00202DA1">
      <w:pPr>
        <w:pStyle w:val="ListParagraph"/>
        <w:rPr>
          <w:rFonts w:ascii="Arial" w:eastAsia="Times New Roman" w:hAnsi="Arial" w:cs="Arial"/>
          <w:b/>
          <w:bCs/>
          <w:color w:val="000000"/>
          <w:u w:val="single"/>
          <w:lang w:eastAsia="en-ZA"/>
        </w:rPr>
      </w:pPr>
    </w:p>
    <w:p w:rsidR="00202DA1" w:rsidRPr="00202DA1" w:rsidRDefault="00202DA1" w:rsidP="00202DA1">
      <w:pPr>
        <w:pStyle w:val="ListParagraph"/>
        <w:rPr>
          <w:rFonts w:ascii="Arial" w:eastAsia="Times New Roman" w:hAnsi="Arial" w:cs="Arial"/>
          <w:b/>
          <w:bCs/>
          <w:color w:val="000000"/>
          <w:lang w:eastAsia="en-ZA"/>
        </w:rPr>
      </w:pPr>
    </w:p>
    <w:p w:rsidR="00276AE9"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2.</w:t>
      </w:r>
      <w:r w:rsidRPr="00A2775E">
        <w:rPr>
          <w:rFonts w:ascii="Arial" w:hAnsi="Arial" w:cs="Arial"/>
          <w:color w:val="000000"/>
          <w:sz w:val="22"/>
          <w:szCs w:val="22"/>
          <w:lang w:eastAsia="en-ZA"/>
        </w:rPr>
        <w:tab/>
      </w:r>
      <w:r w:rsidR="002309E4" w:rsidRPr="006B33CD">
        <w:rPr>
          <w:rFonts w:ascii="Arial" w:hAnsi="Arial" w:cs="Arial"/>
          <w:color w:val="000000"/>
          <w:lang w:val="en-US" w:eastAsia="en-ZA"/>
        </w:rPr>
        <w:t xml:space="preserve">In both matters the applicants are plaintiffs who have instituted actions against the Minister for damages arising </w:t>
      </w:r>
      <w:r w:rsidR="00C42539" w:rsidRPr="006B33CD">
        <w:rPr>
          <w:rFonts w:ascii="Arial" w:hAnsi="Arial" w:cs="Arial"/>
          <w:color w:val="000000"/>
          <w:lang w:val="en-US" w:eastAsia="en-ZA"/>
        </w:rPr>
        <w:t>out of</w:t>
      </w:r>
      <w:r w:rsidR="002309E4" w:rsidRPr="006B33CD">
        <w:rPr>
          <w:rFonts w:ascii="Arial" w:hAnsi="Arial" w:cs="Arial"/>
          <w:color w:val="000000"/>
          <w:lang w:val="en-US" w:eastAsia="en-ZA"/>
        </w:rPr>
        <w:t xml:space="preserve"> a</w:t>
      </w:r>
      <w:r w:rsidR="00CA029E" w:rsidRPr="006B33CD">
        <w:rPr>
          <w:rFonts w:ascii="Arial" w:hAnsi="Arial" w:cs="Arial"/>
          <w:color w:val="000000"/>
          <w:lang w:val="en-US" w:eastAsia="en-ZA"/>
        </w:rPr>
        <w:t xml:space="preserve"> shooting</w:t>
      </w:r>
      <w:r w:rsidR="002309E4" w:rsidRPr="006B33CD">
        <w:rPr>
          <w:rFonts w:ascii="Arial" w:hAnsi="Arial" w:cs="Arial"/>
          <w:color w:val="000000"/>
          <w:lang w:val="en-US" w:eastAsia="en-ZA"/>
        </w:rPr>
        <w:t xml:space="preserve"> incident of 14 March 2016.</w:t>
      </w:r>
      <w:r w:rsidR="00C4137D" w:rsidRPr="006B33CD">
        <w:rPr>
          <w:rFonts w:ascii="Arial" w:hAnsi="Arial" w:cs="Arial"/>
          <w:color w:val="000000"/>
          <w:lang w:val="en-US" w:eastAsia="en-ZA"/>
        </w:rPr>
        <w:t xml:space="preserve"> </w:t>
      </w:r>
      <w:r w:rsidR="00B43A8C" w:rsidRPr="006B33CD">
        <w:rPr>
          <w:rFonts w:ascii="Arial" w:hAnsi="Arial" w:cs="Arial"/>
          <w:color w:val="000000"/>
          <w:lang w:val="en-US" w:eastAsia="en-ZA"/>
        </w:rPr>
        <w:t>According to</w:t>
      </w:r>
      <w:r w:rsidR="00887117" w:rsidRPr="006B33CD">
        <w:rPr>
          <w:rFonts w:ascii="Arial" w:hAnsi="Arial" w:cs="Arial"/>
          <w:color w:val="000000"/>
          <w:lang w:val="en-US" w:eastAsia="en-ZA"/>
        </w:rPr>
        <w:t xml:space="preserve"> </w:t>
      </w:r>
      <w:r w:rsidR="00B43A8C" w:rsidRPr="006B33CD">
        <w:rPr>
          <w:rFonts w:ascii="Arial" w:hAnsi="Arial" w:cs="Arial"/>
          <w:color w:val="000000"/>
          <w:lang w:val="en-US" w:eastAsia="en-ZA"/>
        </w:rPr>
        <w:t>the summons</w:t>
      </w:r>
      <w:r w:rsidR="00D22F99" w:rsidRPr="006B33CD">
        <w:rPr>
          <w:rFonts w:ascii="Arial" w:hAnsi="Arial" w:cs="Arial"/>
          <w:color w:val="000000"/>
          <w:lang w:val="en-US" w:eastAsia="en-ZA"/>
        </w:rPr>
        <w:t xml:space="preserve"> in both matters</w:t>
      </w:r>
      <w:r w:rsidR="00B43A8C" w:rsidRPr="006B33CD">
        <w:rPr>
          <w:rFonts w:ascii="Arial" w:hAnsi="Arial" w:cs="Arial"/>
          <w:color w:val="000000"/>
          <w:lang w:val="en-US" w:eastAsia="en-ZA"/>
        </w:rPr>
        <w:t xml:space="preserve">, </w:t>
      </w:r>
      <w:r w:rsidR="000C1DA7" w:rsidRPr="006B33CD">
        <w:rPr>
          <w:rFonts w:ascii="Arial" w:hAnsi="Arial" w:cs="Arial"/>
          <w:color w:val="000000"/>
          <w:lang w:val="en-US" w:eastAsia="en-ZA"/>
        </w:rPr>
        <w:t xml:space="preserve">the applicants, </w:t>
      </w:r>
      <w:r w:rsidR="00C0667B" w:rsidRPr="006B33CD">
        <w:rPr>
          <w:rFonts w:ascii="Arial" w:hAnsi="Arial" w:cs="Arial"/>
          <w:color w:val="000000"/>
          <w:lang w:val="en-US" w:eastAsia="en-ZA"/>
        </w:rPr>
        <w:t>who were employed at McDonald's fast</w:t>
      </w:r>
      <w:r w:rsidR="00524DAD" w:rsidRPr="006B33CD">
        <w:rPr>
          <w:rFonts w:ascii="Arial" w:hAnsi="Arial" w:cs="Arial"/>
          <w:color w:val="000000"/>
          <w:lang w:val="en-US" w:eastAsia="en-ZA"/>
        </w:rPr>
        <w:t xml:space="preserve"> </w:t>
      </w:r>
      <w:r w:rsidR="00C0667B" w:rsidRPr="006B33CD">
        <w:rPr>
          <w:rFonts w:ascii="Arial" w:hAnsi="Arial" w:cs="Arial"/>
          <w:color w:val="000000"/>
          <w:lang w:val="en-US" w:eastAsia="en-ZA"/>
        </w:rPr>
        <w:t xml:space="preserve">food restaurant in Kuilsriver, were </w:t>
      </w:r>
      <w:r w:rsidR="00B43A8C" w:rsidRPr="006B33CD">
        <w:rPr>
          <w:rFonts w:ascii="Arial" w:hAnsi="Arial" w:cs="Arial"/>
          <w:color w:val="000000"/>
          <w:lang w:val="en-US" w:eastAsia="en-ZA"/>
        </w:rPr>
        <w:t>passengers</w:t>
      </w:r>
      <w:r w:rsidR="00C0667B" w:rsidRPr="006B33CD">
        <w:rPr>
          <w:rFonts w:ascii="Arial" w:hAnsi="Arial" w:cs="Arial"/>
          <w:color w:val="000000"/>
          <w:lang w:val="en-US" w:eastAsia="en-ZA"/>
        </w:rPr>
        <w:t xml:space="preserve"> together with seven other staff members </w:t>
      </w:r>
      <w:r w:rsidR="00B43A8C" w:rsidRPr="006B33CD">
        <w:rPr>
          <w:rFonts w:ascii="Arial" w:hAnsi="Arial" w:cs="Arial"/>
          <w:color w:val="000000"/>
          <w:lang w:val="en-US" w:eastAsia="en-ZA"/>
        </w:rPr>
        <w:t xml:space="preserve">in a white Quantum </w:t>
      </w:r>
      <w:r w:rsidR="00887117" w:rsidRPr="006B33CD">
        <w:rPr>
          <w:rFonts w:ascii="Arial" w:hAnsi="Arial" w:cs="Arial"/>
          <w:color w:val="000000"/>
          <w:lang w:val="en-US" w:eastAsia="en-ZA"/>
        </w:rPr>
        <w:t>vehicle (</w:t>
      </w:r>
      <w:r w:rsidR="00887117" w:rsidRPr="006B33CD">
        <w:rPr>
          <w:rFonts w:ascii="Arial" w:hAnsi="Arial" w:cs="Arial"/>
          <w:i/>
          <w:iCs/>
          <w:color w:val="000000"/>
          <w:lang w:val="en-US" w:eastAsia="en-ZA"/>
        </w:rPr>
        <w:t>“the Quantum”</w:t>
      </w:r>
      <w:r w:rsidR="00887117" w:rsidRPr="006B33CD">
        <w:rPr>
          <w:rFonts w:ascii="Arial" w:hAnsi="Arial" w:cs="Arial"/>
          <w:color w:val="000000"/>
          <w:lang w:val="en-US" w:eastAsia="en-ZA"/>
        </w:rPr>
        <w:t>)</w:t>
      </w:r>
      <w:r w:rsidR="00B43A8C" w:rsidRPr="006B33CD">
        <w:rPr>
          <w:rFonts w:ascii="Arial" w:hAnsi="Arial" w:cs="Arial"/>
          <w:color w:val="000000"/>
          <w:lang w:val="en-US" w:eastAsia="en-ZA"/>
        </w:rPr>
        <w:t xml:space="preserve">, when members of the </w:t>
      </w:r>
      <w:r w:rsidR="00887117" w:rsidRPr="006B33CD">
        <w:rPr>
          <w:rFonts w:ascii="Arial" w:hAnsi="Arial" w:cs="Arial"/>
          <w:color w:val="000000"/>
          <w:lang w:val="en-US" w:eastAsia="en-ZA"/>
        </w:rPr>
        <w:t>police (</w:t>
      </w:r>
      <w:r w:rsidR="00920D31" w:rsidRPr="006B33CD">
        <w:rPr>
          <w:rFonts w:ascii="Arial" w:hAnsi="Arial" w:cs="Arial"/>
          <w:i/>
          <w:iCs/>
          <w:color w:val="000000"/>
          <w:lang w:val="en-US" w:eastAsia="en-ZA"/>
        </w:rPr>
        <w:t>“</w:t>
      </w:r>
      <w:r w:rsidR="00887117" w:rsidRPr="006B33CD">
        <w:rPr>
          <w:rFonts w:ascii="Arial" w:hAnsi="Arial" w:cs="Arial"/>
          <w:i/>
          <w:iCs/>
          <w:color w:val="000000"/>
          <w:lang w:val="en-US" w:eastAsia="en-ZA"/>
        </w:rPr>
        <w:t>SAPS</w:t>
      </w:r>
      <w:r w:rsidR="00920D31" w:rsidRPr="006B33CD">
        <w:rPr>
          <w:rFonts w:ascii="Arial" w:hAnsi="Arial" w:cs="Arial"/>
          <w:i/>
          <w:iCs/>
          <w:color w:val="000000"/>
          <w:lang w:val="en-US" w:eastAsia="en-ZA"/>
        </w:rPr>
        <w:t>”</w:t>
      </w:r>
      <w:r w:rsidR="00887117" w:rsidRPr="006B33CD">
        <w:rPr>
          <w:rFonts w:ascii="Arial" w:hAnsi="Arial" w:cs="Arial"/>
          <w:color w:val="000000"/>
          <w:lang w:val="en-US" w:eastAsia="en-ZA"/>
        </w:rPr>
        <w:t>)</w:t>
      </w:r>
      <w:r w:rsidR="00B43A8C" w:rsidRPr="006B33CD">
        <w:rPr>
          <w:rFonts w:ascii="Arial" w:hAnsi="Arial" w:cs="Arial"/>
          <w:color w:val="000000"/>
          <w:lang w:val="en-US" w:eastAsia="en-ZA"/>
        </w:rPr>
        <w:t xml:space="preserve"> fired gunshots at the </w:t>
      </w:r>
      <w:r w:rsidR="00887117" w:rsidRPr="006B33CD">
        <w:rPr>
          <w:rFonts w:ascii="Arial" w:hAnsi="Arial" w:cs="Arial"/>
          <w:color w:val="000000"/>
          <w:lang w:val="en-US" w:eastAsia="en-ZA"/>
        </w:rPr>
        <w:t>Quantum</w:t>
      </w:r>
      <w:r w:rsidR="00524DAD" w:rsidRPr="006B33CD">
        <w:rPr>
          <w:rFonts w:ascii="Arial" w:hAnsi="Arial" w:cs="Arial"/>
          <w:color w:val="000000"/>
          <w:lang w:val="en-US" w:eastAsia="en-ZA"/>
        </w:rPr>
        <w:t>, apparently mistaking it for another</w:t>
      </w:r>
      <w:r w:rsidR="00525A12" w:rsidRPr="006B33CD">
        <w:rPr>
          <w:rFonts w:ascii="Arial" w:hAnsi="Arial" w:cs="Arial"/>
          <w:color w:val="000000"/>
          <w:lang w:val="en-US" w:eastAsia="en-ZA"/>
        </w:rPr>
        <w:t xml:space="preserve"> similar vehicle</w:t>
      </w:r>
      <w:r w:rsidR="00B43A8C" w:rsidRPr="006B33CD">
        <w:rPr>
          <w:rFonts w:ascii="Arial" w:hAnsi="Arial" w:cs="Arial"/>
          <w:color w:val="000000"/>
          <w:lang w:val="en-US" w:eastAsia="en-ZA"/>
        </w:rPr>
        <w:t>.</w:t>
      </w:r>
      <w:r w:rsidR="00D22F99" w:rsidRPr="006B33CD">
        <w:rPr>
          <w:rFonts w:ascii="Arial" w:hAnsi="Arial" w:cs="Arial"/>
          <w:color w:val="000000"/>
          <w:lang w:val="en-US" w:eastAsia="en-ZA"/>
        </w:rPr>
        <w:t xml:space="preserve"> </w:t>
      </w:r>
    </w:p>
    <w:p w:rsidR="00525A12" w:rsidRPr="00A2775E" w:rsidRDefault="00525A12" w:rsidP="00525A12">
      <w:pPr>
        <w:pStyle w:val="ListParagraph"/>
        <w:spacing w:after="0" w:line="480" w:lineRule="auto"/>
        <w:ind w:left="851"/>
        <w:jc w:val="both"/>
        <w:rPr>
          <w:rFonts w:ascii="Arial" w:eastAsia="Times New Roman" w:hAnsi="Arial" w:cs="Arial"/>
          <w:color w:val="000000"/>
          <w:lang w:eastAsia="en-ZA"/>
        </w:rPr>
      </w:pPr>
    </w:p>
    <w:p w:rsidR="00BD7D11"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3.</w:t>
      </w:r>
      <w:r w:rsidRPr="00A2775E">
        <w:rPr>
          <w:rFonts w:ascii="Arial" w:hAnsi="Arial" w:cs="Arial"/>
          <w:color w:val="000000"/>
          <w:sz w:val="22"/>
          <w:szCs w:val="22"/>
          <w:lang w:eastAsia="en-ZA"/>
        </w:rPr>
        <w:tab/>
      </w:r>
      <w:r w:rsidR="00BD7D11" w:rsidRPr="006B33CD">
        <w:rPr>
          <w:rFonts w:ascii="Arial" w:hAnsi="Arial" w:cs="Arial"/>
          <w:color w:val="000000"/>
          <w:lang w:val="en-US" w:eastAsia="en-ZA"/>
        </w:rPr>
        <w:t xml:space="preserve">The applicants’ claims </w:t>
      </w:r>
      <w:r w:rsidR="00525A12" w:rsidRPr="006B33CD">
        <w:rPr>
          <w:rFonts w:ascii="Arial" w:hAnsi="Arial" w:cs="Arial"/>
          <w:color w:val="000000"/>
          <w:lang w:val="en-US" w:eastAsia="en-ZA"/>
        </w:rPr>
        <w:t>for interim payment</w:t>
      </w:r>
      <w:r w:rsidR="00BD7D11" w:rsidRPr="006B33CD">
        <w:rPr>
          <w:rFonts w:ascii="Arial" w:hAnsi="Arial" w:cs="Arial"/>
          <w:color w:val="000000"/>
          <w:lang w:val="en-US" w:eastAsia="en-ZA"/>
        </w:rPr>
        <w:t xml:space="preserve"> are based on </w:t>
      </w:r>
      <w:r w:rsidR="00BD7D11" w:rsidRPr="006B33CD">
        <w:rPr>
          <w:rFonts w:ascii="Arial" w:hAnsi="Arial" w:cs="Arial"/>
          <w:color w:val="000000"/>
          <w:lang w:eastAsia="en-ZA"/>
        </w:rPr>
        <w:t xml:space="preserve">loss of income </w:t>
      </w:r>
      <w:r w:rsidR="00525A12" w:rsidRPr="006B33CD">
        <w:rPr>
          <w:rFonts w:ascii="Arial" w:hAnsi="Arial" w:cs="Arial"/>
          <w:color w:val="000000"/>
          <w:lang w:eastAsia="en-ZA"/>
        </w:rPr>
        <w:t xml:space="preserve">flowing from </w:t>
      </w:r>
      <w:r w:rsidR="00BD7D11" w:rsidRPr="006B33CD">
        <w:rPr>
          <w:rFonts w:ascii="Arial" w:hAnsi="Arial" w:cs="Arial"/>
          <w:color w:val="000000"/>
          <w:lang w:eastAsia="en-ZA"/>
        </w:rPr>
        <w:t>physical disability</w:t>
      </w:r>
      <w:r w:rsidR="00B02FEC" w:rsidRPr="006B33CD">
        <w:rPr>
          <w:rFonts w:ascii="Arial" w:hAnsi="Arial" w:cs="Arial"/>
          <w:color w:val="000000"/>
          <w:lang w:eastAsia="en-ZA"/>
        </w:rPr>
        <w:t xml:space="preserve"> </w:t>
      </w:r>
      <w:r w:rsidR="00525A12" w:rsidRPr="006B33CD">
        <w:rPr>
          <w:rFonts w:ascii="Arial" w:hAnsi="Arial" w:cs="Arial"/>
          <w:color w:val="000000"/>
          <w:lang w:eastAsia="en-ZA"/>
        </w:rPr>
        <w:t xml:space="preserve">which, in turn was caused by </w:t>
      </w:r>
      <w:r w:rsidR="00524DAD" w:rsidRPr="006B33CD">
        <w:rPr>
          <w:rFonts w:ascii="Arial" w:hAnsi="Arial" w:cs="Arial"/>
          <w:color w:val="000000"/>
          <w:lang w:eastAsia="en-ZA"/>
        </w:rPr>
        <w:t>the shooting incident</w:t>
      </w:r>
      <w:r w:rsidR="00BD7D11" w:rsidRPr="006B33CD">
        <w:rPr>
          <w:rFonts w:ascii="Arial" w:hAnsi="Arial" w:cs="Arial"/>
          <w:color w:val="000000"/>
          <w:lang w:eastAsia="en-ZA"/>
        </w:rPr>
        <w:t>.</w:t>
      </w:r>
      <w:r w:rsidR="0087492C" w:rsidRPr="006B33CD">
        <w:rPr>
          <w:rFonts w:ascii="Arial" w:hAnsi="Arial" w:cs="Arial"/>
          <w:color w:val="000000"/>
          <w:lang w:eastAsia="en-ZA"/>
        </w:rPr>
        <w:t xml:space="preserve"> They furthermore state that</w:t>
      </w:r>
      <w:r w:rsidR="0087492C" w:rsidRPr="006B33CD">
        <w:rPr>
          <w:rFonts w:ascii="Arial" w:hAnsi="Arial" w:cs="Arial"/>
          <w:color w:val="000000"/>
          <w:lang w:val="en-US" w:eastAsia="en-ZA"/>
        </w:rPr>
        <w:t xml:space="preserve"> the delay in finalizing the</w:t>
      </w:r>
      <w:r w:rsidR="004121BA" w:rsidRPr="006B33CD">
        <w:rPr>
          <w:rFonts w:ascii="Arial" w:hAnsi="Arial" w:cs="Arial"/>
          <w:color w:val="000000"/>
          <w:lang w:val="en-US" w:eastAsia="en-ZA"/>
        </w:rPr>
        <w:t xml:space="preserve"> action,</w:t>
      </w:r>
      <w:r w:rsidR="0087492C" w:rsidRPr="006B33CD">
        <w:rPr>
          <w:rFonts w:ascii="Arial" w:hAnsi="Arial" w:cs="Arial"/>
          <w:color w:val="000000"/>
          <w:lang w:val="en-US" w:eastAsia="en-ZA"/>
        </w:rPr>
        <w:t xml:space="preserve"> which they attribute to the respondent, is causing them undue hardship.</w:t>
      </w:r>
      <w:r w:rsidR="00AA7F18" w:rsidRPr="006B33CD">
        <w:rPr>
          <w:rFonts w:ascii="Arial" w:hAnsi="Arial" w:cs="Arial"/>
          <w:color w:val="000000"/>
          <w:lang w:val="en-US" w:eastAsia="en-ZA"/>
        </w:rPr>
        <w:t xml:space="preserve"> The hardship is further exacerbated by the effects of the COVID-19 pandemic on their social support structures. </w:t>
      </w:r>
      <w:r w:rsidR="0087492C" w:rsidRPr="006B33CD">
        <w:rPr>
          <w:rFonts w:ascii="Arial" w:hAnsi="Arial" w:cs="Arial"/>
          <w:color w:val="000000"/>
          <w:lang w:val="en-US" w:eastAsia="en-ZA"/>
        </w:rPr>
        <w:t>They have both set out their personal circumstances,</w:t>
      </w:r>
      <w:r w:rsidR="00B02FEC" w:rsidRPr="006B33CD">
        <w:rPr>
          <w:rFonts w:ascii="Arial" w:hAnsi="Arial" w:cs="Arial"/>
          <w:color w:val="000000"/>
          <w:lang w:val="en-US" w:eastAsia="en-ZA"/>
        </w:rPr>
        <w:t xml:space="preserve"> </w:t>
      </w:r>
      <w:r w:rsidR="00B02FEC" w:rsidRPr="006B33CD">
        <w:rPr>
          <w:rFonts w:ascii="Arial" w:hAnsi="Arial" w:cs="Arial"/>
          <w:color w:val="000000"/>
          <w:lang w:val="en-US" w:eastAsia="en-ZA"/>
        </w:rPr>
        <w:lastRenderedPageBreak/>
        <w:t>which remain unopposed,</w:t>
      </w:r>
      <w:r w:rsidR="0087492C" w:rsidRPr="006B33CD">
        <w:rPr>
          <w:rFonts w:ascii="Arial" w:hAnsi="Arial" w:cs="Arial"/>
          <w:color w:val="000000"/>
          <w:lang w:val="en-US" w:eastAsia="en-ZA"/>
        </w:rPr>
        <w:t xml:space="preserve"> showing that that they are </w:t>
      </w:r>
      <w:r w:rsidR="00B02FEC" w:rsidRPr="006B33CD">
        <w:rPr>
          <w:rFonts w:ascii="Arial" w:hAnsi="Arial" w:cs="Arial"/>
          <w:color w:val="000000"/>
          <w:lang w:val="en-US" w:eastAsia="en-ZA"/>
        </w:rPr>
        <w:t xml:space="preserve">both </w:t>
      </w:r>
      <w:r w:rsidR="0087492C" w:rsidRPr="006B33CD">
        <w:rPr>
          <w:rFonts w:ascii="Arial" w:hAnsi="Arial" w:cs="Arial"/>
          <w:color w:val="000000"/>
          <w:lang w:val="en-US" w:eastAsia="en-ZA"/>
        </w:rPr>
        <w:t>unemployed</w:t>
      </w:r>
      <w:r w:rsidR="00B02FEC" w:rsidRPr="006B33CD">
        <w:rPr>
          <w:rFonts w:ascii="Arial" w:hAnsi="Arial" w:cs="Arial"/>
          <w:color w:val="000000"/>
          <w:lang w:val="en-US" w:eastAsia="en-ZA"/>
        </w:rPr>
        <w:t>;</w:t>
      </w:r>
      <w:r w:rsidR="0087492C" w:rsidRPr="006B33CD">
        <w:rPr>
          <w:rFonts w:ascii="Arial" w:hAnsi="Arial" w:cs="Arial"/>
          <w:color w:val="000000"/>
          <w:lang w:val="en-US" w:eastAsia="en-ZA"/>
        </w:rPr>
        <w:t xml:space="preserve"> </w:t>
      </w:r>
      <w:r w:rsidR="00B02FEC" w:rsidRPr="006B33CD">
        <w:rPr>
          <w:rFonts w:ascii="Arial" w:hAnsi="Arial" w:cs="Arial"/>
          <w:color w:val="000000"/>
          <w:lang w:val="en-US" w:eastAsia="en-ZA"/>
        </w:rPr>
        <w:t>both</w:t>
      </w:r>
      <w:r w:rsidR="009513B4" w:rsidRPr="006B33CD">
        <w:rPr>
          <w:rFonts w:ascii="Arial" w:hAnsi="Arial" w:cs="Arial"/>
          <w:color w:val="000000"/>
          <w:lang w:val="en-US" w:eastAsia="en-ZA"/>
        </w:rPr>
        <w:t xml:space="preserve"> </w:t>
      </w:r>
      <w:r w:rsidR="0087492C" w:rsidRPr="006B33CD">
        <w:rPr>
          <w:rFonts w:ascii="Arial" w:hAnsi="Arial" w:cs="Arial"/>
          <w:color w:val="000000"/>
          <w:lang w:val="en-US" w:eastAsia="en-ZA"/>
        </w:rPr>
        <w:t>unmarried with three minor children</w:t>
      </w:r>
      <w:r w:rsidR="00B02FEC" w:rsidRPr="006B33CD">
        <w:rPr>
          <w:rFonts w:ascii="Arial" w:hAnsi="Arial" w:cs="Arial"/>
          <w:color w:val="000000"/>
          <w:lang w:val="en-US" w:eastAsia="en-ZA"/>
        </w:rPr>
        <w:t>;</w:t>
      </w:r>
      <w:r w:rsidR="0087492C" w:rsidRPr="006B33CD">
        <w:rPr>
          <w:rFonts w:ascii="Arial" w:hAnsi="Arial" w:cs="Arial"/>
          <w:color w:val="000000"/>
          <w:lang w:val="en-US" w:eastAsia="en-ZA"/>
        </w:rPr>
        <w:t xml:space="preserve"> and </w:t>
      </w:r>
      <w:r w:rsidR="009513B4" w:rsidRPr="006B33CD">
        <w:rPr>
          <w:rFonts w:ascii="Arial" w:hAnsi="Arial" w:cs="Arial"/>
          <w:color w:val="000000"/>
          <w:lang w:val="en-US" w:eastAsia="en-ZA"/>
        </w:rPr>
        <w:t xml:space="preserve">are </w:t>
      </w:r>
      <w:r w:rsidR="004121BA" w:rsidRPr="006B33CD">
        <w:rPr>
          <w:rFonts w:ascii="Arial" w:hAnsi="Arial" w:cs="Arial"/>
          <w:color w:val="000000"/>
          <w:lang w:val="en-US" w:eastAsia="en-ZA"/>
        </w:rPr>
        <w:t xml:space="preserve">both </w:t>
      </w:r>
      <w:r w:rsidR="0087492C" w:rsidRPr="006B33CD">
        <w:rPr>
          <w:rFonts w:ascii="Arial" w:hAnsi="Arial" w:cs="Arial"/>
          <w:color w:val="000000"/>
          <w:lang w:val="en-US" w:eastAsia="en-ZA"/>
        </w:rPr>
        <w:t>unable to work as a result of the injur</w:t>
      </w:r>
      <w:r w:rsidR="009513B4" w:rsidRPr="006B33CD">
        <w:rPr>
          <w:rFonts w:ascii="Arial" w:hAnsi="Arial" w:cs="Arial"/>
          <w:color w:val="000000"/>
          <w:lang w:val="en-US" w:eastAsia="en-ZA"/>
        </w:rPr>
        <w:t>ies</w:t>
      </w:r>
      <w:r w:rsidR="0087492C" w:rsidRPr="006B33CD">
        <w:rPr>
          <w:rFonts w:ascii="Arial" w:hAnsi="Arial" w:cs="Arial"/>
          <w:color w:val="000000"/>
          <w:lang w:val="en-US" w:eastAsia="en-ZA"/>
        </w:rPr>
        <w:t xml:space="preserve"> sustained </w:t>
      </w:r>
      <w:r w:rsidR="00B02FEC" w:rsidRPr="006B33CD">
        <w:rPr>
          <w:rFonts w:ascii="Arial" w:hAnsi="Arial" w:cs="Arial"/>
          <w:color w:val="000000"/>
          <w:lang w:val="en-US" w:eastAsia="en-ZA"/>
        </w:rPr>
        <w:t xml:space="preserve">in </w:t>
      </w:r>
      <w:r w:rsidR="0087492C" w:rsidRPr="006B33CD">
        <w:rPr>
          <w:rFonts w:ascii="Arial" w:hAnsi="Arial" w:cs="Arial"/>
          <w:color w:val="000000"/>
          <w:lang w:val="en-US" w:eastAsia="en-ZA"/>
        </w:rPr>
        <w:t>the incident of 14 March 2016. Both of the</w:t>
      </w:r>
      <w:r w:rsidR="009513B4" w:rsidRPr="006B33CD">
        <w:rPr>
          <w:rFonts w:ascii="Arial" w:hAnsi="Arial" w:cs="Arial"/>
          <w:color w:val="000000"/>
          <w:lang w:val="en-US" w:eastAsia="en-ZA"/>
        </w:rPr>
        <w:t xml:space="preserve"> applicants</w:t>
      </w:r>
      <w:r w:rsidR="00B02FEC" w:rsidRPr="006B33CD">
        <w:rPr>
          <w:rFonts w:ascii="Arial" w:hAnsi="Arial" w:cs="Arial"/>
          <w:color w:val="000000"/>
          <w:lang w:val="en-US" w:eastAsia="en-ZA"/>
        </w:rPr>
        <w:t xml:space="preserve"> reside with their</w:t>
      </w:r>
      <w:r w:rsidR="009513B4" w:rsidRPr="006B33CD">
        <w:rPr>
          <w:rFonts w:ascii="Arial" w:hAnsi="Arial" w:cs="Arial"/>
          <w:color w:val="000000"/>
          <w:lang w:val="en-US" w:eastAsia="en-ZA"/>
        </w:rPr>
        <w:t xml:space="preserve"> </w:t>
      </w:r>
      <w:r w:rsidR="0087492C" w:rsidRPr="006B33CD">
        <w:rPr>
          <w:rFonts w:ascii="Arial" w:hAnsi="Arial" w:cs="Arial"/>
          <w:color w:val="000000"/>
          <w:lang w:val="en-US" w:eastAsia="en-ZA"/>
        </w:rPr>
        <w:t xml:space="preserve">boyfriends, </w:t>
      </w:r>
      <w:r w:rsidR="00B02FEC" w:rsidRPr="006B33CD">
        <w:rPr>
          <w:rFonts w:ascii="Arial" w:hAnsi="Arial" w:cs="Arial"/>
          <w:color w:val="000000"/>
          <w:lang w:val="en-US" w:eastAsia="en-ZA"/>
        </w:rPr>
        <w:t xml:space="preserve">who </w:t>
      </w:r>
      <w:r w:rsidR="0087492C" w:rsidRPr="006B33CD">
        <w:rPr>
          <w:rFonts w:ascii="Arial" w:hAnsi="Arial" w:cs="Arial"/>
          <w:color w:val="000000"/>
          <w:lang w:val="en-US" w:eastAsia="en-ZA"/>
        </w:rPr>
        <w:t>are</w:t>
      </w:r>
      <w:r w:rsidR="00B02FEC" w:rsidRPr="006B33CD">
        <w:rPr>
          <w:rFonts w:ascii="Arial" w:hAnsi="Arial" w:cs="Arial"/>
          <w:color w:val="000000"/>
          <w:lang w:val="en-US" w:eastAsia="en-ZA"/>
        </w:rPr>
        <w:t xml:space="preserve"> also</w:t>
      </w:r>
      <w:r w:rsidR="0087492C" w:rsidRPr="006B33CD">
        <w:rPr>
          <w:rFonts w:ascii="Arial" w:hAnsi="Arial" w:cs="Arial"/>
          <w:color w:val="000000"/>
          <w:lang w:val="en-US" w:eastAsia="en-ZA"/>
        </w:rPr>
        <w:t xml:space="preserve"> currently unemployed. </w:t>
      </w:r>
      <w:r w:rsidR="00B02FEC" w:rsidRPr="006B33CD">
        <w:rPr>
          <w:rFonts w:ascii="Arial" w:hAnsi="Arial" w:cs="Arial"/>
          <w:color w:val="000000"/>
          <w:lang w:val="en-US" w:eastAsia="en-ZA"/>
        </w:rPr>
        <w:t xml:space="preserve">For each applicant </w:t>
      </w:r>
      <w:r w:rsidR="0087492C" w:rsidRPr="006B33CD">
        <w:rPr>
          <w:rFonts w:ascii="Arial" w:hAnsi="Arial" w:cs="Arial"/>
          <w:color w:val="000000"/>
          <w:lang w:val="en-US" w:eastAsia="en-ZA"/>
        </w:rPr>
        <w:t xml:space="preserve">the main source of income </w:t>
      </w:r>
      <w:r w:rsidR="00B02FEC" w:rsidRPr="006B33CD">
        <w:rPr>
          <w:rFonts w:ascii="Arial" w:hAnsi="Arial" w:cs="Arial"/>
          <w:color w:val="000000"/>
          <w:lang w:val="en-US" w:eastAsia="en-ZA"/>
        </w:rPr>
        <w:t>is a</w:t>
      </w:r>
      <w:r w:rsidR="0087492C" w:rsidRPr="006B33CD">
        <w:rPr>
          <w:rFonts w:ascii="Arial" w:hAnsi="Arial" w:cs="Arial"/>
          <w:color w:val="000000"/>
          <w:lang w:val="en-US" w:eastAsia="en-ZA"/>
        </w:rPr>
        <w:t xml:space="preserve"> disability grant, as well as SASSA benefits for the three minor children</w:t>
      </w:r>
      <w:r w:rsidR="00B02FEC" w:rsidRPr="006B33CD">
        <w:rPr>
          <w:rFonts w:ascii="Arial" w:hAnsi="Arial" w:cs="Arial"/>
          <w:color w:val="000000"/>
          <w:lang w:val="en-US" w:eastAsia="en-ZA"/>
        </w:rPr>
        <w:t xml:space="preserve">, which </w:t>
      </w:r>
      <w:r w:rsidR="00920D31" w:rsidRPr="006B33CD">
        <w:rPr>
          <w:rFonts w:ascii="Arial" w:hAnsi="Arial" w:cs="Arial"/>
          <w:color w:val="000000"/>
          <w:lang w:val="en-US" w:eastAsia="en-ZA"/>
        </w:rPr>
        <w:t xml:space="preserve">they state </w:t>
      </w:r>
      <w:r w:rsidR="00B02FEC" w:rsidRPr="006B33CD">
        <w:rPr>
          <w:rFonts w:ascii="Arial" w:hAnsi="Arial" w:cs="Arial"/>
          <w:color w:val="000000"/>
          <w:lang w:val="en-US" w:eastAsia="en-ZA"/>
        </w:rPr>
        <w:t>are inadequate to meet their famil</w:t>
      </w:r>
      <w:r w:rsidR="00920D31" w:rsidRPr="006B33CD">
        <w:rPr>
          <w:rFonts w:ascii="Arial" w:hAnsi="Arial" w:cs="Arial"/>
          <w:color w:val="000000"/>
          <w:lang w:val="en-US" w:eastAsia="en-ZA"/>
        </w:rPr>
        <w:t>ies’</w:t>
      </w:r>
      <w:r w:rsidR="00B02FEC" w:rsidRPr="006B33CD">
        <w:rPr>
          <w:rFonts w:ascii="Arial" w:hAnsi="Arial" w:cs="Arial"/>
          <w:color w:val="000000"/>
          <w:lang w:val="en-US" w:eastAsia="en-ZA"/>
        </w:rPr>
        <w:t xml:space="preserve"> needs.</w:t>
      </w:r>
    </w:p>
    <w:p w:rsidR="0087492C" w:rsidRPr="00A2775E" w:rsidRDefault="0087492C" w:rsidP="0087492C">
      <w:pPr>
        <w:pStyle w:val="ListParagraph"/>
        <w:spacing w:after="0" w:line="480" w:lineRule="auto"/>
        <w:ind w:left="851"/>
        <w:jc w:val="both"/>
        <w:rPr>
          <w:rFonts w:ascii="Arial" w:eastAsia="Times New Roman" w:hAnsi="Arial" w:cs="Arial"/>
          <w:color w:val="000000"/>
          <w:lang w:eastAsia="en-ZA"/>
        </w:rPr>
      </w:pPr>
    </w:p>
    <w:p w:rsidR="00525A12" w:rsidRPr="006B33CD" w:rsidRDefault="006B33CD" w:rsidP="006B33CD">
      <w:pPr>
        <w:spacing w:line="480" w:lineRule="auto"/>
        <w:ind w:left="851" w:hanging="567"/>
        <w:jc w:val="both"/>
        <w:rPr>
          <w:rFonts w:ascii="Arial" w:hAnsi="Arial" w:cs="Arial"/>
          <w:color w:val="000000"/>
          <w:lang w:val="en-US" w:eastAsia="en-ZA"/>
        </w:rPr>
      </w:pPr>
      <w:r w:rsidRPr="00A2775E">
        <w:rPr>
          <w:rFonts w:ascii="Arial" w:hAnsi="Arial" w:cs="Arial"/>
          <w:color w:val="000000"/>
          <w:sz w:val="22"/>
          <w:szCs w:val="22"/>
          <w:lang w:val="en-US" w:eastAsia="en-ZA"/>
        </w:rPr>
        <w:t>4.</w:t>
      </w:r>
      <w:r w:rsidRPr="00A2775E">
        <w:rPr>
          <w:rFonts w:ascii="Arial" w:hAnsi="Arial" w:cs="Arial"/>
          <w:color w:val="000000"/>
          <w:sz w:val="22"/>
          <w:szCs w:val="22"/>
          <w:lang w:val="en-US" w:eastAsia="en-ZA"/>
        </w:rPr>
        <w:tab/>
      </w:r>
      <w:r w:rsidR="00B02FEC" w:rsidRPr="006B33CD">
        <w:rPr>
          <w:rFonts w:ascii="Arial" w:hAnsi="Arial" w:cs="Arial"/>
          <w:color w:val="000000"/>
          <w:lang w:val="en-US" w:eastAsia="en-ZA"/>
        </w:rPr>
        <w:t>For the purposes of the applications for interim payment,</w:t>
      </w:r>
      <w:r w:rsidR="00525A12" w:rsidRPr="006B33CD">
        <w:rPr>
          <w:rFonts w:ascii="Arial" w:hAnsi="Arial" w:cs="Arial"/>
          <w:color w:val="000000"/>
          <w:lang w:val="en-US" w:eastAsia="en-ZA"/>
        </w:rPr>
        <w:t xml:space="preserve"> the applicants </w:t>
      </w:r>
      <w:r w:rsidR="00920D31" w:rsidRPr="006B33CD">
        <w:rPr>
          <w:rFonts w:ascii="Arial" w:hAnsi="Arial" w:cs="Arial"/>
          <w:color w:val="000000"/>
          <w:lang w:val="en-US" w:eastAsia="en-ZA"/>
        </w:rPr>
        <w:t xml:space="preserve">mainly </w:t>
      </w:r>
      <w:r w:rsidR="00525A12" w:rsidRPr="006B33CD">
        <w:rPr>
          <w:rFonts w:ascii="Arial" w:hAnsi="Arial" w:cs="Arial"/>
          <w:color w:val="000000"/>
          <w:lang w:val="en-US" w:eastAsia="en-ZA"/>
        </w:rPr>
        <w:t>rely on the respondent’s pleas in response to paragraphs 12 and 13 of the summons in both matters</w:t>
      </w:r>
      <w:r w:rsidR="00DC4A8E" w:rsidRPr="006B33CD">
        <w:rPr>
          <w:rFonts w:ascii="Arial" w:hAnsi="Arial" w:cs="Arial"/>
          <w:color w:val="000000"/>
          <w:lang w:val="en-US" w:eastAsia="en-ZA"/>
        </w:rPr>
        <w:t>,</w:t>
      </w:r>
      <w:r w:rsidR="00525A12" w:rsidRPr="006B33CD">
        <w:rPr>
          <w:rFonts w:ascii="Arial" w:hAnsi="Arial" w:cs="Arial"/>
          <w:color w:val="000000"/>
          <w:lang w:val="en-US" w:eastAsia="en-ZA"/>
        </w:rPr>
        <w:t xml:space="preserve"> </w:t>
      </w:r>
      <w:r w:rsidR="004121BA" w:rsidRPr="006B33CD">
        <w:rPr>
          <w:rFonts w:ascii="Arial" w:hAnsi="Arial" w:cs="Arial"/>
          <w:color w:val="000000"/>
          <w:lang w:val="en-US" w:eastAsia="en-ZA"/>
        </w:rPr>
        <w:t>which</w:t>
      </w:r>
      <w:r w:rsidR="00525A12" w:rsidRPr="006B33CD">
        <w:rPr>
          <w:rFonts w:ascii="Arial" w:hAnsi="Arial" w:cs="Arial"/>
          <w:color w:val="000000"/>
          <w:lang w:val="en-US" w:eastAsia="en-ZA"/>
        </w:rPr>
        <w:t xml:space="preserve"> state</w:t>
      </w:r>
      <w:r w:rsidR="00920D31" w:rsidRPr="006B33CD">
        <w:rPr>
          <w:rFonts w:ascii="Arial" w:hAnsi="Arial" w:cs="Arial"/>
          <w:color w:val="000000"/>
          <w:lang w:val="en-US" w:eastAsia="en-ZA"/>
        </w:rPr>
        <w:t>d</w:t>
      </w:r>
      <w:r w:rsidR="00525A12" w:rsidRPr="006B33CD">
        <w:rPr>
          <w:rFonts w:ascii="Arial" w:hAnsi="Arial" w:cs="Arial"/>
          <w:color w:val="000000"/>
          <w:lang w:val="en-US" w:eastAsia="en-ZA"/>
        </w:rPr>
        <w:t xml:space="preserve"> as follows: </w:t>
      </w:r>
    </w:p>
    <w:p w:rsidR="00525A12" w:rsidRPr="00A2775E" w:rsidRDefault="00525A12" w:rsidP="00525A12">
      <w:pPr>
        <w:pStyle w:val="ListParagraph"/>
        <w:rPr>
          <w:rFonts w:ascii="Arial" w:eastAsia="Times New Roman" w:hAnsi="Arial" w:cs="Arial"/>
          <w:color w:val="000000"/>
          <w:lang w:val="en-US" w:eastAsia="en-ZA"/>
        </w:rPr>
      </w:pPr>
    </w:p>
    <w:p w:rsidR="00525A12" w:rsidRPr="00A2775E" w:rsidRDefault="00525A12" w:rsidP="00525A12">
      <w:pPr>
        <w:pStyle w:val="ListParagraph"/>
        <w:spacing w:after="0" w:line="276" w:lineRule="auto"/>
        <w:ind w:left="2160" w:hanging="720"/>
        <w:jc w:val="both"/>
        <w:rPr>
          <w:rFonts w:ascii="Arial" w:eastAsia="Times New Roman" w:hAnsi="Arial" w:cs="Arial"/>
          <w:i/>
          <w:iCs/>
          <w:color w:val="000000"/>
          <w:lang w:val="en-US" w:eastAsia="en-ZA"/>
        </w:rPr>
      </w:pPr>
      <w:r w:rsidRPr="00A2775E">
        <w:rPr>
          <w:rFonts w:ascii="Arial" w:eastAsia="Times New Roman" w:hAnsi="Arial" w:cs="Arial"/>
          <w:i/>
          <w:iCs/>
          <w:color w:val="000000"/>
          <w:lang w:eastAsia="en-ZA"/>
        </w:rPr>
        <w:t xml:space="preserve">“12. </w:t>
      </w:r>
      <w:r w:rsidRPr="00A2775E">
        <w:rPr>
          <w:rFonts w:ascii="Arial" w:eastAsia="Times New Roman" w:hAnsi="Arial" w:cs="Arial"/>
          <w:i/>
          <w:iCs/>
          <w:color w:val="000000"/>
          <w:lang w:eastAsia="en-ZA"/>
        </w:rPr>
        <w:tab/>
      </w:r>
      <w:r w:rsidRPr="00A2775E">
        <w:rPr>
          <w:rFonts w:ascii="Arial" w:eastAsia="Times New Roman" w:hAnsi="Arial" w:cs="Arial"/>
          <w:i/>
          <w:iCs/>
          <w:color w:val="000000"/>
          <w:lang w:val="en-US" w:eastAsia="en-ZA"/>
        </w:rPr>
        <w:t>The members of SAPS fatally shot two (2) staff members and three (3) of them sustained serious gunshots wounds.</w:t>
      </w:r>
    </w:p>
    <w:p w:rsidR="00525A12" w:rsidRPr="00A2775E" w:rsidRDefault="00525A12" w:rsidP="00525A12">
      <w:pPr>
        <w:pStyle w:val="ListParagraph"/>
        <w:spacing w:after="0" w:line="276" w:lineRule="auto"/>
        <w:ind w:left="1440"/>
        <w:jc w:val="both"/>
        <w:rPr>
          <w:rFonts w:ascii="Arial" w:eastAsia="Times New Roman" w:hAnsi="Arial" w:cs="Arial"/>
          <w:i/>
          <w:iCs/>
          <w:color w:val="000000"/>
          <w:lang w:val="en-US" w:eastAsia="en-ZA"/>
        </w:rPr>
      </w:pPr>
    </w:p>
    <w:p w:rsidR="00525A12" w:rsidRPr="00A2775E" w:rsidRDefault="00525A12" w:rsidP="00525A12">
      <w:pPr>
        <w:pStyle w:val="ListParagraph"/>
        <w:spacing w:after="0" w:line="276" w:lineRule="auto"/>
        <w:ind w:left="2160" w:hanging="720"/>
        <w:jc w:val="both"/>
        <w:rPr>
          <w:rFonts w:ascii="Arial" w:eastAsia="Times New Roman" w:hAnsi="Arial" w:cs="Arial"/>
          <w:i/>
          <w:iCs/>
          <w:color w:val="000000"/>
          <w:lang w:eastAsia="en-ZA"/>
        </w:rPr>
      </w:pPr>
      <w:r w:rsidRPr="00A2775E">
        <w:rPr>
          <w:rFonts w:ascii="Arial" w:eastAsia="Times New Roman" w:hAnsi="Arial" w:cs="Arial"/>
          <w:i/>
          <w:iCs/>
          <w:color w:val="000000"/>
          <w:lang w:val="en-US" w:eastAsia="en-ZA"/>
        </w:rPr>
        <w:t xml:space="preserve">13. </w:t>
      </w:r>
      <w:r w:rsidRPr="00A2775E">
        <w:rPr>
          <w:rFonts w:ascii="Arial" w:eastAsia="Times New Roman" w:hAnsi="Arial" w:cs="Arial"/>
          <w:i/>
          <w:iCs/>
          <w:color w:val="000000"/>
          <w:lang w:val="en-US" w:eastAsia="en-ZA"/>
        </w:rPr>
        <w:tab/>
        <w:t>The members of SAPS wrongfully and negligently shot the Plaintiff.”</w:t>
      </w:r>
    </w:p>
    <w:p w:rsidR="00525A12" w:rsidRPr="00A2775E" w:rsidRDefault="00525A12" w:rsidP="00525A12">
      <w:pPr>
        <w:pStyle w:val="ListParagraph"/>
        <w:rPr>
          <w:rFonts w:ascii="Arial" w:eastAsia="Times New Roman" w:hAnsi="Arial" w:cs="Arial"/>
          <w:color w:val="000000"/>
          <w:lang w:val="en-US" w:eastAsia="en-ZA"/>
        </w:rPr>
      </w:pPr>
    </w:p>
    <w:p w:rsidR="00DC4A8E" w:rsidRPr="00A2775E" w:rsidRDefault="00DC4A8E" w:rsidP="00DC4A8E">
      <w:pPr>
        <w:pStyle w:val="ListParagraph"/>
        <w:spacing w:after="0" w:line="480" w:lineRule="auto"/>
        <w:ind w:left="851"/>
        <w:jc w:val="both"/>
        <w:rPr>
          <w:rFonts w:ascii="Arial" w:eastAsia="Times New Roman" w:hAnsi="Arial" w:cs="Arial"/>
          <w:color w:val="000000"/>
          <w:lang w:eastAsia="en-ZA"/>
        </w:rPr>
      </w:pPr>
    </w:p>
    <w:p w:rsidR="00525A12"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5.</w:t>
      </w:r>
      <w:r w:rsidRPr="00A2775E">
        <w:rPr>
          <w:rFonts w:ascii="Arial" w:hAnsi="Arial" w:cs="Arial"/>
          <w:color w:val="000000"/>
          <w:sz w:val="22"/>
          <w:szCs w:val="22"/>
          <w:lang w:eastAsia="en-ZA"/>
        </w:rPr>
        <w:tab/>
      </w:r>
      <w:r w:rsidR="00525A12" w:rsidRPr="006B33CD">
        <w:rPr>
          <w:rFonts w:ascii="Arial" w:hAnsi="Arial" w:cs="Arial"/>
          <w:color w:val="000000"/>
          <w:lang w:eastAsia="en-ZA"/>
        </w:rPr>
        <w:t>In response to these paragraphs, the respondent’s pleas in both matters state as follows:</w:t>
      </w:r>
    </w:p>
    <w:p w:rsidR="00525A12" w:rsidRPr="00A2775E" w:rsidRDefault="00525A12" w:rsidP="00525A12">
      <w:pPr>
        <w:pStyle w:val="ListParagraph"/>
        <w:spacing w:after="0" w:line="480" w:lineRule="auto"/>
        <w:ind w:left="644"/>
        <w:jc w:val="both"/>
        <w:rPr>
          <w:rFonts w:ascii="Arial" w:eastAsia="Times New Roman" w:hAnsi="Arial" w:cs="Arial"/>
          <w:color w:val="000000"/>
          <w:lang w:eastAsia="en-ZA"/>
        </w:rPr>
      </w:pPr>
    </w:p>
    <w:p w:rsidR="00525A12" w:rsidRPr="00A2775E" w:rsidRDefault="00525A12" w:rsidP="00525A12">
      <w:pPr>
        <w:pStyle w:val="ListParagraph"/>
        <w:spacing w:after="0" w:line="480" w:lineRule="auto"/>
        <w:ind w:left="1440"/>
        <w:jc w:val="both"/>
        <w:rPr>
          <w:rFonts w:ascii="Arial" w:eastAsia="Times New Roman" w:hAnsi="Arial" w:cs="Arial"/>
          <w:i/>
          <w:iCs/>
          <w:color w:val="000000"/>
          <w:lang w:eastAsia="en-ZA"/>
        </w:rPr>
      </w:pPr>
      <w:r w:rsidRPr="00A2775E">
        <w:rPr>
          <w:rFonts w:ascii="Arial" w:eastAsia="Times New Roman" w:hAnsi="Arial" w:cs="Arial"/>
          <w:i/>
          <w:iCs/>
          <w:color w:val="000000"/>
          <w:lang w:eastAsia="en-ZA"/>
        </w:rPr>
        <w:t>“</w:t>
      </w:r>
      <w:r w:rsidRPr="00A2775E">
        <w:rPr>
          <w:rFonts w:ascii="Arial" w:eastAsia="Times New Roman" w:hAnsi="Arial" w:cs="Arial"/>
          <w:b/>
          <w:bCs/>
          <w:i/>
          <w:iCs/>
          <w:color w:val="000000"/>
          <w:lang w:eastAsia="en-ZA"/>
        </w:rPr>
        <w:t>Ad Paragraph 12 &amp;13</w:t>
      </w:r>
    </w:p>
    <w:p w:rsidR="00525A12" w:rsidRPr="00A2775E" w:rsidRDefault="00525A12" w:rsidP="00525A12">
      <w:pPr>
        <w:pStyle w:val="ListParagraph"/>
        <w:spacing w:after="0" w:line="276" w:lineRule="auto"/>
        <w:ind w:left="2160" w:hanging="720"/>
        <w:jc w:val="both"/>
        <w:rPr>
          <w:rFonts w:ascii="Arial" w:eastAsia="Times New Roman" w:hAnsi="Arial" w:cs="Arial"/>
          <w:i/>
          <w:iCs/>
          <w:color w:val="000000"/>
          <w:lang w:val="en-US" w:eastAsia="en-ZA"/>
        </w:rPr>
      </w:pPr>
      <w:r w:rsidRPr="00A2775E">
        <w:rPr>
          <w:rFonts w:ascii="Arial" w:eastAsia="Times New Roman" w:hAnsi="Arial" w:cs="Arial"/>
          <w:i/>
          <w:iCs/>
          <w:color w:val="000000"/>
          <w:lang w:eastAsia="en-ZA"/>
        </w:rPr>
        <w:t xml:space="preserve">13. </w:t>
      </w:r>
      <w:r w:rsidRPr="00A2775E">
        <w:rPr>
          <w:rFonts w:ascii="Arial" w:eastAsia="Times New Roman" w:hAnsi="Arial" w:cs="Arial"/>
          <w:i/>
          <w:iCs/>
          <w:color w:val="000000"/>
          <w:lang w:eastAsia="en-ZA"/>
        </w:rPr>
        <w:tab/>
      </w:r>
      <w:r w:rsidRPr="00A2775E">
        <w:rPr>
          <w:rFonts w:ascii="Arial" w:eastAsia="Times New Roman" w:hAnsi="Arial" w:cs="Arial"/>
          <w:i/>
          <w:iCs/>
          <w:color w:val="000000"/>
          <w:lang w:val="en-US" w:eastAsia="en-ZA"/>
        </w:rPr>
        <w:t>Defendant admits that specific passengers traveling in the quantum were found to have been fatally wounded and that certain other passengers, including Plaintiff, were found to have been injured in that Plaintiff had been shot by the police.</w:t>
      </w:r>
    </w:p>
    <w:p w:rsidR="00525A12" w:rsidRPr="00A2775E" w:rsidRDefault="00525A12" w:rsidP="00525A12">
      <w:pPr>
        <w:spacing w:line="276" w:lineRule="auto"/>
        <w:jc w:val="both"/>
        <w:rPr>
          <w:rFonts w:ascii="Arial" w:hAnsi="Arial" w:cs="Arial"/>
          <w:i/>
          <w:iCs/>
          <w:color w:val="000000"/>
          <w:sz w:val="22"/>
          <w:szCs w:val="22"/>
          <w:lang w:val="en-US" w:eastAsia="en-ZA"/>
        </w:rPr>
      </w:pPr>
    </w:p>
    <w:p w:rsidR="00525A12" w:rsidRPr="00A2775E" w:rsidRDefault="00525A12" w:rsidP="00525A12">
      <w:pPr>
        <w:pStyle w:val="ListParagraph"/>
        <w:spacing w:after="0" w:line="276" w:lineRule="auto"/>
        <w:ind w:left="2160" w:hanging="720"/>
        <w:jc w:val="both"/>
        <w:rPr>
          <w:rFonts w:ascii="Arial" w:eastAsia="Times New Roman" w:hAnsi="Arial" w:cs="Arial"/>
          <w:i/>
          <w:iCs/>
          <w:color w:val="000000"/>
          <w:lang w:val="en-US" w:eastAsia="en-ZA"/>
        </w:rPr>
      </w:pPr>
      <w:r w:rsidRPr="00A2775E">
        <w:rPr>
          <w:rFonts w:ascii="Arial" w:eastAsia="Times New Roman" w:hAnsi="Arial" w:cs="Arial"/>
          <w:i/>
          <w:iCs/>
          <w:color w:val="000000"/>
          <w:lang w:val="en-US" w:eastAsia="en-ZA"/>
        </w:rPr>
        <w:t xml:space="preserve">14. </w:t>
      </w:r>
      <w:r w:rsidRPr="00A2775E">
        <w:rPr>
          <w:rFonts w:ascii="Arial" w:eastAsia="Times New Roman" w:hAnsi="Arial" w:cs="Arial"/>
          <w:i/>
          <w:iCs/>
          <w:color w:val="000000"/>
          <w:lang w:val="en-US" w:eastAsia="en-ZA"/>
        </w:rPr>
        <w:tab/>
        <w:t>Defendant admits that the shooting of Plaintiff was unjustified and consequently wrongful.”</w:t>
      </w:r>
    </w:p>
    <w:p w:rsidR="00525A12" w:rsidRPr="00A2775E" w:rsidRDefault="00525A12" w:rsidP="00DC4A8E">
      <w:pPr>
        <w:pStyle w:val="ListParagraph"/>
        <w:spacing w:after="0" w:line="480" w:lineRule="auto"/>
        <w:ind w:left="644"/>
        <w:jc w:val="both"/>
        <w:rPr>
          <w:rFonts w:ascii="Arial" w:eastAsia="Times New Roman" w:hAnsi="Arial" w:cs="Arial"/>
          <w:color w:val="000000"/>
          <w:lang w:val="en-US" w:eastAsia="en-ZA"/>
        </w:rPr>
      </w:pPr>
      <w:r w:rsidRPr="00A2775E">
        <w:rPr>
          <w:rFonts w:ascii="Arial" w:eastAsia="Times New Roman" w:hAnsi="Arial" w:cs="Arial"/>
          <w:color w:val="000000"/>
          <w:lang w:val="en-US" w:eastAsia="en-ZA"/>
        </w:rPr>
        <w:t xml:space="preserve"> </w:t>
      </w:r>
    </w:p>
    <w:p w:rsidR="00DC4A8E" w:rsidRPr="006B33CD" w:rsidRDefault="006B33CD" w:rsidP="006B33CD">
      <w:pPr>
        <w:ind w:left="720" w:hanging="360"/>
        <w:rPr>
          <w:rFonts w:ascii="Arial" w:hAnsi="Arial" w:cs="Arial"/>
          <w:b/>
          <w:bCs/>
          <w:color w:val="000000"/>
          <w:u w:val="single"/>
          <w:lang w:eastAsia="en-ZA"/>
        </w:rPr>
      </w:pPr>
      <w:r>
        <w:rPr>
          <w:rFonts w:ascii="Arial" w:hAnsi="Arial" w:cs="Arial"/>
          <w:b/>
          <w:bCs/>
          <w:color w:val="000000"/>
          <w:sz w:val="22"/>
          <w:szCs w:val="22"/>
          <w:lang w:eastAsia="en-ZA"/>
        </w:rPr>
        <w:t>III.</w:t>
      </w:r>
      <w:r>
        <w:rPr>
          <w:rFonts w:ascii="Arial" w:hAnsi="Arial" w:cs="Arial"/>
          <w:b/>
          <w:bCs/>
          <w:color w:val="000000"/>
          <w:sz w:val="22"/>
          <w:szCs w:val="22"/>
          <w:lang w:eastAsia="en-ZA"/>
        </w:rPr>
        <w:tab/>
      </w:r>
      <w:r w:rsidR="00202DA1" w:rsidRPr="006B33CD">
        <w:rPr>
          <w:rFonts w:ascii="Arial" w:hAnsi="Arial" w:cs="Arial"/>
          <w:b/>
          <w:bCs/>
          <w:color w:val="000000"/>
          <w:u w:val="single"/>
          <w:lang w:eastAsia="en-ZA"/>
        </w:rPr>
        <w:t>ADMISSION OF LIABILITY FOR DAMAGES</w:t>
      </w:r>
    </w:p>
    <w:p w:rsidR="00202DA1" w:rsidRPr="00202DA1" w:rsidRDefault="00202DA1" w:rsidP="00202DA1">
      <w:pPr>
        <w:pStyle w:val="ListParagraph"/>
        <w:rPr>
          <w:rFonts w:ascii="Arial" w:eastAsia="Times New Roman" w:hAnsi="Arial" w:cs="Arial"/>
          <w:b/>
          <w:bCs/>
          <w:color w:val="000000"/>
          <w:u w:val="single"/>
          <w:lang w:eastAsia="en-ZA"/>
        </w:rPr>
      </w:pPr>
    </w:p>
    <w:p w:rsidR="00202DA1" w:rsidRPr="00A2775E" w:rsidRDefault="00202DA1" w:rsidP="00202DA1">
      <w:pPr>
        <w:pStyle w:val="ListParagraph"/>
        <w:rPr>
          <w:rFonts w:ascii="Arial" w:eastAsia="Times New Roman" w:hAnsi="Arial" w:cs="Arial"/>
          <w:color w:val="000000"/>
          <w:lang w:eastAsia="en-ZA"/>
        </w:rPr>
      </w:pPr>
    </w:p>
    <w:p w:rsidR="00BD7D11"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lastRenderedPageBreak/>
        <w:t>6.</w:t>
      </w:r>
      <w:r w:rsidRPr="00A2775E">
        <w:rPr>
          <w:rFonts w:ascii="Arial" w:hAnsi="Arial" w:cs="Arial"/>
          <w:color w:val="000000"/>
          <w:sz w:val="22"/>
          <w:szCs w:val="22"/>
          <w:lang w:eastAsia="en-ZA"/>
        </w:rPr>
        <w:tab/>
      </w:r>
      <w:r w:rsidR="00276AE9" w:rsidRPr="006B33CD">
        <w:rPr>
          <w:rFonts w:ascii="Arial" w:hAnsi="Arial" w:cs="Arial"/>
          <w:color w:val="000000"/>
          <w:lang w:val="en-US" w:eastAsia="en-ZA"/>
        </w:rPr>
        <w:t xml:space="preserve">The applicants rely on the </w:t>
      </w:r>
      <w:r w:rsidR="00920D31" w:rsidRPr="006B33CD">
        <w:rPr>
          <w:rFonts w:ascii="Arial" w:hAnsi="Arial" w:cs="Arial"/>
          <w:color w:val="000000"/>
          <w:lang w:val="en-US" w:eastAsia="en-ZA"/>
        </w:rPr>
        <w:t>admi</w:t>
      </w:r>
      <w:r w:rsidR="00276AE9" w:rsidRPr="006B33CD">
        <w:rPr>
          <w:rFonts w:ascii="Arial" w:hAnsi="Arial" w:cs="Arial"/>
          <w:color w:val="000000"/>
          <w:lang w:val="en-US" w:eastAsia="en-ZA"/>
        </w:rPr>
        <w:t>ssions made in the above-quoted portion of the plea</w:t>
      </w:r>
      <w:r w:rsidR="009513B4" w:rsidRPr="006B33CD">
        <w:rPr>
          <w:rFonts w:ascii="Arial" w:hAnsi="Arial" w:cs="Arial"/>
          <w:color w:val="000000"/>
          <w:lang w:val="en-US" w:eastAsia="en-ZA"/>
        </w:rPr>
        <w:t xml:space="preserve">, </w:t>
      </w:r>
      <w:r w:rsidR="00276AE9" w:rsidRPr="006B33CD">
        <w:rPr>
          <w:rFonts w:ascii="Arial" w:hAnsi="Arial" w:cs="Arial"/>
          <w:color w:val="000000"/>
          <w:lang w:val="en-US" w:eastAsia="en-ZA"/>
        </w:rPr>
        <w:t xml:space="preserve">as well as a letter from the respondent’s attorneys, in which a similar </w:t>
      </w:r>
      <w:r w:rsidR="00920D31" w:rsidRPr="006B33CD">
        <w:rPr>
          <w:rFonts w:ascii="Arial" w:hAnsi="Arial" w:cs="Arial"/>
          <w:color w:val="000000"/>
          <w:lang w:val="en-US" w:eastAsia="en-ZA"/>
        </w:rPr>
        <w:t>conce</w:t>
      </w:r>
      <w:r w:rsidR="00276AE9" w:rsidRPr="006B33CD">
        <w:rPr>
          <w:rFonts w:ascii="Arial" w:hAnsi="Arial" w:cs="Arial"/>
          <w:color w:val="000000"/>
          <w:lang w:val="en-US" w:eastAsia="en-ZA"/>
        </w:rPr>
        <w:t xml:space="preserve">ssion was made - that the shooting was unlawful - for the Rule 34A applications. They state that these concessions amount to a written admission of liability for their damages, </w:t>
      </w:r>
      <w:r w:rsidR="00DC4A8E" w:rsidRPr="006B33CD">
        <w:rPr>
          <w:rFonts w:ascii="Arial" w:hAnsi="Arial" w:cs="Arial"/>
          <w:color w:val="000000"/>
          <w:lang w:val="en-US" w:eastAsia="en-ZA"/>
        </w:rPr>
        <w:t>as</w:t>
      </w:r>
      <w:r w:rsidR="00276AE9" w:rsidRPr="006B33CD">
        <w:rPr>
          <w:rFonts w:ascii="Arial" w:hAnsi="Arial" w:cs="Arial"/>
          <w:color w:val="000000"/>
          <w:lang w:val="en-US" w:eastAsia="en-ZA"/>
        </w:rPr>
        <w:t xml:space="preserve"> contemplat</w:t>
      </w:r>
      <w:r w:rsidR="00DC4A8E" w:rsidRPr="006B33CD">
        <w:rPr>
          <w:rFonts w:ascii="Arial" w:hAnsi="Arial" w:cs="Arial"/>
          <w:color w:val="000000"/>
          <w:lang w:val="en-US" w:eastAsia="en-ZA"/>
        </w:rPr>
        <w:t>ed in</w:t>
      </w:r>
      <w:r w:rsidR="00276AE9" w:rsidRPr="006B33CD">
        <w:rPr>
          <w:rFonts w:ascii="Arial" w:hAnsi="Arial" w:cs="Arial"/>
          <w:color w:val="000000"/>
          <w:lang w:val="en-US" w:eastAsia="en-ZA"/>
        </w:rPr>
        <w:t xml:space="preserve"> Uniform Rule 34A(4)(a). Th</w:t>
      </w:r>
      <w:r w:rsidR="00920D31" w:rsidRPr="006B33CD">
        <w:rPr>
          <w:rFonts w:ascii="Arial" w:hAnsi="Arial" w:cs="Arial"/>
          <w:color w:val="000000"/>
          <w:lang w:val="en-US" w:eastAsia="en-ZA"/>
        </w:rPr>
        <w:t xml:space="preserve">is  </w:t>
      </w:r>
      <w:r w:rsidR="00BE3AEC" w:rsidRPr="006B33CD">
        <w:rPr>
          <w:rFonts w:ascii="Arial" w:hAnsi="Arial" w:cs="Arial"/>
          <w:color w:val="000000"/>
          <w:lang w:val="en-US" w:eastAsia="en-ZA"/>
        </w:rPr>
        <w:t>formed</w:t>
      </w:r>
      <w:r w:rsidR="00276AE9" w:rsidRPr="006B33CD">
        <w:rPr>
          <w:rFonts w:ascii="Arial" w:hAnsi="Arial" w:cs="Arial"/>
          <w:color w:val="000000"/>
          <w:lang w:val="en-US" w:eastAsia="en-ZA"/>
        </w:rPr>
        <w:t xml:space="preserve"> the</w:t>
      </w:r>
      <w:r w:rsidR="009513B4" w:rsidRPr="006B33CD">
        <w:rPr>
          <w:rFonts w:ascii="Arial" w:hAnsi="Arial" w:cs="Arial"/>
          <w:color w:val="000000"/>
          <w:lang w:val="en-US" w:eastAsia="en-ZA"/>
        </w:rPr>
        <w:t xml:space="preserve"> </w:t>
      </w:r>
      <w:r w:rsidR="00920D31" w:rsidRPr="006B33CD">
        <w:rPr>
          <w:rFonts w:ascii="Arial" w:hAnsi="Arial" w:cs="Arial"/>
          <w:color w:val="000000"/>
          <w:lang w:val="en-US" w:eastAsia="en-ZA"/>
        </w:rPr>
        <w:t xml:space="preserve">first </w:t>
      </w:r>
      <w:r w:rsidR="009513B4" w:rsidRPr="006B33CD">
        <w:rPr>
          <w:rFonts w:ascii="Arial" w:hAnsi="Arial" w:cs="Arial"/>
          <w:color w:val="000000"/>
          <w:lang w:val="en-US" w:eastAsia="en-ZA"/>
        </w:rPr>
        <w:t xml:space="preserve">basis </w:t>
      </w:r>
      <w:r w:rsidR="00BE3AEC" w:rsidRPr="006B33CD">
        <w:rPr>
          <w:rFonts w:ascii="Arial" w:hAnsi="Arial" w:cs="Arial"/>
          <w:color w:val="000000"/>
          <w:lang w:val="en-US" w:eastAsia="en-ZA"/>
        </w:rPr>
        <w:t>for</w:t>
      </w:r>
      <w:r w:rsidR="00276AE9" w:rsidRPr="006B33CD">
        <w:rPr>
          <w:rFonts w:ascii="Arial" w:hAnsi="Arial" w:cs="Arial"/>
          <w:color w:val="000000"/>
          <w:lang w:val="en-US" w:eastAsia="en-ZA"/>
        </w:rPr>
        <w:t xml:space="preserve"> </w:t>
      </w:r>
      <w:r w:rsidR="00BD7D11" w:rsidRPr="006B33CD">
        <w:rPr>
          <w:rFonts w:ascii="Arial" w:hAnsi="Arial" w:cs="Arial"/>
          <w:color w:val="000000"/>
          <w:lang w:val="en-US" w:eastAsia="en-ZA"/>
        </w:rPr>
        <w:t>argument by Mr</w:t>
      </w:r>
      <w:r w:rsidR="006D1980" w:rsidRPr="006B33CD">
        <w:rPr>
          <w:rFonts w:ascii="Arial" w:hAnsi="Arial" w:cs="Arial"/>
          <w:color w:val="000000"/>
          <w:lang w:val="en-US" w:eastAsia="en-ZA"/>
        </w:rPr>
        <w:t xml:space="preserve"> Manuel</w:t>
      </w:r>
      <w:r w:rsidR="00BD7D11" w:rsidRPr="006B33CD">
        <w:rPr>
          <w:rFonts w:ascii="Arial" w:hAnsi="Arial" w:cs="Arial"/>
          <w:color w:val="000000"/>
          <w:lang w:val="en-US" w:eastAsia="en-ZA"/>
        </w:rPr>
        <w:t>. He argues that the applicants have not met this jurisdictional requirement</w:t>
      </w:r>
      <w:r w:rsidR="00920D31" w:rsidRPr="006B33CD">
        <w:rPr>
          <w:rFonts w:ascii="Arial" w:hAnsi="Arial" w:cs="Arial"/>
          <w:color w:val="000000"/>
          <w:lang w:val="en-US" w:eastAsia="en-ZA"/>
        </w:rPr>
        <w:t xml:space="preserve"> in that the respondent has not admitted to liability for the applicants’ damages in compliance with the Rule</w:t>
      </w:r>
      <w:r w:rsidR="00BD7D11" w:rsidRPr="006B33CD">
        <w:rPr>
          <w:rFonts w:ascii="Arial" w:hAnsi="Arial" w:cs="Arial"/>
          <w:color w:val="000000"/>
          <w:lang w:val="en-US" w:eastAsia="en-ZA"/>
        </w:rPr>
        <w:t xml:space="preserve">. </w:t>
      </w:r>
    </w:p>
    <w:p w:rsidR="00DC4A8E" w:rsidRPr="00A2775E" w:rsidRDefault="00DC4A8E" w:rsidP="00DC4A8E">
      <w:pPr>
        <w:pStyle w:val="ListParagraph"/>
        <w:spacing w:after="0" w:line="480" w:lineRule="auto"/>
        <w:ind w:left="851"/>
        <w:jc w:val="both"/>
        <w:rPr>
          <w:rFonts w:ascii="Arial" w:eastAsia="Times New Roman" w:hAnsi="Arial" w:cs="Arial"/>
          <w:color w:val="000000"/>
          <w:lang w:eastAsia="en-ZA"/>
        </w:rPr>
      </w:pPr>
    </w:p>
    <w:p w:rsidR="00BD7D11"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7.</w:t>
      </w:r>
      <w:r w:rsidRPr="00A2775E">
        <w:rPr>
          <w:rFonts w:ascii="Arial" w:hAnsi="Arial" w:cs="Arial"/>
          <w:color w:val="000000"/>
          <w:sz w:val="22"/>
          <w:szCs w:val="22"/>
          <w:lang w:eastAsia="en-ZA"/>
        </w:rPr>
        <w:tab/>
      </w:r>
      <w:r w:rsidR="00BD7D11" w:rsidRPr="006B33CD">
        <w:rPr>
          <w:rFonts w:ascii="Arial" w:hAnsi="Arial" w:cs="Arial"/>
          <w:color w:val="000000"/>
          <w:lang w:val="en-US" w:eastAsia="en-ZA"/>
        </w:rPr>
        <w:t>It is convenient to set out the relevant provisions of the Uniform Rule at this point. It provides as follows:</w:t>
      </w:r>
    </w:p>
    <w:p w:rsidR="00BD7D11" w:rsidRPr="00A2775E" w:rsidRDefault="00BD7D11" w:rsidP="00BD7D11">
      <w:pPr>
        <w:pStyle w:val="ListParagraph"/>
        <w:spacing w:after="0" w:line="480" w:lineRule="auto"/>
        <w:ind w:left="1440"/>
        <w:jc w:val="both"/>
        <w:rPr>
          <w:rFonts w:ascii="Arial" w:eastAsia="Times New Roman" w:hAnsi="Arial" w:cs="Arial"/>
          <w:color w:val="000000"/>
          <w:lang w:eastAsia="en-ZA"/>
        </w:rPr>
      </w:pPr>
    </w:p>
    <w:p w:rsidR="00BD7D11" w:rsidRPr="00A2775E" w:rsidRDefault="00BD7D11" w:rsidP="00BD7D11">
      <w:pPr>
        <w:ind w:left="1135"/>
        <w:jc w:val="both"/>
        <w:rPr>
          <w:rFonts w:ascii="Arial" w:hAnsi="Arial" w:cs="Arial"/>
          <w:b/>
          <w:bCs/>
          <w:i/>
          <w:iCs/>
          <w:color w:val="000000"/>
          <w:sz w:val="22"/>
          <w:szCs w:val="22"/>
          <w:lang w:eastAsia="en-ZA"/>
        </w:rPr>
      </w:pPr>
      <w:r w:rsidRPr="00A2775E">
        <w:rPr>
          <w:rFonts w:ascii="Arial" w:hAnsi="Arial" w:cs="Arial"/>
          <w:b/>
          <w:bCs/>
          <w:i/>
          <w:iCs/>
          <w:color w:val="000000"/>
          <w:sz w:val="22"/>
          <w:szCs w:val="22"/>
          <w:lang w:eastAsia="en-ZA"/>
        </w:rPr>
        <w:t>“34A  Interim payments</w:t>
      </w:r>
    </w:p>
    <w:p w:rsidR="00BD7D11" w:rsidRPr="00A2775E" w:rsidRDefault="00BD7D11" w:rsidP="00BD7D11">
      <w:pPr>
        <w:ind w:left="1135"/>
        <w:jc w:val="both"/>
        <w:rPr>
          <w:rFonts w:ascii="Arial" w:hAnsi="Arial" w:cs="Arial"/>
          <w:b/>
          <w:bCs/>
          <w:i/>
          <w:iCs/>
          <w:color w:val="000000"/>
          <w:sz w:val="22"/>
          <w:szCs w:val="22"/>
          <w:lang w:eastAsia="en-ZA"/>
        </w:rPr>
      </w:pPr>
    </w:p>
    <w:p w:rsidR="00BD7D11" w:rsidRPr="006B33CD" w:rsidRDefault="006B33CD" w:rsidP="006B33CD">
      <w:pPr>
        <w:ind w:left="1839" w:hanging="360"/>
        <w:jc w:val="both"/>
        <w:rPr>
          <w:rFonts w:ascii="Arial" w:hAnsi="Arial" w:cs="Arial"/>
          <w:i/>
          <w:iCs/>
          <w:color w:val="000000"/>
          <w:lang w:eastAsia="en-ZA"/>
        </w:rPr>
      </w:pPr>
      <w:bookmarkStart w:id="1" w:name="0-0-0-45549"/>
      <w:bookmarkStart w:id="2" w:name="0-0-0-45551"/>
      <w:bookmarkEnd w:id="1"/>
      <w:bookmarkEnd w:id="2"/>
      <w:r w:rsidRPr="00A2775E">
        <w:rPr>
          <w:rFonts w:ascii="Arial" w:hAnsi="Arial" w:cs="Arial"/>
          <w:i/>
          <w:iCs/>
          <w:color w:val="000000"/>
          <w:sz w:val="22"/>
          <w:szCs w:val="22"/>
          <w:lang w:eastAsia="en-ZA"/>
        </w:rPr>
        <w:t>(1)</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In an action for damages for personal injuries or the death of a person, the plaintiff may, , apply to the court for an order requiring the defendant to make an interim payment in respect of his claim for medical costs and loss of income arising from his physical disability or the death of a person.</w:t>
      </w:r>
    </w:p>
    <w:p w:rsidR="00BD7D11" w:rsidRPr="00A2775E" w:rsidRDefault="00BD7D11" w:rsidP="00BD7D11">
      <w:pPr>
        <w:pStyle w:val="ListParagraph"/>
        <w:spacing w:after="0" w:line="240" w:lineRule="auto"/>
        <w:ind w:left="1839"/>
        <w:jc w:val="both"/>
        <w:rPr>
          <w:rFonts w:ascii="Arial" w:eastAsia="Times New Roman" w:hAnsi="Arial" w:cs="Arial"/>
          <w:i/>
          <w:iCs/>
          <w:color w:val="000000"/>
          <w:lang w:eastAsia="en-ZA"/>
        </w:rPr>
      </w:pPr>
      <w:bookmarkStart w:id="3" w:name="0-0-0-45553"/>
      <w:bookmarkEnd w:id="3"/>
    </w:p>
    <w:p w:rsidR="00BD7D11" w:rsidRPr="006B33CD" w:rsidRDefault="006B33CD" w:rsidP="006B33CD">
      <w:pPr>
        <w:ind w:left="1839" w:hanging="360"/>
        <w:jc w:val="both"/>
        <w:rPr>
          <w:rFonts w:ascii="Arial" w:hAnsi="Arial" w:cs="Arial"/>
          <w:i/>
          <w:iCs/>
          <w:color w:val="000000"/>
          <w:lang w:eastAsia="en-ZA"/>
        </w:rPr>
      </w:pPr>
      <w:r w:rsidRPr="00A2775E">
        <w:rPr>
          <w:rFonts w:ascii="Arial" w:hAnsi="Arial" w:cs="Arial"/>
          <w:i/>
          <w:iCs/>
          <w:color w:val="000000"/>
          <w:sz w:val="22"/>
          <w:szCs w:val="22"/>
          <w:lang w:eastAsia="en-ZA"/>
        </w:rPr>
        <w:t>(2)</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Subject to the provisions of rule 6 the affidavit in support of the application shall contain the amount of damages claimed and the grounds for the application, and all documentary proof or certified copies thereof on which the applicant relies shall accompany the affidavit.</w:t>
      </w:r>
    </w:p>
    <w:p w:rsidR="00BD7D11" w:rsidRPr="00A2775E" w:rsidRDefault="00BD7D11" w:rsidP="00BD7D11">
      <w:pPr>
        <w:pStyle w:val="ListParagraph"/>
        <w:rPr>
          <w:rFonts w:ascii="Arial" w:eastAsia="Times New Roman" w:hAnsi="Arial" w:cs="Arial"/>
          <w:i/>
          <w:iCs/>
          <w:color w:val="000000"/>
          <w:lang w:eastAsia="en-ZA"/>
        </w:rPr>
      </w:pPr>
    </w:p>
    <w:p w:rsidR="00BD7D11" w:rsidRPr="006B33CD" w:rsidRDefault="006B33CD" w:rsidP="006B33CD">
      <w:pPr>
        <w:ind w:left="1839" w:hanging="360"/>
        <w:jc w:val="both"/>
        <w:rPr>
          <w:rFonts w:ascii="Arial" w:hAnsi="Arial" w:cs="Arial"/>
          <w:i/>
          <w:iCs/>
          <w:color w:val="000000"/>
          <w:lang w:eastAsia="en-ZA"/>
        </w:rPr>
      </w:pPr>
      <w:bookmarkStart w:id="4" w:name="0-0-0-45555"/>
      <w:bookmarkEnd w:id="4"/>
      <w:r w:rsidRPr="00A2775E">
        <w:rPr>
          <w:rFonts w:ascii="Arial" w:hAnsi="Arial" w:cs="Arial"/>
          <w:i/>
          <w:iCs/>
          <w:color w:val="000000"/>
          <w:sz w:val="22"/>
          <w:szCs w:val="22"/>
          <w:lang w:eastAsia="en-ZA"/>
        </w:rPr>
        <w:t>(3)</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Notwithstanding the grant or refusal of an application for an interim payment, further such applications may be brought on good cause shown.</w:t>
      </w:r>
    </w:p>
    <w:p w:rsidR="00BD7D11" w:rsidRPr="00A2775E" w:rsidRDefault="00BD7D11" w:rsidP="00BD7D11">
      <w:pPr>
        <w:pStyle w:val="ListParagraph"/>
        <w:rPr>
          <w:rFonts w:ascii="Arial" w:eastAsia="Times New Roman" w:hAnsi="Arial" w:cs="Arial"/>
          <w:i/>
          <w:iCs/>
          <w:color w:val="000000"/>
          <w:lang w:eastAsia="en-ZA"/>
        </w:rPr>
      </w:pPr>
    </w:p>
    <w:p w:rsidR="00BD7D11" w:rsidRPr="006B33CD" w:rsidRDefault="006B33CD" w:rsidP="006B33CD">
      <w:pPr>
        <w:ind w:left="1839" w:hanging="360"/>
        <w:jc w:val="both"/>
        <w:rPr>
          <w:rFonts w:ascii="Arial" w:hAnsi="Arial" w:cs="Arial"/>
          <w:i/>
          <w:iCs/>
          <w:color w:val="000000"/>
          <w:lang w:eastAsia="en-ZA"/>
        </w:rPr>
      </w:pPr>
      <w:bookmarkStart w:id="5" w:name="0-0-0-45557"/>
      <w:bookmarkEnd w:id="5"/>
      <w:r w:rsidRPr="00A2775E">
        <w:rPr>
          <w:rFonts w:ascii="Arial" w:hAnsi="Arial" w:cs="Arial"/>
          <w:i/>
          <w:iCs/>
          <w:color w:val="000000"/>
          <w:sz w:val="22"/>
          <w:szCs w:val="22"/>
          <w:lang w:eastAsia="en-ZA"/>
        </w:rPr>
        <w:t>(4)</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If at the hearing of such an application the court is satisfied that —</w:t>
      </w:r>
    </w:p>
    <w:p w:rsidR="00BD7D11" w:rsidRPr="00A2775E" w:rsidRDefault="00BD7D11" w:rsidP="00BD7D11">
      <w:pPr>
        <w:pStyle w:val="ListParagraph"/>
        <w:rPr>
          <w:rFonts w:ascii="Arial" w:eastAsia="Times New Roman" w:hAnsi="Arial" w:cs="Arial"/>
          <w:i/>
          <w:iCs/>
          <w:color w:val="000000"/>
          <w:lang w:eastAsia="en-ZA"/>
        </w:rPr>
      </w:pPr>
    </w:p>
    <w:p w:rsidR="00BD7D11" w:rsidRPr="006B33CD" w:rsidRDefault="006B33CD" w:rsidP="006B33CD">
      <w:pPr>
        <w:ind w:left="2559" w:hanging="360"/>
        <w:jc w:val="both"/>
        <w:rPr>
          <w:rFonts w:ascii="Arial" w:hAnsi="Arial" w:cs="Arial"/>
          <w:i/>
          <w:iCs/>
          <w:color w:val="000000"/>
          <w:lang w:eastAsia="en-ZA"/>
        </w:rPr>
      </w:pPr>
      <w:bookmarkStart w:id="6" w:name="0-0-0-45559"/>
      <w:bookmarkEnd w:id="6"/>
      <w:r w:rsidRPr="00A2775E">
        <w:rPr>
          <w:rFonts w:ascii="Arial" w:hAnsi="Arial" w:cs="Arial"/>
          <w:i/>
          <w:iCs/>
          <w:color w:val="000000"/>
          <w:sz w:val="22"/>
          <w:szCs w:val="22"/>
          <w:lang w:eastAsia="en-ZA"/>
        </w:rPr>
        <w:t>a.</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 xml:space="preserve">the defendant against whom the order is sought </w:t>
      </w:r>
      <w:r w:rsidR="00BD7D11" w:rsidRPr="006B33CD">
        <w:rPr>
          <w:rFonts w:ascii="Arial" w:hAnsi="Arial" w:cs="Arial"/>
          <w:i/>
          <w:iCs/>
          <w:color w:val="000000"/>
          <w:u w:val="single"/>
          <w:lang w:eastAsia="en-ZA"/>
        </w:rPr>
        <w:t>has in writing admitted liability for the plaintiff’s damages</w:t>
      </w:r>
      <w:r w:rsidR="00BD7D11" w:rsidRPr="006B33CD">
        <w:rPr>
          <w:rFonts w:ascii="Arial" w:hAnsi="Arial" w:cs="Arial"/>
          <w:i/>
          <w:iCs/>
          <w:color w:val="000000"/>
          <w:lang w:eastAsia="en-ZA"/>
        </w:rPr>
        <w:t>; or</w:t>
      </w:r>
    </w:p>
    <w:p w:rsidR="00BD7D11" w:rsidRPr="00A2775E" w:rsidRDefault="00BD7D11" w:rsidP="00BD7D11">
      <w:pPr>
        <w:pStyle w:val="ListParagraph"/>
        <w:spacing w:after="0" w:line="240" w:lineRule="auto"/>
        <w:ind w:left="2559"/>
        <w:jc w:val="both"/>
        <w:rPr>
          <w:rFonts w:ascii="Arial" w:eastAsia="Times New Roman" w:hAnsi="Arial" w:cs="Arial"/>
          <w:i/>
          <w:iCs/>
          <w:color w:val="000000"/>
          <w:lang w:eastAsia="en-ZA"/>
        </w:rPr>
      </w:pPr>
      <w:bookmarkStart w:id="7" w:name="0-0-0-45561"/>
      <w:bookmarkEnd w:id="7"/>
    </w:p>
    <w:p w:rsidR="00BD7D11" w:rsidRPr="006B33CD" w:rsidRDefault="006B33CD" w:rsidP="006B33CD">
      <w:pPr>
        <w:ind w:left="2559" w:hanging="360"/>
        <w:jc w:val="both"/>
        <w:rPr>
          <w:rFonts w:ascii="Arial" w:hAnsi="Arial" w:cs="Arial"/>
          <w:i/>
          <w:iCs/>
          <w:color w:val="000000"/>
          <w:lang w:eastAsia="en-ZA"/>
        </w:rPr>
      </w:pPr>
      <w:r w:rsidRPr="00A2775E">
        <w:rPr>
          <w:rFonts w:ascii="Arial" w:hAnsi="Arial" w:cs="Arial"/>
          <w:i/>
          <w:iCs/>
          <w:color w:val="000000"/>
          <w:sz w:val="22"/>
          <w:szCs w:val="22"/>
          <w:lang w:eastAsia="en-ZA"/>
        </w:rPr>
        <w:lastRenderedPageBreak/>
        <w:t>b.</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the plaintiff has obtained judgment against the respondent for damages to be determined,</w:t>
      </w:r>
    </w:p>
    <w:p w:rsidR="00BD7D11" w:rsidRPr="00A2775E" w:rsidRDefault="00BD7D11" w:rsidP="00BD7D11">
      <w:pPr>
        <w:jc w:val="both"/>
        <w:rPr>
          <w:rFonts w:ascii="Arial" w:hAnsi="Arial" w:cs="Arial"/>
          <w:i/>
          <w:iCs/>
          <w:color w:val="000000"/>
          <w:sz w:val="22"/>
          <w:szCs w:val="22"/>
          <w:lang w:eastAsia="en-ZA"/>
        </w:rPr>
      </w:pPr>
    </w:p>
    <w:p w:rsidR="00BD7D11" w:rsidRPr="00A2775E" w:rsidRDefault="00BD7D11" w:rsidP="00BD7D11">
      <w:pPr>
        <w:ind w:left="1839"/>
        <w:jc w:val="both"/>
        <w:rPr>
          <w:rFonts w:ascii="Arial" w:hAnsi="Arial" w:cs="Arial"/>
          <w:i/>
          <w:iCs/>
          <w:color w:val="000000"/>
          <w:sz w:val="22"/>
          <w:szCs w:val="22"/>
          <w:lang w:eastAsia="en-ZA"/>
        </w:rPr>
      </w:pPr>
      <w:r w:rsidRPr="00A2775E">
        <w:rPr>
          <w:rFonts w:ascii="Arial" w:hAnsi="Arial" w:cs="Arial"/>
          <w:i/>
          <w:iCs/>
          <w:color w:val="000000"/>
          <w:sz w:val="22"/>
          <w:szCs w:val="22"/>
          <w:lang w:eastAsia="en-ZA"/>
        </w:rPr>
        <w:t>the court may, if it thinks fit but subject to the provisions of subrule (5), order the respondent to make an interim payment of such amount as it thinks just, which amount shall not exceed a reasonable proportion of the damages which in the opinion of the court are likely to be recovered by the plaintiff taking into account any contributory negligence, set off or counterclaim.</w:t>
      </w:r>
    </w:p>
    <w:p w:rsidR="00BD7D11" w:rsidRPr="00A2775E" w:rsidRDefault="00BD7D11" w:rsidP="00BD7D11">
      <w:pPr>
        <w:ind w:left="2160"/>
        <w:jc w:val="both"/>
        <w:rPr>
          <w:rFonts w:ascii="Arial" w:hAnsi="Arial" w:cs="Arial"/>
          <w:i/>
          <w:iCs/>
          <w:color w:val="000000"/>
          <w:sz w:val="22"/>
          <w:szCs w:val="22"/>
          <w:lang w:eastAsia="en-ZA"/>
        </w:rPr>
      </w:pPr>
    </w:p>
    <w:p w:rsidR="00BD7D11" w:rsidRPr="006B33CD" w:rsidRDefault="006B33CD" w:rsidP="006B33CD">
      <w:pPr>
        <w:ind w:left="1839" w:hanging="360"/>
        <w:jc w:val="both"/>
        <w:rPr>
          <w:rFonts w:ascii="Arial" w:hAnsi="Arial" w:cs="Arial"/>
          <w:i/>
          <w:iCs/>
          <w:color w:val="000000"/>
          <w:lang w:eastAsia="en-ZA"/>
        </w:rPr>
      </w:pPr>
      <w:bookmarkStart w:id="8" w:name="0-0-0-45563"/>
      <w:bookmarkEnd w:id="8"/>
      <w:r w:rsidRPr="00A2775E">
        <w:rPr>
          <w:rFonts w:ascii="Arial" w:hAnsi="Arial" w:cs="Arial"/>
          <w:i/>
          <w:iCs/>
          <w:color w:val="000000"/>
          <w:sz w:val="22"/>
          <w:szCs w:val="22"/>
          <w:lang w:eastAsia="en-ZA"/>
        </w:rPr>
        <w:t>(5)</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No order shall be made under subrule (4) unless it appears to the court that the defendant is insured in respect of the plaintiff’s claim or that he has the means at his disposal to enable him to make such a payment.</w:t>
      </w:r>
    </w:p>
    <w:p w:rsidR="00BD7D11" w:rsidRPr="00A2775E" w:rsidRDefault="00BD7D11" w:rsidP="00BD7D11">
      <w:pPr>
        <w:pStyle w:val="ListParagraph"/>
        <w:spacing w:after="0" w:line="240" w:lineRule="auto"/>
        <w:ind w:left="1839"/>
        <w:jc w:val="both"/>
        <w:rPr>
          <w:rFonts w:ascii="Arial" w:eastAsia="Times New Roman" w:hAnsi="Arial" w:cs="Arial"/>
          <w:i/>
          <w:iCs/>
          <w:color w:val="000000"/>
          <w:lang w:eastAsia="en-ZA"/>
        </w:rPr>
      </w:pPr>
      <w:bookmarkStart w:id="9" w:name="0-0-0-45565"/>
      <w:bookmarkEnd w:id="9"/>
    </w:p>
    <w:p w:rsidR="00BD7D11" w:rsidRPr="006B33CD" w:rsidRDefault="006B33CD" w:rsidP="006B33CD">
      <w:pPr>
        <w:ind w:left="1839" w:hanging="360"/>
        <w:jc w:val="both"/>
        <w:rPr>
          <w:rFonts w:ascii="Arial" w:hAnsi="Arial" w:cs="Arial"/>
          <w:i/>
          <w:iCs/>
          <w:color w:val="000000"/>
          <w:lang w:eastAsia="en-ZA"/>
        </w:rPr>
      </w:pPr>
      <w:r w:rsidRPr="00A2775E">
        <w:rPr>
          <w:rFonts w:ascii="Arial" w:hAnsi="Arial" w:cs="Arial"/>
          <w:i/>
          <w:iCs/>
          <w:color w:val="000000"/>
          <w:sz w:val="22"/>
          <w:szCs w:val="22"/>
          <w:lang w:eastAsia="en-ZA"/>
        </w:rPr>
        <w:t>(6)</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The amount of any interim payment ordered shall be paid in full to the plaintiff unless the court otherwise orders.</w:t>
      </w:r>
      <w:bookmarkStart w:id="10" w:name="0-0-0-45567"/>
      <w:bookmarkEnd w:id="10"/>
    </w:p>
    <w:p w:rsidR="00BD7D11" w:rsidRPr="00A2775E" w:rsidRDefault="00BD7D11" w:rsidP="00BD7D11">
      <w:pPr>
        <w:pStyle w:val="ListParagraph"/>
        <w:rPr>
          <w:rFonts w:ascii="Arial" w:eastAsia="Times New Roman" w:hAnsi="Arial" w:cs="Arial"/>
          <w:i/>
          <w:iCs/>
          <w:color w:val="000000"/>
          <w:lang w:eastAsia="en-ZA"/>
        </w:rPr>
      </w:pPr>
    </w:p>
    <w:p w:rsidR="00BD7D11" w:rsidRPr="006B33CD" w:rsidRDefault="006B33CD" w:rsidP="006B33CD">
      <w:pPr>
        <w:ind w:left="1839" w:hanging="360"/>
        <w:jc w:val="both"/>
        <w:rPr>
          <w:rFonts w:ascii="Arial" w:hAnsi="Arial" w:cs="Arial"/>
          <w:i/>
          <w:iCs/>
          <w:color w:val="000000"/>
          <w:lang w:eastAsia="en-ZA"/>
        </w:rPr>
      </w:pPr>
      <w:r w:rsidRPr="00A2775E">
        <w:rPr>
          <w:rFonts w:ascii="Arial" w:hAnsi="Arial" w:cs="Arial"/>
          <w:i/>
          <w:iCs/>
          <w:color w:val="000000"/>
          <w:sz w:val="22"/>
          <w:szCs w:val="22"/>
          <w:lang w:eastAsia="en-ZA"/>
        </w:rPr>
        <w:t>(7)</w:t>
      </w:r>
      <w:r w:rsidRPr="00A2775E">
        <w:rPr>
          <w:rFonts w:ascii="Arial" w:hAnsi="Arial" w:cs="Arial"/>
          <w:i/>
          <w:iCs/>
          <w:color w:val="000000"/>
          <w:sz w:val="22"/>
          <w:szCs w:val="22"/>
          <w:lang w:eastAsia="en-ZA"/>
        </w:rPr>
        <w:tab/>
      </w:r>
      <w:r w:rsidR="00BD7D11" w:rsidRPr="006B33CD">
        <w:rPr>
          <w:rFonts w:ascii="Arial" w:hAnsi="Arial" w:cs="Arial"/>
          <w:i/>
          <w:iCs/>
          <w:color w:val="000000"/>
          <w:lang w:eastAsia="en-ZA"/>
        </w:rPr>
        <w:t>Where an application has been made under subrule (1), the court may prescribe the procedure for the further conduct of the action and in particular may order the early trial thereof.”</w:t>
      </w:r>
    </w:p>
    <w:p w:rsidR="00BD7D11" w:rsidRPr="00A2775E" w:rsidRDefault="00BD7D11" w:rsidP="00BD7D11">
      <w:pPr>
        <w:pStyle w:val="ListParagraph"/>
        <w:spacing w:after="0" w:line="480" w:lineRule="auto"/>
        <w:ind w:left="1440"/>
        <w:jc w:val="both"/>
        <w:rPr>
          <w:rFonts w:ascii="Arial" w:eastAsia="Times New Roman" w:hAnsi="Arial" w:cs="Arial"/>
          <w:color w:val="000000"/>
          <w:lang w:eastAsia="en-ZA"/>
        </w:rPr>
      </w:pPr>
    </w:p>
    <w:p w:rsidR="004F3383" w:rsidRPr="006B33CD" w:rsidRDefault="006B33CD" w:rsidP="006B33CD">
      <w:pPr>
        <w:spacing w:line="480" w:lineRule="auto"/>
        <w:ind w:left="851" w:hanging="567"/>
        <w:jc w:val="both"/>
        <w:rPr>
          <w:rFonts w:ascii="Arial" w:hAnsi="Arial" w:cs="Arial"/>
          <w:color w:val="000000" w:themeColor="text1"/>
          <w:lang w:eastAsia="en-ZA"/>
        </w:rPr>
      </w:pPr>
      <w:r w:rsidRPr="00A2775E">
        <w:rPr>
          <w:rFonts w:ascii="Arial" w:hAnsi="Arial" w:cs="Arial"/>
          <w:color w:val="000000" w:themeColor="text1"/>
          <w:sz w:val="22"/>
          <w:szCs w:val="22"/>
          <w:lang w:eastAsia="en-ZA"/>
        </w:rPr>
        <w:t>8.</w:t>
      </w:r>
      <w:r w:rsidRPr="00A2775E">
        <w:rPr>
          <w:rFonts w:ascii="Arial" w:hAnsi="Arial" w:cs="Arial"/>
          <w:color w:val="000000" w:themeColor="text1"/>
          <w:sz w:val="22"/>
          <w:szCs w:val="22"/>
          <w:lang w:eastAsia="en-ZA"/>
        </w:rPr>
        <w:tab/>
      </w:r>
      <w:r w:rsidR="0087492C" w:rsidRPr="006B33CD">
        <w:rPr>
          <w:rFonts w:ascii="Arial" w:hAnsi="Arial" w:cs="Arial"/>
          <w:color w:val="000000" w:themeColor="text1"/>
          <w:lang w:val="en-US" w:eastAsia="en-ZA"/>
        </w:rPr>
        <w:t>According to Mr Manuel, in order to meet the requirement in Uniform Rule 34A(4)(a)</w:t>
      </w:r>
      <w:r w:rsidR="0054379A" w:rsidRPr="006B33CD">
        <w:rPr>
          <w:rFonts w:ascii="Arial" w:hAnsi="Arial" w:cs="Arial"/>
          <w:color w:val="000000" w:themeColor="text1"/>
          <w:lang w:val="en-US" w:eastAsia="en-ZA"/>
        </w:rPr>
        <w:t>, it must be shown that the respondent has admitted to liability for the quantum or part of the quantum of damages. It is not sufficient that his client has admitted to the wrongfulness of the shooting. What the provision requires according to Mr Manuel, is admission of liability for damages proved.</w:t>
      </w:r>
      <w:r w:rsidR="00A858FD" w:rsidRPr="006B33CD">
        <w:rPr>
          <w:rFonts w:ascii="Arial" w:hAnsi="Arial" w:cs="Arial"/>
          <w:color w:val="000000" w:themeColor="text1"/>
          <w:lang w:val="en-US" w:eastAsia="en-ZA"/>
        </w:rPr>
        <w:t xml:space="preserve"> </w:t>
      </w:r>
      <w:r w:rsidR="004E39FA" w:rsidRPr="006B33CD">
        <w:rPr>
          <w:rFonts w:ascii="Arial" w:hAnsi="Arial" w:cs="Arial"/>
          <w:color w:val="000000" w:themeColor="text1"/>
          <w:lang w:val="en-US" w:eastAsia="en-ZA"/>
        </w:rPr>
        <w:t>T</w:t>
      </w:r>
      <w:r w:rsidR="00A72591" w:rsidRPr="006B33CD">
        <w:rPr>
          <w:rFonts w:ascii="Arial" w:hAnsi="Arial" w:cs="Arial"/>
          <w:color w:val="000000" w:themeColor="text1"/>
          <w:lang w:val="en-US" w:eastAsia="en-ZA"/>
        </w:rPr>
        <w:t>he Rule</w:t>
      </w:r>
      <w:r w:rsidR="004E39FA" w:rsidRPr="006B33CD">
        <w:rPr>
          <w:rFonts w:ascii="Arial" w:hAnsi="Arial" w:cs="Arial"/>
          <w:color w:val="000000" w:themeColor="text1"/>
          <w:lang w:val="en-US" w:eastAsia="en-ZA"/>
        </w:rPr>
        <w:t>, according to</w:t>
      </w:r>
      <w:r w:rsidR="00A72591" w:rsidRPr="006B33CD">
        <w:rPr>
          <w:rFonts w:ascii="Arial" w:hAnsi="Arial" w:cs="Arial"/>
          <w:color w:val="000000" w:themeColor="text1"/>
          <w:lang w:val="en-US" w:eastAsia="en-ZA"/>
        </w:rPr>
        <w:t xml:space="preserve"> </w:t>
      </w:r>
      <w:r w:rsidR="00920D31" w:rsidRPr="006B33CD">
        <w:rPr>
          <w:rFonts w:ascii="Arial" w:hAnsi="Arial" w:cs="Arial"/>
          <w:color w:val="000000" w:themeColor="text1"/>
          <w:lang w:val="en-US" w:eastAsia="en-ZA"/>
        </w:rPr>
        <w:t>him</w:t>
      </w:r>
      <w:r w:rsidR="004E39FA" w:rsidRPr="006B33CD">
        <w:rPr>
          <w:rFonts w:ascii="Arial" w:hAnsi="Arial" w:cs="Arial"/>
          <w:color w:val="000000" w:themeColor="text1"/>
          <w:lang w:val="en-US" w:eastAsia="en-ZA"/>
        </w:rPr>
        <w:t xml:space="preserve">, </w:t>
      </w:r>
      <w:r w:rsidR="00A72591" w:rsidRPr="006B33CD">
        <w:rPr>
          <w:rFonts w:ascii="Arial" w:hAnsi="Arial" w:cs="Arial"/>
          <w:color w:val="000000" w:themeColor="text1"/>
          <w:lang w:val="en-US" w:eastAsia="en-ZA"/>
        </w:rPr>
        <w:t xml:space="preserve">is meant for situations in which a defendant admits liability for payment of damages but the parties do not agree on the </w:t>
      </w:r>
      <w:r w:rsidR="00920D31" w:rsidRPr="006B33CD">
        <w:rPr>
          <w:rFonts w:ascii="Arial" w:hAnsi="Arial" w:cs="Arial"/>
          <w:color w:val="000000" w:themeColor="text1"/>
          <w:lang w:val="en-US" w:eastAsia="en-ZA"/>
        </w:rPr>
        <w:t xml:space="preserve">amount of </w:t>
      </w:r>
      <w:r w:rsidR="00A72591" w:rsidRPr="006B33CD">
        <w:rPr>
          <w:rFonts w:ascii="Arial" w:hAnsi="Arial" w:cs="Arial"/>
          <w:color w:val="000000" w:themeColor="text1"/>
          <w:lang w:val="en-US" w:eastAsia="en-ZA"/>
        </w:rPr>
        <w:t>quantum</w:t>
      </w:r>
      <w:r w:rsidR="00920D31" w:rsidRPr="006B33CD">
        <w:rPr>
          <w:rFonts w:ascii="Arial" w:hAnsi="Arial" w:cs="Arial"/>
          <w:color w:val="000000" w:themeColor="text1"/>
          <w:lang w:val="en-US" w:eastAsia="en-ZA"/>
        </w:rPr>
        <w:t xml:space="preserve"> payable</w:t>
      </w:r>
      <w:r w:rsidR="00A72591" w:rsidRPr="006B33CD">
        <w:rPr>
          <w:rFonts w:ascii="Arial" w:hAnsi="Arial" w:cs="Arial"/>
          <w:color w:val="000000" w:themeColor="text1"/>
          <w:lang w:val="en-US" w:eastAsia="en-ZA"/>
        </w:rPr>
        <w:t>. In this regard, he referred to paragraph 19 of the summons in both matters in which the applicants have set out the quantum of damages claimed</w:t>
      </w:r>
      <w:r w:rsidR="007D7975" w:rsidRPr="006B33CD">
        <w:rPr>
          <w:rFonts w:ascii="Arial" w:hAnsi="Arial" w:cs="Arial"/>
          <w:color w:val="000000" w:themeColor="text1"/>
          <w:lang w:val="en-US" w:eastAsia="en-ZA"/>
        </w:rPr>
        <w:t xml:space="preserve"> in respect of loss of income</w:t>
      </w:r>
      <w:r w:rsidR="00A72591" w:rsidRPr="006B33CD">
        <w:rPr>
          <w:rFonts w:ascii="Arial" w:hAnsi="Arial" w:cs="Arial"/>
          <w:color w:val="000000" w:themeColor="text1"/>
          <w:lang w:val="en-US" w:eastAsia="en-ZA"/>
        </w:rPr>
        <w:t xml:space="preserve">; </w:t>
      </w:r>
      <w:r w:rsidR="007D7975" w:rsidRPr="006B33CD">
        <w:rPr>
          <w:rFonts w:ascii="Arial" w:hAnsi="Arial" w:cs="Arial"/>
          <w:color w:val="000000" w:themeColor="text1"/>
          <w:lang w:val="en-US" w:eastAsia="en-ZA"/>
        </w:rPr>
        <w:t>and to the response in the plea in which those amounts are denied by the respondent. Accordingly, it was argued that the respondent has not admitted liability for payment of damages.</w:t>
      </w:r>
    </w:p>
    <w:p w:rsidR="004E39FA" w:rsidRPr="00A2775E" w:rsidRDefault="004E39FA" w:rsidP="004E39FA">
      <w:pPr>
        <w:spacing w:line="480" w:lineRule="auto"/>
        <w:jc w:val="both"/>
        <w:rPr>
          <w:rFonts w:ascii="Arial" w:hAnsi="Arial" w:cs="Arial"/>
          <w:color w:val="000000" w:themeColor="text1"/>
          <w:sz w:val="22"/>
          <w:szCs w:val="22"/>
          <w:lang w:eastAsia="en-ZA"/>
        </w:rPr>
      </w:pPr>
    </w:p>
    <w:p w:rsidR="004E39FA" w:rsidRPr="006B33CD" w:rsidRDefault="006B33CD" w:rsidP="006B33CD">
      <w:pPr>
        <w:spacing w:line="480" w:lineRule="auto"/>
        <w:ind w:left="851" w:hanging="567"/>
        <w:jc w:val="both"/>
        <w:rPr>
          <w:rFonts w:ascii="Arial" w:hAnsi="Arial" w:cs="Arial"/>
          <w:color w:val="000000" w:themeColor="text1"/>
          <w:lang w:eastAsia="en-ZA"/>
        </w:rPr>
      </w:pPr>
      <w:r w:rsidRPr="00A2775E">
        <w:rPr>
          <w:rFonts w:ascii="Arial" w:hAnsi="Arial" w:cs="Arial"/>
          <w:color w:val="000000" w:themeColor="text1"/>
          <w:sz w:val="22"/>
          <w:szCs w:val="22"/>
          <w:lang w:eastAsia="en-ZA"/>
        </w:rPr>
        <w:lastRenderedPageBreak/>
        <w:t>9.</w:t>
      </w:r>
      <w:r w:rsidRPr="00A2775E">
        <w:rPr>
          <w:rFonts w:ascii="Arial" w:hAnsi="Arial" w:cs="Arial"/>
          <w:color w:val="000000" w:themeColor="text1"/>
          <w:sz w:val="22"/>
          <w:szCs w:val="22"/>
          <w:lang w:eastAsia="en-ZA"/>
        </w:rPr>
        <w:tab/>
      </w:r>
      <w:r w:rsidR="00740C13" w:rsidRPr="006B33CD">
        <w:rPr>
          <w:rFonts w:ascii="Arial" w:hAnsi="Arial" w:cs="Arial"/>
          <w:color w:val="000000" w:themeColor="text1"/>
          <w:lang w:val="en-US" w:eastAsia="en-ZA"/>
        </w:rPr>
        <w:t xml:space="preserve">Not only is </w:t>
      </w:r>
      <w:r w:rsidR="004E39FA" w:rsidRPr="006B33CD">
        <w:rPr>
          <w:rFonts w:ascii="Arial" w:hAnsi="Arial" w:cs="Arial"/>
          <w:color w:val="000000" w:themeColor="text1"/>
          <w:lang w:val="en-US" w:eastAsia="en-ZA"/>
        </w:rPr>
        <w:t>the interpretation contended by Mr Manuel not sustainable</w:t>
      </w:r>
      <w:r w:rsidR="00740C13" w:rsidRPr="006B33CD">
        <w:rPr>
          <w:rFonts w:ascii="Arial" w:hAnsi="Arial" w:cs="Arial"/>
          <w:color w:val="000000" w:themeColor="text1"/>
          <w:lang w:val="en-US" w:eastAsia="en-ZA"/>
        </w:rPr>
        <w:t xml:space="preserve">, but it </w:t>
      </w:r>
      <w:r w:rsidR="00920D31" w:rsidRPr="006B33CD">
        <w:rPr>
          <w:rFonts w:ascii="Arial" w:hAnsi="Arial" w:cs="Arial"/>
          <w:color w:val="000000" w:themeColor="text1"/>
          <w:lang w:val="en-US" w:eastAsia="en-ZA"/>
        </w:rPr>
        <w:t xml:space="preserve">is not supported by </w:t>
      </w:r>
      <w:r w:rsidR="00740C13" w:rsidRPr="006B33CD">
        <w:rPr>
          <w:rFonts w:ascii="Arial" w:hAnsi="Arial" w:cs="Arial"/>
          <w:color w:val="000000" w:themeColor="text1"/>
          <w:lang w:val="en-US" w:eastAsia="en-ZA"/>
        </w:rPr>
        <w:t>the case law</w:t>
      </w:r>
      <w:r w:rsidR="004E39FA" w:rsidRPr="006B33CD">
        <w:rPr>
          <w:rFonts w:ascii="Arial" w:hAnsi="Arial" w:cs="Arial"/>
          <w:color w:val="000000" w:themeColor="text1"/>
          <w:lang w:val="en-US" w:eastAsia="en-ZA"/>
        </w:rPr>
        <w:t>. It is well to remember the context for the Rule. The context is to alleviate hardship which a plaintiff may suffer while waiting for the claim to be brought to finality</w:t>
      </w:r>
      <w:r w:rsidR="004D3CC8" w:rsidRPr="006B33CD">
        <w:rPr>
          <w:rFonts w:ascii="Arial" w:hAnsi="Arial" w:cs="Arial"/>
          <w:color w:val="000000" w:themeColor="text1"/>
          <w:lang w:val="en-US" w:eastAsia="en-ZA"/>
        </w:rPr>
        <w:t xml:space="preserve">, in other words, before </w:t>
      </w:r>
      <w:r w:rsidR="004D3CC8" w:rsidRPr="006B33CD">
        <w:rPr>
          <w:rFonts w:ascii="Arial" w:hAnsi="Arial" w:cs="Arial"/>
          <w:color w:val="000000" w:themeColor="text1"/>
          <w:shd w:val="clear" w:color="auto" w:fill="FFFFFF"/>
        </w:rPr>
        <w:t>final determination of the quantum of damages payable in the main action.</w:t>
      </w:r>
      <w:r w:rsidR="004E39FA" w:rsidRPr="006B33CD">
        <w:rPr>
          <w:rFonts w:ascii="Arial" w:hAnsi="Arial" w:cs="Arial"/>
          <w:color w:val="000000" w:themeColor="text1"/>
          <w:lang w:val="en-US" w:eastAsia="en-ZA"/>
        </w:rPr>
        <w:t xml:space="preserve"> According to subrule (1) an application </w:t>
      </w:r>
      <w:r w:rsidR="004D3CC8" w:rsidRPr="006B33CD">
        <w:rPr>
          <w:rFonts w:ascii="Arial" w:hAnsi="Arial" w:cs="Arial"/>
          <w:color w:val="000000" w:themeColor="text1"/>
          <w:lang w:val="en-US" w:eastAsia="en-ZA"/>
        </w:rPr>
        <w:t>may be</w:t>
      </w:r>
      <w:r w:rsidR="004E39FA" w:rsidRPr="006B33CD">
        <w:rPr>
          <w:rFonts w:ascii="Arial" w:hAnsi="Arial" w:cs="Arial"/>
          <w:color w:val="000000" w:themeColor="text1"/>
          <w:lang w:val="en-US" w:eastAsia="en-ZA"/>
        </w:rPr>
        <w:t xml:space="preserve"> brought at any </w:t>
      </w:r>
      <w:r w:rsidR="004E39FA" w:rsidRPr="006B33CD">
        <w:rPr>
          <w:rFonts w:ascii="Arial" w:hAnsi="Arial" w:cs="Arial"/>
          <w:color w:val="000000" w:themeColor="text1"/>
          <w:lang w:eastAsia="en-ZA"/>
        </w:rPr>
        <w:t>time after the expiry of the period for the delivery of the notice of intention to defend</w:t>
      </w:r>
      <w:r w:rsidR="004D3CC8" w:rsidRPr="006B33CD">
        <w:rPr>
          <w:rFonts w:ascii="Arial" w:hAnsi="Arial" w:cs="Arial"/>
          <w:color w:val="000000" w:themeColor="text1"/>
          <w:lang w:eastAsia="en-ZA"/>
        </w:rPr>
        <w:t xml:space="preserve">, a </w:t>
      </w:r>
      <w:r w:rsidR="004E39FA" w:rsidRPr="006B33CD">
        <w:rPr>
          <w:rFonts w:ascii="Arial" w:hAnsi="Arial" w:cs="Arial"/>
          <w:color w:val="000000" w:themeColor="text1"/>
          <w:lang w:val="en-US" w:eastAsia="en-ZA"/>
        </w:rPr>
        <w:t xml:space="preserve">clear indication that the Rule does not require admission of proven damages by a defendant. The Rule envisages that an application of this nature may be brought even before a defendant has delivered a plea. </w:t>
      </w:r>
      <w:r w:rsidR="00892728" w:rsidRPr="006B33CD">
        <w:rPr>
          <w:rFonts w:ascii="Arial" w:hAnsi="Arial" w:cs="Arial"/>
          <w:color w:val="000000" w:themeColor="text1"/>
          <w:shd w:val="clear" w:color="auto" w:fill="FFFFFF"/>
        </w:rPr>
        <w:t xml:space="preserve">This was the view of the Court in </w:t>
      </w:r>
      <w:r w:rsidR="00892728" w:rsidRPr="006B33CD">
        <w:rPr>
          <w:rFonts w:ascii="Arial" w:hAnsi="Arial" w:cs="Arial"/>
          <w:i/>
          <w:iCs/>
          <w:color w:val="000000" w:themeColor="text1"/>
          <w:shd w:val="clear" w:color="auto" w:fill="FFFFFF"/>
        </w:rPr>
        <w:t>Karpakis v Mutual &amp; Federal Insurance Co Ltd</w:t>
      </w:r>
      <w:r w:rsidR="00892728" w:rsidRPr="00A2775E">
        <w:rPr>
          <w:rStyle w:val="FootnoteReference"/>
          <w:rFonts w:ascii="Arial" w:hAnsi="Arial" w:cs="Arial"/>
          <w:i/>
          <w:iCs/>
          <w:color w:val="000000" w:themeColor="text1"/>
          <w:shd w:val="clear" w:color="auto" w:fill="FFFFFF"/>
        </w:rPr>
        <w:footnoteReference w:id="1"/>
      </w:r>
      <w:r w:rsidR="00892728" w:rsidRPr="006B33CD">
        <w:rPr>
          <w:rFonts w:ascii="Arial" w:hAnsi="Arial" w:cs="Arial"/>
          <w:i/>
          <w:iCs/>
          <w:color w:val="000000" w:themeColor="text1"/>
          <w:shd w:val="clear" w:color="auto" w:fill="FFFFFF"/>
        </w:rPr>
        <w:t xml:space="preserve">. </w:t>
      </w:r>
      <w:r w:rsidR="00E0638F" w:rsidRPr="006B33CD">
        <w:rPr>
          <w:rFonts w:ascii="Arial" w:hAnsi="Arial" w:cs="Arial"/>
          <w:color w:val="000000" w:themeColor="text1"/>
          <w:shd w:val="clear" w:color="auto" w:fill="FFFFFF"/>
        </w:rPr>
        <w:t>Regarding the objective of the Rule</w:t>
      </w:r>
      <w:r w:rsidR="00E0638F" w:rsidRPr="006B33CD">
        <w:rPr>
          <w:rFonts w:ascii="Arial" w:hAnsi="Arial" w:cs="Arial"/>
          <w:i/>
          <w:iCs/>
          <w:color w:val="000000" w:themeColor="text1"/>
          <w:shd w:val="clear" w:color="auto" w:fill="FFFFFF"/>
        </w:rPr>
        <w:t xml:space="preserve">, </w:t>
      </w:r>
      <w:r w:rsidR="004D3CC8" w:rsidRPr="006B33CD">
        <w:rPr>
          <w:rFonts w:ascii="Arial" w:hAnsi="Arial" w:cs="Arial"/>
          <w:color w:val="000000" w:themeColor="text1"/>
          <w:shd w:val="clear" w:color="auto" w:fill="FFFFFF"/>
        </w:rPr>
        <w:t xml:space="preserve">the Court held that </w:t>
      </w:r>
      <w:r w:rsidR="00E0638F" w:rsidRPr="006B33CD">
        <w:rPr>
          <w:rFonts w:ascii="Arial" w:hAnsi="Arial" w:cs="Arial"/>
          <w:color w:val="000000" w:themeColor="text1"/>
          <w:shd w:val="clear" w:color="auto" w:fill="FFFFFF"/>
        </w:rPr>
        <w:t>it</w:t>
      </w:r>
      <w:r w:rsidR="004D3CC8" w:rsidRPr="006B33CD">
        <w:rPr>
          <w:rFonts w:ascii="Arial" w:hAnsi="Arial" w:cs="Arial"/>
          <w:color w:val="000000" w:themeColor="text1"/>
          <w:shd w:val="clear" w:color="auto" w:fill="FFFFFF"/>
        </w:rPr>
        <w:t xml:space="preserve"> is to </w:t>
      </w:r>
      <w:r w:rsidR="004D3CC8" w:rsidRPr="006B33CD">
        <w:rPr>
          <w:rFonts w:ascii="Arial" w:hAnsi="Arial" w:cs="Arial"/>
          <w:color w:val="000000"/>
        </w:rPr>
        <w:t xml:space="preserve">afford a plaintiff an adjectival or procedural remedy to obtain, by way of interim payment some of the medical costs and loss of income arising from his physical disability. It is not an advance payment in respect of the damages which the plaintiff hopes will be awarded to him at some future time once proved. As the Court stated: </w:t>
      </w:r>
    </w:p>
    <w:p w:rsidR="00740C13" w:rsidRPr="00A2775E" w:rsidRDefault="00E0638F" w:rsidP="00E0638F">
      <w:pPr>
        <w:ind w:left="1440"/>
        <w:jc w:val="both"/>
        <w:rPr>
          <w:rFonts w:ascii="Arial" w:hAnsi="Arial" w:cs="Arial"/>
          <w:i/>
          <w:iCs/>
          <w:sz w:val="22"/>
          <w:szCs w:val="22"/>
        </w:rPr>
      </w:pPr>
      <w:r w:rsidRPr="00A2775E">
        <w:rPr>
          <w:rFonts w:ascii="Arial" w:hAnsi="Arial" w:cs="Arial"/>
          <w:i/>
          <w:iCs/>
          <w:color w:val="000000"/>
          <w:sz w:val="22"/>
          <w:szCs w:val="22"/>
        </w:rPr>
        <w:t>“I</w:t>
      </w:r>
      <w:r w:rsidR="00740C13" w:rsidRPr="00A2775E">
        <w:rPr>
          <w:rFonts w:ascii="Arial" w:hAnsi="Arial" w:cs="Arial"/>
          <w:i/>
          <w:iCs/>
          <w:color w:val="000000"/>
          <w:sz w:val="22"/>
          <w:szCs w:val="22"/>
        </w:rPr>
        <w:t>t appears quite clearly that the interim payment envisaged by the Rule is well and truly an interim one, that is to say, it is one 'on account' of what plaintiff (ie the claimant or applicant for the interim payment) must still prove in order to obtain judgment in his favour at the trial where he is the plaintiff. It is, I think, also clear that it never was, nor is it, the intention of the Rule that the Court, when it grants an</w:t>
      </w:r>
      <w:r w:rsidRPr="00A2775E">
        <w:rPr>
          <w:rFonts w:ascii="Arial" w:hAnsi="Arial" w:cs="Arial"/>
          <w:i/>
          <w:iCs/>
          <w:color w:val="000000"/>
          <w:sz w:val="22"/>
          <w:szCs w:val="22"/>
        </w:rPr>
        <w:t xml:space="preserve"> </w:t>
      </w:r>
      <w:r w:rsidR="00740C13" w:rsidRPr="00A2775E">
        <w:rPr>
          <w:rFonts w:ascii="Arial" w:hAnsi="Arial" w:cs="Arial"/>
          <w:i/>
          <w:iCs/>
          <w:color w:val="000000"/>
          <w:sz w:val="22"/>
          <w:szCs w:val="22"/>
        </w:rPr>
        <w:t>interim payment, actually pronounces judgment against defendant in plaintiff's favour on the cause of action which forms the subject-matter of the dispute between the parties, nor does the Court give judgment as to part of plaintiff's claim. On the contrary, the entire claim remains extant and still has to be proved at the trial - including also those very portions of it as may be covered by the interim payment or part</w:t>
      </w:r>
      <w:r w:rsidRPr="00A2775E">
        <w:rPr>
          <w:rFonts w:ascii="Arial" w:hAnsi="Arial" w:cs="Arial"/>
          <w:i/>
          <w:iCs/>
          <w:color w:val="000000"/>
          <w:sz w:val="22"/>
          <w:szCs w:val="22"/>
        </w:rPr>
        <w:t xml:space="preserve"> </w:t>
      </w:r>
      <w:r w:rsidR="00740C13" w:rsidRPr="00A2775E">
        <w:rPr>
          <w:rFonts w:ascii="Arial" w:hAnsi="Arial" w:cs="Arial"/>
          <w:i/>
          <w:iCs/>
          <w:color w:val="000000"/>
          <w:sz w:val="22"/>
          <w:szCs w:val="22"/>
        </w:rPr>
        <w:t xml:space="preserve">thereof. What is more, no part whatsoever of plaintiff's claim becomes extinguished or satisfied by the interim payment and the entire interim payment is repayable, in whole or in part, under certain circumstances when the Court makes 'a final order' (subrule (10)(a) ). It is quite clear that the Court, when it decides to grant an interim payment, does not in any way whatsoever quantify and assess plaintiff's damages in the way it would do when giving judgment, ie after it has heard all the evidence touching upon the quantum of damages and has thereafter decided what the </w:t>
      </w:r>
      <w:r w:rsidR="00740C13" w:rsidRPr="00A2775E">
        <w:rPr>
          <w:rFonts w:ascii="Arial" w:hAnsi="Arial" w:cs="Arial"/>
          <w:i/>
          <w:iCs/>
          <w:color w:val="000000"/>
          <w:sz w:val="22"/>
          <w:szCs w:val="22"/>
        </w:rPr>
        <w:lastRenderedPageBreak/>
        <w:t>exact amount of its award of damages should be. On the contrary, the Court merely exercises a judicial discretion under subrule (4) and, having applied certain yardsticks and safeguards mentioned in the Rule, grants an interim payment in 'such an amount as it thinks just', taking into account the criteria set out in subrules (4) and (5). If the interim payment were to be equated to, or indeed be, a final judgment relating to damages of part of the amount of damages claimed (or suffered) by plaintiff in the main action, subrule (5) would have no place whatever in the entire Rule and be completely nugatory because the possible impecuniosity of the defendant or the fact that he is not insured against plaintiff's claim can, in the case of a judgment for damages, not possibly have any bearing on the judgment for damages, for in such event the defendant's impecuniosity or his inability to satisfy the judgment or the fact that he is not insured for the event giving rise to plaintiff's claim, are entirely irrelevant.</w:t>
      </w:r>
      <w:r w:rsidRPr="00A2775E">
        <w:rPr>
          <w:rFonts w:ascii="Arial" w:hAnsi="Arial" w:cs="Arial"/>
          <w:i/>
          <w:iCs/>
          <w:color w:val="000000"/>
          <w:sz w:val="22"/>
          <w:szCs w:val="22"/>
        </w:rPr>
        <w:t>”</w:t>
      </w:r>
      <w:r w:rsidR="007E60F0" w:rsidRPr="00A2775E">
        <w:rPr>
          <w:rStyle w:val="FootnoteReference"/>
          <w:rFonts w:ascii="Arial" w:hAnsi="Arial" w:cs="Arial"/>
          <w:i/>
          <w:iCs/>
          <w:color w:val="000000"/>
          <w:sz w:val="22"/>
          <w:szCs w:val="22"/>
        </w:rPr>
        <w:footnoteReference w:id="2"/>
      </w:r>
      <w:r w:rsidR="00740C13" w:rsidRPr="00A2775E">
        <w:rPr>
          <w:rFonts w:ascii="Arial" w:hAnsi="Arial" w:cs="Arial"/>
          <w:i/>
          <w:iCs/>
          <w:color w:val="000000"/>
          <w:sz w:val="22"/>
          <w:szCs w:val="22"/>
        </w:rPr>
        <w:t> </w:t>
      </w:r>
    </w:p>
    <w:p w:rsidR="004E39FA" w:rsidRPr="00A2775E" w:rsidRDefault="004E39FA" w:rsidP="00E0638F">
      <w:pPr>
        <w:spacing w:line="480" w:lineRule="auto"/>
        <w:jc w:val="both"/>
        <w:rPr>
          <w:rFonts w:ascii="Arial" w:hAnsi="Arial" w:cs="Arial"/>
          <w:i/>
          <w:iCs/>
          <w:color w:val="000000"/>
          <w:sz w:val="22"/>
          <w:szCs w:val="22"/>
          <w:lang w:eastAsia="en-ZA"/>
        </w:rPr>
      </w:pPr>
    </w:p>
    <w:p w:rsidR="00740C13"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10.</w:t>
      </w:r>
      <w:r w:rsidRPr="00A2775E">
        <w:rPr>
          <w:rFonts w:ascii="Arial" w:hAnsi="Arial" w:cs="Arial"/>
          <w:color w:val="000000"/>
          <w:sz w:val="22"/>
          <w:szCs w:val="22"/>
          <w:lang w:eastAsia="en-ZA"/>
        </w:rPr>
        <w:tab/>
      </w:r>
      <w:r w:rsidR="00AC3822" w:rsidRPr="006B33CD">
        <w:rPr>
          <w:rFonts w:ascii="Arial" w:hAnsi="Arial" w:cs="Arial"/>
          <w:color w:val="000000"/>
          <w:lang w:eastAsia="en-ZA"/>
        </w:rPr>
        <w:t xml:space="preserve">In the case of </w:t>
      </w:r>
      <w:r w:rsidR="00AC3822" w:rsidRPr="006B33CD">
        <w:rPr>
          <w:rFonts w:ascii="Arial" w:hAnsi="Arial" w:cs="Arial"/>
          <w:i/>
          <w:iCs/>
          <w:color w:val="000000"/>
          <w:lang w:eastAsia="en-ZA"/>
        </w:rPr>
        <w:t>Karpakis</w:t>
      </w:r>
      <w:r w:rsidR="00AC3822" w:rsidRPr="006B33CD">
        <w:rPr>
          <w:rFonts w:ascii="Arial" w:hAnsi="Arial" w:cs="Arial"/>
          <w:color w:val="000000"/>
          <w:lang w:eastAsia="en-ZA"/>
        </w:rPr>
        <w:t xml:space="preserve">, as in the present one, the defendant had conceded liability </w:t>
      </w:r>
      <w:r w:rsidR="004D3CC8" w:rsidRPr="006B33CD">
        <w:rPr>
          <w:rFonts w:ascii="Arial" w:hAnsi="Arial" w:cs="Arial"/>
          <w:color w:val="000000"/>
          <w:lang w:eastAsia="en-ZA"/>
        </w:rPr>
        <w:t xml:space="preserve">on the merits </w:t>
      </w:r>
      <w:r w:rsidR="00AC3822" w:rsidRPr="006B33CD">
        <w:rPr>
          <w:rFonts w:ascii="Arial" w:hAnsi="Arial" w:cs="Arial"/>
          <w:color w:val="000000"/>
          <w:lang w:eastAsia="en-ZA"/>
        </w:rPr>
        <w:t xml:space="preserve">and the only issue remaining </w:t>
      </w:r>
      <w:r w:rsidR="004D3CC8" w:rsidRPr="006B33CD">
        <w:rPr>
          <w:rFonts w:ascii="Arial" w:hAnsi="Arial" w:cs="Arial"/>
          <w:color w:val="000000"/>
          <w:lang w:eastAsia="en-ZA"/>
        </w:rPr>
        <w:t xml:space="preserve">for determination </w:t>
      </w:r>
      <w:r w:rsidR="00AC3822" w:rsidRPr="006B33CD">
        <w:rPr>
          <w:rFonts w:ascii="Arial" w:hAnsi="Arial" w:cs="Arial"/>
          <w:color w:val="000000"/>
          <w:lang w:eastAsia="en-ZA"/>
        </w:rPr>
        <w:t xml:space="preserve">was </w:t>
      </w:r>
      <w:r w:rsidR="004D3CC8" w:rsidRPr="006B33CD">
        <w:rPr>
          <w:rFonts w:ascii="Arial" w:hAnsi="Arial" w:cs="Arial"/>
          <w:color w:val="000000"/>
          <w:lang w:eastAsia="en-ZA"/>
        </w:rPr>
        <w:t xml:space="preserve">the quantum of </w:t>
      </w:r>
      <w:r w:rsidR="00AC3822" w:rsidRPr="006B33CD">
        <w:rPr>
          <w:rFonts w:ascii="Arial" w:hAnsi="Arial" w:cs="Arial"/>
          <w:color w:val="000000"/>
          <w:lang w:eastAsia="en-ZA"/>
        </w:rPr>
        <w:t>damage</w:t>
      </w:r>
      <w:r w:rsidR="00566AD0" w:rsidRPr="006B33CD">
        <w:rPr>
          <w:rFonts w:ascii="Arial" w:hAnsi="Arial" w:cs="Arial"/>
          <w:color w:val="000000"/>
          <w:lang w:eastAsia="en-ZA"/>
        </w:rPr>
        <w:t>s. The Court</w:t>
      </w:r>
      <w:r w:rsidR="00AC3822" w:rsidRPr="006B33CD">
        <w:rPr>
          <w:rFonts w:ascii="Arial" w:hAnsi="Arial" w:cs="Arial"/>
          <w:color w:val="000000"/>
          <w:lang w:eastAsia="en-ZA"/>
        </w:rPr>
        <w:t xml:space="preserve"> </w:t>
      </w:r>
      <w:r w:rsidR="00566AD0" w:rsidRPr="006B33CD">
        <w:rPr>
          <w:rFonts w:ascii="Arial" w:hAnsi="Arial" w:cs="Arial"/>
          <w:color w:val="000000"/>
          <w:lang w:eastAsia="en-ZA"/>
        </w:rPr>
        <w:t>i</w:t>
      </w:r>
      <w:r w:rsidR="00740C13" w:rsidRPr="006B33CD">
        <w:rPr>
          <w:rFonts w:ascii="Arial" w:hAnsi="Arial" w:cs="Arial"/>
          <w:color w:val="000000"/>
          <w:lang w:eastAsia="en-ZA"/>
        </w:rPr>
        <w:t xml:space="preserve">n </w:t>
      </w:r>
      <w:r w:rsidR="00740C13" w:rsidRPr="006B33CD">
        <w:rPr>
          <w:rFonts w:ascii="Arial" w:hAnsi="Arial" w:cs="Arial"/>
          <w:i/>
          <w:iCs/>
          <w:color w:val="000000"/>
          <w:lang w:eastAsia="en-ZA"/>
        </w:rPr>
        <w:t>Karpakis</w:t>
      </w:r>
      <w:r w:rsidR="00740C13" w:rsidRPr="006B33CD">
        <w:rPr>
          <w:rFonts w:ascii="Arial" w:hAnsi="Arial" w:cs="Arial"/>
          <w:color w:val="000000"/>
          <w:lang w:eastAsia="en-ZA"/>
        </w:rPr>
        <w:t xml:space="preserve"> </w:t>
      </w:r>
      <w:r w:rsidR="00566AD0" w:rsidRPr="006B33CD">
        <w:rPr>
          <w:rFonts w:ascii="Arial" w:hAnsi="Arial" w:cs="Arial"/>
          <w:color w:val="000000"/>
          <w:lang w:eastAsia="en-ZA"/>
        </w:rPr>
        <w:t>interpreted</w:t>
      </w:r>
      <w:r w:rsidR="00AC3822" w:rsidRPr="006B33CD">
        <w:rPr>
          <w:rFonts w:ascii="Arial" w:hAnsi="Arial" w:cs="Arial"/>
          <w:color w:val="000000"/>
          <w:lang w:eastAsia="en-ZA"/>
        </w:rPr>
        <w:t xml:space="preserve"> </w:t>
      </w:r>
      <w:r w:rsidR="00740C13" w:rsidRPr="006B33CD">
        <w:rPr>
          <w:rFonts w:ascii="Arial" w:hAnsi="Arial" w:cs="Arial"/>
          <w:color w:val="000000"/>
          <w:lang w:eastAsia="en-ZA"/>
        </w:rPr>
        <w:t>the requirement in Rule 34A(4)(a)</w:t>
      </w:r>
      <w:r w:rsidR="00740C13" w:rsidRPr="006B33CD">
        <w:rPr>
          <w:rFonts w:ascii="Arial" w:hAnsi="Arial" w:cs="Arial"/>
          <w:color w:val="000000"/>
        </w:rPr>
        <w:t xml:space="preserve"> </w:t>
      </w:r>
      <w:r w:rsidR="00566AD0" w:rsidRPr="006B33CD">
        <w:rPr>
          <w:rFonts w:ascii="Arial" w:hAnsi="Arial" w:cs="Arial"/>
          <w:color w:val="000000"/>
        </w:rPr>
        <w:t xml:space="preserve">to </w:t>
      </w:r>
      <w:r w:rsidR="00AC3822" w:rsidRPr="006B33CD">
        <w:rPr>
          <w:rFonts w:ascii="Arial" w:hAnsi="Arial" w:cs="Arial"/>
          <w:color w:val="000000"/>
        </w:rPr>
        <w:t>mean</w:t>
      </w:r>
      <w:r w:rsidR="00566AD0" w:rsidRPr="006B33CD">
        <w:rPr>
          <w:rFonts w:ascii="Arial" w:hAnsi="Arial" w:cs="Arial"/>
          <w:color w:val="000000"/>
        </w:rPr>
        <w:t xml:space="preserve"> that</w:t>
      </w:r>
      <w:r w:rsidR="00AC3822" w:rsidRPr="006B33CD">
        <w:rPr>
          <w:rFonts w:ascii="Arial" w:hAnsi="Arial" w:cs="Arial"/>
          <w:color w:val="000000"/>
        </w:rPr>
        <w:t xml:space="preserve"> </w:t>
      </w:r>
      <w:r w:rsidR="00740C13" w:rsidRPr="006B33CD">
        <w:rPr>
          <w:rFonts w:ascii="Arial" w:hAnsi="Arial" w:cs="Arial"/>
          <w:color w:val="000000"/>
        </w:rPr>
        <w:t>the defendant has conceded the merits of the action</w:t>
      </w:r>
      <w:r w:rsidR="004D3CC8" w:rsidRPr="006B33CD">
        <w:rPr>
          <w:rFonts w:ascii="Arial" w:hAnsi="Arial" w:cs="Arial"/>
          <w:color w:val="000000"/>
        </w:rPr>
        <w:t>.</w:t>
      </w:r>
      <w:r w:rsidR="00566AD0" w:rsidRPr="00A2775E">
        <w:rPr>
          <w:rStyle w:val="FootnoteReference"/>
          <w:rFonts w:ascii="Arial" w:hAnsi="Arial" w:cs="Arial"/>
          <w:color w:val="000000"/>
        </w:rPr>
        <w:footnoteReference w:id="3"/>
      </w:r>
      <w:r w:rsidR="004D3CC8" w:rsidRPr="006B33CD">
        <w:rPr>
          <w:rFonts w:ascii="Arial" w:hAnsi="Arial" w:cs="Arial"/>
          <w:color w:val="000000"/>
        </w:rPr>
        <w:t xml:space="preserve"> </w:t>
      </w:r>
      <w:r w:rsidR="00E0638F" w:rsidRPr="006B33CD">
        <w:rPr>
          <w:rFonts w:ascii="Arial" w:hAnsi="Arial" w:cs="Arial"/>
          <w:color w:val="000000"/>
        </w:rPr>
        <w:t>A similar view is espoused in Erasmus where, in relation to Uniform Rule 34A(4)(a) the authors state that the</w:t>
      </w:r>
      <w:r w:rsidR="00E0638F" w:rsidRPr="006B33CD">
        <w:rPr>
          <w:rFonts w:ascii="Arial" w:hAnsi="Arial" w:cs="Arial"/>
          <w:color w:val="000000"/>
          <w:lang w:eastAsia="en-ZA"/>
        </w:rPr>
        <w:t xml:space="preserve"> </w:t>
      </w:r>
      <w:r w:rsidR="00E0638F" w:rsidRPr="006B33CD">
        <w:rPr>
          <w:rFonts w:ascii="Arial" w:hAnsi="Arial" w:cs="Arial"/>
          <w:i/>
          <w:iCs/>
          <w:color w:val="000000"/>
          <w:lang w:eastAsia="en-ZA"/>
        </w:rPr>
        <w:t>“subrule distinguishes between ‘liability’ and ‘damages’. An agreement of finding on liability disposes of everything bar the quantum of damages and hence the willingness to afford the plaintiff interim payments”</w:t>
      </w:r>
      <w:r w:rsidR="00E0638F" w:rsidRPr="006B33CD">
        <w:rPr>
          <w:rFonts w:ascii="Arial" w:hAnsi="Arial" w:cs="Arial"/>
          <w:color w:val="000000"/>
          <w:lang w:eastAsia="en-ZA"/>
        </w:rPr>
        <w:t>.</w:t>
      </w:r>
      <w:r w:rsidR="007E60F0" w:rsidRPr="00A2775E">
        <w:rPr>
          <w:rStyle w:val="FootnoteReference"/>
          <w:rFonts w:ascii="Arial" w:hAnsi="Arial" w:cs="Arial"/>
          <w:color w:val="000000"/>
          <w:lang w:eastAsia="en-ZA"/>
        </w:rPr>
        <w:footnoteReference w:id="4"/>
      </w:r>
      <w:r w:rsidR="00E0638F" w:rsidRPr="006B33CD">
        <w:rPr>
          <w:rFonts w:ascii="Arial" w:hAnsi="Arial" w:cs="Arial"/>
          <w:color w:val="000000"/>
        </w:rPr>
        <w:t xml:space="preserve"> </w:t>
      </w:r>
    </w:p>
    <w:p w:rsidR="00E0638F" w:rsidRPr="00A2775E" w:rsidRDefault="00E0638F" w:rsidP="00E0638F">
      <w:pPr>
        <w:pStyle w:val="ListParagraph"/>
        <w:spacing w:after="0" w:line="480" w:lineRule="auto"/>
        <w:ind w:left="851"/>
        <w:jc w:val="both"/>
        <w:rPr>
          <w:rFonts w:ascii="Arial" w:eastAsia="Times New Roman" w:hAnsi="Arial" w:cs="Arial"/>
          <w:color w:val="000000"/>
          <w:lang w:eastAsia="en-ZA"/>
        </w:rPr>
      </w:pPr>
    </w:p>
    <w:p w:rsidR="00683E58" w:rsidRPr="006B33CD" w:rsidRDefault="006B33CD" w:rsidP="006B33CD">
      <w:pPr>
        <w:spacing w:line="480" w:lineRule="auto"/>
        <w:ind w:left="851" w:hanging="567"/>
        <w:jc w:val="both"/>
        <w:rPr>
          <w:rFonts w:ascii="Arial" w:hAnsi="Arial" w:cs="Arial"/>
          <w:color w:val="000000"/>
          <w:lang w:eastAsia="en-ZA"/>
        </w:rPr>
      </w:pPr>
      <w:r>
        <w:rPr>
          <w:rFonts w:ascii="Arial" w:hAnsi="Arial" w:cs="Arial"/>
          <w:color w:val="000000"/>
          <w:sz w:val="22"/>
          <w:szCs w:val="22"/>
          <w:lang w:eastAsia="en-ZA"/>
        </w:rPr>
        <w:t>11.</w:t>
      </w:r>
      <w:r>
        <w:rPr>
          <w:rFonts w:ascii="Arial" w:hAnsi="Arial" w:cs="Arial"/>
          <w:color w:val="000000"/>
          <w:sz w:val="22"/>
          <w:szCs w:val="22"/>
          <w:lang w:eastAsia="en-ZA"/>
        </w:rPr>
        <w:tab/>
      </w:r>
      <w:r w:rsidR="00E0638F" w:rsidRPr="006B33CD">
        <w:rPr>
          <w:rFonts w:ascii="Arial" w:hAnsi="Arial" w:cs="Arial"/>
          <w:color w:val="000000"/>
          <w:lang w:eastAsia="en-ZA"/>
        </w:rPr>
        <w:t xml:space="preserve">There is accordingly no support for the view that Uniform Rule 34A(4)(a) requires that the quantum of damages be admitted by a defendant. I was not referred to any </w:t>
      </w:r>
      <w:r w:rsidR="00683E58" w:rsidRPr="006B33CD">
        <w:rPr>
          <w:rFonts w:ascii="Arial" w:hAnsi="Arial" w:cs="Arial"/>
          <w:color w:val="000000"/>
          <w:lang w:eastAsia="en-ZA"/>
        </w:rPr>
        <w:t xml:space="preserve">authority for this argument in any event. Rather, the authorities show that </w:t>
      </w:r>
      <w:r w:rsidR="007E60F0" w:rsidRPr="006B33CD">
        <w:rPr>
          <w:rFonts w:ascii="Arial" w:hAnsi="Arial" w:cs="Arial"/>
          <w:color w:val="000000"/>
          <w:lang w:eastAsia="en-ZA"/>
        </w:rPr>
        <w:t xml:space="preserve">an </w:t>
      </w:r>
      <w:r w:rsidR="00683E58" w:rsidRPr="006B33CD">
        <w:rPr>
          <w:rFonts w:ascii="Arial" w:hAnsi="Arial" w:cs="Arial"/>
          <w:color w:val="000000"/>
          <w:lang w:eastAsia="en-ZA"/>
        </w:rPr>
        <w:t xml:space="preserve">admission of merits is </w:t>
      </w:r>
      <w:r w:rsidR="007E60F0" w:rsidRPr="006B33CD">
        <w:rPr>
          <w:rFonts w:ascii="Arial" w:hAnsi="Arial" w:cs="Arial"/>
          <w:color w:val="000000"/>
          <w:lang w:eastAsia="en-ZA"/>
        </w:rPr>
        <w:t>what is intended by the requirement of an admission of liability for damages</w:t>
      </w:r>
      <w:r w:rsidR="00683E58" w:rsidRPr="006B33CD">
        <w:rPr>
          <w:rFonts w:ascii="Arial" w:hAnsi="Arial" w:cs="Arial"/>
          <w:color w:val="000000"/>
          <w:lang w:eastAsia="en-ZA"/>
        </w:rPr>
        <w:t>.</w:t>
      </w:r>
      <w:r w:rsidR="00683E58" w:rsidRPr="00A2775E">
        <w:rPr>
          <w:rStyle w:val="FootnoteReference"/>
          <w:rFonts w:ascii="Arial" w:hAnsi="Arial" w:cs="Arial"/>
          <w:color w:val="000000"/>
          <w:lang w:eastAsia="en-ZA"/>
        </w:rPr>
        <w:footnoteReference w:id="5"/>
      </w:r>
      <w:r w:rsidR="00683E58" w:rsidRPr="006B33CD">
        <w:rPr>
          <w:rFonts w:ascii="Arial" w:hAnsi="Arial" w:cs="Arial"/>
          <w:color w:val="000000"/>
          <w:lang w:eastAsia="en-ZA"/>
        </w:rPr>
        <w:t xml:space="preserve"> There is no dispute before me </w:t>
      </w:r>
      <w:r w:rsidR="00202DA1" w:rsidRPr="006B33CD">
        <w:rPr>
          <w:rFonts w:ascii="Arial" w:hAnsi="Arial" w:cs="Arial"/>
          <w:color w:val="000000"/>
          <w:lang w:eastAsia="en-ZA"/>
        </w:rPr>
        <w:t xml:space="preserve">about the </w:t>
      </w:r>
      <w:r w:rsidR="00202DA1" w:rsidRPr="006B33CD">
        <w:rPr>
          <w:rFonts w:ascii="Arial" w:hAnsi="Arial" w:cs="Arial"/>
          <w:color w:val="000000"/>
          <w:lang w:eastAsia="en-ZA"/>
        </w:rPr>
        <w:lastRenderedPageBreak/>
        <w:t xml:space="preserve">fact </w:t>
      </w:r>
      <w:r w:rsidR="00683E58" w:rsidRPr="006B33CD">
        <w:rPr>
          <w:rFonts w:ascii="Arial" w:hAnsi="Arial" w:cs="Arial"/>
          <w:color w:val="000000"/>
          <w:lang w:eastAsia="en-ZA"/>
        </w:rPr>
        <w:t>that the portion of the plea that I have quoted above amounts to a written admission of the merits of the applicants</w:t>
      </w:r>
      <w:r w:rsidR="00202DA1" w:rsidRPr="006B33CD">
        <w:rPr>
          <w:rFonts w:ascii="Arial" w:hAnsi="Arial" w:cs="Arial"/>
          <w:color w:val="000000"/>
          <w:lang w:eastAsia="en-ZA"/>
        </w:rPr>
        <w:t>’</w:t>
      </w:r>
      <w:r w:rsidR="00683E58" w:rsidRPr="006B33CD">
        <w:rPr>
          <w:rFonts w:ascii="Arial" w:hAnsi="Arial" w:cs="Arial"/>
          <w:color w:val="000000"/>
          <w:lang w:eastAsia="en-ZA"/>
        </w:rPr>
        <w:t xml:space="preserve"> claim</w:t>
      </w:r>
      <w:r w:rsidR="00202DA1" w:rsidRPr="006B33CD">
        <w:rPr>
          <w:rFonts w:ascii="Arial" w:hAnsi="Arial" w:cs="Arial"/>
          <w:color w:val="000000"/>
          <w:lang w:eastAsia="en-ZA"/>
        </w:rPr>
        <w:t>s</w:t>
      </w:r>
      <w:r w:rsidR="00683E58" w:rsidRPr="006B33CD">
        <w:rPr>
          <w:rFonts w:ascii="Arial" w:hAnsi="Arial" w:cs="Arial"/>
          <w:color w:val="000000"/>
          <w:lang w:eastAsia="en-ZA"/>
        </w:rPr>
        <w:t xml:space="preserve">. I am satisfied in this regard that the requirement of Rule 34A(4)(a) is met. </w:t>
      </w:r>
    </w:p>
    <w:p w:rsidR="00202DA1" w:rsidRPr="00202DA1" w:rsidRDefault="00202DA1" w:rsidP="00202DA1">
      <w:pPr>
        <w:spacing w:line="480" w:lineRule="auto"/>
        <w:jc w:val="both"/>
        <w:rPr>
          <w:rFonts w:ascii="Arial" w:hAnsi="Arial" w:cs="Arial"/>
          <w:color w:val="000000"/>
          <w:lang w:eastAsia="en-ZA"/>
        </w:rPr>
      </w:pPr>
    </w:p>
    <w:p w:rsidR="00683E58" w:rsidRPr="006B33CD" w:rsidRDefault="006B33CD" w:rsidP="006B33CD">
      <w:pPr>
        <w:ind w:left="720" w:hanging="360"/>
        <w:rPr>
          <w:rFonts w:ascii="Arial" w:hAnsi="Arial" w:cs="Arial"/>
          <w:b/>
          <w:bCs/>
          <w:color w:val="000000"/>
          <w:u w:val="single"/>
          <w:lang w:eastAsia="en-ZA"/>
        </w:rPr>
      </w:pPr>
      <w:r>
        <w:rPr>
          <w:rFonts w:ascii="Arial" w:hAnsi="Arial" w:cs="Arial"/>
          <w:b/>
          <w:bCs/>
          <w:color w:val="000000"/>
          <w:sz w:val="22"/>
          <w:szCs w:val="22"/>
          <w:lang w:eastAsia="en-ZA"/>
        </w:rPr>
        <w:t>IV.</w:t>
      </w:r>
      <w:r>
        <w:rPr>
          <w:rFonts w:ascii="Arial" w:hAnsi="Arial" w:cs="Arial"/>
          <w:b/>
          <w:bCs/>
          <w:color w:val="000000"/>
          <w:sz w:val="22"/>
          <w:szCs w:val="22"/>
          <w:lang w:eastAsia="en-ZA"/>
        </w:rPr>
        <w:tab/>
      </w:r>
      <w:r w:rsidR="00202DA1" w:rsidRPr="006B33CD">
        <w:rPr>
          <w:rFonts w:ascii="Arial" w:hAnsi="Arial" w:cs="Arial"/>
          <w:b/>
          <w:bCs/>
          <w:color w:val="000000"/>
          <w:u w:val="single"/>
          <w:lang w:eastAsia="en-ZA"/>
        </w:rPr>
        <w:t>THE LOSS OF INCOME</w:t>
      </w:r>
    </w:p>
    <w:p w:rsidR="00202DA1" w:rsidRPr="00202DA1" w:rsidRDefault="00202DA1" w:rsidP="00202DA1">
      <w:pPr>
        <w:pStyle w:val="ListParagraph"/>
        <w:rPr>
          <w:rFonts w:ascii="Arial" w:eastAsia="Times New Roman" w:hAnsi="Arial" w:cs="Arial"/>
          <w:b/>
          <w:bCs/>
          <w:color w:val="000000"/>
          <w:u w:val="single"/>
          <w:lang w:eastAsia="en-ZA"/>
        </w:rPr>
      </w:pPr>
    </w:p>
    <w:p w:rsidR="00202DA1" w:rsidRPr="00A2775E" w:rsidRDefault="00202DA1" w:rsidP="00202DA1">
      <w:pPr>
        <w:pStyle w:val="ListParagraph"/>
        <w:rPr>
          <w:rFonts w:ascii="Arial" w:eastAsia="Times New Roman" w:hAnsi="Arial" w:cs="Arial"/>
          <w:color w:val="000000"/>
          <w:lang w:eastAsia="en-ZA"/>
        </w:rPr>
      </w:pPr>
    </w:p>
    <w:p w:rsidR="00683E58"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12.</w:t>
      </w:r>
      <w:r w:rsidRPr="00A2775E">
        <w:rPr>
          <w:rFonts w:ascii="Arial" w:hAnsi="Arial" w:cs="Arial"/>
          <w:color w:val="000000"/>
          <w:sz w:val="22"/>
          <w:szCs w:val="22"/>
          <w:lang w:eastAsia="en-ZA"/>
        </w:rPr>
        <w:tab/>
      </w:r>
      <w:r w:rsidR="00683E58" w:rsidRPr="006B33CD">
        <w:rPr>
          <w:rFonts w:ascii="Arial" w:hAnsi="Arial" w:cs="Arial"/>
          <w:color w:val="000000"/>
          <w:lang w:eastAsia="en-ZA"/>
        </w:rPr>
        <w:t xml:space="preserve">The next argument by Mr Manuel related to whether or not the applicants have indeed incurred a loss of </w:t>
      </w:r>
      <w:r w:rsidR="007E60F0" w:rsidRPr="006B33CD">
        <w:rPr>
          <w:rFonts w:ascii="Arial" w:hAnsi="Arial" w:cs="Arial"/>
          <w:color w:val="000000"/>
          <w:lang w:eastAsia="en-ZA"/>
        </w:rPr>
        <w:t>income</w:t>
      </w:r>
      <w:r w:rsidR="00683E58" w:rsidRPr="006B33CD">
        <w:rPr>
          <w:rFonts w:ascii="Arial" w:hAnsi="Arial" w:cs="Arial"/>
          <w:color w:val="000000"/>
          <w:lang w:eastAsia="en-ZA"/>
        </w:rPr>
        <w:t xml:space="preserve">. I was referred to </w:t>
      </w:r>
      <w:r w:rsidR="00DE4BF8" w:rsidRPr="006B33CD">
        <w:rPr>
          <w:rFonts w:ascii="Arial" w:hAnsi="Arial" w:cs="Arial"/>
          <w:color w:val="000000"/>
          <w:lang w:eastAsia="en-ZA"/>
        </w:rPr>
        <w:t>actuarial reports</w:t>
      </w:r>
      <w:r w:rsidR="00683E58" w:rsidRPr="006B33CD">
        <w:rPr>
          <w:rFonts w:ascii="Arial" w:hAnsi="Arial" w:cs="Arial"/>
          <w:color w:val="000000"/>
          <w:lang w:eastAsia="en-ZA"/>
        </w:rPr>
        <w:t xml:space="preserve"> which are attached to the applicants’ applications. In each one it is recorded that each of the applicants </w:t>
      </w:r>
      <w:r w:rsidR="00DE4BF8" w:rsidRPr="006B33CD">
        <w:rPr>
          <w:rFonts w:ascii="Arial" w:hAnsi="Arial" w:cs="Arial"/>
          <w:color w:val="000000"/>
          <w:lang w:eastAsia="en-ZA"/>
        </w:rPr>
        <w:t xml:space="preserve">was unable to return to work to date but </w:t>
      </w:r>
      <w:r w:rsidR="00DE4BF8" w:rsidRPr="006B33CD">
        <w:rPr>
          <w:rFonts w:ascii="Arial" w:hAnsi="Arial" w:cs="Arial"/>
          <w:i/>
          <w:iCs/>
          <w:color w:val="000000"/>
          <w:lang w:eastAsia="en-ZA"/>
        </w:rPr>
        <w:t>“have received their income to date”</w:t>
      </w:r>
      <w:r w:rsidR="00DE4BF8" w:rsidRPr="006B33CD">
        <w:rPr>
          <w:rFonts w:ascii="Arial" w:hAnsi="Arial" w:cs="Arial"/>
          <w:color w:val="000000"/>
          <w:lang w:eastAsia="en-ZA"/>
        </w:rPr>
        <w:t xml:space="preserve">. </w:t>
      </w:r>
      <w:r w:rsidR="00716B51" w:rsidRPr="006B33CD">
        <w:rPr>
          <w:rFonts w:ascii="Arial" w:hAnsi="Arial" w:cs="Arial"/>
          <w:color w:val="000000"/>
          <w:lang w:eastAsia="en-ZA"/>
        </w:rPr>
        <w:t xml:space="preserve">Indeed, the actuarial report in both instances is based on an assumption that the applicants continue to receive their salaries after the shooting incident. </w:t>
      </w:r>
      <w:r w:rsidR="00DE4BF8" w:rsidRPr="006B33CD">
        <w:rPr>
          <w:rFonts w:ascii="Arial" w:hAnsi="Arial" w:cs="Arial"/>
          <w:color w:val="000000"/>
          <w:lang w:eastAsia="en-ZA"/>
        </w:rPr>
        <w:t>Through these statements</w:t>
      </w:r>
      <w:r w:rsidR="00683E58" w:rsidRPr="006B33CD">
        <w:rPr>
          <w:rFonts w:ascii="Arial" w:hAnsi="Arial" w:cs="Arial"/>
          <w:color w:val="000000"/>
          <w:lang w:eastAsia="en-ZA"/>
        </w:rPr>
        <w:t xml:space="preserve"> Mr Manuel sought to cast doubt on whether the applicants have stopped working and earning an income. </w:t>
      </w:r>
      <w:r w:rsidR="00065952" w:rsidRPr="006B33CD">
        <w:rPr>
          <w:rFonts w:ascii="Arial" w:hAnsi="Arial" w:cs="Arial"/>
          <w:color w:val="000000"/>
          <w:lang w:eastAsia="en-ZA"/>
        </w:rPr>
        <w:t>In response to this charge the applicants</w:t>
      </w:r>
      <w:r w:rsidR="006E1903" w:rsidRPr="006B33CD">
        <w:rPr>
          <w:rFonts w:ascii="Arial" w:hAnsi="Arial" w:cs="Arial"/>
          <w:color w:val="000000"/>
          <w:lang w:eastAsia="en-ZA"/>
        </w:rPr>
        <w:t>’</w:t>
      </w:r>
      <w:r w:rsidR="00065952" w:rsidRPr="006B33CD">
        <w:rPr>
          <w:rFonts w:ascii="Arial" w:hAnsi="Arial" w:cs="Arial"/>
          <w:color w:val="000000"/>
          <w:lang w:eastAsia="en-ZA"/>
        </w:rPr>
        <w:t xml:space="preserve"> counsel, Ms Davids, pointed to the applicants’ affidavits in which they state that they </w:t>
      </w:r>
      <w:r w:rsidR="00716B51" w:rsidRPr="006B33CD">
        <w:rPr>
          <w:rFonts w:ascii="Arial" w:hAnsi="Arial" w:cs="Arial"/>
          <w:color w:val="000000"/>
          <w:lang w:eastAsia="en-ZA"/>
        </w:rPr>
        <w:t xml:space="preserve">do not receive any salaries or income but rather </w:t>
      </w:r>
      <w:r w:rsidR="00065952" w:rsidRPr="006B33CD">
        <w:rPr>
          <w:rFonts w:ascii="Arial" w:hAnsi="Arial" w:cs="Arial"/>
          <w:color w:val="000000"/>
          <w:lang w:eastAsia="en-ZA"/>
        </w:rPr>
        <w:t xml:space="preserve">receive disability and SASSA grants, but which are inadequate. I was also referred by Ms Davids to </w:t>
      </w:r>
      <w:r w:rsidR="00716B51" w:rsidRPr="006B33CD">
        <w:rPr>
          <w:rFonts w:ascii="Arial" w:hAnsi="Arial" w:cs="Arial"/>
          <w:color w:val="000000"/>
          <w:lang w:eastAsia="en-ZA"/>
        </w:rPr>
        <w:t>o</w:t>
      </w:r>
      <w:r w:rsidR="00065952" w:rsidRPr="006B33CD">
        <w:rPr>
          <w:rFonts w:ascii="Arial" w:hAnsi="Arial" w:cs="Arial"/>
          <w:color w:val="000000"/>
          <w:lang w:eastAsia="en-ZA"/>
        </w:rPr>
        <w:t>the</w:t>
      </w:r>
      <w:r w:rsidR="00716B51" w:rsidRPr="006B33CD">
        <w:rPr>
          <w:rFonts w:ascii="Arial" w:hAnsi="Arial" w:cs="Arial"/>
          <w:color w:val="000000"/>
          <w:lang w:eastAsia="en-ZA"/>
        </w:rPr>
        <w:t>r</w:t>
      </w:r>
      <w:r w:rsidR="00065952" w:rsidRPr="006B33CD">
        <w:rPr>
          <w:rFonts w:ascii="Arial" w:hAnsi="Arial" w:cs="Arial"/>
          <w:color w:val="000000"/>
          <w:lang w:eastAsia="en-ZA"/>
        </w:rPr>
        <w:t xml:space="preserve"> ex</w:t>
      </w:r>
      <w:r w:rsidR="00716B51" w:rsidRPr="006B33CD">
        <w:rPr>
          <w:rFonts w:ascii="Arial" w:hAnsi="Arial" w:cs="Arial"/>
          <w:color w:val="000000"/>
          <w:lang w:eastAsia="en-ZA"/>
        </w:rPr>
        <w:t>p</w:t>
      </w:r>
      <w:r w:rsidR="00065952" w:rsidRPr="006B33CD">
        <w:rPr>
          <w:rFonts w:ascii="Arial" w:hAnsi="Arial" w:cs="Arial"/>
          <w:color w:val="000000"/>
          <w:lang w:eastAsia="en-ZA"/>
        </w:rPr>
        <w:t>ert reports in which it is recorded that the applicants have lost the ability to work</w:t>
      </w:r>
      <w:r w:rsidR="00716B51" w:rsidRPr="006B33CD">
        <w:rPr>
          <w:rFonts w:ascii="Arial" w:hAnsi="Arial" w:cs="Arial"/>
          <w:color w:val="000000"/>
          <w:lang w:eastAsia="en-ZA"/>
        </w:rPr>
        <w:t>, and specifically an ability to stand for long periods of time, which is what is required for their work at McDonald’s. A</w:t>
      </w:r>
      <w:r w:rsidR="00065952" w:rsidRPr="006B33CD">
        <w:rPr>
          <w:rFonts w:ascii="Arial" w:hAnsi="Arial" w:cs="Arial"/>
          <w:color w:val="000000"/>
          <w:lang w:eastAsia="en-ZA"/>
        </w:rPr>
        <w:t xml:space="preserve">s I have </w:t>
      </w:r>
      <w:r w:rsidR="00716B51" w:rsidRPr="006B33CD">
        <w:rPr>
          <w:rFonts w:ascii="Arial" w:hAnsi="Arial" w:cs="Arial"/>
          <w:color w:val="000000"/>
          <w:lang w:eastAsia="en-ZA"/>
        </w:rPr>
        <w:t xml:space="preserve">previously </w:t>
      </w:r>
      <w:r w:rsidR="00065952" w:rsidRPr="006B33CD">
        <w:rPr>
          <w:rFonts w:ascii="Arial" w:hAnsi="Arial" w:cs="Arial"/>
          <w:color w:val="000000"/>
          <w:lang w:eastAsia="en-ZA"/>
        </w:rPr>
        <w:t xml:space="preserve">stated, the applicants’ version </w:t>
      </w:r>
      <w:r w:rsidR="006E1903" w:rsidRPr="006B33CD">
        <w:rPr>
          <w:rFonts w:ascii="Arial" w:hAnsi="Arial" w:cs="Arial"/>
          <w:color w:val="000000"/>
          <w:lang w:eastAsia="en-ZA"/>
        </w:rPr>
        <w:t>is</w:t>
      </w:r>
      <w:r w:rsidR="00065952" w:rsidRPr="006B33CD">
        <w:rPr>
          <w:rFonts w:ascii="Arial" w:hAnsi="Arial" w:cs="Arial"/>
          <w:color w:val="000000"/>
          <w:lang w:eastAsia="en-ZA"/>
        </w:rPr>
        <w:t xml:space="preserve"> not contradicted on the evidence before me. I have no reason to reject it. I am satisfied on the papers that the applicants have each incurred a loss of income. The next question is how much should be awarded as interim payments.</w:t>
      </w:r>
    </w:p>
    <w:p w:rsidR="00065952" w:rsidRPr="00A2775E" w:rsidRDefault="00065952" w:rsidP="00065952">
      <w:pPr>
        <w:pStyle w:val="ListParagraph"/>
        <w:rPr>
          <w:rFonts w:ascii="Arial" w:eastAsia="Times New Roman" w:hAnsi="Arial" w:cs="Arial"/>
          <w:color w:val="000000"/>
          <w:lang w:eastAsia="en-ZA"/>
        </w:rPr>
      </w:pPr>
    </w:p>
    <w:p w:rsidR="002D5DE8"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lastRenderedPageBreak/>
        <w:t>13.</w:t>
      </w:r>
      <w:r w:rsidRPr="00A2775E">
        <w:rPr>
          <w:rFonts w:ascii="Arial" w:hAnsi="Arial" w:cs="Arial"/>
          <w:color w:val="000000"/>
          <w:sz w:val="22"/>
          <w:szCs w:val="22"/>
          <w:lang w:eastAsia="en-ZA"/>
        </w:rPr>
        <w:tab/>
      </w:r>
      <w:r w:rsidR="00065952" w:rsidRPr="006B33CD">
        <w:rPr>
          <w:rFonts w:ascii="Arial" w:hAnsi="Arial" w:cs="Arial"/>
          <w:color w:val="000000"/>
          <w:lang w:eastAsia="en-ZA"/>
        </w:rPr>
        <w:t xml:space="preserve">Ms Apleni seeks </w:t>
      </w:r>
      <w:r w:rsidR="00DF250E" w:rsidRPr="006B33CD">
        <w:rPr>
          <w:rFonts w:ascii="Arial" w:hAnsi="Arial" w:cs="Arial"/>
          <w:color w:val="000000"/>
          <w:lang w:eastAsia="en-ZA"/>
        </w:rPr>
        <w:t>an</w:t>
      </w:r>
      <w:r w:rsidR="00065952" w:rsidRPr="006B33CD">
        <w:rPr>
          <w:rFonts w:ascii="Arial" w:hAnsi="Arial" w:cs="Arial"/>
          <w:color w:val="000000"/>
          <w:lang w:eastAsia="en-ZA"/>
        </w:rPr>
        <w:t xml:space="preserve"> amount of </w:t>
      </w:r>
      <w:r w:rsidR="00716B51" w:rsidRPr="006B33CD">
        <w:rPr>
          <w:rFonts w:ascii="Arial" w:hAnsi="Arial" w:cs="Arial"/>
          <w:color w:val="000000"/>
          <w:lang w:eastAsia="en-ZA"/>
        </w:rPr>
        <w:t>R130 380</w:t>
      </w:r>
      <w:r w:rsidR="00065952" w:rsidRPr="006B33CD">
        <w:rPr>
          <w:rFonts w:ascii="Arial" w:hAnsi="Arial" w:cs="Arial"/>
          <w:color w:val="000000"/>
          <w:lang w:eastAsia="en-ZA"/>
        </w:rPr>
        <w:t xml:space="preserve"> as interim payment, whereas Ms Mashiyana seeks an amount of</w:t>
      </w:r>
      <w:r w:rsidR="00DF250E" w:rsidRPr="006B33CD">
        <w:rPr>
          <w:rFonts w:ascii="Arial" w:hAnsi="Arial" w:cs="Arial"/>
          <w:color w:val="000000"/>
          <w:lang w:eastAsia="en-ZA"/>
        </w:rPr>
        <w:t xml:space="preserve"> R81 400. </w:t>
      </w:r>
      <w:r w:rsidR="00065952" w:rsidRPr="006B33CD">
        <w:rPr>
          <w:rFonts w:ascii="Arial" w:hAnsi="Arial" w:cs="Arial"/>
          <w:color w:val="000000"/>
          <w:lang w:eastAsia="en-ZA"/>
        </w:rPr>
        <w:t xml:space="preserve">Neither applicant has set out in the papers how these amounts are computed. In terms of Rule 34A(4), the Court has a discretion to order such amount as it thinks just, </w:t>
      </w:r>
      <w:r w:rsidR="002D5DE8" w:rsidRPr="006B33CD">
        <w:rPr>
          <w:rFonts w:ascii="Arial" w:hAnsi="Arial" w:cs="Arial"/>
          <w:color w:val="000000"/>
          <w:lang w:eastAsia="en-ZA"/>
        </w:rPr>
        <w:t xml:space="preserve">but the amount must not exceed a reasonable proportion of the damages which in the opinion of the court are likely to be recovered by the plaintiff taking into account any contributory negligence, set off or counterclaim. </w:t>
      </w:r>
      <w:r w:rsidR="00BC438D" w:rsidRPr="006B33CD">
        <w:rPr>
          <w:rFonts w:ascii="Arial" w:hAnsi="Arial" w:cs="Arial"/>
          <w:color w:val="000000"/>
          <w:lang w:eastAsia="en-ZA"/>
        </w:rPr>
        <w:t>In the summons Ms Apleni seeks a total amount of R1 172 500,00 in respect of loss of income, and Ms Mashiyana seeks R1 202 800. I was informed from the Bar that these amounts include past and future loss of income. There is furthermore no claim of contributory negligence, set off or counterclaim raised. I consider the amounts claimed to be reasonable amounts for interim relief, given that the applicants were employed as waitre</w:t>
      </w:r>
      <w:r w:rsidR="00E30329" w:rsidRPr="006B33CD">
        <w:rPr>
          <w:rFonts w:ascii="Arial" w:hAnsi="Arial" w:cs="Arial"/>
          <w:color w:val="000000"/>
          <w:lang w:eastAsia="en-ZA"/>
        </w:rPr>
        <w:t>s</w:t>
      </w:r>
      <w:r w:rsidR="00BC438D" w:rsidRPr="006B33CD">
        <w:rPr>
          <w:rFonts w:ascii="Arial" w:hAnsi="Arial" w:cs="Arial"/>
          <w:color w:val="000000"/>
          <w:lang w:eastAsia="en-ZA"/>
        </w:rPr>
        <w:t>ses at MacDonald’s and have been unempl</w:t>
      </w:r>
      <w:r w:rsidR="00E30329" w:rsidRPr="006B33CD">
        <w:rPr>
          <w:rFonts w:ascii="Arial" w:hAnsi="Arial" w:cs="Arial"/>
          <w:color w:val="000000"/>
          <w:lang w:eastAsia="en-ZA"/>
        </w:rPr>
        <w:t>o</w:t>
      </w:r>
      <w:r w:rsidR="00BC438D" w:rsidRPr="006B33CD">
        <w:rPr>
          <w:rFonts w:ascii="Arial" w:hAnsi="Arial" w:cs="Arial"/>
          <w:color w:val="000000"/>
          <w:lang w:eastAsia="en-ZA"/>
        </w:rPr>
        <w:t xml:space="preserve">yed since March 2016, and continue to suffer </w:t>
      </w:r>
      <w:r w:rsidR="00E30329" w:rsidRPr="006B33CD">
        <w:rPr>
          <w:rFonts w:ascii="Arial" w:hAnsi="Arial" w:cs="Arial"/>
          <w:color w:val="000000"/>
          <w:lang w:eastAsia="en-ZA"/>
        </w:rPr>
        <w:t xml:space="preserve">financial </w:t>
      </w:r>
      <w:r w:rsidR="00BC438D" w:rsidRPr="006B33CD">
        <w:rPr>
          <w:rFonts w:ascii="Arial" w:hAnsi="Arial" w:cs="Arial"/>
          <w:color w:val="000000"/>
          <w:lang w:eastAsia="en-ZA"/>
        </w:rPr>
        <w:t>hardship</w:t>
      </w:r>
      <w:r w:rsidR="00E30329" w:rsidRPr="006B33CD">
        <w:rPr>
          <w:rFonts w:ascii="Arial" w:hAnsi="Arial" w:cs="Arial"/>
          <w:color w:val="000000"/>
          <w:lang w:eastAsia="en-ZA"/>
        </w:rPr>
        <w:t xml:space="preserve"> whilst awaiting finalisation of this matter. </w:t>
      </w:r>
      <w:r w:rsidR="00AA7F18" w:rsidRPr="006B33CD">
        <w:rPr>
          <w:rFonts w:ascii="Arial" w:hAnsi="Arial" w:cs="Arial"/>
          <w:color w:val="000000"/>
          <w:lang w:eastAsia="en-ZA"/>
        </w:rPr>
        <w:t>According to the actuarial reports, Ms Apleni earned approximately R2</w:t>
      </w:r>
      <w:r w:rsidR="00A2775E" w:rsidRPr="006B33CD">
        <w:rPr>
          <w:rFonts w:ascii="Arial" w:hAnsi="Arial" w:cs="Arial"/>
          <w:color w:val="000000"/>
          <w:lang w:eastAsia="en-ZA"/>
        </w:rPr>
        <w:t>173</w:t>
      </w:r>
      <w:r w:rsidR="00AA7F18" w:rsidRPr="006B33CD">
        <w:rPr>
          <w:rFonts w:ascii="Arial" w:hAnsi="Arial" w:cs="Arial"/>
          <w:color w:val="000000"/>
          <w:lang w:eastAsia="en-ZA"/>
        </w:rPr>
        <w:t xml:space="preserve"> per month, and Ms Mashiyana R2030 per month. </w:t>
      </w:r>
      <w:r w:rsidR="00E30329" w:rsidRPr="006B33CD">
        <w:rPr>
          <w:rFonts w:ascii="Arial" w:hAnsi="Arial" w:cs="Arial"/>
          <w:color w:val="000000"/>
          <w:lang w:eastAsia="en-ZA"/>
        </w:rPr>
        <w:t xml:space="preserve">I am of the view that the </w:t>
      </w:r>
      <w:r w:rsidR="00A2775E" w:rsidRPr="006B33CD">
        <w:rPr>
          <w:rFonts w:ascii="Arial" w:hAnsi="Arial" w:cs="Arial"/>
          <w:color w:val="000000"/>
          <w:lang w:eastAsia="en-ZA"/>
        </w:rPr>
        <w:t>a</w:t>
      </w:r>
      <w:r w:rsidR="00E30329" w:rsidRPr="006B33CD">
        <w:rPr>
          <w:rFonts w:ascii="Arial" w:hAnsi="Arial" w:cs="Arial"/>
          <w:color w:val="000000"/>
          <w:lang w:eastAsia="en-ZA"/>
        </w:rPr>
        <w:t>mounts claimed are reasonable</w:t>
      </w:r>
      <w:r w:rsidR="00A2775E" w:rsidRPr="006B33CD">
        <w:rPr>
          <w:rFonts w:ascii="Arial" w:hAnsi="Arial" w:cs="Arial"/>
          <w:color w:val="000000"/>
          <w:lang w:eastAsia="en-ZA"/>
        </w:rPr>
        <w:t xml:space="preserve">, </w:t>
      </w:r>
      <w:r w:rsidR="00E30329" w:rsidRPr="006B33CD">
        <w:rPr>
          <w:rFonts w:ascii="Arial" w:hAnsi="Arial" w:cs="Arial"/>
          <w:color w:val="000000"/>
          <w:lang w:eastAsia="en-ZA"/>
        </w:rPr>
        <w:t>just and appropriate in the circumstances.</w:t>
      </w:r>
    </w:p>
    <w:p w:rsidR="002D5DE8" w:rsidRPr="00A2775E" w:rsidRDefault="002D5DE8" w:rsidP="00E30329">
      <w:pPr>
        <w:rPr>
          <w:rFonts w:ascii="Arial" w:hAnsi="Arial" w:cs="Arial"/>
          <w:color w:val="000000"/>
          <w:sz w:val="22"/>
          <w:szCs w:val="22"/>
          <w:lang w:eastAsia="en-ZA"/>
        </w:rPr>
      </w:pPr>
    </w:p>
    <w:p w:rsidR="00E30329"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14.</w:t>
      </w:r>
      <w:r w:rsidRPr="00A2775E">
        <w:rPr>
          <w:rFonts w:ascii="Arial" w:hAnsi="Arial" w:cs="Arial"/>
          <w:color w:val="000000"/>
          <w:sz w:val="22"/>
          <w:szCs w:val="22"/>
          <w:lang w:eastAsia="en-ZA"/>
        </w:rPr>
        <w:tab/>
      </w:r>
      <w:r w:rsidR="00E30329" w:rsidRPr="006B33CD">
        <w:rPr>
          <w:rFonts w:ascii="Arial" w:hAnsi="Arial" w:cs="Arial"/>
          <w:color w:val="000000"/>
          <w:lang w:eastAsia="en-ZA"/>
        </w:rPr>
        <w:t xml:space="preserve">At the hearing of the matter, the applicants also sought relief in terms of </w:t>
      </w:r>
      <w:r w:rsidR="001F08A1" w:rsidRPr="006B33CD">
        <w:rPr>
          <w:rFonts w:ascii="Arial" w:hAnsi="Arial" w:cs="Arial"/>
          <w:color w:val="000000"/>
          <w:lang w:eastAsia="en-ZA"/>
        </w:rPr>
        <w:t xml:space="preserve">Rule 34A(7), asking the Court to prescribe a procedure for the further conduct of the action, including </w:t>
      </w:r>
      <w:r w:rsidR="00DC5DE0" w:rsidRPr="006B33CD">
        <w:rPr>
          <w:rFonts w:ascii="Arial" w:hAnsi="Arial" w:cs="Arial"/>
          <w:color w:val="000000"/>
          <w:lang w:eastAsia="en-ZA"/>
        </w:rPr>
        <w:t xml:space="preserve">the allocation of an </w:t>
      </w:r>
      <w:r w:rsidR="001F08A1" w:rsidRPr="006B33CD">
        <w:rPr>
          <w:rFonts w:ascii="Arial" w:hAnsi="Arial" w:cs="Arial"/>
          <w:color w:val="000000"/>
          <w:lang w:eastAsia="en-ZA"/>
        </w:rPr>
        <w:t>early trial. The basis for th</w:t>
      </w:r>
      <w:r w:rsidR="00DC5DE0" w:rsidRPr="006B33CD">
        <w:rPr>
          <w:rFonts w:ascii="Arial" w:hAnsi="Arial" w:cs="Arial"/>
          <w:color w:val="000000"/>
          <w:lang w:eastAsia="en-ZA"/>
        </w:rPr>
        <w:t>is</w:t>
      </w:r>
      <w:r w:rsidR="001F08A1" w:rsidRPr="006B33CD">
        <w:rPr>
          <w:rFonts w:ascii="Arial" w:hAnsi="Arial" w:cs="Arial"/>
          <w:color w:val="000000"/>
          <w:lang w:eastAsia="en-ZA"/>
        </w:rPr>
        <w:t xml:space="preserve"> relief is</w:t>
      </w:r>
      <w:r w:rsidR="00DC5DE0" w:rsidRPr="006B33CD">
        <w:rPr>
          <w:rFonts w:ascii="Arial" w:hAnsi="Arial" w:cs="Arial"/>
          <w:color w:val="000000"/>
          <w:lang w:eastAsia="en-ZA"/>
        </w:rPr>
        <w:t xml:space="preserve"> said to be</w:t>
      </w:r>
      <w:r w:rsidR="001F08A1" w:rsidRPr="006B33CD">
        <w:rPr>
          <w:rFonts w:ascii="Arial" w:hAnsi="Arial" w:cs="Arial"/>
          <w:color w:val="000000"/>
          <w:lang w:eastAsia="en-ZA"/>
        </w:rPr>
        <w:t xml:space="preserve"> the respondents’ conduct which has caused delays in </w:t>
      </w:r>
      <w:r w:rsidR="00DC5DE0" w:rsidRPr="006B33CD">
        <w:rPr>
          <w:rFonts w:ascii="Arial" w:hAnsi="Arial" w:cs="Arial"/>
          <w:color w:val="000000"/>
          <w:lang w:eastAsia="en-ZA"/>
        </w:rPr>
        <w:t xml:space="preserve">finalising </w:t>
      </w:r>
      <w:r w:rsidR="001F08A1" w:rsidRPr="006B33CD">
        <w:rPr>
          <w:rFonts w:ascii="Arial" w:hAnsi="Arial" w:cs="Arial"/>
          <w:color w:val="000000"/>
          <w:lang w:eastAsia="en-ZA"/>
        </w:rPr>
        <w:t xml:space="preserve">the matter, despite the admission of liability in the papers. </w:t>
      </w:r>
      <w:r w:rsidR="00DC5DE0" w:rsidRPr="006B33CD">
        <w:rPr>
          <w:rFonts w:ascii="Arial" w:hAnsi="Arial" w:cs="Arial"/>
          <w:color w:val="000000"/>
          <w:lang w:eastAsia="en-ZA"/>
        </w:rPr>
        <w:t xml:space="preserve">Although it does appear from the papers that there have been regrettable delays in the matter, it also appears that there are certain expert reports which are still sought by the </w:t>
      </w:r>
      <w:r w:rsidR="00DC5DE0" w:rsidRPr="006B33CD">
        <w:rPr>
          <w:rFonts w:ascii="Arial" w:hAnsi="Arial" w:cs="Arial"/>
          <w:color w:val="000000"/>
          <w:lang w:eastAsia="en-ZA"/>
        </w:rPr>
        <w:lastRenderedPageBreak/>
        <w:t xml:space="preserve">respondent before it can commit itself to finalising the matter. </w:t>
      </w:r>
      <w:r w:rsidR="00076AC9" w:rsidRPr="006B33CD">
        <w:rPr>
          <w:rFonts w:ascii="Arial" w:hAnsi="Arial" w:cs="Arial"/>
          <w:color w:val="000000"/>
          <w:lang w:eastAsia="en-ZA"/>
        </w:rPr>
        <w:t xml:space="preserve">The matter is therefore not ready for trial. </w:t>
      </w:r>
      <w:r w:rsidR="006E1903" w:rsidRPr="006B33CD">
        <w:rPr>
          <w:rFonts w:ascii="Arial" w:hAnsi="Arial" w:cs="Arial"/>
          <w:color w:val="000000"/>
          <w:lang w:val="en-US" w:eastAsia="en-ZA"/>
        </w:rPr>
        <w:t>However, given the uncontradicted and detailed version of the applicants - that it is the conduct of the respondent which has caused unnecessary delays in the matter - it is appropriate that an order should be granted that any outstanding expert reports should be requested and received by end of August 2021.</w:t>
      </w:r>
    </w:p>
    <w:p w:rsidR="00E30329" w:rsidRPr="00A2775E" w:rsidRDefault="00E30329" w:rsidP="00E30329">
      <w:pPr>
        <w:pStyle w:val="ListParagraph"/>
        <w:rPr>
          <w:rFonts w:ascii="Arial" w:eastAsia="Times New Roman" w:hAnsi="Arial" w:cs="Arial"/>
          <w:color w:val="000000"/>
          <w:lang w:eastAsia="en-ZA"/>
        </w:rPr>
      </w:pPr>
    </w:p>
    <w:p w:rsidR="002D5DE8" w:rsidRPr="006B33CD" w:rsidRDefault="006B33CD" w:rsidP="006B33CD">
      <w:pPr>
        <w:spacing w:line="480" w:lineRule="auto"/>
        <w:ind w:left="851" w:hanging="567"/>
        <w:jc w:val="both"/>
        <w:rPr>
          <w:rFonts w:ascii="Arial" w:hAnsi="Arial" w:cs="Arial"/>
          <w:color w:val="000000"/>
          <w:lang w:eastAsia="en-ZA"/>
        </w:rPr>
      </w:pPr>
      <w:r>
        <w:rPr>
          <w:rFonts w:ascii="Arial" w:hAnsi="Arial" w:cs="Arial"/>
          <w:color w:val="000000"/>
          <w:sz w:val="22"/>
          <w:szCs w:val="22"/>
          <w:lang w:eastAsia="en-ZA"/>
        </w:rPr>
        <w:t>15.</w:t>
      </w:r>
      <w:r>
        <w:rPr>
          <w:rFonts w:ascii="Arial" w:hAnsi="Arial" w:cs="Arial"/>
          <w:color w:val="000000"/>
          <w:sz w:val="22"/>
          <w:szCs w:val="22"/>
          <w:lang w:eastAsia="en-ZA"/>
        </w:rPr>
        <w:tab/>
      </w:r>
      <w:r w:rsidR="00076AC9" w:rsidRPr="006B33CD">
        <w:rPr>
          <w:rFonts w:ascii="Arial" w:hAnsi="Arial" w:cs="Arial"/>
          <w:color w:val="000000"/>
          <w:lang w:eastAsia="en-ZA"/>
        </w:rPr>
        <w:t>From the papers it is evident that the respondent</w:t>
      </w:r>
      <w:r w:rsidR="006E1903" w:rsidRPr="006B33CD">
        <w:rPr>
          <w:rFonts w:ascii="Arial" w:hAnsi="Arial" w:cs="Arial"/>
          <w:color w:val="000000"/>
          <w:lang w:eastAsia="en-ZA"/>
        </w:rPr>
        <w:t>’s attorneys</w:t>
      </w:r>
      <w:r w:rsidR="00076AC9" w:rsidRPr="006B33CD">
        <w:rPr>
          <w:rFonts w:ascii="Arial" w:hAnsi="Arial" w:cs="Arial"/>
          <w:color w:val="000000"/>
          <w:lang w:eastAsia="en-ZA"/>
        </w:rPr>
        <w:t xml:space="preserve"> have been </w:t>
      </w:r>
      <w:r w:rsidR="006E1903" w:rsidRPr="006B33CD">
        <w:rPr>
          <w:rFonts w:ascii="Arial" w:hAnsi="Arial" w:cs="Arial"/>
          <w:color w:val="000000"/>
          <w:lang w:val="en-US" w:eastAsia="en-ZA"/>
        </w:rPr>
        <w:t>approached on numerous occasions with a view to bringing finality to the matter.  This</w:t>
      </w:r>
      <w:r w:rsidR="000718E7" w:rsidRPr="006B33CD">
        <w:rPr>
          <w:rFonts w:ascii="Arial" w:hAnsi="Arial" w:cs="Arial"/>
          <w:color w:val="000000"/>
          <w:lang w:val="en-US" w:eastAsia="en-ZA"/>
        </w:rPr>
        <w:t xml:space="preserve">, </w:t>
      </w:r>
      <w:r w:rsidR="006E1903" w:rsidRPr="006B33CD">
        <w:rPr>
          <w:rFonts w:ascii="Arial" w:hAnsi="Arial" w:cs="Arial"/>
          <w:color w:val="000000"/>
          <w:lang w:val="en-US" w:eastAsia="en-ZA"/>
        </w:rPr>
        <w:t xml:space="preserve">especially in light of the respondent’s admission to the merits of the applicants’ claims, which was contained in the plea delivered as far back as November 2018. </w:t>
      </w:r>
      <w:r w:rsidR="000718E7" w:rsidRPr="006B33CD">
        <w:rPr>
          <w:rFonts w:ascii="Arial" w:hAnsi="Arial" w:cs="Arial"/>
          <w:color w:val="000000"/>
          <w:lang w:val="en-US" w:eastAsia="en-ZA"/>
        </w:rPr>
        <w:t>Whilst i</w:t>
      </w:r>
      <w:r w:rsidR="006E1903" w:rsidRPr="006B33CD">
        <w:rPr>
          <w:rFonts w:ascii="Arial" w:hAnsi="Arial" w:cs="Arial"/>
          <w:color w:val="000000"/>
          <w:lang w:val="en-US" w:eastAsia="en-ZA"/>
        </w:rPr>
        <w:t xml:space="preserve">t is so that the respondent is entitled to pursue every avenue it wishes to in order to oppose </w:t>
      </w:r>
      <w:r w:rsidR="000718E7" w:rsidRPr="006B33CD">
        <w:rPr>
          <w:rFonts w:ascii="Arial" w:hAnsi="Arial" w:cs="Arial"/>
          <w:color w:val="000000"/>
          <w:lang w:val="en-US" w:eastAsia="en-ZA"/>
        </w:rPr>
        <w:t>the</w:t>
      </w:r>
      <w:r w:rsidR="006E1903" w:rsidRPr="006B33CD">
        <w:rPr>
          <w:rFonts w:ascii="Arial" w:hAnsi="Arial" w:cs="Arial"/>
          <w:color w:val="000000"/>
          <w:lang w:val="en-US" w:eastAsia="en-ZA"/>
        </w:rPr>
        <w:t xml:space="preserve"> </w:t>
      </w:r>
      <w:r w:rsidR="000718E7" w:rsidRPr="006B33CD">
        <w:rPr>
          <w:rFonts w:ascii="Arial" w:hAnsi="Arial" w:cs="Arial"/>
          <w:color w:val="000000"/>
          <w:lang w:val="en-US" w:eastAsia="en-ZA"/>
        </w:rPr>
        <w:t>claims</w:t>
      </w:r>
      <w:r w:rsidR="006E1903" w:rsidRPr="006B33CD">
        <w:rPr>
          <w:rFonts w:ascii="Arial" w:hAnsi="Arial" w:cs="Arial"/>
          <w:color w:val="000000"/>
          <w:lang w:val="en-US" w:eastAsia="en-ZA"/>
        </w:rPr>
        <w:t>, including by seeking as many expert reports</w:t>
      </w:r>
      <w:r w:rsidR="000718E7" w:rsidRPr="006B33CD">
        <w:rPr>
          <w:rFonts w:ascii="Arial" w:hAnsi="Arial" w:cs="Arial"/>
          <w:color w:val="000000"/>
          <w:lang w:val="en-US" w:eastAsia="en-ZA"/>
        </w:rPr>
        <w:t xml:space="preserve"> it wishes to, it is also a fact that, by any account, these matters have incurred unnecessary delays. The shooting incident was in March 2016. The summons and plea were delivered in 2018. When regard is had to the fact that the respondent admitted liability to the merits in 2018, the delays are regrettable, and induce no surprise for the applications that have now been brought. Indeed, the respondents have themselves been numerously </w:t>
      </w:r>
      <w:r w:rsidR="00076AC9" w:rsidRPr="006B33CD">
        <w:rPr>
          <w:rFonts w:ascii="Arial" w:hAnsi="Arial" w:cs="Arial"/>
          <w:color w:val="000000"/>
          <w:lang w:eastAsia="en-ZA"/>
        </w:rPr>
        <w:t>warned of the imminence of th</w:t>
      </w:r>
      <w:r w:rsidR="000718E7" w:rsidRPr="006B33CD">
        <w:rPr>
          <w:rFonts w:ascii="Arial" w:hAnsi="Arial" w:cs="Arial"/>
          <w:color w:val="000000"/>
          <w:lang w:eastAsia="en-ZA"/>
        </w:rPr>
        <w:t>e</w:t>
      </w:r>
      <w:r w:rsidR="00076AC9" w:rsidRPr="006B33CD">
        <w:rPr>
          <w:rFonts w:ascii="Arial" w:hAnsi="Arial" w:cs="Arial"/>
          <w:color w:val="000000"/>
          <w:lang w:eastAsia="en-ZA"/>
        </w:rPr>
        <w:t>s</w:t>
      </w:r>
      <w:r w:rsidR="000718E7" w:rsidRPr="006B33CD">
        <w:rPr>
          <w:rFonts w:ascii="Arial" w:hAnsi="Arial" w:cs="Arial"/>
          <w:color w:val="000000"/>
          <w:lang w:eastAsia="en-ZA"/>
        </w:rPr>
        <w:t>e</w:t>
      </w:r>
      <w:r w:rsidR="00076AC9" w:rsidRPr="006B33CD">
        <w:rPr>
          <w:rFonts w:ascii="Arial" w:hAnsi="Arial" w:cs="Arial"/>
          <w:color w:val="000000"/>
          <w:lang w:eastAsia="en-ZA"/>
        </w:rPr>
        <w:t xml:space="preserve"> application</w:t>
      </w:r>
      <w:r w:rsidR="000718E7" w:rsidRPr="006B33CD">
        <w:rPr>
          <w:rFonts w:ascii="Arial" w:hAnsi="Arial" w:cs="Arial"/>
          <w:color w:val="000000"/>
          <w:lang w:eastAsia="en-ZA"/>
        </w:rPr>
        <w:t>s.</w:t>
      </w:r>
      <w:r w:rsidR="00076AC9" w:rsidRPr="006B33CD">
        <w:rPr>
          <w:rFonts w:ascii="Arial" w:hAnsi="Arial" w:cs="Arial"/>
          <w:color w:val="000000"/>
          <w:lang w:eastAsia="en-ZA"/>
        </w:rPr>
        <w:t xml:space="preserve"> </w:t>
      </w:r>
    </w:p>
    <w:p w:rsidR="00120FB3" w:rsidRPr="00120FB3" w:rsidRDefault="00120FB3" w:rsidP="00120FB3">
      <w:pPr>
        <w:pStyle w:val="ListParagraph"/>
        <w:rPr>
          <w:rFonts w:ascii="Arial" w:eastAsia="Times New Roman" w:hAnsi="Arial" w:cs="Arial"/>
          <w:color w:val="000000"/>
          <w:lang w:eastAsia="en-ZA"/>
        </w:rPr>
      </w:pPr>
    </w:p>
    <w:p w:rsidR="00120FB3" w:rsidRPr="00120FB3" w:rsidRDefault="00120FB3" w:rsidP="00120FB3">
      <w:pPr>
        <w:pStyle w:val="ListParagraph"/>
        <w:spacing w:after="0" w:line="480" w:lineRule="auto"/>
        <w:ind w:left="270"/>
        <w:jc w:val="both"/>
        <w:rPr>
          <w:rFonts w:ascii="Arial" w:eastAsia="Times New Roman" w:hAnsi="Arial" w:cs="Arial"/>
          <w:b/>
          <w:color w:val="000000"/>
          <w:u w:val="single"/>
          <w:lang w:eastAsia="en-ZA"/>
        </w:rPr>
      </w:pPr>
      <w:r w:rsidRPr="001125B2">
        <w:rPr>
          <w:rFonts w:ascii="Arial" w:eastAsia="Times New Roman" w:hAnsi="Arial" w:cs="Arial"/>
          <w:b/>
          <w:color w:val="000000"/>
          <w:lang w:eastAsia="en-ZA"/>
        </w:rPr>
        <w:t xml:space="preserve">V. </w:t>
      </w:r>
      <w:r w:rsidRPr="001125B2">
        <w:rPr>
          <w:rFonts w:ascii="Arial" w:eastAsia="Times New Roman" w:hAnsi="Arial" w:cs="Arial"/>
          <w:b/>
          <w:color w:val="000000"/>
          <w:lang w:eastAsia="en-ZA"/>
        </w:rPr>
        <w:tab/>
      </w:r>
      <w:r>
        <w:rPr>
          <w:rFonts w:ascii="Arial" w:eastAsia="Times New Roman" w:hAnsi="Arial" w:cs="Arial"/>
          <w:b/>
          <w:color w:val="000000"/>
          <w:u w:val="single"/>
          <w:lang w:eastAsia="en-ZA"/>
        </w:rPr>
        <w:t>ORDER</w:t>
      </w:r>
    </w:p>
    <w:p w:rsidR="002D5DE8" w:rsidRDefault="002D5DE8" w:rsidP="002D5DE8">
      <w:pPr>
        <w:pStyle w:val="ListParagraph"/>
        <w:rPr>
          <w:rFonts w:ascii="Arial" w:eastAsia="Times New Roman" w:hAnsi="Arial" w:cs="Arial"/>
          <w:color w:val="000000"/>
          <w:lang w:eastAsia="en-ZA"/>
        </w:rPr>
      </w:pPr>
    </w:p>
    <w:p w:rsidR="001125B2" w:rsidRPr="00A2775E" w:rsidRDefault="001125B2" w:rsidP="002D5DE8">
      <w:pPr>
        <w:pStyle w:val="ListParagraph"/>
        <w:rPr>
          <w:rFonts w:ascii="Arial" w:eastAsia="Times New Roman" w:hAnsi="Arial" w:cs="Arial"/>
          <w:color w:val="000000"/>
          <w:lang w:eastAsia="en-ZA"/>
        </w:rPr>
      </w:pPr>
    </w:p>
    <w:p w:rsidR="002D5DE8" w:rsidRPr="006B33CD" w:rsidRDefault="006B33CD" w:rsidP="006B33CD">
      <w:pPr>
        <w:spacing w:line="480" w:lineRule="auto"/>
        <w:ind w:left="851" w:hanging="567"/>
        <w:jc w:val="both"/>
        <w:rPr>
          <w:rFonts w:ascii="Arial" w:hAnsi="Arial" w:cs="Arial"/>
          <w:color w:val="000000"/>
          <w:lang w:eastAsia="en-ZA"/>
        </w:rPr>
      </w:pPr>
      <w:r w:rsidRPr="00A2775E">
        <w:rPr>
          <w:rFonts w:ascii="Arial" w:hAnsi="Arial" w:cs="Arial"/>
          <w:color w:val="000000"/>
          <w:sz w:val="22"/>
          <w:szCs w:val="22"/>
          <w:lang w:eastAsia="en-ZA"/>
        </w:rPr>
        <w:t>16.</w:t>
      </w:r>
      <w:r w:rsidRPr="00A2775E">
        <w:rPr>
          <w:rFonts w:ascii="Arial" w:hAnsi="Arial" w:cs="Arial"/>
          <w:color w:val="000000"/>
          <w:sz w:val="22"/>
          <w:szCs w:val="22"/>
          <w:lang w:eastAsia="en-ZA"/>
        </w:rPr>
        <w:tab/>
      </w:r>
      <w:r w:rsidR="002D5DE8" w:rsidRPr="006B33CD">
        <w:rPr>
          <w:rFonts w:ascii="Arial" w:hAnsi="Arial" w:cs="Arial"/>
          <w:color w:val="000000"/>
          <w:lang w:eastAsia="en-ZA"/>
        </w:rPr>
        <w:t>In the result, the following order is made:</w:t>
      </w:r>
    </w:p>
    <w:p w:rsidR="002D5DE8" w:rsidRPr="00A2775E" w:rsidRDefault="002D5DE8" w:rsidP="002D5DE8">
      <w:pPr>
        <w:pStyle w:val="ListParagraph"/>
        <w:rPr>
          <w:rFonts w:ascii="Arial" w:eastAsia="Times New Roman" w:hAnsi="Arial" w:cs="Arial"/>
          <w:color w:val="000000"/>
          <w:lang w:eastAsia="en-ZA"/>
        </w:rPr>
      </w:pPr>
    </w:p>
    <w:p w:rsidR="00076AC9" w:rsidRPr="006B33CD" w:rsidRDefault="006B33CD" w:rsidP="006B33CD">
      <w:pPr>
        <w:spacing w:line="480" w:lineRule="auto"/>
        <w:ind w:left="1364" w:hanging="360"/>
        <w:jc w:val="both"/>
        <w:rPr>
          <w:rFonts w:ascii="Arial" w:hAnsi="Arial" w:cs="Arial"/>
          <w:color w:val="000000"/>
          <w:lang w:eastAsia="en-ZA"/>
        </w:rPr>
      </w:pPr>
      <w:r w:rsidRPr="00A2775E">
        <w:rPr>
          <w:rFonts w:ascii="Arial" w:hAnsi="Arial" w:cs="Arial"/>
          <w:color w:val="000000"/>
          <w:sz w:val="22"/>
          <w:szCs w:val="22"/>
          <w:lang w:eastAsia="en-ZA"/>
        </w:rPr>
        <w:lastRenderedPageBreak/>
        <w:t>a.</w:t>
      </w:r>
      <w:r w:rsidRPr="00A2775E">
        <w:rPr>
          <w:rFonts w:ascii="Arial" w:hAnsi="Arial" w:cs="Arial"/>
          <w:color w:val="000000"/>
          <w:sz w:val="22"/>
          <w:szCs w:val="22"/>
          <w:lang w:eastAsia="en-ZA"/>
        </w:rPr>
        <w:tab/>
      </w:r>
      <w:r w:rsidR="00076AC9" w:rsidRPr="006B33CD">
        <w:rPr>
          <w:rFonts w:ascii="Arial" w:hAnsi="Arial" w:cs="Arial"/>
          <w:color w:val="000000"/>
          <w:lang w:eastAsia="en-ZA"/>
        </w:rPr>
        <w:t xml:space="preserve">In case number 8084/2018, the respondent shall pay </w:t>
      </w:r>
      <w:r w:rsidR="0059391B" w:rsidRPr="006B33CD">
        <w:rPr>
          <w:rFonts w:ascii="Arial" w:hAnsi="Arial" w:cs="Arial"/>
          <w:color w:val="000000"/>
          <w:lang w:eastAsia="en-ZA"/>
        </w:rPr>
        <w:t>an</w:t>
      </w:r>
      <w:r w:rsidR="00076AC9" w:rsidRPr="006B33CD">
        <w:rPr>
          <w:rFonts w:ascii="Arial" w:hAnsi="Arial" w:cs="Arial"/>
          <w:color w:val="000000"/>
          <w:lang w:eastAsia="en-ZA"/>
        </w:rPr>
        <w:t xml:space="preserve"> amount of R130 380 as an interim payment in terms of </w:t>
      </w:r>
      <w:r w:rsidR="0059391B" w:rsidRPr="006B33CD">
        <w:rPr>
          <w:rFonts w:ascii="Arial" w:hAnsi="Arial" w:cs="Arial"/>
          <w:color w:val="000000"/>
          <w:lang w:eastAsia="en-ZA"/>
        </w:rPr>
        <w:t xml:space="preserve">Uniform Rule 34A </w:t>
      </w:r>
      <w:r w:rsidR="00076AC9" w:rsidRPr="006B33CD">
        <w:rPr>
          <w:rFonts w:ascii="Arial" w:hAnsi="Arial" w:cs="Arial"/>
          <w:color w:val="000000"/>
          <w:lang w:eastAsia="en-ZA"/>
        </w:rPr>
        <w:t xml:space="preserve">to the bank account of the applicant’s attorney, by 5pm on Friday </w:t>
      </w:r>
      <w:r w:rsidR="0059391B" w:rsidRPr="006B33CD">
        <w:rPr>
          <w:rFonts w:ascii="Arial" w:hAnsi="Arial" w:cs="Arial"/>
          <w:color w:val="000000"/>
          <w:lang w:eastAsia="en-ZA"/>
        </w:rPr>
        <w:t>20</w:t>
      </w:r>
      <w:r w:rsidR="00076AC9" w:rsidRPr="006B33CD">
        <w:rPr>
          <w:rFonts w:ascii="Arial" w:hAnsi="Arial" w:cs="Arial"/>
          <w:color w:val="000000"/>
          <w:lang w:eastAsia="en-ZA"/>
        </w:rPr>
        <w:t xml:space="preserve"> </w:t>
      </w:r>
      <w:r w:rsidR="0059391B" w:rsidRPr="006B33CD">
        <w:rPr>
          <w:rFonts w:ascii="Arial" w:hAnsi="Arial" w:cs="Arial"/>
          <w:color w:val="000000"/>
          <w:lang w:eastAsia="en-ZA"/>
        </w:rPr>
        <w:t>August</w:t>
      </w:r>
      <w:r w:rsidR="00076AC9" w:rsidRPr="006B33CD">
        <w:rPr>
          <w:rFonts w:ascii="Arial" w:hAnsi="Arial" w:cs="Arial"/>
          <w:color w:val="000000"/>
          <w:lang w:eastAsia="en-ZA"/>
        </w:rPr>
        <w:t xml:space="preserve"> 2021;</w:t>
      </w:r>
    </w:p>
    <w:p w:rsidR="00076AC9" w:rsidRPr="00A2775E" w:rsidRDefault="00076AC9" w:rsidP="00076AC9">
      <w:pPr>
        <w:pStyle w:val="ListParagraph"/>
        <w:spacing w:after="0" w:line="480" w:lineRule="auto"/>
        <w:ind w:left="1364"/>
        <w:jc w:val="both"/>
        <w:rPr>
          <w:rFonts w:ascii="Arial" w:eastAsia="Times New Roman" w:hAnsi="Arial" w:cs="Arial"/>
          <w:color w:val="000000"/>
          <w:lang w:eastAsia="en-ZA"/>
        </w:rPr>
      </w:pPr>
    </w:p>
    <w:p w:rsidR="00076AC9" w:rsidRPr="006B33CD" w:rsidRDefault="006B33CD" w:rsidP="006B33CD">
      <w:pPr>
        <w:spacing w:line="480" w:lineRule="auto"/>
        <w:ind w:left="1364" w:hanging="360"/>
        <w:jc w:val="both"/>
        <w:rPr>
          <w:rFonts w:ascii="Arial" w:hAnsi="Arial" w:cs="Arial"/>
          <w:lang w:eastAsia="en-ZA"/>
        </w:rPr>
      </w:pPr>
      <w:r w:rsidRPr="00A02406">
        <w:rPr>
          <w:rFonts w:ascii="Arial" w:hAnsi="Arial" w:cs="Arial"/>
          <w:sz w:val="22"/>
          <w:szCs w:val="22"/>
          <w:lang w:eastAsia="en-ZA"/>
        </w:rPr>
        <w:t>b.</w:t>
      </w:r>
      <w:r w:rsidRPr="00A02406">
        <w:rPr>
          <w:rFonts w:ascii="Arial" w:hAnsi="Arial" w:cs="Arial"/>
          <w:sz w:val="22"/>
          <w:szCs w:val="22"/>
          <w:lang w:eastAsia="en-ZA"/>
        </w:rPr>
        <w:tab/>
      </w:r>
      <w:r w:rsidR="00076AC9" w:rsidRPr="006B33CD">
        <w:rPr>
          <w:rFonts w:ascii="Arial" w:hAnsi="Arial" w:cs="Arial"/>
          <w:lang w:eastAsia="en-ZA"/>
        </w:rPr>
        <w:t xml:space="preserve">In case number 8085/2018, the respondent shall pay an </w:t>
      </w:r>
      <w:r w:rsidR="0059391B" w:rsidRPr="006B33CD">
        <w:rPr>
          <w:rFonts w:ascii="Arial" w:hAnsi="Arial" w:cs="Arial"/>
          <w:lang w:eastAsia="en-ZA"/>
        </w:rPr>
        <w:t xml:space="preserve">amount </w:t>
      </w:r>
      <w:r w:rsidR="00076AC9" w:rsidRPr="006B33CD">
        <w:rPr>
          <w:rFonts w:ascii="Arial" w:hAnsi="Arial" w:cs="Arial"/>
          <w:lang w:eastAsia="en-ZA"/>
        </w:rPr>
        <w:t>of R81</w:t>
      </w:r>
      <w:r w:rsidR="0059391B" w:rsidRPr="006B33CD">
        <w:rPr>
          <w:rFonts w:ascii="Arial" w:hAnsi="Arial" w:cs="Arial"/>
          <w:lang w:eastAsia="en-ZA"/>
        </w:rPr>
        <w:t> </w:t>
      </w:r>
      <w:r w:rsidR="00076AC9" w:rsidRPr="006B33CD">
        <w:rPr>
          <w:rFonts w:ascii="Arial" w:hAnsi="Arial" w:cs="Arial"/>
          <w:lang w:eastAsia="en-ZA"/>
        </w:rPr>
        <w:t xml:space="preserve">400 </w:t>
      </w:r>
      <w:r w:rsidR="0059391B" w:rsidRPr="006B33CD">
        <w:rPr>
          <w:rFonts w:ascii="Arial" w:hAnsi="Arial" w:cs="Arial"/>
          <w:lang w:eastAsia="en-ZA"/>
        </w:rPr>
        <w:t xml:space="preserve">as an interim payment in terms of Uniform Rule 34A </w:t>
      </w:r>
      <w:r w:rsidR="00076AC9" w:rsidRPr="006B33CD">
        <w:rPr>
          <w:rFonts w:ascii="Arial" w:hAnsi="Arial" w:cs="Arial"/>
          <w:lang w:eastAsia="en-ZA"/>
        </w:rPr>
        <w:t xml:space="preserve">to the bank account of the applicant’s attorney, by 5pm on Friday </w:t>
      </w:r>
      <w:r w:rsidR="0059391B" w:rsidRPr="006B33CD">
        <w:rPr>
          <w:rFonts w:ascii="Arial" w:hAnsi="Arial" w:cs="Arial"/>
          <w:lang w:eastAsia="en-ZA"/>
        </w:rPr>
        <w:t>20 August</w:t>
      </w:r>
      <w:r w:rsidR="00076AC9" w:rsidRPr="006B33CD">
        <w:rPr>
          <w:rFonts w:ascii="Arial" w:hAnsi="Arial" w:cs="Arial"/>
          <w:lang w:eastAsia="en-ZA"/>
        </w:rPr>
        <w:t xml:space="preserve"> 2021;</w:t>
      </w:r>
    </w:p>
    <w:p w:rsidR="0059391B" w:rsidRPr="00A02406" w:rsidRDefault="0059391B" w:rsidP="0059391B">
      <w:pPr>
        <w:pStyle w:val="ListParagraph"/>
        <w:rPr>
          <w:rFonts w:ascii="Arial" w:eastAsia="Times New Roman" w:hAnsi="Arial" w:cs="Arial"/>
          <w:lang w:eastAsia="en-ZA"/>
        </w:rPr>
      </w:pPr>
    </w:p>
    <w:p w:rsidR="00076AC9" w:rsidRPr="006B33CD" w:rsidRDefault="006B33CD" w:rsidP="006B33CD">
      <w:pPr>
        <w:spacing w:line="480" w:lineRule="auto"/>
        <w:ind w:left="1364" w:hanging="360"/>
        <w:jc w:val="both"/>
        <w:rPr>
          <w:rFonts w:ascii="Arial" w:hAnsi="Arial" w:cs="Arial"/>
          <w:lang w:eastAsia="en-ZA"/>
        </w:rPr>
      </w:pPr>
      <w:r w:rsidRPr="00A02406">
        <w:rPr>
          <w:rFonts w:ascii="Arial" w:hAnsi="Arial" w:cs="Arial"/>
          <w:sz w:val="22"/>
          <w:szCs w:val="22"/>
          <w:lang w:eastAsia="en-ZA"/>
        </w:rPr>
        <w:t>c.</w:t>
      </w:r>
      <w:r w:rsidRPr="00A02406">
        <w:rPr>
          <w:rFonts w:ascii="Arial" w:hAnsi="Arial" w:cs="Arial"/>
          <w:sz w:val="22"/>
          <w:szCs w:val="22"/>
          <w:lang w:eastAsia="en-ZA"/>
        </w:rPr>
        <w:tab/>
      </w:r>
      <w:r w:rsidR="00076AC9" w:rsidRPr="006B33CD">
        <w:rPr>
          <w:rFonts w:ascii="Arial" w:hAnsi="Arial" w:cs="Arial"/>
          <w:lang w:val="en-US"/>
        </w:rPr>
        <w:t xml:space="preserve">In the event of the respondent failing to </w:t>
      </w:r>
      <w:r w:rsidR="0059391B" w:rsidRPr="006B33CD">
        <w:rPr>
          <w:rFonts w:ascii="Arial" w:hAnsi="Arial" w:cs="Arial"/>
          <w:lang w:val="en-US"/>
        </w:rPr>
        <w:t>comply with paragraphs (a) and (b) above,</w:t>
      </w:r>
      <w:r w:rsidR="00076AC9" w:rsidRPr="006B33CD">
        <w:rPr>
          <w:rFonts w:ascii="Arial" w:hAnsi="Arial" w:cs="Arial"/>
          <w:lang w:val="en-US"/>
        </w:rPr>
        <w:t xml:space="preserve"> the applicant</w:t>
      </w:r>
      <w:r w:rsidR="0059391B" w:rsidRPr="006B33CD">
        <w:rPr>
          <w:rFonts w:ascii="Arial" w:hAnsi="Arial" w:cs="Arial"/>
          <w:lang w:val="en-US"/>
        </w:rPr>
        <w:t>s</w:t>
      </w:r>
      <w:r w:rsidR="00076AC9" w:rsidRPr="006B33CD">
        <w:rPr>
          <w:rFonts w:ascii="Arial" w:hAnsi="Arial" w:cs="Arial"/>
          <w:lang w:val="en-US"/>
        </w:rPr>
        <w:t xml:space="preserve"> </w:t>
      </w:r>
      <w:r w:rsidR="0059391B" w:rsidRPr="006B33CD">
        <w:rPr>
          <w:rFonts w:ascii="Arial" w:hAnsi="Arial" w:cs="Arial"/>
          <w:lang w:val="en-US"/>
        </w:rPr>
        <w:t>are</w:t>
      </w:r>
      <w:r w:rsidR="00076AC9" w:rsidRPr="006B33CD">
        <w:rPr>
          <w:rFonts w:ascii="Arial" w:hAnsi="Arial" w:cs="Arial"/>
          <w:lang w:val="en-US"/>
        </w:rPr>
        <w:t xml:space="preserve"> granted leave to approach this Court on the papers filed of record, supplemented</w:t>
      </w:r>
      <w:r w:rsidR="0059391B" w:rsidRPr="006B33CD">
        <w:rPr>
          <w:rFonts w:ascii="Arial" w:hAnsi="Arial" w:cs="Arial"/>
          <w:lang w:val="en-US"/>
        </w:rPr>
        <w:t>,</w:t>
      </w:r>
      <w:r w:rsidR="00076AC9" w:rsidRPr="006B33CD">
        <w:rPr>
          <w:rFonts w:ascii="Arial" w:hAnsi="Arial" w:cs="Arial"/>
          <w:lang w:val="en-US"/>
        </w:rPr>
        <w:t xml:space="preserve"> if necessary, for judgment against the </w:t>
      </w:r>
      <w:r w:rsidR="0059391B" w:rsidRPr="006B33CD">
        <w:rPr>
          <w:rFonts w:ascii="Arial" w:hAnsi="Arial" w:cs="Arial"/>
          <w:lang w:val="en-US"/>
        </w:rPr>
        <w:t>respondent</w:t>
      </w:r>
      <w:r w:rsidR="00076AC9" w:rsidRPr="006B33CD">
        <w:rPr>
          <w:rFonts w:ascii="Arial" w:hAnsi="Arial" w:cs="Arial"/>
          <w:lang w:val="en-US"/>
        </w:rPr>
        <w:t xml:space="preserve"> in the total sum prayed for.</w:t>
      </w:r>
    </w:p>
    <w:p w:rsidR="000718E7" w:rsidRPr="00A02406" w:rsidRDefault="000718E7" w:rsidP="000718E7">
      <w:pPr>
        <w:pStyle w:val="ListParagraph"/>
        <w:rPr>
          <w:rFonts w:ascii="Arial" w:eastAsia="Times New Roman" w:hAnsi="Arial" w:cs="Arial"/>
          <w:lang w:eastAsia="en-ZA"/>
        </w:rPr>
      </w:pPr>
    </w:p>
    <w:p w:rsidR="0059391B" w:rsidRPr="00A02406" w:rsidRDefault="0059391B" w:rsidP="0059391B">
      <w:pPr>
        <w:pStyle w:val="ListParagraph"/>
        <w:rPr>
          <w:rFonts w:ascii="Arial" w:eastAsia="Times New Roman" w:hAnsi="Arial" w:cs="Arial"/>
          <w:lang w:eastAsia="en-ZA"/>
        </w:rPr>
      </w:pPr>
    </w:p>
    <w:p w:rsidR="000718E7" w:rsidRPr="006B33CD" w:rsidRDefault="006B33CD" w:rsidP="006B33CD">
      <w:pPr>
        <w:spacing w:line="480" w:lineRule="auto"/>
        <w:ind w:left="1364" w:hanging="360"/>
        <w:jc w:val="both"/>
        <w:rPr>
          <w:rFonts w:ascii="Arial" w:hAnsi="Arial" w:cs="Arial"/>
          <w:lang w:eastAsia="en-ZA"/>
        </w:rPr>
      </w:pPr>
      <w:r w:rsidRPr="00A02406">
        <w:rPr>
          <w:rFonts w:ascii="Arial" w:hAnsi="Arial" w:cs="Arial"/>
          <w:sz w:val="22"/>
          <w:szCs w:val="22"/>
          <w:lang w:eastAsia="en-ZA"/>
        </w:rPr>
        <w:t>d.</w:t>
      </w:r>
      <w:r w:rsidRPr="00A02406">
        <w:rPr>
          <w:rFonts w:ascii="Arial" w:hAnsi="Arial" w:cs="Arial"/>
          <w:sz w:val="22"/>
          <w:szCs w:val="22"/>
          <w:lang w:eastAsia="en-ZA"/>
        </w:rPr>
        <w:tab/>
      </w:r>
      <w:r w:rsidR="000718E7" w:rsidRPr="006B33CD">
        <w:rPr>
          <w:rFonts w:ascii="Arial" w:hAnsi="Arial" w:cs="Arial"/>
          <w:lang w:val="en-US" w:eastAsia="en-ZA"/>
        </w:rPr>
        <w:t>Any further expert report required by either party</w:t>
      </w:r>
      <w:r w:rsidR="000721C3" w:rsidRPr="006B33CD">
        <w:rPr>
          <w:rFonts w:ascii="Arial" w:hAnsi="Arial" w:cs="Arial"/>
          <w:lang w:val="en-US" w:eastAsia="en-ZA"/>
        </w:rPr>
        <w:t xml:space="preserve"> in cases </w:t>
      </w:r>
      <w:r w:rsidR="000721C3" w:rsidRPr="006B33CD">
        <w:rPr>
          <w:rFonts w:ascii="Arial" w:hAnsi="Arial" w:cs="Arial"/>
          <w:lang w:eastAsia="en-ZA"/>
        </w:rPr>
        <w:t>8084/2018 and 8085/2018</w:t>
      </w:r>
      <w:r w:rsidR="000718E7" w:rsidRPr="006B33CD">
        <w:rPr>
          <w:rFonts w:ascii="Arial" w:hAnsi="Arial" w:cs="Arial"/>
          <w:lang w:val="en-US" w:eastAsia="en-ZA"/>
        </w:rPr>
        <w:t xml:space="preserve"> shall be requested and received by </w:t>
      </w:r>
      <w:r w:rsidR="000721C3" w:rsidRPr="006B33CD">
        <w:rPr>
          <w:rFonts w:ascii="Arial" w:hAnsi="Arial" w:cs="Arial"/>
          <w:lang w:val="en-US" w:eastAsia="en-ZA"/>
        </w:rPr>
        <w:t>31</w:t>
      </w:r>
      <w:r w:rsidR="000718E7" w:rsidRPr="006B33CD">
        <w:rPr>
          <w:rFonts w:ascii="Arial" w:hAnsi="Arial" w:cs="Arial"/>
          <w:lang w:val="en-US" w:eastAsia="en-ZA"/>
        </w:rPr>
        <w:t xml:space="preserve"> August 2021</w:t>
      </w:r>
      <w:r w:rsidR="000721C3" w:rsidRPr="006B33CD">
        <w:rPr>
          <w:rFonts w:ascii="Arial" w:hAnsi="Arial" w:cs="Arial"/>
          <w:lang w:val="en-US" w:eastAsia="en-ZA"/>
        </w:rPr>
        <w:t>;</w:t>
      </w:r>
    </w:p>
    <w:p w:rsidR="000721C3" w:rsidRPr="00A02406" w:rsidRDefault="000721C3" w:rsidP="000721C3">
      <w:pPr>
        <w:pStyle w:val="ListParagraph"/>
        <w:spacing w:after="0" w:line="480" w:lineRule="auto"/>
        <w:ind w:left="1364"/>
        <w:jc w:val="both"/>
        <w:rPr>
          <w:rFonts w:ascii="Arial" w:eastAsia="Times New Roman" w:hAnsi="Arial" w:cs="Arial"/>
          <w:lang w:eastAsia="en-ZA"/>
        </w:rPr>
      </w:pPr>
    </w:p>
    <w:p w:rsidR="00076AC9" w:rsidRPr="006B33CD" w:rsidRDefault="006B33CD" w:rsidP="006B33CD">
      <w:pPr>
        <w:spacing w:line="480" w:lineRule="auto"/>
        <w:ind w:left="1364" w:hanging="360"/>
        <w:jc w:val="both"/>
        <w:rPr>
          <w:rFonts w:ascii="Arial" w:hAnsi="Arial" w:cs="Arial"/>
          <w:lang w:eastAsia="en-ZA"/>
        </w:rPr>
      </w:pPr>
      <w:r w:rsidRPr="00A02406">
        <w:rPr>
          <w:rFonts w:ascii="Arial" w:hAnsi="Arial" w:cs="Arial"/>
          <w:sz w:val="22"/>
          <w:szCs w:val="22"/>
          <w:lang w:eastAsia="en-ZA"/>
        </w:rPr>
        <w:t>e.</w:t>
      </w:r>
      <w:r w:rsidRPr="00A02406">
        <w:rPr>
          <w:rFonts w:ascii="Arial" w:hAnsi="Arial" w:cs="Arial"/>
          <w:sz w:val="22"/>
          <w:szCs w:val="22"/>
          <w:lang w:eastAsia="en-ZA"/>
        </w:rPr>
        <w:tab/>
      </w:r>
      <w:r w:rsidR="00076AC9" w:rsidRPr="006B33CD">
        <w:rPr>
          <w:rFonts w:ascii="Arial" w:hAnsi="Arial" w:cs="Arial"/>
          <w:lang w:val="en-US"/>
        </w:rPr>
        <w:t xml:space="preserve">The </w:t>
      </w:r>
      <w:r w:rsidR="0059391B" w:rsidRPr="006B33CD">
        <w:rPr>
          <w:rFonts w:ascii="Arial" w:hAnsi="Arial" w:cs="Arial"/>
          <w:lang w:val="en-US"/>
        </w:rPr>
        <w:t>responde</w:t>
      </w:r>
      <w:r w:rsidR="00076AC9" w:rsidRPr="006B33CD">
        <w:rPr>
          <w:rFonts w:ascii="Arial" w:hAnsi="Arial" w:cs="Arial"/>
          <w:lang w:val="en-US"/>
        </w:rPr>
        <w:t>nt is directed to pay the costs of th</w:t>
      </w:r>
      <w:r w:rsidR="0059391B" w:rsidRPr="006B33CD">
        <w:rPr>
          <w:rFonts w:ascii="Arial" w:hAnsi="Arial" w:cs="Arial"/>
          <w:lang w:val="en-US"/>
        </w:rPr>
        <w:t>e</w:t>
      </w:r>
      <w:r w:rsidR="00076AC9" w:rsidRPr="006B33CD">
        <w:rPr>
          <w:rFonts w:ascii="Arial" w:hAnsi="Arial" w:cs="Arial"/>
          <w:lang w:val="en-US"/>
        </w:rPr>
        <w:t xml:space="preserve"> application</w:t>
      </w:r>
      <w:r w:rsidR="0059391B" w:rsidRPr="006B33CD">
        <w:rPr>
          <w:rFonts w:ascii="Arial" w:hAnsi="Arial" w:cs="Arial"/>
          <w:lang w:val="en-US"/>
        </w:rPr>
        <w:t xml:space="preserve"> for </w:t>
      </w:r>
      <w:r w:rsidR="000721C3" w:rsidRPr="006B33CD">
        <w:rPr>
          <w:rFonts w:ascii="Arial" w:hAnsi="Arial" w:cs="Arial"/>
          <w:lang w:val="en-US"/>
        </w:rPr>
        <w:t xml:space="preserve">Rule 34A </w:t>
      </w:r>
      <w:r w:rsidR="0059391B" w:rsidRPr="006B33CD">
        <w:rPr>
          <w:rFonts w:ascii="Arial" w:hAnsi="Arial" w:cs="Arial"/>
          <w:lang w:val="en-US"/>
        </w:rPr>
        <w:t xml:space="preserve">interim payment in both </w:t>
      </w:r>
      <w:r w:rsidR="000721C3" w:rsidRPr="006B33CD">
        <w:rPr>
          <w:rFonts w:ascii="Arial" w:hAnsi="Arial" w:cs="Arial"/>
          <w:lang w:val="en-US"/>
        </w:rPr>
        <w:t>cases</w:t>
      </w:r>
      <w:r w:rsidR="0059391B" w:rsidRPr="006B33CD">
        <w:rPr>
          <w:rFonts w:ascii="Arial" w:hAnsi="Arial" w:cs="Arial"/>
          <w:lang w:val="en-US"/>
        </w:rPr>
        <w:t xml:space="preserve"> </w:t>
      </w:r>
      <w:r w:rsidR="0059391B" w:rsidRPr="006B33CD">
        <w:rPr>
          <w:rFonts w:ascii="Arial" w:hAnsi="Arial" w:cs="Arial"/>
          <w:lang w:eastAsia="en-ZA"/>
        </w:rPr>
        <w:t>8084/2018 and 8085/2018</w:t>
      </w:r>
      <w:r w:rsidR="00076AC9" w:rsidRPr="006B33CD">
        <w:rPr>
          <w:rFonts w:ascii="Arial" w:hAnsi="Arial" w:cs="Arial"/>
          <w:lang w:val="en-US"/>
        </w:rPr>
        <w:t>, including costs of counsel.</w:t>
      </w:r>
    </w:p>
    <w:p w:rsidR="002D5DE8" w:rsidRDefault="002D5DE8" w:rsidP="0059391B">
      <w:pPr>
        <w:pStyle w:val="ListParagraph"/>
        <w:spacing w:after="0" w:line="480" w:lineRule="auto"/>
        <w:ind w:left="1364"/>
        <w:jc w:val="both"/>
        <w:rPr>
          <w:rFonts w:ascii="Arial" w:eastAsia="Times New Roman" w:hAnsi="Arial" w:cs="Arial"/>
          <w:color w:val="000000"/>
          <w:sz w:val="24"/>
          <w:szCs w:val="24"/>
          <w:lang w:eastAsia="en-ZA"/>
        </w:rPr>
      </w:pPr>
    </w:p>
    <w:p w:rsidR="00065952" w:rsidRPr="00065952" w:rsidRDefault="00065952" w:rsidP="00065952">
      <w:pPr>
        <w:pStyle w:val="ListParagraph"/>
        <w:rPr>
          <w:rFonts w:ascii="Arial" w:eastAsia="Times New Roman" w:hAnsi="Arial" w:cs="Arial"/>
          <w:color w:val="000000"/>
          <w:sz w:val="24"/>
          <w:szCs w:val="24"/>
          <w:lang w:eastAsia="en-ZA"/>
        </w:rPr>
      </w:pPr>
    </w:p>
    <w:p w:rsidR="00683E58" w:rsidRPr="00683E58" w:rsidRDefault="00683E58" w:rsidP="00683E58">
      <w:pPr>
        <w:pStyle w:val="ListParagraph"/>
        <w:rPr>
          <w:rFonts w:ascii="Arial" w:eastAsia="Times New Roman" w:hAnsi="Arial" w:cs="Arial"/>
          <w:color w:val="000000"/>
          <w:sz w:val="24"/>
          <w:szCs w:val="24"/>
          <w:lang w:eastAsia="en-ZA"/>
        </w:rPr>
      </w:pPr>
    </w:p>
    <w:p w:rsidR="00E0638F" w:rsidRPr="00740C13" w:rsidRDefault="00E0638F" w:rsidP="002D5DE8">
      <w:pPr>
        <w:pStyle w:val="ListParagraph"/>
        <w:spacing w:after="0" w:line="480" w:lineRule="auto"/>
        <w:ind w:left="851"/>
        <w:jc w:val="both"/>
        <w:rPr>
          <w:rFonts w:ascii="Arial" w:eastAsia="Times New Roman" w:hAnsi="Arial" w:cs="Arial"/>
          <w:color w:val="000000"/>
          <w:sz w:val="24"/>
          <w:szCs w:val="24"/>
          <w:lang w:eastAsia="en-ZA"/>
        </w:rPr>
      </w:pPr>
      <w:r>
        <w:rPr>
          <w:rFonts w:ascii="Arial" w:eastAsia="Times New Roman" w:hAnsi="Arial" w:cs="Arial"/>
          <w:color w:val="000000"/>
          <w:sz w:val="24"/>
          <w:szCs w:val="24"/>
          <w:lang w:eastAsia="en-ZA"/>
        </w:rPr>
        <w:t xml:space="preserve">  </w:t>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r>
      <w:r w:rsidR="00942ACD">
        <w:rPr>
          <w:rFonts w:ascii="Arial" w:eastAsia="Times New Roman" w:hAnsi="Arial" w:cs="Arial"/>
          <w:color w:val="000000"/>
          <w:sz w:val="24"/>
          <w:szCs w:val="24"/>
          <w:lang w:eastAsia="en-ZA"/>
        </w:rPr>
        <w:tab/>
        <w:t>______________________</w:t>
      </w:r>
    </w:p>
    <w:p w:rsidR="00740C13" w:rsidRDefault="00E04363" w:rsidP="00B877B6">
      <w:pPr>
        <w:spacing w:line="360" w:lineRule="auto"/>
        <w:ind w:left="5040" w:firstLine="720"/>
        <w:jc w:val="both"/>
        <w:rPr>
          <w:rFonts w:ascii="Arial" w:hAnsi="Arial" w:cs="Arial"/>
          <w:b/>
          <w:bCs/>
          <w:color w:val="000000"/>
          <w:lang w:eastAsia="en-ZA"/>
        </w:rPr>
      </w:pPr>
      <w:r>
        <w:rPr>
          <w:rFonts w:ascii="Arial" w:hAnsi="Arial" w:cs="Arial"/>
          <w:b/>
          <w:bCs/>
          <w:color w:val="000000"/>
          <w:lang w:eastAsia="en-ZA"/>
        </w:rPr>
        <w:t xml:space="preserve">N </w:t>
      </w:r>
      <w:r w:rsidR="00942ACD" w:rsidRPr="00942ACD">
        <w:rPr>
          <w:rFonts w:ascii="Arial" w:hAnsi="Arial" w:cs="Arial"/>
          <w:b/>
          <w:bCs/>
          <w:color w:val="000000"/>
          <w:lang w:eastAsia="en-ZA"/>
        </w:rPr>
        <w:t>MANGCU-LOCKWOOD</w:t>
      </w:r>
    </w:p>
    <w:p w:rsidR="00B877B6" w:rsidRDefault="00B877B6" w:rsidP="00B877B6">
      <w:pPr>
        <w:spacing w:line="360" w:lineRule="auto"/>
        <w:ind w:left="5040" w:firstLine="720"/>
        <w:jc w:val="both"/>
        <w:rPr>
          <w:rFonts w:ascii="Arial" w:hAnsi="Arial" w:cs="Arial"/>
          <w:b/>
          <w:bCs/>
          <w:color w:val="000000"/>
          <w:lang w:eastAsia="en-ZA"/>
        </w:rPr>
      </w:pPr>
      <w:r>
        <w:rPr>
          <w:rFonts w:ascii="Arial" w:hAnsi="Arial" w:cs="Arial"/>
          <w:b/>
          <w:bCs/>
          <w:color w:val="000000"/>
          <w:lang w:eastAsia="en-ZA"/>
        </w:rPr>
        <w:t>Judge of the High Court</w:t>
      </w:r>
    </w:p>
    <w:p w:rsidR="00B877B6" w:rsidRDefault="00B877B6" w:rsidP="00942ACD">
      <w:pPr>
        <w:spacing w:line="480" w:lineRule="auto"/>
        <w:ind w:left="5040" w:firstLine="720"/>
        <w:jc w:val="both"/>
        <w:rPr>
          <w:rFonts w:ascii="Arial" w:hAnsi="Arial" w:cs="Arial"/>
          <w:b/>
          <w:bCs/>
          <w:color w:val="000000"/>
          <w:lang w:eastAsia="en-ZA"/>
        </w:rPr>
      </w:pPr>
    </w:p>
    <w:p w:rsidR="00936A4A" w:rsidRDefault="00936A4A"/>
    <w:sectPr w:rsidR="00936A4A" w:rsidSect="009513B4">
      <w:headerReference w:type="even" r:id="rId8"/>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9C2" w:rsidRDefault="000B09C2" w:rsidP="009513B4">
      <w:r>
        <w:separator/>
      </w:r>
    </w:p>
  </w:endnote>
  <w:endnote w:type="continuationSeparator" w:id="0">
    <w:p w:rsidR="000B09C2" w:rsidRDefault="000B09C2" w:rsidP="0095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9C2" w:rsidRDefault="000B09C2" w:rsidP="009513B4">
      <w:r>
        <w:separator/>
      </w:r>
    </w:p>
  </w:footnote>
  <w:footnote w:type="continuationSeparator" w:id="0">
    <w:p w:rsidR="000B09C2" w:rsidRDefault="000B09C2" w:rsidP="009513B4">
      <w:r>
        <w:continuationSeparator/>
      </w:r>
    </w:p>
  </w:footnote>
  <w:footnote w:id="1">
    <w:p w:rsidR="00892728" w:rsidRPr="00892728" w:rsidRDefault="00892728">
      <w:pPr>
        <w:pStyle w:val="FootnoteText"/>
        <w:rPr>
          <w:lang w:val="en-US"/>
        </w:rPr>
      </w:pPr>
      <w:r>
        <w:rPr>
          <w:rStyle w:val="FootnoteReference"/>
        </w:rPr>
        <w:footnoteRef/>
      </w:r>
      <w:r>
        <w:t xml:space="preserve"> </w:t>
      </w:r>
      <w:r>
        <w:rPr>
          <w:lang w:val="en-US"/>
        </w:rPr>
        <w:t xml:space="preserve">1991 (3) SA 489 (O) at 495 </w:t>
      </w:r>
    </w:p>
  </w:footnote>
  <w:footnote w:id="2">
    <w:p w:rsidR="007E60F0" w:rsidRPr="007E60F0" w:rsidRDefault="007E60F0">
      <w:pPr>
        <w:pStyle w:val="FootnoteText"/>
        <w:rPr>
          <w:lang w:val="en-US"/>
        </w:rPr>
      </w:pPr>
      <w:r>
        <w:rPr>
          <w:rStyle w:val="FootnoteReference"/>
        </w:rPr>
        <w:footnoteRef/>
      </w:r>
      <w:r>
        <w:t xml:space="preserve"> </w:t>
      </w:r>
      <w:r>
        <w:rPr>
          <w:lang w:val="en-US"/>
        </w:rPr>
        <w:t xml:space="preserve">At 496B - H </w:t>
      </w:r>
    </w:p>
  </w:footnote>
  <w:footnote w:id="3">
    <w:p w:rsidR="00566AD0" w:rsidRPr="00566AD0" w:rsidRDefault="00566AD0">
      <w:pPr>
        <w:pStyle w:val="FootnoteText"/>
        <w:rPr>
          <w:lang w:val="en-US"/>
        </w:rPr>
      </w:pPr>
      <w:r>
        <w:rPr>
          <w:rStyle w:val="FootnoteReference"/>
        </w:rPr>
        <w:footnoteRef/>
      </w:r>
      <w:r>
        <w:t xml:space="preserve"> </w:t>
      </w:r>
      <w:r>
        <w:rPr>
          <w:lang w:val="en-US"/>
        </w:rPr>
        <w:t>At 497E</w:t>
      </w:r>
    </w:p>
  </w:footnote>
  <w:footnote w:id="4">
    <w:p w:rsidR="007E60F0" w:rsidRPr="007E60F0" w:rsidRDefault="007E60F0">
      <w:pPr>
        <w:pStyle w:val="FootnoteText"/>
        <w:rPr>
          <w:lang w:val="en-US"/>
        </w:rPr>
      </w:pPr>
      <w:r>
        <w:rPr>
          <w:rStyle w:val="FootnoteReference"/>
        </w:rPr>
        <w:footnoteRef/>
      </w:r>
      <w:r>
        <w:t xml:space="preserve"> </w:t>
      </w:r>
      <w:r>
        <w:rPr>
          <w:lang w:val="en-US"/>
        </w:rPr>
        <w:t>At D1-453.</w:t>
      </w:r>
    </w:p>
  </w:footnote>
  <w:footnote w:id="5">
    <w:p w:rsidR="00683E58" w:rsidRDefault="00683E58" w:rsidP="00683E58">
      <w:r>
        <w:rPr>
          <w:rStyle w:val="FootnoteReference"/>
        </w:rPr>
        <w:footnoteRef/>
      </w:r>
      <w:r>
        <w:t xml:space="preserve"> </w:t>
      </w:r>
      <w:r>
        <w:rPr>
          <w:lang w:val="en-US"/>
        </w:rPr>
        <w:t xml:space="preserve">See also </w:t>
      </w:r>
      <w:r w:rsidRPr="00683E58">
        <w:rPr>
          <w:rFonts w:ascii="Arial" w:hAnsi="Arial" w:cs="Arial"/>
          <w:i/>
          <w:iCs/>
          <w:color w:val="000000"/>
          <w:sz w:val="20"/>
          <w:szCs w:val="20"/>
        </w:rPr>
        <w:t>Tolstrup N</w:t>
      </w:r>
      <w:r>
        <w:rPr>
          <w:rFonts w:ascii="Arial" w:hAnsi="Arial" w:cs="Arial"/>
          <w:i/>
          <w:iCs/>
          <w:color w:val="000000"/>
          <w:sz w:val="20"/>
          <w:szCs w:val="20"/>
        </w:rPr>
        <w:t>O</w:t>
      </w:r>
      <w:r w:rsidRPr="00683E58">
        <w:rPr>
          <w:rFonts w:ascii="Arial" w:hAnsi="Arial" w:cs="Arial"/>
          <w:i/>
          <w:iCs/>
          <w:color w:val="000000"/>
          <w:sz w:val="20"/>
          <w:szCs w:val="20"/>
        </w:rPr>
        <w:t xml:space="preserve"> v Kwapa N</w:t>
      </w:r>
      <w:r>
        <w:rPr>
          <w:rFonts w:ascii="Arial" w:hAnsi="Arial" w:cs="Arial"/>
          <w:i/>
          <w:iCs/>
          <w:color w:val="000000"/>
          <w:sz w:val="20"/>
          <w:szCs w:val="20"/>
        </w:rPr>
        <w:t>O</w:t>
      </w:r>
      <w:r w:rsidRPr="00683E58">
        <w:rPr>
          <w:rFonts w:ascii="Arial" w:hAnsi="Arial" w:cs="Arial"/>
          <w:i/>
          <w:iCs/>
          <w:color w:val="000000"/>
          <w:sz w:val="20"/>
          <w:szCs w:val="20"/>
        </w:rPr>
        <w:t xml:space="preserve"> </w:t>
      </w:r>
      <w:r w:rsidRPr="00683E58">
        <w:rPr>
          <w:rFonts w:ascii="Arial" w:hAnsi="Arial" w:cs="Arial"/>
          <w:color w:val="000000"/>
          <w:sz w:val="20"/>
          <w:szCs w:val="20"/>
        </w:rPr>
        <w:t>2002 (5) S</w:t>
      </w:r>
      <w:r>
        <w:rPr>
          <w:rFonts w:ascii="Arial" w:hAnsi="Arial" w:cs="Arial"/>
          <w:color w:val="000000"/>
          <w:sz w:val="20"/>
          <w:szCs w:val="20"/>
        </w:rPr>
        <w:t>A</w:t>
      </w:r>
      <w:r w:rsidRPr="00683E58">
        <w:rPr>
          <w:rFonts w:ascii="Arial" w:hAnsi="Arial" w:cs="Arial"/>
          <w:color w:val="000000"/>
          <w:sz w:val="20"/>
          <w:szCs w:val="20"/>
        </w:rPr>
        <w:t xml:space="preserve"> 73 (W) </w:t>
      </w:r>
      <w:r>
        <w:rPr>
          <w:rFonts w:ascii="Arial" w:hAnsi="Arial" w:cs="Arial"/>
          <w:color w:val="000000"/>
          <w:sz w:val="20"/>
          <w:szCs w:val="20"/>
        </w:rPr>
        <w:t>a</w:t>
      </w:r>
      <w:r w:rsidRPr="00683E58">
        <w:rPr>
          <w:rFonts w:ascii="Arial" w:hAnsi="Arial" w:cs="Arial"/>
          <w:color w:val="000000"/>
          <w:sz w:val="20"/>
          <w:szCs w:val="20"/>
        </w:rPr>
        <w:t>t 77</w:t>
      </w:r>
      <w:r>
        <w:rPr>
          <w:rFonts w:ascii="Arial" w:hAnsi="Arial" w:cs="Arial"/>
          <w:color w:val="000000"/>
          <w:sz w:val="20"/>
          <w:szCs w:val="20"/>
        </w:rPr>
        <w:t>E</w:t>
      </w:r>
      <w:r w:rsidRPr="00683E58">
        <w:rPr>
          <w:rFonts w:ascii="Arial" w:hAnsi="Arial" w:cs="Arial"/>
          <w:color w:val="000000"/>
          <w:sz w:val="20"/>
          <w:szCs w:val="20"/>
        </w:rPr>
        <w:t>-H.</w:t>
      </w:r>
    </w:p>
    <w:p w:rsidR="00683E58" w:rsidRPr="00683E58" w:rsidRDefault="00683E58">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4344439"/>
      <w:docPartObj>
        <w:docPartGallery w:val="Page Numbers (Top of Page)"/>
        <w:docPartUnique/>
      </w:docPartObj>
    </w:sdtPr>
    <w:sdtEndPr>
      <w:rPr>
        <w:rStyle w:val="PageNumber"/>
      </w:rPr>
    </w:sdtEndPr>
    <w:sdtContent>
      <w:p w:rsidR="009513B4" w:rsidRDefault="009513B4" w:rsidP="00C315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513B4" w:rsidRDefault="009513B4" w:rsidP="009513B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49383425"/>
      <w:docPartObj>
        <w:docPartGallery w:val="Page Numbers (Top of Page)"/>
        <w:docPartUnique/>
      </w:docPartObj>
    </w:sdtPr>
    <w:sdtEndPr>
      <w:rPr>
        <w:rStyle w:val="PageNumber"/>
      </w:rPr>
    </w:sdtEndPr>
    <w:sdtContent>
      <w:p w:rsidR="009513B4" w:rsidRDefault="009513B4" w:rsidP="00C3151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B33CD">
          <w:rPr>
            <w:rStyle w:val="PageNumber"/>
            <w:noProof/>
          </w:rPr>
          <w:t>12</w:t>
        </w:r>
        <w:r>
          <w:rPr>
            <w:rStyle w:val="PageNumber"/>
          </w:rPr>
          <w:fldChar w:fldCharType="end"/>
        </w:r>
      </w:p>
    </w:sdtContent>
  </w:sdt>
  <w:p w:rsidR="009513B4" w:rsidRDefault="009513B4" w:rsidP="009513B4">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2219E"/>
    <w:multiLevelType w:val="hybridMultilevel"/>
    <w:tmpl w:val="E10E9B4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C687D0A"/>
    <w:multiLevelType w:val="hybridMultilevel"/>
    <w:tmpl w:val="AAB0997E"/>
    <w:lvl w:ilvl="0" w:tplc="937C7068">
      <w:start w:val="1"/>
      <w:numFmt w:val="decimal"/>
      <w:lvlText w:val="(%1)"/>
      <w:lvlJc w:val="left"/>
      <w:pPr>
        <w:ind w:left="1839" w:hanging="360"/>
      </w:pPr>
      <w:rPr>
        <w:rFonts w:hint="default"/>
      </w:rPr>
    </w:lvl>
    <w:lvl w:ilvl="1" w:tplc="08090019">
      <w:start w:val="1"/>
      <w:numFmt w:val="lowerLetter"/>
      <w:lvlText w:val="%2."/>
      <w:lvlJc w:val="left"/>
      <w:pPr>
        <w:ind w:left="2559" w:hanging="360"/>
      </w:pPr>
    </w:lvl>
    <w:lvl w:ilvl="2" w:tplc="0809001B" w:tentative="1">
      <w:start w:val="1"/>
      <w:numFmt w:val="lowerRoman"/>
      <w:lvlText w:val="%3."/>
      <w:lvlJc w:val="right"/>
      <w:pPr>
        <w:ind w:left="3279" w:hanging="180"/>
      </w:pPr>
    </w:lvl>
    <w:lvl w:ilvl="3" w:tplc="0809000F" w:tentative="1">
      <w:start w:val="1"/>
      <w:numFmt w:val="decimal"/>
      <w:lvlText w:val="%4."/>
      <w:lvlJc w:val="left"/>
      <w:pPr>
        <w:ind w:left="3999" w:hanging="360"/>
      </w:pPr>
    </w:lvl>
    <w:lvl w:ilvl="4" w:tplc="08090019" w:tentative="1">
      <w:start w:val="1"/>
      <w:numFmt w:val="lowerLetter"/>
      <w:lvlText w:val="%5."/>
      <w:lvlJc w:val="left"/>
      <w:pPr>
        <w:ind w:left="4719" w:hanging="360"/>
      </w:pPr>
    </w:lvl>
    <w:lvl w:ilvl="5" w:tplc="0809001B" w:tentative="1">
      <w:start w:val="1"/>
      <w:numFmt w:val="lowerRoman"/>
      <w:lvlText w:val="%6."/>
      <w:lvlJc w:val="right"/>
      <w:pPr>
        <w:ind w:left="5439" w:hanging="180"/>
      </w:pPr>
    </w:lvl>
    <w:lvl w:ilvl="6" w:tplc="0809000F" w:tentative="1">
      <w:start w:val="1"/>
      <w:numFmt w:val="decimal"/>
      <w:lvlText w:val="%7."/>
      <w:lvlJc w:val="left"/>
      <w:pPr>
        <w:ind w:left="6159" w:hanging="360"/>
      </w:pPr>
    </w:lvl>
    <w:lvl w:ilvl="7" w:tplc="08090019" w:tentative="1">
      <w:start w:val="1"/>
      <w:numFmt w:val="lowerLetter"/>
      <w:lvlText w:val="%8."/>
      <w:lvlJc w:val="left"/>
      <w:pPr>
        <w:ind w:left="6879" w:hanging="360"/>
      </w:pPr>
    </w:lvl>
    <w:lvl w:ilvl="8" w:tplc="0809001B" w:tentative="1">
      <w:start w:val="1"/>
      <w:numFmt w:val="lowerRoman"/>
      <w:lvlText w:val="%9."/>
      <w:lvlJc w:val="right"/>
      <w:pPr>
        <w:ind w:left="7599" w:hanging="180"/>
      </w:pPr>
    </w:lvl>
  </w:abstractNum>
  <w:abstractNum w:abstractNumId="2" w15:restartNumberingAfterBreak="0">
    <w:nsid w:val="54D548A9"/>
    <w:multiLevelType w:val="hybridMultilevel"/>
    <w:tmpl w:val="E10E9B4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67F85D97"/>
    <w:multiLevelType w:val="hybridMultilevel"/>
    <w:tmpl w:val="E10E9B40"/>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729D52D4"/>
    <w:multiLevelType w:val="hybridMultilevel"/>
    <w:tmpl w:val="A11897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960B70"/>
    <w:multiLevelType w:val="hybridMultilevel"/>
    <w:tmpl w:val="8B28E49C"/>
    <w:lvl w:ilvl="0" w:tplc="25B28DF6">
      <w:start w:val="23"/>
      <w:numFmt w:val="decimal"/>
      <w:lvlText w:val="%1."/>
      <w:lvlJc w:val="left"/>
      <w:pPr>
        <w:ind w:left="1090" w:hanging="446"/>
      </w:pPr>
      <w:rPr>
        <w:rFonts w:ascii="Verdana" w:hAnsi="Verdana" w:hint="default"/>
        <w:color w:val="242121"/>
        <w:sz w:val="27"/>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A4A"/>
    <w:rsid w:val="00065952"/>
    <w:rsid w:val="000718E7"/>
    <w:rsid w:val="000721C3"/>
    <w:rsid w:val="00076AC9"/>
    <w:rsid w:val="000B09C2"/>
    <w:rsid w:val="000C0814"/>
    <w:rsid w:val="000C1DA7"/>
    <w:rsid w:val="000E7940"/>
    <w:rsid w:val="001125B2"/>
    <w:rsid w:val="00120FB3"/>
    <w:rsid w:val="001F08A1"/>
    <w:rsid w:val="00202D91"/>
    <w:rsid w:val="00202DA1"/>
    <w:rsid w:val="002309E4"/>
    <w:rsid w:val="00276AE9"/>
    <w:rsid w:val="002D5DE8"/>
    <w:rsid w:val="002E6F13"/>
    <w:rsid w:val="002F70BC"/>
    <w:rsid w:val="00316BBC"/>
    <w:rsid w:val="004121BA"/>
    <w:rsid w:val="004D3CC8"/>
    <w:rsid w:val="004E39FA"/>
    <w:rsid w:val="004F3383"/>
    <w:rsid w:val="005026A8"/>
    <w:rsid w:val="00523E5E"/>
    <w:rsid w:val="00524DAD"/>
    <w:rsid w:val="00525A12"/>
    <w:rsid w:val="0054379A"/>
    <w:rsid w:val="00566AD0"/>
    <w:rsid w:val="0059391B"/>
    <w:rsid w:val="00607341"/>
    <w:rsid w:val="00683E58"/>
    <w:rsid w:val="006A58CF"/>
    <w:rsid w:val="006B33CD"/>
    <w:rsid w:val="006D1980"/>
    <w:rsid w:val="006E1903"/>
    <w:rsid w:val="00716B51"/>
    <w:rsid w:val="00740C13"/>
    <w:rsid w:val="007D7975"/>
    <w:rsid w:val="007E60F0"/>
    <w:rsid w:val="0087492C"/>
    <w:rsid w:val="00887117"/>
    <w:rsid w:val="00892728"/>
    <w:rsid w:val="00904E3F"/>
    <w:rsid w:val="00911608"/>
    <w:rsid w:val="00920D31"/>
    <w:rsid w:val="00936A4A"/>
    <w:rsid w:val="00942ACD"/>
    <w:rsid w:val="009513B4"/>
    <w:rsid w:val="00992FD6"/>
    <w:rsid w:val="009B1104"/>
    <w:rsid w:val="009D072A"/>
    <w:rsid w:val="00A02406"/>
    <w:rsid w:val="00A2775E"/>
    <w:rsid w:val="00A72591"/>
    <w:rsid w:val="00A858FD"/>
    <w:rsid w:val="00AA7F18"/>
    <w:rsid w:val="00AB1E63"/>
    <w:rsid w:val="00AC3822"/>
    <w:rsid w:val="00AC4B6F"/>
    <w:rsid w:val="00B02FEC"/>
    <w:rsid w:val="00B031CB"/>
    <w:rsid w:val="00B43A8C"/>
    <w:rsid w:val="00B61696"/>
    <w:rsid w:val="00B877B6"/>
    <w:rsid w:val="00BC438D"/>
    <w:rsid w:val="00BD7D11"/>
    <w:rsid w:val="00BE3AEC"/>
    <w:rsid w:val="00C0667B"/>
    <w:rsid w:val="00C34DE4"/>
    <w:rsid w:val="00C4137D"/>
    <w:rsid w:val="00C42539"/>
    <w:rsid w:val="00CA029E"/>
    <w:rsid w:val="00CC3295"/>
    <w:rsid w:val="00CD38FD"/>
    <w:rsid w:val="00D22F99"/>
    <w:rsid w:val="00D3792D"/>
    <w:rsid w:val="00D66C6A"/>
    <w:rsid w:val="00D71B3E"/>
    <w:rsid w:val="00DC4A8E"/>
    <w:rsid w:val="00DC5DE0"/>
    <w:rsid w:val="00DE35D9"/>
    <w:rsid w:val="00DE4BF8"/>
    <w:rsid w:val="00DF250E"/>
    <w:rsid w:val="00E04363"/>
    <w:rsid w:val="00E0638F"/>
    <w:rsid w:val="00E25219"/>
    <w:rsid w:val="00E30329"/>
    <w:rsid w:val="00EB23FB"/>
    <w:rsid w:val="00EB50D3"/>
    <w:rsid w:val="00EC7677"/>
    <w:rsid w:val="00F20599"/>
    <w:rsid w:val="00F31F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47854-B1FF-46CF-A3E8-5BF847ED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C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C34DE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1">
    <w:name w:val="g1"/>
    <w:basedOn w:val="DefaultParagraphFont"/>
    <w:rsid w:val="00936A4A"/>
  </w:style>
  <w:style w:type="character" w:styleId="Hyperlink">
    <w:name w:val="Hyperlink"/>
    <w:basedOn w:val="DefaultParagraphFont"/>
    <w:uiPriority w:val="99"/>
    <w:semiHidden/>
    <w:unhideWhenUsed/>
    <w:rsid w:val="00936A4A"/>
    <w:rPr>
      <w:color w:val="0000FF"/>
      <w:u w:val="single"/>
    </w:rPr>
  </w:style>
  <w:style w:type="character" w:customStyle="1" w:styleId="mc">
    <w:name w:val="mc"/>
    <w:basedOn w:val="DefaultParagraphFont"/>
    <w:rsid w:val="00F31F5A"/>
  </w:style>
  <w:style w:type="paragraph" w:styleId="ListParagraph">
    <w:name w:val="List Paragraph"/>
    <w:basedOn w:val="Normal"/>
    <w:link w:val="ListParagraphChar"/>
    <w:uiPriority w:val="34"/>
    <w:qFormat/>
    <w:rsid w:val="002309E4"/>
    <w:pPr>
      <w:spacing w:after="160" w:line="259"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9513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513B4"/>
  </w:style>
  <w:style w:type="character" w:styleId="PageNumber">
    <w:name w:val="page number"/>
    <w:basedOn w:val="DefaultParagraphFont"/>
    <w:uiPriority w:val="99"/>
    <w:semiHidden/>
    <w:unhideWhenUsed/>
    <w:rsid w:val="009513B4"/>
  </w:style>
  <w:style w:type="paragraph" w:styleId="FootnoteText">
    <w:name w:val="footnote text"/>
    <w:basedOn w:val="Normal"/>
    <w:link w:val="FootnoteTextChar"/>
    <w:uiPriority w:val="99"/>
    <w:semiHidden/>
    <w:unhideWhenUsed/>
    <w:rsid w:val="00AB1E63"/>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B1E63"/>
    <w:rPr>
      <w:sz w:val="20"/>
      <w:szCs w:val="20"/>
    </w:rPr>
  </w:style>
  <w:style w:type="character" w:styleId="FootnoteReference">
    <w:name w:val="footnote reference"/>
    <w:basedOn w:val="DefaultParagraphFont"/>
    <w:uiPriority w:val="99"/>
    <w:semiHidden/>
    <w:unhideWhenUsed/>
    <w:rsid w:val="00AB1E63"/>
    <w:rPr>
      <w:vertAlign w:val="superscript"/>
    </w:rPr>
  </w:style>
  <w:style w:type="character" w:customStyle="1" w:styleId="Heading2Char">
    <w:name w:val="Heading 2 Char"/>
    <w:basedOn w:val="DefaultParagraphFont"/>
    <w:link w:val="Heading2"/>
    <w:uiPriority w:val="9"/>
    <w:rsid w:val="00C34DE4"/>
    <w:rPr>
      <w:rFonts w:ascii="Times New Roman" w:eastAsia="Times New Roman" w:hAnsi="Times New Roman" w:cs="Times New Roman"/>
      <w:b/>
      <w:bCs/>
      <w:sz w:val="36"/>
      <w:szCs w:val="36"/>
      <w:lang w:eastAsia="en-GB"/>
    </w:rPr>
  </w:style>
  <w:style w:type="character" w:customStyle="1" w:styleId="ListParagraphChar">
    <w:name w:val="List Paragraph Char"/>
    <w:link w:val="ListParagraph"/>
    <w:uiPriority w:val="34"/>
    <w:locked/>
    <w:rsid w:val="00942ACD"/>
  </w:style>
  <w:style w:type="paragraph" w:styleId="NormalWeb">
    <w:name w:val="Normal (Web)"/>
    <w:basedOn w:val="Normal"/>
    <w:uiPriority w:val="99"/>
    <w:semiHidden/>
    <w:unhideWhenUsed/>
    <w:rsid w:val="00076AC9"/>
    <w:pPr>
      <w:spacing w:before="100" w:beforeAutospacing="1" w:after="100" w:afterAutospacing="1"/>
    </w:pPr>
  </w:style>
  <w:style w:type="paragraph" w:styleId="BalloonText">
    <w:name w:val="Balloon Text"/>
    <w:basedOn w:val="Normal"/>
    <w:link w:val="BalloonTextChar"/>
    <w:uiPriority w:val="99"/>
    <w:semiHidden/>
    <w:unhideWhenUsed/>
    <w:rsid w:val="009D0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72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729">
      <w:bodyDiv w:val="1"/>
      <w:marLeft w:val="0"/>
      <w:marRight w:val="0"/>
      <w:marTop w:val="0"/>
      <w:marBottom w:val="0"/>
      <w:divBdr>
        <w:top w:val="none" w:sz="0" w:space="0" w:color="auto"/>
        <w:left w:val="none" w:sz="0" w:space="0" w:color="auto"/>
        <w:bottom w:val="none" w:sz="0" w:space="0" w:color="auto"/>
        <w:right w:val="none" w:sz="0" w:space="0" w:color="auto"/>
      </w:divBdr>
      <w:divsChild>
        <w:div w:id="1199590989">
          <w:marLeft w:val="0"/>
          <w:marRight w:val="0"/>
          <w:marTop w:val="0"/>
          <w:marBottom w:val="225"/>
          <w:divBdr>
            <w:top w:val="single" w:sz="24" w:space="0" w:color="auto"/>
            <w:left w:val="single" w:sz="24" w:space="0" w:color="auto"/>
            <w:bottom w:val="single" w:sz="36" w:space="0" w:color="003300"/>
            <w:right w:val="single" w:sz="24" w:space="0" w:color="auto"/>
          </w:divBdr>
          <w:divsChild>
            <w:div w:id="682365183">
              <w:marLeft w:val="0"/>
              <w:marRight w:val="0"/>
              <w:marTop w:val="0"/>
              <w:marBottom w:val="0"/>
              <w:divBdr>
                <w:top w:val="none" w:sz="0" w:space="0" w:color="auto"/>
                <w:left w:val="none" w:sz="0" w:space="0" w:color="auto"/>
                <w:bottom w:val="none" w:sz="0" w:space="0" w:color="auto"/>
                <w:right w:val="none" w:sz="0" w:space="0" w:color="auto"/>
              </w:divBdr>
            </w:div>
          </w:divsChild>
        </w:div>
        <w:div w:id="1502432038">
          <w:marLeft w:val="0"/>
          <w:marRight w:val="0"/>
          <w:marTop w:val="0"/>
          <w:marBottom w:val="0"/>
          <w:divBdr>
            <w:top w:val="none" w:sz="0" w:space="0" w:color="auto"/>
            <w:left w:val="none" w:sz="0" w:space="0" w:color="auto"/>
            <w:bottom w:val="none" w:sz="0" w:space="0" w:color="auto"/>
            <w:right w:val="none" w:sz="0" w:space="0" w:color="auto"/>
          </w:divBdr>
          <w:divsChild>
            <w:div w:id="1878618619">
              <w:marLeft w:val="0"/>
              <w:marRight w:val="0"/>
              <w:marTop w:val="0"/>
              <w:marBottom w:val="0"/>
              <w:divBdr>
                <w:top w:val="none" w:sz="0" w:space="0" w:color="auto"/>
                <w:left w:val="none" w:sz="0" w:space="0" w:color="auto"/>
                <w:bottom w:val="none" w:sz="0" w:space="0" w:color="auto"/>
                <w:right w:val="none" w:sz="0" w:space="0" w:color="auto"/>
              </w:divBdr>
              <w:divsChild>
                <w:div w:id="726413195">
                  <w:marLeft w:val="0"/>
                  <w:marRight w:val="0"/>
                  <w:marTop w:val="0"/>
                  <w:marBottom w:val="0"/>
                  <w:divBdr>
                    <w:top w:val="none" w:sz="0" w:space="0" w:color="auto"/>
                    <w:left w:val="none" w:sz="0" w:space="0" w:color="auto"/>
                    <w:bottom w:val="none" w:sz="0" w:space="0" w:color="auto"/>
                    <w:right w:val="none" w:sz="0" w:space="0" w:color="auto"/>
                  </w:divBdr>
                  <w:divsChild>
                    <w:div w:id="1804813772">
                      <w:marLeft w:val="0"/>
                      <w:marRight w:val="0"/>
                      <w:marTop w:val="0"/>
                      <w:marBottom w:val="0"/>
                      <w:divBdr>
                        <w:top w:val="none" w:sz="0" w:space="0" w:color="auto"/>
                        <w:left w:val="none" w:sz="0" w:space="0" w:color="auto"/>
                        <w:bottom w:val="none" w:sz="0" w:space="0" w:color="auto"/>
                        <w:right w:val="none" w:sz="0" w:space="0" w:color="auto"/>
                      </w:divBdr>
                    </w:div>
                    <w:div w:id="881208568">
                      <w:marLeft w:val="0"/>
                      <w:marRight w:val="0"/>
                      <w:marTop w:val="0"/>
                      <w:marBottom w:val="0"/>
                      <w:divBdr>
                        <w:top w:val="none" w:sz="0" w:space="0" w:color="auto"/>
                        <w:left w:val="none" w:sz="0" w:space="0" w:color="auto"/>
                        <w:bottom w:val="none" w:sz="0" w:space="0" w:color="auto"/>
                        <w:right w:val="none" w:sz="0" w:space="0" w:color="auto"/>
                      </w:divBdr>
                    </w:div>
                    <w:div w:id="10979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13780">
      <w:bodyDiv w:val="1"/>
      <w:marLeft w:val="0"/>
      <w:marRight w:val="0"/>
      <w:marTop w:val="0"/>
      <w:marBottom w:val="0"/>
      <w:divBdr>
        <w:top w:val="none" w:sz="0" w:space="0" w:color="auto"/>
        <w:left w:val="none" w:sz="0" w:space="0" w:color="auto"/>
        <w:bottom w:val="none" w:sz="0" w:space="0" w:color="auto"/>
        <w:right w:val="none" w:sz="0" w:space="0" w:color="auto"/>
      </w:divBdr>
    </w:div>
    <w:div w:id="216012592">
      <w:bodyDiv w:val="1"/>
      <w:marLeft w:val="0"/>
      <w:marRight w:val="0"/>
      <w:marTop w:val="0"/>
      <w:marBottom w:val="0"/>
      <w:divBdr>
        <w:top w:val="none" w:sz="0" w:space="0" w:color="auto"/>
        <w:left w:val="none" w:sz="0" w:space="0" w:color="auto"/>
        <w:bottom w:val="none" w:sz="0" w:space="0" w:color="auto"/>
        <w:right w:val="none" w:sz="0" w:space="0" w:color="auto"/>
      </w:divBdr>
    </w:div>
    <w:div w:id="238908299">
      <w:bodyDiv w:val="1"/>
      <w:marLeft w:val="0"/>
      <w:marRight w:val="0"/>
      <w:marTop w:val="0"/>
      <w:marBottom w:val="0"/>
      <w:divBdr>
        <w:top w:val="none" w:sz="0" w:space="0" w:color="auto"/>
        <w:left w:val="none" w:sz="0" w:space="0" w:color="auto"/>
        <w:bottom w:val="none" w:sz="0" w:space="0" w:color="auto"/>
        <w:right w:val="none" w:sz="0" w:space="0" w:color="auto"/>
      </w:divBdr>
      <w:divsChild>
        <w:div w:id="1374231364">
          <w:marLeft w:val="0"/>
          <w:marRight w:val="0"/>
          <w:marTop w:val="120"/>
          <w:marBottom w:val="0"/>
          <w:divBdr>
            <w:top w:val="none" w:sz="0" w:space="0" w:color="auto"/>
            <w:left w:val="none" w:sz="0" w:space="0" w:color="auto"/>
            <w:bottom w:val="none" w:sz="0" w:space="0" w:color="auto"/>
            <w:right w:val="none" w:sz="0" w:space="0" w:color="auto"/>
          </w:divBdr>
        </w:div>
        <w:div w:id="528956914">
          <w:marLeft w:val="0"/>
          <w:marRight w:val="0"/>
          <w:marTop w:val="120"/>
          <w:marBottom w:val="0"/>
          <w:divBdr>
            <w:top w:val="none" w:sz="0" w:space="0" w:color="auto"/>
            <w:left w:val="none" w:sz="0" w:space="0" w:color="auto"/>
            <w:bottom w:val="none" w:sz="0" w:space="0" w:color="auto"/>
            <w:right w:val="none" w:sz="0" w:space="0" w:color="auto"/>
          </w:divBdr>
        </w:div>
      </w:divsChild>
    </w:div>
    <w:div w:id="410396307">
      <w:bodyDiv w:val="1"/>
      <w:marLeft w:val="0"/>
      <w:marRight w:val="0"/>
      <w:marTop w:val="0"/>
      <w:marBottom w:val="0"/>
      <w:divBdr>
        <w:top w:val="none" w:sz="0" w:space="0" w:color="auto"/>
        <w:left w:val="none" w:sz="0" w:space="0" w:color="auto"/>
        <w:bottom w:val="none" w:sz="0" w:space="0" w:color="auto"/>
        <w:right w:val="none" w:sz="0" w:space="0" w:color="auto"/>
      </w:divBdr>
    </w:div>
    <w:div w:id="587813463">
      <w:bodyDiv w:val="1"/>
      <w:marLeft w:val="0"/>
      <w:marRight w:val="0"/>
      <w:marTop w:val="0"/>
      <w:marBottom w:val="0"/>
      <w:divBdr>
        <w:top w:val="none" w:sz="0" w:space="0" w:color="auto"/>
        <w:left w:val="none" w:sz="0" w:space="0" w:color="auto"/>
        <w:bottom w:val="none" w:sz="0" w:space="0" w:color="auto"/>
        <w:right w:val="none" w:sz="0" w:space="0" w:color="auto"/>
      </w:divBdr>
      <w:divsChild>
        <w:div w:id="1146051169">
          <w:marLeft w:val="0"/>
          <w:marRight w:val="0"/>
          <w:marTop w:val="120"/>
          <w:marBottom w:val="0"/>
          <w:divBdr>
            <w:top w:val="none" w:sz="0" w:space="0" w:color="auto"/>
            <w:left w:val="none" w:sz="0" w:space="0" w:color="auto"/>
            <w:bottom w:val="none" w:sz="0" w:space="0" w:color="auto"/>
            <w:right w:val="none" w:sz="0" w:space="0" w:color="auto"/>
          </w:divBdr>
        </w:div>
        <w:div w:id="1759983673">
          <w:marLeft w:val="0"/>
          <w:marRight w:val="0"/>
          <w:marTop w:val="120"/>
          <w:marBottom w:val="0"/>
          <w:divBdr>
            <w:top w:val="none" w:sz="0" w:space="0" w:color="auto"/>
            <w:left w:val="none" w:sz="0" w:space="0" w:color="auto"/>
            <w:bottom w:val="none" w:sz="0" w:space="0" w:color="auto"/>
            <w:right w:val="none" w:sz="0" w:space="0" w:color="auto"/>
          </w:divBdr>
        </w:div>
        <w:div w:id="209654327">
          <w:marLeft w:val="0"/>
          <w:marRight w:val="0"/>
          <w:marTop w:val="60"/>
          <w:marBottom w:val="0"/>
          <w:divBdr>
            <w:top w:val="none" w:sz="0" w:space="0" w:color="auto"/>
            <w:left w:val="none" w:sz="0" w:space="0" w:color="auto"/>
            <w:bottom w:val="none" w:sz="0" w:space="0" w:color="auto"/>
            <w:right w:val="none" w:sz="0" w:space="0" w:color="auto"/>
          </w:divBdr>
        </w:div>
        <w:div w:id="1630235437">
          <w:marLeft w:val="0"/>
          <w:marRight w:val="0"/>
          <w:marTop w:val="60"/>
          <w:marBottom w:val="0"/>
          <w:divBdr>
            <w:top w:val="none" w:sz="0" w:space="0" w:color="auto"/>
            <w:left w:val="none" w:sz="0" w:space="0" w:color="auto"/>
            <w:bottom w:val="none" w:sz="0" w:space="0" w:color="auto"/>
            <w:right w:val="none" w:sz="0" w:space="0" w:color="auto"/>
          </w:divBdr>
        </w:div>
        <w:div w:id="1287392514">
          <w:marLeft w:val="0"/>
          <w:marRight w:val="0"/>
          <w:marTop w:val="60"/>
          <w:marBottom w:val="0"/>
          <w:divBdr>
            <w:top w:val="none" w:sz="0" w:space="0" w:color="auto"/>
            <w:left w:val="none" w:sz="0" w:space="0" w:color="auto"/>
            <w:bottom w:val="none" w:sz="0" w:space="0" w:color="auto"/>
            <w:right w:val="none" w:sz="0" w:space="0" w:color="auto"/>
          </w:divBdr>
        </w:div>
        <w:div w:id="602613115">
          <w:marLeft w:val="0"/>
          <w:marRight w:val="0"/>
          <w:marTop w:val="60"/>
          <w:marBottom w:val="0"/>
          <w:divBdr>
            <w:top w:val="none" w:sz="0" w:space="0" w:color="auto"/>
            <w:left w:val="none" w:sz="0" w:space="0" w:color="auto"/>
            <w:bottom w:val="none" w:sz="0" w:space="0" w:color="auto"/>
            <w:right w:val="none" w:sz="0" w:space="0" w:color="auto"/>
          </w:divBdr>
        </w:div>
        <w:div w:id="88812476">
          <w:marLeft w:val="851"/>
          <w:marRight w:val="0"/>
          <w:marTop w:val="60"/>
          <w:marBottom w:val="0"/>
          <w:divBdr>
            <w:top w:val="none" w:sz="0" w:space="0" w:color="auto"/>
            <w:left w:val="none" w:sz="0" w:space="0" w:color="auto"/>
            <w:bottom w:val="none" w:sz="0" w:space="0" w:color="auto"/>
            <w:right w:val="none" w:sz="0" w:space="0" w:color="auto"/>
          </w:divBdr>
        </w:div>
        <w:div w:id="1403599159">
          <w:marLeft w:val="851"/>
          <w:marRight w:val="0"/>
          <w:marTop w:val="60"/>
          <w:marBottom w:val="0"/>
          <w:divBdr>
            <w:top w:val="none" w:sz="0" w:space="0" w:color="auto"/>
            <w:left w:val="none" w:sz="0" w:space="0" w:color="auto"/>
            <w:bottom w:val="none" w:sz="0" w:space="0" w:color="auto"/>
            <w:right w:val="none" w:sz="0" w:space="0" w:color="auto"/>
          </w:divBdr>
        </w:div>
        <w:div w:id="422143276">
          <w:marLeft w:val="0"/>
          <w:marRight w:val="0"/>
          <w:marTop w:val="60"/>
          <w:marBottom w:val="0"/>
          <w:divBdr>
            <w:top w:val="none" w:sz="0" w:space="0" w:color="auto"/>
            <w:left w:val="none" w:sz="0" w:space="0" w:color="auto"/>
            <w:bottom w:val="none" w:sz="0" w:space="0" w:color="auto"/>
            <w:right w:val="none" w:sz="0" w:space="0" w:color="auto"/>
          </w:divBdr>
        </w:div>
        <w:div w:id="1933852314">
          <w:marLeft w:val="0"/>
          <w:marRight w:val="0"/>
          <w:marTop w:val="60"/>
          <w:marBottom w:val="0"/>
          <w:divBdr>
            <w:top w:val="none" w:sz="0" w:space="0" w:color="auto"/>
            <w:left w:val="none" w:sz="0" w:space="0" w:color="auto"/>
            <w:bottom w:val="none" w:sz="0" w:space="0" w:color="auto"/>
            <w:right w:val="none" w:sz="0" w:space="0" w:color="auto"/>
          </w:divBdr>
        </w:div>
        <w:div w:id="637761669">
          <w:marLeft w:val="0"/>
          <w:marRight w:val="0"/>
          <w:marTop w:val="60"/>
          <w:marBottom w:val="0"/>
          <w:divBdr>
            <w:top w:val="none" w:sz="0" w:space="0" w:color="auto"/>
            <w:left w:val="none" w:sz="0" w:space="0" w:color="auto"/>
            <w:bottom w:val="none" w:sz="0" w:space="0" w:color="auto"/>
            <w:right w:val="none" w:sz="0" w:space="0" w:color="auto"/>
          </w:divBdr>
        </w:div>
        <w:div w:id="884146814">
          <w:marLeft w:val="0"/>
          <w:marRight w:val="0"/>
          <w:marTop w:val="60"/>
          <w:marBottom w:val="0"/>
          <w:divBdr>
            <w:top w:val="none" w:sz="0" w:space="0" w:color="auto"/>
            <w:left w:val="none" w:sz="0" w:space="0" w:color="auto"/>
            <w:bottom w:val="none" w:sz="0" w:space="0" w:color="auto"/>
            <w:right w:val="none" w:sz="0" w:space="0" w:color="auto"/>
          </w:divBdr>
        </w:div>
      </w:divsChild>
    </w:div>
    <w:div w:id="860708548">
      <w:bodyDiv w:val="1"/>
      <w:marLeft w:val="0"/>
      <w:marRight w:val="0"/>
      <w:marTop w:val="0"/>
      <w:marBottom w:val="0"/>
      <w:divBdr>
        <w:top w:val="none" w:sz="0" w:space="0" w:color="auto"/>
        <w:left w:val="none" w:sz="0" w:space="0" w:color="auto"/>
        <w:bottom w:val="none" w:sz="0" w:space="0" w:color="auto"/>
        <w:right w:val="none" w:sz="0" w:space="0" w:color="auto"/>
      </w:divBdr>
      <w:divsChild>
        <w:div w:id="1361198593">
          <w:marLeft w:val="0"/>
          <w:marRight w:val="0"/>
          <w:marTop w:val="0"/>
          <w:marBottom w:val="225"/>
          <w:divBdr>
            <w:top w:val="single" w:sz="24" w:space="0" w:color="auto"/>
            <w:left w:val="single" w:sz="24" w:space="0" w:color="auto"/>
            <w:bottom w:val="single" w:sz="36" w:space="0" w:color="003300"/>
            <w:right w:val="single" w:sz="24" w:space="0" w:color="auto"/>
          </w:divBdr>
          <w:divsChild>
            <w:div w:id="673192514">
              <w:marLeft w:val="0"/>
              <w:marRight w:val="0"/>
              <w:marTop w:val="0"/>
              <w:marBottom w:val="0"/>
              <w:divBdr>
                <w:top w:val="none" w:sz="0" w:space="0" w:color="auto"/>
                <w:left w:val="none" w:sz="0" w:space="0" w:color="auto"/>
                <w:bottom w:val="none" w:sz="0" w:space="0" w:color="auto"/>
                <w:right w:val="none" w:sz="0" w:space="0" w:color="auto"/>
              </w:divBdr>
            </w:div>
          </w:divsChild>
        </w:div>
        <w:div w:id="361367023">
          <w:marLeft w:val="0"/>
          <w:marRight w:val="0"/>
          <w:marTop w:val="0"/>
          <w:marBottom w:val="0"/>
          <w:divBdr>
            <w:top w:val="none" w:sz="0" w:space="0" w:color="auto"/>
            <w:left w:val="none" w:sz="0" w:space="0" w:color="auto"/>
            <w:bottom w:val="none" w:sz="0" w:space="0" w:color="auto"/>
            <w:right w:val="none" w:sz="0" w:space="0" w:color="auto"/>
          </w:divBdr>
          <w:divsChild>
            <w:div w:id="425730868">
              <w:marLeft w:val="0"/>
              <w:marRight w:val="0"/>
              <w:marTop w:val="0"/>
              <w:marBottom w:val="0"/>
              <w:divBdr>
                <w:top w:val="none" w:sz="0" w:space="0" w:color="auto"/>
                <w:left w:val="none" w:sz="0" w:space="0" w:color="auto"/>
                <w:bottom w:val="none" w:sz="0" w:space="0" w:color="auto"/>
                <w:right w:val="none" w:sz="0" w:space="0" w:color="auto"/>
              </w:divBdr>
              <w:divsChild>
                <w:div w:id="168717147">
                  <w:marLeft w:val="0"/>
                  <w:marRight w:val="0"/>
                  <w:marTop w:val="0"/>
                  <w:marBottom w:val="0"/>
                  <w:divBdr>
                    <w:top w:val="none" w:sz="0" w:space="0" w:color="auto"/>
                    <w:left w:val="none" w:sz="0" w:space="0" w:color="auto"/>
                    <w:bottom w:val="none" w:sz="0" w:space="0" w:color="auto"/>
                    <w:right w:val="none" w:sz="0" w:space="0" w:color="auto"/>
                  </w:divBdr>
                  <w:divsChild>
                    <w:div w:id="1775173686">
                      <w:marLeft w:val="0"/>
                      <w:marRight w:val="0"/>
                      <w:marTop w:val="0"/>
                      <w:marBottom w:val="0"/>
                      <w:divBdr>
                        <w:top w:val="none" w:sz="0" w:space="0" w:color="auto"/>
                        <w:left w:val="none" w:sz="0" w:space="0" w:color="auto"/>
                        <w:bottom w:val="none" w:sz="0" w:space="0" w:color="auto"/>
                        <w:right w:val="none" w:sz="0" w:space="0" w:color="auto"/>
                      </w:divBdr>
                    </w:div>
                    <w:div w:id="457070051">
                      <w:marLeft w:val="0"/>
                      <w:marRight w:val="0"/>
                      <w:marTop w:val="0"/>
                      <w:marBottom w:val="0"/>
                      <w:divBdr>
                        <w:top w:val="none" w:sz="0" w:space="0" w:color="auto"/>
                        <w:left w:val="none" w:sz="0" w:space="0" w:color="auto"/>
                        <w:bottom w:val="none" w:sz="0" w:space="0" w:color="auto"/>
                        <w:right w:val="none" w:sz="0" w:space="0" w:color="auto"/>
                      </w:divBdr>
                    </w:div>
                    <w:div w:id="2712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74044">
      <w:bodyDiv w:val="1"/>
      <w:marLeft w:val="0"/>
      <w:marRight w:val="0"/>
      <w:marTop w:val="0"/>
      <w:marBottom w:val="0"/>
      <w:divBdr>
        <w:top w:val="none" w:sz="0" w:space="0" w:color="auto"/>
        <w:left w:val="none" w:sz="0" w:space="0" w:color="auto"/>
        <w:bottom w:val="none" w:sz="0" w:space="0" w:color="auto"/>
        <w:right w:val="none" w:sz="0" w:space="0" w:color="auto"/>
      </w:divBdr>
    </w:div>
    <w:div w:id="1170096900">
      <w:bodyDiv w:val="1"/>
      <w:marLeft w:val="0"/>
      <w:marRight w:val="0"/>
      <w:marTop w:val="0"/>
      <w:marBottom w:val="0"/>
      <w:divBdr>
        <w:top w:val="none" w:sz="0" w:space="0" w:color="auto"/>
        <w:left w:val="none" w:sz="0" w:space="0" w:color="auto"/>
        <w:bottom w:val="none" w:sz="0" w:space="0" w:color="auto"/>
        <w:right w:val="none" w:sz="0" w:space="0" w:color="auto"/>
      </w:divBdr>
    </w:div>
    <w:div w:id="1423379198">
      <w:bodyDiv w:val="1"/>
      <w:marLeft w:val="0"/>
      <w:marRight w:val="0"/>
      <w:marTop w:val="0"/>
      <w:marBottom w:val="0"/>
      <w:divBdr>
        <w:top w:val="none" w:sz="0" w:space="0" w:color="auto"/>
        <w:left w:val="none" w:sz="0" w:space="0" w:color="auto"/>
        <w:bottom w:val="none" w:sz="0" w:space="0" w:color="auto"/>
        <w:right w:val="none" w:sz="0" w:space="0" w:color="auto"/>
      </w:divBdr>
    </w:div>
    <w:div w:id="156580020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2009215285">
      <w:bodyDiv w:val="1"/>
      <w:marLeft w:val="0"/>
      <w:marRight w:val="0"/>
      <w:marTop w:val="0"/>
      <w:marBottom w:val="0"/>
      <w:divBdr>
        <w:top w:val="none" w:sz="0" w:space="0" w:color="auto"/>
        <w:left w:val="none" w:sz="0" w:space="0" w:color="auto"/>
        <w:bottom w:val="none" w:sz="0" w:space="0" w:color="auto"/>
        <w:right w:val="none" w:sz="0" w:space="0" w:color="auto"/>
      </w:divBdr>
    </w:div>
    <w:div w:id="202920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2702</Words>
  <Characters>15404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Nobahle Mangcu-Lockwood</dc:creator>
  <cp:keywords/>
  <dc:description/>
  <cp:lastModifiedBy>Mary Bruce</cp:lastModifiedBy>
  <cp:revision>7</cp:revision>
  <cp:lastPrinted>2021-07-21T13:51:00Z</cp:lastPrinted>
  <dcterms:created xsi:type="dcterms:W3CDTF">2021-07-21T13:48:00Z</dcterms:created>
  <dcterms:modified xsi:type="dcterms:W3CDTF">2022-10-28T07:03:00Z</dcterms:modified>
</cp:coreProperties>
</file>