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0B985" w14:textId="3CB8E307" w:rsidR="00841C8A" w:rsidRPr="00F76E96" w:rsidRDefault="00841C8A" w:rsidP="00841C8A">
      <w:pPr>
        <w:jc w:val="center"/>
      </w:pPr>
      <w:bookmarkStart w:id="0" w:name="_GoBack"/>
      <w:bookmarkEnd w:id="0"/>
      <w:r w:rsidRPr="00854F95">
        <w:rPr>
          <w:b/>
          <w:noProof/>
          <w:lang w:val="en-ZA" w:eastAsia="en-ZA"/>
        </w:rPr>
        <w:drawing>
          <wp:anchor distT="0" distB="0" distL="114300" distR="114300" simplePos="0" relativeHeight="251659264" behindDoc="0" locked="0" layoutInCell="1" allowOverlap="1" wp14:anchorId="574DEC51" wp14:editId="6373FC13">
            <wp:simplePos x="0" y="0"/>
            <wp:positionH relativeFrom="column">
              <wp:posOffset>2000250</wp:posOffset>
            </wp:positionH>
            <wp:positionV relativeFrom="paragraph">
              <wp:posOffset>260350</wp:posOffset>
            </wp:positionV>
            <wp:extent cx="1497600" cy="145440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600" cy="145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6E96">
        <w:rPr>
          <w:b/>
          <w:bCs/>
        </w:rPr>
        <w:tab/>
      </w:r>
      <w:r w:rsidR="00F76E96">
        <w:rPr>
          <w:b/>
          <w:bCs/>
        </w:rPr>
        <w:tab/>
      </w:r>
      <w:r w:rsidR="00F76E96">
        <w:rPr>
          <w:b/>
          <w:bCs/>
        </w:rPr>
        <w:tab/>
      </w:r>
      <w:r w:rsidR="00F76E96">
        <w:rPr>
          <w:b/>
          <w:bCs/>
        </w:rPr>
        <w:tab/>
      </w:r>
      <w:r w:rsidR="00F76E96">
        <w:rPr>
          <w:b/>
          <w:bCs/>
        </w:rPr>
        <w:tab/>
      </w:r>
      <w:r w:rsidR="00F76E96">
        <w:rPr>
          <w:b/>
          <w:bCs/>
        </w:rPr>
        <w:tab/>
      </w:r>
      <w:r w:rsidR="00F76E96">
        <w:rPr>
          <w:b/>
          <w:bCs/>
        </w:rPr>
        <w:tab/>
      </w:r>
      <w:r w:rsidR="00F76E96">
        <w:rPr>
          <w:b/>
          <w:bCs/>
        </w:rPr>
        <w:tab/>
      </w:r>
      <w:r w:rsidR="00F76E96">
        <w:t>Reportable</w:t>
      </w:r>
    </w:p>
    <w:p w14:paraId="3B121AA0" w14:textId="77777777" w:rsidR="00841C8A" w:rsidRDefault="00841C8A" w:rsidP="00841C8A">
      <w:pPr>
        <w:jc w:val="center"/>
        <w:rPr>
          <w:b/>
          <w:bCs/>
        </w:rPr>
      </w:pPr>
    </w:p>
    <w:p w14:paraId="1D4F47F8" w14:textId="35B9FC55" w:rsidR="009C373D" w:rsidRDefault="009C373D" w:rsidP="00841C8A">
      <w:pPr>
        <w:jc w:val="center"/>
        <w:rPr>
          <w:b/>
          <w:bCs/>
        </w:rPr>
      </w:pPr>
      <w:r>
        <w:rPr>
          <w:b/>
          <w:bCs/>
        </w:rPr>
        <w:t>IN THE HIGH COURT OF SOUTH AFRICA</w:t>
      </w:r>
    </w:p>
    <w:p w14:paraId="0588BB3B" w14:textId="4E6C5B65" w:rsidR="009C373D" w:rsidRDefault="009C373D" w:rsidP="00841C8A">
      <w:pPr>
        <w:jc w:val="center"/>
        <w:rPr>
          <w:b/>
          <w:bCs/>
        </w:rPr>
      </w:pPr>
      <w:r>
        <w:rPr>
          <w:b/>
          <w:bCs/>
        </w:rPr>
        <w:t>(WESTERN CAPE DIVISION, CAPE TOWN)</w:t>
      </w:r>
    </w:p>
    <w:p w14:paraId="2DFB04CA" w14:textId="77777777" w:rsidR="00841C8A" w:rsidRDefault="00841C8A" w:rsidP="00841C8A">
      <w:pPr>
        <w:jc w:val="center"/>
        <w:rPr>
          <w:b/>
          <w:bCs/>
        </w:rPr>
      </w:pPr>
    </w:p>
    <w:p w14:paraId="73FFB047" w14:textId="4B2978BB" w:rsidR="009C373D" w:rsidRDefault="009C373D" w:rsidP="009C373D">
      <w:pPr>
        <w:spacing w:line="480" w:lineRule="auto"/>
        <w:jc w:val="center"/>
      </w:pPr>
      <w:r>
        <w:t xml:space="preserve">                                                                                                    Case No: 15203/2020</w:t>
      </w:r>
    </w:p>
    <w:p w14:paraId="331A98F1" w14:textId="77777777" w:rsidR="009C373D" w:rsidRDefault="009C373D" w:rsidP="009C373D">
      <w:pPr>
        <w:spacing w:line="480" w:lineRule="auto"/>
      </w:pPr>
      <w:r>
        <w:t>In the matter between:</w:t>
      </w:r>
    </w:p>
    <w:p w14:paraId="1E6A26DA" w14:textId="77777777" w:rsidR="009C373D" w:rsidRDefault="009C373D" w:rsidP="009C373D">
      <w:pPr>
        <w:spacing w:line="480" w:lineRule="auto"/>
      </w:pPr>
      <w:r>
        <w:rPr>
          <w:b/>
          <w:bCs/>
        </w:rPr>
        <w:t>KIM PEREIRA SERRAO DA RIBEIRA N.O.</w:t>
      </w:r>
      <w:r>
        <w:rPr>
          <w:b/>
          <w:bCs/>
        </w:rPr>
        <w:tab/>
      </w:r>
      <w:r>
        <w:rPr>
          <w:b/>
          <w:bCs/>
        </w:rPr>
        <w:tab/>
      </w:r>
      <w:r>
        <w:rPr>
          <w:b/>
          <w:bCs/>
        </w:rPr>
        <w:tab/>
      </w:r>
      <w:r>
        <w:rPr>
          <w:b/>
          <w:bCs/>
        </w:rPr>
        <w:tab/>
        <w:t xml:space="preserve">       </w:t>
      </w:r>
      <w:r>
        <w:t>First Plaintiff</w:t>
      </w:r>
    </w:p>
    <w:p w14:paraId="69612FBE" w14:textId="77777777" w:rsidR="009C373D" w:rsidRDefault="009C373D" w:rsidP="009C373D">
      <w:pPr>
        <w:spacing w:line="480" w:lineRule="auto"/>
      </w:pPr>
      <w:r>
        <w:rPr>
          <w:b/>
          <w:bCs/>
        </w:rPr>
        <w:t>RAIL PEREIRA SERRAO DA RIBIERA N.O.</w:t>
      </w:r>
      <w:r>
        <w:rPr>
          <w:b/>
          <w:bCs/>
        </w:rPr>
        <w:tab/>
      </w:r>
      <w:r>
        <w:rPr>
          <w:b/>
          <w:bCs/>
        </w:rPr>
        <w:tab/>
      </w:r>
      <w:r>
        <w:rPr>
          <w:b/>
          <w:bCs/>
        </w:rPr>
        <w:tab/>
      </w:r>
      <w:r>
        <w:rPr>
          <w:b/>
          <w:bCs/>
        </w:rPr>
        <w:tab/>
        <w:t xml:space="preserve">  </w:t>
      </w:r>
      <w:r>
        <w:t>Second Plaintiff</w:t>
      </w:r>
    </w:p>
    <w:p w14:paraId="50716EDA" w14:textId="77777777" w:rsidR="009C373D" w:rsidRDefault="009C373D" w:rsidP="009C373D">
      <w:pPr>
        <w:spacing w:line="480" w:lineRule="auto"/>
      </w:pPr>
      <w:r>
        <w:rPr>
          <w:b/>
          <w:bCs/>
        </w:rPr>
        <w:t>SAMANTHA PEREIRA SERRAO DA RIBIERA N.O.</w:t>
      </w:r>
      <w:r>
        <w:rPr>
          <w:b/>
          <w:bCs/>
        </w:rPr>
        <w:tab/>
      </w:r>
      <w:r>
        <w:tab/>
      </w:r>
      <w:r>
        <w:tab/>
        <w:t xml:space="preserve">      Third Plaintiff</w:t>
      </w:r>
    </w:p>
    <w:p w14:paraId="2AB69171" w14:textId="77777777" w:rsidR="009C373D" w:rsidRDefault="009C373D" w:rsidP="009C373D">
      <w:pPr>
        <w:spacing w:line="480" w:lineRule="auto"/>
      </w:pPr>
      <w:r>
        <w:rPr>
          <w:b/>
          <w:bCs/>
        </w:rPr>
        <w:t>CHRISTINA ELIZABETH LE ROUX</w:t>
      </w:r>
      <w:r>
        <w:rPr>
          <w:b/>
          <w:bCs/>
        </w:rPr>
        <w:tab/>
      </w:r>
      <w:r>
        <w:rPr>
          <w:b/>
          <w:bCs/>
        </w:rPr>
        <w:tab/>
      </w:r>
      <w:r>
        <w:rPr>
          <w:b/>
          <w:bCs/>
        </w:rPr>
        <w:tab/>
      </w:r>
      <w:r>
        <w:rPr>
          <w:b/>
          <w:bCs/>
        </w:rPr>
        <w:tab/>
      </w:r>
      <w:r>
        <w:rPr>
          <w:b/>
          <w:bCs/>
        </w:rPr>
        <w:tab/>
        <w:t xml:space="preserve">    </w:t>
      </w:r>
      <w:r>
        <w:t>Fourth Plaintiff</w:t>
      </w:r>
    </w:p>
    <w:p w14:paraId="38F65346" w14:textId="77777777" w:rsidR="009C373D" w:rsidRDefault="009C373D" w:rsidP="009C373D">
      <w:pPr>
        <w:spacing w:line="480" w:lineRule="auto"/>
      </w:pPr>
      <w:r>
        <w:t xml:space="preserve">and </w:t>
      </w:r>
    </w:p>
    <w:p w14:paraId="5CE5793F" w14:textId="77777777" w:rsidR="009C373D" w:rsidRDefault="009C373D" w:rsidP="009C373D">
      <w:pPr>
        <w:spacing w:line="480" w:lineRule="auto"/>
      </w:pPr>
      <w:r>
        <w:rPr>
          <w:b/>
          <w:bCs/>
        </w:rPr>
        <w:t xml:space="preserve">WILLEM PETRUS WOUDBERG </w:t>
      </w:r>
      <w:r>
        <w:rPr>
          <w:b/>
          <w:bCs/>
        </w:rPr>
        <w:tab/>
      </w:r>
      <w:r>
        <w:rPr>
          <w:b/>
          <w:bCs/>
        </w:rPr>
        <w:tab/>
      </w:r>
      <w:r>
        <w:rPr>
          <w:b/>
          <w:bCs/>
        </w:rPr>
        <w:tab/>
      </w:r>
      <w:r>
        <w:rPr>
          <w:b/>
          <w:bCs/>
        </w:rPr>
        <w:tab/>
      </w:r>
      <w:r>
        <w:rPr>
          <w:b/>
          <w:bCs/>
        </w:rPr>
        <w:tab/>
      </w:r>
      <w:r>
        <w:rPr>
          <w:b/>
          <w:bCs/>
        </w:rPr>
        <w:tab/>
        <w:t xml:space="preserve">  </w:t>
      </w:r>
      <w:r>
        <w:t>First Defendant</w:t>
      </w:r>
    </w:p>
    <w:p w14:paraId="6A695767" w14:textId="77777777" w:rsidR="009C373D" w:rsidRDefault="009C373D" w:rsidP="009C373D">
      <w:pPr>
        <w:spacing w:line="480" w:lineRule="auto"/>
      </w:pPr>
      <w:r>
        <w:rPr>
          <w:b/>
          <w:bCs/>
        </w:rPr>
        <w:t>WERNER JANSE VAN RENSBURG N.O.</w:t>
      </w:r>
      <w:r>
        <w:rPr>
          <w:b/>
          <w:bCs/>
        </w:rPr>
        <w:tab/>
      </w:r>
      <w:r>
        <w:rPr>
          <w:b/>
          <w:bCs/>
        </w:rPr>
        <w:tab/>
      </w:r>
      <w:r>
        <w:rPr>
          <w:b/>
          <w:bCs/>
        </w:rPr>
        <w:tab/>
        <w:t xml:space="preserve">        </w:t>
      </w:r>
      <w:r>
        <w:t>Second Defendant</w:t>
      </w:r>
    </w:p>
    <w:p w14:paraId="664AEB60" w14:textId="77777777" w:rsidR="009C373D" w:rsidRDefault="009C373D" w:rsidP="009C373D">
      <w:pPr>
        <w:spacing w:line="276" w:lineRule="auto"/>
        <w:rPr>
          <w:b/>
          <w:bCs/>
        </w:rPr>
      </w:pPr>
      <w:r>
        <w:rPr>
          <w:b/>
          <w:bCs/>
        </w:rPr>
        <w:t xml:space="preserve">THE TRUSTEES FOR THE TIME </w:t>
      </w:r>
    </w:p>
    <w:p w14:paraId="63349D5C" w14:textId="77777777" w:rsidR="009C373D" w:rsidRDefault="009C373D" w:rsidP="009C373D">
      <w:pPr>
        <w:spacing w:line="480" w:lineRule="auto"/>
      </w:pPr>
      <w:r>
        <w:rPr>
          <w:b/>
          <w:bCs/>
        </w:rPr>
        <w:t>BEING OF THE ESLO TRUST</w:t>
      </w:r>
      <w:r>
        <w:rPr>
          <w:b/>
          <w:bCs/>
        </w:rPr>
        <w:tab/>
      </w:r>
      <w:r>
        <w:rPr>
          <w:b/>
          <w:bCs/>
        </w:rPr>
        <w:tab/>
      </w:r>
      <w:r>
        <w:rPr>
          <w:b/>
          <w:bCs/>
        </w:rPr>
        <w:tab/>
      </w:r>
      <w:r>
        <w:rPr>
          <w:b/>
          <w:bCs/>
        </w:rPr>
        <w:tab/>
      </w:r>
      <w:r>
        <w:rPr>
          <w:b/>
          <w:bCs/>
        </w:rPr>
        <w:tab/>
      </w:r>
      <w:r>
        <w:rPr>
          <w:b/>
          <w:bCs/>
        </w:rPr>
        <w:tab/>
        <w:t xml:space="preserve"> </w:t>
      </w:r>
      <w:r>
        <w:t>Third Defendant</w:t>
      </w:r>
    </w:p>
    <w:p w14:paraId="7485CA4E" w14:textId="77777777" w:rsidR="009C373D" w:rsidRPr="008F4816" w:rsidRDefault="009C373D" w:rsidP="009C373D">
      <w:pPr>
        <w:spacing w:line="276" w:lineRule="auto"/>
        <w:rPr>
          <w:b/>
          <w:bCs/>
        </w:rPr>
      </w:pPr>
      <w:r w:rsidRPr="008F4816">
        <w:rPr>
          <w:b/>
          <w:bCs/>
        </w:rPr>
        <w:t>THE TRUSTEES FOR THE TIME</w:t>
      </w:r>
    </w:p>
    <w:p w14:paraId="4BAF0427" w14:textId="77777777" w:rsidR="009C373D" w:rsidRPr="008F4816" w:rsidRDefault="009C373D" w:rsidP="009C373D">
      <w:pPr>
        <w:spacing w:line="480" w:lineRule="auto"/>
      </w:pPr>
      <w:r w:rsidRPr="008F4816">
        <w:rPr>
          <w:b/>
          <w:bCs/>
        </w:rPr>
        <w:t>BEING OF THE SONADOR TRUST</w:t>
      </w:r>
      <w:r>
        <w:rPr>
          <w:b/>
          <w:bCs/>
        </w:rPr>
        <w:tab/>
      </w:r>
      <w:r>
        <w:rPr>
          <w:b/>
          <w:bCs/>
        </w:rPr>
        <w:tab/>
      </w:r>
      <w:r>
        <w:rPr>
          <w:b/>
          <w:bCs/>
        </w:rPr>
        <w:tab/>
      </w:r>
      <w:r>
        <w:rPr>
          <w:b/>
          <w:bCs/>
        </w:rPr>
        <w:tab/>
        <w:t xml:space="preserve">          </w:t>
      </w:r>
      <w:r>
        <w:t>Fourth Defendant</w:t>
      </w:r>
    </w:p>
    <w:p w14:paraId="143F22B7" w14:textId="77777777" w:rsidR="009C373D" w:rsidRDefault="009C373D" w:rsidP="009C373D">
      <w:pPr>
        <w:spacing w:line="276" w:lineRule="auto"/>
        <w:rPr>
          <w:b/>
          <w:bCs/>
        </w:rPr>
      </w:pPr>
      <w:r>
        <w:rPr>
          <w:b/>
          <w:bCs/>
        </w:rPr>
        <w:t>EXECUTRIX ESTATE LATE PETRONELLA</w:t>
      </w:r>
    </w:p>
    <w:p w14:paraId="55237216" w14:textId="77777777" w:rsidR="009C373D" w:rsidRDefault="009C373D" w:rsidP="009C373D">
      <w:pPr>
        <w:spacing w:line="480" w:lineRule="auto"/>
      </w:pPr>
      <w:r>
        <w:rPr>
          <w:b/>
          <w:bCs/>
        </w:rPr>
        <w:t>JANSE VAN RENSBURG</w:t>
      </w:r>
      <w:r>
        <w:rPr>
          <w:b/>
          <w:bCs/>
        </w:rPr>
        <w:tab/>
      </w:r>
      <w:r>
        <w:rPr>
          <w:b/>
          <w:bCs/>
        </w:rPr>
        <w:tab/>
      </w:r>
      <w:r>
        <w:rPr>
          <w:b/>
          <w:bCs/>
        </w:rPr>
        <w:tab/>
      </w:r>
      <w:r>
        <w:rPr>
          <w:b/>
          <w:bCs/>
        </w:rPr>
        <w:tab/>
      </w:r>
      <w:r>
        <w:rPr>
          <w:b/>
          <w:bCs/>
        </w:rPr>
        <w:tab/>
      </w:r>
      <w:r>
        <w:rPr>
          <w:b/>
          <w:bCs/>
        </w:rPr>
        <w:tab/>
        <w:t xml:space="preserve">             </w:t>
      </w:r>
      <w:r>
        <w:t>Fifth Defendant</w:t>
      </w:r>
    </w:p>
    <w:p w14:paraId="4BDCAB41" w14:textId="77777777" w:rsidR="009C373D" w:rsidRDefault="009C373D" w:rsidP="009C373D">
      <w:pPr>
        <w:spacing w:line="480" w:lineRule="auto"/>
      </w:pPr>
      <w:r>
        <w:rPr>
          <w:b/>
          <w:bCs/>
        </w:rPr>
        <w:t>COSMIC GOLD TRADING 575 CC</w:t>
      </w:r>
      <w:r>
        <w:rPr>
          <w:b/>
          <w:bCs/>
        </w:rPr>
        <w:tab/>
      </w:r>
      <w:r>
        <w:rPr>
          <w:b/>
          <w:bCs/>
        </w:rPr>
        <w:tab/>
      </w:r>
      <w:r>
        <w:rPr>
          <w:b/>
          <w:bCs/>
        </w:rPr>
        <w:tab/>
      </w:r>
      <w:r>
        <w:rPr>
          <w:b/>
          <w:bCs/>
        </w:rPr>
        <w:tab/>
      </w:r>
      <w:r>
        <w:rPr>
          <w:b/>
          <w:bCs/>
        </w:rPr>
        <w:tab/>
        <w:t xml:space="preserve"> </w:t>
      </w:r>
      <w:r>
        <w:t>Sixth Defendant</w:t>
      </w:r>
    </w:p>
    <w:p w14:paraId="5437FBD8" w14:textId="03A138A1" w:rsidR="005B455D" w:rsidRDefault="009C373D" w:rsidP="009C373D">
      <w:pPr>
        <w:pBdr>
          <w:bottom w:val="single" w:sz="12" w:space="1" w:color="auto"/>
        </w:pBdr>
        <w:spacing w:line="480" w:lineRule="auto"/>
      </w:pPr>
      <w:r>
        <w:rPr>
          <w:b/>
          <w:bCs/>
        </w:rPr>
        <w:t xml:space="preserve">GERRIT LE ROUX </w:t>
      </w:r>
      <w:r>
        <w:rPr>
          <w:b/>
          <w:bCs/>
        </w:rPr>
        <w:tab/>
      </w:r>
      <w:r>
        <w:rPr>
          <w:b/>
          <w:bCs/>
        </w:rPr>
        <w:tab/>
      </w:r>
      <w:r>
        <w:rPr>
          <w:b/>
          <w:bCs/>
        </w:rPr>
        <w:tab/>
      </w:r>
      <w:r>
        <w:rPr>
          <w:b/>
          <w:bCs/>
        </w:rPr>
        <w:tab/>
      </w:r>
      <w:r>
        <w:rPr>
          <w:b/>
          <w:bCs/>
        </w:rPr>
        <w:tab/>
      </w:r>
      <w:r>
        <w:rPr>
          <w:b/>
          <w:bCs/>
        </w:rPr>
        <w:tab/>
      </w:r>
      <w:r>
        <w:rPr>
          <w:b/>
          <w:bCs/>
        </w:rPr>
        <w:tab/>
        <w:t xml:space="preserve">       </w:t>
      </w:r>
      <w:r>
        <w:t>Seventh Defendant</w:t>
      </w:r>
    </w:p>
    <w:p w14:paraId="5B0619AE" w14:textId="7026AC4C" w:rsidR="00841C8A" w:rsidRDefault="00F76E96" w:rsidP="009C373D">
      <w:pPr>
        <w:pBdr>
          <w:bottom w:val="single" w:sz="12" w:space="1" w:color="auto"/>
        </w:pBdr>
        <w:spacing w:line="480" w:lineRule="auto"/>
      </w:pPr>
      <w:r>
        <w:t xml:space="preserve">Coram: </w:t>
      </w:r>
      <w:r>
        <w:tab/>
        <w:t>De Wet AJ</w:t>
      </w:r>
    </w:p>
    <w:p w14:paraId="0A4F6A1C" w14:textId="3566D028" w:rsidR="00841C8A" w:rsidRDefault="00841C8A" w:rsidP="00841C8A">
      <w:pPr>
        <w:pBdr>
          <w:bottom w:val="single" w:sz="12" w:space="1" w:color="auto"/>
        </w:pBdr>
        <w:jc w:val="both"/>
      </w:pPr>
      <w:r>
        <w:t xml:space="preserve">Date </w:t>
      </w:r>
      <w:r w:rsidRPr="00A82C3D">
        <w:t xml:space="preserve">of Judgment: This judgment was handed down electronically by circulation to the parties’ legal representatives by email. The date and time </w:t>
      </w:r>
      <w:r>
        <w:t>of</w:t>
      </w:r>
      <w:r w:rsidRPr="00A82C3D">
        <w:t xml:space="preserve"> handing down judgment is deemed to be </w:t>
      </w:r>
      <w:r w:rsidR="00050420">
        <w:t>1</w:t>
      </w:r>
      <w:r w:rsidR="008D2494">
        <w:t>4</w:t>
      </w:r>
      <w:r w:rsidR="00050420">
        <w:t xml:space="preserve">h00 on </w:t>
      </w:r>
      <w:r w:rsidR="002820F4">
        <w:t>2</w:t>
      </w:r>
      <w:r w:rsidR="004D55D3">
        <w:t>3</w:t>
      </w:r>
      <w:r w:rsidR="00050420">
        <w:t xml:space="preserve"> </w:t>
      </w:r>
      <w:r w:rsidR="00BD6D1D" w:rsidRPr="00050420">
        <w:t>S</w:t>
      </w:r>
      <w:r w:rsidR="00050420">
        <w:t xml:space="preserve">eptember </w:t>
      </w:r>
      <w:r>
        <w:t>2022.</w:t>
      </w:r>
    </w:p>
    <w:p w14:paraId="750A863F" w14:textId="29EFF158" w:rsidR="00841C8A" w:rsidRDefault="00841C8A" w:rsidP="009C373D">
      <w:pPr>
        <w:pBdr>
          <w:bottom w:val="single" w:sz="12" w:space="1" w:color="auto"/>
        </w:pBdr>
        <w:spacing w:line="480" w:lineRule="auto"/>
      </w:pPr>
    </w:p>
    <w:p w14:paraId="7BDC8CB4" w14:textId="77777777" w:rsidR="00841C8A" w:rsidRDefault="00841C8A" w:rsidP="00674B99">
      <w:pPr>
        <w:spacing w:line="360" w:lineRule="auto"/>
        <w:jc w:val="center"/>
        <w:rPr>
          <w:b/>
          <w:bCs/>
        </w:rPr>
      </w:pPr>
    </w:p>
    <w:p w14:paraId="5685CCA1" w14:textId="79A23444" w:rsidR="009C373D" w:rsidRPr="00C83252" w:rsidRDefault="00431667" w:rsidP="00674B99">
      <w:pPr>
        <w:spacing w:line="360" w:lineRule="auto"/>
        <w:jc w:val="center"/>
        <w:rPr>
          <w:b/>
          <w:bCs/>
        </w:rPr>
      </w:pPr>
      <w:r>
        <w:rPr>
          <w:b/>
          <w:bCs/>
        </w:rPr>
        <w:t xml:space="preserve"> </w:t>
      </w:r>
      <w:r w:rsidR="00841C8A">
        <w:rPr>
          <w:b/>
          <w:bCs/>
        </w:rPr>
        <w:t>JUDGMENT</w:t>
      </w:r>
      <w:r w:rsidR="003C2855">
        <w:rPr>
          <w:b/>
          <w:bCs/>
        </w:rPr>
        <w:t xml:space="preserve"> </w:t>
      </w:r>
      <w:r w:rsidR="009C373D" w:rsidRPr="00C83252">
        <w:rPr>
          <w:b/>
          <w:bCs/>
        </w:rPr>
        <w:t>___________________________________________________________________</w:t>
      </w:r>
    </w:p>
    <w:p w14:paraId="081DA94B" w14:textId="4D3F02EB" w:rsidR="005B19AA" w:rsidRDefault="005B19AA" w:rsidP="00147444">
      <w:pPr>
        <w:spacing w:before="240" w:after="240" w:line="480" w:lineRule="auto"/>
        <w:jc w:val="both"/>
        <w:rPr>
          <w:b/>
          <w:bCs/>
          <w:u w:val="single"/>
          <w:lang w:val="en-ZA"/>
        </w:rPr>
      </w:pPr>
      <w:r>
        <w:rPr>
          <w:b/>
          <w:bCs/>
          <w:u w:val="single"/>
          <w:lang w:val="en-ZA"/>
        </w:rPr>
        <w:t>DE WET AJ</w:t>
      </w:r>
    </w:p>
    <w:p w14:paraId="5C36125E" w14:textId="51C88AAD" w:rsidR="00147444" w:rsidRDefault="00147444" w:rsidP="00725885">
      <w:pPr>
        <w:spacing w:before="240" w:after="240" w:line="480" w:lineRule="auto"/>
        <w:jc w:val="both"/>
        <w:rPr>
          <w:b/>
          <w:bCs/>
          <w:u w:val="single"/>
          <w:lang w:val="en-ZA"/>
        </w:rPr>
      </w:pPr>
      <w:r w:rsidRPr="00147444">
        <w:rPr>
          <w:b/>
          <w:bCs/>
          <w:u w:val="single"/>
          <w:lang w:val="en-ZA"/>
        </w:rPr>
        <w:t>I</w:t>
      </w:r>
      <w:r w:rsidR="00F76E96">
        <w:rPr>
          <w:b/>
          <w:bCs/>
          <w:u w:val="single"/>
          <w:lang w:val="en-ZA"/>
        </w:rPr>
        <w:t>ntroduction:</w:t>
      </w:r>
      <w:r w:rsidRPr="00147444">
        <w:rPr>
          <w:b/>
          <w:bCs/>
          <w:u w:val="single"/>
          <w:lang w:val="en-ZA"/>
        </w:rPr>
        <w:t xml:space="preserve"> </w:t>
      </w:r>
    </w:p>
    <w:p w14:paraId="68AD10E4" w14:textId="75196D08" w:rsidR="00075390" w:rsidRDefault="00D95DD6" w:rsidP="00D95DD6">
      <w:pPr>
        <w:spacing w:line="480" w:lineRule="auto"/>
        <w:jc w:val="both"/>
        <w:rPr>
          <w:lang w:val="en-ZA"/>
        </w:rPr>
      </w:pPr>
      <w:r>
        <w:rPr>
          <w:lang w:val="en-ZA"/>
        </w:rPr>
        <w:t>1.</w:t>
      </w:r>
      <w:r>
        <w:rPr>
          <w:lang w:val="en-ZA"/>
        </w:rPr>
        <w:tab/>
      </w:r>
      <w:r w:rsidR="00075390">
        <w:rPr>
          <w:lang w:val="en-ZA"/>
        </w:rPr>
        <w:t xml:space="preserve">The first defendant raised two grounds of exception against the </w:t>
      </w:r>
      <w:r w:rsidR="003610FD">
        <w:rPr>
          <w:lang w:val="en-ZA"/>
        </w:rPr>
        <w:t>particulars of claim</w:t>
      </w:r>
      <w:r w:rsidR="00075390">
        <w:rPr>
          <w:lang w:val="en-ZA"/>
        </w:rPr>
        <w:t xml:space="preserve"> </w:t>
      </w:r>
      <w:r w:rsidR="004D55D3">
        <w:rPr>
          <w:lang w:val="en-ZA"/>
        </w:rPr>
        <w:t>filed by the</w:t>
      </w:r>
      <w:r w:rsidR="00075390">
        <w:rPr>
          <w:lang w:val="en-ZA"/>
        </w:rPr>
        <w:t xml:space="preserve"> plaintiffs on the basis that </w:t>
      </w:r>
      <w:r w:rsidR="00CE36F4">
        <w:rPr>
          <w:lang w:val="en-ZA"/>
        </w:rPr>
        <w:t xml:space="preserve">it does not disclose a cause of action, alternatively that </w:t>
      </w:r>
      <w:r w:rsidR="0063674C">
        <w:rPr>
          <w:lang w:val="en-ZA"/>
        </w:rPr>
        <w:t>it lacks averments which are necessary to sustain an action</w:t>
      </w:r>
      <w:r w:rsidR="00E34F5D">
        <w:rPr>
          <w:lang w:val="en-ZA"/>
        </w:rPr>
        <w:t>.</w:t>
      </w:r>
      <w:r w:rsidR="0063674C">
        <w:rPr>
          <w:lang w:val="en-ZA"/>
        </w:rPr>
        <w:t xml:space="preserve"> </w:t>
      </w:r>
      <w:r w:rsidR="00075390">
        <w:rPr>
          <w:lang w:val="en-ZA"/>
        </w:rPr>
        <w:t xml:space="preserve">In response, the plaintiffs filed an application for leave to amend </w:t>
      </w:r>
      <w:r w:rsidR="009E7BB8">
        <w:rPr>
          <w:lang w:val="en-ZA"/>
        </w:rPr>
        <w:t xml:space="preserve">(“the amendment application”), </w:t>
      </w:r>
      <w:r w:rsidR="00075390">
        <w:rPr>
          <w:lang w:val="en-ZA"/>
        </w:rPr>
        <w:t xml:space="preserve">which application includes </w:t>
      </w:r>
      <w:r w:rsidR="009E7BB8">
        <w:rPr>
          <w:lang w:val="en-ZA"/>
        </w:rPr>
        <w:t xml:space="preserve">a request that </w:t>
      </w:r>
      <w:r w:rsidR="00075390">
        <w:rPr>
          <w:lang w:val="en-ZA"/>
        </w:rPr>
        <w:t>a new cause of action</w:t>
      </w:r>
      <w:r w:rsidR="0063674C">
        <w:rPr>
          <w:lang w:val="en-ZA"/>
        </w:rPr>
        <w:t xml:space="preserve"> for interdictory relief </w:t>
      </w:r>
      <w:r w:rsidR="00075390">
        <w:rPr>
          <w:lang w:val="en-ZA"/>
        </w:rPr>
        <w:t xml:space="preserve">based on </w:t>
      </w:r>
      <w:r w:rsidR="0063674C">
        <w:rPr>
          <w:lang w:val="en-ZA"/>
        </w:rPr>
        <w:t xml:space="preserve">certain sections of </w:t>
      </w:r>
      <w:r w:rsidR="00075390">
        <w:rPr>
          <w:lang w:val="en-ZA"/>
        </w:rPr>
        <w:t xml:space="preserve">the National Heritage </w:t>
      </w:r>
      <w:r w:rsidR="0063674C">
        <w:rPr>
          <w:lang w:val="en-ZA"/>
        </w:rPr>
        <w:t xml:space="preserve">Resources </w:t>
      </w:r>
      <w:r w:rsidR="00075390">
        <w:rPr>
          <w:lang w:val="en-ZA"/>
        </w:rPr>
        <w:t xml:space="preserve">Act, </w:t>
      </w:r>
      <w:r w:rsidR="0063674C">
        <w:rPr>
          <w:lang w:val="en-ZA"/>
        </w:rPr>
        <w:t xml:space="preserve">25 of 1999 </w:t>
      </w:r>
      <w:r w:rsidR="00075390">
        <w:rPr>
          <w:lang w:val="en-ZA"/>
        </w:rPr>
        <w:t>(“the NHRA”)</w:t>
      </w:r>
      <w:r w:rsidR="009E7BB8">
        <w:rPr>
          <w:lang w:val="en-ZA"/>
        </w:rPr>
        <w:t xml:space="preserve">, be </w:t>
      </w:r>
      <w:r w:rsidR="003610FD">
        <w:rPr>
          <w:lang w:val="en-ZA"/>
        </w:rPr>
        <w:t>introduc</w:t>
      </w:r>
      <w:r w:rsidR="009E7BB8">
        <w:rPr>
          <w:lang w:val="en-ZA"/>
        </w:rPr>
        <w:t>ed</w:t>
      </w:r>
      <w:r w:rsidR="0063674C">
        <w:rPr>
          <w:lang w:val="en-ZA"/>
        </w:rPr>
        <w:t xml:space="preserve">. </w:t>
      </w:r>
      <w:r w:rsidR="00262C07">
        <w:rPr>
          <w:lang w:val="en-ZA"/>
        </w:rPr>
        <w:t>This application is opposed.</w:t>
      </w:r>
      <w:r w:rsidR="00075390">
        <w:rPr>
          <w:lang w:val="en-ZA"/>
        </w:rPr>
        <w:t xml:space="preserve"> </w:t>
      </w:r>
      <w:r w:rsidR="009E7BB8">
        <w:rPr>
          <w:lang w:val="en-ZA"/>
        </w:rPr>
        <w:t xml:space="preserve"> </w:t>
      </w:r>
    </w:p>
    <w:p w14:paraId="186CD513" w14:textId="77777777" w:rsidR="00161E2E" w:rsidRDefault="00161E2E" w:rsidP="00161E2E">
      <w:pPr>
        <w:spacing w:line="480" w:lineRule="auto"/>
        <w:jc w:val="both"/>
        <w:rPr>
          <w:lang w:val="en-ZA"/>
        </w:rPr>
      </w:pPr>
    </w:p>
    <w:p w14:paraId="2D2E7385" w14:textId="0FC4345C" w:rsidR="00161E2E" w:rsidRDefault="00D95DD6" w:rsidP="00D95DD6">
      <w:pPr>
        <w:spacing w:line="480" w:lineRule="auto"/>
        <w:jc w:val="both"/>
        <w:rPr>
          <w:lang w:val="en-ZA"/>
        </w:rPr>
      </w:pPr>
      <w:r>
        <w:rPr>
          <w:lang w:val="en-ZA"/>
        </w:rPr>
        <w:t>2.</w:t>
      </w:r>
      <w:r>
        <w:rPr>
          <w:lang w:val="en-ZA"/>
        </w:rPr>
        <w:tab/>
      </w:r>
      <w:r w:rsidR="00161E2E">
        <w:rPr>
          <w:lang w:val="en-ZA"/>
        </w:rPr>
        <w:t xml:space="preserve">At the core of this matter lies a dispute over whether the first defendant, as the holder of a servitude of </w:t>
      </w:r>
      <w:r w:rsidR="00161E2E" w:rsidRPr="00161E2E">
        <w:rPr>
          <w:i/>
          <w:iCs/>
          <w:lang w:val="en-ZA"/>
        </w:rPr>
        <w:t>aqu</w:t>
      </w:r>
      <w:r w:rsidR="000E509E">
        <w:rPr>
          <w:i/>
          <w:iCs/>
          <w:lang w:val="en-ZA"/>
        </w:rPr>
        <w:t>ae</w:t>
      </w:r>
      <w:r w:rsidR="00161E2E" w:rsidRPr="00161E2E">
        <w:rPr>
          <w:i/>
          <w:iCs/>
          <w:lang w:val="en-ZA"/>
        </w:rPr>
        <w:t>duct</w:t>
      </w:r>
      <w:r w:rsidR="000E509E">
        <w:rPr>
          <w:i/>
          <w:iCs/>
          <w:lang w:val="en-ZA"/>
        </w:rPr>
        <w:t>us</w:t>
      </w:r>
      <w:r w:rsidR="00161E2E">
        <w:rPr>
          <w:lang w:val="en-ZA"/>
        </w:rPr>
        <w:t xml:space="preserve">, has the </w:t>
      </w:r>
      <w:r w:rsidR="00262C07">
        <w:rPr>
          <w:lang w:val="en-ZA"/>
        </w:rPr>
        <w:t xml:space="preserve">ancillary </w:t>
      </w:r>
      <w:r w:rsidR="00161E2E">
        <w:rPr>
          <w:lang w:val="en-ZA"/>
        </w:rPr>
        <w:t>right to pipe a water furrow known as the Molen River sloot, on the properties of the plaintiffs, which properties are the servient tenements.</w:t>
      </w:r>
    </w:p>
    <w:p w14:paraId="1859FA7C" w14:textId="77777777" w:rsidR="009E7BB8" w:rsidRDefault="009E7BB8" w:rsidP="009E7BB8">
      <w:pPr>
        <w:spacing w:line="480" w:lineRule="auto"/>
        <w:jc w:val="both"/>
        <w:rPr>
          <w:b/>
          <w:bCs/>
          <w:u w:val="single"/>
          <w:lang w:val="en-ZA"/>
        </w:rPr>
      </w:pPr>
    </w:p>
    <w:p w14:paraId="6320E492" w14:textId="0D087415" w:rsidR="009E7BB8" w:rsidRDefault="009E7BB8" w:rsidP="009E7BB8">
      <w:pPr>
        <w:spacing w:line="480" w:lineRule="auto"/>
        <w:jc w:val="both"/>
        <w:rPr>
          <w:b/>
          <w:bCs/>
          <w:u w:val="single"/>
          <w:lang w:val="en-ZA"/>
        </w:rPr>
      </w:pPr>
      <w:r w:rsidRPr="009E7BB8">
        <w:rPr>
          <w:b/>
          <w:bCs/>
          <w:u w:val="single"/>
          <w:lang w:val="en-ZA"/>
        </w:rPr>
        <w:t>Background:</w:t>
      </w:r>
    </w:p>
    <w:p w14:paraId="4AADEA75" w14:textId="77777777" w:rsidR="009E7BB8" w:rsidRPr="009E7BB8" w:rsidRDefault="009E7BB8" w:rsidP="009E7BB8">
      <w:pPr>
        <w:spacing w:line="480" w:lineRule="auto"/>
        <w:jc w:val="both"/>
        <w:rPr>
          <w:b/>
          <w:bCs/>
          <w:u w:val="single"/>
          <w:lang w:val="en-ZA"/>
        </w:rPr>
      </w:pPr>
    </w:p>
    <w:p w14:paraId="300F75FB" w14:textId="1007A150" w:rsidR="00161E2E" w:rsidRDefault="00D95DD6" w:rsidP="00D95DD6">
      <w:pPr>
        <w:spacing w:line="480" w:lineRule="auto"/>
        <w:jc w:val="both"/>
        <w:rPr>
          <w:lang w:val="en-ZA"/>
        </w:rPr>
      </w:pPr>
      <w:r>
        <w:rPr>
          <w:lang w:val="en-ZA"/>
        </w:rPr>
        <w:t>3.</w:t>
      </w:r>
      <w:r>
        <w:rPr>
          <w:lang w:val="en-ZA"/>
        </w:rPr>
        <w:tab/>
      </w:r>
      <w:r w:rsidR="00BC6A8E">
        <w:rPr>
          <w:lang w:val="en-ZA"/>
        </w:rPr>
        <w:t xml:space="preserve">The first to third plaintiffs are the trustees for the time being of the Pereira Serrao </w:t>
      </w:r>
      <w:r w:rsidR="0063674C">
        <w:rPr>
          <w:lang w:val="en-ZA"/>
        </w:rPr>
        <w:t>D</w:t>
      </w:r>
      <w:r w:rsidR="00BC6A8E">
        <w:rPr>
          <w:lang w:val="en-ZA"/>
        </w:rPr>
        <w:t>a Rib</w:t>
      </w:r>
      <w:r w:rsidR="00050420">
        <w:rPr>
          <w:lang w:val="en-ZA"/>
        </w:rPr>
        <w:t>ei</w:t>
      </w:r>
      <w:r w:rsidR="00BC6A8E">
        <w:rPr>
          <w:lang w:val="en-ZA"/>
        </w:rPr>
        <w:t xml:space="preserve">ra Family Trust (“the PSDR Trust”) who is the registered owner of the remainder of farm 134, Eden District Municipality Uniondale, Western Cape and the fourth plaintiff is the owner of </w:t>
      </w:r>
      <w:r w:rsidR="005A5719">
        <w:rPr>
          <w:lang w:val="en-ZA"/>
        </w:rPr>
        <w:t>f</w:t>
      </w:r>
      <w:r w:rsidR="00BC6A8E">
        <w:rPr>
          <w:lang w:val="en-ZA"/>
        </w:rPr>
        <w:t xml:space="preserve">arm 3/134, Uniondale, Western Cape.  </w:t>
      </w:r>
    </w:p>
    <w:p w14:paraId="36F48DFD" w14:textId="236FB88C" w:rsidR="00BC6A8E" w:rsidRDefault="00D95DD6" w:rsidP="00D95DD6">
      <w:pPr>
        <w:spacing w:line="480" w:lineRule="auto"/>
        <w:jc w:val="both"/>
        <w:rPr>
          <w:lang w:val="en-ZA"/>
        </w:rPr>
      </w:pPr>
      <w:r>
        <w:rPr>
          <w:lang w:val="en-ZA"/>
        </w:rPr>
        <w:lastRenderedPageBreak/>
        <w:t>4.</w:t>
      </w:r>
      <w:r>
        <w:rPr>
          <w:lang w:val="en-ZA"/>
        </w:rPr>
        <w:tab/>
      </w:r>
      <w:r w:rsidR="00BC6A8E">
        <w:rPr>
          <w:lang w:val="en-ZA"/>
        </w:rPr>
        <w:t>The PSDR Trust bought the remainder of farm 134 in terms of a deed of sale dated 1 June 2004</w:t>
      </w:r>
      <w:r w:rsidR="00161E2E">
        <w:rPr>
          <w:lang w:val="en-ZA"/>
        </w:rPr>
        <w:t xml:space="preserve"> from the first defendant</w:t>
      </w:r>
      <w:r w:rsidR="00BC6A8E">
        <w:rPr>
          <w:lang w:val="en-ZA"/>
        </w:rPr>
        <w:t>.  In terms of an addendum to the deed of sale, it was recorded that:</w:t>
      </w:r>
    </w:p>
    <w:p w14:paraId="77DBFF03" w14:textId="77777777" w:rsidR="0018092E" w:rsidRDefault="0018092E" w:rsidP="005446F1">
      <w:pPr>
        <w:spacing w:line="480" w:lineRule="auto"/>
        <w:ind w:left="1440" w:hanging="720"/>
        <w:jc w:val="both"/>
        <w:rPr>
          <w:sz w:val="22"/>
          <w:szCs w:val="22"/>
          <w:lang w:val="en-ZA"/>
        </w:rPr>
      </w:pPr>
    </w:p>
    <w:p w14:paraId="14F8EE07" w14:textId="5360CBAB" w:rsidR="003461F7" w:rsidRDefault="002B4C56" w:rsidP="00310546">
      <w:pPr>
        <w:spacing w:line="480" w:lineRule="auto"/>
        <w:ind w:left="1980" w:hanging="540"/>
        <w:jc w:val="both"/>
        <w:rPr>
          <w:sz w:val="22"/>
          <w:szCs w:val="22"/>
          <w:lang w:val="en-ZA"/>
        </w:rPr>
      </w:pPr>
      <w:r w:rsidRPr="00B317C3">
        <w:rPr>
          <w:sz w:val="22"/>
          <w:szCs w:val="22"/>
          <w:lang w:val="en-ZA"/>
        </w:rPr>
        <w:t>“</w:t>
      </w:r>
      <w:r w:rsidR="003461F7">
        <w:rPr>
          <w:sz w:val="22"/>
          <w:szCs w:val="22"/>
          <w:lang w:val="en-ZA"/>
        </w:rPr>
        <w:t>5.</w:t>
      </w:r>
      <w:r w:rsidR="003461F7">
        <w:rPr>
          <w:sz w:val="22"/>
          <w:szCs w:val="22"/>
          <w:lang w:val="en-ZA"/>
        </w:rPr>
        <w:tab/>
        <w:t>Die koper bevestig dat</w:t>
      </w:r>
      <w:r w:rsidR="00C02AAD">
        <w:rPr>
          <w:sz w:val="22"/>
          <w:szCs w:val="22"/>
          <w:lang w:val="en-ZA"/>
        </w:rPr>
        <w:t xml:space="preserve"> </w:t>
      </w:r>
      <w:r w:rsidR="003461F7">
        <w:rPr>
          <w:sz w:val="22"/>
          <w:szCs w:val="22"/>
          <w:lang w:val="en-ZA"/>
        </w:rPr>
        <w:t>hy daarvan bewus is dat die eienaars geregtig is op water uit die stroom wat vloei oor die eiendom, die reg het om die verdelingspunte van die water van tyd tot tyd te inspekteer en die bestaande pad tot op daardie punt kan gebruik</w:t>
      </w:r>
      <w:r w:rsidR="003461F7">
        <w:rPr>
          <w:rStyle w:val="FootnoteReference"/>
          <w:sz w:val="22"/>
          <w:szCs w:val="22"/>
          <w:lang w:val="en-ZA"/>
        </w:rPr>
        <w:footnoteReference w:id="1"/>
      </w:r>
      <w:r w:rsidR="00C02AAD">
        <w:rPr>
          <w:sz w:val="22"/>
          <w:szCs w:val="22"/>
          <w:lang w:val="en-ZA"/>
        </w:rPr>
        <w:t>.</w:t>
      </w:r>
      <w:r w:rsidR="003461F7">
        <w:rPr>
          <w:sz w:val="22"/>
          <w:szCs w:val="22"/>
          <w:lang w:val="en-ZA"/>
        </w:rPr>
        <w:tab/>
      </w:r>
    </w:p>
    <w:p w14:paraId="7D8214CF" w14:textId="77777777" w:rsidR="005446F1" w:rsidRDefault="005446F1" w:rsidP="00310546">
      <w:pPr>
        <w:spacing w:line="480" w:lineRule="auto"/>
        <w:ind w:left="1980" w:hanging="540"/>
        <w:jc w:val="both"/>
        <w:rPr>
          <w:sz w:val="22"/>
          <w:szCs w:val="22"/>
          <w:lang w:val="en-ZA"/>
        </w:rPr>
      </w:pPr>
    </w:p>
    <w:p w14:paraId="1C00291D" w14:textId="75AF3B25" w:rsidR="002B4C56" w:rsidRPr="00B317C3" w:rsidRDefault="00310546" w:rsidP="00310546">
      <w:pPr>
        <w:spacing w:line="480" w:lineRule="auto"/>
        <w:ind w:left="1980" w:hanging="540"/>
        <w:jc w:val="both"/>
        <w:rPr>
          <w:sz w:val="22"/>
          <w:szCs w:val="22"/>
          <w:lang w:val="en-ZA"/>
        </w:rPr>
      </w:pPr>
      <w:r>
        <w:rPr>
          <w:sz w:val="22"/>
          <w:szCs w:val="22"/>
          <w:lang w:val="en-ZA"/>
        </w:rPr>
        <w:t xml:space="preserve"> </w:t>
      </w:r>
      <w:r w:rsidR="002B4C56" w:rsidRPr="00B317C3">
        <w:rPr>
          <w:sz w:val="22"/>
          <w:szCs w:val="22"/>
          <w:lang w:val="en-ZA"/>
        </w:rPr>
        <w:t>8</w:t>
      </w:r>
      <w:r>
        <w:rPr>
          <w:sz w:val="22"/>
          <w:szCs w:val="22"/>
          <w:lang w:val="en-ZA"/>
        </w:rPr>
        <w:t>.</w:t>
      </w:r>
      <w:r w:rsidR="002B4C56" w:rsidRPr="00B317C3">
        <w:rPr>
          <w:sz w:val="22"/>
          <w:szCs w:val="22"/>
          <w:lang w:val="en-ZA"/>
        </w:rPr>
        <w:tab/>
      </w:r>
      <w:r w:rsidR="00050420" w:rsidRPr="00B317C3">
        <w:rPr>
          <w:sz w:val="22"/>
          <w:szCs w:val="22"/>
          <w:lang w:val="en-ZA"/>
        </w:rPr>
        <w:t>Die Verkoper is tans besig om die bestaande watervoor in pype om te skep en sal die Koper sodra dit voltooi is die kostes daarvan vergoed soos reeds bespreek”</w:t>
      </w:r>
      <w:r w:rsidR="00050420" w:rsidRPr="00B317C3">
        <w:rPr>
          <w:rStyle w:val="FootnoteReference"/>
          <w:sz w:val="22"/>
          <w:szCs w:val="22"/>
          <w:lang w:val="en-ZA"/>
        </w:rPr>
        <w:footnoteReference w:id="2"/>
      </w:r>
    </w:p>
    <w:p w14:paraId="7F414D7E" w14:textId="77777777" w:rsidR="00BC6A8E" w:rsidRDefault="00BC6A8E" w:rsidP="00BC6A8E">
      <w:pPr>
        <w:spacing w:line="480" w:lineRule="auto"/>
        <w:jc w:val="both"/>
        <w:rPr>
          <w:lang w:val="en-ZA"/>
        </w:rPr>
      </w:pPr>
    </w:p>
    <w:p w14:paraId="1475F73F" w14:textId="64EAEC14" w:rsidR="00D6128F" w:rsidRDefault="00D95DD6" w:rsidP="00D95DD6">
      <w:pPr>
        <w:spacing w:line="480" w:lineRule="auto"/>
        <w:jc w:val="both"/>
        <w:rPr>
          <w:lang w:val="en-ZA"/>
        </w:rPr>
      </w:pPr>
      <w:r>
        <w:rPr>
          <w:lang w:val="en-ZA"/>
        </w:rPr>
        <w:t>5.</w:t>
      </w:r>
      <w:r>
        <w:rPr>
          <w:lang w:val="en-ZA"/>
        </w:rPr>
        <w:tab/>
      </w:r>
      <w:r w:rsidR="005171F1">
        <w:rPr>
          <w:lang w:val="en-ZA"/>
        </w:rPr>
        <w:t xml:space="preserve">According to the title deed of the remainder of </w:t>
      </w:r>
      <w:r w:rsidR="005A5719">
        <w:rPr>
          <w:lang w:val="en-ZA"/>
        </w:rPr>
        <w:t>f</w:t>
      </w:r>
      <w:r w:rsidR="005171F1">
        <w:rPr>
          <w:lang w:val="en-ZA"/>
        </w:rPr>
        <w:t xml:space="preserve">arm 134, the </w:t>
      </w:r>
      <w:r w:rsidR="005A5719">
        <w:rPr>
          <w:lang w:val="en-ZA"/>
        </w:rPr>
        <w:t>PSDR Trust’s</w:t>
      </w:r>
      <w:r w:rsidR="00D6128F">
        <w:rPr>
          <w:lang w:val="en-ZA"/>
        </w:rPr>
        <w:t xml:space="preserve"> right to ownership </w:t>
      </w:r>
      <w:r w:rsidR="0001721A">
        <w:rPr>
          <w:lang w:val="en-ZA"/>
        </w:rPr>
        <w:t>is</w:t>
      </w:r>
      <w:r w:rsidR="00D6128F">
        <w:rPr>
          <w:lang w:val="en-ZA"/>
        </w:rPr>
        <w:t xml:space="preserve"> subject to an agreement pertaining to water rights dated 25 March 1879 and a notarial deed dated 1894.  The 25 March 1879 agreement provided the following water rights in respect of the “Molen River Water Courses”.</w:t>
      </w:r>
    </w:p>
    <w:p w14:paraId="7D05C8CA" w14:textId="61F4DCF3" w:rsidR="00B6404E" w:rsidRDefault="00B6404E" w:rsidP="00B6404E">
      <w:pPr>
        <w:spacing w:line="480" w:lineRule="auto"/>
        <w:ind w:left="720"/>
        <w:jc w:val="both"/>
        <w:rPr>
          <w:lang w:val="en-ZA"/>
        </w:rPr>
      </w:pPr>
    </w:p>
    <w:p w14:paraId="09CD41F4" w14:textId="5BD10BEC" w:rsidR="00B6404E" w:rsidRDefault="00B6404E" w:rsidP="00B6404E">
      <w:pPr>
        <w:spacing w:line="480" w:lineRule="auto"/>
        <w:ind w:left="720"/>
        <w:jc w:val="both"/>
        <w:rPr>
          <w:sz w:val="22"/>
          <w:szCs w:val="22"/>
          <w:lang w:val="en-ZA"/>
        </w:rPr>
      </w:pPr>
      <w:r w:rsidRPr="00575EC0">
        <w:rPr>
          <w:sz w:val="22"/>
          <w:szCs w:val="22"/>
          <w:lang w:val="en-ZA"/>
        </w:rPr>
        <w:t>“Further, that the water courses of Molen River the under-mentioned have shares as …, viz.</w:t>
      </w:r>
    </w:p>
    <w:p w14:paraId="7DC33346" w14:textId="77777777" w:rsidR="00575EC0" w:rsidRPr="00575EC0" w:rsidRDefault="00575EC0" w:rsidP="00B6404E">
      <w:pPr>
        <w:spacing w:line="480" w:lineRule="auto"/>
        <w:ind w:left="720"/>
        <w:jc w:val="both"/>
        <w:rPr>
          <w:sz w:val="22"/>
          <w:szCs w:val="22"/>
          <w:lang w:val="en-ZA"/>
        </w:rPr>
      </w:pPr>
    </w:p>
    <w:p w14:paraId="56351D2D" w14:textId="09486B30" w:rsidR="00B6404E" w:rsidRPr="00575EC0" w:rsidRDefault="00B6404E" w:rsidP="00B6404E">
      <w:pPr>
        <w:spacing w:line="480" w:lineRule="auto"/>
        <w:ind w:left="720"/>
        <w:jc w:val="both"/>
        <w:rPr>
          <w:sz w:val="22"/>
          <w:szCs w:val="22"/>
          <w:lang w:val="en-ZA"/>
        </w:rPr>
      </w:pPr>
      <w:r w:rsidRPr="00575EC0">
        <w:rPr>
          <w:sz w:val="22"/>
          <w:szCs w:val="22"/>
          <w:lang w:val="en-ZA"/>
        </w:rPr>
        <w:t>C.L. du Plessis five days viz. Monday morn to Sat morn.</w:t>
      </w:r>
    </w:p>
    <w:p w14:paraId="3A44D6A6" w14:textId="5F5ED6ED" w:rsidR="00B6404E" w:rsidRPr="00575EC0" w:rsidRDefault="00B6404E" w:rsidP="00B6404E">
      <w:pPr>
        <w:spacing w:line="480" w:lineRule="auto"/>
        <w:ind w:left="720"/>
        <w:jc w:val="both"/>
        <w:rPr>
          <w:sz w:val="22"/>
          <w:szCs w:val="22"/>
          <w:lang w:val="en-ZA"/>
        </w:rPr>
      </w:pPr>
      <w:r w:rsidRPr="00575EC0">
        <w:rPr>
          <w:sz w:val="22"/>
          <w:szCs w:val="22"/>
          <w:lang w:val="en-ZA"/>
        </w:rPr>
        <w:t xml:space="preserve">J.P van Tonder </w:t>
      </w:r>
      <w:r w:rsidR="005B55A6" w:rsidRPr="00575EC0">
        <w:rPr>
          <w:sz w:val="22"/>
          <w:szCs w:val="22"/>
          <w:lang w:val="en-ZA"/>
        </w:rPr>
        <w:t>five days viz. Wednesday morn to Sat morn.</w:t>
      </w:r>
    </w:p>
    <w:p w14:paraId="0596821A" w14:textId="713C6985" w:rsidR="005B55A6" w:rsidRPr="00575EC0" w:rsidRDefault="005B55A6" w:rsidP="00B6404E">
      <w:pPr>
        <w:spacing w:line="480" w:lineRule="auto"/>
        <w:ind w:left="720"/>
        <w:jc w:val="both"/>
        <w:rPr>
          <w:sz w:val="22"/>
          <w:szCs w:val="22"/>
          <w:lang w:val="en-ZA"/>
        </w:rPr>
      </w:pPr>
      <w:r w:rsidRPr="00575EC0">
        <w:rPr>
          <w:sz w:val="22"/>
          <w:szCs w:val="22"/>
          <w:lang w:val="en-ZA"/>
        </w:rPr>
        <w:lastRenderedPageBreak/>
        <w:t>JIP van Jaarsveld four days viz. Saturday morn to Wed morn.</w:t>
      </w:r>
    </w:p>
    <w:p w14:paraId="55F7BA40" w14:textId="77777777" w:rsidR="00575EC0" w:rsidRDefault="00575EC0" w:rsidP="00B6404E">
      <w:pPr>
        <w:spacing w:line="480" w:lineRule="auto"/>
        <w:ind w:left="720"/>
        <w:jc w:val="both"/>
        <w:rPr>
          <w:sz w:val="22"/>
          <w:szCs w:val="22"/>
          <w:lang w:val="en-ZA"/>
        </w:rPr>
      </w:pPr>
    </w:p>
    <w:p w14:paraId="35A8F7DF" w14:textId="4492FCC4" w:rsidR="005B55A6" w:rsidRPr="00575EC0" w:rsidRDefault="005B55A6" w:rsidP="00B6404E">
      <w:pPr>
        <w:spacing w:line="480" w:lineRule="auto"/>
        <w:ind w:left="720"/>
        <w:jc w:val="both"/>
        <w:rPr>
          <w:sz w:val="22"/>
          <w:szCs w:val="22"/>
          <w:lang w:val="en-ZA"/>
        </w:rPr>
      </w:pPr>
      <w:r w:rsidRPr="00575EC0">
        <w:rPr>
          <w:sz w:val="22"/>
          <w:szCs w:val="22"/>
          <w:lang w:val="en-ZA"/>
        </w:rPr>
        <w:t>Also that a stream of water (one inch in diameter) shall be allowed to flow for drinking purposes during the times in which CL du Plessis &amp; JP van Tonder have the use of the Molen River water courses, each for the other.</w:t>
      </w:r>
    </w:p>
    <w:p w14:paraId="53014187" w14:textId="77777777" w:rsidR="00BD6D1D" w:rsidRDefault="00BD6D1D" w:rsidP="00B6404E">
      <w:pPr>
        <w:spacing w:line="480" w:lineRule="auto"/>
        <w:ind w:left="720"/>
        <w:jc w:val="both"/>
        <w:rPr>
          <w:sz w:val="22"/>
          <w:szCs w:val="22"/>
          <w:lang w:val="en-ZA"/>
        </w:rPr>
      </w:pPr>
    </w:p>
    <w:p w14:paraId="0F2CD634" w14:textId="7991373E" w:rsidR="005B55A6" w:rsidRPr="00575EC0" w:rsidRDefault="005B55A6" w:rsidP="00B6404E">
      <w:pPr>
        <w:spacing w:line="480" w:lineRule="auto"/>
        <w:ind w:left="720"/>
        <w:jc w:val="both"/>
        <w:rPr>
          <w:sz w:val="22"/>
          <w:szCs w:val="22"/>
          <w:lang w:val="en-ZA"/>
        </w:rPr>
      </w:pPr>
      <w:r w:rsidRPr="00575EC0">
        <w:rPr>
          <w:sz w:val="22"/>
          <w:szCs w:val="22"/>
          <w:lang w:val="en-ZA"/>
        </w:rPr>
        <w:t>Further, that the Molen River water courses shall be cleaned twice during the course of each year, viz. on the 1</w:t>
      </w:r>
      <w:r w:rsidRPr="00575EC0">
        <w:rPr>
          <w:sz w:val="22"/>
          <w:szCs w:val="22"/>
          <w:vertAlign w:val="superscript"/>
          <w:lang w:val="en-ZA"/>
        </w:rPr>
        <w:t>st</w:t>
      </w:r>
      <w:r w:rsidRPr="00575EC0">
        <w:rPr>
          <w:sz w:val="22"/>
          <w:szCs w:val="22"/>
          <w:lang w:val="en-ZA"/>
        </w:rPr>
        <w:t xml:space="preserve"> day of April, &amp; on the 1</w:t>
      </w:r>
      <w:r w:rsidRPr="00575EC0">
        <w:rPr>
          <w:sz w:val="22"/>
          <w:szCs w:val="22"/>
          <w:vertAlign w:val="superscript"/>
          <w:lang w:val="en-ZA"/>
        </w:rPr>
        <w:t>st</w:t>
      </w:r>
      <w:r w:rsidRPr="00575EC0">
        <w:rPr>
          <w:sz w:val="22"/>
          <w:szCs w:val="22"/>
          <w:lang w:val="en-ZA"/>
        </w:rPr>
        <w:t xml:space="preserve"> day of October, each shareholder to contribute equal assistance.</w:t>
      </w:r>
    </w:p>
    <w:p w14:paraId="195C3D24" w14:textId="77777777" w:rsidR="005A5719" w:rsidRDefault="005A5719" w:rsidP="00B6404E">
      <w:pPr>
        <w:spacing w:line="480" w:lineRule="auto"/>
        <w:ind w:left="720"/>
        <w:jc w:val="both"/>
        <w:rPr>
          <w:sz w:val="22"/>
          <w:szCs w:val="22"/>
          <w:lang w:val="en-ZA"/>
        </w:rPr>
      </w:pPr>
    </w:p>
    <w:p w14:paraId="0020383B" w14:textId="3C6C1486" w:rsidR="005B55A6" w:rsidRDefault="005B55A6" w:rsidP="00B6404E">
      <w:pPr>
        <w:spacing w:line="480" w:lineRule="auto"/>
        <w:ind w:left="720"/>
        <w:jc w:val="both"/>
        <w:rPr>
          <w:sz w:val="22"/>
          <w:szCs w:val="22"/>
          <w:lang w:val="en-ZA"/>
        </w:rPr>
      </w:pPr>
      <w:r w:rsidRPr="00575EC0">
        <w:rPr>
          <w:sz w:val="22"/>
          <w:szCs w:val="22"/>
          <w:lang w:val="en-ZA"/>
        </w:rPr>
        <w:t>Further that CL du Plessis is to have the right of making a water course (for the Molen River water) through the grounds of JP van Tonder (at Mealie Hoek) for irrigation of the lower lands”.</w:t>
      </w:r>
      <w:r w:rsidR="00575EC0">
        <w:rPr>
          <w:rStyle w:val="FootnoteReference"/>
          <w:sz w:val="22"/>
          <w:szCs w:val="22"/>
          <w:lang w:val="en-ZA"/>
        </w:rPr>
        <w:footnoteReference w:id="3"/>
      </w:r>
    </w:p>
    <w:p w14:paraId="4BF652CF" w14:textId="77777777" w:rsidR="00575EC0" w:rsidRDefault="00575EC0" w:rsidP="00575EC0">
      <w:pPr>
        <w:spacing w:line="480" w:lineRule="auto"/>
        <w:jc w:val="both"/>
        <w:rPr>
          <w:lang w:val="en-ZA"/>
        </w:rPr>
      </w:pPr>
    </w:p>
    <w:p w14:paraId="315876FA" w14:textId="273CDCAF" w:rsidR="00D6128F" w:rsidRDefault="00D95DD6" w:rsidP="00D95DD6">
      <w:pPr>
        <w:spacing w:line="480" w:lineRule="auto"/>
        <w:jc w:val="both"/>
        <w:rPr>
          <w:lang w:val="en-ZA"/>
        </w:rPr>
      </w:pPr>
      <w:r>
        <w:rPr>
          <w:lang w:val="en-ZA"/>
        </w:rPr>
        <w:t>6.</w:t>
      </w:r>
      <w:r>
        <w:rPr>
          <w:lang w:val="en-ZA"/>
        </w:rPr>
        <w:tab/>
      </w:r>
      <w:r w:rsidR="00D6128F">
        <w:rPr>
          <w:lang w:val="en-ZA"/>
        </w:rPr>
        <w:t>The 1894 notarial deed recorded the following</w:t>
      </w:r>
      <w:r w:rsidR="00AB2A12">
        <w:rPr>
          <w:lang w:val="en-ZA"/>
        </w:rPr>
        <w:t xml:space="preserve"> agreements pertaining water rights</w:t>
      </w:r>
      <w:r w:rsidR="00D6128F">
        <w:rPr>
          <w:lang w:val="en-ZA"/>
        </w:rPr>
        <w:t>:</w:t>
      </w:r>
    </w:p>
    <w:p w14:paraId="78BDD6BA" w14:textId="77777777" w:rsidR="004757F1" w:rsidRDefault="004757F1" w:rsidP="00D6128F">
      <w:pPr>
        <w:spacing w:line="480" w:lineRule="auto"/>
        <w:ind w:left="1440"/>
        <w:jc w:val="both"/>
        <w:rPr>
          <w:lang w:val="en-ZA"/>
        </w:rPr>
      </w:pPr>
    </w:p>
    <w:p w14:paraId="746C0134" w14:textId="3046BD38" w:rsidR="00D6128F" w:rsidRPr="00575EC0" w:rsidRDefault="004757F1" w:rsidP="00D6128F">
      <w:pPr>
        <w:spacing w:line="480" w:lineRule="auto"/>
        <w:ind w:left="1440"/>
        <w:jc w:val="both"/>
        <w:rPr>
          <w:sz w:val="22"/>
          <w:szCs w:val="22"/>
          <w:lang w:val="en-ZA"/>
        </w:rPr>
      </w:pPr>
      <w:r w:rsidRPr="00575EC0">
        <w:rPr>
          <w:sz w:val="22"/>
          <w:szCs w:val="22"/>
          <w:lang w:val="en-ZA"/>
        </w:rPr>
        <w:t>“</w:t>
      </w:r>
      <w:r w:rsidR="00D6128F" w:rsidRPr="00575EC0">
        <w:rPr>
          <w:sz w:val="22"/>
          <w:szCs w:val="22"/>
          <w:lang w:val="en-ZA"/>
        </w:rPr>
        <w:t xml:space="preserve">The following rights which “Keyter … secured from … [J.P.] van Tonder [the PSDR Trust’s predecessor in title]”, in order </w:t>
      </w:r>
      <w:r w:rsidR="00AC2AE9">
        <w:rPr>
          <w:sz w:val="22"/>
          <w:szCs w:val="22"/>
          <w:lang w:val="en-ZA"/>
        </w:rPr>
        <w:t xml:space="preserve">for him </w:t>
      </w:r>
      <w:r w:rsidR="00D6128F" w:rsidRPr="00575EC0">
        <w:rPr>
          <w:sz w:val="22"/>
          <w:szCs w:val="22"/>
          <w:lang w:val="en-ZA"/>
        </w:rPr>
        <w:t>“better to enable him to enjoy” the water use rights obtained from C L du Plessis:</w:t>
      </w:r>
    </w:p>
    <w:p w14:paraId="6F3F2413" w14:textId="77777777" w:rsidR="00575EC0" w:rsidRPr="00575EC0" w:rsidRDefault="00575EC0" w:rsidP="00575EC0">
      <w:pPr>
        <w:spacing w:line="480" w:lineRule="auto"/>
        <w:ind w:left="1440"/>
        <w:jc w:val="both"/>
        <w:rPr>
          <w:sz w:val="22"/>
          <w:szCs w:val="22"/>
          <w:lang w:val="en-ZA"/>
        </w:rPr>
      </w:pPr>
    </w:p>
    <w:p w14:paraId="16EF9BF4" w14:textId="6A12D340" w:rsidR="00D6128F" w:rsidRPr="00575EC0" w:rsidRDefault="00D6128F" w:rsidP="00575EC0">
      <w:pPr>
        <w:spacing w:line="480" w:lineRule="auto"/>
        <w:ind w:left="1440"/>
        <w:jc w:val="both"/>
        <w:rPr>
          <w:sz w:val="22"/>
          <w:szCs w:val="22"/>
          <w:lang w:val="en-ZA"/>
        </w:rPr>
      </w:pPr>
      <w:r w:rsidRPr="00575EC0">
        <w:rPr>
          <w:sz w:val="22"/>
          <w:szCs w:val="22"/>
          <w:lang w:val="en-ZA"/>
        </w:rPr>
        <w:t>“[The right to a furrow along the Southern Boundary of [Van Tonder’s] properly [viz. Lot D Molen River] [in accordance with the conditions stipulated in an arbitration award, viz.:] …</w:t>
      </w:r>
    </w:p>
    <w:p w14:paraId="402AF82A" w14:textId="1C9717BB" w:rsidR="00D6128F" w:rsidRPr="00575EC0" w:rsidRDefault="00D6128F" w:rsidP="00D6128F">
      <w:pPr>
        <w:spacing w:line="480" w:lineRule="auto"/>
        <w:ind w:left="1440"/>
        <w:jc w:val="both"/>
        <w:rPr>
          <w:sz w:val="22"/>
          <w:szCs w:val="22"/>
          <w:lang w:val="en-ZA"/>
        </w:rPr>
      </w:pPr>
      <w:r w:rsidRPr="00575EC0">
        <w:rPr>
          <w:sz w:val="22"/>
          <w:szCs w:val="22"/>
          <w:lang w:val="en-ZA"/>
        </w:rPr>
        <w:t>…</w:t>
      </w:r>
    </w:p>
    <w:p w14:paraId="6B7625A4" w14:textId="428ED3DC" w:rsidR="00D6128F" w:rsidRPr="00575EC0" w:rsidRDefault="00D6128F" w:rsidP="00D6128F">
      <w:pPr>
        <w:spacing w:line="480" w:lineRule="auto"/>
        <w:ind w:left="1440"/>
        <w:jc w:val="both"/>
        <w:rPr>
          <w:sz w:val="22"/>
          <w:szCs w:val="22"/>
          <w:lang w:val="en-ZA"/>
        </w:rPr>
      </w:pPr>
      <w:r w:rsidRPr="00575EC0">
        <w:rPr>
          <w:sz w:val="22"/>
          <w:szCs w:val="22"/>
          <w:lang w:val="en-ZA"/>
        </w:rPr>
        <w:lastRenderedPageBreak/>
        <w:t>“(1) [K]eyter shall have the full right at all times to a free right of way along the sluit, and will further have the right, four feet on each side of the sluit to excavate</w:t>
      </w:r>
      <w:r w:rsidR="004757F1" w:rsidRPr="00575EC0">
        <w:rPr>
          <w:sz w:val="22"/>
          <w:szCs w:val="22"/>
          <w:lang w:val="en-ZA"/>
        </w:rPr>
        <w:t xml:space="preserve"> material for repairing the said sluit.”</w:t>
      </w:r>
    </w:p>
    <w:p w14:paraId="7C628199" w14:textId="77777777" w:rsidR="00575EC0" w:rsidRPr="00575EC0" w:rsidRDefault="00575EC0" w:rsidP="00D6128F">
      <w:pPr>
        <w:spacing w:line="480" w:lineRule="auto"/>
        <w:ind w:left="1440"/>
        <w:jc w:val="both"/>
        <w:rPr>
          <w:sz w:val="22"/>
          <w:szCs w:val="22"/>
          <w:lang w:val="en-ZA"/>
        </w:rPr>
      </w:pPr>
    </w:p>
    <w:p w14:paraId="3C29FF4B" w14:textId="34D2901B" w:rsidR="004757F1" w:rsidRPr="00575EC0" w:rsidRDefault="004757F1" w:rsidP="00D6128F">
      <w:pPr>
        <w:spacing w:line="480" w:lineRule="auto"/>
        <w:ind w:left="1440"/>
        <w:jc w:val="both"/>
        <w:rPr>
          <w:sz w:val="22"/>
          <w:szCs w:val="22"/>
          <w:lang w:val="en-ZA"/>
        </w:rPr>
      </w:pPr>
      <w:r w:rsidRPr="00575EC0">
        <w:rPr>
          <w:sz w:val="22"/>
          <w:szCs w:val="22"/>
          <w:lang w:val="en-ZA"/>
        </w:rPr>
        <w:t>(2)[K]eyter shall be bound to keep in good order the drifts where the present road crosses the said sluit twice, to enable [JP van Tonder] to cross with his wagon and oxen …””</w:t>
      </w:r>
      <w:r w:rsidR="00575EC0">
        <w:rPr>
          <w:rStyle w:val="FootnoteReference"/>
          <w:sz w:val="22"/>
          <w:szCs w:val="22"/>
          <w:lang w:val="en-ZA"/>
        </w:rPr>
        <w:footnoteReference w:id="4"/>
      </w:r>
    </w:p>
    <w:p w14:paraId="5580D95C" w14:textId="77777777" w:rsidR="00AB2A12" w:rsidRDefault="00AB2A12" w:rsidP="00AB2A12">
      <w:pPr>
        <w:spacing w:line="480" w:lineRule="auto"/>
        <w:jc w:val="both"/>
        <w:rPr>
          <w:lang w:val="en-ZA"/>
        </w:rPr>
      </w:pPr>
    </w:p>
    <w:p w14:paraId="26203F38" w14:textId="2CD5F5A1" w:rsidR="004E4F92" w:rsidRDefault="00D95DD6" w:rsidP="00D95DD6">
      <w:pPr>
        <w:spacing w:line="480" w:lineRule="auto"/>
        <w:jc w:val="both"/>
        <w:rPr>
          <w:lang w:val="en-ZA"/>
        </w:rPr>
      </w:pPr>
      <w:r>
        <w:rPr>
          <w:lang w:val="en-ZA"/>
        </w:rPr>
        <w:t>7.</w:t>
      </w:r>
      <w:r>
        <w:rPr>
          <w:lang w:val="en-ZA"/>
        </w:rPr>
        <w:tab/>
      </w:r>
      <w:r w:rsidR="00C7165E">
        <w:rPr>
          <w:lang w:val="en-ZA"/>
        </w:rPr>
        <w:t>The plaintiff</w:t>
      </w:r>
      <w:r w:rsidR="005A5719">
        <w:rPr>
          <w:lang w:val="en-ZA"/>
        </w:rPr>
        <w:t>s</w:t>
      </w:r>
      <w:r w:rsidR="00C7165E">
        <w:rPr>
          <w:lang w:val="en-ZA"/>
        </w:rPr>
        <w:t xml:space="preserve"> issued a summons on 20 October 2020 </w:t>
      </w:r>
      <w:r w:rsidR="00575EC0">
        <w:rPr>
          <w:lang w:val="en-ZA"/>
        </w:rPr>
        <w:t>pursuant to an urgent application for interdictory relief under case no. 8446/2020</w:t>
      </w:r>
      <w:r w:rsidR="00575EC0">
        <w:rPr>
          <w:rStyle w:val="FootnoteReference"/>
          <w:lang w:val="en-ZA"/>
        </w:rPr>
        <w:footnoteReference w:id="5"/>
      </w:r>
      <w:r w:rsidR="00575EC0">
        <w:rPr>
          <w:lang w:val="en-ZA"/>
        </w:rPr>
        <w:t xml:space="preserve">, </w:t>
      </w:r>
      <w:r w:rsidR="00C7165E">
        <w:rPr>
          <w:lang w:val="en-ZA"/>
        </w:rPr>
        <w:t>claiming the following declaratory relief:</w:t>
      </w:r>
    </w:p>
    <w:p w14:paraId="3F3BC97C" w14:textId="77777777" w:rsidR="00725885" w:rsidRDefault="00725885" w:rsidP="00725885">
      <w:pPr>
        <w:spacing w:line="480" w:lineRule="auto"/>
        <w:jc w:val="both"/>
        <w:rPr>
          <w:lang w:val="en-ZA"/>
        </w:rPr>
      </w:pPr>
    </w:p>
    <w:p w14:paraId="57470015" w14:textId="57D8A244" w:rsidR="004E4F92" w:rsidRDefault="00D95DD6" w:rsidP="00D95DD6">
      <w:pPr>
        <w:spacing w:line="480" w:lineRule="auto"/>
        <w:ind w:left="1530" w:hanging="810"/>
        <w:jc w:val="both"/>
        <w:rPr>
          <w:lang w:val="en-ZA"/>
        </w:rPr>
      </w:pPr>
      <w:r>
        <w:rPr>
          <w:lang w:val="en-ZA"/>
        </w:rPr>
        <w:t>7.1.</w:t>
      </w:r>
      <w:r>
        <w:rPr>
          <w:lang w:val="en-ZA"/>
        </w:rPr>
        <w:tab/>
      </w:r>
      <w:r w:rsidR="001E1FC7">
        <w:rPr>
          <w:lang w:val="en-ZA"/>
        </w:rPr>
        <w:t xml:space="preserve">An order declaring that the first defendant does not have a right to pipe the Molen River </w:t>
      </w:r>
      <w:r w:rsidR="00A54775">
        <w:rPr>
          <w:lang w:val="en-ZA"/>
        </w:rPr>
        <w:t>s</w:t>
      </w:r>
      <w:r w:rsidR="001E1FC7">
        <w:rPr>
          <w:lang w:val="en-ZA"/>
        </w:rPr>
        <w:t xml:space="preserve">loot in terms of the deed of sale, the 25 March 1879 Water Servitude Agreement </w:t>
      </w:r>
      <w:r w:rsidR="00CD3F5E">
        <w:rPr>
          <w:lang w:val="en-ZA"/>
        </w:rPr>
        <w:t xml:space="preserve">and </w:t>
      </w:r>
      <w:r w:rsidR="001E1FC7">
        <w:rPr>
          <w:lang w:val="en-ZA"/>
        </w:rPr>
        <w:t xml:space="preserve">the 1894 Notarial Deed; </w:t>
      </w:r>
    </w:p>
    <w:p w14:paraId="691C74EA" w14:textId="77777777" w:rsidR="001E1FC7" w:rsidRDefault="001E1FC7" w:rsidP="001E1FC7">
      <w:pPr>
        <w:spacing w:line="480" w:lineRule="auto"/>
        <w:ind w:left="1530"/>
        <w:jc w:val="both"/>
        <w:rPr>
          <w:lang w:val="en-ZA"/>
        </w:rPr>
      </w:pPr>
    </w:p>
    <w:p w14:paraId="3B1105E6" w14:textId="641013E8" w:rsidR="00C7165E" w:rsidRDefault="00D95DD6" w:rsidP="00D95DD6">
      <w:pPr>
        <w:spacing w:line="480" w:lineRule="auto"/>
        <w:ind w:left="1530" w:hanging="810"/>
        <w:jc w:val="both"/>
        <w:rPr>
          <w:lang w:val="en-ZA"/>
        </w:rPr>
      </w:pPr>
      <w:r>
        <w:rPr>
          <w:lang w:val="en-ZA"/>
        </w:rPr>
        <w:t>7.2.</w:t>
      </w:r>
      <w:r>
        <w:rPr>
          <w:lang w:val="en-ZA"/>
        </w:rPr>
        <w:tab/>
      </w:r>
      <w:r w:rsidR="001E1FC7" w:rsidRPr="001E1FC7">
        <w:rPr>
          <w:lang w:val="en-ZA"/>
        </w:rPr>
        <w:t>An order declaring that the first to fourth defendants do not have the right to pipe the Molen River Sloot in terms of the 25 March 1879 Water Servitude Agreement</w:t>
      </w:r>
      <w:r w:rsidR="00CD3F5E">
        <w:rPr>
          <w:lang w:val="en-ZA"/>
        </w:rPr>
        <w:t>.</w:t>
      </w:r>
    </w:p>
    <w:p w14:paraId="287B168A" w14:textId="77777777" w:rsidR="00310546" w:rsidRDefault="00310546" w:rsidP="00310546">
      <w:pPr>
        <w:spacing w:line="480" w:lineRule="auto"/>
        <w:jc w:val="both"/>
        <w:rPr>
          <w:lang w:val="en-ZA"/>
        </w:rPr>
      </w:pPr>
    </w:p>
    <w:p w14:paraId="72B93639" w14:textId="1CBEF029" w:rsidR="008E32CB" w:rsidRPr="00EA6E4D" w:rsidRDefault="00D95DD6" w:rsidP="00D95DD6">
      <w:pPr>
        <w:spacing w:line="480" w:lineRule="auto"/>
        <w:jc w:val="both"/>
        <w:rPr>
          <w:lang w:val="en-ZA"/>
        </w:rPr>
      </w:pPr>
      <w:r w:rsidRPr="00EA6E4D">
        <w:rPr>
          <w:lang w:val="en-ZA"/>
        </w:rPr>
        <w:t>8.</w:t>
      </w:r>
      <w:r w:rsidRPr="00EA6E4D">
        <w:rPr>
          <w:lang w:val="en-ZA"/>
        </w:rPr>
        <w:tab/>
      </w:r>
      <w:r w:rsidR="001E1FC7" w:rsidRPr="00EA6E4D">
        <w:rPr>
          <w:lang w:val="en-ZA"/>
        </w:rPr>
        <w:t>Only the first defendant filed a notice of intention to defend and later, on 2 February 2021, an exception in terms of rule 23(4)</w:t>
      </w:r>
      <w:r w:rsidR="00EA6E4D" w:rsidRPr="00EA6E4D">
        <w:rPr>
          <w:lang w:val="en-ZA"/>
        </w:rPr>
        <w:t xml:space="preserve">. </w:t>
      </w:r>
      <w:r w:rsidR="008E32CB" w:rsidRPr="00EA6E4D">
        <w:rPr>
          <w:lang w:val="en-ZA"/>
        </w:rPr>
        <w:t>The exception was first enrolled for hearing on 5 May 2021, not allocated</w:t>
      </w:r>
      <w:r w:rsidR="00CD3F5E" w:rsidRPr="00EA6E4D">
        <w:rPr>
          <w:lang w:val="en-ZA"/>
        </w:rPr>
        <w:t xml:space="preserve"> and postponed to </w:t>
      </w:r>
      <w:r w:rsidR="008E32CB" w:rsidRPr="00EA6E4D">
        <w:rPr>
          <w:lang w:val="en-ZA"/>
        </w:rPr>
        <w:t xml:space="preserve">9 November 2021.  On 4 </w:t>
      </w:r>
      <w:r w:rsidR="008E32CB" w:rsidRPr="00EA6E4D">
        <w:rPr>
          <w:lang w:val="en-ZA"/>
        </w:rPr>
        <w:lastRenderedPageBreak/>
        <w:t>November 2021</w:t>
      </w:r>
      <w:r w:rsidR="00CD3F5E" w:rsidRPr="00EA6E4D">
        <w:rPr>
          <w:lang w:val="en-ZA"/>
        </w:rPr>
        <w:t xml:space="preserve"> </w:t>
      </w:r>
      <w:r w:rsidR="008E32CB" w:rsidRPr="00EA6E4D">
        <w:rPr>
          <w:lang w:val="en-ZA"/>
        </w:rPr>
        <w:t xml:space="preserve">the plaintiffs filed </w:t>
      </w:r>
      <w:r w:rsidR="009E7BB8" w:rsidRPr="00EA6E4D">
        <w:rPr>
          <w:lang w:val="en-ZA"/>
        </w:rPr>
        <w:t>the a</w:t>
      </w:r>
      <w:r w:rsidR="00CD3F5E" w:rsidRPr="00EA6E4D">
        <w:rPr>
          <w:lang w:val="en-ZA"/>
        </w:rPr>
        <w:t>mendment application</w:t>
      </w:r>
      <w:r w:rsidR="009E7BB8" w:rsidRPr="00EA6E4D">
        <w:rPr>
          <w:lang w:val="en-ZA"/>
        </w:rPr>
        <w:t xml:space="preserve"> in terms of rule 28(1)</w:t>
      </w:r>
      <w:r w:rsidR="008E32CB" w:rsidRPr="00EA6E4D">
        <w:rPr>
          <w:lang w:val="en-ZA"/>
        </w:rPr>
        <w:t xml:space="preserve">.  The exception and the further conduct in relation to the amendment </w:t>
      </w:r>
      <w:r w:rsidR="00CD3F5E" w:rsidRPr="00EA6E4D">
        <w:rPr>
          <w:lang w:val="en-ZA"/>
        </w:rPr>
        <w:t xml:space="preserve">application </w:t>
      </w:r>
      <w:r w:rsidR="008E32CB" w:rsidRPr="00EA6E4D">
        <w:rPr>
          <w:lang w:val="en-ZA"/>
        </w:rPr>
        <w:t xml:space="preserve">were regulated in an order postponing the matter to 15 February 2022.  </w:t>
      </w:r>
      <w:r w:rsidR="00E66F62" w:rsidRPr="00EA6E4D">
        <w:rPr>
          <w:lang w:val="en-ZA"/>
        </w:rPr>
        <w:t xml:space="preserve">  </w:t>
      </w:r>
      <w:r w:rsidR="0055659E" w:rsidRPr="00EA6E4D">
        <w:rPr>
          <w:lang w:val="en-ZA"/>
        </w:rPr>
        <w:t>It is common cause that t</w:t>
      </w:r>
      <w:r w:rsidR="00E66F62" w:rsidRPr="00EA6E4D">
        <w:rPr>
          <w:lang w:val="en-ZA"/>
        </w:rPr>
        <w:t xml:space="preserve">he proposed amendment was not the reason for the </w:t>
      </w:r>
      <w:r w:rsidR="0055659E" w:rsidRPr="00EA6E4D">
        <w:rPr>
          <w:lang w:val="en-ZA"/>
        </w:rPr>
        <w:t>exception</w:t>
      </w:r>
      <w:r w:rsidR="00E66F62" w:rsidRPr="00EA6E4D">
        <w:rPr>
          <w:lang w:val="en-ZA"/>
        </w:rPr>
        <w:t xml:space="preserve"> not being allocated on 9 November 2021.</w:t>
      </w:r>
      <w:r w:rsidR="0055659E" w:rsidRPr="00EA6E4D">
        <w:rPr>
          <w:lang w:val="en-ZA"/>
        </w:rPr>
        <w:t xml:space="preserve"> </w:t>
      </w:r>
    </w:p>
    <w:p w14:paraId="7AFDCF5C" w14:textId="77777777" w:rsidR="001E1FC7" w:rsidRPr="001E1FC7" w:rsidRDefault="001E1FC7" w:rsidP="001E1FC7">
      <w:pPr>
        <w:spacing w:line="480" w:lineRule="auto"/>
        <w:jc w:val="both"/>
        <w:rPr>
          <w:lang w:val="en-ZA"/>
        </w:rPr>
      </w:pPr>
    </w:p>
    <w:p w14:paraId="25054FB0" w14:textId="5CFACE08" w:rsidR="00434848" w:rsidRDefault="00D95DD6" w:rsidP="00D95DD6">
      <w:pPr>
        <w:spacing w:line="480" w:lineRule="auto"/>
        <w:jc w:val="both"/>
      </w:pPr>
      <w:r>
        <w:t>9.</w:t>
      </w:r>
      <w:r>
        <w:tab/>
      </w:r>
      <w:r w:rsidR="00434848">
        <w:t>The plaintiff</w:t>
      </w:r>
      <w:r w:rsidR="00CD3F5E">
        <w:t xml:space="preserve">s failed to file heads </w:t>
      </w:r>
      <w:r w:rsidR="00434848">
        <w:t xml:space="preserve">of argument in terms of </w:t>
      </w:r>
      <w:r w:rsidR="00CD3F5E">
        <w:t>p</w:t>
      </w:r>
      <w:r w:rsidR="00434848">
        <w:t xml:space="preserve">ractice </w:t>
      </w:r>
      <w:r w:rsidR="00CD3F5E">
        <w:t>d</w:t>
      </w:r>
      <w:r w:rsidR="00434848">
        <w:t>irective</w:t>
      </w:r>
      <w:r w:rsidR="00EA6E4D">
        <w:t xml:space="preserve"> </w:t>
      </w:r>
      <w:r w:rsidR="0042645F">
        <w:t xml:space="preserve">50(3) </w:t>
      </w:r>
      <w:r w:rsidR="00434848">
        <w:t xml:space="preserve">of this </w:t>
      </w:r>
      <w:r w:rsidR="00CD3F5E">
        <w:t>d</w:t>
      </w:r>
      <w:r w:rsidR="00434848">
        <w:t>ivision</w:t>
      </w:r>
      <w:r w:rsidR="00262C07">
        <w:t xml:space="preserve"> in respect of the amendment application</w:t>
      </w:r>
      <w:r w:rsidR="00434848">
        <w:t>.  Despite this fact, Mr van Staden</w:t>
      </w:r>
      <w:r w:rsidR="005A5719">
        <w:t xml:space="preserve"> SC</w:t>
      </w:r>
      <w:r w:rsidR="00434848">
        <w:t xml:space="preserve">, on behalf of the first defendant, requested that the matter not be struck from the roll </w:t>
      </w:r>
      <w:r w:rsidR="0042645F">
        <w:t xml:space="preserve">for non-compliance </w:t>
      </w:r>
      <w:r w:rsidR="00434848">
        <w:t>and that the court proceed to hear both matter</w:t>
      </w:r>
      <w:r w:rsidR="00CD3F5E">
        <w:t>s: t</w:t>
      </w:r>
      <w:r w:rsidR="00434848">
        <w:t xml:space="preserve">he exception and the </w:t>
      </w:r>
      <w:r w:rsidR="00CD3F5E">
        <w:t>amendment application</w:t>
      </w:r>
      <w:r w:rsidR="00434848">
        <w:t>.</w:t>
      </w:r>
      <w:r w:rsidR="005A5719">
        <w:t xml:space="preserve"> </w:t>
      </w:r>
      <w:r w:rsidR="00434848">
        <w:t xml:space="preserve">I conceded to his request but </w:t>
      </w:r>
      <w:r w:rsidR="00F76E96">
        <w:t xml:space="preserve">point out that </w:t>
      </w:r>
      <w:r w:rsidR="00434848">
        <w:t>the plaintiffs</w:t>
      </w:r>
      <w:r w:rsidR="00F76E96">
        <w:t>’</w:t>
      </w:r>
      <w:r w:rsidR="00434848">
        <w:t xml:space="preserve"> failure to comply with the applicable practice directives hampered the proper ventilation of </w:t>
      </w:r>
      <w:r w:rsidR="00F76E96">
        <w:t xml:space="preserve">the </w:t>
      </w:r>
      <w:r w:rsidR="00434848">
        <w:t>issues in dispute.  After hea</w:t>
      </w:r>
      <w:r w:rsidR="00F76E96">
        <w:t>r</w:t>
      </w:r>
      <w:r w:rsidR="00434848">
        <w:t xml:space="preserve">ing argument, the matter stood down </w:t>
      </w:r>
      <w:r w:rsidR="00F76E96">
        <w:t>for</w:t>
      </w:r>
      <w:r w:rsidR="00434848">
        <w:t xml:space="preserve"> the parties to try and mediate their disputes.</w:t>
      </w:r>
    </w:p>
    <w:p w14:paraId="1F51E2F5" w14:textId="77777777" w:rsidR="00725885" w:rsidRDefault="00725885" w:rsidP="0055659E">
      <w:pPr>
        <w:pStyle w:val="ListParagraph"/>
        <w:spacing w:before="240" w:after="240" w:line="480" w:lineRule="auto"/>
        <w:ind w:left="0"/>
        <w:jc w:val="both"/>
      </w:pPr>
    </w:p>
    <w:p w14:paraId="6E73903E" w14:textId="7D20B1A0" w:rsidR="00BE259C" w:rsidRDefault="00D95DD6" w:rsidP="00D95DD6">
      <w:pPr>
        <w:spacing w:line="480" w:lineRule="auto"/>
        <w:jc w:val="both"/>
      </w:pPr>
      <w:r>
        <w:t>10.</w:t>
      </w:r>
      <w:r>
        <w:tab/>
      </w:r>
      <w:r w:rsidR="00434848">
        <w:t xml:space="preserve">The court was advised </w:t>
      </w:r>
      <w:r w:rsidR="008C0B37">
        <w:t xml:space="preserve">during </w:t>
      </w:r>
      <w:r w:rsidR="00161E2E">
        <w:t xml:space="preserve">June </w:t>
      </w:r>
      <w:r w:rsidR="00434848">
        <w:t xml:space="preserve">2022 that the parties </w:t>
      </w:r>
      <w:r w:rsidR="00F76E96">
        <w:t>failed</w:t>
      </w:r>
      <w:r w:rsidR="00434848">
        <w:t xml:space="preserve"> </w:t>
      </w:r>
      <w:r w:rsidR="003610FD">
        <w:t>to</w:t>
      </w:r>
      <w:r w:rsidR="00434848">
        <w:t xml:space="preserve"> settl</w:t>
      </w:r>
      <w:r w:rsidR="003610FD">
        <w:t>e</w:t>
      </w:r>
      <w:r w:rsidR="00434848">
        <w:t xml:space="preserve"> the matter and </w:t>
      </w:r>
      <w:r w:rsidR="00F76E96">
        <w:t xml:space="preserve">it was requested </w:t>
      </w:r>
      <w:r w:rsidR="00434848">
        <w:t xml:space="preserve">that both parties be allowed to file further heads of argument given the limited </w:t>
      </w:r>
      <w:r w:rsidR="00161E2E">
        <w:t xml:space="preserve">court </w:t>
      </w:r>
      <w:r w:rsidR="00434848">
        <w:t xml:space="preserve">time that was available for argument </w:t>
      </w:r>
      <w:r w:rsidR="00161E2E">
        <w:t xml:space="preserve">on the previous occasion </w:t>
      </w:r>
      <w:r w:rsidR="00434848">
        <w:t>and the plaintiffs</w:t>
      </w:r>
      <w:r w:rsidR="00F76E96">
        <w:t>’</w:t>
      </w:r>
      <w:r w:rsidR="00434848">
        <w:t xml:space="preserve"> failure to file </w:t>
      </w:r>
      <w:r w:rsidR="00F76E96">
        <w:t xml:space="preserve">heads of argument </w:t>
      </w:r>
      <w:r w:rsidR="00161E2E">
        <w:t xml:space="preserve">in respect of the amendment application. Both parties subsequently filed further heads of </w:t>
      </w:r>
      <w:r w:rsidR="00BE259C">
        <w:t>argument.</w:t>
      </w:r>
    </w:p>
    <w:p w14:paraId="70BA0179" w14:textId="77777777" w:rsidR="00310546" w:rsidRDefault="00310546" w:rsidP="00B0184A">
      <w:pPr>
        <w:pStyle w:val="ListParagraph"/>
        <w:spacing w:line="480" w:lineRule="auto"/>
        <w:ind w:left="0"/>
        <w:jc w:val="both"/>
        <w:rPr>
          <w:b/>
          <w:bCs/>
          <w:u w:val="single"/>
        </w:rPr>
      </w:pPr>
    </w:p>
    <w:p w14:paraId="28E1FBDB" w14:textId="6DFBD227" w:rsidR="00434848" w:rsidRPr="00F76E96" w:rsidRDefault="00BE259C" w:rsidP="00B0184A">
      <w:pPr>
        <w:pStyle w:val="ListParagraph"/>
        <w:spacing w:line="480" w:lineRule="auto"/>
        <w:ind w:left="0"/>
        <w:jc w:val="both"/>
        <w:rPr>
          <w:b/>
          <w:bCs/>
          <w:u w:val="single"/>
        </w:rPr>
      </w:pPr>
      <w:r>
        <w:rPr>
          <w:b/>
          <w:bCs/>
          <w:u w:val="single"/>
        </w:rPr>
        <w:t>The a</w:t>
      </w:r>
      <w:r w:rsidR="00B0184A">
        <w:rPr>
          <w:b/>
          <w:bCs/>
          <w:u w:val="single"/>
        </w:rPr>
        <w:t xml:space="preserve">mendment </w:t>
      </w:r>
      <w:r w:rsidR="00A075D7">
        <w:rPr>
          <w:b/>
          <w:bCs/>
          <w:u w:val="single"/>
        </w:rPr>
        <w:t>a</w:t>
      </w:r>
      <w:r w:rsidR="00B0184A">
        <w:rPr>
          <w:b/>
          <w:bCs/>
          <w:u w:val="single"/>
        </w:rPr>
        <w:t>pplication</w:t>
      </w:r>
      <w:r w:rsidR="00F76E96">
        <w:rPr>
          <w:b/>
          <w:bCs/>
          <w:u w:val="single"/>
        </w:rPr>
        <w:t>:</w:t>
      </w:r>
    </w:p>
    <w:p w14:paraId="1CD393AA" w14:textId="77777777" w:rsidR="00B0184A" w:rsidRDefault="00B0184A" w:rsidP="00B0184A">
      <w:pPr>
        <w:spacing w:line="480" w:lineRule="auto"/>
        <w:jc w:val="both"/>
        <w:rPr>
          <w:lang w:val="en-ZA"/>
        </w:rPr>
      </w:pPr>
    </w:p>
    <w:p w14:paraId="1321FF7B" w14:textId="10223908" w:rsidR="00F76E96" w:rsidRDefault="00D95DD6" w:rsidP="00D95DD6">
      <w:pPr>
        <w:spacing w:line="480" w:lineRule="auto"/>
        <w:jc w:val="both"/>
        <w:rPr>
          <w:lang w:val="en-ZA"/>
        </w:rPr>
      </w:pPr>
      <w:r>
        <w:rPr>
          <w:lang w:val="en-ZA"/>
        </w:rPr>
        <w:t>11.</w:t>
      </w:r>
      <w:r>
        <w:rPr>
          <w:lang w:val="en-ZA"/>
        </w:rPr>
        <w:tab/>
      </w:r>
      <w:r w:rsidR="001A035A">
        <w:rPr>
          <w:lang w:val="en-ZA"/>
        </w:rPr>
        <w:t xml:space="preserve">In a nutshell, the </w:t>
      </w:r>
      <w:r w:rsidR="00F76E96">
        <w:rPr>
          <w:lang w:val="en-ZA"/>
        </w:rPr>
        <w:t xml:space="preserve">proposed amendments to claims 1 and 2, which introduces allegations that the plaintiffs would be prejudiced if </w:t>
      </w:r>
      <w:r w:rsidR="0001721A">
        <w:rPr>
          <w:lang w:val="en-ZA"/>
        </w:rPr>
        <w:t xml:space="preserve">piping </w:t>
      </w:r>
      <w:r w:rsidR="00F76E96">
        <w:rPr>
          <w:lang w:val="en-ZA"/>
        </w:rPr>
        <w:t>is installed in the sloot, w</w:t>
      </w:r>
      <w:r w:rsidR="001A035A">
        <w:rPr>
          <w:lang w:val="en-ZA"/>
        </w:rPr>
        <w:t xml:space="preserve">ere </w:t>
      </w:r>
      <w:r w:rsidR="007B6F2A">
        <w:rPr>
          <w:lang w:val="en-ZA"/>
        </w:rPr>
        <w:lastRenderedPageBreak/>
        <w:t xml:space="preserve">as a result of the </w:t>
      </w:r>
      <w:r w:rsidR="00F76E96">
        <w:rPr>
          <w:lang w:val="en-ZA"/>
        </w:rPr>
        <w:t>exception filed by the first defendant</w:t>
      </w:r>
      <w:r w:rsidR="00BD6D1D">
        <w:rPr>
          <w:lang w:val="en-ZA"/>
        </w:rPr>
        <w:t>.  T</w:t>
      </w:r>
      <w:r w:rsidR="001A035A">
        <w:rPr>
          <w:lang w:val="en-ZA"/>
        </w:rPr>
        <w:t>he plaintiffs</w:t>
      </w:r>
      <w:r w:rsidR="00124A3F">
        <w:rPr>
          <w:lang w:val="en-ZA"/>
        </w:rPr>
        <w:t>’</w:t>
      </w:r>
      <w:r w:rsidR="001A035A">
        <w:rPr>
          <w:lang w:val="en-ZA"/>
        </w:rPr>
        <w:t xml:space="preserve"> further request to add a new claim </w:t>
      </w:r>
      <w:r w:rsidR="00B317C3">
        <w:rPr>
          <w:lang w:val="en-ZA"/>
        </w:rPr>
        <w:t xml:space="preserve">3 </w:t>
      </w:r>
      <w:r w:rsidR="001A035A">
        <w:rPr>
          <w:lang w:val="en-ZA"/>
        </w:rPr>
        <w:t xml:space="preserve">for interdictory relief in the event of the plaintiffs </w:t>
      </w:r>
      <w:r w:rsidR="00262C07">
        <w:rPr>
          <w:lang w:val="en-ZA"/>
        </w:rPr>
        <w:t>failing</w:t>
      </w:r>
      <w:r w:rsidR="001A035A">
        <w:rPr>
          <w:lang w:val="en-ZA"/>
        </w:rPr>
        <w:t xml:space="preserve"> </w:t>
      </w:r>
      <w:r w:rsidR="00262C07">
        <w:rPr>
          <w:lang w:val="en-ZA"/>
        </w:rPr>
        <w:t>to obtain the declaratory relief sought in c</w:t>
      </w:r>
      <w:r w:rsidR="001A035A">
        <w:rPr>
          <w:lang w:val="en-ZA"/>
        </w:rPr>
        <w:t>laims 1 and 2</w:t>
      </w:r>
      <w:r w:rsidR="00F76E96">
        <w:rPr>
          <w:lang w:val="en-ZA"/>
        </w:rPr>
        <w:t>.</w:t>
      </w:r>
      <w:r w:rsidR="001A035A">
        <w:rPr>
          <w:rStyle w:val="FootnoteReference"/>
          <w:lang w:val="en-ZA"/>
        </w:rPr>
        <w:footnoteReference w:id="6"/>
      </w:r>
    </w:p>
    <w:p w14:paraId="5205FC0F" w14:textId="77777777" w:rsidR="00A075D7" w:rsidRDefault="00A075D7" w:rsidP="00A075D7">
      <w:pPr>
        <w:spacing w:line="480" w:lineRule="auto"/>
        <w:jc w:val="both"/>
        <w:rPr>
          <w:lang w:val="en-ZA"/>
        </w:rPr>
      </w:pPr>
    </w:p>
    <w:p w14:paraId="1708A0CF" w14:textId="0561B325" w:rsidR="000458B8" w:rsidRDefault="00D95DD6" w:rsidP="00D95DD6">
      <w:pPr>
        <w:spacing w:line="480" w:lineRule="auto"/>
        <w:jc w:val="both"/>
        <w:rPr>
          <w:lang w:val="en-ZA"/>
        </w:rPr>
      </w:pPr>
      <w:r>
        <w:rPr>
          <w:lang w:val="en-ZA"/>
        </w:rPr>
        <w:t>12.</w:t>
      </w:r>
      <w:r>
        <w:rPr>
          <w:lang w:val="en-ZA"/>
        </w:rPr>
        <w:tab/>
      </w:r>
      <w:r w:rsidR="00B317C3">
        <w:rPr>
          <w:lang w:val="en-ZA"/>
        </w:rPr>
        <w:t>The f</w:t>
      </w:r>
      <w:r w:rsidR="000458B8">
        <w:rPr>
          <w:lang w:val="en-ZA"/>
        </w:rPr>
        <w:t xml:space="preserve">irst defendant filed an opposing affidavit to the </w:t>
      </w:r>
      <w:r w:rsidR="00397259">
        <w:rPr>
          <w:lang w:val="en-ZA"/>
        </w:rPr>
        <w:t>amendment</w:t>
      </w:r>
      <w:r w:rsidR="000458B8">
        <w:rPr>
          <w:lang w:val="en-ZA"/>
        </w:rPr>
        <w:t xml:space="preserve"> application, to which the plaintiffs did not reply.</w:t>
      </w:r>
    </w:p>
    <w:p w14:paraId="6377F465" w14:textId="77777777" w:rsidR="00A075D7" w:rsidRDefault="00A075D7" w:rsidP="00A075D7">
      <w:pPr>
        <w:spacing w:line="480" w:lineRule="auto"/>
        <w:jc w:val="both"/>
        <w:rPr>
          <w:lang w:val="en-ZA"/>
        </w:rPr>
      </w:pPr>
    </w:p>
    <w:p w14:paraId="73A6F9BD" w14:textId="4F2624E1" w:rsidR="00B317C3" w:rsidRDefault="00D95DD6" w:rsidP="00D95DD6">
      <w:pPr>
        <w:spacing w:line="480" w:lineRule="auto"/>
        <w:jc w:val="both"/>
        <w:rPr>
          <w:lang w:val="en-ZA"/>
        </w:rPr>
      </w:pPr>
      <w:r>
        <w:rPr>
          <w:lang w:val="en-ZA"/>
        </w:rPr>
        <w:t>13.</w:t>
      </w:r>
      <w:r>
        <w:rPr>
          <w:lang w:val="en-ZA"/>
        </w:rPr>
        <w:tab/>
      </w:r>
      <w:r w:rsidR="008E1779">
        <w:rPr>
          <w:lang w:val="en-ZA"/>
        </w:rPr>
        <w:t xml:space="preserve">It is trite </w:t>
      </w:r>
      <w:r w:rsidR="008010DC">
        <w:rPr>
          <w:lang w:val="en-ZA"/>
        </w:rPr>
        <w:t xml:space="preserve">that the primary object of allowing an amendment is to obtain a proper ventilation of the dispute between the parties in order for justice to be done. A court hearing an application for an </w:t>
      </w:r>
      <w:r w:rsidR="008E1779">
        <w:rPr>
          <w:lang w:val="en-ZA"/>
        </w:rPr>
        <w:t>amendment has a discretion whether or not to grant an amendment</w:t>
      </w:r>
      <w:r w:rsidR="0085509B">
        <w:rPr>
          <w:lang w:val="en-ZA"/>
        </w:rPr>
        <w:t xml:space="preserve">. </w:t>
      </w:r>
      <w:r w:rsidR="008010DC">
        <w:rPr>
          <w:lang w:val="en-ZA"/>
        </w:rPr>
        <w:t>The general approach</w:t>
      </w:r>
      <w:r w:rsidR="00A54775">
        <w:rPr>
          <w:lang w:val="en-ZA"/>
        </w:rPr>
        <w:t>,</w:t>
      </w:r>
      <w:r w:rsidR="008010DC">
        <w:rPr>
          <w:lang w:val="en-ZA"/>
        </w:rPr>
        <w:t xml:space="preserve"> as set out in Moolman v Estate Moolman 1927 CPD 27 at </w:t>
      </w:r>
      <w:r w:rsidR="00262C07">
        <w:rPr>
          <w:lang w:val="en-ZA"/>
        </w:rPr>
        <w:t xml:space="preserve">para </w:t>
      </w:r>
      <w:r w:rsidR="008010DC">
        <w:rPr>
          <w:lang w:val="en-ZA"/>
        </w:rPr>
        <w:t xml:space="preserve">29, is to allow amendments unless the application is </w:t>
      </w:r>
      <w:r w:rsidR="008010DC" w:rsidRPr="00FA19DA">
        <w:rPr>
          <w:i/>
          <w:iCs/>
          <w:lang w:val="en-ZA"/>
        </w:rPr>
        <w:t>mala fide</w:t>
      </w:r>
      <w:r w:rsidR="008010DC">
        <w:rPr>
          <w:lang w:val="en-ZA"/>
        </w:rPr>
        <w:t xml:space="preserve"> or would cause an injustice to the other side which cannot be compensated by </w:t>
      </w:r>
      <w:r w:rsidR="00FA19DA">
        <w:rPr>
          <w:lang w:val="en-ZA"/>
        </w:rPr>
        <w:t xml:space="preserve">costs. </w:t>
      </w:r>
    </w:p>
    <w:p w14:paraId="5931FE76" w14:textId="77777777" w:rsidR="00310546" w:rsidRDefault="00310546" w:rsidP="00310546">
      <w:pPr>
        <w:spacing w:line="480" w:lineRule="auto"/>
        <w:jc w:val="both"/>
        <w:rPr>
          <w:lang w:val="en-ZA"/>
        </w:rPr>
      </w:pPr>
    </w:p>
    <w:p w14:paraId="5E400133" w14:textId="3949614A" w:rsidR="0001721A" w:rsidRDefault="00D95DD6" w:rsidP="00D95DD6">
      <w:pPr>
        <w:spacing w:line="480" w:lineRule="auto"/>
        <w:jc w:val="both"/>
        <w:rPr>
          <w:lang w:val="en-ZA"/>
        </w:rPr>
      </w:pPr>
      <w:r>
        <w:rPr>
          <w:lang w:val="en-ZA"/>
        </w:rPr>
        <w:t>14.</w:t>
      </w:r>
      <w:r>
        <w:rPr>
          <w:lang w:val="en-ZA"/>
        </w:rPr>
        <w:tab/>
      </w:r>
      <w:r w:rsidR="0001721A">
        <w:rPr>
          <w:lang w:val="en-ZA"/>
        </w:rPr>
        <w:t>I will deal with the proposed amendment</w:t>
      </w:r>
      <w:r w:rsidR="007B6F2A">
        <w:rPr>
          <w:lang w:val="en-ZA"/>
        </w:rPr>
        <w:t>s</w:t>
      </w:r>
      <w:r w:rsidR="0001721A">
        <w:rPr>
          <w:lang w:val="en-ZA"/>
        </w:rPr>
        <w:t xml:space="preserve"> in respect of claims 1 and 2 </w:t>
      </w:r>
      <w:r w:rsidR="007B6F2A">
        <w:rPr>
          <w:lang w:val="en-ZA"/>
        </w:rPr>
        <w:t xml:space="preserve">in conjunction with the </w:t>
      </w:r>
      <w:r w:rsidR="0001721A">
        <w:rPr>
          <w:lang w:val="en-ZA"/>
        </w:rPr>
        <w:t xml:space="preserve">exceptions raised and </w:t>
      </w:r>
      <w:r w:rsidR="00A54775">
        <w:rPr>
          <w:lang w:val="en-ZA"/>
        </w:rPr>
        <w:t xml:space="preserve">separately </w:t>
      </w:r>
      <w:r w:rsidR="00397259">
        <w:rPr>
          <w:lang w:val="en-ZA"/>
        </w:rPr>
        <w:t>from</w:t>
      </w:r>
      <w:r w:rsidR="0001721A">
        <w:rPr>
          <w:lang w:val="en-ZA"/>
        </w:rPr>
        <w:t xml:space="preserve"> the </w:t>
      </w:r>
      <w:r w:rsidR="00262C07">
        <w:rPr>
          <w:lang w:val="en-ZA"/>
        </w:rPr>
        <w:t xml:space="preserve">proposed </w:t>
      </w:r>
      <w:r w:rsidR="0001721A">
        <w:rPr>
          <w:lang w:val="en-ZA"/>
        </w:rPr>
        <w:t>introduction of claim 3</w:t>
      </w:r>
      <w:r w:rsidR="00D22529">
        <w:rPr>
          <w:lang w:val="en-ZA"/>
        </w:rPr>
        <w:t>.</w:t>
      </w:r>
    </w:p>
    <w:p w14:paraId="67C7C9A9" w14:textId="77777777" w:rsidR="00B317C3" w:rsidRDefault="00B317C3" w:rsidP="00B317C3">
      <w:pPr>
        <w:pStyle w:val="ListParagraph"/>
        <w:rPr>
          <w:lang w:val="en-ZA"/>
        </w:rPr>
      </w:pPr>
    </w:p>
    <w:p w14:paraId="730F09D7" w14:textId="77777777" w:rsidR="00FA19DA" w:rsidRDefault="00FA19DA" w:rsidP="00FA19DA">
      <w:pPr>
        <w:pStyle w:val="ListParagraph"/>
        <w:rPr>
          <w:lang w:val="en-ZA"/>
        </w:rPr>
      </w:pPr>
    </w:p>
    <w:p w14:paraId="6BCAE5C4" w14:textId="77777777" w:rsidR="00A031D0" w:rsidRPr="00082A54" w:rsidRDefault="00A031D0" w:rsidP="00A031D0">
      <w:pPr>
        <w:pStyle w:val="ListParagraph"/>
        <w:spacing w:line="480" w:lineRule="auto"/>
        <w:ind w:left="0"/>
        <w:jc w:val="both"/>
        <w:rPr>
          <w:b/>
          <w:bCs/>
          <w:u w:val="single"/>
        </w:rPr>
      </w:pPr>
      <w:r w:rsidRPr="00082A54">
        <w:rPr>
          <w:b/>
          <w:bCs/>
          <w:u w:val="single"/>
        </w:rPr>
        <w:t>General approach of the courts when exceptions are raised:</w:t>
      </w:r>
    </w:p>
    <w:p w14:paraId="61DD7A13" w14:textId="77777777" w:rsidR="00A031D0" w:rsidRPr="00082A54" w:rsidRDefault="00A031D0" w:rsidP="00A031D0">
      <w:pPr>
        <w:pStyle w:val="ListParagraph"/>
        <w:spacing w:line="480" w:lineRule="auto"/>
        <w:ind w:left="0"/>
        <w:jc w:val="both"/>
      </w:pPr>
    </w:p>
    <w:p w14:paraId="08A11E12" w14:textId="49756FA8" w:rsidR="00A031D0" w:rsidRPr="00082A54" w:rsidRDefault="00D95DD6" w:rsidP="00D95DD6">
      <w:pPr>
        <w:spacing w:line="480" w:lineRule="auto"/>
        <w:jc w:val="both"/>
      </w:pPr>
      <w:r w:rsidRPr="00082A54">
        <w:t>15.</w:t>
      </w:r>
      <w:r w:rsidRPr="00082A54">
        <w:tab/>
      </w:r>
      <w:r w:rsidR="00A031D0" w:rsidRPr="00082A54">
        <w:t xml:space="preserve">Rule 18(4) of the Uniform Rules of Court provides that every pleading shall contain a clear and concise statement of the material facts upon which a pleader relies </w:t>
      </w:r>
      <w:r w:rsidR="00A031D0" w:rsidRPr="00082A54">
        <w:lastRenderedPageBreak/>
        <w:t>for his/her or its claim with sufficient particularity to enable the opposite party to plead thereto.</w:t>
      </w:r>
      <w:r w:rsidR="00A91B5D">
        <w:t xml:space="preserve"> An exception is a legal objection. </w:t>
      </w:r>
      <w:r w:rsidR="003A5415">
        <w:t>Even if an exception is dismissed, the point can be re-argued at the trial.</w:t>
      </w:r>
      <w:r w:rsidR="003A5415">
        <w:rPr>
          <w:rStyle w:val="FootnoteReference"/>
        </w:rPr>
        <w:footnoteReference w:id="7"/>
      </w:r>
    </w:p>
    <w:p w14:paraId="280B52FC" w14:textId="77777777" w:rsidR="00A031D0" w:rsidRPr="00082A54" w:rsidRDefault="00A031D0" w:rsidP="00A031D0">
      <w:pPr>
        <w:pStyle w:val="ListParagraph"/>
        <w:spacing w:line="480" w:lineRule="auto"/>
        <w:ind w:left="0"/>
        <w:jc w:val="both"/>
      </w:pPr>
    </w:p>
    <w:p w14:paraId="557B5B19" w14:textId="60D00DF8" w:rsidR="00A031D0" w:rsidRPr="00082A54" w:rsidRDefault="00D95DD6" w:rsidP="00D95DD6">
      <w:pPr>
        <w:spacing w:line="480" w:lineRule="auto"/>
        <w:jc w:val="both"/>
      </w:pPr>
      <w:r w:rsidRPr="00082A54">
        <w:t>16.</w:t>
      </w:r>
      <w:r w:rsidRPr="00082A54">
        <w:tab/>
      </w:r>
      <w:r w:rsidR="00A031D0" w:rsidRPr="00082A54">
        <w:t>It is well established that an exception provides a useful mechanism for weeding out cases without legal merit.</w:t>
      </w:r>
      <w:r w:rsidR="00A031D0" w:rsidRPr="00082A54">
        <w:rPr>
          <w:vertAlign w:val="superscript"/>
        </w:rPr>
        <w:footnoteReference w:id="8"/>
      </w:r>
      <w:r w:rsidR="00A031D0" w:rsidRPr="00D95DD6">
        <w:rPr>
          <w:vertAlign w:val="superscript"/>
        </w:rPr>
        <w:t xml:space="preserve"> </w:t>
      </w:r>
      <w:r w:rsidR="00A031D0" w:rsidRPr="00082A54">
        <w:t>Thus, an exception founded upon the contention that a summons discloses no cause of action, or that a plea lacks averments necessary to sustain a defence, is designed to obtain a decision on a point of law which will dispose of the case in whole or in part, and avoid the leading of unnecessary evidence at the trial.</w:t>
      </w:r>
    </w:p>
    <w:p w14:paraId="7862A7D8" w14:textId="77777777" w:rsidR="00A031D0" w:rsidRPr="00082A54" w:rsidRDefault="00A031D0" w:rsidP="00A031D0">
      <w:pPr>
        <w:pStyle w:val="ListParagraph"/>
        <w:spacing w:line="480" w:lineRule="auto"/>
        <w:ind w:left="0"/>
        <w:jc w:val="both"/>
      </w:pPr>
    </w:p>
    <w:p w14:paraId="7BCDFA88" w14:textId="5640338C" w:rsidR="00A031D0" w:rsidRPr="00082A54" w:rsidRDefault="00D95DD6" w:rsidP="00D95DD6">
      <w:pPr>
        <w:spacing w:line="480" w:lineRule="auto"/>
        <w:jc w:val="both"/>
      </w:pPr>
      <w:r w:rsidRPr="00082A54">
        <w:t>17.</w:t>
      </w:r>
      <w:r w:rsidRPr="00082A54">
        <w:tab/>
      </w:r>
      <w:r w:rsidR="00A031D0" w:rsidRPr="00082A54">
        <w:t>To succeed an excipient has the duty to persuade the Court that on every interpretation which the pleading in question can reasonably bear, no cause of action or defence is disclosed. Failing this, the exception ought not to be upheld.</w:t>
      </w:r>
      <w:r w:rsidR="00A031D0" w:rsidRPr="00082A54">
        <w:rPr>
          <w:rStyle w:val="FootnoteReference"/>
        </w:rPr>
        <w:footnoteReference w:id="9"/>
      </w:r>
    </w:p>
    <w:p w14:paraId="2811375B" w14:textId="77777777" w:rsidR="00A031D0" w:rsidRPr="00082A54" w:rsidRDefault="00A031D0" w:rsidP="0018092E">
      <w:pPr>
        <w:pStyle w:val="ListParagraph"/>
        <w:spacing w:line="480" w:lineRule="auto"/>
        <w:ind w:left="0"/>
        <w:jc w:val="both"/>
      </w:pPr>
    </w:p>
    <w:p w14:paraId="378572F4" w14:textId="198509CA" w:rsidR="00A031D0" w:rsidRPr="00082A54" w:rsidRDefault="00D95DD6" w:rsidP="00D95DD6">
      <w:pPr>
        <w:spacing w:line="480" w:lineRule="auto"/>
        <w:jc w:val="both"/>
      </w:pPr>
      <w:r w:rsidRPr="00082A54">
        <w:t>18.</w:t>
      </w:r>
      <w:r w:rsidRPr="00082A54">
        <w:tab/>
      </w:r>
      <w:r w:rsidR="00A031D0" w:rsidRPr="00082A54">
        <w:t>Where an exception is taken, the Court must look at the pleading excepted to as it stands:</w:t>
      </w:r>
      <w:r w:rsidR="00A031D0" w:rsidRPr="00082A54">
        <w:rPr>
          <w:rStyle w:val="FootnoteReference"/>
        </w:rPr>
        <w:footnoteReference w:id="10"/>
      </w:r>
      <w:r w:rsidR="00A031D0" w:rsidRPr="00082A54">
        <w:t xml:space="preserve"> no fact outside those stated in the pleading can be brought into issue except in the case of inconsistency</w:t>
      </w:r>
      <w:r w:rsidR="00A031D0" w:rsidRPr="00082A54">
        <w:rPr>
          <w:rStyle w:val="FootnoteReference"/>
        </w:rPr>
        <w:footnoteReference w:id="11"/>
      </w:r>
      <w:r w:rsidR="00A031D0" w:rsidRPr="00082A54">
        <w:t xml:space="preserve"> and no reference may be made to any other document.</w:t>
      </w:r>
      <w:r w:rsidR="00A031D0" w:rsidRPr="00082A54">
        <w:rPr>
          <w:rStyle w:val="FootnoteReference"/>
        </w:rPr>
        <w:footnoteReference w:id="12"/>
      </w:r>
      <w:r w:rsidR="00A031D0" w:rsidRPr="00082A54">
        <w:t xml:space="preserve">  In the recent decision of Naidoo and Another v Dube Transport Corp &amp; Others 2022 (3) SA 390 (SCA) it was reaffirmed that the court must accept the factual averments in the particulars of claim as truthful, unless manifestly false and cannot go </w:t>
      </w:r>
      <w:r w:rsidR="00A031D0" w:rsidRPr="00082A54">
        <w:lastRenderedPageBreak/>
        <w:t>beyond the pleadings.</w:t>
      </w:r>
      <w:r w:rsidR="00530E96">
        <w:t xml:space="preserve"> I can consequently not take into consideration the allegations contained in the affidavits filed in respect of the amendment application when determining the exceptions. </w:t>
      </w:r>
    </w:p>
    <w:p w14:paraId="1597CCC4" w14:textId="77777777" w:rsidR="00A031D0" w:rsidRPr="00082A54" w:rsidRDefault="00A031D0" w:rsidP="0018092E">
      <w:pPr>
        <w:pStyle w:val="ListParagraph"/>
        <w:spacing w:line="480" w:lineRule="auto"/>
        <w:ind w:left="0"/>
        <w:jc w:val="both"/>
      </w:pPr>
    </w:p>
    <w:p w14:paraId="3A242CA9" w14:textId="286C09D7" w:rsidR="00A031D0" w:rsidRPr="00D95DD6" w:rsidRDefault="00D95DD6" w:rsidP="00D95DD6">
      <w:pPr>
        <w:spacing w:line="480" w:lineRule="auto"/>
        <w:jc w:val="both"/>
        <w:rPr>
          <w:lang w:val="en-ZA"/>
        </w:rPr>
      </w:pPr>
      <w:r w:rsidRPr="0085509B">
        <w:rPr>
          <w:lang w:val="en-ZA"/>
        </w:rPr>
        <w:t>19.</w:t>
      </w:r>
      <w:r w:rsidRPr="0085509B">
        <w:rPr>
          <w:lang w:val="en-ZA"/>
        </w:rPr>
        <w:tab/>
      </w:r>
      <w:r w:rsidR="00A031D0" w:rsidRPr="00082A54">
        <w:t xml:space="preserve">An exception should </w:t>
      </w:r>
      <w:r w:rsidR="00E34F5D">
        <w:t xml:space="preserve">further </w:t>
      </w:r>
      <w:r w:rsidR="00A031D0" w:rsidRPr="00082A54">
        <w:t>be dealt with in a sensible and not over-technical manner.</w:t>
      </w:r>
      <w:r w:rsidR="00A031D0" w:rsidRPr="00082A54">
        <w:rPr>
          <w:rStyle w:val="FootnoteReference"/>
        </w:rPr>
        <w:footnoteReference w:id="13"/>
      </w:r>
      <w:r w:rsidR="00A031D0" w:rsidRPr="00082A54">
        <w:t xml:space="preserve">  </w:t>
      </w:r>
    </w:p>
    <w:p w14:paraId="20ED14B2" w14:textId="77777777" w:rsidR="00A9663E" w:rsidRPr="00A9663E" w:rsidRDefault="00A9663E" w:rsidP="00A9663E">
      <w:pPr>
        <w:spacing w:line="480" w:lineRule="auto"/>
        <w:jc w:val="both"/>
        <w:rPr>
          <w:sz w:val="22"/>
          <w:szCs w:val="22"/>
          <w:lang w:val="en-ZA"/>
        </w:rPr>
      </w:pPr>
    </w:p>
    <w:p w14:paraId="07C2315C" w14:textId="3C7A6245" w:rsidR="004658A4" w:rsidRPr="00CE36F4" w:rsidRDefault="00D95DD6" w:rsidP="00D95DD6">
      <w:pPr>
        <w:spacing w:line="480" w:lineRule="auto"/>
        <w:jc w:val="both"/>
        <w:rPr>
          <w:sz w:val="22"/>
          <w:szCs w:val="22"/>
          <w:lang w:val="en-ZA"/>
        </w:rPr>
      </w:pPr>
      <w:r w:rsidRPr="00CE36F4">
        <w:rPr>
          <w:lang w:val="en-ZA"/>
        </w:rPr>
        <w:t>20.</w:t>
      </w:r>
      <w:r w:rsidRPr="00CE36F4">
        <w:rPr>
          <w:lang w:val="en-ZA"/>
        </w:rPr>
        <w:tab/>
      </w:r>
      <w:r w:rsidR="004658A4">
        <w:t xml:space="preserve">The </w:t>
      </w:r>
      <w:r w:rsidR="008E1779">
        <w:t xml:space="preserve">definition of cause of action was stated in </w:t>
      </w:r>
      <w:r w:rsidR="004658A4">
        <w:t>the matter of McKenzie v Farmer’s Co-operative Meat Industries Ltd 1922 A</w:t>
      </w:r>
      <w:r w:rsidR="008E1779">
        <w:t xml:space="preserve">D </w:t>
      </w:r>
      <w:r w:rsidR="004658A4">
        <w:t xml:space="preserve">16 at 23 </w:t>
      </w:r>
      <w:r w:rsidR="008E1779">
        <w:t>as</w:t>
      </w:r>
      <w:r w:rsidR="004658A4">
        <w:t xml:space="preserve"> “</w:t>
      </w:r>
      <w:r w:rsidR="008E1779">
        <w:t>..</w:t>
      </w:r>
      <w:r w:rsidR="008E1779" w:rsidRPr="0085509B">
        <w:rPr>
          <w:sz w:val="22"/>
          <w:szCs w:val="22"/>
        </w:rPr>
        <w:t>every fact which it would be necessary for the plaintiff to prove, if traversed, in order to support his right to judgment of the court. It does not comprise every piece of evidence which is necessary to prove each fact, but every fact which is necessary to be proved”</w:t>
      </w:r>
      <w:r w:rsidR="00CE36F4">
        <w:rPr>
          <w:sz w:val="22"/>
          <w:szCs w:val="22"/>
        </w:rPr>
        <w:t xml:space="preserve"> </w:t>
      </w:r>
      <w:r w:rsidR="00CE36F4">
        <w:t xml:space="preserve">and </w:t>
      </w:r>
      <w:r w:rsidR="004658A4">
        <w:t>has been applied on innumerable occasions and need not be re</w:t>
      </w:r>
      <w:r w:rsidR="0001721A">
        <w:t>stated.</w:t>
      </w:r>
      <w:r w:rsidR="004658A4">
        <w:t xml:space="preserve">   </w:t>
      </w:r>
    </w:p>
    <w:p w14:paraId="670E34DE" w14:textId="77777777" w:rsidR="004658A4" w:rsidRDefault="004658A4" w:rsidP="004658A4">
      <w:pPr>
        <w:spacing w:line="480" w:lineRule="auto"/>
        <w:jc w:val="both"/>
        <w:rPr>
          <w:lang w:val="en-ZA"/>
        </w:rPr>
      </w:pPr>
    </w:p>
    <w:p w14:paraId="12042AAA" w14:textId="0143F58A" w:rsidR="00D96216" w:rsidRDefault="00D96216" w:rsidP="00B0184A">
      <w:pPr>
        <w:spacing w:line="480" w:lineRule="auto"/>
        <w:jc w:val="both"/>
        <w:rPr>
          <w:b/>
          <w:bCs/>
          <w:u w:val="single"/>
          <w:lang w:val="en-ZA"/>
        </w:rPr>
      </w:pPr>
      <w:r>
        <w:rPr>
          <w:b/>
          <w:bCs/>
          <w:u w:val="single"/>
          <w:lang w:val="en-ZA"/>
        </w:rPr>
        <w:t>The exception</w:t>
      </w:r>
      <w:r w:rsidR="00BE259C">
        <w:rPr>
          <w:b/>
          <w:bCs/>
          <w:u w:val="single"/>
          <w:lang w:val="en-ZA"/>
        </w:rPr>
        <w:t>s</w:t>
      </w:r>
      <w:r>
        <w:rPr>
          <w:b/>
          <w:bCs/>
          <w:u w:val="single"/>
          <w:lang w:val="en-ZA"/>
        </w:rPr>
        <w:t>:</w:t>
      </w:r>
    </w:p>
    <w:p w14:paraId="1A56307E" w14:textId="77777777" w:rsidR="00E55D5D" w:rsidRDefault="00E55D5D" w:rsidP="00B0184A">
      <w:pPr>
        <w:spacing w:line="480" w:lineRule="auto"/>
        <w:jc w:val="both"/>
        <w:rPr>
          <w:b/>
          <w:bCs/>
          <w:u w:val="single"/>
          <w:lang w:val="en-ZA"/>
        </w:rPr>
      </w:pPr>
    </w:p>
    <w:p w14:paraId="6A2D09AD" w14:textId="6A0AD42B" w:rsidR="005876CC" w:rsidRDefault="00D95DD6" w:rsidP="00D95DD6">
      <w:pPr>
        <w:spacing w:line="480" w:lineRule="auto"/>
        <w:jc w:val="both"/>
        <w:rPr>
          <w:lang w:val="en-ZA"/>
        </w:rPr>
      </w:pPr>
      <w:r>
        <w:rPr>
          <w:lang w:val="en-ZA"/>
        </w:rPr>
        <w:t>21.</w:t>
      </w:r>
      <w:r>
        <w:rPr>
          <w:lang w:val="en-ZA"/>
        </w:rPr>
        <w:tab/>
      </w:r>
      <w:r w:rsidR="00CE36F4">
        <w:rPr>
          <w:lang w:val="en-ZA"/>
        </w:rPr>
        <w:t>The first ground of exception is that the averments contained in paragraphs 27.1.1 to 27.1.3 of the particulars of claim</w:t>
      </w:r>
      <w:r w:rsidR="005876CC">
        <w:rPr>
          <w:lang w:val="en-ZA"/>
        </w:rPr>
        <w:t xml:space="preserve">, </w:t>
      </w:r>
      <w:r w:rsidR="00CE36F4">
        <w:rPr>
          <w:lang w:val="en-ZA"/>
        </w:rPr>
        <w:t>do not justify a finding that the deed of sale</w:t>
      </w:r>
      <w:r w:rsidR="005876CC">
        <w:rPr>
          <w:lang w:val="en-ZA"/>
        </w:rPr>
        <w:t>,</w:t>
      </w:r>
      <w:r w:rsidR="00CE36F4">
        <w:rPr>
          <w:lang w:val="en-ZA"/>
        </w:rPr>
        <w:t xml:space="preserve"> </w:t>
      </w:r>
      <w:r w:rsidR="005876CC">
        <w:rPr>
          <w:lang w:val="en-ZA"/>
        </w:rPr>
        <w:t>and more particularly the addendum thereto, are not valid and binding.</w:t>
      </w:r>
    </w:p>
    <w:p w14:paraId="0E0F6BB3" w14:textId="77777777" w:rsidR="005876CC" w:rsidRDefault="005876CC" w:rsidP="005876CC">
      <w:pPr>
        <w:spacing w:line="480" w:lineRule="auto"/>
        <w:jc w:val="both"/>
        <w:rPr>
          <w:lang w:val="en-ZA"/>
        </w:rPr>
      </w:pPr>
    </w:p>
    <w:p w14:paraId="42A9347A" w14:textId="0CF9E675" w:rsidR="00FE2C55" w:rsidRDefault="00D95DD6" w:rsidP="00D95DD6">
      <w:pPr>
        <w:spacing w:line="480" w:lineRule="auto"/>
        <w:jc w:val="both"/>
        <w:rPr>
          <w:lang w:val="en-ZA"/>
        </w:rPr>
      </w:pPr>
      <w:r>
        <w:rPr>
          <w:lang w:val="en-ZA"/>
        </w:rPr>
        <w:t>22.</w:t>
      </w:r>
      <w:r>
        <w:rPr>
          <w:lang w:val="en-ZA"/>
        </w:rPr>
        <w:tab/>
      </w:r>
      <w:r w:rsidR="00D02C2E">
        <w:rPr>
          <w:lang w:val="en-ZA"/>
        </w:rPr>
        <w:t xml:space="preserve">The second ground of exception is against the averment that </w:t>
      </w:r>
      <w:r w:rsidR="005203A6">
        <w:rPr>
          <w:lang w:val="en-ZA"/>
        </w:rPr>
        <w:t xml:space="preserve">the piping of the Molen Rivier sloot would violate a condition of the servitude agreement or notarial deed as there is no legal basis for such averment in light of the </w:t>
      </w:r>
      <w:r w:rsidR="00F14249">
        <w:rPr>
          <w:lang w:val="en-ZA"/>
        </w:rPr>
        <w:t xml:space="preserve">common law </w:t>
      </w:r>
      <w:r w:rsidR="005203A6">
        <w:rPr>
          <w:lang w:val="en-ZA"/>
        </w:rPr>
        <w:t>position that “</w:t>
      </w:r>
      <w:r w:rsidR="005203A6" w:rsidRPr="005203A6">
        <w:rPr>
          <w:sz w:val="22"/>
          <w:szCs w:val="22"/>
          <w:lang w:val="en-ZA"/>
        </w:rPr>
        <w:t xml:space="preserve">anyone who has a right of water-leading can either put a pipe in the channel or do </w:t>
      </w:r>
      <w:r w:rsidR="005203A6" w:rsidRPr="005203A6">
        <w:rPr>
          <w:sz w:val="22"/>
          <w:szCs w:val="22"/>
          <w:lang w:val="en-ZA"/>
        </w:rPr>
        <w:lastRenderedPageBreak/>
        <w:t>anything else as he pleases, whereby he may take the water more freely, provided that he does not worsen the passage of water for the owner or for other users of the channel</w:t>
      </w:r>
      <w:r w:rsidR="005203A6" w:rsidRPr="00035326">
        <w:rPr>
          <w:lang w:val="en-ZA"/>
        </w:rPr>
        <w:t>”</w:t>
      </w:r>
      <w:r w:rsidR="007B6AE5">
        <w:rPr>
          <w:rStyle w:val="FootnoteReference"/>
          <w:lang w:val="en-ZA"/>
        </w:rPr>
        <w:footnoteReference w:id="14"/>
      </w:r>
      <w:r w:rsidR="00E655D2">
        <w:rPr>
          <w:lang w:val="en-ZA"/>
        </w:rPr>
        <w:t xml:space="preserve">. </w:t>
      </w:r>
      <w:r w:rsidR="00FE2C55">
        <w:rPr>
          <w:lang w:val="en-ZA"/>
        </w:rPr>
        <w:t>In this regard the plaintiffs averred in paras 27.2 and 27.3 as follows:</w:t>
      </w:r>
    </w:p>
    <w:p w14:paraId="4802F737" w14:textId="77777777" w:rsidR="00A9663E" w:rsidRDefault="00A9663E" w:rsidP="00F14249">
      <w:pPr>
        <w:pStyle w:val="ListParagraph"/>
        <w:spacing w:line="480" w:lineRule="auto"/>
        <w:rPr>
          <w:sz w:val="22"/>
          <w:szCs w:val="22"/>
          <w:lang w:val="en-ZA"/>
        </w:rPr>
      </w:pPr>
    </w:p>
    <w:p w14:paraId="704F0003" w14:textId="2DEBBEC9" w:rsidR="00FE2C55" w:rsidRPr="00F14249" w:rsidRDefault="00FE2C55" w:rsidP="00A9663E">
      <w:pPr>
        <w:pStyle w:val="ListParagraph"/>
        <w:spacing w:line="480" w:lineRule="auto"/>
        <w:ind w:left="1440" w:hanging="720"/>
        <w:jc w:val="both"/>
        <w:rPr>
          <w:sz w:val="22"/>
          <w:szCs w:val="22"/>
          <w:lang w:val="en-ZA"/>
        </w:rPr>
      </w:pPr>
      <w:r w:rsidRPr="00F14249">
        <w:rPr>
          <w:sz w:val="22"/>
          <w:szCs w:val="22"/>
          <w:lang w:val="en-ZA"/>
        </w:rPr>
        <w:t>“27.</w:t>
      </w:r>
      <w:r w:rsidR="00E90480">
        <w:rPr>
          <w:sz w:val="22"/>
          <w:szCs w:val="22"/>
          <w:lang w:val="en-ZA"/>
        </w:rPr>
        <w:t>2</w:t>
      </w:r>
      <w:r w:rsidRPr="00F14249">
        <w:rPr>
          <w:sz w:val="22"/>
          <w:szCs w:val="22"/>
          <w:lang w:val="en-ZA"/>
        </w:rPr>
        <w:tab/>
        <w:t>The proposed piping of the Molen River sloot would destroy the furrow, thus violating a condition of the 1879 Water Servitude Agreement that a one-inch stream of water be allowed to flow for drinkin</w:t>
      </w:r>
      <w:r w:rsidR="00F14249" w:rsidRPr="00F14249">
        <w:rPr>
          <w:sz w:val="22"/>
          <w:szCs w:val="22"/>
          <w:lang w:val="en-ZA"/>
        </w:rPr>
        <w:t>g</w:t>
      </w:r>
      <w:r w:rsidRPr="00F14249">
        <w:rPr>
          <w:sz w:val="22"/>
          <w:szCs w:val="22"/>
          <w:lang w:val="en-ZA"/>
        </w:rPr>
        <w:t xml:space="preserve"> purposes during the time in which the s</w:t>
      </w:r>
      <w:r w:rsidR="00F14249" w:rsidRPr="00F14249">
        <w:rPr>
          <w:sz w:val="22"/>
          <w:szCs w:val="22"/>
          <w:lang w:val="en-ZA"/>
        </w:rPr>
        <w:t xml:space="preserve">uccessors </w:t>
      </w:r>
      <w:r w:rsidRPr="00F14249">
        <w:rPr>
          <w:sz w:val="22"/>
          <w:szCs w:val="22"/>
          <w:lang w:val="en-ZA"/>
        </w:rPr>
        <w:t>in title of C.L. du Plessis and J.P. van Tonder have the use of the Molen River water courses.</w:t>
      </w:r>
    </w:p>
    <w:p w14:paraId="68BCCC66" w14:textId="77777777" w:rsidR="00F14249" w:rsidRPr="00F14249" w:rsidRDefault="00F14249" w:rsidP="00A9663E">
      <w:pPr>
        <w:pStyle w:val="ListParagraph"/>
        <w:spacing w:line="480" w:lineRule="auto"/>
        <w:ind w:left="1440" w:hanging="720"/>
        <w:rPr>
          <w:sz w:val="22"/>
          <w:szCs w:val="22"/>
          <w:lang w:val="en-ZA"/>
        </w:rPr>
      </w:pPr>
    </w:p>
    <w:p w14:paraId="5AB0A2C5" w14:textId="24442138" w:rsidR="00FE2C55" w:rsidRPr="00F14249" w:rsidRDefault="00FE2C55" w:rsidP="00A9663E">
      <w:pPr>
        <w:pStyle w:val="ListParagraph"/>
        <w:spacing w:line="480" w:lineRule="auto"/>
        <w:ind w:left="1440" w:hanging="720"/>
        <w:jc w:val="both"/>
        <w:rPr>
          <w:sz w:val="22"/>
          <w:szCs w:val="22"/>
          <w:lang w:val="en-ZA"/>
        </w:rPr>
      </w:pPr>
      <w:r w:rsidRPr="00F14249">
        <w:rPr>
          <w:sz w:val="22"/>
          <w:szCs w:val="22"/>
          <w:lang w:val="en-ZA"/>
        </w:rPr>
        <w:t>27.3</w:t>
      </w:r>
      <w:r w:rsidRPr="00F14249">
        <w:rPr>
          <w:sz w:val="22"/>
          <w:szCs w:val="22"/>
          <w:lang w:val="en-ZA"/>
        </w:rPr>
        <w:tab/>
        <w:t>The First Defendant’s failure to comply with his obligations under the 1879 Water Servitude Agreement and/or the 1894 Notarial Deed to maintain the Molen River sloot prohibits him f</w:t>
      </w:r>
      <w:r w:rsidR="00BE259C">
        <w:rPr>
          <w:sz w:val="22"/>
          <w:szCs w:val="22"/>
          <w:lang w:val="en-ZA"/>
        </w:rPr>
        <w:t xml:space="preserve">rom </w:t>
      </w:r>
      <w:r w:rsidRPr="00F14249">
        <w:rPr>
          <w:sz w:val="22"/>
          <w:szCs w:val="22"/>
          <w:lang w:val="en-ZA"/>
        </w:rPr>
        <w:t>relying on any alleged reduction in the efficacy of the sloot in support of his claim.</w:t>
      </w:r>
      <w:r w:rsidR="00A9663E">
        <w:rPr>
          <w:sz w:val="22"/>
          <w:szCs w:val="22"/>
          <w:lang w:val="en-ZA"/>
        </w:rPr>
        <w:t>”</w:t>
      </w:r>
    </w:p>
    <w:p w14:paraId="5A476A89" w14:textId="77777777" w:rsidR="00067A9B" w:rsidRDefault="00067A9B" w:rsidP="00067A9B">
      <w:pPr>
        <w:spacing w:line="480" w:lineRule="auto"/>
        <w:jc w:val="both"/>
        <w:rPr>
          <w:lang w:val="en-ZA"/>
        </w:rPr>
      </w:pPr>
    </w:p>
    <w:p w14:paraId="0920CB54" w14:textId="4FE12FF7" w:rsidR="005203A6" w:rsidRPr="00465ED1" w:rsidRDefault="00D95DD6" w:rsidP="00D95DD6">
      <w:pPr>
        <w:spacing w:line="480" w:lineRule="auto"/>
        <w:jc w:val="both"/>
        <w:rPr>
          <w:lang w:val="en-ZA"/>
        </w:rPr>
      </w:pPr>
      <w:r w:rsidRPr="00465ED1">
        <w:rPr>
          <w:lang w:val="en-ZA"/>
        </w:rPr>
        <w:t>23.</w:t>
      </w:r>
      <w:r w:rsidRPr="00465ED1">
        <w:rPr>
          <w:lang w:val="en-ZA"/>
        </w:rPr>
        <w:tab/>
      </w:r>
      <w:r w:rsidR="00F14249">
        <w:rPr>
          <w:lang w:val="en-ZA"/>
        </w:rPr>
        <w:t xml:space="preserve">The second ground of exception </w:t>
      </w:r>
      <w:r w:rsidR="00262C07">
        <w:rPr>
          <w:lang w:val="en-ZA"/>
        </w:rPr>
        <w:t xml:space="preserve">also </w:t>
      </w:r>
      <w:r w:rsidR="00F14249">
        <w:rPr>
          <w:lang w:val="en-ZA"/>
        </w:rPr>
        <w:t xml:space="preserve">raise the issue that the </w:t>
      </w:r>
      <w:r w:rsidR="005203A6" w:rsidRPr="00035326">
        <w:rPr>
          <w:lang w:val="en-ZA"/>
        </w:rPr>
        <w:t>plaintiff</w:t>
      </w:r>
      <w:r w:rsidR="005203A6">
        <w:rPr>
          <w:lang w:val="en-ZA"/>
        </w:rPr>
        <w:t>s</w:t>
      </w:r>
      <w:r w:rsidR="005203A6" w:rsidRPr="00035326">
        <w:rPr>
          <w:lang w:val="en-ZA"/>
        </w:rPr>
        <w:t xml:space="preserve"> did not allege</w:t>
      </w:r>
      <w:r w:rsidR="00F14249">
        <w:rPr>
          <w:lang w:val="en-ZA"/>
        </w:rPr>
        <w:t xml:space="preserve">, having regard to the common law position, </w:t>
      </w:r>
      <w:r w:rsidR="005203A6" w:rsidRPr="00035326">
        <w:rPr>
          <w:lang w:val="en-ZA"/>
        </w:rPr>
        <w:t>that the laying of the pipe as envisaged</w:t>
      </w:r>
      <w:r w:rsidR="00F14249">
        <w:rPr>
          <w:lang w:val="en-ZA"/>
        </w:rPr>
        <w:t>,</w:t>
      </w:r>
      <w:r w:rsidR="005203A6" w:rsidRPr="00035326">
        <w:rPr>
          <w:lang w:val="en-ZA"/>
        </w:rPr>
        <w:t xml:space="preserve"> will worsen the passage of water for other users or that the plaintiff</w:t>
      </w:r>
      <w:r w:rsidR="005203A6">
        <w:rPr>
          <w:lang w:val="en-ZA"/>
        </w:rPr>
        <w:t>s</w:t>
      </w:r>
      <w:r w:rsidR="005203A6" w:rsidRPr="00035326">
        <w:rPr>
          <w:lang w:val="en-ZA"/>
        </w:rPr>
        <w:t xml:space="preserve"> will be prejudiced by it.</w:t>
      </w:r>
    </w:p>
    <w:p w14:paraId="2BEC6903" w14:textId="77777777" w:rsidR="00A9663E" w:rsidRDefault="00A9663E" w:rsidP="00A9663E">
      <w:pPr>
        <w:spacing w:line="480" w:lineRule="auto"/>
        <w:jc w:val="both"/>
        <w:rPr>
          <w:lang w:val="en-ZA"/>
        </w:rPr>
      </w:pPr>
    </w:p>
    <w:p w14:paraId="5A315127" w14:textId="5D6D945A" w:rsidR="005A5719" w:rsidRDefault="00D95DD6" w:rsidP="00D95DD6">
      <w:pPr>
        <w:spacing w:line="480" w:lineRule="auto"/>
        <w:jc w:val="both"/>
        <w:rPr>
          <w:lang w:val="en-ZA"/>
        </w:rPr>
      </w:pPr>
      <w:r>
        <w:rPr>
          <w:lang w:val="en-ZA"/>
        </w:rPr>
        <w:t>24.</w:t>
      </w:r>
      <w:r>
        <w:rPr>
          <w:lang w:val="en-ZA"/>
        </w:rPr>
        <w:tab/>
      </w:r>
      <w:r w:rsidR="00E655D2">
        <w:rPr>
          <w:lang w:val="en-ZA"/>
        </w:rPr>
        <w:t xml:space="preserve">In </w:t>
      </w:r>
      <w:r w:rsidR="00F14249">
        <w:rPr>
          <w:lang w:val="en-ZA"/>
        </w:rPr>
        <w:t xml:space="preserve">response to </w:t>
      </w:r>
      <w:r w:rsidR="001C79ED">
        <w:rPr>
          <w:lang w:val="en-ZA"/>
        </w:rPr>
        <w:t>the exception</w:t>
      </w:r>
      <w:r w:rsidR="00F14249">
        <w:rPr>
          <w:lang w:val="en-ZA"/>
        </w:rPr>
        <w:t xml:space="preserve">, </w:t>
      </w:r>
      <w:r w:rsidR="00E655D2">
        <w:rPr>
          <w:lang w:val="en-ZA"/>
        </w:rPr>
        <w:t>the plaintiff</w:t>
      </w:r>
      <w:r w:rsidR="00F14249">
        <w:rPr>
          <w:lang w:val="en-ZA"/>
        </w:rPr>
        <w:t>s</w:t>
      </w:r>
      <w:r w:rsidR="00E655D2">
        <w:rPr>
          <w:lang w:val="en-ZA"/>
        </w:rPr>
        <w:t xml:space="preserve"> seek leave to supplement para 27 of the particulars of claim by adding the following</w:t>
      </w:r>
      <w:r w:rsidR="00047CCD">
        <w:rPr>
          <w:lang w:val="en-ZA"/>
        </w:rPr>
        <w:t xml:space="preserve"> sub-paragraphs</w:t>
      </w:r>
      <w:r w:rsidR="00E655D2">
        <w:rPr>
          <w:lang w:val="en-ZA"/>
        </w:rPr>
        <w:t>:</w:t>
      </w:r>
    </w:p>
    <w:p w14:paraId="20F1EB3F" w14:textId="77777777" w:rsidR="008C0B37" w:rsidRDefault="008C0B37" w:rsidP="008C0B37">
      <w:pPr>
        <w:spacing w:line="480" w:lineRule="auto"/>
        <w:jc w:val="both"/>
        <w:rPr>
          <w:lang w:val="en-ZA"/>
        </w:rPr>
      </w:pPr>
    </w:p>
    <w:p w14:paraId="61DBCC54" w14:textId="5719B1E3" w:rsidR="00035326" w:rsidRPr="00035326" w:rsidRDefault="00035326" w:rsidP="00B0184A">
      <w:pPr>
        <w:pStyle w:val="ListParagraph"/>
        <w:spacing w:line="480" w:lineRule="auto"/>
        <w:ind w:left="1440" w:hanging="720"/>
        <w:jc w:val="both"/>
        <w:rPr>
          <w:sz w:val="22"/>
          <w:szCs w:val="22"/>
          <w:lang w:val="en-ZA"/>
        </w:rPr>
      </w:pPr>
      <w:r w:rsidRPr="00035326">
        <w:rPr>
          <w:lang w:val="en-ZA"/>
        </w:rPr>
        <w:lastRenderedPageBreak/>
        <w:t>“</w:t>
      </w:r>
      <w:r w:rsidRPr="00035326">
        <w:rPr>
          <w:sz w:val="22"/>
          <w:szCs w:val="22"/>
          <w:lang w:val="en-ZA"/>
        </w:rPr>
        <w:t>27.4.</w:t>
      </w:r>
      <w:r w:rsidRPr="00035326">
        <w:rPr>
          <w:sz w:val="22"/>
          <w:szCs w:val="22"/>
          <w:lang w:val="en-ZA"/>
        </w:rPr>
        <w:tab/>
        <w:t xml:space="preserve">The Plaintiffs will suffer prejudice if a pipe is installed in the furrow, inasmuch as – </w:t>
      </w:r>
    </w:p>
    <w:p w14:paraId="483AA322" w14:textId="2F9AAF26" w:rsidR="00035326" w:rsidRPr="00035326" w:rsidRDefault="00035326" w:rsidP="00B0184A">
      <w:pPr>
        <w:pStyle w:val="ListParagraph"/>
        <w:spacing w:line="480" w:lineRule="auto"/>
        <w:ind w:left="1440"/>
        <w:jc w:val="both"/>
        <w:rPr>
          <w:sz w:val="22"/>
          <w:szCs w:val="22"/>
          <w:lang w:val="en-ZA"/>
        </w:rPr>
      </w:pPr>
      <w:r w:rsidRPr="00035326">
        <w:rPr>
          <w:sz w:val="22"/>
          <w:szCs w:val="22"/>
          <w:lang w:val="en-ZA"/>
        </w:rPr>
        <w:t>27.4.1.</w:t>
      </w:r>
      <w:r w:rsidRPr="00035326">
        <w:rPr>
          <w:sz w:val="22"/>
          <w:szCs w:val="22"/>
          <w:lang w:val="en-ZA"/>
        </w:rPr>
        <w:tab/>
        <w:t>their existing right to draw water from any section along the Molen River Sloot on their respective farm portions for drinking purposes when the owners of the highest and intervening farms take their water turns, as expressly provided in the 25 March 1979 agreement, would be frustrated or unduly limited;</w:t>
      </w:r>
    </w:p>
    <w:p w14:paraId="5C3E01F2" w14:textId="77777777" w:rsidR="00035326" w:rsidRPr="00035326" w:rsidRDefault="00035326" w:rsidP="00B0184A">
      <w:pPr>
        <w:pStyle w:val="ListParagraph"/>
        <w:spacing w:line="480" w:lineRule="auto"/>
        <w:ind w:left="1440"/>
        <w:jc w:val="both"/>
        <w:rPr>
          <w:sz w:val="22"/>
          <w:szCs w:val="22"/>
          <w:lang w:val="en-ZA"/>
        </w:rPr>
      </w:pPr>
    </w:p>
    <w:p w14:paraId="597FEFEA" w14:textId="77777777" w:rsidR="00E90480" w:rsidRDefault="00035326" w:rsidP="00B0184A">
      <w:pPr>
        <w:pStyle w:val="ListParagraph"/>
        <w:spacing w:line="480" w:lineRule="auto"/>
        <w:ind w:left="1440"/>
        <w:jc w:val="both"/>
        <w:rPr>
          <w:sz w:val="22"/>
          <w:szCs w:val="22"/>
          <w:lang w:val="en-ZA"/>
        </w:rPr>
      </w:pPr>
      <w:r w:rsidRPr="00035326">
        <w:rPr>
          <w:sz w:val="22"/>
          <w:szCs w:val="22"/>
          <w:lang w:val="en-ZA"/>
        </w:rPr>
        <w:t>27.4.2.</w:t>
      </w:r>
      <w:r w:rsidRPr="00035326">
        <w:rPr>
          <w:sz w:val="22"/>
          <w:szCs w:val="22"/>
          <w:lang w:val="en-ZA"/>
        </w:rPr>
        <w:tab/>
        <w:t>the laying of a pipe in the Molen River Sloot would change the nature of the plaintiffs’ joint maintenance obligations detailed at paragraph 19 above and result in a more onerous financial burden</w:t>
      </w:r>
      <w:r w:rsidR="00E90480">
        <w:rPr>
          <w:sz w:val="22"/>
          <w:szCs w:val="22"/>
          <w:lang w:val="en-ZA"/>
        </w:rPr>
        <w:t>….</w:t>
      </w:r>
    </w:p>
    <w:p w14:paraId="21DDE384" w14:textId="77777777" w:rsidR="00E90480" w:rsidRDefault="00E90480" w:rsidP="00B0184A">
      <w:pPr>
        <w:pStyle w:val="ListParagraph"/>
        <w:spacing w:line="480" w:lineRule="auto"/>
        <w:ind w:left="1440"/>
        <w:jc w:val="both"/>
        <w:rPr>
          <w:sz w:val="22"/>
          <w:szCs w:val="22"/>
          <w:lang w:val="en-ZA"/>
        </w:rPr>
      </w:pPr>
    </w:p>
    <w:p w14:paraId="628CD283" w14:textId="16BFAC97" w:rsidR="00035326" w:rsidRDefault="00E573B0" w:rsidP="00B0184A">
      <w:pPr>
        <w:pStyle w:val="ListParagraph"/>
        <w:spacing w:line="480" w:lineRule="auto"/>
        <w:ind w:left="1440"/>
        <w:jc w:val="both"/>
        <w:rPr>
          <w:lang w:val="en-ZA"/>
        </w:rPr>
      </w:pPr>
      <w:r>
        <w:rPr>
          <w:sz w:val="22"/>
          <w:szCs w:val="22"/>
          <w:lang w:val="en-ZA"/>
        </w:rPr>
        <w:t>34.3</w:t>
      </w:r>
      <w:r>
        <w:rPr>
          <w:sz w:val="22"/>
          <w:szCs w:val="22"/>
          <w:lang w:val="en-ZA"/>
        </w:rPr>
        <w:tab/>
        <w:t>…the piping of the Molen River Sloot will prejudice the Plaintiffs in the manner detailed at paragraph 27.4 above</w:t>
      </w:r>
      <w:r w:rsidR="00035326" w:rsidRPr="00035326">
        <w:rPr>
          <w:sz w:val="22"/>
          <w:szCs w:val="22"/>
          <w:lang w:val="en-ZA"/>
        </w:rPr>
        <w:t>”</w:t>
      </w:r>
    </w:p>
    <w:p w14:paraId="6087D3FD" w14:textId="77777777" w:rsidR="007D6E90" w:rsidRDefault="007D6E90" w:rsidP="007D6E90">
      <w:pPr>
        <w:spacing w:line="480" w:lineRule="auto"/>
        <w:jc w:val="both"/>
        <w:rPr>
          <w:lang w:val="en-ZA"/>
        </w:rPr>
      </w:pPr>
    </w:p>
    <w:p w14:paraId="7874B3B4" w14:textId="2F6F571C" w:rsidR="00E556F2" w:rsidRDefault="00D95DD6" w:rsidP="00D95DD6">
      <w:pPr>
        <w:spacing w:line="480" w:lineRule="auto"/>
        <w:jc w:val="both"/>
        <w:rPr>
          <w:lang w:val="en-ZA"/>
        </w:rPr>
      </w:pPr>
      <w:r>
        <w:rPr>
          <w:lang w:val="en-ZA"/>
        </w:rPr>
        <w:t>25.</w:t>
      </w:r>
      <w:r>
        <w:rPr>
          <w:lang w:val="en-ZA"/>
        </w:rPr>
        <w:tab/>
      </w:r>
      <w:r w:rsidR="001C79ED">
        <w:rPr>
          <w:lang w:val="en-ZA"/>
        </w:rPr>
        <w:t xml:space="preserve">The aforesaid amendments were objected to on </w:t>
      </w:r>
      <w:r w:rsidR="001C79ED">
        <w:rPr>
          <w:i/>
          <w:iCs/>
          <w:lang w:val="en-ZA"/>
        </w:rPr>
        <w:t xml:space="preserve">inter </w:t>
      </w:r>
      <w:r w:rsidR="001C79ED" w:rsidRPr="001C79ED">
        <w:rPr>
          <w:i/>
          <w:iCs/>
          <w:lang w:val="en-ZA"/>
        </w:rPr>
        <w:t xml:space="preserve">alia </w:t>
      </w:r>
      <w:r w:rsidR="001C79ED">
        <w:rPr>
          <w:lang w:val="en-ZA"/>
        </w:rPr>
        <w:t xml:space="preserve">the basis that </w:t>
      </w:r>
      <w:r w:rsidR="0001721A">
        <w:rPr>
          <w:lang w:val="en-ZA"/>
        </w:rPr>
        <w:t xml:space="preserve">even </w:t>
      </w:r>
      <w:r w:rsidR="00E556F2">
        <w:rPr>
          <w:lang w:val="en-ZA"/>
        </w:rPr>
        <w:t xml:space="preserve">if the </w:t>
      </w:r>
      <w:r w:rsidR="0001721A">
        <w:rPr>
          <w:lang w:val="en-ZA"/>
        </w:rPr>
        <w:t>aforesaid amendments are allowed</w:t>
      </w:r>
      <w:r w:rsidR="00E556F2">
        <w:rPr>
          <w:lang w:val="en-ZA"/>
        </w:rPr>
        <w:t xml:space="preserve">, the particulars of claim </w:t>
      </w:r>
      <w:r w:rsidR="007B6F2A">
        <w:rPr>
          <w:lang w:val="en-ZA"/>
        </w:rPr>
        <w:t xml:space="preserve">would still fail to disclose a cause of action based on the main ground of exception set out below, alternatively </w:t>
      </w:r>
      <w:r w:rsidR="00E556F2">
        <w:rPr>
          <w:lang w:val="en-ZA"/>
        </w:rPr>
        <w:t xml:space="preserve">would still lack averments necessary to sustain a cause of action as the plaintiffs do not set out </w:t>
      </w:r>
      <w:r w:rsidR="00E573B0">
        <w:rPr>
          <w:lang w:val="en-ZA"/>
        </w:rPr>
        <w:t xml:space="preserve">why and </w:t>
      </w:r>
      <w:r w:rsidR="00E556F2">
        <w:rPr>
          <w:lang w:val="en-ZA"/>
        </w:rPr>
        <w:t>how their exi</w:t>
      </w:r>
      <w:r w:rsidR="000C315C">
        <w:rPr>
          <w:lang w:val="en-ZA"/>
        </w:rPr>
        <w:t>s</w:t>
      </w:r>
      <w:r w:rsidR="00E556F2">
        <w:rPr>
          <w:lang w:val="en-ZA"/>
        </w:rPr>
        <w:t>ting right to draw water would be frustrated and unduly limited, and how the nature of the joint maintenance mandate would result in a more onerous financial burden.</w:t>
      </w:r>
    </w:p>
    <w:p w14:paraId="2FABCA55" w14:textId="77777777" w:rsidR="00530E96" w:rsidRDefault="00530E96" w:rsidP="00E556F2">
      <w:pPr>
        <w:spacing w:line="480" w:lineRule="auto"/>
        <w:jc w:val="both"/>
        <w:rPr>
          <w:lang w:val="en-ZA"/>
        </w:rPr>
      </w:pPr>
    </w:p>
    <w:p w14:paraId="3C70C27C" w14:textId="08016160" w:rsidR="00E556F2" w:rsidRDefault="00E556F2" w:rsidP="00E556F2">
      <w:pPr>
        <w:spacing w:line="480" w:lineRule="auto"/>
        <w:jc w:val="both"/>
        <w:rPr>
          <w:b/>
          <w:u w:val="single"/>
          <w:lang w:val="en-ZA"/>
        </w:rPr>
      </w:pPr>
      <w:r w:rsidRPr="00E556F2">
        <w:rPr>
          <w:b/>
          <w:u w:val="single"/>
          <w:lang w:val="en-ZA"/>
        </w:rPr>
        <w:t>The first ground of exception:</w:t>
      </w:r>
    </w:p>
    <w:p w14:paraId="656DE1D5" w14:textId="0D6024CF" w:rsidR="00E556F2" w:rsidRPr="00E556F2" w:rsidRDefault="00E556F2" w:rsidP="00E556F2">
      <w:pPr>
        <w:spacing w:line="480" w:lineRule="auto"/>
        <w:jc w:val="both"/>
        <w:rPr>
          <w:b/>
          <w:u w:val="single"/>
          <w:lang w:val="en-ZA"/>
        </w:rPr>
      </w:pPr>
      <w:r w:rsidRPr="00E556F2">
        <w:rPr>
          <w:b/>
          <w:u w:val="single"/>
          <w:lang w:val="en-ZA"/>
        </w:rPr>
        <w:t xml:space="preserve"> </w:t>
      </w:r>
    </w:p>
    <w:p w14:paraId="530AD04D" w14:textId="461BB158" w:rsidR="001324FA" w:rsidRDefault="00D95DD6" w:rsidP="00D95DD6">
      <w:pPr>
        <w:spacing w:line="480" w:lineRule="auto"/>
        <w:jc w:val="both"/>
        <w:rPr>
          <w:lang w:val="en-ZA"/>
        </w:rPr>
      </w:pPr>
      <w:r>
        <w:rPr>
          <w:lang w:val="en-ZA"/>
        </w:rPr>
        <w:t>26.</w:t>
      </w:r>
      <w:r>
        <w:rPr>
          <w:lang w:val="en-ZA"/>
        </w:rPr>
        <w:tab/>
      </w:r>
      <w:r w:rsidR="00530E96">
        <w:rPr>
          <w:lang w:val="en-ZA"/>
        </w:rPr>
        <w:t>T</w:t>
      </w:r>
      <w:r w:rsidR="00526E5D" w:rsidRPr="00526E5D">
        <w:rPr>
          <w:lang w:val="en-ZA"/>
        </w:rPr>
        <w:t xml:space="preserve">he first defendant </w:t>
      </w:r>
      <w:r w:rsidR="00530E96">
        <w:rPr>
          <w:lang w:val="en-ZA"/>
        </w:rPr>
        <w:t xml:space="preserve">contends </w:t>
      </w:r>
      <w:r w:rsidR="00A11136" w:rsidRPr="00526E5D">
        <w:rPr>
          <w:lang w:val="en-ZA"/>
        </w:rPr>
        <w:t xml:space="preserve">that the contents of the addendum </w:t>
      </w:r>
      <w:r w:rsidR="00530E96">
        <w:rPr>
          <w:lang w:val="en-ZA"/>
        </w:rPr>
        <w:t xml:space="preserve">to the deed of sale </w:t>
      </w:r>
      <w:r w:rsidR="00A11136" w:rsidRPr="00526E5D">
        <w:rPr>
          <w:lang w:val="en-ZA"/>
        </w:rPr>
        <w:t>and more particularly, paragraph</w:t>
      </w:r>
      <w:r w:rsidR="00526E5D" w:rsidRPr="00526E5D">
        <w:rPr>
          <w:lang w:val="en-ZA"/>
        </w:rPr>
        <w:t>s</w:t>
      </w:r>
      <w:r w:rsidR="00A11136" w:rsidRPr="00526E5D">
        <w:rPr>
          <w:lang w:val="en-ZA"/>
        </w:rPr>
        <w:t xml:space="preserve"> 5 and 8 thereof, </w:t>
      </w:r>
      <w:r w:rsidR="00530E96">
        <w:rPr>
          <w:lang w:val="en-ZA"/>
        </w:rPr>
        <w:t xml:space="preserve">whilst not </w:t>
      </w:r>
      <w:r w:rsidR="00A11136" w:rsidRPr="00526E5D">
        <w:rPr>
          <w:lang w:val="en-ZA"/>
        </w:rPr>
        <w:t xml:space="preserve">clear in every </w:t>
      </w:r>
      <w:r w:rsidR="00A11136" w:rsidRPr="00526E5D">
        <w:rPr>
          <w:lang w:val="en-ZA"/>
        </w:rPr>
        <w:lastRenderedPageBreak/>
        <w:t>respect, is sufficient to establish a</w:t>
      </w:r>
      <w:r w:rsidR="00F20E05">
        <w:rPr>
          <w:lang w:val="en-ZA"/>
        </w:rPr>
        <w:t xml:space="preserve"> </w:t>
      </w:r>
      <w:r w:rsidR="001324FA">
        <w:rPr>
          <w:lang w:val="en-ZA"/>
        </w:rPr>
        <w:t>valid and enforceable agreement</w:t>
      </w:r>
      <w:r w:rsidR="00C92DEF">
        <w:rPr>
          <w:lang w:val="en-ZA"/>
        </w:rPr>
        <w:t xml:space="preserve"> </w:t>
      </w:r>
      <w:r w:rsidR="001324FA" w:rsidRPr="00AC2AE9">
        <w:rPr>
          <w:lang w:val="en-ZA"/>
        </w:rPr>
        <w:t>to</w:t>
      </w:r>
      <w:r w:rsidR="001324FA" w:rsidRPr="00262C07">
        <w:rPr>
          <w:b/>
          <w:bCs/>
          <w:lang w:val="en-ZA"/>
        </w:rPr>
        <w:t xml:space="preserve"> </w:t>
      </w:r>
      <w:r w:rsidR="001324FA">
        <w:rPr>
          <w:lang w:val="en-ZA"/>
        </w:rPr>
        <w:t>pipe the Molen River sloot.</w:t>
      </w:r>
    </w:p>
    <w:p w14:paraId="086E74BE" w14:textId="77777777" w:rsidR="00E573B0" w:rsidRDefault="00E573B0" w:rsidP="00E573B0">
      <w:pPr>
        <w:spacing w:line="480" w:lineRule="auto"/>
        <w:jc w:val="both"/>
        <w:rPr>
          <w:lang w:val="en-ZA"/>
        </w:rPr>
      </w:pPr>
    </w:p>
    <w:p w14:paraId="600357F7" w14:textId="7FCF1313" w:rsidR="00067A9B" w:rsidRDefault="00D95DD6" w:rsidP="00D95DD6">
      <w:pPr>
        <w:spacing w:line="480" w:lineRule="auto"/>
        <w:jc w:val="both"/>
        <w:rPr>
          <w:lang w:val="en-ZA"/>
        </w:rPr>
      </w:pPr>
      <w:r>
        <w:rPr>
          <w:lang w:val="en-ZA"/>
        </w:rPr>
        <w:t>27.</w:t>
      </w:r>
      <w:r>
        <w:rPr>
          <w:lang w:val="en-ZA"/>
        </w:rPr>
        <w:tab/>
      </w:r>
      <w:r w:rsidR="00067A9B">
        <w:rPr>
          <w:lang w:val="en-ZA"/>
        </w:rPr>
        <w:t>During argument, the plaintiffs abandoned reliance on the grounds set out in paras 27.1.1 and 27.1.2</w:t>
      </w:r>
      <w:r w:rsidR="00067A9B">
        <w:rPr>
          <w:rStyle w:val="FootnoteReference"/>
          <w:lang w:val="en-ZA"/>
        </w:rPr>
        <w:footnoteReference w:id="15"/>
      </w:r>
      <w:r w:rsidR="00067A9B">
        <w:rPr>
          <w:lang w:val="en-ZA"/>
        </w:rPr>
        <w:t xml:space="preserve"> of the particulars of claim and only persisted with the averment contained in para 27.1.3</w:t>
      </w:r>
      <w:r w:rsidR="00067A9B">
        <w:rPr>
          <w:rStyle w:val="FootnoteReference"/>
          <w:lang w:val="en-ZA"/>
        </w:rPr>
        <w:footnoteReference w:id="16"/>
      </w:r>
      <w:r w:rsidR="00067A9B">
        <w:rPr>
          <w:lang w:val="en-ZA"/>
        </w:rPr>
        <w:t xml:space="preserve"> read with paras 27.2.and 27.3, in support of the contention that para 8 of the addendum to the deed of sale is not a binding contractual term. </w:t>
      </w:r>
    </w:p>
    <w:p w14:paraId="00E7A720" w14:textId="77777777" w:rsidR="009403D2" w:rsidRDefault="009403D2" w:rsidP="009403D2">
      <w:pPr>
        <w:spacing w:line="480" w:lineRule="auto"/>
        <w:jc w:val="both"/>
        <w:rPr>
          <w:lang w:val="en-ZA"/>
        </w:rPr>
      </w:pPr>
    </w:p>
    <w:p w14:paraId="050E7824" w14:textId="187C9E3C" w:rsidR="008D64E3" w:rsidRDefault="00D95DD6" w:rsidP="00D95DD6">
      <w:pPr>
        <w:spacing w:line="480" w:lineRule="auto"/>
        <w:jc w:val="both"/>
        <w:rPr>
          <w:lang w:val="en-ZA"/>
        </w:rPr>
      </w:pPr>
      <w:r>
        <w:rPr>
          <w:lang w:val="en-ZA"/>
        </w:rPr>
        <w:t>28.</w:t>
      </w:r>
      <w:r>
        <w:rPr>
          <w:lang w:val="en-ZA"/>
        </w:rPr>
        <w:tab/>
      </w:r>
      <w:r w:rsidR="00067A9B">
        <w:rPr>
          <w:lang w:val="en-ZA"/>
        </w:rPr>
        <w:t>It was</w:t>
      </w:r>
      <w:r w:rsidR="008D64E3">
        <w:rPr>
          <w:lang w:val="en-ZA"/>
        </w:rPr>
        <w:t xml:space="preserve"> </w:t>
      </w:r>
      <w:r w:rsidR="00F15F8E">
        <w:rPr>
          <w:lang w:val="en-ZA"/>
        </w:rPr>
        <w:t xml:space="preserve">further </w:t>
      </w:r>
      <w:r w:rsidR="008D64E3">
        <w:rPr>
          <w:lang w:val="en-ZA"/>
        </w:rPr>
        <w:t>conten</w:t>
      </w:r>
      <w:r w:rsidR="00CC4AF5">
        <w:rPr>
          <w:lang w:val="en-ZA"/>
        </w:rPr>
        <w:t>d</w:t>
      </w:r>
      <w:r w:rsidR="008D64E3">
        <w:rPr>
          <w:lang w:val="en-ZA"/>
        </w:rPr>
        <w:t xml:space="preserve">ed that the addendum was not valid and binding as it is contrary to the express terms of the </w:t>
      </w:r>
      <w:r w:rsidR="001324FA" w:rsidRPr="008D64E3">
        <w:rPr>
          <w:lang w:val="en-ZA"/>
        </w:rPr>
        <w:t xml:space="preserve">servitude agreement and </w:t>
      </w:r>
      <w:r w:rsidR="00DE3703">
        <w:rPr>
          <w:lang w:val="en-ZA"/>
        </w:rPr>
        <w:t xml:space="preserve">that </w:t>
      </w:r>
      <w:r w:rsidR="008D64E3">
        <w:rPr>
          <w:lang w:val="en-ZA"/>
        </w:rPr>
        <w:t xml:space="preserve">if </w:t>
      </w:r>
      <w:r w:rsidR="001324FA" w:rsidRPr="008D64E3">
        <w:rPr>
          <w:lang w:val="en-ZA"/>
        </w:rPr>
        <w:t>the first defendant is allowed to pipe the sloot, the furrow will be destroyed</w:t>
      </w:r>
      <w:r w:rsidR="008D64E3">
        <w:rPr>
          <w:lang w:val="en-ZA"/>
        </w:rPr>
        <w:t xml:space="preserve"> as alleged in para 27.2</w:t>
      </w:r>
      <w:r w:rsidR="00371BE1">
        <w:rPr>
          <w:lang w:val="en-ZA"/>
        </w:rPr>
        <w:t xml:space="preserve"> and the joint maintenance obligation unilaterally altered</w:t>
      </w:r>
      <w:r w:rsidR="00067A9B">
        <w:rPr>
          <w:lang w:val="en-ZA"/>
        </w:rPr>
        <w:t xml:space="preserve"> as alleged in para 27.3</w:t>
      </w:r>
      <w:r w:rsidR="00371BE1">
        <w:rPr>
          <w:lang w:val="en-ZA"/>
        </w:rPr>
        <w:t xml:space="preserve">. </w:t>
      </w:r>
      <w:r w:rsidR="00DE3703">
        <w:rPr>
          <w:lang w:val="en-ZA"/>
        </w:rPr>
        <w:t xml:space="preserve"> </w:t>
      </w:r>
    </w:p>
    <w:p w14:paraId="3B725B71" w14:textId="77777777" w:rsidR="00A9663E" w:rsidRDefault="00A9663E" w:rsidP="00A9663E">
      <w:pPr>
        <w:spacing w:line="480" w:lineRule="auto"/>
        <w:jc w:val="both"/>
        <w:rPr>
          <w:lang w:val="en-ZA"/>
        </w:rPr>
      </w:pPr>
    </w:p>
    <w:p w14:paraId="4A3C14FB" w14:textId="5814292E" w:rsidR="001E12EF" w:rsidRDefault="00D95DD6" w:rsidP="00D95DD6">
      <w:pPr>
        <w:spacing w:line="480" w:lineRule="auto"/>
        <w:jc w:val="both"/>
        <w:rPr>
          <w:lang w:val="en-ZA"/>
        </w:rPr>
      </w:pPr>
      <w:r>
        <w:rPr>
          <w:lang w:val="en-ZA"/>
        </w:rPr>
        <w:t>29.</w:t>
      </w:r>
      <w:r>
        <w:rPr>
          <w:lang w:val="en-ZA"/>
        </w:rPr>
        <w:tab/>
      </w:r>
      <w:r w:rsidR="00B464E0" w:rsidRPr="0068643D">
        <w:rPr>
          <w:lang w:val="en-ZA"/>
        </w:rPr>
        <w:t xml:space="preserve">The first defendant contends </w:t>
      </w:r>
      <w:r w:rsidR="0068643D" w:rsidRPr="0068643D">
        <w:rPr>
          <w:lang w:val="en-ZA"/>
        </w:rPr>
        <w:t>that the plaintiffs</w:t>
      </w:r>
      <w:r w:rsidR="00077B3B">
        <w:rPr>
          <w:lang w:val="en-ZA"/>
        </w:rPr>
        <w:t>,</w:t>
      </w:r>
      <w:r w:rsidR="0068643D" w:rsidRPr="0068643D">
        <w:rPr>
          <w:lang w:val="en-ZA"/>
        </w:rPr>
        <w:t xml:space="preserve"> in </w:t>
      </w:r>
      <w:r w:rsidR="00B464E0" w:rsidRPr="0068643D">
        <w:rPr>
          <w:lang w:val="en-ZA"/>
        </w:rPr>
        <w:t xml:space="preserve">para 27.2, </w:t>
      </w:r>
      <w:r w:rsidR="0068643D" w:rsidRPr="0068643D">
        <w:rPr>
          <w:lang w:val="en-ZA"/>
        </w:rPr>
        <w:t xml:space="preserve">has failed to plead </w:t>
      </w:r>
      <w:r w:rsidR="00A11136" w:rsidRPr="0068643D">
        <w:rPr>
          <w:lang w:val="en-ZA"/>
        </w:rPr>
        <w:t xml:space="preserve">primary facts in support of the inference that the condition that </w:t>
      </w:r>
      <w:r w:rsidR="00A11136" w:rsidRPr="0068643D">
        <w:rPr>
          <w:i/>
          <w:iCs/>
          <w:lang w:val="en-ZA"/>
        </w:rPr>
        <w:t xml:space="preserve">‘a stream of water (one-inch in diameter) shall be allowed to flow for drinking purposes during the times in which C L du Plessis and Mr J P van Tonder have the use of the Molen River water courses’ </w:t>
      </w:r>
      <w:r w:rsidR="00A11136" w:rsidRPr="0068643D">
        <w:rPr>
          <w:lang w:val="en-ZA"/>
        </w:rPr>
        <w:t>will be violated by the piping</w:t>
      </w:r>
      <w:r w:rsidR="0068643D" w:rsidRPr="0068643D">
        <w:rPr>
          <w:lang w:val="en-ZA"/>
        </w:rPr>
        <w:t xml:space="preserve"> and that the plaintiffs furthermore </w:t>
      </w:r>
      <w:r w:rsidR="00A11136" w:rsidRPr="0068643D">
        <w:rPr>
          <w:lang w:val="en-ZA"/>
        </w:rPr>
        <w:t xml:space="preserve">do not explain why a one-inch stream of water cannot be allowed to flow for drinking purposes if a pipe is installed. </w:t>
      </w:r>
    </w:p>
    <w:p w14:paraId="5FEE1465" w14:textId="77777777" w:rsidR="00A9663E" w:rsidRDefault="00A9663E" w:rsidP="00A9663E">
      <w:pPr>
        <w:spacing w:line="480" w:lineRule="auto"/>
        <w:jc w:val="both"/>
        <w:rPr>
          <w:lang w:val="en-ZA"/>
        </w:rPr>
      </w:pPr>
    </w:p>
    <w:p w14:paraId="4CF67AD7" w14:textId="602DCCBC" w:rsidR="00720E69" w:rsidRDefault="00D95DD6" w:rsidP="00D95DD6">
      <w:pPr>
        <w:spacing w:line="480" w:lineRule="auto"/>
        <w:jc w:val="both"/>
        <w:rPr>
          <w:lang w:val="en-ZA"/>
        </w:rPr>
      </w:pPr>
      <w:r>
        <w:rPr>
          <w:lang w:val="en-ZA"/>
        </w:rPr>
        <w:lastRenderedPageBreak/>
        <w:t>30.</w:t>
      </w:r>
      <w:r>
        <w:rPr>
          <w:lang w:val="en-ZA"/>
        </w:rPr>
        <w:tab/>
      </w:r>
      <w:r w:rsidR="00077B3B" w:rsidRPr="006E5E04">
        <w:rPr>
          <w:lang w:val="en-ZA"/>
        </w:rPr>
        <w:t xml:space="preserve">The further complaint by the first defendant is that the averment in para </w:t>
      </w:r>
      <w:r w:rsidR="00A11136" w:rsidRPr="006E5E04">
        <w:rPr>
          <w:lang w:val="en-ZA"/>
        </w:rPr>
        <w:t xml:space="preserve">27.3 </w:t>
      </w:r>
      <w:r w:rsidR="00077B3B" w:rsidRPr="006E5E04">
        <w:rPr>
          <w:lang w:val="en-ZA"/>
        </w:rPr>
        <w:t>of the particulars of claim</w:t>
      </w:r>
      <w:r w:rsidR="00530BD1">
        <w:rPr>
          <w:lang w:val="en-ZA"/>
        </w:rPr>
        <w:t xml:space="preserve">, that </w:t>
      </w:r>
      <w:r w:rsidR="00A11136" w:rsidRPr="006E5E04">
        <w:rPr>
          <w:lang w:val="en-ZA"/>
        </w:rPr>
        <w:t>the first defendant’s failure to comply with his obligation under the 1879 Water Servitude to maintain the Molen River Sloot</w:t>
      </w:r>
      <w:r w:rsidR="00077B3B" w:rsidRPr="006E5E04">
        <w:rPr>
          <w:lang w:val="en-ZA"/>
        </w:rPr>
        <w:t>,</w:t>
      </w:r>
      <w:r w:rsidR="00A11136" w:rsidRPr="006E5E04">
        <w:rPr>
          <w:lang w:val="en-ZA"/>
        </w:rPr>
        <w:t xml:space="preserve"> prohibits him from relying on any reduction in the efficacy of the </w:t>
      </w:r>
      <w:r w:rsidR="00077B3B" w:rsidRPr="006E5E04">
        <w:rPr>
          <w:lang w:val="en-ZA"/>
        </w:rPr>
        <w:t>s</w:t>
      </w:r>
      <w:r w:rsidR="00A11136" w:rsidRPr="006E5E04">
        <w:rPr>
          <w:lang w:val="en-ZA"/>
        </w:rPr>
        <w:t>loot in support of his claim</w:t>
      </w:r>
      <w:r w:rsidR="00077B3B" w:rsidRPr="006E5E04">
        <w:rPr>
          <w:lang w:val="en-ZA"/>
        </w:rPr>
        <w:t xml:space="preserve">, is not </w:t>
      </w:r>
      <w:r w:rsidR="00720E69">
        <w:rPr>
          <w:lang w:val="en-ZA"/>
        </w:rPr>
        <w:t>supported by factual allegations, especially in light of the fact that he is only one of the parties who has a maintenance obligation.</w:t>
      </w:r>
    </w:p>
    <w:p w14:paraId="20C117EC" w14:textId="77777777" w:rsidR="00A9663E" w:rsidRPr="00A9663E" w:rsidRDefault="00A9663E" w:rsidP="00A9663E">
      <w:pPr>
        <w:spacing w:line="480" w:lineRule="auto"/>
        <w:jc w:val="both"/>
        <w:rPr>
          <w:b/>
          <w:bCs/>
          <w:lang w:val="en-ZA"/>
        </w:rPr>
      </w:pPr>
    </w:p>
    <w:p w14:paraId="56EA4ABE" w14:textId="36BF33AA" w:rsidR="00371BE1" w:rsidRPr="00371BE1" w:rsidRDefault="00D95DD6" w:rsidP="00D95DD6">
      <w:pPr>
        <w:spacing w:line="480" w:lineRule="auto"/>
        <w:jc w:val="both"/>
        <w:rPr>
          <w:b/>
          <w:bCs/>
          <w:lang w:val="en-ZA"/>
        </w:rPr>
      </w:pPr>
      <w:r w:rsidRPr="00371BE1">
        <w:rPr>
          <w:bCs/>
          <w:lang w:val="en-ZA"/>
        </w:rPr>
        <w:t>31.</w:t>
      </w:r>
      <w:r w:rsidRPr="00371BE1">
        <w:rPr>
          <w:bCs/>
          <w:lang w:val="en-ZA"/>
        </w:rPr>
        <w:tab/>
      </w:r>
      <w:r w:rsidR="00CB5A5F">
        <w:rPr>
          <w:lang w:val="en-ZA"/>
        </w:rPr>
        <w:t xml:space="preserve">In response to the aforesaid complaints the plaintiffs’ counsel argued that the averments were not merely conclusions, that the pleadings should be read </w:t>
      </w:r>
      <w:r w:rsidR="005B1A58">
        <w:rPr>
          <w:lang w:val="en-ZA"/>
        </w:rPr>
        <w:t>as a whole,</w:t>
      </w:r>
      <w:r w:rsidR="00CB5A5F">
        <w:rPr>
          <w:lang w:val="en-ZA"/>
        </w:rPr>
        <w:t xml:space="preserve"> and that the exception should only be upheld if </w:t>
      </w:r>
      <w:r w:rsidR="003D6625" w:rsidRPr="00082A54">
        <w:t>on every interpretation which the pleading in question can reasonably bear, no cause of action or defence is disclosed.</w:t>
      </w:r>
      <w:r w:rsidR="003D6625">
        <w:t xml:space="preserve"> </w:t>
      </w:r>
      <w:r w:rsidR="00CB5A5F">
        <w:rPr>
          <w:lang w:val="en-ZA"/>
        </w:rPr>
        <w:t xml:space="preserve"> </w:t>
      </w:r>
    </w:p>
    <w:p w14:paraId="0F1F88D7" w14:textId="77777777" w:rsidR="00A9663E" w:rsidRDefault="00A9663E" w:rsidP="00A9663E">
      <w:pPr>
        <w:spacing w:line="480" w:lineRule="auto"/>
        <w:jc w:val="both"/>
        <w:rPr>
          <w:lang w:val="en-ZA"/>
        </w:rPr>
      </w:pPr>
    </w:p>
    <w:p w14:paraId="0B64CC08" w14:textId="643A96FC" w:rsidR="009403D2" w:rsidRPr="009403D2" w:rsidRDefault="00D95DD6" w:rsidP="00D95DD6">
      <w:pPr>
        <w:spacing w:line="480" w:lineRule="auto"/>
        <w:jc w:val="both"/>
        <w:rPr>
          <w:lang w:val="en-ZA"/>
        </w:rPr>
      </w:pPr>
      <w:r w:rsidRPr="009403D2">
        <w:rPr>
          <w:lang w:val="en-ZA"/>
        </w:rPr>
        <w:t>32.</w:t>
      </w:r>
      <w:r w:rsidRPr="009403D2">
        <w:rPr>
          <w:lang w:val="en-ZA"/>
        </w:rPr>
        <w:tab/>
      </w:r>
      <w:r w:rsidR="009403D2" w:rsidRPr="009403D2">
        <w:rPr>
          <w:i/>
          <w:iCs/>
          <w:lang w:val="en-ZA"/>
        </w:rPr>
        <w:t>Prima facie</w:t>
      </w:r>
      <w:r w:rsidR="009403D2" w:rsidRPr="009403D2">
        <w:rPr>
          <w:iCs/>
          <w:lang w:val="en-ZA"/>
        </w:rPr>
        <w:t>,</w:t>
      </w:r>
      <w:r w:rsidR="009403D2" w:rsidRPr="009403D2">
        <w:rPr>
          <w:lang w:val="en-ZA"/>
        </w:rPr>
        <w:t xml:space="preserve"> the addendum clearly records that the first defendant was in the process of piping the Molen River sloot, to at least the first to third plaintiffs’ knowledge, and that the PSDR Trust undertook to compensate the first defendant for the costs in this respect once completed. Whether it was the intention of the parties at the time of entering into the written agreement to amend the servitude agreement (which according to the plaintiffs expressly limits or circumscribes the rights and obligations of the servitude holder), is of course a completely different question to which I will return later and is not dealt with by the plaintiffs in the particulars of claim.  </w:t>
      </w:r>
    </w:p>
    <w:p w14:paraId="34F413C4" w14:textId="77777777" w:rsidR="009403D2" w:rsidRDefault="009403D2" w:rsidP="009403D2">
      <w:pPr>
        <w:spacing w:line="480" w:lineRule="auto"/>
        <w:jc w:val="both"/>
        <w:rPr>
          <w:lang w:val="en-ZA"/>
        </w:rPr>
      </w:pPr>
    </w:p>
    <w:p w14:paraId="12A71D46" w14:textId="3B84799F" w:rsidR="009403D2" w:rsidRPr="009403D2" w:rsidRDefault="00D95DD6" w:rsidP="00D95DD6">
      <w:pPr>
        <w:spacing w:line="480" w:lineRule="auto"/>
        <w:jc w:val="both"/>
        <w:rPr>
          <w:lang w:val="en-ZA"/>
        </w:rPr>
      </w:pPr>
      <w:r w:rsidRPr="009403D2">
        <w:rPr>
          <w:lang w:val="en-ZA"/>
        </w:rPr>
        <w:t>33.</w:t>
      </w:r>
      <w:r w:rsidRPr="009403D2">
        <w:rPr>
          <w:lang w:val="en-ZA"/>
        </w:rPr>
        <w:tab/>
      </w:r>
      <w:r w:rsidR="00F15F8E">
        <w:rPr>
          <w:lang w:val="en-ZA"/>
        </w:rPr>
        <w:t xml:space="preserve">The deed of sale and addendum thereto, were concluded between the PSDR </w:t>
      </w:r>
      <w:r w:rsidR="00CC4AF5">
        <w:rPr>
          <w:lang w:val="en-ZA"/>
        </w:rPr>
        <w:t>T</w:t>
      </w:r>
      <w:r w:rsidR="00F15F8E">
        <w:rPr>
          <w:lang w:val="en-ZA"/>
        </w:rPr>
        <w:t xml:space="preserve">rust and the first defendant. On </w:t>
      </w:r>
      <w:r w:rsidR="009403D2" w:rsidRPr="009403D2">
        <w:rPr>
          <w:lang w:val="en-ZA"/>
        </w:rPr>
        <w:t xml:space="preserve">what basis the first defendant can </w:t>
      </w:r>
      <w:r w:rsidR="00F15F8E">
        <w:rPr>
          <w:lang w:val="en-ZA"/>
        </w:rPr>
        <w:t xml:space="preserve">rely on the </w:t>
      </w:r>
      <w:r w:rsidR="009403D2" w:rsidRPr="009403D2">
        <w:rPr>
          <w:lang w:val="en-ZA"/>
        </w:rPr>
        <w:lastRenderedPageBreak/>
        <w:t xml:space="preserve">addendum </w:t>
      </w:r>
      <w:r w:rsidR="00F15F8E">
        <w:rPr>
          <w:lang w:val="en-ZA"/>
        </w:rPr>
        <w:t xml:space="preserve">to </w:t>
      </w:r>
      <w:r w:rsidR="009403D2" w:rsidRPr="009403D2">
        <w:rPr>
          <w:lang w:val="en-ZA"/>
        </w:rPr>
        <w:t>bind the fourth plaintiff and the other parties to the servitude agreement</w:t>
      </w:r>
      <w:r w:rsidR="00F15F8E">
        <w:rPr>
          <w:lang w:val="en-ZA"/>
        </w:rPr>
        <w:t>, although raised during argument, is not set out in the particulars of claim.</w:t>
      </w:r>
      <w:r w:rsidR="0050476D">
        <w:rPr>
          <w:rStyle w:val="FootnoteReference"/>
          <w:lang w:val="en-ZA"/>
        </w:rPr>
        <w:footnoteReference w:id="17"/>
      </w:r>
      <w:r w:rsidR="00F15F8E">
        <w:rPr>
          <w:lang w:val="en-ZA"/>
        </w:rPr>
        <w:t xml:space="preserve"> </w:t>
      </w:r>
    </w:p>
    <w:p w14:paraId="46743D1A" w14:textId="77777777" w:rsidR="009403D2" w:rsidRDefault="009403D2" w:rsidP="009403D2">
      <w:pPr>
        <w:spacing w:line="480" w:lineRule="auto"/>
        <w:jc w:val="both"/>
        <w:rPr>
          <w:lang w:val="en-ZA"/>
        </w:rPr>
      </w:pPr>
    </w:p>
    <w:p w14:paraId="088B2D1B" w14:textId="4CAA4777" w:rsidR="00371BE1" w:rsidRDefault="00D95DD6" w:rsidP="00D95DD6">
      <w:pPr>
        <w:spacing w:line="480" w:lineRule="auto"/>
        <w:jc w:val="both"/>
        <w:rPr>
          <w:lang w:val="en-ZA"/>
        </w:rPr>
      </w:pPr>
      <w:r>
        <w:rPr>
          <w:lang w:val="en-ZA"/>
        </w:rPr>
        <w:t>34.</w:t>
      </w:r>
      <w:r>
        <w:rPr>
          <w:lang w:val="en-ZA"/>
        </w:rPr>
        <w:tab/>
      </w:r>
      <w:r w:rsidR="00371BE1" w:rsidRPr="003629A2">
        <w:rPr>
          <w:lang w:val="en-ZA"/>
        </w:rPr>
        <w:t xml:space="preserve">The plaintiffs, </w:t>
      </w:r>
      <w:r w:rsidR="00371BE1">
        <w:rPr>
          <w:lang w:val="en-ZA"/>
        </w:rPr>
        <w:t xml:space="preserve">whether the amendments requested in respect of claims 1 and 2 are granted or not, </w:t>
      </w:r>
      <w:r w:rsidR="00371BE1" w:rsidRPr="003629A2">
        <w:rPr>
          <w:lang w:val="en-ZA"/>
        </w:rPr>
        <w:t>ha</w:t>
      </w:r>
      <w:r w:rsidR="00B554F6">
        <w:rPr>
          <w:lang w:val="en-ZA"/>
        </w:rPr>
        <w:t>ve</w:t>
      </w:r>
      <w:r w:rsidR="00371BE1" w:rsidRPr="003629A2">
        <w:rPr>
          <w:lang w:val="en-ZA"/>
        </w:rPr>
        <w:t xml:space="preserve"> in my view failed to plead facts to support the legal conclusion t</w:t>
      </w:r>
      <w:r w:rsidR="00B554F6">
        <w:rPr>
          <w:lang w:val="en-ZA"/>
        </w:rPr>
        <w:t>hey</w:t>
      </w:r>
      <w:r w:rsidR="00371BE1" w:rsidRPr="003629A2">
        <w:rPr>
          <w:lang w:val="en-ZA"/>
        </w:rPr>
        <w:t xml:space="preserve"> request the court to draw</w:t>
      </w:r>
      <w:r w:rsidR="00371BE1">
        <w:rPr>
          <w:lang w:val="en-ZA"/>
        </w:rPr>
        <w:t xml:space="preserve"> in respect of the </w:t>
      </w:r>
      <w:r w:rsidR="00884013">
        <w:rPr>
          <w:lang w:val="en-ZA"/>
        </w:rPr>
        <w:t xml:space="preserve">validity of the </w:t>
      </w:r>
      <w:r w:rsidR="00371BE1">
        <w:rPr>
          <w:lang w:val="en-ZA"/>
        </w:rPr>
        <w:t xml:space="preserve">addendum to the deed of sale. To simply allege that the furrow would be destroyed does not suffice. </w:t>
      </w:r>
      <w:r w:rsidR="0050476D">
        <w:rPr>
          <w:lang w:val="en-ZA"/>
        </w:rPr>
        <w:t xml:space="preserve">Even if it is accepted that </w:t>
      </w:r>
      <w:r w:rsidR="00371BE1">
        <w:rPr>
          <w:lang w:val="en-ZA"/>
        </w:rPr>
        <w:t>piping the furrow would unilaterally change the method of conveying the water as contemplated in the servitude agreement</w:t>
      </w:r>
      <w:r w:rsidR="0050476D">
        <w:rPr>
          <w:lang w:val="en-ZA"/>
        </w:rPr>
        <w:t xml:space="preserve">, why this would render the addendum void and </w:t>
      </w:r>
      <w:r w:rsidR="009403D2">
        <w:rPr>
          <w:lang w:val="en-ZA"/>
        </w:rPr>
        <w:t xml:space="preserve">unenforceable, </w:t>
      </w:r>
      <w:r w:rsidR="00371BE1">
        <w:rPr>
          <w:lang w:val="en-ZA"/>
        </w:rPr>
        <w:t xml:space="preserve">is similarly not set out in the </w:t>
      </w:r>
      <w:r w:rsidR="0050476D">
        <w:rPr>
          <w:lang w:val="en-ZA"/>
        </w:rPr>
        <w:t xml:space="preserve">particulars of claim. It </w:t>
      </w:r>
      <w:r w:rsidR="00371BE1">
        <w:rPr>
          <w:lang w:val="en-ZA"/>
        </w:rPr>
        <w:t>does not assist the plaintiffs to argue that the first defendant can call for further particulars for trial in this regard</w:t>
      </w:r>
      <w:r w:rsidR="0050476D">
        <w:rPr>
          <w:lang w:val="en-ZA"/>
        </w:rPr>
        <w:t xml:space="preserve"> as it is </w:t>
      </w:r>
      <w:r w:rsidR="00371BE1">
        <w:rPr>
          <w:lang w:val="en-ZA"/>
        </w:rPr>
        <w:t>the duty of the plaintiff</w:t>
      </w:r>
      <w:r w:rsidR="00B554F6">
        <w:rPr>
          <w:lang w:val="en-ZA"/>
        </w:rPr>
        <w:t>s</w:t>
      </w:r>
      <w:r w:rsidR="00371BE1">
        <w:rPr>
          <w:lang w:val="en-ZA"/>
        </w:rPr>
        <w:t xml:space="preserve"> to set out all the facts on which t</w:t>
      </w:r>
      <w:r w:rsidR="00B554F6">
        <w:rPr>
          <w:lang w:val="en-ZA"/>
        </w:rPr>
        <w:t>hey</w:t>
      </w:r>
      <w:r w:rsidR="00371BE1">
        <w:rPr>
          <w:lang w:val="en-ZA"/>
        </w:rPr>
        <w:t xml:space="preserve"> </w:t>
      </w:r>
      <w:r w:rsidR="00B554F6">
        <w:rPr>
          <w:lang w:val="en-ZA"/>
        </w:rPr>
        <w:t>r</w:t>
      </w:r>
      <w:r w:rsidR="00371BE1">
        <w:rPr>
          <w:lang w:val="en-ZA"/>
        </w:rPr>
        <w:t>el</w:t>
      </w:r>
      <w:r w:rsidR="00B554F6">
        <w:rPr>
          <w:lang w:val="en-ZA"/>
        </w:rPr>
        <w:t xml:space="preserve">y </w:t>
      </w:r>
      <w:r w:rsidR="00371BE1">
        <w:rPr>
          <w:lang w:val="en-ZA"/>
        </w:rPr>
        <w:t>to sustain the cause of action. They did not.</w:t>
      </w:r>
    </w:p>
    <w:p w14:paraId="5E4E23AC" w14:textId="77777777" w:rsidR="00371BE1" w:rsidRDefault="00371BE1" w:rsidP="00371BE1">
      <w:pPr>
        <w:pStyle w:val="ListParagraph"/>
        <w:rPr>
          <w:lang w:val="en-ZA"/>
        </w:rPr>
      </w:pPr>
    </w:p>
    <w:p w14:paraId="76BB6688" w14:textId="77777777" w:rsidR="00371BE1" w:rsidRDefault="00371BE1" w:rsidP="00371BE1">
      <w:pPr>
        <w:pStyle w:val="ListParagraph"/>
        <w:rPr>
          <w:lang w:val="en-ZA"/>
        </w:rPr>
      </w:pPr>
    </w:p>
    <w:p w14:paraId="59196556" w14:textId="42CCFA47" w:rsidR="00BE330E" w:rsidRPr="00D95DD6" w:rsidRDefault="00D95DD6" w:rsidP="00D95DD6">
      <w:pPr>
        <w:spacing w:line="480" w:lineRule="auto"/>
        <w:jc w:val="both"/>
        <w:rPr>
          <w:b/>
          <w:bCs/>
        </w:rPr>
      </w:pPr>
      <w:r w:rsidRPr="00BE330E">
        <w:rPr>
          <w:bCs/>
        </w:rPr>
        <w:t>35.</w:t>
      </w:r>
      <w:r w:rsidRPr="00BE330E">
        <w:rPr>
          <w:bCs/>
        </w:rPr>
        <w:tab/>
      </w:r>
      <w:r w:rsidR="00BE330E">
        <w:t>Insofar as it was contended that the addendum to the deed of sale is vague and ambiguous and hence cannot be enforced, this was also not pleaded.</w:t>
      </w:r>
    </w:p>
    <w:p w14:paraId="550A2C86" w14:textId="77777777" w:rsidR="00BE330E" w:rsidRPr="00BE330E" w:rsidRDefault="00BE330E" w:rsidP="00BE330E">
      <w:pPr>
        <w:pStyle w:val="ListParagraph"/>
        <w:spacing w:line="480" w:lineRule="auto"/>
        <w:ind w:left="0"/>
        <w:jc w:val="both"/>
        <w:rPr>
          <w:b/>
          <w:bCs/>
        </w:rPr>
      </w:pPr>
    </w:p>
    <w:p w14:paraId="0E596293" w14:textId="3A018BFF" w:rsidR="00371BE1" w:rsidRDefault="00D95DD6" w:rsidP="00D95DD6">
      <w:pPr>
        <w:spacing w:line="480" w:lineRule="auto"/>
        <w:jc w:val="both"/>
        <w:rPr>
          <w:lang w:val="en-ZA"/>
        </w:rPr>
      </w:pPr>
      <w:r>
        <w:rPr>
          <w:lang w:val="en-ZA"/>
        </w:rPr>
        <w:t>36.</w:t>
      </w:r>
      <w:r>
        <w:rPr>
          <w:lang w:val="en-ZA"/>
        </w:rPr>
        <w:tab/>
      </w:r>
      <w:r w:rsidR="00E4758E">
        <w:rPr>
          <w:lang w:val="en-ZA"/>
        </w:rPr>
        <w:t xml:space="preserve">In the circumstances the </w:t>
      </w:r>
      <w:r w:rsidR="00371BE1">
        <w:rPr>
          <w:lang w:val="en-ZA"/>
        </w:rPr>
        <w:t xml:space="preserve">first ground of exception is </w:t>
      </w:r>
      <w:r w:rsidR="00371BE1" w:rsidRPr="003629A2">
        <w:rPr>
          <w:lang w:val="en-ZA"/>
        </w:rPr>
        <w:t>upheld.</w:t>
      </w:r>
    </w:p>
    <w:p w14:paraId="3BD027A5" w14:textId="150ACE22" w:rsidR="00E4758E" w:rsidRDefault="00E4758E" w:rsidP="00E4758E">
      <w:pPr>
        <w:spacing w:line="480" w:lineRule="auto"/>
        <w:jc w:val="both"/>
        <w:rPr>
          <w:lang w:val="en-ZA"/>
        </w:rPr>
      </w:pPr>
    </w:p>
    <w:p w14:paraId="5A92B994" w14:textId="654B8446" w:rsidR="00E4758E" w:rsidRPr="00E4758E" w:rsidRDefault="00E4758E" w:rsidP="00E4758E">
      <w:pPr>
        <w:spacing w:line="480" w:lineRule="auto"/>
        <w:jc w:val="both"/>
        <w:rPr>
          <w:b/>
          <w:bCs/>
          <w:u w:val="single"/>
          <w:lang w:val="en-ZA"/>
        </w:rPr>
      </w:pPr>
      <w:r>
        <w:rPr>
          <w:b/>
          <w:bCs/>
          <w:u w:val="single"/>
          <w:lang w:val="en-ZA"/>
        </w:rPr>
        <w:t>The s</w:t>
      </w:r>
      <w:r w:rsidRPr="00E4758E">
        <w:rPr>
          <w:b/>
          <w:bCs/>
          <w:u w:val="single"/>
          <w:lang w:val="en-ZA"/>
        </w:rPr>
        <w:t>econd ground of exception:</w:t>
      </w:r>
    </w:p>
    <w:p w14:paraId="15F67CBE" w14:textId="77777777" w:rsidR="009A0AC6" w:rsidRPr="009A0AC6" w:rsidRDefault="009A0AC6" w:rsidP="009A0AC6">
      <w:pPr>
        <w:spacing w:line="480" w:lineRule="auto"/>
        <w:jc w:val="both"/>
        <w:rPr>
          <w:b/>
          <w:bCs/>
          <w:u w:val="single"/>
          <w:lang w:val="en-ZA"/>
        </w:rPr>
      </w:pPr>
    </w:p>
    <w:p w14:paraId="68B3E3D6" w14:textId="3CF26460" w:rsidR="007D6E90" w:rsidRPr="008511CE" w:rsidRDefault="00D95DD6" w:rsidP="00D95DD6">
      <w:pPr>
        <w:spacing w:line="480" w:lineRule="auto"/>
        <w:jc w:val="both"/>
        <w:rPr>
          <w:b/>
          <w:bCs/>
          <w:u w:val="single"/>
          <w:lang w:val="en-ZA"/>
        </w:rPr>
      </w:pPr>
      <w:r w:rsidRPr="008511CE">
        <w:rPr>
          <w:bCs/>
          <w:lang w:val="en-ZA"/>
        </w:rPr>
        <w:t>37.</w:t>
      </w:r>
      <w:r w:rsidRPr="008511CE">
        <w:rPr>
          <w:bCs/>
          <w:lang w:val="en-ZA"/>
        </w:rPr>
        <w:tab/>
      </w:r>
      <w:r w:rsidR="003D6625">
        <w:rPr>
          <w:lang w:val="en-ZA"/>
        </w:rPr>
        <w:t>This bring</w:t>
      </w:r>
      <w:r w:rsidR="00E4758E">
        <w:rPr>
          <w:lang w:val="en-ZA"/>
        </w:rPr>
        <w:t>s</w:t>
      </w:r>
      <w:r w:rsidR="003D6625">
        <w:rPr>
          <w:lang w:val="en-ZA"/>
        </w:rPr>
        <w:t xml:space="preserve"> me to the </w:t>
      </w:r>
      <w:r w:rsidR="00DE64F1">
        <w:rPr>
          <w:lang w:val="en-ZA"/>
        </w:rPr>
        <w:t xml:space="preserve">main ground </w:t>
      </w:r>
      <w:r w:rsidR="003D6625">
        <w:rPr>
          <w:lang w:val="en-ZA"/>
        </w:rPr>
        <w:t xml:space="preserve">of exception: </w:t>
      </w:r>
      <w:r w:rsidR="008D0114" w:rsidRPr="008511CE">
        <w:rPr>
          <w:lang w:val="en-ZA"/>
        </w:rPr>
        <w:t xml:space="preserve">whether the </w:t>
      </w:r>
      <w:r w:rsidR="00E4758E">
        <w:rPr>
          <w:lang w:val="en-ZA"/>
        </w:rPr>
        <w:t xml:space="preserve">first defendant, as the </w:t>
      </w:r>
      <w:r w:rsidR="008D0114" w:rsidRPr="008511CE">
        <w:rPr>
          <w:lang w:val="en-ZA"/>
        </w:rPr>
        <w:t xml:space="preserve">holder of a </w:t>
      </w:r>
      <w:r w:rsidR="00F7245F" w:rsidRPr="008511CE">
        <w:rPr>
          <w:lang w:val="en-ZA"/>
        </w:rPr>
        <w:t xml:space="preserve">servitude of </w:t>
      </w:r>
      <w:r w:rsidR="008D0114" w:rsidRPr="003D6625">
        <w:rPr>
          <w:i/>
          <w:iCs/>
          <w:lang w:val="en-ZA"/>
        </w:rPr>
        <w:t>aqu</w:t>
      </w:r>
      <w:r w:rsidR="000E509E">
        <w:rPr>
          <w:i/>
          <w:iCs/>
          <w:lang w:val="en-ZA"/>
        </w:rPr>
        <w:t>a</w:t>
      </w:r>
      <w:r w:rsidR="00E92D19">
        <w:rPr>
          <w:i/>
          <w:iCs/>
          <w:lang w:val="en-ZA"/>
        </w:rPr>
        <w:t>e</w:t>
      </w:r>
      <w:r w:rsidR="008D0114" w:rsidRPr="003D6625">
        <w:rPr>
          <w:i/>
          <w:iCs/>
          <w:lang w:val="en-ZA"/>
        </w:rPr>
        <w:t>duct</w:t>
      </w:r>
      <w:r w:rsidR="000E509E">
        <w:rPr>
          <w:i/>
          <w:iCs/>
          <w:lang w:val="en-ZA"/>
        </w:rPr>
        <w:t>us</w:t>
      </w:r>
      <w:r w:rsidR="008D0114" w:rsidRPr="008511CE">
        <w:rPr>
          <w:lang w:val="en-ZA"/>
        </w:rPr>
        <w:t xml:space="preserve">, has the </w:t>
      </w:r>
      <w:r w:rsidR="008511CE" w:rsidRPr="008511CE">
        <w:rPr>
          <w:lang w:val="en-ZA"/>
        </w:rPr>
        <w:t xml:space="preserve">implied </w:t>
      </w:r>
      <w:r w:rsidR="00DE64F1">
        <w:rPr>
          <w:lang w:val="en-ZA"/>
        </w:rPr>
        <w:t xml:space="preserve">ancillary right </w:t>
      </w:r>
      <w:r w:rsidR="00E91C61" w:rsidRPr="008511CE">
        <w:rPr>
          <w:lang w:val="en-ZA"/>
        </w:rPr>
        <w:t xml:space="preserve">to pipe </w:t>
      </w:r>
      <w:r w:rsidR="00E4758E">
        <w:rPr>
          <w:lang w:val="en-ZA"/>
        </w:rPr>
        <w:t xml:space="preserve">the </w:t>
      </w:r>
      <w:r w:rsidR="00DE64F1">
        <w:rPr>
          <w:lang w:val="en-ZA"/>
        </w:rPr>
        <w:lastRenderedPageBreak/>
        <w:t xml:space="preserve">furrow </w:t>
      </w:r>
      <w:r w:rsidR="00E91C61" w:rsidRPr="008511CE">
        <w:rPr>
          <w:lang w:val="en-ZA"/>
        </w:rPr>
        <w:t>along which water is led</w:t>
      </w:r>
      <w:r w:rsidR="008511CE" w:rsidRPr="008511CE">
        <w:rPr>
          <w:lang w:val="en-ZA"/>
        </w:rPr>
        <w:t xml:space="preserve"> </w:t>
      </w:r>
      <w:r w:rsidR="003D6625">
        <w:rPr>
          <w:lang w:val="en-ZA"/>
        </w:rPr>
        <w:t xml:space="preserve">given </w:t>
      </w:r>
      <w:r w:rsidR="008511CE" w:rsidRPr="008511CE">
        <w:rPr>
          <w:lang w:val="en-ZA"/>
        </w:rPr>
        <w:t xml:space="preserve">the </w:t>
      </w:r>
      <w:r w:rsidR="007552BB">
        <w:rPr>
          <w:lang w:val="en-ZA"/>
        </w:rPr>
        <w:t xml:space="preserve">legal </w:t>
      </w:r>
      <w:r w:rsidR="008511CE" w:rsidRPr="008511CE">
        <w:rPr>
          <w:lang w:val="en-ZA"/>
        </w:rPr>
        <w:t xml:space="preserve">position that the </w:t>
      </w:r>
      <w:r w:rsidR="00DA5FB1" w:rsidRPr="008511CE">
        <w:rPr>
          <w:lang w:val="en-ZA"/>
        </w:rPr>
        <w:t xml:space="preserve">interests of the servitude holder </w:t>
      </w:r>
      <w:r w:rsidR="004E755C" w:rsidRPr="008511CE">
        <w:rPr>
          <w:lang w:val="en-ZA"/>
        </w:rPr>
        <w:t>enjoy preference over the conflicting interests of the servient owner.</w:t>
      </w:r>
      <w:r w:rsidR="007552BB">
        <w:rPr>
          <w:lang w:val="en-ZA"/>
        </w:rPr>
        <w:t xml:space="preserve"> </w:t>
      </w:r>
      <w:r w:rsidR="004E755C" w:rsidRPr="008511CE">
        <w:rPr>
          <w:lang w:val="en-ZA"/>
        </w:rPr>
        <w:t xml:space="preserve"> </w:t>
      </w:r>
    </w:p>
    <w:p w14:paraId="516B5B46" w14:textId="77777777" w:rsidR="009A0AC6" w:rsidRDefault="009A0AC6" w:rsidP="009A0AC6">
      <w:pPr>
        <w:spacing w:line="480" w:lineRule="auto"/>
        <w:jc w:val="both"/>
        <w:rPr>
          <w:lang w:val="en-ZA"/>
        </w:rPr>
      </w:pPr>
    </w:p>
    <w:p w14:paraId="0F8444CB" w14:textId="1838250F" w:rsidR="008A0ABC" w:rsidRDefault="00D95DD6" w:rsidP="00D95DD6">
      <w:pPr>
        <w:spacing w:line="480" w:lineRule="auto"/>
        <w:jc w:val="both"/>
        <w:rPr>
          <w:lang w:val="en-ZA"/>
        </w:rPr>
      </w:pPr>
      <w:r>
        <w:rPr>
          <w:lang w:val="en-ZA"/>
        </w:rPr>
        <w:t>38.</w:t>
      </w:r>
      <w:r>
        <w:rPr>
          <w:lang w:val="en-ZA"/>
        </w:rPr>
        <w:tab/>
      </w:r>
      <w:r w:rsidR="00E4758E">
        <w:rPr>
          <w:lang w:val="en-ZA"/>
        </w:rPr>
        <w:t xml:space="preserve">The plaintiffs dispute in the particulars of claim that this particular servitude agreement </w:t>
      </w:r>
      <w:r w:rsidR="008A0ABC">
        <w:rPr>
          <w:lang w:val="en-ZA"/>
        </w:rPr>
        <w:t xml:space="preserve">contains an implied term that the servitude holder may pipe the sloot </w:t>
      </w:r>
      <w:r w:rsidR="000378E2">
        <w:rPr>
          <w:lang w:val="en-ZA"/>
        </w:rPr>
        <w:t>to</w:t>
      </w:r>
      <w:r w:rsidR="008A0ABC">
        <w:rPr>
          <w:lang w:val="en-ZA"/>
        </w:rPr>
        <w:t xml:space="preserve"> exercise the right. </w:t>
      </w:r>
      <w:r w:rsidR="009B152D">
        <w:rPr>
          <w:lang w:val="en-ZA"/>
        </w:rPr>
        <w:t>It is the plaintiffs</w:t>
      </w:r>
      <w:r w:rsidR="00BE330E">
        <w:rPr>
          <w:lang w:val="en-ZA"/>
        </w:rPr>
        <w:t>’</w:t>
      </w:r>
      <w:r w:rsidR="009B152D">
        <w:rPr>
          <w:lang w:val="en-ZA"/>
        </w:rPr>
        <w:t xml:space="preserve"> case that the express words of the servitude agreement </w:t>
      </w:r>
      <w:r w:rsidR="00BE330E">
        <w:rPr>
          <w:lang w:val="en-ZA"/>
        </w:rPr>
        <w:t>preclude</w:t>
      </w:r>
      <w:r w:rsidR="009B152D">
        <w:rPr>
          <w:lang w:val="en-ZA"/>
        </w:rPr>
        <w:t xml:space="preserve"> or limit the first defendant’s implied right to pipe the sloot. </w:t>
      </w:r>
      <w:r w:rsidR="000378E2">
        <w:rPr>
          <w:lang w:val="en-ZA"/>
        </w:rPr>
        <w:t>To</w:t>
      </w:r>
      <w:r w:rsidR="007552BB">
        <w:rPr>
          <w:lang w:val="en-ZA"/>
        </w:rPr>
        <w:t xml:space="preserve"> decide whether</w:t>
      </w:r>
      <w:r w:rsidR="009B152D">
        <w:rPr>
          <w:lang w:val="en-ZA"/>
        </w:rPr>
        <w:t xml:space="preserve"> </w:t>
      </w:r>
      <w:r w:rsidR="008A0ABC">
        <w:rPr>
          <w:lang w:val="en-ZA"/>
        </w:rPr>
        <w:t>the first defendant has such right is matter of interpretation.</w:t>
      </w:r>
    </w:p>
    <w:p w14:paraId="10BD8C4B" w14:textId="77777777" w:rsidR="000378E2" w:rsidRDefault="000378E2" w:rsidP="000378E2">
      <w:pPr>
        <w:spacing w:line="480" w:lineRule="auto"/>
        <w:jc w:val="both"/>
        <w:rPr>
          <w:lang w:val="en-ZA"/>
        </w:rPr>
      </w:pPr>
    </w:p>
    <w:p w14:paraId="521A52D5" w14:textId="668BB1FD" w:rsidR="006B2AF7" w:rsidRDefault="00D95DD6" w:rsidP="00D95DD6">
      <w:pPr>
        <w:spacing w:line="480" w:lineRule="auto"/>
        <w:jc w:val="both"/>
        <w:rPr>
          <w:lang w:val="en-ZA"/>
        </w:rPr>
      </w:pPr>
      <w:r>
        <w:rPr>
          <w:lang w:val="en-ZA"/>
        </w:rPr>
        <w:t>39.</w:t>
      </w:r>
      <w:r>
        <w:rPr>
          <w:lang w:val="en-ZA"/>
        </w:rPr>
        <w:tab/>
      </w:r>
      <w:r w:rsidR="000378E2">
        <w:rPr>
          <w:lang w:val="en-ZA"/>
        </w:rPr>
        <w:t xml:space="preserve">It was </w:t>
      </w:r>
      <w:r w:rsidR="008A0ABC">
        <w:rPr>
          <w:lang w:val="en-ZA"/>
        </w:rPr>
        <w:t>held in the well-known matter of Natal Joint Munic</w:t>
      </w:r>
      <w:r w:rsidR="000378E2">
        <w:rPr>
          <w:lang w:val="en-ZA"/>
        </w:rPr>
        <w:t>i</w:t>
      </w:r>
      <w:r w:rsidR="008A0ABC">
        <w:rPr>
          <w:lang w:val="en-ZA"/>
        </w:rPr>
        <w:t>pal Pension Fund v Endume</w:t>
      </w:r>
      <w:r w:rsidR="00A9663E">
        <w:rPr>
          <w:lang w:val="en-ZA"/>
        </w:rPr>
        <w:t>n</w:t>
      </w:r>
      <w:r w:rsidR="008A0ABC">
        <w:rPr>
          <w:lang w:val="en-ZA"/>
        </w:rPr>
        <w:t xml:space="preserve">i Municipality 2012 (4) SA 593 </w:t>
      </w:r>
      <w:r w:rsidR="00B554F6">
        <w:rPr>
          <w:lang w:val="en-ZA"/>
        </w:rPr>
        <w:t>(</w:t>
      </w:r>
      <w:r w:rsidR="008A0ABC">
        <w:rPr>
          <w:lang w:val="en-ZA"/>
        </w:rPr>
        <w:t>SCA</w:t>
      </w:r>
      <w:r w:rsidR="00B554F6">
        <w:rPr>
          <w:lang w:val="en-ZA"/>
        </w:rPr>
        <w:t>)</w:t>
      </w:r>
      <w:r w:rsidR="008A0ABC">
        <w:rPr>
          <w:lang w:val="en-ZA"/>
        </w:rPr>
        <w:t xml:space="preserve"> at para 18</w:t>
      </w:r>
      <w:r w:rsidR="000378E2">
        <w:rPr>
          <w:lang w:val="en-ZA"/>
        </w:rPr>
        <w:t xml:space="preserve"> that</w:t>
      </w:r>
      <w:r w:rsidR="008A0ABC">
        <w:rPr>
          <w:lang w:val="en-ZA"/>
        </w:rPr>
        <w:t xml:space="preserve">: </w:t>
      </w:r>
      <w:r w:rsidR="000378E2">
        <w:rPr>
          <w:lang w:val="en-ZA"/>
        </w:rPr>
        <w:t>“</w:t>
      </w:r>
      <w:r w:rsidR="008A0ABC" w:rsidRPr="000378E2">
        <w:rPr>
          <w:sz w:val="22"/>
          <w:szCs w:val="22"/>
          <w:lang w:val="en-ZA"/>
        </w:rPr>
        <w:t>Interpretation is the process of attributing meaning to the words used in a document, be it legislation, some other statutory instrument, or contract, having regard to the context provided by reading the particular provision or provisions</w:t>
      </w:r>
      <w:r w:rsidR="006B2AF7" w:rsidRPr="000378E2">
        <w:rPr>
          <w:sz w:val="22"/>
          <w:szCs w:val="22"/>
          <w:lang w:val="en-ZA"/>
        </w:rPr>
        <w:t xml:space="preserve"> </w:t>
      </w:r>
      <w:r w:rsidR="008A0ABC" w:rsidRPr="000378E2">
        <w:rPr>
          <w:sz w:val="22"/>
          <w:szCs w:val="22"/>
          <w:lang w:val="en-ZA"/>
        </w:rPr>
        <w:t>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w:t>
      </w:r>
      <w:r w:rsidR="006B2AF7" w:rsidRPr="000378E2">
        <w:rPr>
          <w:sz w:val="22"/>
          <w:szCs w:val="22"/>
          <w:lang w:val="en-ZA"/>
        </w:rPr>
        <w:t>e</w:t>
      </w:r>
      <w:r w:rsidR="008A0ABC" w:rsidRPr="000378E2">
        <w:rPr>
          <w:sz w:val="22"/>
          <w:szCs w:val="22"/>
          <w:lang w:val="en-ZA"/>
        </w:rPr>
        <w:t xml:space="preserve"> than one meaning is possible each possibility must be w</w:t>
      </w:r>
      <w:r w:rsidR="006B2AF7" w:rsidRPr="000378E2">
        <w:rPr>
          <w:sz w:val="22"/>
          <w:szCs w:val="22"/>
          <w:lang w:val="en-ZA"/>
        </w:rPr>
        <w:t>e</w:t>
      </w:r>
      <w:r w:rsidR="008A0ABC" w:rsidRPr="000378E2">
        <w:rPr>
          <w:sz w:val="22"/>
          <w:szCs w:val="22"/>
          <w:lang w:val="en-ZA"/>
        </w:rPr>
        <w:t>ighted in light of all th</w:t>
      </w:r>
      <w:r w:rsidR="006B2AF7" w:rsidRPr="000378E2">
        <w:rPr>
          <w:sz w:val="22"/>
          <w:szCs w:val="22"/>
          <w:lang w:val="en-ZA"/>
        </w:rPr>
        <w:t>e</w:t>
      </w:r>
      <w:r w:rsidR="008A0ABC" w:rsidRPr="000378E2">
        <w:rPr>
          <w:sz w:val="22"/>
          <w:szCs w:val="22"/>
          <w:lang w:val="en-ZA"/>
        </w:rPr>
        <w:t>se factors. The process is objective, not subjective. A sensible meaning is to be preferred to one that leads to insensible or unbusinesslike result</w:t>
      </w:r>
      <w:r w:rsidR="006B2AF7" w:rsidRPr="000378E2">
        <w:rPr>
          <w:sz w:val="22"/>
          <w:szCs w:val="22"/>
          <w:lang w:val="en-ZA"/>
        </w:rPr>
        <w:t>s or undermines the apparent pu</w:t>
      </w:r>
      <w:r w:rsidR="008A0ABC" w:rsidRPr="000378E2">
        <w:rPr>
          <w:sz w:val="22"/>
          <w:szCs w:val="22"/>
          <w:lang w:val="en-ZA"/>
        </w:rPr>
        <w:t>rpose of the document…the inevitable point of departure is the langu</w:t>
      </w:r>
      <w:r w:rsidR="006B2AF7" w:rsidRPr="000378E2">
        <w:rPr>
          <w:sz w:val="22"/>
          <w:szCs w:val="22"/>
          <w:lang w:val="en-ZA"/>
        </w:rPr>
        <w:t>a</w:t>
      </w:r>
      <w:r w:rsidR="008A0ABC" w:rsidRPr="000378E2">
        <w:rPr>
          <w:sz w:val="22"/>
          <w:szCs w:val="22"/>
          <w:lang w:val="en-ZA"/>
        </w:rPr>
        <w:t>ge of the pr</w:t>
      </w:r>
      <w:r w:rsidR="006B2AF7" w:rsidRPr="000378E2">
        <w:rPr>
          <w:sz w:val="22"/>
          <w:szCs w:val="22"/>
          <w:lang w:val="en-ZA"/>
        </w:rPr>
        <w:t>o</w:t>
      </w:r>
      <w:r w:rsidR="008A0ABC" w:rsidRPr="000378E2">
        <w:rPr>
          <w:sz w:val="22"/>
          <w:szCs w:val="22"/>
          <w:lang w:val="en-ZA"/>
        </w:rPr>
        <w:t>vis</w:t>
      </w:r>
      <w:r w:rsidR="006B2AF7" w:rsidRPr="000378E2">
        <w:rPr>
          <w:sz w:val="22"/>
          <w:szCs w:val="22"/>
          <w:lang w:val="en-ZA"/>
        </w:rPr>
        <w:t>i</w:t>
      </w:r>
      <w:r w:rsidR="008A0ABC" w:rsidRPr="000378E2">
        <w:rPr>
          <w:sz w:val="22"/>
          <w:szCs w:val="22"/>
          <w:lang w:val="en-ZA"/>
        </w:rPr>
        <w:t>on itself</w:t>
      </w:r>
      <w:r w:rsidR="006B2AF7" w:rsidRPr="000378E2">
        <w:rPr>
          <w:sz w:val="22"/>
          <w:szCs w:val="22"/>
          <w:lang w:val="en-ZA"/>
        </w:rPr>
        <w:t>, read in context and having regard to the purpose of the provision and the background to the preparation and production of the document</w:t>
      </w:r>
      <w:r w:rsidR="006B2AF7">
        <w:rPr>
          <w:lang w:val="en-ZA"/>
        </w:rPr>
        <w:t>”.</w:t>
      </w:r>
    </w:p>
    <w:p w14:paraId="43E69749" w14:textId="77777777" w:rsidR="006B2AF7" w:rsidRDefault="006B2AF7" w:rsidP="006B2AF7">
      <w:pPr>
        <w:spacing w:line="480" w:lineRule="auto"/>
        <w:jc w:val="both"/>
        <w:rPr>
          <w:lang w:val="en-ZA"/>
        </w:rPr>
      </w:pPr>
    </w:p>
    <w:p w14:paraId="2F48FC73" w14:textId="3EA54D1A" w:rsidR="00E279FE" w:rsidRPr="006B2AF7" w:rsidRDefault="00D95DD6" w:rsidP="00D95DD6">
      <w:pPr>
        <w:spacing w:line="480" w:lineRule="auto"/>
        <w:jc w:val="both"/>
        <w:rPr>
          <w:lang w:val="en-ZA"/>
        </w:rPr>
      </w:pPr>
      <w:r w:rsidRPr="006B2AF7">
        <w:rPr>
          <w:lang w:val="en-ZA"/>
        </w:rPr>
        <w:lastRenderedPageBreak/>
        <w:t>40.</w:t>
      </w:r>
      <w:r w:rsidRPr="006B2AF7">
        <w:rPr>
          <w:lang w:val="en-ZA"/>
        </w:rPr>
        <w:tab/>
      </w:r>
      <w:r w:rsidR="00E34E04" w:rsidRPr="006B2AF7">
        <w:rPr>
          <w:lang w:val="en-ZA"/>
        </w:rPr>
        <w:t xml:space="preserve">In the matter of Glaffer Investments (Pty) Ltd and Others v Minister of Water Affairs and Forestry and Another 2000 (4) SA 822 (T), Van Dijkhorst J confirmed that the position in our law is that a servitude </w:t>
      </w:r>
      <w:r w:rsidR="008511CE" w:rsidRPr="006B2AF7">
        <w:rPr>
          <w:lang w:val="en-ZA"/>
        </w:rPr>
        <w:t>must</w:t>
      </w:r>
      <w:r w:rsidR="00E34E04" w:rsidRPr="006B2AF7">
        <w:rPr>
          <w:lang w:val="en-ZA"/>
        </w:rPr>
        <w:t xml:space="preserve"> be interpreted according to its or</w:t>
      </w:r>
      <w:r w:rsidR="00E279FE" w:rsidRPr="006B2AF7">
        <w:rPr>
          <w:lang w:val="en-ZA"/>
        </w:rPr>
        <w:t>dinary grammatical meaning a</w:t>
      </w:r>
      <w:r w:rsidR="00E34E04" w:rsidRPr="006B2AF7">
        <w:rPr>
          <w:lang w:val="en-ZA"/>
        </w:rPr>
        <w:t xml:space="preserve">nd </w:t>
      </w:r>
      <w:r w:rsidR="008511CE" w:rsidRPr="006B2AF7">
        <w:rPr>
          <w:lang w:val="en-ZA"/>
        </w:rPr>
        <w:t xml:space="preserve">by </w:t>
      </w:r>
      <w:r w:rsidR="00E34E04" w:rsidRPr="006B2AF7">
        <w:rPr>
          <w:lang w:val="en-ZA"/>
        </w:rPr>
        <w:t>having regard to the surrounding circumstances prevailing when the servitude was granted</w:t>
      </w:r>
      <w:r w:rsidR="00186F62" w:rsidRPr="006B2AF7">
        <w:rPr>
          <w:lang w:val="en-ZA"/>
        </w:rPr>
        <w:t xml:space="preserve">. It </w:t>
      </w:r>
      <w:r w:rsidR="008511CE" w:rsidRPr="006B2AF7">
        <w:rPr>
          <w:lang w:val="en-ZA"/>
        </w:rPr>
        <w:t xml:space="preserve">must further be </w:t>
      </w:r>
      <w:r w:rsidR="00186F62" w:rsidRPr="006B2AF7">
        <w:rPr>
          <w:lang w:val="en-ZA"/>
        </w:rPr>
        <w:t>interpreted restrictively.</w:t>
      </w:r>
      <w:r w:rsidR="00186F62">
        <w:rPr>
          <w:rStyle w:val="FootnoteReference"/>
          <w:lang w:val="en-ZA"/>
        </w:rPr>
        <w:footnoteReference w:id="18"/>
      </w:r>
      <w:r w:rsidR="00186F62" w:rsidRPr="006B2AF7">
        <w:rPr>
          <w:lang w:val="en-ZA"/>
        </w:rPr>
        <w:t xml:space="preserve"> </w:t>
      </w:r>
    </w:p>
    <w:p w14:paraId="75C4176E" w14:textId="77777777" w:rsidR="00D1029A" w:rsidRDefault="00D1029A" w:rsidP="00D1029A">
      <w:pPr>
        <w:spacing w:line="480" w:lineRule="auto"/>
        <w:jc w:val="both"/>
        <w:rPr>
          <w:lang w:val="en-ZA"/>
        </w:rPr>
      </w:pPr>
    </w:p>
    <w:p w14:paraId="6E42AC5F" w14:textId="7F38BC86" w:rsidR="00434DED" w:rsidRDefault="00D95DD6" w:rsidP="00D95DD6">
      <w:pPr>
        <w:spacing w:line="480" w:lineRule="auto"/>
        <w:jc w:val="both"/>
        <w:rPr>
          <w:lang w:val="en-ZA"/>
        </w:rPr>
      </w:pPr>
      <w:r>
        <w:rPr>
          <w:lang w:val="en-ZA"/>
        </w:rPr>
        <w:t>41.</w:t>
      </w:r>
      <w:r>
        <w:rPr>
          <w:lang w:val="en-ZA"/>
        </w:rPr>
        <w:tab/>
      </w:r>
      <w:r w:rsidR="00065419">
        <w:rPr>
          <w:lang w:val="en-ZA"/>
        </w:rPr>
        <w:t xml:space="preserve">In the </w:t>
      </w:r>
      <w:r w:rsidR="00E279FE">
        <w:rPr>
          <w:lang w:val="en-ZA"/>
        </w:rPr>
        <w:t xml:space="preserve">matter of Braude v Clanwilliam Municipality 1954(4) SA 669 (A) </w:t>
      </w:r>
      <w:r w:rsidR="00065419">
        <w:rPr>
          <w:lang w:val="en-ZA"/>
        </w:rPr>
        <w:t xml:space="preserve">the issue was whether the laying of a pipe-line was </w:t>
      </w:r>
      <w:r w:rsidR="008B4FE9">
        <w:rPr>
          <w:lang w:val="en-ZA"/>
        </w:rPr>
        <w:t>“</w:t>
      </w:r>
      <w:r w:rsidR="00065419" w:rsidRPr="008511CE">
        <w:rPr>
          <w:sz w:val="22"/>
          <w:szCs w:val="22"/>
          <w:lang w:val="en-ZA"/>
        </w:rPr>
        <w:t>work of a kind different from that contemplated by the parties</w:t>
      </w:r>
      <w:r w:rsidR="008B4FE9">
        <w:rPr>
          <w:lang w:val="en-ZA"/>
        </w:rPr>
        <w:t>”</w:t>
      </w:r>
      <w:r w:rsidR="00065419">
        <w:rPr>
          <w:lang w:val="en-ZA"/>
        </w:rPr>
        <w:t xml:space="preserve"> when they entere</w:t>
      </w:r>
      <w:r w:rsidR="008B4FE9">
        <w:rPr>
          <w:lang w:val="en-ZA"/>
        </w:rPr>
        <w:t xml:space="preserve">d into an agreement during the 1920’s. The court of appeal found that </w:t>
      </w:r>
      <w:r w:rsidR="000378E2">
        <w:rPr>
          <w:lang w:val="en-ZA"/>
        </w:rPr>
        <w:t>“</w:t>
      </w:r>
      <w:r w:rsidR="008B4FE9" w:rsidRPr="000378E2">
        <w:rPr>
          <w:sz w:val="22"/>
          <w:szCs w:val="22"/>
          <w:lang w:val="en-ZA"/>
        </w:rPr>
        <w:t>it cannot be said, when an entirely different method of conveying water is substituted for the me</w:t>
      </w:r>
      <w:r w:rsidR="00434DED" w:rsidRPr="000378E2">
        <w:rPr>
          <w:sz w:val="22"/>
          <w:szCs w:val="22"/>
          <w:lang w:val="en-ZA"/>
        </w:rPr>
        <w:t xml:space="preserve">thod </w:t>
      </w:r>
      <w:r w:rsidR="008B4FE9" w:rsidRPr="000378E2">
        <w:rPr>
          <w:sz w:val="22"/>
          <w:szCs w:val="22"/>
          <w:lang w:val="en-ZA"/>
        </w:rPr>
        <w:t xml:space="preserve">contemplated by the parties, that that substitution is the same as </w:t>
      </w:r>
      <w:r w:rsidR="006B2AF7" w:rsidRPr="000378E2">
        <w:rPr>
          <w:sz w:val="22"/>
          <w:szCs w:val="22"/>
          <w:lang w:val="en-ZA"/>
        </w:rPr>
        <w:t>‘</w:t>
      </w:r>
      <w:r w:rsidR="00434DED" w:rsidRPr="000378E2">
        <w:rPr>
          <w:sz w:val="22"/>
          <w:szCs w:val="22"/>
          <w:lang w:val="en-ZA"/>
        </w:rPr>
        <w:t>maintaining the new furrow in a proper state of repair</w:t>
      </w:r>
      <w:r w:rsidR="006B2AF7" w:rsidRPr="000378E2">
        <w:rPr>
          <w:sz w:val="22"/>
          <w:szCs w:val="22"/>
          <w:lang w:val="en-ZA"/>
        </w:rPr>
        <w:t>’</w:t>
      </w:r>
      <w:r w:rsidR="00434DED" w:rsidRPr="000378E2">
        <w:rPr>
          <w:sz w:val="22"/>
          <w:szCs w:val="22"/>
          <w:lang w:val="en-ZA"/>
        </w:rPr>
        <w:t xml:space="preserve"> within the meaning of clause 5 </w:t>
      </w:r>
      <w:r w:rsidR="006B2AF7" w:rsidRPr="000378E2">
        <w:rPr>
          <w:sz w:val="22"/>
          <w:szCs w:val="22"/>
          <w:lang w:val="en-ZA"/>
        </w:rPr>
        <w:t>of</w:t>
      </w:r>
      <w:r w:rsidR="00434DED" w:rsidRPr="000378E2">
        <w:rPr>
          <w:sz w:val="22"/>
          <w:szCs w:val="22"/>
          <w:lang w:val="en-ZA"/>
        </w:rPr>
        <w:t xml:space="preserve"> the 1922 agreement</w:t>
      </w:r>
      <w:r w:rsidR="00434DED">
        <w:rPr>
          <w:lang w:val="en-ZA"/>
        </w:rPr>
        <w:t xml:space="preserve">”. </w:t>
      </w:r>
    </w:p>
    <w:p w14:paraId="6F1E75F6" w14:textId="77777777" w:rsidR="00A9663E" w:rsidRDefault="00A9663E" w:rsidP="00A9663E">
      <w:pPr>
        <w:pStyle w:val="ListParagraph"/>
        <w:spacing w:line="480" w:lineRule="auto"/>
        <w:ind w:left="0"/>
        <w:jc w:val="both"/>
      </w:pPr>
    </w:p>
    <w:p w14:paraId="7686EF98" w14:textId="42FD01BE" w:rsidR="00937FC3" w:rsidRDefault="00D95DD6" w:rsidP="00D95DD6">
      <w:pPr>
        <w:spacing w:line="480" w:lineRule="auto"/>
        <w:jc w:val="both"/>
      </w:pPr>
      <w:r>
        <w:t>42.</w:t>
      </w:r>
      <w:r>
        <w:tab/>
      </w:r>
      <w:r w:rsidR="00937FC3">
        <w:t>In my view, with reference to the express wording of the servitude agreement</w:t>
      </w:r>
      <w:r w:rsidR="00A0368D">
        <w:t xml:space="preserve"> and the authorities referred to</w:t>
      </w:r>
      <w:r w:rsidR="00937FC3">
        <w:t xml:space="preserve">, it can be argued that the parties to the servitude agreement had not anticipated the furrow being piped. The servitude agreement, for example, refers to “a stream of water for drinking purposes” and further makes provision for bi-annual maintenance of the furrow for which the first defendant was afforded the free right of way along the sloot and the right to excavate material four feet on each side of the furrow, for </w:t>
      </w:r>
      <w:r w:rsidR="00937FC3" w:rsidRPr="0039028B">
        <w:t>repairing</w:t>
      </w:r>
      <w:r w:rsidR="00937FC3" w:rsidRPr="00D95DD6">
        <w:rPr>
          <w:b/>
          <w:bCs/>
        </w:rPr>
        <w:t xml:space="preserve"> </w:t>
      </w:r>
      <w:r w:rsidR="00937FC3">
        <w:t>the sloot. It further imposes a joint maintenance</w:t>
      </w:r>
      <w:r w:rsidR="00E34913">
        <w:t xml:space="preserve"> obligation, </w:t>
      </w:r>
      <w:r w:rsidR="00937FC3">
        <w:t>which is atypical to servitudes of this nature.</w:t>
      </w:r>
    </w:p>
    <w:p w14:paraId="55C51E5C" w14:textId="042918EF" w:rsidR="00935EC3" w:rsidRDefault="00D95DD6" w:rsidP="00D95DD6">
      <w:pPr>
        <w:spacing w:line="480" w:lineRule="auto"/>
        <w:jc w:val="both"/>
        <w:rPr>
          <w:lang w:val="en-ZA"/>
        </w:rPr>
      </w:pPr>
      <w:r>
        <w:rPr>
          <w:lang w:val="en-ZA"/>
        </w:rPr>
        <w:lastRenderedPageBreak/>
        <w:t>43.</w:t>
      </w:r>
      <w:r>
        <w:rPr>
          <w:lang w:val="en-ZA"/>
        </w:rPr>
        <w:tab/>
      </w:r>
      <w:r w:rsidR="006B2AF7">
        <w:rPr>
          <w:lang w:val="en-ZA"/>
        </w:rPr>
        <w:t xml:space="preserve">Bearing in mind that the </w:t>
      </w:r>
      <w:r w:rsidR="00076DC0">
        <w:rPr>
          <w:lang w:val="en-ZA"/>
        </w:rPr>
        <w:t>servitude holder has full and effective use of the servitude</w:t>
      </w:r>
      <w:r w:rsidR="006B2AF7">
        <w:rPr>
          <w:lang w:val="en-ZA"/>
        </w:rPr>
        <w:t xml:space="preserve">, it was argued by the first defendant, with reliance on </w:t>
      </w:r>
      <w:r w:rsidR="006B2AF7" w:rsidRPr="00DE64F1">
        <w:rPr>
          <w:lang w:val="en-ZA"/>
        </w:rPr>
        <w:t>Z</w:t>
      </w:r>
      <w:r w:rsidR="00A17FC6" w:rsidRPr="00DE64F1">
        <w:rPr>
          <w:lang w:val="en-ZA"/>
        </w:rPr>
        <w:t>eeman v De Wet</w:t>
      </w:r>
      <w:r w:rsidR="00246E3C">
        <w:rPr>
          <w:lang w:val="en-ZA"/>
        </w:rPr>
        <w:t xml:space="preserve"> </w:t>
      </w:r>
      <w:r w:rsidR="00DE64F1">
        <w:rPr>
          <w:lang w:val="en-ZA"/>
        </w:rPr>
        <w:t>2012 (6) SA 1 (SCA)</w:t>
      </w:r>
      <w:r w:rsidR="00AC2AE9">
        <w:rPr>
          <w:lang w:val="en-ZA"/>
        </w:rPr>
        <w:t>, in the further submissions filed,</w:t>
      </w:r>
      <w:r w:rsidR="00DE64F1">
        <w:rPr>
          <w:lang w:val="en-ZA"/>
        </w:rPr>
        <w:t xml:space="preserve"> </w:t>
      </w:r>
      <w:r w:rsidR="006B2AF7">
        <w:rPr>
          <w:lang w:val="en-ZA"/>
        </w:rPr>
        <w:t xml:space="preserve">that </w:t>
      </w:r>
      <w:r w:rsidR="00246E3C">
        <w:rPr>
          <w:lang w:val="en-ZA"/>
        </w:rPr>
        <w:t xml:space="preserve">peremptory principles are not amenable </w:t>
      </w:r>
      <w:r w:rsidR="00E401F3">
        <w:rPr>
          <w:lang w:val="en-ZA"/>
        </w:rPr>
        <w:t>to consensual amendment and will outweigh even clearly and precisely formulated contractual provisions to the contrary</w:t>
      </w:r>
      <w:r w:rsidR="00134B3B">
        <w:rPr>
          <w:rStyle w:val="FootnoteReference"/>
          <w:lang w:val="en-ZA"/>
        </w:rPr>
        <w:footnoteReference w:id="19"/>
      </w:r>
      <w:r w:rsidR="00E66A66">
        <w:rPr>
          <w:lang w:val="en-ZA"/>
        </w:rPr>
        <w:t xml:space="preserve">. </w:t>
      </w:r>
    </w:p>
    <w:p w14:paraId="7EC1F40F" w14:textId="77777777" w:rsidR="00D1029A" w:rsidRDefault="00D1029A" w:rsidP="00D1029A">
      <w:pPr>
        <w:spacing w:line="480" w:lineRule="auto"/>
        <w:jc w:val="both"/>
        <w:rPr>
          <w:lang w:val="en-ZA"/>
        </w:rPr>
      </w:pPr>
    </w:p>
    <w:p w14:paraId="61883E35" w14:textId="01FDE439" w:rsidR="001A2CDA" w:rsidRDefault="00D95DD6" w:rsidP="00D95DD6">
      <w:pPr>
        <w:spacing w:line="480" w:lineRule="auto"/>
        <w:jc w:val="both"/>
        <w:rPr>
          <w:lang w:val="en-ZA"/>
        </w:rPr>
      </w:pPr>
      <w:r>
        <w:rPr>
          <w:lang w:val="en-ZA"/>
        </w:rPr>
        <w:t>44.</w:t>
      </w:r>
      <w:r>
        <w:rPr>
          <w:lang w:val="en-ZA"/>
        </w:rPr>
        <w:tab/>
      </w:r>
      <w:r w:rsidR="000520F4">
        <w:rPr>
          <w:lang w:val="en-ZA"/>
        </w:rPr>
        <w:t>I</w:t>
      </w:r>
      <w:r w:rsidR="008A2BB3">
        <w:rPr>
          <w:lang w:val="en-ZA"/>
        </w:rPr>
        <w:t xml:space="preserve"> agree with Mr Van Staden </w:t>
      </w:r>
      <w:r w:rsidR="00B554F6">
        <w:rPr>
          <w:lang w:val="en-ZA"/>
        </w:rPr>
        <w:t xml:space="preserve">SC </w:t>
      </w:r>
      <w:r w:rsidR="008A2BB3">
        <w:rPr>
          <w:lang w:val="en-ZA"/>
        </w:rPr>
        <w:t>that it</w:t>
      </w:r>
      <w:r w:rsidR="000520F4">
        <w:rPr>
          <w:lang w:val="en-ZA"/>
        </w:rPr>
        <w:t xml:space="preserve"> is implied that the servitude holder acquires</w:t>
      </w:r>
      <w:r w:rsidR="008A2BB3">
        <w:rPr>
          <w:lang w:val="en-ZA"/>
        </w:rPr>
        <w:t>,</w:t>
      </w:r>
      <w:r w:rsidR="000520F4">
        <w:rPr>
          <w:lang w:val="en-ZA"/>
        </w:rPr>
        <w:t xml:space="preserve"> together with the servitude</w:t>
      </w:r>
      <w:r w:rsidR="008A2BB3">
        <w:rPr>
          <w:lang w:val="en-ZA"/>
        </w:rPr>
        <w:t>,</w:t>
      </w:r>
      <w:r w:rsidR="000520F4">
        <w:rPr>
          <w:lang w:val="en-ZA"/>
        </w:rPr>
        <w:t xml:space="preserve"> all the entitlements without which the servitude cannot be exercised</w:t>
      </w:r>
      <w:r w:rsidR="005635B0">
        <w:rPr>
          <w:lang w:val="en-ZA"/>
        </w:rPr>
        <w:t>, provided that those ancillary entitlements do not burden the servient property unduly</w:t>
      </w:r>
      <w:r w:rsidR="00FA2A46">
        <w:rPr>
          <w:lang w:val="en-ZA"/>
        </w:rPr>
        <w:t>.</w:t>
      </w:r>
      <w:r w:rsidR="008A2BB3">
        <w:rPr>
          <w:lang w:val="en-ZA"/>
        </w:rPr>
        <w:t xml:space="preserve"> In other words: </w:t>
      </w:r>
      <w:r w:rsidR="00EA5899">
        <w:rPr>
          <w:lang w:val="en-ZA"/>
        </w:rPr>
        <w:t xml:space="preserve">the servitude holder must be placed in a position to exercise the servitude effectively. </w:t>
      </w:r>
      <w:r w:rsidR="0039028B">
        <w:rPr>
          <w:lang w:val="en-ZA"/>
        </w:rPr>
        <w:t>I also agree that t</w:t>
      </w:r>
      <w:r w:rsidR="00EA5899">
        <w:rPr>
          <w:lang w:val="en-ZA"/>
        </w:rPr>
        <w:t xml:space="preserve">he principle that the servitude holder must be </w:t>
      </w:r>
      <w:r w:rsidR="00B27E85">
        <w:rPr>
          <w:lang w:val="en-ZA"/>
        </w:rPr>
        <w:t xml:space="preserve">enabled to exercise the servitude effectively cannot be evaded or suspended completely, since doing so would undermine the viability of having a servitude in the first place. </w:t>
      </w:r>
      <w:r w:rsidR="00E556F2">
        <w:rPr>
          <w:lang w:val="en-ZA"/>
        </w:rPr>
        <w:t xml:space="preserve">It follows that the </w:t>
      </w:r>
      <w:r w:rsidR="00121E43" w:rsidRPr="008556C1">
        <w:rPr>
          <w:lang w:val="en-ZA"/>
        </w:rPr>
        <w:t xml:space="preserve">servitude holder is therefore entitled to undertake all actions that are reasonably necessary for </w:t>
      </w:r>
      <w:r w:rsidR="008556C1">
        <w:rPr>
          <w:lang w:val="en-ZA"/>
        </w:rPr>
        <w:t xml:space="preserve">the </w:t>
      </w:r>
      <w:r w:rsidR="00121E43" w:rsidRPr="008556C1">
        <w:rPr>
          <w:lang w:val="en-ZA"/>
        </w:rPr>
        <w:t>proper exercise of the servitude</w:t>
      </w:r>
      <w:r w:rsidR="00DE64F1">
        <w:rPr>
          <w:lang w:val="en-ZA"/>
        </w:rPr>
        <w:t xml:space="preserve"> and that </w:t>
      </w:r>
      <w:r w:rsidR="00121E43" w:rsidRPr="008556C1">
        <w:rPr>
          <w:lang w:val="en-ZA"/>
        </w:rPr>
        <w:t xml:space="preserve">there is a baseline of necessary entitlements below which the servitude is not feasible and cannot exist. </w:t>
      </w:r>
      <w:r w:rsidR="00DE64F1">
        <w:rPr>
          <w:lang w:val="en-ZA"/>
        </w:rPr>
        <w:t xml:space="preserve">I however cannot agree that implied rights of the servitude holder cannot be </w:t>
      </w:r>
      <w:r w:rsidR="001853B0">
        <w:rPr>
          <w:lang w:val="en-ZA"/>
        </w:rPr>
        <w:t>amended</w:t>
      </w:r>
      <w:r w:rsidR="00DE64F1">
        <w:rPr>
          <w:lang w:val="en-ZA"/>
        </w:rPr>
        <w:t xml:space="preserve"> by consensus. In the </w:t>
      </w:r>
      <w:r w:rsidR="001853B0">
        <w:rPr>
          <w:lang w:val="en-ZA"/>
        </w:rPr>
        <w:t>Z</w:t>
      </w:r>
      <w:r w:rsidR="00DE64F1">
        <w:rPr>
          <w:lang w:val="en-ZA"/>
        </w:rPr>
        <w:t xml:space="preserve">eeman matter the court considered the principle of efficacy in light of the amendment by the parties of the servitude agreement in respect of the common law maintenance obligations on the servitude holder. As in the case of Zeeman, the trial court in this matter will have to consider whether it is indeed necessary for the efficacy of the servitude to pipe the </w:t>
      </w:r>
      <w:r w:rsidR="00DE64F1">
        <w:rPr>
          <w:lang w:val="en-ZA"/>
        </w:rPr>
        <w:lastRenderedPageBreak/>
        <w:t>sloot and what impact, if any, it will have on the parties’ joint maintenance o</w:t>
      </w:r>
      <w:r w:rsidR="001853B0">
        <w:rPr>
          <w:lang w:val="en-ZA"/>
        </w:rPr>
        <w:t xml:space="preserve">bligation </w:t>
      </w:r>
      <w:r w:rsidR="00DE64F1">
        <w:rPr>
          <w:lang w:val="en-ZA"/>
        </w:rPr>
        <w:t xml:space="preserve">as set out in the servitude agreement. </w:t>
      </w:r>
    </w:p>
    <w:p w14:paraId="4ACB52C6" w14:textId="77777777" w:rsidR="00CC4AF5" w:rsidRDefault="00CC4AF5" w:rsidP="00CC4AF5">
      <w:pPr>
        <w:spacing w:line="480" w:lineRule="auto"/>
        <w:jc w:val="both"/>
        <w:rPr>
          <w:lang w:val="en-ZA"/>
        </w:rPr>
      </w:pPr>
    </w:p>
    <w:p w14:paraId="48B6A95E" w14:textId="027FF59B" w:rsidR="001A2CDA" w:rsidRDefault="00D95DD6" w:rsidP="00D95DD6">
      <w:pPr>
        <w:spacing w:line="480" w:lineRule="auto"/>
        <w:jc w:val="both"/>
        <w:rPr>
          <w:lang w:val="en-ZA"/>
        </w:rPr>
      </w:pPr>
      <w:r>
        <w:rPr>
          <w:lang w:val="en-ZA"/>
        </w:rPr>
        <w:t>45.</w:t>
      </w:r>
      <w:r>
        <w:rPr>
          <w:lang w:val="en-ZA"/>
        </w:rPr>
        <w:tab/>
      </w:r>
      <w:r w:rsidR="00DE64F1">
        <w:rPr>
          <w:lang w:val="en-ZA"/>
        </w:rPr>
        <w:t xml:space="preserve">That the piping of the sloot will change the nature of the maintenance obligation as set out in the servitude agreement cannot be </w:t>
      </w:r>
      <w:r w:rsidR="007378A0">
        <w:rPr>
          <w:lang w:val="en-ZA"/>
        </w:rPr>
        <w:t>disputed. Whether it would place a bigger financial burden on the servient tenement will similarly have to be determined by the trial court. The same applies to the question as to how the first defendant plans to ensure that the one</w:t>
      </w:r>
      <w:r w:rsidR="001A2CDA">
        <w:rPr>
          <w:lang w:val="en-ZA"/>
        </w:rPr>
        <w:t>-</w:t>
      </w:r>
      <w:r w:rsidR="007378A0">
        <w:rPr>
          <w:lang w:val="en-ZA"/>
        </w:rPr>
        <w:t>inch stream will be maintained, whether the furrow would remain intact</w:t>
      </w:r>
      <w:r w:rsidR="001A2CDA">
        <w:rPr>
          <w:lang w:val="en-ZA"/>
        </w:rPr>
        <w:t xml:space="preserve">, </w:t>
      </w:r>
      <w:r w:rsidR="007378A0">
        <w:rPr>
          <w:lang w:val="en-ZA"/>
        </w:rPr>
        <w:t>whether the pipes will be</w:t>
      </w:r>
      <w:r w:rsidR="001853B0">
        <w:rPr>
          <w:lang w:val="en-ZA"/>
        </w:rPr>
        <w:t xml:space="preserve"> above </w:t>
      </w:r>
      <w:r w:rsidR="001A2CDA">
        <w:rPr>
          <w:lang w:val="en-ZA"/>
        </w:rPr>
        <w:t xml:space="preserve">the ground </w:t>
      </w:r>
      <w:r w:rsidR="001853B0">
        <w:rPr>
          <w:lang w:val="en-ZA"/>
        </w:rPr>
        <w:t>or underground</w:t>
      </w:r>
      <w:r w:rsidR="001A2CDA">
        <w:rPr>
          <w:lang w:val="en-ZA"/>
        </w:rPr>
        <w:t xml:space="preserve"> or next to or in the furrow.</w:t>
      </w:r>
    </w:p>
    <w:p w14:paraId="48E6918F" w14:textId="77777777" w:rsidR="00A9663E" w:rsidRDefault="00A9663E" w:rsidP="00A9663E">
      <w:pPr>
        <w:pStyle w:val="ListParagraph"/>
        <w:spacing w:line="480" w:lineRule="auto"/>
        <w:ind w:left="0"/>
        <w:jc w:val="both"/>
      </w:pPr>
    </w:p>
    <w:p w14:paraId="67C16B94" w14:textId="1A45CAC0" w:rsidR="00B207D2" w:rsidRDefault="00D95DD6" w:rsidP="00D95DD6">
      <w:pPr>
        <w:spacing w:line="480" w:lineRule="auto"/>
        <w:jc w:val="both"/>
      </w:pPr>
      <w:r>
        <w:t>46.</w:t>
      </w:r>
      <w:r>
        <w:tab/>
      </w:r>
      <w:r w:rsidR="000D270E">
        <w:t xml:space="preserve">Only the </w:t>
      </w:r>
      <w:r w:rsidR="00B207D2">
        <w:t xml:space="preserve">trial court, after hearing evidence, will be </w:t>
      </w:r>
      <w:r w:rsidR="008F6402">
        <w:t>able</w:t>
      </w:r>
      <w:r w:rsidR="00B207D2">
        <w:t xml:space="preserve"> to determine whether, on the wording of the servitude agreement, the implied right asserted by the first defendant </w:t>
      </w:r>
      <w:r w:rsidR="008F6402">
        <w:t xml:space="preserve">had been established </w:t>
      </w:r>
      <w:r w:rsidR="00B207D2">
        <w:t>and if so, whether it was limited by the express wording of the servitude agreement as pleaded by the plaintiffs. The Constitutional Court, in the matter of University of Johannesburg v Auckland Park Theological Seminary and Another 2021 (6) SA 1 (CC) reiterated that in many scenarios word</w:t>
      </w:r>
      <w:r w:rsidR="008F6402">
        <w:t>s</w:t>
      </w:r>
      <w:r w:rsidR="00B207D2">
        <w:t xml:space="preserve"> alone ring hollow and that “context gives life and meaning to what is said or written”.</w:t>
      </w:r>
    </w:p>
    <w:p w14:paraId="319E2CD7" w14:textId="77777777" w:rsidR="002E278F" w:rsidRDefault="002E278F" w:rsidP="002E278F">
      <w:pPr>
        <w:pStyle w:val="ListParagraph"/>
      </w:pPr>
    </w:p>
    <w:p w14:paraId="054F3DC6" w14:textId="77777777" w:rsidR="00A8660B" w:rsidRDefault="00A8660B" w:rsidP="00A8660B">
      <w:pPr>
        <w:pStyle w:val="ListParagraph"/>
      </w:pPr>
    </w:p>
    <w:p w14:paraId="45964555" w14:textId="0FCEB84C" w:rsidR="00B207D2" w:rsidRDefault="00D95DD6" w:rsidP="00D95DD6">
      <w:pPr>
        <w:spacing w:line="480" w:lineRule="auto"/>
        <w:jc w:val="both"/>
      </w:pPr>
      <w:r>
        <w:t>47.</w:t>
      </w:r>
      <w:r>
        <w:tab/>
      </w:r>
      <w:r w:rsidR="00B207D2">
        <w:t xml:space="preserve">The second ground of exception is consequently dismissed.  </w:t>
      </w:r>
    </w:p>
    <w:p w14:paraId="339C6B47" w14:textId="77777777" w:rsidR="00A9663E" w:rsidRDefault="00A9663E" w:rsidP="005A5719">
      <w:pPr>
        <w:pStyle w:val="ListParagraph"/>
        <w:spacing w:line="480" w:lineRule="auto"/>
        <w:ind w:left="0"/>
        <w:contextualSpacing w:val="0"/>
        <w:jc w:val="both"/>
        <w:rPr>
          <w:b/>
          <w:bCs/>
          <w:u w:val="single"/>
          <w:lang w:val="en-ZA"/>
        </w:rPr>
      </w:pPr>
    </w:p>
    <w:p w14:paraId="1F459238" w14:textId="506AFDEE" w:rsidR="005A5719" w:rsidRPr="00BD6D1D" w:rsidRDefault="005A5719" w:rsidP="005A5719">
      <w:pPr>
        <w:pStyle w:val="ListParagraph"/>
        <w:spacing w:line="480" w:lineRule="auto"/>
        <w:ind w:left="0"/>
        <w:contextualSpacing w:val="0"/>
        <w:jc w:val="both"/>
        <w:rPr>
          <w:b/>
          <w:bCs/>
          <w:u w:val="single"/>
          <w:lang w:val="en-ZA"/>
        </w:rPr>
      </w:pPr>
      <w:r>
        <w:rPr>
          <w:b/>
          <w:bCs/>
          <w:u w:val="single"/>
          <w:lang w:val="en-ZA"/>
        </w:rPr>
        <w:t>T</w:t>
      </w:r>
      <w:r w:rsidRPr="00BD6D1D">
        <w:rPr>
          <w:b/>
          <w:bCs/>
          <w:u w:val="single"/>
          <w:lang w:val="en-ZA"/>
        </w:rPr>
        <w:t>he proposed claim 3:</w:t>
      </w:r>
    </w:p>
    <w:p w14:paraId="4B072CAF" w14:textId="77777777" w:rsidR="005A5719" w:rsidRPr="00B344A8" w:rsidRDefault="005A5719" w:rsidP="005A5719">
      <w:pPr>
        <w:pStyle w:val="ListParagraph"/>
        <w:spacing w:line="480" w:lineRule="auto"/>
        <w:ind w:left="0"/>
        <w:contextualSpacing w:val="0"/>
        <w:jc w:val="both"/>
        <w:rPr>
          <w:lang w:val="en-ZA"/>
        </w:rPr>
      </w:pPr>
    </w:p>
    <w:p w14:paraId="49B4ADEE" w14:textId="083993E3" w:rsidR="00C8286A" w:rsidRPr="00D95DD6" w:rsidRDefault="00D95DD6" w:rsidP="00D95DD6">
      <w:pPr>
        <w:spacing w:line="480" w:lineRule="auto"/>
        <w:jc w:val="both"/>
        <w:rPr>
          <w:lang w:val="en-ZA"/>
        </w:rPr>
      </w:pPr>
      <w:r>
        <w:rPr>
          <w:lang w:val="en-ZA"/>
        </w:rPr>
        <w:t>48.</w:t>
      </w:r>
      <w:r>
        <w:rPr>
          <w:lang w:val="en-ZA"/>
        </w:rPr>
        <w:tab/>
      </w:r>
      <w:r w:rsidR="00596D62" w:rsidRPr="00D95DD6">
        <w:rPr>
          <w:lang w:val="en-ZA"/>
        </w:rPr>
        <w:t xml:space="preserve">The plaintiffs request leave to introduce a claim 3 in terms whereof they seek an order prohibiting the first to fourth defendants from </w:t>
      </w:r>
      <w:r w:rsidR="00C8286A" w:rsidRPr="00D95DD6">
        <w:rPr>
          <w:lang w:val="en-ZA"/>
        </w:rPr>
        <w:t xml:space="preserve">carrying out any work with a </w:t>
      </w:r>
      <w:r w:rsidR="00C8286A" w:rsidRPr="00D95DD6">
        <w:rPr>
          <w:lang w:val="en-ZA"/>
        </w:rPr>
        <w:lastRenderedPageBreak/>
        <w:t xml:space="preserve">view to piping the Molen River sloot until such time as the </w:t>
      </w:r>
      <w:r w:rsidR="00B554F6" w:rsidRPr="00D95DD6">
        <w:rPr>
          <w:lang w:val="en-ZA"/>
        </w:rPr>
        <w:t xml:space="preserve">latter </w:t>
      </w:r>
      <w:r w:rsidR="00C8286A" w:rsidRPr="00D95DD6">
        <w:rPr>
          <w:lang w:val="en-ZA"/>
        </w:rPr>
        <w:t>have obtained a permit under section 48 of the NHRS which authorises the alteration and/or demolition of the sloot.</w:t>
      </w:r>
    </w:p>
    <w:p w14:paraId="56A0E3AA" w14:textId="77777777" w:rsidR="00CC4AF5" w:rsidRPr="00B344A8" w:rsidRDefault="00CC4AF5" w:rsidP="00CC4AF5">
      <w:pPr>
        <w:pStyle w:val="ListParagraph"/>
        <w:spacing w:line="480" w:lineRule="auto"/>
        <w:ind w:left="0"/>
        <w:contextualSpacing w:val="0"/>
        <w:jc w:val="both"/>
        <w:rPr>
          <w:lang w:val="en-ZA"/>
        </w:rPr>
      </w:pPr>
    </w:p>
    <w:p w14:paraId="400ED4A2" w14:textId="395C2619" w:rsidR="00C8286A" w:rsidRPr="00D95DD6" w:rsidRDefault="00D95DD6" w:rsidP="00D95DD6">
      <w:pPr>
        <w:spacing w:line="480" w:lineRule="auto"/>
        <w:jc w:val="both"/>
        <w:rPr>
          <w:lang w:val="en-ZA"/>
        </w:rPr>
      </w:pPr>
      <w:r w:rsidRPr="00B344A8">
        <w:rPr>
          <w:lang w:val="en-ZA"/>
        </w:rPr>
        <w:t>49.</w:t>
      </w:r>
      <w:r w:rsidRPr="00B344A8">
        <w:rPr>
          <w:lang w:val="en-ZA"/>
        </w:rPr>
        <w:tab/>
      </w:r>
      <w:r w:rsidR="00C8286A" w:rsidRPr="00D95DD6">
        <w:rPr>
          <w:lang w:val="en-ZA"/>
        </w:rPr>
        <w:t>This new claim is predicated on the court refusing the declaratory relief sought in claims 1 and 2 that the defendants do not have the right to pipe the sloot.</w:t>
      </w:r>
    </w:p>
    <w:p w14:paraId="445E0C48" w14:textId="77777777" w:rsidR="00A9663E" w:rsidRDefault="00A9663E" w:rsidP="00A9663E">
      <w:pPr>
        <w:pStyle w:val="ListParagraph"/>
        <w:spacing w:line="480" w:lineRule="auto"/>
        <w:ind w:left="0"/>
        <w:contextualSpacing w:val="0"/>
        <w:jc w:val="both"/>
        <w:rPr>
          <w:lang w:val="en-ZA"/>
        </w:rPr>
      </w:pPr>
    </w:p>
    <w:p w14:paraId="0D35567A" w14:textId="69CDA1AB" w:rsidR="000548CD" w:rsidRPr="00D95DD6" w:rsidRDefault="00D95DD6" w:rsidP="00D95DD6">
      <w:pPr>
        <w:spacing w:line="480" w:lineRule="auto"/>
        <w:jc w:val="both"/>
        <w:rPr>
          <w:lang w:val="en-ZA"/>
        </w:rPr>
      </w:pPr>
      <w:r w:rsidRPr="00B344A8">
        <w:rPr>
          <w:lang w:val="en-ZA"/>
        </w:rPr>
        <w:t>50.</w:t>
      </w:r>
      <w:r w:rsidRPr="00B344A8">
        <w:rPr>
          <w:lang w:val="en-ZA"/>
        </w:rPr>
        <w:tab/>
      </w:r>
      <w:r w:rsidR="00B554F6" w:rsidRPr="00D95DD6">
        <w:rPr>
          <w:lang w:val="en-ZA"/>
        </w:rPr>
        <w:t>W</w:t>
      </w:r>
      <w:r w:rsidR="000548CD" w:rsidRPr="00D95DD6">
        <w:rPr>
          <w:lang w:val="en-ZA"/>
        </w:rPr>
        <w:t>ith reference to a vast n</w:t>
      </w:r>
      <w:r w:rsidR="00B554F6" w:rsidRPr="00D95DD6">
        <w:rPr>
          <w:lang w:val="en-ZA"/>
        </w:rPr>
        <w:t>umber</w:t>
      </w:r>
      <w:r w:rsidR="000548CD" w:rsidRPr="00D95DD6">
        <w:rPr>
          <w:lang w:val="en-ZA"/>
        </w:rPr>
        <w:t xml:space="preserve"> of authorities</w:t>
      </w:r>
      <w:r w:rsidR="00B554F6" w:rsidRPr="00D95DD6">
        <w:rPr>
          <w:lang w:val="en-ZA"/>
        </w:rPr>
        <w:t xml:space="preserve"> it appears</w:t>
      </w:r>
      <w:r w:rsidR="000548CD" w:rsidRPr="00D95DD6">
        <w:rPr>
          <w:lang w:val="en-ZA"/>
        </w:rPr>
        <w:t xml:space="preserve"> that an interim interdict is normally (some say always), claimed by way of an application “pending the outcome of an action or application instituted or to be instituted; pending the final determination of the application; or as an adjunct to a rule nisi calling upon the respondent to show cause upon the return day why the interim interdict should not remain in force pending the outcome of the main application or action”.</w:t>
      </w:r>
      <w:r w:rsidR="00C92DEF" w:rsidRPr="00B344A8">
        <w:rPr>
          <w:rStyle w:val="FootnoteReference"/>
          <w:lang w:val="en-ZA"/>
        </w:rPr>
        <w:footnoteReference w:id="20"/>
      </w:r>
      <w:r w:rsidR="00C92DEF" w:rsidRPr="00D95DD6">
        <w:rPr>
          <w:lang w:val="en-ZA"/>
        </w:rPr>
        <w:t xml:space="preserve"> </w:t>
      </w:r>
      <w:r w:rsidR="000548CD" w:rsidRPr="00B344A8">
        <w:rPr>
          <w:rStyle w:val="FootnoteReference"/>
          <w:lang w:val="en-ZA"/>
        </w:rPr>
        <w:footnoteReference w:id="21"/>
      </w:r>
      <w:r w:rsidR="000548CD" w:rsidRPr="00D95DD6">
        <w:rPr>
          <w:lang w:val="en-ZA"/>
        </w:rPr>
        <w:t xml:space="preserve"> The first defendant contend</w:t>
      </w:r>
      <w:r w:rsidR="00B554F6" w:rsidRPr="00D95DD6">
        <w:rPr>
          <w:lang w:val="en-ZA"/>
        </w:rPr>
        <w:t>s</w:t>
      </w:r>
      <w:r w:rsidR="000548CD" w:rsidRPr="00D95DD6">
        <w:rPr>
          <w:lang w:val="en-ZA"/>
        </w:rPr>
        <w:t xml:space="preserve"> that the plaintiffs have employed the incorrect procedure and that the new claim should not be allowed on this basis. </w:t>
      </w:r>
    </w:p>
    <w:p w14:paraId="5243408A" w14:textId="77777777" w:rsidR="000548CD" w:rsidRPr="00B344A8" w:rsidRDefault="000548CD" w:rsidP="000548CD">
      <w:pPr>
        <w:pStyle w:val="ListParagraph"/>
        <w:spacing w:line="480" w:lineRule="auto"/>
        <w:ind w:left="0"/>
        <w:contextualSpacing w:val="0"/>
        <w:jc w:val="both"/>
        <w:rPr>
          <w:lang w:val="en-ZA"/>
        </w:rPr>
      </w:pPr>
    </w:p>
    <w:p w14:paraId="78E773DE" w14:textId="1CFC4663" w:rsidR="000C1336" w:rsidRPr="00D95DD6" w:rsidRDefault="00D95DD6" w:rsidP="00D95DD6">
      <w:pPr>
        <w:spacing w:line="480" w:lineRule="auto"/>
        <w:jc w:val="both"/>
        <w:rPr>
          <w:lang w:val="en-ZA"/>
        </w:rPr>
      </w:pPr>
      <w:r w:rsidRPr="00B344A8">
        <w:rPr>
          <w:lang w:val="en-ZA"/>
        </w:rPr>
        <w:t>51.</w:t>
      </w:r>
      <w:r w:rsidRPr="00B344A8">
        <w:rPr>
          <w:lang w:val="en-ZA"/>
        </w:rPr>
        <w:tab/>
      </w:r>
      <w:r w:rsidR="000548CD" w:rsidRPr="00D95DD6">
        <w:rPr>
          <w:lang w:val="en-ZA"/>
        </w:rPr>
        <w:t xml:space="preserve">In response the plaintiffs contended that despite the wording of the new claim 3, it is not an interim interdict but rather final relief that is being sought and that it is not an immutable rule that </w:t>
      </w:r>
      <w:r w:rsidR="000C1336" w:rsidRPr="00D95DD6">
        <w:rPr>
          <w:lang w:val="en-ZA"/>
        </w:rPr>
        <w:t>interdictory relief must be claimed by way of application</w:t>
      </w:r>
      <w:r w:rsidR="000548CD" w:rsidRPr="00D95DD6">
        <w:rPr>
          <w:lang w:val="en-ZA"/>
        </w:rPr>
        <w:t xml:space="preserve">. </w:t>
      </w:r>
      <w:r w:rsidR="000C1336" w:rsidRPr="00D95DD6">
        <w:rPr>
          <w:lang w:val="en-ZA"/>
        </w:rPr>
        <w:t xml:space="preserve">Whilst there may conceivable be factual situations which would justify departing from the general approach, this is not such a situation. </w:t>
      </w:r>
    </w:p>
    <w:p w14:paraId="625510B8" w14:textId="77777777" w:rsidR="000C1336" w:rsidRPr="00B344A8" w:rsidRDefault="000C1336" w:rsidP="000C1336">
      <w:pPr>
        <w:pStyle w:val="ListParagraph"/>
        <w:rPr>
          <w:lang w:val="en-ZA"/>
        </w:rPr>
      </w:pPr>
    </w:p>
    <w:p w14:paraId="529CEEE8" w14:textId="77777777" w:rsidR="000548CD" w:rsidRPr="00B344A8" w:rsidRDefault="000548CD" w:rsidP="000548CD">
      <w:pPr>
        <w:pStyle w:val="ListParagraph"/>
        <w:rPr>
          <w:lang w:val="en-ZA"/>
        </w:rPr>
      </w:pPr>
    </w:p>
    <w:p w14:paraId="69862966" w14:textId="5B0FC889" w:rsidR="000548CD" w:rsidRPr="00B344A8" w:rsidRDefault="00D95DD6" w:rsidP="00D95DD6">
      <w:pPr>
        <w:spacing w:line="480" w:lineRule="auto"/>
        <w:jc w:val="both"/>
      </w:pPr>
      <w:r w:rsidRPr="00B344A8">
        <w:lastRenderedPageBreak/>
        <w:t>52.</w:t>
      </w:r>
      <w:r w:rsidRPr="00B344A8">
        <w:tab/>
      </w:r>
      <w:r w:rsidR="000548CD" w:rsidRPr="00B344A8">
        <w:t xml:space="preserve">The plaintiffs are </w:t>
      </w:r>
      <w:r w:rsidR="00B344A8" w:rsidRPr="00B344A8">
        <w:t xml:space="preserve">further </w:t>
      </w:r>
      <w:r w:rsidR="000548CD" w:rsidRPr="00B344A8">
        <w:t>seeking declaratory relief in circumstances where no dispute has arisen. The primary function of the court is to adjudicate competing claims and not to address a mere hope of a right or anxiety about future litigation.  This issue was dealt with in Family Benefit Friendly Society v Commissioner for Inland Revenue and Another [1995] 1 All SA 557 (T), as follows:</w:t>
      </w:r>
    </w:p>
    <w:p w14:paraId="5AEF1634" w14:textId="77777777" w:rsidR="000548CD" w:rsidRPr="00B344A8" w:rsidRDefault="000548CD" w:rsidP="000548CD">
      <w:pPr>
        <w:pStyle w:val="ListParagraph"/>
        <w:spacing w:line="480" w:lineRule="auto"/>
        <w:jc w:val="both"/>
      </w:pPr>
    </w:p>
    <w:p w14:paraId="2133B52A" w14:textId="77777777" w:rsidR="000548CD" w:rsidRPr="00B344A8" w:rsidRDefault="000548CD" w:rsidP="000548CD">
      <w:pPr>
        <w:pStyle w:val="ListParagraph"/>
        <w:spacing w:line="480" w:lineRule="auto"/>
        <w:jc w:val="both"/>
      </w:pPr>
      <w:r w:rsidRPr="00B344A8">
        <w:t>“</w:t>
      </w:r>
      <w:r w:rsidRPr="00D1029A">
        <w:rPr>
          <w:sz w:val="22"/>
          <w:szCs w:val="22"/>
        </w:rPr>
        <w:t>There must be a right or obligation which becomes the object of enquiry. It may be existing, future or contingent but it must be more tangible than the mere hope of a right or mere anxiety about a possible obligation. The word “contingent” (Afrikaans: “voorwaardelik”) is not used in a broad and vague sense, but (as the Afrikaans text indicates) in the narrow sense of “conditional”. The word “contingent” is used as opposed to “vested”. The rights and obligations to be enquired into are either vested (present and future) or conditional (contingent)</w:t>
      </w:r>
      <w:r w:rsidRPr="00B344A8">
        <w:t>.”</w:t>
      </w:r>
    </w:p>
    <w:p w14:paraId="01EE50EA" w14:textId="77777777" w:rsidR="00E95740" w:rsidRDefault="00E95740" w:rsidP="00E95740">
      <w:pPr>
        <w:pStyle w:val="ListParagraph"/>
        <w:spacing w:line="480" w:lineRule="auto"/>
        <w:ind w:left="0"/>
        <w:contextualSpacing w:val="0"/>
        <w:jc w:val="both"/>
        <w:rPr>
          <w:lang w:val="en-ZA"/>
        </w:rPr>
      </w:pPr>
    </w:p>
    <w:p w14:paraId="1F3A11B4" w14:textId="627241F7" w:rsidR="000548CD" w:rsidRPr="00D95DD6" w:rsidRDefault="00D95DD6" w:rsidP="00D95DD6">
      <w:pPr>
        <w:spacing w:line="480" w:lineRule="auto"/>
        <w:jc w:val="both"/>
        <w:rPr>
          <w:lang w:val="en-ZA"/>
        </w:rPr>
      </w:pPr>
      <w:r w:rsidRPr="00B344A8">
        <w:rPr>
          <w:lang w:val="en-ZA"/>
        </w:rPr>
        <w:t>53.</w:t>
      </w:r>
      <w:r w:rsidRPr="00B344A8">
        <w:rPr>
          <w:lang w:val="en-ZA"/>
        </w:rPr>
        <w:tab/>
      </w:r>
      <w:r w:rsidR="005B3E7F" w:rsidRPr="00D95DD6">
        <w:rPr>
          <w:lang w:val="en-ZA"/>
        </w:rPr>
        <w:t xml:space="preserve">On the issue of convenience and the contentions that to refuse the introduction of this claim would result in further litigation, I point out that it </w:t>
      </w:r>
      <w:r w:rsidR="002A1852" w:rsidRPr="00D95DD6">
        <w:rPr>
          <w:lang w:val="en-ZA"/>
        </w:rPr>
        <w:t xml:space="preserve">is crystal clear that </w:t>
      </w:r>
      <w:r w:rsidR="005B3E7F" w:rsidRPr="00D95DD6">
        <w:rPr>
          <w:lang w:val="en-ZA"/>
        </w:rPr>
        <w:t xml:space="preserve">question </w:t>
      </w:r>
      <w:r w:rsidR="002A1852" w:rsidRPr="00D95DD6">
        <w:rPr>
          <w:lang w:val="en-ZA"/>
        </w:rPr>
        <w:t>w</w:t>
      </w:r>
      <w:r w:rsidR="00C8286A" w:rsidRPr="00D95DD6">
        <w:rPr>
          <w:lang w:val="en-ZA"/>
        </w:rPr>
        <w:t>hether the defendants ha</w:t>
      </w:r>
      <w:r w:rsidR="00CA3F50" w:rsidRPr="00D95DD6">
        <w:rPr>
          <w:lang w:val="en-ZA"/>
        </w:rPr>
        <w:t>ve</w:t>
      </w:r>
      <w:r w:rsidR="00C8286A" w:rsidRPr="00D95DD6">
        <w:rPr>
          <w:lang w:val="en-ZA"/>
        </w:rPr>
        <w:t xml:space="preserve"> the right to pipe the sloot</w:t>
      </w:r>
      <w:r w:rsidR="00CA3F50" w:rsidRPr="00D95DD6">
        <w:rPr>
          <w:lang w:val="en-ZA"/>
        </w:rPr>
        <w:t xml:space="preserve">, </w:t>
      </w:r>
      <w:r w:rsidR="00C8286A" w:rsidRPr="00D95DD6">
        <w:rPr>
          <w:lang w:val="en-ZA"/>
        </w:rPr>
        <w:t xml:space="preserve">is </w:t>
      </w:r>
      <w:r w:rsidR="00CA3F50" w:rsidRPr="00D95DD6">
        <w:rPr>
          <w:lang w:val="en-ZA"/>
        </w:rPr>
        <w:t>a separate</w:t>
      </w:r>
      <w:r w:rsidR="00C8286A" w:rsidRPr="00D95DD6">
        <w:rPr>
          <w:lang w:val="en-ZA"/>
        </w:rPr>
        <w:t xml:space="preserve"> issue t</w:t>
      </w:r>
      <w:r w:rsidR="00CA3F50" w:rsidRPr="00D95DD6">
        <w:rPr>
          <w:lang w:val="en-ZA"/>
        </w:rPr>
        <w:t xml:space="preserve">o </w:t>
      </w:r>
      <w:r w:rsidR="00C8286A" w:rsidRPr="00D95DD6">
        <w:rPr>
          <w:lang w:val="en-ZA"/>
        </w:rPr>
        <w:t xml:space="preserve">whether the </w:t>
      </w:r>
      <w:r w:rsidR="00CA3F50" w:rsidRPr="00D95DD6">
        <w:rPr>
          <w:lang w:val="en-ZA"/>
        </w:rPr>
        <w:t xml:space="preserve">sloot is a structure as contemplated in section 1 and 34(1) of the NHRA which is of cultural significance. </w:t>
      </w:r>
      <w:r w:rsidR="005B3E7F" w:rsidRPr="00D95DD6">
        <w:rPr>
          <w:lang w:val="en-ZA"/>
        </w:rPr>
        <w:t>T</w:t>
      </w:r>
      <w:r w:rsidR="00CA3F50" w:rsidRPr="00D95DD6">
        <w:rPr>
          <w:lang w:val="en-ZA"/>
        </w:rPr>
        <w:t xml:space="preserve">he fear that </w:t>
      </w:r>
      <w:r w:rsidR="002A1852" w:rsidRPr="00D95DD6">
        <w:rPr>
          <w:lang w:val="en-ZA"/>
        </w:rPr>
        <w:t xml:space="preserve">the sloot, if the defendants are allowed to pipe, will be destroyed or damaged irreparably as a heritage site, is </w:t>
      </w:r>
      <w:r w:rsidR="005B3E7F" w:rsidRPr="00D95DD6">
        <w:rPr>
          <w:lang w:val="en-ZA"/>
        </w:rPr>
        <w:t xml:space="preserve">also </w:t>
      </w:r>
      <w:r w:rsidR="002A1852" w:rsidRPr="00D95DD6">
        <w:rPr>
          <w:lang w:val="en-ZA"/>
        </w:rPr>
        <w:t xml:space="preserve">a separate issue to whether the defendants have the right in terms of the servitude of </w:t>
      </w:r>
      <w:r w:rsidR="002A1852" w:rsidRPr="00D95DD6">
        <w:rPr>
          <w:i/>
          <w:iCs/>
          <w:lang w:val="en-ZA"/>
        </w:rPr>
        <w:t>aqu</w:t>
      </w:r>
      <w:r w:rsidR="000E509E" w:rsidRPr="00D95DD6">
        <w:rPr>
          <w:i/>
          <w:iCs/>
          <w:lang w:val="en-ZA"/>
        </w:rPr>
        <w:t>a</w:t>
      </w:r>
      <w:r w:rsidR="00E92D19" w:rsidRPr="00D95DD6">
        <w:rPr>
          <w:i/>
          <w:iCs/>
          <w:lang w:val="en-ZA"/>
        </w:rPr>
        <w:t>e</w:t>
      </w:r>
      <w:r w:rsidR="002A1852" w:rsidRPr="00D95DD6">
        <w:rPr>
          <w:i/>
          <w:iCs/>
          <w:lang w:val="en-ZA"/>
        </w:rPr>
        <w:t>duct</w:t>
      </w:r>
      <w:r w:rsidR="000E509E" w:rsidRPr="00D95DD6">
        <w:rPr>
          <w:i/>
          <w:iCs/>
          <w:lang w:val="en-ZA"/>
        </w:rPr>
        <w:t>us</w:t>
      </w:r>
      <w:r w:rsidR="002A1852" w:rsidRPr="00D95DD6">
        <w:rPr>
          <w:lang w:val="en-ZA"/>
        </w:rPr>
        <w:t xml:space="preserve"> to pipe the sloot.</w:t>
      </w:r>
      <w:r w:rsidR="002011EC" w:rsidRPr="00D95DD6">
        <w:rPr>
          <w:lang w:val="en-ZA"/>
        </w:rPr>
        <w:t xml:space="preserve"> If claims 1 and 2 are dismissed and the defendants proceed to take steps to pipe the sloot, without the necessary permit </w:t>
      </w:r>
      <w:r w:rsidR="00B344A8" w:rsidRPr="00D95DD6">
        <w:rPr>
          <w:lang w:val="en-ZA"/>
        </w:rPr>
        <w:t xml:space="preserve">that </w:t>
      </w:r>
      <w:r w:rsidR="002011EC" w:rsidRPr="00D95DD6">
        <w:rPr>
          <w:lang w:val="en-ZA"/>
        </w:rPr>
        <w:t xml:space="preserve">is according to the plaintiffs required, it can approach the court for appropriate relief. I agree with the first defendant that the plaintiffs should </w:t>
      </w:r>
      <w:r w:rsidR="00B344A8" w:rsidRPr="00D95DD6">
        <w:rPr>
          <w:lang w:val="en-ZA"/>
        </w:rPr>
        <w:t xml:space="preserve">in such anticipated application, </w:t>
      </w:r>
      <w:r w:rsidR="005534F7" w:rsidRPr="00D95DD6">
        <w:rPr>
          <w:lang w:val="en-ZA"/>
        </w:rPr>
        <w:t>at</w:t>
      </w:r>
      <w:r w:rsidR="00B344A8" w:rsidRPr="00D95DD6">
        <w:rPr>
          <w:lang w:val="en-ZA"/>
        </w:rPr>
        <w:t xml:space="preserve"> the very </w:t>
      </w:r>
      <w:r w:rsidR="00B344A8" w:rsidRPr="00D95DD6">
        <w:rPr>
          <w:lang w:val="en-ZA"/>
        </w:rPr>
        <w:lastRenderedPageBreak/>
        <w:t xml:space="preserve">least, join the </w:t>
      </w:r>
      <w:r w:rsidR="002011EC" w:rsidRPr="00D95DD6">
        <w:rPr>
          <w:lang w:val="en-ZA"/>
        </w:rPr>
        <w:t>South African He</w:t>
      </w:r>
      <w:r w:rsidR="000548CD" w:rsidRPr="00D95DD6">
        <w:rPr>
          <w:lang w:val="en-ZA"/>
        </w:rPr>
        <w:t xml:space="preserve">ritage </w:t>
      </w:r>
      <w:r w:rsidR="002011EC" w:rsidRPr="00D95DD6">
        <w:rPr>
          <w:lang w:val="en-ZA"/>
        </w:rPr>
        <w:t>Resources Agenc</w:t>
      </w:r>
      <w:r w:rsidR="000548CD" w:rsidRPr="00D95DD6">
        <w:rPr>
          <w:lang w:val="en-ZA"/>
        </w:rPr>
        <w:t xml:space="preserve">y who has </w:t>
      </w:r>
      <w:r w:rsidR="00B344A8" w:rsidRPr="00D95DD6">
        <w:rPr>
          <w:lang w:val="en-ZA"/>
        </w:rPr>
        <w:t xml:space="preserve">an </w:t>
      </w:r>
      <w:r w:rsidR="000548CD" w:rsidRPr="00D95DD6">
        <w:rPr>
          <w:lang w:val="en-ZA"/>
        </w:rPr>
        <w:t>interest in the relief the plaintiffs allege they are entitled to.</w:t>
      </w:r>
    </w:p>
    <w:p w14:paraId="382252C8" w14:textId="77777777" w:rsidR="008F6402" w:rsidRPr="00B344A8" w:rsidRDefault="008F6402" w:rsidP="008F6402">
      <w:pPr>
        <w:pStyle w:val="ListParagraph"/>
        <w:spacing w:line="480" w:lineRule="auto"/>
        <w:ind w:left="360"/>
        <w:jc w:val="both"/>
        <w:rPr>
          <w:lang w:val="en-ZA"/>
        </w:rPr>
      </w:pPr>
    </w:p>
    <w:p w14:paraId="3D0135C9" w14:textId="52274D39" w:rsidR="005A5719" w:rsidRPr="00B344A8" w:rsidRDefault="00D95DD6" w:rsidP="00D95DD6">
      <w:pPr>
        <w:spacing w:line="480" w:lineRule="auto"/>
        <w:jc w:val="both"/>
        <w:rPr>
          <w:lang w:val="en-ZA"/>
        </w:rPr>
      </w:pPr>
      <w:r w:rsidRPr="00B344A8">
        <w:rPr>
          <w:lang w:val="en-ZA"/>
        </w:rPr>
        <w:t>54.</w:t>
      </w:r>
      <w:r w:rsidRPr="00B344A8">
        <w:rPr>
          <w:lang w:val="en-ZA"/>
        </w:rPr>
        <w:tab/>
      </w:r>
      <w:r w:rsidR="005A5719" w:rsidRPr="00B344A8">
        <w:rPr>
          <w:lang w:val="en-ZA"/>
        </w:rPr>
        <w:t xml:space="preserve">In the circumstances, the plaintiffs </w:t>
      </w:r>
      <w:r w:rsidR="00B344A8" w:rsidRPr="00B344A8">
        <w:rPr>
          <w:lang w:val="en-ZA"/>
        </w:rPr>
        <w:t xml:space="preserve">request to amend the particulars of claim by the </w:t>
      </w:r>
      <w:r w:rsidR="005A5719" w:rsidRPr="00B344A8">
        <w:rPr>
          <w:lang w:val="en-ZA"/>
        </w:rPr>
        <w:t xml:space="preserve">inclusion of paragraphs 37 to 45 and the inclusion of claim 3, </w:t>
      </w:r>
      <w:r w:rsidR="00B344A8" w:rsidRPr="00B344A8">
        <w:rPr>
          <w:lang w:val="en-ZA"/>
        </w:rPr>
        <w:t xml:space="preserve">is </w:t>
      </w:r>
      <w:r w:rsidR="005A5719" w:rsidRPr="00B344A8">
        <w:rPr>
          <w:lang w:val="en-ZA"/>
        </w:rPr>
        <w:t xml:space="preserve">refused. </w:t>
      </w:r>
    </w:p>
    <w:p w14:paraId="47F722CC" w14:textId="77777777" w:rsidR="00386B78" w:rsidRPr="00B344A8" w:rsidRDefault="00386B78" w:rsidP="0021137E">
      <w:pPr>
        <w:spacing w:line="480" w:lineRule="auto"/>
        <w:jc w:val="both"/>
        <w:rPr>
          <w:b/>
          <w:bCs/>
          <w:u w:val="single"/>
          <w:lang w:val="en-ZA"/>
        </w:rPr>
      </w:pPr>
    </w:p>
    <w:p w14:paraId="5DEDF6AD" w14:textId="12514095" w:rsidR="00092E95" w:rsidRDefault="00D95DD6" w:rsidP="00D95DD6">
      <w:pPr>
        <w:spacing w:line="480" w:lineRule="auto"/>
        <w:jc w:val="both"/>
        <w:rPr>
          <w:lang w:val="en-ZA"/>
        </w:rPr>
      </w:pPr>
      <w:r>
        <w:rPr>
          <w:lang w:val="en-ZA"/>
        </w:rPr>
        <w:t>55.</w:t>
      </w:r>
      <w:r>
        <w:rPr>
          <w:lang w:val="en-ZA"/>
        </w:rPr>
        <w:tab/>
      </w:r>
      <w:r w:rsidR="00092E95">
        <w:rPr>
          <w:lang w:val="en-ZA"/>
        </w:rPr>
        <w:t>The amendment application was filed in response to the exceptions raised by the first defendant.  The opposition to the amendment application was inextricably linked to the exceptions raised and the first defendant successfully opposed the introduction of claim 3. I see no reason why the plaintiffs should not be ordered to pay the costs of the amendment application.  The first defendant further raised important and complicated legal issues in the exception which justifies in my opinion the employment of senior counsel.</w:t>
      </w:r>
    </w:p>
    <w:p w14:paraId="03981ACF" w14:textId="77777777" w:rsidR="00092E95" w:rsidRDefault="00092E95" w:rsidP="00092E95">
      <w:pPr>
        <w:spacing w:line="480" w:lineRule="auto"/>
        <w:jc w:val="both"/>
        <w:rPr>
          <w:lang w:val="en-ZA"/>
        </w:rPr>
      </w:pPr>
    </w:p>
    <w:p w14:paraId="3EA69743" w14:textId="0A69A7A6" w:rsidR="0021137E" w:rsidRPr="00B344A8" w:rsidRDefault="00D95DD6" w:rsidP="00D95DD6">
      <w:pPr>
        <w:spacing w:line="480" w:lineRule="auto"/>
        <w:jc w:val="both"/>
        <w:rPr>
          <w:lang w:val="en-ZA"/>
        </w:rPr>
      </w:pPr>
      <w:r w:rsidRPr="00B344A8">
        <w:rPr>
          <w:lang w:val="en-ZA"/>
        </w:rPr>
        <w:t>56.</w:t>
      </w:r>
      <w:r w:rsidRPr="00B344A8">
        <w:rPr>
          <w:lang w:val="en-ZA"/>
        </w:rPr>
        <w:tab/>
      </w:r>
      <w:r w:rsidR="003D137F">
        <w:rPr>
          <w:lang w:val="en-ZA"/>
        </w:rPr>
        <w:t>In the circumstances, t</w:t>
      </w:r>
      <w:r w:rsidR="00B344A8" w:rsidRPr="00B344A8">
        <w:rPr>
          <w:lang w:val="en-ZA"/>
        </w:rPr>
        <w:t xml:space="preserve">he following </w:t>
      </w:r>
      <w:r w:rsidR="0021137E" w:rsidRPr="00B344A8">
        <w:rPr>
          <w:lang w:val="en-ZA"/>
        </w:rPr>
        <w:t>order is made:</w:t>
      </w:r>
    </w:p>
    <w:p w14:paraId="67C1286E" w14:textId="77777777" w:rsidR="00A00D43" w:rsidRDefault="00A00D43" w:rsidP="00A00D43">
      <w:pPr>
        <w:spacing w:line="480" w:lineRule="auto"/>
        <w:ind w:left="1440"/>
        <w:jc w:val="both"/>
        <w:rPr>
          <w:lang w:val="en-ZA"/>
        </w:rPr>
      </w:pPr>
    </w:p>
    <w:p w14:paraId="5205CB39" w14:textId="7F2A075E" w:rsidR="002820F4" w:rsidRPr="00D95DD6" w:rsidRDefault="00D95DD6" w:rsidP="00D95DD6">
      <w:pPr>
        <w:spacing w:line="480" w:lineRule="auto"/>
        <w:ind w:left="1080" w:hanging="360"/>
        <w:jc w:val="both"/>
        <w:rPr>
          <w:lang w:val="en-ZA"/>
        </w:rPr>
      </w:pPr>
      <w:r w:rsidRPr="00500CDA">
        <w:rPr>
          <w:lang w:val="en-ZA"/>
        </w:rPr>
        <w:t>1.</w:t>
      </w:r>
      <w:r w:rsidRPr="00500CDA">
        <w:rPr>
          <w:lang w:val="en-ZA"/>
        </w:rPr>
        <w:tab/>
      </w:r>
      <w:r w:rsidR="002E278F" w:rsidRPr="00D95DD6">
        <w:rPr>
          <w:lang w:val="en-ZA"/>
        </w:rPr>
        <w:t xml:space="preserve">The plaintiffs </w:t>
      </w:r>
      <w:r w:rsidR="002820F4" w:rsidRPr="00D95DD6">
        <w:rPr>
          <w:lang w:val="en-ZA"/>
        </w:rPr>
        <w:t>are</w:t>
      </w:r>
      <w:r w:rsidR="002E278F" w:rsidRPr="00D95DD6">
        <w:rPr>
          <w:lang w:val="en-ZA"/>
        </w:rPr>
        <w:t xml:space="preserve"> granted leave to amend claims 1 and 2 of the particulars of claim </w:t>
      </w:r>
      <w:r w:rsidR="002820F4" w:rsidRPr="00D95DD6">
        <w:rPr>
          <w:lang w:val="en-ZA"/>
        </w:rPr>
        <w:t xml:space="preserve">and </w:t>
      </w:r>
      <w:r w:rsidR="005534F7" w:rsidRPr="00D95DD6">
        <w:rPr>
          <w:lang w:val="en-ZA"/>
        </w:rPr>
        <w:t>are to pay</w:t>
      </w:r>
      <w:r w:rsidR="002820F4" w:rsidRPr="00D95DD6">
        <w:rPr>
          <w:lang w:val="en-ZA"/>
        </w:rPr>
        <w:t xml:space="preserve"> the costs of the amendment application</w:t>
      </w:r>
      <w:r w:rsidR="00550E87" w:rsidRPr="00D95DD6">
        <w:rPr>
          <w:lang w:val="en-ZA"/>
        </w:rPr>
        <w:t>, including the costs of senior counsel</w:t>
      </w:r>
      <w:r w:rsidR="002820F4" w:rsidRPr="00D95DD6">
        <w:rPr>
          <w:lang w:val="en-ZA"/>
        </w:rPr>
        <w:t>;</w:t>
      </w:r>
    </w:p>
    <w:p w14:paraId="066EB243" w14:textId="77777777" w:rsidR="00500CDA" w:rsidRDefault="00500CDA" w:rsidP="00500CDA">
      <w:pPr>
        <w:spacing w:line="480" w:lineRule="auto"/>
        <w:ind w:left="1080" w:hanging="360"/>
        <w:jc w:val="both"/>
        <w:rPr>
          <w:lang w:val="en-ZA"/>
        </w:rPr>
      </w:pPr>
    </w:p>
    <w:p w14:paraId="2873902B" w14:textId="204E31A2" w:rsidR="002820F4" w:rsidRPr="00D95DD6" w:rsidRDefault="00D95DD6" w:rsidP="00D95DD6">
      <w:pPr>
        <w:spacing w:line="480" w:lineRule="auto"/>
        <w:ind w:left="1080" w:hanging="360"/>
        <w:jc w:val="both"/>
        <w:rPr>
          <w:lang w:val="en-ZA"/>
        </w:rPr>
      </w:pPr>
      <w:r w:rsidRPr="00500CDA">
        <w:rPr>
          <w:lang w:val="en-ZA"/>
        </w:rPr>
        <w:t>2.</w:t>
      </w:r>
      <w:r w:rsidRPr="00500CDA">
        <w:rPr>
          <w:lang w:val="en-ZA"/>
        </w:rPr>
        <w:tab/>
      </w:r>
      <w:r w:rsidR="002820F4" w:rsidRPr="00D95DD6">
        <w:rPr>
          <w:lang w:val="en-ZA"/>
        </w:rPr>
        <w:t>The first ground of exception raised by the first defendant is upheld. The plaintiffs are granted leave to amend their particulars of claim within 15 days of this order;</w:t>
      </w:r>
    </w:p>
    <w:p w14:paraId="1B22064B" w14:textId="6B2B9C80" w:rsidR="00E95740" w:rsidRDefault="00E95740" w:rsidP="00500CDA">
      <w:pPr>
        <w:spacing w:line="480" w:lineRule="auto"/>
        <w:ind w:left="1080" w:hanging="360"/>
        <w:jc w:val="both"/>
        <w:rPr>
          <w:lang w:val="en-ZA"/>
        </w:rPr>
      </w:pPr>
    </w:p>
    <w:p w14:paraId="1DE800BE" w14:textId="146CB7F8" w:rsidR="002820F4" w:rsidRPr="00D95DD6" w:rsidRDefault="00D95DD6" w:rsidP="00D95DD6">
      <w:pPr>
        <w:spacing w:line="480" w:lineRule="auto"/>
        <w:ind w:left="1080" w:hanging="360"/>
        <w:jc w:val="both"/>
        <w:rPr>
          <w:lang w:val="en-ZA"/>
        </w:rPr>
      </w:pPr>
      <w:r w:rsidRPr="00500CDA">
        <w:rPr>
          <w:lang w:val="en-ZA"/>
        </w:rPr>
        <w:t>3.</w:t>
      </w:r>
      <w:r w:rsidRPr="00500CDA">
        <w:rPr>
          <w:lang w:val="en-ZA"/>
        </w:rPr>
        <w:tab/>
      </w:r>
      <w:r w:rsidR="002820F4" w:rsidRPr="00D95DD6">
        <w:rPr>
          <w:lang w:val="en-ZA"/>
        </w:rPr>
        <w:t>The second ground of exception is dismissed;</w:t>
      </w:r>
    </w:p>
    <w:p w14:paraId="751C3F7B" w14:textId="77777777" w:rsidR="00E95740" w:rsidRDefault="00E95740" w:rsidP="00500CDA">
      <w:pPr>
        <w:spacing w:line="480" w:lineRule="auto"/>
        <w:ind w:left="1080" w:hanging="360"/>
        <w:jc w:val="both"/>
        <w:rPr>
          <w:lang w:val="en-ZA"/>
        </w:rPr>
      </w:pPr>
    </w:p>
    <w:p w14:paraId="690F69A8" w14:textId="15878697" w:rsidR="002820F4" w:rsidRPr="00D95DD6" w:rsidRDefault="00D95DD6" w:rsidP="00D95DD6">
      <w:pPr>
        <w:spacing w:line="480" w:lineRule="auto"/>
        <w:ind w:left="1080" w:hanging="360"/>
        <w:jc w:val="both"/>
        <w:rPr>
          <w:lang w:val="en-ZA"/>
        </w:rPr>
      </w:pPr>
      <w:r w:rsidRPr="00500CDA">
        <w:rPr>
          <w:lang w:val="en-ZA"/>
        </w:rPr>
        <w:t>4.</w:t>
      </w:r>
      <w:r w:rsidRPr="00500CDA">
        <w:rPr>
          <w:lang w:val="en-ZA"/>
        </w:rPr>
        <w:tab/>
      </w:r>
      <w:r w:rsidR="002820F4" w:rsidRPr="00D95DD6">
        <w:rPr>
          <w:lang w:val="en-ZA"/>
        </w:rPr>
        <w:t>The plaintiffs are ordered</w:t>
      </w:r>
      <w:r w:rsidR="005534F7" w:rsidRPr="00D95DD6">
        <w:rPr>
          <w:lang w:val="en-ZA"/>
        </w:rPr>
        <w:t xml:space="preserve"> </w:t>
      </w:r>
      <w:r w:rsidR="002820F4" w:rsidRPr="00D95DD6">
        <w:rPr>
          <w:lang w:val="en-ZA"/>
        </w:rPr>
        <w:t xml:space="preserve">to pay 50 % of the costs </w:t>
      </w:r>
      <w:r w:rsidR="00A00D43" w:rsidRPr="00D95DD6">
        <w:rPr>
          <w:lang w:val="en-ZA"/>
        </w:rPr>
        <w:t>of</w:t>
      </w:r>
      <w:r w:rsidR="002820F4" w:rsidRPr="00D95DD6">
        <w:rPr>
          <w:lang w:val="en-ZA"/>
        </w:rPr>
        <w:t xml:space="preserve"> the exception, </w:t>
      </w:r>
      <w:r w:rsidR="00A00D43" w:rsidRPr="00D95DD6">
        <w:rPr>
          <w:lang w:val="en-ZA"/>
        </w:rPr>
        <w:t>including 50% of the wasted costs occasioned by the postponement on 5 May 2021 and 9 November 2021</w:t>
      </w:r>
      <w:r w:rsidR="00550E87" w:rsidRPr="00D95DD6">
        <w:rPr>
          <w:lang w:val="en-ZA"/>
        </w:rPr>
        <w:t>, including the costs of senior counsel.</w:t>
      </w:r>
    </w:p>
    <w:p w14:paraId="34383294" w14:textId="754ACB58" w:rsidR="00A00D43" w:rsidRDefault="00A00D43" w:rsidP="002D26DC">
      <w:pPr>
        <w:jc w:val="right"/>
        <w:rPr>
          <w:rFonts w:eastAsia="Calibri"/>
        </w:rPr>
      </w:pPr>
    </w:p>
    <w:p w14:paraId="5167DFF6" w14:textId="1907B6E9" w:rsidR="00CC4AF5" w:rsidRDefault="00CC4AF5" w:rsidP="002D26DC">
      <w:pPr>
        <w:jc w:val="right"/>
        <w:rPr>
          <w:rFonts w:eastAsia="Calibri"/>
        </w:rPr>
      </w:pPr>
    </w:p>
    <w:p w14:paraId="5800DA9D" w14:textId="77777777" w:rsidR="00CC4AF5" w:rsidRDefault="00CC4AF5" w:rsidP="002D26DC">
      <w:pPr>
        <w:jc w:val="right"/>
        <w:rPr>
          <w:rFonts w:eastAsia="Calibri"/>
        </w:rPr>
      </w:pPr>
    </w:p>
    <w:p w14:paraId="022D983B" w14:textId="3C634F71" w:rsidR="002D26DC" w:rsidRPr="00AD2315" w:rsidRDefault="002D26DC" w:rsidP="002D26DC">
      <w:pPr>
        <w:jc w:val="right"/>
        <w:rPr>
          <w:rFonts w:eastAsia="Calibri"/>
        </w:rPr>
      </w:pPr>
      <w:r w:rsidRPr="00AD2315">
        <w:rPr>
          <w:rFonts w:eastAsia="Calibri"/>
        </w:rPr>
        <w:t xml:space="preserve">           _____________________________</w:t>
      </w:r>
    </w:p>
    <w:p w14:paraId="2A35B6C6" w14:textId="77777777" w:rsidR="002D26DC" w:rsidRPr="00AD2315" w:rsidRDefault="002D26DC" w:rsidP="002D26DC">
      <w:pPr>
        <w:jc w:val="right"/>
        <w:rPr>
          <w:rFonts w:eastAsia="Calibri"/>
          <w:b/>
          <w:bCs/>
        </w:rPr>
      </w:pPr>
      <w:r w:rsidRPr="00AD2315">
        <w:rPr>
          <w:rFonts w:eastAsia="Calibri"/>
          <w:b/>
          <w:bCs/>
        </w:rPr>
        <w:t xml:space="preserve">                A De Wet</w:t>
      </w:r>
    </w:p>
    <w:p w14:paraId="69B18B44" w14:textId="77777777" w:rsidR="002D26DC" w:rsidRPr="00AD2315" w:rsidRDefault="002D26DC" w:rsidP="002D26DC">
      <w:pPr>
        <w:jc w:val="right"/>
        <w:rPr>
          <w:rFonts w:eastAsia="Calibri"/>
          <w:b/>
          <w:bCs/>
        </w:rPr>
      </w:pPr>
      <w:r w:rsidRPr="00AD2315">
        <w:rPr>
          <w:rFonts w:eastAsia="Calibri"/>
          <w:b/>
          <w:bCs/>
        </w:rPr>
        <w:t>Acting Judge of the High Court</w:t>
      </w:r>
    </w:p>
    <w:p w14:paraId="5B38AF88" w14:textId="77777777" w:rsidR="002D26DC" w:rsidRDefault="002D26DC" w:rsidP="002D26DC">
      <w:pPr>
        <w:spacing w:line="360" w:lineRule="auto"/>
        <w:rPr>
          <w:rFonts w:eastAsia="Calibri"/>
        </w:rPr>
      </w:pPr>
    </w:p>
    <w:p w14:paraId="30897999" w14:textId="77777777" w:rsidR="00DD33CF" w:rsidRDefault="00DD33CF" w:rsidP="002D26DC">
      <w:pPr>
        <w:spacing w:line="360" w:lineRule="auto"/>
        <w:rPr>
          <w:rFonts w:eastAsia="Calibri"/>
        </w:rPr>
      </w:pPr>
    </w:p>
    <w:p w14:paraId="7BE2E2D6" w14:textId="6A0CA4EE" w:rsidR="002D26DC" w:rsidRDefault="002D26DC" w:rsidP="002D26DC">
      <w:pPr>
        <w:spacing w:line="360" w:lineRule="auto"/>
        <w:rPr>
          <w:rFonts w:eastAsia="Calibri"/>
        </w:rPr>
      </w:pPr>
      <w:r w:rsidRPr="00AD2315">
        <w:rPr>
          <w:rFonts w:eastAsia="Calibri"/>
        </w:rPr>
        <w:t xml:space="preserve">Counsel for </w:t>
      </w:r>
      <w:r w:rsidR="00DD33CF">
        <w:rPr>
          <w:rFonts w:eastAsia="Calibri"/>
        </w:rPr>
        <w:t>Excipient / First Defendant</w:t>
      </w:r>
      <w:r w:rsidRPr="00AD2315">
        <w:rPr>
          <w:rFonts w:eastAsia="Calibri"/>
        </w:rPr>
        <w:t>:</w:t>
      </w:r>
      <w:r w:rsidRPr="00AD2315">
        <w:rPr>
          <w:rFonts w:eastAsia="Calibri"/>
        </w:rPr>
        <w:tab/>
      </w:r>
      <w:r w:rsidRPr="00AD2315">
        <w:rPr>
          <w:rFonts w:eastAsia="Calibri"/>
        </w:rPr>
        <w:tab/>
      </w:r>
      <w:r w:rsidR="00DD33CF">
        <w:rPr>
          <w:rFonts w:eastAsia="Calibri"/>
        </w:rPr>
        <w:t>Adv. WH Van Staden SC</w:t>
      </w:r>
    </w:p>
    <w:p w14:paraId="4A253370" w14:textId="19F55653" w:rsidR="002D26DC" w:rsidRDefault="002D26DC" w:rsidP="002D26DC">
      <w:pPr>
        <w:spacing w:line="360" w:lineRule="auto"/>
        <w:rPr>
          <w:rFonts w:eastAsia="Calibri"/>
        </w:rPr>
      </w:pPr>
      <w:r w:rsidRPr="00AD2315">
        <w:rPr>
          <w:rFonts w:eastAsia="Calibri"/>
        </w:rPr>
        <w:t>Attorneys for the Plaintiff:</w:t>
      </w:r>
      <w:r w:rsidRPr="00AD2315">
        <w:rPr>
          <w:rFonts w:eastAsia="Calibri"/>
        </w:rPr>
        <w:tab/>
      </w:r>
      <w:r w:rsidR="00DD33CF">
        <w:rPr>
          <w:rFonts w:eastAsia="Calibri"/>
        </w:rPr>
        <w:tab/>
      </w:r>
      <w:r w:rsidR="00DD33CF">
        <w:rPr>
          <w:rFonts w:eastAsia="Calibri"/>
        </w:rPr>
        <w:tab/>
      </w:r>
      <w:r w:rsidR="00DD33CF">
        <w:rPr>
          <w:rFonts w:eastAsia="Calibri"/>
        </w:rPr>
        <w:tab/>
        <w:t>Feenstra Inc (per Roelof Feenstra)</w:t>
      </w:r>
    </w:p>
    <w:p w14:paraId="103327BB" w14:textId="15663F68" w:rsidR="002D26DC" w:rsidRPr="00AD2315" w:rsidRDefault="002D26DC" w:rsidP="00DD33CF">
      <w:pPr>
        <w:spacing w:line="360" w:lineRule="auto"/>
        <w:ind w:left="4320" w:firstLine="720"/>
        <w:rPr>
          <w:rFonts w:eastAsia="Calibri"/>
        </w:rPr>
      </w:pPr>
      <w:r>
        <w:rPr>
          <w:rFonts w:eastAsia="Calibri"/>
        </w:rPr>
        <w:t>Email:</w:t>
      </w:r>
      <w:r w:rsidR="00DD33CF">
        <w:rPr>
          <w:rFonts w:eastAsia="Calibri"/>
        </w:rPr>
        <w:t xml:space="preserve"> roelof@feenstrainc.co.za</w:t>
      </w:r>
    </w:p>
    <w:p w14:paraId="5B82E48E" w14:textId="77777777" w:rsidR="00DD33CF" w:rsidRDefault="00DD33CF" w:rsidP="002D26DC">
      <w:pPr>
        <w:spacing w:line="360" w:lineRule="auto"/>
        <w:rPr>
          <w:rFonts w:eastAsia="Calibri"/>
        </w:rPr>
      </w:pPr>
    </w:p>
    <w:p w14:paraId="1587F4D2" w14:textId="20BB94E3" w:rsidR="002D26DC" w:rsidRDefault="002D26DC" w:rsidP="002D26DC">
      <w:pPr>
        <w:spacing w:line="360" w:lineRule="auto"/>
        <w:rPr>
          <w:rFonts w:eastAsia="Calibri"/>
        </w:rPr>
      </w:pPr>
      <w:r w:rsidRPr="00AD2315">
        <w:rPr>
          <w:rFonts w:eastAsia="Calibri"/>
        </w:rPr>
        <w:t xml:space="preserve">Counsel for the </w:t>
      </w:r>
      <w:r w:rsidR="00DD33CF">
        <w:rPr>
          <w:rFonts w:eastAsia="Calibri"/>
        </w:rPr>
        <w:t>Respondents</w:t>
      </w:r>
      <w:r w:rsidRPr="00AD2315">
        <w:rPr>
          <w:rFonts w:eastAsia="Calibri"/>
        </w:rPr>
        <w:t>:</w:t>
      </w:r>
      <w:r w:rsidRPr="00AD2315">
        <w:rPr>
          <w:rFonts w:eastAsia="Calibri"/>
        </w:rPr>
        <w:tab/>
      </w:r>
      <w:r w:rsidRPr="00AD2315">
        <w:rPr>
          <w:rFonts w:eastAsia="Calibri"/>
        </w:rPr>
        <w:tab/>
      </w:r>
      <w:r w:rsidR="00DD33CF">
        <w:rPr>
          <w:rFonts w:eastAsia="Calibri"/>
        </w:rPr>
        <w:tab/>
        <w:t>Adv. L Ferreira</w:t>
      </w:r>
    </w:p>
    <w:p w14:paraId="1BC7E57F" w14:textId="47CADB1A" w:rsidR="002D26DC" w:rsidRDefault="002D26DC" w:rsidP="002D26DC">
      <w:pPr>
        <w:spacing w:line="360" w:lineRule="auto"/>
        <w:rPr>
          <w:rFonts w:eastAsia="Calibri"/>
        </w:rPr>
      </w:pPr>
      <w:r w:rsidRPr="00AD2315">
        <w:rPr>
          <w:rFonts w:eastAsia="Calibri"/>
        </w:rPr>
        <w:t xml:space="preserve">Attorneys for the </w:t>
      </w:r>
      <w:r w:rsidR="00DD33CF">
        <w:rPr>
          <w:rFonts w:eastAsia="Calibri"/>
        </w:rPr>
        <w:t>Respondents</w:t>
      </w:r>
      <w:r w:rsidRPr="00AD2315">
        <w:rPr>
          <w:rFonts w:eastAsia="Calibri"/>
        </w:rPr>
        <w:t>:</w:t>
      </w:r>
      <w:r w:rsidRPr="00AD2315">
        <w:rPr>
          <w:rFonts w:eastAsia="Calibri"/>
        </w:rPr>
        <w:tab/>
      </w:r>
      <w:r w:rsidRPr="00AD2315">
        <w:rPr>
          <w:rFonts w:eastAsia="Calibri"/>
        </w:rPr>
        <w:tab/>
      </w:r>
      <w:r w:rsidR="00DD33CF">
        <w:rPr>
          <w:rFonts w:eastAsia="Calibri"/>
        </w:rPr>
        <w:tab/>
        <w:t>Smiedt &amp; Associates (per A Smiedt)</w:t>
      </w:r>
    </w:p>
    <w:p w14:paraId="4F78300C" w14:textId="23FDABBB" w:rsidR="00DD33CF" w:rsidRDefault="00DD33CF" w:rsidP="002D26DC">
      <w:pPr>
        <w:spacing w:line="360" w:lineRule="auto"/>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563F5B">
        <w:rPr>
          <w:rFonts w:eastAsia="Calibri"/>
        </w:rPr>
        <w:t xml:space="preserve">Email: </w:t>
      </w:r>
      <w:hyperlink r:id="rId9" w:history="1">
        <w:r w:rsidR="00563F5B" w:rsidRPr="002F10D3">
          <w:rPr>
            <w:rStyle w:val="Hyperlink"/>
            <w:rFonts w:eastAsia="Calibri"/>
          </w:rPr>
          <w:t>alan@smiedtlaw.co.za</w:t>
        </w:r>
      </w:hyperlink>
      <w:r>
        <w:rPr>
          <w:rFonts w:eastAsia="Calibri"/>
        </w:rPr>
        <w:t xml:space="preserve">; </w:t>
      </w:r>
    </w:p>
    <w:p w14:paraId="07597FBB" w14:textId="77777777" w:rsidR="00DD33CF" w:rsidRDefault="008B7B2C" w:rsidP="00DD33CF">
      <w:pPr>
        <w:spacing w:line="360" w:lineRule="auto"/>
        <w:ind w:left="4320" w:firstLine="720"/>
        <w:rPr>
          <w:rFonts w:eastAsia="Calibri"/>
        </w:rPr>
      </w:pPr>
      <w:hyperlink r:id="rId10" w:history="1">
        <w:r w:rsidR="00DD33CF" w:rsidRPr="002F10D3">
          <w:rPr>
            <w:rStyle w:val="Hyperlink"/>
            <w:rFonts w:eastAsia="Calibri"/>
          </w:rPr>
          <w:t>loren@smiedtlaw.co.za</w:t>
        </w:r>
      </w:hyperlink>
      <w:r w:rsidR="00DD33CF">
        <w:rPr>
          <w:rFonts w:eastAsia="Calibri"/>
        </w:rPr>
        <w:t xml:space="preserve">; </w:t>
      </w:r>
    </w:p>
    <w:p w14:paraId="6D1A560E" w14:textId="45D5B34E" w:rsidR="002D26DC" w:rsidRPr="00AD2315" w:rsidRDefault="002D26DC" w:rsidP="002D26DC">
      <w:pPr>
        <w:spacing w:line="360" w:lineRule="auto"/>
        <w:rPr>
          <w:rFonts w:eastAsia="Calibri"/>
        </w:rPr>
      </w:pPr>
      <w:r w:rsidRPr="00AD2315">
        <w:rPr>
          <w:rFonts w:eastAsia="Calibri"/>
        </w:rPr>
        <w:tab/>
      </w:r>
      <w:r w:rsidRPr="00AD2315">
        <w:rPr>
          <w:rFonts w:eastAsia="Calibri"/>
        </w:rPr>
        <w:tab/>
      </w:r>
      <w:r w:rsidRPr="00AD2315">
        <w:rPr>
          <w:rFonts w:eastAsia="Calibri"/>
        </w:rPr>
        <w:tab/>
      </w:r>
      <w:r w:rsidRPr="00AD2315">
        <w:rPr>
          <w:rFonts w:eastAsia="Calibri"/>
        </w:rPr>
        <w:tab/>
      </w:r>
      <w:r w:rsidRPr="00AD2315">
        <w:rPr>
          <w:rFonts w:eastAsia="Calibri"/>
        </w:rPr>
        <w:tab/>
      </w:r>
      <w:r w:rsidRPr="00AD2315">
        <w:rPr>
          <w:rFonts w:eastAsia="Calibri"/>
        </w:rPr>
        <w:tab/>
        <w:t xml:space="preserve"> </w:t>
      </w:r>
    </w:p>
    <w:p w14:paraId="160A0F9B" w14:textId="77777777" w:rsidR="007B7F21" w:rsidRDefault="007B7F21" w:rsidP="007B7F21">
      <w:pPr>
        <w:spacing w:before="240" w:after="240" w:line="480" w:lineRule="auto"/>
        <w:jc w:val="both"/>
        <w:rPr>
          <w:lang w:val="en-ZA"/>
        </w:rPr>
      </w:pPr>
    </w:p>
    <w:sectPr w:rsidR="007B7F21" w:rsidSect="00841C8A">
      <w:headerReference w:type="default" r:id="rId11"/>
      <w:pgSz w:w="11900" w:h="16840"/>
      <w:pgMar w:top="135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507FC" w14:textId="77777777" w:rsidR="008B7B2C" w:rsidRDefault="008B7B2C" w:rsidP="000D09D7">
      <w:r>
        <w:separator/>
      </w:r>
    </w:p>
  </w:endnote>
  <w:endnote w:type="continuationSeparator" w:id="0">
    <w:p w14:paraId="5E78A9F2" w14:textId="77777777" w:rsidR="008B7B2C" w:rsidRDefault="008B7B2C" w:rsidP="000D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28BCA" w14:textId="77777777" w:rsidR="008B7B2C" w:rsidRDefault="008B7B2C" w:rsidP="000D09D7">
      <w:r>
        <w:separator/>
      </w:r>
    </w:p>
  </w:footnote>
  <w:footnote w:type="continuationSeparator" w:id="0">
    <w:p w14:paraId="6AB2F724" w14:textId="77777777" w:rsidR="008B7B2C" w:rsidRDefault="008B7B2C" w:rsidP="000D09D7">
      <w:r>
        <w:continuationSeparator/>
      </w:r>
    </w:p>
  </w:footnote>
  <w:footnote w:id="1">
    <w:p w14:paraId="4585691E" w14:textId="464154D8" w:rsidR="003461F7" w:rsidRPr="003461F7" w:rsidRDefault="003461F7" w:rsidP="00310546">
      <w:pPr>
        <w:pStyle w:val="FootnoteText"/>
        <w:ind w:left="360" w:hanging="360"/>
        <w:rPr>
          <w:lang w:val="en-ZA"/>
        </w:rPr>
      </w:pPr>
      <w:r>
        <w:rPr>
          <w:rStyle w:val="FootnoteReference"/>
        </w:rPr>
        <w:footnoteRef/>
      </w:r>
      <w:r>
        <w:t xml:space="preserve"> </w:t>
      </w:r>
      <w:r w:rsidR="00310546">
        <w:tab/>
        <w:t>Claus</w:t>
      </w:r>
      <w:r w:rsidR="005446F1">
        <w:rPr>
          <w:lang w:val="en-ZA"/>
        </w:rPr>
        <w:t xml:space="preserve">e 5 records that the purchaser </w:t>
      </w:r>
      <w:r w:rsidR="00C02AAD">
        <w:rPr>
          <w:lang w:val="en-ZA"/>
        </w:rPr>
        <w:t xml:space="preserve">is aware of the sellers right to water from the stream that flows over the property, to inspect the divisions points from time to time and to use the existing road up to such point – this accord with the terms of the servitude agreement. </w:t>
      </w:r>
      <w:r w:rsidR="005446F1">
        <w:rPr>
          <w:lang w:val="en-ZA"/>
        </w:rPr>
        <w:t xml:space="preserve"> </w:t>
      </w:r>
    </w:p>
  </w:footnote>
  <w:footnote w:id="2">
    <w:p w14:paraId="20480895" w14:textId="1BD27BB6" w:rsidR="00050420" w:rsidRPr="00050420" w:rsidRDefault="00050420" w:rsidP="00310546">
      <w:pPr>
        <w:pStyle w:val="FootnoteText"/>
        <w:ind w:left="360" w:hanging="360"/>
        <w:rPr>
          <w:lang w:val="en-ZA"/>
        </w:rPr>
      </w:pPr>
      <w:r>
        <w:rPr>
          <w:rStyle w:val="FootnoteReference"/>
        </w:rPr>
        <w:footnoteRef/>
      </w:r>
      <w:r>
        <w:t xml:space="preserve"> </w:t>
      </w:r>
      <w:r w:rsidR="00310546">
        <w:tab/>
      </w:r>
      <w:r w:rsidR="00003F44">
        <w:t xml:space="preserve">Loosely </w:t>
      </w:r>
      <w:r>
        <w:rPr>
          <w:lang w:val="en-ZA"/>
        </w:rPr>
        <w:t xml:space="preserve">translated </w:t>
      </w:r>
      <w:r w:rsidR="00003F44">
        <w:rPr>
          <w:lang w:val="en-ZA"/>
        </w:rPr>
        <w:t xml:space="preserve">clause 8 </w:t>
      </w:r>
      <w:r w:rsidR="0001721A">
        <w:rPr>
          <w:lang w:val="en-ZA"/>
        </w:rPr>
        <w:t xml:space="preserve">stipulates </w:t>
      </w:r>
      <w:r w:rsidR="00003F44">
        <w:rPr>
          <w:lang w:val="en-ZA"/>
        </w:rPr>
        <w:t xml:space="preserve">that the seller (the </w:t>
      </w:r>
      <w:r w:rsidR="00161E2E">
        <w:rPr>
          <w:lang w:val="en-ZA"/>
        </w:rPr>
        <w:t>first</w:t>
      </w:r>
      <w:r w:rsidR="00003F44">
        <w:rPr>
          <w:lang w:val="en-ZA"/>
        </w:rPr>
        <w:t xml:space="preserve"> defendant) was at that time busy transforming or changing the </w:t>
      </w:r>
      <w:r w:rsidR="00161E2E">
        <w:rPr>
          <w:lang w:val="en-ZA"/>
        </w:rPr>
        <w:t xml:space="preserve">existing </w:t>
      </w:r>
      <w:r w:rsidR="00003F44">
        <w:rPr>
          <w:lang w:val="en-ZA"/>
        </w:rPr>
        <w:t xml:space="preserve">water furrow to pipes and that the purchaser (the PSDR Trust), shall compensate the seller when </w:t>
      </w:r>
      <w:r w:rsidR="00B317C3">
        <w:rPr>
          <w:lang w:val="en-ZA"/>
        </w:rPr>
        <w:t>completed, for such costs as discussed.</w:t>
      </w:r>
      <w:r w:rsidR="00003F44">
        <w:rPr>
          <w:lang w:val="en-ZA"/>
        </w:rPr>
        <w:t xml:space="preserve"> </w:t>
      </w:r>
    </w:p>
  </w:footnote>
  <w:footnote w:id="3">
    <w:p w14:paraId="0C5D9B09" w14:textId="7BC7FC56" w:rsidR="00575EC0" w:rsidRPr="00575EC0" w:rsidRDefault="00575EC0" w:rsidP="00B0184A">
      <w:pPr>
        <w:pStyle w:val="FootnoteText"/>
        <w:ind w:left="360" w:hanging="360"/>
        <w:rPr>
          <w:lang w:val="en-ZA"/>
        </w:rPr>
      </w:pPr>
      <w:r>
        <w:rPr>
          <w:rStyle w:val="FootnoteReference"/>
        </w:rPr>
        <w:footnoteRef/>
      </w:r>
      <w:r>
        <w:t xml:space="preserve"> </w:t>
      </w:r>
      <w:r w:rsidR="00B0184A">
        <w:tab/>
      </w:r>
      <w:r>
        <w:rPr>
          <w:lang w:val="en-ZA"/>
        </w:rPr>
        <w:t>Para</w:t>
      </w:r>
      <w:r w:rsidR="00161E2E">
        <w:rPr>
          <w:lang w:val="en-ZA"/>
        </w:rPr>
        <w:t xml:space="preserve"> 19 o</w:t>
      </w:r>
      <w:r>
        <w:rPr>
          <w:lang w:val="en-ZA"/>
        </w:rPr>
        <w:t>f the particulars of claim</w:t>
      </w:r>
      <w:r w:rsidR="00310546">
        <w:rPr>
          <w:lang w:val="en-ZA"/>
        </w:rPr>
        <w:t>.</w:t>
      </w:r>
    </w:p>
  </w:footnote>
  <w:footnote w:id="4">
    <w:p w14:paraId="0CEF368D" w14:textId="5E7CFB77" w:rsidR="00575EC0" w:rsidRPr="00575EC0" w:rsidRDefault="00575EC0" w:rsidP="00B0184A">
      <w:pPr>
        <w:pStyle w:val="FootnoteText"/>
        <w:ind w:left="360" w:hanging="360"/>
        <w:rPr>
          <w:lang w:val="en-ZA"/>
        </w:rPr>
      </w:pPr>
      <w:r>
        <w:rPr>
          <w:rStyle w:val="FootnoteReference"/>
        </w:rPr>
        <w:footnoteRef/>
      </w:r>
      <w:r>
        <w:t xml:space="preserve"> </w:t>
      </w:r>
      <w:r w:rsidR="00B0184A">
        <w:tab/>
      </w:r>
      <w:r>
        <w:rPr>
          <w:lang w:val="en-ZA"/>
        </w:rPr>
        <w:t>Para</w:t>
      </w:r>
      <w:r w:rsidR="00161E2E">
        <w:rPr>
          <w:lang w:val="en-ZA"/>
        </w:rPr>
        <w:t xml:space="preserve"> 23 </w:t>
      </w:r>
      <w:r w:rsidR="00EA6E4D">
        <w:rPr>
          <w:lang w:val="en-ZA"/>
        </w:rPr>
        <w:t>o</w:t>
      </w:r>
      <w:r>
        <w:rPr>
          <w:lang w:val="en-ZA"/>
        </w:rPr>
        <w:t>f the particulars of claim</w:t>
      </w:r>
      <w:r w:rsidR="00310546">
        <w:rPr>
          <w:lang w:val="en-ZA"/>
        </w:rPr>
        <w:t>.</w:t>
      </w:r>
    </w:p>
  </w:footnote>
  <w:footnote w:id="5">
    <w:p w14:paraId="34D19DA3" w14:textId="2F36C431" w:rsidR="00575EC0" w:rsidRDefault="00575EC0" w:rsidP="00512C18">
      <w:pPr>
        <w:pStyle w:val="FootnoteText"/>
        <w:ind w:left="360" w:hanging="360"/>
        <w:rPr>
          <w:lang w:val="en-ZA"/>
        </w:rPr>
      </w:pPr>
      <w:r>
        <w:rPr>
          <w:rStyle w:val="FootnoteReference"/>
        </w:rPr>
        <w:footnoteRef/>
      </w:r>
      <w:r>
        <w:t xml:space="preserve"> </w:t>
      </w:r>
      <w:r w:rsidR="00512C18">
        <w:tab/>
      </w:r>
      <w:r>
        <w:rPr>
          <w:lang w:val="en-ZA"/>
        </w:rPr>
        <w:t>According to para 29 of the particulars of claim</w:t>
      </w:r>
      <w:r w:rsidR="00CD3F5E">
        <w:rPr>
          <w:lang w:val="en-ZA"/>
        </w:rPr>
        <w:t>,</w:t>
      </w:r>
      <w:r>
        <w:rPr>
          <w:lang w:val="en-ZA"/>
        </w:rPr>
        <w:t xml:space="preserve"> the first to fourth defendants undertook in the urgent application</w:t>
      </w:r>
      <w:r w:rsidR="00CD3F5E">
        <w:rPr>
          <w:lang w:val="en-ZA"/>
        </w:rPr>
        <w:t xml:space="preserve"> before Saldana J, </w:t>
      </w:r>
      <w:r>
        <w:rPr>
          <w:lang w:val="en-ZA"/>
        </w:rPr>
        <w:t xml:space="preserve">to remove the piping and restore the relevant section of the sloot to its previous condition and refrain from taking further </w:t>
      </w:r>
      <w:r w:rsidR="00CD3F5E">
        <w:rPr>
          <w:lang w:val="en-ZA"/>
        </w:rPr>
        <w:t>steps to pipe the sloot pending the plaintiffs</w:t>
      </w:r>
      <w:r w:rsidR="009E7BB8">
        <w:rPr>
          <w:lang w:val="en-ZA"/>
        </w:rPr>
        <w:t>’</w:t>
      </w:r>
      <w:r w:rsidR="00CD3F5E">
        <w:rPr>
          <w:lang w:val="en-ZA"/>
        </w:rPr>
        <w:t xml:space="preserve"> institution of proceedings for final relief.</w:t>
      </w:r>
    </w:p>
    <w:p w14:paraId="4F07B1E4" w14:textId="77777777" w:rsidR="00CD3F5E" w:rsidRPr="00575EC0" w:rsidRDefault="00CD3F5E">
      <w:pPr>
        <w:pStyle w:val="FootnoteText"/>
        <w:rPr>
          <w:lang w:val="en-ZA"/>
        </w:rPr>
      </w:pPr>
    </w:p>
  </w:footnote>
  <w:footnote w:id="6">
    <w:p w14:paraId="1707EED3" w14:textId="685800FD" w:rsidR="001A035A" w:rsidRDefault="001A035A" w:rsidP="00512C18">
      <w:pPr>
        <w:pStyle w:val="FootnoteText"/>
        <w:ind w:left="360" w:hanging="360"/>
        <w:rPr>
          <w:lang w:val="en-ZA"/>
        </w:rPr>
      </w:pPr>
      <w:r>
        <w:rPr>
          <w:rStyle w:val="FootnoteReference"/>
        </w:rPr>
        <w:footnoteRef/>
      </w:r>
      <w:r w:rsidR="0085509B">
        <w:t xml:space="preserve">    </w:t>
      </w:r>
      <w:r w:rsidR="00310546">
        <w:tab/>
      </w:r>
      <w:r>
        <w:t xml:space="preserve">In terms of the proposed </w:t>
      </w:r>
      <w:r>
        <w:rPr>
          <w:lang w:val="en-ZA"/>
        </w:rPr>
        <w:t>new claim 3 under the heading: Interdictory relief pursuant to section 34(1) of the Nation</w:t>
      </w:r>
      <w:r w:rsidR="0085509B">
        <w:rPr>
          <w:lang w:val="en-ZA"/>
        </w:rPr>
        <w:t xml:space="preserve"> </w:t>
      </w:r>
      <w:r>
        <w:rPr>
          <w:lang w:val="en-ZA"/>
        </w:rPr>
        <w:t>Heritage Resources Act, the plaintiff</w:t>
      </w:r>
      <w:r w:rsidR="00397259">
        <w:rPr>
          <w:lang w:val="en-ZA"/>
        </w:rPr>
        <w:t>s</w:t>
      </w:r>
      <w:r>
        <w:rPr>
          <w:lang w:val="en-ZA"/>
        </w:rPr>
        <w:t xml:space="preserve"> s</w:t>
      </w:r>
      <w:r w:rsidR="00397259">
        <w:rPr>
          <w:lang w:val="en-ZA"/>
        </w:rPr>
        <w:t>eek an</w:t>
      </w:r>
      <w:r>
        <w:rPr>
          <w:lang w:val="en-ZA"/>
        </w:rPr>
        <w:t xml:space="preserve"> order </w:t>
      </w:r>
      <w:r w:rsidR="00124A3F">
        <w:rPr>
          <w:lang w:val="en-ZA"/>
        </w:rPr>
        <w:t>“prohibiting the First to Fourth Defendants from carrying out any work with a view to piping the Molen River Sloot until such time as they have obtained a permit under section 48 of the NHRA which authorizes the alteration and/or demolition thereof.”</w:t>
      </w:r>
    </w:p>
    <w:p w14:paraId="1B4C4992" w14:textId="77777777" w:rsidR="00124A3F" w:rsidRPr="001A035A" w:rsidRDefault="00124A3F">
      <w:pPr>
        <w:pStyle w:val="FootnoteText"/>
        <w:rPr>
          <w:lang w:val="en-ZA"/>
        </w:rPr>
      </w:pPr>
    </w:p>
  </w:footnote>
  <w:footnote w:id="7">
    <w:p w14:paraId="1EC401A9" w14:textId="19722133" w:rsidR="003A5415" w:rsidRPr="003A5415" w:rsidRDefault="003A5415" w:rsidP="00310546">
      <w:pPr>
        <w:pStyle w:val="FootnoteText"/>
        <w:rPr>
          <w:lang w:val="en-ZA"/>
        </w:rPr>
      </w:pPr>
      <w:r>
        <w:rPr>
          <w:rStyle w:val="FootnoteReference"/>
        </w:rPr>
        <w:footnoteRef/>
      </w:r>
      <w:r>
        <w:t xml:space="preserve"> </w:t>
      </w:r>
      <w:r w:rsidR="00BE259C">
        <w:t xml:space="preserve">     </w:t>
      </w:r>
      <w:r>
        <w:rPr>
          <w:lang w:val="en-ZA"/>
        </w:rPr>
        <w:t xml:space="preserve">See Maize Board v Tiger Oats Ltd 2002 (5) 365 (SCA) at 373 B-D </w:t>
      </w:r>
    </w:p>
  </w:footnote>
  <w:footnote w:id="8">
    <w:p w14:paraId="01F55CEE" w14:textId="77777777" w:rsidR="00A031D0" w:rsidRPr="00291E54" w:rsidRDefault="00A031D0" w:rsidP="00310546">
      <w:pPr>
        <w:pStyle w:val="FootnoteText"/>
        <w:ind w:left="360" w:hanging="360"/>
      </w:pPr>
      <w:r>
        <w:rPr>
          <w:rStyle w:val="FootnoteReference"/>
        </w:rPr>
        <w:footnoteRef/>
      </w:r>
      <w:r>
        <w:t xml:space="preserve"> </w:t>
      </w:r>
      <w:r>
        <w:tab/>
      </w:r>
      <w:r w:rsidRPr="00F34592">
        <w:t>Telmatrix (Pty) Ltd t/a Matrix Vehicle Tracking v Advertising Standards Authority SA 2006 (1) SA 461 (SCA) at 465; H v Fetal Assessment Centre 2015 (2) SA</w:t>
      </w:r>
      <w:r>
        <w:t xml:space="preserve"> 193 (CC) at 199 B</w:t>
      </w:r>
    </w:p>
  </w:footnote>
  <w:footnote w:id="9">
    <w:p w14:paraId="3CFAC73D" w14:textId="77777777" w:rsidR="00A031D0" w:rsidRPr="002B5AE3" w:rsidRDefault="00A031D0" w:rsidP="00310546">
      <w:pPr>
        <w:pStyle w:val="FootnoteText"/>
        <w:ind w:left="360" w:hanging="360"/>
      </w:pPr>
      <w:r>
        <w:rPr>
          <w:rStyle w:val="FootnoteReference"/>
        </w:rPr>
        <w:footnoteRef/>
      </w:r>
      <w:r>
        <w:t xml:space="preserve"> </w:t>
      </w:r>
      <w:r>
        <w:tab/>
      </w:r>
      <w:r w:rsidRPr="002B5AE3">
        <w:t xml:space="preserve">Theunissen v Transvaalse Lewendehawe Koöp Bpk 1988 (2) SA 493 (A) at 500E-F </w:t>
      </w:r>
    </w:p>
  </w:footnote>
  <w:footnote w:id="10">
    <w:p w14:paraId="7BBA5284" w14:textId="77777777" w:rsidR="00A031D0" w:rsidRPr="002B5AE3" w:rsidRDefault="00A031D0" w:rsidP="00310546">
      <w:pPr>
        <w:pStyle w:val="FootnoteText"/>
        <w:ind w:left="360" w:hanging="360"/>
      </w:pPr>
      <w:r w:rsidRPr="002B5AE3">
        <w:rPr>
          <w:rStyle w:val="FootnoteReference"/>
        </w:rPr>
        <w:footnoteRef/>
      </w:r>
      <w:r w:rsidRPr="002B5AE3">
        <w:t xml:space="preserve"> </w:t>
      </w:r>
      <w:r>
        <w:tab/>
      </w:r>
      <w:r w:rsidRPr="002B5AE3">
        <w:t>Salzmann v Holmes 1914 AD 152 at 156; Minister of Safety and Security v Hamilton 2001 (3) SA 50 (SCA) at 52G-H</w:t>
      </w:r>
    </w:p>
  </w:footnote>
  <w:footnote w:id="11">
    <w:p w14:paraId="35FC7D40" w14:textId="77777777" w:rsidR="00A031D0" w:rsidRPr="002B5AE3" w:rsidRDefault="00A031D0" w:rsidP="00310546">
      <w:pPr>
        <w:pStyle w:val="FootnoteText"/>
        <w:ind w:left="360" w:hanging="360"/>
      </w:pPr>
      <w:r w:rsidRPr="002B5AE3">
        <w:rPr>
          <w:rStyle w:val="FootnoteReference"/>
        </w:rPr>
        <w:footnoteRef/>
      </w:r>
      <w:r w:rsidRPr="002B5AE3">
        <w:t xml:space="preserve"> </w:t>
      </w:r>
      <w:r>
        <w:tab/>
      </w:r>
      <w:r w:rsidRPr="002B5AE3">
        <w:t>Cassim’s Estate v Bayat and Jadwat 1930 (2) PH F81 (N); Soma v Marulane NO 1975 (3) SA 53 (T)</w:t>
      </w:r>
    </w:p>
  </w:footnote>
  <w:footnote w:id="12">
    <w:p w14:paraId="325DDE49" w14:textId="0381DE65" w:rsidR="00A031D0" w:rsidRPr="002B5AE3" w:rsidRDefault="00A031D0" w:rsidP="00310546">
      <w:pPr>
        <w:pStyle w:val="FootnoteText"/>
        <w:ind w:left="360" w:hanging="360"/>
      </w:pPr>
      <w:r w:rsidRPr="002B5AE3">
        <w:rPr>
          <w:rStyle w:val="FootnoteReference"/>
        </w:rPr>
        <w:footnoteRef/>
      </w:r>
      <w:r w:rsidRPr="002B5AE3">
        <w:t xml:space="preserve"> </w:t>
      </w:r>
      <w:r>
        <w:tab/>
      </w:r>
      <w:r w:rsidRPr="002B5AE3">
        <w:t>Wellington Court Shareblock v Johannesburg City Council 1995 (3) SA 827 (A) at 833F and 834D; Dilworth v Reichard [2002] 4 All SA 677 (W) at 681j – 682a</w:t>
      </w:r>
    </w:p>
  </w:footnote>
  <w:footnote w:id="13">
    <w:p w14:paraId="56256EC9" w14:textId="270F6F9F" w:rsidR="00A031D0" w:rsidRDefault="00A031D0" w:rsidP="00A031D0">
      <w:pPr>
        <w:pStyle w:val="FootnoteText"/>
        <w:ind w:left="360" w:hanging="360"/>
      </w:pPr>
      <w:r>
        <w:rPr>
          <w:rStyle w:val="FootnoteReference"/>
        </w:rPr>
        <w:footnoteRef/>
      </w:r>
      <w:r>
        <w:t xml:space="preserve"> </w:t>
      </w:r>
      <w:r w:rsidR="00C14A9B">
        <w:t xml:space="preserve"> </w:t>
      </w:r>
      <w:r w:rsidR="00A60F3C">
        <w:tab/>
      </w:r>
      <w:r>
        <w:t>Telematrix (Pty) Ltd t/a Matrix Vehicle Tracking v Advertising Standards Authority SA 2006 (1) SA 461 (SCA) at 465 (H)</w:t>
      </w:r>
    </w:p>
  </w:footnote>
  <w:footnote w:id="14">
    <w:p w14:paraId="72164DF6" w14:textId="26B7B817" w:rsidR="007B6AE5" w:rsidRPr="007B6AE5" w:rsidRDefault="007B6AE5" w:rsidP="00A9663E">
      <w:pPr>
        <w:pStyle w:val="FootnoteText"/>
        <w:ind w:left="360" w:hanging="360"/>
        <w:rPr>
          <w:lang w:val="en-ZA"/>
        </w:rPr>
      </w:pPr>
      <w:r>
        <w:rPr>
          <w:rStyle w:val="FootnoteReference"/>
        </w:rPr>
        <w:footnoteRef/>
      </w:r>
      <w:r>
        <w:t xml:space="preserve"> </w:t>
      </w:r>
      <w:r w:rsidR="00A9663E">
        <w:tab/>
      </w:r>
      <w:r>
        <w:rPr>
          <w:lang w:val="en-ZA"/>
        </w:rPr>
        <w:t>Voet 8.4.16 – Ganes’ translation read with the comments by Van der Walt, Servitudes, page 224, para 3.3 where he states that: “(T)he wording of a servitude creating contract is interpreted within a framework of property principles that are partly peremptory, which means that effect can only be given to the intention of the parties to a servitude grant insofar as the servitude they inte</w:t>
      </w:r>
      <w:r w:rsidR="001C79ED">
        <w:rPr>
          <w:lang w:val="en-ZA"/>
        </w:rPr>
        <w:t>n</w:t>
      </w:r>
      <w:r>
        <w:rPr>
          <w:lang w:val="en-ZA"/>
        </w:rPr>
        <w:t>d to create is permissible in terms of property principles. One of thes</w:t>
      </w:r>
      <w:r w:rsidR="00A9663E">
        <w:rPr>
          <w:lang w:val="en-ZA"/>
        </w:rPr>
        <w:t>e</w:t>
      </w:r>
      <w:r>
        <w:rPr>
          <w:lang w:val="en-ZA"/>
        </w:rPr>
        <w:t xml:space="preserve"> principles determines that the interest of the servitude holder enjoy preference of those of the servient ow</w:t>
      </w:r>
      <w:r w:rsidR="001C79ED">
        <w:rPr>
          <w:lang w:val="en-ZA"/>
        </w:rPr>
        <w:t>ner”</w:t>
      </w:r>
    </w:p>
  </w:footnote>
  <w:footnote w:id="15">
    <w:p w14:paraId="7B529557" w14:textId="77777777" w:rsidR="00067A9B" w:rsidRDefault="00067A9B" w:rsidP="00067A9B">
      <w:pPr>
        <w:pStyle w:val="FootnoteText"/>
        <w:rPr>
          <w:lang w:val="en-ZA"/>
        </w:rPr>
      </w:pPr>
      <w:r>
        <w:rPr>
          <w:rStyle w:val="FootnoteReference"/>
        </w:rPr>
        <w:footnoteRef/>
      </w:r>
      <w:r>
        <w:t xml:space="preserve">   </w:t>
      </w:r>
      <w:r>
        <w:rPr>
          <w:lang w:val="en-ZA"/>
        </w:rPr>
        <w:t xml:space="preserve">These paragraphs stated that the addendum is not valid and binding as it was not initialled by the PSDR Trust’s </w:t>
      </w:r>
    </w:p>
    <w:p w14:paraId="2A38190D" w14:textId="77777777" w:rsidR="00067A9B" w:rsidRPr="00D22529" w:rsidRDefault="00067A9B" w:rsidP="00067A9B">
      <w:pPr>
        <w:pStyle w:val="FootnoteText"/>
        <w:rPr>
          <w:lang w:val="en-ZA"/>
        </w:rPr>
      </w:pPr>
      <w:r>
        <w:rPr>
          <w:lang w:val="en-ZA"/>
        </w:rPr>
        <w:t xml:space="preserve">      representative, the first defendant or the witnesses and it is undated and does not refer to the deed of sale.</w:t>
      </w:r>
    </w:p>
  </w:footnote>
  <w:footnote w:id="16">
    <w:p w14:paraId="4525D7AC" w14:textId="7EC3D0B7" w:rsidR="00067A9B" w:rsidRPr="00491C17" w:rsidRDefault="00067A9B" w:rsidP="00067A9B">
      <w:pPr>
        <w:pStyle w:val="FootnoteText"/>
        <w:ind w:left="360" w:hanging="360"/>
        <w:rPr>
          <w:lang w:val="en-ZA"/>
        </w:rPr>
      </w:pPr>
      <w:r>
        <w:rPr>
          <w:rStyle w:val="FootnoteReference"/>
        </w:rPr>
        <w:footnoteRef/>
      </w:r>
      <w:r>
        <w:t xml:space="preserve">   </w:t>
      </w:r>
      <w:r>
        <w:rPr>
          <w:lang w:val="en-ZA"/>
        </w:rPr>
        <w:t>“27.1.3   Paragraph 8 of the Addendum is not of the nature of a binding contractual term.”</w:t>
      </w:r>
    </w:p>
  </w:footnote>
  <w:footnote w:id="17">
    <w:p w14:paraId="022F5841" w14:textId="5DA46B5F" w:rsidR="0050476D" w:rsidRPr="0050476D" w:rsidRDefault="0050476D" w:rsidP="0050476D">
      <w:pPr>
        <w:pStyle w:val="FootnoteText"/>
        <w:ind w:left="360" w:hanging="360"/>
        <w:rPr>
          <w:lang w:val="en-ZA"/>
        </w:rPr>
      </w:pPr>
      <w:r>
        <w:rPr>
          <w:rStyle w:val="FootnoteReference"/>
        </w:rPr>
        <w:footnoteRef/>
      </w:r>
      <w:r>
        <w:t xml:space="preserve">   </w:t>
      </w:r>
      <w:r>
        <w:rPr>
          <w:lang w:val="en-ZA"/>
        </w:rPr>
        <w:t>I do however point out that w</w:t>
      </w:r>
      <w:r w:rsidRPr="009403D2">
        <w:rPr>
          <w:lang w:val="en-ZA"/>
        </w:rPr>
        <w:t xml:space="preserve">hether a valid and binding </w:t>
      </w:r>
      <w:r>
        <w:rPr>
          <w:lang w:val="en-ZA"/>
        </w:rPr>
        <w:t xml:space="preserve">addendum was </w:t>
      </w:r>
      <w:r w:rsidRPr="009403D2">
        <w:rPr>
          <w:lang w:val="en-ZA"/>
        </w:rPr>
        <w:t>entered into</w:t>
      </w:r>
      <w:r>
        <w:rPr>
          <w:lang w:val="en-ZA"/>
        </w:rPr>
        <w:t xml:space="preserve">, </w:t>
      </w:r>
      <w:r w:rsidRPr="009403D2">
        <w:rPr>
          <w:lang w:val="en-ZA"/>
        </w:rPr>
        <w:t>will be of little or no import if it is determined that the first defendant has the implied right to pipe the sloot on the basis as set out in the second ground of exception.</w:t>
      </w:r>
    </w:p>
  </w:footnote>
  <w:footnote w:id="18">
    <w:p w14:paraId="57A34D16" w14:textId="2562C783" w:rsidR="00186F62" w:rsidRPr="00186F62" w:rsidRDefault="00186F62" w:rsidP="00AC2AE9">
      <w:pPr>
        <w:pStyle w:val="FootnoteText"/>
        <w:ind w:left="360" w:hanging="360"/>
        <w:rPr>
          <w:lang w:val="en-ZA"/>
        </w:rPr>
      </w:pPr>
      <w:r>
        <w:rPr>
          <w:rStyle w:val="FootnoteReference"/>
        </w:rPr>
        <w:footnoteRef/>
      </w:r>
      <w:r>
        <w:t xml:space="preserve"> </w:t>
      </w:r>
      <w:r w:rsidR="00AC2AE9">
        <w:tab/>
      </w:r>
      <w:r>
        <w:rPr>
          <w:lang w:val="en-ZA"/>
        </w:rPr>
        <w:t>In Murray v Schneider 1958(1) SA 587 (A) the meaning of the word “domestic” in the phrase “water for domestic purposes” and whethe</w:t>
      </w:r>
      <w:r w:rsidRPr="00B554F6">
        <w:rPr>
          <w:lang w:val="en-ZA"/>
        </w:rPr>
        <w:t>r</w:t>
      </w:r>
      <w:r w:rsidRPr="00DE64F1">
        <w:rPr>
          <w:b/>
          <w:bCs/>
          <w:lang w:val="en-ZA"/>
        </w:rPr>
        <w:t xml:space="preserve"> </w:t>
      </w:r>
      <w:r w:rsidRPr="00AC2AE9">
        <w:rPr>
          <w:lang w:val="en-ZA"/>
        </w:rPr>
        <w:t>it was anticipated that domestic use would include water for the swimming bath</w:t>
      </w:r>
      <w:r w:rsidR="00B554F6" w:rsidRPr="00AC2AE9">
        <w:rPr>
          <w:lang w:val="en-ZA"/>
        </w:rPr>
        <w:t xml:space="preserve"> were at issue</w:t>
      </w:r>
      <w:r w:rsidRPr="00AC2AE9">
        <w:rPr>
          <w:lang w:val="en-ZA"/>
        </w:rPr>
        <w:t xml:space="preserve">. The court </w:t>
      </w:r>
      <w:r w:rsidR="00E279FE" w:rsidRPr="00AC2AE9">
        <w:rPr>
          <w:lang w:val="en-ZA"/>
        </w:rPr>
        <w:t xml:space="preserve">considered the </w:t>
      </w:r>
      <w:r w:rsidRPr="00AC2AE9">
        <w:rPr>
          <w:lang w:val="en-ZA"/>
        </w:rPr>
        <w:t xml:space="preserve">prevailing circumstances at the time the </w:t>
      </w:r>
      <w:r w:rsidR="005E5A63" w:rsidRPr="00AC2AE9">
        <w:rPr>
          <w:lang w:val="en-ZA"/>
        </w:rPr>
        <w:t>agreement was entered into between the parties</w:t>
      </w:r>
      <w:r w:rsidR="00E279FE" w:rsidRPr="00AC2AE9">
        <w:rPr>
          <w:lang w:val="en-ZA"/>
        </w:rPr>
        <w:t xml:space="preserve"> and applied the judgment of Cliffside Flats (Pty.) v Bantry Rocks (Pty.) Ltd.,1944 AD 106 at 117 where Feetham, J. A., confirmed with referenc</w:t>
      </w:r>
      <w:r w:rsidR="00E279FE">
        <w:rPr>
          <w:lang w:val="en-ZA"/>
        </w:rPr>
        <w:t>e to a servitude agreement that amongs</w:t>
      </w:r>
      <w:r w:rsidR="00AC2AE9">
        <w:rPr>
          <w:lang w:val="en-ZA"/>
        </w:rPr>
        <w:t>t</w:t>
      </w:r>
      <w:r w:rsidR="00E279FE">
        <w:rPr>
          <w:lang w:val="en-ZA"/>
        </w:rPr>
        <w:t xml:space="preserve"> the relevant facts are the circumstances existing at the time of the creati</w:t>
      </w:r>
      <w:r w:rsidR="00AC2AE9">
        <w:rPr>
          <w:lang w:val="en-ZA"/>
        </w:rPr>
        <w:t>o</w:t>
      </w:r>
      <w:r w:rsidR="00E279FE">
        <w:rPr>
          <w:lang w:val="en-ZA"/>
        </w:rPr>
        <w:t>n of the servitude.</w:t>
      </w:r>
    </w:p>
  </w:footnote>
  <w:footnote w:id="19">
    <w:p w14:paraId="5505327F" w14:textId="4C20FC46" w:rsidR="00134B3B" w:rsidRPr="00AC2AE9" w:rsidRDefault="00134B3B" w:rsidP="00AC2AE9">
      <w:pPr>
        <w:pStyle w:val="FootnoteText"/>
        <w:ind w:left="360" w:hanging="360"/>
        <w:rPr>
          <w:rFonts w:cs="Times New Roman"/>
          <w:lang w:val="en-ZA"/>
        </w:rPr>
      </w:pPr>
      <w:r w:rsidRPr="00FD706F">
        <w:rPr>
          <w:rStyle w:val="FootnoteReference"/>
          <w:rFonts w:ascii="Arial" w:hAnsi="Arial"/>
        </w:rPr>
        <w:footnoteRef/>
      </w:r>
      <w:r w:rsidRPr="00FD706F">
        <w:rPr>
          <w:rFonts w:ascii="Arial" w:hAnsi="Arial"/>
        </w:rPr>
        <w:t xml:space="preserve"> </w:t>
      </w:r>
      <w:r w:rsidRPr="00FD706F">
        <w:rPr>
          <w:rFonts w:ascii="Arial" w:hAnsi="Arial"/>
          <w:lang w:val="en-ZA"/>
        </w:rPr>
        <w:t xml:space="preserve">  </w:t>
      </w:r>
      <w:r w:rsidR="00AC2AE9">
        <w:rPr>
          <w:rFonts w:ascii="Arial" w:hAnsi="Arial"/>
          <w:lang w:val="en-ZA"/>
        </w:rPr>
        <w:tab/>
      </w:r>
      <w:r w:rsidR="00AC2AE9">
        <w:rPr>
          <w:rFonts w:cs="Times New Roman"/>
          <w:lang w:val="en-ZA"/>
        </w:rPr>
        <w:t>Reference was also made to an</w:t>
      </w:r>
      <w:r w:rsidRPr="00AC2AE9">
        <w:rPr>
          <w:rFonts w:cs="Times New Roman"/>
          <w:lang w:val="en-ZA"/>
        </w:rPr>
        <w:t xml:space="preserve"> article </w:t>
      </w:r>
      <w:r w:rsidR="00AC2AE9">
        <w:rPr>
          <w:rFonts w:cs="Times New Roman"/>
          <w:lang w:val="en-ZA"/>
        </w:rPr>
        <w:t>by</w:t>
      </w:r>
      <w:r w:rsidRPr="00AC2AE9">
        <w:rPr>
          <w:rFonts w:cs="Times New Roman"/>
          <w:lang w:val="en-ZA"/>
        </w:rPr>
        <w:t xml:space="preserve"> Johan Scott dealing with the </w:t>
      </w:r>
      <w:r w:rsidRPr="00AC2AE9">
        <w:rPr>
          <w:rFonts w:cs="Times New Roman"/>
          <w:i/>
          <w:iCs/>
          <w:lang w:val="en-ZA"/>
        </w:rPr>
        <w:t>Zeeman v De Wet</w:t>
      </w:r>
      <w:r w:rsidRPr="00AC2AE9">
        <w:rPr>
          <w:rFonts w:cs="Times New Roman"/>
          <w:lang w:val="en-ZA"/>
        </w:rPr>
        <w:t xml:space="preserve">-case </w:t>
      </w:r>
      <w:r w:rsidR="00CC4AF5">
        <w:rPr>
          <w:rFonts w:cs="Times New Roman"/>
          <w:lang w:val="en-ZA"/>
        </w:rPr>
        <w:t>called Aqu</w:t>
      </w:r>
      <w:r w:rsidR="00E92D19">
        <w:rPr>
          <w:rFonts w:cs="Times New Roman"/>
          <w:lang w:val="en-ZA"/>
        </w:rPr>
        <w:t>a</w:t>
      </w:r>
      <w:r w:rsidR="00CC4AF5">
        <w:rPr>
          <w:rFonts w:cs="Times New Roman"/>
          <w:lang w:val="en-ZA"/>
        </w:rPr>
        <w:t xml:space="preserve">eductus en sommige gevolge van goeie buurmanskap </w:t>
      </w:r>
      <w:r w:rsidR="00AC2AE9">
        <w:rPr>
          <w:rFonts w:cs="Times New Roman"/>
          <w:lang w:val="en-ZA"/>
        </w:rPr>
        <w:t>(</w:t>
      </w:r>
      <w:r w:rsidR="00CC4AF5">
        <w:rPr>
          <w:rFonts w:cs="Times New Roman"/>
          <w:lang w:val="en-ZA"/>
        </w:rPr>
        <w:t>2013</w:t>
      </w:r>
      <w:r w:rsidR="00AC2AE9">
        <w:rPr>
          <w:rFonts w:cs="Times New Roman"/>
          <w:lang w:val="en-ZA"/>
        </w:rPr>
        <w:t>) and the comments by Van der Walt, the Law of Servitudes, pages 190 – 191.</w:t>
      </w:r>
      <w:r w:rsidR="00FD706F" w:rsidRPr="00AC2AE9">
        <w:rPr>
          <w:rFonts w:cs="Times New Roman"/>
          <w:lang w:val="en-ZA"/>
        </w:rPr>
        <w:t xml:space="preserve"> </w:t>
      </w:r>
    </w:p>
  </w:footnote>
  <w:footnote w:id="20">
    <w:p w14:paraId="04517FC6" w14:textId="5E6EFA66" w:rsidR="00C92DEF" w:rsidRPr="00094310" w:rsidRDefault="00C92DEF" w:rsidP="00C92DEF">
      <w:pPr>
        <w:pStyle w:val="FootnoteText"/>
        <w:ind w:left="360" w:hanging="360"/>
        <w:rPr>
          <w:lang w:val="en-ZA"/>
        </w:rPr>
      </w:pPr>
      <w:r>
        <w:rPr>
          <w:rStyle w:val="FootnoteReference"/>
        </w:rPr>
        <w:footnoteRef/>
      </w:r>
      <w:r>
        <w:t xml:space="preserve"> </w:t>
      </w:r>
      <w:r>
        <w:tab/>
      </w:r>
      <w:r>
        <w:rPr>
          <w:lang w:val="en-ZA"/>
        </w:rPr>
        <w:t>Lawsa (2</w:t>
      </w:r>
      <w:r w:rsidRPr="00094310">
        <w:rPr>
          <w:vertAlign w:val="superscript"/>
          <w:lang w:val="en-ZA"/>
        </w:rPr>
        <w:t>nd</w:t>
      </w:r>
      <w:r>
        <w:rPr>
          <w:lang w:val="en-ZA"/>
        </w:rPr>
        <w:t xml:space="preserve"> Edidtion) Vol 11, para 402; </w:t>
      </w:r>
    </w:p>
  </w:footnote>
  <w:footnote w:id="21">
    <w:p w14:paraId="0EB221CE" w14:textId="259DA40A" w:rsidR="000548CD" w:rsidRPr="0002087B" w:rsidRDefault="000548CD" w:rsidP="00AC2AE9">
      <w:pPr>
        <w:pStyle w:val="FootnoteText"/>
        <w:ind w:left="360" w:hanging="360"/>
        <w:rPr>
          <w:lang w:val="en-ZA"/>
        </w:rPr>
      </w:pPr>
      <w:r>
        <w:rPr>
          <w:rStyle w:val="FootnoteReference"/>
        </w:rPr>
        <w:footnoteRef/>
      </w:r>
      <w:r>
        <w:t xml:space="preserve"> </w:t>
      </w:r>
      <w:r w:rsidR="00AC2AE9">
        <w:tab/>
      </w:r>
      <w:r w:rsidR="00C92DEF">
        <w:t xml:space="preserve">Also see: </w:t>
      </w:r>
      <w:r w:rsidR="00C92DEF">
        <w:rPr>
          <w:lang w:val="en-ZA"/>
        </w:rPr>
        <w:t>Prest, The Law and Practice of Interdicts, pages 5 and 213 and Herbstein &amp; Van Winsen, The Civil Practice of the High Courts of South Africa (Vol 2) page 1478.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616816"/>
      <w:docPartObj>
        <w:docPartGallery w:val="Page Numbers (Top of Page)"/>
        <w:docPartUnique/>
      </w:docPartObj>
    </w:sdtPr>
    <w:sdtEndPr>
      <w:rPr>
        <w:noProof/>
      </w:rPr>
    </w:sdtEndPr>
    <w:sdtContent>
      <w:p w14:paraId="38F9F385" w14:textId="414FCCB6" w:rsidR="000D09D7" w:rsidRDefault="000D09D7">
        <w:pPr>
          <w:pStyle w:val="Header"/>
          <w:jc w:val="right"/>
        </w:pPr>
        <w:r>
          <w:fldChar w:fldCharType="begin"/>
        </w:r>
        <w:r>
          <w:instrText xml:space="preserve"> PAGE   \* MERGEFORMAT </w:instrText>
        </w:r>
        <w:r>
          <w:fldChar w:fldCharType="separate"/>
        </w:r>
        <w:r w:rsidR="00D95DD6">
          <w:rPr>
            <w:noProof/>
          </w:rPr>
          <w:t>2</w:t>
        </w:r>
        <w:r>
          <w:rPr>
            <w:noProof/>
          </w:rPr>
          <w:fldChar w:fldCharType="end"/>
        </w:r>
      </w:p>
    </w:sdtContent>
  </w:sdt>
  <w:p w14:paraId="35BF69E1" w14:textId="77777777" w:rsidR="000D09D7" w:rsidRDefault="000D09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A2C"/>
    <w:multiLevelType w:val="hybridMultilevel"/>
    <w:tmpl w:val="4A1EC7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212DF"/>
    <w:multiLevelType w:val="multilevel"/>
    <w:tmpl w:val="6FC43372"/>
    <w:lvl w:ilvl="0">
      <w:start w:val="1"/>
      <w:numFmt w:val="decimal"/>
      <w:pStyle w:val="BGHeading1AltQ"/>
      <w:lvlText w:val="%1."/>
      <w:lvlJc w:val="left"/>
      <w:pPr>
        <w:tabs>
          <w:tab w:val="num" w:pos="720"/>
        </w:tabs>
        <w:ind w:left="720" w:hanging="720"/>
      </w:pPr>
      <w:rPr>
        <w:rFonts w:hint="default"/>
        <w:b w:val="0"/>
        <w:i w:val="0"/>
        <w:sz w:val="24"/>
        <w:szCs w:val="24"/>
      </w:rPr>
    </w:lvl>
    <w:lvl w:ilvl="1">
      <w:start w:val="1"/>
      <w:numFmt w:val="decimal"/>
      <w:pStyle w:val="BGHeading2AltA"/>
      <w:lvlText w:val="%1.%2"/>
      <w:lvlJc w:val="left"/>
      <w:pPr>
        <w:tabs>
          <w:tab w:val="num" w:pos="1440"/>
        </w:tabs>
        <w:ind w:left="1440" w:hanging="1440"/>
      </w:pPr>
      <w:rPr>
        <w:rFonts w:hint="default"/>
        <w:b w:val="0"/>
        <w:sz w:val="24"/>
        <w:szCs w:val="24"/>
      </w:rPr>
    </w:lvl>
    <w:lvl w:ilvl="2">
      <w:start w:val="1"/>
      <w:numFmt w:val="decimal"/>
      <w:pStyle w:val="BGHeading3AltZ"/>
      <w:lvlText w:val="%1.%2.%3"/>
      <w:lvlJc w:val="left"/>
      <w:pPr>
        <w:tabs>
          <w:tab w:val="num" w:pos="2160"/>
        </w:tabs>
        <w:ind w:left="2160" w:hanging="2160"/>
      </w:pPr>
      <w:rPr>
        <w:rFonts w:hint="default"/>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pStyle w:val="BGHeading6AltV"/>
      <w:lvlText w:val="%1.%2.%3.%4.%5.%6"/>
      <w:lvlJc w:val="left"/>
      <w:pPr>
        <w:tabs>
          <w:tab w:val="num" w:pos="4321"/>
        </w:tabs>
        <w:ind w:left="4321" w:hanging="4321"/>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2793662F"/>
    <w:multiLevelType w:val="hybridMultilevel"/>
    <w:tmpl w:val="DE40C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44975"/>
    <w:multiLevelType w:val="multilevel"/>
    <w:tmpl w:val="92925CBE"/>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2F2B3F87"/>
    <w:multiLevelType w:val="multilevel"/>
    <w:tmpl w:val="B33C808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2C8640B"/>
    <w:multiLevelType w:val="hybridMultilevel"/>
    <w:tmpl w:val="47642BDA"/>
    <w:lvl w:ilvl="0" w:tplc="9C9ED5E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C4F2973"/>
    <w:multiLevelType w:val="hybridMultilevel"/>
    <w:tmpl w:val="ABA0B2D0"/>
    <w:lvl w:ilvl="0" w:tplc="2E8C00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58BD13E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BA7B5C"/>
    <w:multiLevelType w:val="multilevel"/>
    <w:tmpl w:val="0E10CF96"/>
    <w:lvl w:ilvl="0">
      <w:start w:val="1"/>
      <w:numFmt w:val="decimal"/>
      <w:lvlText w:val="%1."/>
      <w:lvlJc w:val="left"/>
      <w:pPr>
        <w:ind w:left="360" w:hanging="360"/>
      </w:pPr>
      <w:rPr>
        <w:b w:val="0"/>
        <w:bCs/>
        <w:i w:val="0"/>
        <w:i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36541C"/>
    <w:multiLevelType w:val="multilevel"/>
    <w:tmpl w:val="0AD6280C"/>
    <w:lvl w:ilvl="0">
      <w:start w:val="1"/>
      <w:numFmt w:val="decimal"/>
      <w:pStyle w:val="Indent"/>
      <w:lvlText w:val="%1."/>
      <w:lvlJc w:val="left"/>
      <w:pPr>
        <w:tabs>
          <w:tab w:val="num" w:pos="850"/>
        </w:tabs>
        <w:ind w:left="850" w:hanging="850"/>
      </w:pPr>
      <w:rPr>
        <w:rFonts w:ascii="Arial" w:hAnsi="Arial" w:hint="default"/>
        <w:b w:val="0"/>
        <w:i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10" w15:restartNumberingAfterBreak="0">
    <w:nsid w:val="6DB212FE"/>
    <w:multiLevelType w:val="hybridMultilevel"/>
    <w:tmpl w:val="A49EB402"/>
    <w:lvl w:ilvl="0" w:tplc="4C76C9D0">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1" w15:restartNumberingAfterBreak="0">
    <w:nsid w:val="6F573EFD"/>
    <w:multiLevelType w:val="hybridMultilevel"/>
    <w:tmpl w:val="E668E0FC"/>
    <w:lvl w:ilvl="0" w:tplc="E86C3BB6">
      <w:start w:val="1"/>
      <w:numFmt w:val="decimal"/>
      <w:lvlText w:val="%1."/>
      <w:lvlJc w:val="left"/>
      <w:pPr>
        <w:ind w:left="720" w:hanging="360"/>
      </w:pPr>
      <w:rPr>
        <w:rFonts w:hint="default"/>
        <w:b w:val="0"/>
        <w:bCs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0B3428F"/>
    <w:multiLevelType w:val="multilevel"/>
    <w:tmpl w:val="D7A68FF8"/>
    <w:lvl w:ilvl="0">
      <w:start w:val="1"/>
      <w:numFmt w:val="decimal"/>
      <w:lvlText w:val="%1."/>
      <w:lvlJc w:val="left"/>
      <w:pPr>
        <w:ind w:left="360" w:hanging="360"/>
      </w:pPr>
      <w:rPr>
        <w:rFonts w:ascii="Arial" w:hAnsi="Arial" w:cs="Arial" w:hint="default"/>
        <w:b w:val="0"/>
        <w:i w:val="0"/>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C665EE"/>
    <w:multiLevelType w:val="multilevel"/>
    <w:tmpl w:val="035653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0"/>
  </w:num>
  <w:num w:numId="2">
    <w:abstractNumId w:val="13"/>
  </w:num>
  <w:num w:numId="3">
    <w:abstractNumId w:val="1"/>
  </w:num>
  <w:num w:numId="4">
    <w:abstractNumId w:val="12"/>
  </w:num>
  <w:num w:numId="5">
    <w:abstractNumId w:val="2"/>
  </w:num>
  <w:num w:numId="6">
    <w:abstractNumId w:val="10"/>
  </w:num>
  <w:num w:numId="7">
    <w:abstractNumId w:val="8"/>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11"/>
  </w:num>
  <w:num w:numId="12">
    <w:abstractNumId w:val="6"/>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3D"/>
    <w:rsid w:val="00003E13"/>
    <w:rsid w:val="00003F44"/>
    <w:rsid w:val="0000455C"/>
    <w:rsid w:val="000075DB"/>
    <w:rsid w:val="0001721A"/>
    <w:rsid w:val="000202C5"/>
    <w:rsid w:val="0002087B"/>
    <w:rsid w:val="0002178B"/>
    <w:rsid w:val="00022B0D"/>
    <w:rsid w:val="00023559"/>
    <w:rsid w:val="00023567"/>
    <w:rsid w:val="00025418"/>
    <w:rsid w:val="00030AB1"/>
    <w:rsid w:val="00031ABB"/>
    <w:rsid w:val="00031EF5"/>
    <w:rsid w:val="00035326"/>
    <w:rsid w:val="000371CB"/>
    <w:rsid w:val="000378E2"/>
    <w:rsid w:val="00041FE8"/>
    <w:rsid w:val="00043E62"/>
    <w:rsid w:val="000458B8"/>
    <w:rsid w:val="00047CCD"/>
    <w:rsid w:val="00050420"/>
    <w:rsid w:val="000520F4"/>
    <w:rsid w:val="000548CD"/>
    <w:rsid w:val="000562FA"/>
    <w:rsid w:val="00061F6A"/>
    <w:rsid w:val="00065419"/>
    <w:rsid w:val="000664C3"/>
    <w:rsid w:val="00067A9B"/>
    <w:rsid w:val="00070CA2"/>
    <w:rsid w:val="0007134F"/>
    <w:rsid w:val="00075390"/>
    <w:rsid w:val="00076DC0"/>
    <w:rsid w:val="00077B3B"/>
    <w:rsid w:val="00080AC5"/>
    <w:rsid w:val="00087FDB"/>
    <w:rsid w:val="00092B6B"/>
    <w:rsid w:val="00092E95"/>
    <w:rsid w:val="00094310"/>
    <w:rsid w:val="00097D77"/>
    <w:rsid w:val="000A2502"/>
    <w:rsid w:val="000B37A4"/>
    <w:rsid w:val="000B717C"/>
    <w:rsid w:val="000C0A73"/>
    <w:rsid w:val="000C1336"/>
    <w:rsid w:val="000C315C"/>
    <w:rsid w:val="000C3641"/>
    <w:rsid w:val="000C4DE8"/>
    <w:rsid w:val="000C602F"/>
    <w:rsid w:val="000D0399"/>
    <w:rsid w:val="000D09D7"/>
    <w:rsid w:val="000D1473"/>
    <w:rsid w:val="000D270E"/>
    <w:rsid w:val="000E509E"/>
    <w:rsid w:val="000E6DDE"/>
    <w:rsid w:val="000F294E"/>
    <w:rsid w:val="000F5DFF"/>
    <w:rsid w:val="000F78A8"/>
    <w:rsid w:val="001007DD"/>
    <w:rsid w:val="001079D7"/>
    <w:rsid w:val="001173F7"/>
    <w:rsid w:val="00121E43"/>
    <w:rsid w:val="00123075"/>
    <w:rsid w:val="001247B6"/>
    <w:rsid w:val="00124A3F"/>
    <w:rsid w:val="001274C7"/>
    <w:rsid w:val="00131FB0"/>
    <w:rsid w:val="001324FA"/>
    <w:rsid w:val="00133367"/>
    <w:rsid w:val="001338B3"/>
    <w:rsid w:val="0013461F"/>
    <w:rsid w:val="00134B3B"/>
    <w:rsid w:val="0013524C"/>
    <w:rsid w:val="00136F75"/>
    <w:rsid w:val="0013755A"/>
    <w:rsid w:val="00137C48"/>
    <w:rsid w:val="001426CF"/>
    <w:rsid w:val="00145E3E"/>
    <w:rsid w:val="00147444"/>
    <w:rsid w:val="0015306B"/>
    <w:rsid w:val="001575E8"/>
    <w:rsid w:val="001611BD"/>
    <w:rsid w:val="00161E2E"/>
    <w:rsid w:val="001626B2"/>
    <w:rsid w:val="00166660"/>
    <w:rsid w:val="00170AF6"/>
    <w:rsid w:val="00173991"/>
    <w:rsid w:val="00175D61"/>
    <w:rsid w:val="0018092E"/>
    <w:rsid w:val="00184C5E"/>
    <w:rsid w:val="001853B0"/>
    <w:rsid w:val="00186155"/>
    <w:rsid w:val="00186F62"/>
    <w:rsid w:val="001912CE"/>
    <w:rsid w:val="00196FBA"/>
    <w:rsid w:val="001A035A"/>
    <w:rsid w:val="001A13A4"/>
    <w:rsid w:val="001A2CDA"/>
    <w:rsid w:val="001A54BF"/>
    <w:rsid w:val="001B113B"/>
    <w:rsid w:val="001B3011"/>
    <w:rsid w:val="001B3658"/>
    <w:rsid w:val="001B77F3"/>
    <w:rsid w:val="001C0D34"/>
    <w:rsid w:val="001C5D76"/>
    <w:rsid w:val="001C79ED"/>
    <w:rsid w:val="001D37BE"/>
    <w:rsid w:val="001D4CB5"/>
    <w:rsid w:val="001E02DA"/>
    <w:rsid w:val="001E12EF"/>
    <w:rsid w:val="001E1416"/>
    <w:rsid w:val="001E1FC7"/>
    <w:rsid w:val="001E51C0"/>
    <w:rsid w:val="001E76CF"/>
    <w:rsid w:val="001F2E08"/>
    <w:rsid w:val="001F7E58"/>
    <w:rsid w:val="001F7EF1"/>
    <w:rsid w:val="002011EC"/>
    <w:rsid w:val="002042BD"/>
    <w:rsid w:val="00205E83"/>
    <w:rsid w:val="00205F47"/>
    <w:rsid w:val="002061C4"/>
    <w:rsid w:val="0020781C"/>
    <w:rsid w:val="0021130F"/>
    <w:rsid w:val="0021137E"/>
    <w:rsid w:val="00211644"/>
    <w:rsid w:val="00211835"/>
    <w:rsid w:val="00212790"/>
    <w:rsid w:val="00213D2E"/>
    <w:rsid w:val="00214971"/>
    <w:rsid w:val="00217D2C"/>
    <w:rsid w:val="00230150"/>
    <w:rsid w:val="00231B7F"/>
    <w:rsid w:val="00234795"/>
    <w:rsid w:val="002407C8"/>
    <w:rsid w:val="002446D4"/>
    <w:rsid w:val="00246E3C"/>
    <w:rsid w:val="002471F5"/>
    <w:rsid w:val="0025402C"/>
    <w:rsid w:val="002569A0"/>
    <w:rsid w:val="002621EF"/>
    <w:rsid w:val="00262576"/>
    <w:rsid w:val="00262C07"/>
    <w:rsid w:val="00267B29"/>
    <w:rsid w:val="00274078"/>
    <w:rsid w:val="00274537"/>
    <w:rsid w:val="00281CD9"/>
    <w:rsid w:val="002820F4"/>
    <w:rsid w:val="00285DC0"/>
    <w:rsid w:val="002908F7"/>
    <w:rsid w:val="00294DDA"/>
    <w:rsid w:val="00295E20"/>
    <w:rsid w:val="002A082F"/>
    <w:rsid w:val="002A1852"/>
    <w:rsid w:val="002A55DF"/>
    <w:rsid w:val="002A7A72"/>
    <w:rsid w:val="002B1C5B"/>
    <w:rsid w:val="002B47AE"/>
    <w:rsid w:val="002B4C56"/>
    <w:rsid w:val="002B5B12"/>
    <w:rsid w:val="002D26DC"/>
    <w:rsid w:val="002D2704"/>
    <w:rsid w:val="002D3174"/>
    <w:rsid w:val="002D4A28"/>
    <w:rsid w:val="002D6BF7"/>
    <w:rsid w:val="002E1B55"/>
    <w:rsid w:val="002E278F"/>
    <w:rsid w:val="002E738A"/>
    <w:rsid w:val="002F132A"/>
    <w:rsid w:val="002F39C5"/>
    <w:rsid w:val="002F6672"/>
    <w:rsid w:val="002F7B11"/>
    <w:rsid w:val="00300EBF"/>
    <w:rsid w:val="00301195"/>
    <w:rsid w:val="00302C04"/>
    <w:rsid w:val="00305344"/>
    <w:rsid w:val="00305E16"/>
    <w:rsid w:val="00305ECE"/>
    <w:rsid w:val="00310546"/>
    <w:rsid w:val="00312C7D"/>
    <w:rsid w:val="00314942"/>
    <w:rsid w:val="00330694"/>
    <w:rsid w:val="00331BD9"/>
    <w:rsid w:val="0033780D"/>
    <w:rsid w:val="00340078"/>
    <w:rsid w:val="00341F0C"/>
    <w:rsid w:val="003450F7"/>
    <w:rsid w:val="00345989"/>
    <w:rsid w:val="0034618F"/>
    <w:rsid w:val="003461F7"/>
    <w:rsid w:val="003470BD"/>
    <w:rsid w:val="00347ED9"/>
    <w:rsid w:val="00352899"/>
    <w:rsid w:val="0035552E"/>
    <w:rsid w:val="00357543"/>
    <w:rsid w:val="00357ADC"/>
    <w:rsid w:val="003610FD"/>
    <w:rsid w:val="003614A5"/>
    <w:rsid w:val="003629A2"/>
    <w:rsid w:val="0036532B"/>
    <w:rsid w:val="0036724D"/>
    <w:rsid w:val="00371BE1"/>
    <w:rsid w:val="00372EB2"/>
    <w:rsid w:val="003761D5"/>
    <w:rsid w:val="00376CC6"/>
    <w:rsid w:val="00382E4A"/>
    <w:rsid w:val="003840CF"/>
    <w:rsid w:val="00386B78"/>
    <w:rsid w:val="0039028B"/>
    <w:rsid w:val="00390AD6"/>
    <w:rsid w:val="00391128"/>
    <w:rsid w:val="00391C95"/>
    <w:rsid w:val="003957E8"/>
    <w:rsid w:val="00397259"/>
    <w:rsid w:val="00397375"/>
    <w:rsid w:val="003A4786"/>
    <w:rsid w:val="003A5415"/>
    <w:rsid w:val="003A561D"/>
    <w:rsid w:val="003A65B4"/>
    <w:rsid w:val="003A67DD"/>
    <w:rsid w:val="003B07CA"/>
    <w:rsid w:val="003B3B87"/>
    <w:rsid w:val="003B5D2B"/>
    <w:rsid w:val="003B6139"/>
    <w:rsid w:val="003C206E"/>
    <w:rsid w:val="003C2855"/>
    <w:rsid w:val="003C465A"/>
    <w:rsid w:val="003C5C40"/>
    <w:rsid w:val="003D01D5"/>
    <w:rsid w:val="003D137F"/>
    <w:rsid w:val="003D1A01"/>
    <w:rsid w:val="003D3FCC"/>
    <w:rsid w:val="003D47BD"/>
    <w:rsid w:val="003D585F"/>
    <w:rsid w:val="003D59A0"/>
    <w:rsid w:val="003D6625"/>
    <w:rsid w:val="003D69A0"/>
    <w:rsid w:val="003D7BB2"/>
    <w:rsid w:val="003D7F5C"/>
    <w:rsid w:val="003E3C6C"/>
    <w:rsid w:val="003E60DE"/>
    <w:rsid w:val="003F7122"/>
    <w:rsid w:val="003F717F"/>
    <w:rsid w:val="004003CD"/>
    <w:rsid w:val="004046DC"/>
    <w:rsid w:val="004068E3"/>
    <w:rsid w:val="0041684F"/>
    <w:rsid w:val="00420416"/>
    <w:rsid w:val="004261DB"/>
    <w:rsid w:val="0042645F"/>
    <w:rsid w:val="004270AC"/>
    <w:rsid w:val="00431667"/>
    <w:rsid w:val="00434729"/>
    <w:rsid w:val="004347F9"/>
    <w:rsid w:val="00434848"/>
    <w:rsid w:val="00434DED"/>
    <w:rsid w:val="004377ED"/>
    <w:rsid w:val="004474DD"/>
    <w:rsid w:val="00450C6C"/>
    <w:rsid w:val="004530DA"/>
    <w:rsid w:val="00453D75"/>
    <w:rsid w:val="00461680"/>
    <w:rsid w:val="004618AF"/>
    <w:rsid w:val="004658A4"/>
    <w:rsid w:val="00465BAB"/>
    <w:rsid w:val="00465ED1"/>
    <w:rsid w:val="004669BB"/>
    <w:rsid w:val="0047182F"/>
    <w:rsid w:val="00472E0F"/>
    <w:rsid w:val="0047504B"/>
    <w:rsid w:val="004757F1"/>
    <w:rsid w:val="004779D9"/>
    <w:rsid w:val="0048257D"/>
    <w:rsid w:val="00484A30"/>
    <w:rsid w:val="0049144C"/>
    <w:rsid w:val="00491C17"/>
    <w:rsid w:val="0049377B"/>
    <w:rsid w:val="00493F4F"/>
    <w:rsid w:val="00496B42"/>
    <w:rsid w:val="004A4720"/>
    <w:rsid w:val="004A4AAC"/>
    <w:rsid w:val="004A65DA"/>
    <w:rsid w:val="004A75DE"/>
    <w:rsid w:val="004B269E"/>
    <w:rsid w:val="004B6F47"/>
    <w:rsid w:val="004B6F7B"/>
    <w:rsid w:val="004C2532"/>
    <w:rsid w:val="004C2AB3"/>
    <w:rsid w:val="004C32BE"/>
    <w:rsid w:val="004C75E7"/>
    <w:rsid w:val="004D30CD"/>
    <w:rsid w:val="004D3101"/>
    <w:rsid w:val="004D55D3"/>
    <w:rsid w:val="004D5DAF"/>
    <w:rsid w:val="004D6317"/>
    <w:rsid w:val="004E0648"/>
    <w:rsid w:val="004E0EBA"/>
    <w:rsid w:val="004E2639"/>
    <w:rsid w:val="004E3E0C"/>
    <w:rsid w:val="004E4874"/>
    <w:rsid w:val="004E4F92"/>
    <w:rsid w:val="004E5103"/>
    <w:rsid w:val="004E655A"/>
    <w:rsid w:val="004E755C"/>
    <w:rsid w:val="004F1736"/>
    <w:rsid w:val="004F465D"/>
    <w:rsid w:val="004F6A24"/>
    <w:rsid w:val="004F6DC7"/>
    <w:rsid w:val="00500CDA"/>
    <w:rsid w:val="0050476D"/>
    <w:rsid w:val="005076A2"/>
    <w:rsid w:val="00512C18"/>
    <w:rsid w:val="00513776"/>
    <w:rsid w:val="00514950"/>
    <w:rsid w:val="00516EB8"/>
    <w:rsid w:val="005171F1"/>
    <w:rsid w:val="005203A6"/>
    <w:rsid w:val="0052299A"/>
    <w:rsid w:val="0052344F"/>
    <w:rsid w:val="005245E1"/>
    <w:rsid w:val="00524757"/>
    <w:rsid w:val="00526E5D"/>
    <w:rsid w:val="00530BD1"/>
    <w:rsid w:val="00530E96"/>
    <w:rsid w:val="00530F87"/>
    <w:rsid w:val="00532078"/>
    <w:rsid w:val="0053349D"/>
    <w:rsid w:val="00535D5B"/>
    <w:rsid w:val="00543A27"/>
    <w:rsid w:val="005446F1"/>
    <w:rsid w:val="00550E87"/>
    <w:rsid w:val="005534F7"/>
    <w:rsid w:val="0055659E"/>
    <w:rsid w:val="00557526"/>
    <w:rsid w:val="00560FF9"/>
    <w:rsid w:val="00563295"/>
    <w:rsid w:val="005635B0"/>
    <w:rsid w:val="00563F5B"/>
    <w:rsid w:val="005666BC"/>
    <w:rsid w:val="00572594"/>
    <w:rsid w:val="00573549"/>
    <w:rsid w:val="005738D4"/>
    <w:rsid w:val="00575EC0"/>
    <w:rsid w:val="00583DF7"/>
    <w:rsid w:val="00585DFD"/>
    <w:rsid w:val="00585EFD"/>
    <w:rsid w:val="005876CC"/>
    <w:rsid w:val="00590F07"/>
    <w:rsid w:val="00596D62"/>
    <w:rsid w:val="005A0925"/>
    <w:rsid w:val="005A5719"/>
    <w:rsid w:val="005A6755"/>
    <w:rsid w:val="005A6CEC"/>
    <w:rsid w:val="005B144C"/>
    <w:rsid w:val="005B19AA"/>
    <w:rsid w:val="005B1A58"/>
    <w:rsid w:val="005B3E7F"/>
    <w:rsid w:val="005B455D"/>
    <w:rsid w:val="005B55A6"/>
    <w:rsid w:val="005B5BBD"/>
    <w:rsid w:val="005B7C24"/>
    <w:rsid w:val="005C0CEE"/>
    <w:rsid w:val="005C31DB"/>
    <w:rsid w:val="005C7414"/>
    <w:rsid w:val="005D0340"/>
    <w:rsid w:val="005D0982"/>
    <w:rsid w:val="005D2ECB"/>
    <w:rsid w:val="005D3C9D"/>
    <w:rsid w:val="005D4221"/>
    <w:rsid w:val="005D62B4"/>
    <w:rsid w:val="005E0BD7"/>
    <w:rsid w:val="005E5A63"/>
    <w:rsid w:val="005F03B0"/>
    <w:rsid w:val="005F27FF"/>
    <w:rsid w:val="005F3D15"/>
    <w:rsid w:val="005F69F3"/>
    <w:rsid w:val="005F77C5"/>
    <w:rsid w:val="00600A72"/>
    <w:rsid w:val="0060171F"/>
    <w:rsid w:val="00604FBB"/>
    <w:rsid w:val="006076A3"/>
    <w:rsid w:val="00610783"/>
    <w:rsid w:val="00611C0A"/>
    <w:rsid w:val="00614ABD"/>
    <w:rsid w:val="006150A4"/>
    <w:rsid w:val="00615CC4"/>
    <w:rsid w:val="00615D05"/>
    <w:rsid w:val="00616DBB"/>
    <w:rsid w:val="00616F8C"/>
    <w:rsid w:val="00623AF3"/>
    <w:rsid w:val="00624C1F"/>
    <w:rsid w:val="0062572F"/>
    <w:rsid w:val="006323A3"/>
    <w:rsid w:val="00633967"/>
    <w:rsid w:val="0063406E"/>
    <w:rsid w:val="00634D9B"/>
    <w:rsid w:val="0063674C"/>
    <w:rsid w:val="0064261F"/>
    <w:rsid w:val="006450AD"/>
    <w:rsid w:val="00645752"/>
    <w:rsid w:val="00651A59"/>
    <w:rsid w:val="00652E61"/>
    <w:rsid w:val="0065443D"/>
    <w:rsid w:val="00657D15"/>
    <w:rsid w:val="00667ABC"/>
    <w:rsid w:val="00667C38"/>
    <w:rsid w:val="00672BF8"/>
    <w:rsid w:val="00673148"/>
    <w:rsid w:val="00674B99"/>
    <w:rsid w:val="006837A0"/>
    <w:rsid w:val="00685356"/>
    <w:rsid w:val="00685DF0"/>
    <w:rsid w:val="0068643D"/>
    <w:rsid w:val="00686601"/>
    <w:rsid w:val="00686702"/>
    <w:rsid w:val="00693CCC"/>
    <w:rsid w:val="006A61DA"/>
    <w:rsid w:val="006B1140"/>
    <w:rsid w:val="006B1F8B"/>
    <w:rsid w:val="006B224B"/>
    <w:rsid w:val="006B274C"/>
    <w:rsid w:val="006B2900"/>
    <w:rsid w:val="006B2AF7"/>
    <w:rsid w:val="006B41C5"/>
    <w:rsid w:val="006B500A"/>
    <w:rsid w:val="006B55E8"/>
    <w:rsid w:val="006B5BD0"/>
    <w:rsid w:val="006C25F8"/>
    <w:rsid w:val="006C4576"/>
    <w:rsid w:val="006C7AF0"/>
    <w:rsid w:val="006D187C"/>
    <w:rsid w:val="006D4B06"/>
    <w:rsid w:val="006E503D"/>
    <w:rsid w:val="006E5E04"/>
    <w:rsid w:val="006F0609"/>
    <w:rsid w:val="006F6754"/>
    <w:rsid w:val="006F6DB7"/>
    <w:rsid w:val="00711405"/>
    <w:rsid w:val="00711C5E"/>
    <w:rsid w:val="007163E5"/>
    <w:rsid w:val="00716D80"/>
    <w:rsid w:val="00720E69"/>
    <w:rsid w:val="007210F4"/>
    <w:rsid w:val="007230A3"/>
    <w:rsid w:val="00725885"/>
    <w:rsid w:val="00731C7E"/>
    <w:rsid w:val="00733C6F"/>
    <w:rsid w:val="00734732"/>
    <w:rsid w:val="007378A0"/>
    <w:rsid w:val="00740AA9"/>
    <w:rsid w:val="00745C1B"/>
    <w:rsid w:val="007552BB"/>
    <w:rsid w:val="007561B1"/>
    <w:rsid w:val="00757738"/>
    <w:rsid w:val="007661EA"/>
    <w:rsid w:val="00766B60"/>
    <w:rsid w:val="007712F2"/>
    <w:rsid w:val="00771FC0"/>
    <w:rsid w:val="0078108A"/>
    <w:rsid w:val="007833C8"/>
    <w:rsid w:val="00786297"/>
    <w:rsid w:val="007936C5"/>
    <w:rsid w:val="00797EB5"/>
    <w:rsid w:val="007A1F25"/>
    <w:rsid w:val="007A2015"/>
    <w:rsid w:val="007A5872"/>
    <w:rsid w:val="007A6782"/>
    <w:rsid w:val="007B39F5"/>
    <w:rsid w:val="007B4012"/>
    <w:rsid w:val="007B6578"/>
    <w:rsid w:val="007B6AE5"/>
    <w:rsid w:val="007B6F2A"/>
    <w:rsid w:val="007B7664"/>
    <w:rsid w:val="007B7F21"/>
    <w:rsid w:val="007C07A9"/>
    <w:rsid w:val="007C11BF"/>
    <w:rsid w:val="007C17DC"/>
    <w:rsid w:val="007D2480"/>
    <w:rsid w:val="007D3E2D"/>
    <w:rsid w:val="007D4B47"/>
    <w:rsid w:val="007D57A1"/>
    <w:rsid w:val="007D6E90"/>
    <w:rsid w:val="007E05F3"/>
    <w:rsid w:val="007F0B7D"/>
    <w:rsid w:val="007F0CF8"/>
    <w:rsid w:val="007F1D43"/>
    <w:rsid w:val="007F7EA2"/>
    <w:rsid w:val="00800291"/>
    <w:rsid w:val="008010DC"/>
    <w:rsid w:val="008012EF"/>
    <w:rsid w:val="00803E85"/>
    <w:rsid w:val="00804852"/>
    <w:rsid w:val="008068EA"/>
    <w:rsid w:val="008121D6"/>
    <w:rsid w:val="00813336"/>
    <w:rsid w:val="00814595"/>
    <w:rsid w:val="0081628B"/>
    <w:rsid w:val="00826F85"/>
    <w:rsid w:val="008271B1"/>
    <w:rsid w:val="00831C44"/>
    <w:rsid w:val="00833E6B"/>
    <w:rsid w:val="008403DC"/>
    <w:rsid w:val="00840DDE"/>
    <w:rsid w:val="0084102E"/>
    <w:rsid w:val="00841C8A"/>
    <w:rsid w:val="00841EF9"/>
    <w:rsid w:val="0084764D"/>
    <w:rsid w:val="00850186"/>
    <w:rsid w:val="0085112D"/>
    <w:rsid w:val="008511CE"/>
    <w:rsid w:val="008536ED"/>
    <w:rsid w:val="00854469"/>
    <w:rsid w:val="0085509B"/>
    <w:rsid w:val="008556C1"/>
    <w:rsid w:val="00857BA0"/>
    <w:rsid w:val="00860FB7"/>
    <w:rsid w:val="00860FC8"/>
    <w:rsid w:val="00863832"/>
    <w:rsid w:val="00871013"/>
    <w:rsid w:val="00871802"/>
    <w:rsid w:val="00880066"/>
    <w:rsid w:val="00880D3D"/>
    <w:rsid w:val="00884013"/>
    <w:rsid w:val="00884095"/>
    <w:rsid w:val="00885C35"/>
    <w:rsid w:val="008864B1"/>
    <w:rsid w:val="00893D1C"/>
    <w:rsid w:val="00897D91"/>
    <w:rsid w:val="008A0ABC"/>
    <w:rsid w:val="008A2BB3"/>
    <w:rsid w:val="008A4761"/>
    <w:rsid w:val="008A6CA4"/>
    <w:rsid w:val="008B14D9"/>
    <w:rsid w:val="008B3621"/>
    <w:rsid w:val="008B4FE9"/>
    <w:rsid w:val="008B5F81"/>
    <w:rsid w:val="008B7B2C"/>
    <w:rsid w:val="008C0B37"/>
    <w:rsid w:val="008C1015"/>
    <w:rsid w:val="008C2519"/>
    <w:rsid w:val="008C44CF"/>
    <w:rsid w:val="008C7795"/>
    <w:rsid w:val="008D0114"/>
    <w:rsid w:val="008D2494"/>
    <w:rsid w:val="008D64E3"/>
    <w:rsid w:val="008E1779"/>
    <w:rsid w:val="008E2089"/>
    <w:rsid w:val="008E32CB"/>
    <w:rsid w:val="008F00EB"/>
    <w:rsid w:val="008F6115"/>
    <w:rsid w:val="008F62EB"/>
    <w:rsid w:val="008F6402"/>
    <w:rsid w:val="008F6CC3"/>
    <w:rsid w:val="0090406C"/>
    <w:rsid w:val="0090540C"/>
    <w:rsid w:val="00912272"/>
    <w:rsid w:val="0091758D"/>
    <w:rsid w:val="00924F6E"/>
    <w:rsid w:val="00927757"/>
    <w:rsid w:val="00930447"/>
    <w:rsid w:val="00935EC3"/>
    <w:rsid w:val="00937F6D"/>
    <w:rsid w:val="00937FC3"/>
    <w:rsid w:val="009403D2"/>
    <w:rsid w:val="0094191D"/>
    <w:rsid w:val="00942788"/>
    <w:rsid w:val="00945D8B"/>
    <w:rsid w:val="0095195F"/>
    <w:rsid w:val="00952312"/>
    <w:rsid w:val="009555D2"/>
    <w:rsid w:val="00956417"/>
    <w:rsid w:val="00962DE6"/>
    <w:rsid w:val="00967606"/>
    <w:rsid w:val="00967620"/>
    <w:rsid w:val="009708D1"/>
    <w:rsid w:val="009718CB"/>
    <w:rsid w:val="0097192C"/>
    <w:rsid w:val="00972576"/>
    <w:rsid w:val="00981381"/>
    <w:rsid w:val="00981AFF"/>
    <w:rsid w:val="00983DEC"/>
    <w:rsid w:val="00986253"/>
    <w:rsid w:val="009904A2"/>
    <w:rsid w:val="00992750"/>
    <w:rsid w:val="00994A01"/>
    <w:rsid w:val="0099515C"/>
    <w:rsid w:val="009977FF"/>
    <w:rsid w:val="009A0444"/>
    <w:rsid w:val="009A0AC6"/>
    <w:rsid w:val="009A7DF2"/>
    <w:rsid w:val="009B08A6"/>
    <w:rsid w:val="009B152D"/>
    <w:rsid w:val="009B2AFA"/>
    <w:rsid w:val="009B3362"/>
    <w:rsid w:val="009B7515"/>
    <w:rsid w:val="009C373D"/>
    <w:rsid w:val="009C3BF8"/>
    <w:rsid w:val="009D0048"/>
    <w:rsid w:val="009D15C8"/>
    <w:rsid w:val="009D2C8E"/>
    <w:rsid w:val="009D418B"/>
    <w:rsid w:val="009D453E"/>
    <w:rsid w:val="009D6A31"/>
    <w:rsid w:val="009D796B"/>
    <w:rsid w:val="009E03E5"/>
    <w:rsid w:val="009E403B"/>
    <w:rsid w:val="009E6968"/>
    <w:rsid w:val="009E7BB8"/>
    <w:rsid w:val="009F2F7A"/>
    <w:rsid w:val="009F4D45"/>
    <w:rsid w:val="009F61E8"/>
    <w:rsid w:val="009F6BD1"/>
    <w:rsid w:val="009F6CC6"/>
    <w:rsid w:val="00A00D43"/>
    <w:rsid w:val="00A0130B"/>
    <w:rsid w:val="00A0166C"/>
    <w:rsid w:val="00A031D0"/>
    <w:rsid w:val="00A0368D"/>
    <w:rsid w:val="00A0624D"/>
    <w:rsid w:val="00A075D7"/>
    <w:rsid w:val="00A11136"/>
    <w:rsid w:val="00A12D9D"/>
    <w:rsid w:val="00A1776A"/>
    <w:rsid w:val="00A17FC6"/>
    <w:rsid w:val="00A21632"/>
    <w:rsid w:val="00A2226E"/>
    <w:rsid w:val="00A22BD7"/>
    <w:rsid w:val="00A32C42"/>
    <w:rsid w:val="00A33C4A"/>
    <w:rsid w:val="00A42B32"/>
    <w:rsid w:val="00A46CD3"/>
    <w:rsid w:val="00A54775"/>
    <w:rsid w:val="00A55796"/>
    <w:rsid w:val="00A60F3C"/>
    <w:rsid w:val="00A63002"/>
    <w:rsid w:val="00A63111"/>
    <w:rsid w:val="00A631DA"/>
    <w:rsid w:val="00A67FC6"/>
    <w:rsid w:val="00A711D9"/>
    <w:rsid w:val="00A71CD9"/>
    <w:rsid w:val="00A818FB"/>
    <w:rsid w:val="00A82EDC"/>
    <w:rsid w:val="00A8339D"/>
    <w:rsid w:val="00A850F4"/>
    <w:rsid w:val="00A85A87"/>
    <w:rsid w:val="00A8660B"/>
    <w:rsid w:val="00A91B5D"/>
    <w:rsid w:val="00A921AC"/>
    <w:rsid w:val="00A93B07"/>
    <w:rsid w:val="00A93F57"/>
    <w:rsid w:val="00A9663E"/>
    <w:rsid w:val="00AA3FAE"/>
    <w:rsid w:val="00AB2A12"/>
    <w:rsid w:val="00AB4D9C"/>
    <w:rsid w:val="00AB5C72"/>
    <w:rsid w:val="00AB68D1"/>
    <w:rsid w:val="00AB6CB8"/>
    <w:rsid w:val="00AC029E"/>
    <w:rsid w:val="00AC2AE9"/>
    <w:rsid w:val="00AC4265"/>
    <w:rsid w:val="00AC4E84"/>
    <w:rsid w:val="00AC6EF3"/>
    <w:rsid w:val="00AC7BB7"/>
    <w:rsid w:val="00AD3E4B"/>
    <w:rsid w:val="00AD4074"/>
    <w:rsid w:val="00AD47C7"/>
    <w:rsid w:val="00AD572E"/>
    <w:rsid w:val="00AE0440"/>
    <w:rsid w:val="00AE6E5E"/>
    <w:rsid w:val="00AF4410"/>
    <w:rsid w:val="00AF4708"/>
    <w:rsid w:val="00AF5E63"/>
    <w:rsid w:val="00AF7D64"/>
    <w:rsid w:val="00B00DE4"/>
    <w:rsid w:val="00B0184A"/>
    <w:rsid w:val="00B024A5"/>
    <w:rsid w:val="00B036E0"/>
    <w:rsid w:val="00B050D4"/>
    <w:rsid w:val="00B07028"/>
    <w:rsid w:val="00B173D1"/>
    <w:rsid w:val="00B20017"/>
    <w:rsid w:val="00B207D2"/>
    <w:rsid w:val="00B24550"/>
    <w:rsid w:val="00B27E85"/>
    <w:rsid w:val="00B317C3"/>
    <w:rsid w:val="00B322E3"/>
    <w:rsid w:val="00B327F8"/>
    <w:rsid w:val="00B344A8"/>
    <w:rsid w:val="00B34A0C"/>
    <w:rsid w:val="00B41769"/>
    <w:rsid w:val="00B464E0"/>
    <w:rsid w:val="00B51794"/>
    <w:rsid w:val="00B518A7"/>
    <w:rsid w:val="00B554F6"/>
    <w:rsid w:val="00B55D5B"/>
    <w:rsid w:val="00B56DC6"/>
    <w:rsid w:val="00B602BF"/>
    <w:rsid w:val="00B605D8"/>
    <w:rsid w:val="00B61551"/>
    <w:rsid w:val="00B62D97"/>
    <w:rsid w:val="00B6404E"/>
    <w:rsid w:val="00B65325"/>
    <w:rsid w:val="00B708B6"/>
    <w:rsid w:val="00B71E55"/>
    <w:rsid w:val="00B75111"/>
    <w:rsid w:val="00B81D38"/>
    <w:rsid w:val="00B85B52"/>
    <w:rsid w:val="00B87EA2"/>
    <w:rsid w:val="00B92E56"/>
    <w:rsid w:val="00B93CBA"/>
    <w:rsid w:val="00BA0177"/>
    <w:rsid w:val="00BA715D"/>
    <w:rsid w:val="00BB0588"/>
    <w:rsid w:val="00BB29F2"/>
    <w:rsid w:val="00BB2A68"/>
    <w:rsid w:val="00BB755D"/>
    <w:rsid w:val="00BC0033"/>
    <w:rsid w:val="00BC2BBB"/>
    <w:rsid w:val="00BC3459"/>
    <w:rsid w:val="00BC6A8E"/>
    <w:rsid w:val="00BC7222"/>
    <w:rsid w:val="00BC730A"/>
    <w:rsid w:val="00BD219F"/>
    <w:rsid w:val="00BD32BB"/>
    <w:rsid w:val="00BD3945"/>
    <w:rsid w:val="00BD50A1"/>
    <w:rsid w:val="00BD6D1D"/>
    <w:rsid w:val="00BE259C"/>
    <w:rsid w:val="00BE330E"/>
    <w:rsid w:val="00BE588F"/>
    <w:rsid w:val="00BE7FF8"/>
    <w:rsid w:val="00BF4FB0"/>
    <w:rsid w:val="00BF5736"/>
    <w:rsid w:val="00BF7653"/>
    <w:rsid w:val="00C011BD"/>
    <w:rsid w:val="00C02AAD"/>
    <w:rsid w:val="00C03394"/>
    <w:rsid w:val="00C0356A"/>
    <w:rsid w:val="00C060D9"/>
    <w:rsid w:val="00C0704F"/>
    <w:rsid w:val="00C10680"/>
    <w:rsid w:val="00C11649"/>
    <w:rsid w:val="00C14642"/>
    <w:rsid w:val="00C14A9B"/>
    <w:rsid w:val="00C16ADE"/>
    <w:rsid w:val="00C206D1"/>
    <w:rsid w:val="00C35653"/>
    <w:rsid w:val="00C37EEC"/>
    <w:rsid w:val="00C41EAC"/>
    <w:rsid w:val="00C50CE7"/>
    <w:rsid w:val="00C51FFC"/>
    <w:rsid w:val="00C52E4F"/>
    <w:rsid w:val="00C55985"/>
    <w:rsid w:val="00C63B49"/>
    <w:rsid w:val="00C64EEF"/>
    <w:rsid w:val="00C7165E"/>
    <w:rsid w:val="00C738B6"/>
    <w:rsid w:val="00C75530"/>
    <w:rsid w:val="00C759EB"/>
    <w:rsid w:val="00C76A71"/>
    <w:rsid w:val="00C81435"/>
    <w:rsid w:val="00C8286A"/>
    <w:rsid w:val="00C83252"/>
    <w:rsid w:val="00C856CC"/>
    <w:rsid w:val="00C86758"/>
    <w:rsid w:val="00C86BC7"/>
    <w:rsid w:val="00C87F01"/>
    <w:rsid w:val="00C904E2"/>
    <w:rsid w:val="00C92DEF"/>
    <w:rsid w:val="00C93A36"/>
    <w:rsid w:val="00C97EA7"/>
    <w:rsid w:val="00CA0697"/>
    <w:rsid w:val="00CA3F50"/>
    <w:rsid w:val="00CA6069"/>
    <w:rsid w:val="00CB04C4"/>
    <w:rsid w:val="00CB292A"/>
    <w:rsid w:val="00CB44CB"/>
    <w:rsid w:val="00CB560F"/>
    <w:rsid w:val="00CB5A5F"/>
    <w:rsid w:val="00CC2269"/>
    <w:rsid w:val="00CC2F74"/>
    <w:rsid w:val="00CC30D9"/>
    <w:rsid w:val="00CC3C38"/>
    <w:rsid w:val="00CC3E85"/>
    <w:rsid w:val="00CC4AF5"/>
    <w:rsid w:val="00CC6094"/>
    <w:rsid w:val="00CD3F5E"/>
    <w:rsid w:val="00CD675E"/>
    <w:rsid w:val="00CE023D"/>
    <w:rsid w:val="00CE36F4"/>
    <w:rsid w:val="00CE58A7"/>
    <w:rsid w:val="00CF02B2"/>
    <w:rsid w:val="00CF03F2"/>
    <w:rsid w:val="00CF1CEE"/>
    <w:rsid w:val="00CF5654"/>
    <w:rsid w:val="00D022E6"/>
    <w:rsid w:val="00D0276B"/>
    <w:rsid w:val="00D02C2E"/>
    <w:rsid w:val="00D044DB"/>
    <w:rsid w:val="00D05956"/>
    <w:rsid w:val="00D07F7A"/>
    <w:rsid w:val="00D1029A"/>
    <w:rsid w:val="00D13963"/>
    <w:rsid w:val="00D167AA"/>
    <w:rsid w:val="00D171A9"/>
    <w:rsid w:val="00D22529"/>
    <w:rsid w:val="00D23D32"/>
    <w:rsid w:val="00D30464"/>
    <w:rsid w:val="00D33B34"/>
    <w:rsid w:val="00D33CF8"/>
    <w:rsid w:val="00D3699E"/>
    <w:rsid w:val="00D42572"/>
    <w:rsid w:val="00D45D77"/>
    <w:rsid w:val="00D46BD7"/>
    <w:rsid w:val="00D4727D"/>
    <w:rsid w:val="00D50C56"/>
    <w:rsid w:val="00D51A14"/>
    <w:rsid w:val="00D5233D"/>
    <w:rsid w:val="00D534C3"/>
    <w:rsid w:val="00D53EC5"/>
    <w:rsid w:val="00D56D3A"/>
    <w:rsid w:val="00D607E2"/>
    <w:rsid w:val="00D6128F"/>
    <w:rsid w:val="00D6179A"/>
    <w:rsid w:val="00D66DA7"/>
    <w:rsid w:val="00D66E55"/>
    <w:rsid w:val="00D679F0"/>
    <w:rsid w:val="00D67DE9"/>
    <w:rsid w:val="00D70A7B"/>
    <w:rsid w:val="00D8190F"/>
    <w:rsid w:val="00D86273"/>
    <w:rsid w:val="00D8763B"/>
    <w:rsid w:val="00D91B14"/>
    <w:rsid w:val="00D94CEF"/>
    <w:rsid w:val="00D95DD6"/>
    <w:rsid w:val="00D96216"/>
    <w:rsid w:val="00D9794B"/>
    <w:rsid w:val="00DA04A3"/>
    <w:rsid w:val="00DA32EF"/>
    <w:rsid w:val="00DA5FB1"/>
    <w:rsid w:val="00DB02F3"/>
    <w:rsid w:val="00DB05C0"/>
    <w:rsid w:val="00DB2030"/>
    <w:rsid w:val="00DB2491"/>
    <w:rsid w:val="00DB3B1F"/>
    <w:rsid w:val="00DB5E75"/>
    <w:rsid w:val="00DB7097"/>
    <w:rsid w:val="00DC2976"/>
    <w:rsid w:val="00DC6973"/>
    <w:rsid w:val="00DD01B6"/>
    <w:rsid w:val="00DD0CD1"/>
    <w:rsid w:val="00DD33CF"/>
    <w:rsid w:val="00DD3425"/>
    <w:rsid w:val="00DD3453"/>
    <w:rsid w:val="00DE24C6"/>
    <w:rsid w:val="00DE3703"/>
    <w:rsid w:val="00DE417D"/>
    <w:rsid w:val="00DE44EC"/>
    <w:rsid w:val="00DE464A"/>
    <w:rsid w:val="00DE591D"/>
    <w:rsid w:val="00DE64F1"/>
    <w:rsid w:val="00DF6370"/>
    <w:rsid w:val="00DF6FC2"/>
    <w:rsid w:val="00E00A82"/>
    <w:rsid w:val="00E03A58"/>
    <w:rsid w:val="00E054DB"/>
    <w:rsid w:val="00E07E90"/>
    <w:rsid w:val="00E11251"/>
    <w:rsid w:val="00E13195"/>
    <w:rsid w:val="00E14862"/>
    <w:rsid w:val="00E157C4"/>
    <w:rsid w:val="00E22F9A"/>
    <w:rsid w:val="00E2677C"/>
    <w:rsid w:val="00E279FE"/>
    <w:rsid w:val="00E30776"/>
    <w:rsid w:val="00E31B73"/>
    <w:rsid w:val="00E32E0D"/>
    <w:rsid w:val="00E34913"/>
    <w:rsid w:val="00E34E04"/>
    <w:rsid w:val="00E34F5D"/>
    <w:rsid w:val="00E3502D"/>
    <w:rsid w:val="00E35038"/>
    <w:rsid w:val="00E36815"/>
    <w:rsid w:val="00E36F9A"/>
    <w:rsid w:val="00E401F3"/>
    <w:rsid w:val="00E40978"/>
    <w:rsid w:val="00E4170F"/>
    <w:rsid w:val="00E421FB"/>
    <w:rsid w:val="00E444E8"/>
    <w:rsid w:val="00E46865"/>
    <w:rsid w:val="00E4758E"/>
    <w:rsid w:val="00E50933"/>
    <w:rsid w:val="00E52326"/>
    <w:rsid w:val="00E556F2"/>
    <w:rsid w:val="00E55D5D"/>
    <w:rsid w:val="00E573B0"/>
    <w:rsid w:val="00E5769E"/>
    <w:rsid w:val="00E65050"/>
    <w:rsid w:val="00E655D2"/>
    <w:rsid w:val="00E66A66"/>
    <w:rsid w:val="00E66F62"/>
    <w:rsid w:val="00E71834"/>
    <w:rsid w:val="00E76BB2"/>
    <w:rsid w:val="00E77572"/>
    <w:rsid w:val="00E816FA"/>
    <w:rsid w:val="00E87506"/>
    <w:rsid w:val="00E90480"/>
    <w:rsid w:val="00E91C61"/>
    <w:rsid w:val="00E924CB"/>
    <w:rsid w:val="00E92D19"/>
    <w:rsid w:val="00E94E52"/>
    <w:rsid w:val="00E9559B"/>
    <w:rsid w:val="00E95740"/>
    <w:rsid w:val="00E95B27"/>
    <w:rsid w:val="00E9665A"/>
    <w:rsid w:val="00E96824"/>
    <w:rsid w:val="00E96DCB"/>
    <w:rsid w:val="00E97E8B"/>
    <w:rsid w:val="00EA5619"/>
    <w:rsid w:val="00EA5899"/>
    <w:rsid w:val="00EA6E4D"/>
    <w:rsid w:val="00EB48C6"/>
    <w:rsid w:val="00EB6B96"/>
    <w:rsid w:val="00EB7FF4"/>
    <w:rsid w:val="00EC3F77"/>
    <w:rsid w:val="00EC3F83"/>
    <w:rsid w:val="00EC5D94"/>
    <w:rsid w:val="00EC61EE"/>
    <w:rsid w:val="00ED08CD"/>
    <w:rsid w:val="00ED109D"/>
    <w:rsid w:val="00ED38EE"/>
    <w:rsid w:val="00ED3BB8"/>
    <w:rsid w:val="00EE0052"/>
    <w:rsid w:val="00EE09B1"/>
    <w:rsid w:val="00EE0E43"/>
    <w:rsid w:val="00EE2F6A"/>
    <w:rsid w:val="00EE5759"/>
    <w:rsid w:val="00EE78E1"/>
    <w:rsid w:val="00EF3343"/>
    <w:rsid w:val="00EF436E"/>
    <w:rsid w:val="00F00AAB"/>
    <w:rsid w:val="00F00AEF"/>
    <w:rsid w:val="00F04631"/>
    <w:rsid w:val="00F0565F"/>
    <w:rsid w:val="00F0579C"/>
    <w:rsid w:val="00F1060B"/>
    <w:rsid w:val="00F11652"/>
    <w:rsid w:val="00F14249"/>
    <w:rsid w:val="00F14CD9"/>
    <w:rsid w:val="00F15F8E"/>
    <w:rsid w:val="00F20DD0"/>
    <w:rsid w:val="00F20E05"/>
    <w:rsid w:val="00F271C7"/>
    <w:rsid w:val="00F41440"/>
    <w:rsid w:val="00F43A21"/>
    <w:rsid w:val="00F44EA2"/>
    <w:rsid w:val="00F45A8E"/>
    <w:rsid w:val="00F4661A"/>
    <w:rsid w:val="00F47312"/>
    <w:rsid w:val="00F553CC"/>
    <w:rsid w:val="00F55984"/>
    <w:rsid w:val="00F55E99"/>
    <w:rsid w:val="00F563FB"/>
    <w:rsid w:val="00F57127"/>
    <w:rsid w:val="00F57F0F"/>
    <w:rsid w:val="00F57FF6"/>
    <w:rsid w:val="00F71F4C"/>
    <w:rsid w:val="00F72117"/>
    <w:rsid w:val="00F7245F"/>
    <w:rsid w:val="00F72F00"/>
    <w:rsid w:val="00F7349F"/>
    <w:rsid w:val="00F76E96"/>
    <w:rsid w:val="00F836ED"/>
    <w:rsid w:val="00F83C10"/>
    <w:rsid w:val="00F86979"/>
    <w:rsid w:val="00F90ECE"/>
    <w:rsid w:val="00F94F11"/>
    <w:rsid w:val="00F952A1"/>
    <w:rsid w:val="00F97021"/>
    <w:rsid w:val="00FA19DA"/>
    <w:rsid w:val="00FA2A46"/>
    <w:rsid w:val="00FB1D64"/>
    <w:rsid w:val="00FB4939"/>
    <w:rsid w:val="00FB53BF"/>
    <w:rsid w:val="00FC5A6A"/>
    <w:rsid w:val="00FC7525"/>
    <w:rsid w:val="00FC7C10"/>
    <w:rsid w:val="00FD1B9E"/>
    <w:rsid w:val="00FD4877"/>
    <w:rsid w:val="00FD6892"/>
    <w:rsid w:val="00FD706F"/>
    <w:rsid w:val="00FD7567"/>
    <w:rsid w:val="00FE2391"/>
    <w:rsid w:val="00FE2C55"/>
    <w:rsid w:val="00FE4B32"/>
    <w:rsid w:val="00FE61FC"/>
    <w:rsid w:val="00FE7552"/>
    <w:rsid w:val="00FF4112"/>
    <w:rsid w:val="00FF530C"/>
    <w:rsid w:val="00FF5A4F"/>
    <w:rsid w:val="00FF6B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3CF3"/>
  <w15:chartTrackingRefBased/>
  <w15:docId w15:val="{CBB5EB9B-F788-A94D-8955-95DAD98B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73D"/>
    <w:rPr>
      <w:lang w:val="en-GB"/>
    </w:rPr>
  </w:style>
  <w:style w:type="paragraph" w:styleId="Heading1">
    <w:name w:val="heading 1"/>
    <w:basedOn w:val="Normal"/>
    <w:next w:val="Normal"/>
    <w:link w:val="Heading1Char"/>
    <w:uiPriority w:val="9"/>
    <w:qFormat/>
    <w:rsid w:val="00A42B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42B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42B3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42B3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42B3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42B3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73D"/>
    <w:pPr>
      <w:ind w:left="720"/>
      <w:contextualSpacing/>
    </w:pPr>
  </w:style>
  <w:style w:type="paragraph" w:styleId="Header">
    <w:name w:val="header"/>
    <w:basedOn w:val="Normal"/>
    <w:link w:val="HeaderChar"/>
    <w:uiPriority w:val="99"/>
    <w:unhideWhenUsed/>
    <w:rsid w:val="000D09D7"/>
    <w:pPr>
      <w:tabs>
        <w:tab w:val="center" w:pos="4513"/>
        <w:tab w:val="right" w:pos="9026"/>
      </w:tabs>
    </w:pPr>
  </w:style>
  <w:style w:type="character" w:customStyle="1" w:styleId="HeaderChar">
    <w:name w:val="Header Char"/>
    <w:basedOn w:val="DefaultParagraphFont"/>
    <w:link w:val="Header"/>
    <w:uiPriority w:val="99"/>
    <w:rsid w:val="000D09D7"/>
    <w:rPr>
      <w:lang w:val="en-GB"/>
    </w:rPr>
  </w:style>
  <w:style w:type="paragraph" w:styleId="Footer">
    <w:name w:val="footer"/>
    <w:basedOn w:val="Normal"/>
    <w:link w:val="FooterChar"/>
    <w:uiPriority w:val="99"/>
    <w:unhideWhenUsed/>
    <w:rsid w:val="000D09D7"/>
    <w:pPr>
      <w:tabs>
        <w:tab w:val="center" w:pos="4513"/>
        <w:tab w:val="right" w:pos="9026"/>
      </w:tabs>
    </w:pPr>
  </w:style>
  <w:style w:type="character" w:customStyle="1" w:styleId="FooterChar">
    <w:name w:val="Footer Char"/>
    <w:basedOn w:val="DefaultParagraphFont"/>
    <w:link w:val="Footer"/>
    <w:uiPriority w:val="99"/>
    <w:rsid w:val="000D09D7"/>
    <w:rPr>
      <w:lang w:val="en-GB"/>
    </w:rPr>
  </w:style>
  <w:style w:type="character" w:styleId="Hyperlink">
    <w:name w:val="Hyperlink"/>
    <w:uiPriority w:val="99"/>
    <w:unhideWhenUsed/>
    <w:rsid w:val="00A42B32"/>
    <w:rPr>
      <w:color w:val="0000FF"/>
      <w:u w:val="single"/>
    </w:rPr>
  </w:style>
  <w:style w:type="paragraph" w:customStyle="1" w:styleId="BGHeading1AltQ">
    <w:name w:val="BGHeading1 Alt+Q"/>
    <w:basedOn w:val="Heading1"/>
    <w:rsid w:val="00A42B32"/>
    <w:pPr>
      <w:keepNext w:val="0"/>
      <w:keepLines w:val="0"/>
      <w:numPr>
        <w:numId w:val="3"/>
      </w:numPr>
      <w:tabs>
        <w:tab w:val="clear" w:pos="720"/>
        <w:tab w:val="num" w:pos="360"/>
      </w:tabs>
      <w:spacing w:before="0" w:line="360" w:lineRule="auto"/>
      <w:ind w:left="0" w:firstLine="0"/>
      <w:jc w:val="both"/>
    </w:pPr>
    <w:rPr>
      <w:rFonts w:ascii="Arial" w:eastAsia="Times New Roman" w:hAnsi="Arial" w:cs="Arial"/>
      <w:bCs/>
      <w:color w:val="auto"/>
      <w:kern w:val="32"/>
      <w:sz w:val="22"/>
      <w:szCs w:val="22"/>
      <w:lang w:val="en-ZA"/>
    </w:rPr>
  </w:style>
  <w:style w:type="paragraph" w:customStyle="1" w:styleId="BGHeading2AltA">
    <w:name w:val="BGHeading2 Alt+A"/>
    <w:basedOn w:val="Heading2"/>
    <w:rsid w:val="00A42B32"/>
    <w:pPr>
      <w:keepNext w:val="0"/>
      <w:keepLines w:val="0"/>
      <w:widowControl w:val="0"/>
      <w:numPr>
        <w:ilvl w:val="1"/>
        <w:numId w:val="3"/>
      </w:numPr>
      <w:tabs>
        <w:tab w:val="clear" w:pos="1440"/>
        <w:tab w:val="num" w:pos="360"/>
      </w:tabs>
      <w:spacing w:before="0" w:line="360" w:lineRule="auto"/>
      <w:ind w:left="0" w:hanging="360"/>
      <w:jc w:val="both"/>
    </w:pPr>
    <w:rPr>
      <w:rFonts w:ascii="Arial" w:eastAsia="Times New Roman" w:hAnsi="Arial" w:cs="Arial"/>
      <w:bCs/>
      <w:iCs/>
      <w:color w:val="auto"/>
      <w:sz w:val="22"/>
      <w:szCs w:val="22"/>
      <w:lang w:val="en-ZA"/>
    </w:rPr>
  </w:style>
  <w:style w:type="paragraph" w:customStyle="1" w:styleId="BGHeading3AltZ">
    <w:name w:val="BGHeading3 Alt+Z"/>
    <w:basedOn w:val="Heading3"/>
    <w:rsid w:val="00A42B32"/>
    <w:pPr>
      <w:keepNext w:val="0"/>
      <w:keepLines w:val="0"/>
      <w:widowControl w:val="0"/>
      <w:numPr>
        <w:ilvl w:val="2"/>
        <w:numId w:val="3"/>
      </w:numPr>
      <w:tabs>
        <w:tab w:val="clear" w:pos="2160"/>
        <w:tab w:val="num" w:pos="360"/>
      </w:tabs>
      <w:spacing w:before="0" w:line="360" w:lineRule="auto"/>
      <w:ind w:left="0" w:hanging="180"/>
      <w:jc w:val="both"/>
    </w:pPr>
    <w:rPr>
      <w:rFonts w:ascii="Arial" w:eastAsia="Times New Roman" w:hAnsi="Arial" w:cs="Arial"/>
      <w:bCs/>
      <w:color w:val="auto"/>
      <w:sz w:val="22"/>
      <w:szCs w:val="22"/>
      <w:lang w:val="en-ZA"/>
    </w:rPr>
  </w:style>
  <w:style w:type="paragraph" w:customStyle="1" w:styleId="BGHeading4AltX">
    <w:name w:val="BGHeading4 Alt+X"/>
    <w:basedOn w:val="Heading4"/>
    <w:next w:val="Footer"/>
    <w:rsid w:val="00A42B32"/>
    <w:pPr>
      <w:keepNext w:val="0"/>
      <w:keepLines w:val="0"/>
      <w:widowControl w:val="0"/>
      <w:numPr>
        <w:ilvl w:val="3"/>
        <w:numId w:val="3"/>
      </w:numPr>
      <w:tabs>
        <w:tab w:val="clear" w:pos="2880"/>
        <w:tab w:val="num" w:pos="360"/>
      </w:tabs>
      <w:spacing w:before="0" w:line="360" w:lineRule="auto"/>
      <w:ind w:left="0" w:hanging="360"/>
      <w:jc w:val="both"/>
    </w:pPr>
    <w:rPr>
      <w:rFonts w:ascii="Arial" w:eastAsia="Times New Roman" w:hAnsi="Arial" w:cs="Times New Roman"/>
      <w:bCs/>
      <w:i w:val="0"/>
      <w:iCs w:val="0"/>
      <w:color w:val="auto"/>
      <w:sz w:val="22"/>
      <w:szCs w:val="22"/>
      <w:lang w:val="en-ZA"/>
    </w:rPr>
  </w:style>
  <w:style w:type="paragraph" w:customStyle="1" w:styleId="BGHeading5AltC">
    <w:name w:val="BGHeading5 Alt+C"/>
    <w:basedOn w:val="Heading5"/>
    <w:rsid w:val="00A42B32"/>
    <w:pPr>
      <w:keepNext w:val="0"/>
      <w:keepLines w:val="0"/>
      <w:widowControl w:val="0"/>
      <w:numPr>
        <w:ilvl w:val="4"/>
        <w:numId w:val="3"/>
      </w:numPr>
      <w:tabs>
        <w:tab w:val="clear" w:pos="3600"/>
        <w:tab w:val="num" w:pos="360"/>
      </w:tabs>
      <w:spacing w:before="0" w:line="360" w:lineRule="auto"/>
      <w:ind w:left="0" w:hanging="360"/>
      <w:jc w:val="both"/>
    </w:pPr>
    <w:rPr>
      <w:rFonts w:ascii="Arial" w:eastAsia="Times New Roman" w:hAnsi="Arial" w:cs="Times New Roman"/>
      <w:bCs/>
      <w:iCs/>
      <w:color w:val="auto"/>
      <w:sz w:val="22"/>
      <w:szCs w:val="22"/>
      <w:lang w:val="en-ZA"/>
    </w:rPr>
  </w:style>
  <w:style w:type="paragraph" w:customStyle="1" w:styleId="BGHeading6AltV">
    <w:name w:val="BGHeading6 Alt+V"/>
    <w:basedOn w:val="Heading6"/>
    <w:next w:val="List3"/>
    <w:rsid w:val="00A42B32"/>
    <w:pPr>
      <w:keepNext w:val="0"/>
      <w:keepLines w:val="0"/>
      <w:numPr>
        <w:ilvl w:val="5"/>
        <w:numId w:val="3"/>
      </w:numPr>
      <w:tabs>
        <w:tab w:val="clear" w:pos="4321"/>
        <w:tab w:val="num" w:pos="360"/>
      </w:tabs>
      <w:spacing w:before="0" w:line="360" w:lineRule="auto"/>
      <w:ind w:left="4320" w:hanging="180"/>
    </w:pPr>
    <w:rPr>
      <w:rFonts w:ascii="Arial" w:eastAsia="Times New Roman" w:hAnsi="Arial" w:cs="Times New Roman"/>
      <w:bCs/>
      <w:color w:val="auto"/>
      <w:sz w:val="22"/>
      <w:szCs w:val="22"/>
      <w:lang w:val="en-ZA"/>
    </w:rPr>
  </w:style>
  <w:style w:type="character" w:customStyle="1" w:styleId="Heading1Char">
    <w:name w:val="Heading 1 Char"/>
    <w:basedOn w:val="DefaultParagraphFont"/>
    <w:link w:val="Heading1"/>
    <w:uiPriority w:val="9"/>
    <w:rsid w:val="00A42B32"/>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A42B32"/>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A42B32"/>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uiPriority w:val="9"/>
    <w:semiHidden/>
    <w:rsid w:val="00A42B32"/>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A42B32"/>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A42B32"/>
    <w:rPr>
      <w:rFonts w:asciiTheme="majorHAnsi" w:eastAsiaTheme="majorEastAsia" w:hAnsiTheme="majorHAnsi" w:cstheme="majorBidi"/>
      <w:color w:val="1F3763" w:themeColor="accent1" w:themeShade="7F"/>
      <w:lang w:val="en-GB"/>
    </w:rPr>
  </w:style>
  <w:style w:type="paragraph" w:styleId="List3">
    <w:name w:val="List 3"/>
    <w:basedOn w:val="Normal"/>
    <w:uiPriority w:val="99"/>
    <w:semiHidden/>
    <w:unhideWhenUsed/>
    <w:rsid w:val="00A42B32"/>
    <w:pPr>
      <w:ind w:left="849" w:hanging="283"/>
      <w:contextualSpacing/>
    </w:pPr>
  </w:style>
  <w:style w:type="paragraph" w:styleId="FootnoteText">
    <w:name w:val="footnote text"/>
    <w:aliases w:val="Footnote Text Char1,Footnote Text Char Char,Footnote Text Char1 Char,Footnote Text Char Char Char,Footnote Text Char Char1,Char,Footnote Text Char2,Footnote Text Char2 Char1 Char Char Char,Footnote Text Char1 Char1 Char1 Char Char Ch,Fo,fn"/>
    <w:basedOn w:val="Normal"/>
    <w:link w:val="FootnoteTextChar"/>
    <w:uiPriority w:val="99"/>
    <w:unhideWhenUsed/>
    <w:qFormat/>
    <w:rsid w:val="00465BAB"/>
    <w:pPr>
      <w:jc w:val="both"/>
    </w:pPr>
    <w:rPr>
      <w:rFonts w:ascii="Times New Roman" w:hAnsi="Times New Roman"/>
      <w:kern w:val="32"/>
      <w:sz w:val="20"/>
      <w:szCs w:val="20"/>
      <w:lang w:val="en-US"/>
    </w:rPr>
  </w:style>
  <w:style w:type="character" w:customStyle="1" w:styleId="FootnoteTextChar">
    <w:name w:val="Footnote Text Char"/>
    <w:aliases w:val="Footnote Text Char1 Char1,Footnote Text Char Char Char1,Footnote Text Char1 Char Char,Footnote Text Char Char Char Char,Footnote Text Char Char1 Char,Char Char,Footnote Text Char2 Char,Footnote Text Char2 Char1 Char Char Char Char"/>
    <w:basedOn w:val="DefaultParagraphFont"/>
    <w:link w:val="FootnoteText"/>
    <w:uiPriority w:val="99"/>
    <w:rsid w:val="00465BAB"/>
    <w:rPr>
      <w:rFonts w:ascii="Times New Roman" w:hAnsi="Times New Roman"/>
      <w:kern w:val="32"/>
      <w:sz w:val="20"/>
      <w:szCs w:val="20"/>
      <w:lang w:val="en-US"/>
    </w:rPr>
  </w:style>
  <w:style w:type="character" w:styleId="FootnoteReference">
    <w:name w:val="footnote reference"/>
    <w:aliases w:val="Ref,de nota al pie,註腳內容"/>
    <w:basedOn w:val="DefaultParagraphFont"/>
    <w:uiPriority w:val="99"/>
    <w:unhideWhenUsed/>
    <w:qFormat/>
    <w:rsid w:val="00465BAB"/>
    <w:rPr>
      <w:vertAlign w:val="superscript"/>
    </w:rPr>
  </w:style>
  <w:style w:type="character" w:customStyle="1" w:styleId="mc">
    <w:name w:val="mc"/>
    <w:basedOn w:val="DefaultParagraphFont"/>
    <w:rsid w:val="00B518A7"/>
  </w:style>
  <w:style w:type="paragraph" w:customStyle="1" w:styleId="Indent">
    <w:name w:val="Indent"/>
    <w:basedOn w:val="Normal"/>
    <w:rsid w:val="00AE0440"/>
    <w:pPr>
      <w:widowControl w:val="0"/>
      <w:numPr>
        <w:numId w:val="9"/>
      </w:numPr>
      <w:spacing w:after="480" w:line="480" w:lineRule="auto"/>
      <w:jc w:val="both"/>
    </w:pPr>
    <w:rPr>
      <w:rFonts w:eastAsia="Times New Roman" w:cs="Times New Roman"/>
      <w:kern w:val="25"/>
      <w:sz w:val="25"/>
      <w:szCs w:val="20"/>
      <w:lang w:eastAsia="en-GB"/>
    </w:rPr>
  </w:style>
  <w:style w:type="paragraph" w:customStyle="1" w:styleId="lrpara">
    <w:name w:val="lrpara"/>
    <w:basedOn w:val="Normal"/>
    <w:rsid w:val="009D15C8"/>
    <w:pPr>
      <w:spacing w:before="100" w:beforeAutospacing="1" w:after="100" w:afterAutospacing="1"/>
    </w:pPr>
    <w:rPr>
      <w:rFonts w:ascii="Times New Roman" w:eastAsia="Times New Roman" w:hAnsi="Times New Roman" w:cs="Times New Roman"/>
      <w:lang w:val="en-ZA" w:eastAsia="en-ZA"/>
    </w:rPr>
  </w:style>
  <w:style w:type="paragraph" w:customStyle="1" w:styleId="pageno">
    <w:name w:val="pageno"/>
    <w:basedOn w:val="Normal"/>
    <w:rsid w:val="009D15C8"/>
    <w:pPr>
      <w:spacing w:before="100" w:beforeAutospacing="1" w:after="100" w:afterAutospacing="1"/>
    </w:pPr>
    <w:rPr>
      <w:rFonts w:ascii="Times New Roman" w:eastAsia="Times New Roman" w:hAnsi="Times New Roman" w:cs="Times New Roman"/>
      <w:lang w:val="en-ZA" w:eastAsia="en-ZA"/>
    </w:rPr>
  </w:style>
  <w:style w:type="paragraph" w:customStyle="1" w:styleId="lrjudgecont">
    <w:name w:val="lrjudgecont"/>
    <w:basedOn w:val="Normal"/>
    <w:rsid w:val="009D15C8"/>
    <w:pPr>
      <w:spacing w:before="100" w:beforeAutospacing="1" w:after="100" w:afterAutospacing="1"/>
    </w:pPr>
    <w:rPr>
      <w:rFonts w:ascii="Times New Roman" w:eastAsia="Times New Roman" w:hAnsi="Times New Roman" w:cs="Times New Roman"/>
      <w:lang w:val="en-ZA" w:eastAsia="en-ZA"/>
    </w:rPr>
  </w:style>
  <w:style w:type="paragraph" w:customStyle="1" w:styleId="western">
    <w:name w:val="western"/>
    <w:basedOn w:val="Normal"/>
    <w:rsid w:val="00532078"/>
    <w:pPr>
      <w:spacing w:before="100" w:beforeAutospacing="1" w:after="100" w:afterAutospacing="1"/>
    </w:pPr>
    <w:rPr>
      <w:rFonts w:ascii="Times New Roman" w:eastAsia="Times New Roman" w:hAnsi="Times New Roman" w:cs="Times New Roman"/>
      <w:lang w:val="en-ZA" w:eastAsia="en-ZA"/>
    </w:rPr>
  </w:style>
  <w:style w:type="character" w:customStyle="1" w:styleId="UnresolvedMention1">
    <w:name w:val="Unresolved Mention1"/>
    <w:basedOn w:val="DefaultParagraphFont"/>
    <w:uiPriority w:val="99"/>
    <w:semiHidden/>
    <w:unhideWhenUsed/>
    <w:rsid w:val="00DD3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51761">
      <w:bodyDiv w:val="1"/>
      <w:marLeft w:val="0"/>
      <w:marRight w:val="0"/>
      <w:marTop w:val="0"/>
      <w:marBottom w:val="0"/>
      <w:divBdr>
        <w:top w:val="none" w:sz="0" w:space="0" w:color="auto"/>
        <w:left w:val="none" w:sz="0" w:space="0" w:color="auto"/>
        <w:bottom w:val="none" w:sz="0" w:space="0" w:color="auto"/>
        <w:right w:val="none" w:sz="0" w:space="0" w:color="auto"/>
      </w:divBdr>
    </w:div>
    <w:div w:id="817041820">
      <w:bodyDiv w:val="1"/>
      <w:marLeft w:val="0"/>
      <w:marRight w:val="0"/>
      <w:marTop w:val="0"/>
      <w:marBottom w:val="0"/>
      <w:divBdr>
        <w:top w:val="none" w:sz="0" w:space="0" w:color="auto"/>
        <w:left w:val="none" w:sz="0" w:space="0" w:color="auto"/>
        <w:bottom w:val="none" w:sz="0" w:space="0" w:color="auto"/>
        <w:right w:val="none" w:sz="0" w:space="0" w:color="auto"/>
      </w:divBdr>
    </w:div>
    <w:div w:id="100705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oren@smiedtlaw.co.za" TargetMode="External"/><Relationship Id="rId4" Type="http://schemas.openxmlformats.org/officeDocument/2006/relationships/settings" Target="settings.xml"/><Relationship Id="rId9" Type="http://schemas.openxmlformats.org/officeDocument/2006/relationships/hyperlink" Target="mailto:alan@smiedtlaw.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B27A0-F76E-482F-A69C-12A8DAB8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22</Pages>
  <Words>4623</Words>
  <Characters>26353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 Mej [20232306@sun.ac.za]</dc:creator>
  <cp:keywords/>
  <dc:description/>
  <cp:lastModifiedBy>Mary Bruce</cp:lastModifiedBy>
  <cp:revision>43</cp:revision>
  <cp:lastPrinted>2022-09-26T12:51:00Z</cp:lastPrinted>
  <dcterms:created xsi:type="dcterms:W3CDTF">2022-09-20T13:35:00Z</dcterms:created>
  <dcterms:modified xsi:type="dcterms:W3CDTF">2022-10-12T12:19:00Z</dcterms:modified>
</cp:coreProperties>
</file>