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D6931" w14:textId="77777777" w:rsidR="00C34727" w:rsidRDefault="00C34727" w:rsidP="00F67B74">
      <w:pPr>
        <w:spacing w:line="360" w:lineRule="auto"/>
        <w:jc w:val="center"/>
        <w:rPr>
          <w:b/>
          <w:bCs/>
          <w:sz w:val="28"/>
          <w:szCs w:val="28"/>
          <w:lang w:val="en-US"/>
        </w:rPr>
      </w:pPr>
    </w:p>
    <w:p w14:paraId="1817FF52" w14:textId="77777777" w:rsidR="00C34727" w:rsidRDefault="00C34727" w:rsidP="00C34727">
      <w:pPr>
        <w:jc w:val="center"/>
        <w:rPr>
          <w:b/>
          <w:bCs/>
          <w:sz w:val="28"/>
          <w:szCs w:val="28"/>
          <w:lang w:val="en-US"/>
        </w:rPr>
      </w:pPr>
      <w:r>
        <w:rPr>
          <w:noProof/>
          <w:color w:val="1F497D"/>
          <w:lang w:eastAsia="en-ZA"/>
        </w:rPr>
        <w:drawing>
          <wp:inline distT="0" distB="0" distL="0" distR="0" wp14:anchorId="16692816" wp14:editId="5B338020">
            <wp:extent cx="1428750" cy="1666875"/>
            <wp:effectExtent l="0" t="0" r="0" b="9525"/>
            <wp:docPr id="1" name="Picture 1" descr="cid:image002.jpg@01D601EF.94105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601EF.94105C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28750" cy="1666875"/>
                    </a:xfrm>
                    <a:prstGeom prst="rect">
                      <a:avLst/>
                    </a:prstGeom>
                    <a:noFill/>
                    <a:ln>
                      <a:noFill/>
                    </a:ln>
                  </pic:spPr>
                </pic:pic>
              </a:graphicData>
            </a:graphic>
          </wp:inline>
        </w:drawing>
      </w:r>
    </w:p>
    <w:p w14:paraId="6BAAB0AC" w14:textId="77777777" w:rsidR="00C34727" w:rsidRPr="00B053E5" w:rsidRDefault="00C34727" w:rsidP="00C34727">
      <w:pPr>
        <w:spacing w:after="0" w:line="360" w:lineRule="auto"/>
        <w:jc w:val="center"/>
        <w:rPr>
          <w:rFonts w:ascii="Arial" w:hAnsi="Arial" w:cs="Arial"/>
          <w:b/>
          <w:bCs/>
          <w:sz w:val="24"/>
          <w:szCs w:val="24"/>
          <w:lang w:val="en-US"/>
        </w:rPr>
      </w:pPr>
      <w:r w:rsidRPr="00B053E5">
        <w:rPr>
          <w:rFonts w:ascii="Arial" w:hAnsi="Arial" w:cs="Arial"/>
          <w:b/>
          <w:bCs/>
          <w:sz w:val="24"/>
          <w:szCs w:val="24"/>
          <w:lang w:val="en-US"/>
        </w:rPr>
        <w:t>IN THE HIGH COURT OF SOUTH AFRICA</w:t>
      </w:r>
    </w:p>
    <w:p w14:paraId="0E48A60E" w14:textId="77777777" w:rsidR="00C34727" w:rsidRPr="00B053E5" w:rsidRDefault="00C34727" w:rsidP="00C34727">
      <w:pPr>
        <w:spacing w:after="0" w:line="360" w:lineRule="auto"/>
        <w:jc w:val="center"/>
        <w:rPr>
          <w:rFonts w:ascii="Arial" w:hAnsi="Arial" w:cs="Arial"/>
          <w:b/>
          <w:bCs/>
          <w:sz w:val="24"/>
          <w:szCs w:val="24"/>
          <w:lang w:val="en-US"/>
        </w:rPr>
      </w:pPr>
      <w:r w:rsidRPr="00B053E5">
        <w:rPr>
          <w:rFonts w:ascii="Arial" w:hAnsi="Arial" w:cs="Arial"/>
          <w:b/>
          <w:bCs/>
          <w:sz w:val="24"/>
          <w:szCs w:val="24"/>
          <w:lang w:val="en-US"/>
        </w:rPr>
        <w:t>(WESTERN CAPE DIVISION, CAPE TOWN)</w:t>
      </w:r>
    </w:p>
    <w:p w14:paraId="14172C66" w14:textId="5A9922B7" w:rsidR="00C34727" w:rsidRPr="0047260D" w:rsidRDefault="0047260D" w:rsidP="00C34727">
      <w:pPr>
        <w:spacing w:after="0" w:line="360" w:lineRule="auto"/>
        <w:jc w:val="right"/>
        <w:rPr>
          <w:rFonts w:ascii="Arial" w:hAnsi="Arial" w:cs="Arial"/>
          <w:b/>
          <w:bCs/>
          <w:sz w:val="24"/>
          <w:szCs w:val="24"/>
          <w:lang w:val="en-US"/>
        </w:rPr>
      </w:pPr>
      <w:r w:rsidRPr="0047260D">
        <w:rPr>
          <w:rFonts w:ascii="Arial" w:hAnsi="Arial" w:cs="Arial"/>
          <w:b/>
          <w:bCs/>
          <w:sz w:val="24"/>
          <w:szCs w:val="24"/>
          <w:lang w:val="en-US"/>
        </w:rPr>
        <w:t>REPORTABLE</w:t>
      </w:r>
    </w:p>
    <w:p w14:paraId="580EF934" w14:textId="384B320A" w:rsidR="00C34727" w:rsidRDefault="00C34727" w:rsidP="00C34727">
      <w:pPr>
        <w:spacing w:after="0" w:line="360" w:lineRule="auto"/>
        <w:jc w:val="right"/>
        <w:rPr>
          <w:rFonts w:ascii="Arial" w:hAnsi="Arial" w:cs="Arial"/>
          <w:bCs/>
          <w:sz w:val="24"/>
          <w:szCs w:val="24"/>
          <w:lang w:val="en-US"/>
        </w:rPr>
      </w:pPr>
      <w:r w:rsidRPr="00B053E5">
        <w:rPr>
          <w:rFonts w:ascii="Arial" w:hAnsi="Arial" w:cs="Arial"/>
          <w:bCs/>
          <w:sz w:val="24"/>
          <w:szCs w:val="24"/>
          <w:lang w:val="en-US"/>
        </w:rPr>
        <w:t xml:space="preserve">Case No: </w:t>
      </w:r>
      <w:r>
        <w:rPr>
          <w:rFonts w:ascii="Arial" w:hAnsi="Arial" w:cs="Arial"/>
          <w:bCs/>
          <w:sz w:val="24"/>
          <w:szCs w:val="24"/>
          <w:lang w:val="en-US"/>
        </w:rPr>
        <w:t>18762/2021</w:t>
      </w:r>
    </w:p>
    <w:p w14:paraId="612648BC" w14:textId="77777777" w:rsidR="00C34727" w:rsidRDefault="00C34727" w:rsidP="00F67B74">
      <w:pPr>
        <w:spacing w:line="360" w:lineRule="auto"/>
        <w:jc w:val="center"/>
        <w:rPr>
          <w:b/>
          <w:bCs/>
          <w:sz w:val="28"/>
          <w:szCs w:val="28"/>
          <w:lang w:val="en-US"/>
        </w:rPr>
      </w:pPr>
      <w:bookmarkStart w:id="0" w:name="_GoBack"/>
      <w:bookmarkEnd w:id="0"/>
    </w:p>
    <w:p w14:paraId="337F9B59" w14:textId="4AACD12F" w:rsidR="00C34727" w:rsidRDefault="00C34727" w:rsidP="0047260D">
      <w:pPr>
        <w:spacing w:line="360" w:lineRule="auto"/>
        <w:rPr>
          <w:b/>
          <w:bCs/>
          <w:sz w:val="28"/>
          <w:szCs w:val="28"/>
          <w:lang w:val="en-US"/>
        </w:rPr>
      </w:pPr>
      <w:r>
        <w:rPr>
          <w:b/>
          <w:bCs/>
          <w:sz w:val="28"/>
          <w:szCs w:val="28"/>
          <w:lang w:val="en-US"/>
        </w:rPr>
        <w:t>FLORENCE MUSANA </w:t>
      </w:r>
      <w:r w:rsidR="006F2585">
        <w:rPr>
          <w:b/>
          <w:bCs/>
          <w:sz w:val="28"/>
          <w:szCs w:val="28"/>
          <w:lang w:val="en-US"/>
        </w:rPr>
        <w:t>NAJJEMBA</w:t>
      </w:r>
      <w:r>
        <w:rPr>
          <w:b/>
          <w:bCs/>
          <w:sz w:val="28"/>
          <w:szCs w:val="28"/>
          <w:lang w:val="en-US"/>
        </w:rPr>
        <w:t xml:space="preserve"> </w:t>
      </w:r>
      <w:r>
        <w:rPr>
          <w:b/>
          <w:bCs/>
          <w:sz w:val="28"/>
          <w:szCs w:val="28"/>
          <w:lang w:val="en-US"/>
        </w:rPr>
        <w:tab/>
      </w:r>
      <w:r>
        <w:rPr>
          <w:b/>
          <w:bCs/>
          <w:sz w:val="28"/>
          <w:szCs w:val="28"/>
          <w:lang w:val="en-US"/>
        </w:rPr>
        <w:tab/>
      </w:r>
      <w:r>
        <w:rPr>
          <w:b/>
          <w:bCs/>
          <w:sz w:val="28"/>
          <w:szCs w:val="28"/>
          <w:lang w:val="en-US"/>
        </w:rPr>
        <w:tab/>
      </w:r>
      <w:r>
        <w:rPr>
          <w:b/>
          <w:bCs/>
          <w:sz w:val="28"/>
          <w:szCs w:val="28"/>
          <w:lang w:val="en-US"/>
        </w:rPr>
        <w:tab/>
      </w:r>
      <w:r w:rsidRPr="0047260D">
        <w:rPr>
          <w:bCs/>
          <w:sz w:val="28"/>
          <w:szCs w:val="28"/>
          <w:lang w:val="en-US"/>
        </w:rPr>
        <w:t>Applicant</w:t>
      </w:r>
    </w:p>
    <w:p w14:paraId="16F982C5" w14:textId="1BAB6F61" w:rsidR="00C34727" w:rsidRPr="0047260D" w:rsidRDefault="00C34727" w:rsidP="0047260D">
      <w:pPr>
        <w:spacing w:line="360" w:lineRule="auto"/>
        <w:rPr>
          <w:bCs/>
          <w:sz w:val="28"/>
          <w:szCs w:val="28"/>
          <w:lang w:val="en-US"/>
        </w:rPr>
      </w:pPr>
      <w:r>
        <w:rPr>
          <w:bCs/>
          <w:sz w:val="28"/>
          <w:szCs w:val="28"/>
          <w:lang w:val="en-US"/>
        </w:rPr>
        <w:t>and</w:t>
      </w:r>
    </w:p>
    <w:p w14:paraId="527CC0E1" w14:textId="384E5EC8" w:rsidR="00C34727" w:rsidRPr="0047260D" w:rsidRDefault="00C34727" w:rsidP="0047260D">
      <w:pPr>
        <w:spacing w:line="360" w:lineRule="auto"/>
        <w:rPr>
          <w:bCs/>
          <w:sz w:val="28"/>
          <w:szCs w:val="28"/>
          <w:lang w:val="en-US"/>
        </w:rPr>
      </w:pPr>
      <w:r>
        <w:rPr>
          <w:b/>
          <w:bCs/>
          <w:sz w:val="28"/>
          <w:szCs w:val="28"/>
          <w:lang w:val="en-US"/>
        </w:rPr>
        <w:t xml:space="preserve">THE </w:t>
      </w:r>
      <w:r w:rsidR="006F2585">
        <w:rPr>
          <w:b/>
          <w:bCs/>
          <w:sz w:val="28"/>
          <w:szCs w:val="28"/>
          <w:lang w:val="en-US"/>
        </w:rPr>
        <w:t>MIN</w:t>
      </w:r>
      <w:r>
        <w:rPr>
          <w:b/>
          <w:bCs/>
          <w:sz w:val="28"/>
          <w:szCs w:val="28"/>
          <w:lang w:val="en-US"/>
        </w:rPr>
        <w:t>ISTER</w:t>
      </w:r>
      <w:r w:rsidR="006F2585">
        <w:rPr>
          <w:b/>
          <w:bCs/>
          <w:sz w:val="28"/>
          <w:szCs w:val="28"/>
          <w:lang w:val="en-US"/>
        </w:rPr>
        <w:t xml:space="preserve"> OF HOME AFFAIRS </w:t>
      </w:r>
      <w:r>
        <w:rPr>
          <w:b/>
          <w:bCs/>
          <w:sz w:val="28"/>
          <w:szCs w:val="28"/>
          <w:lang w:val="en-US"/>
        </w:rPr>
        <w:tab/>
      </w:r>
      <w:r>
        <w:rPr>
          <w:b/>
          <w:bCs/>
          <w:sz w:val="28"/>
          <w:szCs w:val="28"/>
          <w:lang w:val="en-US"/>
        </w:rPr>
        <w:tab/>
      </w:r>
      <w:r>
        <w:rPr>
          <w:b/>
          <w:bCs/>
          <w:sz w:val="28"/>
          <w:szCs w:val="28"/>
          <w:lang w:val="en-US"/>
        </w:rPr>
        <w:tab/>
      </w:r>
      <w:r>
        <w:rPr>
          <w:b/>
          <w:bCs/>
          <w:sz w:val="28"/>
          <w:szCs w:val="28"/>
          <w:lang w:val="en-US"/>
        </w:rPr>
        <w:tab/>
      </w:r>
      <w:r w:rsidRPr="0047260D">
        <w:rPr>
          <w:bCs/>
          <w:sz w:val="28"/>
          <w:szCs w:val="28"/>
          <w:lang w:val="en-US"/>
        </w:rPr>
        <w:t>First Respondent</w:t>
      </w:r>
    </w:p>
    <w:p w14:paraId="2421D8E0" w14:textId="54641FA6" w:rsidR="00C34727" w:rsidRDefault="00C34727" w:rsidP="0047260D">
      <w:pPr>
        <w:spacing w:line="360" w:lineRule="auto"/>
        <w:rPr>
          <w:bCs/>
          <w:sz w:val="28"/>
          <w:szCs w:val="28"/>
          <w:lang w:val="en-US"/>
        </w:rPr>
      </w:pPr>
      <w:r>
        <w:rPr>
          <w:b/>
          <w:bCs/>
          <w:sz w:val="28"/>
          <w:szCs w:val="28"/>
          <w:lang w:val="en-US"/>
        </w:rPr>
        <w:t>THE DIRECTOR-GENERAL: HOME AFFAIRS</w:t>
      </w:r>
      <w:r>
        <w:rPr>
          <w:b/>
          <w:bCs/>
          <w:sz w:val="28"/>
          <w:szCs w:val="28"/>
          <w:lang w:val="en-US"/>
        </w:rPr>
        <w:tab/>
      </w:r>
      <w:r>
        <w:rPr>
          <w:b/>
          <w:bCs/>
          <w:sz w:val="28"/>
          <w:szCs w:val="28"/>
          <w:lang w:val="en-US"/>
        </w:rPr>
        <w:tab/>
      </w:r>
      <w:r>
        <w:rPr>
          <w:b/>
          <w:bCs/>
          <w:sz w:val="28"/>
          <w:szCs w:val="28"/>
          <w:lang w:val="en-US"/>
        </w:rPr>
        <w:tab/>
      </w:r>
      <w:r w:rsidRPr="0047260D">
        <w:rPr>
          <w:bCs/>
          <w:sz w:val="28"/>
          <w:szCs w:val="28"/>
          <w:lang w:val="en-US"/>
        </w:rPr>
        <w:t>Second Respondent</w:t>
      </w:r>
    </w:p>
    <w:p w14:paraId="201F08E9" w14:textId="5EA505A1" w:rsidR="00440F16" w:rsidRDefault="00440F16" w:rsidP="00440F16">
      <w:pPr>
        <w:spacing w:line="240" w:lineRule="auto"/>
        <w:rPr>
          <w:bCs/>
          <w:sz w:val="28"/>
          <w:szCs w:val="28"/>
          <w:lang w:val="en-US"/>
        </w:rPr>
      </w:pPr>
      <w:r>
        <w:rPr>
          <w:bCs/>
          <w:sz w:val="28"/>
          <w:szCs w:val="28"/>
          <w:lang w:val="en-US"/>
        </w:rPr>
        <w:t>Date of hearing:</w:t>
      </w:r>
      <w:r>
        <w:rPr>
          <w:bCs/>
          <w:sz w:val="28"/>
          <w:szCs w:val="28"/>
          <w:lang w:val="en-US"/>
        </w:rPr>
        <w:tab/>
        <w:t>4 August 2022</w:t>
      </w:r>
    </w:p>
    <w:p w14:paraId="7BD5D271" w14:textId="7E78B677" w:rsidR="00440F16" w:rsidRDefault="00440F16" w:rsidP="00440F16">
      <w:pPr>
        <w:spacing w:line="240" w:lineRule="auto"/>
        <w:rPr>
          <w:b/>
          <w:bCs/>
          <w:sz w:val="28"/>
          <w:szCs w:val="28"/>
          <w:lang w:val="en-US"/>
        </w:rPr>
      </w:pPr>
      <w:r>
        <w:rPr>
          <w:bCs/>
          <w:sz w:val="28"/>
          <w:szCs w:val="28"/>
          <w:lang w:val="en-US"/>
        </w:rPr>
        <w:t>Date of judgment:</w:t>
      </w:r>
      <w:r>
        <w:rPr>
          <w:bCs/>
          <w:sz w:val="28"/>
          <w:szCs w:val="28"/>
          <w:lang w:val="en-US"/>
        </w:rPr>
        <w:tab/>
        <w:t>13 October 2022</w:t>
      </w:r>
    </w:p>
    <w:p w14:paraId="2D10AE15" w14:textId="051330FB" w:rsidR="00C34727" w:rsidRDefault="00C34727" w:rsidP="0047260D">
      <w:pPr>
        <w:spacing w:line="240" w:lineRule="auto"/>
        <w:rPr>
          <w:sz w:val="28"/>
          <w:szCs w:val="28"/>
          <w:lang w:val="en-US"/>
        </w:rPr>
      </w:pPr>
      <w:r w:rsidRPr="0047260D">
        <w:rPr>
          <w:bCs/>
          <w:sz w:val="28"/>
          <w:szCs w:val="28"/>
          <w:lang w:val="en-US"/>
        </w:rPr>
        <w:t>________________________________________________________________</w:t>
      </w:r>
    </w:p>
    <w:p w14:paraId="4F381561" w14:textId="1E7BAC13" w:rsidR="00C34727" w:rsidRDefault="00C34727" w:rsidP="0047260D">
      <w:pPr>
        <w:spacing w:line="240" w:lineRule="auto"/>
        <w:jc w:val="center"/>
        <w:rPr>
          <w:b/>
          <w:sz w:val="28"/>
          <w:szCs w:val="28"/>
          <w:lang w:val="en-US"/>
        </w:rPr>
      </w:pPr>
      <w:r>
        <w:rPr>
          <w:b/>
          <w:sz w:val="28"/>
          <w:szCs w:val="28"/>
          <w:lang w:val="en-US"/>
        </w:rPr>
        <w:t>JUDGMENT</w:t>
      </w:r>
      <w:r w:rsidR="00440F16">
        <w:rPr>
          <w:b/>
          <w:sz w:val="28"/>
          <w:szCs w:val="28"/>
          <w:lang w:val="en-US"/>
        </w:rPr>
        <w:t xml:space="preserve"> (HANDED DOWN ELECTRONICALLY)</w:t>
      </w:r>
    </w:p>
    <w:p w14:paraId="55B05851" w14:textId="54098AF9" w:rsidR="00C34727" w:rsidRPr="00C34727" w:rsidRDefault="00C34727" w:rsidP="0047260D">
      <w:pPr>
        <w:spacing w:line="240" w:lineRule="auto"/>
        <w:rPr>
          <w:sz w:val="28"/>
          <w:szCs w:val="28"/>
          <w:lang w:val="en-US"/>
        </w:rPr>
      </w:pPr>
      <w:r>
        <w:rPr>
          <w:sz w:val="28"/>
          <w:szCs w:val="28"/>
          <w:lang w:val="en-US"/>
        </w:rPr>
        <w:t>________________________________________________________________</w:t>
      </w:r>
    </w:p>
    <w:p w14:paraId="64D15423" w14:textId="228EBAF6" w:rsidR="006F2585" w:rsidRPr="00440F16" w:rsidRDefault="00440F16" w:rsidP="0047260D">
      <w:pPr>
        <w:spacing w:line="360" w:lineRule="auto"/>
        <w:rPr>
          <w:b/>
          <w:sz w:val="28"/>
          <w:szCs w:val="28"/>
          <w:lang w:val="en-US"/>
        </w:rPr>
      </w:pPr>
      <w:r w:rsidRPr="00440F16">
        <w:rPr>
          <w:b/>
          <w:sz w:val="28"/>
          <w:szCs w:val="28"/>
          <w:lang w:val="en-US"/>
        </w:rPr>
        <w:t>HOCKEY, AJ</w:t>
      </w:r>
    </w:p>
    <w:p w14:paraId="7ED3028D" w14:textId="4C4ABBF0" w:rsidR="00136B61" w:rsidRPr="00136B61" w:rsidRDefault="00136B61" w:rsidP="00F67B74">
      <w:pPr>
        <w:spacing w:line="360" w:lineRule="auto"/>
        <w:rPr>
          <w:b/>
          <w:bCs/>
          <w:sz w:val="28"/>
          <w:szCs w:val="28"/>
          <w:lang w:val="en-US"/>
        </w:rPr>
      </w:pPr>
      <w:r w:rsidRPr="00136B61">
        <w:rPr>
          <w:b/>
          <w:bCs/>
          <w:sz w:val="28"/>
          <w:szCs w:val="28"/>
          <w:lang w:val="en-US"/>
        </w:rPr>
        <w:t>INTRODUCTION</w:t>
      </w:r>
    </w:p>
    <w:p w14:paraId="7454A15C" w14:textId="02414989" w:rsidR="006F2585" w:rsidRDefault="002F276C" w:rsidP="00C34727">
      <w:pPr>
        <w:pStyle w:val="ListParagraph"/>
        <w:numPr>
          <w:ilvl w:val="0"/>
          <w:numId w:val="1"/>
        </w:numPr>
        <w:spacing w:line="360" w:lineRule="auto"/>
        <w:ind w:left="0" w:firstLine="0"/>
        <w:jc w:val="both"/>
        <w:rPr>
          <w:sz w:val="28"/>
          <w:szCs w:val="28"/>
          <w:lang w:val="en-US"/>
        </w:rPr>
      </w:pPr>
      <w:r w:rsidRPr="00B4603D">
        <w:rPr>
          <w:sz w:val="28"/>
          <w:szCs w:val="28"/>
          <w:lang w:val="en-US"/>
        </w:rPr>
        <w:t>The applicant</w:t>
      </w:r>
      <w:r w:rsidR="006D1E55">
        <w:rPr>
          <w:sz w:val="28"/>
          <w:szCs w:val="28"/>
          <w:lang w:val="en-US"/>
        </w:rPr>
        <w:t xml:space="preserve">, </w:t>
      </w:r>
      <w:r w:rsidR="007C23D0">
        <w:rPr>
          <w:sz w:val="28"/>
          <w:szCs w:val="28"/>
          <w:lang w:val="en-US"/>
        </w:rPr>
        <w:t xml:space="preserve">a Ugandan </w:t>
      </w:r>
      <w:r w:rsidR="00205EAF">
        <w:rPr>
          <w:sz w:val="28"/>
          <w:szCs w:val="28"/>
          <w:lang w:val="en-US"/>
        </w:rPr>
        <w:t>national,</w:t>
      </w:r>
      <w:r w:rsidRPr="00B4603D">
        <w:rPr>
          <w:sz w:val="28"/>
          <w:szCs w:val="28"/>
          <w:lang w:val="en-US"/>
        </w:rPr>
        <w:t xml:space="preserve"> brought this application </w:t>
      </w:r>
      <w:r w:rsidR="00440F16">
        <w:rPr>
          <w:sz w:val="28"/>
          <w:szCs w:val="28"/>
          <w:lang w:val="en-US"/>
        </w:rPr>
        <w:t>t</w:t>
      </w:r>
      <w:r w:rsidR="00440F16" w:rsidRPr="00B4603D">
        <w:rPr>
          <w:sz w:val="28"/>
          <w:szCs w:val="28"/>
          <w:lang w:val="en-US"/>
        </w:rPr>
        <w:t>o review</w:t>
      </w:r>
      <w:r w:rsidR="00270689" w:rsidRPr="00B4603D">
        <w:rPr>
          <w:sz w:val="28"/>
          <w:szCs w:val="28"/>
          <w:lang w:val="en-US"/>
        </w:rPr>
        <w:t xml:space="preserve"> and set aside </w:t>
      </w:r>
      <w:r w:rsidRPr="00B4603D">
        <w:rPr>
          <w:sz w:val="28"/>
          <w:szCs w:val="28"/>
          <w:lang w:val="en-US"/>
        </w:rPr>
        <w:t xml:space="preserve">the decision </w:t>
      </w:r>
      <w:r w:rsidR="00CB47B1">
        <w:rPr>
          <w:sz w:val="28"/>
          <w:szCs w:val="28"/>
          <w:lang w:val="en-US"/>
        </w:rPr>
        <w:t>o</w:t>
      </w:r>
      <w:r w:rsidR="005815F0" w:rsidRPr="00B4603D">
        <w:rPr>
          <w:sz w:val="28"/>
          <w:szCs w:val="28"/>
          <w:lang w:val="en-US"/>
        </w:rPr>
        <w:t>f the first respondent</w:t>
      </w:r>
      <w:r w:rsidR="001A6192">
        <w:rPr>
          <w:sz w:val="28"/>
          <w:szCs w:val="28"/>
          <w:lang w:val="en-US"/>
        </w:rPr>
        <w:t>,</w:t>
      </w:r>
      <w:r w:rsidR="00713009">
        <w:rPr>
          <w:sz w:val="28"/>
          <w:szCs w:val="28"/>
          <w:lang w:val="en-US"/>
        </w:rPr>
        <w:t xml:space="preserve"> </w:t>
      </w:r>
      <w:r w:rsidR="005815F0" w:rsidRPr="00B4603D">
        <w:rPr>
          <w:sz w:val="28"/>
          <w:szCs w:val="28"/>
          <w:lang w:val="en-US"/>
        </w:rPr>
        <w:t>the Minister of Home Affairs</w:t>
      </w:r>
      <w:r w:rsidR="001565F7">
        <w:rPr>
          <w:sz w:val="28"/>
          <w:szCs w:val="28"/>
          <w:lang w:val="en-US"/>
        </w:rPr>
        <w:t xml:space="preserve"> (“the Minister”)</w:t>
      </w:r>
      <w:r w:rsidR="009805EA" w:rsidRPr="00B4603D">
        <w:rPr>
          <w:sz w:val="28"/>
          <w:szCs w:val="28"/>
          <w:lang w:val="en-US"/>
        </w:rPr>
        <w:t>. The impugned decision was made</w:t>
      </w:r>
      <w:r w:rsidR="00440F16">
        <w:rPr>
          <w:sz w:val="28"/>
          <w:szCs w:val="28"/>
          <w:lang w:val="en-US"/>
        </w:rPr>
        <w:t xml:space="preserve"> on an appeal to the Minister</w:t>
      </w:r>
      <w:r w:rsidR="009805EA" w:rsidRPr="00B4603D">
        <w:rPr>
          <w:sz w:val="28"/>
          <w:szCs w:val="28"/>
          <w:lang w:val="en-US"/>
        </w:rPr>
        <w:t xml:space="preserve"> in </w:t>
      </w:r>
      <w:r w:rsidR="009805EA" w:rsidRPr="00B4603D">
        <w:rPr>
          <w:sz w:val="28"/>
          <w:szCs w:val="28"/>
          <w:lang w:val="en-US"/>
        </w:rPr>
        <w:lastRenderedPageBreak/>
        <w:t xml:space="preserve">terms of section 8(6) </w:t>
      </w:r>
      <w:r w:rsidR="00B4603D" w:rsidRPr="00B4603D">
        <w:rPr>
          <w:sz w:val="28"/>
          <w:szCs w:val="28"/>
          <w:lang w:val="en-US"/>
        </w:rPr>
        <w:t>of the Immigration Act 13 of 2002</w:t>
      </w:r>
      <w:r w:rsidR="0084776F">
        <w:rPr>
          <w:sz w:val="28"/>
          <w:szCs w:val="28"/>
          <w:lang w:val="en-US"/>
        </w:rPr>
        <w:t xml:space="preserve"> (“the Act”)</w:t>
      </w:r>
      <w:r w:rsidR="00B4603D">
        <w:rPr>
          <w:sz w:val="28"/>
          <w:szCs w:val="28"/>
          <w:lang w:val="en-US"/>
        </w:rPr>
        <w:t xml:space="preserve">, to the effect that </w:t>
      </w:r>
      <w:r w:rsidR="00BB6A9E">
        <w:rPr>
          <w:sz w:val="28"/>
          <w:szCs w:val="28"/>
          <w:lang w:val="en-US"/>
        </w:rPr>
        <w:t>the applicant is a prohibited person in terms of section 29(1)</w:t>
      </w:r>
      <w:r w:rsidR="0084776F">
        <w:rPr>
          <w:sz w:val="28"/>
          <w:szCs w:val="28"/>
          <w:lang w:val="en-US"/>
        </w:rPr>
        <w:t>(f) of the Act.</w:t>
      </w:r>
      <w:r w:rsidR="00CF229E">
        <w:rPr>
          <w:sz w:val="28"/>
          <w:szCs w:val="28"/>
          <w:lang w:val="en-US"/>
        </w:rPr>
        <w:t xml:space="preserve"> In the alternative, the applicant seek a declaration that she is not a prohibited </w:t>
      </w:r>
      <w:r w:rsidR="008F703D">
        <w:rPr>
          <w:sz w:val="28"/>
          <w:szCs w:val="28"/>
          <w:lang w:val="en-US"/>
        </w:rPr>
        <w:t>in terms of section 29(1)(f).</w:t>
      </w:r>
      <w:r w:rsidR="00391ED8">
        <w:rPr>
          <w:rStyle w:val="FootnoteReference"/>
          <w:sz w:val="28"/>
          <w:szCs w:val="28"/>
          <w:lang w:val="en-US"/>
        </w:rPr>
        <w:footnoteReference w:id="1"/>
      </w:r>
    </w:p>
    <w:p w14:paraId="4657F833" w14:textId="77777777" w:rsidR="001A6192" w:rsidRDefault="001A6192" w:rsidP="00F67B74">
      <w:pPr>
        <w:pStyle w:val="ListParagraph"/>
        <w:spacing w:line="360" w:lineRule="auto"/>
        <w:ind w:left="360"/>
        <w:jc w:val="both"/>
        <w:rPr>
          <w:sz w:val="28"/>
          <w:szCs w:val="28"/>
          <w:lang w:val="en-US"/>
        </w:rPr>
      </w:pPr>
    </w:p>
    <w:p w14:paraId="4A70D3AA" w14:textId="0F61F1F4" w:rsidR="005C1AEE" w:rsidRPr="005A2134" w:rsidRDefault="00CB13C1" w:rsidP="00C34727">
      <w:pPr>
        <w:pStyle w:val="ListParagraph"/>
        <w:numPr>
          <w:ilvl w:val="0"/>
          <w:numId w:val="1"/>
        </w:numPr>
        <w:spacing w:line="360" w:lineRule="auto"/>
        <w:ind w:left="0" w:firstLine="0"/>
        <w:jc w:val="both"/>
        <w:rPr>
          <w:sz w:val="28"/>
          <w:szCs w:val="28"/>
          <w:lang w:val="en-US"/>
        </w:rPr>
      </w:pPr>
      <w:r>
        <w:rPr>
          <w:sz w:val="28"/>
          <w:szCs w:val="28"/>
          <w:lang w:val="en-US"/>
        </w:rPr>
        <w:t xml:space="preserve">Section 29(1) of the Act lists </w:t>
      </w:r>
      <w:r w:rsidR="00A15A77">
        <w:rPr>
          <w:sz w:val="28"/>
          <w:szCs w:val="28"/>
          <w:lang w:val="en-US"/>
        </w:rPr>
        <w:t xml:space="preserve">certain </w:t>
      </w:r>
      <w:r w:rsidR="00914F45">
        <w:rPr>
          <w:sz w:val="28"/>
          <w:szCs w:val="28"/>
          <w:lang w:val="en-US"/>
        </w:rPr>
        <w:t xml:space="preserve">categories of </w:t>
      </w:r>
      <w:r w:rsidR="00A15A77">
        <w:rPr>
          <w:sz w:val="28"/>
          <w:szCs w:val="28"/>
          <w:lang w:val="en-US"/>
        </w:rPr>
        <w:t>f</w:t>
      </w:r>
      <w:r w:rsidR="005C1AEE">
        <w:rPr>
          <w:sz w:val="28"/>
          <w:szCs w:val="28"/>
          <w:lang w:val="en-US"/>
        </w:rPr>
        <w:t xml:space="preserve">oreigners </w:t>
      </w:r>
      <w:r w:rsidR="00645E9E">
        <w:rPr>
          <w:sz w:val="28"/>
          <w:szCs w:val="28"/>
          <w:lang w:val="en-US"/>
        </w:rPr>
        <w:t>who “</w:t>
      </w:r>
      <w:r w:rsidR="00645E9E" w:rsidRPr="00903832">
        <w:rPr>
          <w:i/>
          <w:iCs/>
          <w:sz w:val="28"/>
          <w:szCs w:val="28"/>
          <w:lang w:val="en-US"/>
        </w:rPr>
        <w:t>are prohibited person</w:t>
      </w:r>
      <w:r w:rsidR="003D2F8C">
        <w:rPr>
          <w:i/>
          <w:iCs/>
          <w:sz w:val="28"/>
          <w:szCs w:val="28"/>
          <w:lang w:val="en-US"/>
        </w:rPr>
        <w:t>s</w:t>
      </w:r>
      <w:r w:rsidR="00645E9E" w:rsidRPr="00903832">
        <w:rPr>
          <w:i/>
          <w:iCs/>
          <w:sz w:val="28"/>
          <w:szCs w:val="28"/>
          <w:lang w:val="en-US"/>
        </w:rPr>
        <w:t xml:space="preserve"> </w:t>
      </w:r>
      <w:r w:rsidR="006C6508" w:rsidRPr="00903832">
        <w:rPr>
          <w:i/>
          <w:iCs/>
          <w:sz w:val="28"/>
          <w:szCs w:val="28"/>
          <w:lang w:val="en-US"/>
        </w:rPr>
        <w:t>[who] do not qualify for a port</w:t>
      </w:r>
      <w:r w:rsidR="00914F45">
        <w:rPr>
          <w:i/>
          <w:iCs/>
          <w:sz w:val="28"/>
          <w:szCs w:val="28"/>
          <w:lang w:val="en-US"/>
        </w:rPr>
        <w:t xml:space="preserve"> of</w:t>
      </w:r>
      <w:r w:rsidR="006C6508" w:rsidRPr="00903832">
        <w:rPr>
          <w:i/>
          <w:iCs/>
          <w:sz w:val="28"/>
          <w:szCs w:val="28"/>
          <w:lang w:val="en-US"/>
        </w:rPr>
        <w:t xml:space="preserve"> entry visa, admission into the Republic,</w:t>
      </w:r>
      <w:r w:rsidR="00304BFF" w:rsidRPr="00903832">
        <w:rPr>
          <w:i/>
          <w:iCs/>
          <w:sz w:val="28"/>
          <w:szCs w:val="28"/>
          <w:lang w:val="en-US"/>
        </w:rPr>
        <w:t xml:space="preserve"> a visa or a permanent residence permit</w:t>
      </w:r>
      <w:r w:rsidR="00903832">
        <w:rPr>
          <w:sz w:val="28"/>
          <w:szCs w:val="28"/>
          <w:lang w:val="en-US"/>
        </w:rPr>
        <w:t>”.</w:t>
      </w:r>
      <w:r w:rsidR="001833F5">
        <w:rPr>
          <w:sz w:val="28"/>
          <w:szCs w:val="28"/>
          <w:lang w:val="en-US"/>
        </w:rPr>
        <w:t xml:space="preserve"> </w:t>
      </w:r>
      <w:r w:rsidR="001833F5" w:rsidRPr="00E03706">
        <w:rPr>
          <w:sz w:val="28"/>
          <w:szCs w:val="28"/>
          <w:lang w:val="en-US"/>
        </w:rPr>
        <w:t>The list</w:t>
      </w:r>
      <w:r w:rsidR="002A3406" w:rsidRPr="00E03706">
        <w:rPr>
          <w:sz w:val="28"/>
          <w:szCs w:val="28"/>
          <w:lang w:val="en-US"/>
        </w:rPr>
        <w:t>, in subsection (f)</w:t>
      </w:r>
      <w:r w:rsidR="00A07C68" w:rsidRPr="00E03706">
        <w:rPr>
          <w:sz w:val="28"/>
          <w:szCs w:val="28"/>
          <w:lang w:val="en-US"/>
        </w:rPr>
        <w:t xml:space="preserve"> </w:t>
      </w:r>
      <w:r w:rsidR="00A07C68">
        <w:rPr>
          <w:sz w:val="28"/>
          <w:szCs w:val="28"/>
          <w:lang w:val="en-US"/>
        </w:rPr>
        <w:t>thereof</w:t>
      </w:r>
      <w:r w:rsidR="0072426A">
        <w:rPr>
          <w:sz w:val="28"/>
          <w:szCs w:val="28"/>
          <w:lang w:val="en-US"/>
        </w:rPr>
        <w:t>,</w:t>
      </w:r>
      <w:r w:rsidR="001833F5">
        <w:rPr>
          <w:sz w:val="28"/>
          <w:szCs w:val="28"/>
          <w:lang w:val="en-US"/>
        </w:rPr>
        <w:t xml:space="preserve"> include “</w:t>
      </w:r>
      <w:r w:rsidR="001833F5" w:rsidRPr="001833F5">
        <w:rPr>
          <w:i/>
          <w:iCs/>
          <w:sz w:val="28"/>
          <w:szCs w:val="28"/>
        </w:rPr>
        <w:t xml:space="preserve">anyone found in possession of a fraudulent visa, passport, permanent residence </w:t>
      </w:r>
      <w:proofErr w:type="gramStart"/>
      <w:r w:rsidR="001833F5" w:rsidRPr="001833F5">
        <w:rPr>
          <w:i/>
          <w:iCs/>
          <w:sz w:val="28"/>
          <w:szCs w:val="28"/>
        </w:rPr>
        <w:t>permit</w:t>
      </w:r>
      <w:proofErr w:type="gramEnd"/>
      <w:r w:rsidR="001833F5" w:rsidRPr="001833F5">
        <w:rPr>
          <w:i/>
          <w:iCs/>
          <w:sz w:val="28"/>
          <w:szCs w:val="28"/>
        </w:rPr>
        <w:t xml:space="preserve"> or identification document.</w:t>
      </w:r>
      <w:r w:rsidR="0072426A">
        <w:rPr>
          <w:sz w:val="28"/>
          <w:szCs w:val="28"/>
        </w:rPr>
        <w:t>”</w:t>
      </w:r>
    </w:p>
    <w:p w14:paraId="6BD32426" w14:textId="77777777" w:rsidR="005A2134" w:rsidRPr="005A2134" w:rsidRDefault="005A2134" w:rsidP="005A2134">
      <w:pPr>
        <w:pStyle w:val="ListParagraph"/>
        <w:rPr>
          <w:sz w:val="28"/>
          <w:szCs w:val="28"/>
          <w:lang w:val="en-US"/>
        </w:rPr>
      </w:pPr>
    </w:p>
    <w:p w14:paraId="68890B04" w14:textId="41B23F2E" w:rsidR="00136B61" w:rsidRPr="00233430" w:rsidRDefault="004B0160" w:rsidP="00C34727">
      <w:pPr>
        <w:pStyle w:val="ListParagraph"/>
        <w:numPr>
          <w:ilvl w:val="0"/>
          <w:numId w:val="1"/>
        </w:numPr>
        <w:spacing w:line="360" w:lineRule="auto"/>
        <w:ind w:left="0" w:firstLine="0"/>
        <w:jc w:val="both"/>
        <w:rPr>
          <w:i/>
          <w:iCs/>
          <w:sz w:val="28"/>
          <w:szCs w:val="28"/>
          <w:lang w:val="en-US"/>
        </w:rPr>
      </w:pPr>
      <w:r>
        <w:rPr>
          <w:sz w:val="28"/>
          <w:szCs w:val="28"/>
          <w:lang w:val="en-US"/>
        </w:rPr>
        <w:t>In terms of section 29(2)</w:t>
      </w:r>
      <w:r w:rsidR="00255A00">
        <w:rPr>
          <w:sz w:val="28"/>
          <w:szCs w:val="28"/>
          <w:lang w:val="en-US"/>
        </w:rPr>
        <w:t xml:space="preserve"> of the Act, “</w:t>
      </w:r>
      <w:r w:rsidR="00255A00" w:rsidRPr="00D31F9A">
        <w:rPr>
          <w:i/>
          <w:iCs/>
          <w:sz w:val="28"/>
          <w:szCs w:val="28"/>
          <w:lang w:val="en-US"/>
        </w:rPr>
        <w:t>[</w:t>
      </w:r>
      <w:r w:rsidR="00D31F9A" w:rsidRPr="00D31F9A">
        <w:rPr>
          <w:i/>
          <w:iCs/>
          <w:sz w:val="28"/>
          <w:szCs w:val="28"/>
          <w:lang w:val="en-US"/>
        </w:rPr>
        <w:t>t]</w:t>
      </w:r>
      <w:r w:rsidRPr="00D31F9A">
        <w:rPr>
          <w:i/>
          <w:iCs/>
          <w:sz w:val="28"/>
          <w:szCs w:val="28"/>
        </w:rPr>
        <w:t>he Director-General may, for good cause, declare a person referred to in subsection (1) not to be a prohibited person</w:t>
      </w:r>
      <w:r w:rsidR="00233430">
        <w:rPr>
          <w:i/>
          <w:iCs/>
          <w:sz w:val="28"/>
          <w:szCs w:val="28"/>
        </w:rPr>
        <w:t>.</w:t>
      </w:r>
      <w:r w:rsidR="00D31F9A">
        <w:rPr>
          <w:sz w:val="28"/>
          <w:szCs w:val="28"/>
        </w:rPr>
        <w:t>”</w:t>
      </w:r>
    </w:p>
    <w:p w14:paraId="1D32A309" w14:textId="77777777" w:rsidR="00233430" w:rsidRPr="00233430" w:rsidRDefault="00233430" w:rsidP="00233430">
      <w:pPr>
        <w:pStyle w:val="ListParagraph"/>
        <w:rPr>
          <w:i/>
          <w:iCs/>
          <w:sz w:val="28"/>
          <w:szCs w:val="28"/>
          <w:lang w:val="en-US"/>
        </w:rPr>
      </w:pPr>
    </w:p>
    <w:p w14:paraId="0AF6128F" w14:textId="536EB5CE" w:rsidR="00233430" w:rsidRPr="00EE46D9" w:rsidRDefault="001E094D" w:rsidP="00C34727">
      <w:pPr>
        <w:pStyle w:val="ListParagraph"/>
        <w:numPr>
          <w:ilvl w:val="0"/>
          <w:numId w:val="1"/>
        </w:numPr>
        <w:spacing w:line="360" w:lineRule="auto"/>
        <w:ind w:left="0" w:firstLine="0"/>
        <w:jc w:val="both"/>
        <w:rPr>
          <w:i/>
          <w:iCs/>
          <w:sz w:val="28"/>
          <w:szCs w:val="28"/>
          <w:lang w:val="en-US"/>
        </w:rPr>
      </w:pPr>
      <w:r>
        <w:rPr>
          <w:sz w:val="28"/>
          <w:szCs w:val="28"/>
          <w:lang w:val="en-US"/>
        </w:rPr>
        <w:t xml:space="preserve">Section </w:t>
      </w:r>
      <w:r w:rsidR="00C7175D">
        <w:rPr>
          <w:sz w:val="28"/>
          <w:szCs w:val="28"/>
          <w:lang w:val="en-US"/>
        </w:rPr>
        <w:t xml:space="preserve">8(6) and (7) of the Act provides for a decision of the DG </w:t>
      </w:r>
      <w:r w:rsidR="00B206ED">
        <w:rPr>
          <w:sz w:val="28"/>
          <w:szCs w:val="28"/>
          <w:lang w:val="en-US"/>
        </w:rPr>
        <w:t>to be taken on review or appeal to the Minister</w:t>
      </w:r>
      <w:r w:rsidR="005A64C1">
        <w:rPr>
          <w:sz w:val="28"/>
          <w:szCs w:val="28"/>
          <w:lang w:val="en-US"/>
        </w:rPr>
        <w:t xml:space="preserve">, who shall consider the application, </w:t>
      </w:r>
      <w:proofErr w:type="spellStart"/>
      <w:r w:rsidR="005A64C1">
        <w:rPr>
          <w:sz w:val="28"/>
          <w:szCs w:val="28"/>
          <w:lang w:val="en-US"/>
        </w:rPr>
        <w:t>whereafter</w:t>
      </w:r>
      <w:proofErr w:type="spellEnd"/>
      <w:r w:rsidR="005A64C1">
        <w:rPr>
          <w:sz w:val="28"/>
          <w:szCs w:val="28"/>
          <w:lang w:val="en-US"/>
        </w:rPr>
        <w:t xml:space="preserve"> </w:t>
      </w:r>
      <w:r w:rsidR="008C691B">
        <w:rPr>
          <w:sz w:val="28"/>
          <w:szCs w:val="28"/>
          <w:lang w:val="en-US"/>
        </w:rPr>
        <w:t>the Minister shall either confirm, reverse or modify that decision.</w:t>
      </w:r>
    </w:p>
    <w:p w14:paraId="658E9AE4" w14:textId="77777777" w:rsidR="00EE46D9" w:rsidRPr="00EE46D9" w:rsidRDefault="00EE46D9" w:rsidP="00EE46D9">
      <w:pPr>
        <w:pStyle w:val="ListParagraph"/>
        <w:rPr>
          <w:i/>
          <w:iCs/>
          <w:sz w:val="28"/>
          <w:szCs w:val="28"/>
          <w:lang w:val="en-US"/>
        </w:rPr>
      </w:pPr>
    </w:p>
    <w:p w14:paraId="281977A6" w14:textId="3FE7CB71" w:rsidR="002046BE" w:rsidRDefault="009604A7" w:rsidP="00C34727">
      <w:pPr>
        <w:pStyle w:val="ListParagraph"/>
        <w:numPr>
          <w:ilvl w:val="0"/>
          <w:numId w:val="1"/>
        </w:numPr>
        <w:spacing w:line="360" w:lineRule="auto"/>
        <w:ind w:left="0" w:firstLine="0"/>
        <w:jc w:val="both"/>
        <w:rPr>
          <w:sz w:val="28"/>
          <w:szCs w:val="28"/>
          <w:lang w:val="en-US"/>
        </w:rPr>
      </w:pPr>
      <w:r>
        <w:rPr>
          <w:sz w:val="28"/>
          <w:szCs w:val="28"/>
          <w:lang w:val="en-US"/>
        </w:rPr>
        <w:t xml:space="preserve">The Department of Home Affairs (“the Department”) </w:t>
      </w:r>
      <w:r w:rsidR="00914F45">
        <w:rPr>
          <w:sz w:val="28"/>
          <w:szCs w:val="28"/>
          <w:lang w:val="en-US"/>
        </w:rPr>
        <w:t xml:space="preserve">determined </w:t>
      </w:r>
      <w:r w:rsidR="00E857F1">
        <w:rPr>
          <w:sz w:val="28"/>
          <w:szCs w:val="28"/>
          <w:lang w:val="en-US"/>
        </w:rPr>
        <w:t>that a work visa</w:t>
      </w:r>
      <w:r w:rsidR="00C90BDB">
        <w:rPr>
          <w:sz w:val="28"/>
          <w:szCs w:val="28"/>
          <w:lang w:val="en-US"/>
        </w:rPr>
        <w:t xml:space="preserve"> (“the impugned visa”)</w:t>
      </w:r>
      <w:r w:rsidR="00E857F1">
        <w:rPr>
          <w:sz w:val="28"/>
          <w:szCs w:val="28"/>
          <w:lang w:val="en-US"/>
        </w:rPr>
        <w:t xml:space="preserve"> </w:t>
      </w:r>
      <w:r w:rsidR="00C90BDB">
        <w:rPr>
          <w:sz w:val="28"/>
          <w:szCs w:val="28"/>
          <w:lang w:val="en-US"/>
        </w:rPr>
        <w:t>obtained by the applicant was fraudulent</w:t>
      </w:r>
      <w:r w:rsidR="00DB425E">
        <w:rPr>
          <w:sz w:val="28"/>
          <w:szCs w:val="28"/>
          <w:lang w:val="en-US"/>
        </w:rPr>
        <w:t>.</w:t>
      </w:r>
      <w:r w:rsidR="00435EAB">
        <w:rPr>
          <w:sz w:val="28"/>
          <w:szCs w:val="28"/>
          <w:lang w:val="en-US"/>
        </w:rPr>
        <w:t xml:space="preserve"> </w:t>
      </w:r>
      <w:r w:rsidR="00D857E3">
        <w:rPr>
          <w:sz w:val="28"/>
          <w:szCs w:val="28"/>
          <w:lang w:val="en-US"/>
        </w:rPr>
        <w:t>The</w:t>
      </w:r>
      <w:r w:rsidR="0038374E">
        <w:rPr>
          <w:sz w:val="28"/>
          <w:szCs w:val="28"/>
          <w:lang w:val="en-US"/>
        </w:rPr>
        <w:t>reafter the</w:t>
      </w:r>
      <w:r w:rsidR="00D857E3">
        <w:rPr>
          <w:sz w:val="28"/>
          <w:szCs w:val="28"/>
          <w:lang w:val="en-US"/>
        </w:rPr>
        <w:t xml:space="preserve"> applicant applied </w:t>
      </w:r>
      <w:r w:rsidR="00017F43">
        <w:rPr>
          <w:sz w:val="28"/>
          <w:szCs w:val="28"/>
          <w:lang w:val="en-US"/>
        </w:rPr>
        <w:t xml:space="preserve">to the </w:t>
      </w:r>
      <w:r w:rsidR="008D15C7">
        <w:rPr>
          <w:sz w:val="28"/>
          <w:szCs w:val="28"/>
          <w:lang w:val="en-US"/>
        </w:rPr>
        <w:t>Director General of the Department (“the DG”)</w:t>
      </w:r>
      <w:r w:rsidR="00017F43">
        <w:rPr>
          <w:sz w:val="28"/>
          <w:szCs w:val="28"/>
          <w:lang w:val="en-US"/>
        </w:rPr>
        <w:t xml:space="preserve"> to have her </w:t>
      </w:r>
      <w:r w:rsidR="006E6D18">
        <w:rPr>
          <w:sz w:val="28"/>
          <w:szCs w:val="28"/>
          <w:lang w:val="en-US"/>
        </w:rPr>
        <w:t>prohibition uplifted in terms o</w:t>
      </w:r>
      <w:r w:rsidR="00774E08">
        <w:rPr>
          <w:sz w:val="28"/>
          <w:szCs w:val="28"/>
          <w:lang w:val="en-US"/>
        </w:rPr>
        <w:t>f</w:t>
      </w:r>
      <w:r w:rsidR="006E6D18">
        <w:rPr>
          <w:sz w:val="28"/>
          <w:szCs w:val="28"/>
          <w:lang w:val="en-US"/>
        </w:rPr>
        <w:t xml:space="preserve"> s</w:t>
      </w:r>
      <w:r w:rsidR="00774E08">
        <w:rPr>
          <w:sz w:val="28"/>
          <w:szCs w:val="28"/>
          <w:lang w:val="en-US"/>
        </w:rPr>
        <w:t>e</w:t>
      </w:r>
      <w:r w:rsidR="006E6D18">
        <w:rPr>
          <w:sz w:val="28"/>
          <w:szCs w:val="28"/>
          <w:lang w:val="en-US"/>
        </w:rPr>
        <w:t xml:space="preserve">ction 29(2) </w:t>
      </w:r>
      <w:r w:rsidR="00774E08">
        <w:rPr>
          <w:sz w:val="28"/>
          <w:szCs w:val="28"/>
          <w:lang w:val="en-US"/>
        </w:rPr>
        <w:t>of the Act</w:t>
      </w:r>
      <w:r w:rsidR="00914F45">
        <w:rPr>
          <w:sz w:val="28"/>
          <w:szCs w:val="28"/>
          <w:lang w:val="en-US"/>
        </w:rPr>
        <w:t>.</w:t>
      </w:r>
      <w:r w:rsidR="00774E08">
        <w:rPr>
          <w:sz w:val="28"/>
          <w:szCs w:val="28"/>
          <w:lang w:val="en-US"/>
        </w:rPr>
        <w:t xml:space="preserve"> </w:t>
      </w:r>
      <w:r w:rsidR="00914F45">
        <w:rPr>
          <w:sz w:val="28"/>
          <w:szCs w:val="28"/>
          <w:lang w:val="en-US"/>
        </w:rPr>
        <w:t>The DG however,</w:t>
      </w:r>
      <w:r w:rsidR="00774E08">
        <w:rPr>
          <w:sz w:val="28"/>
          <w:szCs w:val="28"/>
          <w:lang w:val="en-US"/>
        </w:rPr>
        <w:t xml:space="preserve"> turned down her application. </w:t>
      </w:r>
      <w:r w:rsidR="00B908BD">
        <w:rPr>
          <w:sz w:val="28"/>
          <w:szCs w:val="28"/>
          <w:lang w:val="en-US"/>
        </w:rPr>
        <w:t>She the</w:t>
      </w:r>
      <w:r w:rsidR="00914F45">
        <w:rPr>
          <w:sz w:val="28"/>
          <w:szCs w:val="28"/>
          <w:lang w:val="en-US"/>
        </w:rPr>
        <w:t>reafter</w:t>
      </w:r>
      <w:r w:rsidR="00B908BD">
        <w:rPr>
          <w:sz w:val="28"/>
          <w:szCs w:val="28"/>
          <w:lang w:val="en-US"/>
        </w:rPr>
        <w:t xml:space="preserve"> </w:t>
      </w:r>
      <w:r w:rsidR="00F27F5C">
        <w:rPr>
          <w:sz w:val="28"/>
          <w:szCs w:val="28"/>
          <w:lang w:val="en-US"/>
        </w:rPr>
        <w:t xml:space="preserve">unsuccessfully </w:t>
      </w:r>
      <w:r w:rsidR="00B908BD">
        <w:rPr>
          <w:sz w:val="28"/>
          <w:szCs w:val="28"/>
          <w:lang w:val="en-US"/>
        </w:rPr>
        <w:t xml:space="preserve">appealed </w:t>
      </w:r>
      <w:r w:rsidR="002648AC">
        <w:rPr>
          <w:sz w:val="28"/>
          <w:szCs w:val="28"/>
          <w:lang w:val="en-US"/>
        </w:rPr>
        <w:t xml:space="preserve">the DG’s decision </w:t>
      </w:r>
      <w:r w:rsidR="00B908BD">
        <w:rPr>
          <w:sz w:val="28"/>
          <w:szCs w:val="28"/>
          <w:lang w:val="en-US"/>
        </w:rPr>
        <w:t xml:space="preserve">to the Minister </w:t>
      </w:r>
      <w:r w:rsidR="0038374E">
        <w:rPr>
          <w:sz w:val="28"/>
          <w:szCs w:val="28"/>
          <w:lang w:val="en-US"/>
        </w:rPr>
        <w:t>in terms of section 8(6) of the Act</w:t>
      </w:r>
      <w:r w:rsidR="00060C59">
        <w:rPr>
          <w:sz w:val="28"/>
          <w:szCs w:val="28"/>
          <w:lang w:val="en-US"/>
        </w:rPr>
        <w:t>. It is th</w:t>
      </w:r>
      <w:r w:rsidR="00625591">
        <w:rPr>
          <w:sz w:val="28"/>
          <w:szCs w:val="28"/>
          <w:lang w:val="en-US"/>
        </w:rPr>
        <w:t>e</w:t>
      </w:r>
      <w:r w:rsidR="00060C59">
        <w:rPr>
          <w:sz w:val="28"/>
          <w:szCs w:val="28"/>
          <w:lang w:val="en-US"/>
        </w:rPr>
        <w:t xml:space="preserve"> latter decision which is </w:t>
      </w:r>
      <w:r w:rsidR="00781895">
        <w:rPr>
          <w:sz w:val="28"/>
          <w:szCs w:val="28"/>
          <w:lang w:val="en-US"/>
        </w:rPr>
        <w:t xml:space="preserve">under scrutiny in </w:t>
      </w:r>
      <w:r w:rsidR="009D572B">
        <w:rPr>
          <w:sz w:val="28"/>
          <w:szCs w:val="28"/>
          <w:lang w:val="en-US"/>
        </w:rPr>
        <w:t>the present matter.</w:t>
      </w:r>
    </w:p>
    <w:p w14:paraId="6C789A60" w14:textId="77777777" w:rsidR="00136B61" w:rsidRDefault="00136B61" w:rsidP="00F67B74">
      <w:pPr>
        <w:pStyle w:val="ListParagraph"/>
        <w:spacing w:line="360" w:lineRule="auto"/>
        <w:rPr>
          <w:sz w:val="28"/>
          <w:szCs w:val="28"/>
          <w:lang w:val="en-US"/>
        </w:rPr>
      </w:pPr>
    </w:p>
    <w:p w14:paraId="3D989581" w14:textId="77777777" w:rsidR="001B5FC1" w:rsidRPr="001B5FC1" w:rsidRDefault="001B5FC1" w:rsidP="00F67B74">
      <w:pPr>
        <w:pStyle w:val="ListParagraph"/>
        <w:spacing w:line="360" w:lineRule="auto"/>
        <w:rPr>
          <w:sz w:val="28"/>
          <w:szCs w:val="28"/>
          <w:lang w:val="en-US"/>
        </w:rPr>
      </w:pPr>
    </w:p>
    <w:p w14:paraId="717F597A" w14:textId="47C8FB96" w:rsidR="001B5FC1" w:rsidRPr="00136B61" w:rsidRDefault="00136B61" w:rsidP="00F67B74">
      <w:pPr>
        <w:pStyle w:val="ListParagraph"/>
        <w:spacing w:line="360" w:lineRule="auto"/>
        <w:ind w:left="0"/>
        <w:jc w:val="both"/>
        <w:rPr>
          <w:b/>
          <w:bCs/>
          <w:sz w:val="28"/>
          <w:szCs w:val="28"/>
          <w:lang w:val="en-US"/>
        </w:rPr>
      </w:pPr>
      <w:r w:rsidRPr="00136B61">
        <w:rPr>
          <w:b/>
          <w:bCs/>
          <w:sz w:val="28"/>
          <w:szCs w:val="28"/>
          <w:lang w:val="en-US"/>
        </w:rPr>
        <w:t>BACKGROUND FACTS</w:t>
      </w:r>
    </w:p>
    <w:p w14:paraId="5A2D5EA3" w14:textId="77777777" w:rsidR="00202271" w:rsidRPr="00202271" w:rsidRDefault="00202271" w:rsidP="00F67B74">
      <w:pPr>
        <w:pStyle w:val="ListParagraph"/>
        <w:spacing w:line="360" w:lineRule="auto"/>
        <w:rPr>
          <w:sz w:val="28"/>
          <w:szCs w:val="28"/>
          <w:lang w:val="en-US"/>
        </w:rPr>
      </w:pPr>
    </w:p>
    <w:p w14:paraId="02002238" w14:textId="073C3B0F" w:rsidR="00202271" w:rsidRDefault="006E05E3" w:rsidP="00C34727">
      <w:pPr>
        <w:pStyle w:val="ListParagraph"/>
        <w:numPr>
          <w:ilvl w:val="0"/>
          <w:numId w:val="1"/>
        </w:numPr>
        <w:spacing w:line="360" w:lineRule="auto"/>
        <w:ind w:left="0" w:firstLine="0"/>
        <w:jc w:val="both"/>
        <w:rPr>
          <w:sz w:val="28"/>
          <w:szCs w:val="28"/>
          <w:lang w:val="en-US"/>
        </w:rPr>
      </w:pPr>
      <w:r>
        <w:rPr>
          <w:sz w:val="28"/>
          <w:szCs w:val="28"/>
          <w:lang w:val="en-US"/>
        </w:rPr>
        <w:t xml:space="preserve">The applicant </w:t>
      </w:r>
      <w:r w:rsidR="007D3110">
        <w:rPr>
          <w:sz w:val="28"/>
          <w:szCs w:val="28"/>
          <w:lang w:val="en-US"/>
        </w:rPr>
        <w:t>initially visited</w:t>
      </w:r>
      <w:r>
        <w:rPr>
          <w:sz w:val="28"/>
          <w:szCs w:val="28"/>
          <w:lang w:val="en-US"/>
        </w:rPr>
        <w:t xml:space="preserve"> South Africa </w:t>
      </w:r>
      <w:r w:rsidR="005C1945">
        <w:rPr>
          <w:sz w:val="28"/>
          <w:szCs w:val="28"/>
          <w:lang w:val="en-US"/>
        </w:rPr>
        <w:t>in 2009</w:t>
      </w:r>
      <w:r w:rsidR="007D3110">
        <w:rPr>
          <w:sz w:val="28"/>
          <w:szCs w:val="28"/>
          <w:lang w:val="en-US"/>
        </w:rPr>
        <w:t xml:space="preserve"> accompanying her sister </w:t>
      </w:r>
      <w:r w:rsidR="0041100E">
        <w:rPr>
          <w:sz w:val="28"/>
          <w:szCs w:val="28"/>
          <w:lang w:val="en-US"/>
        </w:rPr>
        <w:t>on a short</w:t>
      </w:r>
      <w:r w:rsidR="00B07B9C">
        <w:rPr>
          <w:sz w:val="28"/>
          <w:szCs w:val="28"/>
          <w:lang w:val="en-US"/>
        </w:rPr>
        <w:t>-</w:t>
      </w:r>
      <w:r w:rsidR="0041100E">
        <w:rPr>
          <w:sz w:val="28"/>
          <w:szCs w:val="28"/>
          <w:lang w:val="en-US"/>
        </w:rPr>
        <w:t>term</w:t>
      </w:r>
      <w:r w:rsidR="00B07B9C">
        <w:rPr>
          <w:sz w:val="28"/>
          <w:szCs w:val="28"/>
          <w:lang w:val="en-US"/>
        </w:rPr>
        <w:t xml:space="preserve"> visitor’s visa</w:t>
      </w:r>
      <w:r w:rsidR="007D3110">
        <w:rPr>
          <w:sz w:val="28"/>
          <w:szCs w:val="28"/>
          <w:lang w:val="en-US"/>
        </w:rPr>
        <w:t>.</w:t>
      </w:r>
      <w:r w:rsidR="00B07B9C">
        <w:rPr>
          <w:sz w:val="28"/>
          <w:szCs w:val="28"/>
          <w:lang w:val="en-US"/>
        </w:rPr>
        <w:t xml:space="preserve"> </w:t>
      </w:r>
      <w:r w:rsidR="00461B7D">
        <w:rPr>
          <w:sz w:val="28"/>
          <w:szCs w:val="28"/>
          <w:lang w:val="en-US"/>
        </w:rPr>
        <w:t>She subsequently</w:t>
      </w:r>
      <w:r w:rsidR="00C23FFC">
        <w:rPr>
          <w:sz w:val="28"/>
          <w:szCs w:val="28"/>
          <w:lang w:val="en-US"/>
        </w:rPr>
        <w:t xml:space="preserve"> </w:t>
      </w:r>
      <w:r w:rsidR="00461B7D">
        <w:rPr>
          <w:sz w:val="28"/>
          <w:szCs w:val="28"/>
          <w:lang w:val="en-US"/>
        </w:rPr>
        <w:t>successfully</w:t>
      </w:r>
      <w:r w:rsidR="00625591">
        <w:rPr>
          <w:sz w:val="28"/>
          <w:szCs w:val="28"/>
          <w:lang w:val="en-US"/>
        </w:rPr>
        <w:t xml:space="preserve"> applied</w:t>
      </w:r>
      <w:r w:rsidR="00461B7D">
        <w:rPr>
          <w:sz w:val="28"/>
          <w:szCs w:val="28"/>
          <w:lang w:val="en-US"/>
        </w:rPr>
        <w:t xml:space="preserve"> for a relative’s visa </w:t>
      </w:r>
      <w:r w:rsidR="00C23FFC">
        <w:rPr>
          <w:sz w:val="28"/>
          <w:szCs w:val="28"/>
          <w:lang w:val="en-US"/>
        </w:rPr>
        <w:t>which was valid for two years.</w:t>
      </w:r>
    </w:p>
    <w:p w14:paraId="51C92FDA" w14:textId="77777777" w:rsidR="002046BE" w:rsidRPr="002046BE" w:rsidRDefault="002046BE" w:rsidP="00F67B74">
      <w:pPr>
        <w:pStyle w:val="ListParagraph"/>
        <w:spacing w:line="360" w:lineRule="auto"/>
        <w:rPr>
          <w:sz w:val="28"/>
          <w:szCs w:val="28"/>
          <w:lang w:val="en-US"/>
        </w:rPr>
      </w:pPr>
    </w:p>
    <w:p w14:paraId="05A13FC1" w14:textId="7FBB7391" w:rsidR="002046BE" w:rsidRDefault="00075093" w:rsidP="00C34727">
      <w:pPr>
        <w:pStyle w:val="ListParagraph"/>
        <w:numPr>
          <w:ilvl w:val="0"/>
          <w:numId w:val="1"/>
        </w:numPr>
        <w:spacing w:line="360" w:lineRule="auto"/>
        <w:ind w:left="0" w:firstLine="0"/>
        <w:jc w:val="both"/>
        <w:rPr>
          <w:sz w:val="28"/>
          <w:szCs w:val="28"/>
          <w:lang w:val="en-US"/>
        </w:rPr>
      </w:pPr>
      <w:r>
        <w:rPr>
          <w:sz w:val="28"/>
          <w:szCs w:val="28"/>
          <w:lang w:val="en-US"/>
        </w:rPr>
        <w:t xml:space="preserve">During 2011, the applicant </w:t>
      </w:r>
      <w:r w:rsidR="00372442">
        <w:rPr>
          <w:sz w:val="28"/>
          <w:szCs w:val="28"/>
          <w:lang w:val="en-US"/>
        </w:rPr>
        <w:t>applied for an extension of her relative’s visa which was refused</w:t>
      </w:r>
      <w:r w:rsidR="007D3110">
        <w:rPr>
          <w:sz w:val="28"/>
          <w:szCs w:val="28"/>
          <w:lang w:val="en-US"/>
        </w:rPr>
        <w:t xml:space="preserve"> and she</w:t>
      </w:r>
      <w:r w:rsidR="00372442">
        <w:rPr>
          <w:sz w:val="28"/>
          <w:szCs w:val="28"/>
          <w:lang w:val="en-US"/>
        </w:rPr>
        <w:t xml:space="preserve"> </w:t>
      </w:r>
      <w:r w:rsidR="006C055E">
        <w:rPr>
          <w:sz w:val="28"/>
          <w:szCs w:val="28"/>
          <w:lang w:val="en-US"/>
        </w:rPr>
        <w:t xml:space="preserve">accordingly left South Africa </w:t>
      </w:r>
      <w:r w:rsidR="007D3110">
        <w:rPr>
          <w:sz w:val="28"/>
          <w:szCs w:val="28"/>
          <w:lang w:val="en-US"/>
        </w:rPr>
        <w:t xml:space="preserve">for </w:t>
      </w:r>
      <w:r w:rsidR="006C055E">
        <w:rPr>
          <w:sz w:val="28"/>
          <w:szCs w:val="28"/>
          <w:lang w:val="en-US"/>
        </w:rPr>
        <w:t>Uganda.</w:t>
      </w:r>
    </w:p>
    <w:p w14:paraId="48D37840" w14:textId="77777777" w:rsidR="001263DC" w:rsidRPr="001263DC" w:rsidRDefault="001263DC" w:rsidP="00F67B74">
      <w:pPr>
        <w:pStyle w:val="ListParagraph"/>
        <w:spacing w:line="360" w:lineRule="auto"/>
        <w:rPr>
          <w:sz w:val="28"/>
          <w:szCs w:val="28"/>
          <w:lang w:val="en-US"/>
        </w:rPr>
      </w:pPr>
    </w:p>
    <w:p w14:paraId="00C7CBEC" w14:textId="5BD7A7A8" w:rsidR="00A03EC1" w:rsidRDefault="001263DC" w:rsidP="00C34727">
      <w:pPr>
        <w:pStyle w:val="ListParagraph"/>
        <w:numPr>
          <w:ilvl w:val="0"/>
          <w:numId w:val="1"/>
        </w:numPr>
        <w:spacing w:line="360" w:lineRule="auto"/>
        <w:ind w:left="0" w:firstLine="0"/>
        <w:jc w:val="both"/>
        <w:rPr>
          <w:sz w:val="28"/>
          <w:szCs w:val="28"/>
          <w:lang w:val="en-US"/>
        </w:rPr>
      </w:pPr>
      <w:r>
        <w:rPr>
          <w:sz w:val="28"/>
          <w:szCs w:val="28"/>
          <w:lang w:val="en-US"/>
        </w:rPr>
        <w:t>During 2013, the applicant retu</w:t>
      </w:r>
      <w:r w:rsidR="00AF6CBB">
        <w:rPr>
          <w:sz w:val="28"/>
          <w:szCs w:val="28"/>
          <w:lang w:val="en-US"/>
        </w:rPr>
        <w:t>r</w:t>
      </w:r>
      <w:r>
        <w:rPr>
          <w:sz w:val="28"/>
          <w:szCs w:val="28"/>
          <w:lang w:val="en-US"/>
        </w:rPr>
        <w:t xml:space="preserve">ned to South Africa on a visitor’s visa </w:t>
      </w:r>
      <w:r w:rsidR="008F459D">
        <w:rPr>
          <w:sz w:val="28"/>
          <w:szCs w:val="28"/>
          <w:lang w:val="en-US"/>
        </w:rPr>
        <w:t xml:space="preserve">to attend a church conference. Whilst </w:t>
      </w:r>
      <w:r w:rsidR="00AF6CBB">
        <w:rPr>
          <w:sz w:val="28"/>
          <w:szCs w:val="28"/>
          <w:lang w:val="en-US"/>
        </w:rPr>
        <w:t>in the country</w:t>
      </w:r>
      <w:r w:rsidR="008F459D">
        <w:rPr>
          <w:sz w:val="28"/>
          <w:szCs w:val="28"/>
          <w:lang w:val="en-US"/>
        </w:rPr>
        <w:t xml:space="preserve">, she applied </w:t>
      </w:r>
      <w:r w:rsidR="00740029">
        <w:rPr>
          <w:sz w:val="28"/>
          <w:szCs w:val="28"/>
          <w:lang w:val="en-US"/>
        </w:rPr>
        <w:t xml:space="preserve">for a work visa with the assistance of a Pastor Clive </w:t>
      </w:r>
      <w:proofErr w:type="spellStart"/>
      <w:r w:rsidR="00740029">
        <w:rPr>
          <w:sz w:val="28"/>
          <w:szCs w:val="28"/>
          <w:lang w:val="en-US"/>
        </w:rPr>
        <w:t>Ss</w:t>
      </w:r>
      <w:r w:rsidR="00CD60CE">
        <w:rPr>
          <w:sz w:val="28"/>
          <w:szCs w:val="28"/>
          <w:lang w:val="en-US"/>
        </w:rPr>
        <w:t>enyange</w:t>
      </w:r>
      <w:proofErr w:type="spellEnd"/>
      <w:r w:rsidR="00CD60CE">
        <w:rPr>
          <w:sz w:val="28"/>
          <w:szCs w:val="28"/>
          <w:lang w:val="en-US"/>
        </w:rPr>
        <w:t xml:space="preserve"> (“the pastor”).</w:t>
      </w:r>
    </w:p>
    <w:p w14:paraId="0BE6DD2D" w14:textId="77777777" w:rsidR="00A03EC1" w:rsidRPr="00A03EC1" w:rsidRDefault="00A03EC1" w:rsidP="00F67B74">
      <w:pPr>
        <w:pStyle w:val="ListParagraph"/>
        <w:spacing w:line="360" w:lineRule="auto"/>
        <w:rPr>
          <w:sz w:val="28"/>
          <w:szCs w:val="28"/>
          <w:lang w:val="en-US"/>
        </w:rPr>
      </w:pPr>
    </w:p>
    <w:p w14:paraId="6F19B8CD" w14:textId="2B071BEA" w:rsidR="001263DC" w:rsidRDefault="00CD60CE" w:rsidP="00C34727">
      <w:pPr>
        <w:pStyle w:val="ListParagraph"/>
        <w:numPr>
          <w:ilvl w:val="0"/>
          <w:numId w:val="1"/>
        </w:numPr>
        <w:spacing w:line="360" w:lineRule="auto"/>
        <w:ind w:left="0" w:firstLine="0"/>
        <w:jc w:val="both"/>
        <w:rPr>
          <w:sz w:val="28"/>
          <w:szCs w:val="28"/>
          <w:lang w:val="en-US"/>
        </w:rPr>
      </w:pPr>
      <w:r>
        <w:rPr>
          <w:sz w:val="28"/>
          <w:szCs w:val="28"/>
          <w:lang w:val="en-US"/>
        </w:rPr>
        <w:t xml:space="preserve"> </w:t>
      </w:r>
      <w:r w:rsidR="00355EEF">
        <w:rPr>
          <w:sz w:val="28"/>
          <w:szCs w:val="28"/>
          <w:lang w:val="en-US"/>
        </w:rPr>
        <w:t xml:space="preserve">The Department alleges that the applicant was </w:t>
      </w:r>
      <w:r w:rsidR="00DE6132">
        <w:rPr>
          <w:sz w:val="28"/>
          <w:szCs w:val="28"/>
          <w:lang w:val="en-US"/>
        </w:rPr>
        <w:t xml:space="preserve">issued with a relative’s visa on 31 May 2013, but </w:t>
      </w:r>
      <w:r w:rsidR="00344CC6">
        <w:rPr>
          <w:sz w:val="28"/>
          <w:szCs w:val="28"/>
          <w:lang w:val="en-US"/>
        </w:rPr>
        <w:t xml:space="preserve">did not produce a copy of this visa. </w:t>
      </w:r>
      <w:r w:rsidR="00385C57">
        <w:rPr>
          <w:sz w:val="28"/>
          <w:szCs w:val="28"/>
          <w:lang w:val="en-US"/>
        </w:rPr>
        <w:t>The D</w:t>
      </w:r>
      <w:r w:rsidR="008D15C7">
        <w:rPr>
          <w:sz w:val="28"/>
          <w:szCs w:val="28"/>
          <w:lang w:val="en-US"/>
        </w:rPr>
        <w:t xml:space="preserve">G </w:t>
      </w:r>
      <w:r w:rsidR="00385C57">
        <w:rPr>
          <w:sz w:val="28"/>
          <w:szCs w:val="28"/>
          <w:lang w:val="en-US"/>
        </w:rPr>
        <w:t xml:space="preserve">who deposed to the answering affidavit on behalf of the respondents, </w:t>
      </w:r>
      <w:r w:rsidR="008235C3">
        <w:rPr>
          <w:sz w:val="28"/>
          <w:szCs w:val="28"/>
          <w:lang w:val="en-US"/>
        </w:rPr>
        <w:t xml:space="preserve">alleges that it is </w:t>
      </w:r>
      <w:r w:rsidR="00C9491D">
        <w:rPr>
          <w:sz w:val="28"/>
          <w:szCs w:val="28"/>
          <w:lang w:val="en-US"/>
        </w:rPr>
        <w:t xml:space="preserve">due to </w:t>
      </w:r>
      <w:r w:rsidR="008235C3">
        <w:rPr>
          <w:sz w:val="28"/>
          <w:szCs w:val="28"/>
          <w:lang w:val="en-US"/>
        </w:rPr>
        <w:t xml:space="preserve">the fact </w:t>
      </w:r>
      <w:r w:rsidR="001B4F50">
        <w:rPr>
          <w:sz w:val="28"/>
          <w:szCs w:val="28"/>
          <w:lang w:val="en-US"/>
        </w:rPr>
        <w:t xml:space="preserve">that </w:t>
      </w:r>
      <w:r w:rsidR="006B3B5F">
        <w:rPr>
          <w:sz w:val="28"/>
          <w:szCs w:val="28"/>
          <w:lang w:val="en-US"/>
        </w:rPr>
        <w:t xml:space="preserve">this visa could not </w:t>
      </w:r>
      <w:r w:rsidR="007D3110">
        <w:rPr>
          <w:sz w:val="28"/>
          <w:szCs w:val="28"/>
          <w:lang w:val="en-US"/>
        </w:rPr>
        <w:t xml:space="preserve">have </w:t>
      </w:r>
      <w:r w:rsidR="006B3B5F">
        <w:rPr>
          <w:sz w:val="28"/>
          <w:szCs w:val="28"/>
          <w:lang w:val="en-US"/>
        </w:rPr>
        <w:t>be</w:t>
      </w:r>
      <w:r w:rsidR="007D3110">
        <w:rPr>
          <w:sz w:val="28"/>
          <w:szCs w:val="28"/>
          <w:lang w:val="en-US"/>
        </w:rPr>
        <w:t>en</w:t>
      </w:r>
      <w:r w:rsidR="006B3B5F">
        <w:rPr>
          <w:sz w:val="28"/>
          <w:szCs w:val="28"/>
          <w:lang w:val="en-US"/>
        </w:rPr>
        <w:t xml:space="preserve"> extended which </w:t>
      </w:r>
      <w:r w:rsidR="00D36080">
        <w:rPr>
          <w:sz w:val="28"/>
          <w:szCs w:val="28"/>
          <w:lang w:val="en-US"/>
        </w:rPr>
        <w:t>motivated the applicant to commit fraud by obtaining a fraudulent visa</w:t>
      </w:r>
      <w:r w:rsidR="006B3B5F">
        <w:rPr>
          <w:sz w:val="28"/>
          <w:szCs w:val="28"/>
          <w:lang w:val="en-US"/>
        </w:rPr>
        <w:t>.</w:t>
      </w:r>
      <w:r w:rsidR="008235C3">
        <w:rPr>
          <w:sz w:val="28"/>
          <w:szCs w:val="28"/>
          <w:lang w:val="en-US"/>
        </w:rPr>
        <w:t xml:space="preserve"> </w:t>
      </w:r>
      <w:r w:rsidR="00344CC6">
        <w:rPr>
          <w:sz w:val="28"/>
          <w:szCs w:val="28"/>
          <w:lang w:val="en-US"/>
        </w:rPr>
        <w:t xml:space="preserve">The applicant, on the other hand, contends that she remained in South Africa </w:t>
      </w:r>
      <w:r w:rsidR="00305061">
        <w:rPr>
          <w:sz w:val="28"/>
          <w:szCs w:val="28"/>
          <w:lang w:val="en-US"/>
        </w:rPr>
        <w:t xml:space="preserve">after the expiry of her visitor’s visa by virtue </w:t>
      </w:r>
      <w:r w:rsidR="00DB4BC7">
        <w:rPr>
          <w:sz w:val="28"/>
          <w:szCs w:val="28"/>
          <w:lang w:val="en-US"/>
        </w:rPr>
        <w:t>of</w:t>
      </w:r>
      <w:r w:rsidR="007D3110">
        <w:rPr>
          <w:sz w:val="28"/>
          <w:szCs w:val="28"/>
          <w:lang w:val="en-US"/>
        </w:rPr>
        <w:t xml:space="preserve"> an </w:t>
      </w:r>
      <w:r w:rsidR="004F2183">
        <w:rPr>
          <w:sz w:val="28"/>
          <w:szCs w:val="28"/>
          <w:lang w:val="en-US"/>
        </w:rPr>
        <w:t xml:space="preserve">Immigration Directive 43 of 2010 </w:t>
      </w:r>
      <w:r w:rsidR="00837E2B">
        <w:rPr>
          <w:sz w:val="28"/>
          <w:szCs w:val="28"/>
          <w:lang w:val="en-US"/>
        </w:rPr>
        <w:t xml:space="preserve">(“the Directive”) </w:t>
      </w:r>
      <w:r w:rsidR="004F2183">
        <w:rPr>
          <w:sz w:val="28"/>
          <w:szCs w:val="28"/>
          <w:lang w:val="en-US"/>
        </w:rPr>
        <w:t xml:space="preserve">which was issued </w:t>
      </w:r>
      <w:r w:rsidR="007D3110">
        <w:rPr>
          <w:sz w:val="28"/>
          <w:szCs w:val="28"/>
          <w:lang w:val="en-US"/>
        </w:rPr>
        <w:t>as a result</w:t>
      </w:r>
      <w:r w:rsidR="004F2183">
        <w:rPr>
          <w:sz w:val="28"/>
          <w:szCs w:val="28"/>
          <w:lang w:val="en-US"/>
        </w:rPr>
        <w:t xml:space="preserve"> of the Department’s inability </w:t>
      </w:r>
      <w:r w:rsidR="00F94424">
        <w:rPr>
          <w:sz w:val="28"/>
          <w:szCs w:val="28"/>
          <w:lang w:val="en-US"/>
        </w:rPr>
        <w:t xml:space="preserve">to decide </w:t>
      </w:r>
      <w:r w:rsidR="007E6D05">
        <w:rPr>
          <w:sz w:val="28"/>
          <w:szCs w:val="28"/>
          <w:lang w:val="en-US"/>
        </w:rPr>
        <w:t>applications</w:t>
      </w:r>
      <w:r w:rsidR="00F94424">
        <w:rPr>
          <w:sz w:val="28"/>
          <w:szCs w:val="28"/>
          <w:lang w:val="en-US"/>
        </w:rPr>
        <w:t xml:space="preserve"> timeously.</w:t>
      </w:r>
      <w:r w:rsidR="007E6D05">
        <w:rPr>
          <w:sz w:val="28"/>
          <w:szCs w:val="28"/>
          <w:lang w:val="en-US"/>
        </w:rPr>
        <w:t xml:space="preserve"> A copy of the </w:t>
      </w:r>
      <w:r w:rsidR="00837E2B">
        <w:rPr>
          <w:sz w:val="28"/>
          <w:szCs w:val="28"/>
          <w:lang w:val="en-US"/>
        </w:rPr>
        <w:t>D</w:t>
      </w:r>
      <w:r w:rsidR="00824010">
        <w:rPr>
          <w:sz w:val="28"/>
          <w:szCs w:val="28"/>
          <w:lang w:val="en-US"/>
        </w:rPr>
        <w:t>irective is attached to the applicant’s replying affidavit</w:t>
      </w:r>
      <w:r w:rsidR="00724494">
        <w:rPr>
          <w:sz w:val="28"/>
          <w:szCs w:val="28"/>
          <w:lang w:val="en-US"/>
        </w:rPr>
        <w:t>.</w:t>
      </w:r>
      <w:r w:rsidR="00CF3160">
        <w:rPr>
          <w:sz w:val="28"/>
          <w:szCs w:val="28"/>
          <w:lang w:val="en-US"/>
        </w:rPr>
        <w:t xml:space="preserve"> </w:t>
      </w:r>
    </w:p>
    <w:p w14:paraId="4F9B3C1E" w14:textId="77777777" w:rsidR="00724494" w:rsidRPr="00724494" w:rsidRDefault="00724494" w:rsidP="00F67B74">
      <w:pPr>
        <w:pStyle w:val="ListParagraph"/>
        <w:spacing w:line="360" w:lineRule="auto"/>
        <w:rPr>
          <w:sz w:val="28"/>
          <w:szCs w:val="28"/>
          <w:lang w:val="en-US"/>
        </w:rPr>
      </w:pPr>
    </w:p>
    <w:p w14:paraId="6AE0DD6B" w14:textId="40FC957A" w:rsidR="00724494" w:rsidRDefault="007D3110" w:rsidP="00C34727">
      <w:pPr>
        <w:pStyle w:val="ListParagraph"/>
        <w:numPr>
          <w:ilvl w:val="0"/>
          <w:numId w:val="1"/>
        </w:numPr>
        <w:spacing w:line="360" w:lineRule="auto"/>
        <w:ind w:left="0" w:firstLine="0"/>
        <w:jc w:val="both"/>
        <w:rPr>
          <w:sz w:val="28"/>
          <w:szCs w:val="28"/>
          <w:lang w:val="en-US"/>
        </w:rPr>
      </w:pPr>
      <w:r>
        <w:rPr>
          <w:sz w:val="28"/>
          <w:szCs w:val="28"/>
          <w:lang w:val="en-US"/>
        </w:rPr>
        <w:lastRenderedPageBreak/>
        <w:t>In May 2014 t</w:t>
      </w:r>
      <w:r w:rsidR="00D617E3">
        <w:rPr>
          <w:sz w:val="28"/>
          <w:szCs w:val="28"/>
          <w:lang w:val="en-US"/>
        </w:rPr>
        <w:t>he Directive came to an end</w:t>
      </w:r>
      <w:r>
        <w:rPr>
          <w:sz w:val="28"/>
          <w:szCs w:val="28"/>
          <w:lang w:val="en-US"/>
        </w:rPr>
        <w:t>.</w:t>
      </w:r>
      <w:r w:rsidR="00D20BBC">
        <w:rPr>
          <w:sz w:val="28"/>
          <w:szCs w:val="28"/>
          <w:lang w:val="en-US"/>
        </w:rPr>
        <w:t xml:space="preserve"> The </w:t>
      </w:r>
      <w:r w:rsidR="00F13F17">
        <w:rPr>
          <w:sz w:val="28"/>
          <w:szCs w:val="28"/>
          <w:lang w:val="en-US"/>
        </w:rPr>
        <w:t xml:space="preserve">applicant avers that she feared returning to Uganda </w:t>
      </w:r>
      <w:r w:rsidR="00864FEF">
        <w:rPr>
          <w:sz w:val="28"/>
          <w:szCs w:val="28"/>
          <w:lang w:val="en-US"/>
        </w:rPr>
        <w:t>due to statement</w:t>
      </w:r>
      <w:r w:rsidR="001B4F50">
        <w:rPr>
          <w:sz w:val="28"/>
          <w:szCs w:val="28"/>
          <w:lang w:val="en-US"/>
        </w:rPr>
        <w:t>s</w:t>
      </w:r>
      <w:r w:rsidR="00864FEF">
        <w:rPr>
          <w:sz w:val="28"/>
          <w:szCs w:val="28"/>
          <w:lang w:val="en-US"/>
        </w:rPr>
        <w:t xml:space="preserve"> she made in </w:t>
      </w:r>
      <w:proofErr w:type="spellStart"/>
      <w:r w:rsidR="00864FEF">
        <w:rPr>
          <w:sz w:val="28"/>
          <w:szCs w:val="28"/>
          <w:lang w:val="en-US"/>
        </w:rPr>
        <w:t>favour</w:t>
      </w:r>
      <w:proofErr w:type="spellEnd"/>
      <w:r w:rsidR="00864FEF">
        <w:rPr>
          <w:sz w:val="28"/>
          <w:szCs w:val="28"/>
          <w:lang w:val="en-US"/>
        </w:rPr>
        <w:t xml:space="preserve"> of sexual </w:t>
      </w:r>
      <w:r w:rsidR="00857A8B">
        <w:rPr>
          <w:sz w:val="28"/>
          <w:szCs w:val="28"/>
          <w:lang w:val="en-US"/>
        </w:rPr>
        <w:t xml:space="preserve">minorities and LGBTQI persons </w:t>
      </w:r>
      <w:r w:rsidR="00E54C08">
        <w:rPr>
          <w:sz w:val="28"/>
          <w:szCs w:val="28"/>
          <w:lang w:val="en-US"/>
        </w:rPr>
        <w:t xml:space="preserve">(which is </w:t>
      </w:r>
      <w:proofErr w:type="spellStart"/>
      <w:r w:rsidR="00E54C08">
        <w:rPr>
          <w:sz w:val="28"/>
          <w:szCs w:val="28"/>
          <w:lang w:val="en-US"/>
        </w:rPr>
        <w:t>criminalised</w:t>
      </w:r>
      <w:proofErr w:type="spellEnd"/>
      <w:r w:rsidR="00E54C08">
        <w:rPr>
          <w:sz w:val="28"/>
          <w:szCs w:val="28"/>
          <w:lang w:val="en-US"/>
        </w:rPr>
        <w:t xml:space="preserve"> in Uganda)</w:t>
      </w:r>
      <w:r w:rsidR="00701B87">
        <w:rPr>
          <w:sz w:val="28"/>
          <w:szCs w:val="28"/>
          <w:lang w:val="en-US"/>
        </w:rPr>
        <w:t xml:space="preserve">. She therefore </w:t>
      </w:r>
      <w:r>
        <w:rPr>
          <w:sz w:val="28"/>
          <w:szCs w:val="28"/>
          <w:lang w:val="en-US"/>
        </w:rPr>
        <w:t>submitted an application</w:t>
      </w:r>
      <w:r w:rsidR="00701B87">
        <w:rPr>
          <w:sz w:val="28"/>
          <w:szCs w:val="28"/>
          <w:lang w:val="en-US"/>
        </w:rPr>
        <w:t xml:space="preserve"> </w:t>
      </w:r>
      <w:r w:rsidR="003A7E06">
        <w:rPr>
          <w:sz w:val="28"/>
          <w:szCs w:val="28"/>
          <w:lang w:val="en-US"/>
        </w:rPr>
        <w:t xml:space="preserve">for </w:t>
      </w:r>
      <w:r w:rsidR="00F9600F">
        <w:rPr>
          <w:sz w:val="28"/>
          <w:szCs w:val="28"/>
          <w:lang w:val="en-US"/>
        </w:rPr>
        <w:t xml:space="preserve">asylum </w:t>
      </w:r>
      <w:r w:rsidR="00231A71">
        <w:rPr>
          <w:sz w:val="28"/>
          <w:szCs w:val="28"/>
          <w:lang w:val="en-US"/>
        </w:rPr>
        <w:t>on 30 May 2014</w:t>
      </w:r>
      <w:r>
        <w:rPr>
          <w:sz w:val="28"/>
          <w:szCs w:val="28"/>
          <w:lang w:val="en-US"/>
        </w:rPr>
        <w:t>,</w:t>
      </w:r>
      <w:r w:rsidR="00231A71">
        <w:rPr>
          <w:sz w:val="28"/>
          <w:szCs w:val="28"/>
          <w:lang w:val="en-US"/>
        </w:rPr>
        <w:t xml:space="preserve"> and was subsequently </w:t>
      </w:r>
      <w:r>
        <w:rPr>
          <w:sz w:val="28"/>
          <w:szCs w:val="28"/>
          <w:lang w:val="en-US"/>
        </w:rPr>
        <w:t xml:space="preserve">granted a </w:t>
      </w:r>
      <w:proofErr w:type="gramStart"/>
      <w:r>
        <w:rPr>
          <w:sz w:val="28"/>
          <w:szCs w:val="28"/>
          <w:lang w:val="en-US"/>
        </w:rPr>
        <w:t xml:space="preserve">visa </w:t>
      </w:r>
      <w:r w:rsidR="00231A71">
        <w:rPr>
          <w:sz w:val="28"/>
          <w:szCs w:val="28"/>
          <w:lang w:val="en-US"/>
        </w:rPr>
        <w:t xml:space="preserve"> in</w:t>
      </w:r>
      <w:proofErr w:type="gramEnd"/>
      <w:r w:rsidR="00231A71">
        <w:rPr>
          <w:sz w:val="28"/>
          <w:szCs w:val="28"/>
          <w:lang w:val="en-US"/>
        </w:rPr>
        <w:t xml:space="preserve"> terms of section </w:t>
      </w:r>
      <w:r w:rsidR="00796C1A">
        <w:rPr>
          <w:sz w:val="28"/>
          <w:szCs w:val="28"/>
          <w:lang w:val="en-US"/>
        </w:rPr>
        <w:t>22 of the Refugees Act 130 of 1998 (</w:t>
      </w:r>
      <w:r w:rsidR="00C63030">
        <w:rPr>
          <w:sz w:val="28"/>
          <w:szCs w:val="28"/>
          <w:lang w:val="en-US"/>
        </w:rPr>
        <w:t>“the section 22 visa”)</w:t>
      </w:r>
      <w:r>
        <w:rPr>
          <w:sz w:val="28"/>
          <w:szCs w:val="28"/>
          <w:lang w:val="en-US"/>
        </w:rPr>
        <w:t>. This visa</w:t>
      </w:r>
      <w:r w:rsidR="00441553">
        <w:rPr>
          <w:sz w:val="28"/>
          <w:szCs w:val="28"/>
          <w:lang w:val="en-US"/>
        </w:rPr>
        <w:t xml:space="preserve"> </w:t>
      </w:r>
      <w:r w:rsidR="00E62C04">
        <w:rPr>
          <w:sz w:val="28"/>
          <w:szCs w:val="28"/>
          <w:lang w:val="en-US"/>
        </w:rPr>
        <w:t>is valid for six months at a time</w:t>
      </w:r>
      <w:r w:rsidR="00C63030">
        <w:rPr>
          <w:sz w:val="28"/>
          <w:szCs w:val="28"/>
          <w:lang w:val="en-US"/>
        </w:rPr>
        <w:t>. She</w:t>
      </w:r>
      <w:r w:rsidR="00441553">
        <w:rPr>
          <w:sz w:val="28"/>
          <w:szCs w:val="28"/>
          <w:lang w:val="en-US"/>
        </w:rPr>
        <w:t xml:space="preserve"> periodically renewed the section 22 visa</w:t>
      </w:r>
      <w:r w:rsidR="00E62C04">
        <w:rPr>
          <w:sz w:val="28"/>
          <w:szCs w:val="28"/>
          <w:lang w:val="en-US"/>
        </w:rPr>
        <w:t xml:space="preserve"> </w:t>
      </w:r>
      <w:r w:rsidR="0025477B">
        <w:rPr>
          <w:sz w:val="28"/>
          <w:szCs w:val="28"/>
          <w:lang w:val="en-US"/>
        </w:rPr>
        <w:t xml:space="preserve">and sojourned in South Africa on the </w:t>
      </w:r>
      <w:r w:rsidR="00436DA8">
        <w:rPr>
          <w:sz w:val="28"/>
          <w:szCs w:val="28"/>
          <w:lang w:val="en-US"/>
        </w:rPr>
        <w:t>basis of this visa</w:t>
      </w:r>
      <w:r w:rsidR="00D2504D">
        <w:rPr>
          <w:sz w:val="28"/>
          <w:szCs w:val="28"/>
          <w:lang w:val="en-US"/>
        </w:rPr>
        <w:t xml:space="preserve"> ever since</w:t>
      </w:r>
      <w:r w:rsidR="00780E21">
        <w:rPr>
          <w:sz w:val="28"/>
          <w:szCs w:val="28"/>
          <w:lang w:val="en-US"/>
        </w:rPr>
        <w:t>.</w:t>
      </w:r>
    </w:p>
    <w:p w14:paraId="112D9FE8" w14:textId="77777777" w:rsidR="00436DA8" w:rsidRPr="00436DA8" w:rsidRDefault="00436DA8" w:rsidP="00F67B74">
      <w:pPr>
        <w:pStyle w:val="ListParagraph"/>
        <w:spacing w:line="360" w:lineRule="auto"/>
        <w:rPr>
          <w:sz w:val="28"/>
          <w:szCs w:val="28"/>
          <w:lang w:val="en-US"/>
        </w:rPr>
      </w:pPr>
    </w:p>
    <w:p w14:paraId="2D4A4FF0" w14:textId="06570D4A" w:rsidR="00A251FE" w:rsidRDefault="00FD4ACE" w:rsidP="00C34727">
      <w:pPr>
        <w:pStyle w:val="ListParagraph"/>
        <w:numPr>
          <w:ilvl w:val="0"/>
          <w:numId w:val="1"/>
        </w:numPr>
        <w:spacing w:line="360" w:lineRule="auto"/>
        <w:ind w:left="0" w:firstLine="0"/>
        <w:jc w:val="both"/>
        <w:rPr>
          <w:sz w:val="28"/>
          <w:szCs w:val="28"/>
          <w:lang w:val="en-US"/>
        </w:rPr>
      </w:pPr>
      <w:r>
        <w:rPr>
          <w:sz w:val="28"/>
          <w:szCs w:val="28"/>
          <w:lang w:val="en-US"/>
        </w:rPr>
        <w:t xml:space="preserve">The </w:t>
      </w:r>
      <w:r w:rsidR="00BA1833">
        <w:rPr>
          <w:sz w:val="28"/>
          <w:szCs w:val="28"/>
          <w:lang w:val="en-US"/>
        </w:rPr>
        <w:t xml:space="preserve">applicant received no outcome </w:t>
      </w:r>
      <w:r w:rsidR="00AC7B94">
        <w:rPr>
          <w:sz w:val="28"/>
          <w:szCs w:val="28"/>
          <w:lang w:val="en-US"/>
        </w:rPr>
        <w:t xml:space="preserve">in respect of her application for a work visa and </w:t>
      </w:r>
      <w:r w:rsidR="00FB731C">
        <w:rPr>
          <w:sz w:val="28"/>
          <w:szCs w:val="28"/>
          <w:lang w:val="en-US"/>
        </w:rPr>
        <w:t xml:space="preserve">avers that she </w:t>
      </w:r>
      <w:r w:rsidR="00AC7B94">
        <w:rPr>
          <w:sz w:val="28"/>
          <w:szCs w:val="28"/>
          <w:lang w:val="en-US"/>
        </w:rPr>
        <w:t xml:space="preserve">eventually lost faith in the pastor. </w:t>
      </w:r>
      <w:r w:rsidR="00FB731C">
        <w:rPr>
          <w:sz w:val="28"/>
          <w:szCs w:val="28"/>
          <w:lang w:val="en-US"/>
        </w:rPr>
        <w:t>On her version, she follow</w:t>
      </w:r>
      <w:r w:rsidR="00FE47BA">
        <w:rPr>
          <w:sz w:val="28"/>
          <w:szCs w:val="28"/>
          <w:lang w:val="en-US"/>
        </w:rPr>
        <w:t>ed</w:t>
      </w:r>
      <w:r w:rsidR="00FB731C">
        <w:rPr>
          <w:sz w:val="28"/>
          <w:szCs w:val="28"/>
          <w:lang w:val="en-US"/>
        </w:rPr>
        <w:t xml:space="preserve"> up with the Department herself</w:t>
      </w:r>
      <w:r w:rsidR="00C57B86">
        <w:rPr>
          <w:sz w:val="28"/>
          <w:szCs w:val="28"/>
          <w:lang w:val="en-US"/>
        </w:rPr>
        <w:t xml:space="preserve">. She recorded some of the reference numbers she was given </w:t>
      </w:r>
      <w:r w:rsidR="00D855D7">
        <w:rPr>
          <w:sz w:val="28"/>
          <w:szCs w:val="28"/>
          <w:lang w:val="en-US"/>
        </w:rPr>
        <w:t xml:space="preserve">and noted these numbers in her founding affidavit </w:t>
      </w:r>
      <w:r w:rsidR="007D3110">
        <w:rPr>
          <w:sz w:val="28"/>
          <w:szCs w:val="28"/>
          <w:lang w:val="en-US"/>
        </w:rPr>
        <w:t xml:space="preserve">along </w:t>
      </w:r>
      <w:r w:rsidR="00D855D7">
        <w:rPr>
          <w:sz w:val="28"/>
          <w:szCs w:val="28"/>
          <w:lang w:val="en-US"/>
        </w:rPr>
        <w:t xml:space="preserve">with the names </w:t>
      </w:r>
      <w:r w:rsidR="00F95B2E">
        <w:rPr>
          <w:sz w:val="28"/>
          <w:szCs w:val="28"/>
          <w:lang w:val="en-US"/>
        </w:rPr>
        <w:t xml:space="preserve">of officials from the Department with whom she had spoken to </w:t>
      </w:r>
      <w:r w:rsidR="00285080">
        <w:rPr>
          <w:sz w:val="28"/>
          <w:szCs w:val="28"/>
          <w:lang w:val="en-US"/>
        </w:rPr>
        <w:t>on s</w:t>
      </w:r>
      <w:r w:rsidR="007D3110">
        <w:rPr>
          <w:sz w:val="28"/>
          <w:szCs w:val="28"/>
          <w:lang w:val="en-US"/>
        </w:rPr>
        <w:t>everal</w:t>
      </w:r>
      <w:r w:rsidR="00285080">
        <w:rPr>
          <w:sz w:val="28"/>
          <w:szCs w:val="28"/>
          <w:lang w:val="en-US"/>
        </w:rPr>
        <w:t xml:space="preserve"> of these occasions.</w:t>
      </w:r>
      <w:r w:rsidR="00D12744">
        <w:rPr>
          <w:sz w:val="28"/>
          <w:szCs w:val="28"/>
          <w:lang w:val="en-US"/>
        </w:rPr>
        <w:t xml:space="preserve"> The DG denies these allegations</w:t>
      </w:r>
      <w:r w:rsidR="00C44806">
        <w:rPr>
          <w:sz w:val="28"/>
          <w:szCs w:val="28"/>
          <w:lang w:val="en-US"/>
        </w:rPr>
        <w:t xml:space="preserve">, without reference to the reference numbers of the queries </w:t>
      </w:r>
      <w:r w:rsidR="0087630C">
        <w:rPr>
          <w:sz w:val="28"/>
          <w:szCs w:val="28"/>
          <w:lang w:val="en-US"/>
        </w:rPr>
        <w:t xml:space="preserve">noted by the applicant. In terms of the </w:t>
      </w:r>
      <w:proofErr w:type="spellStart"/>
      <w:r w:rsidR="0087630C">
        <w:rPr>
          <w:sz w:val="28"/>
          <w:szCs w:val="28"/>
          <w:lang w:val="en-US"/>
        </w:rPr>
        <w:t>Plascon</w:t>
      </w:r>
      <w:proofErr w:type="spellEnd"/>
      <w:r w:rsidR="0087630C">
        <w:rPr>
          <w:sz w:val="28"/>
          <w:szCs w:val="28"/>
          <w:lang w:val="en-US"/>
        </w:rPr>
        <w:t xml:space="preserve">-Evans </w:t>
      </w:r>
      <w:r w:rsidR="00C167CF">
        <w:rPr>
          <w:sz w:val="28"/>
          <w:szCs w:val="28"/>
          <w:lang w:val="en-US"/>
        </w:rPr>
        <w:t xml:space="preserve">rule, </w:t>
      </w:r>
      <w:r w:rsidR="000D7973">
        <w:rPr>
          <w:sz w:val="28"/>
          <w:szCs w:val="28"/>
          <w:lang w:val="en-US"/>
        </w:rPr>
        <w:t xml:space="preserve">and because of theses blank denials, </w:t>
      </w:r>
      <w:r w:rsidR="00467008">
        <w:rPr>
          <w:sz w:val="28"/>
          <w:szCs w:val="28"/>
          <w:lang w:val="en-US"/>
        </w:rPr>
        <w:t xml:space="preserve">the version of the applicant </w:t>
      </w:r>
      <w:r w:rsidR="00915683">
        <w:rPr>
          <w:sz w:val="28"/>
          <w:szCs w:val="28"/>
          <w:lang w:val="en-US"/>
        </w:rPr>
        <w:t>should be accepted in relation to her queries with the Department.</w:t>
      </w:r>
    </w:p>
    <w:p w14:paraId="16E983F4" w14:textId="77777777" w:rsidR="00A251FE" w:rsidRPr="00A251FE" w:rsidRDefault="00A251FE" w:rsidP="00F67B74">
      <w:pPr>
        <w:pStyle w:val="ListParagraph"/>
        <w:spacing w:line="360" w:lineRule="auto"/>
        <w:rPr>
          <w:sz w:val="28"/>
          <w:szCs w:val="28"/>
          <w:lang w:val="en-US"/>
        </w:rPr>
      </w:pPr>
    </w:p>
    <w:p w14:paraId="5F7B1DA8" w14:textId="4675789E" w:rsidR="00436DA8" w:rsidRDefault="00C44806" w:rsidP="00C34727">
      <w:pPr>
        <w:pStyle w:val="ListParagraph"/>
        <w:numPr>
          <w:ilvl w:val="0"/>
          <w:numId w:val="1"/>
        </w:numPr>
        <w:spacing w:line="360" w:lineRule="auto"/>
        <w:ind w:left="0" w:firstLine="0"/>
        <w:jc w:val="both"/>
        <w:rPr>
          <w:sz w:val="28"/>
          <w:szCs w:val="28"/>
          <w:lang w:val="en-US"/>
        </w:rPr>
      </w:pPr>
      <w:r>
        <w:rPr>
          <w:sz w:val="28"/>
          <w:szCs w:val="28"/>
          <w:lang w:val="en-US"/>
        </w:rPr>
        <w:t xml:space="preserve"> </w:t>
      </w:r>
      <w:r w:rsidR="00E37EF6">
        <w:rPr>
          <w:sz w:val="28"/>
          <w:szCs w:val="28"/>
          <w:lang w:val="en-US"/>
        </w:rPr>
        <w:t xml:space="preserve">The applicant further </w:t>
      </w:r>
      <w:r w:rsidR="00423E49">
        <w:rPr>
          <w:sz w:val="28"/>
          <w:szCs w:val="28"/>
          <w:lang w:val="en-US"/>
        </w:rPr>
        <w:t>states</w:t>
      </w:r>
      <w:r w:rsidR="00E37EF6">
        <w:rPr>
          <w:sz w:val="28"/>
          <w:szCs w:val="28"/>
          <w:lang w:val="en-US"/>
        </w:rPr>
        <w:t xml:space="preserve"> that a work colleague </w:t>
      </w:r>
      <w:r w:rsidR="007D3110">
        <w:rPr>
          <w:sz w:val="28"/>
          <w:szCs w:val="28"/>
          <w:lang w:val="en-US"/>
        </w:rPr>
        <w:t xml:space="preserve">informed </w:t>
      </w:r>
      <w:r w:rsidR="00E37EF6">
        <w:rPr>
          <w:sz w:val="28"/>
          <w:szCs w:val="28"/>
          <w:lang w:val="en-US"/>
        </w:rPr>
        <w:t xml:space="preserve">her that a </w:t>
      </w:r>
      <w:proofErr w:type="spellStart"/>
      <w:r w:rsidR="00E37EF6">
        <w:rPr>
          <w:sz w:val="28"/>
          <w:szCs w:val="28"/>
          <w:lang w:val="en-US"/>
        </w:rPr>
        <w:t>Mr</w:t>
      </w:r>
      <w:proofErr w:type="spellEnd"/>
      <w:r w:rsidR="00E37EF6">
        <w:rPr>
          <w:sz w:val="28"/>
          <w:szCs w:val="28"/>
          <w:lang w:val="en-US"/>
        </w:rPr>
        <w:t xml:space="preserve"> </w:t>
      </w:r>
      <w:proofErr w:type="spellStart"/>
      <w:r w:rsidR="00E37EF6">
        <w:rPr>
          <w:sz w:val="28"/>
          <w:szCs w:val="28"/>
          <w:lang w:val="en-US"/>
        </w:rPr>
        <w:t>Masondo</w:t>
      </w:r>
      <w:proofErr w:type="spellEnd"/>
      <w:r w:rsidR="00E37EF6">
        <w:rPr>
          <w:sz w:val="28"/>
          <w:szCs w:val="28"/>
          <w:lang w:val="en-US"/>
        </w:rPr>
        <w:t xml:space="preserve">, who also worked with the applicant at the time, </w:t>
      </w:r>
      <w:r w:rsidR="00260916">
        <w:rPr>
          <w:sz w:val="28"/>
          <w:szCs w:val="28"/>
          <w:lang w:val="en-US"/>
        </w:rPr>
        <w:t>knew of a</w:t>
      </w:r>
      <w:r w:rsidR="007D3110">
        <w:rPr>
          <w:sz w:val="28"/>
          <w:szCs w:val="28"/>
          <w:lang w:val="en-US"/>
        </w:rPr>
        <w:t xml:space="preserve"> reputable </w:t>
      </w:r>
      <w:r w:rsidR="00E850CA">
        <w:rPr>
          <w:sz w:val="28"/>
          <w:szCs w:val="28"/>
          <w:lang w:val="en-US"/>
        </w:rPr>
        <w:t xml:space="preserve">immigration agent who had helped </w:t>
      </w:r>
      <w:r w:rsidR="000142A0">
        <w:rPr>
          <w:sz w:val="28"/>
          <w:szCs w:val="28"/>
          <w:lang w:val="en-US"/>
        </w:rPr>
        <w:t>him and other</w:t>
      </w:r>
      <w:r w:rsidR="007D3110">
        <w:rPr>
          <w:sz w:val="28"/>
          <w:szCs w:val="28"/>
          <w:lang w:val="en-US"/>
        </w:rPr>
        <w:t>s</w:t>
      </w:r>
      <w:r w:rsidR="000142A0">
        <w:rPr>
          <w:sz w:val="28"/>
          <w:szCs w:val="28"/>
          <w:lang w:val="en-US"/>
        </w:rPr>
        <w:t xml:space="preserve"> to </w:t>
      </w:r>
      <w:r w:rsidR="007D3110">
        <w:rPr>
          <w:sz w:val="28"/>
          <w:szCs w:val="28"/>
          <w:lang w:val="en-US"/>
        </w:rPr>
        <w:t xml:space="preserve">acquire </w:t>
      </w:r>
      <w:r w:rsidR="000142A0">
        <w:rPr>
          <w:sz w:val="28"/>
          <w:szCs w:val="28"/>
          <w:lang w:val="en-US"/>
        </w:rPr>
        <w:t xml:space="preserve">visas. </w:t>
      </w:r>
      <w:r w:rsidR="003105DB">
        <w:rPr>
          <w:sz w:val="28"/>
          <w:szCs w:val="28"/>
          <w:lang w:val="en-US"/>
        </w:rPr>
        <w:t xml:space="preserve">The applicant approached </w:t>
      </w:r>
      <w:proofErr w:type="spellStart"/>
      <w:r w:rsidR="003105DB">
        <w:rPr>
          <w:sz w:val="28"/>
          <w:szCs w:val="28"/>
          <w:lang w:val="en-US"/>
        </w:rPr>
        <w:t>Mr</w:t>
      </w:r>
      <w:proofErr w:type="spellEnd"/>
      <w:r w:rsidR="003105DB">
        <w:rPr>
          <w:sz w:val="28"/>
          <w:szCs w:val="28"/>
          <w:lang w:val="en-US"/>
        </w:rPr>
        <w:t xml:space="preserve"> </w:t>
      </w:r>
      <w:proofErr w:type="spellStart"/>
      <w:r w:rsidR="003105DB">
        <w:rPr>
          <w:sz w:val="28"/>
          <w:szCs w:val="28"/>
          <w:lang w:val="en-US"/>
        </w:rPr>
        <w:t>Masondo</w:t>
      </w:r>
      <w:proofErr w:type="spellEnd"/>
      <w:r w:rsidR="007D3110">
        <w:rPr>
          <w:sz w:val="28"/>
          <w:szCs w:val="28"/>
          <w:lang w:val="en-US"/>
        </w:rPr>
        <w:t xml:space="preserve"> for help</w:t>
      </w:r>
      <w:r w:rsidR="003105DB">
        <w:rPr>
          <w:sz w:val="28"/>
          <w:szCs w:val="28"/>
          <w:lang w:val="en-US"/>
        </w:rPr>
        <w:t xml:space="preserve"> and on his advice </w:t>
      </w:r>
      <w:r w:rsidR="003E488C">
        <w:rPr>
          <w:sz w:val="28"/>
          <w:szCs w:val="28"/>
          <w:lang w:val="en-US"/>
        </w:rPr>
        <w:t>re-submitted her work visa application via the agen</w:t>
      </w:r>
      <w:r w:rsidR="007D3110">
        <w:rPr>
          <w:sz w:val="28"/>
          <w:szCs w:val="28"/>
          <w:lang w:val="en-US"/>
        </w:rPr>
        <w:t>cy</w:t>
      </w:r>
      <w:r w:rsidR="003E488C">
        <w:rPr>
          <w:sz w:val="28"/>
          <w:szCs w:val="28"/>
          <w:lang w:val="en-US"/>
        </w:rPr>
        <w:t>.</w:t>
      </w:r>
      <w:r w:rsidR="003F7C5F">
        <w:rPr>
          <w:sz w:val="28"/>
          <w:szCs w:val="28"/>
          <w:lang w:val="en-US"/>
        </w:rPr>
        <w:t xml:space="preserve"> </w:t>
      </w:r>
      <w:r w:rsidR="001B004B">
        <w:rPr>
          <w:sz w:val="28"/>
          <w:szCs w:val="28"/>
          <w:lang w:val="en-US"/>
        </w:rPr>
        <w:t xml:space="preserve">The applicant initially did not know the identity of the immigration agent, but </w:t>
      </w:r>
      <w:r w:rsidR="007D3110">
        <w:rPr>
          <w:sz w:val="28"/>
          <w:szCs w:val="28"/>
          <w:lang w:val="en-US"/>
        </w:rPr>
        <w:t>subsequently</w:t>
      </w:r>
      <w:r w:rsidR="001B004B">
        <w:rPr>
          <w:sz w:val="28"/>
          <w:szCs w:val="28"/>
          <w:lang w:val="en-US"/>
        </w:rPr>
        <w:t xml:space="preserve">, through </w:t>
      </w:r>
      <w:proofErr w:type="spellStart"/>
      <w:r w:rsidR="001B004B">
        <w:rPr>
          <w:sz w:val="28"/>
          <w:szCs w:val="28"/>
          <w:lang w:val="en-US"/>
        </w:rPr>
        <w:t>sms</w:t>
      </w:r>
      <w:proofErr w:type="spellEnd"/>
      <w:r w:rsidR="001B004B">
        <w:rPr>
          <w:sz w:val="28"/>
          <w:szCs w:val="28"/>
          <w:lang w:val="en-US"/>
        </w:rPr>
        <w:t xml:space="preserve"> </w:t>
      </w:r>
      <w:r w:rsidR="001B004B">
        <w:rPr>
          <w:sz w:val="28"/>
          <w:szCs w:val="28"/>
          <w:lang w:val="en-US"/>
        </w:rPr>
        <w:lastRenderedPageBreak/>
        <w:t xml:space="preserve">communication, learnt that the agent was one named “Jason” from </w:t>
      </w:r>
      <w:r w:rsidR="008D335F">
        <w:rPr>
          <w:sz w:val="28"/>
          <w:szCs w:val="28"/>
          <w:lang w:val="en-US"/>
        </w:rPr>
        <w:t>SA Migration, a specialist immigration firm.</w:t>
      </w:r>
    </w:p>
    <w:p w14:paraId="58F8A46E" w14:textId="77777777" w:rsidR="004708CA" w:rsidRPr="004708CA" w:rsidRDefault="004708CA" w:rsidP="00F67B74">
      <w:pPr>
        <w:pStyle w:val="ListParagraph"/>
        <w:spacing w:line="360" w:lineRule="auto"/>
        <w:rPr>
          <w:sz w:val="28"/>
          <w:szCs w:val="28"/>
          <w:lang w:val="en-US"/>
        </w:rPr>
      </w:pPr>
    </w:p>
    <w:p w14:paraId="573DD2EE" w14:textId="6C2C6CCF" w:rsidR="00107EB3" w:rsidRDefault="00107EB3" w:rsidP="00C34727">
      <w:pPr>
        <w:pStyle w:val="ListParagraph"/>
        <w:numPr>
          <w:ilvl w:val="0"/>
          <w:numId w:val="1"/>
        </w:numPr>
        <w:spacing w:line="360" w:lineRule="auto"/>
        <w:ind w:left="0" w:firstLine="0"/>
        <w:jc w:val="both"/>
        <w:rPr>
          <w:sz w:val="28"/>
          <w:szCs w:val="28"/>
          <w:lang w:val="en-US"/>
        </w:rPr>
      </w:pPr>
      <w:r>
        <w:rPr>
          <w:sz w:val="28"/>
          <w:szCs w:val="28"/>
          <w:lang w:val="en-US"/>
        </w:rPr>
        <w:t xml:space="preserve">The applicant paid </w:t>
      </w:r>
      <w:proofErr w:type="spellStart"/>
      <w:r>
        <w:rPr>
          <w:sz w:val="28"/>
          <w:szCs w:val="28"/>
          <w:lang w:val="en-US"/>
        </w:rPr>
        <w:t>Mr</w:t>
      </w:r>
      <w:proofErr w:type="spellEnd"/>
      <w:r>
        <w:rPr>
          <w:sz w:val="28"/>
          <w:szCs w:val="28"/>
          <w:lang w:val="en-US"/>
        </w:rPr>
        <w:t xml:space="preserve"> </w:t>
      </w:r>
      <w:proofErr w:type="spellStart"/>
      <w:r>
        <w:rPr>
          <w:sz w:val="28"/>
          <w:szCs w:val="28"/>
          <w:lang w:val="en-US"/>
        </w:rPr>
        <w:t>Masondo</w:t>
      </w:r>
      <w:proofErr w:type="spellEnd"/>
      <w:r>
        <w:rPr>
          <w:sz w:val="28"/>
          <w:szCs w:val="28"/>
          <w:lang w:val="en-US"/>
        </w:rPr>
        <w:t xml:space="preserve"> R12 000.00 for the services of the immigration agen</w:t>
      </w:r>
      <w:r w:rsidR="004A0C4B">
        <w:rPr>
          <w:sz w:val="28"/>
          <w:szCs w:val="28"/>
          <w:lang w:val="en-US"/>
        </w:rPr>
        <w:t>cy</w:t>
      </w:r>
      <w:r>
        <w:rPr>
          <w:sz w:val="28"/>
          <w:szCs w:val="28"/>
          <w:lang w:val="en-US"/>
        </w:rPr>
        <w:t xml:space="preserve"> and submitted all the necessary documentation via </w:t>
      </w:r>
      <w:proofErr w:type="spellStart"/>
      <w:r>
        <w:rPr>
          <w:sz w:val="28"/>
          <w:szCs w:val="28"/>
          <w:lang w:val="en-US"/>
        </w:rPr>
        <w:t>Mr</w:t>
      </w:r>
      <w:proofErr w:type="spellEnd"/>
      <w:r>
        <w:rPr>
          <w:sz w:val="28"/>
          <w:szCs w:val="28"/>
          <w:lang w:val="en-US"/>
        </w:rPr>
        <w:t xml:space="preserve"> </w:t>
      </w:r>
      <w:proofErr w:type="spellStart"/>
      <w:r>
        <w:rPr>
          <w:sz w:val="28"/>
          <w:szCs w:val="28"/>
          <w:lang w:val="en-US"/>
        </w:rPr>
        <w:t>Masondo</w:t>
      </w:r>
      <w:proofErr w:type="spellEnd"/>
      <w:r>
        <w:rPr>
          <w:sz w:val="28"/>
          <w:szCs w:val="28"/>
          <w:lang w:val="en-US"/>
        </w:rPr>
        <w:t>.</w:t>
      </w:r>
    </w:p>
    <w:p w14:paraId="79D1E3A7" w14:textId="77777777" w:rsidR="00107EB3" w:rsidRPr="00107EB3" w:rsidRDefault="00107EB3" w:rsidP="00F67B74">
      <w:pPr>
        <w:pStyle w:val="ListParagraph"/>
        <w:spacing w:line="360" w:lineRule="auto"/>
        <w:rPr>
          <w:sz w:val="28"/>
          <w:szCs w:val="28"/>
          <w:lang w:val="en-US"/>
        </w:rPr>
      </w:pPr>
    </w:p>
    <w:p w14:paraId="60BD4B25" w14:textId="5CD692C4" w:rsidR="004708CA" w:rsidRDefault="00131188" w:rsidP="00C34727">
      <w:pPr>
        <w:pStyle w:val="ListParagraph"/>
        <w:numPr>
          <w:ilvl w:val="0"/>
          <w:numId w:val="1"/>
        </w:numPr>
        <w:spacing w:line="360" w:lineRule="auto"/>
        <w:ind w:left="0" w:firstLine="0"/>
        <w:jc w:val="both"/>
        <w:rPr>
          <w:sz w:val="28"/>
          <w:szCs w:val="28"/>
          <w:lang w:val="en-US"/>
        </w:rPr>
      </w:pPr>
      <w:r>
        <w:rPr>
          <w:sz w:val="28"/>
          <w:szCs w:val="28"/>
          <w:lang w:val="en-US"/>
        </w:rPr>
        <w:t xml:space="preserve">During early 2015, </w:t>
      </w:r>
      <w:proofErr w:type="spellStart"/>
      <w:r>
        <w:rPr>
          <w:sz w:val="28"/>
          <w:szCs w:val="28"/>
          <w:lang w:val="en-US"/>
        </w:rPr>
        <w:t>Mr</w:t>
      </w:r>
      <w:proofErr w:type="spellEnd"/>
      <w:r>
        <w:rPr>
          <w:sz w:val="28"/>
          <w:szCs w:val="28"/>
          <w:lang w:val="en-US"/>
        </w:rPr>
        <w:t xml:space="preserve"> </w:t>
      </w:r>
      <w:proofErr w:type="spellStart"/>
      <w:r>
        <w:rPr>
          <w:sz w:val="28"/>
          <w:szCs w:val="28"/>
          <w:lang w:val="en-US"/>
        </w:rPr>
        <w:t>Masondo</w:t>
      </w:r>
      <w:proofErr w:type="spellEnd"/>
      <w:r>
        <w:rPr>
          <w:sz w:val="28"/>
          <w:szCs w:val="28"/>
          <w:lang w:val="en-US"/>
        </w:rPr>
        <w:t xml:space="preserve"> indicated that </w:t>
      </w:r>
      <w:r w:rsidR="00143951">
        <w:rPr>
          <w:sz w:val="28"/>
          <w:szCs w:val="28"/>
          <w:lang w:val="en-US"/>
        </w:rPr>
        <w:t xml:space="preserve">the applicant’s work visa had been </w:t>
      </w:r>
      <w:proofErr w:type="spellStart"/>
      <w:r w:rsidR="00865F3F">
        <w:rPr>
          <w:sz w:val="28"/>
          <w:szCs w:val="28"/>
          <w:lang w:val="en-US"/>
        </w:rPr>
        <w:t>favourably</w:t>
      </w:r>
      <w:proofErr w:type="spellEnd"/>
      <w:r w:rsidR="00865F3F">
        <w:rPr>
          <w:sz w:val="28"/>
          <w:szCs w:val="28"/>
          <w:lang w:val="en-US"/>
        </w:rPr>
        <w:t xml:space="preserve"> </w:t>
      </w:r>
      <w:r w:rsidR="005E2748">
        <w:rPr>
          <w:sz w:val="28"/>
          <w:szCs w:val="28"/>
          <w:lang w:val="en-US"/>
        </w:rPr>
        <w:t>d</w:t>
      </w:r>
      <w:r w:rsidR="001D2E28">
        <w:rPr>
          <w:sz w:val="28"/>
          <w:szCs w:val="28"/>
          <w:lang w:val="en-US"/>
        </w:rPr>
        <w:t>e</w:t>
      </w:r>
      <w:r w:rsidR="005E2748">
        <w:rPr>
          <w:sz w:val="28"/>
          <w:szCs w:val="28"/>
          <w:lang w:val="en-US"/>
        </w:rPr>
        <w:t xml:space="preserve">cided. He took the applicant’s passport and returned it with the work visa </w:t>
      </w:r>
      <w:r w:rsidR="001D2E28">
        <w:rPr>
          <w:sz w:val="28"/>
          <w:szCs w:val="28"/>
          <w:lang w:val="en-US"/>
        </w:rPr>
        <w:t xml:space="preserve">embossed therein. </w:t>
      </w:r>
    </w:p>
    <w:p w14:paraId="468A5B4F" w14:textId="77777777" w:rsidR="004708CA" w:rsidRPr="004708CA" w:rsidRDefault="004708CA" w:rsidP="00F67B74">
      <w:pPr>
        <w:pStyle w:val="ListParagraph"/>
        <w:spacing w:line="360" w:lineRule="auto"/>
        <w:rPr>
          <w:sz w:val="28"/>
          <w:szCs w:val="28"/>
          <w:lang w:val="en-US"/>
        </w:rPr>
      </w:pPr>
    </w:p>
    <w:p w14:paraId="5335805D" w14:textId="7771A248" w:rsidR="004708CA" w:rsidRDefault="00173CF5" w:rsidP="00C34727">
      <w:pPr>
        <w:pStyle w:val="ListParagraph"/>
        <w:numPr>
          <w:ilvl w:val="0"/>
          <w:numId w:val="1"/>
        </w:numPr>
        <w:spacing w:line="360" w:lineRule="auto"/>
        <w:ind w:left="0" w:firstLine="0"/>
        <w:jc w:val="both"/>
        <w:rPr>
          <w:sz w:val="28"/>
          <w:szCs w:val="28"/>
          <w:lang w:val="en-US"/>
        </w:rPr>
      </w:pPr>
      <w:r>
        <w:rPr>
          <w:sz w:val="28"/>
          <w:szCs w:val="28"/>
          <w:lang w:val="en-US"/>
        </w:rPr>
        <w:t xml:space="preserve">Months later, a work colleague </w:t>
      </w:r>
      <w:r w:rsidR="00635CE3">
        <w:rPr>
          <w:sz w:val="28"/>
          <w:szCs w:val="28"/>
          <w:lang w:val="en-US"/>
        </w:rPr>
        <w:t xml:space="preserve">who had also obtained a visa via </w:t>
      </w:r>
      <w:proofErr w:type="spellStart"/>
      <w:r w:rsidR="00635CE3">
        <w:rPr>
          <w:sz w:val="28"/>
          <w:szCs w:val="28"/>
          <w:lang w:val="en-US"/>
        </w:rPr>
        <w:t>Mr</w:t>
      </w:r>
      <w:proofErr w:type="spellEnd"/>
      <w:r w:rsidR="00635CE3">
        <w:rPr>
          <w:sz w:val="28"/>
          <w:szCs w:val="28"/>
          <w:lang w:val="en-US"/>
        </w:rPr>
        <w:t xml:space="preserve"> </w:t>
      </w:r>
      <w:proofErr w:type="spellStart"/>
      <w:r w:rsidR="00635CE3">
        <w:rPr>
          <w:sz w:val="28"/>
          <w:szCs w:val="28"/>
          <w:lang w:val="en-US"/>
        </w:rPr>
        <w:t>Masondo</w:t>
      </w:r>
      <w:proofErr w:type="spellEnd"/>
      <w:r w:rsidR="00635CE3">
        <w:rPr>
          <w:sz w:val="28"/>
          <w:szCs w:val="28"/>
          <w:lang w:val="en-US"/>
        </w:rPr>
        <w:t xml:space="preserve">, advised the applicant that </w:t>
      </w:r>
      <w:r w:rsidR="008B7875">
        <w:rPr>
          <w:sz w:val="28"/>
          <w:szCs w:val="28"/>
          <w:lang w:val="en-US"/>
        </w:rPr>
        <w:t xml:space="preserve">her (the colleague’s) visa </w:t>
      </w:r>
      <w:r w:rsidR="005C71BF">
        <w:rPr>
          <w:sz w:val="28"/>
          <w:szCs w:val="28"/>
          <w:lang w:val="en-US"/>
        </w:rPr>
        <w:t xml:space="preserve">had irregularities. The applicant became concerned and engaged </w:t>
      </w:r>
      <w:r w:rsidR="009C1DFA">
        <w:rPr>
          <w:sz w:val="28"/>
          <w:szCs w:val="28"/>
          <w:lang w:val="en-US"/>
        </w:rPr>
        <w:t xml:space="preserve">an immigration advisory firm to verify her visa. </w:t>
      </w:r>
      <w:r w:rsidR="00B669D6">
        <w:rPr>
          <w:sz w:val="28"/>
          <w:szCs w:val="28"/>
          <w:lang w:val="en-US"/>
        </w:rPr>
        <w:t xml:space="preserve">The firm advised </w:t>
      </w:r>
      <w:r w:rsidR="009F33E4">
        <w:rPr>
          <w:sz w:val="28"/>
          <w:szCs w:val="28"/>
          <w:lang w:val="en-US"/>
        </w:rPr>
        <w:t xml:space="preserve">her </w:t>
      </w:r>
      <w:r w:rsidR="00B669D6">
        <w:rPr>
          <w:sz w:val="28"/>
          <w:szCs w:val="28"/>
          <w:lang w:val="en-US"/>
        </w:rPr>
        <w:t xml:space="preserve">that her </w:t>
      </w:r>
      <w:r w:rsidR="009F33E4">
        <w:rPr>
          <w:sz w:val="28"/>
          <w:szCs w:val="28"/>
          <w:lang w:val="en-US"/>
        </w:rPr>
        <w:t xml:space="preserve">visa did not reflect </w:t>
      </w:r>
      <w:r w:rsidR="00DC43E2">
        <w:rPr>
          <w:sz w:val="28"/>
          <w:szCs w:val="28"/>
          <w:lang w:val="en-US"/>
        </w:rPr>
        <w:t>on the Department’s system</w:t>
      </w:r>
      <w:r w:rsidR="00D34A19">
        <w:rPr>
          <w:sz w:val="28"/>
          <w:szCs w:val="28"/>
          <w:lang w:val="en-US"/>
        </w:rPr>
        <w:t xml:space="preserve">, </w:t>
      </w:r>
      <w:r w:rsidR="00187B7B">
        <w:rPr>
          <w:sz w:val="28"/>
          <w:szCs w:val="28"/>
          <w:lang w:val="en-US"/>
        </w:rPr>
        <w:t>bu</w:t>
      </w:r>
      <w:r w:rsidR="00D34A19">
        <w:rPr>
          <w:sz w:val="28"/>
          <w:szCs w:val="28"/>
          <w:lang w:val="en-US"/>
        </w:rPr>
        <w:t xml:space="preserve">t this could have been because it was not yet uploaded. </w:t>
      </w:r>
    </w:p>
    <w:p w14:paraId="0BB231EB" w14:textId="77777777" w:rsidR="004708CA" w:rsidRPr="004708CA" w:rsidRDefault="004708CA" w:rsidP="00F67B74">
      <w:pPr>
        <w:pStyle w:val="ListParagraph"/>
        <w:spacing w:line="360" w:lineRule="auto"/>
        <w:rPr>
          <w:sz w:val="28"/>
          <w:szCs w:val="28"/>
          <w:lang w:val="en-US"/>
        </w:rPr>
      </w:pPr>
    </w:p>
    <w:p w14:paraId="158E35CA" w14:textId="751D33E7" w:rsidR="004708CA" w:rsidRDefault="00D26CF5" w:rsidP="00C34727">
      <w:pPr>
        <w:pStyle w:val="ListParagraph"/>
        <w:numPr>
          <w:ilvl w:val="0"/>
          <w:numId w:val="1"/>
        </w:numPr>
        <w:spacing w:line="360" w:lineRule="auto"/>
        <w:ind w:left="0" w:firstLine="0"/>
        <w:jc w:val="both"/>
        <w:rPr>
          <w:sz w:val="28"/>
          <w:szCs w:val="28"/>
          <w:lang w:val="en-US"/>
        </w:rPr>
      </w:pPr>
      <w:r>
        <w:rPr>
          <w:sz w:val="28"/>
          <w:szCs w:val="28"/>
          <w:lang w:val="en-US"/>
        </w:rPr>
        <w:t xml:space="preserve">The applicant </w:t>
      </w:r>
      <w:r w:rsidR="009C6AAC">
        <w:rPr>
          <w:sz w:val="28"/>
          <w:szCs w:val="28"/>
          <w:lang w:val="en-US"/>
        </w:rPr>
        <w:t xml:space="preserve">took various further steps to verify her visa, including attending the Department’s head office </w:t>
      </w:r>
      <w:r w:rsidR="003D5F30">
        <w:rPr>
          <w:sz w:val="28"/>
          <w:szCs w:val="28"/>
          <w:lang w:val="en-US"/>
        </w:rPr>
        <w:t xml:space="preserve">where she was first referred to a </w:t>
      </w:r>
      <w:proofErr w:type="spellStart"/>
      <w:r w:rsidR="003D5F30">
        <w:rPr>
          <w:sz w:val="28"/>
          <w:szCs w:val="28"/>
          <w:lang w:val="en-US"/>
        </w:rPr>
        <w:t>Ms</w:t>
      </w:r>
      <w:proofErr w:type="spellEnd"/>
      <w:r w:rsidR="003D5F30">
        <w:rPr>
          <w:sz w:val="28"/>
          <w:szCs w:val="28"/>
          <w:lang w:val="en-US"/>
        </w:rPr>
        <w:t xml:space="preserve"> </w:t>
      </w:r>
      <w:proofErr w:type="spellStart"/>
      <w:r w:rsidR="003D5F30">
        <w:rPr>
          <w:sz w:val="28"/>
          <w:szCs w:val="28"/>
          <w:lang w:val="en-US"/>
        </w:rPr>
        <w:t>Elzabe</w:t>
      </w:r>
      <w:proofErr w:type="spellEnd"/>
      <w:r w:rsidR="003D5F30">
        <w:rPr>
          <w:sz w:val="28"/>
          <w:szCs w:val="28"/>
          <w:lang w:val="en-US"/>
        </w:rPr>
        <w:t xml:space="preserve"> Fisher, </w:t>
      </w:r>
      <w:r w:rsidR="001A2282">
        <w:rPr>
          <w:sz w:val="28"/>
          <w:szCs w:val="28"/>
          <w:lang w:val="en-US"/>
        </w:rPr>
        <w:t xml:space="preserve">who in turn referred her to </w:t>
      </w:r>
      <w:proofErr w:type="spellStart"/>
      <w:r w:rsidR="001A2282">
        <w:rPr>
          <w:sz w:val="28"/>
          <w:szCs w:val="28"/>
          <w:lang w:val="en-US"/>
        </w:rPr>
        <w:t>Ms</w:t>
      </w:r>
      <w:proofErr w:type="spellEnd"/>
      <w:r w:rsidR="001A2282">
        <w:rPr>
          <w:sz w:val="28"/>
          <w:szCs w:val="28"/>
          <w:lang w:val="en-US"/>
        </w:rPr>
        <w:t xml:space="preserve"> </w:t>
      </w:r>
      <w:proofErr w:type="spellStart"/>
      <w:r w:rsidR="001A2282">
        <w:rPr>
          <w:sz w:val="28"/>
          <w:szCs w:val="28"/>
          <w:lang w:val="en-US"/>
        </w:rPr>
        <w:t>Duduzile</w:t>
      </w:r>
      <w:proofErr w:type="spellEnd"/>
      <w:r w:rsidR="001A2282">
        <w:rPr>
          <w:sz w:val="28"/>
          <w:szCs w:val="28"/>
          <w:lang w:val="en-US"/>
        </w:rPr>
        <w:t xml:space="preserve"> </w:t>
      </w:r>
      <w:proofErr w:type="spellStart"/>
      <w:r w:rsidR="001A2282">
        <w:rPr>
          <w:sz w:val="28"/>
          <w:szCs w:val="28"/>
          <w:lang w:val="en-US"/>
        </w:rPr>
        <w:t>Mgidi</w:t>
      </w:r>
      <w:proofErr w:type="spellEnd"/>
      <w:r w:rsidR="000F701F">
        <w:rPr>
          <w:sz w:val="28"/>
          <w:szCs w:val="28"/>
          <w:lang w:val="en-US"/>
        </w:rPr>
        <w:t xml:space="preserve">. She did not receive any </w:t>
      </w:r>
      <w:r w:rsidR="007D3110">
        <w:rPr>
          <w:sz w:val="28"/>
          <w:szCs w:val="28"/>
          <w:lang w:val="en-US"/>
        </w:rPr>
        <w:t xml:space="preserve">further </w:t>
      </w:r>
      <w:r w:rsidR="000F701F">
        <w:rPr>
          <w:sz w:val="28"/>
          <w:szCs w:val="28"/>
          <w:lang w:val="en-US"/>
        </w:rPr>
        <w:t>outcome in response to her queries.</w:t>
      </w:r>
    </w:p>
    <w:p w14:paraId="22EA5BBA" w14:textId="77777777" w:rsidR="000F701F" w:rsidRPr="000F701F" w:rsidRDefault="000F701F" w:rsidP="00F67B74">
      <w:pPr>
        <w:pStyle w:val="ListParagraph"/>
        <w:spacing w:line="360" w:lineRule="auto"/>
        <w:rPr>
          <w:sz w:val="28"/>
          <w:szCs w:val="28"/>
          <w:lang w:val="en-US"/>
        </w:rPr>
      </w:pPr>
    </w:p>
    <w:p w14:paraId="06270B54" w14:textId="74CFDB7A" w:rsidR="000F701F" w:rsidRDefault="00024466" w:rsidP="00C34727">
      <w:pPr>
        <w:pStyle w:val="ListParagraph"/>
        <w:numPr>
          <w:ilvl w:val="0"/>
          <w:numId w:val="1"/>
        </w:numPr>
        <w:spacing w:line="360" w:lineRule="auto"/>
        <w:ind w:left="0" w:firstLine="0"/>
        <w:jc w:val="both"/>
        <w:rPr>
          <w:sz w:val="28"/>
          <w:szCs w:val="28"/>
          <w:lang w:val="en-US"/>
        </w:rPr>
      </w:pPr>
      <w:r>
        <w:rPr>
          <w:sz w:val="28"/>
          <w:szCs w:val="28"/>
          <w:lang w:val="en-US"/>
        </w:rPr>
        <w:t xml:space="preserve">The applicant </w:t>
      </w:r>
      <w:r w:rsidR="00B763FD">
        <w:rPr>
          <w:sz w:val="28"/>
          <w:szCs w:val="28"/>
          <w:lang w:val="en-US"/>
        </w:rPr>
        <w:t>was declared</w:t>
      </w:r>
      <w:r>
        <w:rPr>
          <w:sz w:val="28"/>
          <w:szCs w:val="28"/>
          <w:lang w:val="en-US"/>
        </w:rPr>
        <w:t xml:space="preserve"> a prohibited person </w:t>
      </w:r>
      <w:r w:rsidR="00E66D7C">
        <w:rPr>
          <w:sz w:val="28"/>
          <w:szCs w:val="28"/>
          <w:lang w:val="en-US"/>
        </w:rPr>
        <w:t xml:space="preserve">on 20 September 2017 when </w:t>
      </w:r>
      <w:r w:rsidR="00072149">
        <w:rPr>
          <w:sz w:val="28"/>
          <w:szCs w:val="28"/>
          <w:lang w:val="en-US"/>
        </w:rPr>
        <w:t>her placement on the Visa Entry and Stop List (</w:t>
      </w:r>
      <w:r w:rsidR="00ED1229">
        <w:rPr>
          <w:sz w:val="28"/>
          <w:szCs w:val="28"/>
          <w:lang w:val="en-US"/>
        </w:rPr>
        <w:t xml:space="preserve">“the v-list”) was approved </w:t>
      </w:r>
      <w:r w:rsidR="0075662E">
        <w:rPr>
          <w:sz w:val="28"/>
          <w:szCs w:val="28"/>
          <w:lang w:val="en-US"/>
        </w:rPr>
        <w:t xml:space="preserve">by the Director of </w:t>
      </w:r>
      <w:r w:rsidR="00CB346D">
        <w:rPr>
          <w:sz w:val="28"/>
          <w:szCs w:val="28"/>
          <w:lang w:val="en-US"/>
        </w:rPr>
        <w:t>Deport</w:t>
      </w:r>
      <w:r w:rsidR="0075662E">
        <w:rPr>
          <w:sz w:val="28"/>
          <w:szCs w:val="28"/>
          <w:lang w:val="en-US"/>
        </w:rPr>
        <w:t xml:space="preserve">ations within the Department. </w:t>
      </w:r>
      <w:r w:rsidR="002D0FD1">
        <w:rPr>
          <w:sz w:val="28"/>
          <w:szCs w:val="28"/>
          <w:lang w:val="en-US"/>
        </w:rPr>
        <w:t xml:space="preserve">The </w:t>
      </w:r>
      <w:r w:rsidR="002D0FD1" w:rsidRPr="002D0FD1">
        <w:rPr>
          <w:sz w:val="28"/>
          <w:szCs w:val="28"/>
          <w:lang w:val="en-US"/>
        </w:rPr>
        <w:t>applicant was not con</w:t>
      </w:r>
      <w:r w:rsidR="007D3110">
        <w:rPr>
          <w:sz w:val="28"/>
          <w:szCs w:val="28"/>
          <w:lang w:val="en-US"/>
        </w:rPr>
        <w:t>tacted</w:t>
      </w:r>
      <w:r w:rsidR="00B669D6">
        <w:rPr>
          <w:sz w:val="28"/>
          <w:szCs w:val="28"/>
          <w:lang w:val="en-US"/>
        </w:rPr>
        <w:t xml:space="preserve">, or </w:t>
      </w:r>
      <w:r w:rsidR="00440F16">
        <w:rPr>
          <w:sz w:val="28"/>
          <w:szCs w:val="28"/>
          <w:lang w:val="en-US"/>
        </w:rPr>
        <w:t xml:space="preserve">consulted </w:t>
      </w:r>
      <w:r w:rsidR="00440F16" w:rsidRPr="002D0FD1">
        <w:rPr>
          <w:sz w:val="28"/>
          <w:szCs w:val="28"/>
          <w:lang w:val="en-US"/>
        </w:rPr>
        <w:t>before</w:t>
      </w:r>
      <w:r w:rsidR="002D0FD1" w:rsidRPr="002D0FD1">
        <w:rPr>
          <w:sz w:val="28"/>
          <w:szCs w:val="28"/>
          <w:lang w:val="en-US"/>
        </w:rPr>
        <w:t xml:space="preserve"> her name was p</w:t>
      </w:r>
      <w:r w:rsidR="00B669D6">
        <w:rPr>
          <w:sz w:val="28"/>
          <w:szCs w:val="28"/>
          <w:lang w:val="en-US"/>
        </w:rPr>
        <w:t>laced</w:t>
      </w:r>
      <w:r w:rsidR="002D0FD1" w:rsidRPr="002D0FD1">
        <w:rPr>
          <w:sz w:val="28"/>
          <w:szCs w:val="28"/>
          <w:lang w:val="en-US"/>
        </w:rPr>
        <w:t xml:space="preserve"> on the </w:t>
      </w:r>
      <w:r w:rsidR="003B5CDC">
        <w:rPr>
          <w:sz w:val="28"/>
          <w:szCs w:val="28"/>
          <w:lang w:val="en-US"/>
        </w:rPr>
        <w:t>v-</w:t>
      </w:r>
      <w:r w:rsidR="002D0FD1" w:rsidRPr="002D0FD1">
        <w:rPr>
          <w:sz w:val="28"/>
          <w:szCs w:val="28"/>
          <w:lang w:val="en-US"/>
        </w:rPr>
        <w:t>list</w:t>
      </w:r>
      <w:r w:rsidR="003B5CDC">
        <w:rPr>
          <w:sz w:val="28"/>
          <w:szCs w:val="28"/>
          <w:lang w:val="en-US"/>
        </w:rPr>
        <w:t>,</w:t>
      </w:r>
      <w:r w:rsidR="003B5CDC" w:rsidRPr="003B5CDC">
        <w:rPr>
          <w:sz w:val="28"/>
          <w:szCs w:val="28"/>
          <w:lang w:val="en-US"/>
        </w:rPr>
        <w:t xml:space="preserve"> neither was she </w:t>
      </w:r>
      <w:r w:rsidR="007D3110">
        <w:rPr>
          <w:sz w:val="28"/>
          <w:szCs w:val="28"/>
          <w:lang w:val="en-US"/>
        </w:rPr>
        <w:t>provided with</w:t>
      </w:r>
      <w:r w:rsidR="003B5CDC" w:rsidRPr="003B5CDC">
        <w:rPr>
          <w:sz w:val="28"/>
          <w:szCs w:val="28"/>
          <w:lang w:val="en-US"/>
        </w:rPr>
        <w:t xml:space="preserve"> any reasons </w:t>
      </w:r>
      <w:r w:rsidR="003B5CDC">
        <w:rPr>
          <w:sz w:val="28"/>
          <w:szCs w:val="28"/>
          <w:lang w:val="en-US"/>
        </w:rPr>
        <w:t>for this</w:t>
      </w:r>
      <w:r w:rsidR="003B5CDC" w:rsidRPr="003B5CDC">
        <w:rPr>
          <w:sz w:val="28"/>
          <w:szCs w:val="28"/>
          <w:lang w:val="en-US"/>
        </w:rPr>
        <w:t xml:space="preserve"> at the time</w:t>
      </w:r>
      <w:r w:rsidR="003B5CDC">
        <w:rPr>
          <w:sz w:val="28"/>
          <w:szCs w:val="28"/>
          <w:lang w:val="en-US"/>
        </w:rPr>
        <w:t>.</w:t>
      </w:r>
      <w:r w:rsidR="00B44CD3" w:rsidRPr="00B44CD3">
        <w:rPr>
          <w:sz w:val="28"/>
          <w:szCs w:val="28"/>
          <w:lang w:val="en-US"/>
        </w:rPr>
        <w:t xml:space="preserve"> The department's internal </w:t>
      </w:r>
      <w:r w:rsidR="00B44CD3" w:rsidRPr="00B44CD3">
        <w:rPr>
          <w:sz w:val="28"/>
          <w:szCs w:val="28"/>
          <w:lang w:val="en-US"/>
        </w:rPr>
        <w:lastRenderedPageBreak/>
        <w:t xml:space="preserve">document which contains the request </w:t>
      </w:r>
      <w:r w:rsidR="00FA0453" w:rsidRPr="00FA0453">
        <w:rPr>
          <w:sz w:val="28"/>
          <w:szCs w:val="28"/>
          <w:lang w:val="en-US"/>
        </w:rPr>
        <w:t xml:space="preserve">for recording the details of the applicant on the </w:t>
      </w:r>
      <w:r w:rsidR="001578B6">
        <w:rPr>
          <w:sz w:val="28"/>
          <w:szCs w:val="28"/>
          <w:lang w:val="en-US"/>
        </w:rPr>
        <w:t>v-</w:t>
      </w:r>
      <w:r w:rsidR="00FA0453" w:rsidRPr="00FA0453">
        <w:rPr>
          <w:sz w:val="28"/>
          <w:szCs w:val="28"/>
          <w:lang w:val="en-US"/>
        </w:rPr>
        <w:t>list</w:t>
      </w:r>
      <w:r w:rsidR="00440F16">
        <w:rPr>
          <w:sz w:val="28"/>
          <w:szCs w:val="28"/>
          <w:lang w:val="en-US"/>
        </w:rPr>
        <w:t>,</w:t>
      </w:r>
      <w:r w:rsidR="00E13B68" w:rsidRPr="00E13B68">
        <w:rPr>
          <w:sz w:val="28"/>
          <w:szCs w:val="28"/>
          <w:lang w:val="en-US"/>
        </w:rPr>
        <w:t xml:space="preserve"> contains the following statements</w:t>
      </w:r>
      <w:r w:rsidR="0003237A" w:rsidRPr="0003237A">
        <w:rPr>
          <w:sz w:val="28"/>
          <w:szCs w:val="28"/>
          <w:lang w:val="en-US"/>
        </w:rPr>
        <w:t xml:space="preserve"> which seems to be the </w:t>
      </w:r>
      <w:r w:rsidR="007D3110">
        <w:rPr>
          <w:sz w:val="28"/>
          <w:szCs w:val="28"/>
          <w:lang w:val="en-US"/>
        </w:rPr>
        <w:t>rationale</w:t>
      </w:r>
      <w:r w:rsidR="0003237A" w:rsidRPr="0003237A">
        <w:rPr>
          <w:sz w:val="28"/>
          <w:szCs w:val="28"/>
          <w:lang w:val="en-US"/>
        </w:rPr>
        <w:t xml:space="preserve"> </w:t>
      </w:r>
      <w:r w:rsidR="0003237A">
        <w:rPr>
          <w:sz w:val="28"/>
          <w:szCs w:val="28"/>
          <w:lang w:val="en-US"/>
        </w:rPr>
        <w:t>for</w:t>
      </w:r>
      <w:r w:rsidR="0003237A" w:rsidRPr="0003237A">
        <w:rPr>
          <w:sz w:val="28"/>
          <w:szCs w:val="28"/>
          <w:lang w:val="en-US"/>
        </w:rPr>
        <w:t xml:space="preserve"> recording </w:t>
      </w:r>
      <w:r w:rsidR="00440F16">
        <w:rPr>
          <w:sz w:val="28"/>
          <w:szCs w:val="28"/>
          <w:lang w:val="en-US"/>
        </w:rPr>
        <w:t>her</w:t>
      </w:r>
      <w:r w:rsidR="0003237A" w:rsidRPr="0003237A">
        <w:rPr>
          <w:sz w:val="28"/>
          <w:szCs w:val="28"/>
          <w:lang w:val="en-US"/>
        </w:rPr>
        <w:t xml:space="preserve"> name on the </w:t>
      </w:r>
      <w:r w:rsidR="0003237A">
        <w:rPr>
          <w:sz w:val="28"/>
          <w:szCs w:val="28"/>
          <w:lang w:val="en-US"/>
        </w:rPr>
        <w:t>v</w:t>
      </w:r>
      <w:r w:rsidR="00EF4577">
        <w:rPr>
          <w:sz w:val="28"/>
          <w:szCs w:val="28"/>
          <w:lang w:val="en-US"/>
        </w:rPr>
        <w:t>-</w:t>
      </w:r>
      <w:r w:rsidR="0003237A" w:rsidRPr="0003237A">
        <w:rPr>
          <w:sz w:val="28"/>
          <w:szCs w:val="28"/>
          <w:lang w:val="en-US"/>
        </w:rPr>
        <w:t>list</w:t>
      </w:r>
      <w:r w:rsidR="007A4722">
        <w:rPr>
          <w:sz w:val="28"/>
          <w:szCs w:val="28"/>
          <w:lang w:val="en-US"/>
        </w:rPr>
        <w:t>:</w:t>
      </w:r>
    </w:p>
    <w:p w14:paraId="34A274CA" w14:textId="77777777" w:rsidR="00A043EC" w:rsidRPr="00961CEF" w:rsidRDefault="00A043EC" w:rsidP="00F67B74">
      <w:pPr>
        <w:pStyle w:val="ListParagraph"/>
        <w:spacing w:line="360" w:lineRule="auto"/>
        <w:rPr>
          <w:i/>
          <w:iCs/>
          <w:sz w:val="28"/>
          <w:szCs w:val="28"/>
          <w:lang w:val="en-US"/>
        </w:rPr>
      </w:pPr>
    </w:p>
    <w:p w14:paraId="0C5DF4BE" w14:textId="0E7586C8" w:rsidR="00A043EC" w:rsidRPr="00961CEF" w:rsidRDefault="00961CEF" w:rsidP="00F67B74">
      <w:pPr>
        <w:pStyle w:val="ListParagraph"/>
        <w:spacing w:line="360" w:lineRule="auto"/>
        <w:ind w:left="1440"/>
        <w:jc w:val="both"/>
        <w:rPr>
          <w:i/>
          <w:iCs/>
          <w:sz w:val="28"/>
          <w:szCs w:val="28"/>
          <w:lang w:val="en-US"/>
        </w:rPr>
      </w:pPr>
      <w:r>
        <w:rPr>
          <w:b/>
          <w:bCs/>
          <w:sz w:val="28"/>
          <w:szCs w:val="28"/>
          <w:lang w:val="en-US"/>
        </w:rPr>
        <w:t>“</w:t>
      </w:r>
      <w:r w:rsidR="00A043EC" w:rsidRPr="00961CEF">
        <w:rPr>
          <w:b/>
          <w:bCs/>
          <w:i/>
          <w:iCs/>
          <w:sz w:val="28"/>
          <w:szCs w:val="28"/>
          <w:lang w:val="en-US"/>
        </w:rPr>
        <w:t>DISCUSSION</w:t>
      </w:r>
    </w:p>
    <w:p w14:paraId="0B82DE24" w14:textId="11E9DD6A" w:rsidR="00A043EC" w:rsidRPr="00961CEF" w:rsidRDefault="00A043EC" w:rsidP="00B03D26">
      <w:pPr>
        <w:pStyle w:val="ListParagraph"/>
        <w:spacing w:line="360" w:lineRule="auto"/>
        <w:ind w:left="1440"/>
        <w:jc w:val="both"/>
        <w:rPr>
          <w:i/>
          <w:iCs/>
          <w:sz w:val="28"/>
          <w:szCs w:val="28"/>
          <w:lang w:val="en-US"/>
        </w:rPr>
      </w:pPr>
      <w:r w:rsidRPr="00961CEF">
        <w:rPr>
          <w:i/>
          <w:iCs/>
          <w:sz w:val="28"/>
          <w:szCs w:val="28"/>
          <w:lang w:val="en-US"/>
        </w:rPr>
        <w:t xml:space="preserve"> 3. On 03 July 2015 </w:t>
      </w:r>
      <w:r w:rsidR="007A4722">
        <w:rPr>
          <w:i/>
          <w:iCs/>
          <w:sz w:val="28"/>
          <w:szCs w:val="28"/>
          <w:lang w:val="en-US"/>
        </w:rPr>
        <w:t>a</w:t>
      </w:r>
      <w:r w:rsidRPr="00961CEF">
        <w:rPr>
          <w:i/>
          <w:iCs/>
          <w:sz w:val="28"/>
          <w:szCs w:val="28"/>
          <w:lang w:val="en-US"/>
        </w:rPr>
        <w:t xml:space="preserve"> request was received from </w:t>
      </w:r>
      <w:proofErr w:type="spellStart"/>
      <w:r w:rsidRPr="00961CEF">
        <w:rPr>
          <w:i/>
          <w:iCs/>
          <w:sz w:val="28"/>
          <w:szCs w:val="28"/>
          <w:lang w:val="en-US"/>
        </w:rPr>
        <w:t>Ms</w:t>
      </w:r>
      <w:proofErr w:type="spellEnd"/>
      <w:r w:rsidRPr="00961CEF">
        <w:rPr>
          <w:i/>
          <w:iCs/>
          <w:sz w:val="28"/>
          <w:szCs w:val="28"/>
          <w:lang w:val="en-US"/>
        </w:rPr>
        <w:t xml:space="preserve"> </w:t>
      </w:r>
      <w:proofErr w:type="spellStart"/>
      <w:r w:rsidRPr="00961CEF">
        <w:rPr>
          <w:i/>
          <w:iCs/>
          <w:sz w:val="28"/>
          <w:szCs w:val="28"/>
          <w:lang w:val="en-US"/>
        </w:rPr>
        <w:t>Musana</w:t>
      </w:r>
      <w:proofErr w:type="spellEnd"/>
      <w:r w:rsidRPr="00961CEF">
        <w:rPr>
          <w:i/>
          <w:iCs/>
          <w:sz w:val="28"/>
          <w:szCs w:val="28"/>
          <w:lang w:val="en-US"/>
        </w:rPr>
        <w:t xml:space="preserve"> to verify a Work visa endorsed in the passport of </w:t>
      </w:r>
      <w:proofErr w:type="spellStart"/>
      <w:r w:rsidRPr="00961CEF">
        <w:rPr>
          <w:i/>
          <w:iCs/>
          <w:sz w:val="28"/>
          <w:szCs w:val="28"/>
          <w:lang w:val="en-US"/>
        </w:rPr>
        <w:t>Ms</w:t>
      </w:r>
      <w:proofErr w:type="spellEnd"/>
      <w:r w:rsidRPr="00961CEF">
        <w:rPr>
          <w:i/>
          <w:iCs/>
          <w:sz w:val="28"/>
          <w:szCs w:val="28"/>
          <w:lang w:val="en-US"/>
        </w:rPr>
        <w:t xml:space="preserve"> </w:t>
      </w:r>
      <w:proofErr w:type="spellStart"/>
      <w:r w:rsidRPr="00961CEF">
        <w:rPr>
          <w:i/>
          <w:iCs/>
          <w:sz w:val="28"/>
          <w:szCs w:val="28"/>
          <w:lang w:val="en-US"/>
        </w:rPr>
        <w:t>Najjemba</w:t>
      </w:r>
      <w:proofErr w:type="spellEnd"/>
      <w:r w:rsidRPr="00961CEF">
        <w:rPr>
          <w:i/>
          <w:iCs/>
          <w:sz w:val="28"/>
          <w:szCs w:val="28"/>
          <w:lang w:val="en-US"/>
        </w:rPr>
        <w:t>. The Work visa with control number A00374101 endorsed in the passport number B1108898 does not refer to Department of Home Affairs.</w:t>
      </w:r>
    </w:p>
    <w:p w14:paraId="3690B8A3" w14:textId="77777777" w:rsidR="00A043EC" w:rsidRPr="00961CEF" w:rsidRDefault="00A043EC" w:rsidP="00B03D26">
      <w:pPr>
        <w:pStyle w:val="ListParagraph"/>
        <w:spacing w:line="360" w:lineRule="auto"/>
        <w:ind w:left="1440"/>
        <w:jc w:val="both"/>
        <w:rPr>
          <w:i/>
          <w:iCs/>
          <w:sz w:val="28"/>
          <w:szCs w:val="28"/>
          <w:lang w:val="en-US"/>
        </w:rPr>
      </w:pPr>
      <w:r w:rsidRPr="00961CEF">
        <w:rPr>
          <w:i/>
          <w:iCs/>
          <w:sz w:val="28"/>
          <w:szCs w:val="28"/>
          <w:lang w:val="en-US"/>
        </w:rPr>
        <w:t>…</w:t>
      </w:r>
    </w:p>
    <w:p w14:paraId="69080979" w14:textId="77777777" w:rsidR="00A043EC" w:rsidRPr="00961CEF" w:rsidRDefault="00A043EC" w:rsidP="00B03D26">
      <w:pPr>
        <w:pStyle w:val="ListParagraph"/>
        <w:spacing w:line="360" w:lineRule="auto"/>
        <w:ind w:left="1440"/>
        <w:jc w:val="both"/>
        <w:rPr>
          <w:b/>
          <w:bCs/>
          <w:i/>
          <w:iCs/>
          <w:sz w:val="28"/>
          <w:szCs w:val="28"/>
          <w:lang w:val="en-US"/>
        </w:rPr>
      </w:pPr>
      <w:r w:rsidRPr="00961CEF">
        <w:rPr>
          <w:b/>
          <w:bCs/>
          <w:i/>
          <w:iCs/>
          <w:sz w:val="28"/>
          <w:szCs w:val="28"/>
          <w:lang w:val="en-US"/>
        </w:rPr>
        <w:t>LEGISLATIVE/REGULATORY FRAMEWORK AND IMPLICATION</w:t>
      </w:r>
    </w:p>
    <w:p w14:paraId="0199822D" w14:textId="18E901D8" w:rsidR="00A043EC" w:rsidRPr="00961CEF" w:rsidRDefault="0091374C" w:rsidP="00B03D26">
      <w:pPr>
        <w:pStyle w:val="ListParagraph"/>
        <w:spacing w:line="360" w:lineRule="auto"/>
        <w:ind w:left="1440"/>
        <w:jc w:val="both"/>
        <w:rPr>
          <w:i/>
          <w:iCs/>
          <w:sz w:val="28"/>
          <w:szCs w:val="28"/>
          <w:lang w:val="en-US"/>
        </w:rPr>
      </w:pPr>
      <w:r w:rsidRPr="00961CEF">
        <w:rPr>
          <w:i/>
          <w:iCs/>
          <w:sz w:val="28"/>
          <w:szCs w:val="28"/>
          <w:lang w:val="en-US"/>
        </w:rPr>
        <w:t>7. In terms of section 29(1) of the Immigration Act</w:t>
      </w:r>
      <w:r w:rsidR="00430150" w:rsidRPr="00961CEF">
        <w:rPr>
          <w:i/>
          <w:iCs/>
          <w:sz w:val="28"/>
          <w:szCs w:val="28"/>
          <w:lang w:val="en-US"/>
        </w:rPr>
        <w:t>, 2002 a foreigner is declared a prohibited person and does not qualify for a port o</w:t>
      </w:r>
      <w:r w:rsidR="001D3A7F" w:rsidRPr="00961CEF">
        <w:rPr>
          <w:i/>
          <w:iCs/>
          <w:sz w:val="28"/>
          <w:szCs w:val="28"/>
          <w:lang w:val="en-US"/>
        </w:rPr>
        <w:t>f</w:t>
      </w:r>
      <w:r w:rsidR="00430150" w:rsidRPr="00961CEF">
        <w:rPr>
          <w:i/>
          <w:iCs/>
          <w:sz w:val="28"/>
          <w:szCs w:val="28"/>
          <w:lang w:val="en-US"/>
        </w:rPr>
        <w:t xml:space="preserve"> </w:t>
      </w:r>
      <w:r w:rsidR="001D3A7F" w:rsidRPr="00961CEF">
        <w:rPr>
          <w:i/>
          <w:iCs/>
          <w:sz w:val="28"/>
          <w:szCs w:val="28"/>
          <w:lang w:val="en-US"/>
        </w:rPr>
        <w:t>entry</w:t>
      </w:r>
      <w:r w:rsidR="00430150" w:rsidRPr="00961CEF">
        <w:rPr>
          <w:i/>
          <w:iCs/>
          <w:sz w:val="28"/>
          <w:szCs w:val="28"/>
          <w:lang w:val="en-US"/>
        </w:rPr>
        <w:t xml:space="preserve"> visa, admission into the Republic, a visa or a permanent residence permit:</w:t>
      </w:r>
      <w:r w:rsidR="00494AD9" w:rsidRPr="00961CEF">
        <w:rPr>
          <w:i/>
          <w:iCs/>
          <w:sz w:val="28"/>
          <w:szCs w:val="28"/>
          <w:lang w:val="en-US"/>
        </w:rPr>
        <w:t xml:space="preserve"> anyone found in possession of a fraudulent visa, passport, permanent residence </w:t>
      </w:r>
      <w:proofErr w:type="gramStart"/>
      <w:r w:rsidR="00494AD9" w:rsidRPr="00961CEF">
        <w:rPr>
          <w:i/>
          <w:iCs/>
          <w:sz w:val="28"/>
          <w:szCs w:val="28"/>
          <w:lang w:val="en-US"/>
        </w:rPr>
        <w:t>permit</w:t>
      </w:r>
      <w:proofErr w:type="gramEnd"/>
      <w:r w:rsidR="00494AD9" w:rsidRPr="00961CEF">
        <w:rPr>
          <w:i/>
          <w:iCs/>
          <w:sz w:val="28"/>
          <w:szCs w:val="28"/>
          <w:lang w:val="en-US"/>
        </w:rPr>
        <w:t xml:space="preserve"> or identification document.</w:t>
      </w:r>
    </w:p>
    <w:p w14:paraId="750CBB0E" w14:textId="77777777" w:rsidR="00670CEB" w:rsidRPr="00961CEF" w:rsidRDefault="00670CEB" w:rsidP="00F67B74">
      <w:pPr>
        <w:pStyle w:val="ListParagraph"/>
        <w:spacing w:line="360" w:lineRule="auto"/>
        <w:ind w:left="1440"/>
        <w:jc w:val="both"/>
        <w:rPr>
          <w:i/>
          <w:iCs/>
          <w:sz w:val="28"/>
          <w:szCs w:val="28"/>
          <w:lang w:val="en-US"/>
        </w:rPr>
      </w:pPr>
    </w:p>
    <w:p w14:paraId="5C338527" w14:textId="142F7BC4" w:rsidR="00AB1C32" w:rsidRPr="00961CEF" w:rsidRDefault="00670CEB" w:rsidP="00F67B74">
      <w:pPr>
        <w:pStyle w:val="ListParagraph"/>
        <w:spacing w:line="360" w:lineRule="auto"/>
        <w:ind w:left="1440"/>
        <w:jc w:val="both"/>
        <w:rPr>
          <w:b/>
          <w:bCs/>
          <w:i/>
          <w:iCs/>
          <w:sz w:val="28"/>
          <w:szCs w:val="28"/>
          <w:lang w:val="en-US"/>
        </w:rPr>
      </w:pPr>
      <w:r w:rsidRPr="00961CEF">
        <w:rPr>
          <w:b/>
          <w:bCs/>
          <w:i/>
          <w:iCs/>
          <w:sz w:val="28"/>
          <w:szCs w:val="28"/>
          <w:lang w:val="en-US"/>
        </w:rPr>
        <w:t>R</w:t>
      </w:r>
      <w:r w:rsidR="00375E21">
        <w:rPr>
          <w:b/>
          <w:bCs/>
          <w:i/>
          <w:iCs/>
          <w:sz w:val="28"/>
          <w:szCs w:val="28"/>
          <w:lang w:val="en-US"/>
        </w:rPr>
        <w:t>E</w:t>
      </w:r>
      <w:r w:rsidRPr="00961CEF">
        <w:rPr>
          <w:b/>
          <w:bCs/>
          <w:i/>
          <w:iCs/>
          <w:sz w:val="28"/>
          <w:szCs w:val="28"/>
          <w:lang w:val="en-US"/>
        </w:rPr>
        <w:t>COMMENDATION</w:t>
      </w:r>
    </w:p>
    <w:p w14:paraId="00937955" w14:textId="4893174E" w:rsidR="00A043EC" w:rsidRPr="00961CEF" w:rsidRDefault="00670CEB" w:rsidP="00F67B74">
      <w:pPr>
        <w:pStyle w:val="ListParagraph"/>
        <w:spacing w:line="360" w:lineRule="auto"/>
        <w:ind w:left="1440"/>
        <w:jc w:val="both"/>
        <w:rPr>
          <w:sz w:val="28"/>
          <w:szCs w:val="28"/>
          <w:lang w:val="en-US"/>
        </w:rPr>
      </w:pPr>
      <w:r w:rsidRPr="00961CEF">
        <w:rPr>
          <w:i/>
          <w:iCs/>
          <w:sz w:val="28"/>
          <w:szCs w:val="28"/>
          <w:lang w:val="en-US"/>
        </w:rPr>
        <w:t xml:space="preserve">8. </w:t>
      </w:r>
      <w:r w:rsidR="00897A0D" w:rsidRPr="00961CEF">
        <w:rPr>
          <w:i/>
          <w:iCs/>
          <w:sz w:val="28"/>
          <w:szCs w:val="28"/>
          <w:lang w:val="en-US"/>
        </w:rPr>
        <w:t>Give</w:t>
      </w:r>
      <w:r w:rsidR="00346274">
        <w:rPr>
          <w:i/>
          <w:iCs/>
          <w:sz w:val="28"/>
          <w:szCs w:val="28"/>
          <w:lang w:val="en-US"/>
        </w:rPr>
        <w:t xml:space="preserve">n </w:t>
      </w:r>
      <w:r w:rsidR="00897A0D" w:rsidRPr="00961CEF">
        <w:rPr>
          <w:i/>
          <w:iCs/>
          <w:sz w:val="28"/>
          <w:szCs w:val="28"/>
          <w:lang w:val="en-US"/>
        </w:rPr>
        <w:t xml:space="preserve">the fact that </w:t>
      </w:r>
      <w:proofErr w:type="spellStart"/>
      <w:r w:rsidR="00897A0D" w:rsidRPr="00961CEF">
        <w:rPr>
          <w:i/>
          <w:iCs/>
          <w:sz w:val="28"/>
          <w:szCs w:val="28"/>
          <w:lang w:val="en-US"/>
        </w:rPr>
        <w:t>Ms</w:t>
      </w:r>
      <w:proofErr w:type="spellEnd"/>
      <w:r w:rsidR="00897A0D" w:rsidRPr="00961CEF">
        <w:rPr>
          <w:i/>
          <w:iCs/>
          <w:sz w:val="28"/>
          <w:szCs w:val="28"/>
          <w:lang w:val="en-US"/>
        </w:rPr>
        <w:t xml:space="preserve"> </w:t>
      </w:r>
      <w:proofErr w:type="spellStart"/>
      <w:r w:rsidR="00897A0D" w:rsidRPr="00961CEF">
        <w:rPr>
          <w:i/>
          <w:iCs/>
          <w:sz w:val="28"/>
          <w:szCs w:val="28"/>
          <w:lang w:val="en-US"/>
        </w:rPr>
        <w:t>Najjemba</w:t>
      </w:r>
      <w:proofErr w:type="spellEnd"/>
      <w:r w:rsidR="00897A0D" w:rsidRPr="00961CEF">
        <w:rPr>
          <w:i/>
          <w:iCs/>
          <w:sz w:val="28"/>
          <w:szCs w:val="28"/>
          <w:lang w:val="en-US"/>
        </w:rPr>
        <w:t xml:space="preserve"> Florence </w:t>
      </w:r>
      <w:proofErr w:type="spellStart"/>
      <w:r w:rsidR="00897A0D" w:rsidRPr="00961CEF">
        <w:rPr>
          <w:i/>
          <w:iCs/>
          <w:sz w:val="28"/>
          <w:szCs w:val="28"/>
          <w:lang w:val="en-US"/>
        </w:rPr>
        <w:t>Musana</w:t>
      </w:r>
      <w:proofErr w:type="spellEnd"/>
      <w:r w:rsidR="00897A0D" w:rsidRPr="00961CEF">
        <w:rPr>
          <w:i/>
          <w:iCs/>
          <w:sz w:val="28"/>
          <w:szCs w:val="28"/>
          <w:lang w:val="en-US"/>
        </w:rPr>
        <w:t xml:space="preserve"> </w:t>
      </w:r>
      <w:r w:rsidR="005E0190" w:rsidRPr="00961CEF">
        <w:rPr>
          <w:i/>
          <w:iCs/>
          <w:sz w:val="28"/>
          <w:szCs w:val="28"/>
          <w:lang w:val="en-US"/>
        </w:rPr>
        <w:t xml:space="preserve">has a fraudulent </w:t>
      </w:r>
      <w:r w:rsidR="005E57E5">
        <w:rPr>
          <w:i/>
          <w:iCs/>
          <w:sz w:val="28"/>
          <w:szCs w:val="28"/>
          <w:lang w:val="en-US"/>
        </w:rPr>
        <w:t>W</w:t>
      </w:r>
      <w:r w:rsidR="005E0190" w:rsidRPr="00961CEF">
        <w:rPr>
          <w:i/>
          <w:iCs/>
          <w:sz w:val="28"/>
          <w:szCs w:val="28"/>
          <w:lang w:val="en-US"/>
        </w:rPr>
        <w:t>ork visa, it is recommended that the particulars of the above</w:t>
      </w:r>
      <w:r w:rsidR="00A120EF" w:rsidRPr="00961CEF">
        <w:rPr>
          <w:i/>
          <w:iCs/>
          <w:sz w:val="28"/>
          <w:szCs w:val="28"/>
          <w:lang w:val="en-US"/>
        </w:rPr>
        <w:t xml:space="preserve"> </w:t>
      </w:r>
      <w:r w:rsidR="005E0190" w:rsidRPr="00961CEF">
        <w:rPr>
          <w:i/>
          <w:iCs/>
          <w:sz w:val="28"/>
          <w:szCs w:val="28"/>
          <w:lang w:val="en-US"/>
        </w:rPr>
        <w:t xml:space="preserve">mentioned applicant be recorded on the </w:t>
      </w:r>
      <w:r w:rsidR="00961CEF" w:rsidRPr="00961CEF">
        <w:rPr>
          <w:i/>
          <w:iCs/>
          <w:sz w:val="28"/>
          <w:szCs w:val="28"/>
          <w:lang w:val="en-US"/>
        </w:rPr>
        <w:t>V</w:t>
      </w:r>
      <w:r w:rsidR="005E0190" w:rsidRPr="00961CEF">
        <w:rPr>
          <w:i/>
          <w:iCs/>
          <w:sz w:val="28"/>
          <w:szCs w:val="28"/>
          <w:lang w:val="en-US"/>
        </w:rPr>
        <w:t xml:space="preserve">isa and </w:t>
      </w:r>
      <w:r w:rsidR="00961CEF" w:rsidRPr="00961CEF">
        <w:rPr>
          <w:i/>
          <w:iCs/>
          <w:sz w:val="28"/>
          <w:szCs w:val="28"/>
          <w:lang w:val="en-US"/>
        </w:rPr>
        <w:t>E</w:t>
      </w:r>
      <w:r w:rsidR="005E0190" w:rsidRPr="00961CEF">
        <w:rPr>
          <w:i/>
          <w:iCs/>
          <w:sz w:val="28"/>
          <w:szCs w:val="28"/>
          <w:lang w:val="en-US"/>
        </w:rPr>
        <w:t xml:space="preserve">ntry </w:t>
      </w:r>
      <w:r w:rsidR="00961CEF" w:rsidRPr="00961CEF">
        <w:rPr>
          <w:i/>
          <w:iCs/>
          <w:sz w:val="28"/>
          <w:szCs w:val="28"/>
          <w:lang w:val="en-US"/>
        </w:rPr>
        <w:t>S</w:t>
      </w:r>
      <w:r w:rsidR="005E0190" w:rsidRPr="00961CEF">
        <w:rPr>
          <w:i/>
          <w:iCs/>
          <w:sz w:val="28"/>
          <w:szCs w:val="28"/>
          <w:lang w:val="en-US"/>
        </w:rPr>
        <w:t xml:space="preserve">top </w:t>
      </w:r>
      <w:r w:rsidR="00961CEF" w:rsidRPr="00961CEF">
        <w:rPr>
          <w:i/>
          <w:iCs/>
          <w:sz w:val="28"/>
          <w:szCs w:val="28"/>
          <w:lang w:val="en-US"/>
        </w:rPr>
        <w:t>L</w:t>
      </w:r>
      <w:r w:rsidR="005E0190" w:rsidRPr="00961CEF">
        <w:rPr>
          <w:i/>
          <w:iCs/>
          <w:sz w:val="28"/>
          <w:szCs w:val="28"/>
          <w:lang w:val="en-US"/>
        </w:rPr>
        <w:t>ist</w:t>
      </w:r>
      <w:r w:rsidR="005E0190" w:rsidRPr="005E0190">
        <w:rPr>
          <w:sz w:val="28"/>
          <w:szCs w:val="28"/>
          <w:lang w:val="en-US"/>
        </w:rPr>
        <w:t>.</w:t>
      </w:r>
      <w:r w:rsidR="00961CEF">
        <w:rPr>
          <w:sz w:val="28"/>
          <w:szCs w:val="28"/>
          <w:lang w:val="en-US"/>
        </w:rPr>
        <w:t>”</w:t>
      </w:r>
    </w:p>
    <w:p w14:paraId="1C675873" w14:textId="77777777" w:rsidR="00A043EC" w:rsidRPr="00A043EC" w:rsidRDefault="00A043EC" w:rsidP="00F67B74">
      <w:pPr>
        <w:pStyle w:val="ListParagraph"/>
        <w:spacing w:line="360" w:lineRule="auto"/>
        <w:rPr>
          <w:sz w:val="28"/>
          <w:szCs w:val="28"/>
          <w:lang w:val="en-US"/>
        </w:rPr>
      </w:pPr>
    </w:p>
    <w:p w14:paraId="34B76F45" w14:textId="7C0FAECD" w:rsidR="00470F74" w:rsidRPr="00062778" w:rsidRDefault="00613BDA" w:rsidP="00C34727">
      <w:pPr>
        <w:pStyle w:val="ListParagraph"/>
        <w:numPr>
          <w:ilvl w:val="0"/>
          <w:numId w:val="1"/>
        </w:numPr>
        <w:spacing w:line="360" w:lineRule="auto"/>
        <w:ind w:left="0" w:firstLine="0"/>
        <w:jc w:val="both"/>
        <w:rPr>
          <w:b/>
          <w:bCs/>
          <w:sz w:val="28"/>
          <w:szCs w:val="28"/>
          <w:lang w:val="en-US"/>
        </w:rPr>
      </w:pPr>
      <w:r w:rsidRPr="00D07795">
        <w:rPr>
          <w:sz w:val="28"/>
          <w:szCs w:val="28"/>
          <w:lang w:val="en-US"/>
        </w:rPr>
        <w:t>The applicant</w:t>
      </w:r>
      <w:r w:rsidR="00F44DF8" w:rsidRPr="00D07795">
        <w:rPr>
          <w:sz w:val="28"/>
          <w:szCs w:val="28"/>
          <w:lang w:val="en-US"/>
        </w:rPr>
        <w:t>, on her version, only became aware</w:t>
      </w:r>
      <w:r w:rsidR="006229DE" w:rsidRPr="00D07795">
        <w:rPr>
          <w:sz w:val="28"/>
          <w:szCs w:val="28"/>
          <w:lang w:val="en-US"/>
        </w:rPr>
        <w:t xml:space="preserve"> </w:t>
      </w:r>
      <w:r w:rsidR="007C3196" w:rsidRPr="00D07795">
        <w:rPr>
          <w:sz w:val="28"/>
          <w:szCs w:val="28"/>
          <w:lang w:val="en-US"/>
        </w:rPr>
        <w:t>that her passport “</w:t>
      </w:r>
      <w:r w:rsidR="007C3196" w:rsidRPr="00D07795">
        <w:rPr>
          <w:i/>
          <w:iCs/>
          <w:sz w:val="28"/>
          <w:szCs w:val="28"/>
          <w:lang w:val="en-US"/>
        </w:rPr>
        <w:t>was flagged</w:t>
      </w:r>
      <w:r w:rsidR="007C3196" w:rsidRPr="00D07795">
        <w:rPr>
          <w:sz w:val="28"/>
          <w:szCs w:val="28"/>
          <w:lang w:val="en-US"/>
        </w:rPr>
        <w:t>”</w:t>
      </w:r>
      <w:r w:rsidR="00AA2B75" w:rsidRPr="00AA2B75">
        <w:rPr>
          <w:sz w:val="28"/>
          <w:szCs w:val="28"/>
          <w:lang w:val="en-US"/>
        </w:rPr>
        <w:t xml:space="preserve"> </w:t>
      </w:r>
      <w:r w:rsidR="00AA2B75" w:rsidRPr="00D07795">
        <w:rPr>
          <w:sz w:val="28"/>
          <w:szCs w:val="28"/>
          <w:lang w:val="en-US"/>
        </w:rPr>
        <w:t>during 2019</w:t>
      </w:r>
      <w:r w:rsidR="00F44DF8" w:rsidRPr="00D07795">
        <w:rPr>
          <w:sz w:val="28"/>
          <w:szCs w:val="28"/>
          <w:lang w:val="en-US"/>
        </w:rPr>
        <w:t xml:space="preserve"> </w:t>
      </w:r>
      <w:r w:rsidR="00A64C02" w:rsidRPr="00D07795">
        <w:rPr>
          <w:sz w:val="28"/>
          <w:szCs w:val="28"/>
          <w:lang w:val="en-US"/>
        </w:rPr>
        <w:t xml:space="preserve">when she </w:t>
      </w:r>
      <w:r w:rsidR="007C3196" w:rsidRPr="00D07795">
        <w:rPr>
          <w:sz w:val="28"/>
          <w:szCs w:val="28"/>
          <w:lang w:val="en-US"/>
        </w:rPr>
        <w:t xml:space="preserve">was informed </w:t>
      </w:r>
      <w:r w:rsidR="005F1BE4" w:rsidRPr="00D07795">
        <w:rPr>
          <w:sz w:val="28"/>
          <w:szCs w:val="28"/>
          <w:lang w:val="en-US"/>
        </w:rPr>
        <w:t>by a border official when she wanted to travel to Botswana.</w:t>
      </w:r>
      <w:r w:rsidR="00301F3B" w:rsidRPr="00D07795">
        <w:rPr>
          <w:sz w:val="28"/>
          <w:szCs w:val="28"/>
          <w:lang w:val="en-US"/>
        </w:rPr>
        <w:t xml:space="preserve"> She thereafter made enquiries </w:t>
      </w:r>
      <w:r w:rsidR="00617912" w:rsidRPr="00D07795">
        <w:rPr>
          <w:sz w:val="28"/>
          <w:szCs w:val="28"/>
          <w:lang w:val="en-US"/>
        </w:rPr>
        <w:t xml:space="preserve">with the Department and was </w:t>
      </w:r>
      <w:r w:rsidR="00A56A1A" w:rsidRPr="00D07795">
        <w:rPr>
          <w:sz w:val="28"/>
          <w:szCs w:val="28"/>
          <w:lang w:val="en-US"/>
        </w:rPr>
        <w:t xml:space="preserve">given the number for Vivian </w:t>
      </w:r>
      <w:proofErr w:type="spellStart"/>
      <w:r w:rsidR="00A56A1A" w:rsidRPr="00D07795">
        <w:rPr>
          <w:sz w:val="28"/>
          <w:szCs w:val="28"/>
          <w:lang w:val="en-US"/>
        </w:rPr>
        <w:t>Koadi</w:t>
      </w:r>
      <w:proofErr w:type="spellEnd"/>
      <w:r w:rsidR="00B53041" w:rsidRPr="00D07795">
        <w:rPr>
          <w:sz w:val="28"/>
          <w:szCs w:val="28"/>
          <w:lang w:val="en-US"/>
        </w:rPr>
        <w:t>, an official</w:t>
      </w:r>
      <w:r w:rsidR="00426B91" w:rsidRPr="00D07795">
        <w:rPr>
          <w:sz w:val="28"/>
          <w:szCs w:val="28"/>
          <w:lang w:val="en-US"/>
        </w:rPr>
        <w:t xml:space="preserve"> </w:t>
      </w:r>
      <w:r w:rsidR="00B53041" w:rsidRPr="00D07795">
        <w:rPr>
          <w:sz w:val="28"/>
          <w:szCs w:val="28"/>
          <w:lang w:val="en-US"/>
        </w:rPr>
        <w:t xml:space="preserve">at </w:t>
      </w:r>
      <w:r w:rsidR="00426B91" w:rsidRPr="00D07795">
        <w:rPr>
          <w:sz w:val="28"/>
          <w:szCs w:val="28"/>
          <w:lang w:val="en-US"/>
        </w:rPr>
        <w:t xml:space="preserve">VFS </w:t>
      </w:r>
      <w:r w:rsidR="00085636" w:rsidRPr="00D07795">
        <w:rPr>
          <w:sz w:val="28"/>
          <w:szCs w:val="28"/>
          <w:lang w:val="en-US"/>
        </w:rPr>
        <w:t>Global</w:t>
      </w:r>
      <w:r w:rsidR="006A2EB0" w:rsidRPr="00D07795">
        <w:rPr>
          <w:sz w:val="28"/>
          <w:szCs w:val="28"/>
          <w:lang w:val="en-US"/>
        </w:rPr>
        <w:t xml:space="preserve"> </w:t>
      </w:r>
      <w:r w:rsidR="006A2EB0" w:rsidRPr="00D07795">
        <w:rPr>
          <w:sz w:val="28"/>
          <w:szCs w:val="28"/>
          <w:lang w:val="en-US"/>
        </w:rPr>
        <w:lastRenderedPageBreak/>
        <w:t>(Pty) Ltd (“V</w:t>
      </w:r>
      <w:r w:rsidR="00426B91" w:rsidRPr="00D07795">
        <w:rPr>
          <w:sz w:val="28"/>
          <w:szCs w:val="28"/>
          <w:lang w:val="en-US"/>
        </w:rPr>
        <w:t>F</w:t>
      </w:r>
      <w:r w:rsidR="006A2EB0" w:rsidRPr="00D07795">
        <w:rPr>
          <w:sz w:val="28"/>
          <w:szCs w:val="28"/>
          <w:lang w:val="en-US"/>
        </w:rPr>
        <w:t xml:space="preserve">S”), the company to which </w:t>
      </w:r>
      <w:r w:rsidR="00B435D0" w:rsidRPr="00D07795">
        <w:rPr>
          <w:sz w:val="28"/>
          <w:szCs w:val="28"/>
          <w:lang w:val="en-US"/>
        </w:rPr>
        <w:t xml:space="preserve">visa applications were outsourced in 2014. </w:t>
      </w:r>
      <w:r w:rsidR="00F60619" w:rsidRPr="00D07795">
        <w:rPr>
          <w:sz w:val="28"/>
          <w:szCs w:val="28"/>
          <w:lang w:val="en-US"/>
        </w:rPr>
        <w:t xml:space="preserve">It was </w:t>
      </w:r>
      <w:proofErr w:type="spellStart"/>
      <w:r w:rsidR="00D07795" w:rsidRPr="00D07795">
        <w:rPr>
          <w:sz w:val="28"/>
          <w:szCs w:val="28"/>
          <w:lang w:val="en-US"/>
        </w:rPr>
        <w:t>Ms</w:t>
      </w:r>
      <w:proofErr w:type="spellEnd"/>
      <w:r w:rsidR="00F60619" w:rsidRPr="00D07795">
        <w:rPr>
          <w:sz w:val="28"/>
          <w:szCs w:val="28"/>
          <w:lang w:val="en-US"/>
        </w:rPr>
        <w:t xml:space="preserve"> </w:t>
      </w:r>
      <w:proofErr w:type="spellStart"/>
      <w:r w:rsidR="00F60619" w:rsidRPr="00D07795">
        <w:rPr>
          <w:sz w:val="28"/>
          <w:szCs w:val="28"/>
          <w:lang w:val="en-US"/>
        </w:rPr>
        <w:t>Koadi</w:t>
      </w:r>
      <w:proofErr w:type="spellEnd"/>
      <w:r w:rsidR="00F60619" w:rsidRPr="00D07795">
        <w:rPr>
          <w:sz w:val="28"/>
          <w:szCs w:val="28"/>
          <w:lang w:val="en-US"/>
        </w:rPr>
        <w:t xml:space="preserve"> </w:t>
      </w:r>
      <w:r w:rsidR="00D07795" w:rsidRPr="00D07795">
        <w:rPr>
          <w:sz w:val="28"/>
          <w:szCs w:val="28"/>
          <w:lang w:val="en-US"/>
        </w:rPr>
        <w:t xml:space="preserve">who told the applicant for the first </w:t>
      </w:r>
      <w:proofErr w:type="gramStart"/>
      <w:r w:rsidR="00D07795" w:rsidRPr="00D07795">
        <w:rPr>
          <w:sz w:val="28"/>
          <w:szCs w:val="28"/>
          <w:lang w:val="en-US"/>
        </w:rPr>
        <w:t>time</w:t>
      </w:r>
      <w:r w:rsidR="00354C12">
        <w:rPr>
          <w:sz w:val="28"/>
          <w:szCs w:val="28"/>
          <w:lang w:val="en-US"/>
        </w:rPr>
        <w:t xml:space="preserve"> </w:t>
      </w:r>
      <w:r w:rsidR="00D07795" w:rsidRPr="00D07795">
        <w:rPr>
          <w:sz w:val="28"/>
          <w:szCs w:val="28"/>
          <w:lang w:val="en-US"/>
        </w:rPr>
        <w:t xml:space="preserve"> that</w:t>
      </w:r>
      <w:proofErr w:type="gramEnd"/>
      <w:r w:rsidR="00D07795" w:rsidRPr="00D07795">
        <w:rPr>
          <w:sz w:val="28"/>
          <w:szCs w:val="28"/>
          <w:lang w:val="en-US"/>
        </w:rPr>
        <w:t xml:space="preserve"> she </w:t>
      </w:r>
      <w:r w:rsidR="00D07795">
        <w:rPr>
          <w:sz w:val="28"/>
          <w:szCs w:val="28"/>
          <w:lang w:val="en-US"/>
        </w:rPr>
        <w:t xml:space="preserve">had been </w:t>
      </w:r>
      <w:r w:rsidR="00062778">
        <w:rPr>
          <w:sz w:val="28"/>
          <w:szCs w:val="28"/>
          <w:lang w:val="en-US"/>
        </w:rPr>
        <w:t>“v-listed”.</w:t>
      </w:r>
    </w:p>
    <w:p w14:paraId="69C4B6B9" w14:textId="77777777" w:rsidR="00062778" w:rsidRPr="00062778" w:rsidRDefault="00062778" w:rsidP="00F67B74">
      <w:pPr>
        <w:pStyle w:val="ListParagraph"/>
        <w:spacing w:line="360" w:lineRule="auto"/>
        <w:ind w:left="360"/>
        <w:jc w:val="both"/>
        <w:rPr>
          <w:b/>
          <w:bCs/>
          <w:sz w:val="28"/>
          <w:szCs w:val="28"/>
          <w:lang w:val="en-US"/>
        </w:rPr>
      </w:pPr>
    </w:p>
    <w:p w14:paraId="7133894D" w14:textId="73340CAF" w:rsidR="003520C3" w:rsidRDefault="00170197" w:rsidP="002A1119">
      <w:pPr>
        <w:pStyle w:val="ListParagraph"/>
        <w:numPr>
          <w:ilvl w:val="0"/>
          <w:numId w:val="1"/>
        </w:numPr>
        <w:spacing w:line="360" w:lineRule="auto"/>
        <w:ind w:left="0" w:firstLine="0"/>
        <w:jc w:val="both"/>
        <w:rPr>
          <w:sz w:val="28"/>
          <w:szCs w:val="28"/>
          <w:lang w:val="en-US"/>
        </w:rPr>
      </w:pPr>
      <w:r w:rsidRPr="00CB742D">
        <w:rPr>
          <w:sz w:val="28"/>
          <w:szCs w:val="28"/>
          <w:lang w:val="en-US"/>
        </w:rPr>
        <w:t xml:space="preserve">The applicant </w:t>
      </w:r>
      <w:r w:rsidR="00783C67">
        <w:rPr>
          <w:sz w:val="28"/>
          <w:szCs w:val="28"/>
          <w:lang w:val="en-US"/>
        </w:rPr>
        <w:t xml:space="preserve">made an application to the DG </w:t>
      </w:r>
      <w:r w:rsidR="00C04699">
        <w:rPr>
          <w:sz w:val="28"/>
          <w:szCs w:val="28"/>
          <w:lang w:val="en-US"/>
        </w:rPr>
        <w:t xml:space="preserve">in terms of section 29(2) of the Act </w:t>
      </w:r>
      <w:r w:rsidR="00354C12">
        <w:rPr>
          <w:sz w:val="28"/>
          <w:szCs w:val="28"/>
          <w:lang w:val="en-US"/>
        </w:rPr>
        <w:t xml:space="preserve">for the </w:t>
      </w:r>
      <w:r w:rsidR="00C04699">
        <w:rPr>
          <w:sz w:val="28"/>
          <w:szCs w:val="28"/>
          <w:lang w:val="en-US"/>
        </w:rPr>
        <w:t>revers</w:t>
      </w:r>
      <w:r w:rsidR="00354C12">
        <w:rPr>
          <w:sz w:val="28"/>
          <w:szCs w:val="28"/>
          <w:lang w:val="en-US"/>
        </w:rPr>
        <w:t>al</w:t>
      </w:r>
      <w:r w:rsidR="00C408DB">
        <w:rPr>
          <w:sz w:val="28"/>
          <w:szCs w:val="28"/>
          <w:lang w:val="en-US"/>
        </w:rPr>
        <w:t xml:space="preserve"> </w:t>
      </w:r>
      <w:r w:rsidR="007D3110">
        <w:rPr>
          <w:sz w:val="28"/>
          <w:szCs w:val="28"/>
          <w:lang w:val="en-US"/>
        </w:rPr>
        <w:t>of her prohibited person status</w:t>
      </w:r>
      <w:r w:rsidR="00C408DB">
        <w:rPr>
          <w:sz w:val="28"/>
          <w:szCs w:val="28"/>
          <w:lang w:val="en-US"/>
        </w:rPr>
        <w:t xml:space="preserve"> de</w:t>
      </w:r>
      <w:r w:rsidR="00AB05FC">
        <w:rPr>
          <w:sz w:val="28"/>
          <w:szCs w:val="28"/>
          <w:lang w:val="en-US"/>
        </w:rPr>
        <w:t xml:space="preserve">claration under subsection </w:t>
      </w:r>
      <w:r w:rsidR="000914B7">
        <w:rPr>
          <w:sz w:val="28"/>
          <w:szCs w:val="28"/>
          <w:lang w:val="en-US"/>
        </w:rPr>
        <w:t>29</w:t>
      </w:r>
      <w:r w:rsidR="00AB05FC">
        <w:rPr>
          <w:sz w:val="28"/>
          <w:szCs w:val="28"/>
          <w:lang w:val="en-US"/>
        </w:rPr>
        <w:t xml:space="preserve">(1). </w:t>
      </w:r>
      <w:r w:rsidR="00416F25">
        <w:rPr>
          <w:sz w:val="28"/>
          <w:szCs w:val="28"/>
          <w:lang w:val="en-US"/>
        </w:rPr>
        <w:t>When her application was unsuccessful, she appealed to the Minister</w:t>
      </w:r>
      <w:r w:rsidR="003520C3">
        <w:rPr>
          <w:sz w:val="28"/>
          <w:szCs w:val="28"/>
          <w:lang w:val="en-US"/>
        </w:rPr>
        <w:t xml:space="preserve"> to reverse the </w:t>
      </w:r>
      <w:r w:rsidR="00B73BF3">
        <w:rPr>
          <w:sz w:val="28"/>
          <w:szCs w:val="28"/>
          <w:lang w:val="en-US"/>
        </w:rPr>
        <w:t xml:space="preserve">DG’s </w:t>
      </w:r>
      <w:r w:rsidR="003520C3">
        <w:rPr>
          <w:sz w:val="28"/>
          <w:szCs w:val="28"/>
          <w:lang w:val="en-US"/>
        </w:rPr>
        <w:t>decision, but this appeal was also unsuccessful.</w:t>
      </w:r>
      <w:r w:rsidR="00AB5A7C">
        <w:rPr>
          <w:sz w:val="28"/>
          <w:szCs w:val="28"/>
          <w:lang w:val="en-US"/>
        </w:rPr>
        <w:t xml:space="preserve"> I</w:t>
      </w:r>
      <w:r w:rsidR="00E9366A">
        <w:rPr>
          <w:sz w:val="28"/>
          <w:szCs w:val="28"/>
          <w:lang w:val="en-US"/>
        </w:rPr>
        <w:t>n</w:t>
      </w:r>
      <w:r w:rsidR="00AB5A7C">
        <w:rPr>
          <w:sz w:val="28"/>
          <w:szCs w:val="28"/>
          <w:lang w:val="en-US"/>
        </w:rPr>
        <w:t xml:space="preserve"> </w:t>
      </w:r>
      <w:r w:rsidR="00E9366A">
        <w:rPr>
          <w:sz w:val="28"/>
          <w:szCs w:val="28"/>
          <w:lang w:val="en-US"/>
        </w:rPr>
        <w:t xml:space="preserve">the letter to the applicant communicating </w:t>
      </w:r>
      <w:r w:rsidR="00AB5A7C">
        <w:rPr>
          <w:sz w:val="28"/>
          <w:szCs w:val="28"/>
          <w:lang w:val="en-US"/>
        </w:rPr>
        <w:t xml:space="preserve">his decision, </w:t>
      </w:r>
      <w:r w:rsidR="00E9366A">
        <w:rPr>
          <w:sz w:val="28"/>
          <w:szCs w:val="28"/>
          <w:lang w:val="en-US"/>
        </w:rPr>
        <w:t>the Minister</w:t>
      </w:r>
      <w:r w:rsidR="00C65DF9">
        <w:rPr>
          <w:sz w:val="28"/>
          <w:szCs w:val="28"/>
          <w:lang w:val="en-US"/>
        </w:rPr>
        <w:t xml:space="preserve"> gave the following </w:t>
      </w:r>
      <w:r w:rsidR="002A1119">
        <w:rPr>
          <w:sz w:val="28"/>
          <w:szCs w:val="28"/>
          <w:lang w:val="en-US"/>
        </w:rPr>
        <w:t>reason for</w:t>
      </w:r>
      <w:r w:rsidR="000B0C03">
        <w:rPr>
          <w:sz w:val="28"/>
          <w:szCs w:val="28"/>
          <w:lang w:val="en-US"/>
        </w:rPr>
        <w:t xml:space="preserve"> rejecting the applicant’s appeal</w:t>
      </w:r>
      <w:r w:rsidR="00DD5B1B">
        <w:rPr>
          <w:sz w:val="28"/>
          <w:szCs w:val="28"/>
          <w:lang w:val="en-US"/>
        </w:rPr>
        <w:t>:</w:t>
      </w:r>
    </w:p>
    <w:p w14:paraId="58E81A00" w14:textId="77777777" w:rsidR="00DD5B1B" w:rsidRPr="00DD5B1B" w:rsidRDefault="00DD5B1B" w:rsidP="00DD5B1B">
      <w:pPr>
        <w:pStyle w:val="ListParagraph"/>
        <w:rPr>
          <w:sz w:val="28"/>
          <w:szCs w:val="28"/>
          <w:lang w:val="en-US"/>
        </w:rPr>
      </w:pPr>
    </w:p>
    <w:p w14:paraId="5ADFDB2C" w14:textId="500A8D99" w:rsidR="00DD5B1B" w:rsidRDefault="00DD5B1B" w:rsidP="00DD5B1B">
      <w:pPr>
        <w:pStyle w:val="ListParagraph"/>
        <w:spacing w:line="360" w:lineRule="auto"/>
        <w:ind w:left="1440"/>
        <w:jc w:val="both"/>
        <w:rPr>
          <w:sz w:val="28"/>
          <w:szCs w:val="28"/>
          <w:lang w:val="en-US"/>
        </w:rPr>
      </w:pPr>
      <w:r>
        <w:rPr>
          <w:sz w:val="28"/>
          <w:szCs w:val="28"/>
          <w:lang w:val="en-US"/>
        </w:rPr>
        <w:t>“</w:t>
      </w:r>
      <w:r w:rsidR="004339F5" w:rsidRPr="000B0C03">
        <w:rPr>
          <w:i/>
          <w:iCs/>
          <w:sz w:val="28"/>
          <w:szCs w:val="28"/>
          <w:lang w:val="en-US"/>
        </w:rPr>
        <w:t xml:space="preserve">You obtained a fraudulent work visa in the country and as a result you contravened the </w:t>
      </w:r>
      <w:r w:rsidR="00C65DF9" w:rsidRPr="000B0C03">
        <w:rPr>
          <w:i/>
          <w:iCs/>
          <w:sz w:val="28"/>
          <w:szCs w:val="28"/>
          <w:lang w:val="en-US"/>
        </w:rPr>
        <w:t>I</w:t>
      </w:r>
      <w:r w:rsidR="004339F5" w:rsidRPr="000B0C03">
        <w:rPr>
          <w:i/>
          <w:iCs/>
          <w:sz w:val="28"/>
          <w:szCs w:val="28"/>
          <w:lang w:val="en-US"/>
        </w:rPr>
        <w:t xml:space="preserve">mmigration </w:t>
      </w:r>
      <w:r w:rsidR="00C65DF9" w:rsidRPr="000B0C03">
        <w:rPr>
          <w:i/>
          <w:iCs/>
          <w:sz w:val="28"/>
          <w:szCs w:val="28"/>
          <w:lang w:val="en-US"/>
        </w:rPr>
        <w:t>A</w:t>
      </w:r>
      <w:r w:rsidR="004339F5" w:rsidRPr="000B0C03">
        <w:rPr>
          <w:i/>
          <w:iCs/>
          <w:sz w:val="28"/>
          <w:szCs w:val="28"/>
          <w:lang w:val="en-US"/>
        </w:rPr>
        <w:t>ct</w:t>
      </w:r>
      <w:r w:rsidR="004339F5" w:rsidRPr="004339F5">
        <w:rPr>
          <w:sz w:val="28"/>
          <w:szCs w:val="28"/>
          <w:lang w:val="en-US"/>
        </w:rPr>
        <w:t>.</w:t>
      </w:r>
      <w:r w:rsidR="000B0C03">
        <w:rPr>
          <w:sz w:val="28"/>
          <w:szCs w:val="28"/>
          <w:lang w:val="en-US"/>
        </w:rPr>
        <w:t>”</w:t>
      </w:r>
    </w:p>
    <w:p w14:paraId="65A7E6D6" w14:textId="77777777" w:rsidR="00030108" w:rsidRDefault="00030108" w:rsidP="00DD5B1B">
      <w:pPr>
        <w:pStyle w:val="ListParagraph"/>
        <w:spacing w:line="360" w:lineRule="auto"/>
        <w:ind w:left="1440"/>
        <w:jc w:val="both"/>
        <w:rPr>
          <w:sz w:val="28"/>
          <w:szCs w:val="28"/>
          <w:lang w:val="en-US"/>
        </w:rPr>
      </w:pPr>
    </w:p>
    <w:p w14:paraId="092C9A56" w14:textId="183D26BA" w:rsidR="00030108" w:rsidRPr="00030108" w:rsidRDefault="00030108" w:rsidP="00030108">
      <w:pPr>
        <w:pStyle w:val="ListParagraph"/>
        <w:spacing w:line="360" w:lineRule="auto"/>
        <w:ind w:left="0"/>
        <w:jc w:val="both"/>
        <w:rPr>
          <w:b/>
          <w:bCs/>
          <w:sz w:val="28"/>
          <w:szCs w:val="28"/>
          <w:lang w:val="en-US"/>
        </w:rPr>
      </w:pPr>
      <w:r>
        <w:rPr>
          <w:b/>
          <w:bCs/>
          <w:sz w:val="28"/>
          <w:szCs w:val="28"/>
          <w:lang w:val="en-US"/>
        </w:rPr>
        <w:t>DISCUSSION</w:t>
      </w:r>
    </w:p>
    <w:p w14:paraId="61274A3A" w14:textId="77777777" w:rsidR="003520C3" w:rsidRPr="003520C3" w:rsidRDefault="003520C3" w:rsidP="003520C3">
      <w:pPr>
        <w:pStyle w:val="ListParagraph"/>
        <w:rPr>
          <w:sz w:val="28"/>
          <w:szCs w:val="28"/>
          <w:lang w:val="en-US"/>
        </w:rPr>
      </w:pPr>
    </w:p>
    <w:p w14:paraId="74CB1B60" w14:textId="2ED78119" w:rsidR="00D84C32" w:rsidRDefault="00416F25" w:rsidP="002A1119">
      <w:pPr>
        <w:pStyle w:val="ListParagraph"/>
        <w:numPr>
          <w:ilvl w:val="0"/>
          <w:numId w:val="1"/>
        </w:numPr>
        <w:spacing w:line="360" w:lineRule="auto"/>
        <w:ind w:left="0" w:firstLine="0"/>
        <w:jc w:val="both"/>
        <w:rPr>
          <w:sz w:val="28"/>
          <w:szCs w:val="28"/>
          <w:lang w:val="en-US"/>
        </w:rPr>
      </w:pPr>
      <w:r>
        <w:rPr>
          <w:sz w:val="28"/>
          <w:szCs w:val="28"/>
          <w:lang w:val="en-US"/>
        </w:rPr>
        <w:t xml:space="preserve"> </w:t>
      </w:r>
      <w:r w:rsidR="00030108">
        <w:rPr>
          <w:sz w:val="28"/>
          <w:szCs w:val="28"/>
          <w:lang w:val="en-US"/>
        </w:rPr>
        <w:t xml:space="preserve">The </w:t>
      </w:r>
      <w:r w:rsidR="009D1192">
        <w:rPr>
          <w:sz w:val="28"/>
          <w:szCs w:val="28"/>
          <w:lang w:val="en-US"/>
        </w:rPr>
        <w:t xml:space="preserve">respondents contend that the prohibition under section 29(1) </w:t>
      </w:r>
      <w:r w:rsidR="00E36172">
        <w:rPr>
          <w:sz w:val="28"/>
          <w:szCs w:val="28"/>
          <w:lang w:val="en-US"/>
        </w:rPr>
        <w:t>occurs by operation of law</w:t>
      </w:r>
      <w:r w:rsidR="00950E91">
        <w:rPr>
          <w:sz w:val="28"/>
          <w:szCs w:val="28"/>
          <w:lang w:val="en-US"/>
        </w:rPr>
        <w:t>,</w:t>
      </w:r>
      <w:r w:rsidR="00CC0595">
        <w:rPr>
          <w:sz w:val="28"/>
          <w:szCs w:val="28"/>
          <w:lang w:val="en-US"/>
        </w:rPr>
        <w:t xml:space="preserve"> </w:t>
      </w:r>
      <w:r w:rsidR="00950E91">
        <w:rPr>
          <w:sz w:val="28"/>
          <w:szCs w:val="28"/>
          <w:lang w:val="en-US"/>
        </w:rPr>
        <w:t xml:space="preserve">whereas it is the applicant’s case that it is an administrative decision. </w:t>
      </w:r>
      <w:r w:rsidR="007D65C7">
        <w:rPr>
          <w:sz w:val="28"/>
          <w:szCs w:val="28"/>
          <w:lang w:val="en-US"/>
        </w:rPr>
        <w:t>Counsel for the applicant argued that it is a de</w:t>
      </w:r>
      <w:r w:rsidR="00EB6304">
        <w:rPr>
          <w:sz w:val="28"/>
          <w:szCs w:val="28"/>
          <w:lang w:val="en-US"/>
        </w:rPr>
        <w:t xml:space="preserve">cision of a </w:t>
      </w:r>
      <w:r w:rsidR="00B669D6">
        <w:rPr>
          <w:sz w:val="28"/>
          <w:szCs w:val="28"/>
          <w:lang w:val="en-US"/>
        </w:rPr>
        <w:t>characteristically administrative</w:t>
      </w:r>
      <w:r w:rsidR="00EB6304">
        <w:rPr>
          <w:sz w:val="28"/>
          <w:szCs w:val="28"/>
          <w:lang w:val="en-US"/>
        </w:rPr>
        <w:t xml:space="preserve"> </w:t>
      </w:r>
      <w:r w:rsidR="00B669D6">
        <w:rPr>
          <w:sz w:val="28"/>
          <w:szCs w:val="28"/>
          <w:lang w:val="en-US"/>
        </w:rPr>
        <w:t xml:space="preserve">nature </w:t>
      </w:r>
      <w:r w:rsidR="00DB3154">
        <w:rPr>
          <w:sz w:val="28"/>
          <w:szCs w:val="28"/>
          <w:lang w:val="en-US"/>
        </w:rPr>
        <w:t>as i</w:t>
      </w:r>
      <w:r w:rsidR="00470548" w:rsidRPr="00470548">
        <w:rPr>
          <w:sz w:val="28"/>
          <w:szCs w:val="28"/>
          <w:lang w:val="en-US"/>
        </w:rPr>
        <w:t>t is taken by a government official, in fulfillment of a public function, in terms of empowering legislation, which directly</w:t>
      </w:r>
      <w:r w:rsidR="00471573">
        <w:rPr>
          <w:sz w:val="28"/>
          <w:szCs w:val="28"/>
          <w:lang w:val="en-US"/>
        </w:rPr>
        <w:t>,</w:t>
      </w:r>
      <w:r w:rsidR="00470548" w:rsidRPr="00470548">
        <w:rPr>
          <w:sz w:val="28"/>
          <w:szCs w:val="28"/>
          <w:lang w:val="en-US"/>
        </w:rPr>
        <w:t xml:space="preserve"> externally and </w:t>
      </w:r>
      <w:r w:rsidR="00A8764B" w:rsidRPr="00A8764B">
        <w:rPr>
          <w:sz w:val="28"/>
          <w:szCs w:val="28"/>
          <w:lang w:val="en-US"/>
        </w:rPr>
        <w:t>adversely affects the legal right</w:t>
      </w:r>
      <w:r w:rsidR="00A8764B">
        <w:rPr>
          <w:sz w:val="28"/>
          <w:szCs w:val="28"/>
          <w:lang w:val="en-US"/>
        </w:rPr>
        <w:t>s</w:t>
      </w:r>
      <w:r w:rsidR="00A8764B" w:rsidRPr="00A8764B">
        <w:rPr>
          <w:sz w:val="28"/>
          <w:szCs w:val="28"/>
          <w:lang w:val="en-US"/>
        </w:rPr>
        <w:t xml:space="preserve"> of the person concerned</w:t>
      </w:r>
      <w:r w:rsidR="007D3110">
        <w:rPr>
          <w:sz w:val="28"/>
          <w:szCs w:val="28"/>
          <w:lang w:val="en-US"/>
        </w:rPr>
        <w:t xml:space="preserve">. </w:t>
      </w:r>
      <w:r w:rsidR="002A1119">
        <w:rPr>
          <w:sz w:val="28"/>
          <w:szCs w:val="28"/>
          <w:lang w:val="en-US"/>
        </w:rPr>
        <w:t>Furthermore,</w:t>
      </w:r>
      <w:r w:rsidR="00A8764B" w:rsidRPr="00A8764B">
        <w:rPr>
          <w:sz w:val="28"/>
          <w:szCs w:val="28"/>
          <w:lang w:val="en-US"/>
        </w:rPr>
        <w:t xml:space="preserve"> it does not fall with</w:t>
      </w:r>
      <w:r w:rsidR="00471573">
        <w:rPr>
          <w:sz w:val="28"/>
          <w:szCs w:val="28"/>
          <w:lang w:val="en-US"/>
        </w:rPr>
        <w:t>in</w:t>
      </w:r>
      <w:r w:rsidR="00A8764B" w:rsidRPr="00A8764B">
        <w:rPr>
          <w:sz w:val="28"/>
          <w:szCs w:val="28"/>
          <w:lang w:val="en-US"/>
        </w:rPr>
        <w:t xml:space="preserve"> any of the exclusions listed in section</w:t>
      </w:r>
      <w:r w:rsidR="00927244">
        <w:rPr>
          <w:sz w:val="28"/>
          <w:szCs w:val="28"/>
          <w:lang w:val="en-US"/>
        </w:rPr>
        <w:t xml:space="preserve"> 1</w:t>
      </w:r>
      <w:r w:rsidR="00A8764B" w:rsidRPr="00A8764B">
        <w:rPr>
          <w:sz w:val="28"/>
          <w:szCs w:val="28"/>
          <w:lang w:val="en-US"/>
        </w:rPr>
        <w:t xml:space="preserve"> of</w:t>
      </w:r>
      <w:r w:rsidR="0094257F">
        <w:rPr>
          <w:sz w:val="28"/>
          <w:szCs w:val="28"/>
          <w:lang w:val="en-US"/>
        </w:rPr>
        <w:t xml:space="preserve"> </w:t>
      </w:r>
      <w:r w:rsidR="00234792">
        <w:rPr>
          <w:sz w:val="28"/>
          <w:szCs w:val="28"/>
          <w:lang w:val="en-US"/>
        </w:rPr>
        <w:t>the Promotion of Administrative Justice Act 3 of 2000 (“PAJA”)</w:t>
      </w:r>
      <w:r w:rsidR="00D92086">
        <w:rPr>
          <w:sz w:val="28"/>
          <w:szCs w:val="28"/>
          <w:lang w:val="en-US"/>
        </w:rPr>
        <w:t>.</w:t>
      </w:r>
    </w:p>
    <w:p w14:paraId="42AF1B76" w14:textId="46102793" w:rsidR="00F60B7A" w:rsidRPr="00D84C32" w:rsidRDefault="00D84C32" w:rsidP="00CC0595">
      <w:pPr>
        <w:pStyle w:val="ListParagraph"/>
        <w:spacing w:line="360" w:lineRule="auto"/>
        <w:ind w:left="360"/>
        <w:jc w:val="both"/>
        <w:rPr>
          <w:sz w:val="28"/>
          <w:szCs w:val="28"/>
          <w:lang w:val="en-US"/>
        </w:rPr>
      </w:pPr>
      <w:r>
        <w:rPr>
          <w:sz w:val="28"/>
          <w:szCs w:val="28"/>
          <w:lang w:val="en-US"/>
        </w:rPr>
        <w:t xml:space="preserve"> </w:t>
      </w:r>
    </w:p>
    <w:p w14:paraId="0274633F" w14:textId="39B9A9DF" w:rsidR="00D84C32" w:rsidRDefault="00D84C32" w:rsidP="00CC0595">
      <w:pPr>
        <w:pStyle w:val="ListParagraph"/>
        <w:numPr>
          <w:ilvl w:val="0"/>
          <w:numId w:val="1"/>
        </w:numPr>
        <w:spacing w:line="360" w:lineRule="auto"/>
        <w:jc w:val="both"/>
        <w:rPr>
          <w:sz w:val="28"/>
          <w:szCs w:val="28"/>
          <w:lang w:val="en-US"/>
        </w:rPr>
      </w:pPr>
      <w:r>
        <w:rPr>
          <w:sz w:val="28"/>
          <w:szCs w:val="28"/>
          <w:lang w:val="en-US"/>
        </w:rPr>
        <w:t xml:space="preserve">Section 1 of PAJA defines </w:t>
      </w:r>
      <w:r w:rsidR="00014DCC">
        <w:rPr>
          <w:sz w:val="28"/>
          <w:szCs w:val="28"/>
          <w:lang w:val="en-US"/>
        </w:rPr>
        <w:t>administrative action as</w:t>
      </w:r>
      <w:r w:rsidR="003160AB">
        <w:rPr>
          <w:sz w:val="28"/>
          <w:szCs w:val="28"/>
          <w:lang w:val="en-US"/>
        </w:rPr>
        <w:t xml:space="preserve"> meaning</w:t>
      </w:r>
      <w:r w:rsidR="00014DCC">
        <w:rPr>
          <w:sz w:val="28"/>
          <w:szCs w:val="28"/>
          <w:lang w:val="en-US"/>
        </w:rPr>
        <w:t>:</w:t>
      </w:r>
    </w:p>
    <w:p w14:paraId="70CBF351" w14:textId="77777777" w:rsidR="00014DCC" w:rsidRPr="00014DCC" w:rsidRDefault="00014DCC" w:rsidP="00CC0595">
      <w:pPr>
        <w:pStyle w:val="ListParagraph"/>
        <w:jc w:val="both"/>
        <w:rPr>
          <w:sz w:val="28"/>
          <w:szCs w:val="28"/>
          <w:lang w:val="en-US"/>
        </w:rPr>
      </w:pPr>
    </w:p>
    <w:p w14:paraId="044A113E" w14:textId="77777777" w:rsidR="00B14466" w:rsidRDefault="003160AB" w:rsidP="00B03D26">
      <w:pPr>
        <w:pStyle w:val="ListParagraph"/>
        <w:spacing w:line="360" w:lineRule="auto"/>
        <w:ind w:left="1440"/>
        <w:jc w:val="both"/>
        <w:rPr>
          <w:i/>
          <w:iCs/>
          <w:sz w:val="28"/>
          <w:szCs w:val="28"/>
        </w:rPr>
      </w:pPr>
      <w:r w:rsidRPr="003160AB">
        <w:rPr>
          <w:i/>
          <w:iCs/>
          <w:sz w:val="28"/>
          <w:szCs w:val="28"/>
        </w:rPr>
        <w:t>“…</w:t>
      </w:r>
      <w:r w:rsidR="00014DCC" w:rsidRPr="003160AB">
        <w:rPr>
          <w:i/>
          <w:iCs/>
          <w:sz w:val="28"/>
          <w:szCs w:val="28"/>
        </w:rPr>
        <w:t xml:space="preserve">any decision taken, or any failure to take a decision, by— </w:t>
      </w:r>
    </w:p>
    <w:p w14:paraId="1AAEB0B1" w14:textId="77777777" w:rsidR="00CF3092" w:rsidRDefault="00014DCC" w:rsidP="00B03D26">
      <w:pPr>
        <w:pStyle w:val="ListParagraph"/>
        <w:spacing w:line="360" w:lineRule="auto"/>
        <w:ind w:left="1440"/>
        <w:jc w:val="both"/>
        <w:rPr>
          <w:i/>
          <w:iCs/>
          <w:sz w:val="28"/>
          <w:szCs w:val="28"/>
        </w:rPr>
      </w:pPr>
      <w:r w:rsidRPr="003160AB">
        <w:rPr>
          <w:i/>
          <w:iCs/>
          <w:sz w:val="28"/>
          <w:szCs w:val="28"/>
        </w:rPr>
        <w:lastRenderedPageBreak/>
        <w:t xml:space="preserve">(a) </w:t>
      </w:r>
      <w:r w:rsidR="00B643F2">
        <w:rPr>
          <w:i/>
          <w:iCs/>
          <w:sz w:val="28"/>
          <w:szCs w:val="28"/>
        </w:rPr>
        <w:t>an</w:t>
      </w:r>
      <w:r w:rsidRPr="003160AB">
        <w:rPr>
          <w:i/>
          <w:iCs/>
          <w:sz w:val="28"/>
          <w:szCs w:val="28"/>
        </w:rPr>
        <w:t xml:space="preserve"> organ of state, when— </w:t>
      </w:r>
    </w:p>
    <w:p w14:paraId="07BBD4AA" w14:textId="77777777" w:rsidR="00CF3092" w:rsidRDefault="00014DCC" w:rsidP="00B03D26">
      <w:pPr>
        <w:pStyle w:val="ListParagraph"/>
        <w:spacing w:line="360" w:lineRule="auto"/>
        <w:ind w:left="2160"/>
        <w:jc w:val="both"/>
        <w:rPr>
          <w:i/>
          <w:iCs/>
          <w:sz w:val="28"/>
          <w:szCs w:val="28"/>
        </w:rPr>
      </w:pPr>
      <w:r w:rsidRPr="003160AB">
        <w:rPr>
          <w:i/>
          <w:iCs/>
          <w:sz w:val="28"/>
          <w:szCs w:val="28"/>
        </w:rPr>
        <w:t>(</w:t>
      </w:r>
      <w:proofErr w:type="spellStart"/>
      <w:r w:rsidRPr="003160AB">
        <w:rPr>
          <w:i/>
          <w:iCs/>
          <w:sz w:val="28"/>
          <w:szCs w:val="28"/>
        </w:rPr>
        <w:t>i</w:t>
      </w:r>
      <w:proofErr w:type="spellEnd"/>
      <w:r w:rsidRPr="003160AB">
        <w:rPr>
          <w:i/>
          <w:iCs/>
          <w:sz w:val="28"/>
          <w:szCs w:val="28"/>
        </w:rPr>
        <w:t xml:space="preserve">) exercising a power in terms of the Constitution or a provincial constitution; or </w:t>
      </w:r>
    </w:p>
    <w:p w14:paraId="50CC0826" w14:textId="77777777" w:rsidR="00BF4D9C" w:rsidRDefault="00014DCC" w:rsidP="00B03D26">
      <w:pPr>
        <w:pStyle w:val="ListParagraph"/>
        <w:spacing w:line="360" w:lineRule="auto"/>
        <w:ind w:left="2160"/>
        <w:jc w:val="both"/>
        <w:rPr>
          <w:i/>
          <w:iCs/>
          <w:sz w:val="28"/>
          <w:szCs w:val="28"/>
        </w:rPr>
      </w:pPr>
      <w:r w:rsidRPr="003160AB">
        <w:rPr>
          <w:i/>
          <w:iCs/>
          <w:sz w:val="28"/>
          <w:szCs w:val="28"/>
        </w:rPr>
        <w:t>(ii) exercising a public power or performing a public function in terms</w:t>
      </w:r>
      <w:r w:rsidR="005C0695">
        <w:rPr>
          <w:i/>
          <w:iCs/>
          <w:sz w:val="28"/>
          <w:szCs w:val="28"/>
        </w:rPr>
        <w:t xml:space="preserve"> </w:t>
      </w:r>
      <w:r w:rsidRPr="003160AB">
        <w:rPr>
          <w:i/>
          <w:iCs/>
          <w:sz w:val="28"/>
          <w:szCs w:val="28"/>
        </w:rPr>
        <w:t xml:space="preserve">of any legislation; or </w:t>
      </w:r>
    </w:p>
    <w:p w14:paraId="030B79EA" w14:textId="77777777" w:rsidR="0013260E" w:rsidRDefault="00014DCC" w:rsidP="00B03D26">
      <w:pPr>
        <w:pStyle w:val="ListParagraph"/>
        <w:spacing w:line="360" w:lineRule="auto"/>
        <w:ind w:left="1440"/>
        <w:jc w:val="both"/>
        <w:rPr>
          <w:i/>
          <w:iCs/>
          <w:sz w:val="28"/>
          <w:szCs w:val="28"/>
        </w:rPr>
      </w:pPr>
      <w:r w:rsidRPr="003160AB">
        <w:rPr>
          <w:i/>
          <w:iCs/>
          <w:sz w:val="28"/>
          <w:szCs w:val="28"/>
        </w:rPr>
        <w:t>(b) a natural or juristic person, other than an organ of state, when</w:t>
      </w:r>
    </w:p>
    <w:p w14:paraId="71F53BE2" w14:textId="77777777" w:rsidR="002638EA" w:rsidRDefault="00014DCC" w:rsidP="00B03D26">
      <w:pPr>
        <w:pStyle w:val="ListParagraph"/>
        <w:spacing w:line="360" w:lineRule="auto"/>
        <w:ind w:left="1440"/>
        <w:jc w:val="both"/>
        <w:rPr>
          <w:i/>
          <w:iCs/>
          <w:sz w:val="28"/>
          <w:szCs w:val="28"/>
        </w:rPr>
      </w:pPr>
      <w:r w:rsidRPr="003160AB">
        <w:rPr>
          <w:i/>
          <w:iCs/>
          <w:sz w:val="28"/>
          <w:szCs w:val="28"/>
        </w:rPr>
        <w:t xml:space="preserve"> </w:t>
      </w:r>
      <w:r w:rsidR="00D93CE7">
        <w:rPr>
          <w:i/>
          <w:iCs/>
          <w:sz w:val="28"/>
          <w:szCs w:val="28"/>
        </w:rPr>
        <w:t xml:space="preserve">      </w:t>
      </w:r>
      <w:r w:rsidRPr="003160AB">
        <w:rPr>
          <w:i/>
          <w:iCs/>
          <w:sz w:val="28"/>
          <w:szCs w:val="28"/>
        </w:rPr>
        <w:t>exercising a public power or performing a public function in</w:t>
      </w:r>
    </w:p>
    <w:p w14:paraId="28A426D2" w14:textId="4A90423D" w:rsidR="00DA3548" w:rsidRPr="002638EA" w:rsidRDefault="002638EA" w:rsidP="00B03D26">
      <w:pPr>
        <w:pStyle w:val="ListParagraph"/>
        <w:spacing w:line="360" w:lineRule="auto"/>
        <w:ind w:left="1440"/>
        <w:jc w:val="both"/>
        <w:rPr>
          <w:i/>
          <w:iCs/>
          <w:sz w:val="28"/>
          <w:szCs w:val="28"/>
        </w:rPr>
      </w:pPr>
      <w:r>
        <w:rPr>
          <w:i/>
          <w:iCs/>
          <w:sz w:val="28"/>
          <w:szCs w:val="28"/>
        </w:rPr>
        <w:t xml:space="preserve">       </w:t>
      </w:r>
      <w:r w:rsidR="00014DCC" w:rsidRPr="003160AB">
        <w:rPr>
          <w:i/>
          <w:iCs/>
          <w:sz w:val="28"/>
          <w:szCs w:val="28"/>
        </w:rPr>
        <w:t>terms of</w:t>
      </w:r>
      <w:r w:rsidR="00014DCC" w:rsidRPr="002638EA">
        <w:rPr>
          <w:i/>
          <w:iCs/>
          <w:sz w:val="28"/>
          <w:szCs w:val="28"/>
        </w:rPr>
        <w:t xml:space="preserve"> an empowering provision, </w:t>
      </w:r>
    </w:p>
    <w:p w14:paraId="62B264A5" w14:textId="1B2D4241" w:rsidR="00014DCC" w:rsidRDefault="00014DCC" w:rsidP="00B03D26">
      <w:pPr>
        <w:pStyle w:val="ListParagraph"/>
        <w:spacing w:line="360" w:lineRule="auto"/>
        <w:ind w:left="1440"/>
        <w:jc w:val="both"/>
        <w:rPr>
          <w:sz w:val="28"/>
          <w:szCs w:val="28"/>
          <w:lang w:val="en-US"/>
        </w:rPr>
      </w:pPr>
      <w:r w:rsidRPr="003160AB">
        <w:rPr>
          <w:i/>
          <w:iCs/>
          <w:sz w:val="28"/>
          <w:szCs w:val="28"/>
        </w:rPr>
        <w:t>which adversely affects the rights of any person and which has a direct, exte</w:t>
      </w:r>
      <w:r w:rsidR="008C6F4D">
        <w:rPr>
          <w:i/>
          <w:iCs/>
          <w:sz w:val="28"/>
          <w:szCs w:val="28"/>
        </w:rPr>
        <w:t>r</w:t>
      </w:r>
      <w:r w:rsidR="005C0695">
        <w:rPr>
          <w:i/>
          <w:iCs/>
          <w:sz w:val="28"/>
          <w:szCs w:val="28"/>
        </w:rPr>
        <w:t>n</w:t>
      </w:r>
      <w:r w:rsidRPr="003160AB">
        <w:rPr>
          <w:i/>
          <w:iCs/>
          <w:sz w:val="28"/>
          <w:szCs w:val="28"/>
        </w:rPr>
        <w:t>a</w:t>
      </w:r>
      <w:r w:rsidR="005C0695">
        <w:rPr>
          <w:i/>
          <w:iCs/>
          <w:sz w:val="28"/>
          <w:szCs w:val="28"/>
        </w:rPr>
        <w:t>l</w:t>
      </w:r>
      <w:r w:rsidRPr="003160AB">
        <w:rPr>
          <w:i/>
          <w:iCs/>
          <w:sz w:val="28"/>
          <w:szCs w:val="28"/>
        </w:rPr>
        <w:t xml:space="preserve"> legal </w:t>
      </w:r>
      <w:proofErr w:type="gramStart"/>
      <w:r w:rsidRPr="003160AB">
        <w:rPr>
          <w:i/>
          <w:iCs/>
          <w:sz w:val="28"/>
          <w:szCs w:val="28"/>
        </w:rPr>
        <w:t>effect</w:t>
      </w:r>
      <w:r>
        <w:t>,…</w:t>
      </w:r>
      <w:proofErr w:type="gramEnd"/>
      <w:r>
        <w:t>”</w:t>
      </w:r>
    </w:p>
    <w:p w14:paraId="5BB4AD98" w14:textId="77777777" w:rsidR="00014DCC" w:rsidRPr="00014DCC" w:rsidRDefault="00014DCC" w:rsidP="00CC0595">
      <w:pPr>
        <w:pStyle w:val="ListParagraph"/>
        <w:jc w:val="both"/>
        <w:rPr>
          <w:sz w:val="28"/>
          <w:szCs w:val="28"/>
          <w:lang w:val="en-US"/>
        </w:rPr>
      </w:pPr>
    </w:p>
    <w:p w14:paraId="3AFECABE" w14:textId="27CB6CE1" w:rsidR="00014DCC" w:rsidRDefault="002305C5" w:rsidP="002A1119">
      <w:pPr>
        <w:pStyle w:val="ListParagraph"/>
        <w:numPr>
          <w:ilvl w:val="0"/>
          <w:numId w:val="1"/>
        </w:numPr>
        <w:spacing w:line="360" w:lineRule="auto"/>
        <w:ind w:left="0" w:firstLine="0"/>
        <w:jc w:val="both"/>
        <w:rPr>
          <w:sz w:val="28"/>
          <w:szCs w:val="28"/>
          <w:lang w:val="en-US"/>
        </w:rPr>
      </w:pPr>
      <w:r>
        <w:rPr>
          <w:sz w:val="28"/>
          <w:szCs w:val="28"/>
          <w:lang w:val="en-US"/>
        </w:rPr>
        <w:t>In</w:t>
      </w:r>
      <w:r w:rsidR="007828DE">
        <w:rPr>
          <w:sz w:val="28"/>
          <w:szCs w:val="28"/>
          <w:lang w:val="en-US"/>
        </w:rPr>
        <w:t xml:space="preserve"> </w:t>
      </w:r>
      <w:r w:rsidR="007828DE" w:rsidRPr="000A3876">
        <w:rPr>
          <w:b/>
          <w:bCs/>
          <w:sz w:val="28"/>
          <w:szCs w:val="28"/>
          <w:lang w:val="en-US"/>
        </w:rPr>
        <w:t xml:space="preserve">Minister of </w:t>
      </w:r>
      <w:proofErr w:type="spellStart"/>
      <w:r w:rsidR="007828DE" w:rsidRPr="000A3876">
        <w:rPr>
          <w:b/>
          <w:bCs/>
          <w:sz w:val="28"/>
          <w:szCs w:val="28"/>
          <w:lang w:val="en-US"/>
        </w:rPr>
        <w:t>Defence</w:t>
      </w:r>
      <w:proofErr w:type="spellEnd"/>
      <w:r w:rsidR="007828DE" w:rsidRPr="000A3876">
        <w:rPr>
          <w:b/>
          <w:bCs/>
          <w:sz w:val="28"/>
          <w:szCs w:val="28"/>
          <w:lang w:val="en-US"/>
        </w:rPr>
        <w:t xml:space="preserve"> </w:t>
      </w:r>
      <w:r w:rsidR="00F636AB" w:rsidRPr="000A3876">
        <w:rPr>
          <w:b/>
          <w:bCs/>
          <w:sz w:val="28"/>
          <w:szCs w:val="28"/>
          <w:lang w:val="en-US"/>
        </w:rPr>
        <w:t xml:space="preserve">and Military Veterans v </w:t>
      </w:r>
      <w:proofErr w:type="spellStart"/>
      <w:r w:rsidR="00F636AB" w:rsidRPr="000A3876">
        <w:rPr>
          <w:b/>
          <w:bCs/>
          <w:sz w:val="28"/>
          <w:szCs w:val="28"/>
          <w:lang w:val="en-US"/>
        </w:rPr>
        <w:t>Motau</w:t>
      </w:r>
      <w:proofErr w:type="spellEnd"/>
      <w:r w:rsidR="00F636AB" w:rsidRPr="000A3876">
        <w:rPr>
          <w:b/>
          <w:bCs/>
          <w:sz w:val="28"/>
          <w:szCs w:val="28"/>
          <w:lang w:val="en-US"/>
        </w:rPr>
        <w:t xml:space="preserve"> and Others</w:t>
      </w:r>
      <w:r w:rsidR="00F636AB">
        <w:rPr>
          <w:rStyle w:val="FootnoteReference"/>
          <w:sz w:val="28"/>
          <w:szCs w:val="28"/>
          <w:lang w:val="en-US"/>
        </w:rPr>
        <w:footnoteReference w:id="2"/>
      </w:r>
      <w:r w:rsidR="006B18B9">
        <w:rPr>
          <w:sz w:val="28"/>
          <w:szCs w:val="28"/>
          <w:lang w:val="en-US"/>
        </w:rPr>
        <w:t xml:space="preserve"> the </w:t>
      </w:r>
      <w:r w:rsidR="000A3876">
        <w:rPr>
          <w:sz w:val="28"/>
          <w:szCs w:val="28"/>
          <w:lang w:val="en-US"/>
        </w:rPr>
        <w:t xml:space="preserve">Constitutional Court aptly described </w:t>
      </w:r>
      <w:r w:rsidR="00877A2C">
        <w:rPr>
          <w:sz w:val="28"/>
          <w:szCs w:val="28"/>
          <w:lang w:val="en-US"/>
        </w:rPr>
        <w:t xml:space="preserve">administrative action and set out the seven elements </w:t>
      </w:r>
      <w:r w:rsidR="005146E6">
        <w:rPr>
          <w:sz w:val="28"/>
          <w:szCs w:val="28"/>
          <w:lang w:val="en-US"/>
        </w:rPr>
        <w:t>which makes up such action</w:t>
      </w:r>
      <w:r w:rsidR="00922ACA">
        <w:rPr>
          <w:sz w:val="28"/>
          <w:szCs w:val="28"/>
          <w:lang w:val="en-US"/>
        </w:rPr>
        <w:t>, as follows</w:t>
      </w:r>
      <w:r w:rsidR="005146E6">
        <w:rPr>
          <w:sz w:val="28"/>
          <w:szCs w:val="28"/>
          <w:lang w:val="en-US"/>
        </w:rPr>
        <w:t>:</w:t>
      </w:r>
    </w:p>
    <w:p w14:paraId="6504C413" w14:textId="77777777" w:rsidR="00922ACA" w:rsidRDefault="00922ACA" w:rsidP="00CC0595">
      <w:pPr>
        <w:pStyle w:val="ListParagraph"/>
        <w:spacing w:line="360" w:lineRule="auto"/>
        <w:ind w:left="360"/>
        <w:jc w:val="both"/>
        <w:rPr>
          <w:sz w:val="28"/>
          <w:szCs w:val="28"/>
          <w:lang w:val="en-US"/>
        </w:rPr>
      </w:pPr>
    </w:p>
    <w:p w14:paraId="3B45DCBB" w14:textId="03596ADD" w:rsidR="005146E6" w:rsidRDefault="00922ACA" w:rsidP="00CC0595">
      <w:pPr>
        <w:pStyle w:val="ListParagraph"/>
        <w:spacing w:line="360" w:lineRule="auto"/>
        <w:ind w:left="1440"/>
        <w:jc w:val="both"/>
        <w:rPr>
          <w:color w:val="242121"/>
          <w:sz w:val="28"/>
          <w:szCs w:val="28"/>
          <w:shd w:val="clear" w:color="auto" w:fill="FFFFFF"/>
        </w:rPr>
      </w:pPr>
      <w:r>
        <w:rPr>
          <w:sz w:val="28"/>
          <w:szCs w:val="28"/>
          <w:lang w:val="en-US"/>
        </w:rPr>
        <w:t>“</w:t>
      </w:r>
      <w:r w:rsidRPr="00922ACA">
        <w:rPr>
          <w:i/>
          <w:iCs/>
          <w:color w:val="242121"/>
          <w:sz w:val="28"/>
          <w:szCs w:val="28"/>
          <w:shd w:val="clear" w:color="auto" w:fill="FFFFFF"/>
        </w:rPr>
        <w:t xml:space="preserve">The concept of </w:t>
      </w:r>
      <w:r>
        <w:rPr>
          <w:i/>
          <w:iCs/>
          <w:color w:val="242121"/>
          <w:sz w:val="28"/>
          <w:szCs w:val="28"/>
          <w:shd w:val="clear" w:color="auto" w:fill="FFFFFF"/>
        </w:rPr>
        <w:t>‘</w:t>
      </w:r>
      <w:r w:rsidRPr="00922ACA">
        <w:rPr>
          <w:i/>
          <w:iCs/>
          <w:color w:val="242121"/>
          <w:sz w:val="28"/>
          <w:szCs w:val="28"/>
          <w:shd w:val="clear" w:color="auto" w:fill="FFFFFF"/>
        </w:rPr>
        <w:t>administrative action</w:t>
      </w:r>
      <w:r>
        <w:rPr>
          <w:i/>
          <w:iCs/>
          <w:color w:val="242121"/>
          <w:sz w:val="28"/>
          <w:szCs w:val="28"/>
          <w:shd w:val="clear" w:color="auto" w:fill="FFFFFF"/>
        </w:rPr>
        <w:t>’</w:t>
      </w:r>
      <w:r w:rsidRPr="00922ACA">
        <w:rPr>
          <w:i/>
          <w:iCs/>
          <w:color w:val="242121"/>
          <w:sz w:val="28"/>
          <w:szCs w:val="28"/>
          <w:shd w:val="clear" w:color="auto" w:fill="FFFFFF"/>
        </w:rPr>
        <w:t>, as defined in section 1(</w:t>
      </w:r>
      <w:proofErr w:type="spellStart"/>
      <w:r w:rsidRPr="00922ACA">
        <w:rPr>
          <w:i/>
          <w:iCs/>
          <w:color w:val="242121"/>
          <w:sz w:val="28"/>
          <w:szCs w:val="28"/>
          <w:shd w:val="clear" w:color="auto" w:fill="FFFFFF"/>
        </w:rPr>
        <w:t>i</w:t>
      </w:r>
      <w:proofErr w:type="spellEnd"/>
      <w:r w:rsidRPr="00922ACA">
        <w:rPr>
          <w:i/>
          <w:iCs/>
          <w:color w:val="242121"/>
          <w:sz w:val="28"/>
          <w:szCs w:val="28"/>
          <w:shd w:val="clear" w:color="auto" w:fill="FFFFFF"/>
        </w:rPr>
        <w:t>) of PAJA, is the threshold for engaging in administrative-law review.  The rather unwieldy definition can be distilled into seven elements: there must be (a) a decision of an administrative nature; (b) by an organ of state or a natural or juristic person; (c) exercising a public power or performing a public function; (d) in terms of any legislation or an empowering provision; (e) that adversely affects rights; (f) that has a direct, external legal effect; and (g) that does not fall under any of the listed exclusions.</w:t>
      </w:r>
      <w:r w:rsidR="00324CCA">
        <w:rPr>
          <w:color w:val="242121"/>
          <w:sz w:val="28"/>
          <w:szCs w:val="28"/>
          <w:shd w:val="clear" w:color="auto" w:fill="FFFFFF"/>
        </w:rPr>
        <w:t>”</w:t>
      </w:r>
      <w:r w:rsidR="0033626F">
        <w:rPr>
          <w:rStyle w:val="FootnoteReference"/>
          <w:i/>
          <w:iCs/>
          <w:color w:val="242121"/>
          <w:sz w:val="28"/>
          <w:szCs w:val="28"/>
          <w:shd w:val="clear" w:color="auto" w:fill="FFFFFF"/>
        </w:rPr>
        <w:footnoteReference w:id="3"/>
      </w:r>
    </w:p>
    <w:p w14:paraId="2B814110" w14:textId="77777777" w:rsidR="00621F01" w:rsidRPr="003A075C" w:rsidRDefault="00621F01" w:rsidP="00922ACA">
      <w:pPr>
        <w:pStyle w:val="ListParagraph"/>
        <w:spacing w:line="360" w:lineRule="auto"/>
        <w:ind w:left="1440"/>
        <w:jc w:val="both"/>
        <w:rPr>
          <w:sz w:val="28"/>
          <w:szCs w:val="28"/>
          <w:lang w:val="en-US"/>
        </w:rPr>
      </w:pPr>
    </w:p>
    <w:p w14:paraId="317E1D62" w14:textId="7A16C514" w:rsidR="00A67F6C" w:rsidRDefault="00C50AAF" w:rsidP="002A1119">
      <w:pPr>
        <w:pStyle w:val="ListParagraph"/>
        <w:numPr>
          <w:ilvl w:val="0"/>
          <w:numId w:val="1"/>
        </w:numPr>
        <w:spacing w:line="360" w:lineRule="auto"/>
        <w:ind w:left="0" w:firstLine="0"/>
        <w:jc w:val="both"/>
        <w:rPr>
          <w:sz w:val="28"/>
          <w:szCs w:val="28"/>
          <w:lang w:val="en-US"/>
        </w:rPr>
      </w:pPr>
      <w:r>
        <w:rPr>
          <w:sz w:val="28"/>
          <w:szCs w:val="28"/>
          <w:lang w:val="en-US"/>
        </w:rPr>
        <w:lastRenderedPageBreak/>
        <w:t xml:space="preserve">In </w:t>
      </w:r>
      <w:proofErr w:type="spellStart"/>
      <w:r w:rsidRPr="00C87AC7">
        <w:rPr>
          <w:b/>
          <w:bCs/>
          <w:sz w:val="28"/>
          <w:szCs w:val="28"/>
          <w:lang w:val="en-US"/>
        </w:rPr>
        <w:t>K</w:t>
      </w:r>
      <w:r w:rsidR="001D0609" w:rsidRPr="00C87AC7">
        <w:rPr>
          <w:b/>
          <w:bCs/>
          <w:sz w:val="28"/>
          <w:szCs w:val="28"/>
          <w:lang w:val="en-US"/>
        </w:rPr>
        <w:t>o</w:t>
      </w:r>
      <w:r w:rsidRPr="00C87AC7">
        <w:rPr>
          <w:b/>
          <w:bCs/>
          <w:sz w:val="28"/>
          <w:szCs w:val="28"/>
          <w:lang w:val="en-US"/>
        </w:rPr>
        <w:t>y</w:t>
      </w:r>
      <w:r w:rsidR="001D0609" w:rsidRPr="00C87AC7">
        <w:rPr>
          <w:b/>
          <w:bCs/>
          <w:sz w:val="28"/>
          <w:szCs w:val="28"/>
          <w:lang w:val="en-US"/>
        </w:rPr>
        <w:t>a</w:t>
      </w:r>
      <w:r w:rsidRPr="00C87AC7">
        <w:rPr>
          <w:b/>
          <w:bCs/>
          <w:sz w:val="28"/>
          <w:szCs w:val="28"/>
          <w:lang w:val="en-US"/>
        </w:rPr>
        <w:t>be</w:t>
      </w:r>
      <w:proofErr w:type="spellEnd"/>
      <w:r w:rsidRPr="00C87AC7">
        <w:rPr>
          <w:b/>
          <w:bCs/>
          <w:sz w:val="28"/>
          <w:szCs w:val="28"/>
          <w:lang w:val="en-US"/>
        </w:rPr>
        <w:t xml:space="preserve"> </w:t>
      </w:r>
      <w:r w:rsidR="004D0585" w:rsidRPr="00C87AC7">
        <w:rPr>
          <w:b/>
          <w:bCs/>
          <w:sz w:val="28"/>
          <w:szCs w:val="28"/>
          <w:lang w:val="en-US"/>
        </w:rPr>
        <w:t>and</w:t>
      </w:r>
      <w:r w:rsidR="00D7075B" w:rsidRPr="00C87AC7">
        <w:rPr>
          <w:b/>
          <w:bCs/>
          <w:sz w:val="28"/>
          <w:szCs w:val="28"/>
          <w:lang w:val="en-US"/>
        </w:rPr>
        <w:t xml:space="preserve"> </w:t>
      </w:r>
      <w:r w:rsidR="004D0585" w:rsidRPr="00C87AC7">
        <w:rPr>
          <w:b/>
          <w:bCs/>
          <w:sz w:val="28"/>
          <w:szCs w:val="28"/>
          <w:lang w:val="en-US"/>
        </w:rPr>
        <w:t xml:space="preserve">Others v Minister </w:t>
      </w:r>
      <w:r w:rsidR="0061487A" w:rsidRPr="00C87AC7">
        <w:rPr>
          <w:b/>
          <w:bCs/>
          <w:sz w:val="28"/>
          <w:szCs w:val="28"/>
          <w:lang w:val="en-US"/>
        </w:rPr>
        <w:t>for Home Affairs and Others</w:t>
      </w:r>
      <w:r w:rsidR="00E84CDA">
        <w:rPr>
          <w:rStyle w:val="FootnoteReference"/>
          <w:sz w:val="28"/>
          <w:szCs w:val="28"/>
          <w:lang w:val="en-US"/>
        </w:rPr>
        <w:footnoteReference w:id="4"/>
      </w:r>
      <w:r w:rsidR="0070460A">
        <w:rPr>
          <w:sz w:val="28"/>
          <w:szCs w:val="28"/>
          <w:lang w:val="en-US"/>
        </w:rPr>
        <w:t>, the Constitutional Court had the occasion of dealing with applicant</w:t>
      </w:r>
      <w:r w:rsidR="00D9729A">
        <w:rPr>
          <w:sz w:val="28"/>
          <w:szCs w:val="28"/>
          <w:lang w:val="en-US"/>
        </w:rPr>
        <w:t>s in respect of whom an investigation by the Department revealed</w:t>
      </w:r>
      <w:r w:rsidR="00C87AC7">
        <w:rPr>
          <w:sz w:val="28"/>
          <w:szCs w:val="28"/>
          <w:lang w:val="en-US"/>
        </w:rPr>
        <w:t xml:space="preserve"> </w:t>
      </w:r>
      <w:r w:rsidR="00D9729A">
        <w:rPr>
          <w:sz w:val="28"/>
          <w:szCs w:val="28"/>
          <w:lang w:val="en-US"/>
        </w:rPr>
        <w:t xml:space="preserve">that they </w:t>
      </w:r>
      <w:r w:rsidR="007E0FB3">
        <w:rPr>
          <w:sz w:val="28"/>
          <w:szCs w:val="28"/>
          <w:lang w:val="en-US"/>
        </w:rPr>
        <w:t xml:space="preserve">had previously obtained South African identity documents </w:t>
      </w:r>
      <w:r w:rsidR="00060B25">
        <w:rPr>
          <w:sz w:val="28"/>
          <w:szCs w:val="28"/>
          <w:lang w:val="en-US"/>
        </w:rPr>
        <w:t>through</w:t>
      </w:r>
      <w:r w:rsidR="007E0FB3">
        <w:rPr>
          <w:sz w:val="28"/>
          <w:szCs w:val="28"/>
          <w:lang w:val="en-US"/>
        </w:rPr>
        <w:t xml:space="preserve"> fraudulent means</w:t>
      </w:r>
      <w:r w:rsidR="00060B25">
        <w:rPr>
          <w:sz w:val="28"/>
          <w:szCs w:val="28"/>
          <w:lang w:val="en-US"/>
        </w:rPr>
        <w:t>,</w:t>
      </w:r>
      <w:r w:rsidR="007E0FB3">
        <w:rPr>
          <w:sz w:val="28"/>
          <w:szCs w:val="28"/>
          <w:lang w:val="en-US"/>
        </w:rPr>
        <w:t xml:space="preserve"> and they were accordingly </w:t>
      </w:r>
      <w:r w:rsidR="00060B25">
        <w:rPr>
          <w:sz w:val="28"/>
          <w:szCs w:val="28"/>
          <w:lang w:val="en-US"/>
        </w:rPr>
        <w:t xml:space="preserve">declared </w:t>
      </w:r>
      <w:r w:rsidR="001E4DAC">
        <w:rPr>
          <w:sz w:val="28"/>
          <w:szCs w:val="28"/>
          <w:lang w:val="en-US"/>
        </w:rPr>
        <w:t xml:space="preserve">prohibited </w:t>
      </w:r>
      <w:r w:rsidR="00892E8B">
        <w:rPr>
          <w:sz w:val="28"/>
          <w:szCs w:val="28"/>
          <w:lang w:val="en-US"/>
        </w:rPr>
        <w:t>persons in terms of section 29(1</w:t>
      </w:r>
      <w:r w:rsidR="00892E8B" w:rsidRPr="00396C4B">
        <w:rPr>
          <w:sz w:val="28"/>
          <w:szCs w:val="28"/>
          <w:lang w:val="en-US"/>
        </w:rPr>
        <w:t xml:space="preserve">)(f) </w:t>
      </w:r>
      <w:r w:rsidR="00892E8B">
        <w:rPr>
          <w:sz w:val="28"/>
          <w:szCs w:val="28"/>
          <w:lang w:val="en-US"/>
        </w:rPr>
        <w:t>of the Act</w:t>
      </w:r>
      <w:r w:rsidR="00A566E8">
        <w:rPr>
          <w:sz w:val="28"/>
          <w:szCs w:val="28"/>
          <w:lang w:val="en-US"/>
        </w:rPr>
        <w:t>, r</w:t>
      </w:r>
      <w:r w:rsidR="00B00BEA">
        <w:rPr>
          <w:sz w:val="28"/>
          <w:szCs w:val="28"/>
          <w:lang w:val="en-US"/>
        </w:rPr>
        <w:t xml:space="preserve">esulting in their disqualification </w:t>
      </w:r>
      <w:r w:rsidR="00892E8B">
        <w:rPr>
          <w:sz w:val="28"/>
          <w:szCs w:val="28"/>
          <w:lang w:val="en-US"/>
        </w:rPr>
        <w:t xml:space="preserve">for permanent </w:t>
      </w:r>
      <w:r w:rsidR="00C87AC7">
        <w:rPr>
          <w:sz w:val="28"/>
          <w:szCs w:val="28"/>
          <w:lang w:val="en-US"/>
        </w:rPr>
        <w:t>residenc</w:t>
      </w:r>
      <w:r w:rsidR="00B00BEA">
        <w:rPr>
          <w:sz w:val="28"/>
          <w:szCs w:val="28"/>
          <w:lang w:val="en-US"/>
        </w:rPr>
        <w:t>y</w:t>
      </w:r>
      <w:r w:rsidR="00C87AC7">
        <w:rPr>
          <w:sz w:val="28"/>
          <w:szCs w:val="28"/>
          <w:lang w:val="en-US"/>
        </w:rPr>
        <w:t xml:space="preserve">. </w:t>
      </w:r>
      <w:r w:rsidR="00D56D06">
        <w:rPr>
          <w:sz w:val="28"/>
          <w:szCs w:val="28"/>
          <w:lang w:val="en-US"/>
        </w:rPr>
        <w:t xml:space="preserve">The Court found against the applicants on the basis that they </w:t>
      </w:r>
      <w:r w:rsidR="00060B25">
        <w:rPr>
          <w:sz w:val="28"/>
          <w:szCs w:val="28"/>
          <w:lang w:val="en-US"/>
        </w:rPr>
        <w:t xml:space="preserve">had </w:t>
      </w:r>
      <w:r w:rsidR="00D56D06">
        <w:rPr>
          <w:sz w:val="28"/>
          <w:szCs w:val="28"/>
          <w:lang w:val="en-US"/>
        </w:rPr>
        <w:t>failed to exhaust their internal remedy under section 8 of the Act read with section 7(2) of PAJA</w:t>
      </w:r>
      <w:r w:rsidR="00313424">
        <w:rPr>
          <w:sz w:val="28"/>
          <w:szCs w:val="28"/>
          <w:lang w:val="en-US"/>
        </w:rPr>
        <w:t xml:space="preserve"> before launching </w:t>
      </w:r>
      <w:r w:rsidR="002F660C">
        <w:rPr>
          <w:sz w:val="28"/>
          <w:szCs w:val="28"/>
          <w:lang w:val="en-US"/>
        </w:rPr>
        <w:t>their review application</w:t>
      </w:r>
      <w:r w:rsidR="00D56D06">
        <w:rPr>
          <w:sz w:val="28"/>
          <w:szCs w:val="28"/>
          <w:lang w:val="en-US"/>
        </w:rPr>
        <w:t xml:space="preserve">. The significance </w:t>
      </w:r>
      <w:r w:rsidR="00432F67">
        <w:rPr>
          <w:sz w:val="28"/>
          <w:szCs w:val="28"/>
          <w:lang w:val="en-US"/>
        </w:rPr>
        <w:t xml:space="preserve">of </w:t>
      </w:r>
      <w:proofErr w:type="spellStart"/>
      <w:r w:rsidR="00432F67" w:rsidRPr="00D36E62">
        <w:rPr>
          <w:b/>
          <w:bCs/>
          <w:sz w:val="28"/>
          <w:szCs w:val="28"/>
          <w:lang w:val="en-US"/>
        </w:rPr>
        <w:t>Koyabe</w:t>
      </w:r>
      <w:proofErr w:type="spellEnd"/>
      <w:r w:rsidR="00432F67">
        <w:rPr>
          <w:sz w:val="28"/>
          <w:szCs w:val="28"/>
          <w:lang w:val="en-US"/>
        </w:rPr>
        <w:t xml:space="preserve"> is that the Court</w:t>
      </w:r>
      <w:r w:rsidR="00060B25">
        <w:rPr>
          <w:sz w:val="28"/>
          <w:szCs w:val="28"/>
          <w:lang w:val="en-US"/>
        </w:rPr>
        <w:t xml:space="preserve"> treated</w:t>
      </w:r>
      <w:r w:rsidR="00432F67">
        <w:rPr>
          <w:sz w:val="28"/>
          <w:szCs w:val="28"/>
          <w:lang w:val="en-US"/>
        </w:rPr>
        <w:t xml:space="preserve"> the prohibition </w:t>
      </w:r>
      <w:r w:rsidR="007033E0">
        <w:rPr>
          <w:sz w:val="28"/>
          <w:szCs w:val="28"/>
          <w:lang w:val="en-US"/>
        </w:rPr>
        <w:t>by the Department in</w:t>
      </w:r>
      <w:r w:rsidR="00D36E62">
        <w:rPr>
          <w:sz w:val="28"/>
          <w:szCs w:val="28"/>
          <w:lang w:val="en-US"/>
        </w:rPr>
        <w:t xml:space="preserve"> </w:t>
      </w:r>
      <w:r w:rsidR="007033E0">
        <w:rPr>
          <w:sz w:val="28"/>
          <w:szCs w:val="28"/>
          <w:lang w:val="en-US"/>
        </w:rPr>
        <w:t>terms of section 29(</w:t>
      </w:r>
      <w:r w:rsidR="005D5E39">
        <w:rPr>
          <w:sz w:val="28"/>
          <w:szCs w:val="28"/>
          <w:lang w:val="en-US"/>
        </w:rPr>
        <w:t>1</w:t>
      </w:r>
      <w:r w:rsidR="007033E0">
        <w:rPr>
          <w:sz w:val="28"/>
          <w:szCs w:val="28"/>
          <w:lang w:val="en-US"/>
        </w:rPr>
        <w:t>) of the Act as administrative action.</w:t>
      </w:r>
      <w:r w:rsidR="00175F6F">
        <w:rPr>
          <w:sz w:val="28"/>
          <w:szCs w:val="28"/>
          <w:lang w:val="en-US"/>
        </w:rPr>
        <w:t xml:space="preserve"> This is borne out by the following paragraphs from the judgment</w:t>
      </w:r>
      <w:r w:rsidR="00A2076F">
        <w:rPr>
          <w:sz w:val="28"/>
          <w:szCs w:val="28"/>
          <w:lang w:val="en-US"/>
        </w:rPr>
        <w:t>:</w:t>
      </w:r>
    </w:p>
    <w:p w14:paraId="2787F246" w14:textId="77777777" w:rsidR="00A2076F" w:rsidRDefault="00A2076F" w:rsidP="00A2076F">
      <w:pPr>
        <w:pStyle w:val="ListParagraph"/>
        <w:spacing w:line="360" w:lineRule="auto"/>
        <w:ind w:left="360"/>
        <w:jc w:val="both"/>
        <w:rPr>
          <w:sz w:val="28"/>
          <w:szCs w:val="28"/>
          <w:lang w:val="en-US"/>
        </w:rPr>
      </w:pPr>
    </w:p>
    <w:p w14:paraId="5D9274DE" w14:textId="6E2E5A67" w:rsidR="00A2076F" w:rsidRDefault="00A2076F" w:rsidP="00A2076F">
      <w:pPr>
        <w:pStyle w:val="ListParagraph"/>
        <w:spacing w:line="360" w:lineRule="auto"/>
        <w:ind w:left="1440"/>
        <w:jc w:val="both"/>
        <w:rPr>
          <w:rFonts w:cstheme="minorHAnsi"/>
          <w:color w:val="242121"/>
          <w:sz w:val="28"/>
          <w:szCs w:val="28"/>
          <w:shd w:val="clear" w:color="auto" w:fill="FFFFFF"/>
        </w:rPr>
      </w:pPr>
      <w:r>
        <w:rPr>
          <w:sz w:val="28"/>
          <w:szCs w:val="28"/>
          <w:lang w:val="en-US"/>
        </w:rPr>
        <w:t>“</w:t>
      </w:r>
      <w:r w:rsidRPr="00A2076F">
        <w:rPr>
          <w:rFonts w:cstheme="minorHAnsi"/>
          <w:i/>
          <w:iCs/>
          <w:color w:val="242121"/>
          <w:sz w:val="28"/>
          <w:szCs w:val="28"/>
          <w:shd w:val="clear" w:color="auto" w:fill="FFFFFF"/>
        </w:rPr>
        <w:t>Section 8 thus establishes two channels for review. One route is created under section 8(1) and the other under section 8(4). The procedure applicable in a particular case will depend</w:t>
      </w:r>
      <w:r w:rsidRPr="00A63703">
        <w:rPr>
          <w:rFonts w:cstheme="minorHAnsi"/>
          <w:i/>
          <w:iCs/>
          <w:color w:val="242121"/>
          <w:sz w:val="28"/>
          <w:szCs w:val="28"/>
          <w:u w:val="single"/>
          <w:shd w:val="clear" w:color="auto" w:fill="FFFFFF"/>
        </w:rPr>
        <w:t xml:space="preserve"> on the nature of the administrative decision</w:t>
      </w:r>
      <w:r w:rsidR="00A9055C">
        <w:rPr>
          <w:rFonts w:cstheme="minorHAnsi"/>
          <w:i/>
          <w:iCs/>
          <w:color w:val="242121"/>
          <w:sz w:val="28"/>
          <w:szCs w:val="28"/>
          <w:shd w:val="clear" w:color="auto" w:fill="FFFFFF"/>
        </w:rPr>
        <w:t>. . . .</w:t>
      </w:r>
      <w:r w:rsidR="00A9055C">
        <w:rPr>
          <w:rStyle w:val="FootnoteReference"/>
          <w:rFonts w:cstheme="minorHAnsi"/>
          <w:i/>
          <w:iCs/>
          <w:color w:val="242121"/>
          <w:sz w:val="28"/>
          <w:szCs w:val="28"/>
          <w:shd w:val="clear" w:color="auto" w:fill="FFFFFF"/>
        </w:rPr>
        <w:footnoteReference w:id="5"/>
      </w:r>
      <w:r>
        <w:rPr>
          <w:rFonts w:cstheme="minorHAnsi"/>
          <w:color w:val="242121"/>
          <w:sz w:val="28"/>
          <w:szCs w:val="28"/>
          <w:shd w:val="clear" w:color="auto" w:fill="FFFFFF"/>
        </w:rPr>
        <w:t>”</w:t>
      </w:r>
      <w:r w:rsidR="00A63703">
        <w:rPr>
          <w:rFonts w:cstheme="minorHAnsi"/>
          <w:color w:val="242121"/>
          <w:sz w:val="28"/>
          <w:szCs w:val="28"/>
          <w:shd w:val="clear" w:color="auto" w:fill="FFFFFF"/>
        </w:rPr>
        <w:t xml:space="preserve"> (My underlining)</w:t>
      </w:r>
    </w:p>
    <w:p w14:paraId="66D3DE57" w14:textId="77777777" w:rsidR="003149E9" w:rsidRDefault="003149E9" w:rsidP="00A2076F">
      <w:pPr>
        <w:pStyle w:val="ListParagraph"/>
        <w:spacing w:line="360" w:lineRule="auto"/>
        <w:ind w:left="1440"/>
        <w:jc w:val="both"/>
        <w:rPr>
          <w:rFonts w:cstheme="minorHAnsi"/>
          <w:color w:val="242121"/>
          <w:sz w:val="28"/>
          <w:szCs w:val="28"/>
          <w:shd w:val="clear" w:color="auto" w:fill="FFFFFF"/>
        </w:rPr>
      </w:pPr>
    </w:p>
    <w:p w14:paraId="747ED841" w14:textId="7FCB0BBE" w:rsidR="00A9055C" w:rsidRDefault="002862F3" w:rsidP="002862F3">
      <w:pPr>
        <w:pStyle w:val="ListParagraph"/>
        <w:spacing w:line="360" w:lineRule="auto"/>
        <w:jc w:val="both"/>
        <w:rPr>
          <w:rFonts w:cstheme="minorHAnsi"/>
          <w:color w:val="242121"/>
          <w:sz w:val="28"/>
          <w:szCs w:val="28"/>
          <w:shd w:val="clear" w:color="auto" w:fill="FFFFFF"/>
        </w:rPr>
      </w:pPr>
      <w:r>
        <w:rPr>
          <w:rFonts w:cstheme="minorHAnsi"/>
          <w:color w:val="242121"/>
          <w:sz w:val="28"/>
          <w:szCs w:val="28"/>
          <w:shd w:val="clear" w:color="auto" w:fill="FFFFFF"/>
        </w:rPr>
        <w:t>And also paragraph 62, where it was held:</w:t>
      </w:r>
    </w:p>
    <w:p w14:paraId="128D677E" w14:textId="77777777" w:rsidR="002862F3" w:rsidRDefault="002862F3" w:rsidP="002862F3">
      <w:pPr>
        <w:pStyle w:val="ListParagraph"/>
        <w:spacing w:line="360" w:lineRule="auto"/>
        <w:jc w:val="both"/>
        <w:rPr>
          <w:rFonts w:cstheme="minorHAnsi"/>
          <w:color w:val="242121"/>
          <w:sz w:val="28"/>
          <w:szCs w:val="28"/>
          <w:shd w:val="clear" w:color="auto" w:fill="FFFFFF"/>
        </w:rPr>
      </w:pPr>
    </w:p>
    <w:p w14:paraId="78C09AC0" w14:textId="200D96BE" w:rsidR="002862F3" w:rsidRDefault="002862F3" w:rsidP="00B03D26">
      <w:pPr>
        <w:pStyle w:val="NormalWeb"/>
        <w:shd w:val="clear" w:color="auto" w:fill="FFFFFF"/>
        <w:spacing w:before="144" w:beforeAutospacing="0" w:after="288" w:afterAutospacing="0" w:line="360" w:lineRule="auto"/>
        <w:ind w:left="1440"/>
        <w:jc w:val="both"/>
        <w:rPr>
          <w:rFonts w:ascii="Verdana" w:hAnsi="Verdana"/>
          <w:color w:val="242121"/>
        </w:rPr>
      </w:pPr>
      <w:r>
        <w:rPr>
          <w:rFonts w:cstheme="minorHAnsi"/>
          <w:color w:val="242121"/>
          <w:sz w:val="28"/>
          <w:szCs w:val="28"/>
          <w:shd w:val="clear" w:color="auto" w:fill="FFFFFF"/>
        </w:rPr>
        <w:t>“</w:t>
      </w:r>
      <w:r w:rsidRPr="002862F3">
        <w:rPr>
          <w:rFonts w:asciiTheme="minorHAnsi" w:hAnsiTheme="minorHAnsi" w:cstheme="minorHAnsi"/>
          <w:i/>
          <w:iCs/>
          <w:color w:val="242121"/>
          <w:sz w:val="28"/>
          <w:szCs w:val="28"/>
        </w:rPr>
        <w:t xml:space="preserve">Further, in our constitutional democracy, officials are enjoined to ensure that the public administration is governed by the values enshrined in our Constitution. Providing people whose rights have been adversely affected by </w:t>
      </w:r>
      <w:r w:rsidRPr="007947E2">
        <w:rPr>
          <w:rFonts w:asciiTheme="minorHAnsi" w:hAnsiTheme="minorHAnsi" w:cstheme="minorHAnsi"/>
          <w:i/>
          <w:iCs/>
          <w:color w:val="242121"/>
          <w:sz w:val="28"/>
          <w:szCs w:val="28"/>
          <w:u w:val="single"/>
        </w:rPr>
        <w:t>administrative decisions</w:t>
      </w:r>
      <w:r w:rsidRPr="002862F3">
        <w:rPr>
          <w:rFonts w:asciiTheme="minorHAnsi" w:hAnsiTheme="minorHAnsi" w:cstheme="minorHAnsi"/>
          <w:i/>
          <w:iCs/>
          <w:color w:val="242121"/>
          <w:sz w:val="28"/>
          <w:szCs w:val="28"/>
        </w:rPr>
        <w:t xml:space="preserve"> with reasons, will often be important in providing fairness, accountability and </w:t>
      </w:r>
      <w:r w:rsidRPr="002862F3">
        <w:rPr>
          <w:rFonts w:asciiTheme="minorHAnsi" w:hAnsiTheme="minorHAnsi" w:cstheme="minorHAnsi"/>
          <w:i/>
          <w:iCs/>
          <w:color w:val="242121"/>
          <w:sz w:val="28"/>
          <w:szCs w:val="28"/>
        </w:rPr>
        <w:lastRenderedPageBreak/>
        <w:t xml:space="preserve">transparency. In the context of a contemporary democratic public service like ours, where the principles of </w:t>
      </w:r>
      <w:proofErr w:type="spellStart"/>
      <w:r w:rsidRPr="002862F3">
        <w:rPr>
          <w:rFonts w:asciiTheme="minorHAnsi" w:hAnsiTheme="minorHAnsi" w:cstheme="minorHAnsi"/>
          <w:i/>
          <w:iCs/>
          <w:color w:val="242121"/>
          <w:sz w:val="28"/>
          <w:szCs w:val="28"/>
        </w:rPr>
        <w:t>batho</w:t>
      </w:r>
      <w:proofErr w:type="spellEnd"/>
      <w:r w:rsidRPr="002862F3">
        <w:rPr>
          <w:rFonts w:asciiTheme="minorHAnsi" w:hAnsiTheme="minorHAnsi" w:cstheme="minorHAnsi"/>
          <w:i/>
          <w:iCs/>
          <w:color w:val="242121"/>
          <w:sz w:val="28"/>
          <w:szCs w:val="28"/>
        </w:rPr>
        <w:t xml:space="preserve"> </w:t>
      </w:r>
      <w:proofErr w:type="spellStart"/>
      <w:r w:rsidRPr="002862F3">
        <w:rPr>
          <w:rFonts w:asciiTheme="minorHAnsi" w:hAnsiTheme="minorHAnsi" w:cstheme="minorHAnsi"/>
          <w:i/>
          <w:iCs/>
          <w:color w:val="242121"/>
          <w:sz w:val="28"/>
          <w:szCs w:val="28"/>
        </w:rPr>
        <w:t>pele</w:t>
      </w:r>
      <w:proofErr w:type="spellEnd"/>
      <w:r w:rsidRPr="002862F3">
        <w:rPr>
          <w:rFonts w:asciiTheme="minorHAnsi" w:hAnsiTheme="minorHAnsi" w:cstheme="minorHAnsi"/>
          <w:i/>
          <w:iCs/>
          <w:color w:val="242121"/>
          <w:sz w:val="28"/>
          <w:szCs w:val="28"/>
        </w:rPr>
        <w:t xml:space="preserve">, coupled with the values of </w:t>
      </w:r>
      <w:proofErr w:type="spellStart"/>
      <w:r w:rsidRPr="002862F3">
        <w:rPr>
          <w:rFonts w:asciiTheme="minorHAnsi" w:hAnsiTheme="minorHAnsi" w:cstheme="minorHAnsi"/>
          <w:i/>
          <w:iCs/>
          <w:color w:val="242121"/>
          <w:sz w:val="28"/>
          <w:szCs w:val="28"/>
        </w:rPr>
        <w:t>ubuntu</w:t>
      </w:r>
      <w:proofErr w:type="spellEnd"/>
      <w:r w:rsidRPr="002862F3">
        <w:rPr>
          <w:rFonts w:asciiTheme="minorHAnsi" w:hAnsiTheme="minorHAnsi" w:cstheme="minorHAnsi"/>
          <w:i/>
          <w:iCs/>
          <w:color w:val="242121"/>
          <w:sz w:val="28"/>
          <w:szCs w:val="28"/>
        </w:rPr>
        <w:t xml:space="preserve">, enjoin the public service to treat people with respect and dignity and avoid undue confrontation, </w:t>
      </w:r>
      <w:r w:rsidRPr="00A90F21">
        <w:rPr>
          <w:rFonts w:asciiTheme="minorHAnsi" w:hAnsiTheme="minorHAnsi" w:cstheme="minorHAnsi"/>
          <w:i/>
          <w:iCs/>
          <w:color w:val="242121"/>
          <w:sz w:val="28"/>
          <w:szCs w:val="28"/>
          <w:u w:val="single"/>
        </w:rPr>
        <w:t>the Constitution indeed entitles the applicants to reasons for the decision declaring them illegal foreigners</w:t>
      </w:r>
      <w:r w:rsidRPr="002862F3">
        <w:rPr>
          <w:rFonts w:asciiTheme="minorHAnsi" w:hAnsiTheme="minorHAnsi" w:cstheme="minorHAnsi"/>
          <w:i/>
          <w:iCs/>
          <w:color w:val="242121"/>
          <w:sz w:val="28"/>
          <w:szCs w:val="28"/>
        </w:rPr>
        <w:t>. It is excessively over-formalistic and contrary to the spirit of the Constitution for the respondents to contend that under section 8(1) they were not obliged to provide the applicants with reasons</w:t>
      </w:r>
      <w:r>
        <w:rPr>
          <w:rFonts w:ascii="Verdana" w:hAnsi="Verdana"/>
          <w:color w:val="242121"/>
        </w:rPr>
        <w:t>.”</w:t>
      </w:r>
      <w:r w:rsidR="008146AF">
        <w:rPr>
          <w:rFonts w:ascii="Verdana" w:hAnsi="Verdana"/>
          <w:color w:val="242121"/>
        </w:rPr>
        <w:t xml:space="preserve"> (My underlining) (Internal references were removed).</w:t>
      </w:r>
    </w:p>
    <w:p w14:paraId="1681D48D" w14:textId="77777777" w:rsidR="003149E9" w:rsidRPr="00CC754F" w:rsidRDefault="003149E9" w:rsidP="00B03D26">
      <w:pPr>
        <w:pStyle w:val="NormalWeb"/>
        <w:shd w:val="clear" w:color="auto" w:fill="FFFFFF"/>
        <w:spacing w:before="144" w:beforeAutospacing="0" w:after="288" w:afterAutospacing="0" w:line="360" w:lineRule="auto"/>
        <w:ind w:left="1440"/>
        <w:jc w:val="both"/>
        <w:rPr>
          <w:rFonts w:ascii="Verdana" w:hAnsi="Verdana"/>
          <w:color w:val="242121"/>
          <w:sz w:val="27"/>
          <w:szCs w:val="27"/>
        </w:rPr>
      </w:pPr>
    </w:p>
    <w:p w14:paraId="35260530" w14:textId="089A88E1" w:rsidR="007305EE" w:rsidRPr="008434BA" w:rsidRDefault="00F35753" w:rsidP="002A1119">
      <w:pPr>
        <w:pStyle w:val="NormalWeb"/>
        <w:numPr>
          <w:ilvl w:val="0"/>
          <w:numId w:val="1"/>
        </w:numPr>
        <w:shd w:val="clear" w:color="auto" w:fill="FFFFFF"/>
        <w:spacing w:before="144" w:beforeAutospacing="0" w:after="288" w:afterAutospacing="0" w:line="360" w:lineRule="auto"/>
        <w:ind w:left="0" w:firstLine="0"/>
        <w:jc w:val="both"/>
        <w:rPr>
          <w:rFonts w:asciiTheme="minorHAnsi" w:hAnsiTheme="minorHAnsi" w:cstheme="minorHAnsi"/>
          <w:i/>
          <w:iCs/>
          <w:color w:val="242121"/>
          <w:sz w:val="28"/>
          <w:szCs w:val="28"/>
        </w:rPr>
      </w:pPr>
      <w:r w:rsidRPr="00493524">
        <w:rPr>
          <w:rFonts w:asciiTheme="minorHAnsi" w:hAnsiTheme="minorHAnsi" w:cstheme="minorHAnsi"/>
          <w:sz w:val="28"/>
          <w:szCs w:val="28"/>
          <w:lang w:val="en-US"/>
        </w:rPr>
        <w:t xml:space="preserve">The dictum in paragraph </w:t>
      </w:r>
      <w:r w:rsidR="00735C8E" w:rsidRPr="00493524">
        <w:rPr>
          <w:rFonts w:asciiTheme="minorHAnsi" w:hAnsiTheme="minorHAnsi" w:cstheme="minorHAnsi"/>
          <w:sz w:val="28"/>
          <w:szCs w:val="28"/>
          <w:lang w:val="en-US"/>
        </w:rPr>
        <w:t xml:space="preserve">50 of </w:t>
      </w:r>
      <w:proofErr w:type="spellStart"/>
      <w:r w:rsidR="00735C8E" w:rsidRPr="008434BA">
        <w:rPr>
          <w:rFonts w:asciiTheme="minorHAnsi" w:hAnsiTheme="minorHAnsi" w:cstheme="minorHAnsi"/>
          <w:b/>
          <w:bCs/>
          <w:sz w:val="28"/>
          <w:szCs w:val="28"/>
          <w:lang w:val="en-US"/>
        </w:rPr>
        <w:t>K</w:t>
      </w:r>
      <w:r w:rsidRPr="008434BA">
        <w:rPr>
          <w:rFonts w:asciiTheme="minorHAnsi" w:hAnsiTheme="minorHAnsi" w:cstheme="minorHAnsi"/>
          <w:b/>
          <w:bCs/>
          <w:sz w:val="28"/>
          <w:szCs w:val="28"/>
          <w:lang w:val="en-US"/>
        </w:rPr>
        <w:t>oyabe</w:t>
      </w:r>
      <w:proofErr w:type="spellEnd"/>
      <w:r w:rsidR="00493524" w:rsidRPr="00493524">
        <w:rPr>
          <w:rFonts w:asciiTheme="minorHAnsi" w:hAnsiTheme="minorHAnsi" w:cstheme="minorHAnsi"/>
          <w:sz w:val="28"/>
          <w:szCs w:val="28"/>
          <w:lang w:val="en-US"/>
        </w:rPr>
        <w:t>, namely that “</w:t>
      </w:r>
      <w:r w:rsidR="00493524" w:rsidRPr="00493524">
        <w:rPr>
          <w:rFonts w:asciiTheme="minorHAnsi" w:hAnsiTheme="minorHAnsi" w:cstheme="minorHAnsi"/>
          <w:i/>
          <w:iCs/>
          <w:color w:val="242121"/>
          <w:sz w:val="28"/>
          <w:szCs w:val="28"/>
        </w:rPr>
        <w:t>section 8 of the Act provides for internal administrative review and appeal procedures regarding decisions taken in terms thereof, for those seeking to challenge administrative decisions</w:t>
      </w:r>
      <w:r w:rsidR="00493524">
        <w:rPr>
          <w:rFonts w:asciiTheme="minorHAnsi" w:hAnsiTheme="minorHAnsi" w:cstheme="minorHAnsi"/>
          <w:color w:val="242121"/>
          <w:sz w:val="28"/>
          <w:szCs w:val="28"/>
        </w:rPr>
        <w:t>”</w:t>
      </w:r>
      <w:r w:rsidR="008434BA">
        <w:rPr>
          <w:rFonts w:asciiTheme="minorHAnsi" w:hAnsiTheme="minorHAnsi" w:cstheme="minorHAnsi"/>
          <w:color w:val="242121"/>
          <w:sz w:val="28"/>
          <w:szCs w:val="28"/>
        </w:rPr>
        <w:t>,</w:t>
      </w:r>
      <w:r w:rsidR="007261BD">
        <w:rPr>
          <w:rFonts w:asciiTheme="minorHAnsi" w:hAnsiTheme="minorHAnsi" w:cstheme="minorHAnsi"/>
          <w:color w:val="242121"/>
          <w:sz w:val="28"/>
          <w:szCs w:val="28"/>
        </w:rPr>
        <w:t xml:space="preserve"> puts it beyond doubt that </w:t>
      </w:r>
      <w:r w:rsidR="003F2679">
        <w:rPr>
          <w:rFonts w:asciiTheme="minorHAnsi" w:hAnsiTheme="minorHAnsi" w:cstheme="minorHAnsi"/>
          <w:color w:val="242121"/>
          <w:sz w:val="28"/>
          <w:szCs w:val="28"/>
        </w:rPr>
        <w:t>that the relevant actions under the Act constitute administrative actions.</w:t>
      </w:r>
    </w:p>
    <w:p w14:paraId="09ACA500" w14:textId="00ED3FEC" w:rsidR="004A776F" w:rsidRDefault="007B36A3" w:rsidP="002A1119">
      <w:pPr>
        <w:pStyle w:val="ListParagraph"/>
        <w:numPr>
          <w:ilvl w:val="0"/>
          <w:numId w:val="1"/>
        </w:numPr>
        <w:spacing w:line="360" w:lineRule="auto"/>
        <w:ind w:left="0" w:firstLine="0"/>
        <w:jc w:val="both"/>
        <w:rPr>
          <w:sz w:val="28"/>
          <w:szCs w:val="28"/>
          <w:lang w:val="en-US"/>
        </w:rPr>
      </w:pPr>
      <w:r>
        <w:rPr>
          <w:sz w:val="28"/>
          <w:szCs w:val="28"/>
          <w:lang w:val="en-US"/>
        </w:rPr>
        <w:t>After the applicant was</w:t>
      </w:r>
      <w:r w:rsidR="00BB4057">
        <w:rPr>
          <w:sz w:val="28"/>
          <w:szCs w:val="28"/>
          <w:lang w:val="en-US"/>
        </w:rPr>
        <w:t xml:space="preserve"> informed that she was</w:t>
      </w:r>
      <w:r>
        <w:rPr>
          <w:sz w:val="28"/>
          <w:szCs w:val="28"/>
          <w:lang w:val="en-US"/>
        </w:rPr>
        <w:t xml:space="preserve"> </w:t>
      </w:r>
      <w:r w:rsidR="00440F16">
        <w:rPr>
          <w:sz w:val="28"/>
          <w:szCs w:val="28"/>
          <w:lang w:val="en-US"/>
        </w:rPr>
        <w:t>“</w:t>
      </w:r>
      <w:r>
        <w:rPr>
          <w:sz w:val="28"/>
          <w:szCs w:val="28"/>
          <w:lang w:val="en-US"/>
        </w:rPr>
        <w:t>v-listed</w:t>
      </w:r>
      <w:r w:rsidR="00440F16">
        <w:rPr>
          <w:sz w:val="28"/>
          <w:szCs w:val="28"/>
          <w:lang w:val="en-US"/>
        </w:rPr>
        <w:t>,”</w:t>
      </w:r>
      <w:r>
        <w:rPr>
          <w:sz w:val="28"/>
          <w:szCs w:val="28"/>
          <w:lang w:val="en-US"/>
        </w:rPr>
        <w:t xml:space="preserve"> </w:t>
      </w:r>
      <w:r w:rsidR="008A4ED8">
        <w:rPr>
          <w:sz w:val="28"/>
          <w:szCs w:val="28"/>
          <w:lang w:val="en-US"/>
        </w:rPr>
        <w:t>she applied</w:t>
      </w:r>
      <w:r w:rsidR="004A776F">
        <w:rPr>
          <w:sz w:val="28"/>
          <w:szCs w:val="28"/>
          <w:lang w:val="en-US"/>
        </w:rPr>
        <w:t>, on 4 December 2019,</w:t>
      </w:r>
      <w:r w:rsidR="008A4ED8">
        <w:rPr>
          <w:sz w:val="28"/>
          <w:szCs w:val="28"/>
          <w:lang w:val="en-US"/>
        </w:rPr>
        <w:t xml:space="preserve"> for her prohibition to be uplifted </w:t>
      </w:r>
      <w:r w:rsidR="00A94BF7">
        <w:rPr>
          <w:sz w:val="28"/>
          <w:szCs w:val="28"/>
          <w:lang w:val="en-US"/>
        </w:rPr>
        <w:t>in terms of section 29(2) of the Act.</w:t>
      </w:r>
      <w:r w:rsidR="00062885">
        <w:rPr>
          <w:sz w:val="28"/>
          <w:szCs w:val="28"/>
          <w:lang w:val="en-US"/>
        </w:rPr>
        <w:t xml:space="preserve"> This section empowers the DG</w:t>
      </w:r>
      <w:r w:rsidR="002B529F">
        <w:rPr>
          <w:sz w:val="28"/>
          <w:szCs w:val="28"/>
          <w:lang w:val="en-US"/>
        </w:rPr>
        <w:t>, “</w:t>
      </w:r>
      <w:r w:rsidR="002B529F" w:rsidRPr="006E2EB5">
        <w:rPr>
          <w:i/>
          <w:iCs/>
          <w:sz w:val="28"/>
          <w:szCs w:val="28"/>
          <w:lang w:val="en-US"/>
        </w:rPr>
        <w:t xml:space="preserve">for good cause, declare a person </w:t>
      </w:r>
      <w:r w:rsidR="006E2EB5" w:rsidRPr="006E2EB5">
        <w:rPr>
          <w:i/>
          <w:iCs/>
          <w:sz w:val="28"/>
          <w:szCs w:val="28"/>
          <w:lang w:val="en-US"/>
        </w:rPr>
        <w:t>referred to in subsection (1) not to be a prohibited person</w:t>
      </w:r>
      <w:r w:rsidR="006E2EB5">
        <w:rPr>
          <w:sz w:val="28"/>
          <w:szCs w:val="28"/>
          <w:lang w:val="en-US"/>
        </w:rPr>
        <w:t>.”</w:t>
      </w:r>
      <w:r w:rsidR="00E6450D">
        <w:rPr>
          <w:sz w:val="28"/>
          <w:szCs w:val="28"/>
          <w:lang w:val="en-US"/>
        </w:rPr>
        <w:t xml:space="preserve"> The import of this subsection is that even where a person was correctly </w:t>
      </w:r>
      <w:r w:rsidR="008B1019">
        <w:rPr>
          <w:sz w:val="28"/>
          <w:szCs w:val="28"/>
          <w:lang w:val="en-US"/>
        </w:rPr>
        <w:t xml:space="preserve">held to be a prohibited person, the DG, </w:t>
      </w:r>
      <w:r w:rsidR="003F20BF">
        <w:rPr>
          <w:sz w:val="28"/>
          <w:szCs w:val="28"/>
          <w:lang w:val="en-US"/>
        </w:rPr>
        <w:t>“</w:t>
      </w:r>
      <w:r w:rsidR="008B1019" w:rsidRPr="00C563BB">
        <w:rPr>
          <w:i/>
          <w:iCs/>
          <w:sz w:val="28"/>
          <w:szCs w:val="28"/>
          <w:lang w:val="en-US"/>
        </w:rPr>
        <w:t>for good cause</w:t>
      </w:r>
      <w:r w:rsidR="00C563BB">
        <w:rPr>
          <w:sz w:val="28"/>
          <w:szCs w:val="28"/>
          <w:lang w:val="en-US"/>
        </w:rPr>
        <w:t>”</w:t>
      </w:r>
      <w:r w:rsidR="00580BF0">
        <w:rPr>
          <w:sz w:val="28"/>
          <w:szCs w:val="28"/>
          <w:lang w:val="en-US"/>
        </w:rPr>
        <w:t xml:space="preserve">, may </w:t>
      </w:r>
      <w:r w:rsidR="0052747B">
        <w:rPr>
          <w:sz w:val="28"/>
          <w:szCs w:val="28"/>
          <w:lang w:val="en-US"/>
        </w:rPr>
        <w:t xml:space="preserve">declare such person not to be a prohibited person. The subsection </w:t>
      </w:r>
      <w:r w:rsidR="00A6632E">
        <w:rPr>
          <w:sz w:val="28"/>
          <w:szCs w:val="28"/>
          <w:lang w:val="en-US"/>
        </w:rPr>
        <w:t>markedly</w:t>
      </w:r>
      <w:r w:rsidR="00641512">
        <w:rPr>
          <w:sz w:val="28"/>
          <w:szCs w:val="28"/>
          <w:lang w:val="en-US"/>
        </w:rPr>
        <w:t xml:space="preserve"> </w:t>
      </w:r>
      <w:r w:rsidR="00F60DD4">
        <w:rPr>
          <w:sz w:val="28"/>
          <w:szCs w:val="28"/>
          <w:lang w:val="en-US"/>
        </w:rPr>
        <w:t xml:space="preserve">allows for a </w:t>
      </w:r>
      <w:r w:rsidR="00BB5C55">
        <w:rPr>
          <w:sz w:val="28"/>
          <w:szCs w:val="28"/>
          <w:lang w:val="en-US"/>
        </w:rPr>
        <w:t xml:space="preserve">person </w:t>
      </w:r>
      <w:r w:rsidR="00F60DD4">
        <w:rPr>
          <w:sz w:val="28"/>
          <w:szCs w:val="28"/>
          <w:lang w:val="en-US"/>
        </w:rPr>
        <w:t xml:space="preserve">prohibited </w:t>
      </w:r>
      <w:r w:rsidR="00BB5C55">
        <w:rPr>
          <w:sz w:val="28"/>
          <w:szCs w:val="28"/>
          <w:lang w:val="en-US"/>
        </w:rPr>
        <w:t xml:space="preserve">in terms of section </w:t>
      </w:r>
      <w:r w:rsidR="007C2316">
        <w:rPr>
          <w:sz w:val="28"/>
          <w:szCs w:val="28"/>
          <w:lang w:val="en-US"/>
        </w:rPr>
        <w:t xml:space="preserve">29(1) </w:t>
      </w:r>
      <w:r w:rsidR="001D6726">
        <w:rPr>
          <w:sz w:val="28"/>
          <w:szCs w:val="28"/>
          <w:lang w:val="en-US"/>
        </w:rPr>
        <w:t xml:space="preserve">to be declared to be not so prohibited </w:t>
      </w:r>
      <w:r w:rsidR="00F80382">
        <w:rPr>
          <w:sz w:val="28"/>
          <w:szCs w:val="28"/>
          <w:lang w:val="en-US"/>
        </w:rPr>
        <w:t>“</w:t>
      </w:r>
      <w:r w:rsidR="00F80382" w:rsidRPr="00F80382">
        <w:rPr>
          <w:i/>
          <w:iCs/>
          <w:sz w:val="28"/>
          <w:szCs w:val="28"/>
          <w:lang w:val="en-US"/>
        </w:rPr>
        <w:t>for good cause</w:t>
      </w:r>
      <w:r w:rsidR="00F80382">
        <w:rPr>
          <w:sz w:val="28"/>
          <w:szCs w:val="28"/>
          <w:lang w:val="en-US"/>
        </w:rPr>
        <w:t>”.</w:t>
      </w:r>
      <w:r w:rsidR="00211BD5">
        <w:rPr>
          <w:sz w:val="28"/>
          <w:szCs w:val="28"/>
          <w:lang w:val="en-US"/>
        </w:rPr>
        <w:t xml:space="preserve"> Axiomatic</w:t>
      </w:r>
      <w:r w:rsidR="00DC0559">
        <w:rPr>
          <w:sz w:val="28"/>
          <w:szCs w:val="28"/>
          <w:lang w:val="en-US"/>
        </w:rPr>
        <w:t xml:space="preserve">ally, this allows for </w:t>
      </w:r>
      <w:r w:rsidR="00CA483A">
        <w:rPr>
          <w:sz w:val="28"/>
          <w:szCs w:val="28"/>
          <w:lang w:val="en-US"/>
        </w:rPr>
        <w:t xml:space="preserve">the prohibited person to put forth </w:t>
      </w:r>
      <w:r w:rsidR="003B60B3">
        <w:rPr>
          <w:sz w:val="28"/>
          <w:szCs w:val="28"/>
          <w:lang w:val="en-US"/>
        </w:rPr>
        <w:t xml:space="preserve">any </w:t>
      </w:r>
      <w:r w:rsidR="00CA483A">
        <w:rPr>
          <w:sz w:val="28"/>
          <w:szCs w:val="28"/>
          <w:lang w:val="en-US"/>
        </w:rPr>
        <w:t xml:space="preserve">reasons </w:t>
      </w:r>
      <w:r w:rsidR="00623274">
        <w:rPr>
          <w:sz w:val="28"/>
          <w:szCs w:val="28"/>
          <w:lang w:val="en-US"/>
        </w:rPr>
        <w:t>that might constitute “</w:t>
      </w:r>
      <w:r w:rsidR="00623274" w:rsidRPr="00623274">
        <w:rPr>
          <w:i/>
          <w:iCs/>
          <w:sz w:val="28"/>
          <w:szCs w:val="28"/>
          <w:lang w:val="en-US"/>
        </w:rPr>
        <w:t>good cause</w:t>
      </w:r>
      <w:r w:rsidR="00623274">
        <w:rPr>
          <w:sz w:val="28"/>
          <w:szCs w:val="28"/>
          <w:lang w:val="en-US"/>
        </w:rPr>
        <w:t xml:space="preserve">” </w:t>
      </w:r>
      <w:r w:rsidR="00631986">
        <w:rPr>
          <w:sz w:val="28"/>
          <w:szCs w:val="28"/>
          <w:lang w:val="en-US"/>
        </w:rPr>
        <w:t xml:space="preserve">as to why he or she should not be a prohibited </w:t>
      </w:r>
      <w:r w:rsidR="00631986">
        <w:rPr>
          <w:sz w:val="28"/>
          <w:szCs w:val="28"/>
          <w:lang w:val="en-US"/>
        </w:rPr>
        <w:lastRenderedPageBreak/>
        <w:t>person.</w:t>
      </w:r>
      <w:r w:rsidR="000F4BD6">
        <w:rPr>
          <w:sz w:val="28"/>
          <w:szCs w:val="28"/>
          <w:lang w:val="en-US"/>
        </w:rPr>
        <w:t xml:space="preserve"> This also entails </w:t>
      </w:r>
      <w:r w:rsidR="00451C4D">
        <w:rPr>
          <w:sz w:val="28"/>
          <w:szCs w:val="28"/>
          <w:lang w:val="en-US"/>
        </w:rPr>
        <w:t xml:space="preserve">that the DG </w:t>
      </w:r>
      <w:r w:rsidR="00167D70">
        <w:rPr>
          <w:sz w:val="28"/>
          <w:szCs w:val="28"/>
          <w:lang w:val="en-US"/>
        </w:rPr>
        <w:t xml:space="preserve">must </w:t>
      </w:r>
      <w:r w:rsidR="00A71E18">
        <w:rPr>
          <w:sz w:val="28"/>
          <w:szCs w:val="28"/>
          <w:lang w:val="en-US"/>
        </w:rPr>
        <w:t xml:space="preserve">duly </w:t>
      </w:r>
      <w:r w:rsidR="00167D70">
        <w:rPr>
          <w:sz w:val="28"/>
          <w:szCs w:val="28"/>
          <w:lang w:val="en-US"/>
        </w:rPr>
        <w:t xml:space="preserve">consider such </w:t>
      </w:r>
      <w:r w:rsidR="008A5890">
        <w:rPr>
          <w:sz w:val="28"/>
          <w:szCs w:val="28"/>
          <w:lang w:val="en-US"/>
        </w:rPr>
        <w:t xml:space="preserve">reasons put forth </w:t>
      </w:r>
      <w:r w:rsidR="00EA044B">
        <w:rPr>
          <w:sz w:val="28"/>
          <w:szCs w:val="28"/>
          <w:lang w:val="en-US"/>
        </w:rPr>
        <w:t>as “</w:t>
      </w:r>
      <w:r w:rsidR="00EA044B" w:rsidRPr="005565DD">
        <w:rPr>
          <w:i/>
          <w:iCs/>
          <w:sz w:val="28"/>
          <w:szCs w:val="28"/>
          <w:lang w:val="en-US"/>
        </w:rPr>
        <w:t>good cause</w:t>
      </w:r>
      <w:r w:rsidR="00EA044B">
        <w:rPr>
          <w:sz w:val="28"/>
          <w:szCs w:val="28"/>
          <w:lang w:val="en-US"/>
        </w:rPr>
        <w:t>”</w:t>
      </w:r>
      <w:r w:rsidR="00FD598B">
        <w:rPr>
          <w:sz w:val="28"/>
          <w:szCs w:val="28"/>
          <w:lang w:val="en-US"/>
        </w:rPr>
        <w:t xml:space="preserve"> </w:t>
      </w:r>
      <w:r w:rsidR="004B431C">
        <w:rPr>
          <w:sz w:val="28"/>
          <w:szCs w:val="28"/>
          <w:lang w:val="en-US"/>
        </w:rPr>
        <w:t>when</w:t>
      </w:r>
      <w:r w:rsidR="00FD598B">
        <w:rPr>
          <w:sz w:val="28"/>
          <w:szCs w:val="28"/>
          <w:lang w:val="en-US"/>
        </w:rPr>
        <w:t xml:space="preserve"> making a decision as to whether to declare the prohibited person </w:t>
      </w:r>
      <w:r w:rsidR="00DB0C0E">
        <w:rPr>
          <w:sz w:val="28"/>
          <w:szCs w:val="28"/>
          <w:lang w:val="en-US"/>
        </w:rPr>
        <w:t>not prohibited or not.</w:t>
      </w:r>
      <w:r w:rsidR="00DD4426">
        <w:rPr>
          <w:sz w:val="28"/>
          <w:szCs w:val="28"/>
          <w:lang w:val="en-US"/>
        </w:rPr>
        <w:t xml:space="preserve"> The same applies to the Minister when considering an appeal </w:t>
      </w:r>
      <w:r w:rsidR="004365E2">
        <w:rPr>
          <w:sz w:val="28"/>
          <w:szCs w:val="28"/>
          <w:lang w:val="en-US"/>
        </w:rPr>
        <w:t xml:space="preserve">of the DG’s decision. </w:t>
      </w:r>
    </w:p>
    <w:p w14:paraId="67D32AAF" w14:textId="77777777" w:rsidR="0092179E" w:rsidRPr="004A776F" w:rsidRDefault="0092179E" w:rsidP="0092179E">
      <w:pPr>
        <w:pStyle w:val="ListParagraph"/>
        <w:spacing w:line="360" w:lineRule="auto"/>
        <w:ind w:left="360"/>
        <w:jc w:val="both"/>
        <w:rPr>
          <w:sz w:val="28"/>
          <w:szCs w:val="28"/>
          <w:lang w:val="en-US"/>
        </w:rPr>
      </w:pPr>
    </w:p>
    <w:p w14:paraId="5FE65AD7" w14:textId="02AAFDEC" w:rsidR="00A67F6C" w:rsidRDefault="008B3472" w:rsidP="002A1119">
      <w:pPr>
        <w:pStyle w:val="ListParagraph"/>
        <w:numPr>
          <w:ilvl w:val="0"/>
          <w:numId w:val="1"/>
        </w:numPr>
        <w:spacing w:line="360" w:lineRule="auto"/>
        <w:ind w:left="0" w:firstLine="0"/>
        <w:jc w:val="both"/>
        <w:rPr>
          <w:sz w:val="28"/>
          <w:szCs w:val="28"/>
          <w:lang w:val="en-US"/>
        </w:rPr>
      </w:pPr>
      <w:r>
        <w:rPr>
          <w:sz w:val="28"/>
          <w:szCs w:val="28"/>
          <w:lang w:val="en-US"/>
        </w:rPr>
        <w:t xml:space="preserve">The </w:t>
      </w:r>
      <w:r w:rsidR="00126067">
        <w:rPr>
          <w:sz w:val="28"/>
          <w:szCs w:val="28"/>
          <w:lang w:val="en-US"/>
        </w:rPr>
        <w:t>M</w:t>
      </w:r>
      <w:r>
        <w:rPr>
          <w:sz w:val="28"/>
          <w:szCs w:val="28"/>
          <w:lang w:val="en-US"/>
        </w:rPr>
        <w:t xml:space="preserve">inister’s decision </w:t>
      </w:r>
      <w:r w:rsidR="00126067">
        <w:rPr>
          <w:sz w:val="28"/>
          <w:szCs w:val="28"/>
          <w:lang w:val="en-US"/>
        </w:rPr>
        <w:t>on the appeal is reflected in his letter dated 10 May 2021, wherein he stated:</w:t>
      </w:r>
    </w:p>
    <w:p w14:paraId="056333F3" w14:textId="77777777" w:rsidR="00126067" w:rsidRPr="00126067" w:rsidRDefault="00126067" w:rsidP="00126067">
      <w:pPr>
        <w:pStyle w:val="ListParagraph"/>
        <w:rPr>
          <w:sz w:val="28"/>
          <w:szCs w:val="28"/>
          <w:lang w:val="en-US"/>
        </w:rPr>
      </w:pPr>
    </w:p>
    <w:p w14:paraId="36235AE8" w14:textId="0351D971" w:rsidR="00126067" w:rsidRPr="00E126D9" w:rsidRDefault="00126067" w:rsidP="00126067">
      <w:pPr>
        <w:pStyle w:val="ListParagraph"/>
        <w:spacing w:line="360" w:lineRule="auto"/>
        <w:ind w:left="1440"/>
        <w:jc w:val="both"/>
        <w:rPr>
          <w:i/>
          <w:iCs/>
          <w:sz w:val="28"/>
          <w:szCs w:val="28"/>
          <w:lang w:val="en-GB"/>
        </w:rPr>
      </w:pPr>
      <w:r>
        <w:rPr>
          <w:sz w:val="28"/>
          <w:szCs w:val="28"/>
          <w:lang w:val="en-US"/>
        </w:rPr>
        <w:t>“</w:t>
      </w:r>
      <w:r w:rsidR="004C63FD" w:rsidRPr="00E126D9">
        <w:rPr>
          <w:i/>
          <w:iCs/>
          <w:sz w:val="28"/>
          <w:szCs w:val="28"/>
          <w:lang w:val="en-GB"/>
        </w:rPr>
        <w:t>T</w:t>
      </w:r>
      <w:r w:rsidR="00420157" w:rsidRPr="00E126D9">
        <w:rPr>
          <w:i/>
          <w:iCs/>
          <w:sz w:val="28"/>
          <w:szCs w:val="28"/>
          <w:lang w:val="en-GB"/>
        </w:rPr>
        <w:t xml:space="preserve">he appeal representation in respect of your request for the </w:t>
      </w:r>
      <w:proofErr w:type="spellStart"/>
      <w:r w:rsidR="00420157" w:rsidRPr="00E126D9">
        <w:rPr>
          <w:i/>
          <w:iCs/>
          <w:sz w:val="28"/>
          <w:szCs w:val="28"/>
          <w:lang w:val="en-GB"/>
        </w:rPr>
        <w:t>upliftment</w:t>
      </w:r>
      <w:proofErr w:type="spellEnd"/>
      <w:r w:rsidR="00420157" w:rsidRPr="00E126D9">
        <w:rPr>
          <w:i/>
          <w:iCs/>
          <w:sz w:val="28"/>
          <w:szCs w:val="28"/>
          <w:lang w:val="en-GB"/>
        </w:rPr>
        <w:t xml:space="preserve"> of your prohibition</w:t>
      </w:r>
      <w:r w:rsidR="004C63FD" w:rsidRPr="00E126D9">
        <w:rPr>
          <w:i/>
          <w:iCs/>
          <w:sz w:val="28"/>
          <w:szCs w:val="28"/>
          <w:lang w:val="en-GB"/>
        </w:rPr>
        <w:t xml:space="preserve"> has been considered and was unsuccessful. You o</w:t>
      </w:r>
      <w:r w:rsidR="00BC68CF" w:rsidRPr="00E126D9">
        <w:rPr>
          <w:i/>
          <w:iCs/>
          <w:sz w:val="28"/>
          <w:szCs w:val="28"/>
          <w:lang w:val="en-GB"/>
        </w:rPr>
        <w:t>btained</w:t>
      </w:r>
      <w:r w:rsidR="004C63FD" w:rsidRPr="00E126D9">
        <w:rPr>
          <w:i/>
          <w:iCs/>
          <w:sz w:val="28"/>
          <w:szCs w:val="28"/>
          <w:lang w:val="en-GB"/>
        </w:rPr>
        <w:t xml:space="preserve"> a fraudulent work visa in the country and as a result you contravened the Immigration Act.</w:t>
      </w:r>
    </w:p>
    <w:p w14:paraId="4A9A2585" w14:textId="77777777" w:rsidR="00C0281C" w:rsidRPr="00E126D9" w:rsidRDefault="00C0281C" w:rsidP="00126067">
      <w:pPr>
        <w:pStyle w:val="ListParagraph"/>
        <w:spacing w:line="360" w:lineRule="auto"/>
        <w:ind w:left="1440"/>
        <w:jc w:val="both"/>
        <w:rPr>
          <w:i/>
          <w:iCs/>
          <w:sz w:val="28"/>
          <w:szCs w:val="28"/>
          <w:lang w:val="en-GB"/>
        </w:rPr>
      </w:pPr>
    </w:p>
    <w:p w14:paraId="4DA4D4FB" w14:textId="07178AF7" w:rsidR="00C0281C" w:rsidRPr="00E126D9" w:rsidRDefault="00654D5F" w:rsidP="00126067">
      <w:pPr>
        <w:pStyle w:val="ListParagraph"/>
        <w:spacing w:line="360" w:lineRule="auto"/>
        <w:ind w:left="1440"/>
        <w:jc w:val="both"/>
        <w:rPr>
          <w:i/>
          <w:iCs/>
          <w:sz w:val="28"/>
          <w:szCs w:val="28"/>
          <w:lang w:val="en-GB"/>
        </w:rPr>
      </w:pPr>
      <w:r w:rsidRPr="00E126D9">
        <w:rPr>
          <w:i/>
          <w:iCs/>
          <w:sz w:val="28"/>
          <w:szCs w:val="28"/>
          <w:lang w:val="en-GB"/>
        </w:rPr>
        <w:t xml:space="preserve">I hereby confirm your prohibition </w:t>
      </w:r>
      <w:proofErr w:type="spellStart"/>
      <w:r w:rsidRPr="00E126D9">
        <w:rPr>
          <w:i/>
          <w:iCs/>
          <w:sz w:val="28"/>
          <w:szCs w:val="28"/>
          <w:lang w:val="en-GB"/>
        </w:rPr>
        <w:t>upliftment</w:t>
      </w:r>
      <w:proofErr w:type="spellEnd"/>
      <w:r w:rsidRPr="00E126D9">
        <w:rPr>
          <w:i/>
          <w:iCs/>
          <w:sz w:val="28"/>
          <w:szCs w:val="28"/>
          <w:lang w:val="en-GB"/>
        </w:rPr>
        <w:t xml:space="preserve"> rejection</w:t>
      </w:r>
      <w:r w:rsidR="00734B98" w:rsidRPr="00E126D9">
        <w:rPr>
          <w:i/>
          <w:iCs/>
          <w:sz w:val="28"/>
          <w:szCs w:val="28"/>
          <w:lang w:val="en-GB"/>
        </w:rPr>
        <w:t xml:space="preserve"> l</w:t>
      </w:r>
      <w:r w:rsidR="009A3487" w:rsidRPr="00E126D9">
        <w:rPr>
          <w:i/>
          <w:iCs/>
          <w:sz w:val="28"/>
          <w:szCs w:val="28"/>
          <w:lang w:val="en-GB"/>
        </w:rPr>
        <w:t xml:space="preserve">etter dated 30 June 2020 and you will remain a prohibited person in terms of section 29(1)(f) </w:t>
      </w:r>
      <w:r w:rsidR="00CC30E4" w:rsidRPr="00E126D9">
        <w:rPr>
          <w:i/>
          <w:iCs/>
          <w:sz w:val="28"/>
          <w:szCs w:val="28"/>
          <w:lang w:val="en-GB"/>
        </w:rPr>
        <w:t xml:space="preserve">of the Immigration Act (No 13 of 2002) </w:t>
      </w:r>
      <w:r w:rsidR="00097AAF" w:rsidRPr="00E126D9">
        <w:rPr>
          <w:i/>
          <w:iCs/>
          <w:sz w:val="28"/>
          <w:szCs w:val="28"/>
          <w:lang w:val="en-GB"/>
        </w:rPr>
        <w:t>as amended in 2014.</w:t>
      </w:r>
    </w:p>
    <w:p w14:paraId="466F0F22" w14:textId="77777777" w:rsidR="00097AAF" w:rsidRPr="00E126D9" w:rsidRDefault="00097AAF" w:rsidP="00126067">
      <w:pPr>
        <w:pStyle w:val="ListParagraph"/>
        <w:spacing w:line="360" w:lineRule="auto"/>
        <w:ind w:left="1440"/>
        <w:jc w:val="both"/>
        <w:rPr>
          <w:i/>
          <w:iCs/>
          <w:sz w:val="28"/>
          <w:szCs w:val="28"/>
          <w:lang w:val="en-GB"/>
        </w:rPr>
      </w:pPr>
    </w:p>
    <w:p w14:paraId="14F92F6D" w14:textId="025CCCDB" w:rsidR="00097AAF" w:rsidRDefault="00C90B99" w:rsidP="00126067">
      <w:pPr>
        <w:pStyle w:val="ListParagraph"/>
        <w:spacing w:line="360" w:lineRule="auto"/>
        <w:ind w:left="1440"/>
        <w:jc w:val="both"/>
        <w:rPr>
          <w:sz w:val="28"/>
          <w:szCs w:val="28"/>
          <w:lang w:val="en-GB"/>
        </w:rPr>
      </w:pPr>
      <w:r w:rsidRPr="00E126D9">
        <w:rPr>
          <w:i/>
          <w:iCs/>
          <w:sz w:val="28"/>
          <w:szCs w:val="28"/>
          <w:lang w:val="en-GB"/>
        </w:rPr>
        <w:t>As</w:t>
      </w:r>
      <w:r w:rsidR="00097AAF" w:rsidRPr="00E126D9">
        <w:rPr>
          <w:i/>
          <w:iCs/>
          <w:sz w:val="28"/>
          <w:szCs w:val="28"/>
          <w:lang w:val="en-GB"/>
        </w:rPr>
        <w:t xml:space="preserve"> a prohibited person you do not qualify for any visa or permit from the immigration permitting mainstream</w:t>
      </w:r>
      <w:r w:rsidRPr="00E126D9">
        <w:rPr>
          <w:i/>
          <w:iCs/>
          <w:sz w:val="28"/>
          <w:szCs w:val="28"/>
          <w:lang w:val="en-GB"/>
        </w:rPr>
        <w:t>,</w:t>
      </w:r>
      <w:r w:rsidR="00097AAF" w:rsidRPr="00E126D9">
        <w:rPr>
          <w:i/>
          <w:iCs/>
          <w:sz w:val="28"/>
          <w:szCs w:val="28"/>
          <w:lang w:val="en-GB"/>
        </w:rPr>
        <w:t xml:space="preserve"> and you</w:t>
      </w:r>
      <w:r w:rsidR="00B503A8">
        <w:rPr>
          <w:i/>
          <w:iCs/>
          <w:sz w:val="28"/>
          <w:szCs w:val="28"/>
          <w:lang w:val="en-GB"/>
        </w:rPr>
        <w:t>r</w:t>
      </w:r>
      <w:r w:rsidR="00097AAF" w:rsidRPr="00E126D9">
        <w:rPr>
          <w:i/>
          <w:iCs/>
          <w:sz w:val="28"/>
          <w:szCs w:val="28"/>
          <w:lang w:val="en-GB"/>
        </w:rPr>
        <w:t xml:space="preserve"> asylum seekers application will be dealt with separately under the </w:t>
      </w:r>
      <w:r w:rsidR="00007EC4" w:rsidRPr="00E126D9">
        <w:rPr>
          <w:i/>
          <w:iCs/>
          <w:sz w:val="28"/>
          <w:szCs w:val="28"/>
          <w:lang w:val="en-GB"/>
        </w:rPr>
        <w:t>R</w:t>
      </w:r>
      <w:r w:rsidR="00097AAF" w:rsidRPr="00E126D9">
        <w:rPr>
          <w:i/>
          <w:iCs/>
          <w:sz w:val="28"/>
          <w:szCs w:val="28"/>
          <w:lang w:val="en-GB"/>
        </w:rPr>
        <w:t xml:space="preserve">efugees </w:t>
      </w:r>
      <w:r w:rsidR="00007EC4" w:rsidRPr="00E126D9">
        <w:rPr>
          <w:i/>
          <w:iCs/>
          <w:sz w:val="28"/>
          <w:szCs w:val="28"/>
          <w:lang w:val="en-GB"/>
        </w:rPr>
        <w:t>A</w:t>
      </w:r>
      <w:r w:rsidR="00097AAF" w:rsidRPr="00E126D9">
        <w:rPr>
          <w:i/>
          <w:iCs/>
          <w:sz w:val="28"/>
          <w:szCs w:val="28"/>
          <w:lang w:val="en-GB"/>
        </w:rPr>
        <w:t>ct</w:t>
      </w:r>
      <w:r>
        <w:rPr>
          <w:sz w:val="28"/>
          <w:szCs w:val="28"/>
          <w:lang w:val="en-GB"/>
        </w:rPr>
        <w:t>.</w:t>
      </w:r>
      <w:r w:rsidR="00007EC4">
        <w:rPr>
          <w:sz w:val="28"/>
          <w:szCs w:val="28"/>
          <w:lang w:val="en-GB"/>
        </w:rPr>
        <w:t>”</w:t>
      </w:r>
    </w:p>
    <w:p w14:paraId="3A6C1107" w14:textId="77777777" w:rsidR="00E126D9" w:rsidRDefault="00E126D9" w:rsidP="00126067">
      <w:pPr>
        <w:pStyle w:val="ListParagraph"/>
        <w:spacing w:line="360" w:lineRule="auto"/>
        <w:ind w:left="1440"/>
        <w:jc w:val="both"/>
        <w:rPr>
          <w:sz w:val="28"/>
          <w:szCs w:val="28"/>
          <w:lang w:val="en-US"/>
        </w:rPr>
      </w:pPr>
    </w:p>
    <w:p w14:paraId="29252A44" w14:textId="2F787692" w:rsidR="004A776F" w:rsidRDefault="007E0D90" w:rsidP="002A1119">
      <w:pPr>
        <w:pStyle w:val="ListParagraph"/>
        <w:numPr>
          <w:ilvl w:val="0"/>
          <w:numId w:val="1"/>
        </w:numPr>
        <w:spacing w:line="360" w:lineRule="auto"/>
        <w:ind w:left="0" w:firstLine="0"/>
        <w:jc w:val="both"/>
        <w:rPr>
          <w:sz w:val="28"/>
          <w:szCs w:val="28"/>
          <w:lang w:val="en-US"/>
        </w:rPr>
      </w:pPr>
      <w:r>
        <w:rPr>
          <w:sz w:val="28"/>
          <w:szCs w:val="28"/>
          <w:lang w:val="en-US"/>
        </w:rPr>
        <w:t>On the surface</w:t>
      </w:r>
      <w:r w:rsidR="00C3194D">
        <w:rPr>
          <w:sz w:val="28"/>
          <w:szCs w:val="28"/>
          <w:lang w:val="en-US"/>
        </w:rPr>
        <w:t xml:space="preserve">, it </w:t>
      </w:r>
      <w:r>
        <w:rPr>
          <w:sz w:val="28"/>
          <w:szCs w:val="28"/>
          <w:lang w:val="en-US"/>
        </w:rPr>
        <w:t>appears</w:t>
      </w:r>
      <w:r w:rsidR="00C3194D">
        <w:rPr>
          <w:sz w:val="28"/>
          <w:szCs w:val="28"/>
          <w:lang w:val="en-US"/>
        </w:rPr>
        <w:t xml:space="preserve"> that the Minister’s </w:t>
      </w:r>
      <w:r w:rsidR="0060258D">
        <w:rPr>
          <w:sz w:val="28"/>
          <w:szCs w:val="28"/>
          <w:lang w:val="en-US"/>
        </w:rPr>
        <w:t xml:space="preserve">decision is </w:t>
      </w:r>
      <w:r>
        <w:rPr>
          <w:sz w:val="28"/>
          <w:szCs w:val="28"/>
          <w:lang w:val="en-US"/>
        </w:rPr>
        <w:t xml:space="preserve">solely </w:t>
      </w:r>
      <w:r w:rsidR="0060258D">
        <w:rPr>
          <w:sz w:val="28"/>
          <w:szCs w:val="28"/>
          <w:lang w:val="en-US"/>
        </w:rPr>
        <w:t xml:space="preserve">based on the </w:t>
      </w:r>
      <w:r>
        <w:rPr>
          <w:sz w:val="28"/>
          <w:szCs w:val="28"/>
          <w:lang w:val="en-US"/>
        </w:rPr>
        <w:t xml:space="preserve">finding and </w:t>
      </w:r>
      <w:r w:rsidR="0060258D">
        <w:rPr>
          <w:sz w:val="28"/>
          <w:szCs w:val="28"/>
          <w:lang w:val="en-US"/>
        </w:rPr>
        <w:t xml:space="preserve">conclusion that the applicant obtained a fraudulent </w:t>
      </w:r>
      <w:r w:rsidR="004710B9">
        <w:rPr>
          <w:sz w:val="28"/>
          <w:szCs w:val="28"/>
          <w:lang w:val="en-US"/>
        </w:rPr>
        <w:t xml:space="preserve">work </w:t>
      </w:r>
      <w:r w:rsidR="0060258D">
        <w:rPr>
          <w:sz w:val="28"/>
          <w:szCs w:val="28"/>
          <w:lang w:val="en-US"/>
        </w:rPr>
        <w:t>visa</w:t>
      </w:r>
      <w:r w:rsidR="004710B9">
        <w:rPr>
          <w:sz w:val="28"/>
          <w:szCs w:val="28"/>
          <w:lang w:val="en-US"/>
        </w:rPr>
        <w:t xml:space="preserve">. </w:t>
      </w:r>
      <w:r w:rsidR="00ED4894">
        <w:rPr>
          <w:sz w:val="28"/>
          <w:szCs w:val="28"/>
          <w:lang w:val="en-US"/>
        </w:rPr>
        <w:t xml:space="preserve">Counsel for the applicant argued that </w:t>
      </w:r>
      <w:r w:rsidR="00136AB2">
        <w:rPr>
          <w:sz w:val="28"/>
          <w:szCs w:val="28"/>
          <w:lang w:val="en-US"/>
        </w:rPr>
        <w:t xml:space="preserve">section 29(1)(f) </w:t>
      </w:r>
      <w:r w:rsidR="00C4041D">
        <w:rPr>
          <w:sz w:val="28"/>
          <w:szCs w:val="28"/>
          <w:lang w:val="en-US"/>
        </w:rPr>
        <w:t xml:space="preserve">cannot rationally or lawfully be held to apply to persons who are innocent </w:t>
      </w:r>
      <w:r w:rsidR="00AE57AB">
        <w:rPr>
          <w:sz w:val="28"/>
          <w:szCs w:val="28"/>
          <w:lang w:val="en-US"/>
        </w:rPr>
        <w:t xml:space="preserve">of wrongdoing. In other words, </w:t>
      </w:r>
      <w:r w:rsidR="00DB6761">
        <w:rPr>
          <w:sz w:val="28"/>
          <w:szCs w:val="28"/>
          <w:lang w:val="en-US"/>
        </w:rPr>
        <w:t xml:space="preserve">it cannot apply to an innocent party </w:t>
      </w:r>
      <w:r w:rsidR="00B67141">
        <w:rPr>
          <w:sz w:val="28"/>
          <w:szCs w:val="28"/>
          <w:lang w:val="en-US"/>
        </w:rPr>
        <w:t xml:space="preserve">who has been found in possession </w:t>
      </w:r>
      <w:r w:rsidR="00B67141">
        <w:rPr>
          <w:sz w:val="28"/>
          <w:szCs w:val="28"/>
          <w:lang w:val="en-US"/>
        </w:rPr>
        <w:lastRenderedPageBreak/>
        <w:t xml:space="preserve">of a fraudulent visa </w:t>
      </w:r>
      <w:r w:rsidR="009375B2">
        <w:rPr>
          <w:sz w:val="28"/>
          <w:szCs w:val="28"/>
          <w:lang w:val="en-US"/>
        </w:rPr>
        <w:t xml:space="preserve">or </w:t>
      </w:r>
      <w:r>
        <w:rPr>
          <w:sz w:val="28"/>
          <w:szCs w:val="28"/>
          <w:lang w:val="en-US"/>
        </w:rPr>
        <w:t>to</w:t>
      </w:r>
      <w:r w:rsidR="009375B2">
        <w:rPr>
          <w:sz w:val="28"/>
          <w:szCs w:val="28"/>
          <w:lang w:val="en-US"/>
        </w:rPr>
        <w:t xml:space="preserve"> a person</w:t>
      </w:r>
      <w:r w:rsidR="00B231FA">
        <w:rPr>
          <w:sz w:val="28"/>
          <w:szCs w:val="28"/>
          <w:lang w:val="en-US"/>
        </w:rPr>
        <w:t xml:space="preserve"> who</w:t>
      </w:r>
      <w:r w:rsidR="009375B2">
        <w:rPr>
          <w:sz w:val="28"/>
          <w:szCs w:val="28"/>
          <w:lang w:val="en-US"/>
        </w:rPr>
        <w:t xml:space="preserve"> was unaware or not complicit </w:t>
      </w:r>
      <w:r w:rsidR="00803225">
        <w:rPr>
          <w:sz w:val="28"/>
          <w:szCs w:val="28"/>
          <w:lang w:val="en-US"/>
        </w:rPr>
        <w:t>in obtaining</w:t>
      </w:r>
      <w:r w:rsidR="00B231FA">
        <w:rPr>
          <w:sz w:val="28"/>
          <w:szCs w:val="28"/>
          <w:lang w:val="en-US"/>
        </w:rPr>
        <w:t xml:space="preserve"> </w:t>
      </w:r>
      <w:r w:rsidR="00197801">
        <w:rPr>
          <w:sz w:val="28"/>
          <w:szCs w:val="28"/>
          <w:lang w:val="en-US"/>
        </w:rPr>
        <w:t xml:space="preserve">such </w:t>
      </w:r>
      <w:r w:rsidR="00B231FA">
        <w:rPr>
          <w:sz w:val="28"/>
          <w:szCs w:val="28"/>
          <w:lang w:val="en-US"/>
        </w:rPr>
        <w:t>a</w:t>
      </w:r>
      <w:r w:rsidR="00803225">
        <w:rPr>
          <w:sz w:val="28"/>
          <w:szCs w:val="28"/>
          <w:lang w:val="en-US"/>
        </w:rPr>
        <w:t xml:space="preserve"> visa. I agree that this could never have been the intention of the legislature.</w:t>
      </w:r>
      <w:r w:rsidR="00861C83">
        <w:rPr>
          <w:sz w:val="28"/>
          <w:szCs w:val="28"/>
          <w:lang w:val="en-US"/>
        </w:rPr>
        <w:t xml:space="preserve"> </w:t>
      </w:r>
      <w:r w:rsidR="007B0D74">
        <w:rPr>
          <w:sz w:val="28"/>
          <w:szCs w:val="28"/>
          <w:lang w:val="en-US"/>
        </w:rPr>
        <w:t>Therefore, i</w:t>
      </w:r>
      <w:r w:rsidR="00861C83">
        <w:rPr>
          <w:sz w:val="28"/>
          <w:szCs w:val="28"/>
          <w:lang w:val="en-US"/>
        </w:rPr>
        <w:t>t was incumbent for both the DG and the Minister</w:t>
      </w:r>
      <w:r w:rsidR="00DD280F">
        <w:rPr>
          <w:sz w:val="28"/>
          <w:szCs w:val="28"/>
          <w:lang w:val="en-US"/>
        </w:rPr>
        <w:t xml:space="preserve"> to </w:t>
      </w:r>
      <w:r w:rsidR="007B0D74">
        <w:rPr>
          <w:sz w:val="28"/>
          <w:szCs w:val="28"/>
          <w:lang w:val="en-US"/>
        </w:rPr>
        <w:t xml:space="preserve">determine </w:t>
      </w:r>
      <w:r w:rsidR="00DD280F">
        <w:rPr>
          <w:sz w:val="28"/>
          <w:szCs w:val="28"/>
          <w:lang w:val="en-US"/>
        </w:rPr>
        <w:t xml:space="preserve">whether the applicant was complicit in </w:t>
      </w:r>
      <w:r w:rsidR="007B0D74">
        <w:rPr>
          <w:sz w:val="28"/>
          <w:szCs w:val="28"/>
          <w:lang w:val="en-US"/>
        </w:rPr>
        <w:t xml:space="preserve">the </w:t>
      </w:r>
      <w:proofErr w:type="gramStart"/>
      <w:r w:rsidR="007B0D74">
        <w:rPr>
          <w:sz w:val="28"/>
          <w:szCs w:val="28"/>
          <w:lang w:val="en-US"/>
        </w:rPr>
        <w:t>acquisition  of</w:t>
      </w:r>
      <w:proofErr w:type="gramEnd"/>
      <w:r w:rsidR="007B0D74">
        <w:rPr>
          <w:sz w:val="28"/>
          <w:szCs w:val="28"/>
          <w:lang w:val="en-US"/>
        </w:rPr>
        <w:t xml:space="preserve"> a</w:t>
      </w:r>
      <w:r w:rsidR="00DD280F">
        <w:rPr>
          <w:sz w:val="28"/>
          <w:szCs w:val="28"/>
          <w:lang w:val="en-US"/>
        </w:rPr>
        <w:t xml:space="preserve"> frau</w:t>
      </w:r>
      <w:r w:rsidR="00813659">
        <w:rPr>
          <w:sz w:val="28"/>
          <w:szCs w:val="28"/>
          <w:lang w:val="en-US"/>
        </w:rPr>
        <w:t xml:space="preserve">dulent work visa. </w:t>
      </w:r>
    </w:p>
    <w:p w14:paraId="60E55C54" w14:textId="1D199312" w:rsidR="00990669" w:rsidRDefault="00990669" w:rsidP="007868CC">
      <w:pPr>
        <w:pStyle w:val="ListParagraph"/>
        <w:spacing w:line="360" w:lineRule="auto"/>
        <w:ind w:left="360"/>
        <w:jc w:val="both"/>
        <w:rPr>
          <w:sz w:val="28"/>
          <w:szCs w:val="28"/>
          <w:lang w:val="en-US"/>
        </w:rPr>
      </w:pPr>
    </w:p>
    <w:p w14:paraId="6A362A18" w14:textId="6FF4A34E" w:rsidR="00A826A5" w:rsidRDefault="009B3933" w:rsidP="002A1119">
      <w:pPr>
        <w:pStyle w:val="ListParagraph"/>
        <w:numPr>
          <w:ilvl w:val="0"/>
          <w:numId w:val="1"/>
        </w:numPr>
        <w:spacing w:line="360" w:lineRule="auto"/>
        <w:ind w:left="0" w:firstLine="0"/>
        <w:jc w:val="both"/>
        <w:rPr>
          <w:sz w:val="28"/>
          <w:szCs w:val="28"/>
          <w:lang w:val="en-US"/>
        </w:rPr>
      </w:pPr>
      <w:r>
        <w:rPr>
          <w:sz w:val="28"/>
          <w:szCs w:val="28"/>
          <w:lang w:val="en-US"/>
        </w:rPr>
        <w:t xml:space="preserve">In her appeal to the Minister, the applicant </w:t>
      </w:r>
      <w:r w:rsidR="00523166">
        <w:rPr>
          <w:sz w:val="28"/>
          <w:szCs w:val="28"/>
          <w:lang w:val="en-US"/>
        </w:rPr>
        <w:t xml:space="preserve">set out in detail how she </w:t>
      </w:r>
      <w:r w:rsidR="008404FB">
        <w:rPr>
          <w:sz w:val="28"/>
          <w:szCs w:val="28"/>
          <w:lang w:val="en-US"/>
        </w:rPr>
        <w:t>obtained</w:t>
      </w:r>
      <w:r w:rsidR="00523166">
        <w:rPr>
          <w:sz w:val="28"/>
          <w:szCs w:val="28"/>
          <w:lang w:val="en-US"/>
        </w:rPr>
        <w:t xml:space="preserve"> </w:t>
      </w:r>
      <w:r w:rsidR="006034F5">
        <w:rPr>
          <w:sz w:val="28"/>
          <w:szCs w:val="28"/>
          <w:lang w:val="en-US"/>
        </w:rPr>
        <w:t>the</w:t>
      </w:r>
      <w:r w:rsidR="00523166">
        <w:rPr>
          <w:sz w:val="28"/>
          <w:szCs w:val="28"/>
          <w:lang w:val="en-US"/>
        </w:rPr>
        <w:t xml:space="preserve"> impugned visa</w:t>
      </w:r>
      <w:r w:rsidR="006034F5">
        <w:rPr>
          <w:sz w:val="28"/>
          <w:szCs w:val="28"/>
          <w:lang w:val="en-US"/>
        </w:rPr>
        <w:t xml:space="preserve">, and </w:t>
      </w:r>
      <w:r w:rsidR="00E019CA">
        <w:rPr>
          <w:sz w:val="28"/>
          <w:szCs w:val="28"/>
          <w:lang w:val="en-US"/>
        </w:rPr>
        <w:t xml:space="preserve">submitted that she had no </w:t>
      </w:r>
      <w:r w:rsidR="00082466">
        <w:rPr>
          <w:sz w:val="28"/>
          <w:szCs w:val="28"/>
          <w:lang w:val="en-US"/>
        </w:rPr>
        <w:t>knowledge that her visa was fraudulent</w:t>
      </w:r>
      <w:r w:rsidR="00ED3B0F">
        <w:rPr>
          <w:sz w:val="28"/>
          <w:szCs w:val="28"/>
          <w:lang w:val="en-US"/>
        </w:rPr>
        <w:t xml:space="preserve"> as </w:t>
      </w:r>
      <w:r w:rsidR="008404FB">
        <w:rPr>
          <w:sz w:val="28"/>
          <w:szCs w:val="28"/>
          <w:lang w:val="en-US"/>
        </w:rPr>
        <w:t xml:space="preserve">all </w:t>
      </w:r>
      <w:r w:rsidR="00ED3B0F">
        <w:rPr>
          <w:sz w:val="28"/>
          <w:szCs w:val="28"/>
          <w:lang w:val="en-US"/>
        </w:rPr>
        <w:t xml:space="preserve">her interactions with her co-worker who assisted her </w:t>
      </w:r>
      <w:r w:rsidR="00E41803">
        <w:rPr>
          <w:sz w:val="28"/>
          <w:szCs w:val="28"/>
          <w:lang w:val="en-US"/>
        </w:rPr>
        <w:t>seemed proper and lawful at all stages.</w:t>
      </w:r>
      <w:r w:rsidR="00523166">
        <w:rPr>
          <w:sz w:val="28"/>
          <w:szCs w:val="28"/>
          <w:lang w:val="en-US"/>
        </w:rPr>
        <w:t xml:space="preserve"> </w:t>
      </w:r>
    </w:p>
    <w:p w14:paraId="3AF9B9E1" w14:textId="77777777" w:rsidR="00A826A5" w:rsidRPr="00A826A5" w:rsidRDefault="00A826A5" w:rsidP="00A826A5">
      <w:pPr>
        <w:pStyle w:val="ListParagraph"/>
        <w:rPr>
          <w:sz w:val="28"/>
          <w:szCs w:val="28"/>
          <w:lang w:val="en-US"/>
        </w:rPr>
      </w:pPr>
    </w:p>
    <w:p w14:paraId="5FD97919" w14:textId="7FAA62A6" w:rsidR="007868CC" w:rsidRDefault="004A17F4" w:rsidP="002A1119">
      <w:pPr>
        <w:pStyle w:val="ListParagraph"/>
        <w:numPr>
          <w:ilvl w:val="0"/>
          <w:numId w:val="1"/>
        </w:numPr>
        <w:spacing w:line="360" w:lineRule="auto"/>
        <w:ind w:left="0" w:firstLine="0"/>
        <w:jc w:val="both"/>
        <w:rPr>
          <w:sz w:val="28"/>
          <w:szCs w:val="28"/>
          <w:lang w:val="en-US"/>
        </w:rPr>
      </w:pPr>
      <w:r>
        <w:rPr>
          <w:sz w:val="28"/>
          <w:szCs w:val="28"/>
          <w:lang w:val="en-US"/>
        </w:rPr>
        <w:t xml:space="preserve">She also set out </w:t>
      </w:r>
      <w:r w:rsidR="00E41803">
        <w:rPr>
          <w:sz w:val="28"/>
          <w:szCs w:val="28"/>
          <w:lang w:val="en-US"/>
        </w:rPr>
        <w:t xml:space="preserve">additional grounds </w:t>
      </w:r>
      <w:r w:rsidR="008404FB">
        <w:rPr>
          <w:sz w:val="28"/>
          <w:szCs w:val="28"/>
          <w:lang w:val="en-US"/>
        </w:rPr>
        <w:t xml:space="preserve">and justifications </w:t>
      </w:r>
      <w:r w:rsidR="004429F1">
        <w:rPr>
          <w:sz w:val="28"/>
          <w:szCs w:val="28"/>
          <w:lang w:val="en-US"/>
        </w:rPr>
        <w:t>for her appea</w:t>
      </w:r>
      <w:r w:rsidR="0056353D">
        <w:rPr>
          <w:sz w:val="28"/>
          <w:szCs w:val="28"/>
          <w:lang w:val="en-US"/>
        </w:rPr>
        <w:t>l, amongst other</w:t>
      </w:r>
      <w:r w:rsidR="008404FB">
        <w:rPr>
          <w:sz w:val="28"/>
          <w:szCs w:val="28"/>
          <w:lang w:val="en-US"/>
        </w:rPr>
        <w:t>,</w:t>
      </w:r>
      <w:r w:rsidR="0056353D">
        <w:rPr>
          <w:sz w:val="28"/>
          <w:szCs w:val="28"/>
          <w:lang w:val="en-US"/>
        </w:rPr>
        <w:t xml:space="preserve"> </w:t>
      </w:r>
      <w:r w:rsidR="008404FB">
        <w:rPr>
          <w:sz w:val="28"/>
          <w:szCs w:val="28"/>
          <w:lang w:val="en-US"/>
        </w:rPr>
        <w:t>that she</w:t>
      </w:r>
      <w:r w:rsidR="0056353D">
        <w:rPr>
          <w:sz w:val="28"/>
          <w:szCs w:val="28"/>
          <w:lang w:val="en-US"/>
        </w:rPr>
        <w:t xml:space="preserve"> had entered into a </w:t>
      </w:r>
      <w:r w:rsidR="00EC677A">
        <w:rPr>
          <w:sz w:val="28"/>
          <w:szCs w:val="28"/>
          <w:lang w:val="en-US"/>
        </w:rPr>
        <w:t>life partnership with a Sout</w:t>
      </w:r>
      <w:r w:rsidR="00906139">
        <w:rPr>
          <w:sz w:val="28"/>
          <w:szCs w:val="28"/>
          <w:lang w:val="en-US"/>
        </w:rPr>
        <w:t>h</w:t>
      </w:r>
      <w:r w:rsidR="00EC677A">
        <w:rPr>
          <w:sz w:val="28"/>
          <w:szCs w:val="28"/>
          <w:lang w:val="en-US"/>
        </w:rPr>
        <w:t xml:space="preserve"> African citizen</w:t>
      </w:r>
      <w:r>
        <w:rPr>
          <w:sz w:val="28"/>
          <w:szCs w:val="28"/>
          <w:lang w:val="en-US"/>
        </w:rPr>
        <w:t xml:space="preserve"> </w:t>
      </w:r>
      <w:r w:rsidR="00906139">
        <w:rPr>
          <w:sz w:val="28"/>
          <w:szCs w:val="28"/>
          <w:lang w:val="en-US"/>
        </w:rPr>
        <w:t xml:space="preserve">which was </w:t>
      </w:r>
      <w:proofErr w:type="spellStart"/>
      <w:r w:rsidR="00906139">
        <w:rPr>
          <w:sz w:val="28"/>
          <w:szCs w:val="28"/>
          <w:lang w:val="en-US"/>
        </w:rPr>
        <w:t>formali</w:t>
      </w:r>
      <w:r w:rsidR="00751A6C">
        <w:rPr>
          <w:sz w:val="28"/>
          <w:szCs w:val="28"/>
          <w:lang w:val="en-US"/>
        </w:rPr>
        <w:t>s</w:t>
      </w:r>
      <w:r w:rsidR="00906139">
        <w:rPr>
          <w:sz w:val="28"/>
          <w:szCs w:val="28"/>
          <w:lang w:val="en-US"/>
        </w:rPr>
        <w:t>ed</w:t>
      </w:r>
      <w:proofErr w:type="spellEnd"/>
      <w:r w:rsidR="00906139">
        <w:rPr>
          <w:sz w:val="28"/>
          <w:szCs w:val="28"/>
          <w:lang w:val="en-US"/>
        </w:rPr>
        <w:t xml:space="preserve"> by way of cohabitation agreement which was included </w:t>
      </w:r>
      <w:r w:rsidR="008404FB">
        <w:rPr>
          <w:sz w:val="28"/>
          <w:szCs w:val="28"/>
          <w:lang w:val="en-US"/>
        </w:rPr>
        <w:t>in</w:t>
      </w:r>
      <w:r w:rsidR="00906139">
        <w:rPr>
          <w:sz w:val="28"/>
          <w:szCs w:val="28"/>
          <w:lang w:val="en-US"/>
        </w:rPr>
        <w:t xml:space="preserve"> her appeal documentation.</w:t>
      </w:r>
      <w:r w:rsidR="00830008">
        <w:rPr>
          <w:sz w:val="28"/>
          <w:szCs w:val="28"/>
          <w:lang w:val="en-US"/>
        </w:rPr>
        <w:t xml:space="preserve"> </w:t>
      </w:r>
      <w:r w:rsidR="00F01CE5">
        <w:rPr>
          <w:sz w:val="28"/>
          <w:szCs w:val="28"/>
          <w:lang w:val="en-US"/>
        </w:rPr>
        <w:t>In support of her and her partner</w:t>
      </w:r>
      <w:r w:rsidR="00084237">
        <w:rPr>
          <w:sz w:val="28"/>
          <w:szCs w:val="28"/>
          <w:lang w:val="en-US"/>
        </w:rPr>
        <w:t xml:space="preserve">’s right to </w:t>
      </w:r>
      <w:r w:rsidR="001B1FFE">
        <w:rPr>
          <w:sz w:val="28"/>
          <w:szCs w:val="28"/>
          <w:lang w:val="en-US"/>
        </w:rPr>
        <w:t xml:space="preserve">live together, the applicant referred the Minister to the judgment of the Constitutional Court </w:t>
      </w:r>
      <w:r w:rsidR="004E46DF">
        <w:rPr>
          <w:sz w:val="28"/>
          <w:szCs w:val="28"/>
          <w:lang w:val="en-US"/>
        </w:rPr>
        <w:t xml:space="preserve">in </w:t>
      </w:r>
      <w:proofErr w:type="spellStart"/>
      <w:r w:rsidR="009C2061" w:rsidRPr="002D5D7E">
        <w:rPr>
          <w:b/>
          <w:bCs/>
          <w:sz w:val="28"/>
          <w:szCs w:val="28"/>
          <w:lang w:val="en-US"/>
        </w:rPr>
        <w:t>Dawood</w:t>
      </w:r>
      <w:proofErr w:type="spellEnd"/>
      <w:r w:rsidR="009C2061" w:rsidRPr="002D5D7E">
        <w:rPr>
          <w:b/>
          <w:bCs/>
          <w:sz w:val="28"/>
          <w:szCs w:val="28"/>
          <w:lang w:val="en-US"/>
        </w:rPr>
        <w:t xml:space="preserve"> and Another </w:t>
      </w:r>
      <w:r w:rsidR="004365A7" w:rsidRPr="002D5D7E">
        <w:rPr>
          <w:b/>
          <w:bCs/>
          <w:sz w:val="28"/>
          <w:szCs w:val="28"/>
          <w:lang w:val="en-US"/>
        </w:rPr>
        <w:t>v Minister of Home Affairs and Others</w:t>
      </w:r>
      <w:r w:rsidR="004365A7">
        <w:rPr>
          <w:rStyle w:val="FootnoteReference"/>
          <w:sz w:val="28"/>
          <w:szCs w:val="28"/>
          <w:lang w:val="en-US"/>
        </w:rPr>
        <w:footnoteReference w:id="6"/>
      </w:r>
      <w:r w:rsidR="00383E49">
        <w:rPr>
          <w:sz w:val="28"/>
          <w:szCs w:val="28"/>
          <w:lang w:val="en-US"/>
        </w:rPr>
        <w:t>, where it was held:</w:t>
      </w:r>
    </w:p>
    <w:p w14:paraId="25CD8FA6" w14:textId="77777777" w:rsidR="00383E49" w:rsidRPr="00383E49" w:rsidRDefault="00383E49" w:rsidP="00383E49">
      <w:pPr>
        <w:pStyle w:val="ListParagraph"/>
        <w:rPr>
          <w:sz w:val="28"/>
          <w:szCs w:val="28"/>
          <w:lang w:val="en-US"/>
        </w:rPr>
      </w:pPr>
    </w:p>
    <w:p w14:paraId="5305EFCE" w14:textId="66200165" w:rsidR="00383E49" w:rsidRDefault="00383E49" w:rsidP="00383E49">
      <w:pPr>
        <w:pStyle w:val="ListParagraph"/>
        <w:spacing w:line="360" w:lineRule="auto"/>
        <w:ind w:left="1440"/>
        <w:jc w:val="both"/>
        <w:rPr>
          <w:sz w:val="28"/>
          <w:szCs w:val="28"/>
          <w:lang w:val="en-US"/>
        </w:rPr>
      </w:pPr>
      <w:r>
        <w:rPr>
          <w:sz w:val="28"/>
          <w:szCs w:val="28"/>
          <w:lang w:val="en-US"/>
        </w:rPr>
        <w:t>“</w:t>
      </w:r>
      <w:r w:rsidR="00102593" w:rsidRPr="009E64A1">
        <w:rPr>
          <w:i/>
          <w:iCs/>
          <w:sz w:val="28"/>
          <w:szCs w:val="28"/>
          <w:lang w:val="en-US"/>
        </w:rPr>
        <w:t xml:space="preserve">The decision </w:t>
      </w:r>
      <w:r w:rsidR="003B3A5C" w:rsidRPr="009E64A1">
        <w:rPr>
          <w:i/>
          <w:iCs/>
          <w:sz w:val="28"/>
          <w:szCs w:val="28"/>
          <w:lang w:val="en-US"/>
        </w:rPr>
        <w:t xml:space="preserve">to enter into a marriage relationship and to sustain such a relationship is a matter </w:t>
      </w:r>
      <w:r w:rsidR="003C11BF" w:rsidRPr="009E64A1">
        <w:rPr>
          <w:i/>
          <w:iCs/>
          <w:sz w:val="28"/>
          <w:szCs w:val="28"/>
          <w:lang w:val="en-US"/>
        </w:rPr>
        <w:t xml:space="preserve">of defining </w:t>
      </w:r>
      <w:r w:rsidR="00D27E6B" w:rsidRPr="009E64A1">
        <w:rPr>
          <w:i/>
          <w:iCs/>
          <w:sz w:val="28"/>
          <w:szCs w:val="28"/>
          <w:lang w:val="en-US"/>
        </w:rPr>
        <w:t xml:space="preserve">significance </w:t>
      </w:r>
      <w:r w:rsidR="0021788D" w:rsidRPr="009E64A1">
        <w:rPr>
          <w:i/>
          <w:iCs/>
          <w:sz w:val="28"/>
          <w:szCs w:val="28"/>
          <w:lang w:val="en-US"/>
        </w:rPr>
        <w:t xml:space="preserve">for many, if not most, people and to prohibit the establishment </w:t>
      </w:r>
      <w:r w:rsidR="00A100F4" w:rsidRPr="009E64A1">
        <w:rPr>
          <w:i/>
          <w:iCs/>
          <w:sz w:val="28"/>
          <w:szCs w:val="28"/>
          <w:lang w:val="en-US"/>
        </w:rPr>
        <w:t xml:space="preserve">of such a relationship impairs the ability of the individual </w:t>
      </w:r>
      <w:r w:rsidR="00F701A3" w:rsidRPr="009E64A1">
        <w:rPr>
          <w:i/>
          <w:iCs/>
          <w:sz w:val="28"/>
          <w:szCs w:val="28"/>
          <w:lang w:val="en-US"/>
        </w:rPr>
        <w:t xml:space="preserve">to achieve personal fulfillment </w:t>
      </w:r>
      <w:r w:rsidR="00BB53D5" w:rsidRPr="009E64A1">
        <w:rPr>
          <w:i/>
          <w:iCs/>
          <w:sz w:val="28"/>
          <w:szCs w:val="28"/>
          <w:lang w:val="en-US"/>
        </w:rPr>
        <w:t>in an aspect of life that is of central significance</w:t>
      </w:r>
      <w:r w:rsidR="00FB7A72" w:rsidRPr="009E64A1">
        <w:rPr>
          <w:i/>
          <w:iCs/>
          <w:sz w:val="28"/>
          <w:szCs w:val="28"/>
          <w:lang w:val="en-US"/>
        </w:rPr>
        <w:t xml:space="preserve">. In my view, such legislation </w:t>
      </w:r>
      <w:r w:rsidR="00D4054A" w:rsidRPr="009E64A1">
        <w:rPr>
          <w:i/>
          <w:iCs/>
          <w:sz w:val="28"/>
          <w:szCs w:val="28"/>
          <w:lang w:val="en-US"/>
        </w:rPr>
        <w:t>would clearly constitute an infringement of the right to dign</w:t>
      </w:r>
      <w:r w:rsidR="00037C7D" w:rsidRPr="009E64A1">
        <w:rPr>
          <w:i/>
          <w:iCs/>
          <w:sz w:val="28"/>
          <w:szCs w:val="28"/>
          <w:lang w:val="en-US"/>
        </w:rPr>
        <w:t xml:space="preserve">ity. It is not only legislation that prohibits the right </w:t>
      </w:r>
      <w:r w:rsidR="00561E1E" w:rsidRPr="009E64A1">
        <w:rPr>
          <w:i/>
          <w:iCs/>
          <w:sz w:val="28"/>
          <w:szCs w:val="28"/>
          <w:lang w:val="en-US"/>
        </w:rPr>
        <w:lastRenderedPageBreak/>
        <w:t xml:space="preserve">to form a marriage relationship that will constitute an infringement </w:t>
      </w:r>
      <w:r w:rsidR="007A0407" w:rsidRPr="009E64A1">
        <w:rPr>
          <w:i/>
          <w:iCs/>
          <w:sz w:val="28"/>
          <w:szCs w:val="28"/>
          <w:lang w:val="en-US"/>
        </w:rPr>
        <w:t>of the right to dignity, but any legislation</w:t>
      </w:r>
      <w:r w:rsidR="0091320F" w:rsidRPr="009E64A1">
        <w:rPr>
          <w:i/>
          <w:iCs/>
          <w:sz w:val="28"/>
          <w:szCs w:val="28"/>
          <w:lang w:val="en-US"/>
        </w:rPr>
        <w:t xml:space="preserve"> that significantly impairs the ability of spouses </w:t>
      </w:r>
      <w:r w:rsidR="0067682E" w:rsidRPr="009E64A1">
        <w:rPr>
          <w:i/>
          <w:iCs/>
          <w:sz w:val="28"/>
          <w:szCs w:val="28"/>
          <w:lang w:val="en-US"/>
        </w:rPr>
        <w:t xml:space="preserve">to </w:t>
      </w:r>
      <w:proofErr w:type="spellStart"/>
      <w:r w:rsidR="0067682E" w:rsidRPr="009E64A1">
        <w:rPr>
          <w:i/>
          <w:iCs/>
          <w:sz w:val="28"/>
          <w:szCs w:val="28"/>
          <w:lang w:val="en-US"/>
        </w:rPr>
        <w:t>honour</w:t>
      </w:r>
      <w:proofErr w:type="spellEnd"/>
      <w:r w:rsidR="0067682E" w:rsidRPr="009E64A1">
        <w:rPr>
          <w:i/>
          <w:iCs/>
          <w:sz w:val="28"/>
          <w:szCs w:val="28"/>
          <w:lang w:val="en-US"/>
        </w:rPr>
        <w:t xml:space="preserve"> their obligations to one another would also limit that right. </w:t>
      </w:r>
      <w:r w:rsidR="005211B8" w:rsidRPr="009E64A1">
        <w:rPr>
          <w:i/>
          <w:iCs/>
          <w:sz w:val="28"/>
          <w:szCs w:val="28"/>
          <w:lang w:val="en-US"/>
        </w:rPr>
        <w:t>A central aspect of marriage is cohabitation</w:t>
      </w:r>
      <w:r w:rsidR="00B36313" w:rsidRPr="009E64A1">
        <w:rPr>
          <w:i/>
          <w:iCs/>
          <w:sz w:val="28"/>
          <w:szCs w:val="28"/>
          <w:lang w:val="en-US"/>
        </w:rPr>
        <w:t xml:space="preserve">, the right (and duty) to live together, </w:t>
      </w:r>
      <w:r w:rsidR="009363C0" w:rsidRPr="009E64A1">
        <w:rPr>
          <w:i/>
          <w:iCs/>
          <w:sz w:val="28"/>
          <w:szCs w:val="28"/>
          <w:lang w:val="en-US"/>
        </w:rPr>
        <w:t xml:space="preserve">and legislation that significantly impairs the ability of spouses </w:t>
      </w:r>
      <w:r w:rsidR="00BE4C90" w:rsidRPr="009E64A1">
        <w:rPr>
          <w:i/>
          <w:iCs/>
          <w:sz w:val="28"/>
          <w:szCs w:val="28"/>
          <w:lang w:val="en-US"/>
        </w:rPr>
        <w:t xml:space="preserve">to </w:t>
      </w:r>
      <w:proofErr w:type="spellStart"/>
      <w:r w:rsidR="00BE4C90" w:rsidRPr="009E64A1">
        <w:rPr>
          <w:i/>
          <w:iCs/>
          <w:sz w:val="28"/>
          <w:szCs w:val="28"/>
          <w:lang w:val="en-US"/>
        </w:rPr>
        <w:t>honour</w:t>
      </w:r>
      <w:proofErr w:type="spellEnd"/>
      <w:r w:rsidR="00BE4C90" w:rsidRPr="009E64A1">
        <w:rPr>
          <w:i/>
          <w:iCs/>
          <w:sz w:val="28"/>
          <w:szCs w:val="28"/>
          <w:lang w:val="en-US"/>
        </w:rPr>
        <w:t xml:space="preserve"> that obligation would also constitute a limitation of the right </w:t>
      </w:r>
      <w:r w:rsidR="009E64A1" w:rsidRPr="009E64A1">
        <w:rPr>
          <w:i/>
          <w:iCs/>
          <w:sz w:val="28"/>
          <w:szCs w:val="28"/>
          <w:lang w:val="en-US"/>
        </w:rPr>
        <w:t>to dignity</w:t>
      </w:r>
      <w:r w:rsidR="009E64A1">
        <w:rPr>
          <w:sz w:val="28"/>
          <w:szCs w:val="28"/>
          <w:lang w:val="en-US"/>
        </w:rPr>
        <w:t>.”</w:t>
      </w:r>
    </w:p>
    <w:p w14:paraId="74E2600C" w14:textId="2B8B9CD4" w:rsidR="00B21C64" w:rsidRDefault="00B21C64" w:rsidP="00383E49">
      <w:pPr>
        <w:pStyle w:val="ListParagraph"/>
        <w:spacing w:line="360" w:lineRule="auto"/>
        <w:ind w:left="1440"/>
        <w:jc w:val="both"/>
        <w:rPr>
          <w:sz w:val="28"/>
          <w:szCs w:val="28"/>
          <w:lang w:val="en-US"/>
        </w:rPr>
      </w:pPr>
    </w:p>
    <w:p w14:paraId="260C3D38" w14:textId="4106065E" w:rsidR="00B21C64" w:rsidRDefault="00B21C64">
      <w:pPr>
        <w:pStyle w:val="ListParagraph"/>
        <w:spacing w:line="360" w:lineRule="auto"/>
        <w:jc w:val="both"/>
        <w:rPr>
          <w:sz w:val="28"/>
          <w:szCs w:val="28"/>
          <w:lang w:val="en-US"/>
        </w:rPr>
      </w:pPr>
      <w:r>
        <w:rPr>
          <w:sz w:val="28"/>
          <w:szCs w:val="28"/>
          <w:lang w:val="en-US"/>
        </w:rPr>
        <w:t xml:space="preserve">I pause </w:t>
      </w:r>
      <w:r w:rsidR="00670941">
        <w:rPr>
          <w:sz w:val="28"/>
          <w:szCs w:val="28"/>
          <w:lang w:val="en-US"/>
        </w:rPr>
        <w:t>t</w:t>
      </w:r>
      <w:r>
        <w:rPr>
          <w:sz w:val="28"/>
          <w:szCs w:val="28"/>
          <w:lang w:val="en-US"/>
        </w:rPr>
        <w:t xml:space="preserve">o mention that the applicant’s </w:t>
      </w:r>
      <w:r w:rsidR="00134294">
        <w:rPr>
          <w:sz w:val="28"/>
          <w:szCs w:val="28"/>
          <w:lang w:val="en-US"/>
        </w:rPr>
        <w:t xml:space="preserve">life partner </w:t>
      </w:r>
      <w:r w:rsidR="002558C9">
        <w:rPr>
          <w:sz w:val="28"/>
          <w:szCs w:val="28"/>
          <w:lang w:val="en-US"/>
        </w:rPr>
        <w:t>deposed to an affidavit in support of her appeal</w:t>
      </w:r>
      <w:r w:rsidR="005D4688">
        <w:rPr>
          <w:sz w:val="28"/>
          <w:szCs w:val="28"/>
          <w:lang w:val="en-US"/>
        </w:rPr>
        <w:t xml:space="preserve">, wherein he also stated he and the applicant intended </w:t>
      </w:r>
      <w:r w:rsidR="003C13D4">
        <w:rPr>
          <w:sz w:val="28"/>
          <w:szCs w:val="28"/>
          <w:lang w:val="en-US"/>
        </w:rPr>
        <w:t xml:space="preserve">to enter into </w:t>
      </w:r>
      <w:r w:rsidR="00091C6A">
        <w:rPr>
          <w:sz w:val="28"/>
          <w:szCs w:val="28"/>
          <w:lang w:val="en-US"/>
        </w:rPr>
        <w:t xml:space="preserve">an African customary </w:t>
      </w:r>
      <w:r w:rsidR="00670941">
        <w:rPr>
          <w:sz w:val="28"/>
          <w:szCs w:val="28"/>
          <w:lang w:val="en-US"/>
        </w:rPr>
        <w:t>law</w:t>
      </w:r>
      <w:r w:rsidR="00612194">
        <w:rPr>
          <w:sz w:val="28"/>
          <w:szCs w:val="28"/>
          <w:lang w:val="en-US"/>
        </w:rPr>
        <w:t xml:space="preserve"> </w:t>
      </w:r>
      <w:r w:rsidR="00091C6A">
        <w:rPr>
          <w:sz w:val="28"/>
          <w:szCs w:val="28"/>
          <w:lang w:val="en-US"/>
        </w:rPr>
        <w:t xml:space="preserve">marriage as well as </w:t>
      </w:r>
      <w:r w:rsidR="006F28C1">
        <w:rPr>
          <w:sz w:val="28"/>
          <w:szCs w:val="28"/>
          <w:lang w:val="en-US"/>
        </w:rPr>
        <w:t>a</w:t>
      </w:r>
      <w:r w:rsidR="004959BB">
        <w:rPr>
          <w:sz w:val="28"/>
          <w:szCs w:val="28"/>
          <w:lang w:val="en-US"/>
        </w:rPr>
        <w:t xml:space="preserve"> “</w:t>
      </w:r>
      <w:r w:rsidR="004959BB" w:rsidRPr="00073B5D">
        <w:rPr>
          <w:i/>
          <w:iCs/>
          <w:sz w:val="28"/>
          <w:szCs w:val="28"/>
          <w:lang w:val="en-US"/>
        </w:rPr>
        <w:t>Western civil union marriage</w:t>
      </w:r>
      <w:r w:rsidR="004959BB">
        <w:rPr>
          <w:sz w:val="28"/>
          <w:szCs w:val="28"/>
          <w:lang w:val="en-US"/>
        </w:rPr>
        <w:t xml:space="preserve">”, </w:t>
      </w:r>
      <w:r w:rsidR="00B062A3">
        <w:rPr>
          <w:sz w:val="28"/>
          <w:szCs w:val="28"/>
          <w:lang w:val="en-US"/>
        </w:rPr>
        <w:t xml:space="preserve">but the current </w:t>
      </w:r>
      <w:r w:rsidR="006F28C1">
        <w:rPr>
          <w:sz w:val="28"/>
          <w:szCs w:val="28"/>
          <w:lang w:val="en-US"/>
        </w:rPr>
        <w:t>predicament</w:t>
      </w:r>
      <w:r w:rsidR="00B062A3">
        <w:rPr>
          <w:sz w:val="28"/>
          <w:szCs w:val="28"/>
          <w:lang w:val="en-US"/>
        </w:rPr>
        <w:t xml:space="preserve"> with the applicant’s visa made it difficult for </w:t>
      </w:r>
      <w:r w:rsidR="00612194">
        <w:rPr>
          <w:sz w:val="28"/>
          <w:szCs w:val="28"/>
          <w:lang w:val="en-US"/>
        </w:rPr>
        <w:t>them</w:t>
      </w:r>
      <w:r w:rsidR="00B062A3">
        <w:rPr>
          <w:sz w:val="28"/>
          <w:szCs w:val="28"/>
          <w:lang w:val="en-US"/>
        </w:rPr>
        <w:t xml:space="preserve"> </w:t>
      </w:r>
      <w:r w:rsidR="00CA0EA5">
        <w:rPr>
          <w:sz w:val="28"/>
          <w:szCs w:val="28"/>
          <w:lang w:val="en-US"/>
        </w:rPr>
        <w:t xml:space="preserve">to travel to Uganda </w:t>
      </w:r>
      <w:r w:rsidR="00670941">
        <w:rPr>
          <w:sz w:val="28"/>
          <w:szCs w:val="28"/>
          <w:lang w:val="en-US"/>
        </w:rPr>
        <w:t xml:space="preserve">to conclude </w:t>
      </w:r>
      <w:proofErr w:type="spellStart"/>
      <w:r w:rsidR="00670941">
        <w:rPr>
          <w:sz w:val="28"/>
          <w:szCs w:val="28"/>
          <w:lang w:val="en-US"/>
        </w:rPr>
        <w:t>Lobola</w:t>
      </w:r>
      <w:proofErr w:type="spellEnd"/>
      <w:r w:rsidR="00670941">
        <w:rPr>
          <w:sz w:val="28"/>
          <w:szCs w:val="28"/>
          <w:lang w:val="en-US"/>
        </w:rPr>
        <w:t xml:space="preserve"> negotiations.</w:t>
      </w:r>
    </w:p>
    <w:p w14:paraId="665B2C4E" w14:textId="77777777" w:rsidR="00383E49" w:rsidRPr="00383E49" w:rsidRDefault="00383E49" w:rsidP="00383E49">
      <w:pPr>
        <w:pStyle w:val="ListParagraph"/>
        <w:rPr>
          <w:sz w:val="28"/>
          <w:szCs w:val="28"/>
          <w:lang w:val="en-US"/>
        </w:rPr>
      </w:pPr>
    </w:p>
    <w:p w14:paraId="794EFD5F" w14:textId="58823A8D" w:rsidR="00383E49" w:rsidRDefault="00C60744" w:rsidP="002A1119">
      <w:pPr>
        <w:pStyle w:val="ListParagraph"/>
        <w:numPr>
          <w:ilvl w:val="0"/>
          <w:numId w:val="1"/>
        </w:numPr>
        <w:spacing w:line="360" w:lineRule="auto"/>
        <w:ind w:left="142" w:firstLine="0"/>
        <w:jc w:val="both"/>
        <w:rPr>
          <w:sz w:val="28"/>
          <w:szCs w:val="28"/>
          <w:lang w:val="en-US"/>
        </w:rPr>
      </w:pPr>
      <w:r>
        <w:rPr>
          <w:sz w:val="28"/>
          <w:szCs w:val="28"/>
          <w:lang w:val="en-US"/>
        </w:rPr>
        <w:t xml:space="preserve">In </w:t>
      </w:r>
      <w:proofErr w:type="spellStart"/>
      <w:r w:rsidR="00027006" w:rsidRPr="00531578">
        <w:rPr>
          <w:b/>
          <w:bCs/>
          <w:sz w:val="28"/>
          <w:szCs w:val="28"/>
          <w:lang w:val="en-US"/>
        </w:rPr>
        <w:t>Littlewood</w:t>
      </w:r>
      <w:proofErr w:type="spellEnd"/>
      <w:r w:rsidR="00027006" w:rsidRPr="00531578">
        <w:rPr>
          <w:b/>
          <w:bCs/>
          <w:sz w:val="28"/>
          <w:szCs w:val="28"/>
          <w:lang w:val="en-US"/>
        </w:rPr>
        <w:t xml:space="preserve"> and Others v Minister of Home Affairs and Another</w:t>
      </w:r>
      <w:r w:rsidR="00531578">
        <w:rPr>
          <w:rStyle w:val="FootnoteReference"/>
          <w:b/>
          <w:bCs/>
          <w:sz w:val="28"/>
          <w:szCs w:val="28"/>
          <w:lang w:val="en-US"/>
        </w:rPr>
        <w:footnoteReference w:id="7"/>
      </w:r>
      <w:r w:rsidR="00027006" w:rsidRPr="00531578">
        <w:rPr>
          <w:b/>
          <w:bCs/>
          <w:sz w:val="28"/>
          <w:szCs w:val="28"/>
          <w:lang w:val="en-US"/>
        </w:rPr>
        <w:t xml:space="preserve"> </w:t>
      </w:r>
      <w:r w:rsidR="00656636">
        <w:rPr>
          <w:sz w:val="28"/>
          <w:szCs w:val="28"/>
          <w:lang w:val="en-US"/>
        </w:rPr>
        <w:t xml:space="preserve">The Supreme Court of Appeal had the </w:t>
      </w:r>
      <w:r w:rsidR="006D5FD3">
        <w:rPr>
          <w:sz w:val="28"/>
          <w:szCs w:val="28"/>
          <w:lang w:val="en-US"/>
        </w:rPr>
        <w:t>opportunity</w:t>
      </w:r>
      <w:r w:rsidR="00656636">
        <w:rPr>
          <w:sz w:val="28"/>
          <w:szCs w:val="28"/>
          <w:lang w:val="en-US"/>
        </w:rPr>
        <w:t xml:space="preserve"> to consider </w:t>
      </w:r>
      <w:r w:rsidR="003E3D97">
        <w:rPr>
          <w:sz w:val="28"/>
          <w:szCs w:val="28"/>
          <w:lang w:val="en-US"/>
        </w:rPr>
        <w:t xml:space="preserve">whether the Minister </w:t>
      </w:r>
      <w:r w:rsidR="008424CA">
        <w:rPr>
          <w:sz w:val="28"/>
          <w:szCs w:val="28"/>
          <w:lang w:val="en-US"/>
        </w:rPr>
        <w:t xml:space="preserve">exercised his discretion correctly </w:t>
      </w:r>
      <w:r w:rsidR="00220F65">
        <w:rPr>
          <w:sz w:val="28"/>
          <w:szCs w:val="28"/>
          <w:lang w:val="en-US"/>
        </w:rPr>
        <w:t>i</w:t>
      </w:r>
      <w:r w:rsidR="00B8599E">
        <w:rPr>
          <w:sz w:val="28"/>
          <w:szCs w:val="28"/>
          <w:lang w:val="en-US"/>
        </w:rPr>
        <w:t>n terms of section 28(2)</w:t>
      </w:r>
      <w:r w:rsidR="00A26E84">
        <w:rPr>
          <w:sz w:val="28"/>
          <w:szCs w:val="28"/>
          <w:lang w:val="en-US"/>
        </w:rPr>
        <w:t xml:space="preserve"> </w:t>
      </w:r>
      <w:r w:rsidR="00B47053">
        <w:rPr>
          <w:sz w:val="28"/>
          <w:szCs w:val="28"/>
          <w:lang w:val="en-US"/>
        </w:rPr>
        <w:t xml:space="preserve">of the Aliens Control Act 96 of 1991, </w:t>
      </w:r>
      <w:r w:rsidR="00A26E84">
        <w:rPr>
          <w:sz w:val="28"/>
          <w:szCs w:val="28"/>
          <w:lang w:val="en-US"/>
        </w:rPr>
        <w:t xml:space="preserve">which </w:t>
      </w:r>
      <w:proofErr w:type="spellStart"/>
      <w:r w:rsidR="00220F65">
        <w:rPr>
          <w:sz w:val="28"/>
          <w:szCs w:val="28"/>
          <w:lang w:val="en-US"/>
        </w:rPr>
        <w:t>authorised</w:t>
      </w:r>
      <w:proofErr w:type="spellEnd"/>
      <w:r w:rsidR="00220F65">
        <w:rPr>
          <w:sz w:val="28"/>
          <w:szCs w:val="28"/>
          <w:lang w:val="en-US"/>
        </w:rPr>
        <w:t xml:space="preserve"> </w:t>
      </w:r>
      <w:r w:rsidR="00B47053">
        <w:rPr>
          <w:sz w:val="28"/>
          <w:szCs w:val="28"/>
          <w:lang w:val="en-US"/>
        </w:rPr>
        <w:t xml:space="preserve">the Minster </w:t>
      </w:r>
      <w:r w:rsidR="00EA75D2">
        <w:rPr>
          <w:sz w:val="28"/>
          <w:szCs w:val="28"/>
          <w:lang w:val="en-US"/>
        </w:rPr>
        <w:t xml:space="preserve">to exempt </w:t>
      </w:r>
      <w:r w:rsidR="00D1341A">
        <w:rPr>
          <w:sz w:val="28"/>
          <w:szCs w:val="28"/>
          <w:lang w:val="en-US"/>
        </w:rPr>
        <w:t xml:space="preserve">any person </w:t>
      </w:r>
      <w:r w:rsidR="006D5FD3">
        <w:rPr>
          <w:sz w:val="28"/>
          <w:szCs w:val="28"/>
          <w:lang w:val="en-US"/>
        </w:rPr>
        <w:t>who would otherwise be subject</w:t>
      </w:r>
      <w:r w:rsidR="00D1341A">
        <w:rPr>
          <w:sz w:val="28"/>
          <w:szCs w:val="28"/>
          <w:lang w:val="en-US"/>
        </w:rPr>
        <w:t xml:space="preserve"> to deport</w:t>
      </w:r>
      <w:r w:rsidR="006D5FD3">
        <w:rPr>
          <w:sz w:val="28"/>
          <w:szCs w:val="28"/>
          <w:lang w:val="en-US"/>
        </w:rPr>
        <w:t>ation</w:t>
      </w:r>
      <w:r w:rsidR="00D1341A">
        <w:rPr>
          <w:sz w:val="28"/>
          <w:szCs w:val="28"/>
          <w:lang w:val="en-US"/>
        </w:rPr>
        <w:t xml:space="preserve"> under section 23 of that Act for failure </w:t>
      </w:r>
      <w:r w:rsidR="00E92C37">
        <w:rPr>
          <w:sz w:val="28"/>
          <w:szCs w:val="28"/>
          <w:lang w:val="en-US"/>
        </w:rPr>
        <w:t xml:space="preserve">to be in </w:t>
      </w:r>
      <w:r w:rsidR="006D5FD3">
        <w:rPr>
          <w:sz w:val="28"/>
          <w:szCs w:val="28"/>
          <w:lang w:val="en-US"/>
        </w:rPr>
        <w:t>possession</w:t>
      </w:r>
      <w:r w:rsidR="00E92C37">
        <w:rPr>
          <w:sz w:val="28"/>
          <w:szCs w:val="28"/>
          <w:lang w:val="en-US"/>
        </w:rPr>
        <w:t xml:space="preserve"> of valid </w:t>
      </w:r>
      <w:r w:rsidR="006A7D84">
        <w:rPr>
          <w:sz w:val="28"/>
          <w:szCs w:val="28"/>
          <w:lang w:val="en-US"/>
        </w:rPr>
        <w:t>permits</w:t>
      </w:r>
      <w:r w:rsidR="00372273">
        <w:rPr>
          <w:sz w:val="28"/>
          <w:szCs w:val="28"/>
          <w:lang w:val="en-US"/>
        </w:rPr>
        <w:t>, if the Minister was satisfied that there were “special circumstances”</w:t>
      </w:r>
      <w:r w:rsidR="00531578">
        <w:rPr>
          <w:sz w:val="28"/>
          <w:szCs w:val="28"/>
          <w:lang w:val="en-US"/>
        </w:rPr>
        <w:t xml:space="preserve"> which justified his or her decision.</w:t>
      </w:r>
      <w:r w:rsidR="00D91743">
        <w:rPr>
          <w:sz w:val="28"/>
          <w:szCs w:val="28"/>
          <w:lang w:val="en-US"/>
        </w:rPr>
        <w:t xml:space="preserve"> The Littlewoods </w:t>
      </w:r>
      <w:r w:rsidR="00E81B44">
        <w:rPr>
          <w:sz w:val="28"/>
          <w:szCs w:val="28"/>
          <w:lang w:val="en-US"/>
        </w:rPr>
        <w:t xml:space="preserve">had applied for exemption under section 28(2) and proffered the circumstances </w:t>
      </w:r>
      <w:r w:rsidR="008545E1">
        <w:rPr>
          <w:sz w:val="28"/>
          <w:szCs w:val="28"/>
          <w:lang w:val="en-US"/>
        </w:rPr>
        <w:t xml:space="preserve">which led to them being in possession of invalid permits, which according to them, was due to no fault of their own. </w:t>
      </w:r>
    </w:p>
    <w:p w14:paraId="1CB8C89B" w14:textId="77777777" w:rsidR="00383E49" w:rsidRPr="00383E49" w:rsidRDefault="00383E49" w:rsidP="00383E49">
      <w:pPr>
        <w:pStyle w:val="ListParagraph"/>
        <w:rPr>
          <w:sz w:val="28"/>
          <w:szCs w:val="28"/>
          <w:lang w:val="en-US"/>
        </w:rPr>
      </w:pPr>
    </w:p>
    <w:p w14:paraId="03CE4EFC" w14:textId="327884A7" w:rsidR="00383E49" w:rsidRDefault="007E0824" w:rsidP="002A1119">
      <w:pPr>
        <w:pStyle w:val="ListParagraph"/>
        <w:numPr>
          <w:ilvl w:val="0"/>
          <w:numId w:val="1"/>
        </w:numPr>
        <w:spacing w:line="360" w:lineRule="auto"/>
        <w:ind w:left="0" w:firstLine="0"/>
        <w:jc w:val="both"/>
        <w:rPr>
          <w:sz w:val="28"/>
          <w:szCs w:val="28"/>
          <w:lang w:val="en-US"/>
        </w:rPr>
      </w:pPr>
      <w:r>
        <w:rPr>
          <w:sz w:val="28"/>
          <w:szCs w:val="28"/>
          <w:lang w:val="en-US"/>
        </w:rPr>
        <w:lastRenderedPageBreak/>
        <w:t xml:space="preserve">The Minister </w:t>
      </w:r>
      <w:r w:rsidR="00106894">
        <w:rPr>
          <w:sz w:val="28"/>
          <w:szCs w:val="28"/>
          <w:lang w:val="en-US"/>
        </w:rPr>
        <w:t xml:space="preserve">declined to exercise his discretion in </w:t>
      </w:r>
      <w:proofErr w:type="spellStart"/>
      <w:r w:rsidR="00106894">
        <w:rPr>
          <w:sz w:val="28"/>
          <w:szCs w:val="28"/>
          <w:lang w:val="en-US"/>
        </w:rPr>
        <w:t>favour</w:t>
      </w:r>
      <w:proofErr w:type="spellEnd"/>
      <w:r w:rsidR="00106894">
        <w:rPr>
          <w:sz w:val="28"/>
          <w:szCs w:val="28"/>
          <w:lang w:val="en-US"/>
        </w:rPr>
        <w:t xml:space="preserve"> of the Littlewoods and recorded his reasons to their attorney, </w:t>
      </w:r>
      <w:r w:rsidR="00FF6AF2">
        <w:rPr>
          <w:sz w:val="28"/>
          <w:szCs w:val="28"/>
          <w:lang w:val="en-US"/>
        </w:rPr>
        <w:t xml:space="preserve">pointing </w:t>
      </w:r>
      <w:r w:rsidR="00106894">
        <w:rPr>
          <w:sz w:val="28"/>
          <w:szCs w:val="28"/>
          <w:lang w:val="en-US"/>
        </w:rPr>
        <w:t xml:space="preserve">out that </w:t>
      </w:r>
      <w:r w:rsidR="00384805">
        <w:rPr>
          <w:sz w:val="28"/>
          <w:szCs w:val="28"/>
          <w:lang w:val="en-US"/>
        </w:rPr>
        <w:t>“</w:t>
      </w:r>
      <w:r w:rsidR="006872DE" w:rsidRPr="00384805">
        <w:rPr>
          <w:i/>
          <w:iCs/>
          <w:sz w:val="28"/>
          <w:szCs w:val="28"/>
          <w:lang w:val="en-US"/>
        </w:rPr>
        <w:t xml:space="preserve">possession of a fraudulent permit was a serious offence and that it was the responsibility </w:t>
      </w:r>
      <w:r w:rsidR="005402D7" w:rsidRPr="00384805">
        <w:rPr>
          <w:i/>
          <w:iCs/>
          <w:sz w:val="28"/>
          <w:szCs w:val="28"/>
          <w:lang w:val="en-US"/>
        </w:rPr>
        <w:t>of a visitor to this country to adhere to the law</w:t>
      </w:r>
      <w:r w:rsidR="00384805">
        <w:rPr>
          <w:sz w:val="28"/>
          <w:szCs w:val="28"/>
          <w:lang w:val="en-US"/>
        </w:rPr>
        <w:t>”</w:t>
      </w:r>
      <w:r w:rsidR="005402D7">
        <w:rPr>
          <w:sz w:val="28"/>
          <w:szCs w:val="28"/>
          <w:lang w:val="en-US"/>
        </w:rPr>
        <w:t xml:space="preserve">. </w:t>
      </w:r>
      <w:r w:rsidR="00042167">
        <w:rPr>
          <w:sz w:val="28"/>
          <w:szCs w:val="28"/>
          <w:lang w:val="en-US"/>
        </w:rPr>
        <w:t>The letter continued</w:t>
      </w:r>
      <w:r w:rsidR="007B6BE1">
        <w:rPr>
          <w:sz w:val="28"/>
          <w:szCs w:val="28"/>
          <w:lang w:val="en-US"/>
        </w:rPr>
        <w:t xml:space="preserve">: </w:t>
      </w:r>
    </w:p>
    <w:p w14:paraId="0F2B2A68" w14:textId="77777777" w:rsidR="007B6BE1" w:rsidRPr="007B6BE1" w:rsidRDefault="007B6BE1" w:rsidP="007B6BE1">
      <w:pPr>
        <w:pStyle w:val="ListParagraph"/>
        <w:rPr>
          <w:sz w:val="28"/>
          <w:szCs w:val="28"/>
          <w:lang w:val="en-US"/>
        </w:rPr>
      </w:pPr>
    </w:p>
    <w:p w14:paraId="421180F5" w14:textId="39EE8BA9" w:rsidR="007B6BE1" w:rsidRPr="007B6BE1" w:rsidRDefault="007B6BE1" w:rsidP="007B6BE1">
      <w:pPr>
        <w:pStyle w:val="ListParagraph"/>
        <w:spacing w:line="360" w:lineRule="auto"/>
        <w:ind w:left="1440"/>
        <w:jc w:val="both"/>
        <w:rPr>
          <w:rFonts w:cstheme="minorHAnsi"/>
          <w:sz w:val="28"/>
          <w:szCs w:val="28"/>
          <w:lang w:val="en-US"/>
        </w:rPr>
      </w:pPr>
      <w:r>
        <w:rPr>
          <w:rFonts w:eastAsia="Times New Roman" w:cstheme="minorHAnsi"/>
          <w:sz w:val="28"/>
          <w:szCs w:val="28"/>
          <w:lang w:eastAsia="en-ZA"/>
        </w:rPr>
        <w:t>“</w:t>
      </w:r>
      <w:r w:rsidRPr="007B6BE1">
        <w:rPr>
          <w:rFonts w:eastAsia="Times New Roman" w:cstheme="minorHAnsi"/>
          <w:i/>
          <w:iCs/>
          <w:sz w:val="28"/>
          <w:szCs w:val="28"/>
          <w:lang w:eastAsia="en-ZA"/>
        </w:rPr>
        <w:t>The Department of Home Affairs also cannot be held responsible for actions between private individuals, which has now resulted in the predicament in which your client finds himself</w:t>
      </w:r>
      <w:r>
        <w:rPr>
          <w:rFonts w:eastAsia="Times New Roman" w:cstheme="minorHAnsi"/>
          <w:sz w:val="28"/>
          <w:szCs w:val="28"/>
          <w:lang w:eastAsia="en-ZA"/>
        </w:rPr>
        <w:t>.”</w:t>
      </w:r>
    </w:p>
    <w:p w14:paraId="160111B8" w14:textId="2ADED203" w:rsidR="007B6BE1" w:rsidRDefault="007B6BE1" w:rsidP="00E32FC4">
      <w:pPr>
        <w:pStyle w:val="ListParagraph"/>
        <w:spacing w:line="360" w:lineRule="auto"/>
        <w:ind w:left="360"/>
        <w:jc w:val="both"/>
        <w:rPr>
          <w:sz w:val="28"/>
          <w:szCs w:val="28"/>
          <w:lang w:val="en-US"/>
        </w:rPr>
      </w:pPr>
    </w:p>
    <w:p w14:paraId="42BE7A0F" w14:textId="3AA03C1E" w:rsidR="00CB3D9B" w:rsidRDefault="00440F16" w:rsidP="00F67B74">
      <w:pPr>
        <w:pStyle w:val="ListParagraph"/>
        <w:numPr>
          <w:ilvl w:val="0"/>
          <w:numId w:val="1"/>
        </w:numPr>
        <w:spacing w:line="360" w:lineRule="auto"/>
        <w:jc w:val="both"/>
        <w:rPr>
          <w:sz w:val="28"/>
          <w:szCs w:val="28"/>
          <w:lang w:val="en-US"/>
        </w:rPr>
      </w:pPr>
      <w:r>
        <w:rPr>
          <w:sz w:val="28"/>
          <w:szCs w:val="28"/>
          <w:lang w:val="en-US"/>
        </w:rPr>
        <w:t>In respect of the Minister’s letter, t</w:t>
      </w:r>
      <w:r w:rsidR="002E207E">
        <w:rPr>
          <w:sz w:val="28"/>
          <w:szCs w:val="28"/>
          <w:lang w:val="en-US"/>
        </w:rPr>
        <w:t>he SCA held</w:t>
      </w:r>
      <w:r w:rsidR="0087250F">
        <w:rPr>
          <w:sz w:val="28"/>
          <w:szCs w:val="28"/>
          <w:lang w:val="en-US"/>
        </w:rPr>
        <w:t xml:space="preserve"> as follows</w:t>
      </w:r>
      <w:r w:rsidR="003E2BE4">
        <w:rPr>
          <w:rStyle w:val="FootnoteReference"/>
          <w:sz w:val="28"/>
          <w:szCs w:val="28"/>
          <w:lang w:val="en-US"/>
        </w:rPr>
        <w:footnoteReference w:id="8"/>
      </w:r>
      <w:r w:rsidR="00CB3D9B">
        <w:rPr>
          <w:sz w:val="28"/>
          <w:szCs w:val="28"/>
          <w:lang w:val="en-US"/>
        </w:rPr>
        <w:t>:</w:t>
      </w:r>
    </w:p>
    <w:p w14:paraId="3CB2D2FE" w14:textId="77777777" w:rsidR="00CB3D9B" w:rsidRDefault="00CB3D9B" w:rsidP="00CB3D9B">
      <w:pPr>
        <w:pStyle w:val="ListParagraph"/>
        <w:spacing w:line="360" w:lineRule="auto"/>
        <w:ind w:left="360"/>
        <w:jc w:val="both"/>
        <w:rPr>
          <w:sz w:val="28"/>
          <w:szCs w:val="28"/>
          <w:lang w:val="en-US"/>
        </w:rPr>
      </w:pPr>
    </w:p>
    <w:p w14:paraId="7B56946E" w14:textId="0D39D412" w:rsidR="00E32FC4" w:rsidRPr="00771FD0" w:rsidRDefault="003E2BE4" w:rsidP="00CB3D9B">
      <w:pPr>
        <w:pStyle w:val="ListParagraph"/>
        <w:spacing w:line="360" w:lineRule="auto"/>
        <w:ind w:left="1440"/>
        <w:jc w:val="both"/>
        <w:rPr>
          <w:rFonts w:cstheme="minorHAnsi"/>
          <w:sz w:val="28"/>
          <w:szCs w:val="28"/>
          <w:lang w:val="en-US"/>
        </w:rPr>
      </w:pPr>
      <w:r w:rsidRPr="00771FD0">
        <w:rPr>
          <w:rFonts w:cstheme="minorHAnsi"/>
          <w:i/>
          <w:iCs/>
          <w:sz w:val="28"/>
          <w:szCs w:val="28"/>
          <w:lang w:val="en-US"/>
        </w:rPr>
        <w:t xml:space="preserve"> </w:t>
      </w:r>
      <w:r w:rsidR="00CB3D9B" w:rsidRPr="00771FD0">
        <w:rPr>
          <w:rFonts w:cstheme="minorHAnsi"/>
          <w:sz w:val="28"/>
          <w:szCs w:val="28"/>
          <w:lang w:val="en-US"/>
        </w:rPr>
        <w:t>“</w:t>
      </w:r>
      <w:r w:rsidR="00CB3D9B" w:rsidRPr="00771FD0">
        <w:rPr>
          <w:rFonts w:eastAsia="Times New Roman" w:cstheme="minorHAnsi"/>
          <w:i/>
          <w:iCs/>
          <w:sz w:val="28"/>
          <w:szCs w:val="28"/>
          <w:lang w:eastAsia="en-ZA"/>
        </w:rPr>
        <w:t xml:space="preserve">First, there is no suggestion in his letter that the Littlewoods’ explanation for their presence in South Africa was false and that their application was turned down on those grounds. (A false explanation might, by itself, have justified a refusal, but the veracity of the explanation is not material to this appeal.) Secondly, it is apparent from the passage from the letter that I have quoted that the explanation was not weighed at all before the application was turned down. The application was turned down for no reason but that the Department of Home Affairs saw the possession of a fraudulent permit as a serious offence that had caused a predicament for which it was not responsible. But that begs the question whether the circumstances that had arisen – albeit that it was not attributable to fault on the part of the department – constituted ‘special circumstances’ justifying the granting of an </w:t>
      </w:r>
      <w:r w:rsidR="00CB3D9B" w:rsidRPr="00771FD0">
        <w:rPr>
          <w:rFonts w:eastAsia="Times New Roman" w:cstheme="minorHAnsi"/>
          <w:i/>
          <w:iCs/>
          <w:sz w:val="28"/>
          <w:szCs w:val="28"/>
          <w:lang w:eastAsia="en-ZA"/>
        </w:rPr>
        <w:lastRenderedPageBreak/>
        <w:t>exemption. It is apparent from the reasons advanced in the letter that the Minister – on the advice of his officials – failed to apply his mind to that question at all. (The departmental memorandum that accompanied the recommendation to the Minister, and the affidavits that have been filed in these proceedings, take the matter no further.)</w:t>
      </w:r>
      <w:r w:rsidR="00CB3D9B" w:rsidRPr="00771FD0">
        <w:rPr>
          <w:rFonts w:eastAsia="Times New Roman" w:cstheme="minorHAnsi"/>
          <w:sz w:val="28"/>
          <w:szCs w:val="28"/>
          <w:lang w:eastAsia="en-ZA"/>
        </w:rPr>
        <w:t>”</w:t>
      </w:r>
    </w:p>
    <w:p w14:paraId="161821A7" w14:textId="77777777" w:rsidR="007B6BE1" w:rsidRPr="007B6BE1" w:rsidRDefault="007B6BE1" w:rsidP="007B6BE1">
      <w:pPr>
        <w:pStyle w:val="ListParagraph"/>
        <w:rPr>
          <w:sz w:val="28"/>
          <w:szCs w:val="28"/>
          <w:lang w:val="en-US"/>
        </w:rPr>
      </w:pPr>
    </w:p>
    <w:p w14:paraId="17E70E31" w14:textId="6D104B21" w:rsidR="007B6BE1" w:rsidRDefault="00B1483E" w:rsidP="00F67B74">
      <w:pPr>
        <w:pStyle w:val="ListParagraph"/>
        <w:numPr>
          <w:ilvl w:val="0"/>
          <w:numId w:val="1"/>
        </w:numPr>
        <w:spacing w:line="360" w:lineRule="auto"/>
        <w:jc w:val="both"/>
        <w:rPr>
          <w:sz w:val="28"/>
          <w:szCs w:val="28"/>
          <w:lang w:val="en-US"/>
        </w:rPr>
      </w:pPr>
      <w:r>
        <w:rPr>
          <w:sz w:val="28"/>
          <w:szCs w:val="28"/>
          <w:lang w:val="en-US"/>
        </w:rPr>
        <w:t>The SCA further held</w:t>
      </w:r>
      <w:r w:rsidR="000E626B">
        <w:rPr>
          <w:rStyle w:val="FootnoteReference"/>
          <w:sz w:val="28"/>
          <w:szCs w:val="28"/>
          <w:lang w:val="en-US"/>
        </w:rPr>
        <w:footnoteReference w:id="9"/>
      </w:r>
      <w:r w:rsidR="00B53159">
        <w:rPr>
          <w:sz w:val="28"/>
          <w:szCs w:val="28"/>
          <w:lang w:val="en-US"/>
        </w:rPr>
        <w:t xml:space="preserve">: </w:t>
      </w:r>
    </w:p>
    <w:p w14:paraId="02700E7F" w14:textId="77777777" w:rsidR="00B53159" w:rsidRDefault="00B53159" w:rsidP="007B6BE1">
      <w:pPr>
        <w:pStyle w:val="ListParagraph"/>
        <w:rPr>
          <w:rFonts w:ascii="Verdana" w:eastAsia="Times New Roman" w:hAnsi="Verdana" w:cs="Times New Roman"/>
          <w:color w:val="242121"/>
          <w:sz w:val="27"/>
          <w:szCs w:val="27"/>
          <w:highlight w:val="yellow"/>
          <w:lang w:eastAsia="en-ZA"/>
        </w:rPr>
      </w:pPr>
    </w:p>
    <w:p w14:paraId="79EECA4B" w14:textId="7F274020" w:rsidR="007B6BE1" w:rsidRPr="00B53159" w:rsidRDefault="00B53159" w:rsidP="0057073D">
      <w:pPr>
        <w:pStyle w:val="ListParagraph"/>
        <w:spacing w:line="360" w:lineRule="auto"/>
        <w:ind w:left="1440"/>
        <w:jc w:val="both"/>
        <w:rPr>
          <w:rFonts w:cstheme="minorHAnsi"/>
          <w:sz w:val="28"/>
          <w:szCs w:val="28"/>
          <w:lang w:val="en-US"/>
        </w:rPr>
      </w:pPr>
      <w:r>
        <w:rPr>
          <w:rFonts w:eastAsia="Times New Roman" w:cstheme="minorHAnsi"/>
          <w:sz w:val="28"/>
          <w:szCs w:val="28"/>
          <w:lang w:eastAsia="en-ZA"/>
        </w:rPr>
        <w:t>“</w:t>
      </w:r>
      <w:r w:rsidRPr="00B53159">
        <w:rPr>
          <w:rFonts w:eastAsia="Times New Roman" w:cstheme="minorHAnsi"/>
          <w:i/>
          <w:iCs/>
          <w:sz w:val="28"/>
          <w:szCs w:val="28"/>
          <w:lang w:eastAsia="en-ZA"/>
        </w:rPr>
        <w:t>The Minister was not called upon to decide whether his department was at fault but rather whether ‘special considerations’ existed justifying an exemption. The effect of his failure to apply his mind to that question was that he failed altogether to exercise the discretion conferred upon him by the Act and his decision must be set aside.</w:t>
      </w:r>
      <w:r>
        <w:rPr>
          <w:rFonts w:eastAsia="Times New Roman" w:cstheme="minorHAnsi"/>
          <w:sz w:val="28"/>
          <w:szCs w:val="28"/>
          <w:lang w:eastAsia="en-ZA"/>
        </w:rPr>
        <w:t>”</w:t>
      </w:r>
    </w:p>
    <w:p w14:paraId="1384414F" w14:textId="77777777" w:rsidR="00B53159" w:rsidRPr="007B6BE1" w:rsidRDefault="00B53159" w:rsidP="00B53159">
      <w:pPr>
        <w:pStyle w:val="ListParagraph"/>
        <w:ind w:left="2160"/>
        <w:rPr>
          <w:sz w:val="28"/>
          <w:szCs w:val="28"/>
          <w:lang w:val="en-US"/>
        </w:rPr>
      </w:pPr>
    </w:p>
    <w:p w14:paraId="7151846C" w14:textId="1A140DC7" w:rsidR="00843206" w:rsidRPr="00EB028F" w:rsidRDefault="00B416B6" w:rsidP="002A1119">
      <w:pPr>
        <w:pStyle w:val="ListParagraph"/>
        <w:numPr>
          <w:ilvl w:val="0"/>
          <w:numId w:val="1"/>
        </w:numPr>
        <w:spacing w:line="360" w:lineRule="auto"/>
        <w:ind w:left="0" w:firstLine="0"/>
        <w:jc w:val="both"/>
        <w:rPr>
          <w:rFonts w:cstheme="minorHAnsi"/>
          <w:sz w:val="28"/>
          <w:szCs w:val="28"/>
          <w:lang w:val="en-US"/>
        </w:rPr>
      </w:pPr>
      <w:r>
        <w:rPr>
          <w:rFonts w:eastAsia="Times New Roman" w:cstheme="minorHAnsi"/>
          <w:color w:val="242121"/>
          <w:sz w:val="28"/>
          <w:szCs w:val="28"/>
          <w:lang w:eastAsia="en-ZA"/>
        </w:rPr>
        <w:t>According to s</w:t>
      </w:r>
      <w:r w:rsidR="00722E8F" w:rsidRPr="00722E8F">
        <w:rPr>
          <w:rFonts w:eastAsia="Times New Roman" w:cstheme="minorHAnsi"/>
          <w:color w:val="242121"/>
          <w:sz w:val="28"/>
          <w:szCs w:val="28"/>
          <w:lang w:eastAsia="en-ZA"/>
        </w:rPr>
        <w:t xml:space="preserve">ection 29(2) </w:t>
      </w:r>
      <w:r w:rsidR="00722E8F">
        <w:rPr>
          <w:rFonts w:eastAsia="Times New Roman" w:cstheme="minorHAnsi"/>
          <w:color w:val="242121"/>
          <w:sz w:val="28"/>
          <w:szCs w:val="28"/>
          <w:lang w:eastAsia="en-ZA"/>
        </w:rPr>
        <w:t>of the Act</w:t>
      </w:r>
      <w:r>
        <w:rPr>
          <w:rFonts w:eastAsia="Times New Roman" w:cstheme="minorHAnsi"/>
          <w:color w:val="242121"/>
          <w:sz w:val="28"/>
          <w:szCs w:val="28"/>
          <w:lang w:eastAsia="en-ZA"/>
        </w:rPr>
        <w:t>,</w:t>
      </w:r>
      <w:r w:rsidR="00722E8F">
        <w:rPr>
          <w:rFonts w:eastAsia="Times New Roman" w:cstheme="minorHAnsi"/>
          <w:color w:val="242121"/>
          <w:sz w:val="28"/>
          <w:szCs w:val="28"/>
          <w:lang w:eastAsia="en-ZA"/>
        </w:rPr>
        <w:t xml:space="preserve"> </w:t>
      </w:r>
      <w:r w:rsidR="00567D49">
        <w:rPr>
          <w:rFonts w:eastAsia="Times New Roman" w:cstheme="minorHAnsi"/>
          <w:color w:val="242121"/>
          <w:sz w:val="28"/>
          <w:szCs w:val="28"/>
          <w:lang w:eastAsia="en-ZA"/>
        </w:rPr>
        <w:t xml:space="preserve">the </w:t>
      </w:r>
      <w:r w:rsidR="00973998">
        <w:rPr>
          <w:rFonts w:eastAsia="Times New Roman" w:cstheme="minorHAnsi"/>
          <w:color w:val="242121"/>
          <w:sz w:val="28"/>
          <w:szCs w:val="28"/>
          <w:lang w:eastAsia="en-ZA"/>
        </w:rPr>
        <w:t xml:space="preserve">DG, and the Minister </w:t>
      </w:r>
      <w:r>
        <w:rPr>
          <w:rFonts w:eastAsia="Times New Roman" w:cstheme="minorHAnsi"/>
          <w:color w:val="242121"/>
          <w:sz w:val="28"/>
          <w:szCs w:val="28"/>
          <w:lang w:eastAsia="en-ZA"/>
        </w:rPr>
        <w:t xml:space="preserve">must </w:t>
      </w:r>
      <w:r w:rsidR="00185F3E">
        <w:rPr>
          <w:rFonts w:eastAsia="Times New Roman" w:cstheme="minorHAnsi"/>
          <w:color w:val="242121"/>
          <w:sz w:val="28"/>
          <w:szCs w:val="28"/>
          <w:lang w:eastAsia="en-ZA"/>
        </w:rPr>
        <w:t xml:space="preserve">on appeal </w:t>
      </w:r>
      <w:r>
        <w:rPr>
          <w:rFonts w:eastAsia="Times New Roman" w:cstheme="minorHAnsi"/>
          <w:color w:val="242121"/>
          <w:sz w:val="28"/>
          <w:szCs w:val="28"/>
          <w:lang w:eastAsia="en-ZA"/>
        </w:rPr>
        <w:t>take into account</w:t>
      </w:r>
      <w:r w:rsidR="00567D49">
        <w:rPr>
          <w:rFonts w:eastAsia="Times New Roman" w:cstheme="minorHAnsi"/>
          <w:color w:val="242121"/>
          <w:sz w:val="28"/>
          <w:szCs w:val="28"/>
          <w:lang w:eastAsia="en-ZA"/>
        </w:rPr>
        <w:t xml:space="preserve"> </w:t>
      </w:r>
      <w:r w:rsidR="00E303FF">
        <w:rPr>
          <w:rFonts w:eastAsia="Times New Roman" w:cstheme="minorHAnsi"/>
          <w:color w:val="242121"/>
          <w:sz w:val="28"/>
          <w:szCs w:val="28"/>
          <w:lang w:eastAsia="en-ZA"/>
        </w:rPr>
        <w:t>factors</w:t>
      </w:r>
      <w:r w:rsidR="00457A20">
        <w:rPr>
          <w:rFonts w:eastAsia="Times New Roman" w:cstheme="minorHAnsi"/>
          <w:color w:val="242121"/>
          <w:sz w:val="28"/>
          <w:szCs w:val="28"/>
          <w:lang w:eastAsia="en-ZA"/>
        </w:rPr>
        <w:t>,</w:t>
      </w:r>
      <w:r>
        <w:rPr>
          <w:rFonts w:eastAsia="Times New Roman" w:cstheme="minorHAnsi"/>
          <w:color w:val="242121"/>
          <w:sz w:val="28"/>
          <w:szCs w:val="28"/>
          <w:lang w:eastAsia="en-ZA"/>
        </w:rPr>
        <w:t xml:space="preserve"> other </w:t>
      </w:r>
      <w:proofErr w:type="gramStart"/>
      <w:r>
        <w:rPr>
          <w:rFonts w:eastAsia="Times New Roman" w:cstheme="minorHAnsi"/>
          <w:color w:val="242121"/>
          <w:sz w:val="28"/>
          <w:szCs w:val="28"/>
          <w:lang w:eastAsia="en-ZA"/>
        </w:rPr>
        <w:t xml:space="preserve">than </w:t>
      </w:r>
      <w:r w:rsidR="00590AE3">
        <w:rPr>
          <w:rFonts w:eastAsia="Times New Roman" w:cstheme="minorHAnsi"/>
          <w:color w:val="242121"/>
          <w:sz w:val="28"/>
          <w:szCs w:val="28"/>
          <w:lang w:eastAsia="en-ZA"/>
        </w:rPr>
        <w:t xml:space="preserve"> those</w:t>
      </w:r>
      <w:proofErr w:type="gramEnd"/>
      <w:r w:rsidR="00590AE3">
        <w:rPr>
          <w:rFonts w:eastAsia="Times New Roman" w:cstheme="minorHAnsi"/>
          <w:color w:val="242121"/>
          <w:sz w:val="28"/>
          <w:szCs w:val="28"/>
          <w:lang w:eastAsia="en-ZA"/>
        </w:rPr>
        <w:t xml:space="preserve"> that </w:t>
      </w:r>
      <w:r>
        <w:rPr>
          <w:rFonts w:eastAsia="Times New Roman" w:cstheme="minorHAnsi"/>
          <w:color w:val="242121"/>
          <w:sz w:val="28"/>
          <w:szCs w:val="28"/>
          <w:lang w:eastAsia="en-ZA"/>
        </w:rPr>
        <w:t>resulted in</w:t>
      </w:r>
      <w:r w:rsidR="00590AE3">
        <w:rPr>
          <w:rFonts w:eastAsia="Times New Roman" w:cstheme="minorHAnsi"/>
          <w:color w:val="242121"/>
          <w:sz w:val="28"/>
          <w:szCs w:val="28"/>
          <w:lang w:eastAsia="en-ZA"/>
        </w:rPr>
        <w:t xml:space="preserve"> the prohibition </w:t>
      </w:r>
      <w:r>
        <w:rPr>
          <w:rFonts w:eastAsia="Times New Roman" w:cstheme="minorHAnsi"/>
          <w:color w:val="242121"/>
          <w:sz w:val="28"/>
          <w:szCs w:val="28"/>
          <w:lang w:eastAsia="en-ZA"/>
        </w:rPr>
        <w:t>under</w:t>
      </w:r>
      <w:r w:rsidR="00590AE3">
        <w:rPr>
          <w:rFonts w:eastAsia="Times New Roman" w:cstheme="minorHAnsi"/>
          <w:color w:val="242121"/>
          <w:sz w:val="28"/>
          <w:szCs w:val="28"/>
          <w:lang w:eastAsia="en-ZA"/>
        </w:rPr>
        <w:t xml:space="preserve"> section 29(1)</w:t>
      </w:r>
      <w:r w:rsidR="00457A20">
        <w:rPr>
          <w:rFonts w:eastAsia="Times New Roman" w:cstheme="minorHAnsi"/>
          <w:color w:val="242121"/>
          <w:sz w:val="28"/>
          <w:szCs w:val="28"/>
          <w:lang w:eastAsia="en-ZA"/>
        </w:rPr>
        <w:t>, in order to determine whether there exist</w:t>
      </w:r>
      <w:r w:rsidR="00185F3E">
        <w:rPr>
          <w:rFonts w:eastAsia="Times New Roman" w:cstheme="minorHAnsi"/>
          <w:color w:val="242121"/>
          <w:sz w:val="28"/>
          <w:szCs w:val="28"/>
          <w:lang w:eastAsia="en-ZA"/>
        </w:rPr>
        <w:t>s</w:t>
      </w:r>
      <w:r w:rsidR="00457A20">
        <w:rPr>
          <w:rFonts w:eastAsia="Times New Roman" w:cstheme="minorHAnsi"/>
          <w:color w:val="242121"/>
          <w:sz w:val="28"/>
          <w:szCs w:val="28"/>
          <w:lang w:eastAsia="en-ZA"/>
        </w:rPr>
        <w:t xml:space="preserve"> good cause </w:t>
      </w:r>
      <w:r w:rsidR="00CA3D33">
        <w:rPr>
          <w:rFonts w:eastAsia="Times New Roman" w:cstheme="minorHAnsi"/>
          <w:color w:val="242121"/>
          <w:sz w:val="28"/>
          <w:szCs w:val="28"/>
          <w:lang w:eastAsia="en-ZA"/>
        </w:rPr>
        <w:t>to declare a</w:t>
      </w:r>
      <w:r w:rsidR="00313600">
        <w:rPr>
          <w:rFonts w:eastAsia="Times New Roman" w:cstheme="minorHAnsi"/>
          <w:color w:val="242121"/>
          <w:sz w:val="28"/>
          <w:szCs w:val="28"/>
          <w:lang w:eastAsia="en-ZA"/>
        </w:rPr>
        <w:t xml:space="preserve">n otherwise prohibited </w:t>
      </w:r>
      <w:r w:rsidR="00CA3D33">
        <w:rPr>
          <w:rFonts w:eastAsia="Times New Roman" w:cstheme="minorHAnsi"/>
          <w:color w:val="242121"/>
          <w:sz w:val="28"/>
          <w:szCs w:val="28"/>
          <w:lang w:eastAsia="en-ZA"/>
        </w:rPr>
        <w:t>person not to be prohibited</w:t>
      </w:r>
      <w:r w:rsidR="001718C8">
        <w:rPr>
          <w:rFonts w:eastAsia="Times New Roman" w:cstheme="minorHAnsi"/>
          <w:color w:val="242121"/>
          <w:sz w:val="28"/>
          <w:szCs w:val="28"/>
          <w:lang w:eastAsia="en-ZA"/>
        </w:rPr>
        <w:t xml:space="preserve">. </w:t>
      </w:r>
      <w:r w:rsidR="00590AE3">
        <w:rPr>
          <w:rFonts w:eastAsia="Times New Roman" w:cstheme="minorHAnsi"/>
          <w:color w:val="242121"/>
          <w:sz w:val="28"/>
          <w:szCs w:val="28"/>
          <w:lang w:eastAsia="en-ZA"/>
        </w:rPr>
        <w:t xml:space="preserve"> </w:t>
      </w:r>
      <w:r w:rsidR="00411630">
        <w:rPr>
          <w:rFonts w:eastAsia="Times New Roman" w:cstheme="minorHAnsi"/>
          <w:color w:val="242121"/>
          <w:sz w:val="28"/>
          <w:szCs w:val="28"/>
          <w:lang w:eastAsia="en-ZA"/>
        </w:rPr>
        <w:t xml:space="preserve">In other words, even where a person </w:t>
      </w:r>
      <w:r w:rsidR="00D8389B">
        <w:rPr>
          <w:rFonts w:eastAsia="Times New Roman" w:cstheme="minorHAnsi"/>
          <w:color w:val="242121"/>
          <w:sz w:val="28"/>
          <w:szCs w:val="28"/>
          <w:lang w:eastAsia="en-ZA"/>
        </w:rPr>
        <w:t>is prohibited in terms of section 29(1)</w:t>
      </w:r>
      <w:r w:rsidR="00242292">
        <w:rPr>
          <w:rFonts w:eastAsia="Times New Roman" w:cstheme="minorHAnsi"/>
          <w:color w:val="242121"/>
          <w:sz w:val="28"/>
          <w:szCs w:val="28"/>
          <w:lang w:eastAsia="en-ZA"/>
        </w:rPr>
        <w:t xml:space="preserve">, </w:t>
      </w:r>
      <w:r w:rsidR="004E3A6D">
        <w:rPr>
          <w:rFonts w:eastAsia="Times New Roman" w:cstheme="minorHAnsi"/>
          <w:color w:val="242121"/>
          <w:sz w:val="28"/>
          <w:szCs w:val="28"/>
          <w:lang w:eastAsia="en-ZA"/>
        </w:rPr>
        <w:t xml:space="preserve">section 29(2) envisages </w:t>
      </w:r>
      <w:r w:rsidR="004C30E6">
        <w:rPr>
          <w:rFonts w:eastAsia="Times New Roman" w:cstheme="minorHAnsi"/>
          <w:color w:val="242121"/>
          <w:sz w:val="28"/>
          <w:szCs w:val="28"/>
          <w:lang w:eastAsia="en-ZA"/>
        </w:rPr>
        <w:t xml:space="preserve">that </w:t>
      </w:r>
      <w:r w:rsidR="00242292">
        <w:rPr>
          <w:rFonts w:eastAsia="Times New Roman" w:cstheme="minorHAnsi"/>
          <w:color w:val="242121"/>
          <w:sz w:val="28"/>
          <w:szCs w:val="28"/>
          <w:lang w:eastAsia="en-ZA"/>
        </w:rPr>
        <w:t xml:space="preserve">such </w:t>
      </w:r>
      <w:r w:rsidR="004C30E6">
        <w:rPr>
          <w:rFonts w:eastAsia="Times New Roman" w:cstheme="minorHAnsi"/>
          <w:color w:val="242121"/>
          <w:sz w:val="28"/>
          <w:szCs w:val="28"/>
          <w:lang w:eastAsia="en-ZA"/>
        </w:rPr>
        <w:t>person</w:t>
      </w:r>
      <w:r w:rsidR="00AD3048">
        <w:rPr>
          <w:rFonts w:eastAsia="Times New Roman" w:cstheme="minorHAnsi"/>
          <w:color w:val="242121"/>
          <w:sz w:val="28"/>
          <w:szCs w:val="28"/>
          <w:lang w:eastAsia="en-ZA"/>
        </w:rPr>
        <w:t>s</w:t>
      </w:r>
      <w:r w:rsidR="004C30E6">
        <w:rPr>
          <w:rFonts w:eastAsia="Times New Roman" w:cstheme="minorHAnsi"/>
          <w:color w:val="242121"/>
          <w:sz w:val="28"/>
          <w:szCs w:val="28"/>
          <w:lang w:eastAsia="en-ZA"/>
        </w:rPr>
        <w:t xml:space="preserve"> </w:t>
      </w:r>
      <w:r w:rsidR="00217DDD">
        <w:rPr>
          <w:rFonts w:eastAsia="Times New Roman" w:cstheme="minorHAnsi"/>
          <w:color w:val="242121"/>
          <w:sz w:val="28"/>
          <w:szCs w:val="28"/>
          <w:lang w:eastAsia="en-ZA"/>
        </w:rPr>
        <w:t>may still be deserving</w:t>
      </w:r>
      <w:r w:rsidR="00AD3048">
        <w:rPr>
          <w:rFonts w:eastAsia="Times New Roman" w:cstheme="minorHAnsi"/>
          <w:color w:val="242121"/>
          <w:sz w:val="28"/>
          <w:szCs w:val="28"/>
          <w:lang w:eastAsia="en-ZA"/>
        </w:rPr>
        <w:t xml:space="preserve">, </w:t>
      </w:r>
      <w:r w:rsidR="008B5BB0">
        <w:rPr>
          <w:rFonts w:eastAsia="Times New Roman" w:cstheme="minorHAnsi"/>
          <w:color w:val="242121"/>
          <w:sz w:val="28"/>
          <w:szCs w:val="28"/>
          <w:lang w:eastAsia="en-ZA"/>
        </w:rPr>
        <w:t>“</w:t>
      </w:r>
      <w:r w:rsidR="00AD3048" w:rsidRPr="008B5BB0">
        <w:rPr>
          <w:rFonts w:eastAsia="Times New Roman" w:cstheme="minorHAnsi"/>
          <w:i/>
          <w:iCs/>
          <w:color w:val="242121"/>
          <w:sz w:val="28"/>
          <w:szCs w:val="28"/>
          <w:lang w:eastAsia="en-ZA"/>
        </w:rPr>
        <w:t>for good cause</w:t>
      </w:r>
      <w:r w:rsidR="008B5BB0">
        <w:rPr>
          <w:rFonts w:eastAsia="Times New Roman" w:cstheme="minorHAnsi"/>
          <w:color w:val="242121"/>
          <w:sz w:val="28"/>
          <w:szCs w:val="28"/>
          <w:lang w:eastAsia="en-ZA"/>
        </w:rPr>
        <w:t>”</w:t>
      </w:r>
      <w:r w:rsidR="00AD3048">
        <w:rPr>
          <w:rFonts w:eastAsia="Times New Roman" w:cstheme="minorHAnsi"/>
          <w:color w:val="242121"/>
          <w:sz w:val="28"/>
          <w:szCs w:val="28"/>
          <w:lang w:eastAsia="en-ZA"/>
        </w:rPr>
        <w:t xml:space="preserve">, of having their prohibition </w:t>
      </w:r>
      <w:r w:rsidR="008B5BB0">
        <w:rPr>
          <w:rFonts w:eastAsia="Times New Roman" w:cstheme="minorHAnsi"/>
          <w:color w:val="242121"/>
          <w:sz w:val="28"/>
          <w:szCs w:val="28"/>
          <w:lang w:eastAsia="en-ZA"/>
        </w:rPr>
        <w:t>uplifted.</w:t>
      </w:r>
    </w:p>
    <w:p w14:paraId="1D04DEDD" w14:textId="77777777" w:rsidR="00EB028F" w:rsidRPr="00EB028F" w:rsidRDefault="00EB028F" w:rsidP="00EB028F">
      <w:pPr>
        <w:pStyle w:val="ListParagraph"/>
        <w:spacing w:line="360" w:lineRule="auto"/>
        <w:ind w:left="360"/>
        <w:jc w:val="both"/>
        <w:rPr>
          <w:rFonts w:cstheme="minorHAnsi"/>
          <w:sz w:val="28"/>
          <w:szCs w:val="28"/>
          <w:lang w:val="en-US"/>
        </w:rPr>
      </w:pPr>
    </w:p>
    <w:p w14:paraId="7B7500B0" w14:textId="50E836D5" w:rsidR="00EB028F" w:rsidRDefault="007951D5" w:rsidP="002A1119">
      <w:pPr>
        <w:pStyle w:val="ListParagraph"/>
        <w:numPr>
          <w:ilvl w:val="0"/>
          <w:numId w:val="1"/>
        </w:numPr>
        <w:spacing w:line="360" w:lineRule="auto"/>
        <w:ind w:left="0" w:firstLine="0"/>
        <w:jc w:val="both"/>
        <w:rPr>
          <w:rFonts w:cstheme="minorHAnsi"/>
          <w:sz w:val="28"/>
          <w:szCs w:val="28"/>
          <w:lang w:val="en-US"/>
        </w:rPr>
      </w:pPr>
      <w:r>
        <w:rPr>
          <w:rFonts w:cstheme="minorHAnsi"/>
          <w:sz w:val="28"/>
          <w:szCs w:val="28"/>
          <w:lang w:val="en-US"/>
        </w:rPr>
        <w:t>It is trite th</w:t>
      </w:r>
      <w:r w:rsidR="00155527">
        <w:rPr>
          <w:rFonts w:cstheme="minorHAnsi"/>
          <w:sz w:val="28"/>
          <w:szCs w:val="28"/>
          <w:lang w:val="en-US"/>
        </w:rPr>
        <w:t xml:space="preserve">at decision makers must </w:t>
      </w:r>
      <w:r w:rsidR="00B416B6">
        <w:rPr>
          <w:rFonts w:cstheme="minorHAnsi"/>
          <w:sz w:val="28"/>
          <w:szCs w:val="28"/>
          <w:lang w:val="en-US"/>
        </w:rPr>
        <w:t>furnish</w:t>
      </w:r>
      <w:r w:rsidR="00155527">
        <w:rPr>
          <w:rFonts w:cstheme="minorHAnsi"/>
          <w:sz w:val="28"/>
          <w:szCs w:val="28"/>
          <w:lang w:val="en-US"/>
        </w:rPr>
        <w:t xml:space="preserve"> adequate reasons for their administrative decisions.</w:t>
      </w:r>
      <w:r w:rsidR="009B6559">
        <w:rPr>
          <w:rStyle w:val="FootnoteReference"/>
          <w:rFonts w:cstheme="minorHAnsi"/>
          <w:sz w:val="28"/>
          <w:szCs w:val="28"/>
          <w:lang w:val="en-US"/>
        </w:rPr>
        <w:footnoteReference w:id="10"/>
      </w:r>
      <w:r w:rsidR="00155527">
        <w:rPr>
          <w:rFonts w:cstheme="minorHAnsi"/>
          <w:sz w:val="28"/>
          <w:szCs w:val="28"/>
          <w:lang w:val="en-US"/>
        </w:rPr>
        <w:t xml:space="preserve"> </w:t>
      </w:r>
      <w:r w:rsidR="00535524">
        <w:rPr>
          <w:rFonts w:cstheme="minorHAnsi"/>
          <w:sz w:val="28"/>
          <w:szCs w:val="28"/>
          <w:lang w:val="en-US"/>
        </w:rPr>
        <w:t>The</w:t>
      </w:r>
      <w:r w:rsidR="009D6A40" w:rsidRPr="009D6A40">
        <w:rPr>
          <w:rFonts w:cstheme="minorHAnsi"/>
          <w:sz w:val="28"/>
          <w:szCs w:val="28"/>
          <w:lang w:val="en-US"/>
        </w:rPr>
        <w:t xml:space="preserve"> </w:t>
      </w:r>
      <w:r w:rsidR="009D6A40">
        <w:rPr>
          <w:rFonts w:cstheme="minorHAnsi"/>
          <w:sz w:val="28"/>
          <w:szCs w:val="28"/>
          <w:lang w:val="en-US"/>
        </w:rPr>
        <w:t>Immigration Regulations, 2014</w:t>
      </w:r>
      <w:r w:rsidR="009D6A40">
        <w:rPr>
          <w:rStyle w:val="FootnoteReference"/>
          <w:rFonts w:cstheme="minorHAnsi"/>
          <w:sz w:val="28"/>
          <w:szCs w:val="28"/>
          <w:lang w:val="en-US"/>
        </w:rPr>
        <w:footnoteReference w:id="11"/>
      </w:r>
      <w:r w:rsidR="009D6A40">
        <w:rPr>
          <w:rFonts w:cstheme="minorHAnsi"/>
          <w:sz w:val="28"/>
          <w:szCs w:val="28"/>
          <w:lang w:val="en-US"/>
        </w:rPr>
        <w:t xml:space="preserve">also provides for </w:t>
      </w:r>
      <w:r w:rsidR="00BD340B">
        <w:rPr>
          <w:rFonts w:cstheme="minorHAnsi"/>
          <w:sz w:val="28"/>
          <w:szCs w:val="28"/>
          <w:lang w:val="en-US"/>
        </w:rPr>
        <w:lastRenderedPageBreak/>
        <w:t>this.</w:t>
      </w:r>
      <w:r w:rsidR="009D6A40">
        <w:rPr>
          <w:rFonts w:cstheme="minorHAnsi"/>
          <w:sz w:val="28"/>
          <w:szCs w:val="28"/>
          <w:lang w:val="en-US"/>
        </w:rPr>
        <w:t xml:space="preserve"> Regard</w:t>
      </w:r>
      <w:r w:rsidR="009E3FB6">
        <w:rPr>
          <w:rFonts w:cstheme="minorHAnsi"/>
          <w:sz w:val="28"/>
          <w:szCs w:val="28"/>
          <w:lang w:val="en-US"/>
        </w:rPr>
        <w:t xml:space="preserve"> should be had to the </w:t>
      </w:r>
      <w:r w:rsidR="00BD340B">
        <w:rPr>
          <w:rFonts w:cstheme="minorHAnsi"/>
          <w:sz w:val="28"/>
          <w:szCs w:val="28"/>
          <w:lang w:val="en-US"/>
        </w:rPr>
        <w:t>s</w:t>
      </w:r>
      <w:r w:rsidR="00C40830">
        <w:rPr>
          <w:rFonts w:cstheme="minorHAnsi"/>
          <w:sz w:val="28"/>
          <w:szCs w:val="28"/>
          <w:lang w:val="en-US"/>
        </w:rPr>
        <w:t>ub-regulations 26(6) and (7)</w:t>
      </w:r>
      <w:r w:rsidR="00BD340B">
        <w:rPr>
          <w:rFonts w:cstheme="minorHAnsi"/>
          <w:sz w:val="28"/>
          <w:szCs w:val="28"/>
          <w:lang w:val="en-US"/>
        </w:rPr>
        <w:t xml:space="preserve"> which provide</w:t>
      </w:r>
      <w:r w:rsidR="00C07889">
        <w:rPr>
          <w:rFonts w:cstheme="minorHAnsi"/>
          <w:sz w:val="28"/>
          <w:szCs w:val="28"/>
          <w:lang w:val="en-US"/>
        </w:rPr>
        <w:t xml:space="preserve"> follows:</w:t>
      </w:r>
    </w:p>
    <w:p w14:paraId="0139B13E" w14:textId="77777777" w:rsidR="00C07889" w:rsidRPr="00C07889" w:rsidRDefault="00C07889" w:rsidP="00C07889">
      <w:pPr>
        <w:pStyle w:val="ListParagraph"/>
        <w:rPr>
          <w:rFonts w:cstheme="minorHAnsi"/>
          <w:sz w:val="28"/>
          <w:szCs w:val="28"/>
          <w:lang w:val="en-US"/>
        </w:rPr>
      </w:pPr>
    </w:p>
    <w:p w14:paraId="54955DBB" w14:textId="0D8C3B73" w:rsidR="00C07889" w:rsidRPr="003C6466" w:rsidRDefault="00C07889" w:rsidP="00C07889">
      <w:pPr>
        <w:pStyle w:val="ListParagraph"/>
        <w:spacing w:line="360" w:lineRule="auto"/>
        <w:ind w:left="1440"/>
        <w:jc w:val="both"/>
        <w:rPr>
          <w:rFonts w:cstheme="minorHAnsi"/>
          <w:i/>
          <w:iCs/>
          <w:sz w:val="28"/>
          <w:szCs w:val="28"/>
          <w:lang w:val="en-GB"/>
        </w:rPr>
      </w:pPr>
      <w:r>
        <w:rPr>
          <w:rFonts w:cstheme="minorHAnsi"/>
          <w:sz w:val="28"/>
          <w:szCs w:val="28"/>
          <w:lang w:val="en-US"/>
        </w:rPr>
        <w:t>“</w:t>
      </w:r>
      <w:r w:rsidR="005C63F3" w:rsidRPr="003C6466">
        <w:rPr>
          <w:rFonts w:cstheme="minorHAnsi"/>
          <w:i/>
          <w:iCs/>
          <w:sz w:val="28"/>
          <w:szCs w:val="28"/>
          <w:lang w:val="en-US"/>
        </w:rPr>
        <w:t xml:space="preserve">(6) </w:t>
      </w:r>
      <w:r w:rsidR="005D19B8" w:rsidRPr="003C6466">
        <w:rPr>
          <w:rFonts w:cstheme="minorHAnsi"/>
          <w:i/>
          <w:iCs/>
          <w:sz w:val="28"/>
          <w:szCs w:val="28"/>
          <w:lang w:val="en-GB"/>
        </w:rPr>
        <w:t>The Director General shall,</w:t>
      </w:r>
      <w:r w:rsidR="00EA5E5E" w:rsidRPr="003C6466">
        <w:rPr>
          <w:rFonts w:cstheme="minorHAnsi"/>
          <w:i/>
          <w:iCs/>
          <w:sz w:val="28"/>
          <w:szCs w:val="28"/>
          <w:lang w:val="en-GB"/>
        </w:rPr>
        <w:t xml:space="preserve"> in declaring a person not to be a prohibited person, consider the following factors:</w:t>
      </w:r>
    </w:p>
    <w:p w14:paraId="1DAFE852" w14:textId="739C234A" w:rsidR="00312590" w:rsidRPr="003C6466" w:rsidRDefault="00BA15BB" w:rsidP="00312590">
      <w:pPr>
        <w:pStyle w:val="ListParagraph"/>
        <w:numPr>
          <w:ilvl w:val="3"/>
          <w:numId w:val="4"/>
        </w:numPr>
        <w:spacing w:line="360" w:lineRule="auto"/>
        <w:jc w:val="both"/>
        <w:rPr>
          <w:rFonts w:cstheme="minorHAnsi"/>
          <w:i/>
          <w:iCs/>
          <w:sz w:val="28"/>
          <w:szCs w:val="28"/>
          <w:lang w:val="en-US"/>
        </w:rPr>
      </w:pPr>
      <w:r w:rsidRPr="003C6466">
        <w:rPr>
          <w:rFonts w:cstheme="minorHAnsi"/>
          <w:i/>
          <w:iCs/>
          <w:sz w:val="28"/>
          <w:szCs w:val="28"/>
          <w:lang w:val="en-US"/>
        </w:rPr>
        <w:t>t</w:t>
      </w:r>
      <w:r w:rsidR="006332D7" w:rsidRPr="003C6466">
        <w:rPr>
          <w:rFonts w:cstheme="minorHAnsi"/>
          <w:i/>
          <w:iCs/>
          <w:sz w:val="28"/>
          <w:szCs w:val="28"/>
          <w:lang w:val="en-US"/>
        </w:rPr>
        <w:t>he reason for the prohibition</w:t>
      </w:r>
      <w:r w:rsidR="00977475" w:rsidRPr="003C6466">
        <w:rPr>
          <w:rFonts w:cstheme="minorHAnsi"/>
          <w:i/>
          <w:iCs/>
          <w:sz w:val="28"/>
          <w:szCs w:val="28"/>
          <w:lang w:val="en-US"/>
        </w:rPr>
        <w:t>;</w:t>
      </w:r>
    </w:p>
    <w:p w14:paraId="1E934D8C" w14:textId="7D799429" w:rsidR="006332D7" w:rsidRPr="003C6466" w:rsidRDefault="00BA15BB" w:rsidP="00312590">
      <w:pPr>
        <w:pStyle w:val="ListParagraph"/>
        <w:numPr>
          <w:ilvl w:val="3"/>
          <w:numId w:val="4"/>
        </w:numPr>
        <w:spacing w:line="360" w:lineRule="auto"/>
        <w:jc w:val="both"/>
        <w:rPr>
          <w:rFonts w:cstheme="minorHAnsi"/>
          <w:i/>
          <w:iCs/>
          <w:sz w:val="28"/>
          <w:szCs w:val="28"/>
          <w:lang w:val="en-US"/>
        </w:rPr>
      </w:pPr>
      <w:r w:rsidRPr="003C6466">
        <w:rPr>
          <w:rFonts w:cstheme="minorHAnsi"/>
          <w:i/>
          <w:iCs/>
          <w:sz w:val="28"/>
          <w:szCs w:val="28"/>
          <w:lang w:val="en-GB"/>
        </w:rPr>
        <w:t>t</w:t>
      </w:r>
      <w:r w:rsidR="006332D7" w:rsidRPr="003C6466">
        <w:rPr>
          <w:rFonts w:cstheme="minorHAnsi"/>
          <w:i/>
          <w:iCs/>
          <w:sz w:val="28"/>
          <w:szCs w:val="28"/>
          <w:lang w:val="en-GB"/>
        </w:rPr>
        <w:t>he seriousness of the offence committed; and</w:t>
      </w:r>
    </w:p>
    <w:p w14:paraId="721AD7F9" w14:textId="791CEE58" w:rsidR="006332D7" w:rsidRPr="003C6466" w:rsidRDefault="00BA15BB" w:rsidP="00312590">
      <w:pPr>
        <w:pStyle w:val="ListParagraph"/>
        <w:numPr>
          <w:ilvl w:val="3"/>
          <w:numId w:val="4"/>
        </w:numPr>
        <w:spacing w:line="360" w:lineRule="auto"/>
        <w:jc w:val="both"/>
        <w:rPr>
          <w:rFonts w:cstheme="minorHAnsi"/>
          <w:i/>
          <w:iCs/>
          <w:sz w:val="28"/>
          <w:szCs w:val="28"/>
          <w:lang w:val="en-US"/>
        </w:rPr>
      </w:pPr>
      <w:r w:rsidRPr="003C6466">
        <w:rPr>
          <w:rFonts w:cstheme="minorHAnsi"/>
          <w:i/>
          <w:iCs/>
          <w:sz w:val="28"/>
          <w:szCs w:val="28"/>
          <w:lang w:val="en-GB"/>
        </w:rPr>
        <w:t>representations by the prohibited person, which should include a police clearance certificate.</w:t>
      </w:r>
    </w:p>
    <w:p w14:paraId="4BF7D408" w14:textId="6ABF5ABA" w:rsidR="00977475" w:rsidRPr="00977475" w:rsidRDefault="004637EA" w:rsidP="004637EA">
      <w:pPr>
        <w:spacing w:line="360" w:lineRule="auto"/>
        <w:ind w:left="1440"/>
        <w:jc w:val="both"/>
        <w:rPr>
          <w:rFonts w:cstheme="minorHAnsi"/>
          <w:sz w:val="28"/>
          <w:szCs w:val="28"/>
          <w:lang w:val="en-US"/>
        </w:rPr>
      </w:pPr>
      <w:r w:rsidRPr="003C6466">
        <w:rPr>
          <w:rFonts w:cstheme="minorHAnsi"/>
          <w:i/>
          <w:iCs/>
          <w:sz w:val="28"/>
          <w:szCs w:val="28"/>
          <w:lang w:val="en-US"/>
        </w:rPr>
        <w:t xml:space="preserve">(7) The Director-General shall, </w:t>
      </w:r>
      <w:r w:rsidR="00F82AB1" w:rsidRPr="003C6466">
        <w:rPr>
          <w:rFonts w:cstheme="minorHAnsi"/>
          <w:i/>
          <w:iCs/>
          <w:sz w:val="28"/>
          <w:szCs w:val="28"/>
          <w:lang w:val="en-GB"/>
        </w:rPr>
        <w:t>upon making a decision as contemplated in section 29(2) of the Act</w:t>
      </w:r>
      <w:r w:rsidR="003C6466" w:rsidRPr="003C6466">
        <w:rPr>
          <w:rFonts w:cstheme="minorHAnsi"/>
          <w:i/>
          <w:iCs/>
          <w:sz w:val="28"/>
          <w:szCs w:val="28"/>
          <w:lang w:val="en-GB"/>
        </w:rPr>
        <w:t>, provide written reasons for such decision</w:t>
      </w:r>
      <w:r w:rsidR="003C6466" w:rsidRPr="003C6466">
        <w:rPr>
          <w:rFonts w:cstheme="minorHAnsi"/>
          <w:sz w:val="28"/>
          <w:szCs w:val="28"/>
          <w:lang w:val="en-GB"/>
        </w:rPr>
        <w:t>.</w:t>
      </w:r>
      <w:r w:rsidR="003C6466">
        <w:rPr>
          <w:rFonts w:cstheme="minorHAnsi"/>
          <w:sz w:val="28"/>
          <w:szCs w:val="28"/>
          <w:lang w:val="en-GB"/>
        </w:rPr>
        <w:t>”</w:t>
      </w:r>
    </w:p>
    <w:p w14:paraId="2B9B16EB" w14:textId="77777777" w:rsidR="00977475" w:rsidRPr="00977475" w:rsidRDefault="00977475" w:rsidP="00977475">
      <w:pPr>
        <w:spacing w:line="360" w:lineRule="auto"/>
        <w:jc w:val="both"/>
        <w:rPr>
          <w:rFonts w:cstheme="minorHAnsi"/>
          <w:sz w:val="28"/>
          <w:szCs w:val="28"/>
          <w:lang w:val="en-US"/>
        </w:rPr>
      </w:pPr>
    </w:p>
    <w:p w14:paraId="6A63313F" w14:textId="77777777" w:rsidR="00843206" w:rsidRPr="00843206" w:rsidRDefault="00843206" w:rsidP="00843206">
      <w:pPr>
        <w:pStyle w:val="ListParagraph"/>
        <w:spacing w:line="360" w:lineRule="auto"/>
        <w:ind w:left="360"/>
        <w:jc w:val="both"/>
        <w:rPr>
          <w:rFonts w:cstheme="minorHAnsi"/>
          <w:sz w:val="28"/>
          <w:szCs w:val="28"/>
          <w:lang w:val="en-US"/>
        </w:rPr>
      </w:pPr>
    </w:p>
    <w:p w14:paraId="6ADFF66D" w14:textId="0D63AEEB" w:rsidR="00C37A71" w:rsidRPr="00CB4C4F" w:rsidRDefault="00843206" w:rsidP="002A1119">
      <w:pPr>
        <w:pStyle w:val="ListParagraph"/>
        <w:numPr>
          <w:ilvl w:val="0"/>
          <w:numId w:val="1"/>
        </w:numPr>
        <w:spacing w:line="360" w:lineRule="auto"/>
        <w:ind w:left="0" w:firstLine="0"/>
        <w:jc w:val="both"/>
        <w:rPr>
          <w:rFonts w:cstheme="minorHAnsi"/>
          <w:sz w:val="28"/>
          <w:szCs w:val="28"/>
          <w:lang w:val="en-US"/>
        </w:rPr>
      </w:pPr>
      <w:r>
        <w:rPr>
          <w:rFonts w:eastAsia="Times New Roman" w:cstheme="minorHAnsi"/>
          <w:color w:val="242121"/>
          <w:sz w:val="28"/>
          <w:szCs w:val="28"/>
          <w:lang w:eastAsia="en-ZA"/>
        </w:rPr>
        <w:t>What the above entails is that</w:t>
      </w:r>
      <w:r w:rsidR="00DB10EC">
        <w:rPr>
          <w:rFonts w:eastAsia="Times New Roman" w:cstheme="minorHAnsi"/>
          <w:color w:val="242121"/>
          <w:sz w:val="28"/>
          <w:szCs w:val="28"/>
          <w:lang w:eastAsia="en-ZA"/>
        </w:rPr>
        <w:t xml:space="preserve"> the DG a</w:t>
      </w:r>
      <w:r w:rsidR="00411630">
        <w:rPr>
          <w:rFonts w:eastAsia="Times New Roman" w:cstheme="minorHAnsi"/>
          <w:color w:val="242121"/>
          <w:sz w:val="28"/>
          <w:szCs w:val="28"/>
          <w:lang w:eastAsia="en-ZA"/>
        </w:rPr>
        <w:t>s well as</w:t>
      </w:r>
      <w:r w:rsidR="00DB10EC">
        <w:rPr>
          <w:rFonts w:eastAsia="Times New Roman" w:cstheme="minorHAnsi"/>
          <w:color w:val="242121"/>
          <w:sz w:val="28"/>
          <w:szCs w:val="28"/>
          <w:lang w:eastAsia="en-ZA"/>
        </w:rPr>
        <w:t xml:space="preserve"> the Minister on appeal</w:t>
      </w:r>
      <w:r w:rsidR="00E964CE">
        <w:rPr>
          <w:rFonts w:eastAsia="Times New Roman" w:cstheme="minorHAnsi"/>
          <w:color w:val="242121"/>
          <w:sz w:val="28"/>
          <w:szCs w:val="28"/>
          <w:lang w:eastAsia="en-ZA"/>
        </w:rPr>
        <w:t>,</w:t>
      </w:r>
      <w:r w:rsidR="00DB10EC">
        <w:rPr>
          <w:rFonts w:eastAsia="Times New Roman" w:cstheme="minorHAnsi"/>
          <w:color w:val="242121"/>
          <w:sz w:val="28"/>
          <w:szCs w:val="28"/>
          <w:lang w:eastAsia="en-ZA"/>
        </w:rPr>
        <w:t xml:space="preserve"> must </w:t>
      </w:r>
      <w:r w:rsidR="008E1542">
        <w:rPr>
          <w:rFonts w:eastAsia="Times New Roman" w:cstheme="minorHAnsi"/>
          <w:color w:val="242121"/>
          <w:sz w:val="28"/>
          <w:szCs w:val="28"/>
          <w:lang w:eastAsia="en-ZA"/>
        </w:rPr>
        <w:t xml:space="preserve">have regard to the full set of facts placed before him or her </w:t>
      </w:r>
      <w:r w:rsidR="004C13AB">
        <w:rPr>
          <w:rFonts w:eastAsia="Times New Roman" w:cstheme="minorHAnsi"/>
          <w:color w:val="242121"/>
          <w:sz w:val="28"/>
          <w:szCs w:val="28"/>
          <w:lang w:eastAsia="en-ZA"/>
        </w:rPr>
        <w:t>by way of representations</w:t>
      </w:r>
      <w:r w:rsidR="009979EC">
        <w:rPr>
          <w:rFonts w:eastAsia="Times New Roman" w:cstheme="minorHAnsi"/>
          <w:color w:val="242121"/>
          <w:sz w:val="28"/>
          <w:szCs w:val="28"/>
          <w:lang w:eastAsia="en-ZA"/>
        </w:rPr>
        <w:t xml:space="preserve"> </w:t>
      </w:r>
      <w:r w:rsidR="008E1542">
        <w:rPr>
          <w:rFonts w:eastAsia="Times New Roman" w:cstheme="minorHAnsi"/>
          <w:color w:val="242121"/>
          <w:sz w:val="28"/>
          <w:szCs w:val="28"/>
          <w:lang w:eastAsia="en-ZA"/>
        </w:rPr>
        <w:t xml:space="preserve">in exercising </w:t>
      </w:r>
      <w:r w:rsidR="00D00FE3">
        <w:rPr>
          <w:rFonts w:eastAsia="Times New Roman" w:cstheme="minorHAnsi"/>
          <w:color w:val="242121"/>
          <w:sz w:val="28"/>
          <w:szCs w:val="28"/>
          <w:lang w:eastAsia="en-ZA"/>
        </w:rPr>
        <w:t xml:space="preserve">his or her discretion under section 29(2) of the Act. </w:t>
      </w:r>
      <w:r w:rsidR="00426AB5">
        <w:rPr>
          <w:rFonts w:eastAsia="Times New Roman" w:cstheme="minorHAnsi"/>
          <w:color w:val="242121"/>
          <w:sz w:val="28"/>
          <w:szCs w:val="28"/>
          <w:lang w:eastAsia="en-ZA"/>
        </w:rPr>
        <w:t xml:space="preserve">This principle is similar to that under section 31(2)(b) of the Act which </w:t>
      </w:r>
      <w:r w:rsidR="00CC7BEE">
        <w:rPr>
          <w:rFonts w:eastAsia="Times New Roman" w:cstheme="minorHAnsi"/>
          <w:color w:val="242121"/>
          <w:sz w:val="28"/>
          <w:szCs w:val="28"/>
          <w:lang w:eastAsia="en-ZA"/>
        </w:rPr>
        <w:t xml:space="preserve">provides that the Minister may, upon application, grant a foreigner </w:t>
      </w:r>
      <w:r w:rsidR="00D73BE0">
        <w:rPr>
          <w:rFonts w:eastAsia="Times New Roman" w:cstheme="minorHAnsi"/>
          <w:color w:val="242121"/>
          <w:sz w:val="28"/>
          <w:szCs w:val="28"/>
          <w:lang w:eastAsia="en-ZA"/>
        </w:rPr>
        <w:t xml:space="preserve">the right of permanent residence for a specified or unspecified </w:t>
      </w:r>
      <w:r w:rsidR="00C60029">
        <w:rPr>
          <w:rFonts w:eastAsia="Times New Roman" w:cstheme="minorHAnsi"/>
          <w:color w:val="242121"/>
          <w:sz w:val="28"/>
          <w:szCs w:val="28"/>
          <w:lang w:eastAsia="en-ZA"/>
        </w:rPr>
        <w:t xml:space="preserve">period </w:t>
      </w:r>
      <w:r w:rsidR="00963A1D">
        <w:rPr>
          <w:rFonts w:eastAsia="Times New Roman" w:cstheme="minorHAnsi"/>
          <w:color w:val="242121"/>
          <w:sz w:val="28"/>
          <w:szCs w:val="28"/>
          <w:lang w:eastAsia="en-ZA"/>
        </w:rPr>
        <w:t>“</w:t>
      </w:r>
      <w:r w:rsidR="00C60029" w:rsidRPr="008F3EB8">
        <w:rPr>
          <w:rFonts w:eastAsia="Times New Roman" w:cstheme="minorHAnsi"/>
          <w:i/>
          <w:iCs/>
          <w:color w:val="242121"/>
          <w:sz w:val="28"/>
          <w:szCs w:val="28"/>
          <w:lang w:eastAsia="en-ZA"/>
        </w:rPr>
        <w:t>when special circumst</w:t>
      </w:r>
      <w:r w:rsidR="00EE62F9" w:rsidRPr="008F3EB8">
        <w:rPr>
          <w:rFonts w:eastAsia="Times New Roman" w:cstheme="minorHAnsi"/>
          <w:i/>
          <w:iCs/>
          <w:color w:val="242121"/>
          <w:sz w:val="28"/>
          <w:szCs w:val="28"/>
          <w:lang w:eastAsia="en-ZA"/>
        </w:rPr>
        <w:t>a</w:t>
      </w:r>
      <w:r w:rsidR="00C60029" w:rsidRPr="008F3EB8">
        <w:rPr>
          <w:rFonts w:eastAsia="Times New Roman" w:cstheme="minorHAnsi"/>
          <w:i/>
          <w:iCs/>
          <w:color w:val="242121"/>
          <w:sz w:val="28"/>
          <w:szCs w:val="28"/>
          <w:lang w:eastAsia="en-ZA"/>
        </w:rPr>
        <w:t xml:space="preserve">nces exist </w:t>
      </w:r>
      <w:r w:rsidR="00963A1D" w:rsidRPr="008F3EB8">
        <w:rPr>
          <w:rFonts w:eastAsia="Times New Roman" w:cstheme="minorHAnsi"/>
          <w:i/>
          <w:iCs/>
          <w:color w:val="242121"/>
          <w:sz w:val="28"/>
          <w:szCs w:val="28"/>
          <w:lang w:eastAsia="en-ZA"/>
        </w:rPr>
        <w:t xml:space="preserve">which </w:t>
      </w:r>
      <w:r w:rsidR="008F3EB8" w:rsidRPr="008F3EB8">
        <w:rPr>
          <w:rFonts w:eastAsia="Times New Roman" w:cstheme="minorHAnsi"/>
          <w:i/>
          <w:iCs/>
          <w:color w:val="242121"/>
          <w:sz w:val="28"/>
          <w:szCs w:val="28"/>
          <w:lang w:eastAsia="en-ZA"/>
        </w:rPr>
        <w:t xml:space="preserve">would </w:t>
      </w:r>
      <w:r w:rsidR="00C60029" w:rsidRPr="008F3EB8">
        <w:rPr>
          <w:rFonts w:eastAsia="Times New Roman" w:cstheme="minorHAnsi"/>
          <w:i/>
          <w:iCs/>
          <w:color w:val="242121"/>
          <w:sz w:val="28"/>
          <w:szCs w:val="28"/>
          <w:lang w:eastAsia="en-ZA"/>
        </w:rPr>
        <w:t xml:space="preserve">justify </w:t>
      </w:r>
      <w:r w:rsidR="00EE62F9" w:rsidRPr="008F3EB8">
        <w:rPr>
          <w:rFonts w:eastAsia="Times New Roman" w:cstheme="minorHAnsi"/>
          <w:i/>
          <w:iCs/>
          <w:color w:val="242121"/>
          <w:sz w:val="28"/>
          <w:szCs w:val="28"/>
          <w:lang w:eastAsia="en-ZA"/>
        </w:rPr>
        <w:t xml:space="preserve">such </w:t>
      </w:r>
      <w:r w:rsidR="008F3EB8" w:rsidRPr="008F3EB8">
        <w:rPr>
          <w:rFonts w:eastAsia="Times New Roman" w:cstheme="minorHAnsi"/>
          <w:i/>
          <w:iCs/>
          <w:color w:val="242121"/>
          <w:sz w:val="28"/>
          <w:szCs w:val="28"/>
          <w:lang w:eastAsia="en-ZA"/>
        </w:rPr>
        <w:t>a decision</w:t>
      </w:r>
      <w:r w:rsidR="008F3EB8">
        <w:rPr>
          <w:rFonts w:eastAsia="Times New Roman" w:cstheme="minorHAnsi"/>
          <w:color w:val="242121"/>
          <w:sz w:val="28"/>
          <w:szCs w:val="28"/>
          <w:lang w:eastAsia="en-ZA"/>
        </w:rPr>
        <w:t>.”</w:t>
      </w:r>
      <w:r w:rsidR="00F15051">
        <w:rPr>
          <w:rFonts w:eastAsia="Times New Roman" w:cstheme="minorHAnsi"/>
          <w:color w:val="242121"/>
          <w:sz w:val="28"/>
          <w:szCs w:val="28"/>
          <w:lang w:eastAsia="en-ZA"/>
        </w:rPr>
        <w:t xml:space="preserve"> In considering the</w:t>
      </w:r>
      <w:r w:rsidR="003A02A5">
        <w:rPr>
          <w:rFonts w:eastAsia="Times New Roman" w:cstheme="minorHAnsi"/>
          <w:color w:val="242121"/>
          <w:sz w:val="28"/>
          <w:szCs w:val="28"/>
          <w:lang w:eastAsia="en-ZA"/>
        </w:rPr>
        <w:t xml:space="preserve"> Minister’s discretion under section 31(2)(b), the court in </w:t>
      </w:r>
      <w:proofErr w:type="spellStart"/>
      <w:r w:rsidR="006E2DF6" w:rsidRPr="00323F2D">
        <w:rPr>
          <w:rFonts w:eastAsia="Times New Roman" w:cstheme="minorHAnsi"/>
          <w:b/>
          <w:bCs/>
          <w:color w:val="242121"/>
          <w:sz w:val="28"/>
          <w:szCs w:val="28"/>
          <w:lang w:eastAsia="en-ZA"/>
        </w:rPr>
        <w:t>Kuhudzai</w:t>
      </w:r>
      <w:proofErr w:type="spellEnd"/>
      <w:r w:rsidR="006E2DF6" w:rsidRPr="00323F2D">
        <w:rPr>
          <w:rFonts w:eastAsia="Times New Roman" w:cstheme="minorHAnsi"/>
          <w:b/>
          <w:bCs/>
          <w:color w:val="242121"/>
          <w:sz w:val="28"/>
          <w:szCs w:val="28"/>
          <w:lang w:eastAsia="en-ZA"/>
        </w:rPr>
        <w:t xml:space="preserve"> and Another v Minister of Home Affairs</w:t>
      </w:r>
      <w:r w:rsidR="0031765A">
        <w:rPr>
          <w:rStyle w:val="FootnoteReference"/>
          <w:rFonts w:eastAsia="Times New Roman" w:cstheme="minorHAnsi"/>
          <w:color w:val="242121"/>
          <w:sz w:val="28"/>
          <w:szCs w:val="28"/>
          <w:lang w:eastAsia="en-ZA"/>
        </w:rPr>
        <w:footnoteReference w:id="12"/>
      </w:r>
      <w:r w:rsidR="00323F2D">
        <w:rPr>
          <w:rFonts w:eastAsia="Times New Roman" w:cstheme="minorHAnsi"/>
          <w:b/>
          <w:bCs/>
          <w:color w:val="242121"/>
          <w:sz w:val="28"/>
          <w:szCs w:val="28"/>
          <w:lang w:eastAsia="en-ZA"/>
        </w:rPr>
        <w:t xml:space="preserve"> </w:t>
      </w:r>
      <w:r w:rsidR="00323F2D" w:rsidRPr="00323F2D">
        <w:rPr>
          <w:rFonts w:eastAsia="Times New Roman" w:cstheme="minorHAnsi"/>
          <w:color w:val="242121"/>
          <w:sz w:val="28"/>
          <w:szCs w:val="28"/>
          <w:lang w:eastAsia="en-ZA"/>
        </w:rPr>
        <w:t>held</w:t>
      </w:r>
      <w:r w:rsidR="00C37A71">
        <w:rPr>
          <w:rFonts w:eastAsia="Times New Roman" w:cstheme="minorHAnsi"/>
          <w:color w:val="242121"/>
          <w:sz w:val="28"/>
          <w:szCs w:val="28"/>
          <w:lang w:eastAsia="en-ZA"/>
        </w:rPr>
        <w:t xml:space="preserve">: </w:t>
      </w:r>
    </w:p>
    <w:p w14:paraId="12D4F2B5" w14:textId="77777777" w:rsidR="00CB4C4F" w:rsidRPr="00C37A71" w:rsidRDefault="00CB4C4F" w:rsidP="00CB4C4F">
      <w:pPr>
        <w:pStyle w:val="ListParagraph"/>
        <w:spacing w:line="360" w:lineRule="auto"/>
        <w:ind w:left="360"/>
        <w:jc w:val="both"/>
        <w:rPr>
          <w:rFonts w:cstheme="minorHAnsi"/>
          <w:sz w:val="28"/>
          <w:szCs w:val="28"/>
          <w:lang w:val="en-US"/>
        </w:rPr>
      </w:pPr>
    </w:p>
    <w:p w14:paraId="4E698B7F" w14:textId="40AA89EC" w:rsidR="000E626B" w:rsidRPr="00AB4670" w:rsidRDefault="00AB4670" w:rsidP="00AB4670">
      <w:pPr>
        <w:spacing w:line="360" w:lineRule="auto"/>
        <w:ind w:left="1440"/>
        <w:jc w:val="both"/>
        <w:rPr>
          <w:rFonts w:cstheme="minorHAnsi"/>
          <w:sz w:val="28"/>
          <w:szCs w:val="28"/>
          <w:lang w:val="en-US"/>
        </w:rPr>
      </w:pPr>
      <w:r>
        <w:rPr>
          <w:rFonts w:eastAsia="Times New Roman" w:cstheme="minorHAnsi"/>
          <w:color w:val="242121"/>
          <w:sz w:val="28"/>
          <w:szCs w:val="28"/>
          <w:lang w:eastAsia="en-ZA"/>
        </w:rPr>
        <w:lastRenderedPageBreak/>
        <w:t>“</w:t>
      </w:r>
      <w:r w:rsidRPr="00AB4670">
        <w:rPr>
          <w:rFonts w:cstheme="minorHAnsi"/>
          <w:i/>
          <w:iCs/>
          <w:sz w:val="28"/>
          <w:szCs w:val="28"/>
          <w:shd w:val="clear" w:color="auto" w:fill="FFFFFF"/>
        </w:rPr>
        <w:t xml:space="preserve">In the circumstances it is clear from the reasons which the Minister gave for rejecting the application that he failed to apply his mind to the </w:t>
      </w:r>
      <w:r w:rsidRPr="002D4F95">
        <w:rPr>
          <w:rFonts w:cstheme="minorHAnsi"/>
          <w:i/>
          <w:iCs/>
          <w:sz w:val="28"/>
          <w:szCs w:val="28"/>
          <w:shd w:val="clear" w:color="auto" w:fill="FFFFFF"/>
        </w:rPr>
        <w:t>full panoply of facts</w:t>
      </w:r>
      <w:r w:rsidRPr="00AB4670">
        <w:rPr>
          <w:rFonts w:cstheme="minorHAnsi"/>
          <w:i/>
          <w:iCs/>
          <w:sz w:val="28"/>
          <w:szCs w:val="28"/>
          <w:shd w:val="clear" w:color="auto" w:fill="FFFFFF"/>
        </w:rPr>
        <w:t xml:space="preserve"> and circumstances which had been put forward in the application, and thereby failed to consider whether there were special circumstances present which justified the grant of permanent residence rights to the first applicant, and whether in consequence thereof good cause existed to waive the prescribed requirements. By doing so he failed to properly exercise the discretion which was conferred upon him by the Act, and his decision falls to be set aside.</w:t>
      </w:r>
      <w:r>
        <w:rPr>
          <w:rFonts w:cstheme="minorHAnsi"/>
          <w:sz w:val="28"/>
          <w:szCs w:val="28"/>
          <w:shd w:val="clear" w:color="auto" w:fill="FFFFFF"/>
        </w:rPr>
        <w:t>”</w:t>
      </w:r>
      <w:r w:rsidR="002D4F95">
        <w:rPr>
          <w:rStyle w:val="FootnoteReference"/>
          <w:rFonts w:cstheme="minorHAnsi"/>
          <w:sz w:val="28"/>
          <w:szCs w:val="28"/>
          <w:shd w:val="clear" w:color="auto" w:fill="FFFFFF"/>
        </w:rPr>
        <w:footnoteReference w:id="13"/>
      </w:r>
      <w:r w:rsidR="00323F2D" w:rsidRPr="00AB4670">
        <w:rPr>
          <w:rFonts w:eastAsia="Times New Roman" w:cstheme="minorHAnsi"/>
          <w:sz w:val="28"/>
          <w:szCs w:val="28"/>
          <w:lang w:eastAsia="en-ZA"/>
        </w:rPr>
        <w:t xml:space="preserve"> </w:t>
      </w:r>
    </w:p>
    <w:p w14:paraId="2283029B" w14:textId="77777777" w:rsidR="00F15051" w:rsidRPr="00722E8F" w:rsidRDefault="00F15051" w:rsidP="00F15051">
      <w:pPr>
        <w:pStyle w:val="ListParagraph"/>
        <w:spacing w:line="360" w:lineRule="auto"/>
        <w:ind w:left="360"/>
        <w:jc w:val="both"/>
        <w:rPr>
          <w:rFonts w:cstheme="minorHAnsi"/>
          <w:sz w:val="28"/>
          <w:szCs w:val="28"/>
          <w:lang w:val="en-US"/>
        </w:rPr>
      </w:pPr>
    </w:p>
    <w:p w14:paraId="60E6D4A4" w14:textId="38B8E503" w:rsidR="0084303B" w:rsidRDefault="001556FF" w:rsidP="002A1119">
      <w:pPr>
        <w:pStyle w:val="ListParagraph"/>
        <w:numPr>
          <w:ilvl w:val="0"/>
          <w:numId w:val="1"/>
        </w:numPr>
        <w:spacing w:line="360" w:lineRule="auto"/>
        <w:ind w:left="0" w:firstLine="0"/>
        <w:jc w:val="both"/>
        <w:rPr>
          <w:sz w:val="28"/>
          <w:szCs w:val="28"/>
          <w:lang w:val="en-US"/>
        </w:rPr>
      </w:pPr>
      <w:r>
        <w:rPr>
          <w:sz w:val="28"/>
          <w:szCs w:val="28"/>
          <w:lang w:val="en-US"/>
        </w:rPr>
        <w:t xml:space="preserve">The </w:t>
      </w:r>
      <w:r w:rsidR="004B3B9F">
        <w:rPr>
          <w:sz w:val="28"/>
          <w:szCs w:val="28"/>
          <w:lang w:val="en-US"/>
        </w:rPr>
        <w:t>sub-</w:t>
      </w:r>
      <w:r>
        <w:rPr>
          <w:sz w:val="28"/>
          <w:szCs w:val="28"/>
          <w:lang w:val="en-US"/>
        </w:rPr>
        <w:t xml:space="preserve">regulations quoted above requires </w:t>
      </w:r>
      <w:r w:rsidR="00445607">
        <w:rPr>
          <w:sz w:val="28"/>
          <w:szCs w:val="28"/>
          <w:lang w:val="en-US"/>
        </w:rPr>
        <w:t xml:space="preserve">written reasons </w:t>
      </w:r>
      <w:r w:rsidR="00E964CE">
        <w:rPr>
          <w:sz w:val="28"/>
          <w:szCs w:val="28"/>
          <w:lang w:val="en-US"/>
        </w:rPr>
        <w:t>to justify</w:t>
      </w:r>
      <w:r w:rsidR="00445607">
        <w:rPr>
          <w:sz w:val="28"/>
          <w:szCs w:val="28"/>
          <w:lang w:val="en-US"/>
        </w:rPr>
        <w:t xml:space="preserve"> a decision </w:t>
      </w:r>
      <w:r w:rsidR="004A1F71">
        <w:rPr>
          <w:sz w:val="28"/>
          <w:szCs w:val="28"/>
          <w:lang w:val="en-US"/>
        </w:rPr>
        <w:t>contemplated</w:t>
      </w:r>
      <w:r w:rsidR="00445607">
        <w:rPr>
          <w:sz w:val="28"/>
          <w:szCs w:val="28"/>
          <w:lang w:val="en-US"/>
        </w:rPr>
        <w:t xml:space="preserve"> in terms of section 29(2) of the Act.</w:t>
      </w:r>
      <w:r w:rsidR="00E51D4F">
        <w:rPr>
          <w:sz w:val="28"/>
          <w:szCs w:val="28"/>
          <w:lang w:val="en-US"/>
        </w:rPr>
        <w:t xml:space="preserve"> </w:t>
      </w:r>
      <w:r w:rsidR="001156D4">
        <w:rPr>
          <w:sz w:val="28"/>
          <w:szCs w:val="28"/>
          <w:lang w:val="en-US"/>
        </w:rPr>
        <w:t>It reinforces the trite principle</w:t>
      </w:r>
      <w:r w:rsidR="00931EC1">
        <w:rPr>
          <w:sz w:val="28"/>
          <w:szCs w:val="28"/>
          <w:lang w:val="en-US"/>
        </w:rPr>
        <w:t xml:space="preserve"> that </w:t>
      </w:r>
      <w:r w:rsidR="00E964CE">
        <w:rPr>
          <w:sz w:val="28"/>
          <w:szCs w:val="28"/>
          <w:lang w:val="en-US"/>
        </w:rPr>
        <w:t>those making</w:t>
      </w:r>
      <w:r w:rsidR="00162899">
        <w:rPr>
          <w:sz w:val="28"/>
          <w:szCs w:val="28"/>
          <w:lang w:val="en-US"/>
        </w:rPr>
        <w:t xml:space="preserve"> </w:t>
      </w:r>
      <w:r w:rsidR="00626FE1">
        <w:rPr>
          <w:sz w:val="28"/>
          <w:szCs w:val="28"/>
          <w:lang w:val="en-US"/>
        </w:rPr>
        <w:t xml:space="preserve">administrative </w:t>
      </w:r>
      <w:r w:rsidR="00E964CE">
        <w:rPr>
          <w:sz w:val="28"/>
          <w:szCs w:val="28"/>
          <w:lang w:val="en-US"/>
        </w:rPr>
        <w:t>decisions</w:t>
      </w:r>
      <w:r w:rsidR="00626FE1">
        <w:rPr>
          <w:sz w:val="28"/>
          <w:szCs w:val="28"/>
          <w:lang w:val="en-US"/>
        </w:rPr>
        <w:t xml:space="preserve"> </w:t>
      </w:r>
      <w:r w:rsidR="00C2786B">
        <w:rPr>
          <w:sz w:val="28"/>
          <w:szCs w:val="28"/>
          <w:lang w:val="en-US"/>
        </w:rPr>
        <w:t>must</w:t>
      </w:r>
      <w:r w:rsidR="00E964CE">
        <w:rPr>
          <w:sz w:val="28"/>
          <w:szCs w:val="28"/>
          <w:lang w:val="en-US"/>
        </w:rPr>
        <w:t xml:space="preserve"> provide</w:t>
      </w:r>
      <w:r w:rsidR="00C2786B">
        <w:rPr>
          <w:sz w:val="28"/>
          <w:szCs w:val="28"/>
          <w:lang w:val="en-US"/>
        </w:rPr>
        <w:t xml:space="preserve"> adequate </w:t>
      </w:r>
      <w:r w:rsidR="00626FE1">
        <w:rPr>
          <w:sz w:val="28"/>
          <w:szCs w:val="28"/>
          <w:lang w:val="en-US"/>
        </w:rPr>
        <w:t>reasons</w:t>
      </w:r>
      <w:r w:rsidR="00E964CE">
        <w:rPr>
          <w:sz w:val="28"/>
          <w:szCs w:val="28"/>
          <w:lang w:val="en-US"/>
        </w:rPr>
        <w:t xml:space="preserve"> and justifications</w:t>
      </w:r>
      <w:r w:rsidR="00626FE1">
        <w:rPr>
          <w:sz w:val="28"/>
          <w:szCs w:val="28"/>
          <w:lang w:val="en-US"/>
        </w:rPr>
        <w:t>. Such reasons</w:t>
      </w:r>
      <w:r w:rsidR="00852234">
        <w:rPr>
          <w:sz w:val="28"/>
          <w:szCs w:val="28"/>
          <w:lang w:val="en-US"/>
        </w:rPr>
        <w:t>, depending on the circumstances,</w:t>
      </w:r>
      <w:r w:rsidR="00626FE1">
        <w:rPr>
          <w:sz w:val="28"/>
          <w:szCs w:val="28"/>
          <w:lang w:val="en-US"/>
        </w:rPr>
        <w:t xml:space="preserve"> need not </w:t>
      </w:r>
      <w:r w:rsidR="0090629C">
        <w:rPr>
          <w:sz w:val="28"/>
          <w:szCs w:val="28"/>
          <w:lang w:val="en-US"/>
        </w:rPr>
        <w:t xml:space="preserve">always </w:t>
      </w:r>
      <w:r w:rsidR="00626FE1">
        <w:rPr>
          <w:sz w:val="28"/>
          <w:szCs w:val="28"/>
          <w:lang w:val="en-US"/>
        </w:rPr>
        <w:t xml:space="preserve">be </w:t>
      </w:r>
      <w:r w:rsidR="00852234">
        <w:rPr>
          <w:sz w:val="28"/>
          <w:szCs w:val="28"/>
          <w:lang w:val="en-US"/>
        </w:rPr>
        <w:t>“</w:t>
      </w:r>
      <w:r w:rsidR="00852234" w:rsidRPr="00931EC1">
        <w:rPr>
          <w:i/>
          <w:iCs/>
          <w:sz w:val="28"/>
          <w:szCs w:val="28"/>
          <w:lang w:val="en-US"/>
        </w:rPr>
        <w:t>full written reasons</w:t>
      </w:r>
      <w:r w:rsidR="00852234">
        <w:rPr>
          <w:sz w:val="28"/>
          <w:szCs w:val="28"/>
          <w:lang w:val="en-US"/>
        </w:rPr>
        <w:t>”</w:t>
      </w:r>
      <w:r w:rsidR="00E16F6D">
        <w:rPr>
          <w:sz w:val="28"/>
          <w:szCs w:val="28"/>
          <w:lang w:val="en-US"/>
        </w:rPr>
        <w:t xml:space="preserve">, but brief reasons </w:t>
      </w:r>
      <w:r w:rsidR="00E964CE">
        <w:rPr>
          <w:sz w:val="28"/>
          <w:szCs w:val="28"/>
          <w:lang w:val="en-US"/>
        </w:rPr>
        <w:t xml:space="preserve">which are succinct </w:t>
      </w:r>
      <w:r w:rsidR="0026736F">
        <w:rPr>
          <w:sz w:val="28"/>
          <w:szCs w:val="28"/>
          <w:lang w:val="en-US"/>
        </w:rPr>
        <w:t xml:space="preserve">and informative </w:t>
      </w:r>
      <w:r w:rsidR="00E16F6D">
        <w:rPr>
          <w:sz w:val="28"/>
          <w:szCs w:val="28"/>
          <w:lang w:val="en-US"/>
        </w:rPr>
        <w:t xml:space="preserve">may suffice as long as they are </w:t>
      </w:r>
      <w:r w:rsidR="0026736F">
        <w:rPr>
          <w:sz w:val="28"/>
          <w:szCs w:val="28"/>
          <w:lang w:val="en-US"/>
        </w:rPr>
        <w:t>sufficient</w:t>
      </w:r>
      <w:r w:rsidR="00E16F6D">
        <w:rPr>
          <w:sz w:val="28"/>
          <w:szCs w:val="28"/>
          <w:lang w:val="en-US"/>
        </w:rPr>
        <w:t xml:space="preserve"> in the sense that they convey what the decision maker thinks</w:t>
      </w:r>
      <w:r w:rsidR="00673151">
        <w:rPr>
          <w:sz w:val="28"/>
          <w:szCs w:val="28"/>
          <w:lang w:val="en-US"/>
        </w:rPr>
        <w:t xml:space="preserve"> why the administrative </w:t>
      </w:r>
      <w:r w:rsidR="0093551B">
        <w:rPr>
          <w:sz w:val="28"/>
          <w:szCs w:val="28"/>
          <w:lang w:val="en-US"/>
        </w:rPr>
        <w:t>decision is justified.</w:t>
      </w:r>
      <w:r w:rsidR="0093551B">
        <w:rPr>
          <w:rStyle w:val="FootnoteReference"/>
          <w:sz w:val="28"/>
          <w:szCs w:val="28"/>
          <w:lang w:val="en-US"/>
        </w:rPr>
        <w:footnoteReference w:id="14"/>
      </w:r>
      <w:r w:rsidR="00673151">
        <w:rPr>
          <w:sz w:val="28"/>
          <w:szCs w:val="28"/>
          <w:lang w:val="en-US"/>
        </w:rPr>
        <w:t xml:space="preserve"> </w:t>
      </w:r>
    </w:p>
    <w:p w14:paraId="3B0ABC19" w14:textId="77777777" w:rsidR="001642E9" w:rsidRPr="001642E9" w:rsidRDefault="001642E9" w:rsidP="001642E9">
      <w:pPr>
        <w:pStyle w:val="ListParagraph"/>
        <w:spacing w:line="360" w:lineRule="auto"/>
        <w:ind w:left="360"/>
        <w:jc w:val="both"/>
        <w:rPr>
          <w:sz w:val="28"/>
          <w:szCs w:val="28"/>
          <w:lang w:val="en-US"/>
        </w:rPr>
      </w:pPr>
    </w:p>
    <w:p w14:paraId="27F9F9C1" w14:textId="55C8871B" w:rsidR="0084303B" w:rsidRDefault="00314808" w:rsidP="002A1119">
      <w:pPr>
        <w:pStyle w:val="ListParagraph"/>
        <w:numPr>
          <w:ilvl w:val="0"/>
          <w:numId w:val="1"/>
        </w:numPr>
        <w:spacing w:line="360" w:lineRule="auto"/>
        <w:ind w:left="0" w:firstLine="0"/>
        <w:jc w:val="both"/>
        <w:rPr>
          <w:sz w:val="28"/>
          <w:szCs w:val="28"/>
          <w:lang w:val="en-US"/>
        </w:rPr>
      </w:pPr>
      <w:r>
        <w:rPr>
          <w:sz w:val="28"/>
          <w:szCs w:val="28"/>
          <w:lang w:val="en-US"/>
        </w:rPr>
        <w:t xml:space="preserve">In the present matter, the reasons for the Minister’s decision is </w:t>
      </w:r>
      <w:r w:rsidR="00DF2617">
        <w:rPr>
          <w:sz w:val="28"/>
          <w:szCs w:val="28"/>
          <w:lang w:val="en-US"/>
        </w:rPr>
        <w:t>that the applicant “</w:t>
      </w:r>
      <w:r w:rsidR="00DF2617" w:rsidRPr="00816B85">
        <w:rPr>
          <w:i/>
          <w:iCs/>
          <w:sz w:val="28"/>
          <w:szCs w:val="28"/>
          <w:lang w:val="en-US"/>
        </w:rPr>
        <w:t xml:space="preserve">obtained a fraudulent </w:t>
      </w:r>
      <w:r w:rsidR="000F173D" w:rsidRPr="00816B85">
        <w:rPr>
          <w:i/>
          <w:iCs/>
          <w:sz w:val="28"/>
          <w:szCs w:val="28"/>
          <w:lang w:val="en-US"/>
        </w:rPr>
        <w:t xml:space="preserve">work </w:t>
      </w:r>
      <w:r w:rsidR="00DF2617" w:rsidRPr="00816B85">
        <w:rPr>
          <w:i/>
          <w:iCs/>
          <w:sz w:val="28"/>
          <w:szCs w:val="28"/>
          <w:lang w:val="en-US"/>
        </w:rPr>
        <w:t xml:space="preserve">visa </w:t>
      </w:r>
      <w:r w:rsidR="000F173D" w:rsidRPr="00816B85">
        <w:rPr>
          <w:i/>
          <w:iCs/>
          <w:sz w:val="28"/>
          <w:szCs w:val="28"/>
          <w:lang w:val="en-US"/>
        </w:rPr>
        <w:t>in the country and as a result contravened the Immigration Act</w:t>
      </w:r>
      <w:r w:rsidR="00816B85">
        <w:rPr>
          <w:sz w:val="28"/>
          <w:szCs w:val="28"/>
          <w:lang w:val="en-US"/>
        </w:rPr>
        <w:t>”.</w:t>
      </w:r>
      <w:r w:rsidR="00FA1936">
        <w:rPr>
          <w:sz w:val="28"/>
          <w:szCs w:val="28"/>
          <w:lang w:val="en-US"/>
        </w:rPr>
        <w:t xml:space="preserve"> The Minister furthermore </w:t>
      </w:r>
      <w:r w:rsidR="008214C8">
        <w:rPr>
          <w:sz w:val="28"/>
          <w:szCs w:val="28"/>
          <w:lang w:val="en-US"/>
        </w:rPr>
        <w:t>confirmed the applicant’s “</w:t>
      </w:r>
      <w:r w:rsidR="008214C8" w:rsidRPr="002536B3">
        <w:rPr>
          <w:i/>
          <w:iCs/>
          <w:sz w:val="28"/>
          <w:szCs w:val="28"/>
          <w:lang w:val="en-US"/>
        </w:rPr>
        <w:t xml:space="preserve">prohibition </w:t>
      </w:r>
      <w:proofErr w:type="spellStart"/>
      <w:r w:rsidR="008214C8" w:rsidRPr="002536B3">
        <w:rPr>
          <w:i/>
          <w:iCs/>
          <w:sz w:val="28"/>
          <w:szCs w:val="28"/>
          <w:lang w:val="en-US"/>
        </w:rPr>
        <w:t>upliftment</w:t>
      </w:r>
      <w:proofErr w:type="spellEnd"/>
      <w:r w:rsidR="008214C8" w:rsidRPr="002536B3">
        <w:rPr>
          <w:i/>
          <w:iCs/>
          <w:sz w:val="28"/>
          <w:szCs w:val="28"/>
          <w:lang w:val="en-US"/>
        </w:rPr>
        <w:t xml:space="preserve"> </w:t>
      </w:r>
      <w:r w:rsidR="00CC6100" w:rsidRPr="002536B3">
        <w:rPr>
          <w:i/>
          <w:iCs/>
          <w:sz w:val="28"/>
          <w:szCs w:val="28"/>
          <w:lang w:val="en-US"/>
        </w:rPr>
        <w:t>rejection letter dated 30 June 2021</w:t>
      </w:r>
      <w:r w:rsidR="006F7BDC">
        <w:rPr>
          <w:rStyle w:val="FootnoteReference"/>
          <w:i/>
          <w:iCs/>
          <w:sz w:val="28"/>
          <w:szCs w:val="28"/>
          <w:lang w:val="en-US"/>
        </w:rPr>
        <w:footnoteReference w:id="15"/>
      </w:r>
      <w:r w:rsidR="002536B3">
        <w:rPr>
          <w:sz w:val="28"/>
          <w:szCs w:val="28"/>
          <w:lang w:val="en-US"/>
        </w:rPr>
        <w:t>”.</w:t>
      </w:r>
      <w:r w:rsidR="00903DBC">
        <w:rPr>
          <w:sz w:val="28"/>
          <w:szCs w:val="28"/>
          <w:lang w:val="en-US"/>
        </w:rPr>
        <w:t xml:space="preserve"> It can </w:t>
      </w:r>
      <w:r w:rsidR="00903DBC">
        <w:rPr>
          <w:sz w:val="28"/>
          <w:szCs w:val="28"/>
          <w:lang w:val="en-US"/>
        </w:rPr>
        <w:lastRenderedPageBreak/>
        <w:t xml:space="preserve">safely be assumed that the letter referred to by the Minister is the </w:t>
      </w:r>
      <w:r w:rsidR="00C713F6">
        <w:rPr>
          <w:sz w:val="28"/>
          <w:szCs w:val="28"/>
          <w:lang w:val="en-US"/>
        </w:rPr>
        <w:t xml:space="preserve">undated </w:t>
      </w:r>
      <w:r w:rsidR="00903DBC">
        <w:rPr>
          <w:sz w:val="28"/>
          <w:szCs w:val="28"/>
          <w:lang w:val="en-US"/>
        </w:rPr>
        <w:t xml:space="preserve">letter </w:t>
      </w:r>
      <w:r w:rsidR="00C713F6">
        <w:rPr>
          <w:sz w:val="28"/>
          <w:szCs w:val="28"/>
          <w:lang w:val="en-US"/>
        </w:rPr>
        <w:t xml:space="preserve">which the applicant received from the DG, and which the </w:t>
      </w:r>
      <w:r w:rsidR="00B923F9">
        <w:rPr>
          <w:sz w:val="28"/>
          <w:szCs w:val="28"/>
          <w:lang w:val="en-US"/>
        </w:rPr>
        <w:t>applicant undisputedly avers she received on 20 July 2021.</w:t>
      </w:r>
      <w:r w:rsidR="006B64FC">
        <w:rPr>
          <w:sz w:val="28"/>
          <w:szCs w:val="28"/>
          <w:lang w:val="en-US"/>
        </w:rPr>
        <w:t xml:space="preserve"> </w:t>
      </w:r>
      <w:r w:rsidR="00264580">
        <w:rPr>
          <w:sz w:val="28"/>
          <w:szCs w:val="28"/>
          <w:lang w:val="en-US"/>
        </w:rPr>
        <w:t xml:space="preserve">In this letter, the </w:t>
      </w:r>
      <w:r w:rsidR="00C6704E">
        <w:rPr>
          <w:sz w:val="28"/>
          <w:szCs w:val="28"/>
          <w:lang w:val="en-US"/>
        </w:rPr>
        <w:t xml:space="preserve">DG advised the </w:t>
      </w:r>
      <w:r w:rsidR="00264580">
        <w:rPr>
          <w:sz w:val="28"/>
          <w:szCs w:val="28"/>
          <w:lang w:val="en-US"/>
        </w:rPr>
        <w:t xml:space="preserve">applicant </w:t>
      </w:r>
      <w:r w:rsidR="00527546">
        <w:rPr>
          <w:sz w:val="28"/>
          <w:szCs w:val="28"/>
          <w:lang w:val="en-US"/>
        </w:rPr>
        <w:t>as follows:</w:t>
      </w:r>
    </w:p>
    <w:p w14:paraId="473E6340" w14:textId="67A1E912" w:rsidR="00527546" w:rsidRPr="00527546" w:rsidRDefault="00527546" w:rsidP="001F36B3">
      <w:pPr>
        <w:pStyle w:val="ListParagraph"/>
        <w:ind w:left="1440"/>
        <w:rPr>
          <w:sz w:val="28"/>
          <w:szCs w:val="28"/>
          <w:lang w:val="en-US"/>
        </w:rPr>
      </w:pPr>
    </w:p>
    <w:p w14:paraId="14777E8B" w14:textId="66DF7A0D" w:rsidR="00527546" w:rsidRPr="003646E3" w:rsidRDefault="00527546" w:rsidP="00527546">
      <w:pPr>
        <w:pStyle w:val="ListParagraph"/>
        <w:spacing w:line="360" w:lineRule="auto"/>
        <w:ind w:left="1440"/>
        <w:jc w:val="both"/>
        <w:rPr>
          <w:i/>
          <w:iCs/>
          <w:sz w:val="28"/>
          <w:szCs w:val="28"/>
          <w:lang w:val="en-GB"/>
        </w:rPr>
      </w:pPr>
      <w:r>
        <w:rPr>
          <w:sz w:val="28"/>
          <w:szCs w:val="28"/>
          <w:lang w:val="en-US"/>
        </w:rPr>
        <w:t>“</w:t>
      </w:r>
      <w:r w:rsidR="001F36B3" w:rsidRPr="003646E3">
        <w:rPr>
          <w:i/>
          <w:iCs/>
          <w:sz w:val="28"/>
          <w:szCs w:val="28"/>
          <w:lang w:val="en-GB"/>
        </w:rPr>
        <w:t>Y</w:t>
      </w:r>
      <w:r w:rsidRPr="003646E3">
        <w:rPr>
          <w:i/>
          <w:iCs/>
          <w:sz w:val="28"/>
          <w:szCs w:val="28"/>
          <w:lang w:val="en-GB"/>
        </w:rPr>
        <w:t xml:space="preserve">ou </w:t>
      </w:r>
      <w:r w:rsidR="001F36B3" w:rsidRPr="003646E3">
        <w:rPr>
          <w:i/>
          <w:iCs/>
          <w:sz w:val="28"/>
          <w:szCs w:val="28"/>
          <w:lang w:val="en-GB"/>
        </w:rPr>
        <w:t>fraudulently</w:t>
      </w:r>
      <w:r w:rsidRPr="003646E3">
        <w:rPr>
          <w:i/>
          <w:iCs/>
          <w:sz w:val="28"/>
          <w:szCs w:val="28"/>
          <w:lang w:val="en-GB"/>
        </w:rPr>
        <w:t xml:space="preserve"> obtained a work visa in the country.</w:t>
      </w:r>
    </w:p>
    <w:p w14:paraId="0F398E74" w14:textId="77777777" w:rsidR="00527546" w:rsidRPr="003646E3" w:rsidRDefault="00527546" w:rsidP="00527546">
      <w:pPr>
        <w:pStyle w:val="ListParagraph"/>
        <w:spacing w:line="360" w:lineRule="auto"/>
        <w:ind w:left="1440"/>
        <w:jc w:val="both"/>
        <w:rPr>
          <w:i/>
          <w:iCs/>
          <w:sz w:val="28"/>
          <w:szCs w:val="28"/>
          <w:lang w:val="en-GB"/>
        </w:rPr>
      </w:pPr>
    </w:p>
    <w:p w14:paraId="536CB915" w14:textId="4BB70CE8" w:rsidR="00527546" w:rsidRPr="003646E3" w:rsidRDefault="00207714" w:rsidP="00527546">
      <w:pPr>
        <w:pStyle w:val="ListParagraph"/>
        <w:spacing w:line="360" w:lineRule="auto"/>
        <w:ind w:left="1440"/>
        <w:jc w:val="both"/>
        <w:rPr>
          <w:i/>
          <w:iCs/>
          <w:sz w:val="28"/>
          <w:szCs w:val="28"/>
          <w:lang w:val="en-GB"/>
        </w:rPr>
      </w:pPr>
      <w:r w:rsidRPr="003646E3">
        <w:rPr>
          <w:i/>
          <w:iCs/>
          <w:sz w:val="28"/>
          <w:szCs w:val="28"/>
          <w:lang w:val="en-GB"/>
        </w:rPr>
        <w:t>You claim to have used an Immigration Agent’s service to obtain a work visa with no substantial evidence.</w:t>
      </w:r>
    </w:p>
    <w:p w14:paraId="71C0EF23" w14:textId="77777777" w:rsidR="00E43071" w:rsidRPr="003646E3" w:rsidRDefault="00E43071" w:rsidP="00527546">
      <w:pPr>
        <w:pStyle w:val="ListParagraph"/>
        <w:spacing w:line="360" w:lineRule="auto"/>
        <w:ind w:left="1440"/>
        <w:jc w:val="both"/>
        <w:rPr>
          <w:i/>
          <w:iCs/>
          <w:sz w:val="28"/>
          <w:szCs w:val="28"/>
          <w:lang w:val="en-GB"/>
        </w:rPr>
      </w:pPr>
    </w:p>
    <w:p w14:paraId="352D35FD" w14:textId="2AD151F0" w:rsidR="00E43071" w:rsidRDefault="00E43071" w:rsidP="00527546">
      <w:pPr>
        <w:pStyle w:val="ListParagraph"/>
        <w:spacing w:line="360" w:lineRule="auto"/>
        <w:ind w:left="1440"/>
        <w:jc w:val="both"/>
        <w:rPr>
          <w:sz w:val="28"/>
          <w:szCs w:val="28"/>
          <w:lang w:val="en-US"/>
        </w:rPr>
      </w:pPr>
      <w:r w:rsidRPr="003646E3">
        <w:rPr>
          <w:i/>
          <w:iCs/>
          <w:sz w:val="28"/>
          <w:szCs w:val="28"/>
          <w:lang w:val="en-GB"/>
        </w:rPr>
        <w:t xml:space="preserve">You contravened immigration laws of the country and you are therefore </w:t>
      </w:r>
      <w:r w:rsidR="00521DF0" w:rsidRPr="003646E3">
        <w:rPr>
          <w:i/>
          <w:iCs/>
          <w:sz w:val="28"/>
          <w:szCs w:val="28"/>
          <w:lang w:val="en-GB"/>
        </w:rPr>
        <w:t>a</w:t>
      </w:r>
      <w:r w:rsidRPr="003646E3">
        <w:rPr>
          <w:i/>
          <w:iCs/>
          <w:sz w:val="28"/>
          <w:szCs w:val="28"/>
          <w:lang w:val="en-GB"/>
        </w:rPr>
        <w:t xml:space="preserve"> prohibited person in terms [of] section</w:t>
      </w:r>
      <w:r w:rsidR="005813CA" w:rsidRPr="003646E3">
        <w:rPr>
          <w:i/>
          <w:iCs/>
          <w:sz w:val="28"/>
          <w:szCs w:val="28"/>
          <w:lang w:val="en-GB"/>
        </w:rPr>
        <w:t xml:space="preserve"> 29(1)(f) of the Act</w:t>
      </w:r>
      <w:r w:rsidR="005813CA">
        <w:rPr>
          <w:sz w:val="28"/>
          <w:szCs w:val="28"/>
          <w:lang w:val="en-GB"/>
        </w:rPr>
        <w:t>.”</w:t>
      </w:r>
    </w:p>
    <w:p w14:paraId="3AAEDB2F" w14:textId="77777777" w:rsidR="00264580" w:rsidRPr="00264580" w:rsidRDefault="00264580" w:rsidP="00264580">
      <w:pPr>
        <w:pStyle w:val="ListParagraph"/>
        <w:rPr>
          <w:sz w:val="28"/>
          <w:szCs w:val="28"/>
          <w:lang w:val="en-US"/>
        </w:rPr>
      </w:pPr>
    </w:p>
    <w:p w14:paraId="12935EF7" w14:textId="0C389520" w:rsidR="00264580" w:rsidRDefault="002A3F05" w:rsidP="002A1119">
      <w:pPr>
        <w:pStyle w:val="ListParagraph"/>
        <w:numPr>
          <w:ilvl w:val="0"/>
          <w:numId w:val="1"/>
        </w:numPr>
        <w:spacing w:line="360" w:lineRule="auto"/>
        <w:ind w:left="142" w:firstLine="0"/>
        <w:jc w:val="both"/>
        <w:rPr>
          <w:sz w:val="28"/>
          <w:szCs w:val="28"/>
          <w:lang w:val="en-US"/>
        </w:rPr>
      </w:pPr>
      <w:r>
        <w:rPr>
          <w:sz w:val="28"/>
          <w:szCs w:val="28"/>
          <w:lang w:val="en-US"/>
        </w:rPr>
        <w:t>To the extent that the Minister inte</w:t>
      </w:r>
      <w:r w:rsidR="003A6F54">
        <w:rPr>
          <w:sz w:val="28"/>
          <w:szCs w:val="28"/>
          <w:lang w:val="en-US"/>
        </w:rPr>
        <w:t xml:space="preserve">nded to include in his reasoning </w:t>
      </w:r>
      <w:r w:rsidR="007875FA">
        <w:rPr>
          <w:sz w:val="28"/>
          <w:szCs w:val="28"/>
          <w:lang w:val="en-US"/>
        </w:rPr>
        <w:t>those reasons contained in the letter from the DG as his reasons for rejectin</w:t>
      </w:r>
      <w:r w:rsidR="0026736F">
        <w:rPr>
          <w:sz w:val="28"/>
          <w:szCs w:val="28"/>
          <w:lang w:val="en-US"/>
        </w:rPr>
        <w:t>g</w:t>
      </w:r>
      <w:r w:rsidR="007875FA">
        <w:rPr>
          <w:sz w:val="28"/>
          <w:szCs w:val="28"/>
          <w:lang w:val="en-US"/>
        </w:rPr>
        <w:t xml:space="preserve"> the </w:t>
      </w:r>
      <w:r w:rsidR="00111563">
        <w:rPr>
          <w:sz w:val="28"/>
          <w:szCs w:val="28"/>
          <w:lang w:val="en-US"/>
        </w:rPr>
        <w:t xml:space="preserve">applicant’s prohibition, </w:t>
      </w:r>
      <w:r w:rsidR="006E564A">
        <w:rPr>
          <w:sz w:val="28"/>
          <w:szCs w:val="28"/>
          <w:lang w:val="en-US"/>
        </w:rPr>
        <w:t xml:space="preserve">in my view, the reasons </w:t>
      </w:r>
      <w:r w:rsidR="00F146D5">
        <w:rPr>
          <w:sz w:val="28"/>
          <w:szCs w:val="28"/>
          <w:lang w:val="en-US"/>
        </w:rPr>
        <w:t>of</w:t>
      </w:r>
      <w:r w:rsidR="00DF5386">
        <w:rPr>
          <w:sz w:val="28"/>
          <w:szCs w:val="28"/>
          <w:lang w:val="en-US"/>
        </w:rPr>
        <w:t xml:space="preserve"> the DG </w:t>
      </w:r>
      <w:r w:rsidR="006E564A">
        <w:rPr>
          <w:sz w:val="28"/>
          <w:szCs w:val="28"/>
          <w:lang w:val="en-US"/>
        </w:rPr>
        <w:t xml:space="preserve">do not contain anything more significant at all. The </w:t>
      </w:r>
      <w:r w:rsidR="00094AA0">
        <w:rPr>
          <w:sz w:val="28"/>
          <w:szCs w:val="28"/>
          <w:lang w:val="en-US"/>
        </w:rPr>
        <w:t xml:space="preserve">only additional reason seems to be that </w:t>
      </w:r>
      <w:r w:rsidR="00AA6FCA">
        <w:rPr>
          <w:sz w:val="28"/>
          <w:szCs w:val="28"/>
          <w:lang w:val="en-US"/>
        </w:rPr>
        <w:t xml:space="preserve">the DG </w:t>
      </w:r>
      <w:r w:rsidR="0026736F">
        <w:rPr>
          <w:sz w:val="28"/>
          <w:szCs w:val="28"/>
          <w:lang w:val="en-US"/>
        </w:rPr>
        <w:t>concluded that</w:t>
      </w:r>
      <w:r w:rsidR="00C30AE5">
        <w:rPr>
          <w:sz w:val="28"/>
          <w:szCs w:val="28"/>
          <w:lang w:val="en-US"/>
        </w:rPr>
        <w:t xml:space="preserve"> the applicant </w:t>
      </w:r>
      <w:r w:rsidR="00950DBE">
        <w:rPr>
          <w:sz w:val="28"/>
          <w:szCs w:val="28"/>
          <w:lang w:val="en-US"/>
        </w:rPr>
        <w:t xml:space="preserve">claimed that she </w:t>
      </w:r>
      <w:r w:rsidR="0026736F">
        <w:rPr>
          <w:sz w:val="28"/>
          <w:szCs w:val="28"/>
          <w:lang w:val="en-US"/>
        </w:rPr>
        <w:t xml:space="preserve">had employed </w:t>
      </w:r>
      <w:r w:rsidR="00950DBE">
        <w:rPr>
          <w:sz w:val="28"/>
          <w:szCs w:val="28"/>
          <w:lang w:val="en-US"/>
        </w:rPr>
        <w:t xml:space="preserve">the services of an immigration </w:t>
      </w:r>
      <w:r w:rsidR="00F146D5">
        <w:rPr>
          <w:sz w:val="28"/>
          <w:szCs w:val="28"/>
          <w:lang w:val="en-US"/>
        </w:rPr>
        <w:t xml:space="preserve">agent </w:t>
      </w:r>
      <w:r w:rsidR="00B86652">
        <w:rPr>
          <w:sz w:val="28"/>
          <w:szCs w:val="28"/>
          <w:lang w:val="en-US"/>
        </w:rPr>
        <w:t xml:space="preserve">to obtain a work visa with no substantial evidence. </w:t>
      </w:r>
      <w:r w:rsidR="00DB444D">
        <w:rPr>
          <w:sz w:val="28"/>
          <w:szCs w:val="28"/>
          <w:lang w:val="en-US"/>
        </w:rPr>
        <w:t xml:space="preserve">The applicant provided all the evidence at her disposal, including various communications with </w:t>
      </w:r>
      <w:proofErr w:type="spellStart"/>
      <w:r w:rsidR="00DB444D">
        <w:rPr>
          <w:sz w:val="28"/>
          <w:szCs w:val="28"/>
          <w:lang w:val="en-US"/>
        </w:rPr>
        <w:t>Ma</w:t>
      </w:r>
      <w:r w:rsidR="00DC68DA">
        <w:rPr>
          <w:sz w:val="28"/>
          <w:szCs w:val="28"/>
          <w:lang w:val="en-US"/>
        </w:rPr>
        <w:t>son</w:t>
      </w:r>
      <w:r w:rsidR="00DB444D">
        <w:rPr>
          <w:sz w:val="28"/>
          <w:szCs w:val="28"/>
          <w:lang w:val="en-US"/>
        </w:rPr>
        <w:t>do</w:t>
      </w:r>
      <w:proofErr w:type="spellEnd"/>
      <w:r w:rsidR="00665CAA">
        <w:rPr>
          <w:sz w:val="28"/>
          <w:szCs w:val="28"/>
          <w:lang w:val="en-US"/>
        </w:rPr>
        <w:t xml:space="preserve">. </w:t>
      </w:r>
      <w:r w:rsidR="00A8529F">
        <w:rPr>
          <w:sz w:val="28"/>
          <w:szCs w:val="28"/>
          <w:lang w:val="en-US"/>
        </w:rPr>
        <w:t xml:space="preserve">It is difficult to </w:t>
      </w:r>
      <w:r w:rsidR="009B047B">
        <w:rPr>
          <w:sz w:val="28"/>
          <w:szCs w:val="28"/>
          <w:lang w:val="en-US"/>
        </w:rPr>
        <w:t>ascertain what more the applicant should have done.</w:t>
      </w:r>
    </w:p>
    <w:p w14:paraId="2A68803C" w14:textId="77777777" w:rsidR="00264580" w:rsidRPr="00264580" w:rsidRDefault="00264580" w:rsidP="00264580">
      <w:pPr>
        <w:pStyle w:val="ListParagraph"/>
        <w:rPr>
          <w:sz w:val="28"/>
          <w:szCs w:val="28"/>
          <w:lang w:val="en-US"/>
        </w:rPr>
      </w:pPr>
    </w:p>
    <w:p w14:paraId="31970B8A" w14:textId="57A2D8B7" w:rsidR="009C59D9" w:rsidRDefault="00665CAA" w:rsidP="002A1119">
      <w:pPr>
        <w:pStyle w:val="ListParagraph"/>
        <w:numPr>
          <w:ilvl w:val="0"/>
          <w:numId w:val="1"/>
        </w:numPr>
        <w:spacing w:line="360" w:lineRule="auto"/>
        <w:ind w:left="142" w:firstLine="0"/>
        <w:jc w:val="both"/>
        <w:rPr>
          <w:sz w:val="28"/>
          <w:szCs w:val="28"/>
          <w:lang w:val="en-US"/>
        </w:rPr>
      </w:pPr>
      <w:r>
        <w:rPr>
          <w:sz w:val="28"/>
          <w:szCs w:val="28"/>
          <w:lang w:val="en-US"/>
        </w:rPr>
        <w:t xml:space="preserve">The </w:t>
      </w:r>
      <w:r w:rsidR="00564BF6">
        <w:rPr>
          <w:sz w:val="28"/>
          <w:szCs w:val="28"/>
          <w:lang w:val="en-US"/>
        </w:rPr>
        <w:t xml:space="preserve">justifications </w:t>
      </w:r>
      <w:proofErr w:type="gramStart"/>
      <w:r w:rsidR="00564BF6">
        <w:rPr>
          <w:sz w:val="28"/>
          <w:szCs w:val="28"/>
          <w:lang w:val="en-US"/>
        </w:rPr>
        <w:t>provided  and</w:t>
      </w:r>
      <w:proofErr w:type="gramEnd"/>
      <w:r>
        <w:rPr>
          <w:sz w:val="28"/>
          <w:szCs w:val="28"/>
          <w:lang w:val="en-US"/>
        </w:rPr>
        <w:t xml:space="preserve"> contained in both letters from the DG and the Minister respectively, </w:t>
      </w:r>
      <w:r w:rsidR="002A264C">
        <w:rPr>
          <w:sz w:val="28"/>
          <w:szCs w:val="28"/>
          <w:lang w:val="en-US"/>
        </w:rPr>
        <w:t xml:space="preserve">which in my view were </w:t>
      </w:r>
      <w:r w:rsidR="00564BF6">
        <w:rPr>
          <w:sz w:val="28"/>
          <w:szCs w:val="28"/>
          <w:lang w:val="en-US"/>
        </w:rPr>
        <w:t>in</w:t>
      </w:r>
      <w:r w:rsidR="002A264C">
        <w:rPr>
          <w:sz w:val="28"/>
          <w:szCs w:val="28"/>
          <w:lang w:val="en-US"/>
        </w:rPr>
        <w:t xml:space="preserve">adequate as required by law, </w:t>
      </w:r>
      <w:r>
        <w:rPr>
          <w:sz w:val="28"/>
          <w:szCs w:val="28"/>
          <w:lang w:val="en-US"/>
        </w:rPr>
        <w:t xml:space="preserve">focuses </w:t>
      </w:r>
      <w:r w:rsidR="009B2EED">
        <w:rPr>
          <w:sz w:val="28"/>
          <w:szCs w:val="28"/>
          <w:lang w:val="en-US"/>
        </w:rPr>
        <w:t>only on the alleged transgression of section 29(1) (f) of the Act</w:t>
      </w:r>
      <w:r w:rsidR="00CB2FB2">
        <w:rPr>
          <w:sz w:val="28"/>
          <w:szCs w:val="28"/>
          <w:lang w:val="en-US"/>
        </w:rPr>
        <w:t xml:space="preserve"> and </w:t>
      </w:r>
      <w:r w:rsidR="00564BF6">
        <w:rPr>
          <w:sz w:val="28"/>
          <w:szCs w:val="28"/>
          <w:lang w:val="en-US"/>
        </w:rPr>
        <w:t xml:space="preserve">ignore </w:t>
      </w:r>
      <w:r w:rsidR="001E27EF">
        <w:rPr>
          <w:sz w:val="28"/>
          <w:szCs w:val="28"/>
          <w:lang w:val="en-US"/>
        </w:rPr>
        <w:t xml:space="preserve">the other </w:t>
      </w:r>
      <w:r w:rsidR="00564BF6">
        <w:rPr>
          <w:sz w:val="28"/>
          <w:szCs w:val="28"/>
          <w:lang w:val="en-US"/>
        </w:rPr>
        <w:t xml:space="preserve"> pertinent</w:t>
      </w:r>
      <w:r w:rsidR="00137A09">
        <w:rPr>
          <w:sz w:val="28"/>
          <w:szCs w:val="28"/>
          <w:lang w:val="en-US"/>
        </w:rPr>
        <w:t xml:space="preserve"> reasons put </w:t>
      </w:r>
      <w:r w:rsidR="00F75C08">
        <w:rPr>
          <w:sz w:val="28"/>
          <w:szCs w:val="28"/>
          <w:lang w:val="en-US"/>
        </w:rPr>
        <w:t xml:space="preserve">forth by the applicant as to why her </w:t>
      </w:r>
      <w:r w:rsidR="00F75C08">
        <w:rPr>
          <w:sz w:val="28"/>
          <w:szCs w:val="28"/>
          <w:lang w:val="en-US"/>
        </w:rPr>
        <w:lastRenderedPageBreak/>
        <w:t xml:space="preserve">prohibition </w:t>
      </w:r>
      <w:r w:rsidR="00297401">
        <w:rPr>
          <w:sz w:val="28"/>
          <w:szCs w:val="28"/>
          <w:lang w:val="en-US"/>
        </w:rPr>
        <w:t>should be lifted.</w:t>
      </w:r>
      <w:r w:rsidR="003E4A1D">
        <w:rPr>
          <w:sz w:val="28"/>
          <w:szCs w:val="28"/>
          <w:lang w:val="en-US"/>
        </w:rPr>
        <w:t xml:space="preserve"> </w:t>
      </w:r>
      <w:r w:rsidR="009455BD">
        <w:rPr>
          <w:sz w:val="28"/>
          <w:szCs w:val="28"/>
          <w:lang w:val="en-US"/>
        </w:rPr>
        <w:t xml:space="preserve">I agree with counsel for the applicant that </w:t>
      </w:r>
      <w:r w:rsidR="004C6A0F">
        <w:rPr>
          <w:sz w:val="28"/>
          <w:szCs w:val="28"/>
          <w:lang w:val="en-US"/>
        </w:rPr>
        <w:t>section 29(2) is broader than a mere internal appeal of a previous (the DG’s</w:t>
      </w:r>
      <w:r w:rsidR="00210CA2">
        <w:rPr>
          <w:sz w:val="28"/>
          <w:szCs w:val="28"/>
          <w:lang w:val="en-US"/>
        </w:rPr>
        <w:t xml:space="preserve"> or the Department’s</w:t>
      </w:r>
      <w:r w:rsidR="004C6A0F">
        <w:rPr>
          <w:sz w:val="28"/>
          <w:szCs w:val="28"/>
          <w:lang w:val="en-US"/>
        </w:rPr>
        <w:t>) decision.</w:t>
      </w:r>
      <w:r w:rsidR="00421F36">
        <w:rPr>
          <w:sz w:val="28"/>
          <w:szCs w:val="28"/>
          <w:lang w:val="en-US"/>
        </w:rPr>
        <w:t xml:space="preserve"> It empowers the Minister</w:t>
      </w:r>
      <w:r w:rsidR="00F73E02">
        <w:rPr>
          <w:sz w:val="28"/>
          <w:szCs w:val="28"/>
          <w:lang w:val="en-US"/>
        </w:rPr>
        <w:t>,</w:t>
      </w:r>
      <w:r w:rsidR="00421F36">
        <w:rPr>
          <w:sz w:val="28"/>
          <w:szCs w:val="28"/>
          <w:lang w:val="en-US"/>
        </w:rPr>
        <w:t xml:space="preserve"> to lift a declaration </w:t>
      </w:r>
      <w:r w:rsidR="00F73E02">
        <w:rPr>
          <w:sz w:val="28"/>
          <w:szCs w:val="28"/>
          <w:lang w:val="en-US"/>
        </w:rPr>
        <w:t>of prohibition “</w:t>
      </w:r>
      <w:r w:rsidR="00F73E02" w:rsidRPr="00F73E02">
        <w:rPr>
          <w:i/>
          <w:iCs/>
          <w:sz w:val="28"/>
          <w:szCs w:val="28"/>
          <w:lang w:val="en-US"/>
        </w:rPr>
        <w:t>for good cause</w:t>
      </w:r>
      <w:r w:rsidR="00F73E02">
        <w:rPr>
          <w:sz w:val="28"/>
          <w:szCs w:val="28"/>
          <w:lang w:val="en-US"/>
        </w:rPr>
        <w:t>”</w:t>
      </w:r>
      <w:r w:rsidR="007B7D32">
        <w:rPr>
          <w:sz w:val="28"/>
          <w:szCs w:val="28"/>
          <w:lang w:val="en-US"/>
        </w:rPr>
        <w:t xml:space="preserve">. </w:t>
      </w:r>
      <w:r w:rsidR="00F62FCA">
        <w:rPr>
          <w:sz w:val="28"/>
          <w:szCs w:val="28"/>
          <w:lang w:val="en-US"/>
        </w:rPr>
        <w:t xml:space="preserve">Section 29(2) therefore requires the consideration of a different question </w:t>
      </w:r>
      <w:r w:rsidR="00210CA2">
        <w:rPr>
          <w:sz w:val="28"/>
          <w:szCs w:val="28"/>
          <w:lang w:val="en-US"/>
        </w:rPr>
        <w:t xml:space="preserve">to that of section 29(1)(f). </w:t>
      </w:r>
      <w:r w:rsidR="00F73E02">
        <w:rPr>
          <w:sz w:val="28"/>
          <w:szCs w:val="28"/>
          <w:lang w:val="en-US"/>
        </w:rPr>
        <w:t xml:space="preserve"> </w:t>
      </w:r>
    </w:p>
    <w:p w14:paraId="0AA27D76" w14:textId="77777777" w:rsidR="009C59D9" w:rsidRPr="009C59D9" w:rsidRDefault="009C59D9" w:rsidP="009C59D9">
      <w:pPr>
        <w:pStyle w:val="ListParagraph"/>
        <w:rPr>
          <w:sz w:val="28"/>
          <w:szCs w:val="28"/>
          <w:lang w:val="en-US"/>
        </w:rPr>
      </w:pPr>
    </w:p>
    <w:p w14:paraId="5A3E7DAF" w14:textId="21F3D256" w:rsidR="00264580" w:rsidRDefault="003E4A1D" w:rsidP="002A1119">
      <w:pPr>
        <w:pStyle w:val="ListParagraph"/>
        <w:numPr>
          <w:ilvl w:val="0"/>
          <w:numId w:val="1"/>
        </w:numPr>
        <w:spacing w:line="360" w:lineRule="auto"/>
        <w:ind w:left="142" w:firstLine="0"/>
        <w:jc w:val="both"/>
        <w:rPr>
          <w:sz w:val="28"/>
          <w:szCs w:val="28"/>
          <w:lang w:val="en-US"/>
        </w:rPr>
      </w:pPr>
      <w:r>
        <w:rPr>
          <w:sz w:val="28"/>
          <w:szCs w:val="28"/>
          <w:lang w:val="en-US"/>
        </w:rPr>
        <w:t>It is regrettable that the Minister did not depose to an affidavit in these proceedings</w:t>
      </w:r>
      <w:r w:rsidR="005244F0">
        <w:rPr>
          <w:sz w:val="28"/>
          <w:szCs w:val="28"/>
          <w:lang w:val="en-US"/>
        </w:rPr>
        <w:t xml:space="preserve">. Such </w:t>
      </w:r>
      <w:r w:rsidR="00564BF6">
        <w:rPr>
          <w:sz w:val="28"/>
          <w:szCs w:val="28"/>
          <w:lang w:val="en-US"/>
        </w:rPr>
        <w:t xml:space="preserve">an </w:t>
      </w:r>
      <w:r w:rsidR="005244F0">
        <w:rPr>
          <w:sz w:val="28"/>
          <w:szCs w:val="28"/>
          <w:lang w:val="en-US"/>
        </w:rPr>
        <w:t xml:space="preserve">affidavit would have </w:t>
      </w:r>
      <w:r w:rsidR="00564BF6">
        <w:rPr>
          <w:sz w:val="28"/>
          <w:szCs w:val="28"/>
          <w:lang w:val="en-US"/>
        </w:rPr>
        <w:t xml:space="preserve">detailed the information that he took into account and </w:t>
      </w:r>
      <w:r w:rsidR="005244F0">
        <w:rPr>
          <w:sz w:val="28"/>
          <w:szCs w:val="28"/>
          <w:lang w:val="en-US"/>
        </w:rPr>
        <w:t xml:space="preserve">explained what information he considered in coming to the conclusion that he did. What is </w:t>
      </w:r>
      <w:r w:rsidR="00AA090C">
        <w:rPr>
          <w:sz w:val="28"/>
          <w:szCs w:val="28"/>
          <w:lang w:val="en-US"/>
        </w:rPr>
        <w:t xml:space="preserve">even more </w:t>
      </w:r>
      <w:r w:rsidR="005244F0">
        <w:rPr>
          <w:sz w:val="28"/>
          <w:szCs w:val="28"/>
          <w:lang w:val="en-US"/>
        </w:rPr>
        <w:t xml:space="preserve">disconcerting, </w:t>
      </w:r>
      <w:r w:rsidR="00AA090C">
        <w:rPr>
          <w:sz w:val="28"/>
          <w:szCs w:val="28"/>
          <w:lang w:val="en-US"/>
        </w:rPr>
        <w:t xml:space="preserve">is that the </w:t>
      </w:r>
      <w:r w:rsidR="00440F16">
        <w:rPr>
          <w:sz w:val="28"/>
          <w:szCs w:val="28"/>
          <w:lang w:val="en-US"/>
        </w:rPr>
        <w:t>R</w:t>
      </w:r>
      <w:r w:rsidR="001C661A">
        <w:rPr>
          <w:sz w:val="28"/>
          <w:szCs w:val="28"/>
          <w:lang w:val="en-US"/>
        </w:rPr>
        <w:t xml:space="preserve">ule 53 </w:t>
      </w:r>
      <w:r w:rsidR="00AA090C">
        <w:rPr>
          <w:sz w:val="28"/>
          <w:szCs w:val="28"/>
          <w:lang w:val="en-US"/>
        </w:rPr>
        <w:t xml:space="preserve">record filed in these proceedings indicate that the Minister did not have all the </w:t>
      </w:r>
      <w:r w:rsidR="00AE12C4">
        <w:rPr>
          <w:sz w:val="28"/>
          <w:szCs w:val="28"/>
          <w:lang w:val="en-US"/>
        </w:rPr>
        <w:t>documentation</w:t>
      </w:r>
      <w:r w:rsidR="00E11207">
        <w:rPr>
          <w:sz w:val="28"/>
          <w:szCs w:val="28"/>
          <w:lang w:val="en-US"/>
        </w:rPr>
        <w:t xml:space="preserve"> filed by the applicant before him when he made his decision. </w:t>
      </w:r>
      <w:r w:rsidR="00D50620">
        <w:rPr>
          <w:sz w:val="28"/>
          <w:szCs w:val="28"/>
          <w:lang w:val="en-US"/>
        </w:rPr>
        <w:t>A number of documents filed by the applicant with her appeal</w:t>
      </w:r>
      <w:r w:rsidR="00885F1A">
        <w:rPr>
          <w:sz w:val="28"/>
          <w:szCs w:val="28"/>
          <w:lang w:val="en-US"/>
        </w:rPr>
        <w:t xml:space="preserve"> is absent from the Rule 53 record filed by the respondents. These are:</w:t>
      </w:r>
    </w:p>
    <w:p w14:paraId="16C74BC3" w14:textId="77777777" w:rsidR="00885F1A" w:rsidRPr="00885F1A" w:rsidRDefault="00885F1A" w:rsidP="00885F1A">
      <w:pPr>
        <w:pStyle w:val="ListParagraph"/>
        <w:rPr>
          <w:sz w:val="28"/>
          <w:szCs w:val="28"/>
          <w:lang w:val="en-US"/>
        </w:rPr>
      </w:pPr>
    </w:p>
    <w:p w14:paraId="162EA6F2" w14:textId="54AD5D5F" w:rsidR="00885F1A" w:rsidRDefault="007C52C7" w:rsidP="00885F1A">
      <w:pPr>
        <w:pStyle w:val="ListParagraph"/>
        <w:numPr>
          <w:ilvl w:val="0"/>
          <w:numId w:val="6"/>
        </w:numPr>
        <w:spacing w:line="360" w:lineRule="auto"/>
        <w:jc w:val="both"/>
        <w:rPr>
          <w:sz w:val="28"/>
          <w:szCs w:val="28"/>
          <w:lang w:val="en-US"/>
        </w:rPr>
      </w:pPr>
      <w:r>
        <w:rPr>
          <w:sz w:val="28"/>
          <w:szCs w:val="28"/>
          <w:lang w:val="en-US"/>
        </w:rPr>
        <w:t xml:space="preserve"> </w:t>
      </w:r>
      <w:r w:rsidR="00265347">
        <w:rPr>
          <w:sz w:val="28"/>
          <w:szCs w:val="28"/>
          <w:lang w:val="en-US"/>
        </w:rPr>
        <w:t xml:space="preserve">Annexure “C”, being the applicants financial statement </w:t>
      </w:r>
      <w:r w:rsidR="008D77DD">
        <w:rPr>
          <w:sz w:val="28"/>
          <w:szCs w:val="28"/>
          <w:lang w:val="en-US"/>
        </w:rPr>
        <w:t xml:space="preserve">bank statements and proof of payment </w:t>
      </w:r>
      <w:r w:rsidR="00AB45C6">
        <w:rPr>
          <w:sz w:val="28"/>
          <w:szCs w:val="28"/>
          <w:lang w:val="en-US"/>
        </w:rPr>
        <w:t xml:space="preserve">to </w:t>
      </w:r>
      <w:proofErr w:type="spellStart"/>
      <w:r w:rsidR="00AB45C6">
        <w:rPr>
          <w:sz w:val="28"/>
          <w:szCs w:val="28"/>
          <w:lang w:val="en-US"/>
        </w:rPr>
        <w:t>Mr</w:t>
      </w:r>
      <w:proofErr w:type="spellEnd"/>
      <w:r w:rsidR="00AB45C6">
        <w:rPr>
          <w:sz w:val="28"/>
          <w:szCs w:val="28"/>
          <w:lang w:val="en-US"/>
        </w:rPr>
        <w:t xml:space="preserve"> </w:t>
      </w:r>
      <w:proofErr w:type="spellStart"/>
      <w:r w:rsidR="00AB45C6">
        <w:rPr>
          <w:sz w:val="28"/>
          <w:szCs w:val="28"/>
          <w:lang w:val="en-US"/>
        </w:rPr>
        <w:t>Masondo</w:t>
      </w:r>
      <w:proofErr w:type="spellEnd"/>
      <w:r w:rsidR="00AB45C6">
        <w:rPr>
          <w:sz w:val="28"/>
          <w:szCs w:val="28"/>
          <w:lang w:val="en-US"/>
        </w:rPr>
        <w:t xml:space="preserve"> </w:t>
      </w:r>
      <w:r w:rsidR="00B44D4F">
        <w:rPr>
          <w:sz w:val="28"/>
          <w:szCs w:val="28"/>
          <w:lang w:val="en-US"/>
        </w:rPr>
        <w:t>for the immigration agent’s fees</w:t>
      </w:r>
      <w:r w:rsidR="00272AA8">
        <w:rPr>
          <w:sz w:val="28"/>
          <w:szCs w:val="28"/>
          <w:lang w:val="en-US"/>
        </w:rPr>
        <w:t>;</w:t>
      </w:r>
    </w:p>
    <w:p w14:paraId="569803A5" w14:textId="77777777" w:rsidR="007C52C7" w:rsidRDefault="007C52C7" w:rsidP="007C52C7">
      <w:pPr>
        <w:pStyle w:val="ListParagraph"/>
        <w:spacing w:line="360" w:lineRule="auto"/>
        <w:ind w:left="1800"/>
        <w:jc w:val="both"/>
        <w:rPr>
          <w:sz w:val="28"/>
          <w:szCs w:val="28"/>
          <w:lang w:val="en-US"/>
        </w:rPr>
      </w:pPr>
    </w:p>
    <w:p w14:paraId="04ADE11B" w14:textId="04A5C9E4" w:rsidR="00B44D4F" w:rsidRDefault="007C52C7" w:rsidP="00885F1A">
      <w:pPr>
        <w:pStyle w:val="ListParagraph"/>
        <w:numPr>
          <w:ilvl w:val="0"/>
          <w:numId w:val="6"/>
        </w:numPr>
        <w:spacing w:line="360" w:lineRule="auto"/>
        <w:jc w:val="both"/>
        <w:rPr>
          <w:sz w:val="28"/>
          <w:szCs w:val="28"/>
          <w:lang w:val="en-US"/>
        </w:rPr>
      </w:pPr>
      <w:r>
        <w:rPr>
          <w:sz w:val="28"/>
          <w:szCs w:val="28"/>
          <w:lang w:val="en-US"/>
        </w:rPr>
        <w:t xml:space="preserve"> </w:t>
      </w:r>
      <w:r w:rsidR="00B44D4F">
        <w:rPr>
          <w:sz w:val="28"/>
          <w:szCs w:val="28"/>
          <w:lang w:val="en-US"/>
        </w:rPr>
        <w:t xml:space="preserve">Annexure </w:t>
      </w:r>
      <w:r>
        <w:rPr>
          <w:sz w:val="28"/>
          <w:szCs w:val="28"/>
          <w:lang w:val="en-US"/>
        </w:rPr>
        <w:t xml:space="preserve">“D”, being </w:t>
      </w:r>
      <w:r w:rsidR="00272AA8">
        <w:rPr>
          <w:sz w:val="28"/>
          <w:szCs w:val="28"/>
          <w:lang w:val="en-US"/>
        </w:rPr>
        <w:t xml:space="preserve">communications with </w:t>
      </w:r>
      <w:proofErr w:type="spellStart"/>
      <w:r w:rsidR="00272AA8">
        <w:rPr>
          <w:sz w:val="28"/>
          <w:szCs w:val="28"/>
          <w:lang w:val="en-US"/>
        </w:rPr>
        <w:t>Mr</w:t>
      </w:r>
      <w:proofErr w:type="spellEnd"/>
      <w:r w:rsidR="00272AA8">
        <w:rPr>
          <w:sz w:val="28"/>
          <w:szCs w:val="28"/>
          <w:lang w:val="en-US"/>
        </w:rPr>
        <w:t xml:space="preserve"> </w:t>
      </w:r>
      <w:proofErr w:type="spellStart"/>
      <w:r w:rsidR="00272AA8">
        <w:rPr>
          <w:sz w:val="28"/>
          <w:szCs w:val="28"/>
          <w:lang w:val="en-US"/>
        </w:rPr>
        <w:t>Masondo</w:t>
      </w:r>
      <w:proofErr w:type="spellEnd"/>
      <w:r w:rsidR="00272AA8">
        <w:rPr>
          <w:sz w:val="28"/>
          <w:szCs w:val="28"/>
          <w:lang w:val="en-US"/>
        </w:rPr>
        <w:t>;</w:t>
      </w:r>
    </w:p>
    <w:p w14:paraId="3C0AD8CA" w14:textId="77777777" w:rsidR="00272AA8" w:rsidRPr="00272AA8" w:rsidRDefault="00272AA8" w:rsidP="00272AA8">
      <w:pPr>
        <w:pStyle w:val="ListParagraph"/>
        <w:rPr>
          <w:sz w:val="28"/>
          <w:szCs w:val="28"/>
          <w:lang w:val="en-US"/>
        </w:rPr>
      </w:pPr>
    </w:p>
    <w:p w14:paraId="72AB989E" w14:textId="64CA8CFD" w:rsidR="00272AA8" w:rsidRDefault="003F5FD3" w:rsidP="00885F1A">
      <w:pPr>
        <w:pStyle w:val="ListParagraph"/>
        <w:numPr>
          <w:ilvl w:val="0"/>
          <w:numId w:val="6"/>
        </w:numPr>
        <w:spacing w:line="360" w:lineRule="auto"/>
        <w:jc w:val="both"/>
        <w:rPr>
          <w:sz w:val="28"/>
          <w:szCs w:val="28"/>
          <w:lang w:val="en-US"/>
        </w:rPr>
      </w:pPr>
      <w:r>
        <w:rPr>
          <w:sz w:val="28"/>
          <w:szCs w:val="28"/>
          <w:lang w:val="en-US"/>
        </w:rPr>
        <w:t xml:space="preserve">Annexure “E”, being </w:t>
      </w:r>
      <w:r w:rsidR="0014072A">
        <w:rPr>
          <w:sz w:val="28"/>
          <w:szCs w:val="28"/>
          <w:lang w:val="en-US"/>
        </w:rPr>
        <w:t xml:space="preserve">an affidavit by the applicant wherein she set out her version of events </w:t>
      </w:r>
      <w:r w:rsidR="002F6A35">
        <w:rPr>
          <w:sz w:val="28"/>
          <w:szCs w:val="28"/>
          <w:lang w:val="en-US"/>
        </w:rPr>
        <w:t>as to how she came in possession of the impugned work visa;</w:t>
      </w:r>
    </w:p>
    <w:p w14:paraId="0FEFEEE1" w14:textId="77777777" w:rsidR="002F6A35" w:rsidRPr="002F6A35" w:rsidRDefault="002F6A35" w:rsidP="002F6A35">
      <w:pPr>
        <w:pStyle w:val="ListParagraph"/>
        <w:rPr>
          <w:sz w:val="28"/>
          <w:szCs w:val="28"/>
          <w:lang w:val="en-US"/>
        </w:rPr>
      </w:pPr>
    </w:p>
    <w:p w14:paraId="2B0C3F95" w14:textId="6C729293" w:rsidR="002F6A35" w:rsidRDefault="002F6A35" w:rsidP="00885F1A">
      <w:pPr>
        <w:pStyle w:val="ListParagraph"/>
        <w:numPr>
          <w:ilvl w:val="0"/>
          <w:numId w:val="6"/>
        </w:numPr>
        <w:spacing w:line="360" w:lineRule="auto"/>
        <w:jc w:val="both"/>
        <w:rPr>
          <w:sz w:val="28"/>
          <w:szCs w:val="28"/>
          <w:lang w:val="en-US"/>
        </w:rPr>
      </w:pPr>
      <w:r>
        <w:rPr>
          <w:sz w:val="28"/>
          <w:szCs w:val="28"/>
          <w:lang w:val="en-US"/>
        </w:rPr>
        <w:t xml:space="preserve">Annexure </w:t>
      </w:r>
      <w:r w:rsidR="007665BB">
        <w:rPr>
          <w:sz w:val="28"/>
          <w:szCs w:val="28"/>
          <w:lang w:val="en-US"/>
        </w:rPr>
        <w:t>“F”, being the co-habitation agreement between the applicant and her life partner</w:t>
      </w:r>
      <w:r w:rsidR="00F42838">
        <w:rPr>
          <w:sz w:val="28"/>
          <w:szCs w:val="28"/>
          <w:lang w:val="en-US"/>
        </w:rPr>
        <w:t xml:space="preserve">; and </w:t>
      </w:r>
    </w:p>
    <w:p w14:paraId="642352FC" w14:textId="77777777" w:rsidR="00F42838" w:rsidRPr="00F42838" w:rsidRDefault="00F42838" w:rsidP="00F42838">
      <w:pPr>
        <w:pStyle w:val="ListParagraph"/>
        <w:rPr>
          <w:sz w:val="28"/>
          <w:szCs w:val="28"/>
          <w:lang w:val="en-US"/>
        </w:rPr>
      </w:pPr>
    </w:p>
    <w:p w14:paraId="52F6E105" w14:textId="1CE1F997" w:rsidR="00F42838" w:rsidRDefault="00F42838" w:rsidP="00885F1A">
      <w:pPr>
        <w:pStyle w:val="ListParagraph"/>
        <w:numPr>
          <w:ilvl w:val="0"/>
          <w:numId w:val="6"/>
        </w:numPr>
        <w:spacing w:line="360" w:lineRule="auto"/>
        <w:jc w:val="both"/>
        <w:rPr>
          <w:sz w:val="28"/>
          <w:szCs w:val="28"/>
          <w:lang w:val="en-US"/>
        </w:rPr>
      </w:pPr>
      <w:r>
        <w:rPr>
          <w:sz w:val="28"/>
          <w:szCs w:val="28"/>
          <w:lang w:val="en-US"/>
        </w:rPr>
        <w:lastRenderedPageBreak/>
        <w:t xml:space="preserve">Annexure “G”, being an affidavit </w:t>
      </w:r>
      <w:r w:rsidR="004019EC">
        <w:rPr>
          <w:sz w:val="28"/>
          <w:szCs w:val="28"/>
          <w:lang w:val="en-US"/>
        </w:rPr>
        <w:t>by the applicant’s life partner.</w:t>
      </w:r>
    </w:p>
    <w:p w14:paraId="6E0611C4" w14:textId="77777777" w:rsidR="00885F1A" w:rsidRPr="004019EC" w:rsidRDefault="00885F1A" w:rsidP="004019EC">
      <w:pPr>
        <w:rPr>
          <w:sz w:val="28"/>
          <w:szCs w:val="28"/>
          <w:lang w:val="en-US"/>
        </w:rPr>
      </w:pPr>
    </w:p>
    <w:p w14:paraId="1E1385F0" w14:textId="7B046871" w:rsidR="00885F1A" w:rsidRDefault="0082436C" w:rsidP="002A1119">
      <w:pPr>
        <w:pStyle w:val="ListParagraph"/>
        <w:numPr>
          <w:ilvl w:val="0"/>
          <w:numId w:val="1"/>
        </w:numPr>
        <w:spacing w:line="360" w:lineRule="auto"/>
        <w:ind w:left="0" w:firstLine="0"/>
        <w:jc w:val="both"/>
        <w:rPr>
          <w:sz w:val="28"/>
          <w:szCs w:val="28"/>
          <w:lang w:val="en-US"/>
        </w:rPr>
      </w:pPr>
      <w:r>
        <w:rPr>
          <w:sz w:val="28"/>
          <w:szCs w:val="28"/>
          <w:lang w:val="en-US"/>
        </w:rPr>
        <w:t xml:space="preserve">The claim by the DG that the Minister </w:t>
      </w:r>
      <w:r w:rsidR="0099586C">
        <w:rPr>
          <w:sz w:val="28"/>
          <w:szCs w:val="28"/>
          <w:lang w:val="en-US"/>
        </w:rPr>
        <w:t>considered</w:t>
      </w:r>
      <w:r w:rsidR="00E40498">
        <w:rPr>
          <w:sz w:val="28"/>
          <w:szCs w:val="28"/>
          <w:lang w:val="en-US"/>
        </w:rPr>
        <w:t xml:space="preserve"> all </w:t>
      </w:r>
      <w:r w:rsidR="006127CB">
        <w:rPr>
          <w:sz w:val="28"/>
          <w:szCs w:val="28"/>
          <w:lang w:val="en-US"/>
        </w:rPr>
        <w:t xml:space="preserve">the </w:t>
      </w:r>
      <w:r w:rsidR="00440F16">
        <w:rPr>
          <w:sz w:val="28"/>
          <w:szCs w:val="28"/>
          <w:lang w:val="en-US"/>
        </w:rPr>
        <w:t>pertinent information</w:t>
      </w:r>
      <w:r w:rsidR="006127CB">
        <w:rPr>
          <w:sz w:val="28"/>
          <w:szCs w:val="28"/>
          <w:lang w:val="en-US"/>
        </w:rPr>
        <w:t xml:space="preserve"> </w:t>
      </w:r>
      <w:r w:rsidR="00F2022B">
        <w:rPr>
          <w:sz w:val="28"/>
          <w:szCs w:val="28"/>
          <w:lang w:val="en-US"/>
        </w:rPr>
        <w:t>relating to the applicant’s family, the submissions made on her behalf a</w:t>
      </w:r>
      <w:r w:rsidR="0099586C">
        <w:rPr>
          <w:sz w:val="28"/>
          <w:szCs w:val="28"/>
          <w:lang w:val="en-US"/>
        </w:rPr>
        <w:t>s well as</w:t>
      </w:r>
      <w:r w:rsidR="00F2022B">
        <w:rPr>
          <w:sz w:val="28"/>
          <w:szCs w:val="28"/>
          <w:lang w:val="en-US"/>
        </w:rPr>
        <w:t xml:space="preserve"> the annexures attached thereto </w:t>
      </w:r>
      <w:r w:rsidR="000F0766">
        <w:rPr>
          <w:sz w:val="28"/>
          <w:szCs w:val="28"/>
          <w:lang w:val="en-US"/>
        </w:rPr>
        <w:t>before he made his decision</w:t>
      </w:r>
      <w:r w:rsidR="00440F16">
        <w:rPr>
          <w:sz w:val="28"/>
          <w:szCs w:val="28"/>
          <w:lang w:val="en-US"/>
        </w:rPr>
        <w:t>,</w:t>
      </w:r>
      <w:r w:rsidR="000F0766">
        <w:rPr>
          <w:sz w:val="28"/>
          <w:szCs w:val="28"/>
          <w:lang w:val="en-US"/>
        </w:rPr>
        <w:t xml:space="preserve"> i</w:t>
      </w:r>
      <w:r w:rsidR="004A6ED9">
        <w:rPr>
          <w:sz w:val="28"/>
          <w:szCs w:val="28"/>
          <w:lang w:val="en-US"/>
        </w:rPr>
        <w:t>s</w:t>
      </w:r>
      <w:r w:rsidR="000F0766">
        <w:rPr>
          <w:sz w:val="28"/>
          <w:szCs w:val="28"/>
          <w:lang w:val="en-US"/>
        </w:rPr>
        <w:t xml:space="preserve"> untenable. It begs the question </w:t>
      </w:r>
      <w:r w:rsidR="00D06BCF">
        <w:rPr>
          <w:sz w:val="28"/>
          <w:szCs w:val="28"/>
          <w:lang w:val="en-US"/>
        </w:rPr>
        <w:t xml:space="preserve">as to why the abovementioned documents were not part of the </w:t>
      </w:r>
      <w:r w:rsidR="00440F16">
        <w:rPr>
          <w:sz w:val="28"/>
          <w:szCs w:val="28"/>
          <w:lang w:val="en-US"/>
        </w:rPr>
        <w:t>R</w:t>
      </w:r>
      <w:r w:rsidR="00A00249">
        <w:rPr>
          <w:sz w:val="28"/>
          <w:szCs w:val="28"/>
          <w:lang w:val="en-US"/>
        </w:rPr>
        <w:t>ule 53 record filed by the respondents</w:t>
      </w:r>
      <w:r w:rsidR="005865BF">
        <w:rPr>
          <w:sz w:val="28"/>
          <w:szCs w:val="28"/>
          <w:lang w:val="en-US"/>
        </w:rPr>
        <w:t>.</w:t>
      </w:r>
      <w:r w:rsidR="00A00249">
        <w:rPr>
          <w:sz w:val="28"/>
          <w:szCs w:val="28"/>
          <w:lang w:val="en-US"/>
        </w:rPr>
        <w:t xml:space="preserve"> In any event, </w:t>
      </w:r>
      <w:r w:rsidR="008218B3">
        <w:rPr>
          <w:sz w:val="28"/>
          <w:szCs w:val="28"/>
          <w:lang w:val="en-US"/>
        </w:rPr>
        <w:t xml:space="preserve">the DG cannot make the </w:t>
      </w:r>
      <w:r w:rsidR="00821ED2">
        <w:rPr>
          <w:sz w:val="28"/>
          <w:szCs w:val="28"/>
          <w:lang w:val="en-US"/>
        </w:rPr>
        <w:t xml:space="preserve">factual </w:t>
      </w:r>
      <w:r w:rsidR="00AF709A">
        <w:rPr>
          <w:sz w:val="28"/>
          <w:szCs w:val="28"/>
          <w:lang w:val="en-US"/>
        </w:rPr>
        <w:t>assertion</w:t>
      </w:r>
      <w:r w:rsidR="008218B3">
        <w:rPr>
          <w:sz w:val="28"/>
          <w:szCs w:val="28"/>
          <w:lang w:val="en-US"/>
        </w:rPr>
        <w:t xml:space="preserve"> </w:t>
      </w:r>
      <w:r w:rsidR="00DE5E72">
        <w:rPr>
          <w:sz w:val="28"/>
          <w:szCs w:val="28"/>
          <w:lang w:val="en-US"/>
        </w:rPr>
        <w:t>as to what the Minister considered</w:t>
      </w:r>
      <w:r w:rsidR="00440F16">
        <w:rPr>
          <w:sz w:val="28"/>
          <w:szCs w:val="28"/>
          <w:lang w:val="en-US"/>
        </w:rPr>
        <w:t>.</w:t>
      </w:r>
      <w:r w:rsidR="00DE5E72">
        <w:rPr>
          <w:sz w:val="28"/>
          <w:szCs w:val="28"/>
          <w:lang w:val="en-US"/>
        </w:rPr>
        <w:t xml:space="preserve"> </w:t>
      </w:r>
      <w:r w:rsidR="00440F16">
        <w:rPr>
          <w:sz w:val="28"/>
          <w:szCs w:val="28"/>
          <w:lang w:val="en-US"/>
        </w:rPr>
        <w:t>O</w:t>
      </w:r>
      <w:r w:rsidR="00DE5E72">
        <w:rPr>
          <w:sz w:val="28"/>
          <w:szCs w:val="28"/>
          <w:lang w:val="en-US"/>
        </w:rPr>
        <w:t>nly the Minister himself can do so.</w:t>
      </w:r>
    </w:p>
    <w:p w14:paraId="1932E0BB" w14:textId="77777777" w:rsidR="004104E2" w:rsidRDefault="004104E2" w:rsidP="004104E2">
      <w:pPr>
        <w:pStyle w:val="ListParagraph"/>
        <w:spacing w:line="360" w:lineRule="auto"/>
        <w:ind w:left="360"/>
        <w:jc w:val="both"/>
        <w:rPr>
          <w:sz w:val="28"/>
          <w:szCs w:val="28"/>
          <w:lang w:val="en-US"/>
        </w:rPr>
      </w:pPr>
    </w:p>
    <w:p w14:paraId="2969D562" w14:textId="67D6E243" w:rsidR="004104E2" w:rsidRDefault="00F721DF" w:rsidP="002A1119">
      <w:pPr>
        <w:pStyle w:val="ListParagraph"/>
        <w:numPr>
          <w:ilvl w:val="0"/>
          <w:numId w:val="1"/>
        </w:numPr>
        <w:spacing w:line="360" w:lineRule="auto"/>
        <w:ind w:left="0" w:firstLine="0"/>
        <w:jc w:val="both"/>
        <w:rPr>
          <w:sz w:val="28"/>
          <w:szCs w:val="28"/>
          <w:lang w:val="en-US"/>
        </w:rPr>
      </w:pPr>
      <w:r>
        <w:rPr>
          <w:sz w:val="28"/>
          <w:szCs w:val="28"/>
          <w:lang w:val="en-US"/>
        </w:rPr>
        <w:t xml:space="preserve">The Minister was not called </w:t>
      </w:r>
      <w:r w:rsidR="003524EB">
        <w:rPr>
          <w:sz w:val="28"/>
          <w:szCs w:val="28"/>
          <w:lang w:val="en-US"/>
        </w:rPr>
        <w:t xml:space="preserve">to consider whether the applicant </w:t>
      </w:r>
      <w:r w:rsidR="00D96E8D">
        <w:rPr>
          <w:sz w:val="28"/>
          <w:szCs w:val="28"/>
          <w:lang w:val="en-US"/>
        </w:rPr>
        <w:t xml:space="preserve">obtained a fraudulent visa, but rather whether good cause exists why her prohibition </w:t>
      </w:r>
      <w:r w:rsidR="004674DB">
        <w:rPr>
          <w:sz w:val="28"/>
          <w:szCs w:val="28"/>
          <w:lang w:val="en-US"/>
        </w:rPr>
        <w:t xml:space="preserve">should be lifted. For this consideration, I cannot see how the Minister </w:t>
      </w:r>
      <w:r w:rsidR="006246AD">
        <w:rPr>
          <w:sz w:val="28"/>
          <w:szCs w:val="28"/>
          <w:lang w:val="en-US"/>
        </w:rPr>
        <w:t xml:space="preserve">could have applied his mind properly </w:t>
      </w:r>
      <w:r w:rsidR="008F798F">
        <w:rPr>
          <w:sz w:val="28"/>
          <w:szCs w:val="28"/>
          <w:lang w:val="en-US"/>
        </w:rPr>
        <w:t xml:space="preserve">to the question before him without the missing documents </w:t>
      </w:r>
      <w:r w:rsidR="00FA2DEF">
        <w:rPr>
          <w:sz w:val="28"/>
          <w:szCs w:val="28"/>
          <w:lang w:val="en-US"/>
        </w:rPr>
        <w:t>as listed above. The</w:t>
      </w:r>
      <w:r w:rsidR="00A90830">
        <w:rPr>
          <w:sz w:val="28"/>
          <w:szCs w:val="28"/>
          <w:lang w:val="en-US"/>
        </w:rPr>
        <w:t xml:space="preserve"> applicant relies, amongst </w:t>
      </w:r>
      <w:r w:rsidR="002C2F5E">
        <w:rPr>
          <w:sz w:val="28"/>
          <w:szCs w:val="28"/>
          <w:lang w:val="en-US"/>
        </w:rPr>
        <w:t>other,</w:t>
      </w:r>
      <w:r w:rsidR="00A90830">
        <w:rPr>
          <w:sz w:val="28"/>
          <w:szCs w:val="28"/>
          <w:lang w:val="en-US"/>
        </w:rPr>
        <w:t xml:space="preserve"> on the contents of the missing documents </w:t>
      </w:r>
      <w:r w:rsidR="002C2F5E">
        <w:rPr>
          <w:sz w:val="28"/>
          <w:szCs w:val="28"/>
          <w:lang w:val="en-US"/>
        </w:rPr>
        <w:t xml:space="preserve">in her case for the </w:t>
      </w:r>
      <w:proofErr w:type="spellStart"/>
      <w:r w:rsidR="002C2F5E">
        <w:rPr>
          <w:sz w:val="28"/>
          <w:szCs w:val="28"/>
          <w:lang w:val="en-US"/>
        </w:rPr>
        <w:t>liftment</w:t>
      </w:r>
      <w:proofErr w:type="spellEnd"/>
      <w:r w:rsidR="002C2F5E">
        <w:rPr>
          <w:sz w:val="28"/>
          <w:szCs w:val="28"/>
          <w:lang w:val="en-US"/>
        </w:rPr>
        <w:t xml:space="preserve"> of her prohibition. For this reason alone, the </w:t>
      </w:r>
      <w:r w:rsidR="00440F16">
        <w:rPr>
          <w:sz w:val="28"/>
          <w:szCs w:val="28"/>
          <w:lang w:val="en-US"/>
        </w:rPr>
        <w:t>M</w:t>
      </w:r>
      <w:r w:rsidR="002C2F5E">
        <w:rPr>
          <w:sz w:val="28"/>
          <w:szCs w:val="28"/>
          <w:lang w:val="en-US"/>
        </w:rPr>
        <w:t>inister’s decision should be set aside.</w:t>
      </w:r>
    </w:p>
    <w:p w14:paraId="716EDB8C" w14:textId="77777777" w:rsidR="002C2F5E" w:rsidRPr="002C2F5E" w:rsidRDefault="002C2F5E" w:rsidP="002C2F5E">
      <w:pPr>
        <w:pStyle w:val="ListParagraph"/>
        <w:rPr>
          <w:sz w:val="28"/>
          <w:szCs w:val="28"/>
          <w:lang w:val="en-US"/>
        </w:rPr>
      </w:pPr>
    </w:p>
    <w:p w14:paraId="396BA392" w14:textId="139ED5A6" w:rsidR="002C2F5E" w:rsidRPr="00193C93" w:rsidRDefault="00A52B3B" w:rsidP="002A1119">
      <w:pPr>
        <w:pStyle w:val="ListParagraph"/>
        <w:numPr>
          <w:ilvl w:val="0"/>
          <w:numId w:val="1"/>
        </w:numPr>
        <w:spacing w:line="360" w:lineRule="auto"/>
        <w:ind w:left="0" w:firstLine="0"/>
        <w:jc w:val="both"/>
        <w:rPr>
          <w:sz w:val="28"/>
          <w:szCs w:val="28"/>
          <w:lang w:val="en-US"/>
        </w:rPr>
      </w:pPr>
      <w:r>
        <w:rPr>
          <w:sz w:val="28"/>
          <w:szCs w:val="28"/>
          <w:lang w:val="en-US"/>
        </w:rPr>
        <w:t xml:space="preserve">The applicant also claims that her </w:t>
      </w:r>
      <w:r w:rsidR="00C03957">
        <w:rPr>
          <w:sz w:val="28"/>
          <w:szCs w:val="28"/>
          <w:lang w:val="en-US"/>
        </w:rPr>
        <w:t xml:space="preserve">impugned visa is in fact </w:t>
      </w:r>
      <w:r w:rsidR="00474344">
        <w:rPr>
          <w:sz w:val="28"/>
          <w:szCs w:val="28"/>
          <w:lang w:val="en-US"/>
        </w:rPr>
        <w:t>legitimate</w:t>
      </w:r>
      <w:r w:rsidR="00D81E49">
        <w:rPr>
          <w:sz w:val="28"/>
          <w:szCs w:val="28"/>
          <w:lang w:val="en-US"/>
        </w:rPr>
        <w:t>.</w:t>
      </w:r>
      <w:r w:rsidR="002A35C8">
        <w:rPr>
          <w:sz w:val="28"/>
          <w:szCs w:val="28"/>
          <w:lang w:val="en-US"/>
        </w:rPr>
        <w:t xml:space="preserve"> Her argument is that no proper basis had been laid </w:t>
      </w:r>
      <w:r w:rsidR="00CA138E">
        <w:rPr>
          <w:sz w:val="28"/>
          <w:szCs w:val="28"/>
          <w:lang w:val="en-US"/>
        </w:rPr>
        <w:t xml:space="preserve">for the assumption that the work visa is </w:t>
      </w:r>
      <w:r w:rsidR="00474344">
        <w:rPr>
          <w:sz w:val="28"/>
          <w:szCs w:val="28"/>
          <w:lang w:val="en-US"/>
        </w:rPr>
        <w:t xml:space="preserve">indeed </w:t>
      </w:r>
      <w:r w:rsidR="00CA138E">
        <w:rPr>
          <w:sz w:val="28"/>
          <w:szCs w:val="28"/>
          <w:lang w:val="en-US"/>
        </w:rPr>
        <w:t xml:space="preserve">fraudulent. </w:t>
      </w:r>
      <w:r w:rsidR="00474344">
        <w:rPr>
          <w:sz w:val="28"/>
          <w:szCs w:val="28"/>
          <w:lang w:val="en-US"/>
        </w:rPr>
        <w:t>The argument advanced in this regard</w:t>
      </w:r>
      <w:r w:rsidR="0030005D">
        <w:rPr>
          <w:sz w:val="28"/>
          <w:szCs w:val="28"/>
          <w:lang w:val="en-US"/>
        </w:rPr>
        <w:t xml:space="preserve"> is that the </w:t>
      </w:r>
      <w:r w:rsidR="008F2DF4">
        <w:rPr>
          <w:sz w:val="28"/>
          <w:szCs w:val="28"/>
          <w:lang w:val="en-US"/>
        </w:rPr>
        <w:t xml:space="preserve">visa is not reflected on the Department’s </w:t>
      </w:r>
      <w:r w:rsidR="00227313">
        <w:rPr>
          <w:sz w:val="28"/>
          <w:szCs w:val="28"/>
          <w:lang w:val="en-US"/>
        </w:rPr>
        <w:t>records.</w:t>
      </w:r>
      <w:r w:rsidR="00275698">
        <w:rPr>
          <w:sz w:val="28"/>
          <w:szCs w:val="28"/>
          <w:lang w:val="en-US"/>
        </w:rPr>
        <w:t xml:space="preserve"> </w:t>
      </w:r>
      <w:r w:rsidR="00CC12A9">
        <w:rPr>
          <w:sz w:val="28"/>
          <w:szCs w:val="28"/>
          <w:lang w:val="en-US"/>
        </w:rPr>
        <w:t xml:space="preserve">The Department prepared a submission </w:t>
      </w:r>
      <w:r w:rsidR="000154BF">
        <w:rPr>
          <w:sz w:val="28"/>
          <w:szCs w:val="28"/>
          <w:lang w:val="en-US"/>
        </w:rPr>
        <w:t xml:space="preserve">to the Minister </w:t>
      </w:r>
      <w:r w:rsidR="00CC5A9A">
        <w:rPr>
          <w:sz w:val="28"/>
          <w:szCs w:val="28"/>
          <w:lang w:val="en-US"/>
        </w:rPr>
        <w:t xml:space="preserve">dated 10 May 2021 </w:t>
      </w:r>
      <w:r w:rsidR="0086626C">
        <w:rPr>
          <w:sz w:val="28"/>
          <w:szCs w:val="28"/>
          <w:lang w:val="en-US"/>
        </w:rPr>
        <w:t xml:space="preserve">(“the submission”) </w:t>
      </w:r>
      <w:r w:rsidR="00CC5A9A">
        <w:rPr>
          <w:sz w:val="28"/>
          <w:szCs w:val="28"/>
          <w:lang w:val="en-US"/>
        </w:rPr>
        <w:t>wherein it was sta</w:t>
      </w:r>
      <w:r w:rsidR="000154BF">
        <w:rPr>
          <w:sz w:val="28"/>
          <w:szCs w:val="28"/>
          <w:lang w:val="en-US"/>
        </w:rPr>
        <w:t>ted that “</w:t>
      </w:r>
      <w:r w:rsidR="000154BF" w:rsidRPr="00B8486E">
        <w:rPr>
          <w:i/>
          <w:iCs/>
          <w:sz w:val="28"/>
          <w:szCs w:val="28"/>
          <w:lang w:val="en-GB"/>
        </w:rPr>
        <w:t>the applicant</w:t>
      </w:r>
      <w:r w:rsidR="00614BD7" w:rsidRPr="00B8486E">
        <w:rPr>
          <w:i/>
          <w:iCs/>
          <w:sz w:val="28"/>
          <w:szCs w:val="28"/>
          <w:lang w:val="en-GB"/>
        </w:rPr>
        <w:t>’</w:t>
      </w:r>
      <w:r w:rsidR="000154BF" w:rsidRPr="00B8486E">
        <w:rPr>
          <w:i/>
          <w:iCs/>
          <w:sz w:val="28"/>
          <w:szCs w:val="28"/>
          <w:lang w:val="en-GB"/>
        </w:rPr>
        <w:t>s fraudulently obtained work permit does not exist on permit track and trace system but it is captured on in M</w:t>
      </w:r>
      <w:r w:rsidR="00510CED" w:rsidRPr="00B8486E">
        <w:rPr>
          <w:i/>
          <w:iCs/>
          <w:sz w:val="28"/>
          <w:szCs w:val="28"/>
          <w:lang w:val="en-GB"/>
        </w:rPr>
        <w:t>CS</w:t>
      </w:r>
      <w:r w:rsidR="00614BD7" w:rsidRPr="00B8486E">
        <w:rPr>
          <w:i/>
          <w:iCs/>
          <w:sz w:val="28"/>
          <w:szCs w:val="28"/>
          <w:lang w:val="en-GB"/>
        </w:rPr>
        <w:t xml:space="preserve"> comments</w:t>
      </w:r>
      <w:r w:rsidR="00704F85">
        <w:rPr>
          <w:sz w:val="28"/>
          <w:szCs w:val="28"/>
          <w:lang w:val="en-GB"/>
        </w:rPr>
        <w:t>”</w:t>
      </w:r>
      <w:r w:rsidR="00614BD7" w:rsidRPr="00614BD7">
        <w:rPr>
          <w:sz w:val="28"/>
          <w:szCs w:val="28"/>
          <w:lang w:val="en-GB"/>
        </w:rPr>
        <w:t>.</w:t>
      </w:r>
      <w:r w:rsidR="00B8486E">
        <w:rPr>
          <w:sz w:val="28"/>
          <w:szCs w:val="28"/>
          <w:lang w:val="en-GB"/>
        </w:rPr>
        <w:t xml:space="preserve"> The applicant avers that the Minister’s decision was based </w:t>
      </w:r>
      <w:r w:rsidR="0086626C">
        <w:rPr>
          <w:sz w:val="28"/>
          <w:szCs w:val="28"/>
          <w:lang w:val="en-GB"/>
        </w:rPr>
        <w:t xml:space="preserve">on the submission. </w:t>
      </w:r>
    </w:p>
    <w:p w14:paraId="6B72009C" w14:textId="77777777" w:rsidR="00193C93" w:rsidRPr="00193C93" w:rsidRDefault="00193C93" w:rsidP="00193C93">
      <w:pPr>
        <w:pStyle w:val="ListParagraph"/>
        <w:rPr>
          <w:sz w:val="28"/>
          <w:szCs w:val="28"/>
          <w:lang w:val="en-US"/>
        </w:rPr>
      </w:pPr>
    </w:p>
    <w:p w14:paraId="2D376A49" w14:textId="7C43E7EB" w:rsidR="00717B2B" w:rsidRDefault="00193C93" w:rsidP="002A1119">
      <w:pPr>
        <w:pStyle w:val="ListParagraph"/>
        <w:numPr>
          <w:ilvl w:val="0"/>
          <w:numId w:val="1"/>
        </w:numPr>
        <w:spacing w:line="360" w:lineRule="auto"/>
        <w:ind w:left="0" w:firstLine="0"/>
        <w:jc w:val="both"/>
        <w:rPr>
          <w:sz w:val="28"/>
          <w:szCs w:val="28"/>
          <w:lang w:val="en-US"/>
        </w:rPr>
      </w:pPr>
      <w:r w:rsidRPr="00127A08">
        <w:rPr>
          <w:sz w:val="28"/>
          <w:szCs w:val="28"/>
          <w:lang w:val="en-US"/>
        </w:rPr>
        <w:t xml:space="preserve">The applicant further argues that the contents of the submission </w:t>
      </w:r>
      <w:r w:rsidR="00474344">
        <w:rPr>
          <w:sz w:val="28"/>
          <w:szCs w:val="28"/>
          <w:lang w:val="en-US"/>
        </w:rPr>
        <w:t xml:space="preserve">does not constitute </w:t>
      </w:r>
      <w:r w:rsidR="00F64C98" w:rsidRPr="00127A08">
        <w:rPr>
          <w:i/>
          <w:iCs/>
          <w:sz w:val="28"/>
          <w:szCs w:val="28"/>
          <w:lang w:val="en-US"/>
        </w:rPr>
        <w:t>ipso facto</w:t>
      </w:r>
      <w:r w:rsidR="00F64C98" w:rsidRPr="00127A08">
        <w:rPr>
          <w:sz w:val="28"/>
          <w:szCs w:val="28"/>
          <w:lang w:val="en-US"/>
        </w:rPr>
        <w:t xml:space="preserve"> proof of fraud </w:t>
      </w:r>
      <w:r w:rsidR="00474344">
        <w:rPr>
          <w:sz w:val="28"/>
          <w:szCs w:val="28"/>
          <w:lang w:val="en-US"/>
        </w:rPr>
        <w:t>since</w:t>
      </w:r>
      <w:r w:rsidR="00F64C98" w:rsidRPr="00127A08">
        <w:rPr>
          <w:sz w:val="28"/>
          <w:szCs w:val="28"/>
          <w:lang w:val="en-US"/>
        </w:rPr>
        <w:t xml:space="preserve"> </w:t>
      </w:r>
      <w:r w:rsidR="00CD5CD4" w:rsidRPr="00127A08">
        <w:rPr>
          <w:sz w:val="28"/>
          <w:szCs w:val="28"/>
          <w:lang w:val="en-US"/>
        </w:rPr>
        <w:t>it may simply be a case of poor record</w:t>
      </w:r>
      <w:r w:rsidR="005B4C45" w:rsidRPr="00127A08">
        <w:rPr>
          <w:sz w:val="28"/>
          <w:szCs w:val="28"/>
          <w:lang w:val="en-US"/>
        </w:rPr>
        <w:t>-</w:t>
      </w:r>
      <w:r w:rsidR="00CD5CD4" w:rsidRPr="00127A08">
        <w:rPr>
          <w:sz w:val="28"/>
          <w:szCs w:val="28"/>
          <w:lang w:val="en-US"/>
        </w:rPr>
        <w:t>keeping</w:t>
      </w:r>
      <w:r w:rsidR="00474344">
        <w:rPr>
          <w:sz w:val="28"/>
          <w:szCs w:val="28"/>
          <w:lang w:val="en-US"/>
        </w:rPr>
        <w:t xml:space="preserve">, or administrative </w:t>
      </w:r>
      <w:r w:rsidR="005B4C45" w:rsidRPr="00127A08">
        <w:rPr>
          <w:sz w:val="28"/>
          <w:szCs w:val="28"/>
          <w:lang w:val="en-US"/>
        </w:rPr>
        <w:t>failures by the Department.</w:t>
      </w:r>
      <w:r w:rsidR="001B186F" w:rsidRPr="00127A08">
        <w:rPr>
          <w:sz w:val="28"/>
          <w:szCs w:val="28"/>
          <w:lang w:val="en-US"/>
        </w:rPr>
        <w:t xml:space="preserve"> In his heads of argument, counsel for the applicant refers to a number of cases</w:t>
      </w:r>
      <w:r w:rsidR="00A11108">
        <w:rPr>
          <w:rStyle w:val="FootnoteReference"/>
          <w:sz w:val="28"/>
          <w:szCs w:val="28"/>
          <w:lang w:val="en-US"/>
        </w:rPr>
        <w:footnoteReference w:id="16"/>
      </w:r>
      <w:r w:rsidR="00440F16">
        <w:rPr>
          <w:sz w:val="28"/>
          <w:szCs w:val="28"/>
          <w:lang w:val="en-US"/>
        </w:rPr>
        <w:t xml:space="preserve"> which illustrate</w:t>
      </w:r>
      <w:r w:rsidR="005B3925" w:rsidRPr="00127A08">
        <w:rPr>
          <w:sz w:val="28"/>
          <w:szCs w:val="28"/>
          <w:lang w:val="en-US"/>
        </w:rPr>
        <w:t xml:space="preserve"> </w:t>
      </w:r>
      <w:r w:rsidR="00A11108" w:rsidRPr="00127A08">
        <w:rPr>
          <w:sz w:val="28"/>
          <w:szCs w:val="28"/>
          <w:lang w:val="en-US"/>
        </w:rPr>
        <w:t>dysfunctional and erroneous record-keeping by the Department.</w:t>
      </w:r>
      <w:r w:rsidR="00203B77" w:rsidRPr="00127A08">
        <w:rPr>
          <w:sz w:val="28"/>
          <w:szCs w:val="28"/>
          <w:lang w:val="en-US"/>
        </w:rPr>
        <w:t xml:space="preserve"> </w:t>
      </w:r>
      <w:r w:rsidR="0099532C">
        <w:rPr>
          <w:sz w:val="28"/>
          <w:szCs w:val="28"/>
          <w:lang w:val="en-US"/>
        </w:rPr>
        <w:t xml:space="preserve">It does appear from </w:t>
      </w:r>
      <w:r w:rsidR="00825A3E">
        <w:rPr>
          <w:sz w:val="28"/>
          <w:szCs w:val="28"/>
          <w:lang w:val="en-US"/>
        </w:rPr>
        <w:t xml:space="preserve">the evidence put up by the applicant, as also illustrated in the cases mentioned, that the Department track and trace record keeping system is unreliable. </w:t>
      </w:r>
      <w:r w:rsidR="00D4235E">
        <w:rPr>
          <w:sz w:val="28"/>
          <w:szCs w:val="28"/>
          <w:lang w:val="en-US"/>
        </w:rPr>
        <w:t>I</w:t>
      </w:r>
      <w:r w:rsidR="00560D0B">
        <w:rPr>
          <w:sz w:val="28"/>
          <w:szCs w:val="28"/>
          <w:lang w:val="en-US"/>
        </w:rPr>
        <w:t>n</w:t>
      </w:r>
      <w:r w:rsidR="00D4235E">
        <w:rPr>
          <w:sz w:val="28"/>
          <w:szCs w:val="28"/>
          <w:lang w:val="en-US"/>
        </w:rPr>
        <w:t xml:space="preserve"> my view, the</w:t>
      </w:r>
      <w:r w:rsidR="00560D0B">
        <w:rPr>
          <w:sz w:val="28"/>
          <w:szCs w:val="28"/>
          <w:lang w:val="en-US"/>
        </w:rPr>
        <w:t xml:space="preserve"> Department has not </w:t>
      </w:r>
      <w:r w:rsidR="00120E25">
        <w:rPr>
          <w:sz w:val="28"/>
          <w:szCs w:val="28"/>
          <w:lang w:val="en-US"/>
        </w:rPr>
        <w:t xml:space="preserve">sufficiently investigated </w:t>
      </w:r>
      <w:r w:rsidR="00EB139F">
        <w:rPr>
          <w:sz w:val="28"/>
          <w:szCs w:val="28"/>
          <w:lang w:val="en-US"/>
        </w:rPr>
        <w:t>the validity of the applicant’s vis</w:t>
      </w:r>
      <w:r w:rsidR="00C14694">
        <w:rPr>
          <w:sz w:val="28"/>
          <w:szCs w:val="28"/>
          <w:lang w:val="en-US"/>
        </w:rPr>
        <w:t>a.</w:t>
      </w:r>
      <w:r w:rsidR="008B1DB4">
        <w:rPr>
          <w:sz w:val="28"/>
          <w:szCs w:val="28"/>
          <w:lang w:val="en-US"/>
        </w:rPr>
        <w:t xml:space="preserve"> T</w:t>
      </w:r>
      <w:r w:rsidR="00502003">
        <w:rPr>
          <w:sz w:val="28"/>
          <w:szCs w:val="28"/>
          <w:lang w:val="en-US"/>
        </w:rPr>
        <w:t>he</w:t>
      </w:r>
      <w:r w:rsidR="005E266C">
        <w:rPr>
          <w:sz w:val="28"/>
          <w:szCs w:val="28"/>
          <w:lang w:val="en-US"/>
        </w:rPr>
        <w:t xml:space="preserve"> fact that </w:t>
      </w:r>
      <w:r w:rsidR="008B1DB4">
        <w:rPr>
          <w:sz w:val="28"/>
          <w:szCs w:val="28"/>
          <w:lang w:val="en-US"/>
        </w:rPr>
        <w:t>the visa</w:t>
      </w:r>
      <w:r w:rsidR="005E266C">
        <w:rPr>
          <w:sz w:val="28"/>
          <w:szCs w:val="28"/>
          <w:lang w:val="en-US"/>
        </w:rPr>
        <w:t xml:space="preserve"> cannot be found on the track and trace system is not conclusive </w:t>
      </w:r>
      <w:r w:rsidR="008B1DB4">
        <w:rPr>
          <w:sz w:val="28"/>
          <w:szCs w:val="28"/>
          <w:lang w:val="en-US"/>
        </w:rPr>
        <w:t xml:space="preserve">evidence </w:t>
      </w:r>
      <w:r w:rsidR="005E266C">
        <w:rPr>
          <w:sz w:val="28"/>
          <w:szCs w:val="28"/>
          <w:lang w:val="en-US"/>
        </w:rPr>
        <w:t xml:space="preserve">that it is </w:t>
      </w:r>
      <w:r w:rsidR="006D0DAC">
        <w:rPr>
          <w:sz w:val="28"/>
          <w:szCs w:val="28"/>
          <w:lang w:val="en-US"/>
        </w:rPr>
        <w:t xml:space="preserve">fraudulent. </w:t>
      </w:r>
    </w:p>
    <w:p w14:paraId="31EAA291" w14:textId="77777777" w:rsidR="00CA7229" w:rsidRPr="00CA7229" w:rsidRDefault="00CA7229" w:rsidP="00CA7229">
      <w:pPr>
        <w:pStyle w:val="ListParagraph"/>
        <w:rPr>
          <w:sz w:val="28"/>
          <w:szCs w:val="28"/>
          <w:lang w:val="en-US"/>
        </w:rPr>
      </w:pPr>
    </w:p>
    <w:p w14:paraId="7B817ECE" w14:textId="491AF0C0" w:rsidR="00CA7229" w:rsidRPr="00213B7F" w:rsidRDefault="00213B7F" w:rsidP="002A1119">
      <w:pPr>
        <w:pStyle w:val="ListParagraph"/>
        <w:spacing w:line="360" w:lineRule="auto"/>
        <w:ind w:left="360" w:hanging="360"/>
        <w:jc w:val="both"/>
        <w:rPr>
          <w:b/>
          <w:bCs/>
          <w:sz w:val="28"/>
          <w:szCs w:val="28"/>
          <w:lang w:val="en-US"/>
        </w:rPr>
      </w:pPr>
      <w:r>
        <w:rPr>
          <w:b/>
          <w:bCs/>
          <w:sz w:val="28"/>
          <w:szCs w:val="28"/>
          <w:lang w:val="en-US"/>
        </w:rPr>
        <w:t>Appropriate relief</w:t>
      </w:r>
    </w:p>
    <w:p w14:paraId="6779BDD7" w14:textId="5F109A36" w:rsidR="0049644C" w:rsidRDefault="0049644C" w:rsidP="00717B2B">
      <w:pPr>
        <w:pStyle w:val="ListParagraph"/>
        <w:spacing w:line="360" w:lineRule="auto"/>
        <w:ind w:left="360"/>
        <w:jc w:val="both"/>
        <w:rPr>
          <w:sz w:val="28"/>
          <w:szCs w:val="28"/>
          <w:lang w:val="en-US"/>
        </w:rPr>
      </w:pPr>
    </w:p>
    <w:p w14:paraId="0AE17000" w14:textId="68052A3A" w:rsidR="00717B2B" w:rsidRDefault="00213B7F" w:rsidP="002A1119">
      <w:pPr>
        <w:pStyle w:val="ListParagraph"/>
        <w:numPr>
          <w:ilvl w:val="0"/>
          <w:numId w:val="1"/>
        </w:numPr>
        <w:spacing w:line="360" w:lineRule="auto"/>
        <w:ind w:left="0" w:firstLine="0"/>
        <w:jc w:val="both"/>
        <w:rPr>
          <w:sz w:val="28"/>
          <w:szCs w:val="28"/>
          <w:lang w:val="en-US"/>
        </w:rPr>
      </w:pPr>
      <w:r>
        <w:rPr>
          <w:sz w:val="28"/>
          <w:szCs w:val="28"/>
          <w:lang w:val="en-US"/>
        </w:rPr>
        <w:t xml:space="preserve">I have already indicated that the </w:t>
      </w:r>
      <w:r w:rsidR="00A32F9B">
        <w:rPr>
          <w:sz w:val="28"/>
          <w:szCs w:val="28"/>
          <w:lang w:val="en-US"/>
        </w:rPr>
        <w:t xml:space="preserve">Minister’s decision should be set aside. </w:t>
      </w:r>
      <w:r w:rsidR="009A7FA3">
        <w:rPr>
          <w:sz w:val="28"/>
          <w:szCs w:val="28"/>
          <w:lang w:val="en-US"/>
        </w:rPr>
        <w:t xml:space="preserve">This leads to the question whether it is appropriate for this court </w:t>
      </w:r>
      <w:r w:rsidR="002058E7">
        <w:rPr>
          <w:sz w:val="28"/>
          <w:szCs w:val="28"/>
          <w:lang w:val="en-US"/>
        </w:rPr>
        <w:t xml:space="preserve">to grant the declaration sought by the applicant, namely that she </w:t>
      </w:r>
      <w:r w:rsidR="00C741FA">
        <w:rPr>
          <w:sz w:val="28"/>
          <w:szCs w:val="28"/>
          <w:lang w:val="en-US"/>
        </w:rPr>
        <w:t>is not a prohibited person in terms of section 29(1)(f) of the Act.</w:t>
      </w:r>
    </w:p>
    <w:p w14:paraId="1939124C" w14:textId="77777777" w:rsidR="002A055B" w:rsidRDefault="002A055B" w:rsidP="002A055B">
      <w:pPr>
        <w:pStyle w:val="ListParagraph"/>
        <w:spacing w:line="360" w:lineRule="auto"/>
        <w:ind w:left="360"/>
        <w:jc w:val="both"/>
        <w:rPr>
          <w:sz w:val="28"/>
          <w:szCs w:val="28"/>
          <w:lang w:val="en-US"/>
        </w:rPr>
      </w:pPr>
    </w:p>
    <w:p w14:paraId="3190F171" w14:textId="73165835" w:rsidR="002A055B" w:rsidRDefault="002A055B" w:rsidP="00BD10F9">
      <w:pPr>
        <w:pStyle w:val="ListParagraph"/>
        <w:numPr>
          <w:ilvl w:val="0"/>
          <w:numId w:val="1"/>
        </w:numPr>
        <w:spacing w:line="360" w:lineRule="auto"/>
        <w:ind w:left="0" w:firstLine="0"/>
        <w:jc w:val="both"/>
        <w:rPr>
          <w:sz w:val="28"/>
          <w:szCs w:val="28"/>
          <w:lang w:val="en-US"/>
        </w:rPr>
      </w:pPr>
      <w:r>
        <w:rPr>
          <w:sz w:val="28"/>
          <w:szCs w:val="28"/>
          <w:lang w:val="en-US"/>
        </w:rPr>
        <w:t xml:space="preserve">In </w:t>
      </w:r>
      <w:proofErr w:type="spellStart"/>
      <w:r w:rsidRPr="008459EF">
        <w:rPr>
          <w:b/>
          <w:bCs/>
          <w:sz w:val="28"/>
          <w:szCs w:val="28"/>
          <w:lang w:val="en-US"/>
        </w:rPr>
        <w:t>Trencon</w:t>
      </w:r>
      <w:proofErr w:type="spellEnd"/>
      <w:r w:rsidR="00491C8C" w:rsidRPr="008459EF">
        <w:rPr>
          <w:b/>
          <w:bCs/>
          <w:sz w:val="28"/>
          <w:szCs w:val="28"/>
          <w:lang w:val="en-US"/>
        </w:rPr>
        <w:t xml:space="preserve"> Construction (Pty) Ltd v Industrial Development </w:t>
      </w:r>
      <w:r w:rsidR="000663B6" w:rsidRPr="008459EF">
        <w:rPr>
          <w:b/>
          <w:bCs/>
          <w:sz w:val="28"/>
          <w:szCs w:val="28"/>
          <w:lang w:val="en-US"/>
        </w:rPr>
        <w:t>Corporation of South Afri</w:t>
      </w:r>
      <w:r w:rsidR="008459EF" w:rsidRPr="008459EF">
        <w:rPr>
          <w:b/>
          <w:bCs/>
          <w:sz w:val="28"/>
          <w:szCs w:val="28"/>
          <w:lang w:val="en-US"/>
        </w:rPr>
        <w:t>c</w:t>
      </w:r>
      <w:r w:rsidR="000663B6" w:rsidRPr="008459EF">
        <w:rPr>
          <w:b/>
          <w:bCs/>
          <w:sz w:val="28"/>
          <w:szCs w:val="28"/>
          <w:lang w:val="en-US"/>
        </w:rPr>
        <w:t>a Limited and Another</w:t>
      </w:r>
      <w:r w:rsidR="000663B6">
        <w:rPr>
          <w:rStyle w:val="FootnoteReference"/>
          <w:sz w:val="28"/>
          <w:szCs w:val="28"/>
          <w:lang w:val="en-US"/>
        </w:rPr>
        <w:footnoteReference w:id="17"/>
      </w:r>
      <w:r>
        <w:rPr>
          <w:sz w:val="28"/>
          <w:szCs w:val="28"/>
          <w:lang w:val="en-US"/>
        </w:rPr>
        <w:t xml:space="preserve"> </w:t>
      </w:r>
      <w:r w:rsidR="00B361C4">
        <w:rPr>
          <w:sz w:val="28"/>
          <w:szCs w:val="28"/>
          <w:lang w:val="en-US"/>
        </w:rPr>
        <w:t>the Constitutional Court indicated that</w:t>
      </w:r>
      <w:r w:rsidR="005E1B91">
        <w:rPr>
          <w:sz w:val="28"/>
          <w:szCs w:val="28"/>
          <w:lang w:val="en-US"/>
        </w:rPr>
        <w:t xml:space="preserve"> the administrative review context of section 8(1) of PAJA</w:t>
      </w:r>
      <w:r w:rsidR="003067E1">
        <w:rPr>
          <w:sz w:val="28"/>
          <w:szCs w:val="28"/>
          <w:lang w:val="en-US"/>
        </w:rPr>
        <w:t xml:space="preserve">, </w:t>
      </w:r>
      <w:r w:rsidR="00A856A2">
        <w:rPr>
          <w:sz w:val="28"/>
          <w:szCs w:val="28"/>
          <w:lang w:val="en-US"/>
        </w:rPr>
        <w:t xml:space="preserve">makes it perspicuous </w:t>
      </w:r>
      <w:r w:rsidR="00BB1849">
        <w:rPr>
          <w:sz w:val="28"/>
          <w:szCs w:val="28"/>
          <w:lang w:val="en-US"/>
        </w:rPr>
        <w:t xml:space="preserve">that substitution remains an extraordinary remedy, and remittal </w:t>
      </w:r>
      <w:r w:rsidR="004551A5">
        <w:rPr>
          <w:sz w:val="28"/>
          <w:szCs w:val="28"/>
          <w:lang w:val="en-US"/>
        </w:rPr>
        <w:t xml:space="preserve">is still always </w:t>
      </w:r>
      <w:r w:rsidR="004551A5">
        <w:rPr>
          <w:sz w:val="28"/>
          <w:szCs w:val="28"/>
          <w:lang w:val="en-US"/>
        </w:rPr>
        <w:lastRenderedPageBreak/>
        <w:t>the prudent and proper course.</w:t>
      </w:r>
      <w:r w:rsidR="004551A5">
        <w:rPr>
          <w:rStyle w:val="FootnoteReference"/>
          <w:sz w:val="28"/>
          <w:szCs w:val="28"/>
          <w:lang w:val="en-US"/>
        </w:rPr>
        <w:footnoteReference w:id="18"/>
      </w:r>
      <w:r w:rsidR="00684309">
        <w:rPr>
          <w:sz w:val="28"/>
          <w:szCs w:val="28"/>
          <w:lang w:val="en-US"/>
        </w:rPr>
        <w:t xml:space="preserve"> It is </w:t>
      </w:r>
      <w:r w:rsidR="0056725A">
        <w:rPr>
          <w:sz w:val="28"/>
          <w:szCs w:val="28"/>
          <w:lang w:val="en-US"/>
        </w:rPr>
        <w:t xml:space="preserve">well established that it is only in very rare cases that a court </w:t>
      </w:r>
      <w:r w:rsidR="002152BA">
        <w:rPr>
          <w:sz w:val="28"/>
          <w:szCs w:val="28"/>
          <w:lang w:val="en-US"/>
        </w:rPr>
        <w:t>will substitute its own decision for that of the funct</w:t>
      </w:r>
      <w:r w:rsidR="00865598">
        <w:rPr>
          <w:sz w:val="28"/>
          <w:szCs w:val="28"/>
          <w:lang w:val="en-US"/>
        </w:rPr>
        <w:t xml:space="preserve">ionary </w:t>
      </w:r>
      <w:r w:rsidR="004B5BF0">
        <w:rPr>
          <w:sz w:val="28"/>
          <w:szCs w:val="28"/>
          <w:lang w:val="en-US"/>
        </w:rPr>
        <w:t>to whom the decision has been entrusted. This is not such a case, in my view.</w:t>
      </w:r>
      <w:r w:rsidR="00CF0678">
        <w:rPr>
          <w:sz w:val="28"/>
          <w:szCs w:val="28"/>
          <w:lang w:val="en-US"/>
        </w:rPr>
        <w:t xml:space="preserve"> </w:t>
      </w:r>
    </w:p>
    <w:p w14:paraId="4A8D2061" w14:textId="77777777" w:rsidR="00D07E67" w:rsidRPr="00D07E67" w:rsidRDefault="00D07E67" w:rsidP="00D07E67">
      <w:pPr>
        <w:pStyle w:val="ListParagraph"/>
        <w:rPr>
          <w:sz w:val="28"/>
          <w:szCs w:val="28"/>
          <w:lang w:val="en-US"/>
        </w:rPr>
      </w:pPr>
    </w:p>
    <w:p w14:paraId="19CC3800" w14:textId="40A5E4D9" w:rsidR="00D07E67" w:rsidRPr="00D07E67" w:rsidRDefault="00D07E67" w:rsidP="00D07E67">
      <w:pPr>
        <w:pStyle w:val="ListParagraph"/>
        <w:spacing w:line="360" w:lineRule="auto"/>
        <w:ind w:left="360"/>
        <w:jc w:val="both"/>
        <w:rPr>
          <w:b/>
          <w:bCs/>
          <w:sz w:val="28"/>
          <w:szCs w:val="28"/>
          <w:lang w:val="en-US"/>
        </w:rPr>
      </w:pPr>
      <w:r w:rsidRPr="00D07E67">
        <w:rPr>
          <w:b/>
          <w:bCs/>
          <w:sz w:val="28"/>
          <w:szCs w:val="28"/>
          <w:lang w:val="en-US"/>
        </w:rPr>
        <w:t>Additional issue to be considered</w:t>
      </w:r>
    </w:p>
    <w:p w14:paraId="7A08724F" w14:textId="77777777" w:rsidR="003160FD" w:rsidRPr="003160FD" w:rsidRDefault="003160FD" w:rsidP="003160FD">
      <w:pPr>
        <w:pStyle w:val="ListParagraph"/>
        <w:rPr>
          <w:sz w:val="28"/>
          <w:szCs w:val="28"/>
          <w:lang w:val="en-US"/>
        </w:rPr>
      </w:pPr>
    </w:p>
    <w:p w14:paraId="0F2ADA61" w14:textId="0BFAAEC5" w:rsidR="003160FD" w:rsidRDefault="00162ABE" w:rsidP="002A1119">
      <w:pPr>
        <w:pStyle w:val="ListParagraph"/>
        <w:numPr>
          <w:ilvl w:val="0"/>
          <w:numId w:val="1"/>
        </w:numPr>
        <w:spacing w:line="360" w:lineRule="auto"/>
        <w:ind w:left="142" w:firstLine="0"/>
        <w:jc w:val="both"/>
        <w:rPr>
          <w:sz w:val="28"/>
          <w:szCs w:val="28"/>
          <w:lang w:val="en-US"/>
        </w:rPr>
      </w:pPr>
      <w:r>
        <w:rPr>
          <w:sz w:val="28"/>
          <w:szCs w:val="28"/>
          <w:lang w:val="en-US"/>
        </w:rPr>
        <w:t>Counsel fo</w:t>
      </w:r>
      <w:r w:rsidR="00FA0EA9">
        <w:rPr>
          <w:sz w:val="28"/>
          <w:szCs w:val="28"/>
          <w:lang w:val="en-US"/>
        </w:rPr>
        <w:t>r</w:t>
      </w:r>
      <w:r>
        <w:rPr>
          <w:sz w:val="28"/>
          <w:szCs w:val="28"/>
          <w:lang w:val="en-US"/>
        </w:rPr>
        <w:t xml:space="preserve"> the appellant </w:t>
      </w:r>
      <w:r w:rsidR="00FA0EA9">
        <w:rPr>
          <w:sz w:val="28"/>
          <w:szCs w:val="28"/>
          <w:lang w:val="en-US"/>
        </w:rPr>
        <w:t>contends th</w:t>
      </w:r>
      <w:r w:rsidR="00737E89">
        <w:rPr>
          <w:sz w:val="28"/>
          <w:szCs w:val="28"/>
          <w:lang w:val="en-US"/>
        </w:rPr>
        <w:t>a</w:t>
      </w:r>
      <w:r w:rsidR="00FA0EA9">
        <w:rPr>
          <w:sz w:val="28"/>
          <w:szCs w:val="28"/>
          <w:lang w:val="en-US"/>
        </w:rPr>
        <w:t xml:space="preserve">t the Minister </w:t>
      </w:r>
      <w:r w:rsidR="00D721EF">
        <w:rPr>
          <w:sz w:val="28"/>
          <w:szCs w:val="28"/>
          <w:lang w:val="en-US"/>
        </w:rPr>
        <w:t xml:space="preserve">disregarded </w:t>
      </w:r>
      <w:r w:rsidR="00737E89">
        <w:rPr>
          <w:sz w:val="28"/>
          <w:szCs w:val="28"/>
          <w:lang w:val="en-US"/>
        </w:rPr>
        <w:t>the applicant’s constitutional right</w:t>
      </w:r>
      <w:r w:rsidR="00922B3B">
        <w:rPr>
          <w:sz w:val="28"/>
          <w:szCs w:val="28"/>
          <w:lang w:val="en-US"/>
        </w:rPr>
        <w:t xml:space="preserve"> to be with her family a</w:t>
      </w:r>
      <w:r w:rsidR="00D721EF">
        <w:rPr>
          <w:sz w:val="28"/>
          <w:szCs w:val="28"/>
          <w:lang w:val="en-US"/>
        </w:rPr>
        <w:t>s well as the</w:t>
      </w:r>
      <w:r w:rsidR="00744E63">
        <w:rPr>
          <w:sz w:val="28"/>
          <w:szCs w:val="28"/>
          <w:lang w:val="en-US"/>
        </w:rPr>
        <w:t xml:space="preserve"> best interest of the applicant’s minor child. </w:t>
      </w:r>
      <w:r w:rsidR="00797708">
        <w:rPr>
          <w:sz w:val="28"/>
          <w:szCs w:val="28"/>
          <w:lang w:val="en-US"/>
        </w:rPr>
        <w:t xml:space="preserve">It appears from the papers before me, however, that at the time when the Minister considered the applicant’s appeal, </w:t>
      </w:r>
      <w:r w:rsidR="00880EEB">
        <w:rPr>
          <w:sz w:val="28"/>
          <w:szCs w:val="28"/>
          <w:lang w:val="en-US"/>
        </w:rPr>
        <w:t>she was in a life partnership</w:t>
      </w:r>
      <w:r w:rsidR="00FF584A">
        <w:rPr>
          <w:sz w:val="28"/>
          <w:szCs w:val="28"/>
          <w:lang w:val="en-US"/>
        </w:rPr>
        <w:t xml:space="preserve"> arrangement</w:t>
      </w:r>
      <w:r w:rsidR="00880EEB">
        <w:rPr>
          <w:sz w:val="28"/>
          <w:szCs w:val="28"/>
          <w:lang w:val="en-US"/>
        </w:rPr>
        <w:t xml:space="preserve">, but </w:t>
      </w:r>
      <w:r w:rsidR="00DF0806">
        <w:rPr>
          <w:sz w:val="28"/>
          <w:szCs w:val="28"/>
          <w:lang w:val="en-US"/>
        </w:rPr>
        <w:t xml:space="preserve">had no children. By the time that this application was launched, she was pregnant. The Minister could therefore, at the time, not have considered the best interest of a minor child. </w:t>
      </w:r>
      <w:r w:rsidR="004A4F6B">
        <w:rPr>
          <w:sz w:val="28"/>
          <w:szCs w:val="28"/>
          <w:lang w:val="en-US"/>
        </w:rPr>
        <w:t>If the applicant did in fact give birth to a minor child, this is certainly a factor that the Minister should consider in his re</w:t>
      </w:r>
      <w:r w:rsidR="00795866">
        <w:rPr>
          <w:sz w:val="28"/>
          <w:szCs w:val="28"/>
          <w:lang w:val="en-US"/>
        </w:rPr>
        <w:t>-</w:t>
      </w:r>
      <w:r w:rsidR="004A4F6B">
        <w:rPr>
          <w:sz w:val="28"/>
          <w:szCs w:val="28"/>
          <w:lang w:val="en-US"/>
        </w:rPr>
        <w:t xml:space="preserve">consideration of this matter. </w:t>
      </w:r>
      <w:r w:rsidR="00B95D73">
        <w:rPr>
          <w:sz w:val="28"/>
          <w:szCs w:val="28"/>
          <w:lang w:val="en-US"/>
        </w:rPr>
        <w:t xml:space="preserve">The applicant should be allowed to supplement her </w:t>
      </w:r>
      <w:r w:rsidR="00D751B9">
        <w:rPr>
          <w:sz w:val="28"/>
          <w:szCs w:val="28"/>
          <w:lang w:val="en-US"/>
        </w:rPr>
        <w:t xml:space="preserve">application with </w:t>
      </w:r>
      <w:r w:rsidR="001410E2">
        <w:rPr>
          <w:sz w:val="28"/>
          <w:szCs w:val="28"/>
          <w:lang w:val="en-US"/>
        </w:rPr>
        <w:t>such information, such as the birth of a child, as may be relevant for a proper consideration of her appeal.</w:t>
      </w:r>
    </w:p>
    <w:p w14:paraId="41EF945E" w14:textId="77777777" w:rsidR="005A619A" w:rsidRDefault="005A619A" w:rsidP="005A619A">
      <w:pPr>
        <w:pStyle w:val="ListParagraph"/>
        <w:spacing w:line="360" w:lineRule="auto"/>
        <w:ind w:left="360"/>
        <w:jc w:val="both"/>
        <w:rPr>
          <w:sz w:val="28"/>
          <w:szCs w:val="28"/>
          <w:lang w:val="en-US"/>
        </w:rPr>
      </w:pPr>
    </w:p>
    <w:p w14:paraId="2F74DFC9" w14:textId="68B92ADF" w:rsidR="003079D0" w:rsidRDefault="006A018C" w:rsidP="006A018C">
      <w:pPr>
        <w:pStyle w:val="ListParagraph"/>
        <w:spacing w:line="360" w:lineRule="auto"/>
        <w:ind w:left="0"/>
        <w:jc w:val="both"/>
        <w:rPr>
          <w:b/>
          <w:bCs/>
          <w:sz w:val="28"/>
          <w:szCs w:val="28"/>
          <w:lang w:val="en-US"/>
        </w:rPr>
      </w:pPr>
      <w:r w:rsidRPr="006A018C">
        <w:rPr>
          <w:b/>
          <w:bCs/>
          <w:sz w:val="28"/>
          <w:szCs w:val="28"/>
          <w:lang w:val="en-US"/>
        </w:rPr>
        <w:t>Costs</w:t>
      </w:r>
    </w:p>
    <w:p w14:paraId="22B87AC5" w14:textId="77777777" w:rsidR="003160FD" w:rsidRPr="003160FD" w:rsidRDefault="003160FD" w:rsidP="003160FD">
      <w:pPr>
        <w:pStyle w:val="ListParagraph"/>
        <w:rPr>
          <w:sz w:val="28"/>
          <w:szCs w:val="28"/>
          <w:lang w:val="en-US"/>
        </w:rPr>
      </w:pPr>
    </w:p>
    <w:p w14:paraId="38CCEA43" w14:textId="1194925C" w:rsidR="006A018C" w:rsidRDefault="006A018C" w:rsidP="002A1119">
      <w:pPr>
        <w:pStyle w:val="ListParagraph"/>
        <w:numPr>
          <w:ilvl w:val="0"/>
          <w:numId w:val="1"/>
        </w:numPr>
        <w:spacing w:line="360" w:lineRule="auto"/>
        <w:ind w:left="0" w:firstLine="0"/>
        <w:jc w:val="both"/>
        <w:rPr>
          <w:sz w:val="28"/>
          <w:szCs w:val="28"/>
          <w:lang w:val="en-US"/>
        </w:rPr>
      </w:pPr>
      <w:r>
        <w:rPr>
          <w:sz w:val="28"/>
          <w:szCs w:val="28"/>
          <w:lang w:val="en-US"/>
        </w:rPr>
        <w:t>As for the issue of costs, there is no reason why costs should not follow the result.</w:t>
      </w:r>
    </w:p>
    <w:p w14:paraId="55B1771B" w14:textId="77777777" w:rsidR="00BD10F9" w:rsidRDefault="00BD10F9" w:rsidP="00BD10F9">
      <w:pPr>
        <w:spacing w:line="360" w:lineRule="auto"/>
        <w:jc w:val="both"/>
        <w:rPr>
          <w:b/>
          <w:bCs/>
          <w:sz w:val="28"/>
          <w:szCs w:val="28"/>
          <w:lang w:val="en-US"/>
        </w:rPr>
      </w:pPr>
    </w:p>
    <w:p w14:paraId="0BBF9344" w14:textId="25F2D2F3" w:rsidR="00BD10F9" w:rsidRPr="00BD10F9" w:rsidRDefault="00BD10F9" w:rsidP="00BD10F9">
      <w:pPr>
        <w:spacing w:line="360" w:lineRule="auto"/>
        <w:jc w:val="both"/>
        <w:rPr>
          <w:b/>
          <w:bCs/>
          <w:sz w:val="28"/>
          <w:szCs w:val="28"/>
          <w:lang w:val="en-US"/>
        </w:rPr>
      </w:pPr>
      <w:r w:rsidRPr="00BD10F9">
        <w:rPr>
          <w:b/>
          <w:bCs/>
          <w:sz w:val="28"/>
          <w:szCs w:val="28"/>
          <w:lang w:val="en-US"/>
        </w:rPr>
        <w:t>ORDER</w:t>
      </w:r>
    </w:p>
    <w:p w14:paraId="380629A8" w14:textId="77247EC5" w:rsidR="00720ED9" w:rsidRPr="00BD10F9" w:rsidRDefault="00720ED9" w:rsidP="006A018C">
      <w:pPr>
        <w:pStyle w:val="ListParagraph"/>
        <w:numPr>
          <w:ilvl w:val="0"/>
          <w:numId w:val="1"/>
        </w:numPr>
        <w:spacing w:line="360" w:lineRule="auto"/>
        <w:ind w:left="0" w:firstLine="0"/>
        <w:jc w:val="both"/>
        <w:rPr>
          <w:sz w:val="28"/>
          <w:szCs w:val="28"/>
          <w:lang w:val="en-US"/>
        </w:rPr>
      </w:pPr>
      <w:r w:rsidRPr="00BD10F9">
        <w:rPr>
          <w:sz w:val="28"/>
          <w:szCs w:val="28"/>
          <w:lang w:val="en-US"/>
        </w:rPr>
        <w:t>In the result, I make the following order:</w:t>
      </w:r>
    </w:p>
    <w:p w14:paraId="022CAEB4" w14:textId="77777777" w:rsidR="0043504D" w:rsidRDefault="0043504D" w:rsidP="006A018C">
      <w:pPr>
        <w:spacing w:line="360" w:lineRule="auto"/>
        <w:jc w:val="both"/>
        <w:rPr>
          <w:sz w:val="28"/>
          <w:szCs w:val="28"/>
          <w:lang w:val="en-US"/>
        </w:rPr>
      </w:pPr>
    </w:p>
    <w:p w14:paraId="4086A55F" w14:textId="24B2A123" w:rsidR="0043504D" w:rsidRDefault="0073653A" w:rsidP="00BD10F9">
      <w:pPr>
        <w:pStyle w:val="ListParagraph"/>
        <w:numPr>
          <w:ilvl w:val="0"/>
          <w:numId w:val="7"/>
        </w:numPr>
        <w:spacing w:line="360" w:lineRule="auto"/>
        <w:ind w:left="1418" w:hanging="709"/>
        <w:jc w:val="both"/>
        <w:rPr>
          <w:sz w:val="28"/>
          <w:szCs w:val="28"/>
          <w:lang w:val="en-US"/>
        </w:rPr>
      </w:pPr>
      <w:r>
        <w:rPr>
          <w:sz w:val="28"/>
          <w:szCs w:val="28"/>
          <w:lang w:val="en-US"/>
        </w:rPr>
        <w:t>The firs</w:t>
      </w:r>
      <w:r w:rsidR="00C87581">
        <w:rPr>
          <w:sz w:val="28"/>
          <w:szCs w:val="28"/>
          <w:lang w:val="en-US"/>
        </w:rPr>
        <w:t>t</w:t>
      </w:r>
      <w:r>
        <w:rPr>
          <w:sz w:val="28"/>
          <w:szCs w:val="28"/>
          <w:lang w:val="en-US"/>
        </w:rPr>
        <w:t xml:space="preserve"> respondent’s decision </w:t>
      </w:r>
      <w:r w:rsidR="00705D04">
        <w:rPr>
          <w:sz w:val="28"/>
          <w:szCs w:val="28"/>
          <w:lang w:val="en-US"/>
        </w:rPr>
        <w:t>in terms of section 8(6) of the Immigration Act 13 of 2002</w:t>
      </w:r>
      <w:r w:rsidR="005205D8">
        <w:rPr>
          <w:sz w:val="28"/>
          <w:szCs w:val="28"/>
          <w:lang w:val="en-US"/>
        </w:rPr>
        <w:t xml:space="preserve"> (“the Act”)</w:t>
      </w:r>
      <w:r w:rsidR="00705D04">
        <w:rPr>
          <w:sz w:val="28"/>
          <w:szCs w:val="28"/>
          <w:lang w:val="en-US"/>
        </w:rPr>
        <w:t xml:space="preserve"> </w:t>
      </w:r>
      <w:r w:rsidR="006A23E1">
        <w:rPr>
          <w:sz w:val="28"/>
          <w:szCs w:val="28"/>
          <w:lang w:val="en-US"/>
        </w:rPr>
        <w:t xml:space="preserve">as per his letter </w:t>
      </w:r>
      <w:r w:rsidR="009A2A98">
        <w:rPr>
          <w:sz w:val="28"/>
          <w:szCs w:val="28"/>
          <w:lang w:val="en-US"/>
        </w:rPr>
        <w:t xml:space="preserve">10 May 2022 to the effect </w:t>
      </w:r>
      <w:r w:rsidR="0000416E">
        <w:rPr>
          <w:sz w:val="28"/>
          <w:szCs w:val="28"/>
          <w:lang w:val="en-US"/>
        </w:rPr>
        <w:t>that the applicant</w:t>
      </w:r>
      <w:r w:rsidR="00E05FA5">
        <w:rPr>
          <w:sz w:val="28"/>
          <w:szCs w:val="28"/>
          <w:lang w:val="en-US"/>
        </w:rPr>
        <w:t xml:space="preserve"> </w:t>
      </w:r>
      <w:r w:rsidR="005205D8">
        <w:rPr>
          <w:sz w:val="28"/>
          <w:szCs w:val="28"/>
          <w:lang w:val="en-US"/>
        </w:rPr>
        <w:t xml:space="preserve">is a prohibited person in terms of </w:t>
      </w:r>
      <w:r w:rsidR="00D721EF">
        <w:rPr>
          <w:sz w:val="28"/>
          <w:szCs w:val="28"/>
          <w:lang w:val="en-US"/>
        </w:rPr>
        <w:t>section 29</w:t>
      </w:r>
      <w:r w:rsidR="0043504D">
        <w:rPr>
          <w:sz w:val="28"/>
          <w:szCs w:val="28"/>
          <w:lang w:val="en-US"/>
        </w:rPr>
        <w:t>(1)(f) of the Act is set aside.</w:t>
      </w:r>
    </w:p>
    <w:p w14:paraId="23E0AED6" w14:textId="77777777" w:rsidR="0043504D" w:rsidRDefault="0043504D" w:rsidP="0043504D">
      <w:pPr>
        <w:pStyle w:val="ListParagraph"/>
        <w:spacing w:line="360" w:lineRule="auto"/>
        <w:jc w:val="both"/>
        <w:rPr>
          <w:sz w:val="28"/>
          <w:szCs w:val="28"/>
          <w:lang w:val="en-US"/>
        </w:rPr>
      </w:pPr>
    </w:p>
    <w:p w14:paraId="11A13BE5" w14:textId="19CB8438" w:rsidR="00720ED9" w:rsidRDefault="003318B0" w:rsidP="00BD10F9">
      <w:pPr>
        <w:pStyle w:val="ListParagraph"/>
        <w:numPr>
          <w:ilvl w:val="0"/>
          <w:numId w:val="7"/>
        </w:numPr>
        <w:spacing w:line="360" w:lineRule="auto"/>
        <w:ind w:left="1418" w:hanging="709"/>
        <w:jc w:val="both"/>
        <w:rPr>
          <w:sz w:val="28"/>
          <w:szCs w:val="28"/>
          <w:lang w:val="en-US"/>
        </w:rPr>
      </w:pPr>
      <w:r>
        <w:rPr>
          <w:sz w:val="28"/>
          <w:szCs w:val="28"/>
          <w:lang w:val="en-US"/>
        </w:rPr>
        <w:t xml:space="preserve"> </w:t>
      </w:r>
      <w:r w:rsidR="004628FE">
        <w:rPr>
          <w:sz w:val="28"/>
          <w:szCs w:val="28"/>
          <w:lang w:val="en-US"/>
        </w:rPr>
        <w:t xml:space="preserve">The </w:t>
      </w:r>
      <w:r w:rsidR="00455665">
        <w:rPr>
          <w:sz w:val="28"/>
          <w:szCs w:val="28"/>
          <w:lang w:val="en-US"/>
        </w:rPr>
        <w:t>applicant’s appeal against her prohibition in terms of section 29(1)(f) of the Act</w:t>
      </w:r>
      <w:r w:rsidR="00D63CBA">
        <w:rPr>
          <w:sz w:val="28"/>
          <w:szCs w:val="28"/>
          <w:lang w:val="en-US"/>
        </w:rPr>
        <w:t>, supplemented by such information as may be necessary for the proper re</w:t>
      </w:r>
      <w:r w:rsidR="001176E4">
        <w:rPr>
          <w:sz w:val="28"/>
          <w:szCs w:val="28"/>
          <w:lang w:val="en-US"/>
        </w:rPr>
        <w:t>-</w:t>
      </w:r>
      <w:r w:rsidR="00D63CBA">
        <w:rPr>
          <w:sz w:val="28"/>
          <w:szCs w:val="28"/>
          <w:lang w:val="en-US"/>
        </w:rPr>
        <w:t>consideration</w:t>
      </w:r>
      <w:r w:rsidR="009425BA">
        <w:rPr>
          <w:sz w:val="28"/>
          <w:szCs w:val="28"/>
          <w:lang w:val="en-US"/>
        </w:rPr>
        <w:t xml:space="preserve"> of the appeal</w:t>
      </w:r>
      <w:r w:rsidR="001176E4">
        <w:rPr>
          <w:sz w:val="28"/>
          <w:szCs w:val="28"/>
          <w:lang w:val="en-US"/>
        </w:rPr>
        <w:t xml:space="preserve">, </w:t>
      </w:r>
      <w:r w:rsidR="00455665">
        <w:rPr>
          <w:sz w:val="28"/>
          <w:szCs w:val="28"/>
          <w:lang w:val="en-US"/>
        </w:rPr>
        <w:t xml:space="preserve">is </w:t>
      </w:r>
      <w:r w:rsidR="00384C67">
        <w:rPr>
          <w:sz w:val="28"/>
          <w:szCs w:val="28"/>
          <w:lang w:val="en-US"/>
        </w:rPr>
        <w:t>remitted to the first respondent for a re</w:t>
      </w:r>
      <w:r w:rsidR="001176E4">
        <w:rPr>
          <w:sz w:val="28"/>
          <w:szCs w:val="28"/>
          <w:lang w:val="en-US"/>
        </w:rPr>
        <w:t>-</w:t>
      </w:r>
      <w:r w:rsidR="00384C67">
        <w:rPr>
          <w:sz w:val="28"/>
          <w:szCs w:val="28"/>
          <w:lang w:val="en-US"/>
        </w:rPr>
        <w:t>consideration</w:t>
      </w:r>
      <w:r w:rsidR="00C812C8">
        <w:rPr>
          <w:sz w:val="28"/>
          <w:szCs w:val="28"/>
          <w:lang w:val="en-US"/>
        </w:rPr>
        <w:t>.</w:t>
      </w:r>
    </w:p>
    <w:p w14:paraId="3A2168AD" w14:textId="77777777" w:rsidR="00C812C8" w:rsidRPr="00C812C8" w:rsidRDefault="00C812C8" w:rsidP="00C812C8">
      <w:pPr>
        <w:pStyle w:val="ListParagraph"/>
        <w:rPr>
          <w:sz w:val="28"/>
          <w:szCs w:val="28"/>
          <w:lang w:val="en-US"/>
        </w:rPr>
      </w:pPr>
    </w:p>
    <w:p w14:paraId="524B9F0C" w14:textId="2FDDF78C" w:rsidR="00C812C8" w:rsidRDefault="00C812C8" w:rsidP="00BD10F9">
      <w:pPr>
        <w:pStyle w:val="ListParagraph"/>
        <w:numPr>
          <w:ilvl w:val="0"/>
          <w:numId w:val="7"/>
        </w:numPr>
        <w:spacing w:line="360" w:lineRule="auto"/>
        <w:ind w:left="1418" w:hanging="709"/>
        <w:jc w:val="both"/>
        <w:rPr>
          <w:sz w:val="28"/>
          <w:szCs w:val="28"/>
          <w:lang w:val="en-US"/>
        </w:rPr>
      </w:pPr>
      <w:r>
        <w:rPr>
          <w:sz w:val="28"/>
          <w:szCs w:val="28"/>
          <w:lang w:val="en-US"/>
        </w:rPr>
        <w:t>The respondents shall</w:t>
      </w:r>
      <w:r w:rsidR="00243DB4">
        <w:rPr>
          <w:sz w:val="28"/>
          <w:szCs w:val="28"/>
          <w:lang w:val="en-US"/>
        </w:rPr>
        <w:t xml:space="preserve"> jointly and severally</w:t>
      </w:r>
      <w:r>
        <w:rPr>
          <w:sz w:val="28"/>
          <w:szCs w:val="28"/>
          <w:lang w:val="en-US"/>
        </w:rPr>
        <w:t xml:space="preserve"> pay the applicant’s costs of this application on a party and party scale.</w:t>
      </w:r>
    </w:p>
    <w:p w14:paraId="4D4B2264" w14:textId="241C251B" w:rsidR="002A1119" w:rsidRDefault="002A1119" w:rsidP="00BD10F9">
      <w:pPr>
        <w:pStyle w:val="ListParagraph"/>
        <w:rPr>
          <w:sz w:val="28"/>
          <w:szCs w:val="28"/>
          <w:lang w:val="en-US"/>
        </w:rPr>
      </w:pPr>
    </w:p>
    <w:p w14:paraId="66C83BF9" w14:textId="77777777" w:rsidR="00BD10F9" w:rsidRPr="0047260D" w:rsidRDefault="00BD10F9" w:rsidP="0047260D">
      <w:pPr>
        <w:pStyle w:val="ListParagraph"/>
        <w:rPr>
          <w:sz w:val="28"/>
          <w:szCs w:val="28"/>
          <w:lang w:val="en-US"/>
        </w:rPr>
      </w:pPr>
    </w:p>
    <w:p w14:paraId="716E95C4" w14:textId="46DD36DF" w:rsidR="002A1119" w:rsidRDefault="002A1119" w:rsidP="0047260D">
      <w:pPr>
        <w:pStyle w:val="ListParagraph"/>
        <w:spacing w:line="360" w:lineRule="auto"/>
        <w:ind w:left="6480"/>
        <w:jc w:val="both"/>
        <w:rPr>
          <w:sz w:val="28"/>
          <w:szCs w:val="28"/>
          <w:lang w:val="en-US"/>
        </w:rPr>
      </w:pPr>
      <w:r>
        <w:rPr>
          <w:sz w:val="28"/>
          <w:szCs w:val="28"/>
          <w:lang w:val="en-US"/>
        </w:rPr>
        <w:t>__________________</w:t>
      </w:r>
    </w:p>
    <w:p w14:paraId="2F8EE5B3" w14:textId="7EB3893E" w:rsidR="002A1119" w:rsidRDefault="002A1119" w:rsidP="0047260D">
      <w:pPr>
        <w:pStyle w:val="ListParagraph"/>
        <w:spacing w:line="360" w:lineRule="auto"/>
        <w:ind w:left="6480"/>
        <w:jc w:val="both"/>
        <w:rPr>
          <w:sz w:val="28"/>
          <w:szCs w:val="28"/>
          <w:lang w:val="en-US"/>
        </w:rPr>
      </w:pPr>
      <w:r>
        <w:rPr>
          <w:sz w:val="28"/>
          <w:szCs w:val="28"/>
          <w:lang w:val="en-US"/>
        </w:rPr>
        <w:t>HOCKEY, AJ</w:t>
      </w:r>
    </w:p>
    <w:p w14:paraId="48A50DDA" w14:textId="7CC40682" w:rsidR="00BD10F9" w:rsidRDefault="00BD10F9" w:rsidP="00BD10F9">
      <w:pPr>
        <w:spacing w:line="360" w:lineRule="auto"/>
        <w:jc w:val="both"/>
        <w:rPr>
          <w:sz w:val="28"/>
          <w:szCs w:val="28"/>
          <w:lang w:val="en-US"/>
        </w:rPr>
      </w:pPr>
      <w:r w:rsidRPr="00BD10F9">
        <w:rPr>
          <w:sz w:val="28"/>
          <w:szCs w:val="28"/>
          <w:u w:val="single"/>
          <w:lang w:val="en-US"/>
        </w:rPr>
        <w:t>Appearances</w:t>
      </w:r>
      <w:r>
        <w:rPr>
          <w:sz w:val="28"/>
          <w:szCs w:val="28"/>
          <w:lang w:val="en-US"/>
        </w:rPr>
        <w:t>:</w:t>
      </w:r>
    </w:p>
    <w:p w14:paraId="073AA4F0" w14:textId="43BAF3D0" w:rsidR="00BD10F9" w:rsidRDefault="00BD10F9" w:rsidP="00BD10F9">
      <w:pPr>
        <w:spacing w:line="240" w:lineRule="auto"/>
        <w:jc w:val="both"/>
        <w:rPr>
          <w:sz w:val="28"/>
          <w:szCs w:val="28"/>
          <w:lang w:val="en-US"/>
        </w:rPr>
      </w:pPr>
      <w:r>
        <w:rPr>
          <w:sz w:val="28"/>
          <w:szCs w:val="28"/>
          <w:lang w:val="en-US"/>
        </w:rPr>
        <w:t>For the applicant:</w:t>
      </w:r>
      <w:r>
        <w:rPr>
          <w:sz w:val="28"/>
          <w:szCs w:val="28"/>
          <w:lang w:val="en-US"/>
        </w:rPr>
        <w:tab/>
      </w:r>
      <w:r>
        <w:rPr>
          <w:sz w:val="28"/>
          <w:szCs w:val="28"/>
          <w:lang w:val="en-US"/>
        </w:rPr>
        <w:tab/>
        <w:t xml:space="preserve">Adv David </w:t>
      </w:r>
      <w:proofErr w:type="spellStart"/>
      <w:r>
        <w:rPr>
          <w:sz w:val="28"/>
          <w:szCs w:val="28"/>
          <w:lang w:val="en-US"/>
        </w:rPr>
        <w:t>Simonsz</w:t>
      </w:r>
      <w:proofErr w:type="spellEnd"/>
    </w:p>
    <w:p w14:paraId="2A3B11F8" w14:textId="1E4D0486" w:rsidR="00BD10F9" w:rsidRDefault="00BD10F9" w:rsidP="00BD10F9">
      <w:pPr>
        <w:spacing w:line="360" w:lineRule="auto"/>
        <w:jc w:val="both"/>
        <w:rPr>
          <w:sz w:val="28"/>
          <w:szCs w:val="28"/>
          <w:lang w:val="en-US"/>
        </w:rPr>
      </w:pPr>
      <w:r>
        <w:rPr>
          <w:sz w:val="28"/>
          <w:szCs w:val="28"/>
          <w:lang w:val="en-US"/>
        </w:rPr>
        <w:t xml:space="preserve">Instructed by </w:t>
      </w:r>
      <w:r>
        <w:rPr>
          <w:sz w:val="28"/>
          <w:szCs w:val="28"/>
          <w:lang w:val="en-US"/>
        </w:rPr>
        <w:tab/>
      </w:r>
      <w:r>
        <w:rPr>
          <w:sz w:val="28"/>
          <w:szCs w:val="28"/>
          <w:lang w:val="en-US"/>
        </w:rPr>
        <w:tab/>
      </w:r>
      <w:proofErr w:type="spellStart"/>
      <w:r>
        <w:rPr>
          <w:sz w:val="28"/>
          <w:szCs w:val="28"/>
          <w:lang w:val="en-US"/>
        </w:rPr>
        <w:t>Boshoff</w:t>
      </w:r>
      <w:proofErr w:type="spellEnd"/>
      <w:r>
        <w:rPr>
          <w:sz w:val="28"/>
          <w:szCs w:val="28"/>
          <w:lang w:val="en-US"/>
        </w:rPr>
        <w:t xml:space="preserve"> Attorneys (</w:t>
      </w:r>
      <w:proofErr w:type="spellStart"/>
      <w:r>
        <w:rPr>
          <w:sz w:val="28"/>
          <w:szCs w:val="28"/>
          <w:lang w:val="en-US"/>
        </w:rPr>
        <w:t>Ms</w:t>
      </w:r>
      <w:proofErr w:type="spellEnd"/>
      <w:r>
        <w:rPr>
          <w:sz w:val="28"/>
          <w:szCs w:val="28"/>
          <w:lang w:val="en-US"/>
        </w:rPr>
        <w:t xml:space="preserve"> </w:t>
      </w:r>
      <w:proofErr w:type="spellStart"/>
      <w:r>
        <w:rPr>
          <w:sz w:val="28"/>
          <w:szCs w:val="28"/>
          <w:lang w:val="en-US"/>
        </w:rPr>
        <w:t>Marli</w:t>
      </w:r>
      <w:proofErr w:type="spellEnd"/>
      <w:r>
        <w:rPr>
          <w:sz w:val="28"/>
          <w:szCs w:val="28"/>
          <w:lang w:val="en-US"/>
        </w:rPr>
        <w:t xml:space="preserve"> </w:t>
      </w:r>
      <w:proofErr w:type="spellStart"/>
      <w:r>
        <w:rPr>
          <w:sz w:val="28"/>
          <w:szCs w:val="28"/>
          <w:lang w:val="en-US"/>
        </w:rPr>
        <w:t>Theunissen</w:t>
      </w:r>
      <w:proofErr w:type="spellEnd"/>
      <w:r>
        <w:rPr>
          <w:sz w:val="28"/>
          <w:szCs w:val="28"/>
          <w:lang w:val="en-US"/>
        </w:rPr>
        <w:t>)</w:t>
      </w:r>
    </w:p>
    <w:p w14:paraId="4C0D1A40" w14:textId="528FAEAA" w:rsidR="00BD10F9" w:rsidRDefault="00BD10F9" w:rsidP="00BD10F9">
      <w:pPr>
        <w:spacing w:line="360" w:lineRule="auto"/>
        <w:jc w:val="both"/>
        <w:rPr>
          <w:sz w:val="28"/>
          <w:szCs w:val="28"/>
          <w:lang w:val="en-US"/>
        </w:rPr>
      </w:pPr>
      <w:r>
        <w:rPr>
          <w:sz w:val="28"/>
          <w:szCs w:val="28"/>
          <w:lang w:val="en-US"/>
        </w:rPr>
        <w:t>For the Respondents:</w:t>
      </w:r>
      <w:r>
        <w:rPr>
          <w:sz w:val="28"/>
          <w:szCs w:val="28"/>
          <w:lang w:val="en-US"/>
        </w:rPr>
        <w:tab/>
        <w:t xml:space="preserve">Adv </w:t>
      </w:r>
      <w:proofErr w:type="spellStart"/>
      <w:r>
        <w:rPr>
          <w:sz w:val="28"/>
          <w:szCs w:val="28"/>
          <w:lang w:val="en-US"/>
        </w:rPr>
        <w:t>Lezandre</w:t>
      </w:r>
      <w:proofErr w:type="spellEnd"/>
      <w:r>
        <w:rPr>
          <w:sz w:val="28"/>
          <w:szCs w:val="28"/>
          <w:lang w:val="en-US"/>
        </w:rPr>
        <w:t xml:space="preserve"> Manuel</w:t>
      </w:r>
    </w:p>
    <w:p w14:paraId="6D2C7F1B" w14:textId="3C077AC9" w:rsidR="00BD10F9" w:rsidRPr="00BD10F9" w:rsidRDefault="00BD10F9" w:rsidP="00BD10F9">
      <w:pPr>
        <w:spacing w:line="360" w:lineRule="auto"/>
        <w:jc w:val="both"/>
        <w:rPr>
          <w:sz w:val="28"/>
          <w:szCs w:val="28"/>
          <w:lang w:val="en-US"/>
        </w:rPr>
      </w:pPr>
      <w:r>
        <w:rPr>
          <w:sz w:val="28"/>
          <w:szCs w:val="28"/>
          <w:lang w:val="en-US"/>
        </w:rPr>
        <w:t>Instructed by</w:t>
      </w:r>
      <w:r>
        <w:rPr>
          <w:sz w:val="28"/>
          <w:szCs w:val="28"/>
          <w:lang w:val="en-US"/>
        </w:rPr>
        <w:tab/>
      </w:r>
      <w:r>
        <w:rPr>
          <w:sz w:val="28"/>
          <w:szCs w:val="28"/>
          <w:lang w:val="en-US"/>
        </w:rPr>
        <w:tab/>
        <w:t>State Attorney (</w:t>
      </w:r>
      <w:proofErr w:type="spellStart"/>
      <w:r>
        <w:rPr>
          <w:sz w:val="28"/>
          <w:szCs w:val="28"/>
          <w:lang w:val="en-US"/>
        </w:rPr>
        <w:t>Ms</w:t>
      </w:r>
      <w:proofErr w:type="spellEnd"/>
      <w:r>
        <w:rPr>
          <w:sz w:val="28"/>
          <w:szCs w:val="28"/>
          <w:lang w:val="en-US"/>
        </w:rPr>
        <w:t xml:space="preserve"> </w:t>
      </w:r>
      <w:proofErr w:type="spellStart"/>
      <w:r>
        <w:rPr>
          <w:sz w:val="28"/>
          <w:szCs w:val="28"/>
          <w:lang w:val="en-US"/>
        </w:rPr>
        <w:t>Sachin</w:t>
      </w:r>
      <w:proofErr w:type="spellEnd"/>
      <w:r>
        <w:rPr>
          <w:sz w:val="28"/>
          <w:szCs w:val="28"/>
          <w:lang w:val="en-US"/>
        </w:rPr>
        <w:t>-Lee Sampson</w:t>
      </w:r>
    </w:p>
    <w:p w14:paraId="34733A5E" w14:textId="77777777" w:rsidR="003160FD" w:rsidRPr="003160FD" w:rsidRDefault="003160FD" w:rsidP="003160FD">
      <w:pPr>
        <w:pStyle w:val="ListParagraph"/>
        <w:rPr>
          <w:sz w:val="28"/>
          <w:szCs w:val="28"/>
          <w:lang w:val="en-US"/>
        </w:rPr>
      </w:pPr>
    </w:p>
    <w:p w14:paraId="631FC3D8" w14:textId="6036D814" w:rsidR="007868CC" w:rsidRPr="0031765A" w:rsidRDefault="003E2BE4" w:rsidP="0084303B">
      <w:pPr>
        <w:pStyle w:val="ListParagraph"/>
        <w:spacing w:line="360" w:lineRule="auto"/>
        <w:ind w:left="360"/>
        <w:jc w:val="both"/>
        <w:rPr>
          <w:sz w:val="28"/>
          <w:szCs w:val="28"/>
          <w:lang w:val="en-US"/>
        </w:rPr>
      </w:pPr>
      <w:r w:rsidRPr="001C0078">
        <w:rPr>
          <w:rFonts w:ascii="Verdana" w:eastAsia="Times New Roman" w:hAnsi="Verdana" w:cs="Times New Roman"/>
          <w:color w:val="242121"/>
          <w:sz w:val="27"/>
          <w:szCs w:val="27"/>
          <w:lang w:eastAsia="en-ZA"/>
        </w:rPr>
        <w:br/>
      </w:r>
    </w:p>
    <w:sectPr w:rsidR="007868CC" w:rsidRPr="0031765A" w:rsidSect="00EA3038">
      <w:headerReference w:type="default" r:id="rId10"/>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8DD4D" w14:textId="77777777" w:rsidR="00563523" w:rsidRDefault="00563523" w:rsidP="00391ED8">
      <w:pPr>
        <w:spacing w:after="0" w:line="240" w:lineRule="auto"/>
      </w:pPr>
      <w:r>
        <w:separator/>
      </w:r>
    </w:p>
  </w:endnote>
  <w:endnote w:type="continuationSeparator" w:id="0">
    <w:p w14:paraId="20B27307" w14:textId="77777777" w:rsidR="00563523" w:rsidRDefault="00563523" w:rsidP="00391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207ED" w14:textId="77777777" w:rsidR="00563523" w:rsidRDefault="00563523" w:rsidP="00391ED8">
      <w:pPr>
        <w:spacing w:after="0" w:line="240" w:lineRule="auto"/>
      </w:pPr>
      <w:r>
        <w:separator/>
      </w:r>
    </w:p>
  </w:footnote>
  <w:footnote w:type="continuationSeparator" w:id="0">
    <w:p w14:paraId="1231AC48" w14:textId="77777777" w:rsidR="00563523" w:rsidRDefault="00563523" w:rsidP="00391ED8">
      <w:pPr>
        <w:spacing w:after="0" w:line="240" w:lineRule="auto"/>
      </w:pPr>
      <w:r>
        <w:continuationSeparator/>
      </w:r>
    </w:p>
  </w:footnote>
  <w:footnote w:id="1">
    <w:p w14:paraId="76411474" w14:textId="593E51BA" w:rsidR="00391ED8" w:rsidRPr="00391ED8" w:rsidRDefault="00391ED8">
      <w:pPr>
        <w:pStyle w:val="FootnoteText"/>
        <w:rPr>
          <w:lang w:val="en-US"/>
        </w:rPr>
      </w:pPr>
      <w:r>
        <w:rPr>
          <w:rStyle w:val="FootnoteReference"/>
        </w:rPr>
        <w:footnoteRef/>
      </w:r>
      <w:r>
        <w:t xml:space="preserve"> </w:t>
      </w:r>
      <w:r>
        <w:rPr>
          <w:lang w:val="en-US"/>
        </w:rPr>
        <w:t xml:space="preserve">At the onset of the proceedings counsel for the </w:t>
      </w:r>
      <w:r w:rsidR="003173E2">
        <w:rPr>
          <w:lang w:val="en-US"/>
        </w:rPr>
        <w:t xml:space="preserve">applicant clarified that the </w:t>
      </w:r>
      <w:proofErr w:type="spellStart"/>
      <w:r w:rsidR="003173E2">
        <w:rPr>
          <w:lang w:val="en-US"/>
        </w:rPr>
        <w:t>declarator</w:t>
      </w:r>
      <w:proofErr w:type="spellEnd"/>
      <w:r w:rsidR="003173E2">
        <w:rPr>
          <w:lang w:val="en-US"/>
        </w:rPr>
        <w:t xml:space="preserve"> in clause </w:t>
      </w:r>
      <w:r w:rsidR="00AF44E1">
        <w:rPr>
          <w:lang w:val="en-US"/>
        </w:rPr>
        <w:t xml:space="preserve">2 of the </w:t>
      </w:r>
      <w:r w:rsidR="00B865ED">
        <w:rPr>
          <w:lang w:val="en-US"/>
        </w:rPr>
        <w:t>N</w:t>
      </w:r>
      <w:r w:rsidR="00AF44E1">
        <w:rPr>
          <w:lang w:val="en-US"/>
        </w:rPr>
        <w:t xml:space="preserve">otice of Motion was asked for in the alternative to </w:t>
      </w:r>
      <w:r w:rsidR="006C4F9D">
        <w:rPr>
          <w:lang w:val="en-US"/>
        </w:rPr>
        <w:t>the relief set out in clause 1, namely a review and setting aside of the Minister’s decision</w:t>
      </w:r>
      <w:r w:rsidR="00B865ED">
        <w:rPr>
          <w:lang w:val="en-US"/>
        </w:rPr>
        <w:t>.</w:t>
      </w:r>
    </w:p>
  </w:footnote>
  <w:footnote w:id="2">
    <w:p w14:paraId="3A112480" w14:textId="2416182B" w:rsidR="00F636AB" w:rsidRPr="00F636AB" w:rsidRDefault="00F636AB">
      <w:pPr>
        <w:pStyle w:val="FootnoteText"/>
        <w:rPr>
          <w:lang w:val="en-US"/>
        </w:rPr>
      </w:pPr>
      <w:r>
        <w:rPr>
          <w:rStyle w:val="FootnoteReference"/>
        </w:rPr>
        <w:footnoteRef/>
      </w:r>
      <w:r>
        <w:t xml:space="preserve"> </w:t>
      </w:r>
      <w:r>
        <w:rPr>
          <w:lang w:val="en-US"/>
        </w:rPr>
        <w:t xml:space="preserve">2014 </w:t>
      </w:r>
      <w:r w:rsidR="006B18B9">
        <w:rPr>
          <w:lang w:val="en-US"/>
        </w:rPr>
        <w:t>(5) SA 69 (CC)</w:t>
      </w:r>
    </w:p>
  </w:footnote>
  <w:footnote w:id="3">
    <w:p w14:paraId="5B738BC5" w14:textId="1CF24A5B" w:rsidR="0033626F" w:rsidRPr="0033626F" w:rsidRDefault="0033626F">
      <w:pPr>
        <w:pStyle w:val="FootnoteText"/>
        <w:rPr>
          <w:lang w:val="en-US"/>
        </w:rPr>
      </w:pPr>
      <w:r>
        <w:rPr>
          <w:rStyle w:val="FootnoteReference"/>
        </w:rPr>
        <w:footnoteRef/>
      </w:r>
      <w:r>
        <w:t xml:space="preserve"> </w:t>
      </w:r>
      <w:r>
        <w:rPr>
          <w:lang w:val="en-US"/>
        </w:rPr>
        <w:t xml:space="preserve">Ibid at para </w:t>
      </w:r>
      <w:r w:rsidR="003A075C">
        <w:rPr>
          <w:lang w:val="en-US"/>
        </w:rPr>
        <w:t>33</w:t>
      </w:r>
      <w:r w:rsidR="0070460A">
        <w:rPr>
          <w:lang w:val="en-US"/>
        </w:rPr>
        <w:t>.</w:t>
      </w:r>
    </w:p>
  </w:footnote>
  <w:footnote w:id="4">
    <w:p w14:paraId="1447CADE" w14:textId="07853942" w:rsidR="00E84CDA" w:rsidRPr="00E84CDA" w:rsidRDefault="00E84CDA">
      <w:pPr>
        <w:pStyle w:val="FootnoteText"/>
        <w:rPr>
          <w:lang w:val="en-US"/>
        </w:rPr>
      </w:pPr>
      <w:r>
        <w:rPr>
          <w:rStyle w:val="FootnoteReference"/>
        </w:rPr>
        <w:footnoteRef/>
      </w:r>
      <w:r>
        <w:t xml:space="preserve"> </w:t>
      </w:r>
      <w:r>
        <w:rPr>
          <w:lang w:val="en-US"/>
        </w:rPr>
        <w:t xml:space="preserve">2010 (4) SA </w:t>
      </w:r>
      <w:r w:rsidR="0070460A">
        <w:rPr>
          <w:lang w:val="en-US"/>
        </w:rPr>
        <w:t>327 (CC).</w:t>
      </w:r>
    </w:p>
  </w:footnote>
  <w:footnote w:id="5">
    <w:p w14:paraId="5968B2D8" w14:textId="1FFEA381" w:rsidR="00A9055C" w:rsidRPr="00A9055C" w:rsidRDefault="00A9055C">
      <w:pPr>
        <w:pStyle w:val="FootnoteText"/>
        <w:rPr>
          <w:lang w:val="en-US"/>
        </w:rPr>
      </w:pPr>
      <w:r>
        <w:rPr>
          <w:rStyle w:val="FootnoteReference"/>
        </w:rPr>
        <w:footnoteRef/>
      </w:r>
      <w:r>
        <w:t xml:space="preserve"> </w:t>
      </w:r>
      <w:r>
        <w:rPr>
          <w:lang w:val="en-US"/>
        </w:rPr>
        <w:t>Ibid para 51</w:t>
      </w:r>
    </w:p>
  </w:footnote>
  <w:footnote w:id="6">
    <w:p w14:paraId="34A0B911" w14:textId="29F7F4C8" w:rsidR="004365A7" w:rsidRPr="004365A7" w:rsidRDefault="004365A7">
      <w:pPr>
        <w:pStyle w:val="FootnoteText"/>
        <w:rPr>
          <w:lang w:val="en-US"/>
        </w:rPr>
      </w:pPr>
      <w:r>
        <w:rPr>
          <w:rStyle w:val="FootnoteReference"/>
        </w:rPr>
        <w:footnoteRef/>
      </w:r>
      <w:r>
        <w:t xml:space="preserve"> </w:t>
      </w:r>
      <w:r w:rsidR="00640F86">
        <w:t>2000(3) SA 936 (CC)</w:t>
      </w:r>
      <w:r w:rsidR="00383E49">
        <w:t xml:space="preserve"> at para 37</w:t>
      </w:r>
    </w:p>
  </w:footnote>
  <w:footnote w:id="7">
    <w:p w14:paraId="7E716425" w14:textId="3031C2AD" w:rsidR="00531578" w:rsidRPr="00531578" w:rsidRDefault="00531578">
      <w:pPr>
        <w:pStyle w:val="FootnoteText"/>
        <w:rPr>
          <w:lang w:val="en-US"/>
        </w:rPr>
      </w:pPr>
      <w:r>
        <w:rPr>
          <w:rStyle w:val="FootnoteReference"/>
        </w:rPr>
        <w:footnoteRef/>
      </w:r>
      <w:r>
        <w:t xml:space="preserve"> (</w:t>
      </w:r>
      <w:r w:rsidR="00FF6895">
        <w:t>160/2004) [2005] ZACSA 10 (22 M</w:t>
      </w:r>
      <w:r w:rsidR="00D74DE0">
        <w:t>arch 2005)</w:t>
      </w:r>
    </w:p>
  </w:footnote>
  <w:footnote w:id="8">
    <w:p w14:paraId="3EFABB06" w14:textId="08360A3E" w:rsidR="003E2BE4" w:rsidRPr="003E2BE4" w:rsidRDefault="003E2BE4">
      <w:pPr>
        <w:pStyle w:val="FootnoteText"/>
        <w:rPr>
          <w:lang w:val="en-US"/>
        </w:rPr>
      </w:pPr>
      <w:r>
        <w:rPr>
          <w:rStyle w:val="FootnoteReference"/>
        </w:rPr>
        <w:footnoteRef/>
      </w:r>
      <w:r>
        <w:t xml:space="preserve"> </w:t>
      </w:r>
      <w:r>
        <w:rPr>
          <w:lang w:val="en-US"/>
        </w:rPr>
        <w:t>Ibid at para 16</w:t>
      </w:r>
    </w:p>
  </w:footnote>
  <w:footnote w:id="9">
    <w:p w14:paraId="251F2B7F" w14:textId="71AA7FD4" w:rsidR="000E626B" w:rsidRPr="000E626B" w:rsidRDefault="000E626B">
      <w:pPr>
        <w:pStyle w:val="FootnoteText"/>
        <w:rPr>
          <w:lang w:val="en-US"/>
        </w:rPr>
      </w:pPr>
      <w:r>
        <w:rPr>
          <w:rStyle w:val="FootnoteReference"/>
        </w:rPr>
        <w:footnoteRef/>
      </w:r>
      <w:r>
        <w:t xml:space="preserve"> </w:t>
      </w:r>
      <w:r>
        <w:rPr>
          <w:lang w:val="en-US"/>
        </w:rPr>
        <w:t>Ibid at para 17</w:t>
      </w:r>
    </w:p>
  </w:footnote>
  <w:footnote w:id="10">
    <w:p w14:paraId="300BB136" w14:textId="0B8A4A35" w:rsidR="009B6559" w:rsidRPr="009B6559" w:rsidRDefault="009B6559">
      <w:pPr>
        <w:pStyle w:val="FootnoteText"/>
        <w:rPr>
          <w:lang w:val="en-US"/>
        </w:rPr>
      </w:pPr>
      <w:r>
        <w:rPr>
          <w:rStyle w:val="FootnoteReference"/>
        </w:rPr>
        <w:footnoteRef/>
      </w:r>
      <w:r>
        <w:t xml:space="preserve"> </w:t>
      </w:r>
      <w:proofErr w:type="spellStart"/>
      <w:r>
        <w:rPr>
          <w:lang w:val="en-US"/>
        </w:rPr>
        <w:t>Koyabe</w:t>
      </w:r>
      <w:proofErr w:type="spellEnd"/>
      <w:r>
        <w:rPr>
          <w:lang w:val="en-US"/>
        </w:rPr>
        <w:t xml:space="preserve"> at para 62.</w:t>
      </w:r>
    </w:p>
  </w:footnote>
  <w:footnote w:id="11">
    <w:p w14:paraId="72E779E2" w14:textId="77777777" w:rsidR="009D6A40" w:rsidRPr="00A05E91" w:rsidRDefault="009D6A40" w:rsidP="009D6A40">
      <w:pPr>
        <w:pStyle w:val="FootnoteText"/>
        <w:rPr>
          <w:lang w:val="en-US"/>
        </w:rPr>
      </w:pPr>
      <w:r>
        <w:rPr>
          <w:rStyle w:val="FootnoteReference"/>
        </w:rPr>
        <w:footnoteRef/>
      </w:r>
      <w:r>
        <w:t xml:space="preserve"> </w:t>
      </w:r>
      <w:r>
        <w:rPr>
          <w:lang w:val="en-US"/>
        </w:rPr>
        <w:t>Published under GN R1238 in GG of 22 May 2014</w:t>
      </w:r>
    </w:p>
  </w:footnote>
  <w:footnote w:id="12">
    <w:p w14:paraId="01F97B98" w14:textId="578F82AA" w:rsidR="0031765A" w:rsidRPr="0031765A" w:rsidRDefault="0031765A">
      <w:pPr>
        <w:pStyle w:val="FootnoteText"/>
        <w:rPr>
          <w:lang w:val="en-US"/>
        </w:rPr>
      </w:pPr>
      <w:r>
        <w:rPr>
          <w:rStyle w:val="FootnoteReference"/>
        </w:rPr>
        <w:footnoteRef/>
      </w:r>
      <w:r>
        <w:t xml:space="preserve"> </w:t>
      </w:r>
      <w:r>
        <w:rPr>
          <w:lang w:val="en-US"/>
        </w:rPr>
        <w:t>(11034/16</w:t>
      </w:r>
      <w:r w:rsidR="00061AF6">
        <w:rPr>
          <w:lang w:val="en-US"/>
        </w:rPr>
        <w:t>) [2018] ZAWCHC 103 (24 August 2018)</w:t>
      </w:r>
    </w:p>
  </w:footnote>
  <w:footnote w:id="13">
    <w:p w14:paraId="697A09E9" w14:textId="47F481CA" w:rsidR="002D4F95" w:rsidRPr="002D4F95" w:rsidRDefault="002D4F95">
      <w:pPr>
        <w:pStyle w:val="FootnoteText"/>
        <w:rPr>
          <w:lang w:val="en-US"/>
        </w:rPr>
      </w:pPr>
      <w:r>
        <w:rPr>
          <w:rStyle w:val="FootnoteReference"/>
        </w:rPr>
        <w:footnoteRef/>
      </w:r>
      <w:r>
        <w:t xml:space="preserve"> </w:t>
      </w:r>
      <w:r>
        <w:rPr>
          <w:lang w:val="en-US"/>
        </w:rPr>
        <w:t xml:space="preserve">Ibid at para </w:t>
      </w:r>
      <w:r w:rsidR="00053508">
        <w:rPr>
          <w:lang w:val="en-US"/>
        </w:rPr>
        <w:t>17</w:t>
      </w:r>
    </w:p>
  </w:footnote>
  <w:footnote w:id="14">
    <w:p w14:paraId="471587BA" w14:textId="17E4673A" w:rsidR="0093551B" w:rsidRPr="0093551B" w:rsidRDefault="0093551B">
      <w:pPr>
        <w:pStyle w:val="FootnoteText"/>
        <w:rPr>
          <w:lang w:val="en-US"/>
        </w:rPr>
      </w:pPr>
      <w:r>
        <w:rPr>
          <w:rStyle w:val="FootnoteReference"/>
        </w:rPr>
        <w:footnoteRef/>
      </w:r>
      <w:r>
        <w:t xml:space="preserve"> </w:t>
      </w:r>
      <w:proofErr w:type="spellStart"/>
      <w:r w:rsidRPr="00754E48">
        <w:rPr>
          <w:b/>
          <w:bCs/>
          <w:lang w:val="en-US"/>
        </w:rPr>
        <w:t>K</w:t>
      </w:r>
      <w:r w:rsidR="00895AC8" w:rsidRPr="00754E48">
        <w:rPr>
          <w:b/>
          <w:bCs/>
          <w:lang w:val="en-US"/>
        </w:rPr>
        <w:t>oyab</w:t>
      </w:r>
      <w:r w:rsidR="00AE325E" w:rsidRPr="00754E48">
        <w:rPr>
          <w:b/>
          <w:bCs/>
          <w:lang w:val="en-US"/>
        </w:rPr>
        <w:t>e</w:t>
      </w:r>
      <w:proofErr w:type="spellEnd"/>
      <w:r w:rsidR="00895AC8">
        <w:rPr>
          <w:lang w:val="en-US"/>
        </w:rPr>
        <w:t xml:space="preserve"> (supra) at para </w:t>
      </w:r>
      <w:r w:rsidR="004E641E">
        <w:rPr>
          <w:lang w:val="en-US"/>
        </w:rPr>
        <w:t>64.</w:t>
      </w:r>
    </w:p>
  </w:footnote>
  <w:footnote w:id="15">
    <w:p w14:paraId="245BDE87" w14:textId="1AB161E8" w:rsidR="006F7BDC" w:rsidRPr="006F7BDC" w:rsidRDefault="006F7BDC">
      <w:pPr>
        <w:pStyle w:val="FootnoteText"/>
        <w:rPr>
          <w:lang w:val="en-US"/>
        </w:rPr>
      </w:pPr>
      <w:r>
        <w:rPr>
          <w:rStyle w:val="FootnoteReference"/>
        </w:rPr>
        <w:footnoteRef/>
      </w:r>
      <w:r>
        <w:t xml:space="preserve"> </w:t>
      </w:r>
      <w:r>
        <w:rPr>
          <w:lang w:val="en-US"/>
        </w:rPr>
        <w:t xml:space="preserve">It can safely be assumed that the letter referred to is the undated letter </w:t>
      </w:r>
      <w:r w:rsidR="008D5352">
        <w:rPr>
          <w:lang w:val="en-US"/>
        </w:rPr>
        <w:t>received by the applicant from the DG, and which the parties agree was received by the applicant on 20 June 2021.</w:t>
      </w:r>
    </w:p>
  </w:footnote>
  <w:footnote w:id="16">
    <w:p w14:paraId="285146A7" w14:textId="6E20AE0B" w:rsidR="00A11108" w:rsidRPr="00A11108" w:rsidRDefault="00A11108">
      <w:pPr>
        <w:pStyle w:val="FootnoteText"/>
        <w:rPr>
          <w:lang w:val="en-US"/>
        </w:rPr>
      </w:pPr>
      <w:r>
        <w:rPr>
          <w:rStyle w:val="FootnoteReference"/>
        </w:rPr>
        <w:footnoteRef/>
      </w:r>
      <w:r>
        <w:t xml:space="preserve"> </w:t>
      </w:r>
      <w:r w:rsidR="001F3269">
        <w:rPr>
          <w:lang w:val="en-US"/>
        </w:rPr>
        <w:t xml:space="preserve">See Eisenberg </w:t>
      </w:r>
      <w:r w:rsidR="00777C47">
        <w:rPr>
          <w:lang w:val="en-US"/>
        </w:rPr>
        <w:t xml:space="preserve">&amp; Associates and Others v Director-General </w:t>
      </w:r>
      <w:r w:rsidR="008665A4">
        <w:rPr>
          <w:lang w:val="en-US"/>
        </w:rPr>
        <w:t xml:space="preserve">of the Department of Home Affairs and Others </w:t>
      </w:r>
      <w:r w:rsidR="00C41ECD">
        <w:rPr>
          <w:lang w:val="en-US"/>
        </w:rPr>
        <w:t xml:space="preserve">2012 (3) SA 508; </w:t>
      </w:r>
      <w:r w:rsidR="008026DE">
        <w:rPr>
          <w:lang w:val="en-US"/>
        </w:rPr>
        <w:t>Director-General, Department of Home Affairs and Others</w:t>
      </w:r>
      <w:r w:rsidR="00012943">
        <w:rPr>
          <w:lang w:val="en-US"/>
        </w:rPr>
        <w:t xml:space="preserve"> v De </w:t>
      </w:r>
      <w:proofErr w:type="spellStart"/>
      <w:r w:rsidR="00012943">
        <w:rPr>
          <w:lang w:val="en-US"/>
        </w:rPr>
        <w:t>Saude</w:t>
      </w:r>
      <w:proofErr w:type="spellEnd"/>
      <w:r w:rsidR="00012943">
        <w:rPr>
          <w:lang w:val="en-US"/>
        </w:rPr>
        <w:t xml:space="preserve"> Attorneys and Another [2019]</w:t>
      </w:r>
      <w:r w:rsidR="00133798">
        <w:rPr>
          <w:lang w:val="en-US"/>
        </w:rPr>
        <w:t xml:space="preserve"> 2 All</w:t>
      </w:r>
      <w:r w:rsidR="0055111C">
        <w:rPr>
          <w:lang w:val="en-US"/>
        </w:rPr>
        <w:t xml:space="preserve"> SA </w:t>
      </w:r>
      <w:r w:rsidR="002A2E11">
        <w:rPr>
          <w:lang w:val="en-US"/>
        </w:rPr>
        <w:t>665 (SCA)</w:t>
      </w:r>
      <w:r w:rsidR="008A7018">
        <w:rPr>
          <w:lang w:val="en-US"/>
        </w:rPr>
        <w:t xml:space="preserve">; </w:t>
      </w:r>
      <w:r w:rsidR="00D7261F">
        <w:rPr>
          <w:lang w:val="en-US"/>
        </w:rPr>
        <w:t xml:space="preserve">Chen and </w:t>
      </w:r>
      <w:r w:rsidR="00AA1A1D">
        <w:rPr>
          <w:lang w:val="en-US"/>
        </w:rPr>
        <w:t>Another v Director-General Home Affairs and Others (18985/2014)</w:t>
      </w:r>
      <w:r w:rsidR="009C0E9D">
        <w:rPr>
          <w:lang w:val="en-US"/>
        </w:rPr>
        <w:t xml:space="preserve"> [2014] ZAWCHC 181 (2 December 2014); </w:t>
      </w:r>
      <w:r w:rsidR="0046398A">
        <w:rPr>
          <w:lang w:val="en-US"/>
        </w:rPr>
        <w:t xml:space="preserve">Ye v </w:t>
      </w:r>
      <w:r w:rsidR="002E47D0">
        <w:rPr>
          <w:lang w:val="en-US"/>
        </w:rPr>
        <w:t>Minister of Home Affairs and Others (32581/19) [2020] ZA</w:t>
      </w:r>
      <w:r w:rsidR="00A469E1">
        <w:rPr>
          <w:lang w:val="en-US"/>
        </w:rPr>
        <w:t xml:space="preserve">GP JHC 350 (16 September 2020); </w:t>
      </w:r>
      <w:proofErr w:type="spellStart"/>
      <w:r w:rsidR="009F3979">
        <w:rPr>
          <w:lang w:val="en-US"/>
        </w:rPr>
        <w:t>Pinzirai</w:t>
      </w:r>
      <w:proofErr w:type="spellEnd"/>
      <w:r w:rsidR="009F3979">
        <w:rPr>
          <w:lang w:val="en-US"/>
        </w:rPr>
        <w:t xml:space="preserve"> and Others v Minister of Home Affairs and Another (1794</w:t>
      </w:r>
      <w:r w:rsidR="00870E77">
        <w:rPr>
          <w:lang w:val="en-US"/>
        </w:rPr>
        <w:t xml:space="preserve">/2020) [2022] ZAECPEHC 2 (18 January 2022); </w:t>
      </w:r>
      <w:r w:rsidR="004C3B06">
        <w:rPr>
          <w:lang w:val="en-US"/>
        </w:rPr>
        <w:t xml:space="preserve">and </w:t>
      </w:r>
      <w:r w:rsidR="00FD6519">
        <w:rPr>
          <w:lang w:val="en-US"/>
        </w:rPr>
        <w:t>Arn</w:t>
      </w:r>
      <w:r w:rsidR="00F54805">
        <w:rPr>
          <w:lang w:val="en-US"/>
        </w:rPr>
        <w:t>aud v Minister of Home Affairs and Another (19/27099</w:t>
      </w:r>
      <w:r w:rsidR="008462E6">
        <w:rPr>
          <w:lang w:val="en-US"/>
        </w:rPr>
        <w:t>) [2020] ZAGPJHC 333 (28 August 2020)</w:t>
      </w:r>
      <w:r w:rsidR="004C3B06">
        <w:rPr>
          <w:lang w:val="en-US"/>
        </w:rPr>
        <w:t>.</w:t>
      </w:r>
    </w:p>
  </w:footnote>
  <w:footnote w:id="17">
    <w:p w14:paraId="028B439B" w14:textId="5451C223" w:rsidR="000663B6" w:rsidRPr="000663B6" w:rsidRDefault="000663B6">
      <w:pPr>
        <w:pStyle w:val="FootnoteText"/>
        <w:rPr>
          <w:lang w:val="en-US"/>
        </w:rPr>
      </w:pPr>
      <w:r>
        <w:rPr>
          <w:rStyle w:val="FootnoteReference"/>
        </w:rPr>
        <w:footnoteRef/>
      </w:r>
      <w:r>
        <w:t xml:space="preserve"> </w:t>
      </w:r>
      <w:r w:rsidR="008459EF">
        <w:rPr>
          <w:lang w:val="en-US"/>
        </w:rPr>
        <w:t>2015 (5) SA 245 (CC)</w:t>
      </w:r>
    </w:p>
  </w:footnote>
  <w:footnote w:id="18">
    <w:p w14:paraId="04BF63EE" w14:textId="011BC891" w:rsidR="004551A5" w:rsidRPr="004551A5" w:rsidRDefault="004551A5">
      <w:pPr>
        <w:pStyle w:val="FootnoteText"/>
        <w:rPr>
          <w:lang w:val="en-US"/>
        </w:rPr>
      </w:pPr>
      <w:r>
        <w:rPr>
          <w:rStyle w:val="FootnoteReference"/>
        </w:rPr>
        <w:footnoteRef/>
      </w:r>
      <w:r>
        <w:t xml:space="preserve"> </w:t>
      </w:r>
      <w:r w:rsidR="00D221F3">
        <w:rPr>
          <w:lang w:val="en-US"/>
        </w:rPr>
        <w:t>Ibid para 42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595934"/>
      <w:docPartObj>
        <w:docPartGallery w:val="Page Numbers (Top of Page)"/>
        <w:docPartUnique/>
      </w:docPartObj>
    </w:sdtPr>
    <w:sdtEndPr>
      <w:rPr>
        <w:noProof/>
      </w:rPr>
    </w:sdtEndPr>
    <w:sdtContent>
      <w:p w14:paraId="0DDAFF4F" w14:textId="34A0A010" w:rsidR="00EA3038" w:rsidRDefault="00EA3038">
        <w:pPr>
          <w:pStyle w:val="Header"/>
          <w:jc w:val="right"/>
        </w:pPr>
        <w:r>
          <w:fldChar w:fldCharType="begin"/>
        </w:r>
        <w:r>
          <w:instrText xml:space="preserve"> PAGE   \* MERGEFORMAT </w:instrText>
        </w:r>
        <w:r>
          <w:fldChar w:fldCharType="separate"/>
        </w:r>
        <w:r w:rsidR="0047260D">
          <w:rPr>
            <w:noProof/>
          </w:rPr>
          <w:t>21</w:t>
        </w:r>
        <w:r>
          <w:rPr>
            <w:noProof/>
          </w:rPr>
          <w:fldChar w:fldCharType="end"/>
        </w:r>
      </w:p>
    </w:sdtContent>
  </w:sdt>
  <w:p w14:paraId="6FEB2D72" w14:textId="77777777" w:rsidR="00E12968" w:rsidRDefault="00E129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250"/>
    <w:multiLevelType w:val="hybridMultilevel"/>
    <w:tmpl w:val="8E6EA4D4"/>
    <w:lvl w:ilvl="0" w:tplc="EC507A3C">
      <w:start w:val="1"/>
      <w:numFmt w:val="decimal"/>
      <w:lvlText w:val="[%1]"/>
      <w:lvlJc w:val="left"/>
      <w:pPr>
        <w:ind w:left="360" w:hanging="360"/>
      </w:pPr>
      <w:rPr>
        <w:rFonts w:hint="default"/>
        <w:b w:val="0"/>
        <w:bCs w:val="0"/>
        <w:i w:val="0"/>
        <w:i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2E651A94"/>
    <w:multiLevelType w:val="hybridMultilevel"/>
    <w:tmpl w:val="7F7880EE"/>
    <w:lvl w:ilvl="0" w:tplc="BC08F4AC">
      <w:start w:val="1"/>
      <w:numFmt w:val="lowerLetter"/>
      <w:lvlText w:val="(%1)"/>
      <w:lvlJc w:val="left"/>
      <w:pPr>
        <w:ind w:left="288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BC08F4AC">
      <w:start w:val="1"/>
      <w:numFmt w:val="lowerLetter"/>
      <w:lvlText w:val="(%4)"/>
      <w:lvlJc w:val="left"/>
      <w:pPr>
        <w:ind w:left="2880" w:hanging="36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86F50D4"/>
    <w:multiLevelType w:val="multilevel"/>
    <w:tmpl w:val="54F0D30E"/>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DF572B"/>
    <w:multiLevelType w:val="hybridMultilevel"/>
    <w:tmpl w:val="C3C62D7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62C44042"/>
    <w:multiLevelType w:val="multilevel"/>
    <w:tmpl w:val="AD563C2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565520"/>
    <w:multiLevelType w:val="hybridMultilevel"/>
    <w:tmpl w:val="07A6DBAA"/>
    <w:lvl w:ilvl="0" w:tplc="25C4382A">
      <w:start w:val="1"/>
      <w:numFmt w:val="decimal"/>
      <w:lvlText w:val="(41.%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6BE74890"/>
    <w:multiLevelType w:val="hybridMultilevel"/>
    <w:tmpl w:val="093CC004"/>
    <w:lvl w:ilvl="0" w:tplc="BC08F4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LSwsDAzMrY0tjA0NDJS0lEKTi0uzszPAykwrAUARyX1TCwAAAA="/>
  </w:docVars>
  <w:rsids>
    <w:rsidRoot w:val="006F2585"/>
    <w:rsid w:val="0000416E"/>
    <w:rsid w:val="00007EC4"/>
    <w:rsid w:val="00012943"/>
    <w:rsid w:val="000142A0"/>
    <w:rsid w:val="00014DCC"/>
    <w:rsid w:val="000154BF"/>
    <w:rsid w:val="00017F43"/>
    <w:rsid w:val="00024466"/>
    <w:rsid w:val="000250B5"/>
    <w:rsid w:val="00025450"/>
    <w:rsid w:val="00027006"/>
    <w:rsid w:val="00030108"/>
    <w:rsid w:val="0003237A"/>
    <w:rsid w:val="00037C7D"/>
    <w:rsid w:val="00042167"/>
    <w:rsid w:val="000471D5"/>
    <w:rsid w:val="0005221F"/>
    <w:rsid w:val="00053508"/>
    <w:rsid w:val="00060B25"/>
    <w:rsid w:val="00060C59"/>
    <w:rsid w:val="00061AF6"/>
    <w:rsid w:val="00062778"/>
    <w:rsid w:val="00062885"/>
    <w:rsid w:val="000663B6"/>
    <w:rsid w:val="00072149"/>
    <w:rsid w:val="00073B5D"/>
    <w:rsid w:val="00075093"/>
    <w:rsid w:val="00082466"/>
    <w:rsid w:val="00084237"/>
    <w:rsid w:val="00085636"/>
    <w:rsid w:val="00087B6B"/>
    <w:rsid w:val="000914B7"/>
    <w:rsid w:val="00091C6A"/>
    <w:rsid w:val="00094AA0"/>
    <w:rsid w:val="00097AAF"/>
    <w:rsid w:val="000A3876"/>
    <w:rsid w:val="000A4100"/>
    <w:rsid w:val="000A4EAC"/>
    <w:rsid w:val="000A52D2"/>
    <w:rsid w:val="000B0C03"/>
    <w:rsid w:val="000B3DDB"/>
    <w:rsid w:val="000C6CE9"/>
    <w:rsid w:val="000D3BA0"/>
    <w:rsid w:val="000D6FF6"/>
    <w:rsid w:val="000D7973"/>
    <w:rsid w:val="000E1FBE"/>
    <w:rsid w:val="000E626B"/>
    <w:rsid w:val="000F0766"/>
    <w:rsid w:val="000F173D"/>
    <w:rsid w:val="000F4BD6"/>
    <w:rsid w:val="000F701F"/>
    <w:rsid w:val="001004A5"/>
    <w:rsid w:val="00101794"/>
    <w:rsid w:val="00102593"/>
    <w:rsid w:val="00106894"/>
    <w:rsid w:val="00107EB3"/>
    <w:rsid w:val="00111563"/>
    <w:rsid w:val="00113659"/>
    <w:rsid w:val="001156D4"/>
    <w:rsid w:val="001176E4"/>
    <w:rsid w:val="00120E25"/>
    <w:rsid w:val="00122704"/>
    <w:rsid w:val="00126067"/>
    <w:rsid w:val="001263DC"/>
    <w:rsid w:val="00127A08"/>
    <w:rsid w:val="00131188"/>
    <w:rsid w:val="0013260E"/>
    <w:rsid w:val="00133798"/>
    <w:rsid w:val="00134294"/>
    <w:rsid w:val="00136AB2"/>
    <w:rsid w:val="00136B61"/>
    <w:rsid w:val="00137A09"/>
    <w:rsid w:val="0014072A"/>
    <w:rsid w:val="001410E2"/>
    <w:rsid w:val="00143951"/>
    <w:rsid w:val="00155527"/>
    <w:rsid w:val="001556FF"/>
    <w:rsid w:val="001565F7"/>
    <w:rsid w:val="001578B6"/>
    <w:rsid w:val="00162899"/>
    <w:rsid w:val="00162ABE"/>
    <w:rsid w:val="001642E9"/>
    <w:rsid w:val="00167D70"/>
    <w:rsid w:val="00170197"/>
    <w:rsid w:val="001718C8"/>
    <w:rsid w:val="00173CF5"/>
    <w:rsid w:val="00175F6F"/>
    <w:rsid w:val="001833F5"/>
    <w:rsid w:val="00183DA3"/>
    <w:rsid w:val="00185F3E"/>
    <w:rsid w:val="00187B7B"/>
    <w:rsid w:val="00193C93"/>
    <w:rsid w:val="00197801"/>
    <w:rsid w:val="001A2282"/>
    <w:rsid w:val="001A6192"/>
    <w:rsid w:val="001B004B"/>
    <w:rsid w:val="001B186F"/>
    <w:rsid w:val="001B1FFE"/>
    <w:rsid w:val="001B4249"/>
    <w:rsid w:val="001B4F50"/>
    <w:rsid w:val="001B515F"/>
    <w:rsid w:val="001B5FC1"/>
    <w:rsid w:val="001C0078"/>
    <w:rsid w:val="001C661A"/>
    <w:rsid w:val="001D0609"/>
    <w:rsid w:val="001D071C"/>
    <w:rsid w:val="001D2E28"/>
    <w:rsid w:val="001D3A7F"/>
    <w:rsid w:val="001D6726"/>
    <w:rsid w:val="001E094D"/>
    <w:rsid w:val="001E27EF"/>
    <w:rsid w:val="001E4DAC"/>
    <w:rsid w:val="001F3269"/>
    <w:rsid w:val="001F36B3"/>
    <w:rsid w:val="001F70D5"/>
    <w:rsid w:val="00202271"/>
    <w:rsid w:val="00203B77"/>
    <w:rsid w:val="002046BE"/>
    <w:rsid w:val="00204CA5"/>
    <w:rsid w:val="002058E7"/>
    <w:rsid w:val="00205EAF"/>
    <w:rsid w:val="00207714"/>
    <w:rsid w:val="00210CA2"/>
    <w:rsid w:val="00211BD5"/>
    <w:rsid w:val="00213B7F"/>
    <w:rsid w:val="002152BA"/>
    <w:rsid w:val="00217592"/>
    <w:rsid w:val="0021788D"/>
    <w:rsid w:val="00217DDD"/>
    <w:rsid w:val="00220750"/>
    <w:rsid w:val="00220F65"/>
    <w:rsid w:val="00223A2F"/>
    <w:rsid w:val="002249DE"/>
    <w:rsid w:val="00227313"/>
    <w:rsid w:val="002305C5"/>
    <w:rsid w:val="00231A71"/>
    <w:rsid w:val="00233430"/>
    <w:rsid w:val="00234792"/>
    <w:rsid w:val="00242292"/>
    <w:rsid w:val="00243DB4"/>
    <w:rsid w:val="002536B3"/>
    <w:rsid w:val="0025477B"/>
    <w:rsid w:val="002558C9"/>
    <w:rsid w:val="00255A00"/>
    <w:rsid w:val="00260916"/>
    <w:rsid w:val="002638EA"/>
    <w:rsid w:val="00264580"/>
    <w:rsid w:val="002648AC"/>
    <w:rsid w:val="00265347"/>
    <w:rsid w:val="0026736F"/>
    <w:rsid w:val="00270689"/>
    <w:rsid w:val="00272AA8"/>
    <w:rsid w:val="002748A5"/>
    <w:rsid w:val="00275698"/>
    <w:rsid w:val="00275E02"/>
    <w:rsid w:val="00277F5A"/>
    <w:rsid w:val="0028295D"/>
    <w:rsid w:val="002836BE"/>
    <w:rsid w:val="00285080"/>
    <w:rsid w:val="002862F3"/>
    <w:rsid w:val="00297401"/>
    <w:rsid w:val="002A055B"/>
    <w:rsid w:val="002A05EA"/>
    <w:rsid w:val="002A1119"/>
    <w:rsid w:val="002A264C"/>
    <w:rsid w:val="002A2E11"/>
    <w:rsid w:val="002A3406"/>
    <w:rsid w:val="002A35C8"/>
    <w:rsid w:val="002A3F05"/>
    <w:rsid w:val="002A44E6"/>
    <w:rsid w:val="002A787C"/>
    <w:rsid w:val="002B529F"/>
    <w:rsid w:val="002B5912"/>
    <w:rsid w:val="002B6A99"/>
    <w:rsid w:val="002B7999"/>
    <w:rsid w:val="002C2F5E"/>
    <w:rsid w:val="002D0FD1"/>
    <w:rsid w:val="002D4F95"/>
    <w:rsid w:val="002D5D7E"/>
    <w:rsid w:val="002E207E"/>
    <w:rsid w:val="002E310B"/>
    <w:rsid w:val="002E47D0"/>
    <w:rsid w:val="002E6838"/>
    <w:rsid w:val="002F276C"/>
    <w:rsid w:val="002F660C"/>
    <w:rsid w:val="002F6A35"/>
    <w:rsid w:val="0030005D"/>
    <w:rsid w:val="00301F3B"/>
    <w:rsid w:val="003037E3"/>
    <w:rsid w:val="00304BFF"/>
    <w:rsid w:val="00305061"/>
    <w:rsid w:val="003067E1"/>
    <w:rsid w:val="003068C9"/>
    <w:rsid w:val="003079D0"/>
    <w:rsid w:val="003105DB"/>
    <w:rsid w:val="00312590"/>
    <w:rsid w:val="00313424"/>
    <w:rsid w:val="00313600"/>
    <w:rsid w:val="00314808"/>
    <w:rsid w:val="003149E9"/>
    <w:rsid w:val="003160AB"/>
    <w:rsid w:val="003160FD"/>
    <w:rsid w:val="003173E2"/>
    <w:rsid w:val="0031765A"/>
    <w:rsid w:val="00322D88"/>
    <w:rsid w:val="00323F2D"/>
    <w:rsid w:val="00324CCA"/>
    <w:rsid w:val="003318B0"/>
    <w:rsid w:val="0033626F"/>
    <w:rsid w:val="00337384"/>
    <w:rsid w:val="00344CC6"/>
    <w:rsid w:val="00346274"/>
    <w:rsid w:val="003520C3"/>
    <w:rsid w:val="003524EB"/>
    <w:rsid w:val="00354C12"/>
    <w:rsid w:val="00355EEF"/>
    <w:rsid w:val="003646E3"/>
    <w:rsid w:val="0037183D"/>
    <w:rsid w:val="00372273"/>
    <w:rsid w:val="00372442"/>
    <w:rsid w:val="00374A90"/>
    <w:rsid w:val="00375E21"/>
    <w:rsid w:val="0038374E"/>
    <w:rsid w:val="00383E49"/>
    <w:rsid w:val="00384805"/>
    <w:rsid w:val="00384C67"/>
    <w:rsid w:val="00385C57"/>
    <w:rsid w:val="00391ED8"/>
    <w:rsid w:val="003928A3"/>
    <w:rsid w:val="00396C4B"/>
    <w:rsid w:val="003A02A5"/>
    <w:rsid w:val="003A075C"/>
    <w:rsid w:val="003A6F54"/>
    <w:rsid w:val="003A7E06"/>
    <w:rsid w:val="003B16D1"/>
    <w:rsid w:val="003B2181"/>
    <w:rsid w:val="003B3A5C"/>
    <w:rsid w:val="003B5CDC"/>
    <w:rsid w:val="003B60B3"/>
    <w:rsid w:val="003C11BF"/>
    <w:rsid w:val="003C13D4"/>
    <w:rsid w:val="003C4AA9"/>
    <w:rsid w:val="003C6466"/>
    <w:rsid w:val="003D2F8C"/>
    <w:rsid w:val="003D5F30"/>
    <w:rsid w:val="003D74D0"/>
    <w:rsid w:val="003E2BE4"/>
    <w:rsid w:val="003E3D97"/>
    <w:rsid w:val="003E488C"/>
    <w:rsid w:val="003E4A1D"/>
    <w:rsid w:val="003F20BF"/>
    <w:rsid w:val="003F2679"/>
    <w:rsid w:val="003F5FD3"/>
    <w:rsid w:val="003F61EE"/>
    <w:rsid w:val="003F7C5F"/>
    <w:rsid w:val="004019EC"/>
    <w:rsid w:val="004104E2"/>
    <w:rsid w:val="0041100E"/>
    <w:rsid w:val="00411630"/>
    <w:rsid w:val="00416F25"/>
    <w:rsid w:val="00420157"/>
    <w:rsid w:val="00421F36"/>
    <w:rsid w:val="00423E49"/>
    <w:rsid w:val="00424899"/>
    <w:rsid w:val="00426AB5"/>
    <w:rsid w:val="00426B91"/>
    <w:rsid w:val="00430150"/>
    <w:rsid w:val="00432F67"/>
    <w:rsid w:val="004339F5"/>
    <w:rsid w:val="0043504D"/>
    <w:rsid w:val="00435EAB"/>
    <w:rsid w:val="004365A7"/>
    <w:rsid w:val="004365E2"/>
    <w:rsid w:val="00436DA8"/>
    <w:rsid w:val="00440F16"/>
    <w:rsid w:val="00441553"/>
    <w:rsid w:val="004429F1"/>
    <w:rsid w:val="00445607"/>
    <w:rsid w:val="00451C4D"/>
    <w:rsid w:val="004551A5"/>
    <w:rsid w:val="00455665"/>
    <w:rsid w:val="004564F7"/>
    <w:rsid w:val="00457958"/>
    <w:rsid w:val="00457A20"/>
    <w:rsid w:val="00461B7D"/>
    <w:rsid w:val="004628FE"/>
    <w:rsid w:val="004637EA"/>
    <w:rsid w:val="0046398A"/>
    <w:rsid w:val="00467008"/>
    <w:rsid w:val="004674DB"/>
    <w:rsid w:val="00470548"/>
    <w:rsid w:val="004708CA"/>
    <w:rsid w:val="00470F74"/>
    <w:rsid w:val="004710B9"/>
    <w:rsid w:val="00471573"/>
    <w:rsid w:val="00472523"/>
    <w:rsid w:val="0047260D"/>
    <w:rsid w:val="00474344"/>
    <w:rsid w:val="00491C8C"/>
    <w:rsid w:val="00493524"/>
    <w:rsid w:val="00494AD9"/>
    <w:rsid w:val="004959BB"/>
    <w:rsid w:val="0049644C"/>
    <w:rsid w:val="004A0C4B"/>
    <w:rsid w:val="004A17F4"/>
    <w:rsid w:val="004A1F71"/>
    <w:rsid w:val="004A4F6B"/>
    <w:rsid w:val="004A6ED9"/>
    <w:rsid w:val="004A776F"/>
    <w:rsid w:val="004B0160"/>
    <w:rsid w:val="004B3B9F"/>
    <w:rsid w:val="004B3D98"/>
    <w:rsid w:val="004B431C"/>
    <w:rsid w:val="004B5BF0"/>
    <w:rsid w:val="004C0D88"/>
    <w:rsid w:val="004C13AB"/>
    <w:rsid w:val="004C30E6"/>
    <w:rsid w:val="004C3401"/>
    <w:rsid w:val="004C3B06"/>
    <w:rsid w:val="004C548A"/>
    <w:rsid w:val="004C63FD"/>
    <w:rsid w:val="004C6A0F"/>
    <w:rsid w:val="004D0585"/>
    <w:rsid w:val="004E3A6D"/>
    <w:rsid w:val="004E46DF"/>
    <w:rsid w:val="004E641E"/>
    <w:rsid w:val="004F2183"/>
    <w:rsid w:val="00502003"/>
    <w:rsid w:val="00503100"/>
    <w:rsid w:val="005104C9"/>
    <w:rsid w:val="00510CED"/>
    <w:rsid w:val="00512594"/>
    <w:rsid w:val="005146E6"/>
    <w:rsid w:val="005205D8"/>
    <w:rsid w:val="005211B8"/>
    <w:rsid w:val="00521DF0"/>
    <w:rsid w:val="00523166"/>
    <w:rsid w:val="005244F0"/>
    <w:rsid w:val="0052747B"/>
    <w:rsid w:val="00527546"/>
    <w:rsid w:val="00531578"/>
    <w:rsid w:val="00535524"/>
    <w:rsid w:val="005402D7"/>
    <w:rsid w:val="0055111C"/>
    <w:rsid w:val="0055224B"/>
    <w:rsid w:val="005565DD"/>
    <w:rsid w:val="00560D0B"/>
    <w:rsid w:val="00561E1E"/>
    <w:rsid w:val="00563523"/>
    <w:rsid w:val="0056353D"/>
    <w:rsid w:val="00564BF6"/>
    <w:rsid w:val="0056725A"/>
    <w:rsid w:val="00567D49"/>
    <w:rsid w:val="0057073D"/>
    <w:rsid w:val="00570876"/>
    <w:rsid w:val="005763B8"/>
    <w:rsid w:val="00580BF0"/>
    <w:rsid w:val="005813CA"/>
    <w:rsid w:val="005815F0"/>
    <w:rsid w:val="005865BF"/>
    <w:rsid w:val="00590AE3"/>
    <w:rsid w:val="00591F6C"/>
    <w:rsid w:val="005A2134"/>
    <w:rsid w:val="005A619A"/>
    <w:rsid w:val="005A64C1"/>
    <w:rsid w:val="005B3682"/>
    <w:rsid w:val="005B3925"/>
    <w:rsid w:val="005B4C45"/>
    <w:rsid w:val="005C0695"/>
    <w:rsid w:val="005C1945"/>
    <w:rsid w:val="005C1AEE"/>
    <w:rsid w:val="005C63F3"/>
    <w:rsid w:val="005C71BF"/>
    <w:rsid w:val="005C7DD2"/>
    <w:rsid w:val="005D19B8"/>
    <w:rsid w:val="005D4688"/>
    <w:rsid w:val="005D5E39"/>
    <w:rsid w:val="005E0190"/>
    <w:rsid w:val="005E1B91"/>
    <w:rsid w:val="005E266C"/>
    <w:rsid w:val="005E2748"/>
    <w:rsid w:val="005E57E5"/>
    <w:rsid w:val="005F1BE4"/>
    <w:rsid w:val="0060258D"/>
    <w:rsid w:val="006034F5"/>
    <w:rsid w:val="006066CF"/>
    <w:rsid w:val="0061018A"/>
    <w:rsid w:val="006101C6"/>
    <w:rsid w:val="00612194"/>
    <w:rsid w:val="006127CB"/>
    <w:rsid w:val="00613BDA"/>
    <w:rsid w:val="0061487A"/>
    <w:rsid w:val="00614BD7"/>
    <w:rsid w:val="00617743"/>
    <w:rsid w:val="00617912"/>
    <w:rsid w:val="00621F01"/>
    <w:rsid w:val="006229DE"/>
    <w:rsid w:val="00623274"/>
    <w:rsid w:val="006246AD"/>
    <w:rsid w:val="00625591"/>
    <w:rsid w:val="00626FE1"/>
    <w:rsid w:val="00631986"/>
    <w:rsid w:val="006332D7"/>
    <w:rsid w:val="00635CE3"/>
    <w:rsid w:val="00640F86"/>
    <w:rsid w:val="00641512"/>
    <w:rsid w:val="00644B64"/>
    <w:rsid w:val="00645E9E"/>
    <w:rsid w:val="00654D5F"/>
    <w:rsid w:val="00656636"/>
    <w:rsid w:val="00660994"/>
    <w:rsid w:val="00662923"/>
    <w:rsid w:val="00664755"/>
    <w:rsid w:val="00665CAA"/>
    <w:rsid w:val="00670941"/>
    <w:rsid w:val="00670CEB"/>
    <w:rsid w:val="00673151"/>
    <w:rsid w:val="0067682E"/>
    <w:rsid w:val="006802F2"/>
    <w:rsid w:val="00684309"/>
    <w:rsid w:val="006872DE"/>
    <w:rsid w:val="006950CC"/>
    <w:rsid w:val="006A018C"/>
    <w:rsid w:val="006A23E1"/>
    <w:rsid w:val="006A23EF"/>
    <w:rsid w:val="006A2EB0"/>
    <w:rsid w:val="006A7D84"/>
    <w:rsid w:val="006B14BB"/>
    <w:rsid w:val="006B18B9"/>
    <w:rsid w:val="006B3B5F"/>
    <w:rsid w:val="006B64FC"/>
    <w:rsid w:val="006C055E"/>
    <w:rsid w:val="006C46A8"/>
    <w:rsid w:val="006C4F9D"/>
    <w:rsid w:val="006C6508"/>
    <w:rsid w:val="006D0DAC"/>
    <w:rsid w:val="006D1E55"/>
    <w:rsid w:val="006D5FD3"/>
    <w:rsid w:val="006E05E3"/>
    <w:rsid w:val="006E2DF6"/>
    <w:rsid w:val="006E2EB5"/>
    <w:rsid w:val="006E564A"/>
    <w:rsid w:val="006E6D18"/>
    <w:rsid w:val="006E6D91"/>
    <w:rsid w:val="006F2585"/>
    <w:rsid w:val="006F28C1"/>
    <w:rsid w:val="006F2C93"/>
    <w:rsid w:val="006F48E6"/>
    <w:rsid w:val="006F5F1E"/>
    <w:rsid w:val="006F7103"/>
    <w:rsid w:val="006F7BDC"/>
    <w:rsid w:val="00701B87"/>
    <w:rsid w:val="007033E0"/>
    <w:rsid w:val="0070460A"/>
    <w:rsid w:val="00704D0F"/>
    <w:rsid w:val="00704F85"/>
    <w:rsid w:val="00705D04"/>
    <w:rsid w:val="00713009"/>
    <w:rsid w:val="00717B2B"/>
    <w:rsid w:val="00717B5C"/>
    <w:rsid w:val="00720ED9"/>
    <w:rsid w:val="00722E8F"/>
    <w:rsid w:val="0072426A"/>
    <w:rsid w:val="00724494"/>
    <w:rsid w:val="007261BD"/>
    <w:rsid w:val="007305EE"/>
    <w:rsid w:val="00732078"/>
    <w:rsid w:val="00734B98"/>
    <w:rsid w:val="00735C8E"/>
    <w:rsid w:val="0073653A"/>
    <w:rsid w:val="00737E89"/>
    <w:rsid w:val="00740029"/>
    <w:rsid w:val="00744E63"/>
    <w:rsid w:val="00751A6C"/>
    <w:rsid w:val="00754E48"/>
    <w:rsid w:val="0075662E"/>
    <w:rsid w:val="00760C39"/>
    <w:rsid w:val="00764397"/>
    <w:rsid w:val="007665BB"/>
    <w:rsid w:val="00771FD0"/>
    <w:rsid w:val="00774E08"/>
    <w:rsid w:val="00777C47"/>
    <w:rsid w:val="00780E21"/>
    <w:rsid w:val="00781895"/>
    <w:rsid w:val="007828DE"/>
    <w:rsid w:val="00783314"/>
    <w:rsid w:val="00783C67"/>
    <w:rsid w:val="007868CC"/>
    <w:rsid w:val="007875FA"/>
    <w:rsid w:val="007910EE"/>
    <w:rsid w:val="007947E2"/>
    <w:rsid w:val="007951D5"/>
    <w:rsid w:val="00795866"/>
    <w:rsid w:val="00796C1A"/>
    <w:rsid w:val="00797708"/>
    <w:rsid w:val="007A0407"/>
    <w:rsid w:val="007A4722"/>
    <w:rsid w:val="007A6D88"/>
    <w:rsid w:val="007B0D74"/>
    <w:rsid w:val="007B36A3"/>
    <w:rsid w:val="007B4217"/>
    <w:rsid w:val="007B6BE1"/>
    <w:rsid w:val="007B7D32"/>
    <w:rsid w:val="007C1FCA"/>
    <w:rsid w:val="007C2316"/>
    <w:rsid w:val="007C23D0"/>
    <w:rsid w:val="007C3196"/>
    <w:rsid w:val="007C52C7"/>
    <w:rsid w:val="007D263D"/>
    <w:rsid w:val="007D3110"/>
    <w:rsid w:val="007D65C7"/>
    <w:rsid w:val="007E0824"/>
    <w:rsid w:val="007E0D90"/>
    <w:rsid w:val="007E0FB3"/>
    <w:rsid w:val="007E6D05"/>
    <w:rsid w:val="007F6586"/>
    <w:rsid w:val="008026DE"/>
    <w:rsid w:val="00803225"/>
    <w:rsid w:val="0081146B"/>
    <w:rsid w:val="00813659"/>
    <w:rsid w:val="008146AF"/>
    <w:rsid w:val="00816B85"/>
    <w:rsid w:val="00820989"/>
    <w:rsid w:val="008214C8"/>
    <w:rsid w:val="008218B3"/>
    <w:rsid w:val="00821ED2"/>
    <w:rsid w:val="008235C3"/>
    <w:rsid w:val="00824010"/>
    <w:rsid w:val="0082436C"/>
    <w:rsid w:val="00825A3E"/>
    <w:rsid w:val="00830008"/>
    <w:rsid w:val="00830BD7"/>
    <w:rsid w:val="008341FD"/>
    <w:rsid w:val="00837E2B"/>
    <w:rsid w:val="008404FB"/>
    <w:rsid w:val="008424CA"/>
    <w:rsid w:val="0084303B"/>
    <w:rsid w:val="00843206"/>
    <w:rsid w:val="008434BA"/>
    <w:rsid w:val="008459EF"/>
    <w:rsid w:val="00845DCB"/>
    <w:rsid w:val="008462E6"/>
    <w:rsid w:val="0084776F"/>
    <w:rsid w:val="00852078"/>
    <w:rsid w:val="00852234"/>
    <w:rsid w:val="008545E1"/>
    <w:rsid w:val="00856E7E"/>
    <w:rsid w:val="00857A8B"/>
    <w:rsid w:val="00861C83"/>
    <w:rsid w:val="00864FEF"/>
    <w:rsid w:val="00865598"/>
    <w:rsid w:val="00865F3F"/>
    <w:rsid w:val="0086626C"/>
    <w:rsid w:val="008665A4"/>
    <w:rsid w:val="00870E77"/>
    <w:rsid w:val="0087250F"/>
    <w:rsid w:val="0087630C"/>
    <w:rsid w:val="00876F90"/>
    <w:rsid w:val="00877A2C"/>
    <w:rsid w:val="00880EEB"/>
    <w:rsid w:val="00882A08"/>
    <w:rsid w:val="00885F1A"/>
    <w:rsid w:val="00892E8B"/>
    <w:rsid w:val="00895AC8"/>
    <w:rsid w:val="00897A0D"/>
    <w:rsid w:val="008A4ED8"/>
    <w:rsid w:val="008A5890"/>
    <w:rsid w:val="008A7018"/>
    <w:rsid w:val="008B1019"/>
    <w:rsid w:val="008B108D"/>
    <w:rsid w:val="008B1DB4"/>
    <w:rsid w:val="008B3472"/>
    <w:rsid w:val="008B5BB0"/>
    <w:rsid w:val="008B7875"/>
    <w:rsid w:val="008C691B"/>
    <w:rsid w:val="008C6F4D"/>
    <w:rsid w:val="008D15C7"/>
    <w:rsid w:val="008D335F"/>
    <w:rsid w:val="008D5352"/>
    <w:rsid w:val="008D77DD"/>
    <w:rsid w:val="008E0DF3"/>
    <w:rsid w:val="008E1542"/>
    <w:rsid w:val="008E34DF"/>
    <w:rsid w:val="008F2DF4"/>
    <w:rsid w:val="008F3EB8"/>
    <w:rsid w:val="008F459D"/>
    <w:rsid w:val="008F703D"/>
    <w:rsid w:val="008F7543"/>
    <w:rsid w:val="008F798F"/>
    <w:rsid w:val="00901E7B"/>
    <w:rsid w:val="00903832"/>
    <w:rsid w:val="00903DBC"/>
    <w:rsid w:val="00906139"/>
    <w:rsid w:val="0090629C"/>
    <w:rsid w:val="00907B36"/>
    <w:rsid w:val="0091320F"/>
    <w:rsid w:val="0091374C"/>
    <w:rsid w:val="00914F45"/>
    <w:rsid w:val="00915683"/>
    <w:rsid w:val="00921551"/>
    <w:rsid w:val="0092179E"/>
    <w:rsid w:val="00922ACA"/>
    <w:rsid w:val="00922B3B"/>
    <w:rsid w:val="0092416B"/>
    <w:rsid w:val="00924D65"/>
    <w:rsid w:val="00927244"/>
    <w:rsid w:val="00930DF5"/>
    <w:rsid w:val="00931EC1"/>
    <w:rsid w:val="0093551B"/>
    <w:rsid w:val="009363C0"/>
    <w:rsid w:val="009375B2"/>
    <w:rsid w:val="0094257F"/>
    <w:rsid w:val="009425BA"/>
    <w:rsid w:val="009443A9"/>
    <w:rsid w:val="009455BD"/>
    <w:rsid w:val="0094775A"/>
    <w:rsid w:val="00950DBE"/>
    <w:rsid w:val="00950E91"/>
    <w:rsid w:val="009604A7"/>
    <w:rsid w:val="00961CEF"/>
    <w:rsid w:val="00963A1D"/>
    <w:rsid w:val="0097107E"/>
    <w:rsid w:val="00971E4C"/>
    <w:rsid w:val="00973998"/>
    <w:rsid w:val="00974510"/>
    <w:rsid w:val="00977475"/>
    <w:rsid w:val="009805EA"/>
    <w:rsid w:val="00990669"/>
    <w:rsid w:val="0099532C"/>
    <w:rsid w:val="0099586C"/>
    <w:rsid w:val="009979EC"/>
    <w:rsid w:val="00997FE4"/>
    <w:rsid w:val="009A2A98"/>
    <w:rsid w:val="009A3487"/>
    <w:rsid w:val="009A7FA3"/>
    <w:rsid w:val="009B047B"/>
    <w:rsid w:val="009B2EED"/>
    <w:rsid w:val="009B3933"/>
    <w:rsid w:val="009B6559"/>
    <w:rsid w:val="009C0E9D"/>
    <w:rsid w:val="009C1DFA"/>
    <w:rsid w:val="009C2061"/>
    <w:rsid w:val="009C59D9"/>
    <w:rsid w:val="009C6AAC"/>
    <w:rsid w:val="009D1192"/>
    <w:rsid w:val="009D572B"/>
    <w:rsid w:val="009D6A40"/>
    <w:rsid w:val="009E3FB6"/>
    <w:rsid w:val="009E64A1"/>
    <w:rsid w:val="009F33E4"/>
    <w:rsid w:val="009F3979"/>
    <w:rsid w:val="009F4E09"/>
    <w:rsid w:val="00A00249"/>
    <w:rsid w:val="00A037E4"/>
    <w:rsid w:val="00A03AC5"/>
    <w:rsid w:val="00A03EC1"/>
    <w:rsid w:val="00A043EC"/>
    <w:rsid w:val="00A05E91"/>
    <w:rsid w:val="00A07C68"/>
    <w:rsid w:val="00A100F4"/>
    <w:rsid w:val="00A11108"/>
    <w:rsid w:val="00A120EF"/>
    <w:rsid w:val="00A14BA1"/>
    <w:rsid w:val="00A15A77"/>
    <w:rsid w:val="00A2076F"/>
    <w:rsid w:val="00A251FE"/>
    <w:rsid w:val="00A26E84"/>
    <w:rsid w:val="00A32F9B"/>
    <w:rsid w:val="00A40815"/>
    <w:rsid w:val="00A469E1"/>
    <w:rsid w:val="00A52B3B"/>
    <w:rsid w:val="00A566E8"/>
    <w:rsid w:val="00A56A1A"/>
    <w:rsid w:val="00A615E8"/>
    <w:rsid w:val="00A63703"/>
    <w:rsid w:val="00A64C02"/>
    <w:rsid w:val="00A6632E"/>
    <w:rsid w:val="00A67F6C"/>
    <w:rsid w:val="00A71E18"/>
    <w:rsid w:val="00A809EF"/>
    <w:rsid w:val="00A824F8"/>
    <w:rsid w:val="00A826A5"/>
    <w:rsid w:val="00A8529F"/>
    <w:rsid w:val="00A856A2"/>
    <w:rsid w:val="00A8764B"/>
    <w:rsid w:val="00A9055C"/>
    <w:rsid w:val="00A90830"/>
    <w:rsid w:val="00A90F21"/>
    <w:rsid w:val="00A94BF7"/>
    <w:rsid w:val="00AA090C"/>
    <w:rsid w:val="00AA1A1D"/>
    <w:rsid w:val="00AA2B75"/>
    <w:rsid w:val="00AA6FCA"/>
    <w:rsid w:val="00AB05FC"/>
    <w:rsid w:val="00AB1C32"/>
    <w:rsid w:val="00AB45C6"/>
    <w:rsid w:val="00AB4670"/>
    <w:rsid w:val="00AB5A7C"/>
    <w:rsid w:val="00AC7B94"/>
    <w:rsid w:val="00AD3048"/>
    <w:rsid w:val="00AE12C4"/>
    <w:rsid w:val="00AE325E"/>
    <w:rsid w:val="00AE57AB"/>
    <w:rsid w:val="00AF16C9"/>
    <w:rsid w:val="00AF44E1"/>
    <w:rsid w:val="00AF6CBB"/>
    <w:rsid w:val="00AF709A"/>
    <w:rsid w:val="00B00BEA"/>
    <w:rsid w:val="00B03D26"/>
    <w:rsid w:val="00B062A3"/>
    <w:rsid w:val="00B07B9C"/>
    <w:rsid w:val="00B14466"/>
    <w:rsid w:val="00B1483E"/>
    <w:rsid w:val="00B206ED"/>
    <w:rsid w:val="00B21C64"/>
    <w:rsid w:val="00B231FA"/>
    <w:rsid w:val="00B25436"/>
    <w:rsid w:val="00B257BE"/>
    <w:rsid w:val="00B25F17"/>
    <w:rsid w:val="00B26488"/>
    <w:rsid w:val="00B301C7"/>
    <w:rsid w:val="00B361C4"/>
    <w:rsid w:val="00B36313"/>
    <w:rsid w:val="00B416B6"/>
    <w:rsid w:val="00B435D0"/>
    <w:rsid w:val="00B44CD3"/>
    <w:rsid w:val="00B44D4F"/>
    <w:rsid w:val="00B45405"/>
    <w:rsid w:val="00B4603D"/>
    <w:rsid w:val="00B468CD"/>
    <w:rsid w:val="00B47053"/>
    <w:rsid w:val="00B503A8"/>
    <w:rsid w:val="00B53041"/>
    <w:rsid w:val="00B53159"/>
    <w:rsid w:val="00B643F2"/>
    <w:rsid w:val="00B669D6"/>
    <w:rsid w:val="00B67141"/>
    <w:rsid w:val="00B73BF3"/>
    <w:rsid w:val="00B763FD"/>
    <w:rsid w:val="00B8486E"/>
    <w:rsid w:val="00B8599E"/>
    <w:rsid w:val="00B865ED"/>
    <w:rsid w:val="00B86652"/>
    <w:rsid w:val="00B86D89"/>
    <w:rsid w:val="00B908BD"/>
    <w:rsid w:val="00B921A1"/>
    <w:rsid w:val="00B923F9"/>
    <w:rsid w:val="00B95D73"/>
    <w:rsid w:val="00B96AAB"/>
    <w:rsid w:val="00BA15BB"/>
    <w:rsid w:val="00BA1833"/>
    <w:rsid w:val="00BB0E21"/>
    <w:rsid w:val="00BB1745"/>
    <w:rsid w:val="00BB1849"/>
    <w:rsid w:val="00BB4057"/>
    <w:rsid w:val="00BB53D5"/>
    <w:rsid w:val="00BB5C55"/>
    <w:rsid w:val="00BB6A9E"/>
    <w:rsid w:val="00BC1ECB"/>
    <w:rsid w:val="00BC44C6"/>
    <w:rsid w:val="00BC68CF"/>
    <w:rsid w:val="00BD10F9"/>
    <w:rsid w:val="00BD340B"/>
    <w:rsid w:val="00BE4C90"/>
    <w:rsid w:val="00BF4D9C"/>
    <w:rsid w:val="00BF7805"/>
    <w:rsid w:val="00C0281C"/>
    <w:rsid w:val="00C03957"/>
    <w:rsid w:val="00C04699"/>
    <w:rsid w:val="00C07889"/>
    <w:rsid w:val="00C07DBA"/>
    <w:rsid w:val="00C14694"/>
    <w:rsid w:val="00C167CF"/>
    <w:rsid w:val="00C23FFC"/>
    <w:rsid w:val="00C2732C"/>
    <w:rsid w:val="00C2786B"/>
    <w:rsid w:val="00C30AE5"/>
    <w:rsid w:val="00C3194D"/>
    <w:rsid w:val="00C33305"/>
    <w:rsid w:val="00C34727"/>
    <w:rsid w:val="00C37A71"/>
    <w:rsid w:val="00C4041D"/>
    <w:rsid w:val="00C40830"/>
    <w:rsid w:val="00C408DB"/>
    <w:rsid w:val="00C41ECD"/>
    <w:rsid w:val="00C44806"/>
    <w:rsid w:val="00C45584"/>
    <w:rsid w:val="00C50AAF"/>
    <w:rsid w:val="00C563BB"/>
    <w:rsid w:val="00C56C3F"/>
    <w:rsid w:val="00C57B86"/>
    <w:rsid w:val="00C60029"/>
    <w:rsid w:val="00C60744"/>
    <w:rsid w:val="00C63030"/>
    <w:rsid w:val="00C65DF9"/>
    <w:rsid w:val="00C6704E"/>
    <w:rsid w:val="00C713F6"/>
    <w:rsid w:val="00C7175D"/>
    <w:rsid w:val="00C741FA"/>
    <w:rsid w:val="00C77C64"/>
    <w:rsid w:val="00C812C8"/>
    <w:rsid w:val="00C86B02"/>
    <w:rsid w:val="00C87581"/>
    <w:rsid w:val="00C87AC7"/>
    <w:rsid w:val="00C903FF"/>
    <w:rsid w:val="00C90B99"/>
    <w:rsid w:val="00C90BDB"/>
    <w:rsid w:val="00C9491D"/>
    <w:rsid w:val="00CA0EA5"/>
    <w:rsid w:val="00CA138E"/>
    <w:rsid w:val="00CA3D33"/>
    <w:rsid w:val="00CA483A"/>
    <w:rsid w:val="00CA7229"/>
    <w:rsid w:val="00CB13C1"/>
    <w:rsid w:val="00CB2FB2"/>
    <w:rsid w:val="00CB346D"/>
    <w:rsid w:val="00CB3D9B"/>
    <w:rsid w:val="00CB47B1"/>
    <w:rsid w:val="00CB4C4F"/>
    <w:rsid w:val="00CB742D"/>
    <w:rsid w:val="00CC0595"/>
    <w:rsid w:val="00CC12A9"/>
    <w:rsid w:val="00CC30E4"/>
    <w:rsid w:val="00CC5A9A"/>
    <w:rsid w:val="00CC6100"/>
    <w:rsid w:val="00CC754F"/>
    <w:rsid w:val="00CC79E8"/>
    <w:rsid w:val="00CC7BEE"/>
    <w:rsid w:val="00CD3898"/>
    <w:rsid w:val="00CD4A4E"/>
    <w:rsid w:val="00CD5CD4"/>
    <w:rsid w:val="00CD6095"/>
    <w:rsid w:val="00CD60CE"/>
    <w:rsid w:val="00CF0678"/>
    <w:rsid w:val="00CF229E"/>
    <w:rsid w:val="00CF2B30"/>
    <w:rsid w:val="00CF3092"/>
    <w:rsid w:val="00CF3160"/>
    <w:rsid w:val="00D00FE3"/>
    <w:rsid w:val="00D01D48"/>
    <w:rsid w:val="00D02B9B"/>
    <w:rsid w:val="00D02F11"/>
    <w:rsid w:val="00D06BCF"/>
    <w:rsid w:val="00D07795"/>
    <w:rsid w:val="00D07E67"/>
    <w:rsid w:val="00D12744"/>
    <w:rsid w:val="00D1341A"/>
    <w:rsid w:val="00D20BBC"/>
    <w:rsid w:val="00D221F3"/>
    <w:rsid w:val="00D2504D"/>
    <w:rsid w:val="00D26CF5"/>
    <w:rsid w:val="00D27E6B"/>
    <w:rsid w:val="00D31F9A"/>
    <w:rsid w:val="00D34A19"/>
    <w:rsid w:val="00D36080"/>
    <w:rsid w:val="00D36E62"/>
    <w:rsid w:val="00D4054A"/>
    <w:rsid w:val="00D4235E"/>
    <w:rsid w:val="00D42AE0"/>
    <w:rsid w:val="00D50620"/>
    <w:rsid w:val="00D50F0F"/>
    <w:rsid w:val="00D56D06"/>
    <w:rsid w:val="00D617E3"/>
    <w:rsid w:val="00D63CBA"/>
    <w:rsid w:val="00D7075B"/>
    <w:rsid w:val="00D721EF"/>
    <w:rsid w:val="00D7261F"/>
    <w:rsid w:val="00D73BE0"/>
    <w:rsid w:val="00D74DE0"/>
    <w:rsid w:val="00D751B9"/>
    <w:rsid w:val="00D81E49"/>
    <w:rsid w:val="00D8389B"/>
    <w:rsid w:val="00D84C32"/>
    <w:rsid w:val="00D855D7"/>
    <w:rsid w:val="00D857E3"/>
    <w:rsid w:val="00D91743"/>
    <w:rsid w:val="00D92086"/>
    <w:rsid w:val="00D93CE7"/>
    <w:rsid w:val="00D96E8D"/>
    <w:rsid w:val="00D9729A"/>
    <w:rsid w:val="00DA3548"/>
    <w:rsid w:val="00DB0C0E"/>
    <w:rsid w:val="00DB10EC"/>
    <w:rsid w:val="00DB3154"/>
    <w:rsid w:val="00DB425E"/>
    <w:rsid w:val="00DB444D"/>
    <w:rsid w:val="00DB4BC7"/>
    <w:rsid w:val="00DB6761"/>
    <w:rsid w:val="00DC0559"/>
    <w:rsid w:val="00DC43E2"/>
    <w:rsid w:val="00DC563C"/>
    <w:rsid w:val="00DC68DA"/>
    <w:rsid w:val="00DD280F"/>
    <w:rsid w:val="00DD4426"/>
    <w:rsid w:val="00DD5B1B"/>
    <w:rsid w:val="00DE0451"/>
    <w:rsid w:val="00DE3259"/>
    <w:rsid w:val="00DE47D8"/>
    <w:rsid w:val="00DE5E72"/>
    <w:rsid w:val="00DE6132"/>
    <w:rsid w:val="00DE7820"/>
    <w:rsid w:val="00DF0806"/>
    <w:rsid w:val="00DF2617"/>
    <w:rsid w:val="00DF5386"/>
    <w:rsid w:val="00E019CA"/>
    <w:rsid w:val="00E032A3"/>
    <w:rsid w:val="00E03706"/>
    <w:rsid w:val="00E05FA5"/>
    <w:rsid w:val="00E11207"/>
    <w:rsid w:val="00E126D9"/>
    <w:rsid w:val="00E12968"/>
    <w:rsid w:val="00E13B68"/>
    <w:rsid w:val="00E16F6D"/>
    <w:rsid w:val="00E275AE"/>
    <w:rsid w:val="00E303FF"/>
    <w:rsid w:val="00E32FC4"/>
    <w:rsid w:val="00E36172"/>
    <w:rsid w:val="00E37EF6"/>
    <w:rsid w:val="00E40498"/>
    <w:rsid w:val="00E41803"/>
    <w:rsid w:val="00E43071"/>
    <w:rsid w:val="00E457A3"/>
    <w:rsid w:val="00E51D4F"/>
    <w:rsid w:val="00E54C08"/>
    <w:rsid w:val="00E62C04"/>
    <w:rsid w:val="00E6450D"/>
    <w:rsid w:val="00E64E57"/>
    <w:rsid w:val="00E66D7C"/>
    <w:rsid w:val="00E81B44"/>
    <w:rsid w:val="00E84CDA"/>
    <w:rsid w:val="00E850CA"/>
    <w:rsid w:val="00E857F1"/>
    <w:rsid w:val="00E92C37"/>
    <w:rsid w:val="00E9366A"/>
    <w:rsid w:val="00E964CE"/>
    <w:rsid w:val="00EA044B"/>
    <w:rsid w:val="00EA3038"/>
    <w:rsid w:val="00EA5E5E"/>
    <w:rsid w:val="00EA75D2"/>
    <w:rsid w:val="00EB028F"/>
    <w:rsid w:val="00EB139F"/>
    <w:rsid w:val="00EB6304"/>
    <w:rsid w:val="00EC2E1F"/>
    <w:rsid w:val="00EC677A"/>
    <w:rsid w:val="00ED1229"/>
    <w:rsid w:val="00ED3B0F"/>
    <w:rsid w:val="00ED4894"/>
    <w:rsid w:val="00EE46D9"/>
    <w:rsid w:val="00EE62F9"/>
    <w:rsid w:val="00EF4577"/>
    <w:rsid w:val="00F01CE5"/>
    <w:rsid w:val="00F13F17"/>
    <w:rsid w:val="00F146D5"/>
    <w:rsid w:val="00F15051"/>
    <w:rsid w:val="00F2022B"/>
    <w:rsid w:val="00F22E05"/>
    <w:rsid w:val="00F27F5C"/>
    <w:rsid w:val="00F35753"/>
    <w:rsid w:val="00F42838"/>
    <w:rsid w:val="00F44DF8"/>
    <w:rsid w:val="00F466DA"/>
    <w:rsid w:val="00F54805"/>
    <w:rsid w:val="00F60619"/>
    <w:rsid w:val="00F60B7A"/>
    <w:rsid w:val="00F60DD4"/>
    <w:rsid w:val="00F61DF5"/>
    <w:rsid w:val="00F62FCA"/>
    <w:rsid w:val="00F636AB"/>
    <w:rsid w:val="00F64C98"/>
    <w:rsid w:val="00F67B74"/>
    <w:rsid w:val="00F701A3"/>
    <w:rsid w:val="00F71E82"/>
    <w:rsid w:val="00F721DF"/>
    <w:rsid w:val="00F73E02"/>
    <w:rsid w:val="00F75C08"/>
    <w:rsid w:val="00F80382"/>
    <w:rsid w:val="00F82AB1"/>
    <w:rsid w:val="00F84745"/>
    <w:rsid w:val="00F94424"/>
    <w:rsid w:val="00F94832"/>
    <w:rsid w:val="00F95B2E"/>
    <w:rsid w:val="00F9600F"/>
    <w:rsid w:val="00FA0453"/>
    <w:rsid w:val="00FA0C91"/>
    <w:rsid w:val="00FA0EA9"/>
    <w:rsid w:val="00FA1936"/>
    <w:rsid w:val="00FA2DEF"/>
    <w:rsid w:val="00FA7083"/>
    <w:rsid w:val="00FB731C"/>
    <w:rsid w:val="00FB7A72"/>
    <w:rsid w:val="00FC07D2"/>
    <w:rsid w:val="00FD2D2A"/>
    <w:rsid w:val="00FD4ACE"/>
    <w:rsid w:val="00FD598B"/>
    <w:rsid w:val="00FD6519"/>
    <w:rsid w:val="00FE47BA"/>
    <w:rsid w:val="00FF584A"/>
    <w:rsid w:val="00FF6895"/>
    <w:rsid w:val="00FF6AF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F72C"/>
  <w15:chartTrackingRefBased/>
  <w15:docId w15:val="{CAF880AE-7B3D-4B4D-BCE3-43B8F8A1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D73"/>
  </w:style>
  <w:style w:type="paragraph" w:styleId="Heading2">
    <w:name w:val="heading 2"/>
    <w:basedOn w:val="Normal"/>
    <w:next w:val="Normal"/>
    <w:link w:val="Heading2Char"/>
    <w:uiPriority w:val="9"/>
    <w:semiHidden/>
    <w:unhideWhenUsed/>
    <w:qFormat/>
    <w:rsid w:val="007828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585"/>
    <w:pPr>
      <w:ind w:left="720"/>
      <w:contextualSpacing/>
    </w:pPr>
  </w:style>
  <w:style w:type="paragraph" w:styleId="FootnoteText">
    <w:name w:val="footnote text"/>
    <w:basedOn w:val="Normal"/>
    <w:link w:val="FootnoteTextChar"/>
    <w:uiPriority w:val="99"/>
    <w:semiHidden/>
    <w:unhideWhenUsed/>
    <w:rsid w:val="00391E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1ED8"/>
    <w:rPr>
      <w:sz w:val="20"/>
      <w:szCs w:val="20"/>
    </w:rPr>
  </w:style>
  <w:style w:type="character" w:styleId="FootnoteReference">
    <w:name w:val="footnote reference"/>
    <w:basedOn w:val="DefaultParagraphFont"/>
    <w:uiPriority w:val="99"/>
    <w:semiHidden/>
    <w:unhideWhenUsed/>
    <w:rsid w:val="00391ED8"/>
    <w:rPr>
      <w:vertAlign w:val="superscript"/>
    </w:rPr>
  </w:style>
  <w:style w:type="paragraph" w:styleId="Header">
    <w:name w:val="header"/>
    <w:basedOn w:val="Normal"/>
    <w:link w:val="HeaderChar"/>
    <w:uiPriority w:val="99"/>
    <w:unhideWhenUsed/>
    <w:rsid w:val="00E12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968"/>
  </w:style>
  <w:style w:type="paragraph" w:styleId="Footer">
    <w:name w:val="footer"/>
    <w:basedOn w:val="Normal"/>
    <w:link w:val="FooterChar"/>
    <w:uiPriority w:val="99"/>
    <w:unhideWhenUsed/>
    <w:rsid w:val="00E12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968"/>
  </w:style>
  <w:style w:type="character" w:customStyle="1" w:styleId="Heading2Char">
    <w:name w:val="Heading 2 Char"/>
    <w:basedOn w:val="DefaultParagraphFont"/>
    <w:link w:val="Heading2"/>
    <w:uiPriority w:val="9"/>
    <w:semiHidden/>
    <w:rsid w:val="007828D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6950CC"/>
    <w:rPr>
      <w:color w:val="0000FF"/>
      <w:u w:val="single"/>
    </w:rPr>
  </w:style>
  <w:style w:type="paragraph" w:styleId="NormalWeb">
    <w:name w:val="Normal (Web)"/>
    <w:basedOn w:val="Normal"/>
    <w:uiPriority w:val="99"/>
    <w:unhideWhenUsed/>
    <w:rsid w:val="00D56D0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704D0F"/>
    <w:pPr>
      <w:spacing w:after="0" w:line="240" w:lineRule="auto"/>
    </w:pPr>
  </w:style>
  <w:style w:type="character" w:styleId="CommentReference">
    <w:name w:val="annotation reference"/>
    <w:basedOn w:val="DefaultParagraphFont"/>
    <w:uiPriority w:val="99"/>
    <w:semiHidden/>
    <w:unhideWhenUsed/>
    <w:rsid w:val="00704D0F"/>
    <w:rPr>
      <w:sz w:val="16"/>
      <w:szCs w:val="16"/>
    </w:rPr>
  </w:style>
  <w:style w:type="paragraph" w:styleId="CommentText">
    <w:name w:val="annotation text"/>
    <w:basedOn w:val="Normal"/>
    <w:link w:val="CommentTextChar"/>
    <w:uiPriority w:val="99"/>
    <w:semiHidden/>
    <w:unhideWhenUsed/>
    <w:rsid w:val="00704D0F"/>
    <w:pPr>
      <w:spacing w:line="240" w:lineRule="auto"/>
    </w:pPr>
    <w:rPr>
      <w:sz w:val="20"/>
      <w:szCs w:val="20"/>
    </w:rPr>
  </w:style>
  <w:style w:type="character" w:customStyle="1" w:styleId="CommentTextChar">
    <w:name w:val="Comment Text Char"/>
    <w:basedOn w:val="DefaultParagraphFont"/>
    <w:link w:val="CommentText"/>
    <w:uiPriority w:val="99"/>
    <w:semiHidden/>
    <w:rsid w:val="00704D0F"/>
    <w:rPr>
      <w:sz w:val="20"/>
      <w:szCs w:val="20"/>
    </w:rPr>
  </w:style>
  <w:style w:type="paragraph" w:styleId="CommentSubject">
    <w:name w:val="annotation subject"/>
    <w:basedOn w:val="CommentText"/>
    <w:next w:val="CommentText"/>
    <w:link w:val="CommentSubjectChar"/>
    <w:uiPriority w:val="99"/>
    <w:semiHidden/>
    <w:unhideWhenUsed/>
    <w:rsid w:val="00704D0F"/>
    <w:rPr>
      <w:b/>
      <w:bCs/>
    </w:rPr>
  </w:style>
  <w:style w:type="character" w:customStyle="1" w:styleId="CommentSubjectChar">
    <w:name w:val="Comment Subject Char"/>
    <w:basedOn w:val="CommentTextChar"/>
    <w:link w:val="CommentSubject"/>
    <w:uiPriority w:val="99"/>
    <w:semiHidden/>
    <w:rsid w:val="00704D0F"/>
    <w:rPr>
      <w:b/>
      <w:bCs/>
      <w:sz w:val="20"/>
      <w:szCs w:val="20"/>
    </w:rPr>
  </w:style>
  <w:style w:type="paragraph" w:styleId="BalloonText">
    <w:name w:val="Balloon Text"/>
    <w:basedOn w:val="Normal"/>
    <w:link w:val="BalloonTextChar"/>
    <w:uiPriority w:val="99"/>
    <w:semiHidden/>
    <w:unhideWhenUsed/>
    <w:rsid w:val="004A0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7412">
      <w:bodyDiv w:val="1"/>
      <w:marLeft w:val="0"/>
      <w:marRight w:val="0"/>
      <w:marTop w:val="0"/>
      <w:marBottom w:val="0"/>
      <w:divBdr>
        <w:top w:val="none" w:sz="0" w:space="0" w:color="auto"/>
        <w:left w:val="none" w:sz="0" w:space="0" w:color="auto"/>
        <w:bottom w:val="none" w:sz="0" w:space="0" w:color="auto"/>
        <w:right w:val="none" w:sz="0" w:space="0" w:color="auto"/>
      </w:divBdr>
    </w:div>
    <w:div w:id="143159517">
      <w:bodyDiv w:val="1"/>
      <w:marLeft w:val="0"/>
      <w:marRight w:val="0"/>
      <w:marTop w:val="0"/>
      <w:marBottom w:val="0"/>
      <w:divBdr>
        <w:top w:val="none" w:sz="0" w:space="0" w:color="auto"/>
        <w:left w:val="none" w:sz="0" w:space="0" w:color="auto"/>
        <w:bottom w:val="none" w:sz="0" w:space="0" w:color="auto"/>
        <w:right w:val="none" w:sz="0" w:space="0" w:color="auto"/>
      </w:divBdr>
    </w:div>
    <w:div w:id="396248066">
      <w:bodyDiv w:val="1"/>
      <w:marLeft w:val="0"/>
      <w:marRight w:val="0"/>
      <w:marTop w:val="0"/>
      <w:marBottom w:val="0"/>
      <w:divBdr>
        <w:top w:val="none" w:sz="0" w:space="0" w:color="auto"/>
        <w:left w:val="none" w:sz="0" w:space="0" w:color="auto"/>
        <w:bottom w:val="none" w:sz="0" w:space="0" w:color="auto"/>
        <w:right w:val="none" w:sz="0" w:space="0" w:color="auto"/>
      </w:divBdr>
    </w:div>
    <w:div w:id="629163518">
      <w:bodyDiv w:val="1"/>
      <w:marLeft w:val="0"/>
      <w:marRight w:val="0"/>
      <w:marTop w:val="0"/>
      <w:marBottom w:val="0"/>
      <w:divBdr>
        <w:top w:val="none" w:sz="0" w:space="0" w:color="auto"/>
        <w:left w:val="none" w:sz="0" w:space="0" w:color="auto"/>
        <w:bottom w:val="none" w:sz="0" w:space="0" w:color="auto"/>
        <w:right w:val="none" w:sz="0" w:space="0" w:color="auto"/>
      </w:divBdr>
    </w:div>
    <w:div w:id="817111237">
      <w:bodyDiv w:val="1"/>
      <w:marLeft w:val="0"/>
      <w:marRight w:val="0"/>
      <w:marTop w:val="0"/>
      <w:marBottom w:val="0"/>
      <w:divBdr>
        <w:top w:val="none" w:sz="0" w:space="0" w:color="auto"/>
        <w:left w:val="none" w:sz="0" w:space="0" w:color="auto"/>
        <w:bottom w:val="none" w:sz="0" w:space="0" w:color="auto"/>
        <w:right w:val="none" w:sz="0" w:space="0" w:color="auto"/>
      </w:divBdr>
    </w:div>
    <w:div w:id="998342003">
      <w:bodyDiv w:val="1"/>
      <w:marLeft w:val="0"/>
      <w:marRight w:val="0"/>
      <w:marTop w:val="0"/>
      <w:marBottom w:val="0"/>
      <w:divBdr>
        <w:top w:val="none" w:sz="0" w:space="0" w:color="auto"/>
        <w:left w:val="none" w:sz="0" w:space="0" w:color="auto"/>
        <w:bottom w:val="none" w:sz="0" w:space="0" w:color="auto"/>
        <w:right w:val="none" w:sz="0" w:space="0" w:color="auto"/>
      </w:divBdr>
    </w:div>
    <w:div w:id="1148404454">
      <w:bodyDiv w:val="1"/>
      <w:marLeft w:val="0"/>
      <w:marRight w:val="0"/>
      <w:marTop w:val="0"/>
      <w:marBottom w:val="0"/>
      <w:divBdr>
        <w:top w:val="none" w:sz="0" w:space="0" w:color="auto"/>
        <w:left w:val="none" w:sz="0" w:space="0" w:color="auto"/>
        <w:bottom w:val="none" w:sz="0" w:space="0" w:color="auto"/>
        <w:right w:val="none" w:sz="0" w:space="0" w:color="auto"/>
      </w:divBdr>
    </w:div>
    <w:div w:id="1237326788">
      <w:bodyDiv w:val="1"/>
      <w:marLeft w:val="0"/>
      <w:marRight w:val="0"/>
      <w:marTop w:val="0"/>
      <w:marBottom w:val="0"/>
      <w:divBdr>
        <w:top w:val="none" w:sz="0" w:space="0" w:color="auto"/>
        <w:left w:val="none" w:sz="0" w:space="0" w:color="auto"/>
        <w:bottom w:val="none" w:sz="0" w:space="0" w:color="auto"/>
        <w:right w:val="none" w:sz="0" w:space="0" w:color="auto"/>
      </w:divBdr>
    </w:div>
    <w:div w:id="1272782255">
      <w:bodyDiv w:val="1"/>
      <w:marLeft w:val="0"/>
      <w:marRight w:val="0"/>
      <w:marTop w:val="0"/>
      <w:marBottom w:val="0"/>
      <w:divBdr>
        <w:top w:val="none" w:sz="0" w:space="0" w:color="auto"/>
        <w:left w:val="none" w:sz="0" w:space="0" w:color="auto"/>
        <w:bottom w:val="none" w:sz="0" w:space="0" w:color="auto"/>
        <w:right w:val="none" w:sz="0" w:space="0" w:color="auto"/>
      </w:divBdr>
      <w:divsChild>
        <w:div w:id="535626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107266">
      <w:bodyDiv w:val="1"/>
      <w:marLeft w:val="0"/>
      <w:marRight w:val="0"/>
      <w:marTop w:val="0"/>
      <w:marBottom w:val="0"/>
      <w:divBdr>
        <w:top w:val="none" w:sz="0" w:space="0" w:color="auto"/>
        <w:left w:val="none" w:sz="0" w:space="0" w:color="auto"/>
        <w:bottom w:val="none" w:sz="0" w:space="0" w:color="auto"/>
        <w:right w:val="none" w:sz="0" w:space="0" w:color="auto"/>
      </w:divBdr>
    </w:div>
    <w:div w:id="1570649493">
      <w:bodyDiv w:val="1"/>
      <w:marLeft w:val="0"/>
      <w:marRight w:val="0"/>
      <w:marTop w:val="0"/>
      <w:marBottom w:val="0"/>
      <w:divBdr>
        <w:top w:val="none" w:sz="0" w:space="0" w:color="auto"/>
        <w:left w:val="none" w:sz="0" w:space="0" w:color="auto"/>
        <w:bottom w:val="none" w:sz="0" w:space="0" w:color="auto"/>
        <w:right w:val="none" w:sz="0" w:space="0" w:color="auto"/>
      </w:divBdr>
    </w:div>
    <w:div w:id="1599943127">
      <w:bodyDiv w:val="1"/>
      <w:marLeft w:val="0"/>
      <w:marRight w:val="0"/>
      <w:marTop w:val="0"/>
      <w:marBottom w:val="0"/>
      <w:divBdr>
        <w:top w:val="none" w:sz="0" w:space="0" w:color="auto"/>
        <w:left w:val="none" w:sz="0" w:space="0" w:color="auto"/>
        <w:bottom w:val="none" w:sz="0" w:space="0" w:color="auto"/>
        <w:right w:val="none" w:sz="0" w:space="0" w:color="auto"/>
      </w:divBdr>
    </w:div>
    <w:div w:id="1711998703">
      <w:bodyDiv w:val="1"/>
      <w:marLeft w:val="0"/>
      <w:marRight w:val="0"/>
      <w:marTop w:val="0"/>
      <w:marBottom w:val="0"/>
      <w:divBdr>
        <w:top w:val="none" w:sz="0" w:space="0" w:color="auto"/>
        <w:left w:val="none" w:sz="0" w:space="0" w:color="auto"/>
        <w:bottom w:val="none" w:sz="0" w:space="0" w:color="auto"/>
        <w:right w:val="none" w:sz="0" w:space="0" w:color="auto"/>
      </w:divBdr>
    </w:div>
    <w:div w:id="1778871855">
      <w:bodyDiv w:val="1"/>
      <w:marLeft w:val="0"/>
      <w:marRight w:val="0"/>
      <w:marTop w:val="0"/>
      <w:marBottom w:val="0"/>
      <w:divBdr>
        <w:top w:val="none" w:sz="0" w:space="0" w:color="auto"/>
        <w:left w:val="none" w:sz="0" w:space="0" w:color="auto"/>
        <w:bottom w:val="none" w:sz="0" w:space="0" w:color="auto"/>
        <w:right w:val="none" w:sz="0" w:space="0" w:color="auto"/>
      </w:divBdr>
    </w:div>
    <w:div w:id="1905680398">
      <w:bodyDiv w:val="1"/>
      <w:marLeft w:val="0"/>
      <w:marRight w:val="0"/>
      <w:marTop w:val="0"/>
      <w:marBottom w:val="0"/>
      <w:divBdr>
        <w:top w:val="none" w:sz="0" w:space="0" w:color="auto"/>
        <w:left w:val="none" w:sz="0" w:space="0" w:color="auto"/>
        <w:bottom w:val="none" w:sz="0" w:space="0" w:color="auto"/>
        <w:right w:val="none" w:sz="0" w:space="0" w:color="auto"/>
      </w:divBdr>
    </w:div>
    <w:div w:id="21287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jpg@01D8B15C.07544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9">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46C3CDD-14C1-4A5D-A31B-6B7F69E65AA2}">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AABE4-9BCD-492E-9D74-088FE93E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4825</Words>
  <Characters>27503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Selwyn Hockey</dc:creator>
  <cp:keywords/>
  <dc:description/>
  <cp:lastModifiedBy>Pauline Schmidt</cp:lastModifiedBy>
  <cp:revision>5</cp:revision>
  <cp:lastPrinted>2022-10-13T07:36:00Z</cp:lastPrinted>
  <dcterms:created xsi:type="dcterms:W3CDTF">2022-10-12T13:52:00Z</dcterms:created>
  <dcterms:modified xsi:type="dcterms:W3CDTF">2022-10-13T13:31:00Z</dcterms:modified>
</cp:coreProperties>
</file>