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1269" w:rsidRDefault="007E586A" w:rsidP="00EE1269">
      <w:pPr>
        <w:pStyle w:val="ListParagraph"/>
        <w:spacing w:line="360" w:lineRule="auto"/>
        <w:ind w:left="0"/>
        <w:jc w:val="center"/>
        <w:rPr>
          <w:b/>
          <w:bCs/>
          <w:sz w:val="26"/>
          <w:szCs w:val="26"/>
        </w:rPr>
      </w:pPr>
      <w:r>
        <w:rPr>
          <w:noProof/>
          <w:lang w:val="en-US" w:eastAsia="en-US"/>
        </w:rPr>
        <w:drawing>
          <wp:inline distT="0" distB="0" distL="0" distR="0" wp14:anchorId="77445845" wp14:editId="13FB53C4">
            <wp:extent cx="1094105" cy="1094105"/>
            <wp:effectExtent l="0" t="0" r="0" b="0"/>
            <wp:docPr id="635524925"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5524925" name="Picture 1" descr="A picture containing 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094105" cy="1094105"/>
                    </a:xfrm>
                    <a:prstGeom prst="rect">
                      <a:avLst/>
                    </a:prstGeom>
                  </pic:spPr>
                </pic:pic>
              </a:graphicData>
            </a:graphic>
          </wp:inline>
        </w:drawing>
      </w:r>
    </w:p>
    <w:p w:rsidR="00EE1269" w:rsidRPr="00823A29" w:rsidRDefault="00EE1269" w:rsidP="00EE1269">
      <w:pPr>
        <w:spacing w:line="360" w:lineRule="auto"/>
        <w:ind w:left="545"/>
        <w:jc w:val="center"/>
        <w:rPr>
          <w:b/>
          <w:sz w:val="26"/>
          <w:szCs w:val="26"/>
        </w:rPr>
      </w:pPr>
      <w:r w:rsidRPr="00823A29">
        <w:rPr>
          <w:b/>
          <w:sz w:val="26"/>
          <w:szCs w:val="26"/>
        </w:rPr>
        <w:t>IN THE HIGH COURT OF SOUTH AFRICA</w:t>
      </w:r>
    </w:p>
    <w:p w:rsidR="00EE1269" w:rsidRPr="00823A29" w:rsidRDefault="00EE1269" w:rsidP="00EE1269">
      <w:pPr>
        <w:tabs>
          <w:tab w:val="left" w:pos="2694"/>
        </w:tabs>
        <w:spacing w:line="360" w:lineRule="auto"/>
        <w:ind w:firstLine="545"/>
        <w:jc w:val="center"/>
        <w:rPr>
          <w:b/>
          <w:sz w:val="26"/>
          <w:szCs w:val="26"/>
        </w:rPr>
      </w:pPr>
      <w:r w:rsidRPr="00823A29">
        <w:rPr>
          <w:b/>
          <w:sz w:val="26"/>
          <w:szCs w:val="26"/>
        </w:rPr>
        <w:t>(WESTERN CAPE DIVISION, CAPE TOWN)</w:t>
      </w:r>
    </w:p>
    <w:p w:rsidR="00EE1269" w:rsidRPr="00823A29" w:rsidRDefault="00EE1269" w:rsidP="00EE1269">
      <w:pPr>
        <w:tabs>
          <w:tab w:val="left" w:pos="2694"/>
        </w:tabs>
        <w:spacing w:line="360" w:lineRule="auto"/>
        <w:ind w:firstLine="545"/>
        <w:jc w:val="center"/>
        <w:rPr>
          <w:b/>
          <w:sz w:val="26"/>
          <w:szCs w:val="26"/>
        </w:rPr>
      </w:pPr>
    </w:p>
    <w:p w:rsidR="00EE1269" w:rsidRDefault="00EE1269" w:rsidP="00EE1269">
      <w:pPr>
        <w:tabs>
          <w:tab w:val="left" w:pos="2694"/>
        </w:tabs>
        <w:ind w:firstLine="545"/>
        <w:jc w:val="right"/>
        <w:rPr>
          <w:b/>
          <w:sz w:val="26"/>
          <w:szCs w:val="26"/>
        </w:rPr>
      </w:pPr>
      <w:r w:rsidRPr="00823A29">
        <w:rPr>
          <w:b/>
          <w:sz w:val="26"/>
          <w:szCs w:val="26"/>
        </w:rPr>
        <w:t>Case No: A74/2021</w:t>
      </w:r>
    </w:p>
    <w:p w:rsidR="00BB0FED" w:rsidRDefault="00BB0FED" w:rsidP="00EE1269">
      <w:pPr>
        <w:tabs>
          <w:tab w:val="left" w:pos="2694"/>
        </w:tabs>
        <w:ind w:firstLine="545"/>
        <w:jc w:val="right"/>
        <w:rPr>
          <w:b/>
          <w:sz w:val="26"/>
          <w:szCs w:val="26"/>
        </w:rPr>
      </w:pPr>
    </w:p>
    <w:p w:rsidR="00BB0FED" w:rsidRDefault="00BB0FED" w:rsidP="002F10BA">
      <w:pPr>
        <w:tabs>
          <w:tab w:val="left" w:pos="2694"/>
        </w:tabs>
        <w:ind w:firstLine="545"/>
        <w:jc w:val="center"/>
        <w:rPr>
          <w:b/>
          <w:sz w:val="26"/>
          <w:szCs w:val="26"/>
        </w:rPr>
      </w:pPr>
      <w:r>
        <w:rPr>
          <w:b/>
          <w:sz w:val="26"/>
          <w:szCs w:val="26"/>
        </w:rPr>
        <w:t>Before: The Hon. Mr Justice Binns-Ward</w:t>
      </w:r>
    </w:p>
    <w:p w:rsidR="00BB0FED" w:rsidRDefault="00BB0FED" w:rsidP="002F10BA">
      <w:pPr>
        <w:tabs>
          <w:tab w:val="left" w:pos="2694"/>
        </w:tabs>
        <w:ind w:firstLine="545"/>
        <w:jc w:val="center"/>
        <w:rPr>
          <w:b/>
          <w:sz w:val="26"/>
          <w:szCs w:val="26"/>
        </w:rPr>
      </w:pPr>
      <w:r>
        <w:rPr>
          <w:b/>
          <w:sz w:val="26"/>
          <w:szCs w:val="26"/>
        </w:rPr>
        <w:t>The Hon. Mr Justice Sher</w:t>
      </w:r>
    </w:p>
    <w:p w:rsidR="00BB0FED" w:rsidRDefault="00BB0FED" w:rsidP="002F10BA">
      <w:pPr>
        <w:tabs>
          <w:tab w:val="left" w:pos="2694"/>
        </w:tabs>
        <w:ind w:firstLine="545"/>
        <w:jc w:val="center"/>
        <w:rPr>
          <w:b/>
          <w:sz w:val="26"/>
          <w:szCs w:val="26"/>
        </w:rPr>
      </w:pPr>
      <w:r>
        <w:rPr>
          <w:b/>
          <w:sz w:val="26"/>
          <w:szCs w:val="26"/>
        </w:rPr>
        <w:t>The Hon. Ms Justice Mangcu-Lockwood</w:t>
      </w:r>
    </w:p>
    <w:p w:rsidR="00BB0FED" w:rsidRPr="00823A29" w:rsidRDefault="00BB0FED" w:rsidP="002F10BA">
      <w:pPr>
        <w:tabs>
          <w:tab w:val="left" w:pos="2694"/>
        </w:tabs>
        <w:ind w:firstLine="545"/>
        <w:jc w:val="center"/>
        <w:rPr>
          <w:b/>
          <w:sz w:val="26"/>
          <w:szCs w:val="26"/>
        </w:rPr>
      </w:pPr>
    </w:p>
    <w:p w:rsidR="00EE1269" w:rsidRPr="00823A29" w:rsidRDefault="00EE1269" w:rsidP="00EE1269">
      <w:pPr>
        <w:spacing w:line="360" w:lineRule="auto"/>
        <w:rPr>
          <w:sz w:val="26"/>
          <w:szCs w:val="26"/>
        </w:rPr>
      </w:pPr>
      <w:r w:rsidRPr="00823A29">
        <w:rPr>
          <w:sz w:val="26"/>
          <w:szCs w:val="26"/>
        </w:rPr>
        <w:t>In the matter between:</w:t>
      </w:r>
    </w:p>
    <w:p w:rsidR="00EE1269" w:rsidRPr="00823A29" w:rsidRDefault="00EE1269" w:rsidP="007E586A">
      <w:pPr>
        <w:spacing w:line="276" w:lineRule="auto"/>
        <w:rPr>
          <w:b/>
          <w:sz w:val="26"/>
          <w:szCs w:val="26"/>
        </w:rPr>
      </w:pPr>
    </w:p>
    <w:p w:rsidR="00EE1269" w:rsidRPr="00823A29" w:rsidRDefault="00EE1269" w:rsidP="007E586A">
      <w:pPr>
        <w:spacing w:line="276" w:lineRule="auto"/>
        <w:rPr>
          <w:b/>
          <w:sz w:val="26"/>
          <w:szCs w:val="26"/>
        </w:rPr>
      </w:pPr>
      <w:r w:rsidRPr="00823A29">
        <w:rPr>
          <w:b/>
          <w:sz w:val="26"/>
          <w:szCs w:val="26"/>
        </w:rPr>
        <w:t xml:space="preserve">THE COMMISSIONER </w:t>
      </w:r>
      <w:r w:rsidR="001950A8">
        <w:rPr>
          <w:b/>
          <w:sz w:val="26"/>
          <w:szCs w:val="26"/>
        </w:rPr>
        <w:t>FO</w:t>
      </w:r>
      <w:r w:rsidRPr="00823A29">
        <w:rPr>
          <w:b/>
          <w:sz w:val="26"/>
          <w:szCs w:val="26"/>
        </w:rPr>
        <w:t>R THE SOUTH AFRICAN</w:t>
      </w:r>
    </w:p>
    <w:p w:rsidR="00EE1269" w:rsidRPr="00823A29" w:rsidRDefault="00EE1269" w:rsidP="007E586A">
      <w:pPr>
        <w:spacing w:line="276" w:lineRule="auto"/>
        <w:ind w:left="-142" w:firstLine="142"/>
        <w:jc w:val="right"/>
        <w:rPr>
          <w:sz w:val="26"/>
          <w:szCs w:val="26"/>
        </w:rPr>
      </w:pPr>
      <w:r w:rsidRPr="00823A29">
        <w:rPr>
          <w:b/>
          <w:sz w:val="26"/>
          <w:szCs w:val="26"/>
        </w:rPr>
        <w:t>REVENUE SERVICE</w:t>
      </w:r>
      <w:r w:rsidRPr="00823A29">
        <w:rPr>
          <w:b/>
          <w:sz w:val="26"/>
          <w:szCs w:val="26"/>
        </w:rPr>
        <w:tab/>
        <w:t xml:space="preserve"> </w:t>
      </w:r>
      <w:r w:rsidRPr="00823A29">
        <w:rPr>
          <w:sz w:val="26"/>
          <w:szCs w:val="26"/>
        </w:rPr>
        <w:tab/>
      </w:r>
      <w:r w:rsidRPr="00823A29">
        <w:rPr>
          <w:sz w:val="26"/>
          <w:szCs w:val="26"/>
        </w:rPr>
        <w:tab/>
      </w:r>
      <w:r w:rsidRPr="00823A29">
        <w:rPr>
          <w:sz w:val="26"/>
          <w:szCs w:val="26"/>
        </w:rPr>
        <w:tab/>
        <w:t xml:space="preserve">  </w:t>
      </w:r>
      <w:r w:rsidRPr="00823A29">
        <w:rPr>
          <w:sz w:val="26"/>
          <w:szCs w:val="26"/>
        </w:rPr>
        <w:tab/>
      </w:r>
      <w:r w:rsidRPr="00823A29">
        <w:rPr>
          <w:sz w:val="26"/>
          <w:szCs w:val="26"/>
        </w:rPr>
        <w:tab/>
      </w:r>
      <w:r w:rsidRPr="00823A29">
        <w:rPr>
          <w:sz w:val="26"/>
          <w:szCs w:val="26"/>
        </w:rPr>
        <w:tab/>
      </w:r>
      <w:r w:rsidRPr="00823A29">
        <w:rPr>
          <w:sz w:val="26"/>
          <w:szCs w:val="26"/>
        </w:rPr>
        <w:tab/>
        <w:t xml:space="preserve">Applicant in the Rule 30 application/Respondent </w:t>
      </w:r>
    </w:p>
    <w:p w:rsidR="00EE1269" w:rsidRPr="00823A29" w:rsidRDefault="00EE1269" w:rsidP="00EE1269">
      <w:pPr>
        <w:spacing w:line="276" w:lineRule="auto"/>
        <w:jc w:val="right"/>
        <w:rPr>
          <w:sz w:val="26"/>
          <w:szCs w:val="26"/>
        </w:rPr>
      </w:pPr>
      <w:r w:rsidRPr="00823A29">
        <w:rPr>
          <w:sz w:val="26"/>
          <w:szCs w:val="26"/>
        </w:rPr>
        <w:t>in the condonation application</w:t>
      </w:r>
    </w:p>
    <w:p w:rsidR="00EE1269" w:rsidRPr="00823A29" w:rsidRDefault="00EE1269" w:rsidP="007E586A">
      <w:pPr>
        <w:spacing w:line="276" w:lineRule="auto"/>
        <w:rPr>
          <w:sz w:val="26"/>
          <w:szCs w:val="26"/>
        </w:rPr>
      </w:pPr>
    </w:p>
    <w:p w:rsidR="00EE1269" w:rsidRPr="00823A29" w:rsidRDefault="00EE1269" w:rsidP="007E586A">
      <w:pPr>
        <w:spacing w:line="276" w:lineRule="auto"/>
        <w:rPr>
          <w:sz w:val="26"/>
          <w:szCs w:val="26"/>
        </w:rPr>
      </w:pPr>
      <w:r w:rsidRPr="00823A29">
        <w:rPr>
          <w:sz w:val="26"/>
          <w:szCs w:val="26"/>
        </w:rPr>
        <w:t>and</w:t>
      </w:r>
    </w:p>
    <w:p w:rsidR="00EE1269" w:rsidRPr="00823A29" w:rsidRDefault="00EE1269" w:rsidP="007E586A">
      <w:pPr>
        <w:spacing w:line="276" w:lineRule="auto"/>
        <w:rPr>
          <w:sz w:val="26"/>
          <w:szCs w:val="26"/>
        </w:rPr>
      </w:pPr>
    </w:p>
    <w:p w:rsidR="00EE1269" w:rsidRPr="00823A29" w:rsidRDefault="00EE1269" w:rsidP="007E586A">
      <w:pPr>
        <w:spacing w:line="276" w:lineRule="auto"/>
        <w:rPr>
          <w:b/>
          <w:sz w:val="26"/>
          <w:szCs w:val="26"/>
        </w:rPr>
      </w:pPr>
      <w:r w:rsidRPr="00823A29">
        <w:rPr>
          <w:b/>
          <w:sz w:val="26"/>
          <w:szCs w:val="26"/>
        </w:rPr>
        <w:t>CANDICE – JEAN POULTER (NÈE VAN DER</w:t>
      </w:r>
    </w:p>
    <w:p w:rsidR="00EE1269" w:rsidRPr="00823A29" w:rsidRDefault="00EE1269" w:rsidP="007E586A">
      <w:pPr>
        <w:spacing w:line="276" w:lineRule="auto"/>
        <w:jc w:val="right"/>
        <w:rPr>
          <w:sz w:val="26"/>
          <w:szCs w:val="26"/>
        </w:rPr>
      </w:pPr>
      <w:r w:rsidRPr="00823A29">
        <w:rPr>
          <w:b/>
          <w:sz w:val="26"/>
          <w:szCs w:val="26"/>
        </w:rPr>
        <w:t>MERWE</w:t>
      </w:r>
      <w:r w:rsidR="00823A29" w:rsidRPr="00823A29">
        <w:rPr>
          <w:b/>
          <w:sz w:val="26"/>
          <w:szCs w:val="26"/>
        </w:rPr>
        <w:t>)</w:t>
      </w:r>
      <w:r w:rsidRPr="00823A29">
        <w:rPr>
          <w:b/>
          <w:sz w:val="26"/>
          <w:szCs w:val="26"/>
        </w:rPr>
        <w:tab/>
      </w:r>
      <w:r w:rsidRPr="00823A29">
        <w:rPr>
          <w:b/>
          <w:sz w:val="26"/>
          <w:szCs w:val="26"/>
        </w:rPr>
        <w:tab/>
      </w:r>
      <w:r w:rsidRPr="00823A29">
        <w:rPr>
          <w:b/>
          <w:sz w:val="26"/>
          <w:szCs w:val="26"/>
        </w:rPr>
        <w:tab/>
      </w:r>
      <w:r w:rsidRPr="00823A29">
        <w:rPr>
          <w:b/>
          <w:sz w:val="26"/>
          <w:szCs w:val="26"/>
        </w:rPr>
        <w:tab/>
      </w:r>
      <w:r w:rsidRPr="00823A29">
        <w:rPr>
          <w:b/>
          <w:sz w:val="26"/>
          <w:szCs w:val="26"/>
        </w:rPr>
        <w:tab/>
      </w:r>
      <w:r w:rsidRPr="00823A29">
        <w:rPr>
          <w:b/>
          <w:sz w:val="26"/>
          <w:szCs w:val="26"/>
        </w:rPr>
        <w:tab/>
      </w:r>
      <w:r w:rsidRPr="00823A29">
        <w:rPr>
          <w:b/>
          <w:sz w:val="26"/>
          <w:szCs w:val="26"/>
        </w:rPr>
        <w:tab/>
      </w:r>
      <w:r w:rsidRPr="00823A29">
        <w:rPr>
          <w:sz w:val="26"/>
          <w:szCs w:val="26"/>
        </w:rPr>
        <w:tab/>
      </w:r>
      <w:r w:rsidRPr="00823A29">
        <w:rPr>
          <w:sz w:val="26"/>
          <w:szCs w:val="26"/>
        </w:rPr>
        <w:tab/>
        <w:t xml:space="preserve">        Respondent in the Rule 30 application/Applicant </w:t>
      </w:r>
    </w:p>
    <w:p w:rsidR="00EE1269" w:rsidRPr="00823A29" w:rsidRDefault="00EE1269" w:rsidP="007E586A">
      <w:pPr>
        <w:spacing w:line="276" w:lineRule="auto"/>
        <w:jc w:val="right"/>
        <w:rPr>
          <w:sz w:val="26"/>
          <w:szCs w:val="26"/>
        </w:rPr>
      </w:pPr>
      <w:r w:rsidRPr="00823A29">
        <w:rPr>
          <w:sz w:val="26"/>
          <w:szCs w:val="26"/>
        </w:rPr>
        <w:t>in the condonation application</w:t>
      </w:r>
    </w:p>
    <w:p w:rsidR="00823A29" w:rsidRPr="00823A29" w:rsidRDefault="00823A29" w:rsidP="007E586A">
      <w:pPr>
        <w:spacing w:line="276" w:lineRule="auto"/>
        <w:rPr>
          <w:b/>
          <w:i/>
          <w:sz w:val="26"/>
          <w:szCs w:val="26"/>
        </w:rPr>
      </w:pPr>
      <w:r w:rsidRPr="00823A29">
        <w:rPr>
          <w:b/>
          <w:i/>
          <w:sz w:val="26"/>
          <w:szCs w:val="26"/>
        </w:rPr>
        <w:t>In re:</w:t>
      </w:r>
    </w:p>
    <w:p w:rsidR="00823A29" w:rsidRPr="00823A29" w:rsidRDefault="00823A29" w:rsidP="007E586A">
      <w:pPr>
        <w:spacing w:line="276" w:lineRule="auto"/>
        <w:rPr>
          <w:sz w:val="26"/>
          <w:szCs w:val="26"/>
        </w:rPr>
      </w:pPr>
    </w:p>
    <w:p w:rsidR="00823A29" w:rsidRPr="00823A29" w:rsidRDefault="00823A29" w:rsidP="007E586A">
      <w:pPr>
        <w:spacing w:line="276" w:lineRule="auto"/>
        <w:rPr>
          <w:sz w:val="26"/>
          <w:szCs w:val="26"/>
        </w:rPr>
      </w:pPr>
      <w:r w:rsidRPr="00823A29">
        <w:rPr>
          <w:sz w:val="26"/>
          <w:szCs w:val="26"/>
        </w:rPr>
        <w:t>In the ma</w:t>
      </w:r>
      <w:r w:rsidR="006E7E5B">
        <w:rPr>
          <w:sz w:val="26"/>
          <w:szCs w:val="26"/>
        </w:rPr>
        <w:t>t</w:t>
      </w:r>
      <w:r w:rsidRPr="00823A29">
        <w:rPr>
          <w:sz w:val="26"/>
          <w:szCs w:val="26"/>
        </w:rPr>
        <w:t>ter between:</w:t>
      </w:r>
    </w:p>
    <w:p w:rsidR="00823A29" w:rsidRPr="00823A29" w:rsidRDefault="00823A29" w:rsidP="007E586A">
      <w:pPr>
        <w:spacing w:line="276" w:lineRule="auto"/>
        <w:rPr>
          <w:sz w:val="26"/>
          <w:szCs w:val="26"/>
        </w:rPr>
      </w:pPr>
    </w:p>
    <w:p w:rsidR="00823A29" w:rsidRPr="00823A29" w:rsidRDefault="00823A29" w:rsidP="007E586A">
      <w:pPr>
        <w:spacing w:line="276" w:lineRule="auto"/>
        <w:rPr>
          <w:b/>
          <w:sz w:val="26"/>
          <w:szCs w:val="26"/>
        </w:rPr>
      </w:pPr>
      <w:r w:rsidRPr="00823A29">
        <w:rPr>
          <w:b/>
          <w:sz w:val="26"/>
          <w:szCs w:val="26"/>
        </w:rPr>
        <w:t>CANDICE-JEAN POULTER (NÈE VAN DER</w:t>
      </w:r>
    </w:p>
    <w:p w:rsidR="00823A29" w:rsidRPr="00823A29" w:rsidRDefault="00823A29" w:rsidP="007E586A">
      <w:pPr>
        <w:spacing w:line="276" w:lineRule="auto"/>
        <w:rPr>
          <w:sz w:val="26"/>
          <w:szCs w:val="26"/>
        </w:rPr>
      </w:pPr>
      <w:r w:rsidRPr="00823A29">
        <w:rPr>
          <w:b/>
          <w:sz w:val="26"/>
          <w:szCs w:val="26"/>
        </w:rPr>
        <w:t>MERWE)</w:t>
      </w:r>
      <w:r w:rsidRPr="00823A29">
        <w:rPr>
          <w:b/>
          <w:sz w:val="26"/>
          <w:szCs w:val="26"/>
        </w:rPr>
        <w:tab/>
      </w:r>
      <w:r w:rsidRPr="00823A29">
        <w:rPr>
          <w:b/>
          <w:sz w:val="26"/>
          <w:szCs w:val="26"/>
        </w:rPr>
        <w:tab/>
      </w:r>
      <w:r w:rsidRPr="00823A29">
        <w:rPr>
          <w:b/>
          <w:sz w:val="26"/>
          <w:szCs w:val="26"/>
        </w:rPr>
        <w:tab/>
      </w:r>
      <w:r w:rsidRPr="00823A29">
        <w:rPr>
          <w:b/>
          <w:sz w:val="26"/>
          <w:szCs w:val="26"/>
        </w:rPr>
        <w:tab/>
      </w:r>
      <w:r w:rsidRPr="00823A29">
        <w:rPr>
          <w:b/>
          <w:sz w:val="26"/>
          <w:szCs w:val="26"/>
        </w:rPr>
        <w:tab/>
      </w:r>
      <w:r w:rsidRPr="00823A29">
        <w:rPr>
          <w:b/>
          <w:sz w:val="26"/>
          <w:szCs w:val="26"/>
        </w:rPr>
        <w:tab/>
      </w:r>
      <w:r w:rsidRPr="00823A29">
        <w:rPr>
          <w:b/>
          <w:sz w:val="26"/>
          <w:szCs w:val="26"/>
        </w:rPr>
        <w:tab/>
      </w:r>
      <w:r w:rsidRPr="00823A29">
        <w:rPr>
          <w:b/>
          <w:sz w:val="26"/>
          <w:szCs w:val="26"/>
        </w:rPr>
        <w:tab/>
      </w:r>
      <w:r w:rsidRPr="00823A29">
        <w:rPr>
          <w:b/>
          <w:sz w:val="26"/>
          <w:szCs w:val="26"/>
        </w:rPr>
        <w:tab/>
      </w:r>
      <w:r w:rsidRPr="00823A29">
        <w:rPr>
          <w:b/>
          <w:sz w:val="26"/>
          <w:szCs w:val="26"/>
        </w:rPr>
        <w:tab/>
      </w:r>
      <w:r w:rsidRPr="00823A29">
        <w:rPr>
          <w:sz w:val="26"/>
          <w:szCs w:val="26"/>
        </w:rPr>
        <w:t>Appellant</w:t>
      </w:r>
    </w:p>
    <w:p w:rsidR="00823A29" w:rsidRPr="00823A29" w:rsidRDefault="00823A29" w:rsidP="007E586A">
      <w:pPr>
        <w:spacing w:line="276" w:lineRule="auto"/>
        <w:rPr>
          <w:sz w:val="26"/>
          <w:szCs w:val="26"/>
        </w:rPr>
      </w:pPr>
    </w:p>
    <w:p w:rsidR="00823A29" w:rsidRPr="00823A29" w:rsidRDefault="00823A29" w:rsidP="007E586A">
      <w:pPr>
        <w:spacing w:line="276" w:lineRule="auto"/>
        <w:rPr>
          <w:sz w:val="26"/>
          <w:szCs w:val="26"/>
        </w:rPr>
      </w:pPr>
      <w:r w:rsidRPr="00823A29">
        <w:rPr>
          <w:sz w:val="26"/>
          <w:szCs w:val="26"/>
        </w:rPr>
        <w:t>and</w:t>
      </w:r>
    </w:p>
    <w:p w:rsidR="00823A29" w:rsidRPr="00823A29" w:rsidRDefault="00823A29" w:rsidP="007E586A">
      <w:pPr>
        <w:spacing w:line="276" w:lineRule="auto"/>
        <w:rPr>
          <w:sz w:val="26"/>
          <w:szCs w:val="26"/>
        </w:rPr>
      </w:pPr>
    </w:p>
    <w:p w:rsidR="00823A29" w:rsidRPr="00823A29" w:rsidRDefault="001950A8" w:rsidP="007E586A">
      <w:pPr>
        <w:spacing w:line="276" w:lineRule="auto"/>
        <w:rPr>
          <w:b/>
          <w:sz w:val="26"/>
          <w:szCs w:val="26"/>
        </w:rPr>
      </w:pPr>
      <w:r>
        <w:rPr>
          <w:b/>
          <w:sz w:val="26"/>
          <w:szCs w:val="26"/>
        </w:rPr>
        <w:t>THE COMMISSIONER FO</w:t>
      </w:r>
      <w:r w:rsidR="00823A29" w:rsidRPr="00823A29">
        <w:rPr>
          <w:b/>
          <w:sz w:val="26"/>
          <w:szCs w:val="26"/>
        </w:rPr>
        <w:t>R THE SOUTH AFRICAN</w:t>
      </w:r>
    </w:p>
    <w:p w:rsidR="00BB0FED" w:rsidRDefault="00823A29" w:rsidP="007E586A">
      <w:pPr>
        <w:spacing w:line="276" w:lineRule="auto"/>
        <w:rPr>
          <w:sz w:val="26"/>
          <w:szCs w:val="26"/>
        </w:rPr>
      </w:pPr>
      <w:r w:rsidRPr="00823A29">
        <w:rPr>
          <w:b/>
          <w:sz w:val="26"/>
          <w:szCs w:val="26"/>
        </w:rPr>
        <w:t>REVENUE SERVICE</w:t>
      </w:r>
      <w:r w:rsidRPr="00823A29">
        <w:rPr>
          <w:b/>
          <w:sz w:val="26"/>
          <w:szCs w:val="26"/>
        </w:rPr>
        <w:tab/>
      </w:r>
      <w:r w:rsidRPr="00823A29">
        <w:rPr>
          <w:b/>
          <w:sz w:val="26"/>
          <w:szCs w:val="26"/>
        </w:rPr>
        <w:tab/>
      </w:r>
      <w:r w:rsidRPr="00823A29">
        <w:rPr>
          <w:b/>
          <w:sz w:val="26"/>
          <w:szCs w:val="26"/>
        </w:rPr>
        <w:tab/>
      </w:r>
      <w:r w:rsidRPr="00823A29">
        <w:rPr>
          <w:b/>
          <w:sz w:val="26"/>
          <w:szCs w:val="26"/>
        </w:rPr>
        <w:tab/>
      </w:r>
      <w:r w:rsidRPr="00823A29">
        <w:rPr>
          <w:b/>
          <w:sz w:val="26"/>
          <w:szCs w:val="26"/>
        </w:rPr>
        <w:tab/>
      </w:r>
      <w:r w:rsidRPr="00823A29">
        <w:rPr>
          <w:b/>
          <w:sz w:val="26"/>
          <w:szCs w:val="26"/>
        </w:rPr>
        <w:tab/>
      </w:r>
      <w:r w:rsidRPr="00823A29">
        <w:rPr>
          <w:b/>
          <w:sz w:val="26"/>
          <w:szCs w:val="26"/>
        </w:rPr>
        <w:tab/>
        <w:t xml:space="preserve">        </w:t>
      </w:r>
      <w:r w:rsidRPr="00823A29">
        <w:rPr>
          <w:sz w:val="26"/>
          <w:szCs w:val="26"/>
        </w:rPr>
        <w:t>Respondent</w:t>
      </w:r>
    </w:p>
    <w:p w:rsidR="00BB0FED" w:rsidRDefault="00BB0FED">
      <w:pPr>
        <w:rPr>
          <w:sz w:val="26"/>
          <w:szCs w:val="26"/>
        </w:rPr>
      </w:pPr>
    </w:p>
    <w:p w:rsidR="00823A29" w:rsidRPr="00823A29" w:rsidRDefault="00823A29" w:rsidP="00823A29">
      <w:pPr>
        <w:spacing w:line="276" w:lineRule="auto"/>
        <w:rPr>
          <w:b/>
          <w:sz w:val="26"/>
          <w:szCs w:val="26"/>
        </w:rPr>
      </w:pPr>
    </w:p>
    <w:p w:rsidR="00EE1269" w:rsidRPr="006747FD" w:rsidRDefault="00EE1269" w:rsidP="00823A29">
      <w:pPr>
        <w:spacing w:line="276" w:lineRule="auto"/>
        <w:rPr>
          <w:sz w:val="27"/>
          <w:szCs w:val="27"/>
        </w:rPr>
      </w:pPr>
      <w:r w:rsidRPr="006747FD">
        <w:rPr>
          <w:noProof/>
          <w:sz w:val="27"/>
          <w:szCs w:val="27"/>
          <w:lang w:val="en-US" w:eastAsia="en-US"/>
        </w:rPr>
        <mc:AlternateContent>
          <mc:Choice Requires="wps">
            <w:drawing>
              <wp:anchor distT="4294967290" distB="4294967290" distL="114300" distR="114300" simplePos="0" relativeHeight="251659264" behindDoc="0" locked="0" layoutInCell="1" allowOverlap="1" wp14:anchorId="3D05FFDD" wp14:editId="2A359E59">
                <wp:simplePos x="0" y="0"/>
                <wp:positionH relativeFrom="column">
                  <wp:posOffset>-19050</wp:posOffset>
                </wp:positionH>
                <wp:positionV relativeFrom="paragraph">
                  <wp:posOffset>106679</wp:posOffset>
                </wp:positionV>
                <wp:extent cx="5667375" cy="0"/>
                <wp:effectExtent l="0" t="0" r="9525"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667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5A692070" id="Straight Connector 5" o:spid="_x0000_s1026" style="position:absolute;z-index:251659264;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margin;mso-height-relative:margin" from="-1.5pt,8.4pt" to="444.7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zUdEQIAACAEAAAOAAAAZHJzL2Uyb0RvYy54bWysU8uu2jAQ3VfqP1jeQxJuwoWIcFUl0M1t&#10;i0T7AcZ2iFXHtmxDQFX/vWPzaGk3VVUWZuwZn5wzZ7x4OfUSHbl1QqsKZ+MUI66oZkLtK/zl83o0&#10;w8h5ohiRWvEKn7nDL8u3bxaDKflEd1oybhGAKFcOpsKd96ZMEkc73hM31oYrSLba9sTD1u4TZskA&#10;6L1MJmk6TQZtmbGacufgtLkk8TLity2n/lPbOu6RrDBw83G1cd2FNVkuSLm3xHSCXmmQf2DRE6Hg&#10;o3eohniCDlb8AdULarXTrR9T3Se6bQXlUQOoydLf1Gw7YnjUAs1x5t4m9/9g6cfjxiLBKlxgpEgP&#10;Fm29JWLfeVRrpaCB2qIi9GkwroTyWm1sUEpPamteNf3qIJc8JMPGGcDdDR80A0hy8Dq259TaPlwG&#10;4egUXTjfXeAnjygcFtPp89Mz0KG3XELK20VjnX/PdY9CUGEpVGgQKcnx1flAhJS3knCs9FpIGU2W&#10;Cg0VnheTIl5wWgoWkqHM2f2ulhYdSRiT+AuKAeyhzOqDYhGs44StrrEnQl5iqJcq4IEUoHONLnPw&#10;bZ7OV7PVLB/lk+lqlKdNM3q3rvPRdJ09F81TU9dN9j1Qy/KyE4xxFdjdZjLL/87z6+u4TNN9Ku9t&#10;SB7Ro0Qge/uPpKOXwb6L5TvNzhsbuhFshTGMxdcnE+b8132s+vmwlz8AAAD//wMAUEsDBBQABgAI&#10;AAAAIQC7ag9M3AAAAAgBAAAPAAAAZHJzL2Rvd25yZXYueG1sTI/BTsMwEETvSPyDtUhcqtahFVUa&#10;4lQIyI0LBdTrNl6SiHidxm4b+HoW9QDHnRnNzsvXo+vUkYbQejZwM0tAEVfetlwbeHstpymoEJEt&#10;dp7JwBcFWBeXFzlm1p/4hY6bWCsp4ZChgSbGPtM6VA05DDPfE4v34QeHUc6h1nbAk5S7Ts+TZKkd&#10;tiwfGuzpoaHqc3NwBkL5Tvvye1JNku2i9jTfPz4/oTHXV+P9HahIY/wLw+98mQ6FbNr5A9ugOgPT&#10;haBE0ZdCIH6arm5B7c6CLnL9H6D4AQAA//8DAFBLAQItABQABgAIAAAAIQC2gziS/gAAAOEBAAAT&#10;AAAAAAAAAAAAAAAAAAAAAABbQ29udGVudF9UeXBlc10ueG1sUEsBAi0AFAAGAAgAAAAhADj9If/W&#10;AAAAlAEAAAsAAAAAAAAAAAAAAAAALwEAAF9yZWxzLy5yZWxzUEsBAi0AFAAGAAgAAAAhABdHNR0R&#10;AgAAIAQAAA4AAAAAAAAAAAAAAAAALgIAAGRycy9lMm9Eb2MueG1sUEsBAi0AFAAGAAgAAAAhALtq&#10;D0zcAAAACAEAAA8AAAAAAAAAAAAAAAAAawQAAGRycy9kb3ducmV2LnhtbFBLBQYAAAAABAAEAPMA&#10;AAB0BQAAAAA=&#10;">
                <o:lock v:ext="edit" shapetype="f"/>
              </v:line>
            </w:pict>
          </mc:Fallback>
        </mc:AlternateContent>
      </w:r>
    </w:p>
    <w:p w:rsidR="00EE1269" w:rsidRPr="0016777D" w:rsidRDefault="00EE1269" w:rsidP="00823A29">
      <w:pPr>
        <w:spacing w:line="276" w:lineRule="auto"/>
        <w:jc w:val="center"/>
        <w:rPr>
          <w:b/>
          <w:sz w:val="26"/>
          <w:szCs w:val="26"/>
        </w:rPr>
      </w:pPr>
      <w:r w:rsidRPr="0016777D">
        <w:rPr>
          <w:b/>
          <w:sz w:val="26"/>
          <w:szCs w:val="26"/>
        </w:rPr>
        <w:t xml:space="preserve">JUDGMENT </w:t>
      </w:r>
      <w:r>
        <w:rPr>
          <w:b/>
          <w:sz w:val="26"/>
          <w:szCs w:val="26"/>
        </w:rPr>
        <w:t xml:space="preserve">DELIVERED ELECTRONICALLY ON </w:t>
      </w:r>
      <w:r w:rsidR="00C33C58">
        <w:rPr>
          <w:b/>
          <w:sz w:val="26"/>
          <w:szCs w:val="26"/>
        </w:rPr>
        <w:t>25</w:t>
      </w:r>
      <w:r w:rsidR="00497290">
        <w:rPr>
          <w:b/>
          <w:sz w:val="26"/>
          <w:szCs w:val="26"/>
        </w:rPr>
        <w:t xml:space="preserve"> </w:t>
      </w:r>
      <w:r w:rsidR="00606967">
        <w:rPr>
          <w:b/>
          <w:sz w:val="26"/>
          <w:szCs w:val="26"/>
        </w:rPr>
        <w:t>OCTOBER</w:t>
      </w:r>
      <w:r>
        <w:rPr>
          <w:b/>
          <w:sz w:val="26"/>
          <w:szCs w:val="26"/>
        </w:rPr>
        <w:t xml:space="preserve"> </w:t>
      </w:r>
      <w:r w:rsidR="00497290">
        <w:rPr>
          <w:b/>
          <w:sz w:val="26"/>
          <w:szCs w:val="26"/>
        </w:rPr>
        <w:t>2022</w:t>
      </w:r>
    </w:p>
    <w:p w:rsidR="00EE1269" w:rsidRPr="00917B7D" w:rsidRDefault="00EE1269" w:rsidP="00823A29">
      <w:pPr>
        <w:spacing w:line="276" w:lineRule="auto"/>
        <w:rPr>
          <w:sz w:val="27"/>
          <w:szCs w:val="27"/>
        </w:rPr>
      </w:pPr>
      <w:r w:rsidRPr="006747FD">
        <w:rPr>
          <w:noProof/>
          <w:sz w:val="27"/>
          <w:szCs w:val="27"/>
          <w:lang w:val="en-US" w:eastAsia="en-US"/>
        </w:rPr>
        <mc:AlternateContent>
          <mc:Choice Requires="wps">
            <w:drawing>
              <wp:anchor distT="4294967290" distB="4294967290" distL="114300" distR="114300" simplePos="0" relativeHeight="251660288" behindDoc="0" locked="0" layoutInCell="1" allowOverlap="1" wp14:anchorId="660886BC" wp14:editId="7025C24B">
                <wp:simplePos x="0" y="0"/>
                <wp:positionH relativeFrom="column">
                  <wp:posOffset>-19050</wp:posOffset>
                </wp:positionH>
                <wp:positionV relativeFrom="paragraph">
                  <wp:posOffset>114934</wp:posOffset>
                </wp:positionV>
                <wp:extent cx="5667375" cy="0"/>
                <wp:effectExtent l="0" t="0" r="9525"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667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5C9BDF1D" id="Straight Connector 2" o:spid="_x0000_s1026" style="position:absolute;z-index:251660288;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margin;mso-height-relative:margin" from="-1.5pt,9.05pt" to="444.7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y2dEQIAACAEAAAOAAAAZHJzL2Uyb0RvYy54bWysU8uu2jAQ3VfqP1jeQx43cCEiXFUJdHPb&#10;ItF+gLEdYtWxLdsQUNV/79g8WtpNVZWFGXvGJ+fMGS9eTr1ER26d0KrC2TjFiCuqmVD7Cn/5vB7N&#10;MHKeKEakVrzCZ+7wy/Ltm8VgSp7rTkvGLQIQ5crBVLjz3pRJ4mjHe+LG2nAFyVbbnnjY2n3CLBkA&#10;vZdJnqbTZNCWGaspdw5Om0sSLyN+23LqP7Wt4x7JCgM3H1cb111Yk+WClHtLTCfolQb5BxY9EQo+&#10;eodqiCfoYMUfUL2gVjvd+jHVfaLbVlAeNYCaLP1NzbYjhkct0Bxn7m1y/w+WfjxuLBKswjlGivRg&#10;0dZbIvadR7VWChqoLcpDnwbjSiiv1cYGpfSktuZV068OcslDMmycAdzd8EEzgCQHr2N7Tq3tw2UQ&#10;jk7RhfPdBX7yiMLhZDp9fnqeYERvuYSUt4vGOv+e6x6FoMJSqNAgUpLjq/OBCClvJeFY6bWQMpos&#10;FRoqPJ/kk3jBaSlYSIYyZ/e7Wlp0JGFM4i8oBrCHMqsPikWwjhO2usaeCHmJoV6qgAdSgM41uszB&#10;t3k6X81Ws2JU5NPVqEibZvRuXRej6Tp7njRPTV032fdALSvKTjDGVWB3m8ms+DvPr6/jMk33qby3&#10;IXlEjxKB7O0/ko5eBvsulu80O29s6EawFcYwFl+fTJjzX/ex6ufDXv4AAAD//wMAUEsDBBQABgAI&#10;AAAAIQAECgAG3AAAAAgBAAAPAAAAZHJzL2Rvd25yZXYueG1sTI/BTsMwEETvSPyDtUhcqtZpK1Aa&#10;4lQIyI0LBdTrNl6SiHidxm4b+HoW9QDHnRnNvsnXo+vUkYbQejYwnyWgiCtvW64NvL2W0xRUiMgW&#10;O89k4IsCrIvLixwz60/8QsdNrJWUcMjQQBNjn2kdqoYchpnvicX78IPDKOdQazvgScpdpxdJcqsd&#10;tiwfGuzpoaHqc3NwBkL5Tvvye1JNku2y9rTYPz4/oTHXV+P9HahIY/wLwy++oEMhTDt/YBtUZ2C6&#10;lClR9HQOSvw0Xd2A2p0FXeT6/4DiBwAA//8DAFBLAQItABQABgAIAAAAIQC2gziS/gAAAOEBAAAT&#10;AAAAAAAAAAAAAAAAAAAAAABbQ29udGVudF9UeXBlc10ueG1sUEsBAi0AFAAGAAgAAAAhADj9If/W&#10;AAAAlAEAAAsAAAAAAAAAAAAAAAAALwEAAF9yZWxzLy5yZWxzUEsBAi0AFAAGAAgAAAAhAEjTLZ0R&#10;AgAAIAQAAA4AAAAAAAAAAAAAAAAALgIAAGRycy9lMm9Eb2MueG1sUEsBAi0AFAAGAAgAAAAhAAQK&#10;AAbcAAAACAEAAA8AAAAAAAAAAAAAAAAAawQAAGRycy9kb3ducmV2LnhtbFBLBQYAAAAABAAEAPMA&#10;AAB0BQAAAAA=&#10;">
                <o:lock v:ext="edit" shapetype="f"/>
              </v:line>
            </w:pict>
          </mc:Fallback>
        </mc:AlternateContent>
      </w:r>
    </w:p>
    <w:p w:rsidR="000A492E" w:rsidRPr="00360F3A" w:rsidRDefault="000A492E" w:rsidP="000A492E">
      <w:pPr>
        <w:spacing w:line="360" w:lineRule="auto"/>
        <w:rPr>
          <w:b/>
          <w:sz w:val="26"/>
          <w:szCs w:val="26"/>
          <w:u w:val="single"/>
        </w:rPr>
      </w:pPr>
      <w:r w:rsidRPr="00360F3A">
        <w:rPr>
          <w:b/>
          <w:sz w:val="26"/>
          <w:szCs w:val="26"/>
          <w:u w:val="single"/>
        </w:rPr>
        <w:t xml:space="preserve">MANGCU-LOCKWOOD, J </w:t>
      </w:r>
      <w:r w:rsidR="00AC07E2">
        <w:rPr>
          <w:b/>
          <w:sz w:val="26"/>
          <w:szCs w:val="26"/>
          <w:u w:val="single"/>
        </w:rPr>
        <w:t>(BINNS-WARD</w:t>
      </w:r>
      <w:r w:rsidR="00BB0FED">
        <w:rPr>
          <w:b/>
          <w:sz w:val="26"/>
          <w:szCs w:val="26"/>
          <w:u w:val="single"/>
        </w:rPr>
        <w:t xml:space="preserve"> and SHER J</w:t>
      </w:r>
      <w:r w:rsidR="00402765">
        <w:rPr>
          <w:b/>
          <w:sz w:val="26"/>
          <w:szCs w:val="26"/>
          <w:u w:val="single"/>
        </w:rPr>
        <w:t>J</w:t>
      </w:r>
      <w:r w:rsidR="00BB0FED">
        <w:rPr>
          <w:b/>
          <w:sz w:val="26"/>
          <w:szCs w:val="26"/>
          <w:u w:val="single"/>
        </w:rPr>
        <w:t xml:space="preserve"> concurring):</w:t>
      </w:r>
    </w:p>
    <w:p w:rsidR="00EE1269" w:rsidRDefault="00EE1269" w:rsidP="000A492E">
      <w:pPr>
        <w:pStyle w:val="ListParagraph"/>
        <w:spacing w:after="0" w:line="360" w:lineRule="auto"/>
        <w:ind w:left="0"/>
        <w:jc w:val="both"/>
        <w:rPr>
          <w:b/>
          <w:bCs/>
          <w:sz w:val="26"/>
          <w:szCs w:val="26"/>
        </w:rPr>
      </w:pPr>
    </w:p>
    <w:p w:rsidR="0015489F" w:rsidRPr="007B1734" w:rsidRDefault="0015489F" w:rsidP="004052EB">
      <w:pPr>
        <w:pStyle w:val="ListParagraph"/>
        <w:keepNext/>
        <w:numPr>
          <w:ilvl w:val="0"/>
          <w:numId w:val="1"/>
        </w:numPr>
        <w:spacing w:line="360" w:lineRule="auto"/>
        <w:ind w:left="357" w:hanging="357"/>
        <w:jc w:val="both"/>
        <w:rPr>
          <w:b/>
          <w:bCs/>
          <w:sz w:val="26"/>
          <w:szCs w:val="26"/>
        </w:rPr>
      </w:pPr>
      <w:r w:rsidRPr="007B1734">
        <w:rPr>
          <w:b/>
          <w:bCs/>
          <w:sz w:val="26"/>
          <w:szCs w:val="26"/>
        </w:rPr>
        <w:t>INTRODUCTION</w:t>
      </w:r>
    </w:p>
    <w:p w:rsidR="00DE657E" w:rsidRPr="00DE657E" w:rsidRDefault="0015489F" w:rsidP="00006905">
      <w:pPr>
        <w:pStyle w:val="ListParagraph"/>
        <w:numPr>
          <w:ilvl w:val="0"/>
          <w:numId w:val="2"/>
        </w:numPr>
        <w:spacing w:after="0" w:line="360" w:lineRule="auto"/>
        <w:ind w:left="0" w:firstLine="0"/>
        <w:jc w:val="both"/>
        <w:rPr>
          <w:b/>
          <w:bCs/>
          <w:sz w:val="26"/>
          <w:szCs w:val="26"/>
        </w:rPr>
      </w:pPr>
      <w:r w:rsidRPr="0015489F">
        <w:rPr>
          <w:color w:val="242121"/>
          <w:sz w:val="26"/>
          <w:szCs w:val="26"/>
          <w:lang w:val="en-US"/>
        </w:rPr>
        <w:t xml:space="preserve">This </w:t>
      </w:r>
      <w:r w:rsidR="00987522">
        <w:rPr>
          <w:color w:val="242121"/>
          <w:sz w:val="26"/>
          <w:szCs w:val="26"/>
          <w:lang w:val="en-US"/>
        </w:rPr>
        <w:t>matter</w:t>
      </w:r>
      <w:r w:rsidRPr="0015489F">
        <w:rPr>
          <w:color w:val="242121"/>
          <w:sz w:val="26"/>
          <w:szCs w:val="26"/>
          <w:lang w:val="en-US"/>
        </w:rPr>
        <w:t xml:space="preserve"> </w:t>
      </w:r>
      <w:r w:rsidR="004B03F4" w:rsidRPr="004B03F4">
        <w:rPr>
          <w:color w:val="242121"/>
          <w:sz w:val="26"/>
          <w:szCs w:val="26"/>
          <w:lang w:val="en-US"/>
        </w:rPr>
        <w:t>concerns a</w:t>
      </w:r>
      <w:r w:rsidR="004B03F4">
        <w:rPr>
          <w:color w:val="242121"/>
          <w:sz w:val="26"/>
          <w:szCs w:val="26"/>
          <w:lang w:val="en-US"/>
        </w:rPr>
        <w:t>n</w:t>
      </w:r>
      <w:r w:rsidR="004B03F4" w:rsidRPr="004B03F4">
        <w:rPr>
          <w:color w:val="242121"/>
          <w:sz w:val="26"/>
          <w:szCs w:val="26"/>
          <w:lang w:val="en-US"/>
        </w:rPr>
        <w:t xml:space="preserve"> application </w:t>
      </w:r>
      <w:r w:rsidR="004B03F4">
        <w:rPr>
          <w:color w:val="242121"/>
          <w:sz w:val="26"/>
          <w:szCs w:val="26"/>
          <w:lang w:val="en-US"/>
        </w:rPr>
        <w:t xml:space="preserve">in terms of </w:t>
      </w:r>
      <w:r w:rsidR="00DD5EC9">
        <w:rPr>
          <w:color w:val="242121"/>
          <w:sz w:val="26"/>
          <w:szCs w:val="26"/>
          <w:lang w:val="en-US"/>
        </w:rPr>
        <w:t xml:space="preserve">Uniform </w:t>
      </w:r>
      <w:r w:rsidR="004B03F4">
        <w:rPr>
          <w:color w:val="242121"/>
          <w:sz w:val="26"/>
          <w:szCs w:val="26"/>
          <w:lang w:val="en-US"/>
        </w:rPr>
        <w:t>R</w:t>
      </w:r>
      <w:r w:rsidR="004B03F4" w:rsidRPr="004B03F4">
        <w:rPr>
          <w:color w:val="242121"/>
          <w:sz w:val="26"/>
          <w:szCs w:val="26"/>
          <w:lang w:val="en-US"/>
        </w:rPr>
        <w:t xml:space="preserve">ule 30 brought by the </w:t>
      </w:r>
      <w:r w:rsidR="004B03F4">
        <w:rPr>
          <w:color w:val="242121"/>
          <w:sz w:val="26"/>
          <w:szCs w:val="26"/>
          <w:lang w:val="en-US"/>
        </w:rPr>
        <w:t>C</w:t>
      </w:r>
      <w:r w:rsidR="004B03F4" w:rsidRPr="004B03F4">
        <w:rPr>
          <w:color w:val="242121"/>
          <w:sz w:val="26"/>
          <w:szCs w:val="26"/>
          <w:lang w:val="en-US"/>
        </w:rPr>
        <w:t>ommissioner for the South African Revenue Service</w:t>
      </w:r>
      <w:r w:rsidR="004B03F4">
        <w:rPr>
          <w:color w:val="242121"/>
          <w:sz w:val="26"/>
          <w:szCs w:val="26"/>
          <w:lang w:val="en-US"/>
        </w:rPr>
        <w:t xml:space="preserve"> (</w:t>
      </w:r>
      <w:r w:rsidR="004B03F4" w:rsidRPr="008901E1">
        <w:rPr>
          <w:i/>
          <w:iCs/>
          <w:color w:val="242121"/>
          <w:sz w:val="26"/>
          <w:szCs w:val="26"/>
          <w:lang w:val="en-US"/>
        </w:rPr>
        <w:t>“CSAR</w:t>
      </w:r>
      <w:r w:rsidR="008901E1" w:rsidRPr="008901E1">
        <w:rPr>
          <w:i/>
          <w:iCs/>
          <w:color w:val="242121"/>
          <w:sz w:val="26"/>
          <w:szCs w:val="26"/>
          <w:lang w:val="en-US"/>
        </w:rPr>
        <w:t>S</w:t>
      </w:r>
      <w:r w:rsidR="004B03F4" w:rsidRPr="008901E1">
        <w:rPr>
          <w:i/>
          <w:iCs/>
          <w:color w:val="242121"/>
          <w:sz w:val="26"/>
          <w:szCs w:val="26"/>
          <w:lang w:val="en-US"/>
        </w:rPr>
        <w:t>”</w:t>
      </w:r>
      <w:r w:rsidR="004B03F4">
        <w:rPr>
          <w:color w:val="242121"/>
          <w:sz w:val="26"/>
          <w:szCs w:val="26"/>
          <w:lang w:val="en-US"/>
        </w:rPr>
        <w:t>)</w:t>
      </w:r>
      <w:r w:rsidR="004B03F4" w:rsidRPr="004B03F4">
        <w:rPr>
          <w:color w:val="242121"/>
          <w:sz w:val="26"/>
          <w:szCs w:val="26"/>
          <w:lang w:val="en-US"/>
        </w:rPr>
        <w:t xml:space="preserve"> and a condonation application brought by </w:t>
      </w:r>
      <w:r w:rsidR="004B03F4">
        <w:rPr>
          <w:color w:val="242121"/>
          <w:sz w:val="26"/>
          <w:szCs w:val="26"/>
          <w:lang w:val="en-US"/>
        </w:rPr>
        <w:t>Ms</w:t>
      </w:r>
      <w:r w:rsidR="004B03F4" w:rsidRPr="004B03F4">
        <w:rPr>
          <w:color w:val="242121"/>
          <w:sz w:val="26"/>
          <w:szCs w:val="26"/>
          <w:lang w:val="en-US"/>
        </w:rPr>
        <w:t xml:space="preserve"> Cand</w:t>
      </w:r>
      <w:r w:rsidR="006E7E5B">
        <w:rPr>
          <w:color w:val="242121"/>
          <w:sz w:val="26"/>
          <w:szCs w:val="26"/>
          <w:lang w:val="en-US"/>
        </w:rPr>
        <w:t>i</w:t>
      </w:r>
      <w:r w:rsidR="004B03F4" w:rsidRPr="004B03F4">
        <w:rPr>
          <w:color w:val="242121"/>
          <w:sz w:val="26"/>
          <w:szCs w:val="26"/>
          <w:lang w:val="en-US"/>
        </w:rPr>
        <w:t xml:space="preserve">ce </w:t>
      </w:r>
      <w:r w:rsidR="009D12BA">
        <w:rPr>
          <w:color w:val="242121"/>
          <w:sz w:val="26"/>
          <w:szCs w:val="26"/>
          <w:lang w:val="en-US"/>
        </w:rPr>
        <w:t>J</w:t>
      </w:r>
      <w:r w:rsidR="004B03F4" w:rsidRPr="004B03F4">
        <w:rPr>
          <w:color w:val="242121"/>
          <w:sz w:val="26"/>
          <w:szCs w:val="26"/>
          <w:lang w:val="en-US"/>
        </w:rPr>
        <w:t>ean-</w:t>
      </w:r>
      <w:r w:rsidR="009D12BA">
        <w:rPr>
          <w:color w:val="242121"/>
          <w:sz w:val="26"/>
          <w:szCs w:val="26"/>
          <w:lang w:val="en-US"/>
        </w:rPr>
        <w:t>Po</w:t>
      </w:r>
      <w:r w:rsidR="004B03F4" w:rsidRPr="004B03F4">
        <w:rPr>
          <w:color w:val="242121"/>
          <w:sz w:val="26"/>
          <w:szCs w:val="26"/>
          <w:lang w:val="en-US"/>
        </w:rPr>
        <w:t>ul</w:t>
      </w:r>
      <w:r w:rsidR="004B03F4">
        <w:rPr>
          <w:color w:val="242121"/>
          <w:sz w:val="26"/>
          <w:szCs w:val="26"/>
          <w:lang w:val="en-US"/>
        </w:rPr>
        <w:t>ter (</w:t>
      </w:r>
      <w:r w:rsidR="004052EB">
        <w:rPr>
          <w:color w:val="242121"/>
          <w:sz w:val="26"/>
          <w:szCs w:val="26"/>
          <w:lang w:val="en-US"/>
        </w:rPr>
        <w:t xml:space="preserve">née </w:t>
      </w:r>
      <w:r w:rsidR="00234120">
        <w:rPr>
          <w:color w:val="242121"/>
          <w:sz w:val="26"/>
          <w:szCs w:val="26"/>
          <w:lang w:val="en-US"/>
        </w:rPr>
        <w:t>van der Merwe</w:t>
      </w:r>
      <w:r w:rsidR="004B03F4">
        <w:rPr>
          <w:color w:val="242121"/>
          <w:sz w:val="26"/>
          <w:szCs w:val="26"/>
          <w:lang w:val="en-US"/>
        </w:rPr>
        <w:t>).</w:t>
      </w:r>
      <w:r w:rsidR="009D12BA">
        <w:rPr>
          <w:color w:val="242121"/>
          <w:sz w:val="26"/>
          <w:szCs w:val="26"/>
          <w:lang w:val="en-US"/>
        </w:rPr>
        <w:t xml:space="preserve"> </w:t>
      </w:r>
      <w:r w:rsidR="00DB59AB">
        <w:rPr>
          <w:color w:val="242121"/>
          <w:sz w:val="26"/>
          <w:szCs w:val="26"/>
          <w:lang w:val="en-US"/>
        </w:rPr>
        <w:t xml:space="preserve">Both applications </w:t>
      </w:r>
      <w:r w:rsidR="00DE657E">
        <w:rPr>
          <w:color w:val="242121"/>
          <w:sz w:val="26"/>
          <w:szCs w:val="26"/>
          <w:lang w:val="en-US"/>
        </w:rPr>
        <w:t>relate to</w:t>
      </w:r>
      <w:r w:rsidR="00DB59AB">
        <w:rPr>
          <w:color w:val="242121"/>
          <w:sz w:val="26"/>
          <w:szCs w:val="26"/>
          <w:lang w:val="en-US"/>
        </w:rPr>
        <w:t xml:space="preserve"> </w:t>
      </w:r>
      <w:r w:rsidR="009D12BA" w:rsidRPr="00006905">
        <w:rPr>
          <w:color w:val="242121"/>
          <w:sz w:val="26"/>
          <w:szCs w:val="26"/>
          <w:lang w:val="en-US"/>
        </w:rPr>
        <w:t xml:space="preserve">a notice of appeal </w:t>
      </w:r>
      <w:r w:rsidR="00996C15">
        <w:rPr>
          <w:color w:val="242121"/>
          <w:sz w:val="26"/>
          <w:szCs w:val="26"/>
          <w:lang w:val="en-US"/>
        </w:rPr>
        <w:t xml:space="preserve">delivered </w:t>
      </w:r>
      <w:r w:rsidR="009D12BA" w:rsidRPr="00006905">
        <w:rPr>
          <w:color w:val="242121"/>
          <w:sz w:val="26"/>
          <w:szCs w:val="26"/>
          <w:lang w:val="en-US"/>
        </w:rPr>
        <w:t>on behalf of Ms Poulter</w:t>
      </w:r>
      <w:r w:rsidR="00E8601B">
        <w:rPr>
          <w:color w:val="242121"/>
          <w:sz w:val="26"/>
          <w:szCs w:val="26"/>
          <w:lang w:val="en-US"/>
        </w:rPr>
        <w:t xml:space="preserve"> </w:t>
      </w:r>
      <w:r w:rsidR="00996C15">
        <w:rPr>
          <w:color w:val="242121"/>
          <w:sz w:val="26"/>
          <w:szCs w:val="26"/>
          <w:lang w:val="en-US"/>
        </w:rPr>
        <w:t>in</w:t>
      </w:r>
      <w:r w:rsidR="00E8601B">
        <w:rPr>
          <w:color w:val="242121"/>
          <w:sz w:val="26"/>
          <w:szCs w:val="26"/>
          <w:lang w:val="en-US"/>
        </w:rPr>
        <w:t xml:space="preserve"> this </w:t>
      </w:r>
      <w:r w:rsidR="00996C15">
        <w:rPr>
          <w:color w:val="242121"/>
          <w:sz w:val="26"/>
          <w:szCs w:val="26"/>
          <w:lang w:val="en-US"/>
        </w:rPr>
        <w:t>C</w:t>
      </w:r>
      <w:r w:rsidR="00E8601B">
        <w:rPr>
          <w:color w:val="242121"/>
          <w:sz w:val="26"/>
          <w:szCs w:val="26"/>
          <w:lang w:val="en-US"/>
        </w:rPr>
        <w:t>ourt</w:t>
      </w:r>
      <w:r w:rsidR="004052EB">
        <w:rPr>
          <w:color w:val="242121"/>
          <w:sz w:val="26"/>
          <w:szCs w:val="26"/>
          <w:lang w:val="en-US"/>
        </w:rPr>
        <w:t xml:space="preserve"> in respect of an intended appeal from an order made by Davis J in the Tax Court</w:t>
      </w:r>
      <w:r w:rsidR="009D12BA" w:rsidRPr="00006905">
        <w:rPr>
          <w:color w:val="242121"/>
          <w:sz w:val="26"/>
          <w:szCs w:val="26"/>
          <w:lang w:val="en-US"/>
        </w:rPr>
        <w:t>.</w:t>
      </w:r>
      <w:r w:rsidR="00006905" w:rsidRPr="00006905">
        <w:rPr>
          <w:color w:val="242121"/>
          <w:sz w:val="26"/>
          <w:szCs w:val="26"/>
          <w:lang w:val="en-US"/>
        </w:rPr>
        <w:t xml:space="preserve"> </w:t>
      </w:r>
    </w:p>
    <w:p w:rsidR="00DE657E" w:rsidRPr="00DE657E" w:rsidRDefault="00DE657E" w:rsidP="00DE657E">
      <w:pPr>
        <w:pStyle w:val="ListParagraph"/>
        <w:spacing w:after="0" w:line="360" w:lineRule="auto"/>
        <w:ind w:left="0"/>
        <w:jc w:val="both"/>
        <w:rPr>
          <w:b/>
          <w:bCs/>
          <w:sz w:val="26"/>
          <w:szCs w:val="26"/>
        </w:rPr>
      </w:pPr>
    </w:p>
    <w:p w:rsidR="00006905" w:rsidRPr="005522DA" w:rsidRDefault="00006905" w:rsidP="00C11F45">
      <w:pPr>
        <w:pStyle w:val="ListParagraph"/>
        <w:numPr>
          <w:ilvl w:val="0"/>
          <w:numId w:val="2"/>
        </w:numPr>
        <w:spacing w:after="0" w:line="360" w:lineRule="auto"/>
        <w:ind w:left="0" w:firstLine="0"/>
        <w:jc w:val="both"/>
        <w:rPr>
          <w:b/>
          <w:bCs/>
          <w:sz w:val="26"/>
          <w:szCs w:val="26"/>
        </w:rPr>
      </w:pPr>
      <w:r w:rsidRPr="005522DA">
        <w:rPr>
          <w:color w:val="242121"/>
          <w:sz w:val="26"/>
          <w:szCs w:val="26"/>
          <w:lang w:val="en-US"/>
        </w:rPr>
        <w:t>The CSARS also</w:t>
      </w:r>
      <w:r w:rsidR="00DE657E" w:rsidRPr="005522DA">
        <w:rPr>
          <w:color w:val="242121"/>
          <w:sz w:val="26"/>
          <w:szCs w:val="26"/>
          <w:lang w:val="en-US"/>
        </w:rPr>
        <w:t xml:space="preserve"> seeks an order striking out certain matter from</w:t>
      </w:r>
      <w:r w:rsidR="00B90595">
        <w:rPr>
          <w:color w:val="242121"/>
          <w:sz w:val="26"/>
          <w:szCs w:val="26"/>
          <w:lang w:val="en-US"/>
        </w:rPr>
        <w:t xml:space="preserve"> </w:t>
      </w:r>
      <w:r w:rsidR="00DE657E" w:rsidRPr="005522DA">
        <w:rPr>
          <w:color w:val="242121"/>
          <w:sz w:val="26"/>
          <w:szCs w:val="26"/>
          <w:lang w:val="en-US"/>
        </w:rPr>
        <w:t>affidavit</w:t>
      </w:r>
      <w:r w:rsidR="00987522">
        <w:rPr>
          <w:color w:val="242121"/>
          <w:sz w:val="26"/>
          <w:szCs w:val="26"/>
          <w:lang w:val="en-US"/>
        </w:rPr>
        <w:t>s</w:t>
      </w:r>
      <w:r w:rsidR="00DE657E" w:rsidRPr="005522DA">
        <w:rPr>
          <w:color w:val="242121"/>
          <w:sz w:val="26"/>
          <w:szCs w:val="26"/>
          <w:lang w:val="en-US"/>
        </w:rPr>
        <w:t xml:space="preserve"> delivered on behalf of Ms Pou</w:t>
      </w:r>
      <w:r w:rsidR="006E7E5B">
        <w:rPr>
          <w:color w:val="242121"/>
          <w:sz w:val="26"/>
          <w:szCs w:val="26"/>
          <w:lang w:val="en-US"/>
        </w:rPr>
        <w:t>l</w:t>
      </w:r>
      <w:r w:rsidR="00DE657E" w:rsidRPr="005522DA">
        <w:rPr>
          <w:color w:val="242121"/>
          <w:sz w:val="26"/>
          <w:szCs w:val="26"/>
          <w:lang w:val="en-US"/>
        </w:rPr>
        <w:t>ter, as well as</w:t>
      </w:r>
      <w:r w:rsidRPr="005522DA">
        <w:rPr>
          <w:color w:val="242121"/>
          <w:sz w:val="26"/>
          <w:szCs w:val="26"/>
          <w:lang w:val="en-US"/>
        </w:rPr>
        <w:t xml:space="preserve"> punitive cost order</w:t>
      </w:r>
      <w:r w:rsidR="006E7E5B">
        <w:rPr>
          <w:color w:val="242121"/>
          <w:sz w:val="26"/>
          <w:szCs w:val="26"/>
          <w:lang w:val="en-US"/>
        </w:rPr>
        <w:t>s</w:t>
      </w:r>
      <w:r w:rsidRPr="005522DA">
        <w:rPr>
          <w:color w:val="242121"/>
          <w:sz w:val="26"/>
          <w:szCs w:val="26"/>
          <w:lang w:val="en-US"/>
        </w:rPr>
        <w:t xml:space="preserve"> against </w:t>
      </w:r>
      <w:r w:rsidR="00DE657E" w:rsidRPr="005522DA">
        <w:rPr>
          <w:color w:val="242121"/>
          <w:sz w:val="26"/>
          <w:szCs w:val="26"/>
          <w:lang w:val="en-US"/>
        </w:rPr>
        <w:t>her</w:t>
      </w:r>
      <w:r w:rsidRPr="005522DA">
        <w:rPr>
          <w:color w:val="242121"/>
          <w:sz w:val="26"/>
          <w:szCs w:val="26"/>
          <w:lang w:val="en-US"/>
        </w:rPr>
        <w:t>.</w:t>
      </w:r>
      <w:r w:rsidR="00DE657E" w:rsidRPr="005522DA">
        <w:rPr>
          <w:b/>
          <w:bCs/>
          <w:sz w:val="26"/>
          <w:szCs w:val="26"/>
        </w:rPr>
        <w:t xml:space="preserve"> </w:t>
      </w:r>
      <w:r w:rsidR="00B90595" w:rsidRPr="00B90595">
        <w:rPr>
          <w:sz w:val="26"/>
          <w:szCs w:val="26"/>
        </w:rPr>
        <w:t xml:space="preserve">In addition, </w:t>
      </w:r>
      <w:r w:rsidR="005522DA" w:rsidRPr="005522DA">
        <w:rPr>
          <w:sz w:val="26"/>
          <w:szCs w:val="26"/>
        </w:rPr>
        <w:t>before</w:t>
      </w:r>
      <w:r w:rsidR="005522DA" w:rsidRPr="005522DA">
        <w:rPr>
          <w:b/>
          <w:bCs/>
          <w:sz w:val="26"/>
          <w:szCs w:val="26"/>
          <w:lang w:val="en-US"/>
        </w:rPr>
        <w:t xml:space="preserve"> </w:t>
      </w:r>
      <w:r w:rsidR="005522DA" w:rsidRPr="005522DA">
        <w:rPr>
          <w:sz w:val="26"/>
          <w:szCs w:val="26"/>
          <w:lang w:val="en-US"/>
        </w:rPr>
        <w:t>the hearing of this matter</w:t>
      </w:r>
      <w:r w:rsidR="005522DA">
        <w:rPr>
          <w:b/>
          <w:bCs/>
          <w:sz w:val="26"/>
          <w:szCs w:val="26"/>
        </w:rPr>
        <w:t xml:space="preserve"> </w:t>
      </w:r>
      <w:r w:rsidRPr="005522DA">
        <w:rPr>
          <w:color w:val="242121"/>
          <w:sz w:val="26"/>
          <w:szCs w:val="26"/>
          <w:lang w:val="en-US"/>
        </w:rPr>
        <w:t xml:space="preserve">Ms Poulter’s father, Mr Gary </w:t>
      </w:r>
      <w:r w:rsidR="00234120">
        <w:rPr>
          <w:color w:val="242121"/>
          <w:sz w:val="26"/>
          <w:szCs w:val="26"/>
          <w:lang w:val="en-US"/>
        </w:rPr>
        <w:t>van der Merwe</w:t>
      </w:r>
      <w:r w:rsidRPr="005522DA">
        <w:rPr>
          <w:color w:val="242121"/>
          <w:sz w:val="26"/>
          <w:szCs w:val="26"/>
          <w:lang w:val="en-US"/>
        </w:rPr>
        <w:t xml:space="preserve"> delivered an application </w:t>
      </w:r>
      <w:r w:rsidR="00457A09">
        <w:rPr>
          <w:color w:val="242121"/>
          <w:sz w:val="26"/>
          <w:szCs w:val="26"/>
          <w:lang w:val="en-US"/>
        </w:rPr>
        <w:t xml:space="preserve">for leave </w:t>
      </w:r>
      <w:r w:rsidRPr="005522DA">
        <w:rPr>
          <w:color w:val="242121"/>
          <w:sz w:val="26"/>
          <w:szCs w:val="26"/>
          <w:lang w:val="en-US"/>
        </w:rPr>
        <w:t xml:space="preserve">to intervene </w:t>
      </w:r>
      <w:r w:rsidR="005522DA" w:rsidRPr="005522DA">
        <w:rPr>
          <w:color w:val="242121"/>
          <w:sz w:val="26"/>
          <w:szCs w:val="26"/>
          <w:lang w:val="en-US"/>
        </w:rPr>
        <w:t>as a party</w:t>
      </w:r>
      <w:r w:rsidR="005522DA">
        <w:rPr>
          <w:color w:val="242121"/>
          <w:sz w:val="26"/>
          <w:szCs w:val="26"/>
          <w:lang w:val="en-US"/>
        </w:rPr>
        <w:t>,</w:t>
      </w:r>
      <w:r w:rsidR="005522DA" w:rsidRPr="005522DA">
        <w:rPr>
          <w:color w:val="242121"/>
          <w:sz w:val="26"/>
          <w:szCs w:val="26"/>
          <w:lang w:val="en-US"/>
        </w:rPr>
        <w:t xml:space="preserve"> </w:t>
      </w:r>
      <w:r w:rsidR="00DD5EC9">
        <w:rPr>
          <w:color w:val="242121"/>
          <w:sz w:val="26"/>
          <w:szCs w:val="26"/>
          <w:lang w:val="en-US"/>
        </w:rPr>
        <w:t>which</w:t>
      </w:r>
      <w:r w:rsidR="005522DA" w:rsidRPr="005522DA">
        <w:rPr>
          <w:color w:val="242121"/>
          <w:sz w:val="26"/>
          <w:szCs w:val="26"/>
          <w:lang w:val="en-US"/>
        </w:rPr>
        <w:t xml:space="preserve"> was dismissed </w:t>
      </w:r>
      <w:r w:rsidR="00DD5EC9">
        <w:rPr>
          <w:color w:val="242121"/>
          <w:sz w:val="26"/>
          <w:szCs w:val="26"/>
          <w:lang w:val="en-US"/>
        </w:rPr>
        <w:t xml:space="preserve">on the day of the hearing, </w:t>
      </w:r>
      <w:r w:rsidR="005522DA" w:rsidRPr="005522DA">
        <w:rPr>
          <w:color w:val="242121"/>
          <w:sz w:val="26"/>
          <w:szCs w:val="26"/>
          <w:lang w:val="en-US"/>
        </w:rPr>
        <w:t xml:space="preserve">for reasons discussed later. </w:t>
      </w:r>
    </w:p>
    <w:p w:rsidR="005522DA" w:rsidRPr="005522DA" w:rsidRDefault="005522DA" w:rsidP="005522DA">
      <w:pPr>
        <w:pStyle w:val="ListParagraph"/>
        <w:spacing w:after="0" w:line="360" w:lineRule="auto"/>
        <w:ind w:left="0"/>
        <w:jc w:val="both"/>
        <w:rPr>
          <w:b/>
          <w:bCs/>
          <w:sz w:val="26"/>
          <w:szCs w:val="26"/>
        </w:rPr>
      </w:pPr>
    </w:p>
    <w:p w:rsidR="000124FD" w:rsidRPr="000124FD" w:rsidRDefault="00006905" w:rsidP="00006905">
      <w:pPr>
        <w:pStyle w:val="ListParagraph"/>
        <w:numPr>
          <w:ilvl w:val="0"/>
          <w:numId w:val="1"/>
        </w:numPr>
        <w:spacing w:line="360" w:lineRule="auto"/>
        <w:jc w:val="both"/>
        <w:rPr>
          <w:b/>
          <w:bCs/>
          <w:sz w:val="26"/>
          <w:szCs w:val="26"/>
        </w:rPr>
      </w:pPr>
      <w:r w:rsidRPr="000124FD">
        <w:rPr>
          <w:b/>
          <w:bCs/>
          <w:sz w:val="26"/>
          <w:szCs w:val="26"/>
        </w:rPr>
        <w:t>BACKGROUND</w:t>
      </w:r>
    </w:p>
    <w:p w:rsidR="00070AC6" w:rsidRPr="00070AC6" w:rsidRDefault="009D12BA" w:rsidP="004B03F4">
      <w:pPr>
        <w:pStyle w:val="ListParagraph"/>
        <w:numPr>
          <w:ilvl w:val="0"/>
          <w:numId w:val="2"/>
        </w:numPr>
        <w:spacing w:after="0" w:line="360" w:lineRule="auto"/>
        <w:ind w:left="0" w:firstLine="0"/>
        <w:jc w:val="both"/>
        <w:rPr>
          <w:sz w:val="26"/>
          <w:szCs w:val="26"/>
        </w:rPr>
      </w:pPr>
      <w:r w:rsidRPr="009D12BA">
        <w:rPr>
          <w:sz w:val="26"/>
          <w:szCs w:val="26"/>
          <w:lang w:val="en-US"/>
        </w:rPr>
        <w:t>The background to th</w:t>
      </w:r>
      <w:r w:rsidR="00E8601B">
        <w:rPr>
          <w:sz w:val="26"/>
          <w:szCs w:val="26"/>
          <w:lang w:val="en-US"/>
        </w:rPr>
        <w:t xml:space="preserve">is matter </w:t>
      </w:r>
      <w:r w:rsidR="00006905" w:rsidRPr="00006905">
        <w:rPr>
          <w:sz w:val="26"/>
          <w:szCs w:val="26"/>
          <w:lang w:val="en-US"/>
        </w:rPr>
        <w:t xml:space="preserve">is a tax appeal that is currently being prosecuted by </w:t>
      </w:r>
      <w:r w:rsidR="00006905">
        <w:rPr>
          <w:sz w:val="26"/>
          <w:szCs w:val="26"/>
          <w:lang w:val="en-US"/>
        </w:rPr>
        <w:t>M</w:t>
      </w:r>
      <w:r w:rsidR="00006905" w:rsidRPr="00006905">
        <w:rPr>
          <w:sz w:val="26"/>
          <w:szCs w:val="26"/>
          <w:lang w:val="en-US"/>
        </w:rPr>
        <w:t xml:space="preserve">s </w:t>
      </w:r>
      <w:r w:rsidR="00006905">
        <w:rPr>
          <w:sz w:val="26"/>
          <w:szCs w:val="26"/>
          <w:lang w:val="en-US"/>
        </w:rPr>
        <w:t>P</w:t>
      </w:r>
      <w:r w:rsidR="00006905" w:rsidRPr="00006905">
        <w:rPr>
          <w:sz w:val="26"/>
          <w:szCs w:val="26"/>
          <w:lang w:val="en-US"/>
        </w:rPr>
        <w:t>o</w:t>
      </w:r>
      <w:r w:rsidR="00006905">
        <w:rPr>
          <w:sz w:val="26"/>
          <w:szCs w:val="26"/>
          <w:lang w:val="en-US"/>
        </w:rPr>
        <w:t>u</w:t>
      </w:r>
      <w:r w:rsidR="00006905" w:rsidRPr="00006905">
        <w:rPr>
          <w:sz w:val="26"/>
          <w:szCs w:val="26"/>
          <w:lang w:val="en-US"/>
        </w:rPr>
        <w:t xml:space="preserve">lter in the Tax Court in </w:t>
      </w:r>
      <w:r w:rsidR="00996C15">
        <w:rPr>
          <w:sz w:val="26"/>
          <w:szCs w:val="26"/>
          <w:lang w:val="en-US"/>
        </w:rPr>
        <w:t>terms of section 107 of the Tax Administration Act 28 of 2011 (</w:t>
      </w:r>
      <w:r w:rsidR="00996C15" w:rsidRPr="00996C15">
        <w:rPr>
          <w:i/>
          <w:iCs/>
          <w:sz w:val="26"/>
          <w:szCs w:val="26"/>
          <w:lang w:val="en-US"/>
        </w:rPr>
        <w:t>“the TAA”</w:t>
      </w:r>
      <w:r w:rsidR="00996C15">
        <w:rPr>
          <w:sz w:val="26"/>
          <w:szCs w:val="26"/>
          <w:lang w:val="en-US"/>
        </w:rPr>
        <w:t xml:space="preserve">). The tax appeal </w:t>
      </w:r>
      <w:r w:rsidR="00006905" w:rsidRPr="00006905">
        <w:rPr>
          <w:sz w:val="26"/>
          <w:szCs w:val="26"/>
          <w:lang w:val="en-US"/>
        </w:rPr>
        <w:t>relat</w:t>
      </w:r>
      <w:r w:rsidR="00996C15">
        <w:rPr>
          <w:sz w:val="26"/>
          <w:szCs w:val="26"/>
          <w:lang w:val="en-US"/>
        </w:rPr>
        <w:t>es</w:t>
      </w:r>
      <w:r w:rsidR="00006905" w:rsidRPr="00006905">
        <w:rPr>
          <w:sz w:val="26"/>
          <w:szCs w:val="26"/>
          <w:lang w:val="en-US"/>
        </w:rPr>
        <w:t xml:space="preserve"> to an assessment </w:t>
      </w:r>
      <w:r w:rsidR="00E61A98">
        <w:rPr>
          <w:sz w:val="26"/>
          <w:szCs w:val="26"/>
          <w:lang w:val="en-US"/>
        </w:rPr>
        <w:t>issued</w:t>
      </w:r>
      <w:r w:rsidR="00E61A98" w:rsidRPr="00006905">
        <w:rPr>
          <w:sz w:val="26"/>
          <w:szCs w:val="26"/>
          <w:lang w:val="en-US"/>
        </w:rPr>
        <w:t xml:space="preserve"> </w:t>
      </w:r>
      <w:r w:rsidR="00006905" w:rsidRPr="00006905">
        <w:rPr>
          <w:sz w:val="26"/>
          <w:szCs w:val="26"/>
          <w:lang w:val="en-US"/>
        </w:rPr>
        <w:t xml:space="preserve">by </w:t>
      </w:r>
      <w:r w:rsidR="00006905">
        <w:rPr>
          <w:sz w:val="26"/>
          <w:szCs w:val="26"/>
          <w:lang w:val="en-US"/>
        </w:rPr>
        <w:t>C</w:t>
      </w:r>
      <w:r w:rsidR="00006905" w:rsidRPr="00006905">
        <w:rPr>
          <w:sz w:val="26"/>
          <w:szCs w:val="26"/>
          <w:lang w:val="en-US"/>
        </w:rPr>
        <w:t xml:space="preserve">SARS </w:t>
      </w:r>
      <w:r w:rsidR="00E8601B">
        <w:rPr>
          <w:sz w:val="26"/>
          <w:szCs w:val="26"/>
          <w:lang w:val="en-US"/>
        </w:rPr>
        <w:t xml:space="preserve">in respect of </w:t>
      </w:r>
      <w:r w:rsidR="000124FD">
        <w:rPr>
          <w:sz w:val="26"/>
          <w:szCs w:val="26"/>
          <w:lang w:val="en-US"/>
        </w:rPr>
        <w:t xml:space="preserve">her </w:t>
      </w:r>
      <w:r w:rsidR="00457A09">
        <w:rPr>
          <w:sz w:val="26"/>
          <w:szCs w:val="26"/>
          <w:lang w:val="en-US"/>
        </w:rPr>
        <w:t xml:space="preserve">2018 </w:t>
      </w:r>
      <w:r w:rsidR="00E61A98">
        <w:rPr>
          <w:sz w:val="26"/>
          <w:szCs w:val="26"/>
          <w:lang w:val="en-US"/>
        </w:rPr>
        <w:t xml:space="preserve">taxable </w:t>
      </w:r>
      <w:r w:rsidR="00006905" w:rsidRPr="00006905">
        <w:rPr>
          <w:sz w:val="26"/>
          <w:szCs w:val="26"/>
          <w:lang w:val="en-US"/>
        </w:rPr>
        <w:t>income</w:t>
      </w:r>
      <w:r w:rsidR="00006905">
        <w:rPr>
          <w:sz w:val="26"/>
          <w:szCs w:val="26"/>
          <w:lang w:val="en-US"/>
        </w:rPr>
        <w:t>.</w:t>
      </w:r>
      <w:r w:rsidR="00006905" w:rsidRPr="00006905">
        <w:rPr>
          <w:sz w:val="26"/>
          <w:szCs w:val="26"/>
          <w:lang w:val="en-US"/>
        </w:rPr>
        <w:t xml:space="preserve"> </w:t>
      </w:r>
    </w:p>
    <w:p w:rsidR="00070AC6" w:rsidRPr="00070AC6" w:rsidRDefault="00070AC6" w:rsidP="00070AC6">
      <w:pPr>
        <w:pStyle w:val="ListParagraph"/>
        <w:spacing w:after="0" w:line="360" w:lineRule="auto"/>
        <w:ind w:left="0"/>
        <w:jc w:val="both"/>
        <w:rPr>
          <w:sz w:val="26"/>
          <w:szCs w:val="26"/>
        </w:rPr>
      </w:pPr>
    </w:p>
    <w:p w:rsidR="00DD043D" w:rsidRPr="00355D78" w:rsidRDefault="00070AC6" w:rsidP="004B03F4">
      <w:pPr>
        <w:pStyle w:val="ListParagraph"/>
        <w:numPr>
          <w:ilvl w:val="0"/>
          <w:numId w:val="2"/>
        </w:numPr>
        <w:spacing w:after="0" w:line="360" w:lineRule="auto"/>
        <w:ind w:left="0" w:firstLine="0"/>
        <w:jc w:val="both"/>
        <w:rPr>
          <w:sz w:val="26"/>
          <w:szCs w:val="26"/>
        </w:rPr>
      </w:pPr>
      <w:r w:rsidRPr="00070AC6">
        <w:rPr>
          <w:sz w:val="26"/>
          <w:szCs w:val="26"/>
          <w:lang w:val="en-US"/>
        </w:rPr>
        <w:t xml:space="preserve">The </w:t>
      </w:r>
      <w:r w:rsidR="00AA077E">
        <w:rPr>
          <w:sz w:val="26"/>
          <w:szCs w:val="26"/>
          <w:lang w:val="en-US"/>
        </w:rPr>
        <w:t>matter</w:t>
      </w:r>
      <w:r w:rsidR="00AA3DC6">
        <w:rPr>
          <w:sz w:val="26"/>
          <w:szCs w:val="26"/>
          <w:lang w:val="en-US"/>
        </w:rPr>
        <w:t xml:space="preserve"> </w:t>
      </w:r>
      <w:r w:rsidRPr="00070AC6">
        <w:rPr>
          <w:sz w:val="26"/>
          <w:szCs w:val="26"/>
          <w:lang w:val="en-US"/>
        </w:rPr>
        <w:t xml:space="preserve">was set down </w:t>
      </w:r>
      <w:r>
        <w:rPr>
          <w:sz w:val="26"/>
          <w:szCs w:val="26"/>
          <w:lang w:val="en-US"/>
        </w:rPr>
        <w:t>f</w:t>
      </w:r>
      <w:r w:rsidRPr="00070AC6">
        <w:rPr>
          <w:sz w:val="26"/>
          <w:szCs w:val="26"/>
          <w:lang w:val="en-US"/>
        </w:rPr>
        <w:t>or hearing</w:t>
      </w:r>
      <w:r>
        <w:rPr>
          <w:sz w:val="26"/>
          <w:szCs w:val="26"/>
          <w:lang w:val="en-US"/>
        </w:rPr>
        <w:t xml:space="preserve"> </w:t>
      </w:r>
      <w:r w:rsidRPr="00070AC6">
        <w:rPr>
          <w:sz w:val="26"/>
          <w:szCs w:val="26"/>
          <w:lang w:val="en-US"/>
        </w:rPr>
        <w:t xml:space="preserve">before the Tax Court </w:t>
      </w:r>
      <w:r w:rsidR="00B90595">
        <w:rPr>
          <w:sz w:val="26"/>
          <w:szCs w:val="26"/>
          <w:lang w:val="en-US"/>
        </w:rPr>
        <w:t xml:space="preserve">(per </w:t>
      </w:r>
      <w:r w:rsidR="00B90595" w:rsidRPr="00070AC6">
        <w:rPr>
          <w:sz w:val="26"/>
          <w:szCs w:val="26"/>
          <w:lang w:val="en-US"/>
        </w:rPr>
        <w:t>Davis J</w:t>
      </w:r>
      <w:r w:rsidR="00B90595">
        <w:rPr>
          <w:sz w:val="26"/>
          <w:szCs w:val="26"/>
          <w:lang w:val="en-US"/>
        </w:rPr>
        <w:t>)</w:t>
      </w:r>
      <w:r w:rsidR="00B90595" w:rsidRPr="00070AC6">
        <w:rPr>
          <w:sz w:val="26"/>
          <w:szCs w:val="26"/>
          <w:lang w:val="en-US"/>
        </w:rPr>
        <w:t xml:space="preserve"> </w:t>
      </w:r>
      <w:r w:rsidRPr="00070AC6">
        <w:rPr>
          <w:sz w:val="26"/>
          <w:szCs w:val="26"/>
          <w:lang w:val="en-US"/>
        </w:rPr>
        <w:t>on 9 November 2020</w:t>
      </w:r>
      <w:r>
        <w:rPr>
          <w:sz w:val="26"/>
          <w:szCs w:val="26"/>
          <w:lang w:val="en-US"/>
        </w:rPr>
        <w:t>. However, o</w:t>
      </w:r>
      <w:r w:rsidRPr="00070AC6">
        <w:rPr>
          <w:sz w:val="26"/>
          <w:szCs w:val="26"/>
          <w:lang w:val="en-US"/>
        </w:rPr>
        <w:t xml:space="preserve">n that day </w:t>
      </w:r>
      <w:r>
        <w:rPr>
          <w:sz w:val="26"/>
          <w:szCs w:val="26"/>
          <w:lang w:val="en-US"/>
        </w:rPr>
        <w:t>M</w:t>
      </w:r>
      <w:r w:rsidRPr="00070AC6">
        <w:rPr>
          <w:sz w:val="26"/>
          <w:szCs w:val="26"/>
          <w:lang w:val="en-US"/>
        </w:rPr>
        <w:t>s Poulter did not appear</w:t>
      </w:r>
      <w:r>
        <w:rPr>
          <w:sz w:val="26"/>
          <w:szCs w:val="26"/>
          <w:lang w:val="en-US"/>
        </w:rPr>
        <w:t>,</w:t>
      </w:r>
      <w:r w:rsidRPr="00070AC6">
        <w:rPr>
          <w:sz w:val="26"/>
          <w:szCs w:val="26"/>
          <w:lang w:val="en-US"/>
        </w:rPr>
        <w:t xml:space="preserve"> and an order was granted in the following terms</w:t>
      </w:r>
      <w:r w:rsidR="00951271">
        <w:rPr>
          <w:sz w:val="26"/>
          <w:szCs w:val="26"/>
          <w:lang w:val="en-US"/>
        </w:rPr>
        <w:t xml:space="preserve"> (</w:t>
      </w:r>
      <w:r w:rsidR="00951271" w:rsidRPr="00951271">
        <w:rPr>
          <w:i/>
          <w:iCs/>
          <w:sz w:val="26"/>
          <w:szCs w:val="26"/>
          <w:lang w:val="en-US"/>
        </w:rPr>
        <w:t>“the Order”</w:t>
      </w:r>
      <w:r w:rsidR="00951271">
        <w:rPr>
          <w:sz w:val="26"/>
          <w:szCs w:val="26"/>
          <w:lang w:val="en-US"/>
        </w:rPr>
        <w:t>)</w:t>
      </w:r>
      <w:r>
        <w:rPr>
          <w:sz w:val="26"/>
          <w:szCs w:val="26"/>
          <w:lang w:val="en-US"/>
        </w:rPr>
        <w:t>:</w:t>
      </w:r>
    </w:p>
    <w:p w:rsidR="00355D78" w:rsidRPr="00070AC6" w:rsidRDefault="00355D78" w:rsidP="00355D78">
      <w:pPr>
        <w:pStyle w:val="ListParagraph"/>
        <w:spacing w:after="0" w:line="360" w:lineRule="auto"/>
        <w:ind w:left="0"/>
        <w:jc w:val="both"/>
        <w:rPr>
          <w:sz w:val="26"/>
          <w:szCs w:val="26"/>
        </w:rPr>
      </w:pPr>
    </w:p>
    <w:p w:rsidR="00070AC6" w:rsidRDefault="00070AC6" w:rsidP="00E238D4">
      <w:pPr>
        <w:pStyle w:val="ListParagraph"/>
        <w:spacing w:after="0" w:line="360" w:lineRule="auto"/>
        <w:ind w:left="709"/>
        <w:jc w:val="both"/>
        <w:rPr>
          <w:lang w:val="en-US"/>
        </w:rPr>
      </w:pPr>
      <w:r w:rsidRPr="0001651F">
        <w:t>“</w:t>
      </w:r>
      <w:r w:rsidR="00355D78" w:rsidRPr="0001651F">
        <w:rPr>
          <w:lang w:val="en-US"/>
        </w:rPr>
        <w:t>The appellant [Ms Poulter] is called upon to appear before this Court on 23 November 2020 at 10h00 to show cause why the following order should not be made:</w:t>
      </w:r>
    </w:p>
    <w:p w:rsidR="00E8601B" w:rsidRPr="00E8601B" w:rsidRDefault="00E8601B" w:rsidP="00E238D4">
      <w:pPr>
        <w:spacing w:line="360" w:lineRule="auto"/>
        <w:ind w:left="709"/>
        <w:jc w:val="both"/>
        <w:rPr>
          <w:lang w:val="en-US"/>
        </w:rPr>
      </w:pPr>
    </w:p>
    <w:p w:rsidR="00355D78" w:rsidRPr="0001651F" w:rsidRDefault="00355D78" w:rsidP="0001651F">
      <w:pPr>
        <w:pStyle w:val="ListParagraph"/>
        <w:numPr>
          <w:ilvl w:val="1"/>
          <w:numId w:val="3"/>
        </w:numPr>
        <w:spacing w:after="0" w:line="360" w:lineRule="auto"/>
        <w:ind w:left="2160"/>
        <w:jc w:val="both"/>
        <w:rPr>
          <w:lang w:val="en-US"/>
        </w:rPr>
      </w:pPr>
      <w:r w:rsidRPr="0001651F">
        <w:rPr>
          <w:lang w:val="en-US"/>
        </w:rPr>
        <w:t>The appellants (sic) document styled as and purporting to be a “Supplementary Statement of Grounds of Appeal in terms of Rule 32(1)(B) of the Rules issued under s 103 of the Tax Administration Act 28 of 2011” is set aside as an irregular step;</w:t>
      </w:r>
    </w:p>
    <w:p w:rsidR="001609CA" w:rsidRPr="0001651F" w:rsidRDefault="001609CA" w:rsidP="0001651F">
      <w:pPr>
        <w:pStyle w:val="ListParagraph"/>
        <w:spacing w:after="0" w:line="360" w:lineRule="auto"/>
        <w:ind w:left="2160"/>
        <w:jc w:val="both"/>
      </w:pPr>
    </w:p>
    <w:p w:rsidR="00355D78" w:rsidRPr="0001651F" w:rsidRDefault="00355D78" w:rsidP="0001651F">
      <w:pPr>
        <w:pStyle w:val="ListParagraph"/>
        <w:numPr>
          <w:ilvl w:val="1"/>
          <w:numId w:val="3"/>
        </w:numPr>
        <w:spacing w:after="0" w:line="360" w:lineRule="auto"/>
        <w:ind w:left="2160"/>
        <w:jc w:val="both"/>
      </w:pPr>
      <w:r w:rsidRPr="0001651F">
        <w:rPr>
          <w:lang w:val="en-US"/>
        </w:rPr>
        <w:t>The appellant</w:t>
      </w:r>
      <w:r w:rsidR="001609CA" w:rsidRPr="0001651F">
        <w:rPr>
          <w:lang w:val="en-US"/>
        </w:rPr>
        <w:t>’</w:t>
      </w:r>
      <w:r w:rsidRPr="0001651F">
        <w:rPr>
          <w:lang w:val="en-US"/>
        </w:rPr>
        <w:t xml:space="preserve">s document styled as and purporting to be the appellants </w:t>
      </w:r>
      <w:r w:rsidR="00DD5EC9">
        <w:rPr>
          <w:lang w:val="en-US"/>
        </w:rPr>
        <w:t xml:space="preserve">(sic) </w:t>
      </w:r>
      <w:r w:rsidR="001609CA" w:rsidRPr="0001651F">
        <w:rPr>
          <w:lang w:val="en-US"/>
        </w:rPr>
        <w:t>N</w:t>
      </w:r>
      <w:r w:rsidRPr="0001651F">
        <w:rPr>
          <w:lang w:val="en-US"/>
        </w:rPr>
        <w:t xml:space="preserve">otice of </w:t>
      </w:r>
      <w:r w:rsidR="001609CA" w:rsidRPr="0001651F">
        <w:rPr>
          <w:lang w:val="en-US"/>
        </w:rPr>
        <w:t>O</w:t>
      </w:r>
      <w:r w:rsidRPr="0001651F">
        <w:rPr>
          <w:lang w:val="en-US"/>
        </w:rPr>
        <w:t xml:space="preserve">pposition to the </w:t>
      </w:r>
      <w:r w:rsidR="001609CA" w:rsidRPr="0001651F">
        <w:rPr>
          <w:lang w:val="en-US"/>
        </w:rPr>
        <w:t>R</w:t>
      </w:r>
      <w:r w:rsidRPr="0001651F">
        <w:rPr>
          <w:lang w:val="en-US"/>
        </w:rPr>
        <w:t xml:space="preserve">ule 30 </w:t>
      </w:r>
      <w:r w:rsidR="001609CA" w:rsidRPr="0001651F">
        <w:rPr>
          <w:lang w:val="en-US"/>
        </w:rPr>
        <w:t>N</w:t>
      </w:r>
      <w:r w:rsidRPr="0001651F">
        <w:rPr>
          <w:lang w:val="en-US"/>
        </w:rPr>
        <w:t>otice</w:t>
      </w:r>
      <w:r w:rsidR="001609CA" w:rsidRPr="0001651F">
        <w:rPr>
          <w:lang w:val="en-US"/>
        </w:rPr>
        <w:t xml:space="preserve"> (it being the incorrect procedure followed by [Ms Poulter]) and Appellant </w:t>
      </w:r>
      <w:r w:rsidR="00CC5B19">
        <w:rPr>
          <w:lang w:val="en-US"/>
        </w:rPr>
        <w:t xml:space="preserve">(sic) </w:t>
      </w:r>
      <w:r w:rsidR="001609CA" w:rsidRPr="0001651F">
        <w:rPr>
          <w:lang w:val="en-US"/>
        </w:rPr>
        <w:t>request in terms of Rule 36 of the Rules issued under s 103 of the Tax Administration Act 28 of 2011”</w:t>
      </w:r>
      <w:r w:rsidR="00513321" w:rsidRPr="0001651F">
        <w:rPr>
          <w:lang w:val="en-US"/>
        </w:rPr>
        <w:t xml:space="preserve"> is set aside as an irregular step;</w:t>
      </w:r>
    </w:p>
    <w:p w:rsidR="00513321" w:rsidRPr="0001651F" w:rsidRDefault="00513321" w:rsidP="0001651F">
      <w:pPr>
        <w:pStyle w:val="ListParagraph"/>
        <w:ind w:left="1440"/>
      </w:pPr>
    </w:p>
    <w:p w:rsidR="00513321" w:rsidRPr="0001651F" w:rsidRDefault="00CC5B19" w:rsidP="0001651F">
      <w:pPr>
        <w:pStyle w:val="ListParagraph"/>
        <w:numPr>
          <w:ilvl w:val="1"/>
          <w:numId w:val="3"/>
        </w:numPr>
        <w:spacing w:after="0" w:line="360" w:lineRule="auto"/>
        <w:ind w:left="2160"/>
        <w:jc w:val="both"/>
      </w:pPr>
      <w:r>
        <w:rPr>
          <w:lang w:val="en-US"/>
        </w:rPr>
        <w:t>T</w:t>
      </w:r>
      <w:r w:rsidR="00513321" w:rsidRPr="0001651F">
        <w:rPr>
          <w:lang w:val="en-US"/>
        </w:rPr>
        <w:t xml:space="preserve">he </w:t>
      </w:r>
      <w:r>
        <w:rPr>
          <w:lang w:val="en-US"/>
        </w:rPr>
        <w:t>A</w:t>
      </w:r>
      <w:r w:rsidR="00513321" w:rsidRPr="0001651F">
        <w:rPr>
          <w:lang w:val="en-US"/>
        </w:rPr>
        <w:t>ppellant is to pay the costs of this application on an attorney and client scale.</w:t>
      </w:r>
    </w:p>
    <w:p w:rsidR="00513321" w:rsidRPr="0001651F" w:rsidRDefault="00513321" w:rsidP="0001651F">
      <w:pPr>
        <w:pStyle w:val="ListParagraph"/>
        <w:ind w:left="1440"/>
      </w:pPr>
    </w:p>
    <w:p w:rsidR="00513321" w:rsidRPr="0001651F" w:rsidRDefault="00513321" w:rsidP="0001651F">
      <w:pPr>
        <w:pStyle w:val="ListParagraph"/>
        <w:numPr>
          <w:ilvl w:val="0"/>
          <w:numId w:val="3"/>
        </w:numPr>
        <w:spacing w:after="0" w:line="360" w:lineRule="auto"/>
        <w:ind w:left="1440"/>
        <w:jc w:val="both"/>
      </w:pPr>
      <w:r w:rsidRPr="0001651F">
        <w:rPr>
          <w:lang w:val="en-US"/>
        </w:rPr>
        <w:t>The appellant is entitled to appear on her own behalf or to be represented by a representative who has a right of appearance in the High Court as an attorney or an advocate.</w:t>
      </w:r>
    </w:p>
    <w:p w:rsidR="00285E49" w:rsidRPr="0001651F" w:rsidRDefault="00285E49" w:rsidP="0001651F">
      <w:pPr>
        <w:pStyle w:val="ListParagraph"/>
        <w:spacing w:after="0" w:line="360" w:lineRule="auto"/>
        <w:ind w:left="1440"/>
        <w:jc w:val="both"/>
      </w:pPr>
    </w:p>
    <w:p w:rsidR="00513321" w:rsidRPr="0001651F" w:rsidRDefault="00513321" w:rsidP="0001651F">
      <w:pPr>
        <w:pStyle w:val="ListParagraph"/>
        <w:numPr>
          <w:ilvl w:val="0"/>
          <w:numId w:val="3"/>
        </w:numPr>
        <w:spacing w:after="0" w:line="360" w:lineRule="auto"/>
        <w:ind w:left="1440"/>
        <w:jc w:val="both"/>
      </w:pPr>
      <w:r w:rsidRPr="0001651F">
        <w:rPr>
          <w:lang w:val="en-US"/>
        </w:rPr>
        <w:t xml:space="preserve">Mr Gary </w:t>
      </w:r>
      <w:r w:rsidR="00234120">
        <w:rPr>
          <w:lang w:val="en-US"/>
        </w:rPr>
        <w:t>van der Merwe</w:t>
      </w:r>
      <w:r w:rsidRPr="0001651F">
        <w:rPr>
          <w:lang w:val="en-US"/>
        </w:rPr>
        <w:t xml:space="preserve"> is not entitled to appear on behalf of the appellant in that </w:t>
      </w:r>
      <w:r w:rsidR="00E61A98">
        <w:t> </w:t>
      </w:r>
      <w:r w:rsidR="00E61A98" w:rsidRPr="0001651F">
        <w:rPr>
          <w:lang w:val="en-US"/>
        </w:rPr>
        <w:t>s</w:t>
      </w:r>
      <w:r w:rsidR="00E61A98">
        <w:rPr>
          <w:lang w:val="en-US"/>
        </w:rPr>
        <w:t> </w:t>
      </w:r>
      <w:r w:rsidRPr="0001651F">
        <w:rPr>
          <w:lang w:val="en-US"/>
        </w:rPr>
        <w:t xml:space="preserve">125 (2) of the </w:t>
      </w:r>
      <w:r w:rsidR="00285E49" w:rsidRPr="0001651F">
        <w:rPr>
          <w:lang w:val="en-US"/>
        </w:rPr>
        <w:t>T</w:t>
      </w:r>
      <w:r w:rsidRPr="0001651F">
        <w:rPr>
          <w:lang w:val="en-US"/>
        </w:rPr>
        <w:t xml:space="preserve">ax </w:t>
      </w:r>
      <w:r w:rsidR="00285E49" w:rsidRPr="0001651F">
        <w:rPr>
          <w:lang w:val="en-US"/>
        </w:rPr>
        <w:t>A</w:t>
      </w:r>
      <w:r w:rsidRPr="0001651F">
        <w:rPr>
          <w:lang w:val="en-US"/>
        </w:rPr>
        <w:t xml:space="preserve">dministration </w:t>
      </w:r>
      <w:r w:rsidR="00285E49" w:rsidRPr="0001651F">
        <w:rPr>
          <w:lang w:val="en-US"/>
        </w:rPr>
        <w:t>A</w:t>
      </w:r>
      <w:r w:rsidRPr="0001651F">
        <w:rPr>
          <w:lang w:val="en-US"/>
        </w:rPr>
        <w:t>ct 28 of 2011 has been repealed.</w:t>
      </w:r>
    </w:p>
    <w:p w:rsidR="00285E49" w:rsidRPr="0001651F" w:rsidRDefault="00285E49" w:rsidP="0001651F">
      <w:pPr>
        <w:pStyle w:val="ListParagraph"/>
        <w:spacing w:after="0" w:line="360" w:lineRule="auto"/>
        <w:ind w:left="1440"/>
        <w:jc w:val="both"/>
      </w:pPr>
    </w:p>
    <w:p w:rsidR="00513321" w:rsidRPr="0001651F" w:rsidRDefault="00285E49" w:rsidP="0001651F">
      <w:pPr>
        <w:pStyle w:val="ListParagraph"/>
        <w:numPr>
          <w:ilvl w:val="0"/>
          <w:numId w:val="3"/>
        </w:numPr>
        <w:spacing w:after="0" w:line="360" w:lineRule="auto"/>
        <w:ind w:left="1440"/>
        <w:jc w:val="both"/>
      </w:pPr>
      <w:r w:rsidRPr="0001651F">
        <w:rPr>
          <w:lang w:val="en-US"/>
        </w:rPr>
        <w:t>T</w:t>
      </w:r>
      <w:r w:rsidR="00513321" w:rsidRPr="0001651F">
        <w:rPr>
          <w:lang w:val="en-US"/>
        </w:rPr>
        <w:t xml:space="preserve">he costs of the hearing of </w:t>
      </w:r>
      <w:r w:rsidR="00336BEE">
        <w:rPr>
          <w:lang w:val="en-US"/>
        </w:rPr>
        <w:t>9</w:t>
      </w:r>
      <w:r w:rsidR="00513321" w:rsidRPr="0001651F">
        <w:rPr>
          <w:lang w:val="en-US"/>
        </w:rPr>
        <w:t xml:space="preserve"> November 2020 are to be paid by the appellant on an attorney and client scale.”</w:t>
      </w:r>
    </w:p>
    <w:p w:rsidR="00DD043D" w:rsidRPr="00DD043D" w:rsidRDefault="00DD043D" w:rsidP="00DD043D">
      <w:pPr>
        <w:pStyle w:val="ListParagraph"/>
        <w:spacing w:after="0" w:line="360" w:lineRule="auto"/>
        <w:ind w:left="0"/>
        <w:jc w:val="both"/>
        <w:rPr>
          <w:sz w:val="26"/>
          <w:szCs w:val="26"/>
        </w:rPr>
      </w:pPr>
    </w:p>
    <w:p w:rsidR="00EF5888" w:rsidRPr="00EF5888" w:rsidRDefault="00513321" w:rsidP="00DD043D">
      <w:pPr>
        <w:pStyle w:val="ListParagraph"/>
        <w:numPr>
          <w:ilvl w:val="0"/>
          <w:numId w:val="2"/>
        </w:numPr>
        <w:spacing w:after="0" w:line="360" w:lineRule="auto"/>
        <w:ind w:left="0" w:firstLine="0"/>
        <w:jc w:val="both"/>
        <w:rPr>
          <w:sz w:val="26"/>
          <w:szCs w:val="26"/>
        </w:rPr>
      </w:pPr>
      <w:r>
        <w:rPr>
          <w:sz w:val="26"/>
          <w:szCs w:val="26"/>
        </w:rPr>
        <w:t>On 1</w:t>
      </w:r>
      <w:r w:rsidR="0001651F">
        <w:rPr>
          <w:sz w:val="26"/>
          <w:szCs w:val="26"/>
        </w:rPr>
        <w:t>7</w:t>
      </w:r>
      <w:r>
        <w:rPr>
          <w:sz w:val="26"/>
          <w:szCs w:val="26"/>
        </w:rPr>
        <w:t xml:space="preserve"> November 2020 </w:t>
      </w:r>
      <w:r w:rsidRPr="00513321">
        <w:rPr>
          <w:sz w:val="26"/>
          <w:szCs w:val="26"/>
          <w:lang w:val="en-US"/>
        </w:rPr>
        <w:t>a notice of intention to appeal</w:t>
      </w:r>
      <w:r>
        <w:rPr>
          <w:sz w:val="26"/>
          <w:szCs w:val="26"/>
          <w:lang w:val="en-US"/>
        </w:rPr>
        <w:t xml:space="preserve"> against paragraphs 2,</w:t>
      </w:r>
      <w:r w:rsidR="002F10BA">
        <w:rPr>
          <w:sz w:val="26"/>
          <w:szCs w:val="26"/>
          <w:lang w:val="en-US"/>
        </w:rPr>
        <w:t xml:space="preserve"> </w:t>
      </w:r>
      <w:r>
        <w:rPr>
          <w:sz w:val="26"/>
          <w:szCs w:val="26"/>
          <w:lang w:val="en-US"/>
        </w:rPr>
        <w:t xml:space="preserve">3 and 4 of the </w:t>
      </w:r>
      <w:r w:rsidR="00951271">
        <w:rPr>
          <w:sz w:val="26"/>
          <w:szCs w:val="26"/>
          <w:lang w:val="en-US"/>
        </w:rPr>
        <w:t>O</w:t>
      </w:r>
      <w:r w:rsidR="00A21135">
        <w:rPr>
          <w:sz w:val="26"/>
          <w:szCs w:val="26"/>
          <w:lang w:val="en-US"/>
        </w:rPr>
        <w:t>rder</w:t>
      </w:r>
      <w:r>
        <w:rPr>
          <w:sz w:val="26"/>
          <w:szCs w:val="26"/>
          <w:lang w:val="en-US"/>
        </w:rPr>
        <w:t xml:space="preserve"> </w:t>
      </w:r>
      <w:r w:rsidR="00783472">
        <w:rPr>
          <w:sz w:val="26"/>
          <w:szCs w:val="26"/>
          <w:lang w:val="en-US"/>
        </w:rPr>
        <w:t xml:space="preserve">was </w:t>
      </w:r>
      <w:r w:rsidR="00783472" w:rsidRPr="00513321">
        <w:rPr>
          <w:sz w:val="26"/>
          <w:szCs w:val="26"/>
          <w:lang w:val="en-US"/>
        </w:rPr>
        <w:t>delivered</w:t>
      </w:r>
      <w:r w:rsidR="00783472">
        <w:rPr>
          <w:sz w:val="26"/>
          <w:szCs w:val="26"/>
        </w:rPr>
        <w:t xml:space="preserve"> </w:t>
      </w:r>
      <w:r w:rsidR="006E7E5B">
        <w:rPr>
          <w:sz w:val="26"/>
          <w:szCs w:val="26"/>
        </w:rPr>
        <w:t xml:space="preserve">in the Tax Court </w:t>
      </w:r>
      <w:r w:rsidR="00783472" w:rsidRPr="00783472">
        <w:rPr>
          <w:sz w:val="26"/>
          <w:szCs w:val="26"/>
          <w:lang w:val="en-US"/>
        </w:rPr>
        <w:t>on behalf of</w:t>
      </w:r>
      <w:r w:rsidR="00783472">
        <w:rPr>
          <w:sz w:val="26"/>
          <w:szCs w:val="26"/>
          <w:lang w:val="en-US"/>
        </w:rPr>
        <w:t xml:space="preserve"> </w:t>
      </w:r>
      <w:r w:rsidR="00783472">
        <w:rPr>
          <w:sz w:val="26"/>
          <w:szCs w:val="26"/>
        </w:rPr>
        <w:t xml:space="preserve">Ms Poulter, </w:t>
      </w:r>
      <w:r w:rsidR="00C112BE" w:rsidRPr="00C112BE">
        <w:rPr>
          <w:sz w:val="26"/>
          <w:szCs w:val="26"/>
          <w:lang w:val="en-US"/>
        </w:rPr>
        <w:t xml:space="preserve">signed by </w:t>
      </w:r>
      <w:r w:rsidR="00E61A98" w:rsidRPr="00C112BE">
        <w:rPr>
          <w:sz w:val="26"/>
          <w:szCs w:val="26"/>
          <w:lang w:val="en-US"/>
        </w:rPr>
        <w:t>Mr</w:t>
      </w:r>
      <w:r w:rsidR="00E61A98">
        <w:rPr>
          <w:sz w:val="26"/>
          <w:szCs w:val="26"/>
          <w:lang w:val="en-US"/>
        </w:rPr>
        <w:t> </w:t>
      </w:r>
      <w:r w:rsidR="00234120">
        <w:rPr>
          <w:sz w:val="26"/>
          <w:szCs w:val="26"/>
          <w:lang w:val="en-US"/>
        </w:rPr>
        <w:t>van der Merwe</w:t>
      </w:r>
      <w:r w:rsidR="00F55420">
        <w:rPr>
          <w:sz w:val="26"/>
          <w:szCs w:val="26"/>
          <w:lang w:val="en-US"/>
        </w:rPr>
        <w:t>,</w:t>
      </w:r>
      <w:r w:rsidR="00F55420" w:rsidRPr="00F55420">
        <w:rPr>
          <w:sz w:val="26"/>
          <w:szCs w:val="26"/>
          <w:lang w:val="en-US"/>
        </w:rPr>
        <w:t xml:space="preserve"> seeking </w:t>
      </w:r>
      <w:r w:rsidR="00EA2C51">
        <w:rPr>
          <w:sz w:val="26"/>
          <w:szCs w:val="26"/>
          <w:lang w:val="en-US"/>
        </w:rPr>
        <w:t>an</w:t>
      </w:r>
      <w:r w:rsidR="00285E49">
        <w:rPr>
          <w:sz w:val="26"/>
          <w:szCs w:val="26"/>
          <w:lang w:val="en-US"/>
        </w:rPr>
        <w:t xml:space="preserve"> </w:t>
      </w:r>
      <w:r w:rsidR="00F55420" w:rsidRPr="00F55420">
        <w:rPr>
          <w:sz w:val="26"/>
          <w:szCs w:val="26"/>
          <w:lang w:val="en-US"/>
        </w:rPr>
        <w:t xml:space="preserve">appeal to the full </w:t>
      </w:r>
      <w:r w:rsidR="00E61A98">
        <w:rPr>
          <w:sz w:val="26"/>
          <w:szCs w:val="26"/>
          <w:lang w:val="en-US"/>
        </w:rPr>
        <w:t>court</w:t>
      </w:r>
      <w:r w:rsidR="00E61A98" w:rsidRPr="00F55420">
        <w:rPr>
          <w:sz w:val="26"/>
          <w:szCs w:val="26"/>
          <w:lang w:val="en-US"/>
        </w:rPr>
        <w:t xml:space="preserve"> </w:t>
      </w:r>
      <w:r w:rsidR="00F55420" w:rsidRPr="00F55420">
        <w:rPr>
          <w:sz w:val="26"/>
          <w:szCs w:val="26"/>
          <w:lang w:val="en-US"/>
        </w:rPr>
        <w:t>of the High Court</w:t>
      </w:r>
      <w:r w:rsidR="00E61A98">
        <w:rPr>
          <w:sz w:val="26"/>
          <w:szCs w:val="26"/>
          <w:lang w:val="en-US"/>
        </w:rPr>
        <w:t xml:space="preserve"> (</w:t>
      </w:r>
      <w:r w:rsidR="00E61A98" w:rsidRPr="00F55420">
        <w:rPr>
          <w:sz w:val="26"/>
          <w:szCs w:val="26"/>
          <w:lang w:val="en-US"/>
        </w:rPr>
        <w:t>Western Cape</w:t>
      </w:r>
      <w:r w:rsidR="00E61A98">
        <w:rPr>
          <w:sz w:val="26"/>
          <w:szCs w:val="26"/>
          <w:lang w:val="en-US"/>
        </w:rPr>
        <w:t xml:space="preserve"> Division)</w:t>
      </w:r>
      <w:r w:rsidR="00C112BE">
        <w:rPr>
          <w:sz w:val="26"/>
          <w:szCs w:val="26"/>
          <w:lang w:val="en-US"/>
        </w:rPr>
        <w:t>.</w:t>
      </w:r>
      <w:r w:rsidR="00C112BE" w:rsidRPr="00C112BE">
        <w:rPr>
          <w:sz w:val="26"/>
          <w:szCs w:val="26"/>
          <w:lang w:val="en-US"/>
        </w:rPr>
        <w:t xml:space="preserve"> </w:t>
      </w:r>
    </w:p>
    <w:p w:rsidR="00EF5888" w:rsidRPr="00EF5888" w:rsidRDefault="00EF5888" w:rsidP="00EF5888">
      <w:pPr>
        <w:pStyle w:val="ListParagraph"/>
        <w:spacing w:after="0" w:line="360" w:lineRule="auto"/>
        <w:ind w:left="0"/>
        <w:jc w:val="both"/>
        <w:rPr>
          <w:sz w:val="26"/>
          <w:szCs w:val="26"/>
        </w:rPr>
      </w:pPr>
    </w:p>
    <w:p w:rsidR="00EF101F" w:rsidRPr="00EF101F" w:rsidRDefault="00E8601B" w:rsidP="00DD043D">
      <w:pPr>
        <w:pStyle w:val="ListParagraph"/>
        <w:numPr>
          <w:ilvl w:val="0"/>
          <w:numId w:val="2"/>
        </w:numPr>
        <w:spacing w:after="0" w:line="360" w:lineRule="auto"/>
        <w:ind w:left="0" w:firstLine="0"/>
        <w:jc w:val="both"/>
        <w:rPr>
          <w:sz w:val="26"/>
          <w:szCs w:val="26"/>
        </w:rPr>
      </w:pPr>
      <w:r>
        <w:rPr>
          <w:sz w:val="26"/>
          <w:szCs w:val="26"/>
          <w:lang w:val="en-US"/>
        </w:rPr>
        <w:t xml:space="preserve">On </w:t>
      </w:r>
      <w:r w:rsidRPr="00EF5888">
        <w:rPr>
          <w:sz w:val="26"/>
          <w:szCs w:val="26"/>
          <w:lang w:val="en-US"/>
        </w:rPr>
        <w:t xml:space="preserve">28 January 2021 </w:t>
      </w:r>
      <w:r w:rsidR="00576813" w:rsidRPr="00576813">
        <w:rPr>
          <w:sz w:val="26"/>
          <w:szCs w:val="26"/>
          <w:lang w:val="en-US"/>
        </w:rPr>
        <w:t xml:space="preserve">the </w:t>
      </w:r>
      <w:r w:rsidR="00D1774B">
        <w:rPr>
          <w:sz w:val="26"/>
          <w:szCs w:val="26"/>
          <w:lang w:val="en-US"/>
        </w:rPr>
        <w:t>registrar</w:t>
      </w:r>
      <w:r w:rsidR="00EA2C51">
        <w:rPr>
          <w:sz w:val="26"/>
          <w:szCs w:val="26"/>
          <w:lang w:val="en-US"/>
        </w:rPr>
        <w:t xml:space="preserve"> of the Tax</w:t>
      </w:r>
      <w:r w:rsidR="00576813" w:rsidRPr="00576813">
        <w:rPr>
          <w:sz w:val="26"/>
          <w:szCs w:val="26"/>
          <w:lang w:val="en-US"/>
        </w:rPr>
        <w:t xml:space="preserve"> </w:t>
      </w:r>
      <w:r w:rsidR="00EA2C51">
        <w:rPr>
          <w:sz w:val="26"/>
          <w:szCs w:val="26"/>
          <w:lang w:val="en-US"/>
        </w:rPr>
        <w:t>C</w:t>
      </w:r>
      <w:r w:rsidR="00EA2C51" w:rsidRPr="00576813">
        <w:rPr>
          <w:sz w:val="26"/>
          <w:szCs w:val="26"/>
          <w:lang w:val="en-US"/>
        </w:rPr>
        <w:t xml:space="preserve">ourt </w:t>
      </w:r>
      <w:r w:rsidR="00576813" w:rsidRPr="00576813">
        <w:rPr>
          <w:sz w:val="26"/>
          <w:szCs w:val="26"/>
          <w:lang w:val="en-US"/>
        </w:rPr>
        <w:t>issued a noti</w:t>
      </w:r>
      <w:r w:rsidR="00B90595">
        <w:rPr>
          <w:sz w:val="26"/>
          <w:szCs w:val="26"/>
          <w:lang w:val="en-US"/>
        </w:rPr>
        <w:t>ce</w:t>
      </w:r>
      <w:r w:rsidR="00576813" w:rsidRPr="00576813">
        <w:rPr>
          <w:sz w:val="26"/>
          <w:szCs w:val="26"/>
          <w:lang w:val="en-US"/>
        </w:rPr>
        <w:t xml:space="preserve"> in terms of section 137</w:t>
      </w:r>
      <w:r w:rsidR="00576813">
        <w:rPr>
          <w:sz w:val="26"/>
          <w:szCs w:val="26"/>
          <w:lang w:val="en-US"/>
        </w:rPr>
        <w:t>(1)</w:t>
      </w:r>
      <w:r w:rsidR="00783472">
        <w:rPr>
          <w:sz w:val="26"/>
          <w:szCs w:val="26"/>
          <w:lang w:val="en-US"/>
        </w:rPr>
        <w:t>(a)</w:t>
      </w:r>
      <w:r w:rsidR="00576813" w:rsidRPr="00576813">
        <w:rPr>
          <w:sz w:val="26"/>
          <w:szCs w:val="26"/>
          <w:lang w:val="en-US"/>
        </w:rPr>
        <w:t xml:space="preserve"> of the </w:t>
      </w:r>
      <w:r w:rsidR="00576813" w:rsidRPr="00AA3DC6">
        <w:rPr>
          <w:sz w:val="26"/>
          <w:szCs w:val="26"/>
          <w:lang w:val="en-US"/>
        </w:rPr>
        <w:t>TAA</w:t>
      </w:r>
      <w:r w:rsidR="00EF101F">
        <w:rPr>
          <w:sz w:val="26"/>
          <w:szCs w:val="26"/>
          <w:lang w:val="en-US"/>
        </w:rPr>
        <w:t xml:space="preserve"> </w:t>
      </w:r>
      <w:r w:rsidR="00576813" w:rsidRPr="00576813">
        <w:rPr>
          <w:sz w:val="26"/>
          <w:szCs w:val="26"/>
          <w:lang w:val="en-US"/>
        </w:rPr>
        <w:t>acknowledging receipt of</w:t>
      </w:r>
      <w:r w:rsidR="00576813">
        <w:rPr>
          <w:sz w:val="26"/>
          <w:szCs w:val="26"/>
          <w:lang w:val="en-US"/>
        </w:rPr>
        <w:t xml:space="preserve"> Ms Poulter’s </w:t>
      </w:r>
      <w:r w:rsidR="00576813" w:rsidRPr="00576813">
        <w:rPr>
          <w:sz w:val="26"/>
          <w:szCs w:val="26"/>
          <w:lang w:val="en-US"/>
        </w:rPr>
        <w:t>notice of intention to appeal</w:t>
      </w:r>
      <w:r w:rsidR="00EF101F">
        <w:rPr>
          <w:sz w:val="26"/>
          <w:szCs w:val="26"/>
          <w:lang w:val="en-US"/>
        </w:rPr>
        <w:t>,</w:t>
      </w:r>
      <w:r w:rsidR="00EF101F" w:rsidRPr="00EF101F">
        <w:rPr>
          <w:sz w:val="26"/>
          <w:szCs w:val="26"/>
          <w:lang w:val="en-US"/>
        </w:rPr>
        <w:t xml:space="preserve"> and </w:t>
      </w:r>
      <w:r w:rsidR="00EA2C51" w:rsidRPr="00EA2C51">
        <w:rPr>
          <w:sz w:val="26"/>
          <w:szCs w:val="26"/>
          <w:lang w:val="en-US"/>
        </w:rPr>
        <w:t>direct</w:t>
      </w:r>
      <w:r>
        <w:rPr>
          <w:sz w:val="26"/>
          <w:szCs w:val="26"/>
          <w:lang w:val="en-US"/>
        </w:rPr>
        <w:t>ing</w:t>
      </w:r>
      <w:r w:rsidR="00EA2C51" w:rsidRPr="00EA2C51">
        <w:rPr>
          <w:sz w:val="26"/>
          <w:szCs w:val="26"/>
          <w:lang w:val="en-US"/>
        </w:rPr>
        <w:t xml:space="preserve"> h</w:t>
      </w:r>
      <w:r w:rsidR="00EA2C51">
        <w:rPr>
          <w:sz w:val="26"/>
          <w:szCs w:val="26"/>
          <w:lang w:val="en-US"/>
        </w:rPr>
        <w:t xml:space="preserve">er to </w:t>
      </w:r>
      <w:r w:rsidR="00EA2C51" w:rsidRPr="00EA2C51">
        <w:rPr>
          <w:sz w:val="26"/>
          <w:szCs w:val="26"/>
          <w:lang w:val="en-US"/>
        </w:rPr>
        <w:t xml:space="preserve">lodge a written notice of appeal </w:t>
      </w:r>
      <w:r w:rsidR="00AA3DC6">
        <w:rPr>
          <w:sz w:val="26"/>
          <w:szCs w:val="26"/>
          <w:lang w:val="en-US"/>
        </w:rPr>
        <w:t>in this Court</w:t>
      </w:r>
      <w:r w:rsidR="00AA3DC6" w:rsidRPr="00EA2C51">
        <w:rPr>
          <w:sz w:val="26"/>
          <w:szCs w:val="26"/>
          <w:lang w:val="en-US"/>
        </w:rPr>
        <w:t xml:space="preserve"> </w:t>
      </w:r>
      <w:r w:rsidR="00EA2C51" w:rsidRPr="00EA2C51">
        <w:rPr>
          <w:sz w:val="26"/>
          <w:szCs w:val="26"/>
          <w:lang w:val="en-US"/>
        </w:rPr>
        <w:t xml:space="preserve">within </w:t>
      </w:r>
      <w:r w:rsidR="003225FD" w:rsidRPr="00EA2C51">
        <w:rPr>
          <w:sz w:val="26"/>
          <w:szCs w:val="26"/>
          <w:lang w:val="en-US"/>
        </w:rPr>
        <w:t>21</w:t>
      </w:r>
      <w:r w:rsidR="003225FD">
        <w:rPr>
          <w:sz w:val="26"/>
          <w:szCs w:val="26"/>
          <w:lang w:val="en-US"/>
        </w:rPr>
        <w:t> </w:t>
      </w:r>
      <w:r w:rsidR="00EA2C51" w:rsidRPr="00EA2C51">
        <w:rPr>
          <w:sz w:val="26"/>
          <w:szCs w:val="26"/>
          <w:lang w:val="en-US"/>
        </w:rPr>
        <w:t>business days</w:t>
      </w:r>
      <w:r w:rsidR="00EF5888">
        <w:rPr>
          <w:sz w:val="26"/>
          <w:szCs w:val="26"/>
          <w:lang w:val="en-US"/>
        </w:rPr>
        <w:t>, in terms of section 133 and 138 of the TAA</w:t>
      </w:r>
      <w:r w:rsidR="00576813">
        <w:rPr>
          <w:sz w:val="26"/>
          <w:szCs w:val="26"/>
          <w:lang w:val="en-US"/>
        </w:rPr>
        <w:t xml:space="preserve">. </w:t>
      </w:r>
      <w:r w:rsidR="00AA3DC6">
        <w:rPr>
          <w:sz w:val="26"/>
          <w:szCs w:val="26"/>
          <w:lang w:val="en-US"/>
        </w:rPr>
        <w:t>The 21 business days was to expire on 26 February 2021.</w:t>
      </w:r>
    </w:p>
    <w:p w:rsidR="00EF101F" w:rsidRPr="00EF101F" w:rsidRDefault="00EF101F" w:rsidP="00EF101F">
      <w:pPr>
        <w:pStyle w:val="ListParagraph"/>
        <w:spacing w:after="0" w:line="360" w:lineRule="auto"/>
        <w:ind w:left="0"/>
        <w:jc w:val="both"/>
        <w:rPr>
          <w:sz w:val="26"/>
          <w:szCs w:val="26"/>
        </w:rPr>
      </w:pPr>
    </w:p>
    <w:p w:rsidR="00D33C10" w:rsidRPr="00335ED7" w:rsidRDefault="003225FD" w:rsidP="00D33C10">
      <w:pPr>
        <w:pStyle w:val="ListParagraph"/>
        <w:numPr>
          <w:ilvl w:val="0"/>
          <w:numId w:val="2"/>
        </w:numPr>
        <w:spacing w:after="0" w:line="360" w:lineRule="auto"/>
        <w:ind w:left="0" w:firstLine="0"/>
        <w:jc w:val="both"/>
        <w:rPr>
          <w:sz w:val="26"/>
          <w:szCs w:val="26"/>
        </w:rPr>
      </w:pPr>
      <w:r>
        <w:rPr>
          <w:sz w:val="26"/>
          <w:szCs w:val="26"/>
          <w:lang w:val="en-US"/>
        </w:rPr>
        <w:t xml:space="preserve">A </w:t>
      </w:r>
      <w:r w:rsidR="00AA3DC6">
        <w:rPr>
          <w:sz w:val="26"/>
          <w:szCs w:val="26"/>
          <w:lang w:val="en-US"/>
        </w:rPr>
        <w:t xml:space="preserve">notice of appeal </w:t>
      </w:r>
      <w:r w:rsidR="00AA3DC6" w:rsidRPr="00C112BE">
        <w:rPr>
          <w:sz w:val="26"/>
          <w:szCs w:val="26"/>
          <w:lang w:val="en-US"/>
        </w:rPr>
        <w:t>on behalf</w:t>
      </w:r>
      <w:r w:rsidR="00AA3DC6">
        <w:rPr>
          <w:sz w:val="26"/>
          <w:szCs w:val="26"/>
          <w:lang w:val="en-US"/>
        </w:rPr>
        <w:t xml:space="preserve"> of Ms Poulter was only delivered o</w:t>
      </w:r>
      <w:r w:rsidR="00EF5888">
        <w:rPr>
          <w:sz w:val="26"/>
          <w:szCs w:val="26"/>
          <w:lang w:val="en-US"/>
        </w:rPr>
        <w:t>n 1 March 2021</w:t>
      </w:r>
      <w:r>
        <w:rPr>
          <w:sz w:val="26"/>
          <w:szCs w:val="26"/>
          <w:lang w:val="en-US"/>
        </w:rPr>
        <w:t>.  Furthermore it was filed</w:t>
      </w:r>
      <w:r w:rsidR="00EF5888">
        <w:rPr>
          <w:sz w:val="26"/>
          <w:szCs w:val="26"/>
          <w:lang w:val="en-US"/>
        </w:rPr>
        <w:t xml:space="preserve"> </w:t>
      </w:r>
      <w:r w:rsidR="00D33C10" w:rsidRPr="00D33C10">
        <w:rPr>
          <w:sz w:val="26"/>
          <w:szCs w:val="26"/>
          <w:lang w:val="en-US"/>
        </w:rPr>
        <w:t>in the Tax Court</w:t>
      </w:r>
      <w:r w:rsidR="00107166">
        <w:rPr>
          <w:sz w:val="26"/>
          <w:szCs w:val="26"/>
          <w:lang w:val="en-US"/>
        </w:rPr>
        <w:t xml:space="preserve">, </w:t>
      </w:r>
      <w:r>
        <w:rPr>
          <w:sz w:val="26"/>
          <w:szCs w:val="26"/>
          <w:lang w:val="en-US"/>
        </w:rPr>
        <w:t>not with the registrar of this court</w:t>
      </w:r>
      <w:r w:rsidR="00234120">
        <w:rPr>
          <w:sz w:val="26"/>
          <w:szCs w:val="26"/>
          <w:lang w:val="en-US"/>
        </w:rPr>
        <w:t xml:space="preserve"> which was the relevant court of appeal</w:t>
      </w:r>
      <w:r>
        <w:rPr>
          <w:sz w:val="26"/>
          <w:szCs w:val="26"/>
          <w:lang w:val="en-US"/>
        </w:rPr>
        <w:t xml:space="preserve">. The notice was </w:t>
      </w:r>
      <w:r w:rsidR="00107166">
        <w:rPr>
          <w:sz w:val="26"/>
          <w:szCs w:val="26"/>
          <w:lang w:val="en-US"/>
        </w:rPr>
        <w:t xml:space="preserve">signed by Mr </w:t>
      </w:r>
      <w:r w:rsidR="00234120">
        <w:rPr>
          <w:sz w:val="26"/>
          <w:szCs w:val="26"/>
          <w:lang w:val="en-US"/>
        </w:rPr>
        <w:t>van der Merwe</w:t>
      </w:r>
      <w:r>
        <w:rPr>
          <w:sz w:val="26"/>
          <w:szCs w:val="26"/>
          <w:lang w:val="en-US"/>
        </w:rPr>
        <w:t>, who purported to be her representative</w:t>
      </w:r>
      <w:r w:rsidR="00EF5888">
        <w:rPr>
          <w:sz w:val="26"/>
          <w:szCs w:val="26"/>
          <w:lang w:val="en-US"/>
        </w:rPr>
        <w:t xml:space="preserve">. </w:t>
      </w:r>
      <w:r>
        <w:rPr>
          <w:sz w:val="26"/>
          <w:szCs w:val="26"/>
          <w:lang w:val="en-US"/>
        </w:rPr>
        <w:t xml:space="preserve"> Mr van der Merwe is not an advocate or attorney with right of appearance in the High Court. </w:t>
      </w:r>
      <w:r w:rsidR="00EF5888">
        <w:rPr>
          <w:sz w:val="26"/>
          <w:szCs w:val="26"/>
          <w:lang w:val="en-US"/>
        </w:rPr>
        <w:t xml:space="preserve">On </w:t>
      </w:r>
      <w:r w:rsidR="00234120">
        <w:rPr>
          <w:sz w:val="26"/>
          <w:szCs w:val="26"/>
          <w:lang w:val="en-US"/>
        </w:rPr>
        <w:t xml:space="preserve">the </w:t>
      </w:r>
      <w:r w:rsidR="00EF5888">
        <w:rPr>
          <w:sz w:val="26"/>
          <w:szCs w:val="26"/>
          <w:lang w:val="en-US"/>
        </w:rPr>
        <w:t>same day t</w:t>
      </w:r>
      <w:r w:rsidR="000453DB">
        <w:rPr>
          <w:sz w:val="26"/>
          <w:szCs w:val="26"/>
          <w:lang w:val="en-US"/>
        </w:rPr>
        <w:t>he CSAR</w:t>
      </w:r>
      <w:r w:rsidR="00C07DE0">
        <w:rPr>
          <w:sz w:val="26"/>
          <w:szCs w:val="26"/>
          <w:lang w:val="en-US"/>
        </w:rPr>
        <w:t>S</w:t>
      </w:r>
      <w:r w:rsidR="00D33C10">
        <w:rPr>
          <w:sz w:val="26"/>
          <w:szCs w:val="26"/>
          <w:lang w:val="en-US"/>
        </w:rPr>
        <w:t xml:space="preserve"> sent</w:t>
      </w:r>
      <w:r w:rsidR="000453DB" w:rsidRPr="000453DB">
        <w:rPr>
          <w:sz w:val="26"/>
          <w:szCs w:val="26"/>
          <w:lang w:val="en-US"/>
        </w:rPr>
        <w:t xml:space="preserve"> </w:t>
      </w:r>
      <w:r w:rsidR="00D33C10" w:rsidRPr="000453DB">
        <w:rPr>
          <w:sz w:val="26"/>
          <w:szCs w:val="26"/>
          <w:lang w:val="en-US"/>
        </w:rPr>
        <w:t>correspondence to</w:t>
      </w:r>
      <w:r w:rsidR="00D33C10">
        <w:rPr>
          <w:sz w:val="26"/>
          <w:szCs w:val="26"/>
          <w:lang w:val="en-US"/>
        </w:rPr>
        <w:t xml:space="preserve"> Mr </w:t>
      </w:r>
      <w:r w:rsidR="00234120">
        <w:rPr>
          <w:sz w:val="26"/>
          <w:szCs w:val="26"/>
          <w:lang w:val="en-US"/>
        </w:rPr>
        <w:t>van der Merwe pointing out</w:t>
      </w:r>
      <w:r w:rsidR="00D33C10" w:rsidRPr="00D33C10">
        <w:rPr>
          <w:sz w:val="26"/>
          <w:szCs w:val="26"/>
          <w:lang w:val="en-US"/>
        </w:rPr>
        <w:t xml:space="preserve"> that the notice of appeal was out of time</w:t>
      </w:r>
      <w:r w:rsidR="00074380">
        <w:rPr>
          <w:sz w:val="26"/>
          <w:szCs w:val="26"/>
          <w:lang w:val="en-US"/>
        </w:rPr>
        <w:t xml:space="preserve"> and </w:t>
      </w:r>
      <w:r w:rsidR="00234120">
        <w:rPr>
          <w:sz w:val="26"/>
          <w:szCs w:val="26"/>
          <w:lang w:val="en-US"/>
        </w:rPr>
        <w:t xml:space="preserve">had been </w:t>
      </w:r>
      <w:r w:rsidR="00C07DE0">
        <w:rPr>
          <w:sz w:val="26"/>
          <w:szCs w:val="26"/>
          <w:lang w:val="en-US"/>
        </w:rPr>
        <w:t xml:space="preserve">filed </w:t>
      </w:r>
      <w:r w:rsidR="00074380">
        <w:rPr>
          <w:sz w:val="26"/>
          <w:szCs w:val="26"/>
          <w:lang w:val="en-US"/>
        </w:rPr>
        <w:t>in the wrong forum</w:t>
      </w:r>
      <w:r w:rsidR="00AA3DC6">
        <w:rPr>
          <w:sz w:val="26"/>
          <w:szCs w:val="26"/>
          <w:lang w:val="en-US"/>
        </w:rPr>
        <w:t>.</w:t>
      </w:r>
    </w:p>
    <w:p w:rsidR="00335ED7" w:rsidRPr="00335ED7" w:rsidRDefault="00335ED7" w:rsidP="00335ED7">
      <w:pPr>
        <w:pStyle w:val="ListParagraph"/>
        <w:rPr>
          <w:sz w:val="26"/>
          <w:szCs w:val="26"/>
        </w:rPr>
      </w:pPr>
    </w:p>
    <w:p w:rsidR="00EF101F" w:rsidRPr="00D33C10" w:rsidRDefault="000453DB" w:rsidP="00D33C10">
      <w:pPr>
        <w:pStyle w:val="ListParagraph"/>
        <w:numPr>
          <w:ilvl w:val="0"/>
          <w:numId w:val="2"/>
        </w:numPr>
        <w:spacing w:after="0" w:line="360" w:lineRule="auto"/>
        <w:ind w:left="0" w:firstLine="0"/>
        <w:jc w:val="both"/>
        <w:rPr>
          <w:sz w:val="26"/>
          <w:szCs w:val="26"/>
        </w:rPr>
      </w:pPr>
      <w:r>
        <w:rPr>
          <w:sz w:val="26"/>
          <w:szCs w:val="26"/>
        </w:rPr>
        <w:t>O</w:t>
      </w:r>
      <w:r w:rsidRPr="000453DB">
        <w:rPr>
          <w:sz w:val="26"/>
          <w:szCs w:val="26"/>
          <w:lang w:val="en-US"/>
        </w:rPr>
        <w:t xml:space="preserve">n 8 March 2021 </w:t>
      </w:r>
      <w:r>
        <w:rPr>
          <w:sz w:val="26"/>
          <w:szCs w:val="26"/>
          <w:lang w:val="en-US"/>
        </w:rPr>
        <w:t>a condo</w:t>
      </w:r>
      <w:r w:rsidRPr="000453DB">
        <w:rPr>
          <w:sz w:val="26"/>
          <w:szCs w:val="26"/>
          <w:lang w:val="en-US"/>
        </w:rPr>
        <w:t xml:space="preserve">nation application was </w:t>
      </w:r>
      <w:r>
        <w:rPr>
          <w:sz w:val="26"/>
          <w:szCs w:val="26"/>
          <w:lang w:val="en-US"/>
        </w:rPr>
        <w:t>deliver</w:t>
      </w:r>
      <w:r w:rsidRPr="000453DB">
        <w:rPr>
          <w:sz w:val="26"/>
          <w:szCs w:val="26"/>
          <w:lang w:val="en-US"/>
        </w:rPr>
        <w:t xml:space="preserve">ed on behalf of </w:t>
      </w:r>
      <w:r w:rsidR="00234120">
        <w:rPr>
          <w:sz w:val="26"/>
          <w:szCs w:val="26"/>
          <w:lang w:val="en-US"/>
        </w:rPr>
        <w:t>M</w:t>
      </w:r>
      <w:r w:rsidR="00234120" w:rsidRPr="000453DB">
        <w:rPr>
          <w:sz w:val="26"/>
          <w:szCs w:val="26"/>
          <w:lang w:val="en-US"/>
        </w:rPr>
        <w:t>s</w:t>
      </w:r>
      <w:r w:rsidR="00234120">
        <w:rPr>
          <w:sz w:val="26"/>
          <w:szCs w:val="26"/>
          <w:lang w:val="en-US"/>
        </w:rPr>
        <w:t> </w:t>
      </w:r>
      <w:r>
        <w:rPr>
          <w:sz w:val="26"/>
          <w:szCs w:val="26"/>
          <w:lang w:val="en-US"/>
        </w:rPr>
        <w:t>Poulter</w:t>
      </w:r>
      <w:r w:rsidR="00A70D0F">
        <w:rPr>
          <w:sz w:val="26"/>
          <w:szCs w:val="26"/>
          <w:lang w:val="en-US"/>
        </w:rPr>
        <w:t xml:space="preserve">. However, it was lodged </w:t>
      </w:r>
      <w:r w:rsidR="00F55420" w:rsidRPr="00F55420">
        <w:rPr>
          <w:sz w:val="26"/>
          <w:szCs w:val="26"/>
          <w:lang w:val="en-US"/>
        </w:rPr>
        <w:t>in the Tax Court</w:t>
      </w:r>
      <w:r>
        <w:rPr>
          <w:sz w:val="26"/>
          <w:szCs w:val="26"/>
          <w:lang w:val="en-US"/>
        </w:rPr>
        <w:t xml:space="preserve">, </w:t>
      </w:r>
      <w:r w:rsidR="00A70D0F">
        <w:rPr>
          <w:sz w:val="26"/>
          <w:szCs w:val="26"/>
          <w:lang w:val="en-US"/>
        </w:rPr>
        <w:t xml:space="preserve">and was </w:t>
      </w:r>
      <w:r w:rsidRPr="000453DB">
        <w:rPr>
          <w:sz w:val="26"/>
          <w:szCs w:val="26"/>
          <w:lang w:val="en-US"/>
        </w:rPr>
        <w:t>signed by Mr</w:t>
      </w:r>
      <w:r>
        <w:rPr>
          <w:sz w:val="26"/>
          <w:szCs w:val="26"/>
          <w:lang w:val="en-US"/>
        </w:rPr>
        <w:t xml:space="preserve"> </w:t>
      </w:r>
      <w:r w:rsidR="00234120">
        <w:rPr>
          <w:sz w:val="26"/>
          <w:szCs w:val="26"/>
          <w:lang w:val="en-US"/>
        </w:rPr>
        <w:t>van der Merwe</w:t>
      </w:r>
      <w:r w:rsidR="00D33C10">
        <w:rPr>
          <w:sz w:val="26"/>
          <w:szCs w:val="26"/>
          <w:lang w:val="en-US"/>
        </w:rPr>
        <w:t xml:space="preserve">. The CSARS </w:t>
      </w:r>
      <w:r w:rsidR="00234120">
        <w:rPr>
          <w:sz w:val="26"/>
          <w:szCs w:val="26"/>
          <w:lang w:val="en-US"/>
        </w:rPr>
        <w:t xml:space="preserve">responded </w:t>
      </w:r>
      <w:r w:rsidR="00D33C10">
        <w:rPr>
          <w:sz w:val="26"/>
          <w:szCs w:val="26"/>
          <w:lang w:val="en-US"/>
        </w:rPr>
        <w:t xml:space="preserve">by </w:t>
      </w:r>
      <w:r w:rsidR="00A70D0F">
        <w:rPr>
          <w:sz w:val="26"/>
          <w:szCs w:val="26"/>
          <w:lang w:val="en-US"/>
        </w:rPr>
        <w:t>filing</w:t>
      </w:r>
      <w:r w:rsidR="00D33C10">
        <w:rPr>
          <w:sz w:val="26"/>
          <w:szCs w:val="26"/>
          <w:lang w:val="en-US"/>
        </w:rPr>
        <w:t xml:space="preserve"> a</w:t>
      </w:r>
      <w:r w:rsidR="00D33C10" w:rsidRPr="00042D50">
        <w:rPr>
          <w:sz w:val="26"/>
          <w:szCs w:val="26"/>
          <w:lang w:val="en-US"/>
        </w:rPr>
        <w:t xml:space="preserve"> notice in terms of</w:t>
      </w:r>
      <w:r w:rsidR="00D33C10">
        <w:rPr>
          <w:sz w:val="26"/>
          <w:szCs w:val="26"/>
          <w:lang w:val="en-US"/>
        </w:rPr>
        <w:t xml:space="preserve"> </w:t>
      </w:r>
      <w:r w:rsidR="00573289">
        <w:rPr>
          <w:sz w:val="26"/>
          <w:szCs w:val="26"/>
          <w:lang w:val="en-US"/>
        </w:rPr>
        <w:t xml:space="preserve">Uniform </w:t>
      </w:r>
      <w:r w:rsidR="00D33C10">
        <w:rPr>
          <w:sz w:val="26"/>
          <w:szCs w:val="26"/>
          <w:lang w:val="en-US"/>
        </w:rPr>
        <w:t>R</w:t>
      </w:r>
      <w:r w:rsidR="00D33C10" w:rsidRPr="00042D50">
        <w:rPr>
          <w:sz w:val="26"/>
          <w:szCs w:val="26"/>
          <w:lang w:val="en-US"/>
        </w:rPr>
        <w:t>ule 30</w:t>
      </w:r>
      <w:r w:rsidR="00D33C10">
        <w:rPr>
          <w:sz w:val="26"/>
          <w:szCs w:val="26"/>
          <w:lang w:val="en-US"/>
        </w:rPr>
        <w:t xml:space="preserve">(2)(b) </w:t>
      </w:r>
      <w:r w:rsidR="00074380">
        <w:rPr>
          <w:sz w:val="26"/>
          <w:szCs w:val="26"/>
          <w:lang w:val="en-US"/>
        </w:rPr>
        <w:t xml:space="preserve">in the Tax Court </w:t>
      </w:r>
      <w:r w:rsidR="00D33C10">
        <w:rPr>
          <w:sz w:val="26"/>
          <w:szCs w:val="26"/>
          <w:lang w:val="en-US"/>
        </w:rPr>
        <w:t xml:space="preserve">dated </w:t>
      </w:r>
      <w:r w:rsidR="00D33C10" w:rsidRPr="00F55420">
        <w:rPr>
          <w:sz w:val="26"/>
          <w:szCs w:val="26"/>
          <w:lang w:val="en-US"/>
        </w:rPr>
        <w:t>23 March 2021</w:t>
      </w:r>
      <w:r w:rsidR="00573289">
        <w:rPr>
          <w:sz w:val="26"/>
          <w:szCs w:val="26"/>
          <w:lang w:val="en-US"/>
        </w:rPr>
        <w:t>.</w:t>
      </w:r>
      <w:r w:rsidR="00D33C10">
        <w:rPr>
          <w:sz w:val="26"/>
          <w:szCs w:val="26"/>
          <w:lang w:val="en-US"/>
        </w:rPr>
        <w:t xml:space="preserve"> </w:t>
      </w:r>
      <w:r w:rsidR="00D33C10" w:rsidRPr="00D33C10">
        <w:rPr>
          <w:sz w:val="26"/>
          <w:szCs w:val="26"/>
          <w:lang w:val="en-US"/>
        </w:rPr>
        <w:t xml:space="preserve"> </w:t>
      </w:r>
      <w:r w:rsidR="00573289">
        <w:rPr>
          <w:sz w:val="26"/>
          <w:szCs w:val="26"/>
          <w:lang w:val="en-US"/>
        </w:rPr>
        <w:t xml:space="preserve">The CSARS took the position that </w:t>
      </w:r>
      <w:r w:rsidR="00D33C10" w:rsidRPr="00D33C10">
        <w:rPr>
          <w:sz w:val="26"/>
          <w:szCs w:val="26"/>
          <w:lang w:val="en-US"/>
        </w:rPr>
        <w:t>that</w:t>
      </w:r>
      <w:r w:rsidR="00D33C10">
        <w:rPr>
          <w:sz w:val="26"/>
          <w:szCs w:val="26"/>
        </w:rPr>
        <w:t xml:space="preserve"> </w:t>
      </w:r>
      <w:r w:rsidR="00A70D0F" w:rsidRPr="00042D50">
        <w:rPr>
          <w:sz w:val="26"/>
          <w:szCs w:val="26"/>
          <w:lang w:val="en-US"/>
        </w:rPr>
        <w:t xml:space="preserve">the </w:t>
      </w:r>
      <w:r w:rsidR="00A70D0F" w:rsidRPr="00F55420">
        <w:rPr>
          <w:sz w:val="26"/>
          <w:szCs w:val="26"/>
          <w:lang w:val="en-US"/>
        </w:rPr>
        <w:t>condonation application</w:t>
      </w:r>
      <w:r w:rsidR="00A70D0F">
        <w:rPr>
          <w:sz w:val="26"/>
          <w:szCs w:val="26"/>
          <w:lang w:val="en-US"/>
        </w:rPr>
        <w:t xml:space="preserve"> </w:t>
      </w:r>
      <w:r w:rsidR="00F55420" w:rsidRPr="00D33C10">
        <w:rPr>
          <w:sz w:val="26"/>
          <w:szCs w:val="26"/>
          <w:lang w:val="en-US"/>
        </w:rPr>
        <w:t xml:space="preserve">constituted an irregular step </w:t>
      </w:r>
      <w:r w:rsidR="00450A4C" w:rsidRPr="00D33C10">
        <w:rPr>
          <w:sz w:val="26"/>
          <w:szCs w:val="26"/>
          <w:lang w:val="en-US"/>
        </w:rPr>
        <w:t xml:space="preserve">because it </w:t>
      </w:r>
      <w:r w:rsidR="00573289">
        <w:rPr>
          <w:sz w:val="26"/>
          <w:szCs w:val="26"/>
          <w:lang w:val="en-US"/>
        </w:rPr>
        <w:t>had been</w:t>
      </w:r>
      <w:r w:rsidR="00573289" w:rsidRPr="00D33C10">
        <w:rPr>
          <w:sz w:val="26"/>
          <w:szCs w:val="26"/>
          <w:lang w:val="en-US"/>
        </w:rPr>
        <w:t xml:space="preserve"> </w:t>
      </w:r>
      <w:r w:rsidR="00450A4C" w:rsidRPr="00D33C10">
        <w:rPr>
          <w:sz w:val="26"/>
          <w:szCs w:val="26"/>
          <w:lang w:val="en-US"/>
        </w:rPr>
        <w:t>filed</w:t>
      </w:r>
      <w:r w:rsidR="00F55420" w:rsidRPr="00D33C10">
        <w:rPr>
          <w:sz w:val="26"/>
          <w:szCs w:val="26"/>
          <w:lang w:val="en-US"/>
        </w:rPr>
        <w:t xml:space="preserve"> in the wrong forum</w:t>
      </w:r>
      <w:r w:rsidR="00C07DE0">
        <w:rPr>
          <w:sz w:val="26"/>
          <w:szCs w:val="26"/>
          <w:lang w:val="en-US"/>
        </w:rPr>
        <w:t>,</w:t>
      </w:r>
      <w:r w:rsidR="00D632A8" w:rsidRPr="00D33C10">
        <w:rPr>
          <w:sz w:val="26"/>
          <w:szCs w:val="26"/>
          <w:lang w:val="en-US"/>
        </w:rPr>
        <w:t xml:space="preserve"> was </w:t>
      </w:r>
      <w:r w:rsidR="00450A4C" w:rsidRPr="00D33C10">
        <w:rPr>
          <w:sz w:val="26"/>
          <w:szCs w:val="26"/>
          <w:lang w:val="en-US"/>
        </w:rPr>
        <w:t>out of time</w:t>
      </w:r>
      <w:r w:rsidR="00C07DE0">
        <w:rPr>
          <w:sz w:val="26"/>
          <w:szCs w:val="26"/>
          <w:lang w:val="en-US"/>
        </w:rPr>
        <w:t>,</w:t>
      </w:r>
      <w:r w:rsidR="00450A4C" w:rsidRPr="00D33C10">
        <w:rPr>
          <w:sz w:val="26"/>
          <w:szCs w:val="26"/>
          <w:lang w:val="en-US"/>
        </w:rPr>
        <w:t xml:space="preserve"> and </w:t>
      </w:r>
      <w:r w:rsidR="00D632A8" w:rsidRPr="00D33C10">
        <w:rPr>
          <w:sz w:val="26"/>
          <w:szCs w:val="26"/>
          <w:lang w:val="en-US"/>
        </w:rPr>
        <w:t>was not signed by the taxpayer, or a legal practitioner</w:t>
      </w:r>
      <w:r w:rsidR="00C07DE0">
        <w:rPr>
          <w:sz w:val="26"/>
          <w:szCs w:val="26"/>
          <w:lang w:val="en-US"/>
        </w:rPr>
        <w:t xml:space="preserve"> on her behalf</w:t>
      </w:r>
      <w:r w:rsidR="00F55420" w:rsidRPr="00D33C10">
        <w:rPr>
          <w:sz w:val="26"/>
          <w:szCs w:val="26"/>
          <w:lang w:val="en-US"/>
        </w:rPr>
        <w:t>.</w:t>
      </w:r>
    </w:p>
    <w:p w:rsidR="00042D50" w:rsidRPr="00042D50" w:rsidRDefault="00042D50" w:rsidP="00042D50">
      <w:pPr>
        <w:pStyle w:val="ListParagraph"/>
        <w:rPr>
          <w:sz w:val="26"/>
          <w:szCs w:val="26"/>
        </w:rPr>
      </w:pPr>
    </w:p>
    <w:p w:rsidR="009A385A" w:rsidRPr="009A385A" w:rsidRDefault="00861863" w:rsidP="00861863">
      <w:pPr>
        <w:pStyle w:val="ListParagraph"/>
        <w:numPr>
          <w:ilvl w:val="0"/>
          <w:numId w:val="2"/>
        </w:numPr>
        <w:spacing w:after="0" w:line="360" w:lineRule="auto"/>
        <w:ind w:left="0" w:firstLine="0"/>
        <w:jc w:val="both"/>
        <w:rPr>
          <w:sz w:val="26"/>
          <w:szCs w:val="26"/>
        </w:rPr>
      </w:pPr>
      <w:r w:rsidRPr="00D85AEF">
        <w:rPr>
          <w:sz w:val="26"/>
          <w:szCs w:val="26"/>
          <w:lang w:val="en-US"/>
        </w:rPr>
        <w:t>On 31 Ma</w:t>
      </w:r>
      <w:r>
        <w:rPr>
          <w:sz w:val="26"/>
          <w:szCs w:val="26"/>
          <w:lang w:val="en-US"/>
        </w:rPr>
        <w:t xml:space="preserve">rch </w:t>
      </w:r>
      <w:r w:rsidRPr="00D85AEF">
        <w:rPr>
          <w:sz w:val="26"/>
          <w:szCs w:val="26"/>
          <w:lang w:val="en-US"/>
        </w:rPr>
        <w:t xml:space="preserve">2021 </w:t>
      </w:r>
      <w:r w:rsidR="00107166">
        <w:rPr>
          <w:sz w:val="26"/>
          <w:szCs w:val="26"/>
          <w:lang w:val="en-US"/>
        </w:rPr>
        <w:t xml:space="preserve">a notice of withdrawal of </w:t>
      </w:r>
      <w:r w:rsidRPr="00D85AEF">
        <w:rPr>
          <w:sz w:val="26"/>
          <w:szCs w:val="26"/>
          <w:lang w:val="en-US"/>
        </w:rPr>
        <w:t>the cond</w:t>
      </w:r>
      <w:r>
        <w:rPr>
          <w:sz w:val="26"/>
          <w:szCs w:val="26"/>
          <w:lang w:val="en-US"/>
        </w:rPr>
        <w:t>o</w:t>
      </w:r>
      <w:r w:rsidRPr="00D85AEF">
        <w:rPr>
          <w:sz w:val="26"/>
          <w:szCs w:val="26"/>
          <w:lang w:val="en-US"/>
        </w:rPr>
        <w:t xml:space="preserve">nation application of </w:t>
      </w:r>
      <w:r w:rsidR="00573289">
        <w:rPr>
          <w:sz w:val="26"/>
          <w:szCs w:val="26"/>
          <w:lang w:val="en-US"/>
        </w:rPr>
        <w:t>8 </w:t>
      </w:r>
      <w:r w:rsidRPr="00D85AEF">
        <w:rPr>
          <w:sz w:val="26"/>
          <w:szCs w:val="26"/>
          <w:lang w:val="en-US"/>
        </w:rPr>
        <w:t>March 2021</w:t>
      </w:r>
      <w:r w:rsidR="00074380">
        <w:rPr>
          <w:sz w:val="26"/>
          <w:szCs w:val="26"/>
          <w:lang w:val="en-US"/>
        </w:rPr>
        <w:t xml:space="preserve"> </w:t>
      </w:r>
      <w:r w:rsidR="00107166">
        <w:rPr>
          <w:sz w:val="26"/>
          <w:szCs w:val="26"/>
          <w:lang w:val="en-US"/>
        </w:rPr>
        <w:t xml:space="preserve">was </w:t>
      </w:r>
      <w:r w:rsidR="00BA0528">
        <w:rPr>
          <w:sz w:val="26"/>
          <w:szCs w:val="26"/>
          <w:lang w:val="en-US"/>
        </w:rPr>
        <w:t>fil</w:t>
      </w:r>
      <w:r w:rsidR="00107166">
        <w:rPr>
          <w:sz w:val="26"/>
          <w:szCs w:val="26"/>
          <w:lang w:val="en-US"/>
        </w:rPr>
        <w:t xml:space="preserve">ed </w:t>
      </w:r>
      <w:r w:rsidR="00BA0528">
        <w:rPr>
          <w:sz w:val="26"/>
          <w:szCs w:val="26"/>
          <w:lang w:val="en-US"/>
        </w:rPr>
        <w:t>in the Tax Court</w:t>
      </w:r>
      <w:r w:rsidR="00BA0528" w:rsidRPr="00107166">
        <w:rPr>
          <w:sz w:val="26"/>
          <w:szCs w:val="26"/>
          <w:lang w:val="en-US"/>
        </w:rPr>
        <w:t xml:space="preserve"> </w:t>
      </w:r>
      <w:r w:rsidR="00107166">
        <w:rPr>
          <w:sz w:val="26"/>
          <w:szCs w:val="26"/>
          <w:lang w:val="en-US"/>
        </w:rPr>
        <w:t>on behalf of M</w:t>
      </w:r>
      <w:r w:rsidR="00107166" w:rsidRPr="00D85AEF">
        <w:rPr>
          <w:sz w:val="26"/>
          <w:szCs w:val="26"/>
          <w:lang w:val="en-US"/>
        </w:rPr>
        <w:t>s Poulter</w:t>
      </w:r>
      <w:r>
        <w:rPr>
          <w:sz w:val="26"/>
          <w:szCs w:val="26"/>
          <w:lang w:val="en-US"/>
        </w:rPr>
        <w:t>,</w:t>
      </w:r>
      <w:r w:rsidRPr="00D85AEF">
        <w:rPr>
          <w:sz w:val="26"/>
          <w:szCs w:val="26"/>
          <w:lang w:val="en-US"/>
        </w:rPr>
        <w:t xml:space="preserve"> </w:t>
      </w:r>
      <w:r w:rsidR="00573289">
        <w:rPr>
          <w:sz w:val="26"/>
          <w:szCs w:val="26"/>
          <w:lang w:val="en-US"/>
        </w:rPr>
        <w:t xml:space="preserve">again </w:t>
      </w:r>
      <w:r w:rsidR="00107166">
        <w:rPr>
          <w:sz w:val="26"/>
          <w:szCs w:val="26"/>
          <w:lang w:val="en-US"/>
        </w:rPr>
        <w:t xml:space="preserve">signed by Mr </w:t>
      </w:r>
      <w:r w:rsidR="00234120">
        <w:rPr>
          <w:sz w:val="26"/>
          <w:szCs w:val="26"/>
          <w:lang w:val="en-US"/>
        </w:rPr>
        <w:t>van der Merwe</w:t>
      </w:r>
      <w:r w:rsidR="00107166">
        <w:rPr>
          <w:sz w:val="26"/>
          <w:szCs w:val="26"/>
          <w:lang w:val="en-US"/>
        </w:rPr>
        <w:t xml:space="preserve">. </w:t>
      </w:r>
      <w:r w:rsidR="000C08F8" w:rsidRPr="000C08F8">
        <w:rPr>
          <w:sz w:val="26"/>
          <w:szCs w:val="26"/>
          <w:lang w:val="en-US"/>
        </w:rPr>
        <w:t>This prompted the</w:t>
      </w:r>
      <w:r w:rsidR="000C08F8">
        <w:rPr>
          <w:sz w:val="26"/>
          <w:szCs w:val="26"/>
          <w:lang w:val="en-US"/>
        </w:rPr>
        <w:t xml:space="preserve"> CSAR</w:t>
      </w:r>
      <w:r w:rsidR="00C07DE0">
        <w:rPr>
          <w:sz w:val="26"/>
          <w:szCs w:val="26"/>
          <w:lang w:val="en-US"/>
        </w:rPr>
        <w:t>S</w:t>
      </w:r>
      <w:r w:rsidR="007713C4">
        <w:rPr>
          <w:sz w:val="26"/>
          <w:szCs w:val="26"/>
          <w:lang w:val="en-US"/>
        </w:rPr>
        <w:t xml:space="preserve"> </w:t>
      </w:r>
      <w:r w:rsidR="007713C4" w:rsidRPr="007713C4">
        <w:rPr>
          <w:sz w:val="26"/>
          <w:szCs w:val="26"/>
          <w:lang w:val="en-US"/>
        </w:rPr>
        <w:t xml:space="preserve">to </w:t>
      </w:r>
      <w:r w:rsidR="00573289">
        <w:rPr>
          <w:sz w:val="26"/>
          <w:szCs w:val="26"/>
          <w:lang w:val="en-US"/>
        </w:rPr>
        <w:t xml:space="preserve">write </w:t>
      </w:r>
      <w:r w:rsidR="007713C4" w:rsidRPr="007713C4">
        <w:rPr>
          <w:sz w:val="26"/>
          <w:szCs w:val="26"/>
          <w:lang w:val="en-US"/>
        </w:rPr>
        <w:t xml:space="preserve">to </w:t>
      </w:r>
      <w:r w:rsidR="007713C4">
        <w:rPr>
          <w:sz w:val="26"/>
          <w:szCs w:val="26"/>
          <w:lang w:val="en-US"/>
        </w:rPr>
        <w:t>M</w:t>
      </w:r>
      <w:r w:rsidR="007713C4" w:rsidRPr="007713C4">
        <w:rPr>
          <w:sz w:val="26"/>
          <w:szCs w:val="26"/>
          <w:lang w:val="en-US"/>
        </w:rPr>
        <w:t xml:space="preserve">s </w:t>
      </w:r>
      <w:r w:rsidR="007713C4">
        <w:rPr>
          <w:sz w:val="26"/>
          <w:szCs w:val="26"/>
          <w:lang w:val="en-US"/>
        </w:rPr>
        <w:t>P</w:t>
      </w:r>
      <w:r w:rsidR="007713C4" w:rsidRPr="007713C4">
        <w:rPr>
          <w:sz w:val="26"/>
          <w:szCs w:val="26"/>
          <w:lang w:val="en-US"/>
        </w:rPr>
        <w:t>o</w:t>
      </w:r>
      <w:r w:rsidR="007713C4">
        <w:rPr>
          <w:sz w:val="26"/>
          <w:szCs w:val="26"/>
          <w:lang w:val="en-US"/>
        </w:rPr>
        <w:t>u</w:t>
      </w:r>
      <w:r w:rsidR="007713C4" w:rsidRPr="007713C4">
        <w:rPr>
          <w:sz w:val="26"/>
          <w:szCs w:val="26"/>
          <w:lang w:val="en-US"/>
        </w:rPr>
        <w:t xml:space="preserve">lter </w:t>
      </w:r>
      <w:r w:rsidR="00573289">
        <w:rPr>
          <w:sz w:val="26"/>
          <w:szCs w:val="26"/>
          <w:lang w:val="en-US"/>
        </w:rPr>
        <w:t>on</w:t>
      </w:r>
      <w:r w:rsidR="00573289" w:rsidRPr="007713C4">
        <w:rPr>
          <w:sz w:val="26"/>
          <w:szCs w:val="26"/>
          <w:lang w:val="en-US"/>
        </w:rPr>
        <w:t xml:space="preserve"> 6 April 2021</w:t>
      </w:r>
      <w:r w:rsidR="00573289">
        <w:rPr>
          <w:sz w:val="26"/>
          <w:szCs w:val="26"/>
          <w:lang w:val="en-US"/>
        </w:rPr>
        <w:t xml:space="preserve"> </w:t>
      </w:r>
      <w:r w:rsidR="007713C4" w:rsidRPr="007713C4">
        <w:rPr>
          <w:sz w:val="26"/>
          <w:szCs w:val="26"/>
          <w:lang w:val="en-US"/>
        </w:rPr>
        <w:t xml:space="preserve">indicating </w:t>
      </w:r>
      <w:r w:rsidR="00573289">
        <w:rPr>
          <w:sz w:val="26"/>
          <w:szCs w:val="26"/>
          <w:lang w:val="en-US"/>
        </w:rPr>
        <w:t>his</w:t>
      </w:r>
      <w:r w:rsidR="00573289" w:rsidRPr="007713C4">
        <w:rPr>
          <w:sz w:val="26"/>
          <w:szCs w:val="26"/>
          <w:lang w:val="en-US"/>
        </w:rPr>
        <w:t xml:space="preserve"> </w:t>
      </w:r>
      <w:r w:rsidR="007713C4" w:rsidRPr="007713C4">
        <w:rPr>
          <w:sz w:val="26"/>
          <w:szCs w:val="26"/>
          <w:lang w:val="en-US"/>
        </w:rPr>
        <w:t xml:space="preserve">objection </w:t>
      </w:r>
      <w:r w:rsidR="007713C4">
        <w:rPr>
          <w:sz w:val="26"/>
          <w:szCs w:val="26"/>
          <w:lang w:val="en-US"/>
        </w:rPr>
        <w:t>regarding</w:t>
      </w:r>
      <w:r w:rsidR="007713C4" w:rsidRPr="007713C4">
        <w:rPr>
          <w:sz w:val="26"/>
          <w:szCs w:val="26"/>
          <w:lang w:val="en-US"/>
        </w:rPr>
        <w:t xml:space="preserve"> Mr</w:t>
      </w:r>
      <w:r w:rsidR="007713C4">
        <w:rPr>
          <w:sz w:val="26"/>
          <w:szCs w:val="26"/>
          <w:lang w:val="en-US"/>
        </w:rPr>
        <w:t xml:space="preserve"> </w:t>
      </w:r>
      <w:r w:rsidR="00234120">
        <w:rPr>
          <w:sz w:val="26"/>
          <w:szCs w:val="26"/>
          <w:lang w:val="en-US"/>
        </w:rPr>
        <w:t>van der Merwe</w:t>
      </w:r>
      <w:r w:rsidR="007713C4">
        <w:rPr>
          <w:sz w:val="26"/>
          <w:szCs w:val="26"/>
          <w:lang w:val="en-US"/>
        </w:rPr>
        <w:t xml:space="preserve">’s </w:t>
      </w:r>
      <w:r w:rsidR="007713C4" w:rsidRPr="007713C4">
        <w:rPr>
          <w:sz w:val="26"/>
          <w:szCs w:val="26"/>
          <w:lang w:val="en-US"/>
        </w:rPr>
        <w:t xml:space="preserve">representation and signature of </w:t>
      </w:r>
      <w:r w:rsidR="007713C4">
        <w:rPr>
          <w:sz w:val="26"/>
          <w:szCs w:val="26"/>
          <w:lang w:val="en-US"/>
        </w:rPr>
        <w:t xml:space="preserve">her </w:t>
      </w:r>
      <w:r w:rsidR="007713C4" w:rsidRPr="007713C4">
        <w:rPr>
          <w:sz w:val="26"/>
          <w:szCs w:val="26"/>
          <w:lang w:val="en-US"/>
        </w:rPr>
        <w:t>court documents</w:t>
      </w:r>
      <w:r w:rsidR="007713C4">
        <w:rPr>
          <w:sz w:val="26"/>
          <w:szCs w:val="26"/>
          <w:lang w:val="en-US"/>
        </w:rPr>
        <w:t>,</w:t>
      </w:r>
      <w:r w:rsidR="007713C4" w:rsidRPr="007713C4">
        <w:rPr>
          <w:sz w:val="26"/>
          <w:szCs w:val="26"/>
          <w:lang w:val="en-US"/>
        </w:rPr>
        <w:t xml:space="preserve"> inviting her to withdraw the cond</w:t>
      </w:r>
      <w:r w:rsidR="007713C4">
        <w:rPr>
          <w:sz w:val="26"/>
          <w:szCs w:val="26"/>
          <w:lang w:val="en-US"/>
        </w:rPr>
        <w:t>o</w:t>
      </w:r>
      <w:r w:rsidR="007713C4" w:rsidRPr="007713C4">
        <w:rPr>
          <w:sz w:val="26"/>
          <w:szCs w:val="26"/>
          <w:lang w:val="en-US"/>
        </w:rPr>
        <w:t>nation</w:t>
      </w:r>
      <w:r w:rsidR="009A385A">
        <w:rPr>
          <w:sz w:val="26"/>
          <w:szCs w:val="26"/>
          <w:lang w:val="en-US"/>
        </w:rPr>
        <w:t xml:space="preserve"> application</w:t>
      </w:r>
      <w:r w:rsidR="007713C4" w:rsidRPr="007713C4">
        <w:rPr>
          <w:sz w:val="26"/>
          <w:szCs w:val="26"/>
          <w:lang w:val="en-US"/>
        </w:rPr>
        <w:t xml:space="preserve"> and appeal notice</w:t>
      </w:r>
      <w:r w:rsidR="007713C4">
        <w:rPr>
          <w:sz w:val="26"/>
          <w:szCs w:val="26"/>
          <w:lang w:val="en-US"/>
        </w:rPr>
        <w:t>,</w:t>
      </w:r>
      <w:r w:rsidR="007713C4" w:rsidRPr="007713C4">
        <w:rPr>
          <w:sz w:val="26"/>
          <w:szCs w:val="26"/>
          <w:lang w:val="en-US"/>
        </w:rPr>
        <w:t xml:space="preserve"> and to deliver properly signed documents by herself</w:t>
      </w:r>
      <w:r w:rsidR="009A385A">
        <w:rPr>
          <w:sz w:val="26"/>
          <w:szCs w:val="26"/>
          <w:lang w:val="en-US"/>
        </w:rPr>
        <w:t xml:space="preserve"> or a legal practitioner</w:t>
      </w:r>
      <w:r w:rsidR="007713C4">
        <w:rPr>
          <w:sz w:val="26"/>
          <w:szCs w:val="26"/>
          <w:lang w:val="en-US"/>
        </w:rPr>
        <w:t>.</w:t>
      </w:r>
      <w:r w:rsidR="009A385A">
        <w:rPr>
          <w:sz w:val="26"/>
          <w:szCs w:val="26"/>
          <w:lang w:val="en-US"/>
        </w:rPr>
        <w:t xml:space="preserve"> Ms Poulter </w:t>
      </w:r>
      <w:r w:rsidR="005D26B0">
        <w:rPr>
          <w:sz w:val="26"/>
          <w:szCs w:val="26"/>
          <w:lang w:val="en-US"/>
        </w:rPr>
        <w:t>eventually did withdraw her condonation application in the Tax Court, but did so only on 6 June 2021</w:t>
      </w:r>
      <w:r w:rsidR="00BA0528">
        <w:rPr>
          <w:sz w:val="26"/>
          <w:szCs w:val="26"/>
          <w:lang w:val="en-US"/>
        </w:rPr>
        <w:t xml:space="preserve">. </w:t>
      </w:r>
    </w:p>
    <w:p w:rsidR="007713C4" w:rsidRPr="007F77DE" w:rsidRDefault="007713C4" w:rsidP="007F77DE">
      <w:pPr>
        <w:rPr>
          <w:sz w:val="26"/>
          <w:szCs w:val="26"/>
        </w:rPr>
      </w:pPr>
    </w:p>
    <w:p w:rsidR="009A6619" w:rsidRPr="004F02CC" w:rsidRDefault="00BA0528" w:rsidP="004F02CC">
      <w:pPr>
        <w:pStyle w:val="ListParagraph"/>
        <w:numPr>
          <w:ilvl w:val="0"/>
          <w:numId w:val="2"/>
        </w:numPr>
        <w:spacing w:after="0" w:line="360" w:lineRule="auto"/>
        <w:ind w:left="0" w:firstLine="0"/>
        <w:jc w:val="both"/>
        <w:rPr>
          <w:sz w:val="26"/>
          <w:szCs w:val="26"/>
        </w:rPr>
      </w:pPr>
      <w:r>
        <w:rPr>
          <w:sz w:val="26"/>
          <w:szCs w:val="26"/>
        </w:rPr>
        <w:t>Meanwhile</w:t>
      </w:r>
      <w:r w:rsidR="00C07DE0">
        <w:rPr>
          <w:sz w:val="26"/>
          <w:szCs w:val="26"/>
        </w:rPr>
        <w:t>, o</w:t>
      </w:r>
      <w:r w:rsidR="00C07DE0" w:rsidRPr="007F77DE">
        <w:rPr>
          <w:sz w:val="26"/>
          <w:szCs w:val="26"/>
          <w:lang w:val="en-US"/>
        </w:rPr>
        <w:t>n 30 March 2021</w:t>
      </w:r>
      <w:r w:rsidR="005D26B0">
        <w:rPr>
          <w:sz w:val="26"/>
          <w:szCs w:val="26"/>
          <w:lang w:val="en-US"/>
        </w:rPr>
        <w:t>,</w:t>
      </w:r>
      <w:r w:rsidR="00C07DE0">
        <w:rPr>
          <w:sz w:val="26"/>
          <w:szCs w:val="26"/>
          <w:lang w:val="en-US"/>
        </w:rPr>
        <w:t xml:space="preserve"> </w:t>
      </w:r>
      <w:r w:rsidR="00861863" w:rsidRPr="007F77DE">
        <w:rPr>
          <w:sz w:val="26"/>
          <w:szCs w:val="26"/>
          <w:lang w:val="en-US"/>
        </w:rPr>
        <w:t xml:space="preserve">Ms Poulter delivered a </w:t>
      </w:r>
      <w:r w:rsidR="00C07DE0">
        <w:rPr>
          <w:sz w:val="26"/>
          <w:szCs w:val="26"/>
          <w:lang w:val="en-US"/>
        </w:rPr>
        <w:t>n</w:t>
      </w:r>
      <w:r w:rsidR="00861863" w:rsidRPr="007F77DE">
        <w:rPr>
          <w:sz w:val="26"/>
          <w:szCs w:val="26"/>
          <w:lang w:val="en-US"/>
        </w:rPr>
        <w:t xml:space="preserve">otice </w:t>
      </w:r>
      <w:r w:rsidR="00C07DE0">
        <w:rPr>
          <w:sz w:val="26"/>
          <w:szCs w:val="26"/>
          <w:lang w:val="en-US"/>
        </w:rPr>
        <w:t xml:space="preserve">seeking </w:t>
      </w:r>
      <w:r w:rsidR="00457A09">
        <w:rPr>
          <w:sz w:val="26"/>
          <w:szCs w:val="26"/>
          <w:lang w:val="en-US"/>
        </w:rPr>
        <w:t>to</w:t>
      </w:r>
      <w:r w:rsidR="00C07DE0">
        <w:rPr>
          <w:sz w:val="26"/>
          <w:szCs w:val="26"/>
          <w:lang w:val="en-US"/>
        </w:rPr>
        <w:t xml:space="preserve"> a</w:t>
      </w:r>
      <w:r w:rsidR="00861863" w:rsidRPr="007F77DE">
        <w:rPr>
          <w:sz w:val="26"/>
          <w:szCs w:val="26"/>
          <w:lang w:val="en-US"/>
        </w:rPr>
        <w:t xml:space="preserve">ppeal </w:t>
      </w:r>
      <w:r w:rsidR="00457A09" w:rsidRPr="007F77DE">
        <w:rPr>
          <w:sz w:val="26"/>
          <w:szCs w:val="26"/>
          <w:lang w:val="en-US"/>
        </w:rPr>
        <w:t xml:space="preserve">paragraphs 2, 3 and 4 of </w:t>
      </w:r>
      <w:r w:rsidR="00457A09">
        <w:rPr>
          <w:sz w:val="26"/>
          <w:szCs w:val="26"/>
          <w:lang w:val="en-US"/>
        </w:rPr>
        <w:t>Tax Court Order</w:t>
      </w:r>
      <w:r w:rsidR="00457A09" w:rsidRPr="007F77DE">
        <w:rPr>
          <w:sz w:val="26"/>
          <w:szCs w:val="26"/>
          <w:lang w:val="en-US"/>
        </w:rPr>
        <w:t xml:space="preserve"> </w:t>
      </w:r>
      <w:r w:rsidR="00861863" w:rsidRPr="007F77DE">
        <w:rPr>
          <w:sz w:val="26"/>
          <w:szCs w:val="26"/>
          <w:lang w:val="en-US"/>
        </w:rPr>
        <w:t xml:space="preserve">to the full </w:t>
      </w:r>
      <w:r w:rsidR="005D26B0">
        <w:rPr>
          <w:sz w:val="26"/>
          <w:szCs w:val="26"/>
          <w:lang w:val="en-US"/>
        </w:rPr>
        <w:t>court.</w:t>
      </w:r>
      <w:r w:rsidR="005D26B0" w:rsidRPr="007F77DE">
        <w:rPr>
          <w:sz w:val="26"/>
          <w:szCs w:val="26"/>
          <w:lang w:val="en-US"/>
        </w:rPr>
        <w:t xml:space="preserve"> </w:t>
      </w:r>
      <w:r w:rsidR="009A6619" w:rsidRPr="004F02CC">
        <w:rPr>
          <w:sz w:val="26"/>
          <w:szCs w:val="26"/>
          <w:lang w:val="en-US"/>
        </w:rPr>
        <w:t xml:space="preserve">In summary, the grounds for appeal are that, </w:t>
      </w:r>
      <w:r w:rsidR="009A6619" w:rsidRPr="00815761">
        <w:rPr>
          <w:sz w:val="26"/>
          <w:szCs w:val="26"/>
          <w:lang w:val="en-US"/>
        </w:rPr>
        <w:t>in terms of section 129(2), read with section 117(3) of the TAA,</w:t>
      </w:r>
      <w:r w:rsidR="009A6619" w:rsidRPr="004F02CC">
        <w:rPr>
          <w:sz w:val="26"/>
          <w:szCs w:val="26"/>
          <w:lang w:val="en-US"/>
        </w:rPr>
        <w:t xml:space="preserve"> the Tax Court did not have jurisdiction to grant the orders in paragraphs 2 and 3. </w:t>
      </w:r>
      <w:r w:rsidR="005B3B28" w:rsidRPr="004F02CC">
        <w:rPr>
          <w:sz w:val="26"/>
          <w:szCs w:val="26"/>
          <w:lang w:val="en-US"/>
        </w:rPr>
        <w:t xml:space="preserve">Secondly, it is said that the Tax Court erred in granting an order prohibiting Mr </w:t>
      </w:r>
      <w:r w:rsidR="00234120">
        <w:rPr>
          <w:sz w:val="26"/>
          <w:szCs w:val="26"/>
          <w:lang w:val="en-US"/>
        </w:rPr>
        <w:t>van der Merwe</w:t>
      </w:r>
      <w:r w:rsidR="005B3B28" w:rsidRPr="004F02CC">
        <w:rPr>
          <w:sz w:val="26"/>
          <w:szCs w:val="26"/>
          <w:lang w:val="en-US"/>
        </w:rPr>
        <w:t xml:space="preserve"> from appearing on behalf of Ms Poulter </w:t>
      </w:r>
      <w:r w:rsidR="00987522">
        <w:rPr>
          <w:sz w:val="26"/>
          <w:szCs w:val="26"/>
          <w:lang w:val="en-US"/>
        </w:rPr>
        <w:t xml:space="preserve">and placing reliance </w:t>
      </w:r>
      <w:r w:rsidR="005B3B28" w:rsidRPr="004F02CC">
        <w:rPr>
          <w:sz w:val="26"/>
          <w:szCs w:val="26"/>
          <w:lang w:val="en-US"/>
        </w:rPr>
        <w:t xml:space="preserve">on the repeal of section 125(2) of the TAA. Thirdly, the punitive costs order </w:t>
      </w:r>
      <w:r w:rsidR="005B3B28" w:rsidRPr="002F10BA">
        <w:rPr>
          <w:sz w:val="24"/>
          <w:szCs w:val="26"/>
          <w:lang w:val="en-US"/>
        </w:rPr>
        <w:t>granted</w:t>
      </w:r>
      <w:r w:rsidR="005B3B28" w:rsidRPr="004F02CC">
        <w:rPr>
          <w:sz w:val="26"/>
          <w:szCs w:val="26"/>
          <w:lang w:val="en-US"/>
        </w:rPr>
        <w:t xml:space="preserve"> in paragraph 4 is challenged on the basis that, prior to the hearing on the matter on 9 November 2020, Ms Poulter had tendered costs for </w:t>
      </w:r>
      <w:r w:rsidR="00987522">
        <w:rPr>
          <w:sz w:val="26"/>
          <w:szCs w:val="26"/>
          <w:lang w:val="en-US"/>
        </w:rPr>
        <w:t xml:space="preserve">the </w:t>
      </w:r>
      <w:r w:rsidR="00BB3906" w:rsidRPr="004F02CC">
        <w:rPr>
          <w:sz w:val="26"/>
          <w:szCs w:val="26"/>
          <w:lang w:val="en-US"/>
        </w:rPr>
        <w:t>postpon</w:t>
      </w:r>
      <w:r w:rsidR="00987522">
        <w:rPr>
          <w:sz w:val="26"/>
          <w:szCs w:val="26"/>
          <w:lang w:val="en-US"/>
        </w:rPr>
        <w:t>ement of</w:t>
      </w:r>
      <w:r w:rsidR="00BB3906" w:rsidRPr="004F02CC">
        <w:rPr>
          <w:sz w:val="26"/>
          <w:szCs w:val="26"/>
          <w:lang w:val="en-US"/>
        </w:rPr>
        <w:t xml:space="preserve"> the matter.</w:t>
      </w:r>
    </w:p>
    <w:p w:rsidR="00703562" w:rsidRDefault="00703562" w:rsidP="00703562">
      <w:pPr>
        <w:rPr>
          <w:sz w:val="26"/>
          <w:szCs w:val="26"/>
        </w:rPr>
      </w:pPr>
    </w:p>
    <w:p w:rsidR="008F77E4" w:rsidRPr="008F77E4" w:rsidRDefault="008F77E4" w:rsidP="008F2CF8">
      <w:pPr>
        <w:pStyle w:val="ListParagraph"/>
        <w:numPr>
          <w:ilvl w:val="0"/>
          <w:numId w:val="2"/>
        </w:numPr>
        <w:spacing w:after="0" w:line="360" w:lineRule="auto"/>
        <w:ind w:left="0" w:firstLine="0"/>
        <w:jc w:val="both"/>
        <w:rPr>
          <w:sz w:val="26"/>
          <w:szCs w:val="26"/>
        </w:rPr>
      </w:pPr>
      <w:r w:rsidRPr="008F77E4">
        <w:rPr>
          <w:sz w:val="26"/>
          <w:szCs w:val="26"/>
          <w:lang w:val="en-US"/>
        </w:rPr>
        <w:t>On 15 April 2021</w:t>
      </w:r>
      <w:r>
        <w:rPr>
          <w:sz w:val="26"/>
          <w:szCs w:val="26"/>
          <w:lang w:val="en-US"/>
        </w:rPr>
        <w:t xml:space="preserve"> the CSAR</w:t>
      </w:r>
      <w:r w:rsidR="00C07DE0">
        <w:rPr>
          <w:sz w:val="26"/>
          <w:szCs w:val="26"/>
          <w:lang w:val="en-US"/>
        </w:rPr>
        <w:t>S</w:t>
      </w:r>
      <w:r w:rsidRPr="008F77E4">
        <w:rPr>
          <w:sz w:val="26"/>
          <w:szCs w:val="26"/>
          <w:lang w:val="en-US"/>
        </w:rPr>
        <w:t xml:space="preserve"> delivered a </w:t>
      </w:r>
      <w:r w:rsidR="00F34C77">
        <w:rPr>
          <w:sz w:val="26"/>
          <w:szCs w:val="26"/>
          <w:lang w:val="en-US"/>
        </w:rPr>
        <w:t>n</w:t>
      </w:r>
      <w:r w:rsidRPr="008F77E4">
        <w:rPr>
          <w:sz w:val="26"/>
          <w:szCs w:val="26"/>
          <w:lang w:val="en-US"/>
        </w:rPr>
        <w:t xml:space="preserve">otice in terms of </w:t>
      </w:r>
      <w:r w:rsidR="00EF3793">
        <w:rPr>
          <w:sz w:val="26"/>
          <w:szCs w:val="26"/>
          <w:lang w:val="en-US"/>
        </w:rPr>
        <w:t>R</w:t>
      </w:r>
      <w:r w:rsidRPr="008F77E4">
        <w:rPr>
          <w:sz w:val="26"/>
          <w:szCs w:val="26"/>
          <w:lang w:val="en-US"/>
        </w:rPr>
        <w:t xml:space="preserve">ule 30 objecting to the </w:t>
      </w:r>
      <w:r w:rsidR="005D26B0">
        <w:rPr>
          <w:sz w:val="26"/>
          <w:szCs w:val="26"/>
          <w:lang w:val="en-US"/>
        </w:rPr>
        <w:t xml:space="preserve">taxpayer’s </w:t>
      </w:r>
      <w:r w:rsidRPr="008F77E4">
        <w:rPr>
          <w:sz w:val="26"/>
          <w:szCs w:val="26"/>
          <w:lang w:val="en-US"/>
        </w:rPr>
        <w:t xml:space="preserve">notice of appeal </w:t>
      </w:r>
      <w:r>
        <w:rPr>
          <w:sz w:val="26"/>
          <w:szCs w:val="26"/>
          <w:lang w:val="en-US"/>
        </w:rPr>
        <w:t>of</w:t>
      </w:r>
      <w:r w:rsidRPr="008F77E4">
        <w:rPr>
          <w:sz w:val="26"/>
          <w:szCs w:val="26"/>
          <w:lang w:val="en-US"/>
        </w:rPr>
        <w:t xml:space="preserve"> 30 March 2021 </w:t>
      </w:r>
      <w:r>
        <w:rPr>
          <w:sz w:val="26"/>
          <w:szCs w:val="26"/>
          <w:lang w:val="en-US"/>
        </w:rPr>
        <w:t>o</w:t>
      </w:r>
      <w:r w:rsidRPr="008F77E4">
        <w:rPr>
          <w:sz w:val="26"/>
          <w:szCs w:val="26"/>
          <w:lang w:val="en-US"/>
        </w:rPr>
        <w:t xml:space="preserve">n the basis that it was </w:t>
      </w:r>
      <w:r w:rsidR="00C3012A">
        <w:rPr>
          <w:sz w:val="26"/>
          <w:szCs w:val="26"/>
          <w:lang w:val="en-US"/>
        </w:rPr>
        <w:t xml:space="preserve">filed </w:t>
      </w:r>
      <w:r w:rsidRPr="008F77E4">
        <w:rPr>
          <w:sz w:val="26"/>
          <w:szCs w:val="26"/>
          <w:lang w:val="en-US"/>
        </w:rPr>
        <w:t>late</w:t>
      </w:r>
      <w:r w:rsidR="00C3012A">
        <w:rPr>
          <w:sz w:val="26"/>
          <w:szCs w:val="26"/>
          <w:lang w:val="en-US"/>
        </w:rPr>
        <w:t xml:space="preserve">, </w:t>
      </w:r>
      <w:r w:rsidR="00C3012A" w:rsidRPr="00C3012A">
        <w:rPr>
          <w:sz w:val="26"/>
          <w:szCs w:val="26"/>
          <w:lang w:val="en-US"/>
        </w:rPr>
        <w:t>without an accompanying condonation application</w:t>
      </w:r>
      <w:r w:rsidR="00C3012A">
        <w:rPr>
          <w:sz w:val="26"/>
          <w:szCs w:val="26"/>
          <w:lang w:val="en-US"/>
        </w:rPr>
        <w:t>,</w:t>
      </w:r>
      <w:r w:rsidRPr="008F77E4">
        <w:rPr>
          <w:sz w:val="26"/>
          <w:szCs w:val="26"/>
          <w:lang w:val="en-US"/>
        </w:rPr>
        <w:t xml:space="preserve"> </w:t>
      </w:r>
      <w:r w:rsidR="00EF3793">
        <w:rPr>
          <w:sz w:val="26"/>
          <w:szCs w:val="26"/>
          <w:lang w:val="en-US"/>
        </w:rPr>
        <w:t>a</w:t>
      </w:r>
      <w:r w:rsidRPr="008F77E4">
        <w:rPr>
          <w:sz w:val="26"/>
          <w:szCs w:val="26"/>
          <w:lang w:val="en-US"/>
        </w:rPr>
        <w:t>nd</w:t>
      </w:r>
      <w:r w:rsidR="00EF3793">
        <w:rPr>
          <w:sz w:val="26"/>
          <w:szCs w:val="26"/>
          <w:lang w:val="en-US"/>
        </w:rPr>
        <w:t xml:space="preserve"> </w:t>
      </w:r>
      <w:r w:rsidRPr="008F77E4">
        <w:rPr>
          <w:sz w:val="26"/>
          <w:szCs w:val="26"/>
          <w:lang w:val="en-US"/>
        </w:rPr>
        <w:t>was signed by</w:t>
      </w:r>
      <w:r w:rsidR="00EF3793">
        <w:rPr>
          <w:sz w:val="26"/>
          <w:szCs w:val="26"/>
          <w:lang w:val="en-US"/>
        </w:rPr>
        <w:t xml:space="preserve"> Mr </w:t>
      </w:r>
      <w:r w:rsidR="00234120">
        <w:rPr>
          <w:sz w:val="26"/>
          <w:szCs w:val="26"/>
          <w:lang w:val="en-US"/>
        </w:rPr>
        <w:t>van der Merwe</w:t>
      </w:r>
      <w:r w:rsidR="00EF3793">
        <w:rPr>
          <w:sz w:val="26"/>
          <w:szCs w:val="26"/>
          <w:lang w:val="en-US"/>
        </w:rPr>
        <w:t xml:space="preserve"> instead of</w:t>
      </w:r>
      <w:r>
        <w:rPr>
          <w:sz w:val="26"/>
          <w:szCs w:val="26"/>
          <w:lang w:val="en-US"/>
        </w:rPr>
        <w:t xml:space="preserve"> </w:t>
      </w:r>
      <w:r w:rsidR="00C91529">
        <w:rPr>
          <w:sz w:val="26"/>
          <w:szCs w:val="26"/>
          <w:lang w:val="en-US"/>
        </w:rPr>
        <w:t xml:space="preserve">by </w:t>
      </w:r>
      <w:r>
        <w:rPr>
          <w:sz w:val="26"/>
          <w:szCs w:val="26"/>
          <w:lang w:val="en-US"/>
        </w:rPr>
        <w:t>Ms Poulter</w:t>
      </w:r>
      <w:r w:rsidR="005D26B0">
        <w:rPr>
          <w:sz w:val="26"/>
          <w:szCs w:val="26"/>
          <w:lang w:val="en-US"/>
        </w:rPr>
        <w:t xml:space="preserve"> or a </w:t>
      </w:r>
      <w:r w:rsidR="00C91529">
        <w:rPr>
          <w:sz w:val="26"/>
          <w:szCs w:val="26"/>
          <w:lang w:val="en-US"/>
        </w:rPr>
        <w:t>qualified legal representative on her behalf</w:t>
      </w:r>
      <w:r>
        <w:rPr>
          <w:sz w:val="26"/>
          <w:szCs w:val="26"/>
          <w:lang w:val="en-US"/>
        </w:rPr>
        <w:t>.</w:t>
      </w:r>
      <w:r w:rsidR="00C65ABA">
        <w:rPr>
          <w:sz w:val="26"/>
          <w:szCs w:val="26"/>
          <w:lang w:val="en-US"/>
        </w:rPr>
        <w:t xml:space="preserve"> </w:t>
      </w:r>
      <w:r w:rsidR="00C91529">
        <w:rPr>
          <w:sz w:val="26"/>
          <w:szCs w:val="26"/>
          <w:lang w:val="en-US"/>
        </w:rPr>
        <w:t xml:space="preserve"> That gave rise to the application by the CSARS in terms of rule 30 that is before us for the striking out of the notice of appeal.</w:t>
      </w:r>
    </w:p>
    <w:p w:rsidR="00C3012A" w:rsidRPr="00C3012A" w:rsidRDefault="00C3012A" w:rsidP="00C3012A">
      <w:pPr>
        <w:pStyle w:val="ListParagraph"/>
        <w:spacing w:after="0" w:line="360" w:lineRule="auto"/>
        <w:ind w:left="0"/>
        <w:jc w:val="both"/>
        <w:rPr>
          <w:sz w:val="26"/>
          <w:szCs w:val="26"/>
        </w:rPr>
      </w:pPr>
    </w:p>
    <w:p w:rsidR="008F77E4" w:rsidRPr="00F34C77" w:rsidRDefault="00F34C77" w:rsidP="008F2CF8">
      <w:pPr>
        <w:pStyle w:val="ListParagraph"/>
        <w:numPr>
          <w:ilvl w:val="0"/>
          <w:numId w:val="2"/>
        </w:numPr>
        <w:spacing w:after="0" w:line="360" w:lineRule="auto"/>
        <w:ind w:left="0" w:firstLine="0"/>
        <w:jc w:val="both"/>
        <w:rPr>
          <w:sz w:val="26"/>
          <w:szCs w:val="26"/>
        </w:rPr>
      </w:pPr>
      <w:r>
        <w:rPr>
          <w:sz w:val="26"/>
          <w:szCs w:val="26"/>
          <w:lang w:val="en-US"/>
        </w:rPr>
        <w:t>O</w:t>
      </w:r>
      <w:r w:rsidRPr="00F34C77">
        <w:rPr>
          <w:sz w:val="26"/>
          <w:szCs w:val="26"/>
          <w:lang w:val="en-US"/>
        </w:rPr>
        <w:t>n 28 April 2021 a condonation application for the late filing of the</w:t>
      </w:r>
      <w:r w:rsidR="001E7C07">
        <w:rPr>
          <w:sz w:val="26"/>
          <w:szCs w:val="26"/>
          <w:lang w:val="en-US"/>
        </w:rPr>
        <w:t xml:space="preserve"> notice of</w:t>
      </w:r>
      <w:r w:rsidRPr="00F34C77">
        <w:rPr>
          <w:sz w:val="26"/>
          <w:szCs w:val="26"/>
          <w:lang w:val="en-US"/>
        </w:rPr>
        <w:t xml:space="preserve"> appeal was delivered on behalf of </w:t>
      </w:r>
      <w:r>
        <w:rPr>
          <w:sz w:val="26"/>
          <w:szCs w:val="26"/>
          <w:lang w:val="en-US"/>
        </w:rPr>
        <w:t>Ms Poulter.</w:t>
      </w:r>
      <w:r w:rsidR="00783472">
        <w:rPr>
          <w:sz w:val="26"/>
          <w:szCs w:val="26"/>
          <w:lang w:val="en-US"/>
        </w:rPr>
        <w:t xml:space="preserve"> </w:t>
      </w:r>
      <w:r w:rsidR="00C24440">
        <w:rPr>
          <w:sz w:val="26"/>
          <w:szCs w:val="26"/>
          <w:lang w:val="en-US"/>
        </w:rPr>
        <w:t xml:space="preserve">The founding affidavit is deposed by </w:t>
      </w:r>
      <w:r w:rsidR="00C91529">
        <w:rPr>
          <w:sz w:val="26"/>
          <w:szCs w:val="26"/>
          <w:lang w:val="en-US"/>
        </w:rPr>
        <w:t>Mr </w:t>
      </w:r>
      <w:r w:rsidR="00234120">
        <w:rPr>
          <w:sz w:val="26"/>
          <w:szCs w:val="26"/>
          <w:lang w:val="en-US"/>
        </w:rPr>
        <w:t>van der Merwe</w:t>
      </w:r>
      <w:r w:rsidR="00C24440">
        <w:rPr>
          <w:sz w:val="26"/>
          <w:szCs w:val="26"/>
          <w:lang w:val="en-US"/>
        </w:rPr>
        <w:t xml:space="preserve">, and there is no accompanying confirmatory </w:t>
      </w:r>
      <w:r w:rsidR="00CF0FE4">
        <w:rPr>
          <w:sz w:val="26"/>
          <w:szCs w:val="26"/>
          <w:lang w:val="en-US"/>
        </w:rPr>
        <w:t>a</w:t>
      </w:r>
      <w:r w:rsidR="00C24440">
        <w:rPr>
          <w:sz w:val="26"/>
          <w:szCs w:val="26"/>
          <w:lang w:val="en-US"/>
        </w:rPr>
        <w:t xml:space="preserve">ffidavit from Ms Poulter. </w:t>
      </w:r>
      <w:r w:rsidR="00783472">
        <w:rPr>
          <w:sz w:val="26"/>
          <w:szCs w:val="26"/>
          <w:lang w:val="en-US"/>
        </w:rPr>
        <w:t>It is opposed by the CSARS.</w:t>
      </w:r>
      <w:r w:rsidR="004F02CC">
        <w:rPr>
          <w:sz w:val="26"/>
          <w:szCs w:val="26"/>
          <w:lang w:val="en-US"/>
        </w:rPr>
        <w:t xml:space="preserve"> </w:t>
      </w:r>
      <w:r w:rsidR="004F02CC" w:rsidRPr="00C601A3">
        <w:rPr>
          <w:sz w:val="26"/>
          <w:szCs w:val="26"/>
          <w:lang w:val="en-US"/>
        </w:rPr>
        <w:t xml:space="preserve">This is the condonation application that is the subject of these proceedings. </w:t>
      </w:r>
    </w:p>
    <w:p w:rsidR="00F34C77" w:rsidRPr="00F34C77" w:rsidRDefault="00F34C77" w:rsidP="00335ED7">
      <w:pPr>
        <w:pStyle w:val="ListParagraph"/>
        <w:spacing w:after="0"/>
        <w:rPr>
          <w:sz w:val="26"/>
          <w:szCs w:val="26"/>
        </w:rPr>
      </w:pPr>
    </w:p>
    <w:p w:rsidR="00DB59AB" w:rsidRPr="00CF1B66" w:rsidRDefault="00F34C77" w:rsidP="00DB59AB">
      <w:pPr>
        <w:pStyle w:val="ListParagraph"/>
        <w:numPr>
          <w:ilvl w:val="0"/>
          <w:numId w:val="2"/>
        </w:numPr>
        <w:spacing w:after="0" w:line="360" w:lineRule="auto"/>
        <w:ind w:left="0" w:firstLine="0"/>
        <w:jc w:val="both"/>
        <w:rPr>
          <w:sz w:val="26"/>
          <w:szCs w:val="26"/>
        </w:rPr>
      </w:pPr>
      <w:r w:rsidRPr="00F34C77">
        <w:rPr>
          <w:sz w:val="26"/>
          <w:szCs w:val="26"/>
          <w:lang w:val="en-US"/>
        </w:rPr>
        <w:t>On 7 May 2021</w:t>
      </w:r>
      <w:r>
        <w:rPr>
          <w:sz w:val="26"/>
          <w:szCs w:val="26"/>
          <w:lang w:val="en-US"/>
        </w:rPr>
        <w:t xml:space="preserve"> the CSAR</w:t>
      </w:r>
      <w:r w:rsidR="00C07DE0">
        <w:rPr>
          <w:sz w:val="26"/>
          <w:szCs w:val="26"/>
          <w:lang w:val="en-US"/>
        </w:rPr>
        <w:t>S</w:t>
      </w:r>
      <w:r w:rsidRPr="00F34C77">
        <w:rPr>
          <w:sz w:val="26"/>
          <w:szCs w:val="26"/>
          <w:lang w:val="en-US"/>
        </w:rPr>
        <w:t xml:space="preserve"> delivered a notice in terms of </w:t>
      </w:r>
      <w:r>
        <w:rPr>
          <w:sz w:val="26"/>
          <w:szCs w:val="26"/>
          <w:lang w:val="en-US"/>
        </w:rPr>
        <w:t>R</w:t>
      </w:r>
      <w:r w:rsidRPr="00F34C77">
        <w:rPr>
          <w:sz w:val="26"/>
          <w:szCs w:val="26"/>
          <w:lang w:val="en-US"/>
        </w:rPr>
        <w:t>ule 30</w:t>
      </w:r>
      <w:r>
        <w:rPr>
          <w:sz w:val="26"/>
          <w:szCs w:val="26"/>
          <w:lang w:val="en-US"/>
        </w:rPr>
        <w:t>(2)(b)</w:t>
      </w:r>
      <w:r w:rsidRPr="00F34C77">
        <w:rPr>
          <w:sz w:val="26"/>
          <w:szCs w:val="26"/>
          <w:lang w:val="en-US"/>
        </w:rPr>
        <w:t xml:space="preserve"> </w:t>
      </w:r>
      <w:r w:rsidR="001E7C07">
        <w:rPr>
          <w:sz w:val="26"/>
          <w:szCs w:val="26"/>
          <w:lang w:val="en-US"/>
        </w:rPr>
        <w:t xml:space="preserve">raising objections to </w:t>
      </w:r>
      <w:r w:rsidRPr="00F34C77">
        <w:rPr>
          <w:sz w:val="26"/>
          <w:szCs w:val="26"/>
          <w:lang w:val="en-US"/>
        </w:rPr>
        <w:t>the condonation application</w:t>
      </w:r>
      <w:r w:rsidR="00C24440">
        <w:rPr>
          <w:sz w:val="26"/>
          <w:szCs w:val="26"/>
          <w:lang w:val="en-US"/>
        </w:rPr>
        <w:t>, and on 13 May 2021, a full application was delivered</w:t>
      </w:r>
      <w:r>
        <w:rPr>
          <w:sz w:val="26"/>
          <w:szCs w:val="26"/>
          <w:lang w:val="en-US"/>
        </w:rPr>
        <w:t>.</w:t>
      </w:r>
      <w:r w:rsidR="00C853C4">
        <w:rPr>
          <w:sz w:val="26"/>
          <w:szCs w:val="26"/>
          <w:lang w:val="en-US"/>
        </w:rPr>
        <w:t xml:space="preserve"> </w:t>
      </w:r>
      <w:r w:rsidR="00C853C4" w:rsidRPr="00C601A3">
        <w:rPr>
          <w:sz w:val="26"/>
          <w:szCs w:val="26"/>
          <w:lang w:val="en-US"/>
        </w:rPr>
        <w:t xml:space="preserve">This is the </w:t>
      </w:r>
      <w:r w:rsidR="00DB59AB" w:rsidRPr="00C601A3">
        <w:rPr>
          <w:sz w:val="26"/>
          <w:szCs w:val="26"/>
          <w:lang w:val="en-US"/>
        </w:rPr>
        <w:t>R</w:t>
      </w:r>
      <w:r w:rsidR="00C853C4" w:rsidRPr="00C601A3">
        <w:rPr>
          <w:sz w:val="26"/>
          <w:szCs w:val="26"/>
          <w:lang w:val="en-US"/>
        </w:rPr>
        <w:t>ule 30 application that is the subject of these proceedings.</w:t>
      </w:r>
      <w:r w:rsidR="00DB59AB">
        <w:rPr>
          <w:b/>
          <w:bCs/>
          <w:sz w:val="26"/>
          <w:szCs w:val="26"/>
          <w:lang w:val="en-US"/>
        </w:rPr>
        <w:t xml:space="preserve"> </w:t>
      </w:r>
      <w:r w:rsidR="00C24440" w:rsidRPr="00C24440">
        <w:rPr>
          <w:sz w:val="26"/>
          <w:szCs w:val="26"/>
          <w:lang w:val="en-US"/>
        </w:rPr>
        <w:t>On 26 May 2021</w:t>
      </w:r>
      <w:r w:rsidR="00C24440">
        <w:rPr>
          <w:b/>
          <w:bCs/>
          <w:sz w:val="26"/>
          <w:szCs w:val="26"/>
          <w:lang w:val="en-US"/>
        </w:rPr>
        <w:t xml:space="preserve"> </w:t>
      </w:r>
      <w:r w:rsidR="00DB59AB" w:rsidRPr="00F86217">
        <w:rPr>
          <w:sz w:val="26"/>
          <w:szCs w:val="26"/>
          <w:lang w:val="en-US"/>
        </w:rPr>
        <w:t xml:space="preserve">a notice of intention to oppose the </w:t>
      </w:r>
      <w:r w:rsidR="00DB59AB">
        <w:rPr>
          <w:sz w:val="26"/>
          <w:szCs w:val="26"/>
          <w:lang w:val="en-US"/>
        </w:rPr>
        <w:t>R</w:t>
      </w:r>
      <w:r w:rsidR="00DB59AB" w:rsidRPr="00F86217">
        <w:rPr>
          <w:sz w:val="26"/>
          <w:szCs w:val="26"/>
          <w:lang w:val="en-US"/>
        </w:rPr>
        <w:t>ule 30 application</w:t>
      </w:r>
      <w:r w:rsidR="001E7C07" w:rsidRPr="001E7C07">
        <w:rPr>
          <w:sz w:val="26"/>
          <w:szCs w:val="26"/>
          <w:lang w:val="en-US"/>
        </w:rPr>
        <w:t xml:space="preserve"> </w:t>
      </w:r>
      <w:r w:rsidR="001E7C07">
        <w:rPr>
          <w:sz w:val="26"/>
          <w:szCs w:val="26"/>
          <w:lang w:val="en-US"/>
        </w:rPr>
        <w:t xml:space="preserve">was </w:t>
      </w:r>
      <w:r w:rsidR="001E7C07" w:rsidRPr="00CF1B66">
        <w:rPr>
          <w:sz w:val="26"/>
          <w:szCs w:val="26"/>
          <w:lang w:val="en-US"/>
        </w:rPr>
        <w:t>delivered</w:t>
      </w:r>
      <w:r w:rsidR="001E7C07">
        <w:rPr>
          <w:sz w:val="26"/>
          <w:szCs w:val="26"/>
          <w:lang w:val="en-US"/>
        </w:rPr>
        <w:t xml:space="preserve"> on behalf of M</w:t>
      </w:r>
      <w:r w:rsidR="001E7C07" w:rsidRPr="00F86217">
        <w:rPr>
          <w:sz w:val="26"/>
          <w:szCs w:val="26"/>
          <w:lang w:val="en-US"/>
        </w:rPr>
        <w:t xml:space="preserve">s </w:t>
      </w:r>
      <w:r w:rsidR="001E7C07">
        <w:rPr>
          <w:sz w:val="26"/>
          <w:szCs w:val="26"/>
          <w:lang w:val="en-US"/>
        </w:rPr>
        <w:t>Po</w:t>
      </w:r>
      <w:r w:rsidR="001E7C07" w:rsidRPr="00F86217">
        <w:rPr>
          <w:sz w:val="26"/>
          <w:szCs w:val="26"/>
          <w:lang w:val="en-US"/>
        </w:rPr>
        <w:t>ult</w:t>
      </w:r>
      <w:r w:rsidR="001E7C07">
        <w:rPr>
          <w:sz w:val="26"/>
          <w:szCs w:val="26"/>
          <w:lang w:val="en-US"/>
        </w:rPr>
        <w:t>e</w:t>
      </w:r>
      <w:r w:rsidR="001E7C07" w:rsidRPr="00F86217">
        <w:rPr>
          <w:sz w:val="26"/>
          <w:szCs w:val="26"/>
          <w:lang w:val="en-US"/>
        </w:rPr>
        <w:t>r</w:t>
      </w:r>
      <w:r w:rsidR="00DB59AB">
        <w:rPr>
          <w:sz w:val="26"/>
          <w:szCs w:val="26"/>
          <w:lang w:val="en-US"/>
        </w:rPr>
        <w:t>,</w:t>
      </w:r>
      <w:r w:rsidR="00DB59AB" w:rsidRPr="00CF1B66">
        <w:rPr>
          <w:sz w:val="26"/>
          <w:szCs w:val="26"/>
          <w:lang w:val="en-US"/>
        </w:rPr>
        <w:t xml:space="preserve"> signed by Mr</w:t>
      </w:r>
      <w:r w:rsidR="00DB59AB">
        <w:rPr>
          <w:sz w:val="26"/>
          <w:szCs w:val="26"/>
          <w:lang w:val="en-US"/>
        </w:rPr>
        <w:t xml:space="preserve"> </w:t>
      </w:r>
      <w:r w:rsidR="00234120">
        <w:rPr>
          <w:sz w:val="26"/>
          <w:szCs w:val="26"/>
          <w:lang w:val="en-US"/>
        </w:rPr>
        <w:t>van der Merwe</w:t>
      </w:r>
      <w:r w:rsidR="00DB59AB">
        <w:rPr>
          <w:sz w:val="26"/>
          <w:szCs w:val="26"/>
          <w:lang w:val="en-US"/>
        </w:rPr>
        <w:t>,</w:t>
      </w:r>
      <w:r w:rsidR="00C24440">
        <w:rPr>
          <w:sz w:val="26"/>
          <w:szCs w:val="26"/>
          <w:lang w:val="en-US"/>
        </w:rPr>
        <w:t xml:space="preserve"> and on 17 June 2021</w:t>
      </w:r>
      <w:r w:rsidR="00DB59AB" w:rsidRPr="00CF1B66">
        <w:rPr>
          <w:sz w:val="26"/>
          <w:szCs w:val="26"/>
          <w:lang w:val="en-US"/>
        </w:rPr>
        <w:t xml:space="preserve"> an answering </w:t>
      </w:r>
      <w:r w:rsidR="00DB59AB">
        <w:rPr>
          <w:sz w:val="26"/>
          <w:szCs w:val="26"/>
          <w:lang w:val="en-US"/>
        </w:rPr>
        <w:t>affid</w:t>
      </w:r>
      <w:r w:rsidR="00DB59AB" w:rsidRPr="00CF1B66">
        <w:rPr>
          <w:sz w:val="26"/>
          <w:szCs w:val="26"/>
          <w:lang w:val="en-US"/>
        </w:rPr>
        <w:t>avi</w:t>
      </w:r>
      <w:r w:rsidR="00DB59AB">
        <w:rPr>
          <w:sz w:val="26"/>
          <w:szCs w:val="26"/>
          <w:lang w:val="en-US"/>
        </w:rPr>
        <w:t>t</w:t>
      </w:r>
      <w:r w:rsidR="00DB59AB" w:rsidRPr="00CF1B66">
        <w:rPr>
          <w:sz w:val="26"/>
          <w:szCs w:val="26"/>
          <w:lang w:val="en-US"/>
        </w:rPr>
        <w:t xml:space="preserve"> deposed by him</w:t>
      </w:r>
      <w:r w:rsidR="001E7C07">
        <w:rPr>
          <w:sz w:val="26"/>
          <w:szCs w:val="26"/>
          <w:lang w:val="en-US"/>
        </w:rPr>
        <w:t xml:space="preserve"> was delivered</w:t>
      </w:r>
      <w:r w:rsidR="00C24440">
        <w:rPr>
          <w:sz w:val="26"/>
          <w:szCs w:val="26"/>
          <w:lang w:val="en-US"/>
        </w:rPr>
        <w:t xml:space="preserve">. </w:t>
      </w:r>
      <w:r w:rsidR="00CF0FE4">
        <w:rPr>
          <w:sz w:val="26"/>
          <w:szCs w:val="26"/>
          <w:lang w:val="en-US"/>
        </w:rPr>
        <w:t>Again, there is no accompanying confirmatory affidavit from Ms Poulter.</w:t>
      </w:r>
      <w:r w:rsidR="00C601A3">
        <w:rPr>
          <w:sz w:val="26"/>
          <w:szCs w:val="26"/>
          <w:lang w:val="en-US"/>
        </w:rPr>
        <w:t xml:space="preserve"> </w:t>
      </w:r>
    </w:p>
    <w:p w:rsidR="00C3012A" w:rsidRDefault="00C3012A" w:rsidP="00DB59AB">
      <w:pPr>
        <w:pStyle w:val="ListParagraph"/>
        <w:spacing w:after="0" w:line="360" w:lineRule="auto"/>
        <w:ind w:left="0"/>
        <w:jc w:val="both"/>
        <w:rPr>
          <w:sz w:val="26"/>
          <w:szCs w:val="26"/>
        </w:rPr>
      </w:pPr>
    </w:p>
    <w:p w:rsidR="00144A7A" w:rsidRPr="00DB59AB" w:rsidRDefault="00F86217" w:rsidP="008F2CF8">
      <w:pPr>
        <w:pStyle w:val="ListParagraph"/>
        <w:numPr>
          <w:ilvl w:val="0"/>
          <w:numId w:val="2"/>
        </w:numPr>
        <w:spacing w:after="0" w:line="360" w:lineRule="auto"/>
        <w:ind w:left="0" w:firstLine="0"/>
        <w:jc w:val="both"/>
        <w:rPr>
          <w:sz w:val="26"/>
          <w:szCs w:val="26"/>
        </w:rPr>
      </w:pPr>
      <w:r>
        <w:rPr>
          <w:sz w:val="26"/>
          <w:szCs w:val="26"/>
        </w:rPr>
        <w:t xml:space="preserve">The main </w:t>
      </w:r>
      <w:r w:rsidRPr="00703562">
        <w:rPr>
          <w:sz w:val="26"/>
          <w:szCs w:val="26"/>
          <w:lang w:val="en-US"/>
        </w:rPr>
        <w:t>objection</w:t>
      </w:r>
      <w:r>
        <w:rPr>
          <w:sz w:val="26"/>
          <w:szCs w:val="26"/>
        </w:rPr>
        <w:t xml:space="preserve"> by </w:t>
      </w:r>
      <w:r w:rsidR="00703562">
        <w:rPr>
          <w:sz w:val="26"/>
          <w:szCs w:val="26"/>
        </w:rPr>
        <w:t>CSARS</w:t>
      </w:r>
      <w:r>
        <w:rPr>
          <w:sz w:val="26"/>
          <w:szCs w:val="26"/>
        </w:rPr>
        <w:t xml:space="preserve"> </w:t>
      </w:r>
      <w:r w:rsidR="00C07DE0">
        <w:rPr>
          <w:sz w:val="26"/>
          <w:szCs w:val="26"/>
        </w:rPr>
        <w:t>in the Rule 30(2)(b) of 7 M</w:t>
      </w:r>
      <w:r w:rsidR="00C24440">
        <w:rPr>
          <w:sz w:val="26"/>
          <w:szCs w:val="26"/>
        </w:rPr>
        <w:t>a</w:t>
      </w:r>
      <w:r w:rsidR="00C07DE0">
        <w:rPr>
          <w:sz w:val="26"/>
          <w:szCs w:val="26"/>
        </w:rPr>
        <w:t xml:space="preserve">y 2021 </w:t>
      </w:r>
      <w:r>
        <w:rPr>
          <w:sz w:val="26"/>
          <w:szCs w:val="26"/>
        </w:rPr>
        <w:t>is</w:t>
      </w:r>
      <w:r w:rsidR="00285E49" w:rsidRPr="00285E49">
        <w:rPr>
          <w:sz w:val="26"/>
          <w:szCs w:val="26"/>
          <w:lang w:val="en-US"/>
        </w:rPr>
        <w:t xml:space="preserve"> </w:t>
      </w:r>
      <w:r w:rsidR="00285E49">
        <w:rPr>
          <w:sz w:val="26"/>
          <w:szCs w:val="26"/>
          <w:lang w:val="en-US"/>
        </w:rPr>
        <w:t xml:space="preserve">that </w:t>
      </w:r>
      <w:r w:rsidR="00285E49" w:rsidRPr="00285E49">
        <w:rPr>
          <w:sz w:val="26"/>
          <w:szCs w:val="26"/>
          <w:lang w:val="en-US"/>
        </w:rPr>
        <w:t xml:space="preserve">the condonation application is not signed by </w:t>
      </w:r>
      <w:r w:rsidR="00285E49">
        <w:rPr>
          <w:sz w:val="26"/>
          <w:szCs w:val="26"/>
          <w:lang w:val="en-US"/>
        </w:rPr>
        <w:t>M</w:t>
      </w:r>
      <w:r w:rsidR="00285E49" w:rsidRPr="00285E49">
        <w:rPr>
          <w:sz w:val="26"/>
          <w:szCs w:val="26"/>
          <w:lang w:val="en-US"/>
        </w:rPr>
        <w:t>s</w:t>
      </w:r>
      <w:r w:rsidR="00285E49">
        <w:rPr>
          <w:sz w:val="26"/>
          <w:szCs w:val="26"/>
          <w:lang w:val="en-US"/>
        </w:rPr>
        <w:t xml:space="preserve"> Poulter</w:t>
      </w:r>
      <w:r w:rsidR="002405CA">
        <w:rPr>
          <w:sz w:val="26"/>
          <w:szCs w:val="26"/>
          <w:lang w:val="en-US"/>
        </w:rPr>
        <w:t>,</w:t>
      </w:r>
      <w:r w:rsidR="002405CA" w:rsidRPr="002405CA">
        <w:rPr>
          <w:sz w:val="26"/>
          <w:szCs w:val="26"/>
          <w:lang w:val="en-US"/>
        </w:rPr>
        <w:t xml:space="preserve"> o</w:t>
      </w:r>
      <w:r w:rsidR="002405CA">
        <w:rPr>
          <w:sz w:val="26"/>
          <w:szCs w:val="26"/>
          <w:lang w:val="en-US"/>
        </w:rPr>
        <w:t>r</w:t>
      </w:r>
      <w:r w:rsidR="002405CA" w:rsidRPr="002405CA">
        <w:rPr>
          <w:sz w:val="26"/>
          <w:szCs w:val="26"/>
          <w:lang w:val="en-US"/>
        </w:rPr>
        <w:t xml:space="preserve"> her attorney</w:t>
      </w:r>
      <w:r w:rsidR="00285E49" w:rsidRPr="00285E49">
        <w:rPr>
          <w:sz w:val="26"/>
          <w:szCs w:val="26"/>
          <w:lang w:val="en-US"/>
        </w:rPr>
        <w:t xml:space="preserve"> as required by the </w:t>
      </w:r>
      <w:r w:rsidR="00285E49">
        <w:rPr>
          <w:sz w:val="26"/>
          <w:szCs w:val="26"/>
          <w:lang w:val="en-US"/>
        </w:rPr>
        <w:t>U</w:t>
      </w:r>
      <w:r w:rsidR="00285E49" w:rsidRPr="00285E49">
        <w:rPr>
          <w:sz w:val="26"/>
          <w:szCs w:val="26"/>
          <w:lang w:val="en-US"/>
        </w:rPr>
        <w:t xml:space="preserve">niform </w:t>
      </w:r>
      <w:r w:rsidR="00285E49">
        <w:rPr>
          <w:sz w:val="26"/>
          <w:szCs w:val="26"/>
          <w:lang w:val="en-US"/>
        </w:rPr>
        <w:t>R</w:t>
      </w:r>
      <w:r w:rsidR="00285E49" w:rsidRPr="00285E49">
        <w:rPr>
          <w:sz w:val="26"/>
          <w:szCs w:val="26"/>
          <w:lang w:val="en-US"/>
        </w:rPr>
        <w:t>ules</w:t>
      </w:r>
      <w:r w:rsidR="002405CA">
        <w:rPr>
          <w:sz w:val="26"/>
          <w:szCs w:val="26"/>
          <w:lang w:val="en-US"/>
        </w:rPr>
        <w:t xml:space="preserve">, and that Mr </w:t>
      </w:r>
      <w:r w:rsidR="00234120">
        <w:rPr>
          <w:sz w:val="26"/>
          <w:szCs w:val="26"/>
          <w:lang w:val="en-US"/>
        </w:rPr>
        <w:t>van der Merwe</w:t>
      </w:r>
      <w:r w:rsidR="002405CA">
        <w:rPr>
          <w:sz w:val="26"/>
          <w:szCs w:val="26"/>
          <w:lang w:val="en-US"/>
        </w:rPr>
        <w:t xml:space="preserve"> is not entitled to represent her or to sign court documents on her behalf.</w:t>
      </w:r>
      <w:r>
        <w:rPr>
          <w:sz w:val="26"/>
          <w:szCs w:val="26"/>
          <w:lang w:val="en-US"/>
        </w:rPr>
        <w:t xml:space="preserve"> There are other non-compliances</w:t>
      </w:r>
      <w:r w:rsidRPr="00F86217">
        <w:rPr>
          <w:sz w:val="26"/>
          <w:szCs w:val="26"/>
          <w:lang w:val="en-US"/>
        </w:rPr>
        <w:t xml:space="preserve"> </w:t>
      </w:r>
      <w:r>
        <w:rPr>
          <w:sz w:val="26"/>
          <w:szCs w:val="26"/>
          <w:lang w:val="en-US"/>
        </w:rPr>
        <w:t xml:space="preserve">mentioned, which are </w:t>
      </w:r>
      <w:r w:rsidRPr="00F86217">
        <w:rPr>
          <w:sz w:val="26"/>
          <w:szCs w:val="26"/>
          <w:lang w:val="en-US"/>
        </w:rPr>
        <w:t>said to be contrary to</w:t>
      </w:r>
      <w:r>
        <w:rPr>
          <w:sz w:val="26"/>
          <w:szCs w:val="26"/>
          <w:lang w:val="en-US"/>
        </w:rPr>
        <w:t xml:space="preserve"> U</w:t>
      </w:r>
      <w:r w:rsidRPr="00F86217">
        <w:rPr>
          <w:sz w:val="26"/>
          <w:szCs w:val="26"/>
          <w:lang w:val="en-US"/>
        </w:rPr>
        <w:t xml:space="preserve">niform </w:t>
      </w:r>
      <w:r>
        <w:rPr>
          <w:sz w:val="26"/>
          <w:szCs w:val="26"/>
          <w:lang w:val="en-US"/>
        </w:rPr>
        <w:t>R</w:t>
      </w:r>
      <w:r w:rsidRPr="00F86217">
        <w:rPr>
          <w:sz w:val="26"/>
          <w:szCs w:val="26"/>
          <w:lang w:val="en-US"/>
        </w:rPr>
        <w:t>ule 6</w:t>
      </w:r>
      <w:r>
        <w:rPr>
          <w:sz w:val="26"/>
          <w:szCs w:val="26"/>
          <w:lang w:val="en-US"/>
        </w:rPr>
        <w:t>(</w:t>
      </w:r>
      <w:r w:rsidRPr="00F86217">
        <w:rPr>
          <w:sz w:val="26"/>
          <w:szCs w:val="26"/>
          <w:lang w:val="en-US"/>
        </w:rPr>
        <w:t>5</w:t>
      </w:r>
      <w:r>
        <w:rPr>
          <w:sz w:val="26"/>
          <w:szCs w:val="26"/>
          <w:lang w:val="en-US"/>
        </w:rPr>
        <w:t xml:space="preserve">). </w:t>
      </w:r>
      <w:r w:rsidR="009538E3">
        <w:rPr>
          <w:sz w:val="26"/>
          <w:szCs w:val="26"/>
          <w:lang w:val="en-US"/>
        </w:rPr>
        <w:t>In addition, the CSARS has brought a striking out application in respect of certain matter from the answering affidavit</w:t>
      </w:r>
      <w:r w:rsidR="009538E3" w:rsidRPr="009538E3">
        <w:rPr>
          <w:sz w:val="26"/>
          <w:szCs w:val="26"/>
          <w:lang w:val="en-US"/>
        </w:rPr>
        <w:t xml:space="preserve"> on the basis that it is scandalous</w:t>
      </w:r>
      <w:r w:rsidR="009538E3">
        <w:rPr>
          <w:sz w:val="26"/>
          <w:szCs w:val="26"/>
          <w:lang w:val="en-US"/>
        </w:rPr>
        <w:t xml:space="preserve"> and </w:t>
      </w:r>
      <w:r w:rsidR="009538E3" w:rsidRPr="009538E3">
        <w:rPr>
          <w:sz w:val="26"/>
          <w:szCs w:val="26"/>
          <w:lang w:val="en-US"/>
        </w:rPr>
        <w:t>defamatory</w:t>
      </w:r>
      <w:r w:rsidR="009538E3">
        <w:rPr>
          <w:sz w:val="26"/>
          <w:szCs w:val="26"/>
          <w:lang w:val="en-US"/>
        </w:rPr>
        <w:t>,</w:t>
      </w:r>
      <w:r w:rsidR="009538E3" w:rsidRPr="009538E3">
        <w:rPr>
          <w:sz w:val="26"/>
          <w:szCs w:val="26"/>
          <w:lang w:val="en-US"/>
        </w:rPr>
        <w:t xml:space="preserve"> and also seeks a punitive costs order in respect thereof</w:t>
      </w:r>
      <w:r w:rsidR="009538E3">
        <w:rPr>
          <w:sz w:val="26"/>
          <w:szCs w:val="26"/>
          <w:lang w:val="en-US"/>
        </w:rPr>
        <w:t>.</w:t>
      </w:r>
    </w:p>
    <w:p w:rsidR="00C601A3" w:rsidRDefault="00C601A3" w:rsidP="00335ED7">
      <w:pPr>
        <w:spacing w:line="360" w:lineRule="auto"/>
      </w:pPr>
    </w:p>
    <w:p w:rsidR="002428AB" w:rsidRPr="00B65C3E" w:rsidRDefault="002428AB" w:rsidP="00B65C3E">
      <w:pPr>
        <w:pStyle w:val="ListParagraph"/>
        <w:numPr>
          <w:ilvl w:val="0"/>
          <w:numId w:val="1"/>
        </w:numPr>
        <w:spacing w:line="360" w:lineRule="auto"/>
        <w:jc w:val="both"/>
        <w:rPr>
          <w:b/>
          <w:bCs/>
          <w:sz w:val="26"/>
          <w:szCs w:val="26"/>
        </w:rPr>
      </w:pPr>
      <w:r w:rsidRPr="002428AB">
        <w:rPr>
          <w:b/>
          <w:bCs/>
          <w:sz w:val="26"/>
          <w:szCs w:val="26"/>
        </w:rPr>
        <w:t>TH</w:t>
      </w:r>
      <w:r w:rsidR="000B2C28">
        <w:rPr>
          <w:b/>
          <w:bCs/>
          <w:sz w:val="26"/>
          <w:szCs w:val="26"/>
        </w:rPr>
        <w:t>E</w:t>
      </w:r>
      <w:r w:rsidRPr="002428AB">
        <w:rPr>
          <w:b/>
          <w:bCs/>
          <w:sz w:val="26"/>
          <w:szCs w:val="26"/>
        </w:rPr>
        <w:t>S</w:t>
      </w:r>
      <w:r w:rsidR="000B2C28">
        <w:rPr>
          <w:b/>
          <w:bCs/>
          <w:sz w:val="26"/>
          <w:szCs w:val="26"/>
        </w:rPr>
        <w:t>E</w:t>
      </w:r>
      <w:r w:rsidRPr="002428AB">
        <w:rPr>
          <w:b/>
          <w:bCs/>
          <w:sz w:val="26"/>
          <w:szCs w:val="26"/>
        </w:rPr>
        <w:t xml:space="preserve"> </w:t>
      </w:r>
      <w:r w:rsidR="000B2C28">
        <w:rPr>
          <w:b/>
          <w:bCs/>
          <w:sz w:val="26"/>
          <w:szCs w:val="26"/>
        </w:rPr>
        <w:t xml:space="preserve">PROCEEDINGS </w:t>
      </w:r>
    </w:p>
    <w:p w:rsidR="002428AB" w:rsidRPr="007832A4" w:rsidRDefault="005946C8" w:rsidP="0015489F">
      <w:pPr>
        <w:pStyle w:val="ListParagraph"/>
        <w:numPr>
          <w:ilvl w:val="0"/>
          <w:numId w:val="2"/>
        </w:numPr>
        <w:spacing w:after="0" w:line="360" w:lineRule="auto"/>
        <w:ind w:left="0" w:firstLine="0"/>
        <w:jc w:val="both"/>
        <w:rPr>
          <w:sz w:val="26"/>
          <w:szCs w:val="26"/>
        </w:rPr>
      </w:pPr>
      <w:r>
        <w:rPr>
          <w:sz w:val="26"/>
          <w:szCs w:val="26"/>
          <w:lang w:val="en-US"/>
        </w:rPr>
        <w:t xml:space="preserve">Ms Poulter’s appeal </w:t>
      </w:r>
      <w:r w:rsidR="002428AB" w:rsidRPr="002428AB">
        <w:rPr>
          <w:sz w:val="26"/>
          <w:szCs w:val="26"/>
          <w:lang w:val="en-US"/>
        </w:rPr>
        <w:t xml:space="preserve">was previously set down </w:t>
      </w:r>
      <w:r w:rsidR="007264DE">
        <w:rPr>
          <w:sz w:val="26"/>
          <w:szCs w:val="26"/>
          <w:lang w:val="en-US"/>
        </w:rPr>
        <w:t xml:space="preserve">before a </w:t>
      </w:r>
      <w:r w:rsidR="00EB6807">
        <w:rPr>
          <w:sz w:val="26"/>
          <w:szCs w:val="26"/>
          <w:lang w:val="en-US"/>
        </w:rPr>
        <w:t>full court</w:t>
      </w:r>
      <w:r>
        <w:rPr>
          <w:sz w:val="26"/>
          <w:szCs w:val="26"/>
          <w:lang w:val="en-US"/>
        </w:rPr>
        <w:t xml:space="preserve"> </w:t>
      </w:r>
      <w:r w:rsidR="00EB6807">
        <w:rPr>
          <w:sz w:val="26"/>
          <w:szCs w:val="26"/>
          <w:lang w:val="en-US"/>
        </w:rPr>
        <w:t>(Samela, Slingers and Thulare JJ)</w:t>
      </w:r>
      <w:r w:rsidR="007264DE">
        <w:rPr>
          <w:sz w:val="26"/>
          <w:szCs w:val="26"/>
          <w:lang w:val="en-US"/>
        </w:rPr>
        <w:t xml:space="preserve"> </w:t>
      </w:r>
      <w:r w:rsidR="002428AB" w:rsidRPr="002428AB">
        <w:rPr>
          <w:sz w:val="26"/>
          <w:szCs w:val="26"/>
          <w:lang w:val="en-US"/>
        </w:rPr>
        <w:t xml:space="preserve">on 21 January 2022. </w:t>
      </w:r>
      <w:r w:rsidR="00EB6807">
        <w:rPr>
          <w:sz w:val="26"/>
          <w:szCs w:val="26"/>
          <w:lang w:val="en-US"/>
        </w:rPr>
        <w:t>T</w:t>
      </w:r>
      <w:r w:rsidR="002428AB" w:rsidRPr="002428AB">
        <w:rPr>
          <w:sz w:val="26"/>
          <w:szCs w:val="26"/>
          <w:lang w:val="en-US"/>
        </w:rPr>
        <w:t>he matter was struck from the roll</w:t>
      </w:r>
      <w:r w:rsidR="00045AF5" w:rsidRPr="00045AF5">
        <w:rPr>
          <w:sz w:val="26"/>
          <w:szCs w:val="26"/>
          <w:lang w:val="en-US"/>
        </w:rPr>
        <w:t xml:space="preserve"> with costs</w:t>
      </w:r>
      <w:r w:rsidR="00045AF5">
        <w:rPr>
          <w:sz w:val="26"/>
          <w:szCs w:val="26"/>
          <w:lang w:val="en-US"/>
        </w:rPr>
        <w:t>,</w:t>
      </w:r>
      <w:r w:rsidR="002428AB" w:rsidRPr="002428AB">
        <w:rPr>
          <w:sz w:val="26"/>
          <w:szCs w:val="26"/>
          <w:lang w:val="en-US"/>
        </w:rPr>
        <w:t xml:space="preserve"> </w:t>
      </w:r>
      <w:r w:rsidR="000D5D1E">
        <w:rPr>
          <w:sz w:val="26"/>
          <w:szCs w:val="26"/>
          <w:lang w:val="en-US"/>
        </w:rPr>
        <w:t xml:space="preserve">on the basis that </w:t>
      </w:r>
      <w:r w:rsidR="002428AB" w:rsidRPr="002428AB">
        <w:rPr>
          <w:sz w:val="26"/>
          <w:szCs w:val="26"/>
          <w:lang w:val="en-US"/>
        </w:rPr>
        <w:t>the</w:t>
      </w:r>
      <w:r w:rsidR="001B70DA">
        <w:rPr>
          <w:sz w:val="26"/>
          <w:szCs w:val="26"/>
          <w:lang w:val="en-US"/>
        </w:rPr>
        <w:t xml:space="preserve"> </w:t>
      </w:r>
      <w:r w:rsidR="002428AB" w:rsidRPr="002428AB">
        <w:rPr>
          <w:sz w:val="26"/>
          <w:szCs w:val="26"/>
          <w:lang w:val="en-US"/>
        </w:rPr>
        <w:t xml:space="preserve">Rule 30 application </w:t>
      </w:r>
      <w:r w:rsidR="00A21135">
        <w:rPr>
          <w:sz w:val="26"/>
          <w:szCs w:val="26"/>
          <w:lang w:val="en-US"/>
        </w:rPr>
        <w:t xml:space="preserve">ought to be determined </w:t>
      </w:r>
      <w:r w:rsidR="004A0979">
        <w:rPr>
          <w:sz w:val="26"/>
          <w:szCs w:val="26"/>
          <w:lang w:val="en-US"/>
        </w:rPr>
        <w:t xml:space="preserve">before the appeal </w:t>
      </w:r>
      <w:r w:rsidR="00EB6807">
        <w:rPr>
          <w:sz w:val="26"/>
          <w:szCs w:val="26"/>
          <w:lang w:val="en-US"/>
        </w:rPr>
        <w:t xml:space="preserve">could </w:t>
      </w:r>
      <w:r w:rsidR="004A0979">
        <w:rPr>
          <w:sz w:val="26"/>
          <w:szCs w:val="26"/>
          <w:lang w:val="en-US"/>
        </w:rPr>
        <w:t>be heard</w:t>
      </w:r>
      <w:r w:rsidR="00A21135">
        <w:rPr>
          <w:sz w:val="26"/>
          <w:szCs w:val="26"/>
          <w:lang w:val="en-US"/>
        </w:rPr>
        <w:t xml:space="preserve">. </w:t>
      </w:r>
      <w:r w:rsidR="002428AB" w:rsidRPr="002428AB">
        <w:rPr>
          <w:sz w:val="26"/>
          <w:szCs w:val="26"/>
          <w:lang w:val="en-US"/>
        </w:rPr>
        <w:t>Mr</w:t>
      </w:r>
      <w:r w:rsidR="002428AB">
        <w:rPr>
          <w:sz w:val="26"/>
          <w:szCs w:val="26"/>
          <w:lang w:val="en-US"/>
        </w:rPr>
        <w:t xml:space="preserve"> </w:t>
      </w:r>
      <w:r w:rsidR="00234120">
        <w:rPr>
          <w:sz w:val="26"/>
          <w:szCs w:val="26"/>
          <w:lang w:val="en-US"/>
        </w:rPr>
        <w:t>van der Merwe</w:t>
      </w:r>
      <w:r w:rsidR="002428AB" w:rsidRPr="002428AB">
        <w:rPr>
          <w:sz w:val="26"/>
          <w:szCs w:val="26"/>
          <w:lang w:val="en-US"/>
        </w:rPr>
        <w:t xml:space="preserve"> appeared as a representative for </w:t>
      </w:r>
      <w:r w:rsidR="002428AB">
        <w:rPr>
          <w:sz w:val="26"/>
          <w:szCs w:val="26"/>
          <w:lang w:val="en-US"/>
        </w:rPr>
        <w:t>M</w:t>
      </w:r>
      <w:r w:rsidR="002428AB" w:rsidRPr="002428AB">
        <w:rPr>
          <w:sz w:val="26"/>
          <w:szCs w:val="26"/>
          <w:lang w:val="en-US"/>
        </w:rPr>
        <w:t>s</w:t>
      </w:r>
      <w:r w:rsidR="002428AB">
        <w:rPr>
          <w:sz w:val="26"/>
          <w:szCs w:val="26"/>
          <w:lang w:val="en-US"/>
        </w:rPr>
        <w:t xml:space="preserve"> Poulter</w:t>
      </w:r>
      <w:r w:rsidR="00A3347E" w:rsidRPr="00A3347E">
        <w:rPr>
          <w:sz w:val="26"/>
          <w:szCs w:val="26"/>
          <w:lang w:val="en-US"/>
        </w:rPr>
        <w:t xml:space="preserve"> </w:t>
      </w:r>
      <w:r w:rsidR="00A3347E">
        <w:rPr>
          <w:sz w:val="26"/>
          <w:szCs w:val="26"/>
          <w:lang w:val="en-US"/>
        </w:rPr>
        <w:t>o</w:t>
      </w:r>
      <w:r w:rsidR="00A3347E" w:rsidRPr="002428AB">
        <w:rPr>
          <w:sz w:val="26"/>
          <w:szCs w:val="26"/>
          <w:lang w:val="en-US"/>
        </w:rPr>
        <w:t>n that day</w:t>
      </w:r>
      <w:r w:rsidR="002428AB">
        <w:rPr>
          <w:sz w:val="26"/>
          <w:szCs w:val="26"/>
          <w:lang w:val="en-US"/>
        </w:rPr>
        <w:t>,</w:t>
      </w:r>
      <w:r w:rsidR="002428AB" w:rsidRPr="002428AB">
        <w:rPr>
          <w:sz w:val="26"/>
          <w:szCs w:val="26"/>
          <w:lang w:val="en-US"/>
        </w:rPr>
        <w:t xml:space="preserve"> and the </w:t>
      </w:r>
      <w:r w:rsidR="002428AB">
        <w:rPr>
          <w:sz w:val="26"/>
          <w:szCs w:val="26"/>
          <w:lang w:val="en-US"/>
        </w:rPr>
        <w:t>CSARS’ l</w:t>
      </w:r>
      <w:r w:rsidR="002428AB" w:rsidRPr="002428AB">
        <w:rPr>
          <w:sz w:val="26"/>
          <w:szCs w:val="26"/>
          <w:lang w:val="en-US"/>
        </w:rPr>
        <w:t>egal representatives objected thereto</w:t>
      </w:r>
      <w:r w:rsidR="002428AB">
        <w:rPr>
          <w:sz w:val="26"/>
          <w:szCs w:val="26"/>
          <w:lang w:val="en-US"/>
        </w:rPr>
        <w:t>,</w:t>
      </w:r>
      <w:r w:rsidR="002428AB" w:rsidRPr="002428AB">
        <w:rPr>
          <w:sz w:val="26"/>
          <w:szCs w:val="26"/>
          <w:lang w:val="en-US"/>
        </w:rPr>
        <w:t xml:space="preserve"> although th</w:t>
      </w:r>
      <w:r w:rsidR="002428AB">
        <w:rPr>
          <w:sz w:val="26"/>
          <w:szCs w:val="26"/>
          <w:lang w:val="en-US"/>
        </w:rPr>
        <w:t>e</w:t>
      </w:r>
      <w:r w:rsidR="002428AB" w:rsidRPr="002428AB">
        <w:rPr>
          <w:sz w:val="26"/>
          <w:szCs w:val="26"/>
          <w:lang w:val="en-US"/>
        </w:rPr>
        <w:t xml:space="preserve"> issue was not </w:t>
      </w:r>
      <w:r w:rsidR="002428AB">
        <w:rPr>
          <w:sz w:val="26"/>
          <w:szCs w:val="26"/>
          <w:lang w:val="en-US"/>
        </w:rPr>
        <w:t xml:space="preserve">dealt </w:t>
      </w:r>
      <w:r w:rsidR="00A3347E">
        <w:rPr>
          <w:sz w:val="26"/>
          <w:szCs w:val="26"/>
          <w:lang w:val="en-US"/>
        </w:rPr>
        <w:t xml:space="preserve">with </w:t>
      </w:r>
      <w:r w:rsidR="002428AB" w:rsidRPr="002428AB">
        <w:rPr>
          <w:sz w:val="26"/>
          <w:szCs w:val="26"/>
          <w:lang w:val="en-US"/>
        </w:rPr>
        <w:t xml:space="preserve">since the </w:t>
      </w:r>
      <w:r w:rsidR="00A3347E">
        <w:rPr>
          <w:sz w:val="26"/>
          <w:szCs w:val="26"/>
          <w:lang w:val="en-US"/>
        </w:rPr>
        <w:t>c</w:t>
      </w:r>
      <w:r w:rsidR="002428AB" w:rsidRPr="002428AB">
        <w:rPr>
          <w:sz w:val="26"/>
          <w:szCs w:val="26"/>
          <w:lang w:val="en-US"/>
        </w:rPr>
        <w:t xml:space="preserve">ourt's approach was to strike the matter </w:t>
      </w:r>
      <w:r w:rsidR="000D5D1E">
        <w:rPr>
          <w:sz w:val="26"/>
          <w:szCs w:val="26"/>
          <w:lang w:val="en-US"/>
        </w:rPr>
        <w:t>from</w:t>
      </w:r>
      <w:r w:rsidR="002428AB" w:rsidRPr="002428AB">
        <w:rPr>
          <w:sz w:val="26"/>
          <w:szCs w:val="26"/>
          <w:lang w:val="en-US"/>
        </w:rPr>
        <w:t xml:space="preserve"> the rol</w:t>
      </w:r>
      <w:r w:rsidR="002428AB">
        <w:rPr>
          <w:sz w:val="26"/>
          <w:szCs w:val="26"/>
          <w:lang w:val="en-US"/>
        </w:rPr>
        <w:t>l.</w:t>
      </w:r>
    </w:p>
    <w:p w:rsidR="007832A4" w:rsidRPr="007832A4" w:rsidRDefault="007832A4" w:rsidP="007832A4">
      <w:pPr>
        <w:pStyle w:val="ListParagraph"/>
        <w:spacing w:after="0" w:line="360" w:lineRule="auto"/>
        <w:ind w:left="0"/>
        <w:jc w:val="both"/>
        <w:rPr>
          <w:sz w:val="26"/>
          <w:szCs w:val="26"/>
        </w:rPr>
      </w:pPr>
    </w:p>
    <w:p w:rsidR="007832A4" w:rsidRPr="002428AB" w:rsidRDefault="007832A4" w:rsidP="0015489F">
      <w:pPr>
        <w:pStyle w:val="ListParagraph"/>
        <w:numPr>
          <w:ilvl w:val="0"/>
          <w:numId w:val="2"/>
        </w:numPr>
        <w:spacing w:after="0" w:line="360" w:lineRule="auto"/>
        <w:ind w:left="0" w:firstLine="0"/>
        <w:jc w:val="both"/>
        <w:rPr>
          <w:sz w:val="26"/>
          <w:szCs w:val="26"/>
        </w:rPr>
      </w:pPr>
      <w:r>
        <w:rPr>
          <w:sz w:val="26"/>
          <w:szCs w:val="26"/>
          <w:lang w:val="en-US"/>
        </w:rPr>
        <w:t xml:space="preserve">Thereafter, the </w:t>
      </w:r>
      <w:r w:rsidR="00EB6807">
        <w:rPr>
          <w:sz w:val="26"/>
          <w:szCs w:val="26"/>
          <w:lang w:val="en-US"/>
        </w:rPr>
        <w:t xml:space="preserve">rule 30 application and related condonation application were brought </w:t>
      </w:r>
      <w:r>
        <w:rPr>
          <w:sz w:val="26"/>
          <w:szCs w:val="26"/>
          <w:lang w:val="en-US"/>
        </w:rPr>
        <w:t>before Binns-Ward J</w:t>
      </w:r>
      <w:r w:rsidR="005946C8">
        <w:rPr>
          <w:sz w:val="26"/>
          <w:szCs w:val="26"/>
          <w:lang w:val="en-US"/>
        </w:rPr>
        <w:t>,</w:t>
      </w:r>
      <w:r>
        <w:rPr>
          <w:sz w:val="26"/>
          <w:szCs w:val="26"/>
          <w:lang w:val="en-US"/>
        </w:rPr>
        <w:t xml:space="preserve"> sitting as a single judge</w:t>
      </w:r>
      <w:r w:rsidR="00EB6807">
        <w:rPr>
          <w:sz w:val="26"/>
          <w:szCs w:val="26"/>
          <w:lang w:val="en-US"/>
        </w:rPr>
        <w:t>, on 12 May 2022</w:t>
      </w:r>
      <w:r w:rsidR="00882C70">
        <w:rPr>
          <w:sz w:val="26"/>
          <w:szCs w:val="26"/>
          <w:lang w:val="en-US"/>
        </w:rPr>
        <w:t>.</w:t>
      </w:r>
      <w:r>
        <w:rPr>
          <w:sz w:val="26"/>
          <w:szCs w:val="26"/>
          <w:lang w:val="en-US"/>
        </w:rPr>
        <w:t xml:space="preserve"> </w:t>
      </w:r>
      <w:r w:rsidR="00882C70">
        <w:rPr>
          <w:sz w:val="26"/>
          <w:szCs w:val="26"/>
          <w:lang w:val="en-US"/>
        </w:rPr>
        <w:t>His</w:t>
      </w:r>
      <w:r w:rsidR="005946C8">
        <w:rPr>
          <w:sz w:val="26"/>
          <w:szCs w:val="26"/>
          <w:lang w:val="en-US"/>
        </w:rPr>
        <w:t xml:space="preserve"> view </w:t>
      </w:r>
      <w:r w:rsidR="00882C70">
        <w:rPr>
          <w:sz w:val="26"/>
          <w:szCs w:val="26"/>
          <w:lang w:val="en-US"/>
        </w:rPr>
        <w:t xml:space="preserve">was </w:t>
      </w:r>
      <w:r w:rsidR="005946C8">
        <w:rPr>
          <w:sz w:val="26"/>
          <w:szCs w:val="26"/>
          <w:lang w:val="en-US"/>
        </w:rPr>
        <w:t>that</w:t>
      </w:r>
      <w:r w:rsidR="00EB6807">
        <w:rPr>
          <w:sz w:val="26"/>
          <w:szCs w:val="26"/>
          <w:lang w:val="en-US"/>
        </w:rPr>
        <w:t xml:space="preserve"> it was doubtful that a single judge had jurisdiction to determine the matters</w:t>
      </w:r>
      <w:r w:rsidR="00C11F45">
        <w:rPr>
          <w:sz w:val="26"/>
          <w:szCs w:val="26"/>
          <w:lang w:val="en-US"/>
        </w:rPr>
        <w:t>, and that it was in any event inappropriate for them to be heard by a single</w:t>
      </w:r>
      <w:r w:rsidR="00882C70">
        <w:rPr>
          <w:sz w:val="26"/>
          <w:szCs w:val="26"/>
          <w:lang w:val="en-US"/>
        </w:rPr>
        <w:t xml:space="preserve"> judge</w:t>
      </w:r>
      <w:r w:rsidR="00C40723">
        <w:rPr>
          <w:sz w:val="26"/>
          <w:szCs w:val="26"/>
          <w:lang w:val="en-US"/>
        </w:rPr>
        <w:t>.</w:t>
      </w:r>
      <w:r w:rsidR="005946C8">
        <w:rPr>
          <w:sz w:val="26"/>
          <w:szCs w:val="26"/>
          <w:lang w:val="en-US"/>
        </w:rPr>
        <w:t xml:space="preserve"> I</w:t>
      </w:r>
      <w:r w:rsidR="008E5D6D">
        <w:rPr>
          <w:sz w:val="26"/>
          <w:szCs w:val="26"/>
          <w:lang w:val="en-US"/>
        </w:rPr>
        <w:t xml:space="preserve">n consultation </w:t>
      </w:r>
      <w:r w:rsidR="00FC65D8">
        <w:rPr>
          <w:sz w:val="26"/>
          <w:szCs w:val="26"/>
          <w:lang w:val="en-US"/>
        </w:rPr>
        <w:t xml:space="preserve">with the Judge President of this Division, the matter </w:t>
      </w:r>
      <w:r w:rsidR="00882C70">
        <w:rPr>
          <w:sz w:val="26"/>
          <w:szCs w:val="26"/>
          <w:lang w:val="en-US"/>
        </w:rPr>
        <w:t xml:space="preserve">was </w:t>
      </w:r>
      <w:r w:rsidR="00C11F45">
        <w:rPr>
          <w:sz w:val="26"/>
          <w:szCs w:val="26"/>
          <w:lang w:val="en-US"/>
        </w:rPr>
        <w:t xml:space="preserve">consequently </w:t>
      </w:r>
      <w:r w:rsidR="00882C70">
        <w:rPr>
          <w:sz w:val="26"/>
          <w:szCs w:val="26"/>
          <w:lang w:val="en-US"/>
        </w:rPr>
        <w:t xml:space="preserve">referred </w:t>
      </w:r>
      <w:r w:rsidR="00FC65D8">
        <w:rPr>
          <w:sz w:val="26"/>
          <w:szCs w:val="26"/>
          <w:lang w:val="en-US"/>
        </w:rPr>
        <w:t xml:space="preserve">for hearing before </w:t>
      </w:r>
      <w:r w:rsidR="00882C70">
        <w:rPr>
          <w:sz w:val="26"/>
          <w:szCs w:val="26"/>
          <w:lang w:val="en-US"/>
        </w:rPr>
        <w:t>this</w:t>
      </w:r>
      <w:r>
        <w:rPr>
          <w:sz w:val="26"/>
          <w:szCs w:val="26"/>
          <w:lang w:val="en-US"/>
        </w:rPr>
        <w:t xml:space="preserve"> </w:t>
      </w:r>
      <w:r w:rsidR="00C11F45">
        <w:rPr>
          <w:sz w:val="26"/>
          <w:szCs w:val="26"/>
          <w:lang w:val="en-US"/>
        </w:rPr>
        <w:t>Court</w:t>
      </w:r>
      <w:r>
        <w:rPr>
          <w:sz w:val="26"/>
          <w:szCs w:val="26"/>
          <w:lang w:val="en-US"/>
        </w:rPr>
        <w:t xml:space="preserve">. </w:t>
      </w:r>
    </w:p>
    <w:p w:rsidR="002428AB" w:rsidRPr="002428AB" w:rsidRDefault="002428AB" w:rsidP="002428AB">
      <w:pPr>
        <w:pStyle w:val="ListParagraph"/>
        <w:spacing w:after="0" w:line="360" w:lineRule="auto"/>
        <w:ind w:left="0"/>
        <w:jc w:val="both"/>
        <w:rPr>
          <w:sz w:val="26"/>
          <w:szCs w:val="26"/>
        </w:rPr>
      </w:pPr>
    </w:p>
    <w:p w:rsidR="0062665E" w:rsidRPr="00E734F4" w:rsidRDefault="00C11F45" w:rsidP="0062665E">
      <w:pPr>
        <w:pStyle w:val="ListParagraph"/>
        <w:numPr>
          <w:ilvl w:val="0"/>
          <w:numId w:val="2"/>
        </w:numPr>
        <w:spacing w:after="0" w:line="360" w:lineRule="auto"/>
        <w:ind w:left="0" w:firstLine="0"/>
        <w:jc w:val="both"/>
        <w:rPr>
          <w:b/>
          <w:bCs/>
          <w:sz w:val="26"/>
          <w:szCs w:val="26"/>
        </w:rPr>
      </w:pPr>
      <w:r>
        <w:rPr>
          <w:color w:val="242121"/>
          <w:sz w:val="26"/>
          <w:szCs w:val="26"/>
          <w:lang w:val="en-US"/>
        </w:rPr>
        <w:t xml:space="preserve">This </w:t>
      </w:r>
      <w:r w:rsidR="0013546D">
        <w:rPr>
          <w:color w:val="242121"/>
          <w:sz w:val="26"/>
          <w:szCs w:val="26"/>
          <w:lang w:val="en-US"/>
        </w:rPr>
        <w:t>Court</w:t>
      </w:r>
      <w:r w:rsidR="002428AB" w:rsidRPr="0062665E">
        <w:rPr>
          <w:color w:val="242121"/>
          <w:sz w:val="26"/>
          <w:szCs w:val="26"/>
          <w:lang w:val="en-US"/>
        </w:rPr>
        <w:t xml:space="preserve"> issued a directive</w:t>
      </w:r>
      <w:r w:rsidR="000D5D1E" w:rsidRPr="0062665E">
        <w:rPr>
          <w:color w:val="242121"/>
          <w:sz w:val="26"/>
          <w:szCs w:val="26"/>
          <w:lang w:val="en-US"/>
        </w:rPr>
        <w:t xml:space="preserve"> </w:t>
      </w:r>
      <w:r w:rsidR="00F871AB">
        <w:rPr>
          <w:color w:val="242121"/>
          <w:sz w:val="26"/>
          <w:szCs w:val="26"/>
          <w:lang w:val="en-US"/>
        </w:rPr>
        <w:t>dated 15 June 2022 (</w:t>
      </w:r>
      <w:r w:rsidR="00882C70" w:rsidRPr="00882C70">
        <w:rPr>
          <w:i/>
          <w:iCs/>
          <w:color w:val="242121"/>
          <w:sz w:val="26"/>
          <w:szCs w:val="26"/>
          <w:lang w:val="en-US"/>
        </w:rPr>
        <w:t>“the Directive”</w:t>
      </w:r>
      <w:r w:rsidR="00882C70">
        <w:rPr>
          <w:color w:val="242121"/>
          <w:sz w:val="26"/>
          <w:szCs w:val="26"/>
          <w:lang w:val="en-US"/>
        </w:rPr>
        <w:t>)</w:t>
      </w:r>
      <w:r w:rsidR="009538E3">
        <w:rPr>
          <w:color w:val="242121"/>
          <w:sz w:val="26"/>
          <w:szCs w:val="26"/>
          <w:lang w:val="en-US"/>
        </w:rPr>
        <w:t xml:space="preserve">, </w:t>
      </w:r>
      <w:r w:rsidR="008E5D6D">
        <w:rPr>
          <w:color w:val="242121"/>
          <w:sz w:val="26"/>
          <w:szCs w:val="26"/>
          <w:lang w:val="en-US"/>
        </w:rPr>
        <w:t xml:space="preserve">setting the matter down for hearing on 22 August 2022, and </w:t>
      </w:r>
      <w:r>
        <w:rPr>
          <w:color w:val="242121"/>
          <w:sz w:val="26"/>
          <w:szCs w:val="26"/>
          <w:lang w:val="en-US"/>
        </w:rPr>
        <w:t>informing the parties</w:t>
      </w:r>
      <w:r w:rsidRPr="0062665E">
        <w:rPr>
          <w:color w:val="242121"/>
          <w:sz w:val="26"/>
          <w:szCs w:val="26"/>
          <w:lang w:val="en-US"/>
        </w:rPr>
        <w:t xml:space="preserve"> </w:t>
      </w:r>
      <w:r w:rsidR="000D5D1E" w:rsidRPr="0062665E">
        <w:rPr>
          <w:color w:val="242121"/>
          <w:sz w:val="26"/>
          <w:szCs w:val="26"/>
          <w:lang w:val="en-US"/>
        </w:rPr>
        <w:t xml:space="preserve">that </w:t>
      </w:r>
      <w:r w:rsidR="00882C70">
        <w:rPr>
          <w:color w:val="242121"/>
          <w:sz w:val="26"/>
          <w:szCs w:val="26"/>
          <w:lang w:val="en-US"/>
        </w:rPr>
        <w:t>the Court</w:t>
      </w:r>
      <w:r w:rsidR="0062665E" w:rsidRPr="0062665E">
        <w:rPr>
          <w:color w:val="242121"/>
          <w:sz w:val="26"/>
          <w:szCs w:val="26"/>
          <w:lang w:val="en-US"/>
        </w:rPr>
        <w:t xml:space="preserve"> </w:t>
      </w:r>
      <w:r w:rsidR="0062665E" w:rsidRPr="0062665E">
        <w:rPr>
          <w:color w:val="000000"/>
          <w:sz w:val="26"/>
          <w:szCs w:val="26"/>
        </w:rPr>
        <w:t>would not entertain oral or written submissions in the matter except from the parties in person, or as represented by an advocate or an attorney with right of appearance in the High Court.</w:t>
      </w:r>
      <w:r w:rsidR="0062665E" w:rsidRPr="0062665E">
        <w:rPr>
          <w:color w:val="000000"/>
        </w:rPr>
        <w:t> </w:t>
      </w:r>
      <w:r w:rsidR="0062665E" w:rsidRPr="00E734F4">
        <w:rPr>
          <w:color w:val="000000"/>
          <w:sz w:val="26"/>
          <w:szCs w:val="26"/>
        </w:rPr>
        <w:t xml:space="preserve">Further, the </w:t>
      </w:r>
      <w:r>
        <w:rPr>
          <w:color w:val="000000"/>
          <w:sz w:val="26"/>
          <w:szCs w:val="26"/>
        </w:rPr>
        <w:t>d</w:t>
      </w:r>
      <w:r w:rsidR="0062665E" w:rsidRPr="00E734F4">
        <w:rPr>
          <w:color w:val="000000"/>
          <w:sz w:val="26"/>
          <w:szCs w:val="26"/>
        </w:rPr>
        <w:t xml:space="preserve">irective sought representations from the parties regarding (a) </w:t>
      </w:r>
      <w:r w:rsidR="00A21135">
        <w:rPr>
          <w:color w:val="000000"/>
          <w:sz w:val="26"/>
          <w:szCs w:val="26"/>
        </w:rPr>
        <w:t xml:space="preserve">whether </w:t>
      </w:r>
      <w:r w:rsidR="0062665E" w:rsidRPr="00E734F4">
        <w:rPr>
          <w:color w:val="000000"/>
          <w:sz w:val="26"/>
          <w:szCs w:val="26"/>
        </w:rPr>
        <w:t xml:space="preserve">the </w:t>
      </w:r>
      <w:r>
        <w:rPr>
          <w:color w:val="000000"/>
          <w:sz w:val="26"/>
          <w:szCs w:val="26"/>
        </w:rPr>
        <w:t>order made by Davis J in the Tax Court</w:t>
      </w:r>
      <w:r w:rsidRPr="00E734F4">
        <w:rPr>
          <w:color w:val="000000"/>
          <w:sz w:val="26"/>
          <w:szCs w:val="26"/>
        </w:rPr>
        <w:t xml:space="preserve"> </w:t>
      </w:r>
      <w:r w:rsidR="00A21135">
        <w:rPr>
          <w:color w:val="000000"/>
          <w:sz w:val="26"/>
          <w:szCs w:val="26"/>
        </w:rPr>
        <w:t>is</w:t>
      </w:r>
      <w:r w:rsidR="00A21135" w:rsidRPr="00E734F4">
        <w:rPr>
          <w:color w:val="000000"/>
          <w:sz w:val="26"/>
          <w:szCs w:val="26"/>
        </w:rPr>
        <w:t xml:space="preserve"> appealab</w:t>
      </w:r>
      <w:r w:rsidR="00A21135">
        <w:rPr>
          <w:color w:val="000000"/>
          <w:sz w:val="26"/>
          <w:szCs w:val="26"/>
        </w:rPr>
        <w:t>le</w:t>
      </w:r>
      <w:r w:rsidR="0062665E" w:rsidRPr="00E734F4">
        <w:rPr>
          <w:color w:val="000000"/>
          <w:sz w:val="26"/>
          <w:szCs w:val="26"/>
        </w:rPr>
        <w:t xml:space="preserve">; and (b) why, if the costs order </w:t>
      </w:r>
      <w:r w:rsidR="002853A4">
        <w:rPr>
          <w:color w:val="000000"/>
          <w:sz w:val="26"/>
          <w:szCs w:val="26"/>
        </w:rPr>
        <w:t>were</w:t>
      </w:r>
      <w:r w:rsidR="002853A4" w:rsidRPr="00E734F4">
        <w:rPr>
          <w:color w:val="000000"/>
          <w:sz w:val="26"/>
          <w:szCs w:val="26"/>
        </w:rPr>
        <w:t xml:space="preserve"> </w:t>
      </w:r>
      <w:r w:rsidR="0062665E" w:rsidRPr="00E734F4">
        <w:rPr>
          <w:color w:val="000000"/>
          <w:sz w:val="26"/>
          <w:szCs w:val="26"/>
        </w:rPr>
        <w:t xml:space="preserve">the only appealable aspect of the </w:t>
      </w:r>
      <w:r w:rsidR="00951271">
        <w:rPr>
          <w:color w:val="000000"/>
          <w:sz w:val="26"/>
          <w:szCs w:val="26"/>
        </w:rPr>
        <w:t>O</w:t>
      </w:r>
      <w:r w:rsidR="0062665E" w:rsidRPr="00E734F4">
        <w:rPr>
          <w:color w:val="000000"/>
          <w:sz w:val="26"/>
          <w:szCs w:val="26"/>
        </w:rPr>
        <w:t>rder, an appe</w:t>
      </w:r>
      <w:r w:rsidR="002853A4">
        <w:rPr>
          <w:color w:val="000000"/>
          <w:sz w:val="26"/>
          <w:szCs w:val="26"/>
        </w:rPr>
        <w:t>llate</w:t>
      </w:r>
      <w:r w:rsidR="0062665E" w:rsidRPr="00E734F4">
        <w:rPr>
          <w:color w:val="000000"/>
          <w:sz w:val="26"/>
          <w:szCs w:val="26"/>
        </w:rPr>
        <w:t xml:space="preserve"> court </w:t>
      </w:r>
      <w:r w:rsidR="002853A4">
        <w:rPr>
          <w:color w:val="000000"/>
          <w:sz w:val="26"/>
          <w:szCs w:val="26"/>
        </w:rPr>
        <w:t>might be moved, exceptionally,</w:t>
      </w:r>
      <w:r w:rsidR="0062665E" w:rsidRPr="00E734F4">
        <w:rPr>
          <w:color w:val="000000"/>
          <w:sz w:val="26"/>
          <w:szCs w:val="26"/>
        </w:rPr>
        <w:t xml:space="preserve"> to entertain an appeal only in respect of costs.</w:t>
      </w:r>
    </w:p>
    <w:p w:rsidR="00D8338F" w:rsidRDefault="00D8338F" w:rsidP="00D8338F">
      <w:pPr>
        <w:pStyle w:val="ListParagraph"/>
        <w:spacing w:after="0" w:line="360" w:lineRule="auto"/>
        <w:ind w:left="0"/>
        <w:jc w:val="both"/>
        <w:rPr>
          <w:b/>
          <w:bCs/>
          <w:sz w:val="26"/>
          <w:szCs w:val="26"/>
        </w:rPr>
      </w:pPr>
    </w:p>
    <w:p w:rsidR="00D8338F" w:rsidRPr="00D8338F" w:rsidRDefault="00D8338F" w:rsidP="00D8338F">
      <w:pPr>
        <w:pStyle w:val="ListParagraph"/>
        <w:spacing w:after="0" w:line="360" w:lineRule="auto"/>
        <w:ind w:left="0"/>
        <w:jc w:val="both"/>
        <w:rPr>
          <w:b/>
          <w:bCs/>
          <w:i/>
          <w:iCs/>
          <w:sz w:val="26"/>
          <w:szCs w:val="26"/>
        </w:rPr>
      </w:pPr>
      <w:r>
        <w:rPr>
          <w:b/>
          <w:bCs/>
          <w:i/>
          <w:iCs/>
          <w:sz w:val="26"/>
          <w:szCs w:val="26"/>
        </w:rPr>
        <w:t>A</w:t>
      </w:r>
      <w:r w:rsidRPr="00D8338F">
        <w:rPr>
          <w:b/>
          <w:bCs/>
          <w:i/>
          <w:iCs/>
          <w:sz w:val="26"/>
          <w:szCs w:val="26"/>
        </w:rPr>
        <w:t xml:space="preserve">pplication </w:t>
      </w:r>
      <w:r>
        <w:rPr>
          <w:b/>
          <w:bCs/>
          <w:i/>
          <w:iCs/>
          <w:sz w:val="26"/>
          <w:szCs w:val="26"/>
        </w:rPr>
        <w:t>to i</w:t>
      </w:r>
      <w:r w:rsidRPr="00D8338F">
        <w:rPr>
          <w:b/>
          <w:bCs/>
          <w:i/>
          <w:iCs/>
          <w:sz w:val="26"/>
          <w:szCs w:val="26"/>
        </w:rPr>
        <w:t>nterven</w:t>
      </w:r>
      <w:r>
        <w:rPr>
          <w:b/>
          <w:bCs/>
          <w:i/>
          <w:iCs/>
          <w:sz w:val="26"/>
          <w:szCs w:val="26"/>
        </w:rPr>
        <w:t>e</w:t>
      </w:r>
    </w:p>
    <w:p w:rsidR="00C56DC3" w:rsidRPr="006C3EB2" w:rsidRDefault="006756EB" w:rsidP="00C11F45">
      <w:pPr>
        <w:pStyle w:val="ListParagraph"/>
        <w:numPr>
          <w:ilvl w:val="0"/>
          <w:numId w:val="2"/>
        </w:numPr>
        <w:spacing w:after="0" w:line="360" w:lineRule="auto"/>
        <w:ind w:left="0" w:firstLine="0"/>
        <w:jc w:val="both"/>
        <w:rPr>
          <w:b/>
          <w:bCs/>
          <w:sz w:val="26"/>
          <w:szCs w:val="26"/>
        </w:rPr>
      </w:pPr>
      <w:r>
        <w:rPr>
          <w:color w:val="242121"/>
          <w:sz w:val="26"/>
          <w:szCs w:val="26"/>
          <w:lang w:val="en-US"/>
        </w:rPr>
        <w:t>Ms Poulter did not attend the court proceedings</w:t>
      </w:r>
      <w:r w:rsidR="00CE1162">
        <w:rPr>
          <w:color w:val="242121"/>
          <w:sz w:val="26"/>
          <w:szCs w:val="26"/>
          <w:lang w:val="en-US"/>
        </w:rPr>
        <w:t xml:space="preserve"> on 22 August 2022</w:t>
      </w:r>
      <w:r>
        <w:rPr>
          <w:color w:val="242121"/>
          <w:sz w:val="26"/>
          <w:szCs w:val="26"/>
          <w:lang w:val="en-US"/>
        </w:rPr>
        <w:t xml:space="preserve">, and no reason was given therefor. Instead, </w:t>
      </w:r>
      <w:r w:rsidR="00CE1162">
        <w:rPr>
          <w:color w:val="242121"/>
          <w:sz w:val="26"/>
          <w:szCs w:val="26"/>
          <w:lang w:val="en-US"/>
        </w:rPr>
        <w:t xml:space="preserve">as already indicated, </w:t>
      </w:r>
      <w:r>
        <w:rPr>
          <w:color w:val="242121"/>
          <w:sz w:val="26"/>
          <w:szCs w:val="26"/>
          <w:lang w:val="en-US"/>
        </w:rPr>
        <w:t xml:space="preserve">Mr </w:t>
      </w:r>
      <w:r w:rsidR="00234120">
        <w:rPr>
          <w:color w:val="242121"/>
          <w:sz w:val="26"/>
          <w:szCs w:val="26"/>
          <w:lang w:val="en-US"/>
        </w:rPr>
        <w:t>van der Merwe</w:t>
      </w:r>
      <w:r>
        <w:rPr>
          <w:color w:val="242121"/>
          <w:sz w:val="26"/>
          <w:szCs w:val="26"/>
          <w:lang w:val="en-US"/>
        </w:rPr>
        <w:t xml:space="preserve"> sought to </w:t>
      </w:r>
      <w:r w:rsidR="00CE1162">
        <w:rPr>
          <w:color w:val="242121"/>
          <w:sz w:val="26"/>
          <w:szCs w:val="26"/>
          <w:lang w:val="en-US"/>
        </w:rPr>
        <w:t>intervene as a party to the proceedings</w:t>
      </w:r>
      <w:r w:rsidR="000B2C28">
        <w:rPr>
          <w:color w:val="242121"/>
          <w:sz w:val="26"/>
          <w:szCs w:val="26"/>
          <w:lang w:val="en-US"/>
        </w:rPr>
        <w:t>,</w:t>
      </w:r>
      <w:r w:rsidR="000D5D1E" w:rsidRPr="00951271">
        <w:rPr>
          <w:color w:val="242121"/>
          <w:sz w:val="26"/>
          <w:szCs w:val="26"/>
          <w:lang w:val="en-US"/>
        </w:rPr>
        <w:t xml:space="preserve"> </w:t>
      </w:r>
      <w:r w:rsidR="00CE1162">
        <w:rPr>
          <w:color w:val="242121"/>
          <w:sz w:val="26"/>
          <w:szCs w:val="26"/>
          <w:lang w:val="en-US"/>
        </w:rPr>
        <w:t xml:space="preserve">and that application </w:t>
      </w:r>
      <w:r>
        <w:rPr>
          <w:color w:val="242121"/>
          <w:sz w:val="26"/>
          <w:szCs w:val="26"/>
          <w:lang w:val="en-US"/>
        </w:rPr>
        <w:t xml:space="preserve">was entertained </w:t>
      </w:r>
      <w:r w:rsidR="000D5D1E" w:rsidRPr="00951271">
        <w:rPr>
          <w:color w:val="242121"/>
          <w:sz w:val="26"/>
          <w:szCs w:val="26"/>
          <w:lang w:val="en-US"/>
        </w:rPr>
        <w:t xml:space="preserve">first. </w:t>
      </w:r>
      <w:r w:rsidR="00C56DC3" w:rsidRPr="00C56DC3">
        <w:rPr>
          <w:color w:val="242121"/>
          <w:sz w:val="26"/>
          <w:szCs w:val="26"/>
          <w:lang w:val="en-US"/>
        </w:rPr>
        <w:t>The affidavits supporting</w:t>
      </w:r>
      <w:r w:rsidR="00C56DC3">
        <w:rPr>
          <w:color w:val="242121"/>
          <w:sz w:val="26"/>
          <w:szCs w:val="26"/>
          <w:lang w:val="en-US"/>
        </w:rPr>
        <w:t xml:space="preserve"> the </w:t>
      </w:r>
      <w:r w:rsidR="00C56DC3" w:rsidRPr="00C56DC3">
        <w:rPr>
          <w:color w:val="242121"/>
          <w:sz w:val="26"/>
          <w:szCs w:val="26"/>
          <w:lang w:val="en-US"/>
        </w:rPr>
        <w:t>application w</w:t>
      </w:r>
      <w:r w:rsidR="00C56DC3">
        <w:rPr>
          <w:color w:val="242121"/>
          <w:sz w:val="26"/>
          <w:szCs w:val="26"/>
          <w:lang w:val="en-US"/>
        </w:rPr>
        <w:t>ere</w:t>
      </w:r>
      <w:r w:rsidR="00C56DC3" w:rsidRPr="00C56DC3">
        <w:rPr>
          <w:color w:val="242121"/>
          <w:sz w:val="26"/>
          <w:szCs w:val="26"/>
          <w:lang w:val="en-US"/>
        </w:rPr>
        <w:t xml:space="preserve"> deposed </w:t>
      </w:r>
      <w:r w:rsidR="002853A4">
        <w:rPr>
          <w:color w:val="242121"/>
          <w:sz w:val="26"/>
          <w:szCs w:val="26"/>
          <w:lang w:val="en-US"/>
        </w:rPr>
        <w:t xml:space="preserve">to by </w:t>
      </w:r>
      <w:r w:rsidR="00C56DC3" w:rsidRPr="00951271">
        <w:rPr>
          <w:color w:val="242121"/>
          <w:sz w:val="26"/>
          <w:szCs w:val="26"/>
          <w:lang w:val="en-US"/>
        </w:rPr>
        <w:t xml:space="preserve">Mr </w:t>
      </w:r>
      <w:r w:rsidR="00234120">
        <w:rPr>
          <w:color w:val="242121"/>
          <w:sz w:val="26"/>
          <w:szCs w:val="26"/>
          <w:lang w:val="en-US"/>
        </w:rPr>
        <w:t>van der Merwe</w:t>
      </w:r>
      <w:r w:rsidR="00C56DC3">
        <w:rPr>
          <w:color w:val="242121"/>
          <w:sz w:val="26"/>
          <w:szCs w:val="26"/>
          <w:lang w:val="en-US"/>
        </w:rPr>
        <w:t xml:space="preserve">, </w:t>
      </w:r>
      <w:r w:rsidR="00D8338F">
        <w:rPr>
          <w:color w:val="242121"/>
          <w:sz w:val="26"/>
          <w:szCs w:val="26"/>
          <w:lang w:val="en-US"/>
        </w:rPr>
        <w:t>without any</w:t>
      </w:r>
      <w:r w:rsidR="00C56DC3" w:rsidRPr="00C56DC3">
        <w:rPr>
          <w:color w:val="242121"/>
          <w:sz w:val="26"/>
          <w:szCs w:val="26"/>
          <w:lang w:val="en-US"/>
        </w:rPr>
        <w:t xml:space="preserve"> accompanying affidavit from </w:t>
      </w:r>
      <w:r w:rsidR="00C56DC3">
        <w:rPr>
          <w:color w:val="242121"/>
          <w:sz w:val="26"/>
          <w:szCs w:val="26"/>
          <w:lang w:val="en-US"/>
        </w:rPr>
        <w:t>M</w:t>
      </w:r>
      <w:r w:rsidR="00C56DC3" w:rsidRPr="00C56DC3">
        <w:rPr>
          <w:color w:val="242121"/>
          <w:sz w:val="26"/>
          <w:szCs w:val="26"/>
          <w:lang w:val="en-US"/>
        </w:rPr>
        <w:t xml:space="preserve">s </w:t>
      </w:r>
      <w:r w:rsidR="00C56DC3">
        <w:rPr>
          <w:color w:val="242121"/>
          <w:sz w:val="26"/>
          <w:szCs w:val="26"/>
          <w:lang w:val="en-US"/>
        </w:rPr>
        <w:t>Poulter. T</w:t>
      </w:r>
      <w:r w:rsidR="00C56DC3" w:rsidRPr="00C56DC3">
        <w:rPr>
          <w:color w:val="242121"/>
          <w:sz w:val="26"/>
          <w:szCs w:val="26"/>
          <w:lang w:val="en-US"/>
        </w:rPr>
        <w:t>he intervention application</w:t>
      </w:r>
      <w:r w:rsidR="00D8338F" w:rsidRPr="00D8338F">
        <w:rPr>
          <w:color w:val="242121"/>
          <w:sz w:val="26"/>
          <w:szCs w:val="26"/>
          <w:lang w:val="en-US"/>
        </w:rPr>
        <w:t xml:space="preserve"> </w:t>
      </w:r>
      <w:r w:rsidR="006C3EB2">
        <w:rPr>
          <w:color w:val="242121"/>
          <w:sz w:val="26"/>
          <w:szCs w:val="26"/>
          <w:lang w:val="en-US"/>
        </w:rPr>
        <w:t>w</w:t>
      </w:r>
      <w:r w:rsidR="00D8338F" w:rsidRPr="00D8338F">
        <w:rPr>
          <w:color w:val="242121"/>
          <w:sz w:val="26"/>
          <w:szCs w:val="26"/>
          <w:lang w:val="en-US"/>
        </w:rPr>
        <w:t xml:space="preserve">as met with a number of objections from the </w:t>
      </w:r>
      <w:r w:rsidR="006C3EB2">
        <w:rPr>
          <w:color w:val="242121"/>
          <w:sz w:val="26"/>
          <w:szCs w:val="26"/>
          <w:lang w:val="en-US"/>
        </w:rPr>
        <w:t>C</w:t>
      </w:r>
      <w:r w:rsidR="00D8338F" w:rsidRPr="00D8338F">
        <w:rPr>
          <w:color w:val="242121"/>
          <w:sz w:val="26"/>
          <w:szCs w:val="26"/>
          <w:lang w:val="en-US"/>
        </w:rPr>
        <w:t>SARS</w:t>
      </w:r>
      <w:r w:rsidR="00AD4924">
        <w:rPr>
          <w:color w:val="242121"/>
          <w:sz w:val="26"/>
          <w:szCs w:val="26"/>
          <w:lang w:val="en-US"/>
        </w:rPr>
        <w:t>,</w:t>
      </w:r>
      <w:r w:rsidR="00D8338F" w:rsidRPr="00D8338F">
        <w:rPr>
          <w:color w:val="242121"/>
          <w:sz w:val="26"/>
          <w:szCs w:val="26"/>
          <w:lang w:val="en-US"/>
        </w:rPr>
        <w:t xml:space="preserve"> </w:t>
      </w:r>
      <w:r w:rsidR="006C3EB2">
        <w:rPr>
          <w:color w:val="242121"/>
          <w:sz w:val="26"/>
          <w:szCs w:val="26"/>
          <w:lang w:val="en-US"/>
        </w:rPr>
        <w:t>i</w:t>
      </w:r>
      <w:r w:rsidR="00D8338F" w:rsidRPr="00D8338F">
        <w:rPr>
          <w:color w:val="242121"/>
          <w:sz w:val="26"/>
          <w:szCs w:val="26"/>
          <w:lang w:val="en-US"/>
        </w:rPr>
        <w:t xml:space="preserve">ncluding that </w:t>
      </w:r>
      <w:r w:rsidR="006C3EB2">
        <w:rPr>
          <w:color w:val="242121"/>
          <w:sz w:val="26"/>
          <w:szCs w:val="26"/>
          <w:lang w:val="en-US"/>
        </w:rPr>
        <w:t>i</w:t>
      </w:r>
      <w:r w:rsidR="00D8338F" w:rsidRPr="00D8338F">
        <w:rPr>
          <w:color w:val="242121"/>
          <w:sz w:val="26"/>
          <w:szCs w:val="26"/>
          <w:lang w:val="en-US"/>
        </w:rPr>
        <w:t>t was</w:t>
      </w:r>
      <w:r w:rsidR="006C3EB2">
        <w:rPr>
          <w:color w:val="242121"/>
          <w:sz w:val="26"/>
          <w:szCs w:val="26"/>
          <w:lang w:val="en-US"/>
        </w:rPr>
        <w:t xml:space="preserve"> </w:t>
      </w:r>
      <w:r w:rsidR="00D8338F" w:rsidRPr="00D8338F">
        <w:rPr>
          <w:color w:val="242121"/>
          <w:sz w:val="26"/>
          <w:szCs w:val="26"/>
          <w:lang w:val="en-US"/>
        </w:rPr>
        <w:t>n</w:t>
      </w:r>
      <w:r w:rsidR="006C3EB2">
        <w:rPr>
          <w:color w:val="242121"/>
          <w:sz w:val="26"/>
          <w:szCs w:val="26"/>
          <w:lang w:val="en-US"/>
        </w:rPr>
        <w:t>o</w:t>
      </w:r>
      <w:r w:rsidR="00D8338F" w:rsidRPr="00D8338F">
        <w:rPr>
          <w:color w:val="242121"/>
          <w:sz w:val="26"/>
          <w:szCs w:val="26"/>
          <w:lang w:val="en-US"/>
        </w:rPr>
        <w:t xml:space="preserve">t served in </w:t>
      </w:r>
      <w:r w:rsidR="006C3EB2">
        <w:rPr>
          <w:color w:val="242121"/>
          <w:sz w:val="26"/>
          <w:szCs w:val="26"/>
          <w:lang w:val="en-US"/>
        </w:rPr>
        <w:t>a</w:t>
      </w:r>
      <w:r w:rsidR="006C3EB2" w:rsidRPr="006C3EB2">
        <w:rPr>
          <w:color w:val="242121"/>
          <w:sz w:val="26"/>
          <w:szCs w:val="26"/>
          <w:lang w:val="en-US"/>
        </w:rPr>
        <w:t>ccordance with the</w:t>
      </w:r>
      <w:r w:rsidR="006C3EB2">
        <w:rPr>
          <w:color w:val="242121"/>
          <w:sz w:val="26"/>
          <w:szCs w:val="26"/>
          <w:lang w:val="en-US"/>
        </w:rPr>
        <w:t xml:space="preserve"> U</w:t>
      </w:r>
      <w:r w:rsidR="00D8338F" w:rsidRPr="00D8338F">
        <w:rPr>
          <w:color w:val="242121"/>
          <w:sz w:val="26"/>
          <w:szCs w:val="26"/>
          <w:lang w:val="en-US"/>
        </w:rPr>
        <w:t xml:space="preserve">niform </w:t>
      </w:r>
      <w:r w:rsidR="00AD4924">
        <w:rPr>
          <w:color w:val="242121"/>
          <w:sz w:val="26"/>
          <w:szCs w:val="26"/>
          <w:lang w:val="en-US"/>
        </w:rPr>
        <w:t>R</w:t>
      </w:r>
      <w:r w:rsidR="00D8338F" w:rsidRPr="00D8338F">
        <w:rPr>
          <w:color w:val="242121"/>
          <w:sz w:val="26"/>
          <w:szCs w:val="26"/>
          <w:lang w:val="en-US"/>
        </w:rPr>
        <w:t>ules</w:t>
      </w:r>
      <w:r w:rsidR="00CF54E2">
        <w:rPr>
          <w:color w:val="242121"/>
          <w:sz w:val="26"/>
          <w:szCs w:val="26"/>
          <w:lang w:val="en-US"/>
        </w:rPr>
        <w:t xml:space="preserve">; </w:t>
      </w:r>
      <w:r w:rsidR="000B2C28">
        <w:rPr>
          <w:color w:val="242121"/>
          <w:sz w:val="26"/>
          <w:szCs w:val="26"/>
          <w:lang w:val="en-US"/>
        </w:rPr>
        <w:t xml:space="preserve">that there was </w:t>
      </w:r>
      <w:r w:rsidR="00CF54E2" w:rsidRPr="004673D8">
        <w:rPr>
          <w:color w:val="242121"/>
          <w:sz w:val="26"/>
          <w:szCs w:val="26"/>
          <w:lang w:val="en-US"/>
        </w:rPr>
        <w:t>a failure to join</w:t>
      </w:r>
      <w:r w:rsidR="00CF54E2" w:rsidRPr="00CF54E2">
        <w:rPr>
          <w:color w:val="242121"/>
          <w:sz w:val="26"/>
          <w:szCs w:val="26"/>
          <w:lang w:val="en-US"/>
        </w:rPr>
        <w:t xml:space="preserve"> the respondents in th</w:t>
      </w:r>
      <w:r w:rsidR="000B2C28">
        <w:rPr>
          <w:color w:val="242121"/>
          <w:sz w:val="26"/>
          <w:szCs w:val="26"/>
          <w:lang w:val="en-US"/>
        </w:rPr>
        <w:t>e</w:t>
      </w:r>
      <w:r w:rsidR="00CF54E2" w:rsidRPr="00CF54E2">
        <w:rPr>
          <w:color w:val="242121"/>
          <w:sz w:val="26"/>
          <w:szCs w:val="26"/>
          <w:lang w:val="en-US"/>
        </w:rPr>
        <w:t xml:space="preserve"> application</w:t>
      </w:r>
      <w:r w:rsidR="00CF54E2">
        <w:rPr>
          <w:color w:val="242121"/>
          <w:sz w:val="26"/>
          <w:szCs w:val="26"/>
          <w:lang w:val="en-US"/>
        </w:rPr>
        <w:t xml:space="preserve">; as </w:t>
      </w:r>
      <w:r w:rsidR="006C3EB2" w:rsidRPr="006C3EB2">
        <w:rPr>
          <w:color w:val="242121"/>
          <w:sz w:val="26"/>
          <w:szCs w:val="26"/>
          <w:lang w:val="en-US"/>
        </w:rPr>
        <w:t xml:space="preserve">well as an </w:t>
      </w:r>
      <w:r w:rsidR="006C3EB2" w:rsidRPr="005E39D6">
        <w:rPr>
          <w:color w:val="242121"/>
          <w:sz w:val="26"/>
          <w:szCs w:val="26"/>
          <w:lang w:val="en-US"/>
        </w:rPr>
        <w:t>application to strike out certain matter from the</w:t>
      </w:r>
      <w:r w:rsidR="000830B8">
        <w:rPr>
          <w:color w:val="242121"/>
          <w:sz w:val="26"/>
          <w:szCs w:val="26"/>
          <w:lang w:val="en-US"/>
        </w:rPr>
        <w:t xml:space="preserve"> founding</w:t>
      </w:r>
      <w:r w:rsidR="006C3EB2" w:rsidRPr="005E39D6">
        <w:rPr>
          <w:color w:val="242121"/>
          <w:sz w:val="26"/>
          <w:szCs w:val="26"/>
          <w:lang w:val="en-US"/>
        </w:rPr>
        <w:t xml:space="preserve"> affidavit </w:t>
      </w:r>
      <w:r w:rsidR="000830B8">
        <w:rPr>
          <w:color w:val="242121"/>
          <w:sz w:val="26"/>
          <w:szCs w:val="26"/>
          <w:lang w:val="en-US"/>
        </w:rPr>
        <w:t>thereof</w:t>
      </w:r>
      <w:r w:rsidR="006C3EB2">
        <w:rPr>
          <w:color w:val="242121"/>
          <w:sz w:val="26"/>
          <w:szCs w:val="26"/>
          <w:lang w:val="en-US"/>
        </w:rPr>
        <w:t>.</w:t>
      </w:r>
    </w:p>
    <w:p w:rsidR="006C3EB2" w:rsidRPr="006C3EB2" w:rsidRDefault="006C3EB2" w:rsidP="006C3EB2">
      <w:pPr>
        <w:pStyle w:val="ListParagraph"/>
        <w:spacing w:after="0" w:line="360" w:lineRule="auto"/>
        <w:ind w:left="0"/>
        <w:jc w:val="both"/>
        <w:rPr>
          <w:b/>
          <w:bCs/>
          <w:sz w:val="26"/>
          <w:szCs w:val="26"/>
        </w:rPr>
      </w:pPr>
    </w:p>
    <w:p w:rsidR="001B0F96" w:rsidRPr="001B0F96" w:rsidRDefault="006C3EB2" w:rsidP="00C11F45">
      <w:pPr>
        <w:pStyle w:val="ListParagraph"/>
        <w:numPr>
          <w:ilvl w:val="0"/>
          <w:numId w:val="2"/>
        </w:numPr>
        <w:spacing w:after="0" w:line="360" w:lineRule="auto"/>
        <w:ind w:left="0" w:firstLine="0"/>
        <w:jc w:val="both"/>
        <w:rPr>
          <w:b/>
          <w:bCs/>
          <w:sz w:val="26"/>
          <w:szCs w:val="26"/>
        </w:rPr>
      </w:pPr>
      <w:r w:rsidRPr="006C3EB2">
        <w:rPr>
          <w:color w:val="242121"/>
          <w:sz w:val="26"/>
          <w:szCs w:val="26"/>
          <w:lang w:val="en-US"/>
        </w:rPr>
        <w:t>As regards the merits of the intervention application</w:t>
      </w:r>
      <w:r w:rsidR="00AD4924">
        <w:rPr>
          <w:color w:val="242121"/>
          <w:sz w:val="26"/>
          <w:szCs w:val="26"/>
          <w:lang w:val="en-US"/>
        </w:rPr>
        <w:t>,</w:t>
      </w:r>
      <w:r w:rsidR="00AD4924" w:rsidRPr="00AD4924">
        <w:rPr>
          <w:color w:val="242121"/>
          <w:sz w:val="26"/>
          <w:szCs w:val="26"/>
          <w:lang w:val="en-US"/>
        </w:rPr>
        <w:t xml:space="preserve"> </w:t>
      </w:r>
      <w:r w:rsidR="00B4432A">
        <w:rPr>
          <w:color w:val="242121"/>
          <w:sz w:val="26"/>
          <w:szCs w:val="26"/>
          <w:lang w:val="en-US"/>
        </w:rPr>
        <w:t>its</w:t>
      </w:r>
      <w:r w:rsidR="00AD4924" w:rsidRPr="00AD4924">
        <w:rPr>
          <w:color w:val="242121"/>
          <w:sz w:val="26"/>
          <w:szCs w:val="26"/>
          <w:lang w:val="en-US"/>
        </w:rPr>
        <w:t xml:space="preserve"> </w:t>
      </w:r>
      <w:r w:rsidR="00C839F1">
        <w:rPr>
          <w:color w:val="242121"/>
          <w:sz w:val="26"/>
          <w:szCs w:val="26"/>
          <w:lang w:val="en-US"/>
        </w:rPr>
        <w:t>mainstay</w:t>
      </w:r>
      <w:r w:rsidR="00AD4924" w:rsidRPr="00AD4924">
        <w:rPr>
          <w:color w:val="242121"/>
          <w:sz w:val="26"/>
          <w:szCs w:val="26"/>
          <w:lang w:val="en-US"/>
        </w:rPr>
        <w:t xml:space="preserve"> was that Mr </w:t>
      </w:r>
      <w:r w:rsidR="00234120">
        <w:rPr>
          <w:color w:val="242121"/>
          <w:sz w:val="26"/>
          <w:szCs w:val="26"/>
          <w:lang w:val="en-US"/>
        </w:rPr>
        <w:t>van der Merwe</w:t>
      </w:r>
      <w:r w:rsidR="00C902CE">
        <w:rPr>
          <w:color w:val="242121"/>
          <w:sz w:val="26"/>
          <w:szCs w:val="26"/>
          <w:lang w:val="en-US"/>
        </w:rPr>
        <w:t xml:space="preserve"> </w:t>
      </w:r>
      <w:r w:rsidR="00AD4924" w:rsidRPr="00AD4924">
        <w:rPr>
          <w:color w:val="242121"/>
          <w:sz w:val="26"/>
          <w:szCs w:val="26"/>
          <w:lang w:val="en-US"/>
        </w:rPr>
        <w:t xml:space="preserve">has a real and substantial interest in the matter because </w:t>
      </w:r>
      <w:r w:rsidR="00383553">
        <w:rPr>
          <w:color w:val="242121"/>
          <w:sz w:val="26"/>
          <w:szCs w:val="26"/>
          <w:lang w:val="en-US"/>
        </w:rPr>
        <w:t xml:space="preserve">paragraph 3 of </w:t>
      </w:r>
      <w:r w:rsidR="00AD4924" w:rsidRPr="00AD4924">
        <w:rPr>
          <w:color w:val="242121"/>
          <w:sz w:val="26"/>
          <w:szCs w:val="26"/>
          <w:lang w:val="en-US"/>
        </w:rPr>
        <w:t xml:space="preserve">the </w:t>
      </w:r>
      <w:r w:rsidR="00AD4924">
        <w:rPr>
          <w:color w:val="242121"/>
          <w:sz w:val="26"/>
          <w:szCs w:val="26"/>
          <w:lang w:val="en-US"/>
        </w:rPr>
        <w:t>Tax Court O</w:t>
      </w:r>
      <w:r w:rsidR="00AD4924" w:rsidRPr="00AD4924">
        <w:rPr>
          <w:color w:val="242121"/>
          <w:sz w:val="26"/>
          <w:szCs w:val="26"/>
          <w:lang w:val="en-US"/>
        </w:rPr>
        <w:t xml:space="preserve">rder prohibits him from representing </w:t>
      </w:r>
      <w:r w:rsidR="00AD4924">
        <w:rPr>
          <w:color w:val="242121"/>
          <w:sz w:val="26"/>
          <w:szCs w:val="26"/>
          <w:lang w:val="en-US"/>
        </w:rPr>
        <w:t>M</w:t>
      </w:r>
      <w:r w:rsidR="00AD4924" w:rsidRPr="00AD4924">
        <w:rPr>
          <w:color w:val="242121"/>
          <w:sz w:val="26"/>
          <w:szCs w:val="26"/>
          <w:lang w:val="en-US"/>
        </w:rPr>
        <w:t>s</w:t>
      </w:r>
      <w:r w:rsidR="00AD4924">
        <w:rPr>
          <w:color w:val="242121"/>
          <w:sz w:val="26"/>
          <w:szCs w:val="26"/>
          <w:lang w:val="en-US"/>
        </w:rPr>
        <w:t xml:space="preserve"> Poulter.</w:t>
      </w:r>
      <w:r w:rsidR="00C839F1">
        <w:rPr>
          <w:color w:val="242121"/>
          <w:sz w:val="26"/>
          <w:szCs w:val="26"/>
          <w:lang w:val="en-US"/>
        </w:rPr>
        <w:t xml:space="preserve"> Therefore, he is a party affected </w:t>
      </w:r>
      <w:r w:rsidR="00383553">
        <w:rPr>
          <w:color w:val="242121"/>
          <w:sz w:val="26"/>
          <w:szCs w:val="26"/>
          <w:lang w:val="en-US"/>
        </w:rPr>
        <w:t xml:space="preserve">by </w:t>
      </w:r>
      <w:r w:rsidR="00C839F1">
        <w:rPr>
          <w:color w:val="242121"/>
          <w:sz w:val="26"/>
          <w:szCs w:val="26"/>
          <w:lang w:val="en-US"/>
        </w:rPr>
        <w:t xml:space="preserve">the Order. </w:t>
      </w:r>
      <w:r w:rsidR="00AD4924">
        <w:rPr>
          <w:color w:val="242121"/>
          <w:sz w:val="26"/>
          <w:szCs w:val="26"/>
          <w:lang w:val="en-US"/>
        </w:rPr>
        <w:t xml:space="preserve"> </w:t>
      </w:r>
    </w:p>
    <w:p w:rsidR="001B0F96" w:rsidRPr="001B0F96" w:rsidRDefault="001B0F96" w:rsidP="001B0F96">
      <w:pPr>
        <w:pStyle w:val="ListParagraph"/>
        <w:rPr>
          <w:color w:val="242121"/>
          <w:sz w:val="26"/>
          <w:szCs w:val="26"/>
          <w:lang w:val="en-US"/>
        </w:rPr>
      </w:pPr>
    </w:p>
    <w:p w:rsidR="00383553" w:rsidRPr="00383553" w:rsidRDefault="00C902CE" w:rsidP="00797D45">
      <w:pPr>
        <w:pStyle w:val="ListParagraph"/>
        <w:numPr>
          <w:ilvl w:val="0"/>
          <w:numId w:val="2"/>
        </w:numPr>
        <w:spacing w:after="0" w:line="360" w:lineRule="auto"/>
        <w:ind w:left="0" w:firstLine="0"/>
        <w:jc w:val="both"/>
        <w:rPr>
          <w:b/>
          <w:bCs/>
          <w:sz w:val="26"/>
          <w:szCs w:val="26"/>
        </w:rPr>
      </w:pPr>
      <w:r>
        <w:rPr>
          <w:color w:val="242121"/>
          <w:sz w:val="26"/>
          <w:szCs w:val="26"/>
          <w:lang w:val="en-US"/>
        </w:rPr>
        <w:t>C</w:t>
      </w:r>
      <w:r w:rsidR="001B0F96" w:rsidRPr="001B0F96">
        <w:rPr>
          <w:color w:val="242121"/>
          <w:sz w:val="26"/>
          <w:szCs w:val="26"/>
          <w:lang w:val="en-US"/>
        </w:rPr>
        <w:t>ontrary to Mr</w:t>
      </w:r>
      <w:r w:rsidR="001B0F96">
        <w:rPr>
          <w:color w:val="242121"/>
          <w:sz w:val="26"/>
          <w:szCs w:val="26"/>
          <w:lang w:val="en-US"/>
        </w:rPr>
        <w:t xml:space="preserve"> </w:t>
      </w:r>
      <w:r w:rsidR="00234120">
        <w:rPr>
          <w:color w:val="242121"/>
          <w:sz w:val="26"/>
          <w:szCs w:val="26"/>
          <w:lang w:val="en-US"/>
        </w:rPr>
        <w:t>van der Merwe</w:t>
      </w:r>
      <w:r w:rsidR="001B0F96">
        <w:rPr>
          <w:color w:val="242121"/>
          <w:sz w:val="26"/>
          <w:szCs w:val="26"/>
          <w:lang w:val="en-US"/>
        </w:rPr>
        <w:t>’s</w:t>
      </w:r>
      <w:r w:rsidR="001B0F96" w:rsidRPr="001B0F96">
        <w:rPr>
          <w:color w:val="242121"/>
          <w:sz w:val="26"/>
          <w:szCs w:val="26"/>
          <w:lang w:val="en-US"/>
        </w:rPr>
        <w:t xml:space="preserve"> submissions the </w:t>
      </w:r>
      <w:r>
        <w:rPr>
          <w:color w:val="242121"/>
          <w:sz w:val="26"/>
          <w:szCs w:val="26"/>
          <w:lang w:val="en-US"/>
        </w:rPr>
        <w:t>Tax</w:t>
      </w:r>
      <w:r w:rsidR="001B0F96" w:rsidRPr="001B0F96">
        <w:rPr>
          <w:color w:val="242121"/>
          <w:sz w:val="26"/>
          <w:szCs w:val="26"/>
          <w:lang w:val="en-US"/>
        </w:rPr>
        <w:t xml:space="preserve"> </w:t>
      </w:r>
      <w:r>
        <w:rPr>
          <w:color w:val="242121"/>
          <w:sz w:val="26"/>
          <w:szCs w:val="26"/>
          <w:lang w:val="en-US"/>
        </w:rPr>
        <w:t>C</w:t>
      </w:r>
      <w:r w:rsidR="001B0F96" w:rsidRPr="001B0F96">
        <w:rPr>
          <w:color w:val="242121"/>
          <w:sz w:val="26"/>
          <w:szCs w:val="26"/>
          <w:lang w:val="en-US"/>
        </w:rPr>
        <w:t xml:space="preserve">ourt </w:t>
      </w:r>
      <w:r w:rsidR="002F31E0">
        <w:rPr>
          <w:color w:val="242121"/>
          <w:sz w:val="26"/>
          <w:szCs w:val="26"/>
          <w:lang w:val="en-US"/>
        </w:rPr>
        <w:t>o</w:t>
      </w:r>
      <w:r w:rsidR="001B0F96" w:rsidRPr="001B0F96">
        <w:rPr>
          <w:color w:val="242121"/>
          <w:sz w:val="26"/>
          <w:szCs w:val="26"/>
          <w:lang w:val="en-US"/>
        </w:rPr>
        <w:t xml:space="preserve">rder </w:t>
      </w:r>
      <w:r w:rsidR="001B0F96">
        <w:rPr>
          <w:color w:val="242121"/>
          <w:sz w:val="26"/>
          <w:szCs w:val="26"/>
          <w:lang w:val="en-US"/>
        </w:rPr>
        <w:t>affects</w:t>
      </w:r>
      <w:r w:rsidR="001B0F96" w:rsidRPr="001B0F96">
        <w:rPr>
          <w:color w:val="242121"/>
          <w:sz w:val="26"/>
          <w:szCs w:val="26"/>
          <w:lang w:val="en-US"/>
        </w:rPr>
        <w:t xml:space="preserve"> the taxpayer</w:t>
      </w:r>
      <w:r w:rsidR="001B0F96">
        <w:rPr>
          <w:color w:val="242121"/>
          <w:sz w:val="26"/>
          <w:szCs w:val="26"/>
          <w:lang w:val="en-US"/>
        </w:rPr>
        <w:t>,</w:t>
      </w:r>
      <w:r w:rsidR="001B0F96" w:rsidRPr="001B0F96">
        <w:rPr>
          <w:color w:val="242121"/>
          <w:sz w:val="26"/>
          <w:szCs w:val="26"/>
          <w:lang w:val="en-US"/>
        </w:rPr>
        <w:t xml:space="preserve"> </w:t>
      </w:r>
      <w:r w:rsidR="001B0F96">
        <w:rPr>
          <w:color w:val="242121"/>
          <w:sz w:val="26"/>
          <w:szCs w:val="26"/>
          <w:lang w:val="en-US"/>
        </w:rPr>
        <w:t>M</w:t>
      </w:r>
      <w:r w:rsidR="001B0F96" w:rsidRPr="001B0F96">
        <w:rPr>
          <w:color w:val="242121"/>
          <w:sz w:val="26"/>
          <w:szCs w:val="26"/>
          <w:lang w:val="en-US"/>
        </w:rPr>
        <w:t>s</w:t>
      </w:r>
      <w:r w:rsidR="001B0F96">
        <w:rPr>
          <w:color w:val="242121"/>
          <w:sz w:val="26"/>
          <w:szCs w:val="26"/>
          <w:lang w:val="en-US"/>
        </w:rPr>
        <w:t xml:space="preserve"> Poulter,</w:t>
      </w:r>
      <w:r w:rsidR="001B0F96" w:rsidRPr="001B0F96">
        <w:rPr>
          <w:color w:val="242121"/>
          <w:sz w:val="26"/>
          <w:szCs w:val="26"/>
          <w:lang w:val="en-US"/>
        </w:rPr>
        <w:t xml:space="preserve"> and not him</w:t>
      </w:r>
      <w:r w:rsidR="001B0F96">
        <w:rPr>
          <w:color w:val="242121"/>
          <w:sz w:val="26"/>
          <w:szCs w:val="26"/>
          <w:lang w:val="en-US"/>
        </w:rPr>
        <w:t>.</w:t>
      </w:r>
      <w:r w:rsidR="001B0F96" w:rsidRPr="001B0F96">
        <w:rPr>
          <w:color w:val="242121"/>
          <w:sz w:val="26"/>
          <w:szCs w:val="26"/>
          <w:lang w:val="en-US"/>
        </w:rPr>
        <w:t xml:space="preserve"> </w:t>
      </w:r>
      <w:r w:rsidR="00441953">
        <w:rPr>
          <w:color w:val="242121"/>
          <w:sz w:val="26"/>
          <w:szCs w:val="26"/>
          <w:lang w:val="en-US"/>
        </w:rPr>
        <w:t>I</w:t>
      </w:r>
      <w:r w:rsidR="001B0F96" w:rsidRPr="001B0F96">
        <w:rPr>
          <w:color w:val="242121"/>
          <w:sz w:val="26"/>
          <w:szCs w:val="26"/>
          <w:lang w:val="en-US"/>
        </w:rPr>
        <w:t>t is she who has an interest in who represents her</w:t>
      </w:r>
      <w:r w:rsidR="001B0F96">
        <w:rPr>
          <w:color w:val="242121"/>
          <w:sz w:val="26"/>
          <w:szCs w:val="26"/>
          <w:lang w:val="en-US"/>
        </w:rPr>
        <w:t>.</w:t>
      </w:r>
      <w:r w:rsidR="004673D8">
        <w:rPr>
          <w:color w:val="242121"/>
          <w:sz w:val="26"/>
          <w:szCs w:val="26"/>
          <w:lang w:val="en-US"/>
        </w:rPr>
        <w:t xml:space="preserve"> </w:t>
      </w:r>
      <w:r w:rsidR="004673D8" w:rsidRPr="004673D8">
        <w:rPr>
          <w:color w:val="242121"/>
          <w:sz w:val="26"/>
          <w:szCs w:val="26"/>
          <w:lang w:val="en-US"/>
        </w:rPr>
        <w:t xml:space="preserve">He has no </w:t>
      </w:r>
      <w:r w:rsidR="00FF5CED">
        <w:rPr>
          <w:color w:val="242121"/>
          <w:sz w:val="26"/>
          <w:szCs w:val="26"/>
          <w:lang w:val="en-US"/>
        </w:rPr>
        <w:t xml:space="preserve">cognizable </w:t>
      </w:r>
      <w:r w:rsidR="004673D8" w:rsidRPr="004673D8">
        <w:rPr>
          <w:color w:val="242121"/>
          <w:sz w:val="26"/>
          <w:szCs w:val="26"/>
          <w:lang w:val="en-US"/>
        </w:rPr>
        <w:t>interest in the outcome of the</w:t>
      </w:r>
      <w:r w:rsidR="004673D8">
        <w:rPr>
          <w:color w:val="242121"/>
          <w:sz w:val="26"/>
          <w:szCs w:val="26"/>
          <w:lang w:val="en-US"/>
        </w:rPr>
        <w:t xml:space="preserve"> </w:t>
      </w:r>
      <w:r w:rsidR="00A705D7">
        <w:rPr>
          <w:color w:val="242121"/>
          <w:sz w:val="26"/>
          <w:szCs w:val="26"/>
          <w:lang w:val="en-US"/>
        </w:rPr>
        <w:t xml:space="preserve">tax </w:t>
      </w:r>
      <w:r w:rsidR="004673D8" w:rsidRPr="004673D8">
        <w:rPr>
          <w:color w:val="242121"/>
          <w:sz w:val="26"/>
          <w:szCs w:val="26"/>
          <w:lang w:val="en-US"/>
        </w:rPr>
        <w:t>appe</w:t>
      </w:r>
      <w:r w:rsidR="004673D8">
        <w:rPr>
          <w:color w:val="242121"/>
          <w:sz w:val="26"/>
          <w:szCs w:val="26"/>
          <w:lang w:val="en-US"/>
        </w:rPr>
        <w:t>al.</w:t>
      </w:r>
      <w:r w:rsidR="00CF54E2">
        <w:rPr>
          <w:color w:val="242121"/>
          <w:sz w:val="26"/>
          <w:szCs w:val="26"/>
          <w:lang w:val="en-US"/>
        </w:rPr>
        <w:t xml:space="preserve"> </w:t>
      </w:r>
      <w:r w:rsidR="00383553">
        <w:rPr>
          <w:color w:val="242121"/>
          <w:sz w:val="26"/>
          <w:szCs w:val="26"/>
          <w:lang w:val="en-US"/>
        </w:rPr>
        <w:t xml:space="preserve">The only reason he </w:t>
      </w:r>
      <w:r w:rsidR="002F31E0">
        <w:rPr>
          <w:color w:val="242121"/>
          <w:sz w:val="26"/>
          <w:szCs w:val="26"/>
          <w:lang w:val="en-US"/>
        </w:rPr>
        <w:t>was referred to in</w:t>
      </w:r>
      <w:r w:rsidR="00383553">
        <w:rPr>
          <w:color w:val="242121"/>
          <w:sz w:val="26"/>
          <w:szCs w:val="26"/>
          <w:lang w:val="en-US"/>
        </w:rPr>
        <w:t xml:space="preserve"> the </w:t>
      </w:r>
      <w:r w:rsidR="002F31E0">
        <w:rPr>
          <w:color w:val="242121"/>
          <w:sz w:val="26"/>
          <w:szCs w:val="26"/>
          <w:lang w:val="en-US"/>
        </w:rPr>
        <w:t>o</w:t>
      </w:r>
      <w:r w:rsidR="00383553">
        <w:rPr>
          <w:color w:val="242121"/>
          <w:sz w:val="26"/>
          <w:szCs w:val="26"/>
          <w:lang w:val="en-US"/>
        </w:rPr>
        <w:t>rder is because Ms Poulter failed to appear</w:t>
      </w:r>
      <w:r w:rsidR="00A705D7">
        <w:rPr>
          <w:color w:val="242121"/>
          <w:sz w:val="26"/>
          <w:szCs w:val="26"/>
          <w:lang w:val="en-US"/>
        </w:rPr>
        <w:t xml:space="preserve"> on that day</w:t>
      </w:r>
      <w:r w:rsidR="00383553">
        <w:rPr>
          <w:color w:val="242121"/>
          <w:sz w:val="26"/>
          <w:szCs w:val="26"/>
          <w:lang w:val="en-US"/>
        </w:rPr>
        <w:t>, contrary to the Rules of the Tax Court</w:t>
      </w:r>
      <w:r w:rsidR="00062D83">
        <w:rPr>
          <w:color w:val="242121"/>
          <w:sz w:val="26"/>
          <w:szCs w:val="26"/>
          <w:lang w:val="en-US"/>
        </w:rPr>
        <w:t xml:space="preserve">, and </w:t>
      </w:r>
      <w:r w:rsidR="00A705D7" w:rsidRPr="001B0F96">
        <w:rPr>
          <w:color w:val="242121"/>
          <w:sz w:val="26"/>
          <w:szCs w:val="26"/>
          <w:lang w:val="en-US"/>
        </w:rPr>
        <w:t>Mr</w:t>
      </w:r>
      <w:r w:rsidR="00A705D7">
        <w:rPr>
          <w:color w:val="242121"/>
          <w:sz w:val="26"/>
          <w:szCs w:val="26"/>
          <w:lang w:val="en-US"/>
        </w:rPr>
        <w:t xml:space="preserve"> </w:t>
      </w:r>
      <w:r w:rsidR="00234120">
        <w:rPr>
          <w:color w:val="242121"/>
          <w:sz w:val="26"/>
          <w:szCs w:val="26"/>
          <w:lang w:val="en-US"/>
        </w:rPr>
        <w:t>van der Merwe</w:t>
      </w:r>
      <w:r w:rsidR="00A705D7">
        <w:rPr>
          <w:color w:val="242121"/>
          <w:sz w:val="26"/>
          <w:szCs w:val="26"/>
          <w:lang w:val="en-US"/>
        </w:rPr>
        <w:t xml:space="preserve"> sought to appear on her behalf</w:t>
      </w:r>
      <w:r w:rsidR="00383553">
        <w:rPr>
          <w:color w:val="242121"/>
          <w:sz w:val="26"/>
          <w:szCs w:val="26"/>
          <w:lang w:val="en-US"/>
        </w:rPr>
        <w:t>.</w:t>
      </w:r>
    </w:p>
    <w:p w:rsidR="00383553" w:rsidRPr="00383553" w:rsidRDefault="00383553" w:rsidP="00383553">
      <w:pPr>
        <w:pStyle w:val="ListParagraph"/>
        <w:rPr>
          <w:color w:val="242121"/>
          <w:sz w:val="26"/>
          <w:szCs w:val="26"/>
          <w:shd w:val="clear" w:color="auto" w:fill="FFFFFF"/>
        </w:rPr>
      </w:pPr>
    </w:p>
    <w:p w:rsidR="00CF54E2" w:rsidRPr="00BE2BF5" w:rsidRDefault="00CF54E2" w:rsidP="00797D45">
      <w:pPr>
        <w:pStyle w:val="ListParagraph"/>
        <w:numPr>
          <w:ilvl w:val="0"/>
          <w:numId w:val="2"/>
        </w:numPr>
        <w:spacing w:after="0" w:line="360" w:lineRule="auto"/>
        <w:ind w:left="0" w:firstLine="0"/>
        <w:jc w:val="both"/>
        <w:rPr>
          <w:b/>
          <w:bCs/>
          <w:sz w:val="26"/>
          <w:szCs w:val="26"/>
        </w:rPr>
      </w:pPr>
      <w:r w:rsidRPr="00F114DE">
        <w:rPr>
          <w:color w:val="242121"/>
          <w:sz w:val="26"/>
          <w:szCs w:val="26"/>
          <w:shd w:val="clear" w:color="auto" w:fill="FFFFFF"/>
        </w:rPr>
        <w:t>To be able to intervene in an appeal, which is by its nature directed at a wrong order and not at incorrect reasoning, an applicant must have an interest in the order under appeal</w:t>
      </w:r>
      <w:r w:rsidR="00F114DE" w:rsidRPr="00F114DE">
        <w:rPr>
          <w:sz w:val="26"/>
          <w:szCs w:val="26"/>
        </w:rPr>
        <w:t>.</w:t>
      </w:r>
      <w:r w:rsidRPr="00F114DE">
        <w:rPr>
          <w:rStyle w:val="FootnoteReference"/>
          <w:color w:val="242121"/>
          <w:sz w:val="26"/>
          <w:szCs w:val="26"/>
          <w:lang w:val="en-US"/>
        </w:rPr>
        <w:footnoteReference w:id="1"/>
      </w:r>
      <w:r w:rsidR="00F114DE" w:rsidRPr="00F114DE">
        <w:rPr>
          <w:b/>
          <w:bCs/>
          <w:sz w:val="26"/>
          <w:szCs w:val="26"/>
        </w:rPr>
        <w:t xml:space="preserve"> </w:t>
      </w:r>
      <w:r w:rsidR="00F114DE" w:rsidRPr="00F114DE">
        <w:rPr>
          <w:sz w:val="26"/>
          <w:szCs w:val="26"/>
        </w:rPr>
        <w:t>The fact that</w:t>
      </w:r>
      <w:r w:rsidR="00F114DE">
        <w:rPr>
          <w:b/>
          <w:bCs/>
          <w:sz w:val="26"/>
          <w:szCs w:val="26"/>
        </w:rPr>
        <w:t xml:space="preserve"> </w:t>
      </w:r>
      <w:r w:rsidR="00F114DE">
        <w:rPr>
          <w:color w:val="242121"/>
          <w:sz w:val="26"/>
          <w:szCs w:val="26"/>
          <w:lang w:val="en-US"/>
        </w:rPr>
        <w:t xml:space="preserve">Mr </w:t>
      </w:r>
      <w:r w:rsidR="00234120">
        <w:rPr>
          <w:color w:val="242121"/>
          <w:sz w:val="26"/>
          <w:szCs w:val="26"/>
          <w:lang w:val="en-US"/>
        </w:rPr>
        <w:t>van der Merwe</w:t>
      </w:r>
      <w:r w:rsidR="00F114DE">
        <w:rPr>
          <w:color w:val="242121"/>
          <w:sz w:val="26"/>
          <w:szCs w:val="26"/>
          <w:lang w:val="en-US"/>
        </w:rPr>
        <w:t xml:space="preserve">’s </w:t>
      </w:r>
      <w:r w:rsidR="00F114DE" w:rsidRPr="00F114DE">
        <w:rPr>
          <w:color w:val="242121"/>
          <w:sz w:val="26"/>
          <w:szCs w:val="26"/>
          <w:lang w:val="en-US"/>
        </w:rPr>
        <w:t>name is mentioned in the Tax Court Order d</w:t>
      </w:r>
      <w:r w:rsidR="00F114DE">
        <w:rPr>
          <w:color w:val="242121"/>
          <w:sz w:val="26"/>
          <w:szCs w:val="26"/>
          <w:lang w:val="en-US"/>
        </w:rPr>
        <w:t xml:space="preserve">id not </w:t>
      </w:r>
      <w:r w:rsidR="00F114DE" w:rsidRPr="00F114DE">
        <w:rPr>
          <w:color w:val="242121"/>
          <w:sz w:val="26"/>
          <w:szCs w:val="26"/>
          <w:lang w:val="en-US"/>
        </w:rPr>
        <w:t>clo</w:t>
      </w:r>
      <w:r w:rsidR="00797D45">
        <w:rPr>
          <w:color w:val="242121"/>
          <w:sz w:val="26"/>
          <w:szCs w:val="26"/>
          <w:lang w:val="en-US"/>
        </w:rPr>
        <w:t>the</w:t>
      </w:r>
      <w:r w:rsidR="00F114DE" w:rsidRPr="00797D45">
        <w:rPr>
          <w:color w:val="242121"/>
          <w:sz w:val="26"/>
          <w:szCs w:val="26"/>
          <w:lang w:val="en-US"/>
        </w:rPr>
        <w:t xml:space="preserve"> him with a legal interest </w:t>
      </w:r>
      <w:r w:rsidR="00797D45">
        <w:rPr>
          <w:color w:val="242121"/>
          <w:sz w:val="26"/>
          <w:szCs w:val="26"/>
          <w:lang w:val="en-US"/>
        </w:rPr>
        <w:t>that</w:t>
      </w:r>
      <w:r w:rsidR="00F114DE" w:rsidRPr="00797D45">
        <w:rPr>
          <w:color w:val="242121"/>
          <w:sz w:val="26"/>
          <w:szCs w:val="26"/>
          <w:lang w:val="en-US"/>
        </w:rPr>
        <w:t xml:space="preserve"> could be prejudicially affected in </w:t>
      </w:r>
      <w:r w:rsidR="00797D45">
        <w:rPr>
          <w:color w:val="242121"/>
          <w:sz w:val="26"/>
          <w:szCs w:val="26"/>
          <w:lang w:val="en-US"/>
        </w:rPr>
        <w:t>these proceedings</w:t>
      </w:r>
      <w:r w:rsidR="00F873E5">
        <w:rPr>
          <w:rStyle w:val="FootnoteReference"/>
          <w:color w:val="242121"/>
          <w:sz w:val="26"/>
          <w:szCs w:val="26"/>
          <w:lang w:val="en-US"/>
        </w:rPr>
        <w:footnoteReference w:id="2"/>
      </w:r>
      <w:r w:rsidR="00F114DE" w:rsidRPr="00797D45">
        <w:rPr>
          <w:color w:val="242121"/>
          <w:sz w:val="26"/>
          <w:szCs w:val="26"/>
          <w:lang w:val="en-US"/>
        </w:rPr>
        <w:t xml:space="preserve">, </w:t>
      </w:r>
      <w:r w:rsidR="00797D45">
        <w:rPr>
          <w:color w:val="242121"/>
          <w:sz w:val="26"/>
          <w:szCs w:val="26"/>
          <w:lang w:val="en-US"/>
        </w:rPr>
        <w:t xml:space="preserve">any </w:t>
      </w:r>
      <w:r w:rsidR="00F114DE" w:rsidRPr="00797D45">
        <w:rPr>
          <w:color w:val="242121"/>
          <w:sz w:val="26"/>
          <w:szCs w:val="26"/>
          <w:lang w:val="en-US"/>
        </w:rPr>
        <w:t xml:space="preserve">more than a legal practitioner </w:t>
      </w:r>
      <w:r w:rsidR="00797D45">
        <w:rPr>
          <w:color w:val="242121"/>
          <w:sz w:val="26"/>
          <w:szCs w:val="26"/>
          <w:lang w:val="en-US"/>
        </w:rPr>
        <w:t xml:space="preserve">would be </w:t>
      </w:r>
      <w:r w:rsidR="002F6D07">
        <w:rPr>
          <w:color w:val="242121"/>
          <w:sz w:val="26"/>
          <w:szCs w:val="26"/>
          <w:lang w:val="en-US"/>
        </w:rPr>
        <w:t>entitl</w:t>
      </w:r>
      <w:r w:rsidR="00797D45">
        <w:rPr>
          <w:color w:val="242121"/>
          <w:sz w:val="26"/>
          <w:szCs w:val="26"/>
          <w:lang w:val="en-US"/>
        </w:rPr>
        <w:t xml:space="preserve">ed to </w:t>
      </w:r>
      <w:r w:rsidR="00F114DE" w:rsidRPr="00797D45">
        <w:rPr>
          <w:color w:val="242121"/>
          <w:sz w:val="26"/>
          <w:szCs w:val="26"/>
          <w:lang w:val="en-US"/>
        </w:rPr>
        <w:t>intervene as a party in their client's case.</w:t>
      </w:r>
      <w:r w:rsidR="00DB0733">
        <w:rPr>
          <w:color w:val="242121"/>
          <w:sz w:val="26"/>
          <w:szCs w:val="26"/>
          <w:lang w:val="en-US"/>
        </w:rPr>
        <w:t xml:space="preserve"> His interest, as indicated by </w:t>
      </w:r>
      <w:r w:rsidR="00CE1162">
        <w:rPr>
          <w:color w:val="242121"/>
          <w:sz w:val="26"/>
          <w:szCs w:val="26"/>
          <w:lang w:val="en-US"/>
        </w:rPr>
        <w:t xml:space="preserve">his attitude in the tax </w:t>
      </w:r>
      <w:r w:rsidR="00DB0733">
        <w:rPr>
          <w:color w:val="242121"/>
          <w:sz w:val="26"/>
          <w:szCs w:val="26"/>
          <w:lang w:val="en-US"/>
        </w:rPr>
        <w:t xml:space="preserve">court proceedings, is in representing Ms Poulter in court proceedings. However, this </w:t>
      </w:r>
      <w:r w:rsidR="00756A33">
        <w:rPr>
          <w:color w:val="242121"/>
          <w:sz w:val="26"/>
          <w:szCs w:val="26"/>
          <w:lang w:val="en-US"/>
        </w:rPr>
        <w:t xml:space="preserve">does not amount to a real and substantial interest in the sense contemplated by the law. </w:t>
      </w:r>
      <w:r w:rsidR="00414B9D">
        <w:rPr>
          <w:color w:val="242121"/>
          <w:sz w:val="26"/>
          <w:szCs w:val="26"/>
          <w:lang w:val="en-US"/>
        </w:rPr>
        <w:t>The application must therefore fail.</w:t>
      </w:r>
    </w:p>
    <w:p w:rsidR="00CF54E2" w:rsidRPr="00BE2BF5" w:rsidRDefault="00CF54E2" w:rsidP="00BE2BF5">
      <w:pPr>
        <w:rPr>
          <w:color w:val="242121"/>
          <w:sz w:val="26"/>
          <w:szCs w:val="26"/>
          <w:lang w:val="en-US"/>
        </w:rPr>
      </w:pPr>
    </w:p>
    <w:p w:rsidR="00844B17" w:rsidRPr="00414B9D" w:rsidRDefault="00CE1162" w:rsidP="00414B9D">
      <w:pPr>
        <w:pStyle w:val="ListParagraph"/>
        <w:numPr>
          <w:ilvl w:val="0"/>
          <w:numId w:val="2"/>
        </w:numPr>
        <w:spacing w:after="0" w:line="360" w:lineRule="auto"/>
        <w:ind w:left="0" w:firstLine="0"/>
        <w:jc w:val="both"/>
        <w:rPr>
          <w:b/>
          <w:bCs/>
          <w:sz w:val="26"/>
          <w:szCs w:val="26"/>
        </w:rPr>
      </w:pPr>
      <w:r>
        <w:rPr>
          <w:color w:val="242121"/>
          <w:sz w:val="26"/>
          <w:szCs w:val="26"/>
          <w:lang w:val="en-US"/>
        </w:rPr>
        <w:t xml:space="preserve">To the extent that Mr </w:t>
      </w:r>
      <w:r w:rsidR="00234120">
        <w:rPr>
          <w:color w:val="242121"/>
          <w:sz w:val="26"/>
          <w:szCs w:val="26"/>
          <w:lang w:val="en-US"/>
        </w:rPr>
        <w:t>van der Merwe</w:t>
      </w:r>
      <w:r>
        <w:rPr>
          <w:color w:val="242121"/>
          <w:sz w:val="26"/>
          <w:szCs w:val="26"/>
          <w:lang w:val="en-US"/>
        </w:rPr>
        <w:t xml:space="preserve">’s intervention application amounts to an attempt to represent Ms Poulter in court proceedings, </w:t>
      </w:r>
      <w:r w:rsidR="00756A33">
        <w:rPr>
          <w:color w:val="242121"/>
          <w:sz w:val="26"/>
          <w:szCs w:val="26"/>
          <w:lang w:val="en-US"/>
        </w:rPr>
        <w:t>t</w:t>
      </w:r>
      <w:r w:rsidR="001B0F96" w:rsidRPr="001B0F96">
        <w:rPr>
          <w:color w:val="242121"/>
          <w:sz w:val="26"/>
          <w:szCs w:val="26"/>
          <w:lang w:val="en-US"/>
        </w:rPr>
        <w:t xml:space="preserve">he recent Supreme Court of </w:t>
      </w:r>
      <w:r w:rsidR="005C64EA">
        <w:rPr>
          <w:color w:val="242121"/>
          <w:sz w:val="26"/>
          <w:szCs w:val="26"/>
          <w:lang w:val="en-US"/>
        </w:rPr>
        <w:t>A</w:t>
      </w:r>
      <w:r w:rsidR="005C64EA" w:rsidRPr="001B0F96">
        <w:rPr>
          <w:color w:val="242121"/>
          <w:sz w:val="26"/>
          <w:szCs w:val="26"/>
          <w:lang w:val="en-US"/>
        </w:rPr>
        <w:t>ppeal</w:t>
      </w:r>
      <w:r w:rsidR="005C64EA">
        <w:rPr>
          <w:color w:val="242121"/>
          <w:sz w:val="26"/>
          <w:szCs w:val="26"/>
          <w:lang w:val="en-US"/>
        </w:rPr>
        <w:t xml:space="preserve"> </w:t>
      </w:r>
      <w:r w:rsidR="001B0F96">
        <w:rPr>
          <w:color w:val="242121"/>
          <w:sz w:val="26"/>
          <w:szCs w:val="26"/>
          <w:lang w:val="en-US"/>
        </w:rPr>
        <w:t>(</w:t>
      </w:r>
      <w:r w:rsidR="001B0F96" w:rsidRPr="00756A33">
        <w:rPr>
          <w:i/>
          <w:iCs/>
          <w:color w:val="242121"/>
          <w:sz w:val="26"/>
          <w:szCs w:val="26"/>
          <w:lang w:val="en-US"/>
        </w:rPr>
        <w:t>“SCA”</w:t>
      </w:r>
      <w:r w:rsidR="001B0F96">
        <w:rPr>
          <w:color w:val="242121"/>
          <w:sz w:val="26"/>
          <w:szCs w:val="26"/>
          <w:lang w:val="en-US"/>
        </w:rPr>
        <w:t xml:space="preserve">) </w:t>
      </w:r>
      <w:r w:rsidR="001B0F96" w:rsidRPr="001B0F96">
        <w:rPr>
          <w:color w:val="242121"/>
          <w:sz w:val="26"/>
          <w:szCs w:val="26"/>
          <w:lang w:val="en-US"/>
        </w:rPr>
        <w:t>case</w:t>
      </w:r>
      <w:r w:rsidR="001B0F96">
        <w:rPr>
          <w:color w:val="242121"/>
          <w:sz w:val="26"/>
          <w:szCs w:val="26"/>
          <w:lang w:val="en-US"/>
        </w:rPr>
        <w:t xml:space="preserve"> </w:t>
      </w:r>
      <w:r w:rsidR="001B0F96" w:rsidRPr="001B0F96">
        <w:rPr>
          <w:color w:val="242121"/>
          <w:sz w:val="26"/>
          <w:szCs w:val="26"/>
          <w:lang w:val="en-US"/>
        </w:rPr>
        <w:t xml:space="preserve">of </w:t>
      </w:r>
      <w:r w:rsidR="001B0F96" w:rsidRPr="001B0F96">
        <w:rPr>
          <w:i/>
          <w:iCs/>
          <w:color w:val="242121"/>
          <w:sz w:val="26"/>
          <w:szCs w:val="26"/>
          <w:lang w:val="en-US"/>
        </w:rPr>
        <w:t>Commissioner for the South African Revenue Service v Cand</w:t>
      </w:r>
      <w:r>
        <w:rPr>
          <w:i/>
          <w:iCs/>
          <w:color w:val="242121"/>
          <w:sz w:val="26"/>
          <w:szCs w:val="26"/>
          <w:lang w:val="en-US"/>
        </w:rPr>
        <w:t>i</w:t>
      </w:r>
      <w:r w:rsidR="001B0F96" w:rsidRPr="001B0F96">
        <w:rPr>
          <w:i/>
          <w:iCs/>
          <w:color w:val="242121"/>
          <w:sz w:val="26"/>
          <w:szCs w:val="26"/>
          <w:lang w:val="en-US"/>
        </w:rPr>
        <w:t xml:space="preserve">ce-Jean </w:t>
      </w:r>
      <w:r w:rsidR="00234120">
        <w:rPr>
          <w:i/>
          <w:iCs/>
          <w:color w:val="242121"/>
          <w:sz w:val="26"/>
          <w:szCs w:val="26"/>
          <w:lang w:val="en-US"/>
        </w:rPr>
        <w:t>van der Merwe</w:t>
      </w:r>
      <w:r w:rsidR="001B0F96">
        <w:rPr>
          <w:rStyle w:val="FootnoteReference"/>
          <w:i/>
          <w:iCs/>
          <w:color w:val="242121"/>
          <w:sz w:val="26"/>
          <w:szCs w:val="26"/>
          <w:lang w:val="en-US"/>
        </w:rPr>
        <w:footnoteReference w:id="3"/>
      </w:r>
      <w:r w:rsidR="001B0F96" w:rsidRPr="001B0F96">
        <w:rPr>
          <w:color w:val="242121"/>
          <w:sz w:val="26"/>
          <w:szCs w:val="26"/>
          <w:lang w:val="en-US"/>
        </w:rPr>
        <w:t xml:space="preserve"> disposes of th</w:t>
      </w:r>
      <w:r w:rsidR="00414B9D">
        <w:rPr>
          <w:color w:val="242121"/>
          <w:sz w:val="26"/>
          <w:szCs w:val="26"/>
          <w:lang w:val="en-US"/>
        </w:rPr>
        <w:t>at issu</w:t>
      </w:r>
      <w:r w:rsidR="001B0F96">
        <w:rPr>
          <w:color w:val="242121"/>
          <w:sz w:val="26"/>
          <w:szCs w:val="26"/>
          <w:lang w:val="en-US"/>
        </w:rPr>
        <w:t>e.</w:t>
      </w:r>
      <w:r w:rsidR="00441953">
        <w:rPr>
          <w:color w:val="242121"/>
          <w:sz w:val="26"/>
          <w:szCs w:val="26"/>
          <w:lang w:val="en-US"/>
        </w:rPr>
        <w:t xml:space="preserve"> </w:t>
      </w:r>
      <w:r w:rsidR="00441953" w:rsidRPr="00441953">
        <w:rPr>
          <w:color w:val="242121"/>
          <w:sz w:val="26"/>
          <w:szCs w:val="26"/>
          <w:lang w:val="en-US"/>
        </w:rPr>
        <w:t>There</w:t>
      </w:r>
      <w:r w:rsidR="002F6D07">
        <w:rPr>
          <w:color w:val="242121"/>
          <w:sz w:val="26"/>
          <w:szCs w:val="26"/>
          <w:lang w:val="en-US"/>
        </w:rPr>
        <w:t>,</w:t>
      </w:r>
      <w:r w:rsidR="00441953" w:rsidRPr="00441953">
        <w:rPr>
          <w:color w:val="242121"/>
          <w:sz w:val="26"/>
          <w:szCs w:val="26"/>
          <w:lang w:val="en-US"/>
        </w:rPr>
        <w:t xml:space="preserve"> the </w:t>
      </w:r>
      <w:r w:rsidR="00BB6447">
        <w:rPr>
          <w:color w:val="242121"/>
          <w:sz w:val="26"/>
          <w:szCs w:val="26"/>
          <w:lang w:val="en-US"/>
        </w:rPr>
        <w:t xml:space="preserve">SCA, </w:t>
      </w:r>
      <w:r w:rsidR="00BB6447" w:rsidRPr="00BB6447">
        <w:rPr>
          <w:color w:val="242121"/>
          <w:sz w:val="26"/>
          <w:szCs w:val="26"/>
          <w:lang w:val="en-US"/>
        </w:rPr>
        <w:t xml:space="preserve">interpreting </w:t>
      </w:r>
      <w:r w:rsidR="00BB6447" w:rsidRPr="00BB6447">
        <w:rPr>
          <w:color w:val="242121"/>
          <w:sz w:val="26"/>
          <w:szCs w:val="26"/>
          <w:shd w:val="clear" w:color="auto" w:fill="FFFFFF"/>
        </w:rPr>
        <w:t xml:space="preserve">section 25 of the Legal Practice Act 28 of 2014 </w:t>
      </w:r>
      <w:r w:rsidR="00B4432A">
        <w:rPr>
          <w:color w:val="242121"/>
          <w:sz w:val="26"/>
          <w:szCs w:val="26"/>
          <w:shd w:val="clear" w:color="auto" w:fill="FFFFFF"/>
        </w:rPr>
        <w:t>(</w:t>
      </w:r>
      <w:r w:rsidR="00B4432A" w:rsidRPr="00B4432A">
        <w:rPr>
          <w:i/>
          <w:iCs/>
          <w:color w:val="242121"/>
          <w:sz w:val="26"/>
          <w:szCs w:val="26"/>
          <w:shd w:val="clear" w:color="auto" w:fill="FFFFFF"/>
        </w:rPr>
        <w:t>“LPA”</w:t>
      </w:r>
      <w:r w:rsidR="00B4432A">
        <w:rPr>
          <w:color w:val="242121"/>
          <w:sz w:val="26"/>
          <w:szCs w:val="26"/>
          <w:shd w:val="clear" w:color="auto" w:fill="FFFFFF"/>
        </w:rPr>
        <w:t xml:space="preserve">) </w:t>
      </w:r>
      <w:r w:rsidR="00BB6447" w:rsidRPr="00BB6447">
        <w:rPr>
          <w:color w:val="242121"/>
          <w:sz w:val="26"/>
          <w:szCs w:val="26"/>
          <w:shd w:val="clear" w:color="auto" w:fill="FFFFFF"/>
        </w:rPr>
        <w:t xml:space="preserve">and </w:t>
      </w:r>
      <w:r w:rsidR="005C64EA">
        <w:rPr>
          <w:color w:val="242121"/>
          <w:sz w:val="26"/>
          <w:szCs w:val="26"/>
          <w:shd w:val="clear" w:color="auto" w:fill="FFFFFF"/>
        </w:rPr>
        <w:t xml:space="preserve">applying </w:t>
      </w:r>
      <w:r w:rsidR="00BB6447" w:rsidRPr="00BB6447">
        <w:rPr>
          <w:color w:val="242121"/>
          <w:sz w:val="26"/>
          <w:szCs w:val="26"/>
          <w:shd w:val="clear" w:color="auto" w:fill="FFFFFF"/>
        </w:rPr>
        <w:t>the common law</w:t>
      </w:r>
      <w:r w:rsidR="00BB6447">
        <w:rPr>
          <w:rFonts w:ascii="Arial" w:hAnsi="Arial" w:cs="Arial"/>
          <w:color w:val="242121"/>
          <w:sz w:val="27"/>
          <w:szCs w:val="27"/>
          <w:shd w:val="clear" w:color="auto" w:fill="FFFFFF"/>
        </w:rPr>
        <w:t xml:space="preserve">, </w:t>
      </w:r>
      <w:r w:rsidR="00441953" w:rsidRPr="00441953">
        <w:rPr>
          <w:color w:val="242121"/>
          <w:sz w:val="26"/>
          <w:szCs w:val="26"/>
          <w:lang w:val="en-US"/>
        </w:rPr>
        <w:t>held that no lay person may represent a natural person in a court of law</w:t>
      </w:r>
      <w:r w:rsidR="00441953">
        <w:rPr>
          <w:color w:val="242121"/>
          <w:sz w:val="26"/>
          <w:szCs w:val="26"/>
          <w:lang w:val="en-US"/>
        </w:rPr>
        <w:t>,</w:t>
      </w:r>
      <w:r w:rsidR="00441953" w:rsidRPr="00441953">
        <w:rPr>
          <w:color w:val="242121"/>
          <w:sz w:val="26"/>
          <w:szCs w:val="26"/>
          <w:lang w:val="en-US"/>
        </w:rPr>
        <w:t xml:space="preserve"> and that a court has no discretion to allow a layperson to represent a natural person in a court of law</w:t>
      </w:r>
      <w:r w:rsidR="00441953">
        <w:rPr>
          <w:color w:val="242121"/>
          <w:sz w:val="26"/>
          <w:szCs w:val="26"/>
          <w:lang w:val="en-US"/>
        </w:rPr>
        <w:t>.</w:t>
      </w:r>
      <w:r w:rsidR="00BB6447">
        <w:rPr>
          <w:rStyle w:val="FootnoteReference"/>
          <w:color w:val="242121"/>
          <w:sz w:val="26"/>
          <w:szCs w:val="26"/>
          <w:lang w:val="en-US"/>
        </w:rPr>
        <w:footnoteReference w:id="4"/>
      </w:r>
      <w:r w:rsidR="00BB6447">
        <w:rPr>
          <w:color w:val="242121"/>
          <w:sz w:val="26"/>
          <w:szCs w:val="26"/>
          <w:lang w:val="en-US"/>
        </w:rPr>
        <w:t xml:space="preserve"> </w:t>
      </w:r>
      <w:r w:rsidR="00C902CE" w:rsidRPr="00C902CE">
        <w:rPr>
          <w:color w:val="242121"/>
          <w:sz w:val="26"/>
          <w:szCs w:val="26"/>
          <w:lang w:val="en-US"/>
        </w:rPr>
        <w:t>Mr</w:t>
      </w:r>
      <w:r w:rsidR="00C902CE">
        <w:rPr>
          <w:color w:val="242121"/>
          <w:sz w:val="26"/>
          <w:szCs w:val="26"/>
          <w:lang w:val="en-US"/>
        </w:rPr>
        <w:t xml:space="preserve"> </w:t>
      </w:r>
      <w:r w:rsidR="00234120">
        <w:rPr>
          <w:color w:val="242121"/>
          <w:sz w:val="26"/>
          <w:szCs w:val="26"/>
          <w:lang w:val="en-US"/>
        </w:rPr>
        <w:t>van der Merwe</w:t>
      </w:r>
      <w:r w:rsidR="00C902CE" w:rsidRPr="00C902CE">
        <w:rPr>
          <w:color w:val="242121"/>
          <w:sz w:val="26"/>
          <w:szCs w:val="26"/>
          <w:lang w:val="en-US"/>
        </w:rPr>
        <w:t xml:space="preserve"> is not admitted and enrolled to practice</w:t>
      </w:r>
      <w:r w:rsidR="00BB6447" w:rsidRPr="00BB6447">
        <w:rPr>
          <w:color w:val="242121"/>
          <w:sz w:val="26"/>
          <w:szCs w:val="26"/>
          <w:lang w:val="en-US"/>
        </w:rPr>
        <w:t xml:space="preserve"> </w:t>
      </w:r>
      <w:r w:rsidR="00C902CE">
        <w:rPr>
          <w:color w:val="242121"/>
          <w:sz w:val="26"/>
          <w:szCs w:val="26"/>
          <w:lang w:val="en-US"/>
        </w:rPr>
        <w:t xml:space="preserve">as </w:t>
      </w:r>
      <w:r w:rsidR="00C902CE" w:rsidRPr="00C902CE">
        <w:rPr>
          <w:color w:val="242121"/>
          <w:sz w:val="26"/>
          <w:szCs w:val="26"/>
          <w:lang w:val="en-US"/>
        </w:rPr>
        <w:t>a legal practitioner in terms of the LP</w:t>
      </w:r>
      <w:r w:rsidR="00C54EFC">
        <w:rPr>
          <w:color w:val="242121"/>
          <w:sz w:val="26"/>
          <w:szCs w:val="26"/>
          <w:lang w:val="en-US"/>
        </w:rPr>
        <w:t>A</w:t>
      </w:r>
      <w:r w:rsidR="00C902CE">
        <w:rPr>
          <w:color w:val="242121"/>
          <w:sz w:val="26"/>
          <w:szCs w:val="26"/>
          <w:lang w:val="en-US"/>
        </w:rPr>
        <w:t xml:space="preserve">. </w:t>
      </w:r>
      <w:r w:rsidR="00414B9D">
        <w:rPr>
          <w:color w:val="242121"/>
          <w:sz w:val="26"/>
          <w:szCs w:val="26"/>
          <w:lang w:val="en-US"/>
        </w:rPr>
        <w:t xml:space="preserve">He </w:t>
      </w:r>
      <w:r w:rsidR="00236DE4">
        <w:rPr>
          <w:color w:val="242121"/>
          <w:sz w:val="26"/>
          <w:szCs w:val="26"/>
          <w:lang w:val="en-US"/>
        </w:rPr>
        <w:t xml:space="preserve">therefore </w:t>
      </w:r>
      <w:r w:rsidR="00414B9D">
        <w:rPr>
          <w:color w:val="242121"/>
          <w:sz w:val="26"/>
          <w:szCs w:val="26"/>
          <w:lang w:val="en-US"/>
        </w:rPr>
        <w:t xml:space="preserve">does not have legal right to represent Ms Poulter in </w:t>
      </w:r>
      <w:r w:rsidR="00236DE4">
        <w:rPr>
          <w:color w:val="242121"/>
          <w:sz w:val="26"/>
          <w:szCs w:val="26"/>
          <w:lang w:val="en-US"/>
        </w:rPr>
        <w:t>High C</w:t>
      </w:r>
      <w:r w:rsidR="00414B9D">
        <w:rPr>
          <w:color w:val="242121"/>
          <w:sz w:val="26"/>
          <w:szCs w:val="26"/>
          <w:lang w:val="en-US"/>
        </w:rPr>
        <w:t>ourt proceedings.</w:t>
      </w:r>
    </w:p>
    <w:p w:rsidR="004957B3" w:rsidRDefault="004957B3" w:rsidP="004957B3">
      <w:pPr>
        <w:pStyle w:val="ListParagraph"/>
        <w:spacing w:after="0" w:line="360" w:lineRule="auto"/>
        <w:ind w:left="0"/>
        <w:jc w:val="both"/>
        <w:rPr>
          <w:b/>
          <w:bCs/>
          <w:i/>
          <w:iCs/>
          <w:color w:val="242121"/>
          <w:sz w:val="26"/>
          <w:szCs w:val="26"/>
        </w:rPr>
      </w:pPr>
    </w:p>
    <w:p w:rsidR="004957B3" w:rsidRPr="007E1883" w:rsidRDefault="004957B3" w:rsidP="004957B3">
      <w:pPr>
        <w:pStyle w:val="ListParagraph"/>
        <w:spacing w:after="0" w:line="360" w:lineRule="auto"/>
        <w:ind w:left="0"/>
        <w:jc w:val="both"/>
        <w:rPr>
          <w:b/>
          <w:bCs/>
          <w:i/>
          <w:iCs/>
          <w:color w:val="242121"/>
          <w:sz w:val="26"/>
          <w:szCs w:val="26"/>
        </w:rPr>
      </w:pPr>
      <w:r w:rsidRPr="007E1883">
        <w:rPr>
          <w:b/>
          <w:bCs/>
          <w:i/>
          <w:iCs/>
          <w:color w:val="242121"/>
          <w:sz w:val="26"/>
          <w:szCs w:val="26"/>
        </w:rPr>
        <w:t xml:space="preserve">The Rule 30 Application </w:t>
      </w:r>
    </w:p>
    <w:p w:rsidR="004957B3" w:rsidRPr="00B54A91" w:rsidRDefault="004957B3" w:rsidP="004957B3">
      <w:pPr>
        <w:pStyle w:val="ListParagraph"/>
        <w:numPr>
          <w:ilvl w:val="0"/>
          <w:numId w:val="2"/>
        </w:numPr>
        <w:spacing w:after="0" w:line="360" w:lineRule="auto"/>
        <w:ind w:left="0" w:firstLine="0"/>
        <w:jc w:val="both"/>
        <w:rPr>
          <w:sz w:val="26"/>
          <w:szCs w:val="26"/>
        </w:rPr>
      </w:pPr>
      <w:r>
        <w:rPr>
          <w:sz w:val="26"/>
          <w:szCs w:val="26"/>
        </w:rPr>
        <w:t>Apart from the lateness of the noting of the appeal</w:t>
      </w:r>
      <w:r w:rsidR="00557EC5">
        <w:rPr>
          <w:sz w:val="26"/>
          <w:szCs w:val="26"/>
        </w:rPr>
        <w:t xml:space="preserve"> which is discussed below in the context of the condonation application</w:t>
      </w:r>
      <w:r>
        <w:rPr>
          <w:sz w:val="26"/>
          <w:szCs w:val="26"/>
        </w:rPr>
        <w:t xml:space="preserve">, the main </w:t>
      </w:r>
      <w:r w:rsidRPr="00703562">
        <w:rPr>
          <w:sz w:val="26"/>
          <w:szCs w:val="26"/>
          <w:lang w:val="en-US"/>
        </w:rPr>
        <w:t>objection</w:t>
      </w:r>
      <w:r>
        <w:rPr>
          <w:sz w:val="26"/>
          <w:szCs w:val="26"/>
        </w:rPr>
        <w:t xml:space="preserve"> in the Rule 30(2)(b) application is</w:t>
      </w:r>
      <w:r w:rsidRPr="00285E49">
        <w:rPr>
          <w:sz w:val="26"/>
          <w:szCs w:val="26"/>
          <w:lang w:val="en-US"/>
        </w:rPr>
        <w:t xml:space="preserve"> </w:t>
      </w:r>
      <w:r>
        <w:rPr>
          <w:sz w:val="26"/>
          <w:szCs w:val="26"/>
          <w:lang w:val="en-US"/>
        </w:rPr>
        <w:t xml:space="preserve">that </w:t>
      </w:r>
      <w:r w:rsidRPr="00285E49">
        <w:rPr>
          <w:sz w:val="26"/>
          <w:szCs w:val="26"/>
          <w:lang w:val="en-US"/>
        </w:rPr>
        <w:t xml:space="preserve">the </w:t>
      </w:r>
      <w:r w:rsidRPr="00634848">
        <w:rPr>
          <w:sz w:val="26"/>
          <w:szCs w:val="26"/>
          <w:lang w:val="en-US"/>
        </w:rPr>
        <w:t xml:space="preserve">notice of appeal delivered on behalf of Ms Poulter is not signed by her, or </w:t>
      </w:r>
      <w:r w:rsidR="00557EC5">
        <w:rPr>
          <w:sz w:val="26"/>
          <w:szCs w:val="26"/>
          <w:lang w:val="en-US"/>
        </w:rPr>
        <w:t xml:space="preserve">by </w:t>
      </w:r>
      <w:r w:rsidRPr="00634848">
        <w:rPr>
          <w:sz w:val="26"/>
          <w:szCs w:val="26"/>
          <w:lang w:val="en-US"/>
        </w:rPr>
        <w:t xml:space="preserve">her attorney as required by the Uniform Rules, and </w:t>
      </w:r>
      <w:r>
        <w:rPr>
          <w:sz w:val="26"/>
          <w:szCs w:val="26"/>
          <w:lang w:val="en-US"/>
        </w:rPr>
        <w:t xml:space="preserve">is instead signed by </w:t>
      </w:r>
      <w:r w:rsidRPr="00634848">
        <w:rPr>
          <w:sz w:val="26"/>
          <w:szCs w:val="26"/>
          <w:lang w:val="en-US"/>
        </w:rPr>
        <w:t xml:space="preserve">Mr </w:t>
      </w:r>
      <w:r w:rsidR="00234120">
        <w:rPr>
          <w:sz w:val="26"/>
          <w:szCs w:val="26"/>
          <w:lang w:val="en-US"/>
        </w:rPr>
        <w:t>van der Merwe</w:t>
      </w:r>
      <w:r>
        <w:rPr>
          <w:sz w:val="26"/>
          <w:szCs w:val="26"/>
          <w:lang w:val="en-US"/>
        </w:rPr>
        <w:t xml:space="preserve">, who is not entitled to do so. </w:t>
      </w:r>
      <w:r w:rsidRPr="00634848">
        <w:rPr>
          <w:sz w:val="26"/>
          <w:szCs w:val="26"/>
          <w:lang w:val="en-US"/>
        </w:rPr>
        <w:t xml:space="preserve"> </w:t>
      </w:r>
    </w:p>
    <w:p w:rsidR="004957B3" w:rsidRPr="00B54A91" w:rsidRDefault="004957B3" w:rsidP="004957B3">
      <w:pPr>
        <w:pStyle w:val="ListParagraph"/>
        <w:spacing w:after="0" w:line="360" w:lineRule="auto"/>
        <w:ind w:left="0"/>
        <w:jc w:val="both"/>
        <w:rPr>
          <w:sz w:val="26"/>
          <w:szCs w:val="26"/>
        </w:rPr>
      </w:pPr>
    </w:p>
    <w:p w:rsidR="004957B3" w:rsidRPr="00DC4B84" w:rsidRDefault="004957B3" w:rsidP="004957B3">
      <w:pPr>
        <w:pStyle w:val="ListParagraph"/>
        <w:numPr>
          <w:ilvl w:val="0"/>
          <w:numId w:val="2"/>
        </w:numPr>
        <w:spacing w:after="0" w:line="360" w:lineRule="auto"/>
        <w:ind w:left="0" w:firstLine="0"/>
        <w:jc w:val="both"/>
        <w:rPr>
          <w:sz w:val="26"/>
          <w:szCs w:val="26"/>
        </w:rPr>
      </w:pPr>
      <w:r w:rsidRPr="00BE2BF5">
        <w:rPr>
          <w:sz w:val="26"/>
          <w:szCs w:val="26"/>
          <w:lang w:val="en-US"/>
        </w:rPr>
        <w:t xml:space="preserve">The issue regarding Ms Poulter’s representation by Mr </w:t>
      </w:r>
      <w:r w:rsidR="00234120">
        <w:rPr>
          <w:sz w:val="26"/>
          <w:szCs w:val="26"/>
          <w:lang w:val="en-US"/>
        </w:rPr>
        <w:t>van der Merwe</w:t>
      </w:r>
      <w:r w:rsidRPr="00BE2BF5">
        <w:rPr>
          <w:sz w:val="26"/>
          <w:szCs w:val="26"/>
          <w:lang w:val="en-US"/>
        </w:rPr>
        <w:t xml:space="preserve"> has already been dealt with </w:t>
      </w:r>
      <w:r>
        <w:rPr>
          <w:sz w:val="26"/>
          <w:szCs w:val="26"/>
          <w:lang w:val="en-US"/>
        </w:rPr>
        <w:t>above</w:t>
      </w:r>
      <w:r w:rsidRPr="00BE2BF5">
        <w:rPr>
          <w:sz w:val="26"/>
          <w:szCs w:val="26"/>
          <w:lang w:val="en-US"/>
        </w:rPr>
        <w:t>. It remains to be added that the Uniform Rules require that court documents be signed by an applicant or his or her attorney</w:t>
      </w:r>
      <w:r>
        <w:rPr>
          <w:sz w:val="26"/>
          <w:szCs w:val="26"/>
          <w:lang w:val="en-US"/>
        </w:rPr>
        <w:t>.</w:t>
      </w:r>
      <w:r>
        <w:rPr>
          <w:rStyle w:val="FootnoteReference"/>
          <w:sz w:val="26"/>
          <w:szCs w:val="26"/>
          <w:lang w:val="en-US"/>
        </w:rPr>
        <w:footnoteReference w:id="5"/>
      </w:r>
      <w:r w:rsidRPr="00BE2BF5">
        <w:rPr>
          <w:sz w:val="26"/>
          <w:szCs w:val="26"/>
          <w:lang w:val="en-US"/>
        </w:rPr>
        <w:t xml:space="preserve"> </w:t>
      </w:r>
      <w:r>
        <w:rPr>
          <w:sz w:val="26"/>
          <w:szCs w:val="26"/>
          <w:lang w:val="en-US"/>
        </w:rPr>
        <w:t>T</w:t>
      </w:r>
      <w:r w:rsidRPr="003B5A38">
        <w:rPr>
          <w:sz w:val="26"/>
          <w:szCs w:val="26"/>
          <w:lang w:val="en-US"/>
        </w:rPr>
        <w:t>hese requirements also apply to a notice of appea</w:t>
      </w:r>
      <w:r>
        <w:rPr>
          <w:sz w:val="26"/>
          <w:szCs w:val="26"/>
          <w:lang w:val="en-US"/>
        </w:rPr>
        <w:t xml:space="preserve">l. </w:t>
      </w:r>
      <w:r w:rsidRPr="00DC4B84">
        <w:rPr>
          <w:sz w:val="26"/>
          <w:szCs w:val="26"/>
          <w:lang w:val="en-US"/>
        </w:rPr>
        <w:t xml:space="preserve">In the absence of Ms Poulter’s signature or the signature of a legal practitioner, as defined, acting on her behalf, the notice of appeal is in contravention of the Uniform Rules of </w:t>
      </w:r>
      <w:r w:rsidR="00557EC5">
        <w:rPr>
          <w:sz w:val="26"/>
          <w:szCs w:val="26"/>
          <w:lang w:val="en-US"/>
        </w:rPr>
        <w:t>C</w:t>
      </w:r>
      <w:r w:rsidRPr="00DC4B84">
        <w:rPr>
          <w:sz w:val="26"/>
          <w:szCs w:val="26"/>
          <w:lang w:val="en-US"/>
        </w:rPr>
        <w:t>ourt, and the basis for the Rule 30 application is upheld.</w:t>
      </w:r>
    </w:p>
    <w:p w:rsidR="00844B17" w:rsidRDefault="00844B17" w:rsidP="00557EC5">
      <w:pPr>
        <w:rPr>
          <w:color w:val="242121"/>
          <w:sz w:val="26"/>
          <w:szCs w:val="26"/>
        </w:rPr>
      </w:pPr>
    </w:p>
    <w:p w:rsidR="00557EC5" w:rsidRPr="00557EC5" w:rsidRDefault="00557EC5" w:rsidP="00557EC5">
      <w:pPr>
        <w:rPr>
          <w:color w:val="242121"/>
          <w:sz w:val="26"/>
          <w:szCs w:val="26"/>
        </w:rPr>
      </w:pPr>
    </w:p>
    <w:p w:rsidR="007E09B6" w:rsidRPr="00414B9D" w:rsidRDefault="00D143CA" w:rsidP="00D143CA">
      <w:pPr>
        <w:pStyle w:val="ListParagraph"/>
        <w:spacing w:after="0" w:line="360" w:lineRule="auto"/>
        <w:ind w:left="0"/>
        <w:jc w:val="both"/>
        <w:rPr>
          <w:b/>
          <w:bCs/>
          <w:i/>
          <w:iCs/>
          <w:sz w:val="26"/>
          <w:szCs w:val="26"/>
        </w:rPr>
      </w:pPr>
      <w:r w:rsidRPr="00414B9D">
        <w:rPr>
          <w:b/>
          <w:bCs/>
          <w:i/>
          <w:iCs/>
          <w:sz w:val="26"/>
          <w:szCs w:val="26"/>
        </w:rPr>
        <w:t>The condonation application</w:t>
      </w:r>
    </w:p>
    <w:p w:rsidR="004653D5" w:rsidRPr="00236DE4" w:rsidRDefault="00A22773" w:rsidP="00236DE4">
      <w:pPr>
        <w:pStyle w:val="ListParagraph"/>
        <w:numPr>
          <w:ilvl w:val="0"/>
          <w:numId w:val="2"/>
        </w:numPr>
        <w:spacing w:after="0" w:line="360" w:lineRule="auto"/>
        <w:ind w:left="0" w:firstLine="0"/>
        <w:jc w:val="both"/>
        <w:rPr>
          <w:sz w:val="26"/>
          <w:szCs w:val="26"/>
        </w:rPr>
      </w:pPr>
      <w:r w:rsidRPr="00414B9D">
        <w:rPr>
          <w:sz w:val="26"/>
          <w:szCs w:val="26"/>
        </w:rPr>
        <w:t xml:space="preserve">It is trite that </w:t>
      </w:r>
      <w:r w:rsidRPr="00414B9D">
        <w:rPr>
          <w:color w:val="242121"/>
          <w:sz w:val="26"/>
          <w:szCs w:val="26"/>
          <w:shd w:val="clear" w:color="auto" w:fill="FFFFFF"/>
        </w:rPr>
        <w:t>condonation is not to be had merely for the asking</w:t>
      </w:r>
      <w:r w:rsidR="00414B9D" w:rsidRPr="00414B9D">
        <w:rPr>
          <w:color w:val="242121"/>
          <w:sz w:val="26"/>
          <w:szCs w:val="26"/>
          <w:shd w:val="clear" w:color="auto" w:fill="FFFFFF"/>
        </w:rPr>
        <w:t>.</w:t>
      </w:r>
      <w:r w:rsidRPr="00414B9D">
        <w:rPr>
          <w:color w:val="242121"/>
          <w:sz w:val="26"/>
          <w:szCs w:val="26"/>
          <w:shd w:val="clear" w:color="auto" w:fill="FFFFFF"/>
        </w:rPr>
        <w:t xml:space="preserve"> </w:t>
      </w:r>
      <w:r w:rsidR="00414B9D" w:rsidRPr="00414B9D">
        <w:rPr>
          <w:color w:val="242121"/>
          <w:sz w:val="26"/>
          <w:szCs w:val="26"/>
          <w:shd w:val="clear" w:color="auto" w:fill="FFFFFF"/>
        </w:rPr>
        <w:t>A</w:t>
      </w:r>
      <w:r w:rsidRPr="00414B9D">
        <w:rPr>
          <w:color w:val="242121"/>
          <w:sz w:val="26"/>
          <w:szCs w:val="26"/>
          <w:shd w:val="clear" w:color="auto" w:fill="FFFFFF"/>
        </w:rPr>
        <w:t xml:space="preserve"> full, detailed and accurate account of the causes of the delay and their effects must be furnished so as to enable the Court to understand clearly the reasons and to assess the responsibility.</w:t>
      </w:r>
      <w:r w:rsidRPr="00414B9D">
        <w:rPr>
          <w:rStyle w:val="FootnoteReference"/>
          <w:color w:val="242121"/>
          <w:sz w:val="26"/>
          <w:szCs w:val="26"/>
          <w:shd w:val="clear" w:color="auto" w:fill="FFFFFF"/>
        </w:rPr>
        <w:footnoteReference w:id="6"/>
      </w:r>
      <w:r w:rsidRPr="00414B9D">
        <w:rPr>
          <w:color w:val="242121"/>
          <w:sz w:val="26"/>
          <w:szCs w:val="26"/>
          <w:shd w:val="clear" w:color="auto" w:fill="FFFFFF"/>
        </w:rPr>
        <w:t> </w:t>
      </w:r>
      <w:r w:rsidR="00414B9D" w:rsidRPr="00236DE4">
        <w:rPr>
          <w:color w:val="242121"/>
          <w:sz w:val="26"/>
          <w:szCs w:val="26"/>
          <w:shd w:val="clear" w:color="auto" w:fill="FFFFFF"/>
        </w:rPr>
        <w:t>F</w:t>
      </w:r>
      <w:r w:rsidRPr="00236DE4">
        <w:rPr>
          <w:color w:val="242121"/>
          <w:sz w:val="26"/>
          <w:szCs w:val="26"/>
          <w:shd w:val="clear" w:color="auto" w:fill="FFFFFF"/>
        </w:rPr>
        <w:t>actors which are usually weighed</w:t>
      </w:r>
      <w:r w:rsidRPr="00236DE4">
        <w:rPr>
          <w:sz w:val="26"/>
          <w:szCs w:val="26"/>
        </w:rPr>
        <w:t xml:space="preserve"> </w:t>
      </w:r>
      <w:r w:rsidR="004653D5" w:rsidRPr="00236DE4">
        <w:rPr>
          <w:color w:val="242121"/>
          <w:sz w:val="26"/>
          <w:szCs w:val="26"/>
          <w:shd w:val="clear" w:color="auto" w:fill="FFFFFF"/>
        </w:rPr>
        <w:t xml:space="preserve">include the degree of non-compliance, the explanation therefor, the importance of the case, a respondent’s interest in the finality of the judgment of the court </w:t>
      </w:r>
      <w:r w:rsidR="00D1774B" w:rsidRPr="00C40723">
        <w:rPr>
          <w:i/>
          <w:color w:val="242121"/>
          <w:sz w:val="26"/>
          <w:szCs w:val="26"/>
          <w:shd w:val="clear" w:color="auto" w:fill="FFFFFF"/>
        </w:rPr>
        <w:t>a quo</w:t>
      </w:r>
      <w:r w:rsidR="004653D5" w:rsidRPr="00236DE4">
        <w:rPr>
          <w:color w:val="242121"/>
          <w:sz w:val="26"/>
          <w:szCs w:val="26"/>
          <w:shd w:val="clear" w:color="auto" w:fill="FFFFFF"/>
        </w:rPr>
        <w:t>, the convenience of th</w:t>
      </w:r>
      <w:r w:rsidRPr="00236DE4">
        <w:rPr>
          <w:color w:val="242121"/>
          <w:sz w:val="26"/>
          <w:szCs w:val="26"/>
          <w:shd w:val="clear" w:color="auto" w:fill="FFFFFF"/>
        </w:rPr>
        <w:t>e</w:t>
      </w:r>
      <w:r w:rsidR="004653D5" w:rsidRPr="00236DE4">
        <w:rPr>
          <w:color w:val="242121"/>
          <w:sz w:val="26"/>
          <w:szCs w:val="26"/>
          <w:shd w:val="clear" w:color="auto" w:fill="FFFFFF"/>
        </w:rPr>
        <w:t xml:space="preserve"> court and the avoidance of unnecessary delay in the administration of justice.</w:t>
      </w:r>
      <w:r w:rsidR="004653D5" w:rsidRPr="00414B9D">
        <w:rPr>
          <w:rStyle w:val="FootnoteReference"/>
          <w:color w:val="242121"/>
          <w:sz w:val="26"/>
          <w:szCs w:val="26"/>
          <w:shd w:val="clear" w:color="auto" w:fill="FFFFFF"/>
        </w:rPr>
        <w:footnoteReference w:id="7"/>
      </w:r>
      <w:r w:rsidR="00F23477" w:rsidRPr="00236DE4">
        <w:rPr>
          <w:color w:val="242121"/>
          <w:sz w:val="26"/>
          <w:szCs w:val="26"/>
          <w:shd w:val="clear" w:color="auto" w:fill="FFFFFF"/>
        </w:rPr>
        <w:t xml:space="preserve"> Prospects of success on appeal, the importance of the case, absence of prejudice to the parties, the respondent’s interest in the finality of its judgment and the convenience of the court are some of the factors that the appeal court will weigh</w:t>
      </w:r>
      <w:r w:rsidR="00D1774B">
        <w:rPr>
          <w:color w:val="242121"/>
          <w:sz w:val="26"/>
          <w:szCs w:val="26"/>
          <w:shd w:val="clear" w:color="auto" w:fill="FFFFFF"/>
        </w:rPr>
        <w:t xml:space="preserve"> </w:t>
      </w:r>
      <w:r w:rsidR="00F23477" w:rsidRPr="00236DE4">
        <w:rPr>
          <w:color w:val="242121"/>
          <w:sz w:val="26"/>
          <w:szCs w:val="26"/>
          <w:shd w:val="clear" w:color="auto" w:fill="FFFFFF"/>
        </w:rPr>
        <w:t>in deciding whether or not to grant condonation.</w:t>
      </w:r>
      <w:r w:rsidR="00F23477" w:rsidRPr="00414B9D">
        <w:rPr>
          <w:rStyle w:val="FootnoteReference"/>
          <w:color w:val="242121"/>
          <w:sz w:val="26"/>
          <w:szCs w:val="26"/>
          <w:shd w:val="clear" w:color="auto" w:fill="FFFFFF"/>
        </w:rPr>
        <w:footnoteReference w:id="8"/>
      </w:r>
    </w:p>
    <w:p w:rsidR="004653D5" w:rsidRPr="00D143CA" w:rsidRDefault="004653D5" w:rsidP="004653D5">
      <w:pPr>
        <w:pStyle w:val="ListParagraph"/>
        <w:spacing w:after="0" w:line="360" w:lineRule="auto"/>
        <w:ind w:left="0"/>
        <w:jc w:val="both"/>
        <w:rPr>
          <w:sz w:val="26"/>
          <w:szCs w:val="26"/>
        </w:rPr>
      </w:pPr>
    </w:p>
    <w:p w:rsidR="000C6CA8" w:rsidRDefault="0070004D" w:rsidP="000C6CA8">
      <w:pPr>
        <w:pStyle w:val="ListParagraph"/>
        <w:numPr>
          <w:ilvl w:val="0"/>
          <w:numId w:val="2"/>
        </w:numPr>
        <w:spacing w:after="0" w:line="360" w:lineRule="auto"/>
        <w:ind w:left="0" w:firstLine="0"/>
        <w:jc w:val="both"/>
        <w:rPr>
          <w:sz w:val="26"/>
          <w:szCs w:val="26"/>
        </w:rPr>
      </w:pPr>
      <w:r>
        <w:rPr>
          <w:sz w:val="26"/>
          <w:szCs w:val="26"/>
        </w:rPr>
        <w:t>In this case t</w:t>
      </w:r>
      <w:r w:rsidR="00DE5BE6">
        <w:rPr>
          <w:sz w:val="26"/>
          <w:szCs w:val="26"/>
        </w:rPr>
        <w:t xml:space="preserve">he delay in filing the notice of appeal </w:t>
      </w:r>
      <w:r>
        <w:rPr>
          <w:sz w:val="26"/>
          <w:szCs w:val="26"/>
        </w:rPr>
        <w:t>wa</w:t>
      </w:r>
      <w:r w:rsidR="00DE5BE6">
        <w:rPr>
          <w:sz w:val="26"/>
          <w:szCs w:val="26"/>
        </w:rPr>
        <w:t xml:space="preserve">s some 21 days, and the reason given for the lateness is that </w:t>
      </w:r>
      <w:r w:rsidR="006D0531">
        <w:rPr>
          <w:sz w:val="26"/>
          <w:szCs w:val="26"/>
        </w:rPr>
        <w:t xml:space="preserve">Mr </w:t>
      </w:r>
      <w:r w:rsidR="00234120">
        <w:rPr>
          <w:sz w:val="26"/>
          <w:szCs w:val="26"/>
        </w:rPr>
        <w:t>van der Merwe</w:t>
      </w:r>
      <w:r w:rsidR="00DE5BE6">
        <w:rPr>
          <w:sz w:val="26"/>
          <w:szCs w:val="26"/>
        </w:rPr>
        <w:t xml:space="preserve"> did not receive the </w:t>
      </w:r>
      <w:r w:rsidR="007367CD">
        <w:rPr>
          <w:sz w:val="26"/>
          <w:szCs w:val="26"/>
        </w:rPr>
        <w:t xml:space="preserve">section 137 </w:t>
      </w:r>
      <w:r w:rsidR="00DE5BE6">
        <w:rPr>
          <w:sz w:val="26"/>
          <w:szCs w:val="26"/>
        </w:rPr>
        <w:t xml:space="preserve">Tax </w:t>
      </w:r>
      <w:r w:rsidR="00D1774B">
        <w:rPr>
          <w:sz w:val="26"/>
          <w:szCs w:val="26"/>
        </w:rPr>
        <w:t>registrar</w:t>
      </w:r>
      <w:r w:rsidR="00DE5BE6">
        <w:rPr>
          <w:sz w:val="26"/>
          <w:szCs w:val="26"/>
        </w:rPr>
        <w:t xml:space="preserve">’s notice </w:t>
      </w:r>
      <w:r>
        <w:rPr>
          <w:sz w:val="26"/>
          <w:szCs w:val="26"/>
        </w:rPr>
        <w:t>on 28 January 2021</w:t>
      </w:r>
      <w:r w:rsidR="005D14C5">
        <w:rPr>
          <w:sz w:val="26"/>
          <w:szCs w:val="26"/>
        </w:rPr>
        <w:t xml:space="preserve">, and only received it on </w:t>
      </w:r>
      <w:r w:rsidR="00070518">
        <w:rPr>
          <w:sz w:val="26"/>
          <w:szCs w:val="26"/>
        </w:rPr>
        <w:t>1 March 2021</w:t>
      </w:r>
      <w:r w:rsidR="00DE5BE6">
        <w:rPr>
          <w:sz w:val="26"/>
          <w:szCs w:val="26"/>
        </w:rPr>
        <w:t xml:space="preserve">. This reason for delay is </w:t>
      </w:r>
      <w:r w:rsidR="00414B9D">
        <w:rPr>
          <w:sz w:val="26"/>
          <w:szCs w:val="26"/>
        </w:rPr>
        <w:t xml:space="preserve">strenuously </w:t>
      </w:r>
      <w:r w:rsidR="00D1774B">
        <w:rPr>
          <w:sz w:val="26"/>
          <w:szCs w:val="26"/>
        </w:rPr>
        <w:t xml:space="preserve">disputed </w:t>
      </w:r>
      <w:r w:rsidR="00DE5BE6">
        <w:rPr>
          <w:sz w:val="26"/>
          <w:szCs w:val="26"/>
        </w:rPr>
        <w:t xml:space="preserve">by the CSARS. </w:t>
      </w:r>
      <w:r w:rsidR="00FF2DD1">
        <w:rPr>
          <w:sz w:val="26"/>
          <w:szCs w:val="26"/>
        </w:rPr>
        <w:t xml:space="preserve">The </w:t>
      </w:r>
      <w:r w:rsidR="00D1774B">
        <w:rPr>
          <w:sz w:val="26"/>
          <w:szCs w:val="26"/>
        </w:rPr>
        <w:t>registrar</w:t>
      </w:r>
      <w:r w:rsidR="00FF2DD1">
        <w:rPr>
          <w:sz w:val="26"/>
          <w:szCs w:val="26"/>
        </w:rPr>
        <w:t>’s email</w:t>
      </w:r>
      <w:r w:rsidR="00D1774B">
        <w:rPr>
          <w:sz w:val="26"/>
          <w:szCs w:val="26"/>
        </w:rPr>
        <w:t>,</w:t>
      </w:r>
      <w:r w:rsidR="00FF2DD1">
        <w:rPr>
          <w:sz w:val="26"/>
          <w:szCs w:val="26"/>
        </w:rPr>
        <w:t xml:space="preserve"> to which the section 137 notice was attached</w:t>
      </w:r>
      <w:r w:rsidR="00D1774B">
        <w:rPr>
          <w:sz w:val="26"/>
          <w:szCs w:val="26"/>
        </w:rPr>
        <w:t>,</w:t>
      </w:r>
      <w:r w:rsidR="00FF2DD1">
        <w:rPr>
          <w:sz w:val="26"/>
          <w:szCs w:val="26"/>
        </w:rPr>
        <w:t xml:space="preserve"> </w:t>
      </w:r>
      <w:r w:rsidR="00C2102E">
        <w:rPr>
          <w:sz w:val="26"/>
          <w:szCs w:val="26"/>
        </w:rPr>
        <w:t>i</w:t>
      </w:r>
      <w:r w:rsidR="00184E15">
        <w:rPr>
          <w:sz w:val="26"/>
          <w:szCs w:val="26"/>
        </w:rPr>
        <w:t>s</w:t>
      </w:r>
      <w:r w:rsidR="00FF2DD1">
        <w:rPr>
          <w:sz w:val="26"/>
          <w:szCs w:val="26"/>
        </w:rPr>
        <w:t xml:space="preserve"> </w:t>
      </w:r>
      <w:r w:rsidR="00184E15">
        <w:rPr>
          <w:sz w:val="26"/>
          <w:szCs w:val="26"/>
        </w:rPr>
        <w:t>annexed</w:t>
      </w:r>
      <w:r w:rsidR="00FF2DD1">
        <w:rPr>
          <w:sz w:val="26"/>
          <w:szCs w:val="26"/>
        </w:rPr>
        <w:t xml:space="preserve"> to the answering affidavit, bearing the date of 28 January 2021, </w:t>
      </w:r>
      <w:r w:rsidR="00DE5BE6">
        <w:rPr>
          <w:sz w:val="26"/>
          <w:szCs w:val="26"/>
        </w:rPr>
        <w:t>was sent to the same email address that was used</w:t>
      </w:r>
      <w:r w:rsidR="00C25A2A">
        <w:rPr>
          <w:sz w:val="26"/>
          <w:szCs w:val="26"/>
        </w:rPr>
        <w:t>, and continues to be used,</w:t>
      </w:r>
      <w:r w:rsidR="00DE5BE6">
        <w:rPr>
          <w:sz w:val="26"/>
          <w:szCs w:val="26"/>
        </w:rPr>
        <w:t xml:space="preserve"> </w:t>
      </w:r>
      <w:r w:rsidR="00C25A2A">
        <w:rPr>
          <w:sz w:val="26"/>
          <w:szCs w:val="26"/>
        </w:rPr>
        <w:t xml:space="preserve">for Ms Poulter in </w:t>
      </w:r>
      <w:r w:rsidR="00DE5BE6">
        <w:rPr>
          <w:sz w:val="26"/>
          <w:szCs w:val="26"/>
        </w:rPr>
        <w:t xml:space="preserve">all </w:t>
      </w:r>
      <w:r w:rsidR="00C25A2A">
        <w:rPr>
          <w:sz w:val="26"/>
          <w:szCs w:val="26"/>
        </w:rPr>
        <w:t>the</w:t>
      </w:r>
      <w:r w:rsidR="00DE5BE6">
        <w:rPr>
          <w:sz w:val="26"/>
          <w:szCs w:val="26"/>
        </w:rPr>
        <w:t xml:space="preserve"> correspondence in the matter</w:t>
      </w:r>
      <w:r w:rsidR="00C80F8E">
        <w:rPr>
          <w:sz w:val="26"/>
          <w:szCs w:val="26"/>
        </w:rPr>
        <w:t>, without any problems</w:t>
      </w:r>
      <w:r w:rsidR="00DE5BE6">
        <w:rPr>
          <w:sz w:val="26"/>
          <w:szCs w:val="26"/>
        </w:rPr>
        <w:t xml:space="preserve">. </w:t>
      </w:r>
      <w:r w:rsidR="00C80F8E">
        <w:rPr>
          <w:sz w:val="26"/>
          <w:szCs w:val="26"/>
        </w:rPr>
        <w:t xml:space="preserve">The email address is in fact for Mr </w:t>
      </w:r>
      <w:r w:rsidR="00234120">
        <w:rPr>
          <w:sz w:val="26"/>
          <w:szCs w:val="26"/>
        </w:rPr>
        <w:t>van der Merwe</w:t>
      </w:r>
      <w:r w:rsidR="000C00C0">
        <w:rPr>
          <w:sz w:val="26"/>
          <w:szCs w:val="26"/>
        </w:rPr>
        <w:t>’s email address</w:t>
      </w:r>
      <w:r w:rsidR="00C80F8E">
        <w:rPr>
          <w:sz w:val="26"/>
          <w:szCs w:val="26"/>
        </w:rPr>
        <w:t xml:space="preserve">. The Tax Court </w:t>
      </w:r>
      <w:r w:rsidR="00D1774B">
        <w:rPr>
          <w:sz w:val="26"/>
          <w:szCs w:val="26"/>
        </w:rPr>
        <w:t>registrar</w:t>
      </w:r>
      <w:r w:rsidR="00C80F8E">
        <w:rPr>
          <w:sz w:val="26"/>
          <w:szCs w:val="26"/>
        </w:rPr>
        <w:t xml:space="preserve"> did not receive any notification that the email</w:t>
      </w:r>
      <w:r w:rsidR="00B60C28">
        <w:rPr>
          <w:sz w:val="26"/>
          <w:szCs w:val="26"/>
        </w:rPr>
        <w:t xml:space="preserve"> in question</w:t>
      </w:r>
      <w:r w:rsidR="00C80F8E">
        <w:rPr>
          <w:sz w:val="26"/>
          <w:szCs w:val="26"/>
        </w:rPr>
        <w:t xml:space="preserve"> had not been delivered.  Mr </w:t>
      </w:r>
      <w:r w:rsidR="00234120">
        <w:rPr>
          <w:sz w:val="26"/>
          <w:szCs w:val="26"/>
        </w:rPr>
        <w:t>van der Merwe</w:t>
      </w:r>
      <w:r w:rsidR="00C25A2A">
        <w:rPr>
          <w:sz w:val="26"/>
          <w:szCs w:val="26"/>
        </w:rPr>
        <w:t xml:space="preserve"> does not indicate what attempts he made to </w:t>
      </w:r>
      <w:r w:rsidR="00C80F8E">
        <w:rPr>
          <w:sz w:val="26"/>
          <w:szCs w:val="26"/>
        </w:rPr>
        <w:t>check whether the email address was otherwise received in his junk mail.</w:t>
      </w:r>
      <w:r w:rsidR="00C25A2A">
        <w:rPr>
          <w:sz w:val="26"/>
          <w:szCs w:val="26"/>
        </w:rPr>
        <w:t xml:space="preserve"> </w:t>
      </w:r>
    </w:p>
    <w:p w:rsidR="000C6CA8" w:rsidRPr="000C6CA8" w:rsidRDefault="000C6CA8" w:rsidP="000C6CA8">
      <w:pPr>
        <w:pStyle w:val="ListParagraph"/>
        <w:rPr>
          <w:sz w:val="26"/>
          <w:szCs w:val="26"/>
        </w:rPr>
      </w:pPr>
    </w:p>
    <w:p w:rsidR="00DE5BE6" w:rsidRPr="00236DE4" w:rsidRDefault="006D1B99" w:rsidP="00236DE4">
      <w:pPr>
        <w:pStyle w:val="ListParagraph"/>
        <w:numPr>
          <w:ilvl w:val="0"/>
          <w:numId w:val="2"/>
        </w:numPr>
        <w:spacing w:after="0" w:line="360" w:lineRule="auto"/>
        <w:ind w:left="0" w:firstLine="0"/>
        <w:jc w:val="both"/>
        <w:rPr>
          <w:sz w:val="26"/>
          <w:szCs w:val="26"/>
        </w:rPr>
      </w:pPr>
      <w:r>
        <w:rPr>
          <w:sz w:val="26"/>
          <w:szCs w:val="26"/>
        </w:rPr>
        <w:t xml:space="preserve">Even if we were to decide in Mr </w:t>
      </w:r>
      <w:r w:rsidR="00234120">
        <w:rPr>
          <w:sz w:val="26"/>
          <w:szCs w:val="26"/>
        </w:rPr>
        <w:t>van der Merwe</w:t>
      </w:r>
      <w:r>
        <w:rPr>
          <w:sz w:val="26"/>
          <w:szCs w:val="26"/>
        </w:rPr>
        <w:t xml:space="preserve">’s favour that he did not receive the </w:t>
      </w:r>
      <w:r w:rsidR="00D1774B">
        <w:rPr>
          <w:sz w:val="26"/>
          <w:szCs w:val="26"/>
        </w:rPr>
        <w:t>registrar</w:t>
      </w:r>
      <w:r>
        <w:rPr>
          <w:sz w:val="26"/>
          <w:szCs w:val="26"/>
        </w:rPr>
        <w:t xml:space="preserve">’s notice on 28 January 2021, there are other aspects which render his explanation for the delay unsatisfactory. </w:t>
      </w:r>
      <w:r w:rsidR="00FF2DD1">
        <w:rPr>
          <w:sz w:val="26"/>
          <w:szCs w:val="26"/>
        </w:rPr>
        <w:t>W</w:t>
      </w:r>
      <w:r w:rsidR="00FF2DD1" w:rsidRPr="000C6CA8">
        <w:rPr>
          <w:sz w:val="26"/>
          <w:szCs w:val="26"/>
        </w:rPr>
        <w:t xml:space="preserve">hilst averring that the notice was not sent to him on 28 January 2021, </w:t>
      </w:r>
      <w:r w:rsidR="00BD494D">
        <w:rPr>
          <w:sz w:val="26"/>
          <w:szCs w:val="26"/>
        </w:rPr>
        <w:t>he</w:t>
      </w:r>
      <w:r w:rsidR="00FF2DD1" w:rsidRPr="000C6CA8">
        <w:rPr>
          <w:sz w:val="26"/>
          <w:szCs w:val="26"/>
        </w:rPr>
        <w:t xml:space="preserve"> also alleges that, as a result, it </w:t>
      </w:r>
      <w:r w:rsidR="000C6CA8" w:rsidRPr="000C6CA8">
        <w:rPr>
          <w:sz w:val="26"/>
          <w:szCs w:val="26"/>
        </w:rPr>
        <w:t>‘should be presumed</w:t>
      </w:r>
      <w:r w:rsidR="000C6CA8">
        <w:rPr>
          <w:sz w:val="26"/>
          <w:szCs w:val="26"/>
        </w:rPr>
        <w:t>’</w:t>
      </w:r>
      <w:r w:rsidR="000C6CA8" w:rsidRPr="000C6CA8">
        <w:rPr>
          <w:sz w:val="26"/>
          <w:szCs w:val="26"/>
        </w:rPr>
        <w:t xml:space="preserve"> that the CSARS also did not receive the notice</w:t>
      </w:r>
      <w:r w:rsidR="000C6CA8">
        <w:rPr>
          <w:sz w:val="26"/>
          <w:szCs w:val="26"/>
        </w:rPr>
        <w:t xml:space="preserve"> on that date</w:t>
      </w:r>
      <w:r w:rsidR="000C6CA8" w:rsidRPr="000C6CA8">
        <w:rPr>
          <w:sz w:val="26"/>
          <w:szCs w:val="26"/>
        </w:rPr>
        <w:t>.</w:t>
      </w:r>
      <w:r w:rsidR="000C6CA8">
        <w:rPr>
          <w:sz w:val="26"/>
          <w:szCs w:val="26"/>
        </w:rPr>
        <w:t xml:space="preserve"> Yet the evidence </w:t>
      </w:r>
      <w:r w:rsidR="00414B9D">
        <w:rPr>
          <w:sz w:val="26"/>
          <w:szCs w:val="26"/>
        </w:rPr>
        <w:t>indicates</w:t>
      </w:r>
      <w:r w:rsidR="000C6CA8">
        <w:rPr>
          <w:sz w:val="26"/>
          <w:szCs w:val="26"/>
        </w:rPr>
        <w:t xml:space="preserve"> otherwise. The CSARS has </w:t>
      </w:r>
      <w:r w:rsidR="00414B9D">
        <w:rPr>
          <w:sz w:val="26"/>
          <w:szCs w:val="26"/>
        </w:rPr>
        <w:t xml:space="preserve">not only </w:t>
      </w:r>
      <w:r w:rsidR="000C6CA8">
        <w:rPr>
          <w:sz w:val="26"/>
          <w:szCs w:val="26"/>
        </w:rPr>
        <w:t>attached an email addresse</w:t>
      </w:r>
      <w:r w:rsidR="0093776F">
        <w:rPr>
          <w:sz w:val="26"/>
          <w:szCs w:val="26"/>
        </w:rPr>
        <w:t>d</w:t>
      </w:r>
      <w:r w:rsidR="000C6CA8">
        <w:rPr>
          <w:sz w:val="26"/>
          <w:szCs w:val="26"/>
        </w:rPr>
        <w:t xml:space="preserve"> to him</w:t>
      </w:r>
      <w:r w:rsidR="00414B9D">
        <w:rPr>
          <w:sz w:val="26"/>
          <w:szCs w:val="26"/>
        </w:rPr>
        <w:t xml:space="preserve"> on that date, but also</w:t>
      </w:r>
      <w:r w:rsidR="000C6CA8">
        <w:rPr>
          <w:sz w:val="26"/>
          <w:szCs w:val="26"/>
        </w:rPr>
        <w:t xml:space="preserve"> an email address</w:t>
      </w:r>
      <w:r w:rsidR="00414B9D">
        <w:rPr>
          <w:sz w:val="26"/>
          <w:szCs w:val="26"/>
        </w:rPr>
        <w:t>ed</w:t>
      </w:r>
      <w:r w:rsidR="000C6CA8">
        <w:rPr>
          <w:sz w:val="26"/>
          <w:szCs w:val="26"/>
        </w:rPr>
        <w:t xml:space="preserve"> to SARS, dated 28 January 2021</w:t>
      </w:r>
      <w:r w:rsidR="0093776F">
        <w:rPr>
          <w:sz w:val="26"/>
          <w:szCs w:val="26"/>
        </w:rPr>
        <w:t>,</w:t>
      </w:r>
      <w:r w:rsidR="001C3FCC">
        <w:rPr>
          <w:sz w:val="26"/>
          <w:szCs w:val="26"/>
        </w:rPr>
        <w:t xml:space="preserve"> </w:t>
      </w:r>
      <w:r w:rsidR="0093776F">
        <w:rPr>
          <w:sz w:val="26"/>
          <w:szCs w:val="26"/>
        </w:rPr>
        <w:t>attaching the said notice</w:t>
      </w:r>
      <w:r w:rsidR="000C6CA8">
        <w:rPr>
          <w:sz w:val="26"/>
          <w:szCs w:val="26"/>
        </w:rPr>
        <w:t>.</w:t>
      </w:r>
      <w:r w:rsidR="00B830DB" w:rsidRPr="000C6CA8">
        <w:rPr>
          <w:sz w:val="26"/>
          <w:szCs w:val="26"/>
        </w:rPr>
        <w:t xml:space="preserve"> </w:t>
      </w:r>
      <w:r w:rsidR="00236DE4">
        <w:rPr>
          <w:sz w:val="26"/>
          <w:szCs w:val="26"/>
        </w:rPr>
        <w:t xml:space="preserve">There is also an attempt to lay the blame at the door of the CSARS’s legal representatives for not alerting him to the notice on 28 January 2021, which is not a legal requirement. </w:t>
      </w:r>
      <w:r w:rsidR="000C6CA8" w:rsidRPr="00236DE4">
        <w:rPr>
          <w:sz w:val="26"/>
          <w:szCs w:val="26"/>
        </w:rPr>
        <w:t>As the CSARS</w:t>
      </w:r>
      <w:r w:rsidR="001C3FCC" w:rsidRPr="00236DE4">
        <w:rPr>
          <w:sz w:val="26"/>
          <w:szCs w:val="26"/>
        </w:rPr>
        <w:t xml:space="preserve"> </w:t>
      </w:r>
      <w:r w:rsidR="000C6CA8" w:rsidRPr="00236DE4">
        <w:rPr>
          <w:sz w:val="26"/>
          <w:szCs w:val="26"/>
        </w:rPr>
        <w:t xml:space="preserve">argues, </w:t>
      </w:r>
      <w:r w:rsidR="00B830DB" w:rsidRPr="00236DE4">
        <w:rPr>
          <w:sz w:val="26"/>
          <w:szCs w:val="26"/>
        </w:rPr>
        <w:t xml:space="preserve">Mr </w:t>
      </w:r>
      <w:r w:rsidR="00234120">
        <w:rPr>
          <w:sz w:val="26"/>
          <w:szCs w:val="26"/>
        </w:rPr>
        <w:t>van der Merwe</w:t>
      </w:r>
      <w:r w:rsidR="00B830DB" w:rsidRPr="00236DE4">
        <w:rPr>
          <w:sz w:val="26"/>
          <w:szCs w:val="26"/>
        </w:rPr>
        <w:t xml:space="preserve">’s explanation </w:t>
      </w:r>
      <w:r w:rsidR="000C6CA8" w:rsidRPr="00236DE4">
        <w:rPr>
          <w:sz w:val="26"/>
          <w:szCs w:val="26"/>
        </w:rPr>
        <w:t xml:space="preserve">for the delay </w:t>
      </w:r>
      <w:r w:rsidR="00B830DB" w:rsidRPr="00236DE4">
        <w:rPr>
          <w:sz w:val="26"/>
          <w:szCs w:val="26"/>
        </w:rPr>
        <w:t xml:space="preserve">leaves much to be desired. </w:t>
      </w:r>
    </w:p>
    <w:p w:rsidR="00070518" w:rsidRPr="00070518" w:rsidRDefault="00070518" w:rsidP="00070518">
      <w:pPr>
        <w:pStyle w:val="ListParagraph"/>
        <w:rPr>
          <w:sz w:val="26"/>
          <w:szCs w:val="26"/>
        </w:rPr>
      </w:pPr>
    </w:p>
    <w:p w:rsidR="00070518" w:rsidRPr="00814A30" w:rsidRDefault="001C3FCC" w:rsidP="0093776F">
      <w:pPr>
        <w:pStyle w:val="ListParagraph"/>
        <w:numPr>
          <w:ilvl w:val="0"/>
          <w:numId w:val="2"/>
        </w:numPr>
        <w:spacing w:after="0" w:line="360" w:lineRule="auto"/>
        <w:ind w:left="0" w:firstLine="0"/>
        <w:jc w:val="both"/>
        <w:rPr>
          <w:sz w:val="26"/>
          <w:szCs w:val="26"/>
          <w:lang w:val="en-US"/>
        </w:rPr>
      </w:pPr>
      <w:r>
        <w:rPr>
          <w:sz w:val="26"/>
          <w:szCs w:val="26"/>
        </w:rPr>
        <w:t xml:space="preserve">In addition to all of this </w:t>
      </w:r>
      <w:r w:rsidR="00084AA7">
        <w:rPr>
          <w:sz w:val="26"/>
          <w:szCs w:val="26"/>
        </w:rPr>
        <w:t>i</w:t>
      </w:r>
      <w:r w:rsidR="00070518" w:rsidRPr="0093776F">
        <w:rPr>
          <w:sz w:val="26"/>
          <w:szCs w:val="26"/>
        </w:rPr>
        <w:t xml:space="preserve">s </w:t>
      </w:r>
      <w:r w:rsidR="00E763F5">
        <w:rPr>
          <w:sz w:val="26"/>
          <w:szCs w:val="26"/>
        </w:rPr>
        <w:t>the</w:t>
      </w:r>
      <w:r w:rsidR="00070518" w:rsidRPr="0093776F">
        <w:rPr>
          <w:sz w:val="26"/>
          <w:szCs w:val="26"/>
        </w:rPr>
        <w:t xml:space="preserve"> delay in filing the application for condonation. Although the notice of appeal </w:t>
      </w:r>
      <w:r w:rsidR="009B3631" w:rsidRPr="0093776F">
        <w:rPr>
          <w:sz w:val="26"/>
          <w:szCs w:val="26"/>
        </w:rPr>
        <w:t>was delivered</w:t>
      </w:r>
      <w:r w:rsidR="00070518" w:rsidRPr="0093776F">
        <w:rPr>
          <w:sz w:val="26"/>
          <w:szCs w:val="26"/>
        </w:rPr>
        <w:t xml:space="preserve"> on</w:t>
      </w:r>
      <w:r w:rsidR="009B3631" w:rsidRPr="0093776F">
        <w:rPr>
          <w:sz w:val="26"/>
          <w:szCs w:val="26"/>
        </w:rPr>
        <w:t xml:space="preserve"> 30 March 2021, the condonation application was delivered</w:t>
      </w:r>
      <w:r>
        <w:rPr>
          <w:sz w:val="26"/>
          <w:szCs w:val="26"/>
        </w:rPr>
        <w:t xml:space="preserve"> about a month later</w:t>
      </w:r>
      <w:r w:rsidR="00E763F5">
        <w:rPr>
          <w:sz w:val="26"/>
          <w:szCs w:val="26"/>
        </w:rPr>
        <w:t>,</w:t>
      </w:r>
      <w:r w:rsidR="009B3631" w:rsidRPr="0093776F">
        <w:rPr>
          <w:sz w:val="26"/>
          <w:szCs w:val="26"/>
        </w:rPr>
        <w:t xml:space="preserve"> </w:t>
      </w:r>
      <w:r w:rsidR="00EE28C8" w:rsidRPr="0093776F">
        <w:rPr>
          <w:sz w:val="26"/>
          <w:szCs w:val="26"/>
        </w:rPr>
        <w:t>on 28 April 2021.</w:t>
      </w:r>
      <w:r w:rsidR="009B3631" w:rsidRPr="0093776F">
        <w:rPr>
          <w:sz w:val="26"/>
          <w:szCs w:val="26"/>
        </w:rPr>
        <w:t xml:space="preserve"> No reason is given for this delay.</w:t>
      </w:r>
      <w:r w:rsidR="00B60C28" w:rsidRPr="0093776F">
        <w:rPr>
          <w:sz w:val="26"/>
          <w:szCs w:val="26"/>
        </w:rPr>
        <w:t xml:space="preserve"> </w:t>
      </w:r>
      <w:r w:rsidR="0093776F" w:rsidRPr="0093776F">
        <w:rPr>
          <w:sz w:val="26"/>
          <w:szCs w:val="26"/>
        </w:rPr>
        <w:t xml:space="preserve">The SCA </w:t>
      </w:r>
      <w:r w:rsidR="0093776F" w:rsidRPr="0093776F">
        <w:rPr>
          <w:sz w:val="26"/>
          <w:szCs w:val="26"/>
          <w:lang w:val="en-US"/>
        </w:rPr>
        <w:t xml:space="preserve">has stated that </w:t>
      </w:r>
      <w:r w:rsidR="0093776F" w:rsidRPr="0093776F">
        <w:rPr>
          <w:color w:val="242121"/>
          <w:sz w:val="26"/>
          <w:szCs w:val="26"/>
          <w:shd w:val="clear" w:color="auto" w:fill="FFFFFF"/>
        </w:rPr>
        <w:t xml:space="preserve">what calls for an explanation is not only the delay in the timeous prosecution of </w:t>
      </w:r>
      <w:r w:rsidR="00E763F5">
        <w:rPr>
          <w:color w:val="242121"/>
          <w:sz w:val="26"/>
          <w:szCs w:val="26"/>
          <w:shd w:val="clear" w:color="auto" w:fill="FFFFFF"/>
        </w:rPr>
        <w:t>an</w:t>
      </w:r>
      <w:r w:rsidR="0093776F" w:rsidRPr="0093776F">
        <w:rPr>
          <w:color w:val="242121"/>
          <w:sz w:val="26"/>
          <w:szCs w:val="26"/>
          <w:shd w:val="clear" w:color="auto" w:fill="FFFFFF"/>
        </w:rPr>
        <w:t xml:space="preserve"> appeal, but also the delay in seeking condonation. An appellant should, whenever </w:t>
      </w:r>
      <w:r w:rsidR="00E763F5">
        <w:rPr>
          <w:color w:val="242121"/>
          <w:sz w:val="26"/>
          <w:szCs w:val="26"/>
          <w:shd w:val="clear" w:color="auto" w:fill="FFFFFF"/>
        </w:rPr>
        <w:t>(s)</w:t>
      </w:r>
      <w:r w:rsidR="0093776F" w:rsidRPr="0093776F">
        <w:rPr>
          <w:color w:val="242121"/>
          <w:sz w:val="26"/>
          <w:szCs w:val="26"/>
          <w:shd w:val="clear" w:color="auto" w:fill="FFFFFF"/>
        </w:rPr>
        <w:t xml:space="preserve">he realises that </w:t>
      </w:r>
      <w:r w:rsidR="00E763F5">
        <w:rPr>
          <w:color w:val="242121"/>
          <w:sz w:val="26"/>
          <w:szCs w:val="26"/>
          <w:shd w:val="clear" w:color="auto" w:fill="FFFFFF"/>
        </w:rPr>
        <w:t>(s)</w:t>
      </w:r>
      <w:r w:rsidR="0093776F" w:rsidRPr="0093776F">
        <w:rPr>
          <w:color w:val="242121"/>
          <w:sz w:val="26"/>
          <w:szCs w:val="26"/>
          <w:shd w:val="clear" w:color="auto" w:fill="FFFFFF"/>
        </w:rPr>
        <w:t>he has not complied with a rule of this court, apply for condonation without delay.</w:t>
      </w:r>
      <w:r w:rsidR="0093776F">
        <w:rPr>
          <w:rStyle w:val="FootnoteReference"/>
          <w:color w:val="242121"/>
          <w:sz w:val="26"/>
          <w:szCs w:val="26"/>
          <w:shd w:val="clear" w:color="auto" w:fill="FFFFFF"/>
        </w:rPr>
        <w:footnoteReference w:id="9"/>
      </w:r>
      <w:r>
        <w:rPr>
          <w:color w:val="242121"/>
          <w:sz w:val="26"/>
          <w:szCs w:val="26"/>
          <w:shd w:val="clear" w:color="auto" w:fill="FFFFFF"/>
        </w:rPr>
        <w:t xml:space="preserve"> The result</w:t>
      </w:r>
      <w:r w:rsidR="00E763F5">
        <w:rPr>
          <w:color w:val="242121"/>
          <w:sz w:val="26"/>
          <w:szCs w:val="26"/>
          <w:shd w:val="clear" w:color="auto" w:fill="FFFFFF"/>
        </w:rPr>
        <w:t>, when taking into account all the above,</w:t>
      </w:r>
      <w:r>
        <w:rPr>
          <w:color w:val="242121"/>
          <w:sz w:val="26"/>
          <w:szCs w:val="26"/>
          <w:shd w:val="clear" w:color="auto" w:fill="FFFFFF"/>
        </w:rPr>
        <w:t xml:space="preserve"> is that the explanation for </w:t>
      </w:r>
      <w:r w:rsidR="00184E15">
        <w:rPr>
          <w:color w:val="242121"/>
          <w:sz w:val="26"/>
          <w:szCs w:val="26"/>
          <w:shd w:val="clear" w:color="auto" w:fill="FFFFFF"/>
        </w:rPr>
        <w:t xml:space="preserve">the </w:t>
      </w:r>
      <w:r>
        <w:rPr>
          <w:color w:val="242121"/>
          <w:sz w:val="26"/>
          <w:szCs w:val="26"/>
          <w:shd w:val="clear" w:color="auto" w:fill="FFFFFF"/>
        </w:rPr>
        <w:t xml:space="preserve">delay is not satisfactory. </w:t>
      </w:r>
    </w:p>
    <w:p w:rsidR="00814A30" w:rsidRPr="0093776F" w:rsidRDefault="00814A30" w:rsidP="00814A30">
      <w:pPr>
        <w:pStyle w:val="ListParagraph"/>
        <w:spacing w:after="0" w:line="360" w:lineRule="auto"/>
        <w:ind w:left="0"/>
        <w:jc w:val="both"/>
        <w:rPr>
          <w:sz w:val="26"/>
          <w:szCs w:val="26"/>
          <w:lang w:val="en-US"/>
        </w:rPr>
      </w:pPr>
    </w:p>
    <w:p w:rsidR="00E763F5" w:rsidRPr="00BF4795" w:rsidRDefault="00814A30" w:rsidP="00BF4795">
      <w:pPr>
        <w:pStyle w:val="ListParagraph"/>
        <w:numPr>
          <w:ilvl w:val="0"/>
          <w:numId w:val="2"/>
        </w:numPr>
        <w:spacing w:after="0" w:line="360" w:lineRule="auto"/>
        <w:ind w:left="0" w:firstLine="0"/>
        <w:jc w:val="both"/>
        <w:rPr>
          <w:sz w:val="26"/>
          <w:szCs w:val="26"/>
        </w:rPr>
      </w:pPr>
      <w:r>
        <w:rPr>
          <w:sz w:val="26"/>
          <w:szCs w:val="26"/>
          <w:lang w:val="en-US"/>
        </w:rPr>
        <w:t>Next is</w:t>
      </w:r>
      <w:r w:rsidR="00D143CA">
        <w:rPr>
          <w:sz w:val="26"/>
          <w:szCs w:val="26"/>
          <w:lang w:val="en-US"/>
        </w:rPr>
        <w:t xml:space="preserve"> a consideration of the prospects of success</w:t>
      </w:r>
      <w:r w:rsidR="00364A4F">
        <w:rPr>
          <w:sz w:val="26"/>
          <w:szCs w:val="26"/>
          <w:lang w:val="en-US"/>
        </w:rPr>
        <w:t xml:space="preserve"> </w:t>
      </w:r>
      <w:r w:rsidR="007E09B6" w:rsidRPr="007E09B6">
        <w:rPr>
          <w:sz w:val="26"/>
          <w:szCs w:val="26"/>
          <w:lang w:val="en-US"/>
        </w:rPr>
        <w:t>of the</w:t>
      </w:r>
      <w:r w:rsidR="00364A4F">
        <w:rPr>
          <w:sz w:val="26"/>
          <w:szCs w:val="26"/>
          <w:lang w:val="en-US"/>
        </w:rPr>
        <w:t xml:space="preserve"> issues raised in the </w:t>
      </w:r>
      <w:r w:rsidR="007E09B6" w:rsidRPr="007E09B6">
        <w:rPr>
          <w:sz w:val="26"/>
          <w:szCs w:val="26"/>
          <w:lang w:val="en-US"/>
        </w:rPr>
        <w:t>notice of appeal</w:t>
      </w:r>
      <w:r w:rsidR="007E09B6">
        <w:rPr>
          <w:sz w:val="26"/>
          <w:szCs w:val="26"/>
          <w:lang w:val="en-US"/>
        </w:rPr>
        <w:t xml:space="preserve">. </w:t>
      </w:r>
      <w:r w:rsidR="00364A4F">
        <w:rPr>
          <w:sz w:val="26"/>
          <w:szCs w:val="26"/>
          <w:lang w:val="en-US"/>
        </w:rPr>
        <w:t>T</w:t>
      </w:r>
      <w:r w:rsidR="007E09B6" w:rsidRPr="007E09B6">
        <w:rPr>
          <w:sz w:val="26"/>
          <w:szCs w:val="26"/>
          <w:lang w:val="en-US"/>
        </w:rPr>
        <w:t>he appeal is directed at paragraphs 2</w:t>
      </w:r>
      <w:r w:rsidR="007E09B6">
        <w:rPr>
          <w:sz w:val="26"/>
          <w:szCs w:val="26"/>
          <w:lang w:val="en-US"/>
        </w:rPr>
        <w:t>,</w:t>
      </w:r>
      <w:r w:rsidR="002F10BA">
        <w:rPr>
          <w:sz w:val="26"/>
          <w:szCs w:val="26"/>
          <w:lang w:val="en-US"/>
        </w:rPr>
        <w:t xml:space="preserve"> </w:t>
      </w:r>
      <w:r w:rsidR="007E09B6" w:rsidRPr="007E09B6">
        <w:rPr>
          <w:sz w:val="26"/>
          <w:szCs w:val="26"/>
          <w:lang w:val="en-US"/>
        </w:rPr>
        <w:t>3 and</w:t>
      </w:r>
      <w:r w:rsidR="007E09B6">
        <w:rPr>
          <w:sz w:val="26"/>
          <w:szCs w:val="26"/>
          <w:lang w:val="en-US"/>
        </w:rPr>
        <w:t xml:space="preserve"> 4</w:t>
      </w:r>
      <w:r w:rsidR="007E09B6" w:rsidRPr="007E09B6">
        <w:rPr>
          <w:sz w:val="26"/>
          <w:szCs w:val="26"/>
          <w:lang w:val="en-US"/>
        </w:rPr>
        <w:t xml:space="preserve"> of the Tax Court </w:t>
      </w:r>
      <w:r w:rsidR="007E09B6">
        <w:rPr>
          <w:sz w:val="26"/>
          <w:szCs w:val="26"/>
          <w:lang w:val="en-US"/>
        </w:rPr>
        <w:t>O</w:t>
      </w:r>
      <w:r w:rsidR="007E09B6" w:rsidRPr="007E09B6">
        <w:rPr>
          <w:sz w:val="26"/>
          <w:szCs w:val="26"/>
          <w:lang w:val="en-US"/>
        </w:rPr>
        <w:t>rder</w:t>
      </w:r>
      <w:r w:rsidR="007E09B6">
        <w:rPr>
          <w:sz w:val="26"/>
          <w:szCs w:val="26"/>
          <w:lang w:val="en-US"/>
        </w:rPr>
        <w:t>.</w:t>
      </w:r>
      <w:r w:rsidR="007E09B6" w:rsidRPr="007E09B6">
        <w:rPr>
          <w:sz w:val="26"/>
          <w:szCs w:val="26"/>
          <w:lang w:val="en-US"/>
        </w:rPr>
        <w:t xml:space="preserve"> </w:t>
      </w:r>
      <w:r w:rsidR="007E09B6">
        <w:rPr>
          <w:sz w:val="26"/>
          <w:szCs w:val="26"/>
          <w:lang w:val="en-US"/>
        </w:rPr>
        <w:t>H</w:t>
      </w:r>
      <w:r w:rsidR="007E09B6" w:rsidRPr="007E09B6">
        <w:rPr>
          <w:sz w:val="26"/>
          <w:szCs w:val="26"/>
          <w:lang w:val="en-US"/>
        </w:rPr>
        <w:t>owever</w:t>
      </w:r>
      <w:r w:rsidR="007E09B6">
        <w:rPr>
          <w:sz w:val="26"/>
          <w:szCs w:val="26"/>
          <w:lang w:val="en-US"/>
        </w:rPr>
        <w:t>,</w:t>
      </w:r>
      <w:r w:rsidR="007E09B6" w:rsidRPr="007E09B6">
        <w:rPr>
          <w:sz w:val="26"/>
          <w:szCs w:val="26"/>
          <w:lang w:val="en-US"/>
        </w:rPr>
        <w:t xml:space="preserve"> </w:t>
      </w:r>
      <w:r w:rsidR="009C759D">
        <w:rPr>
          <w:sz w:val="26"/>
          <w:szCs w:val="26"/>
          <w:lang w:val="en-US"/>
        </w:rPr>
        <w:t xml:space="preserve">except for paragraph 4, </w:t>
      </w:r>
      <w:r w:rsidR="007E09B6" w:rsidRPr="007E09B6">
        <w:rPr>
          <w:sz w:val="26"/>
          <w:szCs w:val="26"/>
          <w:lang w:val="en-US"/>
        </w:rPr>
        <w:t>those orders are not appealable</w:t>
      </w:r>
      <w:r w:rsidR="007E09B6">
        <w:rPr>
          <w:sz w:val="26"/>
          <w:szCs w:val="26"/>
          <w:lang w:val="en-US"/>
        </w:rPr>
        <w:t>.</w:t>
      </w:r>
      <w:r w:rsidR="00D40434">
        <w:rPr>
          <w:sz w:val="26"/>
          <w:szCs w:val="26"/>
          <w:lang w:val="en-US"/>
        </w:rPr>
        <w:t xml:space="preserve"> </w:t>
      </w:r>
      <w:r w:rsidR="00336BEE" w:rsidRPr="00BF4795">
        <w:rPr>
          <w:sz w:val="26"/>
          <w:szCs w:val="26"/>
          <w:lang w:val="en-US"/>
        </w:rPr>
        <w:t xml:space="preserve">The orders granted in terms of paragraphs 2 and 3 are not final orders that may be granted by a Tax Court in terms of section 129 </w:t>
      </w:r>
      <w:r w:rsidR="00BF7A35" w:rsidRPr="00BF4795">
        <w:rPr>
          <w:sz w:val="26"/>
          <w:szCs w:val="26"/>
          <w:lang w:val="en-US"/>
        </w:rPr>
        <w:t xml:space="preserve">or 130 </w:t>
      </w:r>
      <w:r w:rsidR="00336BEE" w:rsidRPr="00BF4795">
        <w:rPr>
          <w:sz w:val="26"/>
          <w:szCs w:val="26"/>
          <w:lang w:val="en-US"/>
        </w:rPr>
        <w:t>of the TAA</w:t>
      </w:r>
      <w:r w:rsidR="00BF7A35" w:rsidRPr="00BF4795">
        <w:rPr>
          <w:sz w:val="26"/>
          <w:szCs w:val="26"/>
          <w:lang w:val="en-US"/>
        </w:rPr>
        <w:t xml:space="preserve">,  which a taxpayer would be entitled to appeal  in terms of section 133. </w:t>
      </w:r>
      <w:r w:rsidR="00336BEE" w:rsidRPr="00BF4795">
        <w:rPr>
          <w:sz w:val="26"/>
          <w:szCs w:val="26"/>
          <w:lang w:val="en-US"/>
        </w:rPr>
        <w:t xml:space="preserve"> </w:t>
      </w:r>
      <w:r w:rsidR="00155EE5" w:rsidRPr="00BF4795">
        <w:rPr>
          <w:sz w:val="26"/>
          <w:szCs w:val="26"/>
          <w:lang w:val="en-US"/>
        </w:rPr>
        <w:t xml:space="preserve">Instead, </w:t>
      </w:r>
      <w:r w:rsidR="009C759D" w:rsidRPr="00BF4795">
        <w:rPr>
          <w:sz w:val="26"/>
          <w:szCs w:val="26"/>
          <w:lang w:val="en-US"/>
        </w:rPr>
        <w:t xml:space="preserve">because Ms Poulter failed to appear on 9 November 2020, </w:t>
      </w:r>
      <w:r w:rsidR="00155EE5" w:rsidRPr="00BF4795">
        <w:rPr>
          <w:sz w:val="26"/>
          <w:szCs w:val="26"/>
          <w:lang w:val="en-US"/>
        </w:rPr>
        <w:t xml:space="preserve">the Tax Court </w:t>
      </w:r>
      <w:r w:rsidR="00336BEE" w:rsidRPr="00BF4795">
        <w:rPr>
          <w:sz w:val="26"/>
          <w:szCs w:val="26"/>
          <w:lang w:val="en-US"/>
        </w:rPr>
        <w:t>g</w:t>
      </w:r>
      <w:r w:rsidR="00155EE5" w:rsidRPr="00BF4795">
        <w:rPr>
          <w:sz w:val="26"/>
          <w:szCs w:val="26"/>
          <w:lang w:val="en-US"/>
        </w:rPr>
        <w:t xml:space="preserve">ranted </w:t>
      </w:r>
      <w:r w:rsidR="00084AA7" w:rsidRPr="00BF4795">
        <w:rPr>
          <w:sz w:val="26"/>
          <w:szCs w:val="26"/>
          <w:lang w:val="en-US"/>
        </w:rPr>
        <w:t>a</w:t>
      </w:r>
      <w:r w:rsidR="00084AA7">
        <w:rPr>
          <w:sz w:val="26"/>
          <w:szCs w:val="26"/>
          <w:lang w:val="en-US"/>
        </w:rPr>
        <w:t>n order in the form of a</w:t>
      </w:r>
      <w:r w:rsidR="00084AA7" w:rsidRPr="00BF4795">
        <w:rPr>
          <w:sz w:val="26"/>
          <w:szCs w:val="26"/>
          <w:lang w:val="en-US"/>
        </w:rPr>
        <w:t xml:space="preserve"> rule </w:t>
      </w:r>
      <w:r w:rsidR="00084AA7" w:rsidRPr="00BF4795">
        <w:rPr>
          <w:i/>
          <w:iCs/>
          <w:sz w:val="26"/>
          <w:szCs w:val="26"/>
          <w:lang w:val="en-US"/>
        </w:rPr>
        <w:t>nisi</w:t>
      </w:r>
      <w:r w:rsidR="00084AA7" w:rsidRPr="00BF4795">
        <w:rPr>
          <w:sz w:val="26"/>
          <w:szCs w:val="26"/>
          <w:lang w:val="en-US"/>
        </w:rPr>
        <w:t>, calling upon the parties to show cause why the order should not be confirmed.</w:t>
      </w:r>
      <w:r w:rsidR="00084AA7">
        <w:rPr>
          <w:sz w:val="26"/>
          <w:szCs w:val="26"/>
          <w:lang w:val="en-US"/>
        </w:rPr>
        <w:t xml:space="preserve"> This was done in accordance with the powers of the Tax Court to regulate its own proceedings.</w:t>
      </w:r>
    </w:p>
    <w:p w:rsidR="00E763F5" w:rsidRPr="00E763F5" w:rsidRDefault="00E763F5" w:rsidP="00E763F5">
      <w:pPr>
        <w:pStyle w:val="ListParagraph"/>
        <w:rPr>
          <w:sz w:val="26"/>
          <w:szCs w:val="26"/>
          <w:lang w:val="en-US"/>
        </w:rPr>
      </w:pPr>
    </w:p>
    <w:p w:rsidR="00CC5B19" w:rsidRPr="006B2465" w:rsidRDefault="009C759D" w:rsidP="00C94F41">
      <w:pPr>
        <w:pStyle w:val="ListParagraph"/>
        <w:numPr>
          <w:ilvl w:val="0"/>
          <w:numId w:val="2"/>
        </w:numPr>
        <w:spacing w:after="0" w:line="360" w:lineRule="auto"/>
        <w:ind w:left="0" w:firstLine="0"/>
        <w:jc w:val="both"/>
        <w:rPr>
          <w:sz w:val="26"/>
          <w:szCs w:val="26"/>
          <w:lang w:val="en-US"/>
        </w:rPr>
      </w:pPr>
      <w:r w:rsidRPr="006B2465">
        <w:rPr>
          <w:sz w:val="26"/>
          <w:szCs w:val="26"/>
          <w:lang w:val="en-US"/>
        </w:rPr>
        <w:t>The</w:t>
      </w:r>
      <w:r w:rsidR="00D40434" w:rsidRPr="006B2465">
        <w:rPr>
          <w:sz w:val="26"/>
          <w:szCs w:val="26"/>
          <w:lang w:val="en-US"/>
        </w:rPr>
        <w:t xml:space="preserve"> result</w:t>
      </w:r>
      <w:r w:rsidRPr="006B2465">
        <w:rPr>
          <w:sz w:val="26"/>
          <w:szCs w:val="26"/>
          <w:lang w:val="en-US"/>
        </w:rPr>
        <w:t xml:space="preserve"> </w:t>
      </w:r>
      <w:r w:rsidR="00084AA7" w:rsidRPr="006B2465">
        <w:rPr>
          <w:sz w:val="26"/>
          <w:szCs w:val="26"/>
          <w:lang w:val="en-US"/>
        </w:rPr>
        <w:t xml:space="preserve">of the rule </w:t>
      </w:r>
      <w:r w:rsidR="00084AA7" w:rsidRPr="006B2465">
        <w:rPr>
          <w:i/>
          <w:iCs/>
          <w:sz w:val="26"/>
          <w:szCs w:val="26"/>
          <w:lang w:val="en-US"/>
        </w:rPr>
        <w:t>nisi</w:t>
      </w:r>
      <w:r w:rsidR="00084AA7" w:rsidRPr="006B2465">
        <w:rPr>
          <w:sz w:val="26"/>
          <w:szCs w:val="26"/>
          <w:lang w:val="en-US"/>
        </w:rPr>
        <w:t xml:space="preserve"> </w:t>
      </w:r>
      <w:r w:rsidR="00BF4795" w:rsidRPr="006B2465">
        <w:rPr>
          <w:sz w:val="26"/>
          <w:szCs w:val="26"/>
          <w:lang w:val="en-US"/>
        </w:rPr>
        <w:t xml:space="preserve">is that, in terms </w:t>
      </w:r>
      <w:r w:rsidRPr="006B2465">
        <w:rPr>
          <w:sz w:val="26"/>
          <w:szCs w:val="26"/>
          <w:lang w:val="en-US"/>
        </w:rPr>
        <w:t xml:space="preserve">of </w:t>
      </w:r>
      <w:r w:rsidR="00D40434" w:rsidRPr="006B2465">
        <w:rPr>
          <w:sz w:val="26"/>
          <w:szCs w:val="26"/>
          <w:lang w:val="en-US"/>
        </w:rPr>
        <w:t>paragraph</w:t>
      </w:r>
      <w:r w:rsidR="00BF4795" w:rsidRPr="006B2465">
        <w:rPr>
          <w:sz w:val="26"/>
          <w:szCs w:val="26"/>
          <w:lang w:val="en-US"/>
        </w:rPr>
        <w:t>s</w:t>
      </w:r>
      <w:r w:rsidR="00D40434" w:rsidRPr="006B2465">
        <w:rPr>
          <w:sz w:val="26"/>
          <w:szCs w:val="26"/>
          <w:lang w:val="en-US"/>
        </w:rPr>
        <w:t xml:space="preserve"> 2</w:t>
      </w:r>
      <w:r w:rsidR="00BF4795" w:rsidRPr="006B2465">
        <w:rPr>
          <w:sz w:val="26"/>
          <w:szCs w:val="26"/>
          <w:lang w:val="en-US"/>
        </w:rPr>
        <w:t xml:space="preserve"> and 3,</w:t>
      </w:r>
      <w:r w:rsidR="00D40434" w:rsidRPr="006B2465">
        <w:rPr>
          <w:sz w:val="26"/>
          <w:szCs w:val="26"/>
          <w:lang w:val="en-US"/>
        </w:rPr>
        <w:t xml:space="preserve"> </w:t>
      </w:r>
      <w:r w:rsidR="00735F99" w:rsidRPr="006B2465">
        <w:rPr>
          <w:sz w:val="26"/>
          <w:szCs w:val="26"/>
          <w:lang w:val="en-US"/>
        </w:rPr>
        <w:t>Ms Poulter</w:t>
      </w:r>
      <w:r w:rsidR="00D40434" w:rsidRPr="006B2465">
        <w:rPr>
          <w:sz w:val="26"/>
          <w:szCs w:val="26"/>
          <w:lang w:val="en-US"/>
        </w:rPr>
        <w:t xml:space="preserve"> </w:t>
      </w:r>
      <w:r w:rsidR="00FC6361" w:rsidRPr="006B2465">
        <w:rPr>
          <w:sz w:val="26"/>
          <w:szCs w:val="26"/>
          <w:lang w:val="en-US"/>
        </w:rPr>
        <w:t>i</w:t>
      </w:r>
      <w:r w:rsidR="00D40434" w:rsidRPr="006B2465">
        <w:rPr>
          <w:sz w:val="26"/>
          <w:szCs w:val="26"/>
          <w:lang w:val="en-US"/>
        </w:rPr>
        <w:t>s invited to appear on her own behalf or represented by a representative with right of appearance on the return day.</w:t>
      </w:r>
      <w:r w:rsidR="00336BEE" w:rsidRPr="006B2465">
        <w:rPr>
          <w:sz w:val="26"/>
          <w:szCs w:val="26"/>
          <w:lang w:val="en-US"/>
        </w:rPr>
        <w:t xml:space="preserve"> </w:t>
      </w:r>
      <w:r w:rsidRPr="006B2465">
        <w:rPr>
          <w:sz w:val="26"/>
          <w:szCs w:val="26"/>
          <w:lang w:val="en-US"/>
        </w:rPr>
        <w:t>As it turns out</w:t>
      </w:r>
      <w:r w:rsidR="006B2465">
        <w:rPr>
          <w:sz w:val="26"/>
          <w:szCs w:val="26"/>
          <w:lang w:val="en-US"/>
        </w:rPr>
        <w:t xml:space="preserve">, we were informed from the bar that the return date of the rule </w:t>
      </w:r>
      <w:r w:rsidR="006B2465" w:rsidRPr="00166AE0">
        <w:rPr>
          <w:i/>
          <w:sz w:val="26"/>
          <w:szCs w:val="26"/>
          <w:lang w:val="en-US"/>
        </w:rPr>
        <w:t>nisi</w:t>
      </w:r>
      <w:r w:rsidR="006B2465">
        <w:rPr>
          <w:sz w:val="26"/>
          <w:szCs w:val="26"/>
          <w:lang w:val="en-US"/>
        </w:rPr>
        <w:t xml:space="preserve"> in the Tax Court has been extended to a date in November 2022</w:t>
      </w:r>
      <w:r w:rsidR="00166AE0">
        <w:rPr>
          <w:sz w:val="26"/>
          <w:szCs w:val="26"/>
          <w:lang w:val="en-US"/>
        </w:rPr>
        <w:t>.</w:t>
      </w:r>
    </w:p>
    <w:p w:rsidR="00336BEE" w:rsidRPr="00DF4FBA" w:rsidRDefault="00BF4795" w:rsidP="000238BC">
      <w:pPr>
        <w:pStyle w:val="ListParagraph"/>
        <w:numPr>
          <w:ilvl w:val="0"/>
          <w:numId w:val="2"/>
        </w:numPr>
        <w:spacing w:after="0" w:line="360" w:lineRule="auto"/>
        <w:ind w:left="0" w:firstLine="0"/>
        <w:jc w:val="both"/>
        <w:rPr>
          <w:sz w:val="26"/>
          <w:szCs w:val="26"/>
        </w:rPr>
      </w:pPr>
      <w:r w:rsidRPr="00DF4FBA">
        <w:rPr>
          <w:sz w:val="26"/>
          <w:szCs w:val="26"/>
          <w:lang w:val="en-US"/>
        </w:rPr>
        <w:t>In any event, the appeal against</w:t>
      </w:r>
      <w:r w:rsidR="00521414" w:rsidRPr="00DF4FBA">
        <w:rPr>
          <w:sz w:val="26"/>
          <w:szCs w:val="26"/>
          <w:lang w:val="en-US"/>
        </w:rPr>
        <w:t xml:space="preserve"> paragraph 3</w:t>
      </w:r>
      <w:r w:rsidR="00C709C3" w:rsidRPr="00DF4FBA">
        <w:rPr>
          <w:sz w:val="26"/>
          <w:szCs w:val="26"/>
          <w:lang w:val="en-US"/>
        </w:rPr>
        <w:t xml:space="preserve"> of the </w:t>
      </w:r>
      <w:r w:rsidR="00735F99" w:rsidRPr="00DF4FBA">
        <w:rPr>
          <w:sz w:val="26"/>
          <w:szCs w:val="26"/>
          <w:lang w:val="en-US"/>
        </w:rPr>
        <w:t>O</w:t>
      </w:r>
      <w:r w:rsidR="00C709C3" w:rsidRPr="00DF4FBA">
        <w:rPr>
          <w:sz w:val="26"/>
          <w:szCs w:val="26"/>
          <w:lang w:val="en-US"/>
        </w:rPr>
        <w:t>rder</w:t>
      </w:r>
      <w:r w:rsidRPr="00DF4FBA">
        <w:rPr>
          <w:sz w:val="26"/>
          <w:szCs w:val="26"/>
          <w:lang w:val="en-US"/>
        </w:rPr>
        <w:t>,</w:t>
      </w:r>
      <w:r w:rsidR="00735F99" w:rsidRPr="00DF4FBA">
        <w:rPr>
          <w:sz w:val="26"/>
          <w:szCs w:val="26"/>
          <w:lang w:val="en-US"/>
        </w:rPr>
        <w:t xml:space="preserve"> </w:t>
      </w:r>
      <w:r w:rsidR="00521414" w:rsidRPr="00DF4FBA">
        <w:rPr>
          <w:sz w:val="26"/>
          <w:szCs w:val="26"/>
          <w:lang w:val="en-US"/>
        </w:rPr>
        <w:t xml:space="preserve">which prohibits Mr </w:t>
      </w:r>
      <w:r w:rsidR="00234120" w:rsidRPr="00DF4FBA">
        <w:rPr>
          <w:sz w:val="26"/>
          <w:szCs w:val="26"/>
          <w:lang w:val="en-US"/>
        </w:rPr>
        <w:t>van der Merwe</w:t>
      </w:r>
      <w:r w:rsidR="00521414" w:rsidRPr="00DF4FBA">
        <w:rPr>
          <w:sz w:val="26"/>
          <w:szCs w:val="26"/>
          <w:lang w:val="en-US"/>
        </w:rPr>
        <w:t xml:space="preserve"> from representing Ms Poulter in any further proceedings, has </w:t>
      </w:r>
      <w:r w:rsidR="00184E15" w:rsidRPr="00DF4FBA">
        <w:rPr>
          <w:sz w:val="26"/>
          <w:szCs w:val="26"/>
          <w:lang w:val="en-US"/>
        </w:rPr>
        <w:t>no</w:t>
      </w:r>
      <w:r w:rsidR="00521414" w:rsidRPr="00DF4FBA">
        <w:rPr>
          <w:sz w:val="26"/>
          <w:szCs w:val="26"/>
          <w:lang w:val="en-US"/>
        </w:rPr>
        <w:t xml:space="preserve"> prospects of success because </w:t>
      </w:r>
      <w:r w:rsidR="00735F99" w:rsidRPr="00DF4FBA">
        <w:rPr>
          <w:sz w:val="26"/>
          <w:szCs w:val="26"/>
          <w:lang w:val="en-US"/>
        </w:rPr>
        <w:t xml:space="preserve">of </w:t>
      </w:r>
      <w:r w:rsidR="00336BEE" w:rsidRPr="00DF4FBA">
        <w:rPr>
          <w:sz w:val="26"/>
          <w:szCs w:val="26"/>
          <w:lang w:val="en-US"/>
        </w:rPr>
        <w:t>the SCA judgment</w:t>
      </w:r>
      <w:r w:rsidR="00521414" w:rsidRPr="00DF4FBA">
        <w:rPr>
          <w:sz w:val="26"/>
          <w:szCs w:val="26"/>
          <w:lang w:val="en-US"/>
        </w:rPr>
        <w:t xml:space="preserve"> of </w:t>
      </w:r>
      <w:r w:rsidR="00521414" w:rsidRPr="00DF4FBA">
        <w:rPr>
          <w:i/>
          <w:iCs/>
          <w:color w:val="242121"/>
          <w:sz w:val="26"/>
          <w:szCs w:val="26"/>
          <w:lang w:val="en-US"/>
        </w:rPr>
        <w:t xml:space="preserve">Commissioner for the South African Revenue Service v </w:t>
      </w:r>
      <w:r w:rsidR="0075671F" w:rsidRPr="00DF4FBA">
        <w:rPr>
          <w:i/>
          <w:iCs/>
          <w:color w:val="242121"/>
          <w:sz w:val="26"/>
          <w:szCs w:val="26"/>
          <w:lang w:val="en-US"/>
        </w:rPr>
        <w:t>Candice</w:t>
      </w:r>
      <w:r w:rsidR="00521414" w:rsidRPr="00DF4FBA">
        <w:rPr>
          <w:i/>
          <w:iCs/>
          <w:color w:val="242121"/>
          <w:sz w:val="26"/>
          <w:szCs w:val="26"/>
          <w:lang w:val="en-US"/>
        </w:rPr>
        <w:t xml:space="preserve">-Jean </w:t>
      </w:r>
      <w:r w:rsidR="00234120" w:rsidRPr="00DF4FBA">
        <w:rPr>
          <w:i/>
          <w:iCs/>
          <w:color w:val="242121"/>
          <w:sz w:val="26"/>
          <w:szCs w:val="26"/>
          <w:lang w:val="en-US"/>
        </w:rPr>
        <w:t>van der Merwe</w:t>
      </w:r>
      <w:r w:rsidR="00336BEE" w:rsidRPr="00DF4FBA">
        <w:rPr>
          <w:sz w:val="26"/>
          <w:szCs w:val="26"/>
          <w:lang w:val="en-US"/>
        </w:rPr>
        <w:t xml:space="preserve"> </w:t>
      </w:r>
      <w:r w:rsidR="00521414" w:rsidRPr="00DF4FBA">
        <w:rPr>
          <w:sz w:val="26"/>
          <w:szCs w:val="26"/>
          <w:lang w:val="en-US"/>
        </w:rPr>
        <w:t>which disposes of the question raised on appeal</w:t>
      </w:r>
      <w:r w:rsidR="00156B9A" w:rsidRPr="00DF4FBA">
        <w:rPr>
          <w:sz w:val="26"/>
          <w:szCs w:val="26"/>
          <w:lang w:val="en-US"/>
        </w:rPr>
        <w:t>, as already discussed</w:t>
      </w:r>
      <w:r w:rsidR="00521414" w:rsidRPr="00DF4FBA">
        <w:rPr>
          <w:sz w:val="26"/>
          <w:szCs w:val="26"/>
          <w:lang w:val="en-US"/>
        </w:rPr>
        <w:t>.</w:t>
      </w:r>
      <w:r w:rsidR="00336BEE" w:rsidRPr="00DF4FBA">
        <w:rPr>
          <w:sz w:val="26"/>
          <w:szCs w:val="26"/>
          <w:lang w:val="en-US"/>
        </w:rPr>
        <w:t xml:space="preserve">  </w:t>
      </w:r>
    </w:p>
    <w:p w:rsidR="00DF4FBA" w:rsidRPr="00DF4FBA" w:rsidRDefault="00DF4FBA" w:rsidP="00DF4FBA">
      <w:pPr>
        <w:pStyle w:val="ListParagraph"/>
        <w:spacing w:after="0" w:line="360" w:lineRule="auto"/>
        <w:ind w:left="0"/>
        <w:jc w:val="both"/>
        <w:rPr>
          <w:sz w:val="26"/>
          <w:szCs w:val="26"/>
        </w:rPr>
      </w:pPr>
    </w:p>
    <w:p w:rsidR="00BD494D" w:rsidRPr="000B1D90" w:rsidRDefault="00084AA7" w:rsidP="000B1D90">
      <w:pPr>
        <w:pStyle w:val="ListParagraph"/>
        <w:numPr>
          <w:ilvl w:val="0"/>
          <w:numId w:val="2"/>
        </w:numPr>
        <w:spacing w:after="0" w:line="360" w:lineRule="auto"/>
        <w:ind w:left="0" w:firstLine="0"/>
        <w:jc w:val="both"/>
        <w:rPr>
          <w:sz w:val="26"/>
          <w:szCs w:val="26"/>
        </w:rPr>
      </w:pPr>
      <w:r>
        <w:rPr>
          <w:sz w:val="26"/>
          <w:szCs w:val="26"/>
          <w:lang w:val="en-US"/>
        </w:rPr>
        <w:t xml:space="preserve">That leaves </w:t>
      </w:r>
      <w:r w:rsidR="00BF4795" w:rsidRPr="00BF4795">
        <w:rPr>
          <w:sz w:val="26"/>
          <w:szCs w:val="26"/>
          <w:lang w:val="en-US"/>
        </w:rPr>
        <w:t>paragraph 4</w:t>
      </w:r>
      <w:r w:rsidR="00BF4795">
        <w:rPr>
          <w:sz w:val="26"/>
          <w:szCs w:val="26"/>
          <w:lang w:val="en-US"/>
        </w:rPr>
        <w:t xml:space="preserve"> </w:t>
      </w:r>
      <w:r>
        <w:rPr>
          <w:sz w:val="26"/>
          <w:szCs w:val="26"/>
          <w:lang w:val="en-US"/>
        </w:rPr>
        <w:t>a</w:t>
      </w:r>
      <w:r w:rsidR="00BF4795" w:rsidRPr="00BF4795">
        <w:rPr>
          <w:sz w:val="26"/>
          <w:szCs w:val="26"/>
          <w:lang w:val="en-US"/>
        </w:rPr>
        <w:t>s the only appealable aspect of the Order</w:t>
      </w:r>
      <w:r w:rsidR="00C41DE7">
        <w:rPr>
          <w:sz w:val="26"/>
          <w:szCs w:val="26"/>
          <w:lang w:val="en-US"/>
        </w:rPr>
        <w:t>, and it pertains only to costs.</w:t>
      </w:r>
      <w:r>
        <w:rPr>
          <w:sz w:val="26"/>
          <w:szCs w:val="26"/>
          <w:lang w:val="en-US"/>
        </w:rPr>
        <w:t xml:space="preserve"> </w:t>
      </w:r>
      <w:r w:rsidR="00C41DE7">
        <w:rPr>
          <w:sz w:val="26"/>
          <w:szCs w:val="26"/>
          <w:lang w:val="en-US"/>
        </w:rPr>
        <w:t>T</w:t>
      </w:r>
      <w:r w:rsidR="00BF4795" w:rsidRPr="00BF4795">
        <w:rPr>
          <w:sz w:val="26"/>
          <w:szCs w:val="26"/>
          <w:lang w:val="en-US"/>
        </w:rPr>
        <w:t xml:space="preserve">he question </w:t>
      </w:r>
      <w:r w:rsidR="00C41DE7">
        <w:rPr>
          <w:sz w:val="26"/>
          <w:szCs w:val="26"/>
          <w:lang w:val="en-US"/>
        </w:rPr>
        <w:t>arising</w:t>
      </w:r>
      <w:r w:rsidR="00BF4795" w:rsidRPr="00BF4795">
        <w:rPr>
          <w:sz w:val="26"/>
          <w:szCs w:val="26"/>
          <w:lang w:val="en-US"/>
        </w:rPr>
        <w:t xml:space="preserve"> is </w:t>
      </w:r>
      <w:r w:rsidR="00BF4795">
        <w:rPr>
          <w:sz w:val="26"/>
          <w:szCs w:val="26"/>
          <w:lang w:val="en-US"/>
        </w:rPr>
        <w:t xml:space="preserve">whether </w:t>
      </w:r>
      <w:r w:rsidR="00C41DE7">
        <w:rPr>
          <w:sz w:val="26"/>
          <w:szCs w:val="26"/>
          <w:lang w:val="en-US"/>
        </w:rPr>
        <w:t xml:space="preserve">there are </w:t>
      </w:r>
      <w:r w:rsidR="00BF4795">
        <w:rPr>
          <w:sz w:val="26"/>
          <w:szCs w:val="26"/>
          <w:lang w:val="en-US"/>
        </w:rPr>
        <w:t xml:space="preserve">sufficient exceptional circumstances for </w:t>
      </w:r>
      <w:r w:rsidR="00C41DE7">
        <w:rPr>
          <w:sz w:val="26"/>
          <w:szCs w:val="26"/>
          <w:lang w:val="en-US"/>
        </w:rPr>
        <w:t>a</w:t>
      </w:r>
      <w:r w:rsidR="00BF4795">
        <w:rPr>
          <w:sz w:val="26"/>
          <w:szCs w:val="26"/>
          <w:lang w:val="en-US"/>
        </w:rPr>
        <w:t xml:space="preserve"> court to entertain the appeal. This is the issue that was raised with </w:t>
      </w:r>
      <w:r w:rsidR="00184E15">
        <w:rPr>
          <w:sz w:val="26"/>
          <w:szCs w:val="26"/>
          <w:lang w:val="en-US"/>
        </w:rPr>
        <w:t xml:space="preserve">the </w:t>
      </w:r>
      <w:r w:rsidR="00BF4795">
        <w:rPr>
          <w:sz w:val="26"/>
          <w:szCs w:val="26"/>
          <w:lang w:val="en-US"/>
        </w:rPr>
        <w:t xml:space="preserve">parties in the </w:t>
      </w:r>
      <w:r w:rsidR="00C41DE7">
        <w:rPr>
          <w:sz w:val="26"/>
          <w:szCs w:val="26"/>
          <w:lang w:val="en-US"/>
        </w:rPr>
        <w:t>D</w:t>
      </w:r>
      <w:r w:rsidR="00BF4795">
        <w:rPr>
          <w:sz w:val="26"/>
          <w:szCs w:val="26"/>
          <w:lang w:val="en-US"/>
        </w:rPr>
        <w:t>irective.</w:t>
      </w:r>
      <w:r w:rsidR="000B1D90">
        <w:rPr>
          <w:sz w:val="26"/>
          <w:szCs w:val="26"/>
        </w:rPr>
        <w:t xml:space="preserve"> </w:t>
      </w:r>
      <w:r w:rsidR="00BD494D" w:rsidRPr="000B1D90">
        <w:rPr>
          <w:sz w:val="26"/>
          <w:szCs w:val="26"/>
          <w:lang w:val="en-US"/>
        </w:rPr>
        <w:t>Ms Southwood</w:t>
      </w:r>
      <w:r w:rsidR="00C41DE7" w:rsidRPr="000B1D90">
        <w:rPr>
          <w:sz w:val="26"/>
          <w:szCs w:val="26"/>
          <w:lang w:val="en-US"/>
        </w:rPr>
        <w:t xml:space="preserve"> SC</w:t>
      </w:r>
      <w:r w:rsidR="00BD494D" w:rsidRPr="000B1D90">
        <w:rPr>
          <w:sz w:val="26"/>
          <w:szCs w:val="26"/>
          <w:lang w:val="en-US"/>
        </w:rPr>
        <w:t xml:space="preserve">, representing the CSARS argued that even if the costs order is the only aspect of the Tax Court Order that has final effect, this Court must nonetheless determine the matter because section 133 of the TAA grants a right to appeal in respect of a costs order. In other words, once this Court is seized </w:t>
      </w:r>
      <w:r w:rsidR="000E23E5">
        <w:rPr>
          <w:sz w:val="26"/>
          <w:szCs w:val="26"/>
          <w:lang w:val="en-US"/>
        </w:rPr>
        <w:t>of</w:t>
      </w:r>
      <w:r w:rsidR="000E23E5" w:rsidRPr="000B1D90">
        <w:rPr>
          <w:sz w:val="26"/>
          <w:szCs w:val="26"/>
          <w:lang w:val="en-US"/>
        </w:rPr>
        <w:t xml:space="preserve"> </w:t>
      </w:r>
      <w:r w:rsidR="00BD494D" w:rsidRPr="000B1D90">
        <w:rPr>
          <w:sz w:val="26"/>
          <w:szCs w:val="26"/>
          <w:lang w:val="en-US"/>
        </w:rPr>
        <w:t xml:space="preserve">such an appeal, it must determine it.  </w:t>
      </w:r>
    </w:p>
    <w:p w:rsidR="00BD494D" w:rsidRPr="008765B6" w:rsidRDefault="00BD494D" w:rsidP="00BD494D">
      <w:pPr>
        <w:pStyle w:val="ListParagraph"/>
        <w:rPr>
          <w:sz w:val="26"/>
          <w:szCs w:val="26"/>
          <w:lang w:val="en-US"/>
        </w:rPr>
      </w:pPr>
    </w:p>
    <w:p w:rsidR="00BD494D" w:rsidRPr="008765B6" w:rsidRDefault="00BD494D" w:rsidP="00BD494D">
      <w:pPr>
        <w:pStyle w:val="ListParagraph"/>
        <w:numPr>
          <w:ilvl w:val="0"/>
          <w:numId w:val="2"/>
        </w:numPr>
        <w:spacing w:after="0" w:line="360" w:lineRule="auto"/>
        <w:ind w:left="0" w:firstLine="0"/>
        <w:jc w:val="both"/>
        <w:rPr>
          <w:sz w:val="26"/>
          <w:szCs w:val="26"/>
        </w:rPr>
      </w:pPr>
      <w:r w:rsidRPr="00D014D4">
        <w:rPr>
          <w:sz w:val="26"/>
          <w:szCs w:val="26"/>
          <w:lang w:val="en-US"/>
        </w:rPr>
        <w:t>The relevant part of section 133 of the TAA provides:</w:t>
      </w:r>
    </w:p>
    <w:p w:rsidR="00BD494D" w:rsidRPr="00FC6361" w:rsidRDefault="00BD494D" w:rsidP="00BD494D">
      <w:pPr>
        <w:shd w:val="clear" w:color="auto" w:fill="FFFFFF"/>
        <w:spacing w:before="144" w:after="288"/>
        <w:ind w:left="1440" w:hanging="720"/>
        <w:rPr>
          <w:color w:val="242121"/>
          <w:sz w:val="22"/>
          <w:szCs w:val="22"/>
        </w:rPr>
      </w:pPr>
      <w:r w:rsidRPr="00FC6361">
        <w:rPr>
          <w:color w:val="242121"/>
          <w:sz w:val="22"/>
          <w:szCs w:val="22"/>
        </w:rPr>
        <w:t xml:space="preserve">“(1) </w:t>
      </w:r>
      <w:r w:rsidRPr="00FC6361">
        <w:rPr>
          <w:color w:val="242121"/>
          <w:sz w:val="22"/>
          <w:szCs w:val="22"/>
        </w:rPr>
        <w:tab/>
        <w:t>The taxpayer or SARS may in the manner provided for in this Act appeal against a decision of the tax court under sections 129 and 130.</w:t>
      </w:r>
    </w:p>
    <w:p w:rsidR="00BD494D" w:rsidRPr="00FC6361" w:rsidRDefault="00BD494D" w:rsidP="00BD494D">
      <w:pPr>
        <w:shd w:val="clear" w:color="auto" w:fill="FFFFFF"/>
        <w:spacing w:before="144" w:after="288"/>
        <w:ind w:firstLine="720"/>
        <w:rPr>
          <w:color w:val="242121"/>
          <w:sz w:val="22"/>
          <w:szCs w:val="22"/>
        </w:rPr>
      </w:pPr>
      <w:r>
        <w:rPr>
          <w:color w:val="242121"/>
          <w:sz w:val="22"/>
          <w:szCs w:val="22"/>
        </w:rPr>
        <w:t xml:space="preserve">  </w:t>
      </w:r>
      <w:r w:rsidRPr="00FC6361">
        <w:rPr>
          <w:color w:val="242121"/>
          <w:sz w:val="22"/>
          <w:szCs w:val="22"/>
        </w:rPr>
        <w:t xml:space="preserve">(2) </w:t>
      </w:r>
      <w:r w:rsidRPr="00FC6361">
        <w:rPr>
          <w:color w:val="242121"/>
          <w:sz w:val="22"/>
          <w:szCs w:val="22"/>
        </w:rPr>
        <w:tab/>
        <w:t>An appeal against a decision of the tax court lies—</w:t>
      </w:r>
    </w:p>
    <w:p w:rsidR="00BD494D" w:rsidRPr="00FC6361" w:rsidRDefault="00BD494D" w:rsidP="00BD494D">
      <w:pPr>
        <w:shd w:val="clear" w:color="auto" w:fill="FFFFFF"/>
        <w:spacing w:before="144" w:after="288"/>
        <w:ind w:left="2160" w:hanging="720"/>
        <w:rPr>
          <w:color w:val="242121"/>
          <w:sz w:val="22"/>
          <w:szCs w:val="22"/>
        </w:rPr>
      </w:pPr>
      <w:r w:rsidRPr="00FC6361">
        <w:rPr>
          <w:color w:val="242121"/>
          <w:sz w:val="22"/>
          <w:szCs w:val="22"/>
        </w:rPr>
        <w:t xml:space="preserve">(a) </w:t>
      </w:r>
      <w:r w:rsidRPr="00FC6361">
        <w:rPr>
          <w:color w:val="242121"/>
          <w:sz w:val="22"/>
          <w:szCs w:val="22"/>
        </w:rPr>
        <w:tab/>
        <w:t>to the full bench of the Provincial Division of the High Court which has jurisdiction in the area in which the tax court sitting is held;…”</w:t>
      </w:r>
    </w:p>
    <w:p w:rsidR="00BD494D" w:rsidRPr="00D014D4" w:rsidRDefault="00BD494D" w:rsidP="00BD494D">
      <w:pPr>
        <w:pStyle w:val="ListParagraph"/>
        <w:spacing w:after="0" w:line="360" w:lineRule="auto"/>
        <w:ind w:left="0"/>
        <w:jc w:val="both"/>
        <w:rPr>
          <w:color w:val="242121"/>
          <w:sz w:val="26"/>
          <w:szCs w:val="26"/>
        </w:rPr>
      </w:pPr>
    </w:p>
    <w:p w:rsidR="00BD494D" w:rsidRPr="00FC6361" w:rsidRDefault="00BD494D" w:rsidP="00BD494D">
      <w:pPr>
        <w:pStyle w:val="ListParagraph"/>
        <w:numPr>
          <w:ilvl w:val="0"/>
          <w:numId w:val="2"/>
        </w:numPr>
        <w:spacing w:after="0" w:line="360" w:lineRule="auto"/>
        <w:ind w:left="0" w:firstLine="0"/>
        <w:jc w:val="both"/>
        <w:rPr>
          <w:color w:val="242121"/>
          <w:sz w:val="26"/>
          <w:szCs w:val="26"/>
        </w:rPr>
      </w:pPr>
      <w:r w:rsidRPr="00FC6361">
        <w:rPr>
          <w:color w:val="242121"/>
          <w:sz w:val="26"/>
          <w:szCs w:val="26"/>
          <w:lang w:val="en-US"/>
        </w:rPr>
        <w:t xml:space="preserve">In </w:t>
      </w:r>
      <w:r w:rsidR="00417E15">
        <w:rPr>
          <w:color w:val="242121"/>
          <w:sz w:val="26"/>
          <w:szCs w:val="26"/>
          <w:lang w:val="en-US"/>
        </w:rPr>
        <w:t xml:space="preserve">my </w:t>
      </w:r>
      <w:r w:rsidRPr="00FC6361">
        <w:rPr>
          <w:color w:val="242121"/>
          <w:sz w:val="26"/>
          <w:szCs w:val="26"/>
          <w:lang w:val="en-US"/>
        </w:rPr>
        <w:t>view this provision does not place an obligation on the High Court to determine every appeal emanating from the Tax Court. It merely grants a litigant a right to appeal to this court. It remains the appeal court’s discretion to regulate its own processes and to exercise its appeal jurisdiction in terms of the provisions of the Superior Courts Act of 2013.</w:t>
      </w:r>
    </w:p>
    <w:p w:rsidR="00BD494D" w:rsidRPr="00FC6361" w:rsidRDefault="00BD494D" w:rsidP="00BD494D">
      <w:pPr>
        <w:pStyle w:val="ListParagraph"/>
        <w:spacing w:after="0" w:line="360" w:lineRule="auto"/>
        <w:ind w:left="0"/>
        <w:jc w:val="both"/>
        <w:rPr>
          <w:color w:val="242121"/>
          <w:sz w:val="26"/>
          <w:szCs w:val="26"/>
        </w:rPr>
      </w:pPr>
    </w:p>
    <w:p w:rsidR="00BD494D" w:rsidRPr="00FC6361" w:rsidRDefault="00BD494D" w:rsidP="00BD494D">
      <w:pPr>
        <w:pStyle w:val="ListParagraph"/>
        <w:numPr>
          <w:ilvl w:val="0"/>
          <w:numId w:val="2"/>
        </w:numPr>
        <w:spacing w:after="0" w:line="360" w:lineRule="auto"/>
        <w:ind w:left="0" w:firstLine="0"/>
        <w:jc w:val="both"/>
        <w:rPr>
          <w:color w:val="242121"/>
          <w:sz w:val="26"/>
          <w:szCs w:val="26"/>
        </w:rPr>
      </w:pPr>
      <w:r w:rsidRPr="00FC6361">
        <w:rPr>
          <w:color w:val="242121"/>
          <w:sz w:val="26"/>
          <w:szCs w:val="26"/>
        </w:rPr>
        <w:t xml:space="preserve">In terms of </w:t>
      </w:r>
      <w:r w:rsidRPr="00FC6361">
        <w:rPr>
          <w:color w:val="242121"/>
          <w:sz w:val="26"/>
          <w:szCs w:val="26"/>
          <w:shd w:val="clear" w:color="auto" w:fill="FFFFFF"/>
        </w:rPr>
        <w:t>section 16(2)(a)(ii) of the Superior Courts Act</w:t>
      </w:r>
      <w:r w:rsidRPr="00FC6361">
        <w:rPr>
          <w:rStyle w:val="FootnoteReference"/>
          <w:color w:val="242121"/>
          <w:sz w:val="26"/>
          <w:szCs w:val="26"/>
          <w:shd w:val="clear" w:color="auto" w:fill="FFFFFF"/>
        </w:rPr>
        <w:footnoteReference w:id="10"/>
      </w:r>
      <w:r w:rsidRPr="00FC6361">
        <w:rPr>
          <w:color w:val="242121"/>
          <w:sz w:val="26"/>
          <w:szCs w:val="26"/>
          <w:shd w:val="clear" w:color="auto" w:fill="FFFFFF"/>
        </w:rPr>
        <w:t xml:space="preserve">, save under exceptional circumstances, the question as to whether </w:t>
      </w:r>
      <w:r w:rsidR="00E47383">
        <w:rPr>
          <w:color w:val="242121"/>
          <w:sz w:val="26"/>
          <w:szCs w:val="26"/>
          <w:shd w:val="clear" w:color="auto" w:fill="FFFFFF"/>
        </w:rPr>
        <w:t>a</w:t>
      </w:r>
      <w:r w:rsidRPr="00FC6361">
        <w:rPr>
          <w:color w:val="242121"/>
          <w:sz w:val="26"/>
          <w:szCs w:val="26"/>
          <w:shd w:val="clear" w:color="auto" w:fill="FFFFFF"/>
        </w:rPr>
        <w:t xml:space="preserve"> decision would have any practical effect or result is to be determined without reference to any consideration as to costs. </w:t>
      </w:r>
      <w:r w:rsidR="000B1D90">
        <w:rPr>
          <w:color w:val="242121"/>
          <w:sz w:val="26"/>
          <w:szCs w:val="26"/>
          <w:shd w:val="clear" w:color="auto" w:fill="FFFFFF"/>
        </w:rPr>
        <w:t>T</w:t>
      </w:r>
      <w:r w:rsidRPr="00FC6361">
        <w:rPr>
          <w:color w:val="242121"/>
          <w:sz w:val="26"/>
          <w:szCs w:val="26"/>
          <w:shd w:val="clear" w:color="auto" w:fill="FFFFFF"/>
        </w:rPr>
        <w:t>he Constitutional Court</w:t>
      </w:r>
      <w:r w:rsidR="000B1D90" w:rsidRPr="000B1D90">
        <w:rPr>
          <w:rStyle w:val="FootnoteReference"/>
          <w:color w:val="242121"/>
          <w:sz w:val="26"/>
          <w:szCs w:val="26"/>
          <w:shd w:val="clear" w:color="auto" w:fill="FFFFFF"/>
        </w:rPr>
        <w:footnoteReference w:id="11"/>
      </w:r>
      <w:r w:rsidR="000B1D90" w:rsidRPr="00FC6361">
        <w:rPr>
          <w:color w:val="242121"/>
          <w:sz w:val="26"/>
          <w:szCs w:val="26"/>
          <w:shd w:val="clear" w:color="auto" w:fill="FFFFFF"/>
        </w:rPr>
        <w:t xml:space="preserve"> </w:t>
      </w:r>
      <w:r w:rsidR="000B1D90">
        <w:rPr>
          <w:color w:val="242121"/>
          <w:sz w:val="26"/>
          <w:szCs w:val="26"/>
          <w:shd w:val="clear" w:color="auto" w:fill="FFFFFF"/>
        </w:rPr>
        <w:t>has</w:t>
      </w:r>
      <w:r w:rsidRPr="00FC6361">
        <w:rPr>
          <w:color w:val="242121"/>
          <w:sz w:val="26"/>
          <w:szCs w:val="26"/>
          <w:shd w:val="clear" w:color="auto" w:fill="FFFFFF"/>
        </w:rPr>
        <w:t xml:space="preserve"> confirmed</w:t>
      </w:r>
      <w:r w:rsidRPr="00FC6361">
        <w:rPr>
          <w:i/>
          <w:iCs/>
          <w:color w:val="242121"/>
          <w:sz w:val="26"/>
          <w:szCs w:val="26"/>
          <w:shd w:val="clear" w:color="auto" w:fill="FFFFFF"/>
        </w:rPr>
        <w:t> </w:t>
      </w:r>
      <w:r w:rsidRPr="00FC6361">
        <w:rPr>
          <w:color w:val="242121"/>
          <w:sz w:val="26"/>
          <w:szCs w:val="26"/>
          <w:shd w:val="clear" w:color="auto" w:fill="FFFFFF"/>
        </w:rPr>
        <w:t>that few</w:t>
      </w:r>
      <w:r w:rsidR="000B1D90">
        <w:rPr>
          <w:color w:val="242121"/>
          <w:sz w:val="26"/>
          <w:szCs w:val="26"/>
          <w:shd w:val="clear" w:color="auto" w:fill="FFFFFF"/>
        </w:rPr>
        <w:t xml:space="preserve"> </w:t>
      </w:r>
      <w:r w:rsidRPr="00FC6361">
        <w:rPr>
          <w:color w:val="242121"/>
          <w:sz w:val="26"/>
          <w:szCs w:val="26"/>
          <w:shd w:val="clear" w:color="auto" w:fill="FFFFFF"/>
        </w:rPr>
        <w:t>appellate courts countenance appeals on costs alone and that the practical impact of section 16(2)(a) of the Act is that appeals on costs alone are allowed very rarely indeed.</w:t>
      </w:r>
      <w:r w:rsidRPr="00FC6361">
        <w:rPr>
          <w:rStyle w:val="FootnoteReference"/>
          <w:color w:val="242121"/>
          <w:sz w:val="26"/>
          <w:szCs w:val="26"/>
          <w:shd w:val="clear" w:color="auto" w:fill="FFFFFF"/>
        </w:rPr>
        <w:footnoteReference w:id="12"/>
      </w:r>
    </w:p>
    <w:p w:rsidR="00BD494D" w:rsidRPr="00FC6361" w:rsidRDefault="00BD494D" w:rsidP="00BD494D">
      <w:pPr>
        <w:pStyle w:val="ListParagraph"/>
        <w:rPr>
          <w:color w:val="242121"/>
          <w:sz w:val="26"/>
          <w:szCs w:val="26"/>
        </w:rPr>
      </w:pPr>
    </w:p>
    <w:p w:rsidR="00BD494D" w:rsidRPr="00FC6361" w:rsidRDefault="00BD494D" w:rsidP="00BD494D">
      <w:pPr>
        <w:pStyle w:val="ListParagraph"/>
        <w:numPr>
          <w:ilvl w:val="0"/>
          <w:numId w:val="2"/>
        </w:numPr>
        <w:spacing w:after="0" w:line="360" w:lineRule="auto"/>
        <w:ind w:left="0" w:firstLine="0"/>
        <w:jc w:val="both"/>
        <w:rPr>
          <w:color w:val="242121"/>
          <w:sz w:val="26"/>
          <w:szCs w:val="26"/>
        </w:rPr>
      </w:pPr>
      <w:r w:rsidRPr="00FC6361">
        <w:rPr>
          <w:color w:val="242121"/>
          <w:sz w:val="26"/>
          <w:szCs w:val="26"/>
        </w:rPr>
        <w:t xml:space="preserve">Nevertheless, a court of appeal is not precluded </w:t>
      </w:r>
      <w:r w:rsidRPr="00FC6361">
        <w:rPr>
          <w:color w:val="242121"/>
          <w:sz w:val="26"/>
          <w:szCs w:val="26"/>
          <w:shd w:val="clear" w:color="auto" w:fill="FFFFFF"/>
        </w:rPr>
        <w:t>from considering an appeal directed only at costs. Rather, section 16(2)(a) grants the court of appeal a discretion to decide whether there are exceptional circumstances that warrant the hearing of such an appeal.</w:t>
      </w:r>
      <w:r w:rsidRPr="00FC6361">
        <w:rPr>
          <w:rStyle w:val="FootnoteReference"/>
          <w:color w:val="242121"/>
          <w:sz w:val="26"/>
          <w:szCs w:val="26"/>
          <w:shd w:val="clear" w:color="auto" w:fill="FFFFFF"/>
        </w:rPr>
        <w:footnoteReference w:id="13"/>
      </w:r>
      <w:r w:rsidRPr="00FC6361">
        <w:rPr>
          <w:color w:val="242121"/>
          <w:sz w:val="26"/>
          <w:szCs w:val="26"/>
          <w:shd w:val="clear" w:color="auto" w:fill="FFFFFF"/>
        </w:rPr>
        <w:t xml:space="preserve"> In the absence of exceptional circumstances, the appeal would not have reasonable prospects of success.</w:t>
      </w:r>
    </w:p>
    <w:p w:rsidR="00BD494D" w:rsidRPr="00FC6361" w:rsidRDefault="00BD494D" w:rsidP="00BD494D"/>
    <w:p w:rsidR="00EE3DA6" w:rsidRPr="00E47383" w:rsidRDefault="00BD494D" w:rsidP="00E47383">
      <w:pPr>
        <w:pStyle w:val="ListParagraph"/>
        <w:numPr>
          <w:ilvl w:val="0"/>
          <w:numId w:val="2"/>
        </w:numPr>
        <w:spacing w:after="0" w:line="360" w:lineRule="auto"/>
        <w:ind w:left="0" w:firstLine="0"/>
        <w:jc w:val="both"/>
        <w:rPr>
          <w:color w:val="242121"/>
          <w:sz w:val="26"/>
          <w:szCs w:val="26"/>
        </w:rPr>
      </w:pPr>
      <w:r w:rsidRPr="00FC6361">
        <w:rPr>
          <w:color w:val="242121"/>
          <w:sz w:val="26"/>
          <w:szCs w:val="26"/>
        </w:rPr>
        <w:t xml:space="preserve">In this matter it has not been shown that the Tax Court, in granting the costs order against Ms Poulter, did so in a manner that constituted </w:t>
      </w:r>
      <w:r w:rsidRPr="00FC6361">
        <w:rPr>
          <w:color w:val="242121"/>
          <w:sz w:val="26"/>
          <w:szCs w:val="26"/>
          <w:shd w:val="clear" w:color="auto" w:fill="FFFFFF"/>
        </w:rPr>
        <w:t>a misdirection or improper application of the law</w:t>
      </w:r>
      <w:r w:rsidRPr="00FC6361">
        <w:rPr>
          <w:rStyle w:val="FootnoteReference"/>
          <w:color w:val="242121"/>
          <w:sz w:val="26"/>
          <w:szCs w:val="26"/>
          <w:shd w:val="clear" w:color="auto" w:fill="FFFFFF"/>
        </w:rPr>
        <w:footnoteReference w:id="14"/>
      </w:r>
      <w:r w:rsidRPr="00FC6361">
        <w:rPr>
          <w:color w:val="242121"/>
          <w:sz w:val="26"/>
          <w:szCs w:val="26"/>
          <w:shd w:val="clear" w:color="auto" w:fill="FFFFFF"/>
        </w:rPr>
        <w:t>, which would constitute exceptional circumstances</w:t>
      </w:r>
      <w:r w:rsidRPr="00FC6361">
        <w:rPr>
          <w:rStyle w:val="FootnoteReference"/>
          <w:color w:val="242121"/>
          <w:sz w:val="26"/>
          <w:szCs w:val="26"/>
          <w:shd w:val="clear" w:color="auto" w:fill="FFFFFF"/>
        </w:rPr>
        <w:footnoteReference w:id="15"/>
      </w:r>
      <w:r w:rsidRPr="00FC6361">
        <w:rPr>
          <w:color w:val="242121"/>
          <w:sz w:val="26"/>
          <w:szCs w:val="26"/>
          <w:shd w:val="clear" w:color="auto" w:fill="FFFFFF"/>
        </w:rPr>
        <w:t>.</w:t>
      </w:r>
      <w:r w:rsidRPr="00FC6361">
        <w:rPr>
          <w:color w:val="242121"/>
          <w:sz w:val="26"/>
          <w:szCs w:val="26"/>
          <w:lang w:val="en-US"/>
        </w:rPr>
        <w:t xml:space="preserve"> </w:t>
      </w:r>
      <w:r w:rsidR="00735F99" w:rsidRPr="00E47383">
        <w:rPr>
          <w:sz w:val="26"/>
          <w:szCs w:val="26"/>
        </w:rPr>
        <w:t xml:space="preserve">The context </w:t>
      </w:r>
      <w:r w:rsidR="006725BC" w:rsidRPr="00E47383">
        <w:rPr>
          <w:sz w:val="26"/>
          <w:szCs w:val="26"/>
        </w:rPr>
        <w:t xml:space="preserve">for the costs order is that, after </w:t>
      </w:r>
      <w:r w:rsidR="00C70CD1" w:rsidRPr="00E47383">
        <w:rPr>
          <w:sz w:val="26"/>
          <w:szCs w:val="26"/>
        </w:rPr>
        <w:t xml:space="preserve">Ms Poulter </w:t>
      </w:r>
      <w:r w:rsidR="006725BC" w:rsidRPr="00E47383">
        <w:rPr>
          <w:sz w:val="26"/>
          <w:szCs w:val="26"/>
        </w:rPr>
        <w:t>t</w:t>
      </w:r>
      <w:r w:rsidR="00C70CD1" w:rsidRPr="00E47383">
        <w:rPr>
          <w:sz w:val="26"/>
          <w:szCs w:val="26"/>
        </w:rPr>
        <w:t>ook</w:t>
      </w:r>
      <w:r w:rsidR="006725BC" w:rsidRPr="00E47383">
        <w:rPr>
          <w:sz w:val="26"/>
          <w:szCs w:val="26"/>
        </w:rPr>
        <w:t xml:space="preserve"> an irregular step in the form of </w:t>
      </w:r>
      <w:r w:rsidR="00C70CD1" w:rsidRPr="00E47383">
        <w:rPr>
          <w:sz w:val="26"/>
          <w:szCs w:val="26"/>
        </w:rPr>
        <w:t xml:space="preserve">filing </w:t>
      </w:r>
      <w:r w:rsidR="006725BC" w:rsidRPr="00E47383">
        <w:rPr>
          <w:sz w:val="26"/>
          <w:szCs w:val="26"/>
        </w:rPr>
        <w:t>a second Statement in terms of Rule 32</w:t>
      </w:r>
      <w:r w:rsidR="00C70CD1" w:rsidRPr="00E47383">
        <w:rPr>
          <w:sz w:val="26"/>
          <w:szCs w:val="26"/>
        </w:rPr>
        <w:t xml:space="preserve">, the CSARS filed an application in terms of Uniform Rule 30 to set it aside. Ms Poulter filed a notice to oppose that application, although </w:t>
      </w:r>
      <w:r w:rsidR="00C70CD1" w:rsidRPr="00E47383">
        <w:rPr>
          <w:sz w:val="26"/>
          <w:szCs w:val="26"/>
          <w:lang w:val="en-US"/>
        </w:rPr>
        <w:t>no answering affidavit was delivered. The CSARS had the matter set down on 9 November 2020 in the Tax</w:t>
      </w:r>
      <w:r w:rsidR="00526A10" w:rsidRPr="00E47383">
        <w:rPr>
          <w:sz w:val="26"/>
          <w:szCs w:val="26"/>
          <w:lang w:val="en-US"/>
        </w:rPr>
        <w:t xml:space="preserve"> Court</w:t>
      </w:r>
      <w:r w:rsidR="00C70CD1" w:rsidRPr="00E47383">
        <w:rPr>
          <w:sz w:val="26"/>
          <w:szCs w:val="26"/>
          <w:lang w:val="en-US"/>
        </w:rPr>
        <w:t xml:space="preserve">, and served a copy of the </w:t>
      </w:r>
      <w:r w:rsidR="00184E15">
        <w:rPr>
          <w:sz w:val="26"/>
          <w:szCs w:val="26"/>
          <w:lang w:val="en-US"/>
        </w:rPr>
        <w:t xml:space="preserve">notice of </w:t>
      </w:r>
      <w:r w:rsidR="00C70CD1" w:rsidRPr="00E47383">
        <w:rPr>
          <w:sz w:val="26"/>
          <w:szCs w:val="26"/>
          <w:lang w:val="en-US"/>
        </w:rPr>
        <w:t>set down upon Ms Poulter.</w:t>
      </w:r>
      <w:r w:rsidR="00526A10" w:rsidRPr="00E47383">
        <w:rPr>
          <w:sz w:val="26"/>
          <w:szCs w:val="26"/>
          <w:lang w:val="en-US"/>
        </w:rPr>
        <w:t xml:space="preserve"> </w:t>
      </w:r>
      <w:r w:rsidR="00EE3DA6" w:rsidRPr="00E47383">
        <w:rPr>
          <w:sz w:val="26"/>
          <w:szCs w:val="26"/>
          <w:lang w:val="en-US"/>
        </w:rPr>
        <w:t>A</w:t>
      </w:r>
      <w:r w:rsidR="00526A10" w:rsidRPr="00E47383">
        <w:rPr>
          <w:sz w:val="26"/>
          <w:szCs w:val="26"/>
          <w:lang w:val="en-US"/>
        </w:rPr>
        <w:t xml:space="preserve"> week before the hearing,</w:t>
      </w:r>
      <w:r w:rsidR="00C70CD1" w:rsidRPr="00E47383">
        <w:rPr>
          <w:sz w:val="26"/>
          <w:szCs w:val="26"/>
          <w:lang w:val="en-US"/>
        </w:rPr>
        <w:t xml:space="preserve"> </w:t>
      </w:r>
      <w:r w:rsidR="00526A10" w:rsidRPr="00E47383">
        <w:rPr>
          <w:sz w:val="26"/>
          <w:szCs w:val="26"/>
          <w:lang w:val="en-US"/>
        </w:rPr>
        <w:t xml:space="preserve">Mr </w:t>
      </w:r>
      <w:r w:rsidR="00234120">
        <w:rPr>
          <w:sz w:val="26"/>
          <w:szCs w:val="26"/>
          <w:lang w:val="en-US"/>
        </w:rPr>
        <w:t>van der Merwe</w:t>
      </w:r>
      <w:r w:rsidR="00EE3DA6" w:rsidRPr="00E47383">
        <w:rPr>
          <w:sz w:val="26"/>
          <w:szCs w:val="26"/>
          <w:lang w:val="en-US"/>
        </w:rPr>
        <w:t>, who purported to act on behalf of Ms Poulter,</w:t>
      </w:r>
      <w:r w:rsidR="00C70CD1" w:rsidRPr="00E47383">
        <w:rPr>
          <w:sz w:val="26"/>
          <w:szCs w:val="26"/>
          <w:lang w:val="en-US"/>
        </w:rPr>
        <w:t xml:space="preserve"> </w:t>
      </w:r>
      <w:r w:rsidR="00E763F5" w:rsidRPr="00E47383">
        <w:rPr>
          <w:sz w:val="26"/>
          <w:szCs w:val="26"/>
          <w:lang w:val="en-US"/>
        </w:rPr>
        <w:t>sought</w:t>
      </w:r>
      <w:r w:rsidR="00526A10" w:rsidRPr="00E47383">
        <w:rPr>
          <w:sz w:val="26"/>
          <w:szCs w:val="26"/>
          <w:lang w:val="en-US"/>
        </w:rPr>
        <w:t xml:space="preserve"> agreement to postpone the matter on account of his ill-health</w:t>
      </w:r>
      <w:r w:rsidR="00EE3DA6" w:rsidRPr="00E47383">
        <w:rPr>
          <w:sz w:val="26"/>
          <w:szCs w:val="26"/>
          <w:lang w:val="en-US"/>
        </w:rPr>
        <w:t>, which was refused by the CSAR</w:t>
      </w:r>
      <w:r w:rsidR="00FC6361" w:rsidRPr="00E47383">
        <w:rPr>
          <w:sz w:val="26"/>
          <w:szCs w:val="26"/>
          <w:lang w:val="en-US"/>
        </w:rPr>
        <w:t>S</w:t>
      </w:r>
      <w:r w:rsidR="00526A10" w:rsidRPr="00E47383">
        <w:rPr>
          <w:sz w:val="26"/>
          <w:szCs w:val="26"/>
          <w:lang w:val="en-US"/>
        </w:rPr>
        <w:t xml:space="preserve">. </w:t>
      </w:r>
    </w:p>
    <w:p w:rsidR="00EE3DA6" w:rsidRPr="00EE3DA6" w:rsidRDefault="00EE3DA6" w:rsidP="00EE3DA6">
      <w:pPr>
        <w:pStyle w:val="ListParagraph"/>
        <w:rPr>
          <w:sz w:val="26"/>
          <w:szCs w:val="26"/>
          <w:lang w:val="en-US"/>
        </w:rPr>
      </w:pPr>
    </w:p>
    <w:p w:rsidR="00BD32A0" w:rsidRPr="009043C4" w:rsidRDefault="00EE3DA6" w:rsidP="00C11F45">
      <w:pPr>
        <w:pStyle w:val="ListParagraph"/>
        <w:numPr>
          <w:ilvl w:val="0"/>
          <w:numId w:val="2"/>
        </w:numPr>
        <w:spacing w:after="0" w:line="360" w:lineRule="auto"/>
        <w:ind w:left="0" w:firstLine="0"/>
        <w:jc w:val="both"/>
        <w:rPr>
          <w:rFonts w:ascii="Arial" w:hAnsi="Arial" w:cs="Arial"/>
          <w:color w:val="0E101A"/>
          <w:sz w:val="26"/>
          <w:szCs w:val="26"/>
          <w:shd w:val="clear" w:color="auto" w:fill="FFFFFF"/>
        </w:rPr>
      </w:pPr>
      <w:r w:rsidRPr="009043C4">
        <w:rPr>
          <w:sz w:val="26"/>
          <w:szCs w:val="26"/>
          <w:lang w:val="en-US"/>
        </w:rPr>
        <w:t xml:space="preserve">Given that no agreement </w:t>
      </w:r>
      <w:r w:rsidR="00184E15">
        <w:rPr>
          <w:sz w:val="26"/>
          <w:szCs w:val="26"/>
          <w:lang w:val="en-US"/>
        </w:rPr>
        <w:t>was</w:t>
      </w:r>
      <w:r w:rsidRPr="009043C4">
        <w:rPr>
          <w:sz w:val="26"/>
          <w:szCs w:val="26"/>
          <w:lang w:val="en-US"/>
        </w:rPr>
        <w:t xml:space="preserve"> reached regarding </w:t>
      </w:r>
      <w:r w:rsidR="00FC6361">
        <w:rPr>
          <w:sz w:val="26"/>
          <w:szCs w:val="26"/>
          <w:lang w:val="en-US"/>
        </w:rPr>
        <w:t xml:space="preserve">the </w:t>
      </w:r>
      <w:r w:rsidRPr="009043C4">
        <w:rPr>
          <w:sz w:val="26"/>
          <w:szCs w:val="26"/>
          <w:lang w:val="en-US"/>
        </w:rPr>
        <w:t xml:space="preserve">postponement, one would have expected Ms Poulter or </w:t>
      </w:r>
      <w:r w:rsidR="00E47383">
        <w:rPr>
          <w:sz w:val="26"/>
          <w:szCs w:val="26"/>
          <w:lang w:val="en-US"/>
        </w:rPr>
        <w:t>an authorised</w:t>
      </w:r>
      <w:r w:rsidRPr="009043C4">
        <w:rPr>
          <w:sz w:val="26"/>
          <w:szCs w:val="26"/>
          <w:lang w:val="en-US"/>
        </w:rPr>
        <w:t xml:space="preserve"> representative to appear at the Tax Court on 9 November 2020 to seek such postponement. This was not done. </w:t>
      </w:r>
      <w:r w:rsidR="00E47383">
        <w:rPr>
          <w:sz w:val="26"/>
          <w:szCs w:val="26"/>
          <w:lang w:val="en-US"/>
        </w:rPr>
        <w:t>The</w:t>
      </w:r>
      <w:r w:rsidR="00BB16A1">
        <w:rPr>
          <w:sz w:val="26"/>
          <w:szCs w:val="26"/>
          <w:lang w:val="en-US"/>
        </w:rPr>
        <w:t xml:space="preserve"> </w:t>
      </w:r>
      <w:r w:rsidRPr="009043C4">
        <w:rPr>
          <w:sz w:val="26"/>
          <w:szCs w:val="26"/>
          <w:lang w:val="en-US"/>
        </w:rPr>
        <w:t xml:space="preserve">result </w:t>
      </w:r>
      <w:r w:rsidR="00E47383">
        <w:rPr>
          <w:sz w:val="26"/>
          <w:szCs w:val="26"/>
          <w:lang w:val="en-US"/>
        </w:rPr>
        <w:t xml:space="preserve">was that </w:t>
      </w:r>
      <w:r w:rsidRPr="009043C4">
        <w:rPr>
          <w:sz w:val="26"/>
          <w:szCs w:val="26"/>
          <w:lang w:val="en-US"/>
        </w:rPr>
        <w:t>th</w:t>
      </w:r>
      <w:r w:rsidR="00BB16A1">
        <w:rPr>
          <w:sz w:val="26"/>
          <w:szCs w:val="26"/>
          <w:lang w:val="en-US"/>
        </w:rPr>
        <w:t>e</w:t>
      </w:r>
      <w:r w:rsidRPr="009043C4">
        <w:rPr>
          <w:sz w:val="26"/>
          <w:szCs w:val="26"/>
          <w:lang w:val="en-US"/>
        </w:rPr>
        <w:t xml:space="preserve"> CSARS was put to the expense of attending to </w:t>
      </w:r>
      <w:r w:rsidR="002C470F" w:rsidRPr="009043C4">
        <w:rPr>
          <w:sz w:val="26"/>
          <w:szCs w:val="26"/>
          <w:lang w:val="en-US"/>
        </w:rPr>
        <w:t>a</w:t>
      </w:r>
      <w:r w:rsidRPr="009043C4">
        <w:rPr>
          <w:sz w:val="26"/>
          <w:szCs w:val="26"/>
          <w:lang w:val="en-US"/>
        </w:rPr>
        <w:t xml:space="preserve"> matter which involve</w:t>
      </w:r>
      <w:r w:rsidR="00BB16A1">
        <w:rPr>
          <w:sz w:val="26"/>
          <w:szCs w:val="26"/>
          <w:lang w:val="en-US"/>
        </w:rPr>
        <w:t>d</w:t>
      </w:r>
      <w:r w:rsidRPr="009043C4">
        <w:rPr>
          <w:sz w:val="26"/>
          <w:szCs w:val="26"/>
          <w:lang w:val="en-US"/>
        </w:rPr>
        <w:t xml:space="preserve"> </w:t>
      </w:r>
      <w:r w:rsidR="002C470F" w:rsidRPr="009043C4">
        <w:rPr>
          <w:sz w:val="26"/>
          <w:szCs w:val="26"/>
          <w:lang w:val="en-US"/>
        </w:rPr>
        <w:t>the setting aside of an irregular step</w:t>
      </w:r>
      <w:r w:rsidR="00BB16A1">
        <w:rPr>
          <w:sz w:val="26"/>
          <w:szCs w:val="26"/>
          <w:lang w:val="en-US"/>
        </w:rPr>
        <w:t xml:space="preserve">, which Ms Poulter had opportunity to </w:t>
      </w:r>
      <w:r w:rsidR="006D1B99">
        <w:rPr>
          <w:sz w:val="26"/>
          <w:szCs w:val="26"/>
          <w:lang w:val="en-US"/>
        </w:rPr>
        <w:t xml:space="preserve">timeously </w:t>
      </w:r>
      <w:r w:rsidR="00BB16A1">
        <w:rPr>
          <w:sz w:val="26"/>
          <w:szCs w:val="26"/>
          <w:lang w:val="en-US"/>
        </w:rPr>
        <w:t>withdraw</w:t>
      </w:r>
      <w:r w:rsidR="002C470F" w:rsidRPr="009043C4">
        <w:rPr>
          <w:sz w:val="26"/>
          <w:szCs w:val="26"/>
          <w:lang w:val="en-US"/>
        </w:rPr>
        <w:t xml:space="preserve">. </w:t>
      </w:r>
      <w:r w:rsidR="004957B3" w:rsidRPr="009043C4">
        <w:rPr>
          <w:sz w:val="26"/>
          <w:szCs w:val="26"/>
          <w:lang w:val="en-US"/>
        </w:rPr>
        <w:t>In such circumstances the Tax Court was entitled to grant the costs order that it did</w:t>
      </w:r>
      <w:r w:rsidR="004957B3">
        <w:rPr>
          <w:sz w:val="26"/>
          <w:szCs w:val="26"/>
          <w:lang w:val="en-US"/>
        </w:rPr>
        <w:t>.</w:t>
      </w:r>
      <w:r w:rsidR="004957B3" w:rsidRPr="009043C4">
        <w:rPr>
          <w:sz w:val="26"/>
          <w:szCs w:val="26"/>
          <w:lang w:val="en-US"/>
        </w:rPr>
        <w:t xml:space="preserve"> </w:t>
      </w:r>
      <w:r w:rsidR="009043C4" w:rsidRPr="009043C4">
        <w:rPr>
          <w:sz w:val="26"/>
          <w:szCs w:val="26"/>
          <w:lang w:val="en-US"/>
        </w:rPr>
        <w:t>A</w:t>
      </w:r>
      <w:r w:rsidR="00BD32A0" w:rsidRPr="009043C4">
        <w:rPr>
          <w:sz w:val="26"/>
          <w:szCs w:val="26"/>
          <w:lang w:val="en-US"/>
        </w:rPr>
        <w:t xml:space="preserve"> </w:t>
      </w:r>
      <w:r w:rsidR="00BD32A0" w:rsidRPr="009043C4">
        <w:rPr>
          <w:color w:val="0E101A"/>
          <w:sz w:val="26"/>
          <w:szCs w:val="26"/>
          <w:shd w:val="clear" w:color="auto" w:fill="FFFFFF"/>
        </w:rPr>
        <w:t>punitive costs order may be granted</w:t>
      </w:r>
      <w:r w:rsidR="009043C4" w:rsidRPr="009043C4">
        <w:rPr>
          <w:color w:val="0E101A"/>
          <w:sz w:val="26"/>
          <w:szCs w:val="26"/>
          <w:shd w:val="clear" w:color="auto" w:fill="FFFFFF"/>
        </w:rPr>
        <w:t xml:space="preserve"> </w:t>
      </w:r>
      <w:r w:rsidR="00BD32A0" w:rsidRPr="009043C4">
        <w:rPr>
          <w:color w:val="0E101A"/>
          <w:sz w:val="26"/>
          <w:szCs w:val="26"/>
          <w:shd w:val="clear" w:color="auto" w:fill="FFFFFF"/>
        </w:rPr>
        <w:t xml:space="preserve">as a </w:t>
      </w:r>
      <w:r w:rsidR="00184E15">
        <w:rPr>
          <w:color w:val="0E101A"/>
          <w:sz w:val="26"/>
          <w:szCs w:val="26"/>
          <w:shd w:val="clear" w:color="auto" w:fill="FFFFFF"/>
        </w:rPr>
        <w:t>means</w:t>
      </w:r>
      <w:r w:rsidR="00BD32A0" w:rsidRPr="009043C4">
        <w:rPr>
          <w:color w:val="0E101A"/>
          <w:sz w:val="26"/>
          <w:szCs w:val="26"/>
          <w:shd w:val="clear" w:color="auto" w:fill="FFFFFF"/>
        </w:rPr>
        <w:t xml:space="preserve"> of showing displeasure against a litigant's objectionable conduct</w:t>
      </w:r>
      <w:r w:rsidR="009043C4" w:rsidRPr="009043C4">
        <w:rPr>
          <w:color w:val="0E101A"/>
          <w:sz w:val="26"/>
          <w:szCs w:val="26"/>
          <w:shd w:val="clear" w:color="auto" w:fill="FFFFFF"/>
        </w:rPr>
        <w:t xml:space="preserve">, as well to </w:t>
      </w:r>
      <w:r w:rsidR="00BD32A0" w:rsidRPr="009043C4">
        <w:rPr>
          <w:color w:val="000000"/>
          <w:sz w:val="26"/>
          <w:szCs w:val="26"/>
          <w:shd w:val="clear" w:color="auto" w:fill="FFFFFF"/>
        </w:rPr>
        <w:t>ensur</w:t>
      </w:r>
      <w:r w:rsidR="009043C4" w:rsidRPr="009043C4">
        <w:rPr>
          <w:color w:val="000000"/>
          <w:sz w:val="26"/>
          <w:szCs w:val="26"/>
          <w:shd w:val="clear" w:color="auto" w:fill="FFFFFF"/>
        </w:rPr>
        <w:t>e</w:t>
      </w:r>
      <w:r w:rsidR="00BD32A0" w:rsidRPr="009043C4">
        <w:rPr>
          <w:color w:val="000000"/>
          <w:sz w:val="26"/>
          <w:szCs w:val="26"/>
          <w:shd w:val="clear" w:color="auto" w:fill="FFFFFF"/>
        </w:rPr>
        <w:t xml:space="preserve"> that the successful party will not be out of pocket in respect of the expenses caused to him or her by the approach to litigation by the losing party.</w:t>
      </w:r>
      <w:r w:rsidR="00BD32A0" w:rsidRPr="009043C4">
        <w:rPr>
          <w:rStyle w:val="FootnoteReference"/>
          <w:color w:val="000000"/>
          <w:sz w:val="26"/>
          <w:szCs w:val="26"/>
          <w:shd w:val="clear" w:color="auto" w:fill="FFFFFF"/>
        </w:rPr>
        <w:footnoteReference w:id="16"/>
      </w:r>
      <w:r w:rsidR="004957B3">
        <w:rPr>
          <w:sz w:val="26"/>
          <w:szCs w:val="26"/>
          <w:lang w:val="en-US"/>
        </w:rPr>
        <w:t xml:space="preserve"> N</w:t>
      </w:r>
      <w:r w:rsidR="00E47383">
        <w:rPr>
          <w:sz w:val="26"/>
          <w:szCs w:val="26"/>
          <w:lang w:val="en-US"/>
        </w:rPr>
        <w:t xml:space="preserve">o basis has been established for this Court to interfere with that order.  </w:t>
      </w:r>
    </w:p>
    <w:p w:rsidR="00B94C11" w:rsidRPr="00FC6361" w:rsidRDefault="00B94C11" w:rsidP="00B94C11">
      <w:pPr>
        <w:rPr>
          <w:color w:val="242121"/>
          <w:sz w:val="26"/>
          <w:szCs w:val="26"/>
        </w:rPr>
      </w:pPr>
    </w:p>
    <w:p w:rsidR="009043C4" w:rsidRPr="005E39D6" w:rsidRDefault="009043C4" w:rsidP="00C11F45">
      <w:pPr>
        <w:pStyle w:val="ListParagraph"/>
        <w:numPr>
          <w:ilvl w:val="0"/>
          <w:numId w:val="2"/>
        </w:numPr>
        <w:spacing w:after="0" w:line="360" w:lineRule="auto"/>
        <w:ind w:left="0" w:firstLine="0"/>
        <w:jc w:val="both"/>
        <w:rPr>
          <w:color w:val="0E101A"/>
          <w:sz w:val="26"/>
          <w:szCs w:val="26"/>
          <w:shd w:val="clear" w:color="auto" w:fill="FFFFFF"/>
        </w:rPr>
      </w:pPr>
      <w:r w:rsidRPr="005E39D6">
        <w:rPr>
          <w:color w:val="0E101A"/>
          <w:sz w:val="26"/>
          <w:szCs w:val="26"/>
          <w:shd w:val="clear" w:color="auto" w:fill="FFFFFF"/>
        </w:rPr>
        <w:t xml:space="preserve">In the result, </w:t>
      </w:r>
      <w:r w:rsidR="00E47383">
        <w:rPr>
          <w:color w:val="0E101A"/>
          <w:sz w:val="26"/>
          <w:szCs w:val="26"/>
          <w:shd w:val="clear" w:color="auto" w:fill="FFFFFF"/>
        </w:rPr>
        <w:t xml:space="preserve">no exceptional circumstances have been shown for a court of appeal to entertain the appeal. In addition, as shown by the same discussion above, </w:t>
      </w:r>
      <w:r w:rsidRPr="005E39D6">
        <w:rPr>
          <w:color w:val="0E101A"/>
          <w:sz w:val="26"/>
          <w:szCs w:val="26"/>
          <w:shd w:val="clear" w:color="auto" w:fill="FFFFFF"/>
        </w:rPr>
        <w:t xml:space="preserve">the appeal bears </w:t>
      </w:r>
      <w:r w:rsidR="00184E15">
        <w:rPr>
          <w:color w:val="0E101A"/>
          <w:sz w:val="26"/>
          <w:szCs w:val="26"/>
          <w:shd w:val="clear" w:color="auto" w:fill="FFFFFF"/>
        </w:rPr>
        <w:t>no</w:t>
      </w:r>
      <w:r w:rsidRPr="005E39D6">
        <w:rPr>
          <w:color w:val="0E101A"/>
          <w:sz w:val="26"/>
          <w:szCs w:val="26"/>
          <w:shd w:val="clear" w:color="auto" w:fill="FFFFFF"/>
        </w:rPr>
        <w:t xml:space="preserve"> prospects of success. Taking all the above into account, the application for condonation stands to be dismissed. </w:t>
      </w:r>
    </w:p>
    <w:p w:rsidR="00844B17" w:rsidRDefault="00844B17" w:rsidP="00844B17">
      <w:pPr>
        <w:pStyle w:val="ListParagraph"/>
        <w:spacing w:after="0" w:line="360" w:lineRule="auto"/>
        <w:ind w:left="0"/>
        <w:jc w:val="both"/>
        <w:rPr>
          <w:b/>
          <w:bCs/>
          <w:i/>
          <w:iCs/>
          <w:color w:val="242121"/>
          <w:sz w:val="26"/>
          <w:szCs w:val="26"/>
        </w:rPr>
      </w:pPr>
    </w:p>
    <w:p w:rsidR="00735F99" w:rsidRPr="00DC4B84" w:rsidRDefault="00DC4B84" w:rsidP="00AF2868">
      <w:pPr>
        <w:pStyle w:val="ListParagraph"/>
        <w:spacing w:after="0" w:line="360" w:lineRule="auto"/>
        <w:ind w:left="0"/>
        <w:jc w:val="both"/>
        <w:rPr>
          <w:b/>
          <w:bCs/>
          <w:i/>
          <w:iCs/>
          <w:sz w:val="26"/>
          <w:szCs w:val="26"/>
        </w:rPr>
      </w:pPr>
      <w:r w:rsidRPr="00DC4B84">
        <w:rPr>
          <w:b/>
          <w:bCs/>
          <w:i/>
          <w:iCs/>
          <w:sz w:val="26"/>
          <w:szCs w:val="26"/>
        </w:rPr>
        <w:t>Application</w:t>
      </w:r>
      <w:r>
        <w:rPr>
          <w:b/>
          <w:bCs/>
          <w:i/>
          <w:iCs/>
          <w:sz w:val="26"/>
          <w:szCs w:val="26"/>
        </w:rPr>
        <w:t>s</w:t>
      </w:r>
      <w:r w:rsidRPr="00DC4B84">
        <w:rPr>
          <w:b/>
          <w:bCs/>
          <w:i/>
          <w:iCs/>
          <w:sz w:val="26"/>
          <w:szCs w:val="26"/>
        </w:rPr>
        <w:t xml:space="preserve"> to strike out</w:t>
      </w:r>
    </w:p>
    <w:p w:rsidR="00FE5AC2" w:rsidRPr="00377C85" w:rsidRDefault="00DE0EAF" w:rsidP="00C11F45">
      <w:pPr>
        <w:pStyle w:val="ListParagraph"/>
        <w:numPr>
          <w:ilvl w:val="0"/>
          <w:numId w:val="2"/>
        </w:numPr>
        <w:spacing w:after="0" w:line="360" w:lineRule="auto"/>
        <w:ind w:left="0" w:firstLine="0"/>
        <w:jc w:val="both"/>
        <w:rPr>
          <w:sz w:val="26"/>
          <w:szCs w:val="26"/>
        </w:rPr>
      </w:pPr>
      <w:r w:rsidRPr="00377C85">
        <w:rPr>
          <w:sz w:val="26"/>
          <w:szCs w:val="26"/>
        </w:rPr>
        <w:t xml:space="preserve">As already </w:t>
      </w:r>
      <w:r w:rsidR="007E42C5" w:rsidRPr="00377C85">
        <w:rPr>
          <w:sz w:val="26"/>
          <w:szCs w:val="26"/>
        </w:rPr>
        <w:t>mention</w:t>
      </w:r>
      <w:r w:rsidRPr="00377C85">
        <w:rPr>
          <w:sz w:val="26"/>
          <w:szCs w:val="26"/>
        </w:rPr>
        <w:t>ed, t</w:t>
      </w:r>
      <w:r w:rsidR="006756EB" w:rsidRPr="00377C85">
        <w:rPr>
          <w:sz w:val="26"/>
          <w:szCs w:val="26"/>
        </w:rPr>
        <w:t>he CSARS</w:t>
      </w:r>
      <w:r w:rsidR="006756EB" w:rsidRPr="00377C85">
        <w:rPr>
          <w:sz w:val="26"/>
          <w:szCs w:val="26"/>
          <w:lang w:val="en-US"/>
        </w:rPr>
        <w:t xml:space="preserve"> has brought application</w:t>
      </w:r>
      <w:r w:rsidR="005E39D6" w:rsidRPr="00377C85">
        <w:rPr>
          <w:sz w:val="26"/>
          <w:szCs w:val="26"/>
          <w:lang w:val="en-US"/>
        </w:rPr>
        <w:t>s</w:t>
      </w:r>
      <w:r w:rsidR="006756EB" w:rsidRPr="00377C85">
        <w:rPr>
          <w:sz w:val="26"/>
          <w:szCs w:val="26"/>
          <w:lang w:val="en-US"/>
        </w:rPr>
        <w:t xml:space="preserve"> to strike out certain matter from the </w:t>
      </w:r>
      <w:r w:rsidR="005E39D6" w:rsidRPr="00377C85">
        <w:rPr>
          <w:sz w:val="26"/>
          <w:szCs w:val="26"/>
          <w:lang w:val="en-US"/>
        </w:rPr>
        <w:t xml:space="preserve">intervention application and </w:t>
      </w:r>
      <w:r w:rsidR="00556824" w:rsidRPr="00377C85">
        <w:rPr>
          <w:sz w:val="26"/>
          <w:szCs w:val="26"/>
          <w:lang w:val="en-US"/>
        </w:rPr>
        <w:t xml:space="preserve">from </w:t>
      </w:r>
      <w:r w:rsidR="005E39D6" w:rsidRPr="00377C85">
        <w:rPr>
          <w:sz w:val="26"/>
          <w:szCs w:val="26"/>
          <w:lang w:val="en-US"/>
        </w:rPr>
        <w:t xml:space="preserve">the Rule 30 </w:t>
      </w:r>
      <w:r w:rsidR="006756EB" w:rsidRPr="00377C85">
        <w:rPr>
          <w:sz w:val="26"/>
          <w:szCs w:val="26"/>
          <w:lang w:val="en-US"/>
        </w:rPr>
        <w:t xml:space="preserve">answering affidavit </w:t>
      </w:r>
      <w:r w:rsidR="00476C8F" w:rsidRPr="00377C85">
        <w:rPr>
          <w:sz w:val="26"/>
          <w:szCs w:val="26"/>
          <w:lang w:val="en-US"/>
        </w:rPr>
        <w:t>as being vexatious</w:t>
      </w:r>
      <w:r w:rsidRPr="00377C85">
        <w:rPr>
          <w:sz w:val="26"/>
          <w:szCs w:val="26"/>
          <w:lang w:val="en-US"/>
        </w:rPr>
        <w:t>,</w:t>
      </w:r>
      <w:r w:rsidR="00476C8F" w:rsidRPr="00377C85">
        <w:rPr>
          <w:sz w:val="26"/>
          <w:szCs w:val="26"/>
          <w:lang w:val="en-US"/>
        </w:rPr>
        <w:t xml:space="preserve"> irrelevant</w:t>
      </w:r>
      <w:r w:rsidR="000806A1" w:rsidRPr="00377C85">
        <w:rPr>
          <w:sz w:val="26"/>
          <w:szCs w:val="26"/>
          <w:lang w:val="en-US"/>
        </w:rPr>
        <w:t xml:space="preserve">, </w:t>
      </w:r>
      <w:r w:rsidRPr="00377C85">
        <w:rPr>
          <w:sz w:val="26"/>
          <w:szCs w:val="26"/>
          <w:lang w:val="en-US"/>
        </w:rPr>
        <w:t>defamatory and insulting</w:t>
      </w:r>
      <w:r w:rsidR="006756EB" w:rsidRPr="00377C85">
        <w:rPr>
          <w:sz w:val="26"/>
          <w:szCs w:val="26"/>
          <w:lang w:val="en-US"/>
        </w:rPr>
        <w:t>.</w:t>
      </w:r>
      <w:r w:rsidR="004C5593" w:rsidRPr="00377C85">
        <w:rPr>
          <w:sz w:val="26"/>
          <w:szCs w:val="26"/>
          <w:lang w:val="en-US"/>
        </w:rPr>
        <w:t xml:space="preserve"> </w:t>
      </w:r>
      <w:r w:rsidR="005E39D6" w:rsidRPr="00377C85">
        <w:rPr>
          <w:sz w:val="26"/>
          <w:szCs w:val="26"/>
          <w:lang w:val="en-US"/>
        </w:rPr>
        <w:t>P</w:t>
      </w:r>
      <w:r w:rsidR="004C5593" w:rsidRPr="00377C85">
        <w:rPr>
          <w:sz w:val="26"/>
          <w:szCs w:val="26"/>
          <w:lang w:val="en-US"/>
        </w:rPr>
        <w:t>unitive costs order</w:t>
      </w:r>
      <w:r w:rsidR="005E39D6" w:rsidRPr="00377C85">
        <w:rPr>
          <w:sz w:val="26"/>
          <w:szCs w:val="26"/>
          <w:lang w:val="en-US"/>
        </w:rPr>
        <w:t>s</w:t>
      </w:r>
      <w:r w:rsidR="004C5593" w:rsidRPr="00377C85">
        <w:rPr>
          <w:sz w:val="26"/>
          <w:szCs w:val="26"/>
          <w:lang w:val="en-US"/>
        </w:rPr>
        <w:t xml:space="preserve"> </w:t>
      </w:r>
      <w:r w:rsidR="005E39D6" w:rsidRPr="00377C85">
        <w:rPr>
          <w:sz w:val="26"/>
          <w:szCs w:val="26"/>
          <w:lang w:val="en-US"/>
        </w:rPr>
        <w:t>are</w:t>
      </w:r>
      <w:r w:rsidR="004C5593" w:rsidRPr="00377C85">
        <w:rPr>
          <w:sz w:val="26"/>
          <w:szCs w:val="26"/>
          <w:lang w:val="en-US"/>
        </w:rPr>
        <w:t xml:space="preserve"> also sought </w:t>
      </w:r>
      <w:r w:rsidR="00C34C90">
        <w:rPr>
          <w:sz w:val="26"/>
          <w:szCs w:val="26"/>
          <w:lang w:val="en-US"/>
        </w:rPr>
        <w:t xml:space="preserve">against Ms Poulter </w:t>
      </w:r>
      <w:r w:rsidR="004C5593" w:rsidRPr="00377C85">
        <w:rPr>
          <w:sz w:val="26"/>
          <w:szCs w:val="26"/>
          <w:lang w:val="en-US"/>
        </w:rPr>
        <w:t>in re</w:t>
      </w:r>
      <w:r w:rsidR="005E39D6" w:rsidRPr="00377C85">
        <w:rPr>
          <w:sz w:val="26"/>
          <w:szCs w:val="26"/>
          <w:lang w:val="en-US"/>
        </w:rPr>
        <w:t xml:space="preserve">spect of each </w:t>
      </w:r>
      <w:r w:rsidR="004C5593" w:rsidRPr="00377C85">
        <w:rPr>
          <w:sz w:val="26"/>
          <w:szCs w:val="26"/>
          <w:lang w:val="en-US"/>
        </w:rPr>
        <w:t xml:space="preserve">striking out application. </w:t>
      </w:r>
      <w:r w:rsidR="00FE5AC2" w:rsidRPr="00377C85">
        <w:rPr>
          <w:sz w:val="26"/>
          <w:szCs w:val="26"/>
          <w:lang w:val="en-US"/>
        </w:rPr>
        <w:t>All of the matter that is the subject of the applications emanated from</w:t>
      </w:r>
      <w:r w:rsidR="00377C85" w:rsidRPr="00377C85">
        <w:rPr>
          <w:sz w:val="26"/>
          <w:szCs w:val="26"/>
          <w:lang w:val="en-US"/>
        </w:rPr>
        <w:t xml:space="preserve"> affidavits deposed </w:t>
      </w:r>
      <w:r w:rsidR="00184E15">
        <w:rPr>
          <w:sz w:val="26"/>
          <w:szCs w:val="26"/>
          <w:lang w:val="en-US"/>
        </w:rPr>
        <w:t xml:space="preserve">to </w:t>
      </w:r>
      <w:r w:rsidR="00377C85" w:rsidRPr="00377C85">
        <w:rPr>
          <w:sz w:val="26"/>
          <w:szCs w:val="26"/>
          <w:lang w:val="en-US"/>
        </w:rPr>
        <w:t>by</w:t>
      </w:r>
      <w:r w:rsidR="00FE5AC2" w:rsidRPr="00377C85">
        <w:rPr>
          <w:sz w:val="26"/>
          <w:szCs w:val="26"/>
          <w:lang w:val="en-US"/>
        </w:rPr>
        <w:t xml:space="preserve"> Mr </w:t>
      </w:r>
      <w:r w:rsidR="00234120">
        <w:rPr>
          <w:sz w:val="26"/>
          <w:szCs w:val="26"/>
          <w:lang w:val="en-US"/>
        </w:rPr>
        <w:t>van der Merwe</w:t>
      </w:r>
      <w:r w:rsidR="00697028">
        <w:rPr>
          <w:sz w:val="26"/>
          <w:szCs w:val="26"/>
          <w:lang w:val="en-US"/>
        </w:rPr>
        <w:t xml:space="preserve">, and before the applications were delivered, correspondence was sent, demanding withdrawal of the </w:t>
      </w:r>
      <w:r w:rsidR="00AF507B">
        <w:rPr>
          <w:sz w:val="26"/>
          <w:szCs w:val="26"/>
          <w:lang w:val="en-US"/>
        </w:rPr>
        <w:t>contentious</w:t>
      </w:r>
      <w:r w:rsidR="00697028">
        <w:rPr>
          <w:sz w:val="26"/>
          <w:szCs w:val="26"/>
          <w:lang w:val="en-US"/>
        </w:rPr>
        <w:t xml:space="preserve"> averments, to no avail.</w:t>
      </w:r>
    </w:p>
    <w:p w:rsidR="00377C85" w:rsidRPr="00377C85" w:rsidRDefault="00377C85" w:rsidP="00377C85">
      <w:pPr>
        <w:pStyle w:val="ListParagraph"/>
        <w:spacing w:after="0" w:line="360" w:lineRule="auto"/>
        <w:ind w:left="0"/>
        <w:jc w:val="both"/>
        <w:rPr>
          <w:sz w:val="26"/>
          <w:szCs w:val="26"/>
        </w:rPr>
      </w:pPr>
    </w:p>
    <w:p w:rsidR="00FE5AC2" w:rsidRDefault="00FE5AC2" w:rsidP="00FE5AC2">
      <w:pPr>
        <w:pStyle w:val="ListParagraph"/>
        <w:numPr>
          <w:ilvl w:val="0"/>
          <w:numId w:val="2"/>
        </w:numPr>
        <w:spacing w:after="0" w:line="360" w:lineRule="auto"/>
        <w:ind w:left="0" w:firstLine="0"/>
        <w:jc w:val="both"/>
        <w:rPr>
          <w:sz w:val="26"/>
          <w:szCs w:val="26"/>
        </w:rPr>
      </w:pPr>
      <w:r>
        <w:rPr>
          <w:sz w:val="26"/>
          <w:szCs w:val="26"/>
        </w:rPr>
        <w:t>A court may grant an application to strike out in terms of Uniform Rule 6(15), which provides:</w:t>
      </w:r>
    </w:p>
    <w:p w:rsidR="00FE5AC2" w:rsidRPr="00411D5F" w:rsidRDefault="00FE5AC2" w:rsidP="00FE5AC2">
      <w:pPr>
        <w:pStyle w:val="ListParagraph"/>
        <w:rPr>
          <w:sz w:val="26"/>
          <w:szCs w:val="26"/>
        </w:rPr>
      </w:pPr>
    </w:p>
    <w:p w:rsidR="00FE5AC2" w:rsidRPr="00411D5F" w:rsidRDefault="00FE5AC2" w:rsidP="00FE5AC2">
      <w:pPr>
        <w:pStyle w:val="ListParagraph"/>
        <w:spacing w:after="0" w:line="240" w:lineRule="auto"/>
        <w:ind w:left="1440"/>
        <w:jc w:val="both"/>
      </w:pPr>
      <w:r>
        <w:t>“T</w:t>
      </w:r>
      <w:r w:rsidRPr="00411D5F">
        <w:rPr>
          <w:lang w:val="en-US"/>
        </w:rPr>
        <w:t>he court may on application order to be struck out from any affidavit any matter which is scandalous</w:t>
      </w:r>
      <w:r>
        <w:rPr>
          <w:lang w:val="en-US"/>
        </w:rPr>
        <w:t>,</w:t>
      </w:r>
      <w:r w:rsidRPr="00411D5F">
        <w:rPr>
          <w:lang w:val="en-US"/>
        </w:rPr>
        <w:t xml:space="preserve"> vexatious or irrelevant</w:t>
      </w:r>
      <w:r>
        <w:rPr>
          <w:lang w:val="en-US"/>
        </w:rPr>
        <w:t>,</w:t>
      </w:r>
      <w:r w:rsidRPr="00411D5F">
        <w:rPr>
          <w:lang w:val="en-US"/>
        </w:rPr>
        <w:t xml:space="preserve"> with an appropriate order as to costs, including costs as between attorney and client. The court shall not grant the application unless it is satisfied that the applicant will be prejudiced in his case if it be not granted.”</w:t>
      </w:r>
    </w:p>
    <w:p w:rsidR="00697028" w:rsidRDefault="00697028" w:rsidP="00697028">
      <w:pPr>
        <w:pStyle w:val="ListParagraph"/>
        <w:spacing w:after="0" w:line="360" w:lineRule="auto"/>
        <w:ind w:left="0"/>
        <w:jc w:val="both"/>
        <w:rPr>
          <w:sz w:val="26"/>
          <w:szCs w:val="26"/>
          <w:lang w:val="en-US"/>
        </w:rPr>
      </w:pPr>
    </w:p>
    <w:p w:rsidR="00FE5AC2" w:rsidRPr="00FE5AC2" w:rsidRDefault="00FE5AC2" w:rsidP="00FE5AC2">
      <w:pPr>
        <w:pStyle w:val="ListParagraph"/>
        <w:numPr>
          <w:ilvl w:val="0"/>
          <w:numId w:val="2"/>
        </w:numPr>
        <w:spacing w:after="0" w:line="360" w:lineRule="auto"/>
        <w:ind w:left="0" w:firstLine="0"/>
        <w:jc w:val="both"/>
        <w:rPr>
          <w:sz w:val="26"/>
          <w:szCs w:val="26"/>
          <w:lang w:val="en-US"/>
        </w:rPr>
      </w:pPr>
      <w:r w:rsidRPr="00411D5F">
        <w:rPr>
          <w:sz w:val="26"/>
          <w:szCs w:val="26"/>
          <w:lang w:val="en-US"/>
        </w:rPr>
        <w:t xml:space="preserve">Thus, in terms of the Rule, </w:t>
      </w:r>
      <w:r>
        <w:rPr>
          <w:sz w:val="26"/>
          <w:szCs w:val="26"/>
          <w:lang w:val="en-US"/>
        </w:rPr>
        <w:t>in addition</w:t>
      </w:r>
      <w:r w:rsidRPr="00411D5F">
        <w:rPr>
          <w:sz w:val="26"/>
          <w:szCs w:val="26"/>
          <w:lang w:val="en-US"/>
        </w:rPr>
        <w:t xml:space="preserve"> </w:t>
      </w:r>
      <w:r>
        <w:rPr>
          <w:sz w:val="26"/>
          <w:szCs w:val="26"/>
          <w:lang w:val="en-US"/>
        </w:rPr>
        <w:t xml:space="preserve">to </w:t>
      </w:r>
      <w:r w:rsidRPr="00411D5F">
        <w:rPr>
          <w:sz w:val="26"/>
          <w:szCs w:val="26"/>
          <w:lang w:val="en-US"/>
        </w:rPr>
        <w:t>being scandalous, vexatious or irrelevant, it must be shown that if the matter is not struck out the party seeking relief will be prejudiced.</w:t>
      </w:r>
      <w:r>
        <w:rPr>
          <w:rStyle w:val="FootnoteReference"/>
          <w:sz w:val="26"/>
          <w:szCs w:val="26"/>
          <w:lang w:val="en-US"/>
        </w:rPr>
        <w:footnoteReference w:id="17"/>
      </w:r>
      <w:r w:rsidRPr="00411D5F">
        <w:rPr>
          <w:sz w:val="26"/>
          <w:szCs w:val="26"/>
          <w:lang w:val="en-US"/>
        </w:rPr>
        <w:t xml:space="preserve"> </w:t>
      </w:r>
      <w:r>
        <w:rPr>
          <w:sz w:val="26"/>
          <w:szCs w:val="26"/>
          <w:lang w:val="en-US"/>
        </w:rPr>
        <w:t>It has been held</w:t>
      </w:r>
      <w:r>
        <w:rPr>
          <w:rStyle w:val="FootnoteReference"/>
          <w:sz w:val="26"/>
          <w:szCs w:val="26"/>
          <w:lang w:val="en-US"/>
        </w:rPr>
        <w:footnoteReference w:id="18"/>
      </w:r>
      <w:r>
        <w:rPr>
          <w:sz w:val="26"/>
          <w:szCs w:val="26"/>
          <w:lang w:val="en-US"/>
        </w:rPr>
        <w:t xml:space="preserve"> that ‘s</w:t>
      </w:r>
      <w:r w:rsidRPr="00981854">
        <w:rPr>
          <w:sz w:val="26"/>
          <w:szCs w:val="26"/>
          <w:lang w:val="en-US"/>
        </w:rPr>
        <w:t>candalous matter</w:t>
      </w:r>
      <w:r>
        <w:rPr>
          <w:sz w:val="26"/>
          <w:szCs w:val="26"/>
          <w:lang w:val="en-US"/>
        </w:rPr>
        <w:t>’</w:t>
      </w:r>
      <w:r w:rsidRPr="00981854">
        <w:rPr>
          <w:sz w:val="26"/>
          <w:szCs w:val="26"/>
          <w:lang w:val="en-US"/>
        </w:rPr>
        <w:t xml:space="preserve"> consists </w:t>
      </w:r>
      <w:r w:rsidR="00FB7446">
        <w:rPr>
          <w:sz w:val="26"/>
          <w:szCs w:val="26"/>
          <w:lang w:val="en-US"/>
        </w:rPr>
        <w:t>of</w:t>
      </w:r>
      <w:r w:rsidRPr="00981854">
        <w:rPr>
          <w:sz w:val="26"/>
          <w:szCs w:val="26"/>
          <w:lang w:val="en-US"/>
        </w:rPr>
        <w:t xml:space="preserve"> allegations which may or may not be relevant, but which are so worded that they may be abusive or defamatory</w:t>
      </w:r>
      <w:r>
        <w:rPr>
          <w:sz w:val="26"/>
          <w:szCs w:val="26"/>
          <w:lang w:val="en-US"/>
        </w:rPr>
        <w:t>; ‘v</w:t>
      </w:r>
      <w:r w:rsidRPr="00981854">
        <w:rPr>
          <w:sz w:val="26"/>
          <w:szCs w:val="26"/>
          <w:lang w:val="en-US"/>
        </w:rPr>
        <w:t>exatious ma</w:t>
      </w:r>
      <w:r>
        <w:rPr>
          <w:sz w:val="26"/>
          <w:szCs w:val="26"/>
          <w:lang w:val="en-US"/>
        </w:rPr>
        <w:t>t</w:t>
      </w:r>
      <w:r w:rsidRPr="00981854">
        <w:rPr>
          <w:sz w:val="26"/>
          <w:szCs w:val="26"/>
          <w:lang w:val="en-US"/>
        </w:rPr>
        <w:t>ter</w:t>
      </w:r>
      <w:r>
        <w:rPr>
          <w:sz w:val="26"/>
          <w:szCs w:val="26"/>
          <w:lang w:val="en-US"/>
        </w:rPr>
        <w:t>’</w:t>
      </w:r>
      <w:r w:rsidRPr="00981854">
        <w:rPr>
          <w:sz w:val="26"/>
          <w:szCs w:val="26"/>
          <w:lang w:val="en-US"/>
        </w:rPr>
        <w:t xml:space="preserve"> consists in allegations which may or may not be relevant, but which are so worded as to convey an intention to harass or annoy</w:t>
      </w:r>
      <w:r>
        <w:rPr>
          <w:sz w:val="26"/>
          <w:szCs w:val="26"/>
          <w:lang w:val="en-US"/>
        </w:rPr>
        <w:t>;</w:t>
      </w:r>
      <w:r w:rsidRPr="00981854">
        <w:rPr>
          <w:rFonts w:eastAsiaTheme="minorHAnsi"/>
          <w:sz w:val="26"/>
          <w:szCs w:val="26"/>
          <w:lang w:val="en-GB" w:eastAsia="en-US"/>
        </w:rPr>
        <w:t xml:space="preserve"> </w:t>
      </w:r>
      <w:r>
        <w:rPr>
          <w:rFonts w:eastAsiaTheme="minorHAnsi"/>
          <w:sz w:val="26"/>
          <w:szCs w:val="26"/>
          <w:lang w:val="en-GB" w:eastAsia="en-US"/>
        </w:rPr>
        <w:t>and ‘i</w:t>
      </w:r>
      <w:r w:rsidRPr="00981854">
        <w:rPr>
          <w:rFonts w:eastAsiaTheme="minorHAnsi"/>
          <w:sz w:val="26"/>
          <w:szCs w:val="26"/>
          <w:lang w:val="en-GB" w:eastAsia="en-US"/>
        </w:rPr>
        <w:t>rrelevant matter</w:t>
      </w:r>
      <w:r>
        <w:rPr>
          <w:rFonts w:eastAsiaTheme="minorHAnsi"/>
          <w:sz w:val="26"/>
          <w:szCs w:val="26"/>
          <w:lang w:val="en-GB" w:eastAsia="en-US"/>
        </w:rPr>
        <w:t>’</w:t>
      </w:r>
      <w:r w:rsidRPr="00981854">
        <w:rPr>
          <w:rFonts w:eastAsiaTheme="minorHAnsi"/>
          <w:sz w:val="26"/>
          <w:szCs w:val="26"/>
          <w:lang w:val="en-GB" w:eastAsia="en-US"/>
        </w:rPr>
        <w:t xml:space="preserve"> consists in allegations which do not apply to the matter in hand and do not contribute one way or the other to a decision of such matter.</w:t>
      </w:r>
      <w:r>
        <w:rPr>
          <w:rFonts w:eastAsiaTheme="minorHAnsi"/>
          <w:sz w:val="26"/>
          <w:szCs w:val="26"/>
          <w:lang w:val="en-GB" w:eastAsia="en-US"/>
        </w:rPr>
        <w:t xml:space="preserve">  </w:t>
      </w:r>
    </w:p>
    <w:p w:rsidR="00FE5AC2" w:rsidRPr="00FE5AC2" w:rsidRDefault="00FE5AC2" w:rsidP="00FE5AC2">
      <w:pPr>
        <w:pStyle w:val="ListParagraph"/>
        <w:spacing w:after="0" w:line="360" w:lineRule="auto"/>
        <w:ind w:left="0"/>
        <w:jc w:val="both"/>
        <w:rPr>
          <w:sz w:val="26"/>
          <w:szCs w:val="26"/>
          <w:lang w:val="en-US"/>
        </w:rPr>
      </w:pPr>
    </w:p>
    <w:p w:rsidR="00FE5AC2" w:rsidRDefault="00FE5AC2" w:rsidP="00FE5AC2">
      <w:pPr>
        <w:pStyle w:val="ListParagraph"/>
        <w:numPr>
          <w:ilvl w:val="0"/>
          <w:numId w:val="2"/>
        </w:numPr>
        <w:spacing w:after="0" w:line="360" w:lineRule="auto"/>
        <w:ind w:left="0" w:firstLine="0"/>
        <w:jc w:val="both"/>
        <w:rPr>
          <w:sz w:val="26"/>
          <w:szCs w:val="26"/>
          <w:lang w:val="en-US"/>
        </w:rPr>
      </w:pPr>
      <w:r>
        <w:rPr>
          <w:rFonts w:eastAsiaTheme="minorHAnsi"/>
          <w:sz w:val="26"/>
          <w:szCs w:val="26"/>
          <w:lang w:val="en-GB" w:eastAsia="en-US"/>
        </w:rPr>
        <w:t>As regards the</w:t>
      </w:r>
      <w:r w:rsidRPr="00981854">
        <w:rPr>
          <w:rFonts w:eastAsiaTheme="minorHAnsi"/>
          <w:sz w:val="20"/>
          <w:szCs w:val="20"/>
          <w:lang w:val="en-GB" w:eastAsia="en-US"/>
        </w:rPr>
        <w:t xml:space="preserve"> </w:t>
      </w:r>
      <w:r>
        <w:rPr>
          <w:rFonts w:eastAsiaTheme="minorHAnsi"/>
          <w:sz w:val="26"/>
          <w:szCs w:val="26"/>
          <w:lang w:val="en-GB" w:eastAsia="en-US"/>
        </w:rPr>
        <w:t>phrase ‘prejudice to the applicant’s case’</w:t>
      </w:r>
      <w:r w:rsidR="003C0EB6">
        <w:rPr>
          <w:rFonts w:eastAsiaTheme="minorHAnsi"/>
          <w:sz w:val="26"/>
          <w:szCs w:val="26"/>
          <w:lang w:val="en-GB" w:eastAsia="en-US"/>
        </w:rPr>
        <w:t xml:space="preserve"> in Uniform Rule 6(15)</w:t>
      </w:r>
      <w:r>
        <w:rPr>
          <w:rFonts w:eastAsiaTheme="minorHAnsi"/>
          <w:sz w:val="26"/>
          <w:szCs w:val="26"/>
          <w:lang w:val="en-GB" w:eastAsia="en-US"/>
        </w:rPr>
        <w:t xml:space="preserve">, it </w:t>
      </w:r>
      <w:r w:rsidRPr="000F656A">
        <w:rPr>
          <w:rFonts w:eastAsiaTheme="minorHAnsi"/>
          <w:i/>
          <w:iCs/>
          <w:sz w:val="26"/>
          <w:szCs w:val="26"/>
          <w:lang w:val="en-GB" w:eastAsia="en-US"/>
        </w:rPr>
        <w:t>“clearly does not mean that, if the offending allegations remain, the innocent party’s chances of success will be reduced. It is substantially less than that. How much less depends on all the circumstances…[i]f a party is required to deal with scandalous o</w:t>
      </w:r>
      <w:r w:rsidR="003C0EB6">
        <w:rPr>
          <w:rFonts w:eastAsiaTheme="minorHAnsi"/>
          <w:i/>
          <w:iCs/>
          <w:sz w:val="26"/>
          <w:szCs w:val="26"/>
          <w:lang w:val="en-GB" w:eastAsia="en-US"/>
        </w:rPr>
        <w:t>r</w:t>
      </w:r>
      <w:r w:rsidRPr="000F656A">
        <w:rPr>
          <w:rFonts w:eastAsiaTheme="minorHAnsi"/>
          <w:i/>
          <w:iCs/>
          <w:sz w:val="26"/>
          <w:szCs w:val="26"/>
          <w:lang w:val="en-GB" w:eastAsia="en-US"/>
        </w:rPr>
        <w:t xml:space="preserve"> irrelevant matter, the main issue could be</w:t>
      </w:r>
      <w:r>
        <w:rPr>
          <w:rFonts w:eastAsiaTheme="minorHAnsi"/>
          <w:sz w:val="26"/>
          <w:szCs w:val="26"/>
          <w:lang w:val="en-GB" w:eastAsia="en-US"/>
        </w:rPr>
        <w:t xml:space="preserve"> </w:t>
      </w:r>
      <w:r w:rsidRPr="000F656A">
        <w:rPr>
          <w:rFonts w:eastAsiaTheme="minorHAnsi"/>
          <w:i/>
          <w:iCs/>
          <w:sz w:val="26"/>
          <w:szCs w:val="26"/>
          <w:lang w:val="en-GB" w:eastAsia="en-US"/>
        </w:rPr>
        <w:t>side-tracked, but if such matter is left unanswered, the innocent party may well be defamed.”</w:t>
      </w:r>
      <w:r>
        <w:rPr>
          <w:rStyle w:val="FootnoteReference"/>
          <w:rFonts w:eastAsiaTheme="minorHAnsi"/>
          <w:i/>
          <w:iCs/>
          <w:sz w:val="26"/>
          <w:szCs w:val="26"/>
          <w:lang w:val="en-GB" w:eastAsia="en-US"/>
        </w:rPr>
        <w:footnoteReference w:id="19"/>
      </w:r>
      <w:r w:rsidRPr="000F656A">
        <w:rPr>
          <w:sz w:val="26"/>
          <w:szCs w:val="26"/>
          <w:lang w:val="en-US"/>
        </w:rPr>
        <w:t xml:space="preserve">  </w:t>
      </w:r>
    </w:p>
    <w:p w:rsidR="005E39D6" w:rsidRPr="00FE5AC2" w:rsidRDefault="005E39D6" w:rsidP="00FE5AC2">
      <w:pPr>
        <w:rPr>
          <w:sz w:val="26"/>
          <w:szCs w:val="26"/>
          <w:lang w:val="en-US"/>
        </w:rPr>
      </w:pPr>
    </w:p>
    <w:p w:rsidR="00377C85" w:rsidRPr="007649D3" w:rsidRDefault="007649D3" w:rsidP="007649D3">
      <w:pPr>
        <w:pStyle w:val="ListParagraph"/>
        <w:numPr>
          <w:ilvl w:val="0"/>
          <w:numId w:val="2"/>
        </w:numPr>
        <w:spacing w:after="0" w:line="360" w:lineRule="auto"/>
        <w:ind w:left="0" w:firstLine="0"/>
        <w:jc w:val="both"/>
        <w:rPr>
          <w:sz w:val="26"/>
          <w:szCs w:val="26"/>
        </w:rPr>
      </w:pPr>
      <w:r w:rsidRPr="007649D3">
        <w:rPr>
          <w:sz w:val="26"/>
          <w:szCs w:val="26"/>
          <w:lang w:val="en-US"/>
        </w:rPr>
        <w:t xml:space="preserve">I now turn to the objections </w:t>
      </w:r>
      <w:r w:rsidR="004D266C" w:rsidRPr="007649D3">
        <w:rPr>
          <w:sz w:val="26"/>
          <w:szCs w:val="26"/>
          <w:lang w:val="en-US"/>
        </w:rPr>
        <w:t>re</w:t>
      </w:r>
      <w:r w:rsidRPr="007649D3">
        <w:rPr>
          <w:sz w:val="26"/>
          <w:szCs w:val="26"/>
          <w:lang w:val="en-US"/>
        </w:rPr>
        <w:t xml:space="preserve">garding the Rule 30 answering affidavit dated 17 June 2021 which was deposed </w:t>
      </w:r>
      <w:r w:rsidR="00FB7446">
        <w:rPr>
          <w:sz w:val="26"/>
          <w:szCs w:val="26"/>
          <w:lang w:val="en-US"/>
        </w:rPr>
        <w:t xml:space="preserve">to </w:t>
      </w:r>
      <w:r w:rsidRPr="007649D3">
        <w:rPr>
          <w:sz w:val="26"/>
          <w:szCs w:val="26"/>
          <w:lang w:val="en-US"/>
        </w:rPr>
        <w:t xml:space="preserve">by Mr </w:t>
      </w:r>
      <w:r w:rsidR="00234120">
        <w:rPr>
          <w:sz w:val="26"/>
          <w:szCs w:val="26"/>
          <w:lang w:val="en-US"/>
        </w:rPr>
        <w:t>van der Merwe</w:t>
      </w:r>
      <w:r w:rsidRPr="007649D3">
        <w:rPr>
          <w:sz w:val="26"/>
          <w:szCs w:val="26"/>
          <w:lang w:val="en-US"/>
        </w:rPr>
        <w:t xml:space="preserve">. </w:t>
      </w:r>
      <w:r>
        <w:rPr>
          <w:sz w:val="26"/>
          <w:szCs w:val="26"/>
          <w:lang w:val="en-US"/>
        </w:rPr>
        <w:t>In the first instance, t</w:t>
      </w:r>
      <w:r w:rsidR="00AE2330" w:rsidRPr="007649D3">
        <w:rPr>
          <w:sz w:val="26"/>
          <w:szCs w:val="26"/>
          <w:lang w:val="en-US"/>
        </w:rPr>
        <w:t>he</w:t>
      </w:r>
      <w:r>
        <w:rPr>
          <w:sz w:val="26"/>
          <w:szCs w:val="26"/>
          <w:lang w:val="en-US"/>
        </w:rPr>
        <w:t xml:space="preserve"> striking out application is sought on the basis that certain statements </w:t>
      </w:r>
      <w:r w:rsidR="00AE2330" w:rsidRPr="007649D3">
        <w:rPr>
          <w:sz w:val="26"/>
          <w:szCs w:val="26"/>
          <w:lang w:val="en-US"/>
        </w:rPr>
        <w:t xml:space="preserve">constitute scandalous matter. Most of the statements relate to </w:t>
      </w:r>
      <w:r w:rsidR="00C34C90">
        <w:rPr>
          <w:sz w:val="26"/>
          <w:szCs w:val="26"/>
          <w:lang w:val="en-US"/>
        </w:rPr>
        <w:t>C</w:t>
      </w:r>
      <w:r w:rsidR="00AE2330" w:rsidRPr="007649D3">
        <w:rPr>
          <w:sz w:val="26"/>
          <w:szCs w:val="26"/>
          <w:lang w:val="en-US"/>
        </w:rPr>
        <w:t>SARS’ litigation strategy in the tax matters which consist</w:t>
      </w:r>
      <w:r w:rsidR="00FB7446">
        <w:rPr>
          <w:sz w:val="26"/>
          <w:szCs w:val="26"/>
          <w:lang w:val="en-US"/>
        </w:rPr>
        <w:t xml:space="preserve"> of</w:t>
      </w:r>
      <w:r w:rsidR="00AE2330" w:rsidRPr="007649D3">
        <w:rPr>
          <w:sz w:val="26"/>
          <w:szCs w:val="26"/>
          <w:lang w:val="en-US"/>
        </w:rPr>
        <w:t xml:space="preserve"> interlocutory applications</w:t>
      </w:r>
      <w:r w:rsidR="00FB7446">
        <w:rPr>
          <w:sz w:val="26"/>
          <w:szCs w:val="26"/>
          <w:lang w:val="en-US"/>
        </w:rPr>
        <w:t>,</w:t>
      </w:r>
      <w:r w:rsidR="00AE2330" w:rsidRPr="007649D3">
        <w:rPr>
          <w:sz w:val="26"/>
          <w:szCs w:val="26"/>
          <w:lang w:val="en-US"/>
        </w:rPr>
        <w:t xml:space="preserve"> especially applications in terms of Uniform Rule 30. That litigation strategy is </w:t>
      </w:r>
      <w:r w:rsidR="00C34C90">
        <w:rPr>
          <w:sz w:val="26"/>
          <w:szCs w:val="26"/>
          <w:lang w:val="en-US"/>
        </w:rPr>
        <w:t xml:space="preserve">singularly </w:t>
      </w:r>
      <w:r w:rsidR="00AE2330" w:rsidRPr="007649D3">
        <w:rPr>
          <w:sz w:val="26"/>
          <w:szCs w:val="26"/>
          <w:lang w:val="en-US"/>
        </w:rPr>
        <w:t xml:space="preserve">attributed to </w:t>
      </w:r>
      <w:r w:rsidR="000121C3" w:rsidRPr="00D667AE">
        <w:rPr>
          <w:sz w:val="26"/>
          <w:szCs w:val="26"/>
          <w:lang w:val="en-US"/>
        </w:rPr>
        <w:t xml:space="preserve">Mr Zaheer Vadachia, the legal advisor of and deponent </w:t>
      </w:r>
      <w:r w:rsidR="00FB7446">
        <w:rPr>
          <w:sz w:val="26"/>
          <w:szCs w:val="26"/>
          <w:lang w:val="en-US"/>
        </w:rPr>
        <w:t>to</w:t>
      </w:r>
      <w:r w:rsidR="000121C3" w:rsidRPr="00D667AE">
        <w:rPr>
          <w:sz w:val="26"/>
          <w:szCs w:val="26"/>
          <w:lang w:val="en-US"/>
        </w:rPr>
        <w:t xml:space="preserve"> the CSARS’ affidavits</w:t>
      </w:r>
      <w:r w:rsidR="000121C3">
        <w:rPr>
          <w:sz w:val="26"/>
          <w:szCs w:val="26"/>
          <w:lang w:val="en-US"/>
        </w:rPr>
        <w:t>. This is</w:t>
      </w:r>
      <w:r w:rsidR="00AE2330" w:rsidRPr="007649D3">
        <w:rPr>
          <w:sz w:val="26"/>
          <w:szCs w:val="26"/>
          <w:lang w:val="en-US"/>
        </w:rPr>
        <w:t xml:space="preserve"> because </w:t>
      </w:r>
      <w:r w:rsidR="00C34C90">
        <w:rPr>
          <w:sz w:val="26"/>
          <w:szCs w:val="26"/>
          <w:lang w:val="en-US"/>
        </w:rPr>
        <w:t>the C</w:t>
      </w:r>
      <w:r w:rsidR="00AE2330" w:rsidRPr="007649D3">
        <w:rPr>
          <w:sz w:val="26"/>
          <w:szCs w:val="26"/>
          <w:lang w:val="en-US"/>
        </w:rPr>
        <w:t>SARS</w:t>
      </w:r>
      <w:r w:rsidR="00377C85" w:rsidRPr="007649D3">
        <w:rPr>
          <w:sz w:val="26"/>
          <w:szCs w:val="26"/>
          <w:lang w:val="en-US"/>
        </w:rPr>
        <w:t xml:space="preserve">, according to Mr </w:t>
      </w:r>
      <w:r w:rsidR="00234120">
        <w:rPr>
          <w:sz w:val="26"/>
          <w:szCs w:val="26"/>
          <w:lang w:val="en-US"/>
        </w:rPr>
        <w:t>van der Merwe</w:t>
      </w:r>
      <w:r w:rsidR="00377C85" w:rsidRPr="007649D3">
        <w:rPr>
          <w:sz w:val="26"/>
          <w:szCs w:val="26"/>
          <w:lang w:val="en-US"/>
        </w:rPr>
        <w:t xml:space="preserve">, </w:t>
      </w:r>
      <w:r w:rsidR="00AE2330" w:rsidRPr="007649D3">
        <w:rPr>
          <w:sz w:val="26"/>
          <w:szCs w:val="26"/>
          <w:lang w:val="en-US"/>
        </w:rPr>
        <w:t xml:space="preserve">only adopted </w:t>
      </w:r>
      <w:r w:rsidR="000121C3">
        <w:rPr>
          <w:sz w:val="26"/>
          <w:szCs w:val="26"/>
          <w:lang w:val="en-US"/>
        </w:rPr>
        <w:t>the litigation strategy</w:t>
      </w:r>
      <w:r w:rsidR="00AE2330" w:rsidRPr="007649D3">
        <w:rPr>
          <w:sz w:val="26"/>
          <w:szCs w:val="26"/>
          <w:lang w:val="en-US"/>
        </w:rPr>
        <w:t xml:space="preserve"> </w:t>
      </w:r>
      <w:r w:rsidR="00377C85" w:rsidRPr="007649D3">
        <w:rPr>
          <w:sz w:val="26"/>
          <w:szCs w:val="26"/>
          <w:lang w:val="en-US"/>
        </w:rPr>
        <w:t>o</w:t>
      </w:r>
      <w:r w:rsidR="00AE2330" w:rsidRPr="007649D3">
        <w:rPr>
          <w:sz w:val="26"/>
          <w:szCs w:val="26"/>
          <w:lang w:val="en-US"/>
        </w:rPr>
        <w:t>nce he</w:t>
      </w:r>
      <w:r w:rsidR="00377C85" w:rsidRPr="007649D3">
        <w:rPr>
          <w:sz w:val="26"/>
          <w:szCs w:val="26"/>
          <w:lang w:val="en-US"/>
        </w:rPr>
        <w:t xml:space="preserve"> (Vadachia)</w:t>
      </w:r>
      <w:r w:rsidR="00AE2330" w:rsidRPr="007649D3">
        <w:rPr>
          <w:sz w:val="26"/>
          <w:szCs w:val="26"/>
          <w:lang w:val="en-US"/>
        </w:rPr>
        <w:t xml:space="preserve"> became responsible for the litigation</w:t>
      </w:r>
      <w:r w:rsidR="00377C85" w:rsidRPr="007649D3">
        <w:rPr>
          <w:sz w:val="26"/>
          <w:szCs w:val="26"/>
          <w:lang w:val="en-US"/>
        </w:rPr>
        <w:t>. The litigation strategy</w:t>
      </w:r>
      <w:r w:rsidR="00AE2330" w:rsidRPr="007649D3">
        <w:rPr>
          <w:sz w:val="26"/>
          <w:szCs w:val="26"/>
          <w:lang w:val="en-US"/>
        </w:rPr>
        <w:t xml:space="preserve"> is variously referred to as ‘delaying tactics’, a ‘delay game’, ‘playing ducks and drakes’, ‘absurd’, ‘unreasonable’, a ‘strategy’ designed ‘to take advantage’ of Mr </w:t>
      </w:r>
      <w:r w:rsidR="00234120">
        <w:rPr>
          <w:sz w:val="26"/>
          <w:szCs w:val="26"/>
          <w:lang w:val="en-US"/>
        </w:rPr>
        <w:t>van der Merwe</w:t>
      </w:r>
      <w:r w:rsidR="00AE2330" w:rsidRPr="007649D3">
        <w:rPr>
          <w:sz w:val="26"/>
          <w:szCs w:val="26"/>
          <w:lang w:val="en-US"/>
        </w:rPr>
        <w:t xml:space="preserve"> and Ms Poulter, ‘reprehensible and vexatious’, </w:t>
      </w:r>
      <w:r w:rsidR="00377C85" w:rsidRPr="007649D3">
        <w:rPr>
          <w:sz w:val="26"/>
          <w:szCs w:val="26"/>
          <w:lang w:val="en-US"/>
        </w:rPr>
        <w:t xml:space="preserve">an </w:t>
      </w:r>
      <w:r w:rsidR="00AE2330" w:rsidRPr="007649D3">
        <w:rPr>
          <w:sz w:val="26"/>
          <w:szCs w:val="26"/>
          <w:lang w:val="en-US"/>
        </w:rPr>
        <w:t>‘abuse of process’</w:t>
      </w:r>
      <w:r w:rsidR="00417E15">
        <w:rPr>
          <w:sz w:val="26"/>
          <w:szCs w:val="26"/>
          <w:lang w:val="en-US"/>
        </w:rPr>
        <w:t>; and it is alleged that</w:t>
      </w:r>
      <w:r w:rsidR="00AE2330" w:rsidRPr="007649D3">
        <w:rPr>
          <w:sz w:val="26"/>
          <w:szCs w:val="26"/>
          <w:lang w:val="en-US"/>
        </w:rPr>
        <w:t xml:space="preserve"> </w:t>
      </w:r>
      <w:r>
        <w:rPr>
          <w:sz w:val="26"/>
          <w:szCs w:val="26"/>
          <w:lang w:val="en-US"/>
        </w:rPr>
        <w:t>Mr Vadachia is ‘on a frolic of his own’, has made</w:t>
      </w:r>
      <w:r w:rsidRPr="007649D3">
        <w:rPr>
          <w:sz w:val="26"/>
          <w:szCs w:val="26"/>
          <w:lang w:val="en-US"/>
        </w:rPr>
        <w:t xml:space="preserve"> </w:t>
      </w:r>
      <w:r w:rsidR="00AE2330" w:rsidRPr="007649D3">
        <w:rPr>
          <w:sz w:val="26"/>
          <w:szCs w:val="26"/>
          <w:lang w:val="en-US"/>
        </w:rPr>
        <w:t>‘an attempt to mislead this Honourable Court’</w:t>
      </w:r>
      <w:r>
        <w:rPr>
          <w:sz w:val="26"/>
          <w:szCs w:val="26"/>
          <w:lang w:val="en-US"/>
        </w:rPr>
        <w:t>,</w:t>
      </w:r>
      <w:r w:rsidR="00AE2330" w:rsidRPr="007649D3">
        <w:rPr>
          <w:sz w:val="26"/>
          <w:szCs w:val="26"/>
          <w:lang w:val="en-US"/>
        </w:rPr>
        <w:t xml:space="preserve"> and</w:t>
      </w:r>
      <w:r>
        <w:rPr>
          <w:sz w:val="26"/>
          <w:szCs w:val="26"/>
          <w:lang w:val="en-US"/>
        </w:rPr>
        <w:t xml:space="preserve"> is</w:t>
      </w:r>
      <w:r w:rsidR="00AE2330" w:rsidRPr="007649D3">
        <w:rPr>
          <w:sz w:val="26"/>
          <w:szCs w:val="26"/>
          <w:lang w:val="en-US"/>
        </w:rPr>
        <w:t xml:space="preserve"> ‘not acting with integrity’. </w:t>
      </w:r>
    </w:p>
    <w:p w:rsidR="00377C85" w:rsidRPr="00377C85" w:rsidRDefault="00377C85" w:rsidP="00377C85">
      <w:pPr>
        <w:pStyle w:val="ListParagraph"/>
        <w:rPr>
          <w:sz w:val="26"/>
          <w:szCs w:val="26"/>
          <w:lang w:val="en-US"/>
        </w:rPr>
      </w:pPr>
    </w:p>
    <w:p w:rsidR="00377C85" w:rsidRDefault="00AE2330" w:rsidP="00C11F45">
      <w:pPr>
        <w:pStyle w:val="ListParagraph"/>
        <w:numPr>
          <w:ilvl w:val="0"/>
          <w:numId w:val="2"/>
        </w:numPr>
        <w:spacing w:after="0" w:line="360" w:lineRule="auto"/>
        <w:ind w:left="0" w:firstLine="0"/>
        <w:jc w:val="both"/>
        <w:rPr>
          <w:sz w:val="26"/>
          <w:szCs w:val="26"/>
          <w:lang w:val="en-US"/>
        </w:rPr>
      </w:pPr>
      <w:r w:rsidRPr="001A7C17">
        <w:rPr>
          <w:sz w:val="26"/>
          <w:szCs w:val="26"/>
          <w:lang w:val="en-US"/>
        </w:rPr>
        <w:t xml:space="preserve">In my view, </w:t>
      </w:r>
      <w:r w:rsidR="00FE5AC2" w:rsidRPr="001A7C17">
        <w:rPr>
          <w:sz w:val="26"/>
          <w:szCs w:val="26"/>
          <w:lang w:val="en-US"/>
        </w:rPr>
        <w:t xml:space="preserve">except for the last two quoted statements, </w:t>
      </w:r>
      <w:r w:rsidRPr="001A7C17">
        <w:rPr>
          <w:sz w:val="26"/>
          <w:szCs w:val="26"/>
          <w:lang w:val="en-US"/>
        </w:rPr>
        <w:t>the</w:t>
      </w:r>
      <w:r w:rsidR="00377C85" w:rsidRPr="001A7C17">
        <w:rPr>
          <w:sz w:val="26"/>
          <w:szCs w:val="26"/>
          <w:lang w:val="en-US"/>
        </w:rPr>
        <w:t xml:space="preserve"> statements</w:t>
      </w:r>
      <w:r w:rsidR="00FE5AC2" w:rsidRPr="001A7C17">
        <w:rPr>
          <w:sz w:val="26"/>
          <w:szCs w:val="26"/>
          <w:lang w:val="en-US"/>
        </w:rPr>
        <w:t xml:space="preserve"> </w:t>
      </w:r>
      <w:r w:rsidR="00377C85" w:rsidRPr="001A7C17">
        <w:rPr>
          <w:sz w:val="26"/>
          <w:szCs w:val="26"/>
          <w:lang w:val="en-US"/>
        </w:rPr>
        <w:t xml:space="preserve">complained about </w:t>
      </w:r>
      <w:r w:rsidR="00FE5AC2" w:rsidRPr="001A7C17">
        <w:rPr>
          <w:sz w:val="26"/>
          <w:szCs w:val="26"/>
          <w:lang w:val="en-US"/>
        </w:rPr>
        <w:t xml:space="preserve">amount to </w:t>
      </w:r>
      <w:r w:rsidR="00417E15">
        <w:rPr>
          <w:sz w:val="26"/>
          <w:szCs w:val="26"/>
          <w:lang w:val="en-US"/>
        </w:rPr>
        <w:t xml:space="preserve">strong </w:t>
      </w:r>
      <w:r w:rsidR="00FE5AC2" w:rsidRPr="001A7C17">
        <w:rPr>
          <w:sz w:val="26"/>
          <w:szCs w:val="26"/>
          <w:lang w:val="en-US"/>
        </w:rPr>
        <w:t xml:space="preserve">criticism of the litigation strategy adopted by the CSARS in its matters against Ms Poulter. </w:t>
      </w:r>
      <w:r w:rsidR="00417E15">
        <w:rPr>
          <w:sz w:val="26"/>
          <w:szCs w:val="26"/>
          <w:lang w:val="en-US"/>
        </w:rPr>
        <w:t>T</w:t>
      </w:r>
      <w:r w:rsidR="00FE5AC2" w:rsidRPr="001A7C17">
        <w:rPr>
          <w:sz w:val="26"/>
          <w:szCs w:val="26"/>
          <w:lang w:val="en-US"/>
        </w:rPr>
        <w:t xml:space="preserve">hey are not unusual in vigorously opposed matters such as the ones between the parties in this matter. </w:t>
      </w:r>
      <w:r w:rsidR="00417E15">
        <w:rPr>
          <w:sz w:val="26"/>
          <w:szCs w:val="26"/>
          <w:lang w:val="en-US"/>
        </w:rPr>
        <w:t xml:space="preserve">And </w:t>
      </w:r>
      <w:r w:rsidR="000B141C">
        <w:rPr>
          <w:sz w:val="26"/>
          <w:szCs w:val="26"/>
          <w:lang w:val="en-US"/>
        </w:rPr>
        <w:t>to the extent that</w:t>
      </w:r>
      <w:r w:rsidR="000B141C" w:rsidRPr="000B141C">
        <w:rPr>
          <w:sz w:val="26"/>
          <w:szCs w:val="26"/>
          <w:lang w:val="en-US"/>
        </w:rPr>
        <w:t xml:space="preserve"> </w:t>
      </w:r>
      <w:r w:rsidR="000B141C" w:rsidRPr="001A7C17">
        <w:rPr>
          <w:sz w:val="26"/>
          <w:szCs w:val="26"/>
          <w:lang w:val="en-US"/>
        </w:rPr>
        <w:t>the CSARS</w:t>
      </w:r>
      <w:r w:rsidR="000B141C">
        <w:rPr>
          <w:sz w:val="26"/>
          <w:szCs w:val="26"/>
          <w:lang w:val="en-US"/>
        </w:rPr>
        <w:t xml:space="preserve"> wished to refute the allegations, </w:t>
      </w:r>
      <w:r w:rsidR="00FB7446">
        <w:rPr>
          <w:sz w:val="26"/>
          <w:szCs w:val="26"/>
          <w:lang w:val="en-US"/>
        </w:rPr>
        <w:t>he</w:t>
      </w:r>
      <w:r w:rsidR="000B141C">
        <w:rPr>
          <w:sz w:val="26"/>
          <w:szCs w:val="26"/>
          <w:lang w:val="en-US"/>
        </w:rPr>
        <w:t xml:space="preserve"> had an opportunity of filing a replying affidavit,</w:t>
      </w:r>
      <w:r w:rsidR="000B141C" w:rsidRPr="000B141C">
        <w:rPr>
          <w:sz w:val="26"/>
          <w:szCs w:val="26"/>
          <w:lang w:val="en-US"/>
        </w:rPr>
        <w:t xml:space="preserve"> </w:t>
      </w:r>
      <w:r w:rsidR="000B141C" w:rsidRPr="001A7C17">
        <w:rPr>
          <w:sz w:val="26"/>
          <w:szCs w:val="26"/>
          <w:lang w:val="en-US"/>
        </w:rPr>
        <w:t xml:space="preserve">which </w:t>
      </w:r>
      <w:r w:rsidR="00FB7446">
        <w:rPr>
          <w:sz w:val="26"/>
          <w:szCs w:val="26"/>
          <w:lang w:val="en-US"/>
        </w:rPr>
        <w:t>he</w:t>
      </w:r>
      <w:r w:rsidR="000B141C" w:rsidRPr="001A7C17">
        <w:rPr>
          <w:sz w:val="26"/>
          <w:szCs w:val="26"/>
          <w:lang w:val="en-US"/>
        </w:rPr>
        <w:t xml:space="preserve"> did on 1 July 2021, </w:t>
      </w:r>
      <w:r w:rsidR="00FB7446">
        <w:rPr>
          <w:sz w:val="26"/>
          <w:szCs w:val="26"/>
          <w:lang w:val="en-US"/>
        </w:rPr>
        <w:t xml:space="preserve">which was </w:t>
      </w:r>
      <w:r w:rsidR="000B141C" w:rsidRPr="001A7C17">
        <w:rPr>
          <w:sz w:val="26"/>
          <w:szCs w:val="26"/>
          <w:lang w:val="en-US"/>
        </w:rPr>
        <w:t xml:space="preserve">deposed </w:t>
      </w:r>
      <w:r w:rsidR="00FB7446">
        <w:rPr>
          <w:sz w:val="26"/>
          <w:szCs w:val="26"/>
          <w:lang w:val="en-US"/>
        </w:rPr>
        <w:t xml:space="preserve">to </w:t>
      </w:r>
      <w:r w:rsidR="000B141C" w:rsidRPr="001A7C17">
        <w:rPr>
          <w:sz w:val="26"/>
          <w:szCs w:val="26"/>
          <w:lang w:val="en-US"/>
        </w:rPr>
        <w:t>by Mr Vadachia</w:t>
      </w:r>
      <w:r w:rsidR="000B141C">
        <w:rPr>
          <w:sz w:val="26"/>
          <w:szCs w:val="26"/>
          <w:lang w:val="en-US"/>
        </w:rPr>
        <w:t>. Further, s</w:t>
      </w:r>
      <w:r w:rsidR="001A7C17" w:rsidRPr="001A7C17">
        <w:rPr>
          <w:sz w:val="26"/>
          <w:szCs w:val="26"/>
          <w:lang w:val="en-US"/>
        </w:rPr>
        <w:t>ince the</w:t>
      </w:r>
      <w:r w:rsidR="000B141C">
        <w:rPr>
          <w:sz w:val="26"/>
          <w:szCs w:val="26"/>
          <w:lang w:val="en-US"/>
        </w:rPr>
        <w:t>se</w:t>
      </w:r>
      <w:r w:rsidR="00417E15">
        <w:rPr>
          <w:sz w:val="26"/>
          <w:szCs w:val="26"/>
          <w:lang w:val="en-US"/>
        </w:rPr>
        <w:t xml:space="preserve"> statements </w:t>
      </w:r>
      <w:r w:rsidR="001A7C17" w:rsidRPr="001A7C17">
        <w:rPr>
          <w:sz w:val="26"/>
          <w:szCs w:val="26"/>
          <w:lang w:val="en-US"/>
        </w:rPr>
        <w:t>are made in the context of litigation</w:t>
      </w:r>
      <w:r w:rsidR="000B141C">
        <w:rPr>
          <w:sz w:val="26"/>
          <w:szCs w:val="26"/>
          <w:lang w:val="en-US"/>
        </w:rPr>
        <w:t>, the overall</w:t>
      </w:r>
      <w:r w:rsidR="001A7C17" w:rsidRPr="001A7C17">
        <w:rPr>
          <w:sz w:val="26"/>
          <w:szCs w:val="26"/>
          <w:lang w:val="en-US"/>
        </w:rPr>
        <w:t xml:space="preserve"> remedy</w:t>
      </w:r>
      <w:r w:rsidR="000B141C">
        <w:rPr>
          <w:sz w:val="26"/>
          <w:szCs w:val="26"/>
          <w:lang w:val="en-US"/>
        </w:rPr>
        <w:t xml:space="preserve"> for the CSARS</w:t>
      </w:r>
      <w:r w:rsidR="001A7C17" w:rsidRPr="001A7C17">
        <w:rPr>
          <w:sz w:val="26"/>
          <w:szCs w:val="26"/>
          <w:lang w:val="en-US"/>
        </w:rPr>
        <w:t xml:space="preserve"> is to establish that it is not playing delaying tactics </w:t>
      </w:r>
      <w:r w:rsidR="000B141C">
        <w:rPr>
          <w:sz w:val="26"/>
          <w:szCs w:val="26"/>
          <w:lang w:val="en-US"/>
        </w:rPr>
        <w:t>and</w:t>
      </w:r>
      <w:r w:rsidR="001A7C17" w:rsidRPr="001A7C17">
        <w:rPr>
          <w:sz w:val="26"/>
          <w:szCs w:val="26"/>
          <w:lang w:val="en-US"/>
        </w:rPr>
        <w:t xml:space="preserve"> that its applications have merit.</w:t>
      </w:r>
      <w:r w:rsidR="000B141C">
        <w:rPr>
          <w:sz w:val="26"/>
          <w:szCs w:val="26"/>
          <w:lang w:val="en-US"/>
        </w:rPr>
        <w:t xml:space="preserve"> I am a</w:t>
      </w:r>
      <w:r w:rsidR="001A7C17" w:rsidRPr="001A7C17">
        <w:rPr>
          <w:sz w:val="26"/>
          <w:szCs w:val="26"/>
          <w:lang w:val="en-US"/>
        </w:rPr>
        <w:t>ccordingly</w:t>
      </w:r>
      <w:r w:rsidR="000B141C">
        <w:rPr>
          <w:sz w:val="26"/>
          <w:szCs w:val="26"/>
          <w:lang w:val="en-US"/>
        </w:rPr>
        <w:t xml:space="preserve"> not satisfied that these statements are scandalous or that the </w:t>
      </w:r>
      <w:r w:rsidR="000B141C" w:rsidRPr="001A7C17">
        <w:rPr>
          <w:sz w:val="26"/>
          <w:szCs w:val="26"/>
          <w:lang w:val="en-US"/>
        </w:rPr>
        <w:t xml:space="preserve">CSARS is prejudiced </w:t>
      </w:r>
      <w:r w:rsidR="000B141C">
        <w:rPr>
          <w:sz w:val="26"/>
          <w:szCs w:val="26"/>
          <w:lang w:val="en-US"/>
        </w:rPr>
        <w:t>thereby in the sense contemplated in Uniform Rule 6(15).</w:t>
      </w:r>
    </w:p>
    <w:p w:rsidR="001A7C17" w:rsidRPr="001A7C17" w:rsidRDefault="001A7C17" w:rsidP="001A7C17">
      <w:pPr>
        <w:pStyle w:val="ListParagraph"/>
        <w:rPr>
          <w:sz w:val="26"/>
          <w:szCs w:val="26"/>
          <w:lang w:val="en-US"/>
        </w:rPr>
      </w:pPr>
    </w:p>
    <w:p w:rsidR="005D7521" w:rsidRDefault="005D7521" w:rsidP="005D7521">
      <w:pPr>
        <w:pStyle w:val="ListParagraph"/>
        <w:numPr>
          <w:ilvl w:val="0"/>
          <w:numId w:val="2"/>
        </w:numPr>
        <w:spacing w:after="0" w:line="360" w:lineRule="auto"/>
        <w:ind w:left="0" w:firstLine="0"/>
        <w:jc w:val="both"/>
        <w:rPr>
          <w:sz w:val="26"/>
          <w:szCs w:val="26"/>
          <w:lang w:val="en-US"/>
        </w:rPr>
      </w:pPr>
      <w:r w:rsidRPr="00377C85">
        <w:rPr>
          <w:sz w:val="26"/>
          <w:szCs w:val="26"/>
          <w:lang w:val="en-US"/>
        </w:rPr>
        <w:t>As regards the statements that Mr Vadachia has attempted to mislead the court and that he is not acting with integrity</w:t>
      </w:r>
      <w:r>
        <w:rPr>
          <w:sz w:val="26"/>
          <w:szCs w:val="26"/>
          <w:lang w:val="en-US"/>
        </w:rPr>
        <w:t>,</w:t>
      </w:r>
      <w:r w:rsidRPr="00377C85">
        <w:rPr>
          <w:sz w:val="26"/>
          <w:szCs w:val="26"/>
          <w:lang w:val="en-US"/>
        </w:rPr>
        <w:t xml:space="preserve"> I consider those to be serious </w:t>
      </w:r>
      <w:r w:rsidR="00C34C90">
        <w:rPr>
          <w:sz w:val="26"/>
          <w:szCs w:val="26"/>
          <w:lang w:val="en-US"/>
        </w:rPr>
        <w:t xml:space="preserve">defamatory </w:t>
      </w:r>
      <w:r w:rsidRPr="00377C85">
        <w:rPr>
          <w:sz w:val="26"/>
          <w:szCs w:val="26"/>
          <w:lang w:val="en-US"/>
        </w:rPr>
        <w:t>statements going to the heart of his profession as a</w:t>
      </w:r>
      <w:r>
        <w:rPr>
          <w:sz w:val="26"/>
          <w:szCs w:val="26"/>
          <w:lang w:val="en-US"/>
        </w:rPr>
        <w:t xml:space="preserve"> senior</w:t>
      </w:r>
      <w:r w:rsidRPr="005D7521">
        <w:rPr>
          <w:sz w:val="26"/>
          <w:szCs w:val="26"/>
          <w:lang w:val="en-US"/>
        </w:rPr>
        <w:t xml:space="preserve"> SARS official</w:t>
      </w:r>
      <w:r w:rsidRPr="00377C85">
        <w:rPr>
          <w:sz w:val="26"/>
          <w:szCs w:val="26"/>
          <w:lang w:val="en-US"/>
        </w:rPr>
        <w:t xml:space="preserve"> </w:t>
      </w:r>
      <w:r>
        <w:rPr>
          <w:sz w:val="26"/>
          <w:szCs w:val="26"/>
          <w:lang w:val="en-US"/>
        </w:rPr>
        <w:t>and Tax Court Specialist,</w:t>
      </w:r>
      <w:r w:rsidRPr="005D7521">
        <w:rPr>
          <w:sz w:val="26"/>
          <w:szCs w:val="26"/>
          <w:lang w:val="en-US"/>
        </w:rPr>
        <w:t xml:space="preserve"> who is tasked with dealing with the public as a representative of</w:t>
      </w:r>
      <w:r>
        <w:rPr>
          <w:sz w:val="26"/>
          <w:szCs w:val="26"/>
          <w:lang w:val="en-US"/>
        </w:rPr>
        <w:t xml:space="preserve"> SARS. </w:t>
      </w:r>
      <w:r w:rsidR="000B141C">
        <w:rPr>
          <w:sz w:val="26"/>
          <w:szCs w:val="26"/>
          <w:lang w:val="en-US"/>
        </w:rPr>
        <w:t xml:space="preserve">No basis has been </w:t>
      </w:r>
      <w:r w:rsidR="00C34C90">
        <w:rPr>
          <w:sz w:val="26"/>
          <w:szCs w:val="26"/>
          <w:lang w:val="en-US"/>
        </w:rPr>
        <w:t xml:space="preserve">established </w:t>
      </w:r>
      <w:r w:rsidR="000B141C">
        <w:rPr>
          <w:sz w:val="26"/>
          <w:szCs w:val="26"/>
          <w:lang w:val="en-US"/>
        </w:rPr>
        <w:t xml:space="preserve">for making these statements. </w:t>
      </w:r>
      <w:r w:rsidRPr="005D7521">
        <w:rPr>
          <w:sz w:val="26"/>
          <w:szCs w:val="26"/>
          <w:lang w:val="en-US"/>
        </w:rPr>
        <w:t>I</w:t>
      </w:r>
      <w:r>
        <w:rPr>
          <w:sz w:val="26"/>
          <w:szCs w:val="26"/>
          <w:lang w:val="en-US"/>
        </w:rPr>
        <w:t xml:space="preserve"> a</w:t>
      </w:r>
      <w:r w:rsidRPr="005D7521">
        <w:rPr>
          <w:sz w:val="26"/>
          <w:szCs w:val="26"/>
          <w:lang w:val="en-US"/>
        </w:rPr>
        <w:t>m of the view that the statements should be struck out for being scandalous and defamatory</w:t>
      </w:r>
      <w:r>
        <w:rPr>
          <w:sz w:val="26"/>
          <w:szCs w:val="26"/>
          <w:lang w:val="en-US"/>
        </w:rPr>
        <w:t>.</w:t>
      </w:r>
    </w:p>
    <w:p w:rsidR="005D7521" w:rsidRPr="00377C85" w:rsidRDefault="005D7521" w:rsidP="005D7521">
      <w:pPr>
        <w:pStyle w:val="ListParagraph"/>
        <w:spacing w:after="0" w:line="360" w:lineRule="auto"/>
        <w:ind w:left="0"/>
        <w:jc w:val="both"/>
        <w:rPr>
          <w:sz w:val="26"/>
          <w:szCs w:val="26"/>
          <w:lang w:val="en-US"/>
        </w:rPr>
      </w:pPr>
    </w:p>
    <w:p w:rsidR="00401744" w:rsidRDefault="001A7C17" w:rsidP="00C11F45">
      <w:pPr>
        <w:pStyle w:val="ListParagraph"/>
        <w:numPr>
          <w:ilvl w:val="0"/>
          <w:numId w:val="2"/>
        </w:numPr>
        <w:spacing w:after="0" w:line="360" w:lineRule="auto"/>
        <w:ind w:left="0" w:firstLine="0"/>
        <w:jc w:val="both"/>
        <w:rPr>
          <w:sz w:val="26"/>
          <w:szCs w:val="26"/>
          <w:lang w:val="en-US"/>
        </w:rPr>
      </w:pPr>
      <w:r w:rsidRPr="001A7C17">
        <w:rPr>
          <w:sz w:val="26"/>
          <w:szCs w:val="26"/>
          <w:lang w:val="en-US"/>
        </w:rPr>
        <w:t xml:space="preserve">There is also an application to strike out material from the </w:t>
      </w:r>
      <w:r w:rsidR="00DF0C4E">
        <w:rPr>
          <w:sz w:val="26"/>
          <w:szCs w:val="26"/>
          <w:lang w:val="en-US"/>
        </w:rPr>
        <w:t xml:space="preserve">Rule 30 </w:t>
      </w:r>
      <w:r w:rsidRPr="001A7C17">
        <w:rPr>
          <w:sz w:val="26"/>
          <w:szCs w:val="26"/>
          <w:lang w:val="en-US"/>
        </w:rPr>
        <w:t xml:space="preserve">answering affidavit </w:t>
      </w:r>
      <w:r w:rsidR="007649D3" w:rsidRPr="007649D3">
        <w:rPr>
          <w:sz w:val="26"/>
          <w:szCs w:val="26"/>
          <w:lang w:val="en-US"/>
        </w:rPr>
        <w:t>on the basis that it is irrelevant</w:t>
      </w:r>
      <w:r>
        <w:rPr>
          <w:sz w:val="26"/>
          <w:szCs w:val="26"/>
          <w:lang w:val="en-US"/>
        </w:rPr>
        <w:t xml:space="preserve">. </w:t>
      </w:r>
      <w:r w:rsidR="007649D3">
        <w:rPr>
          <w:sz w:val="26"/>
          <w:szCs w:val="26"/>
          <w:lang w:val="en-US"/>
        </w:rPr>
        <w:t xml:space="preserve">Although </w:t>
      </w:r>
      <w:r w:rsidR="007649D3" w:rsidRPr="007649D3">
        <w:rPr>
          <w:sz w:val="26"/>
          <w:szCs w:val="26"/>
          <w:lang w:val="en-US"/>
        </w:rPr>
        <w:t>it may be argued that some of the matter complained about is unnecessarily prolix</w:t>
      </w:r>
      <w:r w:rsidR="007649D3">
        <w:rPr>
          <w:sz w:val="26"/>
          <w:szCs w:val="26"/>
          <w:lang w:val="en-US"/>
        </w:rPr>
        <w:t>, with specific reference to t</w:t>
      </w:r>
      <w:r w:rsidRPr="001A7C17">
        <w:rPr>
          <w:sz w:val="26"/>
          <w:szCs w:val="26"/>
          <w:lang w:val="en-US"/>
        </w:rPr>
        <w:t xml:space="preserve">he attachment of an </w:t>
      </w:r>
      <w:r>
        <w:rPr>
          <w:sz w:val="26"/>
          <w:szCs w:val="26"/>
          <w:lang w:val="en-US"/>
        </w:rPr>
        <w:t>annexure</w:t>
      </w:r>
      <w:r w:rsidRPr="001A7C17">
        <w:rPr>
          <w:sz w:val="26"/>
          <w:szCs w:val="26"/>
          <w:lang w:val="en-US"/>
        </w:rPr>
        <w:t xml:space="preserve"> </w:t>
      </w:r>
      <w:r>
        <w:rPr>
          <w:sz w:val="26"/>
          <w:szCs w:val="26"/>
          <w:lang w:val="en-US"/>
        </w:rPr>
        <w:t>“</w:t>
      </w:r>
      <w:r w:rsidRPr="001A7C17">
        <w:rPr>
          <w:sz w:val="26"/>
          <w:szCs w:val="26"/>
          <w:lang w:val="en-US"/>
        </w:rPr>
        <w:t>C2</w:t>
      </w:r>
      <w:r>
        <w:rPr>
          <w:sz w:val="26"/>
          <w:szCs w:val="26"/>
          <w:lang w:val="en-US"/>
        </w:rPr>
        <w:t>”</w:t>
      </w:r>
      <w:r w:rsidRPr="001A7C17">
        <w:rPr>
          <w:sz w:val="26"/>
          <w:szCs w:val="26"/>
          <w:lang w:val="en-US"/>
        </w:rPr>
        <w:t xml:space="preserve"> </w:t>
      </w:r>
      <w:r w:rsidR="00AC7ADB">
        <w:rPr>
          <w:sz w:val="26"/>
          <w:szCs w:val="26"/>
          <w:lang w:val="en-US"/>
        </w:rPr>
        <w:t>(</w:t>
      </w:r>
      <w:r>
        <w:rPr>
          <w:sz w:val="26"/>
          <w:szCs w:val="26"/>
          <w:lang w:val="en-US"/>
        </w:rPr>
        <w:t>head</w:t>
      </w:r>
      <w:r w:rsidR="005D7521">
        <w:rPr>
          <w:sz w:val="26"/>
          <w:szCs w:val="26"/>
          <w:lang w:val="en-US"/>
        </w:rPr>
        <w:t>s</w:t>
      </w:r>
      <w:r>
        <w:rPr>
          <w:sz w:val="26"/>
          <w:szCs w:val="26"/>
          <w:lang w:val="en-US"/>
        </w:rPr>
        <w:t xml:space="preserve"> of argu</w:t>
      </w:r>
      <w:r w:rsidR="00FF0AE4">
        <w:rPr>
          <w:sz w:val="26"/>
          <w:szCs w:val="26"/>
          <w:lang w:val="en-US"/>
        </w:rPr>
        <w:t xml:space="preserve">ment from the </w:t>
      </w:r>
      <w:r w:rsidR="00DF0C4E">
        <w:rPr>
          <w:sz w:val="26"/>
          <w:szCs w:val="26"/>
          <w:lang w:val="en-US"/>
        </w:rPr>
        <w:t>T</w:t>
      </w:r>
      <w:r w:rsidR="00FF0AE4">
        <w:rPr>
          <w:sz w:val="26"/>
          <w:szCs w:val="26"/>
          <w:lang w:val="en-US"/>
        </w:rPr>
        <w:t xml:space="preserve">ax </w:t>
      </w:r>
      <w:r w:rsidR="00DF0C4E">
        <w:rPr>
          <w:sz w:val="26"/>
          <w:szCs w:val="26"/>
          <w:lang w:val="en-US"/>
        </w:rPr>
        <w:t>C</w:t>
      </w:r>
      <w:r w:rsidR="00FF0AE4">
        <w:rPr>
          <w:sz w:val="26"/>
          <w:szCs w:val="26"/>
          <w:lang w:val="en-US"/>
        </w:rPr>
        <w:t>ourt</w:t>
      </w:r>
      <w:r w:rsidR="00AC7ADB">
        <w:rPr>
          <w:sz w:val="26"/>
          <w:szCs w:val="26"/>
          <w:lang w:val="en-US"/>
        </w:rPr>
        <w:t xml:space="preserve">), </w:t>
      </w:r>
      <w:r w:rsidR="005D7521">
        <w:rPr>
          <w:sz w:val="26"/>
          <w:szCs w:val="26"/>
          <w:lang w:val="en-US"/>
        </w:rPr>
        <w:t>on the whole, there is no evidence of prejudice caused by the statements</w:t>
      </w:r>
      <w:r w:rsidR="007649D3">
        <w:rPr>
          <w:sz w:val="26"/>
          <w:szCs w:val="26"/>
          <w:lang w:val="en-US"/>
        </w:rPr>
        <w:t xml:space="preserve"> that are the subject of this complaint</w:t>
      </w:r>
      <w:r w:rsidR="005D7521">
        <w:rPr>
          <w:sz w:val="26"/>
          <w:szCs w:val="26"/>
          <w:lang w:val="en-US"/>
        </w:rPr>
        <w:t xml:space="preserve">. </w:t>
      </w:r>
    </w:p>
    <w:p w:rsidR="00401744" w:rsidRPr="00401744" w:rsidRDefault="00401744" w:rsidP="00401744">
      <w:pPr>
        <w:pStyle w:val="ListParagraph"/>
        <w:rPr>
          <w:sz w:val="26"/>
          <w:szCs w:val="26"/>
          <w:lang w:val="en-US"/>
        </w:rPr>
      </w:pPr>
    </w:p>
    <w:p w:rsidR="00401744" w:rsidRDefault="007649D3" w:rsidP="00C11F45">
      <w:pPr>
        <w:pStyle w:val="ListParagraph"/>
        <w:numPr>
          <w:ilvl w:val="0"/>
          <w:numId w:val="2"/>
        </w:numPr>
        <w:spacing w:after="0" w:line="360" w:lineRule="auto"/>
        <w:ind w:left="0" w:firstLine="0"/>
        <w:jc w:val="both"/>
        <w:rPr>
          <w:sz w:val="26"/>
          <w:szCs w:val="26"/>
          <w:lang w:val="en-US"/>
        </w:rPr>
      </w:pPr>
      <w:r>
        <w:rPr>
          <w:sz w:val="26"/>
          <w:szCs w:val="26"/>
          <w:lang w:val="en-US"/>
        </w:rPr>
        <w:t xml:space="preserve">The CSARS also complains that paragraphs 9.1 and 9.4 </w:t>
      </w:r>
      <w:r w:rsidRPr="007649D3">
        <w:rPr>
          <w:sz w:val="26"/>
          <w:szCs w:val="26"/>
          <w:lang w:val="en-US"/>
        </w:rPr>
        <w:t>should be struck out because they constitute hearsay evidence</w:t>
      </w:r>
      <w:r>
        <w:rPr>
          <w:sz w:val="26"/>
          <w:szCs w:val="26"/>
          <w:lang w:val="en-US"/>
        </w:rPr>
        <w:t xml:space="preserve">. </w:t>
      </w:r>
      <w:r w:rsidR="00401744">
        <w:rPr>
          <w:sz w:val="26"/>
          <w:szCs w:val="26"/>
          <w:lang w:val="en-US"/>
        </w:rPr>
        <w:t>In p</w:t>
      </w:r>
      <w:r w:rsidR="00401744" w:rsidRPr="00401744">
        <w:rPr>
          <w:sz w:val="26"/>
          <w:szCs w:val="26"/>
          <w:lang w:val="en-US"/>
        </w:rPr>
        <w:t>aragraph 9.1</w:t>
      </w:r>
      <w:r w:rsidR="00401744">
        <w:rPr>
          <w:sz w:val="26"/>
          <w:szCs w:val="26"/>
          <w:lang w:val="en-US"/>
        </w:rPr>
        <w:t xml:space="preserve"> Mr </w:t>
      </w:r>
      <w:r w:rsidR="00234120">
        <w:rPr>
          <w:sz w:val="26"/>
          <w:szCs w:val="26"/>
          <w:lang w:val="en-US"/>
        </w:rPr>
        <w:t>van der Merwe</w:t>
      </w:r>
      <w:r w:rsidR="00401744" w:rsidRPr="00401744">
        <w:rPr>
          <w:sz w:val="26"/>
          <w:szCs w:val="26"/>
          <w:lang w:val="en-US"/>
        </w:rPr>
        <w:t xml:space="preserve"> </w:t>
      </w:r>
      <w:r>
        <w:rPr>
          <w:sz w:val="26"/>
          <w:szCs w:val="26"/>
          <w:lang w:val="en-US"/>
        </w:rPr>
        <w:t>o</w:t>
      </w:r>
      <w:r w:rsidR="00401744" w:rsidRPr="00401744">
        <w:rPr>
          <w:sz w:val="26"/>
          <w:szCs w:val="26"/>
          <w:lang w:val="en-US"/>
        </w:rPr>
        <w:t xml:space="preserve">pines that since he has been involved with </w:t>
      </w:r>
      <w:r>
        <w:rPr>
          <w:sz w:val="26"/>
          <w:szCs w:val="26"/>
          <w:lang w:val="en-US"/>
        </w:rPr>
        <w:t>M</w:t>
      </w:r>
      <w:r w:rsidR="00401744" w:rsidRPr="00401744">
        <w:rPr>
          <w:sz w:val="26"/>
          <w:szCs w:val="26"/>
          <w:lang w:val="en-US"/>
        </w:rPr>
        <w:t xml:space="preserve">s </w:t>
      </w:r>
      <w:r>
        <w:rPr>
          <w:sz w:val="26"/>
          <w:szCs w:val="26"/>
          <w:lang w:val="en-US"/>
        </w:rPr>
        <w:t>P</w:t>
      </w:r>
      <w:r w:rsidR="00401744" w:rsidRPr="00401744">
        <w:rPr>
          <w:sz w:val="26"/>
          <w:szCs w:val="26"/>
          <w:lang w:val="en-US"/>
        </w:rPr>
        <w:t>oulter</w:t>
      </w:r>
      <w:r>
        <w:rPr>
          <w:sz w:val="26"/>
          <w:szCs w:val="26"/>
          <w:lang w:val="en-US"/>
        </w:rPr>
        <w:t>’</w:t>
      </w:r>
      <w:r w:rsidR="00401744" w:rsidRPr="00401744">
        <w:rPr>
          <w:sz w:val="26"/>
          <w:szCs w:val="26"/>
          <w:lang w:val="en-US"/>
        </w:rPr>
        <w:t>s matters from 2013 it would take a substantial amount of time and money for a new legal practitioner to come on board in his stead</w:t>
      </w:r>
      <w:r w:rsidR="00401744">
        <w:rPr>
          <w:sz w:val="26"/>
          <w:szCs w:val="26"/>
          <w:lang w:val="en-US"/>
        </w:rPr>
        <w:t>.</w:t>
      </w:r>
      <w:r w:rsidR="00401744" w:rsidRPr="00401744">
        <w:rPr>
          <w:sz w:val="26"/>
          <w:szCs w:val="26"/>
          <w:lang w:val="en-US"/>
        </w:rPr>
        <w:t xml:space="preserve"> </w:t>
      </w:r>
      <w:r w:rsidR="00401744">
        <w:rPr>
          <w:sz w:val="26"/>
          <w:szCs w:val="26"/>
          <w:lang w:val="en-US"/>
        </w:rPr>
        <w:t>A</w:t>
      </w:r>
      <w:r w:rsidR="00401744" w:rsidRPr="00401744">
        <w:rPr>
          <w:sz w:val="26"/>
          <w:szCs w:val="26"/>
          <w:lang w:val="en-US"/>
        </w:rPr>
        <w:t>lthough there is a fair amount of speculation in these averments</w:t>
      </w:r>
      <w:r w:rsidR="00401744">
        <w:rPr>
          <w:sz w:val="26"/>
          <w:szCs w:val="26"/>
          <w:lang w:val="en-US"/>
        </w:rPr>
        <w:t>, they</w:t>
      </w:r>
      <w:r w:rsidR="00401744" w:rsidRPr="00401744">
        <w:rPr>
          <w:sz w:val="26"/>
          <w:szCs w:val="26"/>
          <w:lang w:val="en-US"/>
        </w:rPr>
        <w:t xml:space="preserve"> do not amount</w:t>
      </w:r>
      <w:r w:rsidR="00401744">
        <w:rPr>
          <w:sz w:val="26"/>
          <w:szCs w:val="26"/>
          <w:lang w:val="en-US"/>
        </w:rPr>
        <w:t xml:space="preserve"> to </w:t>
      </w:r>
      <w:r w:rsidR="00401744" w:rsidRPr="00401744">
        <w:rPr>
          <w:sz w:val="26"/>
          <w:szCs w:val="26"/>
          <w:lang w:val="en-US"/>
        </w:rPr>
        <w:t>hearsay</w:t>
      </w:r>
      <w:r w:rsidR="00401744">
        <w:rPr>
          <w:sz w:val="26"/>
          <w:szCs w:val="26"/>
          <w:lang w:val="en-US"/>
        </w:rPr>
        <w:t>.</w:t>
      </w:r>
      <w:r w:rsidR="00401744" w:rsidRPr="00401744">
        <w:rPr>
          <w:sz w:val="26"/>
          <w:szCs w:val="26"/>
          <w:lang w:val="en-US"/>
        </w:rPr>
        <w:t xml:space="preserve"> </w:t>
      </w:r>
    </w:p>
    <w:p w:rsidR="00401744" w:rsidRPr="00401744" w:rsidRDefault="00401744" w:rsidP="00401744">
      <w:pPr>
        <w:pStyle w:val="ListParagraph"/>
        <w:rPr>
          <w:sz w:val="26"/>
          <w:szCs w:val="26"/>
          <w:lang w:val="en-US"/>
        </w:rPr>
      </w:pPr>
    </w:p>
    <w:p w:rsidR="005D7521" w:rsidRPr="007A6441" w:rsidRDefault="00401744" w:rsidP="00C11F45">
      <w:pPr>
        <w:pStyle w:val="ListParagraph"/>
        <w:numPr>
          <w:ilvl w:val="0"/>
          <w:numId w:val="2"/>
        </w:numPr>
        <w:spacing w:after="0" w:line="360" w:lineRule="auto"/>
        <w:ind w:left="0" w:firstLine="0"/>
        <w:jc w:val="both"/>
        <w:rPr>
          <w:sz w:val="26"/>
          <w:szCs w:val="26"/>
          <w:lang w:val="en-US"/>
        </w:rPr>
      </w:pPr>
      <w:r w:rsidRPr="007A6441">
        <w:rPr>
          <w:sz w:val="26"/>
          <w:szCs w:val="26"/>
          <w:lang w:val="en-US"/>
        </w:rPr>
        <w:t xml:space="preserve">At paragraph 9.4 Mr </w:t>
      </w:r>
      <w:r w:rsidR="00234120">
        <w:rPr>
          <w:sz w:val="26"/>
          <w:szCs w:val="26"/>
          <w:lang w:val="en-US"/>
        </w:rPr>
        <w:t>van der Merwe</w:t>
      </w:r>
      <w:r w:rsidRPr="007A6441">
        <w:rPr>
          <w:sz w:val="26"/>
          <w:szCs w:val="26"/>
          <w:lang w:val="en-US"/>
        </w:rPr>
        <w:t xml:space="preserve"> states that </w:t>
      </w:r>
      <w:r w:rsidRPr="007A6441">
        <w:rPr>
          <w:i/>
          <w:iCs/>
          <w:sz w:val="26"/>
          <w:szCs w:val="26"/>
          <w:lang w:val="en-US"/>
        </w:rPr>
        <w:t xml:space="preserve">“it was impossible for [Ms Poulter] to get the help she required and nobody was able to and/or was prepared to read themselves into the matter at that late stage, specifically without [Mr </w:t>
      </w:r>
      <w:r w:rsidR="00234120">
        <w:rPr>
          <w:i/>
          <w:iCs/>
          <w:sz w:val="26"/>
          <w:szCs w:val="26"/>
          <w:lang w:val="en-US"/>
        </w:rPr>
        <w:t>van der Merwe</w:t>
      </w:r>
      <w:r w:rsidRPr="007A6441">
        <w:rPr>
          <w:i/>
          <w:iCs/>
          <w:sz w:val="26"/>
          <w:szCs w:val="26"/>
          <w:lang w:val="en-US"/>
        </w:rPr>
        <w:t>’s] input”</w:t>
      </w:r>
      <w:r w:rsidRPr="007A6441">
        <w:rPr>
          <w:sz w:val="26"/>
          <w:szCs w:val="26"/>
          <w:lang w:val="en-US"/>
        </w:rPr>
        <w:t>. Since these assertions are made without a confirmatory affidavit from Ms Poulter, they do constitute hearsay and will accordingly be struck out.</w:t>
      </w:r>
      <w:r w:rsidR="00F456C8" w:rsidRPr="007A6441">
        <w:rPr>
          <w:sz w:val="26"/>
          <w:szCs w:val="26"/>
          <w:lang w:val="en-US"/>
        </w:rPr>
        <w:t xml:space="preserve"> </w:t>
      </w:r>
      <w:r w:rsidRPr="007A6441">
        <w:rPr>
          <w:sz w:val="26"/>
          <w:szCs w:val="26"/>
          <w:lang w:val="en-US"/>
        </w:rPr>
        <w:t xml:space="preserve"> </w:t>
      </w:r>
    </w:p>
    <w:p w:rsidR="00FE5AC2" w:rsidRPr="00FE5AC2" w:rsidRDefault="00FE5AC2" w:rsidP="00FE5AC2">
      <w:pPr>
        <w:pStyle w:val="ListParagraph"/>
        <w:spacing w:after="0" w:line="360" w:lineRule="auto"/>
        <w:ind w:left="0"/>
        <w:jc w:val="both"/>
        <w:rPr>
          <w:sz w:val="26"/>
          <w:szCs w:val="26"/>
          <w:lang w:val="en-US"/>
        </w:rPr>
      </w:pPr>
    </w:p>
    <w:p w:rsidR="00B36ED7" w:rsidRDefault="00B36ED7" w:rsidP="007E42C5">
      <w:pPr>
        <w:pStyle w:val="ListParagraph"/>
        <w:numPr>
          <w:ilvl w:val="0"/>
          <w:numId w:val="2"/>
        </w:numPr>
        <w:spacing w:after="0" w:line="360" w:lineRule="auto"/>
        <w:ind w:left="0" w:firstLine="0"/>
        <w:jc w:val="both"/>
        <w:rPr>
          <w:sz w:val="26"/>
          <w:szCs w:val="26"/>
          <w:lang w:val="en-US"/>
        </w:rPr>
      </w:pPr>
      <w:r w:rsidRPr="00B36ED7">
        <w:rPr>
          <w:sz w:val="26"/>
          <w:szCs w:val="26"/>
          <w:lang w:val="en-US"/>
        </w:rPr>
        <w:t xml:space="preserve">The </w:t>
      </w:r>
      <w:r>
        <w:rPr>
          <w:sz w:val="26"/>
          <w:szCs w:val="26"/>
          <w:lang w:val="en-US"/>
        </w:rPr>
        <w:t>C</w:t>
      </w:r>
      <w:r w:rsidRPr="00B36ED7">
        <w:rPr>
          <w:sz w:val="26"/>
          <w:szCs w:val="26"/>
          <w:lang w:val="en-US"/>
        </w:rPr>
        <w:t>SA</w:t>
      </w:r>
      <w:r>
        <w:rPr>
          <w:sz w:val="26"/>
          <w:szCs w:val="26"/>
          <w:lang w:val="en-US"/>
        </w:rPr>
        <w:t>R</w:t>
      </w:r>
      <w:r w:rsidRPr="00B36ED7">
        <w:rPr>
          <w:sz w:val="26"/>
          <w:szCs w:val="26"/>
          <w:lang w:val="en-US"/>
        </w:rPr>
        <w:t xml:space="preserve">S also seeks </w:t>
      </w:r>
      <w:r>
        <w:rPr>
          <w:sz w:val="26"/>
          <w:szCs w:val="26"/>
          <w:lang w:val="en-US"/>
        </w:rPr>
        <w:t>the</w:t>
      </w:r>
      <w:r w:rsidRPr="00B36ED7">
        <w:rPr>
          <w:sz w:val="26"/>
          <w:szCs w:val="26"/>
          <w:lang w:val="en-US"/>
        </w:rPr>
        <w:t xml:space="preserve"> striking out of an</w:t>
      </w:r>
      <w:r>
        <w:rPr>
          <w:sz w:val="26"/>
          <w:szCs w:val="26"/>
          <w:lang w:val="en-US"/>
        </w:rPr>
        <w:t>nexure</w:t>
      </w:r>
      <w:r w:rsidRPr="00B36ED7">
        <w:rPr>
          <w:sz w:val="26"/>
          <w:szCs w:val="26"/>
          <w:lang w:val="en-US"/>
        </w:rPr>
        <w:t xml:space="preserve"> </w:t>
      </w:r>
      <w:r>
        <w:rPr>
          <w:sz w:val="26"/>
          <w:szCs w:val="26"/>
          <w:lang w:val="en-US"/>
        </w:rPr>
        <w:t>“</w:t>
      </w:r>
      <w:r w:rsidRPr="00B36ED7">
        <w:rPr>
          <w:sz w:val="26"/>
          <w:szCs w:val="26"/>
          <w:lang w:val="en-US"/>
        </w:rPr>
        <w:t>C1</w:t>
      </w:r>
      <w:r>
        <w:rPr>
          <w:sz w:val="26"/>
          <w:szCs w:val="26"/>
          <w:lang w:val="en-US"/>
        </w:rPr>
        <w:t>”</w:t>
      </w:r>
      <w:r w:rsidRPr="00B36ED7">
        <w:rPr>
          <w:sz w:val="26"/>
          <w:szCs w:val="26"/>
          <w:lang w:val="en-US"/>
        </w:rPr>
        <w:t xml:space="preserve"> to the </w:t>
      </w:r>
      <w:r>
        <w:rPr>
          <w:sz w:val="26"/>
          <w:szCs w:val="26"/>
          <w:lang w:val="en-US"/>
        </w:rPr>
        <w:t>R</w:t>
      </w:r>
      <w:r w:rsidRPr="00B36ED7">
        <w:rPr>
          <w:sz w:val="26"/>
          <w:szCs w:val="26"/>
          <w:lang w:val="en-US"/>
        </w:rPr>
        <w:t>ule 30 answering affidavit on the basis that it has not been authenticated and is inadmissible</w:t>
      </w:r>
      <w:r>
        <w:rPr>
          <w:sz w:val="26"/>
          <w:szCs w:val="26"/>
          <w:lang w:val="en-US"/>
        </w:rPr>
        <w:t>. Annexure “C1”</w:t>
      </w:r>
      <w:r w:rsidRPr="00B36ED7">
        <w:rPr>
          <w:sz w:val="26"/>
          <w:szCs w:val="26"/>
          <w:lang w:val="en-US"/>
        </w:rPr>
        <w:t xml:space="preserve"> </w:t>
      </w:r>
      <w:r>
        <w:rPr>
          <w:sz w:val="26"/>
          <w:szCs w:val="26"/>
          <w:lang w:val="en-US"/>
        </w:rPr>
        <w:t xml:space="preserve">is </w:t>
      </w:r>
      <w:r w:rsidR="00BF1BBE">
        <w:rPr>
          <w:sz w:val="26"/>
          <w:szCs w:val="26"/>
          <w:lang w:val="en-US"/>
        </w:rPr>
        <w:t xml:space="preserve">a </w:t>
      </w:r>
      <w:r>
        <w:rPr>
          <w:sz w:val="26"/>
          <w:szCs w:val="26"/>
          <w:lang w:val="en-US"/>
        </w:rPr>
        <w:t xml:space="preserve">document </w:t>
      </w:r>
      <w:r w:rsidRPr="00B36ED7">
        <w:rPr>
          <w:sz w:val="26"/>
          <w:szCs w:val="26"/>
          <w:lang w:val="en-US"/>
        </w:rPr>
        <w:t xml:space="preserve">signed by </w:t>
      </w:r>
      <w:r>
        <w:rPr>
          <w:sz w:val="26"/>
          <w:szCs w:val="26"/>
          <w:lang w:val="en-US"/>
        </w:rPr>
        <w:t>M</w:t>
      </w:r>
      <w:r w:rsidRPr="00B36ED7">
        <w:rPr>
          <w:sz w:val="26"/>
          <w:szCs w:val="26"/>
          <w:lang w:val="en-US"/>
        </w:rPr>
        <w:t xml:space="preserve">s </w:t>
      </w:r>
      <w:r>
        <w:rPr>
          <w:sz w:val="26"/>
          <w:szCs w:val="26"/>
          <w:lang w:val="en-US"/>
        </w:rPr>
        <w:t>P</w:t>
      </w:r>
      <w:r w:rsidRPr="00B36ED7">
        <w:rPr>
          <w:sz w:val="26"/>
          <w:szCs w:val="26"/>
          <w:lang w:val="en-US"/>
        </w:rPr>
        <w:t>o</w:t>
      </w:r>
      <w:r>
        <w:rPr>
          <w:sz w:val="26"/>
          <w:szCs w:val="26"/>
          <w:lang w:val="en-US"/>
        </w:rPr>
        <w:t>u</w:t>
      </w:r>
      <w:r w:rsidRPr="00B36ED7">
        <w:rPr>
          <w:sz w:val="26"/>
          <w:szCs w:val="26"/>
          <w:lang w:val="en-US"/>
        </w:rPr>
        <w:t>lter</w:t>
      </w:r>
      <w:r>
        <w:rPr>
          <w:sz w:val="26"/>
          <w:szCs w:val="26"/>
          <w:lang w:val="en-US"/>
        </w:rPr>
        <w:t>,</w:t>
      </w:r>
      <w:r w:rsidRPr="00B36ED7">
        <w:rPr>
          <w:sz w:val="26"/>
          <w:szCs w:val="26"/>
          <w:lang w:val="en-US"/>
        </w:rPr>
        <w:t xml:space="preserve"> </w:t>
      </w:r>
      <w:r>
        <w:rPr>
          <w:sz w:val="26"/>
          <w:szCs w:val="26"/>
          <w:lang w:val="en-US"/>
        </w:rPr>
        <w:t>p</w:t>
      </w:r>
      <w:r w:rsidRPr="00B36ED7">
        <w:rPr>
          <w:sz w:val="26"/>
          <w:szCs w:val="26"/>
          <w:lang w:val="en-US"/>
        </w:rPr>
        <w:t>urport</w:t>
      </w:r>
      <w:r>
        <w:rPr>
          <w:sz w:val="26"/>
          <w:szCs w:val="26"/>
          <w:lang w:val="en-US"/>
        </w:rPr>
        <w:t>ing</w:t>
      </w:r>
      <w:r w:rsidRPr="00B36ED7">
        <w:rPr>
          <w:sz w:val="26"/>
          <w:szCs w:val="26"/>
          <w:lang w:val="en-US"/>
        </w:rPr>
        <w:t xml:space="preserve"> to</w:t>
      </w:r>
      <w:r>
        <w:rPr>
          <w:sz w:val="26"/>
          <w:szCs w:val="26"/>
          <w:lang w:val="en-US"/>
        </w:rPr>
        <w:t xml:space="preserve"> </w:t>
      </w:r>
      <w:r w:rsidR="007649D3">
        <w:rPr>
          <w:sz w:val="26"/>
          <w:szCs w:val="26"/>
          <w:lang w:val="en-US"/>
        </w:rPr>
        <w:t xml:space="preserve">authorize </w:t>
      </w:r>
      <w:r>
        <w:rPr>
          <w:sz w:val="26"/>
          <w:szCs w:val="26"/>
          <w:lang w:val="en-US"/>
        </w:rPr>
        <w:t xml:space="preserve">Mr </w:t>
      </w:r>
      <w:r w:rsidR="00234120">
        <w:rPr>
          <w:sz w:val="26"/>
          <w:szCs w:val="26"/>
          <w:lang w:val="en-US"/>
        </w:rPr>
        <w:t>van der Merwe</w:t>
      </w:r>
      <w:r>
        <w:rPr>
          <w:sz w:val="26"/>
          <w:szCs w:val="26"/>
          <w:lang w:val="en-US"/>
        </w:rPr>
        <w:t xml:space="preserve"> </w:t>
      </w:r>
      <w:r w:rsidRPr="00B36ED7">
        <w:rPr>
          <w:sz w:val="26"/>
          <w:szCs w:val="26"/>
          <w:lang w:val="en-US"/>
        </w:rPr>
        <w:t>by special power</w:t>
      </w:r>
      <w:r>
        <w:rPr>
          <w:sz w:val="26"/>
          <w:szCs w:val="26"/>
          <w:lang w:val="en-US"/>
        </w:rPr>
        <w:t xml:space="preserve"> </w:t>
      </w:r>
      <w:r w:rsidRPr="00B36ED7">
        <w:rPr>
          <w:sz w:val="26"/>
          <w:szCs w:val="26"/>
          <w:lang w:val="en-US"/>
        </w:rPr>
        <w:t>of attorney</w:t>
      </w:r>
      <w:r>
        <w:rPr>
          <w:sz w:val="26"/>
          <w:szCs w:val="26"/>
          <w:lang w:val="en-US"/>
        </w:rPr>
        <w:t>,</w:t>
      </w:r>
      <w:r w:rsidRPr="00B36ED7">
        <w:rPr>
          <w:sz w:val="26"/>
          <w:szCs w:val="26"/>
          <w:lang w:val="en-US"/>
        </w:rPr>
        <w:t xml:space="preserve"> </w:t>
      </w:r>
      <w:r w:rsidR="007649D3">
        <w:rPr>
          <w:sz w:val="26"/>
          <w:szCs w:val="26"/>
          <w:lang w:val="en-US"/>
        </w:rPr>
        <w:t>t</w:t>
      </w:r>
      <w:r w:rsidRPr="00B36ED7">
        <w:rPr>
          <w:sz w:val="26"/>
          <w:szCs w:val="26"/>
          <w:lang w:val="en-US"/>
        </w:rPr>
        <w:t>o act on her behalf in respect of the tax</w:t>
      </w:r>
      <w:r w:rsidR="007649D3">
        <w:rPr>
          <w:sz w:val="26"/>
          <w:szCs w:val="26"/>
          <w:lang w:val="en-US"/>
        </w:rPr>
        <w:t xml:space="preserve"> period b</w:t>
      </w:r>
      <w:r w:rsidRPr="00B36ED7">
        <w:rPr>
          <w:sz w:val="26"/>
          <w:szCs w:val="26"/>
          <w:lang w:val="en-US"/>
        </w:rPr>
        <w:t>etween 2014 and 2020</w:t>
      </w:r>
      <w:r>
        <w:rPr>
          <w:sz w:val="26"/>
          <w:szCs w:val="26"/>
          <w:lang w:val="en-US"/>
        </w:rPr>
        <w:t>.</w:t>
      </w:r>
      <w:r w:rsidRPr="00B36ED7">
        <w:rPr>
          <w:sz w:val="26"/>
          <w:szCs w:val="26"/>
          <w:lang w:val="en-US"/>
        </w:rPr>
        <w:t xml:space="preserve"> </w:t>
      </w:r>
      <w:r w:rsidR="007649D3">
        <w:rPr>
          <w:sz w:val="26"/>
          <w:szCs w:val="26"/>
          <w:lang w:val="en-US"/>
        </w:rPr>
        <w:t>In</w:t>
      </w:r>
      <w:r w:rsidR="007649D3" w:rsidRPr="00B36ED7">
        <w:rPr>
          <w:sz w:val="26"/>
          <w:szCs w:val="26"/>
          <w:lang w:val="en-US"/>
        </w:rPr>
        <w:t xml:space="preserve"> regard to an appeal</w:t>
      </w:r>
      <w:r w:rsidR="007649D3">
        <w:rPr>
          <w:sz w:val="26"/>
          <w:szCs w:val="26"/>
          <w:lang w:val="en-US"/>
        </w:rPr>
        <w:t>,</w:t>
      </w:r>
      <w:r w:rsidR="007649D3" w:rsidRPr="00B36ED7">
        <w:rPr>
          <w:sz w:val="26"/>
          <w:szCs w:val="26"/>
          <w:lang w:val="en-US"/>
        </w:rPr>
        <w:t xml:space="preserve"> the </w:t>
      </w:r>
      <w:r w:rsidR="009C6F71">
        <w:rPr>
          <w:sz w:val="26"/>
          <w:szCs w:val="26"/>
          <w:lang w:val="en-US"/>
        </w:rPr>
        <w:t>document</w:t>
      </w:r>
      <w:r w:rsidR="007649D3" w:rsidRPr="00B36ED7">
        <w:rPr>
          <w:sz w:val="26"/>
          <w:szCs w:val="26"/>
          <w:lang w:val="en-US"/>
        </w:rPr>
        <w:t xml:space="preserve"> states that Mr</w:t>
      </w:r>
      <w:r w:rsidR="007649D3">
        <w:rPr>
          <w:sz w:val="26"/>
          <w:szCs w:val="26"/>
          <w:lang w:val="en-US"/>
        </w:rPr>
        <w:t xml:space="preserve"> </w:t>
      </w:r>
      <w:r w:rsidR="00234120">
        <w:rPr>
          <w:sz w:val="26"/>
          <w:szCs w:val="26"/>
          <w:lang w:val="en-US"/>
        </w:rPr>
        <w:t>van der Merwe</w:t>
      </w:r>
      <w:r w:rsidR="007649D3">
        <w:rPr>
          <w:sz w:val="26"/>
          <w:szCs w:val="26"/>
          <w:lang w:val="en-US"/>
        </w:rPr>
        <w:t xml:space="preserve"> </w:t>
      </w:r>
      <w:r w:rsidR="007649D3" w:rsidRPr="00B36ED7">
        <w:rPr>
          <w:sz w:val="26"/>
          <w:szCs w:val="26"/>
          <w:lang w:val="en-US"/>
        </w:rPr>
        <w:t>is authorized</w:t>
      </w:r>
      <w:r w:rsidR="007649D3">
        <w:rPr>
          <w:sz w:val="26"/>
          <w:szCs w:val="26"/>
          <w:lang w:val="en-US"/>
        </w:rPr>
        <w:t xml:space="preserve"> </w:t>
      </w:r>
      <w:r w:rsidR="007649D3" w:rsidRPr="00B36ED7">
        <w:rPr>
          <w:i/>
          <w:iCs/>
          <w:sz w:val="26"/>
          <w:szCs w:val="26"/>
          <w:lang w:val="en-US"/>
        </w:rPr>
        <w:t>“to file and pursue an appeal against disallowance of an objection by SARS”</w:t>
      </w:r>
      <w:r w:rsidR="007649D3">
        <w:rPr>
          <w:sz w:val="26"/>
          <w:szCs w:val="26"/>
          <w:lang w:val="en-US"/>
        </w:rPr>
        <w:t xml:space="preserve">. </w:t>
      </w:r>
      <w:r>
        <w:rPr>
          <w:sz w:val="26"/>
          <w:szCs w:val="26"/>
          <w:lang w:val="en-US"/>
        </w:rPr>
        <w:t>The CSARS</w:t>
      </w:r>
      <w:r w:rsidRPr="00B36ED7">
        <w:rPr>
          <w:sz w:val="26"/>
          <w:szCs w:val="26"/>
          <w:lang w:val="en-US"/>
        </w:rPr>
        <w:t xml:space="preserve"> object</w:t>
      </w:r>
      <w:r>
        <w:rPr>
          <w:sz w:val="26"/>
          <w:szCs w:val="26"/>
          <w:lang w:val="en-US"/>
        </w:rPr>
        <w:t>s</w:t>
      </w:r>
      <w:r w:rsidRPr="00B36ED7">
        <w:rPr>
          <w:sz w:val="26"/>
          <w:szCs w:val="26"/>
          <w:lang w:val="en-US"/>
        </w:rPr>
        <w:t xml:space="preserve"> to this document because it is not authenticated</w:t>
      </w:r>
      <w:r>
        <w:rPr>
          <w:sz w:val="26"/>
          <w:szCs w:val="26"/>
          <w:lang w:val="en-US"/>
        </w:rPr>
        <w:t>,</w:t>
      </w:r>
      <w:r w:rsidRPr="00B36ED7">
        <w:rPr>
          <w:sz w:val="26"/>
          <w:szCs w:val="26"/>
          <w:lang w:val="en-US"/>
        </w:rPr>
        <w:t xml:space="preserve"> and </w:t>
      </w:r>
      <w:r>
        <w:rPr>
          <w:sz w:val="26"/>
          <w:szCs w:val="26"/>
          <w:lang w:val="en-US"/>
        </w:rPr>
        <w:t>o</w:t>
      </w:r>
      <w:r w:rsidRPr="00B36ED7">
        <w:rPr>
          <w:sz w:val="26"/>
          <w:szCs w:val="26"/>
          <w:lang w:val="en-US"/>
        </w:rPr>
        <w:t>n its own terms</w:t>
      </w:r>
      <w:r>
        <w:rPr>
          <w:sz w:val="26"/>
          <w:szCs w:val="26"/>
          <w:lang w:val="en-US"/>
        </w:rPr>
        <w:t xml:space="preserve">, </w:t>
      </w:r>
      <w:r w:rsidRPr="00B36ED7">
        <w:rPr>
          <w:sz w:val="26"/>
          <w:szCs w:val="26"/>
          <w:lang w:val="en-US"/>
        </w:rPr>
        <w:t xml:space="preserve">does not extend to an appeal </w:t>
      </w:r>
      <w:r>
        <w:rPr>
          <w:sz w:val="26"/>
          <w:szCs w:val="26"/>
          <w:lang w:val="en-US"/>
        </w:rPr>
        <w:t>i</w:t>
      </w:r>
      <w:r w:rsidRPr="00B36ED7">
        <w:rPr>
          <w:sz w:val="26"/>
          <w:szCs w:val="26"/>
          <w:lang w:val="en-US"/>
        </w:rPr>
        <w:t xml:space="preserve">n this </w:t>
      </w:r>
      <w:r>
        <w:rPr>
          <w:sz w:val="26"/>
          <w:szCs w:val="26"/>
          <w:lang w:val="en-US"/>
        </w:rPr>
        <w:t>C</w:t>
      </w:r>
      <w:r w:rsidRPr="00B36ED7">
        <w:rPr>
          <w:sz w:val="26"/>
          <w:szCs w:val="26"/>
          <w:lang w:val="en-US"/>
        </w:rPr>
        <w:t>ourt</w:t>
      </w:r>
      <w:r>
        <w:rPr>
          <w:sz w:val="26"/>
          <w:szCs w:val="26"/>
          <w:lang w:val="en-US"/>
        </w:rPr>
        <w:t>.</w:t>
      </w:r>
      <w:r w:rsidRPr="00B36ED7">
        <w:rPr>
          <w:sz w:val="26"/>
          <w:szCs w:val="26"/>
          <w:lang w:val="en-US"/>
        </w:rPr>
        <w:t xml:space="preserve"> </w:t>
      </w:r>
      <w:r>
        <w:rPr>
          <w:sz w:val="26"/>
          <w:szCs w:val="26"/>
          <w:lang w:val="en-US"/>
        </w:rPr>
        <w:t>A</w:t>
      </w:r>
      <w:r w:rsidRPr="00B36ED7">
        <w:rPr>
          <w:sz w:val="26"/>
          <w:szCs w:val="26"/>
          <w:lang w:val="en-US"/>
        </w:rPr>
        <w:t xml:space="preserve">ll of these objections are </w:t>
      </w:r>
      <w:r w:rsidR="00FB7446" w:rsidRPr="00B36ED7">
        <w:rPr>
          <w:sz w:val="26"/>
          <w:szCs w:val="26"/>
          <w:lang w:val="en-US"/>
        </w:rPr>
        <w:t>correct</w:t>
      </w:r>
      <w:r w:rsidR="00FB7446">
        <w:rPr>
          <w:sz w:val="26"/>
          <w:szCs w:val="26"/>
          <w:lang w:val="en-US"/>
        </w:rPr>
        <w:t xml:space="preserve"> and</w:t>
      </w:r>
      <w:r>
        <w:rPr>
          <w:sz w:val="26"/>
          <w:szCs w:val="26"/>
          <w:lang w:val="en-US"/>
        </w:rPr>
        <w:t xml:space="preserve"> are upheld. </w:t>
      </w:r>
      <w:r w:rsidRPr="00B36ED7">
        <w:rPr>
          <w:sz w:val="26"/>
          <w:szCs w:val="26"/>
          <w:lang w:val="en-US"/>
        </w:rPr>
        <w:t>Accordingly</w:t>
      </w:r>
      <w:r w:rsidR="009678C3">
        <w:rPr>
          <w:sz w:val="26"/>
          <w:szCs w:val="26"/>
          <w:lang w:val="en-US"/>
        </w:rPr>
        <w:t>,</w:t>
      </w:r>
      <w:r w:rsidRPr="00B36ED7">
        <w:rPr>
          <w:sz w:val="26"/>
          <w:szCs w:val="26"/>
          <w:lang w:val="en-US"/>
        </w:rPr>
        <w:t xml:space="preserve"> </w:t>
      </w:r>
      <w:r w:rsidRPr="007A6441">
        <w:rPr>
          <w:sz w:val="26"/>
          <w:szCs w:val="26"/>
          <w:lang w:val="en-US"/>
        </w:rPr>
        <w:t xml:space="preserve">annexure C1 </w:t>
      </w:r>
      <w:r w:rsidR="0067247A" w:rsidRPr="007A6441">
        <w:rPr>
          <w:sz w:val="26"/>
          <w:szCs w:val="26"/>
          <w:lang w:val="en-US"/>
        </w:rPr>
        <w:t>t</w:t>
      </w:r>
      <w:r w:rsidRPr="007A6441">
        <w:rPr>
          <w:sz w:val="26"/>
          <w:szCs w:val="26"/>
          <w:lang w:val="en-US"/>
        </w:rPr>
        <w:t xml:space="preserve">o the </w:t>
      </w:r>
      <w:r w:rsidR="0067247A" w:rsidRPr="007A6441">
        <w:rPr>
          <w:sz w:val="26"/>
          <w:szCs w:val="26"/>
          <w:lang w:val="en-US"/>
        </w:rPr>
        <w:t>R</w:t>
      </w:r>
      <w:r w:rsidRPr="007A6441">
        <w:rPr>
          <w:sz w:val="26"/>
          <w:szCs w:val="26"/>
          <w:lang w:val="en-US"/>
        </w:rPr>
        <w:t>ule 30</w:t>
      </w:r>
      <w:r w:rsidRPr="00B36ED7">
        <w:rPr>
          <w:sz w:val="26"/>
          <w:szCs w:val="26"/>
          <w:lang w:val="en-US"/>
        </w:rPr>
        <w:t xml:space="preserve"> answering affidavit is struck ou</w:t>
      </w:r>
      <w:r>
        <w:rPr>
          <w:sz w:val="26"/>
          <w:szCs w:val="26"/>
          <w:lang w:val="en-US"/>
        </w:rPr>
        <w:t>t.</w:t>
      </w:r>
    </w:p>
    <w:p w:rsidR="009678C3" w:rsidRPr="009678C3" w:rsidRDefault="009678C3" w:rsidP="009678C3">
      <w:pPr>
        <w:pStyle w:val="ListParagraph"/>
        <w:rPr>
          <w:sz w:val="26"/>
          <w:szCs w:val="26"/>
          <w:lang w:val="en-US"/>
        </w:rPr>
      </w:pPr>
    </w:p>
    <w:p w:rsidR="0041227F" w:rsidRPr="0041227F" w:rsidRDefault="009678C3" w:rsidP="0041227F">
      <w:pPr>
        <w:pStyle w:val="ListParagraph"/>
        <w:numPr>
          <w:ilvl w:val="0"/>
          <w:numId w:val="2"/>
        </w:numPr>
        <w:spacing w:after="0" w:line="360" w:lineRule="auto"/>
        <w:ind w:left="0" w:firstLine="0"/>
        <w:jc w:val="both"/>
        <w:rPr>
          <w:sz w:val="26"/>
          <w:szCs w:val="26"/>
          <w:lang w:val="en-US"/>
        </w:rPr>
      </w:pPr>
      <w:r>
        <w:rPr>
          <w:sz w:val="26"/>
          <w:szCs w:val="26"/>
          <w:lang w:val="en-US"/>
        </w:rPr>
        <w:t xml:space="preserve">I now turn to the objections </w:t>
      </w:r>
      <w:r w:rsidR="00FB7446">
        <w:rPr>
          <w:sz w:val="26"/>
          <w:szCs w:val="26"/>
          <w:lang w:val="en-US"/>
        </w:rPr>
        <w:t>pertaining to</w:t>
      </w:r>
      <w:r>
        <w:rPr>
          <w:sz w:val="26"/>
          <w:szCs w:val="26"/>
          <w:lang w:val="en-US"/>
        </w:rPr>
        <w:t xml:space="preserve"> the </w:t>
      </w:r>
      <w:r w:rsidR="00FB7446">
        <w:rPr>
          <w:sz w:val="26"/>
          <w:szCs w:val="26"/>
          <w:lang w:val="en-US"/>
        </w:rPr>
        <w:t xml:space="preserve">founding affidavit in the </w:t>
      </w:r>
      <w:r>
        <w:rPr>
          <w:sz w:val="26"/>
          <w:szCs w:val="26"/>
          <w:lang w:val="en-US"/>
        </w:rPr>
        <w:t>intervention application dated 29 July 2022 (</w:t>
      </w:r>
      <w:r w:rsidRPr="009C6F71">
        <w:rPr>
          <w:i/>
          <w:iCs/>
          <w:sz w:val="26"/>
          <w:szCs w:val="26"/>
          <w:lang w:val="en-US"/>
        </w:rPr>
        <w:t>“the intervention affidavit”</w:t>
      </w:r>
      <w:r>
        <w:rPr>
          <w:sz w:val="26"/>
          <w:szCs w:val="26"/>
          <w:lang w:val="en-US"/>
        </w:rPr>
        <w:t>). P</w:t>
      </w:r>
      <w:r w:rsidRPr="009678C3">
        <w:rPr>
          <w:sz w:val="26"/>
          <w:szCs w:val="26"/>
          <w:lang w:val="en-US"/>
        </w:rPr>
        <w:t>aragraphs 18</w:t>
      </w:r>
      <w:r>
        <w:rPr>
          <w:sz w:val="26"/>
          <w:szCs w:val="26"/>
          <w:lang w:val="en-US"/>
        </w:rPr>
        <w:t>,</w:t>
      </w:r>
      <w:r w:rsidR="002F10BA">
        <w:rPr>
          <w:sz w:val="26"/>
          <w:szCs w:val="26"/>
          <w:lang w:val="en-US"/>
        </w:rPr>
        <w:t xml:space="preserve"> </w:t>
      </w:r>
      <w:r w:rsidRPr="009678C3">
        <w:rPr>
          <w:sz w:val="26"/>
          <w:szCs w:val="26"/>
          <w:lang w:val="en-US"/>
        </w:rPr>
        <w:t>19</w:t>
      </w:r>
      <w:r>
        <w:rPr>
          <w:sz w:val="26"/>
          <w:szCs w:val="26"/>
          <w:lang w:val="en-US"/>
        </w:rPr>
        <w:t>,</w:t>
      </w:r>
      <w:r w:rsidRPr="009678C3">
        <w:rPr>
          <w:sz w:val="26"/>
          <w:szCs w:val="26"/>
          <w:lang w:val="en-US"/>
        </w:rPr>
        <w:t xml:space="preserve"> 36 </w:t>
      </w:r>
      <w:r w:rsidR="00FB7446">
        <w:rPr>
          <w:sz w:val="26"/>
          <w:szCs w:val="26"/>
          <w:lang w:val="en-US"/>
        </w:rPr>
        <w:t>there</w:t>
      </w:r>
      <w:r w:rsidRPr="009678C3">
        <w:rPr>
          <w:sz w:val="26"/>
          <w:szCs w:val="26"/>
          <w:lang w:val="en-US"/>
        </w:rPr>
        <w:t xml:space="preserve">of </w:t>
      </w:r>
      <w:r w:rsidR="00FB7446">
        <w:rPr>
          <w:sz w:val="26"/>
          <w:szCs w:val="26"/>
          <w:lang w:val="en-US"/>
        </w:rPr>
        <w:t>contain</w:t>
      </w:r>
      <w:r w:rsidRPr="009678C3">
        <w:rPr>
          <w:sz w:val="26"/>
          <w:szCs w:val="26"/>
          <w:lang w:val="en-US"/>
        </w:rPr>
        <w:t xml:space="preserve"> matter which </w:t>
      </w:r>
      <w:r>
        <w:rPr>
          <w:sz w:val="26"/>
          <w:szCs w:val="26"/>
          <w:lang w:val="en-US"/>
        </w:rPr>
        <w:t>i</w:t>
      </w:r>
      <w:r w:rsidRPr="009678C3">
        <w:rPr>
          <w:sz w:val="26"/>
          <w:szCs w:val="26"/>
          <w:lang w:val="en-US"/>
        </w:rPr>
        <w:t xml:space="preserve">s couched in similar </w:t>
      </w:r>
      <w:r>
        <w:rPr>
          <w:sz w:val="26"/>
          <w:szCs w:val="26"/>
          <w:lang w:val="en-US"/>
        </w:rPr>
        <w:t>language</w:t>
      </w:r>
      <w:r w:rsidRPr="009678C3">
        <w:rPr>
          <w:sz w:val="26"/>
          <w:szCs w:val="26"/>
          <w:lang w:val="en-US"/>
        </w:rPr>
        <w:t xml:space="preserve"> as that discussed above</w:t>
      </w:r>
      <w:r w:rsidR="00FB7446">
        <w:rPr>
          <w:sz w:val="26"/>
          <w:szCs w:val="26"/>
          <w:lang w:val="en-US"/>
        </w:rPr>
        <w:t>,</w:t>
      </w:r>
      <w:r w:rsidRPr="009678C3">
        <w:rPr>
          <w:sz w:val="26"/>
          <w:szCs w:val="26"/>
          <w:lang w:val="en-US"/>
        </w:rPr>
        <w:t xml:space="preserve"> which I</w:t>
      </w:r>
      <w:r>
        <w:rPr>
          <w:sz w:val="26"/>
          <w:szCs w:val="26"/>
          <w:lang w:val="en-US"/>
        </w:rPr>
        <w:t xml:space="preserve"> have</w:t>
      </w:r>
      <w:r w:rsidRPr="009678C3">
        <w:rPr>
          <w:sz w:val="26"/>
          <w:szCs w:val="26"/>
          <w:lang w:val="en-US"/>
        </w:rPr>
        <w:t xml:space="preserve"> characterized as criticism of </w:t>
      </w:r>
      <w:r>
        <w:rPr>
          <w:sz w:val="26"/>
          <w:szCs w:val="26"/>
          <w:lang w:val="en-US"/>
        </w:rPr>
        <w:t>the C</w:t>
      </w:r>
      <w:r w:rsidRPr="009678C3">
        <w:rPr>
          <w:sz w:val="26"/>
          <w:szCs w:val="26"/>
          <w:lang w:val="en-US"/>
        </w:rPr>
        <w:t>SARS</w:t>
      </w:r>
      <w:r>
        <w:rPr>
          <w:sz w:val="26"/>
          <w:szCs w:val="26"/>
          <w:lang w:val="en-US"/>
        </w:rPr>
        <w:t>’</w:t>
      </w:r>
      <w:r w:rsidRPr="009678C3">
        <w:rPr>
          <w:sz w:val="26"/>
          <w:szCs w:val="26"/>
          <w:lang w:val="en-US"/>
        </w:rPr>
        <w:t xml:space="preserve"> litigation strategy</w:t>
      </w:r>
      <w:r>
        <w:rPr>
          <w:sz w:val="26"/>
          <w:szCs w:val="26"/>
          <w:lang w:val="en-US"/>
        </w:rPr>
        <w:t>.</w:t>
      </w:r>
      <w:r w:rsidRPr="009678C3">
        <w:rPr>
          <w:sz w:val="26"/>
          <w:szCs w:val="26"/>
          <w:lang w:val="en-US"/>
        </w:rPr>
        <w:t xml:space="preserve"> These paragraphs similarly allege that </w:t>
      </w:r>
      <w:r>
        <w:rPr>
          <w:sz w:val="26"/>
          <w:szCs w:val="26"/>
          <w:lang w:val="en-US"/>
        </w:rPr>
        <w:t>the C</w:t>
      </w:r>
      <w:r w:rsidRPr="009678C3">
        <w:rPr>
          <w:sz w:val="26"/>
          <w:szCs w:val="26"/>
          <w:lang w:val="en-US"/>
        </w:rPr>
        <w:t>SA</w:t>
      </w:r>
      <w:r>
        <w:rPr>
          <w:sz w:val="26"/>
          <w:szCs w:val="26"/>
          <w:lang w:val="en-US"/>
        </w:rPr>
        <w:t>R</w:t>
      </w:r>
      <w:r w:rsidRPr="009678C3">
        <w:rPr>
          <w:sz w:val="26"/>
          <w:szCs w:val="26"/>
          <w:lang w:val="en-US"/>
        </w:rPr>
        <w:t>S has adopted a delaying strategy which amounts to an abuse of court proces</w:t>
      </w:r>
      <w:r>
        <w:rPr>
          <w:sz w:val="26"/>
          <w:szCs w:val="26"/>
          <w:lang w:val="en-US"/>
        </w:rPr>
        <w:t xml:space="preserve">s. </w:t>
      </w:r>
      <w:r w:rsidR="00FB7446">
        <w:rPr>
          <w:sz w:val="26"/>
          <w:szCs w:val="26"/>
          <w:lang w:val="en-US"/>
        </w:rPr>
        <w:t xml:space="preserve"> As per</w:t>
      </w:r>
      <w:r w:rsidRPr="009678C3">
        <w:rPr>
          <w:sz w:val="26"/>
          <w:szCs w:val="26"/>
          <w:lang w:val="en-US"/>
        </w:rPr>
        <w:t xml:space="preserve"> the </w:t>
      </w:r>
      <w:r w:rsidR="00FB7446">
        <w:rPr>
          <w:sz w:val="26"/>
          <w:szCs w:val="26"/>
          <w:lang w:val="en-US"/>
        </w:rPr>
        <w:t xml:space="preserve">earlier </w:t>
      </w:r>
      <w:r w:rsidRPr="009678C3">
        <w:rPr>
          <w:sz w:val="26"/>
          <w:szCs w:val="26"/>
          <w:lang w:val="en-US"/>
        </w:rPr>
        <w:t>discussion</w:t>
      </w:r>
      <w:r w:rsidR="009C6F71">
        <w:rPr>
          <w:sz w:val="26"/>
          <w:szCs w:val="26"/>
          <w:lang w:val="en-US"/>
        </w:rPr>
        <w:t>,</w:t>
      </w:r>
      <w:r w:rsidRPr="009678C3">
        <w:rPr>
          <w:sz w:val="26"/>
          <w:szCs w:val="26"/>
          <w:lang w:val="en-US"/>
        </w:rPr>
        <w:t xml:space="preserve"> </w:t>
      </w:r>
      <w:r w:rsidR="00FB7446">
        <w:rPr>
          <w:sz w:val="26"/>
          <w:szCs w:val="26"/>
          <w:lang w:val="en-US"/>
        </w:rPr>
        <w:t>in my view they are not</w:t>
      </w:r>
      <w:r w:rsidRPr="009678C3">
        <w:rPr>
          <w:sz w:val="26"/>
          <w:szCs w:val="26"/>
          <w:lang w:val="en-US"/>
        </w:rPr>
        <w:t xml:space="preserve"> scandalous</w:t>
      </w:r>
      <w:r>
        <w:rPr>
          <w:sz w:val="26"/>
          <w:szCs w:val="26"/>
          <w:lang w:val="en-US"/>
        </w:rPr>
        <w:t>.</w:t>
      </w:r>
      <w:r w:rsidR="0041227F" w:rsidRPr="0041227F">
        <w:rPr>
          <w:sz w:val="26"/>
          <w:szCs w:val="26"/>
          <w:lang w:val="en-US"/>
        </w:rPr>
        <w:t xml:space="preserve"> Paragraph 37 amounts to criticism of the Tax Court </w:t>
      </w:r>
      <w:r w:rsidR="0041227F">
        <w:rPr>
          <w:sz w:val="26"/>
          <w:szCs w:val="26"/>
          <w:lang w:val="en-US"/>
        </w:rPr>
        <w:t>O</w:t>
      </w:r>
      <w:r w:rsidR="0041227F" w:rsidRPr="0041227F">
        <w:rPr>
          <w:sz w:val="26"/>
          <w:szCs w:val="26"/>
          <w:lang w:val="en-US"/>
        </w:rPr>
        <w:t xml:space="preserve">rder which is said to be </w:t>
      </w:r>
      <w:r w:rsidR="0041227F" w:rsidRPr="0041227F">
        <w:rPr>
          <w:i/>
          <w:iCs/>
          <w:sz w:val="26"/>
          <w:szCs w:val="26"/>
          <w:lang w:val="en-US"/>
        </w:rPr>
        <w:t xml:space="preserve">“coloured by unjustifiable and unsustainable conclusions”. </w:t>
      </w:r>
      <w:r w:rsidR="0041227F" w:rsidRPr="0041227F">
        <w:rPr>
          <w:sz w:val="26"/>
          <w:szCs w:val="26"/>
          <w:lang w:val="en-US"/>
        </w:rPr>
        <w:t xml:space="preserve">Since that is the essence of the appeal that has been noted to this </w:t>
      </w:r>
      <w:r w:rsidR="0041227F">
        <w:rPr>
          <w:sz w:val="26"/>
          <w:szCs w:val="26"/>
          <w:lang w:val="en-US"/>
        </w:rPr>
        <w:t>C</w:t>
      </w:r>
      <w:r w:rsidR="0041227F" w:rsidRPr="0041227F">
        <w:rPr>
          <w:sz w:val="26"/>
          <w:szCs w:val="26"/>
          <w:lang w:val="en-US"/>
        </w:rPr>
        <w:t xml:space="preserve">ourt, I </w:t>
      </w:r>
      <w:r w:rsidR="00287D38">
        <w:rPr>
          <w:sz w:val="26"/>
          <w:szCs w:val="26"/>
          <w:lang w:val="en-US"/>
        </w:rPr>
        <w:t xml:space="preserve">similarly </w:t>
      </w:r>
      <w:r w:rsidR="0041227F" w:rsidRPr="0041227F">
        <w:rPr>
          <w:sz w:val="26"/>
          <w:szCs w:val="26"/>
          <w:lang w:val="en-US"/>
        </w:rPr>
        <w:t xml:space="preserve">do not find these </w:t>
      </w:r>
      <w:r w:rsidR="009C6F71">
        <w:rPr>
          <w:sz w:val="26"/>
          <w:szCs w:val="26"/>
          <w:lang w:val="en-US"/>
        </w:rPr>
        <w:t xml:space="preserve">allegations </w:t>
      </w:r>
      <w:r w:rsidR="0041227F" w:rsidRPr="0041227F">
        <w:rPr>
          <w:sz w:val="26"/>
          <w:szCs w:val="26"/>
          <w:lang w:val="en-US"/>
        </w:rPr>
        <w:t>to be scandalous</w:t>
      </w:r>
      <w:r w:rsidR="0041227F">
        <w:rPr>
          <w:sz w:val="26"/>
          <w:szCs w:val="26"/>
          <w:lang w:val="en-US"/>
        </w:rPr>
        <w:t>.</w:t>
      </w:r>
    </w:p>
    <w:p w:rsidR="009678C3" w:rsidRPr="009678C3" w:rsidRDefault="009678C3" w:rsidP="009678C3">
      <w:pPr>
        <w:pStyle w:val="ListParagraph"/>
        <w:rPr>
          <w:sz w:val="26"/>
          <w:szCs w:val="26"/>
          <w:lang w:val="en-US"/>
        </w:rPr>
      </w:pPr>
    </w:p>
    <w:p w:rsidR="00B36ED7" w:rsidRDefault="0041227F" w:rsidP="00E36482">
      <w:pPr>
        <w:pStyle w:val="ListParagraph"/>
        <w:numPr>
          <w:ilvl w:val="0"/>
          <w:numId w:val="2"/>
        </w:numPr>
        <w:spacing w:after="0" w:line="360" w:lineRule="auto"/>
        <w:ind w:left="0" w:firstLine="0"/>
        <w:jc w:val="both"/>
        <w:rPr>
          <w:sz w:val="26"/>
          <w:szCs w:val="26"/>
          <w:lang w:val="en-US"/>
        </w:rPr>
      </w:pPr>
      <w:r w:rsidRPr="00E36482">
        <w:rPr>
          <w:sz w:val="26"/>
          <w:szCs w:val="26"/>
          <w:lang w:val="en-US"/>
        </w:rPr>
        <w:t>T</w:t>
      </w:r>
      <w:r w:rsidR="009678C3" w:rsidRPr="00E36482">
        <w:rPr>
          <w:sz w:val="26"/>
          <w:szCs w:val="26"/>
          <w:lang w:val="en-US"/>
        </w:rPr>
        <w:t>here are</w:t>
      </w:r>
      <w:r w:rsidRPr="00E36482">
        <w:rPr>
          <w:sz w:val="26"/>
          <w:szCs w:val="26"/>
          <w:lang w:val="en-US"/>
        </w:rPr>
        <w:t xml:space="preserve"> also</w:t>
      </w:r>
      <w:r w:rsidR="009678C3" w:rsidRPr="00E36482">
        <w:rPr>
          <w:sz w:val="26"/>
          <w:szCs w:val="26"/>
          <w:lang w:val="en-US"/>
        </w:rPr>
        <w:t xml:space="preserve"> complaints</w:t>
      </w:r>
      <w:r w:rsidRPr="00E36482">
        <w:rPr>
          <w:sz w:val="26"/>
          <w:szCs w:val="26"/>
          <w:lang w:val="en-US"/>
        </w:rPr>
        <w:t xml:space="preserve"> that some of the matter in the intervention affidavit is irrelevant. In this regard the CSARS complains that </w:t>
      </w:r>
      <w:r w:rsidR="00287D38">
        <w:rPr>
          <w:sz w:val="26"/>
          <w:szCs w:val="26"/>
          <w:lang w:val="en-US"/>
        </w:rPr>
        <w:t>he</w:t>
      </w:r>
      <w:r w:rsidRPr="00E36482">
        <w:rPr>
          <w:sz w:val="26"/>
          <w:szCs w:val="26"/>
          <w:lang w:val="en-US"/>
        </w:rPr>
        <w:t xml:space="preserve"> is prejudiced because there is so much irrelevant matter, a</w:t>
      </w:r>
      <w:r w:rsidR="00287D38">
        <w:rPr>
          <w:sz w:val="26"/>
          <w:szCs w:val="26"/>
          <w:lang w:val="en-US"/>
        </w:rPr>
        <w:t xml:space="preserve"> large portion of which</w:t>
      </w:r>
      <w:r w:rsidRPr="00E36482">
        <w:rPr>
          <w:sz w:val="26"/>
          <w:szCs w:val="26"/>
          <w:lang w:val="en-US"/>
        </w:rPr>
        <w:t xml:space="preserve"> is disputed. </w:t>
      </w:r>
      <w:r w:rsidR="00287D38">
        <w:rPr>
          <w:sz w:val="26"/>
          <w:szCs w:val="26"/>
          <w:lang w:val="en-US"/>
        </w:rPr>
        <w:t>In the f</w:t>
      </w:r>
      <w:r w:rsidRPr="00E36482">
        <w:rPr>
          <w:sz w:val="26"/>
          <w:szCs w:val="26"/>
          <w:lang w:val="en-US"/>
        </w:rPr>
        <w:t>irst</w:t>
      </w:r>
      <w:r w:rsidR="00287D38">
        <w:rPr>
          <w:sz w:val="26"/>
          <w:szCs w:val="26"/>
          <w:lang w:val="en-US"/>
        </w:rPr>
        <w:t xml:space="preserve"> place</w:t>
      </w:r>
      <w:r w:rsidRPr="00E36482">
        <w:rPr>
          <w:sz w:val="26"/>
          <w:szCs w:val="26"/>
          <w:lang w:val="en-US"/>
        </w:rPr>
        <w:t>, the CSARS complains about ‘paragraph 6, lines 4 – 11”</w:t>
      </w:r>
      <w:r w:rsidR="009678C3" w:rsidRPr="00E36482">
        <w:rPr>
          <w:sz w:val="26"/>
          <w:szCs w:val="26"/>
          <w:lang w:val="en-US"/>
        </w:rPr>
        <w:t>,</w:t>
      </w:r>
      <w:r w:rsidRPr="00E36482">
        <w:rPr>
          <w:sz w:val="26"/>
          <w:szCs w:val="26"/>
          <w:lang w:val="en-US"/>
        </w:rPr>
        <w:t xml:space="preserve"> which does not exist. Next </w:t>
      </w:r>
      <w:r w:rsidR="00287D38">
        <w:rPr>
          <w:sz w:val="26"/>
          <w:szCs w:val="26"/>
          <w:lang w:val="en-US"/>
        </w:rPr>
        <w:t>there is a complaint about</w:t>
      </w:r>
      <w:r w:rsidRPr="00E36482">
        <w:rPr>
          <w:sz w:val="26"/>
          <w:szCs w:val="26"/>
          <w:lang w:val="en-US"/>
        </w:rPr>
        <w:t xml:space="preserve"> paragraphs 13 to 24</w:t>
      </w:r>
      <w:r w:rsidR="00E36482" w:rsidRPr="00E36482">
        <w:rPr>
          <w:sz w:val="26"/>
          <w:szCs w:val="26"/>
          <w:lang w:val="en-US"/>
        </w:rPr>
        <w:t>, and 28 to 37</w:t>
      </w:r>
      <w:r w:rsidRPr="00E36482">
        <w:rPr>
          <w:sz w:val="26"/>
          <w:szCs w:val="26"/>
          <w:lang w:val="en-US"/>
        </w:rPr>
        <w:t xml:space="preserve"> of the affidavit, which set out the background to the application</w:t>
      </w:r>
      <w:r w:rsidR="00E36482" w:rsidRPr="00E36482">
        <w:rPr>
          <w:sz w:val="26"/>
          <w:szCs w:val="26"/>
          <w:lang w:val="en-US"/>
        </w:rPr>
        <w:t>, including the proceedings held before Davis J in the Tax Court</w:t>
      </w:r>
      <w:r w:rsidRPr="00E36482">
        <w:rPr>
          <w:sz w:val="26"/>
          <w:szCs w:val="26"/>
          <w:lang w:val="en-US"/>
        </w:rPr>
        <w:t>. Upon a reading of these paragraphs</w:t>
      </w:r>
      <w:r w:rsidR="00E36482" w:rsidRPr="00E36482">
        <w:rPr>
          <w:sz w:val="26"/>
          <w:szCs w:val="26"/>
          <w:lang w:val="en-US"/>
        </w:rPr>
        <w:t>,</w:t>
      </w:r>
      <w:r w:rsidRPr="00E36482">
        <w:rPr>
          <w:sz w:val="26"/>
          <w:szCs w:val="26"/>
          <w:lang w:val="en-US"/>
        </w:rPr>
        <w:t xml:space="preserve"> it is apparent that </w:t>
      </w:r>
      <w:r w:rsidR="00E36482" w:rsidRPr="00E36482">
        <w:rPr>
          <w:sz w:val="26"/>
          <w:szCs w:val="26"/>
          <w:lang w:val="en-US"/>
        </w:rPr>
        <w:t>they constitute</w:t>
      </w:r>
      <w:r w:rsidRPr="00E36482">
        <w:rPr>
          <w:sz w:val="26"/>
          <w:szCs w:val="26"/>
          <w:lang w:val="en-US"/>
        </w:rPr>
        <w:t xml:space="preserve"> </w:t>
      </w:r>
      <w:r w:rsidR="00287D38">
        <w:rPr>
          <w:sz w:val="26"/>
          <w:szCs w:val="26"/>
          <w:lang w:val="en-US"/>
        </w:rPr>
        <w:t xml:space="preserve">a </w:t>
      </w:r>
      <w:r w:rsidRPr="00E36482">
        <w:rPr>
          <w:sz w:val="26"/>
          <w:szCs w:val="26"/>
          <w:lang w:val="en-US"/>
        </w:rPr>
        <w:t xml:space="preserve">repetition of </w:t>
      </w:r>
      <w:r w:rsidR="00E36482" w:rsidRPr="00E36482">
        <w:rPr>
          <w:sz w:val="26"/>
          <w:szCs w:val="26"/>
          <w:lang w:val="en-US"/>
        </w:rPr>
        <w:t>averments and</w:t>
      </w:r>
      <w:r w:rsidRPr="00E36482">
        <w:rPr>
          <w:sz w:val="26"/>
          <w:szCs w:val="26"/>
          <w:lang w:val="en-US"/>
        </w:rPr>
        <w:t xml:space="preserve"> arguments </w:t>
      </w:r>
      <w:r w:rsidR="00287D38">
        <w:rPr>
          <w:sz w:val="26"/>
          <w:szCs w:val="26"/>
          <w:lang w:val="en-US"/>
        </w:rPr>
        <w:t xml:space="preserve">previously </w:t>
      </w:r>
      <w:r w:rsidRPr="00E36482">
        <w:rPr>
          <w:sz w:val="26"/>
          <w:szCs w:val="26"/>
          <w:lang w:val="en-US"/>
        </w:rPr>
        <w:t>made</w:t>
      </w:r>
      <w:r w:rsidR="00E36482" w:rsidRPr="00E36482">
        <w:rPr>
          <w:sz w:val="26"/>
          <w:szCs w:val="26"/>
          <w:lang w:val="en-US"/>
        </w:rPr>
        <w:t xml:space="preserve">, </w:t>
      </w:r>
      <w:r w:rsidR="00287D38">
        <w:rPr>
          <w:sz w:val="26"/>
          <w:szCs w:val="26"/>
          <w:lang w:val="en-US"/>
        </w:rPr>
        <w:t xml:space="preserve">which </w:t>
      </w:r>
      <w:r w:rsidR="00E36482" w:rsidRPr="00E36482">
        <w:rPr>
          <w:sz w:val="26"/>
          <w:szCs w:val="26"/>
          <w:lang w:val="en-US"/>
        </w:rPr>
        <w:t xml:space="preserve">all amount to </w:t>
      </w:r>
      <w:r w:rsidR="00E36482">
        <w:rPr>
          <w:sz w:val="26"/>
          <w:szCs w:val="26"/>
          <w:lang w:val="en-US"/>
        </w:rPr>
        <w:t xml:space="preserve">stating </w:t>
      </w:r>
      <w:r w:rsidRPr="00E36482">
        <w:rPr>
          <w:sz w:val="26"/>
          <w:szCs w:val="26"/>
          <w:lang w:val="en-US"/>
        </w:rPr>
        <w:t xml:space="preserve">that Mr </w:t>
      </w:r>
      <w:r w:rsidR="00234120">
        <w:rPr>
          <w:sz w:val="26"/>
          <w:szCs w:val="26"/>
          <w:lang w:val="en-US"/>
        </w:rPr>
        <w:t>van der Merwe</w:t>
      </w:r>
      <w:r w:rsidRPr="00E36482">
        <w:rPr>
          <w:sz w:val="26"/>
          <w:szCs w:val="26"/>
          <w:lang w:val="en-US"/>
        </w:rPr>
        <w:t xml:space="preserve"> should be permitted to represent </w:t>
      </w:r>
      <w:r w:rsidR="00E36482" w:rsidRPr="00E36482">
        <w:rPr>
          <w:sz w:val="26"/>
          <w:szCs w:val="26"/>
          <w:lang w:val="en-US"/>
        </w:rPr>
        <w:t>M</w:t>
      </w:r>
      <w:r w:rsidRPr="00E36482">
        <w:rPr>
          <w:sz w:val="26"/>
          <w:szCs w:val="26"/>
          <w:lang w:val="en-US"/>
        </w:rPr>
        <w:t xml:space="preserve">s </w:t>
      </w:r>
      <w:r w:rsidR="00E36482" w:rsidRPr="00E36482">
        <w:rPr>
          <w:sz w:val="26"/>
          <w:szCs w:val="26"/>
          <w:lang w:val="en-US"/>
        </w:rPr>
        <w:t>P</w:t>
      </w:r>
      <w:r w:rsidRPr="00E36482">
        <w:rPr>
          <w:sz w:val="26"/>
          <w:szCs w:val="26"/>
          <w:lang w:val="en-US"/>
        </w:rPr>
        <w:t>o</w:t>
      </w:r>
      <w:r w:rsidR="00E36482" w:rsidRPr="00E36482">
        <w:rPr>
          <w:sz w:val="26"/>
          <w:szCs w:val="26"/>
          <w:lang w:val="en-US"/>
        </w:rPr>
        <w:t>u</w:t>
      </w:r>
      <w:r w:rsidRPr="00E36482">
        <w:rPr>
          <w:sz w:val="26"/>
          <w:szCs w:val="26"/>
          <w:lang w:val="en-US"/>
        </w:rPr>
        <w:t xml:space="preserve">lter. </w:t>
      </w:r>
      <w:r w:rsidR="00287D38">
        <w:rPr>
          <w:sz w:val="26"/>
          <w:szCs w:val="26"/>
          <w:lang w:val="en-US"/>
        </w:rPr>
        <w:t xml:space="preserve">Thus, they do </w:t>
      </w:r>
      <w:r w:rsidR="00E36482" w:rsidRPr="00E36482">
        <w:rPr>
          <w:sz w:val="26"/>
          <w:szCs w:val="26"/>
          <w:lang w:val="en-US"/>
        </w:rPr>
        <w:t xml:space="preserve">indeed </w:t>
      </w:r>
      <w:r w:rsidR="00287D38">
        <w:rPr>
          <w:sz w:val="26"/>
          <w:szCs w:val="26"/>
          <w:lang w:val="en-US"/>
        </w:rPr>
        <w:t xml:space="preserve">contain </w:t>
      </w:r>
      <w:r w:rsidRPr="00E36482">
        <w:rPr>
          <w:sz w:val="26"/>
          <w:szCs w:val="26"/>
          <w:lang w:val="en-US"/>
        </w:rPr>
        <w:t>repetitive</w:t>
      </w:r>
      <w:r w:rsidR="00E36482">
        <w:rPr>
          <w:sz w:val="26"/>
          <w:szCs w:val="26"/>
          <w:lang w:val="en-US"/>
        </w:rPr>
        <w:t xml:space="preserve"> and argumentative</w:t>
      </w:r>
      <w:r w:rsidRPr="00E36482">
        <w:rPr>
          <w:sz w:val="26"/>
          <w:szCs w:val="26"/>
          <w:lang w:val="en-US"/>
        </w:rPr>
        <w:t xml:space="preserve"> mat</w:t>
      </w:r>
      <w:r w:rsidR="00287D38">
        <w:rPr>
          <w:sz w:val="26"/>
          <w:szCs w:val="26"/>
          <w:lang w:val="en-US"/>
        </w:rPr>
        <w:t>erial</w:t>
      </w:r>
      <w:r w:rsidR="00E36482" w:rsidRPr="00E36482">
        <w:rPr>
          <w:sz w:val="26"/>
          <w:szCs w:val="26"/>
          <w:lang w:val="en-US"/>
        </w:rPr>
        <w:t>. H</w:t>
      </w:r>
      <w:r w:rsidRPr="00E36482">
        <w:rPr>
          <w:sz w:val="26"/>
          <w:szCs w:val="26"/>
          <w:lang w:val="en-US"/>
        </w:rPr>
        <w:t>owever</w:t>
      </w:r>
      <w:r w:rsidR="00E36482" w:rsidRPr="00E36482">
        <w:rPr>
          <w:sz w:val="26"/>
          <w:szCs w:val="26"/>
          <w:lang w:val="en-US"/>
        </w:rPr>
        <w:t>,</w:t>
      </w:r>
      <w:r w:rsidRPr="00E36482">
        <w:rPr>
          <w:sz w:val="26"/>
          <w:szCs w:val="26"/>
          <w:lang w:val="en-US"/>
        </w:rPr>
        <w:t xml:space="preserve"> </w:t>
      </w:r>
      <w:r w:rsidR="00287D38">
        <w:rPr>
          <w:sz w:val="26"/>
          <w:szCs w:val="26"/>
          <w:lang w:val="en-US"/>
        </w:rPr>
        <w:t>in my view this is not</w:t>
      </w:r>
      <w:r w:rsidRPr="00E36482">
        <w:rPr>
          <w:sz w:val="26"/>
          <w:szCs w:val="26"/>
          <w:lang w:val="en-US"/>
        </w:rPr>
        <w:t xml:space="preserve"> prejudicial to the </w:t>
      </w:r>
      <w:r w:rsidR="00E36482" w:rsidRPr="00E36482">
        <w:rPr>
          <w:sz w:val="26"/>
          <w:szCs w:val="26"/>
          <w:lang w:val="en-US"/>
        </w:rPr>
        <w:t xml:space="preserve">CSARS because </w:t>
      </w:r>
      <w:r w:rsidR="00287D38">
        <w:rPr>
          <w:sz w:val="26"/>
          <w:szCs w:val="26"/>
          <w:lang w:val="en-US"/>
        </w:rPr>
        <w:t>he</w:t>
      </w:r>
      <w:r w:rsidR="00E36482" w:rsidRPr="00E36482">
        <w:rPr>
          <w:sz w:val="26"/>
          <w:szCs w:val="26"/>
          <w:lang w:val="en-US"/>
        </w:rPr>
        <w:t xml:space="preserve"> can deal with the repetitive averments by cross referencing </w:t>
      </w:r>
      <w:r w:rsidR="00287D38">
        <w:rPr>
          <w:sz w:val="26"/>
          <w:szCs w:val="26"/>
          <w:lang w:val="en-US"/>
        </w:rPr>
        <w:t xml:space="preserve">them </w:t>
      </w:r>
      <w:r w:rsidR="00E36482" w:rsidRPr="00E36482">
        <w:rPr>
          <w:sz w:val="26"/>
          <w:szCs w:val="26"/>
          <w:lang w:val="en-US"/>
        </w:rPr>
        <w:t xml:space="preserve">to one of the many applications between the parties </w:t>
      </w:r>
      <w:r w:rsidR="00287D38">
        <w:rPr>
          <w:sz w:val="26"/>
          <w:szCs w:val="26"/>
          <w:lang w:val="en-US"/>
        </w:rPr>
        <w:t xml:space="preserve">which </w:t>
      </w:r>
      <w:r w:rsidR="00287D38" w:rsidRPr="00E36482">
        <w:rPr>
          <w:sz w:val="26"/>
          <w:szCs w:val="26"/>
          <w:lang w:val="en-US"/>
        </w:rPr>
        <w:t>are</w:t>
      </w:r>
      <w:r w:rsidR="00E36482" w:rsidRPr="00E36482">
        <w:rPr>
          <w:sz w:val="26"/>
          <w:szCs w:val="26"/>
          <w:lang w:val="en-US"/>
        </w:rPr>
        <w:t xml:space="preserve"> before us. </w:t>
      </w:r>
    </w:p>
    <w:p w:rsidR="00E36482" w:rsidRPr="00E36482" w:rsidRDefault="00E36482" w:rsidP="00E36482">
      <w:pPr>
        <w:pStyle w:val="ListParagraph"/>
        <w:rPr>
          <w:sz w:val="26"/>
          <w:szCs w:val="26"/>
          <w:lang w:val="en-US"/>
        </w:rPr>
      </w:pPr>
    </w:p>
    <w:p w:rsidR="00E36482" w:rsidRDefault="00E36482" w:rsidP="00E36482">
      <w:pPr>
        <w:pStyle w:val="ListParagraph"/>
        <w:numPr>
          <w:ilvl w:val="0"/>
          <w:numId w:val="2"/>
        </w:numPr>
        <w:spacing w:after="0" w:line="360" w:lineRule="auto"/>
        <w:ind w:left="0" w:firstLine="0"/>
        <w:jc w:val="both"/>
        <w:rPr>
          <w:sz w:val="26"/>
          <w:szCs w:val="26"/>
          <w:lang w:val="en-US"/>
        </w:rPr>
      </w:pPr>
      <w:r w:rsidRPr="00E36482">
        <w:rPr>
          <w:sz w:val="26"/>
          <w:szCs w:val="26"/>
          <w:lang w:val="en-US"/>
        </w:rPr>
        <w:t>As for paragraphs 42 to 48 of the intervention application</w:t>
      </w:r>
      <w:r>
        <w:rPr>
          <w:sz w:val="26"/>
          <w:szCs w:val="26"/>
          <w:lang w:val="en-US"/>
        </w:rPr>
        <w:t>,</w:t>
      </w:r>
      <w:r w:rsidRPr="00E36482">
        <w:rPr>
          <w:sz w:val="26"/>
          <w:szCs w:val="26"/>
          <w:lang w:val="en-US"/>
        </w:rPr>
        <w:t xml:space="preserve"> </w:t>
      </w:r>
      <w:r w:rsidR="009C6F71">
        <w:rPr>
          <w:sz w:val="26"/>
          <w:szCs w:val="26"/>
          <w:lang w:val="en-US"/>
        </w:rPr>
        <w:t xml:space="preserve">which are also said to be irrelevant, </w:t>
      </w:r>
      <w:r w:rsidRPr="00E36482">
        <w:rPr>
          <w:sz w:val="26"/>
          <w:szCs w:val="26"/>
          <w:lang w:val="en-US"/>
        </w:rPr>
        <w:t>they set out the basis on which Mr</w:t>
      </w:r>
      <w:r>
        <w:rPr>
          <w:sz w:val="26"/>
          <w:szCs w:val="26"/>
          <w:lang w:val="en-US"/>
        </w:rPr>
        <w:t xml:space="preserve"> </w:t>
      </w:r>
      <w:r w:rsidR="00234120">
        <w:rPr>
          <w:sz w:val="26"/>
          <w:szCs w:val="26"/>
          <w:lang w:val="en-US"/>
        </w:rPr>
        <w:t>van der Merwe</w:t>
      </w:r>
      <w:r>
        <w:rPr>
          <w:sz w:val="26"/>
          <w:szCs w:val="26"/>
          <w:lang w:val="en-US"/>
        </w:rPr>
        <w:t xml:space="preserve"> </w:t>
      </w:r>
      <w:r w:rsidRPr="00E36482">
        <w:rPr>
          <w:sz w:val="26"/>
          <w:szCs w:val="26"/>
          <w:lang w:val="en-US"/>
        </w:rPr>
        <w:t>seeks to intervene in these proceedings</w:t>
      </w:r>
      <w:r>
        <w:rPr>
          <w:sz w:val="26"/>
          <w:szCs w:val="26"/>
          <w:lang w:val="en-US"/>
        </w:rPr>
        <w:t>.</w:t>
      </w:r>
      <w:r w:rsidR="009C6F71">
        <w:rPr>
          <w:sz w:val="26"/>
          <w:szCs w:val="26"/>
          <w:lang w:val="en-US"/>
        </w:rPr>
        <w:t xml:space="preserve"> Although they are repetitive, </w:t>
      </w:r>
      <w:r w:rsidR="00287D38">
        <w:rPr>
          <w:sz w:val="26"/>
          <w:szCs w:val="26"/>
          <w:lang w:val="en-US"/>
        </w:rPr>
        <w:t xml:space="preserve">in my view </w:t>
      </w:r>
      <w:r w:rsidR="009C6F71">
        <w:rPr>
          <w:sz w:val="26"/>
          <w:szCs w:val="26"/>
          <w:lang w:val="en-US"/>
        </w:rPr>
        <w:t>th</w:t>
      </w:r>
      <w:r w:rsidRPr="00E36482">
        <w:rPr>
          <w:sz w:val="26"/>
          <w:szCs w:val="26"/>
          <w:lang w:val="en-US"/>
        </w:rPr>
        <w:t>ey are</w:t>
      </w:r>
      <w:r>
        <w:rPr>
          <w:sz w:val="26"/>
          <w:szCs w:val="26"/>
          <w:lang w:val="en-US"/>
        </w:rPr>
        <w:t xml:space="preserve"> </w:t>
      </w:r>
      <w:r w:rsidRPr="00E36482">
        <w:rPr>
          <w:sz w:val="26"/>
          <w:szCs w:val="26"/>
          <w:lang w:val="en-US"/>
        </w:rPr>
        <w:t>n</w:t>
      </w:r>
      <w:r>
        <w:rPr>
          <w:sz w:val="26"/>
          <w:szCs w:val="26"/>
          <w:lang w:val="en-US"/>
        </w:rPr>
        <w:t>o</w:t>
      </w:r>
      <w:r w:rsidRPr="00E36482">
        <w:rPr>
          <w:sz w:val="26"/>
          <w:szCs w:val="26"/>
          <w:lang w:val="en-US"/>
        </w:rPr>
        <w:t>t irrelevant</w:t>
      </w:r>
      <w:r>
        <w:rPr>
          <w:sz w:val="26"/>
          <w:szCs w:val="26"/>
          <w:lang w:val="en-US"/>
        </w:rPr>
        <w:t>.</w:t>
      </w:r>
    </w:p>
    <w:p w:rsidR="00E36482" w:rsidRPr="00E36482" w:rsidRDefault="00E36482" w:rsidP="00E36482">
      <w:pPr>
        <w:pStyle w:val="ListParagraph"/>
        <w:rPr>
          <w:sz w:val="26"/>
          <w:szCs w:val="26"/>
          <w:lang w:val="en-US"/>
        </w:rPr>
      </w:pPr>
    </w:p>
    <w:p w:rsidR="004126A7" w:rsidRDefault="005004ED" w:rsidP="00E36482">
      <w:pPr>
        <w:pStyle w:val="ListParagraph"/>
        <w:numPr>
          <w:ilvl w:val="0"/>
          <w:numId w:val="2"/>
        </w:numPr>
        <w:spacing w:after="0" w:line="360" w:lineRule="auto"/>
        <w:ind w:left="0" w:firstLine="0"/>
        <w:jc w:val="both"/>
        <w:rPr>
          <w:sz w:val="26"/>
          <w:szCs w:val="26"/>
          <w:lang w:val="en-US"/>
        </w:rPr>
      </w:pPr>
      <w:r>
        <w:rPr>
          <w:sz w:val="26"/>
          <w:szCs w:val="26"/>
          <w:lang w:val="en-US"/>
        </w:rPr>
        <w:t>What remains are</w:t>
      </w:r>
      <w:r w:rsidR="009C6F71">
        <w:rPr>
          <w:sz w:val="26"/>
          <w:szCs w:val="26"/>
          <w:lang w:val="en-US"/>
        </w:rPr>
        <w:t xml:space="preserve"> objections regarding </w:t>
      </w:r>
      <w:r w:rsidR="004126A7" w:rsidRPr="004126A7">
        <w:rPr>
          <w:sz w:val="26"/>
          <w:szCs w:val="26"/>
          <w:lang w:val="en-US"/>
        </w:rPr>
        <w:t>paragraph</w:t>
      </w:r>
      <w:r w:rsidR="004126A7">
        <w:rPr>
          <w:sz w:val="26"/>
          <w:szCs w:val="26"/>
          <w:lang w:val="en-US"/>
        </w:rPr>
        <w:t>s</w:t>
      </w:r>
      <w:r w:rsidR="004126A7" w:rsidRPr="004126A7">
        <w:rPr>
          <w:sz w:val="26"/>
          <w:szCs w:val="26"/>
          <w:lang w:val="en-US"/>
        </w:rPr>
        <w:t xml:space="preserve"> 20</w:t>
      </w:r>
      <w:r w:rsidR="004126A7">
        <w:rPr>
          <w:sz w:val="26"/>
          <w:szCs w:val="26"/>
          <w:lang w:val="en-US"/>
        </w:rPr>
        <w:t xml:space="preserve"> to 23</w:t>
      </w:r>
      <w:r w:rsidR="00FE18F4">
        <w:rPr>
          <w:sz w:val="26"/>
          <w:szCs w:val="26"/>
          <w:lang w:val="en-US"/>
        </w:rPr>
        <w:t xml:space="preserve"> of the intervention affidavit</w:t>
      </w:r>
      <w:r w:rsidR="009C6F71">
        <w:rPr>
          <w:sz w:val="26"/>
          <w:szCs w:val="26"/>
          <w:lang w:val="en-US"/>
        </w:rPr>
        <w:t>. T</w:t>
      </w:r>
      <w:r w:rsidR="004126A7" w:rsidRPr="004126A7">
        <w:rPr>
          <w:sz w:val="26"/>
          <w:szCs w:val="26"/>
          <w:lang w:val="en-US"/>
        </w:rPr>
        <w:t>h</w:t>
      </w:r>
      <w:r>
        <w:rPr>
          <w:sz w:val="26"/>
          <w:szCs w:val="26"/>
          <w:lang w:val="en-US"/>
        </w:rPr>
        <w:t>ose paragraphs</w:t>
      </w:r>
      <w:r w:rsidR="004126A7" w:rsidRPr="004126A7">
        <w:rPr>
          <w:sz w:val="26"/>
          <w:szCs w:val="26"/>
          <w:lang w:val="en-US"/>
        </w:rPr>
        <w:t xml:space="preserve"> relate to</w:t>
      </w:r>
      <w:r w:rsidR="00281C00">
        <w:rPr>
          <w:sz w:val="26"/>
          <w:szCs w:val="26"/>
          <w:lang w:val="en-US"/>
        </w:rPr>
        <w:t xml:space="preserve"> </w:t>
      </w:r>
      <w:r w:rsidR="00FE18F4">
        <w:rPr>
          <w:sz w:val="26"/>
          <w:szCs w:val="26"/>
          <w:lang w:val="en-US"/>
        </w:rPr>
        <w:t xml:space="preserve">the </w:t>
      </w:r>
      <w:r w:rsidR="00281C00">
        <w:rPr>
          <w:sz w:val="26"/>
          <w:szCs w:val="26"/>
          <w:lang w:val="en-US"/>
        </w:rPr>
        <w:t>conduct of the legal representatives of</w:t>
      </w:r>
      <w:r w:rsidR="004126A7">
        <w:rPr>
          <w:sz w:val="26"/>
          <w:szCs w:val="26"/>
          <w:lang w:val="en-US"/>
        </w:rPr>
        <w:t xml:space="preserve"> the CSARS</w:t>
      </w:r>
      <w:r w:rsidR="004126A7" w:rsidRPr="004126A7">
        <w:rPr>
          <w:sz w:val="26"/>
          <w:szCs w:val="26"/>
          <w:lang w:val="en-US"/>
        </w:rPr>
        <w:t xml:space="preserve"> in these matters</w:t>
      </w:r>
      <w:r w:rsidR="004126A7">
        <w:rPr>
          <w:sz w:val="26"/>
          <w:szCs w:val="26"/>
          <w:lang w:val="en-US"/>
        </w:rPr>
        <w:t>,</w:t>
      </w:r>
      <w:r w:rsidR="004126A7" w:rsidRPr="004126A7">
        <w:rPr>
          <w:sz w:val="26"/>
          <w:szCs w:val="26"/>
          <w:lang w:val="en-US"/>
        </w:rPr>
        <w:t xml:space="preserve"> and </w:t>
      </w:r>
      <w:r w:rsidR="004126A7">
        <w:rPr>
          <w:sz w:val="26"/>
          <w:szCs w:val="26"/>
          <w:lang w:val="en-US"/>
        </w:rPr>
        <w:t xml:space="preserve">are </w:t>
      </w:r>
      <w:r w:rsidR="004126A7" w:rsidRPr="004126A7">
        <w:rPr>
          <w:sz w:val="26"/>
          <w:szCs w:val="26"/>
          <w:lang w:val="en-US"/>
        </w:rPr>
        <w:t>worth setting out</w:t>
      </w:r>
      <w:r w:rsidR="004126A7">
        <w:rPr>
          <w:sz w:val="26"/>
          <w:szCs w:val="26"/>
          <w:lang w:val="en-US"/>
        </w:rPr>
        <w:t>:</w:t>
      </w:r>
    </w:p>
    <w:p w:rsidR="004126A7" w:rsidRPr="004126A7" w:rsidRDefault="004126A7" w:rsidP="004126A7">
      <w:pPr>
        <w:pStyle w:val="ListParagraph"/>
        <w:rPr>
          <w:sz w:val="26"/>
          <w:szCs w:val="26"/>
          <w:lang w:val="en-US"/>
        </w:rPr>
      </w:pPr>
    </w:p>
    <w:p w:rsidR="00E36482" w:rsidRDefault="004126A7" w:rsidP="00281C00">
      <w:pPr>
        <w:ind w:left="2160" w:hanging="720"/>
        <w:jc w:val="both"/>
        <w:rPr>
          <w:sz w:val="22"/>
          <w:szCs w:val="22"/>
          <w:lang w:val="en-US"/>
        </w:rPr>
      </w:pPr>
      <w:r w:rsidRPr="00281C00">
        <w:rPr>
          <w:sz w:val="22"/>
          <w:szCs w:val="22"/>
          <w:lang w:val="en-US"/>
        </w:rPr>
        <w:t xml:space="preserve">20   </w:t>
      </w:r>
      <w:r w:rsidR="00281C00" w:rsidRPr="00281C00">
        <w:rPr>
          <w:sz w:val="22"/>
          <w:szCs w:val="22"/>
          <w:lang w:val="en-US"/>
        </w:rPr>
        <w:tab/>
      </w:r>
      <w:r w:rsidR="00FE18F4">
        <w:rPr>
          <w:sz w:val="22"/>
          <w:szCs w:val="22"/>
          <w:lang w:val="en-US"/>
        </w:rPr>
        <w:t>…[W]</w:t>
      </w:r>
      <w:r w:rsidRPr="00281C00">
        <w:rPr>
          <w:sz w:val="22"/>
          <w:szCs w:val="22"/>
          <w:lang w:val="en-US"/>
        </w:rPr>
        <w:t xml:space="preserve">hen SARS appeared in this matter before the full court to argue the merits of the appeal against the Davis order, </w:t>
      </w:r>
      <w:r w:rsidRPr="00281C00">
        <w:rPr>
          <w:b/>
          <w:bCs/>
          <w:sz w:val="22"/>
          <w:szCs w:val="22"/>
          <w:lang w:val="en-US"/>
        </w:rPr>
        <w:t>Ms Southwood misled the court and supported the matter being struck from the role</w:t>
      </w:r>
      <w:r w:rsidRPr="00281C00">
        <w:rPr>
          <w:sz w:val="22"/>
          <w:szCs w:val="22"/>
          <w:lang w:val="en-US"/>
        </w:rPr>
        <w:t xml:space="preserve"> (sic) and thereafter being referred to a single judge of the High Court for adjudication on its Rule 30 application.</w:t>
      </w:r>
    </w:p>
    <w:p w:rsidR="00281C00" w:rsidRPr="00281C00" w:rsidRDefault="00281C00" w:rsidP="00281C00">
      <w:pPr>
        <w:ind w:left="2160" w:hanging="720"/>
        <w:jc w:val="both"/>
        <w:rPr>
          <w:sz w:val="22"/>
          <w:szCs w:val="22"/>
          <w:lang w:val="en-US"/>
        </w:rPr>
      </w:pPr>
    </w:p>
    <w:p w:rsidR="004126A7" w:rsidRPr="00281C00" w:rsidRDefault="004126A7" w:rsidP="00281C00">
      <w:pPr>
        <w:pStyle w:val="ListParagraph"/>
        <w:spacing w:after="0" w:line="240" w:lineRule="auto"/>
        <w:ind w:left="2160" w:hanging="720"/>
        <w:jc w:val="both"/>
        <w:rPr>
          <w:lang w:val="en-US"/>
        </w:rPr>
      </w:pPr>
      <w:r w:rsidRPr="00281C00">
        <w:rPr>
          <w:lang w:val="en-US"/>
        </w:rPr>
        <w:t>21</w:t>
      </w:r>
      <w:r w:rsidRPr="00281C00">
        <w:rPr>
          <w:lang w:val="en-US"/>
        </w:rPr>
        <w:tab/>
      </w:r>
      <w:r w:rsidRPr="00281C00">
        <w:rPr>
          <w:b/>
          <w:bCs/>
          <w:lang w:val="en-US"/>
        </w:rPr>
        <w:t xml:space="preserve">The attorney for SARS also sent an irregular letter to both the </w:t>
      </w:r>
      <w:r w:rsidR="00281C00" w:rsidRPr="00281C00">
        <w:rPr>
          <w:b/>
          <w:bCs/>
          <w:lang w:val="en-US"/>
        </w:rPr>
        <w:t>J</w:t>
      </w:r>
      <w:r w:rsidRPr="00281C00">
        <w:rPr>
          <w:b/>
          <w:bCs/>
          <w:lang w:val="en-US"/>
        </w:rPr>
        <w:t xml:space="preserve">udge </w:t>
      </w:r>
      <w:r w:rsidR="00281C00" w:rsidRPr="00281C00">
        <w:rPr>
          <w:b/>
          <w:bCs/>
          <w:lang w:val="en-US"/>
        </w:rPr>
        <w:t>P</w:t>
      </w:r>
      <w:r w:rsidRPr="00281C00">
        <w:rPr>
          <w:b/>
          <w:bCs/>
          <w:lang w:val="en-US"/>
        </w:rPr>
        <w:t xml:space="preserve">resident and the </w:t>
      </w:r>
      <w:r w:rsidR="00281C00" w:rsidRPr="00281C00">
        <w:rPr>
          <w:b/>
          <w:bCs/>
          <w:lang w:val="en-US"/>
        </w:rPr>
        <w:t>J</w:t>
      </w:r>
      <w:r w:rsidRPr="00281C00">
        <w:rPr>
          <w:b/>
          <w:bCs/>
          <w:lang w:val="en-US"/>
        </w:rPr>
        <w:t xml:space="preserve">udges of the </w:t>
      </w:r>
      <w:r w:rsidR="00281C00" w:rsidRPr="00281C00">
        <w:rPr>
          <w:b/>
          <w:bCs/>
          <w:lang w:val="en-US"/>
        </w:rPr>
        <w:t>F</w:t>
      </w:r>
      <w:r w:rsidRPr="00281C00">
        <w:rPr>
          <w:b/>
          <w:bCs/>
          <w:lang w:val="en-US"/>
        </w:rPr>
        <w:t xml:space="preserve">ull </w:t>
      </w:r>
      <w:r w:rsidR="00281C00" w:rsidRPr="00281C00">
        <w:rPr>
          <w:b/>
          <w:bCs/>
          <w:lang w:val="en-US"/>
        </w:rPr>
        <w:t>C</w:t>
      </w:r>
      <w:r w:rsidRPr="00281C00">
        <w:rPr>
          <w:b/>
          <w:bCs/>
          <w:lang w:val="en-US"/>
        </w:rPr>
        <w:t>ourt to influence them and did not keep the appellant informed of the correspondence to the full court</w:t>
      </w:r>
      <w:r w:rsidRPr="00281C00">
        <w:rPr>
          <w:lang w:val="en-US"/>
        </w:rPr>
        <w:t>.</w:t>
      </w:r>
    </w:p>
    <w:p w:rsidR="00281C00" w:rsidRPr="00281C00" w:rsidRDefault="00281C00" w:rsidP="00281C00">
      <w:pPr>
        <w:pStyle w:val="ListParagraph"/>
        <w:spacing w:after="0" w:line="240" w:lineRule="auto"/>
        <w:ind w:firstLine="720"/>
        <w:jc w:val="both"/>
        <w:rPr>
          <w:lang w:val="en-US"/>
        </w:rPr>
      </w:pPr>
    </w:p>
    <w:p w:rsidR="00E36482" w:rsidRPr="00281C00" w:rsidRDefault="00281C00" w:rsidP="00281C00">
      <w:pPr>
        <w:pStyle w:val="ListParagraph"/>
        <w:spacing w:line="240" w:lineRule="auto"/>
        <w:ind w:left="2160" w:hanging="720"/>
        <w:jc w:val="both"/>
        <w:rPr>
          <w:lang w:val="en-US"/>
        </w:rPr>
      </w:pPr>
      <w:r w:rsidRPr="00281C00">
        <w:rPr>
          <w:lang w:val="en-US"/>
        </w:rPr>
        <w:t>23</w:t>
      </w:r>
      <w:r w:rsidRPr="00281C00">
        <w:rPr>
          <w:lang w:val="en-US"/>
        </w:rPr>
        <w:tab/>
        <w:t xml:space="preserve">Judge Binns-Ward however would not entertain the matter for lack of the court's jurisdiction and </w:t>
      </w:r>
      <w:r w:rsidRPr="00281C00">
        <w:rPr>
          <w:b/>
          <w:bCs/>
          <w:lang w:val="en-US"/>
        </w:rPr>
        <w:t>Ms Southwood then argued the opposite to what she previously contended, which has now led to this hearing</w:t>
      </w:r>
      <w:r w:rsidRPr="00281C00">
        <w:rPr>
          <w:lang w:val="en-US"/>
        </w:rPr>
        <w:t xml:space="preserve">, for her preparation and the one hearing alone, Ms Southwood billed SARS R155 250… </w:t>
      </w:r>
      <w:r w:rsidRPr="00281C00">
        <w:rPr>
          <w:b/>
          <w:bCs/>
          <w:lang w:val="en-US"/>
        </w:rPr>
        <w:t>the above begs the question why SARS are embarking on this course of action and why the taxpayer should pay the costs on a punitive scale when it is Ms Southwood that has caused the problem with misrepresentations and delays, she has now been to Cape Town three times to argue unfounded interlocutory applications end delayed the merits of the tax dispute</w:t>
      </w:r>
      <w:r w:rsidRPr="00281C00">
        <w:rPr>
          <w:lang w:val="en-US"/>
        </w:rPr>
        <w:t>.</w:t>
      </w:r>
      <w:r w:rsidR="00FE18F4">
        <w:rPr>
          <w:rStyle w:val="FootnoteReference"/>
          <w:lang w:val="en-US"/>
        </w:rPr>
        <w:footnoteReference w:id="20"/>
      </w:r>
    </w:p>
    <w:p w:rsidR="00281C00" w:rsidRPr="00281C00" w:rsidRDefault="00281C00" w:rsidP="00281C00">
      <w:pPr>
        <w:pStyle w:val="ListParagraph"/>
        <w:spacing w:line="240" w:lineRule="auto"/>
        <w:jc w:val="both"/>
        <w:rPr>
          <w:lang w:val="en-US"/>
        </w:rPr>
      </w:pPr>
    </w:p>
    <w:p w:rsidR="00E36482" w:rsidRPr="00E36482" w:rsidRDefault="00E36482" w:rsidP="00E36482">
      <w:pPr>
        <w:pStyle w:val="ListParagraph"/>
        <w:spacing w:after="0" w:line="360" w:lineRule="auto"/>
        <w:ind w:left="0"/>
        <w:jc w:val="both"/>
        <w:rPr>
          <w:sz w:val="26"/>
          <w:szCs w:val="26"/>
          <w:lang w:val="en-US"/>
        </w:rPr>
      </w:pPr>
    </w:p>
    <w:p w:rsidR="000C39D1" w:rsidRPr="000C39D1" w:rsidRDefault="003B766A" w:rsidP="00C11F45">
      <w:pPr>
        <w:pStyle w:val="ListParagraph"/>
        <w:numPr>
          <w:ilvl w:val="0"/>
          <w:numId w:val="2"/>
        </w:numPr>
        <w:spacing w:after="0" w:line="360" w:lineRule="auto"/>
        <w:ind w:left="0" w:firstLine="0"/>
        <w:jc w:val="both"/>
        <w:rPr>
          <w:sz w:val="26"/>
          <w:szCs w:val="26"/>
          <w:lang w:val="en-US"/>
        </w:rPr>
      </w:pPr>
      <w:r>
        <w:rPr>
          <w:sz w:val="26"/>
          <w:szCs w:val="26"/>
          <w:lang w:val="en-US"/>
        </w:rPr>
        <w:t xml:space="preserve">Having regard to the transcript of the proceedings of 21 January 2022, the allegation at paragraph 20 above </w:t>
      </w:r>
      <w:r w:rsidR="000C39D1" w:rsidRPr="000C39D1">
        <w:rPr>
          <w:sz w:val="26"/>
          <w:szCs w:val="26"/>
          <w:lang w:val="en-US"/>
        </w:rPr>
        <w:t xml:space="preserve">that Ms Southwood supported the matter being struck off the roll when she appeared before the </w:t>
      </w:r>
      <w:r w:rsidR="00E4687A">
        <w:rPr>
          <w:sz w:val="26"/>
          <w:szCs w:val="26"/>
          <w:lang w:val="en-US"/>
        </w:rPr>
        <w:t>F</w:t>
      </w:r>
      <w:r w:rsidR="000C39D1" w:rsidRPr="000C39D1">
        <w:rPr>
          <w:sz w:val="26"/>
          <w:szCs w:val="26"/>
          <w:lang w:val="en-US"/>
        </w:rPr>
        <w:t xml:space="preserve">ull </w:t>
      </w:r>
      <w:r w:rsidR="00E4687A">
        <w:rPr>
          <w:sz w:val="26"/>
          <w:szCs w:val="26"/>
          <w:lang w:val="en-US"/>
        </w:rPr>
        <w:t>B</w:t>
      </w:r>
      <w:r w:rsidR="000C39D1" w:rsidRPr="000C39D1">
        <w:rPr>
          <w:sz w:val="26"/>
          <w:szCs w:val="26"/>
          <w:lang w:val="en-US"/>
        </w:rPr>
        <w:t>ench, on the basis that the Rule 30 application had not yet been determined</w:t>
      </w:r>
      <w:r w:rsidR="00287D38">
        <w:rPr>
          <w:sz w:val="26"/>
          <w:szCs w:val="26"/>
          <w:lang w:val="en-US"/>
        </w:rPr>
        <w:t>,</w:t>
      </w:r>
      <w:r>
        <w:rPr>
          <w:sz w:val="26"/>
          <w:szCs w:val="26"/>
          <w:lang w:val="en-US"/>
        </w:rPr>
        <w:t xml:space="preserve"> is correct</w:t>
      </w:r>
      <w:r w:rsidR="000C39D1" w:rsidRPr="000C39D1">
        <w:rPr>
          <w:sz w:val="26"/>
          <w:szCs w:val="26"/>
          <w:lang w:val="en-US"/>
        </w:rPr>
        <w:t xml:space="preserve">. </w:t>
      </w:r>
      <w:r w:rsidR="00313E8D">
        <w:rPr>
          <w:sz w:val="26"/>
          <w:szCs w:val="26"/>
          <w:lang w:val="en-US"/>
        </w:rPr>
        <w:t xml:space="preserve">She stated </w:t>
      </w:r>
      <w:r w:rsidR="00313E8D" w:rsidRPr="00384902">
        <w:rPr>
          <w:sz w:val="26"/>
          <w:szCs w:val="26"/>
          <w:lang w:val="en-US"/>
        </w:rPr>
        <w:t xml:space="preserve">that </w:t>
      </w:r>
      <w:r w:rsidR="00313E8D" w:rsidRPr="007E42C5">
        <w:rPr>
          <w:i/>
          <w:iCs/>
          <w:sz w:val="26"/>
          <w:szCs w:val="26"/>
          <w:lang w:val="en-US"/>
        </w:rPr>
        <w:t>“until the Rule 30 application has been resolved the application for the hearing date was premature and the appeal should then simply be struck from the roll with costs.”</w:t>
      </w:r>
      <w:r w:rsidR="00313E8D">
        <w:rPr>
          <w:rStyle w:val="FootnoteReference"/>
          <w:sz w:val="26"/>
          <w:szCs w:val="26"/>
          <w:lang w:val="en-US"/>
        </w:rPr>
        <w:footnoteReference w:id="21"/>
      </w:r>
      <w:r w:rsidR="00313E8D" w:rsidRPr="00384902">
        <w:rPr>
          <w:sz w:val="26"/>
          <w:szCs w:val="26"/>
          <w:lang w:val="en-US"/>
        </w:rPr>
        <w:t xml:space="preserve"> </w:t>
      </w:r>
      <w:r w:rsidR="00313E8D">
        <w:rPr>
          <w:sz w:val="26"/>
          <w:szCs w:val="26"/>
          <w:lang w:val="en-US"/>
        </w:rPr>
        <w:t>L</w:t>
      </w:r>
      <w:r w:rsidR="00313E8D" w:rsidRPr="00384902">
        <w:rPr>
          <w:sz w:val="26"/>
          <w:szCs w:val="26"/>
          <w:lang w:val="en-US"/>
        </w:rPr>
        <w:t>ater</w:t>
      </w:r>
      <w:r w:rsidR="00313E8D">
        <w:rPr>
          <w:sz w:val="26"/>
          <w:szCs w:val="26"/>
          <w:lang w:val="en-US"/>
        </w:rPr>
        <w:t>, in the same proceedings</w:t>
      </w:r>
      <w:r w:rsidR="00313E8D" w:rsidRPr="00384902">
        <w:rPr>
          <w:sz w:val="26"/>
          <w:szCs w:val="26"/>
          <w:lang w:val="en-US"/>
        </w:rPr>
        <w:t xml:space="preserve"> she </w:t>
      </w:r>
      <w:r w:rsidR="00313E8D">
        <w:rPr>
          <w:sz w:val="26"/>
          <w:szCs w:val="26"/>
          <w:lang w:val="en-US"/>
        </w:rPr>
        <w:t xml:space="preserve">submitted that </w:t>
      </w:r>
      <w:r w:rsidR="00313E8D" w:rsidRPr="007E42C5">
        <w:rPr>
          <w:i/>
          <w:iCs/>
          <w:sz w:val="26"/>
          <w:szCs w:val="26"/>
          <w:lang w:val="en-US"/>
        </w:rPr>
        <w:t>“the making of the appeal was premature and should be struck from the roll with costs.”</w:t>
      </w:r>
      <w:r w:rsidR="00313E8D">
        <w:rPr>
          <w:rStyle w:val="FootnoteReference"/>
          <w:sz w:val="26"/>
          <w:szCs w:val="26"/>
          <w:lang w:val="en-US"/>
        </w:rPr>
        <w:footnoteReference w:id="22"/>
      </w:r>
      <w:r w:rsidR="00313E8D">
        <w:rPr>
          <w:i/>
          <w:iCs/>
          <w:sz w:val="26"/>
          <w:szCs w:val="26"/>
          <w:lang w:val="en-US"/>
        </w:rPr>
        <w:t xml:space="preserve"> </w:t>
      </w:r>
      <w:r w:rsidR="00313E8D" w:rsidRPr="00313E8D">
        <w:rPr>
          <w:sz w:val="26"/>
          <w:szCs w:val="26"/>
          <w:lang w:val="en-US"/>
        </w:rPr>
        <w:t>However,</w:t>
      </w:r>
      <w:r w:rsidR="00313E8D">
        <w:rPr>
          <w:i/>
          <w:iCs/>
          <w:sz w:val="26"/>
          <w:szCs w:val="26"/>
          <w:lang w:val="en-US"/>
        </w:rPr>
        <w:t xml:space="preserve"> </w:t>
      </w:r>
      <w:r w:rsidR="00313E8D">
        <w:rPr>
          <w:sz w:val="26"/>
          <w:szCs w:val="26"/>
          <w:lang w:val="en-US"/>
        </w:rPr>
        <w:t>n</w:t>
      </w:r>
      <w:r w:rsidR="000C39D1" w:rsidRPr="000C39D1">
        <w:rPr>
          <w:sz w:val="26"/>
          <w:szCs w:val="26"/>
          <w:lang w:val="en-US"/>
        </w:rPr>
        <w:t>o basis has been laid for the allegation that she misled the court on that day</w:t>
      </w:r>
      <w:r w:rsidR="000C39D1">
        <w:rPr>
          <w:sz w:val="26"/>
          <w:szCs w:val="26"/>
          <w:lang w:val="en-US"/>
        </w:rPr>
        <w:t xml:space="preserve">. </w:t>
      </w:r>
      <w:r w:rsidR="00313E8D">
        <w:rPr>
          <w:sz w:val="26"/>
          <w:szCs w:val="26"/>
          <w:lang w:val="en-US"/>
        </w:rPr>
        <w:t>After all, her submissions were supported by the contents of the letter of 10 November 2021, including the attachments thereto</w:t>
      </w:r>
      <w:r>
        <w:rPr>
          <w:sz w:val="26"/>
          <w:szCs w:val="26"/>
          <w:lang w:val="en-US"/>
        </w:rPr>
        <w:t xml:space="preserve">, which were addressed to the Judge President and the </w:t>
      </w:r>
      <w:r w:rsidR="00C92220">
        <w:rPr>
          <w:sz w:val="26"/>
          <w:szCs w:val="26"/>
          <w:lang w:val="en-US"/>
        </w:rPr>
        <w:t>P</w:t>
      </w:r>
      <w:r>
        <w:rPr>
          <w:sz w:val="26"/>
          <w:szCs w:val="26"/>
          <w:lang w:val="en-US"/>
        </w:rPr>
        <w:t xml:space="preserve">residing </w:t>
      </w:r>
      <w:r w:rsidR="00C92220">
        <w:rPr>
          <w:sz w:val="26"/>
          <w:szCs w:val="26"/>
          <w:lang w:val="en-US"/>
        </w:rPr>
        <w:t>J</w:t>
      </w:r>
      <w:r>
        <w:rPr>
          <w:sz w:val="26"/>
          <w:szCs w:val="26"/>
          <w:lang w:val="en-US"/>
        </w:rPr>
        <w:t>udge of the Full Bench,</w:t>
      </w:r>
      <w:r w:rsidRPr="003B766A">
        <w:rPr>
          <w:sz w:val="26"/>
          <w:szCs w:val="26"/>
          <w:lang w:val="en-US"/>
        </w:rPr>
        <w:t xml:space="preserve"> in which </w:t>
      </w:r>
      <w:r>
        <w:rPr>
          <w:sz w:val="26"/>
          <w:szCs w:val="26"/>
          <w:lang w:val="en-US"/>
        </w:rPr>
        <w:t>CSARS’s</w:t>
      </w:r>
      <w:r w:rsidRPr="003B766A">
        <w:rPr>
          <w:sz w:val="26"/>
          <w:szCs w:val="26"/>
          <w:lang w:val="en-US"/>
        </w:rPr>
        <w:t xml:space="preserve"> legal representatives stated the same</w:t>
      </w:r>
      <w:r w:rsidR="00313E8D">
        <w:rPr>
          <w:sz w:val="26"/>
          <w:szCs w:val="26"/>
          <w:lang w:val="en-US"/>
        </w:rPr>
        <w:t xml:space="preserve">. </w:t>
      </w:r>
      <w:r w:rsidR="000C39D1">
        <w:rPr>
          <w:sz w:val="26"/>
          <w:szCs w:val="26"/>
          <w:lang w:val="en-US"/>
        </w:rPr>
        <w:t>The</w:t>
      </w:r>
      <w:r w:rsidR="000C39D1" w:rsidRPr="000C39D1">
        <w:rPr>
          <w:sz w:val="26"/>
          <w:szCs w:val="26"/>
          <w:lang w:val="en-US"/>
        </w:rPr>
        <w:t xml:space="preserve"> </w:t>
      </w:r>
      <w:r>
        <w:rPr>
          <w:sz w:val="26"/>
          <w:szCs w:val="26"/>
          <w:lang w:val="en-US"/>
        </w:rPr>
        <w:t xml:space="preserve">unfounded </w:t>
      </w:r>
      <w:r w:rsidR="000C39D1" w:rsidRPr="000C39D1">
        <w:rPr>
          <w:sz w:val="26"/>
          <w:szCs w:val="26"/>
          <w:lang w:val="en-US"/>
        </w:rPr>
        <w:t xml:space="preserve">allegation </w:t>
      </w:r>
      <w:r w:rsidR="000C39D1">
        <w:rPr>
          <w:sz w:val="26"/>
          <w:szCs w:val="26"/>
          <w:lang w:val="en-US"/>
        </w:rPr>
        <w:t xml:space="preserve">that Ms Southwood </w:t>
      </w:r>
      <w:r w:rsidR="000C39D1" w:rsidRPr="000C39D1">
        <w:rPr>
          <w:sz w:val="26"/>
          <w:szCs w:val="26"/>
          <w:lang w:val="en-US"/>
        </w:rPr>
        <w:t xml:space="preserve">misled the court is </w:t>
      </w:r>
      <w:r w:rsidR="000C39D1">
        <w:rPr>
          <w:sz w:val="26"/>
          <w:szCs w:val="26"/>
          <w:lang w:val="en-US"/>
        </w:rPr>
        <w:t>very s</w:t>
      </w:r>
      <w:r w:rsidR="000C39D1" w:rsidRPr="000C39D1">
        <w:rPr>
          <w:sz w:val="26"/>
          <w:szCs w:val="26"/>
          <w:lang w:val="en-US"/>
        </w:rPr>
        <w:t>erious and is an attack to</w:t>
      </w:r>
      <w:r w:rsidR="000C39D1">
        <w:rPr>
          <w:sz w:val="26"/>
          <w:szCs w:val="26"/>
          <w:lang w:val="en-US"/>
        </w:rPr>
        <w:t xml:space="preserve"> her </w:t>
      </w:r>
      <w:r w:rsidR="000C39D1" w:rsidRPr="000C39D1">
        <w:rPr>
          <w:sz w:val="26"/>
          <w:szCs w:val="26"/>
          <w:lang w:val="en-US"/>
        </w:rPr>
        <w:t>reputation as a legal practitioner</w:t>
      </w:r>
      <w:r w:rsidR="000C39D1">
        <w:rPr>
          <w:sz w:val="26"/>
          <w:szCs w:val="26"/>
          <w:lang w:val="en-US"/>
        </w:rPr>
        <w:t xml:space="preserve">. </w:t>
      </w:r>
      <w:r w:rsidR="000C39D1" w:rsidRPr="000C39D1">
        <w:rPr>
          <w:sz w:val="26"/>
          <w:szCs w:val="26"/>
          <w:lang w:val="en-US"/>
        </w:rPr>
        <w:t xml:space="preserve"> I am accordingly of the view that the allegation </w:t>
      </w:r>
      <w:r w:rsidR="000C39D1" w:rsidRPr="007A6441">
        <w:rPr>
          <w:sz w:val="26"/>
          <w:szCs w:val="26"/>
          <w:lang w:val="en-US"/>
        </w:rPr>
        <w:t xml:space="preserve">that </w:t>
      </w:r>
      <w:r w:rsidR="000C39D1" w:rsidRPr="00647BCC">
        <w:rPr>
          <w:i/>
          <w:iCs/>
          <w:sz w:val="26"/>
          <w:szCs w:val="26"/>
          <w:lang w:val="en-US"/>
        </w:rPr>
        <w:t>“Ms Southwood misled the court”</w:t>
      </w:r>
      <w:r w:rsidR="000C39D1" w:rsidRPr="007A6441">
        <w:rPr>
          <w:sz w:val="26"/>
          <w:szCs w:val="26"/>
          <w:lang w:val="en-US"/>
        </w:rPr>
        <w:t xml:space="preserve"> in line 2 of paragraph 20</w:t>
      </w:r>
      <w:r w:rsidR="000C39D1" w:rsidRPr="000C39D1">
        <w:rPr>
          <w:sz w:val="26"/>
          <w:szCs w:val="26"/>
          <w:lang w:val="en-US"/>
        </w:rPr>
        <w:t xml:space="preserve"> </w:t>
      </w:r>
      <w:r w:rsidR="000C39D1">
        <w:rPr>
          <w:sz w:val="26"/>
          <w:szCs w:val="26"/>
          <w:lang w:val="en-US"/>
        </w:rPr>
        <w:t>s</w:t>
      </w:r>
      <w:r w:rsidR="000C39D1" w:rsidRPr="000C39D1">
        <w:rPr>
          <w:sz w:val="26"/>
          <w:szCs w:val="26"/>
          <w:lang w:val="en-US"/>
        </w:rPr>
        <w:t>hould be struck out for being scandalous and defamatory</w:t>
      </w:r>
      <w:r w:rsidR="000C39D1">
        <w:rPr>
          <w:sz w:val="26"/>
          <w:szCs w:val="26"/>
          <w:lang w:val="en-US"/>
        </w:rPr>
        <w:t>.</w:t>
      </w:r>
    </w:p>
    <w:p w:rsidR="000C39D1" w:rsidRDefault="000C39D1" w:rsidP="000C39D1">
      <w:pPr>
        <w:pStyle w:val="ListParagraph"/>
        <w:spacing w:after="0" w:line="360" w:lineRule="auto"/>
        <w:ind w:left="0"/>
        <w:jc w:val="both"/>
        <w:rPr>
          <w:sz w:val="26"/>
          <w:szCs w:val="26"/>
          <w:lang w:val="en-US"/>
        </w:rPr>
      </w:pPr>
    </w:p>
    <w:p w:rsidR="0060736D" w:rsidRPr="005004ED" w:rsidRDefault="000B0EA6" w:rsidP="005004ED">
      <w:pPr>
        <w:pStyle w:val="ListParagraph"/>
        <w:numPr>
          <w:ilvl w:val="0"/>
          <w:numId w:val="2"/>
        </w:numPr>
        <w:spacing w:after="0" w:line="360" w:lineRule="auto"/>
        <w:ind w:left="0" w:firstLine="0"/>
        <w:jc w:val="both"/>
        <w:rPr>
          <w:sz w:val="26"/>
          <w:szCs w:val="26"/>
          <w:lang w:val="en-US"/>
        </w:rPr>
      </w:pPr>
      <w:r>
        <w:rPr>
          <w:sz w:val="26"/>
          <w:szCs w:val="26"/>
          <w:lang w:val="en-US"/>
        </w:rPr>
        <w:t xml:space="preserve">In addition to the letter addressed to the Judge President and to the </w:t>
      </w:r>
      <w:r w:rsidR="00C92220">
        <w:rPr>
          <w:sz w:val="26"/>
          <w:szCs w:val="26"/>
          <w:lang w:val="en-US"/>
        </w:rPr>
        <w:t>P</w:t>
      </w:r>
      <w:r>
        <w:rPr>
          <w:sz w:val="26"/>
          <w:szCs w:val="26"/>
          <w:lang w:val="en-US"/>
        </w:rPr>
        <w:t xml:space="preserve">residing </w:t>
      </w:r>
      <w:r w:rsidR="00C92220">
        <w:rPr>
          <w:sz w:val="26"/>
          <w:szCs w:val="26"/>
          <w:lang w:val="en-US"/>
        </w:rPr>
        <w:t>J</w:t>
      </w:r>
      <w:r>
        <w:rPr>
          <w:sz w:val="26"/>
          <w:szCs w:val="26"/>
          <w:lang w:val="en-US"/>
        </w:rPr>
        <w:t xml:space="preserve">udge mentioned above, </w:t>
      </w:r>
      <w:r w:rsidR="0060736D" w:rsidRPr="0060736D">
        <w:rPr>
          <w:sz w:val="26"/>
          <w:szCs w:val="26"/>
          <w:lang w:val="en-US"/>
        </w:rPr>
        <w:t xml:space="preserve">the </w:t>
      </w:r>
      <w:r w:rsidR="0060736D">
        <w:rPr>
          <w:sz w:val="26"/>
          <w:szCs w:val="26"/>
          <w:lang w:val="en-US"/>
        </w:rPr>
        <w:t xml:space="preserve">CSARS has attached to its </w:t>
      </w:r>
      <w:r w:rsidR="0060736D" w:rsidRPr="0060736D">
        <w:rPr>
          <w:sz w:val="26"/>
          <w:szCs w:val="26"/>
          <w:lang w:val="en-US"/>
        </w:rPr>
        <w:t xml:space="preserve">answering affidavit </w:t>
      </w:r>
      <w:r w:rsidR="0060736D">
        <w:rPr>
          <w:sz w:val="26"/>
          <w:szCs w:val="26"/>
          <w:lang w:val="en-US"/>
        </w:rPr>
        <w:t>a</w:t>
      </w:r>
      <w:r w:rsidR="0060736D" w:rsidRPr="0060736D">
        <w:rPr>
          <w:sz w:val="26"/>
          <w:szCs w:val="26"/>
          <w:lang w:val="en-US"/>
        </w:rPr>
        <w:t xml:space="preserve"> letter </w:t>
      </w:r>
      <w:r>
        <w:rPr>
          <w:sz w:val="26"/>
          <w:szCs w:val="26"/>
          <w:lang w:val="en-US"/>
        </w:rPr>
        <w:t xml:space="preserve">of that same </w:t>
      </w:r>
      <w:r w:rsidR="0060736D" w:rsidRPr="0060736D">
        <w:rPr>
          <w:sz w:val="26"/>
          <w:szCs w:val="26"/>
          <w:lang w:val="en-US"/>
        </w:rPr>
        <w:t xml:space="preserve">date, addressed to Ms Poulter </w:t>
      </w:r>
      <w:r w:rsidR="0060736D" w:rsidRPr="0060736D">
        <w:rPr>
          <w:i/>
          <w:iCs/>
          <w:sz w:val="26"/>
          <w:szCs w:val="26"/>
          <w:lang w:val="en-US"/>
        </w:rPr>
        <w:t xml:space="preserve">“confirming that we have delivered a copy of the attached letter addressed to </w:t>
      </w:r>
      <w:r w:rsidR="00287D38">
        <w:rPr>
          <w:i/>
          <w:iCs/>
          <w:sz w:val="26"/>
          <w:szCs w:val="26"/>
          <w:lang w:val="en-US"/>
        </w:rPr>
        <w:t xml:space="preserve">the </w:t>
      </w:r>
      <w:r w:rsidR="0060736D" w:rsidRPr="0060736D">
        <w:rPr>
          <w:i/>
          <w:iCs/>
          <w:sz w:val="26"/>
          <w:szCs w:val="26"/>
          <w:lang w:val="en-US"/>
        </w:rPr>
        <w:t>judge president to your residential address this morning and it was signed by your housekeeper”</w:t>
      </w:r>
      <w:r w:rsidR="0060736D" w:rsidRPr="0060736D">
        <w:rPr>
          <w:sz w:val="26"/>
          <w:szCs w:val="26"/>
          <w:lang w:val="en-US"/>
        </w:rPr>
        <w:t xml:space="preserve">. </w:t>
      </w:r>
      <w:r w:rsidR="005004ED">
        <w:rPr>
          <w:sz w:val="26"/>
          <w:szCs w:val="26"/>
          <w:lang w:val="en-US"/>
        </w:rPr>
        <w:t>The letter bears a</w:t>
      </w:r>
      <w:r w:rsidR="005004ED" w:rsidRPr="005004ED">
        <w:rPr>
          <w:sz w:val="26"/>
          <w:szCs w:val="26"/>
          <w:lang w:val="en-US"/>
        </w:rPr>
        <w:t xml:space="preserve"> signature </w:t>
      </w:r>
      <w:r w:rsidR="005004ED">
        <w:rPr>
          <w:sz w:val="26"/>
          <w:szCs w:val="26"/>
          <w:lang w:val="en-US"/>
        </w:rPr>
        <w:t>of the</w:t>
      </w:r>
      <w:r w:rsidR="005004ED" w:rsidRPr="005004ED">
        <w:rPr>
          <w:sz w:val="26"/>
          <w:szCs w:val="26"/>
          <w:lang w:val="en-US"/>
        </w:rPr>
        <w:t xml:space="preserve"> recipient and a date. </w:t>
      </w:r>
      <w:r w:rsidR="0060736D" w:rsidRPr="005004ED">
        <w:rPr>
          <w:sz w:val="26"/>
          <w:szCs w:val="26"/>
          <w:lang w:val="en-US"/>
        </w:rPr>
        <w:t xml:space="preserve">In addition, </w:t>
      </w:r>
      <w:r w:rsidR="00642BBF" w:rsidRPr="005004ED">
        <w:rPr>
          <w:sz w:val="26"/>
          <w:szCs w:val="26"/>
          <w:lang w:val="en-US"/>
        </w:rPr>
        <w:t>attached</w:t>
      </w:r>
      <w:r w:rsidR="00642BBF">
        <w:rPr>
          <w:sz w:val="26"/>
          <w:szCs w:val="26"/>
          <w:lang w:val="en-US"/>
        </w:rPr>
        <w:t xml:space="preserve"> to</w:t>
      </w:r>
      <w:r w:rsidR="00642BBF" w:rsidRPr="005004ED">
        <w:rPr>
          <w:sz w:val="26"/>
          <w:szCs w:val="26"/>
          <w:lang w:val="en-US"/>
        </w:rPr>
        <w:t xml:space="preserve"> </w:t>
      </w:r>
      <w:r w:rsidR="0060736D" w:rsidRPr="005004ED">
        <w:rPr>
          <w:sz w:val="26"/>
          <w:szCs w:val="26"/>
          <w:lang w:val="en-US"/>
        </w:rPr>
        <w:t xml:space="preserve">the answering affidavit </w:t>
      </w:r>
      <w:r w:rsidR="00642BBF">
        <w:rPr>
          <w:sz w:val="26"/>
          <w:szCs w:val="26"/>
          <w:lang w:val="en-US"/>
        </w:rPr>
        <w:t>i</w:t>
      </w:r>
      <w:r w:rsidR="0060736D" w:rsidRPr="005004ED">
        <w:rPr>
          <w:sz w:val="26"/>
          <w:szCs w:val="26"/>
          <w:lang w:val="en-US"/>
        </w:rPr>
        <w:t xml:space="preserve">s a copy of an e-mail sent to Ms Poulter on the same date, which in turn </w:t>
      </w:r>
      <w:r w:rsidR="00287D38">
        <w:rPr>
          <w:sz w:val="26"/>
          <w:szCs w:val="26"/>
          <w:lang w:val="en-US"/>
        </w:rPr>
        <w:t>enclosed</w:t>
      </w:r>
      <w:r w:rsidR="0060736D" w:rsidRPr="005004ED">
        <w:rPr>
          <w:sz w:val="26"/>
          <w:szCs w:val="26"/>
          <w:lang w:val="en-US"/>
        </w:rPr>
        <w:t xml:space="preserve"> all </w:t>
      </w:r>
      <w:r w:rsidR="00287D38">
        <w:rPr>
          <w:sz w:val="26"/>
          <w:szCs w:val="26"/>
          <w:lang w:val="en-US"/>
        </w:rPr>
        <w:t>the</w:t>
      </w:r>
      <w:r w:rsidR="0060736D" w:rsidRPr="005004ED">
        <w:rPr>
          <w:sz w:val="26"/>
          <w:szCs w:val="26"/>
          <w:lang w:val="en-US"/>
        </w:rPr>
        <w:t xml:space="preserve"> correspondence for her attention. </w:t>
      </w:r>
      <w:r w:rsidRPr="005004ED">
        <w:rPr>
          <w:sz w:val="26"/>
          <w:szCs w:val="26"/>
          <w:lang w:val="en-US"/>
        </w:rPr>
        <w:t>T</w:t>
      </w:r>
      <w:r w:rsidR="005004ED" w:rsidRPr="005004ED">
        <w:rPr>
          <w:sz w:val="26"/>
          <w:szCs w:val="26"/>
          <w:lang w:val="en-US"/>
        </w:rPr>
        <w:t>hus</w:t>
      </w:r>
      <w:r w:rsidR="00287D38">
        <w:rPr>
          <w:sz w:val="26"/>
          <w:szCs w:val="26"/>
          <w:lang w:val="en-US"/>
        </w:rPr>
        <w:t>,</w:t>
      </w:r>
      <w:r w:rsidR="005004ED" w:rsidRPr="005004ED">
        <w:rPr>
          <w:sz w:val="26"/>
          <w:szCs w:val="26"/>
          <w:lang w:val="en-US"/>
        </w:rPr>
        <w:t xml:space="preserve"> t</w:t>
      </w:r>
      <w:r w:rsidRPr="005004ED">
        <w:rPr>
          <w:sz w:val="26"/>
          <w:szCs w:val="26"/>
          <w:lang w:val="en-US"/>
        </w:rPr>
        <w:t>he allegation in paragraph 21</w:t>
      </w:r>
      <w:r w:rsidR="005004ED" w:rsidRPr="005004ED">
        <w:rPr>
          <w:sz w:val="26"/>
          <w:szCs w:val="26"/>
          <w:lang w:val="en-US"/>
        </w:rPr>
        <w:t xml:space="preserve"> </w:t>
      </w:r>
      <w:r w:rsidRPr="005004ED">
        <w:rPr>
          <w:sz w:val="26"/>
          <w:szCs w:val="26"/>
          <w:lang w:val="en-US"/>
        </w:rPr>
        <w:t xml:space="preserve">that Ms Poulter was not kept informed of the correspondence addressed to the Judge President and the </w:t>
      </w:r>
      <w:r w:rsidR="005004ED" w:rsidRPr="005004ED">
        <w:rPr>
          <w:sz w:val="26"/>
          <w:szCs w:val="26"/>
          <w:lang w:val="en-US"/>
        </w:rPr>
        <w:t>F</w:t>
      </w:r>
      <w:r w:rsidRPr="005004ED">
        <w:rPr>
          <w:sz w:val="26"/>
          <w:szCs w:val="26"/>
          <w:lang w:val="en-US"/>
        </w:rPr>
        <w:t xml:space="preserve">ull </w:t>
      </w:r>
      <w:r w:rsidR="005004ED" w:rsidRPr="005004ED">
        <w:rPr>
          <w:sz w:val="26"/>
          <w:szCs w:val="26"/>
          <w:lang w:val="en-US"/>
        </w:rPr>
        <w:t>B</w:t>
      </w:r>
      <w:r w:rsidRPr="005004ED">
        <w:rPr>
          <w:sz w:val="26"/>
          <w:szCs w:val="26"/>
          <w:lang w:val="en-US"/>
        </w:rPr>
        <w:t xml:space="preserve">ench </w:t>
      </w:r>
      <w:r w:rsidR="0060736D" w:rsidRPr="005004ED">
        <w:rPr>
          <w:sz w:val="26"/>
          <w:szCs w:val="26"/>
          <w:lang w:val="en-US"/>
        </w:rPr>
        <w:t xml:space="preserve">is </w:t>
      </w:r>
      <w:r w:rsidR="00812C9E">
        <w:rPr>
          <w:sz w:val="26"/>
          <w:szCs w:val="26"/>
          <w:lang w:val="en-US"/>
        </w:rPr>
        <w:t>without substance</w:t>
      </w:r>
      <w:r w:rsidR="0060736D" w:rsidRPr="005004ED">
        <w:rPr>
          <w:sz w:val="26"/>
          <w:szCs w:val="26"/>
          <w:lang w:val="en-US"/>
        </w:rPr>
        <w:t>.</w:t>
      </w:r>
      <w:r w:rsidRPr="005004ED">
        <w:rPr>
          <w:sz w:val="26"/>
          <w:szCs w:val="26"/>
          <w:lang w:val="en-US"/>
        </w:rPr>
        <w:t xml:space="preserve"> </w:t>
      </w:r>
    </w:p>
    <w:p w:rsidR="001A75B5" w:rsidRDefault="001A75B5" w:rsidP="001A75B5">
      <w:pPr>
        <w:pStyle w:val="ListParagraph"/>
        <w:spacing w:after="0" w:line="360" w:lineRule="auto"/>
        <w:ind w:left="0"/>
        <w:jc w:val="both"/>
        <w:rPr>
          <w:sz w:val="26"/>
          <w:szCs w:val="26"/>
          <w:lang w:val="en-US"/>
        </w:rPr>
      </w:pPr>
    </w:p>
    <w:p w:rsidR="001A75B5" w:rsidRPr="008327F3" w:rsidRDefault="0060736D" w:rsidP="008327F3">
      <w:pPr>
        <w:pStyle w:val="ListParagraph"/>
        <w:numPr>
          <w:ilvl w:val="0"/>
          <w:numId w:val="2"/>
        </w:numPr>
        <w:spacing w:after="0" w:line="360" w:lineRule="auto"/>
        <w:ind w:left="0" w:firstLine="0"/>
        <w:jc w:val="both"/>
        <w:rPr>
          <w:sz w:val="26"/>
          <w:szCs w:val="26"/>
          <w:lang w:val="en-US"/>
        </w:rPr>
      </w:pPr>
      <w:r w:rsidRPr="0060736D">
        <w:rPr>
          <w:sz w:val="26"/>
          <w:szCs w:val="26"/>
          <w:lang w:val="en-US"/>
        </w:rPr>
        <w:t>The contents of the letter</w:t>
      </w:r>
      <w:r w:rsidR="000B0EA6">
        <w:rPr>
          <w:sz w:val="26"/>
          <w:szCs w:val="26"/>
          <w:lang w:val="en-US"/>
        </w:rPr>
        <w:t xml:space="preserve"> of 10 November 2021 and the attachments thereto, </w:t>
      </w:r>
      <w:r w:rsidRPr="0060736D">
        <w:rPr>
          <w:sz w:val="26"/>
          <w:szCs w:val="26"/>
          <w:lang w:val="en-US"/>
        </w:rPr>
        <w:t>set out the history of the litigation in this court</w:t>
      </w:r>
      <w:r>
        <w:rPr>
          <w:sz w:val="26"/>
          <w:szCs w:val="26"/>
          <w:lang w:val="en-US"/>
        </w:rPr>
        <w:t>,</w:t>
      </w:r>
      <w:r w:rsidRPr="0060736D">
        <w:rPr>
          <w:sz w:val="26"/>
          <w:szCs w:val="26"/>
          <w:lang w:val="en-US"/>
        </w:rPr>
        <w:t xml:space="preserve"> as well as the </w:t>
      </w:r>
      <w:r w:rsidR="000B0EA6">
        <w:rPr>
          <w:sz w:val="26"/>
          <w:szCs w:val="26"/>
          <w:lang w:val="en-US"/>
        </w:rPr>
        <w:t>C</w:t>
      </w:r>
      <w:r w:rsidRPr="0060736D">
        <w:rPr>
          <w:sz w:val="26"/>
          <w:szCs w:val="26"/>
          <w:lang w:val="en-US"/>
        </w:rPr>
        <w:t>SARS</w:t>
      </w:r>
      <w:r w:rsidR="000B0EA6">
        <w:rPr>
          <w:sz w:val="26"/>
          <w:szCs w:val="26"/>
          <w:lang w:val="en-US"/>
        </w:rPr>
        <w:t>’</w:t>
      </w:r>
      <w:r w:rsidRPr="0060736D">
        <w:rPr>
          <w:sz w:val="26"/>
          <w:szCs w:val="26"/>
          <w:lang w:val="en-US"/>
        </w:rPr>
        <w:t xml:space="preserve"> </w:t>
      </w:r>
      <w:r w:rsidR="001A75B5" w:rsidRPr="001A75B5">
        <w:rPr>
          <w:sz w:val="26"/>
          <w:szCs w:val="26"/>
          <w:lang w:val="en-US"/>
        </w:rPr>
        <w:t>unsuccessful</w:t>
      </w:r>
      <w:r w:rsidR="001A75B5">
        <w:rPr>
          <w:sz w:val="26"/>
          <w:szCs w:val="26"/>
          <w:lang w:val="en-US"/>
        </w:rPr>
        <w:t xml:space="preserve"> </w:t>
      </w:r>
      <w:r w:rsidRPr="0060736D">
        <w:rPr>
          <w:sz w:val="26"/>
          <w:szCs w:val="26"/>
          <w:lang w:val="en-US"/>
        </w:rPr>
        <w:t xml:space="preserve">attempts to set the </w:t>
      </w:r>
      <w:r>
        <w:rPr>
          <w:sz w:val="26"/>
          <w:szCs w:val="26"/>
          <w:lang w:val="en-US"/>
        </w:rPr>
        <w:t>R</w:t>
      </w:r>
      <w:r w:rsidRPr="0060736D">
        <w:rPr>
          <w:sz w:val="26"/>
          <w:szCs w:val="26"/>
          <w:lang w:val="en-US"/>
        </w:rPr>
        <w:t>ule 30 application down</w:t>
      </w:r>
      <w:r w:rsidR="008327F3">
        <w:rPr>
          <w:sz w:val="26"/>
          <w:szCs w:val="26"/>
          <w:lang w:val="en-US"/>
        </w:rPr>
        <w:t xml:space="preserve">. </w:t>
      </w:r>
      <w:r w:rsidR="000B0EA6" w:rsidRPr="000B0EA6">
        <w:rPr>
          <w:sz w:val="26"/>
          <w:szCs w:val="26"/>
          <w:lang w:val="en-US"/>
        </w:rPr>
        <w:t xml:space="preserve">The CSARS’ view was that the allocation of the appeal was irregular for, amongst other reasons, the fact that Mr </w:t>
      </w:r>
      <w:r w:rsidR="00234120">
        <w:rPr>
          <w:sz w:val="26"/>
          <w:szCs w:val="26"/>
          <w:lang w:val="en-US"/>
        </w:rPr>
        <w:t>van der Merwe</w:t>
      </w:r>
      <w:r w:rsidR="000B0EA6" w:rsidRPr="000B0EA6">
        <w:rPr>
          <w:sz w:val="26"/>
          <w:szCs w:val="26"/>
          <w:lang w:val="en-US"/>
        </w:rPr>
        <w:t xml:space="preserve"> was not entitled to represent Ms Poulter, and the fact that the Rule 30 application ought to be determined first.</w:t>
      </w:r>
      <w:r w:rsidR="008327F3">
        <w:rPr>
          <w:sz w:val="26"/>
          <w:szCs w:val="26"/>
          <w:lang w:val="en-US"/>
        </w:rPr>
        <w:t xml:space="preserve"> </w:t>
      </w:r>
      <w:r w:rsidR="000B0EA6" w:rsidRPr="008327F3">
        <w:rPr>
          <w:sz w:val="26"/>
          <w:szCs w:val="26"/>
          <w:lang w:val="en-US"/>
        </w:rPr>
        <w:t xml:space="preserve">Although those issues also constitute the subject of the matters before </w:t>
      </w:r>
      <w:r w:rsidR="00642BBF">
        <w:rPr>
          <w:sz w:val="26"/>
          <w:szCs w:val="26"/>
          <w:lang w:val="en-US"/>
        </w:rPr>
        <w:t>c</w:t>
      </w:r>
      <w:r w:rsidR="000B0EA6" w:rsidRPr="008327F3">
        <w:rPr>
          <w:sz w:val="26"/>
          <w:szCs w:val="26"/>
          <w:lang w:val="en-US"/>
        </w:rPr>
        <w:t xml:space="preserve">ourt, they also pertained to the allocation of the appeal matter to the Full Bench by the Judge President. </w:t>
      </w:r>
      <w:r w:rsidR="001A75B5" w:rsidRPr="008327F3">
        <w:rPr>
          <w:sz w:val="26"/>
          <w:szCs w:val="26"/>
          <w:lang w:val="en-US"/>
        </w:rPr>
        <w:t xml:space="preserve">I </w:t>
      </w:r>
      <w:r w:rsidR="000B0EA6" w:rsidRPr="008327F3">
        <w:rPr>
          <w:sz w:val="26"/>
          <w:szCs w:val="26"/>
          <w:lang w:val="en-US"/>
        </w:rPr>
        <w:t xml:space="preserve">therefore </w:t>
      </w:r>
      <w:r w:rsidR="001A75B5" w:rsidRPr="008327F3">
        <w:rPr>
          <w:sz w:val="26"/>
          <w:szCs w:val="26"/>
          <w:lang w:val="en-US"/>
        </w:rPr>
        <w:t xml:space="preserve">do not consider the sending of the letter to have been irregular </w:t>
      </w:r>
      <w:r w:rsidR="000B0EA6" w:rsidRPr="008327F3">
        <w:rPr>
          <w:sz w:val="26"/>
          <w:szCs w:val="26"/>
          <w:lang w:val="en-US"/>
        </w:rPr>
        <w:t>or an attempt to influence the Bench</w:t>
      </w:r>
      <w:r w:rsidR="001A75B5" w:rsidRPr="008327F3">
        <w:rPr>
          <w:sz w:val="26"/>
          <w:szCs w:val="26"/>
          <w:lang w:val="en-US"/>
        </w:rPr>
        <w:t xml:space="preserve">. </w:t>
      </w:r>
      <w:r w:rsidR="008327F3">
        <w:rPr>
          <w:sz w:val="26"/>
          <w:szCs w:val="26"/>
          <w:lang w:val="en-US"/>
        </w:rPr>
        <w:t xml:space="preserve">In any event, </w:t>
      </w:r>
      <w:r w:rsidR="008327F3" w:rsidRPr="008327F3">
        <w:rPr>
          <w:sz w:val="26"/>
          <w:szCs w:val="26"/>
          <w:lang w:val="en-US"/>
        </w:rPr>
        <w:t>since the letter was delivered to Ms Poulter nothing precluded her or her representative from challenging its contents</w:t>
      </w:r>
      <w:r w:rsidR="008327F3">
        <w:rPr>
          <w:sz w:val="26"/>
          <w:szCs w:val="26"/>
          <w:lang w:val="en-US"/>
        </w:rPr>
        <w:t xml:space="preserve"> by also sending correspondence to the same </w:t>
      </w:r>
      <w:r w:rsidR="00287D38">
        <w:rPr>
          <w:sz w:val="26"/>
          <w:szCs w:val="26"/>
          <w:lang w:val="en-US"/>
        </w:rPr>
        <w:t>addressees</w:t>
      </w:r>
      <w:r w:rsidR="008327F3" w:rsidRPr="008327F3">
        <w:rPr>
          <w:sz w:val="26"/>
          <w:szCs w:val="26"/>
          <w:lang w:val="en-US"/>
        </w:rPr>
        <w:t xml:space="preserve">. </w:t>
      </w:r>
      <w:r w:rsidR="001A75B5" w:rsidRPr="008327F3">
        <w:rPr>
          <w:sz w:val="26"/>
          <w:szCs w:val="26"/>
          <w:lang w:val="en-US"/>
        </w:rPr>
        <w:t xml:space="preserve">As it turned out, the appeal was </w:t>
      </w:r>
      <w:r w:rsidR="000C39D1" w:rsidRPr="008327F3">
        <w:rPr>
          <w:sz w:val="26"/>
          <w:szCs w:val="26"/>
          <w:lang w:val="en-US"/>
        </w:rPr>
        <w:t>a</w:t>
      </w:r>
      <w:r w:rsidR="001A75B5" w:rsidRPr="008327F3">
        <w:rPr>
          <w:sz w:val="26"/>
          <w:szCs w:val="26"/>
          <w:lang w:val="en-US"/>
        </w:rPr>
        <w:t xml:space="preserve">llocated to the </w:t>
      </w:r>
      <w:r w:rsidR="008327F3">
        <w:rPr>
          <w:sz w:val="26"/>
          <w:szCs w:val="26"/>
          <w:lang w:val="en-US"/>
        </w:rPr>
        <w:t>F</w:t>
      </w:r>
      <w:r w:rsidR="001A75B5" w:rsidRPr="008327F3">
        <w:rPr>
          <w:sz w:val="26"/>
          <w:szCs w:val="26"/>
          <w:lang w:val="en-US"/>
        </w:rPr>
        <w:t xml:space="preserve">ull </w:t>
      </w:r>
      <w:r w:rsidR="008327F3">
        <w:rPr>
          <w:sz w:val="26"/>
          <w:szCs w:val="26"/>
          <w:lang w:val="en-US"/>
        </w:rPr>
        <w:t>B</w:t>
      </w:r>
      <w:r w:rsidR="001A75B5" w:rsidRPr="008327F3">
        <w:rPr>
          <w:sz w:val="26"/>
          <w:szCs w:val="26"/>
          <w:lang w:val="en-US"/>
        </w:rPr>
        <w:t>ench and t</w:t>
      </w:r>
      <w:r w:rsidR="000C39D1" w:rsidRPr="008327F3">
        <w:rPr>
          <w:sz w:val="26"/>
          <w:szCs w:val="26"/>
          <w:lang w:val="en-US"/>
        </w:rPr>
        <w:t>he</w:t>
      </w:r>
      <w:r w:rsidR="001A75B5" w:rsidRPr="008327F3">
        <w:rPr>
          <w:sz w:val="26"/>
          <w:szCs w:val="26"/>
          <w:lang w:val="en-US"/>
        </w:rPr>
        <w:t xml:space="preserve"> set down of 21 January 2022 was not revoked, despite the contents of the letter</w:t>
      </w:r>
      <w:r w:rsidR="008327F3">
        <w:rPr>
          <w:sz w:val="26"/>
          <w:szCs w:val="26"/>
          <w:lang w:val="en-US"/>
        </w:rPr>
        <w:t>.</w:t>
      </w:r>
      <w:r w:rsidR="001A75B5" w:rsidRPr="008327F3">
        <w:rPr>
          <w:sz w:val="26"/>
          <w:szCs w:val="26"/>
          <w:lang w:val="en-US"/>
        </w:rPr>
        <w:t xml:space="preserve"> </w:t>
      </w:r>
      <w:r w:rsidR="008327F3">
        <w:rPr>
          <w:sz w:val="26"/>
          <w:szCs w:val="26"/>
          <w:lang w:val="en-US"/>
        </w:rPr>
        <w:t xml:space="preserve">I consider the allegations in </w:t>
      </w:r>
      <w:r w:rsidR="008327F3" w:rsidRPr="007A6441">
        <w:rPr>
          <w:sz w:val="26"/>
          <w:szCs w:val="26"/>
          <w:lang w:val="en-US"/>
        </w:rPr>
        <w:t>paragraph 21 to be serious, scandalous and prejudicial to the reputation of the CSARS’ attorney, and it ought to be struck out in its entirety</w:t>
      </w:r>
      <w:r w:rsidR="008327F3">
        <w:rPr>
          <w:sz w:val="26"/>
          <w:szCs w:val="26"/>
          <w:lang w:val="en-US"/>
        </w:rPr>
        <w:t>.</w:t>
      </w:r>
    </w:p>
    <w:p w:rsidR="001A75B5" w:rsidRPr="001A75B5" w:rsidRDefault="001A75B5" w:rsidP="001A75B5">
      <w:pPr>
        <w:pStyle w:val="ListParagraph"/>
        <w:rPr>
          <w:sz w:val="26"/>
          <w:szCs w:val="26"/>
          <w:lang w:val="en-US"/>
        </w:rPr>
      </w:pPr>
    </w:p>
    <w:p w:rsidR="001A75B5" w:rsidRDefault="008327F3" w:rsidP="0060736D">
      <w:pPr>
        <w:pStyle w:val="ListParagraph"/>
        <w:numPr>
          <w:ilvl w:val="0"/>
          <w:numId w:val="2"/>
        </w:numPr>
        <w:spacing w:after="0" w:line="360" w:lineRule="auto"/>
        <w:ind w:left="0" w:firstLine="0"/>
        <w:jc w:val="both"/>
        <w:rPr>
          <w:sz w:val="26"/>
          <w:szCs w:val="26"/>
          <w:lang w:val="en-US"/>
        </w:rPr>
      </w:pPr>
      <w:r>
        <w:rPr>
          <w:sz w:val="26"/>
          <w:szCs w:val="26"/>
          <w:lang w:val="en-US"/>
        </w:rPr>
        <w:t xml:space="preserve">I now turn to the objection </w:t>
      </w:r>
      <w:r w:rsidR="00E110E5">
        <w:rPr>
          <w:sz w:val="26"/>
          <w:szCs w:val="26"/>
          <w:lang w:val="en-US"/>
        </w:rPr>
        <w:t xml:space="preserve">regarding the </w:t>
      </w:r>
      <w:r w:rsidR="00313E8D" w:rsidRPr="00313E8D">
        <w:rPr>
          <w:sz w:val="26"/>
          <w:szCs w:val="26"/>
          <w:lang w:val="en-US"/>
        </w:rPr>
        <w:t>contents of paragraph 23</w:t>
      </w:r>
      <w:r>
        <w:rPr>
          <w:sz w:val="26"/>
          <w:szCs w:val="26"/>
          <w:lang w:val="en-US"/>
        </w:rPr>
        <w:t xml:space="preserve"> of th</w:t>
      </w:r>
      <w:r w:rsidR="00862121">
        <w:rPr>
          <w:sz w:val="26"/>
          <w:szCs w:val="26"/>
          <w:lang w:val="en-US"/>
        </w:rPr>
        <w:t>e</w:t>
      </w:r>
      <w:r>
        <w:rPr>
          <w:sz w:val="26"/>
          <w:szCs w:val="26"/>
          <w:lang w:val="en-US"/>
        </w:rPr>
        <w:t xml:space="preserve"> intervention application. T</w:t>
      </w:r>
      <w:r w:rsidR="00313E8D" w:rsidRPr="00313E8D">
        <w:rPr>
          <w:sz w:val="26"/>
          <w:szCs w:val="26"/>
          <w:lang w:val="en-US"/>
        </w:rPr>
        <w:t xml:space="preserve">he contents of the exchange between </w:t>
      </w:r>
      <w:r w:rsidR="00313E8D">
        <w:rPr>
          <w:sz w:val="26"/>
          <w:szCs w:val="26"/>
          <w:lang w:val="en-US"/>
        </w:rPr>
        <w:t>M</w:t>
      </w:r>
      <w:r w:rsidR="00313E8D" w:rsidRPr="00313E8D">
        <w:rPr>
          <w:sz w:val="26"/>
          <w:szCs w:val="26"/>
          <w:lang w:val="en-US"/>
        </w:rPr>
        <w:t xml:space="preserve">s </w:t>
      </w:r>
      <w:r w:rsidR="00313E8D">
        <w:rPr>
          <w:sz w:val="26"/>
          <w:szCs w:val="26"/>
          <w:lang w:val="en-US"/>
        </w:rPr>
        <w:t>S</w:t>
      </w:r>
      <w:r w:rsidR="00313E8D" w:rsidRPr="00313E8D">
        <w:rPr>
          <w:sz w:val="26"/>
          <w:szCs w:val="26"/>
          <w:lang w:val="en-US"/>
        </w:rPr>
        <w:t xml:space="preserve">outhwood and </w:t>
      </w:r>
      <w:r w:rsidR="00313E8D">
        <w:rPr>
          <w:sz w:val="26"/>
          <w:szCs w:val="26"/>
          <w:lang w:val="en-US"/>
        </w:rPr>
        <w:t>B</w:t>
      </w:r>
      <w:r w:rsidR="00313E8D" w:rsidRPr="00313E8D">
        <w:rPr>
          <w:sz w:val="26"/>
          <w:szCs w:val="26"/>
          <w:lang w:val="en-US"/>
        </w:rPr>
        <w:t>in</w:t>
      </w:r>
      <w:r w:rsidR="00313E8D">
        <w:rPr>
          <w:sz w:val="26"/>
          <w:szCs w:val="26"/>
          <w:lang w:val="en-US"/>
        </w:rPr>
        <w:t>n</w:t>
      </w:r>
      <w:r w:rsidR="00313E8D" w:rsidRPr="00313E8D">
        <w:rPr>
          <w:sz w:val="26"/>
          <w:szCs w:val="26"/>
          <w:lang w:val="en-US"/>
        </w:rPr>
        <w:t>s</w:t>
      </w:r>
      <w:r w:rsidR="00313E8D">
        <w:rPr>
          <w:sz w:val="26"/>
          <w:szCs w:val="26"/>
          <w:lang w:val="en-US"/>
        </w:rPr>
        <w:t>-W</w:t>
      </w:r>
      <w:r w:rsidR="00313E8D" w:rsidRPr="00313E8D">
        <w:rPr>
          <w:sz w:val="26"/>
          <w:szCs w:val="26"/>
          <w:lang w:val="en-US"/>
        </w:rPr>
        <w:t>ard</w:t>
      </w:r>
      <w:r w:rsidR="00313E8D">
        <w:rPr>
          <w:sz w:val="26"/>
          <w:szCs w:val="26"/>
          <w:lang w:val="en-US"/>
        </w:rPr>
        <w:t xml:space="preserve"> J</w:t>
      </w:r>
      <w:r w:rsidR="00313E8D" w:rsidRPr="00313E8D">
        <w:rPr>
          <w:sz w:val="26"/>
          <w:szCs w:val="26"/>
          <w:lang w:val="en-US"/>
        </w:rPr>
        <w:t xml:space="preserve"> on 12</w:t>
      </w:r>
      <w:r w:rsidR="00313E8D">
        <w:rPr>
          <w:sz w:val="26"/>
          <w:szCs w:val="26"/>
          <w:lang w:val="en-US"/>
        </w:rPr>
        <w:t xml:space="preserve"> M</w:t>
      </w:r>
      <w:r w:rsidR="00313E8D" w:rsidRPr="00313E8D">
        <w:rPr>
          <w:sz w:val="26"/>
          <w:szCs w:val="26"/>
          <w:lang w:val="en-US"/>
        </w:rPr>
        <w:t>ay 2022</w:t>
      </w:r>
      <w:r w:rsidR="00313E8D">
        <w:rPr>
          <w:sz w:val="26"/>
          <w:szCs w:val="26"/>
          <w:lang w:val="en-US"/>
        </w:rPr>
        <w:t xml:space="preserve"> </w:t>
      </w:r>
      <w:r w:rsidR="00313E8D" w:rsidRPr="00313E8D">
        <w:rPr>
          <w:sz w:val="26"/>
          <w:szCs w:val="26"/>
          <w:lang w:val="en-US"/>
        </w:rPr>
        <w:t>are worth setting out</w:t>
      </w:r>
      <w:r w:rsidR="00313E8D">
        <w:rPr>
          <w:sz w:val="26"/>
          <w:szCs w:val="26"/>
          <w:lang w:val="en-US"/>
        </w:rPr>
        <w:t>:</w:t>
      </w:r>
    </w:p>
    <w:p w:rsidR="00E110E5" w:rsidRDefault="00E110E5" w:rsidP="00E110E5">
      <w:pPr>
        <w:pStyle w:val="ListParagraph"/>
        <w:spacing w:after="0" w:line="360" w:lineRule="auto"/>
        <w:ind w:left="0"/>
        <w:jc w:val="both"/>
        <w:rPr>
          <w:sz w:val="26"/>
          <w:szCs w:val="26"/>
          <w:lang w:val="en-US"/>
        </w:rPr>
      </w:pPr>
    </w:p>
    <w:p w:rsidR="00E110E5" w:rsidRPr="00647BCC" w:rsidRDefault="002B3B79" w:rsidP="00647BCC">
      <w:pPr>
        <w:pStyle w:val="ListParagraph"/>
        <w:spacing w:after="0" w:line="360" w:lineRule="auto"/>
        <w:ind w:left="1440"/>
        <w:jc w:val="both"/>
        <w:rPr>
          <w:lang w:val="en-US"/>
        </w:rPr>
      </w:pPr>
      <w:r w:rsidRPr="00B97CCB">
        <w:rPr>
          <w:lang w:val="en-US"/>
        </w:rPr>
        <w:t>“MS SOUTHWOOD: The appeal court should have heard all of the applications.</w:t>
      </w:r>
    </w:p>
    <w:p w:rsidR="00E110E5" w:rsidRPr="00647BCC" w:rsidRDefault="002B3B79" w:rsidP="00647BCC">
      <w:pPr>
        <w:pStyle w:val="ListParagraph"/>
        <w:spacing w:after="0" w:line="360" w:lineRule="auto"/>
        <w:ind w:left="1440"/>
        <w:jc w:val="both"/>
        <w:rPr>
          <w:lang w:val="en-US"/>
        </w:rPr>
      </w:pPr>
      <w:r w:rsidRPr="00B97CCB">
        <w:rPr>
          <w:lang w:val="en-US"/>
        </w:rPr>
        <w:t xml:space="preserve"> COURT: Of course it should have, yes.</w:t>
      </w:r>
    </w:p>
    <w:p w:rsidR="002B3B79" w:rsidRPr="00B97CCB" w:rsidRDefault="002B3B79" w:rsidP="001F2DA4">
      <w:pPr>
        <w:pStyle w:val="ListParagraph"/>
        <w:spacing w:after="0" w:line="240" w:lineRule="auto"/>
        <w:ind w:left="1440"/>
        <w:jc w:val="both"/>
        <w:rPr>
          <w:lang w:val="en-US"/>
        </w:rPr>
      </w:pPr>
      <w:r>
        <w:rPr>
          <w:lang w:val="en-US"/>
        </w:rPr>
        <w:t xml:space="preserve"> </w:t>
      </w:r>
      <w:r w:rsidRPr="00B97CCB">
        <w:rPr>
          <w:lang w:val="en-US"/>
        </w:rPr>
        <w:t>MS SOUTHWOOD: The bundles were before them. The Commissioner made certain…[intervenes]</w:t>
      </w:r>
    </w:p>
    <w:p w:rsidR="002B3B79" w:rsidRPr="00B97CCB" w:rsidRDefault="002B3B79" w:rsidP="001F2DA4">
      <w:pPr>
        <w:pStyle w:val="ListParagraph"/>
        <w:spacing w:after="0" w:line="240" w:lineRule="auto"/>
        <w:ind w:left="1440"/>
        <w:jc w:val="both"/>
        <w:rPr>
          <w:lang w:val="en-US"/>
        </w:rPr>
      </w:pPr>
    </w:p>
    <w:p w:rsidR="002B3B79" w:rsidRPr="00B97CCB" w:rsidRDefault="002B3B79" w:rsidP="001F2DA4">
      <w:pPr>
        <w:pStyle w:val="ListParagraph"/>
        <w:spacing w:after="0" w:line="240" w:lineRule="auto"/>
        <w:ind w:left="1440"/>
        <w:jc w:val="both"/>
        <w:rPr>
          <w:lang w:val="en-US"/>
        </w:rPr>
      </w:pPr>
      <w:r w:rsidRPr="00B97CCB">
        <w:rPr>
          <w:lang w:val="en-US"/>
        </w:rPr>
        <w:t>COURT: Sorry to interrupt you, but was the issue argued as a matter… I mean it's immaterial, but as a matter of interest to me, was this issue argued?</w:t>
      </w:r>
    </w:p>
    <w:p w:rsidR="002B3B79" w:rsidRPr="00B97CCB" w:rsidRDefault="002B3B79" w:rsidP="001F2DA4">
      <w:pPr>
        <w:pStyle w:val="ListParagraph"/>
        <w:spacing w:after="0" w:line="240" w:lineRule="auto"/>
        <w:ind w:left="1440"/>
        <w:jc w:val="both"/>
        <w:rPr>
          <w:lang w:val="en-US"/>
        </w:rPr>
      </w:pPr>
    </w:p>
    <w:p w:rsidR="002B3B79" w:rsidRPr="00B97CCB" w:rsidRDefault="002B3B79" w:rsidP="001F2DA4">
      <w:pPr>
        <w:pStyle w:val="ListParagraph"/>
        <w:spacing w:after="0" w:line="240" w:lineRule="auto"/>
        <w:ind w:left="1440"/>
        <w:jc w:val="both"/>
      </w:pPr>
      <w:r w:rsidRPr="00B97CCB">
        <w:rPr>
          <w:lang w:val="en-US"/>
        </w:rPr>
        <w:t>MS SOUTHWOOD: It wasn't. There wasn't an opportunity to be raised. So the bundles were before the court, all three matters the condonation application, the Rule 30 application and the merits of the appeal were dealt with in the heads of argument. They had the files two months before the hearing.”</w:t>
      </w:r>
      <w:r>
        <w:rPr>
          <w:rStyle w:val="FootnoteReference"/>
          <w:lang w:val="en-US"/>
        </w:rPr>
        <w:footnoteReference w:id="23"/>
      </w:r>
    </w:p>
    <w:p w:rsidR="00E110E5" w:rsidRPr="00E110E5" w:rsidRDefault="00E110E5" w:rsidP="00E110E5">
      <w:pPr>
        <w:pStyle w:val="ListParagraph"/>
        <w:spacing w:after="0" w:line="360" w:lineRule="auto"/>
        <w:ind w:left="0"/>
        <w:jc w:val="both"/>
        <w:rPr>
          <w:sz w:val="26"/>
          <w:szCs w:val="26"/>
        </w:rPr>
      </w:pPr>
    </w:p>
    <w:p w:rsidR="00647BCC" w:rsidRDefault="002B3B79" w:rsidP="00647BCC">
      <w:pPr>
        <w:pStyle w:val="ListParagraph"/>
        <w:numPr>
          <w:ilvl w:val="0"/>
          <w:numId w:val="2"/>
        </w:numPr>
        <w:spacing w:after="0" w:line="360" w:lineRule="auto"/>
        <w:ind w:left="0" w:firstLine="0"/>
        <w:jc w:val="both"/>
        <w:rPr>
          <w:sz w:val="26"/>
          <w:szCs w:val="26"/>
        </w:rPr>
      </w:pPr>
      <w:r w:rsidRPr="001318EF">
        <w:rPr>
          <w:sz w:val="26"/>
          <w:szCs w:val="26"/>
          <w:lang w:val="en-US"/>
        </w:rPr>
        <w:t>Later</w:t>
      </w:r>
      <w:r>
        <w:rPr>
          <w:sz w:val="26"/>
          <w:szCs w:val="26"/>
          <w:lang w:val="en-US"/>
        </w:rPr>
        <w:t>,</w:t>
      </w:r>
      <w:r w:rsidRPr="001318EF">
        <w:rPr>
          <w:sz w:val="26"/>
          <w:szCs w:val="26"/>
          <w:lang w:val="en-US"/>
        </w:rPr>
        <w:t xml:space="preserve"> </w:t>
      </w:r>
      <w:r>
        <w:rPr>
          <w:sz w:val="26"/>
          <w:szCs w:val="26"/>
          <w:lang w:val="en-US"/>
        </w:rPr>
        <w:t>M</w:t>
      </w:r>
      <w:r w:rsidRPr="001318EF">
        <w:rPr>
          <w:sz w:val="26"/>
          <w:szCs w:val="26"/>
          <w:lang w:val="en-US"/>
        </w:rPr>
        <w:t xml:space="preserve">s </w:t>
      </w:r>
      <w:r>
        <w:rPr>
          <w:sz w:val="26"/>
          <w:szCs w:val="26"/>
          <w:lang w:val="en-US"/>
        </w:rPr>
        <w:t>S</w:t>
      </w:r>
      <w:r w:rsidRPr="001318EF">
        <w:rPr>
          <w:sz w:val="26"/>
          <w:szCs w:val="26"/>
          <w:lang w:val="en-US"/>
        </w:rPr>
        <w:t xml:space="preserve">outhwood argued </w:t>
      </w:r>
      <w:r>
        <w:rPr>
          <w:sz w:val="26"/>
          <w:szCs w:val="26"/>
          <w:lang w:val="en-US"/>
        </w:rPr>
        <w:t>as follows:</w:t>
      </w:r>
    </w:p>
    <w:p w:rsidR="00647BCC" w:rsidRPr="00647BCC" w:rsidRDefault="00647BCC" w:rsidP="00647BCC">
      <w:pPr>
        <w:pStyle w:val="ListParagraph"/>
        <w:spacing w:after="0" w:line="360" w:lineRule="auto"/>
        <w:ind w:left="0"/>
        <w:jc w:val="both"/>
        <w:rPr>
          <w:sz w:val="26"/>
          <w:szCs w:val="26"/>
        </w:rPr>
      </w:pPr>
    </w:p>
    <w:p w:rsidR="002B3B79" w:rsidRPr="00030DBB" w:rsidRDefault="002B3B79" w:rsidP="002B3B79">
      <w:pPr>
        <w:pStyle w:val="ListParagraph"/>
        <w:spacing w:after="0" w:line="240" w:lineRule="auto"/>
        <w:ind w:left="1440"/>
        <w:jc w:val="both"/>
      </w:pPr>
      <w:r w:rsidRPr="00030DBB">
        <w:rPr>
          <w:lang w:val="en-US"/>
        </w:rPr>
        <w:t xml:space="preserve">“So we would ask that Your Lordship hear at least the Rule 30 and the objection </w:t>
      </w:r>
      <w:r w:rsidRPr="00030DBB">
        <w:rPr>
          <w:i/>
          <w:iCs/>
          <w:lang w:val="en-US"/>
        </w:rPr>
        <w:t>in limine</w:t>
      </w:r>
      <w:r w:rsidRPr="00030DBB">
        <w:rPr>
          <w:lang w:val="en-US"/>
        </w:rPr>
        <w:t xml:space="preserve"> of the condonation application if necessary. It may not be necessary if the Rule 30 is upheld. If your Lordship is inclined not to hear the matter… that these interlocutory applications must be heard with the appeal and that cost</w:t>
      </w:r>
      <w:r w:rsidR="008424A2">
        <w:rPr>
          <w:lang w:val="en-US"/>
        </w:rPr>
        <w:t>s</w:t>
      </w:r>
      <w:r w:rsidRPr="00030DBB">
        <w:rPr>
          <w:lang w:val="en-US"/>
        </w:rPr>
        <w:t xml:space="preserve"> be cost</w:t>
      </w:r>
      <w:r>
        <w:rPr>
          <w:lang w:val="en-US"/>
        </w:rPr>
        <w:t>s</w:t>
      </w:r>
      <w:r w:rsidRPr="00030DBB">
        <w:rPr>
          <w:lang w:val="en-US"/>
        </w:rPr>
        <w:t xml:space="preserve"> in the cause…”.</w:t>
      </w:r>
      <w:r w:rsidRPr="00030DBB">
        <w:rPr>
          <w:rStyle w:val="FootnoteReference"/>
          <w:lang w:val="en-US"/>
        </w:rPr>
        <w:footnoteReference w:id="24"/>
      </w:r>
    </w:p>
    <w:p w:rsidR="002B3B79" w:rsidRPr="002B3B79" w:rsidRDefault="002B3B79" w:rsidP="002B3B79">
      <w:pPr>
        <w:rPr>
          <w:sz w:val="26"/>
          <w:szCs w:val="26"/>
          <w:lang w:val="en-US"/>
        </w:rPr>
      </w:pPr>
    </w:p>
    <w:p w:rsidR="00D667AE" w:rsidRPr="00484B0A" w:rsidRDefault="002B3B79" w:rsidP="00D667AE">
      <w:pPr>
        <w:pStyle w:val="ListParagraph"/>
        <w:numPr>
          <w:ilvl w:val="0"/>
          <w:numId w:val="2"/>
        </w:numPr>
        <w:spacing w:after="0" w:line="360" w:lineRule="auto"/>
        <w:ind w:left="0" w:firstLine="0"/>
        <w:jc w:val="both"/>
        <w:rPr>
          <w:sz w:val="26"/>
          <w:szCs w:val="26"/>
        </w:rPr>
      </w:pPr>
      <w:r w:rsidRPr="002B3B79">
        <w:rPr>
          <w:sz w:val="26"/>
          <w:szCs w:val="26"/>
          <w:lang w:val="en-US"/>
        </w:rPr>
        <w:t xml:space="preserve">Although at first </w:t>
      </w:r>
      <w:r w:rsidR="00236769">
        <w:rPr>
          <w:sz w:val="26"/>
          <w:szCs w:val="26"/>
          <w:lang w:val="en-US"/>
        </w:rPr>
        <w:t xml:space="preserve">blush </w:t>
      </w:r>
      <w:r w:rsidRPr="002B3B79">
        <w:rPr>
          <w:sz w:val="26"/>
          <w:szCs w:val="26"/>
          <w:lang w:val="en-US"/>
        </w:rPr>
        <w:t>it might appear that</w:t>
      </w:r>
      <w:r>
        <w:rPr>
          <w:sz w:val="26"/>
          <w:szCs w:val="26"/>
          <w:lang w:val="en-US"/>
        </w:rPr>
        <w:t xml:space="preserve"> M</w:t>
      </w:r>
      <w:r w:rsidRPr="002B3B79">
        <w:rPr>
          <w:sz w:val="26"/>
          <w:szCs w:val="26"/>
          <w:lang w:val="en-US"/>
        </w:rPr>
        <w:t xml:space="preserve">s </w:t>
      </w:r>
      <w:r>
        <w:rPr>
          <w:sz w:val="26"/>
          <w:szCs w:val="26"/>
          <w:lang w:val="en-US"/>
        </w:rPr>
        <w:t>S</w:t>
      </w:r>
      <w:r w:rsidRPr="002B3B79">
        <w:rPr>
          <w:sz w:val="26"/>
          <w:szCs w:val="26"/>
          <w:lang w:val="en-US"/>
        </w:rPr>
        <w:t>outhwood argued the opposite of what she previously contended</w:t>
      </w:r>
      <w:r>
        <w:rPr>
          <w:sz w:val="26"/>
          <w:szCs w:val="26"/>
          <w:lang w:val="en-US"/>
        </w:rPr>
        <w:t>,</w:t>
      </w:r>
      <w:r w:rsidRPr="002B3B79">
        <w:rPr>
          <w:sz w:val="26"/>
          <w:szCs w:val="26"/>
          <w:lang w:val="en-US"/>
        </w:rPr>
        <w:t xml:space="preserve"> </w:t>
      </w:r>
      <w:r>
        <w:rPr>
          <w:sz w:val="26"/>
          <w:szCs w:val="26"/>
          <w:lang w:val="en-US"/>
        </w:rPr>
        <w:t>t</w:t>
      </w:r>
      <w:r w:rsidRPr="002B3B79">
        <w:rPr>
          <w:sz w:val="26"/>
          <w:szCs w:val="26"/>
          <w:lang w:val="en-US"/>
        </w:rPr>
        <w:t xml:space="preserve">he transcripts in both proceedings need to be </w:t>
      </w:r>
      <w:r w:rsidR="00236769">
        <w:rPr>
          <w:sz w:val="26"/>
          <w:szCs w:val="26"/>
          <w:lang w:val="en-US"/>
        </w:rPr>
        <w:t>considered</w:t>
      </w:r>
      <w:r w:rsidRPr="002B3B79">
        <w:rPr>
          <w:sz w:val="26"/>
          <w:szCs w:val="26"/>
          <w:lang w:val="en-US"/>
        </w:rPr>
        <w:t xml:space="preserve"> in the</w:t>
      </w:r>
      <w:r w:rsidR="00E110E5">
        <w:rPr>
          <w:sz w:val="26"/>
          <w:szCs w:val="26"/>
          <w:lang w:val="en-US"/>
        </w:rPr>
        <w:t>ir</w:t>
      </w:r>
      <w:r w:rsidRPr="002B3B79">
        <w:rPr>
          <w:sz w:val="26"/>
          <w:szCs w:val="26"/>
          <w:lang w:val="en-US"/>
        </w:rPr>
        <w:t xml:space="preserve"> proper context</w:t>
      </w:r>
      <w:r>
        <w:rPr>
          <w:sz w:val="26"/>
          <w:szCs w:val="26"/>
          <w:lang w:val="en-US"/>
        </w:rPr>
        <w:t>.</w:t>
      </w:r>
      <w:r w:rsidRPr="002B3B79">
        <w:rPr>
          <w:sz w:val="26"/>
          <w:szCs w:val="26"/>
          <w:lang w:val="en-US"/>
        </w:rPr>
        <w:t xml:space="preserve"> </w:t>
      </w:r>
      <w:r>
        <w:rPr>
          <w:sz w:val="26"/>
          <w:szCs w:val="26"/>
          <w:lang w:val="en-US"/>
        </w:rPr>
        <w:t>W</w:t>
      </w:r>
      <w:r w:rsidRPr="002B3B79">
        <w:rPr>
          <w:sz w:val="26"/>
          <w:szCs w:val="26"/>
          <w:lang w:val="en-US"/>
        </w:rPr>
        <w:t xml:space="preserve">hat she argued on 21 January 2022 was that the </w:t>
      </w:r>
      <w:r>
        <w:rPr>
          <w:sz w:val="26"/>
          <w:szCs w:val="26"/>
          <w:lang w:val="en-US"/>
        </w:rPr>
        <w:t>R</w:t>
      </w:r>
      <w:r w:rsidRPr="002B3B79">
        <w:rPr>
          <w:sz w:val="26"/>
          <w:szCs w:val="26"/>
          <w:lang w:val="en-US"/>
        </w:rPr>
        <w:t>ule 30 application</w:t>
      </w:r>
      <w:r>
        <w:rPr>
          <w:sz w:val="26"/>
          <w:szCs w:val="26"/>
          <w:lang w:val="en-US"/>
        </w:rPr>
        <w:t xml:space="preserve"> </w:t>
      </w:r>
      <w:r w:rsidRPr="002B3B79">
        <w:rPr>
          <w:sz w:val="26"/>
          <w:szCs w:val="26"/>
          <w:lang w:val="en-US"/>
        </w:rPr>
        <w:t>ought to be determined first</w:t>
      </w:r>
      <w:r>
        <w:rPr>
          <w:sz w:val="26"/>
          <w:szCs w:val="26"/>
          <w:lang w:val="en-US"/>
        </w:rPr>
        <w:t>,</w:t>
      </w:r>
      <w:r w:rsidRPr="002B3B79">
        <w:rPr>
          <w:sz w:val="26"/>
          <w:szCs w:val="26"/>
          <w:lang w:val="en-US"/>
        </w:rPr>
        <w:t xml:space="preserve"> </w:t>
      </w:r>
      <w:r>
        <w:rPr>
          <w:sz w:val="26"/>
          <w:szCs w:val="26"/>
          <w:lang w:val="en-US"/>
        </w:rPr>
        <w:t>a</w:t>
      </w:r>
      <w:r w:rsidRPr="002B3B79">
        <w:rPr>
          <w:sz w:val="26"/>
          <w:szCs w:val="26"/>
          <w:lang w:val="en-US"/>
        </w:rPr>
        <w:t xml:space="preserve">nd that the appeal </w:t>
      </w:r>
      <w:r w:rsidR="00236769">
        <w:rPr>
          <w:sz w:val="26"/>
          <w:szCs w:val="26"/>
          <w:lang w:val="en-US"/>
        </w:rPr>
        <w:t>had been</w:t>
      </w:r>
      <w:r w:rsidRPr="002B3B79">
        <w:rPr>
          <w:sz w:val="26"/>
          <w:szCs w:val="26"/>
          <w:lang w:val="en-US"/>
        </w:rPr>
        <w:t xml:space="preserve"> set down prematurely</w:t>
      </w:r>
      <w:r>
        <w:rPr>
          <w:sz w:val="26"/>
          <w:szCs w:val="26"/>
          <w:lang w:val="en-US"/>
        </w:rPr>
        <w:t>.</w:t>
      </w:r>
      <w:r w:rsidRPr="002B3B79">
        <w:rPr>
          <w:sz w:val="26"/>
          <w:szCs w:val="26"/>
          <w:lang w:val="en-US"/>
        </w:rPr>
        <w:t xml:space="preserve"> </w:t>
      </w:r>
      <w:r>
        <w:rPr>
          <w:sz w:val="26"/>
          <w:szCs w:val="26"/>
          <w:lang w:val="en-US"/>
        </w:rPr>
        <w:t>S</w:t>
      </w:r>
      <w:r w:rsidRPr="002B3B79">
        <w:rPr>
          <w:sz w:val="26"/>
          <w:szCs w:val="26"/>
          <w:lang w:val="en-US"/>
        </w:rPr>
        <w:t xml:space="preserve">he did not </w:t>
      </w:r>
      <w:r w:rsidR="00236769">
        <w:rPr>
          <w:sz w:val="26"/>
          <w:szCs w:val="26"/>
          <w:lang w:val="en-US"/>
        </w:rPr>
        <w:t>contend</w:t>
      </w:r>
      <w:r w:rsidRPr="002B3B79">
        <w:rPr>
          <w:sz w:val="26"/>
          <w:szCs w:val="26"/>
          <w:lang w:val="en-US"/>
        </w:rPr>
        <w:t xml:space="preserve"> that the </w:t>
      </w:r>
      <w:r w:rsidR="008424A2">
        <w:rPr>
          <w:sz w:val="26"/>
          <w:szCs w:val="26"/>
          <w:lang w:val="en-US"/>
        </w:rPr>
        <w:t>F</w:t>
      </w:r>
      <w:r w:rsidRPr="002B3B79">
        <w:rPr>
          <w:sz w:val="26"/>
          <w:szCs w:val="26"/>
          <w:lang w:val="en-US"/>
        </w:rPr>
        <w:t xml:space="preserve">ull </w:t>
      </w:r>
      <w:r w:rsidR="008424A2">
        <w:rPr>
          <w:sz w:val="26"/>
          <w:szCs w:val="26"/>
          <w:lang w:val="en-US"/>
        </w:rPr>
        <w:t>B</w:t>
      </w:r>
      <w:r w:rsidRPr="002B3B79">
        <w:rPr>
          <w:sz w:val="26"/>
          <w:szCs w:val="26"/>
          <w:lang w:val="en-US"/>
        </w:rPr>
        <w:t>ench was not suited to deal</w:t>
      </w:r>
      <w:r w:rsidR="00236769">
        <w:rPr>
          <w:sz w:val="26"/>
          <w:szCs w:val="26"/>
          <w:lang w:val="en-US"/>
        </w:rPr>
        <w:t>ing</w:t>
      </w:r>
      <w:r w:rsidRPr="002B3B79">
        <w:rPr>
          <w:sz w:val="26"/>
          <w:szCs w:val="26"/>
          <w:lang w:val="en-US"/>
        </w:rPr>
        <w:t xml:space="preserve"> with </w:t>
      </w:r>
      <w:r w:rsidR="00642BBF">
        <w:rPr>
          <w:sz w:val="26"/>
          <w:szCs w:val="26"/>
          <w:lang w:val="en-US"/>
        </w:rPr>
        <w:t xml:space="preserve">the </w:t>
      </w:r>
      <w:r w:rsidRPr="002B3B79">
        <w:rPr>
          <w:sz w:val="26"/>
          <w:szCs w:val="26"/>
          <w:lang w:val="en-US"/>
        </w:rPr>
        <w:t>other matters</w:t>
      </w:r>
      <w:r>
        <w:rPr>
          <w:sz w:val="26"/>
          <w:szCs w:val="26"/>
          <w:lang w:val="en-US"/>
        </w:rPr>
        <w:t>.</w:t>
      </w:r>
      <w:r w:rsidR="002065CE">
        <w:rPr>
          <w:sz w:val="26"/>
          <w:szCs w:val="26"/>
          <w:lang w:val="en-US"/>
        </w:rPr>
        <w:t xml:space="preserve"> The jurisdiction issue did not arise.</w:t>
      </w:r>
      <w:r w:rsidRPr="002B3B79">
        <w:rPr>
          <w:sz w:val="26"/>
          <w:szCs w:val="26"/>
          <w:lang w:val="en-US"/>
        </w:rPr>
        <w:t xml:space="preserve"> </w:t>
      </w:r>
      <w:r w:rsidR="00D667AE">
        <w:rPr>
          <w:sz w:val="26"/>
          <w:szCs w:val="26"/>
          <w:lang w:val="en-US"/>
        </w:rPr>
        <w:t>O</w:t>
      </w:r>
      <w:r w:rsidR="00D667AE" w:rsidRPr="00812BE9">
        <w:rPr>
          <w:sz w:val="26"/>
          <w:szCs w:val="26"/>
          <w:lang w:val="en-US"/>
        </w:rPr>
        <w:t>n 21 January 2022</w:t>
      </w:r>
      <w:r w:rsidR="00D667AE">
        <w:rPr>
          <w:sz w:val="26"/>
          <w:szCs w:val="26"/>
          <w:lang w:val="en-US"/>
        </w:rPr>
        <w:t>,</w:t>
      </w:r>
      <w:r w:rsidR="00D667AE" w:rsidRPr="00812BE9">
        <w:rPr>
          <w:sz w:val="26"/>
          <w:szCs w:val="26"/>
          <w:lang w:val="en-US"/>
        </w:rPr>
        <w:t xml:space="preserve"> the exchange with the </w:t>
      </w:r>
      <w:r w:rsidR="008424A2">
        <w:rPr>
          <w:sz w:val="26"/>
          <w:szCs w:val="26"/>
          <w:lang w:val="en-US"/>
        </w:rPr>
        <w:t>B</w:t>
      </w:r>
      <w:r w:rsidR="00D667AE" w:rsidRPr="00812BE9">
        <w:rPr>
          <w:sz w:val="26"/>
          <w:szCs w:val="26"/>
          <w:lang w:val="en-US"/>
        </w:rPr>
        <w:t>ench related to whether the appeal was ripe for hearing</w:t>
      </w:r>
      <w:r w:rsidR="00D667AE">
        <w:rPr>
          <w:sz w:val="26"/>
          <w:szCs w:val="26"/>
          <w:lang w:val="en-US"/>
        </w:rPr>
        <w:t>, while</w:t>
      </w:r>
      <w:r w:rsidR="00D667AE" w:rsidRPr="00812BE9">
        <w:rPr>
          <w:sz w:val="26"/>
          <w:szCs w:val="26"/>
          <w:lang w:val="en-US"/>
        </w:rPr>
        <w:t xml:space="preserve"> the exchange</w:t>
      </w:r>
      <w:r w:rsidR="00D667AE">
        <w:rPr>
          <w:sz w:val="26"/>
          <w:szCs w:val="26"/>
          <w:lang w:val="en-US"/>
        </w:rPr>
        <w:t xml:space="preserve"> with </w:t>
      </w:r>
      <w:r w:rsidR="00D667AE" w:rsidRPr="00812BE9">
        <w:rPr>
          <w:sz w:val="26"/>
          <w:szCs w:val="26"/>
          <w:lang w:val="en-US"/>
        </w:rPr>
        <w:t xml:space="preserve">the </w:t>
      </w:r>
      <w:r w:rsidR="008424A2">
        <w:rPr>
          <w:sz w:val="26"/>
          <w:szCs w:val="26"/>
          <w:lang w:val="en-US"/>
        </w:rPr>
        <w:t>B</w:t>
      </w:r>
      <w:r w:rsidR="00D667AE" w:rsidRPr="00812BE9">
        <w:rPr>
          <w:sz w:val="26"/>
          <w:szCs w:val="26"/>
          <w:lang w:val="en-US"/>
        </w:rPr>
        <w:t xml:space="preserve">ench on 12 May 2022 related to which court should have heard the </w:t>
      </w:r>
      <w:r w:rsidR="00D667AE">
        <w:rPr>
          <w:sz w:val="26"/>
          <w:szCs w:val="26"/>
          <w:lang w:val="en-US"/>
        </w:rPr>
        <w:t xml:space="preserve">interlocutory </w:t>
      </w:r>
      <w:r w:rsidR="00D667AE" w:rsidRPr="00812BE9">
        <w:rPr>
          <w:sz w:val="26"/>
          <w:szCs w:val="26"/>
          <w:lang w:val="en-US"/>
        </w:rPr>
        <w:t>applications.</w:t>
      </w:r>
      <w:r w:rsidR="008424A2" w:rsidRPr="008424A2">
        <w:rPr>
          <w:sz w:val="26"/>
          <w:szCs w:val="26"/>
          <w:lang w:val="en-US"/>
        </w:rPr>
        <w:t xml:space="preserve"> Her position</w:t>
      </w:r>
      <w:r w:rsidR="008424A2">
        <w:rPr>
          <w:sz w:val="26"/>
          <w:szCs w:val="26"/>
          <w:lang w:val="en-US"/>
        </w:rPr>
        <w:t>,</w:t>
      </w:r>
      <w:r w:rsidR="008424A2" w:rsidRPr="008424A2">
        <w:rPr>
          <w:sz w:val="26"/>
          <w:szCs w:val="26"/>
          <w:lang w:val="en-US"/>
        </w:rPr>
        <w:t xml:space="preserve"> it seems</w:t>
      </w:r>
      <w:r w:rsidR="008424A2">
        <w:rPr>
          <w:sz w:val="26"/>
          <w:szCs w:val="26"/>
          <w:lang w:val="en-US"/>
        </w:rPr>
        <w:t>,</w:t>
      </w:r>
      <w:r w:rsidR="008424A2" w:rsidRPr="008424A2">
        <w:rPr>
          <w:sz w:val="26"/>
          <w:szCs w:val="26"/>
          <w:lang w:val="en-US"/>
        </w:rPr>
        <w:t xml:space="preserve"> was that if the </w:t>
      </w:r>
      <w:r w:rsidR="008424A2">
        <w:rPr>
          <w:sz w:val="26"/>
          <w:szCs w:val="26"/>
          <w:lang w:val="en-US"/>
        </w:rPr>
        <w:t>Court</w:t>
      </w:r>
      <w:r w:rsidR="008424A2" w:rsidRPr="008424A2">
        <w:rPr>
          <w:sz w:val="26"/>
          <w:szCs w:val="26"/>
          <w:lang w:val="en-US"/>
        </w:rPr>
        <w:t xml:space="preserve"> was not inclined to determine the </w:t>
      </w:r>
      <w:r w:rsidR="008424A2">
        <w:rPr>
          <w:sz w:val="26"/>
          <w:szCs w:val="26"/>
          <w:lang w:val="en-US"/>
        </w:rPr>
        <w:t>R</w:t>
      </w:r>
      <w:r w:rsidR="008424A2" w:rsidRPr="008424A2">
        <w:rPr>
          <w:sz w:val="26"/>
          <w:szCs w:val="26"/>
          <w:lang w:val="en-US"/>
        </w:rPr>
        <w:t>ule 30 application first</w:t>
      </w:r>
      <w:r w:rsidR="008424A2">
        <w:rPr>
          <w:sz w:val="26"/>
          <w:szCs w:val="26"/>
          <w:lang w:val="en-US"/>
        </w:rPr>
        <w:t>,</w:t>
      </w:r>
      <w:r w:rsidR="008424A2" w:rsidRPr="008424A2">
        <w:rPr>
          <w:sz w:val="26"/>
          <w:szCs w:val="26"/>
          <w:lang w:val="en-US"/>
        </w:rPr>
        <w:t xml:space="preserve"> then </w:t>
      </w:r>
      <w:r w:rsidR="00642BBF">
        <w:rPr>
          <w:sz w:val="26"/>
          <w:szCs w:val="26"/>
          <w:lang w:val="en-US"/>
        </w:rPr>
        <w:t xml:space="preserve">none of </w:t>
      </w:r>
      <w:r w:rsidR="008424A2" w:rsidRPr="008424A2">
        <w:rPr>
          <w:sz w:val="26"/>
          <w:szCs w:val="26"/>
          <w:lang w:val="en-US"/>
        </w:rPr>
        <w:t>the matter</w:t>
      </w:r>
      <w:r w:rsidR="00642BBF">
        <w:rPr>
          <w:sz w:val="26"/>
          <w:szCs w:val="26"/>
          <w:lang w:val="en-US"/>
        </w:rPr>
        <w:t>s</w:t>
      </w:r>
      <w:r w:rsidR="008424A2" w:rsidRPr="008424A2">
        <w:rPr>
          <w:sz w:val="26"/>
          <w:szCs w:val="26"/>
          <w:lang w:val="en-US"/>
        </w:rPr>
        <w:t xml:space="preserve"> </w:t>
      </w:r>
      <w:r w:rsidR="00BF1BBE">
        <w:rPr>
          <w:sz w:val="26"/>
          <w:szCs w:val="26"/>
          <w:lang w:val="en-US"/>
        </w:rPr>
        <w:t>should</w:t>
      </w:r>
      <w:r w:rsidR="008424A2" w:rsidRPr="008424A2">
        <w:rPr>
          <w:sz w:val="26"/>
          <w:szCs w:val="26"/>
          <w:lang w:val="en-US"/>
        </w:rPr>
        <w:t xml:space="preserve"> be heard</w:t>
      </w:r>
      <w:r w:rsidR="008424A2">
        <w:rPr>
          <w:sz w:val="26"/>
          <w:szCs w:val="26"/>
          <w:lang w:val="en-US"/>
        </w:rPr>
        <w:t>.</w:t>
      </w:r>
    </w:p>
    <w:p w:rsidR="00D667AE" w:rsidRPr="00D667AE" w:rsidRDefault="00D667AE" w:rsidP="00D667AE">
      <w:pPr>
        <w:pStyle w:val="ListParagraph"/>
        <w:spacing w:after="0" w:line="360" w:lineRule="auto"/>
        <w:ind w:left="0"/>
        <w:jc w:val="both"/>
        <w:rPr>
          <w:sz w:val="26"/>
          <w:szCs w:val="26"/>
        </w:rPr>
      </w:pPr>
    </w:p>
    <w:p w:rsidR="002B3B79" w:rsidRPr="008424A2" w:rsidRDefault="008424A2" w:rsidP="008424A2">
      <w:pPr>
        <w:pStyle w:val="ListParagraph"/>
        <w:numPr>
          <w:ilvl w:val="0"/>
          <w:numId w:val="2"/>
        </w:numPr>
        <w:spacing w:after="0" w:line="360" w:lineRule="auto"/>
        <w:ind w:left="0" w:firstLine="0"/>
        <w:jc w:val="both"/>
        <w:rPr>
          <w:sz w:val="26"/>
          <w:szCs w:val="26"/>
        </w:rPr>
      </w:pPr>
      <w:r>
        <w:rPr>
          <w:sz w:val="26"/>
          <w:szCs w:val="26"/>
          <w:lang w:val="en-US"/>
        </w:rPr>
        <w:t>T</w:t>
      </w:r>
      <w:r w:rsidR="002B3B79" w:rsidRPr="002B3B79">
        <w:rPr>
          <w:sz w:val="26"/>
          <w:szCs w:val="26"/>
          <w:lang w:val="en-US"/>
        </w:rPr>
        <w:t xml:space="preserve">he transcript </w:t>
      </w:r>
      <w:r w:rsidR="002B3B79">
        <w:rPr>
          <w:sz w:val="26"/>
          <w:szCs w:val="26"/>
          <w:lang w:val="en-US"/>
        </w:rPr>
        <w:t>o</w:t>
      </w:r>
      <w:r w:rsidR="002B3B79" w:rsidRPr="002B3B79">
        <w:rPr>
          <w:sz w:val="26"/>
          <w:szCs w:val="26"/>
          <w:lang w:val="en-US"/>
        </w:rPr>
        <w:t xml:space="preserve">f </w:t>
      </w:r>
      <w:r>
        <w:rPr>
          <w:sz w:val="26"/>
          <w:szCs w:val="26"/>
          <w:lang w:val="en-US"/>
        </w:rPr>
        <w:t>21 January 2022</w:t>
      </w:r>
      <w:r w:rsidR="002B3B79" w:rsidRPr="002B3B79">
        <w:rPr>
          <w:sz w:val="26"/>
          <w:szCs w:val="26"/>
          <w:lang w:val="en-US"/>
        </w:rPr>
        <w:t xml:space="preserve"> shows that she inquired from the </w:t>
      </w:r>
      <w:r>
        <w:rPr>
          <w:sz w:val="26"/>
          <w:szCs w:val="26"/>
          <w:lang w:val="en-US"/>
        </w:rPr>
        <w:t>F</w:t>
      </w:r>
      <w:r w:rsidR="002B3B79" w:rsidRPr="002B3B79">
        <w:rPr>
          <w:sz w:val="26"/>
          <w:szCs w:val="26"/>
          <w:lang w:val="en-US"/>
        </w:rPr>
        <w:t xml:space="preserve">ull </w:t>
      </w:r>
      <w:r>
        <w:rPr>
          <w:sz w:val="26"/>
          <w:szCs w:val="26"/>
          <w:lang w:val="en-US"/>
        </w:rPr>
        <w:t>B</w:t>
      </w:r>
      <w:r w:rsidR="002B3B79" w:rsidRPr="002B3B79">
        <w:rPr>
          <w:sz w:val="26"/>
          <w:szCs w:val="26"/>
          <w:lang w:val="en-US"/>
        </w:rPr>
        <w:t xml:space="preserve">ench whether it was willing to determine the </w:t>
      </w:r>
      <w:r w:rsidR="002B3B79">
        <w:rPr>
          <w:sz w:val="26"/>
          <w:szCs w:val="26"/>
          <w:lang w:val="en-US"/>
        </w:rPr>
        <w:t>R</w:t>
      </w:r>
      <w:r w:rsidR="002B3B79" w:rsidRPr="002B3B79">
        <w:rPr>
          <w:sz w:val="26"/>
          <w:szCs w:val="26"/>
          <w:lang w:val="en-US"/>
        </w:rPr>
        <w:t>ule 30 application</w:t>
      </w:r>
      <w:r w:rsidR="002065CE">
        <w:rPr>
          <w:rStyle w:val="FootnoteReference"/>
          <w:sz w:val="26"/>
          <w:szCs w:val="26"/>
          <w:lang w:val="en-US"/>
        </w:rPr>
        <w:footnoteReference w:id="25"/>
      </w:r>
      <w:r w:rsidR="002B3B79">
        <w:rPr>
          <w:sz w:val="26"/>
          <w:szCs w:val="26"/>
          <w:lang w:val="en-US"/>
        </w:rPr>
        <w:t>, and</w:t>
      </w:r>
      <w:r w:rsidR="002B3B79" w:rsidRPr="002B3B79">
        <w:rPr>
          <w:sz w:val="26"/>
          <w:szCs w:val="26"/>
          <w:lang w:val="en-US"/>
        </w:rPr>
        <w:t xml:space="preserve"> the </w:t>
      </w:r>
      <w:r w:rsidR="00C92220">
        <w:rPr>
          <w:sz w:val="26"/>
          <w:szCs w:val="26"/>
          <w:lang w:val="en-US"/>
        </w:rPr>
        <w:t>P</w:t>
      </w:r>
      <w:r w:rsidR="002B3B79" w:rsidRPr="002B3B79">
        <w:rPr>
          <w:sz w:val="26"/>
          <w:szCs w:val="26"/>
          <w:lang w:val="en-US"/>
        </w:rPr>
        <w:t xml:space="preserve">residing </w:t>
      </w:r>
      <w:r w:rsidR="00C92220">
        <w:rPr>
          <w:sz w:val="26"/>
          <w:szCs w:val="26"/>
          <w:lang w:val="en-US"/>
        </w:rPr>
        <w:t>J</w:t>
      </w:r>
      <w:r w:rsidR="002B3B79" w:rsidRPr="002B3B79">
        <w:rPr>
          <w:sz w:val="26"/>
          <w:szCs w:val="26"/>
          <w:lang w:val="en-US"/>
        </w:rPr>
        <w:t>udge indicated that it was not</w:t>
      </w:r>
      <w:r w:rsidR="002B3B79">
        <w:rPr>
          <w:sz w:val="26"/>
          <w:szCs w:val="26"/>
          <w:lang w:val="en-US"/>
        </w:rPr>
        <w:t xml:space="preserve">. </w:t>
      </w:r>
      <w:r>
        <w:rPr>
          <w:sz w:val="26"/>
          <w:szCs w:val="26"/>
          <w:lang w:val="en-US"/>
        </w:rPr>
        <w:t>I</w:t>
      </w:r>
      <w:r w:rsidR="00D667AE" w:rsidRPr="00D667AE">
        <w:rPr>
          <w:sz w:val="26"/>
          <w:szCs w:val="26"/>
          <w:lang w:val="en-US"/>
        </w:rPr>
        <w:t xml:space="preserve">t </w:t>
      </w:r>
      <w:r>
        <w:rPr>
          <w:sz w:val="26"/>
          <w:szCs w:val="26"/>
          <w:lang w:val="en-US"/>
        </w:rPr>
        <w:t xml:space="preserve">was </w:t>
      </w:r>
      <w:r w:rsidR="00236769">
        <w:rPr>
          <w:sz w:val="26"/>
          <w:szCs w:val="26"/>
          <w:lang w:val="en-US"/>
        </w:rPr>
        <w:t>Ms Southwood</w:t>
      </w:r>
      <w:r>
        <w:rPr>
          <w:sz w:val="26"/>
          <w:szCs w:val="26"/>
          <w:lang w:val="en-US"/>
        </w:rPr>
        <w:t xml:space="preserve"> </w:t>
      </w:r>
      <w:r w:rsidR="00236769">
        <w:rPr>
          <w:sz w:val="26"/>
          <w:szCs w:val="26"/>
          <w:lang w:val="en-US"/>
        </w:rPr>
        <w:t>who</w:t>
      </w:r>
      <w:r>
        <w:rPr>
          <w:sz w:val="26"/>
          <w:szCs w:val="26"/>
          <w:lang w:val="en-US"/>
        </w:rPr>
        <w:t xml:space="preserve"> </w:t>
      </w:r>
      <w:r w:rsidR="00D667AE" w:rsidRPr="00D667AE">
        <w:rPr>
          <w:sz w:val="26"/>
          <w:szCs w:val="26"/>
          <w:lang w:val="en-US"/>
        </w:rPr>
        <w:t xml:space="preserve">alerted the </w:t>
      </w:r>
      <w:r w:rsidR="00236769">
        <w:rPr>
          <w:sz w:val="26"/>
          <w:szCs w:val="26"/>
          <w:lang w:val="en-US"/>
        </w:rPr>
        <w:t>C</w:t>
      </w:r>
      <w:r w:rsidR="00D667AE" w:rsidRPr="00D667AE">
        <w:rPr>
          <w:sz w:val="26"/>
          <w:szCs w:val="26"/>
          <w:lang w:val="en-US"/>
        </w:rPr>
        <w:t xml:space="preserve">ourt that day that all the bundles in the various </w:t>
      </w:r>
      <w:r w:rsidR="00C92220">
        <w:rPr>
          <w:sz w:val="26"/>
          <w:szCs w:val="26"/>
          <w:lang w:val="en-US"/>
        </w:rPr>
        <w:t xml:space="preserve">applications </w:t>
      </w:r>
      <w:r w:rsidR="00D667AE" w:rsidRPr="00D667AE">
        <w:rPr>
          <w:sz w:val="26"/>
          <w:szCs w:val="26"/>
          <w:lang w:val="en-US"/>
        </w:rPr>
        <w:t xml:space="preserve">were before </w:t>
      </w:r>
      <w:r w:rsidR="00236769">
        <w:rPr>
          <w:sz w:val="26"/>
          <w:szCs w:val="26"/>
          <w:lang w:val="en-US"/>
        </w:rPr>
        <w:t>it</w:t>
      </w:r>
      <w:r w:rsidR="00D667AE" w:rsidRPr="00D667AE">
        <w:rPr>
          <w:sz w:val="26"/>
          <w:szCs w:val="26"/>
          <w:lang w:val="en-US"/>
        </w:rPr>
        <w:t>.</w:t>
      </w:r>
      <w:r w:rsidR="00D667AE">
        <w:rPr>
          <w:rStyle w:val="FootnoteReference"/>
          <w:sz w:val="26"/>
          <w:szCs w:val="26"/>
          <w:lang w:val="en-US"/>
        </w:rPr>
        <w:footnoteReference w:id="26"/>
      </w:r>
      <w:r>
        <w:rPr>
          <w:sz w:val="26"/>
          <w:szCs w:val="26"/>
          <w:lang w:val="en-US"/>
        </w:rPr>
        <w:t xml:space="preserve"> Furthermore, t</w:t>
      </w:r>
      <w:r w:rsidR="00D667AE" w:rsidRPr="00D667AE">
        <w:rPr>
          <w:sz w:val="26"/>
          <w:szCs w:val="26"/>
          <w:lang w:val="en-US"/>
        </w:rPr>
        <w:t>he</w:t>
      </w:r>
      <w:r>
        <w:rPr>
          <w:sz w:val="26"/>
          <w:szCs w:val="26"/>
          <w:lang w:val="en-US"/>
        </w:rPr>
        <w:t xml:space="preserve"> Full Bench itself on that day </w:t>
      </w:r>
      <w:r w:rsidR="00D667AE" w:rsidRPr="00D667AE">
        <w:rPr>
          <w:sz w:val="26"/>
          <w:szCs w:val="26"/>
          <w:lang w:val="en-US"/>
        </w:rPr>
        <w:t xml:space="preserve">was of the </w:t>
      </w:r>
      <w:r w:rsidR="00236769">
        <w:rPr>
          <w:sz w:val="26"/>
          <w:szCs w:val="26"/>
          <w:lang w:val="en-US"/>
        </w:rPr>
        <w:t>view</w:t>
      </w:r>
      <w:r w:rsidR="00D667AE" w:rsidRPr="00D667AE">
        <w:rPr>
          <w:sz w:val="26"/>
          <w:szCs w:val="26"/>
          <w:lang w:val="en-US"/>
        </w:rPr>
        <w:t xml:space="preserve"> that, </w:t>
      </w:r>
      <w:r>
        <w:rPr>
          <w:sz w:val="26"/>
          <w:szCs w:val="26"/>
          <w:lang w:val="en-US"/>
        </w:rPr>
        <w:t xml:space="preserve">if </w:t>
      </w:r>
      <w:r w:rsidRPr="00D667AE">
        <w:rPr>
          <w:sz w:val="26"/>
          <w:szCs w:val="26"/>
          <w:lang w:val="en-US"/>
        </w:rPr>
        <w:t xml:space="preserve">the appeal was to proceed </w:t>
      </w:r>
      <w:r w:rsidR="00BF1BBE">
        <w:rPr>
          <w:sz w:val="26"/>
          <w:szCs w:val="26"/>
          <w:lang w:val="en-US"/>
        </w:rPr>
        <w:t>after</w:t>
      </w:r>
      <w:r w:rsidRPr="00D667AE">
        <w:rPr>
          <w:sz w:val="26"/>
          <w:szCs w:val="26"/>
          <w:lang w:val="en-US"/>
        </w:rPr>
        <w:t xml:space="preserve"> the Rule 30 application had been heard, </w:t>
      </w:r>
      <w:r w:rsidR="00D667AE" w:rsidRPr="00D667AE">
        <w:rPr>
          <w:sz w:val="26"/>
          <w:szCs w:val="26"/>
          <w:lang w:val="en-US"/>
        </w:rPr>
        <w:t>it</w:t>
      </w:r>
      <w:r>
        <w:rPr>
          <w:sz w:val="26"/>
          <w:szCs w:val="26"/>
          <w:lang w:val="en-US"/>
        </w:rPr>
        <w:t xml:space="preserve"> [the Full Bench]</w:t>
      </w:r>
      <w:r w:rsidR="00D667AE" w:rsidRPr="00D667AE">
        <w:rPr>
          <w:sz w:val="26"/>
          <w:szCs w:val="26"/>
          <w:lang w:val="en-US"/>
        </w:rPr>
        <w:t xml:space="preserve"> would </w:t>
      </w:r>
      <w:r>
        <w:rPr>
          <w:sz w:val="26"/>
          <w:szCs w:val="26"/>
          <w:lang w:val="en-US"/>
        </w:rPr>
        <w:t xml:space="preserve">then </w:t>
      </w:r>
      <w:r w:rsidR="00D667AE" w:rsidRPr="00D667AE">
        <w:rPr>
          <w:sz w:val="26"/>
          <w:szCs w:val="26"/>
          <w:lang w:val="en-US"/>
        </w:rPr>
        <w:t xml:space="preserve">be seized with </w:t>
      </w:r>
      <w:r>
        <w:rPr>
          <w:sz w:val="26"/>
          <w:szCs w:val="26"/>
          <w:lang w:val="en-US"/>
        </w:rPr>
        <w:t>the matter</w:t>
      </w:r>
      <w:r w:rsidR="00D667AE" w:rsidRPr="00D667AE">
        <w:rPr>
          <w:sz w:val="26"/>
          <w:szCs w:val="26"/>
          <w:lang w:val="en-US"/>
        </w:rPr>
        <w:t>.</w:t>
      </w:r>
      <w:r w:rsidR="00D667AE">
        <w:rPr>
          <w:rStyle w:val="FootnoteReference"/>
          <w:sz w:val="26"/>
          <w:szCs w:val="26"/>
          <w:lang w:val="en-US"/>
        </w:rPr>
        <w:footnoteReference w:id="27"/>
      </w:r>
      <w:r w:rsidR="00D667AE" w:rsidRPr="00D667AE">
        <w:rPr>
          <w:sz w:val="26"/>
          <w:szCs w:val="26"/>
          <w:lang w:val="en-US"/>
        </w:rPr>
        <w:t xml:space="preserve"> </w:t>
      </w:r>
      <w:r>
        <w:rPr>
          <w:sz w:val="26"/>
          <w:szCs w:val="26"/>
          <w:lang w:val="en-US"/>
        </w:rPr>
        <w:t xml:space="preserve">It remains unclear from the record why the Full Bench did not determine the Rule 30 application on that day. </w:t>
      </w:r>
      <w:r w:rsidR="00D667AE" w:rsidRPr="00D667AE">
        <w:rPr>
          <w:sz w:val="26"/>
          <w:szCs w:val="26"/>
          <w:lang w:val="en-US"/>
        </w:rPr>
        <w:t>It seems that the</w:t>
      </w:r>
      <w:r>
        <w:rPr>
          <w:sz w:val="26"/>
          <w:szCs w:val="26"/>
          <w:lang w:val="en-US"/>
        </w:rPr>
        <w:t xml:space="preserve"> </w:t>
      </w:r>
      <w:r w:rsidR="00D667AE" w:rsidRPr="00D667AE">
        <w:rPr>
          <w:sz w:val="26"/>
          <w:szCs w:val="26"/>
          <w:lang w:val="en-US"/>
        </w:rPr>
        <w:t xml:space="preserve">issue </w:t>
      </w:r>
      <w:r w:rsidR="00C92220">
        <w:rPr>
          <w:sz w:val="26"/>
          <w:szCs w:val="26"/>
          <w:lang w:val="en-US"/>
        </w:rPr>
        <w:t>which</w:t>
      </w:r>
      <w:r w:rsidR="00D667AE" w:rsidRPr="00D667AE">
        <w:rPr>
          <w:sz w:val="26"/>
          <w:szCs w:val="26"/>
          <w:lang w:val="en-US"/>
        </w:rPr>
        <w:t xml:space="preserve"> exercised the </w:t>
      </w:r>
      <w:r w:rsidR="00236769">
        <w:rPr>
          <w:sz w:val="26"/>
          <w:szCs w:val="26"/>
          <w:lang w:val="en-US"/>
        </w:rPr>
        <w:t>C</w:t>
      </w:r>
      <w:r w:rsidR="00D667AE" w:rsidRPr="00D667AE">
        <w:rPr>
          <w:sz w:val="26"/>
          <w:szCs w:val="26"/>
          <w:lang w:val="en-US"/>
        </w:rPr>
        <w:t xml:space="preserve">ourt on that day, was that the issues raised in the Rule 30 application were </w:t>
      </w:r>
      <w:r w:rsidR="00C92220">
        <w:rPr>
          <w:sz w:val="26"/>
          <w:szCs w:val="26"/>
          <w:lang w:val="en-US"/>
        </w:rPr>
        <w:t>determinative of</w:t>
      </w:r>
      <w:r w:rsidR="00D667AE" w:rsidRPr="00D667AE">
        <w:rPr>
          <w:sz w:val="26"/>
          <w:szCs w:val="26"/>
          <w:lang w:val="en-US"/>
        </w:rPr>
        <w:t xml:space="preserve"> the question </w:t>
      </w:r>
      <w:r w:rsidR="00C92220">
        <w:rPr>
          <w:sz w:val="26"/>
          <w:szCs w:val="26"/>
          <w:lang w:val="en-US"/>
        </w:rPr>
        <w:t xml:space="preserve">of </w:t>
      </w:r>
      <w:r w:rsidR="00D667AE" w:rsidRPr="00D667AE">
        <w:rPr>
          <w:sz w:val="26"/>
          <w:szCs w:val="26"/>
          <w:lang w:val="en-US"/>
        </w:rPr>
        <w:t>whether or not the appeal could proceed.</w:t>
      </w:r>
      <w:r w:rsidR="00D667AE">
        <w:rPr>
          <w:rStyle w:val="FootnoteReference"/>
          <w:sz w:val="26"/>
          <w:szCs w:val="26"/>
          <w:lang w:val="en-US"/>
        </w:rPr>
        <w:footnoteReference w:id="28"/>
      </w:r>
      <w:r w:rsidR="00D667AE" w:rsidRPr="00D667AE">
        <w:rPr>
          <w:sz w:val="26"/>
          <w:szCs w:val="26"/>
          <w:lang w:val="en-US"/>
        </w:rPr>
        <w:t xml:space="preserve"> </w:t>
      </w:r>
    </w:p>
    <w:p w:rsidR="002B3B79" w:rsidRPr="002B3B79" w:rsidRDefault="002B3B79" w:rsidP="002B3B79">
      <w:pPr>
        <w:pStyle w:val="ListParagraph"/>
        <w:spacing w:after="0" w:line="360" w:lineRule="auto"/>
        <w:ind w:left="0"/>
        <w:jc w:val="both"/>
        <w:rPr>
          <w:sz w:val="26"/>
          <w:szCs w:val="26"/>
        </w:rPr>
      </w:pPr>
    </w:p>
    <w:p w:rsidR="00313E8D" w:rsidRPr="002065CE" w:rsidRDefault="00313E8D" w:rsidP="00313E8D">
      <w:pPr>
        <w:pStyle w:val="ListParagraph"/>
        <w:numPr>
          <w:ilvl w:val="0"/>
          <w:numId w:val="2"/>
        </w:numPr>
        <w:spacing w:after="0" w:line="360" w:lineRule="auto"/>
        <w:ind w:left="0" w:firstLine="0"/>
        <w:jc w:val="both"/>
        <w:rPr>
          <w:sz w:val="26"/>
          <w:szCs w:val="26"/>
        </w:rPr>
      </w:pPr>
      <w:r w:rsidRPr="00045AF5">
        <w:rPr>
          <w:sz w:val="26"/>
          <w:szCs w:val="26"/>
          <w:lang w:val="en-US"/>
        </w:rPr>
        <w:t xml:space="preserve">When the matter came before </w:t>
      </w:r>
      <w:r>
        <w:rPr>
          <w:sz w:val="26"/>
          <w:szCs w:val="26"/>
          <w:lang w:val="en-US"/>
        </w:rPr>
        <w:t>Binns-W</w:t>
      </w:r>
      <w:r w:rsidRPr="00045AF5">
        <w:rPr>
          <w:sz w:val="26"/>
          <w:szCs w:val="26"/>
          <w:lang w:val="en-US"/>
        </w:rPr>
        <w:t>ard</w:t>
      </w:r>
      <w:r>
        <w:rPr>
          <w:sz w:val="26"/>
          <w:szCs w:val="26"/>
          <w:lang w:val="en-US"/>
        </w:rPr>
        <w:t xml:space="preserve"> J</w:t>
      </w:r>
      <w:r w:rsidRPr="00045AF5">
        <w:rPr>
          <w:sz w:val="26"/>
          <w:szCs w:val="26"/>
          <w:lang w:val="en-US"/>
        </w:rPr>
        <w:t xml:space="preserve"> on 12 </w:t>
      </w:r>
      <w:r>
        <w:rPr>
          <w:sz w:val="26"/>
          <w:szCs w:val="26"/>
          <w:lang w:val="en-US"/>
        </w:rPr>
        <w:t>M</w:t>
      </w:r>
      <w:r w:rsidRPr="00045AF5">
        <w:rPr>
          <w:sz w:val="26"/>
          <w:szCs w:val="26"/>
          <w:lang w:val="en-US"/>
        </w:rPr>
        <w:t>ay 2022</w:t>
      </w:r>
      <w:r>
        <w:rPr>
          <w:sz w:val="26"/>
          <w:szCs w:val="26"/>
          <w:lang w:val="en-US"/>
        </w:rPr>
        <w:t>,</w:t>
      </w:r>
      <w:r w:rsidRPr="00045AF5">
        <w:rPr>
          <w:sz w:val="26"/>
          <w:szCs w:val="26"/>
          <w:lang w:val="en-US"/>
        </w:rPr>
        <w:t xml:space="preserve"> he raised the question whether</w:t>
      </w:r>
      <w:r>
        <w:rPr>
          <w:sz w:val="26"/>
          <w:szCs w:val="26"/>
          <w:lang w:val="en-US"/>
        </w:rPr>
        <w:t>,</w:t>
      </w:r>
      <w:r w:rsidRPr="00045AF5">
        <w:rPr>
          <w:sz w:val="26"/>
          <w:szCs w:val="26"/>
          <w:lang w:val="en-US"/>
        </w:rPr>
        <w:t xml:space="preserve"> as a single judge</w:t>
      </w:r>
      <w:r>
        <w:rPr>
          <w:sz w:val="26"/>
          <w:szCs w:val="26"/>
          <w:lang w:val="en-US"/>
        </w:rPr>
        <w:t>, he</w:t>
      </w:r>
      <w:r w:rsidRPr="00045AF5">
        <w:rPr>
          <w:sz w:val="26"/>
          <w:szCs w:val="26"/>
          <w:lang w:val="en-US"/>
        </w:rPr>
        <w:t xml:space="preserve"> had jurisdiction to determine this matter</w:t>
      </w:r>
      <w:r w:rsidR="00C92220">
        <w:rPr>
          <w:sz w:val="26"/>
          <w:szCs w:val="26"/>
          <w:lang w:val="en-US"/>
        </w:rPr>
        <w:t xml:space="preserve">. </w:t>
      </w:r>
      <w:r w:rsidR="00BF1BBE">
        <w:rPr>
          <w:sz w:val="26"/>
          <w:szCs w:val="26"/>
          <w:lang w:val="en-US"/>
        </w:rPr>
        <w:t>A</w:t>
      </w:r>
      <w:r w:rsidR="00C92220">
        <w:rPr>
          <w:sz w:val="26"/>
          <w:szCs w:val="26"/>
          <w:lang w:val="en-US"/>
        </w:rPr>
        <w:t xml:space="preserve">s I have already indicated, his view was that </w:t>
      </w:r>
      <w:r w:rsidRPr="00161DF0">
        <w:rPr>
          <w:sz w:val="26"/>
          <w:szCs w:val="26"/>
          <w:lang w:val="en-US"/>
        </w:rPr>
        <w:t xml:space="preserve">any </w:t>
      </w:r>
      <w:r>
        <w:rPr>
          <w:sz w:val="26"/>
          <w:szCs w:val="26"/>
          <w:lang w:val="en-US"/>
        </w:rPr>
        <w:t>interlocutory issues arising in respect of</w:t>
      </w:r>
      <w:r w:rsidRPr="00161DF0">
        <w:rPr>
          <w:sz w:val="26"/>
          <w:szCs w:val="26"/>
          <w:lang w:val="en-US"/>
        </w:rPr>
        <w:t xml:space="preserve"> </w:t>
      </w:r>
      <w:r w:rsidR="00BF1BBE">
        <w:rPr>
          <w:sz w:val="26"/>
          <w:szCs w:val="26"/>
          <w:lang w:val="en-US"/>
        </w:rPr>
        <w:t>the</w:t>
      </w:r>
      <w:r w:rsidRPr="00161DF0">
        <w:rPr>
          <w:sz w:val="26"/>
          <w:szCs w:val="26"/>
          <w:lang w:val="en-US"/>
        </w:rPr>
        <w:t xml:space="preserve"> notice of appeal </w:t>
      </w:r>
      <w:r w:rsidR="00236769">
        <w:rPr>
          <w:sz w:val="26"/>
          <w:szCs w:val="26"/>
          <w:lang w:val="en-US"/>
        </w:rPr>
        <w:t>were</w:t>
      </w:r>
      <w:r>
        <w:rPr>
          <w:sz w:val="26"/>
          <w:szCs w:val="26"/>
          <w:lang w:val="en-US"/>
        </w:rPr>
        <w:t xml:space="preserve"> for</w:t>
      </w:r>
      <w:r w:rsidRPr="00161DF0">
        <w:rPr>
          <w:sz w:val="26"/>
          <w:szCs w:val="26"/>
          <w:lang w:val="en-US"/>
        </w:rPr>
        <w:t xml:space="preserve"> the appeal court to determine</w:t>
      </w:r>
      <w:r>
        <w:rPr>
          <w:sz w:val="26"/>
          <w:szCs w:val="26"/>
          <w:lang w:val="en-US"/>
        </w:rPr>
        <w:t>.</w:t>
      </w:r>
      <w:r w:rsidRPr="000D33F2">
        <w:rPr>
          <w:sz w:val="26"/>
          <w:szCs w:val="26"/>
          <w:lang w:val="en-US"/>
        </w:rPr>
        <w:t xml:space="preserve"> On that occasion</w:t>
      </w:r>
      <w:r>
        <w:rPr>
          <w:sz w:val="26"/>
          <w:szCs w:val="26"/>
          <w:lang w:val="en-US"/>
        </w:rPr>
        <w:t>,</w:t>
      </w:r>
      <w:r w:rsidRPr="000D33F2">
        <w:rPr>
          <w:sz w:val="26"/>
          <w:szCs w:val="26"/>
          <w:lang w:val="en-US"/>
        </w:rPr>
        <w:t xml:space="preserve"> </w:t>
      </w:r>
      <w:r>
        <w:rPr>
          <w:sz w:val="26"/>
          <w:szCs w:val="26"/>
          <w:lang w:val="en-US"/>
        </w:rPr>
        <w:t>M</w:t>
      </w:r>
      <w:r w:rsidRPr="000D33F2">
        <w:rPr>
          <w:sz w:val="26"/>
          <w:szCs w:val="26"/>
          <w:lang w:val="en-US"/>
        </w:rPr>
        <w:t xml:space="preserve">s </w:t>
      </w:r>
      <w:r>
        <w:rPr>
          <w:sz w:val="26"/>
          <w:szCs w:val="26"/>
          <w:lang w:val="en-US"/>
        </w:rPr>
        <w:t xml:space="preserve">Southwood </w:t>
      </w:r>
      <w:r w:rsidRPr="000D33F2">
        <w:rPr>
          <w:sz w:val="26"/>
          <w:szCs w:val="26"/>
          <w:lang w:val="en-US"/>
        </w:rPr>
        <w:t xml:space="preserve">sought to convince the </w:t>
      </w:r>
      <w:r w:rsidR="00236769">
        <w:rPr>
          <w:sz w:val="26"/>
          <w:szCs w:val="26"/>
          <w:lang w:val="en-US"/>
        </w:rPr>
        <w:t>C</w:t>
      </w:r>
      <w:r w:rsidRPr="000D33F2">
        <w:rPr>
          <w:sz w:val="26"/>
          <w:szCs w:val="26"/>
          <w:lang w:val="en-US"/>
        </w:rPr>
        <w:t>ourt that it did indeed have jurisdiction</w:t>
      </w:r>
      <w:r>
        <w:rPr>
          <w:sz w:val="26"/>
          <w:szCs w:val="26"/>
          <w:lang w:val="en-US"/>
        </w:rPr>
        <w:t xml:space="preserve"> to determine </w:t>
      </w:r>
      <w:r w:rsidR="00BF1BBE">
        <w:rPr>
          <w:sz w:val="26"/>
          <w:szCs w:val="26"/>
          <w:lang w:val="en-US"/>
        </w:rPr>
        <w:t xml:space="preserve">all the applications </w:t>
      </w:r>
      <w:r w:rsidR="00236769">
        <w:rPr>
          <w:sz w:val="26"/>
          <w:szCs w:val="26"/>
          <w:lang w:val="en-US"/>
        </w:rPr>
        <w:t xml:space="preserve">that were </w:t>
      </w:r>
      <w:r w:rsidR="00BF1BBE">
        <w:rPr>
          <w:sz w:val="26"/>
          <w:szCs w:val="26"/>
          <w:lang w:val="en-US"/>
        </w:rPr>
        <w:t>before</w:t>
      </w:r>
      <w:r w:rsidR="00236769">
        <w:rPr>
          <w:sz w:val="26"/>
          <w:szCs w:val="26"/>
          <w:lang w:val="en-US"/>
        </w:rPr>
        <w:t xml:space="preserve"> it</w:t>
      </w:r>
      <w:r w:rsidR="00092DEE">
        <w:rPr>
          <w:sz w:val="26"/>
          <w:szCs w:val="26"/>
          <w:lang w:val="en-US"/>
        </w:rPr>
        <w:t xml:space="preserve">, and </w:t>
      </w:r>
      <w:r w:rsidR="00236769">
        <w:rPr>
          <w:sz w:val="26"/>
          <w:szCs w:val="26"/>
          <w:lang w:val="en-US"/>
        </w:rPr>
        <w:t xml:space="preserve">she </w:t>
      </w:r>
      <w:r w:rsidR="00BF1BBE">
        <w:rPr>
          <w:sz w:val="26"/>
          <w:szCs w:val="26"/>
          <w:lang w:val="en-US"/>
        </w:rPr>
        <w:t xml:space="preserve">sought to have at least the Rule 30 application determined, which the </w:t>
      </w:r>
      <w:r w:rsidR="00236769">
        <w:rPr>
          <w:sz w:val="26"/>
          <w:szCs w:val="26"/>
          <w:lang w:val="en-US"/>
        </w:rPr>
        <w:t>C</w:t>
      </w:r>
      <w:r w:rsidR="00BF1BBE">
        <w:rPr>
          <w:sz w:val="26"/>
          <w:szCs w:val="26"/>
          <w:lang w:val="en-US"/>
        </w:rPr>
        <w:t>ourt declined to do.</w:t>
      </w:r>
      <w:r w:rsidR="002065CE">
        <w:rPr>
          <w:sz w:val="26"/>
          <w:szCs w:val="26"/>
          <w:lang w:val="en-US"/>
        </w:rPr>
        <w:t xml:space="preserve"> </w:t>
      </w:r>
      <w:r w:rsidR="002065CE" w:rsidRPr="002065CE">
        <w:rPr>
          <w:sz w:val="26"/>
          <w:szCs w:val="26"/>
          <w:lang w:val="en-US"/>
        </w:rPr>
        <w:t xml:space="preserve">Her </w:t>
      </w:r>
      <w:r w:rsidR="00092DEE">
        <w:rPr>
          <w:sz w:val="26"/>
          <w:szCs w:val="26"/>
          <w:lang w:val="en-US"/>
        </w:rPr>
        <w:t xml:space="preserve">submission that </w:t>
      </w:r>
      <w:r w:rsidR="00BF1BBE">
        <w:rPr>
          <w:sz w:val="26"/>
          <w:szCs w:val="26"/>
          <w:lang w:val="en-US"/>
        </w:rPr>
        <w:t xml:space="preserve">it </w:t>
      </w:r>
      <w:r w:rsidR="00F75A54">
        <w:rPr>
          <w:sz w:val="26"/>
          <w:szCs w:val="26"/>
          <w:lang w:val="en-US"/>
        </w:rPr>
        <w:t>was not</w:t>
      </w:r>
      <w:r w:rsidR="00BF1BBE">
        <w:rPr>
          <w:sz w:val="26"/>
          <w:szCs w:val="26"/>
          <w:lang w:val="en-US"/>
        </w:rPr>
        <w:t xml:space="preserve"> raised with the Full Bench</w:t>
      </w:r>
      <w:r w:rsidR="00F75A54">
        <w:rPr>
          <w:sz w:val="26"/>
          <w:szCs w:val="26"/>
          <w:lang w:val="en-US"/>
        </w:rPr>
        <w:t xml:space="preserve"> on 21 January 2022</w:t>
      </w:r>
      <w:r w:rsidR="00BF1BBE">
        <w:rPr>
          <w:sz w:val="26"/>
          <w:szCs w:val="26"/>
          <w:lang w:val="en-US"/>
        </w:rPr>
        <w:t xml:space="preserve"> that it should hear all the matters</w:t>
      </w:r>
      <w:r w:rsidR="002065CE" w:rsidRPr="002065CE">
        <w:rPr>
          <w:sz w:val="26"/>
          <w:szCs w:val="26"/>
          <w:lang w:val="en-US"/>
        </w:rPr>
        <w:t xml:space="preserve"> was not incorrect, because as I have said, that discussion did not arise. </w:t>
      </w:r>
      <w:r w:rsidR="002065CE" w:rsidRPr="007A6441">
        <w:rPr>
          <w:sz w:val="26"/>
          <w:szCs w:val="26"/>
          <w:lang w:val="en-US"/>
        </w:rPr>
        <w:t>Thus</w:t>
      </w:r>
      <w:r w:rsidR="00236769">
        <w:rPr>
          <w:sz w:val="26"/>
          <w:szCs w:val="26"/>
          <w:lang w:val="en-US"/>
        </w:rPr>
        <w:t>,</w:t>
      </w:r>
      <w:r w:rsidR="002065CE" w:rsidRPr="007A6441">
        <w:rPr>
          <w:sz w:val="26"/>
          <w:szCs w:val="26"/>
          <w:lang w:val="en-US"/>
        </w:rPr>
        <w:t xml:space="preserve"> the allegation </w:t>
      </w:r>
      <w:r w:rsidR="00F75A54" w:rsidRPr="007A6441">
        <w:rPr>
          <w:sz w:val="26"/>
          <w:szCs w:val="26"/>
          <w:lang w:val="en-US"/>
        </w:rPr>
        <w:t xml:space="preserve">that she </w:t>
      </w:r>
      <w:r w:rsidR="002065CE" w:rsidRPr="007A6441">
        <w:rPr>
          <w:sz w:val="26"/>
          <w:szCs w:val="26"/>
          <w:lang w:val="en-US"/>
        </w:rPr>
        <w:t>misled</w:t>
      </w:r>
      <w:r w:rsidR="00F75A54" w:rsidRPr="007A6441">
        <w:rPr>
          <w:sz w:val="26"/>
          <w:szCs w:val="26"/>
          <w:lang w:val="en-US"/>
        </w:rPr>
        <w:t xml:space="preserve"> the court</w:t>
      </w:r>
      <w:r w:rsidR="002065CE" w:rsidRPr="007A6441">
        <w:rPr>
          <w:sz w:val="26"/>
          <w:szCs w:val="26"/>
          <w:lang w:val="en-US"/>
        </w:rPr>
        <w:t xml:space="preserve"> or misrepresent</w:t>
      </w:r>
      <w:r w:rsidR="00F75A54" w:rsidRPr="007A6441">
        <w:rPr>
          <w:sz w:val="26"/>
          <w:szCs w:val="26"/>
          <w:lang w:val="en-US"/>
        </w:rPr>
        <w:t>ed</w:t>
      </w:r>
      <w:r w:rsidR="002065CE" w:rsidRPr="007A6441">
        <w:rPr>
          <w:sz w:val="26"/>
          <w:szCs w:val="26"/>
          <w:lang w:val="en-US"/>
        </w:rPr>
        <w:t xml:space="preserve"> the </w:t>
      </w:r>
      <w:r w:rsidR="00F75A54" w:rsidRPr="007A6441">
        <w:rPr>
          <w:sz w:val="26"/>
          <w:szCs w:val="26"/>
          <w:lang w:val="en-US"/>
        </w:rPr>
        <w:t xml:space="preserve">true </w:t>
      </w:r>
      <w:r w:rsidR="002065CE" w:rsidRPr="007A6441">
        <w:rPr>
          <w:sz w:val="26"/>
          <w:szCs w:val="26"/>
          <w:lang w:val="en-US"/>
        </w:rPr>
        <w:t>position to</w:t>
      </w:r>
      <w:r w:rsidR="00236769">
        <w:rPr>
          <w:sz w:val="26"/>
          <w:szCs w:val="26"/>
          <w:lang w:val="en-US"/>
        </w:rPr>
        <w:t xml:space="preserve"> it</w:t>
      </w:r>
      <w:r w:rsidR="002065CE" w:rsidRPr="007A6441">
        <w:rPr>
          <w:sz w:val="26"/>
          <w:szCs w:val="26"/>
          <w:lang w:val="en-US"/>
        </w:rPr>
        <w:t xml:space="preserve"> that day </w:t>
      </w:r>
      <w:r w:rsidR="00F75A54" w:rsidRPr="007A6441">
        <w:rPr>
          <w:sz w:val="26"/>
          <w:szCs w:val="26"/>
          <w:lang w:val="en-US"/>
        </w:rPr>
        <w:t>is</w:t>
      </w:r>
      <w:r w:rsidR="002065CE" w:rsidRPr="007A6441">
        <w:rPr>
          <w:sz w:val="26"/>
          <w:szCs w:val="26"/>
          <w:lang w:val="en-US"/>
        </w:rPr>
        <w:t xml:space="preserve"> unfounded, and should be struck out.</w:t>
      </w:r>
      <w:r w:rsidR="00596E37">
        <w:rPr>
          <w:sz w:val="26"/>
          <w:szCs w:val="26"/>
          <w:lang w:val="en-US"/>
        </w:rPr>
        <w:t xml:space="preserve"> </w:t>
      </w:r>
    </w:p>
    <w:p w:rsidR="002065CE" w:rsidRPr="002065CE" w:rsidRDefault="002065CE" w:rsidP="002065CE">
      <w:pPr>
        <w:pStyle w:val="ListParagraph"/>
        <w:rPr>
          <w:sz w:val="26"/>
          <w:szCs w:val="26"/>
        </w:rPr>
      </w:pPr>
    </w:p>
    <w:p w:rsidR="000121C3" w:rsidRDefault="000121C3" w:rsidP="000121C3">
      <w:pPr>
        <w:pStyle w:val="ListParagraph"/>
        <w:numPr>
          <w:ilvl w:val="0"/>
          <w:numId w:val="2"/>
        </w:numPr>
        <w:spacing w:after="0" w:line="360" w:lineRule="auto"/>
        <w:ind w:left="0" w:firstLine="0"/>
        <w:jc w:val="both"/>
        <w:rPr>
          <w:sz w:val="26"/>
          <w:szCs w:val="26"/>
          <w:lang w:val="en-US"/>
        </w:rPr>
      </w:pPr>
      <w:r>
        <w:rPr>
          <w:sz w:val="26"/>
          <w:szCs w:val="26"/>
          <w:lang w:val="en-US"/>
        </w:rPr>
        <w:t xml:space="preserve">On the basis of the issues discussed immediately above, </w:t>
      </w:r>
      <w:r w:rsidRPr="00D667AE">
        <w:rPr>
          <w:sz w:val="26"/>
          <w:szCs w:val="26"/>
          <w:lang w:val="en-US"/>
        </w:rPr>
        <w:t xml:space="preserve">Mr </w:t>
      </w:r>
      <w:r w:rsidR="00234120">
        <w:rPr>
          <w:sz w:val="26"/>
          <w:szCs w:val="26"/>
          <w:lang w:val="en-US"/>
        </w:rPr>
        <w:t>van der Merwe</w:t>
      </w:r>
      <w:r w:rsidRPr="00D667AE">
        <w:rPr>
          <w:sz w:val="26"/>
          <w:szCs w:val="26"/>
          <w:lang w:val="en-US"/>
        </w:rPr>
        <w:t xml:space="preserve"> has repeatedly alleged that Ms Southwood has engaged in persistent </w:t>
      </w:r>
      <w:r w:rsidRPr="00D667AE">
        <w:rPr>
          <w:i/>
          <w:iCs/>
          <w:sz w:val="26"/>
          <w:szCs w:val="26"/>
          <w:lang w:val="en-US"/>
        </w:rPr>
        <w:t>mala fide</w:t>
      </w:r>
      <w:r w:rsidRPr="00D667AE">
        <w:rPr>
          <w:sz w:val="26"/>
          <w:szCs w:val="26"/>
          <w:lang w:val="en-US"/>
        </w:rPr>
        <w:t xml:space="preserve"> conduct to delay and generate fees, and that she misled Binns-Ward J, </w:t>
      </w:r>
      <w:r w:rsidR="00DB5C2A">
        <w:rPr>
          <w:sz w:val="26"/>
          <w:szCs w:val="26"/>
          <w:lang w:val="en-US"/>
        </w:rPr>
        <w:t xml:space="preserve">thereby committing serious </w:t>
      </w:r>
      <w:r w:rsidRPr="00D667AE">
        <w:rPr>
          <w:sz w:val="26"/>
          <w:szCs w:val="26"/>
          <w:lang w:val="en-US"/>
        </w:rPr>
        <w:t xml:space="preserve">misconduct. These allegations were first made in correspondence between the parties </w:t>
      </w:r>
      <w:r w:rsidR="00092DEE">
        <w:rPr>
          <w:sz w:val="26"/>
          <w:szCs w:val="26"/>
          <w:lang w:val="en-US"/>
        </w:rPr>
        <w:t>and</w:t>
      </w:r>
      <w:r w:rsidRPr="00D667AE">
        <w:rPr>
          <w:sz w:val="26"/>
          <w:szCs w:val="26"/>
          <w:lang w:val="en-US"/>
        </w:rPr>
        <w:t xml:space="preserve"> were eventually escalated to Binns-Ward</w:t>
      </w:r>
      <w:r w:rsidR="00092DEE">
        <w:rPr>
          <w:sz w:val="26"/>
          <w:szCs w:val="26"/>
          <w:lang w:val="en-US"/>
        </w:rPr>
        <w:t xml:space="preserve"> J</w:t>
      </w:r>
      <w:r w:rsidRPr="00D667AE">
        <w:rPr>
          <w:sz w:val="26"/>
          <w:szCs w:val="26"/>
          <w:lang w:val="en-US"/>
        </w:rPr>
        <w:t xml:space="preserve">’s registrar </w:t>
      </w:r>
      <w:r w:rsidRPr="00D667AE">
        <w:rPr>
          <w:i/>
          <w:iCs/>
          <w:sz w:val="26"/>
          <w:szCs w:val="26"/>
          <w:lang w:val="en-US"/>
        </w:rPr>
        <w:t>via</w:t>
      </w:r>
      <w:r w:rsidRPr="00D667AE">
        <w:rPr>
          <w:sz w:val="26"/>
          <w:szCs w:val="26"/>
          <w:lang w:val="en-US"/>
        </w:rPr>
        <w:t xml:space="preserve"> email, and were copied to Ms Southwood and her junior counsel</w:t>
      </w:r>
      <w:r w:rsidR="00092DEE">
        <w:rPr>
          <w:sz w:val="26"/>
          <w:szCs w:val="26"/>
          <w:lang w:val="en-US"/>
        </w:rPr>
        <w:t>,</w:t>
      </w:r>
      <w:r w:rsidRPr="00D667AE">
        <w:rPr>
          <w:sz w:val="26"/>
          <w:szCs w:val="26"/>
          <w:lang w:val="en-US"/>
        </w:rPr>
        <w:t xml:space="preserve"> Mr Vadachia</w:t>
      </w:r>
      <w:r w:rsidR="00092DEE">
        <w:rPr>
          <w:sz w:val="26"/>
          <w:szCs w:val="26"/>
          <w:lang w:val="en-US"/>
        </w:rPr>
        <w:t>,</w:t>
      </w:r>
      <w:r w:rsidRPr="00D667AE">
        <w:rPr>
          <w:sz w:val="26"/>
          <w:szCs w:val="26"/>
          <w:lang w:val="en-US"/>
        </w:rPr>
        <w:t xml:space="preserve"> Ms Poulter</w:t>
      </w:r>
      <w:r w:rsidR="00092DEE">
        <w:rPr>
          <w:sz w:val="26"/>
          <w:szCs w:val="26"/>
          <w:lang w:val="en-US"/>
        </w:rPr>
        <w:t xml:space="preserve">, </w:t>
      </w:r>
      <w:r w:rsidRPr="00D667AE">
        <w:rPr>
          <w:sz w:val="26"/>
          <w:szCs w:val="26"/>
          <w:lang w:val="en-US"/>
        </w:rPr>
        <w:t xml:space="preserve">and three other individuals who are not part of these proceedings, namely a court registrar and two unknown individuals. </w:t>
      </w:r>
      <w:r w:rsidR="00092DEE">
        <w:rPr>
          <w:sz w:val="26"/>
          <w:szCs w:val="26"/>
          <w:lang w:val="en-US"/>
        </w:rPr>
        <w:t xml:space="preserve">Mr </w:t>
      </w:r>
      <w:r w:rsidR="00234120">
        <w:rPr>
          <w:sz w:val="26"/>
          <w:szCs w:val="26"/>
          <w:lang w:val="en-US"/>
        </w:rPr>
        <w:t>van der Merwe</w:t>
      </w:r>
      <w:r w:rsidR="00092DEE">
        <w:rPr>
          <w:sz w:val="26"/>
          <w:szCs w:val="26"/>
          <w:lang w:val="en-US"/>
        </w:rPr>
        <w:t xml:space="preserve"> was requested by email to withdraw these statements, which he failed to do and instead included them in the intervention application.</w:t>
      </w:r>
    </w:p>
    <w:p w:rsidR="00092DEE" w:rsidRPr="00092DEE" w:rsidRDefault="00092DEE" w:rsidP="00092DEE">
      <w:pPr>
        <w:pStyle w:val="ListParagraph"/>
        <w:rPr>
          <w:sz w:val="26"/>
          <w:szCs w:val="26"/>
          <w:lang w:val="en-US"/>
        </w:rPr>
      </w:pPr>
    </w:p>
    <w:p w:rsidR="00092DEE" w:rsidRDefault="00092DEE" w:rsidP="00092DEE">
      <w:pPr>
        <w:pStyle w:val="ListParagraph"/>
        <w:numPr>
          <w:ilvl w:val="0"/>
          <w:numId w:val="2"/>
        </w:numPr>
        <w:spacing w:after="0" w:line="360" w:lineRule="auto"/>
        <w:ind w:left="0" w:firstLine="0"/>
        <w:jc w:val="both"/>
        <w:rPr>
          <w:sz w:val="26"/>
          <w:szCs w:val="26"/>
          <w:lang w:val="en-US"/>
        </w:rPr>
      </w:pPr>
      <w:r>
        <w:rPr>
          <w:sz w:val="26"/>
          <w:szCs w:val="26"/>
          <w:lang w:val="en-US"/>
        </w:rPr>
        <w:t xml:space="preserve">The allegations were coupled with demands that the </w:t>
      </w:r>
      <w:r w:rsidRPr="001E050E">
        <w:rPr>
          <w:sz w:val="26"/>
          <w:szCs w:val="26"/>
          <w:lang w:val="en-US"/>
        </w:rPr>
        <w:t xml:space="preserve">costs order </w:t>
      </w:r>
      <w:r>
        <w:rPr>
          <w:sz w:val="26"/>
          <w:szCs w:val="26"/>
          <w:lang w:val="en-US"/>
        </w:rPr>
        <w:t xml:space="preserve">granted by </w:t>
      </w:r>
      <w:r w:rsidRPr="001E050E">
        <w:rPr>
          <w:sz w:val="26"/>
          <w:szCs w:val="26"/>
          <w:lang w:val="en-US"/>
        </w:rPr>
        <w:t xml:space="preserve">the </w:t>
      </w:r>
      <w:r>
        <w:rPr>
          <w:sz w:val="26"/>
          <w:szCs w:val="26"/>
          <w:lang w:val="en-US"/>
        </w:rPr>
        <w:t>F</w:t>
      </w:r>
      <w:r w:rsidRPr="001E050E">
        <w:rPr>
          <w:sz w:val="26"/>
          <w:szCs w:val="26"/>
          <w:lang w:val="en-US"/>
        </w:rPr>
        <w:t xml:space="preserve">ull </w:t>
      </w:r>
      <w:r>
        <w:rPr>
          <w:sz w:val="26"/>
          <w:szCs w:val="26"/>
          <w:lang w:val="en-US"/>
        </w:rPr>
        <w:t>B</w:t>
      </w:r>
      <w:r w:rsidRPr="001E050E">
        <w:rPr>
          <w:sz w:val="26"/>
          <w:szCs w:val="26"/>
          <w:lang w:val="en-US"/>
        </w:rPr>
        <w:t>ench</w:t>
      </w:r>
      <w:r>
        <w:rPr>
          <w:sz w:val="26"/>
          <w:szCs w:val="26"/>
          <w:lang w:val="en-US"/>
        </w:rPr>
        <w:t xml:space="preserve"> on 21 January 2022 should be withdrawn. Ordinarily, a litigant is free to propose that </w:t>
      </w:r>
      <w:r w:rsidR="00236769">
        <w:rPr>
          <w:sz w:val="26"/>
          <w:szCs w:val="26"/>
          <w:lang w:val="en-US"/>
        </w:rPr>
        <w:t xml:space="preserve">the other party </w:t>
      </w:r>
      <w:r>
        <w:rPr>
          <w:sz w:val="26"/>
          <w:szCs w:val="26"/>
          <w:lang w:val="en-US"/>
        </w:rPr>
        <w:t>should abandon an order</w:t>
      </w:r>
      <w:r w:rsidR="00236769">
        <w:rPr>
          <w:sz w:val="26"/>
          <w:szCs w:val="26"/>
          <w:lang w:val="en-US"/>
        </w:rPr>
        <w:t xml:space="preserve"> which was made in its favour</w:t>
      </w:r>
      <w:r>
        <w:rPr>
          <w:sz w:val="26"/>
          <w:szCs w:val="26"/>
          <w:lang w:val="en-US"/>
        </w:rPr>
        <w:t xml:space="preserve">, </w:t>
      </w:r>
      <w:r w:rsidR="00236769">
        <w:rPr>
          <w:sz w:val="26"/>
          <w:szCs w:val="26"/>
          <w:lang w:val="en-US"/>
        </w:rPr>
        <w:t>and</w:t>
      </w:r>
      <w:r>
        <w:rPr>
          <w:sz w:val="26"/>
          <w:szCs w:val="26"/>
          <w:lang w:val="en-US"/>
        </w:rPr>
        <w:t xml:space="preserve"> the latter can decide to</w:t>
      </w:r>
      <w:r w:rsidR="00596E37">
        <w:rPr>
          <w:sz w:val="26"/>
          <w:szCs w:val="26"/>
          <w:lang w:val="en-US"/>
        </w:rPr>
        <w:t xml:space="preserve"> consent </w:t>
      </w:r>
      <w:r w:rsidR="00236769">
        <w:rPr>
          <w:sz w:val="26"/>
          <w:szCs w:val="26"/>
          <w:lang w:val="en-US"/>
        </w:rPr>
        <w:t>there</w:t>
      </w:r>
      <w:r w:rsidR="00596E37">
        <w:rPr>
          <w:sz w:val="26"/>
          <w:szCs w:val="26"/>
          <w:lang w:val="en-US"/>
        </w:rPr>
        <w:t xml:space="preserve">to </w:t>
      </w:r>
      <w:r>
        <w:rPr>
          <w:sz w:val="26"/>
          <w:szCs w:val="26"/>
          <w:lang w:val="en-US"/>
        </w:rPr>
        <w:t xml:space="preserve">or not. However, when </w:t>
      </w:r>
      <w:r w:rsidR="00236769">
        <w:rPr>
          <w:sz w:val="26"/>
          <w:szCs w:val="26"/>
          <w:lang w:val="en-US"/>
        </w:rPr>
        <w:t xml:space="preserve">such a demand is </w:t>
      </w:r>
      <w:r>
        <w:rPr>
          <w:sz w:val="26"/>
          <w:szCs w:val="26"/>
          <w:lang w:val="en-US"/>
        </w:rPr>
        <w:t xml:space="preserve">coupled </w:t>
      </w:r>
      <w:r w:rsidR="00236769">
        <w:rPr>
          <w:sz w:val="26"/>
          <w:szCs w:val="26"/>
          <w:lang w:val="en-US"/>
        </w:rPr>
        <w:t>to</w:t>
      </w:r>
      <w:r>
        <w:rPr>
          <w:sz w:val="26"/>
          <w:szCs w:val="26"/>
          <w:lang w:val="en-US"/>
        </w:rPr>
        <w:t xml:space="preserve"> allegations of </w:t>
      </w:r>
      <w:r w:rsidRPr="001E050E">
        <w:rPr>
          <w:i/>
          <w:iCs/>
          <w:sz w:val="26"/>
          <w:szCs w:val="26"/>
          <w:lang w:val="en-US"/>
        </w:rPr>
        <w:t>mala fide</w:t>
      </w:r>
      <w:r>
        <w:rPr>
          <w:sz w:val="26"/>
          <w:szCs w:val="26"/>
          <w:lang w:val="en-US"/>
        </w:rPr>
        <w:t xml:space="preserve"> conduct, as it </w:t>
      </w:r>
      <w:r w:rsidR="00236769">
        <w:rPr>
          <w:sz w:val="26"/>
          <w:szCs w:val="26"/>
          <w:lang w:val="en-US"/>
        </w:rPr>
        <w:t>was</w:t>
      </w:r>
      <w:r>
        <w:rPr>
          <w:sz w:val="26"/>
          <w:szCs w:val="26"/>
          <w:lang w:val="en-US"/>
        </w:rPr>
        <w:t xml:space="preserve"> in this case, it is understandable that the CSARS’s legal representatives would </w:t>
      </w:r>
      <w:r w:rsidR="00236769">
        <w:rPr>
          <w:sz w:val="26"/>
          <w:szCs w:val="26"/>
          <w:lang w:val="en-US"/>
        </w:rPr>
        <w:t>consider</w:t>
      </w:r>
      <w:r>
        <w:rPr>
          <w:sz w:val="26"/>
          <w:szCs w:val="26"/>
          <w:lang w:val="en-US"/>
        </w:rPr>
        <w:t xml:space="preserve"> it as defamatory. The remedy </w:t>
      </w:r>
      <w:r w:rsidR="00596E37">
        <w:rPr>
          <w:sz w:val="26"/>
          <w:szCs w:val="26"/>
          <w:lang w:val="en-US"/>
        </w:rPr>
        <w:t xml:space="preserve">for </w:t>
      </w:r>
      <w:r>
        <w:rPr>
          <w:sz w:val="26"/>
          <w:szCs w:val="26"/>
          <w:lang w:val="en-US"/>
        </w:rPr>
        <w:t>Ms Poulter, if she was unhappy with the costs order</w:t>
      </w:r>
      <w:r w:rsidR="00596E37">
        <w:rPr>
          <w:sz w:val="26"/>
          <w:szCs w:val="26"/>
          <w:lang w:val="en-US"/>
        </w:rPr>
        <w:t xml:space="preserve"> granted by the Full Bench</w:t>
      </w:r>
      <w:r>
        <w:rPr>
          <w:sz w:val="26"/>
          <w:szCs w:val="26"/>
          <w:lang w:val="en-US"/>
        </w:rPr>
        <w:t xml:space="preserve">, was to appeal it. </w:t>
      </w:r>
    </w:p>
    <w:p w:rsidR="00951736" w:rsidRPr="00951736" w:rsidRDefault="00951736" w:rsidP="00951736">
      <w:pPr>
        <w:pStyle w:val="ListParagraph"/>
        <w:rPr>
          <w:sz w:val="26"/>
          <w:szCs w:val="26"/>
          <w:lang w:val="en-US"/>
        </w:rPr>
      </w:pPr>
    </w:p>
    <w:p w:rsidR="00951736" w:rsidRDefault="00951736" w:rsidP="00092DEE">
      <w:pPr>
        <w:pStyle w:val="ListParagraph"/>
        <w:numPr>
          <w:ilvl w:val="0"/>
          <w:numId w:val="2"/>
        </w:numPr>
        <w:spacing w:after="0" w:line="360" w:lineRule="auto"/>
        <w:ind w:left="0" w:firstLine="0"/>
        <w:jc w:val="both"/>
        <w:rPr>
          <w:sz w:val="26"/>
          <w:szCs w:val="26"/>
          <w:lang w:val="en-US"/>
        </w:rPr>
      </w:pPr>
      <w:r>
        <w:rPr>
          <w:sz w:val="26"/>
          <w:szCs w:val="26"/>
          <w:lang w:val="en-US"/>
        </w:rPr>
        <w:t>I do</w:t>
      </w:r>
      <w:r w:rsidR="00642BBF">
        <w:rPr>
          <w:sz w:val="26"/>
          <w:szCs w:val="26"/>
          <w:lang w:val="en-US"/>
        </w:rPr>
        <w:t>,</w:t>
      </w:r>
      <w:r>
        <w:rPr>
          <w:sz w:val="26"/>
          <w:szCs w:val="26"/>
          <w:lang w:val="en-US"/>
        </w:rPr>
        <w:t xml:space="preserve"> </w:t>
      </w:r>
      <w:r w:rsidR="00642BBF">
        <w:rPr>
          <w:sz w:val="26"/>
          <w:szCs w:val="26"/>
          <w:lang w:val="en-US"/>
        </w:rPr>
        <w:t xml:space="preserve">however, </w:t>
      </w:r>
      <w:r>
        <w:rPr>
          <w:sz w:val="26"/>
          <w:szCs w:val="26"/>
          <w:lang w:val="en-US"/>
        </w:rPr>
        <w:t xml:space="preserve">accept that at first glance, the submissions made by Ms Southwood are contradictory. </w:t>
      </w:r>
      <w:r w:rsidRPr="00596E37">
        <w:rPr>
          <w:sz w:val="26"/>
          <w:szCs w:val="26"/>
          <w:lang w:val="en-US"/>
        </w:rPr>
        <w:t>I do not want to speculate regarding w</w:t>
      </w:r>
      <w:r>
        <w:rPr>
          <w:sz w:val="26"/>
          <w:szCs w:val="26"/>
          <w:lang w:val="en-US"/>
        </w:rPr>
        <w:t>h</w:t>
      </w:r>
      <w:r w:rsidRPr="00596E37">
        <w:rPr>
          <w:sz w:val="26"/>
          <w:szCs w:val="26"/>
          <w:lang w:val="en-US"/>
        </w:rPr>
        <w:t>ether a qualified legal practitioner would have construed the statements as Mr</w:t>
      </w:r>
      <w:r>
        <w:rPr>
          <w:sz w:val="26"/>
          <w:szCs w:val="26"/>
          <w:lang w:val="en-US"/>
        </w:rPr>
        <w:t xml:space="preserve"> </w:t>
      </w:r>
      <w:r w:rsidR="00234120">
        <w:rPr>
          <w:sz w:val="26"/>
          <w:szCs w:val="26"/>
          <w:lang w:val="en-US"/>
        </w:rPr>
        <w:t>van der Merwe</w:t>
      </w:r>
      <w:r>
        <w:rPr>
          <w:sz w:val="26"/>
          <w:szCs w:val="26"/>
          <w:lang w:val="en-US"/>
        </w:rPr>
        <w:t xml:space="preserve"> did. </w:t>
      </w:r>
      <w:r w:rsidRPr="00596E37">
        <w:rPr>
          <w:sz w:val="26"/>
          <w:szCs w:val="26"/>
          <w:lang w:val="en-US"/>
        </w:rPr>
        <w:t xml:space="preserve">I </w:t>
      </w:r>
      <w:r w:rsidR="00236769">
        <w:rPr>
          <w:sz w:val="26"/>
          <w:szCs w:val="26"/>
          <w:lang w:val="en-US"/>
        </w:rPr>
        <w:t xml:space="preserve">would </w:t>
      </w:r>
      <w:r w:rsidR="00642BBF">
        <w:rPr>
          <w:sz w:val="26"/>
          <w:szCs w:val="26"/>
          <w:lang w:val="en-US"/>
        </w:rPr>
        <w:t>make the</w:t>
      </w:r>
      <w:r w:rsidRPr="00596E37">
        <w:rPr>
          <w:sz w:val="26"/>
          <w:szCs w:val="26"/>
          <w:lang w:val="en-US"/>
        </w:rPr>
        <w:t xml:space="preserve"> observ</w:t>
      </w:r>
      <w:r w:rsidR="00642BBF">
        <w:rPr>
          <w:sz w:val="26"/>
          <w:szCs w:val="26"/>
          <w:lang w:val="en-US"/>
        </w:rPr>
        <w:t>ation</w:t>
      </w:r>
      <w:r>
        <w:rPr>
          <w:sz w:val="26"/>
          <w:szCs w:val="26"/>
          <w:lang w:val="en-US"/>
        </w:rPr>
        <w:t>,</w:t>
      </w:r>
      <w:r w:rsidRPr="00596E37">
        <w:rPr>
          <w:sz w:val="26"/>
          <w:szCs w:val="26"/>
          <w:lang w:val="en-US"/>
        </w:rPr>
        <w:t xml:space="preserve"> however</w:t>
      </w:r>
      <w:r w:rsidR="00990C97">
        <w:rPr>
          <w:sz w:val="26"/>
          <w:szCs w:val="26"/>
          <w:lang w:val="en-US"/>
        </w:rPr>
        <w:t>,</w:t>
      </w:r>
      <w:r w:rsidRPr="00596E37">
        <w:rPr>
          <w:sz w:val="26"/>
          <w:szCs w:val="26"/>
          <w:lang w:val="en-US"/>
        </w:rPr>
        <w:t xml:space="preserve"> that it is not in the nature of qualified </w:t>
      </w:r>
      <w:r>
        <w:rPr>
          <w:sz w:val="26"/>
          <w:szCs w:val="26"/>
          <w:lang w:val="en-US"/>
        </w:rPr>
        <w:t xml:space="preserve">and </w:t>
      </w:r>
      <w:r w:rsidRPr="00596E37">
        <w:rPr>
          <w:sz w:val="26"/>
          <w:szCs w:val="26"/>
          <w:lang w:val="en-US"/>
        </w:rPr>
        <w:t>trained legal practitioners to send disparaging emails</w:t>
      </w:r>
      <w:r>
        <w:rPr>
          <w:sz w:val="26"/>
          <w:szCs w:val="26"/>
          <w:lang w:val="en-US"/>
        </w:rPr>
        <w:t>,</w:t>
      </w:r>
      <w:r w:rsidRPr="00596E37">
        <w:rPr>
          <w:sz w:val="26"/>
          <w:szCs w:val="26"/>
          <w:lang w:val="en-US"/>
        </w:rPr>
        <w:t xml:space="preserve"> regarding other legal practitioners</w:t>
      </w:r>
      <w:r>
        <w:rPr>
          <w:sz w:val="26"/>
          <w:szCs w:val="26"/>
          <w:lang w:val="en-US"/>
        </w:rPr>
        <w:t>,</w:t>
      </w:r>
      <w:r w:rsidRPr="00596E37">
        <w:rPr>
          <w:sz w:val="26"/>
          <w:szCs w:val="26"/>
          <w:lang w:val="en-US"/>
        </w:rPr>
        <w:t xml:space="preserve"> to all and sundry</w:t>
      </w:r>
      <w:r>
        <w:rPr>
          <w:sz w:val="26"/>
          <w:szCs w:val="26"/>
          <w:lang w:val="en-US"/>
        </w:rPr>
        <w:t>,</w:t>
      </w:r>
      <w:r w:rsidRPr="00F75A54">
        <w:rPr>
          <w:sz w:val="26"/>
          <w:szCs w:val="26"/>
          <w:lang w:val="en-US"/>
        </w:rPr>
        <w:t xml:space="preserve"> </w:t>
      </w:r>
      <w:r w:rsidR="00193A8F">
        <w:rPr>
          <w:sz w:val="26"/>
          <w:szCs w:val="26"/>
          <w:lang w:val="en-US"/>
        </w:rPr>
        <w:t xml:space="preserve">which contain </w:t>
      </w:r>
      <w:r w:rsidRPr="00F75A54">
        <w:rPr>
          <w:sz w:val="26"/>
          <w:szCs w:val="26"/>
          <w:lang w:val="en-US"/>
        </w:rPr>
        <w:t>allegations of the</w:t>
      </w:r>
      <w:r w:rsidR="00193A8F">
        <w:rPr>
          <w:sz w:val="26"/>
          <w:szCs w:val="26"/>
          <w:lang w:val="en-US"/>
        </w:rPr>
        <w:t xml:space="preserve"> kind</w:t>
      </w:r>
      <w:r w:rsidRPr="00F75A54">
        <w:rPr>
          <w:sz w:val="26"/>
          <w:szCs w:val="26"/>
          <w:lang w:val="en-US"/>
        </w:rPr>
        <w:t xml:space="preserve"> contained in Mr</w:t>
      </w:r>
      <w:r>
        <w:rPr>
          <w:sz w:val="26"/>
          <w:szCs w:val="26"/>
          <w:lang w:val="en-US"/>
        </w:rPr>
        <w:t xml:space="preserve"> </w:t>
      </w:r>
      <w:r w:rsidR="00234120">
        <w:rPr>
          <w:sz w:val="26"/>
          <w:szCs w:val="26"/>
          <w:lang w:val="en-US"/>
        </w:rPr>
        <w:t>van der Merwe</w:t>
      </w:r>
      <w:r>
        <w:rPr>
          <w:sz w:val="26"/>
          <w:szCs w:val="26"/>
          <w:lang w:val="en-US"/>
        </w:rPr>
        <w:t xml:space="preserve">’s </w:t>
      </w:r>
      <w:r w:rsidRPr="00F75A54">
        <w:rPr>
          <w:sz w:val="26"/>
          <w:szCs w:val="26"/>
          <w:lang w:val="en-US"/>
        </w:rPr>
        <w:t>emails</w:t>
      </w:r>
      <w:r>
        <w:rPr>
          <w:sz w:val="26"/>
          <w:szCs w:val="26"/>
          <w:lang w:val="en-US"/>
        </w:rPr>
        <w:t>.</w:t>
      </w:r>
      <w:r w:rsidR="00990C97">
        <w:rPr>
          <w:sz w:val="26"/>
          <w:szCs w:val="26"/>
          <w:lang w:val="en-US"/>
        </w:rPr>
        <w:t xml:space="preserve"> The persistent and unbridled manner in which the allegations </w:t>
      </w:r>
      <w:r w:rsidR="00193A8F">
        <w:rPr>
          <w:sz w:val="26"/>
          <w:szCs w:val="26"/>
          <w:lang w:val="en-US"/>
        </w:rPr>
        <w:t>were</w:t>
      </w:r>
      <w:r w:rsidR="00990C97">
        <w:rPr>
          <w:sz w:val="26"/>
          <w:szCs w:val="26"/>
          <w:lang w:val="en-US"/>
        </w:rPr>
        <w:t xml:space="preserve"> made has had a defamatory effect.</w:t>
      </w:r>
    </w:p>
    <w:p w:rsidR="00092DEE" w:rsidRDefault="00092DEE" w:rsidP="00092DEE">
      <w:pPr>
        <w:pStyle w:val="ListParagraph"/>
        <w:spacing w:after="0" w:line="360" w:lineRule="auto"/>
        <w:ind w:left="0"/>
        <w:jc w:val="both"/>
        <w:rPr>
          <w:sz w:val="26"/>
          <w:szCs w:val="26"/>
          <w:lang w:val="en-US"/>
        </w:rPr>
      </w:pPr>
    </w:p>
    <w:p w:rsidR="00D667AE" w:rsidRPr="00596E37" w:rsidRDefault="001E050E" w:rsidP="00596E37">
      <w:pPr>
        <w:pStyle w:val="ListParagraph"/>
        <w:numPr>
          <w:ilvl w:val="0"/>
          <w:numId w:val="2"/>
        </w:numPr>
        <w:spacing w:after="0" w:line="360" w:lineRule="auto"/>
        <w:ind w:left="0" w:firstLine="0"/>
        <w:jc w:val="both"/>
        <w:rPr>
          <w:sz w:val="26"/>
          <w:szCs w:val="26"/>
          <w:lang w:val="en-US"/>
        </w:rPr>
      </w:pPr>
      <w:r w:rsidRPr="001E050E">
        <w:rPr>
          <w:sz w:val="26"/>
          <w:szCs w:val="26"/>
          <w:lang w:val="en-US"/>
        </w:rPr>
        <w:t xml:space="preserve">The remaining allegations </w:t>
      </w:r>
      <w:r w:rsidR="00092DEE">
        <w:rPr>
          <w:sz w:val="26"/>
          <w:szCs w:val="26"/>
          <w:lang w:val="en-US"/>
        </w:rPr>
        <w:t xml:space="preserve">in </w:t>
      </w:r>
      <w:r w:rsidR="00C92220">
        <w:rPr>
          <w:sz w:val="26"/>
          <w:szCs w:val="26"/>
          <w:lang w:val="en-US"/>
        </w:rPr>
        <w:t>paragraph 23 regarding</w:t>
      </w:r>
      <w:r w:rsidR="00C92220" w:rsidRPr="001E050E">
        <w:rPr>
          <w:sz w:val="26"/>
          <w:szCs w:val="26"/>
          <w:lang w:val="en-US"/>
        </w:rPr>
        <w:t xml:space="preserve"> </w:t>
      </w:r>
      <w:r w:rsidR="00C92220">
        <w:rPr>
          <w:sz w:val="26"/>
          <w:szCs w:val="26"/>
          <w:lang w:val="en-US"/>
        </w:rPr>
        <w:t>‘</w:t>
      </w:r>
      <w:r w:rsidRPr="001E050E">
        <w:rPr>
          <w:sz w:val="26"/>
          <w:szCs w:val="26"/>
          <w:lang w:val="en-US"/>
        </w:rPr>
        <w:t>delays</w:t>
      </w:r>
      <w:r w:rsidR="00C92220">
        <w:rPr>
          <w:sz w:val="26"/>
          <w:szCs w:val="26"/>
          <w:lang w:val="en-US"/>
        </w:rPr>
        <w:t>’</w:t>
      </w:r>
      <w:r w:rsidRPr="001E050E">
        <w:rPr>
          <w:sz w:val="26"/>
          <w:szCs w:val="26"/>
          <w:lang w:val="en-US"/>
        </w:rPr>
        <w:t xml:space="preserve"> and </w:t>
      </w:r>
      <w:r w:rsidR="00C92220">
        <w:rPr>
          <w:sz w:val="26"/>
          <w:szCs w:val="26"/>
          <w:lang w:val="en-US"/>
        </w:rPr>
        <w:t>‘</w:t>
      </w:r>
      <w:r w:rsidRPr="001E050E">
        <w:rPr>
          <w:sz w:val="26"/>
          <w:szCs w:val="26"/>
          <w:lang w:val="en-US"/>
        </w:rPr>
        <w:t>unfounded interlocutory applications</w:t>
      </w:r>
      <w:r w:rsidR="00C92220">
        <w:rPr>
          <w:sz w:val="26"/>
          <w:szCs w:val="26"/>
          <w:lang w:val="en-US"/>
        </w:rPr>
        <w:t xml:space="preserve">’ </w:t>
      </w:r>
      <w:r w:rsidRPr="001E050E">
        <w:rPr>
          <w:sz w:val="26"/>
          <w:szCs w:val="26"/>
          <w:lang w:val="en-US"/>
        </w:rPr>
        <w:t xml:space="preserve">are </w:t>
      </w:r>
      <w:r w:rsidR="00193A8F">
        <w:rPr>
          <w:sz w:val="26"/>
          <w:szCs w:val="26"/>
          <w:lang w:val="en-US"/>
        </w:rPr>
        <w:t xml:space="preserve"> akin</w:t>
      </w:r>
      <w:r w:rsidRPr="001E050E">
        <w:rPr>
          <w:sz w:val="26"/>
          <w:szCs w:val="26"/>
          <w:lang w:val="en-US"/>
        </w:rPr>
        <w:t xml:space="preserve"> to the statements discussed</w:t>
      </w:r>
      <w:r w:rsidR="00C92220">
        <w:rPr>
          <w:sz w:val="26"/>
          <w:szCs w:val="26"/>
          <w:lang w:val="en-US"/>
        </w:rPr>
        <w:t xml:space="preserve"> earlier</w:t>
      </w:r>
      <w:r w:rsidRPr="001E050E">
        <w:rPr>
          <w:sz w:val="26"/>
          <w:szCs w:val="26"/>
          <w:lang w:val="en-US"/>
        </w:rPr>
        <w:t xml:space="preserve">, which I </w:t>
      </w:r>
      <w:r w:rsidR="00C92220">
        <w:rPr>
          <w:sz w:val="26"/>
          <w:szCs w:val="26"/>
          <w:lang w:val="en-US"/>
        </w:rPr>
        <w:t xml:space="preserve">have </w:t>
      </w:r>
      <w:r w:rsidRPr="001E050E">
        <w:rPr>
          <w:sz w:val="26"/>
          <w:szCs w:val="26"/>
          <w:lang w:val="en-US"/>
        </w:rPr>
        <w:t xml:space="preserve">characterized as </w:t>
      </w:r>
      <w:r w:rsidR="00193A8F">
        <w:rPr>
          <w:sz w:val="26"/>
          <w:szCs w:val="26"/>
          <w:lang w:val="en-US"/>
        </w:rPr>
        <w:t xml:space="preserve">merely amounting to </w:t>
      </w:r>
      <w:r w:rsidRPr="001E050E">
        <w:rPr>
          <w:sz w:val="26"/>
          <w:szCs w:val="26"/>
          <w:lang w:val="en-US"/>
        </w:rPr>
        <w:t xml:space="preserve">criticism </w:t>
      </w:r>
      <w:r w:rsidR="00193A8F">
        <w:rPr>
          <w:sz w:val="26"/>
          <w:szCs w:val="26"/>
          <w:lang w:val="en-US"/>
        </w:rPr>
        <w:t xml:space="preserve"> of</w:t>
      </w:r>
      <w:r w:rsidRPr="001E050E">
        <w:rPr>
          <w:sz w:val="26"/>
          <w:szCs w:val="26"/>
          <w:lang w:val="en-US"/>
        </w:rPr>
        <w:t xml:space="preserve"> the CSARS’ litigation strategy. </w:t>
      </w:r>
      <w:r w:rsidR="00C92220">
        <w:rPr>
          <w:sz w:val="26"/>
          <w:szCs w:val="26"/>
          <w:lang w:val="en-US"/>
        </w:rPr>
        <w:t>I do not regard them as being susceptible to striking out.</w:t>
      </w:r>
    </w:p>
    <w:p w:rsidR="00F456C8" w:rsidRPr="00F456C8" w:rsidRDefault="00F456C8" w:rsidP="00F456C8">
      <w:pPr>
        <w:pStyle w:val="ListParagraph"/>
        <w:rPr>
          <w:sz w:val="26"/>
          <w:szCs w:val="26"/>
          <w:lang w:val="en-US"/>
        </w:rPr>
      </w:pPr>
    </w:p>
    <w:p w:rsidR="004C191E" w:rsidRDefault="00596E37" w:rsidP="004C191E">
      <w:pPr>
        <w:pStyle w:val="ListParagraph"/>
        <w:numPr>
          <w:ilvl w:val="0"/>
          <w:numId w:val="2"/>
        </w:numPr>
        <w:spacing w:after="0" w:line="360" w:lineRule="auto"/>
        <w:ind w:left="0" w:firstLine="0"/>
        <w:jc w:val="both"/>
        <w:rPr>
          <w:sz w:val="26"/>
          <w:szCs w:val="26"/>
          <w:lang w:val="en-US"/>
        </w:rPr>
      </w:pPr>
      <w:r>
        <w:rPr>
          <w:sz w:val="26"/>
          <w:szCs w:val="26"/>
          <w:lang w:val="en-US"/>
        </w:rPr>
        <w:t>The</w:t>
      </w:r>
      <w:r w:rsidRPr="00596E37">
        <w:rPr>
          <w:sz w:val="26"/>
          <w:szCs w:val="26"/>
          <w:lang w:val="en-US"/>
        </w:rPr>
        <w:t xml:space="preserve"> striking out applications have only been </w:t>
      </w:r>
      <w:r w:rsidR="00193A8F">
        <w:rPr>
          <w:sz w:val="26"/>
          <w:szCs w:val="26"/>
          <w:lang w:val="en-US"/>
        </w:rPr>
        <w:t xml:space="preserve">partially </w:t>
      </w:r>
      <w:r w:rsidRPr="00596E37">
        <w:rPr>
          <w:sz w:val="26"/>
          <w:szCs w:val="26"/>
          <w:lang w:val="en-US"/>
        </w:rPr>
        <w:t>successful</w:t>
      </w:r>
      <w:r>
        <w:rPr>
          <w:sz w:val="26"/>
          <w:szCs w:val="26"/>
          <w:lang w:val="en-US"/>
        </w:rPr>
        <w:t xml:space="preserve">. </w:t>
      </w:r>
      <w:r w:rsidR="00193A8F">
        <w:rPr>
          <w:sz w:val="26"/>
          <w:szCs w:val="26"/>
          <w:lang w:val="en-US"/>
        </w:rPr>
        <w:t>As is apparent m</w:t>
      </w:r>
      <w:r w:rsidRPr="00596E37">
        <w:rPr>
          <w:sz w:val="26"/>
          <w:szCs w:val="26"/>
          <w:lang w:val="en-US"/>
        </w:rPr>
        <w:t>ost of the statements complained about I have characterized as amounting to</w:t>
      </w:r>
      <w:r>
        <w:rPr>
          <w:sz w:val="26"/>
          <w:szCs w:val="26"/>
          <w:lang w:val="en-US"/>
        </w:rPr>
        <w:t xml:space="preserve"> </w:t>
      </w:r>
      <w:r w:rsidRPr="00596E37">
        <w:rPr>
          <w:sz w:val="26"/>
          <w:szCs w:val="26"/>
          <w:lang w:val="en-US"/>
        </w:rPr>
        <w:t xml:space="preserve">criticism </w:t>
      </w:r>
      <w:r>
        <w:rPr>
          <w:sz w:val="26"/>
          <w:szCs w:val="26"/>
          <w:lang w:val="en-US"/>
        </w:rPr>
        <w:t>of</w:t>
      </w:r>
      <w:r w:rsidRPr="00596E37">
        <w:rPr>
          <w:sz w:val="26"/>
          <w:szCs w:val="26"/>
          <w:lang w:val="en-US"/>
        </w:rPr>
        <w:t xml:space="preserve"> the litigation strategy of the </w:t>
      </w:r>
      <w:r>
        <w:rPr>
          <w:sz w:val="26"/>
          <w:szCs w:val="26"/>
          <w:lang w:val="en-US"/>
        </w:rPr>
        <w:t>C</w:t>
      </w:r>
      <w:r w:rsidRPr="00596E37">
        <w:rPr>
          <w:sz w:val="26"/>
          <w:szCs w:val="26"/>
          <w:lang w:val="en-US"/>
        </w:rPr>
        <w:t>SARS</w:t>
      </w:r>
      <w:r>
        <w:rPr>
          <w:sz w:val="26"/>
          <w:szCs w:val="26"/>
          <w:lang w:val="en-US"/>
        </w:rPr>
        <w:t>.  F</w:t>
      </w:r>
      <w:r w:rsidRPr="00596E37">
        <w:rPr>
          <w:sz w:val="26"/>
          <w:szCs w:val="26"/>
          <w:lang w:val="en-US"/>
        </w:rPr>
        <w:t>urthermore</w:t>
      </w:r>
      <w:r>
        <w:rPr>
          <w:sz w:val="26"/>
          <w:szCs w:val="26"/>
          <w:lang w:val="en-US"/>
        </w:rPr>
        <w:t>,</w:t>
      </w:r>
      <w:r w:rsidRPr="00596E37">
        <w:rPr>
          <w:sz w:val="26"/>
          <w:szCs w:val="26"/>
          <w:lang w:val="en-US"/>
        </w:rPr>
        <w:t xml:space="preserve"> I have found that</w:t>
      </w:r>
      <w:r>
        <w:rPr>
          <w:sz w:val="26"/>
          <w:szCs w:val="26"/>
          <w:lang w:val="en-US"/>
        </w:rPr>
        <w:t xml:space="preserve"> Ms S</w:t>
      </w:r>
      <w:r w:rsidRPr="00596E37">
        <w:rPr>
          <w:sz w:val="26"/>
          <w:szCs w:val="26"/>
          <w:lang w:val="en-US"/>
        </w:rPr>
        <w:t>outhwood</w:t>
      </w:r>
      <w:r>
        <w:rPr>
          <w:sz w:val="26"/>
          <w:szCs w:val="26"/>
          <w:lang w:val="en-US"/>
        </w:rPr>
        <w:t>’</w:t>
      </w:r>
      <w:r w:rsidRPr="00596E37">
        <w:rPr>
          <w:sz w:val="26"/>
          <w:szCs w:val="26"/>
          <w:lang w:val="en-US"/>
        </w:rPr>
        <w:t>s submissions were susceptible to being misunderstood</w:t>
      </w:r>
      <w:r>
        <w:rPr>
          <w:sz w:val="26"/>
          <w:szCs w:val="26"/>
          <w:lang w:val="en-US"/>
        </w:rPr>
        <w:t xml:space="preserve">. </w:t>
      </w:r>
      <w:r w:rsidRPr="00596E37">
        <w:rPr>
          <w:sz w:val="26"/>
          <w:szCs w:val="26"/>
          <w:lang w:val="en-US"/>
        </w:rPr>
        <w:t xml:space="preserve"> </w:t>
      </w:r>
      <w:r w:rsidR="00193A8F">
        <w:rPr>
          <w:sz w:val="26"/>
          <w:szCs w:val="26"/>
          <w:lang w:val="en-US"/>
        </w:rPr>
        <w:t xml:space="preserve">In the circumstances, </w:t>
      </w:r>
      <w:r w:rsidR="00951736">
        <w:rPr>
          <w:sz w:val="26"/>
          <w:szCs w:val="26"/>
          <w:lang w:val="en-US"/>
        </w:rPr>
        <w:t xml:space="preserve">I do not think it </w:t>
      </w:r>
      <w:r w:rsidR="00193A8F">
        <w:rPr>
          <w:sz w:val="26"/>
          <w:szCs w:val="26"/>
          <w:lang w:val="en-US"/>
        </w:rPr>
        <w:t>would be</w:t>
      </w:r>
      <w:r w:rsidR="00951736">
        <w:rPr>
          <w:sz w:val="26"/>
          <w:szCs w:val="26"/>
          <w:lang w:val="en-US"/>
        </w:rPr>
        <w:t xml:space="preserve"> appropriate to grant a separate costs order in relation to the striking out applications. </w:t>
      </w:r>
    </w:p>
    <w:p w:rsidR="001A7494" w:rsidRPr="004A4DBB" w:rsidRDefault="001A7494" w:rsidP="00951736">
      <w:pPr>
        <w:pStyle w:val="ListParagraph"/>
        <w:spacing w:after="0" w:line="360" w:lineRule="auto"/>
        <w:ind w:left="0"/>
        <w:jc w:val="both"/>
        <w:rPr>
          <w:sz w:val="26"/>
          <w:szCs w:val="26"/>
          <w:lang w:val="en-US"/>
        </w:rPr>
      </w:pPr>
    </w:p>
    <w:p w:rsidR="004C191E" w:rsidRPr="004C191E" w:rsidRDefault="004C191E" w:rsidP="004C191E">
      <w:pPr>
        <w:pStyle w:val="ListParagraph"/>
        <w:numPr>
          <w:ilvl w:val="0"/>
          <w:numId w:val="2"/>
        </w:numPr>
        <w:shd w:val="clear" w:color="auto" w:fill="FFFFFF"/>
        <w:spacing w:line="0" w:lineRule="auto"/>
        <w:rPr>
          <w:rFonts w:ascii="ff4" w:hAnsi="ff4"/>
          <w:color w:val="000000"/>
          <w:sz w:val="62"/>
          <w:szCs w:val="62"/>
        </w:rPr>
      </w:pPr>
      <w:r w:rsidRPr="004C191E">
        <w:rPr>
          <w:rFonts w:ascii="ff4" w:hAnsi="ff4"/>
          <w:color w:val="000000"/>
          <w:sz w:val="62"/>
          <w:szCs w:val="62"/>
        </w:rPr>
        <w:t xml:space="preserve">Scandalous matter - allegations which may or may not be relevant, but </w:t>
      </w:r>
      <w:r w:rsidRPr="004C191E">
        <w:rPr>
          <w:rStyle w:val="fs4"/>
          <w:rFonts w:ascii="ff4" w:hAnsi="ff4"/>
          <w:color w:val="000000"/>
          <w:sz w:val="43"/>
          <w:szCs w:val="43"/>
        </w:rPr>
        <w:t xml:space="preserve">J </w:t>
      </w:r>
      <w:r w:rsidRPr="004C191E">
        <w:rPr>
          <w:rStyle w:val="v0"/>
          <w:rFonts w:ascii="ff4" w:hAnsi="ff4"/>
          <w:color w:val="000000"/>
          <w:sz w:val="62"/>
          <w:szCs w:val="62"/>
        </w:rPr>
        <w:t>which are so</w:t>
      </w:r>
    </w:p>
    <w:p w:rsidR="00692A27" w:rsidRPr="00F456C8" w:rsidRDefault="004C191E" w:rsidP="00844B17">
      <w:pPr>
        <w:pStyle w:val="ListParagraph"/>
        <w:numPr>
          <w:ilvl w:val="0"/>
          <w:numId w:val="2"/>
        </w:numPr>
        <w:shd w:val="clear" w:color="auto" w:fill="FFFFFF"/>
        <w:spacing w:line="0" w:lineRule="auto"/>
        <w:rPr>
          <w:rFonts w:ascii="ff4" w:hAnsi="ff4"/>
          <w:color w:val="000000"/>
          <w:sz w:val="62"/>
          <w:szCs w:val="62"/>
        </w:rPr>
      </w:pPr>
      <w:r w:rsidRPr="004C191E">
        <w:rPr>
          <w:rFonts w:ascii="ff4" w:hAnsi="ff4"/>
          <w:color w:val="000000"/>
          <w:sz w:val="62"/>
          <w:szCs w:val="62"/>
        </w:rPr>
        <w:t>worded as to be abusive or defamatory</w:t>
      </w:r>
    </w:p>
    <w:p w:rsidR="004A4DBB" w:rsidRPr="004A4DBB" w:rsidRDefault="00844B17" w:rsidP="004A4DBB">
      <w:pPr>
        <w:pStyle w:val="ListParagraph"/>
        <w:numPr>
          <w:ilvl w:val="0"/>
          <w:numId w:val="1"/>
        </w:numPr>
        <w:spacing w:line="360" w:lineRule="auto"/>
        <w:jc w:val="both"/>
        <w:rPr>
          <w:b/>
          <w:bCs/>
          <w:color w:val="242121"/>
          <w:sz w:val="26"/>
          <w:szCs w:val="26"/>
        </w:rPr>
      </w:pPr>
      <w:r w:rsidRPr="00844B17">
        <w:rPr>
          <w:b/>
          <w:bCs/>
          <w:color w:val="242121"/>
          <w:sz w:val="26"/>
          <w:szCs w:val="26"/>
        </w:rPr>
        <w:t>ORDER</w:t>
      </w:r>
    </w:p>
    <w:p w:rsidR="00692A27" w:rsidRDefault="00692A27" w:rsidP="006376F3">
      <w:pPr>
        <w:pStyle w:val="ListParagraph"/>
        <w:numPr>
          <w:ilvl w:val="0"/>
          <w:numId w:val="2"/>
        </w:numPr>
        <w:spacing w:after="0" w:line="360" w:lineRule="auto"/>
        <w:ind w:left="0" w:firstLine="0"/>
        <w:jc w:val="both"/>
        <w:rPr>
          <w:color w:val="242121"/>
          <w:sz w:val="26"/>
          <w:szCs w:val="26"/>
        </w:rPr>
      </w:pPr>
      <w:r>
        <w:rPr>
          <w:color w:val="242121"/>
          <w:sz w:val="26"/>
          <w:szCs w:val="26"/>
        </w:rPr>
        <w:t xml:space="preserve">In the circumstances, </w:t>
      </w:r>
      <w:r w:rsidR="0075671F">
        <w:rPr>
          <w:color w:val="242121"/>
          <w:sz w:val="26"/>
          <w:szCs w:val="26"/>
        </w:rPr>
        <w:t xml:space="preserve"> orders are made in the following terms</w:t>
      </w:r>
      <w:r>
        <w:rPr>
          <w:color w:val="242121"/>
          <w:sz w:val="26"/>
          <w:szCs w:val="26"/>
        </w:rPr>
        <w:t>:</w:t>
      </w:r>
    </w:p>
    <w:p w:rsidR="00844B17" w:rsidRDefault="00844B17" w:rsidP="00844B17">
      <w:pPr>
        <w:pStyle w:val="ListParagraph"/>
        <w:spacing w:after="0" w:line="360" w:lineRule="auto"/>
        <w:ind w:left="0"/>
        <w:jc w:val="both"/>
        <w:rPr>
          <w:color w:val="242121"/>
          <w:sz w:val="26"/>
          <w:szCs w:val="26"/>
        </w:rPr>
      </w:pPr>
    </w:p>
    <w:p w:rsidR="00762723" w:rsidRDefault="00762723" w:rsidP="00844B17">
      <w:pPr>
        <w:pStyle w:val="ListParagraph"/>
        <w:numPr>
          <w:ilvl w:val="0"/>
          <w:numId w:val="8"/>
        </w:numPr>
        <w:spacing w:after="0" w:line="360" w:lineRule="auto"/>
        <w:ind w:left="1418" w:hanging="567"/>
        <w:jc w:val="both"/>
        <w:rPr>
          <w:color w:val="242121"/>
          <w:sz w:val="26"/>
          <w:szCs w:val="26"/>
          <w:lang w:val="en-US"/>
        </w:rPr>
      </w:pPr>
      <w:r>
        <w:rPr>
          <w:color w:val="242121"/>
          <w:sz w:val="26"/>
          <w:szCs w:val="26"/>
          <w:lang w:val="en-US"/>
        </w:rPr>
        <w:t>The order made at the hearing refusing the application by Mr Gary van der Merwe for leave to intervene is confirmed and it is directed that Mr van der Merwe shall be liable for the CSARS’s costs of suit in that application.</w:t>
      </w:r>
    </w:p>
    <w:p w:rsidR="00DF4FBA" w:rsidRDefault="00DF4FBA" w:rsidP="00DF4FBA">
      <w:pPr>
        <w:pStyle w:val="ListParagraph"/>
        <w:spacing w:after="0" w:line="360" w:lineRule="auto"/>
        <w:ind w:left="1418"/>
        <w:jc w:val="both"/>
        <w:rPr>
          <w:color w:val="242121"/>
          <w:sz w:val="26"/>
          <w:szCs w:val="26"/>
          <w:lang w:val="en-US"/>
        </w:rPr>
      </w:pPr>
    </w:p>
    <w:p w:rsidR="00844B17" w:rsidRDefault="0075671F" w:rsidP="00844B17">
      <w:pPr>
        <w:pStyle w:val="ListParagraph"/>
        <w:numPr>
          <w:ilvl w:val="0"/>
          <w:numId w:val="8"/>
        </w:numPr>
        <w:spacing w:after="0" w:line="360" w:lineRule="auto"/>
        <w:ind w:left="1418" w:hanging="567"/>
        <w:jc w:val="both"/>
        <w:rPr>
          <w:color w:val="242121"/>
          <w:sz w:val="26"/>
          <w:szCs w:val="26"/>
          <w:lang w:val="en-US"/>
        </w:rPr>
      </w:pPr>
      <w:r>
        <w:rPr>
          <w:color w:val="242121"/>
          <w:sz w:val="26"/>
          <w:szCs w:val="26"/>
          <w:lang w:val="en-US"/>
        </w:rPr>
        <w:t xml:space="preserve">The application </w:t>
      </w:r>
      <w:r w:rsidR="00762723">
        <w:rPr>
          <w:color w:val="242121"/>
          <w:sz w:val="26"/>
          <w:szCs w:val="26"/>
          <w:lang w:val="en-US"/>
        </w:rPr>
        <w:t xml:space="preserve">by Ms Poulter </w:t>
      </w:r>
      <w:r>
        <w:rPr>
          <w:color w:val="242121"/>
          <w:sz w:val="26"/>
          <w:szCs w:val="26"/>
          <w:lang w:val="en-US"/>
        </w:rPr>
        <w:t xml:space="preserve">for condonation of the late filing of the appeal is dismissed. </w:t>
      </w:r>
    </w:p>
    <w:p w:rsidR="00844B17" w:rsidRDefault="00844B17" w:rsidP="00844B17">
      <w:pPr>
        <w:pStyle w:val="ListParagraph"/>
        <w:spacing w:after="0" w:line="360" w:lineRule="auto"/>
        <w:ind w:left="1418"/>
        <w:jc w:val="both"/>
        <w:rPr>
          <w:color w:val="242121"/>
          <w:sz w:val="26"/>
          <w:szCs w:val="26"/>
          <w:lang w:val="en-US"/>
        </w:rPr>
      </w:pPr>
    </w:p>
    <w:p w:rsidR="00844B17" w:rsidRDefault="0075671F" w:rsidP="00844B17">
      <w:pPr>
        <w:pStyle w:val="ListParagraph"/>
        <w:numPr>
          <w:ilvl w:val="0"/>
          <w:numId w:val="8"/>
        </w:numPr>
        <w:spacing w:after="0" w:line="360" w:lineRule="auto"/>
        <w:ind w:left="1418" w:hanging="567"/>
        <w:jc w:val="both"/>
        <w:rPr>
          <w:color w:val="242121"/>
          <w:sz w:val="26"/>
          <w:szCs w:val="26"/>
          <w:lang w:val="en-US"/>
        </w:rPr>
      </w:pPr>
      <w:r>
        <w:rPr>
          <w:color w:val="242121"/>
          <w:sz w:val="26"/>
          <w:szCs w:val="26"/>
          <w:lang w:val="en-US"/>
        </w:rPr>
        <w:t>The CSARS’s application in terms of Rule 30 is upheld, and the Notice of Appeal delivered on behalf of Ms Poulter is set aside.</w:t>
      </w:r>
    </w:p>
    <w:p w:rsidR="00844B17" w:rsidRPr="006272F0" w:rsidRDefault="00844B17" w:rsidP="00844B17">
      <w:pPr>
        <w:pStyle w:val="ListParagraph"/>
        <w:spacing w:after="0" w:line="360" w:lineRule="auto"/>
        <w:jc w:val="both"/>
        <w:rPr>
          <w:color w:val="242121"/>
          <w:sz w:val="26"/>
          <w:szCs w:val="26"/>
          <w:lang w:val="en-US"/>
        </w:rPr>
      </w:pPr>
    </w:p>
    <w:p w:rsidR="00844B17" w:rsidRDefault="009E0CF8" w:rsidP="00844B17">
      <w:pPr>
        <w:pStyle w:val="ListParagraph"/>
        <w:numPr>
          <w:ilvl w:val="0"/>
          <w:numId w:val="8"/>
        </w:numPr>
        <w:ind w:left="1418" w:hanging="567"/>
        <w:jc w:val="both"/>
        <w:rPr>
          <w:color w:val="242121"/>
          <w:sz w:val="26"/>
          <w:szCs w:val="26"/>
          <w:lang w:val="en-US"/>
        </w:rPr>
      </w:pPr>
      <w:r>
        <w:rPr>
          <w:color w:val="242121"/>
          <w:sz w:val="26"/>
          <w:szCs w:val="26"/>
          <w:lang w:val="en-US"/>
        </w:rPr>
        <w:t>Ms Poulter shall</w:t>
      </w:r>
      <w:r w:rsidR="00844B17">
        <w:rPr>
          <w:color w:val="242121"/>
          <w:sz w:val="26"/>
          <w:szCs w:val="26"/>
          <w:lang w:val="en-US"/>
        </w:rPr>
        <w:t xml:space="preserve"> pay the costs of the Rule 30 application and the condonation application, such costs to include the costs of two counsel.</w:t>
      </w:r>
    </w:p>
    <w:p w:rsidR="00AC07E2" w:rsidRPr="002F10BA" w:rsidRDefault="00AC07E2" w:rsidP="002F10BA">
      <w:pPr>
        <w:pStyle w:val="ListParagraph"/>
        <w:rPr>
          <w:color w:val="242121"/>
          <w:sz w:val="26"/>
          <w:szCs w:val="26"/>
          <w:lang w:val="en-US"/>
        </w:rPr>
      </w:pPr>
    </w:p>
    <w:p w:rsidR="00AC07E2" w:rsidRDefault="00AC07E2" w:rsidP="00844B17">
      <w:pPr>
        <w:pStyle w:val="ListParagraph"/>
        <w:numPr>
          <w:ilvl w:val="0"/>
          <w:numId w:val="8"/>
        </w:numPr>
        <w:ind w:left="1418" w:hanging="567"/>
        <w:jc w:val="both"/>
        <w:rPr>
          <w:color w:val="242121"/>
          <w:sz w:val="26"/>
          <w:szCs w:val="26"/>
          <w:lang w:val="en-US"/>
        </w:rPr>
      </w:pPr>
      <w:r>
        <w:rPr>
          <w:color w:val="242121"/>
          <w:sz w:val="26"/>
          <w:szCs w:val="26"/>
          <w:lang w:val="en-US"/>
        </w:rPr>
        <w:t>The costs incurred in respect of the abortive hearing before Binns-Ward J on 12 May 2022 are excluded from the ambit of the foregoing costs orders, each party to bear their own costs in that regard.</w:t>
      </w:r>
    </w:p>
    <w:p w:rsidR="00844B17" w:rsidRPr="00844B17" w:rsidRDefault="00844B17" w:rsidP="00844B17">
      <w:pPr>
        <w:pStyle w:val="ListParagraph"/>
        <w:rPr>
          <w:color w:val="242121"/>
          <w:sz w:val="26"/>
          <w:szCs w:val="26"/>
          <w:lang w:val="en-US"/>
        </w:rPr>
      </w:pPr>
    </w:p>
    <w:p w:rsidR="009E0CF8" w:rsidRPr="009E0CF8" w:rsidRDefault="003C7E76" w:rsidP="009E0CF8">
      <w:pPr>
        <w:pStyle w:val="ListParagraph"/>
        <w:numPr>
          <w:ilvl w:val="0"/>
          <w:numId w:val="8"/>
        </w:numPr>
        <w:ind w:left="1418" w:hanging="567"/>
        <w:jc w:val="both"/>
        <w:rPr>
          <w:color w:val="242121"/>
          <w:sz w:val="26"/>
          <w:szCs w:val="26"/>
          <w:lang w:val="en-US"/>
        </w:rPr>
      </w:pPr>
      <w:r w:rsidRPr="00844B17">
        <w:rPr>
          <w:color w:val="242121"/>
          <w:sz w:val="26"/>
          <w:szCs w:val="26"/>
        </w:rPr>
        <w:t xml:space="preserve">The following matter in the appellant’s answering affidavit in the Rule 30 application deposed by </w:t>
      </w:r>
      <w:r w:rsidR="00DF4FBA">
        <w:rPr>
          <w:color w:val="242121"/>
          <w:sz w:val="26"/>
          <w:szCs w:val="26"/>
        </w:rPr>
        <w:t xml:space="preserve">Mr </w:t>
      </w:r>
      <w:r w:rsidRPr="00844B17">
        <w:rPr>
          <w:color w:val="242121"/>
          <w:sz w:val="26"/>
          <w:szCs w:val="26"/>
        </w:rPr>
        <w:t>Gary van der Merwe on 17 June 2021 is struck out:</w:t>
      </w:r>
    </w:p>
    <w:p w:rsidR="009E0CF8" w:rsidRPr="009E0CF8" w:rsidRDefault="009E0CF8" w:rsidP="009E0CF8">
      <w:pPr>
        <w:pStyle w:val="ListParagraph"/>
        <w:rPr>
          <w:color w:val="242121"/>
          <w:sz w:val="26"/>
          <w:szCs w:val="26"/>
        </w:rPr>
      </w:pPr>
    </w:p>
    <w:p w:rsidR="009E0CF8" w:rsidRPr="001A7494" w:rsidRDefault="00DF5AF5" w:rsidP="005F5E4F">
      <w:pPr>
        <w:pStyle w:val="ListParagraph"/>
        <w:numPr>
          <w:ilvl w:val="1"/>
          <w:numId w:val="8"/>
        </w:numPr>
        <w:jc w:val="both"/>
        <w:rPr>
          <w:color w:val="242121"/>
          <w:sz w:val="24"/>
          <w:szCs w:val="24"/>
          <w:lang w:val="en-US"/>
        </w:rPr>
      </w:pPr>
      <w:r w:rsidRPr="001A7494">
        <w:rPr>
          <w:color w:val="242121"/>
          <w:sz w:val="24"/>
          <w:szCs w:val="24"/>
        </w:rPr>
        <w:t>Page</w:t>
      </w:r>
      <w:r w:rsidR="007A6441" w:rsidRPr="001A7494">
        <w:rPr>
          <w:color w:val="242121"/>
          <w:sz w:val="24"/>
          <w:szCs w:val="24"/>
        </w:rPr>
        <w:t>s</w:t>
      </w:r>
      <w:r w:rsidRPr="001A7494">
        <w:rPr>
          <w:color w:val="242121"/>
          <w:sz w:val="24"/>
          <w:szCs w:val="24"/>
        </w:rPr>
        <w:t xml:space="preserve"> </w:t>
      </w:r>
      <w:r w:rsidR="007A6441" w:rsidRPr="001A7494">
        <w:rPr>
          <w:color w:val="242121"/>
          <w:sz w:val="24"/>
          <w:szCs w:val="24"/>
        </w:rPr>
        <w:t>85-</w:t>
      </w:r>
      <w:r w:rsidRPr="001A7494">
        <w:rPr>
          <w:color w:val="242121"/>
          <w:sz w:val="24"/>
          <w:szCs w:val="24"/>
        </w:rPr>
        <w:t>8</w:t>
      </w:r>
      <w:r w:rsidR="0081566E" w:rsidRPr="001A7494">
        <w:rPr>
          <w:color w:val="242121"/>
          <w:sz w:val="24"/>
          <w:szCs w:val="24"/>
        </w:rPr>
        <w:t>6</w:t>
      </w:r>
      <w:r w:rsidRPr="001A7494">
        <w:rPr>
          <w:color w:val="242121"/>
          <w:sz w:val="24"/>
          <w:szCs w:val="24"/>
        </w:rPr>
        <w:t xml:space="preserve">, paragraph 5.23, lines 3-5 </w:t>
      </w:r>
      <w:r w:rsidRPr="001A7494">
        <w:rPr>
          <w:i/>
          <w:iCs/>
          <w:color w:val="242121"/>
          <w:sz w:val="24"/>
          <w:szCs w:val="24"/>
        </w:rPr>
        <w:t>“…he is accordingly attempting to mislead this Honourable Court”</w:t>
      </w:r>
      <w:r w:rsidRPr="001A7494">
        <w:rPr>
          <w:color w:val="242121"/>
          <w:sz w:val="24"/>
          <w:szCs w:val="24"/>
        </w:rPr>
        <w:t>;</w:t>
      </w:r>
    </w:p>
    <w:p w:rsidR="007A6441" w:rsidRPr="001A7494" w:rsidRDefault="007A6441" w:rsidP="007A6441">
      <w:pPr>
        <w:pStyle w:val="ListParagraph"/>
        <w:ind w:left="1931"/>
        <w:jc w:val="both"/>
        <w:rPr>
          <w:color w:val="242121"/>
          <w:sz w:val="24"/>
          <w:szCs w:val="24"/>
          <w:lang w:val="en-US"/>
        </w:rPr>
      </w:pPr>
    </w:p>
    <w:p w:rsidR="00F456C8" w:rsidRPr="001A7494" w:rsidRDefault="005F5E4F" w:rsidP="009E0CF8">
      <w:pPr>
        <w:pStyle w:val="ListParagraph"/>
        <w:numPr>
          <w:ilvl w:val="1"/>
          <w:numId w:val="8"/>
        </w:numPr>
        <w:jc w:val="both"/>
        <w:rPr>
          <w:color w:val="242121"/>
          <w:sz w:val="24"/>
          <w:szCs w:val="24"/>
          <w:lang w:val="en-US"/>
        </w:rPr>
      </w:pPr>
      <w:r w:rsidRPr="001A7494">
        <w:rPr>
          <w:sz w:val="24"/>
          <w:szCs w:val="24"/>
          <w:lang w:val="en-US"/>
        </w:rPr>
        <w:t>P</w:t>
      </w:r>
      <w:r w:rsidR="00F456C8" w:rsidRPr="001A7494">
        <w:rPr>
          <w:sz w:val="24"/>
          <w:szCs w:val="24"/>
          <w:lang w:val="en-US"/>
        </w:rPr>
        <w:t xml:space="preserve">age </w:t>
      </w:r>
      <w:r w:rsidRPr="001A7494">
        <w:rPr>
          <w:sz w:val="24"/>
          <w:szCs w:val="24"/>
          <w:lang w:val="en-US"/>
        </w:rPr>
        <w:t>9</w:t>
      </w:r>
      <w:r w:rsidR="00F456C8" w:rsidRPr="001A7494">
        <w:rPr>
          <w:sz w:val="24"/>
          <w:szCs w:val="24"/>
          <w:lang w:val="en-US"/>
        </w:rPr>
        <w:t>1</w:t>
      </w:r>
      <w:r w:rsidRPr="001A7494">
        <w:rPr>
          <w:sz w:val="24"/>
          <w:szCs w:val="24"/>
          <w:lang w:val="en-US"/>
        </w:rPr>
        <w:t>,</w:t>
      </w:r>
      <w:r w:rsidR="00F456C8" w:rsidRPr="001A7494">
        <w:rPr>
          <w:sz w:val="24"/>
          <w:szCs w:val="24"/>
          <w:lang w:val="en-US"/>
        </w:rPr>
        <w:t xml:space="preserve"> paragraph 12</w:t>
      </w:r>
      <w:r w:rsidR="007A6441" w:rsidRPr="001A7494">
        <w:rPr>
          <w:sz w:val="24"/>
          <w:szCs w:val="24"/>
          <w:lang w:val="en-US"/>
        </w:rPr>
        <w:t>, lines 3 - 4</w:t>
      </w:r>
      <w:r w:rsidRPr="001A7494">
        <w:rPr>
          <w:sz w:val="24"/>
          <w:szCs w:val="24"/>
          <w:lang w:val="en-US"/>
        </w:rPr>
        <w:t>;</w:t>
      </w:r>
    </w:p>
    <w:p w:rsidR="009E0CF8" w:rsidRPr="001A7494" w:rsidRDefault="009E0CF8" w:rsidP="009E0CF8">
      <w:pPr>
        <w:pStyle w:val="ListParagraph"/>
        <w:rPr>
          <w:color w:val="242121"/>
          <w:sz w:val="24"/>
          <w:szCs w:val="24"/>
          <w:lang w:val="en-US"/>
        </w:rPr>
      </w:pPr>
    </w:p>
    <w:p w:rsidR="00F456C8" w:rsidRPr="001A7494" w:rsidRDefault="005F5E4F" w:rsidP="009E0CF8">
      <w:pPr>
        <w:pStyle w:val="ListParagraph"/>
        <w:numPr>
          <w:ilvl w:val="1"/>
          <w:numId w:val="8"/>
        </w:numPr>
        <w:jc w:val="both"/>
        <w:rPr>
          <w:color w:val="242121"/>
          <w:sz w:val="24"/>
          <w:szCs w:val="24"/>
          <w:lang w:val="en-US"/>
        </w:rPr>
      </w:pPr>
      <w:r w:rsidRPr="001A7494">
        <w:rPr>
          <w:sz w:val="24"/>
          <w:szCs w:val="24"/>
          <w:lang w:val="en-US"/>
        </w:rPr>
        <w:t>P</w:t>
      </w:r>
      <w:r w:rsidR="00F456C8" w:rsidRPr="001A7494">
        <w:rPr>
          <w:sz w:val="24"/>
          <w:szCs w:val="24"/>
          <w:lang w:val="en-US"/>
        </w:rPr>
        <w:t>age</w:t>
      </w:r>
      <w:r w:rsidRPr="001A7494">
        <w:rPr>
          <w:sz w:val="24"/>
          <w:szCs w:val="24"/>
          <w:lang w:val="en-US"/>
        </w:rPr>
        <w:t xml:space="preserve"> 89</w:t>
      </w:r>
      <w:r w:rsidR="00F456C8" w:rsidRPr="001A7494">
        <w:rPr>
          <w:sz w:val="24"/>
          <w:szCs w:val="24"/>
          <w:lang w:val="en-US"/>
        </w:rPr>
        <w:t xml:space="preserve"> paragraph 9.4</w:t>
      </w:r>
      <w:r w:rsidRPr="001A7494">
        <w:rPr>
          <w:sz w:val="24"/>
          <w:szCs w:val="24"/>
          <w:lang w:val="en-US"/>
        </w:rPr>
        <w:t>;</w:t>
      </w:r>
    </w:p>
    <w:p w:rsidR="009E0CF8" w:rsidRPr="001A7494" w:rsidRDefault="009E0CF8" w:rsidP="009E0CF8">
      <w:pPr>
        <w:pStyle w:val="ListParagraph"/>
        <w:rPr>
          <w:color w:val="242121"/>
          <w:sz w:val="24"/>
          <w:szCs w:val="24"/>
          <w:lang w:val="en-US"/>
        </w:rPr>
      </w:pPr>
    </w:p>
    <w:p w:rsidR="00F456C8" w:rsidRPr="001A7494" w:rsidRDefault="005F5E4F" w:rsidP="009E0CF8">
      <w:pPr>
        <w:pStyle w:val="ListParagraph"/>
        <w:numPr>
          <w:ilvl w:val="1"/>
          <w:numId w:val="8"/>
        </w:numPr>
        <w:jc w:val="both"/>
        <w:rPr>
          <w:color w:val="242121"/>
          <w:sz w:val="24"/>
          <w:szCs w:val="24"/>
          <w:lang w:val="en-US"/>
        </w:rPr>
      </w:pPr>
      <w:r w:rsidRPr="001A7494">
        <w:rPr>
          <w:sz w:val="24"/>
          <w:szCs w:val="24"/>
          <w:lang w:val="en-US"/>
        </w:rPr>
        <w:t>Page</w:t>
      </w:r>
      <w:r w:rsidR="007A6441" w:rsidRPr="001A7494">
        <w:rPr>
          <w:sz w:val="24"/>
          <w:szCs w:val="24"/>
          <w:lang w:val="en-US"/>
        </w:rPr>
        <w:t>s</w:t>
      </w:r>
      <w:r w:rsidRPr="001A7494">
        <w:rPr>
          <w:sz w:val="24"/>
          <w:szCs w:val="24"/>
          <w:lang w:val="en-US"/>
        </w:rPr>
        <w:t xml:space="preserve"> 96</w:t>
      </w:r>
      <w:r w:rsidR="007A6441" w:rsidRPr="001A7494">
        <w:rPr>
          <w:sz w:val="24"/>
          <w:szCs w:val="24"/>
          <w:lang w:val="en-US"/>
        </w:rPr>
        <w:t xml:space="preserve"> - 97</w:t>
      </w:r>
      <w:r w:rsidRPr="001A7494">
        <w:rPr>
          <w:sz w:val="24"/>
          <w:szCs w:val="24"/>
          <w:lang w:val="en-US"/>
        </w:rPr>
        <w:t>, a</w:t>
      </w:r>
      <w:r w:rsidR="00F456C8" w:rsidRPr="001A7494">
        <w:rPr>
          <w:sz w:val="24"/>
          <w:szCs w:val="24"/>
          <w:lang w:val="en-US"/>
        </w:rPr>
        <w:t xml:space="preserve">nnexure </w:t>
      </w:r>
      <w:r w:rsidRPr="001A7494">
        <w:rPr>
          <w:sz w:val="24"/>
          <w:szCs w:val="24"/>
          <w:lang w:val="en-US"/>
        </w:rPr>
        <w:t>“</w:t>
      </w:r>
      <w:r w:rsidR="00F456C8" w:rsidRPr="001A7494">
        <w:rPr>
          <w:sz w:val="24"/>
          <w:szCs w:val="24"/>
          <w:lang w:val="en-US"/>
        </w:rPr>
        <w:t>C1</w:t>
      </w:r>
      <w:r w:rsidRPr="001A7494">
        <w:rPr>
          <w:sz w:val="24"/>
          <w:szCs w:val="24"/>
          <w:lang w:val="en-US"/>
        </w:rPr>
        <w:t>”.</w:t>
      </w:r>
    </w:p>
    <w:p w:rsidR="00F456C8" w:rsidRPr="00F456C8" w:rsidRDefault="00F456C8" w:rsidP="00F456C8">
      <w:pPr>
        <w:pStyle w:val="ListParagraph"/>
        <w:ind w:left="1418"/>
        <w:jc w:val="both"/>
        <w:rPr>
          <w:color w:val="242121"/>
          <w:sz w:val="26"/>
          <w:szCs w:val="26"/>
          <w:lang w:val="en-US"/>
        </w:rPr>
      </w:pPr>
    </w:p>
    <w:p w:rsidR="00F456C8" w:rsidRPr="00844B17" w:rsidRDefault="00F456C8" w:rsidP="00F456C8">
      <w:pPr>
        <w:pStyle w:val="ListParagraph"/>
        <w:numPr>
          <w:ilvl w:val="0"/>
          <w:numId w:val="8"/>
        </w:numPr>
        <w:ind w:left="1418" w:hanging="567"/>
        <w:jc w:val="both"/>
        <w:rPr>
          <w:color w:val="242121"/>
          <w:sz w:val="26"/>
          <w:szCs w:val="26"/>
          <w:lang w:val="en-US"/>
        </w:rPr>
      </w:pPr>
      <w:r w:rsidRPr="00844B17">
        <w:rPr>
          <w:color w:val="242121"/>
          <w:sz w:val="26"/>
          <w:szCs w:val="26"/>
        </w:rPr>
        <w:t xml:space="preserve">The following matter in the </w:t>
      </w:r>
      <w:r>
        <w:rPr>
          <w:color w:val="242121"/>
          <w:sz w:val="26"/>
          <w:szCs w:val="26"/>
        </w:rPr>
        <w:t>founding</w:t>
      </w:r>
      <w:r w:rsidRPr="00844B17">
        <w:rPr>
          <w:color w:val="242121"/>
          <w:sz w:val="26"/>
          <w:szCs w:val="26"/>
        </w:rPr>
        <w:t xml:space="preserve"> affidavit </w:t>
      </w:r>
      <w:r w:rsidR="005F5E4F">
        <w:rPr>
          <w:color w:val="242121"/>
          <w:sz w:val="26"/>
          <w:szCs w:val="26"/>
        </w:rPr>
        <w:t xml:space="preserve">supporting the application for leave to </w:t>
      </w:r>
      <w:r>
        <w:rPr>
          <w:color w:val="242121"/>
          <w:sz w:val="26"/>
          <w:szCs w:val="26"/>
        </w:rPr>
        <w:t xml:space="preserve">intervening </w:t>
      </w:r>
      <w:r w:rsidRPr="00844B17">
        <w:rPr>
          <w:color w:val="242121"/>
          <w:sz w:val="26"/>
          <w:szCs w:val="26"/>
        </w:rPr>
        <w:t xml:space="preserve">deposed </w:t>
      </w:r>
      <w:r w:rsidR="00193A8F">
        <w:rPr>
          <w:color w:val="242121"/>
          <w:sz w:val="26"/>
          <w:szCs w:val="26"/>
        </w:rPr>
        <w:t xml:space="preserve">to </w:t>
      </w:r>
      <w:r w:rsidRPr="00844B17">
        <w:rPr>
          <w:color w:val="242121"/>
          <w:sz w:val="26"/>
          <w:szCs w:val="26"/>
        </w:rPr>
        <w:t xml:space="preserve">by Gary van der Merwe on </w:t>
      </w:r>
      <w:r>
        <w:rPr>
          <w:color w:val="242121"/>
          <w:sz w:val="26"/>
          <w:szCs w:val="26"/>
        </w:rPr>
        <w:t>29 July 2022</w:t>
      </w:r>
      <w:r w:rsidRPr="00844B17">
        <w:rPr>
          <w:color w:val="242121"/>
          <w:sz w:val="26"/>
          <w:szCs w:val="26"/>
        </w:rPr>
        <w:t xml:space="preserve"> is struck out:</w:t>
      </w:r>
    </w:p>
    <w:p w:rsidR="00F456C8" w:rsidRDefault="00F456C8" w:rsidP="00F456C8">
      <w:pPr>
        <w:pStyle w:val="ListParagraph"/>
        <w:jc w:val="both"/>
        <w:rPr>
          <w:sz w:val="26"/>
          <w:szCs w:val="26"/>
          <w:highlight w:val="yellow"/>
          <w:lang w:val="en-US"/>
        </w:rPr>
      </w:pPr>
    </w:p>
    <w:p w:rsidR="00F456C8" w:rsidRPr="001A7494" w:rsidRDefault="00F456C8" w:rsidP="005F5E4F">
      <w:pPr>
        <w:pStyle w:val="ListParagraph"/>
        <w:numPr>
          <w:ilvl w:val="1"/>
          <w:numId w:val="8"/>
        </w:numPr>
        <w:jc w:val="both"/>
        <w:rPr>
          <w:sz w:val="24"/>
          <w:szCs w:val="24"/>
          <w:lang w:val="en-US"/>
        </w:rPr>
      </w:pPr>
      <w:r w:rsidRPr="001A7494">
        <w:rPr>
          <w:i/>
          <w:iCs/>
          <w:sz w:val="24"/>
          <w:szCs w:val="24"/>
          <w:lang w:val="en-US"/>
        </w:rPr>
        <w:t>“Ms Southwood misled the court”</w:t>
      </w:r>
      <w:r w:rsidRPr="001A7494">
        <w:rPr>
          <w:sz w:val="24"/>
          <w:szCs w:val="24"/>
          <w:lang w:val="en-US"/>
        </w:rPr>
        <w:t xml:space="preserve"> in line 2 of paragraph 20</w:t>
      </w:r>
      <w:r w:rsidR="007A6441" w:rsidRPr="001A7494">
        <w:rPr>
          <w:sz w:val="24"/>
          <w:szCs w:val="24"/>
          <w:lang w:val="en-US"/>
        </w:rPr>
        <w:t>;</w:t>
      </w:r>
    </w:p>
    <w:p w:rsidR="007A6441" w:rsidRPr="001A7494" w:rsidRDefault="007A6441" w:rsidP="007A6441">
      <w:pPr>
        <w:pStyle w:val="ListParagraph"/>
        <w:ind w:left="1931"/>
        <w:jc w:val="both"/>
        <w:rPr>
          <w:sz w:val="24"/>
          <w:szCs w:val="24"/>
          <w:lang w:val="en-US"/>
        </w:rPr>
      </w:pPr>
    </w:p>
    <w:p w:rsidR="007A6441" w:rsidRPr="001A7494" w:rsidRDefault="007A6441" w:rsidP="007A6441">
      <w:pPr>
        <w:pStyle w:val="ListParagraph"/>
        <w:numPr>
          <w:ilvl w:val="1"/>
          <w:numId w:val="8"/>
        </w:numPr>
        <w:jc w:val="both"/>
        <w:rPr>
          <w:sz w:val="24"/>
          <w:szCs w:val="24"/>
          <w:lang w:val="en-US"/>
        </w:rPr>
      </w:pPr>
      <w:r w:rsidRPr="001A7494">
        <w:rPr>
          <w:sz w:val="24"/>
          <w:szCs w:val="24"/>
          <w:lang w:val="en-US"/>
        </w:rPr>
        <w:t>P</w:t>
      </w:r>
      <w:r w:rsidR="005F5E4F" w:rsidRPr="001A7494">
        <w:rPr>
          <w:sz w:val="24"/>
          <w:szCs w:val="24"/>
          <w:lang w:val="en-US"/>
        </w:rPr>
        <w:t>aragraph 21</w:t>
      </w:r>
      <w:r w:rsidR="00193A8F">
        <w:rPr>
          <w:sz w:val="24"/>
          <w:szCs w:val="24"/>
          <w:lang w:val="en-US"/>
        </w:rPr>
        <w:t>,</w:t>
      </w:r>
      <w:r w:rsidR="005F5E4F" w:rsidRPr="001A7494">
        <w:rPr>
          <w:sz w:val="24"/>
          <w:szCs w:val="24"/>
          <w:lang w:val="en-US"/>
        </w:rPr>
        <w:t xml:space="preserve"> in its entirety;</w:t>
      </w:r>
    </w:p>
    <w:p w:rsidR="007A6441" w:rsidRPr="001A7494" w:rsidRDefault="007A6441" w:rsidP="007A6441">
      <w:pPr>
        <w:pStyle w:val="ListParagraph"/>
        <w:ind w:left="1931"/>
        <w:jc w:val="both"/>
        <w:rPr>
          <w:color w:val="242121"/>
          <w:sz w:val="24"/>
          <w:szCs w:val="24"/>
          <w:lang w:val="en-US"/>
        </w:rPr>
      </w:pPr>
    </w:p>
    <w:p w:rsidR="00F456C8" w:rsidRPr="001A7494" w:rsidRDefault="007A6441" w:rsidP="005F5E4F">
      <w:pPr>
        <w:pStyle w:val="ListParagraph"/>
        <w:numPr>
          <w:ilvl w:val="1"/>
          <w:numId w:val="8"/>
        </w:numPr>
        <w:jc w:val="both"/>
        <w:rPr>
          <w:color w:val="242121"/>
          <w:sz w:val="24"/>
          <w:szCs w:val="24"/>
          <w:lang w:val="en-US"/>
        </w:rPr>
      </w:pPr>
      <w:r w:rsidRPr="001A7494">
        <w:rPr>
          <w:i/>
          <w:iCs/>
          <w:sz w:val="24"/>
          <w:szCs w:val="24"/>
          <w:lang w:val="en-US"/>
        </w:rPr>
        <w:t>“…with misrepresentations and”</w:t>
      </w:r>
      <w:r w:rsidRPr="001A7494">
        <w:rPr>
          <w:sz w:val="24"/>
          <w:szCs w:val="24"/>
          <w:lang w:val="en-US"/>
        </w:rPr>
        <w:t xml:space="preserve"> in </w:t>
      </w:r>
      <w:r w:rsidR="00F456C8" w:rsidRPr="001A7494">
        <w:rPr>
          <w:sz w:val="24"/>
          <w:szCs w:val="24"/>
          <w:lang w:val="en-US"/>
        </w:rPr>
        <w:t>line 8</w:t>
      </w:r>
      <w:r w:rsidRPr="001A7494">
        <w:rPr>
          <w:sz w:val="24"/>
          <w:szCs w:val="24"/>
          <w:lang w:val="en-US"/>
        </w:rPr>
        <w:t xml:space="preserve"> of paragraph 23</w:t>
      </w:r>
      <w:r w:rsidR="005F5E4F" w:rsidRPr="001A7494">
        <w:rPr>
          <w:sz w:val="24"/>
          <w:szCs w:val="24"/>
          <w:lang w:val="en-US"/>
        </w:rPr>
        <w:t>.</w:t>
      </w:r>
    </w:p>
    <w:p w:rsidR="0003629B" w:rsidRPr="001A7494" w:rsidRDefault="0003629B" w:rsidP="0003629B">
      <w:pPr>
        <w:pStyle w:val="ListParagraph"/>
        <w:rPr>
          <w:color w:val="242121"/>
          <w:sz w:val="24"/>
          <w:szCs w:val="24"/>
        </w:rPr>
      </w:pPr>
    </w:p>
    <w:p w:rsidR="00B77231" w:rsidRPr="00762377" w:rsidRDefault="00B77231" w:rsidP="00762377">
      <w:pPr>
        <w:jc w:val="both"/>
        <w:rPr>
          <w:color w:val="242121"/>
          <w:sz w:val="26"/>
          <w:szCs w:val="26"/>
        </w:rPr>
      </w:pPr>
    </w:p>
    <w:p w:rsidR="00EE1DE0" w:rsidRDefault="00EE1DE0" w:rsidP="00F456C8">
      <w:pPr>
        <w:pStyle w:val="ListParagraph"/>
        <w:ind w:left="1418"/>
        <w:jc w:val="both"/>
        <w:rPr>
          <w:color w:val="242121"/>
          <w:sz w:val="26"/>
          <w:szCs w:val="26"/>
          <w:lang w:val="en-US"/>
        </w:rPr>
      </w:pPr>
    </w:p>
    <w:p w:rsidR="00D95B1F" w:rsidRDefault="00D95B1F" w:rsidP="007E1883">
      <w:pPr>
        <w:pStyle w:val="ListParagraph"/>
        <w:spacing w:after="0" w:line="360" w:lineRule="auto"/>
        <w:ind w:left="0"/>
        <w:jc w:val="both"/>
        <w:rPr>
          <w:b/>
          <w:bCs/>
          <w:sz w:val="26"/>
          <w:szCs w:val="26"/>
        </w:rPr>
      </w:pPr>
    </w:p>
    <w:p w:rsidR="008765B6" w:rsidRPr="000D5D1E" w:rsidRDefault="008765B6" w:rsidP="007E1883">
      <w:pPr>
        <w:pStyle w:val="ListParagraph"/>
        <w:spacing w:after="0" w:line="360" w:lineRule="auto"/>
        <w:ind w:left="0"/>
        <w:jc w:val="both"/>
        <w:rPr>
          <w:b/>
          <w:bCs/>
          <w:sz w:val="26"/>
          <w:szCs w:val="26"/>
        </w:rPr>
      </w:pPr>
    </w:p>
    <w:p w:rsidR="007E586A" w:rsidRPr="007E586A" w:rsidRDefault="007E586A" w:rsidP="006272F0">
      <w:pPr>
        <w:spacing w:line="360" w:lineRule="auto"/>
        <w:contextualSpacing/>
        <w:jc w:val="right"/>
        <w:rPr>
          <w:sz w:val="26"/>
          <w:szCs w:val="26"/>
        </w:rPr>
      </w:pPr>
      <w:r>
        <w:rPr>
          <w:sz w:val="26"/>
          <w:szCs w:val="26"/>
        </w:rPr>
        <w:t>________________________</w:t>
      </w:r>
    </w:p>
    <w:p w:rsidR="006272F0" w:rsidRPr="003C64F2" w:rsidRDefault="002B7980" w:rsidP="006272F0">
      <w:pPr>
        <w:spacing w:line="360" w:lineRule="auto"/>
        <w:contextualSpacing/>
        <w:jc w:val="right"/>
        <w:rPr>
          <w:b/>
          <w:sz w:val="26"/>
          <w:szCs w:val="26"/>
        </w:rPr>
      </w:pPr>
      <w:r>
        <w:rPr>
          <w:b/>
          <w:sz w:val="26"/>
          <w:szCs w:val="26"/>
        </w:rPr>
        <w:t>N</w:t>
      </w:r>
      <w:r w:rsidR="006272F0" w:rsidRPr="003C64F2">
        <w:rPr>
          <w:b/>
          <w:sz w:val="26"/>
          <w:szCs w:val="26"/>
        </w:rPr>
        <w:t xml:space="preserve"> MANGCU-LOCKWOOD</w:t>
      </w:r>
    </w:p>
    <w:p w:rsidR="006272F0" w:rsidRDefault="006272F0" w:rsidP="006272F0">
      <w:pPr>
        <w:spacing w:line="360" w:lineRule="auto"/>
        <w:contextualSpacing/>
      </w:pPr>
      <w:r w:rsidRPr="003C64F2">
        <w:rPr>
          <w:b/>
          <w:sz w:val="26"/>
          <w:szCs w:val="26"/>
        </w:rPr>
        <w:tab/>
      </w:r>
      <w:r w:rsidRPr="003C64F2">
        <w:rPr>
          <w:b/>
          <w:sz w:val="26"/>
          <w:szCs w:val="26"/>
        </w:rPr>
        <w:tab/>
      </w:r>
      <w:r w:rsidRPr="003C64F2">
        <w:rPr>
          <w:b/>
          <w:sz w:val="26"/>
          <w:szCs w:val="26"/>
        </w:rPr>
        <w:tab/>
      </w:r>
      <w:r w:rsidRPr="003C64F2">
        <w:rPr>
          <w:b/>
          <w:sz w:val="26"/>
          <w:szCs w:val="26"/>
        </w:rPr>
        <w:tab/>
      </w:r>
      <w:r w:rsidRPr="003C64F2">
        <w:rPr>
          <w:b/>
          <w:sz w:val="26"/>
          <w:szCs w:val="26"/>
        </w:rPr>
        <w:tab/>
      </w:r>
      <w:r w:rsidRPr="003C64F2">
        <w:rPr>
          <w:b/>
          <w:sz w:val="26"/>
          <w:szCs w:val="26"/>
        </w:rPr>
        <w:tab/>
      </w:r>
      <w:r w:rsidRPr="003C64F2">
        <w:rPr>
          <w:b/>
          <w:sz w:val="26"/>
          <w:szCs w:val="26"/>
        </w:rPr>
        <w:tab/>
      </w:r>
      <w:r w:rsidRPr="003C64F2">
        <w:rPr>
          <w:b/>
          <w:sz w:val="26"/>
          <w:szCs w:val="26"/>
        </w:rPr>
        <w:tab/>
      </w:r>
      <w:r>
        <w:rPr>
          <w:b/>
          <w:sz w:val="26"/>
          <w:szCs w:val="26"/>
        </w:rPr>
        <w:t xml:space="preserve"> </w:t>
      </w:r>
      <w:r w:rsidRPr="003C64F2">
        <w:rPr>
          <w:b/>
          <w:sz w:val="26"/>
          <w:szCs w:val="26"/>
        </w:rPr>
        <w:t xml:space="preserve">Judge of the </w:t>
      </w:r>
      <w:r w:rsidRPr="00B82A5B">
        <w:rPr>
          <w:b/>
          <w:szCs w:val="26"/>
        </w:rPr>
        <w:t>High</w:t>
      </w:r>
      <w:r w:rsidRPr="003C64F2">
        <w:rPr>
          <w:b/>
          <w:sz w:val="26"/>
          <w:szCs w:val="26"/>
        </w:rPr>
        <w:t xml:space="preserve"> Court</w:t>
      </w:r>
    </w:p>
    <w:p w:rsidR="002428AB" w:rsidRDefault="002428AB" w:rsidP="007E1883">
      <w:pPr>
        <w:pStyle w:val="ListParagraph"/>
        <w:spacing w:after="0" w:line="360" w:lineRule="auto"/>
        <w:ind w:left="0"/>
        <w:jc w:val="both"/>
        <w:rPr>
          <w:sz w:val="26"/>
          <w:szCs w:val="26"/>
        </w:rPr>
      </w:pPr>
    </w:p>
    <w:p w:rsidR="002B7980" w:rsidRDefault="002B7980" w:rsidP="002B7980"/>
    <w:p w:rsidR="002B7980" w:rsidRPr="007440D7" w:rsidRDefault="002B7980" w:rsidP="002B7980"/>
    <w:p w:rsidR="002B7980" w:rsidRPr="00682B1C" w:rsidRDefault="002B7980" w:rsidP="002B7980">
      <w:pPr>
        <w:spacing w:line="360" w:lineRule="auto"/>
        <w:ind w:left="720" w:firstLine="720"/>
        <w:contextualSpacing/>
        <w:jc w:val="right"/>
      </w:pPr>
      <w:r>
        <w:t>__</w:t>
      </w:r>
      <w:r w:rsidRPr="00682B1C">
        <w:t>________________________</w:t>
      </w:r>
    </w:p>
    <w:p w:rsidR="002B7980" w:rsidRPr="007440D7" w:rsidRDefault="002B7980" w:rsidP="002B7980">
      <w:pPr>
        <w:spacing w:line="360" w:lineRule="auto"/>
        <w:ind w:left="720" w:firstLine="720"/>
        <w:contextualSpacing/>
        <w:jc w:val="right"/>
        <w:rPr>
          <w:b/>
        </w:rPr>
      </w:pPr>
      <w:r w:rsidRPr="007440D7">
        <w:rPr>
          <w:b/>
        </w:rPr>
        <w:tab/>
      </w:r>
      <w:r w:rsidRPr="007440D7">
        <w:rPr>
          <w:b/>
        </w:rPr>
        <w:tab/>
        <w:t xml:space="preserve">   </w:t>
      </w:r>
      <w:r w:rsidRPr="007440D7">
        <w:rPr>
          <w:b/>
        </w:rPr>
        <w:tab/>
      </w:r>
      <w:r w:rsidRPr="007440D7">
        <w:rPr>
          <w:b/>
        </w:rPr>
        <w:tab/>
      </w:r>
      <w:r w:rsidRPr="007440D7">
        <w:rPr>
          <w:b/>
        </w:rPr>
        <w:tab/>
      </w:r>
      <w:r w:rsidRPr="007440D7">
        <w:rPr>
          <w:b/>
        </w:rPr>
        <w:tab/>
      </w:r>
      <w:r>
        <w:rPr>
          <w:b/>
        </w:rPr>
        <w:t xml:space="preserve">     A G BINNS-WARD</w:t>
      </w:r>
    </w:p>
    <w:p w:rsidR="002B7980" w:rsidRPr="007440D7" w:rsidRDefault="002B7980" w:rsidP="002B7980">
      <w:pPr>
        <w:spacing w:line="360" w:lineRule="auto"/>
        <w:ind w:left="5245"/>
        <w:contextualSpacing/>
        <w:jc w:val="right"/>
      </w:pPr>
      <w:r w:rsidRPr="007440D7">
        <w:rPr>
          <w:b/>
        </w:rPr>
        <w:t xml:space="preserve">  Judge</w:t>
      </w:r>
      <w:r>
        <w:rPr>
          <w:b/>
        </w:rPr>
        <w:t xml:space="preserve"> </w:t>
      </w:r>
      <w:r w:rsidRPr="007440D7">
        <w:rPr>
          <w:b/>
        </w:rPr>
        <w:t>of the High Court</w:t>
      </w:r>
    </w:p>
    <w:p w:rsidR="002B7980" w:rsidRDefault="002B7980" w:rsidP="002B7980">
      <w:pPr>
        <w:pStyle w:val="ListParagraph"/>
        <w:spacing w:after="0"/>
        <w:ind w:left="709"/>
        <w:jc w:val="both"/>
        <w:rPr>
          <w:sz w:val="24"/>
          <w:szCs w:val="24"/>
        </w:rPr>
      </w:pPr>
    </w:p>
    <w:p w:rsidR="005F5E4F" w:rsidRPr="007440D7" w:rsidRDefault="005F5E4F" w:rsidP="002B7980">
      <w:pPr>
        <w:pStyle w:val="ListParagraph"/>
        <w:spacing w:after="0"/>
        <w:ind w:left="709"/>
        <w:jc w:val="both"/>
        <w:rPr>
          <w:sz w:val="24"/>
          <w:szCs w:val="24"/>
        </w:rPr>
      </w:pPr>
    </w:p>
    <w:p w:rsidR="002B7980" w:rsidRDefault="002B7980" w:rsidP="002B7980"/>
    <w:p w:rsidR="002B7980" w:rsidRPr="007440D7" w:rsidRDefault="002B7980" w:rsidP="002B7980"/>
    <w:p w:rsidR="002B7980" w:rsidRPr="00682B1C" w:rsidRDefault="002B7980" w:rsidP="002B7980">
      <w:pPr>
        <w:pStyle w:val="western"/>
        <w:shd w:val="clear" w:color="auto" w:fill="FFFFFF"/>
        <w:spacing w:before="0" w:beforeAutospacing="0" w:after="0" w:afterAutospacing="0" w:line="360" w:lineRule="auto"/>
        <w:ind w:left="987" w:right="-46" w:hanging="578"/>
        <w:jc w:val="right"/>
        <w:rPr>
          <w:b/>
          <w:u w:val="single"/>
        </w:rPr>
      </w:pPr>
      <w:r w:rsidRPr="00682B1C">
        <w:rPr>
          <w:b/>
        </w:rPr>
        <w:t>_______________________</w:t>
      </w:r>
    </w:p>
    <w:p w:rsidR="002B7980" w:rsidRPr="007440D7" w:rsidRDefault="002B7980" w:rsidP="002B7980">
      <w:pPr>
        <w:spacing w:line="360" w:lineRule="auto"/>
        <w:ind w:left="720" w:firstLine="720"/>
        <w:contextualSpacing/>
        <w:jc w:val="right"/>
        <w:rPr>
          <w:b/>
        </w:rPr>
      </w:pPr>
      <w:r>
        <w:rPr>
          <w:b/>
        </w:rPr>
        <w:t>M L SHER</w:t>
      </w:r>
    </w:p>
    <w:p w:rsidR="002B7980" w:rsidRDefault="002B7980" w:rsidP="002B7980">
      <w:pPr>
        <w:spacing w:line="360" w:lineRule="auto"/>
        <w:ind w:left="5760"/>
        <w:contextualSpacing/>
        <w:jc w:val="right"/>
        <w:rPr>
          <w:b/>
        </w:rPr>
      </w:pPr>
      <w:r w:rsidRPr="007440D7">
        <w:rPr>
          <w:b/>
        </w:rPr>
        <w:t xml:space="preserve">    Judge of the High Court</w:t>
      </w:r>
    </w:p>
    <w:p w:rsidR="002B7980" w:rsidRDefault="002B7980" w:rsidP="007E1883">
      <w:pPr>
        <w:pStyle w:val="ListParagraph"/>
        <w:spacing w:after="0" w:line="360" w:lineRule="auto"/>
        <w:ind w:left="0"/>
        <w:jc w:val="both"/>
        <w:rPr>
          <w:sz w:val="26"/>
          <w:szCs w:val="26"/>
        </w:rPr>
      </w:pPr>
    </w:p>
    <w:p w:rsidR="00430F33" w:rsidRDefault="00430F33" w:rsidP="007E1883">
      <w:pPr>
        <w:pStyle w:val="ListParagraph"/>
        <w:spacing w:after="0" w:line="360" w:lineRule="auto"/>
        <w:ind w:left="0"/>
        <w:jc w:val="both"/>
        <w:rPr>
          <w:b/>
          <w:sz w:val="26"/>
          <w:szCs w:val="26"/>
        </w:rPr>
      </w:pPr>
      <w:r>
        <w:rPr>
          <w:b/>
          <w:sz w:val="26"/>
          <w:szCs w:val="26"/>
        </w:rPr>
        <w:t>APPEARANCES</w:t>
      </w:r>
    </w:p>
    <w:p w:rsidR="00430F33" w:rsidRDefault="00430F33" w:rsidP="007E1883">
      <w:pPr>
        <w:pStyle w:val="ListParagraph"/>
        <w:spacing w:after="0" w:line="360" w:lineRule="auto"/>
        <w:ind w:left="0"/>
        <w:jc w:val="both"/>
        <w:rPr>
          <w:b/>
          <w:sz w:val="26"/>
          <w:szCs w:val="26"/>
        </w:rPr>
      </w:pPr>
    </w:p>
    <w:p w:rsidR="007C201E" w:rsidRDefault="007C201E" w:rsidP="007E1883">
      <w:pPr>
        <w:pStyle w:val="ListParagraph"/>
        <w:spacing w:after="0" w:line="360" w:lineRule="auto"/>
        <w:ind w:left="0"/>
        <w:jc w:val="both"/>
        <w:rPr>
          <w:b/>
          <w:sz w:val="26"/>
          <w:szCs w:val="26"/>
        </w:rPr>
      </w:pPr>
      <w:r>
        <w:rPr>
          <w:b/>
          <w:sz w:val="26"/>
          <w:szCs w:val="26"/>
        </w:rPr>
        <w:t>For the applicant</w:t>
      </w:r>
      <w:r>
        <w:rPr>
          <w:b/>
          <w:sz w:val="26"/>
          <w:szCs w:val="26"/>
        </w:rPr>
        <w:tab/>
        <w:t>:</w:t>
      </w:r>
      <w:r>
        <w:rPr>
          <w:b/>
          <w:sz w:val="26"/>
          <w:szCs w:val="26"/>
        </w:rPr>
        <w:tab/>
        <w:t>Adv F Southwood SC</w:t>
      </w:r>
    </w:p>
    <w:p w:rsidR="007C201E" w:rsidRDefault="007C201E" w:rsidP="007C201E">
      <w:pPr>
        <w:pStyle w:val="ListParagraph"/>
        <w:spacing w:after="0"/>
        <w:ind w:left="0"/>
        <w:jc w:val="both"/>
        <w:rPr>
          <w:b/>
          <w:sz w:val="26"/>
          <w:szCs w:val="26"/>
        </w:rPr>
      </w:pPr>
      <w:r>
        <w:rPr>
          <w:b/>
          <w:sz w:val="26"/>
          <w:szCs w:val="26"/>
        </w:rPr>
        <w:t>Instructed by</w:t>
      </w:r>
      <w:r>
        <w:rPr>
          <w:b/>
          <w:sz w:val="26"/>
          <w:szCs w:val="26"/>
        </w:rPr>
        <w:tab/>
        <w:t>:</w:t>
      </w:r>
      <w:r>
        <w:rPr>
          <w:b/>
          <w:sz w:val="26"/>
          <w:szCs w:val="26"/>
        </w:rPr>
        <w:tab/>
        <w:t>Ms C Hunter-Linde</w:t>
      </w:r>
    </w:p>
    <w:p w:rsidR="007C201E" w:rsidRDefault="007C201E" w:rsidP="007C201E">
      <w:pPr>
        <w:pStyle w:val="ListParagraph"/>
        <w:spacing w:after="0"/>
        <w:ind w:left="0"/>
        <w:jc w:val="both"/>
        <w:rPr>
          <w:b/>
          <w:sz w:val="26"/>
          <w:szCs w:val="26"/>
        </w:rPr>
      </w:pPr>
      <w:r>
        <w:rPr>
          <w:b/>
          <w:sz w:val="26"/>
          <w:szCs w:val="26"/>
        </w:rPr>
        <w:tab/>
      </w:r>
      <w:r>
        <w:rPr>
          <w:b/>
          <w:sz w:val="26"/>
          <w:szCs w:val="26"/>
        </w:rPr>
        <w:tab/>
      </w:r>
      <w:r>
        <w:rPr>
          <w:b/>
          <w:sz w:val="26"/>
          <w:szCs w:val="26"/>
        </w:rPr>
        <w:tab/>
      </w:r>
      <w:r>
        <w:rPr>
          <w:b/>
          <w:sz w:val="26"/>
          <w:szCs w:val="26"/>
        </w:rPr>
        <w:tab/>
        <w:t xml:space="preserve">DM5 </w:t>
      </w:r>
      <w:r w:rsidR="001D66FA">
        <w:rPr>
          <w:b/>
          <w:sz w:val="26"/>
          <w:szCs w:val="26"/>
        </w:rPr>
        <w:t>Incorporated</w:t>
      </w:r>
      <w:r>
        <w:rPr>
          <w:b/>
          <w:sz w:val="26"/>
          <w:szCs w:val="26"/>
        </w:rPr>
        <w:t xml:space="preserve"> Attorneys</w:t>
      </w:r>
    </w:p>
    <w:p w:rsidR="007C201E" w:rsidRDefault="007C201E" w:rsidP="007E1883">
      <w:pPr>
        <w:pStyle w:val="ListParagraph"/>
        <w:spacing w:after="0" w:line="360" w:lineRule="auto"/>
        <w:ind w:left="0"/>
        <w:jc w:val="both"/>
        <w:rPr>
          <w:b/>
          <w:sz w:val="26"/>
          <w:szCs w:val="26"/>
        </w:rPr>
      </w:pPr>
    </w:p>
    <w:p w:rsidR="007C201E" w:rsidRDefault="007C201E" w:rsidP="007E1883">
      <w:pPr>
        <w:pStyle w:val="ListParagraph"/>
        <w:spacing w:after="0" w:line="360" w:lineRule="auto"/>
        <w:ind w:left="0"/>
        <w:jc w:val="both"/>
        <w:rPr>
          <w:b/>
          <w:sz w:val="26"/>
          <w:szCs w:val="26"/>
        </w:rPr>
      </w:pPr>
      <w:r>
        <w:rPr>
          <w:b/>
          <w:sz w:val="26"/>
          <w:szCs w:val="26"/>
        </w:rPr>
        <w:t>For the respondent:</w:t>
      </w:r>
      <w:r>
        <w:rPr>
          <w:b/>
          <w:sz w:val="26"/>
          <w:szCs w:val="26"/>
        </w:rPr>
        <w:tab/>
        <w:t>In person</w:t>
      </w:r>
    </w:p>
    <w:p w:rsidR="007C201E" w:rsidRDefault="007C201E" w:rsidP="007E1883">
      <w:pPr>
        <w:pStyle w:val="ListParagraph"/>
        <w:spacing w:after="0" w:line="360" w:lineRule="auto"/>
        <w:ind w:left="0"/>
        <w:jc w:val="both"/>
        <w:rPr>
          <w:b/>
          <w:sz w:val="26"/>
          <w:szCs w:val="26"/>
        </w:rPr>
      </w:pPr>
      <w:r>
        <w:rPr>
          <w:b/>
          <w:sz w:val="26"/>
          <w:szCs w:val="26"/>
        </w:rPr>
        <w:t>Instructed by</w:t>
      </w:r>
      <w:r>
        <w:rPr>
          <w:b/>
          <w:sz w:val="26"/>
          <w:szCs w:val="26"/>
        </w:rPr>
        <w:tab/>
        <w:t>:</w:t>
      </w:r>
      <w:r>
        <w:rPr>
          <w:b/>
          <w:sz w:val="26"/>
          <w:szCs w:val="26"/>
        </w:rPr>
        <w:tab/>
        <w:t>Mr G van der Merwe</w:t>
      </w:r>
    </w:p>
    <w:p w:rsidR="007C201E" w:rsidRDefault="007C201E" w:rsidP="007E1883">
      <w:pPr>
        <w:pStyle w:val="ListParagraph"/>
        <w:spacing w:after="0" w:line="360" w:lineRule="auto"/>
        <w:ind w:left="0"/>
        <w:jc w:val="both"/>
        <w:rPr>
          <w:b/>
          <w:sz w:val="26"/>
          <w:szCs w:val="26"/>
        </w:rPr>
      </w:pPr>
    </w:p>
    <w:p w:rsidR="007C201E" w:rsidRDefault="007C201E" w:rsidP="007E1883">
      <w:pPr>
        <w:pStyle w:val="ListParagraph"/>
        <w:spacing w:after="0" w:line="360" w:lineRule="auto"/>
        <w:ind w:left="0"/>
        <w:jc w:val="both"/>
        <w:rPr>
          <w:b/>
          <w:sz w:val="26"/>
          <w:szCs w:val="26"/>
        </w:rPr>
      </w:pPr>
    </w:p>
    <w:p w:rsidR="007C201E" w:rsidRDefault="007C201E" w:rsidP="007E1883">
      <w:pPr>
        <w:pStyle w:val="ListParagraph"/>
        <w:spacing w:after="0" w:line="360" w:lineRule="auto"/>
        <w:ind w:left="0"/>
        <w:jc w:val="both"/>
        <w:rPr>
          <w:b/>
          <w:sz w:val="26"/>
          <w:szCs w:val="26"/>
        </w:rPr>
      </w:pPr>
    </w:p>
    <w:sectPr w:rsidR="007C201E" w:rsidSect="00450A4C">
      <w:headerReference w:type="even" r:id="rId9"/>
      <w:headerReference w:type="default" r:id="rId10"/>
      <w:pgSz w:w="11906" w:h="16838"/>
      <w:pgMar w:top="1440" w:right="1440" w:bottom="1440" w:left="1440"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4B5C237" w16cid:durableId="26FA4548"/>
  <w16cid:commentId w16cid:paraId="7BE8B508" w16cid:durableId="26FA454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0E6D" w:rsidRDefault="00810E6D" w:rsidP="00450A4C">
      <w:r>
        <w:separator/>
      </w:r>
    </w:p>
  </w:endnote>
  <w:endnote w:type="continuationSeparator" w:id="0">
    <w:p w:rsidR="00810E6D" w:rsidRDefault="00810E6D" w:rsidP="00450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f4">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0E6D" w:rsidRDefault="00810E6D" w:rsidP="00450A4C">
      <w:r>
        <w:separator/>
      </w:r>
    </w:p>
  </w:footnote>
  <w:footnote w:type="continuationSeparator" w:id="0">
    <w:p w:rsidR="00810E6D" w:rsidRDefault="00810E6D" w:rsidP="00450A4C">
      <w:r>
        <w:continuationSeparator/>
      </w:r>
    </w:p>
  </w:footnote>
  <w:footnote w:id="1">
    <w:p w:rsidR="007E586A" w:rsidRPr="00CF54E2" w:rsidRDefault="007E586A">
      <w:pPr>
        <w:pStyle w:val="FootnoteText"/>
        <w:rPr>
          <w:lang w:val="en-US"/>
        </w:rPr>
      </w:pPr>
      <w:r>
        <w:rPr>
          <w:rStyle w:val="FootnoteReference"/>
        </w:rPr>
        <w:footnoteRef/>
      </w:r>
      <w:r>
        <w:t xml:space="preserve">  </w:t>
      </w:r>
      <w:r w:rsidRPr="00CF54E2">
        <w:rPr>
          <w:i/>
          <w:iCs/>
          <w:lang w:val="en-US"/>
        </w:rPr>
        <w:t>NDPP v Zuma</w:t>
      </w:r>
      <w:r>
        <w:rPr>
          <w:lang w:val="en-US"/>
        </w:rPr>
        <w:t xml:space="preserve"> 2009 (2) SA 277 (SCA) para 85.</w:t>
      </w:r>
    </w:p>
  </w:footnote>
  <w:footnote w:id="2">
    <w:p w:rsidR="007E586A" w:rsidRPr="00F873E5" w:rsidRDefault="007E586A">
      <w:pPr>
        <w:pStyle w:val="FootnoteText"/>
        <w:rPr>
          <w:lang w:val="en-US"/>
        </w:rPr>
      </w:pPr>
      <w:r>
        <w:rPr>
          <w:rStyle w:val="FootnoteReference"/>
        </w:rPr>
        <w:footnoteRef/>
      </w:r>
      <w:r>
        <w:t xml:space="preserve"> </w:t>
      </w:r>
      <w:r>
        <w:rPr>
          <w:i/>
          <w:iCs/>
          <w:lang w:val="en-US"/>
        </w:rPr>
        <w:t xml:space="preserve"> Id.. </w:t>
      </w:r>
      <w:r>
        <w:rPr>
          <w:lang w:val="en-US"/>
        </w:rPr>
        <w:t xml:space="preserve">See also </w:t>
      </w:r>
      <w:r w:rsidRPr="00F873E5">
        <w:rPr>
          <w:i/>
          <w:iCs/>
          <w:lang w:val="en-US"/>
        </w:rPr>
        <w:t>United Watch &amp; Diamond Co (Pty) Ltd v Disa Hotels Ltd</w:t>
      </w:r>
      <w:r>
        <w:rPr>
          <w:lang w:val="en-US"/>
        </w:rPr>
        <w:t xml:space="preserve"> 1972 (4) SA 409 (C) 415H – 417.</w:t>
      </w:r>
    </w:p>
  </w:footnote>
  <w:footnote w:id="3">
    <w:p w:rsidR="007E586A" w:rsidRPr="001B0F96" w:rsidRDefault="007E586A">
      <w:pPr>
        <w:pStyle w:val="FootnoteText"/>
        <w:rPr>
          <w:lang w:val="en-US"/>
        </w:rPr>
      </w:pPr>
      <w:r w:rsidRPr="001B0F96">
        <w:rPr>
          <w:rStyle w:val="FootnoteReference"/>
        </w:rPr>
        <w:footnoteRef/>
      </w:r>
      <w:r w:rsidRPr="001B0F96">
        <w:t xml:space="preserve"> </w:t>
      </w:r>
      <w:r w:rsidRPr="001B0F96">
        <w:rPr>
          <w:i/>
          <w:iCs/>
          <w:color w:val="242121"/>
          <w:lang w:val="en-US"/>
        </w:rPr>
        <w:t xml:space="preserve">Commissioner for the South African Revenue Service v </w:t>
      </w:r>
      <w:r>
        <w:rPr>
          <w:i/>
          <w:iCs/>
          <w:color w:val="242121"/>
          <w:lang w:val="en-US"/>
        </w:rPr>
        <w:t>Candice</w:t>
      </w:r>
      <w:r w:rsidRPr="001B0F96">
        <w:rPr>
          <w:i/>
          <w:iCs/>
          <w:color w:val="242121"/>
          <w:lang w:val="en-US"/>
        </w:rPr>
        <w:t xml:space="preserve">-Jean </w:t>
      </w:r>
      <w:r>
        <w:rPr>
          <w:i/>
          <w:iCs/>
          <w:color w:val="242121"/>
          <w:lang w:val="en-US"/>
        </w:rPr>
        <w:t>van der Merwe</w:t>
      </w:r>
      <w:r w:rsidRPr="001B0F96">
        <w:rPr>
          <w:i/>
          <w:iCs/>
          <w:color w:val="242121"/>
          <w:lang w:val="en-US"/>
        </w:rPr>
        <w:t xml:space="preserve"> (211/2021 [2022] ZASCA 106 (30 June 2022).</w:t>
      </w:r>
    </w:p>
  </w:footnote>
  <w:footnote w:id="4">
    <w:p w:rsidR="007E586A" w:rsidRPr="00BB6447" w:rsidRDefault="007E586A">
      <w:pPr>
        <w:pStyle w:val="FootnoteText"/>
        <w:rPr>
          <w:lang w:val="en-US"/>
        </w:rPr>
      </w:pPr>
      <w:r>
        <w:rPr>
          <w:rStyle w:val="FootnoteReference"/>
        </w:rPr>
        <w:footnoteRef/>
      </w:r>
      <w:r>
        <w:t xml:space="preserve"> </w:t>
      </w:r>
      <w:r>
        <w:rPr>
          <w:lang w:val="en-US"/>
        </w:rPr>
        <w:t>At paras [45] – [46].</w:t>
      </w:r>
    </w:p>
  </w:footnote>
  <w:footnote w:id="5">
    <w:p w:rsidR="007E586A" w:rsidRPr="00BE2BF5" w:rsidRDefault="007E586A" w:rsidP="009673D8">
      <w:pPr>
        <w:pStyle w:val="FootnoteText"/>
        <w:rPr>
          <w:lang w:val="en-US"/>
        </w:rPr>
      </w:pPr>
      <w:r>
        <w:rPr>
          <w:rStyle w:val="FootnoteReference"/>
        </w:rPr>
        <w:footnoteRef/>
      </w:r>
      <w:r>
        <w:t xml:space="preserve"> </w:t>
      </w:r>
      <w:r>
        <w:rPr>
          <w:lang w:val="en-US"/>
        </w:rPr>
        <w:t>See Uniform Rules 1 (</w:t>
      </w:r>
      <w:r w:rsidRPr="00325ACE">
        <w:rPr>
          <w:lang w:val="en-US"/>
        </w:rPr>
        <w:t xml:space="preserve">definition of a </w:t>
      </w:r>
      <w:r>
        <w:rPr>
          <w:lang w:val="en-US"/>
        </w:rPr>
        <w:t>‘</w:t>
      </w:r>
      <w:r w:rsidRPr="00325ACE">
        <w:rPr>
          <w:lang w:val="en-US"/>
        </w:rPr>
        <w:t>party</w:t>
      </w:r>
      <w:r>
        <w:rPr>
          <w:lang w:val="en-US"/>
        </w:rPr>
        <w:t>’</w:t>
      </w:r>
      <w:r w:rsidRPr="00325ACE">
        <w:rPr>
          <w:lang w:val="en-US"/>
        </w:rPr>
        <w:t xml:space="preserve"> includes the party's attorney with or without an advocate</w:t>
      </w:r>
      <w:r>
        <w:rPr>
          <w:lang w:val="en-US"/>
        </w:rPr>
        <w:t>); 6(5)(a) read with Form 2a (</w:t>
      </w:r>
      <w:r w:rsidRPr="00325ACE">
        <w:rPr>
          <w:lang w:val="en-US"/>
        </w:rPr>
        <w:t>a notice of motion must be signed</w:t>
      </w:r>
      <w:r>
        <w:rPr>
          <w:lang w:val="en-US"/>
        </w:rPr>
        <w:t xml:space="preserve"> </w:t>
      </w:r>
      <w:r w:rsidRPr="00325ACE">
        <w:rPr>
          <w:lang w:val="en-US"/>
        </w:rPr>
        <w:t>by an applicant or his or her attorney</w:t>
      </w:r>
      <w:r>
        <w:rPr>
          <w:lang w:val="en-US"/>
        </w:rPr>
        <w:t>); 7 (</w:t>
      </w:r>
      <w:r w:rsidRPr="00325ACE">
        <w:rPr>
          <w:lang w:val="en-US"/>
        </w:rPr>
        <w:t>powers of attorney</w:t>
      </w:r>
      <w:r>
        <w:rPr>
          <w:lang w:val="en-US"/>
        </w:rPr>
        <w:t>); 16 (</w:t>
      </w:r>
      <w:r w:rsidRPr="00325ACE">
        <w:rPr>
          <w:lang w:val="en-US"/>
        </w:rPr>
        <w:t>representation of a party</w:t>
      </w:r>
      <w:r>
        <w:rPr>
          <w:lang w:val="en-US"/>
        </w:rPr>
        <w:t xml:space="preserve">); 17(3)(a) (a </w:t>
      </w:r>
      <w:r w:rsidRPr="00325ACE">
        <w:rPr>
          <w:lang w:val="en-US"/>
        </w:rPr>
        <w:t>summons must be signed by the plaintiff or his or her attorney</w:t>
      </w:r>
      <w:r>
        <w:rPr>
          <w:lang w:val="en-US"/>
        </w:rPr>
        <w:t>).</w:t>
      </w:r>
    </w:p>
  </w:footnote>
  <w:footnote w:id="6">
    <w:p w:rsidR="007E586A" w:rsidRPr="00A22773" w:rsidRDefault="007E586A" w:rsidP="009673D8">
      <w:pPr>
        <w:pStyle w:val="FootnoteText"/>
        <w:rPr>
          <w:lang w:val="en-US"/>
        </w:rPr>
      </w:pPr>
      <w:r w:rsidRPr="00A22773">
        <w:rPr>
          <w:rStyle w:val="FootnoteReference"/>
          <w:color w:val="000000" w:themeColor="text1"/>
        </w:rPr>
        <w:footnoteRef/>
      </w:r>
      <w:r w:rsidRPr="00A22773">
        <w:rPr>
          <w:color w:val="000000" w:themeColor="text1"/>
        </w:rPr>
        <w:t xml:space="preserve"> </w:t>
      </w:r>
      <w:r w:rsidRPr="00A22773">
        <w:rPr>
          <w:i/>
          <w:iCs/>
          <w:color w:val="000000" w:themeColor="text1"/>
          <w:shd w:val="clear" w:color="auto" w:fill="FFFFFF"/>
        </w:rPr>
        <w:t>Uitenhage Transitional Local Council v South African Revenue Service</w:t>
      </w:r>
      <w:hyperlink r:id="rId1" w:tooltip="View LawCiteRecord" w:history="1">
        <w:r w:rsidRPr="00A22773">
          <w:rPr>
            <w:rStyle w:val="Hyperlink"/>
            <w:color w:val="000000" w:themeColor="text1"/>
            <w:u w:val="none"/>
            <w:shd w:val="clear" w:color="auto" w:fill="FFFFFF"/>
          </w:rPr>
          <w:t>2004 (1) SA 292</w:t>
        </w:r>
      </w:hyperlink>
      <w:r w:rsidRPr="00A22773">
        <w:rPr>
          <w:color w:val="000000" w:themeColor="text1"/>
          <w:shd w:val="clear" w:color="auto" w:fill="FFFFFF"/>
        </w:rPr>
        <w:t> (SCA) para 6.</w:t>
      </w:r>
    </w:p>
  </w:footnote>
  <w:footnote w:id="7">
    <w:p w:rsidR="007E586A" w:rsidRPr="00FC6361" w:rsidRDefault="007E586A" w:rsidP="006D69F3">
      <w:pPr>
        <w:pStyle w:val="Heading2"/>
        <w:shd w:val="clear" w:color="auto" w:fill="FFFFFF"/>
        <w:spacing w:before="0" w:beforeAutospacing="0" w:after="0" w:afterAutospacing="0"/>
        <w:jc w:val="both"/>
        <w:rPr>
          <w:b w:val="0"/>
          <w:bCs w:val="0"/>
          <w:color w:val="000000" w:themeColor="text1"/>
          <w:sz w:val="20"/>
          <w:szCs w:val="20"/>
        </w:rPr>
      </w:pPr>
      <w:r w:rsidRPr="004653D5">
        <w:rPr>
          <w:rStyle w:val="FootnoteReference"/>
          <w:b w:val="0"/>
          <w:bCs w:val="0"/>
          <w:color w:val="000000" w:themeColor="text1"/>
          <w:sz w:val="20"/>
          <w:szCs w:val="20"/>
        </w:rPr>
        <w:footnoteRef/>
      </w:r>
      <w:r w:rsidRPr="004653D5">
        <w:rPr>
          <w:b w:val="0"/>
          <w:bCs w:val="0"/>
          <w:color w:val="000000" w:themeColor="text1"/>
          <w:sz w:val="20"/>
          <w:szCs w:val="20"/>
        </w:rPr>
        <w:t xml:space="preserve"> </w:t>
      </w:r>
      <w:r w:rsidRPr="004653D5">
        <w:rPr>
          <w:b w:val="0"/>
          <w:bCs w:val="0"/>
          <w:i/>
          <w:iCs/>
          <w:color w:val="000000" w:themeColor="text1"/>
          <w:sz w:val="20"/>
          <w:szCs w:val="20"/>
        </w:rPr>
        <w:t>Mulaudzi v Old Mutual Life Insurance Company (South Africa) Limited and Others, National Director of Public Prosecutions and Another v Mulaudzi</w:t>
      </w:r>
      <w:r w:rsidRPr="004653D5">
        <w:rPr>
          <w:b w:val="0"/>
          <w:bCs w:val="0"/>
          <w:color w:val="000000" w:themeColor="text1"/>
          <w:sz w:val="20"/>
          <w:szCs w:val="20"/>
        </w:rPr>
        <w:t xml:space="preserve"> [2017] 3 All SA 520 (SCA); 2017 (6) SA 90 (SCA) paras 25 – 26. </w:t>
      </w:r>
    </w:p>
  </w:footnote>
  <w:footnote w:id="8">
    <w:p w:rsidR="007E586A" w:rsidRPr="00F23477" w:rsidRDefault="007E586A" w:rsidP="006D69F3">
      <w:pPr>
        <w:pStyle w:val="Heading2"/>
        <w:shd w:val="clear" w:color="auto" w:fill="FFFFFF"/>
        <w:spacing w:before="240" w:beforeAutospacing="0" w:after="0" w:afterAutospacing="0"/>
        <w:rPr>
          <w:b w:val="0"/>
          <w:bCs w:val="0"/>
          <w:color w:val="000000" w:themeColor="text1"/>
          <w:sz w:val="20"/>
          <w:szCs w:val="20"/>
        </w:rPr>
      </w:pPr>
      <w:r w:rsidRPr="00F23477">
        <w:rPr>
          <w:rStyle w:val="FootnoteReference"/>
          <w:b w:val="0"/>
          <w:bCs w:val="0"/>
          <w:color w:val="000000" w:themeColor="text1"/>
          <w:sz w:val="20"/>
          <w:szCs w:val="20"/>
        </w:rPr>
        <w:footnoteRef/>
      </w:r>
      <w:r w:rsidRPr="00F23477">
        <w:rPr>
          <w:b w:val="0"/>
          <w:bCs w:val="0"/>
          <w:color w:val="000000" w:themeColor="text1"/>
          <w:sz w:val="20"/>
          <w:szCs w:val="20"/>
        </w:rPr>
        <w:t xml:space="preserve"> </w:t>
      </w:r>
      <w:r w:rsidRPr="00F23477">
        <w:rPr>
          <w:b w:val="0"/>
          <w:bCs w:val="0"/>
          <w:i/>
          <w:iCs/>
          <w:color w:val="000000" w:themeColor="text1"/>
          <w:sz w:val="20"/>
          <w:szCs w:val="20"/>
        </w:rPr>
        <w:t>Off-Beat Holiday Club and Another v Sanbonani Holiday Spa Share Block Limited and Others</w:t>
      </w:r>
      <w:r w:rsidRPr="00F23477">
        <w:rPr>
          <w:b w:val="0"/>
          <w:bCs w:val="0"/>
          <w:color w:val="000000" w:themeColor="text1"/>
          <w:sz w:val="20"/>
          <w:szCs w:val="20"/>
        </w:rPr>
        <w:t xml:space="preserve">  [2016] 2 All SA 704 (SCA); 2016 (6) SA 181 (SCA)  para [26].</w:t>
      </w:r>
    </w:p>
    <w:p w:rsidR="007E586A" w:rsidRPr="00F23477" w:rsidRDefault="007E586A" w:rsidP="006D69F3">
      <w:pPr>
        <w:pStyle w:val="FootnoteText"/>
        <w:rPr>
          <w:lang w:val="en-US"/>
        </w:rPr>
      </w:pPr>
    </w:p>
  </w:footnote>
  <w:footnote w:id="9">
    <w:p w:rsidR="007E586A" w:rsidRPr="0093776F" w:rsidRDefault="007E586A">
      <w:pPr>
        <w:pStyle w:val="FootnoteText"/>
        <w:rPr>
          <w:lang w:val="en-US"/>
        </w:rPr>
      </w:pPr>
      <w:r>
        <w:rPr>
          <w:rStyle w:val="FootnoteReference"/>
        </w:rPr>
        <w:footnoteRef/>
      </w:r>
      <w:r>
        <w:t xml:space="preserve"> </w:t>
      </w:r>
      <w:r w:rsidRPr="00814A30">
        <w:rPr>
          <w:i/>
          <w:iCs/>
          <w:color w:val="000000" w:themeColor="text1"/>
        </w:rPr>
        <w:t xml:space="preserve">Mulaudzi </w:t>
      </w:r>
      <w:r>
        <w:rPr>
          <w:color w:val="000000" w:themeColor="text1"/>
        </w:rPr>
        <w:t xml:space="preserve"> n 7 </w:t>
      </w:r>
      <w:r w:rsidRPr="00814A30">
        <w:rPr>
          <w:lang w:val="en-US"/>
        </w:rPr>
        <w:t>para [26].</w:t>
      </w:r>
    </w:p>
  </w:footnote>
  <w:footnote w:id="10">
    <w:p w:rsidR="007E586A" w:rsidRPr="00FF5EBD" w:rsidRDefault="007E586A" w:rsidP="00BD494D">
      <w:pPr>
        <w:rPr>
          <w:sz w:val="20"/>
          <w:szCs w:val="20"/>
        </w:rPr>
      </w:pPr>
      <w:r w:rsidRPr="00FF5EBD">
        <w:rPr>
          <w:rStyle w:val="FootnoteReference"/>
          <w:sz w:val="20"/>
          <w:szCs w:val="20"/>
        </w:rPr>
        <w:footnoteRef/>
      </w:r>
      <w:r w:rsidRPr="00FF5EBD">
        <w:rPr>
          <w:sz w:val="20"/>
          <w:szCs w:val="20"/>
        </w:rPr>
        <w:t xml:space="preserve"> </w:t>
      </w:r>
      <w:r w:rsidRPr="00FF5EBD">
        <w:rPr>
          <w:sz w:val="20"/>
          <w:szCs w:val="20"/>
          <w:lang w:val="en-US"/>
        </w:rPr>
        <w:t xml:space="preserve">This provision </w:t>
      </w:r>
      <w:r w:rsidRPr="00FF5EBD">
        <w:rPr>
          <w:color w:val="242121"/>
          <w:sz w:val="20"/>
          <w:szCs w:val="20"/>
          <w:shd w:val="clear" w:color="auto" w:fill="FFFFFF"/>
        </w:rPr>
        <w:t>corresponds with the amended section 21A of the Supreme Court Act 59 of 1959, the Superior Courts Act's predecessor.</w:t>
      </w:r>
    </w:p>
  </w:footnote>
  <w:footnote w:id="11">
    <w:p w:rsidR="007E586A" w:rsidRPr="00A169BE" w:rsidRDefault="007E586A" w:rsidP="000B1D90">
      <w:pPr>
        <w:pStyle w:val="FootnoteText"/>
        <w:rPr>
          <w:lang w:val="en-US"/>
        </w:rPr>
      </w:pPr>
      <w:r w:rsidRPr="00A169BE">
        <w:rPr>
          <w:rStyle w:val="FootnoteReference"/>
          <w:color w:val="000000" w:themeColor="text1"/>
        </w:rPr>
        <w:footnoteRef/>
      </w:r>
      <w:r w:rsidRPr="00A169BE">
        <w:rPr>
          <w:color w:val="000000" w:themeColor="text1"/>
        </w:rPr>
        <w:t xml:space="preserve"> </w:t>
      </w:r>
      <w:r w:rsidRPr="00A169BE">
        <w:rPr>
          <w:i/>
          <w:iCs/>
          <w:color w:val="000000" w:themeColor="text1"/>
          <w:shd w:val="clear" w:color="auto" w:fill="FFFFFF"/>
        </w:rPr>
        <w:t>Tebeila Institute of Leadership Education, Governance and Training v Limpopo College of Nursing and Another </w:t>
      </w:r>
      <w:hyperlink r:id="rId2" w:tooltip="View LawCiteRecord" w:history="1">
        <w:r w:rsidRPr="00A169BE">
          <w:rPr>
            <w:rStyle w:val="Hyperlink"/>
            <w:color w:val="000000" w:themeColor="text1"/>
            <w:u w:val="none"/>
            <w:shd w:val="clear" w:color="auto" w:fill="FFFFFF"/>
          </w:rPr>
          <w:t>2015 (4) BCLR 396</w:t>
        </w:r>
      </w:hyperlink>
      <w:r w:rsidRPr="00A169BE">
        <w:rPr>
          <w:color w:val="000000" w:themeColor="text1"/>
          <w:shd w:val="clear" w:color="auto" w:fill="FFFFFF"/>
        </w:rPr>
        <w:t> (CC) at para [13].</w:t>
      </w:r>
    </w:p>
  </w:footnote>
  <w:footnote w:id="12">
    <w:p w:rsidR="007E586A" w:rsidRPr="00A169BE" w:rsidRDefault="007E586A" w:rsidP="00BD494D">
      <w:pPr>
        <w:pStyle w:val="FootnoteText"/>
        <w:rPr>
          <w:lang w:val="en-US"/>
        </w:rPr>
      </w:pPr>
      <w:r w:rsidRPr="00A169BE">
        <w:rPr>
          <w:rStyle w:val="FootnoteReference"/>
          <w:color w:val="000000" w:themeColor="text1"/>
        </w:rPr>
        <w:footnoteRef/>
      </w:r>
      <w:r w:rsidRPr="00A169BE">
        <w:rPr>
          <w:color w:val="000000" w:themeColor="text1"/>
        </w:rPr>
        <w:t xml:space="preserve"> </w:t>
      </w:r>
      <w:r w:rsidRPr="00A169BE">
        <w:rPr>
          <w:color w:val="000000" w:themeColor="text1"/>
          <w:shd w:val="clear" w:color="auto" w:fill="FFFFFF"/>
        </w:rPr>
        <w:t>See also </w:t>
      </w:r>
      <w:r w:rsidRPr="00A169BE">
        <w:rPr>
          <w:i/>
          <w:iCs/>
          <w:color w:val="000000" w:themeColor="text1"/>
          <w:shd w:val="clear" w:color="auto" w:fill="FFFFFF"/>
        </w:rPr>
        <w:t>Justice Alliance of South Africa v Minister for Safety and Security and Others </w:t>
      </w:r>
      <w:hyperlink r:id="rId3" w:tooltip="View LawCiteRecord" w:history="1">
        <w:r w:rsidRPr="00A169BE">
          <w:rPr>
            <w:rStyle w:val="Hyperlink"/>
            <w:color w:val="000000" w:themeColor="text1"/>
            <w:u w:val="none"/>
            <w:shd w:val="clear" w:color="auto" w:fill="FFFFFF"/>
          </w:rPr>
          <w:t>2013 (7) BCLR 785</w:t>
        </w:r>
      </w:hyperlink>
      <w:r w:rsidRPr="00A169BE">
        <w:rPr>
          <w:color w:val="000000" w:themeColor="text1"/>
          <w:shd w:val="clear" w:color="auto" w:fill="FFFFFF"/>
        </w:rPr>
        <w:t> (CC).</w:t>
      </w:r>
    </w:p>
  </w:footnote>
  <w:footnote w:id="13">
    <w:p w:rsidR="007E586A" w:rsidRPr="00AA2F56" w:rsidRDefault="007E586A" w:rsidP="00BD494D">
      <w:pPr>
        <w:rPr>
          <w:color w:val="000000" w:themeColor="text1"/>
          <w:sz w:val="20"/>
          <w:szCs w:val="20"/>
        </w:rPr>
      </w:pPr>
      <w:r w:rsidRPr="00FF5EBD">
        <w:rPr>
          <w:rStyle w:val="FootnoteReference"/>
          <w:color w:val="000000" w:themeColor="text1"/>
          <w:sz w:val="20"/>
          <w:szCs w:val="20"/>
        </w:rPr>
        <w:footnoteRef/>
      </w:r>
      <w:r w:rsidRPr="00FF5EBD">
        <w:rPr>
          <w:color w:val="000000" w:themeColor="text1"/>
          <w:sz w:val="20"/>
          <w:szCs w:val="20"/>
        </w:rPr>
        <w:t xml:space="preserve"> See </w:t>
      </w:r>
      <w:r w:rsidRPr="00FF5EBD">
        <w:rPr>
          <w:i/>
          <w:iCs/>
          <w:color w:val="000000" w:themeColor="text1"/>
          <w:sz w:val="20"/>
          <w:szCs w:val="20"/>
          <w:shd w:val="clear" w:color="auto" w:fill="FFFFFF"/>
        </w:rPr>
        <w:t>Khumalo v Twin City Developers </w:t>
      </w:r>
      <w:r w:rsidRPr="00FF5EBD">
        <w:rPr>
          <w:color w:val="000000" w:themeColor="text1"/>
          <w:sz w:val="20"/>
          <w:szCs w:val="20"/>
          <w:shd w:val="clear" w:color="auto" w:fill="FFFFFF"/>
        </w:rPr>
        <w:t> </w:t>
      </w:r>
      <w:hyperlink r:id="rId4" w:tooltip="View LawCiteRecord" w:history="1">
        <w:r w:rsidRPr="00FF5EBD">
          <w:rPr>
            <w:rStyle w:val="Hyperlink"/>
            <w:color w:val="000000" w:themeColor="text1"/>
            <w:sz w:val="20"/>
            <w:szCs w:val="20"/>
            <w:u w:val="none"/>
            <w:shd w:val="clear" w:color="auto" w:fill="FFFFFF"/>
          </w:rPr>
          <w:t>[2017] ZASCA 143</w:t>
        </w:r>
      </w:hyperlink>
      <w:r w:rsidRPr="00FF5EBD">
        <w:rPr>
          <w:color w:val="000000" w:themeColor="text1"/>
          <w:sz w:val="20"/>
          <w:szCs w:val="20"/>
          <w:shd w:val="clear" w:color="auto" w:fill="FFFFFF"/>
        </w:rPr>
        <w:t>  para [14].</w:t>
      </w:r>
    </w:p>
  </w:footnote>
  <w:footnote w:id="14">
    <w:p w:rsidR="007E586A" w:rsidRPr="00584EA5" w:rsidRDefault="007E586A" w:rsidP="00BD494D">
      <w:pPr>
        <w:pStyle w:val="Heading2"/>
        <w:shd w:val="clear" w:color="auto" w:fill="FFFFFF"/>
        <w:spacing w:before="240" w:beforeAutospacing="0" w:after="180" w:afterAutospacing="0"/>
        <w:rPr>
          <w:b w:val="0"/>
          <w:bCs w:val="0"/>
          <w:color w:val="000000" w:themeColor="text1"/>
          <w:sz w:val="20"/>
          <w:szCs w:val="20"/>
        </w:rPr>
      </w:pPr>
      <w:r w:rsidRPr="00AA2F56">
        <w:rPr>
          <w:rStyle w:val="FootnoteReference"/>
          <w:b w:val="0"/>
          <w:bCs w:val="0"/>
          <w:color w:val="000000" w:themeColor="text1"/>
          <w:sz w:val="20"/>
          <w:szCs w:val="20"/>
        </w:rPr>
        <w:footnoteRef/>
      </w:r>
      <w:r w:rsidRPr="00AA2F56">
        <w:rPr>
          <w:b w:val="0"/>
          <w:bCs w:val="0"/>
          <w:color w:val="000000" w:themeColor="text1"/>
          <w:sz w:val="20"/>
          <w:szCs w:val="20"/>
        </w:rPr>
        <w:t xml:space="preserve"> </w:t>
      </w:r>
      <w:r w:rsidRPr="00AA2F56">
        <w:rPr>
          <w:b w:val="0"/>
          <w:bCs w:val="0"/>
          <w:color w:val="000000" w:themeColor="text1"/>
          <w:sz w:val="20"/>
          <w:szCs w:val="20"/>
          <w:lang w:val="en-US"/>
        </w:rPr>
        <w:t xml:space="preserve">See </w:t>
      </w:r>
      <w:r w:rsidRPr="00AA2F56">
        <w:rPr>
          <w:b w:val="0"/>
          <w:bCs w:val="0"/>
          <w:i/>
          <w:iCs/>
          <w:color w:val="000000" w:themeColor="text1"/>
          <w:sz w:val="20"/>
          <w:szCs w:val="20"/>
        </w:rPr>
        <w:t>Public Protector v South African Reserve Bank</w:t>
      </w:r>
      <w:r w:rsidRPr="00AA2F56">
        <w:rPr>
          <w:b w:val="0"/>
          <w:bCs w:val="0"/>
          <w:color w:val="000000" w:themeColor="text1"/>
          <w:sz w:val="20"/>
          <w:szCs w:val="20"/>
        </w:rPr>
        <w:t xml:space="preserve"> 2019 (9) BCLR 1113 (CC); 2019 (6) SA 253 (CC) </w:t>
      </w:r>
      <w:r>
        <w:rPr>
          <w:b w:val="0"/>
          <w:bCs w:val="0"/>
          <w:color w:val="000000" w:themeColor="text1"/>
          <w:sz w:val="20"/>
          <w:szCs w:val="20"/>
        </w:rPr>
        <w:t xml:space="preserve"> para [12]. </w:t>
      </w:r>
    </w:p>
  </w:footnote>
  <w:footnote w:id="15">
    <w:p w:rsidR="007E586A" w:rsidRPr="00584EA5" w:rsidRDefault="007E586A" w:rsidP="00BD494D">
      <w:pPr>
        <w:rPr>
          <w:color w:val="000000" w:themeColor="text1"/>
          <w:sz w:val="20"/>
          <w:szCs w:val="20"/>
        </w:rPr>
      </w:pPr>
      <w:r w:rsidRPr="00584EA5">
        <w:rPr>
          <w:rStyle w:val="FootnoteReference"/>
          <w:color w:val="000000" w:themeColor="text1"/>
          <w:sz w:val="20"/>
          <w:szCs w:val="20"/>
        </w:rPr>
        <w:footnoteRef/>
      </w:r>
      <w:r w:rsidRPr="00584EA5">
        <w:rPr>
          <w:color w:val="000000" w:themeColor="text1"/>
          <w:sz w:val="20"/>
          <w:szCs w:val="20"/>
        </w:rPr>
        <w:t xml:space="preserve"> </w:t>
      </w:r>
      <w:r w:rsidRPr="00584EA5">
        <w:rPr>
          <w:i/>
          <w:iCs/>
          <w:color w:val="000000" w:themeColor="text1"/>
          <w:sz w:val="20"/>
          <w:szCs w:val="20"/>
          <w:shd w:val="clear" w:color="auto" w:fill="FFFFFF"/>
        </w:rPr>
        <w:t>Logistic Technologies (Pty) Ltd v Coetzee</w:t>
      </w:r>
      <w:r w:rsidRPr="00584EA5">
        <w:rPr>
          <w:color w:val="000000" w:themeColor="text1"/>
          <w:sz w:val="20"/>
          <w:szCs w:val="20"/>
        </w:rPr>
        <w:t xml:space="preserve"> </w:t>
      </w:r>
      <w:hyperlink r:id="rId5" w:tooltip="View LawCiteRecord" w:history="1">
        <w:r w:rsidRPr="00584EA5">
          <w:rPr>
            <w:rStyle w:val="Hyperlink"/>
            <w:color w:val="000000" w:themeColor="text1"/>
            <w:sz w:val="20"/>
            <w:szCs w:val="20"/>
            <w:u w:val="none"/>
            <w:shd w:val="clear" w:color="auto" w:fill="FFFFFF"/>
          </w:rPr>
          <w:t>1998 (3) SA 1071</w:t>
        </w:r>
      </w:hyperlink>
      <w:r w:rsidRPr="00584EA5">
        <w:rPr>
          <w:color w:val="000000" w:themeColor="text1"/>
          <w:sz w:val="20"/>
          <w:szCs w:val="20"/>
          <w:shd w:val="clear" w:color="auto" w:fill="FFFFFF"/>
        </w:rPr>
        <w:t> (W) at 1075J-1076A.</w:t>
      </w:r>
    </w:p>
    <w:p w:rsidR="007E586A" w:rsidRPr="00584EA5" w:rsidRDefault="007E586A" w:rsidP="00BD494D">
      <w:pPr>
        <w:pStyle w:val="FootnoteText"/>
        <w:rPr>
          <w:lang w:val="en-US"/>
        </w:rPr>
      </w:pPr>
    </w:p>
  </w:footnote>
  <w:footnote w:id="16">
    <w:p w:rsidR="007E586A" w:rsidRPr="00A258C7" w:rsidRDefault="007E586A" w:rsidP="00BD32A0">
      <w:pPr>
        <w:rPr>
          <w:sz w:val="20"/>
          <w:szCs w:val="20"/>
        </w:rPr>
      </w:pPr>
      <w:r w:rsidRPr="00A258C7">
        <w:rPr>
          <w:rStyle w:val="FootnoteReference"/>
          <w:sz w:val="20"/>
          <w:szCs w:val="20"/>
        </w:rPr>
        <w:footnoteRef/>
      </w:r>
      <w:r w:rsidRPr="00A258C7">
        <w:rPr>
          <w:sz w:val="20"/>
          <w:szCs w:val="20"/>
        </w:rPr>
        <w:t xml:space="preserve"> </w:t>
      </w:r>
      <w:r w:rsidRPr="00FE661C">
        <w:rPr>
          <w:i/>
          <w:iCs/>
          <w:color w:val="242121"/>
          <w:sz w:val="20"/>
          <w:szCs w:val="20"/>
          <w:shd w:val="clear" w:color="auto" w:fill="FFFFFF"/>
        </w:rPr>
        <w:t>Van Loggenberg: </w:t>
      </w:r>
      <w:r w:rsidRPr="00FE661C">
        <w:rPr>
          <w:i/>
          <w:iCs/>
          <w:color w:val="000000"/>
          <w:sz w:val="20"/>
          <w:szCs w:val="20"/>
          <w:shd w:val="clear" w:color="auto" w:fill="FFFFFF"/>
        </w:rPr>
        <w:t>Erasmus</w:t>
      </w:r>
      <w:r w:rsidRPr="00A258C7">
        <w:rPr>
          <w:color w:val="000000"/>
          <w:sz w:val="20"/>
          <w:szCs w:val="20"/>
          <w:shd w:val="clear" w:color="auto" w:fill="FFFFFF"/>
        </w:rPr>
        <w:t xml:space="preserve"> Superior Court Practice vo 2 (</w:t>
      </w:r>
      <w:r>
        <w:rPr>
          <w:color w:val="000000"/>
          <w:sz w:val="20"/>
          <w:szCs w:val="20"/>
          <w:shd w:val="clear" w:color="auto" w:fill="FFFFFF"/>
        </w:rPr>
        <w:t>2</w:t>
      </w:r>
      <w:r w:rsidRPr="002F10BA">
        <w:rPr>
          <w:color w:val="000000"/>
          <w:sz w:val="20"/>
          <w:szCs w:val="20"/>
          <w:shd w:val="clear" w:color="auto" w:fill="FFFFFF"/>
          <w:vertAlign w:val="superscript"/>
        </w:rPr>
        <w:t>nd</w:t>
      </w:r>
      <w:r>
        <w:rPr>
          <w:color w:val="000000"/>
          <w:sz w:val="20"/>
          <w:szCs w:val="20"/>
          <w:shd w:val="clear" w:color="auto" w:fill="FFFFFF"/>
        </w:rPr>
        <w:t xml:space="preserve"> </w:t>
      </w:r>
      <w:r w:rsidRPr="00A258C7">
        <w:rPr>
          <w:color w:val="000000"/>
          <w:sz w:val="20"/>
          <w:szCs w:val="20"/>
          <w:shd w:val="clear" w:color="auto" w:fill="FFFFFF"/>
        </w:rPr>
        <w:t xml:space="preserve"> </w:t>
      </w:r>
      <w:r>
        <w:rPr>
          <w:color w:val="000000"/>
          <w:sz w:val="20"/>
          <w:szCs w:val="20"/>
          <w:shd w:val="clear" w:color="auto" w:fill="FFFFFF"/>
        </w:rPr>
        <w:t xml:space="preserve"> ed.</w:t>
      </w:r>
      <w:r w:rsidRPr="00A258C7">
        <w:rPr>
          <w:color w:val="000000"/>
          <w:sz w:val="20"/>
          <w:szCs w:val="20"/>
          <w:shd w:val="clear" w:color="auto" w:fill="FFFFFF"/>
        </w:rPr>
        <w:t>),  G5 – 21.</w:t>
      </w:r>
    </w:p>
  </w:footnote>
  <w:footnote w:id="17">
    <w:p w:rsidR="007E586A" w:rsidRPr="00981854" w:rsidRDefault="007E586A" w:rsidP="002F10BA">
      <w:pPr>
        <w:pStyle w:val="Heading2"/>
        <w:shd w:val="clear" w:color="auto" w:fill="FFFFFF"/>
        <w:spacing w:before="240" w:beforeAutospacing="0" w:after="0" w:afterAutospacing="0"/>
        <w:rPr>
          <w:b w:val="0"/>
          <w:bCs w:val="0"/>
          <w:color w:val="000000" w:themeColor="text1"/>
          <w:sz w:val="20"/>
          <w:szCs w:val="20"/>
        </w:rPr>
      </w:pPr>
      <w:r w:rsidRPr="004C191E">
        <w:rPr>
          <w:rStyle w:val="FootnoteReference"/>
          <w:b w:val="0"/>
          <w:bCs w:val="0"/>
          <w:color w:val="000000" w:themeColor="text1"/>
          <w:sz w:val="20"/>
          <w:szCs w:val="20"/>
        </w:rPr>
        <w:footnoteRef/>
      </w:r>
      <w:r w:rsidRPr="004C191E">
        <w:rPr>
          <w:b w:val="0"/>
          <w:bCs w:val="0"/>
          <w:color w:val="000000" w:themeColor="text1"/>
          <w:sz w:val="20"/>
          <w:szCs w:val="20"/>
        </w:rPr>
        <w:t xml:space="preserve"> </w:t>
      </w:r>
      <w:r w:rsidRPr="004C191E">
        <w:rPr>
          <w:b w:val="0"/>
          <w:bCs w:val="0"/>
          <w:i/>
          <w:iCs/>
          <w:color w:val="000000" w:themeColor="text1"/>
          <w:sz w:val="20"/>
          <w:szCs w:val="20"/>
        </w:rPr>
        <w:t>Beinash v Wixley</w:t>
      </w:r>
      <w:r w:rsidRPr="004C191E">
        <w:rPr>
          <w:b w:val="0"/>
          <w:bCs w:val="0"/>
          <w:color w:val="000000" w:themeColor="text1"/>
          <w:sz w:val="20"/>
          <w:szCs w:val="20"/>
        </w:rPr>
        <w:t xml:space="preserve"> (457/95)  1997 (3) SA 721 (SCA); [1997] 2 All SA 241 (A);  para 24.</w:t>
      </w:r>
    </w:p>
  </w:footnote>
  <w:footnote w:id="18">
    <w:p w:rsidR="007E586A" w:rsidRPr="00981854" w:rsidRDefault="007E586A" w:rsidP="00FE5AC2">
      <w:pPr>
        <w:pStyle w:val="FootnoteText"/>
        <w:rPr>
          <w:lang w:val="en-US"/>
        </w:rPr>
      </w:pPr>
      <w:r w:rsidRPr="00981854">
        <w:rPr>
          <w:rStyle w:val="FootnoteReference"/>
        </w:rPr>
        <w:footnoteRef/>
      </w:r>
      <w:r w:rsidRPr="00981854">
        <w:t xml:space="preserve"> </w:t>
      </w:r>
      <w:r w:rsidRPr="00981854">
        <w:rPr>
          <w:rFonts w:eastAsiaTheme="minorHAnsi"/>
          <w:i/>
          <w:iCs/>
          <w:lang w:val="en-GB" w:eastAsia="en-US"/>
        </w:rPr>
        <w:t>Vaatz v Law Society of Namibia</w:t>
      </w:r>
      <w:r w:rsidRPr="00981854">
        <w:rPr>
          <w:rFonts w:eastAsiaTheme="minorHAnsi"/>
          <w:lang w:val="en-GB" w:eastAsia="en-US"/>
        </w:rPr>
        <w:t xml:space="preserve"> 1991 (3) SA 563 (Nm) </w:t>
      </w:r>
      <w:r>
        <w:rPr>
          <w:rFonts w:eastAsiaTheme="minorHAnsi"/>
          <w:lang w:val="en-GB" w:eastAsia="en-US"/>
        </w:rPr>
        <w:t xml:space="preserve">at </w:t>
      </w:r>
      <w:r w:rsidRPr="00981854">
        <w:rPr>
          <w:rFonts w:eastAsiaTheme="minorHAnsi"/>
          <w:lang w:val="en-GB" w:eastAsia="en-US"/>
        </w:rPr>
        <w:t>566B – E</w:t>
      </w:r>
      <w:r>
        <w:rPr>
          <w:rFonts w:eastAsiaTheme="minorHAnsi"/>
          <w:lang w:val="en-GB" w:eastAsia="en-US"/>
        </w:rPr>
        <w:t>.</w:t>
      </w:r>
    </w:p>
  </w:footnote>
  <w:footnote w:id="19">
    <w:p w:rsidR="007E586A" w:rsidRPr="000F656A" w:rsidRDefault="007E586A" w:rsidP="00FE5AC2">
      <w:pPr>
        <w:pStyle w:val="FootnoteText"/>
        <w:rPr>
          <w:lang w:val="en-US"/>
        </w:rPr>
      </w:pPr>
      <w:r>
        <w:rPr>
          <w:rStyle w:val="FootnoteReference"/>
        </w:rPr>
        <w:footnoteRef/>
      </w:r>
      <w:r>
        <w:t xml:space="preserve"> </w:t>
      </w:r>
      <w:r>
        <w:rPr>
          <w:rFonts w:eastAsiaTheme="minorHAnsi"/>
          <w:i/>
          <w:iCs/>
          <w:lang w:val="en-GB" w:eastAsia="en-US"/>
        </w:rPr>
        <w:t xml:space="preserve"> Id,  </w:t>
      </w:r>
      <w:r w:rsidRPr="000F656A">
        <w:rPr>
          <w:rFonts w:eastAsiaTheme="minorHAnsi"/>
          <w:lang w:val="en-GB" w:eastAsia="en-US"/>
        </w:rPr>
        <w:t>335F-H</w:t>
      </w:r>
      <w:r>
        <w:rPr>
          <w:rFonts w:eastAsiaTheme="minorHAnsi"/>
          <w:i/>
          <w:iCs/>
          <w:lang w:val="en-GB" w:eastAsia="en-US"/>
        </w:rPr>
        <w:t>.</w:t>
      </w:r>
    </w:p>
  </w:footnote>
  <w:footnote w:id="20">
    <w:p w:rsidR="007E586A" w:rsidRPr="00FE18F4" w:rsidRDefault="007E586A">
      <w:pPr>
        <w:pStyle w:val="FootnoteText"/>
        <w:rPr>
          <w:lang w:val="en-US"/>
        </w:rPr>
      </w:pPr>
      <w:r>
        <w:rPr>
          <w:rStyle w:val="FootnoteReference"/>
        </w:rPr>
        <w:footnoteRef/>
      </w:r>
      <w:r>
        <w:t xml:space="preserve"> </w:t>
      </w:r>
      <w:r>
        <w:rPr>
          <w:lang w:val="en-US"/>
        </w:rPr>
        <w:t>The bold portions are the subject of the striking out application.</w:t>
      </w:r>
    </w:p>
  </w:footnote>
  <w:footnote w:id="21">
    <w:p w:rsidR="007E586A" w:rsidRPr="00384902" w:rsidRDefault="007E586A" w:rsidP="00313E8D">
      <w:pPr>
        <w:pStyle w:val="FootnoteText"/>
        <w:rPr>
          <w:lang w:val="en-US"/>
        </w:rPr>
      </w:pPr>
      <w:r>
        <w:rPr>
          <w:rStyle w:val="FootnoteReference"/>
        </w:rPr>
        <w:footnoteRef/>
      </w:r>
      <w:r>
        <w:t xml:space="preserve"> </w:t>
      </w:r>
      <w:r>
        <w:rPr>
          <w:lang w:val="en-US"/>
        </w:rPr>
        <w:t>Transcript of 21 January 2022, p5 lines 11 – 18.</w:t>
      </w:r>
    </w:p>
  </w:footnote>
  <w:footnote w:id="22">
    <w:p w:rsidR="007E586A" w:rsidRPr="00384902" w:rsidRDefault="007E586A" w:rsidP="00313E8D">
      <w:pPr>
        <w:pStyle w:val="FootnoteText"/>
        <w:rPr>
          <w:lang w:val="en-US"/>
        </w:rPr>
      </w:pPr>
      <w:r>
        <w:rPr>
          <w:rStyle w:val="FootnoteReference"/>
        </w:rPr>
        <w:footnoteRef/>
      </w:r>
      <w:r>
        <w:t xml:space="preserve"> </w:t>
      </w:r>
      <w:r>
        <w:rPr>
          <w:lang w:val="en-US"/>
        </w:rPr>
        <w:t xml:space="preserve"> </w:t>
      </w:r>
      <w:r w:rsidRPr="002F10BA">
        <w:rPr>
          <w:i/>
          <w:iCs/>
          <w:lang w:val="en-US"/>
        </w:rPr>
        <w:t>Id</w:t>
      </w:r>
      <w:r>
        <w:rPr>
          <w:lang w:val="en-US"/>
        </w:rPr>
        <w:t xml:space="preserve">, p7 lines 22 - 25. </w:t>
      </w:r>
    </w:p>
  </w:footnote>
  <w:footnote w:id="23">
    <w:p w:rsidR="007E586A" w:rsidRPr="00B97CCB" w:rsidRDefault="007E586A" w:rsidP="002B3B79">
      <w:pPr>
        <w:pStyle w:val="FootnoteText"/>
        <w:rPr>
          <w:lang w:val="en-US"/>
        </w:rPr>
      </w:pPr>
      <w:r>
        <w:rPr>
          <w:rStyle w:val="FootnoteReference"/>
        </w:rPr>
        <w:footnoteRef/>
      </w:r>
      <w:r>
        <w:t xml:space="preserve"> </w:t>
      </w:r>
      <w:r>
        <w:rPr>
          <w:lang w:val="en-US"/>
        </w:rPr>
        <w:t>Transcript of 12 May 2022, p 17 lines 12 – 24.</w:t>
      </w:r>
    </w:p>
  </w:footnote>
  <w:footnote w:id="24">
    <w:p w:rsidR="007E586A" w:rsidRPr="001318EF" w:rsidRDefault="007E586A" w:rsidP="002B3B79">
      <w:pPr>
        <w:pStyle w:val="FootnoteText"/>
        <w:rPr>
          <w:lang w:val="en-US"/>
        </w:rPr>
      </w:pPr>
      <w:r>
        <w:rPr>
          <w:rStyle w:val="FootnoteReference"/>
        </w:rPr>
        <w:footnoteRef/>
      </w:r>
      <w:r>
        <w:t xml:space="preserve"> </w:t>
      </w:r>
      <w:r>
        <w:rPr>
          <w:lang w:val="en-US"/>
        </w:rPr>
        <w:t xml:space="preserve"> </w:t>
      </w:r>
      <w:r w:rsidRPr="002F10BA">
        <w:rPr>
          <w:i/>
          <w:iCs/>
          <w:lang w:val="en-US"/>
        </w:rPr>
        <w:t>Id,</w:t>
      </w:r>
      <w:r>
        <w:rPr>
          <w:lang w:val="en-US"/>
        </w:rPr>
        <w:t xml:space="preserve"> pp 26 line 13 – 27.</w:t>
      </w:r>
    </w:p>
  </w:footnote>
  <w:footnote w:id="25">
    <w:p w:rsidR="007E586A" w:rsidRPr="00FB20A0" w:rsidRDefault="007E586A" w:rsidP="002065CE">
      <w:pPr>
        <w:pStyle w:val="FootnoteText"/>
        <w:rPr>
          <w:lang w:val="en-US"/>
        </w:rPr>
      </w:pPr>
      <w:r>
        <w:rPr>
          <w:rStyle w:val="FootnoteReference"/>
        </w:rPr>
        <w:footnoteRef/>
      </w:r>
      <w:r>
        <w:t xml:space="preserve"> See </w:t>
      </w:r>
      <w:r>
        <w:rPr>
          <w:lang w:val="en-US"/>
        </w:rPr>
        <w:t>transcript of 21 January 2022, pp5 -6.</w:t>
      </w:r>
    </w:p>
  </w:footnote>
  <w:footnote w:id="26">
    <w:p w:rsidR="007E586A" w:rsidRPr="006E47AB" w:rsidRDefault="007E586A" w:rsidP="00D667AE">
      <w:pPr>
        <w:pStyle w:val="FootnoteText"/>
        <w:rPr>
          <w:lang w:val="en-US"/>
        </w:rPr>
      </w:pPr>
      <w:r>
        <w:rPr>
          <w:rStyle w:val="FootnoteReference"/>
        </w:rPr>
        <w:footnoteRef/>
      </w:r>
      <w:r>
        <w:t xml:space="preserve"> </w:t>
      </w:r>
      <w:r>
        <w:rPr>
          <w:lang w:val="en-US"/>
        </w:rPr>
        <w:t xml:space="preserve">See transcript of 21 January 2022, p2 lines 5 – 12. </w:t>
      </w:r>
    </w:p>
  </w:footnote>
  <w:footnote w:id="27">
    <w:p w:rsidR="007E586A" w:rsidRPr="00671E5E" w:rsidRDefault="007E586A" w:rsidP="00D667AE">
      <w:pPr>
        <w:pStyle w:val="FootnoteText"/>
        <w:rPr>
          <w:lang w:val="en-US"/>
        </w:rPr>
      </w:pPr>
      <w:r>
        <w:rPr>
          <w:rStyle w:val="FootnoteReference"/>
        </w:rPr>
        <w:footnoteRef/>
      </w:r>
      <w:r>
        <w:t xml:space="preserve"> </w:t>
      </w:r>
      <w:r>
        <w:rPr>
          <w:lang w:val="en-US"/>
        </w:rPr>
        <w:t>Page 33, lines 5 – 7.</w:t>
      </w:r>
    </w:p>
  </w:footnote>
  <w:footnote w:id="28">
    <w:p w:rsidR="007E586A" w:rsidRPr="00671E5E" w:rsidRDefault="007E586A" w:rsidP="00D667AE">
      <w:pPr>
        <w:pStyle w:val="FootnoteText"/>
        <w:rPr>
          <w:lang w:val="en-US"/>
        </w:rPr>
      </w:pPr>
      <w:r>
        <w:rPr>
          <w:rStyle w:val="FootnoteReference"/>
        </w:rPr>
        <w:footnoteRef/>
      </w:r>
      <w:r>
        <w:t xml:space="preserve"> </w:t>
      </w:r>
      <w:r>
        <w:rPr>
          <w:lang w:val="en-US"/>
        </w:rPr>
        <w:t>Transcript p 14 lines 14 – 15.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649635061"/>
      <w:docPartObj>
        <w:docPartGallery w:val="Page Numbers (Top of Page)"/>
        <w:docPartUnique/>
      </w:docPartObj>
    </w:sdtPr>
    <w:sdtEndPr>
      <w:rPr>
        <w:rStyle w:val="PageNumber"/>
      </w:rPr>
    </w:sdtEndPr>
    <w:sdtContent>
      <w:p w:rsidR="007E586A" w:rsidRDefault="007E586A" w:rsidP="00C11F4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7E586A" w:rsidRDefault="007E586A" w:rsidP="00450A4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981454862"/>
      <w:docPartObj>
        <w:docPartGallery w:val="Page Numbers (Top of Page)"/>
        <w:docPartUnique/>
      </w:docPartObj>
    </w:sdtPr>
    <w:sdtEndPr>
      <w:rPr>
        <w:rStyle w:val="PageNumber"/>
      </w:rPr>
    </w:sdtEndPr>
    <w:sdtContent>
      <w:p w:rsidR="007E586A" w:rsidRDefault="007E586A" w:rsidP="00C11F4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0A5874">
          <w:rPr>
            <w:rStyle w:val="PageNumber"/>
            <w:noProof/>
          </w:rPr>
          <w:t>24</w:t>
        </w:r>
        <w:r>
          <w:rPr>
            <w:rStyle w:val="PageNumber"/>
          </w:rPr>
          <w:fldChar w:fldCharType="end"/>
        </w:r>
      </w:p>
    </w:sdtContent>
  </w:sdt>
  <w:p w:rsidR="007E586A" w:rsidRDefault="007E586A" w:rsidP="00450A4C">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D09D1"/>
    <w:multiLevelType w:val="multilevel"/>
    <w:tmpl w:val="7158CF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696495"/>
    <w:multiLevelType w:val="multilevel"/>
    <w:tmpl w:val="0C600600"/>
    <w:lvl w:ilvl="0">
      <w:start w:val="1"/>
      <w:numFmt w:val="decimal"/>
      <w:lvlText w:val="%1"/>
      <w:lvlJc w:val="left"/>
      <w:pPr>
        <w:ind w:left="720" w:hanging="720"/>
      </w:pPr>
      <w:rPr>
        <w:rFonts w:hint="default"/>
      </w:rPr>
    </w:lvl>
    <w:lvl w:ilvl="1">
      <w:start w:val="1"/>
      <w:numFmt w:val="decimal"/>
      <w:lvlText w:val="%1.%2"/>
      <w:lvlJc w:val="left"/>
      <w:pPr>
        <w:ind w:left="2161" w:hanging="720"/>
      </w:pPr>
      <w:rPr>
        <w:rFonts w:hint="default"/>
      </w:rPr>
    </w:lvl>
    <w:lvl w:ilvl="2">
      <w:start w:val="1"/>
      <w:numFmt w:val="decimal"/>
      <w:lvlText w:val="%1.%2.%3"/>
      <w:lvlJc w:val="left"/>
      <w:pPr>
        <w:ind w:left="3602" w:hanging="720"/>
      </w:pPr>
      <w:rPr>
        <w:rFonts w:hint="default"/>
      </w:rPr>
    </w:lvl>
    <w:lvl w:ilvl="3">
      <w:start w:val="1"/>
      <w:numFmt w:val="decimal"/>
      <w:lvlText w:val="%1.%2.%3.%4"/>
      <w:lvlJc w:val="left"/>
      <w:pPr>
        <w:ind w:left="5043" w:hanging="720"/>
      </w:pPr>
      <w:rPr>
        <w:rFonts w:hint="default"/>
      </w:rPr>
    </w:lvl>
    <w:lvl w:ilvl="4">
      <w:start w:val="1"/>
      <w:numFmt w:val="decimal"/>
      <w:lvlText w:val="%1.%2.%3.%4.%5"/>
      <w:lvlJc w:val="left"/>
      <w:pPr>
        <w:ind w:left="6844" w:hanging="1080"/>
      </w:pPr>
      <w:rPr>
        <w:rFonts w:hint="default"/>
      </w:rPr>
    </w:lvl>
    <w:lvl w:ilvl="5">
      <w:start w:val="1"/>
      <w:numFmt w:val="decimal"/>
      <w:lvlText w:val="%1.%2.%3.%4.%5.%6"/>
      <w:lvlJc w:val="left"/>
      <w:pPr>
        <w:ind w:left="8645" w:hanging="1440"/>
      </w:pPr>
      <w:rPr>
        <w:rFonts w:hint="default"/>
      </w:rPr>
    </w:lvl>
    <w:lvl w:ilvl="6">
      <w:start w:val="1"/>
      <w:numFmt w:val="decimal"/>
      <w:lvlText w:val="%1.%2.%3.%4.%5.%6.%7"/>
      <w:lvlJc w:val="left"/>
      <w:pPr>
        <w:ind w:left="10086" w:hanging="1440"/>
      </w:pPr>
      <w:rPr>
        <w:rFonts w:hint="default"/>
      </w:rPr>
    </w:lvl>
    <w:lvl w:ilvl="7">
      <w:start w:val="1"/>
      <w:numFmt w:val="decimal"/>
      <w:lvlText w:val="%1.%2.%3.%4.%5.%6.%7.%8"/>
      <w:lvlJc w:val="left"/>
      <w:pPr>
        <w:ind w:left="11887" w:hanging="1800"/>
      </w:pPr>
      <w:rPr>
        <w:rFonts w:hint="default"/>
      </w:rPr>
    </w:lvl>
    <w:lvl w:ilvl="8">
      <w:start w:val="1"/>
      <w:numFmt w:val="decimal"/>
      <w:lvlText w:val="%1.%2.%3.%4.%5.%6.%7.%8.%9"/>
      <w:lvlJc w:val="left"/>
      <w:pPr>
        <w:ind w:left="13328" w:hanging="1800"/>
      </w:pPr>
      <w:rPr>
        <w:rFonts w:hint="default"/>
      </w:rPr>
    </w:lvl>
  </w:abstractNum>
  <w:abstractNum w:abstractNumId="2" w15:restartNumberingAfterBreak="0">
    <w:nsid w:val="11F75C7C"/>
    <w:multiLevelType w:val="hybridMultilevel"/>
    <w:tmpl w:val="50D21CD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1F3275DD"/>
    <w:multiLevelType w:val="multilevel"/>
    <w:tmpl w:val="D458E2EC"/>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435C5853"/>
    <w:multiLevelType w:val="hybridMultilevel"/>
    <w:tmpl w:val="FAB24BDE"/>
    <w:lvl w:ilvl="0" w:tplc="FFFFFFFF">
      <w:start w:val="1"/>
      <w:numFmt w:val="decimal"/>
      <w:lvlText w:val="[%1]"/>
      <w:lvlJc w:val="left"/>
      <w:pPr>
        <w:ind w:left="720" w:hanging="360"/>
      </w:pPr>
      <w:rPr>
        <w:rFonts w:ascii="Times New Roman" w:hAnsi="Times New Roman" w:cs="Times New Roman" w:hint="default"/>
        <w:b w:val="0"/>
        <w:bCs w:val="0"/>
        <w:sz w:val="26"/>
        <w:szCs w:val="26"/>
      </w:rPr>
    </w:lvl>
    <w:lvl w:ilvl="1" w:tplc="FFFFFFFF">
      <w:start w:val="1"/>
      <w:numFmt w:val="decimal"/>
      <w:lvlText w:val="%2."/>
      <w:lvlJc w:val="left"/>
      <w:pPr>
        <w:ind w:left="1069" w:hanging="360"/>
      </w:pPr>
      <w:rPr>
        <w:rFonts w:ascii="Times New Roman" w:eastAsiaTheme="minorHAnsi" w:hAnsi="Times New Roman" w:cs="Times New Roman" w:hint="default"/>
        <w:sz w:val="26"/>
        <w:szCs w:val="26"/>
      </w:rPr>
    </w:lvl>
    <w:lvl w:ilvl="2" w:tplc="FFFFFFFF">
      <w:start w:val="1"/>
      <w:numFmt w:val="lowerLetter"/>
      <w:lvlText w:val="%3."/>
      <w:lvlJc w:val="left"/>
      <w:pPr>
        <w:ind w:left="1495" w:hanging="360"/>
      </w:pPr>
    </w:lvl>
    <w:lvl w:ilvl="3" w:tplc="FFFFFFFF">
      <w:start w:val="1"/>
      <w:numFmt w:val="lowerLetter"/>
      <w:lvlText w:val="(%4)"/>
      <w:lvlJc w:val="left"/>
      <w:pPr>
        <w:ind w:left="288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63450A9D"/>
    <w:multiLevelType w:val="hybridMultilevel"/>
    <w:tmpl w:val="5DBA3F6E"/>
    <w:lvl w:ilvl="0" w:tplc="BF4E9320">
      <w:start w:val="1"/>
      <w:numFmt w:val="upperLetter"/>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63462D60"/>
    <w:multiLevelType w:val="hybridMultilevel"/>
    <w:tmpl w:val="FAB24BDE"/>
    <w:lvl w:ilvl="0" w:tplc="F52A03E4">
      <w:start w:val="1"/>
      <w:numFmt w:val="decimal"/>
      <w:lvlText w:val="[%1]"/>
      <w:lvlJc w:val="left"/>
      <w:pPr>
        <w:ind w:left="720" w:hanging="360"/>
      </w:pPr>
      <w:rPr>
        <w:rFonts w:ascii="Times New Roman" w:hAnsi="Times New Roman" w:cs="Times New Roman" w:hint="default"/>
        <w:b w:val="0"/>
        <w:bCs w:val="0"/>
        <w:sz w:val="26"/>
        <w:szCs w:val="26"/>
      </w:rPr>
    </w:lvl>
    <w:lvl w:ilvl="1" w:tplc="D958A88A">
      <w:start w:val="1"/>
      <w:numFmt w:val="decimal"/>
      <w:lvlText w:val="%2."/>
      <w:lvlJc w:val="left"/>
      <w:pPr>
        <w:ind w:left="1069" w:hanging="360"/>
      </w:pPr>
      <w:rPr>
        <w:rFonts w:ascii="Times New Roman" w:eastAsiaTheme="minorHAnsi" w:hAnsi="Times New Roman" w:cs="Times New Roman" w:hint="default"/>
        <w:sz w:val="26"/>
        <w:szCs w:val="26"/>
      </w:rPr>
    </w:lvl>
    <w:lvl w:ilvl="2" w:tplc="08090019">
      <w:start w:val="1"/>
      <w:numFmt w:val="lowerLetter"/>
      <w:lvlText w:val="%3."/>
      <w:lvlJc w:val="left"/>
      <w:pPr>
        <w:ind w:left="1495" w:hanging="360"/>
      </w:pPr>
    </w:lvl>
    <w:lvl w:ilvl="3" w:tplc="F39E8D26">
      <w:start w:val="1"/>
      <w:numFmt w:val="lowerLetter"/>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FA320C6"/>
    <w:multiLevelType w:val="hybridMultilevel"/>
    <w:tmpl w:val="FD0447E6"/>
    <w:lvl w:ilvl="0" w:tplc="848C650C">
      <w:start w:val="1"/>
      <w:numFmt w:val="decimal"/>
      <w:lvlText w:val="%1."/>
      <w:lvlJc w:val="left"/>
      <w:pPr>
        <w:ind w:left="1211" w:hanging="360"/>
      </w:pPr>
      <w:rPr>
        <w:rFonts w:hint="default"/>
      </w:rPr>
    </w:lvl>
    <w:lvl w:ilvl="1" w:tplc="04090019">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8" w15:restartNumberingAfterBreak="0">
    <w:nsid w:val="73A95E90"/>
    <w:multiLevelType w:val="hybridMultilevel"/>
    <w:tmpl w:val="1DB054C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C06494E"/>
    <w:multiLevelType w:val="hybridMultilevel"/>
    <w:tmpl w:val="275C4EAA"/>
    <w:lvl w:ilvl="0" w:tplc="F0DAA3CA">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num w:numId="1">
    <w:abstractNumId w:val="5"/>
  </w:num>
  <w:num w:numId="2">
    <w:abstractNumId w:val="6"/>
  </w:num>
  <w:num w:numId="3">
    <w:abstractNumId w:val="3"/>
  </w:num>
  <w:num w:numId="4">
    <w:abstractNumId w:val="4"/>
  </w:num>
  <w:num w:numId="5">
    <w:abstractNumId w:val="0"/>
    <w:lvlOverride w:ilvl="0">
      <w:startOverride w:val="133"/>
    </w:lvlOverride>
  </w:num>
  <w:num w:numId="6">
    <w:abstractNumId w:val="8"/>
  </w:num>
  <w:num w:numId="7">
    <w:abstractNumId w:val="1"/>
  </w:num>
  <w:num w:numId="8">
    <w:abstractNumId w:val="7"/>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89F"/>
    <w:rsid w:val="00006905"/>
    <w:rsid w:val="000121C3"/>
    <w:rsid w:val="000124D8"/>
    <w:rsid w:val="000124FD"/>
    <w:rsid w:val="0001651F"/>
    <w:rsid w:val="00030DBB"/>
    <w:rsid w:val="0003629B"/>
    <w:rsid w:val="00042D50"/>
    <w:rsid w:val="000453DB"/>
    <w:rsid w:val="00045AF5"/>
    <w:rsid w:val="00062D83"/>
    <w:rsid w:val="00070518"/>
    <w:rsid w:val="00070AC6"/>
    <w:rsid w:val="00074380"/>
    <w:rsid w:val="00076440"/>
    <w:rsid w:val="000806A1"/>
    <w:rsid w:val="000830B8"/>
    <w:rsid w:val="00084AA7"/>
    <w:rsid w:val="00090A55"/>
    <w:rsid w:val="00092DEE"/>
    <w:rsid w:val="000977DA"/>
    <w:rsid w:val="000A492E"/>
    <w:rsid w:val="000A5874"/>
    <w:rsid w:val="000B0EA6"/>
    <w:rsid w:val="000B141C"/>
    <w:rsid w:val="000B1D90"/>
    <w:rsid w:val="000B2C28"/>
    <w:rsid w:val="000B2CC0"/>
    <w:rsid w:val="000C00C0"/>
    <w:rsid w:val="000C08F8"/>
    <w:rsid w:val="000C39D1"/>
    <w:rsid w:val="000C6CA8"/>
    <w:rsid w:val="000D33F2"/>
    <w:rsid w:val="000D351F"/>
    <w:rsid w:val="000D5D1E"/>
    <w:rsid w:val="000E23E5"/>
    <w:rsid w:val="000E2E9E"/>
    <w:rsid w:val="000F656A"/>
    <w:rsid w:val="000F66CC"/>
    <w:rsid w:val="00107166"/>
    <w:rsid w:val="001318EF"/>
    <w:rsid w:val="0013546D"/>
    <w:rsid w:val="00144A7A"/>
    <w:rsid w:val="0014693B"/>
    <w:rsid w:val="0015489F"/>
    <w:rsid w:val="00155EE5"/>
    <w:rsid w:val="00156B9A"/>
    <w:rsid w:val="001609CA"/>
    <w:rsid w:val="00161DF0"/>
    <w:rsid w:val="00166AE0"/>
    <w:rsid w:val="00184E15"/>
    <w:rsid w:val="00192F9E"/>
    <w:rsid w:val="00193A8F"/>
    <w:rsid w:val="00194483"/>
    <w:rsid w:val="001950A8"/>
    <w:rsid w:val="001A7494"/>
    <w:rsid w:val="001A75B5"/>
    <w:rsid w:val="001A7C17"/>
    <w:rsid w:val="001B0F96"/>
    <w:rsid w:val="001B518D"/>
    <w:rsid w:val="001B70DA"/>
    <w:rsid w:val="001C3FCC"/>
    <w:rsid w:val="001D66FA"/>
    <w:rsid w:val="001E050E"/>
    <w:rsid w:val="001E7C07"/>
    <w:rsid w:val="001E7CB0"/>
    <w:rsid w:val="001F2DA4"/>
    <w:rsid w:val="001F31FB"/>
    <w:rsid w:val="002065CE"/>
    <w:rsid w:val="00206837"/>
    <w:rsid w:val="00206A6E"/>
    <w:rsid w:val="00212927"/>
    <w:rsid w:val="00231167"/>
    <w:rsid w:val="00233632"/>
    <w:rsid w:val="00233DF5"/>
    <w:rsid w:val="00234120"/>
    <w:rsid w:val="00236769"/>
    <w:rsid w:val="00236DE4"/>
    <w:rsid w:val="002405CA"/>
    <w:rsid w:val="002428AB"/>
    <w:rsid w:val="00247A72"/>
    <w:rsid w:val="002572F7"/>
    <w:rsid w:val="00265D83"/>
    <w:rsid w:val="002759DB"/>
    <w:rsid w:val="0027644C"/>
    <w:rsid w:val="00281C00"/>
    <w:rsid w:val="002853A4"/>
    <w:rsid w:val="00285E49"/>
    <w:rsid w:val="00287D38"/>
    <w:rsid w:val="00293DB3"/>
    <w:rsid w:val="002B3B79"/>
    <w:rsid w:val="002B7980"/>
    <w:rsid w:val="002C470F"/>
    <w:rsid w:val="002F10BA"/>
    <w:rsid w:val="002F31E0"/>
    <w:rsid w:val="002F35C2"/>
    <w:rsid w:val="002F5E6F"/>
    <w:rsid w:val="002F6D07"/>
    <w:rsid w:val="00312284"/>
    <w:rsid w:val="00313E8D"/>
    <w:rsid w:val="003225FD"/>
    <w:rsid w:val="00325ACE"/>
    <w:rsid w:val="00335ED7"/>
    <w:rsid w:val="00336BEE"/>
    <w:rsid w:val="00355D78"/>
    <w:rsid w:val="00364A4F"/>
    <w:rsid w:val="00377C85"/>
    <w:rsid w:val="00383553"/>
    <w:rsid w:val="00384902"/>
    <w:rsid w:val="003A0AA3"/>
    <w:rsid w:val="003A4824"/>
    <w:rsid w:val="003A5777"/>
    <w:rsid w:val="003B47C2"/>
    <w:rsid w:val="003B5A38"/>
    <w:rsid w:val="003B766A"/>
    <w:rsid w:val="003C0EB6"/>
    <w:rsid w:val="003C7E76"/>
    <w:rsid w:val="003E29C7"/>
    <w:rsid w:val="003F10AF"/>
    <w:rsid w:val="00401744"/>
    <w:rsid w:val="00402765"/>
    <w:rsid w:val="004052EB"/>
    <w:rsid w:val="00411D5F"/>
    <w:rsid w:val="0041227F"/>
    <w:rsid w:val="004126A7"/>
    <w:rsid w:val="00414B9D"/>
    <w:rsid w:val="00417E15"/>
    <w:rsid w:val="00423CD2"/>
    <w:rsid w:val="00430F33"/>
    <w:rsid w:val="00432BEA"/>
    <w:rsid w:val="00434E2E"/>
    <w:rsid w:val="00441953"/>
    <w:rsid w:val="00450A4C"/>
    <w:rsid w:val="00457A09"/>
    <w:rsid w:val="00463D6E"/>
    <w:rsid w:val="004653D5"/>
    <w:rsid w:val="004673D8"/>
    <w:rsid w:val="00476C8F"/>
    <w:rsid w:val="00484B0A"/>
    <w:rsid w:val="004957B3"/>
    <w:rsid w:val="00497290"/>
    <w:rsid w:val="004A0932"/>
    <w:rsid w:val="004A0979"/>
    <w:rsid w:val="004A4DBB"/>
    <w:rsid w:val="004B03F4"/>
    <w:rsid w:val="004B0DD2"/>
    <w:rsid w:val="004B3FBF"/>
    <w:rsid w:val="004C191E"/>
    <w:rsid w:val="004C5593"/>
    <w:rsid w:val="004D266C"/>
    <w:rsid w:val="004E075E"/>
    <w:rsid w:val="004E28CD"/>
    <w:rsid w:val="004F02CC"/>
    <w:rsid w:val="004F7506"/>
    <w:rsid w:val="005004ED"/>
    <w:rsid w:val="0050545C"/>
    <w:rsid w:val="005067FF"/>
    <w:rsid w:val="00507247"/>
    <w:rsid w:val="00513321"/>
    <w:rsid w:val="00513A4D"/>
    <w:rsid w:val="00521414"/>
    <w:rsid w:val="00526A10"/>
    <w:rsid w:val="005522DA"/>
    <w:rsid w:val="005530FC"/>
    <w:rsid w:val="00556824"/>
    <w:rsid w:val="00557EC5"/>
    <w:rsid w:val="0056297C"/>
    <w:rsid w:val="00573289"/>
    <w:rsid w:val="00576813"/>
    <w:rsid w:val="00584EA5"/>
    <w:rsid w:val="00586F9C"/>
    <w:rsid w:val="005946C8"/>
    <w:rsid w:val="00596E37"/>
    <w:rsid w:val="005B3B28"/>
    <w:rsid w:val="005C64EA"/>
    <w:rsid w:val="005D14C5"/>
    <w:rsid w:val="005D26B0"/>
    <w:rsid w:val="005D2B33"/>
    <w:rsid w:val="005D414C"/>
    <w:rsid w:val="005D7521"/>
    <w:rsid w:val="005E39D6"/>
    <w:rsid w:val="005F5E4F"/>
    <w:rsid w:val="00606967"/>
    <w:rsid w:val="0060736D"/>
    <w:rsid w:val="0061510D"/>
    <w:rsid w:val="0062665E"/>
    <w:rsid w:val="006272F0"/>
    <w:rsid w:val="00627AAD"/>
    <w:rsid w:val="00634848"/>
    <w:rsid w:val="006376F3"/>
    <w:rsid w:val="00642BBF"/>
    <w:rsid w:val="00647BCC"/>
    <w:rsid w:val="00660111"/>
    <w:rsid w:val="00671E5E"/>
    <w:rsid w:val="0067247A"/>
    <w:rsid w:val="006725BC"/>
    <w:rsid w:val="006756EB"/>
    <w:rsid w:val="00681DB8"/>
    <w:rsid w:val="00692A27"/>
    <w:rsid w:val="00697028"/>
    <w:rsid w:val="006A2B81"/>
    <w:rsid w:val="006B2465"/>
    <w:rsid w:val="006B4FA7"/>
    <w:rsid w:val="006C3EB2"/>
    <w:rsid w:val="006D0531"/>
    <w:rsid w:val="006D18FD"/>
    <w:rsid w:val="006D1B99"/>
    <w:rsid w:val="006D69F3"/>
    <w:rsid w:val="006E47AB"/>
    <w:rsid w:val="006E7E5B"/>
    <w:rsid w:val="006F0FFA"/>
    <w:rsid w:val="0070004D"/>
    <w:rsid w:val="00703562"/>
    <w:rsid w:val="007264DE"/>
    <w:rsid w:val="00735F99"/>
    <w:rsid w:val="007367CD"/>
    <w:rsid w:val="0075671F"/>
    <w:rsid w:val="00756A33"/>
    <w:rsid w:val="00762377"/>
    <w:rsid w:val="00762723"/>
    <w:rsid w:val="007645DB"/>
    <w:rsid w:val="007649D3"/>
    <w:rsid w:val="007713C4"/>
    <w:rsid w:val="007757DE"/>
    <w:rsid w:val="007832A4"/>
    <w:rsid w:val="00783472"/>
    <w:rsid w:val="00797D45"/>
    <w:rsid w:val="007A6441"/>
    <w:rsid w:val="007A6A8B"/>
    <w:rsid w:val="007B42E2"/>
    <w:rsid w:val="007C201E"/>
    <w:rsid w:val="007C74AA"/>
    <w:rsid w:val="007E09B6"/>
    <w:rsid w:val="007E1883"/>
    <w:rsid w:val="007E22CA"/>
    <w:rsid w:val="007E42C5"/>
    <w:rsid w:val="007E586A"/>
    <w:rsid w:val="007E7B89"/>
    <w:rsid w:val="007F77DE"/>
    <w:rsid w:val="00810E6D"/>
    <w:rsid w:val="00811D90"/>
    <w:rsid w:val="00812BE9"/>
    <w:rsid w:val="00812C9E"/>
    <w:rsid w:val="00814A30"/>
    <w:rsid w:val="0081566E"/>
    <w:rsid w:val="00815761"/>
    <w:rsid w:val="00823A29"/>
    <w:rsid w:val="008327F3"/>
    <w:rsid w:val="0083369C"/>
    <w:rsid w:val="00835DEE"/>
    <w:rsid w:val="008407C0"/>
    <w:rsid w:val="008415F2"/>
    <w:rsid w:val="008424A2"/>
    <w:rsid w:val="00844B17"/>
    <w:rsid w:val="00850D33"/>
    <w:rsid w:val="00861863"/>
    <w:rsid w:val="00862121"/>
    <w:rsid w:val="008765B6"/>
    <w:rsid w:val="0088027A"/>
    <w:rsid w:val="00882C70"/>
    <w:rsid w:val="008901E1"/>
    <w:rsid w:val="00896E0D"/>
    <w:rsid w:val="008A524A"/>
    <w:rsid w:val="008B3F76"/>
    <w:rsid w:val="008D446B"/>
    <w:rsid w:val="008E5D6D"/>
    <w:rsid w:val="008E764F"/>
    <w:rsid w:val="008F0648"/>
    <w:rsid w:val="008F0ACF"/>
    <w:rsid w:val="008F2CF8"/>
    <w:rsid w:val="008F77E4"/>
    <w:rsid w:val="009043C4"/>
    <w:rsid w:val="009100D9"/>
    <w:rsid w:val="009230CE"/>
    <w:rsid w:val="0093776F"/>
    <w:rsid w:val="00951271"/>
    <w:rsid w:val="00951736"/>
    <w:rsid w:val="009538E3"/>
    <w:rsid w:val="009655A2"/>
    <w:rsid w:val="009673D8"/>
    <w:rsid w:val="009678C3"/>
    <w:rsid w:val="00981854"/>
    <w:rsid w:val="00987522"/>
    <w:rsid w:val="00990C97"/>
    <w:rsid w:val="00993A11"/>
    <w:rsid w:val="00994E15"/>
    <w:rsid w:val="00996C15"/>
    <w:rsid w:val="009A385A"/>
    <w:rsid w:val="009A6619"/>
    <w:rsid w:val="009B3631"/>
    <w:rsid w:val="009B4C49"/>
    <w:rsid w:val="009C6F71"/>
    <w:rsid w:val="009C759D"/>
    <w:rsid w:val="009D12BA"/>
    <w:rsid w:val="009E0CF8"/>
    <w:rsid w:val="00A023F3"/>
    <w:rsid w:val="00A162DC"/>
    <w:rsid w:val="00A169BE"/>
    <w:rsid w:val="00A21135"/>
    <w:rsid w:val="00A22773"/>
    <w:rsid w:val="00A258C7"/>
    <w:rsid w:val="00A27989"/>
    <w:rsid w:val="00A3347E"/>
    <w:rsid w:val="00A356FE"/>
    <w:rsid w:val="00A44CFA"/>
    <w:rsid w:val="00A705D7"/>
    <w:rsid w:val="00A70D0F"/>
    <w:rsid w:val="00A825CC"/>
    <w:rsid w:val="00AA077E"/>
    <w:rsid w:val="00AA2F56"/>
    <w:rsid w:val="00AA3DC6"/>
    <w:rsid w:val="00AC07E2"/>
    <w:rsid w:val="00AC1658"/>
    <w:rsid w:val="00AC7ADB"/>
    <w:rsid w:val="00AD2DC6"/>
    <w:rsid w:val="00AD4924"/>
    <w:rsid w:val="00AE2330"/>
    <w:rsid w:val="00AF2868"/>
    <w:rsid w:val="00AF507B"/>
    <w:rsid w:val="00B11FC7"/>
    <w:rsid w:val="00B256BB"/>
    <w:rsid w:val="00B340AE"/>
    <w:rsid w:val="00B36ED7"/>
    <w:rsid w:val="00B40F8F"/>
    <w:rsid w:val="00B4432A"/>
    <w:rsid w:val="00B54A91"/>
    <w:rsid w:val="00B60C28"/>
    <w:rsid w:val="00B65C3E"/>
    <w:rsid w:val="00B77231"/>
    <w:rsid w:val="00B82A5B"/>
    <w:rsid w:val="00B830DB"/>
    <w:rsid w:val="00B8348D"/>
    <w:rsid w:val="00B870D1"/>
    <w:rsid w:val="00B90595"/>
    <w:rsid w:val="00B94C11"/>
    <w:rsid w:val="00B97CCB"/>
    <w:rsid w:val="00BA0528"/>
    <w:rsid w:val="00BB0FED"/>
    <w:rsid w:val="00BB16A1"/>
    <w:rsid w:val="00BB3906"/>
    <w:rsid w:val="00BB4824"/>
    <w:rsid w:val="00BB6447"/>
    <w:rsid w:val="00BD32A0"/>
    <w:rsid w:val="00BD494D"/>
    <w:rsid w:val="00BE2BF5"/>
    <w:rsid w:val="00BF03AE"/>
    <w:rsid w:val="00BF1BBE"/>
    <w:rsid w:val="00BF39E7"/>
    <w:rsid w:val="00BF4795"/>
    <w:rsid w:val="00BF649A"/>
    <w:rsid w:val="00BF7A35"/>
    <w:rsid w:val="00C01F79"/>
    <w:rsid w:val="00C07DE0"/>
    <w:rsid w:val="00C112BE"/>
    <w:rsid w:val="00C11F45"/>
    <w:rsid w:val="00C12E72"/>
    <w:rsid w:val="00C2102E"/>
    <w:rsid w:val="00C24440"/>
    <w:rsid w:val="00C25A2A"/>
    <w:rsid w:val="00C2663B"/>
    <w:rsid w:val="00C3012A"/>
    <w:rsid w:val="00C33C58"/>
    <w:rsid w:val="00C34C90"/>
    <w:rsid w:val="00C40723"/>
    <w:rsid w:val="00C41DE7"/>
    <w:rsid w:val="00C54EFC"/>
    <w:rsid w:val="00C56DC3"/>
    <w:rsid w:val="00C601A3"/>
    <w:rsid w:val="00C6209D"/>
    <w:rsid w:val="00C65ABA"/>
    <w:rsid w:val="00C709C3"/>
    <w:rsid w:val="00C70B8D"/>
    <w:rsid w:val="00C70CD1"/>
    <w:rsid w:val="00C80F8E"/>
    <w:rsid w:val="00C839F1"/>
    <w:rsid w:val="00C853C4"/>
    <w:rsid w:val="00C902CE"/>
    <w:rsid w:val="00C91529"/>
    <w:rsid w:val="00C92220"/>
    <w:rsid w:val="00CA778F"/>
    <w:rsid w:val="00CC5B19"/>
    <w:rsid w:val="00CD1D1A"/>
    <w:rsid w:val="00CD28AD"/>
    <w:rsid w:val="00CD758A"/>
    <w:rsid w:val="00CE1162"/>
    <w:rsid w:val="00CF0FE4"/>
    <w:rsid w:val="00CF1B66"/>
    <w:rsid w:val="00CF309C"/>
    <w:rsid w:val="00CF47FD"/>
    <w:rsid w:val="00CF54E2"/>
    <w:rsid w:val="00CF63AA"/>
    <w:rsid w:val="00D014D4"/>
    <w:rsid w:val="00D143CA"/>
    <w:rsid w:val="00D15452"/>
    <w:rsid w:val="00D159FC"/>
    <w:rsid w:val="00D1774B"/>
    <w:rsid w:val="00D33C10"/>
    <w:rsid w:val="00D36A99"/>
    <w:rsid w:val="00D40434"/>
    <w:rsid w:val="00D43CA9"/>
    <w:rsid w:val="00D632A8"/>
    <w:rsid w:val="00D667AE"/>
    <w:rsid w:val="00D8338F"/>
    <w:rsid w:val="00D85AEF"/>
    <w:rsid w:val="00D95B1F"/>
    <w:rsid w:val="00DA1DD8"/>
    <w:rsid w:val="00DB0733"/>
    <w:rsid w:val="00DB5400"/>
    <w:rsid w:val="00DB59AB"/>
    <w:rsid w:val="00DB5C2A"/>
    <w:rsid w:val="00DC00D1"/>
    <w:rsid w:val="00DC4B84"/>
    <w:rsid w:val="00DD043D"/>
    <w:rsid w:val="00DD5EC9"/>
    <w:rsid w:val="00DE0EAF"/>
    <w:rsid w:val="00DE1962"/>
    <w:rsid w:val="00DE5BE6"/>
    <w:rsid w:val="00DE657E"/>
    <w:rsid w:val="00DF0C4E"/>
    <w:rsid w:val="00DF4FBA"/>
    <w:rsid w:val="00DF5AF5"/>
    <w:rsid w:val="00E110E5"/>
    <w:rsid w:val="00E238D4"/>
    <w:rsid w:val="00E2631E"/>
    <w:rsid w:val="00E36482"/>
    <w:rsid w:val="00E4687A"/>
    <w:rsid w:val="00E4732B"/>
    <w:rsid w:val="00E47383"/>
    <w:rsid w:val="00E54F95"/>
    <w:rsid w:val="00E564FD"/>
    <w:rsid w:val="00E61A98"/>
    <w:rsid w:val="00E734F4"/>
    <w:rsid w:val="00E763F5"/>
    <w:rsid w:val="00E8212E"/>
    <w:rsid w:val="00E8601B"/>
    <w:rsid w:val="00EA2C51"/>
    <w:rsid w:val="00EA3A10"/>
    <w:rsid w:val="00EB6807"/>
    <w:rsid w:val="00EE1269"/>
    <w:rsid w:val="00EE1DE0"/>
    <w:rsid w:val="00EE28C8"/>
    <w:rsid w:val="00EE3DA6"/>
    <w:rsid w:val="00EF101F"/>
    <w:rsid w:val="00EF1C75"/>
    <w:rsid w:val="00EF213D"/>
    <w:rsid w:val="00EF3793"/>
    <w:rsid w:val="00EF5888"/>
    <w:rsid w:val="00F02C87"/>
    <w:rsid w:val="00F05F55"/>
    <w:rsid w:val="00F114DE"/>
    <w:rsid w:val="00F1462C"/>
    <w:rsid w:val="00F147BF"/>
    <w:rsid w:val="00F23477"/>
    <w:rsid w:val="00F34C77"/>
    <w:rsid w:val="00F37E92"/>
    <w:rsid w:val="00F43BC4"/>
    <w:rsid w:val="00F456C8"/>
    <w:rsid w:val="00F55420"/>
    <w:rsid w:val="00F75A54"/>
    <w:rsid w:val="00F852C7"/>
    <w:rsid w:val="00F86217"/>
    <w:rsid w:val="00F871AB"/>
    <w:rsid w:val="00F873E5"/>
    <w:rsid w:val="00F913B0"/>
    <w:rsid w:val="00F97518"/>
    <w:rsid w:val="00FB20A0"/>
    <w:rsid w:val="00FB7446"/>
    <w:rsid w:val="00FC353E"/>
    <w:rsid w:val="00FC6361"/>
    <w:rsid w:val="00FC65D8"/>
    <w:rsid w:val="00FD722D"/>
    <w:rsid w:val="00FE18F4"/>
    <w:rsid w:val="00FE52D9"/>
    <w:rsid w:val="00FE5AC2"/>
    <w:rsid w:val="00FE661C"/>
    <w:rsid w:val="00FE6D8A"/>
    <w:rsid w:val="00FF0AE4"/>
    <w:rsid w:val="00FF29BE"/>
    <w:rsid w:val="00FF2DD1"/>
    <w:rsid w:val="00FF5CED"/>
    <w:rsid w:val="00FF5EB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53DFC"/>
  <w15:chartTrackingRefBased/>
  <w15:docId w15:val="{4F4610C6-A412-954A-AC26-1A2B09663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91E"/>
    <w:rPr>
      <w:rFonts w:ascii="Times New Roman" w:eastAsia="Times New Roman" w:hAnsi="Times New Roman" w:cs="Times New Roman"/>
      <w:lang w:eastAsia="en-GB"/>
    </w:rPr>
  </w:style>
  <w:style w:type="paragraph" w:styleId="Heading2">
    <w:name w:val="heading 2"/>
    <w:basedOn w:val="Normal"/>
    <w:link w:val="Heading2Char"/>
    <w:uiPriority w:val="9"/>
    <w:qFormat/>
    <w:rsid w:val="00AA2F56"/>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5489F"/>
    <w:pPr>
      <w:spacing w:after="200" w:line="276" w:lineRule="auto"/>
      <w:ind w:left="720"/>
      <w:contextualSpacing/>
    </w:pPr>
    <w:rPr>
      <w:sz w:val="22"/>
      <w:szCs w:val="22"/>
    </w:rPr>
  </w:style>
  <w:style w:type="character" w:customStyle="1" w:styleId="ListParagraphChar">
    <w:name w:val="List Paragraph Char"/>
    <w:link w:val="ListParagraph"/>
    <w:uiPriority w:val="34"/>
    <w:locked/>
    <w:rsid w:val="0015489F"/>
    <w:rPr>
      <w:rFonts w:ascii="Times New Roman" w:eastAsia="Times New Roman" w:hAnsi="Times New Roman" w:cs="Times New Roman"/>
      <w:sz w:val="22"/>
      <w:szCs w:val="22"/>
      <w:lang w:eastAsia="en-GB"/>
    </w:rPr>
  </w:style>
  <w:style w:type="paragraph" w:styleId="Header">
    <w:name w:val="header"/>
    <w:basedOn w:val="Normal"/>
    <w:link w:val="HeaderChar"/>
    <w:uiPriority w:val="99"/>
    <w:unhideWhenUsed/>
    <w:rsid w:val="00450A4C"/>
    <w:pPr>
      <w:tabs>
        <w:tab w:val="center" w:pos="4513"/>
        <w:tab w:val="right" w:pos="9026"/>
      </w:tabs>
    </w:pPr>
  </w:style>
  <w:style w:type="character" w:customStyle="1" w:styleId="HeaderChar">
    <w:name w:val="Header Char"/>
    <w:basedOn w:val="DefaultParagraphFont"/>
    <w:link w:val="Header"/>
    <w:uiPriority w:val="99"/>
    <w:rsid w:val="00450A4C"/>
  </w:style>
  <w:style w:type="character" w:styleId="PageNumber">
    <w:name w:val="page number"/>
    <w:basedOn w:val="DefaultParagraphFont"/>
    <w:uiPriority w:val="99"/>
    <w:semiHidden/>
    <w:unhideWhenUsed/>
    <w:rsid w:val="00450A4C"/>
  </w:style>
  <w:style w:type="paragraph" w:styleId="FootnoteText">
    <w:name w:val="footnote text"/>
    <w:basedOn w:val="Normal"/>
    <w:link w:val="FootnoteTextChar"/>
    <w:uiPriority w:val="99"/>
    <w:semiHidden/>
    <w:unhideWhenUsed/>
    <w:rsid w:val="001B0F96"/>
    <w:rPr>
      <w:sz w:val="20"/>
      <w:szCs w:val="20"/>
    </w:rPr>
  </w:style>
  <w:style w:type="character" w:customStyle="1" w:styleId="FootnoteTextChar">
    <w:name w:val="Footnote Text Char"/>
    <w:basedOn w:val="DefaultParagraphFont"/>
    <w:link w:val="FootnoteText"/>
    <w:uiPriority w:val="99"/>
    <w:semiHidden/>
    <w:rsid w:val="001B0F96"/>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1B0F96"/>
    <w:rPr>
      <w:vertAlign w:val="superscript"/>
    </w:rPr>
  </w:style>
  <w:style w:type="paragraph" w:styleId="NormalWeb">
    <w:name w:val="Normal (Web)"/>
    <w:basedOn w:val="Normal"/>
    <w:uiPriority w:val="99"/>
    <w:semiHidden/>
    <w:unhideWhenUsed/>
    <w:rsid w:val="00BF03AE"/>
    <w:pPr>
      <w:spacing w:before="100" w:beforeAutospacing="1" w:after="100" w:afterAutospacing="1"/>
    </w:pPr>
  </w:style>
  <w:style w:type="character" w:styleId="Hyperlink">
    <w:name w:val="Hyperlink"/>
    <w:basedOn w:val="DefaultParagraphFont"/>
    <w:uiPriority w:val="99"/>
    <w:semiHidden/>
    <w:unhideWhenUsed/>
    <w:rsid w:val="00EE1DE0"/>
    <w:rPr>
      <w:color w:val="0000FF"/>
      <w:u w:val="single"/>
    </w:rPr>
  </w:style>
  <w:style w:type="character" w:customStyle="1" w:styleId="Heading2Char">
    <w:name w:val="Heading 2 Char"/>
    <w:basedOn w:val="DefaultParagraphFont"/>
    <w:link w:val="Heading2"/>
    <w:uiPriority w:val="9"/>
    <w:rsid w:val="00AA2F56"/>
    <w:rPr>
      <w:rFonts w:ascii="Times New Roman" w:eastAsia="Times New Roman" w:hAnsi="Times New Roman" w:cs="Times New Roman"/>
      <w:b/>
      <w:bCs/>
      <w:sz w:val="36"/>
      <w:szCs w:val="36"/>
      <w:lang w:eastAsia="en-GB"/>
    </w:rPr>
  </w:style>
  <w:style w:type="character" w:styleId="FollowedHyperlink">
    <w:name w:val="FollowedHyperlink"/>
    <w:basedOn w:val="DefaultParagraphFont"/>
    <w:uiPriority w:val="99"/>
    <w:semiHidden/>
    <w:unhideWhenUsed/>
    <w:rsid w:val="00A22773"/>
    <w:rPr>
      <w:color w:val="954F72" w:themeColor="followedHyperlink"/>
      <w:u w:val="single"/>
    </w:rPr>
  </w:style>
  <w:style w:type="paragraph" w:customStyle="1" w:styleId="western">
    <w:name w:val="western"/>
    <w:basedOn w:val="Normal"/>
    <w:rsid w:val="006272F0"/>
    <w:pPr>
      <w:spacing w:before="100" w:beforeAutospacing="1" w:after="100" w:afterAutospacing="1"/>
    </w:pPr>
    <w:rPr>
      <w:lang w:val="en-US" w:eastAsia="en-US"/>
    </w:rPr>
  </w:style>
  <w:style w:type="character" w:customStyle="1" w:styleId="fs4">
    <w:name w:val="fs4"/>
    <w:basedOn w:val="DefaultParagraphFont"/>
    <w:rsid w:val="004C191E"/>
  </w:style>
  <w:style w:type="character" w:customStyle="1" w:styleId="v0">
    <w:name w:val="v0"/>
    <w:basedOn w:val="DefaultParagraphFont"/>
    <w:rsid w:val="004C191E"/>
  </w:style>
  <w:style w:type="paragraph" w:styleId="BalloonText">
    <w:name w:val="Balloon Text"/>
    <w:basedOn w:val="Normal"/>
    <w:link w:val="BalloonTextChar"/>
    <w:uiPriority w:val="99"/>
    <w:semiHidden/>
    <w:unhideWhenUsed/>
    <w:rsid w:val="00E61A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1A98"/>
    <w:rPr>
      <w:rFonts w:ascii="Segoe UI" w:eastAsia="Times New Roman" w:hAnsi="Segoe UI" w:cs="Segoe UI"/>
      <w:sz w:val="18"/>
      <w:szCs w:val="18"/>
      <w:lang w:eastAsia="en-GB"/>
    </w:rPr>
  </w:style>
  <w:style w:type="character" w:styleId="CommentReference">
    <w:name w:val="annotation reference"/>
    <w:basedOn w:val="DefaultParagraphFont"/>
    <w:uiPriority w:val="99"/>
    <w:semiHidden/>
    <w:unhideWhenUsed/>
    <w:rsid w:val="000E23E5"/>
    <w:rPr>
      <w:sz w:val="16"/>
      <w:szCs w:val="16"/>
    </w:rPr>
  </w:style>
  <w:style w:type="paragraph" w:styleId="CommentText">
    <w:name w:val="annotation text"/>
    <w:basedOn w:val="Normal"/>
    <w:link w:val="CommentTextChar"/>
    <w:uiPriority w:val="99"/>
    <w:semiHidden/>
    <w:unhideWhenUsed/>
    <w:rsid w:val="000E23E5"/>
    <w:rPr>
      <w:sz w:val="20"/>
      <w:szCs w:val="20"/>
    </w:rPr>
  </w:style>
  <w:style w:type="character" w:customStyle="1" w:styleId="CommentTextChar">
    <w:name w:val="Comment Text Char"/>
    <w:basedOn w:val="DefaultParagraphFont"/>
    <w:link w:val="CommentText"/>
    <w:uiPriority w:val="99"/>
    <w:semiHidden/>
    <w:rsid w:val="000E23E5"/>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0E23E5"/>
    <w:rPr>
      <w:b/>
      <w:bCs/>
    </w:rPr>
  </w:style>
  <w:style w:type="character" w:customStyle="1" w:styleId="CommentSubjectChar">
    <w:name w:val="Comment Subject Char"/>
    <w:basedOn w:val="CommentTextChar"/>
    <w:link w:val="CommentSubject"/>
    <w:uiPriority w:val="99"/>
    <w:semiHidden/>
    <w:rsid w:val="000E23E5"/>
    <w:rPr>
      <w:rFonts w:ascii="Times New Roman" w:eastAsia="Times New Roman" w:hAnsi="Times New Roman" w:cs="Times New Roman"/>
      <w:b/>
      <w:bCs/>
      <w:sz w:val="20"/>
      <w:szCs w:val="20"/>
      <w:lang w:eastAsia="en-GB"/>
    </w:rPr>
  </w:style>
  <w:style w:type="paragraph" w:styleId="Revision">
    <w:name w:val="Revision"/>
    <w:hidden/>
    <w:uiPriority w:val="99"/>
    <w:semiHidden/>
    <w:rsid w:val="00184E15"/>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31719">
      <w:bodyDiv w:val="1"/>
      <w:marLeft w:val="0"/>
      <w:marRight w:val="0"/>
      <w:marTop w:val="0"/>
      <w:marBottom w:val="0"/>
      <w:divBdr>
        <w:top w:val="none" w:sz="0" w:space="0" w:color="auto"/>
        <w:left w:val="none" w:sz="0" w:space="0" w:color="auto"/>
        <w:bottom w:val="none" w:sz="0" w:space="0" w:color="auto"/>
        <w:right w:val="none" w:sz="0" w:space="0" w:color="auto"/>
      </w:divBdr>
    </w:div>
    <w:div w:id="238250352">
      <w:bodyDiv w:val="1"/>
      <w:marLeft w:val="0"/>
      <w:marRight w:val="0"/>
      <w:marTop w:val="0"/>
      <w:marBottom w:val="0"/>
      <w:divBdr>
        <w:top w:val="none" w:sz="0" w:space="0" w:color="auto"/>
        <w:left w:val="none" w:sz="0" w:space="0" w:color="auto"/>
        <w:bottom w:val="none" w:sz="0" w:space="0" w:color="auto"/>
        <w:right w:val="none" w:sz="0" w:space="0" w:color="auto"/>
      </w:divBdr>
    </w:div>
    <w:div w:id="516651860">
      <w:bodyDiv w:val="1"/>
      <w:marLeft w:val="0"/>
      <w:marRight w:val="0"/>
      <w:marTop w:val="0"/>
      <w:marBottom w:val="0"/>
      <w:divBdr>
        <w:top w:val="none" w:sz="0" w:space="0" w:color="auto"/>
        <w:left w:val="none" w:sz="0" w:space="0" w:color="auto"/>
        <w:bottom w:val="none" w:sz="0" w:space="0" w:color="auto"/>
        <w:right w:val="none" w:sz="0" w:space="0" w:color="auto"/>
      </w:divBdr>
    </w:div>
    <w:div w:id="643506563">
      <w:bodyDiv w:val="1"/>
      <w:marLeft w:val="0"/>
      <w:marRight w:val="0"/>
      <w:marTop w:val="0"/>
      <w:marBottom w:val="0"/>
      <w:divBdr>
        <w:top w:val="none" w:sz="0" w:space="0" w:color="auto"/>
        <w:left w:val="none" w:sz="0" w:space="0" w:color="auto"/>
        <w:bottom w:val="none" w:sz="0" w:space="0" w:color="auto"/>
        <w:right w:val="none" w:sz="0" w:space="0" w:color="auto"/>
      </w:divBdr>
    </w:div>
    <w:div w:id="793594556">
      <w:bodyDiv w:val="1"/>
      <w:marLeft w:val="0"/>
      <w:marRight w:val="0"/>
      <w:marTop w:val="0"/>
      <w:marBottom w:val="0"/>
      <w:divBdr>
        <w:top w:val="none" w:sz="0" w:space="0" w:color="auto"/>
        <w:left w:val="none" w:sz="0" w:space="0" w:color="auto"/>
        <w:bottom w:val="none" w:sz="0" w:space="0" w:color="auto"/>
        <w:right w:val="none" w:sz="0" w:space="0" w:color="auto"/>
      </w:divBdr>
    </w:div>
    <w:div w:id="802888577">
      <w:bodyDiv w:val="1"/>
      <w:marLeft w:val="0"/>
      <w:marRight w:val="0"/>
      <w:marTop w:val="0"/>
      <w:marBottom w:val="0"/>
      <w:divBdr>
        <w:top w:val="none" w:sz="0" w:space="0" w:color="auto"/>
        <w:left w:val="none" w:sz="0" w:space="0" w:color="auto"/>
        <w:bottom w:val="none" w:sz="0" w:space="0" w:color="auto"/>
        <w:right w:val="none" w:sz="0" w:space="0" w:color="auto"/>
      </w:divBdr>
    </w:div>
    <w:div w:id="843015005">
      <w:bodyDiv w:val="1"/>
      <w:marLeft w:val="0"/>
      <w:marRight w:val="0"/>
      <w:marTop w:val="0"/>
      <w:marBottom w:val="0"/>
      <w:divBdr>
        <w:top w:val="none" w:sz="0" w:space="0" w:color="auto"/>
        <w:left w:val="none" w:sz="0" w:space="0" w:color="auto"/>
        <w:bottom w:val="none" w:sz="0" w:space="0" w:color="auto"/>
        <w:right w:val="none" w:sz="0" w:space="0" w:color="auto"/>
      </w:divBdr>
    </w:div>
    <w:div w:id="979503797">
      <w:bodyDiv w:val="1"/>
      <w:marLeft w:val="0"/>
      <w:marRight w:val="0"/>
      <w:marTop w:val="0"/>
      <w:marBottom w:val="0"/>
      <w:divBdr>
        <w:top w:val="none" w:sz="0" w:space="0" w:color="auto"/>
        <w:left w:val="none" w:sz="0" w:space="0" w:color="auto"/>
        <w:bottom w:val="none" w:sz="0" w:space="0" w:color="auto"/>
        <w:right w:val="none" w:sz="0" w:space="0" w:color="auto"/>
      </w:divBdr>
    </w:div>
    <w:div w:id="1109742861">
      <w:bodyDiv w:val="1"/>
      <w:marLeft w:val="0"/>
      <w:marRight w:val="0"/>
      <w:marTop w:val="0"/>
      <w:marBottom w:val="0"/>
      <w:divBdr>
        <w:top w:val="none" w:sz="0" w:space="0" w:color="auto"/>
        <w:left w:val="none" w:sz="0" w:space="0" w:color="auto"/>
        <w:bottom w:val="none" w:sz="0" w:space="0" w:color="auto"/>
        <w:right w:val="none" w:sz="0" w:space="0" w:color="auto"/>
      </w:divBdr>
    </w:div>
    <w:div w:id="1143740504">
      <w:bodyDiv w:val="1"/>
      <w:marLeft w:val="0"/>
      <w:marRight w:val="0"/>
      <w:marTop w:val="0"/>
      <w:marBottom w:val="0"/>
      <w:divBdr>
        <w:top w:val="none" w:sz="0" w:space="0" w:color="auto"/>
        <w:left w:val="none" w:sz="0" w:space="0" w:color="auto"/>
        <w:bottom w:val="none" w:sz="0" w:space="0" w:color="auto"/>
        <w:right w:val="none" w:sz="0" w:space="0" w:color="auto"/>
      </w:divBdr>
    </w:div>
    <w:div w:id="1167787739">
      <w:bodyDiv w:val="1"/>
      <w:marLeft w:val="0"/>
      <w:marRight w:val="0"/>
      <w:marTop w:val="0"/>
      <w:marBottom w:val="0"/>
      <w:divBdr>
        <w:top w:val="none" w:sz="0" w:space="0" w:color="auto"/>
        <w:left w:val="none" w:sz="0" w:space="0" w:color="auto"/>
        <w:bottom w:val="none" w:sz="0" w:space="0" w:color="auto"/>
        <w:right w:val="none" w:sz="0" w:space="0" w:color="auto"/>
      </w:divBdr>
    </w:div>
    <w:div w:id="1279987197">
      <w:bodyDiv w:val="1"/>
      <w:marLeft w:val="0"/>
      <w:marRight w:val="0"/>
      <w:marTop w:val="0"/>
      <w:marBottom w:val="0"/>
      <w:divBdr>
        <w:top w:val="none" w:sz="0" w:space="0" w:color="auto"/>
        <w:left w:val="none" w:sz="0" w:space="0" w:color="auto"/>
        <w:bottom w:val="none" w:sz="0" w:space="0" w:color="auto"/>
        <w:right w:val="none" w:sz="0" w:space="0" w:color="auto"/>
      </w:divBdr>
    </w:div>
    <w:div w:id="1336038165">
      <w:bodyDiv w:val="1"/>
      <w:marLeft w:val="0"/>
      <w:marRight w:val="0"/>
      <w:marTop w:val="0"/>
      <w:marBottom w:val="0"/>
      <w:divBdr>
        <w:top w:val="none" w:sz="0" w:space="0" w:color="auto"/>
        <w:left w:val="none" w:sz="0" w:space="0" w:color="auto"/>
        <w:bottom w:val="none" w:sz="0" w:space="0" w:color="auto"/>
        <w:right w:val="none" w:sz="0" w:space="0" w:color="auto"/>
      </w:divBdr>
    </w:div>
    <w:div w:id="1468090223">
      <w:bodyDiv w:val="1"/>
      <w:marLeft w:val="0"/>
      <w:marRight w:val="0"/>
      <w:marTop w:val="0"/>
      <w:marBottom w:val="0"/>
      <w:divBdr>
        <w:top w:val="none" w:sz="0" w:space="0" w:color="auto"/>
        <w:left w:val="none" w:sz="0" w:space="0" w:color="auto"/>
        <w:bottom w:val="none" w:sz="0" w:space="0" w:color="auto"/>
        <w:right w:val="none" w:sz="0" w:space="0" w:color="auto"/>
      </w:divBdr>
    </w:div>
    <w:div w:id="1546797578">
      <w:bodyDiv w:val="1"/>
      <w:marLeft w:val="0"/>
      <w:marRight w:val="0"/>
      <w:marTop w:val="0"/>
      <w:marBottom w:val="0"/>
      <w:divBdr>
        <w:top w:val="none" w:sz="0" w:space="0" w:color="auto"/>
        <w:left w:val="none" w:sz="0" w:space="0" w:color="auto"/>
        <w:bottom w:val="none" w:sz="0" w:space="0" w:color="auto"/>
        <w:right w:val="none" w:sz="0" w:space="0" w:color="auto"/>
      </w:divBdr>
    </w:div>
    <w:div w:id="1582912621">
      <w:bodyDiv w:val="1"/>
      <w:marLeft w:val="0"/>
      <w:marRight w:val="0"/>
      <w:marTop w:val="0"/>
      <w:marBottom w:val="0"/>
      <w:divBdr>
        <w:top w:val="none" w:sz="0" w:space="0" w:color="auto"/>
        <w:left w:val="none" w:sz="0" w:space="0" w:color="auto"/>
        <w:bottom w:val="none" w:sz="0" w:space="0" w:color="auto"/>
        <w:right w:val="none" w:sz="0" w:space="0" w:color="auto"/>
      </w:divBdr>
    </w:div>
    <w:div w:id="1704091802">
      <w:bodyDiv w:val="1"/>
      <w:marLeft w:val="0"/>
      <w:marRight w:val="0"/>
      <w:marTop w:val="0"/>
      <w:marBottom w:val="0"/>
      <w:divBdr>
        <w:top w:val="none" w:sz="0" w:space="0" w:color="auto"/>
        <w:left w:val="none" w:sz="0" w:space="0" w:color="auto"/>
        <w:bottom w:val="none" w:sz="0" w:space="0" w:color="auto"/>
        <w:right w:val="none" w:sz="0" w:space="0" w:color="auto"/>
      </w:divBdr>
    </w:div>
    <w:div w:id="1771509648">
      <w:bodyDiv w:val="1"/>
      <w:marLeft w:val="0"/>
      <w:marRight w:val="0"/>
      <w:marTop w:val="0"/>
      <w:marBottom w:val="0"/>
      <w:divBdr>
        <w:top w:val="none" w:sz="0" w:space="0" w:color="auto"/>
        <w:left w:val="none" w:sz="0" w:space="0" w:color="auto"/>
        <w:bottom w:val="none" w:sz="0" w:space="0" w:color="auto"/>
        <w:right w:val="none" w:sz="0" w:space="0" w:color="auto"/>
      </w:divBdr>
    </w:div>
    <w:div w:id="1847793203">
      <w:bodyDiv w:val="1"/>
      <w:marLeft w:val="0"/>
      <w:marRight w:val="0"/>
      <w:marTop w:val="0"/>
      <w:marBottom w:val="0"/>
      <w:divBdr>
        <w:top w:val="none" w:sz="0" w:space="0" w:color="auto"/>
        <w:left w:val="none" w:sz="0" w:space="0" w:color="auto"/>
        <w:bottom w:val="none" w:sz="0" w:space="0" w:color="auto"/>
        <w:right w:val="none" w:sz="0" w:space="0" w:color="auto"/>
      </w:divBdr>
      <w:divsChild>
        <w:div w:id="1087117620">
          <w:marLeft w:val="0"/>
          <w:marRight w:val="0"/>
          <w:marTop w:val="0"/>
          <w:marBottom w:val="0"/>
          <w:divBdr>
            <w:top w:val="none" w:sz="0" w:space="0" w:color="auto"/>
            <w:left w:val="none" w:sz="0" w:space="0" w:color="auto"/>
            <w:bottom w:val="none" w:sz="0" w:space="0" w:color="auto"/>
            <w:right w:val="none" w:sz="0" w:space="0" w:color="auto"/>
          </w:divBdr>
        </w:div>
        <w:div w:id="33771448">
          <w:marLeft w:val="0"/>
          <w:marRight w:val="0"/>
          <w:marTop w:val="0"/>
          <w:marBottom w:val="0"/>
          <w:divBdr>
            <w:top w:val="none" w:sz="0" w:space="0" w:color="auto"/>
            <w:left w:val="none" w:sz="0" w:space="0" w:color="auto"/>
            <w:bottom w:val="none" w:sz="0" w:space="0" w:color="auto"/>
            <w:right w:val="none" w:sz="0" w:space="0" w:color="auto"/>
          </w:divBdr>
        </w:div>
      </w:divsChild>
    </w:div>
    <w:div w:id="1990284413">
      <w:bodyDiv w:val="1"/>
      <w:marLeft w:val="0"/>
      <w:marRight w:val="0"/>
      <w:marTop w:val="0"/>
      <w:marBottom w:val="0"/>
      <w:divBdr>
        <w:top w:val="none" w:sz="0" w:space="0" w:color="auto"/>
        <w:left w:val="none" w:sz="0" w:space="0" w:color="auto"/>
        <w:bottom w:val="none" w:sz="0" w:space="0" w:color="auto"/>
        <w:right w:val="none" w:sz="0" w:space="0" w:color="auto"/>
      </w:divBdr>
    </w:div>
    <w:div w:id="2034379089">
      <w:bodyDiv w:val="1"/>
      <w:marLeft w:val="0"/>
      <w:marRight w:val="0"/>
      <w:marTop w:val="0"/>
      <w:marBottom w:val="0"/>
      <w:divBdr>
        <w:top w:val="none" w:sz="0" w:space="0" w:color="auto"/>
        <w:left w:val="none" w:sz="0" w:space="0" w:color="auto"/>
        <w:bottom w:val="none" w:sz="0" w:space="0" w:color="auto"/>
        <w:right w:val="none" w:sz="0" w:space="0" w:color="auto"/>
      </w:divBdr>
    </w:div>
    <w:div w:id="2130468466">
      <w:bodyDiv w:val="1"/>
      <w:marLeft w:val="0"/>
      <w:marRight w:val="0"/>
      <w:marTop w:val="0"/>
      <w:marBottom w:val="0"/>
      <w:divBdr>
        <w:top w:val="none" w:sz="0" w:space="0" w:color="auto"/>
        <w:left w:val="none" w:sz="0" w:space="0" w:color="auto"/>
        <w:bottom w:val="none" w:sz="0" w:space="0" w:color="auto"/>
        <w:right w:val="none" w:sz="0" w:space="0" w:color="auto"/>
      </w:divBdr>
      <w:divsChild>
        <w:div w:id="2016759365">
          <w:marLeft w:val="0"/>
          <w:marRight w:val="0"/>
          <w:marTop w:val="0"/>
          <w:marBottom w:val="0"/>
          <w:divBdr>
            <w:top w:val="none" w:sz="0" w:space="0" w:color="auto"/>
            <w:left w:val="none" w:sz="0" w:space="0" w:color="auto"/>
            <w:bottom w:val="none" w:sz="0" w:space="0" w:color="auto"/>
            <w:right w:val="none" w:sz="0" w:space="0" w:color="auto"/>
          </w:divBdr>
        </w:div>
        <w:div w:id="13940882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saflii.org/cgi-bin/LawCite?cit=2013%20%287%29%20BCLR%20785" TargetMode="External"/><Relationship Id="rId2" Type="http://schemas.openxmlformats.org/officeDocument/2006/relationships/hyperlink" Target="http://www.saflii.org/cgi-bin/LawCite?cit=2015%20%284%29%20BCLR%20396" TargetMode="External"/><Relationship Id="rId1" Type="http://schemas.openxmlformats.org/officeDocument/2006/relationships/hyperlink" Target="http://www.saflii.org/cgi-bin/LawCite?cit=2004%20%281%29%20SA%20292" TargetMode="External"/><Relationship Id="rId5" Type="http://schemas.openxmlformats.org/officeDocument/2006/relationships/hyperlink" Target="https://www.saflii.org/cgi-bin/LawCite?cit=1998%20%283%29%20SA%201071" TargetMode="External"/><Relationship Id="rId4" Type="http://schemas.openxmlformats.org/officeDocument/2006/relationships/hyperlink" Target="http://www.saflii.org/cgi-bin/LawCite?cit=%5b2017%5d%20ZASCA%201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294B0D-3AF2-4AA8-B05F-172A638AA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6735</Words>
  <Characters>38395</Characters>
  <Application>Microsoft Office Word</Application>
  <DocSecurity>0</DocSecurity>
  <Lines>319</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Nobahle Mangcu-Lockwood</dc:creator>
  <cp:keywords/>
  <dc:description/>
  <cp:lastModifiedBy>Chantal-Anne Andrews</cp:lastModifiedBy>
  <cp:revision>15</cp:revision>
  <cp:lastPrinted>2022-10-25T06:40:00Z</cp:lastPrinted>
  <dcterms:created xsi:type="dcterms:W3CDTF">2022-10-20T06:51:00Z</dcterms:created>
  <dcterms:modified xsi:type="dcterms:W3CDTF">2022-10-27T07:30:00Z</dcterms:modified>
</cp:coreProperties>
</file>