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24F1" w:rsidRPr="00725C7B" w:rsidRDefault="006724F1" w:rsidP="006724F1">
      <w:pPr>
        <w:spacing w:line="360" w:lineRule="auto"/>
        <w:ind w:left="720"/>
        <w:jc w:val="both"/>
        <w:rPr>
          <w:noProof/>
          <w:color w:val="1F497D"/>
          <w:sz w:val="16"/>
          <w:szCs w:val="16"/>
          <w:lang w:eastAsia="en-ZA"/>
        </w:rPr>
      </w:pPr>
      <w:bookmarkStart w:id="0" w:name="_GoBack"/>
      <w:bookmarkEnd w:id="0"/>
      <w:r>
        <w:rPr>
          <w:noProof/>
          <w:lang w:eastAsia="en-ZA"/>
        </w:rPr>
        <w:drawing>
          <wp:anchor distT="0" distB="0" distL="114300" distR="114300" simplePos="0" relativeHeight="251659264" behindDoc="1" locked="0" layoutInCell="1" allowOverlap="1">
            <wp:simplePos x="0" y="0"/>
            <wp:positionH relativeFrom="column">
              <wp:posOffset>2131695</wp:posOffset>
            </wp:positionH>
            <wp:positionV relativeFrom="paragraph">
              <wp:posOffset>-696595</wp:posOffset>
            </wp:positionV>
            <wp:extent cx="1247775" cy="1247775"/>
            <wp:effectExtent l="0" t="0" r="9525" b="9525"/>
            <wp:wrapNone/>
            <wp:docPr id="1" name="Picture 1" descr="cid:image005.png@01D12061.663682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5.png@01D12061.663682A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47775"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24F1" w:rsidRPr="00725C7B" w:rsidRDefault="006724F1" w:rsidP="006724F1">
      <w:pPr>
        <w:spacing w:line="360" w:lineRule="auto"/>
        <w:ind w:left="720"/>
        <w:jc w:val="both"/>
        <w:rPr>
          <w:b/>
          <w:bCs/>
        </w:rPr>
      </w:pPr>
    </w:p>
    <w:p w:rsidR="006724F1" w:rsidRDefault="006724F1" w:rsidP="006724F1">
      <w:pPr>
        <w:spacing w:line="360" w:lineRule="auto"/>
        <w:ind w:left="720"/>
        <w:jc w:val="both"/>
        <w:rPr>
          <w:b/>
          <w:bCs/>
        </w:rPr>
      </w:pPr>
    </w:p>
    <w:p w:rsidR="006724F1" w:rsidRPr="003B461A" w:rsidRDefault="006724F1" w:rsidP="00F4257E">
      <w:pPr>
        <w:spacing w:line="360" w:lineRule="auto"/>
        <w:jc w:val="center"/>
      </w:pPr>
      <w:r w:rsidRPr="003B461A">
        <w:rPr>
          <w:b/>
          <w:bCs/>
        </w:rPr>
        <w:t>IN THE HIGH COURT OF SOUTH AFRICA</w:t>
      </w:r>
    </w:p>
    <w:p w:rsidR="006724F1" w:rsidRPr="003B461A" w:rsidRDefault="006724F1" w:rsidP="00F4257E">
      <w:pPr>
        <w:spacing w:line="276" w:lineRule="auto"/>
        <w:jc w:val="center"/>
        <w:rPr>
          <w:b/>
          <w:bCs/>
        </w:rPr>
      </w:pPr>
      <w:r w:rsidRPr="003B461A">
        <w:rPr>
          <w:b/>
          <w:bCs/>
        </w:rPr>
        <w:t>(WESTERN CAPE DIVISION, CAPE TOWN)</w:t>
      </w:r>
    </w:p>
    <w:p w:rsidR="008A5E0B" w:rsidRDefault="008A5E0B" w:rsidP="008A5E0B">
      <w:pPr>
        <w:spacing w:line="360" w:lineRule="auto"/>
        <w:rPr>
          <w:b/>
          <w:bCs/>
        </w:rPr>
      </w:pPr>
    </w:p>
    <w:p w:rsidR="00B875EB" w:rsidRDefault="00B875EB" w:rsidP="00B875EB">
      <w:pPr>
        <w:spacing w:line="276" w:lineRule="auto"/>
        <w:ind w:right="-46"/>
        <w:jc w:val="right"/>
        <w:rPr>
          <w:b/>
          <w:bCs/>
          <w:kern w:val="28"/>
          <w:lang w:eastAsia="en-ZA"/>
        </w:rPr>
      </w:pPr>
      <w:r>
        <w:rPr>
          <w:b/>
          <w:bCs/>
          <w:kern w:val="28"/>
          <w:lang w:eastAsia="en-ZA"/>
        </w:rPr>
        <w:t xml:space="preserve">Case No: </w:t>
      </w:r>
      <w:r w:rsidR="00B96740">
        <w:rPr>
          <w:b/>
          <w:bCs/>
          <w:kern w:val="28"/>
          <w:lang w:eastAsia="en-ZA"/>
        </w:rPr>
        <w:t>20317</w:t>
      </w:r>
      <w:r>
        <w:rPr>
          <w:b/>
          <w:bCs/>
          <w:kern w:val="28"/>
          <w:lang w:eastAsia="en-ZA"/>
        </w:rPr>
        <w:t>/201</w:t>
      </w:r>
      <w:r w:rsidR="00B96740">
        <w:rPr>
          <w:b/>
          <w:bCs/>
          <w:kern w:val="28"/>
          <w:lang w:eastAsia="en-ZA"/>
        </w:rPr>
        <w:t>7</w:t>
      </w:r>
    </w:p>
    <w:p w:rsidR="00FA2C2F" w:rsidRDefault="00FA2C2F" w:rsidP="00FA2C2F">
      <w:pPr>
        <w:spacing w:line="276" w:lineRule="auto"/>
        <w:ind w:right="-46"/>
        <w:jc w:val="right"/>
        <w:rPr>
          <w:b/>
          <w:bCs/>
          <w:kern w:val="28"/>
          <w:lang w:eastAsia="en-ZA"/>
        </w:rPr>
      </w:pPr>
    </w:p>
    <w:p w:rsidR="00165642" w:rsidRPr="00165642" w:rsidRDefault="00FA2C2F" w:rsidP="00B875EB">
      <w:pPr>
        <w:spacing w:line="600" w:lineRule="auto"/>
        <w:ind w:right="-46"/>
        <w:rPr>
          <w:bCs/>
          <w:kern w:val="28"/>
          <w:lang w:eastAsia="en-ZA"/>
        </w:rPr>
      </w:pPr>
      <w:r>
        <w:rPr>
          <w:bCs/>
          <w:kern w:val="28"/>
          <w:lang w:eastAsia="en-ZA"/>
        </w:rPr>
        <w:t>In the matter between:</w:t>
      </w:r>
      <w:r w:rsidR="00165642">
        <w:t xml:space="preserve">       </w:t>
      </w:r>
    </w:p>
    <w:p w:rsidR="00B875EB" w:rsidRDefault="00B875EB" w:rsidP="00B875EB">
      <w:pPr>
        <w:widowControl w:val="0"/>
        <w:overflowPunct w:val="0"/>
        <w:adjustRightInd w:val="0"/>
        <w:spacing w:line="276" w:lineRule="auto"/>
        <w:ind w:right="-46"/>
        <w:rPr>
          <w:b/>
          <w:bCs/>
          <w:kern w:val="28"/>
          <w:lang w:eastAsia="en-ZA"/>
        </w:rPr>
      </w:pPr>
    </w:p>
    <w:p w:rsidR="00B96740" w:rsidRDefault="00B96740" w:rsidP="00B96740">
      <w:pPr>
        <w:tabs>
          <w:tab w:val="right" w:pos="10421"/>
        </w:tabs>
        <w:spacing w:line="360" w:lineRule="auto"/>
        <w:jc w:val="both"/>
      </w:pPr>
      <w:r>
        <w:rPr>
          <w:b/>
        </w:rPr>
        <w:t>ROGER COENRAAD HOFFMAN N.O.</w:t>
      </w:r>
      <w:r>
        <w:rPr>
          <w:b/>
        </w:rPr>
        <w:tab/>
        <w:t xml:space="preserve">                  </w:t>
      </w:r>
      <w:r>
        <w:t xml:space="preserve">First Plaintiff </w:t>
      </w:r>
    </w:p>
    <w:p w:rsidR="00B96740" w:rsidRDefault="00B96740" w:rsidP="00B96740">
      <w:pPr>
        <w:tabs>
          <w:tab w:val="right" w:pos="10421"/>
        </w:tabs>
        <w:spacing w:line="360" w:lineRule="auto"/>
        <w:jc w:val="both"/>
      </w:pPr>
      <w:r>
        <w:rPr>
          <w:b/>
        </w:rPr>
        <w:t xml:space="preserve">DIANNE LIESA HOFFMAN N.O. </w:t>
      </w:r>
      <w:r>
        <w:rPr>
          <w:b/>
        </w:rPr>
        <w:tab/>
        <w:t xml:space="preserve">                  </w:t>
      </w:r>
      <w:r>
        <w:t xml:space="preserve">Second Plaintiff </w:t>
      </w:r>
    </w:p>
    <w:p w:rsidR="00B875EB" w:rsidRDefault="00B875EB" w:rsidP="00B875EB">
      <w:pPr>
        <w:spacing w:line="360" w:lineRule="auto"/>
        <w:jc w:val="both"/>
      </w:pPr>
    </w:p>
    <w:p w:rsidR="00B875EB" w:rsidRDefault="00B875EB" w:rsidP="00B875EB">
      <w:pPr>
        <w:tabs>
          <w:tab w:val="right" w:pos="8460"/>
        </w:tabs>
        <w:spacing w:line="360" w:lineRule="auto"/>
        <w:jc w:val="both"/>
      </w:pPr>
      <w:r>
        <w:t>and</w:t>
      </w:r>
    </w:p>
    <w:p w:rsidR="00B875EB" w:rsidRDefault="00B875EB" w:rsidP="00B875EB">
      <w:pPr>
        <w:tabs>
          <w:tab w:val="right" w:pos="8460"/>
        </w:tabs>
        <w:spacing w:line="360" w:lineRule="auto"/>
        <w:jc w:val="both"/>
        <w:rPr>
          <w:b/>
        </w:rPr>
      </w:pPr>
    </w:p>
    <w:p w:rsidR="00B875EB" w:rsidRDefault="00B96740" w:rsidP="00B875EB">
      <w:pPr>
        <w:tabs>
          <w:tab w:val="right" w:pos="10421"/>
        </w:tabs>
        <w:spacing w:line="360" w:lineRule="auto"/>
        <w:jc w:val="both"/>
      </w:pPr>
      <w:r>
        <w:rPr>
          <w:b/>
        </w:rPr>
        <w:t>LIVEWELL DEVCO 1 (PTY) LTD</w:t>
      </w:r>
      <w:r w:rsidR="00B875EB">
        <w:rPr>
          <w:b/>
        </w:rPr>
        <w:tab/>
        <w:t xml:space="preserve">                  </w:t>
      </w:r>
      <w:r w:rsidR="00B875EB">
        <w:t xml:space="preserve">Defendant </w:t>
      </w:r>
    </w:p>
    <w:p w:rsidR="00B875EB" w:rsidRDefault="00B875EB" w:rsidP="00B875EB">
      <w:pPr>
        <w:spacing w:line="276" w:lineRule="auto"/>
        <w:rPr>
          <w:b/>
          <w:bCs/>
          <w:kern w:val="28"/>
          <w:lang w:eastAsia="en-ZA"/>
        </w:rPr>
      </w:pPr>
      <w:r>
        <w:rPr>
          <w:b/>
        </w:rPr>
        <w:t xml:space="preserve">                                                        </w:t>
      </w:r>
    </w:p>
    <w:p w:rsidR="00FA2C2F" w:rsidRDefault="00FA2C2F"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rPr>
          <w:b/>
        </w:rPr>
      </w:pPr>
    </w:p>
    <w:p w:rsidR="007E0C13" w:rsidRPr="00E4144F" w:rsidRDefault="00D77613" w:rsidP="00AE4108">
      <w:pPr>
        <w:tabs>
          <w:tab w:val="left" w:pos="-1076"/>
          <w:tab w:val="left" w:pos="-720"/>
          <w:tab w:val="left" w:pos="0"/>
          <w:tab w:val="left" w:pos="720"/>
          <w:tab w:val="left" w:pos="1440"/>
          <w:tab w:val="left" w:pos="2160"/>
          <w:tab w:val="left" w:pos="2880"/>
          <w:tab w:val="left" w:pos="3600"/>
          <w:tab w:val="left" w:pos="4320"/>
          <w:tab w:val="left" w:pos="5040"/>
          <w:tab w:val="left" w:pos="5817"/>
          <w:tab w:val="left" w:pos="6237"/>
          <w:tab w:val="left" w:pos="6859"/>
          <w:tab w:val="left" w:pos="7920"/>
        </w:tabs>
        <w:spacing w:line="480" w:lineRule="auto"/>
      </w:pPr>
      <w:r w:rsidRPr="00E33BD4">
        <w:rPr>
          <w:b/>
        </w:rPr>
        <w:t>Coram:</w:t>
      </w:r>
      <w:r w:rsidR="00166F0F">
        <w:t xml:space="preserve"> </w:t>
      </w:r>
      <w:r w:rsidR="00AF631F">
        <w:t>Justice J Cloete</w:t>
      </w:r>
    </w:p>
    <w:p w:rsidR="007E0C13" w:rsidRDefault="00D77613" w:rsidP="004C3172">
      <w:pPr>
        <w:tabs>
          <w:tab w:val="right" w:pos="9072"/>
        </w:tabs>
        <w:spacing w:line="480" w:lineRule="auto"/>
        <w:jc w:val="both"/>
      </w:pPr>
      <w:r w:rsidRPr="00E33BD4">
        <w:rPr>
          <w:b/>
        </w:rPr>
        <w:t>Heard:</w:t>
      </w:r>
      <w:r w:rsidR="00166F0F">
        <w:t xml:space="preserve"> </w:t>
      </w:r>
      <w:r w:rsidR="00B96740">
        <w:t>31 August 2022</w:t>
      </w:r>
    </w:p>
    <w:p w:rsidR="00313AFF" w:rsidRDefault="00313AFF" w:rsidP="004C3172">
      <w:pPr>
        <w:tabs>
          <w:tab w:val="right" w:pos="9072"/>
        </w:tabs>
        <w:spacing w:line="480" w:lineRule="auto"/>
        <w:jc w:val="both"/>
      </w:pPr>
      <w:r>
        <w:rPr>
          <w:b/>
        </w:rPr>
        <w:t>Delivered</w:t>
      </w:r>
      <w:r w:rsidR="001B7B6F">
        <w:rPr>
          <w:b/>
        </w:rPr>
        <w:t xml:space="preserve"> electronically</w:t>
      </w:r>
      <w:r>
        <w:rPr>
          <w:b/>
        </w:rPr>
        <w:t>:</w:t>
      </w:r>
      <w:r>
        <w:t xml:space="preserve"> </w:t>
      </w:r>
      <w:r w:rsidR="00BA7A24">
        <w:t>28 October 2022</w:t>
      </w:r>
    </w:p>
    <w:p w:rsidR="007E0C13" w:rsidRPr="003B461A" w:rsidRDefault="007E0C13" w:rsidP="003B461A">
      <w:pPr>
        <w:pBdr>
          <w:bottom w:val="single" w:sz="4" w:space="1" w:color="auto"/>
        </w:pBdr>
        <w:tabs>
          <w:tab w:val="right" w:pos="8400"/>
        </w:tabs>
        <w:spacing w:before="60" w:after="60"/>
        <w:jc w:val="both"/>
        <w:rPr>
          <w:sz w:val="26"/>
          <w:szCs w:val="26"/>
        </w:rPr>
      </w:pPr>
    </w:p>
    <w:p w:rsidR="007E0C13" w:rsidRPr="003B461A" w:rsidRDefault="007E0C13" w:rsidP="003B461A">
      <w:pPr>
        <w:tabs>
          <w:tab w:val="right" w:pos="8400"/>
        </w:tabs>
        <w:spacing w:before="60" w:after="60"/>
        <w:jc w:val="both"/>
        <w:rPr>
          <w:sz w:val="26"/>
          <w:szCs w:val="26"/>
        </w:rPr>
      </w:pPr>
    </w:p>
    <w:p w:rsidR="007E0C13" w:rsidRPr="003B461A" w:rsidRDefault="002D1856" w:rsidP="00D77613">
      <w:pPr>
        <w:tabs>
          <w:tab w:val="right" w:pos="8400"/>
        </w:tabs>
        <w:spacing w:before="60" w:after="60"/>
        <w:jc w:val="center"/>
        <w:rPr>
          <w:b/>
          <w:sz w:val="26"/>
          <w:szCs w:val="26"/>
        </w:rPr>
      </w:pPr>
      <w:r>
        <w:rPr>
          <w:b/>
          <w:sz w:val="26"/>
          <w:szCs w:val="26"/>
        </w:rPr>
        <w:t xml:space="preserve">JUDGMENT </w:t>
      </w:r>
    </w:p>
    <w:p w:rsidR="007E0C13" w:rsidRPr="003B461A" w:rsidRDefault="007E0C13" w:rsidP="003B461A">
      <w:pPr>
        <w:pBdr>
          <w:bottom w:val="single" w:sz="4" w:space="1" w:color="auto"/>
        </w:pBdr>
        <w:tabs>
          <w:tab w:val="right" w:pos="8400"/>
        </w:tabs>
        <w:spacing w:before="60" w:after="60"/>
        <w:jc w:val="both"/>
        <w:rPr>
          <w:sz w:val="26"/>
          <w:szCs w:val="26"/>
        </w:rPr>
      </w:pPr>
    </w:p>
    <w:p w:rsidR="003B461A" w:rsidRPr="00A46FAA" w:rsidRDefault="003B461A" w:rsidP="003B461A">
      <w:pPr>
        <w:jc w:val="both"/>
        <w:rPr>
          <w:rFonts w:eastAsiaTheme="minorHAnsi"/>
          <w:u w:val="single"/>
          <w:lang w:eastAsia="en-US"/>
        </w:rPr>
      </w:pPr>
    </w:p>
    <w:p w:rsidR="003B461A" w:rsidRDefault="00E4144F" w:rsidP="007134CF">
      <w:pPr>
        <w:jc w:val="both"/>
        <w:rPr>
          <w:rFonts w:eastAsiaTheme="minorHAnsi"/>
          <w:b/>
          <w:lang w:eastAsia="en-US"/>
        </w:rPr>
      </w:pPr>
      <w:r w:rsidRPr="00FD66FB">
        <w:rPr>
          <w:rFonts w:eastAsiaTheme="minorHAnsi"/>
          <w:b/>
          <w:u w:val="single"/>
          <w:lang w:eastAsia="en-US"/>
        </w:rPr>
        <w:t>CLOETE J</w:t>
      </w:r>
      <w:r w:rsidR="003D0062">
        <w:rPr>
          <w:rFonts w:eastAsiaTheme="minorHAnsi"/>
          <w:b/>
          <w:lang w:eastAsia="en-US"/>
        </w:rPr>
        <w:t>:</w:t>
      </w:r>
    </w:p>
    <w:p w:rsidR="00577B2C" w:rsidRDefault="00577B2C" w:rsidP="007134CF">
      <w:pPr>
        <w:jc w:val="both"/>
        <w:rPr>
          <w:rFonts w:eastAsiaTheme="minorHAnsi"/>
          <w:b/>
          <w:u w:val="single"/>
          <w:lang w:eastAsia="en-US"/>
        </w:rPr>
      </w:pPr>
    </w:p>
    <w:p w:rsidR="00577B2C" w:rsidRDefault="00577B2C" w:rsidP="007134CF">
      <w:pPr>
        <w:jc w:val="both"/>
        <w:rPr>
          <w:rFonts w:eastAsiaTheme="minorHAnsi"/>
          <w:b/>
          <w:u w:val="single"/>
          <w:lang w:eastAsia="en-US"/>
        </w:rPr>
      </w:pPr>
      <w:r>
        <w:rPr>
          <w:rFonts w:eastAsiaTheme="minorHAnsi"/>
          <w:b/>
          <w:u w:val="single"/>
          <w:lang w:eastAsia="en-US"/>
        </w:rPr>
        <w:t>Introduction</w:t>
      </w:r>
    </w:p>
    <w:p w:rsidR="00577B2C" w:rsidRPr="00577B2C" w:rsidRDefault="00577B2C" w:rsidP="007134CF">
      <w:pPr>
        <w:jc w:val="both"/>
        <w:rPr>
          <w:rFonts w:eastAsiaTheme="minorHAnsi"/>
          <w:b/>
          <w:u w:val="single"/>
          <w:lang w:eastAsia="en-US"/>
        </w:rPr>
      </w:pPr>
    </w:p>
    <w:p w:rsidR="00463FFB" w:rsidRDefault="00463FFB" w:rsidP="003B461A">
      <w:pPr>
        <w:jc w:val="both"/>
        <w:rPr>
          <w:rFonts w:eastAsiaTheme="minorHAnsi"/>
          <w:b/>
          <w:lang w:eastAsia="en-US"/>
        </w:rPr>
      </w:pPr>
    </w:p>
    <w:p w:rsidR="00D4266A" w:rsidRDefault="000617D6" w:rsidP="000617D6">
      <w:pPr>
        <w:spacing w:after="480" w:line="480" w:lineRule="auto"/>
        <w:ind w:left="720" w:hanging="720"/>
        <w:jc w:val="both"/>
      </w:pPr>
      <w:r>
        <w:t>[1]</w:t>
      </w:r>
      <w:r>
        <w:tab/>
      </w:r>
      <w:r w:rsidR="000728A2">
        <w:t>T</w:t>
      </w:r>
      <w:r w:rsidR="00B96740">
        <w:t>he plaintiffs, in their capacit</w:t>
      </w:r>
      <w:r w:rsidR="0026237D">
        <w:t>ies</w:t>
      </w:r>
      <w:r w:rsidR="00B96740">
        <w:t xml:space="preserve"> as the trustees for the time being of the Rocon Trust (“the trust”) instituted action against the defendant during November 2017 for payment of R7 275 121.56, being the alleged balance due in terms of an </w:t>
      </w:r>
      <w:r w:rsidR="00B96740">
        <w:lastRenderedPageBreak/>
        <w:t>oral agreement to execute various building projects for and on behalf of the defendant.</w:t>
      </w:r>
    </w:p>
    <w:p w:rsidR="00D4266A" w:rsidRDefault="000617D6" w:rsidP="000617D6">
      <w:pPr>
        <w:spacing w:after="480" w:line="480" w:lineRule="auto"/>
        <w:ind w:left="720" w:hanging="720"/>
        <w:jc w:val="both"/>
      </w:pPr>
      <w:r>
        <w:t>[2]</w:t>
      </w:r>
      <w:r>
        <w:tab/>
      </w:r>
      <w:r w:rsidR="00D4266A">
        <w:t>Initially, the dispute centred mainly around whether the work reflected on the invoices was indeed executed and whether the total invoiced amount of R60 519 802.56 represents the contract price payable to the trust in terms of its agreement with the defendant.</w:t>
      </w:r>
    </w:p>
    <w:p w:rsidR="00D4266A" w:rsidRDefault="000617D6" w:rsidP="000617D6">
      <w:pPr>
        <w:spacing w:after="480" w:line="480" w:lineRule="auto"/>
        <w:ind w:left="720" w:hanging="720"/>
        <w:jc w:val="both"/>
      </w:pPr>
      <w:r>
        <w:t>[3]</w:t>
      </w:r>
      <w:r>
        <w:tab/>
      </w:r>
      <w:r w:rsidR="00D4266A">
        <w:t xml:space="preserve">In December 2020, the defendant amended its plea and raised certain new defences. Briefly, these new defences relate to the following: </w:t>
      </w:r>
    </w:p>
    <w:p w:rsidR="00D4266A" w:rsidRDefault="00D4266A" w:rsidP="00D4266A">
      <w:pPr>
        <w:spacing w:after="480" w:line="480" w:lineRule="auto"/>
        <w:ind w:left="1440" w:hanging="720"/>
        <w:jc w:val="both"/>
      </w:pPr>
      <w:r>
        <w:t>3.1</w:t>
      </w:r>
      <w:r>
        <w:tab/>
        <w:t xml:space="preserve">An allegation that the plaintiffs had no authority to act </w:t>
      </w:r>
      <w:r>
        <w:rPr>
          <w:i/>
        </w:rPr>
        <w:t>qua</w:t>
      </w:r>
      <w:r>
        <w:t xml:space="preserve"> trustees of the trust because its trust deed is invalid for the reasons set out in the amended plea; alternatively</w:t>
      </w:r>
    </w:p>
    <w:p w:rsidR="00D4266A" w:rsidRDefault="00D4266A" w:rsidP="00D4266A">
      <w:pPr>
        <w:spacing w:after="480" w:line="480" w:lineRule="auto"/>
        <w:ind w:left="1440" w:hanging="720"/>
        <w:jc w:val="both"/>
      </w:pPr>
      <w:r>
        <w:t>3.2</w:t>
      </w:r>
      <w:r>
        <w:tab/>
        <w:t>If the trust deed is valid, a denial that the plaintiffs had the necessary authority in terms of the trust deed to enter into the agreement with the defendant to perform the building and related work.</w:t>
      </w:r>
    </w:p>
    <w:p w:rsidR="00D4266A" w:rsidRDefault="000617D6" w:rsidP="000617D6">
      <w:pPr>
        <w:spacing w:after="480" w:line="480" w:lineRule="auto"/>
        <w:ind w:left="720" w:hanging="720"/>
        <w:jc w:val="both"/>
      </w:pPr>
      <w:r>
        <w:t>[4]</w:t>
      </w:r>
      <w:r>
        <w:tab/>
      </w:r>
      <w:r w:rsidR="00D4266A">
        <w:t xml:space="preserve">On 10 May 2021 the plaintiffs delivered </w:t>
      </w:r>
      <w:r w:rsidR="00D4266A">
        <w:rPr>
          <w:i/>
        </w:rPr>
        <w:t>‘Notices in terms of rule 10 and rule 28’</w:t>
      </w:r>
      <w:r w:rsidR="00D4266A" w:rsidRPr="00A92ACA">
        <w:rPr>
          <w:rStyle w:val="FootnoteReference"/>
        </w:rPr>
        <w:footnoteReference w:id="1"/>
      </w:r>
      <w:r w:rsidR="00A92ACA">
        <w:t xml:space="preserve"> in which they gave notice of their intention:</w:t>
      </w:r>
    </w:p>
    <w:p w:rsidR="00A92ACA" w:rsidRDefault="00A92ACA" w:rsidP="00A92ACA">
      <w:pPr>
        <w:spacing w:after="480" w:line="480" w:lineRule="auto"/>
        <w:ind w:left="1440" w:hanging="720"/>
        <w:jc w:val="both"/>
      </w:pPr>
      <w:r>
        <w:lastRenderedPageBreak/>
        <w:t>4.1</w:t>
      </w:r>
      <w:r>
        <w:tab/>
        <w:t>To join the first plaintiff in his personal capacity as third plaintiff and to introduce a second, alternative claim against the defendant by him in his personal capacity, based on unjust enrichment; and</w:t>
      </w:r>
    </w:p>
    <w:p w:rsidR="00A92ACA" w:rsidRDefault="00A92ACA" w:rsidP="00A92ACA">
      <w:pPr>
        <w:spacing w:after="480" w:line="480" w:lineRule="auto"/>
        <w:ind w:left="1440" w:hanging="720"/>
        <w:jc w:val="both"/>
      </w:pPr>
      <w:r>
        <w:t>4.2</w:t>
      </w:r>
      <w:r>
        <w:tab/>
        <w:t>To amend the particulars of claim to deal with the allegations by the defendant regarding the trust deed and to add an alternative claim by the trust, based on unjust enrichment, in the event of the trial court finding in favour of the defendant on the issue of authority of the plaintiffs to have concluded the oral agreement with the defendant.</w:t>
      </w:r>
    </w:p>
    <w:p w:rsidR="00A92ACA" w:rsidRDefault="000617D6" w:rsidP="000617D6">
      <w:pPr>
        <w:spacing w:after="480" w:line="480" w:lineRule="auto"/>
        <w:ind w:left="720" w:hanging="720"/>
        <w:jc w:val="both"/>
      </w:pPr>
      <w:r>
        <w:t>[5]</w:t>
      </w:r>
      <w:r>
        <w:tab/>
      </w:r>
      <w:r w:rsidR="00A92ACA">
        <w:t xml:space="preserve">On 21 May 2021 the defendant </w:t>
      </w:r>
      <w:r w:rsidR="00DD6FD9">
        <w:t>served</w:t>
      </w:r>
      <w:r w:rsidR="00A92ACA">
        <w:t xml:space="preserve"> a notice of objection in which it raised 6 grounds. Although the parties agreed that </w:t>
      </w:r>
      <w:r w:rsidR="00DD6FD9">
        <w:t>the proposed joinder and amendments</w:t>
      </w:r>
      <w:r w:rsidR="00A92ACA">
        <w:t xml:space="preserve"> should be decided separately, they were unable to reach agreement regarding which should be dealt with first. By that stage the matter was already under judicial case management in terms of rule 37A before Binns-Ward J. On 18 August 2021 the parties filed a pre-trial minute in which they set out their areas of disagreement. On 7 September 2021 the learned Judge made the following directions in terms of rule 37A(12):</w:t>
      </w:r>
    </w:p>
    <w:p w:rsidR="00A92ACA" w:rsidRDefault="00633C3E" w:rsidP="00633C3E">
      <w:pPr>
        <w:spacing w:line="360" w:lineRule="auto"/>
        <w:ind w:left="1440"/>
        <w:jc w:val="both"/>
        <w:rPr>
          <w:i/>
          <w:sz w:val="22"/>
          <w:szCs w:val="22"/>
        </w:rPr>
      </w:pPr>
      <w:r>
        <w:rPr>
          <w:i/>
          <w:sz w:val="22"/>
          <w:szCs w:val="22"/>
        </w:rPr>
        <w:t>‘1.</w:t>
      </w:r>
      <w:r>
        <w:rPr>
          <w:i/>
          <w:sz w:val="22"/>
          <w:szCs w:val="22"/>
        </w:rPr>
        <w:tab/>
        <w:t>The parties are directed to proceed with an application for:-</w:t>
      </w:r>
    </w:p>
    <w:p w:rsidR="00633C3E" w:rsidRPr="000617D6" w:rsidRDefault="000617D6" w:rsidP="000617D6">
      <w:pPr>
        <w:spacing w:line="360" w:lineRule="auto"/>
        <w:ind w:left="2880" w:hanging="720"/>
        <w:jc w:val="both"/>
        <w:rPr>
          <w:i/>
          <w:sz w:val="22"/>
          <w:szCs w:val="22"/>
        </w:rPr>
      </w:pPr>
      <w:r w:rsidRPr="00633C3E">
        <w:rPr>
          <w:i/>
          <w:sz w:val="22"/>
          <w:szCs w:val="22"/>
        </w:rPr>
        <w:t>1.1</w:t>
      </w:r>
      <w:r w:rsidRPr="00633C3E">
        <w:rPr>
          <w:i/>
          <w:sz w:val="22"/>
          <w:szCs w:val="22"/>
        </w:rPr>
        <w:tab/>
      </w:r>
      <w:r w:rsidR="00633C3E" w:rsidRPr="000617D6">
        <w:rPr>
          <w:i/>
          <w:sz w:val="22"/>
          <w:szCs w:val="22"/>
        </w:rPr>
        <w:t>The joinder of “the third plaintiff”;</w:t>
      </w:r>
    </w:p>
    <w:p w:rsidR="00633C3E" w:rsidRPr="000617D6" w:rsidRDefault="000617D6" w:rsidP="000617D6">
      <w:pPr>
        <w:spacing w:line="360" w:lineRule="auto"/>
        <w:ind w:left="2880" w:hanging="720"/>
        <w:jc w:val="both"/>
        <w:rPr>
          <w:i/>
          <w:sz w:val="22"/>
          <w:szCs w:val="22"/>
        </w:rPr>
      </w:pPr>
      <w:r>
        <w:rPr>
          <w:i/>
          <w:sz w:val="22"/>
          <w:szCs w:val="22"/>
        </w:rPr>
        <w:t>1.2</w:t>
      </w:r>
      <w:r>
        <w:rPr>
          <w:i/>
          <w:sz w:val="22"/>
          <w:szCs w:val="22"/>
        </w:rPr>
        <w:tab/>
      </w:r>
      <w:r w:rsidR="00633C3E" w:rsidRPr="000617D6">
        <w:rPr>
          <w:i/>
          <w:sz w:val="22"/>
          <w:szCs w:val="22"/>
        </w:rPr>
        <w:t>The amendment of the particulars of claim;</w:t>
      </w:r>
    </w:p>
    <w:p w:rsidR="00633C3E" w:rsidRDefault="00DD6FD9" w:rsidP="00633C3E">
      <w:pPr>
        <w:spacing w:line="360" w:lineRule="auto"/>
        <w:ind w:left="2160"/>
        <w:jc w:val="both"/>
        <w:rPr>
          <w:i/>
          <w:sz w:val="22"/>
          <w:szCs w:val="22"/>
        </w:rPr>
      </w:pPr>
      <w:r>
        <w:rPr>
          <w:i/>
          <w:sz w:val="22"/>
          <w:szCs w:val="22"/>
        </w:rPr>
        <w:t>a</w:t>
      </w:r>
      <w:r w:rsidR="00633C3E">
        <w:rPr>
          <w:i/>
          <w:sz w:val="22"/>
          <w:szCs w:val="22"/>
        </w:rPr>
        <w:t>s described in paragraphs 3.4.1.3 and 3.5.2 of the pre-trial minute.</w:t>
      </w:r>
    </w:p>
    <w:p w:rsidR="00633C3E" w:rsidRDefault="00633C3E" w:rsidP="00633C3E">
      <w:pPr>
        <w:spacing w:line="360" w:lineRule="auto"/>
        <w:ind w:left="2160" w:hanging="720"/>
        <w:jc w:val="both"/>
        <w:rPr>
          <w:i/>
          <w:sz w:val="22"/>
          <w:szCs w:val="22"/>
        </w:rPr>
      </w:pPr>
      <w:r>
        <w:rPr>
          <w:i/>
          <w:sz w:val="22"/>
          <w:szCs w:val="22"/>
        </w:rPr>
        <w:t>2.</w:t>
      </w:r>
      <w:r>
        <w:rPr>
          <w:i/>
          <w:sz w:val="22"/>
          <w:szCs w:val="22"/>
        </w:rPr>
        <w:tab/>
        <w:t>The matter is removed from the pre-trial roll until after the determination of the aforementioned application(s).</w:t>
      </w:r>
      <w:r w:rsidR="00FF0E58">
        <w:rPr>
          <w:i/>
          <w:sz w:val="22"/>
          <w:szCs w:val="22"/>
        </w:rPr>
        <w:t>’</w:t>
      </w:r>
    </w:p>
    <w:p w:rsidR="00FF0E58" w:rsidRDefault="00FF0E58" w:rsidP="00633C3E">
      <w:pPr>
        <w:spacing w:line="360" w:lineRule="auto"/>
        <w:ind w:left="2160" w:hanging="720"/>
        <w:jc w:val="both"/>
        <w:rPr>
          <w:i/>
          <w:sz w:val="22"/>
          <w:szCs w:val="22"/>
        </w:rPr>
      </w:pPr>
    </w:p>
    <w:p w:rsidR="00FF0E58" w:rsidRPr="00633C3E" w:rsidRDefault="00FF0E58" w:rsidP="00633C3E">
      <w:pPr>
        <w:spacing w:line="360" w:lineRule="auto"/>
        <w:ind w:left="2160" w:hanging="720"/>
        <w:jc w:val="both"/>
        <w:rPr>
          <w:i/>
          <w:sz w:val="22"/>
          <w:szCs w:val="22"/>
        </w:rPr>
      </w:pPr>
    </w:p>
    <w:p w:rsidR="00A92ACA" w:rsidRDefault="000617D6" w:rsidP="000617D6">
      <w:pPr>
        <w:spacing w:after="480" w:line="480" w:lineRule="auto"/>
        <w:ind w:left="720" w:hanging="720"/>
        <w:jc w:val="both"/>
      </w:pPr>
      <w:r>
        <w:lastRenderedPageBreak/>
        <w:t>[6]</w:t>
      </w:r>
      <w:r>
        <w:tab/>
      </w:r>
      <w:r w:rsidR="00FF0E58">
        <w:t>The paragraphs of the pre-trial minute referred to in the case management Judge’s directions read as follows:</w:t>
      </w:r>
    </w:p>
    <w:p w:rsidR="00FF0E58" w:rsidRDefault="00A6082F" w:rsidP="00A6082F">
      <w:pPr>
        <w:tabs>
          <w:tab w:val="left" w:pos="2552"/>
        </w:tabs>
        <w:spacing w:after="120" w:line="360" w:lineRule="auto"/>
        <w:ind w:left="1440"/>
        <w:jc w:val="both"/>
        <w:rPr>
          <w:i/>
          <w:sz w:val="22"/>
          <w:szCs w:val="22"/>
        </w:rPr>
      </w:pPr>
      <w:r>
        <w:rPr>
          <w:i/>
          <w:sz w:val="22"/>
          <w:szCs w:val="22"/>
        </w:rPr>
        <w:t>‘3.4.1.3</w:t>
      </w:r>
      <w:r>
        <w:rPr>
          <w:i/>
          <w:sz w:val="22"/>
          <w:szCs w:val="22"/>
        </w:rPr>
        <w:tab/>
        <w:t>Are the plaintiffs precluded:</w:t>
      </w:r>
    </w:p>
    <w:p w:rsidR="00A6082F" w:rsidRDefault="00725E0C" w:rsidP="00A6082F">
      <w:pPr>
        <w:tabs>
          <w:tab w:val="left" w:pos="2552"/>
        </w:tabs>
        <w:spacing w:after="120" w:line="360" w:lineRule="auto"/>
        <w:ind w:left="1440"/>
        <w:jc w:val="both"/>
        <w:rPr>
          <w:i/>
          <w:sz w:val="22"/>
          <w:szCs w:val="22"/>
        </w:rPr>
      </w:pPr>
      <w:r>
        <w:rPr>
          <w:i/>
          <w:sz w:val="22"/>
          <w:szCs w:val="22"/>
        </w:rPr>
        <w:tab/>
      </w:r>
      <w:r w:rsidR="00A6082F">
        <w:rPr>
          <w:i/>
          <w:sz w:val="22"/>
          <w:szCs w:val="22"/>
        </w:rPr>
        <w:t>3.4.1.</w:t>
      </w:r>
      <w:r>
        <w:rPr>
          <w:i/>
          <w:sz w:val="22"/>
          <w:szCs w:val="22"/>
        </w:rPr>
        <w:t>3.1</w:t>
      </w:r>
      <w:r>
        <w:rPr>
          <w:i/>
          <w:sz w:val="22"/>
          <w:szCs w:val="22"/>
        </w:rPr>
        <w:tab/>
        <w:t xml:space="preserve">from joining the third plaintiff and or </w:t>
      </w:r>
    </w:p>
    <w:p w:rsidR="00725E0C" w:rsidRDefault="00725E0C" w:rsidP="00A6082F">
      <w:pPr>
        <w:tabs>
          <w:tab w:val="left" w:pos="2552"/>
        </w:tabs>
        <w:spacing w:after="120" w:line="360" w:lineRule="auto"/>
        <w:ind w:left="1440"/>
        <w:jc w:val="both"/>
        <w:rPr>
          <w:i/>
          <w:sz w:val="22"/>
          <w:szCs w:val="22"/>
        </w:rPr>
      </w:pPr>
      <w:r>
        <w:rPr>
          <w:i/>
          <w:sz w:val="22"/>
          <w:szCs w:val="22"/>
        </w:rPr>
        <w:tab/>
        <w:t>3.4.1.3.2</w:t>
      </w:r>
      <w:r>
        <w:rPr>
          <w:i/>
          <w:sz w:val="22"/>
          <w:szCs w:val="22"/>
        </w:rPr>
        <w:tab/>
        <w:t>from amending their Particulars of Claim;</w:t>
      </w:r>
    </w:p>
    <w:p w:rsidR="00725E0C" w:rsidRDefault="00725E0C" w:rsidP="00725E0C">
      <w:pPr>
        <w:tabs>
          <w:tab w:val="left" w:pos="2552"/>
        </w:tabs>
        <w:spacing w:after="120" w:line="360" w:lineRule="auto"/>
        <w:ind w:left="2552" w:hanging="1112"/>
        <w:jc w:val="both"/>
        <w:rPr>
          <w:i/>
          <w:sz w:val="22"/>
          <w:szCs w:val="22"/>
        </w:rPr>
      </w:pPr>
      <w:r>
        <w:rPr>
          <w:i/>
          <w:sz w:val="22"/>
          <w:szCs w:val="22"/>
        </w:rPr>
        <w:tab/>
        <w:t>as more fully set out in their Notice in terms of Rules 10 and 28, dated 6 May 2021,</w:t>
      </w:r>
      <w:r w:rsidRPr="00725E0C">
        <w:rPr>
          <w:rStyle w:val="FootnoteReference"/>
          <w:sz w:val="22"/>
          <w:szCs w:val="22"/>
        </w:rPr>
        <w:footnoteReference w:id="2"/>
      </w:r>
      <w:r w:rsidRPr="00725E0C">
        <w:rPr>
          <w:sz w:val="22"/>
          <w:szCs w:val="22"/>
        </w:rPr>
        <w:t xml:space="preserve"> </w:t>
      </w:r>
      <w:r>
        <w:rPr>
          <w:i/>
          <w:sz w:val="22"/>
          <w:szCs w:val="22"/>
        </w:rPr>
        <w:t>for one or more of the objections raised by the defendant in its objection, dated 20 May 2021?</w:t>
      </w:r>
    </w:p>
    <w:p w:rsidR="00725E0C" w:rsidRDefault="00725E0C" w:rsidP="00725E0C">
      <w:pPr>
        <w:tabs>
          <w:tab w:val="left" w:pos="2552"/>
        </w:tabs>
        <w:spacing w:after="120" w:line="360" w:lineRule="auto"/>
        <w:ind w:left="2552" w:hanging="1112"/>
        <w:jc w:val="both"/>
        <w:rPr>
          <w:i/>
          <w:sz w:val="22"/>
          <w:szCs w:val="22"/>
        </w:rPr>
      </w:pPr>
      <w:r>
        <w:rPr>
          <w:i/>
          <w:sz w:val="22"/>
          <w:szCs w:val="22"/>
        </w:rPr>
        <w:tab/>
        <w:t>The plaintiffs maintain that it is imperative that the Court is asked to determine the last mentioned aspects separately as well…</w:t>
      </w:r>
    </w:p>
    <w:p w:rsidR="00725E0C" w:rsidRDefault="00725E0C" w:rsidP="00725E0C">
      <w:pPr>
        <w:tabs>
          <w:tab w:val="left" w:pos="2552"/>
        </w:tabs>
        <w:spacing w:after="120" w:line="360" w:lineRule="auto"/>
        <w:ind w:left="2552" w:hanging="1112"/>
        <w:jc w:val="both"/>
        <w:rPr>
          <w:i/>
          <w:sz w:val="22"/>
          <w:szCs w:val="22"/>
        </w:rPr>
      </w:pPr>
      <w:r>
        <w:rPr>
          <w:i/>
          <w:sz w:val="22"/>
          <w:szCs w:val="22"/>
        </w:rPr>
        <w:t>3.5.2</w:t>
      </w:r>
      <w:r>
        <w:rPr>
          <w:i/>
          <w:sz w:val="22"/>
          <w:szCs w:val="22"/>
        </w:rPr>
        <w:tab/>
        <w:t>With reference to the issues regarding procedure followed in the process during the future conduct of the proceedings:</w:t>
      </w:r>
    </w:p>
    <w:p w:rsidR="00725E0C" w:rsidRDefault="00725E0C" w:rsidP="00725E0C">
      <w:pPr>
        <w:tabs>
          <w:tab w:val="left" w:pos="2552"/>
        </w:tabs>
        <w:spacing w:after="120" w:line="360" w:lineRule="auto"/>
        <w:ind w:left="3600" w:hanging="2160"/>
        <w:jc w:val="both"/>
        <w:rPr>
          <w:i/>
          <w:sz w:val="22"/>
          <w:szCs w:val="22"/>
        </w:rPr>
      </w:pPr>
      <w:r>
        <w:rPr>
          <w:i/>
          <w:sz w:val="22"/>
          <w:szCs w:val="22"/>
        </w:rPr>
        <w:tab/>
        <w:t>3.5.2.1</w:t>
      </w:r>
      <w:r>
        <w:rPr>
          <w:i/>
          <w:sz w:val="22"/>
          <w:szCs w:val="22"/>
        </w:rPr>
        <w:tab/>
        <w:t xml:space="preserve">whether there is any reason for the Honourable Court to adjudicate the objections regarding the notices… in light of the </w:t>
      </w:r>
      <w:r w:rsidRPr="00725E0C">
        <w:rPr>
          <w:sz w:val="22"/>
          <w:szCs w:val="22"/>
        </w:rPr>
        <w:t>dies</w:t>
      </w:r>
      <w:r>
        <w:rPr>
          <w:i/>
          <w:sz w:val="22"/>
          <w:szCs w:val="22"/>
        </w:rPr>
        <w:t xml:space="preserve"> in terms of Rule 28(4) having lapsed subsequent to the Defendant’s objection;</w:t>
      </w:r>
    </w:p>
    <w:p w:rsidR="00725E0C" w:rsidRDefault="00725E0C" w:rsidP="00725E0C">
      <w:pPr>
        <w:tabs>
          <w:tab w:val="left" w:pos="2552"/>
        </w:tabs>
        <w:spacing w:after="120" w:line="360" w:lineRule="auto"/>
        <w:ind w:left="3600" w:hanging="2160"/>
        <w:jc w:val="both"/>
        <w:rPr>
          <w:i/>
          <w:sz w:val="22"/>
          <w:szCs w:val="22"/>
        </w:rPr>
      </w:pPr>
      <w:r>
        <w:rPr>
          <w:i/>
          <w:sz w:val="22"/>
          <w:szCs w:val="22"/>
        </w:rPr>
        <w:tab/>
        <w:t>3.5.2.2</w:t>
      </w:r>
      <w:r>
        <w:rPr>
          <w:i/>
          <w:sz w:val="22"/>
          <w:szCs w:val="22"/>
        </w:rPr>
        <w:tab/>
        <w:t xml:space="preserve">whether the Honourable Court would be able to adjudicate the questions regarding the joinder… or the consequential amendments to enable this… without the Plaintiffs following the provisions of </w:t>
      </w:r>
      <w:r>
        <w:rPr>
          <w:sz w:val="22"/>
          <w:szCs w:val="22"/>
        </w:rPr>
        <w:t>[the rules]</w:t>
      </w:r>
      <w:r>
        <w:rPr>
          <w:i/>
          <w:sz w:val="22"/>
          <w:szCs w:val="22"/>
        </w:rPr>
        <w:t xml:space="preserve"> by launching an application as required by the Rules (i.e. in a vacuum);</w:t>
      </w:r>
    </w:p>
    <w:p w:rsidR="00725E0C" w:rsidRPr="00725E0C" w:rsidRDefault="00725E0C" w:rsidP="00725E0C">
      <w:pPr>
        <w:tabs>
          <w:tab w:val="left" w:pos="2552"/>
        </w:tabs>
        <w:spacing w:after="120" w:line="360" w:lineRule="auto"/>
        <w:ind w:left="3600" w:hanging="2160"/>
        <w:jc w:val="both"/>
        <w:rPr>
          <w:sz w:val="22"/>
          <w:szCs w:val="22"/>
        </w:rPr>
      </w:pPr>
      <w:r>
        <w:rPr>
          <w:i/>
          <w:sz w:val="22"/>
          <w:szCs w:val="22"/>
        </w:rPr>
        <w:tab/>
        <w:t>3.5.2.3</w:t>
      </w:r>
      <w:r>
        <w:rPr>
          <w:i/>
          <w:sz w:val="22"/>
          <w:szCs w:val="22"/>
        </w:rPr>
        <w:tab/>
        <w:t>whether the procedure envisaged by the plaintiffs is appropriate; i.e. an application only having to be done by Plaintiffs pursuant</w:t>
      </w:r>
      <w:r w:rsidR="000B3105">
        <w:rPr>
          <w:i/>
          <w:sz w:val="22"/>
          <w:szCs w:val="22"/>
        </w:rPr>
        <w:t xml:space="preserve"> to</w:t>
      </w:r>
      <w:r>
        <w:rPr>
          <w:i/>
          <w:sz w:val="22"/>
          <w:szCs w:val="22"/>
        </w:rPr>
        <w:t xml:space="preserve"> the Honourable Court having adjudicated the objections raised by the Defendant in light of…’</w:t>
      </w:r>
      <w:r w:rsidR="000B3105">
        <w:rPr>
          <w:i/>
          <w:sz w:val="22"/>
          <w:szCs w:val="22"/>
        </w:rPr>
        <w:t xml:space="preserve"> </w:t>
      </w:r>
      <w:r>
        <w:rPr>
          <w:sz w:val="22"/>
          <w:szCs w:val="22"/>
        </w:rPr>
        <w:t>[6 grounds followed]</w:t>
      </w:r>
    </w:p>
    <w:p w:rsidR="00182720" w:rsidRDefault="000617D6" w:rsidP="000617D6">
      <w:pPr>
        <w:spacing w:after="360" w:line="480" w:lineRule="auto"/>
        <w:ind w:left="720" w:hanging="720"/>
        <w:jc w:val="both"/>
      </w:pPr>
      <w:r>
        <w:lastRenderedPageBreak/>
        <w:t>[7]</w:t>
      </w:r>
      <w:r>
        <w:tab/>
      </w:r>
      <w:r w:rsidR="00182720">
        <w:t>On 22 November 2021 the Judge President granted an order by agreement between the parties in the following terms:</w:t>
      </w:r>
    </w:p>
    <w:p w:rsidR="00182720" w:rsidRDefault="00182720" w:rsidP="00182720">
      <w:pPr>
        <w:spacing w:after="120" w:line="360" w:lineRule="auto"/>
        <w:ind w:left="2160" w:hanging="720"/>
        <w:jc w:val="both"/>
        <w:rPr>
          <w:i/>
          <w:sz w:val="22"/>
          <w:szCs w:val="22"/>
        </w:rPr>
      </w:pPr>
      <w:r>
        <w:rPr>
          <w:i/>
          <w:sz w:val="22"/>
          <w:szCs w:val="22"/>
        </w:rPr>
        <w:t>‘1.</w:t>
      </w:r>
      <w:r>
        <w:rPr>
          <w:i/>
          <w:sz w:val="22"/>
          <w:szCs w:val="22"/>
        </w:rPr>
        <w:tab/>
        <w:t xml:space="preserve">That the matter is postponed to the opposed motion roll in the Fourth Division for the </w:t>
      </w:r>
      <w:r>
        <w:rPr>
          <w:i/>
          <w:sz w:val="22"/>
          <w:szCs w:val="22"/>
          <w:u w:val="single"/>
        </w:rPr>
        <w:t>application</w:t>
      </w:r>
      <w:r>
        <w:rPr>
          <w:i/>
          <w:sz w:val="22"/>
          <w:szCs w:val="22"/>
        </w:rPr>
        <w:t xml:space="preserve">, as directed by the Honourable Judge Binns-Ward, to be heard on </w:t>
      </w:r>
      <w:r>
        <w:rPr>
          <w:b/>
          <w:i/>
          <w:sz w:val="22"/>
          <w:szCs w:val="22"/>
        </w:rPr>
        <w:t>10 May 2022</w:t>
      </w:r>
      <w:r>
        <w:rPr>
          <w:i/>
          <w:sz w:val="22"/>
          <w:szCs w:val="22"/>
        </w:rPr>
        <w:t>;</w:t>
      </w:r>
    </w:p>
    <w:p w:rsidR="00182720" w:rsidRDefault="00182720" w:rsidP="00774A0E">
      <w:pPr>
        <w:spacing w:after="480" w:line="360" w:lineRule="auto"/>
        <w:ind w:left="2160" w:hanging="720"/>
        <w:jc w:val="both"/>
        <w:rPr>
          <w:sz w:val="22"/>
          <w:szCs w:val="22"/>
        </w:rPr>
      </w:pPr>
      <w:r>
        <w:rPr>
          <w:i/>
          <w:sz w:val="22"/>
          <w:szCs w:val="22"/>
        </w:rPr>
        <w:t>2.</w:t>
      </w:r>
      <w:r>
        <w:rPr>
          <w:i/>
          <w:sz w:val="22"/>
          <w:szCs w:val="22"/>
        </w:rPr>
        <w:tab/>
        <w:t xml:space="preserve">The parties agree that First Plaintiff and Second Plaintiff </w:t>
      </w:r>
      <w:r>
        <w:rPr>
          <w:i/>
          <w:sz w:val="22"/>
          <w:szCs w:val="22"/>
          <w:u w:val="single"/>
        </w:rPr>
        <w:t>will file their application</w:t>
      </w:r>
      <w:r>
        <w:rPr>
          <w:i/>
          <w:sz w:val="22"/>
          <w:szCs w:val="22"/>
        </w:rPr>
        <w:t xml:space="preserve"> referred to in paragraph 1.1 above by no later than 18 February 2022 and that Defendant will file its opposing affidavit by no later than 18 March 2022 and that First Plaintiff and </w:t>
      </w:r>
      <w:r w:rsidR="000B3105">
        <w:rPr>
          <w:i/>
          <w:sz w:val="22"/>
          <w:szCs w:val="22"/>
        </w:rPr>
        <w:t>S</w:t>
      </w:r>
      <w:r>
        <w:rPr>
          <w:i/>
          <w:sz w:val="22"/>
          <w:szCs w:val="22"/>
        </w:rPr>
        <w:t xml:space="preserve">econd Plaintiff may </w:t>
      </w:r>
      <w:r w:rsidR="00377E77">
        <w:rPr>
          <w:i/>
          <w:sz w:val="22"/>
          <w:szCs w:val="22"/>
        </w:rPr>
        <w:t>reply by no later than 25 March 2022.’</w:t>
      </w:r>
      <w:r w:rsidR="00377E77">
        <w:rPr>
          <w:sz w:val="22"/>
          <w:szCs w:val="22"/>
        </w:rPr>
        <w:t xml:space="preserve"> </w:t>
      </w:r>
      <w:r w:rsidR="00774A0E">
        <w:rPr>
          <w:sz w:val="22"/>
          <w:szCs w:val="22"/>
        </w:rPr>
        <w:t>[my emphasis]</w:t>
      </w:r>
    </w:p>
    <w:p w:rsidR="00182720" w:rsidRDefault="00774A0E" w:rsidP="00774A0E">
      <w:pPr>
        <w:spacing w:after="480" w:line="360" w:lineRule="auto"/>
        <w:ind w:left="720"/>
        <w:jc w:val="both"/>
      </w:pPr>
      <w:r>
        <w:t>[On 10 May 2022 the matter was postponed to 31 August 2022 when it came before me.]</w:t>
      </w:r>
    </w:p>
    <w:p w:rsidR="00FF0E58" w:rsidRDefault="000617D6" w:rsidP="000617D6">
      <w:pPr>
        <w:spacing w:after="360" w:line="480" w:lineRule="auto"/>
        <w:ind w:left="720" w:hanging="720"/>
        <w:jc w:val="both"/>
      </w:pPr>
      <w:r>
        <w:t>[8]</w:t>
      </w:r>
      <w:r>
        <w:tab/>
      </w:r>
      <w:r w:rsidR="00435E29">
        <w:t xml:space="preserve">In the joint practice note filed by the parties’ legal representatives, </w:t>
      </w:r>
      <w:r w:rsidR="00825AFE">
        <w:t>they agreed that the issues for determination are:</w:t>
      </w:r>
    </w:p>
    <w:p w:rsidR="005965E2" w:rsidRDefault="00774A0E" w:rsidP="005965E2">
      <w:pPr>
        <w:spacing w:after="360" w:line="480" w:lineRule="auto"/>
        <w:ind w:left="720"/>
        <w:jc w:val="both"/>
      </w:pPr>
      <w:r>
        <w:t>8</w:t>
      </w:r>
      <w:r w:rsidR="005965E2">
        <w:t>.1</w:t>
      </w:r>
      <w:r w:rsidR="005965E2">
        <w:tab/>
        <w:t>whether the procedure adopted by the plaintiff to join a party is irregular;</w:t>
      </w:r>
    </w:p>
    <w:p w:rsidR="00BA7A24" w:rsidRDefault="00182720" w:rsidP="00BA7A24">
      <w:pPr>
        <w:spacing w:after="360" w:line="480" w:lineRule="auto"/>
        <w:ind w:left="1440" w:hanging="720"/>
        <w:jc w:val="both"/>
      </w:pPr>
      <w:r>
        <w:t>8</w:t>
      </w:r>
      <w:r w:rsidR="005965E2">
        <w:t>.2</w:t>
      </w:r>
      <w:r w:rsidR="005965E2">
        <w:tab/>
      </w:r>
      <w:r w:rsidR="00BA7A24">
        <w:t>whether the first plaintiff should be joined in his personal capacity as third plaintiff; and</w:t>
      </w:r>
    </w:p>
    <w:p w:rsidR="00BA7A24" w:rsidRDefault="00774A0E" w:rsidP="00BA7A24">
      <w:pPr>
        <w:spacing w:after="360" w:line="480" w:lineRule="auto"/>
        <w:ind w:left="1440" w:hanging="720"/>
        <w:jc w:val="both"/>
      </w:pPr>
      <w:r>
        <w:t>8</w:t>
      </w:r>
      <w:r w:rsidR="005965E2">
        <w:t>.3</w:t>
      </w:r>
      <w:r w:rsidR="005965E2">
        <w:tab/>
      </w:r>
      <w:r w:rsidR="00BA7A24">
        <w:t xml:space="preserve">whether the plaintiffs should be permitted to amend their particulars of claim to introduce two new alternative claims based on enrichment. </w:t>
      </w:r>
    </w:p>
    <w:p w:rsidR="00C16EF8" w:rsidRPr="00A84553" w:rsidRDefault="00A84553" w:rsidP="00A84553">
      <w:pPr>
        <w:spacing w:after="360" w:line="360" w:lineRule="auto"/>
        <w:jc w:val="both"/>
        <w:rPr>
          <w:b/>
          <w:u w:val="single"/>
        </w:rPr>
      </w:pPr>
      <w:r>
        <w:rPr>
          <w:b/>
          <w:u w:val="single"/>
        </w:rPr>
        <w:t>The parties’ respective positions</w:t>
      </w:r>
    </w:p>
    <w:p w:rsidR="00825AFE" w:rsidRDefault="000617D6" w:rsidP="000617D6">
      <w:pPr>
        <w:spacing w:after="480" w:line="480" w:lineRule="auto"/>
        <w:ind w:left="720" w:hanging="720"/>
        <w:jc w:val="both"/>
      </w:pPr>
      <w:r>
        <w:t>[9]</w:t>
      </w:r>
      <w:r>
        <w:tab/>
      </w:r>
      <w:r w:rsidR="006004EC">
        <w:t xml:space="preserve">The “application” contemplated in the order of 22 November 2021 comprised of two affidavits by the plaintiffs (the second plaintiff’s simply confirmed the </w:t>
      </w:r>
      <w:r w:rsidR="006004EC">
        <w:lastRenderedPageBreak/>
        <w:t xml:space="preserve">contents of the first plaintiff’s). It was submitted that since the intended joinder was only interlocutory in nature, it was unnecessary for the plaintiffs to also file a notice of motion. </w:t>
      </w:r>
    </w:p>
    <w:p w:rsidR="006004EC" w:rsidRDefault="000617D6" w:rsidP="000617D6">
      <w:pPr>
        <w:spacing w:after="480" w:line="480" w:lineRule="auto"/>
        <w:ind w:left="720" w:hanging="720"/>
        <w:jc w:val="both"/>
      </w:pPr>
      <w:r>
        <w:t>[10]</w:t>
      </w:r>
      <w:r>
        <w:tab/>
      </w:r>
      <w:r w:rsidR="006004EC">
        <w:t xml:space="preserve">They also alleged that although they disputed the validity of the new defences raised, joinder was sought on the basis that, if the defendant succeeds with these defences, then the first plaintiff in his personal capacity (“RCH”) wishes to pursue an alternative claim for unjust enrichment. The </w:t>
      </w:r>
      <w:r w:rsidR="00A743E6">
        <w:t>first plaintiff stated that:</w:t>
      </w:r>
    </w:p>
    <w:p w:rsidR="00A743E6" w:rsidRDefault="000A031F" w:rsidP="000A031F">
      <w:pPr>
        <w:spacing w:after="240" w:line="360" w:lineRule="auto"/>
        <w:ind w:left="2160" w:hanging="720"/>
        <w:jc w:val="both"/>
        <w:rPr>
          <w:i/>
          <w:sz w:val="22"/>
          <w:szCs w:val="22"/>
        </w:rPr>
      </w:pPr>
      <w:r>
        <w:rPr>
          <w:i/>
          <w:sz w:val="22"/>
          <w:szCs w:val="22"/>
        </w:rPr>
        <w:t>‘24.</w:t>
      </w:r>
      <w:r>
        <w:rPr>
          <w:i/>
          <w:sz w:val="22"/>
          <w:szCs w:val="22"/>
        </w:rPr>
        <w:tab/>
        <w:t>The plaintiffs’ case to join me as third plaintiff is therefore a simple one: if Rocon Trust is found to effectively be a non-entity for one or more of the reasons set out in the defendant’s amended Plea, I, in my personal capacity will be entitled to claim from defendant for payment of the building and related work.</w:t>
      </w:r>
    </w:p>
    <w:p w:rsidR="00F52B32" w:rsidRDefault="00F52B32" w:rsidP="000A031F">
      <w:pPr>
        <w:spacing w:after="240" w:line="360" w:lineRule="auto"/>
        <w:ind w:left="2160" w:hanging="720"/>
        <w:jc w:val="both"/>
        <w:rPr>
          <w:i/>
          <w:sz w:val="22"/>
          <w:szCs w:val="22"/>
        </w:rPr>
      </w:pPr>
      <w:r>
        <w:rPr>
          <w:i/>
          <w:sz w:val="22"/>
          <w:szCs w:val="22"/>
        </w:rPr>
        <w:t>25.</w:t>
      </w:r>
      <w:r>
        <w:rPr>
          <w:i/>
          <w:sz w:val="22"/>
          <w:szCs w:val="22"/>
        </w:rPr>
        <w:tab/>
        <w:t xml:space="preserve">It should therefore be patently obvious that my right to intervene is dependent upon the determination of substantially the same questions of law or fact: whether the work reflected on the invoices was actually executed and if so, whether the defendant is liable for payment to Rocon Trust, alternatively to me in my personal capacity, for payment of the amount claimed. </w:t>
      </w:r>
    </w:p>
    <w:p w:rsidR="005A24CB" w:rsidRPr="00A743E6" w:rsidRDefault="005A24CB" w:rsidP="005A24CB">
      <w:pPr>
        <w:spacing w:after="480" w:line="360" w:lineRule="auto"/>
        <w:ind w:left="2160" w:hanging="720"/>
        <w:jc w:val="both"/>
        <w:rPr>
          <w:i/>
          <w:sz w:val="22"/>
          <w:szCs w:val="22"/>
        </w:rPr>
      </w:pPr>
      <w:r>
        <w:rPr>
          <w:i/>
          <w:sz w:val="22"/>
          <w:szCs w:val="22"/>
        </w:rPr>
        <w:t>26.</w:t>
      </w:r>
      <w:r>
        <w:rPr>
          <w:i/>
          <w:sz w:val="22"/>
          <w:szCs w:val="22"/>
        </w:rPr>
        <w:tab/>
        <w:t>I furthermore respectively submit that I have a prima facie case against the defendant: if I prove the averments contained in the plaintiffs’ Notice, I will succeed with the alternative claim…’</w:t>
      </w:r>
    </w:p>
    <w:p w:rsidR="00392589" w:rsidRDefault="000617D6" w:rsidP="000617D6">
      <w:pPr>
        <w:spacing w:after="480" w:line="480" w:lineRule="auto"/>
        <w:ind w:left="720" w:hanging="720"/>
        <w:jc w:val="both"/>
      </w:pPr>
      <w:r>
        <w:t>[11]</w:t>
      </w:r>
      <w:r>
        <w:tab/>
      </w:r>
      <w:r w:rsidR="005A24CB">
        <w:t xml:space="preserve">In the opposing affidavit the deponent took the stance that the procedure adopted by the plaintiffs is irregular for the reasons that: (a) the notice in terms of rule 10 (included in the initial </w:t>
      </w:r>
      <w:r w:rsidR="005A24CB">
        <w:rPr>
          <w:i/>
        </w:rPr>
        <w:t>‘Notices’</w:t>
      </w:r>
      <w:r w:rsidR="005A24CB">
        <w:t xml:space="preserve"> of 10 May 2021) was unsupported by any affidavit; (b) the contemplated joinder of a party without a supporting </w:t>
      </w:r>
      <w:r w:rsidR="005A24CB">
        <w:lastRenderedPageBreak/>
        <w:t xml:space="preserve">affidavit is a </w:t>
      </w:r>
      <w:r w:rsidR="005A24CB">
        <w:rPr>
          <w:i/>
        </w:rPr>
        <w:t>‘substantial irregularity’</w:t>
      </w:r>
      <w:r w:rsidR="005A24CB">
        <w:t xml:space="preserve"> since </w:t>
      </w:r>
      <w:r w:rsidR="005A24CB">
        <w:rPr>
          <w:i/>
        </w:rPr>
        <w:t>‘the party whose joinder is sought’</w:t>
      </w:r>
      <w:r w:rsidR="005A24CB">
        <w:t xml:space="preserve"> must at least establish a direct interest in the subject matter of the litigation; and (c) the purported rectification of the </w:t>
      </w:r>
      <w:r w:rsidR="005A24CB">
        <w:rPr>
          <w:i/>
        </w:rPr>
        <w:t>‘defective notice’</w:t>
      </w:r>
      <w:r w:rsidR="005A24CB">
        <w:t xml:space="preserve"> by filing affidavits almost a year later is therefore not only procedurally irregular but fails to comply with the express terms of the order of 22 November 2021. </w:t>
      </w:r>
    </w:p>
    <w:p w:rsidR="00A743E6" w:rsidRDefault="000617D6" w:rsidP="000617D6">
      <w:pPr>
        <w:spacing w:after="480" w:line="480" w:lineRule="auto"/>
        <w:ind w:left="720" w:hanging="720"/>
        <w:jc w:val="both"/>
      </w:pPr>
      <w:r>
        <w:t>[12]</w:t>
      </w:r>
      <w:r>
        <w:tab/>
      </w:r>
      <w:r w:rsidR="005A24CB">
        <w:t>The defendant also contends that the intended amendment would render the particulars of claim excipiable (in respect of both the trust’s alternative claim for unjust enrichment as well as that which RCH seeks to introduce), and any such claim, if successfully introduced by RCH, would also long since have prescribed. The defendant’s procedural objection is thus inextricably linked to its substantive objection, both in relation to the joinder sought and the proposed amendment to the plaintiffs’ particulars of claim.</w:t>
      </w:r>
    </w:p>
    <w:p w:rsidR="00805867" w:rsidRPr="00805867" w:rsidRDefault="00805867" w:rsidP="00805867">
      <w:pPr>
        <w:spacing w:after="480" w:line="360" w:lineRule="auto"/>
        <w:jc w:val="both"/>
        <w:rPr>
          <w:b/>
          <w:u w:val="single"/>
        </w:rPr>
      </w:pPr>
      <w:r>
        <w:rPr>
          <w:b/>
          <w:u w:val="single"/>
        </w:rPr>
        <w:t>Whether procedure adopted irregular</w:t>
      </w:r>
    </w:p>
    <w:p w:rsidR="00805867" w:rsidRDefault="000617D6" w:rsidP="000617D6">
      <w:pPr>
        <w:spacing w:after="480" w:line="480" w:lineRule="auto"/>
        <w:ind w:left="720" w:hanging="720"/>
        <w:jc w:val="both"/>
      </w:pPr>
      <w:r>
        <w:t>[13]</w:t>
      </w:r>
      <w:r>
        <w:tab/>
      </w:r>
      <w:r w:rsidR="00176E37">
        <w:t>The first</w:t>
      </w:r>
      <w:r w:rsidR="00AF1D3C">
        <w:t xml:space="preserve"> point is that in the </w:t>
      </w:r>
      <w:r w:rsidR="00AF1D3C">
        <w:rPr>
          <w:i/>
        </w:rPr>
        <w:t>‘Notices’</w:t>
      </w:r>
      <w:r w:rsidR="00AF1D3C">
        <w:t xml:space="preserve"> of 10 May 2021 it is clearly stated at the outset that the plaintiffs </w:t>
      </w:r>
      <w:r w:rsidR="00AF1D3C">
        <w:rPr>
          <w:i/>
        </w:rPr>
        <w:t>‘hereby give notice of their intention’</w:t>
      </w:r>
      <w:r w:rsidR="00AF1D3C">
        <w:t xml:space="preserve"> to: (a) apply for the joinder of the first plaintiff (in his personal capacity); and (b) to amend their particulars of claim. It ends with the notification to the defendant that unless written objection to </w:t>
      </w:r>
      <w:r w:rsidR="00AF1D3C">
        <w:rPr>
          <w:i/>
        </w:rPr>
        <w:t>‘the proposed joinder of the third plaintiff and the amendments is delivered within 10 days of delivery hereof, the aforementioned joinder and amendment</w:t>
      </w:r>
      <w:r w:rsidR="00176E37">
        <w:rPr>
          <w:i/>
        </w:rPr>
        <w:t>s</w:t>
      </w:r>
      <w:r w:rsidR="00AF1D3C">
        <w:rPr>
          <w:i/>
        </w:rPr>
        <w:t xml:space="preserve"> will be effected’.</w:t>
      </w:r>
    </w:p>
    <w:p w:rsidR="00AF1D3C" w:rsidRDefault="000617D6" w:rsidP="000617D6">
      <w:pPr>
        <w:spacing w:after="480" w:line="480" w:lineRule="auto"/>
        <w:ind w:left="720" w:hanging="720"/>
        <w:jc w:val="both"/>
      </w:pPr>
      <w:r>
        <w:lastRenderedPageBreak/>
        <w:t>[14]</w:t>
      </w:r>
      <w:r>
        <w:tab/>
      </w:r>
      <w:r w:rsidR="00AF1D3C">
        <w:t xml:space="preserve">On its plain wording therefore it is nothing more than a notice of the intention to do something unless objection is timeously received, and is not a self-standing application. Given that the defendant indeed objected within the prescribed period, that was the end of the notice unless and until the plaintiffs took a further step or steps in compliance with the uniform rules of court. </w:t>
      </w:r>
    </w:p>
    <w:p w:rsidR="00AF1D3C" w:rsidRDefault="000617D6" w:rsidP="000617D6">
      <w:pPr>
        <w:spacing w:after="480" w:line="480" w:lineRule="auto"/>
        <w:ind w:left="720" w:hanging="720"/>
        <w:jc w:val="both"/>
      </w:pPr>
      <w:r>
        <w:t>[15]</w:t>
      </w:r>
      <w:r>
        <w:tab/>
      </w:r>
      <w:r w:rsidR="001D53B3">
        <w:t xml:space="preserve">The second point is that, after considering the contents of the pre-trial minute of 18 August 2021, Binns-Ward J specifically directed </w:t>
      </w:r>
      <w:r w:rsidR="001D53B3">
        <w:rPr>
          <w:i/>
        </w:rPr>
        <w:t>‘the parties’</w:t>
      </w:r>
      <w:r w:rsidR="001D53B3">
        <w:t xml:space="preserve"> (clearly meaning the plaintiffs) to proceed with </w:t>
      </w:r>
      <w:r w:rsidR="001D53B3">
        <w:rPr>
          <w:u w:val="single"/>
        </w:rPr>
        <w:t>an application</w:t>
      </w:r>
      <w:r w:rsidR="001D53B3">
        <w:t xml:space="preserve"> both for the joinder of the third plaintiff and the amendment of the particulars of claim. Quite obviously the learned Judge would not have made </w:t>
      </w:r>
      <w:r w:rsidR="00176E37">
        <w:t>these</w:t>
      </w:r>
      <w:r w:rsidR="001D53B3">
        <w:t xml:space="preserve"> directions if he was satisfied there was already an application pending.</w:t>
      </w:r>
    </w:p>
    <w:p w:rsidR="001D53B3" w:rsidRDefault="000617D6" w:rsidP="000617D6">
      <w:pPr>
        <w:spacing w:after="480" w:line="480" w:lineRule="auto"/>
        <w:ind w:left="720" w:hanging="720"/>
        <w:jc w:val="both"/>
      </w:pPr>
      <w:r>
        <w:t>[16]</w:t>
      </w:r>
      <w:r>
        <w:tab/>
      </w:r>
      <w:r w:rsidR="001D53B3">
        <w:t xml:space="preserve">The third point is that the parties </w:t>
      </w:r>
      <w:r w:rsidR="001D53B3">
        <w:rPr>
          <w:u w:val="single"/>
        </w:rPr>
        <w:t>agreed</w:t>
      </w:r>
      <w:r w:rsidR="001D53B3">
        <w:t xml:space="preserve"> in the order of 22 November 2021 that the plaintiffs would </w:t>
      </w:r>
      <w:r w:rsidR="001D53B3">
        <w:rPr>
          <w:i/>
        </w:rPr>
        <w:t>‘file’</w:t>
      </w:r>
      <w:r w:rsidR="001D53B3">
        <w:t xml:space="preserve"> (presumably, deliver) their </w:t>
      </w:r>
      <w:r w:rsidR="001D53B3" w:rsidRPr="001D53B3">
        <w:rPr>
          <w:u w:val="single"/>
        </w:rPr>
        <w:t>application</w:t>
      </w:r>
      <w:r w:rsidR="001D53B3">
        <w:t xml:space="preserve"> by no later than 18 February 2022. </w:t>
      </w:r>
      <w:r w:rsidR="007C2161">
        <w:t xml:space="preserve">If the plaintiffs believed that such an application was already pending, there would have been no need to include this provision in the order. </w:t>
      </w:r>
    </w:p>
    <w:p w:rsidR="007C2161" w:rsidRDefault="000617D6" w:rsidP="000617D6">
      <w:pPr>
        <w:spacing w:after="480" w:line="480" w:lineRule="auto"/>
        <w:ind w:left="720" w:hanging="720"/>
        <w:jc w:val="both"/>
      </w:pPr>
      <w:r>
        <w:t>[17]</w:t>
      </w:r>
      <w:r>
        <w:tab/>
      </w:r>
      <w:r w:rsidR="007C2161">
        <w:t>The fourth point is that in the notice of objection itself</w:t>
      </w:r>
      <w:r w:rsidR="005F00D0">
        <w:t xml:space="preserve"> (i.e. preceding the filing of the</w:t>
      </w:r>
      <w:r w:rsidR="00F35830">
        <w:t xml:space="preserve"> pre-trial minute, the directions made by Binns-Ward J and the agreed order of 22 November 2021) the following grounds were advanced by the defendant:</w:t>
      </w:r>
    </w:p>
    <w:p w:rsidR="00F35830" w:rsidRDefault="00F35830" w:rsidP="00F35830">
      <w:pPr>
        <w:spacing w:after="480" w:line="480" w:lineRule="auto"/>
        <w:ind w:left="1440" w:hanging="720"/>
        <w:jc w:val="both"/>
      </w:pPr>
      <w:r>
        <w:t>1</w:t>
      </w:r>
      <w:r w:rsidR="00336ECC">
        <w:t>7</w:t>
      </w:r>
      <w:r>
        <w:t>.1</w:t>
      </w:r>
      <w:r>
        <w:tab/>
        <w:t>The plaintiffs had failed to comply with rule 10(1), alternatively rule 12, by failing to launch a formal application;</w:t>
      </w:r>
    </w:p>
    <w:p w:rsidR="00F35830" w:rsidRDefault="00F35830" w:rsidP="00F35830">
      <w:pPr>
        <w:spacing w:after="480" w:line="480" w:lineRule="auto"/>
        <w:ind w:left="1440" w:hanging="720"/>
        <w:jc w:val="both"/>
      </w:pPr>
      <w:r>
        <w:lastRenderedPageBreak/>
        <w:t>1</w:t>
      </w:r>
      <w:r w:rsidR="00336ECC">
        <w:t>7</w:t>
      </w:r>
      <w:r>
        <w:t>.2</w:t>
      </w:r>
      <w:r>
        <w:tab/>
        <w:t xml:space="preserve">No basis was set out in the </w:t>
      </w:r>
      <w:r>
        <w:rPr>
          <w:i/>
        </w:rPr>
        <w:t>‘Notices’</w:t>
      </w:r>
      <w:r>
        <w:t xml:space="preserve"> to indicate that RCH’s intended claim is </w:t>
      </w:r>
      <w:r w:rsidR="00176E37">
        <w:t xml:space="preserve">founded </w:t>
      </w:r>
      <w:r>
        <w:t>upon determination of substantially the same question of law or fact (as indicated above, this was set out, for the first time, in the affidavits filed by the plaintiffs subsequent to the order of 22 November 2021);</w:t>
      </w:r>
    </w:p>
    <w:p w:rsidR="00F35830" w:rsidRDefault="00F35830" w:rsidP="00F35830">
      <w:pPr>
        <w:spacing w:after="480" w:line="480" w:lineRule="auto"/>
        <w:ind w:left="1440" w:hanging="720"/>
        <w:jc w:val="both"/>
      </w:pPr>
      <w:r>
        <w:t>1</w:t>
      </w:r>
      <w:r w:rsidR="00336ECC">
        <w:t>7</w:t>
      </w:r>
      <w:r>
        <w:t>.3</w:t>
      </w:r>
      <w:r>
        <w:tab/>
        <w:t xml:space="preserve">Rule 6(1) provides that, save </w:t>
      </w:r>
      <w:r w:rsidR="00540ED5">
        <w:t>where proceedings by way of petition are prescribed by law, every application must be brought on notice of motion supported by an affidavit as to the facts upon which the applicant relies for relief, but the plaintiffs had failed to attach such affidavit</w:t>
      </w:r>
      <w:r w:rsidR="00E85694">
        <w:t xml:space="preserve"> to the purported notice of joinder;</w:t>
      </w:r>
    </w:p>
    <w:p w:rsidR="00E85694" w:rsidRDefault="00E85694" w:rsidP="00F35830">
      <w:pPr>
        <w:spacing w:after="480" w:line="480" w:lineRule="auto"/>
        <w:ind w:left="1440" w:hanging="720"/>
        <w:jc w:val="both"/>
      </w:pPr>
      <w:r>
        <w:t>1</w:t>
      </w:r>
      <w:r w:rsidR="00336ECC">
        <w:t>7</w:t>
      </w:r>
      <w:r>
        <w:t>.4</w:t>
      </w:r>
      <w:r>
        <w:tab/>
        <w:t>RCH could not be joined by way of an amendment in terms of rule 28;</w:t>
      </w:r>
    </w:p>
    <w:p w:rsidR="00E85694" w:rsidRDefault="00E85694" w:rsidP="00F35830">
      <w:pPr>
        <w:spacing w:after="480" w:line="480" w:lineRule="auto"/>
        <w:ind w:left="1440" w:hanging="720"/>
        <w:jc w:val="both"/>
      </w:pPr>
      <w:r>
        <w:t>1</w:t>
      </w:r>
      <w:r w:rsidR="00336ECC">
        <w:t>7</w:t>
      </w:r>
      <w:r>
        <w:t>.5</w:t>
      </w:r>
      <w:r>
        <w:tab/>
      </w:r>
      <w:r w:rsidR="00176E37">
        <w:t>A</w:t>
      </w:r>
      <w:r>
        <w:t xml:space="preserve">mendment of the particulars of claim </w:t>
      </w:r>
      <w:r>
        <w:rPr>
          <w:i/>
        </w:rPr>
        <w:t>prior</w:t>
      </w:r>
      <w:r>
        <w:t xml:space="preserve"> to joinder of RCH would render them excipiable; and </w:t>
      </w:r>
    </w:p>
    <w:p w:rsidR="00E85694" w:rsidRPr="00E85694" w:rsidRDefault="00E85694" w:rsidP="00F35830">
      <w:pPr>
        <w:spacing w:after="480" w:line="480" w:lineRule="auto"/>
        <w:ind w:left="1440" w:hanging="720"/>
        <w:jc w:val="both"/>
      </w:pPr>
      <w:r>
        <w:t>1</w:t>
      </w:r>
      <w:r w:rsidR="00336ECC">
        <w:t>7</w:t>
      </w:r>
      <w:r>
        <w:t>.6</w:t>
      </w:r>
      <w:r>
        <w:tab/>
      </w:r>
      <w:r w:rsidR="00176E37">
        <w:t>In any event, t</w:t>
      </w:r>
      <w:r>
        <w:t xml:space="preserve">he intended amendments (apart from the purported joinder) would render the pleading excipiable.  </w:t>
      </w:r>
    </w:p>
    <w:p w:rsidR="00F35830" w:rsidRDefault="000617D6" w:rsidP="000617D6">
      <w:pPr>
        <w:spacing w:after="480" w:line="480" w:lineRule="auto"/>
        <w:ind w:left="720" w:hanging="720"/>
        <w:jc w:val="both"/>
      </w:pPr>
      <w:r>
        <w:t>[18]</w:t>
      </w:r>
      <w:r>
        <w:tab/>
      </w:r>
      <w:r w:rsidR="00E85694">
        <w:t xml:space="preserve">Accordingly, the plaintiffs could have been under no illusion </w:t>
      </w:r>
      <w:r w:rsidR="00FC7E77">
        <w:t xml:space="preserve">about what was required </w:t>
      </w:r>
      <w:r w:rsidR="00176E37">
        <w:t>of</w:t>
      </w:r>
      <w:r w:rsidR="00FC7E77">
        <w:t xml:space="preserve"> them for purposes of placing the relief which they seek properly before the court. In heads of argument filed on behalf of the plaintiffs, it was submitted that after the directions made by Binns-Ward J, the parties agreed to a timetable for the </w:t>
      </w:r>
      <w:r w:rsidR="00FC7E77">
        <w:rPr>
          <w:u w:val="single"/>
        </w:rPr>
        <w:t>exchange of affidavits</w:t>
      </w:r>
      <w:r w:rsidR="00FC7E77">
        <w:t xml:space="preserve"> for purposes of the application to join </w:t>
      </w:r>
      <w:r w:rsidR="00FC7E77">
        <w:lastRenderedPageBreak/>
        <w:t>the third plaintiff and amendment of the particulars of claim, which agreement was made an order of court on 22 November 2021. However there is not a shred of evidence to support this submission</w:t>
      </w:r>
      <w:r w:rsidR="00176E37">
        <w:t xml:space="preserve">, and in its heads of argument the defendant disputed the existence of any such agreement. </w:t>
      </w:r>
    </w:p>
    <w:p w:rsidR="00FC7E77" w:rsidRDefault="000617D6" w:rsidP="000617D6">
      <w:pPr>
        <w:spacing w:after="480" w:line="480" w:lineRule="auto"/>
        <w:ind w:left="720" w:hanging="720"/>
        <w:jc w:val="both"/>
      </w:pPr>
      <w:r>
        <w:t>[19]</w:t>
      </w:r>
      <w:r>
        <w:tab/>
      </w:r>
      <w:r w:rsidR="00FC7E77">
        <w:t xml:space="preserve">It was also submitted in </w:t>
      </w:r>
      <w:r w:rsidR="00176E37">
        <w:t>the plaintiffs’</w:t>
      </w:r>
      <w:r w:rsidR="00FC7E77">
        <w:t xml:space="preserve"> heads of argument that </w:t>
      </w:r>
      <w:r w:rsidR="00176E37">
        <w:t>they</w:t>
      </w:r>
      <w:r w:rsidR="00FC7E77">
        <w:t xml:space="preserve"> did follow the correct procedure: due and </w:t>
      </w:r>
      <w:r w:rsidR="00FE6C6F">
        <w:t>proper notice was given of their intention to apply for an order to join the first plaintiff in his personal capacity as third plaintiff, and for the amendment of the particulars of claim. But as I have pointed out, this is plainly incorrect; and is indeed contrary to a later submission, in the same heads of argument, that the reason why the plaintiffs did not initially file affidavits in support of their “application”, was because the defendant objected to the intended amendment and joinder, and the parties were attempting to reach an agreement about the way the objection should be dealt with.</w:t>
      </w:r>
    </w:p>
    <w:p w:rsidR="00FE6C6F" w:rsidRDefault="000617D6" w:rsidP="000617D6">
      <w:pPr>
        <w:spacing w:after="480" w:line="480" w:lineRule="auto"/>
        <w:ind w:left="720" w:hanging="720"/>
        <w:jc w:val="both"/>
      </w:pPr>
      <w:r>
        <w:t>[20]</w:t>
      </w:r>
      <w:r>
        <w:tab/>
      </w:r>
      <w:r w:rsidR="00FE6C6F">
        <w:t xml:space="preserve">It was also submitted on behalf of the plaintiffs that, properly considered, most of the defendant’s objections in its notice of objection amount to </w:t>
      </w:r>
      <w:r w:rsidR="00FE6C6F">
        <w:rPr>
          <w:i/>
        </w:rPr>
        <w:t>‘an insistence on formalism’</w:t>
      </w:r>
      <w:r w:rsidR="00FE6C6F">
        <w:t xml:space="preserve"> in the </w:t>
      </w:r>
      <w:r w:rsidR="00F2101C">
        <w:t xml:space="preserve">application of the rules, rather than a complaint about the merits of that “application”. Reliance was placed on the well-established authorities that insistence on compliance with the rules which amounts to undue formalism is to be discouraged. But, again, the plaintiffs have missed the point. </w:t>
      </w:r>
    </w:p>
    <w:p w:rsidR="00176E37" w:rsidRDefault="000617D6" w:rsidP="000617D6">
      <w:pPr>
        <w:spacing w:after="480" w:line="480" w:lineRule="auto"/>
        <w:ind w:left="720" w:hanging="720"/>
        <w:jc w:val="both"/>
      </w:pPr>
      <w:r>
        <w:t>[21]</w:t>
      </w:r>
      <w:r>
        <w:tab/>
      </w:r>
      <w:r w:rsidR="00446D16">
        <w:t xml:space="preserve">The plaintiffs also rely on </w:t>
      </w:r>
      <w:r w:rsidR="00446D16">
        <w:rPr>
          <w:i/>
        </w:rPr>
        <w:t>Swartz v Van der Walt t/a Sentraten</w:t>
      </w:r>
      <w:r w:rsidR="00446D16">
        <w:rPr>
          <w:rStyle w:val="FootnoteReference"/>
        </w:rPr>
        <w:footnoteReference w:id="3"/>
      </w:r>
      <w:r w:rsidR="00446D16">
        <w:t xml:space="preserve"> in which the court concluded that </w:t>
      </w:r>
      <w:r w:rsidR="007D2ED8">
        <w:t xml:space="preserve">the reference in rule 28(4) to </w:t>
      </w:r>
      <w:r w:rsidR="007D2ED8">
        <w:rPr>
          <w:i/>
        </w:rPr>
        <w:t>‘</w:t>
      </w:r>
      <w:r w:rsidR="00176E37">
        <w:rPr>
          <w:i/>
        </w:rPr>
        <w:t xml:space="preserve">lodge </w:t>
      </w:r>
      <w:r w:rsidR="007D2ED8">
        <w:rPr>
          <w:i/>
        </w:rPr>
        <w:t xml:space="preserve">an application for leave </w:t>
      </w:r>
      <w:r w:rsidR="007D2ED8">
        <w:rPr>
          <w:i/>
        </w:rPr>
        <w:lastRenderedPageBreak/>
        <w:t>to amend’</w:t>
      </w:r>
      <w:r w:rsidR="007D2ED8">
        <w:t xml:space="preserve"> pursuant to a notice of objection, cannot </w:t>
      </w:r>
      <w:r w:rsidR="007D2ED8">
        <w:rPr>
          <w:i/>
        </w:rPr>
        <w:t>‘denote an intention on the part of the legislator that the formal notice of motion procedure supported by an affidavit contemplated in rule 6 should be adopted’.</w:t>
      </w:r>
      <w:r w:rsidR="007D2ED8" w:rsidRPr="007D2ED8">
        <w:rPr>
          <w:rStyle w:val="FootnoteReference"/>
        </w:rPr>
        <w:footnoteReference w:id="4"/>
      </w:r>
      <w:r w:rsidR="007D2ED8">
        <w:t xml:space="preserve"> I accept that an application for leave to amend a pleading is an interlocutory one, and that applications of this nature are often moved only on notice (as opposed to notice of motion) or, indeed at times, orally from the Bar. </w:t>
      </w:r>
      <w:r w:rsidR="00176E37">
        <w:t xml:space="preserve">The defendant also accepts that for purposes of the rule 28 amendment no affidavit was required. </w:t>
      </w:r>
    </w:p>
    <w:p w:rsidR="00176E37" w:rsidRDefault="000617D6" w:rsidP="000617D6">
      <w:pPr>
        <w:spacing w:after="480" w:line="480" w:lineRule="auto"/>
        <w:ind w:left="720" w:hanging="720"/>
        <w:jc w:val="both"/>
      </w:pPr>
      <w:r>
        <w:t>[22]</w:t>
      </w:r>
      <w:r>
        <w:tab/>
      </w:r>
      <w:r w:rsidR="007D2ED8">
        <w:t xml:space="preserve">However the fact of the matter is that, in the present case, all that </w:t>
      </w:r>
      <w:r w:rsidR="00176E37">
        <w:t>was</w:t>
      </w:r>
      <w:r w:rsidR="007D2ED8">
        <w:t xml:space="preserve"> before </w:t>
      </w:r>
      <w:r w:rsidR="00176E37">
        <w:t xml:space="preserve">the court at the time of granting the agreed order on 22 November 2021 were </w:t>
      </w:r>
      <w:r w:rsidR="007D2ED8">
        <w:t>a notice of intention to apply for the joinder of RCH, a notice of intention to amend the particulars of claim, and a formal notice of objection to the relief sought</w:t>
      </w:r>
      <w:r w:rsidR="00176E37">
        <w:t xml:space="preserve"> on the grounds set out therein (as previously stated, t</w:t>
      </w:r>
      <w:r w:rsidR="007D2ED8">
        <w:t>his is also</w:t>
      </w:r>
      <w:r w:rsidR="00176E37">
        <w:t xml:space="preserve"> only</w:t>
      </w:r>
      <w:r w:rsidR="007D2ED8">
        <w:t xml:space="preserve"> what was before Binns-Ward J when he made </w:t>
      </w:r>
      <w:r w:rsidR="00176E37">
        <w:t>his</w:t>
      </w:r>
      <w:r w:rsidR="007D2ED8">
        <w:t xml:space="preserve"> directions</w:t>
      </w:r>
      <w:r w:rsidR="00176E37">
        <w:t>.</w:t>
      </w:r>
      <w:r w:rsidR="007D2ED8">
        <w:t xml:space="preserve"> I do not accept that, in these circumstances, it was open to the plaintiff to blithely file affidavits without more. </w:t>
      </w:r>
    </w:p>
    <w:p w:rsidR="00F75E8A" w:rsidRDefault="000617D6" w:rsidP="000617D6">
      <w:pPr>
        <w:spacing w:after="480" w:line="480" w:lineRule="auto"/>
        <w:ind w:left="720" w:hanging="720"/>
        <w:jc w:val="both"/>
      </w:pPr>
      <w:r>
        <w:t>[23]</w:t>
      </w:r>
      <w:r>
        <w:tab/>
      </w:r>
      <w:r w:rsidR="00176E37">
        <w:t>The</w:t>
      </w:r>
      <w:r w:rsidR="007D2ED8">
        <w:t xml:space="preserve"> issue in </w:t>
      </w:r>
      <w:r w:rsidR="007D2ED8">
        <w:rPr>
          <w:i/>
        </w:rPr>
        <w:t>Swartz</w:t>
      </w:r>
      <w:r w:rsidR="007D2ED8">
        <w:t xml:space="preserve"> pertained only to the amendment of a pleading in terms of rule 28, and not to the joinder of a party under rule 10. </w:t>
      </w:r>
      <w:r w:rsidR="00176E37">
        <w:t>The latter</w:t>
      </w:r>
      <w:r w:rsidR="007D2ED8">
        <w:t xml:space="preserve"> is silent on the procedure to be </w:t>
      </w:r>
      <w:r w:rsidR="00176E37">
        <w:t>followed</w:t>
      </w:r>
      <w:r w:rsidR="007D2ED8">
        <w:t xml:space="preserve">, and accordingly rule 6(1) applies, namely that every application must be brought on </w:t>
      </w:r>
      <w:r w:rsidR="007D2ED8">
        <w:rPr>
          <w:i/>
        </w:rPr>
        <w:t xml:space="preserve">notice of motion </w:t>
      </w:r>
      <w:r w:rsidR="007D2ED8">
        <w:t>supported by an affidavit as to the facts upon which the applicant relies for relief.</w:t>
      </w:r>
      <w:r w:rsidR="00176E37">
        <w:t xml:space="preserve"> A</w:t>
      </w:r>
      <w:r w:rsidR="007D2ED8">
        <w:t xml:space="preserve">lthough rule 6(11) makes provision for interlocutory and other applications </w:t>
      </w:r>
      <w:r w:rsidR="007D2ED8">
        <w:rPr>
          <w:i/>
        </w:rPr>
        <w:t xml:space="preserve">‘incidental to </w:t>
      </w:r>
      <w:r w:rsidR="00A53D21">
        <w:rPr>
          <w:i/>
        </w:rPr>
        <w:t xml:space="preserve">pending </w:t>
      </w:r>
      <w:r w:rsidR="00A53D21">
        <w:rPr>
          <w:i/>
        </w:rPr>
        <w:lastRenderedPageBreak/>
        <w:t>proceedings’</w:t>
      </w:r>
      <w:r w:rsidR="00A53D21">
        <w:t xml:space="preserve"> to be brought on notice supported by such affidavits as the case may require, the plaintiffs cannot get around the facts that: (a) their </w:t>
      </w:r>
      <w:r w:rsidR="00A53D21">
        <w:rPr>
          <w:i/>
        </w:rPr>
        <w:t>‘Notices in terms of rule 10 and rule 28’</w:t>
      </w:r>
      <w:r w:rsidR="00A53D21">
        <w:t xml:space="preserve"> </w:t>
      </w:r>
      <w:r w:rsidR="00176E37">
        <w:t>were</w:t>
      </w:r>
      <w:r w:rsidR="00A53D21">
        <w:t xml:space="preserve"> not accompanied by any affidavit at the time </w:t>
      </w:r>
      <w:r w:rsidR="00176E37">
        <w:t>of delivery</w:t>
      </w:r>
      <w:r w:rsidR="00A53D21">
        <w:t>; and (b) the affidavit</w:t>
      </w:r>
      <w:r w:rsidR="00176E37">
        <w:t>s</w:t>
      </w:r>
      <w:r w:rsidR="00A53D21">
        <w:t xml:space="preserve"> subsequently delivered after the order of 22 November 2021 were unaccompanied by any notice.</w:t>
      </w:r>
      <w:r w:rsidR="00176E37">
        <w:t xml:space="preserve"> T</w:t>
      </w:r>
      <w:r w:rsidR="00280BFC">
        <w:t>here is</w:t>
      </w:r>
      <w:r w:rsidR="00176E37">
        <w:t xml:space="preserve"> also</w:t>
      </w:r>
      <w:r w:rsidR="00280BFC">
        <w:t xml:space="preserve"> considerable merit in the defendant’s standpoint that</w:t>
      </w:r>
      <w:r w:rsidR="00176E37">
        <w:t>,</w:t>
      </w:r>
      <w:r w:rsidR="00280BFC">
        <w:t xml:space="preserve"> before any amendment to introduce an alternative claim by RCH can properly be considered, a court must be persuaded that he should be joined.</w:t>
      </w:r>
    </w:p>
    <w:p w:rsidR="00280BFC" w:rsidRDefault="000617D6" w:rsidP="000617D6">
      <w:pPr>
        <w:spacing w:after="480" w:line="480" w:lineRule="auto"/>
        <w:ind w:left="720" w:hanging="720"/>
        <w:jc w:val="both"/>
      </w:pPr>
      <w:r>
        <w:t>[24]</w:t>
      </w:r>
      <w:r>
        <w:tab/>
      </w:r>
      <w:r w:rsidR="00280BFC">
        <w:t xml:space="preserve">For all these reasons it is my conclusion that the plaintiffs adopted an irregular procedure and accordingly the relief they seek is not properly before the court. In these circumstances, it would be most unwise for me to delve into the merits of </w:t>
      </w:r>
      <w:r w:rsidR="006B6857">
        <w:t>that</w:t>
      </w:r>
      <w:r w:rsidR="00280BFC">
        <w:t xml:space="preserve"> </w:t>
      </w:r>
      <w:r w:rsidR="00EE4381">
        <w:t>“</w:t>
      </w:r>
      <w:r w:rsidR="00280BFC">
        <w:t>relief</w:t>
      </w:r>
      <w:r w:rsidR="00EE4381">
        <w:t>”</w:t>
      </w:r>
      <w:r w:rsidR="00280BFC">
        <w:t xml:space="preserve">. </w:t>
      </w:r>
    </w:p>
    <w:p w:rsidR="00280BFC" w:rsidRPr="00280BFC" w:rsidRDefault="000617D6" w:rsidP="000617D6">
      <w:pPr>
        <w:spacing w:after="480"/>
        <w:ind w:left="720" w:hanging="720"/>
        <w:jc w:val="both"/>
      </w:pPr>
      <w:r w:rsidRPr="00280BFC">
        <w:t>[25]</w:t>
      </w:r>
      <w:r w:rsidRPr="00280BFC">
        <w:tab/>
      </w:r>
      <w:r w:rsidR="00280BFC">
        <w:rPr>
          <w:b/>
        </w:rPr>
        <w:t>The following order is made:</w:t>
      </w:r>
    </w:p>
    <w:p w:rsidR="00280BFC" w:rsidRDefault="00280BFC" w:rsidP="00280BFC">
      <w:pPr>
        <w:spacing w:after="480" w:line="480" w:lineRule="auto"/>
        <w:ind w:left="720"/>
        <w:jc w:val="both"/>
        <w:rPr>
          <w:b/>
        </w:rPr>
      </w:pPr>
      <w:r>
        <w:rPr>
          <w:b/>
          <w:i/>
        </w:rPr>
        <w:t xml:space="preserve">The matter is struck from the roll with costs, including any reserved costs orders. </w:t>
      </w:r>
    </w:p>
    <w:p w:rsidR="00507B02" w:rsidRDefault="00507B02" w:rsidP="00507B02">
      <w:pPr>
        <w:spacing w:after="480"/>
        <w:ind w:left="720"/>
        <w:jc w:val="both"/>
        <w:rPr>
          <w:b/>
        </w:rPr>
      </w:pPr>
      <w:r>
        <w:rPr>
          <w:b/>
        </w:rPr>
        <w:tab/>
      </w:r>
      <w:r>
        <w:rPr>
          <w:b/>
        </w:rPr>
        <w:tab/>
      </w:r>
      <w:r>
        <w:rPr>
          <w:b/>
        </w:rPr>
        <w:tab/>
      </w:r>
      <w:r>
        <w:rPr>
          <w:b/>
        </w:rPr>
        <w:tab/>
      </w:r>
      <w:r>
        <w:rPr>
          <w:b/>
        </w:rPr>
        <w:tab/>
        <w:t>__________________</w:t>
      </w:r>
    </w:p>
    <w:p w:rsidR="002B2E6B" w:rsidRPr="00507B02" w:rsidRDefault="00507B02" w:rsidP="00EE4381">
      <w:pPr>
        <w:spacing w:after="480" w:line="480" w:lineRule="auto"/>
        <w:ind w:left="720"/>
        <w:jc w:val="both"/>
        <w:rPr>
          <w:b/>
        </w:rPr>
      </w:pPr>
      <w:r>
        <w:rPr>
          <w:b/>
        </w:rPr>
        <w:tab/>
      </w:r>
      <w:r>
        <w:rPr>
          <w:b/>
        </w:rPr>
        <w:tab/>
      </w:r>
      <w:r>
        <w:rPr>
          <w:b/>
        </w:rPr>
        <w:tab/>
      </w:r>
      <w:r>
        <w:rPr>
          <w:b/>
        </w:rPr>
        <w:tab/>
      </w:r>
      <w:r>
        <w:rPr>
          <w:b/>
        </w:rPr>
        <w:tab/>
        <w:t>J I CLOETE</w:t>
      </w:r>
    </w:p>
    <w:p w:rsidR="004E76E3" w:rsidRDefault="004E76E3" w:rsidP="002B2E6B">
      <w:pPr>
        <w:spacing w:line="360" w:lineRule="auto"/>
        <w:jc w:val="both"/>
      </w:pPr>
      <w:r w:rsidRPr="000F667E">
        <w:rPr>
          <w:u w:val="single"/>
        </w:rPr>
        <w:t>For</w:t>
      </w:r>
      <w:r>
        <w:rPr>
          <w:u w:val="single"/>
        </w:rPr>
        <w:t xml:space="preserve"> plaintiffs</w:t>
      </w:r>
      <w:r w:rsidRPr="00D26A46">
        <w:t>:</w:t>
      </w:r>
      <w:r>
        <w:t xml:space="preserve"> Adv P A </w:t>
      </w:r>
      <w:r w:rsidRPr="00B35F91">
        <w:rPr>
          <w:b/>
        </w:rPr>
        <w:t>Botha SC</w:t>
      </w:r>
    </w:p>
    <w:p w:rsidR="004E76E3" w:rsidRPr="000F667E" w:rsidRDefault="004E76E3" w:rsidP="002B2E6B">
      <w:pPr>
        <w:spacing w:line="360" w:lineRule="auto"/>
      </w:pPr>
      <w:r w:rsidRPr="00184E4C">
        <w:rPr>
          <w:u w:val="single"/>
        </w:rPr>
        <w:t>Instructed by</w:t>
      </w:r>
      <w:r w:rsidRPr="00D26A46">
        <w:t>:</w:t>
      </w:r>
      <w:r>
        <w:t xml:space="preserve"> Laubscher &amp; Hattingh Attorneys (H Ehrich)</w:t>
      </w:r>
    </w:p>
    <w:p w:rsidR="004E76E3" w:rsidRDefault="004E76E3" w:rsidP="002B2E6B">
      <w:pPr>
        <w:spacing w:line="360" w:lineRule="auto"/>
        <w:jc w:val="both"/>
      </w:pPr>
      <w:r w:rsidRPr="000F667E">
        <w:rPr>
          <w:u w:val="single"/>
        </w:rPr>
        <w:t xml:space="preserve">For </w:t>
      </w:r>
      <w:r>
        <w:rPr>
          <w:u w:val="single"/>
        </w:rPr>
        <w:t>defendant</w:t>
      </w:r>
      <w:r w:rsidRPr="00D26A46">
        <w:t>:</w:t>
      </w:r>
      <w:r>
        <w:t xml:space="preserve"> Adv J </w:t>
      </w:r>
      <w:r w:rsidRPr="00B35F91">
        <w:rPr>
          <w:b/>
        </w:rPr>
        <w:t>Whitaker</w:t>
      </w:r>
    </w:p>
    <w:p w:rsidR="00942ABB" w:rsidRPr="00B96740" w:rsidRDefault="004E76E3" w:rsidP="002B2E6B">
      <w:pPr>
        <w:spacing w:after="480" w:line="360" w:lineRule="auto"/>
        <w:jc w:val="both"/>
        <w:rPr>
          <w:b/>
        </w:rPr>
      </w:pPr>
      <w:r w:rsidRPr="00184E4C">
        <w:rPr>
          <w:u w:val="single"/>
        </w:rPr>
        <w:t>Instructed by</w:t>
      </w:r>
      <w:r w:rsidRPr="00D26A46">
        <w:t>:</w:t>
      </w:r>
      <w:r>
        <w:t xml:space="preserve"> Cluver Markotter </w:t>
      </w:r>
      <w:r w:rsidR="00D80A08">
        <w:t>Inc. (J M</w:t>
      </w:r>
      <w:r>
        <w:t xml:space="preserve"> Geyser</w:t>
      </w:r>
      <w:r w:rsidR="00D80A08">
        <w:t>)</w:t>
      </w:r>
      <w:r w:rsidR="00D80A08" w:rsidRPr="00B96740">
        <w:rPr>
          <w:b/>
        </w:rPr>
        <w:t xml:space="preserve"> </w:t>
      </w:r>
    </w:p>
    <w:sectPr w:rsidR="00942ABB" w:rsidRPr="00B96740" w:rsidSect="00F4257E">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7FF6" w:rsidRDefault="009A7FF6" w:rsidP="00F4257E">
      <w:r>
        <w:separator/>
      </w:r>
    </w:p>
  </w:endnote>
  <w:endnote w:type="continuationSeparator" w:id="0">
    <w:p w:rsidR="009A7FF6" w:rsidRDefault="009A7FF6" w:rsidP="00F4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7FF6" w:rsidRDefault="009A7FF6" w:rsidP="00F4257E">
      <w:r>
        <w:separator/>
      </w:r>
    </w:p>
  </w:footnote>
  <w:footnote w:type="continuationSeparator" w:id="0">
    <w:p w:rsidR="009A7FF6" w:rsidRDefault="009A7FF6" w:rsidP="00F4257E">
      <w:r>
        <w:continuationSeparator/>
      </w:r>
    </w:p>
  </w:footnote>
  <w:footnote w:id="1">
    <w:p w:rsidR="00D4266A" w:rsidRDefault="00D4266A" w:rsidP="00D4266A">
      <w:pPr>
        <w:pStyle w:val="FootnoteText"/>
        <w:tabs>
          <w:tab w:val="left" w:pos="284"/>
        </w:tabs>
        <w:ind w:left="284" w:hanging="284"/>
        <w:jc w:val="both"/>
      </w:pPr>
      <w:r>
        <w:rPr>
          <w:rStyle w:val="FootnoteReference"/>
        </w:rPr>
        <w:footnoteRef/>
      </w:r>
      <w:r>
        <w:t xml:space="preserve"> </w:t>
      </w:r>
      <w:r>
        <w:tab/>
        <w:t>Of the uniform rules of court</w:t>
      </w:r>
      <w:r w:rsidR="00A92ACA">
        <w:t>.</w:t>
      </w:r>
      <w:r>
        <w:t xml:space="preserve"> </w:t>
      </w:r>
    </w:p>
    <w:p w:rsidR="00A92ACA" w:rsidRDefault="00A92ACA" w:rsidP="00D4266A">
      <w:pPr>
        <w:pStyle w:val="FootnoteText"/>
        <w:tabs>
          <w:tab w:val="left" w:pos="284"/>
        </w:tabs>
        <w:ind w:left="284" w:hanging="284"/>
        <w:jc w:val="both"/>
      </w:pPr>
      <w:r>
        <w:tab/>
      </w:r>
    </w:p>
  </w:footnote>
  <w:footnote w:id="2">
    <w:p w:rsidR="00725E0C" w:rsidRDefault="00725E0C" w:rsidP="00725E0C">
      <w:pPr>
        <w:pStyle w:val="FootnoteText"/>
        <w:tabs>
          <w:tab w:val="left" w:pos="284"/>
        </w:tabs>
      </w:pPr>
      <w:r>
        <w:rPr>
          <w:rStyle w:val="FootnoteReference"/>
        </w:rPr>
        <w:footnoteRef/>
      </w:r>
      <w:r>
        <w:t xml:space="preserve"> </w:t>
      </w:r>
      <w:r>
        <w:tab/>
        <w:t xml:space="preserve">Although dated 6 May 2021, it was delivered on 10 May 2021. </w:t>
      </w:r>
    </w:p>
  </w:footnote>
  <w:footnote w:id="3">
    <w:p w:rsidR="00446D16" w:rsidRDefault="00446D16" w:rsidP="00446D16">
      <w:pPr>
        <w:pStyle w:val="FootnoteText"/>
        <w:tabs>
          <w:tab w:val="left" w:pos="284"/>
        </w:tabs>
      </w:pPr>
      <w:r>
        <w:rPr>
          <w:rStyle w:val="FootnoteReference"/>
        </w:rPr>
        <w:footnoteRef/>
      </w:r>
      <w:r>
        <w:t xml:space="preserve"> </w:t>
      </w:r>
      <w:r>
        <w:tab/>
        <w:t>1998 (1) SA 53 (W).</w:t>
      </w:r>
    </w:p>
  </w:footnote>
  <w:footnote w:id="4">
    <w:p w:rsidR="007D2ED8" w:rsidRDefault="007D2ED8" w:rsidP="007D2ED8">
      <w:pPr>
        <w:pStyle w:val="FootnoteText"/>
        <w:tabs>
          <w:tab w:val="left" w:pos="284"/>
        </w:tabs>
      </w:pPr>
      <w:r>
        <w:rPr>
          <w:rStyle w:val="FootnoteReference"/>
        </w:rPr>
        <w:footnoteRef/>
      </w:r>
      <w:r>
        <w:t xml:space="preserve"> </w:t>
      </w:r>
      <w:r>
        <w:tab/>
        <w:t>At 56I-J for the reasons set out at 57A-58B.</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Header"/>
      <w:jc w:val="center"/>
    </w:pPr>
  </w:p>
  <w:sdt>
    <w:sdtPr>
      <w:id w:val="1185634087"/>
      <w:docPartObj>
        <w:docPartGallery w:val="Page Numbers (Top of Page)"/>
        <w:docPartUnique/>
      </w:docPartObj>
    </w:sdtPr>
    <w:sdtEndPr>
      <w:rPr>
        <w:noProof/>
      </w:rPr>
    </w:sdtEndPr>
    <w:sdtContent>
      <w:p w:rsidR="00D46F35" w:rsidRDefault="00D46F35">
        <w:pPr>
          <w:pStyle w:val="Header"/>
          <w:jc w:val="center"/>
          <w:rPr>
            <w:noProof/>
          </w:rPr>
        </w:pPr>
        <w:r>
          <w:fldChar w:fldCharType="begin"/>
        </w:r>
        <w:r>
          <w:instrText xml:space="preserve"> PAGE   \* MERGEFORMAT </w:instrText>
        </w:r>
        <w:r>
          <w:fldChar w:fldCharType="separate"/>
        </w:r>
        <w:r w:rsidR="000617D6">
          <w:rPr>
            <w:noProof/>
          </w:rPr>
          <w:t>12</w:t>
        </w:r>
        <w:r>
          <w:rPr>
            <w:noProof/>
          </w:rPr>
          <w:fldChar w:fldCharType="end"/>
        </w:r>
      </w:p>
      <w:p w:rsidR="00D46F35" w:rsidRDefault="009A7FF6">
        <w:pPr>
          <w:pStyle w:val="Header"/>
          <w:jc w:val="center"/>
        </w:pPr>
      </w:p>
    </w:sdtContent>
  </w:sdt>
  <w:p w:rsidR="00D46F35" w:rsidRDefault="00D46F3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F35" w:rsidRDefault="00D46F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0212"/>
    <w:multiLevelType w:val="hybridMultilevel"/>
    <w:tmpl w:val="192CFE50"/>
    <w:lvl w:ilvl="0" w:tplc="22661F0A">
      <w:start w:val="1"/>
      <w:numFmt w:val="lowerRoman"/>
      <w:lvlText w:val="(%1)"/>
      <w:lvlJc w:val="left"/>
      <w:pPr>
        <w:ind w:left="2340" w:hanging="720"/>
      </w:pPr>
      <w:rPr>
        <w:rFonts w:hint="default"/>
      </w:rPr>
    </w:lvl>
    <w:lvl w:ilvl="1" w:tplc="1C090019" w:tentative="1">
      <w:start w:val="1"/>
      <w:numFmt w:val="lowerLetter"/>
      <w:lvlText w:val="%2."/>
      <w:lvlJc w:val="left"/>
      <w:pPr>
        <w:ind w:left="2700" w:hanging="360"/>
      </w:pPr>
    </w:lvl>
    <w:lvl w:ilvl="2" w:tplc="1C09001B" w:tentative="1">
      <w:start w:val="1"/>
      <w:numFmt w:val="lowerRoman"/>
      <w:lvlText w:val="%3."/>
      <w:lvlJc w:val="right"/>
      <w:pPr>
        <w:ind w:left="3420" w:hanging="180"/>
      </w:pPr>
    </w:lvl>
    <w:lvl w:ilvl="3" w:tplc="1C09000F" w:tentative="1">
      <w:start w:val="1"/>
      <w:numFmt w:val="decimal"/>
      <w:lvlText w:val="%4."/>
      <w:lvlJc w:val="left"/>
      <w:pPr>
        <w:ind w:left="4140" w:hanging="360"/>
      </w:pPr>
    </w:lvl>
    <w:lvl w:ilvl="4" w:tplc="1C090019" w:tentative="1">
      <w:start w:val="1"/>
      <w:numFmt w:val="lowerLetter"/>
      <w:lvlText w:val="%5."/>
      <w:lvlJc w:val="left"/>
      <w:pPr>
        <w:ind w:left="4860" w:hanging="360"/>
      </w:pPr>
    </w:lvl>
    <w:lvl w:ilvl="5" w:tplc="1C09001B" w:tentative="1">
      <w:start w:val="1"/>
      <w:numFmt w:val="lowerRoman"/>
      <w:lvlText w:val="%6."/>
      <w:lvlJc w:val="right"/>
      <w:pPr>
        <w:ind w:left="5580" w:hanging="180"/>
      </w:pPr>
    </w:lvl>
    <w:lvl w:ilvl="6" w:tplc="1C09000F" w:tentative="1">
      <w:start w:val="1"/>
      <w:numFmt w:val="decimal"/>
      <w:lvlText w:val="%7."/>
      <w:lvlJc w:val="left"/>
      <w:pPr>
        <w:ind w:left="6300" w:hanging="360"/>
      </w:pPr>
    </w:lvl>
    <w:lvl w:ilvl="7" w:tplc="1C090019" w:tentative="1">
      <w:start w:val="1"/>
      <w:numFmt w:val="lowerLetter"/>
      <w:lvlText w:val="%8."/>
      <w:lvlJc w:val="left"/>
      <w:pPr>
        <w:ind w:left="7020" w:hanging="360"/>
      </w:pPr>
    </w:lvl>
    <w:lvl w:ilvl="8" w:tplc="1C09001B" w:tentative="1">
      <w:start w:val="1"/>
      <w:numFmt w:val="lowerRoman"/>
      <w:lvlText w:val="%9."/>
      <w:lvlJc w:val="right"/>
      <w:pPr>
        <w:ind w:left="7740" w:hanging="180"/>
      </w:pPr>
    </w:lvl>
  </w:abstractNum>
  <w:abstractNum w:abstractNumId="1" w15:restartNumberingAfterBreak="0">
    <w:nsid w:val="09F51ACC"/>
    <w:multiLevelType w:val="hybridMultilevel"/>
    <w:tmpl w:val="0B9A5CFA"/>
    <w:lvl w:ilvl="0" w:tplc="D05A8754">
      <w:start w:val="1"/>
      <w:numFmt w:val="decimal"/>
      <w:lvlText w:val="[%1]"/>
      <w:lvlJc w:val="left"/>
      <w:pPr>
        <w:ind w:left="0" w:firstLine="0"/>
      </w:pPr>
      <w:rPr>
        <w:rFonts w:ascii="Arial" w:hAnsi="Arial"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271D4B"/>
    <w:multiLevelType w:val="hybridMultilevel"/>
    <w:tmpl w:val="4A006A12"/>
    <w:lvl w:ilvl="0" w:tplc="5DF61A46">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 w15:restartNumberingAfterBreak="0">
    <w:nsid w:val="0E5760E8"/>
    <w:multiLevelType w:val="hybridMultilevel"/>
    <w:tmpl w:val="A06CD4D2"/>
    <w:lvl w:ilvl="0" w:tplc="134457A0">
      <w:start w:val="1"/>
      <w:numFmt w:val="decimal"/>
      <w:lvlText w:val="[%1]"/>
      <w:lvlJc w:val="left"/>
      <w:pPr>
        <w:ind w:left="720" w:hanging="360"/>
      </w:pPr>
      <w:rPr>
        <w:rFonts w:ascii="Arial" w:hAnsi="Arial" w:hint="default"/>
        <w:i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17327ECD"/>
    <w:multiLevelType w:val="hybridMultilevel"/>
    <w:tmpl w:val="B1DE2C7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B386FD9"/>
    <w:multiLevelType w:val="hybridMultilevel"/>
    <w:tmpl w:val="F01260D6"/>
    <w:lvl w:ilvl="0" w:tplc="5636B6F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1CF87B45"/>
    <w:multiLevelType w:val="hybridMultilevel"/>
    <w:tmpl w:val="24F09168"/>
    <w:lvl w:ilvl="0" w:tplc="62026C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7418C1"/>
    <w:multiLevelType w:val="hybridMultilevel"/>
    <w:tmpl w:val="70888F18"/>
    <w:lvl w:ilvl="0" w:tplc="CA6E93FA">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8" w15:restartNumberingAfterBreak="0">
    <w:nsid w:val="1E960E3A"/>
    <w:multiLevelType w:val="hybridMultilevel"/>
    <w:tmpl w:val="4CE459A0"/>
    <w:lvl w:ilvl="0" w:tplc="05C491FE">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15:restartNumberingAfterBreak="0">
    <w:nsid w:val="288C4193"/>
    <w:multiLevelType w:val="hybridMultilevel"/>
    <w:tmpl w:val="AF9EDD9A"/>
    <w:lvl w:ilvl="0" w:tplc="FE361D26">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2CF02A66"/>
    <w:multiLevelType w:val="multilevel"/>
    <w:tmpl w:val="07127FF2"/>
    <w:lvl w:ilvl="0">
      <w:start w:val="1"/>
      <w:numFmt w:val="decimal"/>
      <w:lvlText w:val="%1."/>
      <w:lvlJc w:val="left"/>
      <w:pPr>
        <w:ind w:left="1080" w:hanging="360"/>
      </w:pPr>
      <w:rPr>
        <w:rFonts w:hint="default"/>
        <w:b/>
      </w:rPr>
    </w:lvl>
    <w:lvl w:ilvl="1">
      <w:start w:val="1"/>
      <w:numFmt w:val="decimal"/>
      <w:isLgl/>
      <w:lvlText w:val="%1.%2"/>
      <w:lvlJc w:val="left"/>
      <w:pPr>
        <w:ind w:left="1704" w:hanging="624"/>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1" w15:restartNumberingAfterBreak="0">
    <w:nsid w:val="2E095BB1"/>
    <w:multiLevelType w:val="hybridMultilevel"/>
    <w:tmpl w:val="C0622636"/>
    <w:lvl w:ilvl="0" w:tplc="66DC6308">
      <w:start w:val="1"/>
      <w:numFmt w:val="lowerLetter"/>
      <w:lvlText w:val="(%1)"/>
      <w:lvlJc w:val="left"/>
      <w:pPr>
        <w:ind w:left="2340" w:hanging="360"/>
      </w:pPr>
      <w:rPr>
        <w:rFonts w:hint="default"/>
      </w:rPr>
    </w:lvl>
    <w:lvl w:ilvl="1" w:tplc="1C090019" w:tentative="1">
      <w:start w:val="1"/>
      <w:numFmt w:val="lowerLetter"/>
      <w:lvlText w:val="%2."/>
      <w:lvlJc w:val="left"/>
      <w:pPr>
        <w:ind w:left="3060" w:hanging="360"/>
      </w:pPr>
    </w:lvl>
    <w:lvl w:ilvl="2" w:tplc="1C09001B" w:tentative="1">
      <w:start w:val="1"/>
      <w:numFmt w:val="lowerRoman"/>
      <w:lvlText w:val="%3."/>
      <w:lvlJc w:val="right"/>
      <w:pPr>
        <w:ind w:left="3780" w:hanging="180"/>
      </w:pPr>
    </w:lvl>
    <w:lvl w:ilvl="3" w:tplc="1C09000F" w:tentative="1">
      <w:start w:val="1"/>
      <w:numFmt w:val="decimal"/>
      <w:lvlText w:val="%4."/>
      <w:lvlJc w:val="left"/>
      <w:pPr>
        <w:ind w:left="4500" w:hanging="360"/>
      </w:pPr>
    </w:lvl>
    <w:lvl w:ilvl="4" w:tplc="1C090019" w:tentative="1">
      <w:start w:val="1"/>
      <w:numFmt w:val="lowerLetter"/>
      <w:lvlText w:val="%5."/>
      <w:lvlJc w:val="left"/>
      <w:pPr>
        <w:ind w:left="5220" w:hanging="360"/>
      </w:pPr>
    </w:lvl>
    <w:lvl w:ilvl="5" w:tplc="1C09001B" w:tentative="1">
      <w:start w:val="1"/>
      <w:numFmt w:val="lowerRoman"/>
      <w:lvlText w:val="%6."/>
      <w:lvlJc w:val="right"/>
      <w:pPr>
        <w:ind w:left="5940" w:hanging="180"/>
      </w:pPr>
    </w:lvl>
    <w:lvl w:ilvl="6" w:tplc="1C09000F" w:tentative="1">
      <w:start w:val="1"/>
      <w:numFmt w:val="decimal"/>
      <w:lvlText w:val="%7."/>
      <w:lvlJc w:val="left"/>
      <w:pPr>
        <w:ind w:left="6660" w:hanging="360"/>
      </w:pPr>
    </w:lvl>
    <w:lvl w:ilvl="7" w:tplc="1C090019" w:tentative="1">
      <w:start w:val="1"/>
      <w:numFmt w:val="lowerLetter"/>
      <w:lvlText w:val="%8."/>
      <w:lvlJc w:val="left"/>
      <w:pPr>
        <w:ind w:left="7380" w:hanging="360"/>
      </w:pPr>
    </w:lvl>
    <w:lvl w:ilvl="8" w:tplc="1C09001B" w:tentative="1">
      <w:start w:val="1"/>
      <w:numFmt w:val="lowerRoman"/>
      <w:lvlText w:val="%9."/>
      <w:lvlJc w:val="right"/>
      <w:pPr>
        <w:ind w:left="8100" w:hanging="180"/>
      </w:pPr>
    </w:lvl>
  </w:abstractNum>
  <w:abstractNum w:abstractNumId="12" w15:restartNumberingAfterBreak="0">
    <w:nsid w:val="3BB422D5"/>
    <w:multiLevelType w:val="hybridMultilevel"/>
    <w:tmpl w:val="3C8C29FA"/>
    <w:lvl w:ilvl="0" w:tplc="987C5236">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3" w15:restartNumberingAfterBreak="0">
    <w:nsid w:val="3D5D5129"/>
    <w:multiLevelType w:val="hybridMultilevel"/>
    <w:tmpl w:val="D24A11AA"/>
    <w:lvl w:ilvl="0" w:tplc="3754E976">
      <w:start w:val="1"/>
      <w:numFmt w:val="lowerLetter"/>
      <w:lvlText w:val="(%1)"/>
      <w:lvlJc w:val="left"/>
      <w:pPr>
        <w:ind w:left="2342" w:hanging="360"/>
      </w:pPr>
      <w:rPr>
        <w:rFonts w:hint="default"/>
      </w:rPr>
    </w:lvl>
    <w:lvl w:ilvl="1" w:tplc="1C090019" w:tentative="1">
      <w:start w:val="1"/>
      <w:numFmt w:val="lowerLetter"/>
      <w:lvlText w:val="%2."/>
      <w:lvlJc w:val="left"/>
      <w:pPr>
        <w:ind w:left="3062" w:hanging="360"/>
      </w:pPr>
    </w:lvl>
    <w:lvl w:ilvl="2" w:tplc="1C09001B" w:tentative="1">
      <w:start w:val="1"/>
      <w:numFmt w:val="lowerRoman"/>
      <w:lvlText w:val="%3."/>
      <w:lvlJc w:val="right"/>
      <w:pPr>
        <w:ind w:left="3782" w:hanging="180"/>
      </w:pPr>
    </w:lvl>
    <w:lvl w:ilvl="3" w:tplc="1C09000F" w:tentative="1">
      <w:start w:val="1"/>
      <w:numFmt w:val="decimal"/>
      <w:lvlText w:val="%4."/>
      <w:lvlJc w:val="left"/>
      <w:pPr>
        <w:ind w:left="4502" w:hanging="360"/>
      </w:pPr>
    </w:lvl>
    <w:lvl w:ilvl="4" w:tplc="1C090019" w:tentative="1">
      <w:start w:val="1"/>
      <w:numFmt w:val="lowerLetter"/>
      <w:lvlText w:val="%5."/>
      <w:lvlJc w:val="left"/>
      <w:pPr>
        <w:ind w:left="5222" w:hanging="360"/>
      </w:pPr>
    </w:lvl>
    <w:lvl w:ilvl="5" w:tplc="1C09001B" w:tentative="1">
      <w:start w:val="1"/>
      <w:numFmt w:val="lowerRoman"/>
      <w:lvlText w:val="%6."/>
      <w:lvlJc w:val="right"/>
      <w:pPr>
        <w:ind w:left="5942" w:hanging="180"/>
      </w:pPr>
    </w:lvl>
    <w:lvl w:ilvl="6" w:tplc="1C09000F" w:tentative="1">
      <w:start w:val="1"/>
      <w:numFmt w:val="decimal"/>
      <w:lvlText w:val="%7."/>
      <w:lvlJc w:val="left"/>
      <w:pPr>
        <w:ind w:left="6662" w:hanging="360"/>
      </w:pPr>
    </w:lvl>
    <w:lvl w:ilvl="7" w:tplc="1C090019" w:tentative="1">
      <w:start w:val="1"/>
      <w:numFmt w:val="lowerLetter"/>
      <w:lvlText w:val="%8."/>
      <w:lvlJc w:val="left"/>
      <w:pPr>
        <w:ind w:left="7382" w:hanging="360"/>
      </w:pPr>
    </w:lvl>
    <w:lvl w:ilvl="8" w:tplc="1C09001B" w:tentative="1">
      <w:start w:val="1"/>
      <w:numFmt w:val="lowerRoman"/>
      <w:lvlText w:val="%9."/>
      <w:lvlJc w:val="right"/>
      <w:pPr>
        <w:ind w:left="8102" w:hanging="180"/>
      </w:pPr>
    </w:lvl>
  </w:abstractNum>
  <w:abstractNum w:abstractNumId="14" w15:restartNumberingAfterBreak="0">
    <w:nsid w:val="47670A7F"/>
    <w:multiLevelType w:val="hybridMultilevel"/>
    <w:tmpl w:val="A406E48C"/>
    <w:lvl w:ilvl="0" w:tplc="6ACED890">
      <w:start w:val="1"/>
      <w:numFmt w:val="lowerRoman"/>
      <w:lvlText w:val="%1)"/>
      <w:lvlJc w:val="left"/>
      <w:pPr>
        <w:ind w:left="2160" w:hanging="72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5" w15:restartNumberingAfterBreak="0">
    <w:nsid w:val="4A0D1E44"/>
    <w:multiLevelType w:val="multilevel"/>
    <w:tmpl w:val="AB30EC7E"/>
    <w:lvl w:ilvl="0">
      <w:start w:val="1"/>
      <w:numFmt w:val="decimal"/>
      <w:lvlText w:val="%1"/>
      <w:lvlJc w:val="left"/>
      <w:pPr>
        <w:ind w:left="72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5040" w:hanging="720"/>
      </w:pPr>
      <w:rPr>
        <w:rFonts w:hint="default"/>
      </w:rPr>
    </w:lvl>
    <w:lvl w:ilvl="3">
      <w:start w:val="1"/>
      <w:numFmt w:val="decimal"/>
      <w:lvlText w:val="%1.%2.%3.%4"/>
      <w:lvlJc w:val="left"/>
      <w:pPr>
        <w:ind w:left="7200" w:hanging="720"/>
      </w:pPr>
      <w:rPr>
        <w:rFonts w:hint="default"/>
      </w:rPr>
    </w:lvl>
    <w:lvl w:ilvl="4">
      <w:start w:val="1"/>
      <w:numFmt w:val="decimal"/>
      <w:lvlText w:val="%1.%2.%3.%4.%5"/>
      <w:lvlJc w:val="left"/>
      <w:pPr>
        <w:ind w:left="9720" w:hanging="1080"/>
      </w:pPr>
      <w:rPr>
        <w:rFonts w:hint="default"/>
      </w:rPr>
    </w:lvl>
    <w:lvl w:ilvl="5">
      <w:start w:val="1"/>
      <w:numFmt w:val="decimal"/>
      <w:lvlText w:val="%1.%2.%3.%4.%5.%6"/>
      <w:lvlJc w:val="left"/>
      <w:pPr>
        <w:ind w:left="11880" w:hanging="1080"/>
      </w:pPr>
      <w:rPr>
        <w:rFonts w:hint="default"/>
      </w:rPr>
    </w:lvl>
    <w:lvl w:ilvl="6">
      <w:start w:val="1"/>
      <w:numFmt w:val="decimal"/>
      <w:lvlText w:val="%1.%2.%3.%4.%5.%6.%7"/>
      <w:lvlJc w:val="left"/>
      <w:pPr>
        <w:ind w:left="14400" w:hanging="1440"/>
      </w:pPr>
      <w:rPr>
        <w:rFonts w:hint="default"/>
      </w:rPr>
    </w:lvl>
    <w:lvl w:ilvl="7">
      <w:start w:val="1"/>
      <w:numFmt w:val="decimal"/>
      <w:lvlText w:val="%1.%2.%3.%4.%5.%6.%7.%8"/>
      <w:lvlJc w:val="left"/>
      <w:pPr>
        <w:ind w:left="16560" w:hanging="1440"/>
      </w:pPr>
      <w:rPr>
        <w:rFonts w:hint="default"/>
      </w:rPr>
    </w:lvl>
    <w:lvl w:ilvl="8">
      <w:start w:val="1"/>
      <w:numFmt w:val="decimal"/>
      <w:lvlText w:val="%1.%2.%3.%4.%5.%6.%7.%8.%9"/>
      <w:lvlJc w:val="left"/>
      <w:pPr>
        <w:ind w:left="19080" w:hanging="1800"/>
      </w:pPr>
      <w:rPr>
        <w:rFonts w:hint="default"/>
      </w:rPr>
    </w:lvl>
  </w:abstractNum>
  <w:abstractNum w:abstractNumId="16" w15:restartNumberingAfterBreak="0">
    <w:nsid w:val="57B90FB6"/>
    <w:multiLevelType w:val="hybridMultilevel"/>
    <w:tmpl w:val="D96CA93A"/>
    <w:lvl w:ilvl="0" w:tplc="922AC3D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15:restartNumberingAfterBreak="0">
    <w:nsid w:val="5DC87D23"/>
    <w:multiLevelType w:val="hybridMultilevel"/>
    <w:tmpl w:val="A698C700"/>
    <w:lvl w:ilvl="0" w:tplc="977C17C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15:restartNumberingAfterBreak="0">
    <w:nsid w:val="61C644CA"/>
    <w:multiLevelType w:val="hybridMultilevel"/>
    <w:tmpl w:val="AADE79BE"/>
    <w:lvl w:ilvl="0" w:tplc="015EBFB8">
      <w:start w:val="1"/>
      <w:numFmt w:val="decimal"/>
      <w:lvlText w:val="%1."/>
      <w:lvlJc w:val="left"/>
      <w:pPr>
        <w:ind w:left="1785" w:hanging="360"/>
      </w:pPr>
      <w:rPr>
        <w:rFonts w:hint="default"/>
      </w:rPr>
    </w:lvl>
    <w:lvl w:ilvl="1" w:tplc="1C090019" w:tentative="1">
      <w:start w:val="1"/>
      <w:numFmt w:val="lowerLetter"/>
      <w:lvlText w:val="%2."/>
      <w:lvlJc w:val="left"/>
      <w:pPr>
        <w:ind w:left="2505" w:hanging="360"/>
      </w:pPr>
    </w:lvl>
    <w:lvl w:ilvl="2" w:tplc="1C09001B" w:tentative="1">
      <w:start w:val="1"/>
      <w:numFmt w:val="lowerRoman"/>
      <w:lvlText w:val="%3."/>
      <w:lvlJc w:val="right"/>
      <w:pPr>
        <w:ind w:left="3225" w:hanging="180"/>
      </w:pPr>
    </w:lvl>
    <w:lvl w:ilvl="3" w:tplc="1C09000F" w:tentative="1">
      <w:start w:val="1"/>
      <w:numFmt w:val="decimal"/>
      <w:lvlText w:val="%4."/>
      <w:lvlJc w:val="left"/>
      <w:pPr>
        <w:ind w:left="3945" w:hanging="360"/>
      </w:pPr>
    </w:lvl>
    <w:lvl w:ilvl="4" w:tplc="1C090019" w:tentative="1">
      <w:start w:val="1"/>
      <w:numFmt w:val="lowerLetter"/>
      <w:lvlText w:val="%5."/>
      <w:lvlJc w:val="left"/>
      <w:pPr>
        <w:ind w:left="4665" w:hanging="360"/>
      </w:pPr>
    </w:lvl>
    <w:lvl w:ilvl="5" w:tplc="1C09001B" w:tentative="1">
      <w:start w:val="1"/>
      <w:numFmt w:val="lowerRoman"/>
      <w:lvlText w:val="%6."/>
      <w:lvlJc w:val="right"/>
      <w:pPr>
        <w:ind w:left="5385" w:hanging="180"/>
      </w:pPr>
    </w:lvl>
    <w:lvl w:ilvl="6" w:tplc="1C09000F" w:tentative="1">
      <w:start w:val="1"/>
      <w:numFmt w:val="decimal"/>
      <w:lvlText w:val="%7."/>
      <w:lvlJc w:val="left"/>
      <w:pPr>
        <w:ind w:left="6105" w:hanging="360"/>
      </w:pPr>
    </w:lvl>
    <w:lvl w:ilvl="7" w:tplc="1C090019" w:tentative="1">
      <w:start w:val="1"/>
      <w:numFmt w:val="lowerLetter"/>
      <w:lvlText w:val="%8."/>
      <w:lvlJc w:val="left"/>
      <w:pPr>
        <w:ind w:left="6825" w:hanging="360"/>
      </w:pPr>
    </w:lvl>
    <w:lvl w:ilvl="8" w:tplc="1C09001B" w:tentative="1">
      <w:start w:val="1"/>
      <w:numFmt w:val="lowerRoman"/>
      <w:lvlText w:val="%9."/>
      <w:lvlJc w:val="right"/>
      <w:pPr>
        <w:ind w:left="7545" w:hanging="180"/>
      </w:pPr>
    </w:lvl>
  </w:abstractNum>
  <w:abstractNum w:abstractNumId="19" w15:restartNumberingAfterBreak="0">
    <w:nsid w:val="624D006E"/>
    <w:multiLevelType w:val="hybridMultilevel"/>
    <w:tmpl w:val="6FD81AA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3143680"/>
    <w:multiLevelType w:val="hybridMultilevel"/>
    <w:tmpl w:val="86248834"/>
    <w:lvl w:ilvl="0" w:tplc="102A57E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CAE1231"/>
    <w:multiLevelType w:val="hybridMultilevel"/>
    <w:tmpl w:val="8BE2F0E2"/>
    <w:lvl w:ilvl="0" w:tplc="388E0FBE">
      <w:start w:val="1"/>
      <w:numFmt w:val="decimal"/>
      <w:lvlText w:val="[%1]"/>
      <w:lvlJc w:val="left"/>
      <w:pPr>
        <w:ind w:left="720" w:hanging="360"/>
      </w:pPr>
      <w:rPr>
        <w:rFonts w:ascii="Arial" w:hAnsi="Arial" w:cs="Arial" w:hint="default"/>
        <w:b w:val="0"/>
        <w:i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FE204B4"/>
    <w:multiLevelType w:val="multilevel"/>
    <w:tmpl w:val="BF18A91A"/>
    <w:lvl w:ilvl="0">
      <w:start w:val="1"/>
      <w:numFmt w:val="decimal"/>
      <w:pStyle w:val="StyleArialLinespacing15lines"/>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723F25C7"/>
    <w:multiLevelType w:val="hybridMultilevel"/>
    <w:tmpl w:val="62525FAC"/>
    <w:lvl w:ilvl="0" w:tplc="69E61524">
      <w:start w:val="1"/>
      <w:numFmt w:val="lowerLetter"/>
      <w:lvlText w:val="(%1)"/>
      <w:lvlJc w:val="left"/>
      <w:pPr>
        <w:ind w:left="2880" w:hanging="720"/>
      </w:pPr>
      <w:rPr>
        <w:rFonts w:hint="default"/>
      </w:rPr>
    </w:lvl>
    <w:lvl w:ilvl="1" w:tplc="1C090019" w:tentative="1">
      <w:start w:val="1"/>
      <w:numFmt w:val="lowerLetter"/>
      <w:lvlText w:val="%2."/>
      <w:lvlJc w:val="lef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24" w15:restartNumberingAfterBreak="0">
    <w:nsid w:val="75CE2AF5"/>
    <w:multiLevelType w:val="hybridMultilevel"/>
    <w:tmpl w:val="C09489A0"/>
    <w:lvl w:ilvl="0" w:tplc="E98AD0A4">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15:restartNumberingAfterBreak="0">
    <w:nsid w:val="770F5059"/>
    <w:multiLevelType w:val="hybridMultilevel"/>
    <w:tmpl w:val="1D7434CA"/>
    <w:lvl w:ilvl="0" w:tplc="A704C28A">
      <w:start w:val="1"/>
      <w:numFmt w:val="decimal"/>
      <w:lvlText w:val="[%1]"/>
      <w:lvlJc w:val="left"/>
      <w:pPr>
        <w:ind w:left="720" w:hanging="360"/>
      </w:pPr>
      <w:rPr>
        <w:rFonts w:ascii="Arial"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79017B15"/>
    <w:multiLevelType w:val="hybridMultilevel"/>
    <w:tmpl w:val="7AD0E4E8"/>
    <w:lvl w:ilvl="0" w:tplc="D862E464">
      <w:start w:val="1"/>
      <w:numFmt w:val="decimal"/>
      <w:lvlText w:val="%1."/>
      <w:lvlJc w:val="left"/>
      <w:pPr>
        <w:ind w:left="1080" w:hanging="360"/>
      </w:pPr>
      <w:rPr>
        <w:rFonts w:hint="default"/>
        <w:i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7" w15:restartNumberingAfterBreak="0">
    <w:nsid w:val="7A402D96"/>
    <w:multiLevelType w:val="hybridMultilevel"/>
    <w:tmpl w:val="90FA4954"/>
    <w:lvl w:ilvl="0" w:tplc="7592D708">
      <w:start w:val="1"/>
      <w:numFmt w:val="decimal"/>
      <w:lvlText w:val="%1."/>
      <w:lvlJc w:val="left"/>
      <w:pPr>
        <w:ind w:left="1080" w:hanging="360"/>
      </w:pPr>
      <w:rPr>
        <w:rFonts w:hint="default"/>
        <w:sz w:val="22"/>
        <w:szCs w:val="22"/>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8" w15:restartNumberingAfterBreak="0">
    <w:nsid w:val="7EF25F16"/>
    <w:multiLevelType w:val="hybridMultilevel"/>
    <w:tmpl w:val="0F56CE40"/>
    <w:lvl w:ilvl="0" w:tplc="11CAF734">
      <w:start w:val="1"/>
      <w:numFmt w:val="decimal"/>
      <w:lvlText w:val="%1."/>
      <w:lvlJc w:val="left"/>
      <w:pPr>
        <w:ind w:left="1800" w:hanging="360"/>
      </w:pPr>
      <w:rPr>
        <w:rFonts w:hint="default"/>
        <w:b w:val="0"/>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num w:numId="1">
    <w:abstractNumId w:val="21"/>
  </w:num>
  <w:num w:numId="2">
    <w:abstractNumId w:val="13"/>
  </w:num>
  <w:num w:numId="3">
    <w:abstractNumId w:val="25"/>
  </w:num>
  <w:num w:numId="4">
    <w:abstractNumId w:val="9"/>
  </w:num>
  <w:num w:numId="5">
    <w:abstractNumId w:val="4"/>
  </w:num>
  <w:num w:numId="6">
    <w:abstractNumId w:val="3"/>
  </w:num>
  <w:num w:numId="7">
    <w:abstractNumId w:val="16"/>
  </w:num>
  <w:num w:numId="8">
    <w:abstractNumId w:val="11"/>
  </w:num>
  <w:num w:numId="9">
    <w:abstractNumId w:val="10"/>
  </w:num>
  <w:num w:numId="10">
    <w:abstractNumId w:val="23"/>
  </w:num>
  <w:num w:numId="11">
    <w:abstractNumId w:val="28"/>
  </w:num>
  <w:num w:numId="12">
    <w:abstractNumId w:val="14"/>
  </w:num>
  <w:num w:numId="13">
    <w:abstractNumId w:val="7"/>
  </w:num>
  <w:num w:numId="14">
    <w:abstractNumId w:val="17"/>
  </w:num>
  <w:num w:numId="15">
    <w:abstractNumId w:val="8"/>
  </w:num>
  <w:num w:numId="16">
    <w:abstractNumId w:val="18"/>
  </w:num>
  <w:num w:numId="17">
    <w:abstractNumId w:val="12"/>
  </w:num>
  <w:num w:numId="18">
    <w:abstractNumId w:val="27"/>
  </w:num>
  <w:num w:numId="19">
    <w:abstractNumId w:val="20"/>
  </w:num>
  <w:num w:numId="20">
    <w:abstractNumId w:val="2"/>
  </w:num>
  <w:num w:numId="21">
    <w:abstractNumId w:val="0"/>
  </w:num>
  <w:num w:numId="22">
    <w:abstractNumId w:val="6"/>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26"/>
  </w:num>
  <w:num w:numId="26">
    <w:abstractNumId w:val="24"/>
  </w:num>
  <w:num w:numId="27">
    <w:abstractNumId w:val="5"/>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A20"/>
    <w:rsid w:val="000001CD"/>
    <w:rsid w:val="00001381"/>
    <w:rsid w:val="0000283B"/>
    <w:rsid w:val="0000327A"/>
    <w:rsid w:val="00003C15"/>
    <w:rsid w:val="00005214"/>
    <w:rsid w:val="00006D22"/>
    <w:rsid w:val="00006E2C"/>
    <w:rsid w:val="00011351"/>
    <w:rsid w:val="00013C43"/>
    <w:rsid w:val="00016727"/>
    <w:rsid w:val="00017D48"/>
    <w:rsid w:val="00030389"/>
    <w:rsid w:val="00030442"/>
    <w:rsid w:val="00032180"/>
    <w:rsid w:val="00035F78"/>
    <w:rsid w:val="0004469E"/>
    <w:rsid w:val="00044E4A"/>
    <w:rsid w:val="00045063"/>
    <w:rsid w:val="00047888"/>
    <w:rsid w:val="000504FA"/>
    <w:rsid w:val="00050CBA"/>
    <w:rsid w:val="00051785"/>
    <w:rsid w:val="00052513"/>
    <w:rsid w:val="000571F9"/>
    <w:rsid w:val="00057F20"/>
    <w:rsid w:val="000603C6"/>
    <w:rsid w:val="000617D6"/>
    <w:rsid w:val="00061907"/>
    <w:rsid w:val="00061B5A"/>
    <w:rsid w:val="00062376"/>
    <w:rsid w:val="00062D15"/>
    <w:rsid w:val="00063B2E"/>
    <w:rsid w:val="00071200"/>
    <w:rsid w:val="000728A2"/>
    <w:rsid w:val="00074967"/>
    <w:rsid w:val="0007789C"/>
    <w:rsid w:val="00080E27"/>
    <w:rsid w:val="00082B97"/>
    <w:rsid w:val="00084FD7"/>
    <w:rsid w:val="00086448"/>
    <w:rsid w:val="000876F2"/>
    <w:rsid w:val="00091E0D"/>
    <w:rsid w:val="00092029"/>
    <w:rsid w:val="0009297E"/>
    <w:rsid w:val="00097268"/>
    <w:rsid w:val="000974DC"/>
    <w:rsid w:val="000A031F"/>
    <w:rsid w:val="000A5153"/>
    <w:rsid w:val="000A595C"/>
    <w:rsid w:val="000A7583"/>
    <w:rsid w:val="000B103A"/>
    <w:rsid w:val="000B3105"/>
    <w:rsid w:val="000B6489"/>
    <w:rsid w:val="000B7977"/>
    <w:rsid w:val="000C2012"/>
    <w:rsid w:val="000C272C"/>
    <w:rsid w:val="000C30A5"/>
    <w:rsid w:val="000C5A3A"/>
    <w:rsid w:val="000C5CFB"/>
    <w:rsid w:val="000C6358"/>
    <w:rsid w:val="000C68E8"/>
    <w:rsid w:val="000C7FE0"/>
    <w:rsid w:val="000D0428"/>
    <w:rsid w:val="000D1823"/>
    <w:rsid w:val="000D296F"/>
    <w:rsid w:val="000D3070"/>
    <w:rsid w:val="000D335D"/>
    <w:rsid w:val="000D7B23"/>
    <w:rsid w:val="000E58E8"/>
    <w:rsid w:val="000E7D51"/>
    <w:rsid w:val="000F0458"/>
    <w:rsid w:val="000F138A"/>
    <w:rsid w:val="000F1A51"/>
    <w:rsid w:val="000F1F9F"/>
    <w:rsid w:val="000F26E0"/>
    <w:rsid w:val="000F2B6E"/>
    <w:rsid w:val="000F6201"/>
    <w:rsid w:val="000F7DBB"/>
    <w:rsid w:val="0010279D"/>
    <w:rsid w:val="00104D05"/>
    <w:rsid w:val="00105886"/>
    <w:rsid w:val="00105DE0"/>
    <w:rsid w:val="0012219A"/>
    <w:rsid w:val="00122665"/>
    <w:rsid w:val="00122CDF"/>
    <w:rsid w:val="00126DEE"/>
    <w:rsid w:val="00126FD5"/>
    <w:rsid w:val="00131178"/>
    <w:rsid w:val="00131BD2"/>
    <w:rsid w:val="001324D2"/>
    <w:rsid w:val="001330B9"/>
    <w:rsid w:val="001416ED"/>
    <w:rsid w:val="00141DE9"/>
    <w:rsid w:val="00142667"/>
    <w:rsid w:val="0014329E"/>
    <w:rsid w:val="001432D5"/>
    <w:rsid w:val="0014505D"/>
    <w:rsid w:val="00146706"/>
    <w:rsid w:val="00147849"/>
    <w:rsid w:val="00156BAD"/>
    <w:rsid w:val="00162871"/>
    <w:rsid w:val="00163D0F"/>
    <w:rsid w:val="001644A8"/>
    <w:rsid w:val="001653CA"/>
    <w:rsid w:val="00165642"/>
    <w:rsid w:val="00166F0F"/>
    <w:rsid w:val="00167CD5"/>
    <w:rsid w:val="00172950"/>
    <w:rsid w:val="00176E37"/>
    <w:rsid w:val="001804F1"/>
    <w:rsid w:val="00180D06"/>
    <w:rsid w:val="00181F11"/>
    <w:rsid w:val="00182720"/>
    <w:rsid w:val="001852DA"/>
    <w:rsid w:val="001854A2"/>
    <w:rsid w:val="00187756"/>
    <w:rsid w:val="0019056D"/>
    <w:rsid w:val="00191096"/>
    <w:rsid w:val="00194343"/>
    <w:rsid w:val="00194BFB"/>
    <w:rsid w:val="001A1411"/>
    <w:rsid w:val="001A1BF1"/>
    <w:rsid w:val="001A4398"/>
    <w:rsid w:val="001A4ED8"/>
    <w:rsid w:val="001A4F37"/>
    <w:rsid w:val="001B27E1"/>
    <w:rsid w:val="001B6EF9"/>
    <w:rsid w:val="001B7B6F"/>
    <w:rsid w:val="001C63D3"/>
    <w:rsid w:val="001D53B3"/>
    <w:rsid w:val="001D5E48"/>
    <w:rsid w:val="001D63ED"/>
    <w:rsid w:val="001D6819"/>
    <w:rsid w:val="001E4798"/>
    <w:rsid w:val="001E4E58"/>
    <w:rsid w:val="001E611A"/>
    <w:rsid w:val="001F100E"/>
    <w:rsid w:val="001F391A"/>
    <w:rsid w:val="001F6013"/>
    <w:rsid w:val="002013B4"/>
    <w:rsid w:val="002020AA"/>
    <w:rsid w:val="002048A8"/>
    <w:rsid w:val="00205047"/>
    <w:rsid w:val="0020643D"/>
    <w:rsid w:val="002074E8"/>
    <w:rsid w:val="002150B4"/>
    <w:rsid w:val="002221F1"/>
    <w:rsid w:val="002225C8"/>
    <w:rsid w:val="00223A31"/>
    <w:rsid w:val="00223C51"/>
    <w:rsid w:val="00231E96"/>
    <w:rsid w:val="00235ECD"/>
    <w:rsid w:val="00240475"/>
    <w:rsid w:val="00240E3E"/>
    <w:rsid w:val="00245D23"/>
    <w:rsid w:val="0024689F"/>
    <w:rsid w:val="0025089F"/>
    <w:rsid w:val="00252595"/>
    <w:rsid w:val="002548BB"/>
    <w:rsid w:val="00254F7A"/>
    <w:rsid w:val="0026237D"/>
    <w:rsid w:val="00264778"/>
    <w:rsid w:val="0026490A"/>
    <w:rsid w:val="00265647"/>
    <w:rsid w:val="002660DE"/>
    <w:rsid w:val="00270206"/>
    <w:rsid w:val="00270B6A"/>
    <w:rsid w:val="00275849"/>
    <w:rsid w:val="00277AAD"/>
    <w:rsid w:val="00280B77"/>
    <w:rsid w:val="00280BFC"/>
    <w:rsid w:val="00283B33"/>
    <w:rsid w:val="00283E38"/>
    <w:rsid w:val="0028442C"/>
    <w:rsid w:val="00285395"/>
    <w:rsid w:val="00285B38"/>
    <w:rsid w:val="0029037C"/>
    <w:rsid w:val="00292B98"/>
    <w:rsid w:val="002B0569"/>
    <w:rsid w:val="002B2C3A"/>
    <w:rsid w:val="002B2E6B"/>
    <w:rsid w:val="002C05D3"/>
    <w:rsid w:val="002C182A"/>
    <w:rsid w:val="002C3960"/>
    <w:rsid w:val="002C3B6B"/>
    <w:rsid w:val="002C5CB0"/>
    <w:rsid w:val="002D1856"/>
    <w:rsid w:val="002D19B3"/>
    <w:rsid w:val="002D48AB"/>
    <w:rsid w:val="002D62D3"/>
    <w:rsid w:val="002D7427"/>
    <w:rsid w:val="002E17DB"/>
    <w:rsid w:val="002E3DA8"/>
    <w:rsid w:val="002E58A0"/>
    <w:rsid w:val="002E6446"/>
    <w:rsid w:val="002E7809"/>
    <w:rsid w:val="002F12E8"/>
    <w:rsid w:val="002F1EF1"/>
    <w:rsid w:val="002F5101"/>
    <w:rsid w:val="002F52BA"/>
    <w:rsid w:val="002F5A94"/>
    <w:rsid w:val="00301AF2"/>
    <w:rsid w:val="00303F67"/>
    <w:rsid w:val="00304433"/>
    <w:rsid w:val="003076DD"/>
    <w:rsid w:val="00313209"/>
    <w:rsid w:val="00313AFF"/>
    <w:rsid w:val="003161AC"/>
    <w:rsid w:val="00316863"/>
    <w:rsid w:val="00320A49"/>
    <w:rsid w:val="00321843"/>
    <w:rsid w:val="003228E2"/>
    <w:rsid w:val="0032525F"/>
    <w:rsid w:val="003253AC"/>
    <w:rsid w:val="00326B5F"/>
    <w:rsid w:val="003277FC"/>
    <w:rsid w:val="00334AAC"/>
    <w:rsid w:val="00334EE3"/>
    <w:rsid w:val="00335F69"/>
    <w:rsid w:val="00336974"/>
    <w:rsid w:val="00336CC6"/>
    <w:rsid w:val="00336ECC"/>
    <w:rsid w:val="00340803"/>
    <w:rsid w:val="0034445D"/>
    <w:rsid w:val="00346CDF"/>
    <w:rsid w:val="00347FD7"/>
    <w:rsid w:val="00351732"/>
    <w:rsid w:val="00351B4D"/>
    <w:rsid w:val="00353987"/>
    <w:rsid w:val="003539CE"/>
    <w:rsid w:val="00362D4F"/>
    <w:rsid w:val="00362ECE"/>
    <w:rsid w:val="00373D7B"/>
    <w:rsid w:val="00374B26"/>
    <w:rsid w:val="00377E77"/>
    <w:rsid w:val="00383245"/>
    <w:rsid w:val="00387F5A"/>
    <w:rsid w:val="00392589"/>
    <w:rsid w:val="0039546A"/>
    <w:rsid w:val="00395E50"/>
    <w:rsid w:val="003A2265"/>
    <w:rsid w:val="003A3EBB"/>
    <w:rsid w:val="003A7F63"/>
    <w:rsid w:val="003B0868"/>
    <w:rsid w:val="003B461A"/>
    <w:rsid w:val="003B5B98"/>
    <w:rsid w:val="003B6629"/>
    <w:rsid w:val="003B6DB3"/>
    <w:rsid w:val="003B7C1F"/>
    <w:rsid w:val="003C0270"/>
    <w:rsid w:val="003C3D40"/>
    <w:rsid w:val="003D0062"/>
    <w:rsid w:val="003D19E7"/>
    <w:rsid w:val="003D3356"/>
    <w:rsid w:val="003D3F3F"/>
    <w:rsid w:val="003D4A9C"/>
    <w:rsid w:val="003D6C58"/>
    <w:rsid w:val="003E6BA5"/>
    <w:rsid w:val="003F040D"/>
    <w:rsid w:val="003F402D"/>
    <w:rsid w:val="003F41BF"/>
    <w:rsid w:val="003F45A7"/>
    <w:rsid w:val="003F5942"/>
    <w:rsid w:val="0041299F"/>
    <w:rsid w:val="004130EF"/>
    <w:rsid w:val="00413812"/>
    <w:rsid w:val="004149FF"/>
    <w:rsid w:val="00415010"/>
    <w:rsid w:val="00421FE8"/>
    <w:rsid w:val="00422758"/>
    <w:rsid w:val="0042321D"/>
    <w:rsid w:val="004234F1"/>
    <w:rsid w:val="00423895"/>
    <w:rsid w:val="00426848"/>
    <w:rsid w:val="00427E97"/>
    <w:rsid w:val="00430932"/>
    <w:rsid w:val="0043347C"/>
    <w:rsid w:val="00433A98"/>
    <w:rsid w:val="00435CDB"/>
    <w:rsid w:val="00435E29"/>
    <w:rsid w:val="00435F46"/>
    <w:rsid w:val="004369D7"/>
    <w:rsid w:val="00437BBF"/>
    <w:rsid w:val="004405E5"/>
    <w:rsid w:val="004441AA"/>
    <w:rsid w:val="00446D16"/>
    <w:rsid w:val="00451E49"/>
    <w:rsid w:val="0045308D"/>
    <w:rsid w:val="00453091"/>
    <w:rsid w:val="00453306"/>
    <w:rsid w:val="00453B20"/>
    <w:rsid w:val="00456B03"/>
    <w:rsid w:val="00457BC2"/>
    <w:rsid w:val="00463FFB"/>
    <w:rsid w:val="0046468D"/>
    <w:rsid w:val="00464CD7"/>
    <w:rsid w:val="00465FC2"/>
    <w:rsid w:val="0046670C"/>
    <w:rsid w:val="00466A59"/>
    <w:rsid w:val="0047255B"/>
    <w:rsid w:val="004735F4"/>
    <w:rsid w:val="004738B9"/>
    <w:rsid w:val="004774A8"/>
    <w:rsid w:val="00482702"/>
    <w:rsid w:val="00483BF0"/>
    <w:rsid w:val="0048672D"/>
    <w:rsid w:val="00490333"/>
    <w:rsid w:val="0049188A"/>
    <w:rsid w:val="0049199A"/>
    <w:rsid w:val="00493BB8"/>
    <w:rsid w:val="00494AE1"/>
    <w:rsid w:val="004A287C"/>
    <w:rsid w:val="004A2A70"/>
    <w:rsid w:val="004A671A"/>
    <w:rsid w:val="004B077D"/>
    <w:rsid w:val="004B0EDA"/>
    <w:rsid w:val="004B5BF5"/>
    <w:rsid w:val="004B781A"/>
    <w:rsid w:val="004B7DE8"/>
    <w:rsid w:val="004C1AFC"/>
    <w:rsid w:val="004C1E4D"/>
    <w:rsid w:val="004C3172"/>
    <w:rsid w:val="004C3492"/>
    <w:rsid w:val="004C62C0"/>
    <w:rsid w:val="004C792E"/>
    <w:rsid w:val="004C7C9E"/>
    <w:rsid w:val="004D189C"/>
    <w:rsid w:val="004D2682"/>
    <w:rsid w:val="004D35E9"/>
    <w:rsid w:val="004D69D1"/>
    <w:rsid w:val="004E5F25"/>
    <w:rsid w:val="004E76E3"/>
    <w:rsid w:val="004F3796"/>
    <w:rsid w:val="004F6535"/>
    <w:rsid w:val="004F668F"/>
    <w:rsid w:val="004F68D5"/>
    <w:rsid w:val="00500AA6"/>
    <w:rsid w:val="005028D9"/>
    <w:rsid w:val="00504CEC"/>
    <w:rsid w:val="00506D90"/>
    <w:rsid w:val="00507B02"/>
    <w:rsid w:val="00510073"/>
    <w:rsid w:val="00511993"/>
    <w:rsid w:val="00511C9E"/>
    <w:rsid w:val="00511D83"/>
    <w:rsid w:val="00514AB6"/>
    <w:rsid w:val="00516A9B"/>
    <w:rsid w:val="005228EB"/>
    <w:rsid w:val="00524BE9"/>
    <w:rsid w:val="005257B4"/>
    <w:rsid w:val="00532EE1"/>
    <w:rsid w:val="00540A04"/>
    <w:rsid w:val="00540ED5"/>
    <w:rsid w:val="00546477"/>
    <w:rsid w:val="00546C4E"/>
    <w:rsid w:val="005472C3"/>
    <w:rsid w:val="005477B2"/>
    <w:rsid w:val="00553B48"/>
    <w:rsid w:val="00555257"/>
    <w:rsid w:val="00555A92"/>
    <w:rsid w:val="00556863"/>
    <w:rsid w:val="00565A7C"/>
    <w:rsid w:val="00565B0D"/>
    <w:rsid w:val="00565F00"/>
    <w:rsid w:val="00566518"/>
    <w:rsid w:val="00566CA5"/>
    <w:rsid w:val="00572662"/>
    <w:rsid w:val="00576610"/>
    <w:rsid w:val="0057775E"/>
    <w:rsid w:val="00577B2C"/>
    <w:rsid w:val="00580943"/>
    <w:rsid w:val="00581E00"/>
    <w:rsid w:val="00585D9D"/>
    <w:rsid w:val="00585FC1"/>
    <w:rsid w:val="0058638B"/>
    <w:rsid w:val="00586B85"/>
    <w:rsid w:val="00587B26"/>
    <w:rsid w:val="0059046B"/>
    <w:rsid w:val="00591017"/>
    <w:rsid w:val="00592C7E"/>
    <w:rsid w:val="00592E64"/>
    <w:rsid w:val="00595706"/>
    <w:rsid w:val="005965E2"/>
    <w:rsid w:val="005A0CB1"/>
    <w:rsid w:val="005A12CA"/>
    <w:rsid w:val="005A15F8"/>
    <w:rsid w:val="005A24CB"/>
    <w:rsid w:val="005A3DE6"/>
    <w:rsid w:val="005A42AF"/>
    <w:rsid w:val="005A64B0"/>
    <w:rsid w:val="005B1080"/>
    <w:rsid w:val="005B36A6"/>
    <w:rsid w:val="005B3EF2"/>
    <w:rsid w:val="005B417B"/>
    <w:rsid w:val="005C1B5F"/>
    <w:rsid w:val="005C24A5"/>
    <w:rsid w:val="005C25FD"/>
    <w:rsid w:val="005C5467"/>
    <w:rsid w:val="005D0CD2"/>
    <w:rsid w:val="005D153A"/>
    <w:rsid w:val="005D2EB8"/>
    <w:rsid w:val="005D7959"/>
    <w:rsid w:val="005E1017"/>
    <w:rsid w:val="005E1D98"/>
    <w:rsid w:val="005E3214"/>
    <w:rsid w:val="005E6262"/>
    <w:rsid w:val="005F00D0"/>
    <w:rsid w:val="005F035D"/>
    <w:rsid w:val="005F0C3A"/>
    <w:rsid w:val="005F149C"/>
    <w:rsid w:val="005F1A2D"/>
    <w:rsid w:val="005F260D"/>
    <w:rsid w:val="005F2757"/>
    <w:rsid w:val="005F5CB8"/>
    <w:rsid w:val="005F7547"/>
    <w:rsid w:val="006004EC"/>
    <w:rsid w:val="00600CBB"/>
    <w:rsid w:val="0060119C"/>
    <w:rsid w:val="0060122F"/>
    <w:rsid w:val="00602B8C"/>
    <w:rsid w:val="00602F26"/>
    <w:rsid w:val="00603812"/>
    <w:rsid w:val="00603925"/>
    <w:rsid w:val="00606679"/>
    <w:rsid w:val="00606DB0"/>
    <w:rsid w:val="00610F8D"/>
    <w:rsid w:val="006113AF"/>
    <w:rsid w:val="00614380"/>
    <w:rsid w:val="00620B00"/>
    <w:rsid w:val="00623F45"/>
    <w:rsid w:val="00627726"/>
    <w:rsid w:val="0063080A"/>
    <w:rsid w:val="006314EF"/>
    <w:rsid w:val="00633C3E"/>
    <w:rsid w:val="0063609C"/>
    <w:rsid w:val="00636995"/>
    <w:rsid w:val="00643915"/>
    <w:rsid w:val="0064641D"/>
    <w:rsid w:val="006531C8"/>
    <w:rsid w:val="006579B2"/>
    <w:rsid w:val="00663D98"/>
    <w:rsid w:val="00664485"/>
    <w:rsid w:val="00670636"/>
    <w:rsid w:val="0067096F"/>
    <w:rsid w:val="00671AAD"/>
    <w:rsid w:val="006724F1"/>
    <w:rsid w:val="00684A27"/>
    <w:rsid w:val="00685F3B"/>
    <w:rsid w:val="0068625C"/>
    <w:rsid w:val="00686904"/>
    <w:rsid w:val="00693403"/>
    <w:rsid w:val="006935DB"/>
    <w:rsid w:val="00695323"/>
    <w:rsid w:val="00695B1A"/>
    <w:rsid w:val="00697486"/>
    <w:rsid w:val="006A0BAC"/>
    <w:rsid w:val="006A30E2"/>
    <w:rsid w:val="006A5024"/>
    <w:rsid w:val="006B0510"/>
    <w:rsid w:val="006B3610"/>
    <w:rsid w:val="006B56ED"/>
    <w:rsid w:val="006B6857"/>
    <w:rsid w:val="006C0B9B"/>
    <w:rsid w:val="006C7CCA"/>
    <w:rsid w:val="006D216F"/>
    <w:rsid w:val="006D2490"/>
    <w:rsid w:val="006D2610"/>
    <w:rsid w:val="006D3546"/>
    <w:rsid w:val="006D40B8"/>
    <w:rsid w:val="006D5EF0"/>
    <w:rsid w:val="006D6544"/>
    <w:rsid w:val="006D6C51"/>
    <w:rsid w:val="006D787E"/>
    <w:rsid w:val="006E5135"/>
    <w:rsid w:val="006E5363"/>
    <w:rsid w:val="006E716A"/>
    <w:rsid w:val="006E7F77"/>
    <w:rsid w:val="006F0DDA"/>
    <w:rsid w:val="006F2F9A"/>
    <w:rsid w:val="006F4520"/>
    <w:rsid w:val="006F6EAE"/>
    <w:rsid w:val="007017A2"/>
    <w:rsid w:val="00702B62"/>
    <w:rsid w:val="00704D23"/>
    <w:rsid w:val="00706077"/>
    <w:rsid w:val="007062BE"/>
    <w:rsid w:val="00706A97"/>
    <w:rsid w:val="00707001"/>
    <w:rsid w:val="00707561"/>
    <w:rsid w:val="00713029"/>
    <w:rsid w:val="007134CF"/>
    <w:rsid w:val="0071418E"/>
    <w:rsid w:val="00714A20"/>
    <w:rsid w:val="007162DA"/>
    <w:rsid w:val="0071723C"/>
    <w:rsid w:val="0072052B"/>
    <w:rsid w:val="007229AE"/>
    <w:rsid w:val="00723EDA"/>
    <w:rsid w:val="00724983"/>
    <w:rsid w:val="00724C73"/>
    <w:rsid w:val="00725B5E"/>
    <w:rsid w:val="00725E0C"/>
    <w:rsid w:val="00725F43"/>
    <w:rsid w:val="00727AB2"/>
    <w:rsid w:val="0073189C"/>
    <w:rsid w:val="00735A90"/>
    <w:rsid w:val="00735BB8"/>
    <w:rsid w:val="007540E2"/>
    <w:rsid w:val="0075432B"/>
    <w:rsid w:val="0075635E"/>
    <w:rsid w:val="0076064D"/>
    <w:rsid w:val="00760657"/>
    <w:rsid w:val="007621EF"/>
    <w:rsid w:val="00763E45"/>
    <w:rsid w:val="00764447"/>
    <w:rsid w:val="007655EC"/>
    <w:rsid w:val="007668FE"/>
    <w:rsid w:val="00770F8F"/>
    <w:rsid w:val="00771E80"/>
    <w:rsid w:val="00772339"/>
    <w:rsid w:val="00773A24"/>
    <w:rsid w:val="00774364"/>
    <w:rsid w:val="00774A0E"/>
    <w:rsid w:val="007765D5"/>
    <w:rsid w:val="007845D1"/>
    <w:rsid w:val="00784D7E"/>
    <w:rsid w:val="007863CC"/>
    <w:rsid w:val="00791750"/>
    <w:rsid w:val="00791C96"/>
    <w:rsid w:val="00792325"/>
    <w:rsid w:val="00792C03"/>
    <w:rsid w:val="00792C85"/>
    <w:rsid w:val="00796C29"/>
    <w:rsid w:val="007A10C0"/>
    <w:rsid w:val="007B0AA7"/>
    <w:rsid w:val="007B0CB7"/>
    <w:rsid w:val="007B38ED"/>
    <w:rsid w:val="007B67AC"/>
    <w:rsid w:val="007C00F7"/>
    <w:rsid w:val="007C07A8"/>
    <w:rsid w:val="007C2161"/>
    <w:rsid w:val="007C23AB"/>
    <w:rsid w:val="007C2CC6"/>
    <w:rsid w:val="007C384A"/>
    <w:rsid w:val="007C460B"/>
    <w:rsid w:val="007C5E37"/>
    <w:rsid w:val="007C6D01"/>
    <w:rsid w:val="007C70A6"/>
    <w:rsid w:val="007C732B"/>
    <w:rsid w:val="007D04BD"/>
    <w:rsid w:val="007D1353"/>
    <w:rsid w:val="007D2ED8"/>
    <w:rsid w:val="007E0C13"/>
    <w:rsid w:val="007E4F2F"/>
    <w:rsid w:val="007E713D"/>
    <w:rsid w:val="007E773E"/>
    <w:rsid w:val="007F1C4A"/>
    <w:rsid w:val="007F1E90"/>
    <w:rsid w:val="007F2E75"/>
    <w:rsid w:val="007F59CA"/>
    <w:rsid w:val="007F7B84"/>
    <w:rsid w:val="007F7CA4"/>
    <w:rsid w:val="00805867"/>
    <w:rsid w:val="0081081E"/>
    <w:rsid w:val="008113CE"/>
    <w:rsid w:val="00817B29"/>
    <w:rsid w:val="00817E17"/>
    <w:rsid w:val="0082427B"/>
    <w:rsid w:val="00824B4B"/>
    <w:rsid w:val="00825836"/>
    <w:rsid w:val="00825AFE"/>
    <w:rsid w:val="0082676E"/>
    <w:rsid w:val="00827E09"/>
    <w:rsid w:val="00830CD5"/>
    <w:rsid w:val="00830F2B"/>
    <w:rsid w:val="00831201"/>
    <w:rsid w:val="008326C0"/>
    <w:rsid w:val="00832C68"/>
    <w:rsid w:val="00832DA8"/>
    <w:rsid w:val="00832E39"/>
    <w:rsid w:val="00833903"/>
    <w:rsid w:val="0083447B"/>
    <w:rsid w:val="008347E3"/>
    <w:rsid w:val="00840040"/>
    <w:rsid w:val="00845BA4"/>
    <w:rsid w:val="00850F9C"/>
    <w:rsid w:val="00851769"/>
    <w:rsid w:val="008520F2"/>
    <w:rsid w:val="00855D9E"/>
    <w:rsid w:val="00861366"/>
    <w:rsid w:val="0086172C"/>
    <w:rsid w:val="00862063"/>
    <w:rsid w:val="008620ED"/>
    <w:rsid w:val="0086258A"/>
    <w:rsid w:val="00863BC9"/>
    <w:rsid w:val="00865674"/>
    <w:rsid w:val="00866558"/>
    <w:rsid w:val="008666E9"/>
    <w:rsid w:val="00866EBB"/>
    <w:rsid w:val="00876C47"/>
    <w:rsid w:val="008771CF"/>
    <w:rsid w:val="008778F6"/>
    <w:rsid w:val="00880CAE"/>
    <w:rsid w:val="00882A5F"/>
    <w:rsid w:val="008844B1"/>
    <w:rsid w:val="00885198"/>
    <w:rsid w:val="00894596"/>
    <w:rsid w:val="00894928"/>
    <w:rsid w:val="00894B2B"/>
    <w:rsid w:val="00897493"/>
    <w:rsid w:val="008A13EE"/>
    <w:rsid w:val="008A1553"/>
    <w:rsid w:val="008A2BEF"/>
    <w:rsid w:val="008A5E0B"/>
    <w:rsid w:val="008B0BD4"/>
    <w:rsid w:val="008B1592"/>
    <w:rsid w:val="008B1669"/>
    <w:rsid w:val="008B53B7"/>
    <w:rsid w:val="008B5D62"/>
    <w:rsid w:val="008C122A"/>
    <w:rsid w:val="008C1BC3"/>
    <w:rsid w:val="008C2186"/>
    <w:rsid w:val="008C3576"/>
    <w:rsid w:val="008C58F1"/>
    <w:rsid w:val="008D0EEC"/>
    <w:rsid w:val="008D0EF5"/>
    <w:rsid w:val="008D1D5D"/>
    <w:rsid w:val="008E3868"/>
    <w:rsid w:val="008E55AF"/>
    <w:rsid w:val="008E650E"/>
    <w:rsid w:val="008E693E"/>
    <w:rsid w:val="008F0D4E"/>
    <w:rsid w:val="008F4A1C"/>
    <w:rsid w:val="008F6007"/>
    <w:rsid w:val="008F7614"/>
    <w:rsid w:val="00905C71"/>
    <w:rsid w:val="009105D9"/>
    <w:rsid w:val="00910713"/>
    <w:rsid w:val="00910B2C"/>
    <w:rsid w:val="0091184D"/>
    <w:rsid w:val="00915692"/>
    <w:rsid w:val="00915923"/>
    <w:rsid w:val="00917155"/>
    <w:rsid w:val="00917745"/>
    <w:rsid w:val="00920046"/>
    <w:rsid w:val="00923670"/>
    <w:rsid w:val="00923A2F"/>
    <w:rsid w:val="00923D27"/>
    <w:rsid w:val="00924873"/>
    <w:rsid w:val="00925B30"/>
    <w:rsid w:val="00927C7A"/>
    <w:rsid w:val="00930C6B"/>
    <w:rsid w:val="00932927"/>
    <w:rsid w:val="00934F8E"/>
    <w:rsid w:val="00935287"/>
    <w:rsid w:val="00936344"/>
    <w:rsid w:val="00942ABB"/>
    <w:rsid w:val="0094531D"/>
    <w:rsid w:val="0094706F"/>
    <w:rsid w:val="00947422"/>
    <w:rsid w:val="00951F57"/>
    <w:rsid w:val="0095433B"/>
    <w:rsid w:val="00954A58"/>
    <w:rsid w:val="009562C7"/>
    <w:rsid w:val="00962192"/>
    <w:rsid w:val="00962689"/>
    <w:rsid w:val="00964E96"/>
    <w:rsid w:val="0097092F"/>
    <w:rsid w:val="00976686"/>
    <w:rsid w:val="00976D3C"/>
    <w:rsid w:val="00977109"/>
    <w:rsid w:val="009776DE"/>
    <w:rsid w:val="00982FAD"/>
    <w:rsid w:val="0098565A"/>
    <w:rsid w:val="009927B9"/>
    <w:rsid w:val="00993F39"/>
    <w:rsid w:val="009A035A"/>
    <w:rsid w:val="009A188B"/>
    <w:rsid w:val="009A4126"/>
    <w:rsid w:val="009A4AA7"/>
    <w:rsid w:val="009A4FDF"/>
    <w:rsid w:val="009A606A"/>
    <w:rsid w:val="009A6099"/>
    <w:rsid w:val="009A7FF6"/>
    <w:rsid w:val="009B1DFD"/>
    <w:rsid w:val="009B2945"/>
    <w:rsid w:val="009C1BBA"/>
    <w:rsid w:val="009C40DD"/>
    <w:rsid w:val="009C430B"/>
    <w:rsid w:val="009C4F83"/>
    <w:rsid w:val="009C7D3F"/>
    <w:rsid w:val="009D0E0E"/>
    <w:rsid w:val="009D14DB"/>
    <w:rsid w:val="009D257D"/>
    <w:rsid w:val="009D346C"/>
    <w:rsid w:val="009D4CF6"/>
    <w:rsid w:val="009D69D2"/>
    <w:rsid w:val="009E01AE"/>
    <w:rsid w:val="009E0227"/>
    <w:rsid w:val="009E23DF"/>
    <w:rsid w:val="009F01DA"/>
    <w:rsid w:val="009F20BB"/>
    <w:rsid w:val="009F4E48"/>
    <w:rsid w:val="00A026E6"/>
    <w:rsid w:val="00A029BE"/>
    <w:rsid w:val="00A031C2"/>
    <w:rsid w:val="00A05360"/>
    <w:rsid w:val="00A07A58"/>
    <w:rsid w:val="00A141ED"/>
    <w:rsid w:val="00A16587"/>
    <w:rsid w:val="00A22E2B"/>
    <w:rsid w:val="00A22FCA"/>
    <w:rsid w:val="00A23089"/>
    <w:rsid w:val="00A23AD8"/>
    <w:rsid w:val="00A26396"/>
    <w:rsid w:val="00A2707A"/>
    <w:rsid w:val="00A31C95"/>
    <w:rsid w:val="00A341AD"/>
    <w:rsid w:val="00A352F8"/>
    <w:rsid w:val="00A36BCC"/>
    <w:rsid w:val="00A41B4C"/>
    <w:rsid w:val="00A42AF9"/>
    <w:rsid w:val="00A42BC9"/>
    <w:rsid w:val="00A42EC5"/>
    <w:rsid w:val="00A43789"/>
    <w:rsid w:val="00A43E81"/>
    <w:rsid w:val="00A46FAA"/>
    <w:rsid w:val="00A53D21"/>
    <w:rsid w:val="00A55CBA"/>
    <w:rsid w:val="00A561B6"/>
    <w:rsid w:val="00A6082F"/>
    <w:rsid w:val="00A633AD"/>
    <w:rsid w:val="00A65FC2"/>
    <w:rsid w:val="00A666C4"/>
    <w:rsid w:val="00A67631"/>
    <w:rsid w:val="00A701A5"/>
    <w:rsid w:val="00A708A6"/>
    <w:rsid w:val="00A71CB8"/>
    <w:rsid w:val="00A72562"/>
    <w:rsid w:val="00A73931"/>
    <w:rsid w:val="00A73B2D"/>
    <w:rsid w:val="00A74352"/>
    <w:rsid w:val="00A743E6"/>
    <w:rsid w:val="00A752B3"/>
    <w:rsid w:val="00A76F38"/>
    <w:rsid w:val="00A7707C"/>
    <w:rsid w:val="00A8002F"/>
    <w:rsid w:val="00A802BD"/>
    <w:rsid w:val="00A80946"/>
    <w:rsid w:val="00A8215B"/>
    <w:rsid w:val="00A84553"/>
    <w:rsid w:val="00A92ACA"/>
    <w:rsid w:val="00A93128"/>
    <w:rsid w:val="00A9653E"/>
    <w:rsid w:val="00A96DE4"/>
    <w:rsid w:val="00AA466F"/>
    <w:rsid w:val="00AA61B1"/>
    <w:rsid w:val="00AA6716"/>
    <w:rsid w:val="00AA785A"/>
    <w:rsid w:val="00AB23CB"/>
    <w:rsid w:val="00AB29C9"/>
    <w:rsid w:val="00AB3AB0"/>
    <w:rsid w:val="00AB6640"/>
    <w:rsid w:val="00AC1007"/>
    <w:rsid w:val="00AC12E8"/>
    <w:rsid w:val="00AC3608"/>
    <w:rsid w:val="00AC40FA"/>
    <w:rsid w:val="00AC4370"/>
    <w:rsid w:val="00AC5CBE"/>
    <w:rsid w:val="00AD0029"/>
    <w:rsid w:val="00AD0FF8"/>
    <w:rsid w:val="00AD1704"/>
    <w:rsid w:val="00AD1AAD"/>
    <w:rsid w:val="00AD2E3C"/>
    <w:rsid w:val="00AD577D"/>
    <w:rsid w:val="00AD6871"/>
    <w:rsid w:val="00AE232D"/>
    <w:rsid w:val="00AE4108"/>
    <w:rsid w:val="00AE5A7B"/>
    <w:rsid w:val="00AF1913"/>
    <w:rsid w:val="00AF1D3C"/>
    <w:rsid w:val="00AF5E7A"/>
    <w:rsid w:val="00AF631F"/>
    <w:rsid w:val="00AF6D9B"/>
    <w:rsid w:val="00AF7136"/>
    <w:rsid w:val="00AF7274"/>
    <w:rsid w:val="00B0020F"/>
    <w:rsid w:val="00B017AC"/>
    <w:rsid w:val="00B0256F"/>
    <w:rsid w:val="00B05690"/>
    <w:rsid w:val="00B067C9"/>
    <w:rsid w:val="00B06B86"/>
    <w:rsid w:val="00B100A8"/>
    <w:rsid w:val="00B10CA3"/>
    <w:rsid w:val="00B1569F"/>
    <w:rsid w:val="00B20D94"/>
    <w:rsid w:val="00B214BD"/>
    <w:rsid w:val="00B21AAB"/>
    <w:rsid w:val="00B22CF3"/>
    <w:rsid w:val="00B26753"/>
    <w:rsid w:val="00B26955"/>
    <w:rsid w:val="00B26B60"/>
    <w:rsid w:val="00B26B94"/>
    <w:rsid w:val="00B27449"/>
    <w:rsid w:val="00B336CA"/>
    <w:rsid w:val="00B33B9E"/>
    <w:rsid w:val="00B34674"/>
    <w:rsid w:val="00B36BBC"/>
    <w:rsid w:val="00B41FF9"/>
    <w:rsid w:val="00B45411"/>
    <w:rsid w:val="00B46DA4"/>
    <w:rsid w:val="00B500F8"/>
    <w:rsid w:val="00B502C3"/>
    <w:rsid w:val="00B50EBF"/>
    <w:rsid w:val="00B52DC0"/>
    <w:rsid w:val="00B54517"/>
    <w:rsid w:val="00B56C4C"/>
    <w:rsid w:val="00B621E5"/>
    <w:rsid w:val="00B63E33"/>
    <w:rsid w:val="00B71EE8"/>
    <w:rsid w:val="00B730AB"/>
    <w:rsid w:val="00B73341"/>
    <w:rsid w:val="00B765D7"/>
    <w:rsid w:val="00B81BB6"/>
    <w:rsid w:val="00B840D5"/>
    <w:rsid w:val="00B858BB"/>
    <w:rsid w:val="00B85E17"/>
    <w:rsid w:val="00B875EB"/>
    <w:rsid w:val="00B93996"/>
    <w:rsid w:val="00B93C8E"/>
    <w:rsid w:val="00B958F2"/>
    <w:rsid w:val="00B964A9"/>
    <w:rsid w:val="00B96740"/>
    <w:rsid w:val="00B967F0"/>
    <w:rsid w:val="00B96897"/>
    <w:rsid w:val="00B97833"/>
    <w:rsid w:val="00B9791E"/>
    <w:rsid w:val="00BA1F9B"/>
    <w:rsid w:val="00BA598F"/>
    <w:rsid w:val="00BA689E"/>
    <w:rsid w:val="00BA7A24"/>
    <w:rsid w:val="00BB3F9F"/>
    <w:rsid w:val="00BB574A"/>
    <w:rsid w:val="00BC03DD"/>
    <w:rsid w:val="00BC6AE9"/>
    <w:rsid w:val="00BD38B2"/>
    <w:rsid w:val="00BE1596"/>
    <w:rsid w:val="00BE2BFC"/>
    <w:rsid w:val="00BE327A"/>
    <w:rsid w:val="00BE372C"/>
    <w:rsid w:val="00BE3894"/>
    <w:rsid w:val="00BE4E2B"/>
    <w:rsid w:val="00BE7C96"/>
    <w:rsid w:val="00BE7E3A"/>
    <w:rsid w:val="00BF2120"/>
    <w:rsid w:val="00C012A1"/>
    <w:rsid w:val="00C02FFD"/>
    <w:rsid w:val="00C05838"/>
    <w:rsid w:val="00C0698C"/>
    <w:rsid w:val="00C16EF8"/>
    <w:rsid w:val="00C17AE0"/>
    <w:rsid w:val="00C20ECD"/>
    <w:rsid w:val="00C23CB3"/>
    <w:rsid w:val="00C2548A"/>
    <w:rsid w:val="00C25E02"/>
    <w:rsid w:val="00C263FF"/>
    <w:rsid w:val="00C2780F"/>
    <w:rsid w:val="00C279F4"/>
    <w:rsid w:val="00C330E2"/>
    <w:rsid w:val="00C4103B"/>
    <w:rsid w:val="00C41466"/>
    <w:rsid w:val="00C418E2"/>
    <w:rsid w:val="00C45486"/>
    <w:rsid w:val="00C4650D"/>
    <w:rsid w:val="00C46ECE"/>
    <w:rsid w:val="00C47D8E"/>
    <w:rsid w:val="00C50106"/>
    <w:rsid w:val="00C50649"/>
    <w:rsid w:val="00C508DC"/>
    <w:rsid w:val="00C50A6B"/>
    <w:rsid w:val="00C578B2"/>
    <w:rsid w:val="00C62247"/>
    <w:rsid w:val="00C630BC"/>
    <w:rsid w:val="00C63685"/>
    <w:rsid w:val="00C66AA3"/>
    <w:rsid w:val="00C72322"/>
    <w:rsid w:val="00C73C36"/>
    <w:rsid w:val="00C77E75"/>
    <w:rsid w:val="00C77F85"/>
    <w:rsid w:val="00C8371D"/>
    <w:rsid w:val="00C83F19"/>
    <w:rsid w:val="00C84D85"/>
    <w:rsid w:val="00C8519E"/>
    <w:rsid w:val="00C85E2C"/>
    <w:rsid w:val="00C90FBF"/>
    <w:rsid w:val="00C9425C"/>
    <w:rsid w:val="00C9479E"/>
    <w:rsid w:val="00C95108"/>
    <w:rsid w:val="00C9551F"/>
    <w:rsid w:val="00C95FF5"/>
    <w:rsid w:val="00C97BC2"/>
    <w:rsid w:val="00CA0208"/>
    <w:rsid w:val="00CA3826"/>
    <w:rsid w:val="00CA79D5"/>
    <w:rsid w:val="00CB1E14"/>
    <w:rsid w:val="00CB28EE"/>
    <w:rsid w:val="00CB2D0C"/>
    <w:rsid w:val="00CC255F"/>
    <w:rsid w:val="00CC4052"/>
    <w:rsid w:val="00CC4A9E"/>
    <w:rsid w:val="00CC5B84"/>
    <w:rsid w:val="00CD0E29"/>
    <w:rsid w:val="00CD0E6E"/>
    <w:rsid w:val="00CD19A7"/>
    <w:rsid w:val="00CD3A30"/>
    <w:rsid w:val="00CD62E2"/>
    <w:rsid w:val="00CD654A"/>
    <w:rsid w:val="00CD797A"/>
    <w:rsid w:val="00CE082E"/>
    <w:rsid w:val="00CE1479"/>
    <w:rsid w:val="00CE1D29"/>
    <w:rsid w:val="00CE1D54"/>
    <w:rsid w:val="00CE3715"/>
    <w:rsid w:val="00CE37EA"/>
    <w:rsid w:val="00CE606E"/>
    <w:rsid w:val="00CE7106"/>
    <w:rsid w:val="00CE790F"/>
    <w:rsid w:val="00CF0233"/>
    <w:rsid w:val="00CF4155"/>
    <w:rsid w:val="00CF557E"/>
    <w:rsid w:val="00CF71B9"/>
    <w:rsid w:val="00D00169"/>
    <w:rsid w:val="00D025F9"/>
    <w:rsid w:val="00D0698E"/>
    <w:rsid w:val="00D079D9"/>
    <w:rsid w:val="00D11D3D"/>
    <w:rsid w:val="00D13DC1"/>
    <w:rsid w:val="00D1421D"/>
    <w:rsid w:val="00D21646"/>
    <w:rsid w:val="00D21A24"/>
    <w:rsid w:val="00D257EE"/>
    <w:rsid w:val="00D25D23"/>
    <w:rsid w:val="00D268FE"/>
    <w:rsid w:val="00D272E5"/>
    <w:rsid w:val="00D4022C"/>
    <w:rsid w:val="00D40740"/>
    <w:rsid w:val="00D41EEF"/>
    <w:rsid w:val="00D4266A"/>
    <w:rsid w:val="00D441BC"/>
    <w:rsid w:val="00D46F35"/>
    <w:rsid w:val="00D506EC"/>
    <w:rsid w:val="00D516F5"/>
    <w:rsid w:val="00D51FB8"/>
    <w:rsid w:val="00D553D1"/>
    <w:rsid w:val="00D619E5"/>
    <w:rsid w:val="00D6265C"/>
    <w:rsid w:val="00D63C54"/>
    <w:rsid w:val="00D6694C"/>
    <w:rsid w:val="00D67062"/>
    <w:rsid w:val="00D71096"/>
    <w:rsid w:val="00D73F7B"/>
    <w:rsid w:val="00D755EB"/>
    <w:rsid w:val="00D77613"/>
    <w:rsid w:val="00D80A08"/>
    <w:rsid w:val="00D81631"/>
    <w:rsid w:val="00D822A0"/>
    <w:rsid w:val="00D833D8"/>
    <w:rsid w:val="00D83DD4"/>
    <w:rsid w:val="00D83E64"/>
    <w:rsid w:val="00D867F1"/>
    <w:rsid w:val="00D90484"/>
    <w:rsid w:val="00D91E20"/>
    <w:rsid w:val="00D932C3"/>
    <w:rsid w:val="00D95C92"/>
    <w:rsid w:val="00DA1CBD"/>
    <w:rsid w:val="00DA2A34"/>
    <w:rsid w:val="00DA4F05"/>
    <w:rsid w:val="00DA6AB9"/>
    <w:rsid w:val="00DB04DB"/>
    <w:rsid w:val="00DB0D2F"/>
    <w:rsid w:val="00DB0DFE"/>
    <w:rsid w:val="00DB3187"/>
    <w:rsid w:val="00DB4015"/>
    <w:rsid w:val="00DC16AA"/>
    <w:rsid w:val="00DC1D6B"/>
    <w:rsid w:val="00DC458F"/>
    <w:rsid w:val="00DC5CB4"/>
    <w:rsid w:val="00DD13B3"/>
    <w:rsid w:val="00DD1A1D"/>
    <w:rsid w:val="00DD28DC"/>
    <w:rsid w:val="00DD569E"/>
    <w:rsid w:val="00DD613B"/>
    <w:rsid w:val="00DD67F9"/>
    <w:rsid w:val="00DD6954"/>
    <w:rsid w:val="00DD6FD9"/>
    <w:rsid w:val="00DE5211"/>
    <w:rsid w:val="00DE56FF"/>
    <w:rsid w:val="00DE76AC"/>
    <w:rsid w:val="00DE7A07"/>
    <w:rsid w:val="00DF2995"/>
    <w:rsid w:val="00DF37AB"/>
    <w:rsid w:val="00DF661C"/>
    <w:rsid w:val="00DF68A0"/>
    <w:rsid w:val="00DF6D51"/>
    <w:rsid w:val="00E005BD"/>
    <w:rsid w:val="00E0141B"/>
    <w:rsid w:val="00E019C3"/>
    <w:rsid w:val="00E0395A"/>
    <w:rsid w:val="00E0457D"/>
    <w:rsid w:val="00E109CF"/>
    <w:rsid w:val="00E10E07"/>
    <w:rsid w:val="00E11599"/>
    <w:rsid w:val="00E1214F"/>
    <w:rsid w:val="00E17A1D"/>
    <w:rsid w:val="00E231D6"/>
    <w:rsid w:val="00E237C6"/>
    <w:rsid w:val="00E264E1"/>
    <w:rsid w:val="00E319A4"/>
    <w:rsid w:val="00E31F35"/>
    <w:rsid w:val="00E31F75"/>
    <w:rsid w:val="00E33BD4"/>
    <w:rsid w:val="00E365ED"/>
    <w:rsid w:val="00E36689"/>
    <w:rsid w:val="00E37558"/>
    <w:rsid w:val="00E4144F"/>
    <w:rsid w:val="00E454C3"/>
    <w:rsid w:val="00E45D90"/>
    <w:rsid w:val="00E52E6B"/>
    <w:rsid w:val="00E542DD"/>
    <w:rsid w:val="00E555AB"/>
    <w:rsid w:val="00E55BF4"/>
    <w:rsid w:val="00E56B93"/>
    <w:rsid w:val="00E62A28"/>
    <w:rsid w:val="00E729ED"/>
    <w:rsid w:val="00E72D1F"/>
    <w:rsid w:val="00E74682"/>
    <w:rsid w:val="00E818AA"/>
    <w:rsid w:val="00E83485"/>
    <w:rsid w:val="00E84258"/>
    <w:rsid w:val="00E852C8"/>
    <w:rsid w:val="00E85694"/>
    <w:rsid w:val="00E87752"/>
    <w:rsid w:val="00E91F09"/>
    <w:rsid w:val="00E9209D"/>
    <w:rsid w:val="00E9412C"/>
    <w:rsid w:val="00EA5C72"/>
    <w:rsid w:val="00EB4AC7"/>
    <w:rsid w:val="00EB7742"/>
    <w:rsid w:val="00EC02B6"/>
    <w:rsid w:val="00EC1EF5"/>
    <w:rsid w:val="00EC5A4F"/>
    <w:rsid w:val="00ED76DD"/>
    <w:rsid w:val="00EE019F"/>
    <w:rsid w:val="00EE12F9"/>
    <w:rsid w:val="00EE14EC"/>
    <w:rsid w:val="00EE2843"/>
    <w:rsid w:val="00EE3BD9"/>
    <w:rsid w:val="00EE4381"/>
    <w:rsid w:val="00EF0037"/>
    <w:rsid w:val="00EF0125"/>
    <w:rsid w:val="00EF0619"/>
    <w:rsid w:val="00EF07C2"/>
    <w:rsid w:val="00EF11BA"/>
    <w:rsid w:val="00EF2C0B"/>
    <w:rsid w:val="00EF3313"/>
    <w:rsid w:val="00F03BB2"/>
    <w:rsid w:val="00F05454"/>
    <w:rsid w:val="00F076FA"/>
    <w:rsid w:val="00F117DE"/>
    <w:rsid w:val="00F11A08"/>
    <w:rsid w:val="00F11B08"/>
    <w:rsid w:val="00F1404A"/>
    <w:rsid w:val="00F178BB"/>
    <w:rsid w:val="00F2101C"/>
    <w:rsid w:val="00F22E20"/>
    <w:rsid w:val="00F240FE"/>
    <w:rsid w:val="00F26363"/>
    <w:rsid w:val="00F267D9"/>
    <w:rsid w:val="00F27F7F"/>
    <w:rsid w:val="00F302D2"/>
    <w:rsid w:val="00F30675"/>
    <w:rsid w:val="00F35830"/>
    <w:rsid w:val="00F40B24"/>
    <w:rsid w:val="00F41563"/>
    <w:rsid w:val="00F4257E"/>
    <w:rsid w:val="00F4490A"/>
    <w:rsid w:val="00F503AE"/>
    <w:rsid w:val="00F51698"/>
    <w:rsid w:val="00F5183A"/>
    <w:rsid w:val="00F52B32"/>
    <w:rsid w:val="00F531CA"/>
    <w:rsid w:val="00F547E3"/>
    <w:rsid w:val="00F54D06"/>
    <w:rsid w:val="00F565C2"/>
    <w:rsid w:val="00F56FC1"/>
    <w:rsid w:val="00F63921"/>
    <w:rsid w:val="00F67498"/>
    <w:rsid w:val="00F70BF8"/>
    <w:rsid w:val="00F70D05"/>
    <w:rsid w:val="00F72D41"/>
    <w:rsid w:val="00F73042"/>
    <w:rsid w:val="00F731EC"/>
    <w:rsid w:val="00F73FA8"/>
    <w:rsid w:val="00F75BE2"/>
    <w:rsid w:val="00F75E8A"/>
    <w:rsid w:val="00F83739"/>
    <w:rsid w:val="00F83C07"/>
    <w:rsid w:val="00F86A0D"/>
    <w:rsid w:val="00F905B2"/>
    <w:rsid w:val="00F912FC"/>
    <w:rsid w:val="00F917CB"/>
    <w:rsid w:val="00F918AF"/>
    <w:rsid w:val="00F91BAA"/>
    <w:rsid w:val="00F9775A"/>
    <w:rsid w:val="00F97F7C"/>
    <w:rsid w:val="00FA097F"/>
    <w:rsid w:val="00FA1723"/>
    <w:rsid w:val="00FA2C2F"/>
    <w:rsid w:val="00FA6009"/>
    <w:rsid w:val="00FA611A"/>
    <w:rsid w:val="00FA6312"/>
    <w:rsid w:val="00FC57A7"/>
    <w:rsid w:val="00FC7CC2"/>
    <w:rsid w:val="00FC7E77"/>
    <w:rsid w:val="00FD0299"/>
    <w:rsid w:val="00FD0A51"/>
    <w:rsid w:val="00FD1CDE"/>
    <w:rsid w:val="00FD33A1"/>
    <w:rsid w:val="00FD4FAA"/>
    <w:rsid w:val="00FD66FB"/>
    <w:rsid w:val="00FD6C76"/>
    <w:rsid w:val="00FE0B70"/>
    <w:rsid w:val="00FE2C97"/>
    <w:rsid w:val="00FE6C6F"/>
    <w:rsid w:val="00FE72DE"/>
    <w:rsid w:val="00FF0E58"/>
    <w:rsid w:val="00FF2E2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7B34A6-08C4-4B2C-9D2A-52E0A7758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4F1"/>
    <w:pPr>
      <w:spacing w:after="0" w:line="240" w:lineRule="auto"/>
    </w:pPr>
    <w:rPr>
      <w:rFonts w:ascii="Arial" w:eastAsia="Times New Roman" w:hAnsi="Arial"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461A"/>
    <w:pPr>
      <w:ind w:left="720"/>
      <w:contextualSpacing/>
    </w:pPr>
  </w:style>
  <w:style w:type="paragraph" w:styleId="Header">
    <w:name w:val="header"/>
    <w:basedOn w:val="Normal"/>
    <w:link w:val="HeaderChar"/>
    <w:uiPriority w:val="99"/>
    <w:unhideWhenUsed/>
    <w:rsid w:val="00F4257E"/>
    <w:pPr>
      <w:tabs>
        <w:tab w:val="center" w:pos="4513"/>
        <w:tab w:val="right" w:pos="9026"/>
      </w:tabs>
    </w:pPr>
  </w:style>
  <w:style w:type="character" w:customStyle="1" w:styleId="HeaderChar">
    <w:name w:val="Header Char"/>
    <w:basedOn w:val="DefaultParagraphFont"/>
    <w:link w:val="Header"/>
    <w:uiPriority w:val="99"/>
    <w:rsid w:val="00F4257E"/>
    <w:rPr>
      <w:rFonts w:ascii="Arial" w:eastAsia="Times New Roman" w:hAnsi="Arial" w:cs="Arial"/>
      <w:sz w:val="24"/>
      <w:szCs w:val="24"/>
      <w:lang w:val="en-US" w:eastAsia="en-GB"/>
    </w:rPr>
  </w:style>
  <w:style w:type="paragraph" w:styleId="Footer">
    <w:name w:val="footer"/>
    <w:basedOn w:val="Normal"/>
    <w:link w:val="FooterChar"/>
    <w:uiPriority w:val="99"/>
    <w:unhideWhenUsed/>
    <w:rsid w:val="00F4257E"/>
    <w:pPr>
      <w:tabs>
        <w:tab w:val="center" w:pos="4513"/>
        <w:tab w:val="right" w:pos="9026"/>
      </w:tabs>
    </w:pPr>
  </w:style>
  <w:style w:type="character" w:customStyle="1" w:styleId="FooterChar">
    <w:name w:val="Footer Char"/>
    <w:basedOn w:val="DefaultParagraphFont"/>
    <w:link w:val="Footer"/>
    <w:uiPriority w:val="99"/>
    <w:rsid w:val="00F4257E"/>
    <w:rPr>
      <w:rFonts w:ascii="Arial" w:eastAsia="Times New Roman" w:hAnsi="Arial" w:cs="Arial"/>
      <w:sz w:val="24"/>
      <w:szCs w:val="24"/>
      <w:lang w:val="en-US" w:eastAsia="en-GB"/>
    </w:rPr>
  </w:style>
  <w:style w:type="paragraph" w:styleId="BalloonText">
    <w:name w:val="Balloon Text"/>
    <w:basedOn w:val="Normal"/>
    <w:link w:val="BalloonTextChar"/>
    <w:uiPriority w:val="99"/>
    <w:semiHidden/>
    <w:unhideWhenUsed/>
    <w:rsid w:val="0026490A"/>
    <w:rPr>
      <w:rFonts w:ascii="Tahoma" w:hAnsi="Tahoma" w:cs="Tahoma"/>
      <w:sz w:val="16"/>
      <w:szCs w:val="16"/>
    </w:rPr>
  </w:style>
  <w:style w:type="character" w:customStyle="1" w:styleId="BalloonTextChar">
    <w:name w:val="Balloon Text Char"/>
    <w:basedOn w:val="DefaultParagraphFont"/>
    <w:link w:val="BalloonText"/>
    <w:uiPriority w:val="99"/>
    <w:semiHidden/>
    <w:rsid w:val="0026490A"/>
    <w:rPr>
      <w:rFonts w:ascii="Tahoma" w:eastAsia="Times New Roman" w:hAnsi="Tahoma" w:cs="Tahoma"/>
      <w:sz w:val="16"/>
      <w:szCs w:val="16"/>
      <w:lang w:eastAsia="en-GB"/>
    </w:rPr>
  </w:style>
  <w:style w:type="paragraph" w:styleId="FootnoteText">
    <w:name w:val="footnote text"/>
    <w:basedOn w:val="Normal"/>
    <w:link w:val="FootnoteTextChar"/>
    <w:uiPriority w:val="99"/>
    <w:semiHidden/>
    <w:unhideWhenUsed/>
    <w:rsid w:val="00D932C3"/>
    <w:rPr>
      <w:sz w:val="20"/>
      <w:szCs w:val="20"/>
    </w:rPr>
  </w:style>
  <w:style w:type="character" w:customStyle="1" w:styleId="FootnoteTextChar">
    <w:name w:val="Footnote Text Char"/>
    <w:basedOn w:val="DefaultParagraphFont"/>
    <w:link w:val="FootnoteText"/>
    <w:uiPriority w:val="99"/>
    <w:semiHidden/>
    <w:rsid w:val="00D932C3"/>
    <w:rPr>
      <w:rFonts w:ascii="Arial" w:eastAsia="Times New Roman" w:hAnsi="Arial" w:cs="Arial"/>
      <w:sz w:val="20"/>
      <w:szCs w:val="20"/>
      <w:lang w:eastAsia="en-GB"/>
    </w:rPr>
  </w:style>
  <w:style w:type="character" w:styleId="FootnoteReference">
    <w:name w:val="footnote reference"/>
    <w:basedOn w:val="DefaultParagraphFont"/>
    <w:uiPriority w:val="99"/>
    <w:unhideWhenUsed/>
    <w:rsid w:val="00D932C3"/>
    <w:rPr>
      <w:vertAlign w:val="superscript"/>
    </w:rPr>
  </w:style>
  <w:style w:type="character" w:styleId="PlaceholderText">
    <w:name w:val="Placeholder Text"/>
    <w:basedOn w:val="DefaultParagraphFont"/>
    <w:uiPriority w:val="99"/>
    <w:semiHidden/>
    <w:rsid w:val="00D506EC"/>
    <w:rPr>
      <w:color w:val="808080"/>
    </w:rPr>
  </w:style>
  <w:style w:type="character" w:styleId="Hyperlink">
    <w:name w:val="Hyperlink"/>
    <w:basedOn w:val="DefaultParagraphFont"/>
    <w:uiPriority w:val="99"/>
    <w:unhideWhenUsed/>
    <w:rsid w:val="003B5B98"/>
    <w:rPr>
      <w:color w:val="0000FF" w:themeColor="hyperlink"/>
      <w:u w:val="single"/>
    </w:rPr>
  </w:style>
  <w:style w:type="paragraph" w:styleId="NormalWeb">
    <w:name w:val="Normal (Web)"/>
    <w:basedOn w:val="Normal"/>
    <w:uiPriority w:val="99"/>
    <w:semiHidden/>
    <w:unhideWhenUsed/>
    <w:rsid w:val="007C732B"/>
    <w:pPr>
      <w:spacing w:before="100" w:beforeAutospacing="1" w:after="100" w:afterAutospacing="1"/>
    </w:pPr>
    <w:rPr>
      <w:rFonts w:ascii="Times New Roman" w:hAnsi="Times New Roman" w:cs="Times New Roman"/>
      <w:lang w:eastAsia="en-ZA"/>
    </w:rPr>
  </w:style>
  <w:style w:type="paragraph" w:customStyle="1" w:styleId="StyleArialLinespacing15lines">
    <w:name w:val="Style Arial Line spacing:  1.5 lines"/>
    <w:basedOn w:val="Normal"/>
    <w:rsid w:val="00165642"/>
    <w:pPr>
      <w:widowControl w:val="0"/>
      <w:numPr>
        <w:numId w:val="28"/>
      </w:numPr>
      <w:snapToGrid w:val="0"/>
      <w:spacing w:line="480" w:lineRule="auto"/>
      <w:jc w:val="both"/>
    </w:pPr>
    <w:rPr>
      <w:rFonts w:cs="Times New Roman"/>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066033">
      <w:bodyDiv w:val="1"/>
      <w:marLeft w:val="0"/>
      <w:marRight w:val="0"/>
      <w:marTop w:val="0"/>
      <w:marBottom w:val="0"/>
      <w:divBdr>
        <w:top w:val="none" w:sz="0" w:space="0" w:color="auto"/>
        <w:left w:val="none" w:sz="0" w:space="0" w:color="auto"/>
        <w:bottom w:val="none" w:sz="0" w:space="0" w:color="auto"/>
        <w:right w:val="none" w:sz="0" w:space="0" w:color="auto"/>
      </w:divBdr>
    </w:div>
    <w:div w:id="844174563">
      <w:bodyDiv w:val="1"/>
      <w:marLeft w:val="0"/>
      <w:marRight w:val="0"/>
      <w:marTop w:val="0"/>
      <w:marBottom w:val="0"/>
      <w:divBdr>
        <w:top w:val="none" w:sz="0" w:space="0" w:color="auto"/>
        <w:left w:val="none" w:sz="0" w:space="0" w:color="auto"/>
        <w:bottom w:val="none" w:sz="0" w:space="0" w:color="auto"/>
        <w:right w:val="none" w:sz="0" w:space="0" w:color="auto"/>
      </w:divBdr>
    </w:div>
    <w:div w:id="1103257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5.png@01D12061.663682A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D0903-B932-4521-ABD2-BA147A227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1742</TotalTime>
  <Pages>12</Pages>
  <Words>2477</Words>
  <Characters>14125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Gillian Kay</dc:creator>
  <cp:lastModifiedBy>Mary Bruce</cp:lastModifiedBy>
  <cp:revision>43</cp:revision>
  <cp:lastPrinted>2022-10-27T14:23:00Z</cp:lastPrinted>
  <dcterms:created xsi:type="dcterms:W3CDTF">2022-10-26T06:31:00Z</dcterms:created>
  <dcterms:modified xsi:type="dcterms:W3CDTF">2022-10-28T10:44:00Z</dcterms:modified>
</cp:coreProperties>
</file>