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2C9" w:rsidRPr="00B420B0" w:rsidRDefault="00B420B0" w:rsidP="00B420B0">
      <w:pPr>
        <w:rPr>
          <w:color w:val="FF0000"/>
          <w:u w:val="single"/>
        </w:rPr>
      </w:pPr>
      <w:r>
        <w:rPr>
          <w:rFonts w:ascii="Arial" w:hAnsi="Arial" w:cs="Arial"/>
          <w:color w:val="FF0000"/>
        </w:rPr>
        <w:t>Editorial note: Certain information has been redacted from this judgment in compliance with the law.</w:t>
      </w:r>
    </w:p>
    <w:p w:rsidR="000D7ADC" w:rsidRDefault="000D7ADC" w:rsidP="000D7ADC">
      <w:pPr>
        <w:pStyle w:val="Header"/>
        <w:jc w:val="center"/>
        <w:rPr>
          <w:rFonts w:ascii="Arial" w:hAnsi="Arial" w:cs="Arial"/>
          <w:b/>
          <w:lang w:val="en-GB"/>
        </w:rPr>
      </w:pPr>
      <w:r w:rsidRPr="00AE0666">
        <w:rPr>
          <w:b/>
          <w:noProof/>
          <w:lang w:eastAsia="en-ZA"/>
        </w:rPr>
        <w:drawing>
          <wp:inline distT="0" distB="0" distL="0" distR="0" wp14:anchorId="332865E5" wp14:editId="2FD9CBFF">
            <wp:extent cx="876300" cy="1035257"/>
            <wp:effectExtent l="0" t="0" r="0" b="0"/>
            <wp:docPr id="1" name="Picture 1" descr="Description: Description: cid:image001.png@01D297ED.F27B3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id:image001.png@01D297ED.F27B35D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0456" cy="1040167"/>
                    </a:xfrm>
                    <a:prstGeom prst="rect">
                      <a:avLst/>
                    </a:prstGeom>
                    <a:noFill/>
                    <a:ln>
                      <a:noFill/>
                    </a:ln>
                  </pic:spPr>
                </pic:pic>
              </a:graphicData>
            </a:graphic>
          </wp:inline>
        </w:drawing>
      </w:r>
      <w:r>
        <w:rPr>
          <w:rFonts w:ascii="Arial" w:hAnsi="Arial" w:cs="Arial"/>
          <w:b/>
          <w:lang w:val="en-GB"/>
        </w:rPr>
        <w:t xml:space="preserve"> </w:t>
      </w:r>
    </w:p>
    <w:p w:rsidR="000D7ADC" w:rsidRPr="00AE0666" w:rsidRDefault="000D7ADC" w:rsidP="000D7ADC">
      <w:pPr>
        <w:pStyle w:val="Header"/>
        <w:jc w:val="center"/>
        <w:rPr>
          <w:rFonts w:ascii="Arial" w:hAnsi="Arial" w:cs="Arial"/>
          <w:b/>
          <w:lang w:val="en-GB"/>
        </w:rPr>
      </w:pPr>
      <w:r w:rsidRPr="00AE0666">
        <w:rPr>
          <w:rFonts w:ascii="Arial" w:hAnsi="Arial" w:cs="Arial"/>
          <w:b/>
          <w:lang w:val="en-GB"/>
        </w:rPr>
        <w:t>In the High Court of South Africa</w:t>
      </w:r>
    </w:p>
    <w:p w:rsidR="000D7ADC" w:rsidRPr="00AE0666" w:rsidRDefault="000D7ADC" w:rsidP="000D7ADC">
      <w:pPr>
        <w:pStyle w:val="Header"/>
        <w:jc w:val="center"/>
        <w:rPr>
          <w:rFonts w:ascii="Arial" w:hAnsi="Arial" w:cs="Arial"/>
          <w:b/>
          <w:lang w:val="en-GB"/>
        </w:rPr>
      </w:pPr>
      <w:r w:rsidRPr="00AE0666">
        <w:rPr>
          <w:rFonts w:ascii="Arial" w:hAnsi="Arial" w:cs="Arial"/>
          <w:b/>
          <w:lang w:val="en-GB"/>
        </w:rPr>
        <w:t xml:space="preserve">  (Western Cape Division, Cape Town)</w:t>
      </w:r>
    </w:p>
    <w:p w:rsidR="00E113E1" w:rsidRDefault="000D7ADC" w:rsidP="000D7ADC">
      <w:pPr>
        <w:tabs>
          <w:tab w:val="left" w:pos="7938"/>
        </w:tabs>
        <w:spacing w:after="0" w:line="240" w:lineRule="auto"/>
        <w:jc w:val="center"/>
        <w:rPr>
          <w:rFonts w:ascii="Arial" w:hAnsi="Arial" w:cs="Arial"/>
          <w:b/>
          <w:sz w:val="24"/>
          <w:szCs w:val="24"/>
        </w:rPr>
      </w:pPr>
      <w:r>
        <w:rPr>
          <w:rFonts w:ascii="Arial" w:hAnsi="Arial" w:cs="Arial"/>
          <w:b/>
          <w:sz w:val="24"/>
          <w:szCs w:val="24"/>
        </w:rPr>
        <w:t xml:space="preserve">                                                                 </w:t>
      </w:r>
    </w:p>
    <w:p w:rsidR="00057AEE" w:rsidRDefault="00E113E1" w:rsidP="00AC20D3">
      <w:pPr>
        <w:tabs>
          <w:tab w:val="left" w:pos="7938"/>
        </w:tabs>
        <w:spacing w:after="0" w:line="240" w:lineRule="auto"/>
        <w:jc w:val="center"/>
        <w:rPr>
          <w:rFonts w:ascii="Arial" w:hAnsi="Arial" w:cs="Arial"/>
          <w:b/>
          <w:sz w:val="24"/>
          <w:szCs w:val="24"/>
        </w:rPr>
      </w:pPr>
      <w:r>
        <w:rPr>
          <w:rFonts w:ascii="Arial" w:hAnsi="Arial" w:cs="Arial"/>
          <w:b/>
          <w:sz w:val="24"/>
          <w:szCs w:val="24"/>
        </w:rPr>
        <w:t xml:space="preserve">     </w:t>
      </w:r>
      <w:r w:rsidR="00AC20D3">
        <w:rPr>
          <w:rFonts w:ascii="Arial" w:hAnsi="Arial" w:cs="Arial"/>
          <w:b/>
          <w:sz w:val="24"/>
          <w:szCs w:val="24"/>
        </w:rPr>
        <w:t xml:space="preserve">            </w:t>
      </w:r>
      <w:r>
        <w:rPr>
          <w:rFonts w:ascii="Arial" w:hAnsi="Arial" w:cs="Arial"/>
          <w:b/>
          <w:sz w:val="24"/>
          <w:szCs w:val="24"/>
        </w:rPr>
        <w:t xml:space="preserve">         </w:t>
      </w:r>
    </w:p>
    <w:p w:rsidR="00057AEE" w:rsidRDefault="00057AEE" w:rsidP="000D7ADC">
      <w:pPr>
        <w:tabs>
          <w:tab w:val="left" w:pos="7938"/>
        </w:tabs>
        <w:spacing w:after="0" w:line="240" w:lineRule="auto"/>
        <w:jc w:val="center"/>
        <w:rPr>
          <w:rFonts w:ascii="Arial" w:hAnsi="Arial" w:cs="Arial"/>
          <w:b/>
          <w:sz w:val="24"/>
          <w:szCs w:val="24"/>
        </w:rPr>
      </w:pPr>
      <w:r>
        <w:rPr>
          <w:rFonts w:ascii="Arial" w:hAnsi="Arial" w:cs="Arial"/>
          <w:b/>
          <w:sz w:val="24"/>
          <w:szCs w:val="24"/>
        </w:rPr>
        <w:t xml:space="preserve">                                                                                                                                               </w:t>
      </w:r>
    </w:p>
    <w:p w:rsidR="000D7ADC" w:rsidRDefault="00057AEE" w:rsidP="000D7ADC">
      <w:pPr>
        <w:tabs>
          <w:tab w:val="left" w:pos="7938"/>
        </w:tabs>
        <w:spacing w:after="0" w:line="240" w:lineRule="auto"/>
        <w:jc w:val="center"/>
        <w:rPr>
          <w:rFonts w:ascii="Arial" w:hAnsi="Arial" w:cs="Arial"/>
          <w:b/>
          <w:sz w:val="24"/>
          <w:szCs w:val="24"/>
        </w:rPr>
      </w:pPr>
      <w:r>
        <w:rPr>
          <w:rFonts w:ascii="Arial" w:hAnsi="Arial" w:cs="Arial"/>
          <w:b/>
          <w:sz w:val="24"/>
          <w:szCs w:val="24"/>
        </w:rPr>
        <w:t xml:space="preserve">                                                                        </w:t>
      </w:r>
      <w:r w:rsidR="006F16F3">
        <w:rPr>
          <w:rFonts w:ascii="Arial" w:hAnsi="Arial" w:cs="Arial"/>
          <w:b/>
          <w:sz w:val="24"/>
          <w:szCs w:val="24"/>
        </w:rPr>
        <w:t xml:space="preserve">Case No: </w:t>
      </w:r>
      <w:r w:rsidR="001E26E1">
        <w:rPr>
          <w:rFonts w:ascii="Arial" w:hAnsi="Arial" w:cs="Arial"/>
          <w:b/>
          <w:sz w:val="24"/>
          <w:szCs w:val="24"/>
        </w:rPr>
        <w:t>20872</w:t>
      </w:r>
      <w:r w:rsidR="006F16F3">
        <w:rPr>
          <w:rFonts w:ascii="Arial" w:hAnsi="Arial" w:cs="Arial"/>
          <w:b/>
          <w:sz w:val="24"/>
          <w:szCs w:val="24"/>
        </w:rPr>
        <w:t>/202</w:t>
      </w:r>
      <w:r w:rsidR="001E26E1">
        <w:rPr>
          <w:rFonts w:ascii="Arial" w:hAnsi="Arial" w:cs="Arial"/>
          <w:b/>
          <w:sz w:val="24"/>
          <w:szCs w:val="24"/>
        </w:rPr>
        <w:t>1</w:t>
      </w:r>
      <w:r w:rsidR="000D7ADC">
        <w:rPr>
          <w:rFonts w:ascii="Arial" w:hAnsi="Arial" w:cs="Arial"/>
          <w:b/>
          <w:sz w:val="24"/>
          <w:szCs w:val="24"/>
        </w:rPr>
        <w:t xml:space="preserve">                                                           </w:t>
      </w:r>
    </w:p>
    <w:p w:rsidR="000D7ADC" w:rsidRDefault="000D7ADC" w:rsidP="000D7ADC">
      <w:pPr>
        <w:tabs>
          <w:tab w:val="left" w:pos="7938"/>
        </w:tabs>
        <w:spacing w:after="0" w:line="240" w:lineRule="auto"/>
        <w:jc w:val="center"/>
        <w:rPr>
          <w:rFonts w:ascii="Arial" w:hAnsi="Arial" w:cs="Arial"/>
          <w:b/>
          <w:sz w:val="24"/>
          <w:szCs w:val="24"/>
        </w:rPr>
      </w:pPr>
    </w:p>
    <w:p w:rsidR="000D7ADC" w:rsidRDefault="000D7ADC" w:rsidP="000D7ADC">
      <w:pPr>
        <w:tabs>
          <w:tab w:val="left" w:pos="7938"/>
        </w:tabs>
        <w:rPr>
          <w:rFonts w:ascii="Arial" w:hAnsi="Arial" w:cs="Arial"/>
          <w:sz w:val="24"/>
          <w:szCs w:val="24"/>
        </w:rPr>
      </w:pPr>
      <w:r>
        <w:rPr>
          <w:rFonts w:ascii="Arial" w:hAnsi="Arial" w:cs="Arial"/>
          <w:sz w:val="24"/>
          <w:szCs w:val="24"/>
        </w:rPr>
        <w:t>In the matter between:</w:t>
      </w:r>
      <w:r>
        <w:rPr>
          <w:rFonts w:ascii="Arial" w:hAnsi="Arial" w:cs="Arial"/>
          <w:sz w:val="24"/>
          <w:szCs w:val="24"/>
        </w:rPr>
        <w:tab/>
      </w:r>
    </w:p>
    <w:p w:rsidR="000D7ADC" w:rsidRDefault="000D7ADC" w:rsidP="000D7ADC">
      <w:pPr>
        <w:tabs>
          <w:tab w:val="left" w:pos="7938"/>
        </w:tabs>
        <w:jc w:val="center"/>
        <w:rPr>
          <w:rFonts w:ascii="Arial" w:hAnsi="Arial" w:cs="Arial"/>
          <w:b/>
          <w:sz w:val="24"/>
          <w:szCs w:val="24"/>
        </w:rPr>
      </w:pPr>
    </w:p>
    <w:p w:rsidR="000D7ADC" w:rsidRDefault="001E26E1" w:rsidP="000D7ADC">
      <w:pPr>
        <w:tabs>
          <w:tab w:val="left" w:pos="7938"/>
        </w:tabs>
        <w:rPr>
          <w:rFonts w:ascii="Arial" w:hAnsi="Arial" w:cs="Arial"/>
          <w:b/>
          <w:sz w:val="24"/>
          <w:szCs w:val="24"/>
        </w:rPr>
      </w:pPr>
      <w:proofErr w:type="gramStart"/>
      <w:r>
        <w:rPr>
          <w:rFonts w:ascii="Arial" w:hAnsi="Arial" w:cs="Arial"/>
          <w:b/>
          <w:sz w:val="24"/>
          <w:szCs w:val="24"/>
        </w:rPr>
        <w:t>N</w:t>
      </w:r>
      <w:r w:rsidR="001A5485">
        <w:rPr>
          <w:rFonts w:ascii="Arial" w:hAnsi="Arial" w:cs="Arial"/>
          <w:b/>
          <w:sz w:val="24"/>
          <w:szCs w:val="24"/>
        </w:rPr>
        <w:t>[</w:t>
      </w:r>
      <w:proofErr w:type="gramEnd"/>
      <w:r w:rsidR="001A5485">
        <w:rPr>
          <w:rFonts w:ascii="Arial" w:hAnsi="Arial" w:cs="Arial"/>
          <w:b/>
          <w:sz w:val="24"/>
          <w:szCs w:val="24"/>
        </w:rPr>
        <w:t xml:space="preserve">…] </w:t>
      </w:r>
      <w:r>
        <w:rPr>
          <w:rFonts w:ascii="Arial" w:hAnsi="Arial" w:cs="Arial"/>
          <w:b/>
          <w:sz w:val="24"/>
          <w:szCs w:val="24"/>
        </w:rPr>
        <w:t>M</w:t>
      </w:r>
      <w:r w:rsidR="001A5485">
        <w:rPr>
          <w:rFonts w:ascii="Arial" w:hAnsi="Arial" w:cs="Arial"/>
          <w:b/>
          <w:sz w:val="24"/>
          <w:szCs w:val="24"/>
        </w:rPr>
        <w:t xml:space="preserve">[…]         </w:t>
      </w:r>
      <w:r w:rsidR="000D7ADC">
        <w:rPr>
          <w:rFonts w:ascii="Arial" w:hAnsi="Arial" w:cs="Arial"/>
          <w:b/>
          <w:sz w:val="24"/>
          <w:szCs w:val="24"/>
        </w:rPr>
        <w:t xml:space="preserve">                                        </w:t>
      </w:r>
      <w:r w:rsidR="001A5485">
        <w:rPr>
          <w:rFonts w:ascii="Arial" w:hAnsi="Arial" w:cs="Arial"/>
          <w:b/>
          <w:sz w:val="24"/>
          <w:szCs w:val="24"/>
        </w:rPr>
        <w:t xml:space="preserve">                           </w:t>
      </w:r>
      <w:r w:rsidR="000D7ADC">
        <w:rPr>
          <w:rFonts w:ascii="Arial" w:hAnsi="Arial" w:cs="Arial"/>
          <w:b/>
          <w:sz w:val="24"/>
          <w:szCs w:val="24"/>
        </w:rPr>
        <w:t>APP</w:t>
      </w:r>
      <w:r>
        <w:rPr>
          <w:rFonts w:ascii="Arial" w:hAnsi="Arial" w:cs="Arial"/>
          <w:b/>
          <w:sz w:val="24"/>
          <w:szCs w:val="24"/>
        </w:rPr>
        <w:t xml:space="preserve">LICANT </w:t>
      </w:r>
      <w:r w:rsidR="000D7ADC">
        <w:rPr>
          <w:rFonts w:ascii="Arial" w:hAnsi="Arial" w:cs="Arial"/>
          <w:b/>
          <w:sz w:val="24"/>
          <w:szCs w:val="24"/>
        </w:rPr>
        <w:t xml:space="preserve">                                                            </w:t>
      </w:r>
    </w:p>
    <w:p w:rsidR="000D7ADC" w:rsidRDefault="000D7ADC" w:rsidP="000D7ADC">
      <w:pPr>
        <w:tabs>
          <w:tab w:val="left" w:pos="7938"/>
        </w:tabs>
        <w:spacing w:after="0" w:line="276" w:lineRule="auto"/>
        <w:jc w:val="center"/>
        <w:rPr>
          <w:rFonts w:ascii="Arial" w:hAnsi="Arial" w:cs="Arial"/>
          <w:b/>
          <w:sz w:val="24"/>
          <w:szCs w:val="24"/>
        </w:rPr>
      </w:pPr>
    </w:p>
    <w:p w:rsidR="000D7ADC" w:rsidRDefault="000D7ADC" w:rsidP="000D7ADC">
      <w:pPr>
        <w:tabs>
          <w:tab w:val="left" w:pos="7938"/>
        </w:tabs>
        <w:rPr>
          <w:rFonts w:ascii="Arial" w:hAnsi="Arial" w:cs="Arial"/>
          <w:sz w:val="24"/>
          <w:szCs w:val="24"/>
        </w:rPr>
      </w:pPr>
      <w:r>
        <w:rPr>
          <w:rFonts w:ascii="Arial" w:hAnsi="Arial" w:cs="Arial"/>
          <w:sz w:val="24"/>
          <w:szCs w:val="24"/>
        </w:rPr>
        <w:t>And</w:t>
      </w:r>
    </w:p>
    <w:p w:rsidR="000D7ADC" w:rsidRDefault="000D7ADC" w:rsidP="000D7ADC">
      <w:pPr>
        <w:tabs>
          <w:tab w:val="left" w:pos="7938"/>
        </w:tabs>
        <w:rPr>
          <w:rFonts w:ascii="Arial" w:hAnsi="Arial" w:cs="Arial"/>
          <w:b/>
          <w:sz w:val="24"/>
          <w:szCs w:val="24"/>
        </w:rPr>
      </w:pPr>
    </w:p>
    <w:p w:rsidR="001E26E1" w:rsidRDefault="001E26E1" w:rsidP="001E26E1">
      <w:pPr>
        <w:pStyle w:val="Single"/>
        <w:pBdr>
          <w:bottom w:val="single" w:sz="12" w:space="1" w:color="auto"/>
        </w:pBdr>
        <w:tabs>
          <w:tab w:val="clear" w:pos="567"/>
          <w:tab w:val="clear" w:pos="8222"/>
        </w:tabs>
        <w:spacing w:after="0"/>
        <w:rPr>
          <w:b/>
        </w:rPr>
      </w:pPr>
      <w:proofErr w:type="gramStart"/>
      <w:r>
        <w:rPr>
          <w:b/>
        </w:rPr>
        <w:t>N</w:t>
      </w:r>
      <w:r w:rsidR="001A5485">
        <w:rPr>
          <w:b/>
        </w:rPr>
        <w:t>[</w:t>
      </w:r>
      <w:proofErr w:type="gramEnd"/>
      <w:r w:rsidR="001A5485">
        <w:rPr>
          <w:b/>
        </w:rPr>
        <w:t xml:space="preserve">…] </w:t>
      </w:r>
      <w:r>
        <w:rPr>
          <w:b/>
        </w:rPr>
        <w:t>N</w:t>
      </w:r>
      <w:r w:rsidR="001A5485">
        <w:rPr>
          <w:b/>
        </w:rPr>
        <w:t>[..]</w:t>
      </w:r>
      <w:r w:rsidR="000D7ADC">
        <w:rPr>
          <w:b/>
        </w:rPr>
        <w:t xml:space="preserve">                         </w:t>
      </w:r>
      <w:r w:rsidR="001A5485">
        <w:rPr>
          <w:b/>
        </w:rPr>
        <w:t xml:space="preserve">                                                      </w:t>
      </w:r>
      <w:r>
        <w:rPr>
          <w:b/>
        </w:rPr>
        <w:t>First Respondent</w:t>
      </w:r>
    </w:p>
    <w:p w:rsidR="001E26E1" w:rsidRDefault="001E26E1" w:rsidP="001E26E1">
      <w:pPr>
        <w:pStyle w:val="Single"/>
        <w:pBdr>
          <w:bottom w:val="single" w:sz="12" w:space="1" w:color="auto"/>
        </w:pBdr>
        <w:tabs>
          <w:tab w:val="clear" w:pos="567"/>
          <w:tab w:val="clear" w:pos="8222"/>
        </w:tabs>
        <w:spacing w:after="0"/>
        <w:rPr>
          <w:b/>
        </w:rPr>
      </w:pPr>
      <w:proofErr w:type="gramStart"/>
      <w:r>
        <w:rPr>
          <w:b/>
        </w:rPr>
        <w:t>J</w:t>
      </w:r>
      <w:r w:rsidR="001A5485">
        <w:rPr>
          <w:b/>
        </w:rPr>
        <w:t>[</w:t>
      </w:r>
      <w:proofErr w:type="gramEnd"/>
      <w:r w:rsidR="001A5485">
        <w:rPr>
          <w:b/>
        </w:rPr>
        <w:t>…] M[…]</w:t>
      </w:r>
      <w:r>
        <w:rPr>
          <w:b/>
        </w:rPr>
        <w:t xml:space="preserve"> </w:t>
      </w:r>
      <w:r>
        <w:rPr>
          <w:b/>
        </w:rPr>
        <w:tab/>
      </w:r>
      <w:r>
        <w:rPr>
          <w:b/>
        </w:rPr>
        <w:tab/>
      </w:r>
      <w:r>
        <w:rPr>
          <w:b/>
        </w:rPr>
        <w:tab/>
      </w:r>
      <w:r>
        <w:rPr>
          <w:b/>
        </w:rPr>
        <w:tab/>
      </w:r>
      <w:r w:rsidR="00A55ECF">
        <w:rPr>
          <w:b/>
        </w:rPr>
        <w:t xml:space="preserve">         </w:t>
      </w:r>
      <w:r w:rsidR="001A5485">
        <w:rPr>
          <w:b/>
        </w:rPr>
        <w:t xml:space="preserve">                                </w:t>
      </w:r>
      <w:r>
        <w:rPr>
          <w:b/>
        </w:rPr>
        <w:t>Second Respondent</w:t>
      </w:r>
    </w:p>
    <w:p w:rsidR="001215BA" w:rsidRDefault="001E26E1" w:rsidP="001E26E1">
      <w:pPr>
        <w:pStyle w:val="Single"/>
        <w:pBdr>
          <w:bottom w:val="single" w:sz="12" w:space="1" w:color="auto"/>
        </w:pBdr>
        <w:tabs>
          <w:tab w:val="clear" w:pos="567"/>
          <w:tab w:val="clear" w:pos="8222"/>
        </w:tabs>
        <w:spacing w:after="0"/>
        <w:rPr>
          <w:b/>
        </w:rPr>
      </w:pPr>
      <w:r>
        <w:rPr>
          <w:b/>
        </w:rPr>
        <w:t xml:space="preserve">THE REGISTRAR OF DEEDS, CAPE TOWN </w:t>
      </w:r>
      <w:r>
        <w:rPr>
          <w:b/>
        </w:rPr>
        <w:tab/>
      </w:r>
      <w:r>
        <w:rPr>
          <w:b/>
        </w:rPr>
        <w:tab/>
      </w:r>
      <w:r w:rsidR="00A55ECF">
        <w:rPr>
          <w:b/>
        </w:rPr>
        <w:t xml:space="preserve">         </w:t>
      </w:r>
      <w:r>
        <w:rPr>
          <w:b/>
        </w:rPr>
        <w:t xml:space="preserve">Third Respondent   </w:t>
      </w:r>
    </w:p>
    <w:p w:rsidR="001215BA" w:rsidRDefault="001215BA" w:rsidP="001215BA">
      <w:pPr>
        <w:pStyle w:val="Single"/>
        <w:pBdr>
          <w:bottom w:val="single" w:sz="12" w:space="1" w:color="auto"/>
        </w:pBdr>
        <w:tabs>
          <w:tab w:val="clear" w:pos="567"/>
          <w:tab w:val="clear" w:pos="8222"/>
        </w:tabs>
        <w:spacing w:after="0" w:line="240" w:lineRule="auto"/>
        <w:rPr>
          <w:b/>
        </w:rPr>
      </w:pPr>
    </w:p>
    <w:p w:rsidR="001215BA" w:rsidRDefault="001215BA" w:rsidP="001215BA">
      <w:pPr>
        <w:pStyle w:val="Single"/>
        <w:pBdr>
          <w:bottom w:val="single" w:sz="12" w:space="1" w:color="auto"/>
        </w:pBdr>
        <w:tabs>
          <w:tab w:val="clear" w:pos="567"/>
          <w:tab w:val="clear" w:pos="8222"/>
        </w:tabs>
        <w:spacing w:after="0" w:line="240" w:lineRule="auto"/>
      </w:pPr>
      <w:r>
        <w:t>Heard:</w:t>
      </w:r>
      <w:r w:rsidR="001E26E1">
        <w:t xml:space="preserve"> </w:t>
      </w:r>
      <w:r w:rsidR="00EB168F">
        <w:t>30 August</w:t>
      </w:r>
      <w:r w:rsidR="001E26E1">
        <w:t xml:space="preserve"> 2022</w:t>
      </w:r>
    </w:p>
    <w:p w:rsidR="001215BA" w:rsidRDefault="001215BA" w:rsidP="001215BA">
      <w:pPr>
        <w:pStyle w:val="Single"/>
        <w:pBdr>
          <w:bottom w:val="single" w:sz="12" w:space="1" w:color="auto"/>
        </w:pBdr>
        <w:tabs>
          <w:tab w:val="clear" w:pos="567"/>
          <w:tab w:val="clear" w:pos="8222"/>
        </w:tabs>
        <w:spacing w:after="0" w:line="240" w:lineRule="auto"/>
      </w:pPr>
    </w:p>
    <w:p w:rsidR="001215BA" w:rsidRDefault="001E26E1" w:rsidP="001215BA">
      <w:pPr>
        <w:pStyle w:val="Single"/>
        <w:pBdr>
          <w:bottom w:val="single" w:sz="12" w:space="1" w:color="auto"/>
        </w:pBdr>
        <w:tabs>
          <w:tab w:val="clear" w:pos="567"/>
          <w:tab w:val="clear" w:pos="8222"/>
        </w:tabs>
        <w:spacing w:after="0" w:line="240" w:lineRule="auto"/>
      </w:pPr>
      <w:r>
        <w:t>Delivered: 2</w:t>
      </w:r>
      <w:r w:rsidR="004678AE">
        <w:t>8</w:t>
      </w:r>
      <w:r w:rsidR="00C0735F">
        <w:t xml:space="preserve"> </w:t>
      </w:r>
      <w:r>
        <w:t>October 2022</w:t>
      </w:r>
    </w:p>
    <w:p w:rsidR="00C94870" w:rsidRDefault="00C94870" w:rsidP="001215BA">
      <w:pPr>
        <w:pStyle w:val="Single"/>
        <w:pBdr>
          <w:bottom w:val="single" w:sz="12" w:space="1" w:color="auto"/>
        </w:pBdr>
        <w:tabs>
          <w:tab w:val="clear" w:pos="567"/>
          <w:tab w:val="clear" w:pos="8222"/>
        </w:tabs>
        <w:spacing w:after="0" w:line="240" w:lineRule="auto"/>
      </w:pPr>
    </w:p>
    <w:p w:rsidR="00C94870" w:rsidRPr="00C94870" w:rsidRDefault="00C94870" w:rsidP="001215BA">
      <w:pPr>
        <w:pStyle w:val="Single"/>
        <w:pBdr>
          <w:bottom w:val="single" w:sz="12" w:space="1" w:color="auto"/>
        </w:pBdr>
        <w:tabs>
          <w:tab w:val="clear" w:pos="567"/>
          <w:tab w:val="clear" w:pos="8222"/>
        </w:tabs>
        <w:spacing w:after="0" w:line="240" w:lineRule="auto"/>
        <w:rPr>
          <w:b/>
        </w:rPr>
      </w:pPr>
      <w:r>
        <w:rPr>
          <w:b/>
        </w:rPr>
        <w:t xml:space="preserve">Before the Honourable Mr Justice </w:t>
      </w:r>
      <w:proofErr w:type="spellStart"/>
      <w:r>
        <w:rPr>
          <w:b/>
        </w:rPr>
        <w:t>Lekhuleni</w:t>
      </w:r>
      <w:proofErr w:type="spellEnd"/>
    </w:p>
    <w:p w:rsidR="001215BA" w:rsidRDefault="001215BA" w:rsidP="001215BA">
      <w:pPr>
        <w:pStyle w:val="Single"/>
        <w:pBdr>
          <w:bottom w:val="single" w:sz="12" w:space="1" w:color="auto"/>
        </w:pBdr>
        <w:tabs>
          <w:tab w:val="clear" w:pos="567"/>
          <w:tab w:val="clear" w:pos="8222"/>
        </w:tabs>
        <w:spacing w:after="0" w:line="240" w:lineRule="auto"/>
      </w:pPr>
    </w:p>
    <w:p w:rsidR="001215BA" w:rsidRDefault="001215BA" w:rsidP="001215BA">
      <w:pPr>
        <w:pStyle w:val="Single"/>
        <w:pBdr>
          <w:bottom w:val="single" w:sz="12" w:space="1" w:color="auto"/>
        </w:pBdr>
        <w:tabs>
          <w:tab w:val="clear" w:pos="567"/>
          <w:tab w:val="clear" w:pos="8222"/>
        </w:tabs>
        <w:spacing w:after="0" w:line="240" w:lineRule="auto"/>
      </w:pPr>
      <w:r>
        <w:t>This judgment was handed down electronically by circulation to the parties' representatives via email and release</w:t>
      </w:r>
      <w:r w:rsidR="00AC20D3">
        <w:t>d</w:t>
      </w:r>
      <w:r>
        <w:t xml:space="preserve"> to SAFLII. The date and time for hand-down is deemed to be</w:t>
      </w:r>
      <w:r w:rsidR="001E26E1">
        <w:t xml:space="preserve"> 2</w:t>
      </w:r>
      <w:r w:rsidR="00C94870">
        <w:t>8</w:t>
      </w:r>
      <w:r w:rsidR="001E26E1">
        <w:t xml:space="preserve"> October </w:t>
      </w:r>
      <w:r w:rsidR="00C0735F">
        <w:t>202</w:t>
      </w:r>
      <w:r w:rsidR="00AC20D3">
        <w:t>2</w:t>
      </w:r>
      <w:r w:rsidR="00C0735F">
        <w:t xml:space="preserve"> at 10h00.</w:t>
      </w:r>
    </w:p>
    <w:p w:rsidR="001215BA" w:rsidRDefault="001215BA" w:rsidP="001215BA">
      <w:pPr>
        <w:pStyle w:val="Single"/>
        <w:pBdr>
          <w:bottom w:val="single" w:sz="12" w:space="1" w:color="auto"/>
        </w:pBdr>
        <w:tabs>
          <w:tab w:val="clear" w:pos="567"/>
          <w:tab w:val="clear" w:pos="8222"/>
        </w:tabs>
        <w:spacing w:after="0" w:line="240" w:lineRule="auto"/>
      </w:pPr>
    </w:p>
    <w:p w:rsidR="000D7ADC" w:rsidRDefault="000D7ADC" w:rsidP="001215BA">
      <w:pPr>
        <w:tabs>
          <w:tab w:val="left" w:pos="7938"/>
        </w:tabs>
        <w:rPr>
          <w:rFonts w:ascii="Arial" w:eastAsia="Times New Roman" w:hAnsi="Arial" w:cs="Arial"/>
          <w:sz w:val="24"/>
          <w:szCs w:val="24"/>
        </w:rPr>
      </w:pPr>
    </w:p>
    <w:p w:rsidR="000D7ADC" w:rsidRDefault="000D7ADC" w:rsidP="00057AEE">
      <w:pPr>
        <w:ind w:left="2880" w:firstLine="720"/>
        <w:rPr>
          <w:rFonts w:ascii="Arial" w:hAnsi="Arial" w:cs="Arial"/>
          <w:b/>
          <w:sz w:val="24"/>
          <w:szCs w:val="24"/>
        </w:rPr>
      </w:pPr>
      <w:r>
        <w:rPr>
          <w:rFonts w:ascii="Arial" w:hAnsi="Arial" w:cs="Arial"/>
          <w:b/>
          <w:sz w:val="24"/>
          <w:szCs w:val="24"/>
        </w:rPr>
        <w:t xml:space="preserve">  JUDGMENT</w:t>
      </w:r>
    </w:p>
    <w:p w:rsidR="000D7ADC" w:rsidRDefault="000D7ADC" w:rsidP="000D7ADC">
      <w:pPr>
        <w:pBdr>
          <w:bottom w:val="single" w:sz="12" w:space="1" w:color="auto"/>
        </w:pBdr>
        <w:jc w:val="both"/>
        <w:rPr>
          <w:rFonts w:ascii="Arial" w:hAnsi="Arial" w:cs="Arial"/>
          <w:sz w:val="18"/>
          <w:szCs w:val="18"/>
        </w:rPr>
      </w:pPr>
    </w:p>
    <w:p w:rsidR="000D7ADC" w:rsidRPr="00C94870" w:rsidRDefault="00C94870" w:rsidP="00C94870">
      <w:pPr>
        <w:spacing w:after="0" w:line="480" w:lineRule="auto"/>
        <w:jc w:val="both"/>
        <w:rPr>
          <w:rFonts w:ascii="Arial" w:eastAsia="Times New Roman" w:hAnsi="Arial" w:cs="Arial"/>
          <w:b/>
          <w:sz w:val="24"/>
          <w:szCs w:val="24"/>
        </w:rPr>
      </w:pPr>
      <w:r>
        <w:rPr>
          <w:rFonts w:ascii="Arial" w:eastAsia="Times New Roman" w:hAnsi="Arial" w:cs="Arial"/>
          <w:b/>
          <w:sz w:val="24"/>
          <w:szCs w:val="24"/>
        </w:rPr>
        <w:t>LEKHULENI, J</w:t>
      </w:r>
    </w:p>
    <w:p w:rsidR="00892320" w:rsidRPr="004E242D" w:rsidRDefault="00892320" w:rsidP="00AC580E">
      <w:pPr>
        <w:spacing w:after="0" w:line="480" w:lineRule="auto"/>
        <w:jc w:val="both"/>
        <w:rPr>
          <w:rFonts w:ascii="Arial" w:eastAsia="Times New Roman" w:hAnsi="Arial" w:cs="Arial"/>
          <w:b/>
          <w:color w:val="000000"/>
          <w:sz w:val="24"/>
          <w:szCs w:val="24"/>
        </w:rPr>
      </w:pPr>
      <w:r w:rsidRPr="004E242D">
        <w:rPr>
          <w:rFonts w:ascii="Arial" w:eastAsia="Times New Roman" w:hAnsi="Arial" w:cs="Arial"/>
          <w:b/>
          <w:color w:val="000000"/>
          <w:sz w:val="24"/>
          <w:szCs w:val="24"/>
        </w:rPr>
        <w:t xml:space="preserve">INTRODUCTION </w:t>
      </w:r>
    </w:p>
    <w:p w:rsidR="00740975" w:rsidRDefault="00740975" w:rsidP="00AC580E">
      <w:pPr>
        <w:spacing w:after="0" w:line="480" w:lineRule="auto"/>
        <w:jc w:val="both"/>
        <w:rPr>
          <w:rFonts w:ascii="Arial" w:eastAsia="Times New Roman" w:hAnsi="Arial" w:cs="Arial"/>
          <w:bCs/>
          <w:color w:val="000000"/>
          <w:sz w:val="24"/>
          <w:szCs w:val="24"/>
        </w:rPr>
      </w:pPr>
    </w:p>
    <w:p w:rsidR="00057AEE" w:rsidRDefault="00740975" w:rsidP="00AC580E">
      <w:pPr>
        <w:spacing w:after="0" w:line="48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lastRenderedPageBreak/>
        <w:t>[1]</w:t>
      </w:r>
      <w:r>
        <w:rPr>
          <w:rFonts w:ascii="Arial" w:eastAsia="Times New Roman" w:hAnsi="Arial" w:cs="Arial"/>
          <w:bCs/>
          <w:color w:val="000000"/>
          <w:sz w:val="24"/>
          <w:szCs w:val="24"/>
        </w:rPr>
        <w:tab/>
      </w:r>
      <w:r w:rsidR="00501918" w:rsidRPr="00501918">
        <w:rPr>
          <w:rFonts w:ascii="Arial" w:eastAsia="Times New Roman" w:hAnsi="Arial" w:cs="Arial"/>
          <w:bCs/>
          <w:color w:val="000000"/>
          <w:sz w:val="24"/>
          <w:szCs w:val="24"/>
        </w:rPr>
        <w:t>Th</w:t>
      </w:r>
      <w:r w:rsidR="00501918">
        <w:rPr>
          <w:rFonts w:ascii="Arial" w:eastAsia="Times New Roman" w:hAnsi="Arial" w:cs="Arial"/>
          <w:bCs/>
          <w:color w:val="000000"/>
          <w:sz w:val="24"/>
          <w:szCs w:val="24"/>
        </w:rPr>
        <w:t xml:space="preserve">is </w:t>
      </w:r>
      <w:r w:rsidR="00800B64">
        <w:rPr>
          <w:rFonts w:ascii="Arial" w:eastAsia="Times New Roman" w:hAnsi="Arial" w:cs="Arial"/>
          <w:bCs/>
          <w:color w:val="000000"/>
          <w:sz w:val="24"/>
          <w:szCs w:val="24"/>
        </w:rPr>
        <w:t xml:space="preserve">is </w:t>
      </w:r>
      <w:r w:rsidR="00501918">
        <w:rPr>
          <w:rFonts w:ascii="Arial" w:eastAsia="Times New Roman" w:hAnsi="Arial" w:cs="Arial"/>
          <w:bCs/>
          <w:color w:val="000000"/>
          <w:sz w:val="24"/>
          <w:szCs w:val="24"/>
        </w:rPr>
        <w:t xml:space="preserve">an application </w:t>
      </w:r>
      <w:r w:rsidR="00AC580E">
        <w:rPr>
          <w:rFonts w:ascii="Arial" w:eastAsia="Times New Roman" w:hAnsi="Arial" w:cs="Arial"/>
          <w:bCs/>
          <w:color w:val="000000"/>
          <w:sz w:val="24"/>
          <w:szCs w:val="24"/>
        </w:rPr>
        <w:t xml:space="preserve">in </w:t>
      </w:r>
      <w:r w:rsidR="00501918">
        <w:rPr>
          <w:rFonts w:ascii="Arial" w:eastAsia="Times New Roman" w:hAnsi="Arial" w:cs="Arial"/>
          <w:bCs/>
          <w:color w:val="000000"/>
          <w:sz w:val="24"/>
          <w:szCs w:val="24"/>
        </w:rPr>
        <w:t>which the</w:t>
      </w:r>
      <w:r w:rsidR="00AC580E">
        <w:rPr>
          <w:rFonts w:ascii="Arial" w:eastAsia="Times New Roman" w:hAnsi="Arial" w:cs="Arial"/>
          <w:bCs/>
          <w:color w:val="000000"/>
          <w:sz w:val="24"/>
          <w:szCs w:val="24"/>
        </w:rPr>
        <w:t xml:space="preserve"> applicant seeks an order declaring a sale agreement in respect of an immovable property known as Erf No. </w:t>
      </w:r>
      <w:r w:rsidR="000C302E">
        <w:rPr>
          <w:rFonts w:ascii="Arial" w:eastAsia="Times New Roman" w:hAnsi="Arial" w:cs="Arial"/>
          <w:bCs/>
          <w:color w:val="000000"/>
          <w:sz w:val="24"/>
          <w:szCs w:val="24"/>
        </w:rPr>
        <w:t>[…]</w:t>
      </w:r>
      <w:r w:rsidR="00AC580E">
        <w:rPr>
          <w:rFonts w:ascii="Arial" w:eastAsia="Times New Roman" w:hAnsi="Arial" w:cs="Arial"/>
          <w:bCs/>
          <w:color w:val="000000"/>
          <w:sz w:val="24"/>
          <w:szCs w:val="24"/>
        </w:rPr>
        <w:t xml:space="preserve"> </w:t>
      </w:r>
      <w:proofErr w:type="gramStart"/>
      <w:r w:rsidR="00AC580E">
        <w:rPr>
          <w:rFonts w:ascii="Arial" w:eastAsia="Times New Roman" w:hAnsi="Arial" w:cs="Arial"/>
          <w:bCs/>
          <w:color w:val="000000"/>
          <w:sz w:val="24"/>
          <w:szCs w:val="24"/>
        </w:rPr>
        <w:t>N</w:t>
      </w:r>
      <w:r w:rsidR="000C302E">
        <w:rPr>
          <w:rFonts w:ascii="Arial" w:eastAsia="Times New Roman" w:hAnsi="Arial" w:cs="Arial"/>
          <w:bCs/>
          <w:color w:val="000000"/>
          <w:sz w:val="24"/>
          <w:szCs w:val="24"/>
        </w:rPr>
        <w:t>[</w:t>
      </w:r>
      <w:proofErr w:type="gramEnd"/>
      <w:r w:rsidR="000C302E">
        <w:rPr>
          <w:rFonts w:ascii="Arial" w:eastAsia="Times New Roman" w:hAnsi="Arial" w:cs="Arial"/>
          <w:bCs/>
          <w:color w:val="000000"/>
          <w:sz w:val="24"/>
          <w:szCs w:val="24"/>
        </w:rPr>
        <w:t>…]</w:t>
      </w:r>
      <w:r w:rsidR="00AC580E">
        <w:rPr>
          <w:rFonts w:ascii="Arial" w:eastAsia="Times New Roman" w:hAnsi="Arial" w:cs="Arial"/>
          <w:bCs/>
          <w:color w:val="000000"/>
          <w:sz w:val="24"/>
          <w:szCs w:val="24"/>
        </w:rPr>
        <w:t xml:space="preserve"> Street, </w:t>
      </w:r>
      <w:proofErr w:type="spellStart"/>
      <w:r w:rsidR="00AC580E">
        <w:rPr>
          <w:rFonts w:ascii="Arial" w:eastAsia="Times New Roman" w:hAnsi="Arial" w:cs="Arial"/>
          <w:bCs/>
          <w:color w:val="000000"/>
          <w:sz w:val="24"/>
          <w:szCs w:val="24"/>
        </w:rPr>
        <w:t>Khayelitsha</w:t>
      </w:r>
      <w:proofErr w:type="spellEnd"/>
      <w:r w:rsidR="00AC580E">
        <w:rPr>
          <w:rFonts w:ascii="Arial" w:eastAsia="Times New Roman" w:hAnsi="Arial" w:cs="Arial"/>
          <w:bCs/>
          <w:color w:val="000000"/>
          <w:sz w:val="24"/>
          <w:szCs w:val="24"/>
        </w:rPr>
        <w:t>, situated in Cape Town, Western Cape Province</w:t>
      </w:r>
      <w:r w:rsidR="00542DDC">
        <w:rPr>
          <w:rFonts w:ascii="Arial" w:eastAsia="Times New Roman" w:hAnsi="Arial" w:cs="Arial"/>
          <w:bCs/>
          <w:color w:val="000000"/>
          <w:sz w:val="24"/>
          <w:szCs w:val="24"/>
        </w:rPr>
        <w:t>,</w:t>
      </w:r>
      <w:r w:rsidR="00AC580E">
        <w:rPr>
          <w:rFonts w:ascii="Arial" w:eastAsia="Times New Roman" w:hAnsi="Arial" w:cs="Arial"/>
          <w:bCs/>
          <w:color w:val="000000"/>
          <w:sz w:val="24"/>
          <w:szCs w:val="24"/>
        </w:rPr>
        <w:t xml:space="preserve"> concluded between the first respondent and the second respondent</w:t>
      </w:r>
      <w:r w:rsidR="00542DDC">
        <w:rPr>
          <w:rFonts w:ascii="Arial" w:eastAsia="Times New Roman" w:hAnsi="Arial" w:cs="Arial"/>
          <w:bCs/>
          <w:color w:val="000000"/>
          <w:sz w:val="24"/>
          <w:szCs w:val="24"/>
        </w:rPr>
        <w:t>,</w:t>
      </w:r>
      <w:r w:rsidR="00AC580E">
        <w:rPr>
          <w:rFonts w:ascii="Arial" w:eastAsia="Times New Roman" w:hAnsi="Arial" w:cs="Arial"/>
          <w:bCs/>
          <w:color w:val="000000"/>
          <w:sz w:val="24"/>
          <w:szCs w:val="24"/>
        </w:rPr>
        <w:t xml:space="preserve"> unlawful, null and void </w:t>
      </w:r>
      <w:r w:rsidR="00AC580E" w:rsidRPr="00AC20D3">
        <w:rPr>
          <w:rFonts w:ascii="Arial" w:eastAsia="Times New Roman" w:hAnsi="Arial" w:cs="Arial"/>
          <w:bCs/>
          <w:i/>
          <w:color w:val="000000"/>
          <w:sz w:val="24"/>
          <w:szCs w:val="24"/>
        </w:rPr>
        <w:t>a</w:t>
      </w:r>
      <w:r w:rsidR="00EB168F" w:rsidRPr="00AC20D3">
        <w:rPr>
          <w:rFonts w:ascii="Arial" w:eastAsia="Times New Roman" w:hAnsi="Arial" w:cs="Arial"/>
          <w:bCs/>
          <w:i/>
          <w:color w:val="000000"/>
          <w:sz w:val="24"/>
          <w:szCs w:val="24"/>
        </w:rPr>
        <w:t>b</w:t>
      </w:r>
      <w:r w:rsidR="00AC580E" w:rsidRPr="00AC20D3">
        <w:rPr>
          <w:rFonts w:ascii="Arial" w:eastAsia="Times New Roman" w:hAnsi="Arial" w:cs="Arial"/>
          <w:bCs/>
          <w:i/>
          <w:color w:val="000000"/>
          <w:sz w:val="24"/>
          <w:szCs w:val="24"/>
        </w:rPr>
        <w:t xml:space="preserve"> initio</w:t>
      </w:r>
      <w:r w:rsidR="00AC580E">
        <w:rPr>
          <w:rFonts w:ascii="Arial" w:eastAsia="Times New Roman" w:hAnsi="Arial" w:cs="Arial"/>
          <w:bCs/>
          <w:color w:val="000000"/>
          <w:sz w:val="24"/>
          <w:szCs w:val="24"/>
        </w:rPr>
        <w:t xml:space="preserve">. The applicant also seeks an order that the subsequent registration of transfer of ownership of the </w:t>
      </w:r>
      <w:r w:rsidR="008A0B65">
        <w:rPr>
          <w:rFonts w:ascii="Arial" w:eastAsia="Times New Roman" w:hAnsi="Arial" w:cs="Arial"/>
          <w:bCs/>
          <w:color w:val="000000"/>
          <w:sz w:val="24"/>
          <w:szCs w:val="24"/>
        </w:rPr>
        <w:t>property in</w:t>
      </w:r>
      <w:r w:rsidR="00AC580E">
        <w:rPr>
          <w:rFonts w:ascii="Arial" w:eastAsia="Times New Roman" w:hAnsi="Arial" w:cs="Arial"/>
          <w:bCs/>
          <w:color w:val="000000"/>
          <w:sz w:val="24"/>
          <w:szCs w:val="24"/>
        </w:rPr>
        <w:t xml:space="preserve">to the names of the first respondent </w:t>
      </w:r>
      <w:r w:rsidR="008A0B65">
        <w:rPr>
          <w:rFonts w:ascii="Arial" w:eastAsia="Times New Roman" w:hAnsi="Arial" w:cs="Arial"/>
          <w:bCs/>
          <w:color w:val="000000"/>
          <w:sz w:val="24"/>
          <w:szCs w:val="24"/>
        </w:rPr>
        <w:t xml:space="preserve">by the third respondent </w:t>
      </w:r>
      <w:r w:rsidR="00800B64">
        <w:rPr>
          <w:rFonts w:ascii="Arial" w:eastAsia="Times New Roman" w:hAnsi="Arial" w:cs="Arial"/>
          <w:bCs/>
          <w:color w:val="000000"/>
          <w:sz w:val="24"/>
          <w:szCs w:val="24"/>
        </w:rPr>
        <w:t xml:space="preserve">is </w:t>
      </w:r>
      <w:r w:rsidR="008A0B65">
        <w:rPr>
          <w:rFonts w:ascii="Arial" w:eastAsia="Times New Roman" w:hAnsi="Arial" w:cs="Arial"/>
          <w:bCs/>
          <w:color w:val="000000"/>
          <w:sz w:val="24"/>
          <w:szCs w:val="24"/>
        </w:rPr>
        <w:t xml:space="preserve">declared null and void </w:t>
      </w:r>
      <w:r w:rsidR="008A0B65" w:rsidRPr="00912178">
        <w:rPr>
          <w:rFonts w:ascii="Arial" w:eastAsia="Times New Roman" w:hAnsi="Arial" w:cs="Arial"/>
          <w:bCs/>
          <w:i/>
          <w:color w:val="000000"/>
          <w:sz w:val="24"/>
          <w:szCs w:val="24"/>
        </w:rPr>
        <w:t>ab initio</w:t>
      </w:r>
      <w:r w:rsidR="008A0B65">
        <w:rPr>
          <w:rFonts w:ascii="Arial" w:eastAsia="Times New Roman" w:hAnsi="Arial" w:cs="Arial"/>
          <w:bCs/>
          <w:color w:val="000000"/>
          <w:sz w:val="24"/>
          <w:szCs w:val="24"/>
        </w:rPr>
        <w:t>. I</w:t>
      </w:r>
      <w:r w:rsidR="00AC20D3">
        <w:rPr>
          <w:rFonts w:ascii="Arial" w:eastAsia="Times New Roman" w:hAnsi="Arial" w:cs="Arial"/>
          <w:bCs/>
          <w:color w:val="000000"/>
          <w:sz w:val="24"/>
          <w:szCs w:val="24"/>
        </w:rPr>
        <w:t>n</w:t>
      </w:r>
      <w:r w:rsidR="008A0B65">
        <w:rPr>
          <w:rFonts w:ascii="Arial" w:eastAsia="Times New Roman" w:hAnsi="Arial" w:cs="Arial"/>
          <w:bCs/>
          <w:color w:val="000000"/>
          <w:sz w:val="24"/>
          <w:szCs w:val="24"/>
        </w:rPr>
        <w:t xml:space="preserve"> addition</w:t>
      </w:r>
      <w:r w:rsidR="00EB168F">
        <w:rPr>
          <w:rFonts w:ascii="Arial" w:eastAsia="Times New Roman" w:hAnsi="Arial" w:cs="Arial"/>
          <w:bCs/>
          <w:color w:val="000000"/>
          <w:sz w:val="24"/>
          <w:szCs w:val="24"/>
        </w:rPr>
        <w:t>,</w:t>
      </w:r>
      <w:r w:rsidR="008A0B65">
        <w:rPr>
          <w:rFonts w:ascii="Arial" w:eastAsia="Times New Roman" w:hAnsi="Arial" w:cs="Arial"/>
          <w:bCs/>
          <w:color w:val="000000"/>
          <w:sz w:val="24"/>
          <w:szCs w:val="24"/>
        </w:rPr>
        <w:t xml:space="preserve"> the applicant seeks an order directing the third respondent to deregister such registration of transfer of ownership of the property from the name of the first respondent into the name of the second</w:t>
      </w:r>
      <w:r w:rsidR="00AC20D3">
        <w:rPr>
          <w:rFonts w:ascii="Arial" w:eastAsia="Times New Roman" w:hAnsi="Arial" w:cs="Arial"/>
          <w:bCs/>
          <w:color w:val="000000"/>
          <w:sz w:val="24"/>
          <w:szCs w:val="24"/>
        </w:rPr>
        <w:t xml:space="preserve"> respondent in accordance with </w:t>
      </w:r>
      <w:r w:rsidR="008A0B65">
        <w:rPr>
          <w:rFonts w:ascii="Arial" w:eastAsia="Times New Roman" w:hAnsi="Arial" w:cs="Arial"/>
          <w:bCs/>
          <w:color w:val="000000"/>
          <w:sz w:val="24"/>
          <w:szCs w:val="24"/>
        </w:rPr>
        <w:t>th</w:t>
      </w:r>
      <w:r w:rsidR="00AC20D3">
        <w:rPr>
          <w:rFonts w:ascii="Arial" w:eastAsia="Times New Roman" w:hAnsi="Arial" w:cs="Arial"/>
          <w:bCs/>
          <w:color w:val="000000"/>
          <w:sz w:val="24"/>
          <w:szCs w:val="24"/>
        </w:rPr>
        <w:t>e</w:t>
      </w:r>
      <w:r w:rsidR="008A0B65">
        <w:rPr>
          <w:rFonts w:ascii="Arial" w:eastAsia="Times New Roman" w:hAnsi="Arial" w:cs="Arial"/>
          <w:bCs/>
          <w:color w:val="000000"/>
          <w:sz w:val="24"/>
          <w:szCs w:val="24"/>
        </w:rPr>
        <w:t xml:space="preserve"> provisions of the Deed</w:t>
      </w:r>
      <w:r w:rsidR="00912178">
        <w:rPr>
          <w:rFonts w:ascii="Arial" w:eastAsia="Times New Roman" w:hAnsi="Arial" w:cs="Arial"/>
          <w:bCs/>
          <w:color w:val="000000"/>
          <w:sz w:val="24"/>
          <w:szCs w:val="24"/>
        </w:rPr>
        <w:t>s</w:t>
      </w:r>
      <w:r w:rsidR="008A0B65">
        <w:rPr>
          <w:rFonts w:ascii="Arial" w:eastAsia="Times New Roman" w:hAnsi="Arial" w:cs="Arial"/>
          <w:bCs/>
          <w:color w:val="000000"/>
          <w:sz w:val="24"/>
          <w:szCs w:val="24"/>
        </w:rPr>
        <w:t xml:space="preserve"> Registry Act 47 of 1937. </w:t>
      </w:r>
    </w:p>
    <w:p w:rsidR="00B0579D" w:rsidRDefault="00B0579D" w:rsidP="00AC580E">
      <w:pPr>
        <w:spacing w:after="0" w:line="480" w:lineRule="auto"/>
        <w:jc w:val="both"/>
        <w:rPr>
          <w:rFonts w:ascii="Arial" w:eastAsia="Times New Roman" w:hAnsi="Arial" w:cs="Arial"/>
          <w:bCs/>
          <w:color w:val="000000"/>
          <w:sz w:val="24"/>
          <w:szCs w:val="24"/>
        </w:rPr>
      </w:pPr>
    </w:p>
    <w:p w:rsidR="00B0579D" w:rsidRPr="00910329" w:rsidRDefault="00B0579D" w:rsidP="00AC580E">
      <w:pPr>
        <w:spacing w:after="0" w:line="480" w:lineRule="auto"/>
        <w:jc w:val="both"/>
        <w:rPr>
          <w:rFonts w:ascii="Arial" w:eastAsia="Times New Roman" w:hAnsi="Arial" w:cs="Arial"/>
          <w:b/>
          <w:bCs/>
          <w:color w:val="000000"/>
          <w:sz w:val="24"/>
          <w:szCs w:val="24"/>
        </w:rPr>
      </w:pPr>
      <w:r w:rsidRPr="00910329">
        <w:rPr>
          <w:rFonts w:ascii="Arial" w:eastAsia="Times New Roman" w:hAnsi="Arial" w:cs="Arial"/>
          <w:b/>
          <w:bCs/>
          <w:color w:val="000000"/>
          <w:sz w:val="24"/>
          <w:szCs w:val="24"/>
        </w:rPr>
        <w:t>FACTUAL BACKGRO</w:t>
      </w:r>
      <w:r w:rsidR="00800B64">
        <w:rPr>
          <w:rFonts w:ascii="Arial" w:eastAsia="Times New Roman" w:hAnsi="Arial" w:cs="Arial"/>
          <w:b/>
          <w:bCs/>
          <w:color w:val="000000"/>
          <w:sz w:val="24"/>
          <w:szCs w:val="24"/>
        </w:rPr>
        <w:t>U</w:t>
      </w:r>
      <w:r w:rsidRPr="00910329">
        <w:rPr>
          <w:rFonts w:ascii="Arial" w:eastAsia="Times New Roman" w:hAnsi="Arial" w:cs="Arial"/>
          <w:b/>
          <w:bCs/>
          <w:color w:val="000000"/>
          <w:sz w:val="24"/>
          <w:szCs w:val="24"/>
        </w:rPr>
        <w:t xml:space="preserve">ND </w:t>
      </w:r>
    </w:p>
    <w:p w:rsidR="00B0579D" w:rsidRDefault="00B0579D" w:rsidP="00AC580E">
      <w:pPr>
        <w:spacing w:after="0" w:line="480" w:lineRule="auto"/>
        <w:jc w:val="both"/>
        <w:rPr>
          <w:rFonts w:ascii="Arial" w:eastAsia="Times New Roman" w:hAnsi="Arial" w:cs="Arial"/>
          <w:bCs/>
          <w:color w:val="000000"/>
          <w:sz w:val="24"/>
          <w:szCs w:val="24"/>
        </w:rPr>
      </w:pPr>
    </w:p>
    <w:p w:rsidR="00740975" w:rsidRDefault="00740975" w:rsidP="009601D3">
      <w:pPr>
        <w:spacing w:after="0" w:line="48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[2]</w:t>
      </w:r>
      <w:r>
        <w:rPr>
          <w:rFonts w:ascii="Arial" w:eastAsia="Times New Roman" w:hAnsi="Arial" w:cs="Arial"/>
          <w:bCs/>
          <w:color w:val="000000"/>
          <w:sz w:val="24"/>
          <w:szCs w:val="24"/>
        </w:rPr>
        <w:tab/>
      </w:r>
      <w:r w:rsidR="00B0579D">
        <w:rPr>
          <w:rFonts w:ascii="Arial" w:eastAsia="Times New Roman" w:hAnsi="Arial" w:cs="Arial"/>
          <w:bCs/>
          <w:color w:val="000000"/>
          <w:sz w:val="24"/>
          <w:szCs w:val="24"/>
        </w:rPr>
        <w:t xml:space="preserve">The </w:t>
      </w:r>
      <w:r w:rsidR="00DE1EDD">
        <w:rPr>
          <w:rFonts w:ascii="Arial" w:eastAsia="Times New Roman" w:hAnsi="Arial" w:cs="Arial"/>
          <w:bCs/>
          <w:color w:val="000000"/>
          <w:sz w:val="24"/>
          <w:szCs w:val="24"/>
        </w:rPr>
        <w:t xml:space="preserve">facts giving rise to this case can be summarised briefly as follows: The </w:t>
      </w:r>
      <w:r w:rsidR="00B0579D">
        <w:rPr>
          <w:rFonts w:ascii="Arial" w:eastAsia="Times New Roman" w:hAnsi="Arial" w:cs="Arial"/>
          <w:bCs/>
          <w:color w:val="000000"/>
          <w:sz w:val="24"/>
          <w:szCs w:val="24"/>
        </w:rPr>
        <w:t>appl</w:t>
      </w:r>
      <w:r w:rsidR="00AC20D3">
        <w:rPr>
          <w:rFonts w:ascii="Arial" w:eastAsia="Times New Roman" w:hAnsi="Arial" w:cs="Arial"/>
          <w:bCs/>
          <w:color w:val="000000"/>
          <w:sz w:val="24"/>
          <w:szCs w:val="24"/>
        </w:rPr>
        <w:t xml:space="preserve">icant and the second respondent, </w:t>
      </w:r>
      <w:r w:rsidR="00800B64">
        <w:rPr>
          <w:rFonts w:ascii="Arial" w:eastAsia="Times New Roman" w:hAnsi="Arial" w:cs="Arial"/>
          <w:bCs/>
          <w:color w:val="000000"/>
          <w:sz w:val="24"/>
          <w:szCs w:val="24"/>
        </w:rPr>
        <w:t xml:space="preserve">her </w:t>
      </w:r>
      <w:r w:rsidR="00AC20D3">
        <w:rPr>
          <w:rFonts w:ascii="Arial" w:eastAsia="Times New Roman" w:hAnsi="Arial" w:cs="Arial"/>
          <w:bCs/>
          <w:color w:val="000000"/>
          <w:sz w:val="24"/>
          <w:szCs w:val="24"/>
        </w:rPr>
        <w:t>husband</w:t>
      </w:r>
      <w:r w:rsidR="00800B64">
        <w:rPr>
          <w:rFonts w:ascii="Arial" w:eastAsia="Times New Roman" w:hAnsi="Arial" w:cs="Arial"/>
          <w:bCs/>
          <w:color w:val="000000"/>
          <w:sz w:val="24"/>
          <w:szCs w:val="24"/>
        </w:rPr>
        <w:t>,</w:t>
      </w:r>
      <w:r w:rsidR="00AC20D3">
        <w:rPr>
          <w:rFonts w:ascii="Arial" w:eastAsia="Times New Roman" w:hAnsi="Arial" w:cs="Arial"/>
          <w:bCs/>
          <w:color w:val="000000"/>
          <w:sz w:val="24"/>
          <w:szCs w:val="24"/>
        </w:rPr>
        <w:t xml:space="preserve"> </w:t>
      </w:r>
      <w:r w:rsidR="00B0579D">
        <w:rPr>
          <w:rFonts w:ascii="Arial" w:eastAsia="Times New Roman" w:hAnsi="Arial" w:cs="Arial"/>
          <w:bCs/>
          <w:color w:val="000000"/>
          <w:sz w:val="24"/>
          <w:szCs w:val="24"/>
        </w:rPr>
        <w:t>were allegedly married by customary union in 1980. Five major children were born out of their marriage. On 10 July 2010, unbeknown to the applicant</w:t>
      </w:r>
      <w:r w:rsidR="00800B64">
        <w:rPr>
          <w:rFonts w:ascii="Arial" w:eastAsia="Times New Roman" w:hAnsi="Arial" w:cs="Arial"/>
          <w:bCs/>
          <w:color w:val="000000"/>
          <w:sz w:val="24"/>
          <w:szCs w:val="24"/>
        </w:rPr>
        <w:t>,</w:t>
      </w:r>
      <w:r w:rsidR="00B0579D">
        <w:rPr>
          <w:rFonts w:ascii="Arial" w:eastAsia="Times New Roman" w:hAnsi="Arial" w:cs="Arial"/>
          <w:bCs/>
          <w:color w:val="000000"/>
          <w:sz w:val="24"/>
          <w:szCs w:val="24"/>
        </w:rPr>
        <w:t xml:space="preserve"> the first respondent and </w:t>
      </w:r>
      <w:r w:rsidR="00910329">
        <w:rPr>
          <w:rFonts w:ascii="Arial" w:eastAsia="Times New Roman" w:hAnsi="Arial" w:cs="Arial"/>
          <w:bCs/>
          <w:color w:val="000000"/>
          <w:sz w:val="24"/>
          <w:szCs w:val="24"/>
        </w:rPr>
        <w:t xml:space="preserve">the second respondent (applicant’s husband) concluded an agreement of sale in respect of an immovable property known as Erf </w:t>
      </w:r>
      <w:r w:rsidR="000C302E">
        <w:rPr>
          <w:rFonts w:ascii="Arial" w:eastAsia="Times New Roman" w:hAnsi="Arial" w:cs="Arial"/>
          <w:bCs/>
          <w:color w:val="000000"/>
          <w:sz w:val="24"/>
          <w:szCs w:val="24"/>
        </w:rPr>
        <w:t>[…]</w:t>
      </w:r>
      <w:r w:rsidR="00AC20D3">
        <w:rPr>
          <w:rFonts w:ascii="Arial" w:eastAsia="Times New Roman" w:hAnsi="Arial" w:cs="Arial"/>
          <w:bCs/>
          <w:color w:val="000000"/>
          <w:sz w:val="24"/>
          <w:szCs w:val="24"/>
        </w:rPr>
        <w:t xml:space="preserve"> </w:t>
      </w:r>
      <w:proofErr w:type="spellStart"/>
      <w:r w:rsidR="00DE1EDD">
        <w:rPr>
          <w:rFonts w:ascii="Arial" w:eastAsia="Times New Roman" w:hAnsi="Arial" w:cs="Arial"/>
          <w:bCs/>
          <w:color w:val="000000"/>
          <w:sz w:val="24"/>
          <w:szCs w:val="24"/>
        </w:rPr>
        <w:t>Khayelitsha</w:t>
      </w:r>
      <w:proofErr w:type="spellEnd"/>
      <w:r w:rsidR="00DE1EDD">
        <w:rPr>
          <w:rFonts w:ascii="Arial" w:eastAsia="Times New Roman" w:hAnsi="Arial" w:cs="Arial"/>
          <w:bCs/>
          <w:color w:val="000000"/>
          <w:sz w:val="24"/>
          <w:szCs w:val="24"/>
        </w:rPr>
        <w:t xml:space="preserve">, situated in Cape Town for the sum of R84 000. </w:t>
      </w:r>
      <w:r w:rsidR="00800B64" w:rsidRPr="00800B64">
        <w:rPr>
          <w:rFonts w:ascii="Arial" w:eastAsia="Times New Roman" w:hAnsi="Arial" w:cs="Arial"/>
          <w:bCs/>
          <w:color w:val="000000"/>
          <w:sz w:val="24"/>
          <w:szCs w:val="24"/>
        </w:rPr>
        <w:t>The applicant was unaware of the sale, and she did not consent to the sale of this property as envisaged in section 15 of the Matrimonial Property Act 88 of 1984 ("the MPA")</w:t>
      </w:r>
      <w:r w:rsidR="00800B64">
        <w:rPr>
          <w:rFonts w:ascii="Arial" w:eastAsia="Times New Roman" w:hAnsi="Arial" w:cs="Arial"/>
          <w:bCs/>
          <w:color w:val="000000"/>
          <w:sz w:val="24"/>
          <w:szCs w:val="24"/>
        </w:rPr>
        <w:t xml:space="preserve">. </w:t>
      </w:r>
      <w:r w:rsidR="00800B64" w:rsidRPr="00800B64">
        <w:rPr>
          <w:rFonts w:ascii="Arial" w:eastAsia="Times New Roman" w:hAnsi="Arial" w:cs="Arial"/>
          <w:bCs/>
          <w:color w:val="000000"/>
          <w:sz w:val="24"/>
          <w:szCs w:val="24"/>
        </w:rPr>
        <w:t xml:space="preserve">The applicant learnt of the sale </w:t>
      </w:r>
      <w:r w:rsidR="004657FD">
        <w:rPr>
          <w:rFonts w:ascii="Arial" w:eastAsia="Times New Roman" w:hAnsi="Arial" w:cs="Arial"/>
          <w:bCs/>
          <w:color w:val="000000"/>
          <w:sz w:val="24"/>
          <w:szCs w:val="24"/>
        </w:rPr>
        <w:t xml:space="preserve">later </w:t>
      </w:r>
      <w:r w:rsidR="00800B64" w:rsidRPr="00800B64">
        <w:rPr>
          <w:rFonts w:ascii="Arial" w:eastAsia="Times New Roman" w:hAnsi="Arial" w:cs="Arial"/>
          <w:bCs/>
          <w:color w:val="000000"/>
          <w:sz w:val="24"/>
          <w:szCs w:val="24"/>
        </w:rPr>
        <w:t xml:space="preserve">in 2010 after receiving a call from her son, </w:t>
      </w:r>
      <w:proofErr w:type="gramStart"/>
      <w:r w:rsidR="00800B64" w:rsidRPr="00800B64">
        <w:rPr>
          <w:rFonts w:ascii="Arial" w:eastAsia="Times New Roman" w:hAnsi="Arial" w:cs="Arial"/>
          <w:bCs/>
          <w:color w:val="000000"/>
          <w:sz w:val="24"/>
          <w:szCs w:val="24"/>
        </w:rPr>
        <w:t>S</w:t>
      </w:r>
      <w:r w:rsidR="002C4BA4">
        <w:rPr>
          <w:rFonts w:ascii="Arial" w:eastAsia="Times New Roman" w:hAnsi="Arial" w:cs="Arial"/>
          <w:bCs/>
          <w:color w:val="000000"/>
          <w:sz w:val="24"/>
          <w:szCs w:val="24"/>
        </w:rPr>
        <w:t>[</w:t>
      </w:r>
      <w:proofErr w:type="gramEnd"/>
      <w:r w:rsidR="002C4BA4">
        <w:rPr>
          <w:rFonts w:ascii="Arial" w:eastAsia="Times New Roman" w:hAnsi="Arial" w:cs="Arial"/>
          <w:bCs/>
          <w:color w:val="000000"/>
          <w:sz w:val="24"/>
          <w:szCs w:val="24"/>
        </w:rPr>
        <w:t>…]</w:t>
      </w:r>
      <w:r w:rsidR="00800B64" w:rsidRPr="00800B64">
        <w:rPr>
          <w:rFonts w:ascii="Arial" w:eastAsia="Times New Roman" w:hAnsi="Arial" w:cs="Arial"/>
          <w:bCs/>
          <w:color w:val="000000"/>
          <w:sz w:val="24"/>
          <w:szCs w:val="24"/>
        </w:rPr>
        <w:t xml:space="preserve"> M</w:t>
      </w:r>
      <w:r w:rsidR="002C4BA4">
        <w:rPr>
          <w:rFonts w:ascii="Arial" w:eastAsia="Times New Roman" w:hAnsi="Arial" w:cs="Arial"/>
          <w:bCs/>
          <w:color w:val="000000"/>
          <w:sz w:val="24"/>
          <w:szCs w:val="24"/>
        </w:rPr>
        <w:t>[…]</w:t>
      </w:r>
      <w:r w:rsidR="00800B64">
        <w:rPr>
          <w:rFonts w:ascii="Arial" w:eastAsia="Times New Roman" w:hAnsi="Arial" w:cs="Arial"/>
          <w:bCs/>
          <w:color w:val="000000"/>
          <w:sz w:val="24"/>
          <w:szCs w:val="24"/>
        </w:rPr>
        <w:t>,</w:t>
      </w:r>
      <w:r w:rsidR="00800B64" w:rsidRPr="00800B64">
        <w:rPr>
          <w:rFonts w:ascii="Arial" w:eastAsia="Times New Roman" w:hAnsi="Arial" w:cs="Arial"/>
          <w:bCs/>
          <w:color w:val="000000"/>
          <w:sz w:val="24"/>
          <w:szCs w:val="24"/>
        </w:rPr>
        <w:t xml:space="preserve"> advising that the first respondent demanded that they vacate the property in question because she is the owner thereof.</w:t>
      </w:r>
      <w:r w:rsidR="00CD73AE">
        <w:rPr>
          <w:rFonts w:ascii="Arial" w:eastAsia="Times New Roman" w:hAnsi="Arial" w:cs="Arial"/>
          <w:bCs/>
          <w:color w:val="000000"/>
          <w:sz w:val="24"/>
          <w:szCs w:val="24"/>
        </w:rPr>
        <w:t xml:space="preserve"> </w:t>
      </w:r>
      <w:r w:rsidR="00DE1EDD">
        <w:rPr>
          <w:rFonts w:ascii="Arial" w:eastAsia="Times New Roman" w:hAnsi="Arial" w:cs="Arial"/>
          <w:bCs/>
          <w:color w:val="000000"/>
          <w:sz w:val="24"/>
          <w:szCs w:val="24"/>
        </w:rPr>
        <w:t>At that time</w:t>
      </w:r>
      <w:r w:rsidR="008A2A71">
        <w:rPr>
          <w:rFonts w:ascii="Arial" w:eastAsia="Times New Roman" w:hAnsi="Arial" w:cs="Arial"/>
          <w:bCs/>
          <w:color w:val="000000"/>
          <w:sz w:val="24"/>
          <w:szCs w:val="24"/>
        </w:rPr>
        <w:t>,</w:t>
      </w:r>
      <w:r w:rsidR="00DE1EDD">
        <w:rPr>
          <w:rFonts w:ascii="Arial" w:eastAsia="Times New Roman" w:hAnsi="Arial" w:cs="Arial"/>
          <w:bCs/>
          <w:color w:val="000000"/>
          <w:sz w:val="24"/>
          <w:szCs w:val="24"/>
        </w:rPr>
        <w:t xml:space="preserve"> the applicant was in the Eastern Ca</w:t>
      </w:r>
      <w:r w:rsidR="008A2A71">
        <w:rPr>
          <w:rFonts w:ascii="Arial" w:eastAsia="Times New Roman" w:hAnsi="Arial" w:cs="Arial"/>
          <w:bCs/>
          <w:color w:val="000000"/>
          <w:sz w:val="24"/>
          <w:szCs w:val="24"/>
        </w:rPr>
        <w:t>pe. She then travelled to Cape T</w:t>
      </w:r>
      <w:r w:rsidR="00DE1EDD">
        <w:rPr>
          <w:rFonts w:ascii="Arial" w:eastAsia="Times New Roman" w:hAnsi="Arial" w:cs="Arial"/>
          <w:bCs/>
          <w:color w:val="000000"/>
          <w:sz w:val="24"/>
          <w:szCs w:val="24"/>
        </w:rPr>
        <w:t xml:space="preserve">own </w:t>
      </w:r>
      <w:r>
        <w:rPr>
          <w:rFonts w:ascii="Arial" w:eastAsia="Times New Roman" w:hAnsi="Arial" w:cs="Arial"/>
          <w:bCs/>
          <w:color w:val="000000"/>
          <w:sz w:val="24"/>
          <w:szCs w:val="24"/>
        </w:rPr>
        <w:t>to</w:t>
      </w:r>
      <w:r w:rsidR="00DE1EDD">
        <w:rPr>
          <w:rFonts w:ascii="Arial" w:eastAsia="Times New Roman" w:hAnsi="Arial" w:cs="Arial"/>
          <w:bCs/>
          <w:color w:val="000000"/>
          <w:sz w:val="24"/>
          <w:szCs w:val="24"/>
        </w:rPr>
        <w:t xml:space="preserve"> attend to this problem. </w:t>
      </w:r>
      <w:r w:rsidR="00DE1EDD">
        <w:rPr>
          <w:rFonts w:ascii="Arial" w:eastAsia="Times New Roman" w:hAnsi="Arial" w:cs="Arial"/>
          <w:bCs/>
          <w:color w:val="000000"/>
          <w:sz w:val="24"/>
          <w:szCs w:val="24"/>
        </w:rPr>
        <w:lastRenderedPageBreak/>
        <w:t xml:space="preserve">Upon her arrival, she sought the assistance of the </w:t>
      </w:r>
      <w:r w:rsidR="004657FD">
        <w:rPr>
          <w:rFonts w:ascii="Arial" w:eastAsia="Times New Roman" w:hAnsi="Arial" w:cs="Arial"/>
          <w:bCs/>
          <w:color w:val="000000"/>
          <w:sz w:val="24"/>
          <w:szCs w:val="24"/>
        </w:rPr>
        <w:t>s</w:t>
      </w:r>
      <w:r w:rsidR="00DE1EDD">
        <w:rPr>
          <w:rFonts w:ascii="Arial" w:eastAsia="Times New Roman" w:hAnsi="Arial" w:cs="Arial"/>
          <w:bCs/>
          <w:color w:val="000000"/>
          <w:sz w:val="24"/>
          <w:szCs w:val="24"/>
        </w:rPr>
        <w:t xml:space="preserve">treet </w:t>
      </w:r>
      <w:r w:rsidR="004657FD">
        <w:rPr>
          <w:rFonts w:ascii="Arial" w:eastAsia="Times New Roman" w:hAnsi="Arial" w:cs="Arial"/>
          <w:bCs/>
          <w:color w:val="000000"/>
          <w:sz w:val="24"/>
          <w:szCs w:val="24"/>
        </w:rPr>
        <w:t>c</w:t>
      </w:r>
      <w:r w:rsidR="00EB168F">
        <w:rPr>
          <w:rFonts w:ascii="Arial" w:eastAsia="Times New Roman" w:hAnsi="Arial" w:cs="Arial"/>
          <w:bCs/>
          <w:color w:val="000000"/>
          <w:sz w:val="24"/>
          <w:szCs w:val="24"/>
        </w:rPr>
        <w:t>ommittee</w:t>
      </w:r>
      <w:r w:rsidR="008A2A71">
        <w:rPr>
          <w:rFonts w:ascii="Arial" w:eastAsia="Times New Roman" w:hAnsi="Arial" w:cs="Arial"/>
          <w:bCs/>
          <w:color w:val="000000"/>
          <w:sz w:val="24"/>
          <w:szCs w:val="24"/>
        </w:rPr>
        <w:t xml:space="preserve"> members</w:t>
      </w:r>
      <w:r w:rsidR="00EB168F">
        <w:rPr>
          <w:rFonts w:ascii="Arial" w:eastAsia="Times New Roman" w:hAnsi="Arial" w:cs="Arial"/>
          <w:bCs/>
          <w:color w:val="000000"/>
          <w:sz w:val="24"/>
          <w:szCs w:val="24"/>
        </w:rPr>
        <w:t>,</w:t>
      </w:r>
      <w:r w:rsidR="00DE1EDD">
        <w:rPr>
          <w:rFonts w:ascii="Arial" w:eastAsia="Times New Roman" w:hAnsi="Arial" w:cs="Arial"/>
          <w:bCs/>
          <w:color w:val="000000"/>
          <w:sz w:val="24"/>
          <w:szCs w:val="24"/>
        </w:rPr>
        <w:t xml:space="preserve"> but their intervention drew a blank. </w:t>
      </w:r>
    </w:p>
    <w:p w:rsidR="00740975" w:rsidRDefault="00740975" w:rsidP="009601D3">
      <w:pPr>
        <w:spacing w:after="0" w:line="480" w:lineRule="auto"/>
        <w:jc w:val="both"/>
        <w:rPr>
          <w:rFonts w:ascii="Arial" w:eastAsia="Times New Roman" w:hAnsi="Arial" w:cs="Arial"/>
          <w:bCs/>
          <w:color w:val="000000"/>
          <w:sz w:val="24"/>
          <w:szCs w:val="24"/>
        </w:rPr>
      </w:pPr>
    </w:p>
    <w:p w:rsidR="00DF00DB" w:rsidRDefault="00DF00DB" w:rsidP="009601D3">
      <w:pPr>
        <w:spacing w:after="0" w:line="48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[3]</w:t>
      </w:r>
      <w:r>
        <w:rPr>
          <w:rFonts w:ascii="Arial" w:eastAsia="Times New Roman" w:hAnsi="Arial" w:cs="Arial"/>
          <w:bCs/>
          <w:color w:val="000000"/>
          <w:sz w:val="24"/>
          <w:szCs w:val="24"/>
        </w:rPr>
        <w:tab/>
      </w:r>
      <w:r w:rsidR="00455B69" w:rsidRPr="00455B69">
        <w:rPr>
          <w:rFonts w:ascii="Arial" w:eastAsia="Times New Roman" w:hAnsi="Arial" w:cs="Arial"/>
          <w:bCs/>
          <w:color w:val="000000"/>
          <w:sz w:val="24"/>
          <w:szCs w:val="24"/>
        </w:rPr>
        <w:t>Subsequently, the applicant approached the Minister of Children and People with disability</w:t>
      </w:r>
      <w:r w:rsidR="00E367D3">
        <w:rPr>
          <w:rFonts w:ascii="Arial" w:eastAsia="Times New Roman" w:hAnsi="Arial" w:cs="Arial"/>
          <w:bCs/>
          <w:color w:val="000000"/>
          <w:sz w:val="24"/>
          <w:szCs w:val="24"/>
        </w:rPr>
        <w:t>,</w:t>
      </w:r>
      <w:r w:rsidR="00455B69">
        <w:rPr>
          <w:rFonts w:ascii="Arial" w:eastAsia="Times New Roman" w:hAnsi="Arial" w:cs="Arial"/>
          <w:bCs/>
          <w:color w:val="000000"/>
          <w:sz w:val="24"/>
          <w:szCs w:val="24"/>
        </w:rPr>
        <w:t xml:space="preserve"> who in turn </w:t>
      </w:r>
      <w:r w:rsidR="00455B69" w:rsidRPr="00455B69">
        <w:rPr>
          <w:rFonts w:ascii="Arial" w:eastAsia="Times New Roman" w:hAnsi="Arial" w:cs="Arial"/>
          <w:bCs/>
          <w:color w:val="000000"/>
          <w:sz w:val="24"/>
          <w:szCs w:val="24"/>
        </w:rPr>
        <w:t>referred the applicant to the Women's Legal Centre in Cape Town.</w:t>
      </w:r>
      <w:r w:rsidR="00790558">
        <w:rPr>
          <w:rFonts w:ascii="Arial" w:eastAsia="Times New Roman" w:hAnsi="Arial" w:cs="Arial"/>
          <w:bCs/>
          <w:color w:val="000000"/>
          <w:sz w:val="24"/>
          <w:szCs w:val="24"/>
        </w:rPr>
        <w:t xml:space="preserve"> The Women’s Legal Centre discussed the dispute </w:t>
      </w:r>
      <w:r w:rsidR="008A2A71">
        <w:rPr>
          <w:rFonts w:ascii="Arial" w:eastAsia="Times New Roman" w:hAnsi="Arial" w:cs="Arial"/>
          <w:bCs/>
          <w:color w:val="000000"/>
          <w:sz w:val="24"/>
          <w:szCs w:val="24"/>
        </w:rPr>
        <w:t>with the parties</w:t>
      </w:r>
      <w:r w:rsidR="00455B69">
        <w:rPr>
          <w:rFonts w:ascii="Arial" w:eastAsia="Times New Roman" w:hAnsi="Arial" w:cs="Arial"/>
          <w:bCs/>
          <w:color w:val="000000"/>
          <w:sz w:val="24"/>
          <w:szCs w:val="24"/>
        </w:rPr>
        <w:t>,</w:t>
      </w:r>
      <w:r w:rsidR="008A2A71">
        <w:rPr>
          <w:rFonts w:ascii="Arial" w:eastAsia="Times New Roman" w:hAnsi="Arial" w:cs="Arial"/>
          <w:bCs/>
          <w:color w:val="000000"/>
          <w:sz w:val="24"/>
          <w:szCs w:val="24"/>
        </w:rPr>
        <w:t xml:space="preserve"> and </w:t>
      </w:r>
      <w:r w:rsidR="00E367D3">
        <w:rPr>
          <w:rFonts w:ascii="Arial" w:eastAsia="Times New Roman" w:hAnsi="Arial" w:cs="Arial"/>
          <w:bCs/>
          <w:color w:val="000000"/>
          <w:sz w:val="24"/>
          <w:szCs w:val="24"/>
        </w:rPr>
        <w:t>the</w:t>
      </w:r>
      <w:r w:rsidR="008A2A71">
        <w:rPr>
          <w:rFonts w:ascii="Arial" w:eastAsia="Times New Roman" w:hAnsi="Arial" w:cs="Arial"/>
          <w:bCs/>
          <w:color w:val="000000"/>
          <w:sz w:val="24"/>
          <w:szCs w:val="24"/>
        </w:rPr>
        <w:t xml:space="preserve"> </w:t>
      </w:r>
      <w:r w:rsidR="00790558">
        <w:rPr>
          <w:rFonts w:ascii="Arial" w:eastAsia="Times New Roman" w:hAnsi="Arial" w:cs="Arial"/>
          <w:bCs/>
          <w:color w:val="000000"/>
          <w:sz w:val="24"/>
          <w:szCs w:val="24"/>
        </w:rPr>
        <w:t>decision that wa</w:t>
      </w:r>
      <w:r w:rsidR="008A2A71">
        <w:rPr>
          <w:rFonts w:ascii="Arial" w:eastAsia="Times New Roman" w:hAnsi="Arial" w:cs="Arial"/>
          <w:bCs/>
          <w:color w:val="000000"/>
          <w:sz w:val="24"/>
          <w:szCs w:val="24"/>
        </w:rPr>
        <w:t xml:space="preserve">s taken at this institution is being </w:t>
      </w:r>
      <w:r w:rsidR="00C43E9B">
        <w:rPr>
          <w:rFonts w:ascii="Arial" w:eastAsia="Times New Roman" w:hAnsi="Arial" w:cs="Arial"/>
          <w:bCs/>
          <w:color w:val="000000"/>
          <w:sz w:val="24"/>
          <w:szCs w:val="24"/>
        </w:rPr>
        <w:t>disputed</w:t>
      </w:r>
      <w:r w:rsidR="00790558">
        <w:rPr>
          <w:rFonts w:ascii="Arial" w:eastAsia="Times New Roman" w:hAnsi="Arial" w:cs="Arial"/>
          <w:bCs/>
          <w:color w:val="000000"/>
          <w:sz w:val="24"/>
          <w:szCs w:val="24"/>
        </w:rPr>
        <w:t>. According to the applicant</w:t>
      </w:r>
      <w:r w:rsidR="008A2A71">
        <w:rPr>
          <w:rFonts w:ascii="Arial" w:eastAsia="Times New Roman" w:hAnsi="Arial" w:cs="Arial"/>
          <w:bCs/>
          <w:color w:val="000000"/>
          <w:sz w:val="24"/>
          <w:szCs w:val="24"/>
        </w:rPr>
        <w:t>,</w:t>
      </w:r>
      <w:r w:rsidR="00790558">
        <w:rPr>
          <w:rFonts w:ascii="Arial" w:eastAsia="Times New Roman" w:hAnsi="Arial" w:cs="Arial"/>
          <w:bCs/>
          <w:color w:val="000000"/>
          <w:sz w:val="24"/>
          <w:szCs w:val="24"/>
        </w:rPr>
        <w:t xml:space="preserve"> the </w:t>
      </w:r>
      <w:r w:rsidR="008A2A71">
        <w:rPr>
          <w:rFonts w:ascii="Arial" w:eastAsia="Times New Roman" w:hAnsi="Arial" w:cs="Arial"/>
          <w:bCs/>
          <w:color w:val="000000"/>
          <w:sz w:val="24"/>
          <w:szCs w:val="24"/>
        </w:rPr>
        <w:t xml:space="preserve">Women’s Legal Centre </w:t>
      </w:r>
      <w:r w:rsidR="00790558">
        <w:rPr>
          <w:rFonts w:ascii="Arial" w:eastAsia="Times New Roman" w:hAnsi="Arial" w:cs="Arial"/>
          <w:bCs/>
          <w:color w:val="000000"/>
          <w:sz w:val="24"/>
          <w:szCs w:val="24"/>
        </w:rPr>
        <w:t xml:space="preserve">mediated </w:t>
      </w:r>
      <w:r w:rsidR="008A2A71">
        <w:rPr>
          <w:rFonts w:ascii="Arial" w:eastAsia="Times New Roman" w:hAnsi="Arial" w:cs="Arial"/>
          <w:bCs/>
          <w:color w:val="000000"/>
          <w:sz w:val="24"/>
          <w:szCs w:val="24"/>
        </w:rPr>
        <w:t xml:space="preserve">the </w:t>
      </w:r>
      <w:r w:rsidR="00455B69">
        <w:rPr>
          <w:rFonts w:ascii="Arial" w:eastAsia="Times New Roman" w:hAnsi="Arial" w:cs="Arial"/>
          <w:bCs/>
          <w:color w:val="000000"/>
          <w:sz w:val="24"/>
          <w:szCs w:val="24"/>
        </w:rPr>
        <w:t>conflict</w:t>
      </w:r>
      <w:r>
        <w:rPr>
          <w:rFonts w:ascii="Arial" w:eastAsia="Times New Roman" w:hAnsi="Arial" w:cs="Arial"/>
          <w:bCs/>
          <w:color w:val="000000"/>
          <w:sz w:val="24"/>
          <w:szCs w:val="24"/>
        </w:rPr>
        <w:t>,</w:t>
      </w:r>
      <w:r w:rsidR="008A2A71">
        <w:rPr>
          <w:rFonts w:ascii="Arial" w:eastAsia="Times New Roman" w:hAnsi="Arial" w:cs="Arial"/>
          <w:bCs/>
          <w:color w:val="000000"/>
          <w:sz w:val="24"/>
          <w:szCs w:val="24"/>
        </w:rPr>
        <w:t xml:space="preserve"> </w:t>
      </w:r>
      <w:r w:rsidR="00790558">
        <w:rPr>
          <w:rFonts w:ascii="Arial" w:eastAsia="Times New Roman" w:hAnsi="Arial" w:cs="Arial"/>
          <w:bCs/>
          <w:color w:val="000000"/>
          <w:sz w:val="24"/>
          <w:szCs w:val="24"/>
        </w:rPr>
        <w:t>and an agreement was reached</w:t>
      </w:r>
      <w:r w:rsidR="008A2A71">
        <w:rPr>
          <w:rFonts w:ascii="Arial" w:eastAsia="Times New Roman" w:hAnsi="Arial" w:cs="Arial"/>
          <w:bCs/>
          <w:color w:val="000000"/>
          <w:sz w:val="24"/>
          <w:szCs w:val="24"/>
        </w:rPr>
        <w:t xml:space="preserve"> </w:t>
      </w:r>
      <w:r w:rsidR="00790558">
        <w:rPr>
          <w:rFonts w:ascii="Arial" w:eastAsia="Times New Roman" w:hAnsi="Arial" w:cs="Arial"/>
          <w:bCs/>
          <w:color w:val="000000"/>
          <w:sz w:val="24"/>
          <w:szCs w:val="24"/>
        </w:rPr>
        <w:t xml:space="preserve">that </w:t>
      </w:r>
      <w:r w:rsidR="00C43E9B">
        <w:rPr>
          <w:rFonts w:ascii="Arial" w:eastAsia="Times New Roman" w:hAnsi="Arial" w:cs="Arial"/>
          <w:bCs/>
          <w:color w:val="000000"/>
          <w:sz w:val="24"/>
          <w:szCs w:val="24"/>
        </w:rPr>
        <w:t xml:space="preserve">the applicant would refund the first respondent </w:t>
      </w:r>
      <w:r w:rsidR="008A2A71">
        <w:rPr>
          <w:rFonts w:ascii="Arial" w:eastAsia="Times New Roman" w:hAnsi="Arial" w:cs="Arial"/>
          <w:bCs/>
          <w:color w:val="000000"/>
          <w:sz w:val="24"/>
          <w:szCs w:val="24"/>
        </w:rPr>
        <w:t xml:space="preserve">the purchase price </w:t>
      </w:r>
      <w:r w:rsidR="00C43E9B">
        <w:rPr>
          <w:rFonts w:ascii="Arial" w:eastAsia="Times New Roman" w:hAnsi="Arial" w:cs="Arial"/>
          <w:bCs/>
          <w:color w:val="000000"/>
          <w:sz w:val="24"/>
          <w:szCs w:val="24"/>
        </w:rPr>
        <w:t xml:space="preserve">and thereafter have the house transferred to her name. </w:t>
      </w:r>
      <w:r w:rsidR="00D2692D">
        <w:rPr>
          <w:rFonts w:ascii="Arial" w:eastAsia="Times New Roman" w:hAnsi="Arial" w:cs="Arial"/>
          <w:bCs/>
          <w:color w:val="000000"/>
          <w:sz w:val="24"/>
          <w:szCs w:val="24"/>
        </w:rPr>
        <w:t xml:space="preserve">The applicant’s application is supported by a confirmatory affidavit of Selina </w:t>
      </w:r>
      <w:proofErr w:type="spellStart"/>
      <w:r w:rsidR="00D2692D">
        <w:rPr>
          <w:rFonts w:ascii="Arial" w:eastAsia="Times New Roman" w:hAnsi="Arial" w:cs="Arial"/>
          <w:bCs/>
          <w:color w:val="000000"/>
          <w:sz w:val="24"/>
          <w:szCs w:val="24"/>
        </w:rPr>
        <w:t>Bhoto</w:t>
      </w:r>
      <w:proofErr w:type="spellEnd"/>
      <w:r w:rsidR="00D2692D">
        <w:rPr>
          <w:rFonts w:ascii="Arial" w:eastAsia="Times New Roman" w:hAnsi="Arial" w:cs="Arial"/>
          <w:bCs/>
          <w:color w:val="000000"/>
          <w:sz w:val="24"/>
          <w:szCs w:val="24"/>
        </w:rPr>
        <w:t xml:space="preserve"> a street committee member who asserted that at the street committee meeting</w:t>
      </w:r>
      <w:r w:rsidR="00455B69">
        <w:rPr>
          <w:rFonts w:ascii="Arial" w:eastAsia="Times New Roman" w:hAnsi="Arial" w:cs="Arial"/>
          <w:bCs/>
          <w:color w:val="000000"/>
          <w:sz w:val="24"/>
          <w:szCs w:val="24"/>
        </w:rPr>
        <w:t>,</w:t>
      </w:r>
      <w:r w:rsidR="00D2692D">
        <w:rPr>
          <w:rFonts w:ascii="Arial" w:eastAsia="Times New Roman" w:hAnsi="Arial" w:cs="Arial"/>
          <w:bCs/>
          <w:color w:val="000000"/>
          <w:sz w:val="24"/>
          <w:szCs w:val="24"/>
        </w:rPr>
        <w:t xml:space="preserve"> it was agreed that the applicant would refund the first respondent the purchase price of the property</w:t>
      </w:r>
      <w:r w:rsidR="00E367D3">
        <w:rPr>
          <w:rFonts w:ascii="Arial" w:eastAsia="Times New Roman" w:hAnsi="Arial" w:cs="Arial"/>
          <w:bCs/>
          <w:color w:val="000000"/>
          <w:sz w:val="24"/>
          <w:szCs w:val="24"/>
        </w:rPr>
        <w:t>. T</w:t>
      </w:r>
      <w:r w:rsidR="00D2692D">
        <w:rPr>
          <w:rFonts w:ascii="Arial" w:eastAsia="Times New Roman" w:hAnsi="Arial" w:cs="Arial"/>
          <w:bCs/>
          <w:color w:val="000000"/>
          <w:sz w:val="24"/>
          <w:szCs w:val="24"/>
        </w:rPr>
        <w:t>hereafter</w:t>
      </w:r>
      <w:r w:rsidR="00E367D3">
        <w:rPr>
          <w:rFonts w:ascii="Arial" w:eastAsia="Times New Roman" w:hAnsi="Arial" w:cs="Arial"/>
          <w:bCs/>
          <w:color w:val="000000"/>
          <w:sz w:val="24"/>
          <w:szCs w:val="24"/>
        </w:rPr>
        <w:t>,</w:t>
      </w:r>
      <w:r w:rsidR="00D2692D">
        <w:rPr>
          <w:rFonts w:ascii="Arial" w:eastAsia="Times New Roman" w:hAnsi="Arial" w:cs="Arial"/>
          <w:bCs/>
          <w:color w:val="000000"/>
          <w:sz w:val="24"/>
          <w:szCs w:val="24"/>
        </w:rPr>
        <w:t xml:space="preserve"> the house was </w:t>
      </w:r>
      <w:r w:rsidR="00912178">
        <w:rPr>
          <w:rFonts w:ascii="Arial" w:eastAsia="Times New Roman" w:hAnsi="Arial" w:cs="Arial"/>
          <w:bCs/>
          <w:color w:val="000000"/>
          <w:sz w:val="24"/>
          <w:szCs w:val="24"/>
        </w:rPr>
        <w:t>to be transferred into the name</w:t>
      </w:r>
      <w:r w:rsidR="00D2692D">
        <w:rPr>
          <w:rFonts w:ascii="Arial" w:eastAsia="Times New Roman" w:hAnsi="Arial" w:cs="Arial"/>
          <w:bCs/>
          <w:color w:val="000000"/>
          <w:sz w:val="24"/>
          <w:szCs w:val="24"/>
        </w:rPr>
        <w:t xml:space="preserve"> of the applicant. </w:t>
      </w:r>
      <w:r w:rsidR="00C43E9B">
        <w:rPr>
          <w:rFonts w:ascii="Arial" w:eastAsia="Times New Roman" w:hAnsi="Arial" w:cs="Arial"/>
          <w:bCs/>
          <w:color w:val="000000"/>
          <w:sz w:val="24"/>
          <w:szCs w:val="24"/>
        </w:rPr>
        <w:t>The applicant avers that notwithstanding the settlement reached at the Women’s Legal Centre, the first respondent proceeded to institute ev</w:t>
      </w:r>
      <w:r w:rsidR="00CD73AE">
        <w:rPr>
          <w:rFonts w:ascii="Arial" w:eastAsia="Times New Roman" w:hAnsi="Arial" w:cs="Arial"/>
          <w:bCs/>
          <w:color w:val="000000"/>
          <w:sz w:val="24"/>
          <w:szCs w:val="24"/>
        </w:rPr>
        <w:t>i</w:t>
      </w:r>
      <w:r w:rsidR="00C43E9B">
        <w:rPr>
          <w:rFonts w:ascii="Arial" w:eastAsia="Times New Roman" w:hAnsi="Arial" w:cs="Arial"/>
          <w:bCs/>
          <w:color w:val="000000"/>
          <w:sz w:val="24"/>
          <w:szCs w:val="24"/>
        </w:rPr>
        <w:t xml:space="preserve">ction proceedings </w:t>
      </w:r>
      <w:r w:rsidR="008A2A71">
        <w:rPr>
          <w:rFonts w:ascii="Arial" w:eastAsia="Times New Roman" w:hAnsi="Arial" w:cs="Arial"/>
          <w:bCs/>
          <w:color w:val="000000"/>
          <w:sz w:val="24"/>
          <w:szCs w:val="24"/>
        </w:rPr>
        <w:t xml:space="preserve">against her. She defended the eviction </w:t>
      </w:r>
      <w:r w:rsidR="00455B69">
        <w:rPr>
          <w:rFonts w:ascii="Arial" w:eastAsia="Times New Roman" w:hAnsi="Arial" w:cs="Arial"/>
          <w:bCs/>
          <w:color w:val="000000"/>
          <w:sz w:val="24"/>
          <w:szCs w:val="24"/>
        </w:rPr>
        <w:t>application,</w:t>
      </w:r>
      <w:r w:rsidR="008A2A71">
        <w:rPr>
          <w:rFonts w:ascii="Arial" w:eastAsia="Times New Roman" w:hAnsi="Arial" w:cs="Arial"/>
          <w:bCs/>
          <w:color w:val="000000"/>
          <w:sz w:val="24"/>
          <w:szCs w:val="24"/>
        </w:rPr>
        <w:t xml:space="preserve"> </w:t>
      </w:r>
      <w:r w:rsidR="00C43E9B">
        <w:rPr>
          <w:rFonts w:ascii="Arial" w:eastAsia="Times New Roman" w:hAnsi="Arial" w:cs="Arial"/>
          <w:bCs/>
          <w:color w:val="000000"/>
          <w:sz w:val="24"/>
          <w:szCs w:val="24"/>
        </w:rPr>
        <w:t>and the first respondent never pursued the application further.</w:t>
      </w:r>
    </w:p>
    <w:p w:rsidR="00DF00DB" w:rsidRDefault="00DF00DB" w:rsidP="009601D3">
      <w:pPr>
        <w:spacing w:after="0" w:line="480" w:lineRule="auto"/>
        <w:jc w:val="both"/>
        <w:rPr>
          <w:rFonts w:ascii="Arial" w:eastAsia="Times New Roman" w:hAnsi="Arial" w:cs="Arial"/>
          <w:bCs/>
          <w:color w:val="000000"/>
          <w:sz w:val="24"/>
          <w:szCs w:val="24"/>
        </w:rPr>
      </w:pPr>
    </w:p>
    <w:p w:rsidR="001C3933" w:rsidRDefault="00DF00DB" w:rsidP="009601D3">
      <w:pPr>
        <w:spacing w:after="0" w:line="48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[4]</w:t>
      </w:r>
      <w:r>
        <w:rPr>
          <w:rFonts w:ascii="Arial" w:eastAsia="Times New Roman" w:hAnsi="Arial" w:cs="Arial"/>
          <w:bCs/>
          <w:color w:val="000000"/>
          <w:sz w:val="24"/>
          <w:szCs w:val="24"/>
        </w:rPr>
        <w:tab/>
      </w:r>
      <w:r w:rsidR="00E367D3">
        <w:rPr>
          <w:rFonts w:ascii="Arial" w:eastAsia="Times New Roman" w:hAnsi="Arial" w:cs="Arial"/>
          <w:bCs/>
          <w:color w:val="000000"/>
          <w:sz w:val="24"/>
          <w:szCs w:val="24"/>
        </w:rPr>
        <w:t>The applicant states that</w:t>
      </w:r>
      <w:r w:rsidR="00E367D3" w:rsidRPr="00E367D3">
        <w:rPr>
          <w:rFonts w:ascii="Arial" w:eastAsia="Times New Roman" w:hAnsi="Arial" w:cs="Arial"/>
          <w:bCs/>
          <w:color w:val="000000"/>
          <w:sz w:val="24"/>
          <w:szCs w:val="24"/>
        </w:rPr>
        <w:t xml:space="preserve"> consistent with the agreement reached at the Women's Legal Centre, she paid the first respondent R55 000, the total purchase price for the property.</w:t>
      </w:r>
      <w:r w:rsidR="00E367D3">
        <w:rPr>
          <w:rFonts w:ascii="Arial" w:eastAsia="Times New Roman" w:hAnsi="Arial" w:cs="Arial"/>
          <w:bCs/>
          <w:color w:val="000000"/>
          <w:sz w:val="24"/>
          <w:szCs w:val="24"/>
        </w:rPr>
        <w:t xml:space="preserve"> </w:t>
      </w:r>
      <w:r w:rsidR="00C43E9B">
        <w:rPr>
          <w:rFonts w:ascii="Arial" w:eastAsia="Times New Roman" w:hAnsi="Arial" w:cs="Arial"/>
          <w:bCs/>
          <w:color w:val="000000"/>
          <w:sz w:val="24"/>
          <w:szCs w:val="24"/>
        </w:rPr>
        <w:t>Notwithstanding</w:t>
      </w:r>
      <w:r w:rsidR="00D2692D">
        <w:rPr>
          <w:rFonts w:ascii="Arial" w:eastAsia="Times New Roman" w:hAnsi="Arial" w:cs="Arial"/>
          <w:bCs/>
          <w:color w:val="000000"/>
          <w:sz w:val="24"/>
          <w:szCs w:val="24"/>
        </w:rPr>
        <w:t>,</w:t>
      </w:r>
      <w:r w:rsidR="00C43E9B">
        <w:rPr>
          <w:rFonts w:ascii="Arial" w:eastAsia="Times New Roman" w:hAnsi="Arial" w:cs="Arial"/>
          <w:bCs/>
          <w:color w:val="000000"/>
          <w:sz w:val="24"/>
          <w:szCs w:val="24"/>
        </w:rPr>
        <w:t xml:space="preserve"> the first respondent instituted</w:t>
      </w:r>
      <w:r w:rsidR="00D2692D">
        <w:rPr>
          <w:rFonts w:ascii="Arial" w:eastAsia="Times New Roman" w:hAnsi="Arial" w:cs="Arial"/>
          <w:bCs/>
          <w:color w:val="000000"/>
          <w:sz w:val="24"/>
          <w:szCs w:val="24"/>
        </w:rPr>
        <w:t xml:space="preserve"> another application in 2020 f</w:t>
      </w:r>
      <w:r w:rsidR="00C43E9B">
        <w:rPr>
          <w:rFonts w:ascii="Arial" w:eastAsia="Times New Roman" w:hAnsi="Arial" w:cs="Arial"/>
          <w:bCs/>
          <w:color w:val="000000"/>
          <w:sz w:val="24"/>
          <w:szCs w:val="24"/>
        </w:rPr>
        <w:t>o</w:t>
      </w:r>
      <w:r w:rsidR="00D2692D">
        <w:rPr>
          <w:rFonts w:ascii="Arial" w:eastAsia="Times New Roman" w:hAnsi="Arial" w:cs="Arial"/>
          <w:bCs/>
          <w:color w:val="000000"/>
          <w:sz w:val="24"/>
          <w:szCs w:val="24"/>
        </w:rPr>
        <w:t>r</w:t>
      </w:r>
      <w:r w:rsidR="00C43E9B">
        <w:rPr>
          <w:rFonts w:ascii="Arial" w:eastAsia="Times New Roman" w:hAnsi="Arial" w:cs="Arial"/>
          <w:bCs/>
          <w:color w:val="000000"/>
          <w:sz w:val="24"/>
          <w:szCs w:val="24"/>
        </w:rPr>
        <w:t xml:space="preserve"> the eviction of the applicant from the property and all who h</w:t>
      </w:r>
      <w:r w:rsidR="00455B69">
        <w:rPr>
          <w:rFonts w:ascii="Arial" w:eastAsia="Times New Roman" w:hAnsi="Arial" w:cs="Arial"/>
          <w:bCs/>
          <w:color w:val="000000"/>
          <w:sz w:val="24"/>
          <w:szCs w:val="24"/>
        </w:rPr>
        <w:t>e</w:t>
      </w:r>
      <w:r w:rsidR="00C43E9B">
        <w:rPr>
          <w:rFonts w:ascii="Arial" w:eastAsia="Times New Roman" w:hAnsi="Arial" w:cs="Arial"/>
          <w:bCs/>
          <w:color w:val="000000"/>
          <w:sz w:val="24"/>
          <w:szCs w:val="24"/>
        </w:rPr>
        <w:t>ld title under her. She opposed the application</w:t>
      </w:r>
      <w:r w:rsidR="00455B69">
        <w:rPr>
          <w:rFonts w:ascii="Arial" w:eastAsia="Times New Roman" w:hAnsi="Arial" w:cs="Arial"/>
          <w:bCs/>
          <w:color w:val="000000"/>
          <w:sz w:val="24"/>
          <w:szCs w:val="24"/>
        </w:rPr>
        <w:t>,</w:t>
      </w:r>
      <w:r w:rsidR="00C43E9B">
        <w:rPr>
          <w:rFonts w:ascii="Arial" w:eastAsia="Times New Roman" w:hAnsi="Arial" w:cs="Arial"/>
          <w:bCs/>
          <w:color w:val="000000"/>
          <w:sz w:val="24"/>
          <w:szCs w:val="24"/>
        </w:rPr>
        <w:t xml:space="preserve"> and </w:t>
      </w:r>
      <w:r w:rsidR="00455B69">
        <w:rPr>
          <w:rFonts w:ascii="Arial" w:eastAsia="Times New Roman" w:hAnsi="Arial" w:cs="Arial"/>
          <w:bCs/>
          <w:color w:val="000000"/>
          <w:sz w:val="24"/>
          <w:szCs w:val="24"/>
        </w:rPr>
        <w:t xml:space="preserve">the </w:t>
      </w:r>
      <w:r w:rsidR="00C43E9B">
        <w:rPr>
          <w:rFonts w:ascii="Arial" w:eastAsia="Times New Roman" w:hAnsi="Arial" w:cs="Arial"/>
          <w:bCs/>
          <w:color w:val="000000"/>
          <w:sz w:val="24"/>
          <w:szCs w:val="24"/>
        </w:rPr>
        <w:t>same was postponed pending the outcome of this application. The applica</w:t>
      </w:r>
      <w:r w:rsidR="009601D3">
        <w:rPr>
          <w:rFonts w:ascii="Arial" w:eastAsia="Times New Roman" w:hAnsi="Arial" w:cs="Arial"/>
          <w:bCs/>
          <w:color w:val="000000"/>
          <w:sz w:val="24"/>
          <w:szCs w:val="24"/>
        </w:rPr>
        <w:t xml:space="preserve">nt relies on section 15(2)(a) and (b) </w:t>
      </w:r>
      <w:r w:rsidR="003D3BF0">
        <w:rPr>
          <w:rFonts w:ascii="Arial" w:eastAsia="Times New Roman" w:hAnsi="Arial" w:cs="Arial"/>
          <w:bCs/>
          <w:color w:val="000000"/>
          <w:sz w:val="24"/>
          <w:szCs w:val="24"/>
        </w:rPr>
        <w:t>of the M</w:t>
      </w:r>
      <w:r w:rsidR="001C3933">
        <w:rPr>
          <w:rFonts w:ascii="Arial" w:eastAsia="Times New Roman" w:hAnsi="Arial" w:cs="Arial"/>
          <w:bCs/>
          <w:color w:val="000000"/>
          <w:sz w:val="24"/>
          <w:szCs w:val="24"/>
        </w:rPr>
        <w:t>PA</w:t>
      </w:r>
      <w:r w:rsidR="00455B69">
        <w:rPr>
          <w:rFonts w:ascii="Arial" w:eastAsia="Times New Roman" w:hAnsi="Arial" w:cs="Arial"/>
          <w:bCs/>
          <w:color w:val="000000"/>
          <w:sz w:val="24"/>
          <w:szCs w:val="24"/>
        </w:rPr>
        <w:t>,</w:t>
      </w:r>
      <w:r w:rsidR="00DF3395">
        <w:rPr>
          <w:rFonts w:ascii="Arial" w:eastAsia="Times New Roman" w:hAnsi="Arial" w:cs="Arial"/>
          <w:bCs/>
          <w:color w:val="000000"/>
          <w:sz w:val="24"/>
          <w:szCs w:val="24"/>
        </w:rPr>
        <w:t xml:space="preserve"> </w:t>
      </w:r>
      <w:r w:rsidR="001C3933">
        <w:rPr>
          <w:rFonts w:ascii="Arial" w:eastAsia="Times New Roman" w:hAnsi="Arial" w:cs="Arial"/>
          <w:bCs/>
          <w:color w:val="000000"/>
          <w:sz w:val="24"/>
          <w:szCs w:val="24"/>
        </w:rPr>
        <w:t>which provide</w:t>
      </w:r>
      <w:r w:rsidR="00455B69">
        <w:rPr>
          <w:rFonts w:ascii="Arial" w:eastAsia="Times New Roman" w:hAnsi="Arial" w:cs="Arial"/>
          <w:bCs/>
          <w:color w:val="000000"/>
          <w:sz w:val="24"/>
          <w:szCs w:val="24"/>
        </w:rPr>
        <w:t>s</w:t>
      </w:r>
      <w:r w:rsidR="001C3933">
        <w:rPr>
          <w:rFonts w:ascii="Arial" w:eastAsia="Times New Roman" w:hAnsi="Arial" w:cs="Arial"/>
          <w:bCs/>
          <w:color w:val="000000"/>
          <w:sz w:val="24"/>
          <w:szCs w:val="24"/>
        </w:rPr>
        <w:t xml:space="preserve"> that </w:t>
      </w:r>
      <w:r w:rsidR="009601D3">
        <w:rPr>
          <w:rFonts w:ascii="Arial" w:eastAsia="Times New Roman" w:hAnsi="Arial" w:cs="Arial"/>
          <w:bCs/>
          <w:color w:val="000000"/>
          <w:sz w:val="24"/>
          <w:szCs w:val="24"/>
        </w:rPr>
        <w:t>a spouse married in community of property shall not</w:t>
      </w:r>
      <w:r w:rsidR="00991B4F">
        <w:rPr>
          <w:rFonts w:ascii="Arial" w:eastAsia="Times New Roman" w:hAnsi="Arial" w:cs="Arial"/>
          <w:bCs/>
          <w:color w:val="000000"/>
          <w:sz w:val="24"/>
          <w:szCs w:val="24"/>
        </w:rPr>
        <w:t>,</w:t>
      </w:r>
      <w:r w:rsidR="009601D3">
        <w:rPr>
          <w:rFonts w:ascii="Arial" w:eastAsia="Times New Roman" w:hAnsi="Arial" w:cs="Arial"/>
          <w:bCs/>
          <w:color w:val="000000"/>
          <w:sz w:val="24"/>
          <w:szCs w:val="24"/>
        </w:rPr>
        <w:t xml:space="preserve"> without the</w:t>
      </w:r>
      <w:r w:rsidR="00DF3395">
        <w:rPr>
          <w:rFonts w:ascii="Arial" w:eastAsia="Times New Roman" w:hAnsi="Arial" w:cs="Arial"/>
          <w:bCs/>
          <w:color w:val="000000"/>
          <w:sz w:val="24"/>
          <w:szCs w:val="24"/>
        </w:rPr>
        <w:t xml:space="preserve"> written </w:t>
      </w:r>
      <w:r w:rsidR="00DF3395">
        <w:rPr>
          <w:rFonts w:ascii="Arial" w:eastAsia="Times New Roman" w:hAnsi="Arial" w:cs="Arial"/>
          <w:bCs/>
          <w:color w:val="000000"/>
          <w:sz w:val="24"/>
          <w:szCs w:val="24"/>
        </w:rPr>
        <w:lastRenderedPageBreak/>
        <w:t xml:space="preserve">consent of </w:t>
      </w:r>
      <w:r w:rsidR="007970A4">
        <w:rPr>
          <w:rFonts w:ascii="Arial" w:eastAsia="Times New Roman" w:hAnsi="Arial" w:cs="Arial"/>
          <w:bCs/>
          <w:color w:val="000000"/>
          <w:sz w:val="24"/>
          <w:szCs w:val="24"/>
        </w:rPr>
        <w:t xml:space="preserve">the </w:t>
      </w:r>
      <w:r w:rsidR="009601D3">
        <w:rPr>
          <w:rFonts w:ascii="Arial" w:eastAsia="Times New Roman" w:hAnsi="Arial" w:cs="Arial"/>
          <w:bCs/>
          <w:color w:val="000000"/>
          <w:sz w:val="24"/>
          <w:szCs w:val="24"/>
        </w:rPr>
        <w:t>other spouse</w:t>
      </w:r>
      <w:r w:rsidR="007970A4">
        <w:rPr>
          <w:rFonts w:ascii="Arial" w:eastAsia="Times New Roman" w:hAnsi="Arial" w:cs="Arial"/>
          <w:bCs/>
          <w:color w:val="000000"/>
          <w:sz w:val="24"/>
          <w:szCs w:val="24"/>
        </w:rPr>
        <w:t>,</w:t>
      </w:r>
      <w:r w:rsidR="009601D3">
        <w:rPr>
          <w:rFonts w:ascii="Arial" w:eastAsia="Times New Roman" w:hAnsi="Arial" w:cs="Arial"/>
          <w:bCs/>
          <w:color w:val="000000"/>
          <w:sz w:val="24"/>
          <w:szCs w:val="24"/>
        </w:rPr>
        <w:t xml:space="preserve"> alienate any right in any immovable property without the written consent of the other. </w:t>
      </w:r>
    </w:p>
    <w:p w:rsidR="001C3933" w:rsidRDefault="001C3933" w:rsidP="009601D3">
      <w:pPr>
        <w:spacing w:after="0" w:line="480" w:lineRule="auto"/>
        <w:jc w:val="both"/>
        <w:rPr>
          <w:rFonts w:ascii="Arial" w:eastAsia="Times New Roman" w:hAnsi="Arial" w:cs="Arial"/>
          <w:bCs/>
          <w:color w:val="000000"/>
          <w:sz w:val="24"/>
          <w:szCs w:val="24"/>
        </w:rPr>
      </w:pPr>
    </w:p>
    <w:p w:rsidR="00DF00DB" w:rsidRDefault="00DF00DB" w:rsidP="009601D3">
      <w:pPr>
        <w:spacing w:after="0" w:line="48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[5]</w:t>
      </w:r>
      <w:r>
        <w:rPr>
          <w:rFonts w:ascii="Arial" w:eastAsia="Times New Roman" w:hAnsi="Arial" w:cs="Arial"/>
          <w:bCs/>
          <w:color w:val="000000"/>
          <w:sz w:val="24"/>
          <w:szCs w:val="24"/>
        </w:rPr>
        <w:tab/>
      </w:r>
      <w:r w:rsidR="00DF3395">
        <w:rPr>
          <w:rFonts w:ascii="Arial" w:eastAsia="Times New Roman" w:hAnsi="Arial" w:cs="Arial"/>
          <w:bCs/>
          <w:color w:val="000000"/>
          <w:sz w:val="24"/>
          <w:szCs w:val="24"/>
        </w:rPr>
        <w:t xml:space="preserve">The first respondent opposed the application and disputed that the matter was mediated or that there was an agreement that the applicant would refund her the purchase price. </w:t>
      </w:r>
      <w:r w:rsidR="009741A2">
        <w:rPr>
          <w:rFonts w:ascii="Arial" w:eastAsia="Times New Roman" w:hAnsi="Arial" w:cs="Arial"/>
          <w:bCs/>
          <w:color w:val="000000"/>
          <w:sz w:val="24"/>
          <w:szCs w:val="24"/>
        </w:rPr>
        <w:t>The first respondent dispute</w:t>
      </w:r>
      <w:r w:rsidR="00DF3395">
        <w:rPr>
          <w:rFonts w:ascii="Arial" w:eastAsia="Times New Roman" w:hAnsi="Arial" w:cs="Arial"/>
          <w:bCs/>
          <w:color w:val="000000"/>
          <w:sz w:val="24"/>
          <w:szCs w:val="24"/>
        </w:rPr>
        <w:t>d</w:t>
      </w:r>
      <w:r w:rsidR="009741A2">
        <w:rPr>
          <w:rFonts w:ascii="Arial" w:eastAsia="Times New Roman" w:hAnsi="Arial" w:cs="Arial"/>
          <w:bCs/>
          <w:color w:val="000000"/>
          <w:sz w:val="24"/>
          <w:szCs w:val="24"/>
        </w:rPr>
        <w:t xml:space="preserve"> that the agreement was concluded in contravention of section 15(2) of the M</w:t>
      </w:r>
      <w:r w:rsidR="001C3933">
        <w:rPr>
          <w:rFonts w:ascii="Arial" w:eastAsia="Times New Roman" w:hAnsi="Arial" w:cs="Arial"/>
          <w:bCs/>
          <w:color w:val="000000"/>
          <w:sz w:val="24"/>
          <w:szCs w:val="24"/>
        </w:rPr>
        <w:t>PA</w:t>
      </w:r>
      <w:r w:rsidR="009741A2">
        <w:rPr>
          <w:rFonts w:ascii="Arial" w:eastAsia="Times New Roman" w:hAnsi="Arial" w:cs="Arial"/>
          <w:bCs/>
          <w:color w:val="000000"/>
          <w:sz w:val="24"/>
          <w:szCs w:val="24"/>
        </w:rPr>
        <w:t xml:space="preserve"> as alleged by the applicant because the second respondent </w:t>
      </w:r>
      <w:r w:rsidR="008C25DD">
        <w:rPr>
          <w:rFonts w:ascii="Arial" w:eastAsia="Times New Roman" w:hAnsi="Arial" w:cs="Arial"/>
          <w:bCs/>
          <w:color w:val="000000"/>
          <w:sz w:val="24"/>
          <w:szCs w:val="24"/>
        </w:rPr>
        <w:t xml:space="preserve">expressly </w:t>
      </w:r>
      <w:r w:rsidR="009741A2">
        <w:rPr>
          <w:rFonts w:ascii="Arial" w:eastAsia="Times New Roman" w:hAnsi="Arial" w:cs="Arial"/>
          <w:bCs/>
          <w:color w:val="000000"/>
          <w:sz w:val="24"/>
          <w:szCs w:val="24"/>
        </w:rPr>
        <w:t xml:space="preserve">stated </w:t>
      </w:r>
      <w:r w:rsidR="008C25DD">
        <w:rPr>
          <w:rFonts w:ascii="Arial" w:eastAsia="Times New Roman" w:hAnsi="Arial" w:cs="Arial"/>
          <w:bCs/>
          <w:color w:val="000000"/>
          <w:sz w:val="24"/>
          <w:szCs w:val="24"/>
        </w:rPr>
        <w:t xml:space="preserve">that he was unmarried </w:t>
      </w:r>
      <w:r w:rsidR="009741A2">
        <w:rPr>
          <w:rFonts w:ascii="Arial" w:eastAsia="Times New Roman" w:hAnsi="Arial" w:cs="Arial"/>
          <w:bCs/>
          <w:color w:val="000000"/>
          <w:sz w:val="24"/>
          <w:szCs w:val="24"/>
        </w:rPr>
        <w:t xml:space="preserve">at the time </w:t>
      </w:r>
      <w:r w:rsidR="001C3933">
        <w:rPr>
          <w:rFonts w:ascii="Arial" w:eastAsia="Times New Roman" w:hAnsi="Arial" w:cs="Arial"/>
          <w:bCs/>
          <w:color w:val="000000"/>
          <w:sz w:val="24"/>
          <w:szCs w:val="24"/>
        </w:rPr>
        <w:t xml:space="preserve">the </w:t>
      </w:r>
      <w:r w:rsidR="008C25DD">
        <w:rPr>
          <w:rFonts w:ascii="Arial" w:eastAsia="Times New Roman" w:hAnsi="Arial" w:cs="Arial"/>
          <w:bCs/>
          <w:color w:val="000000"/>
          <w:sz w:val="24"/>
          <w:szCs w:val="24"/>
        </w:rPr>
        <w:t xml:space="preserve">impugned </w:t>
      </w:r>
      <w:r w:rsidR="001C3933">
        <w:rPr>
          <w:rFonts w:ascii="Arial" w:eastAsia="Times New Roman" w:hAnsi="Arial" w:cs="Arial"/>
          <w:bCs/>
          <w:color w:val="000000"/>
          <w:sz w:val="24"/>
          <w:szCs w:val="24"/>
        </w:rPr>
        <w:t>sa</w:t>
      </w:r>
      <w:r w:rsidR="009741A2">
        <w:rPr>
          <w:rFonts w:ascii="Arial" w:eastAsia="Times New Roman" w:hAnsi="Arial" w:cs="Arial"/>
          <w:bCs/>
          <w:color w:val="000000"/>
          <w:sz w:val="24"/>
          <w:szCs w:val="24"/>
        </w:rPr>
        <w:t xml:space="preserve">le </w:t>
      </w:r>
      <w:r w:rsidR="008C25DD">
        <w:rPr>
          <w:rFonts w:ascii="Arial" w:eastAsia="Times New Roman" w:hAnsi="Arial" w:cs="Arial"/>
          <w:bCs/>
          <w:color w:val="000000"/>
          <w:sz w:val="24"/>
          <w:szCs w:val="24"/>
        </w:rPr>
        <w:t>agreement was concluded.</w:t>
      </w:r>
      <w:r w:rsidR="009741A2">
        <w:rPr>
          <w:rFonts w:ascii="Arial" w:eastAsia="Times New Roman" w:hAnsi="Arial" w:cs="Arial"/>
          <w:bCs/>
          <w:color w:val="000000"/>
          <w:sz w:val="24"/>
          <w:szCs w:val="24"/>
        </w:rPr>
        <w:t xml:space="preserve"> </w:t>
      </w:r>
      <w:r w:rsidR="007970A4" w:rsidRPr="007970A4">
        <w:rPr>
          <w:rFonts w:ascii="Arial" w:eastAsia="Times New Roman" w:hAnsi="Arial" w:cs="Arial"/>
          <w:bCs/>
          <w:color w:val="000000"/>
          <w:sz w:val="24"/>
          <w:szCs w:val="24"/>
        </w:rPr>
        <w:t>According to the first respondent, the property's purchase price was R84</w:t>
      </w:r>
      <w:r w:rsidR="007970A4">
        <w:rPr>
          <w:rFonts w:ascii="Arial" w:eastAsia="Times New Roman" w:hAnsi="Arial" w:cs="Arial"/>
          <w:bCs/>
          <w:color w:val="000000"/>
          <w:sz w:val="24"/>
          <w:szCs w:val="24"/>
        </w:rPr>
        <w:t> </w:t>
      </w:r>
      <w:r w:rsidR="007970A4" w:rsidRPr="007970A4">
        <w:rPr>
          <w:rFonts w:ascii="Arial" w:eastAsia="Times New Roman" w:hAnsi="Arial" w:cs="Arial"/>
          <w:bCs/>
          <w:color w:val="000000"/>
          <w:sz w:val="24"/>
          <w:szCs w:val="24"/>
        </w:rPr>
        <w:t>000</w:t>
      </w:r>
      <w:r w:rsidR="007970A4">
        <w:rPr>
          <w:rFonts w:ascii="Arial" w:eastAsia="Times New Roman" w:hAnsi="Arial" w:cs="Arial"/>
          <w:bCs/>
          <w:color w:val="000000"/>
          <w:sz w:val="24"/>
          <w:szCs w:val="24"/>
        </w:rPr>
        <w:t>,</w:t>
      </w:r>
      <w:r w:rsidR="007970A4" w:rsidRPr="007970A4">
        <w:rPr>
          <w:rFonts w:ascii="Arial" w:eastAsia="Times New Roman" w:hAnsi="Arial" w:cs="Arial"/>
          <w:bCs/>
          <w:color w:val="000000"/>
          <w:sz w:val="24"/>
          <w:szCs w:val="24"/>
        </w:rPr>
        <w:t xml:space="preserve"> calculated as follows: R55 000 was for the purchase price of the property</w:t>
      </w:r>
      <w:r w:rsidR="00991B4F">
        <w:rPr>
          <w:rFonts w:ascii="Arial" w:eastAsia="Times New Roman" w:hAnsi="Arial" w:cs="Arial"/>
          <w:bCs/>
          <w:color w:val="000000"/>
          <w:sz w:val="24"/>
          <w:szCs w:val="24"/>
        </w:rPr>
        <w:t>,</w:t>
      </w:r>
      <w:r w:rsidR="007970A4" w:rsidRPr="007970A4">
        <w:rPr>
          <w:rFonts w:ascii="Arial" w:eastAsia="Times New Roman" w:hAnsi="Arial" w:cs="Arial"/>
          <w:bCs/>
          <w:color w:val="000000"/>
          <w:sz w:val="24"/>
          <w:szCs w:val="24"/>
        </w:rPr>
        <w:t xml:space="preserve"> and R29 000 was for the transfer costs.</w:t>
      </w:r>
      <w:r w:rsidR="007970A4">
        <w:rPr>
          <w:rFonts w:ascii="Arial" w:eastAsia="Times New Roman" w:hAnsi="Arial" w:cs="Arial"/>
          <w:bCs/>
          <w:color w:val="000000"/>
          <w:sz w:val="24"/>
          <w:szCs w:val="24"/>
        </w:rPr>
        <w:t xml:space="preserve"> </w:t>
      </w:r>
      <w:r w:rsidR="001C3933">
        <w:rPr>
          <w:rFonts w:ascii="Arial" w:eastAsia="Times New Roman" w:hAnsi="Arial" w:cs="Arial"/>
          <w:bCs/>
          <w:color w:val="000000"/>
          <w:sz w:val="24"/>
          <w:szCs w:val="24"/>
        </w:rPr>
        <w:t xml:space="preserve">She asserted that she paid the total </w:t>
      </w:r>
      <w:r w:rsidR="009741A2">
        <w:rPr>
          <w:rFonts w:ascii="Arial" w:eastAsia="Times New Roman" w:hAnsi="Arial" w:cs="Arial"/>
          <w:bCs/>
          <w:color w:val="000000"/>
          <w:sz w:val="24"/>
          <w:szCs w:val="24"/>
        </w:rPr>
        <w:t>sum of R84</w:t>
      </w:r>
      <w:r w:rsidR="007970A4">
        <w:rPr>
          <w:rFonts w:ascii="Arial" w:eastAsia="Times New Roman" w:hAnsi="Arial" w:cs="Arial"/>
          <w:bCs/>
          <w:color w:val="000000"/>
          <w:sz w:val="24"/>
          <w:szCs w:val="24"/>
        </w:rPr>
        <w:t> </w:t>
      </w:r>
      <w:r w:rsidR="009741A2">
        <w:rPr>
          <w:rFonts w:ascii="Arial" w:eastAsia="Times New Roman" w:hAnsi="Arial" w:cs="Arial"/>
          <w:bCs/>
          <w:color w:val="000000"/>
          <w:sz w:val="24"/>
          <w:szCs w:val="24"/>
        </w:rPr>
        <w:t>000</w:t>
      </w:r>
      <w:r w:rsidR="007970A4">
        <w:rPr>
          <w:rFonts w:ascii="Arial" w:eastAsia="Times New Roman" w:hAnsi="Arial" w:cs="Arial"/>
          <w:bCs/>
          <w:color w:val="000000"/>
          <w:sz w:val="24"/>
          <w:szCs w:val="24"/>
        </w:rPr>
        <w:t>,</w:t>
      </w:r>
      <w:r w:rsidR="009741A2">
        <w:rPr>
          <w:rFonts w:ascii="Arial" w:eastAsia="Times New Roman" w:hAnsi="Arial" w:cs="Arial"/>
          <w:bCs/>
          <w:color w:val="000000"/>
          <w:sz w:val="24"/>
          <w:szCs w:val="24"/>
        </w:rPr>
        <w:t xml:space="preserve"> to the second respondent’s attorneys to transfer </w:t>
      </w:r>
      <w:r w:rsidR="008C25DD">
        <w:rPr>
          <w:rFonts w:ascii="Arial" w:eastAsia="Times New Roman" w:hAnsi="Arial" w:cs="Arial"/>
          <w:bCs/>
          <w:color w:val="000000"/>
          <w:sz w:val="24"/>
          <w:szCs w:val="24"/>
        </w:rPr>
        <w:t>t</w:t>
      </w:r>
      <w:r w:rsidR="009741A2">
        <w:rPr>
          <w:rFonts w:ascii="Arial" w:eastAsia="Times New Roman" w:hAnsi="Arial" w:cs="Arial"/>
          <w:bCs/>
          <w:color w:val="000000"/>
          <w:sz w:val="24"/>
          <w:szCs w:val="24"/>
        </w:rPr>
        <w:t>he property</w:t>
      </w:r>
      <w:r w:rsidR="008C25DD">
        <w:rPr>
          <w:rFonts w:ascii="Arial" w:eastAsia="Times New Roman" w:hAnsi="Arial" w:cs="Arial"/>
          <w:bCs/>
          <w:color w:val="000000"/>
          <w:sz w:val="24"/>
          <w:szCs w:val="24"/>
        </w:rPr>
        <w:t xml:space="preserve"> into her name</w:t>
      </w:r>
      <w:r w:rsidR="009741A2">
        <w:rPr>
          <w:rFonts w:ascii="Arial" w:eastAsia="Times New Roman" w:hAnsi="Arial" w:cs="Arial"/>
          <w:bCs/>
          <w:color w:val="000000"/>
          <w:sz w:val="24"/>
          <w:szCs w:val="24"/>
        </w:rPr>
        <w:t xml:space="preserve">. </w:t>
      </w:r>
      <w:r w:rsidR="000607F9">
        <w:rPr>
          <w:rFonts w:ascii="Arial" w:eastAsia="Times New Roman" w:hAnsi="Arial" w:cs="Arial"/>
          <w:bCs/>
          <w:color w:val="000000"/>
          <w:sz w:val="24"/>
          <w:szCs w:val="24"/>
        </w:rPr>
        <w:t xml:space="preserve">The </w:t>
      </w:r>
      <w:r w:rsidR="00912178">
        <w:rPr>
          <w:rFonts w:ascii="Arial" w:eastAsia="Times New Roman" w:hAnsi="Arial" w:cs="Arial"/>
          <w:bCs/>
          <w:color w:val="000000"/>
          <w:sz w:val="24"/>
          <w:szCs w:val="24"/>
        </w:rPr>
        <w:t xml:space="preserve">first </w:t>
      </w:r>
      <w:r w:rsidR="000607F9">
        <w:rPr>
          <w:rFonts w:ascii="Arial" w:eastAsia="Times New Roman" w:hAnsi="Arial" w:cs="Arial"/>
          <w:bCs/>
          <w:color w:val="000000"/>
          <w:sz w:val="24"/>
          <w:szCs w:val="24"/>
        </w:rPr>
        <w:t xml:space="preserve">respondent disputed that </w:t>
      </w:r>
      <w:r w:rsidR="00DF3395">
        <w:rPr>
          <w:rFonts w:ascii="Arial" w:eastAsia="Times New Roman" w:hAnsi="Arial" w:cs="Arial"/>
          <w:bCs/>
          <w:color w:val="000000"/>
          <w:sz w:val="24"/>
          <w:szCs w:val="24"/>
        </w:rPr>
        <w:t xml:space="preserve">the </w:t>
      </w:r>
      <w:r w:rsidR="000607F9">
        <w:rPr>
          <w:rFonts w:ascii="Arial" w:eastAsia="Times New Roman" w:hAnsi="Arial" w:cs="Arial"/>
          <w:bCs/>
          <w:color w:val="000000"/>
          <w:sz w:val="24"/>
          <w:szCs w:val="24"/>
        </w:rPr>
        <w:t>Women’s Legal Centre mediated the matter</w:t>
      </w:r>
      <w:r w:rsidR="001C3933">
        <w:rPr>
          <w:rFonts w:ascii="Arial" w:eastAsia="Times New Roman" w:hAnsi="Arial" w:cs="Arial"/>
          <w:bCs/>
          <w:color w:val="000000"/>
          <w:sz w:val="24"/>
          <w:szCs w:val="24"/>
        </w:rPr>
        <w:t xml:space="preserve">. She also refuted the fact that there </w:t>
      </w:r>
      <w:r w:rsidR="000607F9">
        <w:rPr>
          <w:rFonts w:ascii="Arial" w:eastAsia="Times New Roman" w:hAnsi="Arial" w:cs="Arial"/>
          <w:bCs/>
          <w:color w:val="000000"/>
          <w:sz w:val="24"/>
          <w:szCs w:val="24"/>
        </w:rPr>
        <w:t xml:space="preserve">was </w:t>
      </w:r>
      <w:r w:rsidR="008C25DD">
        <w:rPr>
          <w:rFonts w:ascii="Arial" w:eastAsia="Times New Roman" w:hAnsi="Arial" w:cs="Arial"/>
          <w:bCs/>
          <w:color w:val="000000"/>
          <w:sz w:val="24"/>
          <w:szCs w:val="24"/>
        </w:rPr>
        <w:t xml:space="preserve">an </w:t>
      </w:r>
      <w:r w:rsidR="000607F9">
        <w:rPr>
          <w:rFonts w:ascii="Arial" w:eastAsia="Times New Roman" w:hAnsi="Arial" w:cs="Arial"/>
          <w:bCs/>
          <w:color w:val="000000"/>
          <w:sz w:val="24"/>
          <w:szCs w:val="24"/>
        </w:rPr>
        <w:t xml:space="preserve">agreement reached between them. </w:t>
      </w:r>
    </w:p>
    <w:p w:rsidR="00DF00DB" w:rsidRDefault="00DF00DB" w:rsidP="009601D3">
      <w:pPr>
        <w:spacing w:after="0" w:line="480" w:lineRule="auto"/>
        <w:jc w:val="both"/>
        <w:rPr>
          <w:rFonts w:ascii="Arial" w:eastAsia="Times New Roman" w:hAnsi="Arial" w:cs="Arial"/>
          <w:bCs/>
          <w:color w:val="000000"/>
          <w:sz w:val="24"/>
          <w:szCs w:val="24"/>
        </w:rPr>
      </w:pPr>
    </w:p>
    <w:p w:rsidR="00991B4F" w:rsidRDefault="00DF00DB" w:rsidP="009601D3">
      <w:pPr>
        <w:spacing w:after="0" w:line="48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[6]</w:t>
      </w:r>
      <w:r>
        <w:rPr>
          <w:rFonts w:ascii="Arial" w:eastAsia="Times New Roman" w:hAnsi="Arial" w:cs="Arial"/>
          <w:bCs/>
          <w:color w:val="000000"/>
          <w:sz w:val="24"/>
          <w:szCs w:val="24"/>
        </w:rPr>
        <w:tab/>
      </w:r>
      <w:r w:rsidR="000607F9">
        <w:rPr>
          <w:rFonts w:ascii="Arial" w:eastAsia="Times New Roman" w:hAnsi="Arial" w:cs="Arial"/>
          <w:bCs/>
          <w:color w:val="000000"/>
          <w:sz w:val="24"/>
          <w:szCs w:val="24"/>
        </w:rPr>
        <w:t xml:space="preserve">The </w:t>
      </w:r>
      <w:r w:rsidR="001C3933">
        <w:rPr>
          <w:rFonts w:ascii="Arial" w:eastAsia="Times New Roman" w:hAnsi="Arial" w:cs="Arial"/>
          <w:bCs/>
          <w:color w:val="000000"/>
          <w:sz w:val="24"/>
          <w:szCs w:val="24"/>
        </w:rPr>
        <w:t xml:space="preserve">first </w:t>
      </w:r>
      <w:r w:rsidR="000607F9">
        <w:rPr>
          <w:rFonts w:ascii="Arial" w:eastAsia="Times New Roman" w:hAnsi="Arial" w:cs="Arial"/>
          <w:bCs/>
          <w:color w:val="000000"/>
          <w:sz w:val="24"/>
          <w:szCs w:val="24"/>
        </w:rPr>
        <w:t>respondent further aver</w:t>
      </w:r>
      <w:r w:rsidR="001C3933">
        <w:rPr>
          <w:rFonts w:ascii="Arial" w:eastAsia="Times New Roman" w:hAnsi="Arial" w:cs="Arial"/>
          <w:bCs/>
          <w:color w:val="000000"/>
          <w:sz w:val="24"/>
          <w:szCs w:val="24"/>
        </w:rPr>
        <w:t xml:space="preserve">red </w:t>
      </w:r>
      <w:r w:rsidR="000607F9">
        <w:rPr>
          <w:rFonts w:ascii="Arial" w:eastAsia="Times New Roman" w:hAnsi="Arial" w:cs="Arial"/>
          <w:bCs/>
          <w:color w:val="000000"/>
          <w:sz w:val="24"/>
          <w:szCs w:val="24"/>
        </w:rPr>
        <w:t xml:space="preserve">that the applicant was fully aware that the property was sold to </w:t>
      </w:r>
      <w:r w:rsidR="007970A4">
        <w:rPr>
          <w:rFonts w:ascii="Arial" w:eastAsia="Times New Roman" w:hAnsi="Arial" w:cs="Arial"/>
          <w:bCs/>
          <w:color w:val="000000"/>
          <w:sz w:val="24"/>
          <w:szCs w:val="24"/>
        </w:rPr>
        <w:t>her</w:t>
      </w:r>
      <w:r w:rsidR="000607F9">
        <w:rPr>
          <w:rFonts w:ascii="Arial" w:eastAsia="Times New Roman" w:hAnsi="Arial" w:cs="Arial"/>
          <w:bCs/>
          <w:color w:val="000000"/>
          <w:sz w:val="24"/>
          <w:szCs w:val="24"/>
        </w:rPr>
        <w:t xml:space="preserve"> and that the applicant did not challenge the sale </w:t>
      </w:r>
      <w:r w:rsidR="008C25DD">
        <w:rPr>
          <w:rFonts w:ascii="Arial" w:eastAsia="Times New Roman" w:hAnsi="Arial" w:cs="Arial"/>
          <w:bCs/>
          <w:color w:val="000000"/>
          <w:sz w:val="24"/>
          <w:szCs w:val="24"/>
        </w:rPr>
        <w:t xml:space="preserve">agreement </w:t>
      </w:r>
      <w:r w:rsidR="000607F9">
        <w:rPr>
          <w:rFonts w:ascii="Arial" w:eastAsia="Times New Roman" w:hAnsi="Arial" w:cs="Arial"/>
          <w:bCs/>
          <w:color w:val="000000"/>
          <w:sz w:val="24"/>
          <w:szCs w:val="24"/>
        </w:rPr>
        <w:t xml:space="preserve">since 2012 when the matter was discussed at the </w:t>
      </w:r>
      <w:r w:rsidR="00767432">
        <w:rPr>
          <w:rFonts w:ascii="Arial" w:eastAsia="Times New Roman" w:hAnsi="Arial" w:cs="Arial"/>
          <w:bCs/>
          <w:color w:val="000000"/>
          <w:sz w:val="24"/>
          <w:szCs w:val="24"/>
        </w:rPr>
        <w:t>Women’s</w:t>
      </w:r>
      <w:r w:rsidR="000607F9">
        <w:rPr>
          <w:rFonts w:ascii="Arial" w:eastAsia="Times New Roman" w:hAnsi="Arial" w:cs="Arial"/>
          <w:bCs/>
          <w:color w:val="000000"/>
          <w:sz w:val="24"/>
          <w:szCs w:val="24"/>
        </w:rPr>
        <w:t xml:space="preserve"> Legal Centre.</w:t>
      </w:r>
      <w:r w:rsidR="007970A4">
        <w:rPr>
          <w:rFonts w:ascii="Arial" w:eastAsia="Times New Roman" w:hAnsi="Arial" w:cs="Arial"/>
          <w:bCs/>
          <w:color w:val="000000"/>
          <w:sz w:val="24"/>
          <w:szCs w:val="24"/>
        </w:rPr>
        <w:t xml:space="preserve"> </w:t>
      </w:r>
      <w:r w:rsidR="007970A4" w:rsidRPr="007970A4">
        <w:rPr>
          <w:rFonts w:ascii="Arial" w:eastAsia="Times New Roman" w:hAnsi="Arial" w:cs="Arial"/>
          <w:bCs/>
          <w:color w:val="000000"/>
          <w:sz w:val="24"/>
          <w:szCs w:val="24"/>
        </w:rPr>
        <w:t>The applican</w:t>
      </w:r>
      <w:r w:rsidR="00912178">
        <w:rPr>
          <w:rFonts w:ascii="Arial" w:eastAsia="Times New Roman" w:hAnsi="Arial" w:cs="Arial"/>
          <w:bCs/>
          <w:color w:val="000000"/>
          <w:sz w:val="24"/>
          <w:szCs w:val="24"/>
        </w:rPr>
        <w:t xml:space="preserve">t only brought </w:t>
      </w:r>
      <w:proofErr w:type="gramStart"/>
      <w:r w:rsidR="00912178">
        <w:rPr>
          <w:rFonts w:ascii="Arial" w:eastAsia="Times New Roman" w:hAnsi="Arial" w:cs="Arial"/>
          <w:bCs/>
          <w:color w:val="000000"/>
          <w:sz w:val="24"/>
          <w:szCs w:val="24"/>
        </w:rPr>
        <w:t xml:space="preserve">this application </w:t>
      </w:r>
      <w:r w:rsidR="007970A4" w:rsidRPr="007970A4">
        <w:rPr>
          <w:rFonts w:ascii="Arial" w:eastAsia="Times New Roman" w:hAnsi="Arial" w:cs="Arial"/>
          <w:bCs/>
          <w:color w:val="000000"/>
          <w:sz w:val="24"/>
          <w:szCs w:val="24"/>
        </w:rPr>
        <w:t>13 years</w:t>
      </w:r>
      <w:proofErr w:type="gramEnd"/>
      <w:r w:rsidR="007970A4" w:rsidRPr="007970A4">
        <w:rPr>
          <w:rFonts w:ascii="Arial" w:eastAsia="Times New Roman" w:hAnsi="Arial" w:cs="Arial"/>
          <w:bCs/>
          <w:color w:val="000000"/>
          <w:sz w:val="24"/>
          <w:szCs w:val="24"/>
        </w:rPr>
        <w:t xml:space="preserve"> </w:t>
      </w:r>
      <w:r w:rsidR="004738B1">
        <w:rPr>
          <w:rFonts w:ascii="Arial" w:eastAsia="Times New Roman" w:hAnsi="Arial" w:cs="Arial"/>
          <w:bCs/>
          <w:color w:val="000000"/>
          <w:sz w:val="24"/>
          <w:szCs w:val="24"/>
        </w:rPr>
        <w:t xml:space="preserve">later and only </w:t>
      </w:r>
      <w:r w:rsidR="007970A4" w:rsidRPr="007970A4">
        <w:rPr>
          <w:rFonts w:ascii="Arial" w:eastAsia="Times New Roman" w:hAnsi="Arial" w:cs="Arial"/>
          <w:bCs/>
          <w:color w:val="000000"/>
          <w:sz w:val="24"/>
          <w:szCs w:val="24"/>
        </w:rPr>
        <w:t>after the second respondent died</w:t>
      </w:r>
      <w:r w:rsidR="007970A4">
        <w:rPr>
          <w:rFonts w:ascii="Arial" w:eastAsia="Times New Roman" w:hAnsi="Arial" w:cs="Arial"/>
          <w:bCs/>
          <w:color w:val="000000"/>
          <w:sz w:val="24"/>
          <w:szCs w:val="24"/>
        </w:rPr>
        <w:t xml:space="preserve">. </w:t>
      </w:r>
      <w:r w:rsidR="00767432">
        <w:rPr>
          <w:rFonts w:ascii="Arial" w:eastAsia="Times New Roman" w:hAnsi="Arial" w:cs="Arial"/>
          <w:bCs/>
          <w:color w:val="000000"/>
          <w:sz w:val="24"/>
          <w:szCs w:val="24"/>
        </w:rPr>
        <w:t>Notwithstanding the two eviction applications she brought against the applicant, the</w:t>
      </w:r>
      <w:r w:rsidR="00D2692D">
        <w:rPr>
          <w:rFonts w:ascii="Arial" w:eastAsia="Times New Roman" w:hAnsi="Arial" w:cs="Arial"/>
          <w:bCs/>
          <w:color w:val="000000"/>
          <w:sz w:val="24"/>
          <w:szCs w:val="24"/>
        </w:rPr>
        <w:t xml:space="preserve"> </w:t>
      </w:r>
      <w:r w:rsidR="001C3933">
        <w:rPr>
          <w:rFonts w:ascii="Arial" w:eastAsia="Times New Roman" w:hAnsi="Arial" w:cs="Arial"/>
          <w:bCs/>
          <w:color w:val="000000"/>
          <w:sz w:val="24"/>
          <w:szCs w:val="24"/>
        </w:rPr>
        <w:t xml:space="preserve">first </w:t>
      </w:r>
      <w:r w:rsidR="00D2692D">
        <w:rPr>
          <w:rFonts w:ascii="Arial" w:eastAsia="Times New Roman" w:hAnsi="Arial" w:cs="Arial"/>
          <w:bCs/>
          <w:color w:val="000000"/>
          <w:sz w:val="24"/>
          <w:szCs w:val="24"/>
        </w:rPr>
        <w:t xml:space="preserve">respondent contends that the </w:t>
      </w:r>
      <w:r w:rsidR="00767432">
        <w:rPr>
          <w:rFonts w:ascii="Arial" w:eastAsia="Times New Roman" w:hAnsi="Arial" w:cs="Arial"/>
          <w:bCs/>
          <w:color w:val="000000"/>
          <w:sz w:val="24"/>
          <w:szCs w:val="24"/>
        </w:rPr>
        <w:t xml:space="preserve">applicant did not bring any application while the second respondent was still alive. According to the first respondent, the applicant is not honest with </w:t>
      </w:r>
      <w:r w:rsidR="00D2692D">
        <w:rPr>
          <w:rFonts w:ascii="Arial" w:eastAsia="Times New Roman" w:hAnsi="Arial" w:cs="Arial"/>
          <w:bCs/>
          <w:color w:val="000000"/>
          <w:sz w:val="24"/>
          <w:szCs w:val="24"/>
        </w:rPr>
        <w:t>this court in that she waited f</w:t>
      </w:r>
      <w:r w:rsidR="00767432">
        <w:rPr>
          <w:rFonts w:ascii="Arial" w:eastAsia="Times New Roman" w:hAnsi="Arial" w:cs="Arial"/>
          <w:bCs/>
          <w:color w:val="000000"/>
          <w:sz w:val="24"/>
          <w:szCs w:val="24"/>
        </w:rPr>
        <w:t>o</w:t>
      </w:r>
      <w:r w:rsidR="00D2692D">
        <w:rPr>
          <w:rFonts w:ascii="Arial" w:eastAsia="Times New Roman" w:hAnsi="Arial" w:cs="Arial"/>
          <w:bCs/>
          <w:color w:val="000000"/>
          <w:sz w:val="24"/>
          <w:szCs w:val="24"/>
        </w:rPr>
        <w:t>r</w:t>
      </w:r>
      <w:r w:rsidR="00767432">
        <w:rPr>
          <w:rFonts w:ascii="Arial" w:eastAsia="Times New Roman" w:hAnsi="Arial" w:cs="Arial"/>
          <w:bCs/>
          <w:color w:val="000000"/>
          <w:sz w:val="24"/>
          <w:szCs w:val="24"/>
        </w:rPr>
        <w:t xml:space="preserve"> the second respondent to pass away before she could bring this application. </w:t>
      </w:r>
    </w:p>
    <w:p w:rsidR="00057AEE" w:rsidRPr="007970A4" w:rsidRDefault="006A0506" w:rsidP="009601D3">
      <w:pPr>
        <w:spacing w:after="0" w:line="48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lastRenderedPageBreak/>
        <w:t>[7</w:t>
      </w:r>
      <w:r w:rsidR="004738B1">
        <w:rPr>
          <w:rFonts w:ascii="Arial" w:eastAsia="Times New Roman" w:hAnsi="Arial" w:cs="Arial"/>
          <w:bCs/>
          <w:color w:val="000000"/>
          <w:sz w:val="24"/>
          <w:szCs w:val="24"/>
        </w:rPr>
        <w:t>]</w:t>
      </w:r>
      <w:r w:rsidR="004738B1">
        <w:rPr>
          <w:rFonts w:ascii="Arial" w:eastAsia="Times New Roman" w:hAnsi="Arial" w:cs="Arial"/>
          <w:bCs/>
          <w:color w:val="000000"/>
          <w:sz w:val="24"/>
          <w:szCs w:val="24"/>
        </w:rPr>
        <w:tab/>
      </w:r>
      <w:r w:rsidR="007970A4" w:rsidRPr="007970A4">
        <w:rPr>
          <w:rFonts w:ascii="Arial" w:eastAsia="Times New Roman" w:hAnsi="Arial" w:cs="Arial"/>
          <w:bCs/>
          <w:color w:val="000000"/>
          <w:sz w:val="24"/>
          <w:szCs w:val="24"/>
        </w:rPr>
        <w:t xml:space="preserve">The </w:t>
      </w:r>
      <w:r w:rsidR="00912178">
        <w:rPr>
          <w:rFonts w:ascii="Arial" w:eastAsia="Times New Roman" w:hAnsi="Arial" w:cs="Arial"/>
          <w:bCs/>
          <w:color w:val="000000"/>
          <w:sz w:val="24"/>
          <w:szCs w:val="24"/>
        </w:rPr>
        <w:t>first</w:t>
      </w:r>
      <w:r w:rsidR="007970A4" w:rsidRPr="007970A4">
        <w:rPr>
          <w:rFonts w:ascii="Arial" w:eastAsia="Times New Roman" w:hAnsi="Arial" w:cs="Arial"/>
          <w:bCs/>
          <w:color w:val="000000"/>
          <w:sz w:val="24"/>
          <w:szCs w:val="24"/>
        </w:rPr>
        <w:t xml:space="preserve"> respondent denied that the sum of R55 000 that the applicant paid her was a refund for the house's purchase price.</w:t>
      </w:r>
      <w:r w:rsidR="007970A4">
        <w:rPr>
          <w:rFonts w:ascii="Arial" w:eastAsia="Times New Roman" w:hAnsi="Arial" w:cs="Arial"/>
          <w:bCs/>
          <w:color w:val="000000"/>
          <w:sz w:val="24"/>
          <w:szCs w:val="24"/>
        </w:rPr>
        <w:t xml:space="preserve"> </w:t>
      </w:r>
      <w:r w:rsidR="00EB168F">
        <w:rPr>
          <w:rFonts w:ascii="Arial" w:eastAsia="Times New Roman" w:hAnsi="Arial" w:cs="Arial"/>
          <w:bCs/>
          <w:color w:val="000000"/>
          <w:sz w:val="24"/>
          <w:szCs w:val="24"/>
        </w:rPr>
        <w:t>Instead,</w:t>
      </w:r>
      <w:r w:rsidR="001C3933">
        <w:rPr>
          <w:rFonts w:ascii="Arial" w:eastAsia="Times New Roman" w:hAnsi="Arial" w:cs="Arial"/>
          <w:bCs/>
          <w:color w:val="000000"/>
          <w:sz w:val="24"/>
          <w:szCs w:val="24"/>
        </w:rPr>
        <w:t xml:space="preserve"> the first</w:t>
      </w:r>
      <w:r w:rsidR="007F1490">
        <w:rPr>
          <w:rFonts w:ascii="Arial" w:eastAsia="Times New Roman" w:hAnsi="Arial" w:cs="Arial"/>
          <w:bCs/>
          <w:color w:val="000000"/>
          <w:sz w:val="24"/>
          <w:szCs w:val="24"/>
        </w:rPr>
        <w:t xml:space="preserve"> respondent averred that at the meeting held by the </w:t>
      </w:r>
      <w:r w:rsidR="004657FD">
        <w:rPr>
          <w:rFonts w:ascii="Arial" w:eastAsia="Times New Roman" w:hAnsi="Arial" w:cs="Arial"/>
          <w:bCs/>
          <w:color w:val="000000"/>
          <w:sz w:val="24"/>
          <w:szCs w:val="24"/>
        </w:rPr>
        <w:t>s</w:t>
      </w:r>
      <w:r w:rsidR="007F1490">
        <w:rPr>
          <w:rFonts w:ascii="Arial" w:eastAsia="Times New Roman" w:hAnsi="Arial" w:cs="Arial"/>
          <w:bCs/>
          <w:color w:val="000000"/>
          <w:sz w:val="24"/>
          <w:szCs w:val="24"/>
        </w:rPr>
        <w:t>treet committee members</w:t>
      </w:r>
      <w:r w:rsidR="001C3933">
        <w:rPr>
          <w:rFonts w:ascii="Arial" w:eastAsia="Times New Roman" w:hAnsi="Arial" w:cs="Arial"/>
          <w:bCs/>
          <w:color w:val="000000"/>
          <w:sz w:val="24"/>
          <w:szCs w:val="24"/>
        </w:rPr>
        <w:t>,</w:t>
      </w:r>
      <w:r w:rsidR="007F1490">
        <w:rPr>
          <w:rFonts w:ascii="Arial" w:eastAsia="Times New Roman" w:hAnsi="Arial" w:cs="Arial"/>
          <w:bCs/>
          <w:color w:val="000000"/>
          <w:sz w:val="24"/>
          <w:szCs w:val="24"/>
        </w:rPr>
        <w:t xml:space="preserve"> it was resolved that since tenants </w:t>
      </w:r>
      <w:r w:rsidR="00D6425A">
        <w:rPr>
          <w:rFonts w:ascii="Arial" w:eastAsia="Times New Roman" w:hAnsi="Arial" w:cs="Arial"/>
          <w:bCs/>
          <w:color w:val="000000"/>
          <w:sz w:val="24"/>
          <w:szCs w:val="24"/>
        </w:rPr>
        <w:t xml:space="preserve">were </w:t>
      </w:r>
      <w:r w:rsidR="007F1490">
        <w:rPr>
          <w:rFonts w:ascii="Arial" w:eastAsia="Times New Roman" w:hAnsi="Arial" w:cs="Arial"/>
          <w:bCs/>
          <w:color w:val="000000"/>
          <w:sz w:val="24"/>
          <w:szCs w:val="24"/>
        </w:rPr>
        <w:t xml:space="preserve">staying in the property, the applicant could not </w:t>
      </w:r>
      <w:r w:rsidR="004E242D">
        <w:rPr>
          <w:rFonts w:ascii="Arial" w:eastAsia="Times New Roman" w:hAnsi="Arial" w:cs="Arial"/>
          <w:bCs/>
          <w:color w:val="000000"/>
          <w:sz w:val="24"/>
          <w:szCs w:val="24"/>
        </w:rPr>
        <w:t>benefit</w:t>
      </w:r>
      <w:r w:rsidR="007F1490">
        <w:rPr>
          <w:rFonts w:ascii="Arial" w:eastAsia="Times New Roman" w:hAnsi="Arial" w:cs="Arial"/>
          <w:bCs/>
          <w:color w:val="000000"/>
          <w:sz w:val="24"/>
          <w:szCs w:val="24"/>
        </w:rPr>
        <w:t xml:space="preserve"> from the rental as she was not the owner of the property. </w:t>
      </w:r>
      <w:r w:rsidR="001C3933">
        <w:rPr>
          <w:rFonts w:ascii="Arial" w:eastAsia="Times New Roman" w:hAnsi="Arial" w:cs="Arial"/>
          <w:bCs/>
          <w:color w:val="000000"/>
          <w:sz w:val="24"/>
          <w:szCs w:val="24"/>
        </w:rPr>
        <w:t>According to the first respondent, i</w:t>
      </w:r>
      <w:r w:rsidR="007F1490">
        <w:rPr>
          <w:rFonts w:ascii="Arial" w:eastAsia="Times New Roman" w:hAnsi="Arial" w:cs="Arial"/>
          <w:bCs/>
          <w:color w:val="000000"/>
          <w:sz w:val="24"/>
          <w:szCs w:val="24"/>
        </w:rPr>
        <w:t xml:space="preserve">t was agreed </w:t>
      </w:r>
      <w:r w:rsidR="001C3933">
        <w:rPr>
          <w:rFonts w:ascii="Arial" w:eastAsia="Times New Roman" w:hAnsi="Arial" w:cs="Arial"/>
          <w:bCs/>
          <w:color w:val="000000"/>
          <w:sz w:val="24"/>
          <w:szCs w:val="24"/>
        </w:rPr>
        <w:t xml:space="preserve">at that meeting </w:t>
      </w:r>
      <w:r w:rsidR="007F1490">
        <w:rPr>
          <w:rFonts w:ascii="Arial" w:eastAsia="Times New Roman" w:hAnsi="Arial" w:cs="Arial"/>
          <w:bCs/>
          <w:color w:val="000000"/>
          <w:sz w:val="24"/>
          <w:szCs w:val="24"/>
        </w:rPr>
        <w:t>that the applicant must give her the rental money</w:t>
      </w:r>
      <w:r w:rsidR="00D6425A">
        <w:rPr>
          <w:rFonts w:ascii="Arial" w:eastAsia="Times New Roman" w:hAnsi="Arial" w:cs="Arial"/>
          <w:bCs/>
          <w:color w:val="000000"/>
          <w:sz w:val="24"/>
          <w:szCs w:val="24"/>
        </w:rPr>
        <w:t>,</w:t>
      </w:r>
      <w:r w:rsidR="007F1490">
        <w:rPr>
          <w:rFonts w:ascii="Arial" w:eastAsia="Times New Roman" w:hAnsi="Arial" w:cs="Arial"/>
          <w:bCs/>
          <w:color w:val="000000"/>
          <w:sz w:val="24"/>
          <w:szCs w:val="24"/>
        </w:rPr>
        <w:t xml:space="preserve"> which she did. The second respondent denied that the said payments were for the refund of the purchase price of the house. To this end, the </w:t>
      </w:r>
      <w:r w:rsidR="00912178">
        <w:rPr>
          <w:rFonts w:ascii="Arial" w:eastAsia="Times New Roman" w:hAnsi="Arial" w:cs="Arial"/>
          <w:bCs/>
          <w:color w:val="000000"/>
          <w:sz w:val="24"/>
          <w:szCs w:val="24"/>
        </w:rPr>
        <w:t>first</w:t>
      </w:r>
      <w:r w:rsidR="007F1490">
        <w:rPr>
          <w:rFonts w:ascii="Arial" w:eastAsia="Times New Roman" w:hAnsi="Arial" w:cs="Arial"/>
          <w:bCs/>
          <w:color w:val="000000"/>
          <w:sz w:val="24"/>
          <w:szCs w:val="24"/>
        </w:rPr>
        <w:t xml:space="preserve"> respondent attached </w:t>
      </w:r>
      <w:r w:rsidR="004657FD">
        <w:rPr>
          <w:rFonts w:ascii="Arial" w:eastAsia="Times New Roman" w:hAnsi="Arial" w:cs="Arial"/>
          <w:bCs/>
          <w:color w:val="000000"/>
          <w:sz w:val="24"/>
          <w:szCs w:val="24"/>
        </w:rPr>
        <w:t xml:space="preserve">the affidavit of Isaac </w:t>
      </w:r>
      <w:proofErr w:type="spellStart"/>
      <w:r w:rsidR="004657FD">
        <w:rPr>
          <w:rFonts w:ascii="Arial" w:eastAsia="Times New Roman" w:hAnsi="Arial" w:cs="Arial"/>
          <w:bCs/>
          <w:color w:val="000000"/>
          <w:sz w:val="24"/>
          <w:szCs w:val="24"/>
        </w:rPr>
        <w:t>Pani</w:t>
      </w:r>
      <w:proofErr w:type="spellEnd"/>
      <w:r w:rsidR="004657FD">
        <w:rPr>
          <w:rFonts w:ascii="Arial" w:eastAsia="Times New Roman" w:hAnsi="Arial" w:cs="Arial"/>
          <w:bCs/>
          <w:color w:val="000000"/>
          <w:sz w:val="24"/>
          <w:szCs w:val="24"/>
        </w:rPr>
        <w:t>, a street c</w:t>
      </w:r>
      <w:r w:rsidR="007F1490">
        <w:rPr>
          <w:rFonts w:ascii="Arial" w:eastAsia="Times New Roman" w:hAnsi="Arial" w:cs="Arial"/>
          <w:bCs/>
          <w:color w:val="000000"/>
          <w:sz w:val="24"/>
          <w:szCs w:val="24"/>
        </w:rPr>
        <w:t xml:space="preserve">ommittee member who confirmed the </w:t>
      </w:r>
      <w:r w:rsidR="00912178">
        <w:rPr>
          <w:rFonts w:ascii="Arial" w:eastAsia="Times New Roman" w:hAnsi="Arial" w:cs="Arial"/>
          <w:bCs/>
          <w:color w:val="000000"/>
          <w:sz w:val="24"/>
          <w:szCs w:val="24"/>
        </w:rPr>
        <w:t xml:space="preserve">first </w:t>
      </w:r>
      <w:r w:rsidR="007F1490">
        <w:rPr>
          <w:rFonts w:ascii="Arial" w:eastAsia="Times New Roman" w:hAnsi="Arial" w:cs="Arial"/>
          <w:bCs/>
          <w:color w:val="000000"/>
          <w:sz w:val="24"/>
          <w:szCs w:val="24"/>
        </w:rPr>
        <w:t>respondent</w:t>
      </w:r>
      <w:r w:rsidR="00D6425A">
        <w:rPr>
          <w:rFonts w:ascii="Arial" w:eastAsia="Times New Roman" w:hAnsi="Arial" w:cs="Arial"/>
          <w:bCs/>
          <w:color w:val="000000"/>
          <w:sz w:val="24"/>
          <w:szCs w:val="24"/>
        </w:rPr>
        <w:t>’</w:t>
      </w:r>
      <w:r w:rsidR="007F1490">
        <w:rPr>
          <w:rFonts w:ascii="Arial" w:eastAsia="Times New Roman" w:hAnsi="Arial" w:cs="Arial"/>
          <w:bCs/>
          <w:color w:val="000000"/>
          <w:sz w:val="24"/>
          <w:szCs w:val="24"/>
        </w:rPr>
        <w:t xml:space="preserve">s averments. </w:t>
      </w:r>
    </w:p>
    <w:p w:rsidR="00B0579D" w:rsidRPr="003D3BF0" w:rsidRDefault="00B0579D" w:rsidP="00B0579D">
      <w:pPr>
        <w:spacing w:after="0" w:line="480" w:lineRule="auto"/>
        <w:jc w:val="both"/>
        <w:rPr>
          <w:rFonts w:ascii="Arial" w:hAnsi="Arial" w:cs="Arial"/>
          <w:sz w:val="24"/>
          <w:szCs w:val="24"/>
        </w:rPr>
      </w:pPr>
    </w:p>
    <w:p w:rsidR="00D2692D" w:rsidRDefault="00D2692D" w:rsidP="003D3BF0">
      <w:pPr>
        <w:spacing w:after="0" w:line="480" w:lineRule="auto"/>
        <w:jc w:val="both"/>
        <w:rPr>
          <w:rFonts w:ascii="Arial" w:eastAsia="Times New Roman" w:hAnsi="Arial" w:cs="Arial"/>
          <w:b/>
          <w:bCs/>
          <w:color w:val="000000"/>
          <w:sz w:val="24"/>
          <w:szCs w:val="24"/>
        </w:rPr>
      </w:pPr>
      <w:r w:rsidRPr="00D2692D">
        <w:rPr>
          <w:rFonts w:ascii="Arial" w:eastAsia="Times New Roman" w:hAnsi="Arial" w:cs="Arial"/>
          <w:b/>
          <w:bCs/>
          <w:color w:val="000000"/>
          <w:sz w:val="24"/>
          <w:szCs w:val="24"/>
        </w:rPr>
        <w:t>PRELIMINARY POINTS</w:t>
      </w:r>
    </w:p>
    <w:p w:rsidR="001C3933" w:rsidRPr="00D2692D" w:rsidRDefault="001C3933" w:rsidP="003D3BF0">
      <w:pPr>
        <w:spacing w:after="0" w:line="480" w:lineRule="auto"/>
        <w:jc w:val="both"/>
        <w:rPr>
          <w:rFonts w:ascii="Arial" w:eastAsia="Times New Roman" w:hAnsi="Arial" w:cs="Arial"/>
          <w:b/>
          <w:bCs/>
          <w:color w:val="000000"/>
          <w:sz w:val="24"/>
          <w:szCs w:val="24"/>
        </w:rPr>
      </w:pPr>
    </w:p>
    <w:p w:rsidR="00057AEE" w:rsidRDefault="006A0506" w:rsidP="003D3BF0">
      <w:pPr>
        <w:spacing w:after="0" w:line="48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[8</w:t>
      </w:r>
      <w:r w:rsidR="00DF00DB">
        <w:rPr>
          <w:rFonts w:ascii="Arial" w:eastAsia="Times New Roman" w:hAnsi="Arial" w:cs="Arial"/>
          <w:bCs/>
          <w:color w:val="000000"/>
          <w:sz w:val="24"/>
          <w:szCs w:val="24"/>
        </w:rPr>
        <w:t>]</w:t>
      </w:r>
      <w:r w:rsidR="00DF00DB">
        <w:rPr>
          <w:rFonts w:ascii="Arial" w:eastAsia="Times New Roman" w:hAnsi="Arial" w:cs="Arial"/>
          <w:bCs/>
          <w:color w:val="000000"/>
          <w:sz w:val="24"/>
          <w:szCs w:val="24"/>
        </w:rPr>
        <w:tab/>
      </w:r>
      <w:r w:rsidR="003D3BF0" w:rsidRPr="003D3BF0">
        <w:rPr>
          <w:rFonts w:ascii="Arial" w:eastAsia="Times New Roman" w:hAnsi="Arial" w:cs="Arial"/>
          <w:bCs/>
          <w:color w:val="000000"/>
          <w:sz w:val="24"/>
          <w:szCs w:val="24"/>
        </w:rPr>
        <w:t>The</w:t>
      </w:r>
      <w:r w:rsidR="003D3BF0">
        <w:rPr>
          <w:rFonts w:ascii="Arial" w:eastAsia="Times New Roman" w:hAnsi="Arial" w:cs="Arial"/>
          <w:bCs/>
          <w:color w:val="000000"/>
          <w:sz w:val="24"/>
          <w:szCs w:val="24"/>
        </w:rPr>
        <w:t xml:space="preserve"> first</w:t>
      </w:r>
      <w:r w:rsidR="003D3BF0" w:rsidRPr="003D3BF0">
        <w:rPr>
          <w:rFonts w:ascii="Arial" w:eastAsia="Times New Roman" w:hAnsi="Arial" w:cs="Arial"/>
          <w:bCs/>
          <w:color w:val="000000"/>
          <w:sz w:val="24"/>
          <w:szCs w:val="24"/>
        </w:rPr>
        <w:t xml:space="preserve"> respondent </w:t>
      </w:r>
      <w:r w:rsidR="003D3BF0">
        <w:rPr>
          <w:rFonts w:ascii="Arial" w:eastAsia="Times New Roman" w:hAnsi="Arial" w:cs="Arial"/>
          <w:bCs/>
          <w:color w:val="000000"/>
          <w:sz w:val="24"/>
          <w:szCs w:val="24"/>
        </w:rPr>
        <w:t xml:space="preserve">opposed the application and raised two preliminary points. </w:t>
      </w:r>
      <w:r w:rsidR="00DF3395" w:rsidRPr="001C3933">
        <w:rPr>
          <w:rFonts w:ascii="Arial" w:eastAsia="Times New Roman" w:hAnsi="Arial" w:cs="Arial"/>
          <w:bCs/>
          <w:i/>
          <w:color w:val="000000"/>
          <w:sz w:val="24"/>
          <w:szCs w:val="24"/>
        </w:rPr>
        <w:t>First</w:t>
      </w:r>
      <w:r w:rsidR="00DF3395" w:rsidRPr="00DF3395">
        <w:rPr>
          <w:rFonts w:ascii="Arial" w:eastAsia="Times New Roman" w:hAnsi="Arial" w:cs="Arial"/>
          <w:bCs/>
          <w:color w:val="000000"/>
          <w:sz w:val="24"/>
          <w:szCs w:val="24"/>
        </w:rPr>
        <w:t>,</w:t>
      </w:r>
      <w:r w:rsidR="004738B1">
        <w:rPr>
          <w:rFonts w:ascii="Arial" w:eastAsia="Times New Roman" w:hAnsi="Arial" w:cs="Arial"/>
          <w:bCs/>
          <w:color w:val="000000"/>
          <w:sz w:val="24"/>
          <w:szCs w:val="24"/>
        </w:rPr>
        <w:t xml:space="preserve"> t</w:t>
      </w:r>
      <w:r w:rsidR="003D3BF0">
        <w:rPr>
          <w:rFonts w:ascii="Arial" w:eastAsia="Times New Roman" w:hAnsi="Arial" w:cs="Arial"/>
          <w:bCs/>
          <w:color w:val="000000"/>
          <w:sz w:val="24"/>
          <w:szCs w:val="24"/>
        </w:rPr>
        <w:t xml:space="preserve">he </w:t>
      </w:r>
      <w:r w:rsidR="00D6425A">
        <w:rPr>
          <w:rFonts w:ascii="Arial" w:eastAsia="Times New Roman" w:hAnsi="Arial" w:cs="Arial"/>
          <w:bCs/>
          <w:color w:val="000000"/>
          <w:sz w:val="24"/>
          <w:szCs w:val="24"/>
        </w:rPr>
        <w:t xml:space="preserve">first respondent disputed that </w:t>
      </w:r>
      <w:r w:rsidR="003D3BF0">
        <w:rPr>
          <w:rFonts w:ascii="Arial" w:eastAsia="Times New Roman" w:hAnsi="Arial" w:cs="Arial"/>
          <w:bCs/>
          <w:color w:val="000000"/>
          <w:sz w:val="24"/>
          <w:szCs w:val="24"/>
        </w:rPr>
        <w:t>the applicant was marri</w:t>
      </w:r>
      <w:r w:rsidR="006B6B50">
        <w:rPr>
          <w:rFonts w:ascii="Arial" w:eastAsia="Times New Roman" w:hAnsi="Arial" w:cs="Arial"/>
          <w:bCs/>
          <w:color w:val="000000"/>
          <w:sz w:val="24"/>
          <w:szCs w:val="24"/>
        </w:rPr>
        <w:t>ed to the second respondent by c</w:t>
      </w:r>
      <w:r w:rsidR="003D3BF0">
        <w:rPr>
          <w:rFonts w:ascii="Arial" w:eastAsia="Times New Roman" w:hAnsi="Arial" w:cs="Arial"/>
          <w:bCs/>
          <w:color w:val="000000"/>
          <w:sz w:val="24"/>
          <w:szCs w:val="24"/>
        </w:rPr>
        <w:t>ustomary union</w:t>
      </w:r>
      <w:r w:rsidR="004738B1">
        <w:rPr>
          <w:rFonts w:ascii="Arial" w:eastAsia="Times New Roman" w:hAnsi="Arial" w:cs="Arial"/>
          <w:bCs/>
          <w:color w:val="000000"/>
          <w:sz w:val="24"/>
          <w:szCs w:val="24"/>
        </w:rPr>
        <w:t xml:space="preserve">. To this end, the first respondent disputed that the applicant has locus </w:t>
      </w:r>
      <w:proofErr w:type="spellStart"/>
      <w:r w:rsidR="004738B1">
        <w:rPr>
          <w:rFonts w:ascii="Arial" w:eastAsia="Times New Roman" w:hAnsi="Arial" w:cs="Arial"/>
          <w:bCs/>
          <w:color w:val="000000"/>
          <w:sz w:val="24"/>
          <w:szCs w:val="24"/>
        </w:rPr>
        <w:t>standi</w:t>
      </w:r>
      <w:proofErr w:type="spellEnd"/>
      <w:r w:rsidR="004738B1">
        <w:rPr>
          <w:rFonts w:ascii="Arial" w:eastAsia="Times New Roman" w:hAnsi="Arial" w:cs="Arial"/>
          <w:bCs/>
          <w:color w:val="000000"/>
          <w:sz w:val="24"/>
          <w:szCs w:val="24"/>
        </w:rPr>
        <w:t xml:space="preserve"> in this matter. </w:t>
      </w:r>
      <w:r w:rsidR="003D3BF0">
        <w:rPr>
          <w:rFonts w:ascii="Arial" w:eastAsia="Times New Roman" w:hAnsi="Arial" w:cs="Arial"/>
          <w:bCs/>
          <w:color w:val="000000"/>
          <w:sz w:val="24"/>
          <w:szCs w:val="24"/>
        </w:rPr>
        <w:t xml:space="preserve"> The </w:t>
      </w:r>
      <w:r w:rsidR="00D6425A">
        <w:rPr>
          <w:rFonts w:ascii="Arial" w:eastAsia="Times New Roman" w:hAnsi="Arial" w:cs="Arial"/>
          <w:bCs/>
          <w:color w:val="000000"/>
          <w:sz w:val="24"/>
          <w:szCs w:val="24"/>
        </w:rPr>
        <w:t xml:space="preserve">first </w:t>
      </w:r>
      <w:r w:rsidR="003D3BF0">
        <w:rPr>
          <w:rFonts w:ascii="Arial" w:eastAsia="Times New Roman" w:hAnsi="Arial" w:cs="Arial"/>
          <w:bCs/>
          <w:color w:val="000000"/>
          <w:sz w:val="24"/>
          <w:szCs w:val="24"/>
        </w:rPr>
        <w:t xml:space="preserve">respondent also contended that it is not clear in the applicant’s founding affidavit whether the applicant’s purported marriage to the second respondent was negotiated and </w:t>
      </w:r>
      <w:r w:rsidR="00EB168F">
        <w:rPr>
          <w:rFonts w:ascii="Arial" w:eastAsia="Times New Roman" w:hAnsi="Arial" w:cs="Arial"/>
          <w:bCs/>
          <w:color w:val="000000"/>
          <w:sz w:val="24"/>
          <w:szCs w:val="24"/>
        </w:rPr>
        <w:t>entered</w:t>
      </w:r>
      <w:r w:rsidR="003D3BF0">
        <w:rPr>
          <w:rFonts w:ascii="Arial" w:eastAsia="Times New Roman" w:hAnsi="Arial" w:cs="Arial"/>
          <w:bCs/>
          <w:color w:val="000000"/>
          <w:sz w:val="24"/>
          <w:szCs w:val="24"/>
        </w:rPr>
        <w:t xml:space="preserve"> </w:t>
      </w:r>
      <w:r w:rsidR="00EB168F">
        <w:rPr>
          <w:rFonts w:ascii="Arial" w:eastAsia="Times New Roman" w:hAnsi="Arial" w:cs="Arial"/>
          <w:bCs/>
          <w:color w:val="000000"/>
          <w:sz w:val="24"/>
          <w:szCs w:val="24"/>
        </w:rPr>
        <w:t xml:space="preserve">into </w:t>
      </w:r>
      <w:r w:rsidR="003D3BF0">
        <w:rPr>
          <w:rFonts w:ascii="Arial" w:eastAsia="Times New Roman" w:hAnsi="Arial" w:cs="Arial"/>
          <w:bCs/>
          <w:color w:val="000000"/>
          <w:sz w:val="24"/>
          <w:szCs w:val="24"/>
        </w:rPr>
        <w:t xml:space="preserve">or celebrated in accordance with customary law. To </w:t>
      </w:r>
      <w:r w:rsidR="006B6B50">
        <w:rPr>
          <w:rFonts w:ascii="Arial" w:eastAsia="Times New Roman" w:hAnsi="Arial" w:cs="Arial"/>
          <w:bCs/>
          <w:color w:val="000000"/>
          <w:sz w:val="24"/>
          <w:szCs w:val="24"/>
        </w:rPr>
        <w:t xml:space="preserve">her </w:t>
      </w:r>
      <w:r w:rsidR="003D3BF0">
        <w:rPr>
          <w:rFonts w:ascii="Arial" w:eastAsia="Times New Roman" w:hAnsi="Arial" w:cs="Arial"/>
          <w:bCs/>
          <w:color w:val="000000"/>
          <w:sz w:val="24"/>
          <w:szCs w:val="24"/>
        </w:rPr>
        <w:t>knowledge</w:t>
      </w:r>
      <w:r w:rsidR="006B6B50">
        <w:rPr>
          <w:rFonts w:ascii="Arial" w:eastAsia="Times New Roman" w:hAnsi="Arial" w:cs="Arial"/>
          <w:bCs/>
          <w:color w:val="000000"/>
          <w:sz w:val="24"/>
          <w:szCs w:val="24"/>
        </w:rPr>
        <w:t>,</w:t>
      </w:r>
      <w:r w:rsidR="003D3BF0">
        <w:rPr>
          <w:rFonts w:ascii="Arial" w:eastAsia="Times New Roman" w:hAnsi="Arial" w:cs="Arial"/>
          <w:bCs/>
          <w:color w:val="000000"/>
          <w:sz w:val="24"/>
          <w:szCs w:val="24"/>
        </w:rPr>
        <w:t xml:space="preserve"> the applicant was not married</w:t>
      </w:r>
      <w:r w:rsidR="006B6B50">
        <w:rPr>
          <w:rFonts w:ascii="Arial" w:eastAsia="Times New Roman" w:hAnsi="Arial" w:cs="Arial"/>
          <w:bCs/>
          <w:color w:val="000000"/>
          <w:sz w:val="24"/>
          <w:szCs w:val="24"/>
        </w:rPr>
        <w:t xml:space="preserve"> to the second respondent</w:t>
      </w:r>
      <w:r w:rsidR="003D3BF0">
        <w:rPr>
          <w:rFonts w:ascii="Arial" w:eastAsia="Times New Roman" w:hAnsi="Arial" w:cs="Arial"/>
          <w:bCs/>
          <w:color w:val="000000"/>
          <w:sz w:val="24"/>
          <w:szCs w:val="24"/>
        </w:rPr>
        <w:t xml:space="preserve">. </w:t>
      </w:r>
      <w:r w:rsidR="00847521">
        <w:rPr>
          <w:rFonts w:ascii="Arial" w:eastAsia="Times New Roman" w:hAnsi="Arial" w:cs="Arial"/>
          <w:bCs/>
          <w:color w:val="000000"/>
          <w:sz w:val="24"/>
          <w:szCs w:val="24"/>
        </w:rPr>
        <w:t xml:space="preserve">Furthermore, the second </w:t>
      </w:r>
      <w:r w:rsidR="00912178">
        <w:rPr>
          <w:rFonts w:ascii="Arial" w:eastAsia="Times New Roman" w:hAnsi="Arial" w:cs="Arial"/>
          <w:bCs/>
          <w:color w:val="000000"/>
          <w:sz w:val="24"/>
          <w:szCs w:val="24"/>
        </w:rPr>
        <w:t xml:space="preserve">respondent </w:t>
      </w:r>
      <w:r w:rsidR="00847521">
        <w:rPr>
          <w:rFonts w:ascii="Arial" w:eastAsia="Times New Roman" w:hAnsi="Arial" w:cs="Arial"/>
          <w:bCs/>
          <w:color w:val="000000"/>
          <w:sz w:val="24"/>
          <w:szCs w:val="24"/>
        </w:rPr>
        <w:t xml:space="preserve">expressly confirmed that he was unmarried when the sale agreement was concluded. </w:t>
      </w:r>
    </w:p>
    <w:p w:rsidR="00DF3395" w:rsidRDefault="00DF3395" w:rsidP="003D3BF0">
      <w:pPr>
        <w:spacing w:after="0" w:line="480" w:lineRule="auto"/>
        <w:jc w:val="both"/>
        <w:rPr>
          <w:rFonts w:ascii="Arial" w:eastAsia="Times New Roman" w:hAnsi="Arial" w:cs="Arial"/>
          <w:bCs/>
          <w:color w:val="000000"/>
          <w:sz w:val="24"/>
          <w:szCs w:val="24"/>
        </w:rPr>
      </w:pPr>
    </w:p>
    <w:p w:rsidR="006B6B50" w:rsidRDefault="006A0506" w:rsidP="00A6696A">
      <w:pPr>
        <w:spacing w:after="0" w:line="480" w:lineRule="auto"/>
        <w:jc w:val="both"/>
        <w:rPr>
          <w:rFonts w:ascii="Arial" w:eastAsia="Times New Roman" w:hAnsi="Arial" w:cs="Arial"/>
          <w:bCs/>
          <w:color w:val="000000"/>
          <w:sz w:val="24"/>
          <w:szCs w:val="24"/>
        </w:rPr>
      </w:pPr>
      <w:r>
        <w:rPr>
          <w:rFonts w:ascii="Arial" w:eastAsia="Times New Roman" w:hAnsi="Arial" w:cs="Arial"/>
          <w:bCs/>
          <w:iCs/>
          <w:color w:val="000000"/>
          <w:sz w:val="24"/>
          <w:szCs w:val="24"/>
        </w:rPr>
        <w:t>[9</w:t>
      </w:r>
      <w:r w:rsidR="00DF00DB">
        <w:rPr>
          <w:rFonts w:ascii="Arial" w:eastAsia="Times New Roman" w:hAnsi="Arial" w:cs="Arial"/>
          <w:bCs/>
          <w:iCs/>
          <w:color w:val="000000"/>
          <w:sz w:val="24"/>
          <w:szCs w:val="24"/>
        </w:rPr>
        <w:t>]</w:t>
      </w:r>
      <w:r w:rsidR="00DF00DB">
        <w:rPr>
          <w:rFonts w:ascii="Arial" w:eastAsia="Times New Roman" w:hAnsi="Arial" w:cs="Arial"/>
          <w:bCs/>
          <w:iCs/>
          <w:color w:val="000000"/>
          <w:sz w:val="24"/>
          <w:szCs w:val="24"/>
        </w:rPr>
        <w:tab/>
      </w:r>
      <w:r w:rsidR="00DF3395" w:rsidRPr="006B6B50">
        <w:rPr>
          <w:rFonts w:ascii="Arial" w:eastAsia="Times New Roman" w:hAnsi="Arial" w:cs="Arial"/>
          <w:bCs/>
          <w:i/>
          <w:color w:val="000000"/>
          <w:sz w:val="24"/>
          <w:szCs w:val="24"/>
        </w:rPr>
        <w:t>Secondly</w:t>
      </w:r>
      <w:r w:rsidR="00DF3395">
        <w:rPr>
          <w:rFonts w:ascii="Arial" w:eastAsia="Times New Roman" w:hAnsi="Arial" w:cs="Arial"/>
          <w:bCs/>
          <w:color w:val="000000"/>
          <w:sz w:val="24"/>
          <w:szCs w:val="24"/>
        </w:rPr>
        <w:t>, t</w:t>
      </w:r>
      <w:r w:rsidR="00847521">
        <w:rPr>
          <w:rFonts w:ascii="Arial" w:eastAsia="Times New Roman" w:hAnsi="Arial" w:cs="Arial"/>
          <w:bCs/>
          <w:color w:val="000000"/>
          <w:sz w:val="24"/>
          <w:szCs w:val="24"/>
        </w:rPr>
        <w:t xml:space="preserve">he </w:t>
      </w:r>
      <w:r w:rsidR="00912178">
        <w:rPr>
          <w:rFonts w:ascii="Arial" w:eastAsia="Times New Roman" w:hAnsi="Arial" w:cs="Arial"/>
          <w:bCs/>
          <w:color w:val="000000"/>
          <w:sz w:val="24"/>
          <w:szCs w:val="24"/>
        </w:rPr>
        <w:t>first r</w:t>
      </w:r>
      <w:r w:rsidR="00847521">
        <w:rPr>
          <w:rFonts w:ascii="Arial" w:eastAsia="Times New Roman" w:hAnsi="Arial" w:cs="Arial"/>
          <w:bCs/>
          <w:color w:val="000000"/>
          <w:sz w:val="24"/>
          <w:szCs w:val="24"/>
        </w:rPr>
        <w:t xml:space="preserve">espondent </w:t>
      </w:r>
      <w:r w:rsidR="00DD2E60">
        <w:rPr>
          <w:rFonts w:ascii="Arial" w:eastAsia="Times New Roman" w:hAnsi="Arial" w:cs="Arial"/>
          <w:bCs/>
          <w:color w:val="000000"/>
          <w:sz w:val="24"/>
          <w:szCs w:val="24"/>
        </w:rPr>
        <w:t xml:space="preserve">raised the non-joinder of the Master of the High Court and the executor of the second respondent’s deceased estate as her second preliminary point. The first respondent </w:t>
      </w:r>
      <w:r w:rsidR="00847521">
        <w:rPr>
          <w:rFonts w:ascii="Arial" w:eastAsia="Times New Roman" w:hAnsi="Arial" w:cs="Arial"/>
          <w:bCs/>
          <w:color w:val="000000"/>
          <w:sz w:val="24"/>
          <w:szCs w:val="24"/>
        </w:rPr>
        <w:t xml:space="preserve">alluded to the fact that she was informed that </w:t>
      </w:r>
      <w:r w:rsidR="00847521">
        <w:rPr>
          <w:rFonts w:ascii="Arial" w:eastAsia="Times New Roman" w:hAnsi="Arial" w:cs="Arial"/>
          <w:bCs/>
          <w:color w:val="000000"/>
          <w:sz w:val="24"/>
          <w:szCs w:val="24"/>
        </w:rPr>
        <w:lastRenderedPageBreak/>
        <w:t>the second respondent (</w:t>
      </w:r>
      <w:r w:rsidR="00D6425A">
        <w:rPr>
          <w:rFonts w:ascii="Arial" w:eastAsia="Times New Roman" w:hAnsi="Arial" w:cs="Arial"/>
          <w:bCs/>
          <w:color w:val="000000"/>
          <w:sz w:val="24"/>
          <w:szCs w:val="24"/>
        </w:rPr>
        <w:t xml:space="preserve">the </w:t>
      </w:r>
      <w:r w:rsidR="00847521">
        <w:rPr>
          <w:rFonts w:ascii="Arial" w:eastAsia="Times New Roman" w:hAnsi="Arial" w:cs="Arial"/>
          <w:bCs/>
          <w:color w:val="000000"/>
          <w:sz w:val="24"/>
          <w:szCs w:val="24"/>
        </w:rPr>
        <w:t>applicant’</w:t>
      </w:r>
      <w:r w:rsidR="00D6425A">
        <w:rPr>
          <w:rFonts w:ascii="Arial" w:eastAsia="Times New Roman" w:hAnsi="Arial" w:cs="Arial"/>
          <w:bCs/>
          <w:color w:val="000000"/>
          <w:sz w:val="24"/>
          <w:szCs w:val="24"/>
        </w:rPr>
        <w:t>s</w:t>
      </w:r>
      <w:r w:rsidR="00847521">
        <w:rPr>
          <w:rFonts w:ascii="Arial" w:eastAsia="Times New Roman" w:hAnsi="Arial" w:cs="Arial"/>
          <w:bCs/>
          <w:color w:val="000000"/>
          <w:sz w:val="24"/>
          <w:szCs w:val="24"/>
        </w:rPr>
        <w:t xml:space="preserve"> husband) passed away towards the end of 2021. </w:t>
      </w:r>
      <w:r w:rsidR="0031256B">
        <w:rPr>
          <w:rFonts w:ascii="Arial" w:eastAsia="Times New Roman" w:hAnsi="Arial" w:cs="Arial"/>
          <w:bCs/>
          <w:color w:val="000000"/>
          <w:sz w:val="24"/>
          <w:szCs w:val="24"/>
        </w:rPr>
        <w:t>After</w:t>
      </w:r>
      <w:r w:rsidR="00847521">
        <w:rPr>
          <w:rFonts w:ascii="Arial" w:eastAsia="Times New Roman" w:hAnsi="Arial" w:cs="Arial"/>
          <w:bCs/>
          <w:color w:val="000000"/>
          <w:sz w:val="24"/>
          <w:szCs w:val="24"/>
        </w:rPr>
        <w:t xml:space="preserve"> the passing of the second respondent, the applicant conveniently instituted these proceedings. </w:t>
      </w:r>
      <w:r w:rsidR="009741A2">
        <w:rPr>
          <w:rFonts w:ascii="Arial" w:eastAsia="Times New Roman" w:hAnsi="Arial" w:cs="Arial"/>
          <w:bCs/>
          <w:color w:val="000000"/>
          <w:sz w:val="24"/>
          <w:szCs w:val="24"/>
        </w:rPr>
        <w:t xml:space="preserve">The </w:t>
      </w:r>
      <w:r w:rsidR="00DD2E60">
        <w:rPr>
          <w:rFonts w:ascii="Arial" w:eastAsia="Times New Roman" w:hAnsi="Arial" w:cs="Arial"/>
          <w:bCs/>
          <w:color w:val="000000"/>
          <w:sz w:val="24"/>
          <w:szCs w:val="24"/>
        </w:rPr>
        <w:t>first</w:t>
      </w:r>
      <w:r w:rsidR="009741A2">
        <w:rPr>
          <w:rFonts w:ascii="Arial" w:eastAsia="Times New Roman" w:hAnsi="Arial" w:cs="Arial"/>
          <w:bCs/>
          <w:color w:val="000000"/>
          <w:sz w:val="24"/>
          <w:szCs w:val="24"/>
        </w:rPr>
        <w:t xml:space="preserve"> respondent contended that the applicant should have cited the executor of the second respondent’s </w:t>
      </w:r>
      <w:r w:rsidR="00DD2E60">
        <w:rPr>
          <w:rFonts w:ascii="Arial" w:eastAsia="Times New Roman" w:hAnsi="Arial" w:cs="Arial"/>
          <w:bCs/>
          <w:color w:val="000000"/>
          <w:sz w:val="24"/>
          <w:szCs w:val="24"/>
        </w:rPr>
        <w:t xml:space="preserve">deceased </w:t>
      </w:r>
      <w:r w:rsidR="009741A2">
        <w:rPr>
          <w:rFonts w:ascii="Arial" w:eastAsia="Times New Roman" w:hAnsi="Arial" w:cs="Arial"/>
          <w:bCs/>
          <w:color w:val="000000"/>
          <w:sz w:val="24"/>
          <w:szCs w:val="24"/>
        </w:rPr>
        <w:t xml:space="preserve">estate as </w:t>
      </w:r>
      <w:r w:rsidR="00DD2E60">
        <w:rPr>
          <w:rFonts w:ascii="Arial" w:eastAsia="Times New Roman" w:hAnsi="Arial" w:cs="Arial"/>
          <w:bCs/>
          <w:color w:val="000000"/>
          <w:sz w:val="24"/>
          <w:szCs w:val="24"/>
        </w:rPr>
        <w:t>a party in these proceedings</w:t>
      </w:r>
      <w:r w:rsidR="00991B4F">
        <w:rPr>
          <w:rFonts w:ascii="Arial" w:eastAsia="Times New Roman" w:hAnsi="Arial" w:cs="Arial"/>
          <w:bCs/>
          <w:color w:val="000000"/>
          <w:sz w:val="24"/>
          <w:szCs w:val="24"/>
        </w:rPr>
        <w:t>,</w:t>
      </w:r>
      <w:r w:rsidR="00DD2E60">
        <w:rPr>
          <w:rFonts w:ascii="Arial" w:eastAsia="Times New Roman" w:hAnsi="Arial" w:cs="Arial"/>
          <w:bCs/>
          <w:color w:val="000000"/>
          <w:sz w:val="24"/>
          <w:szCs w:val="24"/>
        </w:rPr>
        <w:t xml:space="preserve"> as </w:t>
      </w:r>
      <w:r w:rsidR="009741A2">
        <w:rPr>
          <w:rFonts w:ascii="Arial" w:eastAsia="Times New Roman" w:hAnsi="Arial" w:cs="Arial"/>
          <w:bCs/>
          <w:color w:val="000000"/>
          <w:sz w:val="24"/>
          <w:szCs w:val="24"/>
        </w:rPr>
        <w:t>the second respondent is central to this application.</w:t>
      </w:r>
      <w:r w:rsidR="00A6696A">
        <w:rPr>
          <w:rFonts w:ascii="Arial" w:eastAsia="Times New Roman" w:hAnsi="Arial" w:cs="Arial"/>
          <w:bCs/>
          <w:color w:val="000000"/>
          <w:sz w:val="24"/>
          <w:szCs w:val="24"/>
        </w:rPr>
        <w:t xml:space="preserve"> </w:t>
      </w:r>
      <w:r w:rsidR="00DD2E60">
        <w:rPr>
          <w:rFonts w:ascii="Arial" w:eastAsia="Times New Roman" w:hAnsi="Arial" w:cs="Arial"/>
          <w:bCs/>
          <w:color w:val="000000"/>
          <w:sz w:val="24"/>
          <w:szCs w:val="24"/>
        </w:rPr>
        <w:t>For the sake of completeness, I w</w:t>
      </w:r>
      <w:r w:rsidR="00991B4F">
        <w:rPr>
          <w:rFonts w:ascii="Arial" w:eastAsia="Times New Roman" w:hAnsi="Arial" w:cs="Arial"/>
          <w:bCs/>
          <w:color w:val="000000"/>
          <w:sz w:val="24"/>
          <w:szCs w:val="24"/>
        </w:rPr>
        <w:t>ill consider these preliminary</w:t>
      </w:r>
      <w:r w:rsidR="00DD2E60">
        <w:rPr>
          <w:rFonts w:ascii="Arial" w:eastAsia="Times New Roman" w:hAnsi="Arial" w:cs="Arial"/>
          <w:bCs/>
          <w:color w:val="000000"/>
          <w:sz w:val="24"/>
          <w:szCs w:val="24"/>
        </w:rPr>
        <w:t xml:space="preserve"> issues </w:t>
      </w:r>
      <w:r w:rsidR="001144CE">
        <w:rPr>
          <w:rFonts w:ascii="Arial" w:eastAsia="Times New Roman" w:hAnsi="Arial" w:cs="Arial"/>
          <w:bCs/>
          <w:color w:val="000000"/>
          <w:sz w:val="24"/>
          <w:szCs w:val="24"/>
        </w:rPr>
        <w:t>sequentially</w:t>
      </w:r>
      <w:r w:rsidR="00DD2E60">
        <w:rPr>
          <w:rFonts w:ascii="Arial" w:eastAsia="Times New Roman" w:hAnsi="Arial" w:cs="Arial"/>
          <w:bCs/>
          <w:color w:val="000000"/>
          <w:sz w:val="24"/>
          <w:szCs w:val="24"/>
        </w:rPr>
        <w:t xml:space="preserve">. </w:t>
      </w:r>
    </w:p>
    <w:p w:rsidR="008B0CD5" w:rsidRDefault="008B0CD5" w:rsidP="00A6696A">
      <w:pPr>
        <w:spacing w:after="0" w:line="480" w:lineRule="auto"/>
        <w:jc w:val="both"/>
        <w:rPr>
          <w:rFonts w:ascii="Arial" w:eastAsia="Times New Roman" w:hAnsi="Arial" w:cs="Arial"/>
          <w:b/>
          <w:bCs/>
          <w:i/>
          <w:color w:val="000000"/>
          <w:sz w:val="24"/>
          <w:szCs w:val="24"/>
        </w:rPr>
      </w:pPr>
    </w:p>
    <w:p w:rsidR="009C10BB" w:rsidRPr="009C10BB" w:rsidRDefault="009C10BB" w:rsidP="00A6696A">
      <w:pPr>
        <w:spacing w:after="0" w:line="480" w:lineRule="auto"/>
        <w:jc w:val="both"/>
        <w:rPr>
          <w:rFonts w:ascii="Arial" w:hAnsi="Arial" w:cs="Arial"/>
          <w:b/>
          <w:sz w:val="24"/>
          <w:szCs w:val="24"/>
        </w:rPr>
      </w:pPr>
      <w:r w:rsidRPr="009C10BB">
        <w:rPr>
          <w:rFonts w:ascii="Arial" w:hAnsi="Arial" w:cs="Arial"/>
          <w:b/>
          <w:sz w:val="24"/>
          <w:szCs w:val="24"/>
        </w:rPr>
        <w:t>DOES THE APPLICANT HAVE LOCUS STANDI?</w:t>
      </w:r>
    </w:p>
    <w:p w:rsidR="009C10BB" w:rsidRDefault="009C10BB" w:rsidP="00A6696A">
      <w:pPr>
        <w:spacing w:after="0" w:line="480" w:lineRule="auto"/>
        <w:jc w:val="both"/>
        <w:rPr>
          <w:rFonts w:ascii="Arial" w:hAnsi="Arial" w:cs="Arial"/>
          <w:sz w:val="24"/>
          <w:szCs w:val="24"/>
        </w:rPr>
      </w:pPr>
    </w:p>
    <w:p w:rsidR="008B0CD5" w:rsidRDefault="006A0506" w:rsidP="00A6696A">
      <w:pPr>
        <w:spacing w:after="0" w:line="480" w:lineRule="auto"/>
        <w:jc w:val="both"/>
        <w:rPr>
          <w:rFonts w:ascii="Arial" w:hAnsi="Arial" w:cs="Arial"/>
          <w:sz w:val="24"/>
          <w:szCs w:val="24"/>
        </w:rPr>
      </w:pPr>
      <w:r>
        <w:rPr>
          <w:rFonts w:ascii="Arial" w:hAnsi="Arial" w:cs="Arial"/>
          <w:sz w:val="24"/>
          <w:szCs w:val="24"/>
        </w:rPr>
        <w:t>[10</w:t>
      </w:r>
      <w:r w:rsidR="00DF00DB">
        <w:rPr>
          <w:rFonts w:ascii="Arial" w:hAnsi="Arial" w:cs="Arial"/>
          <w:sz w:val="24"/>
          <w:szCs w:val="24"/>
        </w:rPr>
        <w:t>]</w:t>
      </w:r>
      <w:r w:rsidR="00DF00DB">
        <w:rPr>
          <w:rFonts w:ascii="Arial" w:hAnsi="Arial" w:cs="Arial"/>
          <w:sz w:val="24"/>
          <w:szCs w:val="24"/>
        </w:rPr>
        <w:tab/>
      </w:r>
      <w:r w:rsidR="00F23C2E">
        <w:rPr>
          <w:rFonts w:ascii="Arial" w:hAnsi="Arial" w:cs="Arial"/>
          <w:sz w:val="24"/>
          <w:szCs w:val="24"/>
        </w:rPr>
        <w:t>At the hearing o</w:t>
      </w:r>
      <w:r w:rsidR="006B6B50">
        <w:rPr>
          <w:rFonts w:ascii="Arial" w:hAnsi="Arial" w:cs="Arial"/>
          <w:sz w:val="24"/>
          <w:szCs w:val="24"/>
        </w:rPr>
        <w:t>f</w:t>
      </w:r>
      <w:r w:rsidR="00F23C2E">
        <w:rPr>
          <w:rFonts w:ascii="Arial" w:hAnsi="Arial" w:cs="Arial"/>
          <w:sz w:val="24"/>
          <w:szCs w:val="24"/>
        </w:rPr>
        <w:t xml:space="preserve"> this application, </w:t>
      </w:r>
      <w:r w:rsidR="006B6B50">
        <w:rPr>
          <w:rFonts w:ascii="Arial" w:hAnsi="Arial" w:cs="Arial"/>
          <w:sz w:val="24"/>
          <w:szCs w:val="24"/>
        </w:rPr>
        <w:t xml:space="preserve">the first respondent’s legal representative </w:t>
      </w:r>
      <w:r w:rsidR="00F23C2E">
        <w:rPr>
          <w:rFonts w:ascii="Arial" w:hAnsi="Arial" w:cs="Arial"/>
          <w:sz w:val="24"/>
          <w:szCs w:val="24"/>
        </w:rPr>
        <w:t xml:space="preserve">argued that the applicant’s application </w:t>
      </w:r>
      <w:r w:rsidR="00D6425A">
        <w:rPr>
          <w:rFonts w:ascii="Arial" w:hAnsi="Arial" w:cs="Arial"/>
          <w:sz w:val="24"/>
          <w:szCs w:val="24"/>
        </w:rPr>
        <w:t>wa</w:t>
      </w:r>
      <w:r w:rsidR="00F23C2E">
        <w:rPr>
          <w:rFonts w:ascii="Arial" w:hAnsi="Arial" w:cs="Arial"/>
          <w:sz w:val="24"/>
          <w:szCs w:val="24"/>
        </w:rPr>
        <w:t>s doomed to fail because the applicant failed to</w:t>
      </w:r>
      <w:r w:rsidR="008B0CD5">
        <w:rPr>
          <w:rFonts w:ascii="Arial" w:hAnsi="Arial" w:cs="Arial"/>
          <w:sz w:val="24"/>
          <w:szCs w:val="24"/>
        </w:rPr>
        <w:t xml:space="preserve"> prove the exi</w:t>
      </w:r>
      <w:r w:rsidR="00991B4F">
        <w:rPr>
          <w:rFonts w:ascii="Arial" w:hAnsi="Arial" w:cs="Arial"/>
          <w:sz w:val="24"/>
          <w:szCs w:val="24"/>
        </w:rPr>
        <w:t xml:space="preserve">stence of a customary marriage under </w:t>
      </w:r>
      <w:r w:rsidR="008B0CD5">
        <w:rPr>
          <w:rFonts w:ascii="Arial" w:hAnsi="Arial" w:cs="Arial"/>
          <w:sz w:val="24"/>
          <w:szCs w:val="24"/>
        </w:rPr>
        <w:t xml:space="preserve">the provisions of the Recognition of Customary Marriages Act 120 of 1998 (“the RCMA”) between herself and the now deceased second respondent at the time when the agreement was concluded. It was also submitted that the applicant failed to </w:t>
      </w:r>
      <w:r w:rsidR="00EB168F">
        <w:rPr>
          <w:rFonts w:ascii="Arial" w:hAnsi="Arial" w:cs="Arial"/>
          <w:sz w:val="24"/>
          <w:szCs w:val="24"/>
        </w:rPr>
        <w:t>seek</w:t>
      </w:r>
      <w:r w:rsidR="00F23C2E">
        <w:rPr>
          <w:rFonts w:ascii="Arial" w:hAnsi="Arial" w:cs="Arial"/>
          <w:sz w:val="24"/>
          <w:szCs w:val="24"/>
        </w:rPr>
        <w:t xml:space="preserve"> an order </w:t>
      </w:r>
      <w:r w:rsidR="008B0CD5">
        <w:rPr>
          <w:rFonts w:ascii="Arial" w:hAnsi="Arial" w:cs="Arial"/>
          <w:sz w:val="24"/>
          <w:szCs w:val="24"/>
        </w:rPr>
        <w:t xml:space="preserve">in these proceedings </w:t>
      </w:r>
      <w:r w:rsidR="00F23C2E">
        <w:rPr>
          <w:rFonts w:ascii="Arial" w:hAnsi="Arial" w:cs="Arial"/>
          <w:sz w:val="24"/>
          <w:szCs w:val="24"/>
        </w:rPr>
        <w:t xml:space="preserve">declaring the existence of a valid marriage between </w:t>
      </w:r>
      <w:r w:rsidR="004A7658">
        <w:rPr>
          <w:rFonts w:ascii="Arial" w:hAnsi="Arial" w:cs="Arial"/>
          <w:sz w:val="24"/>
          <w:szCs w:val="24"/>
        </w:rPr>
        <w:t>herself</w:t>
      </w:r>
      <w:r w:rsidR="00F23C2E">
        <w:rPr>
          <w:rFonts w:ascii="Arial" w:hAnsi="Arial" w:cs="Arial"/>
          <w:sz w:val="24"/>
          <w:szCs w:val="24"/>
        </w:rPr>
        <w:t xml:space="preserve"> and </w:t>
      </w:r>
      <w:r w:rsidR="00D6425A">
        <w:rPr>
          <w:rFonts w:ascii="Arial" w:hAnsi="Arial" w:cs="Arial"/>
          <w:sz w:val="24"/>
          <w:szCs w:val="24"/>
        </w:rPr>
        <w:t xml:space="preserve">the </w:t>
      </w:r>
      <w:r w:rsidR="00F23C2E">
        <w:rPr>
          <w:rFonts w:ascii="Arial" w:hAnsi="Arial" w:cs="Arial"/>
          <w:sz w:val="24"/>
          <w:szCs w:val="24"/>
        </w:rPr>
        <w:t xml:space="preserve">second respondent. </w:t>
      </w:r>
      <w:r w:rsidR="004F3F0C">
        <w:rPr>
          <w:rFonts w:ascii="Arial" w:hAnsi="Arial" w:cs="Arial"/>
          <w:sz w:val="24"/>
          <w:szCs w:val="24"/>
        </w:rPr>
        <w:t xml:space="preserve">It was further contended that </w:t>
      </w:r>
      <w:r w:rsidR="00CA3C7B">
        <w:rPr>
          <w:rFonts w:ascii="Arial" w:hAnsi="Arial" w:cs="Arial"/>
          <w:sz w:val="24"/>
          <w:szCs w:val="24"/>
        </w:rPr>
        <w:t>the applicant does not have the requisite standing to pursue this litigation ostensibly to declare the agreement null and void.</w:t>
      </w:r>
    </w:p>
    <w:p w:rsidR="008B0CD5" w:rsidRDefault="008B0CD5" w:rsidP="00A6696A">
      <w:pPr>
        <w:spacing w:after="0" w:line="480" w:lineRule="auto"/>
        <w:jc w:val="both"/>
        <w:rPr>
          <w:rFonts w:ascii="Arial" w:hAnsi="Arial" w:cs="Arial"/>
          <w:sz w:val="24"/>
          <w:szCs w:val="24"/>
        </w:rPr>
      </w:pPr>
    </w:p>
    <w:p w:rsidR="006B6B50" w:rsidRDefault="006A0506" w:rsidP="00A6696A">
      <w:pPr>
        <w:spacing w:after="0" w:line="480" w:lineRule="auto"/>
        <w:jc w:val="both"/>
        <w:rPr>
          <w:rFonts w:ascii="Arial" w:hAnsi="Arial" w:cs="Arial"/>
          <w:sz w:val="24"/>
          <w:szCs w:val="24"/>
        </w:rPr>
      </w:pPr>
      <w:r>
        <w:rPr>
          <w:rFonts w:ascii="Arial" w:hAnsi="Arial" w:cs="Arial"/>
          <w:sz w:val="24"/>
          <w:szCs w:val="24"/>
        </w:rPr>
        <w:t>[11</w:t>
      </w:r>
      <w:r w:rsidR="00DF00DB">
        <w:rPr>
          <w:rFonts w:ascii="Arial" w:hAnsi="Arial" w:cs="Arial"/>
          <w:sz w:val="24"/>
          <w:szCs w:val="24"/>
        </w:rPr>
        <w:t>]</w:t>
      </w:r>
      <w:r w:rsidR="00DF00DB">
        <w:rPr>
          <w:rFonts w:ascii="Arial" w:hAnsi="Arial" w:cs="Arial"/>
          <w:sz w:val="24"/>
          <w:szCs w:val="24"/>
        </w:rPr>
        <w:tab/>
      </w:r>
      <w:r w:rsidR="006B6B50">
        <w:rPr>
          <w:rFonts w:ascii="Arial" w:hAnsi="Arial" w:cs="Arial"/>
          <w:sz w:val="24"/>
          <w:szCs w:val="24"/>
        </w:rPr>
        <w:t xml:space="preserve">In response, the applicant’s legal representative </w:t>
      </w:r>
      <w:r w:rsidR="004A7658">
        <w:rPr>
          <w:rFonts w:ascii="Arial" w:hAnsi="Arial" w:cs="Arial"/>
          <w:sz w:val="24"/>
          <w:szCs w:val="24"/>
        </w:rPr>
        <w:t xml:space="preserve">submitted that the </w:t>
      </w:r>
      <w:r w:rsidR="006B6B50">
        <w:rPr>
          <w:rFonts w:ascii="Arial" w:hAnsi="Arial" w:cs="Arial"/>
          <w:sz w:val="24"/>
          <w:szCs w:val="24"/>
        </w:rPr>
        <w:t>non-</w:t>
      </w:r>
      <w:r w:rsidR="004A7658">
        <w:rPr>
          <w:rFonts w:ascii="Arial" w:hAnsi="Arial" w:cs="Arial"/>
          <w:sz w:val="24"/>
          <w:szCs w:val="24"/>
        </w:rPr>
        <w:t xml:space="preserve">registration of a customary marriage in terms of the </w:t>
      </w:r>
      <w:r w:rsidR="008B0CD5">
        <w:rPr>
          <w:rFonts w:ascii="Arial" w:hAnsi="Arial" w:cs="Arial"/>
          <w:sz w:val="24"/>
          <w:szCs w:val="24"/>
        </w:rPr>
        <w:t xml:space="preserve">RCMA </w:t>
      </w:r>
      <w:r w:rsidR="004A7658">
        <w:rPr>
          <w:rFonts w:ascii="Arial" w:hAnsi="Arial" w:cs="Arial"/>
          <w:sz w:val="24"/>
          <w:szCs w:val="24"/>
        </w:rPr>
        <w:t xml:space="preserve">does not invalidate a marriage concluded according to indigenous law and customs. </w:t>
      </w:r>
      <w:r w:rsidR="004F3F0C">
        <w:rPr>
          <w:rFonts w:ascii="Arial" w:hAnsi="Arial" w:cs="Arial"/>
          <w:sz w:val="24"/>
          <w:szCs w:val="24"/>
        </w:rPr>
        <w:t xml:space="preserve">Counsel argued that </w:t>
      </w:r>
      <w:r w:rsidR="00CA3C7B">
        <w:rPr>
          <w:rFonts w:ascii="Arial" w:hAnsi="Arial" w:cs="Arial"/>
          <w:sz w:val="24"/>
          <w:szCs w:val="24"/>
        </w:rPr>
        <w:t xml:space="preserve">the first respondent was </w:t>
      </w:r>
      <w:r w:rsidR="00FA33E8">
        <w:rPr>
          <w:rFonts w:ascii="Arial" w:hAnsi="Arial" w:cs="Arial"/>
          <w:sz w:val="24"/>
          <w:szCs w:val="24"/>
        </w:rPr>
        <w:t>aware</w:t>
      </w:r>
      <w:r w:rsidR="00CA3C7B">
        <w:rPr>
          <w:rFonts w:ascii="Arial" w:hAnsi="Arial" w:cs="Arial"/>
          <w:sz w:val="24"/>
          <w:szCs w:val="24"/>
        </w:rPr>
        <w:t xml:space="preserve"> of the subsistence of a marriage relationship between the applicant and the second respondent. </w:t>
      </w:r>
      <w:r w:rsidR="004F3F0C">
        <w:rPr>
          <w:rFonts w:ascii="Arial" w:hAnsi="Arial" w:cs="Arial"/>
          <w:sz w:val="24"/>
          <w:szCs w:val="24"/>
        </w:rPr>
        <w:t xml:space="preserve">The court was referred to the founding affidavit of </w:t>
      </w:r>
      <w:r w:rsidR="00D6425A">
        <w:rPr>
          <w:rFonts w:ascii="Arial" w:hAnsi="Arial" w:cs="Arial"/>
          <w:sz w:val="24"/>
          <w:szCs w:val="24"/>
        </w:rPr>
        <w:t>the</w:t>
      </w:r>
      <w:r w:rsidR="004F3F0C">
        <w:rPr>
          <w:rFonts w:ascii="Arial" w:hAnsi="Arial" w:cs="Arial"/>
          <w:sz w:val="24"/>
          <w:szCs w:val="24"/>
        </w:rPr>
        <w:t xml:space="preserve"> </w:t>
      </w:r>
      <w:r w:rsidR="00D6425A">
        <w:rPr>
          <w:rFonts w:ascii="Arial" w:hAnsi="Arial" w:cs="Arial"/>
          <w:sz w:val="24"/>
          <w:szCs w:val="24"/>
        </w:rPr>
        <w:t>first</w:t>
      </w:r>
      <w:r w:rsidR="004F3F0C">
        <w:rPr>
          <w:rFonts w:ascii="Arial" w:hAnsi="Arial" w:cs="Arial"/>
          <w:sz w:val="24"/>
          <w:szCs w:val="24"/>
        </w:rPr>
        <w:t xml:space="preserve"> respondent in the eviction application at </w:t>
      </w:r>
      <w:proofErr w:type="spellStart"/>
      <w:r w:rsidR="00D6425A">
        <w:rPr>
          <w:rFonts w:ascii="Arial" w:hAnsi="Arial" w:cs="Arial"/>
          <w:sz w:val="24"/>
          <w:szCs w:val="24"/>
        </w:rPr>
        <w:t>Khayelitsha</w:t>
      </w:r>
      <w:proofErr w:type="spellEnd"/>
      <w:r w:rsidR="004F3F0C">
        <w:rPr>
          <w:rFonts w:ascii="Arial" w:hAnsi="Arial" w:cs="Arial"/>
          <w:sz w:val="24"/>
          <w:szCs w:val="24"/>
        </w:rPr>
        <w:t xml:space="preserve"> Court</w:t>
      </w:r>
      <w:r w:rsidR="00D6425A">
        <w:rPr>
          <w:rFonts w:ascii="Arial" w:hAnsi="Arial" w:cs="Arial"/>
          <w:sz w:val="24"/>
          <w:szCs w:val="24"/>
        </w:rPr>
        <w:t>,</w:t>
      </w:r>
      <w:r w:rsidR="004F3F0C">
        <w:rPr>
          <w:rFonts w:ascii="Arial" w:hAnsi="Arial" w:cs="Arial"/>
          <w:sz w:val="24"/>
          <w:szCs w:val="24"/>
        </w:rPr>
        <w:t xml:space="preserve"> in which </w:t>
      </w:r>
      <w:r w:rsidR="004F3F0C">
        <w:rPr>
          <w:rFonts w:ascii="Arial" w:hAnsi="Arial" w:cs="Arial"/>
          <w:sz w:val="24"/>
          <w:szCs w:val="24"/>
        </w:rPr>
        <w:lastRenderedPageBreak/>
        <w:t xml:space="preserve">the first respondent stated that before the applicant moved into </w:t>
      </w:r>
      <w:r w:rsidR="00FA33E8">
        <w:rPr>
          <w:rFonts w:ascii="Arial" w:hAnsi="Arial" w:cs="Arial"/>
          <w:sz w:val="24"/>
          <w:szCs w:val="24"/>
        </w:rPr>
        <w:t xml:space="preserve">the </w:t>
      </w:r>
      <w:r w:rsidR="004F3F0C">
        <w:rPr>
          <w:rFonts w:ascii="Arial" w:hAnsi="Arial" w:cs="Arial"/>
          <w:sz w:val="24"/>
          <w:szCs w:val="24"/>
        </w:rPr>
        <w:t xml:space="preserve">property in dispute, the applicant resided in the Eastern Cape with her husband. </w:t>
      </w:r>
      <w:r w:rsidR="00CA3C7B">
        <w:rPr>
          <w:rFonts w:ascii="Arial" w:hAnsi="Arial" w:cs="Arial"/>
          <w:sz w:val="24"/>
          <w:szCs w:val="24"/>
        </w:rPr>
        <w:t>It was only after her attention was drawn to the provisions of the MPA</w:t>
      </w:r>
      <w:r w:rsidR="00A71B58">
        <w:rPr>
          <w:rFonts w:ascii="Arial" w:hAnsi="Arial" w:cs="Arial"/>
          <w:sz w:val="24"/>
          <w:szCs w:val="24"/>
        </w:rPr>
        <w:t>, so the contention proceeded, that</w:t>
      </w:r>
      <w:r w:rsidR="00CA3C7B">
        <w:rPr>
          <w:rFonts w:ascii="Arial" w:hAnsi="Arial" w:cs="Arial"/>
          <w:sz w:val="24"/>
          <w:szCs w:val="24"/>
        </w:rPr>
        <w:t xml:space="preserve"> the first respondent began to dishonestly deny the existence of a marriage relationship between her and the second respondent.</w:t>
      </w:r>
      <w:r w:rsidR="004F3F0C">
        <w:rPr>
          <w:rFonts w:ascii="Arial" w:hAnsi="Arial" w:cs="Arial"/>
          <w:sz w:val="24"/>
          <w:szCs w:val="24"/>
        </w:rPr>
        <w:t xml:space="preserve"> </w:t>
      </w:r>
    </w:p>
    <w:p w:rsidR="006B6B50" w:rsidRDefault="006B6B50" w:rsidP="00A6696A">
      <w:pPr>
        <w:spacing w:after="0" w:line="480" w:lineRule="auto"/>
        <w:jc w:val="both"/>
        <w:rPr>
          <w:rFonts w:ascii="Arial" w:hAnsi="Arial" w:cs="Arial"/>
          <w:sz w:val="24"/>
          <w:szCs w:val="24"/>
        </w:rPr>
      </w:pPr>
    </w:p>
    <w:p w:rsidR="00371D01" w:rsidRDefault="006A0506" w:rsidP="00A6696A">
      <w:pPr>
        <w:spacing w:after="0" w:line="480" w:lineRule="auto"/>
        <w:jc w:val="both"/>
        <w:rPr>
          <w:rFonts w:ascii="Arial" w:hAnsi="Arial" w:cs="Arial"/>
          <w:sz w:val="24"/>
          <w:szCs w:val="24"/>
          <w:shd w:val="clear" w:color="auto" w:fill="FFFFFF"/>
        </w:rPr>
      </w:pPr>
      <w:r>
        <w:rPr>
          <w:rFonts w:ascii="Arial" w:hAnsi="Arial" w:cs="Arial"/>
          <w:sz w:val="24"/>
          <w:szCs w:val="24"/>
        </w:rPr>
        <w:t>[12</w:t>
      </w:r>
      <w:r w:rsidR="00DF00DB">
        <w:rPr>
          <w:rFonts w:ascii="Arial" w:hAnsi="Arial" w:cs="Arial"/>
          <w:sz w:val="24"/>
          <w:szCs w:val="24"/>
        </w:rPr>
        <w:t>]</w:t>
      </w:r>
      <w:r w:rsidR="00DF00DB">
        <w:rPr>
          <w:rFonts w:ascii="Arial" w:hAnsi="Arial" w:cs="Arial"/>
          <w:sz w:val="24"/>
          <w:szCs w:val="24"/>
        </w:rPr>
        <w:tab/>
      </w:r>
      <w:r w:rsidR="00F23C2E" w:rsidRPr="00F23C2E">
        <w:rPr>
          <w:rFonts w:ascii="Arial" w:hAnsi="Arial" w:cs="Arial"/>
          <w:sz w:val="24"/>
          <w:szCs w:val="24"/>
        </w:rPr>
        <w:t>Section 4</w:t>
      </w:r>
      <w:r w:rsidR="004200D0">
        <w:rPr>
          <w:rFonts w:ascii="Arial" w:hAnsi="Arial" w:cs="Arial"/>
          <w:sz w:val="24"/>
          <w:szCs w:val="24"/>
        </w:rPr>
        <w:t xml:space="preserve">(1) </w:t>
      </w:r>
      <w:r w:rsidR="00F23C2E" w:rsidRPr="00F23C2E">
        <w:rPr>
          <w:rFonts w:ascii="Arial" w:hAnsi="Arial" w:cs="Arial"/>
          <w:sz w:val="24"/>
          <w:szCs w:val="24"/>
        </w:rPr>
        <w:t xml:space="preserve">of the </w:t>
      </w:r>
      <w:r w:rsidR="004200D0">
        <w:rPr>
          <w:rFonts w:ascii="Arial" w:hAnsi="Arial" w:cs="Arial"/>
          <w:sz w:val="24"/>
          <w:szCs w:val="24"/>
        </w:rPr>
        <w:t>R</w:t>
      </w:r>
      <w:r w:rsidR="0092155D">
        <w:rPr>
          <w:rFonts w:ascii="Arial" w:hAnsi="Arial" w:cs="Arial"/>
          <w:sz w:val="24"/>
          <w:szCs w:val="24"/>
        </w:rPr>
        <w:t>C</w:t>
      </w:r>
      <w:r w:rsidR="007A68CF">
        <w:rPr>
          <w:rFonts w:ascii="Arial" w:hAnsi="Arial" w:cs="Arial"/>
          <w:sz w:val="24"/>
          <w:szCs w:val="24"/>
        </w:rPr>
        <w:t>MA</w:t>
      </w:r>
      <w:r w:rsidR="004200D0">
        <w:rPr>
          <w:rFonts w:ascii="Arial" w:hAnsi="Arial" w:cs="Arial"/>
          <w:sz w:val="24"/>
          <w:szCs w:val="24"/>
        </w:rPr>
        <w:t xml:space="preserve"> imposes a duty on spouses of a customary marriage to ensure that their marriage is registered. </w:t>
      </w:r>
      <w:r w:rsidR="004200D0" w:rsidRPr="004200D0">
        <w:rPr>
          <w:rFonts w:ascii="Arial" w:hAnsi="Arial" w:cs="Arial"/>
          <w:sz w:val="24"/>
          <w:szCs w:val="24"/>
          <w:shd w:val="clear" w:color="auto" w:fill="FFFFFF"/>
        </w:rPr>
        <w:t xml:space="preserve">According to section 4(2) of the </w:t>
      </w:r>
      <w:r w:rsidR="004200D0">
        <w:rPr>
          <w:rFonts w:ascii="Arial" w:hAnsi="Arial" w:cs="Arial"/>
          <w:sz w:val="24"/>
          <w:szCs w:val="24"/>
          <w:shd w:val="clear" w:color="auto" w:fill="FFFFFF"/>
        </w:rPr>
        <w:t>R</w:t>
      </w:r>
      <w:r w:rsidR="007A68CF">
        <w:rPr>
          <w:rFonts w:ascii="Arial" w:hAnsi="Arial" w:cs="Arial"/>
          <w:sz w:val="24"/>
          <w:szCs w:val="24"/>
          <w:shd w:val="clear" w:color="auto" w:fill="FFFFFF"/>
        </w:rPr>
        <w:t>CMA</w:t>
      </w:r>
      <w:r w:rsidR="004200D0" w:rsidRPr="004200D0">
        <w:rPr>
          <w:rFonts w:ascii="Arial" w:hAnsi="Arial" w:cs="Arial"/>
          <w:sz w:val="24"/>
          <w:szCs w:val="24"/>
          <w:shd w:val="clear" w:color="auto" w:fill="FFFFFF"/>
        </w:rPr>
        <w:t xml:space="preserve">, either spouse may apply to the registration officer in the prescribed form for the registration of their customary marriage and must furnish the registering officer with the prescribed information and any additional information which the registering officer </w:t>
      </w:r>
      <w:r w:rsidR="00A71B58">
        <w:rPr>
          <w:rFonts w:ascii="Arial" w:hAnsi="Arial" w:cs="Arial"/>
          <w:sz w:val="24"/>
          <w:szCs w:val="24"/>
          <w:shd w:val="clear" w:color="auto" w:fill="FFFFFF"/>
        </w:rPr>
        <w:t>may require to satisfy himself</w:t>
      </w:r>
      <w:r w:rsidR="004200D0" w:rsidRPr="00A6696A">
        <w:rPr>
          <w:rFonts w:ascii="Arial" w:hAnsi="Arial" w:cs="Arial"/>
          <w:sz w:val="24"/>
          <w:szCs w:val="24"/>
          <w:shd w:val="clear" w:color="auto" w:fill="FFFFFF"/>
        </w:rPr>
        <w:t xml:space="preserve"> as to the existence of the marriage. Section (4)(4)(a) of the </w:t>
      </w:r>
      <w:r w:rsidR="00A71B58">
        <w:rPr>
          <w:rFonts w:ascii="Arial" w:hAnsi="Arial" w:cs="Arial"/>
          <w:sz w:val="24"/>
          <w:szCs w:val="24"/>
          <w:shd w:val="clear" w:color="auto" w:fill="FFFFFF"/>
        </w:rPr>
        <w:t>RCMA</w:t>
      </w:r>
      <w:r w:rsidR="004200D0" w:rsidRPr="00A6696A">
        <w:rPr>
          <w:rFonts w:ascii="Arial" w:hAnsi="Arial" w:cs="Arial"/>
          <w:sz w:val="24"/>
          <w:szCs w:val="24"/>
          <w:shd w:val="clear" w:color="auto" w:fill="FFFFFF"/>
        </w:rPr>
        <w:t xml:space="preserve"> states that a registering officer must, if satisfied that the spouses concluded a valid customary marriage, register the marriage by recording the identity of the spouses, the date of the marriage, any </w:t>
      </w:r>
      <w:proofErr w:type="spellStart"/>
      <w:r w:rsidR="004200D0" w:rsidRPr="00A6696A">
        <w:rPr>
          <w:rFonts w:ascii="Arial" w:hAnsi="Arial" w:cs="Arial"/>
          <w:sz w:val="24"/>
          <w:szCs w:val="24"/>
          <w:shd w:val="clear" w:color="auto" w:fill="FFFFFF"/>
        </w:rPr>
        <w:t>lobola</w:t>
      </w:r>
      <w:proofErr w:type="spellEnd"/>
      <w:r w:rsidR="004200D0" w:rsidRPr="00A6696A">
        <w:rPr>
          <w:rFonts w:ascii="Arial" w:hAnsi="Arial" w:cs="Arial"/>
          <w:sz w:val="24"/>
          <w:szCs w:val="24"/>
          <w:shd w:val="clear" w:color="auto" w:fill="FFFFFF"/>
        </w:rPr>
        <w:t xml:space="preserve"> agreed to and any other particulars prescribed. </w:t>
      </w:r>
      <w:r w:rsidR="00D72517" w:rsidRPr="00A6696A">
        <w:rPr>
          <w:rFonts w:ascii="Arial" w:hAnsi="Arial" w:cs="Arial"/>
          <w:sz w:val="24"/>
          <w:szCs w:val="24"/>
          <w:shd w:val="clear" w:color="auto" w:fill="FFFFFF"/>
        </w:rPr>
        <w:t xml:space="preserve">A certificate of registration of a customary marriage </w:t>
      </w:r>
      <w:r w:rsidR="00B67ED9">
        <w:rPr>
          <w:rFonts w:ascii="Arial" w:hAnsi="Arial" w:cs="Arial"/>
          <w:sz w:val="24"/>
          <w:szCs w:val="24"/>
          <w:shd w:val="clear" w:color="auto" w:fill="FFFFFF"/>
        </w:rPr>
        <w:t xml:space="preserve">in terms of section 4(8) of the </w:t>
      </w:r>
      <w:r w:rsidR="007C2413">
        <w:rPr>
          <w:rFonts w:ascii="Arial" w:hAnsi="Arial" w:cs="Arial"/>
          <w:sz w:val="24"/>
          <w:szCs w:val="24"/>
          <w:shd w:val="clear" w:color="auto" w:fill="FFFFFF"/>
        </w:rPr>
        <w:t>RCMA,</w:t>
      </w:r>
      <w:r w:rsidR="00B67ED9">
        <w:rPr>
          <w:rFonts w:ascii="Arial" w:hAnsi="Arial" w:cs="Arial"/>
          <w:sz w:val="24"/>
          <w:szCs w:val="24"/>
          <w:shd w:val="clear" w:color="auto" w:fill="FFFFFF"/>
        </w:rPr>
        <w:t xml:space="preserve"> </w:t>
      </w:r>
      <w:r w:rsidR="00EB168F" w:rsidRPr="00A6696A">
        <w:rPr>
          <w:rFonts w:ascii="Arial" w:hAnsi="Arial" w:cs="Arial"/>
          <w:sz w:val="24"/>
          <w:szCs w:val="24"/>
          <w:shd w:val="clear" w:color="auto" w:fill="FFFFFF"/>
        </w:rPr>
        <w:t>constitutes</w:t>
      </w:r>
      <w:r w:rsidR="00D72517" w:rsidRPr="00A6696A">
        <w:rPr>
          <w:rFonts w:ascii="Arial" w:hAnsi="Arial" w:cs="Arial"/>
          <w:sz w:val="24"/>
          <w:szCs w:val="24"/>
          <w:shd w:val="clear" w:color="auto" w:fill="FFFFFF"/>
        </w:rPr>
        <w:t xml:space="preserve"> </w:t>
      </w:r>
      <w:r w:rsidR="00D72517" w:rsidRPr="00A6696A">
        <w:rPr>
          <w:rFonts w:ascii="Arial" w:hAnsi="Arial" w:cs="Arial"/>
          <w:i/>
          <w:sz w:val="24"/>
          <w:szCs w:val="24"/>
          <w:shd w:val="clear" w:color="auto" w:fill="FFFFFF"/>
        </w:rPr>
        <w:t>prima facie</w:t>
      </w:r>
      <w:r w:rsidR="00D72517" w:rsidRPr="00A6696A">
        <w:rPr>
          <w:rFonts w:ascii="Arial" w:hAnsi="Arial" w:cs="Arial"/>
          <w:sz w:val="24"/>
          <w:szCs w:val="24"/>
          <w:shd w:val="clear" w:color="auto" w:fill="FFFFFF"/>
        </w:rPr>
        <w:t xml:space="preserve"> proof of the existence of a customary marriage and of the particulars contained in the certificate.</w:t>
      </w:r>
      <w:r w:rsidR="00371D01">
        <w:rPr>
          <w:rFonts w:ascii="Arial" w:hAnsi="Arial" w:cs="Arial"/>
          <w:sz w:val="24"/>
          <w:szCs w:val="24"/>
          <w:shd w:val="clear" w:color="auto" w:fill="FFFFFF"/>
        </w:rPr>
        <w:t xml:space="preserve"> </w:t>
      </w:r>
    </w:p>
    <w:p w:rsidR="00371D01" w:rsidRDefault="00371D01" w:rsidP="00A6696A">
      <w:pPr>
        <w:spacing w:after="0" w:line="480" w:lineRule="auto"/>
        <w:jc w:val="both"/>
        <w:rPr>
          <w:rFonts w:ascii="Arial" w:hAnsi="Arial" w:cs="Arial"/>
          <w:sz w:val="24"/>
          <w:szCs w:val="24"/>
          <w:shd w:val="clear" w:color="auto" w:fill="FFFFFF"/>
        </w:rPr>
      </w:pPr>
    </w:p>
    <w:p w:rsidR="001144CE" w:rsidRDefault="006A0506" w:rsidP="00A6696A">
      <w:pPr>
        <w:spacing w:after="0" w:line="480" w:lineRule="auto"/>
        <w:jc w:val="both"/>
        <w:rPr>
          <w:rFonts w:ascii="Arial" w:hAnsi="Arial" w:cs="Arial"/>
          <w:sz w:val="24"/>
          <w:szCs w:val="24"/>
          <w:shd w:val="clear" w:color="auto" w:fill="FFFFFF"/>
        </w:rPr>
      </w:pPr>
      <w:r>
        <w:rPr>
          <w:rFonts w:ascii="Arial" w:hAnsi="Arial" w:cs="Arial"/>
          <w:sz w:val="24"/>
          <w:szCs w:val="24"/>
          <w:shd w:val="clear" w:color="auto" w:fill="FFFFFF"/>
        </w:rPr>
        <w:t>[13</w:t>
      </w:r>
      <w:r w:rsidR="00DF00DB">
        <w:rPr>
          <w:rFonts w:ascii="Arial" w:hAnsi="Arial" w:cs="Arial"/>
          <w:sz w:val="24"/>
          <w:szCs w:val="24"/>
          <w:shd w:val="clear" w:color="auto" w:fill="FFFFFF"/>
        </w:rPr>
        <w:t>]</w:t>
      </w:r>
      <w:r w:rsidR="00DF00DB">
        <w:rPr>
          <w:rFonts w:ascii="Arial" w:hAnsi="Arial" w:cs="Arial"/>
          <w:sz w:val="24"/>
          <w:szCs w:val="24"/>
          <w:shd w:val="clear" w:color="auto" w:fill="FFFFFF"/>
        </w:rPr>
        <w:tab/>
      </w:r>
      <w:r w:rsidR="00143BD1">
        <w:rPr>
          <w:rFonts w:ascii="Arial" w:hAnsi="Arial" w:cs="Arial"/>
          <w:sz w:val="24"/>
          <w:szCs w:val="24"/>
          <w:shd w:val="clear" w:color="auto" w:fill="FFFFFF"/>
        </w:rPr>
        <w:t>S</w:t>
      </w:r>
      <w:r w:rsidR="00584154">
        <w:rPr>
          <w:rFonts w:ascii="Arial" w:hAnsi="Arial" w:cs="Arial"/>
          <w:sz w:val="24"/>
          <w:szCs w:val="24"/>
          <w:shd w:val="clear" w:color="auto" w:fill="FFFFFF"/>
        </w:rPr>
        <w:t xml:space="preserve">ection 4(3) of the </w:t>
      </w:r>
      <w:r w:rsidR="009C10BB">
        <w:rPr>
          <w:rFonts w:ascii="Arial" w:hAnsi="Arial" w:cs="Arial"/>
          <w:sz w:val="24"/>
          <w:szCs w:val="24"/>
          <w:shd w:val="clear" w:color="auto" w:fill="FFFFFF"/>
        </w:rPr>
        <w:t>RCMA</w:t>
      </w:r>
      <w:r w:rsidR="00143BD1">
        <w:rPr>
          <w:rFonts w:ascii="Arial" w:hAnsi="Arial" w:cs="Arial"/>
          <w:sz w:val="24"/>
          <w:szCs w:val="24"/>
          <w:shd w:val="clear" w:color="auto" w:fill="FFFFFF"/>
        </w:rPr>
        <w:t xml:space="preserve"> provides </w:t>
      </w:r>
      <w:r w:rsidR="00341765">
        <w:rPr>
          <w:rFonts w:ascii="Arial" w:hAnsi="Arial" w:cs="Arial"/>
          <w:sz w:val="24"/>
          <w:szCs w:val="24"/>
          <w:shd w:val="clear" w:color="auto" w:fill="FFFFFF"/>
        </w:rPr>
        <w:t>those customary marriages</w:t>
      </w:r>
      <w:r w:rsidR="006A2319" w:rsidRPr="00A6696A">
        <w:rPr>
          <w:rFonts w:ascii="Arial" w:hAnsi="Arial" w:cs="Arial"/>
          <w:sz w:val="24"/>
          <w:szCs w:val="24"/>
        </w:rPr>
        <w:t xml:space="preserve"> concluded before the coming into operation of the R</w:t>
      </w:r>
      <w:r w:rsidR="00D72517" w:rsidRPr="00A6696A">
        <w:rPr>
          <w:rFonts w:ascii="Arial" w:hAnsi="Arial" w:cs="Arial"/>
          <w:sz w:val="24"/>
          <w:szCs w:val="24"/>
        </w:rPr>
        <w:t xml:space="preserve">CMA </w:t>
      </w:r>
      <w:r w:rsidR="006A2319" w:rsidRPr="00A6696A">
        <w:rPr>
          <w:rFonts w:ascii="Arial" w:hAnsi="Arial" w:cs="Arial"/>
          <w:sz w:val="24"/>
          <w:szCs w:val="24"/>
        </w:rPr>
        <w:t xml:space="preserve">had to be registered with the </w:t>
      </w:r>
      <w:r w:rsidR="00FA33E8">
        <w:rPr>
          <w:rFonts w:ascii="Arial" w:hAnsi="Arial" w:cs="Arial"/>
          <w:sz w:val="24"/>
          <w:szCs w:val="24"/>
        </w:rPr>
        <w:t>D</w:t>
      </w:r>
      <w:r w:rsidR="006A2319" w:rsidRPr="00A6696A">
        <w:rPr>
          <w:rFonts w:ascii="Arial" w:hAnsi="Arial" w:cs="Arial"/>
          <w:sz w:val="24"/>
          <w:szCs w:val="24"/>
        </w:rPr>
        <w:t>epartment of Home Affairs before 15 November 2002. Section 4(3)(a) of the R</w:t>
      </w:r>
      <w:r w:rsidR="00D72517" w:rsidRPr="00A6696A">
        <w:rPr>
          <w:rFonts w:ascii="Arial" w:hAnsi="Arial" w:cs="Arial"/>
          <w:sz w:val="24"/>
          <w:szCs w:val="24"/>
        </w:rPr>
        <w:t>CMA</w:t>
      </w:r>
      <w:r w:rsidR="006A2319" w:rsidRPr="00A6696A">
        <w:rPr>
          <w:rFonts w:ascii="Arial" w:hAnsi="Arial" w:cs="Arial"/>
          <w:sz w:val="24"/>
          <w:szCs w:val="24"/>
        </w:rPr>
        <w:t xml:space="preserve"> </w:t>
      </w:r>
      <w:r w:rsidR="00FA33E8">
        <w:rPr>
          <w:rFonts w:ascii="Arial" w:hAnsi="Arial" w:cs="Arial"/>
          <w:sz w:val="24"/>
          <w:szCs w:val="24"/>
        </w:rPr>
        <w:t xml:space="preserve">initially </w:t>
      </w:r>
      <w:r w:rsidR="006A2319" w:rsidRPr="00A6696A">
        <w:rPr>
          <w:rFonts w:ascii="Arial" w:hAnsi="Arial" w:cs="Arial"/>
          <w:sz w:val="24"/>
          <w:szCs w:val="24"/>
        </w:rPr>
        <w:t xml:space="preserve">limited the registration </w:t>
      </w:r>
      <w:r w:rsidR="00FA33E8">
        <w:rPr>
          <w:rFonts w:ascii="Arial" w:hAnsi="Arial" w:cs="Arial"/>
          <w:sz w:val="24"/>
          <w:szCs w:val="24"/>
        </w:rPr>
        <w:t xml:space="preserve">period </w:t>
      </w:r>
      <w:r w:rsidR="006A2319" w:rsidRPr="00A6696A">
        <w:rPr>
          <w:rFonts w:ascii="Arial" w:hAnsi="Arial" w:cs="Arial"/>
          <w:sz w:val="24"/>
          <w:szCs w:val="24"/>
        </w:rPr>
        <w:t xml:space="preserve">to one year after the coming into operation of </w:t>
      </w:r>
      <w:r w:rsidR="00FA33E8">
        <w:rPr>
          <w:rFonts w:ascii="Arial" w:hAnsi="Arial" w:cs="Arial"/>
          <w:sz w:val="24"/>
          <w:szCs w:val="24"/>
        </w:rPr>
        <w:t xml:space="preserve">the </w:t>
      </w:r>
      <w:r w:rsidR="006A2319" w:rsidRPr="00A6696A">
        <w:rPr>
          <w:rFonts w:ascii="Arial" w:hAnsi="Arial" w:cs="Arial"/>
          <w:sz w:val="24"/>
          <w:szCs w:val="24"/>
        </w:rPr>
        <w:t xml:space="preserve">Act, but this period was extended. See GN 1228 GG 22 839 of 23 November 2001. </w:t>
      </w:r>
      <w:r w:rsidR="00017B19">
        <w:rPr>
          <w:rFonts w:ascii="Arial" w:hAnsi="Arial" w:cs="Arial"/>
          <w:sz w:val="24"/>
          <w:szCs w:val="24"/>
        </w:rPr>
        <w:t>S</w:t>
      </w:r>
      <w:r w:rsidR="004200D0" w:rsidRPr="00A6696A">
        <w:rPr>
          <w:rFonts w:ascii="Arial" w:hAnsi="Arial" w:cs="Arial"/>
          <w:sz w:val="24"/>
          <w:szCs w:val="24"/>
          <w:shd w:val="clear" w:color="auto" w:fill="FFFFFF"/>
        </w:rPr>
        <w:t>ection 4(9) of the R</w:t>
      </w:r>
      <w:r w:rsidR="00D72517" w:rsidRPr="00A6696A">
        <w:rPr>
          <w:rFonts w:ascii="Arial" w:hAnsi="Arial" w:cs="Arial"/>
          <w:sz w:val="24"/>
          <w:szCs w:val="24"/>
          <w:shd w:val="clear" w:color="auto" w:fill="FFFFFF"/>
        </w:rPr>
        <w:t xml:space="preserve">CMA </w:t>
      </w:r>
      <w:r w:rsidR="004200D0" w:rsidRPr="00A6696A">
        <w:rPr>
          <w:rFonts w:ascii="Arial" w:hAnsi="Arial" w:cs="Arial"/>
          <w:sz w:val="24"/>
          <w:szCs w:val="24"/>
          <w:shd w:val="clear" w:color="auto" w:fill="FFFFFF"/>
        </w:rPr>
        <w:t>states</w:t>
      </w:r>
      <w:r w:rsidR="005A4CE7" w:rsidRPr="00A6696A">
        <w:rPr>
          <w:rFonts w:ascii="Arial" w:hAnsi="Arial" w:cs="Arial"/>
          <w:sz w:val="24"/>
          <w:szCs w:val="24"/>
          <w:shd w:val="clear" w:color="auto" w:fill="FFFFFF"/>
        </w:rPr>
        <w:t xml:space="preserve"> that failure to register a customary marriage doe</w:t>
      </w:r>
      <w:r w:rsidR="004200D0" w:rsidRPr="00A6696A">
        <w:rPr>
          <w:rFonts w:ascii="Arial" w:hAnsi="Arial" w:cs="Arial"/>
          <w:sz w:val="24"/>
          <w:szCs w:val="24"/>
          <w:shd w:val="clear" w:color="auto" w:fill="FFFFFF"/>
        </w:rPr>
        <w:t xml:space="preserve">s not </w:t>
      </w:r>
      <w:r w:rsidR="005A4CE7" w:rsidRPr="00A6696A">
        <w:rPr>
          <w:rFonts w:ascii="Arial" w:hAnsi="Arial" w:cs="Arial"/>
          <w:sz w:val="24"/>
          <w:szCs w:val="24"/>
          <w:shd w:val="clear" w:color="auto" w:fill="FFFFFF"/>
        </w:rPr>
        <w:lastRenderedPageBreak/>
        <w:t xml:space="preserve">affect the validity of that marriage. </w:t>
      </w:r>
      <w:r w:rsidR="00B67ED9">
        <w:rPr>
          <w:rFonts w:ascii="Arial" w:hAnsi="Arial" w:cs="Arial"/>
          <w:sz w:val="24"/>
          <w:szCs w:val="24"/>
          <w:shd w:val="clear" w:color="auto" w:fill="FFFFFF"/>
        </w:rPr>
        <w:t xml:space="preserve">However, the consequence of failing to register a customary marriage is that the parties forfeit the </w:t>
      </w:r>
      <w:r w:rsidR="00B67ED9" w:rsidRPr="00C71F6B">
        <w:rPr>
          <w:rFonts w:ascii="Arial" w:hAnsi="Arial" w:cs="Arial"/>
          <w:i/>
          <w:iCs/>
          <w:sz w:val="24"/>
          <w:szCs w:val="24"/>
          <w:shd w:val="clear" w:color="auto" w:fill="FFFFFF"/>
        </w:rPr>
        <w:t>prima faci</w:t>
      </w:r>
      <w:r w:rsidR="00C71F6B" w:rsidRPr="00C71F6B">
        <w:rPr>
          <w:rFonts w:ascii="Arial" w:hAnsi="Arial" w:cs="Arial"/>
          <w:i/>
          <w:iCs/>
          <w:sz w:val="24"/>
          <w:szCs w:val="24"/>
          <w:shd w:val="clear" w:color="auto" w:fill="FFFFFF"/>
        </w:rPr>
        <w:t>e</w:t>
      </w:r>
      <w:r w:rsidR="00B67ED9">
        <w:rPr>
          <w:rFonts w:ascii="Arial" w:hAnsi="Arial" w:cs="Arial"/>
          <w:sz w:val="24"/>
          <w:szCs w:val="24"/>
          <w:shd w:val="clear" w:color="auto" w:fill="FFFFFF"/>
        </w:rPr>
        <w:t xml:space="preserve"> proof of the </w:t>
      </w:r>
      <w:r w:rsidR="00C71F6B">
        <w:rPr>
          <w:rFonts w:ascii="Arial" w:hAnsi="Arial" w:cs="Arial"/>
          <w:sz w:val="24"/>
          <w:szCs w:val="24"/>
          <w:shd w:val="clear" w:color="auto" w:fill="FFFFFF"/>
        </w:rPr>
        <w:t>existence of the marriage</w:t>
      </w:r>
      <w:r w:rsidR="00B67ED9">
        <w:rPr>
          <w:rFonts w:ascii="Arial" w:hAnsi="Arial" w:cs="Arial"/>
          <w:sz w:val="24"/>
          <w:szCs w:val="24"/>
          <w:shd w:val="clear" w:color="auto" w:fill="FFFFFF"/>
        </w:rPr>
        <w:t xml:space="preserve"> that t</w:t>
      </w:r>
      <w:r w:rsidR="00C71F6B">
        <w:rPr>
          <w:rFonts w:ascii="Arial" w:hAnsi="Arial" w:cs="Arial"/>
          <w:sz w:val="24"/>
          <w:szCs w:val="24"/>
          <w:shd w:val="clear" w:color="auto" w:fill="FFFFFF"/>
        </w:rPr>
        <w:t>he</w:t>
      </w:r>
      <w:r w:rsidR="00B67ED9">
        <w:rPr>
          <w:rFonts w:ascii="Arial" w:hAnsi="Arial" w:cs="Arial"/>
          <w:sz w:val="24"/>
          <w:szCs w:val="24"/>
          <w:shd w:val="clear" w:color="auto" w:fill="FFFFFF"/>
        </w:rPr>
        <w:t xml:space="preserve"> certificate would </w:t>
      </w:r>
      <w:r w:rsidR="00C71F6B">
        <w:rPr>
          <w:rFonts w:ascii="Arial" w:hAnsi="Arial" w:cs="Arial"/>
          <w:sz w:val="24"/>
          <w:szCs w:val="24"/>
          <w:shd w:val="clear" w:color="auto" w:fill="FFFFFF"/>
        </w:rPr>
        <w:t>bring</w:t>
      </w:r>
      <w:r w:rsidR="00B67ED9">
        <w:rPr>
          <w:rFonts w:ascii="Arial" w:hAnsi="Arial" w:cs="Arial"/>
          <w:sz w:val="24"/>
          <w:szCs w:val="24"/>
          <w:shd w:val="clear" w:color="auto" w:fill="FFFFFF"/>
        </w:rPr>
        <w:t xml:space="preserve"> in term</w:t>
      </w:r>
      <w:r w:rsidR="00C71F6B">
        <w:rPr>
          <w:rFonts w:ascii="Arial" w:hAnsi="Arial" w:cs="Arial"/>
          <w:sz w:val="24"/>
          <w:szCs w:val="24"/>
          <w:shd w:val="clear" w:color="auto" w:fill="FFFFFF"/>
        </w:rPr>
        <w:t>s</w:t>
      </w:r>
      <w:r w:rsidR="00B67ED9">
        <w:rPr>
          <w:rFonts w:ascii="Arial" w:hAnsi="Arial" w:cs="Arial"/>
          <w:sz w:val="24"/>
          <w:szCs w:val="24"/>
          <w:shd w:val="clear" w:color="auto" w:fill="FFFFFF"/>
        </w:rPr>
        <w:t xml:space="preserve"> of section 4(8) of the </w:t>
      </w:r>
      <w:r w:rsidR="00C71F6B">
        <w:rPr>
          <w:rFonts w:ascii="Arial" w:hAnsi="Arial" w:cs="Arial"/>
          <w:sz w:val="24"/>
          <w:szCs w:val="24"/>
          <w:shd w:val="clear" w:color="auto" w:fill="FFFFFF"/>
        </w:rPr>
        <w:t>A</w:t>
      </w:r>
      <w:r w:rsidR="00B67ED9">
        <w:rPr>
          <w:rFonts w:ascii="Arial" w:hAnsi="Arial" w:cs="Arial"/>
          <w:sz w:val="24"/>
          <w:szCs w:val="24"/>
          <w:shd w:val="clear" w:color="auto" w:fill="FFFFFF"/>
        </w:rPr>
        <w:t>ct</w:t>
      </w:r>
      <w:r w:rsidR="00C71F6B">
        <w:rPr>
          <w:rFonts w:ascii="Arial" w:hAnsi="Arial" w:cs="Arial"/>
          <w:sz w:val="24"/>
          <w:szCs w:val="24"/>
          <w:shd w:val="clear" w:color="auto" w:fill="FFFFFF"/>
        </w:rPr>
        <w:t>.</w:t>
      </w:r>
      <w:r w:rsidR="00B67ED9">
        <w:rPr>
          <w:rFonts w:ascii="Arial" w:hAnsi="Arial" w:cs="Arial"/>
          <w:sz w:val="24"/>
          <w:szCs w:val="24"/>
          <w:shd w:val="clear" w:color="auto" w:fill="FFFFFF"/>
        </w:rPr>
        <w:t xml:space="preserve"> </w:t>
      </w:r>
      <w:r w:rsidR="00C71F6B">
        <w:rPr>
          <w:rFonts w:ascii="Arial" w:hAnsi="Arial" w:cs="Arial"/>
          <w:sz w:val="24"/>
          <w:szCs w:val="24"/>
          <w:shd w:val="clear" w:color="auto" w:fill="FFFFFF"/>
        </w:rPr>
        <w:t xml:space="preserve">See </w:t>
      </w:r>
      <w:r w:rsidR="00C71F6B" w:rsidRPr="007C2413">
        <w:rPr>
          <w:rFonts w:ascii="Arial" w:hAnsi="Arial" w:cs="Arial"/>
          <w:i/>
          <w:sz w:val="24"/>
          <w:szCs w:val="24"/>
          <w:shd w:val="clear" w:color="auto" w:fill="FFFFFF"/>
        </w:rPr>
        <w:t>ND v MM</w:t>
      </w:r>
      <w:r w:rsidR="00C71F6B">
        <w:rPr>
          <w:rFonts w:ascii="Arial" w:hAnsi="Arial" w:cs="Arial"/>
          <w:sz w:val="24"/>
          <w:szCs w:val="24"/>
          <w:shd w:val="clear" w:color="auto" w:fill="FFFFFF"/>
        </w:rPr>
        <w:t xml:space="preserve"> (18404/</w:t>
      </w:r>
      <w:proofErr w:type="gramStart"/>
      <w:r w:rsidR="00C71F6B">
        <w:rPr>
          <w:rFonts w:ascii="Arial" w:hAnsi="Arial" w:cs="Arial"/>
          <w:sz w:val="24"/>
          <w:szCs w:val="24"/>
          <w:shd w:val="clear" w:color="auto" w:fill="FFFFFF"/>
        </w:rPr>
        <w:t>2018)[</w:t>
      </w:r>
      <w:proofErr w:type="gramEnd"/>
      <w:r w:rsidR="00C71F6B">
        <w:rPr>
          <w:rFonts w:ascii="Arial" w:hAnsi="Arial" w:cs="Arial"/>
          <w:sz w:val="24"/>
          <w:szCs w:val="24"/>
          <w:shd w:val="clear" w:color="auto" w:fill="FFFFFF"/>
        </w:rPr>
        <w:t>2020] ZAGPJHC 113 (12 May 2020) at para 10.</w:t>
      </w:r>
    </w:p>
    <w:p w:rsidR="001144CE" w:rsidRDefault="001144CE" w:rsidP="00A6696A">
      <w:pPr>
        <w:spacing w:after="0" w:line="480" w:lineRule="auto"/>
        <w:jc w:val="both"/>
        <w:rPr>
          <w:rFonts w:ascii="Arial" w:hAnsi="Arial" w:cs="Arial"/>
          <w:sz w:val="24"/>
          <w:szCs w:val="24"/>
          <w:shd w:val="clear" w:color="auto" w:fill="FFFFFF"/>
        </w:rPr>
      </w:pPr>
    </w:p>
    <w:p w:rsidR="005E33A8" w:rsidRDefault="001144CE" w:rsidP="00A6696A">
      <w:pPr>
        <w:spacing w:after="0" w:line="480" w:lineRule="auto"/>
        <w:jc w:val="both"/>
        <w:rPr>
          <w:rFonts w:ascii="Arial" w:hAnsi="Arial" w:cs="Arial"/>
          <w:sz w:val="24"/>
          <w:szCs w:val="24"/>
          <w:shd w:val="clear" w:color="auto" w:fill="FFFFFF"/>
        </w:rPr>
      </w:pPr>
      <w:r>
        <w:rPr>
          <w:rFonts w:ascii="Arial" w:hAnsi="Arial" w:cs="Arial"/>
          <w:sz w:val="24"/>
          <w:szCs w:val="24"/>
          <w:shd w:val="clear" w:color="auto" w:fill="FFFFFF"/>
        </w:rPr>
        <w:t>[</w:t>
      </w:r>
      <w:r w:rsidR="006A0506">
        <w:rPr>
          <w:rFonts w:ascii="Arial" w:hAnsi="Arial" w:cs="Arial"/>
          <w:sz w:val="24"/>
          <w:szCs w:val="24"/>
          <w:shd w:val="clear" w:color="auto" w:fill="FFFFFF"/>
        </w:rPr>
        <w:t>14</w:t>
      </w:r>
      <w:r>
        <w:rPr>
          <w:rFonts w:ascii="Arial" w:hAnsi="Arial" w:cs="Arial"/>
          <w:sz w:val="24"/>
          <w:szCs w:val="24"/>
          <w:shd w:val="clear" w:color="auto" w:fill="FFFFFF"/>
        </w:rPr>
        <w:t>]</w:t>
      </w:r>
      <w:r>
        <w:rPr>
          <w:rFonts w:ascii="Arial" w:hAnsi="Arial" w:cs="Arial"/>
          <w:sz w:val="24"/>
          <w:szCs w:val="24"/>
          <w:shd w:val="clear" w:color="auto" w:fill="FFFFFF"/>
        </w:rPr>
        <w:tab/>
        <w:t>It is axiomatic that a</w:t>
      </w:r>
      <w:r w:rsidR="00516DEC">
        <w:rPr>
          <w:rFonts w:ascii="Arial" w:hAnsi="Arial" w:cs="Arial"/>
          <w:sz w:val="24"/>
          <w:szCs w:val="24"/>
          <w:shd w:val="clear" w:color="auto" w:fill="FFFFFF"/>
        </w:rPr>
        <w:t xml:space="preserve">n </w:t>
      </w:r>
      <w:r w:rsidR="00017B19">
        <w:rPr>
          <w:rFonts w:ascii="Arial" w:hAnsi="Arial" w:cs="Arial"/>
          <w:sz w:val="24"/>
          <w:szCs w:val="24"/>
          <w:shd w:val="clear" w:color="auto" w:fill="FFFFFF"/>
        </w:rPr>
        <w:t>unregistered</w:t>
      </w:r>
      <w:r w:rsidR="00516DEC">
        <w:rPr>
          <w:rFonts w:ascii="Arial" w:hAnsi="Arial" w:cs="Arial"/>
          <w:sz w:val="24"/>
          <w:szCs w:val="24"/>
          <w:shd w:val="clear" w:color="auto" w:fill="FFFFFF"/>
        </w:rPr>
        <w:t xml:space="preserve"> customary marriage </w:t>
      </w:r>
      <w:r w:rsidR="00F13128">
        <w:rPr>
          <w:rFonts w:ascii="Arial" w:hAnsi="Arial" w:cs="Arial"/>
          <w:sz w:val="24"/>
          <w:szCs w:val="24"/>
          <w:shd w:val="clear" w:color="auto" w:fill="FFFFFF"/>
        </w:rPr>
        <w:t xml:space="preserve">makes it </w:t>
      </w:r>
      <w:r w:rsidR="008F6002">
        <w:rPr>
          <w:rFonts w:ascii="Arial" w:hAnsi="Arial" w:cs="Arial"/>
          <w:sz w:val="24"/>
          <w:szCs w:val="24"/>
          <w:shd w:val="clear" w:color="auto" w:fill="FFFFFF"/>
        </w:rPr>
        <w:t xml:space="preserve">difficult </w:t>
      </w:r>
      <w:r w:rsidR="00F13128">
        <w:rPr>
          <w:rFonts w:ascii="Arial" w:hAnsi="Arial" w:cs="Arial"/>
          <w:sz w:val="24"/>
          <w:szCs w:val="24"/>
          <w:shd w:val="clear" w:color="auto" w:fill="FFFFFF"/>
        </w:rPr>
        <w:t xml:space="preserve">to prove that a marriage exists </w:t>
      </w:r>
      <w:r w:rsidR="00911658">
        <w:rPr>
          <w:rFonts w:ascii="Arial" w:hAnsi="Arial" w:cs="Arial"/>
          <w:sz w:val="24"/>
          <w:szCs w:val="24"/>
          <w:shd w:val="clear" w:color="auto" w:fill="FFFFFF"/>
        </w:rPr>
        <w:t xml:space="preserve">without the relevant marriage </w:t>
      </w:r>
      <w:r w:rsidR="003A6EF4">
        <w:rPr>
          <w:rFonts w:ascii="Arial" w:hAnsi="Arial" w:cs="Arial"/>
          <w:sz w:val="24"/>
          <w:szCs w:val="24"/>
          <w:shd w:val="clear" w:color="auto" w:fill="FFFFFF"/>
        </w:rPr>
        <w:t>certificate</w:t>
      </w:r>
      <w:r w:rsidR="00F366C3">
        <w:rPr>
          <w:rFonts w:ascii="Arial" w:hAnsi="Arial" w:cs="Arial"/>
          <w:sz w:val="24"/>
          <w:szCs w:val="24"/>
          <w:shd w:val="clear" w:color="auto" w:fill="FFFFFF"/>
        </w:rPr>
        <w:t>.</w:t>
      </w:r>
      <w:r w:rsidR="00911658">
        <w:rPr>
          <w:rFonts w:ascii="Arial" w:hAnsi="Arial" w:cs="Arial"/>
          <w:sz w:val="24"/>
          <w:szCs w:val="24"/>
          <w:shd w:val="clear" w:color="auto" w:fill="FFFFFF"/>
        </w:rPr>
        <w:t xml:space="preserve"> </w:t>
      </w:r>
      <w:r w:rsidR="00D64ECB">
        <w:rPr>
          <w:rFonts w:ascii="Arial" w:hAnsi="Arial" w:cs="Arial"/>
          <w:sz w:val="24"/>
          <w:szCs w:val="24"/>
          <w:shd w:val="clear" w:color="auto" w:fill="FFFFFF"/>
        </w:rPr>
        <w:t xml:space="preserve">In </w:t>
      </w:r>
      <w:proofErr w:type="spellStart"/>
      <w:r w:rsidR="00D64ECB" w:rsidRPr="00B70721">
        <w:rPr>
          <w:rFonts w:ascii="Arial" w:hAnsi="Arial" w:cs="Arial"/>
          <w:i/>
          <w:iCs/>
          <w:sz w:val="24"/>
          <w:szCs w:val="24"/>
          <w:shd w:val="clear" w:color="auto" w:fill="FFFFFF"/>
        </w:rPr>
        <w:t>Mgenge</w:t>
      </w:r>
      <w:proofErr w:type="spellEnd"/>
      <w:r w:rsidR="00D64ECB" w:rsidRPr="00B70721">
        <w:rPr>
          <w:rFonts w:ascii="Arial" w:hAnsi="Arial" w:cs="Arial"/>
          <w:i/>
          <w:iCs/>
          <w:sz w:val="24"/>
          <w:szCs w:val="24"/>
          <w:shd w:val="clear" w:color="auto" w:fill="FFFFFF"/>
        </w:rPr>
        <w:t xml:space="preserve"> v </w:t>
      </w:r>
      <w:proofErr w:type="spellStart"/>
      <w:r w:rsidR="00D64ECB" w:rsidRPr="00B70721">
        <w:rPr>
          <w:rFonts w:ascii="Arial" w:hAnsi="Arial" w:cs="Arial"/>
          <w:i/>
          <w:iCs/>
          <w:sz w:val="24"/>
          <w:szCs w:val="24"/>
          <w:shd w:val="clear" w:color="auto" w:fill="FFFFFF"/>
        </w:rPr>
        <w:t>Mokoena</w:t>
      </w:r>
      <w:proofErr w:type="spellEnd"/>
      <w:r w:rsidR="00D64ECB" w:rsidRPr="00B70721">
        <w:rPr>
          <w:rFonts w:ascii="Arial" w:hAnsi="Arial" w:cs="Arial"/>
          <w:i/>
          <w:iCs/>
          <w:sz w:val="24"/>
          <w:szCs w:val="24"/>
          <w:shd w:val="clear" w:color="auto" w:fill="FFFFFF"/>
        </w:rPr>
        <w:t xml:space="preserve"> and Another</w:t>
      </w:r>
      <w:r w:rsidR="00D64ECB">
        <w:rPr>
          <w:rFonts w:ascii="Arial" w:hAnsi="Arial" w:cs="Arial"/>
          <w:sz w:val="24"/>
          <w:szCs w:val="24"/>
          <w:shd w:val="clear" w:color="auto" w:fill="FFFFFF"/>
        </w:rPr>
        <w:t xml:space="preserve"> (4888/</w:t>
      </w:r>
      <w:r w:rsidR="00B70721">
        <w:rPr>
          <w:rFonts w:ascii="Arial" w:hAnsi="Arial" w:cs="Arial"/>
          <w:sz w:val="24"/>
          <w:szCs w:val="24"/>
          <w:shd w:val="clear" w:color="auto" w:fill="FFFFFF"/>
        </w:rPr>
        <w:t>2020) [</w:t>
      </w:r>
      <w:r w:rsidR="00EE4995">
        <w:rPr>
          <w:rFonts w:ascii="Arial" w:hAnsi="Arial" w:cs="Arial"/>
          <w:sz w:val="24"/>
          <w:szCs w:val="24"/>
          <w:shd w:val="clear" w:color="auto" w:fill="FFFFFF"/>
        </w:rPr>
        <w:t>2020] ZAGPJHC 58</w:t>
      </w:r>
      <w:r w:rsidR="00B70721">
        <w:rPr>
          <w:rFonts w:ascii="Arial" w:hAnsi="Arial" w:cs="Arial"/>
          <w:sz w:val="24"/>
          <w:szCs w:val="24"/>
          <w:shd w:val="clear" w:color="auto" w:fill="FFFFFF"/>
        </w:rPr>
        <w:t xml:space="preserve"> </w:t>
      </w:r>
      <w:r w:rsidR="00EE4995">
        <w:rPr>
          <w:rFonts w:ascii="Arial" w:hAnsi="Arial" w:cs="Arial"/>
          <w:sz w:val="24"/>
          <w:szCs w:val="24"/>
          <w:shd w:val="clear" w:color="auto" w:fill="FFFFFF"/>
        </w:rPr>
        <w:t>(21 April 2021)</w:t>
      </w:r>
      <w:r w:rsidR="00D837AC">
        <w:rPr>
          <w:rFonts w:ascii="Arial" w:hAnsi="Arial" w:cs="Arial"/>
          <w:sz w:val="24"/>
          <w:szCs w:val="24"/>
          <w:shd w:val="clear" w:color="auto" w:fill="FFFFFF"/>
        </w:rPr>
        <w:t xml:space="preserve"> at para 12</w:t>
      </w:r>
      <w:r w:rsidR="00B70721">
        <w:rPr>
          <w:rFonts w:ascii="Arial" w:hAnsi="Arial" w:cs="Arial"/>
          <w:sz w:val="24"/>
          <w:szCs w:val="24"/>
          <w:shd w:val="clear" w:color="auto" w:fill="FFFFFF"/>
        </w:rPr>
        <w:t>,</w:t>
      </w:r>
      <w:r w:rsidR="00EE4995">
        <w:rPr>
          <w:rFonts w:ascii="Arial" w:hAnsi="Arial" w:cs="Arial"/>
          <w:sz w:val="24"/>
          <w:szCs w:val="24"/>
          <w:shd w:val="clear" w:color="auto" w:fill="FFFFFF"/>
        </w:rPr>
        <w:t xml:space="preserve"> the court noted</w:t>
      </w:r>
      <w:r w:rsidR="00FA33E8">
        <w:rPr>
          <w:rFonts w:ascii="Arial" w:hAnsi="Arial" w:cs="Arial"/>
          <w:sz w:val="24"/>
          <w:szCs w:val="24"/>
          <w:shd w:val="clear" w:color="auto" w:fill="FFFFFF"/>
        </w:rPr>
        <w:t>,</w:t>
      </w:r>
      <w:r w:rsidR="00EE4995">
        <w:rPr>
          <w:rFonts w:ascii="Arial" w:hAnsi="Arial" w:cs="Arial"/>
          <w:sz w:val="24"/>
          <w:szCs w:val="24"/>
          <w:shd w:val="clear" w:color="auto" w:fill="FFFFFF"/>
        </w:rPr>
        <w:t xml:space="preserve"> and quite correctly</w:t>
      </w:r>
      <w:r w:rsidR="00FA33E8">
        <w:rPr>
          <w:rFonts w:ascii="Arial" w:hAnsi="Arial" w:cs="Arial"/>
          <w:sz w:val="24"/>
          <w:szCs w:val="24"/>
          <w:shd w:val="clear" w:color="auto" w:fill="FFFFFF"/>
        </w:rPr>
        <w:t>,</w:t>
      </w:r>
      <w:r w:rsidR="00EE4995">
        <w:rPr>
          <w:rFonts w:ascii="Arial" w:hAnsi="Arial" w:cs="Arial"/>
          <w:sz w:val="24"/>
          <w:szCs w:val="24"/>
          <w:shd w:val="clear" w:color="auto" w:fill="FFFFFF"/>
        </w:rPr>
        <w:t xml:space="preserve"> in my view</w:t>
      </w:r>
      <w:r w:rsidR="00B70721">
        <w:rPr>
          <w:rFonts w:ascii="Arial" w:hAnsi="Arial" w:cs="Arial"/>
          <w:sz w:val="24"/>
          <w:szCs w:val="24"/>
          <w:shd w:val="clear" w:color="auto" w:fill="FFFFFF"/>
        </w:rPr>
        <w:t>,</w:t>
      </w:r>
      <w:r w:rsidR="00EE4995">
        <w:rPr>
          <w:rFonts w:ascii="Arial" w:hAnsi="Arial" w:cs="Arial"/>
          <w:sz w:val="24"/>
          <w:szCs w:val="24"/>
          <w:shd w:val="clear" w:color="auto" w:fill="FFFFFF"/>
        </w:rPr>
        <w:t xml:space="preserve"> </w:t>
      </w:r>
      <w:r w:rsidR="00D837AC">
        <w:rPr>
          <w:rFonts w:ascii="Arial" w:hAnsi="Arial" w:cs="Arial"/>
          <w:sz w:val="24"/>
          <w:szCs w:val="24"/>
          <w:shd w:val="clear" w:color="auto" w:fill="FFFFFF"/>
        </w:rPr>
        <w:t>‘</w:t>
      </w:r>
      <w:r w:rsidR="00EE4995">
        <w:rPr>
          <w:rFonts w:ascii="Arial" w:hAnsi="Arial" w:cs="Arial"/>
          <w:sz w:val="24"/>
          <w:szCs w:val="24"/>
          <w:shd w:val="clear" w:color="auto" w:fill="FFFFFF"/>
        </w:rPr>
        <w:t xml:space="preserve">that </w:t>
      </w:r>
      <w:r w:rsidR="009A1014">
        <w:rPr>
          <w:rFonts w:ascii="Arial" w:hAnsi="Arial" w:cs="Arial"/>
          <w:sz w:val="24"/>
          <w:szCs w:val="24"/>
          <w:shd w:val="clear" w:color="auto" w:fill="FFFFFF"/>
        </w:rPr>
        <w:t xml:space="preserve">one consequence of failing to register a customary marriage would be that absent a marriage </w:t>
      </w:r>
      <w:r w:rsidR="00087EEB">
        <w:rPr>
          <w:rFonts w:ascii="Arial" w:hAnsi="Arial" w:cs="Arial"/>
          <w:sz w:val="24"/>
          <w:szCs w:val="24"/>
          <w:shd w:val="clear" w:color="auto" w:fill="FFFFFF"/>
        </w:rPr>
        <w:t>certificate it would b</w:t>
      </w:r>
      <w:r w:rsidR="00B70721">
        <w:rPr>
          <w:rFonts w:ascii="Arial" w:hAnsi="Arial" w:cs="Arial"/>
          <w:sz w:val="24"/>
          <w:szCs w:val="24"/>
          <w:shd w:val="clear" w:color="auto" w:fill="FFFFFF"/>
        </w:rPr>
        <w:t>e</w:t>
      </w:r>
      <w:r w:rsidR="00087EEB">
        <w:rPr>
          <w:rFonts w:ascii="Arial" w:hAnsi="Arial" w:cs="Arial"/>
          <w:sz w:val="24"/>
          <w:szCs w:val="24"/>
          <w:shd w:val="clear" w:color="auto" w:fill="FFFFFF"/>
        </w:rPr>
        <w:t xml:space="preserve"> difficult </w:t>
      </w:r>
      <w:r w:rsidR="00D672BD">
        <w:rPr>
          <w:rFonts w:ascii="Arial" w:hAnsi="Arial" w:cs="Arial"/>
          <w:sz w:val="24"/>
          <w:szCs w:val="24"/>
          <w:shd w:val="clear" w:color="auto" w:fill="FFFFFF"/>
        </w:rPr>
        <w:t>for</w:t>
      </w:r>
      <w:r w:rsidR="00087EEB">
        <w:rPr>
          <w:rFonts w:ascii="Arial" w:hAnsi="Arial" w:cs="Arial"/>
          <w:sz w:val="24"/>
          <w:szCs w:val="24"/>
          <w:shd w:val="clear" w:color="auto" w:fill="FFFFFF"/>
        </w:rPr>
        <w:t xml:space="preserve"> either spouse in their interaction</w:t>
      </w:r>
      <w:r w:rsidR="00341765">
        <w:rPr>
          <w:rFonts w:ascii="Arial" w:hAnsi="Arial" w:cs="Arial"/>
          <w:sz w:val="24"/>
          <w:szCs w:val="24"/>
          <w:shd w:val="clear" w:color="auto" w:fill="FFFFFF"/>
        </w:rPr>
        <w:t>s</w:t>
      </w:r>
      <w:r w:rsidR="00087EEB">
        <w:rPr>
          <w:rFonts w:ascii="Arial" w:hAnsi="Arial" w:cs="Arial"/>
          <w:sz w:val="24"/>
          <w:szCs w:val="24"/>
          <w:shd w:val="clear" w:color="auto" w:fill="FFFFFF"/>
        </w:rPr>
        <w:t xml:space="preserve"> with third parties and government </w:t>
      </w:r>
      <w:r w:rsidR="00D672BD">
        <w:rPr>
          <w:rFonts w:ascii="Arial" w:hAnsi="Arial" w:cs="Arial"/>
          <w:sz w:val="24"/>
          <w:szCs w:val="24"/>
          <w:shd w:val="clear" w:color="auto" w:fill="FFFFFF"/>
        </w:rPr>
        <w:t xml:space="preserve">departments </w:t>
      </w:r>
      <w:r w:rsidR="007D2485">
        <w:rPr>
          <w:rFonts w:ascii="Arial" w:hAnsi="Arial" w:cs="Arial"/>
          <w:sz w:val="24"/>
          <w:szCs w:val="24"/>
          <w:shd w:val="clear" w:color="auto" w:fill="FFFFFF"/>
        </w:rPr>
        <w:t xml:space="preserve">(and similar </w:t>
      </w:r>
      <w:r w:rsidR="00D672BD">
        <w:rPr>
          <w:rFonts w:ascii="Arial" w:hAnsi="Arial" w:cs="Arial"/>
          <w:sz w:val="24"/>
          <w:szCs w:val="24"/>
          <w:shd w:val="clear" w:color="auto" w:fill="FFFFFF"/>
        </w:rPr>
        <w:t>organisations</w:t>
      </w:r>
      <w:r w:rsidR="007D2485">
        <w:rPr>
          <w:rFonts w:ascii="Arial" w:hAnsi="Arial" w:cs="Arial"/>
          <w:sz w:val="24"/>
          <w:szCs w:val="24"/>
          <w:shd w:val="clear" w:color="auto" w:fill="FFFFFF"/>
        </w:rPr>
        <w:t xml:space="preserve">), to establish the </w:t>
      </w:r>
      <w:r w:rsidR="00D672BD">
        <w:rPr>
          <w:rFonts w:ascii="Arial" w:hAnsi="Arial" w:cs="Arial"/>
          <w:sz w:val="24"/>
          <w:szCs w:val="24"/>
          <w:shd w:val="clear" w:color="auto" w:fill="FFFFFF"/>
        </w:rPr>
        <w:t>subsistence</w:t>
      </w:r>
      <w:r w:rsidR="007D2485">
        <w:rPr>
          <w:rFonts w:ascii="Arial" w:hAnsi="Arial" w:cs="Arial"/>
          <w:sz w:val="24"/>
          <w:szCs w:val="24"/>
          <w:shd w:val="clear" w:color="auto" w:fill="FFFFFF"/>
        </w:rPr>
        <w:t xml:space="preserve"> of the marriage</w:t>
      </w:r>
      <w:r w:rsidR="00FB67B4">
        <w:rPr>
          <w:rFonts w:ascii="Arial" w:hAnsi="Arial" w:cs="Arial"/>
          <w:sz w:val="24"/>
          <w:szCs w:val="24"/>
          <w:shd w:val="clear" w:color="auto" w:fill="FFFFFF"/>
        </w:rPr>
        <w:t xml:space="preserve"> and his/ her marital status. In contra</w:t>
      </w:r>
      <w:r w:rsidR="00FA33E8">
        <w:rPr>
          <w:rFonts w:ascii="Arial" w:hAnsi="Arial" w:cs="Arial"/>
          <w:sz w:val="24"/>
          <w:szCs w:val="24"/>
          <w:shd w:val="clear" w:color="auto" w:fill="FFFFFF"/>
        </w:rPr>
        <w:t>s</w:t>
      </w:r>
      <w:r w:rsidR="00FB67B4">
        <w:rPr>
          <w:rFonts w:ascii="Arial" w:hAnsi="Arial" w:cs="Arial"/>
          <w:sz w:val="24"/>
          <w:szCs w:val="24"/>
          <w:shd w:val="clear" w:color="auto" w:fill="FFFFFF"/>
        </w:rPr>
        <w:t>t</w:t>
      </w:r>
      <w:r w:rsidR="00FA33E8">
        <w:rPr>
          <w:rFonts w:ascii="Arial" w:hAnsi="Arial" w:cs="Arial"/>
          <w:sz w:val="24"/>
          <w:szCs w:val="24"/>
          <w:shd w:val="clear" w:color="auto" w:fill="FFFFFF"/>
        </w:rPr>
        <w:t>,</w:t>
      </w:r>
      <w:r w:rsidR="00FB67B4">
        <w:rPr>
          <w:rFonts w:ascii="Arial" w:hAnsi="Arial" w:cs="Arial"/>
          <w:sz w:val="24"/>
          <w:szCs w:val="24"/>
          <w:shd w:val="clear" w:color="auto" w:fill="FFFFFF"/>
        </w:rPr>
        <w:t xml:space="preserve"> possession of a marriage certificate constitutes </w:t>
      </w:r>
      <w:r w:rsidR="00FB67B4" w:rsidRPr="00341765">
        <w:rPr>
          <w:rFonts w:ascii="Arial" w:hAnsi="Arial" w:cs="Arial"/>
          <w:sz w:val="24"/>
          <w:szCs w:val="24"/>
          <w:shd w:val="clear" w:color="auto" w:fill="FFFFFF"/>
        </w:rPr>
        <w:t xml:space="preserve">prima </w:t>
      </w:r>
      <w:r w:rsidR="00D672BD" w:rsidRPr="00341765">
        <w:rPr>
          <w:rFonts w:ascii="Arial" w:hAnsi="Arial" w:cs="Arial"/>
          <w:sz w:val="24"/>
          <w:szCs w:val="24"/>
          <w:shd w:val="clear" w:color="auto" w:fill="FFFFFF"/>
        </w:rPr>
        <w:t>facie</w:t>
      </w:r>
      <w:r w:rsidR="00D672BD">
        <w:rPr>
          <w:rFonts w:ascii="Arial" w:hAnsi="Arial" w:cs="Arial"/>
          <w:sz w:val="24"/>
          <w:szCs w:val="24"/>
          <w:shd w:val="clear" w:color="auto" w:fill="FFFFFF"/>
        </w:rPr>
        <w:t xml:space="preserve"> proof of </w:t>
      </w:r>
      <w:r w:rsidR="00341765">
        <w:rPr>
          <w:rFonts w:ascii="Arial" w:hAnsi="Arial" w:cs="Arial"/>
          <w:sz w:val="24"/>
          <w:szCs w:val="24"/>
          <w:shd w:val="clear" w:color="auto" w:fill="FFFFFF"/>
        </w:rPr>
        <w:t xml:space="preserve">the </w:t>
      </w:r>
      <w:r w:rsidR="00D672BD">
        <w:rPr>
          <w:rFonts w:ascii="Arial" w:hAnsi="Arial" w:cs="Arial"/>
          <w:sz w:val="24"/>
          <w:szCs w:val="24"/>
          <w:shd w:val="clear" w:color="auto" w:fill="FFFFFF"/>
        </w:rPr>
        <w:t>marriage</w:t>
      </w:r>
      <w:r w:rsidR="00FA33E8">
        <w:rPr>
          <w:rFonts w:ascii="Arial" w:hAnsi="Arial" w:cs="Arial"/>
          <w:sz w:val="24"/>
          <w:szCs w:val="24"/>
          <w:shd w:val="clear" w:color="auto" w:fill="FFFFFF"/>
        </w:rPr>
        <w:t>.</w:t>
      </w:r>
      <w:r w:rsidR="00341765">
        <w:rPr>
          <w:rFonts w:ascii="Arial" w:hAnsi="Arial" w:cs="Arial"/>
          <w:sz w:val="24"/>
          <w:szCs w:val="24"/>
          <w:shd w:val="clear" w:color="auto" w:fill="FFFFFF"/>
        </w:rPr>
        <w:t>’</w:t>
      </w:r>
      <w:r w:rsidR="00FA33E8">
        <w:rPr>
          <w:rFonts w:ascii="Arial" w:hAnsi="Arial" w:cs="Arial"/>
          <w:sz w:val="24"/>
          <w:szCs w:val="24"/>
          <w:shd w:val="clear" w:color="auto" w:fill="FFFFFF"/>
        </w:rPr>
        <w:t xml:space="preserve"> The court noted </w:t>
      </w:r>
      <w:r w:rsidR="00D837AC">
        <w:rPr>
          <w:rFonts w:ascii="Arial" w:hAnsi="Arial" w:cs="Arial"/>
          <w:sz w:val="24"/>
          <w:szCs w:val="24"/>
          <w:shd w:val="clear" w:color="auto" w:fill="FFFFFF"/>
        </w:rPr>
        <w:t xml:space="preserve">further </w:t>
      </w:r>
      <w:r w:rsidR="00FA33E8">
        <w:rPr>
          <w:rFonts w:ascii="Arial" w:hAnsi="Arial" w:cs="Arial"/>
          <w:sz w:val="24"/>
          <w:szCs w:val="24"/>
          <w:shd w:val="clear" w:color="auto" w:fill="FFFFFF"/>
        </w:rPr>
        <w:t xml:space="preserve">that </w:t>
      </w:r>
      <w:r w:rsidR="00341765">
        <w:rPr>
          <w:rFonts w:ascii="Arial" w:hAnsi="Arial" w:cs="Arial"/>
          <w:sz w:val="24"/>
          <w:szCs w:val="24"/>
          <w:shd w:val="clear" w:color="auto" w:fill="FFFFFF"/>
        </w:rPr>
        <w:t>‘</w:t>
      </w:r>
      <w:r w:rsidR="00FA33E8">
        <w:rPr>
          <w:rFonts w:ascii="Arial" w:hAnsi="Arial" w:cs="Arial"/>
          <w:sz w:val="24"/>
          <w:szCs w:val="24"/>
          <w:shd w:val="clear" w:color="auto" w:fill="FFFFFF"/>
        </w:rPr>
        <w:t>registration of the custo</w:t>
      </w:r>
      <w:r w:rsidR="00D837AC">
        <w:rPr>
          <w:rFonts w:ascii="Arial" w:hAnsi="Arial" w:cs="Arial"/>
          <w:sz w:val="24"/>
          <w:szCs w:val="24"/>
          <w:shd w:val="clear" w:color="auto" w:fill="FFFFFF"/>
        </w:rPr>
        <w:t xml:space="preserve">mary </w:t>
      </w:r>
      <w:r w:rsidR="00FA33E8">
        <w:rPr>
          <w:rFonts w:ascii="Arial" w:hAnsi="Arial" w:cs="Arial"/>
          <w:sz w:val="24"/>
          <w:szCs w:val="24"/>
          <w:shd w:val="clear" w:color="auto" w:fill="FFFFFF"/>
        </w:rPr>
        <w:t xml:space="preserve">marriage </w:t>
      </w:r>
      <w:r w:rsidR="00D837AC">
        <w:rPr>
          <w:rFonts w:ascii="Arial" w:hAnsi="Arial" w:cs="Arial"/>
          <w:sz w:val="24"/>
          <w:szCs w:val="24"/>
          <w:shd w:val="clear" w:color="auto" w:fill="FFFFFF"/>
        </w:rPr>
        <w:t>thus provides for public certainty about the relevant spouses’ marital status</w:t>
      </w:r>
      <w:r w:rsidR="00341765">
        <w:rPr>
          <w:rFonts w:ascii="Arial" w:hAnsi="Arial" w:cs="Arial"/>
          <w:sz w:val="24"/>
          <w:szCs w:val="24"/>
          <w:shd w:val="clear" w:color="auto" w:fill="FFFFFF"/>
        </w:rPr>
        <w:t>.’</w:t>
      </w:r>
      <w:r w:rsidR="00D672BD">
        <w:rPr>
          <w:rFonts w:ascii="Arial" w:hAnsi="Arial" w:cs="Arial"/>
          <w:sz w:val="24"/>
          <w:szCs w:val="24"/>
          <w:shd w:val="clear" w:color="auto" w:fill="FFFFFF"/>
        </w:rPr>
        <w:t xml:space="preserve"> </w:t>
      </w:r>
    </w:p>
    <w:p w:rsidR="00DF00DB" w:rsidRDefault="00DF00DB" w:rsidP="00A6696A">
      <w:pPr>
        <w:spacing w:after="0" w:line="480" w:lineRule="auto"/>
        <w:jc w:val="both"/>
        <w:rPr>
          <w:rFonts w:ascii="Arial" w:hAnsi="Arial" w:cs="Arial"/>
          <w:sz w:val="24"/>
          <w:szCs w:val="24"/>
          <w:shd w:val="clear" w:color="auto" w:fill="FFFFFF"/>
        </w:rPr>
      </w:pPr>
    </w:p>
    <w:p w:rsidR="00DF00DB" w:rsidRDefault="006A0506" w:rsidP="005C5401">
      <w:pPr>
        <w:autoSpaceDE w:val="0"/>
        <w:autoSpaceDN w:val="0"/>
        <w:adjustRightInd w:val="0"/>
        <w:spacing w:after="0" w:line="480" w:lineRule="auto"/>
        <w:jc w:val="both"/>
        <w:rPr>
          <w:rFonts w:ascii="Arial" w:hAnsi="Arial" w:cs="Arial"/>
          <w:sz w:val="24"/>
          <w:szCs w:val="24"/>
          <w:shd w:val="clear" w:color="auto" w:fill="FFFFFF"/>
        </w:rPr>
      </w:pPr>
      <w:r>
        <w:rPr>
          <w:rFonts w:ascii="Arial" w:hAnsi="Arial" w:cs="Arial"/>
          <w:sz w:val="24"/>
          <w:szCs w:val="24"/>
          <w:shd w:val="clear" w:color="auto" w:fill="FFFFFF"/>
        </w:rPr>
        <w:t>[15</w:t>
      </w:r>
      <w:r w:rsidR="00DF00DB">
        <w:rPr>
          <w:rFonts w:ascii="Arial" w:hAnsi="Arial" w:cs="Arial"/>
          <w:sz w:val="24"/>
          <w:szCs w:val="24"/>
          <w:shd w:val="clear" w:color="auto" w:fill="FFFFFF"/>
        </w:rPr>
        <w:t>]</w:t>
      </w:r>
      <w:r w:rsidR="00DF00DB">
        <w:rPr>
          <w:rFonts w:ascii="Arial" w:hAnsi="Arial" w:cs="Arial"/>
          <w:sz w:val="24"/>
          <w:szCs w:val="24"/>
          <w:shd w:val="clear" w:color="auto" w:fill="FFFFFF"/>
        </w:rPr>
        <w:tab/>
      </w:r>
      <w:r w:rsidR="00323384" w:rsidRPr="00A6696A">
        <w:rPr>
          <w:rFonts w:ascii="Arial" w:hAnsi="Arial" w:cs="Arial"/>
          <w:sz w:val="24"/>
          <w:szCs w:val="24"/>
          <w:shd w:val="clear" w:color="auto" w:fill="FFFFFF"/>
        </w:rPr>
        <w:t>Ordinarily</w:t>
      </w:r>
      <w:r w:rsidR="00137550" w:rsidRPr="00A6696A">
        <w:rPr>
          <w:rFonts w:ascii="Arial" w:hAnsi="Arial" w:cs="Arial"/>
          <w:sz w:val="24"/>
          <w:szCs w:val="24"/>
          <w:shd w:val="clear" w:color="auto" w:fill="FFFFFF"/>
        </w:rPr>
        <w:t>,</w:t>
      </w:r>
      <w:r w:rsidR="00323384" w:rsidRPr="00A6696A">
        <w:rPr>
          <w:rFonts w:ascii="Arial" w:hAnsi="Arial" w:cs="Arial"/>
          <w:sz w:val="24"/>
          <w:szCs w:val="24"/>
          <w:shd w:val="clear" w:color="auto" w:fill="FFFFFF"/>
        </w:rPr>
        <w:t xml:space="preserve"> spouses </w:t>
      </w:r>
      <w:r w:rsidR="007C2413">
        <w:rPr>
          <w:rFonts w:ascii="Arial" w:hAnsi="Arial" w:cs="Arial"/>
          <w:sz w:val="24"/>
          <w:szCs w:val="24"/>
          <w:shd w:val="clear" w:color="auto" w:fill="FFFFFF"/>
        </w:rPr>
        <w:t xml:space="preserve">are required to </w:t>
      </w:r>
      <w:r w:rsidR="00323384" w:rsidRPr="00A6696A">
        <w:rPr>
          <w:rFonts w:ascii="Arial" w:hAnsi="Arial" w:cs="Arial"/>
          <w:sz w:val="24"/>
          <w:szCs w:val="24"/>
          <w:shd w:val="clear" w:color="auto" w:fill="FFFFFF"/>
        </w:rPr>
        <w:t xml:space="preserve">produce a marriage certificate whenever their </w:t>
      </w:r>
      <w:r w:rsidR="004E394F" w:rsidRPr="00A6696A">
        <w:rPr>
          <w:rFonts w:ascii="Arial" w:hAnsi="Arial" w:cs="Arial"/>
          <w:sz w:val="24"/>
          <w:szCs w:val="24"/>
          <w:shd w:val="clear" w:color="auto" w:fill="FFFFFF"/>
        </w:rPr>
        <w:t>marital status is challenged. In this case</w:t>
      </w:r>
      <w:r w:rsidR="005A4CE7" w:rsidRPr="00A6696A">
        <w:rPr>
          <w:rFonts w:ascii="Arial" w:hAnsi="Arial" w:cs="Arial"/>
          <w:sz w:val="24"/>
          <w:szCs w:val="24"/>
          <w:shd w:val="clear" w:color="auto" w:fill="FFFFFF"/>
        </w:rPr>
        <w:t>,</w:t>
      </w:r>
      <w:r w:rsidR="004E394F" w:rsidRPr="00A6696A">
        <w:rPr>
          <w:rFonts w:ascii="Arial" w:hAnsi="Arial" w:cs="Arial"/>
          <w:sz w:val="24"/>
          <w:szCs w:val="24"/>
          <w:shd w:val="clear" w:color="auto" w:fill="FFFFFF"/>
        </w:rPr>
        <w:t xml:space="preserve"> the parties were </w:t>
      </w:r>
      <w:r w:rsidR="000A2C98">
        <w:rPr>
          <w:rFonts w:ascii="Arial" w:hAnsi="Arial" w:cs="Arial"/>
          <w:sz w:val="24"/>
          <w:szCs w:val="24"/>
          <w:shd w:val="clear" w:color="auto" w:fill="FFFFFF"/>
        </w:rPr>
        <w:t xml:space="preserve">allegedly </w:t>
      </w:r>
      <w:r w:rsidR="004E394F" w:rsidRPr="00A6696A">
        <w:rPr>
          <w:rFonts w:ascii="Arial" w:hAnsi="Arial" w:cs="Arial"/>
          <w:sz w:val="24"/>
          <w:szCs w:val="24"/>
          <w:shd w:val="clear" w:color="auto" w:fill="FFFFFF"/>
        </w:rPr>
        <w:t>married in 1980. Their marriage was not registered as required by section 4</w:t>
      </w:r>
      <w:r w:rsidR="00A71B58">
        <w:rPr>
          <w:rFonts w:ascii="Arial" w:hAnsi="Arial" w:cs="Arial"/>
          <w:sz w:val="24"/>
          <w:szCs w:val="24"/>
          <w:shd w:val="clear" w:color="auto" w:fill="FFFFFF"/>
        </w:rPr>
        <w:t xml:space="preserve"> of the RCMA</w:t>
      </w:r>
      <w:r w:rsidR="004E394F" w:rsidRPr="00A6696A">
        <w:rPr>
          <w:rFonts w:ascii="Arial" w:hAnsi="Arial" w:cs="Arial"/>
          <w:sz w:val="24"/>
          <w:szCs w:val="24"/>
          <w:shd w:val="clear" w:color="auto" w:fill="FFFFFF"/>
        </w:rPr>
        <w:t xml:space="preserve">. Five children were born in their marriage. All five children have since attained the age of majority. </w:t>
      </w:r>
      <w:r w:rsidR="005C5401" w:rsidRPr="005C5401">
        <w:rPr>
          <w:rFonts w:ascii="Arial" w:hAnsi="Arial" w:cs="Arial"/>
          <w:sz w:val="24"/>
          <w:szCs w:val="24"/>
          <w:shd w:val="clear" w:color="auto" w:fill="FFFFFF"/>
        </w:rPr>
        <w:t>Before his passing, the now-deceased husband filed a confirmatory affidavit that he was indeed married to the applicant by customary law rites.</w:t>
      </w:r>
      <w:r w:rsidR="005C5401">
        <w:rPr>
          <w:rFonts w:ascii="Arial" w:hAnsi="Arial" w:cs="Arial"/>
          <w:sz w:val="24"/>
          <w:szCs w:val="24"/>
          <w:shd w:val="clear" w:color="auto" w:fill="FFFFFF"/>
        </w:rPr>
        <w:t xml:space="preserve"> </w:t>
      </w:r>
      <w:r w:rsidR="004657FD">
        <w:rPr>
          <w:rFonts w:ascii="Arial" w:hAnsi="Arial" w:cs="Arial"/>
          <w:sz w:val="24"/>
          <w:szCs w:val="24"/>
          <w:shd w:val="clear" w:color="auto" w:fill="FFFFFF"/>
        </w:rPr>
        <w:t xml:space="preserve">In </w:t>
      </w:r>
      <w:r w:rsidR="004E394F" w:rsidRPr="00A6696A">
        <w:rPr>
          <w:rFonts w:ascii="Arial" w:hAnsi="Arial" w:cs="Arial"/>
          <w:sz w:val="24"/>
          <w:szCs w:val="24"/>
          <w:shd w:val="clear" w:color="auto" w:fill="FFFFFF"/>
        </w:rPr>
        <w:t xml:space="preserve">his </w:t>
      </w:r>
      <w:r w:rsidR="00386231" w:rsidRPr="00A6696A">
        <w:rPr>
          <w:rFonts w:ascii="Arial" w:hAnsi="Arial" w:cs="Arial"/>
          <w:sz w:val="24"/>
          <w:szCs w:val="24"/>
          <w:shd w:val="clear" w:color="auto" w:fill="FFFFFF"/>
        </w:rPr>
        <w:t xml:space="preserve">confirmatory </w:t>
      </w:r>
      <w:r w:rsidR="004E394F" w:rsidRPr="00A6696A">
        <w:rPr>
          <w:rFonts w:ascii="Arial" w:hAnsi="Arial" w:cs="Arial"/>
          <w:sz w:val="24"/>
          <w:szCs w:val="24"/>
          <w:shd w:val="clear" w:color="auto" w:fill="FFFFFF"/>
        </w:rPr>
        <w:t>affidavit</w:t>
      </w:r>
      <w:r w:rsidR="00A71B58">
        <w:rPr>
          <w:rFonts w:ascii="Arial" w:hAnsi="Arial" w:cs="Arial"/>
          <w:sz w:val="24"/>
          <w:szCs w:val="24"/>
          <w:shd w:val="clear" w:color="auto" w:fill="FFFFFF"/>
        </w:rPr>
        <w:t>,</w:t>
      </w:r>
      <w:r w:rsidR="004E394F" w:rsidRPr="00A6696A">
        <w:rPr>
          <w:rFonts w:ascii="Arial" w:hAnsi="Arial" w:cs="Arial"/>
          <w:sz w:val="24"/>
          <w:szCs w:val="24"/>
          <w:shd w:val="clear" w:color="auto" w:fill="FFFFFF"/>
        </w:rPr>
        <w:t xml:space="preserve"> </w:t>
      </w:r>
      <w:r w:rsidR="00A71B58">
        <w:rPr>
          <w:rFonts w:ascii="Arial" w:hAnsi="Arial" w:cs="Arial"/>
          <w:sz w:val="24"/>
          <w:szCs w:val="24"/>
          <w:shd w:val="clear" w:color="auto" w:fill="FFFFFF"/>
        </w:rPr>
        <w:t xml:space="preserve">he </w:t>
      </w:r>
      <w:r w:rsidR="004657FD">
        <w:rPr>
          <w:rFonts w:ascii="Arial" w:hAnsi="Arial" w:cs="Arial"/>
          <w:sz w:val="24"/>
          <w:szCs w:val="24"/>
          <w:shd w:val="clear" w:color="auto" w:fill="FFFFFF"/>
        </w:rPr>
        <w:t xml:space="preserve">stated that he </w:t>
      </w:r>
      <w:r w:rsidR="00386231" w:rsidRPr="00A6696A">
        <w:rPr>
          <w:rFonts w:ascii="Arial" w:hAnsi="Arial" w:cs="Arial"/>
          <w:sz w:val="24"/>
          <w:szCs w:val="24"/>
          <w:shd w:val="clear" w:color="auto" w:fill="FFFFFF"/>
        </w:rPr>
        <w:t xml:space="preserve">was not married to the applicant </w:t>
      </w:r>
      <w:r w:rsidR="004657FD">
        <w:rPr>
          <w:rFonts w:ascii="Arial" w:hAnsi="Arial" w:cs="Arial"/>
          <w:sz w:val="24"/>
          <w:szCs w:val="24"/>
          <w:shd w:val="clear" w:color="auto" w:fill="FFFFFF"/>
        </w:rPr>
        <w:t xml:space="preserve">when he concluded the impugned sale agreement </w:t>
      </w:r>
      <w:r w:rsidR="00A71B58">
        <w:rPr>
          <w:rFonts w:ascii="Arial" w:hAnsi="Arial" w:cs="Arial"/>
          <w:sz w:val="24"/>
          <w:szCs w:val="24"/>
          <w:shd w:val="clear" w:color="auto" w:fill="FFFFFF"/>
        </w:rPr>
        <w:t xml:space="preserve">as he mistakenly believed that his </w:t>
      </w:r>
      <w:r w:rsidR="004E394F" w:rsidRPr="00A6696A">
        <w:rPr>
          <w:rFonts w:ascii="Arial" w:hAnsi="Arial" w:cs="Arial"/>
          <w:sz w:val="24"/>
          <w:szCs w:val="24"/>
          <w:shd w:val="clear" w:color="auto" w:fill="FFFFFF"/>
        </w:rPr>
        <w:t>customary marriage</w:t>
      </w:r>
      <w:r w:rsidR="007F6A7B" w:rsidRPr="00A6696A">
        <w:rPr>
          <w:rFonts w:ascii="Arial" w:hAnsi="Arial" w:cs="Arial"/>
          <w:sz w:val="24"/>
          <w:szCs w:val="24"/>
          <w:shd w:val="clear" w:color="auto" w:fill="FFFFFF"/>
        </w:rPr>
        <w:t xml:space="preserve"> </w:t>
      </w:r>
      <w:r w:rsidR="00A71B58">
        <w:rPr>
          <w:rFonts w:ascii="Arial" w:hAnsi="Arial" w:cs="Arial"/>
          <w:sz w:val="24"/>
          <w:szCs w:val="24"/>
          <w:shd w:val="clear" w:color="auto" w:fill="FFFFFF"/>
        </w:rPr>
        <w:t xml:space="preserve">to </w:t>
      </w:r>
      <w:r w:rsidR="00A71B58">
        <w:rPr>
          <w:rFonts w:ascii="Arial" w:hAnsi="Arial" w:cs="Arial"/>
          <w:sz w:val="24"/>
          <w:szCs w:val="24"/>
          <w:shd w:val="clear" w:color="auto" w:fill="FFFFFF"/>
        </w:rPr>
        <w:lastRenderedPageBreak/>
        <w:t xml:space="preserve">the applicant </w:t>
      </w:r>
      <w:r w:rsidR="007F6A7B" w:rsidRPr="00A6696A">
        <w:rPr>
          <w:rFonts w:ascii="Arial" w:hAnsi="Arial" w:cs="Arial"/>
          <w:sz w:val="24"/>
          <w:szCs w:val="24"/>
          <w:shd w:val="clear" w:color="auto" w:fill="FFFFFF"/>
        </w:rPr>
        <w:t>was not legally recognised as a valid marri</w:t>
      </w:r>
      <w:r w:rsidR="00A71B58">
        <w:rPr>
          <w:rFonts w:ascii="Arial" w:hAnsi="Arial" w:cs="Arial"/>
          <w:sz w:val="24"/>
          <w:szCs w:val="24"/>
          <w:shd w:val="clear" w:color="auto" w:fill="FFFFFF"/>
        </w:rPr>
        <w:t xml:space="preserve">age. He was </w:t>
      </w:r>
      <w:r w:rsidR="00D837AC">
        <w:rPr>
          <w:rFonts w:ascii="Arial" w:hAnsi="Arial" w:cs="Arial"/>
          <w:sz w:val="24"/>
          <w:szCs w:val="24"/>
          <w:shd w:val="clear" w:color="auto" w:fill="FFFFFF"/>
        </w:rPr>
        <w:t>un</w:t>
      </w:r>
      <w:r w:rsidR="00A71B58">
        <w:rPr>
          <w:rFonts w:ascii="Arial" w:hAnsi="Arial" w:cs="Arial"/>
          <w:sz w:val="24"/>
          <w:szCs w:val="24"/>
          <w:shd w:val="clear" w:color="auto" w:fill="FFFFFF"/>
        </w:rPr>
        <w:t>aware that c</w:t>
      </w:r>
      <w:r w:rsidR="007F6A7B" w:rsidRPr="00A6696A">
        <w:rPr>
          <w:rFonts w:ascii="Arial" w:hAnsi="Arial" w:cs="Arial"/>
          <w:sz w:val="24"/>
          <w:szCs w:val="24"/>
          <w:shd w:val="clear" w:color="auto" w:fill="FFFFFF"/>
        </w:rPr>
        <w:t>ustomary marriage</w:t>
      </w:r>
      <w:r w:rsidR="00A71B58">
        <w:rPr>
          <w:rFonts w:ascii="Arial" w:hAnsi="Arial" w:cs="Arial"/>
          <w:sz w:val="24"/>
          <w:szCs w:val="24"/>
          <w:shd w:val="clear" w:color="auto" w:fill="FFFFFF"/>
        </w:rPr>
        <w:t>s</w:t>
      </w:r>
      <w:r w:rsidR="007F6A7B" w:rsidRPr="00A6696A">
        <w:rPr>
          <w:rFonts w:ascii="Arial" w:hAnsi="Arial" w:cs="Arial"/>
          <w:sz w:val="24"/>
          <w:szCs w:val="24"/>
          <w:shd w:val="clear" w:color="auto" w:fill="FFFFFF"/>
        </w:rPr>
        <w:t xml:space="preserve"> </w:t>
      </w:r>
      <w:r w:rsidR="004E394F" w:rsidRPr="00A6696A">
        <w:rPr>
          <w:rFonts w:ascii="Arial" w:hAnsi="Arial" w:cs="Arial"/>
          <w:sz w:val="24"/>
          <w:szCs w:val="24"/>
          <w:shd w:val="clear" w:color="auto" w:fill="FFFFFF"/>
        </w:rPr>
        <w:t>enjoy</w:t>
      </w:r>
      <w:r w:rsidR="00386231" w:rsidRPr="00A6696A">
        <w:rPr>
          <w:rFonts w:ascii="Arial" w:hAnsi="Arial" w:cs="Arial"/>
          <w:sz w:val="24"/>
          <w:szCs w:val="24"/>
          <w:shd w:val="clear" w:color="auto" w:fill="FFFFFF"/>
        </w:rPr>
        <w:t>ed</w:t>
      </w:r>
      <w:r w:rsidR="004E394F" w:rsidRPr="00A6696A">
        <w:rPr>
          <w:rFonts w:ascii="Arial" w:hAnsi="Arial" w:cs="Arial"/>
          <w:sz w:val="24"/>
          <w:szCs w:val="24"/>
          <w:shd w:val="clear" w:color="auto" w:fill="FFFFFF"/>
        </w:rPr>
        <w:t xml:space="preserve"> the same recognition as civil marriage</w:t>
      </w:r>
      <w:r w:rsidR="00A71B58">
        <w:rPr>
          <w:rFonts w:ascii="Arial" w:hAnsi="Arial" w:cs="Arial"/>
          <w:sz w:val="24"/>
          <w:szCs w:val="24"/>
          <w:shd w:val="clear" w:color="auto" w:fill="FFFFFF"/>
        </w:rPr>
        <w:t>s</w:t>
      </w:r>
      <w:r w:rsidR="004E394F" w:rsidRPr="00A6696A">
        <w:rPr>
          <w:rFonts w:ascii="Arial" w:hAnsi="Arial" w:cs="Arial"/>
          <w:sz w:val="24"/>
          <w:szCs w:val="24"/>
          <w:shd w:val="clear" w:color="auto" w:fill="FFFFFF"/>
        </w:rPr>
        <w:t>.</w:t>
      </w:r>
      <w:r w:rsidR="005C5401">
        <w:rPr>
          <w:rFonts w:ascii="Arial" w:hAnsi="Arial" w:cs="Arial"/>
          <w:sz w:val="24"/>
          <w:szCs w:val="24"/>
          <w:shd w:val="clear" w:color="auto" w:fill="FFFFFF"/>
        </w:rPr>
        <w:t xml:space="preserve"> </w:t>
      </w:r>
      <w:r w:rsidR="005C5401" w:rsidRPr="005C5401">
        <w:rPr>
          <w:rFonts w:ascii="Arial" w:hAnsi="Arial" w:cs="Arial"/>
          <w:sz w:val="24"/>
          <w:szCs w:val="24"/>
          <w:shd w:val="clear" w:color="auto" w:fill="FFFFFF"/>
        </w:rPr>
        <w:t>For this reason, he stated that he was unmarried when he sold the house to the first respondent</w:t>
      </w:r>
      <w:r w:rsidR="005C5401">
        <w:rPr>
          <w:rFonts w:ascii="Arial" w:hAnsi="Arial" w:cs="Arial"/>
          <w:sz w:val="24"/>
          <w:szCs w:val="24"/>
          <w:shd w:val="clear" w:color="auto" w:fill="FFFFFF"/>
        </w:rPr>
        <w:t xml:space="preserve">. </w:t>
      </w:r>
      <w:r w:rsidR="00D837AC">
        <w:rPr>
          <w:rFonts w:ascii="Arial" w:hAnsi="Arial" w:cs="Arial"/>
          <w:sz w:val="24"/>
          <w:szCs w:val="24"/>
          <w:shd w:val="clear" w:color="auto" w:fill="FFFFFF"/>
        </w:rPr>
        <w:t xml:space="preserve"> </w:t>
      </w:r>
      <w:r w:rsidR="005C5401" w:rsidRPr="005C5401">
        <w:rPr>
          <w:rFonts w:ascii="Arial" w:hAnsi="Arial" w:cs="Arial"/>
          <w:sz w:val="24"/>
          <w:szCs w:val="24"/>
          <w:shd w:val="clear" w:color="auto" w:fill="FFFFFF"/>
        </w:rPr>
        <w:t>Nonetheless, in his confirmatory affidavit, he asserted that he was indeed married to the applicant by customary tenets</w:t>
      </w:r>
      <w:r w:rsidR="005C5401">
        <w:rPr>
          <w:rFonts w:ascii="Arial" w:hAnsi="Arial" w:cs="Arial"/>
          <w:sz w:val="24"/>
          <w:szCs w:val="24"/>
          <w:shd w:val="clear" w:color="auto" w:fill="FFFFFF"/>
        </w:rPr>
        <w:t>.</w:t>
      </w:r>
      <w:r w:rsidR="009C10BB">
        <w:rPr>
          <w:rFonts w:ascii="Arial" w:hAnsi="Arial" w:cs="Arial"/>
          <w:sz w:val="24"/>
          <w:szCs w:val="24"/>
          <w:shd w:val="clear" w:color="auto" w:fill="FFFFFF"/>
        </w:rPr>
        <w:t xml:space="preserve"> </w:t>
      </w:r>
    </w:p>
    <w:p w:rsidR="00DF00DB" w:rsidRDefault="00DF00DB" w:rsidP="00A6696A">
      <w:pPr>
        <w:autoSpaceDE w:val="0"/>
        <w:autoSpaceDN w:val="0"/>
        <w:adjustRightInd w:val="0"/>
        <w:spacing w:after="0" w:line="480" w:lineRule="auto"/>
        <w:jc w:val="both"/>
        <w:rPr>
          <w:rFonts w:ascii="Arial" w:hAnsi="Arial" w:cs="Arial"/>
          <w:sz w:val="24"/>
          <w:szCs w:val="24"/>
          <w:shd w:val="clear" w:color="auto" w:fill="FFFFFF"/>
        </w:rPr>
      </w:pPr>
    </w:p>
    <w:p w:rsidR="004E394F" w:rsidRPr="00A6696A" w:rsidRDefault="006A0506" w:rsidP="00A6696A">
      <w:pPr>
        <w:autoSpaceDE w:val="0"/>
        <w:autoSpaceDN w:val="0"/>
        <w:adjustRightInd w:val="0"/>
        <w:spacing w:after="0" w:line="480" w:lineRule="auto"/>
        <w:jc w:val="both"/>
        <w:rPr>
          <w:rFonts w:ascii="Arial" w:hAnsi="Arial" w:cs="Arial"/>
          <w:sz w:val="24"/>
          <w:szCs w:val="24"/>
          <w:shd w:val="clear" w:color="auto" w:fill="FFFFFF"/>
        </w:rPr>
      </w:pPr>
      <w:r>
        <w:rPr>
          <w:rFonts w:ascii="Arial" w:hAnsi="Arial" w:cs="Arial"/>
          <w:sz w:val="24"/>
          <w:szCs w:val="24"/>
          <w:shd w:val="clear" w:color="auto" w:fill="FFFFFF"/>
        </w:rPr>
        <w:t>[16</w:t>
      </w:r>
      <w:r w:rsidR="00DF00DB">
        <w:rPr>
          <w:rFonts w:ascii="Arial" w:hAnsi="Arial" w:cs="Arial"/>
          <w:sz w:val="24"/>
          <w:szCs w:val="24"/>
          <w:shd w:val="clear" w:color="auto" w:fill="FFFFFF"/>
        </w:rPr>
        <w:t>]</w:t>
      </w:r>
      <w:r w:rsidR="00DF00DB">
        <w:rPr>
          <w:rFonts w:ascii="Arial" w:hAnsi="Arial" w:cs="Arial"/>
          <w:sz w:val="24"/>
          <w:szCs w:val="24"/>
          <w:shd w:val="clear" w:color="auto" w:fill="FFFFFF"/>
        </w:rPr>
        <w:tab/>
      </w:r>
      <w:r w:rsidR="007F6A7B" w:rsidRPr="00A6696A">
        <w:rPr>
          <w:rFonts w:ascii="Arial" w:hAnsi="Arial" w:cs="Arial"/>
          <w:sz w:val="24"/>
          <w:szCs w:val="24"/>
          <w:shd w:val="clear" w:color="auto" w:fill="FFFFFF"/>
        </w:rPr>
        <w:t xml:space="preserve">The applicant also obtained an affidavit </w:t>
      </w:r>
      <w:r w:rsidR="00D837AC">
        <w:rPr>
          <w:rFonts w:ascii="Arial" w:hAnsi="Arial" w:cs="Arial"/>
          <w:sz w:val="24"/>
          <w:szCs w:val="24"/>
          <w:shd w:val="clear" w:color="auto" w:fill="FFFFFF"/>
        </w:rPr>
        <w:t>from</w:t>
      </w:r>
      <w:r w:rsidR="007F6A7B" w:rsidRPr="00A6696A">
        <w:rPr>
          <w:rFonts w:ascii="Arial" w:hAnsi="Arial" w:cs="Arial"/>
          <w:sz w:val="24"/>
          <w:szCs w:val="24"/>
          <w:shd w:val="clear" w:color="auto" w:fill="FFFFFF"/>
        </w:rPr>
        <w:t xml:space="preserve"> Mr </w:t>
      </w:r>
      <w:proofErr w:type="gramStart"/>
      <w:r w:rsidR="007F6A7B" w:rsidRPr="00A6696A">
        <w:rPr>
          <w:rFonts w:ascii="Arial" w:hAnsi="Arial" w:cs="Arial"/>
          <w:sz w:val="24"/>
          <w:szCs w:val="24"/>
          <w:shd w:val="clear" w:color="auto" w:fill="FFFFFF"/>
        </w:rPr>
        <w:t>M</w:t>
      </w:r>
      <w:r w:rsidR="005D1653">
        <w:rPr>
          <w:rFonts w:ascii="Arial" w:hAnsi="Arial" w:cs="Arial"/>
          <w:sz w:val="24"/>
          <w:szCs w:val="24"/>
          <w:shd w:val="clear" w:color="auto" w:fill="FFFFFF"/>
        </w:rPr>
        <w:t>[</w:t>
      </w:r>
      <w:proofErr w:type="gramEnd"/>
      <w:r w:rsidR="005D1653">
        <w:rPr>
          <w:rFonts w:ascii="Arial" w:hAnsi="Arial" w:cs="Arial"/>
          <w:sz w:val="24"/>
          <w:szCs w:val="24"/>
          <w:shd w:val="clear" w:color="auto" w:fill="FFFFFF"/>
        </w:rPr>
        <w:t>…]</w:t>
      </w:r>
      <w:r w:rsidR="007F6A7B" w:rsidRPr="00A6696A">
        <w:rPr>
          <w:rFonts w:ascii="Arial" w:hAnsi="Arial" w:cs="Arial"/>
          <w:sz w:val="24"/>
          <w:szCs w:val="24"/>
          <w:shd w:val="clear" w:color="auto" w:fill="FFFFFF"/>
        </w:rPr>
        <w:t xml:space="preserve"> M</w:t>
      </w:r>
      <w:r w:rsidR="005D1653">
        <w:rPr>
          <w:rFonts w:ascii="Arial" w:hAnsi="Arial" w:cs="Arial"/>
          <w:sz w:val="24"/>
          <w:szCs w:val="24"/>
          <w:shd w:val="clear" w:color="auto" w:fill="FFFFFF"/>
        </w:rPr>
        <w:t>[…]</w:t>
      </w:r>
      <w:r w:rsidR="00D837AC">
        <w:rPr>
          <w:rFonts w:ascii="Arial" w:hAnsi="Arial" w:cs="Arial"/>
          <w:sz w:val="24"/>
          <w:szCs w:val="24"/>
          <w:shd w:val="clear" w:color="auto" w:fill="FFFFFF"/>
        </w:rPr>
        <w:t>,</w:t>
      </w:r>
      <w:r w:rsidR="007F6A7B" w:rsidRPr="00A6696A">
        <w:rPr>
          <w:rFonts w:ascii="Arial" w:hAnsi="Arial" w:cs="Arial"/>
          <w:sz w:val="24"/>
          <w:szCs w:val="24"/>
          <w:shd w:val="clear" w:color="auto" w:fill="FFFFFF"/>
        </w:rPr>
        <w:t xml:space="preserve"> the younger brother o</w:t>
      </w:r>
      <w:r w:rsidR="00CD2F18">
        <w:rPr>
          <w:rFonts w:ascii="Arial" w:hAnsi="Arial" w:cs="Arial"/>
          <w:sz w:val="24"/>
          <w:szCs w:val="24"/>
          <w:shd w:val="clear" w:color="auto" w:fill="FFFFFF"/>
        </w:rPr>
        <w:t>f</w:t>
      </w:r>
      <w:r w:rsidR="007F6A7B" w:rsidRPr="00A6696A">
        <w:rPr>
          <w:rFonts w:ascii="Arial" w:hAnsi="Arial" w:cs="Arial"/>
          <w:sz w:val="24"/>
          <w:szCs w:val="24"/>
          <w:shd w:val="clear" w:color="auto" w:fill="FFFFFF"/>
        </w:rPr>
        <w:t xml:space="preserve"> the </w:t>
      </w:r>
      <w:r w:rsidR="004405FE">
        <w:rPr>
          <w:rFonts w:ascii="Arial" w:hAnsi="Arial" w:cs="Arial"/>
          <w:sz w:val="24"/>
          <w:szCs w:val="24"/>
          <w:shd w:val="clear" w:color="auto" w:fill="FFFFFF"/>
        </w:rPr>
        <w:t>second respondent</w:t>
      </w:r>
      <w:r w:rsidR="00DF3DC7">
        <w:rPr>
          <w:rFonts w:ascii="Arial" w:hAnsi="Arial" w:cs="Arial"/>
          <w:sz w:val="24"/>
          <w:szCs w:val="24"/>
          <w:shd w:val="clear" w:color="auto" w:fill="FFFFFF"/>
        </w:rPr>
        <w:t>.</w:t>
      </w:r>
      <w:r w:rsidR="007F6A7B" w:rsidRPr="00A6696A">
        <w:rPr>
          <w:rFonts w:ascii="Arial" w:hAnsi="Arial" w:cs="Arial"/>
          <w:sz w:val="24"/>
          <w:szCs w:val="24"/>
          <w:shd w:val="clear" w:color="auto" w:fill="FFFFFF"/>
        </w:rPr>
        <w:t xml:space="preserve"> Mr </w:t>
      </w:r>
      <w:proofErr w:type="gramStart"/>
      <w:r w:rsidR="007F6A7B" w:rsidRPr="00A6696A">
        <w:rPr>
          <w:rFonts w:ascii="Arial" w:hAnsi="Arial" w:cs="Arial"/>
          <w:sz w:val="24"/>
          <w:szCs w:val="24"/>
          <w:shd w:val="clear" w:color="auto" w:fill="FFFFFF"/>
        </w:rPr>
        <w:t>M</w:t>
      </w:r>
      <w:r w:rsidR="005D1653">
        <w:rPr>
          <w:rFonts w:ascii="Arial" w:hAnsi="Arial" w:cs="Arial"/>
          <w:sz w:val="24"/>
          <w:szCs w:val="24"/>
          <w:shd w:val="clear" w:color="auto" w:fill="FFFFFF"/>
        </w:rPr>
        <w:t>[</w:t>
      </w:r>
      <w:proofErr w:type="gramEnd"/>
      <w:r w:rsidR="005D1653">
        <w:rPr>
          <w:rFonts w:ascii="Arial" w:hAnsi="Arial" w:cs="Arial"/>
          <w:sz w:val="24"/>
          <w:szCs w:val="24"/>
          <w:shd w:val="clear" w:color="auto" w:fill="FFFFFF"/>
        </w:rPr>
        <w:t>…]</w:t>
      </w:r>
      <w:r w:rsidR="007F6A7B" w:rsidRPr="00A6696A">
        <w:rPr>
          <w:rFonts w:ascii="Arial" w:hAnsi="Arial" w:cs="Arial"/>
          <w:sz w:val="24"/>
          <w:szCs w:val="24"/>
          <w:shd w:val="clear" w:color="auto" w:fill="FFFFFF"/>
        </w:rPr>
        <w:t xml:space="preserve"> </w:t>
      </w:r>
      <w:r w:rsidR="005F5B77">
        <w:rPr>
          <w:rFonts w:ascii="Arial" w:hAnsi="Arial" w:cs="Arial"/>
          <w:sz w:val="24"/>
          <w:szCs w:val="24"/>
          <w:shd w:val="clear" w:color="auto" w:fill="FFFFFF"/>
        </w:rPr>
        <w:t xml:space="preserve">declared </w:t>
      </w:r>
      <w:r w:rsidR="007F6A7B" w:rsidRPr="00A6696A">
        <w:rPr>
          <w:rFonts w:ascii="Arial" w:hAnsi="Arial" w:cs="Arial"/>
          <w:sz w:val="24"/>
          <w:szCs w:val="24"/>
          <w:shd w:val="clear" w:color="auto" w:fill="FFFFFF"/>
        </w:rPr>
        <w:t>that the applicant and the second respondent were in</w:t>
      </w:r>
      <w:r w:rsidR="009C10BB">
        <w:rPr>
          <w:rFonts w:ascii="Arial" w:hAnsi="Arial" w:cs="Arial"/>
          <w:sz w:val="24"/>
          <w:szCs w:val="24"/>
          <w:shd w:val="clear" w:color="auto" w:fill="FFFFFF"/>
        </w:rPr>
        <w:t xml:space="preserve">dubitably </w:t>
      </w:r>
      <w:r w:rsidR="007F6A7B" w:rsidRPr="00A6696A">
        <w:rPr>
          <w:rFonts w:ascii="Arial" w:hAnsi="Arial" w:cs="Arial"/>
          <w:sz w:val="24"/>
          <w:szCs w:val="24"/>
          <w:shd w:val="clear" w:color="auto" w:fill="FFFFFF"/>
        </w:rPr>
        <w:t xml:space="preserve">married to each other </w:t>
      </w:r>
      <w:r w:rsidR="00D837AC">
        <w:rPr>
          <w:rFonts w:ascii="Arial" w:hAnsi="Arial" w:cs="Arial"/>
          <w:sz w:val="24"/>
          <w:szCs w:val="24"/>
          <w:shd w:val="clear" w:color="auto" w:fill="FFFFFF"/>
        </w:rPr>
        <w:t xml:space="preserve">by </w:t>
      </w:r>
      <w:r w:rsidR="007F6A7B" w:rsidRPr="00A6696A">
        <w:rPr>
          <w:rFonts w:ascii="Arial" w:hAnsi="Arial" w:cs="Arial"/>
          <w:sz w:val="24"/>
          <w:szCs w:val="24"/>
          <w:shd w:val="clear" w:color="auto" w:fill="FFFFFF"/>
        </w:rPr>
        <w:t>customary marriage and that their marriage existed until the demise of the second respondent. Mr M</w:t>
      </w:r>
      <w:r w:rsidR="005D1653">
        <w:rPr>
          <w:rFonts w:ascii="Arial" w:hAnsi="Arial" w:cs="Arial"/>
          <w:sz w:val="24"/>
          <w:szCs w:val="24"/>
          <w:shd w:val="clear" w:color="auto" w:fill="FFFFFF"/>
        </w:rPr>
        <w:t>[…]</w:t>
      </w:r>
      <w:r w:rsidR="007F6A7B" w:rsidRPr="00A6696A">
        <w:rPr>
          <w:rFonts w:ascii="Arial" w:hAnsi="Arial" w:cs="Arial"/>
          <w:sz w:val="24"/>
          <w:szCs w:val="24"/>
          <w:shd w:val="clear" w:color="auto" w:fill="FFFFFF"/>
        </w:rPr>
        <w:t xml:space="preserve"> also confirmed that the marriage between </w:t>
      </w:r>
      <w:r w:rsidR="00D837AC">
        <w:rPr>
          <w:rFonts w:ascii="Arial" w:hAnsi="Arial" w:cs="Arial"/>
          <w:sz w:val="24"/>
          <w:szCs w:val="24"/>
          <w:shd w:val="clear" w:color="auto" w:fill="FFFFFF"/>
        </w:rPr>
        <w:t xml:space="preserve">the </w:t>
      </w:r>
      <w:r w:rsidR="007F6A7B" w:rsidRPr="00A6696A">
        <w:rPr>
          <w:rFonts w:ascii="Arial" w:hAnsi="Arial" w:cs="Arial"/>
          <w:sz w:val="24"/>
          <w:szCs w:val="24"/>
          <w:shd w:val="clear" w:color="auto" w:fill="FFFFFF"/>
        </w:rPr>
        <w:t xml:space="preserve">applicant and the second respondent was concluded in 1980 in the Eastern Cape. </w:t>
      </w:r>
      <w:bookmarkStart w:id="0" w:name="_GoBack"/>
      <w:bookmarkEnd w:id="0"/>
    </w:p>
    <w:p w:rsidR="007F6A7B" w:rsidRDefault="007F6A7B" w:rsidP="004E394F">
      <w:pPr>
        <w:autoSpaceDE w:val="0"/>
        <w:autoSpaceDN w:val="0"/>
        <w:adjustRightInd w:val="0"/>
        <w:spacing w:after="0" w:line="360" w:lineRule="auto"/>
        <w:jc w:val="both"/>
        <w:rPr>
          <w:rFonts w:ascii="Arial" w:hAnsi="Arial" w:cs="Arial"/>
          <w:sz w:val="24"/>
          <w:szCs w:val="24"/>
          <w:shd w:val="clear" w:color="auto" w:fill="FFFFFF"/>
        </w:rPr>
      </w:pPr>
    </w:p>
    <w:p w:rsidR="009C10BB" w:rsidRDefault="006A0506" w:rsidP="00A6696A">
      <w:pPr>
        <w:autoSpaceDE w:val="0"/>
        <w:autoSpaceDN w:val="0"/>
        <w:adjustRightInd w:val="0"/>
        <w:spacing w:after="0" w:line="480" w:lineRule="auto"/>
        <w:jc w:val="both"/>
        <w:rPr>
          <w:rFonts w:ascii="Arial" w:hAnsi="Arial" w:cs="Arial"/>
          <w:iCs/>
          <w:sz w:val="24"/>
          <w:szCs w:val="24"/>
        </w:rPr>
      </w:pPr>
      <w:r>
        <w:rPr>
          <w:rFonts w:ascii="Arial" w:hAnsi="Arial" w:cs="Arial"/>
          <w:iCs/>
          <w:sz w:val="24"/>
          <w:szCs w:val="24"/>
        </w:rPr>
        <w:t>[17</w:t>
      </w:r>
      <w:r w:rsidR="00DF00DB">
        <w:rPr>
          <w:rFonts w:ascii="Arial" w:hAnsi="Arial" w:cs="Arial"/>
          <w:iCs/>
          <w:sz w:val="24"/>
          <w:szCs w:val="24"/>
        </w:rPr>
        <w:t>]</w:t>
      </w:r>
      <w:r w:rsidR="00DF00DB">
        <w:rPr>
          <w:rFonts w:ascii="Arial" w:hAnsi="Arial" w:cs="Arial"/>
          <w:iCs/>
          <w:sz w:val="24"/>
          <w:szCs w:val="24"/>
        </w:rPr>
        <w:tab/>
      </w:r>
      <w:r w:rsidR="00D837AC" w:rsidRPr="00D837AC">
        <w:rPr>
          <w:rFonts w:ascii="Arial" w:hAnsi="Arial" w:cs="Arial"/>
          <w:iCs/>
          <w:sz w:val="24"/>
          <w:szCs w:val="24"/>
        </w:rPr>
        <w:t>Any valid marriage in terms of our law must be proved to the court's satisfaction.</w:t>
      </w:r>
      <w:r w:rsidR="00D837AC">
        <w:rPr>
          <w:rFonts w:ascii="Arial" w:hAnsi="Arial" w:cs="Arial"/>
          <w:iCs/>
          <w:sz w:val="24"/>
          <w:szCs w:val="24"/>
        </w:rPr>
        <w:t xml:space="preserve"> </w:t>
      </w:r>
      <w:r w:rsidR="00826AA2" w:rsidRPr="00A6696A">
        <w:rPr>
          <w:rFonts w:ascii="Arial" w:hAnsi="Arial" w:cs="Arial"/>
          <w:iCs/>
          <w:sz w:val="24"/>
          <w:szCs w:val="24"/>
        </w:rPr>
        <w:t xml:space="preserve">This proof must be by way of </w:t>
      </w:r>
      <w:r w:rsidR="002F1E6F" w:rsidRPr="00A6696A">
        <w:rPr>
          <w:rFonts w:ascii="Arial" w:hAnsi="Arial" w:cs="Arial"/>
          <w:iCs/>
          <w:sz w:val="24"/>
          <w:szCs w:val="24"/>
        </w:rPr>
        <w:t xml:space="preserve">the best evidence available. </w:t>
      </w:r>
      <w:r w:rsidR="00137550" w:rsidRPr="00A6696A">
        <w:rPr>
          <w:rFonts w:ascii="Arial" w:hAnsi="Arial" w:cs="Arial"/>
          <w:iCs/>
          <w:sz w:val="24"/>
          <w:szCs w:val="24"/>
        </w:rPr>
        <w:t xml:space="preserve">It is a well-established practice in our </w:t>
      </w:r>
      <w:r w:rsidR="00983C36">
        <w:rPr>
          <w:rFonts w:ascii="Arial" w:hAnsi="Arial" w:cs="Arial"/>
          <w:iCs/>
          <w:sz w:val="24"/>
          <w:szCs w:val="24"/>
        </w:rPr>
        <w:t>c</w:t>
      </w:r>
      <w:r w:rsidR="00137550" w:rsidRPr="00A6696A">
        <w:rPr>
          <w:rFonts w:ascii="Arial" w:hAnsi="Arial" w:cs="Arial"/>
          <w:iCs/>
          <w:sz w:val="24"/>
          <w:szCs w:val="24"/>
        </w:rPr>
        <w:t xml:space="preserve">ourts to require documentary </w:t>
      </w:r>
      <w:r w:rsidR="0056785B">
        <w:rPr>
          <w:rFonts w:ascii="Arial" w:hAnsi="Arial" w:cs="Arial"/>
          <w:iCs/>
          <w:sz w:val="24"/>
          <w:szCs w:val="24"/>
        </w:rPr>
        <w:t xml:space="preserve">proof </w:t>
      </w:r>
      <w:r w:rsidR="00137550" w:rsidRPr="00A6696A">
        <w:rPr>
          <w:rFonts w:ascii="Arial" w:hAnsi="Arial" w:cs="Arial"/>
          <w:iCs/>
          <w:sz w:val="24"/>
          <w:szCs w:val="24"/>
        </w:rPr>
        <w:t>of the marriage where this is possible.</w:t>
      </w:r>
      <w:r w:rsidR="00127AD6" w:rsidRPr="00A6696A">
        <w:rPr>
          <w:rFonts w:ascii="Arial" w:hAnsi="Arial" w:cs="Arial"/>
          <w:iCs/>
          <w:sz w:val="24"/>
          <w:szCs w:val="24"/>
        </w:rPr>
        <w:t xml:space="preserve"> </w:t>
      </w:r>
      <w:r w:rsidR="00137550" w:rsidRPr="00A6696A">
        <w:rPr>
          <w:rFonts w:ascii="Arial" w:hAnsi="Arial" w:cs="Arial"/>
          <w:iCs/>
          <w:sz w:val="24"/>
          <w:szCs w:val="24"/>
        </w:rPr>
        <w:t>The best evidence must always be given to prove a marriage.</w:t>
      </w:r>
      <w:r w:rsidR="00A11ECE" w:rsidRPr="00A6696A">
        <w:rPr>
          <w:rFonts w:ascii="Arial" w:hAnsi="Arial" w:cs="Arial"/>
          <w:iCs/>
          <w:sz w:val="24"/>
          <w:szCs w:val="24"/>
        </w:rPr>
        <w:t xml:space="preserve"> </w:t>
      </w:r>
      <w:r w:rsidR="00275BF0" w:rsidRPr="00A6696A">
        <w:rPr>
          <w:rFonts w:ascii="Arial" w:hAnsi="Arial" w:cs="Arial"/>
          <w:iCs/>
          <w:sz w:val="24"/>
          <w:szCs w:val="24"/>
        </w:rPr>
        <w:t xml:space="preserve">However, where it is not </w:t>
      </w:r>
      <w:r w:rsidR="0066740D" w:rsidRPr="00A6696A">
        <w:rPr>
          <w:rFonts w:ascii="Arial" w:hAnsi="Arial" w:cs="Arial"/>
          <w:iCs/>
          <w:sz w:val="24"/>
          <w:szCs w:val="24"/>
        </w:rPr>
        <w:t>practicable</w:t>
      </w:r>
      <w:r w:rsidR="00275BF0" w:rsidRPr="00A6696A">
        <w:rPr>
          <w:rFonts w:ascii="Arial" w:hAnsi="Arial" w:cs="Arial"/>
          <w:iCs/>
          <w:sz w:val="24"/>
          <w:szCs w:val="24"/>
        </w:rPr>
        <w:t xml:space="preserve"> </w:t>
      </w:r>
      <w:r w:rsidR="003F6982" w:rsidRPr="00A6696A">
        <w:rPr>
          <w:rFonts w:ascii="Arial" w:hAnsi="Arial" w:cs="Arial"/>
          <w:iCs/>
          <w:sz w:val="24"/>
          <w:szCs w:val="24"/>
        </w:rPr>
        <w:t>for such a party to obtain a copy of the marriage certificate</w:t>
      </w:r>
      <w:r w:rsidR="00FC55FC" w:rsidRPr="00A6696A">
        <w:rPr>
          <w:rFonts w:ascii="Arial" w:hAnsi="Arial" w:cs="Arial"/>
          <w:iCs/>
          <w:sz w:val="24"/>
          <w:szCs w:val="24"/>
        </w:rPr>
        <w:t xml:space="preserve">, such a marriage may be proved in other ways, </w:t>
      </w:r>
      <w:r w:rsidR="0066740D" w:rsidRPr="00A6696A">
        <w:rPr>
          <w:rFonts w:ascii="Arial" w:hAnsi="Arial" w:cs="Arial"/>
          <w:iCs/>
          <w:sz w:val="24"/>
          <w:szCs w:val="24"/>
        </w:rPr>
        <w:t>for</w:t>
      </w:r>
      <w:r w:rsidR="00FC55FC" w:rsidRPr="00A6696A">
        <w:rPr>
          <w:rFonts w:ascii="Arial" w:hAnsi="Arial" w:cs="Arial"/>
          <w:iCs/>
          <w:sz w:val="24"/>
          <w:szCs w:val="24"/>
        </w:rPr>
        <w:t xml:space="preserve"> instance </w:t>
      </w:r>
      <w:r w:rsidR="00670DD0" w:rsidRPr="00A6696A">
        <w:rPr>
          <w:rFonts w:ascii="Arial" w:hAnsi="Arial" w:cs="Arial"/>
          <w:iCs/>
          <w:sz w:val="24"/>
          <w:szCs w:val="24"/>
        </w:rPr>
        <w:t xml:space="preserve">by evidence of </w:t>
      </w:r>
      <w:r w:rsidR="0066740D" w:rsidRPr="00A6696A">
        <w:rPr>
          <w:rFonts w:ascii="Arial" w:hAnsi="Arial" w:cs="Arial"/>
          <w:iCs/>
          <w:sz w:val="24"/>
          <w:szCs w:val="24"/>
        </w:rPr>
        <w:t>witnesses</w:t>
      </w:r>
      <w:r w:rsidR="00670DD0" w:rsidRPr="00A6696A">
        <w:rPr>
          <w:rFonts w:ascii="Arial" w:hAnsi="Arial" w:cs="Arial"/>
          <w:iCs/>
          <w:sz w:val="24"/>
          <w:szCs w:val="24"/>
        </w:rPr>
        <w:t xml:space="preserve"> </w:t>
      </w:r>
      <w:r w:rsidR="0066740D" w:rsidRPr="00A6696A">
        <w:rPr>
          <w:rFonts w:ascii="Arial" w:hAnsi="Arial" w:cs="Arial"/>
          <w:iCs/>
          <w:sz w:val="24"/>
          <w:szCs w:val="24"/>
        </w:rPr>
        <w:t>who</w:t>
      </w:r>
      <w:r w:rsidR="00670DD0" w:rsidRPr="00A6696A">
        <w:rPr>
          <w:rFonts w:ascii="Arial" w:hAnsi="Arial" w:cs="Arial"/>
          <w:iCs/>
          <w:sz w:val="24"/>
          <w:szCs w:val="24"/>
        </w:rPr>
        <w:t xml:space="preserve"> attended the </w:t>
      </w:r>
      <w:r w:rsidR="0066740D" w:rsidRPr="00A6696A">
        <w:rPr>
          <w:rFonts w:ascii="Arial" w:hAnsi="Arial" w:cs="Arial"/>
          <w:iCs/>
          <w:sz w:val="24"/>
          <w:szCs w:val="24"/>
        </w:rPr>
        <w:t>marriage</w:t>
      </w:r>
      <w:r w:rsidR="00670DD0" w:rsidRPr="00A6696A">
        <w:rPr>
          <w:rFonts w:ascii="Arial" w:hAnsi="Arial" w:cs="Arial"/>
          <w:iCs/>
          <w:sz w:val="24"/>
          <w:szCs w:val="24"/>
        </w:rPr>
        <w:t xml:space="preserve"> ceremony or by </w:t>
      </w:r>
      <w:r w:rsidR="0066740D" w:rsidRPr="00A6696A">
        <w:rPr>
          <w:rFonts w:ascii="Arial" w:hAnsi="Arial" w:cs="Arial"/>
          <w:iCs/>
          <w:sz w:val="24"/>
          <w:szCs w:val="24"/>
        </w:rPr>
        <w:t>evidence</w:t>
      </w:r>
      <w:r w:rsidR="00670DD0" w:rsidRPr="00A6696A">
        <w:rPr>
          <w:rFonts w:ascii="Arial" w:hAnsi="Arial" w:cs="Arial"/>
          <w:iCs/>
          <w:sz w:val="24"/>
          <w:szCs w:val="24"/>
        </w:rPr>
        <w:t xml:space="preserve"> of cohabitation </w:t>
      </w:r>
      <w:r w:rsidR="00211AA3" w:rsidRPr="00A6696A">
        <w:rPr>
          <w:rFonts w:ascii="Arial" w:hAnsi="Arial" w:cs="Arial"/>
          <w:iCs/>
          <w:sz w:val="24"/>
          <w:szCs w:val="24"/>
        </w:rPr>
        <w:t xml:space="preserve">and repute which creates a </w:t>
      </w:r>
      <w:r w:rsidR="0066740D" w:rsidRPr="00A6696A">
        <w:rPr>
          <w:rFonts w:ascii="Arial" w:hAnsi="Arial" w:cs="Arial"/>
          <w:iCs/>
          <w:sz w:val="24"/>
          <w:szCs w:val="24"/>
        </w:rPr>
        <w:t>rebuttable</w:t>
      </w:r>
      <w:r w:rsidR="00211AA3" w:rsidRPr="00A6696A">
        <w:rPr>
          <w:rFonts w:ascii="Arial" w:hAnsi="Arial" w:cs="Arial"/>
          <w:iCs/>
          <w:sz w:val="24"/>
          <w:szCs w:val="24"/>
        </w:rPr>
        <w:t xml:space="preserve"> presumption </w:t>
      </w:r>
      <w:r w:rsidR="0066740D" w:rsidRPr="00A6696A">
        <w:rPr>
          <w:rFonts w:ascii="Arial" w:hAnsi="Arial" w:cs="Arial"/>
          <w:iCs/>
          <w:sz w:val="24"/>
          <w:szCs w:val="24"/>
        </w:rPr>
        <w:t xml:space="preserve">that there was a valid marriage. </w:t>
      </w:r>
      <w:r w:rsidR="00B03F46" w:rsidRPr="00A6696A">
        <w:rPr>
          <w:rFonts w:ascii="Arial" w:hAnsi="Arial" w:cs="Arial"/>
          <w:iCs/>
          <w:sz w:val="24"/>
          <w:szCs w:val="24"/>
        </w:rPr>
        <w:t xml:space="preserve">See </w:t>
      </w:r>
      <w:r w:rsidR="00FB681B" w:rsidRPr="00A6696A">
        <w:rPr>
          <w:rFonts w:ascii="Arial" w:hAnsi="Arial" w:cs="Arial"/>
          <w:i/>
          <w:sz w:val="24"/>
          <w:szCs w:val="24"/>
        </w:rPr>
        <w:t>AO v MO</w:t>
      </w:r>
      <w:r w:rsidR="00FB681B" w:rsidRPr="00A6696A">
        <w:rPr>
          <w:rFonts w:ascii="Arial" w:hAnsi="Arial" w:cs="Arial"/>
          <w:iCs/>
          <w:sz w:val="24"/>
          <w:szCs w:val="24"/>
        </w:rPr>
        <w:t xml:space="preserve"> </w:t>
      </w:r>
      <w:r w:rsidR="00E04AA6" w:rsidRPr="00A6696A">
        <w:rPr>
          <w:rFonts w:ascii="Arial" w:hAnsi="Arial" w:cs="Arial"/>
          <w:iCs/>
          <w:sz w:val="24"/>
          <w:szCs w:val="24"/>
        </w:rPr>
        <w:t>(</w:t>
      </w:r>
      <w:r w:rsidR="00991153" w:rsidRPr="00A6696A">
        <w:rPr>
          <w:rFonts w:ascii="Arial" w:hAnsi="Arial" w:cs="Arial"/>
          <w:iCs/>
          <w:sz w:val="24"/>
          <w:szCs w:val="24"/>
        </w:rPr>
        <w:t>Case No. 73754/14</w:t>
      </w:r>
      <w:r w:rsidR="00E04AA6" w:rsidRPr="00A6696A">
        <w:rPr>
          <w:rFonts w:ascii="Arial" w:hAnsi="Arial" w:cs="Arial"/>
          <w:iCs/>
          <w:sz w:val="24"/>
          <w:szCs w:val="24"/>
        </w:rPr>
        <w:t>) (3 February 2017)</w:t>
      </w:r>
      <w:r w:rsidR="00A06948" w:rsidRPr="00A6696A">
        <w:rPr>
          <w:rFonts w:ascii="Arial" w:hAnsi="Arial" w:cs="Arial"/>
          <w:iCs/>
          <w:sz w:val="24"/>
          <w:szCs w:val="24"/>
        </w:rPr>
        <w:t xml:space="preserve"> at para</w:t>
      </w:r>
      <w:r w:rsidR="005D1A33" w:rsidRPr="00A6696A">
        <w:rPr>
          <w:rFonts w:ascii="Arial" w:hAnsi="Arial" w:cs="Arial"/>
          <w:iCs/>
          <w:sz w:val="24"/>
          <w:szCs w:val="24"/>
        </w:rPr>
        <w:t>s 11 and 12</w:t>
      </w:r>
      <w:r w:rsidR="00D962B2" w:rsidRPr="00A6696A">
        <w:rPr>
          <w:rFonts w:ascii="Arial" w:hAnsi="Arial" w:cs="Arial"/>
          <w:iCs/>
          <w:sz w:val="24"/>
          <w:szCs w:val="24"/>
        </w:rPr>
        <w:t xml:space="preserve">. </w:t>
      </w:r>
    </w:p>
    <w:p w:rsidR="009C10BB" w:rsidRDefault="009C10BB" w:rsidP="00A6696A">
      <w:pPr>
        <w:autoSpaceDE w:val="0"/>
        <w:autoSpaceDN w:val="0"/>
        <w:adjustRightInd w:val="0"/>
        <w:spacing w:after="0" w:line="480" w:lineRule="auto"/>
        <w:jc w:val="both"/>
        <w:rPr>
          <w:rFonts w:ascii="Arial" w:hAnsi="Arial" w:cs="Arial"/>
          <w:iCs/>
          <w:sz w:val="24"/>
          <w:szCs w:val="24"/>
        </w:rPr>
      </w:pPr>
    </w:p>
    <w:p w:rsidR="00663FA7" w:rsidRDefault="006A0506" w:rsidP="004657FD">
      <w:pPr>
        <w:autoSpaceDE w:val="0"/>
        <w:autoSpaceDN w:val="0"/>
        <w:adjustRightInd w:val="0"/>
        <w:spacing w:after="0" w:line="480" w:lineRule="auto"/>
        <w:ind w:left="720"/>
        <w:jc w:val="both"/>
        <w:rPr>
          <w:rFonts w:ascii="Arial" w:hAnsi="Arial" w:cs="Arial"/>
          <w:iCs/>
          <w:sz w:val="24"/>
          <w:szCs w:val="24"/>
        </w:rPr>
      </w:pPr>
      <w:r>
        <w:rPr>
          <w:rFonts w:ascii="Arial" w:hAnsi="Arial" w:cs="Arial"/>
          <w:iCs/>
          <w:sz w:val="24"/>
          <w:szCs w:val="24"/>
        </w:rPr>
        <w:t>[18</w:t>
      </w:r>
      <w:r w:rsidR="00DF00DB">
        <w:rPr>
          <w:rFonts w:ascii="Arial" w:hAnsi="Arial" w:cs="Arial"/>
          <w:iCs/>
          <w:sz w:val="24"/>
          <w:szCs w:val="24"/>
        </w:rPr>
        <w:t>]</w:t>
      </w:r>
      <w:r w:rsidR="00DF00DB">
        <w:rPr>
          <w:rFonts w:ascii="Arial" w:hAnsi="Arial" w:cs="Arial"/>
          <w:iCs/>
          <w:sz w:val="24"/>
          <w:szCs w:val="24"/>
        </w:rPr>
        <w:tab/>
      </w:r>
      <w:r w:rsidR="0056785B" w:rsidRPr="0056785B">
        <w:rPr>
          <w:rFonts w:ascii="Arial" w:hAnsi="Arial" w:cs="Arial"/>
          <w:iCs/>
          <w:sz w:val="24"/>
          <w:szCs w:val="24"/>
        </w:rPr>
        <w:t xml:space="preserve">In my view, the evidence that the applicant tendered on the papers is overwhelming that a marriage </w:t>
      </w:r>
      <w:r w:rsidR="005C5401">
        <w:rPr>
          <w:rFonts w:ascii="Arial" w:hAnsi="Arial" w:cs="Arial"/>
          <w:iCs/>
          <w:sz w:val="24"/>
          <w:szCs w:val="24"/>
        </w:rPr>
        <w:t xml:space="preserve">was </w:t>
      </w:r>
      <w:r w:rsidR="0056785B" w:rsidRPr="0056785B">
        <w:rPr>
          <w:rFonts w:ascii="Arial" w:hAnsi="Arial" w:cs="Arial"/>
          <w:iCs/>
          <w:sz w:val="24"/>
          <w:szCs w:val="24"/>
        </w:rPr>
        <w:t xml:space="preserve">concluded between </w:t>
      </w:r>
      <w:r w:rsidR="005C5401">
        <w:rPr>
          <w:rFonts w:ascii="Arial" w:hAnsi="Arial" w:cs="Arial"/>
          <w:iCs/>
          <w:sz w:val="24"/>
          <w:szCs w:val="24"/>
        </w:rPr>
        <w:t xml:space="preserve">the applicant and </w:t>
      </w:r>
      <w:r w:rsidR="0056785B" w:rsidRPr="0056785B">
        <w:rPr>
          <w:rFonts w:ascii="Arial" w:hAnsi="Arial" w:cs="Arial"/>
          <w:iCs/>
          <w:sz w:val="24"/>
          <w:szCs w:val="24"/>
        </w:rPr>
        <w:t>the deceased.</w:t>
      </w:r>
      <w:r w:rsidR="0056785B">
        <w:rPr>
          <w:rFonts w:ascii="Arial" w:hAnsi="Arial" w:cs="Arial"/>
          <w:iCs/>
          <w:sz w:val="24"/>
          <w:szCs w:val="24"/>
        </w:rPr>
        <w:t xml:space="preserve"> </w:t>
      </w:r>
      <w:r w:rsidR="004657FD">
        <w:rPr>
          <w:rFonts w:ascii="Arial" w:hAnsi="Arial" w:cs="Arial"/>
          <w:iCs/>
          <w:sz w:val="24"/>
          <w:szCs w:val="24"/>
        </w:rPr>
        <w:t xml:space="preserve">See </w:t>
      </w:r>
      <w:proofErr w:type="spellStart"/>
      <w:r w:rsidR="004657FD" w:rsidRPr="004657FD">
        <w:rPr>
          <w:rFonts w:ascii="Arial" w:hAnsi="Arial" w:cs="Arial"/>
          <w:i/>
          <w:iCs/>
          <w:sz w:val="24"/>
          <w:szCs w:val="24"/>
        </w:rPr>
        <w:t>Mabuza</w:t>
      </w:r>
      <w:proofErr w:type="spellEnd"/>
      <w:r w:rsidR="004657FD" w:rsidRPr="004657FD">
        <w:rPr>
          <w:rFonts w:ascii="Arial" w:hAnsi="Arial" w:cs="Arial"/>
          <w:i/>
          <w:iCs/>
          <w:sz w:val="24"/>
          <w:szCs w:val="24"/>
        </w:rPr>
        <w:t xml:space="preserve"> v </w:t>
      </w:r>
      <w:proofErr w:type="spellStart"/>
      <w:r w:rsidR="004657FD" w:rsidRPr="004657FD">
        <w:rPr>
          <w:rFonts w:ascii="Arial" w:hAnsi="Arial" w:cs="Arial"/>
          <w:i/>
          <w:iCs/>
          <w:sz w:val="24"/>
          <w:szCs w:val="24"/>
        </w:rPr>
        <w:t>Mbatha</w:t>
      </w:r>
      <w:proofErr w:type="spellEnd"/>
      <w:r w:rsidR="004657FD" w:rsidRPr="004657FD">
        <w:rPr>
          <w:rFonts w:ascii="Arial" w:hAnsi="Arial" w:cs="Arial"/>
          <w:i/>
          <w:iCs/>
          <w:sz w:val="24"/>
          <w:szCs w:val="24"/>
        </w:rPr>
        <w:t xml:space="preserve"> </w:t>
      </w:r>
      <w:r w:rsidR="004657FD">
        <w:rPr>
          <w:rFonts w:ascii="Arial" w:hAnsi="Arial" w:cs="Arial"/>
          <w:iCs/>
          <w:sz w:val="24"/>
          <w:szCs w:val="24"/>
        </w:rPr>
        <w:t xml:space="preserve">2003 (4) Sa 218 (C). </w:t>
      </w:r>
      <w:r w:rsidR="00983C36">
        <w:rPr>
          <w:rFonts w:ascii="Arial" w:hAnsi="Arial" w:cs="Arial"/>
          <w:iCs/>
          <w:sz w:val="24"/>
          <w:szCs w:val="24"/>
        </w:rPr>
        <w:t>T</w:t>
      </w:r>
      <w:r w:rsidR="0056785B" w:rsidRPr="0056785B">
        <w:rPr>
          <w:rFonts w:ascii="Arial" w:hAnsi="Arial" w:cs="Arial"/>
          <w:iCs/>
          <w:sz w:val="24"/>
          <w:szCs w:val="24"/>
        </w:rPr>
        <w:t xml:space="preserve">he evidence of the </w:t>
      </w:r>
      <w:r w:rsidR="0056785B" w:rsidRPr="0056785B">
        <w:rPr>
          <w:rFonts w:ascii="Arial" w:hAnsi="Arial" w:cs="Arial"/>
          <w:iCs/>
          <w:sz w:val="24"/>
          <w:szCs w:val="24"/>
        </w:rPr>
        <w:lastRenderedPageBreak/>
        <w:t>applicant</w:t>
      </w:r>
      <w:r w:rsidR="005C5401">
        <w:rPr>
          <w:rFonts w:ascii="Arial" w:hAnsi="Arial" w:cs="Arial"/>
          <w:iCs/>
          <w:sz w:val="24"/>
          <w:szCs w:val="24"/>
        </w:rPr>
        <w:t>,</w:t>
      </w:r>
      <w:r w:rsidR="0056785B" w:rsidRPr="0056785B">
        <w:rPr>
          <w:rFonts w:ascii="Arial" w:hAnsi="Arial" w:cs="Arial"/>
          <w:iCs/>
          <w:sz w:val="24"/>
          <w:szCs w:val="24"/>
        </w:rPr>
        <w:t xml:space="preserve"> corroborate</w:t>
      </w:r>
      <w:r w:rsidR="005C5401">
        <w:rPr>
          <w:rFonts w:ascii="Arial" w:hAnsi="Arial" w:cs="Arial"/>
          <w:iCs/>
          <w:sz w:val="24"/>
          <w:szCs w:val="24"/>
        </w:rPr>
        <w:t>d by the uncle and the deceased</w:t>
      </w:r>
      <w:r w:rsidR="0056785B" w:rsidRPr="0056785B">
        <w:rPr>
          <w:rFonts w:ascii="Arial" w:hAnsi="Arial" w:cs="Arial"/>
          <w:iCs/>
          <w:sz w:val="24"/>
          <w:szCs w:val="24"/>
        </w:rPr>
        <w:t xml:space="preserve"> is sufficient to satisfy this court that indeed</w:t>
      </w:r>
      <w:r w:rsidR="005C5401">
        <w:rPr>
          <w:rFonts w:ascii="Arial" w:hAnsi="Arial" w:cs="Arial"/>
          <w:iCs/>
          <w:sz w:val="24"/>
          <w:szCs w:val="24"/>
        </w:rPr>
        <w:t>,</w:t>
      </w:r>
      <w:r w:rsidR="0056785B" w:rsidRPr="0056785B">
        <w:rPr>
          <w:rFonts w:ascii="Arial" w:hAnsi="Arial" w:cs="Arial"/>
          <w:iCs/>
          <w:sz w:val="24"/>
          <w:szCs w:val="24"/>
        </w:rPr>
        <w:t xml:space="preserve"> the deceased was married to the applicant.</w:t>
      </w:r>
      <w:r w:rsidR="0056785B">
        <w:rPr>
          <w:rFonts w:ascii="Arial" w:hAnsi="Arial" w:cs="Arial"/>
          <w:iCs/>
          <w:sz w:val="24"/>
          <w:szCs w:val="24"/>
        </w:rPr>
        <w:t xml:space="preserve"> </w:t>
      </w:r>
      <w:r w:rsidR="009C10BB">
        <w:rPr>
          <w:rFonts w:ascii="Arial" w:hAnsi="Arial" w:cs="Arial"/>
          <w:iCs/>
          <w:sz w:val="24"/>
          <w:szCs w:val="24"/>
        </w:rPr>
        <w:t xml:space="preserve">From that marriage, five children were born. </w:t>
      </w:r>
      <w:r w:rsidR="0056785B" w:rsidRPr="0056785B">
        <w:rPr>
          <w:rFonts w:ascii="Arial" w:hAnsi="Arial" w:cs="Arial"/>
          <w:iCs/>
          <w:sz w:val="24"/>
          <w:szCs w:val="24"/>
        </w:rPr>
        <w:t xml:space="preserve">Therefore, the first respondent's first preliminary point must fail.  </w:t>
      </w:r>
    </w:p>
    <w:p w:rsidR="009C10BB" w:rsidRDefault="009C10BB" w:rsidP="00432F2C">
      <w:pPr>
        <w:autoSpaceDE w:val="0"/>
        <w:autoSpaceDN w:val="0"/>
        <w:adjustRightInd w:val="0"/>
        <w:spacing w:after="0" w:line="480" w:lineRule="auto"/>
        <w:jc w:val="both"/>
        <w:rPr>
          <w:rFonts w:ascii="Arial" w:hAnsi="Arial" w:cs="Arial"/>
          <w:iCs/>
          <w:sz w:val="24"/>
          <w:szCs w:val="24"/>
        </w:rPr>
      </w:pPr>
    </w:p>
    <w:p w:rsidR="006F70CC" w:rsidRPr="00143BD1" w:rsidRDefault="00143BD1" w:rsidP="00143BD1">
      <w:pPr>
        <w:autoSpaceDE w:val="0"/>
        <w:autoSpaceDN w:val="0"/>
        <w:adjustRightInd w:val="0"/>
        <w:spacing w:after="0" w:line="480" w:lineRule="auto"/>
        <w:jc w:val="both"/>
        <w:rPr>
          <w:rFonts w:ascii="Arial" w:hAnsi="Arial" w:cs="Arial"/>
          <w:b/>
          <w:iCs/>
          <w:sz w:val="24"/>
          <w:szCs w:val="24"/>
        </w:rPr>
      </w:pPr>
      <w:r w:rsidRPr="00143BD1">
        <w:rPr>
          <w:rFonts w:ascii="Arial" w:hAnsi="Arial" w:cs="Arial"/>
          <w:b/>
          <w:iCs/>
          <w:sz w:val="24"/>
          <w:szCs w:val="24"/>
        </w:rPr>
        <w:t xml:space="preserve">THE </w:t>
      </w:r>
      <w:r w:rsidR="00C71F6B">
        <w:rPr>
          <w:rFonts w:ascii="Arial" w:hAnsi="Arial" w:cs="Arial"/>
          <w:b/>
          <w:iCs/>
          <w:sz w:val="24"/>
          <w:szCs w:val="24"/>
        </w:rPr>
        <w:t>NON-</w:t>
      </w:r>
      <w:r w:rsidRPr="00143BD1">
        <w:rPr>
          <w:rFonts w:ascii="Arial" w:hAnsi="Arial" w:cs="Arial"/>
          <w:b/>
          <w:iCs/>
          <w:sz w:val="24"/>
          <w:szCs w:val="24"/>
        </w:rPr>
        <w:t>JOINDER OF THE EXECUTOR OF THE SECOND RESPO</w:t>
      </w:r>
      <w:r w:rsidR="0056785B">
        <w:rPr>
          <w:rFonts w:ascii="Arial" w:hAnsi="Arial" w:cs="Arial"/>
          <w:b/>
          <w:iCs/>
          <w:sz w:val="24"/>
          <w:szCs w:val="24"/>
        </w:rPr>
        <w:t>N</w:t>
      </w:r>
      <w:r w:rsidRPr="00143BD1">
        <w:rPr>
          <w:rFonts w:ascii="Arial" w:hAnsi="Arial" w:cs="Arial"/>
          <w:b/>
          <w:iCs/>
          <w:sz w:val="24"/>
          <w:szCs w:val="24"/>
        </w:rPr>
        <w:t xml:space="preserve">DENT </w:t>
      </w:r>
    </w:p>
    <w:p w:rsidR="009C10BB" w:rsidRDefault="009C10BB" w:rsidP="00432F2C">
      <w:pPr>
        <w:autoSpaceDE w:val="0"/>
        <w:autoSpaceDN w:val="0"/>
        <w:adjustRightInd w:val="0"/>
        <w:spacing w:after="0" w:line="480" w:lineRule="auto"/>
        <w:jc w:val="both"/>
        <w:rPr>
          <w:rFonts w:ascii="Arial" w:hAnsi="Arial" w:cs="Arial"/>
          <w:iCs/>
          <w:sz w:val="24"/>
          <w:szCs w:val="24"/>
        </w:rPr>
      </w:pPr>
    </w:p>
    <w:p w:rsidR="006F70CC" w:rsidRDefault="006A0506" w:rsidP="00432F2C">
      <w:pPr>
        <w:autoSpaceDE w:val="0"/>
        <w:autoSpaceDN w:val="0"/>
        <w:adjustRightInd w:val="0"/>
        <w:spacing w:after="0" w:line="480" w:lineRule="auto"/>
        <w:jc w:val="both"/>
        <w:rPr>
          <w:rFonts w:ascii="Arial" w:eastAsia="Times New Roman" w:hAnsi="Arial" w:cs="Arial"/>
          <w:bCs/>
          <w:color w:val="000000"/>
          <w:sz w:val="24"/>
          <w:szCs w:val="24"/>
        </w:rPr>
      </w:pPr>
      <w:r>
        <w:rPr>
          <w:rFonts w:ascii="Arial" w:hAnsi="Arial" w:cs="Arial"/>
          <w:iCs/>
          <w:sz w:val="24"/>
          <w:szCs w:val="24"/>
        </w:rPr>
        <w:t>[19</w:t>
      </w:r>
      <w:r w:rsidR="00DF00DB">
        <w:rPr>
          <w:rFonts w:ascii="Arial" w:hAnsi="Arial" w:cs="Arial"/>
          <w:iCs/>
          <w:sz w:val="24"/>
          <w:szCs w:val="24"/>
        </w:rPr>
        <w:t>]</w:t>
      </w:r>
      <w:r w:rsidR="00DF00DB">
        <w:rPr>
          <w:rFonts w:ascii="Arial" w:hAnsi="Arial" w:cs="Arial"/>
          <w:iCs/>
          <w:sz w:val="24"/>
          <w:szCs w:val="24"/>
        </w:rPr>
        <w:tab/>
      </w:r>
      <w:r w:rsidR="00143BD1">
        <w:rPr>
          <w:rFonts w:ascii="Arial" w:hAnsi="Arial" w:cs="Arial"/>
          <w:iCs/>
          <w:sz w:val="24"/>
          <w:szCs w:val="24"/>
        </w:rPr>
        <w:t>As far as this</w:t>
      </w:r>
      <w:r w:rsidR="0030694F">
        <w:rPr>
          <w:rFonts w:ascii="Arial" w:hAnsi="Arial" w:cs="Arial"/>
          <w:iCs/>
          <w:sz w:val="24"/>
          <w:szCs w:val="24"/>
        </w:rPr>
        <w:t xml:space="preserve"> preliminary point is </w:t>
      </w:r>
      <w:r w:rsidR="00D446DD">
        <w:rPr>
          <w:rFonts w:ascii="Arial" w:hAnsi="Arial" w:cs="Arial"/>
          <w:iCs/>
          <w:sz w:val="24"/>
          <w:szCs w:val="24"/>
        </w:rPr>
        <w:t>concerned</w:t>
      </w:r>
      <w:r w:rsidR="0030694F">
        <w:rPr>
          <w:rFonts w:ascii="Arial" w:hAnsi="Arial" w:cs="Arial"/>
          <w:iCs/>
          <w:sz w:val="24"/>
          <w:szCs w:val="24"/>
        </w:rPr>
        <w:t xml:space="preserve">, </w:t>
      </w:r>
      <w:r w:rsidR="0056785B">
        <w:rPr>
          <w:rFonts w:ascii="Arial" w:hAnsi="Arial" w:cs="Arial"/>
          <w:iCs/>
          <w:sz w:val="24"/>
          <w:szCs w:val="24"/>
        </w:rPr>
        <w:t xml:space="preserve">Mr </w:t>
      </w:r>
      <w:proofErr w:type="spellStart"/>
      <w:r w:rsidR="0056785B">
        <w:rPr>
          <w:rFonts w:ascii="Arial" w:hAnsi="Arial" w:cs="Arial"/>
          <w:iCs/>
          <w:sz w:val="24"/>
          <w:szCs w:val="24"/>
        </w:rPr>
        <w:t>Mlamleli</w:t>
      </w:r>
      <w:proofErr w:type="spellEnd"/>
      <w:r w:rsidR="0056785B">
        <w:rPr>
          <w:rFonts w:ascii="Arial" w:hAnsi="Arial" w:cs="Arial"/>
          <w:iCs/>
          <w:sz w:val="24"/>
          <w:szCs w:val="24"/>
        </w:rPr>
        <w:t xml:space="preserve"> </w:t>
      </w:r>
      <w:r w:rsidR="004657FD">
        <w:rPr>
          <w:rFonts w:ascii="Arial" w:hAnsi="Arial" w:cs="Arial"/>
          <w:iCs/>
          <w:sz w:val="24"/>
          <w:szCs w:val="24"/>
        </w:rPr>
        <w:t xml:space="preserve">who appeared for the first respondent </w:t>
      </w:r>
      <w:r w:rsidR="00143BD1">
        <w:rPr>
          <w:rFonts w:ascii="Arial" w:hAnsi="Arial" w:cs="Arial"/>
          <w:iCs/>
          <w:sz w:val="24"/>
          <w:szCs w:val="24"/>
        </w:rPr>
        <w:t xml:space="preserve">submitted </w:t>
      </w:r>
      <w:r w:rsidR="00663FA7">
        <w:rPr>
          <w:rFonts w:ascii="Arial" w:eastAsia="Times New Roman" w:hAnsi="Arial" w:cs="Arial"/>
          <w:bCs/>
          <w:color w:val="000000"/>
          <w:sz w:val="24"/>
          <w:szCs w:val="24"/>
        </w:rPr>
        <w:t xml:space="preserve">that the applicant should have cited the </w:t>
      </w:r>
      <w:r w:rsidR="004657FD">
        <w:rPr>
          <w:rFonts w:ascii="Arial" w:eastAsia="Times New Roman" w:hAnsi="Arial" w:cs="Arial"/>
          <w:bCs/>
          <w:color w:val="000000"/>
          <w:sz w:val="24"/>
          <w:szCs w:val="24"/>
        </w:rPr>
        <w:t>e</w:t>
      </w:r>
      <w:r w:rsidR="00663FA7">
        <w:rPr>
          <w:rFonts w:ascii="Arial" w:eastAsia="Times New Roman" w:hAnsi="Arial" w:cs="Arial"/>
          <w:bCs/>
          <w:color w:val="000000"/>
          <w:sz w:val="24"/>
          <w:szCs w:val="24"/>
        </w:rPr>
        <w:t>xecutor of the second respondent’s estate as the second respondent is central to this application</w:t>
      </w:r>
      <w:r w:rsidR="0034673D">
        <w:rPr>
          <w:rFonts w:ascii="Arial" w:eastAsia="Times New Roman" w:hAnsi="Arial" w:cs="Arial"/>
          <w:bCs/>
          <w:color w:val="000000"/>
          <w:sz w:val="24"/>
          <w:szCs w:val="24"/>
        </w:rPr>
        <w:t xml:space="preserve"> and that </w:t>
      </w:r>
      <w:r w:rsidR="00230689">
        <w:rPr>
          <w:rFonts w:ascii="Arial" w:eastAsia="Times New Roman" w:hAnsi="Arial" w:cs="Arial"/>
          <w:bCs/>
          <w:color w:val="000000"/>
          <w:sz w:val="24"/>
          <w:szCs w:val="24"/>
        </w:rPr>
        <w:t xml:space="preserve">such failure renders the applicant’s application defective. </w:t>
      </w:r>
      <w:r w:rsidR="00143BD1">
        <w:rPr>
          <w:rFonts w:ascii="Arial" w:eastAsia="Times New Roman" w:hAnsi="Arial" w:cs="Arial"/>
          <w:bCs/>
          <w:color w:val="000000"/>
          <w:sz w:val="24"/>
          <w:szCs w:val="24"/>
        </w:rPr>
        <w:t xml:space="preserve">In response, </w:t>
      </w:r>
      <w:r w:rsidR="00C71F6B">
        <w:rPr>
          <w:rFonts w:ascii="Arial" w:eastAsia="Times New Roman" w:hAnsi="Arial" w:cs="Arial"/>
          <w:bCs/>
          <w:color w:val="000000"/>
          <w:sz w:val="24"/>
          <w:szCs w:val="24"/>
        </w:rPr>
        <w:t xml:space="preserve">Mr </w:t>
      </w:r>
      <w:proofErr w:type="spellStart"/>
      <w:r w:rsidR="00C71F6B">
        <w:rPr>
          <w:rFonts w:ascii="Arial" w:eastAsia="Times New Roman" w:hAnsi="Arial" w:cs="Arial"/>
          <w:bCs/>
          <w:color w:val="000000"/>
          <w:sz w:val="24"/>
          <w:szCs w:val="24"/>
        </w:rPr>
        <w:t>Mapoma</w:t>
      </w:r>
      <w:proofErr w:type="spellEnd"/>
      <w:r w:rsidR="00C71F6B">
        <w:rPr>
          <w:rFonts w:ascii="Arial" w:eastAsia="Times New Roman" w:hAnsi="Arial" w:cs="Arial"/>
          <w:bCs/>
          <w:color w:val="000000"/>
          <w:sz w:val="24"/>
          <w:szCs w:val="24"/>
        </w:rPr>
        <w:t xml:space="preserve"> </w:t>
      </w:r>
      <w:r w:rsidR="004657FD">
        <w:rPr>
          <w:rFonts w:ascii="Arial" w:eastAsia="Times New Roman" w:hAnsi="Arial" w:cs="Arial"/>
          <w:bCs/>
          <w:color w:val="000000"/>
          <w:sz w:val="24"/>
          <w:szCs w:val="24"/>
        </w:rPr>
        <w:t xml:space="preserve">who appeared for the applicant </w:t>
      </w:r>
      <w:r w:rsidR="00C71F6B">
        <w:rPr>
          <w:rFonts w:ascii="Arial" w:eastAsia="Times New Roman" w:hAnsi="Arial" w:cs="Arial"/>
          <w:bCs/>
          <w:color w:val="000000"/>
          <w:sz w:val="24"/>
          <w:szCs w:val="24"/>
        </w:rPr>
        <w:t xml:space="preserve">argued on behalf of </w:t>
      </w:r>
      <w:r w:rsidR="00143BD1">
        <w:rPr>
          <w:rFonts w:ascii="Arial" w:eastAsia="Times New Roman" w:hAnsi="Arial" w:cs="Arial"/>
          <w:bCs/>
          <w:color w:val="000000"/>
          <w:sz w:val="24"/>
          <w:szCs w:val="24"/>
        </w:rPr>
        <w:t>t</w:t>
      </w:r>
      <w:r w:rsidR="00623075">
        <w:rPr>
          <w:rFonts w:ascii="Arial" w:eastAsia="Times New Roman" w:hAnsi="Arial" w:cs="Arial"/>
          <w:bCs/>
          <w:color w:val="000000"/>
          <w:sz w:val="24"/>
          <w:szCs w:val="24"/>
        </w:rPr>
        <w:t xml:space="preserve">he applicant that an executor was not appointed for the deceased </w:t>
      </w:r>
      <w:r w:rsidR="00143BD1">
        <w:rPr>
          <w:rFonts w:ascii="Arial" w:eastAsia="Times New Roman" w:hAnsi="Arial" w:cs="Arial"/>
          <w:bCs/>
          <w:color w:val="000000"/>
          <w:sz w:val="24"/>
          <w:szCs w:val="24"/>
        </w:rPr>
        <w:t xml:space="preserve">(second respondent) in this matter </w:t>
      </w:r>
      <w:r w:rsidR="00623075">
        <w:rPr>
          <w:rFonts w:ascii="Arial" w:eastAsia="Times New Roman" w:hAnsi="Arial" w:cs="Arial"/>
          <w:bCs/>
          <w:color w:val="000000"/>
          <w:sz w:val="24"/>
          <w:szCs w:val="24"/>
        </w:rPr>
        <w:t xml:space="preserve">as the deceased did not own or possess any property upon his death and that he did not leave a will behind. </w:t>
      </w:r>
    </w:p>
    <w:p w:rsidR="006F70CC" w:rsidRDefault="006F70CC" w:rsidP="00432F2C">
      <w:pPr>
        <w:autoSpaceDE w:val="0"/>
        <w:autoSpaceDN w:val="0"/>
        <w:adjustRightInd w:val="0"/>
        <w:spacing w:after="0" w:line="480" w:lineRule="auto"/>
        <w:jc w:val="both"/>
        <w:rPr>
          <w:rFonts w:ascii="Arial" w:eastAsia="Times New Roman" w:hAnsi="Arial" w:cs="Arial"/>
          <w:bCs/>
          <w:color w:val="000000"/>
          <w:sz w:val="24"/>
          <w:szCs w:val="24"/>
        </w:rPr>
      </w:pPr>
    </w:p>
    <w:p w:rsidR="00DF00DB" w:rsidRDefault="006A0506" w:rsidP="00690025">
      <w:pPr>
        <w:spacing w:after="0" w:line="48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[20</w:t>
      </w:r>
      <w:r w:rsidR="00DF00DB">
        <w:rPr>
          <w:rFonts w:ascii="Arial" w:eastAsia="Times New Roman" w:hAnsi="Arial" w:cs="Arial"/>
          <w:bCs/>
          <w:color w:val="000000"/>
          <w:sz w:val="24"/>
          <w:szCs w:val="24"/>
        </w:rPr>
        <w:t>]</w:t>
      </w:r>
      <w:r w:rsidR="00DF00DB">
        <w:rPr>
          <w:rFonts w:ascii="Arial" w:eastAsia="Times New Roman" w:hAnsi="Arial" w:cs="Arial"/>
          <w:bCs/>
          <w:color w:val="000000"/>
          <w:sz w:val="24"/>
          <w:szCs w:val="24"/>
        </w:rPr>
        <w:tab/>
      </w:r>
      <w:r w:rsidR="00A1343A">
        <w:rPr>
          <w:rFonts w:ascii="Arial" w:eastAsia="Times New Roman" w:hAnsi="Arial" w:cs="Arial"/>
          <w:bCs/>
          <w:color w:val="000000"/>
          <w:sz w:val="24"/>
          <w:szCs w:val="24"/>
        </w:rPr>
        <w:t>In my view</w:t>
      </w:r>
      <w:r w:rsidR="00623075">
        <w:rPr>
          <w:rFonts w:ascii="Arial" w:eastAsia="Times New Roman" w:hAnsi="Arial" w:cs="Arial"/>
          <w:bCs/>
          <w:color w:val="000000"/>
          <w:sz w:val="24"/>
          <w:szCs w:val="24"/>
        </w:rPr>
        <w:t>,</w:t>
      </w:r>
      <w:r w:rsidR="00A1343A">
        <w:rPr>
          <w:rFonts w:ascii="Arial" w:eastAsia="Times New Roman" w:hAnsi="Arial" w:cs="Arial"/>
          <w:bCs/>
          <w:color w:val="000000"/>
          <w:sz w:val="24"/>
          <w:szCs w:val="24"/>
        </w:rPr>
        <w:t xml:space="preserve"> th</w:t>
      </w:r>
      <w:r w:rsidR="00D67E1D">
        <w:rPr>
          <w:rFonts w:ascii="Arial" w:eastAsia="Times New Roman" w:hAnsi="Arial" w:cs="Arial"/>
          <w:bCs/>
          <w:color w:val="000000"/>
          <w:sz w:val="24"/>
          <w:szCs w:val="24"/>
        </w:rPr>
        <w:t>e</w:t>
      </w:r>
      <w:r w:rsidR="00A1343A">
        <w:rPr>
          <w:rFonts w:ascii="Arial" w:eastAsia="Times New Roman" w:hAnsi="Arial" w:cs="Arial"/>
          <w:bCs/>
          <w:color w:val="000000"/>
          <w:sz w:val="24"/>
          <w:szCs w:val="24"/>
        </w:rPr>
        <w:t xml:space="preserve"> </w:t>
      </w:r>
      <w:r w:rsidR="00D67E1D">
        <w:rPr>
          <w:rFonts w:ascii="Arial" w:eastAsia="Times New Roman" w:hAnsi="Arial" w:cs="Arial"/>
          <w:bCs/>
          <w:color w:val="000000"/>
          <w:sz w:val="24"/>
          <w:szCs w:val="24"/>
        </w:rPr>
        <w:t>joinder</w:t>
      </w:r>
      <w:r w:rsidR="00A1343A">
        <w:rPr>
          <w:rFonts w:ascii="Arial" w:eastAsia="Times New Roman" w:hAnsi="Arial" w:cs="Arial"/>
          <w:bCs/>
          <w:color w:val="000000"/>
          <w:sz w:val="24"/>
          <w:szCs w:val="24"/>
        </w:rPr>
        <w:t xml:space="preserve"> of the </w:t>
      </w:r>
      <w:r w:rsidR="004657FD">
        <w:rPr>
          <w:rFonts w:ascii="Arial" w:eastAsia="Times New Roman" w:hAnsi="Arial" w:cs="Arial"/>
          <w:bCs/>
          <w:color w:val="000000"/>
          <w:sz w:val="24"/>
          <w:szCs w:val="24"/>
        </w:rPr>
        <w:t>e</w:t>
      </w:r>
      <w:r w:rsidR="00A1343A">
        <w:rPr>
          <w:rFonts w:ascii="Arial" w:eastAsia="Times New Roman" w:hAnsi="Arial" w:cs="Arial"/>
          <w:bCs/>
          <w:color w:val="000000"/>
          <w:sz w:val="24"/>
          <w:szCs w:val="24"/>
        </w:rPr>
        <w:t>xecutor</w:t>
      </w:r>
      <w:r w:rsidR="00623075">
        <w:rPr>
          <w:rFonts w:ascii="Arial" w:eastAsia="Times New Roman" w:hAnsi="Arial" w:cs="Arial"/>
          <w:bCs/>
          <w:color w:val="000000"/>
          <w:sz w:val="24"/>
          <w:szCs w:val="24"/>
        </w:rPr>
        <w:t xml:space="preserve"> in a case like </w:t>
      </w:r>
      <w:r w:rsidR="0056785B">
        <w:rPr>
          <w:rFonts w:ascii="Arial" w:eastAsia="Times New Roman" w:hAnsi="Arial" w:cs="Arial"/>
          <w:bCs/>
          <w:color w:val="000000"/>
          <w:sz w:val="24"/>
          <w:szCs w:val="24"/>
        </w:rPr>
        <w:t xml:space="preserve">this </w:t>
      </w:r>
      <w:r w:rsidR="00623075">
        <w:rPr>
          <w:rFonts w:ascii="Arial" w:eastAsia="Times New Roman" w:hAnsi="Arial" w:cs="Arial"/>
          <w:bCs/>
          <w:color w:val="000000"/>
          <w:sz w:val="24"/>
          <w:szCs w:val="24"/>
        </w:rPr>
        <w:t xml:space="preserve">is </w:t>
      </w:r>
      <w:r w:rsidR="00B04A3E">
        <w:rPr>
          <w:rFonts w:ascii="Arial" w:eastAsia="Times New Roman" w:hAnsi="Arial" w:cs="Arial"/>
          <w:bCs/>
          <w:color w:val="000000"/>
          <w:sz w:val="24"/>
          <w:szCs w:val="24"/>
        </w:rPr>
        <w:t xml:space="preserve">critical. </w:t>
      </w:r>
      <w:r w:rsidR="00D305CF">
        <w:rPr>
          <w:rFonts w:ascii="Arial" w:eastAsia="Times New Roman" w:hAnsi="Arial" w:cs="Arial"/>
          <w:bCs/>
          <w:color w:val="000000"/>
          <w:sz w:val="24"/>
          <w:szCs w:val="24"/>
        </w:rPr>
        <w:t xml:space="preserve">The deceased was married to the applicant in community of property. </w:t>
      </w:r>
      <w:r w:rsidR="00D305CF">
        <w:rPr>
          <w:rFonts w:ascii="Arial" w:hAnsi="Arial" w:cs="Arial"/>
          <w:sz w:val="24"/>
          <w:szCs w:val="24"/>
          <w:shd w:val="clear" w:color="auto" w:fill="FFFFFF"/>
        </w:rPr>
        <w:t>T</w:t>
      </w:r>
      <w:r w:rsidR="00D305CF" w:rsidRPr="00A6696A">
        <w:rPr>
          <w:rFonts w:ascii="Arial" w:hAnsi="Arial" w:cs="Arial"/>
          <w:sz w:val="24"/>
          <w:szCs w:val="24"/>
          <w:shd w:val="clear" w:color="auto" w:fill="FFFFFF"/>
        </w:rPr>
        <w:t>he Recognition of Customary Marriages Amendment Act 1 of 2021</w:t>
      </w:r>
      <w:r w:rsidR="00F3191F">
        <w:rPr>
          <w:rFonts w:ascii="Arial" w:hAnsi="Arial" w:cs="Arial"/>
          <w:sz w:val="24"/>
          <w:szCs w:val="24"/>
          <w:shd w:val="clear" w:color="auto" w:fill="FFFFFF"/>
        </w:rPr>
        <w:t>,</w:t>
      </w:r>
      <w:r w:rsidR="00D305CF" w:rsidRPr="00A6696A">
        <w:rPr>
          <w:rFonts w:ascii="Arial" w:hAnsi="Arial" w:cs="Arial"/>
          <w:sz w:val="24"/>
          <w:szCs w:val="24"/>
          <w:shd w:val="clear" w:color="auto" w:fill="FFFFFF"/>
        </w:rPr>
        <w:t xml:space="preserve"> which came into operation on 1 June 2021</w:t>
      </w:r>
      <w:r w:rsidR="00D305CF">
        <w:rPr>
          <w:rFonts w:ascii="Arial" w:hAnsi="Arial" w:cs="Arial"/>
          <w:sz w:val="24"/>
          <w:szCs w:val="24"/>
          <w:shd w:val="clear" w:color="auto" w:fill="FFFFFF"/>
        </w:rPr>
        <w:t xml:space="preserve">, </w:t>
      </w:r>
      <w:r w:rsidR="00EB648A">
        <w:rPr>
          <w:rFonts w:ascii="Arial" w:hAnsi="Arial" w:cs="Arial"/>
          <w:sz w:val="24"/>
          <w:szCs w:val="24"/>
          <w:shd w:val="clear" w:color="auto" w:fill="FFFFFF"/>
        </w:rPr>
        <w:t xml:space="preserve">among others, amended section 7 of the RCMA that </w:t>
      </w:r>
      <w:r w:rsidR="00D305CF" w:rsidRPr="00A6696A">
        <w:rPr>
          <w:rFonts w:ascii="Arial" w:hAnsi="Arial" w:cs="Arial"/>
          <w:sz w:val="24"/>
          <w:szCs w:val="24"/>
          <w:shd w:val="clear" w:color="auto" w:fill="FFFFFF"/>
        </w:rPr>
        <w:t xml:space="preserve">all marriages, </w:t>
      </w:r>
      <w:r w:rsidR="0056785B">
        <w:rPr>
          <w:rFonts w:ascii="Arial" w:hAnsi="Arial" w:cs="Arial"/>
          <w:sz w:val="24"/>
          <w:szCs w:val="24"/>
          <w:shd w:val="clear" w:color="auto" w:fill="FFFFFF"/>
        </w:rPr>
        <w:t xml:space="preserve">which </w:t>
      </w:r>
      <w:r w:rsidR="00D305CF" w:rsidRPr="00A6696A">
        <w:rPr>
          <w:rFonts w:ascii="Arial" w:hAnsi="Arial" w:cs="Arial"/>
          <w:sz w:val="24"/>
          <w:szCs w:val="24"/>
          <w:shd w:val="clear" w:color="auto" w:fill="FFFFFF"/>
        </w:rPr>
        <w:t>we</w:t>
      </w:r>
      <w:r w:rsidR="00D305CF">
        <w:rPr>
          <w:rFonts w:ascii="Arial" w:hAnsi="Arial" w:cs="Arial"/>
          <w:sz w:val="24"/>
          <w:szCs w:val="24"/>
          <w:shd w:val="clear" w:color="auto" w:fill="FFFFFF"/>
        </w:rPr>
        <w:t>re</w:t>
      </w:r>
      <w:r w:rsidR="00D305CF" w:rsidRPr="00A6696A">
        <w:rPr>
          <w:rFonts w:ascii="Arial" w:hAnsi="Arial" w:cs="Arial"/>
          <w:sz w:val="24"/>
          <w:szCs w:val="24"/>
          <w:shd w:val="clear" w:color="auto" w:fill="FFFFFF"/>
        </w:rPr>
        <w:t xml:space="preserve"> entered </w:t>
      </w:r>
      <w:r w:rsidR="00D305CF">
        <w:rPr>
          <w:rFonts w:ascii="Arial" w:hAnsi="Arial" w:cs="Arial"/>
          <w:sz w:val="24"/>
          <w:szCs w:val="24"/>
          <w:shd w:val="clear" w:color="auto" w:fill="FFFFFF"/>
        </w:rPr>
        <w:t xml:space="preserve">into </w:t>
      </w:r>
      <w:r w:rsidR="00EB648A">
        <w:rPr>
          <w:rFonts w:ascii="Arial" w:hAnsi="Arial" w:cs="Arial"/>
          <w:sz w:val="24"/>
          <w:szCs w:val="24"/>
          <w:shd w:val="clear" w:color="auto" w:fill="FFFFFF"/>
        </w:rPr>
        <w:t>before or after the e</w:t>
      </w:r>
      <w:r w:rsidR="00D305CF" w:rsidRPr="00A6696A">
        <w:rPr>
          <w:rFonts w:ascii="Arial" w:hAnsi="Arial" w:cs="Arial"/>
          <w:sz w:val="24"/>
          <w:szCs w:val="24"/>
          <w:shd w:val="clear" w:color="auto" w:fill="FFFFFF"/>
        </w:rPr>
        <w:t xml:space="preserve">nactment of the RCMA, are regarded as in community of property unless </w:t>
      </w:r>
      <w:r w:rsidR="00E810C5">
        <w:rPr>
          <w:rFonts w:ascii="Arial" w:hAnsi="Arial" w:cs="Arial"/>
          <w:sz w:val="24"/>
          <w:szCs w:val="24"/>
          <w:shd w:val="clear" w:color="auto" w:fill="FFFFFF"/>
        </w:rPr>
        <w:t xml:space="preserve">such consequences are specifically excluded by the spouses in an </w:t>
      </w:r>
      <w:proofErr w:type="spellStart"/>
      <w:r w:rsidR="00E810C5">
        <w:rPr>
          <w:rFonts w:ascii="Arial" w:hAnsi="Arial" w:cs="Arial"/>
          <w:sz w:val="24"/>
          <w:szCs w:val="24"/>
          <w:shd w:val="clear" w:color="auto" w:fill="FFFFFF"/>
        </w:rPr>
        <w:t>antenuptial</w:t>
      </w:r>
      <w:proofErr w:type="spellEnd"/>
      <w:r w:rsidR="00E810C5">
        <w:rPr>
          <w:rFonts w:ascii="Arial" w:hAnsi="Arial" w:cs="Arial"/>
          <w:sz w:val="24"/>
          <w:szCs w:val="24"/>
          <w:shd w:val="clear" w:color="auto" w:fill="FFFFFF"/>
        </w:rPr>
        <w:t xml:space="preserve"> contract</w:t>
      </w:r>
      <w:r w:rsidR="00385AC0">
        <w:rPr>
          <w:rFonts w:ascii="Arial" w:hAnsi="Arial" w:cs="Arial"/>
          <w:sz w:val="24"/>
          <w:szCs w:val="24"/>
          <w:shd w:val="clear" w:color="auto" w:fill="FFFFFF"/>
        </w:rPr>
        <w:t>.</w:t>
      </w:r>
      <w:r w:rsidR="00E810C5">
        <w:rPr>
          <w:rFonts w:ascii="Arial" w:hAnsi="Arial" w:cs="Arial"/>
          <w:sz w:val="24"/>
          <w:szCs w:val="24"/>
          <w:shd w:val="clear" w:color="auto" w:fill="FFFFFF"/>
        </w:rPr>
        <w:t xml:space="preserve"> </w:t>
      </w:r>
      <w:r w:rsidR="00690025">
        <w:rPr>
          <w:rFonts w:ascii="Arial" w:hAnsi="Arial" w:cs="Arial"/>
          <w:sz w:val="24"/>
          <w:szCs w:val="24"/>
          <w:shd w:val="clear" w:color="auto" w:fill="FFFFFF"/>
        </w:rPr>
        <w:t>T</w:t>
      </w:r>
      <w:r w:rsidR="00690025">
        <w:rPr>
          <w:rFonts w:ascii="Arial" w:eastAsia="Times New Roman" w:hAnsi="Arial" w:cs="Arial"/>
          <w:bCs/>
          <w:color w:val="000000"/>
          <w:sz w:val="24"/>
          <w:szCs w:val="24"/>
        </w:rPr>
        <w:t>h</w:t>
      </w:r>
      <w:r w:rsidR="00480976">
        <w:rPr>
          <w:rFonts w:ascii="Arial" w:eastAsia="Times New Roman" w:hAnsi="Arial" w:cs="Arial"/>
          <w:bCs/>
          <w:color w:val="000000"/>
          <w:sz w:val="24"/>
          <w:szCs w:val="24"/>
        </w:rPr>
        <w:t xml:space="preserve">ere can be no doubt that the order </w:t>
      </w:r>
      <w:r w:rsidR="00143BD1">
        <w:rPr>
          <w:rFonts w:ascii="Arial" w:eastAsia="Times New Roman" w:hAnsi="Arial" w:cs="Arial"/>
          <w:bCs/>
          <w:color w:val="000000"/>
          <w:sz w:val="24"/>
          <w:szCs w:val="24"/>
        </w:rPr>
        <w:t>t</w:t>
      </w:r>
      <w:r w:rsidR="00480976">
        <w:rPr>
          <w:rFonts w:ascii="Arial" w:eastAsia="Times New Roman" w:hAnsi="Arial" w:cs="Arial"/>
          <w:bCs/>
          <w:color w:val="000000"/>
          <w:sz w:val="24"/>
          <w:szCs w:val="24"/>
        </w:rPr>
        <w:t>he</w:t>
      </w:r>
      <w:r w:rsidR="00143BD1">
        <w:rPr>
          <w:rFonts w:ascii="Arial" w:eastAsia="Times New Roman" w:hAnsi="Arial" w:cs="Arial"/>
          <w:bCs/>
          <w:color w:val="000000"/>
          <w:sz w:val="24"/>
          <w:szCs w:val="24"/>
        </w:rPr>
        <w:t xml:space="preserve"> applicant seeks</w:t>
      </w:r>
      <w:r w:rsidR="00F3191F">
        <w:rPr>
          <w:rFonts w:ascii="Arial" w:eastAsia="Times New Roman" w:hAnsi="Arial" w:cs="Arial"/>
          <w:bCs/>
          <w:color w:val="000000"/>
          <w:sz w:val="24"/>
          <w:szCs w:val="24"/>
        </w:rPr>
        <w:t>,</w:t>
      </w:r>
      <w:r w:rsidR="00143BD1">
        <w:rPr>
          <w:rFonts w:ascii="Arial" w:eastAsia="Times New Roman" w:hAnsi="Arial" w:cs="Arial"/>
          <w:bCs/>
          <w:color w:val="000000"/>
          <w:sz w:val="24"/>
          <w:szCs w:val="24"/>
        </w:rPr>
        <w:t xml:space="preserve"> </w:t>
      </w:r>
      <w:r w:rsidR="00AF493F">
        <w:rPr>
          <w:rFonts w:ascii="Arial" w:eastAsia="Times New Roman" w:hAnsi="Arial" w:cs="Arial"/>
          <w:bCs/>
          <w:color w:val="000000"/>
          <w:sz w:val="24"/>
          <w:szCs w:val="24"/>
        </w:rPr>
        <w:t xml:space="preserve">if granted will </w:t>
      </w:r>
      <w:r w:rsidR="00143BD1">
        <w:rPr>
          <w:rFonts w:ascii="Arial" w:eastAsia="Times New Roman" w:hAnsi="Arial" w:cs="Arial"/>
          <w:bCs/>
          <w:color w:val="000000"/>
          <w:sz w:val="24"/>
          <w:szCs w:val="24"/>
        </w:rPr>
        <w:t xml:space="preserve">also </w:t>
      </w:r>
      <w:r w:rsidR="00AF493F">
        <w:rPr>
          <w:rFonts w:ascii="Arial" w:eastAsia="Times New Roman" w:hAnsi="Arial" w:cs="Arial"/>
          <w:bCs/>
          <w:color w:val="000000"/>
          <w:sz w:val="24"/>
          <w:szCs w:val="24"/>
        </w:rPr>
        <w:t>benefit the second respondent</w:t>
      </w:r>
      <w:r w:rsidR="00143BD1">
        <w:rPr>
          <w:rFonts w:ascii="Arial" w:eastAsia="Times New Roman" w:hAnsi="Arial" w:cs="Arial"/>
          <w:bCs/>
          <w:color w:val="000000"/>
          <w:sz w:val="24"/>
          <w:szCs w:val="24"/>
        </w:rPr>
        <w:t>’s deceased</w:t>
      </w:r>
      <w:r w:rsidR="00FB0475">
        <w:rPr>
          <w:rFonts w:ascii="Arial" w:eastAsia="Times New Roman" w:hAnsi="Arial" w:cs="Arial"/>
          <w:bCs/>
          <w:color w:val="000000"/>
          <w:sz w:val="24"/>
          <w:szCs w:val="24"/>
        </w:rPr>
        <w:t xml:space="preserve"> estate</w:t>
      </w:r>
      <w:r w:rsidR="00112FC7">
        <w:rPr>
          <w:rFonts w:ascii="Arial" w:eastAsia="Times New Roman" w:hAnsi="Arial" w:cs="Arial"/>
          <w:bCs/>
          <w:color w:val="000000"/>
          <w:sz w:val="24"/>
          <w:szCs w:val="24"/>
        </w:rPr>
        <w:t xml:space="preserve">. Crucially, </w:t>
      </w:r>
      <w:r w:rsidR="00A11004">
        <w:rPr>
          <w:rFonts w:ascii="Arial" w:eastAsia="Times New Roman" w:hAnsi="Arial" w:cs="Arial"/>
          <w:bCs/>
          <w:color w:val="000000"/>
          <w:sz w:val="24"/>
          <w:szCs w:val="24"/>
        </w:rPr>
        <w:t>in the notice of motion</w:t>
      </w:r>
      <w:r w:rsidR="00C1316F">
        <w:rPr>
          <w:rFonts w:ascii="Arial" w:eastAsia="Times New Roman" w:hAnsi="Arial" w:cs="Arial"/>
          <w:bCs/>
          <w:color w:val="000000"/>
          <w:sz w:val="24"/>
          <w:szCs w:val="24"/>
        </w:rPr>
        <w:t>,</w:t>
      </w:r>
      <w:r w:rsidR="00A11004">
        <w:rPr>
          <w:rFonts w:ascii="Arial" w:eastAsia="Times New Roman" w:hAnsi="Arial" w:cs="Arial"/>
          <w:bCs/>
          <w:color w:val="000000"/>
          <w:sz w:val="24"/>
          <w:szCs w:val="24"/>
        </w:rPr>
        <w:t xml:space="preserve"> the applicant</w:t>
      </w:r>
      <w:r w:rsidR="003C57D2">
        <w:rPr>
          <w:rFonts w:ascii="Arial" w:eastAsia="Times New Roman" w:hAnsi="Arial" w:cs="Arial"/>
          <w:bCs/>
          <w:color w:val="000000"/>
          <w:sz w:val="24"/>
          <w:szCs w:val="24"/>
        </w:rPr>
        <w:t>,</w:t>
      </w:r>
      <w:r w:rsidR="00A11004">
        <w:rPr>
          <w:rFonts w:ascii="Arial" w:eastAsia="Times New Roman" w:hAnsi="Arial" w:cs="Arial"/>
          <w:bCs/>
          <w:color w:val="000000"/>
          <w:sz w:val="24"/>
          <w:szCs w:val="24"/>
        </w:rPr>
        <w:t xml:space="preserve"> among others</w:t>
      </w:r>
      <w:r w:rsidR="00C1316F">
        <w:rPr>
          <w:rFonts w:ascii="Arial" w:eastAsia="Times New Roman" w:hAnsi="Arial" w:cs="Arial"/>
          <w:bCs/>
          <w:color w:val="000000"/>
          <w:sz w:val="24"/>
          <w:szCs w:val="24"/>
        </w:rPr>
        <w:t>,</w:t>
      </w:r>
      <w:r w:rsidR="00A11004">
        <w:rPr>
          <w:rFonts w:ascii="Arial" w:eastAsia="Times New Roman" w:hAnsi="Arial" w:cs="Arial"/>
          <w:bCs/>
          <w:color w:val="000000"/>
          <w:sz w:val="24"/>
          <w:szCs w:val="24"/>
        </w:rPr>
        <w:t xml:space="preserve"> seeks </w:t>
      </w:r>
      <w:r w:rsidR="00C106AC">
        <w:rPr>
          <w:rFonts w:ascii="Arial" w:eastAsia="Times New Roman" w:hAnsi="Arial" w:cs="Arial"/>
          <w:bCs/>
          <w:color w:val="000000"/>
          <w:sz w:val="24"/>
          <w:szCs w:val="24"/>
        </w:rPr>
        <w:t xml:space="preserve">an order directing </w:t>
      </w:r>
      <w:r w:rsidR="00C1316F">
        <w:rPr>
          <w:rFonts w:ascii="Arial" w:eastAsia="Times New Roman" w:hAnsi="Arial" w:cs="Arial"/>
          <w:bCs/>
          <w:color w:val="000000"/>
          <w:sz w:val="24"/>
          <w:szCs w:val="24"/>
        </w:rPr>
        <w:t>the</w:t>
      </w:r>
      <w:r w:rsidR="00C106AC">
        <w:rPr>
          <w:rFonts w:ascii="Arial" w:eastAsia="Times New Roman" w:hAnsi="Arial" w:cs="Arial"/>
          <w:bCs/>
          <w:color w:val="000000"/>
          <w:sz w:val="24"/>
          <w:szCs w:val="24"/>
        </w:rPr>
        <w:t xml:space="preserve"> third </w:t>
      </w:r>
      <w:r w:rsidR="00C106AC">
        <w:rPr>
          <w:rFonts w:ascii="Arial" w:eastAsia="Times New Roman" w:hAnsi="Arial" w:cs="Arial"/>
          <w:bCs/>
          <w:color w:val="000000"/>
          <w:sz w:val="24"/>
          <w:szCs w:val="24"/>
        </w:rPr>
        <w:lastRenderedPageBreak/>
        <w:t xml:space="preserve">respondent </w:t>
      </w:r>
      <w:r w:rsidR="00FB0475">
        <w:rPr>
          <w:rFonts w:ascii="Arial" w:eastAsia="Times New Roman" w:hAnsi="Arial" w:cs="Arial"/>
          <w:bCs/>
          <w:color w:val="000000"/>
          <w:sz w:val="24"/>
          <w:szCs w:val="24"/>
        </w:rPr>
        <w:t xml:space="preserve">(the Registrar of Deeds) </w:t>
      </w:r>
      <w:r w:rsidR="00C106AC">
        <w:rPr>
          <w:rFonts w:ascii="Arial" w:eastAsia="Times New Roman" w:hAnsi="Arial" w:cs="Arial"/>
          <w:bCs/>
          <w:color w:val="000000"/>
          <w:sz w:val="24"/>
          <w:szCs w:val="24"/>
        </w:rPr>
        <w:t xml:space="preserve">to </w:t>
      </w:r>
      <w:r w:rsidR="00C1316F">
        <w:rPr>
          <w:rFonts w:ascii="Arial" w:eastAsia="Times New Roman" w:hAnsi="Arial" w:cs="Arial"/>
          <w:bCs/>
          <w:color w:val="000000"/>
          <w:sz w:val="24"/>
          <w:szCs w:val="24"/>
        </w:rPr>
        <w:t>deregister</w:t>
      </w:r>
      <w:r w:rsidR="00C106AC">
        <w:rPr>
          <w:rFonts w:ascii="Arial" w:eastAsia="Times New Roman" w:hAnsi="Arial" w:cs="Arial"/>
          <w:bCs/>
          <w:color w:val="000000"/>
          <w:sz w:val="24"/>
          <w:szCs w:val="24"/>
        </w:rPr>
        <w:t xml:space="preserve"> </w:t>
      </w:r>
      <w:r w:rsidR="00C1316F">
        <w:rPr>
          <w:rFonts w:ascii="Arial" w:eastAsia="Times New Roman" w:hAnsi="Arial" w:cs="Arial"/>
          <w:bCs/>
          <w:color w:val="000000"/>
          <w:sz w:val="24"/>
          <w:szCs w:val="24"/>
        </w:rPr>
        <w:t>the</w:t>
      </w:r>
      <w:r w:rsidR="00C106AC">
        <w:rPr>
          <w:rFonts w:ascii="Arial" w:eastAsia="Times New Roman" w:hAnsi="Arial" w:cs="Arial"/>
          <w:bCs/>
          <w:color w:val="000000"/>
          <w:sz w:val="24"/>
          <w:szCs w:val="24"/>
        </w:rPr>
        <w:t xml:space="preserve"> registration</w:t>
      </w:r>
      <w:r w:rsidR="00FB0475">
        <w:rPr>
          <w:rFonts w:ascii="Arial" w:eastAsia="Times New Roman" w:hAnsi="Arial" w:cs="Arial"/>
          <w:bCs/>
          <w:color w:val="000000"/>
          <w:sz w:val="24"/>
          <w:szCs w:val="24"/>
        </w:rPr>
        <w:t xml:space="preserve"> of</w:t>
      </w:r>
      <w:r w:rsidR="00C106AC">
        <w:rPr>
          <w:rFonts w:ascii="Arial" w:eastAsia="Times New Roman" w:hAnsi="Arial" w:cs="Arial"/>
          <w:bCs/>
          <w:color w:val="000000"/>
          <w:sz w:val="24"/>
          <w:szCs w:val="24"/>
        </w:rPr>
        <w:t xml:space="preserve"> </w:t>
      </w:r>
      <w:r w:rsidR="00C1316F">
        <w:rPr>
          <w:rFonts w:ascii="Arial" w:eastAsia="Times New Roman" w:hAnsi="Arial" w:cs="Arial"/>
          <w:bCs/>
          <w:color w:val="000000"/>
          <w:sz w:val="24"/>
          <w:szCs w:val="24"/>
        </w:rPr>
        <w:t>transfer</w:t>
      </w:r>
      <w:r w:rsidR="00C106AC">
        <w:rPr>
          <w:rFonts w:ascii="Arial" w:eastAsia="Times New Roman" w:hAnsi="Arial" w:cs="Arial"/>
          <w:bCs/>
          <w:color w:val="000000"/>
          <w:sz w:val="24"/>
          <w:szCs w:val="24"/>
        </w:rPr>
        <w:t xml:space="preserve"> of ownership of </w:t>
      </w:r>
      <w:r w:rsidR="00C1316F">
        <w:rPr>
          <w:rFonts w:ascii="Arial" w:eastAsia="Times New Roman" w:hAnsi="Arial" w:cs="Arial"/>
          <w:bCs/>
          <w:color w:val="000000"/>
          <w:sz w:val="24"/>
          <w:szCs w:val="24"/>
        </w:rPr>
        <w:t>the</w:t>
      </w:r>
      <w:r w:rsidR="00C106AC">
        <w:rPr>
          <w:rFonts w:ascii="Arial" w:eastAsia="Times New Roman" w:hAnsi="Arial" w:cs="Arial"/>
          <w:bCs/>
          <w:color w:val="000000"/>
          <w:sz w:val="24"/>
          <w:szCs w:val="24"/>
        </w:rPr>
        <w:t xml:space="preserve"> property from </w:t>
      </w:r>
      <w:r w:rsidR="00C1316F">
        <w:rPr>
          <w:rFonts w:ascii="Arial" w:eastAsia="Times New Roman" w:hAnsi="Arial" w:cs="Arial"/>
          <w:bCs/>
          <w:color w:val="000000"/>
          <w:sz w:val="24"/>
          <w:szCs w:val="24"/>
        </w:rPr>
        <w:t>the</w:t>
      </w:r>
      <w:r w:rsidR="00C106AC">
        <w:rPr>
          <w:rFonts w:ascii="Arial" w:eastAsia="Times New Roman" w:hAnsi="Arial" w:cs="Arial"/>
          <w:bCs/>
          <w:color w:val="000000"/>
          <w:sz w:val="24"/>
          <w:szCs w:val="24"/>
        </w:rPr>
        <w:t xml:space="preserve"> name of </w:t>
      </w:r>
      <w:r w:rsidR="00C1316F">
        <w:rPr>
          <w:rFonts w:ascii="Arial" w:eastAsia="Times New Roman" w:hAnsi="Arial" w:cs="Arial"/>
          <w:bCs/>
          <w:color w:val="000000"/>
          <w:sz w:val="24"/>
          <w:szCs w:val="24"/>
        </w:rPr>
        <w:t>the</w:t>
      </w:r>
      <w:r w:rsidR="00C106AC">
        <w:rPr>
          <w:rFonts w:ascii="Arial" w:eastAsia="Times New Roman" w:hAnsi="Arial" w:cs="Arial"/>
          <w:bCs/>
          <w:color w:val="000000"/>
          <w:sz w:val="24"/>
          <w:szCs w:val="24"/>
        </w:rPr>
        <w:t xml:space="preserve"> </w:t>
      </w:r>
      <w:r w:rsidR="00956D8D">
        <w:rPr>
          <w:rFonts w:ascii="Arial" w:eastAsia="Times New Roman" w:hAnsi="Arial" w:cs="Arial"/>
          <w:bCs/>
          <w:color w:val="000000"/>
          <w:sz w:val="24"/>
          <w:szCs w:val="24"/>
        </w:rPr>
        <w:t xml:space="preserve">first respondent into </w:t>
      </w:r>
      <w:r w:rsidR="00C1316F">
        <w:rPr>
          <w:rFonts w:ascii="Arial" w:eastAsia="Times New Roman" w:hAnsi="Arial" w:cs="Arial"/>
          <w:bCs/>
          <w:color w:val="000000"/>
          <w:sz w:val="24"/>
          <w:szCs w:val="24"/>
        </w:rPr>
        <w:t>the</w:t>
      </w:r>
      <w:r w:rsidR="00956D8D">
        <w:rPr>
          <w:rFonts w:ascii="Arial" w:eastAsia="Times New Roman" w:hAnsi="Arial" w:cs="Arial"/>
          <w:bCs/>
          <w:color w:val="000000"/>
          <w:sz w:val="24"/>
          <w:szCs w:val="24"/>
        </w:rPr>
        <w:t xml:space="preserve"> name of </w:t>
      </w:r>
      <w:r w:rsidR="00C1316F">
        <w:rPr>
          <w:rFonts w:ascii="Arial" w:eastAsia="Times New Roman" w:hAnsi="Arial" w:cs="Arial"/>
          <w:bCs/>
          <w:color w:val="000000"/>
          <w:sz w:val="24"/>
          <w:szCs w:val="24"/>
        </w:rPr>
        <w:t>the</w:t>
      </w:r>
      <w:r w:rsidR="00956D8D">
        <w:rPr>
          <w:rFonts w:ascii="Arial" w:eastAsia="Times New Roman" w:hAnsi="Arial" w:cs="Arial"/>
          <w:bCs/>
          <w:color w:val="000000"/>
          <w:sz w:val="24"/>
          <w:szCs w:val="24"/>
        </w:rPr>
        <w:t xml:space="preserve"> second </w:t>
      </w:r>
      <w:r w:rsidR="00C1316F">
        <w:rPr>
          <w:rFonts w:ascii="Arial" w:eastAsia="Times New Roman" w:hAnsi="Arial" w:cs="Arial"/>
          <w:bCs/>
          <w:color w:val="000000"/>
          <w:sz w:val="24"/>
          <w:szCs w:val="24"/>
        </w:rPr>
        <w:t>respondent</w:t>
      </w:r>
      <w:r w:rsidR="00FB0475">
        <w:rPr>
          <w:rFonts w:ascii="Arial" w:eastAsia="Times New Roman" w:hAnsi="Arial" w:cs="Arial"/>
          <w:bCs/>
          <w:color w:val="000000"/>
          <w:sz w:val="24"/>
          <w:szCs w:val="24"/>
        </w:rPr>
        <w:t xml:space="preserve"> (the deceased)</w:t>
      </w:r>
      <w:r w:rsidR="00956D8D">
        <w:rPr>
          <w:rFonts w:ascii="Arial" w:eastAsia="Times New Roman" w:hAnsi="Arial" w:cs="Arial"/>
          <w:bCs/>
          <w:color w:val="000000"/>
          <w:sz w:val="24"/>
          <w:szCs w:val="24"/>
        </w:rPr>
        <w:t>.</w:t>
      </w:r>
    </w:p>
    <w:p w:rsidR="00DF00DB" w:rsidRDefault="00DF00DB" w:rsidP="00690025">
      <w:pPr>
        <w:spacing w:after="0" w:line="480" w:lineRule="auto"/>
        <w:jc w:val="both"/>
        <w:rPr>
          <w:rFonts w:ascii="Arial" w:eastAsia="Times New Roman" w:hAnsi="Arial" w:cs="Arial"/>
          <w:bCs/>
          <w:color w:val="000000"/>
          <w:sz w:val="24"/>
          <w:szCs w:val="24"/>
        </w:rPr>
      </w:pPr>
    </w:p>
    <w:p w:rsidR="00FB0475" w:rsidRDefault="006A0506" w:rsidP="00690025">
      <w:pPr>
        <w:spacing w:after="0" w:line="48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[21</w:t>
      </w:r>
      <w:r w:rsidR="00DF00DB">
        <w:rPr>
          <w:rFonts w:ascii="Arial" w:eastAsia="Times New Roman" w:hAnsi="Arial" w:cs="Arial"/>
          <w:bCs/>
          <w:color w:val="000000"/>
          <w:sz w:val="24"/>
          <w:szCs w:val="24"/>
        </w:rPr>
        <w:t>]</w:t>
      </w:r>
      <w:r w:rsidR="003C57D2">
        <w:rPr>
          <w:rFonts w:ascii="Arial" w:eastAsia="Times New Roman" w:hAnsi="Arial" w:cs="Arial"/>
          <w:bCs/>
          <w:color w:val="000000"/>
          <w:sz w:val="24"/>
          <w:szCs w:val="24"/>
        </w:rPr>
        <w:tab/>
      </w:r>
      <w:r w:rsidR="003C57D2" w:rsidRPr="003C57D2">
        <w:rPr>
          <w:rFonts w:ascii="Arial" w:eastAsia="Times New Roman" w:hAnsi="Arial" w:cs="Arial"/>
          <w:bCs/>
          <w:color w:val="000000"/>
          <w:sz w:val="24"/>
          <w:szCs w:val="24"/>
        </w:rPr>
        <w:t>In my view, it was inherently necessary to join the Master of th</w:t>
      </w:r>
      <w:r w:rsidR="00385AC0">
        <w:rPr>
          <w:rFonts w:ascii="Arial" w:eastAsia="Times New Roman" w:hAnsi="Arial" w:cs="Arial"/>
          <w:bCs/>
          <w:color w:val="000000"/>
          <w:sz w:val="24"/>
          <w:szCs w:val="24"/>
        </w:rPr>
        <w:t>e High Court, particularly the executor of the deceased estate</w:t>
      </w:r>
      <w:r w:rsidR="00F3191F">
        <w:rPr>
          <w:rFonts w:ascii="Arial" w:eastAsia="Times New Roman" w:hAnsi="Arial" w:cs="Arial"/>
          <w:bCs/>
          <w:color w:val="000000"/>
          <w:sz w:val="24"/>
          <w:szCs w:val="24"/>
        </w:rPr>
        <w:t>,</w:t>
      </w:r>
      <w:r w:rsidR="003C57D2" w:rsidRPr="003C57D2">
        <w:rPr>
          <w:rFonts w:ascii="Arial" w:eastAsia="Times New Roman" w:hAnsi="Arial" w:cs="Arial"/>
          <w:bCs/>
          <w:color w:val="000000"/>
          <w:sz w:val="24"/>
          <w:szCs w:val="24"/>
        </w:rPr>
        <w:t xml:space="preserve"> in these proceedings as they have a substantial and direct interest in the matter. When the application was instituted, the applicant was aware that the second respondent </w:t>
      </w:r>
      <w:r w:rsidR="00F3191F">
        <w:rPr>
          <w:rFonts w:ascii="Arial" w:eastAsia="Times New Roman" w:hAnsi="Arial" w:cs="Arial"/>
          <w:bCs/>
          <w:color w:val="000000"/>
          <w:sz w:val="24"/>
          <w:szCs w:val="24"/>
        </w:rPr>
        <w:t xml:space="preserve">has died. </w:t>
      </w:r>
      <w:r w:rsidR="00FB0475">
        <w:rPr>
          <w:rFonts w:ascii="Arial" w:eastAsia="Times New Roman" w:hAnsi="Arial" w:cs="Arial"/>
          <w:bCs/>
          <w:color w:val="000000"/>
          <w:sz w:val="24"/>
          <w:szCs w:val="24"/>
        </w:rPr>
        <w:t>Notwithstanding, the applicant failed to join the M</w:t>
      </w:r>
      <w:r w:rsidR="00385AC0">
        <w:rPr>
          <w:rFonts w:ascii="Arial" w:eastAsia="Times New Roman" w:hAnsi="Arial" w:cs="Arial"/>
          <w:bCs/>
          <w:color w:val="000000"/>
          <w:sz w:val="24"/>
          <w:szCs w:val="24"/>
        </w:rPr>
        <w:t>aster of the High Court or the e</w:t>
      </w:r>
      <w:r w:rsidR="00FB0475">
        <w:rPr>
          <w:rFonts w:ascii="Arial" w:eastAsia="Times New Roman" w:hAnsi="Arial" w:cs="Arial"/>
          <w:bCs/>
          <w:color w:val="000000"/>
          <w:sz w:val="24"/>
          <w:szCs w:val="24"/>
        </w:rPr>
        <w:t xml:space="preserve">xecutor of the second respondent. </w:t>
      </w:r>
    </w:p>
    <w:p w:rsidR="00FB0475" w:rsidRDefault="00FB0475" w:rsidP="00690025">
      <w:pPr>
        <w:spacing w:after="0" w:line="480" w:lineRule="auto"/>
        <w:jc w:val="both"/>
        <w:rPr>
          <w:rFonts w:ascii="Arial" w:eastAsia="Times New Roman" w:hAnsi="Arial" w:cs="Arial"/>
          <w:bCs/>
          <w:color w:val="000000"/>
          <w:sz w:val="24"/>
          <w:szCs w:val="24"/>
        </w:rPr>
      </w:pPr>
    </w:p>
    <w:p w:rsidR="003C57D2" w:rsidRDefault="00DF00DB" w:rsidP="00556065">
      <w:pPr>
        <w:spacing w:after="0" w:line="48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[2</w:t>
      </w:r>
      <w:r w:rsidR="006A0506">
        <w:rPr>
          <w:rFonts w:ascii="Arial" w:eastAsia="Times New Roman" w:hAnsi="Arial" w:cs="Arial"/>
          <w:bCs/>
          <w:color w:val="000000"/>
          <w:sz w:val="24"/>
          <w:szCs w:val="24"/>
        </w:rPr>
        <w:t>2</w:t>
      </w:r>
      <w:r>
        <w:rPr>
          <w:rFonts w:ascii="Arial" w:eastAsia="Times New Roman" w:hAnsi="Arial" w:cs="Arial"/>
          <w:bCs/>
          <w:color w:val="000000"/>
          <w:sz w:val="24"/>
          <w:szCs w:val="24"/>
        </w:rPr>
        <w:t>]</w:t>
      </w:r>
      <w:r>
        <w:rPr>
          <w:rFonts w:ascii="Arial" w:eastAsia="Times New Roman" w:hAnsi="Arial" w:cs="Arial"/>
          <w:bCs/>
          <w:color w:val="000000"/>
          <w:sz w:val="24"/>
          <w:szCs w:val="24"/>
        </w:rPr>
        <w:tab/>
      </w:r>
      <w:r w:rsidR="00F700A7">
        <w:rPr>
          <w:rFonts w:ascii="Arial" w:eastAsia="Times New Roman" w:hAnsi="Arial" w:cs="Arial"/>
          <w:bCs/>
          <w:color w:val="000000"/>
          <w:sz w:val="24"/>
          <w:szCs w:val="24"/>
        </w:rPr>
        <w:t xml:space="preserve">It is trite that an </w:t>
      </w:r>
      <w:r w:rsidR="00385AC0">
        <w:rPr>
          <w:rFonts w:ascii="Arial" w:eastAsia="Times New Roman" w:hAnsi="Arial" w:cs="Arial"/>
          <w:bCs/>
          <w:color w:val="000000"/>
          <w:sz w:val="24"/>
          <w:szCs w:val="24"/>
        </w:rPr>
        <w:t>e</w:t>
      </w:r>
      <w:r w:rsidR="00443611">
        <w:rPr>
          <w:rFonts w:ascii="Arial" w:eastAsia="Times New Roman" w:hAnsi="Arial" w:cs="Arial"/>
          <w:bCs/>
          <w:color w:val="000000"/>
          <w:sz w:val="24"/>
          <w:szCs w:val="24"/>
        </w:rPr>
        <w:t xml:space="preserve">xecutor is responsible for the </w:t>
      </w:r>
      <w:r w:rsidR="00F3191F">
        <w:rPr>
          <w:rFonts w:ascii="Arial" w:eastAsia="Times New Roman" w:hAnsi="Arial" w:cs="Arial"/>
          <w:bCs/>
          <w:color w:val="000000"/>
          <w:sz w:val="24"/>
          <w:szCs w:val="24"/>
        </w:rPr>
        <w:t>administration of the deceased</w:t>
      </w:r>
      <w:r w:rsidR="00556065">
        <w:rPr>
          <w:rFonts w:ascii="Arial" w:eastAsia="Times New Roman" w:hAnsi="Arial" w:cs="Arial"/>
          <w:bCs/>
          <w:color w:val="000000"/>
          <w:sz w:val="24"/>
          <w:szCs w:val="24"/>
        </w:rPr>
        <w:t>’s</w:t>
      </w:r>
      <w:r w:rsidR="00F3191F">
        <w:rPr>
          <w:rFonts w:ascii="Arial" w:eastAsia="Times New Roman" w:hAnsi="Arial" w:cs="Arial"/>
          <w:bCs/>
          <w:color w:val="000000"/>
          <w:sz w:val="24"/>
          <w:szCs w:val="24"/>
        </w:rPr>
        <w:t xml:space="preserve"> </w:t>
      </w:r>
      <w:r w:rsidR="00443611">
        <w:rPr>
          <w:rFonts w:ascii="Arial" w:eastAsia="Times New Roman" w:hAnsi="Arial" w:cs="Arial"/>
          <w:bCs/>
          <w:color w:val="000000"/>
          <w:sz w:val="24"/>
          <w:szCs w:val="24"/>
        </w:rPr>
        <w:t>estate.</w:t>
      </w:r>
      <w:r w:rsidR="00022AAF">
        <w:rPr>
          <w:rFonts w:ascii="Arial" w:eastAsia="Times New Roman" w:hAnsi="Arial" w:cs="Arial"/>
          <w:bCs/>
          <w:color w:val="000000"/>
          <w:sz w:val="24"/>
          <w:szCs w:val="24"/>
        </w:rPr>
        <w:t xml:space="preserve"> In terms of section 26 of the Administration of Estate</w:t>
      </w:r>
      <w:r w:rsidR="00444F81">
        <w:rPr>
          <w:rFonts w:ascii="Arial" w:eastAsia="Times New Roman" w:hAnsi="Arial" w:cs="Arial"/>
          <w:bCs/>
          <w:color w:val="000000"/>
          <w:sz w:val="24"/>
          <w:szCs w:val="24"/>
        </w:rPr>
        <w:t>s</w:t>
      </w:r>
      <w:r w:rsidR="00022AAF">
        <w:rPr>
          <w:rFonts w:ascii="Arial" w:eastAsia="Times New Roman" w:hAnsi="Arial" w:cs="Arial"/>
          <w:bCs/>
          <w:color w:val="000000"/>
          <w:sz w:val="24"/>
          <w:szCs w:val="24"/>
        </w:rPr>
        <w:t xml:space="preserve"> </w:t>
      </w:r>
      <w:r w:rsidR="00BE68ED">
        <w:rPr>
          <w:rFonts w:ascii="Arial" w:eastAsia="Times New Roman" w:hAnsi="Arial" w:cs="Arial"/>
          <w:bCs/>
          <w:color w:val="000000"/>
          <w:sz w:val="24"/>
          <w:szCs w:val="24"/>
        </w:rPr>
        <w:t>Act 66</w:t>
      </w:r>
      <w:r w:rsidR="0079053A">
        <w:rPr>
          <w:rFonts w:ascii="Arial" w:eastAsia="Times New Roman" w:hAnsi="Arial" w:cs="Arial"/>
          <w:bCs/>
          <w:color w:val="000000"/>
          <w:sz w:val="24"/>
          <w:szCs w:val="24"/>
        </w:rPr>
        <w:t xml:space="preserve"> of 1965</w:t>
      </w:r>
      <w:r w:rsidR="00F700A7">
        <w:rPr>
          <w:rFonts w:ascii="Arial" w:eastAsia="Times New Roman" w:hAnsi="Arial" w:cs="Arial"/>
          <w:bCs/>
          <w:color w:val="000000"/>
          <w:sz w:val="24"/>
          <w:szCs w:val="24"/>
        </w:rPr>
        <w:t>,</w:t>
      </w:r>
      <w:r w:rsidR="0079053A">
        <w:rPr>
          <w:rFonts w:ascii="Arial" w:eastAsia="Times New Roman" w:hAnsi="Arial" w:cs="Arial"/>
          <w:bCs/>
          <w:color w:val="000000"/>
          <w:sz w:val="24"/>
          <w:szCs w:val="24"/>
        </w:rPr>
        <w:t xml:space="preserve"> the executor is charged with the custod</w:t>
      </w:r>
      <w:r w:rsidR="009552B7">
        <w:rPr>
          <w:rFonts w:ascii="Arial" w:eastAsia="Times New Roman" w:hAnsi="Arial" w:cs="Arial"/>
          <w:bCs/>
          <w:color w:val="000000"/>
          <w:sz w:val="24"/>
          <w:szCs w:val="24"/>
        </w:rPr>
        <w:t xml:space="preserve">y and control of the </w:t>
      </w:r>
      <w:r w:rsidR="00582F66">
        <w:rPr>
          <w:rFonts w:ascii="Arial" w:eastAsia="Times New Roman" w:hAnsi="Arial" w:cs="Arial"/>
          <w:bCs/>
          <w:color w:val="000000"/>
          <w:sz w:val="24"/>
          <w:szCs w:val="24"/>
        </w:rPr>
        <w:t xml:space="preserve">property in the </w:t>
      </w:r>
      <w:r w:rsidR="009552B7">
        <w:rPr>
          <w:rFonts w:ascii="Arial" w:eastAsia="Times New Roman" w:hAnsi="Arial" w:cs="Arial"/>
          <w:bCs/>
          <w:color w:val="000000"/>
          <w:sz w:val="24"/>
          <w:szCs w:val="24"/>
        </w:rPr>
        <w:t xml:space="preserve">deceased estate. </w:t>
      </w:r>
      <w:r w:rsidR="00582F66">
        <w:rPr>
          <w:rFonts w:ascii="Arial" w:eastAsia="Times New Roman" w:hAnsi="Arial" w:cs="Arial"/>
          <w:bCs/>
          <w:color w:val="000000"/>
          <w:sz w:val="24"/>
          <w:szCs w:val="24"/>
        </w:rPr>
        <w:t xml:space="preserve">He </w:t>
      </w:r>
      <w:r w:rsidR="00F700A7">
        <w:rPr>
          <w:rFonts w:ascii="Arial" w:eastAsia="Times New Roman" w:hAnsi="Arial" w:cs="Arial"/>
          <w:bCs/>
          <w:color w:val="000000"/>
          <w:sz w:val="24"/>
          <w:szCs w:val="24"/>
        </w:rPr>
        <w:t xml:space="preserve">is entrusted with a responsibility </w:t>
      </w:r>
      <w:r w:rsidR="004A0318">
        <w:rPr>
          <w:rFonts w:ascii="Arial" w:eastAsia="Times New Roman" w:hAnsi="Arial" w:cs="Arial"/>
          <w:bCs/>
          <w:color w:val="000000"/>
          <w:sz w:val="24"/>
          <w:szCs w:val="24"/>
        </w:rPr>
        <w:t xml:space="preserve">to </w:t>
      </w:r>
      <w:r w:rsidR="00BE68ED">
        <w:rPr>
          <w:rFonts w:ascii="Arial" w:eastAsia="Times New Roman" w:hAnsi="Arial" w:cs="Arial"/>
          <w:bCs/>
          <w:color w:val="000000"/>
          <w:sz w:val="24"/>
          <w:szCs w:val="24"/>
        </w:rPr>
        <w:t>safeguard</w:t>
      </w:r>
      <w:r w:rsidR="00582F66">
        <w:rPr>
          <w:rFonts w:ascii="Arial" w:eastAsia="Times New Roman" w:hAnsi="Arial" w:cs="Arial"/>
          <w:bCs/>
          <w:color w:val="000000"/>
          <w:sz w:val="24"/>
          <w:szCs w:val="24"/>
        </w:rPr>
        <w:t xml:space="preserve"> the interest of beneficiaries and </w:t>
      </w:r>
      <w:r w:rsidR="00BE68ED">
        <w:rPr>
          <w:rFonts w:ascii="Arial" w:eastAsia="Times New Roman" w:hAnsi="Arial" w:cs="Arial"/>
          <w:bCs/>
          <w:color w:val="000000"/>
          <w:sz w:val="24"/>
          <w:szCs w:val="24"/>
        </w:rPr>
        <w:t>creditors in the estate.</w:t>
      </w:r>
      <w:r w:rsidR="003C57D2" w:rsidRPr="003C57D2">
        <w:t xml:space="preserve"> </w:t>
      </w:r>
      <w:r w:rsidR="004657FD">
        <w:rPr>
          <w:rFonts w:ascii="Arial" w:hAnsi="Arial" w:cs="Arial"/>
          <w:sz w:val="24"/>
          <w:szCs w:val="24"/>
        </w:rPr>
        <w:t>Only the e</w:t>
      </w:r>
      <w:r w:rsidR="00556065" w:rsidRPr="00556065">
        <w:rPr>
          <w:rFonts w:ascii="Arial" w:hAnsi="Arial" w:cs="Arial"/>
          <w:sz w:val="24"/>
          <w:szCs w:val="24"/>
        </w:rPr>
        <w:t xml:space="preserve">xecutor can conclude juristic acts on behalf of the deceased estate. </w:t>
      </w:r>
      <w:r w:rsidR="003C57D2" w:rsidRPr="00556065">
        <w:rPr>
          <w:rFonts w:ascii="Arial" w:eastAsia="Times New Roman" w:hAnsi="Arial" w:cs="Arial"/>
          <w:bCs/>
          <w:color w:val="000000"/>
          <w:sz w:val="24"/>
          <w:szCs w:val="24"/>
        </w:rPr>
        <w:t>I believe the execut</w:t>
      </w:r>
      <w:r w:rsidR="003C57D2" w:rsidRPr="003C57D2">
        <w:rPr>
          <w:rFonts w:ascii="Arial" w:eastAsia="Times New Roman" w:hAnsi="Arial" w:cs="Arial"/>
          <w:bCs/>
          <w:color w:val="000000"/>
          <w:sz w:val="24"/>
          <w:szCs w:val="24"/>
        </w:rPr>
        <w:t>or of the second respondent's deceased estate has a legal interest in this matter and should have been joined in these proceedings.</w:t>
      </w:r>
      <w:r w:rsidR="00FD6771">
        <w:rPr>
          <w:rFonts w:ascii="Arial" w:eastAsia="Times New Roman" w:hAnsi="Arial" w:cs="Arial"/>
          <w:bCs/>
          <w:color w:val="000000"/>
          <w:sz w:val="24"/>
          <w:szCs w:val="24"/>
        </w:rPr>
        <w:t xml:space="preserve"> </w:t>
      </w:r>
      <w:r w:rsidR="00556065">
        <w:rPr>
          <w:rFonts w:ascii="Arial" w:eastAsia="Times New Roman" w:hAnsi="Arial" w:cs="Arial"/>
          <w:bCs/>
          <w:color w:val="000000"/>
          <w:sz w:val="24"/>
          <w:szCs w:val="24"/>
        </w:rPr>
        <w:t>I</w:t>
      </w:r>
      <w:r w:rsidR="00556065" w:rsidRPr="00556065">
        <w:rPr>
          <w:rFonts w:ascii="Arial" w:eastAsia="Times New Roman" w:hAnsi="Arial" w:cs="Arial"/>
          <w:bCs/>
          <w:color w:val="000000"/>
          <w:sz w:val="24"/>
          <w:szCs w:val="24"/>
        </w:rPr>
        <w:t>f he was not appointed, the applicant should have reported the estate to the Master of the High Court, who would have appointed an executor.</w:t>
      </w:r>
      <w:r w:rsidR="00FD6771">
        <w:rPr>
          <w:rFonts w:ascii="Arial" w:eastAsia="Times New Roman" w:hAnsi="Arial" w:cs="Arial"/>
          <w:bCs/>
          <w:color w:val="000000"/>
          <w:sz w:val="24"/>
          <w:szCs w:val="24"/>
        </w:rPr>
        <w:t xml:space="preserve"> </w:t>
      </w:r>
    </w:p>
    <w:p w:rsidR="003C57D2" w:rsidRDefault="003C57D2" w:rsidP="00690025">
      <w:pPr>
        <w:spacing w:after="0" w:line="480" w:lineRule="auto"/>
        <w:jc w:val="both"/>
        <w:rPr>
          <w:rFonts w:ascii="Arial" w:eastAsia="Times New Roman" w:hAnsi="Arial" w:cs="Arial"/>
          <w:bCs/>
          <w:color w:val="000000"/>
          <w:sz w:val="24"/>
          <w:szCs w:val="24"/>
        </w:rPr>
      </w:pPr>
    </w:p>
    <w:p w:rsidR="00920083" w:rsidRDefault="006A0506" w:rsidP="00690025">
      <w:pPr>
        <w:spacing w:after="0" w:line="480" w:lineRule="auto"/>
        <w:jc w:val="both"/>
        <w:rPr>
          <w:rFonts w:ascii="Arial" w:hAnsi="Arial" w:cs="Arial"/>
          <w:color w:val="000000"/>
          <w:sz w:val="24"/>
          <w:szCs w:val="24"/>
        </w:rPr>
      </w:pPr>
      <w:r>
        <w:rPr>
          <w:rFonts w:ascii="Arial" w:eastAsia="Times New Roman" w:hAnsi="Arial" w:cs="Arial"/>
          <w:bCs/>
          <w:color w:val="000000"/>
          <w:sz w:val="24"/>
          <w:szCs w:val="24"/>
        </w:rPr>
        <w:t>[23</w:t>
      </w:r>
      <w:r w:rsidR="00DF00DB">
        <w:rPr>
          <w:rFonts w:ascii="Arial" w:eastAsia="Times New Roman" w:hAnsi="Arial" w:cs="Arial"/>
          <w:bCs/>
          <w:color w:val="000000"/>
          <w:sz w:val="24"/>
          <w:szCs w:val="24"/>
        </w:rPr>
        <w:t>]</w:t>
      </w:r>
      <w:r w:rsidR="00DF00DB">
        <w:rPr>
          <w:rFonts w:ascii="Arial" w:eastAsia="Times New Roman" w:hAnsi="Arial" w:cs="Arial"/>
          <w:bCs/>
          <w:color w:val="000000"/>
          <w:sz w:val="24"/>
          <w:szCs w:val="24"/>
        </w:rPr>
        <w:tab/>
      </w:r>
      <w:r w:rsidR="00A74447">
        <w:rPr>
          <w:rFonts w:ascii="Arial" w:eastAsia="Times New Roman" w:hAnsi="Arial" w:cs="Arial"/>
          <w:bCs/>
          <w:color w:val="000000"/>
          <w:sz w:val="24"/>
          <w:szCs w:val="24"/>
        </w:rPr>
        <w:t>T</w:t>
      </w:r>
      <w:r w:rsidR="006F20DD" w:rsidRPr="00920083">
        <w:rPr>
          <w:rFonts w:ascii="Arial" w:eastAsia="Times New Roman" w:hAnsi="Arial" w:cs="Arial"/>
          <w:bCs/>
          <w:color w:val="000000"/>
          <w:sz w:val="24"/>
          <w:szCs w:val="24"/>
        </w:rPr>
        <w:t>he order sought by the app</w:t>
      </w:r>
      <w:r w:rsidR="00A74447">
        <w:rPr>
          <w:rFonts w:ascii="Arial" w:eastAsia="Times New Roman" w:hAnsi="Arial" w:cs="Arial"/>
          <w:bCs/>
          <w:color w:val="000000"/>
          <w:sz w:val="24"/>
          <w:szCs w:val="24"/>
        </w:rPr>
        <w:t>licant will likely</w:t>
      </w:r>
      <w:r w:rsidR="006F20DD" w:rsidRPr="00920083">
        <w:rPr>
          <w:rFonts w:ascii="Arial" w:eastAsia="Times New Roman" w:hAnsi="Arial" w:cs="Arial"/>
          <w:bCs/>
          <w:color w:val="000000"/>
          <w:sz w:val="24"/>
          <w:szCs w:val="24"/>
        </w:rPr>
        <w:t xml:space="preserve"> </w:t>
      </w:r>
      <w:r w:rsidR="006F20DD" w:rsidRPr="00920083">
        <w:rPr>
          <w:rFonts w:ascii="Arial" w:hAnsi="Arial" w:cs="Arial"/>
          <w:color w:val="000000"/>
          <w:sz w:val="24"/>
          <w:szCs w:val="24"/>
        </w:rPr>
        <w:t>affect the interests of third parties.</w:t>
      </w:r>
      <w:r w:rsidR="00920083" w:rsidRPr="00920083">
        <w:rPr>
          <w:rFonts w:ascii="Arial" w:hAnsi="Arial" w:cs="Arial"/>
          <w:color w:val="000000"/>
          <w:sz w:val="24"/>
          <w:szCs w:val="24"/>
        </w:rPr>
        <w:t xml:space="preserve"> As the Supreme Court of Appeal aptly noted in </w:t>
      </w:r>
      <w:r w:rsidR="00920083" w:rsidRPr="00920083">
        <w:rPr>
          <w:rFonts w:ascii="Arial" w:hAnsi="Arial" w:cs="Arial"/>
          <w:i/>
          <w:color w:val="000000"/>
          <w:sz w:val="24"/>
          <w:szCs w:val="24"/>
        </w:rPr>
        <w:t xml:space="preserve">Gordon v Department of Health, </w:t>
      </w:r>
      <w:proofErr w:type="spellStart"/>
      <w:r w:rsidR="00920083" w:rsidRPr="00920083">
        <w:rPr>
          <w:rFonts w:ascii="Arial" w:hAnsi="Arial" w:cs="Arial"/>
          <w:i/>
          <w:color w:val="000000"/>
          <w:sz w:val="24"/>
          <w:szCs w:val="24"/>
        </w:rPr>
        <w:t>Kwazulu</w:t>
      </w:r>
      <w:proofErr w:type="spellEnd"/>
      <w:r w:rsidR="00920083" w:rsidRPr="00920083">
        <w:rPr>
          <w:rFonts w:ascii="Arial" w:hAnsi="Arial" w:cs="Arial"/>
          <w:i/>
          <w:color w:val="000000"/>
          <w:sz w:val="24"/>
          <w:szCs w:val="24"/>
        </w:rPr>
        <w:t xml:space="preserve"> Natal</w:t>
      </w:r>
      <w:r w:rsidR="00920083" w:rsidRPr="00920083">
        <w:rPr>
          <w:rFonts w:ascii="Arial" w:hAnsi="Arial" w:cs="Arial"/>
          <w:color w:val="000000"/>
          <w:sz w:val="24"/>
          <w:szCs w:val="24"/>
        </w:rPr>
        <w:t xml:space="preserve"> 2008 (6) SA 522 (SCA) at paras 9 and 11, that as</w:t>
      </w:r>
      <w:r w:rsidR="003C57D2">
        <w:rPr>
          <w:rFonts w:ascii="Arial" w:hAnsi="Arial" w:cs="Arial"/>
          <w:color w:val="000000"/>
          <w:sz w:val="24"/>
          <w:szCs w:val="24"/>
        </w:rPr>
        <w:t xml:space="preserve"> far as joinder is concerned</w:t>
      </w:r>
      <w:r w:rsidR="00920083" w:rsidRPr="00920083">
        <w:rPr>
          <w:rFonts w:ascii="Arial" w:hAnsi="Arial" w:cs="Arial"/>
          <w:color w:val="000000"/>
          <w:sz w:val="24"/>
          <w:szCs w:val="24"/>
        </w:rPr>
        <w:t xml:space="preserve">, ‘the issue was whether the party sought to be joined had a direct and </w:t>
      </w:r>
      <w:r w:rsidR="00920083" w:rsidRPr="00920083">
        <w:rPr>
          <w:rFonts w:ascii="Arial" w:hAnsi="Arial" w:cs="Arial"/>
          <w:color w:val="000000"/>
          <w:sz w:val="24"/>
          <w:szCs w:val="24"/>
        </w:rPr>
        <w:lastRenderedPageBreak/>
        <w:t xml:space="preserve">substantial interest in the matter. If the judgment or order of the court could not be sustained and carried into effect without necessarily prejudicing the interests of the party who had not been joined, he had a legal interest in the matter and had to be joined.’ </w:t>
      </w:r>
    </w:p>
    <w:p w:rsidR="00920083" w:rsidRPr="00920083" w:rsidRDefault="00920083" w:rsidP="00690025">
      <w:pPr>
        <w:spacing w:after="0" w:line="480" w:lineRule="auto"/>
        <w:jc w:val="both"/>
        <w:rPr>
          <w:rFonts w:ascii="Arial" w:hAnsi="Arial" w:cs="Arial"/>
          <w:color w:val="000000"/>
          <w:sz w:val="24"/>
          <w:szCs w:val="24"/>
        </w:rPr>
      </w:pPr>
    </w:p>
    <w:p w:rsidR="00920083" w:rsidRDefault="006A0506" w:rsidP="00690025">
      <w:pPr>
        <w:spacing w:after="0" w:line="48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[24</w:t>
      </w:r>
      <w:r w:rsidR="00DF00DB">
        <w:rPr>
          <w:rFonts w:ascii="Arial" w:eastAsia="Times New Roman" w:hAnsi="Arial" w:cs="Arial"/>
          <w:bCs/>
          <w:color w:val="000000"/>
          <w:sz w:val="24"/>
          <w:szCs w:val="24"/>
        </w:rPr>
        <w:t>]</w:t>
      </w:r>
      <w:r w:rsidR="00DF00DB">
        <w:rPr>
          <w:rFonts w:ascii="Arial" w:eastAsia="Times New Roman" w:hAnsi="Arial" w:cs="Arial"/>
          <w:bCs/>
          <w:color w:val="000000"/>
          <w:sz w:val="24"/>
          <w:szCs w:val="24"/>
        </w:rPr>
        <w:tab/>
      </w:r>
      <w:r w:rsidR="009F37E0">
        <w:rPr>
          <w:rFonts w:ascii="Arial" w:eastAsia="Times New Roman" w:hAnsi="Arial" w:cs="Arial"/>
          <w:bCs/>
          <w:color w:val="000000"/>
          <w:sz w:val="24"/>
          <w:szCs w:val="24"/>
        </w:rPr>
        <w:t xml:space="preserve">I find it </w:t>
      </w:r>
      <w:r w:rsidR="00F37DF6">
        <w:rPr>
          <w:rFonts w:ascii="Arial" w:eastAsia="Times New Roman" w:hAnsi="Arial" w:cs="Arial"/>
          <w:bCs/>
          <w:color w:val="000000"/>
          <w:sz w:val="24"/>
          <w:szCs w:val="24"/>
        </w:rPr>
        <w:t xml:space="preserve">very </w:t>
      </w:r>
      <w:r w:rsidR="009F37E0">
        <w:rPr>
          <w:rFonts w:ascii="Arial" w:eastAsia="Times New Roman" w:hAnsi="Arial" w:cs="Arial"/>
          <w:bCs/>
          <w:color w:val="000000"/>
          <w:sz w:val="24"/>
          <w:szCs w:val="24"/>
        </w:rPr>
        <w:t xml:space="preserve">strange that the </w:t>
      </w:r>
      <w:r w:rsidR="00F37DF6">
        <w:rPr>
          <w:rFonts w:ascii="Arial" w:eastAsia="Times New Roman" w:hAnsi="Arial" w:cs="Arial"/>
          <w:bCs/>
          <w:color w:val="000000"/>
          <w:sz w:val="24"/>
          <w:szCs w:val="24"/>
        </w:rPr>
        <w:t>deceased</w:t>
      </w:r>
      <w:r w:rsidR="009F37E0">
        <w:rPr>
          <w:rFonts w:ascii="Arial" w:eastAsia="Times New Roman" w:hAnsi="Arial" w:cs="Arial"/>
          <w:bCs/>
          <w:color w:val="000000"/>
          <w:sz w:val="24"/>
          <w:szCs w:val="24"/>
        </w:rPr>
        <w:t xml:space="preserve"> was cited in </w:t>
      </w:r>
      <w:r w:rsidR="004A0318">
        <w:rPr>
          <w:rFonts w:ascii="Arial" w:eastAsia="Times New Roman" w:hAnsi="Arial" w:cs="Arial"/>
          <w:bCs/>
          <w:color w:val="000000"/>
          <w:sz w:val="24"/>
          <w:szCs w:val="24"/>
        </w:rPr>
        <w:t xml:space="preserve">these proceedings in </w:t>
      </w:r>
      <w:r w:rsidR="009F37E0">
        <w:rPr>
          <w:rFonts w:ascii="Arial" w:eastAsia="Times New Roman" w:hAnsi="Arial" w:cs="Arial"/>
          <w:bCs/>
          <w:color w:val="000000"/>
          <w:sz w:val="24"/>
          <w:szCs w:val="24"/>
        </w:rPr>
        <w:t>his personal capacity</w:t>
      </w:r>
      <w:r w:rsidR="003C57D2">
        <w:rPr>
          <w:rFonts w:ascii="Arial" w:eastAsia="Times New Roman" w:hAnsi="Arial" w:cs="Arial"/>
          <w:bCs/>
          <w:color w:val="000000"/>
          <w:sz w:val="24"/>
          <w:szCs w:val="24"/>
        </w:rPr>
        <w:t>,</w:t>
      </w:r>
      <w:r w:rsidR="009F37E0">
        <w:rPr>
          <w:rFonts w:ascii="Arial" w:eastAsia="Times New Roman" w:hAnsi="Arial" w:cs="Arial"/>
          <w:bCs/>
          <w:color w:val="000000"/>
          <w:sz w:val="24"/>
          <w:szCs w:val="24"/>
        </w:rPr>
        <w:t xml:space="preserve"> notwithstanding that at the</w:t>
      </w:r>
      <w:r w:rsidR="00F37DF6">
        <w:rPr>
          <w:rFonts w:ascii="Arial" w:eastAsia="Times New Roman" w:hAnsi="Arial" w:cs="Arial"/>
          <w:bCs/>
          <w:color w:val="000000"/>
          <w:sz w:val="24"/>
          <w:szCs w:val="24"/>
        </w:rPr>
        <w:t xml:space="preserve"> </w:t>
      </w:r>
      <w:r w:rsidR="009F37E0">
        <w:rPr>
          <w:rFonts w:ascii="Arial" w:eastAsia="Times New Roman" w:hAnsi="Arial" w:cs="Arial"/>
          <w:bCs/>
          <w:color w:val="000000"/>
          <w:sz w:val="24"/>
          <w:szCs w:val="24"/>
        </w:rPr>
        <w:t xml:space="preserve">time </w:t>
      </w:r>
      <w:r w:rsidR="004A0318">
        <w:rPr>
          <w:rFonts w:ascii="Arial" w:eastAsia="Times New Roman" w:hAnsi="Arial" w:cs="Arial"/>
          <w:bCs/>
          <w:color w:val="000000"/>
          <w:sz w:val="24"/>
          <w:szCs w:val="24"/>
        </w:rPr>
        <w:t xml:space="preserve">when </w:t>
      </w:r>
      <w:r w:rsidR="009F37E0">
        <w:rPr>
          <w:rFonts w:ascii="Arial" w:eastAsia="Times New Roman" w:hAnsi="Arial" w:cs="Arial"/>
          <w:bCs/>
          <w:color w:val="000000"/>
          <w:sz w:val="24"/>
          <w:szCs w:val="24"/>
        </w:rPr>
        <w:t>this application was launched</w:t>
      </w:r>
      <w:r w:rsidR="001B3CA4">
        <w:rPr>
          <w:rFonts w:ascii="Arial" w:eastAsia="Times New Roman" w:hAnsi="Arial" w:cs="Arial"/>
          <w:bCs/>
          <w:color w:val="000000"/>
          <w:sz w:val="24"/>
          <w:szCs w:val="24"/>
        </w:rPr>
        <w:t>,</w:t>
      </w:r>
      <w:r w:rsidR="009F37E0">
        <w:rPr>
          <w:rFonts w:ascii="Arial" w:eastAsia="Times New Roman" w:hAnsi="Arial" w:cs="Arial"/>
          <w:bCs/>
          <w:color w:val="000000"/>
          <w:sz w:val="24"/>
          <w:szCs w:val="24"/>
        </w:rPr>
        <w:t xml:space="preserve"> the </w:t>
      </w:r>
      <w:r w:rsidR="00F56495">
        <w:rPr>
          <w:rFonts w:ascii="Arial" w:eastAsia="Times New Roman" w:hAnsi="Arial" w:cs="Arial"/>
          <w:bCs/>
          <w:color w:val="000000"/>
          <w:sz w:val="24"/>
          <w:szCs w:val="24"/>
        </w:rPr>
        <w:t xml:space="preserve">second respondent </w:t>
      </w:r>
      <w:r w:rsidR="00A24B1B">
        <w:rPr>
          <w:rFonts w:ascii="Arial" w:eastAsia="Times New Roman" w:hAnsi="Arial" w:cs="Arial"/>
          <w:bCs/>
          <w:color w:val="000000"/>
          <w:sz w:val="24"/>
          <w:szCs w:val="24"/>
        </w:rPr>
        <w:t xml:space="preserve">(the deceased) </w:t>
      </w:r>
      <w:r w:rsidR="00F37DF6">
        <w:rPr>
          <w:rFonts w:ascii="Arial" w:eastAsia="Times New Roman" w:hAnsi="Arial" w:cs="Arial"/>
          <w:bCs/>
          <w:color w:val="000000"/>
          <w:sz w:val="24"/>
          <w:szCs w:val="24"/>
        </w:rPr>
        <w:t xml:space="preserve">was long deceased. </w:t>
      </w:r>
      <w:r w:rsidR="00F218DF">
        <w:rPr>
          <w:rFonts w:ascii="Arial" w:eastAsia="Times New Roman" w:hAnsi="Arial" w:cs="Arial"/>
          <w:bCs/>
          <w:color w:val="000000"/>
          <w:sz w:val="24"/>
          <w:szCs w:val="24"/>
        </w:rPr>
        <w:t xml:space="preserve">In </w:t>
      </w:r>
      <w:r w:rsidR="00354F38">
        <w:rPr>
          <w:rFonts w:ascii="Arial" w:eastAsia="Times New Roman" w:hAnsi="Arial" w:cs="Arial"/>
          <w:bCs/>
          <w:color w:val="000000"/>
          <w:sz w:val="24"/>
          <w:szCs w:val="24"/>
        </w:rPr>
        <w:t xml:space="preserve">my mind, the failure of the applicant to join the executor </w:t>
      </w:r>
      <w:r w:rsidR="00FD6771">
        <w:rPr>
          <w:rFonts w:ascii="Arial" w:eastAsia="Times New Roman" w:hAnsi="Arial" w:cs="Arial"/>
          <w:bCs/>
          <w:color w:val="000000"/>
          <w:sz w:val="24"/>
          <w:szCs w:val="24"/>
        </w:rPr>
        <w:t xml:space="preserve">of the second respondent’s deceased estate is fatal to the applicant’s application and </w:t>
      </w:r>
      <w:r w:rsidR="001F3C63">
        <w:rPr>
          <w:rFonts w:ascii="Arial" w:eastAsia="Times New Roman" w:hAnsi="Arial" w:cs="Arial"/>
          <w:bCs/>
          <w:color w:val="000000"/>
          <w:sz w:val="24"/>
          <w:szCs w:val="24"/>
        </w:rPr>
        <w:t xml:space="preserve">warrants </w:t>
      </w:r>
      <w:r w:rsidR="00A74447">
        <w:rPr>
          <w:rFonts w:ascii="Arial" w:eastAsia="Times New Roman" w:hAnsi="Arial" w:cs="Arial"/>
          <w:bCs/>
          <w:color w:val="000000"/>
          <w:sz w:val="24"/>
          <w:szCs w:val="24"/>
        </w:rPr>
        <w:t xml:space="preserve">the </w:t>
      </w:r>
      <w:r w:rsidR="001F3C63">
        <w:rPr>
          <w:rFonts w:ascii="Arial" w:eastAsia="Times New Roman" w:hAnsi="Arial" w:cs="Arial"/>
          <w:bCs/>
          <w:color w:val="000000"/>
          <w:sz w:val="24"/>
          <w:szCs w:val="24"/>
        </w:rPr>
        <w:t>dismissal of this application.</w:t>
      </w:r>
      <w:r w:rsidR="00132F7E">
        <w:rPr>
          <w:rFonts w:ascii="Arial" w:eastAsia="Times New Roman" w:hAnsi="Arial" w:cs="Arial"/>
          <w:bCs/>
          <w:color w:val="000000"/>
          <w:sz w:val="24"/>
          <w:szCs w:val="24"/>
        </w:rPr>
        <w:t xml:space="preserve"> Even if the applicant succeed</w:t>
      </w:r>
      <w:r w:rsidR="00A74447">
        <w:rPr>
          <w:rFonts w:ascii="Arial" w:eastAsia="Times New Roman" w:hAnsi="Arial" w:cs="Arial"/>
          <w:bCs/>
          <w:color w:val="000000"/>
          <w:sz w:val="24"/>
          <w:szCs w:val="24"/>
        </w:rPr>
        <w:t>ed</w:t>
      </w:r>
      <w:r w:rsidR="00132F7E">
        <w:rPr>
          <w:rFonts w:ascii="Arial" w:eastAsia="Times New Roman" w:hAnsi="Arial" w:cs="Arial"/>
          <w:bCs/>
          <w:color w:val="000000"/>
          <w:sz w:val="24"/>
          <w:szCs w:val="24"/>
        </w:rPr>
        <w:t xml:space="preserve"> in her application</w:t>
      </w:r>
      <w:r w:rsidR="004D1573">
        <w:rPr>
          <w:rFonts w:ascii="Arial" w:eastAsia="Times New Roman" w:hAnsi="Arial" w:cs="Arial"/>
          <w:bCs/>
          <w:color w:val="000000"/>
          <w:sz w:val="24"/>
          <w:szCs w:val="24"/>
        </w:rPr>
        <w:t>, it w</w:t>
      </w:r>
      <w:r w:rsidR="00F56495">
        <w:rPr>
          <w:rFonts w:ascii="Arial" w:eastAsia="Times New Roman" w:hAnsi="Arial" w:cs="Arial"/>
          <w:bCs/>
          <w:color w:val="000000"/>
          <w:sz w:val="24"/>
          <w:szCs w:val="24"/>
        </w:rPr>
        <w:t xml:space="preserve">ould </w:t>
      </w:r>
      <w:r w:rsidR="004D1573">
        <w:rPr>
          <w:rFonts w:ascii="Arial" w:eastAsia="Times New Roman" w:hAnsi="Arial" w:cs="Arial"/>
          <w:bCs/>
          <w:color w:val="000000"/>
          <w:sz w:val="24"/>
          <w:szCs w:val="24"/>
        </w:rPr>
        <w:t xml:space="preserve">be legally </w:t>
      </w:r>
      <w:r w:rsidR="00FD6771">
        <w:rPr>
          <w:rFonts w:ascii="Arial" w:eastAsia="Times New Roman" w:hAnsi="Arial" w:cs="Arial"/>
          <w:bCs/>
          <w:color w:val="000000"/>
          <w:sz w:val="24"/>
          <w:szCs w:val="24"/>
        </w:rPr>
        <w:t>i</w:t>
      </w:r>
      <w:r w:rsidR="004D1573">
        <w:rPr>
          <w:rFonts w:ascii="Arial" w:eastAsia="Times New Roman" w:hAnsi="Arial" w:cs="Arial"/>
          <w:bCs/>
          <w:color w:val="000000"/>
          <w:sz w:val="24"/>
          <w:szCs w:val="24"/>
        </w:rPr>
        <w:t xml:space="preserve">mpermissible </w:t>
      </w:r>
      <w:r w:rsidR="00F11173">
        <w:rPr>
          <w:rFonts w:ascii="Arial" w:eastAsia="Times New Roman" w:hAnsi="Arial" w:cs="Arial"/>
          <w:bCs/>
          <w:color w:val="000000"/>
          <w:sz w:val="24"/>
          <w:szCs w:val="24"/>
        </w:rPr>
        <w:t>for</w:t>
      </w:r>
      <w:r w:rsidR="004D1573">
        <w:rPr>
          <w:rFonts w:ascii="Arial" w:eastAsia="Times New Roman" w:hAnsi="Arial" w:cs="Arial"/>
          <w:bCs/>
          <w:color w:val="000000"/>
          <w:sz w:val="24"/>
          <w:szCs w:val="24"/>
        </w:rPr>
        <w:t xml:space="preserve"> this court </w:t>
      </w:r>
      <w:r w:rsidR="00F11173">
        <w:rPr>
          <w:rFonts w:ascii="Arial" w:eastAsia="Times New Roman" w:hAnsi="Arial" w:cs="Arial"/>
          <w:bCs/>
          <w:color w:val="000000"/>
          <w:sz w:val="24"/>
          <w:szCs w:val="24"/>
        </w:rPr>
        <w:t xml:space="preserve">to </w:t>
      </w:r>
      <w:r w:rsidR="004D1573">
        <w:rPr>
          <w:rFonts w:ascii="Arial" w:eastAsia="Times New Roman" w:hAnsi="Arial" w:cs="Arial"/>
          <w:bCs/>
          <w:color w:val="000000"/>
          <w:sz w:val="24"/>
          <w:szCs w:val="24"/>
        </w:rPr>
        <w:t xml:space="preserve">order that the property be </w:t>
      </w:r>
      <w:r w:rsidR="00F11173">
        <w:rPr>
          <w:rFonts w:ascii="Arial" w:eastAsia="Times New Roman" w:hAnsi="Arial" w:cs="Arial"/>
          <w:bCs/>
          <w:color w:val="000000"/>
          <w:sz w:val="24"/>
          <w:szCs w:val="24"/>
        </w:rPr>
        <w:t>transferred into the name of the second respondent</w:t>
      </w:r>
      <w:r w:rsidR="00F56495">
        <w:rPr>
          <w:rFonts w:ascii="Arial" w:eastAsia="Times New Roman" w:hAnsi="Arial" w:cs="Arial"/>
          <w:bCs/>
          <w:color w:val="000000"/>
          <w:sz w:val="24"/>
          <w:szCs w:val="24"/>
        </w:rPr>
        <w:t>,</w:t>
      </w:r>
      <w:r w:rsidR="00F11173">
        <w:rPr>
          <w:rFonts w:ascii="Arial" w:eastAsia="Times New Roman" w:hAnsi="Arial" w:cs="Arial"/>
          <w:bCs/>
          <w:color w:val="000000"/>
          <w:sz w:val="24"/>
          <w:szCs w:val="24"/>
        </w:rPr>
        <w:t xml:space="preserve"> who has since d</w:t>
      </w:r>
      <w:r w:rsidR="00A24B1B">
        <w:rPr>
          <w:rFonts w:ascii="Arial" w:eastAsia="Times New Roman" w:hAnsi="Arial" w:cs="Arial"/>
          <w:bCs/>
          <w:color w:val="000000"/>
          <w:sz w:val="24"/>
          <w:szCs w:val="24"/>
        </w:rPr>
        <w:t>ied</w:t>
      </w:r>
      <w:r w:rsidR="00F11173">
        <w:rPr>
          <w:rFonts w:ascii="Arial" w:eastAsia="Times New Roman" w:hAnsi="Arial" w:cs="Arial"/>
          <w:bCs/>
          <w:color w:val="000000"/>
          <w:sz w:val="24"/>
          <w:szCs w:val="24"/>
        </w:rPr>
        <w:t xml:space="preserve">. </w:t>
      </w:r>
    </w:p>
    <w:p w:rsidR="00920083" w:rsidRDefault="00920083" w:rsidP="00690025">
      <w:pPr>
        <w:spacing w:after="0" w:line="480" w:lineRule="auto"/>
        <w:jc w:val="both"/>
        <w:rPr>
          <w:rFonts w:ascii="Arial" w:eastAsia="Times New Roman" w:hAnsi="Arial" w:cs="Arial"/>
          <w:bCs/>
          <w:color w:val="000000"/>
          <w:sz w:val="24"/>
          <w:szCs w:val="24"/>
        </w:rPr>
      </w:pPr>
    </w:p>
    <w:p w:rsidR="00920083" w:rsidRDefault="006A0506" w:rsidP="00920083">
      <w:pPr>
        <w:spacing w:after="0" w:line="480" w:lineRule="auto"/>
        <w:jc w:val="both"/>
        <w:rPr>
          <w:rFonts w:ascii="Arial" w:eastAsia="Times New Roman" w:hAnsi="Arial" w:cs="Arial"/>
          <w:sz w:val="24"/>
          <w:szCs w:val="24"/>
          <w:lang w:val="en-US"/>
        </w:rPr>
      </w:pPr>
      <w:r>
        <w:rPr>
          <w:rFonts w:ascii="Arial" w:hAnsi="Arial" w:cs="Arial"/>
          <w:sz w:val="24"/>
          <w:szCs w:val="24"/>
        </w:rPr>
        <w:t>[25</w:t>
      </w:r>
      <w:r w:rsidR="00DF00DB">
        <w:rPr>
          <w:rFonts w:ascii="Arial" w:hAnsi="Arial" w:cs="Arial"/>
          <w:sz w:val="24"/>
          <w:szCs w:val="24"/>
        </w:rPr>
        <w:t>]</w:t>
      </w:r>
      <w:r w:rsidR="00DF00DB">
        <w:rPr>
          <w:rFonts w:ascii="Arial" w:hAnsi="Arial" w:cs="Arial"/>
          <w:sz w:val="24"/>
          <w:szCs w:val="24"/>
        </w:rPr>
        <w:tab/>
      </w:r>
      <w:r w:rsidR="007E4FC0">
        <w:rPr>
          <w:rFonts w:ascii="Arial" w:hAnsi="Arial" w:cs="Arial"/>
          <w:sz w:val="24"/>
          <w:szCs w:val="24"/>
        </w:rPr>
        <w:t>Under normal circumstances,</w:t>
      </w:r>
      <w:r w:rsidR="00920083" w:rsidRPr="006A1BFA">
        <w:rPr>
          <w:rFonts w:ascii="Arial" w:hAnsi="Arial" w:cs="Arial"/>
          <w:sz w:val="24"/>
          <w:szCs w:val="24"/>
        </w:rPr>
        <w:t xml:space="preserve"> this finding would </w:t>
      </w:r>
      <w:r w:rsidR="00920083">
        <w:rPr>
          <w:rFonts w:ascii="Arial" w:hAnsi="Arial" w:cs="Arial"/>
          <w:sz w:val="24"/>
          <w:szCs w:val="24"/>
        </w:rPr>
        <w:t xml:space="preserve">lead to </w:t>
      </w:r>
      <w:r w:rsidR="00920083" w:rsidRPr="006A1BFA">
        <w:rPr>
          <w:rFonts w:ascii="Arial" w:hAnsi="Arial" w:cs="Arial"/>
          <w:sz w:val="24"/>
          <w:szCs w:val="24"/>
        </w:rPr>
        <w:t>the end of the dispute</w:t>
      </w:r>
      <w:r w:rsidR="00F56495">
        <w:rPr>
          <w:rFonts w:ascii="Arial" w:hAnsi="Arial" w:cs="Arial"/>
          <w:sz w:val="24"/>
          <w:szCs w:val="24"/>
        </w:rPr>
        <w:t>.</w:t>
      </w:r>
      <w:r w:rsidR="00920083" w:rsidRPr="006A1BFA">
        <w:rPr>
          <w:rFonts w:ascii="Arial" w:hAnsi="Arial" w:cs="Arial"/>
          <w:sz w:val="24"/>
          <w:szCs w:val="24"/>
        </w:rPr>
        <w:t xml:space="preserve"> </w:t>
      </w:r>
      <w:r w:rsidR="00F56495">
        <w:rPr>
          <w:rFonts w:ascii="Arial" w:hAnsi="Arial" w:cs="Arial"/>
          <w:sz w:val="24"/>
          <w:szCs w:val="24"/>
        </w:rPr>
        <w:t>H</w:t>
      </w:r>
      <w:r w:rsidR="00920083" w:rsidRPr="006A1BFA">
        <w:rPr>
          <w:rFonts w:ascii="Arial" w:hAnsi="Arial" w:cs="Arial"/>
          <w:sz w:val="24"/>
          <w:szCs w:val="24"/>
        </w:rPr>
        <w:t>owever</w:t>
      </w:r>
      <w:r w:rsidR="00920083">
        <w:rPr>
          <w:rFonts w:ascii="Arial" w:hAnsi="Arial" w:cs="Arial"/>
          <w:sz w:val="24"/>
          <w:szCs w:val="24"/>
        </w:rPr>
        <w:t>,</w:t>
      </w:r>
      <w:r w:rsidR="00920083" w:rsidRPr="006A1BFA">
        <w:rPr>
          <w:rFonts w:ascii="Arial" w:hAnsi="Arial" w:cs="Arial"/>
          <w:sz w:val="24"/>
          <w:szCs w:val="24"/>
        </w:rPr>
        <w:t xml:space="preserve"> I deem </w:t>
      </w:r>
      <w:r w:rsidR="00444F81">
        <w:rPr>
          <w:rFonts w:ascii="Arial" w:hAnsi="Arial" w:cs="Arial"/>
          <w:sz w:val="24"/>
          <w:szCs w:val="24"/>
        </w:rPr>
        <w:t xml:space="preserve">it prudent to consider </w:t>
      </w:r>
      <w:r w:rsidR="00920083" w:rsidRPr="006A1BFA">
        <w:rPr>
          <w:rFonts w:ascii="Arial" w:hAnsi="Arial" w:cs="Arial"/>
          <w:sz w:val="24"/>
          <w:szCs w:val="24"/>
        </w:rPr>
        <w:t xml:space="preserve">the matter on </w:t>
      </w:r>
      <w:r w:rsidR="00F56495">
        <w:rPr>
          <w:rFonts w:ascii="Arial" w:hAnsi="Arial" w:cs="Arial"/>
          <w:sz w:val="24"/>
          <w:szCs w:val="24"/>
        </w:rPr>
        <w:t>its</w:t>
      </w:r>
      <w:r w:rsidR="00920083" w:rsidRPr="006A1BFA">
        <w:rPr>
          <w:rFonts w:ascii="Arial" w:hAnsi="Arial" w:cs="Arial"/>
          <w:sz w:val="24"/>
          <w:szCs w:val="24"/>
        </w:rPr>
        <w:t xml:space="preserve"> merits. </w:t>
      </w:r>
      <w:r w:rsidR="007E4FC0">
        <w:rPr>
          <w:rFonts w:ascii="Arial" w:hAnsi="Arial" w:cs="Arial"/>
          <w:sz w:val="24"/>
          <w:szCs w:val="24"/>
        </w:rPr>
        <w:t>This approach</w:t>
      </w:r>
      <w:r w:rsidR="00F56495">
        <w:rPr>
          <w:rFonts w:ascii="Arial" w:hAnsi="Arial" w:cs="Arial"/>
          <w:sz w:val="24"/>
          <w:szCs w:val="24"/>
        </w:rPr>
        <w:t>,</w:t>
      </w:r>
      <w:r w:rsidR="007E4FC0">
        <w:rPr>
          <w:rFonts w:ascii="Arial" w:hAnsi="Arial" w:cs="Arial"/>
          <w:sz w:val="24"/>
          <w:szCs w:val="24"/>
        </w:rPr>
        <w:t xml:space="preserve"> in my view</w:t>
      </w:r>
      <w:r w:rsidR="00F56495">
        <w:rPr>
          <w:rFonts w:ascii="Arial" w:hAnsi="Arial" w:cs="Arial"/>
          <w:sz w:val="24"/>
          <w:szCs w:val="24"/>
        </w:rPr>
        <w:t>,</w:t>
      </w:r>
      <w:r w:rsidR="007E4FC0">
        <w:rPr>
          <w:rFonts w:ascii="Arial" w:hAnsi="Arial" w:cs="Arial"/>
          <w:sz w:val="24"/>
          <w:szCs w:val="24"/>
        </w:rPr>
        <w:t xml:space="preserve"> </w:t>
      </w:r>
      <w:r w:rsidR="00920083" w:rsidRPr="006A1BFA">
        <w:rPr>
          <w:rFonts w:ascii="Arial" w:eastAsia="Times New Roman" w:hAnsi="Arial" w:cs="Arial"/>
          <w:sz w:val="24"/>
          <w:szCs w:val="24"/>
          <w:lang w:val="en-US"/>
        </w:rPr>
        <w:t xml:space="preserve">conforms with </w:t>
      </w:r>
      <w:r w:rsidR="00920083">
        <w:rPr>
          <w:rFonts w:ascii="Arial" w:eastAsia="Times New Roman" w:hAnsi="Arial" w:cs="Arial"/>
          <w:sz w:val="24"/>
          <w:szCs w:val="24"/>
          <w:lang w:val="en-US"/>
        </w:rPr>
        <w:t xml:space="preserve">the </w:t>
      </w:r>
      <w:r w:rsidR="00920083" w:rsidRPr="006A1BFA">
        <w:rPr>
          <w:rFonts w:ascii="Arial" w:eastAsia="Times New Roman" w:hAnsi="Arial" w:cs="Arial"/>
          <w:sz w:val="24"/>
          <w:szCs w:val="24"/>
          <w:lang w:val="en-US"/>
        </w:rPr>
        <w:t>Constitutional Cour</w:t>
      </w:r>
      <w:r w:rsidR="00920083">
        <w:rPr>
          <w:rFonts w:ascii="Arial" w:eastAsia="Times New Roman" w:hAnsi="Arial" w:cs="Arial"/>
          <w:sz w:val="24"/>
          <w:szCs w:val="24"/>
          <w:lang w:val="en-US"/>
        </w:rPr>
        <w:t xml:space="preserve">t’s guidance provided by </w:t>
      </w:r>
      <w:proofErr w:type="spellStart"/>
      <w:r w:rsidR="00920083">
        <w:rPr>
          <w:rFonts w:ascii="Arial" w:eastAsia="Times New Roman" w:hAnsi="Arial" w:cs="Arial"/>
          <w:sz w:val="24"/>
          <w:szCs w:val="24"/>
          <w:lang w:val="en-US"/>
        </w:rPr>
        <w:t>Ngcobo</w:t>
      </w:r>
      <w:proofErr w:type="spellEnd"/>
      <w:r w:rsidR="00920083">
        <w:rPr>
          <w:rFonts w:ascii="Arial" w:eastAsia="Times New Roman" w:hAnsi="Arial" w:cs="Arial"/>
          <w:sz w:val="24"/>
          <w:szCs w:val="24"/>
          <w:lang w:val="en-US"/>
        </w:rPr>
        <w:t xml:space="preserve"> J</w:t>
      </w:r>
      <w:r w:rsidR="00920083" w:rsidRPr="006A1BFA">
        <w:rPr>
          <w:rFonts w:ascii="Arial" w:eastAsia="Times New Roman" w:hAnsi="Arial" w:cs="Arial"/>
          <w:sz w:val="24"/>
          <w:szCs w:val="24"/>
          <w:lang w:val="en-US"/>
        </w:rPr>
        <w:t xml:space="preserve"> in </w:t>
      </w:r>
      <w:r w:rsidR="00920083" w:rsidRPr="006A1BFA">
        <w:rPr>
          <w:rFonts w:ascii="Arial" w:eastAsia="Times New Roman" w:hAnsi="Arial" w:cs="Arial"/>
          <w:i/>
          <w:iCs/>
          <w:sz w:val="24"/>
          <w:szCs w:val="24"/>
          <w:lang w:val="en-US"/>
        </w:rPr>
        <w:t>S v Jordan &amp; Others (Sex Workers Education and Advocacy Task Force and Others as Amici Curiae)</w:t>
      </w:r>
      <w:r w:rsidR="00920083" w:rsidRPr="006A1BFA">
        <w:rPr>
          <w:rFonts w:ascii="Arial" w:eastAsia="Times New Roman" w:hAnsi="Arial" w:cs="Arial"/>
          <w:sz w:val="24"/>
          <w:szCs w:val="24"/>
          <w:lang w:val="en-US"/>
        </w:rPr>
        <w:t xml:space="preserve"> </w:t>
      </w:r>
      <w:r w:rsidR="00920083">
        <w:rPr>
          <w:rFonts w:ascii="Arial" w:eastAsia="Times New Roman" w:hAnsi="Arial" w:cs="Arial"/>
          <w:sz w:val="24"/>
          <w:szCs w:val="24"/>
          <w:lang w:val="en-US"/>
        </w:rPr>
        <w:t xml:space="preserve">2002 (6) SA 652 (CC) at para 21; See also </w:t>
      </w:r>
      <w:bookmarkStart w:id="1" w:name="0-0-0-18191"/>
      <w:bookmarkEnd w:id="1"/>
      <w:r w:rsidR="00920083" w:rsidRPr="00006862">
        <w:rPr>
          <w:rFonts w:ascii="Arial" w:eastAsia="Times New Roman" w:hAnsi="Arial" w:cs="Arial"/>
          <w:i/>
          <w:sz w:val="24"/>
          <w:szCs w:val="24"/>
          <w:lang w:val="en-US"/>
        </w:rPr>
        <w:t>Minister of Justice and Another v SA Restructuring and Insolvency Practitioners Association and Others</w:t>
      </w:r>
      <w:r w:rsidR="00920083">
        <w:rPr>
          <w:rFonts w:ascii="Arial" w:eastAsia="Times New Roman" w:hAnsi="Arial" w:cs="Arial"/>
          <w:sz w:val="24"/>
          <w:szCs w:val="24"/>
          <w:lang w:val="en-US"/>
        </w:rPr>
        <w:t xml:space="preserve"> 2017 (3) SA 95 (SCA) at para 38. </w:t>
      </w:r>
      <w:r w:rsidR="007E4FC0">
        <w:rPr>
          <w:rFonts w:ascii="Arial" w:eastAsia="Times New Roman" w:hAnsi="Arial" w:cs="Arial"/>
          <w:sz w:val="24"/>
          <w:szCs w:val="24"/>
          <w:lang w:val="en-US"/>
        </w:rPr>
        <w:t>To my mind, this approach ensures that all the disputed issues raised by the parties in this court are ventilated. I</w:t>
      </w:r>
      <w:r w:rsidR="00A24B1B">
        <w:rPr>
          <w:rFonts w:ascii="Arial" w:eastAsia="Times New Roman" w:hAnsi="Arial" w:cs="Arial"/>
          <w:sz w:val="24"/>
          <w:szCs w:val="24"/>
          <w:lang w:val="en-US"/>
        </w:rPr>
        <w:t>t is that approach that I will follow in this matter</w:t>
      </w:r>
      <w:r w:rsidR="007E4FC0">
        <w:rPr>
          <w:rFonts w:ascii="Arial" w:eastAsia="Times New Roman" w:hAnsi="Arial" w:cs="Arial"/>
          <w:sz w:val="24"/>
          <w:szCs w:val="24"/>
          <w:lang w:val="en-US"/>
        </w:rPr>
        <w:t xml:space="preserve">. </w:t>
      </w:r>
    </w:p>
    <w:p w:rsidR="00A74447" w:rsidRDefault="00A74447" w:rsidP="00432F2C">
      <w:pPr>
        <w:autoSpaceDE w:val="0"/>
        <w:autoSpaceDN w:val="0"/>
        <w:adjustRightInd w:val="0"/>
        <w:spacing w:after="0" w:line="480" w:lineRule="auto"/>
        <w:jc w:val="both"/>
        <w:rPr>
          <w:rFonts w:ascii="Arial" w:eastAsia="Times New Roman" w:hAnsi="Arial" w:cs="Arial"/>
          <w:b/>
          <w:color w:val="000000"/>
          <w:sz w:val="24"/>
          <w:szCs w:val="24"/>
        </w:rPr>
      </w:pPr>
    </w:p>
    <w:p w:rsidR="00A74447" w:rsidRDefault="00A74447" w:rsidP="00432F2C">
      <w:pPr>
        <w:autoSpaceDE w:val="0"/>
        <w:autoSpaceDN w:val="0"/>
        <w:adjustRightInd w:val="0"/>
        <w:spacing w:after="0" w:line="480" w:lineRule="auto"/>
        <w:jc w:val="both"/>
        <w:rPr>
          <w:rFonts w:ascii="Arial" w:eastAsia="Times New Roman" w:hAnsi="Arial" w:cs="Arial"/>
          <w:b/>
          <w:color w:val="000000"/>
          <w:sz w:val="24"/>
          <w:szCs w:val="24"/>
        </w:rPr>
      </w:pPr>
    </w:p>
    <w:p w:rsidR="00446CAC" w:rsidRDefault="00DD0F67" w:rsidP="00432F2C">
      <w:pPr>
        <w:autoSpaceDE w:val="0"/>
        <w:autoSpaceDN w:val="0"/>
        <w:adjustRightInd w:val="0"/>
        <w:spacing w:after="0" w:line="480" w:lineRule="auto"/>
        <w:jc w:val="both"/>
        <w:rPr>
          <w:rFonts w:ascii="Arial" w:eastAsia="Times New Roman" w:hAnsi="Arial" w:cs="Arial"/>
          <w:b/>
          <w:color w:val="000000"/>
          <w:sz w:val="24"/>
          <w:szCs w:val="24"/>
        </w:rPr>
      </w:pPr>
      <w:r w:rsidRPr="00892320">
        <w:rPr>
          <w:rFonts w:ascii="Arial" w:eastAsia="Times New Roman" w:hAnsi="Arial" w:cs="Arial"/>
          <w:b/>
          <w:color w:val="000000"/>
          <w:sz w:val="24"/>
          <w:szCs w:val="24"/>
        </w:rPr>
        <w:lastRenderedPageBreak/>
        <w:t xml:space="preserve">PRINCIPAL SUBMISSIONS </w:t>
      </w:r>
      <w:r w:rsidR="004A0318">
        <w:rPr>
          <w:rFonts w:ascii="Arial" w:eastAsia="Times New Roman" w:hAnsi="Arial" w:cs="Arial"/>
          <w:b/>
          <w:color w:val="000000"/>
          <w:sz w:val="24"/>
          <w:szCs w:val="24"/>
        </w:rPr>
        <w:t xml:space="preserve">OF </w:t>
      </w:r>
      <w:r w:rsidRPr="00892320">
        <w:rPr>
          <w:rFonts w:ascii="Arial" w:eastAsia="Times New Roman" w:hAnsi="Arial" w:cs="Arial"/>
          <w:b/>
          <w:color w:val="000000"/>
          <w:sz w:val="24"/>
          <w:szCs w:val="24"/>
        </w:rPr>
        <w:t>THE PARTIES</w:t>
      </w:r>
      <w:r w:rsidR="004A0318">
        <w:rPr>
          <w:rFonts w:ascii="Arial" w:eastAsia="Times New Roman" w:hAnsi="Arial" w:cs="Arial"/>
          <w:b/>
          <w:color w:val="000000"/>
          <w:sz w:val="24"/>
          <w:szCs w:val="24"/>
        </w:rPr>
        <w:t xml:space="preserve"> ON THE MERITS</w:t>
      </w:r>
    </w:p>
    <w:p w:rsidR="001B5624" w:rsidRDefault="001B5624" w:rsidP="00432F2C">
      <w:pPr>
        <w:autoSpaceDE w:val="0"/>
        <w:autoSpaceDN w:val="0"/>
        <w:adjustRightInd w:val="0"/>
        <w:spacing w:after="0" w:line="480" w:lineRule="auto"/>
        <w:jc w:val="both"/>
        <w:rPr>
          <w:rFonts w:ascii="Arial" w:eastAsia="Times New Roman" w:hAnsi="Arial" w:cs="Arial"/>
          <w:bCs/>
          <w:color w:val="000000"/>
          <w:sz w:val="24"/>
          <w:szCs w:val="24"/>
        </w:rPr>
      </w:pPr>
    </w:p>
    <w:p w:rsidR="00623075" w:rsidRDefault="006A0506" w:rsidP="00432F2C">
      <w:pPr>
        <w:autoSpaceDE w:val="0"/>
        <w:autoSpaceDN w:val="0"/>
        <w:adjustRightInd w:val="0"/>
        <w:spacing w:after="0" w:line="48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[26</w:t>
      </w:r>
      <w:r w:rsidR="00DF00DB">
        <w:rPr>
          <w:rFonts w:ascii="Arial" w:eastAsia="Times New Roman" w:hAnsi="Arial" w:cs="Arial"/>
          <w:bCs/>
          <w:color w:val="000000"/>
          <w:sz w:val="24"/>
          <w:szCs w:val="24"/>
        </w:rPr>
        <w:t>]</w:t>
      </w:r>
      <w:r w:rsidR="00DF00DB">
        <w:rPr>
          <w:rFonts w:ascii="Arial" w:eastAsia="Times New Roman" w:hAnsi="Arial" w:cs="Arial"/>
          <w:bCs/>
          <w:color w:val="000000"/>
          <w:sz w:val="24"/>
          <w:szCs w:val="24"/>
        </w:rPr>
        <w:tab/>
      </w:r>
      <w:r w:rsidR="00096E85">
        <w:rPr>
          <w:rFonts w:ascii="Arial" w:eastAsia="Times New Roman" w:hAnsi="Arial" w:cs="Arial"/>
          <w:bCs/>
          <w:color w:val="000000"/>
          <w:sz w:val="24"/>
          <w:szCs w:val="24"/>
        </w:rPr>
        <w:t xml:space="preserve">Before I </w:t>
      </w:r>
      <w:r w:rsidR="00BC290D">
        <w:rPr>
          <w:rFonts w:ascii="Arial" w:eastAsia="Times New Roman" w:hAnsi="Arial" w:cs="Arial"/>
          <w:bCs/>
          <w:color w:val="000000"/>
          <w:sz w:val="24"/>
          <w:szCs w:val="24"/>
        </w:rPr>
        <w:t xml:space="preserve">briefly describe </w:t>
      </w:r>
      <w:r w:rsidR="001B5624">
        <w:rPr>
          <w:rFonts w:ascii="Arial" w:eastAsia="Times New Roman" w:hAnsi="Arial" w:cs="Arial"/>
          <w:bCs/>
          <w:color w:val="000000"/>
          <w:sz w:val="24"/>
          <w:szCs w:val="24"/>
        </w:rPr>
        <w:t>the</w:t>
      </w:r>
      <w:r w:rsidR="00BC290D">
        <w:rPr>
          <w:rFonts w:ascii="Arial" w:eastAsia="Times New Roman" w:hAnsi="Arial" w:cs="Arial"/>
          <w:bCs/>
          <w:color w:val="000000"/>
          <w:sz w:val="24"/>
          <w:szCs w:val="24"/>
        </w:rPr>
        <w:t xml:space="preserve"> </w:t>
      </w:r>
      <w:r w:rsidR="00F56495">
        <w:rPr>
          <w:rFonts w:ascii="Arial" w:eastAsia="Times New Roman" w:hAnsi="Arial" w:cs="Arial"/>
          <w:bCs/>
          <w:color w:val="000000"/>
          <w:sz w:val="24"/>
          <w:szCs w:val="24"/>
        </w:rPr>
        <w:t xml:space="preserve">parties’ </w:t>
      </w:r>
      <w:r w:rsidR="00BC290D">
        <w:rPr>
          <w:rFonts w:ascii="Arial" w:eastAsia="Times New Roman" w:hAnsi="Arial" w:cs="Arial"/>
          <w:bCs/>
          <w:color w:val="000000"/>
          <w:sz w:val="24"/>
          <w:szCs w:val="24"/>
        </w:rPr>
        <w:t xml:space="preserve">submissions on the merits, </w:t>
      </w:r>
      <w:r w:rsidR="00A00A44">
        <w:rPr>
          <w:rFonts w:ascii="Arial" w:eastAsia="Times New Roman" w:hAnsi="Arial" w:cs="Arial"/>
          <w:bCs/>
          <w:color w:val="000000"/>
          <w:sz w:val="24"/>
          <w:szCs w:val="24"/>
        </w:rPr>
        <w:t xml:space="preserve">I deem it expedient to set out the wording of the relevant statutory enactment relied </w:t>
      </w:r>
      <w:r w:rsidR="001B5624">
        <w:rPr>
          <w:rFonts w:ascii="Arial" w:eastAsia="Times New Roman" w:hAnsi="Arial" w:cs="Arial"/>
          <w:bCs/>
          <w:color w:val="000000"/>
          <w:sz w:val="24"/>
          <w:szCs w:val="24"/>
        </w:rPr>
        <w:t xml:space="preserve">upon by the parties. </w:t>
      </w:r>
      <w:r w:rsidR="003A6157">
        <w:rPr>
          <w:rFonts w:ascii="Arial" w:eastAsia="Times New Roman" w:hAnsi="Arial" w:cs="Arial"/>
          <w:bCs/>
          <w:color w:val="000000"/>
          <w:sz w:val="24"/>
          <w:szCs w:val="24"/>
        </w:rPr>
        <w:t xml:space="preserve">The applicant relies on section </w:t>
      </w:r>
      <w:r w:rsidR="000013F2">
        <w:rPr>
          <w:rFonts w:ascii="Arial" w:eastAsia="Times New Roman" w:hAnsi="Arial" w:cs="Arial"/>
          <w:bCs/>
          <w:color w:val="000000"/>
          <w:sz w:val="24"/>
          <w:szCs w:val="24"/>
        </w:rPr>
        <w:t>15</w:t>
      </w:r>
      <w:r w:rsidR="006B055D">
        <w:rPr>
          <w:rFonts w:ascii="Arial" w:eastAsia="Times New Roman" w:hAnsi="Arial" w:cs="Arial"/>
          <w:bCs/>
          <w:color w:val="000000"/>
          <w:sz w:val="24"/>
          <w:szCs w:val="24"/>
        </w:rPr>
        <w:t>(2)(a)</w:t>
      </w:r>
      <w:r w:rsidR="000013F2">
        <w:rPr>
          <w:rFonts w:ascii="Arial" w:eastAsia="Times New Roman" w:hAnsi="Arial" w:cs="Arial"/>
          <w:bCs/>
          <w:color w:val="000000"/>
          <w:sz w:val="24"/>
          <w:szCs w:val="24"/>
        </w:rPr>
        <w:t xml:space="preserve"> of the Matrimonial Property Act </w:t>
      </w:r>
      <w:r w:rsidR="00FD6FFF">
        <w:rPr>
          <w:rFonts w:ascii="Arial" w:eastAsia="Times New Roman" w:hAnsi="Arial" w:cs="Arial"/>
          <w:bCs/>
          <w:color w:val="000000"/>
          <w:sz w:val="24"/>
          <w:szCs w:val="24"/>
        </w:rPr>
        <w:t>88 of 1984</w:t>
      </w:r>
      <w:r w:rsidR="00F56495">
        <w:rPr>
          <w:rFonts w:ascii="Arial" w:eastAsia="Times New Roman" w:hAnsi="Arial" w:cs="Arial"/>
          <w:bCs/>
          <w:color w:val="000000"/>
          <w:sz w:val="24"/>
          <w:szCs w:val="24"/>
        </w:rPr>
        <w:t>,</w:t>
      </w:r>
      <w:r w:rsidR="003A6157">
        <w:rPr>
          <w:rFonts w:ascii="Arial" w:eastAsia="Times New Roman" w:hAnsi="Arial" w:cs="Arial"/>
          <w:bCs/>
          <w:color w:val="000000"/>
          <w:sz w:val="24"/>
          <w:szCs w:val="24"/>
        </w:rPr>
        <w:t xml:space="preserve"> </w:t>
      </w:r>
      <w:r w:rsidR="006A1B03">
        <w:rPr>
          <w:rFonts w:ascii="Arial" w:eastAsia="Times New Roman" w:hAnsi="Arial" w:cs="Arial"/>
          <w:bCs/>
          <w:color w:val="000000"/>
          <w:sz w:val="24"/>
          <w:szCs w:val="24"/>
        </w:rPr>
        <w:t>which provides</w:t>
      </w:r>
      <w:r w:rsidR="00FD6FFF">
        <w:rPr>
          <w:rFonts w:ascii="Arial" w:eastAsia="Times New Roman" w:hAnsi="Arial" w:cs="Arial"/>
          <w:bCs/>
          <w:color w:val="000000"/>
          <w:sz w:val="24"/>
          <w:szCs w:val="24"/>
        </w:rPr>
        <w:t xml:space="preserve"> as follows: </w:t>
      </w:r>
    </w:p>
    <w:p w:rsidR="00FD6FFF" w:rsidRPr="00395472" w:rsidRDefault="00395472" w:rsidP="00395472">
      <w:pPr>
        <w:autoSpaceDE w:val="0"/>
        <w:autoSpaceDN w:val="0"/>
        <w:adjustRightInd w:val="0"/>
        <w:spacing w:after="0" w:line="360" w:lineRule="auto"/>
        <w:ind w:left="720"/>
        <w:jc w:val="both"/>
        <w:rPr>
          <w:rFonts w:ascii="Arial" w:hAnsi="Arial" w:cs="Arial"/>
        </w:rPr>
      </w:pPr>
      <w:r w:rsidRPr="00395472">
        <w:rPr>
          <w:rFonts w:ascii="Arial" w:hAnsi="Arial" w:cs="Arial"/>
        </w:rPr>
        <w:t>“</w:t>
      </w:r>
      <w:r w:rsidR="003E48C2" w:rsidRPr="00395472">
        <w:rPr>
          <w:rFonts w:ascii="Arial" w:hAnsi="Arial" w:cs="Arial"/>
        </w:rPr>
        <w:t xml:space="preserve">(1) Subject to the provisions of subsections (2), (3) and (7), a spouse in a marriage in community of property may perform any juristic act with regard to the joint estate without the consent of the other spouse. </w:t>
      </w:r>
    </w:p>
    <w:p w:rsidR="00A267BB" w:rsidRDefault="003E48C2" w:rsidP="00395472">
      <w:pPr>
        <w:autoSpaceDE w:val="0"/>
        <w:autoSpaceDN w:val="0"/>
        <w:adjustRightInd w:val="0"/>
        <w:spacing w:after="0" w:line="360" w:lineRule="auto"/>
        <w:ind w:left="720"/>
        <w:jc w:val="both"/>
        <w:rPr>
          <w:rFonts w:ascii="Arial" w:hAnsi="Arial" w:cs="Arial"/>
        </w:rPr>
      </w:pPr>
      <w:r w:rsidRPr="00395472">
        <w:rPr>
          <w:rFonts w:ascii="Arial" w:hAnsi="Arial" w:cs="Arial"/>
        </w:rPr>
        <w:t xml:space="preserve">(2) Such a spouse shall not without the written consent of the other spouse – </w:t>
      </w:r>
    </w:p>
    <w:p w:rsidR="002E357D" w:rsidRPr="00395472" w:rsidRDefault="003E48C2" w:rsidP="00395472">
      <w:pPr>
        <w:autoSpaceDE w:val="0"/>
        <w:autoSpaceDN w:val="0"/>
        <w:adjustRightInd w:val="0"/>
        <w:spacing w:after="0" w:line="360" w:lineRule="auto"/>
        <w:ind w:left="720"/>
        <w:jc w:val="both"/>
        <w:rPr>
          <w:rFonts w:ascii="Arial" w:hAnsi="Arial" w:cs="Arial"/>
        </w:rPr>
      </w:pPr>
      <w:r w:rsidRPr="00395472">
        <w:rPr>
          <w:rFonts w:ascii="Arial" w:hAnsi="Arial" w:cs="Arial"/>
        </w:rPr>
        <w:t>(a) alienate, mortgage, burden with a servitude or confer any other real right in any immovable property forming part of the joint estate;</w:t>
      </w:r>
      <w:r w:rsidR="002E357D" w:rsidRPr="00395472">
        <w:rPr>
          <w:rFonts w:ascii="Arial" w:hAnsi="Arial" w:cs="Arial"/>
        </w:rPr>
        <w:t xml:space="preserve"> </w:t>
      </w:r>
    </w:p>
    <w:p w:rsidR="004200D0" w:rsidRDefault="002E357D" w:rsidP="00395472">
      <w:pPr>
        <w:autoSpaceDE w:val="0"/>
        <w:autoSpaceDN w:val="0"/>
        <w:adjustRightInd w:val="0"/>
        <w:spacing w:after="0" w:line="360" w:lineRule="auto"/>
        <w:ind w:left="720"/>
        <w:jc w:val="both"/>
        <w:rPr>
          <w:rFonts w:ascii="Arial" w:hAnsi="Arial" w:cs="Arial"/>
        </w:rPr>
      </w:pPr>
      <w:r w:rsidRPr="00395472">
        <w:rPr>
          <w:rFonts w:ascii="Arial" w:hAnsi="Arial" w:cs="Arial"/>
        </w:rPr>
        <w:t>(b) enter into any contract for the alienation, mortgaging, burdening with a servitude or conferring of any other real right in immovable property forming part of the joint estate</w:t>
      </w:r>
      <w:r w:rsidR="00F56495">
        <w:rPr>
          <w:rFonts w:ascii="Arial" w:hAnsi="Arial" w:cs="Arial"/>
        </w:rPr>
        <w:t>.</w:t>
      </w:r>
      <w:r w:rsidR="00395472" w:rsidRPr="00395472">
        <w:rPr>
          <w:rFonts w:ascii="Arial" w:hAnsi="Arial" w:cs="Arial"/>
        </w:rPr>
        <w:t>”</w:t>
      </w:r>
    </w:p>
    <w:p w:rsidR="00010810" w:rsidRDefault="00010810" w:rsidP="006A1B03">
      <w:pPr>
        <w:autoSpaceDE w:val="0"/>
        <w:autoSpaceDN w:val="0"/>
        <w:adjustRightInd w:val="0"/>
        <w:spacing w:after="0" w:line="360" w:lineRule="auto"/>
        <w:jc w:val="both"/>
        <w:rPr>
          <w:rFonts w:ascii="Arial" w:hAnsi="Arial" w:cs="Arial"/>
        </w:rPr>
      </w:pPr>
    </w:p>
    <w:p w:rsidR="006A1B03" w:rsidRPr="00FD6771" w:rsidRDefault="006A0506" w:rsidP="006A1B03">
      <w:pPr>
        <w:autoSpaceDE w:val="0"/>
        <w:autoSpaceDN w:val="0"/>
        <w:adjustRightInd w:val="0"/>
        <w:spacing w:after="0" w:line="360" w:lineRule="auto"/>
        <w:jc w:val="both"/>
        <w:rPr>
          <w:rFonts w:ascii="Arial" w:hAnsi="Arial" w:cs="Arial"/>
          <w:sz w:val="24"/>
          <w:szCs w:val="24"/>
        </w:rPr>
      </w:pPr>
      <w:r>
        <w:rPr>
          <w:rFonts w:ascii="Arial" w:hAnsi="Arial" w:cs="Arial"/>
          <w:sz w:val="24"/>
          <w:szCs w:val="24"/>
        </w:rPr>
        <w:t>[27</w:t>
      </w:r>
      <w:r w:rsidR="00DF00DB" w:rsidRPr="00FD6771">
        <w:rPr>
          <w:rFonts w:ascii="Arial" w:hAnsi="Arial" w:cs="Arial"/>
          <w:sz w:val="24"/>
          <w:szCs w:val="24"/>
        </w:rPr>
        <w:t>]</w:t>
      </w:r>
      <w:r w:rsidR="00DF00DB" w:rsidRPr="00FD6771">
        <w:rPr>
          <w:rFonts w:ascii="Arial" w:hAnsi="Arial" w:cs="Arial"/>
          <w:sz w:val="24"/>
          <w:szCs w:val="24"/>
        </w:rPr>
        <w:tab/>
      </w:r>
      <w:r w:rsidR="00402FA1" w:rsidRPr="00FD6771">
        <w:rPr>
          <w:rFonts w:ascii="Arial" w:hAnsi="Arial" w:cs="Arial"/>
          <w:sz w:val="24"/>
          <w:szCs w:val="24"/>
        </w:rPr>
        <w:t>Meanwhile</w:t>
      </w:r>
      <w:r w:rsidR="00F56495" w:rsidRPr="00FD6771">
        <w:rPr>
          <w:rFonts w:ascii="Arial" w:hAnsi="Arial" w:cs="Arial"/>
          <w:sz w:val="24"/>
          <w:szCs w:val="24"/>
        </w:rPr>
        <w:t>,</w:t>
      </w:r>
      <w:r w:rsidR="00402FA1" w:rsidRPr="00FD6771">
        <w:rPr>
          <w:rFonts w:ascii="Arial" w:hAnsi="Arial" w:cs="Arial"/>
          <w:sz w:val="24"/>
          <w:szCs w:val="24"/>
        </w:rPr>
        <w:t xml:space="preserve"> </w:t>
      </w:r>
      <w:r w:rsidR="00FD4F55" w:rsidRPr="00FD6771">
        <w:rPr>
          <w:rFonts w:ascii="Arial" w:hAnsi="Arial" w:cs="Arial"/>
          <w:sz w:val="24"/>
          <w:szCs w:val="24"/>
        </w:rPr>
        <w:t xml:space="preserve">the </w:t>
      </w:r>
      <w:r w:rsidR="00444F81" w:rsidRPr="00FD6771">
        <w:rPr>
          <w:rFonts w:ascii="Arial" w:hAnsi="Arial" w:cs="Arial"/>
          <w:sz w:val="24"/>
          <w:szCs w:val="24"/>
        </w:rPr>
        <w:t>first r</w:t>
      </w:r>
      <w:r w:rsidR="006A1B03" w:rsidRPr="00FD6771">
        <w:rPr>
          <w:rFonts w:ascii="Arial" w:hAnsi="Arial" w:cs="Arial"/>
          <w:sz w:val="24"/>
          <w:szCs w:val="24"/>
        </w:rPr>
        <w:t>espondent relies on section</w:t>
      </w:r>
      <w:r w:rsidR="00FD4F55" w:rsidRPr="00FD6771">
        <w:rPr>
          <w:rFonts w:ascii="Arial" w:hAnsi="Arial" w:cs="Arial"/>
          <w:sz w:val="24"/>
          <w:szCs w:val="24"/>
        </w:rPr>
        <w:t xml:space="preserve"> 15(</w:t>
      </w:r>
      <w:proofErr w:type="gramStart"/>
      <w:r w:rsidR="00AC67F7" w:rsidRPr="00FD6771">
        <w:rPr>
          <w:rFonts w:ascii="Arial" w:hAnsi="Arial" w:cs="Arial"/>
          <w:sz w:val="24"/>
          <w:szCs w:val="24"/>
        </w:rPr>
        <w:t>9)(</w:t>
      </w:r>
      <w:proofErr w:type="gramEnd"/>
      <w:r w:rsidR="00AC67F7" w:rsidRPr="00FD6771">
        <w:rPr>
          <w:rFonts w:ascii="Arial" w:hAnsi="Arial" w:cs="Arial"/>
          <w:sz w:val="24"/>
          <w:szCs w:val="24"/>
        </w:rPr>
        <w:t xml:space="preserve">a-b) of the </w:t>
      </w:r>
      <w:r w:rsidR="00DC22E0" w:rsidRPr="00FD6771">
        <w:rPr>
          <w:rFonts w:ascii="Arial" w:hAnsi="Arial" w:cs="Arial"/>
          <w:sz w:val="24"/>
          <w:szCs w:val="24"/>
        </w:rPr>
        <w:t>M</w:t>
      </w:r>
      <w:r w:rsidR="00AC67F7" w:rsidRPr="00FD6771">
        <w:rPr>
          <w:rFonts w:ascii="Arial" w:hAnsi="Arial" w:cs="Arial"/>
          <w:sz w:val="24"/>
          <w:szCs w:val="24"/>
        </w:rPr>
        <w:t xml:space="preserve">atrimonial </w:t>
      </w:r>
      <w:r w:rsidR="00DC22E0" w:rsidRPr="00FD6771">
        <w:rPr>
          <w:rFonts w:ascii="Arial" w:hAnsi="Arial" w:cs="Arial"/>
          <w:sz w:val="24"/>
          <w:szCs w:val="24"/>
        </w:rPr>
        <w:t>P</w:t>
      </w:r>
      <w:r w:rsidR="00A24B1B">
        <w:rPr>
          <w:rFonts w:ascii="Arial" w:hAnsi="Arial" w:cs="Arial"/>
          <w:sz w:val="24"/>
          <w:szCs w:val="24"/>
        </w:rPr>
        <w:t xml:space="preserve">roperty Act, which </w:t>
      </w:r>
      <w:r w:rsidR="00725820" w:rsidRPr="00FD6771">
        <w:rPr>
          <w:rFonts w:ascii="Arial" w:hAnsi="Arial" w:cs="Arial"/>
          <w:sz w:val="24"/>
          <w:szCs w:val="24"/>
        </w:rPr>
        <w:t xml:space="preserve">provides as follows: </w:t>
      </w:r>
    </w:p>
    <w:p w:rsidR="00F71095" w:rsidRDefault="00F71095" w:rsidP="00F23C2E">
      <w:pPr>
        <w:autoSpaceDE w:val="0"/>
        <w:autoSpaceDN w:val="0"/>
        <w:adjustRightInd w:val="0"/>
        <w:spacing w:after="0" w:line="360" w:lineRule="auto"/>
        <w:jc w:val="both"/>
      </w:pPr>
    </w:p>
    <w:p w:rsidR="004200D0" w:rsidRPr="00725820" w:rsidRDefault="00F71095" w:rsidP="00725820">
      <w:pPr>
        <w:autoSpaceDE w:val="0"/>
        <w:autoSpaceDN w:val="0"/>
        <w:adjustRightInd w:val="0"/>
        <w:spacing w:after="0" w:line="360" w:lineRule="auto"/>
        <w:ind w:left="720"/>
        <w:jc w:val="both"/>
        <w:rPr>
          <w:rFonts w:ascii="Arial" w:hAnsi="Arial" w:cs="Arial"/>
        </w:rPr>
      </w:pPr>
      <w:r w:rsidRPr="00725820">
        <w:rPr>
          <w:rFonts w:ascii="Arial" w:hAnsi="Arial" w:cs="Arial"/>
        </w:rPr>
        <w:t>When a spouse enters into a transaction with a person contrary to the provisions of subsection (2) or (3) of this section, or an order under section 16(2), and –</w:t>
      </w:r>
    </w:p>
    <w:p w:rsidR="00C0166C" w:rsidRPr="00725820" w:rsidRDefault="00C0166C" w:rsidP="00725820">
      <w:pPr>
        <w:autoSpaceDE w:val="0"/>
        <w:autoSpaceDN w:val="0"/>
        <w:adjustRightInd w:val="0"/>
        <w:spacing w:after="0" w:line="360" w:lineRule="auto"/>
        <w:ind w:left="720"/>
        <w:jc w:val="both"/>
        <w:rPr>
          <w:rFonts w:ascii="Arial" w:hAnsi="Arial" w:cs="Arial"/>
        </w:rPr>
      </w:pPr>
      <w:r w:rsidRPr="00725820">
        <w:rPr>
          <w:rFonts w:ascii="Arial" w:hAnsi="Arial" w:cs="Arial"/>
        </w:rPr>
        <w:t xml:space="preserve">(a) that person does not know and cannot reasonably know that the transaction is being entered into contrary to those provisions or that order, it is deemed that the transaction concerned has been entered into with the consent required in terms of the said subsection (2) or (3), or while the power concerned of the spouse has not been suspended, as the case may be; </w:t>
      </w:r>
    </w:p>
    <w:p w:rsidR="002C1C11" w:rsidRDefault="00C0166C" w:rsidP="002C1C11">
      <w:pPr>
        <w:autoSpaceDE w:val="0"/>
        <w:autoSpaceDN w:val="0"/>
        <w:adjustRightInd w:val="0"/>
        <w:spacing w:after="0" w:line="360" w:lineRule="auto"/>
        <w:ind w:left="720"/>
        <w:jc w:val="both"/>
        <w:rPr>
          <w:rFonts w:ascii="Arial" w:hAnsi="Arial" w:cs="Arial"/>
        </w:rPr>
      </w:pPr>
      <w:r w:rsidRPr="00725820">
        <w:rPr>
          <w:rFonts w:ascii="Arial" w:hAnsi="Arial" w:cs="Arial"/>
        </w:rPr>
        <w:t>(b) that spouse knows or ought reasonably to know that he will probably not obtain the consent required in terms of the said subsection (2) or (3), or that the power concerned has been suspended, as the case may be, and the joint estate suffers a loss as a result of that transaction, an adjustment shall be effected in favour of the other spouse upon the division of the joint estate.</w:t>
      </w:r>
    </w:p>
    <w:p w:rsidR="00844D86" w:rsidRDefault="00844D86" w:rsidP="002C1C11">
      <w:pPr>
        <w:autoSpaceDE w:val="0"/>
        <w:autoSpaceDN w:val="0"/>
        <w:adjustRightInd w:val="0"/>
        <w:spacing w:after="0" w:line="360" w:lineRule="auto"/>
        <w:jc w:val="both"/>
        <w:rPr>
          <w:rFonts w:ascii="Arial" w:hAnsi="Arial" w:cs="Arial"/>
        </w:rPr>
      </w:pPr>
    </w:p>
    <w:p w:rsidR="002C1C11" w:rsidRDefault="006A0506" w:rsidP="001E30D4">
      <w:pPr>
        <w:autoSpaceDE w:val="0"/>
        <w:autoSpaceDN w:val="0"/>
        <w:adjustRightInd w:val="0"/>
        <w:spacing w:after="0" w:line="480" w:lineRule="auto"/>
        <w:jc w:val="both"/>
        <w:rPr>
          <w:rFonts w:ascii="Arial" w:hAnsi="Arial" w:cs="Arial"/>
          <w:sz w:val="24"/>
          <w:szCs w:val="24"/>
        </w:rPr>
      </w:pPr>
      <w:r>
        <w:rPr>
          <w:rFonts w:ascii="Arial" w:hAnsi="Arial" w:cs="Arial"/>
          <w:sz w:val="24"/>
          <w:szCs w:val="24"/>
        </w:rPr>
        <w:t>[28</w:t>
      </w:r>
      <w:r w:rsidR="00DF00DB">
        <w:rPr>
          <w:rFonts w:ascii="Arial" w:hAnsi="Arial" w:cs="Arial"/>
          <w:sz w:val="24"/>
          <w:szCs w:val="24"/>
        </w:rPr>
        <w:t>]</w:t>
      </w:r>
      <w:r w:rsidR="00DF00DB">
        <w:rPr>
          <w:rFonts w:ascii="Arial" w:hAnsi="Arial" w:cs="Arial"/>
          <w:sz w:val="24"/>
          <w:szCs w:val="24"/>
        </w:rPr>
        <w:tab/>
      </w:r>
      <w:r w:rsidR="006B055D">
        <w:rPr>
          <w:rFonts w:ascii="Arial" w:hAnsi="Arial" w:cs="Arial"/>
          <w:sz w:val="24"/>
          <w:szCs w:val="24"/>
        </w:rPr>
        <w:t xml:space="preserve">Mr </w:t>
      </w:r>
      <w:proofErr w:type="spellStart"/>
      <w:r w:rsidR="006B055D">
        <w:rPr>
          <w:rFonts w:ascii="Arial" w:hAnsi="Arial" w:cs="Arial"/>
          <w:sz w:val="24"/>
          <w:szCs w:val="24"/>
        </w:rPr>
        <w:t>Mapoma</w:t>
      </w:r>
      <w:proofErr w:type="spellEnd"/>
      <w:r w:rsidR="006B055D">
        <w:rPr>
          <w:rFonts w:ascii="Arial" w:hAnsi="Arial" w:cs="Arial"/>
          <w:sz w:val="24"/>
          <w:szCs w:val="24"/>
        </w:rPr>
        <w:t xml:space="preserve"> </w:t>
      </w:r>
      <w:r w:rsidR="00844D86" w:rsidRPr="001E30D4">
        <w:rPr>
          <w:rFonts w:ascii="Arial" w:hAnsi="Arial" w:cs="Arial"/>
          <w:sz w:val="24"/>
          <w:szCs w:val="24"/>
        </w:rPr>
        <w:t xml:space="preserve">contended on behalf of the applicant that the </w:t>
      </w:r>
      <w:r w:rsidR="001727D1" w:rsidRPr="001E30D4">
        <w:rPr>
          <w:rFonts w:ascii="Arial" w:hAnsi="Arial" w:cs="Arial"/>
          <w:sz w:val="24"/>
          <w:szCs w:val="24"/>
        </w:rPr>
        <w:t xml:space="preserve">agreement </w:t>
      </w:r>
      <w:r w:rsidR="00AD2BF5" w:rsidRPr="001E30D4">
        <w:rPr>
          <w:rFonts w:ascii="Arial" w:hAnsi="Arial" w:cs="Arial"/>
          <w:sz w:val="24"/>
          <w:szCs w:val="24"/>
        </w:rPr>
        <w:t>entered</w:t>
      </w:r>
      <w:r w:rsidR="001727D1" w:rsidRPr="001E30D4">
        <w:rPr>
          <w:rFonts w:ascii="Arial" w:hAnsi="Arial" w:cs="Arial"/>
          <w:sz w:val="24"/>
          <w:szCs w:val="24"/>
        </w:rPr>
        <w:t xml:space="preserve"> </w:t>
      </w:r>
      <w:r w:rsidR="006B055D">
        <w:rPr>
          <w:rFonts w:ascii="Arial" w:hAnsi="Arial" w:cs="Arial"/>
          <w:sz w:val="24"/>
          <w:szCs w:val="24"/>
        </w:rPr>
        <w:t xml:space="preserve">by the </w:t>
      </w:r>
      <w:r w:rsidR="001727D1" w:rsidRPr="001E30D4">
        <w:rPr>
          <w:rFonts w:ascii="Arial" w:hAnsi="Arial" w:cs="Arial"/>
          <w:sz w:val="24"/>
          <w:szCs w:val="24"/>
        </w:rPr>
        <w:t>first and th</w:t>
      </w:r>
      <w:r w:rsidR="004F570C" w:rsidRPr="001E30D4">
        <w:rPr>
          <w:rFonts w:ascii="Arial" w:hAnsi="Arial" w:cs="Arial"/>
          <w:sz w:val="24"/>
          <w:szCs w:val="24"/>
        </w:rPr>
        <w:t>e</w:t>
      </w:r>
      <w:r w:rsidR="001727D1" w:rsidRPr="001E30D4">
        <w:rPr>
          <w:rFonts w:ascii="Arial" w:hAnsi="Arial" w:cs="Arial"/>
          <w:sz w:val="24"/>
          <w:szCs w:val="24"/>
        </w:rPr>
        <w:t xml:space="preserve"> second respondent involved </w:t>
      </w:r>
      <w:r w:rsidR="00A74447">
        <w:rPr>
          <w:rFonts w:ascii="Arial" w:hAnsi="Arial" w:cs="Arial"/>
          <w:sz w:val="24"/>
          <w:szCs w:val="24"/>
        </w:rPr>
        <w:t xml:space="preserve">the </w:t>
      </w:r>
      <w:r w:rsidR="001727D1" w:rsidRPr="001E30D4">
        <w:rPr>
          <w:rFonts w:ascii="Arial" w:hAnsi="Arial" w:cs="Arial"/>
          <w:sz w:val="24"/>
          <w:szCs w:val="24"/>
        </w:rPr>
        <w:t>alienation of immovable property</w:t>
      </w:r>
      <w:r w:rsidR="006B055D">
        <w:rPr>
          <w:rFonts w:ascii="Arial" w:hAnsi="Arial" w:cs="Arial"/>
          <w:sz w:val="24"/>
          <w:szCs w:val="24"/>
        </w:rPr>
        <w:t xml:space="preserve">. </w:t>
      </w:r>
      <w:r w:rsidR="006B055D">
        <w:rPr>
          <w:rFonts w:ascii="Arial" w:hAnsi="Arial" w:cs="Arial"/>
          <w:sz w:val="24"/>
          <w:szCs w:val="24"/>
        </w:rPr>
        <w:lastRenderedPageBreak/>
        <w:t>As such, it was impermissible in law for the second respondent to alienate the said property without the</w:t>
      </w:r>
      <w:r w:rsidR="00F56495">
        <w:rPr>
          <w:rFonts w:ascii="Arial" w:hAnsi="Arial" w:cs="Arial"/>
          <w:sz w:val="24"/>
          <w:szCs w:val="24"/>
        </w:rPr>
        <w:t xml:space="preserve"> applicant’s</w:t>
      </w:r>
      <w:r w:rsidR="006B055D">
        <w:rPr>
          <w:rFonts w:ascii="Arial" w:hAnsi="Arial" w:cs="Arial"/>
          <w:sz w:val="24"/>
          <w:szCs w:val="24"/>
        </w:rPr>
        <w:t xml:space="preserve"> consent</w:t>
      </w:r>
      <w:r w:rsidR="00F56495">
        <w:rPr>
          <w:rFonts w:ascii="Arial" w:hAnsi="Arial" w:cs="Arial"/>
          <w:sz w:val="24"/>
          <w:szCs w:val="24"/>
        </w:rPr>
        <w:t>.</w:t>
      </w:r>
      <w:r w:rsidR="008C5D50" w:rsidRPr="001E30D4">
        <w:rPr>
          <w:rFonts w:ascii="Arial" w:hAnsi="Arial" w:cs="Arial"/>
          <w:sz w:val="24"/>
          <w:szCs w:val="24"/>
        </w:rPr>
        <w:t xml:space="preserve"> </w:t>
      </w:r>
      <w:r w:rsidR="006B055D">
        <w:rPr>
          <w:rFonts w:ascii="Arial" w:hAnsi="Arial" w:cs="Arial"/>
          <w:sz w:val="24"/>
          <w:szCs w:val="24"/>
        </w:rPr>
        <w:t xml:space="preserve">Counsel </w:t>
      </w:r>
      <w:r w:rsidR="00434DF9" w:rsidRPr="001E30D4">
        <w:rPr>
          <w:rFonts w:ascii="Arial" w:hAnsi="Arial" w:cs="Arial"/>
          <w:sz w:val="24"/>
          <w:szCs w:val="24"/>
        </w:rPr>
        <w:t xml:space="preserve">contended that the marriage between the applicant </w:t>
      </w:r>
      <w:r w:rsidR="00AE7726">
        <w:rPr>
          <w:rFonts w:ascii="Arial" w:hAnsi="Arial" w:cs="Arial"/>
          <w:sz w:val="24"/>
          <w:szCs w:val="24"/>
        </w:rPr>
        <w:t xml:space="preserve">and </w:t>
      </w:r>
      <w:r w:rsidR="00434DF9" w:rsidRPr="001E30D4">
        <w:rPr>
          <w:rFonts w:ascii="Arial" w:hAnsi="Arial" w:cs="Arial"/>
          <w:sz w:val="24"/>
          <w:szCs w:val="24"/>
        </w:rPr>
        <w:t>the second respondent was in community of property</w:t>
      </w:r>
      <w:r w:rsidR="00AD2BF5">
        <w:rPr>
          <w:rFonts w:ascii="Arial" w:hAnsi="Arial" w:cs="Arial"/>
          <w:sz w:val="24"/>
          <w:szCs w:val="24"/>
        </w:rPr>
        <w:t>.</w:t>
      </w:r>
      <w:r w:rsidR="006B055D">
        <w:rPr>
          <w:rFonts w:ascii="Arial" w:hAnsi="Arial" w:cs="Arial"/>
          <w:sz w:val="24"/>
          <w:szCs w:val="24"/>
        </w:rPr>
        <w:t xml:space="preserve"> </w:t>
      </w:r>
      <w:r w:rsidR="00AD2BF5">
        <w:rPr>
          <w:rFonts w:ascii="Arial" w:hAnsi="Arial" w:cs="Arial"/>
          <w:sz w:val="24"/>
          <w:szCs w:val="24"/>
        </w:rPr>
        <w:t>T</w:t>
      </w:r>
      <w:r w:rsidR="006B055D">
        <w:rPr>
          <w:rFonts w:ascii="Arial" w:hAnsi="Arial" w:cs="Arial"/>
          <w:sz w:val="24"/>
          <w:szCs w:val="24"/>
        </w:rPr>
        <w:t xml:space="preserve">hus, </w:t>
      </w:r>
      <w:r w:rsidR="005C069A">
        <w:rPr>
          <w:rFonts w:ascii="Arial" w:hAnsi="Arial" w:cs="Arial"/>
          <w:sz w:val="24"/>
          <w:szCs w:val="24"/>
        </w:rPr>
        <w:t xml:space="preserve">the agreement </w:t>
      </w:r>
      <w:r w:rsidR="0020765A">
        <w:rPr>
          <w:rFonts w:ascii="Arial" w:hAnsi="Arial" w:cs="Arial"/>
          <w:sz w:val="24"/>
          <w:szCs w:val="24"/>
        </w:rPr>
        <w:t>purportedly</w:t>
      </w:r>
      <w:r w:rsidR="005C069A">
        <w:rPr>
          <w:rFonts w:ascii="Arial" w:hAnsi="Arial" w:cs="Arial"/>
          <w:sz w:val="24"/>
          <w:szCs w:val="24"/>
        </w:rPr>
        <w:t xml:space="preserve"> concluded between the first and the second respondent </w:t>
      </w:r>
      <w:r w:rsidR="0020765A">
        <w:rPr>
          <w:rFonts w:ascii="Arial" w:hAnsi="Arial" w:cs="Arial"/>
          <w:sz w:val="24"/>
          <w:szCs w:val="24"/>
        </w:rPr>
        <w:t>is unlawful</w:t>
      </w:r>
      <w:r w:rsidR="00AD2BF5">
        <w:rPr>
          <w:rFonts w:ascii="Arial" w:hAnsi="Arial" w:cs="Arial"/>
          <w:sz w:val="24"/>
          <w:szCs w:val="24"/>
        </w:rPr>
        <w:t>,</w:t>
      </w:r>
      <w:r w:rsidR="0020765A">
        <w:rPr>
          <w:rFonts w:ascii="Arial" w:hAnsi="Arial" w:cs="Arial"/>
          <w:sz w:val="24"/>
          <w:szCs w:val="24"/>
        </w:rPr>
        <w:t xml:space="preserve"> void </w:t>
      </w:r>
      <w:r w:rsidR="0020765A" w:rsidRPr="00444F81">
        <w:rPr>
          <w:rFonts w:ascii="Arial" w:hAnsi="Arial" w:cs="Arial"/>
          <w:i/>
          <w:sz w:val="24"/>
          <w:szCs w:val="24"/>
        </w:rPr>
        <w:t>ab initio</w:t>
      </w:r>
      <w:r w:rsidR="00A74447">
        <w:rPr>
          <w:rFonts w:ascii="Arial" w:hAnsi="Arial" w:cs="Arial"/>
          <w:i/>
          <w:sz w:val="24"/>
          <w:szCs w:val="24"/>
        </w:rPr>
        <w:t>,</w:t>
      </w:r>
      <w:r w:rsidR="0020765A">
        <w:rPr>
          <w:rFonts w:ascii="Arial" w:hAnsi="Arial" w:cs="Arial"/>
          <w:sz w:val="24"/>
          <w:szCs w:val="24"/>
        </w:rPr>
        <w:t xml:space="preserve"> and cannot </w:t>
      </w:r>
      <w:r w:rsidR="003E60F4">
        <w:rPr>
          <w:rFonts w:ascii="Arial" w:hAnsi="Arial" w:cs="Arial"/>
          <w:sz w:val="24"/>
          <w:szCs w:val="24"/>
        </w:rPr>
        <w:t xml:space="preserve">confer any </w:t>
      </w:r>
      <w:r w:rsidR="00A74447">
        <w:rPr>
          <w:rFonts w:ascii="Arial" w:hAnsi="Arial" w:cs="Arial"/>
          <w:sz w:val="24"/>
          <w:szCs w:val="24"/>
        </w:rPr>
        <w:t>legally enforceable right.</w:t>
      </w:r>
      <w:r w:rsidR="00192E94">
        <w:rPr>
          <w:rFonts w:ascii="Arial" w:hAnsi="Arial" w:cs="Arial"/>
          <w:sz w:val="24"/>
          <w:szCs w:val="24"/>
        </w:rPr>
        <w:t xml:space="preserve"> </w:t>
      </w:r>
      <w:r w:rsidR="006B055D">
        <w:rPr>
          <w:rFonts w:ascii="Arial" w:hAnsi="Arial" w:cs="Arial"/>
          <w:sz w:val="24"/>
          <w:szCs w:val="24"/>
        </w:rPr>
        <w:t xml:space="preserve">Mr </w:t>
      </w:r>
      <w:proofErr w:type="spellStart"/>
      <w:r w:rsidR="006B055D">
        <w:rPr>
          <w:rFonts w:ascii="Arial" w:hAnsi="Arial" w:cs="Arial"/>
          <w:sz w:val="24"/>
          <w:szCs w:val="24"/>
        </w:rPr>
        <w:t>Mapoma</w:t>
      </w:r>
      <w:proofErr w:type="spellEnd"/>
      <w:r w:rsidR="006B055D">
        <w:rPr>
          <w:rFonts w:ascii="Arial" w:hAnsi="Arial" w:cs="Arial"/>
          <w:sz w:val="24"/>
          <w:szCs w:val="24"/>
        </w:rPr>
        <w:t xml:space="preserve"> relied on</w:t>
      </w:r>
      <w:r w:rsidR="00192E94">
        <w:rPr>
          <w:rFonts w:ascii="Arial" w:hAnsi="Arial" w:cs="Arial"/>
          <w:sz w:val="24"/>
          <w:szCs w:val="24"/>
        </w:rPr>
        <w:t xml:space="preserve"> the </w:t>
      </w:r>
      <w:r w:rsidR="008C5AAD">
        <w:rPr>
          <w:rFonts w:ascii="Arial" w:hAnsi="Arial" w:cs="Arial"/>
          <w:sz w:val="24"/>
          <w:szCs w:val="24"/>
        </w:rPr>
        <w:t>S</w:t>
      </w:r>
      <w:r w:rsidR="00192E94">
        <w:rPr>
          <w:rFonts w:ascii="Arial" w:hAnsi="Arial" w:cs="Arial"/>
          <w:sz w:val="24"/>
          <w:szCs w:val="24"/>
        </w:rPr>
        <w:t>up</w:t>
      </w:r>
      <w:r w:rsidR="008C5AAD">
        <w:rPr>
          <w:rFonts w:ascii="Arial" w:hAnsi="Arial" w:cs="Arial"/>
          <w:sz w:val="24"/>
          <w:szCs w:val="24"/>
        </w:rPr>
        <w:t>reme</w:t>
      </w:r>
      <w:r w:rsidR="00192E94">
        <w:rPr>
          <w:rFonts w:ascii="Arial" w:hAnsi="Arial" w:cs="Arial"/>
          <w:sz w:val="24"/>
          <w:szCs w:val="24"/>
        </w:rPr>
        <w:t xml:space="preserve"> </w:t>
      </w:r>
      <w:r w:rsidR="008C5AAD">
        <w:rPr>
          <w:rFonts w:ascii="Arial" w:hAnsi="Arial" w:cs="Arial"/>
          <w:sz w:val="24"/>
          <w:szCs w:val="24"/>
        </w:rPr>
        <w:t>C</w:t>
      </w:r>
      <w:r w:rsidR="00192E94">
        <w:rPr>
          <w:rFonts w:ascii="Arial" w:hAnsi="Arial" w:cs="Arial"/>
          <w:sz w:val="24"/>
          <w:szCs w:val="24"/>
        </w:rPr>
        <w:t xml:space="preserve">ourt of </w:t>
      </w:r>
      <w:r w:rsidR="008C5AAD">
        <w:rPr>
          <w:rFonts w:ascii="Arial" w:hAnsi="Arial" w:cs="Arial"/>
          <w:sz w:val="24"/>
          <w:szCs w:val="24"/>
        </w:rPr>
        <w:t>Appeal</w:t>
      </w:r>
      <w:r w:rsidR="00192E94">
        <w:rPr>
          <w:rFonts w:ascii="Arial" w:hAnsi="Arial" w:cs="Arial"/>
          <w:sz w:val="24"/>
          <w:szCs w:val="24"/>
        </w:rPr>
        <w:t xml:space="preserve"> </w:t>
      </w:r>
      <w:r w:rsidR="008C5AAD">
        <w:rPr>
          <w:rFonts w:ascii="Arial" w:hAnsi="Arial" w:cs="Arial"/>
          <w:sz w:val="24"/>
          <w:szCs w:val="24"/>
        </w:rPr>
        <w:t>Judgment</w:t>
      </w:r>
      <w:r w:rsidR="00192E94">
        <w:rPr>
          <w:rFonts w:ascii="Arial" w:hAnsi="Arial" w:cs="Arial"/>
          <w:sz w:val="24"/>
          <w:szCs w:val="24"/>
        </w:rPr>
        <w:t xml:space="preserve"> </w:t>
      </w:r>
      <w:r w:rsidR="006B055D">
        <w:rPr>
          <w:rFonts w:ascii="Arial" w:hAnsi="Arial" w:cs="Arial"/>
          <w:sz w:val="24"/>
          <w:szCs w:val="24"/>
        </w:rPr>
        <w:t xml:space="preserve">of </w:t>
      </w:r>
      <w:r w:rsidR="00192E94" w:rsidRPr="002E7318">
        <w:rPr>
          <w:rFonts w:ascii="Arial" w:hAnsi="Arial" w:cs="Arial"/>
          <w:i/>
          <w:iCs/>
          <w:sz w:val="24"/>
          <w:szCs w:val="24"/>
        </w:rPr>
        <w:t xml:space="preserve">Marais N.O and Another v </w:t>
      </w:r>
      <w:proofErr w:type="spellStart"/>
      <w:r w:rsidR="00192E94" w:rsidRPr="002E7318">
        <w:rPr>
          <w:rFonts w:ascii="Arial" w:hAnsi="Arial" w:cs="Arial"/>
          <w:i/>
          <w:iCs/>
          <w:sz w:val="24"/>
          <w:szCs w:val="24"/>
        </w:rPr>
        <w:t>Mapo</w:t>
      </w:r>
      <w:r w:rsidR="002E7318" w:rsidRPr="002E7318">
        <w:rPr>
          <w:rFonts w:ascii="Arial" w:hAnsi="Arial" w:cs="Arial"/>
          <w:i/>
          <w:iCs/>
          <w:sz w:val="24"/>
          <w:szCs w:val="24"/>
        </w:rPr>
        <w:t>sa</w:t>
      </w:r>
      <w:proofErr w:type="spellEnd"/>
      <w:r w:rsidR="002E7318" w:rsidRPr="002E7318">
        <w:rPr>
          <w:rFonts w:ascii="Arial" w:hAnsi="Arial" w:cs="Arial"/>
          <w:i/>
          <w:iCs/>
          <w:sz w:val="24"/>
          <w:szCs w:val="24"/>
        </w:rPr>
        <w:t xml:space="preserve"> </w:t>
      </w:r>
      <w:r w:rsidR="00192E94" w:rsidRPr="002E7318">
        <w:rPr>
          <w:rFonts w:ascii="Arial" w:hAnsi="Arial" w:cs="Arial"/>
          <w:i/>
          <w:iCs/>
          <w:sz w:val="24"/>
          <w:szCs w:val="24"/>
        </w:rPr>
        <w:t xml:space="preserve">and </w:t>
      </w:r>
      <w:r w:rsidR="00AB121C" w:rsidRPr="002E7318">
        <w:rPr>
          <w:rFonts w:ascii="Arial" w:hAnsi="Arial" w:cs="Arial"/>
          <w:i/>
          <w:iCs/>
          <w:sz w:val="24"/>
          <w:szCs w:val="24"/>
        </w:rPr>
        <w:t>others</w:t>
      </w:r>
      <w:r w:rsidR="00AB121C">
        <w:rPr>
          <w:rFonts w:ascii="Arial" w:hAnsi="Arial" w:cs="Arial"/>
          <w:sz w:val="24"/>
          <w:szCs w:val="24"/>
        </w:rPr>
        <w:t xml:space="preserve"> </w:t>
      </w:r>
      <w:r w:rsidR="00444F81">
        <w:rPr>
          <w:rFonts w:ascii="Arial" w:hAnsi="Arial" w:cs="Arial"/>
          <w:sz w:val="24"/>
          <w:szCs w:val="24"/>
        </w:rPr>
        <w:t xml:space="preserve">2020 (5) SA 11 (SCA), </w:t>
      </w:r>
      <w:r w:rsidR="00AB121C">
        <w:rPr>
          <w:rFonts w:ascii="Arial" w:hAnsi="Arial" w:cs="Arial"/>
          <w:sz w:val="24"/>
          <w:szCs w:val="24"/>
        </w:rPr>
        <w:t>para 26</w:t>
      </w:r>
      <w:r w:rsidR="006B055D">
        <w:rPr>
          <w:rFonts w:ascii="Arial" w:hAnsi="Arial" w:cs="Arial"/>
          <w:sz w:val="24"/>
          <w:szCs w:val="24"/>
        </w:rPr>
        <w:t>,</w:t>
      </w:r>
      <w:r w:rsidR="00AB121C">
        <w:rPr>
          <w:rFonts w:ascii="Arial" w:hAnsi="Arial" w:cs="Arial"/>
          <w:sz w:val="24"/>
          <w:szCs w:val="24"/>
        </w:rPr>
        <w:t xml:space="preserve"> where the court found that </w:t>
      </w:r>
      <w:r w:rsidR="003F31B0">
        <w:rPr>
          <w:rFonts w:ascii="Arial" w:hAnsi="Arial" w:cs="Arial"/>
          <w:sz w:val="24"/>
          <w:szCs w:val="24"/>
        </w:rPr>
        <w:t xml:space="preserve">a </w:t>
      </w:r>
      <w:r w:rsidR="008C5AAD">
        <w:rPr>
          <w:rFonts w:ascii="Arial" w:hAnsi="Arial" w:cs="Arial"/>
          <w:sz w:val="24"/>
          <w:szCs w:val="24"/>
        </w:rPr>
        <w:t>transaction</w:t>
      </w:r>
      <w:r w:rsidR="003F31B0">
        <w:rPr>
          <w:rFonts w:ascii="Arial" w:hAnsi="Arial" w:cs="Arial"/>
          <w:sz w:val="24"/>
          <w:szCs w:val="24"/>
        </w:rPr>
        <w:t xml:space="preserve"> concluded contrary to section</w:t>
      </w:r>
      <w:r w:rsidR="00A74447">
        <w:rPr>
          <w:rFonts w:ascii="Arial" w:hAnsi="Arial" w:cs="Arial"/>
          <w:sz w:val="24"/>
          <w:szCs w:val="24"/>
        </w:rPr>
        <w:t>s</w:t>
      </w:r>
      <w:r w:rsidR="003F31B0">
        <w:rPr>
          <w:rFonts w:ascii="Arial" w:hAnsi="Arial" w:cs="Arial"/>
          <w:sz w:val="24"/>
          <w:szCs w:val="24"/>
        </w:rPr>
        <w:t xml:space="preserve"> 15(2)(a) and (b) of the MPA </w:t>
      </w:r>
      <w:r w:rsidR="005E5BA3">
        <w:rPr>
          <w:rFonts w:ascii="Arial" w:hAnsi="Arial" w:cs="Arial"/>
          <w:sz w:val="24"/>
          <w:szCs w:val="24"/>
        </w:rPr>
        <w:t xml:space="preserve">is unlawful, </w:t>
      </w:r>
      <w:r w:rsidR="006B055D">
        <w:rPr>
          <w:rFonts w:ascii="Arial" w:hAnsi="Arial" w:cs="Arial"/>
          <w:sz w:val="24"/>
          <w:szCs w:val="24"/>
        </w:rPr>
        <w:t>void,</w:t>
      </w:r>
      <w:r w:rsidR="005E5BA3">
        <w:rPr>
          <w:rFonts w:ascii="Arial" w:hAnsi="Arial" w:cs="Arial"/>
          <w:sz w:val="24"/>
          <w:szCs w:val="24"/>
        </w:rPr>
        <w:t xml:space="preserve"> and unenforceable. </w:t>
      </w:r>
      <w:r w:rsidR="00574AC1">
        <w:rPr>
          <w:rFonts w:ascii="Arial" w:hAnsi="Arial" w:cs="Arial"/>
          <w:sz w:val="24"/>
          <w:szCs w:val="24"/>
        </w:rPr>
        <w:t xml:space="preserve">This is so because the provisions of section 15(1) and (2) (a-b) </w:t>
      </w:r>
      <w:r w:rsidR="008C5AAD">
        <w:rPr>
          <w:rFonts w:ascii="Arial" w:hAnsi="Arial" w:cs="Arial"/>
          <w:sz w:val="24"/>
          <w:szCs w:val="24"/>
        </w:rPr>
        <w:t xml:space="preserve">of the MPA are peremptory and not discretionary. </w:t>
      </w:r>
    </w:p>
    <w:p w:rsidR="008A7777" w:rsidRDefault="008A7777" w:rsidP="001E30D4">
      <w:pPr>
        <w:autoSpaceDE w:val="0"/>
        <w:autoSpaceDN w:val="0"/>
        <w:adjustRightInd w:val="0"/>
        <w:spacing w:after="0" w:line="480" w:lineRule="auto"/>
        <w:jc w:val="both"/>
        <w:rPr>
          <w:rFonts w:ascii="Arial" w:hAnsi="Arial" w:cs="Arial"/>
          <w:sz w:val="24"/>
          <w:szCs w:val="24"/>
        </w:rPr>
      </w:pPr>
    </w:p>
    <w:p w:rsidR="008A7777" w:rsidRPr="001E30D4" w:rsidRDefault="006A0506" w:rsidP="001E30D4">
      <w:pPr>
        <w:autoSpaceDE w:val="0"/>
        <w:autoSpaceDN w:val="0"/>
        <w:adjustRightInd w:val="0"/>
        <w:spacing w:after="0" w:line="480" w:lineRule="auto"/>
        <w:jc w:val="both"/>
        <w:rPr>
          <w:rFonts w:ascii="Arial" w:hAnsi="Arial" w:cs="Arial"/>
          <w:sz w:val="24"/>
          <w:szCs w:val="24"/>
        </w:rPr>
      </w:pPr>
      <w:r>
        <w:rPr>
          <w:rFonts w:ascii="Arial" w:hAnsi="Arial" w:cs="Arial"/>
          <w:sz w:val="24"/>
          <w:szCs w:val="24"/>
        </w:rPr>
        <w:t>[29</w:t>
      </w:r>
      <w:r w:rsidR="00DF00DB">
        <w:rPr>
          <w:rFonts w:ascii="Arial" w:hAnsi="Arial" w:cs="Arial"/>
          <w:sz w:val="24"/>
          <w:szCs w:val="24"/>
        </w:rPr>
        <w:t>]</w:t>
      </w:r>
      <w:r w:rsidR="00DF00DB">
        <w:rPr>
          <w:rFonts w:ascii="Arial" w:hAnsi="Arial" w:cs="Arial"/>
          <w:sz w:val="24"/>
          <w:szCs w:val="24"/>
        </w:rPr>
        <w:tab/>
      </w:r>
      <w:r w:rsidR="00F7555B">
        <w:rPr>
          <w:rFonts w:ascii="Arial" w:hAnsi="Arial" w:cs="Arial"/>
          <w:sz w:val="24"/>
          <w:szCs w:val="24"/>
        </w:rPr>
        <w:t xml:space="preserve">Meanwhile, Mr </w:t>
      </w:r>
      <w:proofErr w:type="spellStart"/>
      <w:r w:rsidR="00F7555B">
        <w:rPr>
          <w:rFonts w:ascii="Arial" w:hAnsi="Arial" w:cs="Arial"/>
          <w:sz w:val="24"/>
          <w:szCs w:val="24"/>
        </w:rPr>
        <w:t>Mlamleli</w:t>
      </w:r>
      <w:proofErr w:type="spellEnd"/>
      <w:r w:rsidR="00F7555B">
        <w:rPr>
          <w:rFonts w:ascii="Arial" w:hAnsi="Arial" w:cs="Arial"/>
          <w:sz w:val="24"/>
          <w:szCs w:val="24"/>
        </w:rPr>
        <w:t xml:space="preserve"> submitted </w:t>
      </w:r>
      <w:r w:rsidR="008A7777">
        <w:rPr>
          <w:rFonts w:ascii="Arial" w:hAnsi="Arial" w:cs="Arial"/>
          <w:sz w:val="24"/>
          <w:szCs w:val="24"/>
        </w:rPr>
        <w:t xml:space="preserve">on behalf of the </w:t>
      </w:r>
      <w:r w:rsidR="006175CD">
        <w:rPr>
          <w:rFonts w:ascii="Arial" w:hAnsi="Arial" w:cs="Arial"/>
          <w:sz w:val="24"/>
          <w:szCs w:val="24"/>
        </w:rPr>
        <w:t xml:space="preserve">first respondent that </w:t>
      </w:r>
      <w:r w:rsidR="00F7555B">
        <w:rPr>
          <w:rFonts w:ascii="Arial" w:hAnsi="Arial" w:cs="Arial"/>
          <w:sz w:val="24"/>
          <w:szCs w:val="24"/>
        </w:rPr>
        <w:t xml:space="preserve">the first respondent </w:t>
      </w:r>
      <w:r w:rsidR="006175CD">
        <w:rPr>
          <w:rFonts w:ascii="Arial" w:hAnsi="Arial" w:cs="Arial"/>
          <w:sz w:val="24"/>
          <w:szCs w:val="24"/>
        </w:rPr>
        <w:t xml:space="preserve">did not know that consent was required when she concluded the agreement with the second respondent. </w:t>
      </w:r>
      <w:r w:rsidR="00AE7726">
        <w:rPr>
          <w:rFonts w:ascii="Arial" w:hAnsi="Arial" w:cs="Arial"/>
          <w:sz w:val="24"/>
          <w:szCs w:val="24"/>
        </w:rPr>
        <w:t xml:space="preserve">Furthermore, </w:t>
      </w:r>
      <w:r w:rsidR="00AD2BF5">
        <w:rPr>
          <w:rFonts w:ascii="Arial" w:hAnsi="Arial" w:cs="Arial"/>
          <w:sz w:val="24"/>
          <w:szCs w:val="24"/>
        </w:rPr>
        <w:t>c</w:t>
      </w:r>
      <w:r w:rsidR="00F7555B">
        <w:rPr>
          <w:rFonts w:ascii="Arial" w:hAnsi="Arial" w:cs="Arial"/>
          <w:sz w:val="24"/>
          <w:szCs w:val="24"/>
        </w:rPr>
        <w:t xml:space="preserve">ounsel argued that </w:t>
      </w:r>
      <w:r w:rsidR="00AE7726">
        <w:rPr>
          <w:rFonts w:ascii="Arial" w:hAnsi="Arial" w:cs="Arial"/>
          <w:sz w:val="24"/>
          <w:szCs w:val="24"/>
        </w:rPr>
        <w:t>t</w:t>
      </w:r>
      <w:r w:rsidR="000D7BDA">
        <w:rPr>
          <w:rFonts w:ascii="Arial" w:hAnsi="Arial" w:cs="Arial"/>
          <w:sz w:val="24"/>
          <w:szCs w:val="24"/>
        </w:rPr>
        <w:t>he second respondent failed to disclose to the first respondent and the convey</w:t>
      </w:r>
      <w:r w:rsidR="00256D21">
        <w:rPr>
          <w:rFonts w:ascii="Arial" w:hAnsi="Arial" w:cs="Arial"/>
          <w:sz w:val="24"/>
          <w:szCs w:val="24"/>
        </w:rPr>
        <w:t xml:space="preserve">ancing attorneys that he was married in community of property to the applicant. In fact, when asked about his marital status, </w:t>
      </w:r>
      <w:r w:rsidR="00F7555B">
        <w:rPr>
          <w:rFonts w:ascii="Arial" w:hAnsi="Arial" w:cs="Arial"/>
          <w:sz w:val="24"/>
          <w:szCs w:val="24"/>
        </w:rPr>
        <w:t>t</w:t>
      </w:r>
      <w:r w:rsidR="00256D21">
        <w:rPr>
          <w:rFonts w:ascii="Arial" w:hAnsi="Arial" w:cs="Arial"/>
          <w:sz w:val="24"/>
          <w:szCs w:val="24"/>
        </w:rPr>
        <w:t>he</w:t>
      </w:r>
      <w:r w:rsidR="00F7555B">
        <w:rPr>
          <w:rFonts w:ascii="Arial" w:hAnsi="Arial" w:cs="Arial"/>
          <w:sz w:val="24"/>
          <w:szCs w:val="24"/>
        </w:rPr>
        <w:t xml:space="preserve"> second respondent</w:t>
      </w:r>
      <w:r w:rsidR="00256D21">
        <w:rPr>
          <w:rFonts w:ascii="Arial" w:hAnsi="Arial" w:cs="Arial"/>
          <w:sz w:val="24"/>
          <w:szCs w:val="24"/>
        </w:rPr>
        <w:t xml:space="preserve"> expressly stated that he was </w:t>
      </w:r>
      <w:r w:rsidR="00A87A61">
        <w:rPr>
          <w:rFonts w:ascii="Arial" w:hAnsi="Arial" w:cs="Arial"/>
          <w:sz w:val="24"/>
          <w:szCs w:val="24"/>
        </w:rPr>
        <w:t xml:space="preserve">unmarried. It was contended that </w:t>
      </w:r>
      <w:r w:rsidR="00EB4EBC">
        <w:rPr>
          <w:rFonts w:ascii="Arial" w:hAnsi="Arial" w:cs="Arial"/>
          <w:sz w:val="24"/>
          <w:szCs w:val="24"/>
        </w:rPr>
        <w:t>these assertions</w:t>
      </w:r>
      <w:r w:rsidR="00A87A61">
        <w:rPr>
          <w:rFonts w:ascii="Arial" w:hAnsi="Arial" w:cs="Arial"/>
          <w:sz w:val="24"/>
          <w:szCs w:val="24"/>
        </w:rPr>
        <w:t xml:space="preserve"> </w:t>
      </w:r>
      <w:r w:rsidR="0047358F">
        <w:rPr>
          <w:rFonts w:ascii="Arial" w:hAnsi="Arial" w:cs="Arial"/>
          <w:sz w:val="24"/>
          <w:szCs w:val="24"/>
        </w:rPr>
        <w:t>are co</w:t>
      </w:r>
      <w:r w:rsidR="00F7555B">
        <w:rPr>
          <w:rFonts w:ascii="Arial" w:hAnsi="Arial" w:cs="Arial"/>
          <w:sz w:val="24"/>
          <w:szCs w:val="24"/>
        </w:rPr>
        <w:t>rro</w:t>
      </w:r>
      <w:r w:rsidR="0047358F">
        <w:rPr>
          <w:rFonts w:ascii="Arial" w:hAnsi="Arial" w:cs="Arial"/>
          <w:sz w:val="24"/>
          <w:szCs w:val="24"/>
        </w:rPr>
        <w:t xml:space="preserve">borated by the signed sale agreement </w:t>
      </w:r>
      <w:r w:rsidR="00AD2BF5">
        <w:rPr>
          <w:rFonts w:ascii="Arial" w:hAnsi="Arial" w:cs="Arial"/>
          <w:sz w:val="24"/>
          <w:szCs w:val="24"/>
        </w:rPr>
        <w:t xml:space="preserve">and </w:t>
      </w:r>
      <w:r w:rsidR="0047358F">
        <w:rPr>
          <w:rFonts w:ascii="Arial" w:hAnsi="Arial" w:cs="Arial"/>
          <w:sz w:val="24"/>
          <w:szCs w:val="24"/>
        </w:rPr>
        <w:t xml:space="preserve">the title deed. </w:t>
      </w:r>
      <w:r w:rsidR="00A24B1B">
        <w:rPr>
          <w:rFonts w:ascii="Arial" w:hAnsi="Arial" w:cs="Arial"/>
          <w:sz w:val="24"/>
          <w:szCs w:val="24"/>
        </w:rPr>
        <w:t>Moreover</w:t>
      </w:r>
      <w:r w:rsidR="00F7555B">
        <w:rPr>
          <w:rFonts w:ascii="Arial" w:hAnsi="Arial" w:cs="Arial"/>
          <w:sz w:val="24"/>
          <w:szCs w:val="24"/>
        </w:rPr>
        <w:t xml:space="preserve">, </w:t>
      </w:r>
      <w:r w:rsidR="0044341F">
        <w:rPr>
          <w:rFonts w:ascii="Arial" w:hAnsi="Arial" w:cs="Arial"/>
          <w:sz w:val="24"/>
          <w:szCs w:val="24"/>
        </w:rPr>
        <w:t>the second respondent deposed</w:t>
      </w:r>
      <w:r w:rsidR="00F7555B">
        <w:rPr>
          <w:rFonts w:ascii="Arial" w:hAnsi="Arial" w:cs="Arial"/>
          <w:sz w:val="24"/>
          <w:szCs w:val="24"/>
        </w:rPr>
        <w:t xml:space="preserve"> to</w:t>
      </w:r>
      <w:r w:rsidR="0044341F">
        <w:rPr>
          <w:rFonts w:ascii="Arial" w:hAnsi="Arial" w:cs="Arial"/>
          <w:sz w:val="24"/>
          <w:szCs w:val="24"/>
        </w:rPr>
        <w:t xml:space="preserve"> a </w:t>
      </w:r>
      <w:r w:rsidR="00E569B8">
        <w:rPr>
          <w:rFonts w:ascii="Arial" w:hAnsi="Arial" w:cs="Arial"/>
          <w:sz w:val="24"/>
          <w:szCs w:val="24"/>
        </w:rPr>
        <w:t>confirmatory</w:t>
      </w:r>
      <w:r w:rsidR="0044341F">
        <w:rPr>
          <w:rFonts w:ascii="Arial" w:hAnsi="Arial" w:cs="Arial"/>
          <w:sz w:val="24"/>
          <w:szCs w:val="24"/>
        </w:rPr>
        <w:t xml:space="preserve"> affidavit </w:t>
      </w:r>
      <w:r w:rsidR="00AD2BF5">
        <w:rPr>
          <w:rFonts w:ascii="Arial" w:hAnsi="Arial" w:cs="Arial"/>
          <w:sz w:val="24"/>
          <w:szCs w:val="24"/>
        </w:rPr>
        <w:t xml:space="preserve">affirming </w:t>
      </w:r>
      <w:r w:rsidR="0044341F">
        <w:rPr>
          <w:rFonts w:ascii="Arial" w:hAnsi="Arial" w:cs="Arial"/>
          <w:sz w:val="24"/>
          <w:szCs w:val="24"/>
        </w:rPr>
        <w:t xml:space="preserve">the version of the </w:t>
      </w:r>
      <w:r w:rsidR="00BD105B">
        <w:rPr>
          <w:rFonts w:ascii="Arial" w:hAnsi="Arial" w:cs="Arial"/>
          <w:sz w:val="24"/>
          <w:szCs w:val="24"/>
        </w:rPr>
        <w:t xml:space="preserve">first respondent that he was not married </w:t>
      </w:r>
      <w:r w:rsidR="00AD2BF5">
        <w:rPr>
          <w:rFonts w:ascii="Arial" w:hAnsi="Arial" w:cs="Arial"/>
          <w:sz w:val="24"/>
          <w:szCs w:val="24"/>
        </w:rPr>
        <w:t xml:space="preserve">when </w:t>
      </w:r>
      <w:r w:rsidR="00BD105B">
        <w:rPr>
          <w:rFonts w:ascii="Arial" w:hAnsi="Arial" w:cs="Arial"/>
          <w:sz w:val="24"/>
          <w:szCs w:val="24"/>
        </w:rPr>
        <w:t xml:space="preserve">the </w:t>
      </w:r>
      <w:r w:rsidR="00E569B8">
        <w:rPr>
          <w:rFonts w:ascii="Arial" w:hAnsi="Arial" w:cs="Arial"/>
          <w:sz w:val="24"/>
          <w:szCs w:val="24"/>
        </w:rPr>
        <w:t>sale agreement was concluded.</w:t>
      </w:r>
      <w:r w:rsidR="00141267">
        <w:rPr>
          <w:rFonts w:ascii="Arial" w:hAnsi="Arial" w:cs="Arial"/>
          <w:sz w:val="24"/>
          <w:szCs w:val="24"/>
        </w:rPr>
        <w:t xml:space="preserve"> </w:t>
      </w:r>
      <w:r w:rsidR="00F7555B">
        <w:rPr>
          <w:rFonts w:ascii="Arial" w:hAnsi="Arial" w:cs="Arial"/>
          <w:sz w:val="24"/>
          <w:szCs w:val="24"/>
        </w:rPr>
        <w:t>E</w:t>
      </w:r>
      <w:r w:rsidR="00141267">
        <w:rPr>
          <w:rFonts w:ascii="Arial" w:hAnsi="Arial" w:cs="Arial"/>
          <w:sz w:val="24"/>
          <w:szCs w:val="24"/>
        </w:rPr>
        <w:t>ven though</w:t>
      </w:r>
      <w:r w:rsidR="00AD2BF5">
        <w:rPr>
          <w:rFonts w:ascii="Arial" w:hAnsi="Arial" w:cs="Arial"/>
          <w:sz w:val="24"/>
          <w:szCs w:val="24"/>
        </w:rPr>
        <w:t>,</w:t>
      </w:r>
      <w:r w:rsidR="00141267">
        <w:rPr>
          <w:rFonts w:ascii="Arial" w:hAnsi="Arial" w:cs="Arial"/>
          <w:sz w:val="24"/>
          <w:szCs w:val="24"/>
        </w:rPr>
        <w:t xml:space="preserve"> </w:t>
      </w:r>
      <w:r w:rsidR="009B4CF0">
        <w:rPr>
          <w:rFonts w:ascii="Arial" w:hAnsi="Arial" w:cs="Arial"/>
          <w:sz w:val="24"/>
          <w:szCs w:val="24"/>
        </w:rPr>
        <w:t>factually</w:t>
      </w:r>
      <w:r w:rsidR="00214B9C">
        <w:rPr>
          <w:rFonts w:ascii="Arial" w:hAnsi="Arial" w:cs="Arial"/>
          <w:sz w:val="24"/>
          <w:szCs w:val="24"/>
        </w:rPr>
        <w:t>,</w:t>
      </w:r>
      <w:r w:rsidR="009B4CF0">
        <w:rPr>
          <w:rFonts w:ascii="Arial" w:hAnsi="Arial" w:cs="Arial"/>
          <w:sz w:val="24"/>
          <w:szCs w:val="24"/>
        </w:rPr>
        <w:t xml:space="preserve"> the applicant did not give consent, </w:t>
      </w:r>
      <w:r w:rsidR="00F7555B">
        <w:rPr>
          <w:rFonts w:ascii="Arial" w:hAnsi="Arial" w:cs="Arial"/>
          <w:sz w:val="24"/>
          <w:szCs w:val="24"/>
        </w:rPr>
        <w:t>so the contention proceeded</w:t>
      </w:r>
      <w:r w:rsidR="00AD2BF5">
        <w:rPr>
          <w:rFonts w:ascii="Arial" w:hAnsi="Arial" w:cs="Arial"/>
          <w:sz w:val="24"/>
          <w:szCs w:val="24"/>
        </w:rPr>
        <w:t>,</w:t>
      </w:r>
      <w:r w:rsidR="00F7555B">
        <w:rPr>
          <w:rFonts w:ascii="Arial" w:hAnsi="Arial" w:cs="Arial"/>
          <w:sz w:val="24"/>
          <w:szCs w:val="24"/>
        </w:rPr>
        <w:t xml:space="preserve"> </w:t>
      </w:r>
      <w:r w:rsidR="009B4CF0">
        <w:rPr>
          <w:rFonts w:ascii="Arial" w:hAnsi="Arial" w:cs="Arial"/>
          <w:sz w:val="24"/>
          <w:szCs w:val="24"/>
        </w:rPr>
        <w:t xml:space="preserve">section 15(9)(a) </w:t>
      </w:r>
      <w:r w:rsidR="00776CC6">
        <w:rPr>
          <w:rFonts w:ascii="Arial" w:hAnsi="Arial" w:cs="Arial"/>
          <w:sz w:val="24"/>
          <w:szCs w:val="24"/>
        </w:rPr>
        <w:t>o</w:t>
      </w:r>
      <w:r w:rsidR="00220B07">
        <w:rPr>
          <w:rFonts w:ascii="Arial" w:hAnsi="Arial" w:cs="Arial"/>
          <w:sz w:val="24"/>
          <w:szCs w:val="24"/>
        </w:rPr>
        <w:t xml:space="preserve">f the </w:t>
      </w:r>
      <w:r w:rsidR="00776CC6">
        <w:rPr>
          <w:rFonts w:ascii="Arial" w:hAnsi="Arial" w:cs="Arial"/>
          <w:sz w:val="24"/>
          <w:szCs w:val="24"/>
        </w:rPr>
        <w:t>MPA protects the fi</w:t>
      </w:r>
      <w:r w:rsidR="00220B07">
        <w:rPr>
          <w:rFonts w:ascii="Arial" w:hAnsi="Arial" w:cs="Arial"/>
          <w:sz w:val="24"/>
          <w:szCs w:val="24"/>
        </w:rPr>
        <w:t>r</w:t>
      </w:r>
      <w:r w:rsidR="00776CC6">
        <w:rPr>
          <w:rFonts w:ascii="Arial" w:hAnsi="Arial" w:cs="Arial"/>
          <w:sz w:val="24"/>
          <w:szCs w:val="24"/>
        </w:rPr>
        <w:t xml:space="preserve">st respondent as the applicant’s consent is deemed </w:t>
      </w:r>
      <w:r w:rsidR="0078354F">
        <w:rPr>
          <w:rFonts w:ascii="Arial" w:hAnsi="Arial" w:cs="Arial"/>
          <w:sz w:val="24"/>
          <w:szCs w:val="24"/>
        </w:rPr>
        <w:t xml:space="preserve">to have been given, with the result that the transaction is valid and enforceable. </w:t>
      </w:r>
      <w:r w:rsidR="00E569B8">
        <w:rPr>
          <w:rFonts w:ascii="Arial" w:hAnsi="Arial" w:cs="Arial"/>
          <w:sz w:val="24"/>
          <w:szCs w:val="24"/>
        </w:rPr>
        <w:t xml:space="preserve"> </w:t>
      </w:r>
    </w:p>
    <w:p w:rsidR="00847521" w:rsidRDefault="00847521" w:rsidP="001E30D4">
      <w:pPr>
        <w:autoSpaceDE w:val="0"/>
        <w:autoSpaceDN w:val="0"/>
        <w:adjustRightInd w:val="0"/>
        <w:spacing w:after="0" w:line="480" w:lineRule="auto"/>
        <w:jc w:val="both"/>
        <w:rPr>
          <w:rFonts w:ascii="Arial" w:eastAsia="Times New Roman" w:hAnsi="Arial" w:cs="Arial"/>
          <w:bCs/>
          <w:sz w:val="24"/>
          <w:szCs w:val="24"/>
        </w:rPr>
      </w:pPr>
    </w:p>
    <w:p w:rsidR="002325B7" w:rsidRDefault="005953B5" w:rsidP="001E30D4">
      <w:pPr>
        <w:autoSpaceDE w:val="0"/>
        <w:autoSpaceDN w:val="0"/>
        <w:adjustRightInd w:val="0"/>
        <w:spacing w:after="0" w:line="480" w:lineRule="auto"/>
        <w:jc w:val="both"/>
        <w:rPr>
          <w:rFonts w:ascii="Arial" w:eastAsia="Times New Roman" w:hAnsi="Arial" w:cs="Arial"/>
          <w:b/>
          <w:sz w:val="24"/>
          <w:szCs w:val="24"/>
        </w:rPr>
      </w:pPr>
      <w:r w:rsidRPr="005A16B2">
        <w:rPr>
          <w:rFonts w:ascii="Arial" w:eastAsia="Times New Roman" w:hAnsi="Arial" w:cs="Arial"/>
          <w:b/>
          <w:sz w:val="24"/>
          <w:szCs w:val="24"/>
        </w:rPr>
        <w:lastRenderedPageBreak/>
        <w:t>ANALYSIS</w:t>
      </w:r>
    </w:p>
    <w:p w:rsidR="00F7555B" w:rsidRDefault="00F7555B" w:rsidP="001E30D4">
      <w:pPr>
        <w:autoSpaceDE w:val="0"/>
        <w:autoSpaceDN w:val="0"/>
        <w:adjustRightInd w:val="0"/>
        <w:spacing w:after="0" w:line="480" w:lineRule="auto"/>
        <w:jc w:val="both"/>
        <w:rPr>
          <w:rFonts w:ascii="Arial" w:eastAsia="Times New Roman" w:hAnsi="Arial" w:cs="Arial"/>
          <w:b/>
          <w:sz w:val="24"/>
          <w:szCs w:val="24"/>
        </w:rPr>
      </w:pPr>
    </w:p>
    <w:p w:rsidR="007E0C8D" w:rsidRDefault="006A0506" w:rsidP="007E0C8D">
      <w:pPr>
        <w:autoSpaceDE w:val="0"/>
        <w:autoSpaceDN w:val="0"/>
        <w:adjustRightInd w:val="0"/>
        <w:spacing w:after="0" w:line="480" w:lineRule="auto"/>
        <w:jc w:val="both"/>
        <w:rPr>
          <w:rFonts w:ascii="Arial" w:hAnsi="Arial" w:cs="Arial"/>
          <w:sz w:val="24"/>
          <w:szCs w:val="24"/>
        </w:rPr>
      </w:pPr>
      <w:r>
        <w:rPr>
          <w:rFonts w:ascii="Arial" w:eastAsia="Times New Roman" w:hAnsi="Arial" w:cs="Arial"/>
          <w:bCs/>
          <w:sz w:val="24"/>
          <w:szCs w:val="24"/>
        </w:rPr>
        <w:t>[30</w:t>
      </w:r>
      <w:r w:rsidR="00DF00DB">
        <w:rPr>
          <w:rFonts w:ascii="Arial" w:eastAsia="Times New Roman" w:hAnsi="Arial" w:cs="Arial"/>
          <w:bCs/>
          <w:sz w:val="24"/>
          <w:szCs w:val="24"/>
        </w:rPr>
        <w:t>]</w:t>
      </w:r>
      <w:r w:rsidR="00DF00DB">
        <w:rPr>
          <w:rFonts w:ascii="Arial" w:eastAsia="Times New Roman" w:hAnsi="Arial" w:cs="Arial"/>
          <w:bCs/>
          <w:sz w:val="24"/>
          <w:szCs w:val="24"/>
        </w:rPr>
        <w:tab/>
      </w:r>
      <w:r w:rsidR="002325B7" w:rsidRPr="002325B7">
        <w:rPr>
          <w:rFonts w:ascii="Arial" w:eastAsia="Times New Roman" w:hAnsi="Arial" w:cs="Arial"/>
          <w:bCs/>
          <w:sz w:val="24"/>
          <w:szCs w:val="24"/>
        </w:rPr>
        <w:t xml:space="preserve">This case </w:t>
      </w:r>
      <w:r w:rsidR="004E55A3">
        <w:rPr>
          <w:rFonts w:ascii="Arial" w:eastAsia="Times New Roman" w:hAnsi="Arial" w:cs="Arial"/>
          <w:bCs/>
          <w:sz w:val="24"/>
          <w:szCs w:val="24"/>
        </w:rPr>
        <w:t>in my view</w:t>
      </w:r>
      <w:r w:rsidR="00214B9C">
        <w:rPr>
          <w:rFonts w:ascii="Arial" w:eastAsia="Times New Roman" w:hAnsi="Arial" w:cs="Arial"/>
          <w:bCs/>
          <w:sz w:val="24"/>
          <w:szCs w:val="24"/>
        </w:rPr>
        <w:t>,</w:t>
      </w:r>
      <w:r w:rsidR="004E55A3">
        <w:rPr>
          <w:rFonts w:ascii="Arial" w:eastAsia="Times New Roman" w:hAnsi="Arial" w:cs="Arial"/>
          <w:bCs/>
          <w:sz w:val="24"/>
          <w:szCs w:val="24"/>
        </w:rPr>
        <w:t xml:space="preserve"> </w:t>
      </w:r>
      <w:r w:rsidR="002325B7" w:rsidRPr="002325B7">
        <w:rPr>
          <w:rFonts w:ascii="Arial" w:eastAsia="Times New Roman" w:hAnsi="Arial" w:cs="Arial"/>
          <w:bCs/>
          <w:sz w:val="24"/>
          <w:szCs w:val="24"/>
        </w:rPr>
        <w:t xml:space="preserve">hinges on </w:t>
      </w:r>
      <w:r w:rsidR="00021DD5" w:rsidRPr="002325B7">
        <w:rPr>
          <w:rFonts w:ascii="Arial" w:eastAsia="Times New Roman" w:hAnsi="Arial" w:cs="Arial"/>
          <w:bCs/>
          <w:sz w:val="24"/>
          <w:szCs w:val="24"/>
        </w:rPr>
        <w:t xml:space="preserve">the </w:t>
      </w:r>
      <w:r w:rsidR="00F7555B">
        <w:rPr>
          <w:rFonts w:ascii="Arial" w:eastAsia="Times New Roman" w:hAnsi="Arial" w:cs="Arial"/>
          <w:bCs/>
          <w:sz w:val="24"/>
          <w:szCs w:val="24"/>
        </w:rPr>
        <w:t xml:space="preserve">application of </w:t>
      </w:r>
      <w:r w:rsidR="0064183E">
        <w:rPr>
          <w:rFonts w:ascii="Arial" w:eastAsia="Times New Roman" w:hAnsi="Arial" w:cs="Arial"/>
          <w:bCs/>
          <w:sz w:val="24"/>
          <w:szCs w:val="24"/>
        </w:rPr>
        <w:t>section 15(2) and section 15(9) of the MPA.</w:t>
      </w:r>
      <w:r w:rsidR="00021DD5">
        <w:rPr>
          <w:rFonts w:ascii="Arial" w:eastAsia="Times New Roman" w:hAnsi="Arial" w:cs="Arial"/>
          <w:bCs/>
          <w:sz w:val="24"/>
          <w:szCs w:val="24"/>
        </w:rPr>
        <w:t xml:space="preserve"> </w:t>
      </w:r>
      <w:r w:rsidR="00207CD3" w:rsidRPr="00A4415C">
        <w:rPr>
          <w:rFonts w:ascii="Arial" w:hAnsi="Arial" w:cs="Arial"/>
          <w:sz w:val="24"/>
          <w:szCs w:val="24"/>
        </w:rPr>
        <w:t xml:space="preserve">Our Constitution requires a purposive approach to statutory interpretation - See </w:t>
      </w:r>
      <w:r w:rsidR="00207CD3" w:rsidRPr="00A4415C">
        <w:rPr>
          <w:rFonts w:ascii="Arial" w:hAnsi="Arial" w:cs="Arial"/>
          <w:i/>
          <w:iCs/>
          <w:sz w:val="24"/>
          <w:szCs w:val="24"/>
        </w:rPr>
        <w:t>Daniels v Campbell NO and Others</w:t>
      </w:r>
      <w:r w:rsidR="00207CD3" w:rsidRPr="00A4415C">
        <w:rPr>
          <w:rFonts w:ascii="Arial" w:hAnsi="Arial" w:cs="Arial"/>
          <w:sz w:val="24"/>
          <w:szCs w:val="24"/>
        </w:rPr>
        <w:t xml:space="preserve"> 2004 (7) BCLR 735 (CC) at paras 22-23.</w:t>
      </w:r>
      <w:r w:rsidR="00CB631F">
        <w:rPr>
          <w:rFonts w:ascii="Arial" w:hAnsi="Arial" w:cs="Arial"/>
          <w:sz w:val="24"/>
          <w:szCs w:val="24"/>
        </w:rPr>
        <w:t xml:space="preserve"> Section 39(2)</w:t>
      </w:r>
      <w:r w:rsidR="005A3CE9">
        <w:rPr>
          <w:rFonts w:ascii="Arial" w:hAnsi="Arial" w:cs="Arial"/>
          <w:sz w:val="24"/>
          <w:szCs w:val="24"/>
        </w:rPr>
        <w:t xml:space="preserve"> provi</w:t>
      </w:r>
      <w:r w:rsidR="00EB3640">
        <w:rPr>
          <w:rFonts w:ascii="Arial" w:hAnsi="Arial" w:cs="Arial"/>
          <w:sz w:val="24"/>
          <w:szCs w:val="24"/>
        </w:rPr>
        <w:t xml:space="preserve">des that </w:t>
      </w:r>
      <w:r w:rsidR="001C57F5">
        <w:rPr>
          <w:rFonts w:ascii="Arial" w:hAnsi="Arial" w:cs="Arial"/>
          <w:sz w:val="24"/>
          <w:szCs w:val="24"/>
        </w:rPr>
        <w:t>‘w</w:t>
      </w:r>
      <w:r w:rsidR="00EB3640" w:rsidRPr="009D5EB5">
        <w:rPr>
          <w:rFonts w:ascii="Arial" w:hAnsi="Arial" w:cs="Arial"/>
          <w:sz w:val="24"/>
          <w:szCs w:val="24"/>
        </w:rPr>
        <w:t>hen interpreting any legislation, and when developing the com</w:t>
      </w:r>
      <w:r w:rsidR="00EB3640" w:rsidRPr="005318B4">
        <w:rPr>
          <w:rFonts w:ascii="Arial" w:hAnsi="Arial" w:cs="Arial"/>
          <w:sz w:val="24"/>
          <w:szCs w:val="24"/>
        </w:rPr>
        <w:t>mon law or customary law, every court, tribunal or forum must promote the spirit, purport and objects of the Bill of Rights.”</w:t>
      </w:r>
      <w:r w:rsidR="00DE7355" w:rsidRPr="005318B4">
        <w:rPr>
          <w:rFonts w:ascii="Arial" w:hAnsi="Arial" w:cs="Arial"/>
          <w:sz w:val="24"/>
          <w:szCs w:val="24"/>
        </w:rPr>
        <w:t xml:space="preserve"> In </w:t>
      </w:r>
      <w:proofErr w:type="spellStart"/>
      <w:r w:rsidR="00DE7355" w:rsidRPr="005318B4">
        <w:rPr>
          <w:rFonts w:ascii="Arial" w:hAnsi="Arial" w:cs="Arial"/>
          <w:i/>
          <w:iCs/>
          <w:sz w:val="24"/>
          <w:szCs w:val="24"/>
        </w:rPr>
        <w:t>Bato</w:t>
      </w:r>
      <w:proofErr w:type="spellEnd"/>
      <w:r w:rsidR="00DE7355" w:rsidRPr="005318B4">
        <w:rPr>
          <w:rFonts w:ascii="Arial" w:hAnsi="Arial" w:cs="Arial"/>
          <w:i/>
          <w:iCs/>
          <w:sz w:val="24"/>
          <w:szCs w:val="24"/>
        </w:rPr>
        <w:t xml:space="preserve"> Star Fishing (Pty) Ltd v Minister of Environmental Affairs and Tourism and Others </w:t>
      </w:r>
      <w:r w:rsidR="00DE7355" w:rsidRPr="005318B4">
        <w:rPr>
          <w:rFonts w:ascii="Arial" w:hAnsi="Arial" w:cs="Arial"/>
          <w:sz w:val="24"/>
          <w:szCs w:val="24"/>
        </w:rPr>
        <w:t>2004 (7) BCLR 687 (CC) at para 91</w:t>
      </w:r>
      <w:r w:rsidR="00AD2BF5">
        <w:rPr>
          <w:rFonts w:ascii="Arial" w:hAnsi="Arial" w:cs="Arial"/>
          <w:sz w:val="24"/>
          <w:szCs w:val="24"/>
        </w:rPr>
        <w:t>,</w:t>
      </w:r>
      <w:r w:rsidR="00DE7355" w:rsidRPr="005318B4">
        <w:rPr>
          <w:rFonts w:ascii="Arial" w:hAnsi="Arial" w:cs="Arial"/>
          <w:sz w:val="24"/>
          <w:szCs w:val="24"/>
        </w:rPr>
        <w:t xml:space="preserve"> the court found that </w:t>
      </w:r>
      <w:r w:rsidR="00D4160A" w:rsidRPr="005318B4">
        <w:rPr>
          <w:rFonts w:ascii="Arial" w:hAnsi="Arial" w:cs="Arial"/>
          <w:sz w:val="24"/>
          <w:szCs w:val="24"/>
        </w:rPr>
        <w:t xml:space="preserve">this section </w:t>
      </w:r>
      <w:r w:rsidR="007E0C8D" w:rsidRPr="005318B4">
        <w:rPr>
          <w:rFonts w:ascii="Arial" w:hAnsi="Arial" w:cs="Arial"/>
          <w:sz w:val="24"/>
          <w:szCs w:val="24"/>
        </w:rPr>
        <w:t>introduce</w:t>
      </w:r>
      <w:r w:rsidR="006D750F" w:rsidRPr="005318B4">
        <w:rPr>
          <w:rFonts w:ascii="Arial" w:hAnsi="Arial" w:cs="Arial"/>
          <w:sz w:val="24"/>
          <w:szCs w:val="24"/>
        </w:rPr>
        <w:t>d</w:t>
      </w:r>
      <w:r w:rsidR="007E0C8D" w:rsidRPr="005318B4">
        <w:rPr>
          <w:rFonts w:ascii="Arial" w:hAnsi="Arial" w:cs="Arial"/>
          <w:sz w:val="24"/>
          <w:szCs w:val="24"/>
        </w:rPr>
        <w:t xml:space="preserve"> a mandatory requirement to construe every piece of legislation in a manner that promotes the spirit, </w:t>
      </w:r>
      <w:r w:rsidR="00FE5BE7" w:rsidRPr="005318B4">
        <w:rPr>
          <w:rFonts w:ascii="Arial" w:hAnsi="Arial" w:cs="Arial"/>
          <w:sz w:val="24"/>
          <w:szCs w:val="24"/>
        </w:rPr>
        <w:t>purport,</w:t>
      </w:r>
      <w:r w:rsidR="007E0C8D" w:rsidRPr="005318B4">
        <w:rPr>
          <w:rFonts w:ascii="Arial" w:hAnsi="Arial" w:cs="Arial"/>
          <w:sz w:val="24"/>
          <w:szCs w:val="24"/>
        </w:rPr>
        <w:t xml:space="preserve"> and objects of the Bill of Rights.</w:t>
      </w:r>
      <w:r w:rsidR="00B27BF5" w:rsidRPr="005318B4">
        <w:rPr>
          <w:rFonts w:ascii="Arial" w:hAnsi="Arial" w:cs="Arial"/>
          <w:sz w:val="24"/>
          <w:szCs w:val="24"/>
        </w:rPr>
        <w:t xml:space="preserve"> </w:t>
      </w:r>
    </w:p>
    <w:p w:rsidR="004802F9" w:rsidRDefault="004802F9" w:rsidP="007E0C8D">
      <w:pPr>
        <w:autoSpaceDE w:val="0"/>
        <w:autoSpaceDN w:val="0"/>
        <w:adjustRightInd w:val="0"/>
        <w:spacing w:after="0" w:line="480" w:lineRule="auto"/>
        <w:jc w:val="both"/>
        <w:rPr>
          <w:rFonts w:ascii="Arial" w:hAnsi="Arial" w:cs="Arial"/>
          <w:sz w:val="24"/>
          <w:szCs w:val="24"/>
        </w:rPr>
      </w:pPr>
    </w:p>
    <w:p w:rsidR="00647111" w:rsidRDefault="006A0506" w:rsidP="007E0C8D">
      <w:pPr>
        <w:autoSpaceDE w:val="0"/>
        <w:autoSpaceDN w:val="0"/>
        <w:adjustRightInd w:val="0"/>
        <w:spacing w:after="0" w:line="480" w:lineRule="auto"/>
        <w:jc w:val="both"/>
        <w:rPr>
          <w:rFonts w:ascii="Arial" w:hAnsi="Arial" w:cs="Arial"/>
          <w:sz w:val="24"/>
          <w:szCs w:val="24"/>
        </w:rPr>
      </w:pPr>
      <w:r>
        <w:rPr>
          <w:rFonts w:ascii="Arial" w:hAnsi="Arial" w:cs="Arial"/>
          <w:sz w:val="24"/>
          <w:szCs w:val="24"/>
        </w:rPr>
        <w:t>[31</w:t>
      </w:r>
      <w:r w:rsidR="00DF00DB">
        <w:rPr>
          <w:rFonts w:ascii="Arial" w:hAnsi="Arial" w:cs="Arial"/>
          <w:sz w:val="24"/>
          <w:szCs w:val="24"/>
        </w:rPr>
        <w:t>]</w:t>
      </w:r>
      <w:r w:rsidR="00DF00DB">
        <w:rPr>
          <w:rFonts w:ascii="Arial" w:hAnsi="Arial" w:cs="Arial"/>
          <w:sz w:val="24"/>
          <w:szCs w:val="24"/>
        </w:rPr>
        <w:tab/>
      </w:r>
      <w:r w:rsidR="00AD2BF5" w:rsidRPr="00AD2BF5">
        <w:rPr>
          <w:rFonts w:ascii="Arial" w:hAnsi="Arial" w:cs="Arial"/>
          <w:sz w:val="24"/>
          <w:szCs w:val="24"/>
        </w:rPr>
        <w:t>In cognisance to the requirem</w:t>
      </w:r>
      <w:r w:rsidR="00214B9C">
        <w:rPr>
          <w:rFonts w:ascii="Arial" w:hAnsi="Arial" w:cs="Arial"/>
          <w:sz w:val="24"/>
          <w:szCs w:val="24"/>
        </w:rPr>
        <w:t>ent of interpreting legislation</w:t>
      </w:r>
      <w:r w:rsidR="00AD2BF5" w:rsidRPr="00AD2BF5">
        <w:rPr>
          <w:rFonts w:ascii="Arial" w:hAnsi="Arial" w:cs="Arial"/>
          <w:sz w:val="24"/>
          <w:szCs w:val="24"/>
        </w:rPr>
        <w:t xml:space="preserve"> in co</w:t>
      </w:r>
      <w:r w:rsidR="00EB648A">
        <w:rPr>
          <w:rFonts w:ascii="Arial" w:hAnsi="Arial" w:cs="Arial"/>
          <w:sz w:val="24"/>
          <w:szCs w:val="24"/>
        </w:rPr>
        <w:t>nformity with constitutional values</w:t>
      </w:r>
      <w:r w:rsidR="00AD2BF5" w:rsidRPr="00AD2BF5">
        <w:rPr>
          <w:rFonts w:ascii="Arial" w:hAnsi="Arial" w:cs="Arial"/>
          <w:sz w:val="24"/>
          <w:szCs w:val="24"/>
        </w:rPr>
        <w:t>, I consider first the provisions of section 15(2) of the MPA within the context of this case.</w:t>
      </w:r>
      <w:r w:rsidR="00214B9C">
        <w:rPr>
          <w:rFonts w:ascii="Arial" w:hAnsi="Arial" w:cs="Arial"/>
          <w:sz w:val="24"/>
          <w:szCs w:val="24"/>
        </w:rPr>
        <w:t xml:space="preserve"> </w:t>
      </w:r>
      <w:r w:rsidR="00214B9C" w:rsidRPr="00214B9C">
        <w:rPr>
          <w:rFonts w:ascii="Arial" w:hAnsi="Arial" w:cs="Arial"/>
          <w:sz w:val="24"/>
          <w:szCs w:val="24"/>
        </w:rPr>
        <w:t>It is well-established in our law that when spouses are married in a community of property, all spouses' assets are merged, either obtained before or after the marriage's conclusion, in one joint estate.</w:t>
      </w:r>
      <w:r w:rsidR="00214B9C">
        <w:rPr>
          <w:rFonts w:ascii="Arial" w:hAnsi="Arial" w:cs="Arial"/>
          <w:sz w:val="24"/>
          <w:szCs w:val="24"/>
        </w:rPr>
        <w:t xml:space="preserve"> </w:t>
      </w:r>
      <w:r w:rsidR="008A24B6">
        <w:rPr>
          <w:rFonts w:ascii="Arial" w:hAnsi="Arial" w:cs="Arial"/>
          <w:sz w:val="24"/>
          <w:szCs w:val="24"/>
        </w:rPr>
        <w:t xml:space="preserve">See </w:t>
      </w:r>
      <w:r w:rsidR="00B639D8" w:rsidRPr="00FE5BE7">
        <w:rPr>
          <w:rFonts w:ascii="Arial" w:hAnsi="Arial" w:cs="Arial"/>
          <w:i/>
          <w:iCs/>
          <w:sz w:val="24"/>
          <w:szCs w:val="24"/>
        </w:rPr>
        <w:t>Ex Parte Menzies et Uxor</w:t>
      </w:r>
      <w:r w:rsidR="00B639D8">
        <w:rPr>
          <w:rFonts w:ascii="Arial" w:hAnsi="Arial" w:cs="Arial"/>
          <w:sz w:val="24"/>
          <w:szCs w:val="24"/>
        </w:rPr>
        <w:t xml:space="preserve"> 1993 (3) S</w:t>
      </w:r>
      <w:r w:rsidR="00444F81">
        <w:rPr>
          <w:rFonts w:ascii="Arial" w:hAnsi="Arial" w:cs="Arial"/>
          <w:sz w:val="24"/>
          <w:szCs w:val="24"/>
        </w:rPr>
        <w:t>A</w:t>
      </w:r>
      <w:r w:rsidR="00B639D8">
        <w:rPr>
          <w:rFonts w:ascii="Arial" w:hAnsi="Arial" w:cs="Arial"/>
          <w:sz w:val="24"/>
          <w:szCs w:val="24"/>
        </w:rPr>
        <w:t xml:space="preserve"> 799 </w:t>
      </w:r>
      <w:r w:rsidR="002D6708">
        <w:rPr>
          <w:rFonts w:ascii="Arial" w:hAnsi="Arial" w:cs="Arial"/>
          <w:sz w:val="24"/>
          <w:szCs w:val="24"/>
        </w:rPr>
        <w:t>(C)</w:t>
      </w:r>
      <w:r w:rsidR="00B639D8">
        <w:rPr>
          <w:rFonts w:ascii="Arial" w:hAnsi="Arial" w:cs="Arial"/>
          <w:sz w:val="24"/>
          <w:szCs w:val="24"/>
        </w:rPr>
        <w:t xml:space="preserve"> </w:t>
      </w:r>
      <w:r w:rsidR="002D6708">
        <w:rPr>
          <w:rFonts w:ascii="Arial" w:hAnsi="Arial" w:cs="Arial"/>
          <w:sz w:val="24"/>
          <w:szCs w:val="24"/>
        </w:rPr>
        <w:t xml:space="preserve">808. </w:t>
      </w:r>
      <w:r w:rsidR="008A24B6">
        <w:rPr>
          <w:rFonts w:ascii="Arial" w:hAnsi="Arial" w:cs="Arial"/>
          <w:sz w:val="24"/>
          <w:szCs w:val="24"/>
        </w:rPr>
        <w:t xml:space="preserve"> </w:t>
      </w:r>
      <w:r w:rsidR="002D6708">
        <w:rPr>
          <w:rFonts w:ascii="Arial" w:hAnsi="Arial" w:cs="Arial"/>
          <w:sz w:val="24"/>
          <w:szCs w:val="24"/>
        </w:rPr>
        <w:t xml:space="preserve">The joint estate belongs to the </w:t>
      </w:r>
      <w:r w:rsidR="003C0674">
        <w:rPr>
          <w:rFonts w:ascii="Arial" w:hAnsi="Arial" w:cs="Arial"/>
          <w:sz w:val="24"/>
          <w:szCs w:val="24"/>
        </w:rPr>
        <w:t xml:space="preserve">spouses in </w:t>
      </w:r>
      <w:r w:rsidR="00DD7F9B">
        <w:rPr>
          <w:rFonts w:ascii="Arial" w:hAnsi="Arial" w:cs="Arial"/>
          <w:sz w:val="24"/>
          <w:szCs w:val="24"/>
        </w:rPr>
        <w:t>undivided</w:t>
      </w:r>
      <w:r w:rsidR="003C0674">
        <w:rPr>
          <w:rFonts w:ascii="Arial" w:hAnsi="Arial" w:cs="Arial"/>
          <w:sz w:val="24"/>
          <w:szCs w:val="24"/>
        </w:rPr>
        <w:t xml:space="preserve"> and indivisible half-shares and is known as </w:t>
      </w:r>
      <w:r w:rsidR="00DD7F9B">
        <w:rPr>
          <w:rFonts w:ascii="Arial" w:hAnsi="Arial" w:cs="Arial"/>
          <w:sz w:val="24"/>
          <w:szCs w:val="24"/>
        </w:rPr>
        <w:t xml:space="preserve">tied co-ownership. </w:t>
      </w:r>
      <w:r w:rsidR="00F4208D">
        <w:rPr>
          <w:rFonts w:ascii="Arial" w:hAnsi="Arial" w:cs="Arial"/>
          <w:sz w:val="24"/>
          <w:szCs w:val="24"/>
        </w:rPr>
        <w:t xml:space="preserve">See </w:t>
      </w:r>
      <w:r w:rsidR="00F4208D" w:rsidRPr="00FE5BE7">
        <w:rPr>
          <w:rFonts w:ascii="Arial" w:hAnsi="Arial" w:cs="Arial"/>
          <w:i/>
          <w:iCs/>
          <w:sz w:val="24"/>
          <w:szCs w:val="24"/>
        </w:rPr>
        <w:t xml:space="preserve">Corporate Liquidators (Pty) Ltd and Another v </w:t>
      </w:r>
      <w:proofErr w:type="spellStart"/>
      <w:r w:rsidR="00F4208D" w:rsidRPr="00FE5BE7">
        <w:rPr>
          <w:rFonts w:ascii="Arial" w:hAnsi="Arial" w:cs="Arial"/>
          <w:i/>
          <w:iCs/>
          <w:sz w:val="24"/>
          <w:szCs w:val="24"/>
        </w:rPr>
        <w:t>W</w:t>
      </w:r>
      <w:r w:rsidR="001066CD" w:rsidRPr="00FE5BE7">
        <w:rPr>
          <w:rFonts w:ascii="Arial" w:hAnsi="Arial" w:cs="Arial"/>
          <w:i/>
          <w:iCs/>
          <w:sz w:val="24"/>
          <w:szCs w:val="24"/>
        </w:rPr>
        <w:t>iggill</w:t>
      </w:r>
      <w:proofErr w:type="spellEnd"/>
      <w:r w:rsidR="001066CD" w:rsidRPr="00FE5BE7">
        <w:rPr>
          <w:rFonts w:ascii="Arial" w:hAnsi="Arial" w:cs="Arial"/>
          <w:i/>
          <w:iCs/>
          <w:sz w:val="24"/>
          <w:szCs w:val="24"/>
        </w:rPr>
        <w:t xml:space="preserve"> and Others</w:t>
      </w:r>
      <w:r w:rsidR="001066CD">
        <w:rPr>
          <w:rFonts w:ascii="Arial" w:hAnsi="Arial" w:cs="Arial"/>
          <w:sz w:val="24"/>
          <w:szCs w:val="24"/>
        </w:rPr>
        <w:t xml:space="preserve"> 2007 (2) S</w:t>
      </w:r>
      <w:r w:rsidR="00545DA2">
        <w:rPr>
          <w:rFonts w:ascii="Arial" w:hAnsi="Arial" w:cs="Arial"/>
          <w:sz w:val="24"/>
          <w:szCs w:val="24"/>
        </w:rPr>
        <w:t>A</w:t>
      </w:r>
      <w:r w:rsidR="001066CD">
        <w:rPr>
          <w:rFonts w:ascii="Arial" w:hAnsi="Arial" w:cs="Arial"/>
          <w:sz w:val="24"/>
          <w:szCs w:val="24"/>
        </w:rPr>
        <w:t xml:space="preserve"> 520 (T) at 526D-F</w:t>
      </w:r>
      <w:r w:rsidR="00B11885">
        <w:rPr>
          <w:rFonts w:ascii="Arial" w:hAnsi="Arial" w:cs="Arial"/>
          <w:sz w:val="24"/>
          <w:szCs w:val="24"/>
        </w:rPr>
        <w:t xml:space="preserve">. </w:t>
      </w:r>
    </w:p>
    <w:p w:rsidR="00647111" w:rsidRDefault="00647111" w:rsidP="007E0C8D">
      <w:pPr>
        <w:autoSpaceDE w:val="0"/>
        <w:autoSpaceDN w:val="0"/>
        <w:adjustRightInd w:val="0"/>
        <w:spacing w:after="0" w:line="480" w:lineRule="auto"/>
        <w:jc w:val="both"/>
        <w:rPr>
          <w:rFonts w:ascii="Arial" w:hAnsi="Arial" w:cs="Arial"/>
          <w:sz w:val="24"/>
          <w:szCs w:val="24"/>
        </w:rPr>
      </w:pPr>
    </w:p>
    <w:p w:rsidR="00647111" w:rsidRDefault="006A0506" w:rsidP="007E0C8D">
      <w:pPr>
        <w:autoSpaceDE w:val="0"/>
        <w:autoSpaceDN w:val="0"/>
        <w:adjustRightInd w:val="0"/>
        <w:spacing w:after="0" w:line="480" w:lineRule="auto"/>
        <w:jc w:val="both"/>
        <w:rPr>
          <w:rFonts w:ascii="Arial" w:hAnsi="Arial" w:cs="Arial"/>
          <w:sz w:val="24"/>
          <w:szCs w:val="24"/>
        </w:rPr>
      </w:pPr>
      <w:r>
        <w:rPr>
          <w:rFonts w:ascii="Arial" w:hAnsi="Arial" w:cs="Arial"/>
          <w:sz w:val="24"/>
          <w:szCs w:val="24"/>
        </w:rPr>
        <w:t>[32</w:t>
      </w:r>
      <w:r w:rsidR="00DF00DB">
        <w:rPr>
          <w:rFonts w:ascii="Arial" w:hAnsi="Arial" w:cs="Arial"/>
          <w:sz w:val="24"/>
          <w:szCs w:val="24"/>
        </w:rPr>
        <w:t>]</w:t>
      </w:r>
      <w:r w:rsidR="00DF00DB">
        <w:rPr>
          <w:rFonts w:ascii="Arial" w:hAnsi="Arial" w:cs="Arial"/>
          <w:sz w:val="24"/>
          <w:szCs w:val="24"/>
        </w:rPr>
        <w:tab/>
      </w:r>
      <w:r w:rsidR="00E67197">
        <w:rPr>
          <w:rFonts w:ascii="Arial" w:hAnsi="Arial" w:cs="Arial"/>
          <w:sz w:val="24"/>
          <w:szCs w:val="24"/>
        </w:rPr>
        <w:t>S</w:t>
      </w:r>
      <w:r w:rsidR="00B11885">
        <w:rPr>
          <w:rFonts w:ascii="Arial" w:hAnsi="Arial" w:cs="Arial"/>
          <w:sz w:val="24"/>
          <w:szCs w:val="24"/>
        </w:rPr>
        <w:t xml:space="preserve">ection 14 of the MPA </w:t>
      </w:r>
      <w:r w:rsidR="00647111">
        <w:rPr>
          <w:rFonts w:ascii="Arial" w:hAnsi="Arial" w:cs="Arial"/>
          <w:sz w:val="24"/>
          <w:szCs w:val="24"/>
        </w:rPr>
        <w:t xml:space="preserve">abolished marital power and </w:t>
      </w:r>
      <w:r w:rsidR="008E7630">
        <w:rPr>
          <w:rFonts w:ascii="Arial" w:hAnsi="Arial" w:cs="Arial"/>
          <w:sz w:val="24"/>
          <w:szCs w:val="24"/>
        </w:rPr>
        <w:t>grant</w:t>
      </w:r>
      <w:r w:rsidR="000575F0">
        <w:rPr>
          <w:rFonts w:ascii="Arial" w:hAnsi="Arial" w:cs="Arial"/>
          <w:sz w:val="24"/>
          <w:szCs w:val="24"/>
        </w:rPr>
        <w:t>ed</w:t>
      </w:r>
      <w:r w:rsidR="008E7630">
        <w:rPr>
          <w:rFonts w:ascii="Arial" w:hAnsi="Arial" w:cs="Arial"/>
          <w:sz w:val="24"/>
          <w:szCs w:val="24"/>
        </w:rPr>
        <w:t xml:space="preserve"> spouses</w:t>
      </w:r>
      <w:r w:rsidR="00647111">
        <w:rPr>
          <w:rFonts w:ascii="Arial" w:hAnsi="Arial" w:cs="Arial"/>
          <w:sz w:val="24"/>
          <w:szCs w:val="24"/>
        </w:rPr>
        <w:t xml:space="preserve"> married in community of property equal powers to administer the joint estate and incur debts that bind the joint estate. The section provides</w:t>
      </w:r>
      <w:r w:rsidR="000575F0">
        <w:rPr>
          <w:rFonts w:ascii="Arial" w:hAnsi="Arial" w:cs="Arial"/>
          <w:sz w:val="24"/>
          <w:szCs w:val="24"/>
        </w:rPr>
        <w:t xml:space="preserve"> </w:t>
      </w:r>
      <w:r w:rsidR="00EB648A">
        <w:rPr>
          <w:rFonts w:ascii="Arial" w:hAnsi="Arial" w:cs="Arial"/>
          <w:sz w:val="24"/>
          <w:szCs w:val="24"/>
        </w:rPr>
        <w:t xml:space="preserve">as follows: </w:t>
      </w:r>
    </w:p>
    <w:p w:rsidR="00647111" w:rsidRDefault="00647111" w:rsidP="007E0C8D">
      <w:pPr>
        <w:autoSpaceDE w:val="0"/>
        <w:autoSpaceDN w:val="0"/>
        <w:adjustRightInd w:val="0"/>
        <w:spacing w:after="0" w:line="480" w:lineRule="auto"/>
        <w:jc w:val="both"/>
        <w:rPr>
          <w:rFonts w:ascii="Arial" w:hAnsi="Arial" w:cs="Arial"/>
          <w:sz w:val="24"/>
          <w:szCs w:val="24"/>
        </w:rPr>
      </w:pPr>
    </w:p>
    <w:p w:rsidR="00647111" w:rsidRPr="00647111" w:rsidRDefault="00647111" w:rsidP="00647111">
      <w:pPr>
        <w:ind w:left="568"/>
        <w:jc w:val="both"/>
        <w:rPr>
          <w:rFonts w:ascii="Arial" w:hAnsi="Arial" w:cs="Arial"/>
        </w:rPr>
      </w:pPr>
      <w:r w:rsidRPr="00647111">
        <w:rPr>
          <w:rFonts w:ascii="Arial" w:hAnsi="Arial" w:cs="Arial"/>
        </w:rPr>
        <w:t>Subject to the provisions of this Chapter, a wife in a marriage in community of property has the same powers with regard to the disposal of the assets of the joint estate, the contracting of debts which lie against the joint estate, and the management of the joint estate as those which a husband in such a marriage had immediately before the commencement of this Act.</w:t>
      </w:r>
    </w:p>
    <w:p w:rsidR="00647111" w:rsidRPr="00647111" w:rsidRDefault="00647111" w:rsidP="00647111">
      <w:pPr>
        <w:autoSpaceDE w:val="0"/>
        <w:autoSpaceDN w:val="0"/>
        <w:adjustRightInd w:val="0"/>
        <w:spacing w:after="0" w:line="480" w:lineRule="auto"/>
        <w:jc w:val="both"/>
        <w:rPr>
          <w:rFonts w:ascii="Arial" w:hAnsi="Arial" w:cs="Arial"/>
          <w:sz w:val="24"/>
          <w:szCs w:val="24"/>
        </w:rPr>
      </w:pPr>
    </w:p>
    <w:p w:rsidR="006B2871" w:rsidRDefault="00DF00DB" w:rsidP="000575F0">
      <w:pPr>
        <w:autoSpaceDE w:val="0"/>
        <w:autoSpaceDN w:val="0"/>
        <w:adjustRightInd w:val="0"/>
        <w:spacing w:after="0" w:line="480" w:lineRule="auto"/>
        <w:jc w:val="both"/>
        <w:rPr>
          <w:rFonts w:ascii="Arial" w:hAnsi="Arial" w:cs="Arial"/>
          <w:sz w:val="24"/>
          <w:szCs w:val="24"/>
        </w:rPr>
      </w:pPr>
      <w:r>
        <w:rPr>
          <w:rFonts w:ascii="Arial" w:hAnsi="Arial" w:cs="Arial"/>
          <w:sz w:val="24"/>
          <w:szCs w:val="24"/>
        </w:rPr>
        <w:t>[3</w:t>
      </w:r>
      <w:r w:rsidR="006A0506">
        <w:rPr>
          <w:rFonts w:ascii="Arial" w:hAnsi="Arial" w:cs="Arial"/>
          <w:sz w:val="24"/>
          <w:szCs w:val="24"/>
        </w:rPr>
        <w:t>3</w:t>
      </w:r>
      <w:r>
        <w:rPr>
          <w:rFonts w:ascii="Arial" w:hAnsi="Arial" w:cs="Arial"/>
          <w:sz w:val="24"/>
          <w:szCs w:val="24"/>
        </w:rPr>
        <w:t>]</w:t>
      </w:r>
      <w:r>
        <w:rPr>
          <w:rFonts w:ascii="Arial" w:hAnsi="Arial" w:cs="Arial"/>
          <w:sz w:val="24"/>
          <w:szCs w:val="24"/>
        </w:rPr>
        <w:tab/>
      </w:r>
      <w:r w:rsidR="00B1166E">
        <w:rPr>
          <w:rFonts w:ascii="Arial" w:hAnsi="Arial" w:cs="Arial"/>
          <w:sz w:val="24"/>
          <w:szCs w:val="24"/>
        </w:rPr>
        <w:t>Section 14 grants spouses</w:t>
      </w:r>
      <w:r w:rsidR="008E7630">
        <w:rPr>
          <w:rFonts w:ascii="Arial" w:hAnsi="Arial" w:cs="Arial"/>
          <w:sz w:val="24"/>
          <w:szCs w:val="24"/>
        </w:rPr>
        <w:t xml:space="preserve"> </w:t>
      </w:r>
      <w:r w:rsidR="008218BD">
        <w:rPr>
          <w:rFonts w:ascii="Arial" w:hAnsi="Arial" w:cs="Arial"/>
          <w:sz w:val="24"/>
          <w:szCs w:val="24"/>
        </w:rPr>
        <w:t xml:space="preserve">the </w:t>
      </w:r>
      <w:r w:rsidR="004D73F0">
        <w:rPr>
          <w:rFonts w:ascii="Arial" w:hAnsi="Arial" w:cs="Arial"/>
          <w:sz w:val="24"/>
          <w:szCs w:val="24"/>
        </w:rPr>
        <w:t>so-called</w:t>
      </w:r>
      <w:r w:rsidR="008218BD">
        <w:rPr>
          <w:rFonts w:ascii="Arial" w:hAnsi="Arial" w:cs="Arial"/>
          <w:sz w:val="24"/>
          <w:szCs w:val="24"/>
        </w:rPr>
        <w:t xml:space="preserve"> </w:t>
      </w:r>
      <w:r w:rsidR="008E7630" w:rsidRPr="00B1166E">
        <w:rPr>
          <w:rFonts w:ascii="Arial" w:hAnsi="Arial" w:cs="Arial"/>
          <w:i/>
          <w:iCs/>
          <w:sz w:val="24"/>
          <w:szCs w:val="24"/>
        </w:rPr>
        <w:t>concurrent</w:t>
      </w:r>
      <w:r w:rsidR="008E7630">
        <w:rPr>
          <w:rFonts w:ascii="Arial" w:hAnsi="Arial" w:cs="Arial"/>
          <w:sz w:val="24"/>
          <w:szCs w:val="24"/>
        </w:rPr>
        <w:t xml:space="preserve"> administration o</w:t>
      </w:r>
      <w:r w:rsidR="008F1865">
        <w:rPr>
          <w:rFonts w:ascii="Arial" w:hAnsi="Arial" w:cs="Arial"/>
          <w:sz w:val="24"/>
          <w:szCs w:val="24"/>
        </w:rPr>
        <w:t xml:space="preserve">f the joint estate. </w:t>
      </w:r>
      <w:r w:rsidR="00647111">
        <w:rPr>
          <w:rFonts w:ascii="Arial" w:hAnsi="Arial" w:cs="Arial"/>
          <w:sz w:val="24"/>
          <w:szCs w:val="24"/>
        </w:rPr>
        <w:t xml:space="preserve">See Van </w:t>
      </w:r>
      <w:proofErr w:type="spellStart"/>
      <w:r w:rsidR="00647111">
        <w:rPr>
          <w:rFonts w:ascii="Arial" w:hAnsi="Arial" w:cs="Arial"/>
          <w:sz w:val="24"/>
          <w:szCs w:val="24"/>
        </w:rPr>
        <w:t>Schalkwyk</w:t>
      </w:r>
      <w:proofErr w:type="spellEnd"/>
      <w:r w:rsidR="00647111">
        <w:rPr>
          <w:rFonts w:ascii="Arial" w:hAnsi="Arial" w:cs="Arial"/>
          <w:sz w:val="24"/>
          <w:szCs w:val="24"/>
        </w:rPr>
        <w:t xml:space="preserve"> N, </w:t>
      </w:r>
      <w:r w:rsidR="00647111" w:rsidRPr="00647111">
        <w:rPr>
          <w:rFonts w:ascii="Arial" w:hAnsi="Arial" w:cs="Arial"/>
          <w:i/>
          <w:iCs/>
          <w:sz w:val="24"/>
          <w:szCs w:val="24"/>
        </w:rPr>
        <w:t xml:space="preserve">General Principles of Family Law </w:t>
      </w:r>
      <w:r w:rsidR="00647111">
        <w:rPr>
          <w:rFonts w:ascii="Arial" w:hAnsi="Arial" w:cs="Arial"/>
          <w:sz w:val="24"/>
          <w:szCs w:val="24"/>
        </w:rPr>
        <w:t xml:space="preserve">5ed, (2014) at 225 – 226. </w:t>
      </w:r>
      <w:r w:rsidR="00D16762">
        <w:rPr>
          <w:rFonts w:ascii="Arial" w:hAnsi="Arial" w:cs="Arial"/>
          <w:sz w:val="24"/>
          <w:szCs w:val="24"/>
        </w:rPr>
        <w:t>The concurrent administration is two</w:t>
      </w:r>
      <w:r w:rsidR="000575F0">
        <w:rPr>
          <w:rFonts w:ascii="Arial" w:hAnsi="Arial" w:cs="Arial"/>
          <w:sz w:val="24"/>
          <w:szCs w:val="24"/>
        </w:rPr>
        <w:t>-</w:t>
      </w:r>
      <w:r w:rsidR="00D16762">
        <w:rPr>
          <w:rFonts w:ascii="Arial" w:hAnsi="Arial" w:cs="Arial"/>
          <w:sz w:val="24"/>
          <w:szCs w:val="24"/>
        </w:rPr>
        <w:t xml:space="preserve">pronged. </w:t>
      </w:r>
      <w:r w:rsidR="00C66FAE" w:rsidRPr="00FE5BE7">
        <w:rPr>
          <w:rFonts w:ascii="Arial" w:hAnsi="Arial" w:cs="Arial"/>
          <w:i/>
          <w:iCs/>
          <w:sz w:val="24"/>
          <w:szCs w:val="24"/>
        </w:rPr>
        <w:t>First</w:t>
      </w:r>
      <w:r w:rsidR="00FE5BE7">
        <w:rPr>
          <w:rFonts w:ascii="Arial" w:hAnsi="Arial" w:cs="Arial"/>
          <w:sz w:val="24"/>
          <w:szCs w:val="24"/>
        </w:rPr>
        <w:t>,</w:t>
      </w:r>
      <w:r w:rsidR="00C66FAE">
        <w:rPr>
          <w:rFonts w:ascii="Arial" w:hAnsi="Arial" w:cs="Arial"/>
          <w:sz w:val="24"/>
          <w:szCs w:val="24"/>
        </w:rPr>
        <w:t xml:space="preserve"> </w:t>
      </w:r>
      <w:r w:rsidR="00DB1DBD">
        <w:rPr>
          <w:rFonts w:ascii="Arial" w:hAnsi="Arial" w:cs="Arial"/>
          <w:sz w:val="24"/>
          <w:szCs w:val="24"/>
        </w:rPr>
        <w:t xml:space="preserve">it consists of an </w:t>
      </w:r>
      <w:r w:rsidR="00DB1DBD" w:rsidRPr="00EA6DC8">
        <w:rPr>
          <w:rFonts w:ascii="Arial" w:hAnsi="Arial" w:cs="Arial"/>
          <w:sz w:val="24"/>
          <w:szCs w:val="24"/>
          <w:u w:val="single"/>
        </w:rPr>
        <w:t xml:space="preserve">independent </w:t>
      </w:r>
      <w:r w:rsidR="006C0659" w:rsidRPr="00EA6DC8">
        <w:rPr>
          <w:rFonts w:ascii="Arial" w:hAnsi="Arial" w:cs="Arial"/>
          <w:sz w:val="24"/>
          <w:szCs w:val="24"/>
          <w:u w:val="single"/>
        </w:rPr>
        <w:t>administration</w:t>
      </w:r>
      <w:r w:rsidR="006C0659">
        <w:rPr>
          <w:rFonts w:ascii="Arial" w:hAnsi="Arial" w:cs="Arial"/>
          <w:sz w:val="24"/>
          <w:szCs w:val="24"/>
        </w:rPr>
        <w:t xml:space="preserve"> of an estate</w:t>
      </w:r>
      <w:r w:rsidR="007F206D">
        <w:rPr>
          <w:rFonts w:ascii="Arial" w:hAnsi="Arial" w:cs="Arial"/>
          <w:sz w:val="24"/>
          <w:szCs w:val="24"/>
        </w:rPr>
        <w:t xml:space="preserve"> in which a </w:t>
      </w:r>
      <w:r w:rsidR="004D73F0">
        <w:rPr>
          <w:rFonts w:ascii="Arial" w:hAnsi="Arial" w:cs="Arial"/>
          <w:sz w:val="24"/>
          <w:szCs w:val="24"/>
        </w:rPr>
        <w:t xml:space="preserve">spouse </w:t>
      </w:r>
      <w:r w:rsidR="009E4860">
        <w:rPr>
          <w:rFonts w:ascii="Arial" w:hAnsi="Arial" w:cs="Arial"/>
          <w:sz w:val="24"/>
          <w:szCs w:val="24"/>
        </w:rPr>
        <w:t xml:space="preserve">may deal freely with the joint estate without the consent of the other. </w:t>
      </w:r>
      <w:r w:rsidR="00214B9C" w:rsidRPr="00214B9C">
        <w:rPr>
          <w:rFonts w:ascii="Arial" w:hAnsi="Arial" w:cs="Arial"/>
          <w:sz w:val="24"/>
          <w:szCs w:val="24"/>
        </w:rPr>
        <w:t>For instance, a spou</w:t>
      </w:r>
      <w:r w:rsidR="004657FD">
        <w:rPr>
          <w:rFonts w:ascii="Arial" w:hAnsi="Arial" w:cs="Arial"/>
          <w:sz w:val="24"/>
          <w:szCs w:val="24"/>
        </w:rPr>
        <w:t>se may buy household necessaries</w:t>
      </w:r>
      <w:r w:rsidR="00214B9C" w:rsidRPr="00214B9C">
        <w:rPr>
          <w:rFonts w:ascii="Arial" w:hAnsi="Arial" w:cs="Arial"/>
          <w:sz w:val="24"/>
          <w:szCs w:val="24"/>
        </w:rPr>
        <w:t xml:space="preserve"> without the other </w:t>
      </w:r>
      <w:r w:rsidR="00214B9C">
        <w:rPr>
          <w:rFonts w:ascii="Arial" w:hAnsi="Arial" w:cs="Arial"/>
          <w:sz w:val="24"/>
          <w:szCs w:val="24"/>
        </w:rPr>
        <w:t xml:space="preserve">spouse's consent. </w:t>
      </w:r>
      <w:r w:rsidR="00545DA2">
        <w:rPr>
          <w:rFonts w:ascii="Arial" w:hAnsi="Arial" w:cs="Arial"/>
          <w:sz w:val="24"/>
          <w:szCs w:val="24"/>
        </w:rPr>
        <w:t xml:space="preserve">The </w:t>
      </w:r>
      <w:r w:rsidR="00545DA2" w:rsidRPr="00FE5BE7">
        <w:rPr>
          <w:rFonts w:ascii="Arial" w:hAnsi="Arial" w:cs="Arial"/>
          <w:i/>
          <w:iCs/>
          <w:sz w:val="24"/>
          <w:szCs w:val="24"/>
        </w:rPr>
        <w:t>second</w:t>
      </w:r>
      <w:r w:rsidR="00545DA2">
        <w:rPr>
          <w:rFonts w:ascii="Arial" w:hAnsi="Arial" w:cs="Arial"/>
          <w:sz w:val="24"/>
          <w:szCs w:val="24"/>
        </w:rPr>
        <w:t xml:space="preserve"> leg </w:t>
      </w:r>
      <w:r w:rsidR="000F577D">
        <w:rPr>
          <w:rFonts w:ascii="Arial" w:hAnsi="Arial" w:cs="Arial"/>
          <w:sz w:val="24"/>
          <w:szCs w:val="24"/>
        </w:rPr>
        <w:t xml:space="preserve">of administration envisaged in section 14 is a </w:t>
      </w:r>
      <w:r w:rsidR="000F577D" w:rsidRPr="00EA6DC8">
        <w:rPr>
          <w:rFonts w:ascii="Arial" w:hAnsi="Arial" w:cs="Arial"/>
          <w:sz w:val="24"/>
          <w:szCs w:val="24"/>
          <w:u w:val="single"/>
        </w:rPr>
        <w:t>joint administration</w:t>
      </w:r>
      <w:r w:rsidR="000F577D">
        <w:rPr>
          <w:rFonts w:ascii="Arial" w:hAnsi="Arial" w:cs="Arial"/>
          <w:sz w:val="24"/>
          <w:szCs w:val="24"/>
        </w:rPr>
        <w:t>.</w:t>
      </w:r>
      <w:r w:rsidR="000575F0">
        <w:rPr>
          <w:rFonts w:ascii="Arial" w:hAnsi="Arial" w:cs="Arial"/>
          <w:sz w:val="24"/>
          <w:szCs w:val="24"/>
        </w:rPr>
        <w:t xml:space="preserve"> </w:t>
      </w:r>
      <w:r w:rsidR="000575F0" w:rsidRPr="000575F0">
        <w:rPr>
          <w:rFonts w:ascii="Arial" w:hAnsi="Arial" w:cs="Arial"/>
          <w:sz w:val="24"/>
          <w:szCs w:val="24"/>
        </w:rPr>
        <w:t>In this instance, the spouse needs the other spouse's consent to conclude or effect a transaction.</w:t>
      </w:r>
      <w:r w:rsidR="000575F0">
        <w:rPr>
          <w:rFonts w:ascii="Arial" w:hAnsi="Arial" w:cs="Arial"/>
          <w:sz w:val="24"/>
          <w:szCs w:val="24"/>
        </w:rPr>
        <w:t xml:space="preserve"> </w:t>
      </w:r>
      <w:r w:rsidR="00FE5BE7">
        <w:rPr>
          <w:rFonts w:ascii="Arial" w:hAnsi="Arial" w:cs="Arial"/>
          <w:sz w:val="24"/>
          <w:szCs w:val="24"/>
        </w:rPr>
        <w:t>The acts for which both spouses’ consent is required are those which are of such importance that unilateral action could lead to serious friction</w:t>
      </w:r>
      <w:r w:rsidR="00B1166E">
        <w:rPr>
          <w:rFonts w:ascii="Arial" w:hAnsi="Arial" w:cs="Arial"/>
          <w:sz w:val="24"/>
          <w:szCs w:val="24"/>
        </w:rPr>
        <w:t>.</w:t>
      </w:r>
      <w:r w:rsidR="004657FD">
        <w:rPr>
          <w:rFonts w:ascii="Arial" w:hAnsi="Arial" w:cs="Arial"/>
          <w:sz w:val="24"/>
          <w:szCs w:val="24"/>
        </w:rPr>
        <w:t xml:space="preserve"> It is t</w:t>
      </w:r>
      <w:r w:rsidR="000575F0" w:rsidRPr="000575F0">
        <w:rPr>
          <w:rFonts w:ascii="Arial" w:hAnsi="Arial" w:cs="Arial"/>
          <w:sz w:val="24"/>
          <w:szCs w:val="24"/>
        </w:rPr>
        <w:t xml:space="preserve">he joint administration </w:t>
      </w:r>
      <w:r w:rsidR="004657FD">
        <w:rPr>
          <w:rFonts w:ascii="Arial" w:hAnsi="Arial" w:cs="Arial"/>
          <w:sz w:val="24"/>
          <w:szCs w:val="24"/>
        </w:rPr>
        <w:t xml:space="preserve">that is </w:t>
      </w:r>
      <w:r w:rsidR="000575F0" w:rsidRPr="000575F0">
        <w:rPr>
          <w:rFonts w:ascii="Arial" w:hAnsi="Arial" w:cs="Arial"/>
          <w:sz w:val="24"/>
          <w:szCs w:val="24"/>
        </w:rPr>
        <w:t>the bone of contention in this matter.</w:t>
      </w:r>
    </w:p>
    <w:p w:rsidR="00290253" w:rsidRDefault="00290253" w:rsidP="007E0C8D">
      <w:pPr>
        <w:autoSpaceDE w:val="0"/>
        <w:autoSpaceDN w:val="0"/>
        <w:adjustRightInd w:val="0"/>
        <w:spacing w:after="0" w:line="480" w:lineRule="auto"/>
        <w:jc w:val="both"/>
        <w:rPr>
          <w:rFonts w:ascii="Arial" w:hAnsi="Arial" w:cs="Arial"/>
          <w:sz w:val="24"/>
          <w:szCs w:val="24"/>
        </w:rPr>
      </w:pPr>
    </w:p>
    <w:p w:rsidR="008B44B8" w:rsidRDefault="006A0506" w:rsidP="00F15CA6">
      <w:pPr>
        <w:autoSpaceDE w:val="0"/>
        <w:autoSpaceDN w:val="0"/>
        <w:adjustRightInd w:val="0"/>
        <w:spacing w:after="0" w:line="480" w:lineRule="auto"/>
        <w:jc w:val="both"/>
        <w:rPr>
          <w:rFonts w:ascii="Arial" w:hAnsi="Arial" w:cs="Arial"/>
          <w:sz w:val="24"/>
          <w:szCs w:val="24"/>
        </w:rPr>
      </w:pPr>
      <w:r>
        <w:rPr>
          <w:rFonts w:ascii="Arial" w:hAnsi="Arial" w:cs="Arial"/>
          <w:sz w:val="24"/>
          <w:szCs w:val="24"/>
        </w:rPr>
        <w:t>[34</w:t>
      </w:r>
      <w:r w:rsidR="00DF00DB">
        <w:rPr>
          <w:rFonts w:ascii="Arial" w:hAnsi="Arial" w:cs="Arial"/>
          <w:sz w:val="24"/>
          <w:szCs w:val="24"/>
        </w:rPr>
        <w:t>]</w:t>
      </w:r>
      <w:r w:rsidR="000575F0">
        <w:rPr>
          <w:rFonts w:ascii="Arial" w:hAnsi="Arial" w:cs="Arial"/>
          <w:sz w:val="24"/>
          <w:szCs w:val="24"/>
        </w:rPr>
        <w:t xml:space="preserve"> </w:t>
      </w:r>
      <w:r w:rsidR="000575F0">
        <w:rPr>
          <w:rFonts w:ascii="Arial" w:hAnsi="Arial" w:cs="Arial"/>
          <w:sz w:val="24"/>
          <w:szCs w:val="24"/>
        </w:rPr>
        <w:tab/>
      </w:r>
      <w:r w:rsidR="000575F0" w:rsidRPr="000575F0">
        <w:rPr>
          <w:rFonts w:ascii="Arial" w:hAnsi="Arial" w:cs="Arial"/>
          <w:sz w:val="24"/>
          <w:szCs w:val="24"/>
        </w:rPr>
        <w:t>It is common cause that the second respondent entered into the sale agreement of the house without the applicant's written consent</w:t>
      </w:r>
      <w:r w:rsidR="000575F0">
        <w:rPr>
          <w:rFonts w:ascii="Arial" w:hAnsi="Arial" w:cs="Arial"/>
          <w:sz w:val="24"/>
          <w:szCs w:val="24"/>
        </w:rPr>
        <w:t xml:space="preserve">. </w:t>
      </w:r>
      <w:r w:rsidR="007B25BD">
        <w:rPr>
          <w:rFonts w:ascii="Arial" w:hAnsi="Arial" w:cs="Arial"/>
          <w:sz w:val="24"/>
          <w:szCs w:val="24"/>
          <w:lang w:val="en-US"/>
        </w:rPr>
        <w:t>When so doing</w:t>
      </w:r>
      <w:r w:rsidR="001F1EB7">
        <w:rPr>
          <w:rFonts w:ascii="Arial" w:hAnsi="Arial" w:cs="Arial"/>
          <w:sz w:val="24"/>
          <w:szCs w:val="24"/>
          <w:lang w:val="en-US"/>
        </w:rPr>
        <w:t>,</w:t>
      </w:r>
      <w:r w:rsidR="007B25BD">
        <w:rPr>
          <w:rFonts w:ascii="Arial" w:hAnsi="Arial" w:cs="Arial"/>
          <w:sz w:val="24"/>
          <w:szCs w:val="24"/>
          <w:lang w:val="en-US"/>
        </w:rPr>
        <w:t xml:space="preserve"> the second </w:t>
      </w:r>
      <w:r w:rsidR="00B1166E">
        <w:rPr>
          <w:rFonts w:ascii="Arial" w:hAnsi="Arial" w:cs="Arial"/>
          <w:sz w:val="24"/>
          <w:szCs w:val="24"/>
          <w:lang w:val="en-US"/>
        </w:rPr>
        <w:t xml:space="preserve">respondent </w:t>
      </w:r>
      <w:r w:rsidR="007B25BD">
        <w:rPr>
          <w:rFonts w:ascii="Arial" w:hAnsi="Arial" w:cs="Arial"/>
          <w:sz w:val="24"/>
          <w:szCs w:val="24"/>
          <w:lang w:val="en-US"/>
        </w:rPr>
        <w:t xml:space="preserve">acted in conflict with the express provisions </w:t>
      </w:r>
      <w:r w:rsidR="00233ECA">
        <w:rPr>
          <w:rFonts w:ascii="Arial" w:hAnsi="Arial" w:cs="Arial"/>
          <w:sz w:val="24"/>
          <w:szCs w:val="24"/>
          <w:lang w:val="en-US"/>
        </w:rPr>
        <w:t>of section 15(</w:t>
      </w:r>
      <w:proofErr w:type="gramStart"/>
      <w:r w:rsidR="00233ECA">
        <w:rPr>
          <w:rFonts w:ascii="Arial" w:hAnsi="Arial" w:cs="Arial"/>
          <w:sz w:val="24"/>
          <w:szCs w:val="24"/>
          <w:lang w:val="en-US"/>
        </w:rPr>
        <w:t>2)(</w:t>
      </w:r>
      <w:proofErr w:type="gramEnd"/>
      <w:r w:rsidR="00233ECA">
        <w:rPr>
          <w:rFonts w:ascii="Arial" w:hAnsi="Arial" w:cs="Arial"/>
          <w:sz w:val="24"/>
          <w:szCs w:val="24"/>
          <w:lang w:val="en-US"/>
        </w:rPr>
        <w:t xml:space="preserve">a-b) of the MPA. </w:t>
      </w:r>
      <w:r w:rsidR="008B44B8">
        <w:rPr>
          <w:rFonts w:ascii="Arial" w:hAnsi="Arial" w:cs="Arial"/>
          <w:sz w:val="24"/>
          <w:szCs w:val="24"/>
          <w:lang w:val="en-US"/>
        </w:rPr>
        <w:t xml:space="preserve">Subject to the provisions of section 15(9)(a) of the MPA, the sale agreement between the applicant and the second respondent is unlawful and is void and unenforceable. </w:t>
      </w:r>
      <w:r w:rsidR="00F15CA6">
        <w:rPr>
          <w:rFonts w:ascii="Arial" w:hAnsi="Arial" w:cs="Arial"/>
          <w:sz w:val="24"/>
          <w:szCs w:val="24"/>
        </w:rPr>
        <w:t>T</w:t>
      </w:r>
      <w:r w:rsidR="00F15CA6" w:rsidRPr="00E01CFF">
        <w:rPr>
          <w:rFonts w:ascii="Arial" w:hAnsi="Arial" w:cs="Arial"/>
          <w:sz w:val="24"/>
          <w:szCs w:val="24"/>
        </w:rPr>
        <w:t xml:space="preserve">he </w:t>
      </w:r>
      <w:r w:rsidR="008B44B8" w:rsidRPr="00E01CFF">
        <w:rPr>
          <w:rFonts w:ascii="Arial" w:hAnsi="Arial" w:cs="Arial"/>
          <w:sz w:val="24"/>
          <w:szCs w:val="24"/>
        </w:rPr>
        <w:t>issue,</w:t>
      </w:r>
      <w:r w:rsidR="00F15CA6">
        <w:rPr>
          <w:rFonts w:ascii="Arial" w:hAnsi="Arial" w:cs="Arial"/>
          <w:sz w:val="24"/>
          <w:szCs w:val="24"/>
        </w:rPr>
        <w:t xml:space="preserve"> </w:t>
      </w:r>
      <w:r w:rsidR="00B1166E">
        <w:rPr>
          <w:rFonts w:ascii="Arial" w:hAnsi="Arial" w:cs="Arial"/>
          <w:sz w:val="24"/>
          <w:szCs w:val="24"/>
        </w:rPr>
        <w:t>therefore, is</w:t>
      </w:r>
      <w:r w:rsidR="00F15CA6">
        <w:rPr>
          <w:rFonts w:ascii="Arial" w:hAnsi="Arial" w:cs="Arial"/>
          <w:sz w:val="24"/>
          <w:szCs w:val="24"/>
        </w:rPr>
        <w:t xml:space="preserve"> </w:t>
      </w:r>
      <w:r w:rsidR="00F15CA6" w:rsidRPr="00E01CFF">
        <w:rPr>
          <w:rFonts w:ascii="Arial" w:hAnsi="Arial" w:cs="Arial"/>
          <w:sz w:val="24"/>
          <w:szCs w:val="24"/>
        </w:rPr>
        <w:t xml:space="preserve">whether the </w:t>
      </w:r>
      <w:r w:rsidR="00F15CA6">
        <w:rPr>
          <w:rFonts w:ascii="Arial" w:hAnsi="Arial" w:cs="Arial"/>
          <w:sz w:val="24"/>
          <w:szCs w:val="24"/>
        </w:rPr>
        <w:t xml:space="preserve">first respondent </w:t>
      </w:r>
      <w:r w:rsidR="00F15CA6" w:rsidRPr="00E01CFF">
        <w:rPr>
          <w:rFonts w:ascii="Arial" w:hAnsi="Arial" w:cs="Arial"/>
          <w:sz w:val="24"/>
          <w:szCs w:val="24"/>
        </w:rPr>
        <w:t xml:space="preserve">brought </w:t>
      </w:r>
      <w:r w:rsidR="00476728">
        <w:rPr>
          <w:rFonts w:ascii="Arial" w:hAnsi="Arial" w:cs="Arial"/>
          <w:sz w:val="24"/>
          <w:szCs w:val="24"/>
        </w:rPr>
        <w:t xml:space="preserve">herself </w:t>
      </w:r>
      <w:r w:rsidR="00F15CA6" w:rsidRPr="00E01CFF">
        <w:rPr>
          <w:rFonts w:ascii="Arial" w:hAnsi="Arial" w:cs="Arial"/>
          <w:sz w:val="24"/>
          <w:szCs w:val="24"/>
        </w:rPr>
        <w:t>within the protection afforded to third</w:t>
      </w:r>
      <w:r w:rsidR="000575F0">
        <w:rPr>
          <w:rFonts w:ascii="Arial" w:hAnsi="Arial" w:cs="Arial"/>
          <w:sz w:val="24"/>
          <w:szCs w:val="24"/>
        </w:rPr>
        <w:t>-</w:t>
      </w:r>
      <w:r w:rsidR="00F15CA6" w:rsidRPr="00E01CFF">
        <w:rPr>
          <w:rFonts w:ascii="Arial" w:hAnsi="Arial" w:cs="Arial"/>
          <w:sz w:val="24"/>
          <w:szCs w:val="24"/>
        </w:rPr>
        <w:t>party</w:t>
      </w:r>
      <w:r w:rsidR="00F15CA6">
        <w:rPr>
          <w:rFonts w:ascii="Arial" w:hAnsi="Arial" w:cs="Arial"/>
          <w:sz w:val="24"/>
          <w:szCs w:val="24"/>
        </w:rPr>
        <w:t xml:space="preserve"> </w:t>
      </w:r>
      <w:r w:rsidR="00F15CA6" w:rsidRPr="00E01CFF">
        <w:rPr>
          <w:rFonts w:ascii="Arial" w:hAnsi="Arial" w:cs="Arial"/>
          <w:sz w:val="24"/>
          <w:szCs w:val="24"/>
        </w:rPr>
        <w:t>purchasers by s</w:t>
      </w:r>
      <w:r w:rsidR="001F1EB7">
        <w:rPr>
          <w:rFonts w:ascii="Arial" w:hAnsi="Arial" w:cs="Arial"/>
          <w:sz w:val="24"/>
          <w:szCs w:val="24"/>
        </w:rPr>
        <w:t>ection</w:t>
      </w:r>
      <w:r w:rsidR="00F15CA6" w:rsidRPr="00E01CFF">
        <w:rPr>
          <w:rFonts w:ascii="Arial" w:hAnsi="Arial" w:cs="Arial"/>
          <w:sz w:val="24"/>
          <w:szCs w:val="24"/>
        </w:rPr>
        <w:t xml:space="preserve"> 15(9)(a)</w:t>
      </w:r>
      <w:r w:rsidR="00476728">
        <w:rPr>
          <w:rFonts w:ascii="Arial" w:hAnsi="Arial" w:cs="Arial"/>
          <w:sz w:val="24"/>
          <w:szCs w:val="24"/>
        </w:rPr>
        <w:t xml:space="preserve"> of the MPA</w:t>
      </w:r>
      <w:r w:rsidR="00F15CA6" w:rsidRPr="00E01CFF">
        <w:rPr>
          <w:rFonts w:ascii="Arial" w:hAnsi="Arial" w:cs="Arial"/>
          <w:sz w:val="24"/>
          <w:szCs w:val="24"/>
        </w:rPr>
        <w:t xml:space="preserve">. If </w:t>
      </w:r>
      <w:r w:rsidR="00476728">
        <w:rPr>
          <w:rFonts w:ascii="Arial" w:hAnsi="Arial" w:cs="Arial"/>
          <w:sz w:val="24"/>
          <w:szCs w:val="24"/>
        </w:rPr>
        <w:t>s</w:t>
      </w:r>
      <w:r w:rsidR="00F15CA6" w:rsidRPr="00E01CFF">
        <w:rPr>
          <w:rFonts w:ascii="Arial" w:hAnsi="Arial" w:cs="Arial"/>
          <w:sz w:val="24"/>
          <w:szCs w:val="24"/>
        </w:rPr>
        <w:t xml:space="preserve">he has not, the sale is a nullity for want of the </w:t>
      </w:r>
      <w:r w:rsidR="00002431">
        <w:rPr>
          <w:rFonts w:ascii="Arial" w:hAnsi="Arial" w:cs="Arial"/>
          <w:sz w:val="24"/>
          <w:szCs w:val="24"/>
        </w:rPr>
        <w:t xml:space="preserve">applicant’s </w:t>
      </w:r>
      <w:r w:rsidR="00F15CA6" w:rsidRPr="00E01CFF">
        <w:rPr>
          <w:rFonts w:ascii="Arial" w:hAnsi="Arial" w:cs="Arial"/>
          <w:sz w:val="24"/>
          <w:szCs w:val="24"/>
        </w:rPr>
        <w:t xml:space="preserve">consent. If </w:t>
      </w:r>
      <w:r w:rsidR="00002431">
        <w:rPr>
          <w:rFonts w:ascii="Arial" w:hAnsi="Arial" w:cs="Arial"/>
          <w:sz w:val="24"/>
          <w:szCs w:val="24"/>
        </w:rPr>
        <w:t>s</w:t>
      </w:r>
      <w:r w:rsidR="00F15CA6" w:rsidRPr="00E01CFF">
        <w:rPr>
          <w:rFonts w:ascii="Arial" w:hAnsi="Arial" w:cs="Arial"/>
          <w:sz w:val="24"/>
          <w:szCs w:val="24"/>
        </w:rPr>
        <w:t xml:space="preserve">he has, the </w:t>
      </w:r>
      <w:r w:rsidR="005926DB">
        <w:rPr>
          <w:rFonts w:ascii="Arial" w:hAnsi="Arial" w:cs="Arial"/>
          <w:sz w:val="24"/>
          <w:szCs w:val="24"/>
        </w:rPr>
        <w:t xml:space="preserve">applicant </w:t>
      </w:r>
      <w:r w:rsidR="00F15CA6" w:rsidRPr="00E01CFF">
        <w:rPr>
          <w:rFonts w:ascii="Arial" w:hAnsi="Arial" w:cs="Arial"/>
          <w:sz w:val="24"/>
          <w:szCs w:val="24"/>
        </w:rPr>
        <w:t>is deemed to have consented to</w:t>
      </w:r>
      <w:r w:rsidR="00F15CA6">
        <w:rPr>
          <w:rFonts w:ascii="Arial" w:hAnsi="Arial" w:cs="Arial"/>
          <w:sz w:val="24"/>
          <w:szCs w:val="24"/>
        </w:rPr>
        <w:t xml:space="preserve"> </w:t>
      </w:r>
      <w:r w:rsidR="00F15CA6" w:rsidRPr="00E01CFF">
        <w:rPr>
          <w:rFonts w:ascii="Arial" w:hAnsi="Arial" w:cs="Arial"/>
          <w:sz w:val="24"/>
          <w:szCs w:val="24"/>
        </w:rPr>
        <w:t>the sale and is valid.</w:t>
      </w:r>
      <w:r w:rsidR="005926DB">
        <w:rPr>
          <w:rFonts w:ascii="Arial" w:hAnsi="Arial" w:cs="Arial"/>
          <w:sz w:val="24"/>
          <w:szCs w:val="24"/>
        </w:rPr>
        <w:t xml:space="preserve"> </w:t>
      </w:r>
    </w:p>
    <w:p w:rsidR="00DF00DB" w:rsidRDefault="00DF00DB" w:rsidP="00F15CA6">
      <w:pPr>
        <w:autoSpaceDE w:val="0"/>
        <w:autoSpaceDN w:val="0"/>
        <w:adjustRightInd w:val="0"/>
        <w:spacing w:after="0" w:line="480" w:lineRule="auto"/>
        <w:jc w:val="both"/>
        <w:rPr>
          <w:rFonts w:ascii="Arial" w:hAnsi="Arial" w:cs="Arial"/>
          <w:sz w:val="24"/>
          <w:szCs w:val="24"/>
        </w:rPr>
      </w:pPr>
    </w:p>
    <w:p w:rsidR="00F15CA6" w:rsidRDefault="006A0506" w:rsidP="00E839AB">
      <w:pPr>
        <w:autoSpaceDE w:val="0"/>
        <w:autoSpaceDN w:val="0"/>
        <w:adjustRightInd w:val="0"/>
        <w:spacing w:after="0" w:line="480" w:lineRule="auto"/>
        <w:jc w:val="both"/>
        <w:rPr>
          <w:rFonts w:ascii="Arial" w:hAnsi="Arial" w:cs="Arial"/>
          <w:sz w:val="24"/>
          <w:szCs w:val="24"/>
        </w:rPr>
      </w:pPr>
      <w:r>
        <w:rPr>
          <w:rFonts w:ascii="Arial" w:hAnsi="Arial" w:cs="Arial"/>
          <w:sz w:val="24"/>
          <w:szCs w:val="24"/>
        </w:rPr>
        <w:t>[35</w:t>
      </w:r>
      <w:r w:rsidR="00DF00DB">
        <w:rPr>
          <w:rFonts w:ascii="Arial" w:hAnsi="Arial" w:cs="Arial"/>
          <w:sz w:val="24"/>
          <w:szCs w:val="24"/>
        </w:rPr>
        <w:t>]</w:t>
      </w:r>
      <w:r w:rsidR="00DF00DB">
        <w:rPr>
          <w:rFonts w:ascii="Arial" w:hAnsi="Arial" w:cs="Arial"/>
          <w:sz w:val="24"/>
          <w:szCs w:val="24"/>
        </w:rPr>
        <w:tab/>
      </w:r>
      <w:r w:rsidR="008B44B8">
        <w:rPr>
          <w:rFonts w:ascii="Arial" w:hAnsi="Arial" w:cs="Arial"/>
          <w:sz w:val="24"/>
          <w:szCs w:val="24"/>
        </w:rPr>
        <w:t>T</w:t>
      </w:r>
      <w:r w:rsidR="00E07F27">
        <w:rPr>
          <w:rFonts w:ascii="Arial" w:hAnsi="Arial" w:cs="Arial"/>
          <w:sz w:val="24"/>
          <w:szCs w:val="24"/>
        </w:rPr>
        <w:t xml:space="preserve">he MPA does not prescribe how it must be established </w:t>
      </w:r>
      <w:r w:rsidR="00C450C4">
        <w:rPr>
          <w:rFonts w:ascii="Arial" w:hAnsi="Arial" w:cs="Arial"/>
          <w:sz w:val="24"/>
          <w:szCs w:val="24"/>
        </w:rPr>
        <w:t>whether the third party could reasonably have known that consent was required or not giv</w:t>
      </w:r>
      <w:r w:rsidR="006C28A6">
        <w:rPr>
          <w:rFonts w:ascii="Arial" w:hAnsi="Arial" w:cs="Arial"/>
          <w:sz w:val="24"/>
          <w:szCs w:val="24"/>
        </w:rPr>
        <w:t xml:space="preserve">en. </w:t>
      </w:r>
      <w:r w:rsidR="00B01471">
        <w:rPr>
          <w:rFonts w:ascii="Arial" w:hAnsi="Arial" w:cs="Arial"/>
          <w:sz w:val="24"/>
          <w:szCs w:val="24"/>
        </w:rPr>
        <w:t xml:space="preserve">See Cronje and Heaton, </w:t>
      </w:r>
      <w:r w:rsidR="00B01471" w:rsidRPr="00B01471">
        <w:rPr>
          <w:rFonts w:ascii="Arial" w:hAnsi="Arial" w:cs="Arial"/>
          <w:i/>
          <w:iCs/>
          <w:sz w:val="24"/>
          <w:szCs w:val="24"/>
        </w:rPr>
        <w:t xml:space="preserve">South African </w:t>
      </w:r>
      <w:proofErr w:type="gramStart"/>
      <w:r w:rsidR="00B01471" w:rsidRPr="00B01471">
        <w:rPr>
          <w:rFonts w:ascii="Arial" w:hAnsi="Arial" w:cs="Arial"/>
          <w:i/>
          <w:iCs/>
          <w:sz w:val="24"/>
          <w:szCs w:val="24"/>
        </w:rPr>
        <w:t>family</w:t>
      </w:r>
      <w:proofErr w:type="gramEnd"/>
      <w:r w:rsidR="00B01471" w:rsidRPr="00B01471">
        <w:rPr>
          <w:rFonts w:ascii="Arial" w:hAnsi="Arial" w:cs="Arial"/>
          <w:i/>
          <w:iCs/>
          <w:sz w:val="24"/>
          <w:szCs w:val="24"/>
        </w:rPr>
        <w:t xml:space="preserve"> Law</w:t>
      </w:r>
      <w:r w:rsidR="00B01471">
        <w:rPr>
          <w:rFonts w:ascii="Arial" w:hAnsi="Arial" w:cs="Arial"/>
          <w:sz w:val="24"/>
          <w:szCs w:val="24"/>
        </w:rPr>
        <w:t xml:space="preserve"> 2ed (2004) at 81. </w:t>
      </w:r>
      <w:r w:rsidR="009C1B73">
        <w:rPr>
          <w:rFonts w:ascii="Arial" w:hAnsi="Arial" w:cs="Arial"/>
          <w:sz w:val="24"/>
          <w:szCs w:val="24"/>
        </w:rPr>
        <w:t>However,</w:t>
      </w:r>
      <w:r w:rsidR="00465B2B">
        <w:rPr>
          <w:rFonts w:ascii="Arial" w:hAnsi="Arial" w:cs="Arial"/>
          <w:sz w:val="24"/>
          <w:szCs w:val="24"/>
        </w:rPr>
        <w:t xml:space="preserve"> in </w:t>
      </w:r>
      <w:r w:rsidR="00465B2B" w:rsidRPr="001F1EB7">
        <w:rPr>
          <w:rFonts w:ascii="Arial" w:hAnsi="Arial" w:cs="Arial"/>
          <w:i/>
          <w:sz w:val="24"/>
          <w:szCs w:val="24"/>
        </w:rPr>
        <w:t xml:space="preserve">Distillers Corporation Ltd v </w:t>
      </w:r>
      <w:proofErr w:type="spellStart"/>
      <w:r w:rsidR="00B01471" w:rsidRPr="001F1EB7">
        <w:rPr>
          <w:rFonts w:ascii="Arial" w:hAnsi="Arial" w:cs="Arial"/>
          <w:i/>
          <w:sz w:val="24"/>
          <w:szCs w:val="24"/>
        </w:rPr>
        <w:t>Modise</w:t>
      </w:r>
      <w:proofErr w:type="spellEnd"/>
      <w:r w:rsidR="00465B2B">
        <w:rPr>
          <w:rFonts w:ascii="Arial" w:hAnsi="Arial" w:cs="Arial"/>
          <w:sz w:val="24"/>
          <w:szCs w:val="24"/>
        </w:rPr>
        <w:t xml:space="preserve"> 200</w:t>
      </w:r>
      <w:r w:rsidR="00B01471">
        <w:rPr>
          <w:rFonts w:ascii="Arial" w:hAnsi="Arial" w:cs="Arial"/>
          <w:sz w:val="24"/>
          <w:szCs w:val="24"/>
        </w:rPr>
        <w:t>1</w:t>
      </w:r>
      <w:r w:rsidR="00465B2B">
        <w:rPr>
          <w:rFonts w:ascii="Arial" w:hAnsi="Arial" w:cs="Arial"/>
          <w:sz w:val="24"/>
          <w:szCs w:val="24"/>
        </w:rPr>
        <w:t xml:space="preserve"> (4) SA 1071 (O)</w:t>
      </w:r>
      <w:r w:rsidR="00B01471">
        <w:rPr>
          <w:rFonts w:ascii="Arial" w:hAnsi="Arial" w:cs="Arial"/>
          <w:sz w:val="24"/>
          <w:szCs w:val="24"/>
        </w:rPr>
        <w:t xml:space="preserve"> at para 36</w:t>
      </w:r>
      <w:r w:rsidR="008B44B8">
        <w:rPr>
          <w:rFonts w:ascii="Arial" w:hAnsi="Arial" w:cs="Arial"/>
          <w:sz w:val="24"/>
          <w:szCs w:val="24"/>
        </w:rPr>
        <w:t>,</w:t>
      </w:r>
      <w:r w:rsidR="00465B2B">
        <w:rPr>
          <w:rFonts w:ascii="Arial" w:hAnsi="Arial" w:cs="Arial"/>
          <w:sz w:val="24"/>
          <w:szCs w:val="24"/>
        </w:rPr>
        <w:t xml:space="preserve"> </w:t>
      </w:r>
      <w:r w:rsidR="00646047">
        <w:rPr>
          <w:rFonts w:ascii="Arial" w:hAnsi="Arial" w:cs="Arial"/>
          <w:sz w:val="24"/>
          <w:szCs w:val="24"/>
        </w:rPr>
        <w:t xml:space="preserve">the court held that the use of the word </w:t>
      </w:r>
      <w:r w:rsidR="001F1EB7">
        <w:rPr>
          <w:rFonts w:ascii="Arial" w:hAnsi="Arial" w:cs="Arial"/>
          <w:sz w:val="24"/>
          <w:szCs w:val="24"/>
        </w:rPr>
        <w:t>“</w:t>
      </w:r>
      <w:r w:rsidR="00646047">
        <w:rPr>
          <w:rFonts w:ascii="Arial" w:hAnsi="Arial" w:cs="Arial"/>
          <w:sz w:val="24"/>
          <w:szCs w:val="24"/>
        </w:rPr>
        <w:t>reasonably</w:t>
      </w:r>
      <w:r w:rsidR="001F1EB7">
        <w:rPr>
          <w:rFonts w:ascii="Arial" w:hAnsi="Arial" w:cs="Arial"/>
          <w:sz w:val="24"/>
          <w:szCs w:val="24"/>
        </w:rPr>
        <w:t>”</w:t>
      </w:r>
      <w:r w:rsidR="00646047">
        <w:rPr>
          <w:rFonts w:ascii="Arial" w:hAnsi="Arial" w:cs="Arial"/>
          <w:sz w:val="24"/>
          <w:szCs w:val="24"/>
        </w:rPr>
        <w:t xml:space="preserve"> </w:t>
      </w:r>
      <w:r w:rsidR="00846852">
        <w:rPr>
          <w:rFonts w:ascii="Arial" w:hAnsi="Arial" w:cs="Arial"/>
          <w:sz w:val="24"/>
          <w:szCs w:val="24"/>
        </w:rPr>
        <w:t>implies</w:t>
      </w:r>
      <w:r w:rsidR="00646047">
        <w:rPr>
          <w:rFonts w:ascii="Arial" w:hAnsi="Arial" w:cs="Arial"/>
          <w:sz w:val="24"/>
          <w:szCs w:val="24"/>
        </w:rPr>
        <w:t xml:space="preserve"> that </w:t>
      </w:r>
      <w:r w:rsidR="00846852">
        <w:rPr>
          <w:rFonts w:ascii="Arial" w:hAnsi="Arial" w:cs="Arial"/>
          <w:sz w:val="24"/>
          <w:szCs w:val="24"/>
        </w:rPr>
        <w:t>an</w:t>
      </w:r>
      <w:r w:rsidR="00646047">
        <w:rPr>
          <w:rFonts w:ascii="Arial" w:hAnsi="Arial" w:cs="Arial"/>
          <w:sz w:val="24"/>
          <w:szCs w:val="24"/>
        </w:rPr>
        <w:t xml:space="preserve"> objective test must be </w:t>
      </w:r>
      <w:r w:rsidR="00846852">
        <w:rPr>
          <w:rFonts w:ascii="Arial" w:hAnsi="Arial" w:cs="Arial"/>
          <w:sz w:val="24"/>
          <w:szCs w:val="24"/>
        </w:rPr>
        <w:t xml:space="preserve">used. </w:t>
      </w:r>
      <w:r w:rsidR="00E839AB" w:rsidRPr="00E839AB">
        <w:rPr>
          <w:rFonts w:ascii="Arial" w:hAnsi="Arial" w:cs="Arial"/>
          <w:sz w:val="24"/>
          <w:szCs w:val="24"/>
        </w:rPr>
        <w:t>Thus, this matter must be considered from the point of view of a reasonable person in the first respondent's position.</w:t>
      </w:r>
      <w:r w:rsidR="009E7D0A">
        <w:rPr>
          <w:rFonts w:ascii="Arial" w:hAnsi="Arial" w:cs="Arial"/>
          <w:sz w:val="24"/>
          <w:szCs w:val="24"/>
        </w:rPr>
        <w:t xml:space="preserve"> </w:t>
      </w:r>
    </w:p>
    <w:p w:rsidR="00836F11" w:rsidRDefault="00836F11" w:rsidP="00F15CA6">
      <w:pPr>
        <w:autoSpaceDE w:val="0"/>
        <w:autoSpaceDN w:val="0"/>
        <w:adjustRightInd w:val="0"/>
        <w:spacing w:after="0" w:line="480" w:lineRule="auto"/>
        <w:jc w:val="both"/>
        <w:rPr>
          <w:rFonts w:ascii="Arial" w:hAnsi="Arial" w:cs="Arial"/>
          <w:sz w:val="24"/>
          <w:szCs w:val="24"/>
        </w:rPr>
      </w:pPr>
    </w:p>
    <w:p w:rsidR="00836F11" w:rsidRDefault="006A0506" w:rsidP="00C81A91">
      <w:pPr>
        <w:autoSpaceDE w:val="0"/>
        <w:autoSpaceDN w:val="0"/>
        <w:adjustRightInd w:val="0"/>
        <w:spacing w:after="0" w:line="480" w:lineRule="auto"/>
        <w:jc w:val="both"/>
        <w:rPr>
          <w:rFonts w:ascii="Arial" w:hAnsi="Arial" w:cs="Arial"/>
          <w:sz w:val="24"/>
          <w:szCs w:val="24"/>
        </w:rPr>
      </w:pPr>
      <w:r>
        <w:rPr>
          <w:rFonts w:ascii="Arial" w:hAnsi="Arial" w:cs="Arial"/>
          <w:sz w:val="24"/>
          <w:szCs w:val="24"/>
        </w:rPr>
        <w:t>[36</w:t>
      </w:r>
      <w:r w:rsidR="00DF00DB">
        <w:rPr>
          <w:rFonts w:ascii="Arial" w:hAnsi="Arial" w:cs="Arial"/>
          <w:sz w:val="24"/>
          <w:szCs w:val="24"/>
        </w:rPr>
        <w:t>]</w:t>
      </w:r>
      <w:r w:rsidR="00DF00DB">
        <w:rPr>
          <w:rFonts w:ascii="Arial" w:hAnsi="Arial" w:cs="Arial"/>
          <w:sz w:val="24"/>
          <w:szCs w:val="24"/>
        </w:rPr>
        <w:tab/>
      </w:r>
      <w:r w:rsidR="00520FB9">
        <w:rPr>
          <w:rFonts w:ascii="Arial" w:hAnsi="Arial" w:cs="Arial"/>
          <w:sz w:val="24"/>
          <w:szCs w:val="24"/>
        </w:rPr>
        <w:t>I</w:t>
      </w:r>
      <w:r w:rsidR="00836F11">
        <w:rPr>
          <w:rFonts w:ascii="Arial" w:hAnsi="Arial" w:cs="Arial"/>
          <w:sz w:val="24"/>
          <w:szCs w:val="24"/>
        </w:rPr>
        <w:t xml:space="preserve">n </w:t>
      </w:r>
      <w:proofErr w:type="spellStart"/>
      <w:r w:rsidR="00C81A91" w:rsidRPr="00C81A91">
        <w:rPr>
          <w:rFonts w:ascii="Arial" w:hAnsi="Arial" w:cs="Arial"/>
          <w:i/>
          <w:sz w:val="24"/>
          <w:szCs w:val="24"/>
        </w:rPr>
        <w:t>Mulaudzi</w:t>
      </w:r>
      <w:proofErr w:type="spellEnd"/>
      <w:r w:rsidR="00C81A91" w:rsidRPr="00C81A91">
        <w:rPr>
          <w:rFonts w:ascii="Arial" w:hAnsi="Arial" w:cs="Arial"/>
          <w:i/>
          <w:sz w:val="24"/>
          <w:szCs w:val="24"/>
        </w:rPr>
        <w:t xml:space="preserve"> v </w:t>
      </w:r>
      <w:proofErr w:type="spellStart"/>
      <w:r w:rsidR="00C81A91" w:rsidRPr="00C81A91">
        <w:rPr>
          <w:rFonts w:ascii="Arial" w:hAnsi="Arial" w:cs="Arial"/>
          <w:i/>
          <w:sz w:val="24"/>
          <w:szCs w:val="24"/>
        </w:rPr>
        <w:t>Mudau</w:t>
      </w:r>
      <w:proofErr w:type="spellEnd"/>
      <w:r w:rsidR="00C81A91" w:rsidRPr="00C81A91">
        <w:rPr>
          <w:rFonts w:ascii="Arial" w:hAnsi="Arial" w:cs="Arial"/>
          <w:i/>
          <w:sz w:val="24"/>
          <w:szCs w:val="24"/>
        </w:rPr>
        <w:t xml:space="preserve"> and Others</w:t>
      </w:r>
      <w:r w:rsidR="00C81A91">
        <w:rPr>
          <w:rFonts w:ascii="Arial" w:hAnsi="Arial" w:cs="Arial"/>
          <w:sz w:val="24"/>
          <w:szCs w:val="24"/>
        </w:rPr>
        <w:t xml:space="preserve"> (1034/2019) [2020] ZASCA 148 (18 November 2020) para 11, </w:t>
      </w:r>
      <w:r w:rsidR="00836F11">
        <w:rPr>
          <w:rFonts w:ascii="Arial" w:hAnsi="Arial" w:cs="Arial"/>
          <w:sz w:val="24"/>
          <w:szCs w:val="24"/>
        </w:rPr>
        <w:t xml:space="preserve">the </w:t>
      </w:r>
      <w:r w:rsidR="00F33A2F">
        <w:rPr>
          <w:rFonts w:ascii="Arial" w:hAnsi="Arial" w:cs="Arial"/>
          <w:sz w:val="24"/>
          <w:szCs w:val="24"/>
        </w:rPr>
        <w:t>S</w:t>
      </w:r>
      <w:r w:rsidR="00836F11">
        <w:rPr>
          <w:rFonts w:ascii="Arial" w:hAnsi="Arial" w:cs="Arial"/>
          <w:sz w:val="24"/>
          <w:szCs w:val="24"/>
        </w:rPr>
        <w:t xml:space="preserve">upreme Court of Appeal </w:t>
      </w:r>
      <w:r w:rsidR="00520FB9">
        <w:rPr>
          <w:rFonts w:ascii="Arial" w:hAnsi="Arial" w:cs="Arial"/>
          <w:sz w:val="24"/>
          <w:szCs w:val="24"/>
        </w:rPr>
        <w:t xml:space="preserve">pointedly </w:t>
      </w:r>
      <w:r w:rsidR="00836F11">
        <w:rPr>
          <w:rFonts w:ascii="Arial" w:hAnsi="Arial" w:cs="Arial"/>
          <w:sz w:val="24"/>
          <w:szCs w:val="24"/>
        </w:rPr>
        <w:t>found that a</w:t>
      </w:r>
      <w:r w:rsidR="00836F11" w:rsidRPr="00A7490D">
        <w:rPr>
          <w:rFonts w:ascii="Arial" w:hAnsi="Arial" w:cs="Arial"/>
          <w:sz w:val="24"/>
          <w:szCs w:val="24"/>
        </w:rPr>
        <w:t xml:space="preserve"> third party to a transaction contemplated by </w:t>
      </w:r>
      <w:r w:rsidR="00836F11">
        <w:rPr>
          <w:rFonts w:ascii="Arial" w:hAnsi="Arial" w:cs="Arial"/>
          <w:sz w:val="24"/>
          <w:szCs w:val="24"/>
        </w:rPr>
        <w:t xml:space="preserve">sections </w:t>
      </w:r>
      <w:r w:rsidR="00836F11" w:rsidRPr="00A7490D">
        <w:rPr>
          <w:rFonts w:ascii="Arial" w:hAnsi="Arial" w:cs="Arial"/>
          <w:sz w:val="24"/>
          <w:szCs w:val="24"/>
        </w:rPr>
        <w:t>15(2) or (3) that is entered into without</w:t>
      </w:r>
      <w:r w:rsidR="00836F11">
        <w:rPr>
          <w:rFonts w:ascii="Arial" w:hAnsi="Arial" w:cs="Arial"/>
          <w:sz w:val="24"/>
          <w:szCs w:val="24"/>
        </w:rPr>
        <w:t xml:space="preserve"> </w:t>
      </w:r>
      <w:r w:rsidR="00836F11" w:rsidRPr="00A7490D">
        <w:rPr>
          <w:rFonts w:ascii="Arial" w:hAnsi="Arial" w:cs="Arial"/>
          <w:sz w:val="24"/>
          <w:szCs w:val="24"/>
        </w:rPr>
        <w:t>the consent of the non-contracting spouse is required, for consent to be deemed and</w:t>
      </w:r>
      <w:r w:rsidR="00836F11">
        <w:rPr>
          <w:rFonts w:ascii="Arial" w:hAnsi="Arial" w:cs="Arial"/>
          <w:sz w:val="24"/>
          <w:szCs w:val="24"/>
        </w:rPr>
        <w:t xml:space="preserve"> </w:t>
      </w:r>
      <w:r w:rsidR="00836F11" w:rsidRPr="00A7490D">
        <w:rPr>
          <w:rFonts w:ascii="Arial" w:hAnsi="Arial" w:cs="Arial"/>
          <w:sz w:val="24"/>
          <w:szCs w:val="24"/>
        </w:rPr>
        <w:t xml:space="preserve">for the transaction to be enforceable, to establish two things: </w:t>
      </w:r>
      <w:r w:rsidR="00836F11" w:rsidRPr="00520FB9">
        <w:rPr>
          <w:rFonts w:ascii="Arial" w:hAnsi="Arial" w:cs="Arial"/>
          <w:i/>
          <w:iCs/>
          <w:sz w:val="24"/>
          <w:szCs w:val="24"/>
        </w:rPr>
        <w:t>first,</w:t>
      </w:r>
      <w:r w:rsidR="00836F11" w:rsidRPr="00A7490D">
        <w:rPr>
          <w:rFonts w:ascii="Arial" w:hAnsi="Arial" w:cs="Arial"/>
          <w:sz w:val="24"/>
          <w:szCs w:val="24"/>
        </w:rPr>
        <w:t xml:space="preserve"> that he or she did not know</w:t>
      </w:r>
      <w:r w:rsidR="00836F11">
        <w:rPr>
          <w:rFonts w:ascii="Arial" w:hAnsi="Arial" w:cs="Arial"/>
          <w:sz w:val="24"/>
          <w:szCs w:val="24"/>
        </w:rPr>
        <w:t xml:space="preserve"> </w:t>
      </w:r>
      <w:r w:rsidR="00836F11" w:rsidRPr="009A2218">
        <w:rPr>
          <w:rFonts w:ascii="Arial" w:hAnsi="Arial" w:cs="Arial"/>
          <w:sz w:val="24"/>
          <w:szCs w:val="24"/>
        </w:rPr>
        <w:t xml:space="preserve">that consent was lacking; and </w:t>
      </w:r>
      <w:r w:rsidR="00836F11" w:rsidRPr="00520FB9">
        <w:rPr>
          <w:rFonts w:ascii="Arial" w:hAnsi="Arial" w:cs="Arial"/>
          <w:i/>
          <w:iCs/>
          <w:sz w:val="24"/>
          <w:szCs w:val="24"/>
        </w:rPr>
        <w:t>secondly</w:t>
      </w:r>
      <w:r w:rsidR="00836F11" w:rsidRPr="009A2218">
        <w:rPr>
          <w:rFonts w:ascii="Arial" w:hAnsi="Arial" w:cs="Arial"/>
          <w:sz w:val="24"/>
          <w:szCs w:val="24"/>
        </w:rPr>
        <w:t>, that he or she could not reasonably have known that</w:t>
      </w:r>
      <w:r w:rsidR="00836F11">
        <w:rPr>
          <w:rFonts w:ascii="Arial" w:hAnsi="Arial" w:cs="Arial"/>
          <w:sz w:val="24"/>
          <w:szCs w:val="24"/>
        </w:rPr>
        <w:t xml:space="preserve"> </w:t>
      </w:r>
      <w:r w:rsidR="00836F11" w:rsidRPr="009A2218">
        <w:rPr>
          <w:rFonts w:ascii="Arial" w:hAnsi="Arial" w:cs="Arial"/>
          <w:sz w:val="24"/>
          <w:szCs w:val="24"/>
        </w:rPr>
        <w:t>consent had not been given. In terms of the general principle that the party who asserts a</w:t>
      </w:r>
      <w:r w:rsidR="00836F11">
        <w:rPr>
          <w:rFonts w:ascii="Arial" w:hAnsi="Arial" w:cs="Arial"/>
          <w:sz w:val="24"/>
          <w:szCs w:val="24"/>
        </w:rPr>
        <w:t xml:space="preserve"> </w:t>
      </w:r>
      <w:r w:rsidR="00836F11" w:rsidRPr="009A2218">
        <w:rPr>
          <w:rFonts w:ascii="Arial" w:hAnsi="Arial" w:cs="Arial"/>
          <w:sz w:val="24"/>
          <w:szCs w:val="24"/>
        </w:rPr>
        <w:t>particular state of affairs is generally required to prove it, the burden of bringing s</w:t>
      </w:r>
      <w:r w:rsidR="00836F11">
        <w:rPr>
          <w:rFonts w:ascii="Arial" w:hAnsi="Arial" w:cs="Arial"/>
          <w:sz w:val="24"/>
          <w:szCs w:val="24"/>
        </w:rPr>
        <w:t>ection</w:t>
      </w:r>
      <w:r w:rsidR="00836F11" w:rsidRPr="009A2218">
        <w:rPr>
          <w:rFonts w:ascii="Arial" w:hAnsi="Arial" w:cs="Arial"/>
          <w:sz w:val="24"/>
          <w:szCs w:val="24"/>
        </w:rPr>
        <w:t xml:space="preserve"> 15(9)(a) into</w:t>
      </w:r>
      <w:r w:rsidR="00836F11">
        <w:rPr>
          <w:rFonts w:ascii="Arial" w:hAnsi="Arial" w:cs="Arial"/>
          <w:sz w:val="24"/>
          <w:szCs w:val="24"/>
        </w:rPr>
        <w:t xml:space="preserve"> </w:t>
      </w:r>
      <w:r w:rsidR="00836F11" w:rsidRPr="009A2218">
        <w:rPr>
          <w:rFonts w:ascii="Arial" w:hAnsi="Arial" w:cs="Arial"/>
          <w:sz w:val="24"/>
          <w:szCs w:val="24"/>
        </w:rPr>
        <w:t>play rests on the party seeking to rely on the validity of the transaction.</w:t>
      </w:r>
      <w:r w:rsidR="00C81A91">
        <w:rPr>
          <w:rFonts w:ascii="Arial" w:hAnsi="Arial" w:cs="Arial"/>
          <w:sz w:val="24"/>
          <w:szCs w:val="24"/>
        </w:rPr>
        <w:t xml:space="preserve"> See </w:t>
      </w:r>
      <w:r w:rsidR="00C81A91" w:rsidRPr="001F1EB7">
        <w:rPr>
          <w:rFonts w:ascii="Arial" w:hAnsi="Arial" w:cs="Arial"/>
          <w:i/>
          <w:sz w:val="24"/>
          <w:szCs w:val="24"/>
        </w:rPr>
        <w:t xml:space="preserve">Marais N.O and Another v </w:t>
      </w:r>
      <w:proofErr w:type="spellStart"/>
      <w:r w:rsidR="00C81A91" w:rsidRPr="001F1EB7">
        <w:rPr>
          <w:rFonts w:ascii="Arial" w:hAnsi="Arial" w:cs="Arial"/>
          <w:i/>
          <w:sz w:val="24"/>
          <w:szCs w:val="24"/>
        </w:rPr>
        <w:t>Maposa</w:t>
      </w:r>
      <w:proofErr w:type="spellEnd"/>
      <w:r w:rsidR="00C81A91" w:rsidRPr="001F1EB7">
        <w:rPr>
          <w:rFonts w:ascii="Arial" w:hAnsi="Arial" w:cs="Arial"/>
          <w:i/>
          <w:sz w:val="24"/>
          <w:szCs w:val="24"/>
        </w:rPr>
        <w:t xml:space="preserve"> and Others</w:t>
      </w:r>
      <w:r w:rsidR="00C81A91">
        <w:rPr>
          <w:rFonts w:ascii="Arial" w:hAnsi="Arial" w:cs="Arial"/>
          <w:sz w:val="24"/>
          <w:szCs w:val="24"/>
        </w:rPr>
        <w:t xml:space="preserve"> </w:t>
      </w:r>
      <w:r w:rsidR="00C81A91" w:rsidRPr="009B2F21">
        <w:rPr>
          <w:rFonts w:ascii="Arial" w:hAnsi="Arial" w:cs="Arial"/>
          <w:sz w:val="24"/>
          <w:szCs w:val="24"/>
        </w:rPr>
        <w:t>2020 (5) SA 111 (SCA)</w:t>
      </w:r>
      <w:r w:rsidR="00C81A91">
        <w:rPr>
          <w:rFonts w:ascii="Arial" w:hAnsi="Arial" w:cs="Arial"/>
          <w:sz w:val="24"/>
          <w:szCs w:val="24"/>
        </w:rPr>
        <w:t xml:space="preserve"> at para 28</w:t>
      </w:r>
      <w:r w:rsidR="00520FB9">
        <w:rPr>
          <w:rFonts w:ascii="Arial" w:hAnsi="Arial" w:cs="Arial"/>
          <w:sz w:val="24"/>
          <w:szCs w:val="24"/>
        </w:rPr>
        <w:t>.</w:t>
      </w:r>
    </w:p>
    <w:p w:rsidR="00C81A91" w:rsidRDefault="00C81A91" w:rsidP="004C26C5">
      <w:pPr>
        <w:autoSpaceDE w:val="0"/>
        <w:autoSpaceDN w:val="0"/>
        <w:adjustRightInd w:val="0"/>
        <w:spacing w:after="0" w:line="480" w:lineRule="auto"/>
        <w:jc w:val="both"/>
        <w:rPr>
          <w:rFonts w:ascii="Arial" w:hAnsi="Arial" w:cs="Arial"/>
          <w:sz w:val="24"/>
          <w:szCs w:val="24"/>
        </w:rPr>
      </w:pPr>
    </w:p>
    <w:p w:rsidR="00D216FF" w:rsidRDefault="006A0506" w:rsidP="004C26C5">
      <w:pPr>
        <w:autoSpaceDE w:val="0"/>
        <w:autoSpaceDN w:val="0"/>
        <w:adjustRightInd w:val="0"/>
        <w:spacing w:after="0" w:line="480" w:lineRule="auto"/>
        <w:jc w:val="both"/>
        <w:rPr>
          <w:rFonts w:ascii="Arial" w:hAnsi="Arial" w:cs="Arial"/>
          <w:sz w:val="24"/>
          <w:szCs w:val="24"/>
        </w:rPr>
      </w:pPr>
      <w:r>
        <w:rPr>
          <w:rFonts w:ascii="Arial" w:hAnsi="Arial" w:cs="Arial"/>
          <w:sz w:val="24"/>
          <w:szCs w:val="24"/>
        </w:rPr>
        <w:t>[37</w:t>
      </w:r>
      <w:r w:rsidR="00DF00DB">
        <w:rPr>
          <w:rFonts w:ascii="Arial" w:hAnsi="Arial" w:cs="Arial"/>
          <w:sz w:val="24"/>
          <w:szCs w:val="24"/>
        </w:rPr>
        <w:t>]</w:t>
      </w:r>
      <w:r w:rsidR="00DF00DB">
        <w:rPr>
          <w:rFonts w:ascii="Arial" w:hAnsi="Arial" w:cs="Arial"/>
          <w:sz w:val="24"/>
          <w:szCs w:val="24"/>
        </w:rPr>
        <w:tab/>
      </w:r>
      <w:r w:rsidR="00091707">
        <w:rPr>
          <w:rFonts w:ascii="Arial" w:hAnsi="Arial" w:cs="Arial"/>
          <w:sz w:val="24"/>
          <w:szCs w:val="24"/>
        </w:rPr>
        <w:t>I</w:t>
      </w:r>
      <w:r w:rsidR="00A520E9">
        <w:rPr>
          <w:rFonts w:ascii="Arial" w:hAnsi="Arial" w:cs="Arial"/>
          <w:sz w:val="24"/>
          <w:szCs w:val="24"/>
        </w:rPr>
        <w:t xml:space="preserve">n </w:t>
      </w:r>
      <w:proofErr w:type="spellStart"/>
      <w:r w:rsidR="00A520E9" w:rsidRPr="00520FB9">
        <w:rPr>
          <w:rFonts w:ascii="Arial" w:hAnsi="Arial" w:cs="Arial"/>
          <w:i/>
          <w:iCs/>
          <w:sz w:val="24"/>
          <w:szCs w:val="24"/>
        </w:rPr>
        <w:t>casu</w:t>
      </w:r>
      <w:proofErr w:type="spellEnd"/>
      <w:r w:rsidR="00956D96" w:rsidRPr="00520FB9">
        <w:rPr>
          <w:rFonts w:ascii="Arial" w:hAnsi="Arial" w:cs="Arial"/>
          <w:i/>
          <w:iCs/>
          <w:sz w:val="24"/>
          <w:szCs w:val="24"/>
        </w:rPr>
        <w:t>,</w:t>
      </w:r>
      <w:r w:rsidR="00A520E9">
        <w:rPr>
          <w:rFonts w:ascii="Arial" w:hAnsi="Arial" w:cs="Arial"/>
          <w:sz w:val="24"/>
          <w:szCs w:val="24"/>
        </w:rPr>
        <w:t xml:space="preserve"> </w:t>
      </w:r>
      <w:r w:rsidR="009A1E78">
        <w:rPr>
          <w:rFonts w:ascii="Arial" w:hAnsi="Arial" w:cs="Arial"/>
          <w:sz w:val="24"/>
          <w:szCs w:val="24"/>
        </w:rPr>
        <w:t xml:space="preserve">the applicant relied on </w:t>
      </w:r>
      <w:proofErr w:type="spellStart"/>
      <w:r w:rsidR="009A1E78" w:rsidRPr="001F1EB7">
        <w:rPr>
          <w:rFonts w:ascii="Arial" w:hAnsi="Arial" w:cs="Arial"/>
          <w:i/>
          <w:sz w:val="24"/>
          <w:szCs w:val="24"/>
        </w:rPr>
        <w:t>Visser</w:t>
      </w:r>
      <w:proofErr w:type="spellEnd"/>
      <w:r w:rsidR="009A1E78" w:rsidRPr="001F1EB7">
        <w:rPr>
          <w:rFonts w:ascii="Arial" w:hAnsi="Arial" w:cs="Arial"/>
          <w:i/>
          <w:sz w:val="24"/>
          <w:szCs w:val="24"/>
        </w:rPr>
        <w:t xml:space="preserve"> v Hull and Others</w:t>
      </w:r>
      <w:r w:rsidR="009A1E78" w:rsidRPr="00F70671">
        <w:rPr>
          <w:rFonts w:ascii="Arial" w:hAnsi="Arial" w:cs="Arial"/>
          <w:sz w:val="24"/>
          <w:szCs w:val="24"/>
        </w:rPr>
        <w:t xml:space="preserve">, </w:t>
      </w:r>
      <w:r w:rsidR="009A1E78">
        <w:rPr>
          <w:rFonts w:ascii="Arial" w:hAnsi="Arial" w:cs="Arial"/>
          <w:sz w:val="24"/>
          <w:szCs w:val="24"/>
        </w:rPr>
        <w:t>2010 (1) SA 52 (WCC) at para 8,</w:t>
      </w:r>
      <w:r w:rsidR="0004715A">
        <w:rPr>
          <w:rFonts w:ascii="Arial" w:hAnsi="Arial" w:cs="Arial"/>
          <w:sz w:val="24"/>
          <w:szCs w:val="24"/>
        </w:rPr>
        <w:t xml:space="preserve"> where</w:t>
      </w:r>
      <w:r w:rsidR="009A1E78">
        <w:rPr>
          <w:rFonts w:ascii="Arial" w:hAnsi="Arial" w:cs="Arial"/>
          <w:sz w:val="24"/>
          <w:szCs w:val="24"/>
        </w:rPr>
        <w:t xml:space="preserve"> </w:t>
      </w:r>
      <w:proofErr w:type="spellStart"/>
      <w:r w:rsidR="009A1E78" w:rsidRPr="00F70671">
        <w:rPr>
          <w:rFonts w:ascii="Arial" w:hAnsi="Arial" w:cs="Arial"/>
          <w:sz w:val="24"/>
          <w:szCs w:val="24"/>
        </w:rPr>
        <w:t>Dlodlo</w:t>
      </w:r>
      <w:proofErr w:type="spellEnd"/>
      <w:r w:rsidR="0004715A">
        <w:rPr>
          <w:rFonts w:ascii="Arial" w:hAnsi="Arial" w:cs="Arial"/>
          <w:sz w:val="24"/>
          <w:szCs w:val="24"/>
        </w:rPr>
        <w:t xml:space="preserve"> J, as he then was, found that </w:t>
      </w:r>
      <w:r w:rsidR="0004715A" w:rsidRPr="00F70671">
        <w:rPr>
          <w:rFonts w:ascii="Arial" w:hAnsi="Arial" w:cs="Arial"/>
          <w:sz w:val="24"/>
          <w:szCs w:val="24"/>
        </w:rPr>
        <w:t>a third party is expected to do more than rely upon a bold assurance</w:t>
      </w:r>
      <w:r w:rsidR="0004715A">
        <w:rPr>
          <w:rFonts w:ascii="Arial" w:hAnsi="Arial" w:cs="Arial"/>
          <w:sz w:val="24"/>
          <w:szCs w:val="24"/>
        </w:rPr>
        <w:t xml:space="preserve"> </w:t>
      </w:r>
      <w:r w:rsidR="0004715A" w:rsidRPr="00F70671">
        <w:rPr>
          <w:rFonts w:ascii="Arial" w:hAnsi="Arial" w:cs="Arial"/>
          <w:sz w:val="24"/>
          <w:szCs w:val="24"/>
        </w:rPr>
        <w:t xml:space="preserve">by another party regarding his or her marital status. </w:t>
      </w:r>
      <w:r w:rsidR="00956D96">
        <w:rPr>
          <w:rFonts w:ascii="Arial" w:hAnsi="Arial" w:cs="Arial"/>
          <w:sz w:val="24"/>
          <w:szCs w:val="24"/>
        </w:rPr>
        <w:t>The learned justice noted that a</w:t>
      </w:r>
      <w:r w:rsidR="0004715A" w:rsidRPr="00F70671">
        <w:rPr>
          <w:rFonts w:ascii="Arial" w:hAnsi="Arial" w:cs="Arial"/>
          <w:sz w:val="24"/>
          <w:szCs w:val="24"/>
        </w:rPr>
        <w:t>n adequate inquiry by the third party is required.</w:t>
      </w:r>
      <w:r w:rsidR="00512A61">
        <w:rPr>
          <w:rFonts w:ascii="Arial" w:hAnsi="Arial" w:cs="Arial"/>
          <w:sz w:val="24"/>
          <w:szCs w:val="24"/>
        </w:rPr>
        <w:t xml:space="preserve"> </w:t>
      </w:r>
      <w:r w:rsidR="00512A61">
        <w:rPr>
          <w:rFonts w:ascii="Arial" w:hAnsi="Arial" w:cs="Arial"/>
          <w:sz w:val="24"/>
          <w:szCs w:val="24"/>
        </w:rPr>
        <w:lastRenderedPageBreak/>
        <w:t>In the same wa</w:t>
      </w:r>
      <w:r w:rsidR="00956D96">
        <w:rPr>
          <w:rFonts w:ascii="Arial" w:hAnsi="Arial" w:cs="Arial"/>
          <w:sz w:val="24"/>
          <w:szCs w:val="24"/>
        </w:rPr>
        <w:t>y, it was submitted</w:t>
      </w:r>
      <w:r w:rsidR="00091707">
        <w:rPr>
          <w:rFonts w:ascii="Arial" w:hAnsi="Arial" w:cs="Arial"/>
          <w:sz w:val="24"/>
          <w:szCs w:val="24"/>
        </w:rPr>
        <w:t xml:space="preserve"> on behalf of the applicant that </w:t>
      </w:r>
      <w:r w:rsidR="0025770F">
        <w:rPr>
          <w:rFonts w:ascii="Arial" w:hAnsi="Arial" w:cs="Arial"/>
          <w:sz w:val="24"/>
          <w:szCs w:val="24"/>
        </w:rPr>
        <w:t>the first respondent c</w:t>
      </w:r>
      <w:r w:rsidR="00E839AB">
        <w:rPr>
          <w:rFonts w:ascii="Arial" w:hAnsi="Arial" w:cs="Arial"/>
          <w:sz w:val="24"/>
          <w:szCs w:val="24"/>
        </w:rPr>
        <w:t xml:space="preserve">ould not </w:t>
      </w:r>
      <w:r w:rsidR="00956D96">
        <w:rPr>
          <w:rFonts w:ascii="Arial" w:hAnsi="Arial" w:cs="Arial"/>
          <w:sz w:val="24"/>
          <w:szCs w:val="24"/>
        </w:rPr>
        <w:t xml:space="preserve">be allowed to </w:t>
      </w:r>
      <w:r w:rsidR="0025770F">
        <w:rPr>
          <w:rFonts w:ascii="Arial" w:hAnsi="Arial" w:cs="Arial"/>
          <w:sz w:val="24"/>
          <w:szCs w:val="24"/>
        </w:rPr>
        <w:t>rely upon the bald assurance of the second respond</w:t>
      </w:r>
      <w:r w:rsidR="008E3209">
        <w:rPr>
          <w:rFonts w:ascii="Arial" w:hAnsi="Arial" w:cs="Arial"/>
          <w:sz w:val="24"/>
          <w:szCs w:val="24"/>
        </w:rPr>
        <w:t xml:space="preserve">ent </w:t>
      </w:r>
      <w:r w:rsidR="002A5229">
        <w:rPr>
          <w:rFonts w:ascii="Arial" w:hAnsi="Arial" w:cs="Arial"/>
          <w:sz w:val="24"/>
          <w:szCs w:val="24"/>
        </w:rPr>
        <w:t>r</w:t>
      </w:r>
      <w:r w:rsidR="0025770F">
        <w:rPr>
          <w:rFonts w:ascii="Arial" w:hAnsi="Arial" w:cs="Arial"/>
          <w:sz w:val="24"/>
          <w:szCs w:val="24"/>
        </w:rPr>
        <w:t xml:space="preserve">egarding his marital status </w:t>
      </w:r>
      <w:r w:rsidR="00CD0992">
        <w:rPr>
          <w:rFonts w:ascii="Arial" w:hAnsi="Arial" w:cs="Arial"/>
          <w:sz w:val="24"/>
          <w:szCs w:val="24"/>
        </w:rPr>
        <w:t xml:space="preserve">as she was under a legal obligation to make inquiries or take reasonable steps to ascertain </w:t>
      </w:r>
      <w:r w:rsidR="008E3209">
        <w:rPr>
          <w:rFonts w:ascii="Arial" w:hAnsi="Arial" w:cs="Arial"/>
          <w:sz w:val="24"/>
          <w:szCs w:val="24"/>
        </w:rPr>
        <w:t xml:space="preserve">whether the second respondent was married. </w:t>
      </w:r>
    </w:p>
    <w:p w:rsidR="00D216FF" w:rsidRDefault="00D216FF" w:rsidP="004C26C5">
      <w:pPr>
        <w:autoSpaceDE w:val="0"/>
        <w:autoSpaceDN w:val="0"/>
        <w:adjustRightInd w:val="0"/>
        <w:spacing w:after="0" w:line="480" w:lineRule="auto"/>
        <w:jc w:val="both"/>
        <w:rPr>
          <w:rFonts w:ascii="Arial" w:hAnsi="Arial" w:cs="Arial"/>
          <w:sz w:val="24"/>
          <w:szCs w:val="24"/>
        </w:rPr>
      </w:pPr>
    </w:p>
    <w:p w:rsidR="00F0175C" w:rsidRDefault="006A0506" w:rsidP="004C26C5">
      <w:pPr>
        <w:autoSpaceDE w:val="0"/>
        <w:autoSpaceDN w:val="0"/>
        <w:adjustRightInd w:val="0"/>
        <w:spacing w:after="0" w:line="480" w:lineRule="auto"/>
        <w:jc w:val="both"/>
        <w:rPr>
          <w:rFonts w:ascii="Arial" w:hAnsi="Arial" w:cs="Arial"/>
          <w:sz w:val="24"/>
          <w:szCs w:val="24"/>
        </w:rPr>
      </w:pPr>
      <w:r>
        <w:rPr>
          <w:rFonts w:ascii="Arial" w:hAnsi="Arial" w:cs="Arial"/>
          <w:sz w:val="24"/>
          <w:szCs w:val="24"/>
        </w:rPr>
        <w:t>[38</w:t>
      </w:r>
      <w:r w:rsidR="00DF00DB">
        <w:rPr>
          <w:rFonts w:ascii="Arial" w:hAnsi="Arial" w:cs="Arial"/>
          <w:sz w:val="24"/>
          <w:szCs w:val="24"/>
        </w:rPr>
        <w:t>]</w:t>
      </w:r>
      <w:r w:rsidR="00DF00DB">
        <w:rPr>
          <w:rFonts w:ascii="Arial" w:hAnsi="Arial" w:cs="Arial"/>
          <w:sz w:val="24"/>
          <w:szCs w:val="24"/>
        </w:rPr>
        <w:tab/>
      </w:r>
      <w:r w:rsidR="0056473D">
        <w:rPr>
          <w:rFonts w:ascii="Arial" w:hAnsi="Arial" w:cs="Arial"/>
          <w:sz w:val="24"/>
          <w:szCs w:val="24"/>
        </w:rPr>
        <w:t xml:space="preserve">I agree with </w:t>
      </w:r>
      <w:r w:rsidR="00E839AB">
        <w:rPr>
          <w:rFonts w:ascii="Arial" w:hAnsi="Arial" w:cs="Arial"/>
          <w:sz w:val="24"/>
          <w:szCs w:val="24"/>
        </w:rPr>
        <w:t xml:space="preserve">the </w:t>
      </w:r>
      <w:r w:rsidR="0056473D">
        <w:rPr>
          <w:rFonts w:ascii="Arial" w:hAnsi="Arial" w:cs="Arial"/>
          <w:sz w:val="24"/>
          <w:szCs w:val="24"/>
        </w:rPr>
        <w:t>applicant</w:t>
      </w:r>
      <w:r w:rsidR="00E839AB">
        <w:rPr>
          <w:rFonts w:ascii="Arial" w:hAnsi="Arial" w:cs="Arial"/>
          <w:sz w:val="24"/>
          <w:szCs w:val="24"/>
        </w:rPr>
        <w:t xml:space="preserve">’s counsel </w:t>
      </w:r>
      <w:r w:rsidR="0056473D">
        <w:rPr>
          <w:rFonts w:ascii="Arial" w:hAnsi="Arial" w:cs="Arial"/>
          <w:sz w:val="24"/>
          <w:szCs w:val="24"/>
        </w:rPr>
        <w:t xml:space="preserve">that </w:t>
      </w:r>
      <w:proofErr w:type="gramStart"/>
      <w:r w:rsidR="00D7383E">
        <w:rPr>
          <w:rFonts w:ascii="Arial" w:hAnsi="Arial" w:cs="Arial"/>
          <w:sz w:val="24"/>
          <w:szCs w:val="24"/>
        </w:rPr>
        <w:t>ordinarily,</w:t>
      </w:r>
      <w:proofErr w:type="gramEnd"/>
      <w:r w:rsidR="00956D96">
        <w:rPr>
          <w:rFonts w:ascii="Arial" w:hAnsi="Arial" w:cs="Arial"/>
          <w:sz w:val="24"/>
          <w:szCs w:val="24"/>
        </w:rPr>
        <w:t xml:space="preserve"> </w:t>
      </w:r>
      <w:r w:rsidR="0056473D">
        <w:rPr>
          <w:rFonts w:ascii="Arial" w:hAnsi="Arial" w:cs="Arial"/>
          <w:sz w:val="24"/>
          <w:szCs w:val="24"/>
        </w:rPr>
        <w:t>inquir</w:t>
      </w:r>
      <w:r w:rsidR="00444F81">
        <w:rPr>
          <w:rFonts w:ascii="Arial" w:hAnsi="Arial" w:cs="Arial"/>
          <w:sz w:val="24"/>
          <w:szCs w:val="24"/>
        </w:rPr>
        <w:t>i</w:t>
      </w:r>
      <w:r w:rsidR="0056473D">
        <w:rPr>
          <w:rFonts w:ascii="Arial" w:hAnsi="Arial" w:cs="Arial"/>
          <w:sz w:val="24"/>
          <w:szCs w:val="24"/>
        </w:rPr>
        <w:t xml:space="preserve">es </w:t>
      </w:r>
      <w:r w:rsidR="00E25467">
        <w:rPr>
          <w:rFonts w:ascii="Arial" w:hAnsi="Arial" w:cs="Arial"/>
          <w:sz w:val="24"/>
          <w:szCs w:val="24"/>
        </w:rPr>
        <w:t>must</w:t>
      </w:r>
      <w:r w:rsidR="0056473D">
        <w:rPr>
          <w:rFonts w:ascii="Arial" w:hAnsi="Arial" w:cs="Arial"/>
          <w:sz w:val="24"/>
          <w:szCs w:val="24"/>
        </w:rPr>
        <w:t xml:space="preserve"> be made by a third party </w:t>
      </w:r>
      <w:r w:rsidR="00111F70">
        <w:rPr>
          <w:rFonts w:ascii="Arial" w:hAnsi="Arial" w:cs="Arial"/>
          <w:sz w:val="24"/>
          <w:szCs w:val="24"/>
        </w:rPr>
        <w:t xml:space="preserve">who </w:t>
      </w:r>
      <w:r w:rsidR="00C139BA">
        <w:rPr>
          <w:rFonts w:ascii="Arial" w:hAnsi="Arial" w:cs="Arial"/>
          <w:sz w:val="24"/>
          <w:szCs w:val="24"/>
        </w:rPr>
        <w:t xml:space="preserve">relies on section 15(9) of </w:t>
      </w:r>
      <w:r w:rsidR="0096715A">
        <w:rPr>
          <w:rFonts w:ascii="Arial" w:hAnsi="Arial" w:cs="Arial"/>
          <w:sz w:val="24"/>
          <w:szCs w:val="24"/>
        </w:rPr>
        <w:t xml:space="preserve">the </w:t>
      </w:r>
      <w:r w:rsidR="00C139BA">
        <w:rPr>
          <w:rFonts w:ascii="Arial" w:hAnsi="Arial" w:cs="Arial"/>
          <w:sz w:val="24"/>
          <w:szCs w:val="24"/>
        </w:rPr>
        <w:t>MPA</w:t>
      </w:r>
      <w:r w:rsidR="00956D96">
        <w:rPr>
          <w:rFonts w:ascii="Arial" w:hAnsi="Arial" w:cs="Arial"/>
          <w:sz w:val="24"/>
          <w:szCs w:val="24"/>
        </w:rPr>
        <w:t xml:space="preserve">. </w:t>
      </w:r>
      <w:r w:rsidR="00C139BA">
        <w:rPr>
          <w:rFonts w:ascii="Arial" w:hAnsi="Arial" w:cs="Arial"/>
          <w:sz w:val="24"/>
          <w:szCs w:val="24"/>
        </w:rPr>
        <w:t xml:space="preserve"> </w:t>
      </w:r>
      <w:r w:rsidR="00956D96">
        <w:rPr>
          <w:rFonts w:ascii="Arial" w:hAnsi="Arial" w:cs="Arial"/>
          <w:sz w:val="24"/>
          <w:szCs w:val="24"/>
        </w:rPr>
        <w:t>H</w:t>
      </w:r>
      <w:r w:rsidR="0056473D">
        <w:rPr>
          <w:rFonts w:ascii="Arial" w:hAnsi="Arial" w:cs="Arial"/>
          <w:sz w:val="24"/>
          <w:szCs w:val="24"/>
        </w:rPr>
        <w:t>owever</w:t>
      </w:r>
      <w:r w:rsidR="00E25467">
        <w:rPr>
          <w:rFonts w:ascii="Arial" w:hAnsi="Arial" w:cs="Arial"/>
          <w:sz w:val="24"/>
          <w:szCs w:val="24"/>
        </w:rPr>
        <w:t>,</w:t>
      </w:r>
      <w:r w:rsidR="0056473D">
        <w:rPr>
          <w:rFonts w:ascii="Arial" w:hAnsi="Arial" w:cs="Arial"/>
          <w:sz w:val="24"/>
          <w:szCs w:val="24"/>
        </w:rPr>
        <w:t xml:space="preserve"> the </w:t>
      </w:r>
      <w:r w:rsidR="00ED3CF4">
        <w:rPr>
          <w:rFonts w:ascii="Arial" w:hAnsi="Arial" w:cs="Arial"/>
          <w:sz w:val="24"/>
          <w:szCs w:val="24"/>
        </w:rPr>
        <w:t>facts</w:t>
      </w:r>
      <w:r w:rsidR="0056473D">
        <w:rPr>
          <w:rFonts w:ascii="Arial" w:hAnsi="Arial" w:cs="Arial"/>
          <w:sz w:val="24"/>
          <w:szCs w:val="24"/>
        </w:rPr>
        <w:t xml:space="preserve"> of this case</w:t>
      </w:r>
      <w:r w:rsidR="00E839AB">
        <w:rPr>
          <w:rFonts w:ascii="Arial" w:hAnsi="Arial" w:cs="Arial"/>
          <w:sz w:val="24"/>
          <w:szCs w:val="24"/>
        </w:rPr>
        <w:t>,</w:t>
      </w:r>
      <w:r w:rsidR="0096715A">
        <w:rPr>
          <w:rFonts w:ascii="Arial" w:hAnsi="Arial" w:cs="Arial"/>
          <w:sz w:val="24"/>
          <w:szCs w:val="24"/>
        </w:rPr>
        <w:t xml:space="preserve"> </w:t>
      </w:r>
      <w:r w:rsidR="00A7422B">
        <w:rPr>
          <w:rFonts w:ascii="Arial" w:hAnsi="Arial" w:cs="Arial"/>
          <w:sz w:val="24"/>
          <w:szCs w:val="24"/>
        </w:rPr>
        <w:t xml:space="preserve">in my view, </w:t>
      </w:r>
      <w:r w:rsidR="0056473D">
        <w:rPr>
          <w:rFonts w:ascii="Arial" w:hAnsi="Arial" w:cs="Arial"/>
          <w:sz w:val="24"/>
          <w:szCs w:val="24"/>
        </w:rPr>
        <w:t xml:space="preserve">stand on a different footing. </w:t>
      </w:r>
      <w:r w:rsidR="00B833FF">
        <w:rPr>
          <w:rFonts w:ascii="Arial" w:hAnsi="Arial" w:cs="Arial"/>
          <w:sz w:val="24"/>
          <w:szCs w:val="24"/>
        </w:rPr>
        <w:t xml:space="preserve">The undisputed facts gleaned from the </w:t>
      </w:r>
      <w:r w:rsidR="008241B0">
        <w:rPr>
          <w:rFonts w:ascii="Arial" w:hAnsi="Arial" w:cs="Arial"/>
          <w:sz w:val="24"/>
          <w:szCs w:val="24"/>
        </w:rPr>
        <w:t>applicant’s affidavit</w:t>
      </w:r>
      <w:r w:rsidR="00E839AB">
        <w:rPr>
          <w:rFonts w:ascii="Arial" w:hAnsi="Arial" w:cs="Arial"/>
          <w:sz w:val="24"/>
          <w:szCs w:val="24"/>
        </w:rPr>
        <w:t xml:space="preserve"> </w:t>
      </w:r>
      <w:r w:rsidR="00A22A1F">
        <w:rPr>
          <w:rFonts w:ascii="Arial" w:hAnsi="Arial" w:cs="Arial"/>
          <w:sz w:val="24"/>
          <w:szCs w:val="24"/>
        </w:rPr>
        <w:t>are</w:t>
      </w:r>
      <w:r w:rsidR="008241B0">
        <w:rPr>
          <w:rFonts w:ascii="Arial" w:hAnsi="Arial" w:cs="Arial"/>
          <w:sz w:val="24"/>
          <w:szCs w:val="24"/>
        </w:rPr>
        <w:t xml:space="preserve"> </w:t>
      </w:r>
      <w:r w:rsidR="001745C8">
        <w:rPr>
          <w:rFonts w:ascii="Arial" w:hAnsi="Arial" w:cs="Arial"/>
          <w:sz w:val="24"/>
          <w:szCs w:val="24"/>
        </w:rPr>
        <w:t>that</w:t>
      </w:r>
      <w:r w:rsidR="008241B0">
        <w:rPr>
          <w:rFonts w:ascii="Arial" w:hAnsi="Arial" w:cs="Arial"/>
          <w:sz w:val="24"/>
          <w:szCs w:val="24"/>
        </w:rPr>
        <w:t xml:space="preserve"> the applicant </w:t>
      </w:r>
      <w:r w:rsidR="00893ED8">
        <w:rPr>
          <w:rFonts w:ascii="Arial" w:hAnsi="Arial" w:cs="Arial"/>
          <w:sz w:val="24"/>
          <w:szCs w:val="24"/>
        </w:rPr>
        <w:t xml:space="preserve">was living in the Eastern Cape </w:t>
      </w:r>
      <w:r w:rsidR="00E57D5D">
        <w:rPr>
          <w:rFonts w:ascii="Arial" w:hAnsi="Arial" w:cs="Arial"/>
          <w:sz w:val="24"/>
          <w:szCs w:val="24"/>
        </w:rPr>
        <w:t xml:space="preserve">and not with the second respondent in Cape Town. </w:t>
      </w:r>
      <w:r w:rsidR="00F0175C">
        <w:rPr>
          <w:rFonts w:ascii="Arial" w:hAnsi="Arial" w:cs="Arial"/>
          <w:sz w:val="24"/>
          <w:szCs w:val="24"/>
        </w:rPr>
        <w:t>According to the applicant, she</w:t>
      </w:r>
      <w:r w:rsidR="00956D96">
        <w:rPr>
          <w:rFonts w:ascii="Arial" w:hAnsi="Arial" w:cs="Arial"/>
          <w:sz w:val="24"/>
          <w:szCs w:val="24"/>
        </w:rPr>
        <w:t xml:space="preserve"> </w:t>
      </w:r>
      <w:r w:rsidR="00E57D5D">
        <w:rPr>
          <w:rFonts w:ascii="Arial" w:hAnsi="Arial" w:cs="Arial"/>
          <w:sz w:val="24"/>
          <w:szCs w:val="24"/>
        </w:rPr>
        <w:t>learn</w:t>
      </w:r>
      <w:r w:rsidR="00956D96">
        <w:rPr>
          <w:rFonts w:ascii="Arial" w:hAnsi="Arial" w:cs="Arial"/>
          <w:sz w:val="24"/>
          <w:szCs w:val="24"/>
        </w:rPr>
        <w:t>t</w:t>
      </w:r>
      <w:r w:rsidR="00E57D5D">
        <w:rPr>
          <w:rFonts w:ascii="Arial" w:hAnsi="Arial" w:cs="Arial"/>
          <w:sz w:val="24"/>
          <w:szCs w:val="24"/>
        </w:rPr>
        <w:t xml:space="preserve"> of </w:t>
      </w:r>
      <w:r w:rsidR="00B905CE">
        <w:rPr>
          <w:rFonts w:ascii="Arial" w:hAnsi="Arial" w:cs="Arial"/>
          <w:sz w:val="24"/>
          <w:szCs w:val="24"/>
        </w:rPr>
        <w:t>the house</w:t>
      </w:r>
      <w:r w:rsidR="00E839AB">
        <w:rPr>
          <w:rFonts w:ascii="Arial" w:hAnsi="Arial" w:cs="Arial"/>
          <w:sz w:val="24"/>
          <w:szCs w:val="24"/>
        </w:rPr>
        <w:t xml:space="preserve"> sale</w:t>
      </w:r>
      <w:r w:rsidR="00E57D5D">
        <w:rPr>
          <w:rFonts w:ascii="Arial" w:hAnsi="Arial" w:cs="Arial"/>
          <w:sz w:val="24"/>
          <w:szCs w:val="24"/>
        </w:rPr>
        <w:t xml:space="preserve"> from </w:t>
      </w:r>
      <w:r w:rsidR="009863D2">
        <w:rPr>
          <w:rFonts w:ascii="Arial" w:hAnsi="Arial" w:cs="Arial"/>
          <w:sz w:val="24"/>
          <w:szCs w:val="24"/>
        </w:rPr>
        <w:t xml:space="preserve">his </w:t>
      </w:r>
      <w:r w:rsidR="001549B2">
        <w:rPr>
          <w:rFonts w:ascii="Arial" w:hAnsi="Arial" w:cs="Arial"/>
          <w:sz w:val="24"/>
          <w:szCs w:val="24"/>
        </w:rPr>
        <w:t>son</w:t>
      </w:r>
      <w:r w:rsidR="00956D96">
        <w:rPr>
          <w:rFonts w:ascii="Arial" w:hAnsi="Arial" w:cs="Arial"/>
          <w:sz w:val="24"/>
          <w:szCs w:val="24"/>
        </w:rPr>
        <w:t xml:space="preserve"> while she was in the Eastern Cape</w:t>
      </w:r>
      <w:r w:rsidR="00F0175C">
        <w:rPr>
          <w:rFonts w:ascii="Arial" w:hAnsi="Arial" w:cs="Arial"/>
          <w:sz w:val="24"/>
          <w:szCs w:val="24"/>
        </w:rPr>
        <w:t>.</w:t>
      </w:r>
      <w:r w:rsidR="00956D96">
        <w:rPr>
          <w:rFonts w:ascii="Arial" w:hAnsi="Arial" w:cs="Arial"/>
          <w:sz w:val="24"/>
          <w:szCs w:val="24"/>
        </w:rPr>
        <w:t xml:space="preserve"> After receiving this information, sh</w:t>
      </w:r>
      <w:r w:rsidR="009863D2">
        <w:rPr>
          <w:rFonts w:ascii="Arial" w:hAnsi="Arial" w:cs="Arial"/>
          <w:sz w:val="24"/>
          <w:szCs w:val="24"/>
        </w:rPr>
        <w:t xml:space="preserve">e immediately </w:t>
      </w:r>
      <w:r w:rsidR="00F04463">
        <w:rPr>
          <w:rFonts w:ascii="Arial" w:hAnsi="Arial" w:cs="Arial"/>
          <w:sz w:val="24"/>
          <w:szCs w:val="24"/>
        </w:rPr>
        <w:t xml:space="preserve">travelled from </w:t>
      </w:r>
      <w:r w:rsidR="00001EA4">
        <w:rPr>
          <w:rFonts w:ascii="Arial" w:hAnsi="Arial" w:cs="Arial"/>
          <w:sz w:val="24"/>
          <w:szCs w:val="24"/>
        </w:rPr>
        <w:t xml:space="preserve">the </w:t>
      </w:r>
      <w:r w:rsidR="00227CA0">
        <w:rPr>
          <w:rFonts w:ascii="Arial" w:hAnsi="Arial" w:cs="Arial"/>
          <w:sz w:val="24"/>
          <w:szCs w:val="24"/>
        </w:rPr>
        <w:t>E</w:t>
      </w:r>
      <w:r w:rsidR="00F04463">
        <w:rPr>
          <w:rFonts w:ascii="Arial" w:hAnsi="Arial" w:cs="Arial"/>
          <w:sz w:val="24"/>
          <w:szCs w:val="24"/>
        </w:rPr>
        <w:t>a</w:t>
      </w:r>
      <w:r w:rsidR="00F353E0">
        <w:rPr>
          <w:rFonts w:ascii="Arial" w:hAnsi="Arial" w:cs="Arial"/>
          <w:sz w:val="24"/>
          <w:szCs w:val="24"/>
        </w:rPr>
        <w:t>s</w:t>
      </w:r>
      <w:r w:rsidR="00F04463">
        <w:rPr>
          <w:rFonts w:ascii="Arial" w:hAnsi="Arial" w:cs="Arial"/>
          <w:sz w:val="24"/>
          <w:szCs w:val="24"/>
        </w:rPr>
        <w:t>te</w:t>
      </w:r>
      <w:r w:rsidR="00F353E0">
        <w:rPr>
          <w:rFonts w:ascii="Arial" w:hAnsi="Arial" w:cs="Arial"/>
          <w:sz w:val="24"/>
          <w:szCs w:val="24"/>
        </w:rPr>
        <w:t>r</w:t>
      </w:r>
      <w:r w:rsidR="00F04463">
        <w:rPr>
          <w:rFonts w:ascii="Arial" w:hAnsi="Arial" w:cs="Arial"/>
          <w:sz w:val="24"/>
          <w:szCs w:val="24"/>
        </w:rPr>
        <w:t xml:space="preserve">n Cape to Cape Town to </w:t>
      </w:r>
      <w:r w:rsidR="00227CA0">
        <w:rPr>
          <w:rFonts w:ascii="Arial" w:hAnsi="Arial" w:cs="Arial"/>
          <w:sz w:val="24"/>
          <w:szCs w:val="24"/>
        </w:rPr>
        <w:t xml:space="preserve">deal with the matter. </w:t>
      </w:r>
      <w:r w:rsidR="00F0175C">
        <w:rPr>
          <w:rFonts w:ascii="Arial" w:hAnsi="Arial" w:cs="Arial"/>
          <w:sz w:val="24"/>
          <w:szCs w:val="24"/>
        </w:rPr>
        <w:t>Upon her arrival</w:t>
      </w:r>
      <w:r w:rsidR="00B905CE">
        <w:rPr>
          <w:rFonts w:ascii="Arial" w:hAnsi="Arial" w:cs="Arial"/>
          <w:sz w:val="24"/>
          <w:szCs w:val="24"/>
        </w:rPr>
        <w:t>,</w:t>
      </w:r>
      <w:r w:rsidR="00F0175C">
        <w:rPr>
          <w:rFonts w:ascii="Arial" w:hAnsi="Arial" w:cs="Arial"/>
          <w:sz w:val="24"/>
          <w:szCs w:val="24"/>
        </w:rPr>
        <w:t xml:space="preserve"> she sought the attention of street committee members. </w:t>
      </w:r>
    </w:p>
    <w:p w:rsidR="00F0175C" w:rsidRDefault="00F0175C" w:rsidP="004C26C5">
      <w:pPr>
        <w:autoSpaceDE w:val="0"/>
        <w:autoSpaceDN w:val="0"/>
        <w:adjustRightInd w:val="0"/>
        <w:spacing w:after="0" w:line="480" w:lineRule="auto"/>
        <w:jc w:val="both"/>
        <w:rPr>
          <w:rFonts w:ascii="Arial" w:hAnsi="Arial" w:cs="Arial"/>
          <w:sz w:val="24"/>
          <w:szCs w:val="24"/>
        </w:rPr>
      </w:pPr>
    </w:p>
    <w:p w:rsidR="00345D3C" w:rsidRDefault="006A0506" w:rsidP="00345D3C">
      <w:pPr>
        <w:autoSpaceDE w:val="0"/>
        <w:autoSpaceDN w:val="0"/>
        <w:adjustRightInd w:val="0"/>
        <w:spacing w:after="0" w:line="480" w:lineRule="auto"/>
        <w:jc w:val="both"/>
        <w:rPr>
          <w:rFonts w:ascii="Arial" w:hAnsi="Arial" w:cs="Arial"/>
          <w:sz w:val="24"/>
          <w:szCs w:val="24"/>
        </w:rPr>
      </w:pPr>
      <w:r>
        <w:rPr>
          <w:rFonts w:ascii="Arial" w:hAnsi="Arial" w:cs="Arial"/>
          <w:sz w:val="24"/>
          <w:szCs w:val="24"/>
        </w:rPr>
        <w:t>[39</w:t>
      </w:r>
      <w:r w:rsidR="00DF00DB">
        <w:rPr>
          <w:rFonts w:ascii="Arial" w:hAnsi="Arial" w:cs="Arial"/>
          <w:sz w:val="24"/>
          <w:szCs w:val="24"/>
        </w:rPr>
        <w:t>]</w:t>
      </w:r>
      <w:r w:rsidR="00DF00DB">
        <w:rPr>
          <w:rFonts w:ascii="Arial" w:hAnsi="Arial" w:cs="Arial"/>
          <w:sz w:val="24"/>
          <w:szCs w:val="24"/>
        </w:rPr>
        <w:tab/>
      </w:r>
      <w:r w:rsidR="00520FB9">
        <w:rPr>
          <w:rFonts w:ascii="Arial" w:hAnsi="Arial" w:cs="Arial"/>
          <w:sz w:val="24"/>
          <w:szCs w:val="24"/>
        </w:rPr>
        <w:t xml:space="preserve">Significantly, </w:t>
      </w:r>
      <w:r w:rsidR="00956D96">
        <w:rPr>
          <w:rFonts w:ascii="Arial" w:hAnsi="Arial" w:cs="Arial"/>
          <w:sz w:val="24"/>
          <w:szCs w:val="24"/>
        </w:rPr>
        <w:t>w</w:t>
      </w:r>
      <w:r w:rsidR="00F353E0">
        <w:rPr>
          <w:rFonts w:ascii="Arial" w:hAnsi="Arial" w:cs="Arial"/>
          <w:sz w:val="24"/>
          <w:szCs w:val="24"/>
        </w:rPr>
        <w:t>hen th</w:t>
      </w:r>
      <w:r w:rsidR="00001EA4">
        <w:rPr>
          <w:rFonts w:ascii="Arial" w:hAnsi="Arial" w:cs="Arial"/>
          <w:sz w:val="24"/>
          <w:szCs w:val="24"/>
        </w:rPr>
        <w:t>e</w:t>
      </w:r>
      <w:r w:rsidR="00F353E0">
        <w:rPr>
          <w:rFonts w:ascii="Arial" w:hAnsi="Arial" w:cs="Arial"/>
          <w:sz w:val="24"/>
          <w:szCs w:val="24"/>
        </w:rPr>
        <w:t xml:space="preserve"> </w:t>
      </w:r>
      <w:r w:rsidR="00956D96">
        <w:rPr>
          <w:rFonts w:ascii="Arial" w:hAnsi="Arial" w:cs="Arial"/>
          <w:sz w:val="24"/>
          <w:szCs w:val="24"/>
        </w:rPr>
        <w:t xml:space="preserve">impugned sale </w:t>
      </w:r>
      <w:r w:rsidR="001847A3">
        <w:rPr>
          <w:rFonts w:ascii="Arial" w:hAnsi="Arial" w:cs="Arial"/>
          <w:sz w:val="24"/>
          <w:szCs w:val="24"/>
        </w:rPr>
        <w:t>agreement</w:t>
      </w:r>
      <w:r w:rsidR="00F353E0">
        <w:rPr>
          <w:rFonts w:ascii="Arial" w:hAnsi="Arial" w:cs="Arial"/>
          <w:sz w:val="24"/>
          <w:szCs w:val="24"/>
        </w:rPr>
        <w:t xml:space="preserve"> was concluded</w:t>
      </w:r>
      <w:r w:rsidR="00956D96">
        <w:rPr>
          <w:rFonts w:ascii="Arial" w:hAnsi="Arial" w:cs="Arial"/>
          <w:sz w:val="24"/>
          <w:szCs w:val="24"/>
        </w:rPr>
        <w:t>,</w:t>
      </w:r>
      <w:r w:rsidR="00F353E0">
        <w:rPr>
          <w:rFonts w:ascii="Arial" w:hAnsi="Arial" w:cs="Arial"/>
          <w:sz w:val="24"/>
          <w:szCs w:val="24"/>
        </w:rPr>
        <w:t xml:space="preserve"> the </w:t>
      </w:r>
      <w:r w:rsidR="001847A3">
        <w:rPr>
          <w:rFonts w:ascii="Arial" w:hAnsi="Arial" w:cs="Arial"/>
          <w:sz w:val="24"/>
          <w:szCs w:val="24"/>
        </w:rPr>
        <w:t xml:space="preserve">second respondent informed the first respondent that </w:t>
      </w:r>
      <w:r w:rsidR="00BF1D07">
        <w:rPr>
          <w:rFonts w:ascii="Arial" w:hAnsi="Arial" w:cs="Arial"/>
          <w:sz w:val="24"/>
          <w:szCs w:val="24"/>
        </w:rPr>
        <w:t>he was unmarr</w:t>
      </w:r>
      <w:r w:rsidR="00444F81">
        <w:rPr>
          <w:rFonts w:ascii="Arial" w:hAnsi="Arial" w:cs="Arial"/>
          <w:sz w:val="24"/>
          <w:szCs w:val="24"/>
        </w:rPr>
        <w:t>i</w:t>
      </w:r>
      <w:r w:rsidR="00BF1D07">
        <w:rPr>
          <w:rFonts w:ascii="Arial" w:hAnsi="Arial" w:cs="Arial"/>
          <w:sz w:val="24"/>
          <w:szCs w:val="24"/>
        </w:rPr>
        <w:t>ed.</w:t>
      </w:r>
      <w:r w:rsidR="00B7015C">
        <w:rPr>
          <w:rFonts w:ascii="Arial" w:hAnsi="Arial" w:cs="Arial"/>
          <w:sz w:val="24"/>
          <w:szCs w:val="24"/>
        </w:rPr>
        <w:t xml:space="preserve"> The second respondent </w:t>
      </w:r>
      <w:r w:rsidR="00321B32">
        <w:rPr>
          <w:rFonts w:ascii="Arial" w:hAnsi="Arial" w:cs="Arial"/>
          <w:sz w:val="24"/>
          <w:szCs w:val="24"/>
        </w:rPr>
        <w:t xml:space="preserve">also </w:t>
      </w:r>
      <w:r w:rsidR="00F0175C">
        <w:rPr>
          <w:rFonts w:ascii="Arial" w:hAnsi="Arial" w:cs="Arial"/>
          <w:sz w:val="24"/>
          <w:szCs w:val="24"/>
        </w:rPr>
        <w:t xml:space="preserve">stated that he was unmarried when he signed </w:t>
      </w:r>
      <w:r w:rsidR="00956D96">
        <w:rPr>
          <w:rFonts w:ascii="Arial" w:hAnsi="Arial" w:cs="Arial"/>
          <w:sz w:val="24"/>
          <w:szCs w:val="24"/>
        </w:rPr>
        <w:t>the sale agreement</w:t>
      </w:r>
      <w:r w:rsidR="00321B32">
        <w:rPr>
          <w:rFonts w:ascii="Arial" w:hAnsi="Arial" w:cs="Arial"/>
          <w:sz w:val="24"/>
          <w:szCs w:val="24"/>
        </w:rPr>
        <w:t>.</w:t>
      </w:r>
      <w:r w:rsidR="001549B2">
        <w:rPr>
          <w:rFonts w:ascii="Arial" w:hAnsi="Arial" w:cs="Arial"/>
          <w:sz w:val="24"/>
          <w:szCs w:val="24"/>
        </w:rPr>
        <w:t xml:space="preserve"> </w:t>
      </w:r>
      <w:r w:rsidR="00956D96">
        <w:rPr>
          <w:rFonts w:ascii="Arial" w:hAnsi="Arial" w:cs="Arial"/>
          <w:sz w:val="24"/>
          <w:szCs w:val="24"/>
        </w:rPr>
        <w:t>T</w:t>
      </w:r>
      <w:r w:rsidR="00252B9A" w:rsidRPr="00252B9A">
        <w:rPr>
          <w:rFonts w:ascii="Arial" w:hAnsi="Arial" w:cs="Arial"/>
          <w:sz w:val="24"/>
          <w:szCs w:val="24"/>
        </w:rPr>
        <w:t xml:space="preserve">he deed of transfer dated </w:t>
      </w:r>
      <w:r w:rsidR="00554FAE">
        <w:rPr>
          <w:rFonts w:ascii="Arial" w:hAnsi="Arial" w:cs="Arial"/>
          <w:sz w:val="24"/>
          <w:szCs w:val="24"/>
        </w:rPr>
        <w:t xml:space="preserve">25 </w:t>
      </w:r>
      <w:r w:rsidR="00FB145D">
        <w:rPr>
          <w:rFonts w:ascii="Arial" w:hAnsi="Arial" w:cs="Arial"/>
          <w:sz w:val="24"/>
          <w:szCs w:val="24"/>
        </w:rPr>
        <w:t>November</w:t>
      </w:r>
      <w:r w:rsidR="00956D96">
        <w:rPr>
          <w:rFonts w:ascii="Arial" w:hAnsi="Arial" w:cs="Arial"/>
          <w:sz w:val="24"/>
          <w:szCs w:val="24"/>
        </w:rPr>
        <w:t xml:space="preserve"> 2010</w:t>
      </w:r>
      <w:r w:rsidR="00B905CE">
        <w:rPr>
          <w:rFonts w:ascii="Arial" w:hAnsi="Arial" w:cs="Arial"/>
          <w:sz w:val="24"/>
          <w:szCs w:val="24"/>
        </w:rPr>
        <w:t>,</w:t>
      </w:r>
      <w:r w:rsidR="00956D96">
        <w:rPr>
          <w:rFonts w:ascii="Arial" w:hAnsi="Arial" w:cs="Arial"/>
          <w:sz w:val="24"/>
          <w:szCs w:val="24"/>
        </w:rPr>
        <w:t xml:space="preserve"> signed in Cape T</w:t>
      </w:r>
      <w:r w:rsidR="00554FAE">
        <w:rPr>
          <w:rFonts w:ascii="Arial" w:hAnsi="Arial" w:cs="Arial"/>
          <w:sz w:val="24"/>
          <w:szCs w:val="24"/>
        </w:rPr>
        <w:t>own</w:t>
      </w:r>
      <w:r w:rsidR="00321B32">
        <w:rPr>
          <w:rFonts w:ascii="Arial" w:hAnsi="Arial" w:cs="Arial"/>
          <w:sz w:val="24"/>
          <w:szCs w:val="24"/>
        </w:rPr>
        <w:t>,</w:t>
      </w:r>
      <w:r w:rsidR="00554FAE">
        <w:rPr>
          <w:rFonts w:ascii="Arial" w:hAnsi="Arial" w:cs="Arial"/>
          <w:sz w:val="24"/>
          <w:szCs w:val="24"/>
        </w:rPr>
        <w:t xml:space="preserve"> </w:t>
      </w:r>
      <w:r w:rsidR="00252B9A" w:rsidRPr="00252B9A">
        <w:rPr>
          <w:rFonts w:ascii="Arial" w:hAnsi="Arial" w:cs="Arial"/>
          <w:sz w:val="24"/>
          <w:szCs w:val="24"/>
        </w:rPr>
        <w:t xml:space="preserve">referred to the </w:t>
      </w:r>
      <w:r w:rsidR="00554FAE">
        <w:rPr>
          <w:rFonts w:ascii="Arial" w:hAnsi="Arial" w:cs="Arial"/>
          <w:sz w:val="24"/>
          <w:szCs w:val="24"/>
        </w:rPr>
        <w:t xml:space="preserve">second respondent </w:t>
      </w:r>
      <w:r w:rsidR="00252B9A" w:rsidRPr="00252B9A">
        <w:rPr>
          <w:rFonts w:ascii="Arial" w:hAnsi="Arial" w:cs="Arial"/>
          <w:sz w:val="24"/>
          <w:szCs w:val="24"/>
        </w:rPr>
        <w:t>as unmarried.</w:t>
      </w:r>
      <w:r w:rsidR="00345D3C">
        <w:rPr>
          <w:rFonts w:ascii="Arial" w:hAnsi="Arial" w:cs="Arial"/>
          <w:sz w:val="24"/>
          <w:szCs w:val="24"/>
        </w:rPr>
        <w:t xml:space="preserve"> Moreover, the second respondent deposed to a confirmatory affidavit in which he </w:t>
      </w:r>
      <w:r w:rsidR="00321B32">
        <w:rPr>
          <w:rFonts w:ascii="Arial" w:hAnsi="Arial" w:cs="Arial"/>
          <w:sz w:val="24"/>
          <w:szCs w:val="24"/>
        </w:rPr>
        <w:t xml:space="preserve">asserted </w:t>
      </w:r>
      <w:r w:rsidR="00345D3C">
        <w:rPr>
          <w:rFonts w:ascii="Arial" w:hAnsi="Arial" w:cs="Arial"/>
          <w:sz w:val="24"/>
          <w:szCs w:val="24"/>
        </w:rPr>
        <w:t xml:space="preserve">that when he concluded the sale agreement with the first respondent in </w:t>
      </w:r>
      <w:r w:rsidR="00520FB9">
        <w:rPr>
          <w:rFonts w:ascii="Arial" w:hAnsi="Arial" w:cs="Arial"/>
          <w:sz w:val="24"/>
          <w:szCs w:val="24"/>
        </w:rPr>
        <w:t>2010,</w:t>
      </w:r>
      <w:r w:rsidR="00345D3C">
        <w:rPr>
          <w:rFonts w:ascii="Arial" w:hAnsi="Arial" w:cs="Arial"/>
          <w:sz w:val="24"/>
          <w:szCs w:val="24"/>
        </w:rPr>
        <w:t xml:space="preserve"> he</w:t>
      </w:r>
      <w:r w:rsidR="00321B32">
        <w:rPr>
          <w:rFonts w:ascii="Arial" w:hAnsi="Arial" w:cs="Arial"/>
          <w:sz w:val="24"/>
          <w:szCs w:val="24"/>
        </w:rPr>
        <w:t xml:space="preserve"> stated </w:t>
      </w:r>
      <w:r w:rsidR="00345D3C">
        <w:rPr>
          <w:rFonts w:ascii="Arial" w:hAnsi="Arial" w:cs="Arial"/>
          <w:sz w:val="24"/>
          <w:szCs w:val="24"/>
        </w:rPr>
        <w:t xml:space="preserve">that he was not married as he laboured under the impression that customary marriage is not recognised in our law. </w:t>
      </w:r>
    </w:p>
    <w:p w:rsidR="00345D3C" w:rsidRDefault="00345D3C" w:rsidP="004C26C5">
      <w:pPr>
        <w:autoSpaceDE w:val="0"/>
        <w:autoSpaceDN w:val="0"/>
        <w:adjustRightInd w:val="0"/>
        <w:spacing w:after="0" w:line="480" w:lineRule="auto"/>
        <w:jc w:val="both"/>
        <w:rPr>
          <w:rFonts w:ascii="Arial" w:hAnsi="Arial" w:cs="Arial"/>
          <w:sz w:val="24"/>
          <w:szCs w:val="24"/>
        </w:rPr>
      </w:pPr>
    </w:p>
    <w:p w:rsidR="006A0506" w:rsidRDefault="006A0506" w:rsidP="004C26C5">
      <w:pPr>
        <w:autoSpaceDE w:val="0"/>
        <w:autoSpaceDN w:val="0"/>
        <w:adjustRightInd w:val="0"/>
        <w:spacing w:after="0" w:line="480" w:lineRule="auto"/>
        <w:jc w:val="both"/>
        <w:rPr>
          <w:rFonts w:ascii="Arial" w:hAnsi="Arial" w:cs="Arial"/>
          <w:sz w:val="24"/>
          <w:szCs w:val="24"/>
        </w:rPr>
      </w:pPr>
      <w:r>
        <w:rPr>
          <w:rFonts w:ascii="Arial" w:hAnsi="Arial" w:cs="Arial"/>
          <w:sz w:val="24"/>
          <w:szCs w:val="24"/>
        </w:rPr>
        <w:lastRenderedPageBreak/>
        <w:t>[40</w:t>
      </w:r>
      <w:r w:rsidR="00DF00DB">
        <w:rPr>
          <w:rFonts w:ascii="Arial" w:hAnsi="Arial" w:cs="Arial"/>
          <w:sz w:val="24"/>
          <w:szCs w:val="24"/>
        </w:rPr>
        <w:t>]</w:t>
      </w:r>
      <w:r w:rsidR="00DF00DB">
        <w:rPr>
          <w:rFonts w:ascii="Arial" w:hAnsi="Arial" w:cs="Arial"/>
          <w:sz w:val="24"/>
          <w:szCs w:val="24"/>
        </w:rPr>
        <w:tab/>
      </w:r>
      <w:r w:rsidR="00D7383E" w:rsidRPr="00D7383E">
        <w:rPr>
          <w:rFonts w:ascii="Arial" w:hAnsi="Arial" w:cs="Arial"/>
          <w:sz w:val="24"/>
          <w:szCs w:val="24"/>
        </w:rPr>
        <w:t>In my view, this information cumulatively lends credence to what the first respondent stated from the outset, that the deceased was not married to the applicant to her knowledge.</w:t>
      </w:r>
      <w:r w:rsidR="00D7383E">
        <w:rPr>
          <w:rFonts w:ascii="Arial" w:hAnsi="Arial" w:cs="Arial"/>
          <w:sz w:val="24"/>
          <w:szCs w:val="24"/>
        </w:rPr>
        <w:t xml:space="preserve"> </w:t>
      </w:r>
      <w:r w:rsidR="00B905CE" w:rsidRPr="00B905CE">
        <w:rPr>
          <w:rFonts w:ascii="Arial" w:hAnsi="Arial" w:cs="Arial"/>
          <w:sz w:val="24"/>
          <w:szCs w:val="24"/>
        </w:rPr>
        <w:t>A reasonable third party in the first respondent's position would have accepted that the second respondent was unmarried.</w:t>
      </w:r>
      <w:r w:rsidR="00B905CE">
        <w:rPr>
          <w:rFonts w:ascii="Arial" w:hAnsi="Arial" w:cs="Arial"/>
          <w:sz w:val="24"/>
          <w:szCs w:val="24"/>
        </w:rPr>
        <w:t xml:space="preserve"> </w:t>
      </w:r>
      <w:r w:rsidR="00345D3C">
        <w:rPr>
          <w:rFonts w:ascii="Arial" w:hAnsi="Arial" w:cs="Arial"/>
          <w:sz w:val="24"/>
          <w:szCs w:val="24"/>
        </w:rPr>
        <w:t>To my mind,</w:t>
      </w:r>
      <w:r w:rsidR="004C26C5" w:rsidRPr="004C26C5">
        <w:rPr>
          <w:rFonts w:ascii="Arial" w:hAnsi="Arial" w:cs="Arial"/>
          <w:sz w:val="24"/>
          <w:szCs w:val="24"/>
        </w:rPr>
        <w:t xml:space="preserve"> </w:t>
      </w:r>
      <w:r w:rsidR="00B4773A">
        <w:rPr>
          <w:rFonts w:ascii="Arial" w:hAnsi="Arial" w:cs="Arial"/>
          <w:sz w:val="24"/>
          <w:szCs w:val="24"/>
        </w:rPr>
        <w:t>the second respondent</w:t>
      </w:r>
      <w:r w:rsidR="00E54717">
        <w:rPr>
          <w:rFonts w:ascii="Arial" w:hAnsi="Arial" w:cs="Arial"/>
          <w:sz w:val="24"/>
          <w:szCs w:val="24"/>
        </w:rPr>
        <w:t xml:space="preserve"> </w:t>
      </w:r>
      <w:r w:rsidR="004C26C5" w:rsidRPr="004C26C5">
        <w:rPr>
          <w:rFonts w:ascii="Arial" w:hAnsi="Arial" w:cs="Arial"/>
          <w:sz w:val="24"/>
          <w:szCs w:val="24"/>
        </w:rPr>
        <w:t>could not</w:t>
      </w:r>
      <w:r w:rsidR="00EC5BFC">
        <w:rPr>
          <w:rFonts w:ascii="Arial" w:hAnsi="Arial" w:cs="Arial"/>
          <w:sz w:val="24"/>
          <w:szCs w:val="24"/>
        </w:rPr>
        <w:t xml:space="preserve"> </w:t>
      </w:r>
      <w:r w:rsidR="004C26C5" w:rsidRPr="004C26C5">
        <w:rPr>
          <w:rFonts w:ascii="Arial" w:hAnsi="Arial" w:cs="Arial"/>
          <w:sz w:val="24"/>
          <w:szCs w:val="24"/>
        </w:rPr>
        <w:t xml:space="preserve">reasonably have known that </w:t>
      </w:r>
      <w:r w:rsidR="00B4773A">
        <w:rPr>
          <w:rFonts w:ascii="Arial" w:hAnsi="Arial" w:cs="Arial"/>
          <w:sz w:val="24"/>
          <w:szCs w:val="24"/>
        </w:rPr>
        <w:t>t</w:t>
      </w:r>
      <w:r w:rsidR="004C26C5" w:rsidRPr="004C26C5">
        <w:rPr>
          <w:rFonts w:ascii="Arial" w:hAnsi="Arial" w:cs="Arial"/>
          <w:sz w:val="24"/>
          <w:szCs w:val="24"/>
        </w:rPr>
        <w:t xml:space="preserve">he </w:t>
      </w:r>
      <w:r w:rsidR="00B4773A">
        <w:rPr>
          <w:rFonts w:ascii="Arial" w:hAnsi="Arial" w:cs="Arial"/>
          <w:sz w:val="24"/>
          <w:szCs w:val="24"/>
        </w:rPr>
        <w:t xml:space="preserve">deceased (second respondent) </w:t>
      </w:r>
      <w:r w:rsidR="004C26C5" w:rsidRPr="004C26C5">
        <w:rPr>
          <w:rFonts w:ascii="Arial" w:hAnsi="Arial" w:cs="Arial"/>
          <w:sz w:val="24"/>
          <w:szCs w:val="24"/>
        </w:rPr>
        <w:t>was</w:t>
      </w:r>
      <w:r w:rsidR="00345D3C">
        <w:rPr>
          <w:rFonts w:ascii="Arial" w:hAnsi="Arial" w:cs="Arial"/>
          <w:sz w:val="24"/>
          <w:szCs w:val="24"/>
        </w:rPr>
        <w:t xml:space="preserve"> married</w:t>
      </w:r>
      <w:r w:rsidR="006E1969">
        <w:rPr>
          <w:rFonts w:ascii="Arial" w:hAnsi="Arial" w:cs="Arial"/>
          <w:sz w:val="24"/>
          <w:szCs w:val="24"/>
        </w:rPr>
        <w:t xml:space="preserve"> </w:t>
      </w:r>
      <w:r w:rsidR="00B905CE">
        <w:rPr>
          <w:rFonts w:ascii="Arial" w:hAnsi="Arial" w:cs="Arial"/>
          <w:sz w:val="24"/>
          <w:szCs w:val="24"/>
        </w:rPr>
        <w:t xml:space="preserve">when </w:t>
      </w:r>
      <w:r w:rsidR="006E1969">
        <w:rPr>
          <w:rFonts w:ascii="Arial" w:hAnsi="Arial" w:cs="Arial"/>
          <w:sz w:val="24"/>
          <w:szCs w:val="24"/>
        </w:rPr>
        <w:t>the sale agreement was concluded</w:t>
      </w:r>
      <w:r w:rsidR="004C26C5" w:rsidRPr="004C26C5">
        <w:rPr>
          <w:rFonts w:ascii="Arial" w:hAnsi="Arial" w:cs="Arial"/>
          <w:sz w:val="24"/>
          <w:szCs w:val="24"/>
        </w:rPr>
        <w:t>.</w:t>
      </w:r>
      <w:r w:rsidR="00444F81">
        <w:rPr>
          <w:rFonts w:ascii="Arial" w:hAnsi="Arial" w:cs="Arial"/>
          <w:sz w:val="24"/>
          <w:szCs w:val="24"/>
        </w:rPr>
        <w:t xml:space="preserve"> </w:t>
      </w:r>
      <w:r w:rsidR="00D7383E" w:rsidRPr="00D7383E">
        <w:rPr>
          <w:rFonts w:ascii="Arial" w:hAnsi="Arial" w:cs="Arial"/>
          <w:sz w:val="24"/>
          <w:szCs w:val="24"/>
        </w:rPr>
        <w:t>The averments of the applicant that the first respondent knew of the marriage are not supported by the facts placed before court.</w:t>
      </w:r>
      <w:r w:rsidR="00444F81">
        <w:rPr>
          <w:rFonts w:ascii="Arial" w:hAnsi="Arial" w:cs="Arial"/>
          <w:sz w:val="24"/>
          <w:szCs w:val="24"/>
        </w:rPr>
        <w:t xml:space="preserve"> </w:t>
      </w:r>
      <w:r w:rsidR="004C26C5" w:rsidRPr="004C26C5">
        <w:rPr>
          <w:rFonts w:ascii="Arial" w:hAnsi="Arial" w:cs="Arial"/>
          <w:sz w:val="24"/>
          <w:szCs w:val="24"/>
        </w:rPr>
        <w:t>I</w:t>
      </w:r>
      <w:r w:rsidR="006E1969">
        <w:rPr>
          <w:rFonts w:ascii="Arial" w:hAnsi="Arial" w:cs="Arial"/>
          <w:sz w:val="24"/>
          <w:szCs w:val="24"/>
        </w:rPr>
        <w:t xml:space="preserve">n these </w:t>
      </w:r>
      <w:r w:rsidR="004C26C5" w:rsidRPr="004C26C5">
        <w:rPr>
          <w:rFonts w:ascii="Arial" w:hAnsi="Arial" w:cs="Arial"/>
          <w:sz w:val="24"/>
          <w:szCs w:val="24"/>
        </w:rPr>
        <w:t xml:space="preserve">circumstances, </w:t>
      </w:r>
      <w:r w:rsidR="00444F81">
        <w:rPr>
          <w:rFonts w:ascii="Arial" w:hAnsi="Arial" w:cs="Arial"/>
          <w:sz w:val="24"/>
          <w:szCs w:val="24"/>
        </w:rPr>
        <w:t>t</w:t>
      </w:r>
      <w:r w:rsidR="004C26C5" w:rsidRPr="004C26C5">
        <w:rPr>
          <w:rFonts w:ascii="Arial" w:hAnsi="Arial" w:cs="Arial"/>
          <w:sz w:val="24"/>
          <w:szCs w:val="24"/>
        </w:rPr>
        <w:t>he</w:t>
      </w:r>
      <w:r w:rsidR="00444F81">
        <w:rPr>
          <w:rFonts w:ascii="Arial" w:hAnsi="Arial" w:cs="Arial"/>
          <w:sz w:val="24"/>
          <w:szCs w:val="24"/>
        </w:rPr>
        <w:t xml:space="preserve"> first respondent</w:t>
      </w:r>
      <w:r w:rsidR="004C26C5" w:rsidRPr="004C26C5">
        <w:rPr>
          <w:rFonts w:ascii="Arial" w:hAnsi="Arial" w:cs="Arial"/>
          <w:sz w:val="24"/>
          <w:szCs w:val="24"/>
        </w:rPr>
        <w:t xml:space="preserve"> could not reasonably</w:t>
      </w:r>
      <w:r w:rsidR="00EC5BFC">
        <w:rPr>
          <w:rFonts w:ascii="Arial" w:hAnsi="Arial" w:cs="Arial"/>
          <w:sz w:val="24"/>
          <w:szCs w:val="24"/>
        </w:rPr>
        <w:t xml:space="preserve"> </w:t>
      </w:r>
      <w:r w:rsidR="004C26C5" w:rsidRPr="004C26C5">
        <w:rPr>
          <w:rFonts w:ascii="Arial" w:hAnsi="Arial" w:cs="Arial"/>
          <w:sz w:val="24"/>
          <w:szCs w:val="24"/>
        </w:rPr>
        <w:t xml:space="preserve">have been expected to make further </w:t>
      </w:r>
      <w:r w:rsidR="00B905CE">
        <w:rPr>
          <w:rFonts w:ascii="Arial" w:hAnsi="Arial" w:cs="Arial"/>
          <w:sz w:val="24"/>
          <w:szCs w:val="24"/>
        </w:rPr>
        <w:t>i</w:t>
      </w:r>
      <w:r w:rsidR="004C26C5" w:rsidRPr="004C26C5">
        <w:rPr>
          <w:rFonts w:ascii="Arial" w:hAnsi="Arial" w:cs="Arial"/>
          <w:sz w:val="24"/>
          <w:szCs w:val="24"/>
        </w:rPr>
        <w:t xml:space="preserve">nquiries </w:t>
      </w:r>
      <w:r w:rsidR="0083385D">
        <w:rPr>
          <w:rFonts w:ascii="Arial" w:hAnsi="Arial" w:cs="Arial"/>
          <w:sz w:val="24"/>
          <w:szCs w:val="24"/>
        </w:rPr>
        <w:t xml:space="preserve">about </w:t>
      </w:r>
      <w:r w:rsidR="00B905CE">
        <w:rPr>
          <w:rFonts w:ascii="Arial" w:hAnsi="Arial" w:cs="Arial"/>
          <w:sz w:val="24"/>
          <w:szCs w:val="24"/>
        </w:rPr>
        <w:t xml:space="preserve">whether </w:t>
      </w:r>
      <w:r w:rsidR="0083385D">
        <w:rPr>
          <w:rFonts w:ascii="Arial" w:hAnsi="Arial" w:cs="Arial"/>
          <w:sz w:val="24"/>
          <w:szCs w:val="24"/>
        </w:rPr>
        <w:t xml:space="preserve">the </w:t>
      </w:r>
      <w:r w:rsidR="00B905CE">
        <w:rPr>
          <w:rFonts w:ascii="Arial" w:hAnsi="Arial" w:cs="Arial"/>
          <w:sz w:val="24"/>
          <w:szCs w:val="24"/>
        </w:rPr>
        <w:t>second respondent had consent</w:t>
      </w:r>
      <w:r w:rsidR="0083385D">
        <w:rPr>
          <w:rFonts w:ascii="Arial" w:hAnsi="Arial" w:cs="Arial"/>
          <w:sz w:val="24"/>
          <w:szCs w:val="24"/>
        </w:rPr>
        <w:t>ed</w:t>
      </w:r>
      <w:r w:rsidR="00B905CE">
        <w:rPr>
          <w:rFonts w:ascii="Arial" w:hAnsi="Arial" w:cs="Arial"/>
          <w:sz w:val="24"/>
          <w:szCs w:val="24"/>
        </w:rPr>
        <w:t xml:space="preserve"> to sell the property </w:t>
      </w:r>
      <w:r w:rsidR="004C26C5" w:rsidRPr="004C26C5">
        <w:rPr>
          <w:rFonts w:ascii="Arial" w:hAnsi="Arial" w:cs="Arial"/>
          <w:sz w:val="24"/>
          <w:szCs w:val="24"/>
        </w:rPr>
        <w:t xml:space="preserve">as suggested by the </w:t>
      </w:r>
      <w:r w:rsidR="00D82CC4">
        <w:rPr>
          <w:rFonts w:ascii="Arial" w:hAnsi="Arial" w:cs="Arial"/>
          <w:sz w:val="24"/>
          <w:szCs w:val="24"/>
        </w:rPr>
        <w:t>applicant</w:t>
      </w:r>
      <w:r w:rsidR="004C26C5" w:rsidRPr="004C26C5">
        <w:rPr>
          <w:rFonts w:ascii="Arial" w:hAnsi="Arial" w:cs="Arial"/>
          <w:sz w:val="24"/>
          <w:szCs w:val="24"/>
        </w:rPr>
        <w:t>.</w:t>
      </w:r>
      <w:r w:rsidR="004D4334">
        <w:rPr>
          <w:rFonts w:ascii="Arial" w:hAnsi="Arial" w:cs="Arial"/>
          <w:sz w:val="24"/>
          <w:szCs w:val="24"/>
        </w:rPr>
        <w:t xml:space="preserve"> </w:t>
      </w:r>
      <w:r w:rsidR="00321B32">
        <w:rPr>
          <w:rFonts w:ascii="Arial" w:hAnsi="Arial" w:cs="Arial"/>
          <w:sz w:val="24"/>
          <w:szCs w:val="24"/>
        </w:rPr>
        <w:t xml:space="preserve">The second respondent regarded himself as unmarried. </w:t>
      </w:r>
      <w:r w:rsidR="00444F81">
        <w:rPr>
          <w:rFonts w:ascii="Arial" w:hAnsi="Arial" w:cs="Arial"/>
          <w:sz w:val="24"/>
          <w:szCs w:val="24"/>
        </w:rPr>
        <w:t>He informed his attorneys</w:t>
      </w:r>
      <w:r w:rsidR="0083385D">
        <w:rPr>
          <w:rFonts w:ascii="Arial" w:hAnsi="Arial" w:cs="Arial"/>
          <w:sz w:val="24"/>
          <w:szCs w:val="24"/>
        </w:rPr>
        <w:t>,</w:t>
      </w:r>
      <w:r w:rsidR="00444F81">
        <w:rPr>
          <w:rFonts w:ascii="Arial" w:hAnsi="Arial" w:cs="Arial"/>
          <w:sz w:val="24"/>
          <w:szCs w:val="24"/>
        </w:rPr>
        <w:t xml:space="preserve"> who transferred the property and the applicant that he was unmarried.  </w:t>
      </w:r>
      <w:r w:rsidR="00B4773A">
        <w:rPr>
          <w:rFonts w:ascii="Arial" w:hAnsi="Arial" w:cs="Arial"/>
          <w:sz w:val="24"/>
          <w:szCs w:val="24"/>
        </w:rPr>
        <w:t xml:space="preserve">This is evidenced by the formal documents that he signed. </w:t>
      </w:r>
      <w:r w:rsidR="00321B32">
        <w:rPr>
          <w:rFonts w:ascii="Arial" w:hAnsi="Arial" w:cs="Arial"/>
          <w:sz w:val="24"/>
          <w:szCs w:val="24"/>
        </w:rPr>
        <w:t xml:space="preserve">The </w:t>
      </w:r>
      <w:r w:rsidR="00B4773A">
        <w:rPr>
          <w:rFonts w:ascii="Arial" w:hAnsi="Arial" w:cs="Arial"/>
          <w:sz w:val="24"/>
          <w:szCs w:val="24"/>
        </w:rPr>
        <w:t>first</w:t>
      </w:r>
      <w:r w:rsidR="00321B32">
        <w:rPr>
          <w:rFonts w:ascii="Arial" w:hAnsi="Arial" w:cs="Arial"/>
          <w:sz w:val="24"/>
          <w:szCs w:val="24"/>
        </w:rPr>
        <w:t xml:space="preserve"> respondent was reasonably made to believe that the second respondent was not mar</w:t>
      </w:r>
      <w:r>
        <w:rPr>
          <w:rFonts w:ascii="Arial" w:hAnsi="Arial" w:cs="Arial"/>
          <w:sz w:val="24"/>
          <w:szCs w:val="24"/>
        </w:rPr>
        <w:t xml:space="preserve">ried. </w:t>
      </w:r>
    </w:p>
    <w:p w:rsidR="006A0506" w:rsidRDefault="006A0506" w:rsidP="004C26C5">
      <w:pPr>
        <w:autoSpaceDE w:val="0"/>
        <w:autoSpaceDN w:val="0"/>
        <w:adjustRightInd w:val="0"/>
        <w:spacing w:after="0" w:line="480" w:lineRule="auto"/>
        <w:jc w:val="both"/>
        <w:rPr>
          <w:rFonts w:ascii="Arial" w:hAnsi="Arial" w:cs="Arial"/>
          <w:sz w:val="24"/>
          <w:szCs w:val="24"/>
        </w:rPr>
      </w:pPr>
    </w:p>
    <w:p w:rsidR="004C26C5" w:rsidRDefault="006A0506" w:rsidP="004C26C5">
      <w:pPr>
        <w:autoSpaceDE w:val="0"/>
        <w:autoSpaceDN w:val="0"/>
        <w:adjustRightInd w:val="0"/>
        <w:spacing w:after="0" w:line="48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t>The fact that t</w:t>
      </w:r>
      <w:r w:rsidR="00321B32">
        <w:rPr>
          <w:rFonts w:ascii="Arial" w:hAnsi="Arial" w:cs="Arial"/>
          <w:sz w:val="24"/>
          <w:szCs w:val="24"/>
        </w:rPr>
        <w:t>he</w:t>
      </w:r>
      <w:r>
        <w:rPr>
          <w:rFonts w:ascii="Arial" w:hAnsi="Arial" w:cs="Arial"/>
          <w:sz w:val="24"/>
          <w:szCs w:val="24"/>
        </w:rPr>
        <w:t xml:space="preserve"> first respondent </w:t>
      </w:r>
      <w:r w:rsidR="00321B32">
        <w:rPr>
          <w:rFonts w:ascii="Arial" w:hAnsi="Arial" w:cs="Arial"/>
          <w:sz w:val="24"/>
          <w:szCs w:val="24"/>
        </w:rPr>
        <w:t>may have seen the second respond</w:t>
      </w:r>
      <w:r w:rsidR="00740975">
        <w:rPr>
          <w:rFonts w:ascii="Arial" w:hAnsi="Arial" w:cs="Arial"/>
          <w:sz w:val="24"/>
          <w:szCs w:val="24"/>
        </w:rPr>
        <w:t>ent</w:t>
      </w:r>
      <w:r w:rsidR="00321B32">
        <w:rPr>
          <w:rFonts w:ascii="Arial" w:hAnsi="Arial" w:cs="Arial"/>
          <w:sz w:val="24"/>
          <w:szCs w:val="24"/>
        </w:rPr>
        <w:t xml:space="preserve"> with the applicant is inconsequential. </w:t>
      </w:r>
      <w:r w:rsidR="008157B0">
        <w:rPr>
          <w:rFonts w:ascii="Arial" w:hAnsi="Arial" w:cs="Arial"/>
          <w:sz w:val="24"/>
          <w:szCs w:val="24"/>
        </w:rPr>
        <w:t xml:space="preserve">Crucially, the alleged customary marriage between the parties was not </w:t>
      </w:r>
      <w:r w:rsidR="00930CB2">
        <w:rPr>
          <w:rFonts w:ascii="Arial" w:hAnsi="Arial" w:cs="Arial"/>
          <w:sz w:val="24"/>
          <w:szCs w:val="24"/>
        </w:rPr>
        <w:t xml:space="preserve">registered. Even if the first respondent had inquired </w:t>
      </w:r>
      <w:r w:rsidR="0078779E">
        <w:rPr>
          <w:rFonts w:ascii="Arial" w:hAnsi="Arial" w:cs="Arial"/>
          <w:sz w:val="24"/>
          <w:szCs w:val="24"/>
        </w:rPr>
        <w:t xml:space="preserve">with </w:t>
      </w:r>
      <w:r w:rsidR="0083385D">
        <w:rPr>
          <w:rFonts w:ascii="Arial" w:hAnsi="Arial" w:cs="Arial"/>
          <w:sz w:val="24"/>
          <w:szCs w:val="24"/>
        </w:rPr>
        <w:t>H</w:t>
      </w:r>
      <w:r w:rsidR="00F639C1">
        <w:rPr>
          <w:rFonts w:ascii="Arial" w:hAnsi="Arial" w:cs="Arial"/>
          <w:sz w:val="24"/>
          <w:szCs w:val="24"/>
        </w:rPr>
        <w:t>ome</w:t>
      </w:r>
      <w:r w:rsidR="00930CB2">
        <w:rPr>
          <w:rFonts w:ascii="Arial" w:hAnsi="Arial" w:cs="Arial"/>
          <w:sz w:val="24"/>
          <w:szCs w:val="24"/>
        </w:rPr>
        <w:t xml:space="preserve"> </w:t>
      </w:r>
      <w:r w:rsidR="0083385D">
        <w:rPr>
          <w:rFonts w:ascii="Arial" w:hAnsi="Arial" w:cs="Arial"/>
          <w:sz w:val="24"/>
          <w:szCs w:val="24"/>
        </w:rPr>
        <w:t>A</w:t>
      </w:r>
      <w:r w:rsidR="00930CB2">
        <w:rPr>
          <w:rFonts w:ascii="Arial" w:hAnsi="Arial" w:cs="Arial"/>
          <w:sz w:val="24"/>
          <w:szCs w:val="24"/>
        </w:rPr>
        <w:t xml:space="preserve">ffairs </w:t>
      </w:r>
      <w:r w:rsidR="0083385D">
        <w:rPr>
          <w:rFonts w:ascii="Arial" w:hAnsi="Arial" w:cs="Arial"/>
          <w:sz w:val="24"/>
          <w:szCs w:val="24"/>
        </w:rPr>
        <w:t xml:space="preserve">department </w:t>
      </w:r>
      <w:r w:rsidR="00930CB2">
        <w:rPr>
          <w:rFonts w:ascii="Arial" w:hAnsi="Arial" w:cs="Arial"/>
          <w:sz w:val="24"/>
          <w:szCs w:val="24"/>
        </w:rPr>
        <w:t xml:space="preserve">about the </w:t>
      </w:r>
      <w:r w:rsidR="00D13C69">
        <w:rPr>
          <w:rFonts w:ascii="Arial" w:hAnsi="Arial" w:cs="Arial"/>
          <w:sz w:val="24"/>
          <w:szCs w:val="24"/>
        </w:rPr>
        <w:t xml:space="preserve">marital status of the second respondent, </w:t>
      </w:r>
      <w:r w:rsidR="00A7422B">
        <w:rPr>
          <w:rFonts w:ascii="Arial" w:hAnsi="Arial" w:cs="Arial"/>
          <w:sz w:val="24"/>
          <w:szCs w:val="24"/>
        </w:rPr>
        <w:t>H</w:t>
      </w:r>
      <w:r w:rsidR="00D13C69">
        <w:rPr>
          <w:rFonts w:ascii="Arial" w:hAnsi="Arial" w:cs="Arial"/>
          <w:sz w:val="24"/>
          <w:szCs w:val="24"/>
        </w:rPr>
        <w:t xml:space="preserve">ome </w:t>
      </w:r>
      <w:r w:rsidR="00A7422B">
        <w:rPr>
          <w:rFonts w:ascii="Arial" w:hAnsi="Arial" w:cs="Arial"/>
          <w:sz w:val="24"/>
          <w:szCs w:val="24"/>
        </w:rPr>
        <w:t>A</w:t>
      </w:r>
      <w:r w:rsidR="00D13C69">
        <w:rPr>
          <w:rFonts w:ascii="Arial" w:hAnsi="Arial" w:cs="Arial"/>
          <w:sz w:val="24"/>
          <w:szCs w:val="24"/>
        </w:rPr>
        <w:t xml:space="preserve">ffairs would have informed her that the second respondent </w:t>
      </w:r>
      <w:r w:rsidR="00740975">
        <w:rPr>
          <w:rFonts w:ascii="Arial" w:hAnsi="Arial" w:cs="Arial"/>
          <w:sz w:val="24"/>
          <w:szCs w:val="24"/>
        </w:rPr>
        <w:t>wa</w:t>
      </w:r>
      <w:r w:rsidR="00D13C69">
        <w:rPr>
          <w:rFonts w:ascii="Arial" w:hAnsi="Arial" w:cs="Arial"/>
          <w:sz w:val="24"/>
          <w:szCs w:val="24"/>
        </w:rPr>
        <w:t xml:space="preserve">s not married. </w:t>
      </w:r>
      <w:r w:rsidR="00A3670F">
        <w:rPr>
          <w:rFonts w:ascii="Arial" w:hAnsi="Arial" w:cs="Arial"/>
          <w:sz w:val="24"/>
          <w:szCs w:val="24"/>
        </w:rPr>
        <w:t>The second respondent</w:t>
      </w:r>
      <w:r w:rsidR="00740975">
        <w:rPr>
          <w:rFonts w:ascii="Arial" w:hAnsi="Arial" w:cs="Arial"/>
          <w:sz w:val="24"/>
          <w:szCs w:val="24"/>
        </w:rPr>
        <w:t xml:space="preserve">’s </w:t>
      </w:r>
      <w:r w:rsidR="0078779E">
        <w:rPr>
          <w:rFonts w:ascii="Arial" w:hAnsi="Arial" w:cs="Arial"/>
          <w:sz w:val="24"/>
          <w:szCs w:val="24"/>
        </w:rPr>
        <w:t>confirmatory</w:t>
      </w:r>
      <w:r w:rsidR="00A3670F">
        <w:rPr>
          <w:rFonts w:ascii="Arial" w:hAnsi="Arial" w:cs="Arial"/>
          <w:sz w:val="24"/>
          <w:szCs w:val="24"/>
        </w:rPr>
        <w:t xml:space="preserve"> affidavit that </w:t>
      </w:r>
      <w:r w:rsidR="00740975">
        <w:rPr>
          <w:rFonts w:ascii="Arial" w:hAnsi="Arial" w:cs="Arial"/>
          <w:sz w:val="24"/>
          <w:szCs w:val="24"/>
        </w:rPr>
        <w:t xml:space="preserve">he was unmarried corroborates </w:t>
      </w:r>
      <w:r w:rsidR="006E1969">
        <w:rPr>
          <w:rFonts w:ascii="Arial" w:hAnsi="Arial" w:cs="Arial"/>
          <w:sz w:val="24"/>
          <w:szCs w:val="24"/>
        </w:rPr>
        <w:t xml:space="preserve">the version of the </w:t>
      </w:r>
      <w:r>
        <w:rPr>
          <w:rFonts w:ascii="Arial" w:hAnsi="Arial" w:cs="Arial"/>
          <w:sz w:val="24"/>
          <w:szCs w:val="24"/>
        </w:rPr>
        <w:t>first</w:t>
      </w:r>
      <w:r w:rsidR="006E1969">
        <w:rPr>
          <w:rFonts w:ascii="Arial" w:hAnsi="Arial" w:cs="Arial"/>
          <w:sz w:val="24"/>
          <w:szCs w:val="24"/>
        </w:rPr>
        <w:t xml:space="preserve"> respondent</w:t>
      </w:r>
      <w:r w:rsidR="00A3670F">
        <w:rPr>
          <w:rFonts w:ascii="Arial" w:hAnsi="Arial" w:cs="Arial"/>
          <w:sz w:val="24"/>
          <w:szCs w:val="24"/>
        </w:rPr>
        <w:t xml:space="preserve">. </w:t>
      </w:r>
    </w:p>
    <w:p w:rsidR="0083385D" w:rsidRDefault="0083385D" w:rsidP="00F15CA6">
      <w:pPr>
        <w:autoSpaceDE w:val="0"/>
        <w:autoSpaceDN w:val="0"/>
        <w:adjustRightInd w:val="0"/>
        <w:spacing w:after="0" w:line="480" w:lineRule="auto"/>
        <w:jc w:val="both"/>
        <w:rPr>
          <w:rFonts w:ascii="Arial" w:hAnsi="Arial" w:cs="Arial"/>
          <w:sz w:val="24"/>
          <w:szCs w:val="24"/>
        </w:rPr>
      </w:pPr>
    </w:p>
    <w:p w:rsidR="00C050C8" w:rsidRDefault="006A0506" w:rsidP="00F15CA6">
      <w:pPr>
        <w:autoSpaceDE w:val="0"/>
        <w:autoSpaceDN w:val="0"/>
        <w:adjustRightInd w:val="0"/>
        <w:spacing w:after="0" w:line="480" w:lineRule="auto"/>
        <w:jc w:val="both"/>
        <w:rPr>
          <w:rFonts w:ascii="Arial" w:hAnsi="Arial" w:cs="Arial"/>
          <w:sz w:val="24"/>
          <w:szCs w:val="24"/>
        </w:rPr>
      </w:pPr>
      <w:r>
        <w:rPr>
          <w:rFonts w:ascii="Arial" w:hAnsi="Arial" w:cs="Arial"/>
          <w:sz w:val="24"/>
          <w:szCs w:val="24"/>
        </w:rPr>
        <w:lastRenderedPageBreak/>
        <w:t>[42</w:t>
      </w:r>
      <w:r w:rsidR="00DF00DB">
        <w:rPr>
          <w:rFonts w:ascii="Arial" w:hAnsi="Arial" w:cs="Arial"/>
          <w:sz w:val="24"/>
          <w:szCs w:val="24"/>
        </w:rPr>
        <w:t>]</w:t>
      </w:r>
      <w:r w:rsidR="00DF00DB">
        <w:rPr>
          <w:rFonts w:ascii="Arial" w:hAnsi="Arial" w:cs="Arial"/>
          <w:sz w:val="24"/>
          <w:szCs w:val="24"/>
        </w:rPr>
        <w:tab/>
      </w:r>
      <w:r w:rsidR="00444F81">
        <w:rPr>
          <w:rFonts w:ascii="Arial" w:hAnsi="Arial" w:cs="Arial"/>
          <w:sz w:val="24"/>
          <w:szCs w:val="24"/>
        </w:rPr>
        <w:t>To my mind, t</w:t>
      </w:r>
      <w:r w:rsidR="006E1969">
        <w:rPr>
          <w:rFonts w:ascii="Arial" w:hAnsi="Arial" w:cs="Arial"/>
          <w:sz w:val="24"/>
          <w:szCs w:val="24"/>
        </w:rPr>
        <w:t xml:space="preserve">he provisions of section 15(2) of the MPA are subject to section 15(9) </w:t>
      </w:r>
      <w:r w:rsidR="00C050C8">
        <w:rPr>
          <w:rFonts w:ascii="Arial" w:hAnsi="Arial" w:cs="Arial"/>
          <w:sz w:val="24"/>
          <w:szCs w:val="24"/>
        </w:rPr>
        <w:t>o</w:t>
      </w:r>
      <w:r w:rsidR="006E1969">
        <w:rPr>
          <w:rFonts w:ascii="Arial" w:hAnsi="Arial" w:cs="Arial"/>
          <w:sz w:val="24"/>
          <w:szCs w:val="24"/>
        </w:rPr>
        <w:t>f the Act.</w:t>
      </w:r>
      <w:r w:rsidR="00C050C8">
        <w:rPr>
          <w:rFonts w:ascii="Arial" w:hAnsi="Arial" w:cs="Arial"/>
          <w:sz w:val="24"/>
          <w:szCs w:val="24"/>
        </w:rPr>
        <w:t xml:space="preserve"> To this end, the observation of the Supreme Court of Appeal in </w:t>
      </w:r>
      <w:r w:rsidR="00C050C8" w:rsidRPr="00740975">
        <w:rPr>
          <w:rFonts w:ascii="Arial" w:hAnsi="Arial" w:cs="Arial"/>
          <w:i/>
          <w:iCs/>
          <w:sz w:val="24"/>
          <w:szCs w:val="24"/>
        </w:rPr>
        <w:t xml:space="preserve">Marais N.O and Another v </w:t>
      </w:r>
      <w:proofErr w:type="spellStart"/>
      <w:r w:rsidR="00C050C8" w:rsidRPr="00740975">
        <w:rPr>
          <w:rFonts w:ascii="Arial" w:hAnsi="Arial" w:cs="Arial"/>
          <w:i/>
          <w:iCs/>
          <w:sz w:val="24"/>
          <w:szCs w:val="24"/>
        </w:rPr>
        <w:t>Maposa</w:t>
      </w:r>
      <w:proofErr w:type="spellEnd"/>
      <w:r w:rsidR="00C050C8" w:rsidRPr="00740975">
        <w:rPr>
          <w:rFonts w:ascii="Arial" w:hAnsi="Arial" w:cs="Arial"/>
          <w:i/>
          <w:iCs/>
          <w:sz w:val="24"/>
          <w:szCs w:val="24"/>
        </w:rPr>
        <w:t xml:space="preserve"> and Others</w:t>
      </w:r>
      <w:r w:rsidR="00C050C8">
        <w:rPr>
          <w:rFonts w:ascii="Arial" w:hAnsi="Arial" w:cs="Arial"/>
          <w:sz w:val="24"/>
          <w:szCs w:val="24"/>
        </w:rPr>
        <w:t xml:space="preserve"> are apposite. The court stated:</w:t>
      </w:r>
    </w:p>
    <w:p w:rsidR="00740975" w:rsidRDefault="00740975" w:rsidP="00F15CA6">
      <w:pPr>
        <w:autoSpaceDE w:val="0"/>
        <w:autoSpaceDN w:val="0"/>
        <w:adjustRightInd w:val="0"/>
        <w:spacing w:after="0" w:line="480" w:lineRule="auto"/>
        <w:jc w:val="both"/>
        <w:rPr>
          <w:rFonts w:ascii="Arial" w:hAnsi="Arial" w:cs="Arial"/>
          <w:sz w:val="24"/>
          <w:szCs w:val="24"/>
        </w:rPr>
      </w:pPr>
    </w:p>
    <w:p w:rsidR="00C050C8" w:rsidRDefault="00B905CE" w:rsidP="00C050C8">
      <w:pPr>
        <w:autoSpaceDE w:val="0"/>
        <w:autoSpaceDN w:val="0"/>
        <w:adjustRightInd w:val="0"/>
        <w:spacing w:after="0" w:line="480" w:lineRule="auto"/>
        <w:ind w:left="720"/>
        <w:jc w:val="both"/>
        <w:rPr>
          <w:rFonts w:ascii="Arial" w:hAnsi="Arial" w:cs="Arial"/>
          <w:sz w:val="24"/>
          <w:szCs w:val="24"/>
        </w:rPr>
      </w:pPr>
      <w:r>
        <w:rPr>
          <w:rFonts w:ascii="Arial" w:hAnsi="Arial" w:cs="Arial"/>
        </w:rPr>
        <w:t>“</w:t>
      </w:r>
      <w:r w:rsidR="00C050C8" w:rsidRPr="00C050C8">
        <w:rPr>
          <w:rFonts w:ascii="Arial" w:hAnsi="Arial" w:cs="Arial"/>
        </w:rPr>
        <w:t>The effect of section 15 may be summarised as follows. First, as a general rule, spouse married in community of property ‘may not perform any juristic act in connection with the joint estate without the consent of the other spouse. Sec</w:t>
      </w:r>
      <w:r w:rsidR="00C050C8">
        <w:rPr>
          <w:rFonts w:ascii="Arial" w:hAnsi="Arial" w:cs="Arial"/>
        </w:rPr>
        <w:t>ondly, there are exception</w:t>
      </w:r>
      <w:r w:rsidR="0083385D">
        <w:rPr>
          <w:rFonts w:ascii="Arial" w:hAnsi="Arial" w:cs="Arial"/>
        </w:rPr>
        <w:t>s</w:t>
      </w:r>
      <w:r w:rsidR="00C050C8">
        <w:rPr>
          <w:rFonts w:ascii="Arial" w:hAnsi="Arial" w:cs="Arial"/>
        </w:rPr>
        <w:t xml:space="preserve"> to t</w:t>
      </w:r>
      <w:r w:rsidR="00C050C8" w:rsidRPr="00C050C8">
        <w:rPr>
          <w:rFonts w:ascii="Arial" w:hAnsi="Arial" w:cs="Arial"/>
        </w:rPr>
        <w:t>h</w:t>
      </w:r>
      <w:r w:rsidR="00C050C8">
        <w:rPr>
          <w:rFonts w:ascii="Arial" w:hAnsi="Arial" w:cs="Arial"/>
        </w:rPr>
        <w:t>e</w:t>
      </w:r>
      <w:r w:rsidR="00C050C8" w:rsidRPr="00C050C8">
        <w:rPr>
          <w:rFonts w:ascii="Arial" w:hAnsi="Arial" w:cs="Arial"/>
        </w:rPr>
        <w:t xml:space="preserve"> general rule. In terms of </w:t>
      </w:r>
      <w:proofErr w:type="spellStart"/>
      <w:r w:rsidR="00C050C8" w:rsidRPr="00C050C8">
        <w:rPr>
          <w:rFonts w:ascii="Arial" w:hAnsi="Arial" w:cs="Arial"/>
        </w:rPr>
        <w:t>ss</w:t>
      </w:r>
      <w:proofErr w:type="spellEnd"/>
      <w:r w:rsidR="00C050C8" w:rsidRPr="00C050C8">
        <w:rPr>
          <w:rFonts w:ascii="Arial" w:hAnsi="Arial" w:cs="Arial"/>
        </w:rPr>
        <w:t xml:space="preserve"> 15(2) and (3), a spouse ‘shall not’</w:t>
      </w:r>
      <w:r w:rsidR="00C050C8">
        <w:rPr>
          <w:rFonts w:ascii="Arial" w:hAnsi="Arial" w:cs="Arial"/>
        </w:rPr>
        <w:t xml:space="preserve"> enter into any of t</w:t>
      </w:r>
      <w:r w:rsidR="00C050C8" w:rsidRPr="00C050C8">
        <w:rPr>
          <w:rFonts w:ascii="Arial" w:hAnsi="Arial" w:cs="Arial"/>
        </w:rPr>
        <w:t>h</w:t>
      </w:r>
      <w:r w:rsidR="00C050C8">
        <w:rPr>
          <w:rFonts w:ascii="Arial" w:hAnsi="Arial" w:cs="Arial"/>
        </w:rPr>
        <w:t>e</w:t>
      </w:r>
      <w:r w:rsidR="00C050C8" w:rsidRPr="00C050C8">
        <w:rPr>
          <w:rFonts w:ascii="Arial" w:hAnsi="Arial" w:cs="Arial"/>
        </w:rPr>
        <w:t xml:space="preserve"> transactions listed in these subse</w:t>
      </w:r>
      <w:r w:rsidR="00C050C8">
        <w:rPr>
          <w:rFonts w:ascii="Arial" w:hAnsi="Arial" w:cs="Arial"/>
        </w:rPr>
        <w:t>ctions without the consent of t</w:t>
      </w:r>
      <w:r w:rsidR="00C050C8" w:rsidRPr="00C050C8">
        <w:rPr>
          <w:rFonts w:ascii="Arial" w:hAnsi="Arial" w:cs="Arial"/>
        </w:rPr>
        <w:t>h</w:t>
      </w:r>
      <w:r w:rsidR="00C050C8">
        <w:rPr>
          <w:rFonts w:ascii="Arial" w:hAnsi="Arial" w:cs="Arial"/>
        </w:rPr>
        <w:t>e</w:t>
      </w:r>
      <w:r w:rsidR="00C050C8" w:rsidRPr="00C050C8">
        <w:rPr>
          <w:rFonts w:ascii="Arial" w:hAnsi="Arial" w:cs="Arial"/>
        </w:rPr>
        <w:t xml:space="preserve"> other spouse. S</w:t>
      </w:r>
      <w:r w:rsidR="00C050C8">
        <w:rPr>
          <w:rFonts w:ascii="Arial" w:hAnsi="Arial" w:cs="Arial"/>
        </w:rPr>
        <w:t>ubject to what is said about t</w:t>
      </w:r>
      <w:r w:rsidR="00C050C8" w:rsidRPr="00C050C8">
        <w:rPr>
          <w:rFonts w:ascii="Arial" w:hAnsi="Arial" w:cs="Arial"/>
        </w:rPr>
        <w:t>h</w:t>
      </w:r>
      <w:r w:rsidR="00C050C8">
        <w:rPr>
          <w:rFonts w:ascii="Arial" w:hAnsi="Arial" w:cs="Arial"/>
        </w:rPr>
        <w:t>e</w:t>
      </w:r>
      <w:r w:rsidR="00C050C8" w:rsidRPr="00C050C8">
        <w:rPr>
          <w:rFonts w:ascii="Arial" w:hAnsi="Arial" w:cs="Arial"/>
        </w:rPr>
        <w:t xml:space="preserve"> effect </w:t>
      </w:r>
      <w:r w:rsidR="00C050C8">
        <w:rPr>
          <w:rFonts w:ascii="Arial" w:hAnsi="Arial" w:cs="Arial"/>
          <w:sz w:val="24"/>
          <w:szCs w:val="24"/>
        </w:rPr>
        <w:t>of section 15(9)(a), if a spouse does so, the transaction is unlawful, and void and unenforceable.</w:t>
      </w:r>
      <w:r>
        <w:rPr>
          <w:rFonts w:ascii="Arial" w:hAnsi="Arial" w:cs="Arial"/>
          <w:sz w:val="24"/>
          <w:szCs w:val="24"/>
        </w:rPr>
        <w:t>”</w:t>
      </w:r>
      <w:r w:rsidR="00C050C8">
        <w:rPr>
          <w:rFonts w:ascii="Arial" w:hAnsi="Arial" w:cs="Arial"/>
          <w:sz w:val="24"/>
          <w:szCs w:val="24"/>
        </w:rPr>
        <w:t xml:space="preserve"> </w:t>
      </w:r>
    </w:p>
    <w:p w:rsidR="006E1969" w:rsidRDefault="006E1969" w:rsidP="00F15CA6">
      <w:pPr>
        <w:autoSpaceDE w:val="0"/>
        <w:autoSpaceDN w:val="0"/>
        <w:adjustRightInd w:val="0"/>
        <w:spacing w:after="0" w:line="480" w:lineRule="auto"/>
        <w:jc w:val="both"/>
        <w:rPr>
          <w:rFonts w:ascii="Arial" w:hAnsi="Arial" w:cs="Arial"/>
          <w:sz w:val="24"/>
          <w:szCs w:val="24"/>
        </w:rPr>
      </w:pPr>
    </w:p>
    <w:p w:rsidR="00C81A91" w:rsidRPr="00740975" w:rsidRDefault="006A0506" w:rsidP="00C81A91">
      <w:pPr>
        <w:autoSpaceDE w:val="0"/>
        <w:autoSpaceDN w:val="0"/>
        <w:adjustRightInd w:val="0"/>
        <w:spacing w:after="0" w:line="480" w:lineRule="auto"/>
        <w:jc w:val="both"/>
        <w:rPr>
          <w:rFonts w:ascii="Arial" w:hAnsi="Arial" w:cs="Arial"/>
          <w:sz w:val="24"/>
          <w:szCs w:val="24"/>
        </w:rPr>
      </w:pPr>
      <w:r>
        <w:rPr>
          <w:rFonts w:ascii="Arial" w:hAnsi="Arial" w:cs="Arial"/>
          <w:sz w:val="24"/>
          <w:szCs w:val="24"/>
        </w:rPr>
        <w:t>[43</w:t>
      </w:r>
      <w:r w:rsidR="00DF00DB">
        <w:rPr>
          <w:rFonts w:ascii="Arial" w:hAnsi="Arial" w:cs="Arial"/>
          <w:sz w:val="24"/>
          <w:szCs w:val="24"/>
        </w:rPr>
        <w:t>]</w:t>
      </w:r>
      <w:r w:rsidR="00DF00DB">
        <w:rPr>
          <w:rFonts w:ascii="Arial" w:hAnsi="Arial" w:cs="Arial"/>
          <w:sz w:val="24"/>
          <w:szCs w:val="24"/>
        </w:rPr>
        <w:tab/>
      </w:r>
      <w:r w:rsidR="00C050C8">
        <w:rPr>
          <w:rFonts w:ascii="Arial" w:hAnsi="Arial" w:cs="Arial"/>
          <w:sz w:val="24"/>
          <w:szCs w:val="24"/>
        </w:rPr>
        <w:t>Therefore, m</w:t>
      </w:r>
      <w:r w:rsidR="00345D3C" w:rsidRPr="001F1EB7">
        <w:rPr>
          <w:rFonts w:ascii="Arial" w:hAnsi="Arial" w:cs="Arial"/>
          <w:sz w:val="24"/>
          <w:szCs w:val="24"/>
        </w:rPr>
        <w:t xml:space="preserve">y conclusion is </w:t>
      </w:r>
      <w:r w:rsidR="00740975" w:rsidRPr="001F1EB7">
        <w:rPr>
          <w:rFonts w:ascii="Arial" w:hAnsi="Arial" w:cs="Arial"/>
          <w:sz w:val="24"/>
          <w:szCs w:val="24"/>
        </w:rPr>
        <w:t>that</w:t>
      </w:r>
      <w:r w:rsidR="00345D3C" w:rsidRPr="001F1EB7">
        <w:rPr>
          <w:rFonts w:ascii="Arial" w:hAnsi="Arial" w:cs="Arial"/>
          <w:sz w:val="24"/>
          <w:szCs w:val="24"/>
        </w:rPr>
        <w:t xml:space="preserve"> </w:t>
      </w:r>
      <w:r w:rsidR="00C050C8">
        <w:rPr>
          <w:rFonts w:ascii="Arial" w:hAnsi="Arial" w:cs="Arial"/>
          <w:sz w:val="24"/>
          <w:szCs w:val="24"/>
        </w:rPr>
        <w:t xml:space="preserve">the </w:t>
      </w:r>
      <w:r w:rsidR="00345D3C" w:rsidRPr="001F1EB7">
        <w:rPr>
          <w:rFonts w:ascii="Arial" w:hAnsi="Arial" w:cs="Arial"/>
          <w:sz w:val="24"/>
          <w:szCs w:val="24"/>
        </w:rPr>
        <w:t xml:space="preserve">first respondent did not know that the </w:t>
      </w:r>
      <w:r w:rsidR="00C050C8">
        <w:rPr>
          <w:rFonts w:ascii="Arial" w:hAnsi="Arial" w:cs="Arial"/>
          <w:sz w:val="24"/>
          <w:szCs w:val="24"/>
        </w:rPr>
        <w:t>se</w:t>
      </w:r>
      <w:r w:rsidR="00DA2745">
        <w:rPr>
          <w:rFonts w:ascii="Arial" w:hAnsi="Arial" w:cs="Arial"/>
          <w:sz w:val="24"/>
          <w:szCs w:val="24"/>
        </w:rPr>
        <w:t>c</w:t>
      </w:r>
      <w:r w:rsidR="00C050C8">
        <w:rPr>
          <w:rFonts w:ascii="Arial" w:hAnsi="Arial" w:cs="Arial"/>
          <w:sz w:val="24"/>
          <w:szCs w:val="24"/>
        </w:rPr>
        <w:t>ond</w:t>
      </w:r>
      <w:r w:rsidR="00345D3C" w:rsidRPr="001F1EB7">
        <w:rPr>
          <w:rFonts w:ascii="Arial" w:hAnsi="Arial" w:cs="Arial"/>
          <w:sz w:val="24"/>
          <w:szCs w:val="24"/>
        </w:rPr>
        <w:t xml:space="preserve"> respondent (</w:t>
      </w:r>
      <w:r w:rsidR="00C050C8">
        <w:rPr>
          <w:rFonts w:ascii="Arial" w:hAnsi="Arial" w:cs="Arial"/>
          <w:sz w:val="24"/>
          <w:szCs w:val="24"/>
        </w:rPr>
        <w:t xml:space="preserve">the </w:t>
      </w:r>
      <w:r w:rsidR="00345D3C" w:rsidRPr="001F1EB7">
        <w:rPr>
          <w:rFonts w:ascii="Arial" w:hAnsi="Arial" w:cs="Arial"/>
          <w:sz w:val="24"/>
          <w:szCs w:val="24"/>
        </w:rPr>
        <w:t xml:space="preserve">deceased) was married </w:t>
      </w:r>
      <w:r w:rsidR="00B905CE">
        <w:rPr>
          <w:rFonts w:ascii="Arial" w:hAnsi="Arial" w:cs="Arial"/>
          <w:sz w:val="24"/>
          <w:szCs w:val="24"/>
        </w:rPr>
        <w:t xml:space="preserve">when </w:t>
      </w:r>
      <w:r w:rsidR="00345D3C" w:rsidRPr="001F1EB7">
        <w:rPr>
          <w:rFonts w:ascii="Arial" w:hAnsi="Arial" w:cs="Arial"/>
          <w:sz w:val="24"/>
          <w:szCs w:val="24"/>
        </w:rPr>
        <w:t xml:space="preserve">the impugned sale agreement was </w:t>
      </w:r>
      <w:r w:rsidR="001F1EB7" w:rsidRPr="001F1EB7">
        <w:rPr>
          <w:rFonts w:ascii="Arial" w:hAnsi="Arial" w:cs="Arial"/>
          <w:sz w:val="24"/>
          <w:szCs w:val="24"/>
        </w:rPr>
        <w:t>concluded an</w:t>
      </w:r>
      <w:r w:rsidR="00345D3C" w:rsidRPr="001F1EB7">
        <w:rPr>
          <w:rFonts w:ascii="Arial" w:hAnsi="Arial" w:cs="Arial"/>
          <w:sz w:val="24"/>
          <w:szCs w:val="24"/>
        </w:rPr>
        <w:t xml:space="preserve">d could not reasonably have known this. That being so, the ‘deemed consent’ </w:t>
      </w:r>
      <w:r w:rsidR="00C81A91">
        <w:rPr>
          <w:rFonts w:ascii="Arial" w:hAnsi="Arial" w:cs="Arial"/>
          <w:sz w:val="24"/>
          <w:szCs w:val="24"/>
        </w:rPr>
        <w:t xml:space="preserve">standard </w:t>
      </w:r>
      <w:r w:rsidR="001F1EB7" w:rsidRPr="001F1EB7">
        <w:rPr>
          <w:rFonts w:ascii="Arial" w:hAnsi="Arial" w:cs="Arial"/>
          <w:sz w:val="24"/>
          <w:szCs w:val="24"/>
        </w:rPr>
        <w:t xml:space="preserve">envisaged in section 15(9) of the MPA </w:t>
      </w:r>
      <w:r w:rsidR="00C81A91">
        <w:rPr>
          <w:rFonts w:ascii="Arial" w:hAnsi="Arial" w:cs="Arial"/>
          <w:sz w:val="24"/>
          <w:szCs w:val="24"/>
        </w:rPr>
        <w:t xml:space="preserve">is triggered. </w:t>
      </w:r>
      <w:r w:rsidR="00740975" w:rsidRPr="001F1EB7">
        <w:rPr>
          <w:rFonts w:ascii="Arial" w:hAnsi="Arial" w:cs="Arial"/>
          <w:sz w:val="24"/>
          <w:szCs w:val="24"/>
        </w:rPr>
        <w:t>Although</w:t>
      </w:r>
      <w:r w:rsidR="001F1EB7" w:rsidRPr="001F1EB7">
        <w:rPr>
          <w:rFonts w:ascii="Arial" w:hAnsi="Arial" w:cs="Arial"/>
          <w:sz w:val="24"/>
          <w:szCs w:val="24"/>
        </w:rPr>
        <w:t xml:space="preserve"> factually</w:t>
      </w:r>
      <w:r w:rsidR="00B905CE">
        <w:rPr>
          <w:rFonts w:ascii="Arial" w:hAnsi="Arial" w:cs="Arial"/>
          <w:sz w:val="24"/>
          <w:szCs w:val="24"/>
        </w:rPr>
        <w:t>,</w:t>
      </w:r>
      <w:r w:rsidR="001F1EB7" w:rsidRPr="001F1EB7">
        <w:rPr>
          <w:rFonts w:ascii="Arial" w:hAnsi="Arial" w:cs="Arial"/>
          <w:sz w:val="24"/>
          <w:szCs w:val="24"/>
        </w:rPr>
        <w:t xml:space="preserve"> the applicant did not give consent</w:t>
      </w:r>
      <w:r w:rsidR="00DA2745">
        <w:rPr>
          <w:rFonts w:ascii="Arial" w:hAnsi="Arial" w:cs="Arial"/>
          <w:sz w:val="24"/>
          <w:szCs w:val="24"/>
        </w:rPr>
        <w:t>,</w:t>
      </w:r>
      <w:r w:rsidR="001F1EB7" w:rsidRPr="001F1EB7">
        <w:rPr>
          <w:rFonts w:ascii="Arial" w:hAnsi="Arial" w:cs="Arial"/>
          <w:sz w:val="24"/>
          <w:szCs w:val="24"/>
        </w:rPr>
        <w:t xml:space="preserve"> section 15(9)</w:t>
      </w:r>
      <w:r w:rsidR="00740975">
        <w:rPr>
          <w:rFonts w:ascii="Arial" w:hAnsi="Arial" w:cs="Arial"/>
          <w:sz w:val="24"/>
          <w:szCs w:val="24"/>
        </w:rPr>
        <w:t xml:space="preserve">(a) </w:t>
      </w:r>
      <w:r w:rsidR="001F1EB7" w:rsidRPr="001F1EB7">
        <w:rPr>
          <w:rFonts w:ascii="Arial" w:hAnsi="Arial" w:cs="Arial"/>
          <w:sz w:val="24"/>
          <w:szCs w:val="24"/>
        </w:rPr>
        <w:t xml:space="preserve">of the MPA protects the first respondent. The result is that the applicant’s consent is deemed to </w:t>
      </w:r>
      <w:r w:rsidR="001F1EB7" w:rsidRPr="00C81A91">
        <w:rPr>
          <w:rFonts w:ascii="Arial" w:hAnsi="Arial" w:cs="Arial"/>
          <w:sz w:val="24"/>
          <w:szCs w:val="24"/>
        </w:rPr>
        <w:t xml:space="preserve">have been given, with the result that the sale agreement is valid and enforceable. </w:t>
      </w:r>
      <w:r w:rsidR="00C81A91" w:rsidRPr="00740975">
        <w:rPr>
          <w:rFonts w:ascii="Arial" w:hAnsi="Arial" w:cs="Arial"/>
          <w:sz w:val="24"/>
          <w:szCs w:val="24"/>
        </w:rPr>
        <w:t xml:space="preserve">As it was correctly observed in </w:t>
      </w:r>
      <w:r w:rsidR="00C81A91" w:rsidRPr="00740975">
        <w:rPr>
          <w:rFonts w:ascii="Arial" w:hAnsi="Arial" w:cs="Arial"/>
          <w:i/>
          <w:sz w:val="24"/>
          <w:szCs w:val="24"/>
        </w:rPr>
        <w:t>Marais,</w:t>
      </w:r>
      <w:r w:rsidR="00C81A91" w:rsidRPr="00740975">
        <w:rPr>
          <w:rFonts w:ascii="Arial" w:hAnsi="Arial" w:cs="Arial"/>
          <w:sz w:val="24"/>
          <w:szCs w:val="24"/>
        </w:rPr>
        <w:t xml:space="preserve"> ‘while the consent requirement is designed to provide protection to the non-contracting spouse against maladministration of the joint estate by the contracting spouse, the “deemed consent” provision in s 15(9)(a) is intended to protect the interests of a bona fide third party who contracts with that spouse.’</w:t>
      </w:r>
    </w:p>
    <w:p w:rsidR="00C81A91" w:rsidRDefault="00C81A91" w:rsidP="00C81A91">
      <w:pPr>
        <w:autoSpaceDE w:val="0"/>
        <w:autoSpaceDN w:val="0"/>
        <w:adjustRightInd w:val="0"/>
        <w:spacing w:after="0" w:line="480" w:lineRule="auto"/>
        <w:jc w:val="both"/>
        <w:rPr>
          <w:rFonts w:ascii="Arial" w:hAnsi="Arial" w:cs="Arial"/>
        </w:rPr>
      </w:pPr>
    </w:p>
    <w:p w:rsidR="00C81A91" w:rsidRPr="00C81A91" w:rsidRDefault="006A0506" w:rsidP="00C81A91">
      <w:pPr>
        <w:autoSpaceDE w:val="0"/>
        <w:autoSpaceDN w:val="0"/>
        <w:adjustRightInd w:val="0"/>
        <w:spacing w:after="0" w:line="480" w:lineRule="auto"/>
        <w:jc w:val="both"/>
        <w:rPr>
          <w:rFonts w:ascii="Arial" w:hAnsi="Arial" w:cs="Arial"/>
          <w:sz w:val="24"/>
          <w:szCs w:val="24"/>
        </w:rPr>
      </w:pPr>
      <w:r>
        <w:rPr>
          <w:rFonts w:ascii="Arial" w:hAnsi="Arial" w:cs="Arial"/>
          <w:sz w:val="24"/>
          <w:szCs w:val="24"/>
        </w:rPr>
        <w:t>[44</w:t>
      </w:r>
      <w:r w:rsidR="00DF00DB">
        <w:rPr>
          <w:rFonts w:ascii="Arial" w:hAnsi="Arial" w:cs="Arial"/>
          <w:sz w:val="24"/>
          <w:szCs w:val="24"/>
        </w:rPr>
        <w:t>]</w:t>
      </w:r>
      <w:r w:rsidR="00DF00DB">
        <w:rPr>
          <w:rFonts w:ascii="Arial" w:hAnsi="Arial" w:cs="Arial"/>
          <w:sz w:val="24"/>
          <w:szCs w:val="24"/>
        </w:rPr>
        <w:tab/>
      </w:r>
      <w:r w:rsidR="00C81A91" w:rsidRPr="00C81A91">
        <w:rPr>
          <w:rFonts w:ascii="Arial" w:hAnsi="Arial" w:cs="Arial"/>
          <w:sz w:val="24"/>
          <w:szCs w:val="24"/>
        </w:rPr>
        <w:t>In the result, the following order is granted:</w:t>
      </w:r>
    </w:p>
    <w:p w:rsidR="00C81A91" w:rsidRPr="00C81A91" w:rsidRDefault="006A0506" w:rsidP="00C81A91">
      <w:pPr>
        <w:autoSpaceDE w:val="0"/>
        <w:autoSpaceDN w:val="0"/>
        <w:adjustRightInd w:val="0"/>
        <w:spacing w:after="0" w:line="480" w:lineRule="auto"/>
        <w:jc w:val="both"/>
        <w:rPr>
          <w:rFonts w:ascii="Arial" w:hAnsi="Arial" w:cs="Arial"/>
          <w:sz w:val="24"/>
          <w:szCs w:val="24"/>
        </w:rPr>
      </w:pPr>
      <w:r>
        <w:rPr>
          <w:rFonts w:ascii="Arial" w:hAnsi="Arial" w:cs="Arial"/>
          <w:sz w:val="24"/>
          <w:szCs w:val="24"/>
        </w:rPr>
        <w:t>44</w:t>
      </w:r>
      <w:r w:rsidR="00DF00DB">
        <w:rPr>
          <w:rFonts w:ascii="Arial" w:hAnsi="Arial" w:cs="Arial"/>
          <w:sz w:val="24"/>
          <w:szCs w:val="24"/>
        </w:rPr>
        <w:t>.1</w:t>
      </w:r>
      <w:r w:rsidR="00DF00DB">
        <w:rPr>
          <w:rFonts w:ascii="Arial" w:hAnsi="Arial" w:cs="Arial"/>
          <w:sz w:val="24"/>
          <w:szCs w:val="24"/>
        </w:rPr>
        <w:tab/>
      </w:r>
      <w:r w:rsidR="00C81A91" w:rsidRPr="00C81A91">
        <w:rPr>
          <w:rFonts w:ascii="Arial" w:hAnsi="Arial" w:cs="Arial"/>
          <w:sz w:val="24"/>
          <w:szCs w:val="24"/>
        </w:rPr>
        <w:t>The applicant’s application is hereby dismissed.</w:t>
      </w:r>
    </w:p>
    <w:p w:rsidR="00C81A91" w:rsidRPr="00C81A91" w:rsidRDefault="006A0506" w:rsidP="00C81A91">
      <w:pPr>
        <w:autoSpaceDE w:val="0"/>
        <w:autoSpaceDN w:val="0"/>
        <w:adjustRightInd w:val="0"/>
        <w:spacing w:after="0" w:line="480" w:lineRule="auto"/>
        <w:jc w:val="both"/>
        <w:rPr>
          <w:rFonts w:ascii="Arial" w:hAnsi="Arial" w:cs="Arial"/>
          <w:sz w:val="24"/>
          <w:szCs w:val="24"/>
        </w:rPr>
      </w:pPr>
      <w:r>
        <w:rPr>
          <w:rFonts w:ascii="Arial" w:hAnsi="Arial" w:cs="Arial"/>
          <w:sz w:val="24"/>
          <w:szCs w:val="24"/>
        </w:rPr>
        <w:lastRenderedPageBreak/>
        <w:t>44</w:t>
      </w:r>
      <w:r w:rsidR="00DF00DB">
        <w:rPr>
          <w:rFonts w:ascii="Arial" w:hAnsi="Arial" w:cs="Arial"/>
          <w:sz w:val="24"/>
          <w:szCs w:val="24"/>
        </w:rPr>
        <w:t>.2</w:t>
      </w:r>
      <w:r w:rsidR="00DF00DB">
        <w:rPr>
          <w:rFonts w:ascii="Arial" w:hAnsi="Arial" w:cs="Arial"/>
          <w:sz w:val="24"/>
          <w:szCs w:val="24"/>
        </w:rPr>
        <w:tab/>
      </w:r>
      <w:r w:rsidR="00907F4D" w:rsidRPr="00907F4D">
        <w:rPr>
          <w:rFonts w:ascii="Arial" w:hAnsi="Arial" w:cs="Arial"/>
          <w:sz w:val="24"/>
          <w:szCs w:val="24"/>
        </w:rPr>
        <w:t xml:space="preserve">The applicant is ordered to pay the costs of this application, which shall include the costs of counsel. </w:t>
      </w:r>
    </w:p>
    <w:p w:rsidR="00C81A91" w:rsidRPr="00C81A91" w:rsidRDefault="00C81A91" w:rsidP="00C81A91">
      <w:pPr>
        <w:autoSpaceDE w:val="0"/>
        <w:autoSpaceDN w:val="0"/>
        <w:adjustRightInd w:val="0"/>
        <w:spacing w:after="0" w:line="480" w:lineRule="auto"/>
        <w:jc w:val="both"/>
        <w:rPr>
          <w:rFonts w:ascii="Arial" w:hAnsi="Arial" w:cs="Arial"/>
          <w:sz w:val="24"/>
          <w:szCs w:val="24"/>
        </w:rPr>
      </w:pPr>
    </w:p>
    <w:p w:rsidR="00C81A91" w:rsidRDefault="00C81A91" w:rsidP="00C81A91">
      <w:pPr>
        <w:autoSpaceDE w:val="0"/>
        <w:autoSpaceDN w:val="0"/>
        <w:adjustRightInd w:val="0"/>
        <w:spacing w:after="0" w:line="480" w:lineRule="auto"/>
        <w:jc w:val="both"/>
        <w:rPr>
          <w:rFonts w:ascii="Arial" w:hAnsi="Arial" w:cs="Arial"/>
        </w:rPr>
      </w:pPr>
    </w:p>
    <w:p w:rsidR="00C81A91" w:rsidRPr="00DF00DB" w:rsidRDefault="00DF00DB" w:rsidP="00DF00DB">
      <w:pPr>
        <w:autoSpaceDE w:val="0"/>
        <w:autoSpaceDN w:val="0"/>
        <w:adjustRightInd w:val="0"/>
        <w:spacing w:after="0" w:line="480" w:lineRule="auto"/>
        <w:ind w:left="2880" w:firstLine="720"/>
        <w:jc w:val="both"/>
        <w:rPr>
          <w:rFonts w:ascii="Arial" w:hAnsi="Arial" w:cs="Arial"/>
          <w:b/>
          <w:bCs/>
          <w:sz w:val="24"/>
          <w:szCs w:val="24"/>
        </w:rPr>
      </w:pPr>
      <w:r w:rsidRPr="00DF00DB">
        <w:rPr>
          <w:rFonts w:ascii="Arial" w:hAnsi="Arial" w:cs="Arial"/>
          <w:b/>
          <w:bCs/>
          <w:sz w:val="24"/>
          <w:szCs w:val="24"/>
        </w:rPr>
        <w:t>_______________________________</w:t>
      </w:r>
    </w:p>
    <w:p w:rsidR="00C81A91" w:rsidRPr="00DF00DB" w:rsidRDefault="00DF00DB" w:rsidP="001E30D4">
      <w:pPr>
        <w:autoSpaceDE w:val="0"/>
        <w:autoSpaceDN w:val="0"/>
        <w:adjustRightInd w:val="0"/>
        <w:spacing w:after="0" w:line="480" w:lineRule="auto"/>
        <w:jc w:val="both"/>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F00DB">
        <w:rPr>
          <w:rFonts w:ascii="Arial" w:hAnsi="Arial" w:cs="Arial"/>
          <w:b/>
          <w:bCs/>
          <w:sz w:val="24"/>
          <w:szCs w:val="24"/>
        </w:rPr>
        <w:t>LEKHULENI JD</w:t>
      </w:r>
    </w:p>
    <w:p w:rsidR="00DF00DB" w:rsidRDefault="00DF00DB" w:rsidP="00826A05">
      <w:pPr>
        <w:autoSpaceDE w:val="0"/>
        <w:autoSpaceDN w:val="0"/>
        <w:adjustRightInd w:val="0"/>
        <w:spacing w:after="0" w:line="480" w:lineRule="auto"/>
        <w:ind w:left="2880" w:firstLine="720"/>
        <w:jc w:val="both"/>
        <w:rPr>
          <w:rFonts w:ascii="Arial" w:hAnsi="Arial" w:cs="Arial"/>
          <w:b/>
          <w:bCs/>
          <w:sz w:val="24"/>
          <w:szCs w:val="24"/>
        </w:rPr>
      </w:pPr>
      <w:r w:rsidRPr="00DF00DB">
        <w:rPr>
          <w:rFonts w:ascii="Arial" w:hAnsi="Arial" w:cs="Arial"/>
          <w:b/>
          <w:bCs/>
          <w:sz w:val="24"/>
          <w:szCs w:val="24"/>
        </w:rPr>
        <w:t xml:space="preserve">JUDGE OF THE HIGH COURT </w:t>
      </w:r>
    </w:p>
    <w:p w:rsidR="00826A05" w:rsidRDefault="00826A05" w:rsidP="00826A05">
      <w:pPr>
        <w:autoSpaceDE w:val="0"/>
        <w:autoSpaceDN w:val="0"/>
        <w:adjustRightInd w:val="0"/>
        <w:spacing w:after="0" w:line="480" w:lineRule="auto"/>
        <w:ind w:left="2880" w:firstLine="720"/>
        <w:jc w:val="both"/>
        <w:rPr>
          <w:rFonts w:ascii="Arial" w:hAnsi="Arial" w:cs="Arial"/>
          <w:b/>
          <w:bCs/>
          <w:sz w:val="24"/>
          <w:szCs w:val="24"/>
        </w:rPr>
      </w:pPr>
    </w:p>
    <w:p w:rsidR="00826A05" w:rsidRDefault="00826A05" w:rsidP="00826A05">
      <w:pPr>
        <w:autoSpaceDE w:val="0"/>
        <w:autoSpaceDN w:val="0"/>
        <w:adjustRightInd w:val="0"/>
        <w:spacing w:after="0" w:line="480" w:lineRule="auto"/>
        <w:ind w:left="2880" w:firstLine="720"/>
        <w:jc w:val="both"/>
        <w:rPr>
          <w:rFonts w:ascii="Arial" w:hAnsi="Arial" w:cs="Arial"/>
          <w:b/>
          <w:bCs/>
          <w:sz w:val="24"/>
          <w:szCs w:val="24"/>
        </w:rPr>
      </w:pPr>
    </w:p>
    <w:p w:rsidR="00826A05" w:rsidRDefault="00826A05" w:rsidP="00826A05">
      <w:pPr>
        <w:autoSpaceDE w:val="0"/>
        <w:autoSpaceDN w:val="0"/>
        <w:adjustRightInd w:val="0"/>
        <w:spacing w:after="0" w:line="480" w:lineRule="auto"/>
        <w:ind w:left="2880" w:firstLine="720"/>
        <w:jc w:val="both"/>
        <w:rPr>
          <w:rFonts w:ascii="Arial" w:hAnsi="Arial" w:cs="Arial"/>
          <w:b/>
          <w:bCs/>
          <w:sz w:val="24"/>
          <w:szCs w:val="24"/>
        </w:rPr>
      </w:pPr>
    </w:p>
    <w:p w:rsidR="00826A05" w:rsidRDefault="00826A05" w:rsidP="00826A05">
      <w:pPr>
        <w:autoSpaceDE w:val="0"/>
        <w:autoSpaceDN w:val="0"/>
        <w:adjustRightInd w:val="0"/>
        <w:spacing w:after="0" w:line="480" w:lineRule="auto"/>
        <w:ind w:left="2880" w:firstLine="720"/>
        <w:jc w:val="both"/>
        <w:rPr>
          <w:rFonts w:ascii="Arial" w:hAnsi="Arial" w:cs="Arial"/>
          <w:b/>
          <w:bCs/>
          <w:sz w:val="24"/>
          <w:szCs w:val="24"/>
        </w:rPr>
      </w:pPr>
    </w:p>
    <w:p w:rsidR="0038316B" w:rsidRDefault="0038316B" w:rsidP="00826A05">
      <w:pPr>
        <w:autoSpaceDE w:val="0"/>
        <w:autoSpaceDN w:val="0"/>
        <w:adjustRightInd w:val="0"/>
        <w:spacing w:after="0" w:line="480" w:lineRule="auto"/>
        <w:ind w:left="2880" w:firstLine="720"/>
        <w:jc w:val="both"/>
        <w:rPr>
          <w:rFonts w:ascii="Arial" w:hAnsi="Arial" w:cs="Arial"/>
          <w:b/>
          <w:bCs/>
          <w:sz w:val="24"/>
          <w:szCs w:val="24"/>
        </w:rPr>
      </w:pPr>
    </w:p>
    <w:p w:rsidR="0038316B" w:rsidRDefault="0038316B" w:rsidP="00826A05">
      <w:pPr>
        <w:autoSpaceDE w:val="0"/>
        <w:autoSpaceDN w:val="0"/>
        <w:adjustRightInd w:val="0"/>
        <w:spacing w:after="0" w:line="480" w:lineRule="auto"/>
        <w:ind w:left="2880" w:firstLine="720"/>
        <w:jc w:val="both"/>
        <w:rPr>
          <w:rFonts w:ascii="Arial" w:hAnsi="Arial" w:cs="Arial"/>
          <w:b/>
          <w:bCs/>
          <w:sz w:val="24"/>
          <w:szCs w:val="24"/>
        </w:rPr>
      </w:pPr>
    </w:p>
    <w:p w:rsidR="0038316B" w:rsidRDefault="0038316B" w:rsidP="00826A05">
      <w:pPr>
        <w:autoSpaceDE w:val="0"/>
        <w:autoSpaceDN w:val="0"/>
        <w:adjustRightInd w:val="0"/>
        <w:spacing w:after="0" w:line="480" w:lineRule="auto"/>
        <w:ind w:left="2880" w:firstLine="720"/>
        <w:jc w:val="both"/>
        <w:rPr>
          <w:rFonts w:ascii="Arial" w:hAnsi="Arial" w:cs="Arial"/>
          <w:b/>
          <w:bCs/>
          <w:sz w:val="24"/>
          <w:szCs w:val="24"/>
        </w:rPr>
      </w:pPr>
    </w:p>
    <w:p w:rsidR="00826A05" w:rsidRDefault="00826A05" w:rsidP="00826A05">
      <w:pPr>
        <w:autoSpaceDE w:val="0"/>
        <w:autoSpaceDN w:val="0"/>
        <w:adjustRightInd w:val="0"/>
        <w:spacing w:after="0" w:line="480" w:lineRule="auto"/>
        <w:ind w:left="2880" w:firstLine="720"/>
        <w:jc w:val="both"/>
        <w:rPr>
          <w:rFonts w:ascii="Arial" w:hAnsi="Arial" w:cs="Arial"/>
          <w:b/>
          <w:bCs/>
          <w:sz w:val="24"/>
          <w:szCs w:val="24"/>
        </w:rPr>
      </w:pPr>
    </w:p>
    <w:p w:rsidR="00826A05" w:rsidRDefault="00826A05" w:rsidP="00826A05">
      <w:pPr>
        <w:autoSpaceDE w:val="0"/>
        <w:autoSpaceDN w:val="0"/>
        <w:adjustRightInd w:val="0"/>
        <w:spacing w:after="0" w:line="480" w:lineRule="auto"/>
        <w:ind w:left="2880" w:firstLine="720"/>
        <w:jc w:val="both"/>
        <w:rPr>
          <w:rFonts w:ascii="Arial" w:hAnsi="Arial" w:cs="Arial"/>
          <w:b/>
          <w:bCs/>
          <w:sz w:val="24"/>
          <w:szCs w:val="24"/>
        </w:rPr>
      </w:pPr>
    </w:p>
    <w:p w:rsidR="00826A05" w:rsidRDefault="00826A05" w:rsidP="00826A05">
      <w:pPr>
        <w:autoSpaceDE w:val="0"/>
        <w:autoSpaceDN w:val="0"/>
        <w:adjustRightInd w:val="0"/>
        <w:spacing w:after="0" w:line="480" w:lineRule="auto"/>
        <w:ind w:left="2880" w:firstLine="720"/>
        <w:jc w:val="both"/>
        <w:rPr>
          <w:rFonts w:ascii="Arial" w:hAnsi="Arial" w:cs="Arial"/>
          <w:b/>
          <w:bCs/>
          <w:sz w:val="24"/>
          <w:szCs w:val="24"/>
        </w:rPr>
      </w:pPr>
    </w:p>
    <w:p w:rsidR="00826A05" w:rsidRDefault="00826A05" w:rsidP="00826A05">
      <w:pPr>
        <w:autoSpaceDE w:val="0"/>
        <w:autoSpaceDN w:val="0"/>
        <w:adjustRightInd w:val="0"/>
        <w:spacing w:after="0" w:line="480" w:lineRule="auto"/>
        <w:ind w:left="2880" w:firstLine="720"/>
        <w:jc w:val="both"/>
        <w:rPr>
          <w:rFonts w:ascii="Arial" w:hAnsi="Arial" w:cs="Arial"/>
          <w:b/>
          <w:bCs/>
          <w:sz w:val="24"/>
          <w:szCs w:val="24"/>
        </w:rPr>
      </w:pPr>
    </w:p>
    <w:p w:rsidR="00826A05" w:rsidRDefault="00826A05" w:rsidP="00826A05">
      <w:pPr>
        <w:autoSpaceDE w:val="0"/>
        <w:autoSpaceDN w:val="0"/>
        <w:adjustRightInd w:val="0"/>
        <w:spacing w:after="0" w:line="480" w:lineRule="auto"/>
        <w:ind w:left="2880" w:firstLine="720"/>
        <w:jc w:val="both"/>
        <w:rPr>
          <w:rFonts w:ascii="Arial" w:hAnsi="Arial" w:cs="Arial"/>
          <w:b/>
          <w:bCs/>
          <w:sz w:val="24"/>
          <w:szCs w:val="24"/>
        </w:rPr>
      </w:pPr>
    </w:p>
    <w:p w:rsidR="00826A05" w:rsidRDefault="00826A05" w:rsidP="00826A05">
      <w:pPr>
        <w:autoSpaceDE w:val="0"/>
        <w:autoSpaceDN w:val="0"/>
        <w:adjustRightInd w:val="0"/>
        <w:spacing w:after="0" w:line="480" w:lineRule="auto"/>
        <w:ind w:left="2880" w:firstLine="720"/>
        <w:jc w:val="both"/>
        <w:rPr>
          <w:rFonts w:ascii="Arial" w:hAnsi="Arial" w:cs="Arial"/>
          <w:b/>
          <w:bCs/>
          <w:sz w:val="24"/>
          <w:szCs w:val="24"/>
        </w:rPr>
      </w:pPr>
    </w:p>
    <w:p w:rsidR="00826A05" w:rsidRDefault="00826A05" w:rsidP="00826A05">
      <w:pPr>
        <w:autoSpaceDE w:val="0"/>
        <w:autoSpaceDN w:val="0"/>
        <w:adjustRightInd w:val="0"/>
        <w:spacing w:after="0" w:line="480" w:lineRule="auto"/>
        <w:ind w:left="2880" w:firstLine="720"/>
        <w:jc w:val="both"/>
        <w:rPr>
          <w:rFonts w:ascii="Arial" w:hAnsi="Arial" w:cs="Arial"/>
          <w:b/>
          <w:bCs/>
          <w:sz w:val="24"/>
          <w:szCs w:val="24"/>
        </w:rPr>
      </w:pPr>
    </w:p>
    <w:p w:rsidR="00826A05" w:rsidRDefault="00826A05" w:rsidP="00826A05">
      <w:pPr>
        <w:autoSpaceDE w:val="0"/>
        <w:autoSpaceDN w:val="0"/>
        <w:adjustRightInd w:val="0"/>
        <w:spacing w:after="0" w:line="480" w:lineRule="auto"/>
        <w:ind w:left="2880" w:firstLine="720"/>
        <w:jc w:val="both"/>
        <w:rPr>
          <w:rFonts w:ascii="Arial" w:hAnsi="Arial" w:cs="Arial"/>
          <w:b/>
          <w:bCs/>
          <w:sz w:val="24"/>
          <w:szCs w:val="24"/>
        </w:rPr>
      </w:pPr>
    </w:p>
    <w:p w:rsidR="00826A05" w:rsidRDefault="00826A05" w:rsidP="00826A05">
      <w:pPr>
        <w:autoSpaceDE w:val="0"/>
        <w:autoSpaceDN w:val="0"/>
        <w:adjustRightInd w:val="0"/>
        <w:spacing w:after="0" w:line="480" w:lineRule="auto"/>
        <w:ind w:left="2880" w:firstLine="720"/>
        <w:jc w:val="both"/>
        <w:rPr>
          <w:rFonts w:ascii="Arial" w:hAnsi="Arial" w:cs="Arial"/>
          <w:b/>
          <w:bCs/>
          <w:sz w:val="24"/>
          <w:szCs w:val="24"/>
        </w:rPr>
      </w:pPr>
    </w:p>
    <w:p w:rsidR="00826A05" w:rsidRDefault="00826A05" w:rsidP="00826A05">
      <w:pPr>
        <w:autoSpaceDE w:val="0"/>
        <w:autoSpaceDN w:val="0"/>
        <w:adjustRightInd w:val="0"/>
        <w:spacing w:after="0" w:line="480" w:lineRule="auto"/>
        <w:ind w:left="2880" w:firstLine="720"/>
        <w:jc w:val="both"/>
        <w:rPr>
          <w:rFonts w:ascii="Arial" w:hAnsi="Arial" w:cs="Arial"/>
          <w:b/>
          <w:bCs/>
          <w:sz w:val="24"/>
          <w:szCs w:val="24"/>
        </w:rPr>
      </w:pPr>
    </w:p>
    <w:p w:rsidR="00826A05" w:rsidRDefault="00826A05" w:rsidP="00826A05">
      <w:pPr>
        <w:autoSpaceDE w:val="0"/>
        <w:autoSpaceDN w:val="0"/>
        <w:adjustRightInd w:val="0"/>
        <w:spacing w:after="0" w:line="480" w:lineRule="auto"/>
        <w:ind w:left="2880" w:firstLine="720"/>
        <w:jc w:val="both"/>
        <w:rPr>
          <w:rFonts w:ascii="Arial" w:hAnsi="Arial" w:cs="Arial"/>
          <w:b/>
          <w:bCs/>
          <w:sz w:val="24"/>
          <w:szCs w:val="24"/>
        </w:rPr>
      </w:pPr>
    </w:p>
    <w:sectPr w:rsidR="00826A0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616" w:rsidRDefault="00722616" w:rsidP="00902ED1">
      <w:pPr>
        <w:spacing w:after="0" w:line="240" w:lineRule="auto"/>
      </w:pPr>
      <w:r>
        <w:separator/>
      </w:r>
    </w:p>
  </w:endnote>
  <w:endnote w:type="continuationSeparator" w:id="0">
    <w:p w:rsidR="00722616" w:rsidRDefault="00722616" w:rsidP="00902ED1">
      <w:pPr>
        <w:spacing w:after="0" w:line="240" w:lineRule="auto"/>
      </w:pPr>
      <w:r>
        <w:continuationSeparator/>
      </w:r>
    </w:p>
  </w:endnote>
  <w:endnote w:type="continuationNotice" w:id="1">
    <w:p w:rsidR="00722616" w:rsidRDefault="007226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31665"/>
      <w:docPartObj>
        <w:docPartGallery w:val="Page Numbers (Bottom of Page)"/>
        <w:docPartUnique/>
      </w:docPartObj>
    </w:sdtPr>
    <w:sdtEndPr>
      <w:rPr>
        <w:noProof/>
      </w:rPr>
    </w:sdtEndPr>
    <w:sdtContent>
      <w:p w:rsidR="00E810C5" w:rsidRDefault="00E810C5">
        <w:pPr>
          <w:pStyle w:val="Footer"/>
          <w:jc w:val="right"/>
        </w:pPr>
        <w:r>
          <w:fldChar w:fldCharType="begin"/>
        </w:r>
        <w:r>
          <w:instrText xml:space="preserve"> PAGE   \* MERGEFORMAT </w:instrText>
        </w:r>
        <w:r>
          <w:fldChar w:fldCharType="separate"/>
        </w:r>
        <w:r w:rsidR="005D1653">
          <w:rPr>
            <w:noProof/>
          </w:rPr>
          <w:t>21</w:t>
        </w:r>
        <w:r>
          <w:rPr>
            <w:noProof/>
          </w:rPr>
          <w:fldChar w:fldCharType="end"/>
        </w:r>
      </w:p>
    </w:sdtContent>
  </w:sdt>
  <w:p w:rsidR="00E810C5" w:rsidRDefault="00E810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616" w:rsidRDefault="00722616" w:rsidP="00902ED1">
      <w:pPr>
        <w:spacing w:after="0" w:line="240" w:lineRule="auto"/>
      </w:pPr>
      <w:r>
        <w:separator/>
      </w:r>
    </w:p>
  </w:footnote>
  <w:footnote w:type="continuationSeparator" w:id="0">
    <w:p w:rsidR="00722616" w:rsidRDefault="00722616" w:rsidP="00902ED1">
      <w:pPr>
        <w:spacing w:after="0" w:line="240" w:lineRule="auto"/>
      </w:pPr>
      <w:r>
        <w:continuationSeparator/>
      </w:r>
    </w:p>
  </w:footnote>
  <w:footnote w:type="continuationNotice" w:id="1">
    <w:p w:rsidR="00722616" w:rsidRDefault="00722616">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ADC"/>
    <w:rsid w:val="000013F2"/>
    <w:rsid w:val="00001EA4"/>
    <w:rsid w:val="00002431"/>
    <w:rsid w:val="00003980"/>
    <w:rsid w:val="000103D8"/>
    <w:rsid w:val="00010810"/>
    <w:rsid w:val="00017B19"/>
    <w:rsid w:val="00021DD5"/>
    <w:rsid w:val="00022AAF"/>
    <w:rsid w:val="0003484E"/>
    <w:rsid w:val="000363A7"/>
    <w:rsid w:val="0004715A"/>
    <w:rsid w:val="000575F0"/>
    <w:rsid w:val="00057AEE"/>
    <w:rsid w:val="000607F9"/>
    <w:rsid w:val="00063AF8"/>
    <w:rsid w:val="00065DE5"/>
    <w:rsid w:val="0007395B"/>
    <w:rsid w:val="00087EEB"/>
    <w:rsid w:val="00091707"/>
    <w:rsid w:val="00096E85"/>
    <w:rsid w:val="000A2C98"/>
    <w:rsid w:val="000A54E7"/>
    <w:rsid w:val="000A7FD7"/>
    <w:rsid w:val="000C302E"/>
    <w:rsid w:val="000C450F"/>
    <w:rsid w:val="000C702E"/>
    <w:rsid w:val="000D7ADC"/>
    <w:rsid w:val="000D7BDA"/>
    <w:rsid w:val="000E4518"/>
    <w:rsid w:val="000F29DD"/>
    <w:rsid w:val="000F3581"/>
    <w:rsid w:val="000F577D"/>
    <w:rsid w:val="000F6981"/>
    <w:rsid w:val="0010056E"/>
    <w:rsid w:val="001066CD"/>
    <w:rsid w:val="00111F70"/>
    <w:rsid w:val="00112FC7"/>
    <w:rsid w:val="001144CE"/>
    <w:rsid w:val="00120A87"/>
    <w:rsid w:val="001215BA"/>
    <w:rsid w:val="00127AD6"/>
    <w:rsid w:val="00127CF3"/>
    <w:rsid w:val="00132F7E"/>
    <w:rsid w:val="00137550"/>
    <w:rsid w:val="00141267"/>
    <w:rsid w:val="00143BD1"/>
    <w:rsid w:val="00144405"/>
    <w:rsid w:val="00154305"/>
    <w:rsid w:val="001549B2"/>
    <w:rsid w:val="00157C5B"/>
    <w:rsid w:val="0016559E"/>
    <w:rsid w:val="00165D4A"/>
    <w:rsid w:val="001727D1"/>
    <w:rsid w:val="001745C8"/>
    <w:rsid w:val="0017645A"/>
    <w:rsid w:val="001847A3"/>
    <w:rsid w:val="00184BF5"/>
    <w:rsid w:val="00192E94"/>
    <w:rsid w:val="001A5485"/>
    <w:rsid w:val="001B3CA4"/>
    <w:rsid w:val="001B4A72"/>
    <w:rsid w:val="001B5624"/>
    <w:rsid w:val="001B7A17"/>
    <w:rsid w:val="001C30DD"/>
    <w:rsid w:val="001C3933"/>
    <w:rsid w:val="001C53E1"/>
    <w:rsid w:val="001C57F5"/>
    <w:rsid w:val="001C73A2"/>
    <w:rsid w:val="001D10F4"/>
    <w:rsid w:val="001D40C8"/>
    <w:rsid w:val="001D71ED"/>
    <w:rsid w:val="001E26E1"/>
    <w:rsid w:val="001E30D4"/>
    <w:rsid w:val="001F1EB7"/>
    <w:rsid w:val="001F3C63"/>
    <w:rsid w:val="001F4FF1"/>
    <w:rsid w:val="00204556"/>
    <w:rsid w:val="002047E8"/>
    <w:rsid w:val="0020567A"/>
    <w:rsid w:val="00206756"/>
    <w:rsid w:val="0020765A"/>
    <w:rsid w:val="00207CD3"/>
    <w:rsid w:val="00211AA3"/>
    <w:rsid w:val="002126C0"/>
    <w:rsid w:val="00214B9C"/>
    <w:rsid w:val="00220B07"/>
    <w:rsid w:val="00227CA0"/>
    <w:rsid w:val="00230689"/>
    <w:rsid w:val="002325B7"/>
    <w:rsid w:val="00233ECA"/>
    <w:rsid w:val="00234738"/>
    <w:rsid w:val="00242241"/>
    <w:rsid w:val="002446AD"/>
    <w:rsid w:val="00247A7C"/>
    <w:rsid w:val="00252B9A"/>
    <w:rsid w:val="00256D21"/>
    <w:rsid w:val="0025770F"/>
    <w:rsid w:val="00264692"/>
    <w:rsid w:val="00265240"/>
    <w:rsid w:val="00275BF0"/>
    <w:rsid w:val="00290253"/>
    <w:rsid w:val="00296CDA"/>
    <w:rsid w:val="002A071A"/>
    <w:rsid w:val="002A37F0"/>
    <w:rsid w:val="002A3B0D"/>
    <w:rsid w:val="002A5229"/>
    <w:rsid w:val="002B0BA8"/>
    <w:rsid w:val="002B2FC3"/>
    <w:rsid w:val="002B3AD1"/>
    <w:rsid w:val="002C1C11"/>
    <w:rsid w:val="002C4BA4"/>
    <w:rsid w:val="002C4C0D"/>
    <w:rsid w:val="002D0FE4"/>
    <w:rsid w:val="002D6708"/>
    <w:rsid w:val="002D6F17"/>
    <w:rsid w:val="002E357D"/>
    <w:rsid w:val="002E7318"/>
    <w:rsid w:val="002F1E6F"/>
    <w:rsid w:val="002F711A"/>
    <w:rsid w:val="00301603"/>
    <w:rsid w:val="0030694F"/>
    <w:rsid w:val="0031256B"/>
    <w:rsid w:val="00321B32"/>
    <w:rsid w:val="00323384"/>
    <w:rsid w:val="00332B7B"/>
    <w:rsid w:val="00341765"/>
    <w:rsid w:val="00345D3C"/>
    <w:rsid w:val="0034673D"/>
    <w:rsid w:val="003512BD"/>
    <w:rsid w:val="00354F38"/>
    <w:rsid w:val="00365351"/>
    <w:rsid w:val="00371D01"/>
    <w:rsid w:val="0038316B"/>
    <w:rsid w:val="00384E22"/>
    <w:rsid w:val="00385AC0"/>
    <w:rsid w:val="00386231"/>
    <w:rsid w:val="00395472"/>
    <w:rsid w:val="003A6157"/>
    <w:rsid w:val="003A6EF4"/>
    <w:rsid w:val="003A7F83"/>
    <w:rsid w:val="003C012D"/>
    <w:rsid w:val="003C0674"/>
    <w:rsid w:val="003C081B"/>
    <w:rsid w:val="003C33AD"/>
    <w:rsid w:val="003C57D2"/>
    <w:rsid w:val="003C69D7"/>
    <w:rsid w:val="003D0951"/>
    <w:rsid w:val="003D3BF0"/>
    <w:rsid w:val="003E48C2"/>
    <w:rsid w:val="003E5324"/>
    <w:rsid w:val="003E60F4"/>
    <w:rsid w:val="003F04CD"/>
    <w:rsid w:val="003F31B0"/>
    <w:rsid w:val="003F6982"/>
    <w:rsid w:val="00402FA1"/>
    <w:rsid w:val="00411A42"/>
    <w:rsid w:val="004200D0"/>
    <w:rsid w:val="00421357"/>
    <w:rsid w:val="0042340B"/>
    <w:rsid w:val="00432F2C"/>
    <w:rsid w:val="00434DF9"/>
    <w:rsid w:val="004405FE"/>
    <w:rsid w:val="0044341F"/>
    <w:rsid w:val="00443611"/>
    <w:rsid w:val="00444F81"/>
    <w:rsid w:val="00445287"/>
    <w:rsid w:val="00446CAC"/>
    <w:rsid w:val="00453F0A"/>
    <w:rsid w:val="00455B69"/>
    <w:rsid w:val="00461B47"/>
    <w:rsid w:val="004649D8"/>
    <w:rsid w:val="004657FD"/>
    <w:rsid w:val="00465B2B"/>
    <w:rsid w:val="004678AE"/>
    <w:rsid w:val="00470E7A"/>
    <w:rsid w:val="0047358F"/>
    <w:rsid w:val="004738B1"/>
    <w:rsid w:val="00474A7C"/>
    <w:rsid w:val="00476728"/>
    <w:rsid w:val="004802F9"/>
    <w:rsid w:val="00480976"/>
    <w:rsid w:val="0048553B"/>
    <w:rsid w:val="00497568"/>
    <w:rsid w:val="004A0318"/>
    <w:rsid w:val="004A1A6A"/>
    <w:rsid w:val="004A58C2"/>
    <w:rsid w:val="004A7658"/>
    <w:rsid w:val="004C26C5"/>
    <w:rsid w:val="004C4B31"/>
    <w:rsid w:val="004C639E"/>
    <w:rsid w:val="004D0995"/>
    <w:rsid w:val="004D1573"/>
    <w:rsid w:val="004D4334"/>
    <w:rsid w:val="004D7247"/>
    <w:rsid w:val="004D73F0"/>
    <w:rsid w:val="004E0254"/>
    <w:rsid w:val="004E242D"/>
    <w:rsid w:val="004E394F"/>
    <w:rsid w:val="004E55A3"/>
    <w:rsid w:val="004F1B29"/>
    <w:rsid w:val="004F3F0C"/>
    <w:rsid w:val="004F570C"/>
    <w:rsid w:val="004F638E"/>
    <w:rsid w:val="00501918"/>
    <w:rsid w:val="005038E2"/>
    <w:rsid w:val="00506131"/>
    <w:rsid w:val="0051299B"/>
    <w:rsid w:val="00512A61"/>
    <w:rsid w:val="00516DEC"/>
    <w:rsid w:val="00520FB9"/>
    <w:rsid w:val="005213AC"/>
    <w:rsid w:val="005318B4"/>
    <w:rsid w:val="00542DDC"/>
    <w:rsid w:val="00545DA2"/>
    <w:rsid w:val="00550164"/>
    <w:rsid w:val="00554FAE"/>
    <w:rsid w:val="0055567E"/>
    <w:rsid w:val="00556065"/>
    <w:rsid w:val="00561976"/>
    <w:rsid w:val="0056473D"/>
    <w:rsid w:val="00564F7F"/>
    <w:rsid w:val="0056672D"/>
    <w:rsid w:val="0056785B"/>
    <w:rsid w:val="005678F1"/>
    <w:rsid w:val="00573E10"/>
    <w:rsid w:val="00574AC1"/>
    <w:rsid w:val="00582F66"/>
    <w:rsid w:val="00584154"/>
    <w:rsid w:val="00590386"/>
    <w:rsid w:val="0059142D"/>
    <w:rsid w:val="005926DB"/>
    <w:rsid w:val="005953B5"/>
    <w:rsid w:val="00596F09"/>
    <w:rsid w:val="00596F89"/>
    <w:rsid w:val="005A16B2"/>
    <w:rsid w:val="005A33F4"/>
    <w:rsid w:val="005A3CE9"/>
    <w:rsid w:val="005A4CE7"/>
    <w:rsid w:val="005B4900"/>
    <w:rsid w:val="005B76BC"/>
    <w:rsid w:val="005B79E4"/>
    <w:rsid w:val="005C069A"/>
    <w:rsid w:val="005C5401"/>
    <w:rsid w:val="005D1653"/>
    <w:rsid w:val="005D1A33"/>
    <w:rsid w:val="005E33A8"/>
    <w:rsid w:val="005E5BA3"/>
    <w:rsid w:val="005F051A"/>
    <w:rsid w:val="005F5B77"/>
    <w:rsid w:val="005F6383"/>
    <w:rsid w:val="005F725A"/>
    <w:rsid w:val="00606B24"/>
    <w:rsid w:val="006175CD"/>
    <w:rsid w:val="00617A83"/>
    <w:rsid w:val="00623075"/>
    <w:rsid w:val="00630F3D"/>
    <w:rsid w:val="00635BC7"/>
    <w:rsid w:val="0064183E"/>
    <w:rsid w:val="00642049"/>
    <w:rsid w:val="00646047"/>
    <w:rsid w:val="00647111"/>
    <w:rsid w:val="00647703"/>
    <w:rsid w:val="00654249"/>
    <w:rsid w:val="00656BC0"/>
    <w:rsid w:val="00663FA7"/>
    <w:rsid w:val="0066740D"/>
    <w:rsid w:val="00670DD0"/>
    <w:rsid w:val="00681383"/>
    <w:rsid w:val="00690025"/>
    <w:rsid w:val="006A0506"/>
    <w:rsid w:val="006A1B03"/>
    <w:rsid w:val="006A224C"/>
    <w:rsid w:val="006A2319"/>
    <w:rsid w:val="006A4899"/>
    <w:rsid w:val="006B055D"/>
    <w:rsid w:val="006B2871"/>
    <w:rsid w:val="006B6B50"/>
    <w:rsid w:val="006C0659"/>
    <w:rsid w:val="006C081A"/>
    <w:rsid w:val="006C28A6"/>
    <w:rsid w:val="006C3356"/>
    <w:rsid w:val="006D02C9"/>
    <w:rsid w:val="006D750F"/>
    <w:rsid w:val="006E1969"/>
    <w:rsid w:val="006E32FB"/>
    <w:rsid w:val="006F16F3"/>
    <w:rsid w:val="006F20DD"/>
    <w:rsid w:val="006F4E7E"/>
    <w:rsid w:val="006F5114"/>
    <w:rsid w:val="006F70CC"/>
    <w:rsid w:val="00722616"/>
    <w:rsid w:val="00724E41"/>
    <w:rsid w:val="00725820"/>
    <w:rsid w:val="00740975"/>
    <w:rsid w:val="00753040"/>
    <w:rsid w:val="00756539"/>
    <w:rsid w:val="00756A1F"/>
    <w:rsid w:val="00767432"/>
    <w:rsid w:val="00776CC6"/>
    <w:rsid w:val="00781F77"/>
    <w:rsid w:val="0078354F"/>
    <w:rsid w:val="00785C55"/>
    <w:rsid w:val="0078779E"/>
    <w:rsid w:val="0079053A"/>
    <w:rsid w:val="00790558"/>
    <w:rsid w:val="00790F86"/>
    <w:rsid w:val="00791F82"/>
    <w:rsid w:val="007970A4"/>
    <w:rsid w:val="007A3DFF"/>
    <w:rsid w:val="007A68CF"/>
    <w:rsid w:val="007A6E41"/>
    <w:rsid w:val="007B25BD"/>
    <w:rsid w:val="007C2413"/>
    <w:rsid w:val="007C6306"/>
    <w:rsid w:val="007D2485"/>
    <w:rsid w:val="007D24EC"/>
    <w:rsid w:val="007D31C1"/>
    <w:rsid w:val="007E0C8D"/>
    <w:rsid w:val="007E3FCD"/>
    <w:rsid w:val="007E4FC0"/>
    <w:rsid w:val="007F1490"/>
    <w:rsid w:val="007F206D"/>
    <w:rsid w:val="007F6A7B"/>
    <w:rsid w:val="00800B64"/>
    <w:rsid w:val="00812912"/>
    <w:rsid w:val="008157B0"/>
    <w:rsid w:val="008218BD"/>
    <w:rsid w:val="008241B0"/>
    <w:rsid w:val="00826A05"/>
    <w:rsid w:val="00826AA2"/>
    <w:rsid w:val="0083385D"/>
    <w:rsid w:val="00836F11"/>
    <w:rsid w:val="008427AF"/>
    <w:rsid w:val="00844D86"/>
    <w:rsid w:val="00846852"/>
    <w:rsid w:val="00847521"/>
    <w:rsid w:val="008519BE"/>
    <w:rsid w:val="00854D22"/>
    <w:rsid w:val="0085780E"/>
    <w:rsid w:val="0086513B"/>
    <w:rsid w:val="00870307"/>
    <w:rsid w:val="008720C4"/>
    <w:rsid w:val="00891627"/>
    <w:rsid w:val="00892320"/>
    <w:rsid w:val="00892EE6"/>
    <w:rsid w:val="00893ED8"/>
    <w:rsid w:val="008A0B65"/>
    <w:rsid w:val="008A24B6"/>
    <w:rsid w:val="008A2A71"/>
    <w:rsid w:val="008A6744"/>
    <w:rsid w:val="008A7777"/>
    <w:rsid w:val="008B0CD5"/>
    <w:rsid w:val="008B44B8"/>
    <w:rsid w:val="008C25DD"/>
    <w:rsid w:val="008C5AAD"/>
    <w:rsid w:val="008C5D50"/>
    <w:rsid w:val="008C6DA5"/>
    <w:rsid w:val="008D1190"/>
    <w:rsid w:val="008D1F34"/>
    <w:rsid w:val="008E3209"/>
    <w:rsid w:val="008E7630"/>
    <w:rsid w:val="008E7AED"/>
    <w:rsid w:val="008F0712"/>
    <w:rsid w:val="008F1865"/>
    <w:rsid w:val="008F6002"/>
    <w:rsid w:val="008F7CE0"/>
    <w:rsid w:val="00902ED1"/>
    <w:rsid w:val="00907F4D"/>
    <w:rsid w:val="00910329"/>
    <w:rsid w:val="00911658"/>
    <w:rsid w:val="00912178"/>
    <w:rsid w:val="00912BE1"/>
    <w:rsid w:val="00913622"/>
    <w:rsid w:val="00920083"/>
    <w:rsid w:val="0092155D"/>
    <w:rsid w:val="00930CB2"/>
    <w:rsid w:val="0093138E"/>
    <w:rsid w:val="009552B7"/>
    <w:rsid w:val="00956D8D"/>
    <w:rsid w:val="00956D96"/>
    <w:rsid w:val="009601D3"/>
    <w:rsid w:val="0096715A"/>
    <w:rsid w:val="009741A2"/>
    <w:rsid w:val="00983C36"/>
    <w:rsid w:val="009863D2"/>
    <w:rsid w:val="00991153"/>
    <w:rsid w:val="00991B4F"/>
    <w:rsid w:val="0099660E"/>
    <w:rsid w:val="009A0F79"/>
    <w:rsid w:val="009A1014"/>
    <w:rsid w:val="009A1E78"/>
    <w:rsid w:val="009A2218"/>
    <w:rsid w:val="009A517A"/>
    <w:rsid w:val="009B2F21"/>
    <w:rsid w:val="009B3A5E"/>
    <w:rsid w:val="009B4CF0"/>
    <w:rsid w:val="009C0A65"/>
    <w:rsid w:val="009C10BB"/>
    <w:rsid w:val="009C1B73"/>
    <w:rsid w:val="009C6C97"/>
    <w:rsid w:val="009D0B75"/>
    <w:rsid w:val="009D5525"/>
    <w:rsid w:val="009D5EB5"/>
    <w:rsid w:val="009D6917"/>
    <w:rsid w:val="009E1D7C"/>
    <w:rsid w:val="009E3F9D"/>
    <w:rsid w:val="009E4860"/>
    <w:rsid w:val="009E51FD"/>
    <w:rsid w:val="009E7D0A"/>
    <w:rsid w:val="009F0F22"/>
    <w:rsid w:val="009F1097"/>
    <w:rsid w:val="009F37E0"/>
    <w:rsid w:val="009F5963"/>
    <w:rsid w:val="00A00A44"/>
    <w:rsid w:val="00A06948"/>
    <w:rsid w:val="00A11004"/>
    <w:rsid w:val="00A11ECE"/>
    <w:rsid w:val="00A1343A"/>
    <w:rsid w:val="00A22A1F"/>
    <w:rsid w:val="00A23627"/>
    <w:rsid w:val="00A24B1B"/>
    <w:rsid w:val="00A267BB"/>
    <w:rsid w:val="00A31A85"/>
    <w:rsid w:val="00A3670F"/>
    <w:rsid w:val="00A37CEE"/>
    <w:rsid w:val="00A4415C"/>
    <w:rsid w:val="00A520E9"/>
    <w:rsid w:val="00A521F2"/>
    <w:rsid w:val="00A55ECF"/>
    <w:rsid w:val="00A6696A"/>
    <w:rsid w:val="00A70661"/>
    <w:rsid w:val="00A71B58"/>
    <w:rsid w:val="00A7422B"/>
    <w:rsid w:val="00A74447"/>
    <w:rsid w:val="00A7490D"/>
    <w:rsid w:val="00A8078E"/>
    <w:rsid w:val="00A87A61"/>
    <w:rsid w:val="00AB0CB5"/>
    <w:rsid w:val="00AB121C"/>
    <w:rsid w:val="00AC20D3"/>
    <w:rsid w:val="00AC4D93"/>
    <w:rsid w:val="00AC580E"/>
    <w:rsid w:val="00AC67F7"/>
    <w:rsid w:val="00AD2BF5"/>
    <w:rsid w:val="00AD686E"/>
    <w:rsid w:val="00AE25A9"/>
    <w:rsid w:val="00AE3152"/>
    <w:rsid w:val="00AE319E"/>
    <w:rsid w:val="00AE72C8"/>
    <w:rsid w:val="00AE7458"/>
    <w:rsid w:val="00AE7726"/>
    <w:rsid w:val="00AF493F"/>
    <w:rsid w:val="00B01471"/>
    <w:rsid w:val="00B0286D"/>
    <w:rsid w:val="00B03F46"/>
    <w:rsid w:val="00B04A3E"/>
    <w:rsid w:val="00B0579D"/>
    <w:rsid w:val="00B1166E"/>
    <w:rsid w:val="00B11885"/>
    <w:rsid w:val="00B27BF5"/>
    <w:rsid w:val="00B33B3D"/>
    <w:rsid w:val="00B400DD"/>
    <w:rsid w:val="00B420B0"/>
    <w:rsid w:val="00B4773A"/>
    <w:rsid w:val="00B54622"/>
    <w:rsid w:val="00B639D8"/>
    <w:rsid w:val="00B67ED9"/>
    <w:rsid w:val="00B7015C"/>
    <w:rsid w:val="00B70721"/>
    <w:rsid w:val="00B81B52"/>
    <w:rsid w:val="00B833FF"/>
    <w:rsid w:val="00B85A84"/>
    <w:rsid w:val="00B905CE"/>
    <w:rsid w:val="00B9339A"/>
    <w:rsid w:val="00BB45BC"/>
    <w:rsid w:val="00BC0DE0"/>
    <w:rsid w:val="00BC290D"/>
    <w:rsid w:val="00BD105B"/>
    <w:rsid w:val="00BE1F81"/>
    <w:rsid w:val="00BE68ED"/>
    <w:rsid w:val="00BF1D07"/>
    <w:rsid w:val="00C0166C"/>
    <w:rsid w:val="00C050C8"/>
    <w:rsid w:val="00C0735F"/>
    <w:rsid w:val="00C106AC"/>
    <w:rsid w:val="00C12780"/>
    <w:rsid w:val="00C1316F"/>
    <w:rsid w:val="00C139BA"/>
    <w:rsid w:val="00C21612"/>
    <w:rsid w:val="00C40B55"/>
    <w:rsid w:val="00C429C6"/>
    <w:rsid w:val="00C43E9B"/>
    <w:rsid w:val="00C450C4"/>
    <w:rsid w:val="00C54907"/>
    <w:rsid w:val="00C56DF1"/>
    <w:rsid w:val="00C66FAE"/>
    <w:rsid w:val="00C71F6B"/>
    <w:rsid w:val="00C735CB"/>
    <w:rsid w:val="00C77770"/>
    <w:rsid w:val="00C81A91"/>
    <w:rsid w:val="00C94870"/>
    <w:rsid w:val="00CA0BF2"/>
    <w:rsid w:val="00CA133A"/>
    <w:rsid w:val="00CA1DEC"/>
    <w:rsid w:val="00CA3C7B"/>
    <w:rsid w:val="00CB631F"/>
    <w:rsid w:val="00CD0992"/>
    <w:rsid w:val="00CD2F18"/>
    <w:rsid w:val="00CD73AE"/>
    <w:rsid w:val="00CE369B"/>
    <w:rsid w:val="00CE6EC2"/>
    <w:rsid w:val="00CF398A"/>
    <w:rsid w:val="00D00780"/>
    <w:rsid w:val="00D03E29"/>
    <w:rsid w:val="00D05C0A"/>
    <w:rsid w:val="00D07389"/>
    <w:rsid w:val="00D13C69"/>
    <w:rsid w:val="00D16762"/>
    <w:rsid w:val="00D17354"/>
    <w:rsid w:val="00D20DCE"/>
    <w:rsid w:val="00D216FF"/>
    <w:rsid w:val="00D25EA4"/>
    <w:rsid w:val="00D2692D"/>
    <w:rsid w:val="00D2775A"/>
    <w:rsid w:val="00D305CF"/>
    <w:rsid w:val="00D4160A"/>
    <w:rsid w:val="00D43692"/>
    <w:rsid w:val="00D446DD"/>
    <w:rsid w:val="00D5074F"/>
    <w:rsid w:val="00D57D75"/>
    <w:rsid w:val="00D6425A"/>
    <w:rsid w:val="00D64ECB"/>
    <w:rsid w:val="00D672BD"/>
    <w:rsid w:val="00D67E1D"/>
    <w:rsid w:val="00D709A4"/>
    <w:rsid w:val="00D72517"/>
    <w:rsid w:val="00D7383E"/>
    <w:rsid w:val="00D73972"/>
    <w:rsid w:val="00D76326"/>
    <w:rsid w:val="00D77D8F"/>
    <w:rsid w:val="00D82CC4"/>
    <w:rsid w:val="00D837AC"/>
    <w:rsid w:val="00D962B2"/>
    <w:rsid w:val="00DA2745"/>
    <w:rsid w:val="00DA6F1E"/>
    <w:rsid w:val="00DB1DBD"/>
    <w:rsid w:val="00DC22E0"/>
    <w:rsid w:val="00DD0F67"/>
    <w:rsid w:val="00DD2E60"/>
    <w:rsid w:val="00DD40AE"/>
    <w:rsid w:val="00DD41A0"/>
    <w:rsid w:val="00DD5B7C"/>
    <w:rsid w:val="00DD5D20"/>
    <w:rsid w:val="00DD7F9B"/>
    <w:rsid w:val="00DE1EDD"/>
    <w:rsid w:val="00DE58B4"/>
    <w:rsid w:val="00DE7355"/>
    <w:rsid w:val="00DF00DB"/>
    <w:rsid w:val="00DF3395"/>
    <w:rsid w:val="00DF3DC7"/>
    <w:rsid w:val="00DF453F"/>
    <w:rsid w:val="00E0171E"/>
    <w:rsid w:val="00E01CFF"/>
    <w:rsid w:val="00E04AA6"/>
    <w:rsid w:val="00E07F27"/>
    <w:rsid w:val="00E113E1"/>
    <w:rsid w:val="00E17EF5"/>
    <w:rsid w:val="00E25467"/>
    <w:rsid w:val="00E35002"/>
    <w:rsid w:val="00E367D3"/>
    <w:rsid w:val="00E37378"/>
    <w:rsid w:val="00E54717"/>
    <w:rsid w:val="00E569B8"/>
    <w:rsid w:val="00E57118"/>
    <w:rsid w:val="00E57D5D"/>
    <w:rsid w:val="00E64EBC"/>
    <w:rsid w:val="00E67197"/>
    <w:rsid w:val="00E810C5"/>
    <w:rsid w:val="00E839AB"/>
    <w:rsid w:val="00E844AA"/>
    <w:rsid w:val="00E84D02"/>
    <w:rsid w:val="00E84D9D"/>
    <w:rsid w:val="00EA342B"/>
    <w:rsid w:val="00EA6DC8"/>
    <w:rsid w:val="00EB168F"/>
    <w:rsid w:val="00EB3640"/>
    <w:rsid w:val="00EB4EBC"/>
    <w:rsid w:val="00EB648A"/>
    <w:rsid w:val="00EC035A"/>
    <w:rsid w:val="00EC1340"/>
    <w:rsid w:val="00EC5BFC"/>
    <w:rsid w:val="00ED3CF4"/>
    <w:rsid w:val="00ED6EB6"/>
    <w:rsid w:val="00EE4995"/>
    <w:rsid w:val="00EF4B63"/>
    <w:rsid w:val="00F0175C"/>
    <w:rsid w:val="00F04463"/>
    <w:rsid w:val="00F11173"/>
    <w:rsid w:val="00F13128"/>
    <w:rsid w:val="00F156E2"/>
    <w:rsid w:val="00F15CA6"/>
    <w:rsid w:val="00F218DF"/>
    <w:rsid w:val="00F21DEA"/>
    <w:rsid w:val="00F23C2E"/>
    <w:rsid w:val="00F3191F"/>
    <w:rsid w:val="00F33A2F"/>
    <w:rsid w:val="00F353E0"/>
    <w:rsid w:val="00F35DF4"/>
    <w:rsid w:val="00F366C3"/>
    <w:rsid w:val="00F37DF6"/>
    <w:rsid w:val="00F4208D"/>
    <w:rsid w:val="00F4429E"/>
    <w:rsid w:val="00F44DF6"/>
    <w:rsid w:val="00F53252"/>
    <w:rsid w:val="00F56495"/>
    <w:rsid w:val="00F639C1"/>
    <w:rsid w:val="00F63B4C"/>
    <w:rsid w:val="00F700A7"/>
    <w:rsid w:val="00F70671"/>
    <w:rsid w:val="00F71095"/>
    <w:rsid w:val="00F71134"/>
    <w:rsid w:val="00F7555B"/>
    <w:rsid w:val="00FA33E8"/>
    <w:rsid w:val="00FA63A5"/>
    <w:rsid w:val="00FB0475"/>
    <w:rsid w:val="00FB145D"/>
    <w:rsid w:val="00FB67B4"/>
    <w:rsid w:val="00FB681B"/>
    <w:rsid w:val="00FC061A"/>
    <w:rsid w:val="00FC55FC"/>
    <w:rsid w:val="00FD4F55"/>
    <w:rsid w:val="00FD6771"/>
    <w:rsid w:val="00FD6FFF"/>
    <w:rsid w:val="00FD7210"/>
    <w:rsid w:val="00FD75F6"/>
    <w:rsid w:val="00FE5BE7"/>
    <w:rsid w:val="00FE5F07"/>
    <w:rsid w:val="00FF46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321D"/>
  <w15:docId w15:val="{F7968D31-23B9-443D-9E98-BF05669F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68F"/>
  </w:style>
  <w:style w:type="paragraph" w:styleId="Heading1">
    <w:name w:val="heading 1"/>
    <w:basedOn w:val="Normal"/>
    <w:next w:val="Normal"/>
    <w:link w:val="Heading1Char"/>
    <w:uiPriority w:val="9"/>
    <w:qFormat/>
    <w:rsid w:val="00EB16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B168F"/>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B168F"/>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EB168F"/>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EB168F"/>
    <w:pPr>
      <w:keepNext/>
      <w:keepLines/>
      <w:spacing w:before="40" w:after="0"/>
      <w:outlineLvl w:val="4"/>
    </w:pPr>
    <w:rPr>
      <w:color w:val="2E74B5" w:themeColor="accent1" w:themeShade="BF"/>
    </w:rPr>
  </w:style>
  <w:style w:type="paragraph" w:styleId="Heading6">
    <w:name w:val="heading 6"/>
    <w:basedOn w:val="Normal"/>
    <w:next w:val="Normal"/>
    <w:link w:val="Heading6Char"/>
    <w:uiPriority w:val="9"/>
    <w:semiHidden/>
    <w:unhideWhenUsed/>
    <w:qFormat/>
    <w:rsid w:val="00EB168F"/>
    <w:pPr>
      <w:keepNext/>
      <w:keepLines/>
      <w:spacing w:before="40" w:after="0"/>
      <w:outlineLvl w:val="5"/>
    </w:pPr>
    <w:rPr>
      <w:color w:val="1F4E79" w:themeColor="accent1" w:themeShade="80"/>
    </w:rPr>
  </w:style>
  <w:style w:type="paragraph" w:styleId="Heading7">
    <w:name w:val="heading 7"/>
    <w:basedOn w:val="Normal"/>
    <w:next w:val="Normal"/>
    <w:link w:val="Heading7Char"/>
    <w:uiPriority w:val="9"/>
    <w:semiHidden/>
    <w:unhideWhenUsed/>
    <w:qFormat/>
    <w:rsid w:val="00EB168F"/>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EB168F"/>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EB168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ADC"/>
    <w:rPr>
      <w:lang w:val="en-US"/>
    </w:rPr>
  </w:style>
  <w:style w:type="paragraph" w:styleId="NormalWeb">
    <w:name w:val="Normal (Web)"/>
    <w:basedOn w:val="Normal"/>
    <w:uiPriority w:val="99"/>
    <w:semiHidden/>
    <w:unhideWhenUsed/>
    <w:rsid w:val="000D7AD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Default">
    <w:name w:val="Default"/>
    <w:rsid w:val="000D7ADC"/>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902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ED1"/>
    <w:rPr>
      <w:lang w:val="en-US"/>
    </w:rPr>
  </w:style>
  <w:style w:type="paragraph" w:customStyle="1" w:styleId="Single">
    <w:name w:val="Single"/>
    <w:basedOn w:val="Normal"/>
    <w:uiPriority w:val="99"/>
    <w:rsid w:val="001215BA"/>
    <w:pPr>
      <w:tabs>
        <w:tab w:val="left" w:pos="567"/>
        <w:tab w:val="right" w:pos="8222"/>
      </w:tabs>
      <w:adjustRightInd w:val="0"/>
      <w:spacing w:after="480" w:line="360" w:lineRule="auto"/>
      <w:jc w:val="both"/>
      <w:textAlignment w:val="baseline"/>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165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D4A"/>
    <w:rPr>
      <w:rFonts w:ascii="Tahoma" w:hAnsi="Tahoma" w:cs="Tahoma"/>
      <w:sz w:val="16"/>
      <w:szCs w:val="16"/>
    </w:rPr>
  </w:style>
  <w:style w:type="character" w:customStyle="1" w:styleId="Heading1Char">
    <w:name w:val="Heading 1 Char"/>
    <w:basedOn w:val="DefaultParagraphFont"/>
    <w:link w:val="Heading1"/>
    <w:uiPriority w:val="9"/>
    <w:rsid w:val="00EB16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B168F"/>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B168F"/>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EB168F"/>
    <w:rPr>
      <w:i/>
      <w:iCs/>
    </w:rPr>
  </w:style>
  <w:style w:type="character" w:customStyle="1" w:styleId="Heading5Char">
    <w:name w:val="Heading 5 Char"/>
    <w:basedOn w:val="DefaultParagraphFont"/>
    <w:link w:val="Heading5"/>
    <w:uiPriority w:val="9"/>
    <w:semiHidden/>
    <w:rsid w:val="00EB168F"/>
    <w:rPr>
      <w:color w:val="2E74B5" w:themeColor="accent1" w:themeShade="BF"/>
    </w:rPr>
  </w:style>
  <w:style w:type="character" w:customStyle="1" w:styleId="Heading6Char">
    <w:name w:val="Heading 6 Char"/>
    <w:basedOn w:val="DefaultParagraphFont"/>
    <w:link w:val="Heading6"/>
    <w:uiPriority w:val="9"/>
    <w:semiHidden/>
    <w:rsid w:val="00EB168F"/>
    <w:rPr>
      <w:color w:val="1F4E79" w:themeColor="accent1" w:themeShade="80"/>
    </w:rPr>
  </w:style>
  <w:style w:type="character" w:customStyle="1" w:styleId="Heading7Char">
    <w:name w:val="Heading 7 Char"/>
    <w:basedOn w:val="DefaultParagraphFont"/>
    <w:link w:val="Heading7"/>
    <w:uiPriority w:val="9"/>
    <w:semiHidden/>
    <w:rsid w:val="00EB168F"/>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EB168F"/>
    <w:rPr>
      <w:color w:val="262626" w:themeColor="text1" w:themeTint="D9"/>
      <w:sz w:val="21"/>
      <w:szCs w:val="21"/>
    </w:rPr>
  </w:style>
  <w:style w:type="character" w:customStyle="1" w:styleId="Heading9Char">
    <w:name w:val="Heading 9 Char"/>
    <w:basedOn w:val="DefaultParagraphFont"/>
    <w:link w:val="Heading9"/>
    <w:uiPriority w:val="9"/>
    <w:semiHidden/>
    <w:rsid w:val="00EB168F"/>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B168F"/>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EB168F"/>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B168F"/>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EB168F"/>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B168F"/>
    <w:rPr>
      <w:color w:val="5A5A5A" w:themeColor="text1" w:themeTint="A5"/>
      <w:spacing w:val="15"/>
    </w:rPr>
  </w:style>
  <w:style w:type="character" w:styleId="Strong">
    <w:name w:val="Strong"/>
    <w:basedOn w:val="DefaultParagraphFont"/>
    <w:uiPriority w:val="22"/>
    <w:qFormat/>
    <w:rsid w:val="00EB168F"/>
    <w:rPr>
      <w:b/>
      <w:bCs/>
      <w:color w:val="auto"/>
    </w:rPr>
  </w:style>
  <w:style w:type="character" w:styleId="Emphasis">
    <w:name w:val="Emphasis"/>
    <w:basedOn w:val="DefaultParagraphFont"/>
    <w:uiPriority w:val="20"/>
    <w:qFormat/>
    <w:rsid w:val="00EB168F"/>
    <w:rPr>
      <w:i/>
      <w:iCs/>
      <w:color w:val="auto"/>
    </w:rPr>
  </w:style>
  <w:style w:type="paragraph" w:styleId="NoSpacing">
    <w:name w:val="No Spacing"/>
    <w:uiPriority w:val="1"/>
    <w:qFormat/>
    <w:rsid w:val="00EB168F"/>
    <w:pPr>
      <w:spacing w:after="0" w:line="240" w:lineRule="auto"/>
    </w:pPr>
  </w:style>
  <w:style w:type="paragraph" w:styleId="Quote">
    <w:name w:val="Quote"/>
    <w:basedOn w:val="Normal"/>
    <w:next w:val="Normal"/>
    <w:link w:val="QuoteChar"/>
    <w:uiPriority w:val="29"/>
    <w:qFormat/>
    <w:rsid w:val="00EB168F"/>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B168F"/>
    <w:rPr>
      <w:i/>
      <w:iCs/>
      <w:color w:val="404040" w:themeColor="text1" w:themeTint="BF"/>
    </w:rPr>
  </w:style>
  <w:style w:type="paragraph" w:styleId="IntenseQuote">
    <w:name w:val="Intense Quote"/>
    <w:basedOn w:val="Normal"/>
    <w:next w:val="Normal"/>
    <w:link w:val="IntenseQuoteChar"/>
    <w:uiPriority w:val="30"/>
    <w:qFormat/>
    <w:rsid w:val="00EB168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B168F"/>
    <w:rPr>
      <w:i/>
      <w:iCs/>
      <w:color w:val="5B9BD5" w:themeColor="accent1"/>
    </w:rPr>
  </w:style>
  <w:style w:type="character" w:styleId="SubtleEmphasis">
    <w:name w:val="Subtle Emphasis"/>
    <w:basedOn w:val="DefaultParagraphFont"/>
    <w:uiPriority w:val="19"/>
    <w:qFormat/>
    <w:rsid w:val="00EB168F"/>
    <w:rPr>
      <w:i/>
      <w:iCs/>
      <w:color w:val="404040" w:themeColor="text1" w:themeTint="BF"/>
    </w:rPr>
  </w:style>
  <w:style w:type="character" w:styleId="IntenseEmphasis">
    <w:name w:val="Intense Emphasis"/>
    <w:basedOn w:val="DefaultParagraphFont"/>
    <w:uiPriority w:val="21"/>
    <w:qFormat/>
    <w:rsid w:val="00EB168F"/>
    <w:rPr>
      <w:i/>
      <w:iCs/>
      <w:color w:val="5B9BD5" w:themeColor="accent1"/>
    </w:rPr>
  </w:style>
  <w:style w:type="character" w:styleId="SubtleReference">
    <w:name w:val="Subtle Reference"/>
    <w:basedOn w:val="DefaultParagraphFont"/>
    <w:uiPriority w:val="31"/>
    <w:qFormat/>
    <w:rsid w:val="00EB168F"/>
    <w:rPr>
      <w:smallCaps/>
      <w:color w:val="404040" w:themeColor="text1" w:themeTint="BF"/>
    </w:rPr>
  </w:style>
  <w:style w:type="character" w:styleId="IntenseReference">
    <w:name w:val="Intense Reference"/>
    <w:basedOn w:val="DefaultParagraphFont"/>
    <w:uiPriority w:val="32"/>
    <w:qFormat/>
    <w:rsid w:val="00EB168F"/>
    <w:rPr>
      <w:b/>
      <w:bCs/>
      <w:smallCaps/>
      <w:color w:val="5B9BD5" w:themeColor="accent1"/>
      <w:spacing w:val="5"/>
    </w:rPr>
  </w:style>
  <w:style w:type="character" w:styleId="BookTitle">
    <w:name w:val="Book Title"/>
    <w:basedOn w:val="DefaultParagraphFont"/>
    <w:uiPriority w:val="33"/>
    <w:qFormat/>
    <w:rsid w:val="00EB168F"/>
    <w:rPr>
      <w:b/>
      <w:bCs/>
      <w:i/>
      <w:iCs/>
      <w:spacing w:val="5"/>
    </w:rPr>
  </w:style>
  <w:style w:type="paragraph" w:styleId="TOCHeading">
    <w:name w:val="TOC Heading"/>
    <w:basedOn w:val="Heading1"/>
    <w:next w:val="Normal"/>
    <w:uiPriority w:val="39"/>
    <w:semiHidden/>
    <w:unhideWhenUsed/>
    <w:qFormat/>
    <w:rsid w:val="00EB168F"/>
    <w:pPr>
      <w:outlineLvl w:val="9"/>
    </w:pPr>
  </w:style>
  <w:style w:type="paragraph" w:styleId="Revision">
    <w:name w:val="Revision"/>
    <w:hidden/>
    <w:uiPriority w:val="99"/>
    <w:semiHidden/>
    <w:rsid w:val="00623075"/>
    <w:pPr>
      <w:spacing w:after="0" w:line="240" w:lineRule="auto"/>
    </w:pPr>
  </w:style>
  <w:style w:type="character" w:customStyle="1" w:styleId="mc">
    <w:name w:val="mc"/>
    <w:basedOn w:val="DefaultParagraphFont"/>
    <w:rsid w:val="00920083"/>
  </w:style>
  <w:style w:type="character" w:styleId="Hyperlink">
    <w:name w:val="Hyperlink"/>
    <w:basedOn w:val="DefaultParagraphFont"/>
    <w:uiPriority w:val="99"/>
    <w:unhideWhenUsed/>
    <w:rsid w:val="003831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9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6F454-EAB9-48F0-B5BE-EC71D4469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21</Pages>
  <Words>5309</Words>
  <Characters>30267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Lekhuleni James</dc:creator>
  <cp:keywords/>
  <dc:description/>
  <cp:lastModifiedBy>Mary Bruce</cp:lastModifiedBy>
  <cp:revision>7</cp:revision>
  <cp:lastPrinted>2021-05-11T08:37:00Z</cp:lastPrinted>
  <dcterms:created xsi:type="dcterms:W3CDTF">2022-10-31T07:26:00Z</dcterms:created>
  <dcterms:modified xsi:type="dcterms:W3CDTF">2022-10-31T09:07:00Z</dcterms:modified>
</cp:coreProperties>
</file>