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7ADF" w14:textId="1B8D38B2" w:rsidR="00CD14E3" w:rsidRPr="00C40087" w:rsidRDefault="00AF36E0" w:rsidP="00CD14E3">
      <w:pPr>
        <w:pStyle w:val="Header"/>
        <w:jc w:val="center"/>
        <w:rPr>
          <w:rFonts w:ascii="Arial" w:hAnsi="Arial" w:cs="Arial"/>
          <w:b/>
          <w:sz w:val="20"/>
          <w:szCs w:val="20"/>
          <w:lang w:val="en-GB"/>
        </w:rPr>
      </w:pPr>
      <w:bookmarkStart w:id="0" w:name="_GoBack"/>
      <w:bookmarkEnd w:id="0"/>
      <w:r>
        <w:rPr>
          <w:noProof/>
          <w:lang w:eastAsia="en-ZA"/>
        </w:rPr>
        <w:drawing>
          <wp:anchor distT="0" distB="0" distL="114300" distR="114300" simplePos="0" relativeHeight="251659264" behindDoc="0" locked="0" layoutInCell="1" allowOverlap="1" wp14:anchorId="0DCA3A26" wp14:editId="509281E9">
            <wp:simplePos x="0" y="0"/>
            <wp:positionH relativeFrom="column">
              <wp:posOffset>2552700</wp:posOffset>
            </wp:positionH>
            <wp:positionV relativeFrom="paragraph">
              <wp:posOffset>160655</wp:posOffset>
            </wp:positionV>
            <wp:extent cx="740410" cy="770255"/>
            <wp:effectExtent l="0" t="0" r="0" b="4445"/>
            <wp:wrapTopAndBottom/>
            <wp:docPr id="2" name="Picture 2"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770255"/>
                    </a:xfrm>
                    <a:prstGeom prst="rect">
                      <a:avLst/>
                    </a:prstGeom>
                    <a:noFill/>
                  </pic:spPr>
                </pic:pic>
              </a:graphicData>
            </a:graphic>
            <wp14:sizeRelH relativeFrom="page">
              <wp14:pctWidth>0</wp14:pctWidth>
            </wp14:sizeRelH>
            <wp14:sizeRelV relativeFrom="page">
              <wp14:pctHeight>0</wp14:pctHeight>
            </wp14:sizeRelV>
          </wp:anchor>
        </w:drawing>
      </w:r>
    </w:p>
    <w:p w14:paraId="290CAD09" w14:textId="656B13DC" w:rsidR="00AF36E0" w:rsidRPr="00161479" w:rsidRDefault="00AF36E0" w:rsidP="00AF36E0">
      <w:pPr>
        <w:pStyle w:val="Header"/>
        <w:jc w:val="center"/>
        <w:rPr>
          <w:rFonts w:ascii="Arial" w:hAnsi="Arial" w:cs="Arial"/>
          <w:b/>
          <w:sz w:val="20"/>
          <w:szCs w:val="20"/>
          <w:lang w:val="en-GB"/>
        </w:rPr>
      </w:pPr>
      <w:r>
        <w:rPr>
          <w:rFonts w:ascii="Arial" w:hAnsi="Arial" w:cs="Arial"/>
          <w:b/>
          <w:sz w:val="20"/>
          <w:szCs w:val="20"/>
          <w:lang w:val="en-GB"/>
        </w:rPr>
        <w:t>Republic of South Africa</w:t>
      </w:r>
    </w:p>
    <w:p w14:paraId="38EFABFB" w14:textId="77777777" w:rsidR="00CD14E3" w:rsidRDefault="00CD14E3" w:rsidP="00CD14E3">
      <w:pPr>
        <w:pStyle w:val="Header"/>
        <w:jc w:val="center"/>
        <w:rPr>
          <w:rFonts w:ascii="Arial" w:hAnsi="Arial" w:cs="Arial"/>
          <w:b/>
          <w:lang w:val="en-GB"/>
        </w:rPr>
      </w:pPr>
    </w:p>
    <w:p w14:paraId="5DA59678" w14:textId="58DCB512" w:rsidR="00CD14E3" w:rsidRPr="00AE0666" w:rsidRDefault="00266562" w:rsidP="00CD14E3">
      <w:pPr>
        <w:pStyle w:val="Header"/>
        <w:spacing w:line="276" w:lineRule="auto"/>
        <w:jc w:val="center"/>
        <w:rPr>
          <w:rFonts w:ascii="Arial" w:hAnsi="Arial" w:cs="Arial"/>
          <w:b/>
          <w:lang w:val="en-GB"/>
        </w:rPr>
      </w:pPr>
      <w:r w:rsidRPr="00AE0666">
        <w:rPr>
          <w:rFonts w:ascii="Arial" w:hAnsi="Arial" w:cs="Arial"/>
          <w:b/>
          <w:lang w:val="en-GB"/>
        </w:rPr>
        <w:t>IN THE HIGH COURT OF SOUTH AFRICA</w:t>
      </w:r>
    </w:p>
    <w:p w14:paraId="348A7514" w14:textId="033A53F8" w:rsidR="00CD14E3" w:rsidRPr="00AE0666" w:rsidRDefault="00266562" w:rsidP="00CD14E3">
      <w:pPr>
        <w:pStyle w:val="Header"/>
        <w:spacing w:line="276" w:lineRule="auto"/>
        <w:jc w:val="center"/>
        <w:rPr>
          <w:rFonts w:ascii="Arial" w:hAnsi="Arial" w:cs="Arial"/>
          <w:b/>
          <w:lang w:val="en-GB"/>
        </w:rPr>
      </w:pPr>
      <w:r w:rsidRPr="00AE0666">
        <w:rPr>
          <w:rFonts w:ascii="Arial" w:hAnsi="Arial" w:cs="Arial"/>
          <w:b/>
          <w:lang w:val="en-GB"/>
        </w:rPr>
        <w:t xml:space="preserve">  (WESTERN CAPE DIVISION, CAPE TOWN)</w:t>
      </w:r>
    </w:p>
    <w:p w14:paraId="3EBA40EE" w14:textId="77777777" w:rsidR="00CD14E3" w:rsidRDefault="00CD14E3" w:rsidP="00CD14E3">
      <w:pPr>
        <w:pStyle w:val="Header"/>
        <w:jc w:val="center"/>
        <w:rPr>
          <w:rFonts w:ascii="Calibri" w:hAnsi="Calibri" w:cs="Times New Roman"/>
          <w:lang w:val="en-GB"/>
        </w:rPr>
      </w:pPr>
    </w:p>
    <w:p w14:paraId="0A59BAF0" w14:textId="77777777" w:rsidR="00CD14E3" w:rsidRPr="00C40087" w:rsidRDefault="00CD14E3" w:rsidP="00CD14E3">
      <w:pPr>
        <w:tabs>
          <w:tab w:val="left" w:pos="7938"/>
        </w:tabs>
        <w:spacing w:after="0" w:line="240" w:lineRule="auto"/>
        <w:jc w:val="center"/>
        <w:rPr>
          <w:rFonts w:ascii="Arial" w:hAnsi="Arial" w:cs="Arial"/>
          <w:bCs/>
          <w:sz w:val="24"/>
          <w:szCs w:val="24"/>
        </w:rPr>
      </w:pPr>
      <w:r>
        <w:rPr>
          <w:rFonts w:ascii="Arial" w:hAnsi="Arial" w:cs="Arial"/>
          <w:b/>
          <w:sz w:val="24"/>
          <w:szCs w:val="24"/>
        </w:rPr>
        <w:t xml:space="preserve">                                                                                      </w:t>
      </w:r>
      <w:r w:rsidRPr="00C40087">
        <w:rPr>
          <w:rFonts w:ascii="Arial" w:hAnsi="Arial" w:cs="Arial"/>
          <w:bCs/>
          <w:sz w:val="24"/>
          <w:szCs w:val="24"/>
        </w:rPr>
        <w:t xml:space="preserve">Case Number: A170/2022                                         </w:t>
      </w:r>
    </w:p>
    <w:p w14:paraId="2F653FD0" w14:textId="1853B6D1" w:rsidR="00CD14E3" w:rsidRPr="00C40087" w:rsidRDefault="00CD14E3" w:rsidP="00CD14E3">
      <w:pPr>
        <w:tabs>
          <w:tab w:val="left" w:pos="7938"/>
        </w:tabs>
        <w:spacing w:after="0" w:line="240" w:lineRule="auto"/>
        <w:jc w:val="center"/>
        <w:rPr>
          <w:rFonts w:ascii="Arial" w:hAnsi="Arial" w:cs="Arial"/>
          <w:bCs/>
          <w:sz w:val="24"/>
          <w:szCs w:val="24"/>
        </w:rPr>
      </w:pPr>
    </w:p>
    <w:p w14:paraId="05F44D99" w14:textId="2A2FD9C8" w:rsidR="00565CB2" w:rsidRPr="00C40087" w:rsidRDefault="00266562" w:rsidP="00266562">
      <w:pPr>
        <w:tabs>
          <w:tab w:val="left" w:pos="7938"/>
        </w:tabs>
        <w:spacing w:after="0"/>
        <w:jc w:val="center"/>
        <w:rPr>
          <w:rFonts w:ascii="Arial" w:hAnsi="Arial" w:cs="Arial"/>
          <w:bCs/>
          <w:sz w:val="24"/>
          <w:szCs w:val="24"/>
        </w:rPr>
      </w:pPr>
      <w:r w:rsidRPr="00C40087">
        <w:rPr>
          <w:rFonts w:ascii="Arial" w:hAnsi="Arial" w:cs="Arial"/>
          <w:bCs/>
          <w:sz w:val="24"/>
          <w:szCs w:val="24"/>
        </w:rPr>
        <w:t>Before: The Hon.Mr Justice Binns-Ward</w:t>
      </w:r>
    </w:p>
    <w:p w14:paraId="5547A4AC" w14:textId="08C29F68" w:rsidR="00266562" w:rsidRPr="00C40087" w:rsidRDefault="00266562" w:rsidP="00C40087">
      <w:pPr>
        <w:tabs>
          <w:tab w:val="left" w:pos="7938"/>
        </w:tabs>
        <w:spacing w:after="0"/>
        <w:jc w:val="center"/>
        <w:rPr>
          <w:rFonts w:ascii="Arial" w:hAnsi="Arial" w:cs="Arial"/>
          <w:bCs/>
          <w:sz w:val="24"/>
          <w:szCs w:val="24"/>
        </w:rPr>
      </w:pPr>
      <w:r w:rsidRPr="00C40087">
        <w:rPr>
          <w:rFonts w:ascii="Arial" w:hAnsi="Arial" w:cs="Arial"/>
          <w:bCs/>
          <w:sz w:val="24"/>
          <w:szCs w:val="24"/>
        </w:rPr>
        <w:t>and</w:t>
      </w:r>
    </w:p>
    <w:p w14:paraId="38853DEA" w14:textId="2D6A12C7" w:rsidR="00266562" w:rsidRPr="00C40087" w:rsidRDefault="00266562" w:rsidP="00266562">
      <w:pPr>
        <w:tabs>
          <w:tab w:val="left" w:pos="7938"/>
        </w:tabs>
        <w:spacing w:after="0"/>
        <w:jc w:val="center"/>
        <w:rPr>
          <w:rFonts w:ascii="Arial" w:hAnsi="Arial" w:cs="Arial"/>
          <w:bCs/>
          <w:sz w:val="24"/>
          <w:szCs w:val="24"/>
        </w:rPr>
      </w:pPr>
      <w:r w:rsidRPr="00C40087">
        <w:rPr>
          <w:rFonts w:ascii="Arial" w:hAnsi="Arial" w:cs="Arial"/>
          <w:bCs/>
          <w:sz w:val="24"/>
          <w:szCs w:val="24"/>
        </w:rPr>
        <w:t>The Hon. Ms Acting Justice De Wet</w:t>
      </w:r>
    </w:p>
    <w:p w14:paraId="49AF6813" w14:textId="77777777" w:rsidR="00565CB2" w:rsidRPr="00C40087" w:rsidRDefault="00565CB2" w:rsidP="00C40087">
      <w:pPr>
        <w:tabs>
          <w:tab w:val="left" w:pos="7938"/>
        </w:tabs>
        <w:spacing w:after="0"/>
        <w:jc w:val="center"/>
        <w:rPr>
          <w:rFonts w:ascii="Arial" w:hAnsi="Arial" w:cs="Arial"/>
          <w:bCs/>
          <w:sz w:val="24"/>
          <w:szCs w:val="24"/>
        </w:rPr>
      </w:pPr>
    </w:p>
    <w:p w14:paraId="47CF97C7" w14:textId="4C3626FD" w:rsidR="00266562" w:rsidRPr="00C40087" w:rsidRDefault="00266562" w:rsidP="00C40087">
      <w:pPr>
        <w:tabs>
          <w:tab w:val="left" w:pos="7938"/>
        </w:tabs>
        <w:spacing w:after="0"/>
        <w:jc w:val="center"/>
        <w:rPr>
          <w:rFonts w:ascii="Arial" w:hAnsi="Arial" w:cs="Arial"/>
          <w:bCs/>
          <w:sz w:val="24"/>
          <w:szCs w:val="24"/>
        </w:rPr>
      </w:pPr>
      <w:r w:rsidRPr="00C40087">
        <w:rPr>
          <w:rFonts w:ascii="Arial" w:hAnsi="Arial" w:cs="Arial"/>
          <w:bCs/>
          <w:sz w:val="24"/>
          <w:szCs w:val="24"/>
        </w:rPr>
        <w:t>Decided on the papers</w:t>
      </w:r>
      <w:r w:rsidR="00503F9B">
        <w:rPr>
          <w:rFonts w:ascii="Arial" w:hAnsi="Arial" w:cs="Arial"/>
          <w:bCs/>
          <w:sz w:val="24"/>
          <w:szCs w:val="24"/>
        </w:rPr>
        <w:t xml:space="preserve"> without an oral hearing</w:t>
      </w:r>
    </w:p>
    <w:p w14:paraId="4EDE3AD4" w14:textId="10A8CC46" w:rsidR="00266562" w:rsidRDefault="00266562" w:rsidP="00266562">
      <w:pPr>
        <w:tabs>
          <w:tab w:val="left" w:pos="7938"/>
        </w:tabs>
        <w:spacing w:after="0" w:line="240" w:lineRule="auto"/>
        <w:jc w:val="center"/>
        <w:rPr>
          <w:rFonts w:ascii="Arial" w:hAnsi="Arial" w:cs="Arial"/>
          <w:b/>
          <w:sz w:val="24"/>
          <w:szCs w:val="24"/>
        </w:rPr>
      </w:pPr>
      <w:r w:rsidRPr="00C40087">
        <w:rPr>
          <w:rFonts w:ascii="Arial" w:hAnsi="Arial" w:cs="Arial"/>
          <w:bCs/>
          <w:sz w:val="24"/>
          <w:szCs w:val="24"/>
        </w:rPr>
        <w:t xml:space="preserve">Date of Judgment: </w:t>
      </w:r>
      <w:r w:rsidR="00BC6DAC">
        <w:rPr>
          <w:rFonts w:ascii="Arial" w:hAnsi="Arial" w:cs="Arial"/>
          <w:bCs/>
          <w:sz w:val="24"/>
          <w:szCs w:val="24"/>
        </w:rPr>
        <w:t>16</w:t>
      </w:r>
      <w:r w:rsidRPr="00C40087">
        <w:rPr>
          <w:rFonts w:ascii="Arial" w:hAnsi="Arial" w:cs="Arial"/>
          <w:bCs/>
          <w:sz w:val="24"/>
          <w:szCs w:val="24"/>
        </w:rPr>
        <w:t xml:space="preserve"> November 2022</w:t>
      </w:r>
    </w:p>
    <w:p w14:paraId="25453628" w14:textId="77777777" w:rsidR="00266562" w:rsidRPr="0011453F" w:rsidRDefault="00266562" w:rsidP="00266562">
      <w:pPr>
        <w:tabs>
          <w:tab w:val="left" w:pos="7938"/>
        </w:tabs>
        <w:spacing w:after="0" w:line="240" w:lineRule="auto"/>
        <w:jc w:val="center"/>
        <w:rPr>
          <w:rFonts w:ascii="Arial" w:hAnsi="Arial" w:cs="Arial"/>
          <w:b/>
          <w:sz w:val="24"/>
          <w:szCs w:val="24"/>
        </w:rPr>
      </w:pPr>
    </w:p>
    <w:p w14:paraId="5A4DD1FF" w14:textId="77777777" w:rsidR="00CD14E3" w:rsidRDefault="00CD14E3" w:rsidP="00CD14E3">
      <w:pPr>
        <w:tabs>
          <w:tab w:val="left" w:pos="7938"/>
        </w:tabs>
        <w:spacing w:after="0"/>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14:paraId="767E0FC1" w14:textId="77777777" w:rsidR="00CD14E3" w:rsidRDefault="00CD14E3" w:rsidP="00CD14E3">
      <w:pPr>
        <w:tabs>
          <w:tab w:val="left" w:pos="7938"/>
        </w:tabs>
        <w:jc w:val="center"/>
        <w:rPr>
          <w:rFonts w:ascii="Arial" w:hAnsi="Arial" w:cs="Arial"/>
          <w:b/>
          <w:sz w:val="24"/>
          <w:szCs w:val="24"/>
        </w:rPr>
      </w:pPr>
    </w:p>
    <w:p w14:paraId="5D2F636F" w14:textId="198185DB" w:rsidR="00CD14E3" w:rsidRDefault="00CD14E3" w:rsidP="0069428D">
      <w:pPr>
        <w:jc w:val="both"/>
        <w:rPr>
          <w:rFonts w:ascii="Arial" w:hAnsi="Arial" w:cs="Arial"/>
          <w:sz w:val="24"/>
          <w:szCs w:val="24"/>
        </w:rPr>
      </w:pPr>
      <w:r>
        <w:rPr>
          <w:rFonts w:ascii="Arial" w:hAnsi="Arial" w:cs="Arial"/>
          <w:b/>
          <w:sz w:val="24"/>
          <w:szCs w:val="24"/>
        </w:rPr>
        <w:t>KEVIN BAXTER</w:t>
      </w:r>
      <w:r w:rsidR="00266562">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sidR="0069428D">
        <w:rPr>
          <w:rFonts w:ascii="Arial" w:hAnsi="Arial" w:cs="Arial"/>
          <w:sz w:val="24"/>
          <w:szCs w:val="24"/>
        </w:rPr>
        <w:tab/>
      </w:r>
      <w:r>
        <w:rPr>
          <w:rFonts w:ascii="Arial" w:hAnsi="Arial" w:cs="Arial"/>
          <w:sz w:val="24"/>
          <w:szCs w:val="24"/>
        </w:rPr>
        <w:t>Appellant</w:t>
      </w:r>
    </w:p>
    <w:p w14:paraId="7E069122" w14:textId="59106427" w:rsidR="00CD14E3" w:rsidRDefault="00CD14E3" w:rsidP="00CD14E3">
      <w:pPr>
        <w:tabs>
          <w:tab w:val="left" w:pos="7938"/>
        </w:tabs>
        <w:rPr>
          <w:rFonts w:ascii="Arial" w:hAnsi="Arial" w:cs="Arial"/>
          <w:sz w:val="24"/>
          <w:szCs w:val="24"/>
        </w:rPr>
      </w:pPr>
      <w:r>
        <w:rPr>
          <w:rFonts w:ascii="Arial" w:hAnsi="Arial" w:cs="Arial"/>
          <w:sz w:val="24"/>
          <w:szCs w:val="24"/>
        </w:rPr>
        <w:t>a</w:t>
      </w:r>
      <w:r w:rsidRPr="00CD14E3">
        <w:rPr>
          <w:rFonts w:ascii="Arial" w:hAnsi="Arial" w:cs="Arial"/>
          <w:sz w:val="24"/>
          <w:szCs w:val="24"/>
        </w:rPr>
        <w:t xml:space="preserve">nd </w:t>
      </w:r>
    </w:p>
    <w:p w14:paraId="5CFAB033" w14:textId="5DC8B85B" w:rsidR="00CD14E3" w:rsidRDefault="00CD14E3" w:rsidP="00CD14E3">
      <w:pPr>
        <w:tabs>
          <w:tab w:val="left" w:pos="7938"/>
        </w:tabs>
        <w:rPr>
          <w:rFonts w:ascii="Arial" w:hAnsi="Arial" w:cs="Arial"/>
          <w:sz w:val="24"/>
          <w:szCs w:val="24"/>
        </w:rPr>
      </w:pPr>
      <w:r>
        <w:rPr>
          <w:rFonts w:ascii="Arial" w:hAnsi="Arial" w:cs="Arial"/>
          <w:b/>
          <w:sz w:val="24"/>
          <w:szCs w:val="24"/>
        </w:rPr>
        <w:t>OCEAN VIEW BODY CORPORATE</w:t>
      </w:r>
      <w:r w:rsidR="00565CB2">
        <w:rPr>
          <w:rFonts w:ascii="Arial" w:hAnsi="Arial" w:cs="Arial"/>
          <w:sz w:val="24"/>
          <w:szCs w:val="24"/>
        </w:rPr>
        <w:t xml:space="preserve">                                                </w:t>
      </w:r>
      <w:r>
        <w:rPr>
          <w:rFonts w:ascii="Arial" w:hAnsi="Arial" w:cs="Arial"/>
          <w:sz w:val="24"/>
          <w:szCs w:val="24"/>
        </w:rPr>
        <w:t>First Respondent</w:t>
      </w:r>
    </w:p>
    <w:p w14:paraId="18466F45" w14:textId="74832970" w:rsidR="00CD14E3" w:rsidRDefault="00CD14E3" w:rsidP="00CD14E3">
      <w:pPr>
        <w:tabs>
          <w:tab w:val="left" w:pos="7938"/>
        </w:tabs>
        <w:rPr>
          <w:rFonts w:ascii="Arial" w:hAnsi="Arial" w:cs="Arial"/>
          <w:sz w:val="24"/>
          <w:szCs w:val="24"/>
        </w:rPr>
      </w:pPr>
      <w:r>
        <w:rPr>
          <w:rFonts w:ascii="Arial" w:hAnsi="Arial" w:cs="Arial"/>
          <w:b/>
          <w:sz w:val="24"/>
          <w:szCs w:val="24"/>
        </w:rPr>
        <w:t xml:space="preserve">COMMUNITY SCHEMES OMBUD SERVICES                  </w:t>
      </w:r>
      <w:r w:rsidR="00565CB2">
        <w:rPr>
          <w:rFonts w:ascii="Arial" w:hAnsi="Arial" w:cs="Arial"/>
          <w:b/>
          <w:sz w:val="24"/>
          <w:szCs w:val="24"/>
        </w:rPr>
        <w:t xml:space="preserve">         </w:t>
      </w:r>
      <w:r>
        <w:rPr>
          <w:rFonts w:ascii="Arial" w:hAnsi="Arial" w:cs="Arial"/>
          <w:sz w:val="24"/>
          <w:szCs w:val="24"/>
        </w:rPr>
        <w:t>Second Respondent</w:t>
      </w:r>
    </w:p>
    <w:p w14:paraId="61275C44" w14:textId="6EC58EF3" w:rsidR="00CD14E3" w:rsidRPr="00CD14E3" w:rsidRDefault="00CD14E3" w:rsidP="00CD14E3">
      <w:pPr>
        <w:tabs>
          <w:tab w:val="left" w:pos="7938"/>
        </w:tabs>
        <w:jc w:val="both"/>
        <w:rPr>
          <w:rFonts w:ascii="Arial" w:hAnsi="Arial" w:cs="Arial"/>
          <w:sz w:val="24"/>
          <w:szCs w:val="24"/>
        </w:rPr>
      </w:pPr>
      <w:r>
        <w:rPr>
          <w:rFonts w:ascii="Arial" w:hAnsi="Arial" w:cs="Arial"/>
          <w:b/>
          <w:sz w:val="24"/>
          <w:szCs w:val="24"/>
        </w:rPr>
        <w:t xml:space="preserve">N FOCA N.O.                                                                       </w:t>
      </w:r>
      <w:r w:rsidR="00565CB2">
        <w:rPr>
          <w:rFonts w:ascii="Arial" w:hAnsi="Arial" w:cs="Arial"/>
          <w:b/>
          <w:sz w:val="24"/>
          <w:szCs w:val="24"/>
        </w:rPr>
        <w:t xml:space="preserve">             </w:t>
      </w:r>
      <w:r>
        <w:rPr>
          <w:rFonts w:ascii="Arial" w:hAnsi="Arial" w:cs="Arial"/>
          <w:sz w:val="24"/>
          <w:szCs w:val="24"/>
        </w:rPr>
        <w:t>Third Respondent</w:t>
      </w:r>
    </w:p>
    <w:p w14:paraId="047E431F" w14:textId="77777777" w:rsidR="00CD14E3" w:rsidRDefault="00CD14E3" w:rsidP="00CD14E3">
      <w:pPr>
        <w:pBdr>
          <w:bottom w:val="single" w:sz="12" w:space="1" w:color="auto"/>
        </w:pBdr>
        <w:spacing w:after="0" w:line="276" w:lineRule="auto"/>
        <w:jc w:val="both"/>
        <w:rPr>
          <w:rFonts w:ascii="Arial" w:hAnsi="Arial" w:cs="Arial"/>
          <w:sz w:val="24"/>
          <w:szCs w:val="24"/>
        </w:rPr>
      </w:pPr>
    </w:p>
    <w:p w14:paraId="7AE19E47" w14:textId="77777777" w:rsidR="00CD14E3" w:rsidRDefault="00CD14E3" w:rsidP="00CD14E3">
      <w:pPr>
        <w:spacing w:after="0"/>
        <w:ind w:left="720" w:firstLine="720"/>
        <w:rPr>
          <w:rFonts w:ascii="Arial" w:hAnsi="Arial" w:cs="Arial"/>
          <w:b/>
          <w:sz w:val="24"/>
          <w:szCs w:val="24"/>
        </w:rPr>
      </w:pPr>
      <w:r>
        <w:rPr>
          <w:rFonts w:ascii="Arial" w:hAnsi="Arial" w:cs="Arial"/>
          <w:b/>
          <w:sz w:val="24"/>
          <w:szCs w:val="24"/>
        </w:rPr>
        <w:t xml:space="preserve">                           </w:t>
      </w:r>
    </w:p>
    <w:p w14:paraId="3C81F577" w14:textId="0BAED723" w:rsidR="00CD14E3" w:rsidRDefault="00CD14E3" w:rsidP="00CD14E3">
      <w:pPr>
        <w:spacing w:after="0"/>
        <w:jc w:val="center"/>
        <w:rPr>
          <w:rFonts w:ascii="Arial" w:hAnsi="Arial" w:cs="Arial"/>
          <w:b/>
          <w:sz w:val="24"/>
          <w:szCs w:val="24"/>
        </w:rPr>
      </w:pPr>
      <w:r>
        <w:rPr>
          <w:rFonts w:ascii="Arial" w:hAnsi="Arial" w:cs="Arial"/>
          <w:b/>
          <w:sz w:val="24"/>
          <w:szCs w:val="24"/>
        </w:rPr>
        <w:t xml:space="preserve">JUDGMENT </w:t>
      </w:r>
    </w:p>
    <w:p w14:paraId="60B2B0D1" w14:textId="77777777" w:rsidR="00CD14E3" w:rsidRDefault="00CD14E3" w:rsidP="00CD14E3">
      <w:pPr>
        <w:pBdr>
          <w:bottom w:val="single" w:sz="12" w:space="1" w:color="auto"/>
        </w:pBdr>
        <w:spacing w:after="0"/>
        <w:jc w:val="both"/>
        <w:rPr>
          <w:rFonts w:ascii="Arial" w:hAnsi="Arial" w:cs="Arial"/>
          <w:sz w:val="18"/>
          <w:szCs w:val="18"/>
        </w:rPr>
      </w:pPr>
    </w:p>
    <w:p w14:paraId="423632EB" w14:textId="77777777" w:rsidR="00CD14E3" w:rsidRPr="003C308E" w:rsidRDefault="00CD14E3" w:rsidP="003C308E">
      <w:pPr>
        <w:spacing w:after="0" w:line="480" w:lineRule="auto"/>
        <w:jc w:val="both"/>
        <w:rPr>
          <w:rFonts w:ascii="Arial" w:eastAsia="Times New Roman" w:hAnsi="Arial" w:cs="Arial"/>
          <w:sz w:val="24"/>
          <w:szCs w:val="24"/>
        </w:rPr>
      </w:pPr>
    </w:p>
    <w:p w14:paraId="344C37EA" w14:textId="4D800DB7" w:rsidR="00CD14E3" w:rsidRPr="003C308E" w:rsidRDefault="00565CB2" w:rsidP="003C308E">
      <w:pPr>
        <w:spacing w:line="480" w:lineRule="auto"/>
        <w:jc w:val="both"/>
        <w:rPr>
          <w:rFonts w:ascii="Arial" w:hAnsi="Arial" w:cs="Arial"/>
          <w:b/>
          <w:sz w:val="24"/>
          <w:szCs w:val="24"/>
        </w:rPr>
      </w:pPr>
      <w:r>
        <w:rPr>
          <w:rFonts w:ascii="Arial" w:hAnsi="Arial" w:cs="Arial"/>
          <w:b/>
          <w:sz w:val="24"/>
          <w:szCs w:val="24"/>
        </w:rPr>
        <w:t xml:space="preserve">BINNS-WARD J and </w:t>
      </w:r>
      <w:r w:rsidR="00CD14E3" w:rsidRPr="003C308E">
        <w:rPr>
          <w:rFonts w:ascii="Arial" w:hAnsi="Arial" w:cs="Arial"/>
          <w:b/>
          <w:sz w:val="24"/>
          <w:szCs w:val="24"/>
        </w:rPr>
        <w:t>DE WET AJ</w:t>
      </w:r>
      <w:r>
        <w:rPr>
          <w:rFonts w:ascii="Arial" w:hAnsi="Arial" w:cs="Arial"/>
          <w:b/>
          <w:sz w:val="24"/>
          <w:szCs w:val="24"/>
        </w:rPr>
        <w:t>:</w:t>
      </w:r>
    </w:p>
    <w:p w14:paraId="6B09DDFA" w14:textId="34F4943C" w:rsidR="00D7047A" w:rsidRPr="00435D62" w:rsidRDefault="00435D62" w:rsidP="00435D62">
      <w:pPr>
        <w:rPr>
          <w:rFonts w:ascii="Arial" w:hAnsi="Arial" w:cs="Arial"/>
          <w:szCs w:val="24"/>
        </w:rPr>
      </w:pPr>
      <w:r w:rsidRPr="00FE5797">
        <w:rPr>
          <w:rFonts w:ascii="Arial" w:hAnsi="Arial" w:cs="Arial"/>
          <w:iCs/>
          <w:sz w:val="24"/>
          <w:szCs w:val="24"/>
        </w:rPr>
        <w:t>[1]</w:t>
      </w:r>
      <w:r w:rsidRPr="00FE5797">
        <w:rPr>
          <w:rFonts w:ascii="Arial" w:hAnsi="Arial" w:cs="Arial"/>
          <w:iCs/>
          <w:sz w:val="24"/>
          <w:szCs w:val="24"/>
        </w:rPr>
        <w:tab/>
      </w:r>
      <w:r w:rsidR="00F47922" w:rsidRPr="00435D62">
        <w:rPr>
          <w:rFonts w:ascii="Arial" w:hAnsi="Arial" w:cs="Arial"/>
          <w:szCs w:val="24"/>
        </w:rPr>
        <w:t>This is an appeal in terms of s</w:t>
      </w:r>
      <w:r w:rsidR="00FB4DF0" w:rsidRPr="00435D62">
        <w:rPr>
          <w:rFonts w:ascii="Arial" w:hAnsi="Arial" w:cs="Arial"/>
          <w:szCs w:val="24"/>
        </w:rPr>
        <w:t xml:space="preserve"> </w:t>
      </w:r>
      <w:r w:rsidR="00F47922" w:rsidRPr="00435D62">
        <w:rPr>
          <w:rFonts w:ascii="Arial" w:hAnsi="Arial" w:cs="Arial"/>
          <w:szCs w:val="24"/>
        </w:rPr>
        <w:t>57</w:t>
      </w:r>
      <w:r w:rsidR="00FB4DF0" w:rsidRPr="00435D62">
        <w:rPr>
          <w:rFonts w:ascii="Arial" w:hAnsi="Arial" w:cs="Arial"/>
          <w:szCs w:val="24"/>
        </w:rPr>
        <w:t>(</w:t>
      </w:r>
      <w:r w:rsidR="00CC5B78" w:rsidRPr="00435D62">
        <w:rPr>
          <w:rFonts w:ascii="Arial" w:hAnsi="Arial" w:cs="Arial"/>
          <w:szCs w:val="24"/>
        </w:rPr>
        <w:t>1)</w:t>
      </w:r>
      <w:r w:rsidR="00FB4DF0">
        <w:rPr>
          <w:rStyle w:val="FootnoteReference"/>
          <w:rFonts w:ascii="Arial" w:hAnsi="Arial" w:cs="Arial"/>
          <w:szCs w:val="24"/>
        </w:rPr>
        <w:footnoteReference w:id="1"/>
      </w:r>
      <w:r w:rsidR="00F47922" w:rsidRPr="00435D62">
        <w:rPr>
          <w:rFonts w:ascii="Arial" w:hAnsi="Arial" w:cs="Arial"/>
          <w:szCs w:val="24"/>
        </w:rPr>
        <w:t xml:space="preserve"> of the Community Schemes Ombud Service Act 9 of 2011 (‘the CSOS Act’) </w:t>
      </w:r>
      <w:r w:rsidR="005629FD" w:rsidRPr="00435D62">
        <w:rPr>
          <w:rFonts w:ascii="Arial" w:hAnsi="Arial" w:cs="Arial"/>
          <w:szCs w:val="24"/>
        </w:rPr>
        <w:t>wherein the appellant</w:t>
      </w:r>
      <w:r w:rsidR="002A7206" w:rsidRPr="00435D62">
        <w:rPr>
          <w:rFonts w:ascii="Arial" w:hAnsi="Arial" w:cs="Arial"/>
          <w:szCs w:val="24"/>
        </w:rPr>
        <w:t>, who is the owner of a unit in a</w:t>
      </w:r>
      <w:r w:rsidR="00FE5797" w:rsidRPr="00435D62">
        <w:rPr>
          <w:rFonts w:ascii="Arial" w:hAnsi="Arial" w:cs="Arial"/>
          <w:szCs w:val="24"/>
        </w:rPr>
        <w:t xml:space="preserve"> </w:t>
      </w:r>
      <w:r w:rsidR="002A7206" w:rsidRPr="00435D62">
        <w:rPr>
          <w:rFonts w:ascii="Arial" w:hAnsi="Arial" w:cs="Arial"/>
          <w:szCs w:val="24"/>
        </w:rPr>
        <w:t>sectional title</w:t>
      </w:r>
      <w:r w:rsidR="00F923C7" w:rsidRPr="00435D62">
        <w:rPr>
          <w:rFonts w:ascii="Arial" w:hAnsi="Arial" w:cs="Arial"/>
          <w:szCs w:val="24"/>
        </w:rPr>
        <w:t>s</w:t>
      </w:r>
      <w:r w:rsidR="002A7206" w:rsidRPr="00435D62">
        <w:rPr>
          <w:rFonts w:ascii="Arial" w:hAnsi="Arial" w:cs="Arial"/>
          <w:szCs w:val="24"/>
        </w:rPr>
        <w:t xml:space="preserve"> </w:t>
      </w:r>
      <w:r w:rsidR="00F923C7" w:rsidRPr="00435D62">
        <w:rPr>
          <w:rFonts w:ascii="Arial" w:hAnsi="Arial" w:cs="Arial"/>
          <w:szCs w:val="24"/>
        </w:rPr>
        <w:lastRenderedPageBreak/>
        <w:t xml:space="preserve">development </w:t>
      </w:r>
      <w:r w:rsidR="002A7206" w:rsidRPr="00435D62">
        <w:rPr>
          <w:rFonts w:ascii="Arial" w:hAnsi="Arial" w:cs="Arial"/>
          <w:szCs w:val="24"/>
        </w:rPr>
        <w:t>scheme,</w:t>
      </w:r>
      <w:r w:rsidR="005629FD" w:rsidRPr="00435D62">
        <w:rPr>
          <w:rFonts w:ascii="Arial" w:hAnsi="Arial" w:cs="Arial"/>
          <w:szCs w:val="24"/>
        </w:rPr>
        <w:t xml:space="preserve"> </w:t>
      </w:r>
      <w:r w:rsidR="00FF562C" w:rsidRPr="00435D62">
        <w:rPr>
          <w:rFonts w:ascii="Arial" w:hAnsi="Arial" w:cs="Arial"/>
          <w:szCs w:val="24"/>
        </w:rPr>
        <w:t xml:space="preserve">seeks </w:t>
      </w:r>
      <w:r w:rsidR="005629FD" w:rsidRPr="00435D62">
        <w:rPr>
          <w:rFonts w:ascii="Arial" w:hAnsi="Arial" w:cs="Arial"/>
          <w:szCs w:val="24"/>
        </w:rPr>
        <w:t>order</w:t>
      </w:r>
      <w:r w:rsidR="00FF562C" w:rsidRPr="00435D62">
        <w:rPr>
          <w:rFonts w:ascii="Arial" w:hAnsi="Arial" w:cs="Arial"/>
          <w:szCs w:val="24"/>
        </w:rPr>
        <w:t>s</w:t>
      </w:r>
      <w:r w:rsidR="005629FD" w:rsidRPr="00435D62">
        <w:rPr>
          <w:rFonts w:ascii="Arial" w:hAnsi="Arial" w:cs="Arial"/>
          <w:szCs w:val="24"/>
        </w:rPr>
        <w:t xml:space="preserve"> </w:t>
      </w:r>
      <w:r w:rsidR="00F923C7" w:rsidRPr="00435D62">
        <w:rPr>
          <w:rFonts w:ascii="Arial" w:hAnsi="Arial" w:cs="Arial"/>
          <w:szCs w:val="24"/>
        </w:rPr>
        <w:t>(i) </w:t>
      </w:r>
      <w:r w:rsidR="00FF562C" w:rsidRPr="00435D62">
        <w:rPr>
          <w:rFonts w:ascii="Arial" w:hAnsi="Arial" w:cs="Arial"/>
          <w:szCs w:val="24"/>
        </w:rPr>
        <w:t xml:space="preserve">setting aside </w:t>
      </w:r>
      <w:r w:rsidR="005629FD" w:rsidRPr="00435D62">
        <w:rPr>
          <w:rFonts w:ascii="Arial" w:hAnsi="Arial" w:cs="Arial"/>
          <w:szCs w:val="24"/>
        </w:rPr>
        <w:t xml:space="preserve">the </w:t>
      </w:r>
      <w:r w:rsidR="00F47922" w:rsidRPr="00435D62">
        <w:rPr>
          <w:rFonts w:ascii="Arial" w:hAnsi="Arial" w:cs="Arial"/>
          <w:szCs w:val="24"/>
        </w:rPr>
        <w:t>decision of the third respondent</w:t>
      </w:r>
      <w:r w:rsidR="002A7206" w:rsidRPr="00435D62">
        <w:rPr>
          <w:rFonts w:ascii="Arial" w:hAnsi="Arial" w:cs="Arial"/>
          <w:szCs w:val="24"/>
        </w:rPr>
        <w:t>, the Adjudicator,</w:t>
      </w:r>
      <w:r w:rsidR="00F47922" w:rsidRPr="00435D62">
        <w:rPr>
          <w:rFonts w:ascii="Arial" w:hAnsi="Arial" w:cs="Arial"/>
          <w:szCs w:val="24"/>
        </w:rPr>
        <w:t xml:space="preserve"> dated 13 June 2022</w:t>
      </w:r>
      <w:r w:rsidR="00503F9B" w:rsidRPr="00435D62">
        <w:rPr>
          <w:rFonts w:ascii="Arial" w:hAnsi="Arial" w:cs="Arial"/>
          <w:szCs w:val="24"/>
        </w:rPr>
        <w:t>,</w:t>
      </w:r>
      <w:r w:rsidR="005629FD" w:rsidRPr="00435D62">
        <w:rPr>
          <w:rFonts w:ascii="Arial" w:hAnsi="Arial" w:cs="Arial"/>
          <w:szCs w:val="24"/>
        </w:rPr>
        <w:t xml:space="preserve"> </w:t>
      </w:r>
      <w:r w:rsidR="00FF562C" w:rsidRPr="00435D62">
        <w:rPr>
          <w:rFonts w:ascii="Arial" w:hAnsi="Arial" w:cs="Arial"/>
          <w:szCs w:val="24"/>
        </w:rPr>
        <w:t>that upheld the Body Corporate’s decision to levy a contributi</w:t>
      </w:r>
      <w:r w:rsidR="00E61482" w:rsidRPr="00435D62">
        <w:rPr>
          <w:rFonts w:ascii="Arial" w:hAnsi="Arial" w:cs="Arial"/>
          <w:szCs w:val="24"/>
        </w:rPr>
        <w:t>on computed at R23.00 per square metre</w:t>
      </w:r>
      <w:r w:rsidR="00FF562C" w:rsidRPr="00435D62">
        <w:rPr>
          <w:rFonts w:ascii="Arial" w:hAnsi="Arial" w:cs="Arial"/>
          <w:szCs w:val="24"/>
        </w:rPr>
        <w:t xml:space="preserve"> </w:t>
      </w:r>
      <w:r w:rsidR="005629FD" w:rsidRPr="00435D62">
        <w:rPr>
          <w:rFonts w:ascii="Arial" w:hAnsi="Arial" w:cs="Arial"/>
          <w:szCs w:val="24"/>
        </w:rPr>
        <w:t xml:space="preserve">on </w:t>
      </w:r>
      <w:r w:rsidR="00503F9B" w:rsidRPr="00435D62">
        <w:rPr>
          <w:rFonts w:ascii="Arial" w:hAnsi="Arial" w:cs="Arial"/>
          <w:szCs w:val="24"/>
        </w:rPr>
        <w:t xml:space="preserve">the </w:t>
      </w:r>
      <w:r w:rsidR="0093230E" w:rsidRPr="00435D62">
        <w:rPr>
          <w:rFonts w:ascii="Arial" w:hAnsi="Arial" w:cs="Arial"/>
          <w:szCs w:val="24"/>
        </w:rPr>
        <w:t xml:space="preserve">unit owners’ </w:t>
      </w:r>
      <w:r w:rsidR="005629FD" w:rsidRPr="00435D62">
        <w:rPr>
          <w:rFonts w:ascii="Arial" w:hAnsi="Arial" w:cs="Arial"/>
          <w:szCs w:val="24"/>
        </w:rPr>
        <w:t xml:space="preserve">exclusive use balcony </w:t>
      </w:r>
      <w:r w:rsidR="0093230E" w:rsidRPr="00435D62">
        <w:rPr>
          <w:rFonts w:ascii="Arial" w:hAnsi="Arial" w:cs="Arial"/>
          <w:szCs w:val="24"/>
        </w:rPr>
        <w:t>areas</w:t>
      </w:r>
      <w:r w:rsidR="00E61482" w:rsidRPr="00435D62">
        <w:rPr>
          <w:rFonts w:ascii="Arial" w:hAnsi="Arial" w:cs="Arial"/>
          <w:szCs w:val="24"/>
        </w:rPr>
        <w:t>,</w:t>
      </w:r>
      <w:r w:rsidR="0093230E" w:rsidRPr="00435D62">
        <w:rPr>
          <w:rFonts w:ascii="Arial" w:hAnsi="Arial" w:cs="Arial"/>
          <w:szCs w:val="24"/>
        </w:rPr>
        <w:t xml:space="preserve"> </w:t>
      </w:r>
      <w:r w:rsidR="00F923C7" w:rsidRPr="00435D62">
        <w:rPr>
          <w:rFonts w:ascii="Arial" w:hAnsi="Arial" w:cs="Arial"/>
          <w:szCs w:val="24"/>
        </w:rPr>
        <w:t>(ii) </w:t>
      </w:r>
      <w:r w:rsidR="0093230E" w:rsidRPr="00435D62">
        <w:rPr>
          <w:rFonts w:ascii="Arial" w:hAnsi="Arial" w:cs="Arial"/>
          <w:szCs w:val="24"/>
        </w:rPr>
        <w:t xml:space="preserve">reinstating the previously levied contribution </w:t>
      </w:r>
      <w:r w:rsidR="005629FD" w:rsidRPr="00435D62">
        <w:rPr>
          <w:rFonts w:ascii="Arial" w:hAnsi="Arial" w:cs="Arial"/>
          <w:szCs w:val="24"/>
        </w:rPr>
        <w:t xml:space="preserve">of R3.00 per </w:t>
      </w:r>
      <w:r w:rsidR="00E61482" w:rsidRPr="00435D62">
        <w:rPr>
          <w:rFonts w:ascii="Arial" w:hAnsi="Arial" w:cs="Arial"/>
          <w:szCs w:val="24"/>
        </w:rPr>
        <w:t>square metre</w:t>
      </w:r>
      <w:r w:rsidR="005629FD" w:rsidRPr="00435D62">
        <w:rPr>
          <w:rFonts w:ascii="Arial" w:hAnsi="Arial" w:cs="Arial"/>
          <w:szCs w:val="24"/>
        </w:rPr>
        <w:t xml:space="preserve"> and </w:t>
      </w:r>
      <w:r w:rsidR="00F923C7" w:rsidRPr="00435D62">
        <w:rPr>
          <w:rFonts w:ascii="Arial" w:hAnsi="Arial" w:cs="Arial"/>
          <w:szCs w:val="24"/>
        </w:rPr>
        <w:t>(iii) </w:t>
      </w:r>
      <w:r w:rsidR="0093230E" w:rsidRPr="00435D62">
        <w:rPr>
          <w:rFonts w:ascii="Arial" w:hAnsi="Arial" w:cs="Arial"/>
          <w:szCs w:val="24"/>
        </w:rPr>
        <w:t xml:space="preserve">directing </w:t>
      </w:r>
      <w:r w:rsidR="005629FD" w:rsidRPr="00435D62">
        <w:rPr>
          <w:rFonts w:ascii="Arial" w:hAnsi="Arial" w:cs="Arial"/>
          <w:szCs w:val="24"/>
        </w:rPr>
        <w:t xml:space="preserve">that all amounts debited in excess of </w:t>
      </w:r>
      <w:r w:rsidR="0093230E" w:rsidRPr="00435D62">
        <w:rPr>
          <w:rFonts w:ascii="Arial" w:hAnsi="Arial" w:cs="Arial"/>
          <w:szCs w:val="24"/>
        </w:rPr>
        <w:t xml:space="preserve">the latter </w:t>
      </w:r>
      <w:r w:rsidR="005629FD" w:rsidRPr="00435D62">
        <w:rPr>
          <w:rFonts w:ascii="Arial" w:hAnsi="Arial" w:cs="Arial"/>
          <w:szCs w:val="24"/>
        </w:rPr>
        <w:t xml:space="preserve">amount be credited to the appellant’s account. </w:t>
      </w:r>
      <w:r w:rsidR="00D7047A" w:rsidRPr="00435D62">
        <w:rPr>
          <w:rFonts w:ascii="Arial" w:hAnsi="Arial" w:cs="Arial"/>
          <w:szCs w:val="24"/>
        </w:rPr>
        <w:t xml:space="preserve">The first respondent is the </w:t>
      </w:r>
      <w:r w:rsidR="00F923C7" w:rsidRPr="00435D62">
        <w:rPr>
          <w:rFonts w:ascii="Arial" w:hAnsi="Arial" w:cs="Arial"/>
          <w:szCs w:val="24"/>
        </w:rPr>
        <w:t xml:space="preserve">Body Corporate </w:t>
      </w:r>
      <w:r w:rsidR="00D7047A" w:rsidRPr="00435D62">
        <w:rPr>
          <w:rFonts w:ascii="Arial" w:hAnsi="Arial" w:cs="Arial"/>
          <w:szCs w:val="24"/>
        </w:rPr>
        <w:t xml:space="preserve">of Ocean View, a </w:t>
      </w:r>
      <w:r w:rsidR="0057531E" w:rsidRPr="00435D62">
        <w:rPr>
          <w:rFonts w:ascii="Arial" w:hAnsi="Arial" w:cs="Arial"/>
          <w:szCs w:val="24"/>
        </w:rPr>
        <w:t>development</w:t>
      </w:r>
      <w:r w:rsidR="00D7047A" w:rsidRPr="00435D62">
        <w:rPr>
          <w:rFonts w:ascii="Arial" w:hAnsi="Arial" w:cs="Arial"/>
          <w:szCs w:val="24"/>
        </w:rPr>
        <w:t xml:space="preserve"> scheme registered in terms of the Sectional Title</w:t>
      </w:r>
      <w:r w:rsidR="0057531E" w:rsidRPr="00435D62">
        <w:rPr>
          <w:rFonts w:ascii="Arial" w:hAnsi="Arial" w:cs="Arial"/>
          <w:szCs w:val="24"/>
        </w:rPr>
        <w:t>s Act</w:t>
      </w:r>
      <w:r w:rsidR="00D7047A" w:rsidRPr="00435D62">
        <w:rPr>
          <w:rFonts w:ascii="Arial" w:hAnsi="Arial" w:cs="Arial"/>
          <w:szCs w:val="24"/>
        </w:rPr>
        <w:t xml:space="preserve"> </w:t>
      </w:r>
      <w:r w:rsidR="0057531E" w:rsidRPr="00435D62">
        <w:rPr>
          <w:rFonts w:ascii="Arial" w:hAnsi="Arial" w:cs="Arial"/>
          <w:szCs w:val="24"/>
        </w:rPr>
        <w:t xml:space="preserve">95 of 1986. </w:t>
      </w:r>
      <w:r w:rsidR="00D7047A" w:rsidRPr="00435D62">
        <w:rPr>
          <w:rFonts w:ascii="Arial" w:hAnsi="Arial" w:cs="Arial"/>
          <w:szCs w:val="24"/>
        </w:rPr>
        <w:t xml:space="preserve">The second respondent is the Community Schemes Ombud Service, a juristic person established in terms of s 3 of the CSOS Act. </w:t>
      </w:r>
    </w:p>
    <w:p w14:paraId="2E50CACF" w14:textId="6B29BBFC" w:rsidR="00D7047A" w:rsidRPr="00435D62" w:rsidRDefault="00435D62" w:rsidP="00435D62">
      <w:pPr>
        <w:rPr>
          <w:rFonts w:ascii="Arial" w:hAnsi="Arial" w:cs="Arial"/>
          <w:szCs w:val="24"/>
        </w:rPr>
      </w:pPr>
      <w:r w:rsidRPr="00C40087">
        <w:rPr>
          <w:rFonts w:ascii="Arial" w:hAnsi="Arial" w:cs="Arial"/>
          <w:iCs/>
          <w:sz w:val="24"/>
          <w:szCs w:val="24"/>
        </w:rPr>
        <w:t>[2]</w:t>
      </w:r>
      <w:r w:rsidRPr="00C40087">
        <w:rPr>
          <w:rFonts w:ascii="Arial" w:hAnsi="Arial" w:cs="Arial"/>
          <w:iCs/>
          <w:sz w:val="24"/>
          <w:szCs w:val="24"/>
        </w:rPr>
        <w:tab/>
      </w:r>
      <w:r w:rsidR="00D7047A" w:rsidRPr="00435D62">
        <w:rPr>
          <w:rFonts w:ascii="Arial" w:hAnsi="Arial" w:cs="Arial"/>
          <w:szCs w:val="24"/>
        </w:rPr>
        <w:t xml:space="preserve">The first respondent filed a notice to abide </w:t>
      </w:r>
      <w:r w:rsidR="00F923C7" w:rsidRPr="00435D62">
        <w:rPr>
          <w:rFonts w:ascii="Arial" w:hAnsi="Arial" w:cs="Arial"/>
          <w:szCs w:val="24"/>
        </w:rPr>
        <w:t xml:space="preserve">the decision of the court </w:t>
      </w:r>
      <w:r w:rsidR="00D7047A" w:rsidRPr="00435D62">
        <w:rPr>
          <w:rFonts w:ascii="Arial" w:hAnsi="Arial" w:cs="Arial"/>
          <w:szCs w:val="24"/>
        </w:rPr>
        <w:t>on condition that no cost</w:t>
      </w:r>
      <w:r w:rsidR="00C20FE0" w:rsidRPr="00435D62">
        <w:rPr>
          <w:rFonts w:ascii="Arial" w:hAnsi="Arial" w:cs="Arial"/>
          <w:szCs w:val="24"/>
        </w:rPr>
        <w:t>s</w:t>
      </w:r>
      <w:r w:rsidR="00D7047A" w:rsidRPr="00435D62">
        <w:rPr>
          <w:rFonts w:ascii="Arial" w:hAnsi="Arial" w:cs="Arial"/>
          <w:szCs w:val="24"/>
        </w:rPr>
        <w:t xml:space="preserve"> order is sought against it. The second and third respondents did not participate in these proceedings and it is assumed that they also abide the decision of the court.</w:t>
      </w:r>
      <w:r w:rsidR="0093230E" w:rsidRPr="00435D62">
        <w:rPr>
          <w:rFonts w:ascii="Arial" w:hAnsi="Arial" w:cs="Arial"/>
          <w:szCs w:val="24"/>
        </w:rPr>
        <w:t xml:space="preserve">  With the consent of the appellant and the first respondent, the appeal is being disposed of on the papers, without an oral hearing.</w:t>
      </w:r>
    </w:p>
    <w:p w14:paraId="34D437E0" w14:textId="6731FD89" w:rsidR="00A91C4C" w:rsidRPr="00435D62" w:rsidRDefault="00435D62" w:rsidP="00435D62">
      <w:pPr>
        <w:rPr>
          <w:rFonts w:ascii="Arial" w:hAnsi="Arial" w:cs="Arial"/>
          <w:szCs w:val="24"/>
        </w:rPr>
      </w:pPr>
      <w:r w:rsidRPr="00C40087">
        <w:rPr>
          <w:rFonts w:ascii="Arial" w:hAnsi="Arial" w:cs="Arial"/>
          <w:iCs/>
          <w:sz w:val="24"/>
          <w:szCs w:val="24"/>
        </w:rPr>
        <w:t>[3]</w:t>
      </w:r>
      <w:r w:rsidRPr="00C40087">
        <w:rPr>
          <w:rFonts w:ascii="Arial" w:hAnsi="Arial" w:cs="Arial"/>
          <w:iCs/>
          <w:sz w:val="24"/>
          <w:szCs w:val="24"/>
        </w:rPr>
        <w:tab/>
      </w:r>
      <w:r w:rsidR="00D7047A" w:rsidRPr="00435D62">
        <w:rPr>
          <w:rFonts w:ascii="Arial" w:hAnsi="Arial" w:cs="Arial"/>
          <w:szCs w:val="24"/>
        </w:rPr>
        <w:t xml:space="preserve">The appeal was brought by way of motion proceedings </w:t>
      </w:r>
      <w:r w:rsidR="008A53DA" w:rsidRPr="00435D62">
        <w:rPr>
          <w:rFonts w:ascii="Arial" w:hAnsi="Arial" w:cs="Arial"/>
          <w:szCs w:val="24"/>
        </w:rPr>
        <w:t>in accordance with the guidelines stated in</w:t>
      </w:r>
      <w:r w:rsidR="00D4790B" w:rsidRPr="00435D62">
        <w:rPr>
          <w:rFonts w:ascii="Arial" w:hAnsi="Arial" w:cs="Arial"/>
          <w:szCs w:val="24"/>
        </w:rPr>
        <w:t xml:space="preserve"> </w:t>
      </w:r>
      <w:r w:rsidR="00CD14E3" w:rsidRPr="00435D62">
        <w:rPr>
          <w:rFonts w:ascii="Arial" w:hAnsi="Arial" w:cs="Arial"/>
          <w:i/>
          <w:iCs/>
          <w:szCs w:val="24"/>
        </w:rPr>
        <w:t xml:space="preserve">Trustees, </w:t>
      </w:r>
      <w:r w:rsidR="003C308E" w:rsidRPr="00435D62">
        <w:rPr>
          <w:rFonts w:ascii="Arial" w:hAnsi="Arial" w:cs="Arial"/>
          <w:i/>
          <w:iCs/>
          <w:szCs w:val="24"/>
        </w:rPr>
        <w:t>Avenues</w:t>
      </w:r>
      <w:r w:rsidR="00CD14E3" w:rsidRPr="00435D62">
        <w:rPr>
          <w:rFonts w:ascii="Arial" w:hAnsi="Arial" w:cs="Arial"/>
          <w:i/>
          <w:iCs/>
          <w:szCs w:val="24"/>
        </w:rPr>
        <w:t xml:space="preserve"> Body Corporate v Shmaryahu and Another</w:t>
      </w:r>
      <w:r w:rsidR="00CD14E3" w:rsidRPr="00435D62">
        <w:rPr>
          <w:rFonts w:ascii="Arial" w:hAnsi="Arial" w:cs="Arial"/>
          <w:szCs w:val="24"/>
        </w:rPr>
        <w:t xml:space="preserve"> 2018 (4) SA 566 (WCC</w:t>
      </w:r>
      <w:r w:rsidR="00CC5B78" w:rsidRPr="00435D62">
        <w:rPr>
          <w:rFonts w:ascii="Arial" w:hAnsi="Arial" w:cs="Arial"/>
          <w:szCs w:val="24"/>
        </w:rPr>
        <w:t>), (</w:t>
      </w:r>
      <w:r w:rsidR="00C40087" w:rsidRPr="00435D62">
        <w:rPr>
          <w:rFonts w:ascii="Arial" w:hAnsi="Arial" w:cs="Arial"/>
          <w:szCs w:val="24"/>
        </w:rPr>
        <w:t>‘</w:t>
      </w:r>
      <w:r w:rsidR="00CC5B78" w:rsidRPr="00435D62">
        <w:rPr>
          <w:rFonts w:ascii="Arial" w:hAnsi="Arial" w:cs="Arial"/>
          <w:i/>
          <w:iCs/>
          <w:szCs w:val="24"/>
        </w:rPr>
        <w:t>Shmaryahu</w:t>
      </w:r>
      <w:r w:rsidR="00C40087" w:rsidRPr="00435D62">
        <w:rPr>
          <w:rFonts w:ascii="Arial" w:hAnsi="Arial" w:cs="Arial"/>
          <w:szCs w:val="24"/>
        </w:rPr>
        <w:t>’</w:t>
      </w:r>
      <w:r w:rsidR="00CC5B78" w:rsidRPr="00435D62">
        <w:rPr>
          <w:rFonts w:ascii="Arial" w:hAnsi="Arial" w:cs="Arial"/>
          <w:szCs w:val="24"/>
        </w:rPr>
        <w:t>)</w:t>
      </w:r>
      <w:r w:rsidR="008A53DA" w:rsidRPr="00435D62">
        <w:rPr>
          <w:rFonts w:ascii="Arial" w:hAnsi="Arial" w:cs="Arial"/>
          <w:szCs w:val="24"/>
        </w:rPr>
        <w:t>.  It was, however, brought outside the 30-day time period prescribed in s 57(2) of the CSOS Act.  Condonation for the late lodging of the appeal was accordingly also sought</w:t>
      </w:r>
      <w:r w:rsidR="00D1575F" w:rsidRPr="00435D62">
        <w:rPr>
          <w:rFonts w:ascii="Arial" w:hAnsi="Arial" w:cs="Arial"/>
          <w:szCs w:val="24"/>
        </w:rPr>
        <w:t>.</w:t>
      </w:r>
    </w:p>
    <w:p w14:paraId="4C7063D1" w14:textId="787BFA51" w:rsidR="00426800" w:rsidRPr="00435D62" w:rsidRDefault="00435D62" w:rsidP="00435D62">
      <w:pPr>
        <w:rPr>
          <w:rFonts w:ascii="Arial" w:hAnsi="Arial" w:cs="Arial"/>
          <w:szCs w:val="24"/>
        </w:rPr>
      </w:pPr>
      <w:r w:rsidRPr="00C40087">
        <w:rPr>
          <w:rFonts w:ascii="Arial" w:hAnsi="Arial" w:cs="Arial"/>
          <w:iCs/>
          <w:sz w:val="24"/>
          <w:szCs w:val="24"/>
        </w:rPr>
        <w:t>[4]</w:t>
      </w:r>
      <w:r w:rsidRPr="00C40087">
        <w:rPr>
          <w:rFonts w:ascii="Arial" w:hAnsi="Arial" w:cs="Arial"/>
          <w:iCs/>
          <w:sz w:val="24"/>
          <w:szCs w:val="24"/>
        </w:rPr>
        <w:tab/>
      </w:r>
      <w:r w:rsidR="00A91C4C" w:rsidRPr="00435D62">
        <w:rPr>
          <w:rFonts w:ascii="Arial" w:hAnsi="Arial" w:cs="Arial"/>
          <w:szCs w:val="24"/>
        </w:rPr>
        <w:t xml:space="preserve">It is appropriate to treat first of the condonation application.  The question whether it is within the court’s powers to grant condonation was not addressed in </w:t>
      </w:r>
      <w:r w:rsidR="00007AC6" w:rsidRPr="00435D62">
        <w:rPr>
          <w:rFonts w:ascii="Arial" w:hAnsi="Arial" w:cs="Arial"/>
          <w:szCs w:val="24"/>
        </w:rPr>
        <w:t xml:space="preserve">the appellant’s written </w:t>
      </w:r>
      <w:r w:rsidR="00A91C4C" w:rsidRPr="00435D62">
        <w:rPr>
          <w:rFonts w:ascii="Arial" w:hAnsi="Arial" w:cs="Arial"/>
          <w:szCs w:val="24"/>
        </w:rPr>
        <w:t>argument.  It does not follow that the court has such powers in every case in which a time limit for the institution of court proceedings is statutorily prescribed</w:t>
      </w:r>
      <w:r w:rsidR="00007AC6" w:rsidRPr="00435D62">
        <w:rPr>
          <w:rFonts w:ascii="Arial" w:hAnsi="Arial" w:cs="Arial"/>
          <w:szCs w:val="24"/>
        </w:rPr>
        <w:t xml:space="preserve"> and has not been complied with</w:t>
      </w:r>
      <w:r w:rsidR="00A91C4C" w:rsidRPr="00435D62">
        <w:rPr>
          <w:rFonts w:ascii="Arial" w:hAnsi="Arial" w:cs="Arial"/>
          <w:szCs w:val="24"/>
        </w:rPr>
        <w:t xml:space="preserve">; see e.g. </w:t>
      </w:r>
      <w:r w:rsidR="00CF16A8" w:rsidRPr="00435D62">
        <w:rPr>
          <w:rFonts w:ascii="Arial" w:hAnsi="Arial" w:cs="Arial"/>
          <w:i/>
          <w:szCs w:val="24"/>
        </w:rPr>
        <w:t>Mohlomi v Minister of Defence</w:t>
      </w:r>
      <w:r w:rsidR="00CF16A8" w:rsidRPr="00435D62">
        <w:rPr>
          <w:rFonts w:ascii="Arial" w:hAnsi="Arial" w:cs="Arial"/>
          <w:szCs w:val="24"/>
        </w:rPr>
        <w:t xml:space="preserve"> [1996] ZACC 20 (26</w:t>
      </w:r>
      <w:r w:rsidR="008C3946" w:rsidRPr="00435D62">
        <w:rPr>
          <w:rFonts w:ascii="Arial" w:hAnsi="Arial" w:cs="Arial"/>
          <w:szCs w:val="24"/>
        </w:rPr>
        <w:t> </w:t>
      </w:r>
      <w:r w:rsidR="00CF16A8" w:rsidRPr="00435D62">
        <w:rPr>
          <w:rFonts w:ascii="Arial" w:hAnsi="Arial" w:cs="Arial"/>
          <w:szCs w:val="24"/>
        </w:rPr>
        <w:t>September 1996); 1996 (12) BCLR 1559; 1997 (1) SA 124 (CC) at para 17, where Didcott J noted that the courts have no inherent power to condone non-compliance with statutorily prescribed time l</w:t>
      </w:r>
      <w:r w:rsidR="00426800" w:rsidRPr="00435D62">
        <w:rPr>
          <w:rFonts w:ascii="Arial" w:hAnsi="Arial" w:cs="Arial"/>
          <w:szCs w:val="24"/>
        </w:rPr>
        <w:t>imits.</w:t>
      </w:r>
    </w:p>
    <w:p w14:paraId="0EB221CB" w14:textId="2D65AEE2" w:rsidR="00426800" w:rsidRPr="00435D62" w:rsidRDefault="00435D62" w:rsidP="00435D62">
      <w:pPr>
        <w:rPr>
          <w:rFonts w:ascii="Arial" w:hAnsi="Arial" w:cs="Arial"/>
          <w:szCs w:val="24"/>
        </w:rPr>
      </w:pPr>
      <w:r w:rsidRPr="00C40087">
        <w:rPr>
          <w:rFonts w:ascii="Arial" w:hAnsi="Arial" w:cs="Arial"/>
          <w:iCs/>
          <w:sz w:val="24"/>
          <w:szCs w:val="24"/>
        </w:rPr>
        <w:t>[5]</w:t>
      </w:r>
      <w:r w:rsidRPr="00C40087">
        <w:rPr>
          <w:rFonts w:ascii="Arial" w:hAnsi="Arial" w:cs="Arial"/>
          <w:iCs/>
          <w:sz w:val="24"/>
          <w:szCs w:val="24"/>
        </w:rPr>
        <w:tab/>
      </w:r>
      <w:r w:rsidR="001059C1" w:rsidRPr="00435D62">
        <w:rPr>
          <w:rFonts w:ascii="Arial" w:hAnsi="Arial" w:cs="Arial"/>
          <w:szCs w:val="24"/>
        </w:rPr>
        <w:t>There does not, however, need to be to be an express provision in the statute conferring a power of condonation.  Depending on the context, the existence or conferral of such a power might in a given case be implied upon a proper construction of the relevant provisions of a statute</w:t>
      </w:r>
      <w:r w:rsidR="00A91C4C" w:rsidRPr="00435D62">
        <w:rPr>
          <w:rFonts w:ascii="Arial" w:hAnsi="Arial" w:cs="Arial"/>
          <w:szCs w:val="24"/>
        </w:rPr>
        <w:t xml:space="preserve">.  </w:t>
      </w:r>
      <w:r w:rsidR="001059C1" w:rsidRPr="00435D62">
        <w:rPr>
          <w:rFonts w:ascii="Arial" w:hAnsi="Arial" w:cs="Arial"/>
          <w:szCs w:val="24"/>
        </w:rPr>
        <w:t xml:space="preserve">Such an exercise was undertaken by the late Appellate Division in analogous circumstances in </w:t>
      </w:r>
      <w:r w:rsidR="00426800" w:rsidRPr="00435D62">
        <w:rPr>
          <w:rFonts w:ascii="Arial" w:hAnsi="Arial" w:cs="Arial"/>
          <w:i/>
          <w:szCs w:val="24"/>
        </w:rPr>
        <w:t>Phillips v Direkteur vir Sensus</w:t>
      </w:r>
      <w:r w:rsidR="00426800" w:rsidRPr="00435D62">
        <w:rPr>
          <w:rFonts w:ascii="Arial" w:hAnsi="Arial" w:cs="Arial"/>
          <w:szCs w:val="24"/>
        </w:rPr>
        <w:t xml:space="preserve"> 1959 (3) SA 370</w:t>
      </w:r>
      <w:r w:rsidR="00967587" w:rsidRPr="00435D62">
        <w:rPr>
          <w:rFonts w:ascii="Arial" w:hAnsi="Arial" w:cs="Arial"/>
          <w:szCs w:val="24"/>
        </w:rPr>
        <w:t> </w:t>
      </w:r>
      <w:r w:rsidR="00426800" w:rsidRPr="00435D62">
        <w:rPr>
          <w:rFonts w:ascii="Arial" w:hAnsi="Arial" w:cs="Arial"/>
          <w:szCs w:val="24"/>
        </w:rPr>
        <w:t>(A).</w:t>
      </w:r>
    </w:p>
    <w:p w14:paraId="62C72C8E" w14:textId="06A885B6" w:rsidR="00B377E0" w:rsidRPr="00435D62" w:rsidRDefault="00435D62" w:rsidP="00435D62">
      <w:pPr>
        <w:rPr>
          <w:rFonts w:ascii="Arial" w:hAnsi="Arial" w:cs="Arial"/>
          <w:szCs w:val="24"/>
        </w:rPr>
      </w:pPr>
      <w:r w:rsidRPr="00C40087">
        <w:rPr>
          <w:rFonts w:ascii="Arial" w:hAnsi="Arial" w:cs="Arial"/>
          <w:iCs/>
          <w:sz w:val="24"/>
          <w:szCs w:val="24"/>
        </w:rPr>
        <w:t>[6]</w:t>
      </w:r>
      <w:r w:rsidRPr="00C40087">
        <w:rPr>
          <w:rFonts w:ascii="Arial" w:hAnsi="Arial" w:cs="Arial"/>
          <w:iCs/>
          <w:sz w:val="24"/>
          <w:szCs w:val="24"/>
        </w:rPr>
        <w:tab/>
      </w:r>
      <w:r w:rsidR="00426800" w:rsidRPr="00435D62">
        <w:rPr>
          <w:rFonts w:ascii="Arial" w:hAnsi="Arial" w:cs="Arial"/>
          <w:szCs w:val="24"/>
        </w:rPr>
        <w:t xml:space="preserve">The judgment in </w:t>
      </w:r>
      <w:r w:rsidR="00426800" w:rsidRPr="00435D62">
        <w:rPr>
          <w:rFonts w:ascii="Arial" w:hAnsi="Arial" w:cs="Arial"/>
          <w:i/>
          <w:szCs w:val="24"/>
        </w:rPr>
        <w:t>Phillips</w:t>
      </w:r>
      <w:r w:rsidR="00426800" w:rsidRPr="00435D62">
        <w:rPr>
          <w:rFonts w:ascii="Arial" w:hAnsi="Arial" w:cs="Arial"/>
          <w:szCs w:val="24"/>
        </w:rPr>
        <w:t xml:space="preserve"> was concerned with whether a court could condone </w:t>
      </w:r>
      <w:r w:rsidR="00007AC6" w:rsidRPr="00435D62">
        <w:rPr>
          <w:rFonts w:ascii="Arial" w:hAnsi="Arial" w:cs="Arial"/>
          <w:szCs w:val="24"/>
        </w:rPr>
        <w:t xml:space="preserve">non-compliance with a prescribed time limit in </w:t>
      </w:r>
      <w:r w:rsidR="00426800" w:rsidRPr="00435D62">
        <w:rPr>
          <w:rFonts w:ascii="Arial" w:hAnsi="Arial" w:cs="Arial"/>
          <w:szCs w:val="24"/>
        </w:rPr>
        <w:t>an appeal from a decision</w:t>
      </w:r>
      <w:r w:rsidR="00117D32" w:rsidRPr="00435D62">
        <w:rPr>
          <w:rFonts w:ascii="Arial" w:hAnsi="Arial" w:cs="Arial"/>
          <w:szCs w:val="24"/>
        </w:rPr>
        <w:t xml:space="preserve"> of the Race Classification Board that was brought after the expiry of the time prescribed therefor in the Population Registration Act, 1950. </w:t>
      </w:r>
      <w:r w:rsidR="00426800" w:rsidRPr="00435D62">
        <w:rPr>
          <w:rFonts w:ascii="Arial" w:hAnsi="Arial" w:cs="Arial"/>
          <w:szCs w:val="24"/>
        </w:rPr>
        <w:t xml:space="preserve"> </w:t>
      </w:r>
      <w:r w:rsidR="00117D32" w:rsidRPr="00435D62">
        <w:rPr>
          <w:rFonts w:ascii="Arial" w:hAnsi="Arial" w:cs="Arial"/>
          <w:szCs w:val="24"/>
        </w:rPr>
        <w:t xml:space="preserve">The appeal court acknowledged that condonation could not be granted if the time limit provision in </w:t>
      </w:r>
      <w:r w:rsidR="00007AC6" w:rsidRPr="00435D62">
        <w:rPr>
          <w:rFonts w:ascii="Arial" w:hAnsi="Arial" w:cs="Arial"/>
          <w:szCs w:val="24"/>
        </w:rPr>
        <w:t>point</w:t>
      </w:r>
      <w:r w:rsidR="00117D32" w:rsidRPr="00435D62">
        <w:rPr>
          <w:rFonts w:ascii="Arial" w:hAnsi="Arial" w:cs="Arial"/>
          <w:szCs w:val="24"/>
        </w:rPr>
        <w:t xml:space="preserve"> </w:t>
      </w:r>
      <w:r w:rsidR="00A443A2" w:rsidRPr="00435D62">
        <w:rPr>
          <w:rFonts w:ascii="Arial" w:hAnsi="Arial" w:cs="Arial"/>
          <w:szCs w:val="24"/>
        </w:rPr>
        <w:t>was a so-called ‘vervaltermym’ or ‘expiry period’</w:t>
      </w:r>
      <w:r w:rsidR="00007AC6" w:rsidRPr="00435D62">
        <w:rPr>
          <w:rFonts w:ascii="Arial" w:hAnsi="Arial" w:cs="Arial"/>
          <w:szCs w:val="24"/>
        </w:rPr>
        <w:t>,</w:t>
      </w:r>
      <w:r w:rsidR="00A443A2" w:rsidRPr="00435D62">
        <w:rPr>
          <w:rFonts w:ascii="Arial" w:hAnsi="Arial" w:cs="Arial"/>
          <w:szCs w:val="24"/>
        </w:rPr>
        <w:t xml:space="preserve"> with the implication that if the relevant right were not exercised within the </w:t>
      </w:r>
      <w:r w:rsidR="00007AC6" w:rsidRPr="00435D62">
        <w:rPr>
          <w:rFonts w:ascii="Arial" w:hAnsi="Arial" w:cs="Arial"/>
          <w:szCs w:val="24"/>
        </w:rPr>
        <w:t>prescribed</w:t>
      </w:r>
      <w:r w:rsidR="00A443A2" w:rsidRPr="00435D62">
        <w:rPr>
          <w:rFonts w:ascii="Arial" w:hAnsi="Arial" w:cs="Arial"/>
          <w:szCs w:val="24"/>
        </w:rPr>
        <w:t xml:space="preserve"> time it would ipso facto be extinguished.  Having determined that the time limit in issue was not such a provision, the court reasoned that functions of the Board were essentially that of </w:t>
      </w:r>
      <w:r w:rsidR="00967587" w:rsidRPr="00435D62">
        <w:rPr>
          <w:rFonts w:ascii="Arial" w:hAnsi="Arial" w:cs="Arial"/>
          <w:szCs w:val="24"/>
        </w:rPr>
        <w:t xml:space="preserve">a </w:t>
      </w:r>
      <w:r w:rsidR="00A443A2" w:rsidRPr="00435D62">
        <w:rPr>
          <w:rFonts w:ascii="Arial" w:hAnsi="Arial" w:cs="Arial"/>
          <w:szCs w:val="24"/>
        </w:rPr>
        <w:t xml:space="preserve">tailor-made </w:t>
      </w:r>
      <w:r w:rsidR="008C3946" w:rsidRPr="00435D62">
        <w:rPr>
          <w:rFonts w:ascii="Arial" w:hAnsi="Arial" w:cs="Arial"/>
          <w:szCs w:val="24"/>
        </w:rPr>
        <w:t>adjudicative</w:t>
      </w:r>
      <w:r w:rsidR="00A443A2" w:rsidRPr="00435D62">
        <w:rPr>
          <w:rFonts w:ascii="Arial" w:hAnsi="Arial" w:cs="Arial"/>
          <w:szCs w:val="24"/>
        </w:rPr>
        <w:t xml:space="preserve"> body </w:t>
      </w:r>
      <w:r w:rsidR="008C3946" w:rsidRPr="00435D62">
        <w:rPr>
          <w:rFonts w:ascii="Arial" w:hAnsi="Arial" w:cs="Arial"/>
          <w:szCs w:val="24"/>
        </w:rPr>
        <w:t>that</w:t>
      </w:r>
      <w:r w:rsidR="00A443A2" w:rsidRPr="00435D62">
        <w:rPr>
          <w:rFonts w:ascii="Arial" w:hAnsi="Arial" w:cs="Arial"/>
          <w:szCs w:val="24"/>
        </w:rPr>
        <w:t xml:space="preserve"> corresponded </w:t>
      </w:r>
      <w:r w:rsidR="00007AC6" w:rsidRPr="00435D62">
        <w:rPr>
          <w:rFonts w:ascii="Arial" w:hAnsi="Arial" w:cs="Arial"/>
          <w:szCs w:val="24"/>
        </w:rPr>
        <w:t>closely</w:t>
      </w:r>
      <w:r w:rsidR="00A443A2" w:rsidRPr="00435D62">
        <w:rPr>
          <w:rFonts w:ascii="Arial" w:hAnsi="Arial" w:cs="Arial"/>
          <w:szCs w:val="24"/>
        </w:rPr>
        <w:t xml:space="preserve"> with those of an ordinary court.  </w:t>
      </w:r>
      <w:r w:rsidR="007D10D9" w:rsidRPr="00435D62">
        <w:rPr>
          <w:rFonts w:ascii="Arial" w:hAnsi="Arial" w:cs="Arial"/>
          <w:szCs w:val="24"/>
        </w:rPr>
        <w:t xml:space="preserve">The court reviewed various common law authority </w:t>
      </w:r>
      <w:r w:rsidR="00007AC6" w:rsidRPr="00435D62">
        <w:rPr>
          <w:rFonts w:ascii="Arial" w:hAnsi="Arial" w:cs="Arial"/>
          <w:szCs w:val="24"/>
        </w:rPr>
        <w:t>that</w:t>
      </w:r>
      <w:r w:rsidR="007D10D9" w:rsidRPr="00435D62">
        <w:rPr>
          <w:rFonts w:ascii="Arial" w:hAnsi="Arial" w:cs="Arial"/>
          <w:szCs w:val="24"/>
        </w:rPr>
        <w:t xml:space="preserve"> supported the incidence of the power of courts to condone the bringing of appeals outside the prescribed time limits and had regard to </w:t>
      </w:r>
      <w:r w:rsidR="00967587" w:rsidRPr="00435D62">
        <w:rPr>
          <w:rFonts w:ascii="Arial" w:hAnsi="Arial" w:cs="Arial"/>
          <w:szCs w:val="24"/>
        </w:rPr>
        <w:t xml:space="preserve">what </w:t>
      </w:r>
      <w:r w:rsidR="007D10D9" w:rsidRPr="00435D62">
        <w:rPr>
          <w:rFonts w:ascii="Arial" w:hAnsi="Arial" w:cs="Arial"/>
          <w:szCs w:val="24"/>
        </w:rPr>
        <w:t xml:space="preserve">the </w:t>
      </w:r>
      <w:r w:rsidR="00967587" w:rsidRPr="00435D62">
        <w:rPr>
          <w:rFonts w:ascii="Arial" w:hAnsi="Arial" w:cs="Arial"/>
          <w:szCs w:val="24"/>
        </w:rPr>
        <w:t xml:space="preserve">adverse </w:t>
      </w:r>
      <w:r w:rsidR="007D10D9" w:rsidRPr="00435D62">
        <w:rPr>
          <w:rFonts w:ascii="Arial" w:hAnsi="Arial" w:cs="Arial"/>
          <w:szCs w:val="24"/>
        </w:rPr>
        <w:t>practical effects</w:t>
      </w:r>
      <w:r w:rsidR="00967587" w:rsidRPr="00435D62">
        <w:rPr>
          <w:rFonts w:ascii="Arial" w:hAnsi="Arial" w:cs="Arial"/>
          <w:szCs w:val="24"/>
        </w:rPr>
        <w:t xml:space="preserve"> would be</w:t>
      </w:r>
      <w:r w:rsidR="007D10D9" w:rsidRPr="00435D62">
        <w:rPr>
          <w:rFonts w:ascii="Arial" w:hAnsi="Arial" w:cs="Arial"/>
          <w:szCs w:val="24"/>
        </w:rPr>
        <w:t xml:space="preserve"> were the statute in question construed to exclude such a power.  It </w:t>
      </w:r>
      <w:r w:rsidR="007D10D9" w:rsidRPr="00435D62">
        <w:rPr>
          <w:rFonts w:ascii="Arial" w:hAnsi="Arial" w:cs="Arial"/>
          <w:szCs w:val="24"/>
        </w:rPr>
        <w:lastRenderedPageBreak/>
        <w:t>concluded</w:t>
      </w:r>
      <w:r w:rsidR="00967587" w:rsidRPr="00435D62">
        <w:rPr>
          <w:rFonts w:ascii="Arial" w:hAnsi="Arial" w:cs="Arial"/>
          <w:szCs w:val="24"/>
        </w:rPr>
        <w:t>,</w:t>
      </w:r>
      <w:r w:rsidR="007D10D9" w:rsidRPr="00435D62">
        <w:rPr>
          <w:rFonts w:ascii="Arial" w:hAnsi="Arial" w:cs="Arial"/>
          <w:szCs w:val="24"/>
        </w:rPr>
        <w:t xml:space="preserve"> on the basis of </w:t>
      </w:r>
      <w:r w:rsidR="00967587" w:rsidRPr="00435D62">
        <w:rPr>
          <w:rFonts w:ascii="Arial" w:hAnsi="Arial" w:cs="Arial"/>
          <w:szCs w:val="24"/>
        </w:rPr>
        <w:t>a</w:t>
      </w:r>
      <w:r w:rsidR="007D10D9" w:rsidRPr="00435D62">
        <w:rPr>
          <w:rFonts w:ascii="Arial" w:hAnsi="Arial" w:cs="Arial"/>
          <w:szCs w:val="24"/>
        </w:rPr>
        <w:t xml:space="preserve"> broad contextual analysis</w:t>
      </w:r>
      <w:r w:rsidR="00967587" w:rsidRPr="00435D62">
        <w:rPr>
          <w:rFonts w:ascii="Arial" w:hAnsi="Arial" w:cs="Arial"/>
          <w:szCs w:val="24"/>
        </w:rPr>
        <w:t>,</w:t>
      </w:r>
      <w:r w:rsidR="007D10D9" w:rsidRPr="00435D62">
        <w:rPr>
          <w:rFonts w:ascii="Arial" w:hAnsi="Arial" w:cs="Arial"/>
          <w:szCs w:val="24"/>
        </w:rPr>
        <w:t xml:space="preserve"> that the statute </w:t>
      </w:r>
      <w:r w:rsidR="00967587" w:rsidRPr="00435D62">
        <w:rPr>
          <w:rFonts w:ascii="Arial" w:hAnsi="Arial" w:cs="Arial"/>
          <w:szCs w:val="24"/>
        </w:rPr>
        <w:t>fell to</w:t>
      </w:r>
      <w:r w:rsidR="007D10D9" w:rsidRPr="00435D62">
        <w:rPr>
          <w:rFonts w:ascii="Arial" w:hAnsi="Arial" w:cs="Arial"/>
          <w:szCs w:val="24"/>
        </w:rPr>
        <w:t xml:space="preserve"> be construed </w:t>
      </w:r>
      <w:r w:rsidR="00272F56" w:rsidRPr="00435D62">
        <w:rPr>
          <w:rFonts w:ascii="Arial" w:hAnsi="Arial" w:cs="Arial"/>
          <w:szCs w:val="24"/>
        </w:rPr>
        <w:t>to imply</w:t>
      </w:r>
      <w:r w:rsidR="007D10D9" w:rsidRPr="00435D62">
        <w:rPr>
          <w:rFonts w:ascii="Arial" w:hAnsi="Arial" w:cs="Arial"/>
          <w:szCs w:val="24"/>
        </w:rPr>
        <w:t xml:space="preserve"> a power in the court to condone non-</w:t>
      </w:r>
      <w:r w:rsidR="00272F56" w:rsidRPr="00435D62">
        <w:rPr>
          <w:rFonts w:ascii="Arial" w:hAnsi="Arial" w:cs="Arial"/>
          <w:szCs w:val="24"/>
        </w:rPr>
        <w:t>compliance</w:t>
      </w:r>
      <w:r w:rsidR="007D10D9" w:rsidRPr="00435D62">
        <w:rPr>
          <w:rFonts w:ascii="Arial" w:hAnsi="Arial" w:cs="Arial"/>
          <w:szCs w:val="24"/>
        </w:rPr>
        <w:t xml:space="preserve"> with the prescribed time limit for the lodging of an appeal.</w:t>
      </w:r>
    </w:p>
    <w:p w14:paraId="0E052C30" w14:textId="2EE96A9C" w:rsidR="003C4346" w:rsidRPr="00435D62" w:rsidRDefault="00435D62" w:rsidP="00435D62">
      <w:pPr>
        <w:rPr>
          <w:rFonts w:ascii="Arial" w:hAnsi="Arial" w:cs="Arial"/>
          <w:szCs w:val="24"/>
        </w:rPr>
      </w:pPr>
      <w:r w:rsidRPr="00C40087">
        <w:rPr>
          <w:rFonts w:ascii="Arial" w:hAnsi="Arial" w:cs="Arial"/>
          <w:iCs/>
          <w:sz w:val="24"/>
          <w:szCs w:val="24"/>
        </w:rPr>
        <w:t>[7]</w:t>
      </w:r>
      <w:r w:rsidRPr="00C40087">
        <w:rPr>
          <w:rFonts w:ascii="Arial" w:hAnsi="Arial" w:cs="Arial"/>
          <w:iCs/>
          <w:sz w:val="24"/>
          <w:szCs w:val="24"/>
        </w:rPr>
        <w:tab/>
      </w:r>
      <w:r w:rsidR="00B377E0" w:rsidRPr="00435D62">
        <w:rPr>
          <w:rFonts w:ascii="Arial" w:hAnsi="Arial" w:cs="Arial"/>
          <w:szCs w:val="24"/>
        </w:rPr>
        <w:t xml:space="preserve">In our view, very similar considerations apply in the current matter.  The prescribed time limit does not appear to us to fit the </w:t>
      </w:r>
      <w:r w:rsidR="00267984" w:rsidRPr="00435D62">
        <w:rPr>
          <w:rFonts w:ascii="Arial" w:hAnsi="Arial" w:cs="Arial"/>
          <w:szCs w:val="24"/>
        </w:rPr>
        <w:t>characteristics</w:t>
      </w:r>
      <w:r w:rsidR="00B377E0" w:rsidRPr="00435D62">
        <w:rPr>
          <w:rFonts w:ascii="Arial" w:hAnsi="Arial" w:cs="Arial"/>
          <w:szCs w:val="24"/>
        </w:rPr>
        <w:t xml:space="preserve"> of an expiry </w:t>
      </w:r>
      <w:r w:rsidR="00480722" w:rsidRPr="00435D62">
        <w:rPr>
          <w:rFonts w:ascii="Arial" w:hAnsi="Arial" w:cs="Arial"/>
          <w:szCs w:val="24"/>
        </w:rPr>
        <w:t>period provision</w:t>
      </w:r>
      <w:r w:rsidR="00267984" w:rsidRPr="00435D62">
        <w:rPr>
          <w:rFonts w:ascii="Arial" w:hAnsi="Arial" w:cs="Arial"/>
          <w:szCs w:val="24"/>
        </w:rPr>
        <w:t>,</w:t>
      </w:r>
      <w:r w:rsidR="00B377E0" w:rsidRPr="00435D62">
        <w:rPr>
          <w:rFonts w:ascii="Arial" w:hAnsi="Arial" w:cs="Arial"/>
          <w:szCs w:val="24"/>
        </w:rPr>
        <w:t xml:space="preserve"> and the exclusion of a power of condonation could </w:t>
      </w:r>
      <w:r w:rsidR="00480722" w:rsidRPr="00435D62">
        <w:rPr>
          <w:rFonts w:ascii="Arial" w:hAnsi="Arial" w:cs="Arial"/>
          <w:szCs w:val="24"/>
        </w:rPr>
        <w:t>readily</w:t>
      </w:r>
      <w:r w:rsidR="00B377E0" w:rsidRPr="00435D62">
        <w:rPr>
          <w:rFonts w:ascii="Arial" w:hAnsi="Arial" w:cs="Arial"/>
          <w:szCs w:val="24"/>
        </w:rPr>
        <w:t xml:space="preserve"> conduce to incorrect decisions that could</w:t>
      </w:r>
      <w:r w:rsidR="00480722" w:rsidRPr="00435D62">
        <w:rPr>
          <w:rFonts w:ascii="Arial" w:hAnsi="Arial" w:cs="Arial"/>
          <w:szCs w:val="24"/>
        </w:rPr>
        <w:t>,</w:t>
      </w:r>
      <w:r w:rsidR="00B377E0" w:rsidRPr="00435D62">
        <w:rPr>
          <w:rFonts w:ascii="Arial" w:hAnsi="Arial" w:cs="Arial"/>
          <w:szCs w:val="24"/>
        </w:rPr>
        <w:t xml:space="preserve"> and should be</w:t>
      </w:r>
      <w:r w:rsidR="00480722" w:rsidRPr="00435D62">
        <w:rPr>
          <w:rFonts w:ascii="Arial" w:hAnsi="Arial" w:cs="Arial"/>
          <w:szCs w:val="24"/>
        </w:rPr>
        <w:t>,</w:t>
      </w:r>
      <w:r w:rsidR="00B377E0" w:rsidRPr="00435D62">
        <w:rPr>
          <w:rFonts w:ascii="Arial" w:hAnsi="Arial" w:cs="Arial"/>
          <w:szCs w:val="24"/>
        </w:rPr>
        <w:t xml:space="preserve"> rectified being irremediably visited upon members of community schemes.  </w:t>
      </w:r>
      <w:r w:rsidR="00272F56" w:rsidRPr="00435D62">
        <w:rPr>
          <w:rFonts w:ascii="Arial" w:hAnsi="Arial" w:cs="Arial"/>
          <w:szCs w:val="24"/>
        </w:rPr>
        <w:t xml:space="preserve">It is unlikely that the legislature could have intended such an effect.  It would be </w:t>
      </w:r>
      <w:r w:rsidR="00EE2C40" w:rsidRPr="00435D62">
        <w:rPr>
          <w:rFonts w:ascii="Arial" w:hAnsi="Arial" w:cs="Arial"/>
          <w:szCs w:val="24"/>
        </w:rPr>
        <w:t>irreconcilable</w:t>
      </w:r>
      <w:r w:rsidR="00272F56" w:rsidRPr="00435D62">
        <w:rPr>
          <w:rFonts w:ascii="Arial" w:hAnsi="Arial" w:cs="Arial"/>
          <w:szCs w:val="24"/>
        </w:rPr>
        <w:t xml:space="preserve"> with the objects of the Act.  </w:t>
      </w:r>
      <w:r w:rsidR="00B377E0" w:rsidRPr="00435D62">
        <w:rPr>
          <w:rFonts w:ascii="Arial" w:hAnsi="Arial" w:cs="Arial"/>
          <w:szCs w:val="24"/>
        </w:rPr>
        <w:t xml:space="preserve">The whole object of the CSOS Act </w:t>
      </w:r>
      <w:r w:rsidR="00267984" w:rsidRPr="00435D62">
        <w:rPr>
          <w:rFonts w:ascii="Arial" w:hAnsi="Arial" w:cs="Arial"/>
          <w:szCs w:val="24"/>
        </w:rPr>
        <w:t>i</w:t>
      </w:r>
      <w:r w:rsidR="00B377E0" w:rsidRPr="00435D62">
        <w:rPr>
          <w:rFonts w:ascii="Arial" w:hAnsi="Arial" w:cs="Arial"/>
          <w:szCs w:val="24"/>
        </w:rPr>
        <w:t>s to facilitate the cost-effective and relatively informal resolution of community scheme related disputes</w:t>
      </w:r>
      <w:r w:rsidR="00F41C9B" w:rsidRPr="00435D62">
        <w:rPr>
          <w:rFonts w:ascii="Arial" w:hAnsi="Arial" w:cs="Arial"/>
          <w:szCs w:val="24"/>
        </w:rPr>
        <w:t>;</w:t>
      </w:r>
      <w:r w:rsidR="0057531E" w:rsidRPr="00435D62">
        <w:rPr>
          <w:rFonts w:ascii="Arial" w:hAnsi="Arial" w:cs="Arial"/>
          <w:szCs w:val="24"/>
        </w:rPr>
        <w:t xml:space="preserve"> </w:t>
      </w:r>
      <w:r w:rsidR="00F41C9B" w:rsidRPr="00435D62">
        <w:rPr>
          <w:rFonts w:ascii="Arial" w:hAnsi="Arial" w:cs="Arial"/>
          <w:szCs w:val="24"/>
        </w:rPr>
        <w:t xml:space="preserve">cf. </w:t>
      </w:r>
      <w:r w:rsidR="00F41C9B" w:rsidRPr="00435D62">
        <w:rPr>
          <w:rFonts w:ascii="Arial" w:hAnsi="Arial" w:cs="Arial"/>
          <w:i/>
          <w:iCs/>
          <w:szCs w:val="24"/>
        </w:rPr>
        <w:t>Coral Island Body Corporate v Hoge</w:t>
      </w:r>
      <w:r w:rsidR="00F41C9B" w:rsidRPr="00435D62">
        <w:rPr>
          <w:rFonts w:ascii="Arial" w:hAnsi="Arial" w:cs="Arial"/>
          <w:szCs w:val="24"/>
        </w:rPr>
        <w:t xml:space="preserve"> [2019] ZAWCHC 58 (23 May 2019); 2019 (5) SA 158 (WCC) at para 8-11</w:t>
      </w:r>
      <w:r w:rsidR="00B377E0" w:rsidRPr="00435D62">
        <w:rPr>
          <w:rFonts w:ascii="Arial" w:hAnsi="Arial" w:cs="Arial"/>
          <w:szCs w:val="24"/>
        </w:rPr>
        <w:t xml:space="preserve">.  Its provisions should not be read in a way that would </w:t>
      </w:r>
      <w:r w:rsidR="00556D06" w:rsidRPr="00435D62">
        <w:rPr>
          <w:rFonts w:ascii="Arial" w:hAnsi="Arial" w:cs="Arial"/>
          <w:szCs w:val="24"/>
        </w:rPr>
        <w:t xml:space="preserve">unreasonably limit the proper ventilation of such disputes, including </w:t>
      </w:r>
      <w:r w:rsidR="00EE2C40" w:rsidRPr="00435D62">
        <w:rPr>
          <w:rFonts w:ascii="Arial" w:hAnsi="Arial" w:cs="Arial"/>
          <w:szCs w:val="24"/>
        </w:rPr>
        <w:t xml:space="preserve">in </w:t>
      </w:r>
      <w:r w:rsidR="00556D06" w:rsidRPr="00435D62">
        <w:rPr>
          <w:rFonts w:ascii="Arial" w:hAnsi="Arial" w:cs="Arial"/>
          <w:szCs w:val="24"/>
        </w:rPr>
        <w:t xml:space="preserve">appeals from the decisions of the Ombud Service.  </w:t>
      </w:r>
      <w:r w:rsidR="00EE2C40" w:rsidRPr="00435D62">
        <w:rPr>
          <w:rFonts w:ascii="Arial" w:hAnsi="Arial" w:cs="Arial"/>
          <w:szCs w:val="24"/>
        </w:rPr>
        <w:t>T</w:t>
      </w:r>
      <w:r w:rsidR="00267984" w:rsidRPr="00435D62">
        <w:rPr>
          <w:rFonts w:ascii="Arial" w:hAnsi="Arial" w:cs="Arial"/>
          <w:szCs w:val="24"/>
        </w:rPr>
        <w:t xml:space="preserve">he CSOS Act </w:t>
      </w:r>
      <w:r w:rsidR="00480722" w:rsidRPr="00435D62">
        <w:rPr>
          <w:rFonts w:ascii="Arial" w:hAnsi="Arial" w:cs="Arial"/>
          <w:szCs w:val="24"/>
        </w:rPr>
        <w:t>does not contain any procedural directions</w:t>
      </w:r>
      <w:r w:rsidR="00267984" w:rsidRPr="00435D62">
        <w:rPr>
          <w:rFonts w:ascii="Arial" w:hAnsi="Arial" w:cs="Arial"/>
          <w:szCs w:val="24"/>
        </w:rPr>
        <w:t xml:space="preserve"> </w:t>
      </w:r>
      <w:r w:rsidR="00480722" w:rsidRPr="00435D62">
        <w:rPr>
          <w:rFonts w:ascii="Arial" w:hAnsi="Arial" w:cs="Arial"/>
          <w:szCs w:val="24"/>
        </w:rPr>
        <w:t xml:space="preserve">concerning the lodging and prosecution of the appeals permitted in terms of s 57.  </w:t>
      </w:r>
      <w:r w:rsidR="00EE2C40" w:rsidRPr="00435D62">
        <w:rPr>
          <w:rFonts w:ascii="Arial" w:hAnsi="Arial" w:cs="Arial"/>
          <w:szCs w:val="24"/>
        </w:rPr>
        <w:t>T</w:t>
      </w:r>
      <w:r w:rsidR="00267984" w:rsidRPr="00435D62">
        <w:rPr>
          <w:rFonts w:ascii="Arial" w:hAnsi="Arial" w:cs="Arial"/>
          <w:szCs w:val="24"/>
        </w:rPr>
        <w:t xml:space="preserve">he courts have </w:t>
      </w:r>
      <w:r w:rsidR="00EE2C40" w:rsidRPr="00435D62">
        <w:rPr>
          <w:rFonts w:ascii="Arial" w:hAnsi="Arial" w:cs="Arial"/>
          <w:szCs w:val="24"/>
        </w:rPr>
        <w:t xml:space="preserve">consequently </w:t>
      </w:r>
      <w:r w:rsidR="00480722" w:rsidRPr="00435D62">
        <w:rPr>
          <w:rFonts w:ascii="Arial" w:hAnsi="Arial" w:cs="Arial"/>
          <w:szCs w:val="24"/>
        </w:rPr>
        <w:t>had</w:t>
      </w:r>
      <w:r w:rsidR="00267984" w:rsidRPr="00435D62">
        <w:rPr>
          <w:rFonts w:ascii="Arial" w:hAnsi="Arial" w:cs="Arial"/>
          <w:szCs w:val="24"/>
        </w:rPr>
        <w:t xml:space="preserve"> themselves </w:t>
      </w:r>
      <w:r w:rsidR="00480722" w:rsidRPr="00435D62">
        <w:rPr>
          <w:rFonts w:ascii="Arial" w:hAnsi="Arial" w:cs="Arial"/>
          <w:szCs w:val="24"/>
        </w:rPr>
        <w:t xml:space="preserve">to </w:t>
      </w:r>
      <w:r w:rsidR="00267984" w:rsidRPr="00435D62">
        <w:rPr>
          <w:rFonts w:ascii="Arial" w:hAnsi="Arial" w:cs="Arial"/>
          <w:szCs w:val="24"/>
        </w:rPr>
        <w:t xml:space="preserve">determine certain of the material procedures to be followed.  The </w:t>
      </w:r>
      <w:r w:rsidR="00480722" w:rsidRPr="00435D62">
        <w:rPr>
          <w:rFonts w:ascii="Arial" w:hAnsi="Arial" w:cs="Arial"/>
          <w:szCs w:val="24"/>
        </w:rPr>
        <w:t xml:space="preserve">necessary </w:t>
      </w:r>
      <w:r w:rsidR="00267984" w:rsidRPr="00435D62">
        <w:rPr>
          <w:rFonts w:ascii="Arial" w:hAnsi="Arial" w:cs="Arial"/>
          <w:szCs w:val="24"/>
        </w:rPr>
        <w:t xml:space="preserve">implication is that the legislature </w:t>
      </w:r>
      <w:r w:rsidR="00480722" w:rsidRPr="00435D62">
        <w:rPr>
          <w:rFonts w:ascii="Arial" w:hAnsi="Arial" w:cs="Arial"/>
          <w:szCs w:val="24"/>
        </w:rPr>
        <w:t>intended to leave</w:t>
      </w:r>
      <w:r w:rsidR="00267984" w:rsidRPr="00435D62">
        <w:rPr>
          <w:rFonts w:ascii="Arial" w:hAnsi="Arial" w:cs="Arial"/>
          <w:szCs w:val="24"/>
        </w:rPr>
        <w:t xml:space="preserve"> the procedural aspects of s 57 </w:t>
      </w:r>
      <w:r w:rsidR="008C3946" w:rsidRPr="00435D62">
        <w:rPr>
          <w:rFonts w:ascii="Arial" w:hAnsi="Arial" w:cs="Arial"/>
          <w:szCs w:val="24"/>
        </w:rPr>
        <w:t>to</w:t>
      </w:r>
      <w:r w:rsidR="00267984" w:rsidRPr="00435D62">
        <w:rPr>
          <w:rFonts w:ascii="Arial" w:hAnsi="Arial" w:cs="Arial"/>
          <w:szCs w:val="24"/>
        </w:rPr>
        <w:t xml:space="preserve"> the courts to regulate.</w:t>
      </w:r>
    </w:p>
    <w:p w14:paraId="777CF6CA" w14:textId="14E0AA75" w:rsidR="003C4346" w:rsidRPr="00435D62" w:rsidRDefault="00435D62" w:rsidP="00435D62">
      <w:pPr>
        <w:rPr>
          <w:rFonts w:ascii="Arial" w:hAnsi="Arial" w:cs="Arial"/>
          <w:szCs w:val="24"/>
        </w:rPr>
      </w:pPr>
      <w:r w:rsidRPr="00C40087">
        <w:rPr>
          <w:rFonts w:ascii="Arial" w:hAnsi="Arial" w:cs="Arial"/>
          <w:iCs/>
          <w:sz w:val="24"/>
          <w:szCs w:val="24"/>
        </w:rPr>
        <w:t>[8]</w:t>
      </w:r>
      <w:r w:rsidRPr="00C40087">
        <w:rPr>
          <w:rFonts w:ascii="Arial" w:hAnsi="Arial" w:cs="Arial"/>
          <w:iCs/>
          <w:sz w:val="24"/>
          <w:szCs w:val="24"/>
        </w:rPr>
        <w:tab/>
      </w:r>
      <w:r w:rsidR="003C4346" w:rsidRPr="00435D62">
        <w:rPr>
          <w:rFonts w:ascii="Arial" w:hAnsi="Arial" w:cs="Arial"/>
          <w:szCs w:val="24"/>
        </w:rPr>
        <w:t xml:space="preserve">In </w:t>
      </w:r>
      <w:r w:rsidR="003C4346" w:rsidRPr="00435D62">
        <w:rPr>
          <w:rFonts w:ascii="Arial" w:hAnsi="Arial" w:cs="Arial"/>
          <w:i/>
          <w:szCs w:val="24"/>
        </w:rPr>
        <w:t>Phillips</w:t>
      </w:r>
      <w:r w:rsidR="003C4346" w:rsidRPr="00435D62">
        <w:rPr>
          <w:rFonts w:ascii="Arial" w:hAnsi="Arial" w:cs="Arial"/>
          <w:szCs w:val="24"/>
        </w:rPr>
        <w:t>, the appeal court described the role of the prescribed 30-day time limit for the lodging of appeals applicable in that matter as follows:</w:t>
      </w:r>
    </w:p>
    <w:p w14:paraId="10149CEB" w14:textId="036A303A" w:rsidR="003C4346" w:rsidRDefault="00895D46" w:rsidP="00781523">
      <w:pPr>
        <w:pStyle w:val="ListParagraph"/>
        <w:spacing w:line="360" w:lineRule="auto"/>
        <w:ind w:left="720"/>
        <w:rPr>
          <w:rFonts w:ascii="Arial" w:hAnsi="Arial" w:cs="Arial"/>
          <w:szCs w:val="24"/>
        </w:rPr>
      </w:pPr>
      <w:r w:rsidRPr="00C40087">
        <w:rPr>
          <w:rFonts w:ascii="Arial" w:hAnsi="Arial" w:cs="Arial"/>
          <w:szCs w:val="24"/>
        </w:rPr>
        <w:t>‘</w:t>
      </w:r>
      <w:r w:rsidR="003C4346" w:rsidRPr="00781523">
        <w:rPr>
          <w:rFonts w:ascii="Arial" w:hAnsi="Arial" w:cs="Arial"/>
          <w:i/>
          <w:iCs/>
          <w:szCs w:val="24"/>
        </w:rPr>
        <w:t xml:space="preserve">Die dertig dae bepaling is klaarblyklik ingevoer om </w:t>
      </w:r>
      <w:r w:rsidR="00F41C9B">
        <w:rPr>
          <w:rFonts w:ascii="Arial" w:hAnsi="Arial" w:cs="Arial"/>
          <w:i/>
          <w:iCs/>
          <w:szCs w:val="24"/>
        </w:rPr>
        <w:t>’</w:t>
      </w:r>
      <w:r w:rsidR="003C4346" w:rsidRPr="00781523">
        <w:rPr>
          <w:rFonts w:ascii="Arial" w:hAnsi="Arial" w:cs="Arial"/>
          <w:i/>
          <w:iCs/>
          <w:szCs w:val="24"/>
        </w:rPr>
        <w:t xml:space="preserve">n vertraging in die daarstelling van </w:t>
      </w:r>
      <w:r w:rsidR="00F41C9B">
        <w:rPr>
          <w:rFonts w:ascii="Arial" w:hAnsi="Arial" w:cs="Arial"/>
          <w:i/>
          <w:iCs/>
          <w:szCs w:val="24"/>
        </w:rPr>
        <w:t>’</w:t>
      </w:r>
      <w:r w:rsidR="003C4346" w:rsidRPr="00781523">
        <w:rPr>
          <w:rFonts w:ascii="Arial" w:hAnsi="Arial" w:cs="Arial"/>
          <w:i/>
          <w:iCs/>
          <w:szCs w:val="24"/>
        </w:rPr>
        <w:t xml:space="preserve">n juiste register te voorkom. Maar dit spreek vanself dat </w:t>
      </w:r>
      <w:r w:rsidR="00F41C9B">
        <w:rPr>
          <w:rFonts w:ascii="Arial" w:hAnsi="Arial" w:cs="Arial"/>
          <w:i/>
          <w:iCs/>
          <w:szCs w:val="24"/>
        </w:rPr>
        <w:t>’</w:t>
      </w:r>
      <w:r w:rsidR="003C4346" w:rsidRPr="00781523">
        <w:rPr>
          <w:rFonts w:ascii="Arial" w:hAnsi="Arial" w:cs="Arial"/>
          <w:i/>
          <w:iCs/>
          <w:szCs w:val="24"/>
        </w:rPr>
        <w:t xml:space="preserve">n termynbepaling wat verlengbaar is nie outomaties verleng sal word nie, dog slegs waar voldoende rede vir kondonasie aangevoer is. Gevolglik sou verlenging nie in stryd wees nie met </w:t>
      </w:r>
      <w:r w:rsidR="00F41C9B">
        <w:rPr>
          <w:rFonts w:ascii="Arial" w:hAnsi="Arial" w:cs="Arial"/>
          <w:i/>
          <w:iCs/>
          <w:szCs w:val="24"/>
        </w:rPr>
        <w:t>’</w:t>
      </w:r>
      <w:r w:rsidR="003C4346" w:rsidRPr="00781523">
        <w:rPr>
          <w:rFonts w:ascii="Arial" w:hAnsi="Arial" w:cs="Arial"/>
          <w:i/>
          <w:iCs/>
          <w:szCs w:val="24"/>
        </w:rPr>
        <w:t>n bedoeling dat bespoediging van die administratiewe werking van die wet nie belemmer moet word nie</w:t>
      </w:r>
      <w:r w:rsidR="003C4346" w:rsidRPr="00C40087">
        <w:rPr>
          <w:rFonts w:ascii="Arial" w:hAnsi="Arial" w:cs="Arial"/>
          <w:szCs w:val="24"/>
        </w:rPr>
        <w:t>.</w:t>
      </w:r>
      <w:r w:rsidR="00781523">
        <w:rPr>
          <w:rFonts w:ascii="Arial" w:hAnsi="Arial" w:cs="Arial"/>
          <w:szCs w:val="24"/>
        </w:rPr>
        <w:t>’</w:t>
      </w:r>
      <w:r>
        <w:rPr>
          <w:rStyle w:val="FootnoteReference"/>
          <w:rFonts w:ascii="Arial" w:hAnsi="Arial" w:cs="Arial"/>
          <w:szCs w:val="24"/>
        </w:rPr>
        <w:footnoteReference w:id="2"/>
      </w:r>
    </w:p>
    <w:p w14:paraId="7A6A447F" w14:textId="77777777" w:rsidR="00781523" w:rsidRPr="00C40087" w:rsidRDefault="00781523" w:rsidP="00781523">
      <w:pPr>
        <w:pStyle w:val="ListParagraph"/>
        <w:spacing w:line="360" w:lineRule="auto"/>
        <w:ind w:left="720"/>
        <w:rPr>
          <w:rFonts w:ascii="Arial" w:hAnsi="Arial" w:cs="Arial"/>
          <w:szCs w:val="24"/>
        </w:rPr>
      </w:pPr>
    </w:p>
    <w:p w14:paraId="01D4AED4" w14:textId="1EAD1FD6" w:rsidR="003C4346" w:rsidRPr="00435D62" w:rsidRDefault="00435D62" w:rsidP="00435D62">
      <w:pPr>
        <w:rPr>
          <w:rFonts w:ascii="Arial" w:hAnsi="Arial" w:cs="Arial"/>
          <w:szCs w:val="24"/>
        </w:rPr>
      </w:pPr>
      <w:r w:rsidRPr="00C40087">
        <w:rPr>
          <w:rFonts w:ascii="Arial" w:hAnsi="Arial" w:cs="Arial"/>
          <w:iCs/>
          <w:sz w:val="24"/>
          <w:szCs w:val="24"/>
        </w:rPr>
        <w:t>[9]</w:t>
      </w:r>
      <w:r w:rsidRPr="00C40087">
        <w:rPr>
          <w:rFonts w:ascii="Arial" w:hAnsi="Arial" w:cs="Arial"/>
          <w:iCs/>
          <w:sz w:val="24"/>
          <w:szCs w:val="24"/>
        </w:rPr>
        <w:tab/>
      </w:r>
      <w:r w:rsidR="00895D46" w:rsidRPr="00435D62">
        <w:rPr>
          <w:rFonts w:ascii="Arial" w:hAnsi="Arial" w:cs="Arial"/>
          <w:szCs w:val="24"/>
        </w:rPr>
        <w:t xml:space="preserve">By </w:t>
      </w:r>
      <w:r w:rsidR="00A54779" w:rsidRPr="00435D62">
        <w:rPr>
          <w:rFonts w:ascii="Arial" w:hAnsi="Arial" w:cs="Arial"/>
          <w:szCs w:val="24"/>
        </w:rPr>
        <w:t>parity</w:t>
      </w:r>
      <w:r w:rsidR="00895D46" w:rsidRPr="00435D62">
        <w:rPr>
          <w:rFonts w:ascii="Arial" w:hAnsi="Arial" w:cs="Arial"/>
          <w:szCs w:val="24"/>
        </w:rPr>
        <w:t xml:space="preserve"> of reasoning</w:t>
      </w:r>
      <w:r w:rsidR="00A54779" w:rsidRPr="00435D62">
        <w:rPr>
          <w:rFonts w:ascii="Arial" w:hAnsi="Arial" w:cs="Arial"/>
          <w:szCs w:val="24"/>
        </w:rPr>
        <w:t>,</w:t>
      </w:r>
      <w:r w:rsidR="00895D46" w:rsidRPr="00435D62">
        <w:rPr>
          <w:rFonts w:ascii="Arial" w:hAnsi="Arial" w:cs="Arial"/>
          <w:szCs w:val="24"/>
        </w:rPr>
        <w:t xml:space="preserve"> we have concluded that upon a proper contextual consideration of the provisions of s 57(2) of the CSOS Act, the court does have the power, on good cause shown, to condone non-compliance with the 30-day time limit therein prescribed</w:t>
      </w:r>
      <w:r w:rsidR="00A54779" w:rsidRPr="00435D62">
        <w:rPr>
          <w:rFonts w:ascii="Arial" w:hAnsi="Arial" w:cs="Arial"/>
          <w:szCs w:val="24"/>
        </w:rPr>
        <w:t>.</w:t>
      </w:r>
    </w:p>
    <w:p w14:paraId="5743AB1E" w14:textId="3C381C18" w:rsidR="00CD14E3" w:rsidRPr="00435D62" w:rsidRDefault="00435D62" w:rsidP="00435D62">
      <w:pPr>
        <w:rPr>
          <w:rFonts w:ascii="Arial" w:hAnsi="Arial" w:cs="Arial"/>
          <w:i/>
          <w:iCs/>
          <w:szCs w:val="24"/>
        </w:rPr>
      </w:pPr>
      <w:r w:rsidRPr="00BC6DAC">
        <w:rPr>
          <w:rFonts w:ascii="Arial" w:hAnsi="Arial" w:cs="Arial"/>
          <w:iCs/>
          <w:sz w:val="24"/>
          <w:szCs w:val="24"/>
        </w:rPr>
        <w:t>[10]</w:t>
      </w:r>
      <w:r w:rsidRPr="00BC6DAC">
        <w:rPr>
          <w:rFonts w:ascii="Arial" w:hAnsi="Arial" w:cs="Arial"/>
          <w:iCs/>
          <w:sz w:val="24"/>
          <w:szCs w:val="24"/>
        </w:rPr>
        <w:tab/>
      </w:r>
      <w:r w:rsidR="00D1575F" w:rsidRPr="00435D62">
        <w:rPr>
          <w:rFonts w:ascii="Arial" w:hAnsi="Arial" w:cs="Arial"/>
          <w:szCs w:val="24"/>
        </w:rPr>
        <w:t xml:space="preserve">The delay in lodging the appeal in the proper form was because the appellant’s attorneys had initially understood that the applicable procedure was that determined upon in </w:t>
      </w:r>
      <w:r w:rsidR="006F1A58" w:rsidRPr="00435D62">
        <w:rPr>
          <w:rFonts w:ascii="Arial" w:hAnsi="Arial" w:cs="Arial"/>
          <w:i/>
          <w:iCs/>
          <w:szCs w:val="24"/>
        </w:rPr>
        <w:t>Stenersen and Tulleken Administration CC v Linton Park Body Corporate and Another</w:t>
      </w:r>
      <w:r w:rsidR="006F1A58" w:rsidRPr="00435D62">
        <w:rPr>
          <w:rFonts w:ascii="Arial" w:hAnsi="Arial" w:cs="Arial"/>
          <w:szCs w:val="24"/>
        </w:rPr>
        <w:t xml:space="preserve"> [2019] ZAGPJHC 387 (24 October 2019); 2020 (1) SA 651 (GJ) </w:t>
      </w:r>
      <w:r w:rsidR="00D1575F" w:rsidRPr="00435D62">
        <w:rPr>
          <w:rFonts w:ascii="Arial" w:eastAsia="Times New Roman" w:hAnsi="Arial" w:cs="Arial"/>
          <w:szCs w:val="24"/>
        </w:rPr>
        <w:t xml:space="preserve">for such appeals brought in the Gauteng Division.  </w:t>
      </w:r>
      <w:r w:rsidR="00BD69F1" w:rsidRPr="00435D62">
        <w:rPr>
          <w:rFonts w:ascii="Arial" w:eastAsia="Times New Roman" w:hAnsi="Arial" w:cs="Arial"/>
          <w:szCs w:val="24"/>
        </w:rPr>
        <w:t xml:space="preserve">In the face of this court’s decision in </w:t>
      </w:r>
      <w:r w:rsidR="00BD69F1" w:rsidRPr="00435D62">
        <w:rPr>
          <w:rFonts w:ascii="Arial" w:eastAsia="Times New Roman" w:hAnsi="Arial" w:cs="Arial"/>
          <w:i/>
          <w:iCs/>
          <w:szCs w:val="24"/>
        </w:rPr>
        <w:t>Shmaryahu</w:t>
      </w:r>
      <w:r w:rsidR="00BD69F1" w:rsidRPr="00435D62">
        <w:rPr>
          <w:rFonts w:ascii="Arial" w:eastAsia="Times New Roman" w:hAnsi="Arial" w:cs="Arial"/>
          <w:szCs w:val="24"/>
        </w:rPr>
        <w:t xml:space="preserve"> supra, which was confirmed, post </w:t>
      </w:r>
      <w:r w:rsidR="00BD69F1" w:rsidRPr="00435D62">
        <w:rPr>
          <w:rFonts w:ascii="Arial" w:eastAsia="Times New Roman" w:hAnsi="Arial" w:cs="Arial"/>
          <w:i/>
          <w:iCs/>
          <w:szCs w:val="24"/>
        </w:rPr>
        <w:t>Stenersen</w:t>
      </w:r>
      <w:r w:rsidR="00BD69F1" w:rsidRPr="00435D62">
        <w:rPr>
          <w:rFonts w:ascii="Arial" w:eastAsia="Times New Roman" w:hAnsi="Arial" w:cs="Arial"/>
          <w:szCs w:val="24"/>
        </w:rPr>
        <w:t xml:space="preserve">, in </w:t>
      </w:r>
      <w:r w:rsidR="00BD69F1" w:rsidRPr="00435D62">
        <w:rPr>
          <w:rFonts w:ascii="Arial" w:eastAsia="Times New Roman" w:hAnsi="Arial" w:cs="Arial"/>
          <w:i/>
          <w:iCs/>
          <w:szCs w:val="24"/>
        </w:rPr>
        <w:t>Kingshaven Homeowners’ Association v Botha and others</w:t>
      </w:r>
      <w:r w:rsidR="00BD69F1" w:rsidRPr="00435D62">
        <w:rPr>
          <w:rFonts w:ascii="Arial" w:eastAsia="Times New Roman" w:hAnsi="Arial" w:cs="Arial"/>
          <w:szCs w:val="24"/>
        </w:rPr>
        <w:t xml:space="preserve"> [2020] </w:t>
      </w:r>
      <w:r w:rsidR="00BD69F1" w:rsidRPr="00435D62">
        <w:rPr>
          <w:rFonts w:ascii="Arial" w:eastAsia="Times New Roman" w:hAnsi="Arial" w:cs="Arial"/>
          <w:szCs w:val="24"/>
        </w:rPr>
        <w:lastRenderedPageBreak/>
        <w:t xml:space="preserve">ZAWCHC 92 (4 September 2020), their reliance </w:t>
      </w:r>
      <w:r w:rsidR="0046743A" w:rsidRPr="00435D62">
        <w:rPr>
          <w:rFonts w:ascii="Arial" w:eastAsia="Times New Roman" w:hAnsi="Arial" w:cs="Arial"/>
          <w:szCs w:val="24"/>
        </w:rPr>
        <w:t xml:space="preserve">on the Gauteng decision was </w:t>
      </w:r>
      <w:r w:rsidR="00CC331D" w:rsidRPr="00435D62">
        <w:rPr>
          <w:rFonts w:ascii="Arial" w:eastAsia="Times New Roman" w:hAnsi="Arial" w:cs="Arial"/>
          <w:szCs w:val="24"/>
        </w:rPr>
        <w:t xml:space="preserve">plainly </w:t>
      </w:r>
      <w:r w:rsidR="0046743A" w:rsidRPr="00435D62">
        <w:rPr>
          <w:rFonts w:ascii="Arial" w:eastAsia="Times New Roman" w:hAnsi="Arial" w:cs="Arial"/>
          <w:szCs w:val="24"/>
        </w:rPr>
        <w:t>misdirected.</w:t>
      </w:r>
      <w:r w:rsidR="00BD69F1" w:rsidRPr="00435D62">
        <w:rPr>
          <w:rFonts w:ascii="Arial" w:eastAsia="Times New Roman" w:hAnsi="Arial" w:cs="Arial"/>
          <w:szCs w:val="24"/>
        </w:rPr>
        <w:t xml:space="preserve"> </w:t>
      </w:r>
      <w:r w:rsidR="00D1575F" w:rsidRPr="00435D62">
        <w:rPr>
          <w:rFonts w:ascii="Arial" w:eastAsia="Times New Roman" w:hAnsi="Arial" w:cs="Arial"/>
          <w:szCs w:val="24"/>
        </w:rPr>
        <w:t>The</w:t>
      </w:r>
      <w:r w:rsidR="0046743A" w:rsidRPr="00435D62">
        <w:rPr>
          <w:rFonts w:ascii="Arial" w:eastAsia="Times New Roman" w:hAnsi="Arial" w:cs="Arial"/>
          <w:szCs w:val="24"/>
        </w:rPr>
        <w:t xml:space="preserve">y </w:t>
      </w:r>
      <w:r w:rsidR="00D1575F" w:rsidRPr="00435D62">
        <w:rPr>
          <w:rFonts w:ascii="Arial" w:eastAsia="Times New Roman" w:hAnsi="Arial" w:cs="Arial"/>
          <w:szCs w:val="24"/>
        </w:rPr>
        <w:t xml:space="preserve">were disabused </w:t>
      </w:r>
      <w:r w:rsidR="0046743A" w:rsidRPr="00435D62">
        <w:rPr>
          <w:rFonts w:ascii="Arial" w:eastAsia="Times New Roman" w:hAnsi="Arial" w:cs="Arial"/>
          <w:szCs w:val="24"/>
        </w:rPr>
        <w:t xml:space="preserve">when their </w:t>
      </w:r>
      <w:r w:rsidR="00CC331D" w:rsidRPr="00435D62">
        <w:rPr>
          <w:rFonts w:ascii="Arial" w:eastAsia="Times New Roman" w:hAnsi="Arial" w:cs="Arial"/>
          <w:szCs w:val="24"/>
        </w:rPr>
        <w:t>reliance</w:t>
      </w:r>
      <w:r w:rsidR="0046743A" w:rsidRPr="00435D62">
        <w:rPr>
          <w:rFonts w:ascii="Arial" w:eastAsia="Times New Roman" w:hAnsi="Arial" w:cs="Arial"/>
          <w:szCs w:val="24"/>
        </w:rPr>
        <w:t xml:space="preserve"> on </w:t>
      </w:r>
      <w:r w:rsidR="0046743A" w:rsidRPr="00435D62">
        <w:rPr>
          <w:rFonts w:ascii="Arial" w:eastAsia="Times New Roman" w:hAnsi="Arial" w:cs="Arial"/>
          <w:i/>
          <w:iCs/>
          <w:szCs w:val="24"/>
        </w:rPr>
        <w:t>Stenersen</w:t>
      </w:r>
      <w:r w:rsidR="0046743A" w:rsidRPr="00435D62">
        <w:rPr>
          <w:rFonts w:ascii="Arial" w:eastAsia="Times New Roman" w:hAnsi="Arial" w:cs="Arial"/>
          <w:szCs w:val="24"/>
        </w:rPr>
        <w:t xml:space="preserve"> in an appeal in terms of s 57 for another client </w:t>
      </w:r>
      <w:r w:rsidR="00CC331D" w:rsidRPr="00435D62">
        <w:rPr>
          <w:rFonts w:ascii="Arial" w:eastAsia="Times New Roman" w:hAnsi="Arial" w:cs="Arial"/>
          <w:szCs w:val="24"/>
        </w:rPr>
        <w:t>resulted in th</w:t>
      </w:r>
      <w:r w:rsidR="00A869BF" w:rsidRPr="00435D62">
        <w:rPr>
          <w:rFonts w:ascii="Arial" w:eastAsia="Times New Roman" w:hAnsi="Arial" w:cs="Arial"/>
          <w:szCs w:val="24"/>
        </w:rPr>
        <w:t>at</w:t>
      </w:r>
      <w:r w:rsidR="00CC331D" w:rsidRPr="00435D62">
        <w:rPr>
          <w:rFonts w:ascii="Arial" w:eastAsia="Times New Roman" w:hAnsi="Arial" w:cs="Arial"/>
          <w:szCs w:val="24"/>
        </w:rPr>
        <w:t xml:space="preserve"> matter being</w:t>
      </w:r>
      <w:r w:rsidR="0046743A" w:rsidRPr="00435D62">
        <w:rPr>
          <w:rFonts w:ascii="Arial" w:eastAsia="Times New Roman" w:hAnsi="Arial" w:cs="Arial"/>
          <w:szCs w:val="24"/>
        </w:rPr>
        <w:t xml:space="preserve"> struck from the roll on account of </w:t>
      </w:r>
      <w:r w:rsidR="00A869BF" w:rsidRPr="00435D62">
        <w:rPr>
          <w:rFonts w:ascii="Arial" w:eastAsia="Times New Roman" w:hAnsi="Arial" w:cs="Arial"/>
          <w:szCs w:val="24"/>
        </w:rPr>
        <w:t>its non-compliance with</w:t>
      </w:r>
      <w:r w:rsidR="0046743A" w:rsidRPr="00435D62">
        <w:rPr>
          <w:rFonts w:ascii="Arial" w:eastAsia="Times New Roman" w:hAnsi="Arial" w:cs="Arial"/>
          <w:szCs w:val="24"/>
        </w:rPr>
        <w:t xml:space="preserve"> the procedural guidelines established for use in such cases in this (and </w:t>
      </w:r>
      <w:r w:rsidR="00CC331D" w:rsidRPr="00435D62">
        <w:rPr>
          <w:rFonts w:ascii="Arial" w:eastAsia="Times New Roman" w:hAnsi="Arial" w:cs="Arial"/>
          <w:szCs w:val="24"/>
        </w:rPr>
        <w:t xml:space="preserve">also </w:t>
      </w:r>
      <w:r w:rsidR="0046743A" w:rsidRPr="00435D62">
        <w:rPr>
          <w:rFonts w:ascii="Arial" w:eastAsia="Times New Roman" w:hAnsi="Arial" w:cs="Arial"/>
          <w:szCs w:val="24"/>
        </w:rPr>
        <w:t>the KwaZulu-Natal</w:t>
      </w:r>
      <w:r w:rsidR="009F2F37">
        <w:rPr>
          <w:rStyle w:val="FootnoteReference"/>
          <w:rFonts w:ascii="Arial" w:eastAsia="Times New Roman" w:hAnsi="Arial" w:cs="Arial"/>
          <w:szCs w:val="24"/>
        </w:rPr>
        <w:footnoteReference w:id="3"/>
      </w:r>
      <w:r w:rsidR="0046743A" w:rsidRPr="00435D62">
        <w:rPr>
          <w:rFonts w:ascii="Arial" w:eastAsia="Times New Roman" w:hAnsi="Arial" w:cs="Arial"/>
          <w:szCs w:val="24"/>
        </w:rPr>
        <w:t xml:space="preserve">) Division; see </w:t>
      </w:r>
      <w:r w:rsidR="00BC6DAC" w:rsidRPr="00435D62">
        <w:rPr>
          <w:rFonts w:ascii="Arial" w:hAnsi="Arial" w:cs="Arial"/>
          <w:i/>
          <w:iCs/>
          <w:szCs w:val="24"/>
        </w:rPr>
        <w:t xml:space="preserve">Trustees of Alessio Body Corporate v Cottle and Others </w:t>
      </w:r>
      <w:r w:rsidR="00BC6DAC" w:rsidRPr="00435D62">
        <w:rPr>
          <w:rFonts w:ascii="Arial" w:hAnsi="Arial" w:cs="Arial"/>
          <w:iCs/>
          <w:szCs w:val="24"/>
        </w:rPr>
        <w:t>[2022] ZAWCHC 233 (15 August 2022)</w:t>
      </w:r>
      <w:r w:rsidR="0046743A" w:rsidRPr="00435D62">
        <w:rPr>
          <w:rFonts w:ascii="Arial" w:eastAsia="Times New Roman" w:hAnsi="Arial" w:cs="Arial"/>
          <w:szCs w:val="24"/>
        </w:rPr>
        <w:t>.</w:t>
      </w:r>
    </w:p>
    <w:p w14:paraId="663B450B" w14:textId="6AB40774" w:rsidR="00BD4F08" w:rsidRPr="00435D62" w:rsidRDefault="00435D62" w:rsidP="00435D62">
      <w:pPr>
        <w:rPr>
          <w:rFonts w:ascii="Arial" w:hAnsi="Arial" w:cs="Arial"/>
          <w:szCs w:val="24"/>
        </w:rPr>
      </w:pPr>
      <w:r w:rsidRPr="00C40087">
        <w:rPr>
          <w:rFonts w:ascii="Arial" w:hAnsi="Arial" w:cs="Arial"/>
          <w:iCs/>
          <w:sz w:val="24"/>
          <w:szCs w:val="24"/>
        </w:rPr>
        <w:t>[11]</w:t>
      </w:r>
      <w:r w:rsidRPr="00C40087">
        <w:rPr>
          <w:rFonts w:ascii="Arial" w:hAnsi="Arial" w:cs="Arial"/>
          <w:iCs/>
          <w:sz w:val="24"/>
          <w:szCs w:val="24"/>
        </w:rPr>
        <w:tab/>
      </w:r>
      <w:r w:rsidR="006B3BD0" w:rsidRPr="00435D62">
        <w:rPr>
          <w:rFonts w:ascii="Arial" w:hAnsi="Arial" w:cs="Arial"/>
          <w:szCs w:val="24"/>
        </w:rPr>
        <w:t>The appellant’s initial failure to follow the established procedure was unreasonable in the circumstances, but the resultant delay</w:t>
      </w:r>
      <w:r w:rsidR="00633D9D" w:rsidRPr="00435D62">
        <w:rPr>
          <w:rFonts w:ascii="Arial" w:hAnsi="Arial" w:cs="Arial"/>
          <w:szCs w:val="24"/>
        </w:rPr>
        <w:t xml:space="preserve"> – which was by no means inordinate -</w:t>
      </w:r>
      <w:r w:rsidR="006B3BD0" w:rsidRPr="00435D62">
        <w:rPr>
          <w:rFonts w:ascii="Arial" w:hAnsi="Arial" w:cs="Arial"/>
          <w:szCs w:val="24"/>
        </w:rPr>
        <w:t xml:space="preserve"> has not occasioned </w:t>
      </w:r>
      <w:r w:rsidR="00A33D36" w:rsidRPr="00435D62">
        <w:rPr>
          <w:rFonts w:ascii="Arial" w:hAnsi="Arial" w:cs="Arial"/>
          <w:szCs w:val="24"/>
        </w:rPr>
        <w:t>material</w:t>
      </w:r>
      <w:r w:rsidR="006B3BD0" w:rsidRPr="00435D62">
        <w:rPr>
          <w:rFonts w:ascii="Arial" w:hAnsi="Arial" w:cs="Arial"/>
          <w:szCs w:val="24"/>
        </w:rPr>
        <w:t xml:space="preserve"> prejudice to the other parties</w:t>
      </w:r>
      <w:r w:rsidR="00633D9D" w:rsidRPr="00435D62">
        <w:rPr>
          <w:rFonts w:ascii="Arial" w:hAnsi="Arial" w:cs="Arial"/>
          <w:szCs w:val="24"/>
        </w:rPr>
        <w:t>.  Unsurprisingly in the circumstances, there was no opposition to condonation being granted.</w:t>
      </w:r>
      <w:r w:rsidR="00BD4F08" w:rsidRPr="00435D62">
        <w:rPr>
          <w:rFonts w:ascii="Arial" w:hAnsi="Arial" w:cs="Arial"/>
          <w:szCs w:val="24"/>
        </w:rPr>
        <w:t xml:space="preserve"> </w:t>
      </w:r>
      <w:r w:rsidR="00633D9D" w:rsidRPr="00435D62">
        <w:rPr>
          <w:rFonts w:ascii="Arial" w:hAnsi="Arial" w:cs="Arial"/>
          <w:szCs w:val="24"/>
        </w:rPr>
        <w:t xml:space="preserve"> It also counted in the appellant’s favour that his appeal appeared to us to have merit</w:t>
      </w:r>
      <w:r w:rsidR="00A33D36" w:rsidRPr="00435D62">
        <w:rPr>
          <w:rFonts w:ascii="Arial" w:hAnsi="Arial" w:cs="Arial"/>
          <w:szCs w:val="24"/>
        </w:rPr>
        <w:t>,</w:t>
      </w:r>
      <w:r w:rsidR="00633D9D" w:rsidRPr="00435D62">
        <w:rPr>
          <w:rFonts w:ascii="Arial" w:hAnsi="Arial" w:cs="Arial"/>
          <w:szCs w:val="24"/>
        </w:rPr>
        <w:t xml:space="preserve"> and </w:t>
      </w:r>
      <w:r w:rsidR="00A33D36" w:rsidRPr="00435D62">
        <w:rPr>
          <w:rFonts w:ascii="Arial" w:hAnsi="Arial" w:cs="Arial"/>
          <w:szCs w:val="24"/>
        </w:rPr>
        <w:t xml:space="preserve">that </w:t>
      </w:r>
      <w:r w:rsidR="00633D9D" w:rsidRPr="00435D62">
        <w:rPr>
          <w:rFonts w:ascii="Arial" w:hAnsi="Arial" w:cs="Arial"/>
          <w:szCs w:val="24"/>
        </w:rPr>
        <w:t>it would therefore be in the interests of justice for it to be entertained</w:t>
      </w:r>
      <w:r w:rsidR="00A869BF" w:rsidRPr="00435D62">
        <w:rPr>
          <w:rFonts w:ascii="Arial" w:hAnsi="Arial" w:cs="Arial"/>
          <w:szCs w:val="24"/>
        </w:rPr>
        <w:t xml:space="preserve"> despite the delay</w:t>
      </w:r>
      <w:r w:rsidR="00633D9D" w:rsidRPr="00435D62">
        <w:rPr>
          <w:rFonts w:ascii="Arial" w:hAnsi="Arial" w:cs="Arial"/>
          <w:szCs w:val="24"/>
        </w:rPr>
        <w:t>.  An order condoning the appellant’s non-compliance with the prescribed time limit will therefore be granted.</w:t>
      </w:r>
    </w:p>
    <w:p w14:paraId="0AD49A21" w14:textId="0F51A634" w:rsidR="00BD4F08" w:rsidRPr="00435D62" w:rsidRDefault="00435D62" w:rsidP="00435D62">
      <w:pPr>
        <w:rPr>
          <w:rFonts w:ascii="Arial" w:hAnsi="Arial" w:cs="Arial"/>
          <w:szCs w:val="24"/>
        </w:rPr>
      </w:pPr>
      <w:r w:rsidRPr="00C40087">
        <w:rPr>
          <w:rFonts w:ascii="Arial" w:hAnsi="Arial" w:cs="Arial"/>
          <w:iCs/>
          <w:sz w:val="24"/>
          <w:szCs w:val="24"/>
        </w:rPr>
        <w:t>[12]</w:t>
      </w:r>
      <w:r w:rsidRPr="00C40087">
        <w:rPr>
          <w:rFonts w:ascii="Arial" w:hAnsi="Arial" w:cs="Arial"/>
          <w:iCs/>
          <w:sz w:val="24"/>
          <w:szCs w:val="24"/>
        </w:rPr>
        <w:tab/>
      </w:r>
      <w:r w:rsidR="00A33D36" w:rsidRPr="00435D62">
        <w:rPr>
          <w:rFonts w:ascii="Arial" w:hAnsi="Arial" w:cs="Arial"/>
          <w:szCs w:val="24"/>
        </w:rPr>
        <w:t xml:space="preserve">We </w:t>
      </w:r>
      <w:r w:rsidR="00BD4F08" w:rsidRPr="00435D62">
        <w:rPr>
          <w:rFonts w:ascii="Arial" w:hAnsi="Arial" w:cs="Arial"/>
          <w:szCs w:val="24"/>
        </w:rPr>
        <w:t xml:space="preserve">turn </w:t>
      </w:r>
      <w:r w:rsidR="00A33D36" w:rsidRPr="00435D62">
        <w:rPr>
          <w:rFonts w:ascii="Arial" w:hAnsi="Arial" w:cs="Arial"/>
          <w:szCs w:val="24"/>
        </w:rPr>
        <w:t xml:space="preserve">then </w:t>
      </w:r>
      <w:r w:rsidR="00BD4F08" w:rsidRPr="00435D62">
        <w:rPr>
          <w:rFonts w:ascii="Arial" w:hAnsi="Arial" w:cs="Arial"/>
          <w:szCs w:val="24"/>
        </w:rPr>
        <w:t>to deal with the merits of th</w:t>
      </w:r>
      <w:r w:rsidR="009D0EEF" w:rsidRPr="00435D62">
        <w:rPr>
          <w:rFonts w:ascii="Arial" w:hAnsi="Arial" w:cs="Arial"/>
          <w:szCs w:val="24"/>
        </w:rPr>
        <w:t>e</w:t>
      </w:r>
      <w:r w:rsidR="00BD4F08" w:rsidRPr="00435D62">
        <w:rPr>
          <w:rFonts w:ascii="Arial" w:hAnsi="Arial" w:cs="Arial"/>
          <w:szCs w:val="24"/>
        </w:rPr>
        <w:t xml:space="preserve"> app</w:t>
      </w:r>
      <w:r w:rsidR="009D0EEF" w:rsidRPr="00435D62">
        <w:rPr>
          <w:rFonts w:ascii="Arial" w:hAnsi="Arial" w:cs="Arial"/>
          <w:szCs w:val="24"/>
        </w:rPr>
        <w:t>eal</w:t>
      </w:r>
      <w:r w:rsidR="00BD4F08" w:rsidRPr="00435D62">
        <w:rPr>
          <w:rFonts w:ascii="Arial" w:hAnsi="Arial" w:cs="Arial"/>
          <w:szCs w:val="24"/>
        </w:rPr>
        <w:t xml:space="preserve">. </w:t>
      </w:r>
    </w:p>
    <w:p w14:paraId="1929A361" w14:textId="71B56A95" w:rsidR="00E72628" w:rsidRPr="00435D62" w:rsidRDefault="00435D62" w:rsidP="00435D62">
      <w:pPr>
        <w:rPr>
          <w:rFonts w:ascii="Arial" w:hAnsi="Arial" w:cs="Arial"/>
          <w:szCs w:val="24"/>
        </w:rPr>
      </w:pPr>
      <w:r w:rsidRPr="00C40087">
        <w:rPr>
          <w:rFonts w:ascii="Arial" w:hAnsi="Arial" w:cs="Arial"/>
          <w:iCs/>
          <w:sz w:val="24"/>
          <w:szCs w:val="24"/>
        </w:rPr>
        <w:t>[13]</w:t>
      </w:r>
      <w:r w:rsidRPr="00C40087">
        <w:rPr>
          <w:rFonts w:ascii="Arial" w:hAnsi="Arial" w:cs="Arial"/>
          <w:iCs/>
          <w:sz w:val="24"/>
          <w:szCs w:val="24"/>
        </w:rPr>
        <w:tab/>
      </w:r>
      <w:r w:rsidR="00CD14E3" w:rsidRPr="00435D62">
        <w:rPr>
          <w:rFonts w:ascii="Arial" w:hAnsi="Arial" w:cs="Arial"/>
          <w:szCs w:val="24"/>
        </w:rPr>
        <w:t xml:space="preserve">On 17 November 2021, the </w:t>
      </w:r>
      <w:r w:rsidR="00A869BF" w:rsidRPr="00435D62">
        <w:rPr>
          <w:rFonts w:ascii="Arial" w:hAnsi="Arial" w:cs="Arial"/>
          <w:szCs w:val="24"/>
        </w:rPr>
        <w:t xml:space="preserve">Body Corporate </w:t>
      </w:r>
      <w:r w:rsidR="00CD14E3" w:rsidRPr="00435D62">
        <w:rPr>
          <w:rFonts w:ascii="Arial" w:hAnsi="Arial" w:cs="Arial"/>
          <w:szCs w:val="24"/>
        </w:rPr>
        <w:t xml:space="preserve">resolved to increase the levy raised on the exclusive use balcony </w:t>
      </w:r>
      <w:r w:rsidR="00A33D36" w:rsidRPr="00435D62">
        <w:rPr>
          <w:rFonts w:ascii="Arial" w:hAnsi="Arial" w:cs="Arial"/>
          <w:szCs w:val="24"/>
        </w:rPr>
        <w:t xml:space="preserve">areas </w:t>
      </w:r>
      <w:r w:rsidR="00CD14E3" w:rsidRPr="00435D62">
        <w:rPr>
          <w:rFonts w:ascii="Arial" w:hAnsi="Arial" w:cs="Arial"/>
          <w:szCs w:val="24"/>
        </w:rPr>
        <w:t xml:space="preserve">from R3 to R23 </w:t>
      </w:r>
      <w:r w:rsidR="00E72628" w:rsidRPr="00435D62">
        <w:rPr>
          <w:rFonts w:ascii="Arial" w:hAnsi="Arial" w:cs="Arial"/>
          <w:szCs w:val="24"/>
        </w:rPr>
        <w:t xml:space="preserve">per </w:t>
      </w:r>
      <w:r w:rsidR="00781523" w:rsidRPr="00435D62">
        <w:rPr>
          <w:rFonts w:ascii="Arial" w:hAnsi="Arial" w:cs="Arial"/>
          <w:szCs w:val="24"/>
        </w:rPr>
        <w:t>square metre</w:t>
      </w:r>
      <w:r w:rsidR="00E72628" w:rsidRPr="00435D62">
        <w:rPr>
          <w:rFonts w:ascii="Arial" w:hAnsi="Arial" w:cs="Arial"/>
          <w:szCs w:val="24"/>
        </w:rPr>
        <w:t>.</w:t>
      </w:r>
      <w:r w:rsidR="00BD4F08" w:rsidRPr="00435D62">
        <w:rPr>
          <w:rFonts w:ascii="Arial" w:hAnsi="Arial" w:cs="Arial"/>
          <w:szCs w:val="24"/>
        </w:rPr>
        <w:t xml:space="preserve"> </w:t>
      </w:r>
      <w:r w:rsidR="00E72628" w:rsidRPr="00435D62">
        <w:rPr>
          <w:rFonts w:ascii="Arial" w:hAnsi="Arial" w:cs="Arial"/>
          <w:szCs w:val="24"/>
        </w:rPr>
        <w:t xml:space="preserve">The increase </w:t>
      </w:r>
      <w:r w:rsidR="00BD4F08" w:rsidRPr="00435D62">
        <w:rPr>
          <w:rFonts w:ascii="Arial" w:hAnsi="Arial" w:cs="Arial"/>
          <w:szCs w:val="24"/>
        </w:rPr>
        <w:t xml:space="preserve">was </w:t>
      </w:r>
      <w:r w:rsidR="003C308E" w:rsidRPr="00435D62">
        <w:rPr>
          <w:rFonts w:ascii="Arial" w:hAnsi="Arial" w:cs="Arial"/>
          <w:szCs w:val="24"/>
        </w:rPr>
        <w:t>ostensibly</w:t>
      </w:r>
      <w:r w:rsidR="00E72628" w:rsidRPr="00435D62">
        <w:rPr>
          <w:rFonts w:ascii="Arial" w:hAnsi="Arial" w:cs="Arial"/>
          <w:szCs w:val="24"/>
        </w:rPr>
        <w:t xml:space="preserve"> to defray </w:t>
      </w:r>
      <w:r w:rsidR="003C308E" w:rsidRPr="00435D62">
        <w:rPr>
          <w:rFonts w:ascii="Arial" w:hAnsi="Arial" w:cs="Arial"/>
          <w:szCs w:val="24"/>
        </w:rPr>
        <w:t>the</w:t>
      </w:r>
      <w:r w:rsidR="00E72628" w:rsidRPr="00435D62">
        <w:rPr>
          <w:rFonts w:ascii="Arial" w:hAnsi="Arial" w:cs="Arial"/>
          <w:szCs w:val="24"/>
        </w:rPr>
        <w:t xml:space="preserve"> cost </w:t>
      </w:r>
      <w:r w:rsidR="003C308E" w:rsidRPr="00435D62">
        <w:rPr>
          <w:rFonts w:ascii="Arial" w:hAnsi="Arial" w:cs="Arial"/>
          <w:szCs w:val="24"/>
        </w:rPr>
        <w:t>of</w:t>
      </w:r>
      <w:r w:rsidR="00E72628" w:rsidRPr="00435D62">
        <w:rPr>
          <w:rFonts w:ascii="Arial" w:hAnsi="Arial" w:cs="Arial"/>
          <w:szCs w:val="24"/>
        </w:rPr>
        <w:t xml:space="preserve"> </w:t>
      </w:r>
      <w:r w:rsidR="003C308E" w:rsidRPr="00435D62">
        <w:rPr>
          <w:rFonts w:ascii="Arial" w:hAnsi="Arial" w:cs="Arial"/>
          <w:szCs w:val="24"/>
        </w:rPr>
        <w:t>insurance</w:t>
      </w:r>
      <w:r w:rsidR="00E72628" w:rsidRPr="00435D62">
        <w:rPr>
          <w:rFonts w:ascii="Arial" w:hAnsi="Arial" w:cs="Arial"/>
          <w:szCs w:val="24"/>
        </w:rPr>
        <w:t xml:space="preserve">, maintenance and </w:t>
      </w:r>
      <w:r w:rsidR="00A33D36" w:rsidRPr="00435D62">
        <w:rPr>
          <w:rFonts w:ascii="Arial" w:hAnsi="Arial" w:cs="Arial"/>
          <w:szCs w:val="24"/>
        </w:rPr>
        <w:t xml:space="preserve">other expenses </w:t>
      </w:r>
      <w:r w:rsidR="00A57F0F" w:rsidRPr="00435D62">
        <w:rPr>
          <w:rFonts w:ascii="Arial" w:hAnsi="Arial" w:cs="Arial"/>
          <w:szCs w:val="24"/>
        </w:rPr>
        <w:t xml:space="preserve">and </w:t>
      </w:r>
      <w:r w:rsidR="00254AFC" w:rsidRPr="00435D62">
        <w:rPr>
          <w:rFonts w:ascii="Arial" w:hAnsi="Arial" w:cs="Arial"/>
          <w:szCs w:val="24"/>
        </w:rPr>
        <w:t>to make</w:t>
      </w:r>
      <w:r w:rsidR="00A57F0F" w:rsidRPr="00435D62">
        <w:rPr>
          <w:rFonts w:ascii="Arial" w:hAnsi="Arial" w:cs="Arial"/>
          <w:szCs w:val="24"/>
        </w:rPr>
        <w:t xml:space="preserve"> provision</w:t>
      </w:r>
      <w:r w:rsidR="00E72628" w:rsidRPr="00435D62">
        <w:rPr>
          <w:rFonts w:ascii="Arial" w:hAnsi="Arial" w:cs="Arial"/>
          <w:szCs w:val="24"/>
        </w:rPr>
        <w:t xml:space="preserve"> towards the sc</w:t>
      </w:r>
      <w:r w:rsidR="00CA099D" w:rsidRPr="00435D62">
        <w:rPr>
          <w:rFonts w:ascii="Arial" w:hAnsi="Arial" w:cs="Arial"/>
          <w:szCs w:val="24"/>
        </w:rPr>
        <w:t>heme’s 10-year maintenance plan</w:t>
      </w:r>
      <w:r w:rsidR="00A57F0F" w:rsidRPr="00435D62">
        <w:rPr>
          <w:rFonts w:ascii="Arial" w:hAnsi="Arial" w:cs="Arial"/>
          <w:szCs w:val="24"/>
        </w:rPr>
        <w:t>. I</w:t>
      </w:r>
      <w:r w:rsidR="00CA099D" w:rsidRPr="00435D62">
        <w:rPr>
          <w:rFonts w:ascii="Arial" w:hAnsi="Arial" w:cs="Arial"/>
          <w:szCs w:val="24"/>
        </w:rPr>
        <w:t>t was further resolved that the increase would operate retrospectively.</w:t>
      </w:r>
    </w:p>
    <w:p w14:paraId="6D6D8D56" w14:textId="4F5E7FF5" w:rsidR="00047F77" w:rsidRPr="00435D62" w:rsidRDefault="00435D62" w:rsidP="00435D62">
      <w:pPr>
        <w:rPr>
          <w:rFonts w:ascii="Arial" w:hAnsi="Arial" w:cs="Arial"/>
          <w:szCs w:val="24"/>
        </w:rPr>
      </w:pPr>
      <w:r w:rsidRPr="00C40087">
        <w:rPr>
          <w:rFonts w:ascii="Arial" w:hAnsi="Arial" w:cs="Arial"/>
          <w:iCs/>
          <w:sz w:val="24"/>
          <w:szCs w:val="24"/>
        </w:rPr>
        <w:t>[14]</w:t>
      </w:r>
      <w:r w:rsidRPr="00C40087">
        <w:rPr>
          <w:rFonts w:ascii="Arial" w:hAnsi="Arial" w:cs="Arial"/>
          <w:iCs/>
          <w:sz w:val="24"/>
          <w:szCs w:val="24"/>
        </w:rPr>
        <w:tab/>
      </w:r>
      <w:r w:rsidR="00047F77" w:rsidRPr="00435D62">
        <w:rPr>
          <w:rFonts w:ascii="Arial" w:hAnsi="Arial" w:cs="Arial"/>
          <w:szCs w:val="24"/>
        </w:rPr>
        <w:t>The appellant lodged a dispute with the second respondent</w:t>
      </w:r>
      <w:r w:rsidR="00A57F0F" w:rsidRPr="00435D62">
        <w:rPr>
          <w:rFonts w:ascii="Arial" w:hAnsi="Arial" w:cs="Arial"/>
          <w:szCs w:val="24"/>
        </w:rPr>
        <w:t>,</w:t>
      </w:r>
      <w:r w:rsidR="00047F77" w:rsidRPr="00435D62">
        <w:rPr>
          <w:rFonts w:ascii="Arial" w:hAnsi="Arial" w:cs="Arial"/>
          <w:szCs w:val="24"/>
        </w:rPr>
        <w:t xml:space="preserve"> </w:t>
      </w:r>
      <w:r w:rsidR="000E14AE" w:rsidRPr="00435D62">
        <w:rPr>
          <w:rFonts w:ascii="Arial" w:hAnsi="Arial" w:cs="Arial"/>
          <w:szCs w:val="24"/>
        </w:rPr>
        <w:t>and sought</w:t>
      </w:r>
      <w:r w:rsidR="00047F77" w:rsidRPr="00435D62">
        <w:rPr>
          <w:rFonts w:ascii="Arial" w:hAnsi="Arial" w:cs="Arial"/>
          <w:szCs w:val="24"/>
        </w:rPr>
        <w:t xml:space="preserve"> order</w:t>
      </w:r>
      <w:r w:rsidR="00A57F0F" w:rsidRPr="00435D62">
        <w:rPr>
          <w:rFonts w:ascii="Arial" w:hAnsi="Arial" w:cs="Arial"/>
          <w:szCs w:val="24"/>
        </w:rPr>
        <w:t>s</w:t>
      </w:r>
      <w:r w:rsidR="00047F77" w:rsidRPr="00435D62">
        <w:rPr>
          <w:rFonts w:ascii="Arial" w:hAnsi="Arial" w:cs="Arial"/>
          <w:szCs w:val="24"/>
        </w:rPr>
        <w:t xml:space="preserve"> in terms of s 39(1)(c) of the CSOS Act </w:t>
      </w:r>
      <w:r w:rsidR="000E14AE" w:rsidRPr="00435D62">
        <w:rPr>
          <w:rFonts w:ascii="Arial" w:hAnsi="Arial" w:cs="Arial"/>
          <w:szCs w:val="24"/>
        </w:rPr>
        <w:t xml:space="preserve">in the subsequent adjudication process </w:t>
      </w:r>
      <w:r w:rsidR="00A57F0F" w:rsidRPr="00435D62">
        <w:rPr>
          <w:rFonts w:ascii="Arial" w:hAnsi="Arial" w:cs="Arial"/>
          <w:szCs w:val="24"/>
        </w:rPr>
        <w:t xml:space="preserve">(i) declaring </w:t>
      </w:r>
      <w:r w:rsidR="00047F77" w:rsidRPr="00435D62">
        <w:rPr>
          <w:rFonts w:ascii="Arial" w:hAnsi="Arial" w:cs="Arial"/>
          <w:szCs w:val="24"/>
        </w:rPr>
        <w:t xml:space="preserve">that the contribution levied on the exclusive use balcony use owners </w:t>
      </w:r>
      <w:r w:rsidR="00A57F0F" w:rsidRPr="00435D62">
        <w:rPr>
          <w:rFonts w:ascii="Arial" w:hAnsi="Arial" w:cs="Arial"/>
          <w:szCs w:val="24"/>
        </w:rPr>
        <w:t xml:space="preserve">had been </w:t>
      </w:r>
      <w:r w:rsidR="00047F77" w:rsidRPr="00435D62">
        <w:rPr>
          <w:rFonts w:ascii="Arial" w:hAnsi="Arial" w:cs="Arial"/>
          <w:szCs w:val="24"/>
        </w:rPr>
        <w:t xml:space="preserve">incorrectly determined </w:t>
      </w:r>
      <w:r w:rsidR="00A57F0F" w:rsidRPr="00435D62">
        <w:rPr>
          <w:rFonts w:ascii="Arial" w:hAnsi="Arial" w:cs="Arial"/>
          <w:szCs w:val="24"/>
        </w:rPr>
        <w:t>in conflict with</w:t>
      </w:r>
      <w:r w:rsidR="00047F77" w:rsidRPr="00435D62">
        <w:rPr>
          <w:rFonts w:ascii="Arial" w:hAnsi="Arial" w:cs="Arial"/>
          <w:szCs w:val="24"/>
        </w:rPr>
        <w:t xml:space="preserve"> </w:t>
      </w:r>
      <w:r w:rsidR="00A57F0F" w:rsidRPr="00435D62">
        <w:rPr>
          <w:rFonts w:ascii="Arial" w:hAnsi="Arial" w:cs="Arial"/>
          <w:szCs w:val="24"/>
        </w:rPr>
        <w:t>s </w:t>
      </w:r>
      <w:r w:rsidR="00047F77" w:rsidRPr="00435D62">
        <w:rPr>
          <w:rFonts w:ascii="Arial" w:hAnsi="Arial" w:cs="Arial"/>
          <w:szCs w:val="24"/>
        </w:rPr>
        <w:t xml:space="preserve">3(1)(c) of the </w:t>
      </w:r>
      <w:r w:rsidR="009975AC" w:rsidRPr="00435D62">
        <w:rPr>
          <w:rFonts w:ascii="Arial" w:hAnsi="Arial" w:cs="Arial"/>
          <w:szCs w:val="24"/>
        </w:rPr>
        <w:t>Sectional Titles Schemes Management Act 8 of 2011 (“the STSMA”)</w:t>
      </w:r>
      <w:r w:rsidR="00A57F0F" w:rsidRPr="00435D62">
        <w:rPr>
          <w:rFonts w:ascii="Arial" w:hAnsi="Arial" w:cs="Arial"/>
          <w:szCs w:val="24"/>
        </w:rPr>
        <w:t>, (ii) directing</w:t>
      </w:r>
      <w:r w:rsidR="00047F77" w:rsidRPr="00435D62">
        <w:rPr>
          <w:rFonts w:ascii="Arial" w:hAnsi="Arial" w:cs="Arial"/>
          <w:szCs w:val="24"/>
        </w:rPr>
        <w:t xml:space="preserve"> that the contribution be adjusted to the correct or a reasonable amount; and </w:t>
      </w:r>
      <w:r w:rsidR="00A57F0F" w:rsidRPr="00435D62">
        <w:rPr>
          <w:rFonts w:ascii="Arial" w:hAnsi="Arial" w:cs="Arial"/>
          <w:szCs w:val="24"/>
        </w:rPr>
        <w:t>(iii) further</w:t>
      </w:r>
      <w:r w:rsidR="00781523" w:rsidRPr="00435D62">
        <w:rPr>
          <w:rFonts w:ascii="Arial" w:hAnsi="Arial" w:cs="Arial"/>
          <w:szCs w:val="24"/>
        </w:rPr>
        <w:t>, in terms of s 39(1)(e) of the CSOS Ac</w:t>
      </w:r>
      <w:r w:rsidR="00AE6A13" w:rsidRPr="00435D62">
        <w:rPr>
          <w:rFonts w:ascii="Arial" w:hAnsi="Arial" w:cs="Arial"/>
          <w:szCs w:val="24"/>
        </w:rPr>
        <w:t>t,</w:t>
      </w:r>
      <w:r w:rsidR="00A57F0F" w:rsidRPr="00435D62">
        <w:rPr>
          <w:rFonts w:ascii="Arial" w:hAnsi="Arial" w:cs="Arial"/>
          <w:szCs w:val="24"/>
        </w:rPr>
        <w:t xml:space="preserve"> directing </w:t>
      </w:r>
      <w:r w:rsidR="00047F77" w:rsidRPr="00435D62">
        <w:rPr>
          <w:rFonts w:ascii="Arial" w:hAnsi="Arial" w:cs="Arial"/>
          <w:szCs w:val="24"/>
        </w:rPr>
        <w:t xml:space="preserve">that all amounts paid </w:t>
      </w:r>
      <w:r w:rsidR="00A57F0F" w:rsidRPr="00435D62">
        <w:rPr>
          <w:rFonts w:ascii="Arial" w:hAnsi="Arial" w:cs="Arial"/>
          <w:szCs w:val="24"/>
        </w:rPr>
        <w:t xml:space="preserve">by him </w:t>
      </w:r>
      <w:r w:rsidR="00047F77" w:rsidRPr="00435D62">
        <w:rPr>
          <w:rFonts w:ascii="Arial" w:hAnsi="Arial" w:cs="Arial"/>
          <w:szCs w:val="24"/>
        </w:rPr>
        <w:t xml:space="preserve">in excess of the </w:t>
      </w:r>
      <w:r w:rsidR="00A57F0F" w:rsidRPr="00435D62">
        <w:rPr>
          <w:rFonts w:ascii="Arial" w:hAnsi="Arial" w:cs="Arial"/>
          <w:szCs w:val="24"/>
        </w:rPr>
        <w:t>adjusted</w:t>
      </w:r>
      <w:r w:rsidR="00047F77" w:rsidRPr="00435D62">
        <w:rPr>
          <w:rFonts w:ascii="Arial" w:hAnsi="Arial" w:cs="Arial"/>
          <w:szCs w:val="24"/>
        </w:rPr>
        <w:t xml:space="preserve"> amount be credited to his levy account.</w:t>
      </w:r>
    </w:p>
    <w:p w14:paraId="0204A7A0" w14:textId="16FA6140" w:rsidR="00394B70" w:rsidRPr="00435D62" w:rsidRDefault="00435D62" w:rsidP="00435D62">
      <w:pPr>
        <w:rPr>
          <w:rFonts w:ascii="Arial" w:hAnsi="Arial" w:cs="Arial"/>
          <w:szCs w:val="24"/>
        </w:rPr>
      </w:pPr>
      <w:r w:rsidRPr="00C40087">
        <w:rPr>
          <w:rFonts w:ascii="Arial" w:hAnsi="Arial" w:cs="Arial"/>
          <w:iCs/>
          <w:sz w:val="24"/>
          <w:szCs w:val="24"/>
        </w:rPr>
        <w:t>[15]</w:t>
      </w:r>
      <w:r w:rsidRPr="00C40087">
        <w:rPr>
          <w:rFonts w:ascii="Arial" w:hAnsi="Arial" w:cs="Arial"/>
          <w:iCs/>
          <w:sz w:val="24"/>
          <w:szCs w:val="24"/>
        </w:rPr>
        <w:tab/>
      </w:r>
      <w:r w:rsidR="00394B70" w:rsidRPr="00435D62">
        <w:rPr>
          <w:rFonts w:ascii="Arial" w:hAnsi="Arial" w:cs="Arial"/>
          <w:szCs w:val="24"/>
        </w:rPr>
        <w:t>Section 3(1)(c) of the STSMA provides</w:t>
      </w:r>
      <w:r w:rsidR="00EA58FE" w:rsidRPr="00435D62">
        <w:rPr>
          <w:rFonts w:ascii="Arial" w:hAnsi="Arial" w:cs="Arial"/>
          <w:szCs w:val="24"/>
        </w:rPr>
        <w:t xml:space="preserve"> as follows</w:t>
      </w:r>
      <w:r w:rsidR="00394B70" w:rsidRPr="00435D62">
        <w:rPr>
          <w:rFonts w:ascii="Arial" w:hAnsi="Arial" w:cs="Arial"/>
          <w:szCs w:val="24"/>
        </w:rPr>
        <w:t>:</w:t>
      </w:r>
    </w:p>
    <w:p w14:paraId="62B076FC" w14:textId="799B2E9D" w:rsidR="00EA58FE" w:rsidRPr="00C40087" w:rsidRDefault="00254AFC" w:rsidP="005C19E3">
      <w:pPr>
        <w:pStyle w:val="ListParagraph"/>
        <w:spacing w:before="120" w:after="120" w:line="360" w:lineRule="auto"/>
        <w:ind w:left="720"/>
        <w:rPr>
          <w:rFonts w:ascii="Arial" w:hAnsi="Arial" w:cs="Arial"/>
          <w:i/>
        </w:rPr>
      </w:pPr>
      <w:r>
        <w:rPr>
          <w:rFonts w:ascii="Arial" w:hAnsi="Arial" w:cs="Arial"/>
          <w:i/>
        </w:rPr>
        <w:t>‘</w:t>
      </w:r>
      <w:r w:rsidR="001C4571" w:rsidRPr="00C40087">
        <w:rPr>
          <w:rFonts w:ascii="Arial" w:hAnsi="Arial" w:cs="Arial"/>
          <w:i/>
        </w:rPr>
        <w:t>3.</w:t>
      </w:r>
      <w:r w:rsidR="001C4571" w:rsidRPr="00C40087">
        <w:rPr>
          <w:rFonts w:ascii="Arial" w:hAnsi="Arial" w:cs="Arial"/>
          <w:i/>
        </w:rPr>
        <w:tab/>
        <w:t>Functions of bodies corporate.-</w:t>
      </w:r>
    </w:p>
    <w:p w14:paraId="079F5E00" w14:textId="10359C0D" w:rsidR="00394B70" w:rsidRPr="00435D62" w:rsidRDefault="00435D62" w:rsidP="00435D62">
      <w:pPr>
        <w:spacing w:before="120" w:after="120" w:line="360" w:lineRule="auto"/>
        <w:ind w:left="1985" w:hanging="567"/>
        <w:rPr>
          <w:rFonts w:ascii="Arial" w:hAnsi="Arial" w:cs="Arial"/>
          <w:i/>
        </w:rPr>
      </w:pPr>
      <w:r w:rsidRPr="00C40087">
        <w:rPr>
          <w:rFonts w:ascii="Arial" w:hAnsi="Arial" w:cs="Arial"/>
          <w:i/>
          <w:sz w:val="24"/>
        </w:rPr>
        <w:t>(1)</w:t>
      </w:r>
      <w:r w:rsidRPr="00C40087">
        <w:rPr>
          <w:rFonts w:ascii="Arial" w:hAnsi="Arial" w:cs="Arial"/>
          <w:i/>
          <w:sz w:val="24"/>
        </w:rPr>
        <w:tab/>
      </w:r>
      <w:r w:rsidR="001C4571" w:rsidRPr="00435D62">
        <w:rPr>
          <w:rFonts w:ascii="Arial" w:hAnsi="Arial" w:cs="Arial"/>
          <w:i/>
        </w:rPr>
        <w:t>A body corporate must perform the functions entrusted to it by or under this Act or the rules, as such functions include-</w:t>
      </w:r>
    </w:p>
    <w:p w14:paraId="717B2361" w14:textId="23990516" w:rsidR="00EA58FE" w:rsidRPr="00C40087" w:rsidRDefault="001C4571" w:rsidP="005C19E3">
      <w:pPr>
        <w:pStyle w:val="ListParagraph"/>
        <w:spacing w:before="120" w:after="120" w:line="360" w:lineRule="auto"/>
        <w:ind w:left="2552" w:hanging="567"/>
        <w:rPr>
          <w:rFonts w:ascii="Arial" w:hAnsi="Arial" w:cs="Arial"/>
          <w:i/>
          <w:u w:val="single"/>
        </w:rPr>
      </w:pPr>
      <w:r w:rsidRPr="00C40087">
        <w:rPr>
          <w:rFonts w:ascii="Arial" w:hAnsi="Arial" w:cs="Arial"/>
          <w:i/>
        </w:rPr>
        <w:t>(c)</w:t>
      </w:r>
      <w:r w:rsidRPr="00C40087">
        <w:rPr>
          <w:rFonts w:ascii="Arial" w:hAnsi="Arial" w:cs="Arial"/>
          <w:i/>
        </w:rPr>
        <w:tab/>
        <w:t xml:space="preserve">to require the owners, whenever necessary, to make contributions to such funds: Provided that the body corporate must require the owners of sections entitled to the exclusive use of a part or parts of the common property, whether or not such </w:t>
      </w:r>
      <w:r w:rsidRPr="00C40087">
        <w:rPr>
          <w:rFonts w:ascii="Arial" w:hAnsi="Arial" w:cs="Arial"/>
          <w:i/>
        </w:rPr>
        <w:lastRenderedPageBreak/>
        <w:t xml:space="preserve">right is </w:t>
      </w:r>
      <w:r w:rsidR="003C308E" w:rsidRPr="00C40087">
        <w:rPr>
          <w:rFonts w:ascii="Arial" w:hAnsi="Arial" w:cs="Arial"/>
          <w:i/>
        </w:rPr>
        <w:t>registered</w:t>
      </w:r>
      <w:r w:rsidRPr="00C40087">
        <w:rPr>
          <w:rFonts w:ascii="Arial" w:hAnsi="Arial" w:cs="Arial"/>
          <w:i/>
        </w:rPr>
        <w:t xml:space="preserve"> or conferred by rules, to make such additional contribution to the funds as is estimated necessary to defray the costs of rates and taxes, insurance and maintenance in respect of any such part or parts, including the </w:t>
      </w:r>
      <w:r w:rsidR="003C308E" w:rsidRPr="00C40087">
        <w:rPr>
          <w:rFonts w:ascii="Arial" w:hAnsi="Arial" w:cs="Arial"/>
          <w:i/>
        </w:rPr>
        <w:t>provision</w:t>
      </w:r>
      <w:r w:rsidRPr="00C40087">
        <w:rPr>
          <w:rFonts w:ascii="Arial" w:hAnsi="Arial" w:cs="Arial"/>
          <w:i/>
        </w:rPr>
        <w:t xml:space="preserve"> of electricity and water, </w:t>
      </w:r>
      <w:r w:rsidRPr="00C40087">
        <w:rPr>
          <w:rFonts w:ascii="Arial" w:hAnsi="Arial" w:cs="Arial"/>
          <w:i/>
          <w:u w:val="single"/>
        </w:rPr>
        <w:t xml:space="preserve">unless in terms of the rules the </w:t>
      </w:r>
      <w:r w:rsidR="003C308E" w:rsidRPr="00C40087">
        <w:rPr>
          <w:rFonts w:ascii="Arial" w:hAnsi="Arial" w:cs="Arial"/>
          <w:i/>
          <w:u w:val="single"/>
        </w:rPr>
        <w:t>owners</w:t>
      </w:r>
      <w:r w:rsidRPr="00C40087">
        <w:rPr>
          <w:rFonts w:ascii="Arial" w:hAnsi="Arial" w:cs="Arial"/>
          <w:i/>
          <w:u w:val="single"/>
        </w:rPr>
        <w:t xml:space="preserve"> concerned are responsible for such costs.</w:t>
      </w:r>
      <w:r w:rsidR="00254AFC">
        <w:rPr>
          <w:rFonts w:ascii="Arial" w:hAnsi="Arial" w:cs="Arial"/>
          <w:i/>
          <w:u w:val="single"/>
        </w:rPr>
        <w:t>’</w:t>
      </w:r>
      <w:r w:rsidR="00332E86" w:rsidRPr="00C40087">
        <w:rPr>
          <w:rFonts w:ascii="Arial" w:hAnsi="Arial" w:cs="Arial"/>
          <w:i/>
          <w:u w:val="single"/>
        </w:rPr>
        <w:t xml:space="preserve"> </w:t>
      </w:r>
    </w:p>
    <w:p w14:paraId="07E5D450" w14:textId="41ABC097" w:rsidR="001C4571" w:rsidRPr="00254AFC" w:rsidRDefault="00332E86" w:rsidP="00254AFC">
      <w:pPr>
        <w:pStyle w:val="ListParagraph"/>
        <w:ind w:left="720"/>
        <w:rPr>
          <w:rFonts w:ascii="Arial" w:hAnsi="Arial" w:cs="Arial"/>
          <w:iCs/>
          <w:szCs w:val="24"/>
        </w:rPr>
      </w:pPr>
      <w:r w:rsidRPr="00254AFC">
        <w:rPr>
          <w:rFonts w:ascii="Arial" w:hAnsi="Arial" w:cs="Arial"/>
          <w:iCs/>
          <w:szCs w:val="24"/>
        </w:rPr>
        <w:t>(</w:t>
      </w:r>
      <w:r w:rsidR="00EA58FE" w:rsidRPr="00254AFC">
        <w:rPr>
          <w:rFonts w:ascii="Arial" w:hAnsi="Arial" w:cs="Arial"/>
          <w:iCs/>
          <w:szCs w:val="24"/>
        </w:rPr>
        <w:t>E</w:t>
      </w:r>
      <w:r w:rsidRPr="00254AFC">
        <w:rPr>
          <w:rFonts w:ascii="Arial" w:hAnsi="Arial" w:cs="Arial"/>
          <w:iCs/>
          <w:szCs w:val="24"/>
        </w:rPr>
        <w:t>mphasis</w:t>
      </w:r>
      <w:r w:rsidR="00EA58FE" w:rsidRPr="00254AFC">
        <w:rPr>
          <w:rFonts w:ascii="Arial" w:hAnsi="Arial" w:cs="Arial"/>
          <w:iCs/>
          <w:szCs w:val="24"/>
        </w:rPr>
        <w:t xml:space="preserve"> supplied</w:t>
      </w:r>
      <w:r w:rsidR="005C19E3">
        <w:rPr>
          <w:rFonts w:ascii="Arial" w:hAnsi="Arial" w:cs="Arial"/>
          <w:iCs/>
          <w:szCs w:val="24"/>
        </w:rPr>
        <w:t>.</w:t>
      </w:r>
      <w:r w:rsidRPr="00254AFC">
        <w:rPr>
          <w:rFonts w:ascii="Arial" w:hAnsi="Arial" w:cs="Arial"/>
          <w:iCs/>
          <w:szCs w:val="24"/>
        </w:rPr>
        <w:t>)</w:t>
      </w:r>
    </w:p>
    <w:p w14:paraId="2958F186" w14:textId="006B08F6" w:rsidR="001C4571" w:rsidRPr="00435D62" w:rsidRDefault="00435D62" w:rsidP="00435D62">
      <w:pPr>
        <w:rPr>
          <w:rFonts w:ascii="Arial" w:hAnsi="Arial" w:cs="Arial"/>
          <w:i/>
          <w:szCs w:val="24"/>
        </w:rPr>
      </w:pPr>
      <w:r w:rsidRPr="00C40087">
        <w:rPr>
          <w:rFonts w:ascii="Arial" w:hAnsi="Arial" w:cs="Arial"/>
          <w:iCs/>
          <w:sz w:val="24"/>
          <w:szCs w:val="24"/>
        </w:rPr>
        <w:t>[16]</w:t>
      </w:r>
      <w:r w:rsidRPr="00C40087">
        <w:rPr>
          <w:rFonts w:ascii="Arial" w:hAnsi="Arial" w:cs="Arial"/>
          <w:iCs/>
          <w:sz w:val="24"/>
          <w:szCs w:val="24"/>
        </w:rPr>
        <w:tab/>
      </w:r>
      <w:r w:rsidR="00332E86" w:rsidRPr="00435D62">
        <w:rPr>
          <w:rFonts w:ascii="Arial" w:hAnsi="Arial" w:cs="Arial"/>
          <w:szCs w:val="24"/>
        </w:rPr>
        <w:t xml:space="preserve">Simply said, </w:t>
      </w:r>
      <w:r w:rsidR="00FB4DF0" w:rsidRPr="00435D62">
        <w:rPr>
          <w:rFonts w:ascii="Arial" w:hAnsi="Arial" w:cs="Arial"/>
          <w:szCs w:val="24"/>
        </w:rPr>
        <w:t>s</w:t>
      </w:r>
      <w:r w:rsidR="00C4696B" w:rsidRPr="00435D62">
        <w:rPr>
          <w:rFonts w:ascii="Arial" w:hAnsi="Arial" w:cs="Arial"/>
          <w:szCs w:val="24"/>
        </w:rPr>
        <w:t xml:space="preserve"> </w:t>
      </w:r>
      <w:r w:rsidR="001C4571" w:rsidRPr="00435D62">
        <w:rPr>
          <w:rFonts w:ascii="Arial" w:hAnsi="Arial" w:cs="Arial"/>
          <w:szCs w:val="24"/>
        </w:rPr>
        <w:t>3(1)(c) of the STSMA requires the body corporate to make a policy decision</w:t>
      </w:r>
      <w:r w:rsidR="00332E86" w:rsidRPr="00435D62">
        <w:rPr>
          <w:rFonts w:ascii="Arial" w:hAnsi="Arial" w:cs="Arial"/>
          <w:szCs w:val="24"/>
        </w:rPr>
        <w:t>: e</w:t>
      </w:r>
      <w:r w:rsidR="001C4571" w:rsidRPr="00435D62">
        <w:rPr>
          <w:rFonts w:ascii="Arial" w:hAnsi="Arial" w:cs="Arial"/>
          <w:szCs w:val="24"/>
        </w:rPr>
        <w:t xml:space="preserve">ither the </w:t>
      </w:r>
      <w:r w:rsidR="003C308E" w:rsidRPr="00435D62">
        <w:rPr>
          <w:rFonts w:ascii="Arial" w:hAnsi="Arial" w:cs="Arial"/>
          <w:szCs w:val="24"/>
        </w:rPr>
        <w:t>body</w:t>
      </w:r>
      <w:r w:rsidR="001C4571" w:rsidRPr="00435D62">
        <w:rPr>
          <w:rFonts w:ascii="Arial" w:hAnsi="Arial" w:cs="Arial"/>
          <w:szCs w:val="24"/>
        </w:rPr>
        <w:t xml:space="preserve"> corporate </w:t>
      </w:r>
      <w:r w:rsidR="003C308E" w:rsidRPr="00435D62">
        <w:rPr>
          <w:rFonts w:ascii="Arial" w:hAnsi="Arial" w:cs="Arial"/>
          <w:szCs w:val="24"/>
        </w:rPr>
        <w:t>maintains</w:t>
      </w:r>
      <w:r w:rsidR="001C4571" w:rsidRPr="00435D62">
        <w:rPr>
          <w:rFonts w:ascii="Arial" w:hAnsi="Arial" w:cs="Arial"/>
          <w:szCs w:val="24"/>
        </w:rPr>
        <w:t xml:space="preserve"> the exclusive use areas itself and colle</w:t>
      </w:r>
      <w:r w:rsidR="007D268F" w:rsidRPr="00435D62">
        <w:rPr>
          <w:rFonts w:ascii="Arial" w:hAnsi="Arial" w:cs="Arial"/>
          <w:szCs w:val="24"/>
        </w:rPr>
        <w:t>c</w:t>
      </w:r>
      <w:r w:rsidR="001C4571" w:rsidRPr="00435D62">
        <w:rPr>
          <w:rFonts w:ascii="Arial" w:hAnsi="Arial" w:cs="Arial"/>
          <w:szCs w:val="24"/>
        </w:rPr>
        <w:t>ts the costs of doing so from the owners of the areas</w:t>
      </w:r>
      <w:r w:rsidR="005A5C32" w:rsidRPr="00435D62">
        <w:rPr>
          <w:rFonts w:ascii="Arial" w:hAnsi="Arial" w:cs="Arial"/>
          <w:szCs w:val="24"/>
        </w:rPr>
        <w:t>,</w:t>
      </w:r>
      <w:r w:rsidR="001C4571" w:rsidRPr="00435D62">
        <w:rPr>
          <w:rFonts w:ascii="Arial" w:hAnsi="Arial" w:cs="Arial"/>
          <w:szCs w:val="24"/>
        </w:rPr>
        <w:t xml:space="preserve"> or the trustees amend the conduct rules and make the </w:t>
      </w:r>
      <w:r w:rsidR="003C308E" w:rsidRPr="00435D62">
        <w:rPr>
          <w:rFonts w:ascii="Arial" w:hAnsi="Arial" w:cs="Arial"/>
          <w:szCs w:val="24"/>
        </w:rPr>
        <w:t>maintenance</w:t>
      </w:r>
      <w:r w:rsidR="001C4571" w:rsidRPr="00435D62">
        <w:rPr>
          <w:rFonts w:ascii="Arial" w:hAnsi="Arial" w:cs="Arial"/>
          <w:szCs w:val="24"/>
        </w:rPr>
        <w:t xml:space="preserve"> (and </w:t>
      </w:r>
      <w:r w:rsidR="009975AC" w:rsidRPr="00435D62">
        <w:rPr>
          <w:rFonts w:ascii="Arial" w:hAnsi="Arial" w:cs="Arial"/>
          <w:szCs w:val="24"/>
        </w:rPr>
        <w:t xml:space="preserve">the </w:t>
      </w:r>
      <w:r w:rsidR="001C4571" w:rsidRPr="00435D62">
        <w:rPr>
          <w:rFonts w:ascii="Arial" w:hAnsi="Arial" w:cs="Arial"/>
          <w:szCs w:val="24"/>
        </w:rPr>
        <w:t>costs thereof) the responsibility of the owners (without the need for a contribution towards maintenance)</w:t>
      </w:r>
      <w:r w:rsidR="000E14AE" w:rsidRPr="00435D62">
        <w:rPr>
          <w:rFonts w:ascii="Arial" w:hAnsi="Arial" w:cs="Arial"/>
          <w:szCs w:val="24"/>
        </w:rPr>
        <w:t>.</w:t>
      </w:r>
      <w:r w:rsidR="00FB4DF0">
        <w:rPr>
          <w:rStyle w:val="FootnoteReference"/>
          <w:rFonts w:ascii="Arial" w:hAnsi="Arial" w:cs="Arial"/>
          <w:szCs w:val="24"/>
        </w:rPr>
        <w:footnoteReference w:id="4"/>
      </w:r>
    </w:p>
    <w:p w14:paraId="600ED300" w14:textId="13ED90DC" w:rsidR="00B16B97" w:rsidRPr="00435D62" w:rsidRDefault="00435D62" w:rsidP="00435D62">
      <w:pPr>
        <w:rPr>
          <w:rFonts w:ascii="Arial" w:hAnsi="Arial" w:cs="Arial"/>
          <w:szCs w:val="24"/>
        </w:rPr>
      </w:pPr>
      <w:r w:rsidRPr="00C40087">
        <w:rPr>
          <w:rFonts w:ascii="Arial" w:hAnsi="Arial" w:cs="Arial"/>
          <w:iCs/>
          <w:sz w:val="24"/>
          <w:szCs w:val="24"/>
        </w:rPr>
        <w:t>[17]</w:t>
      </w:r>
      <w:r w:rsidRPr="00C40087">
        <w:rPr>
          <w:rFonts w:ascii="Arial" w:hAnsi="Arial" w:cs="Arial"/>
          <w:iCs/>
          <w:sz w:val="24"/>
          <w:szCs w:val="24"/>
        </w:rPr>
        <w:tab/>
      </w:r>
      <w:r w:rsidR="00B16B97" w:rsidRPr="00435D62">
        <w:rPr>
          <w:rFonts w:ascii="Arial" w:hAnsi="Arial" w:cs="Arial"/>
          <w:szCs w:val="24"/>
        </w:rPr>
        <w:t>In th</w:t>
      </w:r>
      <w:r w:rsidR="00BA0CA7" w:rsidRPr="00435D62">
        <w:rPr>
          <w:rFonts w:ascii="Arial" w:hAnsi="Arial" w:cs="Arial"/>
          <w:szCs w:val="24"/>
        </w:rPr>
        <w:t>is matter</w:t>
      </w:r>
      <w:r w:rsidR="005C19E3" w:rsidRPr="00435D62">
        <w:rPr>
          <w:rFonts w:ascii="Arial" w:hAnsi="Arial" w:cs="Arial"/>
          <w:szCs w:val="24"/>
        </w:rPr>
        <w:t>,</w:t>
      </w:r>
      <w:r w:rsidR="00BA0CA7" w:rsidRPr="00435D62">
        <w:rPr>
          <w:rFonts w:ascii="Arial" w:hAnsi="Arial" w:cs="Arial"/>
          <w:szCs w:val="24"/>
        </w:rPr>
        <w:t xml:space="preserve"> the </w:t>
      </w:r>
      <w:r w:rsidR="005A5C32" w:rsidRPr="00435D62">
        <w:rPr>
          <w:rFonts w:ascii="Arial" w:hAnsi="Arial" w:cs="Arial"/>
          <w:szCs w:val="24"/>
        </w:rPr>
        <w:t>Body Corporate adopted a conduct rule (R</w:t>
      </w:r>
      <w:r w:rsidR="00B16B97" w:rsidRPr="00435D62">
        <w:rPr>
          <w:rFonts w:ascii="Arial" w:hAnsi="Arial" w:cs="Arial"/>
          <w:szCs w:val="24"/>
        </w:rPr>
        <w:t xml:space="preserve">ule </w:t>
      </w:r>
      <w:r w:rsidR="003205B2" w:rsidRPr="00435D62">
        <w:rPr>
          <w:rFonts w:ascii="Arial" w:hAnsi="Arial" w:cs="Arial"/>
          <w:szCs w:val="24"/>
        </w:rPr>
        <w:t>24(4)(a)</w:t>
      </w:r>
      <w:r w:rsidR="00F574C0" w:rsidRPr="00435D62">
        <w:rPr>
          <w:rFonts w:ascii="Arial" w:hAnsi="Arial" w:cs="Arial"/>
          <w:szCs w:val="24"/>
        </w:rPr>
        <w:t xml:space="preserve">), </w:t>
      </w:r>
      <w:r w:rsidR="00B16B97" w:rsidRPr="00435D62">
        <w:rPr>
          <w:rFonts w:ascii="Arial" w:hAnsi="Arial" w:cs="Arial"/>
          <w:szCs w:val="24"/>
        </w:rPr>
        <w:t>which recorded as follows:</w:t>
      </w:r>
    </w:p>
    <w:p w14:paraId="33C19871" w14:textId="4ACD4CA4" w:rsidR="00B16B97" w:rsidRPr="00C40087" w:rsidRDefault="005C19E3" w:rsidP="00AE6A13">
      <w:pPr>
        <w:pStyle w:val="ListParagraph"/>
        <w:keepNext/>
        <w:spacing w:before="120" w:after="120" w:line="360" w:lineRule="auto"/>
        <w:ind w:left="720"/>
        <w:rPr>
          <w:rFonts w:ascii="Arial" w:hAnsi="Arial" w:cs="Arial"/>
          <w:i/>
        </w:rPr>
      </w:pPr>
      <w:r>
        <w:rPr>
          <w:rFonts w:ascii="Arial" w:hAnsi="Arial" w:cs="Arial"/>
          <w:i/>
        </w:rPr>
        <w:t>‘</w:t>
      </w:r>
      <w:r w:rsidR="00B16B97" w:rsidRPr="00C40087">
        <w:rPr>
          <w:rFonts w:ascii="Arial" w:hAnsi="Arial" w:cs="Arial"/>
          <w:i/>
        </w:rPr>
        <w:t>4.</w:t>
      </w:r>
      <w:r w:rsidR="00B16B97" w:rsidRPr="00C40087">
        <w:rPr>
          <w:rFonts w:ascii="Arial" w:hAnsi="Arial" w:cs="Arial"/>
          <w:i/>
        </w:rPr>
        <w:tab/>
        <w:t>An owner to whom an exclusive use right has been allocated shall:</w:t>
      </w:r>
    </w:p>
    <w:p w14:paraId="2502010B" w14:textId="1F2EB93E" w:rsidR="00B16B97" w:rsidRPr="00435D62" w:rsidRDefault="00435D62" w:rsidP="00435D62">
      <w:pPr>
        <w:spacing w:before="120" w:after="120" w:line="360" w:lineRule="auto"/>
        <w:ind w:left="1440" w:hanging="720"/>
        <w:rPr>
          <w:rFonts w:ascii="Arial" w:hAnsi="Arial" w:cs="Arial"/>
          <w:i/>
        </w:rPr>
      </w:pPr>
      <w:r w:rsidRPr="00781523">
        <w:rPr>
          <w:rFonts w:ascii="Arial" w:hAnsi="Arial" w:cs="Arial"/>
          <w:i/>
          <w:sz w:val="24"/>
        </w:rPr>
        <w:t>(a)</w:t>
      </w:r>
      <w:r w:rsidRPr="00781523">
        <w:rPr>
          <w:rFonts w:ascii="Arial" w:hAnsi="Arial" w:cs="Arial"/>
          <w:i/>
          <w:sz w:val="24"/>
        </w:rPr>
        <w:tab/>
      </w:r>
      <w:r w:rsidR="00B16B97" w:rsidRPr="00435D62">
        <w:rPr>
          <w:rFonts w:ascii="Arial" w:hAnsi="Arial" w:cs="Arial"/>
          <w:i/>
        </w:rPr>
        <w:t>Maintain and repair that area as if it were part of his/her/its section and keep it clean and tidy.</w:t>
      </w:r>
      <w:r w:rsidR="005C19E3" w:rsidRPr="00435D62">
        <w:rPr>
          <w:rFonts w:ascii="Arial" w:hAnsi="Arial" w:cs="Arial"/>
          <w:i/>
        </w:rPr>
        <w:t>’</w:t>
      </w:r>
    </w:p>
    <w:p w14:paraId="3EA92A30" w14:textId="77777777" w:rsidR="00781523" w:rsidRPr="00C40087" w:rsidRDefault="00781523" w:rsidP="00781523">
      <w:pPr>
        <w:pStyle w:val="ListParagraph"/>
        <w:spacing w:before="120" w:after="120" w:line="360" w:lineRule="auto"/>
        <w:ind w:left="1440"/>
        <w:rPr>
          <w:rFonts w:ascii="Arial" w:hAnsi="Arial" w:cs="Arial"/>
          <w:i/>
        </w:rPr>
      </w:pPr>
    </w:p>
    <w:p w14:paraId="58EEBC3D" w14:textId="53E14F30" w:rsidR="001D405C" w:rsidRPr="00C40087" w:rsidRDefault="008750D3" w:rsidP="00781523">
      <w:pPr>
        <w:pStyle w:val="ListParagraph"/>
        <w:rPr>
          <w:rFonts w:ascii="Arial" w:hAnsi="Arial" w:cs="Arial"/>
          <w:szCs w:val="24"/>
        </w:rPr>
      </w:pPr>
      <w:r w:rsidRPr="00C40087">
        <w:rPr>
          <w:rFonts w:ascii="Arial" w:hAnsi="Arial" w:cs="Arial"/>
          <w:szCs w:val="24"/>
        </w:rPr>
        <w:t>It made the unit holders who had the enjoyment of exclusive use balconies responsible for the maintenance and repair of those areas</w:t>
      </w:r>
      <w:r w:rsidR="00362552">
        <w:rPr>
          <w:rFonts w:ascii="Arial" w:hAnsi="Arial" w:cs="Arial"/>
          <w:szCs w:val="24"/>
        </w:rPr>
        <w:t>.</w:t>
      </w:r>
      <w:r w:rsidRPr="00C40087">
        <w:rPr>
          <w:rFonts w:ascii="Arial" w:hAnsi="Arial" w:cs="Arial"/>
          <w:szCs w:val="24"/>
        </w:rPr>
        <w:t xml:space="preserve"> </w:t>
      </w:r>
      <w:r w:rsidR="00362552">
        <w:rPr>
          <w:rFonts w:ascii="Arial" w:hAnsi="Arial" w:cs="Arial"/>
          <w:szCs w:val="24"/>
        </w:rPr>
        <w:t xml:space="preserve"> </w:t>
      </w:r>
      <w:r w:rsidR="00362552" w:rsidRPr="00C40087">
        <w:rPr>
          <w:rFonts w:ascii="Arial" w:hAnsi="Arial" w:cs="Arial"/>
          <w:szCs w:val="24"/>
        </w:rPr>
        <w:t>Accordingly</w:t>
      </w:r>
      <w:r w:rsidR="00362552">
        <w:rPr>
          <w:rFonts w:ascii="Arial" w:hAnsi="Arial" w:cs="Arial"/>
          <w:szCs w:val="24"/>
        </w:rPr>
        <w:t>, the</w:t>
      </w:r>
      <w:r w:rsidR="000E14AE">
        <w:rPr>
          <w:rFonts w:ascii="Arial" w:hAnsi="Arial" w:cs="Arial"/>
          <w:szCs w:val="24"/>
        </w:rPr>
        <w:t xml:space="preserve"> Body Corporate </w:t>
      </w:r>
      <w:r w:rsidRPr="00C40087">
        <w:rPr>
          <w:rFonts w:ascii="Arial" w:hAnsi="Arial" w:cs="Arial"/>
          <w:szCs w:val="24"/>
        </w:rPr>
        <w:t xml:space="preserve">was prohibited by the proviso to s 3(1)(c) of the STSMA from levying a contribution to defray the </w:t>
      </w:r>
      <w:r w:rsidR="00721B8B" w:rsidRPr="00C40087">
        <w:rPr>
          <w:rFonts w:ascii="Arial" w:hAnsi="Arial" w:cs="Arial"/>
          <w:szCs w:val="24"/>
        </w:rPr>
        <w:t>cost of maintaining such areas.</w:t>
      </w:r>
    </w:p>
    <w:p w14:paraId="4A8D9A64" w14:textId="0FEDE00A" w:rsidR="00721B8B" w:rsidRPr="00435D62" w:rsidRDefault="00435D62" w:rsidP="00435D62">
      <w:pPr>
        <w:rPr>
          <w:rFonts w:ascii="Arial" w:hAnsi="Arial" w:cs="Arial"/>
          <w:szCs w:val="24"/>
        </w:rPr>
      </w:pPr>
      <w:r w:rsidRPr="00C40087">
        <w:rPr>
          <w:rFonts w:ascii="Arial" w:hAnsi="Arial" w:cs="Arial"/>
          <w:iCs/>
          <w:sz w:val="24"/>
          <w:szCs w:val="24"/>
        </w:rPr>
        <w:t>[18]</w:t>
      </w:r>
      <w:r w:rsidRPr="00C40087">
        <w:rPr>
          <w:rFonts w:ascii="Arial" w:hAnsi="Arial" w:cs="Arial"/>
          <w:iCs/>
          <w:sz w:val="24"/>
          <w:szCs w:val="24"/>
        </w:rPr>
        <w:tab/>
      </w:r>
      <w:r w:rsidR="00721B8B" w:rsidRPr="00435D62">
        <w:rPr>
          <w:rFonts w:ascii="Arial" w:hAnsi="Arial" w:cs="Arial"/>
          <w:szCs w:val="24"/>
        </w:rPr>
        <w:t>The Adjudicator erred by failing to recognise the effect of the proviso to s 3(1)(c) read with the forementioned Rule 24(4)(a)</w:t>
      </w:r>
      <w:r w:rsidR="00585F60" w:rsidRPr="00435D62">
        <w:rPr>
          <w:rFonts w:ascii="Arial" w:hAnsi="Arial" w:cs="Arial"/>
          <w:szCs w:val="24"/>
        </w:rPr>
        <w:t xml:space="preserve"> on the determination of the impugned contribution</w:t>
      </w:r>
      <w:r w:rsidR="00721B8B" w:rsidRPr="00435D62">
        <w:rPr>
          <w:rFonts w:ascii="Arial" w:hAnsi="Arial" w:cs="Arial"/>
          <w:szCs w:val="24"/>
        </w:rPr>
        <w:t>.</w:t>
      </w:r>
    </w:p>
    <w:p w14:paraId="26E5E4DA" w14:textId="721C0B09" w:rsidR="0022170B" w:rsidRPr="00435D62" w:rsidRDefault="00435D62" w:rsidP="00435D62">
      <w:pPr>
        <w:spacing w:before="360" w:after="360"/>
        <w:rPr>
          <w:rFonts w:ascii="Arial" w:hAnsi="Arial" w:cs="Arial"/>
          <w:szCs w:val="24"/>
        </w:rPr>
      </w:pPr>
      <w:r w:rsidRPr="0022170B">
        <w:rPr>
          <w:rFonts w:ascii="Arial" w:hAnsi="Arial" w:cs="Arial"/>
          <w:iCs/>
          <w:sz w:val="24"/>
          <w:szCs w:val="24"/>
        </w:rPr>
        <w:t>[19]</w:t>
      </w:r>
      <w:r w:rsidRPr="0022170B">
        <w:rPr>
          <w:rFonts w:ascii="Arial" w:hAnsi="Arial" w:cs="Arial"/>
          <w:iCs/>
          <w:sz w:val="24"/>
          <w:szCs w:val="24"/>
        </w:rPr>
        <w:tab/>
      </w:r>
      <w:r w:rsidR="00721B8B" w:rsidRPr="00435D62">
        <w:rPr>
          <w:rFonts w:ascii="Arial" w:hAnsi="Arial" w:cs="Arial"/>
          <w:szCs w:val="24"/>
        </w:rPr>
        <w:t xml:space="preserve">The impugned contribution was </w:t>
      </w:r>
      <w:r w:rsidR="00526EF5" w:rsidRPr="00435D62">
        <w:rPr>
          <w:rFonts w:ascii="Arial" w:hAnsi="Arial" w:cs="Arial"/>
          <w:szCs w:val="24"/>
        </w:rPr>
        <w:t>incorrectly determined by virtue of its</w:t>
      </w:r>
      <w:r w:rsidR="00721B8B" w:rsidRPr="00435D62">
        <w:rPr>
          <w:rFonts w:ascii="Arial" w:hAnsi="Arial" w:cs="Arial"/>
          <w:szCs w:val="24"/>
        </w:rPr>
        <w:t xml:space="preserve"> conflict with the statutory injunction in s 3(1)(c) of the STSMA.</w:t>
      </w:r>
      <w:r w:rsidR="00526EF5" w:rsidRPr="00435D62">
        <w:rPr>
          <w:rFonts w:ascii="Arial" w:hAnsi="Arial" w:cs="Arial"/>
          <w:szCs w:val="24"/>
        </w:rPr>
        <w:t xml:space="preserve"> </w:t>
      </w:r>
      <w:r w:rsidR="00545D37" w:rsidRPr="00435D62">
        <w:rPr>
          <w:rFonts w:ascii="Arial" w:hAnsi="Arial" w:cs="Arial"/>
          <w:szCs w:val="24"/>
        </w:rPr>
        <w:t xml:space="preserve"> </w:t>
      </w:r>
      <w:r w:rsidR="00526EF5" w:rsidRPr="00435D62">
        <w:rPr>
          <w:rFonts w:ascii="Arial" w:hAnsi="Arial" w:cs="Arial"/>
          <w:szCs w:val="24"/>
        </w:rPr>
        <w:t>In the circumstances</w:t>
      </w:r>
      <w:r w:rsidR="00585F60" w:rsidRPr="00435D62">
        <w:rPr>
          <w:rFonts w:ascii="Arial" w:hAnsi="Arial" w:cs="Arial"/>
          <w:szCs w:val="24"/>
        </w:rPr>
        <w:t>,</w:t>
      </w:r>
      <w:r w:rsidR="00526EF5" w:rsidRPr="00435D62">
        <w:rPr>
          <w:rFonts w:ascii="Arial" w:hAnsi="Arial" w:cs="Arial"/>
          <w:szCs w:val="24"/>
        </w:rPr>
        <w:t xml:space="preserve"> it is incumbent on the trustees of the Body Corporate to procure an adjustment </w:t>
      </w:r>
      <w:r w:rsidR="00526EF5" w:rsidRPr="00435D62">
        <w:rPr>
          <w:rFonts w:ascii="Arial" w:hAnsi="Arial" w:cs="Arial"/>
          <w:color w:val="000000" w:themeColor="text1"/>
          <w:szCs w:val="24"/>
          <w:lang w:val="en-GB"/>
        </w:rPr>
        <w:t xml:space="preserve">of the contribution so levied with retrospective effect so as to bring it into compliance with s 3(1)(c) of the Act by excluding from the computation of the levied contribution any provision for the defrayment of any costs for which the said owners are directly responsible in terms of the rules of the scheme.  It was not for the Adjudicator, nor is it for the court to determine </w:t>
      </w:r>
      <w:r w:rsidR="00192966" w:rsidRPr="00435D62">
        <w:rPr>
          <w:rFonts w:ascii="Arial" w:hAnsi="Arial" w:cs="Arial"/>
          <w:color w:val="000000" w:themeColor="text1"/>
          <w:szCs w:val="24"/>
          <w:lang w:val="en-GB"/>
        </w:rPr>
        <w:t xml:space="preserve">what the adjusted </w:t>
      </w:r>
      <w:r w:rsidR="00AE6A13" w:rsidRPr="00435D62">
        <w:rPr>
          <w:rFonts w:ascii="Arial" w:hAnsi="Arial" w:cs="Arial"/>
          <w:color w:val="000000" w:themeColor="text1"/>
          <w:szCs w:val="24"/>
          <w:lang w:val="en-GB"/>
        </w:rPr>
        <w:t>contribution</w:t>
      </w:r>
      <w:r w:rsidR="00192966" w:rsidRPr="00435D62">
        <w:rPr>
          <w:rFonts w:ascii="Arial" w:hAnsi="Arial" w:cs="Arial"/>
          <w:color w:val="000000" w:themeColor="text1"/>
          <w:szCs w:val="24"/>
          <w:lang w:val="en-GB"/>
        </w:rPr>
        <w:t xml:space="preserve"> should be.  It would therefore be inappropriate for us to accede to the appellant’s prayer </w:t>
      </w:r>
      <w:r w:rsidR="00585F60" w:rsidRPr="00435D62">
        <w:rPr>
          <w:rFonts w:ascii="Arial" w:hAnsi="Arial" w:cs="Arial"/>
          <w:color w:val="000000" w:themeColor="text1"/>
          <w:szCs w:val="24"/>
          <w:lang w:val="en-GB"/>
        </w:rPr>
        <w:t xml:space="preserve">for the court to direct </w:t>
      </w:r>
      <w:r w:rsidR="00192966" w:rsidRPr="00435D62">
        <w:rPr>
          <w:rFonts w:ascii="Arial" w:hAnsi="Arial" w:cs="Arial"/>
          <w:color w:val="000000" w:themeColor="text1"/>
          <w:szCs w:val="24"/>
          <w:lang w:val="en-GB"/>
        </w:rPr>
        <w:t xml:space="preserve">that the impugned contribution should revert to R3.00 per square metre.  The adjustment may be to any rate that the Body Corporate </w:t>
      </w:r>
      <w:r w:rsidR="00AE6A13" w:rsidRPr="00435D62">
        <w:rPr>
          <w:rFonts w:ascii="Arial" w:hAnsi="Arial" w:cs="Arial"/>
          <w:color w:val="000000" w:themeColor="text1"/>
          <w:szCs w:val="24"/>
          <w:lang w:val="en-GB"/>
        </w:rPr>
        <w:t xml:space="preserve">reasonably </w:t>
      </w:r>
      <w:r w:rsidR="00192966" w:rsidRPr="00435D62">
        <w:rPr>
          <w:rFonts w:ascii="Arial" w:hAnsi="Arial" w:cs="Arial"/>
          <w:color w:val="000000" w:themeColor="text1"/>
          <w:szCs w:val="24"/>
          <w:lang w:val="en-GB"/>
        </w:rPr>
        <w:t xml:space="preserve">estimates is necessary to defray the costs for which the owners who have balconied exclusive use areas </w:t>
      </w:r>
      <w:r w:rsidR="00F574C0" w:rsidRPr="00435D62">
        <w:rPr>
          <w:rFonts w:ascii="Arial" w:hAnsi="Arial" w:cs="Arial"/>
          <w:color w:val="000000" w:themeColor="text1"/>
          <w:szCs w:val="24"/>
          <w:lang w:val="en-GB"/>
        </w:rPr>
        <w:t xml:space="preserve">are not individually liable in terms of the </w:t>
      </w:r>
      <w:r w:rsidR="00585F60" w:rsidRPr="00435D62">
        <w:rPr>
          <w:rFonts w:ascii="Arial" w:hAnsi="Arial" w:cs="Arial"/>
          <w:color w:val="000000" w:themeColor="text1"/>
          <w:szCs w:val="24"/>
          <w:lang w:val="en-GB"/>
        </w:rPr>
        <w:t>f</w:t>
      </w:r>
      <w:r w:rsidR="00F574C0" w:rsidRPr="00435D62">
        <w:rPr>
          <w:rFonts w:ascii="Arial" w:hAnsi="Arial" w:cs="Arial"/>
          <w:color w:val="000000" w:themeColor="text1"/>
          <w:szCs w:val="24"/>
          <w:lang w:val="en-GB"/>
        </w:rPr>
        <w:t xml:space="preserve">orementioned Rule </w:t>
      </w:r>
      <w:r w:rsidR="003205B2" w:rsidRPr="00435D62">
        <w:rPr>
          <w:rFonts w:ascii="Arial" w:hAnsi="Arial" w:cs="Arial"/>
          <w:color w:val="000000" w:themeColor="text1"/>
          <w:szCs w:val="24"/>
          <w:lang w:val="en-GB"/>
        </w:rPr>
        <w:t>24(4)(a)</w:t>
      </w:r>
      <w:r w:rsidR="00F574C0" w:rsidRPr="00435D62">
        <w:rPr>
          <w:rFonts w:ascii="Arial" w:hAnsi="Arial" w:cs="Arial"/>
          <w:color w:val="000000" w:themeColor="text1"/>
          <w:szCs w:val="24"/>
          <w:lang w:val="en-GB"/>
        </w:rPr>
        <w:t>.</w:t>
      </w:r>
    </w:p>
    <w:p w14:paraId="1F166C8A" w14:textId="25F6B296" w:rsidR="006946E1" w:rsidRPr="00435D62" w:rsidRDefault="00435D62" w:rsidP="00435D62">
      <w:pPr>
        <w:spacing w:before="360" w:after="360"/>
        <w:rPr>
          <w:rFonts w:ascii="Arial" w:hAnsi="Arial" w:cs="Arial"/>
          <w:szCs w:val="24"/>
        </w:rPr>
      </w:pPr>
      <w:r w:rsidRPr="0022170B">
        <w:rPr>
          <w:rFonts w:ascii="Arial" w:hAnsi="Arial" w:cs="Arial"/>
          <w:iCs/>
          <w:sz w:val="24"/>
          <w:szCs w:val="24"/>
        </w:rPr>
        <w:t>[20]</w:t>
      </w:r>
      <w:r w:rsidRPr="0022170B">
        <w:rPr>
          <w:rFonts w:ascii="Arial" w:hAnsi="Arial" w:cs="Arial"/>
          <w:iCs/>
          <w:sz w:val="24"/>
          <w:szCs w:val="24"/>
        </w:rPr>
        <w:tab/>
      </w:r>
      <w:r w:rsidR="006946E1" w:rsidRPr="00435D62">
        <w:rPr>
          <w:rFonts w:ascii="Arial" w:hAnsi="Arial" w:cs="Arial"/>
          <w:szCs w:val="24"/>
        </w:rPr>
        <w:t xml:space="preserve">In the </w:t>
      </w:r>
      <w:r w:rsidR="00585F60" w:rsidRPr="00435D62">
        <w:rPr>
          <w:rFonts w:ascii="Arial" w:hAnsi="Arial" w:cs="Arial"/>
          <w:szCs w:val="24"/>
        </w:rPr>
        <w:t xml:space="preserve">result, </w:t>
      </w:r>
      <w:r w:rsidR="00F574C0" w:rsidRPr="00435D62">
        <w:rPr>
          <w:rFonts w:ascii="Arial" w:hAnsi="Arial" w:cs="Arial"/>
          <w:szCs w:val="24"/>
        </w:rPr>
        <w:t xml:space="preserve">an </w:t>
      </w:r>
      <w:r w:rsidR="006946E1" w:rsidRPr="00435D62">
        <w:rPr>
          <w:rFonts w:ascii="Arial" w:hAnsi="Arial" w:cs="Arial"/>
          <w:szCs w:val="24"/>
        </w:rPr>
        <w:t xml:space="preserve">order is </w:t>
      </w:r>
      <w:r w:rsidR="00F574C0" w:rsidRPr="00435D62">
        <w:rPr>
          <w:rFonts w:ascii="Arial" w:hAnsi="Arial" w:cs="Arial"/>
          <w:szCs w:val="24"/>
        </w:rPr>
        <w:t>made in the following terms</w:t>
      </w:r>
      <w:r w:rsidR="006946E1" w:rsidRPr="00435D62">
        <w:rPr>
          <w:rFonts w:ascii="Arial" w:hAnsi="Arial" w:cs="Arial"/>
          <w:szCs w:val="24"/>
        </w:rPr>
        <w:t>:</w:t>
      </w:r>
    </w:p>
    <w:p w14:paraId="60BA92FC" w14:textId="78F077F2" w:rsidR="00F574C0" w:rsidRPr="00435D62" w:rsidRDefault="00435D62" w:rsidP="00435D62">
      <w:pPr>
        <w:ind w:left="720" w:hanging="360"/>
        <w:rPr>
          <w:rFonts w:ascii="Arial" w:hAnsi="Arial" w:cs="Arial"/>
          <w:bCs/>
          <w:color w:val="000000" w:themeColor="text1"/>
          <w:szCs w:val="24"/>
          <w:lang w:val="en-GB"/>
        </w:rPr>
      </w:pPr>
      <w:r w:rsidRPr="0022170B">
        <w:rPr>
          <w:rFonts w:ascii="Arial" w:hAnsi="Arial" w:cs="Arial"/>
          <w:bCs/>
          <w:color w:val="000000" w:themeColor="text1"/>
          <w:sz w:val="24"/>
          <w:szCs w:val="24"/>
          <w:lang w:val="en-GB"/>
        </w:rPr>
        <w:t>1.</w:t>
      </w:r>
      <w:r w:rsidRPr="0022170B">
        <w:rPr>
          <w:rFonts w:ascii="Arial" w:hAnsi="Arial" w:cs="Arial"/>
          <w:bCs/>
          <w:color w:val="000000" w:themeColor="text1"/>
          <w:sz w:val="24"/>
          <w:szCs w:val="24"/>
          <w:lang w:val="en-GB"/>
        </w:rPr>
        <w:tab/>
      </w:r>
      <w:r w:rsidR="00F574C0" w:rsidRPr="00435D62">
        <w:rPr>
          <w:rFonts w:ascii="Arial" w:hAnsi="Arial" w:cs="Arial"/>
          <w:bCs/>
          <w:szCs w:val="24"/>
        </w:rPr>
        <w:t>Condonation is granted for the late lodg</w:t>
      </w:r>
      <w:r w:rsidR="0022170B" w:rsidRPr="00435D62">
        <w:rPr>
          <w:rFonts w:ascii="Arial" w:hAnsi="Arial" w:cs="Arial"/>
          <w:bCs/>
          <w:szCs w:val="24"/>
        </w:rPr>
        <w:t>e</w:t>
      </w:r>
      <w:r w:rsidR="00F574C0" w:rsidRPr="00435D62">
        <w:rPr>
          <w:rFonts w:ascii="Arial" w:hAnsi="Arial" w:cs="Arial"/>
          <w:bCs/>
          <w:szCs w:val="24"/>
        </w:rPr>
        <w:t>ment of the appeal</w:t>
      </w:r>
      <w:r w:rsidR="0022170B" w:rsidRPr="00435D62">
        <w:rPr>
          <w:rFonts w:ascii="Arial" w:hAnsi="Arial" w:cs="Arial"/>
          <w:bCs/>
          <w:szCs w:val="24"/>
        </w:rPr>
        <w:t>.</w:t>
      </w:r>
    </w:p>
    <w:p w14:paraId="7B373102" w14:textId="77777777" w:rsidR="0022170B" w:rsidRPr="0022170B" w:rsidRDefault="0022170B" w:rsidP="0022170B">
      <w:pPr>
        <w:pStyle w:val="ListParagraph"/>
        <w:ind w:left="720"/>
        <w:contextualSpacing w:val="0"/>
        <w:rPr>
          <w:rFonts w:ascii="Arial" w:hAnsi="Arial" w:cs="Arial"/>
          <w:bCs/>
          <w:color w:val="000000" w:themeColor="text1"/>
          <w:szCs w:val="24"/>
          <w:lang w:val="en-GB"/>
        </w:rPr>
      </w:pPr>
    </w:p>
    <w:p w14:paraId="7A034D2A" w14:textId="3DB35D34" w:rsidR="00141653" w:rsidRPr="00435D62" w:rsidRDefault="00435D62" w:rsidP="00435D62">
      <w:pPr>
        <w:ind w:left="720" w:hanging="360"/>
        <w:rPr>
          <w:rFonts w:ascii="Arial" w:hAnsi="Arial" w:cs="Arial"/>
          <w:color w:val="000000" w:themeColor="text1"/>
          <w:szCs w:val="24"/>
          <w:lang w:val="en-GB"/>
        </w:rPr>
      </w:pPr>
      <w:r>
        <w:rPr>
          <w:rFonts w:ascii="Arial" w:hAnsi="Arial" w:cs="Arial"/>
          <w:color w:val="000000" w:themeColor="text1"/>
          <w:sz w:val="24"/>
          <w:szCs w:val="24"/>
          <w:lang w:val="en-GB"/>
        </w:rPr>
        <w:t>2.</w:t>
      </w:r>
      <w:r>
        <w:rPr>
          <w:rFonts w:ascii="Arial" w:hAnsi="Arial" w:cs="Arial"/>
          <w:color w:val="000000" w:themeColor="text1"/>
          <w:sz w:val="24"/>
          <w:szCs w:val="24"/>
          <w:lang w:val="en-GB"/>
        </w:rPr>
        <w:tab/>
      </w:r>
      <w:r w:rsidR="00141653" w:rsidRPr="00435D62">
        <w:rPr>
          <w:rFonts w:ascii="Arial" w:hAnsi="Arial" w:cs="Arial"/>
          <w:color w:val="000000" w:themeColor="text1"/>
          <w:szCs w:val="24"/>
          <w:lang w:val="en-GB"/>
        </w:rPr>
        <w:t>The appeal is upheld, with no order as to costs.</w:t>
      </w:r>
    </w:p>
    <w:p w14:paraId="75C3E623" w14:textId="77777777" w:rsidR="0022170B" w:rsidRPr="0022170B" w:rsidRDefault="0022170B" w:rsidP="0022170B">
      <w:pPr>
        <w:rPr>
          <w:rFonts w:ascii="Arial" w:hAnsi="Arial" w:cs="Arial"/>
          <w:color w:val="000000" w:themeColor="text1"/>
          <w:szCs w:val="24"/>
          <w:lang w:val="en-GB"/>
        </w:rPr>
      </w:pPr>
    </w:p>
    <w:p w14:paraId="7A96F882" w14:textId="1EC0E203" w:rsidR="00141653" w:rsidRPr="00435D62" w:rsidRDefault="00435D62" w:rsidP="00435D62">
      <w:pPr>
        <w:ind w:left="720" w:hanging="360"/>
        <w:rPr>
          <w:rFonts w:ascii="Arial" w:hAnsi="Arial" w:cs="Arial"/>
          <w:color w:val="000000" w:themeColor="text1"/>
          <w:szCs w:val="24"/>
          <w:lang w:val="en-GB"/>
        </w:rPr>
      </w:pPr>
      <w:r>
        <w:rPr>
          <w:rFonts w:ascii="Arial" w:hAnsi="Arial" w:cs="Arial"/>
          <w:color w:val="000000" w:themeColor="text1"/>
          <w:sz w:val="24"/>
          <w:szCs w:val="24"/>
          <w:lang w:val="en-GB"/>
        </w:rPr>
        <w:t>3.</w:t>
      </w:r>
      <w:r>
        <w:rPr>
          <w:rFonts w:ascii="Arial" w:hAnsi="Arial" w:cs="Arial"/>
          <w:color w:val="000000" w:themeColor="text1"/>
          <w:sz w:val="24"/>
          <w:szCs w:val="24"/>
          <w:lang w:val="en-GB"/>
        </w:rPr>
        <w:tab/>
      </w:r>
      <w:r w:rsidR="00141653" w:rsidRPr="00435D62">
        <w:rPr>
          <w:rFonts w:ascii="Arial" w:hAnsi="Arial" w:cs="Arial"/>
          <w:color w:val="000000" w:themeColor="text1"/>
          <w:szCs w:val="24"/>
          <w:lang w:val="en-GB"/>
        </w:rPr>
        <w:t xml:space="preserve">The order of the </w:t>
      </w:r>
      <w:r w:rsidR="007D268F" w:rsidRPr="00435D62">
        <w:rPr>
          <w:rFonts w:ascii="Arial" w:hAnsi="Arial" w:cs="Arial"/>
          <w:color w:val="000000" w:themeColor="text1"/>
          <w:szCs w:val="24"/>
          <w:lang w:val="en-GB"/>
        </w:rPr>
        <w:t>third respondent</w:t>
      </w:r>
      <w:r w:rsidR="00141653" w:rsidRPr="00435D62">
        <w:rPr>
          <w:rFonts w:ascii="Arial" w:hAnsi="Arial" w:cs="Arial"/>
          <w:color w:val="000000" w:themeColor="text1"/>
          <w:szCs w:val="24"/>
          <w:lang w:val="en-GB"/>
        </w:rPr>
        <w:t xml:space="preserve"> is set aside and replaced with an order in the following terms:</w:t>
      </w:r>
    </w:p>
    <w:p w14:paraId="18526C2C" w14:textId="77777777" w:rsidR="0022170B" w:rsidRPr="009A073C" w:rsidRDefault="0022170B" w:rsidP="0022170B">
      <w:pPr>
        <w:pStyle w:val="ListParagraph"/>
        <w:ind w:left="720"/>
        <w:contextualSpacing w:val="0"/>
        <w:rPr>
          <w:rFonts w:ascii="Arial" w:hAnsi="Arial" w:cs="Arial"/>
          <w:color w:val="000000" w:themeColor="text1"/>
          <w:szCs w:val="24"/>
          <w:lang w:val="en-GB"/>
        </w:rPr>
      </w:pPr>
    </w:p>
    <w:p w14:paraId="0CC897A1" w14:textId="2B350D29" w:rsidR="00141653" w:rsidRPr="00435D62" w:rsidRDefault="00435D62" w:rsidP="00435D62">
      <w:pPr>
        <w:ind w:left="1440" w:hanging="720"/>
        <w:rPr>
          <w:rFonts w:ascii="Arial" w:hAnsi="Arial" w:cs="Arial"/>
          <w:color w:val="000000" w:themeColor="text1"/>
          <w:szCs w:val="24"/>
          <w:lang w:val="en-GB"/>
        </w:rPr>
      </w:pPr>
      <w:r>
        <w:rPr>
          <w:rFonts w:ascii="Arial" w:hAnsi="Arial" w:cs="Arial"/>
          <w:color w:val="000000" w:themeColor="text1"/>
          <w:sz w:val="24"/>
          <w:szCs w:val="24"/>
          <w:lang w:val="en-GB"/>
        </w:rPr>
        <w:t>(a)</w:t>
      </w:r>
      <w:r>
        <w:rPr>
          <w:rFonts w:ascii="Arial" w:hAnsi="Arial" w:cs="Arial"/>
          <w:color w:val="000000" w:themeColor="text1"/>
          <w:sz w:val="24"/>
          <w:szCs w:val="24"/>
          <w:lang w:val="en-GB"/>
        </w:rPr>
        <w:tab/>
      </w:r>
      <w:r w:rsidR="00141653" w:rsidRPr="00435D62">
        <w:rPr>
          <w:rFonts w:ascii="Arial" w:hAnsi="Arial" w:cs="Arial"/>
          <w:color w:val="000000" w:themeColor="text1"/>
          <w:szCs w:val="24"/>
          <w:lang w:val="en-GB"/>
        </w:rPr>
        <w:t xml:space="preserve">It is declared that the contribution of R23 per square metre levied on owners in respect of balconies that are exclusive use areas, in terms of the resolution </w:t>
      </w:r>
      <w:r w:rsidR="00362552" w:rsidRPr="00435D62">
        <w:rPr>
          <w:rFonts w:ascii="Arial" w:hAnsi="Arial" w:cs="Arial"/>
          <w:color w:val="000000" w:themeColor="text1"/>
          <w:szCs w:val="24"/>
          <w:lang w:val="en-GB"/>
        </w:rPr>
        <w:t>determined</w:t>
      </w:r>
      <w:r w:rsidR="00141653" w:rsidRPr="00435D62">
        <w:rPr>
          <w:rFonts w:ascii="Arial" w:hAnsi="Arial" w:cs="Arial"/>
          <w:color w:val="000000" w:themeColor="text1"/>
          <w:szCs w:val="24"/>
          <w:lang w:val="en-GB"/>
        </w:rPr>
        <w:t xml:space="preserve"> at the annual general meeting of the Ocean View Body Corporate on 17 November 2021 on the basis of an estimate of a necessary provision to defray the necessary costs of rates and taxes, insurance and maintenance in respect of such areas, was incorrectly determined</w:t>
      </w:r>
      <w:r w:rsidR="00585F60" w:rsidRPr="00435D62">
        <w:rPr>
          <w:rFonts w:ascii="Arial" w:hAnsi="Arial" w:cs="Arial"/>
          <w:color w:val="000000" w:themeColor="text1"/>
          <w:szCs w:val="24"/>
          <w:lang w:val="en-GB"/>
        </w:rPr>
        <w:t>,</w:t>
      </w:r>
      <w:r w:rsidR="00141653" w:rsidRPr="00435D62">
        <w:rPr>
          <w:rFonts w:ascii="Arial" w:hAnsi="Arial" w:cs="Arial"/>
          <w:color w:val="000000" w:themeColor="text1"/>
          <w:szCs w:val="24"/>
          <w:lang w:val="en-GB"/>
        </w:rPr>
        <w:t xml:space="preserve"> in contravention of 3(1)(c) of the Sectional Titles Schemes Management Act 8 of 2011 (‘the Act’).</w:t>
      </w:r>
    </w:p>
    <w:p w14:paraId="118E7DBB" w14:textId="77777777" w:rsidR="0022170B" w:rsidRPr="001D405C" w:rsidRDefault="0022170B" w:rsidP="0022170B">
      <w:pPr>
        <w:pStyle w:val="ListParagraph"/>
        <w:ind w:left="1440"/>
        <w:rPr>
          <w:rFonts w:ascii="Arial" w:hAnsi="Arial" w:cs="Arial"/>
          <w:color w:val="000000" w:themeColor="text1"/>
          <w:szCs w:val="24"/>
          <w:lang w:val="en-GB"/>
        </w:rPr>
      </w:pPr>
    </w:p>
    <w:p w14:paraId="38A48DFD" w14:textId="6C432FD8" w:rsidR="00141653" w:rsidRPr="00435D62" w:rsidRDefault="00435D62" w:rsidP="00435D62">
      <w:pPr>
        <w:ind w:left="1440" w:hanging="720"/>
        <w:rPr>
          <w:rFonts w:ascii="Arial" w:hAnsi="Arial" w:cs="Arial"/>
          <w:color w:val="000000" w:themeColor="text1"/>
          <w:szCs w:val="24"/>
          <w:lang w:val="en-GB"/>
        </w:rPr>
      </w:pPr>
      <w:r>
        <w:rPr>
          <w:rFonts w:ascii="Arial" w:hAnsi="Arial" w:cs="Arial"/>
          <w:color w:val="000000" w:themeColor="text1"/>
          <w:sz w:val="24"/>
          <w:szCs w:val="24"/>
          <w:lang w:val="en-GB"/>
        </w:rPr>
        <w:t>(b)</w:t>
      </w:r>
      <w:r>
        <w:rPr>
          <w:rFonts w:ascii="Arial" w:hAnsi="Arial" w:cs="Arial"/>
          <w:color w:val="000000" w:themeColor="text1"/>
          <w:sz w:val="24"/>
          <w:szCs w:val="24"/>
          <w:lang w:val="en-GB"/>
        </w:rPr>
        <w:tab/>
      </w:r>
      <w:r w:rsidR="00141653" w:rsidRPr="00435D62">
        <w:rPr>
          <w:rFonts w:ascii="Arial" w:hAnsi="Arial" w:cs="Arial"/>
          <w:color w:val="000000" w:themeColor="text1"/>
          <w:szCs w:val="24"/>
          <w:lang w:val="en-GB"/>
        </w:rPr>
        <w:t xml:space="preserve">The trustees of the </w:t>
      </w:r>
      <w:r w:rsidR="007D268F" w:rsidRPr="00435D62">
        <w:rPr>
          <w:rFonts w:ascii="Arial" w:hAnsi="Arial" w:cs="Arial"/>
          <w:color w:val="000000" w:themeColor="text1"/>
          <w:szCs w:val="24"/>
          <w:lang w:val="en-GB"/>
        </w:rPr>
        <w:t>third respondent</w:t>
      </w:r>
      <w:r w:rsidR="00141653" w:rsidRPr="00435D62">
        <w:rPr>
          <w:rFonts w:ascii="Arial" w:hAnsi="Arial" w:cs="Arial"/>
          <w:color w:val="000000" w:themeColor="text1"/>
          <w:szCs w:val="24"/>
          <w:lang w:val="en-GB"/>
        </w:rPr>
        <w:t xml:space="preserve"> are directed to procure the adjustment of the contribution so levied with retrospective effect so as to bring it into compliance with s 3(1)(c) of the Act by excluding from the computation of the levied contribution any provision for the defrayment of any costs for which the said owners are directly responsible in terms of the rules of the scheme (as defined in s 1 of the Act).</w:t>
      </w:r>
    </w:p>
    <w:p w14:paraId="412277DA" w14:textId="77777777" w:rsidR="0022170B" w:rsidRPr="0022170B" w:rsidRDefault="0022170B" w:rsidP="0022170B">
      <w:pPr>
        <w:rPr>
          <w:rFonts w:ascii="Arial" w:hAnsi="Arial" w:cs="Arial"/>
          <w:color w:val="000000" w:themeColor="text1"/>
          <w:szCs w:val="24"/>
          <w:lang w:val="en-GB"/>
        </w:rPr>
      </w:pPr>
    </w:p>
    <w:p w14:paraId="2EA15A5F" w14:textId="57B641F0" w:rsidR="00141653" w:rsidRPr="00435D62" w:rsidRDefault="00435D62" w:rsidP="00435D62">
      <w:pPr>
        <w:ind w:left="1440" w:hanging="720"/>
        <w:rPr>
          <w:rFonts w:ascii="Arial" w:hAnsi="Arial" w:cs="Arial"/>
          <w:color w:val="000000" w:themeColor="text1"/>
          <w:szCs w:val="24"/>
          <w:lang w:val="en-GB"/>
        </w:rPr>
      </w:pPr>
      <w:r w:rsidRPr="001D405C">
        <w:rPr>
          <w:rFonts w:ascii="Arial" w:hAnsi="Arial" w:cs="Arial"/>
          <w:color w:val="000000" w:themeColor="text1"/>
          <w:sz w:val="24"/>
          <w:szCs w:val="24"/>
          <w:lang w:val="en-GB"/>
        </w:rPr>
        <w:t>(c)</w:t>
      </w:r>
      <w:r w:rsidRPr="001D405C">
        <w:rPr>
          <w:rFonts w:ascii="Arial" w:hAnsi="Arial" w:cs="Arial"/>
          <w:color w:val="000000" w:themeColor="text1"/>
          <w:sz w:val="24"/>
          <w:szCs w:val="24"/>
          <w:lang w:val="en-GB"/>
        </w:rPr>
        <w:tab/>
      </w:r>
      <w:r w:rsidR="00141653" w:rsidRPr="00435D62">
        <w:rPr>
          <w:rFonts w:ascii="Arial" w:hAnsi="Arial" w:cs="Arial"/>
          <w:color w:val="000000" w:themeColor="text1"/>
          <w:szCs w:val="24"/>
          <w:lang w:val="en-GB"/>
        </w:rPr>
        <w:t>The trustees are afforded 56 calendar days from the date of this order within which to comply with the direction in paragraph (b) hereof.</w:t>
      </w:r>
    </w:p>
    <w:p w14:paraId="7F14B3F7" w14:textId="3B980F7C" w:rsidR="0011026C" w:rsidRDefault="0011026C" w:rsidP="00FE5797">
      <w:pPr>
        <w:spacing w:after="0" w:line="360" w:lineRule="auto"/>
        <w:ind w:left="720"/>
        <w:jc w:val="both"/>
        <w:rPr>
          <w:rFonts w:ascii="Arial" w:hAnsi="Arial" w:cs="Arial"/>
          <w:color w:val="000000" w:themeColor="text1"/>
          <w:sz w:val="24"/>
          <w:szCs w:val="24"/>
          <w:lang w:val="en-GB"/>
        </w:rPr>
      </w:pPr>
    </w:p>
    <w:p w14:paraId="5396D380" w14:textId="659FB8E7" w:rsidR="00AE6A13" w:rsidRDefault="00AE6A13" w:rsidP="00FE5797">
      <w:pPr>
        <w:spacing w:after="0" w:line="360" w:lineRule="auto"/>
        <w:ind w:left="720"/>
        <w:jc w:val="both"/>
        <w:rPr>
          <w:rFonts w:ascii="Arial" w:hAnsi="Arial" w:cs="Arial"/>
          <w:color w:val="000000" w:themeColor="text1"/>
          <w:sz w:val="24"/>
          <w:szCs w:val="24"/>
          <w:lang w:val="en-GB"/>
        </w:rPr>
      </w:pPr>
    </w:p>
    <w:p w14:paraId="3B856E71" w14:textId="08EAB23B" w:rsidR="0022170B" w:rsidRDefault="0022170B" w:rsidP="00FE5797">
      <w:pPr>
        <w:spacing w:after="0" w:line="360" w:lineRule="auto"/>
        <w:ind w:left="720"/>
        <w:jc w:val="both"/>
        <w:rPr>
          <w:rFonts w:ascii="Arial" w:hAnsi="Arial" w:cs="Arial"/>
          <w:color w:val="000000" w:themeColor="text1"/>
          <w:sz w:val="24"/>
          <w:szCs w:val="24"/>
          <w:lang w:val="en-GB"/>
        </w:rPr>
      </w:pPr>
    </w:p>
    <w:p w14:paraId="2EC4385B" w14:textId="38B2DA5E" w:rsidR="0022170B" w:rsidRDefault="0022170B" w:rsidP="00FE5797">
      <w:pPr>
        <w:spacing w:after="0" w:line="360" w:lineRule="auto"/>
        <w:ind w:left="720"/>
        <w:jc w:val="both"/>
        <w:rPr>
          <w:rFonts w:ascii="Arial" w:hAnsi="Arial" w:cs="Arial"/>
          <w:color w:val="000000" w:themeColor="text1"/>
          <w:sz w:val="24"/>
          <w:szCs w:val="24"/>
          <w:lang w:val="en-GB"/>
        </w:rPr>
      </w:pPr>
    </w:p>
    <w:p w14:paraId="407023C9" w14:textId="77777777" w:rsidR="0022170B" w:rsidRDefault="0022170B" w:rsidP="00FE5797">
      <w:pPr>
        <w:spacing w:after="0" w:line="360" w:lineRule="auto"/>
        <w:ind w:left="720"/>
        <w:jc w:val="both"/>
        <w:rPr>
          <w:rFonts w:ascii="Arial" w:hAnsi="Arial" w:cs="Arial"/>
          <w:color w:val="000000" w:themeColor="text1"/>
          <w:sz w:val="24"/>
          <w:szCs w:val="24"/>
          <w:lang w:val="en-GB"/>
        </w:rPr>
      </w:pPr>
    </w:p>
    <w:p w14:paraId="5849198B" w14:textId="31C2A253" w:rsidR="009A073C" w:rsidRDefault="009A073C" w:rsidP="00FE5797">
      <w:pPr>
        <w:spacing w:after="0" w:line="360" w:lineRule="auto"/>
        <w:contextualSpacing/>
        <w:jc w:val="right"/>
        <w:rPr>
          <w:rFonts w:ascii="Arial" w:hAnsi="Arial" w:cs="Arial"/>
          <w:color w:val="000000" w:themeColor="text1"/>
          <w:sz w:val="24"/>
          <w:szCs w:val="24"/>
        </w:rPr>
      </w:pPr>
      <w:r>
        <w:rPr>
          <w:rFonts w:ascii="Arial" w:hAnsi="Arial" w:cs="Arial"/>
          <w:color w:val="000000" w:themeColor="text1"/>
          <w:sz w:val="24"/>
          <w:szCs w:val="24"/>
        </w:rPr>
        <w:t>_____________________</w:t>
      </w:r>
    </w:p>
    <w:p w14:paraId="02D7E1ED" w14:textId="28295405" w:rsidR="00A921BF" w:rsidRDefault="00A921BF" w:rsidP="00FE5797">
      <w:pPr>
        <w:spacing w:after="0" w:line="360" w:lineRule="auto"/>
        <w:contextualSpacing/>
        <w:jc w:val="right"/>
        <w:rPr>
          <w:rFonts w:ascii="Arial" w:hAnsi="Arial" w:cs="Arial"/>
          <w:b/>
          <w:bCs/>
          <w:color w:val="000000" w:themeColor="text1"/>
          <w:sz w:val="24"/>
          <w:szCs w:val="24"/>
        </w:rPr>
      </w:pPr>
      <w:r>
        <w:rPr>
          <w:rFonts w:ascii="Arial" w:hAnsi="Arial" w:cs="Arial"/>
          <w:b/>
          <w:bCs/>
          <w:color w:val="000000" w:themeColor="text1"/>
          <w:sz w:val="24"/>
          <w:szCs w:val="24"/>
        </w:rPr>
        <w:t>A.G. BINNS-WARD</w:t>
      </w:r>
    </w:p>
    <w:p w14:paraId="54891B42" w14:textId="486E3A25" w:rsidR="00A921BF" w:rsidRDefault="00A921BF" w:rsidP="00FE5797">
      <w:pPr>
        <w:spacing w:after="0" w:line="360" w:lineRule="auto"/>
        <w:contextualSpacing/>
        <w:jc w:val="right"/>
        <w:rPr>
          <w:rFonts w:ascii="Arial" w:hAnsi="Arial" w:cs="Arial"/>
          <w:b/>
          <w:bCs/>
          <w:color w:val="000000" w:themeColor="text1"/>
          <w:sz w:val="24"/>
          <w:szCs w:val="24"/>
        </w:rPr>
      </w:pPr>
      <w:r>
        <w:rPr>
          <w:rFonts w:ascii="Arial" w:hAnsi="Arial" w:cs="Arial"/>
          <w:b/>
          <w:bCs/>
          <w:color w:val="000000" w:themeColor="text1"/>
          <w:sz w:val="24"/>
          <w:szCs w:val="24"/>
        </w:rPr>
        <w:t>Judge of the High Court</w:t>
      </w:r>
    </w:p>
    <w:p w14:paraId="47B98751" w14:textId="5ED3186B" w:rsidR="00A921BF" w:rsidRDefault="00A921BF" w:rsidP="00A921BF">
      <w:pPr>
        <w:spacing w:after="0" w:line="360" w:lineRule="auto"/>
        <w:contextualSpacing/>
        <w:jc w:val="right"/>
        <w:rPr>
          <w:rFonts w:ascii="Arial" w:hAnsi="Arial" w:cs="Arial"/>
          <w:b/>
          <w:bCs/>
          <w:color w:val="000000" w:themeColor="text1"/>
          <w:sz w:val="24"/>
          <w:szCs w:val="24"/>
        </w:rPr>
      </w:pPr>
    </w:p>
    <w:p w14:paraId="635CA293" w14:textId="7F977275" w:rsidR="00A921BF" w:rsidRDefault="00A921BF" w:rsidP="00A921BF">
      <w:pPr>
        <w:spacing w:after="0" w:line="360" w:lineRule="auto"/>
        <w:contextualSpacing/>
        <w:jc w:val="right"/>
        <w:rPr>
          <w:rFonts w:ascii="Arial" w:hAnsi="Arial" w:cs="Arial"/>
          <w:b/>
          <w:bCs/>
          <w:color w:val="000000" w:themeColor="text1"/>
          <w:sz w:val="24"/>
          <w:szCs w:val="24"/>
        </w:rPr>
      </w:pPr>
    </w:p>
    <w:p w14:paraId="700EFCF8" w14:textId="77777777" w:rsidR="00A921BF" w:rsidRDefault="00A921BF" w:rsidP="00C40087">
      <w:pPr>
        <w:spacing w:after="0" w:line="360" w:lineRule="auto"/>
        <w:contextualSpacing/>
        <w:jc w:val="right"/>
        <w:rPr>
          <w:rFonts w:ascii="Arial" w:hAnsi="Arial" w:cs="Arial"/>
          <w:b/>
          <w:bCs/>
          <w:color w:val="000000" w:themeColor="text1"/>
          <w:sz w:val="24"/>
          <w:szCs w:val="24"/>
        </w:rPr>
      </w:pPr>
    </w:p>
    <w:p w14:paraId="7578E267" w14:textId="12DA1156" w:rsidR="00A921BF" w:rsidRDefault="00A921BF" w:rsidP="00C40087">
      <w:pPr>
        <w:spacing w:after="0" w:line="360" w:lineRule="auto"/>
        <w:contextualSpacing/>
        <w:jc w:val="right"/>
        <w:rPr>
          <w:rFonts w:ascii="Arial" w:hAnsi="Arial" w:cs="Arial"/>
          <w:b/>
          <w:bCs/>
          <w:color w:val="000000" w:themeColor="text1"/>
          <w:sz w:val="24"/>
          <w:szCs w:val="24"/>
        </w:rPr>
      </w:pPr>
      <w:r>
        <w:rPr>
          <w:rFonts w:ascii="Arial" w:hAnsi="Arial" w:cs="Arial"/>
          <w:b/>
          <w:bCs/>
          <w:color w:val="000000" w:themeColor="text1"/>
          <w:sz w:val="24"/>
          <w:szCs w:val="24"/>
        </w:rPr>
        <w:t>________________</w:t>
      </w:r>
    </w:p>
    <w:p w14:paraId="0765CB6E" w14:textId="7D56A1C5" w:rsidR="009A073C" w:rsidRPr="00435D62" w:rsidRDefault="00435D62" w:rsidP="00435D62">
      <w:pPr>
        <w:spacing w:line="360" w:lineRule="auto"/>
        <w:ind w:left="1440" w:hanging="360"/>
        <w:jc w:val="right"/>
        <w:rPr>
          <w:rFonts w:ascii="Arial" w:hAnsi="Arial" w:cs="Arial"/>
          <w:b/>
          <w:color w:val="000000" w:themeColor="text1"/>
          <w:szCs w:val="24"/>
        </w:rPr>
      </w:pPr>
      <w:r>
        <w:rPr>
          <w:rFonts w:ascii="Arial" w:hAnsi="Arial" w:cs="Arial"/>
          <w:b/>
          <w:color w:val="000000" w:themeColor="text1"/>
          <w:sz w:val="24"/>
          <w:szCs w:val="24"/>
        </w:rPr>
        <w:t>A.</w:t>
      </w:r>
      <w:r>
        <w:rPr>
          <w:rFonts w:ascii="Arial" w:hAnsi="Arial" w:cs="Arial"/>
          <w:b/>
          <w:color w:val="000000" w:themeColor="text1"/>
          <w:sz w:val="24"/>
          <w:szCs w:val="24"/>
        </w:rPr>
        <w:tab/>
      </w:r>
      <w:r w:rsidR="009A073C" w:rsidRPr="00435D62">
        <w:rPr>
          <w:rFonts w:ascii="Arial" w:hAnsi="Arial" w:cs="Arial"/>
          <w:b/>
          <w:color w:val="000000" w:themeColor="text1"/>
          <w:szCs w:val="24"/>
        </w:rPr>
        <w:t>DE WET</w:t>
      </w:r>
    </w:p>
    <w:p w14:paraId="73F21F31" w14:textId="3ED9F4C2" w:rsidR="00A921BF" w:rsidRPr="00C40087" w:rsidRDefault="00A921BF" w:rsidP="00C40087">
      <w:pPr>
        <w:pStyle w:val="ListParagraph"/>
        <w:spacing w:line="360" w:lineRule="auto"/>
        <w:ind w:left="1440"/>
        <w:jc w:val="right"/>
        <w:rPr>
          <w:rFonts w:ascii="Arial" w:hAnsi="Arial" w:cs="Arial"/>
          <w:b/>
          <w:color w:val="000000" w:themeColor="text1"/>
          <w:szCs w:val="24"/>
        </w:rPr>
      </w:pPr>
      <w:r>
        <w:rPr>
          <w:rFonts w:ascii="Arial" w:hAnsi="Arial" w:cs="Arial"/>
          <w:b/>
          <w:color w:val="000000" w:themeColor="text1"/>
          <w:szCs w:val="24"/>
        </w:rPr>
        <w:t>Acting Judge of the High Court</w:t>
      </w:r>
    </w:p>
    <w:p w14:paraId="13D65548" w14:textId="77777777" w:rsidR="00A921BF" w:rsidRDefault="00A921BF" w:rsidP="00C40087">
      <w:pPr>
        <w:spacing w:after="0" w:line="360" w:lineRule="auto"/>
        <w:contextualSpacing/>
        <w:jc w:val="both"/>
        <w:rPr>
          <w:rFonts w:ascii="Arial" w:hAnsi="Arial" w:cs="Arial"/>
          <w:color w:val="000000" w:themeColor="text1"/>
          <w:sz w:val="24"/>
          <w:szCs w:val="24"/>
        </w:rPr>
      </w:pPr>
    </w:p>
    <w:p w14:paraId="2CEB88D8" w14:textId="77777777" w:rsidR="00FE5797" w:rsidRDefault="00FE5797" w:rsidP="00C40087">
      <w:pPr>
        <w:spacing w:after="0" w:line="360" w:lineRule="auto"/>
        <w:contextualSpacing/>
        <w:jc w:val="both"/>
        <w:rPr>
          <w:rFonts w:ascii="Arial" w:hAnsi="Arial" w:cs="Arial"/>
          <w:color w:val="000000" w:themeColor="text1"/>
          <w:sz w:val="24"/>
          <w:szCs w:val="24"/>
        </w:rPr>
      </w:pPr>
    </w:p>
    <w:p w14:paraId="5A53F2E5" w14:textId="77777777" w:rsidR="0022170B" w:rsidRDefault="0022170B" w:rsidP="00C40087">
      <w:pPr>
        <w:spacing w:after="0" w:line="360" w:lineRule="auto"/>
        <w:contextualSpacing/>
        <w:jc w:val="both"/>
        <w:rPr>
          <w:rFonts w:ascii="Arial" w:hAnsi="Arial" w:cs="Arial"/>
          <w:color w:val="000000" w:themeColor="text1"/>
          <w:sz w:val="24"/>
          <w:szCs w:val="24"/>
        </w:rPr>
      </w:pPr>
    </w:p>
    <w:p w14:paraId="6EC10A1A" w14:textId="77777777" w:rsidR="0022170B" w:rsidRDefault="0022170B" w:rsidP="00C40087">
      <w:pPr>
        <w:spacing w:after="0" w:line="360" w:lineRule="auto"/>
        <w:contextualSpacing/>
        <w:jc w:val="both"/>
        <w:rPr>
          <w:rFonts w:ascii="Arial" w:hAnsi="Arial" w:cs="Arial"/>
          <w:color w:val="000000" w:themeColor="text1"/>
          <w:sz w:val="24"/>
          <w:szCs w:val="24"/>
        </w:rPr>
      </w:pPr>
    </w:p>
    <w:p w14:paraId="67D9122D" w14:textId="619A1268" w:rsidR="001D405C" w:rsidRDefault="00307D8B" w:rsidP="00C40087">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Appellant</w:t>
      </w:r>
      <w:r w:rsidR="00A921BF">
        <w:rPr>
          <w:rFonts w:ascii="Arial" w:hAnsi="Arial" w:cs="Arial"/>
          <w:color w:val="000000" w:themeColor="text1"/>
          <w:sz w:val="24"/>
          <w:szCs w:val="24"/>
        </w:rPr>
        <w:t>’s counsel</w:t>
      </w:r>
      <w:r>
        <w:rPr>
          <w:rFonts w:ascii="Arial" w:hAnsi="Arial" w:cs="Arial"/>
          <w:color w:val="000000" w:themeColor="text1"/>
          <w:sz w:val="24"/>
          <w:szCs w:val="24"/>
        </w:rPr>
        <w:t>:</w:t>
      </w:r>
      <w:r>
        <w:rPr>
          <w:rFonts w:ascii="Arial" w:hAnsi="Arial" w:cs="Arial"/>
          <w:color w:val="000000" w:themeColor="text1"/>
          <w:sz w:val="24"/>
          <w:szCs w:val="24"/>
        </w:rPr>
        <w:tab/>
      </w:r>
      <w:r>
        <w:rPr>
          <w:rFonts w:ascii="Arial" w:hAnsi="Arial" w:cs="Arial"/>
          <w:color w:val="000000" w:themeColor="text1"/>
          <w:sz w:val="24"/>
          <w:szCs w:val="24"/>
        </w:rPr>
        <w:tab/>
      </w:r>
      <w:r w:rsidR="00523BD5">
        <w:rPr>
          <w:rFonts w:ascii="Arial" w:hAnsi="Arial" w:cs="Arial"/>
          <w:color w:val="000000" w:themeColor="text1"/>
          <w:sz w:val="24"/>
          <w:szCs w:val="24"/>
        </w:rPr>
        <w:tab/>
      </w:r>
      <w:r w:rsidR="00523BD5">
        <w:rPr>
          <w:rFonts w:ascii="Arial" w:hAnsi="Arial" w:cs="Arial"/>
          <w:color w:val="000000" w:themeColor="text1"/>
          <w:sz w:val="24"/>
          <w:szCs w:val="24"/>
        </w:rPr>
        <w:tab/>
      </w:r>
      <w:r w:rsidR="00130B08">
        <w:rPr>
          <w:rFonts w:ascii="Arial" w:hAnsi="Arial" w:cs="Arial"/>
          <w:color w:val="000000" w:themeColor="text1"/>
          <w:sz w:val="24"/>
          <w:szCs w:val="24"/>
        </w:rPr>
        <w:t>DM Roberts</w:t>
      </w:r>
    </w:p>
    <w:p w14:paraId="3F043438" w14:textId="08F11B61" w:rsidR="00A921BF" w:rsidRDefault="00A921BF" w:rsidP="00C40087">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Appellant’s attorneys</w:t>
      </w:r>
      <w:r w:rsidR="00523BD5">
        <w:rPr>
          <w:rFonts w:ascii="Arial" w:hAnsi="Arial" w:cs="Arial"/>
          <w:color w:val="000000" w:themeColor="text1"/>
          <w:sz w:val="24"/>
          <w:szCs w:val="24"/>
        </w:rPr>
        <w:t>:</w:t>
      </w:r>
      <w:r w:rsidR="00130B08">
        <w:rPr>
          <w:rFonts w:ascii="Arial" w:hAnsi="Arial" w:cs="Arial"/>
          <w:color w:val="000000" w:themeColor="text1"/>
          <w:sz w:val="24"/>
          <w:szCs w:val="24"/>
        </w:rPr>
        <w:tab/>
      </w:r>
      <w:r w:rsidR="00130B08">
        <w:rPr>
          <w:rFonts w:ascii="Arial" w:hAnsi="Arial" w:cs="Arial"/>
          <w:color w:val="000000" w:themeColor="text1"/>
          <w:sz w:val="24"/>
          <w:szCs w:val="24"/>
        </w:rPr>
        <w:tab/>
      </w:r>
      <w:r>
        <w:rPr>
          <w:rFonts w:ascii="Arial" w:hAnsi="Arial" w:cs="Arial"/>
          <w:color w:val="000000" w:themeColor="text1"/>
          <w:sz w:val="24"/>
          <w:szCs w:val="24"/>
        </w:rPr>
        <w:tab/>
      </w:r>
      <w:r w:rsidR="00130B08">
        <w:rPr>
          <w:rFonts w:ascii="Arial" w:hAnsi="Arial" w:cs="Arial"/>
          <w:color w:val="000000" w:themeColor="text1"/>
          <w:sz w:val="24"/>
          <w:szCs w:val="24"/>
        </w:rPr>
        <w:t>STBB</w:t>
      </w:r>
    </w:p>
    <w:p w14:paraId="0D9B3DC4" w14:textId="24B4093E" w:rsidR="00307D8B" w:rsidRDefault="00A921BF" w:rsidP="00A921BF">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Cape Town</w:t>
      </w:r>
      <w:r w:rsidR="00130B08">
        <w:rPr>
          <w:rFonts w:ascii="Arial" w:hAnsi="Arial" w:cs="Arial"/>
          <w:color w:val="000000" w:themeColor="text1"/>
          <w:sz w:val="24"/>
          <w:szCs w:val="24"/>
        </w:rPr>
        <w:t xml:space="preserve"> </w:t>
      </w:r>
    </w:p>
    <w:p w14:paraId="179D2D85" w14:textId="252004D9" w:rsidR="00307D8B" w:rsidRDefault="00130B08" w:rsidP="00C40087">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First </w:t>
      </w:r>
      <w:r w:rsidR="00A921BF">
        <w:rPr>
          <w:rFonts w:ascii="Arial" w:hAnsi="Arial" w:cs="Arial"/>
          <w:color w:val="000000" w:themeColor="text1"/>
          <w:sz w:val="24"/>
          <w:szCs w:val="24"/>
        </w:rPr>
        <w:t>respondent’s attorneys</w:t>
      </w:r>
      <w:r w:rsidR="00307D8B">
        <w:rPr>
          <w:rFonts w:ascii="Arial" w:hAnsi="Arial" w:cs="Arial"/>
          <w:color w:val="000000" w:themeColor="text1"/>
          <w:sz w:val="24"/>
          <w:szCs w:val="24"/>
        </w:rPr>
        <w:t>:</w:t>
      </w:r>
      <w:r>
        <w:rPr>
          <w:rFonts w:ascii="Arial" w:hAnsi="Arial" w:cs="Arial"/>
          <w:color w:val="000000" w:themeColor="text1"/>
          <w:sz w:val="24"/>
          <w:szCs w:val="24"/>
        </w:rPr>
        <w:tab/>
      </w:r>
      <w:r w:rsidR="00FE5797">
        <w:rPr>
          <w:rFonts w:ascii="Arial" w:hAnsi="Arial" w:cs="Arial"/>
          <w:color w:val="000000" w:themeColor="text1"/>
          <w:sz w:val="24"/>
          <w:szCs w:val="24"/>
        </w:rPr>
        <w:tab/>
      </w:r>
      <w:r w:rsidR="00523BD5">
        <w:rPr>
          <w:rFonts w:ascii="Arial" w:hAnsi="Arial" w:cs="Arial"/>
          <w:color w:val="000000" w:themeColor="text1"/>
          <w:sz w:val="24"/>
          <w:szCs w:val="24"/>
        </w:rPr>
        <w:t>Bicarri Bollo Mariano Inc</w:t>
      </w:r>
      <w:r w:rsidR="00A921BF">
        <w:rPr>
          <w:rFonts w:ascii="Arial" w:hAnsi="Arial" w:cs="Arial"/>
          <w:color w:val="000000" w:themeColor="text1"/>
          <w:sz w:val="24"/>
          <w:szCs w:val="24"/>
        </w:rPr>
        <w:t>.</w:t>
      </w:r>
    </w:p>
    <w:p w14:paraId="4BDB7ACF" w14:textId="5866D213" w:rsidR="00A921BF" w:rsidRDefault="00A921BF" w:rsidP="00C40087">
      <w:pPr>
        <w:spacing w:after="0"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FE5797">
        <w:rPr>
          <w:rFonts w:ascii="Arial" w:hAnsi="Arial" w:cs="Arial"/>
          <w:color w:val="000000" w:themeColor="text1"/>
          <w:sz w:val="24"/>
          <w:szCs w:val="24"/>
        </w:rPr>
        <w:tab/>
      </w:r>
      <w:r>
        <w:rPr>
          <w:rFonts w:ascii="Arial" w:hAnsi="Arial" w:cs="Arial"/>
          <w:color w:val="000000" w:themeColor="text1"/>
          <w:sz w:val="24"/>
          <w:szCs w:val="24"/>
        </w:rPr>
        <w:t>Cape Town</w:t>
      </w:r>
    </w:p>
    <w:sectPr w:rsidR="00A921BF" w:rsidSect="0022170B">
      <w:headerReference w:type="default" r:id="rId9"/>
      <w:pgSz w:w="12240" w:h="15840"/>
      <w:pgMar w:top="1440" w:right="1440" w:bottom="1440" w:left="1440"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301F9" w14:textId="77777777" w:rsidR="008C377C" w:rsidRDefault="008C377C" w:rsidP="00E72628">
      <w:pPr>
        <w:spacing w:after="0" w:line="240" w:lineRule="auto"/>
      </w:pPr>
      <w:r>
        <w:separator/>
      </w:r>
    </w:p>
  </w:endnote>
  <w:endnote w:type="continuationSeparator" w:id="0">
    <w:p w14:paraId="6349264D" w14:textId="77777777" w:rsidR="008C377C" w:rsidRDefault="008C377C" w:rsidP="00E7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419D" w14:textId="77777777" w:rsidR="008C377C" w:rsidRDefault="008C377C" w:rsidP="00E72628">
      <w:pPr>
        <w:spacing w:after="0" w:line="240" w:lineRule="auto"/>
      </w:pPr>
      <w:r>
        <w:separator/>
      </w:r>
    </w:p>
  </w:footnote>
  <w:footnote w:type="continuationSeparator" w:id="0">
    <w:p w14:paraId="1554959F" w14:textId="77777777" w:rsidR="008C377C" w:rsidRDefault="008C377C" w:rsidP="00E72628">
      <w:pPr>
        <w:spacing w:after="0" w:line="240" w:lineRule="auto"/>
      </w:pPr>
      <w:r>
        <w:continuationSeparator/>
      </w:r>
    </w:p>
  </w:footnote>
  <w:footnote w:id="1">
    <w:p w14:paraId="75FC793B" w14:textId="77777777" w:rsidR="00FB4DF0" w:rsidRDefault="00FB4DF0">
      <w:pPr>
        <w:pStyle w:val="FootnoteText"/>
        <w:rPr>
          <w:lang w:val="en-GB"/>
        </w:rPr>
      </w:pPr>
      <w:r>
        <w:rPr>
          <w:rStyle w:val="FootnoteReference"/>
        </w:rPr>
        <w:footnoteRef/>
      </w:r>
      <w:r>
        <w:t xml:space="preserve"> </w:t>
      </w:r>
      <w:r>
        <w:rPr>
          <w:lang w:val="en-GB"/>
        </w:rPr>
        <w:t>Section 57(1) of the CSOS Act provides that:</w:t>
      </w:r>
    </w:p>
    <w:p w14:paraId="71C3CB22" w14:textId="28D89183" w:rsidR="00FB4DF0" w:rsidRDefault="00FB4DF0" w:rsidP="00C40087">
      <w:pPr>
        <w:pStyle w:val="FootnoteText"/>
        <w:keepNext/>
        <w:rPr>
          <w:lang w:val="en-GB"/>
        </w:rPr>
      </w:pPr>
      <w:r>
        <w:rPr>
          <w:lang w:val="en-GB"/>
        </w:rPr>
        <w:tab/>
      </w:r>
      <w:r w:rsidR="00565CB2">
        <w:rPr>
          <w:lang w:val="en-GB"/>
        </w:rPr>
        <w:t>‘</w:t>
      </w:r>
      <w:r>
        <w:rPr>
          <w:lang w:val="en-GB"/>
        </w:rPr>
        <w:t>Right of Appeal</w:t>
      </w:r>
    </w:p>
    <w:p w14:paraId="7F54DD8B" w14:textId="04CDEB31" w:rsidR="00FB4DF0" w:rsidRPr="00FB4DF0" w:rsidRDefault="00FB4DF0" w:rsidP="0043612C">
      <w:pPr>
        <w:pStyle w:val="FootnoteText"/>
        <w:ind w:left="1440" w:hanging="720"/>
        <w:jc w:val="both"/>
        <w:rPr>
          <w:lang w:val="en-GB"/>
        </w:rPr>
      </w:pPr>
      <w:r>
        <w:rPr>
          <w:lang w:val="en-GB"/>
        </w:rPr>
        <w:t>57.1</w:t>
      </w:r>
      <w:r>
        <w:rPr>
          <w:lang w:val="en-GB"/>
        </w:rPr>
        <w:tab/>
        <w:t>An applicant</w:t>
      </w:r>
      <w:r w:rsidR="00F923C7">
        <w:rPr>
          <w:lang w:val="en-GB"/>
        </w:rPr>
        <w:t>,</w:t>
      </w:r>
      <w:r>
        <w:rPr>
          <w:lang w:val="en-GB"/>
        </w:rPr>
        <w:t xml:space="preserve"> the association or any affected person who is dissatisfied by an </w:t>
      </w:r>
      <w:r w:rsidR="00565CB2">
        <w:rPr>
          <w:lang w:val="en-GB"/>
        </w:rPr>
        <w:t xml:space="preserve">adjudicator’s </w:t>
      </w:r>
      <w:r>
        <w:rPr>
          <w:lang w:val="en-GB"/>
        </w:rPr>
        <w:t>order, may appeal to the High Court, but only on a question of law</w:t>
      </w:r>
      <w:r w:rsidR="00565CB2">
        <w:rPr>
          <w:lang w:val="en-GB"/>
        </w:rPr>
        <w:t>.’</w:t>
      </w:r>
    </w:p>
  </w:footnote>
  <w:footnote w:id="2">
    <w:p w14:paraId="75C429FC" w14:textId="3E60F701" w:rsidR="00895D46" w:rsidRPr="00C40087" w:rsidRDefault="00895D46">
      <w:pPr>
        <w:pStyle w:val="FootnoteText"/>
        <w:rPr>
          <w:lang w:val="en-GB"/>
        </w:rPr>
      </w:pPr>
      <w:r>
        <w:rPr>
          <w:rStyle w:val="FootnoteReference"/>
        </w:rPr>
        <w:footnoteRef/>
      </w:r>
      <w:r>
        <w:t xml:space="preserve"> </w:t>
      </w:r>
      <w:r w:rsidRPr="00781523">
        <w:rPr>
          <w:rFonts w:ascii="Arial" w:hAnsi="Arial" w:cs="Arial"/>
        </w:rPr>
        <w:t>‘</w:t>
      </w:r>
      <w:r w:rsidRPr="00781523">
        <w:rPr>
          <w:rFonts w:ascii="Arial" w:hAnsi="Arial" w:cs="Arial"/>
          <w:i/>
        </w:rPr>
        <w:t xml:space="preserve">The 30-day provision has obviously been inserted to avoid delay in the establishment of an accurate register.  But it is axiomatic that a time limit that is extendable will not automatically be extended, rather only where sufficient cause for condonation has been made out.  </w:t>
      </w:r>
      <w:r w:rsidR="0057531E" w:rsidRPr="00781523">
        <w:rPr>
          <w:rFonts w:ascii="Arial" w:hAnsi="Arial" w:cs="Arial"/>
          <w:i/>
        </w:rPr>
        <w:t>Consequently</w:t>
      </w:r>
      <w:r w:rsidR="0057531E">
        <w:rPr>
          <w:rFonts w:ascii="Arial" w:hAnsi="Arial" w:cs="Arial"/>
          <w:i/>
        </w:rPr>
        <w:t>,</w:t>
      </w:r>
      <w:r w:rsidRPr="00781523">
        <w:rPr>
          <w:rFonts w:ascii="Arial" w:hAnsi="Arial" w:cs="Arial"/>
          <w:i/>
        </w:rPr>
        <w:t xml:space="preserve"> extension would not be in conflict with the intention that expedition of the administrative operation of the statute should not be hindered</w:t>
      </w:r>
      <w:r w:rsidRPr="00781523">
        <w:rPr>
          <w:rFonts w:ascii="Arial" w:hAnsi="Arial" w:cs="Arial"/>
        </w:rPr>
        <w:t>’.  (Our translation.)</w:t>
      </w:r>
    </w:p>
  </w:footnote>
  <w:footnote w:id="3">
    <w:p w14:paraId="7BFEEF0C" w14:textId="494B685C" w:rsidR="009F2F37" w:rsidRPr="00C40087" w:rsidRDefault="009F2F37">
      <w:pPr>
        <w:pStyle w:val="FootnoteText"/>
        <w:rPr>
          <w:lang w:val="en-US"/>
        </w:rPr>
      </w:pPr>
      <w:r>
        <w:rPr>
          <w:rStyle w:val="FootnoteReference"/>
        </w:rPr>
        <w:footnoteRef/>
      </w:r>
      <w:r>
        <w:t xml:space="preserve"> </w:t>
      </w:r>
      <w:r>
        <w:rPr>
          <w:lang w:val="en-US"/>
        </w:rPr>
        <w:t xml:space="preserve">See </w:t>
      </w:r>
      <w:r w:rsidRPr="00C40087">
        <w:rPr>
          <w:i/>
          <w:iCs/>
          <w:lang w:val="en-GB"/>
        </w:rPr>
        <w:t>Durdoc Centre body Corporate v Singh</w:t>
      </w:r>
      <w:r>
        <w:rPr>
          <w:lang w:val="en-GB"/>
        </w:rPr>
        <w:t xml:space="preserve"> </w:t>
      </w:r>
      <w:r w:rsidR="00254AFC" w:rsidRPr="00254AFC">
        <w:rPr>
          <w:lang w:val="en-GB"/>
        </w:rPr>
        <w:t>[2019] ZAKZPHC 29</w:t>
      </w:r>
      <w:r w:rsidR="00254AFC">
        <w:rPr>
          <w:lang w:val="en-GB"/>
        </w:rPr>
        <w:t xml:space="preserve"> </w:t>
      </w:r>
      <w:r w:rsidR="00254AFC" w:rsidRPr="00254AFC">
        <w:rPr>
          <w:lang w:val="en-GB"/>
        </w:rPr>
        <w:t xml:space="preserve">(13 May 2019); 2019 (6) SA 45 (KZP) </w:t>
      </w:r>
      <w:r>
        <w:rPr>
          <w:lang w:val="en-GB"/>
        </w:rPr>
        <w:t xml:space="preserve">and </w:t>
      </w:r>
      <w:r w:rsidR="00CC331D" w:rsidRPr="00C40087">
        <w:rPr>
          <w:i/>
          <w:iCs/>
          <w:lang w:val="en-GB"/>
        </w:rPr>
        <w:t>Ellis v Trustees of Palm Grove Body Corporate and Others</w:t>
      </w:r>
      <w:r w:rsidR="00CC331D" w:rsidRPr="00CC331D">
        <w:rPr>
          <w:lang w:val="en-GB"/>
        </w:rPr>
        <w:t xml:space="preserve"> [2021] ZAKZPHC 97 (7 December 2021)</w:t>
      </w:r>
      <w:r w:rsidR="00CC331D">
        <w:rPr>
          <w:lang w:val="en-GB"/>
        </w:rPr>
        <w:t xml:space="preserve"> in regard to the procedure applied in the KwaZulu-Natal Division.</w:t>
      </w:r>
    </w:p>
  </w:footnote>
  <w:footnote w:id="4">
    <w:p w14:paraId="798CB828" w14:textId="67ABA97B" w:rsidR="00FB4DF0" w:rsidRPr="00FB4DF0" w:rsidRDefault="00FB4DF0" w:rsidP="00FB4DF0">
      <w:pPr>
        <w:pStyle w:val="FootnoteText"/>
        <w:rPr>
          <w:lang w:val="en-GB"/>
        </w:rPr>
      </w:pPr>
      <w:r>
        <w:rPr>
          <w:rStyle w:val="FootnoteReference"/>
        </w:rPr>
        <w:footnoteRef/>
      </w:r>
      <w:r>
        <w:t xml:space="preserve"> </w:t>
      </w:r>
      <w:r w:rsidRPr="00FB4DF0">
        <w:rPr>
          <w:rFonts w:cstheme="minorHAnsi"/>
        </w:rPr>
        <w:t>See</w:t>
      </w:r>
      <w:r w:rsidRPr="00FB4DF0">
        <w:rPr>
          <w:rFonts w:cstheme="minorHAnsi"/>
          <w:i/>
        </w:rPr>
        <w:t xml:space="preserve"> </w:t>
      </w:r>
      <w:r w:rsidRPr="000E14AE">
        <w:rPr>
          <w:rFonts w:cstheme="minorHAnsi"/>
          <w:iCs/>
        </w:rPr>
        <w:t>C G van der Merwe</w:t>
      </w:r>
      <w:r w:rsidRPr="00FB4DF0">
        <w:rPr>
          <w:rFonts w:cstheme="minorHAnsi"/>
          <w:i/>
        </w:rPr>
        <w:t xml:space="preserve">, Sectional Titles, Shareblocks and Time Sharing </w:t>
      </w:r>
      <w:r w:rsidRPr="000E14AE">
        <w:rPr>
          <w:rFonts w:cstheme="minorHAnsi"/>
          <w:iCs/>
        </w:rPr>
        <w:t>(looseleaf) para 11.5.4.5 at footnote 297</w:t>
      </w:r>
      <w:r w:rsidR="000E14AE">
        <w:rPr>
          <w:rFonts w:cstheme="minorHAns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554856"/>
      <w:docPartObj>
        <w:docPartGallery w:val="Page Numbers (Top of Page)"/>
        <w:docPartUnique/>
      </w:docPartObj>
    </w:sdtPr>
    <w:sdtEndPr>
      <w:rPr>
        <w:noProof/>
      </w:rPr>
    </w:sdtEndPr>
    <w:sdtContent>
      <w:p w14:paraId="12140EE4" w14:textId="5DAFBE77" w:rsidR="009A073C" w:rsidRDefault="009A073C">
        <w:pPr>
          <w:pStyle w:val="Header"/>
          <w:jc w:val="right"/>
        </w:pPr>
        <w:r>
          <w:fldChar w:fldCharType="begin"/>
        </w:r>
        <w:r>
          <w:instrText xml:space="preserve"> PAGE   \* MERGEFORMAT </w:instrText>
        </w:r>
        <w:r>
          <w:fldChar w:fldCharType="separate"/>
        </w:r>
        <w:r w:rsidR="00435D62">
          <w:rPr>
            <w:noProof/>
          </w:rPr>
          <w:t>2</w:t>
        </w:r>
        <w:r>
          <w:rPr>
            <w:noProof/>
          </w:rPr>
          <w:fldChar w:fldCharType="end"/>
        </w:r>
      </w:p>
    </w:sdtContent>
  </w:sdt>
  <w:p w14:paraId="268BF74E" w14:textId="77777777" w:rsidR="009A073C" w:rsidRDefault="009A07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07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6D5A58"/>
    <w:multiLevelType w:val="hybridMultilevel"/>
    <w:tmpl w:val="D292A5D6"/>
    <w:lvl w:ilvl="0" w:tplc="8DDA7C02">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61600C28">
      <w:start w:val="1"/>
      <w:numFmt w:val="decimal"/>
      <w:lvlText w:val="(%3)"/>
      <w:lvlJc w:val="left"/>
      <w:pPr>
        <w:ind w:left="2400" w:hanging="420"/>
      </w:pPr>
      <w:rPr>
        <w:rFonts w:hint="default"/>
      </w:rPr>
    </w:lvl>
    <w:lvl w:ilvl="3" w:tplc="16E81ADE">
      <w:start w:val="1"/>
      <w:numFmt w:val="lowerLetter"/>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47C8E"/>
    <w:multiLevelType w:val="hybridMultilevel"/>
    <w:tmpl w:val="C4548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F42B5E"/>
    <w:multiLevelType w:val="hybridMultilevel"/>
    <w:tmpl w:val="FE34DB58"/>
    <w:lvl w:ilvl="0" w:tplc="2A2C641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8363691"/>
    <w:multiLevelType w:val="hybridMultilevel"/>
    <w:tmpl w:val="0BD8B0A0"/>
    <w:lvl w:ilvl="0" w:tplc="FB2C635A">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4E0C71"/>
    <w:multiLevelType w:val="hybridMultilevel"/>
    <w:tmpl w:val="97AACE60"/>
    <w:lvl w:ilvl="0" w:tplc="F160830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8E0362A"/>
    <w:multiLevelType w:val="hybridMultilevel"/>
    <w:tmpl w:val="AA52C01E"/>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E3"/>
    <w:rsid w:val="00007AC6"/>
    <w:rsid w:val="00047F77"/>
    <w:rsid w:val="000A3FFC"/>
    <w:rsid w:val="000C791E"/>
    <w:rsid w:val="000E14AE"/>
    <w:rsid w:val="001059C1"/>
    <w:rsid w:val="0011026C"/>
    <w:rsid w:val="00117D32"/>
    <w:rsid w:val="00130B08"/>
    <w:rsid w:val="00141653"/>
    <w:rsid w:val="0018358E"/>
    <w:rsid w:val="00192966"/>
    <w:rsid w:val="001C4571"/>
    <w:rsid w:val="001D405C"/>
    <w:rsid w:val="0022170B"/>
    <w:rsid w:val="00254AFC"/>
    <w:rsid w:val="00266562"/>
    <w:rsid w:val="00267984"/>
    <w:rsid w:val="00272F56"/>
    <w:rsid w:val="002A7206"/>
    <w:rsid w:val="00303C90"/>
    <w:rsid w:val="00307D8B"/>
    <w:rsid w:val="003205B2"/>
    <w:rsid w:val="00332E86"/>
    <w:rsid w:val="00362552"/>
    <w:rsid w:val="00394B70"/>
    <w:rsid w:val="003A55E2"/>
    <w:rsid w:val="003C308E"/>
    <w:rsid w:val="003C4346"/>
    <w:rsid w:val="003E17A2"/>
    <w:rsid w:val="00426800"/>
    <w:rsid w:val="00433D57"/>
    <w:rsid w:val="00435D62"/>
    <w:rsid w:val="0043612C"/>
    <w:rsid w:val="0046743A"/>
    <w:rsid w:val="00480722"/>
    <w:rsid w:val="004D6E38"/>
    <w:rsid w:val="004E6370"/>
    <w:rsid w:val="00503F9B"/>
    <w:rsid w:val="00523BD5"/>
    <w:rsid w:val="00526EF5"/>
    <w:rsid w:val="00534102"/>
    <w:rsid w:val="00536F6E"/>
    <w:rsid w:val="00537723"/>
    <w:rsid w:val="00545D37"/>
    <w:rsid w:val="00556D06"/>
    <w:rsid w:val="005629FD"/>
    <w:rsid w:val="00565CB2"/>
    <w:rsid w:val="0057029D"/>
    <w:rsid w:val="0057531E"/>
    <w:rsid w:val="00585F60"/>
    <w:rsid w:val="005A5C32"/>
    <w:rsid w:val="005B63F6"/>
    <w:rsid w:val="005C1088"/>
    <w:rsid w:val="005C19E3"/>
    <w:rsid w:val="005E203D"/>
    <w:rsid w:val="00633D9D"/>
    <w:rsid w:val="0069428D"/>
    <w:rsid w:val="006946E1"/>
    <w:rsid w:val="006B3BD0"/>
    <w:rsid w:val="006F1A58"/>
    <w:rsid w:val="0071259A"/>
    <w:rsid w:val="00715E4F"/>
    <w:rsid w:val="00721B8B"/>
    <w:rsid w:val="00776E37"/>
    <w:rsid w:val="00781523"/>
    <w:rsid w:val="007D10D9"/>
    <w:rsid w:val="007D268F"/>
    <w:rsid w:val="00810AC4"/>
    <w:rsid w:val="008339B1"/>
    <w:rsid w:val="008750D3"/>
    <w:rsid w:val="00895D46"/>
    <w:rsid w:val="008A53DA"/>
    <w:rsid w:val="008C377C"/>
    <w:rsid w:val="008C3946"/>
    <w:rsid w:val="0093230E"/>
    <w:rsid w:val="009653A4"/>
    <w:rsid w:val="00967587"/>
    <w:rsid w:val="009975AC"/>
    <w:rsid w:val="00997C9C"/>
    <w:rsid w:val="009A073C"/>
    <w:rsid w:val="009D0EEF"/>
    <w:rsid w:val="009D3DDC"/>
    <w:rsid w:val="009F2F37"/>
    <w:rsid w:val="00A33D36"/>
    <w:rsid w:val="00A443A2"/>
    <w:rsid w:val="00A54779"/>
    <w:rsid w:val="00A57F0F"/>
    <w:rsid w:val="00A869BF"/>
    <w:rsid w:val="00A91C4C"/>
    <w:rsid w:val="00A921BF"/>
    <w:rsid w:val="00AE4D45"/>
    <w:rsid w:val="00AE6A13"/>
    <w:rsid w:val="00AF36E0"/>
    <w:rsid w:val="00B050C1"/>
    <w:rsid w:val="00B11FBE"/>
    <w:rsid w:val="00B16B97"/>
    <w:rsid w:val="00B377E0"/>
    <w:rsid w:val="00B921E6"/>
    <w:rsid w:val="00BA0CA7"/>
    <w:rsid w:val="00BC6DAC"/>
    <w:rsid w:val="00BD4F08"/>
    <w:rsid w:val="00BD69F1"/>
    <w:rsid w:val="00BE52B3"/>
    <w:rsid w:val="00C20FE0"/>
    <w:rsid w:val="00C22CCA"/>
    <w:rsid w:val="00C23757"/>
    <w:rsid w:val="00C40087"/>
    <w:rsid w:val="00C41A7F"/>
    <w:rsid w:val="00C4696B"/>
    <w:rsid w:val="00C77B71"/>
    <w:rsid w:val="00C806B0"/>
    <w:rsid w:val="00C92B9C"/>
    <w:rsid w:val="00CA099D"/>
    <w:rsid w:val="00CC331D"/>
    <w:rsid w:val="00CC5B78"/>
    <w:rsid w:val="00CD14E3"/>
    <w:rsid w:val="00CF16A8"/>
    <w:rsid w:val="00D07FF8"/>
    <w:rsid w:val="00D1575F"/>
    <w:rsid w:val="00D31F5A"/>
    <w:rsid w:val="00D4790B"/>
    <w:rsid w:val="00D61429"/>
    <w:rsid w:val="00D7047A"/>
    <w:rsid w:val="00DB4F10"/>
    <w:rsid w:val="00DD52A8"/>
    <w:rsid w:val="00E33CAA"/>
    <w:rsid w:val="00E61482"/>
    <w:rsid w:val="00E72628"/>
    <w:rsid w:val="00E95086"/>
    <w:rsid w:val="00EA5660"/>
    <w:rsid w:val="00EA58FE"/>
    <w:rsid w:val="00EB3B68"/>
    <w:rsid w:val="00EC4FC1"/>
    <w:rsid w:val="00EE2C40"/>
    <w:rsid w:val="00F41C9B"/>
    <w:rsid w:val="00F47922"/>
    <w:rsid w:val="00F574C0"/>
    <w:rsid w:val="00F81354"/>
    <w:rsid w:val="00F923C7"/>
    <w:rsid w:val="00F94FD0"/>
    <w:rsid w:val="00FB4DF0"/>
    <w:rsid w:val="00FE5797"/>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4B66"/>
  <w15:chartTrackingRefBased/>
  <w15:docId w15:val="{5080C0D5-39E2-463F-8B8E-A6CE2AFA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E3"/>
    <w:pPr>
      <w:spacing w:line="256" w:lineRule="auto"/>
    </w:pPr>
    <w:rPr>
      <w:lang w:val="en-ZA"/>
    </w:rPr>
  </w:style>
  <w:style w:type="paragraph" w:styleId="Heading2">
    <w:name w:val="heading 2"/>
    <w:basedOn w:val="Normal"/>
    <w:next w:val="Normal"/>
    <w:link w:val="Heading2Char"/>
    <w:uiPriority w:val="9"/>
    <w:unhideWhenUsed/>
    <w:qFormat/>
    <w:rsid w:val="001416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E3"/>
    <w:rPr>
      <w:lang w:val="en-ZA"/>
    </w:rPr>
  </w:style>
  <w:style w:type="paragraph" w:styleId="FootnoteText">
    <w:name w:val="footnote text"/>
    <w:basedOn w:val="Normal"/>
    <w:link w:val="FootnoteTextChar"/>
    <w:uiPriority w:val="99"/>
    <w:semiHidden/>
    <w:unhideWhenUsed/>
    <w:rsid w:val="00E72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28"/>
    <w:rPr>
      <w:sz w:val="20"/>
      <w:szCs w:val="20"/>
      <w:lang w:val="en-ZA"/>
    </w:rPr>
  </w:style>
  <w:style w:type="character" w:styleId="FootnoteReference">
    <w:name w:val="footnote reference"/>
    <w:basedOn w:val="DefaultParagraphFont"/>
    <w:uiPriority w:val="99"/>
    <w:semiHidden/>
    <w:unhideWhenUsed/>
    <w:rsid w:val="00E72628"/>
    <w:rPr>
      <w:vertAlign w:val="superscript"/>
    </w:rPr>
  </w:style>
  <w:style w:type="paragraph" w:styleId="ListParagraph">
    <w:name w:val="List Paragraph"/>
    <w:aliases w:val="Numbered heading"/>
    <w:basedOn w:val="Normal"/>
    <w:link w:val="ListParagraphChar"/>
    <w:uiPriority w:val="34"/>
    <w:qFormat/>
    <w:rsid w:val="003C308E"/>
    <w:pPr>
      <w:spacing w:after="0" w:line="480" w:lineRule="auto"/>
      <w:contextualSpacing/>
      <w:jc w:val="both"/>
    </w:pPr>
    <w:rPr>
      <w:rFonts w:ascii="Times New Roman" w:hAnsi="Times New Roman"/>
      <w:sz w:val="24"/>
    </w:rPr>
  </w:style>
  <w:style w:type="character" w:customStyle="1" w:styleId="ListParagraphChar">
    <w:name w:val="List Paragraph Char"/>
    <w:aliases w:val="Numbered heading Char"/>
    <w:basedOn w:val="DefaultParagraphFont"/>
    <w:link w:val="ListParagraph"/>
    <w:uiPriority w:val="34"/>
    <w:locked/>
    <w:rsid w:val="003C308E"/>
    <w:rPr>
      <w:rFonts w:ascii="Times New Roman" w:hAnsi="Times New Roman"/>
      <w:sz w:val="24"/>
      <w:lang w:val="en-ZA"/>
    </w:rPr>
  </w:style>
  <w:style w:type="paragraph" w:styleId="Footer">
    <w:name w:val="footer"/>
    <w:basedOn w:val="Normal"/>
    <w:link w:val="FooterChar"/>
    <w:uiPriority w:val="99"/>
    <w:unhideWhenUsed/>
    <w:rsid w:val="003C3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8E"/>
    <w:rPr>
      <w:lang w:val="en-ZA"/>
    </w:rPr>
  </w:style>
  <w:style w:type="character" w:customStyle="1" w:styleId="Heading2Char">
    <w:name w:val="Heading 2 Char"/>
    <w:basedOn w:val="DefaultParagraphFont"/>
    <w:link w:val="Heading2"/>
    <w:uiPriority w:val="9"/>
    <w:rsid w:val="00141653"/>
    <w:rPr>
      <w:rFonts w:asciiTheme="majorHAnsi" w:eastAsiaTheme="majorEastAsia" w:hAnsiTheme="majorHAnsi" w:cstheme="majorBidi"/>
      <w:color w:val="2E74B5" w:themeColor="accent1" w:themeShade="BF"/>
      <w:sz w:val="26"/>
      <w:szCs w:val="26"/>
      <w:lang w:val="en-ZA"/>
    </w:rPr>
  </w:style>
  <w:style w:type="paragraph" w:styleId="BalloonText">
    <w:name w:val="Balloon Text"/>
    <w:basedOn w:val="Normal"/>
    <w:link w:val="BalloonTextChar"/>
    <w:uiPriority w:val="99"/>
    <w:semiHidden/>
    <w:unhideWhenUsed/>
    <w:rsid w:val="00CC5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78"/>
    <w:rPr>
      <w:rFonts w:ascii="Segoe UI" w:hAnsi="Segoe UI" w:cs="Segoe UI"/>
      <w:sz w:val="18"/>
      <w:szCs w:val="18"/>
      <w:lang w:val="en-ZA"/>
    </w:rPr>
  </w:style>
  <w:style w:type="paragraph" w:styleId="Revision">
    <w:name w:val="Revision"/>
    <w:hidden/>
    <w:uiPriority w:val="99"/>
    <w:semiHidden/>
    <w:rsid w:val="009D3DDC"/>
    <w:pPr>
      <w:spacing w:after="0" w:line="240" w:lineRule="auto"/>
    </w:pPr>
    <w:rPr>
      <w:lang w:val="en-ZA"/>
    </w:rPr>
  </w:style>
  <w:style w:type="character" w:styleId="Hyperlink">
    <w:name w:val="Hyperlink"/>
    <w:basedOn w:val="DefaultParagraphFont"/>
    <w:uiPriority w:val="99"/>
    <w:unhideWhenUsed/>
    <w:rsid w:val="00254AFC"/>
    <w:rPr>
      <w:color w:val="0563C1" w:themeColor="hyperlink"/>
      <w:u w:val="single"/>
    </w:rPr>
  </w:style>
  <w:style w:type="character" w:customStyle="1" w:styleId="UnresolvedMention">
    <w:name w:val="Unresolved Mention"/>
    <w:basedOn w:val="DefaultParagraphFont"/>
    <w:uiPriority w:val="99"/>
    <w:semiHidden/>
    <w:unhideWhenUsed/>
    <w:rsid w:val="0025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5940">
      <w:bodyDiv w:val="1"/>
      <w:marLeft w:val="0"/>
      <w:marRight w:val="0"/>
      <w:marTop w:val="0"/>
      <w:marBottom w:val="0"/>
      <w:divBdr>
        <w:top w:val="none" w:sz="0" w:space="0" w:color="auto"/>
        <w:left w:val="none" w:sz="0" w:space="0" w:color="auto"/>
        <w:bottom w:val="none" w:sz="0" w:space="0" w:color="auto"/>
        <w:right w:val="none" w:sz="0" w:space="0" w:color="auto"/>
      </w:divBdr>
    </w:div>
    <w:div w:id="264729994">
      <w:bodyDiv w:val="1"/>
      <w:marLeft w:val="0"/>
      <w:marRight w:val="0"/>
      <w:marTop w:val="0"/>
      <w:marBottom w:val="0"/>
      <w:divBdr>
        <w:top w:val="none" w:sz="0" w:space="0" w:color="auto"/>
        <w:left w:val="none" w:sz="0" w:space="0" w:color="auto"/>
        <w:bottom w:val="none" w:sz="0" w:space="0" w:color="auto"/>
        <w:right w:val="none" w:sz="0" w:space="0" w:color="auto"/>
      </w:divBdr>
    </w:div>
    <w:div w:id="738985635">
      <w:bodyDiv w:val="1"/>
      <w:marLeft w:val="0"/>
      <w:marRight w:val="0"/>
      <w:marTop w:val="0"/>
      <w:marBottom w:val="0"/>
      <w:divBdr>
        <w:top w:val="none" w:sz="0" w:space="0" w:color="auto"/>
        <w:left w:val="none" w:sz="0" w:space="0" w:color="auto"/>
        <w:bottom w:val="none" w:sz="0" w:space="0" w:color="auto"/>
        <w:right w:val="none" w:sz="0" w:space="0" w:color="auto"/>
      </w:divBdr>
    </w:div>
    <w:div w:id="770246657">
      <w:bodyDiv w:val="1"/>
      <w:marLeft w:val="0"/>
      <w:marRight w:val="0"/>
      <w:marTop w:val="0"/>
      <w:marBottom w:val="0"/>
      <w:divBdr>
        <w:top w:val="none" w:sz="0" w:space="0" w:color="auto"/>
        <w:left w:val="none" w:sz="0" w:space="0" w:color="auto"/>
        <w:bottom w:val="none" w:sz="0" w:space="0" w:color="auto"/>
        <w:right w:val="none" w:sz="0" w:space="0" w:color="auto"/>
      </w:divBdr>
    </w:div>
    <w:div w:id="837116601">
      <w:bodyDiv w:val="1"/>
      <w:marLeft w:val="0"/>
      <w:marRight w:val="0"/>
      <w:marTop w:val="0"/>
      <w:marBottom w:val="0"/>
      <w:divBdr>
        <w:top w:val="none" w:sz="0" w:space="0" w:color="auto"/>
        <w:left w:val="none" w:sz="0" w:space="0" w:color="auto"/>
        <w:bottom w:val="none" w:sz="0" w:space="0" w:color="auto"/>
        <w:right w:val="none" w:sz="0" w:space="0" w:color="auto"/>
      </w:divBdr>
    </w:div>
    <w:div w:id="864639458">
      <w:bodyDiv w:val="1"/>
      <w:marLeft w:val="0"/>
      <w:marRight w:val="0"/>
      <w:marTop w:val="0"/>
      <w:marBottom w:val="0"/>
      <w:divBdr>
        <w:top w:val="none" w:sz="0" w:space="0" w:color="auto"/>
        <w:left w:val="none" w:sz="0" w:space="0" w:color="auto"/>
        <w:bottom w:val="none" w:sz="0" w:space="0" w:color="auto"/>
        <w:right w:val="none" w:sz="0" w:space="0" w:color="auto"/>
      </w:divBdr>
    </w:div>
    <w:div w:id="989794040">
      <w:bodyDiv w:val="1"/>
      <w:marLeft w:val="0"/>
      <w:marRight w:val="0"/>
      <w:marTop w:val="0"/>
      <w:marBottom w:val="0"/>
      <w:divBdr>
        <w:top w:val="none" w:sz="0" w:space="0" w:color="auto"/>
        <w:left w:val="none" w:sz="0" w:space="0" w:color="auto"/>
        <w:bottom w:val="none" w:sz="0" w:space="0" w:color="auto"/>
        <w:right w:val="none" w:sz="0" w:space="0" w:color="auto"/>
      </w:divBdr>
    </w:div>
    <w:div w:id="1225917882">
      <w:bodyDiv w:val="1"/>
      <w:marLeft w:val="0"/>
      <w:marRight w:val="0"/>
      <w:marTop w:val="0"/>
      <w:marBottom w:val="0"/>
      <w:divBdr>
        <w:top w:val="none" w:sz="0" w:space="0" w:color="auto"/>
        <w:left w:val="none" w:sz="0" w:space="0" w:color="auto"/>
        <w:bottom w:val="none" w:sz="0" w:space="0" w:color="auto"/>
        <w:right w:val="none" w:sz="0" w:space="0" w:color="auto"/>
      </w:divBdr>
    </w:div>
    <w:div w:id="21258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D1F4-C96A-43C3-8DB7-8D88A0CD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Lategan</dc:creator>
  <cp:keywords/>
  <dc:description/>
  <cp:lastModifiedBy>Mary Bruce</cp:lastModifiedBy>
  <cp:revision>3</cp:revision>
  <cp:lastPrinted>2022-11-16T09:30:00Z</cp:lastPrinted>
  <dcterms:created xsi:type="dcterms:W3CDTF">2022-11-16T13:27:00Z</dcterms:created>
  <dcterms:modified xsi:type="dcterms:W3CDTF">2022-11-17T08:34:00Z</dcterms:modified>
</cp:coreProperties>
</file>