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80D0A" w14:textId="6DDCBC42" w:rsidR="00CC25D5" w:rsidRDefault="00CC25D5" w:rsidP="00D52D68">
      <w:pPr>
        <w:rPr>
          <w:rFonts w:cstheme="minorHAnsi"/>
          <w:b/>
          <w:bCs/>
          <w:sz w:val="28"/>
          <w:szCs w:val="28"/>
          <w:lang w:val="en-US"/>
        </w:rPr>
      </w:pPr>
      <w:bookmarkStart w:id="0" w:name="_GoBack"/>
      <w:bookmarkEnd w:id="0"/>
    </w:p>
    <w:p w14:paraId="73632F97" w14:textId="77777777" w:rsidR="00D52D68" w:rsidRDefault="00D52D68" w:rsidP="00D52D68">
      <w:pPr>
        <w:spacing w:line="360" w:lineRule="auto"/>
        <w:jc w:val="center"/>
      </w:pP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A81BC1">
        <w:rPr>
          <w:noProof/>
          <w:color w:val="1F497D"/>
          <w:sz w:val="16"/>
          <w:szCs w:val="16"/>
          <w:lang w:eastAsia="en-ZA"/>
        </w:rPr>
        <w:fldChar w:fldCharType="begin"/>
      </w:r>
      <w:r w:rsidR="00A81BC1">
        <w:rPr>
          <w:noProof/>
          <w:color w:val="1F497D"/>
          <w:sz w:val="16"/>
          <w:szCs w:val="16"/>
          <w:lang w:eastAsia="en-ZA"/>
        </w:rPr>
        <w:instrText xml:space="preserve"> INCLUDEPICTURE  "cid:image003.png@01D128E0.21B01BF0" \* MERGEFORMATINET </w:instrText>
      </w:r>
      <w:r w:rsidR="00A81BC1">
        <w:rPr>
          <w:noProof/>
          <w:color w:val="1F497D"/>
          <w:sz w:val="16"/>
          <w:szCs w:val="16"/>
          <w:lang w:eastAsia="en-ZA"/>
        </w:rPr>
        <w:fldChar w:fldCharType="separate"/>
      </w:r>
      <w:r w:rsidR="00C957AE">
        <w:rPr>
          <w:noProof/>
          <w:color w:val="1F497D"/>
          <w:sz w:val="16"/>
          <w:szCs w:val="16"/>
          <w:lang w:eastAsia="en-ZA"/>
        </w:rPr>
        <w:fldChar w:fldCharType="begin"/>
      </w:r>
      <w:r w:rsidR="00C957AE">
        <w:rPr>
          <w:noProof/>
          <w:color w:val="1F497D"/>
          <w:sz w:val="16"/>
          <w:szCs w:val="16"/>
          <w:lang w:eastAsia="en-ZA"/>
        </w:rPr>
        <w:instrText xml:space="preserve"> INCLUDEPICTURE  "cid:image003.png@01D128E0.21B01BF0" \* MERGEFORMATINET </w:instrText>
      </w:r>
      <w:r w:rsidR="00C957AE">
        <w:rPr>
          <w:noProof/>
          <w:color w:val="1F497D"/>
          <w:sz w:val="16"/>
          <w:szCs w:val="16"/>
          <w:lang w:eastAsia="en-ZA"/>
        </w:rPr>
        <w:fldChar w:fldCharType="separate"/>
      </w:r>
      <w:r w:rsidR="0027197B">
        <w:rPr>
          <w:noProof/>
          <w:color w:val="1F497D"/>
          <w:sz w:val="16"/>
          <w:szCs w:val="16"/>
          <w:lang w:eastAsia="en-ZA"/>
        </w:rPr>
        <w:fldChar w:fldCharType="begin"/>
      </w:r>
      <w:r w:rsidR="0027197B">
        <w:rPr>
          <w:noProof/>
          <w:color w:val="1F497D"/>
          <w:sz w:val="16"/>
          <w:szCs w:val="16"/>
          <w:lang w:eastAsia="en-ZA"/>
        </w:rPr>
        <w:instrText xml:space="preserve"> INCLUDEPICTURE  "cid:image003.png@01D128E0.21B01BF0" \* MERGEFORMATINET </w:instrText>
      </w:r>
      <w:r w:rsidR="0027197B">
        <w:rPr>
          <w:noProof/>
          <w:color w:val="1F497D"/>
          <w:sz w:val="16"/>
          <w:szCs w:val="16"/>
          <w:lang w:eastAsia="en-ZA"/>
        </w:rPr>
        <w:fldChar w:fldCharType="separate"/>
      </w:r>
      <w:r w:rsidR="00653449">
        <w:rPr>
          <w:noProof/>
          <w:color w:val="1F497D"/>
          <w:sz w:val="16"/>
          <w:szCs w:val="16"/>
          <w:lang w:eastAsia="en-ZA"/>
        </w:rPr>
        <w:fldChar w:fldCharType="begin"/>
      </w:r>
      <w:r w:rsidR="00653449">
        <w:rPr>
          <w:noProof/>
          <w:color w:val="1F497D"/>
          <w:sz w:val="16"/>
          <w:szCs w:val="16"/>
          <w:lang w:eastAsia="en-ZA"/>
        </w:rPr>
        <w:instrText xml:space="preserve"> INCLUDEPICTURE  "cid:image003.png@01D128E0.21B01BF0" \* MERGEFORMATINET </w:instrText>
      </w:r>
      <w:r w:rsidR="00653449">
        <w:rPr>
          <w:noProof/>
          <w:color w:val="1F497D"/>
          <w:sz w:val="16"/>
          <w:szCs w:val="16"/>
          <w:lang w:eastAsia="en-ZA"/>
        </w:rPr>
        <w:fldChar w:fldCharType="separate"/>
      </w:r>
      <w:r w:rsidR="00EF04F6">
        <w:rPr>
          <w:noProof/>
          <w:color w:val="1F497D"/>
          <w:sz w:val="16"/>
          <w:szCs w:val="16"/>
          <w:lang w:eastAsia="en-ZA"/>
        </w:rPr>
        <w:fldChar w:fldCharType="begin"/>
      </w:r>
      <w:r w:rsidR="00EF04F6">
        <w:rPr>
          <w:noProof/>
          <w:color w:val="1F497D"/>
          <w:sz w:val="16"/>
          <w:szCs w:val="16"/>
          <w:lang w:eastAsia="en-ZA"/>
        </w:rPr>
        <w:instrText xml:space="preserve"> INCLUDEPICTURE  "cid:image003.png@01D128E0.21B01BF0" \* MERGEFORMATINET </w:instrText>
      </w:r>
      <w:r w:rsidR="00EF04F6">
        <w:rPr>
          <w:noProof/>
          <w:color w:val="1F497D"/>
          <w:sz w:val="16"/>
          <w:szCs w:val="16"/>
          <w:lang w:eastAsia="en-ZA"/>
        </w:rPr>
        <w:fldChar w:fldCharType="separate"/>
      </w:r>
      <w:r w:rsidR="002F6633">
        <w:rPr>
          <w:noProof/>
          <w:color w:val="1F497D"/>
          <w:sz w:val="16"/>
          <w:szCs w:val="16"/>
          <w:lang w:eastAsia="en-ZA"/>
        </w:rPr>
        <w:fldChar w:fldCharType="begin"/>
      </w:r>
      <w:r w:rsidR="002F6633">
        <w:rPr>
          <w:noProof/>
          <w:color w:val="1F497D"/>
          <w:sz w:val="16"/>
          <w:szCs w:val="16"/>
          <w:lang w:eastAsia="en-ZA"/>
        </w:rPr>
        <w:instrText xml:space="preserve"> INCLUDEPICTURE  "cid:image003.png@01D128E0.21B01BF0" \* MERGEFORMATINET </w:instrText>
      </w:r>
      <w:r w:rsidR="002F6633">
        <w:rPr>
          <w:noProof/>
          <w:color w:val="1F497D"/>
          <w:sz w:val="16"/>
          <w:szCs w:val="16"/>
          <w:lang w:eastAsia="en-ZA"/>
        </w:rPr>
        <w:fldChar w:fldCharType="separate"/>
      </w:r>
      <w:r w:rsidR="002A49A9">
        <w:rPr>
          <w:noProof/>
          <w:color w:val="1F497D"/>
          <w:sz w:val="16"/>
          <w:szCs w:val="16"/>
          <w:lang w:eastAsia="en-ZA"/>
        </w:rPr>
        <w:fldChar w:fldCharType="begin"/>
      </w:r>
      <w:r w:rsidR="002A49A9">
        <w:rPr>
          <w:noProof/>
          <w:color w:val="1F497D"/>
          <w:sz w:val="16"/>
          <w:szCs w:val="16"/>
          <w:lang w:eastAsia="en-ZA"/>
        </w:rPr>
        <w:instrText xml:space="preserve"> INCLUDEPICTURE  "cid:image003.png@01D128E0.21B01BF0" \* MERGEFORMATINET </w:instrText>
      </w:r>
      <w:r w:rsidR="002A49A9">
        <w:rPr>
          <w:noProof/>
          <w:color w:val="1F497D"/>
          <w:sz w:val="16"/>
          <w:szCs w:val="16"/>
          <w:lang w:eastAsia="en-ZA"/>
        </w:rPr>
        <w:fldChar w:fldCharType="separate"/>
      </w:r>
      <w:r w:rsidR="00A90D17">
        <w:rPr>
          <w:noProof/>
          <w:color w:val="1F497D"/>
          <w:sz w:val="16"/>
          <w:szCs w:val="16"/>
          <w:lang w:eastAsia="en-ZA"/>
        </w:rPr>
        <w:fldChar w:fldCharType="begin"/>
      </w:r>
      <w:r w:rsidR="00A90D17">
        <w:rPr>
          <w:noProof/>
          <w:color w:val="1F497D"/>
          <w:sz w:val="16"/>
          <w:szCs w:val="16"/>
          <w:lang w:eastAsia="en-ZA"/>
        </w:rPr>
        <w:instrText xml:space="preserve"> </w:instrText>
      </w:r>
      <w:r w:rsidR="00A90D17">
        <w:rPr>
          <w:noProof/>
          <w:color w:val="1F497D"/>
          <w:sz w:val="16"/>
          <w:szCs w:val="16"/>
          <w:lang w:eastAsia="en-ZA"/>
        </w:rPr>
        <w:instrText>INCLUDEPICTURE  "cid:image003.png@01D128E0.21B01BF0" \* MERGEFORMATINET</w:instrText>
      </w:r>
      <w:r w:rsidR="00A90D17">
        <w:rPr>
          <w:noProof/>
          <w:color w:val="1F497D"/>
          <w:sz w:val="16"/>
          <w:szCs w:val="16"/>
          <w:lang w:eastAsia="en-ZA"/>
        </w:rPr>
        <w:instrText xml:space="preserve"> </w:instrText>
      </w:r>
      <w:r w:rsidR="00A90D17">
        <w:rPr>
          <w:noProof/>
          <w:color w:val="1F497D"/>
          <w:sz w:val="16"/>
          <w:szCs w:val="16"/>
          <w:lang w:eastAsia="en-ZA"/>
        </w:rPr>
        <w:fldChar w:fldCharType="separate"/>
      </w:r>
      <w:r w:rsidR="00A90D17">
        <w:rPr>
          <w:noProof/>
          <w:color w:val="1F497D"/>
          <w:sz w:val="16"/>
          <w:szCs w:val="16"/>
          <w:lang w:eastAsia="en-ZA"/>
        </w:rPr>
        <w:pict w14:anchorId="47A08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visibility:visible">
            <v:imagedata r:id="rId8" r:href="rId9"/>
          </v:shape>
        </w:pict>
      </w:r>
      <w:r w:rsidR="00A90D17">
        <w:rPr>
          <w:noProof/>
          <w:color w:val="1F497D"/>
          <w:sz w:val="16"/>
          <w:szCs w:val="16"/>
          <w:lang w:eastAsia="en-ZA"/>
        </w:rPr>
        <w:fldChar w:fldCharType="end"/>
      </w:r>
      <w:r w:rsidR="002A49A9">
        <w:rPr>
          <w:noProof/>
          <w:color w:val="1F497D"/>
          <w:sz w:val="16"/>
          <w:szCs w:val="16"/>
          <w:lang w:eastAsia="en-ZA"/>
        </w:rPr>
        <w:fldChar w:fldCharType="end"/>
      </w:r>
      <w:r w:rsidR="002F6633">
        <w:rPr>
          <w:noProof/>
          <w:color w:val="1F497D"/>
          <w:sz w:val="16"/>
          <w:szCs w:val="16"/>
          <w:lang w:eastAsia="en-ZA"/>
        </w:rPr>
        <w:fldChar w:fldCharType="end"/>
      </w:r>
      <w:r w:rsidR="00EF04F6">
        <w:rPr>
          <w:noProof/>
          <w:color w:val="1F497D"/>
          <w:sz w:val="16"/>
          <w:szCs w:val="16"/>
          <w:lang w:eastAsia="en-ZA"/>
        </w:rPr>
        <w:fldChar w:fldCharType="end"/>
      </w:r>
      <w:r w:rsidR="00653449">
        <w:rPr>
          <w:noProof/>
          <w:color w:val="1F497D"/>
          <w:sz w:val="16"/>
          <w:szCs w:val="16"/>
          <w:lang w:eastAsia="en-ZA"/>
        </w:rPr>
        <w:fldChar w:fldCharType="end"/>
      </w:r>
      <w:r w:rsidR="0027197B">
        <w:rPr>
          <w:noProof/>
          <w:color w:val="1F497D"/>
          <w:sz w:val="16"/>
          <w:szCs w:val="16"/>
          <w:lang w:eastAsia="en-ZA"/>
        </w:rPr>
        <w:fldChar w:fldCharType="end"/>
      </w:r>
      <w:r w:rsidR="00C957AE">
        <w:rPr>
          <w:noProof/>
          <w:color w:val="1F497D"/>
          <w:sz w:val="16"/>
          <w:szCs w:val="16"/>
          <w:lang w:eastAsia="en-ZA"/>
        </w:rPr>
        <w:fldChar w:fldCharType="end"/>
      </w:r>
      <w:r w:rsidR="00A81BC1">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p>
    <w:p w14:paraId="3F25B8DB" w14:textId="77777777" w:rsidR="00D52D68" w:rsidRPr="001D20AB" w:rsidRDefault="00D52D68" w:rsidP="00D52D68">
      <w:pPr>
        <w:spacing w:line="360" w:lineRule="auto"/>
        <w:rPr>
          <w:rFonts w:ascii="Arial" w:hAnsi="Arial" w:cs="Arial"/>
          <w:b/>
          <w:sz w:val="24"/>
          <w:szCs w:val="24"/>
        </w:rPr>
      </w:pPr>
      <w:r w:rsidRPr="001D20AB">
        <w:rPr>
          <w:rFonts w:ascii="Arial" w:hAnsi="Arial" w:cs="Arial"/>
          <w:b/>
          <w:sz w:val="24"/>
          <w:szCs w:val="24"/>
        </w:rPr>
        <w:t>IN THE HIGH COURT OF SOUTH AFRICA</w:t>
      </w:r>
    </w:p>
    <w:p w14:paraId="25316CEC" w14:textId="1CB9E850" w:rsidR="00D52D68" w:rsidRDefault="00D52D68" w:rsidP="00D52D68">
      <w:pPr>
        <w:spacing w:line="360" w:lineRule="auto"/>
        <w:jc w:val="both"/>
        <w:rPr>
          <w:rFonts w:ascii="Arial" w:hAnsi="Arial" w:cs="Arial"/>
          <w:b/>
          <w:sz w:val="24"/>
          <w:szCs w:val="24"/>
        </w:rPr>
      </w:pPr>
      <w:r w:rsidRPr="001D20AB">
        <w:rPr>
          <w:rFonts w:ascii="Arial" w:hAnsi="Arial" w:cs="Arial"/>
          <w:b/>
          <w:sz w:val="24"/>
          <w:szCs w:val="24"/>
        </w:rPr>
        <w:t>(WESTERN CAPE DIVISION, CAPE TOWN)</w:t>
      </w:r>
    </w:p>
    <w:p w14:paraId="231211CB" w14:textId="77777777" w:rsidR="00DC7B17" w:rsidRPr="001D20AB" w:rsidRDefault="00DC7B17" w:rsidP="00D52D68">
      <w:pPr>
        <w:spacing w:line="360" w:lineRule="auto"/>
        <w:jc w:val="both"/>
        <w:rPr>
          <w:rFonts w:ascii="Arial" w:hAnsi="Arial" w:cs="Arial"/>
          <w:b/>
          <w:sz w:val="24"/>
          <w:szCs w:val="24"/>
        </w:rPr>
      </w:pPr>
    </w:p>
    <w:p w14:paraId="742C5885" w14:textId="1DF62791" w:rsidR="00D52D68" w:rsidRPr="001D20AB" w:rsidRDefault="00D52D68" w:rsidP="00D52D68">
      <w:pPr>
        <w:spacing w:line="360" w:lineRule="auto"/>
        <w:jc w:val="right"/>
        <w:rPr>
          <w:rFonts w:ascii="Arial" w:hAnsi="Arial" w:cs="Arial"/>
          <w:bCs/>
          <w:sz w:val="24"/>
          <w:szCs w:val="24"/>
          <w:lang w:val="en-GB"/>
        </w:rPr>
      </w:pPr>
      <w:r w:rsidRPr="001D20AB">
        <w:rPr>
          <w:rFonts w:ascii="Arial" w:hAnsi="Arial" w:cs="Arial"/>
          <w:sz w:val="24"/>
          <w:szCs w:val="24"/>
        </w:rPr>
        <w:tab/>
      </w:r>
      <w:r w:rsidRPr="001D20AB">
        <w:rPr>
          <w:rFonts w:ascii="Arial" w:hAnsi="Arial" w:cs="Arial"/>
          <w:sz w:val="24"/>
          <w:szCs w:val="24"/>
        </w:rPr>
        <w:tab/>
      </w:r>
      <w:r w:rsidRPr="001D20AB">
        <w:rPr>
          <w:rFonts w:ascii="Arial" w:hAnsi="Arial" w:cs="Arial"/>
          <w:sz w:val="24"/>
          <w:szCs w:val="24"/>
        </w:rPr>
        <w:tab/>
      </w:r>
      <w:r w:rsidRPr="001D20AB">
        <w:rPr>
          <w:rFonts w:ascii="Arial" w:hAnsi="Arial" w:cs="Arial"/>
          <w:sz w:val="24"/>
          <w:szCs w:val="24"/>
        </w:rPr>
        <w:tab/>
      </w:r>
      <w:r w:rsidRPr="001D20AB">
        <w:rPr>
          <w:rFonts w:ascii="Arial" w:hAnsi="Arial" w:cs="Arial"/>
          <w:sz w:val="24"/>
          <w:szCs w:val="24"/>
        </w:rPr>
        <w:tab/>
        <w:t xml:space="preserve">CASE NO: </w:t>
      </w:r>
      <w:r>
        <w:rPr>
          <w:rFonts w:ascii="Arial" w:hAnsi="Arial" w:cs="Arial"/>
          <w:sz w:val="24"/>
          <w:szCs w:val="24"/>
        </w:rPr>
        <w:t>7777/2021</w:t>
      </w:r>
    </w:p>
    <w:p w14:paraId="644CEEC2" w14:textId="77777777" w:rsidR="00D52D68" w:rsidRPr="001D20AB" w:rsidRDefault="00D52D68" w:rsidP="00D52D68">
      <w:pPr>
        <w:spacing w:line="360" w:lineRule="auto"/>
        <w:jc w:val="both"/>
        <w:rPr>
          <w:rFonts w:ascii="Arial" w:hAnsi="Arial" w:cs="Arial"/>
          <w:bCs/>
          <w:sz w:val="24"/>
          <w:szCs w:val="24"/>
        </w:rPr>
      </w:pPr>
      <w:r>
        <w:rPr>
          <w:rFonts w:ascii="Arial" w:hAnsi="Arial" w:cs="Arial"/>
          <w:bCs/>
          <w:sz w:val="24"/>
          <w:szCs w:val="24"/>
        </w:rPr>
        <w:t>In the matter between:</w:t>
      </w:r>
    </w:p>
    <w:p w14:paraId="54E51C24" w14:textId="3421AC86" w:rsidR="00D52D68" w:rsidRDefault="00D52D68" w:rsidP="00D52D68">
      <w:pPr>
        <w:pStyle w:val="NoSpacing"/>
        <w:spacing w:line="360" w:lineRule="auto"/>
        <w:rPr>
          <w:rFonts w:ascii="Arial" w:hAnsi="Arial" w:cs="Arial"/>
          <w:sz w:val="24"/>
          <w:szCs w:val="24"/>
          <w:lang w:val="en-US"/>
        </w:rPr>
      </w:pPr>
      <w:r>
        <w:rPr>
          <w:rFonts w:ascii="Arial" w:hAnsi="Arial" w:cs="Arial"/>
          <w:b/>
          <w:sz w:val="24"/>
          <w:szCs w:val="24"/>
          <w:lang w:val="en-US"/>
        </w:rPr>
        <w:t>CHENĖ GROENEWALD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Pr="001D20AB">
        <w:rPr>
          <w:rFonts w:ascii="Arial" w:hAnsi="Arial" w:cs="Arial"/>
          <w:b/>
          <w:sz w:val="24"/>
          <w:szCs w:val="24"/>
          <w:lang w:val="en-US"/>
        </w:rPr>
        <w:tab/>
      </w:r>
      <w:r w:rsidRPr="00D52D68">
        <w:rPr>
          <w:rFonts w:ascii="Arial" w:hAnsi="Arial" w:cs="Arial"/>
          <w:b/>
          <w:sz w:val="24"/>
          <w:szCs w:val="24"/>
          <w:lang w:val="en-US"/>
        </w:rPr>
        <w:t>First Applicant</w:t>
      </w:r>
      <w:r w:rsidRPr="00FB3721">
        <w:rPr>
          <w:rFonts w:ascii="Arial" w:hAnsi="Arial" w:cs="Arial"/>
          <w:sz w:val="24"/>
          <w:szCs w:val="24"/>
          <w:lang w:val="en-US"/>
        </w:rPr>
        <w:t xml:space="preserve"> </w:t>
      </w:r>
    </w:p>
    <w:p w14:paraId="74758464" w14:textId="56B47ED6" w:rsidR="00D52D68" w:rsidRPr="00D52D68" w:rsidRDefault="00D52D68" w:rsidP="00D52D68">
      <w:pPr>
        <w:pStyle w:val="NoSpacing"/>
        <w:spacing w:line="360" w:lineRule="auto"/>
        <w:rPr>
          <w:rFonts w:ascii="Arial" w:hAnsi="Arial" w:cs="Arial"/>
          <w:b/>
          <w:sz w:val="24"/>
          <w:szCs w:val="24"/>
          <w:lang w:val="en-US"/>
        </w:rPr>
      </w:pPr>
      <w:r w:rsidRPr="00D52D68">
        <w:rPr>
          <w:rFonts w:ascii="Arial" w:hAnsi="Arial" w:cs="Arial"/>
          <w:b/>
          <w:sz w:val="24"/>
          <w:szCs w:val="24"/>
          <w:lang w:val="en-US"/>
        </w:rPr>
        <w:t>BRENDON GROENEWALD</w:t>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t>Second Applicant</w:t>
      </w:r>
    </w:p>
    <w:p w14:paraId="6572A9DD" w14:textId="5EBFE34F" w:rsidR="00D52D68" w:rsidRPr="00D52D68" w:rsidRDefault="00D52D68" w:rsidP="00D52D68">
      <w:pPr>
        <w:pStyle w:val="NoSpacing"/>
        <w:spacing w:line="360" w:lineRule="auto"/>
        <w:rPr>
          <w:rFonts w:ascii="Arial" w:hAnsi="Arial" w:cs="Arial"/>
          <w:b/>
          <w:sz w:val="24"/>
          <w:szCs w:val="24"/>
          <w:lang w:val="en-US"/>
        </w:rPr>
      </w:pPr>
      <w:r w:rsidRPr="00D52D68">
        <w:rPr>
          <w:rFonts w:ascii="Arial" w:hAnsi="Arial" w:cs="Arial"/>
          <w:b/>
          <w:sz w:val="24"/>
          <w:szCs w:val="24"/>
          <w:lang w:val="en-US"/>
        </w:rPr>
        <w:t>HENRO GROENEWALD</w:t>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t>Third Applicant</w:t>
      </w:r>
    </w:p>
    <w:p w14:paraId="02802AFD" w14:textId="29C1AFB1" w:rsidR="00D52D68" w:rsidRPr="00D52D68" w:rsidRDefault="00D52D68" w:rsidP="00D52D68">
      <w:pPr>
        <w:pStyle w:val="NoSpacing"/>
        <w:spacing w:line="360" w:lineRule="auto"/>
        <w:rPr>
          <w:rFonts w:ascii="Arial" w:hAnsi="Arial" w:cs="Arial"/>
          <w:b/>
          <w:sz w:val="24"/>
          <w:szCs w:val="24"/>
          <w:lang w:val="en-US"/>
        </w:rPr>
      </w:pPr>
      <w:r w:rsidRPr="00D52D68">
        <w:rPr>
          <w:rFonts w:ascii="Arial" w:hAnsi="Arial" w:cs="Arial"/>
          <w:b/>
          <w:sz w:val="24"/>
          <w:szCs w:val="24"/>
          <w:lang w:val="en-US"/>
        </w:rPr>
        <w:t>SANET GROENEWALD</w:t>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t>Fourth Applicant</w:t>
      </w:r>
    </w:p>
    <w:p w14:paraId="067DE282" w14:textId="64E492CB" w:rsidR="00D52D68" w:rsidRPr="00D52D68" w:rsidRDefault="00D52D68" w:rsidP="00D52D68">
      <w:pPr>
        <w:pStyle w:val="NoSpacing"/>
        <w:rPr>
          <w:rFonts w:ascii="Arial" w:hAnsi="Arial" w:cs="Arial"/>
          <w:b/>
          <w:sz w:val="24"/>
          <w:szCs w:val="24"/>
          <w:lang w:val="en-US"/>
        </w:rPr>
      </w:pPr>
      <w:r w:rsidRPr="00D52D68">
        <w:rPr>
          <w:rFonts w:ascii="Arial" w:hAnsi="Arial" w:cs="Arial"/>
          <w:b/>
          <w:sz w:val="24"/>
          <w:szCs w:val="24"/>
          <w:lang w:val="en-US"/>
        </w:rPr>
        <w:t>JOHANNA CHRISTINA DE SWARDT</w:t>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r>
      <w:r w:rsidRPr="00D52D68">
        <w:rPr>
          <w:rFonts w:ascii="Arial" w:hAnsi="Arial" w:cs="Arial"/>
          <w:b/>
          <w:sz w:val="24"/>
          <w:szCs w:val="24"/>
          <w:lang w:val="en-US"/>
        </w:rPr>
        <w:tab/>
        <w:t>Fifth Applicant</w:t>
      </w:r>
    </w:p>
    <w:p w14:paraId="5B64DF12" w14:textId="77777777" w:rsidR="00D52D68" w:rsidRDefault="00D52D68" w:rsidP="00D52D68">
      <w:pPr>
        <w:pStyle w:val="NoSpacing"/>
        <w:rPr>
          <w:rFonts w:ascii="Arial" w:hAnsi="Arial" w:cs="Arial"/>
          <w:b/>
          <w:sz w:val="24"/>
          <w:szCs w:val="24"/>
          <w:lang w:val="en-US"/>
        </w:rPr>
      </w:pPr>
    </w:p>
    <w:p w14:paraId="47CEA15C" w14:textId="77777777" w:rsidR="00D52D68" w:rsidRDefault="00D52D68" w:rsidP="00D52D68">
      <w:pPr>
        <w:pStyle w:val="NoSpacing"/>
        <w:rPr>
          <w:rFonts w:ascii="Arial" w:hAnsi="Arial" w:cs="Arial"/>
          <w:b/>
          <w:sz w:val="24"/>
          <w:szCs w:val="24"/>
          <w:lang w:val="en-US"/>
        </w:rPr>
      </w:pPr>
      <w:r>
        <w:rPr>
          <w:rFonts w:ascii="Arial" w:hAnsi="Arial" w:cs="Arial"/>
          <w:b/>
          <w:sz w:val="24"/>
          <w:szCs w:val="24"/>
          <w:lang w:val="en-US"/>
        </w:rPr>
        <w:t>And</w:t>
      </w:r>
    </w:p>
    <w:p w14:paraId="5D112EDF" w14:textId="77777777" w:rsidR="00D52D68" w:rsidRDefault="00D52D68" w:rsidP="00D52D68">
      <w:pPr>
        <w:pStyle w:val="NoSpacing"/>
        <w:rPr>
          <w:rFonts w:ascii="Arial" w:hAnsi="Arial" w:cs="Arial"/>
          <w:b/>
          <w:sz w:val="24"/>
          <w:szCs w:val="24"/>
          <w:lang w:val="en-US"/>
        </w:rPr>
      </w:pPr>
    </w:p>
    <w:p w14:paraId="774002CA" w14:textId="7252B609" w:rsidR="00D52D68" w:rsidRDefault="00D52D68" w:rsidP="00D52D68">
      <w:pPr>
        <w:pStyle w:val="NoSpacing"/>
        <w:spacing w:line="360" w:lineRule="auto"/>
        <w:rPr>
          <w:rFonts w:ascii="Arial" w:hAnsi="Arial" w:cs="Arial"/>
          <w:b/>
          <w:sz w:val="24"/>
          <w:szCs w:val="24"/>
          <w:lang w:val="en-US"/>
        </w:rPr>
      </w:pPr>
      <w:r>
        <w:rPr>
          <w:rFonts w:ascii="Arial" w:hAnsi="Arial" w:cs="Arial"/>
          <w:b/>
          <w:sz w:val="24"/>
          <w:szCs w:val="24"/>
          <w:lang w:val="en-US"/>
        </w:rPr>
        <w:t>MOMENTUM RETIREMENT ANNUITY FUND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First Respondent</w:t>
      </w:r>
    </w:p>
    <w:p w14:paraId="47114C73" w14:textId="529D75A6" w:rsidR="00D52D68" w:rsidRDefault="00D52D68" w:rsidP="00D52D68">
      <w:pPr>
        <w:pStyle w:val="NoSpacing"/>
        <w:spacing w:line="360" w:lineRule="auto"/>
        <w:rPr>
          <w:rFonts w:ascii="Arial" w:hAnsi="Arial" w:cs="Arial"/>
          <w:b/>
          <w:sz w:val="24"/>
          <w:szCs w:val="24"/>
          <w:lang w:val="en-US"/>
        </w:rPr>
      </w:pPr>
      <w:r>
        <w:rPr>
          <w:rFonts w:ascii="Arial" w:hAnsi="Arial" w:cs="Arial"/>
          <w:b/>
          <w:sz w:val="24"/>
          <w:szCs w:val="24"/>
          <w:lang w:val="en-US"/>
        </w:rPr>
        <w:t>MOMENTUM METROPOLITAN LIFE LIMITED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Second Respondent</w:t>
      </w:r>
    </w:p>
    <w:p w14:paraId="7DB7513E" w14:textId="39CD3226" w:rsidR="00D52D68" w:rsidRDefault="00D52D68" w:rsidP="00D52D68">
      <w:pPr>
        <w:pStyle w:val="NoSpacing"/>
        <w:spacing w:line="360" w:lineRule="auto"/>
        <w:rPr>
          <w:rFonts w:ascii="Arial" w:hAnsi="Arial" w:cs="Arial"/>
          <w:b/>
          <w:sz w:val="24"/>
          <w:szCs w:val="24"/>
          <w:lang w:val="en-US"/>
        </w:rPr>
      </w:pPr>
      <w:r>
        <w:rPr>
          <w:rFonts w:ascii="Arial" w:hAnsi="Arial" w:cs="Arial"/>
          <w:b/>
          <w:sz w:val="24"/>
          <w:szCs w:val="24"/>
          <w:lang w:val="en-US"/>
        </w:rPr>
        <w:t>PENSION FUNDS ADJUDICATOR</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Third Respondent</w:t>
      </w:r>
    </w:p>
    <w:p w14:paraId="1009AC0E" w14:textId="3F0E5A3A" w:rsidR="00D52D68" w:rsidRDefault="00D52D68" w:rsidP="00D52D68">
      <w:pPr>
        <w:pStyle w:val="NoSpacing"/>
        <w:rPr>
          <w:rFonts w:ascii="Arial" w:hAnsi="Arial" w:cs="Arial"/>
          <w:b/>
          <w:sz w:val="24"/>
          <w:szCs w:val="24"/>
          <w:lang w:val="en-US"/>
        </w:rPr>
      </w:pPr>
      <w:r>
        <w:rPr>
          <w:rFonts w:ascii="Arial" w:hAnsi="Arial" w:cs="Arial"/>
          <w:b/>
          <w:sz w:val="24"/>
          <w:szCs w:val="24"/>
          <w:lang w:val="en-US"/>
        </w:rPr>
        <w:t>CHRISNA AURET</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Fourth Respondent</w:t>
      </w:r>
    </w:p>
    <w:p w14:paraId="24A84A66" w14:textId="77777777" w:rsidR="00D52D68" w:rsidRPr="00D52D68" w:rsidRDefault="00D52D68" w:rsidP="00D52D68">
      <w:pPr>
        <w:pStyle w:val="NoSpacing"/>
        <w:rPr>
          <w:rFonts w:ascii="Arial" w:hAnsi="Arial" w:cs="Arial"/>
          <w:b/>
          <w:sz w:val="24"/>
          <w:szCs w:val="24"/>
          <w:lang w:val="en-US"/>
        </w:rPr>
      </w:pPr>
    </w:p>
    <w:p w14:paraId="7DAEA76C" w14:textId="77777777" w:rsidR="00D52D68" w:rsidRDefault="00D52D68" w:rsidP="00D52D68">
      <w:pPr>
        <w:pStyle w:val="NoSpacing"/>
        <w:rPr>
          <w:rFonts w:ascii="Arial" w:hAnsi="Arial" w:cs="Arial"/>
          <w:sz w:val="24"/>
          <w:szCs w:val="24"/>
          <w:lang w:val="en-US"/>
        </w:rPr>
      </w:pPr>
      <w:r>
        <w:rPr>
          <w:rFonts w:ascii="Arial" w:hAnsi="Arial" w:cs="Arial"/>
          <w:sz w:val="24"/>
          <w:szCs w:val="24"/>
          <w:lang w:val="en-US"/>
        </w:rPr>
        <w:t>Coram:</w:t>
      </w:r>
      <w:r>
        <w:rPr>
          <w:rFonts w:ascii="Arial" w:hAnsi="Arial" w:cs="Arial"/>
          <w:sz w:val="24"/>
          <w:szCs w:val="24"/>
          <w:lang w:val="en-US"/>
        </w:rPr>
        <w:tab/>
      </w:r>
      <w:r>
        <w:rPr>
          <w:rFonts w:ascii="Arial" w:hAnsi="Arial" w:cs="Arial"/>
          <w:sz w:val="24"/>
          <w:szCs w:val="24"/>
          <w:lang w:val="en-US"/>
        </w:rPr>
        <w:tab/>
        <w:t>Hockey, AJ</w:t>
      </w:r>
    </w:p>
    <w:p w14:paraId="3059DDA9" w14:textId="77777777" w:rsidR="00D52D68" w:rsidRDefault="00D52D68" w:rsidP="00D52D68">
      <w:pPr>
        <w:pStyle w:val="NoSpacing"/>
        <w:rPr>
          <w:rFonts w:ascii="Arial" w:hAnsi="Arial" w:cs="Arial"/>
          <w:sz w:val="24"/>
          <w:szCs w:val="24"/>
          <w:lang w:val="en-US"/>
        </w:rPr>
      </w:pPr>
    </w:p>
    <w:p w14:paraId="029966F4" w14:textId="6AC5FDE6" w:rsidR="00D52D68" w:rsidRDefault="00D52D68" w:rsidP="00D52D68">
      <w:pPr>
        <w:spacing w:line="240" w:lineRule="auto"/>
        <w:rPr>
          <w:bCs/>
          <w:sz w:val="28"/>
          <w:szCs w:val="28"/>
          <w:lang w:val="en-US"/>
        </w:rPr>
      </w:pPr>
      <w:r>
        <w:rPr>
          <w:bCs/>
          <w:sz w:val="28"/>
          <w:szCs w:val="28"/>
          <w:lang w:val="en-US"/>
        </w:rPr>
        <w:t>Date of hearing:</w:t>
      </w:r>
      <w:r>
        <w:rPr>
          <w:bCs/>
          <w:sz w:val="28"/>
          <w:szCs w:val="28"/>
          <w:lang w:val="en-US"/>
        </w:rPr>
        <w:tab/>
        <w:t>18 August 2022</w:t>
      </w:r>
    </w:p>
    <w:p w14:paraId="520F47DA" w14:textId="76AC9E6A" w:rsidR="00D52D68" w:rsidRPr="00FF56E2" w:rsidRDefault="00D52D68" w:rsidP="00D52D68">
      <w:pPr>
        <w:spacing w:line="240" w:lineRule="auto"/>
        <w:rPr>
          <w:b/>
          <w:bCs/>
          <w:sz w:val="28"/>
          <w:szCs w:val="28"/>
          <w:lang w:val="en-US"/>
        </w:rPr>
      </w:pPr>
      <w:r>
        <w:rPr>
          <w:bCs/>
          <w:sz w:val="28"/>
          <w:szCs w:val="28"/>
          <w:lang w:val="en-US"/>
        </w:rPr>
        <w:t>Date of judgment:</w:t>
      </w:r>
      <w:r>
        <w:rPr>
          <w:bCs/>
          <w:sz w:val="28"/>
          <w:szCs w:val="28"/>
          <w:lang w:val="en-US"/>
        </w:rPr>
        <w:tab/>
      </w:r>
      <w:r w:rsidR="00A21B8C">
        <w:rPr>
          <w:bCs/>
          <w:sz w:val="28"/>
          <w:szCs w:val="28"/>
          <w:lang w:val="en-US"/>
        </w:rPr>
        <w:t xml:space="preserve"> 10 November 2022</w:t>
      </w:r>
    </w:p>
    <w:p w14:paraId="2F444C4B" w14:textId="77777777" w:rsidR="00D52D68" w:rsidRDefault="00D52D68" w:rsidP="00D52D68">
      <w:pPr>
        <w:pStyle w:val="NoSpacing"/>
        <w:rPr>
          <w:rFonts w:ascii="Arial" w:hAnsi="Arial" w:cs="Arial"/>
          <w:b/>
          <w:sz w:val="24"/>
          <w:szCs w:val="24"/>
          <w:lang w:val="en-US"/>
        </w:rPr>
      </w:pPr>
      <w:r>
        <w:rPr>
          <w:rFonts w:ascii="Arial" w:hAnsi="Arial" w:cs="Arial"/>
          <w:b/>
          <w:sz w:val="24"/>
          <w:szCs w:val="24"/>
          <w:lang w:val="en-US"/>
        </w:rPr>
        <w:t>___________________________________________________________________</w:t>
      </w:r>
    </w:p>
    <w:p w14:paraId="6A2F9869" w14:textId="77777777" w:rsidR="00D52D68" w:rsidRDefault="00D52D68" w:rsidP="00D52D68">
      <w:pPr>
        <w:pStyle w:val="NoSpacing"/>
        <w:rPr>
          <w:rFonts w:ascii="Arial" w:hAnsi="Arial" w:cs="Arial"/>
          <w:b/>
          <w:sz w:val="24"/>
          <w:szCs w:val="24"/>
          <w:lang w:val="en-US"/>
        </w:rPr>
      </w:pPr>
    </w:p>
    <w:p w14:paraId="3EF6D2B4" w14:textId="77777777" w:rsidR="00D52D68" w:rsidRPr="00FF56E2" w:rsidRDefault="00D52D68" w:rsidP="00D52D68">
      <w:pPr>
        <w:spacing w:line="240" w:lineRule="auto"/>
        <w:jc w:val="center"/>
        <w:rPr>
          <w:b/>
          <w:sz w:val="28"/>
          <w:szCs w:val="28"/>
          <w:lang w:val="en-US"/>
        </w:rPr>
      </w:pPr>
      <w:r>
        <w:rPr>
          <w:rFonts w:ascii="Arial" w:hAnsi="Arial" w:cs="Arial"/>
          <w:b/>
          <w:sz w:val="24"/>
          <w:szCs w:val="24"/>
          <w:lang w:val="en-US"/>
        </w:rPr>
        <w:t xml:space="preserve">JUDGMENT </w:t>
      </w:r>
      <w:r>
        <w:rPr>
          <w:b/>
          <w:sz w:val="28"/>
          <w:szCs w:val="28"/>
          <w:lang w:val="en-US"/>
        </w:rPr>
        <w:t>(HANDED DOWN ELECTRONICALLY)</w:t>
      </w:r>
    </w:p>
    <w:p w14:paraId="1DFE2613" w14:textId="77777777" w:rsidR="00D52D68" w:rsidRPr="001D20AB" w:rsidRDefault="00D52D68" w:rsidP="00D52D68">
      <w:pPr>
        <w:pStyle w:val="NoSpacing"/>
        <w:rPr>
          <w:rFonts w:ascii="Arial" w:hAnsi="Arial" w:cs="Arial"/>
          <w:b/>
          <w:sz w:val="24"/>
          <w:szCs w:val="24"/>
          <w:lang w:val="en-US"/>
        </w:rPr>
      </w:pPr>
      <w:r>
        <w:rPr>
          <w:rFonts w:ascii="Arial" w:hAnsi="Arial" w:cs="Arial"/>
          <w:b/>
          <w:sz w:val="24"/>
          <w:szCs w:val="24"/>
          <w:lang w:val="en-US"/>
        </w:rPr>
        <w:t>___________________________________________________________________</w:t>
      </w:r>
    </w:p>
    <w:p w14:paraId="2C77DEFF" w14:textId="57E4B914" w:rsidR="00C76DAF" w:rsidRDefault="00C76DAF" w:rsidP="00C76DAF">
      <w:pPr>
        <w:rPr>
          <w:rFonts w:cstheme="minorHAnsi"/>
          <w:sz w:val="28"/>
          <w:szCs w:val="28"/>
          <w:lang w:val="en-US"/>
        </w:rPr>
      </w:pPr>
    </w:p>
    <w:p w14:paraId="7C9D12D2" w14:textId="7BEC9A45" w:rsidR="00C76DAF" w:rsidRPr="00C76DAF" w:rsidRDefault="00C76DAF" w:rsidP="00C76DAF">
      <w:pPr>
        <w:rPr>
          <w:rFonts w:cstheme="minorHAnsi"/>
          <w:b/>
          <w:sz w:val="28"/>
          <w:szCs w:val="28"/>
          <w:lang w:val="en-US"/>
        </w:rPr>
      </w:pPr>
      <w:r>
        <w:rPr>
          <w:rFonts w:cstheme="minorHAnsi"/>
          <w:b/>
          <w:sz w:val="28"/>
          <w:szCs w:val="28"/>
          <w:lang w:val="en-US"/>
        </w:rPr>
        <w:t>HOCKEY, AJ</w:t>
      </w:r>
    </w:p>
    <w:p w14:paraId="4EEFF5CD" w14:textId="1167100C" w:rsidR="003C4A53" w:rsidRPr="004B2B30" w:rsidRDefault="004B2B30" w:rsidP="004B2B30">
      <w:pPr>
        <w:spacing w:line="480" w:lineRule="auto"/>
        <w:ind w:left="-142" w:firstLine="142"/>
        <w:jc w:val="both"/>
        <w:rPr>
          <w:rFonts w:ascii="Arial" w:hAnsi="Arial" w:cs="Arial"/>
          <w:sz w:val="24"/>
          <w:szCs w:val="24"/>
          <w:lang w:val="en-US"/>
        </w:rPr>
      </w:pPr>
      <w:r w:rsidRPr="00D52D68">
        <w:rPr>
          <w:rFonts w:ascii="Arial" w:hAnsi="Arial" w:cs="Arial"/>
          <w:sz w:val="24"/>
          <w:szCs w:val="24"/>
          <w:lang w:val="en-US"/>
        </w:rPr>
        <w:lastRenderedPageBreak/>
        <w:t>[1]</w:t>
      </w:r>
      <w:r w:rsidRPr="00D52D68">
        <w:rPr>
          <w:rFonts w:ascii="Arial" w:hAnsi="Arial" w:cs="Arial"/>
          <w:sz w:val="24"/>
          <w:szCs w:val="24"/>
          <w:lang w:val="en-US"/>
        </w:rPr>
        <w:tab/>
      </w:r>
      <w:r w:rsidR="00AF3194" w:rsidRPr="004B2B30">
        <w:rPr>
          <w:rFonts w:ascii="Arial" w:hAnsi="Arial" w:cs="Arial"/>
          <w:sz w:val="24"/>
          <w:szCs w:val="24"/>
          <w:lang w:val="en-US"/>
        </w:rPr>
        <w:t xml:space="preserve">This matter concerns the distribution of </w:t>
      </w:r>
      <w:r w:rsidR="002249D6" w:rsidRPr="004B2B30">
        <w:rPr>
          <w:rFonts w:ascii="Arial" w:hAnsi="Arial" w:cs="Arial"/>
          <w:sz w:val="24"/>
          <w:szCs w:val="24"/>
          <w:lang w:val="en-US"/>
        </w:rPr>
        <w:t>a death benefit</w:t>
      </w:r>
      <w:r w:rsidR="00DA371A" w:rsidRPr="004B2B30">
        <w:rPr>
          <w:rFonts w:ascii="Arial" w:hAnsi="Arial" w:cs="Arial"/>
          <w:sz w:val="24"/>
          <w:szCs w:val="24"/>
          <w:lang w:val="en-US"/>
        </w:rPr>
        <w:t xml:space="preserve"> in the sum of R</w:t>
      </w:r>
      <w:r w:rsidR="0088701F" w:rsidRPr="004B2B30">
        <w:rPr>
          <w:rFonts w:ascii="Arial" w:hAnsi="Arial" w:cs="Arial"/>
          <w:sz w:val="24"/>
          <w:szCs w:val="24"/>
          <w:lang w:val="en-US"/>
        </w:rPr>
        <w:t>1 201 277.00</w:t>
      </w:r>
      <w:r w:rsidR="002249D6" w:rsidRPr="004B2B30">
        <w:rPr>
          <w:rFonts w:ascii="Arial" w:hAnsi="Arial" w:cs="Arial"/>
          <w:sz w:val="24"/>
          <w:szCs w:val="24"/>
          <w:lang w:val="en-US"/>
        </w:rPr>
        <w:t xml:space="preserve"> by the first respondent following the death of its member, Mr</w:t>
      </w:r>
      <w:r w:rsidR="00E61B90" w:rsidRPr="004B2B30">
        <w:rPr>
          <w:rFonts w:ascii="Arial" w:hAnsi="Arial" w:cs="Arial"/>
          <w:sz w:val="24"/>
          <w:szCs w:val="24"/>
          <w:lang w:val="en-US"/>
        </w:rPr>
        <w:t>.</w:t>
      </w:r>
      <w:r w:rsidR="002249D6" w:rsidRPr="004B2B30">
        <w:rPr>
          <w:rFonts w:ascii="Arial" w:hAnsi="Arial" w:cs="Arial"/>
          <w:sz w:val="24"/>
          <w:szCs w:val="24"/>
          <w:lang w:val="en-US"/>
        </w:rPr>
        <w:t xml:space="preserve"> </w:t>
      </w:r>
      <w:r w:rsidR="00490DE9" w:rsidRPr="004B2B30">
        <w:rPr>
          <w:rFonts w:ascii="Arial" w:hAnsi="Arial" w:cs="Arial"/>
          <w:sz w:val="24"/>
          <w:szCs w:val="24"/>
          <w:lang w:val="en-US"/>
        </w:rPr>
        <w:t xml:space="preserve">Barend </w:t>
      </w:r>
      <w:r w:rsidR="0018508D" w:rsidRPr="004B2B30">
        <w:rPr>
          <w:rFonts w:ascii="Arial" w:hAnsi="Arial" w:cs="Arial"/>
          <w:sz w:val="24"/>
          <w:szCs w:val="24"/>
          <w:lang w:val="en-US"/>
        </w:rPr>
        <w:t>Hermanus Groenewald (“the deceased”)</w:t>
      </w:r>
      <w:r w:rsidR="00F56F22" w:rsidRPr="004B2B30">
        <w:rPr>
          <w:rFonts w:ascii="Arial" w:hAnsi="Arial" w:cs="Arial"/>
          <w:sz w:val="24"/>
          <w:szCs w:val="24"/>
          <w:lang w:val="en-US"/>
        </w:rPr>
        <w:t>,</w:t>
      </w:r>
      <w:r w:rsidR="0018508D" w:rsidRPr="004B2B30">
        <w:rPr>
          <w:rFonts w:ascii="Arial" w:hAnsi="Arial" w:cs="Arial"/>
          <w:sz w:val="24"/>
          <w:szCs w:val="24"/>
          <w:lang w:val="en-US"/>
        </w:rPr>
        <w:t xml:space="preserve"> on </w:t>
      </w:r>
      <w:r w:rsidR="0088701F" w:rsidRPr="004B2B30">
        <w:rPr>
          <w:rFonts w:ascii="Arial" w:hAnsi="Arial" w:cs="Arial"/>
          <w:sz w:val="24"/>
          <w:szCs w:val="24"/>
          <w:lang w:val="en-US"/>
        </w:rPr>
        <w:t>27 Dece</w:t>
      </w:r>
      <w:r w:rsidR="00F31FB7" w:rsidRPr="004B2B30">
        <w:rPr>
          <w:rFonts w:ascii="Arial" w:hAnsi="Arial" w:cs="Arial"/>
          <w:sz w:val="24"/>
          <w:szCs w:val="24"/>
          <w:lang w:val="en-US"/>
        </w:rPr>
        <w:t>mber 2018.</w:t>
      </w:r>
      <w:r w:rsidR="00E61B90" w:rsidRPr="004B2B30">
        <w:rPr>
          <w:rFonts w:ascii="Arial" w:hAnsi="Arial" w:cs="Arial"/>
          <w:sz w:val="24"/>
          <w:szCs w:val="24"/>
          <w:lang w:val="en-US"/>
        </w:rPr>
        <w:t xml:space="preserve"> Ms Chrisna Auret (“Auret”), who was regarded as</w:t>
      </w:r>
      <w:r w:rsidR="00667D85" w:rsidRPr="004B2B30">
        <w:rPr>
          <w:rFonts w:ascii="Arial" w:hAnsi="Arial" w:cs="Arial"/>
          <w:sz w:val="24"/>
          <w:szCs w:val="24"/>
          <w:lang w:val="en-US"/>
        </w:rPr>
        <w:t xml:space="preserve"> </w:t>
      </w:r>
      <w:r w:rsidR="00E61B90" w:rsidRPr="004B2B30">
        <w:rPr>
          <w:rFonts w:ascii="Arial" w:hAnsi="Arial" w:cs="Arial"/>
          <w:sz w:val="24"/>
          <w:szCs w:val="24"/>
          <w:lang w:val="en-US"/>
        </w:rPr>
        <w:t xml:space="preserve">the life partner of the deceased at the time of his death </w:t>
      </w:r>
      <w:r w:rsidR="00223A72" w:rsidRPr="004B2B30">
        <w:rPr>
          <w:rFonts w:ascii="Arial" w:hAnsi="Arial" w:cs="Arial"/>
          <w:sz w:val="24"/>
          <w:szCs w:val="24"/>
          <w:lang w:val="en-US"/>
        </w:rPr>
        <w:t xml:space="preserve">was allocated the </w:t>
      </w:r>
      <w:r w:rsidR="00E61B90" w:rsidRPr="004B2B30">
        <w:rPr>
          <w:rFonts w:ascii="Arial" w:hAnsi="Arial" w:cs="Arial"/>
          <w:sz w:val="24"/>
          <w:szCs w:val="24"/>
          <w:lang w:val="en-US"/>
        </w:rPr>
        <w:t>entire death benefit.</w:t>
      </w:r>
      <w:r w:rsidR="00B14EBA" w:rsidRPr="004B2B30">
        <w:rPr>
          <w:rFonts w:ascii="Arial" w:hAnsi="Arial" w:cs="Arial"/>
          <w:sz w:val="24"/>
          <w:szCs w:val="24"/>
          <w:lang w:val="en-US"/>
        </w:rPr>
        <w:t xml:space="preserve"> Auret is cited as the</w:t>
      </w:r>
      <w:r w:rsidR="00906F07" w:rsidRPr="004B2B30">
        <w:rPr>
          <w:rFonts w:ascii="Arial" w:hAnsi="Arial" w:cs="Arial"/>
          <w:sz w:val="24"/>
          <w:szCs w:val="24"/>
          <w:lang w:val="en-US"/>
        </w:rPr>
        <w:t xml:space="preserve"> fourth respondent in these proceedings.</w:t>
      </w:r>
    </w:p>
    <w:p w14:paraId="6E1EF530" w14:textId="77777777" w:rsidR="00D52D68" w:rsidRPr="00D52D68" w:rsidRDefault="00D52D68" w:rsidP="002C1EA2">
      <w:pPr>
        <w:pStyle w:val="ListParagraph"/>
        <w:spacing w:line="480" w:lineRule="auto"/>
        <w:ind w:left="0"/>
        <w:jc w:val="both"/>
        <w:rPr>
          <w:rFonts w:ascii="Arial" w:hAnsi="Arial" w:cs="Arial"/>
          <w:sz w:val="24"/>
          <w:szCs w:val="24"/>
          <w:lang w:val="en-US"/>
        </w:rPr>
      </w:pPr>
    </w:p>
    <w:p w14:paraId="554FF841" w14:textId="328BFEEE" w:rsidR="008E7EAC" w:rsidRPr="004B2B30" w:rsidRDefault="004B2B30" w:rsidP="004B2B30">
      <w:pPr>
        <w:spacing w:line="480" w:lineRule="auto"/>
        <w:ind w:left="-142" w:firstLine="142"/>
        <w:jc w:val="both"/>
        <w:rPr>
          <w:rFonts w:ascii="Arial" w:hAnsi="Arial" w:cs="Arial"/>
          <w:sz w:val="24"/>
          <w:szCs w:val="24"/>
          <w:lang w:val="en-US"/>
        </w:rPr>
      </w:pPr>
      <w:r w:rsidRPr="00D52D68">
        <w:rPr>
          <w:rFonts w:ascii="Arial" w:hAnsi="Arial" w:cs="Arial"/>
          <w:sz w:val="24"/>
          <w:szCs w:val="24"/>
          <w:lang w:val="en-US"/>
        </w:rPr>
        <w:t>[2]</w:t>
      </w:r>
      <w:r w:rsidRPr="00D52D68">
        <w:rPr>
          <w:rFonts w:ascii="Arial" w:hAnsi="Arial" w:cs="Arial"/>
          <w:sz w:val="24"/>
          <w:szCs w:val="24"/>
          <w:lang w:val="en-US"/>
        </w:rPr>
        <w:tab/>
      </w:r>
      <w:r w:rsidR="008E7EAC" w:rsidRPr="004B2B30">
        <w:rPr>
          <w:rFonts w:ascii="Arial" w:hAnsi="Arial" w:cs="Arial"/>
          <w:sz w:val="24"/>
          <w:szCs w:val="24"/>
          <w:lang w:val="en-US"/>
        </w:rPr>
        <w:t xml:space="preserve">The </w:t>
      </w:r>
      <w:r w:rsidR="003056CA" w:rsidRPr="004B2B30">
        <w:rPr>
          <w:rFonts w:ascii="Arial" w:hAnsi="Arial" w:cs="Arial"/>
          <w:sz w:val="24"/>
          <w:szCs w:val="24"/>
          <w:lang w:val="en-US"/>
        </w:rPr>
        <w:t xml:space="preserve">first to third applicants are </w:t>
      </w:r>
      <w:r w:rsidR="00557A4E" w:rsidRPr="004B2B30">
        <w:rPr>
          <w:rFonts w:ascii="Arial" w:hAnsi="Arial" w:cs="Arial"/>
          <w:sz w:val="24"/>
          <w:szCs w:val="24"/>
          <w:lang w:val="en-US"/>
        </w:rPr>
        <w:t xml:space="preserve">children of the deceased, born out of the marriage </w:t>
      </w:r>
      <w:r w:rsidR="00E61B90" w:rsidRPr="004B2B30">
        <w:rPr>
          <w:rFonts w:ascii="Arial" w:hAnsi="Arial" w:cs="Arial"/>
          <w:sz w:val="24"/>
          <w:szCs w:val="24"/>
          <w:lang w:val="en-US"/>
        </w:rPr>
        <w:t xml:space="preserve">to </w:t>
      </w:r>
      <w:r w:rsidR="002A538C" w:rsidRPr="004B2B30">
        <w:rPr>
          <w:rFonts w:ascii="Arial" w:hAnsi="Arial" w:cs="Arial"/>
          <w:sz w:val="24"/>
          <w:szCs w:val="24"/>
          <w:lang w:val="en-US"/>
        </w:rPr>
        <w:t xml:space="preserve">the fourth applicant. The </w:t>
      </w:r>
      <w:r w:rsidR="003A1264" w:rsidRPr="004B2B30">
        <w:rPr>
          <w:rFonts w:ascii="Arial" w:hAnsi="Arial" w:cs="Arial"/>
          <w:sz w:val="24"/>
          <w:szCs w:val="24"/>
          <w:lang w:val="en-US"/>
        </w:rPr>
        <w:t xml:space="preserve">deceased and the fourth applicant were divorced </w:t>
      </w:r>
      <w:r w:rsidR="002E1203" w:rsidRPr="004B2B30">
        <w:rPr>
          <w:rFonts w:ascii="Arial" w:hAnsi="Arial" w:cs="Arial"/>
          <w:sz w:val="24"/>
          <w:szCs w:val="24"/>
          <w:lang w:val="en-US"/>
        </w:rPr>
        <w:t>on 24 April 2008</w:t>
      </w:r>
      <w:r w:rsidR="0072596B" w:rsidRPr="004B2B30">
        <w:rPr>
          <w:rFonts w:ascii="Arial" w:hAnsi="Arial" w:cs="Arial"/>
          <w:sz w:val="24"/>
          <w:szCs w:val="24"/>
          <w:lang w:val="en-US"/>
        </w:rPr>
        <w:t xml:space="preserve">. In terms of the divorce order, the deceased paid monthly maintenance to </w:t>
      </w:r>
      <w:r w:rsidR="00E300DA" w:rsidRPr="004B2B30">
        <w:rPr>
          <w:rFonts w:ascii="Arial" w:hAnsi="Arial" w:cs="Arial"/>
          <w:sz w:val="24"/>
          <w:szCs w:val="24"/>
          <w:lang w:val="en-US"/>
        </w:rPr>
        <w:t xml:space="preserve">the fourth applicant </w:t>
      </w:r>
      <w:r w:rsidR="00E61B90" w:rsidRPr="004B2B30">
        <w:rPr>
          <w:rFonts w:ascii="Arial" w:hAnsi="Arial" w:cs="Arial"/>
          <w:sz w:val="24"/>
          <w:szCs w:val="24"/>
          <w:lang w:val="en-US"/>
        </w:rPr>
        <w:t xml:space="preserve">in the </w:t>
      </w:r>
      <w:r w:rsidR="00667D85" w:rsidRPr="004B2B30">
        <w:rPr>
          <w:rFonts w:ascii="Arial" w:hAnsi="Arial" w:cs="Arial"/>
          <w:sz w:val="24"/>
          <w:szCs w:val="24"/>
          <w:lang w:val="en-US"/>
        </w:rPr>
        <w:t>amount</w:t>
      </w:r>
      <w:r w:rsidR="00E300DA" w:rsidRPr="004B2B30">
        <w:rPr>
          <w:rFonts w:ascii="Arial" w:hAnsi="Arial" w:cs="Arial"/>
          <w:sz w:val="24"/>
          <w:szCs w:val="24"/>
          <w:lang w:val="en-US"/>
        </w:rPr>
        <w:t xml:space="preserve"> o</w:t>
      </w:r>
      <w:r w:rsidR="00E61B90" w:rsidRPr="004B2B30">
        <w:rPr>
          <w:rFonts w:ascii="Arial" w:hAnsi="Arial" w:cs="Arial"/>
          <w:sz w:val="24"/>
          <w:szCs w:val="24"/>
          <w:lang w:val="en-US"/>
        </w:rPr>
        <w:t>f</w:t>
      </w:r>
      <w:r w:rsidR="00E300DA" w:rsidRPr="004B2B30">
        <w:rPr>
          <w:rFonts w:ascii="Arial" w:hAnsi="Arial" w:cs="Arial"/>
          <w:sz w:val="24"/>
          <w:szCs w:val="24"/>
          <w:lang w:val="en-US"/>
        </w:rPr>
        <w:t xml:space="preserve"> R12 000.00 </w:t>
      </w:r>
      <w:r w:rsidR="00433CEC" w:rsidRPr="004B2B30">
        <w:rPr>
          <w:rFonts w:ascii="Arial" w:hAnsi="Arial" w:cs="Arial"/>
          <w:sz w:val="24"/>
          <w:szCs w:val="24"/>
          <w:lang w:val="en-US"/>
        </w:rPr>
        <w:t xml:space="preserve">per month </w:t>
      </w:r>
      <w:r w:rsidR="00941AD4" w:rsidRPr="004B2B30">
        <w:rPr>
          <w:rFonts w:ascii="Arial" w:hAnsi="Arial" w:cs="Arial"/>
          <w:sz w:val="24"/>
          <w:szCs w:val="24"/>
          <w:lang w:val="en-US"/>
        </w:rPr>
        <w:t>until</w:t>
      </w:r>
      <w:r w:rsidR="00E300DA" w:rsidRPr="004B2B30">
        <w:rPr>
          <w:rFonts w:ascii="Arial" w:hAnsi="Arial" w:cs="Arial"/>
          <w:sz w:val="24"/>
          <w:szCs w:val="24"/>
          <w:lang w:val="en-US"/>
        </w:rPr>
        <w:t xml:space="preserve"> the </w:t>
      </w:r>
      <w:r w:rsidR="00667D85" w:rsidRPr="004B2B30">
        <w:rPr>
          <w:rFonts w:ascii="Arial" w:hAnsi="Arial" w:cs="Arial"/>
          <w:sz w:val="24"/>
          <w:szCs w:val="24"/>
          <w:lang w:val="en-US"/>
        </w:rPr>
        <w:t xml:space="preserve">death </w:t>
      </w:r>
      <w:r w:rsidR="00E300DA" w:rsidRPr="004B2B30">
        <w:rPr>
          <w:rFonts w:ascii="Arial" w:hAnsi="Arial" w:cs="Arial"/>
          <w:sz w:val="24"/>
          <w:szCs w:val="24"/>
          <w:lang w:val="en-US"/>
        </w:rPr>
        <w:t>deceased.</w:t>
      </w:r>
      <w:r w:rsidR="00C92900" w:rsidRPr="004B2B30">
        <w:rPr>
          <w:rFonts w:ascii="Arial" w:hAnsi="Arial" w:cs="Arial"/>
          <w:sz w:val="24"/>
          <w:szCs w:val="24"/>
          <w:lang w:val="en-US"/>
        </w:rPr>
        <w:t xml:space="preserve"> </w:t>
      </w:r>
      <w:r w:rsidR="00941AD4" w:rsidRPr="004B2B30">
        <w:rPr>
          <w:rFonts w:ascii="Arial" w:hAnsi="Arial" w:cs="Arial"/>
          <w:sz w:val="24"/>
          <w:szCs w:val="24"/>
          <w:lang w:val="en-US"/>
        </w:rPr>
        <w:t>At the time of the deceased passing t</w:t>
      </w:r>
      <w:r w:rsidR="00C92900" w:rsidRPr="004B2B30">
        <w:rPr>
          <w:rFonts w:ascii="Arial" w:hAnsi="Arial" w:cs="Arial"/>
          <w:sz w:val="24"/>
          <w:szCs w:val="24"/>
          <w:lang w:val="en-US"/>
        </w:rPr>
        <w:t xml:space="preserve">he third applicant was a minor </w:t>
      </w:r>
      <w:r w:rsidR="00941AD4" w:rsidRPr="004B2B30">
        <w:rPr>
          <w:rFonts w:ascii="Arial" w:hAnsi="Arial" w:cs="Arial"/>
          <w:sz w:val="24"/>
          <w:szCs w:val="24"/>
          <w:lang w:val="en-US"/>
        </w:rPr>
        <w:t>for whom</w:t>
      </w:r>
      <w:r w:rsidR="00C92900" w:rsidRPr="004B2B30">
        <w:rPr>
          <w:rFonts w:ascii="Arial" w:hAnsi="Arial" w:cs="Arial"/>
          <w:sz w:val="24"/>
          <w:szCs w:val="24"/>
          <w:lang w:val="en-US"/>
        </w:rPr>
        <w:t xml:space="preserve"> he paid an </w:t>
      </w:r>
      <w:r w:rsidR="00FB3802" w:rsidRPr="004B2B30">
        <w:rPr>
          <w:rFonts w:ascii="Arial" w:hAnsi="Arial" w:cs="Arial"/>
          <w:sz w:val="24"/>
          <w:szCs w:val="24"/>
          <w:lang w:val="en-US"/>
        </w:rPr>
        <w:t xml:space="preserve">additional </w:t>
      </w:r>
      <w:r w:rsidR="00C92900" w:rsidRPr="004B2B30">
        <w:rPr>
          <w:rFonts w:ascii="Arial" w:hAnsi="Arial" w:cs="Arial"/>
          <w:sz w:val="24"/>
          <w:szCs w:val="24"/>
          <w:lang w:val="en-US"/>
        </w:rPr>
        <w:t xml:space="preserve">amount of R5 000.00 to the </w:t>
      </w:r>
      <w:r w:rsidR="00FB3802" w:rsidRPr="004B2B30">
        <w:rPr>
          <w:rFonts w:ascii="Arial" w:hAnsi="Arial" w:cs="Arial"/>
          <w:sz w:val="24"/>
          <w:szCs w:val="24"/>
          <w:lang w:val="en-US"/>
        </w:rPr>
        <w:t xml:space="preserve">fourth applicant towards </w:t>
      </w:r>
      <w:r w:rsidR="00D616C9" w:rsidRPr="004B2B30">
        <w:rPr>
          <w:rFonts w:ascii="Arial" w:hAnsi="Arial" w:cs="Arial"/>
          <w:sz w:val="24"/>
          <w:szCs w:val="24"/>
          <w:lang w:val="en-US"/>
        </w:rPr>
        <w:t>the minor’s maintenance</w:t>
      </w:r>
      <w:r w:rsidR="00941AD4" w:rsidRPr="004B2B30">
        <w:rPr>
          <w:rFonts w:ascii="Arial" w:hAnsi="Arial" w:cs="Arial"/>
          <w:sz w:val="24"/>
          <w:szCs w:val="24"/>
          <w:lang w:val="en-US"/>
        </w:rPr>
        <w:t xml:space="preserve"> and upkeep</w:t>
      </w:r>
      <w:r w:rsidR="00D616C9" w:rsidRPr="004B2B30">
        <w:rPr>
          <w:rFonts w:ascii="Arial" w:hAnsi="Arial" w:cs="Arial"/>
          <w:sz w:val="24"/>
          <w:szCs w:val="24"/>
          <w:lang w:val="en-US"/>
        </w:rPr>
        <w:t>.</w:t>
      </w:r>
    </w:p>
    <w:p w14:paraId="0A8F554C" w14:textId="77777777" w:rsidR="00D52D68" w:rsidRPr="00D52D68" w:rsidRDefault="00D52D68" w:rsidP="002C1EA2">
      <w:pPr>
        <w:pStyle w:val="ListParagraph"/>
        <w:spacing w:line="480" w:lineRule="auto"/>
        <w:rPr>
          <w:rFonts w:ascii="Arial" w:hAnsi="Arial" w:cs="Arial"/>
          <w:sz w:val="24"/>
          <w:szCs w:val="24"/>
          <w:lang w:val="en-US"/>
        </w:rPr>
      </w:pPr>
    </w:p>
    <w:p w14:paraId="7CEAC941" w14:textId="1FF88AE1" w:rsidR="00E300DA" w:rsidRPr="004B2B30" w:rsidRDefault="004B2B30" w:rsidP="004B2B30">
      <w:pPr>
        <w:spacing w:line="480" w:lineRule="auto"/>
        <w:ind w:left="-142" w:firstLine="142"/>
        <w:jc w:val="both"/>
        <w:rPr>
          <w:rFonts w:ascii="Arial" w:hAnsi="Arial" w:cs="Arial"/>
          <w:sz w:val="24"/>
          <w:szCs w:val="24"/>
          <w:lang w:val="en-US"/>
        </w:rPr>
      </w:pPr>
      <w:r w:rsidRPr="00D52D68">
        <w:rPr>
          <w:rFonts w:ascii="Arial" w:hAnsi="Arial" w:cs="Arial"/>
          <w:sz w:val="24"/>
          <w:szCs w:val="24"/>
          <w:lang w:val="en-US"/>
        </w:rPr>
        <w:t>[3]</w:t>
      </w:r>
      <w:r w:rsidRPr="00D52D68">
        <w:rPr>
          <w:rFonts w:ascii="Arial" w:hAnsi="Arial" w:cs="Arial"/>
          <w:sz w:val="24"/>
          <w:szCs w:val="24"/>
          <w:lang w:val="en-US"/>
        </w:rPr>
        <w:tab/>
      </w:r>
      <w:r w:rsidR="00941AD4" w:rsidRPr="004B2B30">
        <w:rPr>
          <w:rFonts w:ascii="Arial" w:hAnsi="Arial" w:cs="Arial"/>
          <w:sz w:val="24"/>
          <w:szCs w:val="24"/>
          <w:lang w:val="en-US"/>
        </w:rPr>
        <w:t>T</w:t>
      </w:r>
      <w:r w:rsidR="00CA02B3" w:rsidRPr="004B2B30">
        <w:rPr>
          <w:rFonts w:ascii="Arial" w:hAnsi="Arial" w:cs="Arial"/>
          <w:sz w:val="24"/>
          <w:szCs w:val="24"/>
          <w:lang w:val="en-US"/>
        </w:rPr>
        <w:t>he deceased’s mother was cited as the fifth applicant herein</w:t>
      </w:r>
      <w:r w:rsidR="00941AD4" w:rsidRPr="004B2B30">
        <w:rPr>
          <w:rFonts w:ascii="Arial" w:hAnsi="Arial" w:cs="Arial"/>
          <w:sz w:val="24"/>
          <w:szCs w:val="24"/>
          <w:lang w:val="en-US"/>
        </w:rPr>
        <w:t xml:space="preserve"> when this matter was instituted</w:t>
      </w:r>
      <w:r w:rsidR="00CA02B3" w:rsidRPr="004B2B30">
        <w:rPr>
          <w:rFonts w:ascii="Arial" w:hAnsi="Arial" w:cs="Arial"/>
          <w:sz w:val="24"/>
          <w:szCs w:val="24"/>
          <w:lang w:val="en-US"/>
        </w:rPr>
        <w:t xml:space="preserve"> </w:t>
      </w:r>
      <w:r w:rsidR="00941AD4" w:rsidRPr="004B2B30">
        <w:rPr>
          <w:rFonts w:ascii="Arial" w:hAnsi="Arial" w:cs="Arial"/>
          <w:sz w:val="24"/>
          <w:szCs w:val="24"/>
          <w:lang w:val="en-US"/>
        </w:rPr>
        <w:t xml:space="preserve">since </w:t>
      </w:r>
      <w:r w:rsidR="00CA02B3" w:rsidRPr="004B2B30">
        <w:rPr>
          <w:rFonts w:ascii="Arial" w:hAnsi="Arial" w:cs="Arial"/>
          <w:sz w:val="24"/>
          <w:szCs w:val="24"/>
          <w:lang w:val="en-US"/>
        </w:rPr>
        <w:t>she was also a depend</w:t>
      </w:r>
      <w:r w:rsidR="008B7B6C" w:rsidRPr="004B2B30">
        <w:rPr>
          <w:rFonts w:ascii="Arial" w:hAnsi="Arial" w:cs="Arial"/>
          <w:sz w:val="24"/>
          <w:szCs w:val="24"/>
          <w:lang w:val="en-US"/>
        </w:rPr>
        <w:t>ent of the deceased wh</w:t>
      </w:r>
      <w:r w:rsidR="00094BE2" w:rsidRPr="004B2B30">
        <w:rPr>
          <w:rFonts w:ascii="Arial" w:hAnsi="Arial" w:cs="Arial"/>
          <w:sz w:val="24"/>
          <w:szCs w:val="24"/>
          <w:lang w:val="en-US"/>
        </w:rPr>
        <w:t>o</w:t>
      </w:r>
      <w:r w:rsidR="008B7B6C" w:rsidRPr="004B2B30">
        <w:rPr>
          <w:rFonts w:ascii="Arial" w:hAnsi="Arial" w:cs="Arial"/>
          <w:sz w:val="24"/>
          <w:szCs w:val="24"/>
          <w:lang w:val="en-US"/>
        </w:rPr>
        <w:t xml:space="preserve"> </w:t>
      </w:r>
      <w:r w:rsidR="00941AD4" w:rsidRPr="004B2B30">
        <w:rPr>
          <w:rFonts w:ascii="Arial" w:hAnsi="Arial" w:cs="Arial"/>
          <w:sz w:val="24"/>
          <w:szCs w:val="24"/>
          <w:lang w:val="en-US"/>
        </w:rPr>
        <w:t>contributed</w:t>
      </w:r>
      <w:r w:rsidR="008B7B6C" w:rsidRPr="004B2B30">
        <w:rPr>
          <w:rFonts w:ascii="Arial" w:hAnsi="Arial" w:cs="Arial"/>
          <w:sz w:val="24"/>
          <w:szCs w:val="24"/>
          <w:lang w:val="en-US"/>
        </w:rPr>
        <w:t xml:space="preserve"> a monthly </w:t>
      </w:r>
      <w:r w:rsidR="00CF6EDB" w:rsidRPr="004B2B30">
        <w:rPr>
          <w:rFonts w:ascii="Arial" w:hAnsi="Arial" w:cs="Arial"/>
          <w:sz w:val="24"/>
          <w:szCs w:val="24"/>
          <w:lang w:val="en-US"/>
        </w:rPr>
        <w:t>amount of R5</w:t>
      </w:r>
      <w:r w:rsidR="00BC06EE" w:rsidRPr="004B2B30">
        <w:rPr>
          <w:rFonts w:ascii="Arial" w:hAnsi="Arial" w:cs="Arial"/>
          <w:sz w:val="24"/>
          <w:szCs w:val="24"/>
          <w:lang w:val="en-US"/>
        </w:rPr>
        <w:t xml:space="preserve"> </w:t>
      </w:r>
      <w:r w:rsidR="00CF6EDB" w:rsidRPr="004B2B30">
        <w:rPr>
          <w:rFonts w:ascii="Arial" w:hAnsi="Arial" w:cs="Arial"/>
          <w:sz w:val="24"/>
          <w:szCs w:val="24"/>
          <w:lang w:val="en-US"/>
        </w:rPr>
        <w:t xml:space="preserve">000.00 towards her upkeep. </w:t>
      </w:r>
      <w:r w:rsidR="00094BE2" w:rsidRPr="004B2B30">
        <w:rPr>
          <w:rFonts w:ascii="Arial" w:hAnsi="Arial" w:cs="Arial"/>
          <w:sz w:val="24"/>
          <w:szCs w:val="24"/>
          <w:lang w:val="en-US"/>
        </w:rPr>
        <w:t>The mother of the deceased had since passed away and is no longer a party to these proceedings.</w:t>
      </w:r>
    </w:p>
    <w:p w14:paraId="5FB8879C" w14:textId="77777777" w:rsidR="00D52D68" w:rsidRPr="00D52D68" w:rsidRDefault="00D52D68" w:rsidP="002C1EA2">
      <w:pPr>
        <w:pStyle w:val="ListParagraph"/>
        <w:spacing w:line="480" w:lineRule="auto"/>
        <w:rPr>
          <w:rFonts w:ascii="Arial" w:hAnsi="Arial" w:cs="Arial"/>
          <w:sz w:val="24"/>
          <w:szCs w:val="24"/>
          <w:lang w:val="en-US"/>
        </w:rPr>
      </w:pPr>
    </w:p>
    <w:p w14:paraId="719C5851" w14:textId="479DC52D" w:rsidR="00085FA6" w:rsidRPr="004B2B30" w:rsidRDefault="004B2B30" w:rsidP="004B2B30">
      <w:pPr>
        <w:spacing w:line="480" w:lineRule="auto"/>
        <w:ind w:left="-142" w:firstLine="142"/>
        <w:jc w:val="both"/>
        <w:rPr>
          <w:rFonts w:ascii="Arial" w:hAnsi="Arial" w:cs="Arial"/>
          <w:sz w:val="24"/>
          <w:szCs w:val="24"/>
          <w:lang w:val="en-US"/>
        </w:rPr>
      </w:pPr>
      <w:r w:rsidRPr="00D52D68">
        <w:rPr>
          <w:rFonts w:ascii="Arial" w:hAnsi="Arial" w:cs="Arial"/>
          <w:sz w:val="24"/>
          <w:szCs w:val="24"/>
          <w:lang w:val="en-US"/>
        </w:rPr>
        <w:t>[4]</w:t>
      </w:r>
      <w:r w:rsidRPr="00D52D68">
        <w:rPr>
          <w:rFonts w:ascii="Arial" w:hAnsi="Arial" w:cs="Arial"/>
          <w:sz w:val="24"/>
          <w:szCs w:val="24"/>
          <w:lang w:val="en-US"/>
        </w:rPr>
        <w:tab/>
      </w:r>
      <w:r w:rsidR="00126CEA" w:rsidRPr="004B2B30">
        <w:rPr>
          <w:rFonts w:ascii="Arial" w:hAnsi="Arial" w:cs="Arial"/>
          <w:sz w:val="24"/>
          <w:szCs w:val="24"/>
          <w:lang w:val="en-US"/>
        </w:rPr>
        <w:t xml:space="preserve">The </w:t>
      </w:r>
      <w:r w:rsidR="00A25F49" w:rsidRPr="004B2B30">
        <w:rPr>
          <w:rFonts w:ascii="Arial" w:hAnsi="Arial" w:cs="Arial"/>
          <w:sz w:val="24"/>
          <w:szCs w:val="24"/>
          <w:lang w:val="en-US"/>
        </w:rPr>
        <w:t xml:space="preserve">board of the </w:t>
      </w:r>
      <w:r w:rsidR="00126CEA" w:rsidRPr="004B2B30">
        <w:rPr>
          <w:rFonts w:ascii="Arial" w:hAnsi="Arial" w:cs="Arial"/>
          <w:sz w:val="24"/>
          <w:szCs w:val="24"/>
          <w:lang w:val="en-US"/>
        </w:rPr>
        <w:t xml:space="preserve">first </w:t>
      </w:r>
      <w:r w:rsidR="002E04CD" w:rsidRPr="004B2B30">
        <w:rPr>
          <w:rFonts w:ascii="Arial" w:hAnsi="Arial" w:cs="Arial"/>
          <w:sz w:val="24"/>
          <w:szCs w:val="24"/>
          <w:lang w:val="en-US"/>
        </w:rPr>
        <w:t xml:space="preserve">respondent </w:t>
      </w:r>
      <w:r w:rsidR="00E90CC5" w:rsidRPr="004B2B30">
        <w:rPr>
          <w:rFonts w:ascii="Arial" w:hAnsi="Arial" w:cs="Arial"/>
          <w:sz w:val="24"/>
          <w:szCs w:val="24"/>
          <w:lang w:val="en-US"/>
        </w:rPr>
        <w:t xml:space="preserve">(“the board”) </w:t>
      </w:r>
      <w:r w:rsidR="00EF4A1E" w:rsidRPr="004B2B30">
        <w:rPr>
          <w:rFonts w:ascii="Arial" w:hAnsi="Arial" w:cs="Arial"/>
          <w:sz w:val="24"/>
          <w:szCs w:val="24"/>
          <w:lang w:val="en-US"/>
        </w:rPr>
        <w:t xml:space="preserve">allocated the entire death benefit to Auret. </w:t>
      </w:r>
      <w:r w:rsidR="00085FA6" w:rsidRPr="004B2B30">
        <w:rPr>
          <w:rFonts w:ascii="Arial" w:hAnsi="Arial" w:cs="Arial"/>
          <w:sz w:val="24"/>
          <w:szCs w:val="24"/>
          <w:lang w:val="en-US"/>
        </w:rPr>
        <w:t xml:space="preserve">The first respondent is a retirement-annuity fund and the second is the administrator and underwriter of the first respondent. </w:t>
      </w:r>
    </w:p>
    <w:p w14:paraId="5176CAAF" w14:textId="77777777" w:rsidR="00D52D68" w:rsidRPr="00D52D68" w:rsidRDefault="00D52D68" w:rsidP="002C1EA2">
      <w:pPr>
        <w:pStyle w:val="ListParagraph"/>
        <w:spacing w:line="480" w:lineRule="auto"/>
        <w:rPr>
          <w:rFonts w:ascii="Arial" w:hAnsi="Arial" w:cs="Arial"/>
          <w:sz w:val="24"/>
          <w:szCs w:val="24"/>
          <w:lang w:val="en-US"/>
        </w:rPr>
      </w:pPr>
    </w:p>
    <w:p w14:paraId="728E3236" w14:textId="18E4C070" w:rsidR="00D52D68"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lastRenderedPageBreak/>
        <w:t>[5]</w:t>
      </w:r>
      <w:r>
        <w:rPr>
          <w:rFonts w:ascii="Arial" w:hAnsi="Arial" w:cs="Arial"/>
          <w:sz w:val="24"/>
          <w:szCs w:val="24"/>
          <w:lang w:val="en-US"/>
        </w:rPr>
        <w:tab/>
      </w:r>
      <w:r w:rsidR="00A25F49" w:rsidRPr="004B2B30">
        <w:rPr>
          <w:rFonts w:ascii="Arial" w:hAnsi="Arial" w:cs="Arial"/>
          <w:sz w:val="24"/>
          <w:szCs w:val="24"/>
          <w:lang w:val="en-US"/>
        </w:rPr>
        <w:t xml:space="preserve">Aggrieved </w:t>
      </w:r>
      <w:r w:rsidR="007011CE" w:rsidRPr="004B2B30">
        <w:rPr>
          <w:rFonts w:ascii="Arial" w:hAnsi="Arial" w:cs="Arial"/>
          <w:sz w:val="24"/>
          <w:szCs w:val="24"/>
          <w:lang w:val="en-US"/>
        </w:rPr>
        <w:t xml:space="preserve">with the allocation of the entire </w:t>
      </w:r>
      <w:r w:rsidR="003F1546" w:rsidRPr="004B2B30">
        <w:rPr>
          <w:rFonts w:ascii="Arial" w:hAnsi="Arial" w:cs="Arial"/>
          <w:sz w:val="24"/>
          <w:szCs w:val="24"/>
          <w:lang w:val="en-US"/>
        </w:rPr>
        <w:t xml:space="preserve">death benefit to Auret, the </w:t>
      </w:r>
      <w:r w:rsidR="0099316A" w:rsidRPr="004B2B30">
        <w:rPr>
          <w:rFonts w:ascii="Arial" w:hAnsi="Arial" w:cs="Arial"/>
          <w:sz w:val="24"/>
          <w:szCs w:val="24"/>
          <w:lang w:val="en-US"/>
        </w:rPr>
        <w:t>applicants lodged</w:t>
      </w:r>
      <w:r w:rsidR="003F1546" w:rsidRPr="004B2B30">
        <w:rPr>
          <w:rFonts w:ascii="Arial" w:hAnsi="Arial" w:cs="Arial"/>
          <w:sz w:val="24"/>
          <w:szCs w:val="24"/>
          <w:lang w:val="en-US"/>
        </w:rPr>
        <w:t xml:space="preserve"> a complaint </w:t>
      </w:r>
      <w:r w:rsidR="00DA6485" w:rsidRPr="004B2B30">
        <w:rPr>
          <w:rFonts w:ascii="Arial" w:hAnsi="Arial" w:cs="Arial"/>
          <w:sz w:val="24"/>
          <w:szCs w:val="24"/>
          <w:lang w:val="en-US"/>
        </w:rPr>
        <w:t xml:space="preserve">with the </w:t>
      </w:r>
      <w:r w:rsidR="00BD04CF" w:rsidRPr="004B2B30">
        <w:rPr>
          <w:rFonts w:ascii="Arial" w:hAnsi="Arial" w:cs="Arial"/>
          <w:sz w:val="24"/>
          <w:szCs w:val="24"/>
          <w:lang w:val="en-US"/>
        </w:rPr>
        <w:t xml:space="preserve">third </w:t>
      </w:r>
      <w:r w:rsidR="00040D0F" w:rsidRPr="004B2B30">
        <w:rPr>
          <w:rFonts w:ascii="Arial" w:hAnsi="Arial" w:cs="Arial"/>
          <w:sz w:val="24"/>
          <w:szCs w:val="24"/>
          <w:lang w:val="en-US"/>
        </w:rPr>
        <w:t>respondent</w:t>
      </w:r>
      <w:r w:rsidR="00807F3C" w:rsidRPr="004B2B30">
        <w:rPr>
          <w:rFonts w:ascii="Arial" w:hAnsi="Arial" w:cs="Arial"/>
          <w:sz w:val="24"/>
          <w:szCs w:val="24"/>
          <w:lang w:val="en-US"/>
        </w:rPr>
        <w:t xml:space="preserve">, who is the Pension Funds Adjudicator (“the adjudicator”) </w:t>
      </w:r>
      <w:r w:rsidR="00F86BF6" w:rsidRPr="004B2B30">
        <w:rPr>
          <w:rFonts w:ascii="Arial" w:hAnsi="Arial" w:cs="Arial"/>
          <w:sz w:val="24"/>
          <w:szCs w:val="24"/>
          <w:lang w:val="en-US"/>
        </w:rPr>
        <w:t xml:space="preserve">established </w:t>
      </w:r>
      <w:r w:rsidR="00F56F22" w:rsidRPr="004B2B30">
        <w:rPr>
          <w:rFonts w:ascii="Arial" w:hAnsi="Arial" w:cs="Arial"/>
          <w:sz w:val="24"/>
          <w:szCs w:val="24"/>
          <w:lang w:val="en-US"/>
        </w:rPr>
        <w:t xml:space="preserve">and constituted </w:t>
      </w:r>
      <w:r w:rsidR="00F86BF6" w:rsidRPr="004B2B30">
        <w:rPr>
          <w:rFonts w:ascii="Arial" w:hAnsi="Arial" w:cs="Arial"/>
          <w:sz w:val="24"/>
          <w:szCs w:val="24"/>
          <w:lang w:val="en-US"/>
        </w:rPr>
        <w:t xml:space="preserve">in terms of section 30B of the Pension Funds Act </w:t>
      </w:r>
      <w:r w:rsidR="001245D0" w:rsidRPr="004B2B30">
        <w:rPr>
          <w:rFonts w:ascii="Arial" w:hAnsi="Arial" w:cs="Arial"/>
          <w:sz w:val="24"/>
          <w:szCs w:val="24"/>
          <w:lang w:val="en-US"/>
        </w:rPr>
        <w:t>24 of 1956 (“the Act”).</w:t>
      </w:r>
      <w:r w:rsidR="0040114A" w:rsidRPr="004B2B30">
        <w:rPr>
          <w:rFonts w:ascii="Arial" w:hAnsi="Arial" w:cs="Arial"/>
          <w:sz w:val="24"/>
          <w:szCs w:val="24"/>
          <w:lang w:val="en-US"/>
        </w:rPr>
        <w:t xml:space="preserve"> The complaint was </w:t>
      </w:r>
      <w:r w:rsidR="00FD77C3" w:rsidRPr="004B2B30">
        <w:rPr>
          <w:rFonts w:ascii="Arial" w:hAnsi="Arial" w:cs="Arial"/>
          <w:sz w:val="24"/>
          <w:szCs w:val="24"/>
          <w:lang w:val="en-US"/>
        </w:rPr>
        <w:t>dismissed which led to the applicants instituting the current proceedings.</w:t>
      </w:r>
    </w:p>
    <w:p w14:paraId="392B93E1" w14:textId="77777777" w:rsidR="00C76DAF" w:rsidRPr="00C76DAF" w:rsidRDefault="00C76DAF" w:rsidP="00C76DAF">
      <w:pPr>
        <w:pStyle w:val="ListParagraph"/>
        <w:rPr>
          <w:rFonts w:ascii="Arial" w:hAnsi="Arial" w:cs="Arial"/>
          <w:sz w:val="24"/>
          <w:szCs w:val="24"/>
          <w:lang w:val="en-US"/>
        </w:rPr>
      </w:pPr>
    </w:p>
    <w:p w14:paraId="1B233275" w14:textId="4FAAEA69" w:rsidR="00D52D68"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433CEC" w:rsidRPr="004B2B30">
        <w:rPr>
          <w:rFonts w:ascii="Arial" w:hAnsi="Arial" w:cs="Arial"/>
          <w:sz w:val="24"/>
          <w:szCs w:val="24"/>
          <w:lang w:val="en-US"/>
        </w:rPr>
        <w:t xml:space="preserve">The application is opposed only by the first respondent. </w:t>
      </w:r>
    </w:p>
    <w:p w14:paraId="2F56D9EE" w14:textId="77777777" w:rsidR="00D52D68" w:rsidRPr="00D52D68" w:rsidRDefault="00D52D68" w:rsidP="002C1EA2">
      <w:pPr>
        <w:pStyle w:val="ListParagraph"/>
        <w:spacing w:line="480" w:lineRule="auto"/>
        <w:rPr>
          <w:rFonts w:ascii="Arial" w:hAnsi="Arial" w:cs="Arial"/>
          <w:b/>
          <w:bCs/>
          <w:sz w:val="24"/>
          <w:szCs w:val="24"/>
          <w:lang w:val="en-US"/>
        </w:rPr>
      </w:pPr>
    </w:p>
    <w:p w14:paraId="7E0987D0" w14:textId="08255464" w:rsidR="00D52D68" w:rsidRPr="00D52D68" w:rsidRDefault="00D52D68" w:rsidP="002C1EA2">
      <w:pPr>
        <w:pStyle w:val="ListParagraph"/>
        <w:spacing w:line="480" w:lineRule="auto"/>
        <w:ind w:left="0" w:hanging="142"/>
        <w:jc w:val="both"/>
        <w:rPr>
          <w:rFonts w:ascii="Arial" w:hAnsi="Arial" w:cs="Arial"/>
          <w:sz w:val="24"/>
          <w:szCs w:val="24"/>
          <w:lang w:val="en-US"/>
        </w:rPr>
      </w:pPr>
      <w:r w:rsidRPr="00D52D68">
        <w:rPr>
          <w:rFonts w:ascii="Arial" w:hAnsi="Arial" w:cs="Arial"/>
          <w:b/>
          <w:bCs/>
          <w:sz w:val="24"/>
          <w:szCs w:val="24"/>
          <w:lang w:val="en-US"/>
        </w:rPr>
        <w:t>Background facts</w:t>
      </w:r>
    </w:p>
    <w:p w14:paraId="1F86198E" w14:textId="77777777" w:rsidR="00D52D68" w:rsidRPr="00D52D68" w:rsidRDefault="00D52D68" w:rsidP="002C1EA2">
      <w:pPr>
        <w:pStyle w:val="ListParagraph"/>
        <w:spacing w:line="480" w:lineRule="auto"/>
        <w:rPr>
          <w:rFonts w:ascii="Arial" w:hAnsi="Arial" w:cs="Arial"/>
          <w:sz w:val="24"/>
          <w:szCs w:val="24"/>
          <w:lang w:val="en-US"/>
        </w:rPr>
      </w:pPr>
    </w:p>
    <w:p w14:paraId="301BE699" w14:textId="3EED777A" w:rsidR="00971AB2"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E82190" w:rsidRPr="004B2B30">
        <w:rPr>
          <w:rFonts w:ascii="Arial" w:hAnsi="Arial" w:cs="Arial"/>
          <w:sz w:val="24"/>
          <w:szCs w:val="24"/>
          <w:lang w:val="en-US"/>
        </w:rPr>
        <w:t xml:space="preserve">The following facts </w:t>
      </w:r>
      <w:r w:rsidR="00861FCE" w:rsidRPr="004B2B30">
        <w:rPr>
          <w:rFonts w:ascii="Arial" w:hAnsi="Arial" w:cs="Arial"/>
          <w:sz w:val="24"/>
          <w:szCs w:val="24"/>
          <w:lang w:val="en-US"/>
        </w:rPr>
        <w:t>were presented to the board about the deceased and his estate</w:t>
      </w:r>
      <w:r w:rsidR="00971AB2" w:rsidRPr="004B2B30">
        <w:rPr>
          <w:rFonts w:ascii="Arial" w:hAnsi="Arial" w:cs="Arial"/>
          <w:sz w:val="24"/>
          <w:szCs w:val="24"/>
          <w:lang w:val="en-US"/>
        </w:rPr>
        <w:t>.</w:t>
      </w:r>
    </w:p>
    <w:p w14:paraId="3D4F4691" w14:textId="77777777" w:rsidR="002C1EA2" w:rsidRDefault="002C1EA2" w:rsidP="002C1EA2">
      <w:pPr>
        <w:pStyle w:val="ListParagraph"/>
        <w:spacing w:line="480" w:lineRule="auto"/>
        <w:ind w:left="0"/>
        <w:jc w:val="both"/>
        <w:rPr>
          <w:rFonts w:ascii="Arial" w:hAnsi="Arial" w:cs="Arial"/>
          <w:sz w:val="24"/>
          <w:szCs w:val="24"/>
          <w:lang w:val="en-US"/>
        </w:rPr>
      </w:pPr>
    </w:p>
    <w:p w14:paraId="501C9C32" w14:textId="7BB14E5E" w:rsidR="007D4365"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4D0DAE" w:rsidRPr="004B2B30">
        <w:rPr>
          <w:rFonts w:ascii="Arial" w:hAnsi="Arial" w:cs="Arial"/>
          <w:sz w:val="24"/>
          <w:szCs w:val="24"/>
          <w:lang w:val="en-US"/>
        </w:rPr>
        <w:t>Upon the death of the decease</w:t>
      </w:r>
      <w:r w:rsidR="00DE227A" w:rsidRPr="004B2B30">
        <w:rPr>
          <w:rFonts w:ascii="Arial" w:hAnsi="Arial" w:cs="Arial"/>
          <w:sz w:val="24"/>
          <w:szCs w:val="24"/>
          <w:lang w:val="en-US"/>
        </w:rPr>
        <w:t>d,</w:t>
      </w:r>
      <w:r w:rsidR="00246BD1" w:rsidRPr="004B2B30">
        <w:rPr>
          <w:rFonts w:ascii="Arial" w:hAnsi="Arial" w:cs="Arial"/>
          <w:sz w:val="24"/>
          <w:szCs w:val="24"/>
          <w:lang w:val="en-US"/>
        </w:rPr>
        <w:t xml:space="preserve"> </w:t>
      </w:r>
      <w:r w:rsidR="003F1D79" w:rsidRPr="004B2B30">
        <w:rPr>
          <w:rFonts w:ascii="Arial" w:hAnsi="Arial" w:cs="Arial"/>
          <w:sz w:val="24"/>
          <w:szCs w:val="24"/>
          <w:lang w:val="en-US"/>
        </w:rPr>
        <w:t xml:space="preserve">the Groenewald </w:t>
      </w:r>
      <w:r w:rsidR="00122BDE" w:rsidRPr="004B2B30">
        <w:rPr>
          <w:rFonts w:ascii="Arial" w:hAnsi="Arial" w:cs="Arial"/>
          <w:sz w:val="24"/>
          <w:szCs w:val="24"/>
          <w:lang w:val="en-US"/>
        </w:rPr>
        <w:t>Testamentary Trust (“the trust”)</w:t>
      </w:r>
      <w:r w:rsidR="004D0DAE" w:rsidRPr="004B2B30">
        <w:rPr>
          <w:rFonts w:ascii="Arial" w:hAnsi="Arial" w:cs="Arial"/>
          <w:sz w:val="24"/>
          <w:szCs w:val="24"/>
          <w:lang w:val="en-US"/>
        </w:rPr>
        <w:t xml:space="preserve"> was created by virtue of his will</w:t>
      </w:r>
      <w:r w:rsidR="00246BD1" w:rsidRPr="004B2B30">
        <w:rPr>
          <w:rFonts w:ascii="Arial" w:hAnsi="Arial" w:cs="Arial"/>
          <w:sz w:val="24"/>
          <w:szCs w:val="24"/>
          <w:lang w:val="en-US"/>
        </w:rPr>
        <w:t xml:space="preserve">. </w:t>
      </w:r>
      <w:r w:rsidR="008D08B6" w:rsidRPr="004B2B30">
        <w:rPr>
          <w:rFonts w:ascii="Arial" w:hAnsi="Arial" w:cs="Arial"/>
          <w:sz w:val="24"/>
          <w:szCs w:val="24"/>
          <w:lang w:val="en-US"/>
        </w:rPr>
        <w:t>The deceased bequeathed hi</w:t>
      </w:r>
      <w:r w:rsidR="00EF485E" w:rsidRPr="004B2B30">
        <w:rPr>
          <w:rFonts w:ascii="Arial" w:hAnsi="Arial" w:cs="Arial"/>
          <w:sz w:val="24"/>
          <w:szCs w:val="24"/>
          <w:lang w:val="en-US"/>
        </w:rPr>
        <w:t>s</w:t>
      </w:r>
      <w:r w:rsidR="008D08B6" w:rsidRPr="004B2B30">
        <w:rPr>
          <w:rFonts w:ascii="Arial" w:hAnsi="Arial" w:cs="Arial"/>
          <w:sz w:val="24"/>
          <w:szCs w:val="24"/>
          <w:lang w:val="en-US"/>
        </w:rPr>
        <w:t xml:space="preserve"> estate to the trust</w:t>
      </w:r>
      <w:r w:rsidR="00EF485E" w:rsidRPr="004B2B30">
        <w:rPr>
          <w:rFonts w:ascii="Arial" w:hAnsi="Arial" w:cs="Arial"/>
          <w:sz w:val="24"/>
          <w:szCs w:val="24"/>
          <w:lang w:val="en-US"/>
        </w:rPr>
        <w:t>, of which his three children (the first to third applicants) are</w:t>
      </w:r>
      <w:r w:rsidR="002A5165" w:rsidRPr="004B2B30">
        <w:rPr>
          <w:rFonts w:ascii="Arial" w:hAnsi="Arial" w:cs="Arial"/>
          <w:sz w:val="24"/>
          <w:szCs w:val="24"/>
          <w:lang w:val="en-US"/>
        </w:rPr>
        <w:t xml:space="preserve"> income and capital</w:t>
      </w:r>
      <w:r w:rsidR="00EF485E" w:rsidRPr="004B2B30">
        <w:rPr>
          <w:rFonts w:ascii="Arial" w:hAnsi="Arial" w:cs="Arial"/>
          <w:sz w:val="24"/>
          <w:szCs w:val="24"/>
          <w:lang w:val="en-US"/>
        </w:rPr>
        <w:t xml:space="preserve"> beneficiaries</w:t>
      </w:r>
      <w:r w:rsidR="002A5165" w:rsidRPr="004B2B30">
        <w:rPr>
          <w:rFonts w:ascii="Arial" w:hAnsi="Arial" w:cs="Arial"/>
          <w:sz w:val="24"/>
          <w:szCs w:val="24"/>
          <w:lang w:val="en-US"/>
        </w:rPr>
        <w:t xml:space="preserve">. </w:t>
      </w:r>
      <w:r w:rsidR="00EF485E" w:rsidRPr="004B2B30">
        <w:rPr>
          <w:rFonts w:ascii="Arial" w:hAnsi="Arial" w:cs="Arial"/>
          <w:sz w:val="24"/>
          <w:szCs w:val="24"/>
          <w:lang w:val="en-US"/>
        </w:rPr>
        <w:t xml:space="preserve"> </w:t>
      </w:r>
      <w:r w:rsidR="007A3FAE" w:rsidRPr="004B2B30">
        <w:rPr>
          <w:rFonts w:ascii="Arial" w:hAnsi="Arial" w:cs="Arial"/>
          <w:sz w:val="24"/>
          <w:szCs w:val="24"/>
          <w:lang w:val="en-US"/>
        </w:rPr>
        <w:t>The trust</w:t>
      </w:r>
      <w:r w:rsidR="00543518" w:rsidRPr="004B2B30">
        <w:rPr>
          <w:rFonts w:ascii="Arial" w:hAnsi="Arial" w:cs="Arial"/>
          <w:sz w:val="24"/>
          <w:szCs w:val="24"/>
          <w:lang w:val="en-US"/>
        </w:rPr>
        <w:t xml:space="preserve"> </w:t>
      </w:r>
      <w:r w:rsidR="009F5002" w:rsidRPr="004B2B30">
        <w:rPr>
          <w:rFonts w:ascii="Arial" w:hAnsi="Arial" w:cs="Arial"/>
          <w:sz w:val="24"/>
          <w:szCs w:val="24"/>
          <w:lang w:val="en-US"/>
        </w:rPr>
        <w:t>receive</w:t>
      </w:r>
      <w:r w:rsidR="002005F5" w:rsidRPr="004B2B30">
        <w:rPr>
          <w:rFonts w:ascii="Arial" w:hAnsi="Arial" w:cs="Arial"/>
          <w:sz w:val="24"/>
          <w:szCs w:val="24"/>
          <w:lang w:val="en-US"/>
        </w:rPr>
        <w:t>d</w:t>
      </w:r>
      <w:r w:rsidR="009F5002" w:rsidRPr="004B2B30">
        <w:rPr>
          <w:rFonts w:ascii="Arial" w:hAnsi="Arial" w:cs="Arial"/>
          <w:sz w:val="24"/>
          <w:szCs w:val="24"/>
          <w:lang w:val="en-US"/>
        </w:rPr>
        <w:t xml:space="preserve"> </w:t>
      </w:r>
      <w:r w:rsidR="00C33B93" w:rsidRPr="004B2B30">
        <w:rPr>
          <w:rFonts w:ascii="Arial" w:hAnsi="Arial" w:cs="Arial"/>
          <w:sz w:val="24"/>
          <w:szCs w:val="24"/>
          <w:lang w:val="en-US"/>
        </w:rPr>
        <w:t xml:space="preserve">R41 418 384.93 from the deceased estate, including </w:t>
      </w:r>
      <w:r w:rsidR="0021676B" w:rsidRPr="004B2B30">
        <w:rPr>
          <w:rFonts w:ascii="Arial" w:hAnsi="Arial" w:cs="Arial"/>
          <w:sz w:val="24"/>
          <w:szCs w:val="24"/>
          <w:lang w:val="en-US"/>
        </w:rPr>
        <w:t xml:space="preserve">R7 072 097.06 </w:t>
      </w:r>
      <w:r w:rsidR="00543518" w:rsidRPr="004B2B30">
        <w:rPr>
          <w:rFonts w:ascii="Arial" w:hAnsi="Arial" w:cs="Arial"/>
          <w:sz w:val="24"/>
          <w:szCs w:val="24"/>
          <w:lang w:val="en-US"/>
        </w:rPr>
        <w:t>from various policies of the deceased.</w:t>
      </w:r>
    </w:p>
    <w:p w14:paraId="6D3EEDC5" w14:textId="77777777" w:rsidR="002C1EA2" w:rsidRPr="002C1EA2" w:rsidRDefault="002C1EA2" w:rsidP="002C1EA2">
      <w:pPr>
        <w:pStyle w:val="ListParagraph"/>
        <w:spacing w:line="480" w:lineRule="auto"/>
        <w:rPr>
          <w:rFonts w:ascii="Arial" w:hAnsi="Arial" w:cs="Arial"/>
          <w:sz w:val="24"/>
          <w:szCs w:val="24"/>
          <w:lang w:val="en-US"/>
        </w:rPr>
      </w:pPr>
    </w:p>
    <w:p w14:paraId="18023A1F" w14:textId="0F96225B" w:rsidR="00077741"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3C7545" w:rsidRPr="004B2B30">
        <w:rPr>
          <w:rFonts w:ascii="Arial" w:hAnsi="Arial" w:cs="Arial"/>
          <w:sz w:val="24"/>
          <w:szCs w:val="24"/>
          <w:lang w:val="en-US"/>
        </w:rPr>
        <w:t xml:space="preserve">The trustee of the trust informed </w:t>
      </w:r>
      <w:r w:rsidR="00A74030" w:rsidRPr="004B2B30">
        <w:rPr>
          <w:rFonts w:ascii="Arial" w:hAnsi="Arial" w:cs="Arial"/>
          <w:sz w:val="24"/>
          <w:szCs w:val="24"/>
          <w:lang w:val="en-US"/>
        </w:rPr>
        <w:t xml:space="preserve">the </w:t>
      </w:r>
      <w:r w:rsidR="00E956FA" w:rsidRPr="004B2B30">
        <w:rPr>
          <w:rFonts w:ascii="Arial" w:hAnsi="Arial" w:cs="Arial"/>
          <w:sz w:val="24"/>
          <w:szCs w:val="24"/>
          <w:lang w:val="en-US"/>
        </w:rPr>
        <w:t>board</w:t>
      </w:r>
      <w:r w:rsidR="00A74030" w:rsidRPr="004B2B30">
        <w:rPr>
          <w:rFonts w:ascii="Arial" w:hAnsi="Arial" w:cs="Arial"/>
          <w:sz w:val="24"/>
          <w:szCs w:val="24"/>
          <w:lang w:val="en-US"/>
        </w:rPr>
        <w:t xml:space="preserve"> that the trust w</w:t>
      </w:r>
      <w:r w:rsidR="00E956FA" w:rsidRPr="004B2B30">
        <w:rPr>
          <w:rFonts w:ascii="Arial" w:hAnsi="Arial" w:cs="Arial"/>
          <w:sz w:val="24"/>
          <w:szCs w:val="24"/>
          <w:lang w:val="en-US"/>
        </w:rPr>
        <w:t>ould</w:t>
      </w:r>
      <w:r w:rsidR="00A74030" w:rsidRPr="004B2B30">
        <w:rPr>
          <w:rFonts w:ascii="Arial" w:hAnsi="Arial" w:cs="Arial"/>
          <w:sz w:val="24"/>
          <w:szCs w:val="24"/>
          <w:lang w:val="en-US"/>
        </w:rPr>
        <w:t xml:space="preserve"> continue to make </w:t>
      </w:r>
      <w:r w:rsidR="00AA0DFC" w:rsidRPr="004B2B30">
        <w:rPr>
          <w:rFonts w:ascii="Arial" w:hAnsi="Arial" w:cs="Arial"/>
          <w:sz w:val="24"/>
          <w:szCs w:val="24"/>
          <w:lang w:val="en-US"/>
        </w:rPr>
        <w:t xml:space="preserve">monthly </w:t>
      </w:r>
      <w:r w:rsidR="00A74030" w:rsidRPr="004B2B30">
        <w:rPr>
          <w:rFonts w:ascii="Arial" w:hAnsi="Arial" w:cs="Arial"/>
          <w:sz w:val="24"/>
          <w:szCs w:val="24"/>
          <w:lang w:val="en-US"/>
        </w:rPr>
        <w:t xml:space="preserve">payments to the </w:t>
      </w:r>
      <w:r w:rsidR="00AA0DFC" w:rsidRPr="004B2B30">
        <w:rPr>
          <w:rFonts w:ascii="Arial" w:hAnsi="Arial" w:cs="Arial"/>
          <w:sz w:val="24"/>
          <w:szCs w:val="24"/>
          <w:lang w:val="en-US"/>
        </w:rPr>
        <w:t xml:space="preserve">third and fourth </w:t>
      </w:r>
      <w:r w:rsidR="00E956FA" w:rsidRPr="004B2B30">
        <w:rPr>
          <w:rFonts w:ascii="Arial" w:hAnsi="Arial" w:cs="Arial"/>
          <w:sz w:val="24"/>
          <w:szCs w:val="24"/>
          <w:lang w:val="en-US"/>
        </w:rPr>
        <w:t>applica</w:t>
      </w:r>
      <w:r w:rsidR="00AA0DFC" w:rsidRPr="004B2B30">
        <w:rPr>
          <w:rFonts w:ascii="Arial" w:hAnsi="Arial" w:cs="Arial"/>
          <w:sz w:val="24"/>
          <w:szCs w:val="24"/>
          <w:lang w:val="en-US"/>
        </w:rPr>
        <w:t xml:space="preserve">nts in the amounts of R5 000.00 and R12 000.00 respectively. In addition, the trustee </w:t>
      </w:r>
      <w:r w:rsidR="00DE227A" w:rsidRPr="004B2B30">
        <w:rPr>
          <w:rFonts w:ascii="Arial" w:hAnsi="Arial" w:cs="Arial"/>
          <w:sz w:val="24"/>
          <w:szCs w:val="24"/>
          <w:lang w:val="en-US"/>
        </w:rPr>
        <w:t xml:space="preserve">further </w:t>
      </w:r>
      <w:r w:rsidR="00AA0DFC" w:rsidRPr="004B2B30">
        <w:rPr>
          <w:rFonts w:ascii="Arial" w:hAnsi="Arial" w:cs="Arial"/>
          <w:sz w:val="24"/>
          <w:szCs w:val="24"/>
          <w:lang w:val="en-US"/>
        </w:rPr>
        <w:t>advised that the trust would make monthly payments to the first and second respondents in the amounts of R</w:t>
      </w:r>
      <w:r w:rsidR="00AE641D" w:rsidRPr="004B2B30">
        <w:rPr>
          <w:rFonts w:ascii="Arial" w:hAnsi="Arial" w:cs="Arial"/>
          <w:sz w:val="24"/>
          <w:szCs w:val="24"/>
          <w:lang w:val="en-US"/>
        </w:rPr>
        <w:t xml:space="preserve">7 000.00 and R8 000.00 </w:t>
      </w:r>
      <w:r w:rsidR="007664F0" w:rsidRPr="004B2B30">
        <w:rPr>
          <w:rFonts w:ascii="Arial" w:hAnsi="Arial" w:cs="Arial"/>
          <w:sz w:val="24"/>
          <w:szCs w:val="24"/>
          <w:lang w:val="en-US"/>
        </w:rPr>
        <w:t>respectively.</w:t>
      </w:r>
      <w:r w:rsidR="00EC290D" w:rsidRPr="004B2B30">
        <w:rPr>
          <w:rFonts w:ascii="Arial" w:hAnsi="Arial" w:cs="Arial"/>
          <w:sz w:val="24"/>
          <w:szCs w:val="24"/>
          <w:lang w:val="en-US"/>
        </w:rPr>
        <w:t xml:space="preserve"> </w:t>
      </w:r>
    </w:p>
    <w:p w14:paraId="5D847596" w14:textId="77777777" w:rsidR="002C1EA2" w:rsidRPr="002C1EA2" w:rsidRDefault="002C1EA2" w:rsidP="002C1EA2">
      <w:pPr>
        <w:pStyle w:val="ListParagraph"/>
        <w:rPr>
          <w:rFonts w:ascii="Arial" w:hAnsi="Arial" w:cs="Arial"/>
          <w:sz w:val="24"/>
          <w:szCs w:val="24"/>
          <w:lang w:val="en-US"/>
        </w:rPr>
      </w:pPr>
    </w:p>
    <w:p w14:paraId="53075332" w14:textId="373ADF21" w:rsidR="00FD77C3"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36444C" w:rsidRPr="004B2B30">
        <w:rPr>
          <w:rFonts w:ascii="Arial" w:hAnsi="Arial" w:cs="Arial"/>
          <w:sz w:val="24"/>
          <w:szCs w:val="24"/>
          <w:lang w:val="en-US"/>
        </w:rPr>
        <w:t>From about 201</w:t>
      </w:r>
      <w:r w:rsidR="00045D05" w:rsidRPr="004B2B30">
        <w:rPr>
          <w:rFonts w:ascii="Arial" w:hAnsi="Arial" w:cs="Arial"/>
          <w:sz w:val="24"/>
          <w:szCs w:val="24"/>
          <w:lang w:val="en-US"/>
        </w:rPr>
        <w:t>5</w:t>
      </w:r>
      <w:r w:rsidR="0036444C" w:rsidRPr="004B2B30">
        <w:rPr>
          <w:rFonts w:ascii="Arial" w:hAnsi="Arial" w:cs="Arial"/>
          <w:sz w:val="24"/>
          <w:szCs w:val="24"/>
          <w:lang w:val="en-US"/>
        </w:rPr>
        <w:t xml:space="preserve">, the deceased and Auret were involved </w:t>
      </w:r>
      <w:r w:rsidR="00843C67" w:rsidRPr="004B2B30">
        <w:rPr>
          <w:rFonts w:ascii="Arial" w:hAnsi="Arial" w:cs="Arial"/>
          <w:sz w:val="24"/>
          <w:szCs w:val="24"/>
          <w:lang w:val="en-US"/>
        </w:rPr>
        <w:t>in a relationship</w:t>
      </w:r>
      <w:r w:rsidR="005F4EED" w:rsidRPr="004B2B30">
        <w:rPr>
          <w:rFonts w:ascii="Arial" w:hAnsi="Arial" w:cs="Arial"/>
          <w:sz w:val="24"/>
          <w:szCs w:val="24"/>
          <w:lang w:val="en-US"/>
        </w:rPr>
        <w:t xml:space="preserve">. An investigation by the forensic department of the second respondent confirmed that the </w:t>
      </w:r>
      <w:r w:rsidR="007D0676" w:rsidRPr="004B2B30">
        <w:rPr>
          <w:rFonts w:ascii="Arial" w:hAnsi="Arial" w:cs="Arial"/>
          <w:sz w:val="24"/>
          <w:szCs w:val="24"/>
          <w:lang w:val="en-US"/>
        </w:rPr>
        <w:t xml:space="preserve">relationship between the deceased and Auret was similar to that of a married couple. </w:t>
      </w:r>
    </w:p>
    <w:p w14:paraId="562A3B51" w14:textId="498A6E0F" w:rsidR="002C1EA2" w:rsidRDefault="002C1EA2" w:rsidP="002C1EA2">
      <w:pPr>
        <w:pStyle w:val="ListParagraph"/>
        <w:rPr>
          <w:rFonts w:ascii="Arial" w:hAnsi="Arial" w:cs="Arial"/>
          <w:sz w:val="24"/>
          <w:szCs w:val="24"/>
          <w:lang w:val="en-US"/>
        </w:rPr>
      </w:pPr>
    </w:p>
    <w:p w14:paraId="5EAD0C37" w14:textId="77777777" w:rsidR="003A2A52" w:rsidRPr="002C1EA2" w:rsidRDefault="003A2A52" w:rsidP="002C1EA2">
      <w:pPr>
        <w:pStyle w:val="ListParagraph"/>
        <w:rPr>
          <w:rFonts w:ascii="Arial" w:hAnsi="Arial" w:cs="Arial"/>
          <w:sz w:val="24"/>
          <w:szCs w:val="24"/>
          <w:lang w:val="en-US"/>
        </w:rPr>
      </w:pPr>
    </w:p>
    <w:p w14:paraId="6ADCFB6E" w14:textId="31A894A8" w:rsidR="002C1EA2" w:rsidRDefault="002C1EA2" w:rsidP="003A2A52">
      <w:pPr>
        <w:pStyle w:val="ListParagraph"/>
        <w:spacing w:line="480" w:lineRule="auto"/>
        <w:ind w:left="0" w:hanging="142"/>
        <w:jc w:val="both"/>
        <w:rPr>
          <w:rFonts w:ascii="Arial" w:hAnsi="Arial" w:cs="Arial"/>
          <w:sz w:val="24"/>
          <w:szCs w:val="24"/>
          <w:lang w:val="en-US"/>
        </w:rPr>
      </w:pPr>
      <w:r w:rsidRPr="00D52D68">
        <w:rPr>
          <w:rFonts w:ascii="Arial" w:hAnsi="Arial" w:cs="Arial"/>
          <w:b/>
          <w:bCs/>
          <w:sz w:val="24"/>
          <w:szCs w:val="24"/>
          <w:lang w:val="en-US"/>
        </w:rPr>
        <w:t>Legal principles</w:t>
      </w:r>
    </w:p>
    <w:p w14:paraId="45B5A6E4" w14:textId="77777777" w:rsidR="002C1EA2" w:rsidRPr="002C1EA2" w:rsidRDefault="002C1EA2" w:rsidP="002C1EA2">
      <w:pPr>
        <w:pStyle w:val="ListParagraph"/>
        <w:rPr>
          <w:rFonts w:ascii="Arial" w:hAnsi="Arial" w:cs="Arial"/>
          <w:sz w:val="24"/>
          <w:szCs w:val="24"/>
          <w:lang w:val="en-US"/>
        </w:rPr>
      </w:pPr>
    </w:p>
    <w:p w14:paraId="3A9FC397" w14:textId="570B2FD6" w:rsidR="002C1EA2"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345F50" w:rsidRPr="004B2B30">
        <w:rPr>
          <w:rFonts w:ascii="Arial" w:hAnsi="Arial" w:cs="Arial"/>
          <w:sz w:val="24"/>
          <w:szCs w:val="24"/>
          <w:lang w:val="en-US"/>
        </w:rPr>
        <w:t xml:space="preserve">The </w:t>
      </w:r>
      <w:r w:rsidR="00A1651B" w:rsidRPr="004B2B30">
        <w:rPr>
          <w:rFonts w:ascii="Arial" w:hAnsi="Arial" w:cs="Arial"/>
          <w:sz w:val="24"/>
          <w:szCs w:val="24"/>
          <w:lang w:val="en-US"/>
        </w:rPr>
        <w:t xml:space="preserve">applicants brought this application </w:t>
      </w:r>
      <w:r w:rsidR="00FE0840" w:rsidRPr="004B2B30">
        <w:rPr>
          <w:rFonts w:ascii="Arial" w:hAnsi="Arial" w:cs="Arial"/>
          <w:sz w:val="24"/>
          <w:szCs w:val="24"/>
          <w:lang w:val="en-US"/>
        </w:rPr>
        <w:t xml:space="preserve">in an effort </w:t>
      </w:r>
      <w:r w:rsidR="002D4D29" w:rsidRPr="004B2B30">
        <w:rPr>
          <w:rFonts w:ascii="Arial" w:hAnsi="Arial" w:cs="Arial"/>
          <w:sz w:val="24"/>
          <w:szCs w:val="24"/>
          <w:lang w:val="en-US"/>
        </w:rPr>
        <w:t xml:space="preserve">to review and set aside two decisions </w:t>
      </w:r>
      <w:r w:rsidR="00F54E49" w:rsidRPr="004B2B30">
        <w:rPr>
          <w:rFonts w:ascii="Arial" w:hAnsi="Arial" w:cs="Arial"/>
          <w:sz w:val="24"/>
          <w:szCs w:val="24"/>
          <w:lang w:val="en-US"/>
        </w:rPr>
        <w:t>“</w:t>
      </w:r>
      <w:r w:rsidR="00987188" w:rsidRPr="004B2B30">
        <w:rPr>
          <w:rFonts w:ascii="Arial" w:hAnsi="Arial" w:cs="Arial"/>
          <w:i/>
          <w:iCs/>
          <w:sz w:val="24"/>
          <w:szCs w:val="24"/>
          <w:lang w:val="en-US"/>
        </w:rPr>
        <w:t>of the</w:t>
      </w:r>
      <w:r w:rsidR="002D4D29" w:rsidRPr="004B2B30">
        <w:rPr>
          <w:rFonts w:ascii="Arial" w:hAnsi="Arial" w:cs="Arial"/>
          <w:i/>
          <w:iCs/>
          <w:sz w:val="24"/>
          <w:szCs w:val="24"/>
          <w:lang w:val="en-US"/>
        </w:rPr>
        <w:t xml:space="preserve"> first and</w:t>
      </w:r>
      <w:r w:rsidR="00F54E49" w:rsidRPr="004B2B30">
        <w:rPr>
          <w:rFonts w:ascii="Arial" w:hAnsi="Arial" w:cs="Arial"/>
          <w:i/>
          <w:iCs/>
          <w:sz w:val="24"/>
          <w:szCs w:val="24"/>
          <w:lang w:val="en-US"/>
        </w:rPr>
        <w:t>/or</w:t>
      </w:r>
      <w:r w:rsidR="002D4D29" w:rsidRPr="004B2B30">
        <w:rPr>
          <w:rFonts w:ascii="Arial" w:hAnsi="Arial" w:cs="Arial"/>
          <w:i/>
          <w:iCs/>
          <w:sz w:val="24"/>
          <w:szCs w:val="24"/>
          <w:lang w:val="en-US"/>
        </w:rPr>
        <w:t xml:space="preserve"> second r</w:t>
      </w:r>
      <w:r w:rsidR="003C2A56" w:rsidRPr="004B2B30">
        <w:rPr>
          <w:rFonts w:ascii="Arial" w:hAnsi="Arial" w:cs="Arial"/>
          <w:i/>
          <w:iCs/>
          <w:sz w:val="24"/>
          <w:szCs w:val="24"/>
          <w:lang w:val="en-US"/>
        </w:rPr>
        <w:t>e</w:t>
      </w:r>
      <w:r w:rsidR="002D4D29" w:rsidRPr="004B2B30">
        <w:rPr>
          <w:rFonts w:ascii="Arial" w:hAnsi="Arial" w:cs="Arial"/>
          <w:i/>
          <w:iCs/>
          <w:sz w:val="24"/>
          <w:szCs w:val="24"/>
          <w:lang w:val="en-US"/>
        </w:rPr>
        <w:t>spondent</w:t>
      </w:r>
      <w:r w:rsidR="00F54E49" w:rsidRPr="004B2B30">
        <w:rPr>
          <w:rFonts w:ascii="Arial" w:hAnsi="Arial" w:cs="Arial"/>
          <w:sz w:val="24"/>
          <w:szCs w:val="24"/>
          <w:lang w:val="en-US"/>
        </w:rPr>
        <w:t>”</w:t>
      </w:r>
      <w:r w:rsidR="00226E87" w:rsidRPr="00D52D68">
        <w:rPr>
          <w:rStyle w:val="FootnoteReference"/>
          <w:rFonts w:ascii="Arial" w:hAnsi="Arial" w:cs="Arial"/>
          <w:sz w:val="24"/>
          <w:szCs w:val="24"/>
          <w:lang w:val="en-US"/>
        </w:rPr>
        <w:footnoteReference w:id="1"/>
      </w:r>
      <w:r w:rsidR="002D4D29" w:rsidRPr="004B2B30">
        <w:rPr>
          <w:rFonts w:ascii="Arial" w:hAnsi="Arial" w:cs="Arial"/>
          <w:sz w:val="24"/>
          <w:szCs w:val="24"/>
          <w:lang w:val="en-US"/>
        </w:rPr>
        <w:t xml:space="preserve"> </w:t>
      </w:r>
      <w:r w:rsidR="00FF054D" w:rsidRPr="004B2B30">
        <w:rPr>
          <w:rFonts w:ascii="Arial" w:hAnsi="Arial" w:cs="Arial"/>
          <w:sz w:val="24"/>
          <w:szCs w:val="24"/>
          <w:lang w:val="en-US"/>
        </w:rPr>
        <w:t xml:space="preserve">dated 12 June 2020 and </w:t>
      </w:r>
      <w:r w:rsidR="00584BF9" w:rsidRPr="004B2B30">
        <w:rPr>
          <w:rFonts w:ascii="Arial" w:hAnsi="Arial" w:cs="Arial"/>
          <w:sz w:val="24"/>
          <w:szCs w:val="24"/>
          <w:lang w:val="en-US"/>
        </w:rPr>
        <w:t xml:space="preserve">7 October 202 respectively, </w:t>
      </w:r>
      <w:r w:rsidR="001614C6" w:rsidRPr="004B2B30">
        <w:rPr>
          <w:rFonts w:ascii="Arial" w:hAnsi="Arial" w:cs="Arial"/>
          <w:sz w:val="24"/>
          <w:szCs w:val="24"/>
          <w:lang w:val="en-US"/>
        </w:rPr>
        <w:t>and also to review a</w:t>
      </w:r>
      <w:r w:rsidR="000A73BB" w:rsidRPr="004B2B30">
        <w:rPr>
          <w:rFonts w:ascii="Arial" w:hAnsi="Arial" w:cs="Arial"/>
          <w:sz w:val="24"/>
          <w:szCs w:val="24"/>
          <w:lang w:val="en-US"/>
        </w:rPr>
        <w:t>n</w:t>
      </w:r>
      <w:r w:rsidR="001614C6" w:rsidRPr="004B2B30">
        <w:rPr>
          <w:rFonts w:ascii="Arial" w:hAnsi="Arial" w:cs="Arial"/>
          <w:sz w:val="24"/>
          <w:szCs w:val="24"/>
          <w:lang w:val="en-US"/>
        </w:rPr>
        <w:t>d set aside the decision of the adjudicator</w:t>
      </w:r>
      <w:r w:rsidR="0063212A" w:rsidRPr="004B2B30">
        <w:rPr>
          <w:rFonts w:ascii="Arial" w:hAnsi="Arial" w:cs="Arial"/>
          <w:sz w:val="24"/>
          <w:szCs w:val="24"/>
          <w:lang w:val="en-US"/>
        </w:rPr>
        <w:t xml:space="preserve"> in dismissing the applicants’ complaint.</w:t>
      </w:r>
      <w:r w:rsidR="00AE1478" w:rsidRPr="004B2B30">
        <w:rPr>
          <w:rFonts w:ascii="Arial" w:hAnsi="Arial" w:cs="Arial"/>
          <w:sz w:val="24"/>
          <w:szCs w:val="24"/>
          <w:lang w:val="en-US"/>
        </w:rPr>
        <w:t xml:space="preserve"> </w:t>
      </w:r>
      <w:r w:rsidR="00C7738E" w:rsidRPr="004B2B30">
        <w:rPr>
          <w:rFonts w:ascii="Arial" w:hAnsi="Arial" w:cs="Arial"/>
          <w:sz w:val="24"/>
          <w:szCs w:val="24"/>
          <w:lang w:val="en-US"/>
        </w:rPr>
        <w:t xml:space="preserve">The application </w:t>
      </w:r>
      <w:r w:rsidR="00AE1478" w:rsidRPr="004B2B30">
        <w:rPr>
          <w:rFonts w:ascii="Arial" w:hAnsi="Arial" w:cs="Arial"/>
          <w:sz w:val="24"/>
          <w:szCs w:val="24"/>
          <w:lang w:val="en-US"/>
        </w:rPr>
        <w:t>was instituted</w:t>
      </w:r>
      <w:r w:rsidR="00C7738E" w:rsidRPr="004B2B30">
        <w:rPr>
          <w:rFonts w:ascii="Arial" w:hAnsi="Arial" w:cs="Arial"/>
          <w:sz w:val="24"/>
          <w:szCs w:val="24"/>
          <w:lang w:val="en-US"/>
        </w:rPr>
        <w:t xml:space="preserve"> in terms of the Promotion </w:t>
      </w:r>
      <w:r w:rsidR="00AE1478" w:rsidRPr="004B2B30">
        <w:rPr>
          <w:rFonts w:ascii="Arial" w:hAnsi="Arial" w:cs="Arial"/>
          <w:sz w:val="24"/>
          <w:szCs w:val="24"/>
          <w:lang w:val="en-US"/>
        </w:rPr>
        <w:t xml:space="preserve">of Administrative </w:t>
      </w:r>
      <w:r w:rsidR="003B4A1B" w:rsidRPr="004B2B30">
        <w:rPr>
          <w:rFonts w:ascii="Arial" w:hAnsi="Arial" w:cs="Arial"/>
          <w:sz w:val="24"/>
          <w:szCs w:val="24"/>
          <w:lang w:val="en-US"/>
        </w:rPr>
        <w:t xml:space="preserve">Justice Act 3 of 2000 (“PAJA”), alternatively the common law, as well as in terms of section 30P of the Act. </w:t>
      </w:r>
    </w:p>
    <w:p w14:paraId="6400E32C" w14:textId="77777777" w:rsidR="002C1EA2" w:rsidRPr="002C1EA2" w:rsidRDefault="002C1EA2" w:rsidP="002C1EA2">
      <w:pPr>
        <w:pStyle w:val="ListParagraph"/>
        <w:spacing w:line="480" w:lineRule="auto"/>
        <w:ind w:left="0"/>
        <w:jc w:val="both"/>
        <w:rPr>
          <w:rFonts w:ascii="Arial" w:hAnsi="Arial" w:cs="Arial"/>
          <w:sz w:val="24"/>
          <w:szCs w:val="24"/>
          <w:lang w:val="en-US"/>
        </w:rPr>
      </w:pPr>
    </w:p>
    <w:p w14:paraId="4976F968" w14:textId="6D75F1D5" w:rsidR="00FD77C3"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AD6734" w:rsidRPr="004B2B30">
        <w:rPr>
          <w:rFonts w:ascii="Arial" w:hAnsi="Arial" w:cs="Arial"/>
          <w:sz w:val="24"/>
          <w:szCs w:val="24"/>
          <w:lang w:val="en-US"/>
        </w:rPr>
        <w:t>Counsel for the respondents</w:t>
      </w:r>
      <w:r w:rsidR="00795D75" w:rsidRPr="004B2B30">
        <w:rPr>
          <w:rFonts w:ascii="Arial" w:hAnsi="Arial" w:cs="Arial"/>
          <w:sz w:val="24"/>
          <w:szCs w:val="24"/>
          <w:lang w:val="en-US"/>
        </w:rPr>
        <w:t xml:space="preserve"> </w:t>
      </w:r>
      <w:r w:rsidR="00A536CE" w:rsidRPr="004B2B30">
        <w:rPr>
          <w:rFonts w:ascii="Arial" w:hAnsi="Arial" w:cs="Arial"/>
          <w:sz w:val="24"/>
          <w:szCs w:val="24"/>
          <w:lang w:val="en-US"/>
        </w:rPr>
        <w:t xml:space="preserve">pointed out that the first decision of the </w:t>
      </w:r>
      <w:r w:rsidR="00A3039D" w:rsidRPr="004B2B30">
        <w:rPr>
          <w:rFonts w:ascii="Arial" w:hAnsi="Arial" w:cs="Arial"/>
          <w:sz w:val="24"/>
          <w:szCs w:val="24"/>
          <w:lang w:val="en-US"/>
        </w:rPr>
        <w:t>first respondent</w:t>
      </w:r>
      <w:r w:rsidR="007B0CC9" w:rsidRPr="004B2B30">
        <w:rPr>
          <w:rFonts w:ascii="Arial" w:hAnsi="Arial" w:cs="Arial"/>
          <w:sz w:val="24"/>
          <w:szCs w:val="24"/>
          <w:lang w:val="en-US"/>
        </w:rPr>
        <w:t>, which was a preliminary decision</w:t>
      </w:r>
      <w:r w:rsidR="008A6633" w:rsidRPr="004B2B30">
        <w:rPr>
          <w:rFonts w:ascii="Arial" w:hAnsi="Arial" w:cs="Arial"/>
          <w:sz w:val="24"/>
          <w:szCs w:val="24"/>
          <w:lang w:val="en-US"/>
        </w:rPr>
        <w:t xml:space="preserve"> dated 12 June 2020</w:t>
      </w:r>
      <w:r w:rsidR="007B0CC9" w:rsidRPr="004B2B30">
        <w:rPr>
          <w:rFonts w:ascii="Arial" w:hAnsi="Arial" w:cs="Arial"/>
          <w:sz w:val="24"/>
          <w:szCs w:val="24"/>
          <w:lang w:val="en-US"/>
        </w:rPr>
        <w:t xml:space="preserve">, is irrelevant </w:t>
      </w:r>
      <w:r w:rsidR="00542642" w:rsidRPr="004B2B30">
        <w:rPr>
          <w:rFonts w:ascii="Arial" w:hAnsi="Arial" w:cs="Arial"/>
          <w:sz w:val="24"/>
          <w:szCs w:val="24"/>
          <w:lang w:val="en-US"/>
        </w:rPr>
        <w:t xml:space="preserve">and </w:t>
      </w:r>
      <w:r w:rsidR="008A6633" w:rsidRPr="004B2B30">
        <w:rPr>
          <w:rFonts w:ascii="Arial" w:hAnsi="Arial" w:cs="Arial"/>
          <w:sz w:val="24"/>
          <w:szCs w:val="24"/>
          <w:lang w:val="en-US"/>
        </w:rPr>
        <w:t xml:space="preserve">has no direct external effect. </w:t>
      </w:r>
      <w:r w:rsidR="00A83C0B" w:rsidRPr="004B2B30">
        <w:rPr>
          <w:rFonts w:ascii="Arial" w:hAnsi="Arial" w:cs="Arial"/>
          <w:sz w:val="24"/>
          <w:szCs w:val="24"/>
          <w:lang w:val="en-US"/>
        </w:rPr>
        <w:t xml:space="preserve">For the purposes of this application </w:t>
      </w:r>
      <w:r w:rsidR="00372455" w:rsidRPr="004B2B30">
        <w:rPr>
          <w:rFonts w:ascii="Arial" w:hAnsi="Arial" w:cs="Arial"/>
          <w:sz w:val="24"/>
          <w:szCs w:val="24"/>
          <w:lang w:val="en-US"/>
        </w:rPr>
        <w:t xml:space="preserve">only the second decision, dated 7 October </w:t>
      </w:r>
      <w:r w:rsidR="009F4E78" w:rsidRPr="004B2B30">
        <w:rPr>
          <w:rFonts w:ascii="Arial" w:hAnsi="Arial" w:cs="Arial"/>
          <w:sz w:val="24"/>
          <w:szCs w:val="24"/>
          <w:lang w:val="en-US"/>
        </w:rPr>
        <w:t>2020</w:t>
      </w:r>
      <w:r w:rsidR="00AA20C3" w:rsidRPr="004B2B30">
        <w:rPr>
          <w:rFonts w:ascii="Arial" w:hAnsi="Arial" w:cs="Arial"/>
          <w:sz w:val="24"/>
          <w:szCs w:val="24"/>
          <w:lang w:val="en-US"/>
        </w:rPr>
        <w:t>,</w:t>
      </w:r>
      <w:r w:rsidR="009F4E78" w:rsidRPr="004B2B30">
        <w:rPr>
          <w:rFonts w:ascii="Arial" w:hAnsi="Arial" w:cs="Arial"/>
          <w:sz w:val="24"/>
          <w:szCs w:val="24"/>
          <w:lang w:val="en-US"/>
        </w:rPr>
        <w:t xml:space="preserve"> </w:t>
      </w:r>
      <w:r w:rsidR="00A83C0B" w:rsidRPr="004B2B30">
        <w:rPr>
          <w:rFonts w:ascii="Arial" w:hAnsi="Arial" w:cs="Arial"/>
          <w:sz w:val="24"/>
          <w:szCs w:val="24"/>
          <w:lang w:val="en-US"/>
        </w:rPr>
        <w:t xml:space="preserve">is </w:t>
      </w:r>
      <w:r w:rsidR="002A6F15" w:rsidRPr="004B2B30">
        <w:rPr>
          <w:rFonts w:ascii="Arial" w:hAnsi="Arial" w:cs="Arial"/>
          <w:sz w:val="24"/>
          <w:szCs w:val="24"/>
          <w:lang w:val="en-US"/>
        </w:rPr>
        <w:t>relevant</w:t>
      </w:r>
      <w:r w:rsidR="00A83C0B" w:rsidRPr="004B2B30">
        <w:rPr>
          <w:rFonts w:ascii="Arial" w:hAnsi="Arial" w:cs="Arial"/>
          <w:sz w:val="24"/>
          <w:szCs w:val="24"/>
          <w:lang w:val="en-US"/>
        </w:rPr>
        <w:t>.</w:t>
      </w:r>
      <w:r w:rsidR="00BB632A" w:rsidRPr="004B2B30">
        <w:rPr>
          <w:rFonts w:ascii="Arial" w:hAnsi="Arial" w:cs="Arial"/>
          <w:sz w:val="24"/>
          <w:szCs w:val="24"/>
          <w:lang w:val="en-US"/>
        </w:rPr>
        <w:t xml:space="preserve"> </w:t>
      </w:r>
      <w:r w:rsidR="000A73BB" w:rsidRPr="004B2B30">
        <w:rPr>
          <w:rFonts w:ascii="Arial" w:hAnsi="Arial" w:cs="Arial"/>
          <w:sz w:val="24"/>
          <w:szCs w:val="24"/>
          <w:lang w:val="en-US"/>
        </w:rPr>
        <w:t>In terms of b</w:t>
      </w:r>
      <w:r w:rsidR="00BB632A" w:rsidRPr="004B2B30">
        <w:rPr>
          <w:rFonts w:ascii="Arial" w:hAnsi="Arial" w:cs="Arial"/>
          <w:sz w:val="24"/>
          <w:szCs w:val="24"/>
          <w:lang w:val="en-US"/>
        </w:rPr>
        <w:t xml:space="preserve">oth these decision </w:t>
      </w:r>
      <w:r w:rsidR="000A73BB" w:rsidRPr="004B2B30">
        <w:rPr>
          <w:rFonts w:ascii="Arial" w:hAnsi="Arial" w:cs="Arial"/>
          <w:sz w:val="24"/>
          <w:szCs w:val="24"/>
          <w:lang w:val="en-US"/>
        </w:rPr>
        <w:t>the entire death benefit was allocated to Auret.</w:t>
      </w:r>
    </w:p>
    <w:p w14:paraId="2775A292" w14:textId="77777777" w:rsidR="002C1EA2" w:rsidRPr="002C1EA2" w:rsidRDefault="002C1EA2" w:rsidP="002C1EA2">
      <w:pPr>
        <w:pStyle w:val="ListParagraph"/>
        <w:rPr>
          <w:rFonts w:ascii="Arial" w:hAnsi="Arial" w:cs="Arial"/>
          <w:sz w:val="24"/>
          <w:szCs w:val="24"/>
          <w:lang w:val="en-US"/>
        </w:rPr>
      </w:pPr>
    </w:p>
    <w:p w14:paraId="6C7E73DA" w14:textId="4A7E978D" w:rsidR="002C1EA2" w:rsidRPr="002C1EA2" w:rsidRDefault="002C1EA2" w:rsidP="002C1EA2">
      <w:pPr>
        <w:spacing w:line="480" w:lineRule="auto"/>
        <w:ind w:hanging="142"/>
        <w:jc w:val="both"/>
        <w:rPr>
          <w:rFonts w:ascii="Arial" w:hAnsi="Arial" w:cs="Arial"/>
          <w:b/>
          <w:bCs/>
          <w:sz w:val="24"/>
          <w:szCs w:val="24"/>
          <w:lang w:val="en-US"/>
        </w:rPr>
      </w:pPr>
      <w:r w:rsidRPr="00D52D68">
        <w:rPr>
          <w:rFonts w:ascii="Arial" w:hAnsi="Arial" w:cs="Arial"/>
          <w:b/>
          <w:bCs/>
          <w:sz w:val="24"/>
          <w:szCs w:val="24"/>
          <w:lang w:val="en-US"/>
        </w:rPr>
        <w:t xml:space="preserve">Preliminary points raised by the </w:t>
      </w:r>
      <w:r w:rsidR="00127B52">
        <w:rPr>
          <w:rFonts w:ascii="Arial" w:hAnsi="Arial" w:cs="Arial"/>
          <w:b/>
          <w:bCs/>
          <w:sz w:val="24"/>
          <w:szCs w:val="24"/>
          <w:lang w:val="en-US"/>
        </w:rPr>
        <w:t>first respondent</w:t>
      </w:r>
    </w:p>
    <w:p w14:paraId="0F23DC26" w14:textId="77777777" w:rsidR="002C1EA2" w:rsidRPr="002C1EA2" w:rsidRDefault="002C1EA2" w:rsidP="002C1EA2">
      <w:pPr>
        <w:pStyle w:val="ListParagraph"/>
        <w:rPr>
          <w:rFonts w:ascii="Arial" w:hAnsi="Arial" w:cs="Arial"/>
          <w:sz w:val="24"/>
          <w:szCs w:val="24"/>
          <w:lang w:val="en-US"/>
        </w:rPr>
      </w:pPr>
    </w:p>
    <w:p w14:paraId="244A3833" w14:textId="0EFBFA6C" w:rsidR="00FD77C3"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lastRenderedPageBreak/>
        <w:t>[13]</w:t>
      </w:r>
      <w:r>
        <w:rPr>
          <w:rFonts w:ascii="Arial" w:hAnsi="Arial" w:cs="Arial"/>
          <w:sz w:val="24"/>
          <w:szCs w:val="24"/>
          <w:lang w:val="en-US"/>
        </w:rPr>
        <w:tab/>
      </w:r>
      <w:r w:rsidR="00682478" w:rsidRPr="004B2B30">
        <w:rPr>
          <w:rFonts w:ascii="Arial" w:hAnsi="Arial" w:cs="Arial"/>
          <w:sz w:val="24"/>
          <w:szCs w:val="24"/>
          <w:lang w:val="en-US"/>
        </w:rPr>
        <w:t xml:space="preserve">Furthermore, counsel for the </w:t>
      </w:r>
      <w:r w:rsidR="00127B52" w:rsidRPr="004B2B30">
        <w:rPr>
          <w:rFonts w:ascii="Arial" w:hAnsi="Arial" w:cs="Arial"/>
          <w:sz w:val="24"/>
          <w:szCs w:val="24"/>
          <w:lang w:val="en-US"/>
        </w:rPr>
        <w:t xml:space="preserve">first </w:t>
      </w:r>
      <w:r w:rsidR="00682478" w:rsidRPr="004B2B30">
        <w:rPr>
          <w:rFonts w:ascii="Arial" w:hAnsi="Arial" w:cs="Arial"/>
          <w:sz w:val="24"/>
          <w:szCs w:val="24"/>
          <w:lang w:val="en-US"/>
        </w:rPr>
        <w:t xml:space="preserve">respondent pointed out that the decisions of the first </w:t>
      </w:r>
      <w:r w:rsidR="00631627" w:rsidRPr="004B2B30">
        <w:rPr>
          <w:rFonts w:ascii="Arial" w:hAnsi="Arial" w:cs="Arial"/>
          <w:sz w:val="24"/>
          <w:szCs w:val="24"/>
          <w:lang w:val="en-US"/>
        </w:rPr>
        <w:t xml:space="preserve">and second respondents are </w:t>
      </w:r>
      <w:r w:rsidR="00631627" w:rsidRPr="004B2B30">
        <w:rPr>
          <w:rFonts w:ascii="Arial" w:hAnsi="Arial" w:cs="Arial"/>
          <w:i/>
          <w:iCs/>
          <w:sz w:val="24"/>
          <w:szCs w:val="24"/>
          <w:lang w:val="en-US"/>
        </w:rPr>
        <w:t xml:space="preserve">res </w:t>
      </w:r>
      <w:r w:rsidR="001B3A87" w:rsidRPr="004B2B30">
        <w:rPr>
          <w:rFonts w:ascii="Arial" w:hAnsi="Arial" w:cs="Arial"/>
          <w:i/>
          <w:iCs/>
          <w:sz w:val="24"/>
          <w:szCs w:val="24"/>
          <w:lang w:val="en-US"/>
        </w:rPr>
        <w:t>judicata</w:t>
      </w:r>
      <w:r w:rsidR="001B3A87" w:rsidRPr="004B2B30">
        <w:rPr>
          <w:rFonts w:ascii="Arial" w:hAnsi="Arial" w:cs="Arial"/>
          <w:sz w:val="24"/>
          <w:szCs w:val="24"/>
          <w:lang w:val="en-US"/>
        </w:rPr>
        <w:t xml:space="preserve"> because these decisions have been</w:t>
      </w:r>
      <w:r w:rsidR="00C76DAF" w:rsidRPr="004B2B30">
        <w:rPr>
          <w:rFonts w:ascii="Arial" w:hAnsi="Arial" w:cs="Arial"/>
          <w:sz w:val="24"/>
          <w:szCs w:val="24"/>
          <w:lang w:val="en-US"/>
        </w:rPr>
        <w:t xml:space="preserve"> </w:t>
      </w:r>
      <w:r w:rsidR="001B3A87" w:rsidRPr="004B2B30">
        <w:rPr>
          <w:rFonts w:ascii="Arial" w:hAnsi="Arial" w:cs="Arial"/>
          <w:sz w:val="24"/>
          <w:szCs w:val="24"/>
          <w:lang w:val="en-US"/>
        </w:rPr>
        <w:t xml:space="preserve">adjudicated </w:t>
      </w:r>
      <w:r w:rsidR="00B5267F" w:rsidRPr="004B2B30">
        <w:rPr>
          <w:rFonts w:ascii="Arial" w:hAnsi="Arial" w:cs="Arial"/>
          <w:sz w:val="24"/>
          <w:szCs w:val="24"/>
          <w:lang w:val="en-US"/>
        </w:rPr>
        <w:t xml:space="preserve">by a competent tribunal in the form of the adjudicator. </w:t>
      </w:r>
      <w:r w:rsidR="008B120F" w:rsidRPr="004B2B30">
        <w:rPr>
          <w:rFonts w:ascii="Arial" w:hAnsi="Arial" w:cs="Arial"/>
          <w:sz w:val="24"/>
          <w:szCs w:val="24"/>
          <w:lang w:val="en-US"/>
        </w:rPr>
        <w:t>In this regard, reference was made to section 30</w:t>
      </w:r>
      <w:r w:rsidR="00A83C0B" w:rsidRPr="004B2B30">
        <w:rPr>
          <w:rFonts w:ascii="Arial" w:hAnsi="Arial" w:cs="Arial"/>
          <w:sz w:val="24"/>
          <w:szCs w:val="24"/>
          <w:lang w:val="en-US"/>
        </w:rPr>
        <w:t xml:space="preserve"> </w:t>
      </w:r>
      <w:r w:rsidR="00127B52" w:rsidRPr="004B2B30">
        <w:rPr>
          <w:rFonts w:ascii="Arial" w:hAnsi="Arial" w:cs="Arial"/>
          <w:sz w:val="24"/>
          <w:szCs w:val="24"/>
          <w:lang w:val="en-US"/>
        </w:rPr>
        <w:t>O</w:t>
      </w:r>
      <w:r w:rsidR="007F6A46" w:rsidRPr="004B2B30">
        <w:rPr>
          <w:rFonts w:ascii="Arial" w:hAnsi="Arial" w:cs="Arial"/>
          <w:sz w:val="24"/>
          <w:szCs w:val="24"/>
          <w:lang w:val="en-US"/>
        </w:rPr>
        <w:t>(1) of the Act which provides:</w:t>
      </w:r>
    </w:p>
    <w:p w14:paraId="4A37BC96" w14:textId="77777777" w:rsidR="007E38B8" w:rsidRDefault="007E38B8" w:rsidP="007E38B8">
      <w:pPr>
        <w:pStyle w:val="ListParagraph"/>
        <w:spacing w:line="480" w:lineRule="auto"/>
        <w:ind w:left="0"/>
        <w:jc w:val="both"/>
        <w:rPr>
          <w:rFonts w:ascii="Arial" w:hAnsi="Arial" w:cs="Arial"/>
          <w:sz w:val="24"/>
          <w:szCs w:val="24"/>
          <w:lang w:val="en-US"/>
        </w:rPr>
      </w:pPr>
    </w:p>
    <w:p w14:paraId="1E1EDA21" w14:textId="77777777" w:rsidR="007E38B8" w:rsidRPr="00D52D68" w:rsidRDefault="007E38B8" w:rsidP="007E38B8">
      <w:pPr>
        <w:pStyle w:val="ListParagraph"/>
        <w:spacing w:line="480" w:lineRule="auto"/>
        <w:ind w:left="360"/>
        <w:jc w:val="both"/>
        <w:rPr>
          <w:rFonts w:ascii="Arial" w:hAnsi="Arial" w:cs="Arial"/>
          <w:sz w:val="24"/>
          <w:szCs w:val="24"/>
          <w:lang w:val="en-US"/>
        </w:rPr>
      </w:pPr>
      <w:r w:rsidRPr="00D52D68">
        <w:rPr>
          <w:rFonts w:ascii="Arial" w:hAnsi="Arial" w:cs="Arial"/>
          <w:sz w:val="24"/>
          <w:szCs w:val="24"/>
          <w:lang w:val="en-US"/>
        </w:rPr>
        <w:t>“</w:t>
      </w:r>
      <w:r w:rsidRPr="00D52D68">
        <w:rPr>
          <w:rFonts w:ascii="Arial" w:hAnsi="Arial" w:cs="Arial"/>
          <w:i/>
          <w:iCs/>
          <w:sz w:val="24"/>
          <w:szCs w:val="24"/>
          <w:lang w:val="en-GB"/>
        </w:rPr>
        <w:t>Any determination of the Adjudicator shall be deemed to be a civil judgement of any court of law had the matter in question been heard by such court, and shall be so noted by the clerk of the register of the court, as the case maybe.</w:t>
      </w:r>
      <w:r w:rsidRPr="00D52D68">
        <w:rPr>
          <w:rFonts w:ascii="Arial" w:hAnsi="Arial" w:cs="Arial"/>
          <w:sz w:val="24"/>
          <w:szCs w:val="24"/>
          <w:lang w:val="en-GB"/>
        </w:rPr>
        <w:t>”</w:t>
      </w:r>
    </w:p>
    <w:p w14:paraId="211E382D" w14:textId="02D37F06" w:rsidR="002C1EA2" w:rsidRDefault="002C1EA2" w:rsidP="002C1EA2">
      <w:pPr>
        <w:pStyle w:val="ListParagraph"/>
        <w:spacing w:line="480" w:lineRule="auto"/>
        <w:ind w:left="0"/>
        <w:jc w:val="both"/>
        <w:rPr>
          <w:rFonts w:ascii="Arial" w:hAnsi="Arial" w:cs="Arial"/>
          <w:sz w:val="24"/>
          <w:szCs w:val="24"/>
          <w:lang w:val="en-US"/>
        </w:rPr>
      </w:pPr>
    </w:p>
    <w:p w14:paraId="5CED9CA2" w14:textId="318E349C" w:rsidR="00FD77C3" w:rsidRPr="004B2B30" w:rsidRDefault="004B2B30" w:rsidP="004B2B30">
      <w:pPr>
        <w:spacing w:line="480" w:lineRule="auto"/>
        <w:ind w:left="360" w:hanging="36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FA1979" w:rsidRPr="004B2B30">
        <w:rPr>
          <w:rFonts w:ascii="Arial" w:hAnsi="Arial" w:cs="Arial"/>
          <w:sz w:val="24"/>
          <w:szCs w:val="24"/>
          <w:lang w:val="en-US"/>
        </w:rPr>
        <w:t xml:space="preserve">The effect </w:t>
      </w:r>
      <w:r w:rsidR="00877098" w:rsidRPr="004B2B30">
        <w:rPr>
          <w:rFonts w:ascii="Arial" w:hAnsi="Arial" w:cs="Arial"/>
          <w:sz w:val="24"/>
          <w:szCs w:val="24"/>
          <w:lang w:val="en-US"/>
        </w:rPr>
        <w:t>of section 30</w:t>
      </w:r>
      <w:r w:rsidR="00A83C0B" w:rsidRPr="004B2B30">
        <w:rPr>
          <w:rFonts w:ascii="Arial" w:hAnsi="Arial" w:cs="Arial"/>
          <w:sz w:val="24"/>
          <w:szCs w:val="24"/>
          <w:lang w:val="en-US"/>
        </w:rPr>
        <w:t xml:space="preserve"> </w:t>
      </w:r>
      <w:r w:rsidR="00127B52" w:rsidRPr="004B2B30">
        <w:rPr>
          <w:rFonts w:ascii="Arial" w:hAnsi="Arial" w:cs="Arial"/>
          <w:sz w:val="24"/>
          <w:szCs w:val="24"/>
          <w:lang w:val="en-US"/>
        </w:rPr>
        <w:t>O</w:t>
      </w:r>
      <w:r w:rsidR="00A557EC" w:rsidRPr="004B2B30">
        <w:rPr>
          <w:rFonts w:ascii="Arial" w:hAnsi="Arial" w:cs="Arial"/>
          <w:sz w:val="24"/>
          <w:szCs w:val="24"/>
          <w:lang w:val="en-US"/>
        </w:rPr>
        <w:t>(1)</w:t>
      </w:r>
      <w:r w:rsidR="00877098" w:rsidRPr="004B2B30">
        <w:rPr>
          <w:rFonts w:ascii="Arial" w:hAnsi="Arial" w:cs="Arial"/>
          <w:sz w:val="24"/>
          <w:szCs w:val="24"/>
          <w:lang w:val="en-US"/>
        </w:rPr>
        <w:t xml:space="preserve">, therefore, is that the adjudicator’s </w:t>
      </w:r>
      <w:r w:rsidR="00313C76" w:rsidRPr="004B2B30">
        <w:rPr>
          <w:rFonts w:ascii="Arial" w:hAnsi="Arial" w:cs="Arial"/>
          <w:sz w:val="24"/>
          <w:szCs w:val="24"/>
          <w:lang w:val="en-US"/>
        </w:rPr>
        <w:t xml:space="preserve">determination is binding and enforceable </w:t>
      </w:r>
      <w:r w:rsidR="009D56D6" w:rsidRPr="004B2B30">
        <w:rPr>
          <w:rFonts w:ascii="Arial" w:hAnsi="Arial" w:cs="Arial"/>
          <w:sz w:val="24"/>
          <w:szCs w:val="24"/>
          <w:lang w:val="en-US"/>
        </w:rPr>
        <w:t>until set aside, and the attempt to review the first and second</w:t>
      </w:r>
      <w:r w:rsidR="00A62773" w:rsidRPr="004B2B30">
        <w:rPr>
          <w:rFonts w:ascii="Arial" w:hAnsi="Arial" w:cs="Arial"/>
          <w:sz w:val="24"/>
          <w:szCs w:val="24"/>
          <w:lang w:val="en-US"/>
        </w:rPr>
        <w:t xml:space="preserve"> respondent’s decisions is futile.</w:t>
      </w:r>
    </w:p>
    <w:p w14:paraId="1DF6D654" w14:textId="77777777" w:rsidR="002C1EA2" w:rsidRPr="002C1EA2" w:rsidRDefault="002C1EA2" w:rsidP="002C1EA2">
      <w:pPr>
        <w:pStyle w:val="ListParagraph"/>
        <w:rPr>
          <w:rFonts w:ascii="Arial" w:hAnsi="Arial" w:cs="Arial"/>
          <w:sz w:val="24"/>
          <w:szCs w:val="24"/>
          <w:lang w:val="en-US"/>
        </w:rPr>
      </w:pPr>
    </w:p>
    <w:p w14:paraId="6570804E" w14:textId="0479BDB5" w:rsidR="00B14FF4"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621E26" w:rsidRPr="004B2B30">
        <w:rPr>
          <w:rFonts w:ascii="Arial" w:hAnsi="Arial" w:cs="Arial"/>
          <w:sz w:val="24"/>
          <w:szCs w:val="24"/>
          <w:lang w:val="en-US"/>
        </w:rPr>
        <w:t xml:space="preserve">Counsel for the respondents also drew attention to </w:t>
      </w:r>
      <w:r w:rsidR="00160D39" w:rsidRPr="004B2B30">
        <w:rPr>
          <w:rFonts w:ascii="Arial" w:hAnsi="Arial" w:cs="Arial"/>
          <w:sz w:val="24"/>
          <w:szCs w:val="24"/>
          <w:lang w:val="en-US"/>
        </w:rPr>
        <w:t xml:space="preserve">section 230 of the Financial </w:t>
      </w:r>
      <w:r w:rsidR="00F01BD3" w:rsidRPr="004B2B30">
        <w:rPr>
          <w:rFonts w:ascii="Arial" w:hAnsi="Arial" w:cs="Arial"/>
          <w:sz w:val="24"/>
          <w:szCs w:val="24"/>
          <w:lang w:val="en-US"/>
        </w:rPr>
        <w:t>Sector Regulation Act 9 of 2017</w:t>
      </w:r>
      <w:r w:rsidR="00001B60" w:rsidRPr="004B2B30">
        <w:rPr>
          <w:rFonts w:ascii="Arial" w:hAnsi="Arial" w:cs="Arial"/>
          <w:sz w:val="24"/>
          <w:szCs w:val="24"/>
          <w:lang w:val="en-US"/>
        </w:rPr>
        <w:t xml:space="preserve"> (“the F</w:t>
      </w:r>
      <w:r w:rsidR="00CB4E60" w:rsidRPr="004B2B30">
        <w:rPr>
          <w:rFonts w:ascii="Arial" w:hAnsi="Arial" w:cs="Arial"/>
          <w:sz w:val="24"/>
          <w:szCs w:val="24"/>
          <w:lang w:val="en-US"/>
        </w:rPr>
        <w:t>SR Act”)</w:t>
      </w:r>
      <w:r w:rsidR="00F01BD3" w:rsidRPr="004B2B30">
        <w:rPr>
          <w:rFonts w:ascii="Arial" w:hAnsi="Arial" w:cs="Arial"/>
          <w:sz w:val="24"/>
          <w:szCs w:val="24"/>
          <w:lang w:val="en-US"/>
        </w:rPr>
        <w:t xml:space="preserve">, </w:t>
      </w:r>
      <w:r w:rsidR="00B26E4A" w:rsidRPr="004B2B30">
        <w:rPr>
          <w:rFonts w:ascii="Arial" w:hAnsi="Arial" w:cs="Arial"/>
          <w:sz w:val="24"/>
          <w:szCs w:val="24"/>
          <w:lang w:val="en-US"/>
        </w:rPr>
        <w:t>the relevant portion of which</w:t>
      </w:r>
      <w:r w:rsidR="00CA139A" w:rsidRPr="004B2B30">
        <w:rPr>
          <w:rFonts w:ascii="Arial" w:hAnsi="Arial" w:cs="Arial"/>
          <w:sz w:val="24"/>
          <w:szCs w:val="24"/>
          <w:lang w:val="en-US"/>
        </w:rPr>
        <w:t xml:space="preserve"> provides</w:t>
      </w:r>
      <w:r w:rsidR="00B26E4A" w:rsidRPr="004B2B30">
        <w:rPr>
          <w:rFonts w:ascii="Arial" w:hAnsi="Arial" w:cs="Arial"/>
          <w:sz w:val="24"/>
          <w:szCs w:val="24"/>
          <w:lang w:val="en-US"/>
        </w:rPr>
        <w:t>:</w:t>
      </w:r>
    </w:p>
    <w:p w14:paraId="3AF663B5" w14:textId="77777777" w:rsidR="002C1EA2" w:rsidRDefault="002C1EA2" w:rsidP="002C1EA2">
      <w:pPr>
        <w:pStyle w:val="ListParagraph"/>
        <w:spacing w:line="480" w:lineRule="auto"/>
        <w:ind w:left="360"/>
        <w:jc w:val="both"/>
        <w:rPr>
          <w:rFonts w:ascii="Arial" w:hAnsi="Arial" w:cs="Arial"/>
          <w:sz w:val="24"/>
          <w:szCs w:val="24"/>
        </w:rPr>
      </w:pPr>
    </w:p>
    <w:p w14:paraId="5CD823AD" w14:textId="56955BFA" w:rsidR="002C1EA2" w:rsidRPr="00D52D68" w:rsidRDefault="002C1EA2" w:rsidP="002C1EA2">
      <w:pPr>
        <w:pStyle w:val="ListParagraph"/>
        <w:spacing w:line="480" w:lineRule="auto"/>
        <w:ind w:left="360"/>
        <w:jc w:val="both"/>
        <w:rPr>
          <w:rFonts w:ascii="Arial" w:hAnsi="Arial" w:cs="Arial"/>
          <w:i/>
          <w:iCs/>
          <w:sz w:val="24"/>
          <w:szCs w:val="24"/>
        </w:rPr>
      </w:pPr>
      <w:r w:rsidRPr="00D52D68">
        <w:rPr>
          <w:rFonts w:ascii="Arial" w:hAnsi="Arial" w:cs="Arial"/>
          <w:sz w:val="24"/>
          <w:szCs w:val="24"/>
        </w:rPr>
        <w:t>“</w:t>
      </w:r>
      <w:r w:rsidRPr="00D52D68">
        <w:rPr>
          <w:rFonts w:ascii="Arial" w:hAnsi="Arial" w:cs="Arial"/>
          <w:i/>
          <w:iCs/>
          <w:sz w:val="24"/>
          <w:szCs w:val="24"/>
        </w:rPr>
        <w:t xml:space="preserve">(1) (a) A person aggrieved by a decision may apply to the Tribunal for a reconsideration of the decision by the Tribunal in accordance with this Part. </w:t>
      </w:r>
    </w:p>
    <w:p w14:paraId="1B9F4E7F" w14:textId="50FF5278" w:rsidR="002C1EA2" w:rsidRDefault="00C76DAF" w:rsidP="002C1EA2">
      <w:pPr>
        <w:pStyle w:val="ListParagraph"/>
        <w:spacing w:line="480" w:lineRule="auto"/>
        <w:ind w:left="360"/>
        <w:jc w:val="both"/>
        <w:rPr>
          <w:rFonts w:ascii="Arial" w:hAnsi="Arial" w:cs="Arial"/>
          <w:sz w:val="24"/>
          <w:szCs w:val="24"/>
        </w:rPr>
      </w:pPr>
      <w:r w:rsidRPr="00D52D68">
        <w:rPr>
          <w:rFonts w:ascii="Arial" w:hAnsi="Arial" w:cs="Arial"/>
          <w:i/>
          <w:iCs/>
          <w:sz w:val="24"/>
          <w:szCs w:val="24"/>
        </w:rPr>
        <w:t xml:space="preserve"> </w:t>
      </w:r>
      <w:r w:rsidR="002C1EA2" w:rsidRPr="00D52D68">
        <w:rPr>
          <w:rFonts w:ascii="Arial" w:hAnsi="Arial" w:cs="Arial"/>
          <w:i/>
          <w:iCs/>
          <w:sz w:val="24"/>
          <w:szCs w:val="24"/>
        </w:rPr>
        <w:t>(b) A reconsideration of a decision in terms of this Part constitutes an internal remedy as contemplated in section 7(2) of the Promotion of Administrative Justice Act.</w:t>
      </w:r>
      <w:r w:rsidR="002C1EA2" w:rsidRPr="00D52D68">
        <w:rPr>
          <w:rFonts w:ascii="Arial" w:hAnsi="Arial" w:cs="Arial"/>
          <w:sz w:val="24"/>
          <w:szCs w:val="24"/>
        </w:rPr>
        <w:t>”</w:t>
      </w:r>
    </w:p>
    <w:p w14:paraId="7EC1509B" w14:textId="77777777" w:rsidR="002C1EA2" w:rsidRPr="002C1EA2" w:rsidRDefault="002C1EA2" w:rsidP="002C1EA2">
      <w:pPr>
        <w:pStyle w:val="ListParagraph"/>
        <w:spacing w:line="480" w:lineRule="auto"/>
        <w:ind w:left="360"/>
        <w:jc w:val="both"/>
        <w:rPr>
          <w:rFonts w:ascii="Arial" w:hAnsi="Arial" w:cs="Arial"/>
          <w:sz w:val="24"/>
          <w:szCs w:val="24"/>
        </w:rPr>
      </w:pPr>
    </w:p>
    <w:p w14:paraId="180A5F36" w14:textId="584AF09E" w:rsidR="003A70A9"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lastRenderedPageBreak/>
        <w:t>[16]</w:t>
      </w:r>
      <w:r>
        <w:rPr>
          <w:rFonts w:ascii="Arial" w:hAnsi="Arial" w:cs="Arial"/>
          <w:sz w:val="24"/>
          <w:szCs w:val="24"/>
          <w:lang w:val="en-US"/>
        </w:rPr>
        <w:tab/>
      </w:r>
      <w:r w:rsidR="00AE5A62" w:rsidRPr="004B2B30">
        <w:rPr>
          <w:rFonts w:ascii="Arial" w:hAnsi="Arial" w:cs="Arial"/>
          <w:sz w:val="24"/>
          <w:szCs w:val="24"/>
          <w:lang w:val="en-US"/>
        </w:rPr>
        <w:t>The “</w:t>
      </w:r>
      <w:r w:rsidR="00AE5A62" w:rsidRPr="004B2B30">
        <w:rPr>
          <w:rFonts w:ascii="Arial" w:hAnsi="Arial" w:cs="Arial"/>
          <w:i/>
          <w:iCs/>
          <w:sz w:val="24"/>
          <w:szCs w:val="24"/>
          <w:lang w:val="en-US"/>
        </w:rPr>
        <w:t>Tribunal</w:t>
      </w:r>
      <w:r w:rsidR="00AE5A62" w:rsidRPr="004B2B30">
        <w:rPr>
          <w:rFonts w:ascii="Arial" w:hAnsi="Arial" w:cs="Arial"/>
          <w:sz w:val="24"/>
          <w:szCs w:val="24"/>
          <w:lang w:val="en-US"/>
        </w:rPr>
        <w:t xml:space="preserve">” referred to </w:t>
      </w:r>
      <w:r w:rsidR="00BC09F6" w:rsidRPr="004B2B30">
        <w:rPr>
          <w:rFonts w:ascii="Arial" w:hAnsi="Arial" w:cs="Arial"/>
          <w:sz w:val="24"/>
          <w:szCs w:val="24"/>
          <w:lang w:val="en-US"/>
        </w:rPr>
        <w:t xml:space="preserve">is the </w:t>
      </w:r>
      <w:r w:rsidR="00EE6023" w:rsidRPr="004B2B30">
        <w:rPr>
          <w:rFonts w:ascii="Arial" w:hAnsi="Arial" w:cs="Arial"/>
          <w:sz w:val="24"/>
          <w:szCs w:val="24"/>
          <w:lang w:val="en-US"/>
        </w:rPr>
        <w:t>Financial Services Tribunal and “</w:t>
      </w:r>
      <w:r w:rsidR="00EE6023" w:rsidRPr="004B2B30">
        <w:rPr>
          <w:rFonts w:ascii="Arial" w:hAnsi="Arial" w:cs="Arial"/>
          <w:i/>
          <w:iCs/>
          <w:sz w:val="24"/>
          <w:szCs w:val="24"/>
          <w:lang w:val="en-US"/>
        </w:rPr>
        <w:t>a decision</w:t>
      </w:r>
      <w:r w:rsidR="00EE6023" w:rsidRPr="004B2B30">
        <w:rPr>
          <w:rFonts w:ascii="Arial" w:hAnsi="Arial" w:cs="Arial"/>
          <w:sz w:val="24"/>
          <w:szCs w:val="24"/>
          <w:lang w:val="en-US"/>
        </w:rPr>
        <w:t xml:space="preserve">” </w:t>
      </w:r>
      <w:r w:rsidR="00001B60" w:rsidRPr="004B2B30">
        <w:rPr>
          <w:rFonts w:ascii="Arial" w:hAnsi="Arial" w:cs="Arial"/>
          <w:sz w:val="24"/>
          <w:szCs w:val="24"/>
          <w:lang w:val="en-US"/>
        </w:rPr>
        <w:t xml:space="preserve">is defined in section 218 of the </w:t>
      </w:r>
      <w:r w:rsidR="00CB4E60" w:rsidRPr="004B2B30">
        <w:rPr>
          <w:rFonts w:ascii="Arial" w:hAnsi="Arial" w:cs="Arial"/>
          <w:sz w:val="24"/>
          <w:szCs w:val="24"/>
          <w:lang w:val="en-US"/>
        </w:rPr>
        <w:t xml:space="preserve">FSR Act to include </w:t>
      </w:r>
      <w:r w:rsidR="00A7163E" w:rsidRPr="004B2B30">
        <w:rPr>
          <w:rFonts w:ascii="Arial" w:hAnsi="Arial" w:cs="Arial"/>
          <w:sz w:val="24"/>
          <w:szCs w:val="24"/>
          <w:lang w:val="en-US"/>
        </w:rPr>
        <w:t>a determination of the adjudicator.</w:t>
      </w:r>
      <w:r w:rsidR="008E233B" w:rsidRPr="00D52D68">
        <w:rPr>
          <w:rStyle w:val="FootnoteReference"/>
          <w:rFonts w:ascii="Arial" w:hAnsi="Arial" w:cs="Arial"/>
          <w:sz w:val="24"/>
          <w:szCs w:val="24"/>
          <w:lang w:val="en-US"/>
        </w:rPr>
        <w:footnoteReference w:id="2"/>
      </w:r>
      <w:r w:rsidR="002861B8" w:rsidRPr="004B2B30">
        <w:rPr>
          <w:rFonts w:ascii="Arial" w:hAnsi="Arial" w:cs="Arial"/>
          <w:sz w:val="24"/>
          <w:szCs w:val="24"/>
          <w:lang w:val="en-US"/>
        </w:rPr>
        <w:t xml:space="preserve"> </w:t>
      </w:r>
      <w:r w:rsidR="0030102A" w:rsidRPr="004B2B30">
        <w:rPr>
          <w:rFonts w:ascii="Arial" w:hAnsi="Arial" w:cs="Arial"/>
          <w:sz w:val="24"/>
          <w:szCs w:val="24"/>
          <w:lang w:val="en-US"/>
        </w:rPr>
        <w:t xml:space="preserve">Section 230 of the FSR Act therefore provides for an internal appeal </w:t>
      </w:r>
      <w:r w:rsidR="00475AC4" w:rsidRPr="004B2B30">
        <w:rPr>
          <w:rFonts w:ascii="Arial" w:hAnsi="Arial" w:cs="Arial"/>
          <w:sz w:val="24"/>
          <w:szCs w:val="24"/>
          <w:lang w:val="en-US"/>
        </w:rPr>
        <w:t xml:space="preserve">as contemplated in section 7(2) </w:t>
      </w:r>
      <w:r w:rsidR="00893F69" w:rsidRPr="004B2B30">
        <w:rPr>
          <w:rFonts w:ascii="Arial" w:hAnsi="Arial" w:cs="Arial"/>
          <w:sz w:val="24"/>
          <w:szCs w:val="24"/>
          <w:lang w:val="en-US"/>
        </w:rPr>
        <w:t xml:space="preserve">of PAJA. </w:t>
      </w:r>
      <w:r w:rsidR="002470B4" w:rsidRPr="004B2B30">
        <w:rPr>
          <w:rFonts w:ascii="Arial" w:hAnsi="Arial" w:cs="Arial"/>
          <w:sz w:val="24"/>
          <w:szCs w:val="24"/>
          <w:lang w:val="en-US"/>
        </w:rPr>
        <w:t xml:space="preserve">In effect, therefore, the applicants did not exhaust their internal remedy </w:t>
      </w:r>
      <w:r w:rsidR="00F1676B" w:rsidRPr="004B2B30">
        <w:rPr>
          <w:rFonts w:ascii="Arial" w:hAnsi="Arial" w:cs="Arial"/>
          <w:sz w:val="24"/>
          <w:szCs w:val="24"/>
          <w:lang w:val="en-US"/>
        </w:rPr>
        <w:t>first before taking the decisions of the respondents on review.</w:t>
      </w:r>
    </w:p>
    <w:p w14:paraId="65590922" w14:textId="77777777" w:rsidR="002C1EA2" w:rsidRDefault="002C1EA2" w:rsidP="002C1EA2">
      <w:pPr>
        <w:pStyle w:val="ListParagraph"/>
        <w:spacing w:line="480" w:lineRule="auto"/>
        <w:ind w:left="0"/>
        <w:jc w:val="both"/>
        <w:rPr>
          <w:rFonts w:ascii="Arial" w:hAnsi="Arial" w:cs="Arial"/>
          <w:sz w:val="24"/>
          <w:szCs w:val="24"/>
          <w:lang w:val="en-US"/>
        </w:rPr>
      </w:pPr>
    </w:p>
    <w:p w14:paraId="3F27D9DD" w14:textId="453B0CA9" w:rsidR="00692332"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A62390" w:rsidRPr="004B2B30">
        <w:rPr>
          <w:rFonts w:ascii="Arial" w:hAnsi="Arial" w:cs="Arial"/>
          <w:sz w:val="24"/>
          <w:szCs w:val="24"/>
          <w:lang w:val="en-US"/>
        </w:rPr>
        <w:t>For these reasons</w:t>
      </w:r>
      <w:r w:rsidR="00F56F22" w:rsidRPr="004B2B30">
        <w:rPr>
          <w:rFonts w:ascii="Arial" w:hAnsi="Arial" w:cs="Arial"/>
          <w:sz w:val="24"/>
          <w:szCs w:val="24"/>
          <w:lang w:val="en-US"/>
        </w:rPr>
        <w:t>,</w:t>
      </w:r>
      <w:r w:rsidR="00097DAD" w:rsidRPr="004B2B30">
        <w:rPr>
          <w:rFonts w:ascii="Arial" w:hAnsi="Arial" w:cs="Arial"/>
          <w:sz w:val="24"/>
          <w:szCs w:val="24"/>
          <w:lang w:val="en-US"/>
        </w:rPr>
        <w:t xml:space="preserve"> counsel for the </w:t>
      </w:r>
      <w:r w:rsidR="007E38B8" w:rsidRPr="004B2B30">
        <w:rPr>
          <w:rFonts w:ascii="Arial" w:hAnsi="Arial" w:cs="Arial"/>
          <w:sz w:val="24"/>
          <w:szCs w:val="24"/>
          <w:lang w:val="en-US"/>
        </w:rPr>
        <w:t xml:space="preserve">first </w:t>
      </w:r>
      <w:r w:rsidR="00097DAD" w:rsidRPr="004B2B30">
        <w:rPr>
          <w:rFonts w:ascii="Arial" w:hAnsi="Arial" w:cs="Arial"/>
          <w:sz w:val="24"/>
          <w:szCs w:val="24"/>
          <w:lang w:val="en-US"/>
        </w:rPr>
        <w:t>respondent submitted</w:t>
      </w:r>
      <w:r w:rsidR="00BD0259" w:rsidRPr="004B2B30">
        <w:rPr>
          <w:rFonts w:ascii="Arial" w:hAnsi="Arial" w:cs="Arial"/>
          <w:sz w:val="24"/>
          <w:szCs w:val="24"/>
          <w:lang w:val="en-US"/>
        </w:rPr>
        <w:t xml:space="preserve"> in his heads of argu</w:t>
      </w:r>
      <w:r w:rsidR="0001337F" w:rsidRPr="004B2B30">
        <w:rPr>
          <w:rFonts w:ascii="Arial" w:hAnsi="Arial" w:cs="Arial"/>
          <w:sz w:val="24"/>
          <w:szCs w:val="24"/>
          <w:lang w:val="en-US"/>
        </w:rPr>
        <w:t>m</w:t>
      </w:r>
      <w:r w:rsidR="00BD0259" w:rsidRPr="004B2B30">
        <w:rPr>
          <w:rFonts w:ascii="Arial" w:hAnsi="Arial" w:cs="Arial"/>
          <w:sz w:val="24"/>
          <w:szCs w:val="24"/>
          <w:lang w:val="en-US"/>
        </w:rPr>
        <w:t>ent</w:t>
      </w:r>
      <w:r w:rsidR="00097DAD" w:rsidRPr="004B2B30">
        <w:rPr>
          <w:rFonts w:ascii="Arial" w:hAnsi="Arial" w:cs="Arial"/>
          <w:sz w:val="24"/>
          <w:szCs w:val="24"/>
          <w:lang w:val="en-US"/>
        </w:rPr>
        <w:t xml:space="preserve">, and I agree, </w:t>
      </w:r>
      <w:r w:rsidR="00F56F22" w:rsidRPr="004B2B30">
        <w:rPr>
          <w:rFonts w:ascii="Arial" w:hAnsi="Arial" w:cs="Arial"/>
          <w:sz w:val="24"/>
          <w:szCs w:val="24"/>
          <w:lang w:val="en-US"/>
        </w:rPr>
        <w:t xml:space="preserve">that </w:t>
      </w:r>
      <w:r w:rsidR="00097DAD" w:rsidRPr="004B2B30">
        <w:rPr>
          <w:rFonts w:ascii="Arial" w:hAnsi="Arial" w:cs="Arial"/>
          <w:sz w:val="24"/>
          <w:szCs w:val="24"/>
          <w:lang w:val="en-US"/>
        </w:rPr>
        <w:t xml:space="preserve">the </w:t>
      </w:r>
      <w:r w:rsidR="000E28B4" w:rsidRPr="004B2B30">
        <w:rPr>
          <w:rFonts w:ascii="Arial" w:hAnsi="Arial" w:cs="Arial"/>
          <w:sz w:val="24"/>
          <w:szCs w:val="24"/>
          <w:lang w:val="en-US"/>
        </w:rPr>
        <w:t>first and second prayers of the notice of motion, relating to the decisions of the “</w:t>
      </w:r>
      <w:r w:rsidR="000E28B4" w:rsidRPr="004B2B30">
        <w:rPr>
          <w:rFonts w:ascii="Arial" w:hAnsi="Arial" w:cs="Arial"/>
          <w:i/>
          <w:iCs/>
          <w:sz w:val="24"/>
          <w:szCs w:val="24"/>
          <w:lang w:val="en-US"/>
        </w:rPr>
        <w:t>first and/or second respondents</w:t>
      </w:r>
      <w:r w:rsidR="000E28B4" w:rsidRPr="004B2B30">
        <w:rPr>
          <w:rFonts w:ascii="Arial" w:hAnsi="Arial" w:cs="Arial"/>
          <w:sz w:val="24"/>
          <w:szCs w:val="24"/>
          <w:lang w:val="en-US"/>
        </w:rPr>
        <w:t xml:space="preserve">” should be dismissed. </w:t>
      </w:r>
      <w:r w:rsidR="00D862A1" w:rsidRPr="004B2B30">
        <w:rPr>
          <w:rFonts w:ascii="Arial" w:hAnsi="Arial" w:cs="Arial"/>
          <w:sz w:val="24"/>
          <w:szCs w:val="24"/>
          <w:lang w:val="en-US"/>
        </w:rPr>
        <w:t xml:space="preserve">This submission has merit, </w:t>
      </w:r>
      <w:r w:rsidR="00343D6C" w:rsidRPr="004B2B30">
        <w:rPr>
          <w:rFonts w:ascii="Arial" w:hAnsi="Arial" w:cs="Arial"/>
          <w:sz w:val="24"/>
          <w:szCs w:val="24"/>
          <w:lang w:val="en-US"/>
        </w:rPr>
        <w:t xml:space="preserve">as the decision of the adjudicator is binding </w:t>
      </w:r>
      <w:r w:rsidR="00115996" w:rsidRPr="004B2B30">
        <w:rPr>
          <w:rFonts w:ascii="Arial" w:hAnsi="Arial" w:cs="Arial"/>
          <w:sz w:val="24"/>
          <w:szCs w:val="24"/>
          <w:lang w:val="en-US"/>
        </w:rPr>
        <w:t xml:space="preserve">and enforceable, which implies </w:t>
      </w:r>
      <w:r w:rsidR="00122CFC" w:rsidRPr="004B2B30">
        <w:rPr>
          <w:rFonts w:ascii="Arial" w:hAnsi="Arial" w:cs="Arial"/>
          <w:sz w:val="24"/>
          <w:szCs w:val="24"/>
          <w:lang w:val="en-US"/>
        </w:rPr>
        <w:t xml:space="preserve">that it serves no practical purpose to review the decisions of the board. </w:t>
      </w:r>
      <w:r w:rsidR="000E28B4" w:rsidRPr="004B2B30">
        <w:rPr>
          <w:rFonts w:ascii="Arial" w:hAnsi="Arial" w:cs="Arial"/>
          <w:sz w:val="24"/>
          <w:szCs w:val="24"/>
          <w:lang w:val="en-US"/>
        </w:rPr>
        <w:t xml:space="preserve">In any event, counsel for the applicants abandoned </w:t>
      </w:r>
      <w:r w:rsidR="00BF777A" w:rsidRPr="004B2B30">
        <w:rPr>
          <w:rFonts w:ascii="Arial" w:hAnsi="Arial" w:cs="Arial"/>
          <w:sz w:val="24"/>
          <w:szCs w:val="24"/>
          <w:lang w:val="en-US"/>
        </w:rPr>
        <w:t xml:space="preserve">the review </w:t>
      </w:r>
      <w:r w:rsidR="00020388" w:rsidRPr="004B2B30">
        <w:rPr>
          <w:rFonts w:ascii="Arial" w:hAnsi="Arial" w:cs="Arial"/>
          <w:sz w:val="24"/>
          <w:szCs w:val="24"/>
          <w:lang w:val="en-US"/>
        </w:rPr>
        <w:t>of the</w:t>
      </w:r>
      <w:r w:rsidR="00A611BE" w:rsidRPr="004B2B30">
        <w:rPr>
          <w:rFonts w:ascii="Arial" w:hAnsi="Arial" w:cs="Arial"/>
          <w:sz w:val="24"/>
          <w:szCs w:val="24"/>
          <w:lang w:val="en-US"/>
        </w:rPr>
        <w:t xml:space="preserve"> decision of</w:t>
      </w:r>
      <w:r w:rsidR="00020388" w:rsidRPr="004B2B30">
        <w:rPr>
          <w:rFonts w:ascii="Arial" w:hAnsi="Arial" w:cs="Arial"/>
          <w:sz w:val="24"/>
          <w:szCs w:val="24"/>
          <w:lang w:val="en-US"/>
        </w:rPr>
        <w:t xml:space="preserve"> </w:t>
      </w:r>
      <w:r w:rsidR="00EE7079" w:rsidRPr="004B2B30">
        <w:rPr>
          <w:rFonts w:ascii="Arial" w:hAnsi="Arial" w:cs="Arial"/>
          <w:sz w:val="24"/>
          <w:szCs w:val="24"/>
          <w:lang w:val="en-US"/>
        </w:rPr>
        <w:t>“</w:t>
      </w:r>
      <w:r w:rsidR="00EE7079" w:rsidRPr="004B2B30">
        <w:rPr>
          <w:rFonts w:ascii="Arial" w:hAnsi="Arial" w:cs="Arial"/>
          <w:i/>
          <w:iCs/>
          <w:sz w:val="24"/>
          <w:szCs w:val="24"/>
          <w:lang w:val="en-US"/>
        </w:rPr>
        <w:t>first and/or the second respondent</w:t>
      </w:r>
      <w:r w:rsidR="00A611BE" w:rsidRPr="004B2B30">
        <w:rPr>
          <w:rFonts w:ascii="Arial" w:hAnsi="Arial" w:cs="Arial"/>
          <w:sz w:val="24"/>
          <w:szCs w:val="24"/>
          <w:lang w:val="en-US"/>
        </w:rPr>
        <w:t xml:space="preserve">” </w:t>
      </w:r>
      <w:r w:rsidR="0001337F" w:rsidRPr="004B2B30">
        <w:rPr>
          <w:rFonts w:ascii="Arial" w:hAnsi="Arial" w:cs="Arial"/>
          <w:sz w:val="24"/>
          <w:szCs w:val="24"/>
          <w:lang w:val="en-US"/>
        </w:rPr>
        <w:t xml:space="preserve"> contained in prayers 1 and 2 of the notice of motion</w:t>
      </w:r>
      <w:r w:rsidR="00020388" w:rsidRPr="004B2B30">
        <w:rPr>
          <w:rFonts w:ascii="Arial" w:hAnsi="Arial" w:cs="Arial"/>
          <w:sz w:val="24"/>
          <w:szCs w:val="24"/>
          <w:lang w:val="en-US"/>
        </w:rPr>
        <w:t xml:space="preserve"> </w:t>
      </w:r>
      <w:r w:rsidR="00BF777A" w:rsidRPr="004B2B30">
        <w:rPr>
          <w:rFonts w:ascii="Arial" w:hAnsi="Arial" w:cs="Arial"/>
          <w:sz w:val="24"/>
          <w:szCs w:val="24"/>
          <w:lang w:val="en-US"/>
        </w:rPr>
        <w:t>and proceeded only in respect of t</w:t>
      </w:r>
      <w:r w:rsidR="00692332" w:rsidRPr="004B2B30">
        <w:rPr>
          <w:rFonts w:ascii="Arial" w:hAnsi="Arial" w:cs="Arial"/>
          <w:sz w:val="24"/>
          <w:szCs w:val="24"/>
          <w:lang w:val="en-US"/>
        </w:rPr>
        <w:t>he appeal in terms of section 30P of the Act</w:t>
      </w:r>
      <w:r w:rsidR="00020388" w:rsidRPr="004B2B30">
        <w:rPr>
          <w:rFonts w:ascii="Arial" w:hAnsi="Arial" w:cs="Arial"/>
          <w:sz w:val="24"/>
          <w:szCs w:val="24"/>
          <w:lang w:val="en-US"/>
        </w:rPr>
        <w:t>.</w:t>
      </w:r>
    </w:p>
    <w:p w14:paraId="0C51C0C5" w14:textId="77777777" w:rsidR="002C1EA2" w:rsidRPr="002C1EA2" w:rsidRDefault="002C1EA2" w:rsidP="002C1EA2">
      <w:pPr>
        <w:pStyle w:val="ListParagraph"/>
        <w:rPr>
          <w:rFonts w:ascii="Arial" w:hAnsi="Arial" w:cs="Arial"/>
          <w:sz w:val="24"/>
          <w:szCs w:val="24"/>
          <w:lang w:val="en-US"/>
        </w:rPr>
      </w:pPr>
    </w:p>
    <w:p w14:paraId="0F4815E1" w14:textId="74B7036B" w:rsidR="002C1EA2" w:rsidRDefault="002C1EA2" w:rsidP="000A52BE">
      <w:pPr>
        <w:pStyle w:val="ListParagraph"/>
        <w:spacing w:line="480" w:lineRule="auto"/>
        <w:ind w:left="0" w:hanging="142"/>
        <w:jc w:val="both"/>
        <w:rPr>
          <w:rFonts w:ascii="Arial" w:hAnsi="Arial" w:cs="Arial"/>
          <w:sz w:val="24"/>
          <w:szCs w:val="24"/>
          <w:lang w:val="en-US"/>
        </w:rPr>
      </w:pPr>
      <w:r w:rsidRPr="00D52D68">
        <w:rPr>
          <w:rFonts w:ascii="Arial" w:hAnsi="Arial" w:cs="Arial"/>
          <w:b/>
          <w:bCs/>
          <w:sz w:val="24"/>
          <w:szCs w:val="24"/>
          <w:lang w:val="en-US"/>
        </w:rPr>
        <w:t>Section 30C of the Act and the appeal provision in terms of section 30P</w:t>
      </w:r>
    </w:p>
    <w:p w14:paraId="21EDC419" w14:textId="77777777" w:rsidR="002C1EA2" w:rsidRPr="002C1EA2" w:rsidRDefault="002C1EA2" w:rsidP="002C1EA2">
      <w:pPr>
        <w:pStyle w:val="ListParagraph"/>
        <w:rPr>
          <w:rFonts w:ascii="Arial" w:hAnsi="Arial" w:cs="Arial"/>
          <w:sz w:val="24"/>
          <w:szCs w:val="24"/>
          <w:lang w:val="en-US"/>
        </w:rPr>
      </w:pPr>
    </w:p>
    <w:p w14:paraId="652C22AA" w14:textId="6CE61644" w:rsidR="004038EF" w:rsidRPr="004B2B30" w:rsidRDefault="004B2B30" w:rsidP="004B2B30">
      <w:pPr>
        <w:spacing w:line="480" w:lineRule="auto"/>
        <w:ind w:left="-142" w:firstLine="142"/>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606E6F" w:rsidRPr="004B2B30">
        <w:rPr>
          <w:rFonts w:ascii="Arial" w:hAnsi="Arial" w:cs="Arial"/>
          <w:sz w:val="24"/>
          <w:szCs w:val="24"/>
          <w:lang w:val="en-US"/>
        </w:rPr>
        <w:t xml:space="preserve">Section 37C of the Act </w:t>
      </w:r>
      <w:r w:rsidR="00B24B15" w:rsidRPr="004B2B30">
        <w:rPr>
          <w:rFonts w:ascii="Arial" w:hAnsi="Arial" w:cs="Arial"/>
          <w:sz w:val="24"/>
          <w:szCs w:val="24"/>
          <w:lang w:val="en-US"/>
        </w:rPr>
        <w:t xml:space="preserve">confers a discretionary power on a pension fund </w:t>
      </w:r>
      <w:r w:rsidR="00693217" w:rsidRPr="004B2B30">
        <w:rPr>
          <w:rFonts w:ascii="Arial" w:hAnsi="Arial" w:cs="Arial"/>
          <w:sz w:val="24"/>
          <w:szCs w:val="24"/>
          <w:lang w:val="en-US"/>
        </w:rPr>
        <w:t xml:space="preserve">to </w:t>
      </w:r>
      <w:r w:rsidR="00BB1F97" w:rsidRPr="004B2B30">
        <w:rPr>
          <w:rFonts w:ascii="Arial" w:hAnsi="Arial" w:cs="Arial"/>
          <w:sz w:val="24"/>
          <w:szCs w:val="24"/>
          <w:lang w:val="en-US"/>
        </w:rPr>
        <w:t xml:space="preserve">distribute pension benefits on the death of a member </w:t>
      </w:r>
      <w:r w:rsidR="001E31CD" w:rsidRPr="004B2B30">
        <w:rPr>
          <w:rFonts w:ascii="Arial" w:hAnsi="Arial" w:cs="Arial"/>
          <w:sz w:val="24"/>
          <w:szCs w:val="24"/>
          <w:lang w:val="en-US"/>
        </w:rPr>
        <w:t xml:space="preserve">after </w:t>
      </w:r>
      <w:r w:rsidR="00020388" w:rsidRPr="004B2B30">
        <w:rPr>
          <w:rFonts w:ascii="Arial" w:hAnsi="Arial" w:cs="Arial"/>
          <w:sz w:val="24"/>
          <w:szCs w:val="24"/>
          <w:lang w:val="en-US"/>
        </w:rPr>
        <w:t xml:space="preserve">the </w:t>
      </w:r>
      <w:r w:rsidR="00B50FB8" w:rsidRPr="004B2B30">
        <w:rPr>
          <w:rFonts w:ascii="Arial" w:hAnsi="Arial" w:cs="Arial"/>
          <w:sz w:val="24"/>
          <w:szCs w:val="24"/>
          <w:lang w:val="en-US"/>
        </w:rPr>
        <w:t>need</w:t>
      </w:r>
      <w:r w:rsidR="00AC4201" w:rsidRPr="004B2B30">
        <w:rPr>
          <w:rFonts w:ascii="Arial" w:hAnsi="Arial" w:cs="Arial"/>
          <w:sz w:val="24"/>
          <w:szCs w:val="24"/>
          <w:lang w:val="en-US"/>
        </w:rPr>
        <w:t>s</w:t>
      </w:r>
      <w:r w:rsidR="00B50FB8" w:rsidRPr="004B2B30">
        <w:rPr>
          <w:rFonts w:ascii="Arial" w:hAnsi="Arial" w:cs="Arial"/>
          <w:sz w:val="24"/>
          <w:szCs w:val="24"/>
          <w:lang w:val="en-US"/>
        </w:rPr>
        <w:t xml:space="preserve"> and dependency </w:t>
      </w:r>
      <w:r w:rsidR="005A13CF" w:rsidRPr="004B2B30">
        <w:rPr>
          <w:rFonts w:ascii="Arial" w:hAnsi="Arial" w:cs="Arial"/>
          <w:sz w:val="24"/>
          <w:szCs w:val="24"/>
          <w:lang w:val="en-US"/>
        </w:rPr>
        <w:t xml:space="preserve">amongst the deceased’s </w:t>
      </w:r>
      <w:r w:rsidR="00396218" w:rsidRPr="004B2B30">
        <w:rPr>
          <w:rFonts w:ascii="Arial" w:hAnsi="Arial" w:cs="Arial"/>
          <w:sz w:val="24"/>
          <w:szCs w:val="24"/>
          <w:lang w:val="en-US"/>
        </w:rPr>
        <w:t xml:space="preserve">dependants </w:t>
      </w:r>
      <w:r w:rsidR="00495871" w:rsidRPr="004B2B30">
        <w:rPr>
          <w:rFonts w:ascii="Arial" w:hAnsi="Arial" w:cs="Arial"/>
          <w:sz w:val="24"/>
          <w:szCs w:val="24"/>
          <w:lang w:val="en-US"/>
        </w:rPr>
        <w:t>and nominees have been identified</w:t>
      </w:r>
      <w:r w:rsidR="00AC4201" w:rsidRPr="004B2B30">
        <w:rPr>
          <w:rFonts w:ascii="Arial" w:hAnsi="Arial" w:cs="Arial"/>
          <w:sz w:val="24"/>
          <w:szCs w:val="24"/>
          <w:lang w:val="en-US"/>
        </w:rPr>
        <w:t xml:space="preserve">. </w:t>
      </w:r>
      <w:r w:rsidR="002E2203" w:rsidRPr="004B2B30">
        <w:rPr>
          <w:rFonts w:ascii="Arial" w:hAnsi="Arial" w:cs="Arial"/>
          <w:sz w:val="24"/>
          <w:szCs w:val="24"/>
          <w:lang w:val="en-US"/>
        </w:rPr>
        <w:t xml:space="preserve">In the first instance, it is incumbent on the board </w:t>
      </w:r>
      <w:r w:rsidR="008A26ED" w:rsidRPr="004B2B30">
        <w:rPr>
          <w:rFonts w:ascii="Arial" w:hAnsi="Arial" w:cs="Arial"/>
          <w:sz w:val="24"/>
          <w:szCs w:val="24"/>
          <w:lang w:val="en-US"/>
        </w:rPr>
        <w:t>to identify the dependants of the deceased</w:t>
      </w:r>
      <w:r w:rsidR="00324D29" w:rsidRPr="004B2B30">
        <w:rPr>
          <w:rFonts w:ascii="Arial" w:hAnsi="Arial" w:cs="Arial"/>
          <w:sz w:val="24"/>
          <w:szCs w:val="24"/>
          <w:lang w:val="en-US"/>
        </w:rPr>
        <w:t xml:space="preserve"> </w:t>
      </w:r>
      <w:r w:rsidR="00CC5F1E" w:rsidRPr="004B2B30">
        <w:rPr>
          <w:rFonts w:ascii="Arial" w:hAnsi="Arial" w:cs="Arial"/>
          <w:sz w:val="24"/>
          <w:szCs w:val="24"/>
          <w:lang w:val="en-US"/>
        </w:rPr>
        <w:t xml:space="preserve">as well as the persons whom the deceased may have nominated to </w:t>
      </w:r>
      <w:r w:rsidR="00324D29" w:rsidRPr="004B2B30">
        <w:rPr>
          <w:rFonts w:ascii="Arial" w:hAnsi="Arial" w:cs="Arial"/>
          <w:sz w:val="24"/>
          <w:szCs w:val="24"/>
          <w:lang w:val="en-US"/>
        </w:rPr>
        <w:t xml:space="preserve">receive the proceeds </w:t>
      </w:r>
      <w:r w:rsidR="00324D29" w:rsidRPr="004B2B30">
        <w:rPr>
          <w:rFonts w:ascii="Arial" w:hAnsi="Arial" w:cs="Arial"/>
          <w:sz w:val="24"/>
          <w:szCs w:val="24"/>
          <w:lang w:val="en-US"/>
        </w:rPr>
        <w:lastRenderedPageBreak/>
        <w:t xml:space="preserve">of the death benefits. </w:t>
      </w:r>
      <w:r w:rsidR="00AC4201" w:rsidRPr="004B2B30">
        <w:rPr>
          <w:rFonts w:ascii="Arial" w:hAnsi="Arial" w:cs="Arial"/>
          <w:sz w:val="24"/>
          <w:szCs w:val="24"/>
          <w:lang w:val="en-US"/>
        </w:rPr>
        <w:t xml:space="preserve">The fund, acting through its board, </w:t>
      </w:r>
      <w:r w:rsidR="005E0D56" w:rsidRPr="004B2B30">
        <w:rPr>
          <w:rFonts w:ascii="Arial" w:hAnsi="Arial" w:cs="Arial"/>
          <w:sz w:val="24"/>
          <w:szCs w:val="24"/>
          <w:lang w:val="en-US"/>
        </w:rPr>
        <w:t xml:space="preserve">must </w:t>
      </w:r>
      <w:r w:rsidR="00125A3D" w:rsidRPr="004B2B30">
        <w:rPr>
          <w:rFonts w:ascii="Arial" w:hAnsi="Arial" w:cs="Arial"/>
          <w:sz w:val="24"/>
          <w:szCs w:val="24"/>
          <w:lang w:val="en-US"/>
        </w:rPr>
        <w:t xml:space="preserve">distribute the </w:t>
      </w:r>
      <w:r w:rsidR="00C92BE1" w:rsidRPr="004B2B30">
        <w:rPr>
          <w:rFonts w:ascii="Arial" w:hAnsi="Arial" w:cs="Arial"/>
          <w:sz w:val="24"/>
          <w:szCs w:val="24"/>
          <w:lang w:val="en-US"/>
        </w:rPr>
        <w:t>d</w:t>
      </w:r>
      <w:r w:rsidR="00125A3D" w:rsidRPr="004B2B30">
        <w:rPr>
          <w:rFonts w:ascii="Arial" w:hAnsi="Arial" w:cs="Arial"/>
          <w:sz w:val="24"/>
          <w:szCs w:val="24"/>
          <w:lang w:val="en-US"/>
        </w:rPr>
        <w:t>eath ben</w:t>
      </w:r>
      <w:r w:rsidR="005E0D56" w:rsidRPr="004B2B30">
        <w:rPr>
          <w:rFonts w:ascii="Arial" w:hAnsi="Arial" w:cs="Arial"/>
          <w:sz w:val="24"/>
          <w:szCs w:val="24"/>
          <w:lang w:val="en-US"/>
        </w:rPr>
        <w:t>e</w:t>
      </w:r>
      <w:r w:rsidR="00125A3D" w:rsidRPr="004B2B30">
        <w:rPr>
          <w:rFonts w:ascii="Arial" w:hAnsi="Arial" w:cs="Arial"/>
          <w:sz w:val="24"/>
          <w:szCs w:val="24"/>
          <w:lang w:val="en-US"/>
        </w:rPr>
        <w:t>fits</w:t>
      </w:r>
      <w:r w:rsidR="00AC4201" w:rsidRPr="004B2B30">
        <w:rPr>
          <w:rFonts w:ascii="Arial" w:hAnsi="Arial" w:cs="Arial"/>
          <w:sz w:val="24"/>
          <w:szCs w:val="24"/>
          <w:lang w:val="en-US"/>
        </w:rPr>
        <w:t xml:space="preserve"> </w:t>
      </w:r>
      <w:r w:rsidR="00744A5C" w:rsidRPr="004B2B30">
        <w:rPr>
          <w:rFonts w:ascii="Arial" w:hAnsi="Arial" w:cs="Arial"/>
          <w:sz w:val="24"/>
          <w:szCs w:val="24"/>
          <w:lang w:val="en-US"/>
        </w:rPr>
        <w:t xml:space="preserve">in a reasonable manner and in accordance </w:t>
      </w:r>
      <w:r w:rsidR="000A7A0D" w:rsidRPr="004B2B30">
        <w:rPr>
          <w:rFonts w:ascii="Arial" w:hAnsi="Arial" w:cs="Arial"/>
          <w:sz w:val="24"/>
          <w:szCs w:val="24"/>
          <w:lang w:val="en-US"/>
        </w:rPr>
        <w:t>with the provisions of section 37C.</w:t>
      </w:r>
      <w:r w:rsidR="000A7A0D" w:rsidRPr="00D52D68">
        <w:rPr>
          <w:rStyle w:val="FootnoteReference"/>
          <w:rFonts w:ascii="Arial" w:hAnsi="Arial" w:cs="Arial"/>
          <w:sz w:val="24"/>
          <w:szCs w:val="24"/>
          <w:lang w:val="en-US"/>
        </w:rPr>
        <w:footnoteReference w:id="3"/>
      </w:r>
    </w:p>
    <w:p w14:paraId="24050A06" w14:textId="77777777" w:rsidR="000A52BE" w:rsidRDefault="000A52BE" w:rsidP="000A52BE">
      <w:pPr>
        <w:pStyle w:val="ListParagraph"/>
        <w:spacing w:line="480" w:lineRule="auto"/>
        <w:ind w:left="0"/>
        <w:jc w:val="both"/>
        <w:rPr>
          <w:rFonts w:ascii="Arial" w:hAnsi="Arial" w:cs="Arial"/>
          <w:sz w:val="24"/>
          <w:szCs w:val="24"/>
          <w:lang w:val="en-US"/>
        </w:rPr>
      </w:pPr>
    </w:p>
    <w:p w14:paraId="0DB9FE9F" w14:textId="69AFD7B6" w:rsidR="000A52BE" w:rsidRPr="004B2B30" w:rsidRDefault="004B2B30" w:rsidP="004B2B30">
      <w:pPr>
        <w:tabs>
          <w:tab w:val="left" w:pos="851"/>
        </w:tabs>
        <w:spacing w:line="480" w:lineRule="auto"/>
        <w:ind w:left="-142" w:firstLine="142"/>
        <w:jc w:val="both"/>
        <w:rPr>
          <w:rFonts w:ascii="Arial" w:hAnsi="Arial" w:cs="Arial"/>
          <w:sz w:val="24"/>
          <w:szCs w:val="24"/>
          <w:lang w:val="en-US"/>
        </w:rPr>
      </w:pPr>
      <w:r w:rsidRPr="000A52BE">
        <w:rPr>
          <w:rFonts w:ascii="Arial" w:hAnsi="Arial" w:cs="Arial"/>
          <w:sz w:val="24"/>
          <w:szCs w:val="24"/>
          <w:lang w:val="en-US"/>
        </w:rPr>
        <w:t>[19]</w:t>
      </w:r>
      <w:r w:rsidRPr="000A52BE">
        <w:rPr>
          <w:rFonts w:ascii="Arial" w:hAnsi="Arial" w:cs="Arial"/>
          <w:sz w:val="24"/>
          <w:szCs w:val="24"/>
          <w:lang w:val="en-US"/>
        </w:rPr>
        <w:tab/>
      </w:r>
      <w:r w:rsidR="000A52BE" w:rsidRPr="004B2B30">
        <w:rPr>
          <w:rFonts w:ascii="Arial" w:hAnsi="Arial" w:cs="Arial"/>
          <w:sz w:val="24"/>
          <w:szCs w:val="24"/>
          <w:lang w:val="en-US"/>
        </w:rPr>
        <w:t>The relevant part of section 37C of the Act, provides as follows:</w:t>
      </w:r>
    </w:p>
    <w:p w14:paraId="3369CC57" w14:textId="77777777" w:rsidR="000A52BE" w:rsidRPr="00D52D68" w:rsidRDefault="000A52BE" w:rsidP="000A52BE">
      <w:pPr>
        <w:spacing w:line="480" w:lineRule="auto"/>
        <w:ind w:left="993"/>
        <w:jc w:val="both"/>
        <w:rPr>
          <w:rFonts w:ascii="Arial" w:hAnsi="Arial" w:cs="Arial"/>
          <w:i/>
          <w:iCs/>
          <w:sz w:val="24"/>
          <w:szCs w:val="24"/>
        </w:rPr>
      </w:pPr>
      <w:r w:rsidRPr="00D52D68">
        <w:rPr>
          <w:rFonts w:ascii="Arial" w:hAnsi="Arial" w:cs="Arial"/>
          <w:sz w:val="24"/>
          <w:szCs w:val="24"/>
        </w:rPr>
        <w:t>“</w:t>
      </w:r>
      <w:r w:rsidRPr="00D52D68">
        <w:rPr>
          <w:rFonts w:ascii="Arial" w:hAnsi="Arial" w:cs="Arial"/>
          <w:i/>
          <w:iCs/>
          <w:sz w:val="24"/>
          <w:szCs w:val="24"/>
        </w:rPr>
        <w:t xml:space="preserve">(1) Notwithstanding anything to the contrary contained in any law or in the rules of a registered fund, any benefit . . . payable by such a fund upon the death of a member, shall, . . . not form part of the assets in the estate of such a member, but shall be dealt with in the following manner: </w:t>
      </w:r>
    </w:p>
    <w:p w14:paraId="5ABFE128" w14:textId="6E4A87F5" w:rsidR="007B1D75" w:rsidRPr="000A52BE" w:rsidRDefault="000A52BE" w:rsidP="000A52BE">
      <w:pPr>
        <w:pStyle w:val="ListParagraph"/>
        <w:spacing w:line="480" w:lineRule="auto"/>
        <w:ind w:left="993"/>
        <w:jc w:val="both"/>
        <w:rPr>
          <w:rFonts w:ascii="Arial" w:hAnsi="Arial" w:cs="Arial"/>
          <w:sz w:val="24"/>
          <w:szCs w:val="24"/>
          <w:lang w:val="en-US"/>
        </w:rPr>
      </w:pPr>
      <w:r w:rsidRPr="00D52D68">
        <w:rPr>
          <w:rFonts w:ascii="Arial" w:hAnsi="Arial" w:cs="Arial"/>
          <w:i/>
          <w:iCs/>
          <w:sz w:val="24"/>
          <w:szCs w:val="24"/>
        </w:rPr>
        <w:t>If the fund within twelve months of the death of the member becomes aware of or traces a dependant</w:t>
      </w:r>
      <w:r w:rsidRPr="00D52D68">
        <w:rPr>
          <w:rStyle w:val="FootnoteReference"/>
          <w:rFonts w:ascii="Arial" w:hAnsi="Arial" w:cs="Arial"/>
          <w:i/>
          <w:iCs/>
          <w:sz w:val="24"/>
          <w:szCs w:val="24"/>
        </w:rPr>
        <w:footnoteReference w:id="4"/>
      </w:r>
      <w:r w:rsidRPr="00D52D68">
        <w:rPr>
          <w:rFonts w:ascii="Arial" w:hAnsi="Arial" w:cs="Arial"/>
          <w:i/>
          <w:iCs/>
          <w:sz w:val="24"/>
          <w:szCs w:val="24"/>
        </w:rPr>
        <w:t xml:space="preserve"> or dependants of the member, the benefit shall be paid to such dependant or, as may be deemed equitable by the fund, to one of such dependants or in proportions to some of or all such dependants.</w:t>
      </w:r>
      <w:r w:rsidRPr="00D52D68">
        <w:rPr>
          <w:rFonts w:ascii="Arial" w:hAnsi="Arial" w:cs="Arial"/>
          <w:sz w:val="24"/>
          <w:szCs w:val="24"/>
        </w:rPr>
        <w:t>”</w:t>
      </w:r>
    </w:p>
    <w:p w14:paraId="52B1BD2C" w14:textId="77777777" w:rsidR="00AC1ABB" w:rsidRPr="00D52D68" w:rsidRDefault="00AC1ABB" w:rsidP="002C1EA2">
      <w:pPr>
        <w:pStyle w:val="ListParagraph"/>
        <w:spacing w:line="480" w:lineRule="auto"/>
        <w:ind w:left="360"/>
        <w:jc w:val="both"/>
        <w:rPr>
          <w:rFonts w:ascii="Arial" w:hAnsi="Arial" w:cs="Arial"/>
          <w:sz w:val="24"/>
          <w:szCs w:val="24"/>
          <w:lang w:val="en-US"/>
        </w:rPr>
      </w:pPr>
    </w:p>
    <w:p w14:paraId="0BD84B31" w14:textId="7A8D1AF2" w:rsidR="003D2E1A"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F027A9" w:rsidRPr="004B2B30">
        <w:rPr>
          <w:rFonts w:ascii="Arial" w:hAnsi="Arial" w:cs="Arial"/>
          <w:sz w:val="24"/>
          <w:szCs w:val="24"/>
          <w:lang w:val="en-US"/>
        </w:rPr>
        <w:t xml:space="preserve">The </w:t>
      </w:r>
      <w:r w:rsidR="00094532" w:rsidRPr="004B2B30">
        <w:rPr>
          <w:rFonts w:ascii="Arial" w:hAnsi="Arial" w:cs="Arial"/>
          <w:sz w:val="24"/>
          <w:szCs w:val="24"/>
          <w:lang w:val="en-US"/>
        </w:rPr>
        <w:t xml:space="preserve">discretion conferred </w:t>
      </w:r>
      <w:r w:rsidR="0084133A" w:rsidRPr="004B2B30">
        <w:rPr>
          <w:rFonts w:ascii="Arial" w:hAnsi="Arial" w:cs="Arial"/>
          <w:sz w:val="24"/>
          <w:szCs w:val="24"/>
          <w:lang w:val="en-US"/>
        </w:rPr>
        <w:t>up</w:t>
      </w:r>
      <w:r w:rsidR="00094532" w:rsidRPr="004B2B30">
        <w:rPr>
          <w:rFonts w:ascii="Arial" w:hAnsi="Arial" w:cs="Arial"/>
          <w:sz w:val="24"/>
          <w:szCs w:val="24"/>
          <w:lang w:val="en-US"/>
        </w:rPr>
        <w:t xml:space="preserve">on the board of a pension fund under section 37C trumps the mere wishes of the deceased member, even where such wishes are expressed in a </w:t>
      </w:r>
      <w:r w:rsidR="00B502C4" w:rsidRPr="004B2B30">
        <w:rPr>
          <w:rFonts w:ascii="Arial" w:hAnsi="Arial" w:cs="Arial"/>
          <w:sz w:val="24"/>
          <w:szCs w:val="24"/>
          <w:lang w:val="en-US"/>
        </w:rPr>
        <w:t xml:space="preserve">nomination form or a </w:t>
      </w:r>
      <w:r w:rsidR="00094532" w:rsidRPr="004B2B30">
        <w:rPr>
          <w:rFonts w:ascii="Arial" w:hAnsi="Arial" w:cs="Arial"/>
          <w:sz w:val="24"/>
          <w:szCs w:val="24"/>
          <w:lang w:val="en-US"/>
        </w:rPr>
        <w:t xml:space="preserve">testamentary instrument. </w:t>
      </w:r>
      <w:r w:rsidR="004D3E08" w:rsidRPr="004B2B30">
        <w:rPr>
          <w:rFonts w:ascii="Arial" w:hAnsi="Arial" w:cs="Arial"/>
          <w:sz w:val="24"/>
          <w:szCs w:val="24"/>
          <w:lang w:val="en-US"/>
        </w:rPr>
        <w:t xml:space="preserve">Murphy J summed up </w:t>
      </w:r>
      <w:r w:rsidR="004D3E08" w:rsidRPr="004B2B30">
        <w:rPr>
          <w:rFonts w:ascii="Arial" w:hAnsi="Arial" w:cs="Arial"/>
          <w:sz w:val="24"/>
          <w:szCs w:val="24"/>
          <w:lang w:val="en-US"/>
        </w:rPr>
        <w:lastRenderedPageBreak/>
        <w:t xml:space="preserve">the position in </w:t>
      </w:r>
      <w:r w:rsidR="00C52095" w:rsidRPr="004B2B30">
        <w:rPr>
          <w:rFonts w:ascii="Arial" w:hAnsi="Arial" w:cs="Arial"/>
          <w:b/>
          <w:bCs/>
          <w:sz w:val="24"/>
          <w:szCs w:val="24"/>
          <w:lang w:val="en-US"/>
        </w:rPr>
        <w:t>The Municipal Workers Retirement Fund v Mabula</w:t>
      </w:r>
      <w:r w:rsidR="00B468E9" w:rsidRPr="004B2B30">
        <w:rPr>
          <w:rFonts w:ascii="Arial" w:hAnsi="Arial" w:cs="Arial"/>
          <w:b/>
          <w:bCs/>
          <w:sz w:val="24"/>
          <w:szCs w:val="24"/>
          <w:lang w:val="en-US"/>
        </w:rPr>
        <w:t xml:space="preserve"> and Another</w:t>
      </w:r>
      <w:r w:rsidR="00B468E9" w:rsidRPr="00D52D68">
        <w:rPr>
          <w:rStyle w:val="FootnoteReference"/>
          <w:rFonts w:ascii="Arial" w:hAnsi="Arial" w:cs="Arial"/>
          <w:sz w:val="24"/>
          <w:szCs w:val="24"/>
          <w:lang w:val="en-US"/>
        </w:rPr>
        <w:footnoteReference w:id="5"/>
      </w:r>
      <w:r w:rsidR="007256D2" w:rsidRPr="004B2B30">
        <w:rPr>
          <w:rFonts w:ascii="Arial" w:hAnsi="Arial" w:cs="Arial"/>
          <w:sz w:val="24"/>
          <w:szCs w:val="24"/>
          <w:lang w:val="en-US"/>
        </w:rPr>
        <w:t xml:space="preserve"> as follows:</w:t>
      </w:r>
    </w:p>
    <w:p w14:paraId="377B88DA" w14:textId="77777777" w:rsidR="00127B52" w:rsidRDefault="00127B52" w:rsidP="00127B52">
      <w:pPr>
        <w:pStyle w:val="ListParagraph"/>
        <w:spacing w:line="480" w:lineRule="auto"/>
        <w:ind w:left="142"/>
        <w:jc w:val="both"/>
        <w:rPr>
          <w:rFonts w:ascii="Arial" w:hAnsi="Arial" w:cs="Arial"/>
          <w:sz w:val="24"/>
          <w:szCs w:val="24"/>
          <w:lang w:val="en-US"/>
        </w:rPr>
      </w:pPr>
    </w:p>
    <w:p w14:paraId="1C19B1F9" w14:textId="32C7C247" w:rsidR="00127B52" w:rsidRDefault="000A52BE" w:rsidP="00127B52">
      <w:pPr>
        <w:pStyle w:val="ListParagraph"/>
        <w:spacing w:line="480" w:lineRule="auto"/>
        <w:ind w:left="142"/>
        <w:jc w:val="both"/>
        <w:rPr>
          <w:rFonts w:ascii="Arial" w:hAnsi="Arial" w:cs="Arial"/>
          <w:sz w:val="24"/>
          <w:szCs w:val="24"/>
          <w:shd w:val="clear" w:color="auto" w:fill="FFFFFF"/>
        </w:rPr>
      </w:pPr>
      <w:r w:rsidRPr="00D52D68">
        <w:rPr>
          <w:rFonts w:ascii="Arial" w:hAnsi="Arial" w:cs="Arial"/>
          <w:sz w:val="24"/>
          <w:szCs w:val="24"/>
          <w:shd w:val="clear" w:color="auto" w:fill="FFFFFF"/>
        </w:rPr>
        <w:t>“</w:t>
      </w:r>
      <w:r w:rsidRPr="00D52D68">
        <w:rPr>
          <w:rFonts w:ascii="Arial" w:hAnsi="Arial" w:cs="Arial"/>
          <w:i/>
          <w:iCs/>
          <w:sz w:val="24"/>
          <w:szCs w:val="24"/>
          <w:shd w:val="clear" w:color="auto" w:fill="FFFFFF"/>
        </w:rPr>
        <w:t>Section 37C of the PFA is intended to serve a social function. It was enacted to protect dependency, even over the clear wishes of the deceased. Its purpose is to alleviate, in part, the financial hardship in which the deceased's dependants might find themselves on the loss of their source of income and support. The effect of the section is that the fund is expressly not bound by either a will or a nomination form. The section specifically restricts freedom of testation in order that no dependants are left without support and the fund is expressly not bound by a will, nor is it bound by the nomination form. The provision explicitly denies the member of a fund the right to determine how the benefit is to be disposed of by the fund.</w:t>
      </w:r>
      <w:r w:rsidRPr="00D52D68">
        <w:rPr>
          <w:rFonts w:ascii="Arial" w:hAnsi="Arial" w:cs="Arial"/>
          <w:sz w:val="24"/>
          <w:szCs w:val="24"/>
          <w:shd w:val="clear" w:color="auto" w:fill="FFFFFF"/>
        </w:rPr>
        <w:t>”</w:t>
      </w:r>
      <w:r w:rsidRPr="00D52D68">
        <w:rPr>
          <w:rStyle w:val="FootnoteReference"/>
          <w:rFonts w:ascii="Arial" w:hAnsi="Arial" w:cs="Arial"/>
          <w:sz w:val="24"/>
          <w:szCs w:val="24"/>
          <w:shd w:val="clear" w:color="auto" w:fill="FFFFFF"/>
        </w:rPr>
        <w:footnoteReference w:id="6"/>
      </w:r>
    </w:p>
    <w:p w14:paraId="3474DF95" w14:textId="77777777" w:rsidR="00127B52" w:rsidRPr="00127B52" w:rsidRDefault="00127B52" w:rsidP="00127B52">
      <w:pPr>
        <w:pStyle w:val="ListParagraph"/>
        <w:spacing w:line="480" w:lineRule="auto"/>
        <w:ind w:left="142"/>
        <w:jc w:val="both"/>
        <w:rPr>
          <w:rFonts w:ascii="Arial" w:hAnsi="Arial" w:cs="Arial"/>
          <w:sz w:val="24"/>
          <w:szCs w:val="24"/>
          <w:shd w:val="clear" w:color="auto" w:fill="FFFFFF"/>
        </w:rPr>
      </w:pPr>
    </w:p>
    <w:p w14:paraId="50D0ED58" w14:textId="016646D7" w:rsidR="00AC1ABB"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8217B8" w:rsidRPr="004B2B30">
        <w:rPr>
          <w:rFonts w:ascii="Arial" w:hAnsi="Arial" w:cs="Arial"/>
          <w:sz w:val="24"/>
          <w:szCs w:val="24"/>
          <w:lang w:val="en-US"/>
        </w:rPr>
        <w:t xml:space="preserve">The adjudicator, whose decision is on appeal </w:t>
      </w:r>
      <w:r w:rsidR="008217B8" w:rsidRPr="004B2B30">
        <w:rPr>
          <w:rFonts w:ascii="Arial" w:hAnsi="Arial" w:cs="Arial"/>
          <w:i/>
          <w:iCs/>
          <w:sz w:val="24"/>
          <w:szCs w:val="24"/>
          <w:lang w:val="en-US"/>
        </w:rPr>
        <w:t xml:space="preserve">in casu, </w:t>
      </w:r>
      <w:r w:rsidR="00F53B4E" w:rsidRPr="004B2B30">
        <w:rPr>
          <w:rFonts w:ascii="Arial" w:hAnsi="Arial" w:cs="Arial"/>
          <w:sz w:val="24"/>
          <w:szCs w:val="24"/>
          <w:lang w:val="en-US"/>
        </w:rPr>
        <w:t>has the power</w:t>
      </w:r>
      <w:r w:rsidR="00BD41BD" w:rsidRPr="004B2B30">
        <w:rPr>
          <w:rFonts w:ascii="Arial" w:hAnsi="Arial" w:cs="Arial"/>
          <w:sz w:val="24"/>
          <w:szCs w:val="24"/>
          <w:lang w:val="en-US"/>
        </w:rPr>
        <w:t xml:space="preserve"> to interfere with the </w:t>
      </w:r>
      <w:r w:rsidR="00F56F22" w:rsidRPr="004B2B30">
        <w:rPr>
          <w:rFonts w:ascii="Arial" w:hAnsi="Arial" w:cs="Arial"/>
          <w:sz w:val="24"/>
          <w:szCs w:val="24"/>
          <w:lang w:val="en-US"/>
        </w:rPr>
        <w:t xml:space="preserve">pension fund’s </w:t>
      </w:r>
      <w:r w:rsidR="00BD41BD" w:rsidRPr="004B2B30">
        <w:rPr>
          <w:rFonts w:ascii="Arial" w:hAnsi="Arial" w:cs="Arial"/>
          <w:sz w:val="24"/>
          <w:szCs w:val="24"/>
          <w:lang w:val="en-US"/>
        </w:rPr>
        <w:t>decision</w:t>
      </w:r>
      <w:r w:rsidR="00F56F22" w:rsidRPr="004B2B30">
        <w:rPr>
          <w:rFonts w:ascii="Arial" w:hAnsi="Arial" w:cs="Arial"/>
          <w:sz w:val="24"/>
          <w:szCs w:val="24"/>
          <w:lang w:val="en-US"/>
        </w:rPr>
        <w:t>.</w:t>
      </w:r>
      <w:r w:rsidR="00BF1131" w:rsidRPr="004B2B30">
        <w:rPr>
          <w:rFonts w:ascii="Arial" w:hAnsi="Arial" w:cs="Arial"/>
          <w:sz w:val="24"/>
          <w:szCs w:val="24"/>
          <w:lang w:val="en-US"/>
        </w:rPr>
        <w:t xml:space="preserve"> His</w:t>
      </w:r>
      <w:r w:rsidR="00473FF0" w:rsidRPr="004B2B30">
        <w:rPr>
          <w:rFonts w:ascii="Arial" w:hAnsi="Arial" w:cs="Arial"/>
          <w:sz w:val="24"/>
          <w:szCs w:val="24"/>
          <w:lang w:val="en-US"/>
        </w:rPr>
        <w:t xml:space="preserve"> or her</w:t>
      </w:r>
      <w:r w:rsidR="00BF1131" w:rsidRPr="004B2B30">
        <w:rPr>
          <w:rFonts w:ascii="Arial" w:hAnsi="Arial" w:cs="Arial"/>
          <w:sz w:val="24"/>
          <w:szCs w:val="24"/>
          <w:lang w:val="en-US"/>
        </w:rPr>
        <w:t xml:space="preserve"> powers are </w:t>
      </w:r>
      <w:r w:rsidR="00930C4E" w:rsidRPr="004B2B30">
        <w:rPr>
          <w:rFonts w:ascii="Arial" w:hAnsi="Arial" w:cs="Arial"/>
          <w:sz w:val="24"/>
          <w:szCs w:val="24"/>
          <w:lang w:val="en-US"/>
        </w:rPr>
        <w:t xml:space="preserve">conscribed in </w:t>
      </w:r>
      <w:r w:rsidR="00956BA7" w:rsidRPr="004B2B30">
        <w:rPr>
          <w:rFonts w:ascii="Arial" w:hAnsi="Arial" w:cs="Arial"/>
          <w:sz w:val="24"/>
          <w:szCs w:val="24"/>
          <w:lang w:val="en-US"/>
        </w:rPr>
        <w:t>chapter VA of the Act</w:t>
      </w:r>
      <w:r w:rsidR="00297FE5" w:rsidRPr="004B2B30">
        <w:rPr>
          <w:rFonts w:ascii="Arial" w:hAnsi="Arial" w:cs="Arial"/>
          <w:sz w:val="24"/>
          <w:szCs w:val="24"/>
          <w:lang w:val="en-US"/>
        </w:rPr>
        <w:t xml:space="preserve">, </w:t>
      </w:r>
      <w:r w:rsidR="002E74DE" w:rsidRPr="004B2B30">
        <w:rPr>
          <w:rFonts w:ascii="Arial" w:hAnsi="Arial" w:cs="Arial"/>
          <w:sz w:val="24"/>
          <w:szCs w:val="24"/>
          <w:lang w:val="en-US"/>
        </w:rPr>
        <w:t xml:space="preserve">and </w:t>
      </w:r>
      <w:r w:rsidR="00DE7D47" w:rsidRPr="004B2B30">
        <w:rPr>
          <w:rFonts w:ascii="Arial" w:hAnsi="Arial" w:cs="Arial"/>
          <w:sz w:val="24"/>
          <w:szCs w:val="24"/>
          <w:lang w:val="en-US"/>
        </w:rPr>
        <w:t>his</w:t>
      </w:r>
      <w:r w:rsidR="001B5C8D" w:rsidRPr="004B2B30">
        <w:rPr>
          <w:rFonts w:ascii="Arial" w:hAnsi="Arial" w:cs="Arial"/>
          <w:sz w:val="24"/>
          <w:szCs w:val="24"/>
          <w:lang w:val="en-US"/>
        </w:rPr>
        <w:t xml:space="preserve"> or her</w:t>
      </w:r>
      <w:r w:rsidR="00DE7D47" w:rsidRPr="004B2B30">
        <w:rPr>
          <w:rFonts w:ascii="Arial" w:hAnsi="Arial" w:cs="Arial"/>
          <w:sz w:val="24"/>
          <w:szCs w:val="24"/>
          <w:lang w:val="en-US"/>
        </w:rPr>
        <w:t xml:space="preserve"> duties include disposing of complaints</w:t>
      </w:r>
      <w:r w:rsidR="00EA64A6" w:rsidRPr="00D52D68">
        <w:rPr>
          <w:rStyle w:val="FootnoteReference"/>
          <w:rFonts w:ascii="Arial" w:hAnsi="Arial" w:cs="Arial"/>
          <w:sz w:val="24"/>
          <w:szCs w:val="24"/>
          <w:lang w:val="en-US"/>
        </w:rPr>
        <w:footnoteReference w:id="7"/>
      </w:r>
      <w:r w:rsidR="00DE7D47" w:rsidRPr="004B2B30">
        <w:rPr>
          <w:rFonts w:ascii="Arial" w:hAnsi="Arial" w:cs="Arial"/>
          <w:sz w:val="24"/>
          <w:szCs w:val="24"/>
          <w:lang w:val="en-US"/>
        </w:rPr>
        <w:t xml:space="preserve"> lodged in terms of </w:t>
      </w:r>
      <w:r w:rsidR="003F5DE3" w:rsidRPr="004B2B30">
        <w:rPr>
          <w:rFonts w:ascii="Arial" w:hAnsi="Arial" w:cs="Arial"/>
          <w:sz w:val="24"/>
          <w:szCs w:val="24"/>
          <w:lang w:val="en-US"/>
        </w:rPr>
        <w:t xml:space="preserve">section 30A </w:t>
      </w:r>
      <w:r w:rsidR="00473FF0" w:rsidRPr="004B2B30">
        <w:rPr>
          <w:rFonts w:ascii="Arial" w:hAnsi="Arial" w:cs="Arial"/>
          <w:sz w:val="24"/>
          <w:szCs w:val="24"/>
          <w:lang w:val="en-US"/>
        </w:rPr>
        <w:t xml:space="preserve">(3) </w:t>
      </w:r>
      <w:r w:rsidR="00512526" w:rsidRPr="004B2B30">
        <w:rPr>
          <w:rFonts w:ascii="Arial" w:hAnsi="Arial" w:cs="Arial"/>
          <w:sz w:val="24"/>
          <w:szCs w:val="24"/>
          <w:lang w:val="en-US"/>
        </w:rPr>
        <w:t xml:space="preserve">the Act. </w:t>
      </w:r>
      <w:r w:rsidR="009520CE" w:rsidRPr="004B2B30">
        <w:rPr>
          <w:rFonts w:ascii="Arial" w:hAnsi="Arial" w:cs="Arial"/>
          <w:sz w:val="24"/>
          <w:szCs w:val="24"/>
          <w:lang w:val="en-US"/>
        </w:rPr>
        <w:t xml:space="preserve">In terms of </w:t>
      </w:r>
      <w:r w:rsidR="00B4383D" w:rsidRPr="004B2B30">
        <w:rPr>
          <w:rFonts w:ascii="Arial" w:hAnsi="Arial" w:cs="Arial"/>
          <w:sz w:val="24"/>
          <w:szCs w:val="24"/>
          <w:lang w:val="en-US"/>
        </w:rPr>
        <w:t>chapter VA, the adjudicator is enjoined to investigate any complaint, and in terms o</w:t>
      </w:r>
      <w:r w:rsidR="001B5C8D" w:rsidRPr="004B2B30">
        <w:rPr>
          <w:rFonts w:ascii="Arial" w:hAnsi="Arial" w:cs="Arial"/>
          <w:sz w:val="24"/>
          <w:szCs w:val="24"/>
          <w:lang w:val="en-US"/>
        </w:rPr>
        <w:t>f</w:t>
      </w:r>
      <w:r w:rsidR="00B4383D" w:rsidRPr="004B2B30">
        <w:rPr>
          <w:rFonts w:ascii="Arial" w:hAnsi="Arial" w:cs="Arial"/>
          <w:sz w:val="24"/>
          <w:szCs w:val="24"/>
          <w:lang w:val="en-US"/>
        </w:rPr>
        <w:t xml:space="preserve"> section </w:t>
      </w:r>
      <w:r w:rsidR="001E4021" w:rsidRPr="004B2B30">
        <w:rPr>
          <w:rFonts w:ascii="Arial" w:hAnsi="Arial" w:cs="Arial"/>
          <w:sz w:val="24"/>
          <w:szCs w:val="24"/>
          <w:lang w:val="en-US"/>
        </w:rPr>
        <w:t>30M</w:t>
      </w:r>
      <w:r w:rsidR="00127B52" w:rsidRPr="004B2B30">
        <w:rPr>
          <w:rFonts w:ascii="Arial" w:hAnsi="Arial" w:cs="Arial"/>
          <w:sz w:val="24"/>
          <w:szCs w:val="24"/>
          <w:lang w:val="en-US"/>
        </w:rPr>
        <w:t xml:space="preserve"> he or she must</w:t>
      </w:r>
      <w:r w:rsidR="001E4021" w:rsidRPr="004B2B30">
        <w:rPr>
          <w:rFonts w:ascii="Arial" w:hAnsi="Arial" w:cs="Arial"/>
          <w:sz w:val="24"/>
          <w:szCs w:val="24"/>
          <w:lang w:val="en-US"/>
        </w:rPr>
        <w:t xml:space="preserve">, after </w:t>
      </w:r>
      <w:r w:rsidR="00B95F7A" w:rsidRPr="004B2B30">
        <w:rPr>
          <w:rFonts w:ascii="Arial" w:hAnsi="Arial" w:cs="Arial"/>
          <w:sz w:val="24"/>
          <w:szCs w:val="24"/>
          <w:lang w:val="en-US"/>
        </w:rPr>
        <w:t xml:space="preserve">the </w:t>
      </w:r>
      <w:r w:rsidR="001E4021" w:rsidRPr="004B2B30">
        <w:rPr>
          <w:rFonts w:ascii="Arial" w:hAnsi="Arial" w:cs="Arial"/>
          <w:sz w:val="24"/>
          <w:szCs w:val="24"/>
          <w:lang w:val="en-US"/>
        </w:rPr>
        <w:lastRenderedPageBreak/>
        <w:t xml:space="preserve">completion of such </w:t>
      </w:r>
      <w:r w:rsidR="00B95F7A" w:rsidRPr="004B2B30">
        <w:rPr>
          <w:rFonts w:ascii="Arial" w:hAnsi="Arial" w:cs="Arial"/>
          <w:sz w:val="24"/>
          <w:szCs w:val="24"/>
          <w:lang w:val="en-US"/>
        </w:rPr>
        <w:t xml:space="preserve">an </w:t>
      </w:r>
      <w:r w:rsidR="001E4021" w:rsidRPr="004B2B30">
        <w:rPr>
          <w:rFonts w:ascii="Arial" w:hAnsi="Arial" w:cs="Arial"/>
          <w:sz w:val="24"/>
          <w:szCs w:val="24"/>
          <w:lang w:val="en-US"/>
        </w:rPr>
        <w:t xml:space="preserve">investigation, </w:t>
      </w:r>
      <w:r w:rsidR="00841619" w:rsidRPr="004B2B30">
        <w:rPr>
          <w:rFonts w:ascii="Arial" w:hAnsi="Arial" w:cs="Arial"/>
          <w:sz w:val="24"/>
          <w:szCs w:val="24"/>
          <w:lang w:val="en-US"/>
        </w:rPr>
        <w:t xml:space="preserve">send a </w:t>
      </w:r>
      <w:r w:rsidR="007300EF" w:rsidRPr="004B2B30">
        <w:rPr>
          <w:rFonts w:ascii="Arial" w:hAnsi="Arial" w:cs="Arial"/>
          <w:sz w:val="24"/>
          <w:szCs w:val="24"/>
          <w:lang w:val="en-US"/>
        </w:rPr>
        <w:t xml:space="preserve">signed </w:t>
      </w:r>
      <w:r w:rsidR="00841619" w:rsidRPr="004B2B30">
        <w:rPr>
          <w:rFonts w:ascii="Arial" w:hAnsi="Arial" w:cs="Arial"/>
          <w:sz w:val="24"/>
          <w:szCs w:val="24"/>
          <w:lang w:val="en-US"/>
        </w:rPr>
        <w:t xml:space="preserve">statement containing his or her </w:t>
      </w:r>
      <w:r w:rsidR="001A6736" w:rsidRPr="004B2B30">
        <w:rPr>
          <w:rFonts w:ascii="Arial" w:hAnsi="Arial" w:cs="Arial"/>
          <w:sz w:val="24"/>
          <w:szCs w:val="24"/>
          <w:lang w:val="en-US"/>
        </w:rPr>
        <w:t>determination and the reasons therefore</w:t>
      </w:r>
      <w:r w:rsidR="007300EF" w:rsidRPr="004B2B30">
        <w:rPr>
          <w:rFonts w:ascii="Arial" w:hAnsi="Arial" w:cs="Arial"/>
          <w:sz w:val="24"/>
          <w:szCs w:val="24"/>
          <w:lang w:val="en-US"/>
        </w:rPr>
        <w:t xml:space="preserve"> to all parties concerned, as well as to </w:t>
      </w:r>
      <w:r w:rsidR="00053871" w:rsidRPr="004B2B30">
        <w:rPr>
          <w:rFonts w:ascii="Arial" w:hAnsi="Arial" w:cs="Arial"/>
          <w:sz w:val="24"/>
          <w:szCs w:val="24"/>
          <w:lang w:val="en-US"/>
        </w:rPr>
        <w:t xml:space="preserve">the clerk or registrar of the court which would have had jurisdiction </w:t>
      </w:r>
      <w:r w:rsidR="0058214E" w:rsidRPr="004B2B30">
        <w:rPr>
          <w:rFonts w:ascii="Arial" w:hAnsi="Arial" w:cs="Arial"/>
          <w:sz w:val="24"/>
          <w:szCs w:val="24"/>
          <w:lang w:val="en-US"/>
        </w:rPr>
        <w:t>had the matter been heard by a court.</w:t>
      </w:r>
    </w:p>
    <w:p w14:paraId="6FBAD0C7" w14:textId="77777777" w:rsidR="000E3806" w:rsidRDefault="000E3806" w:rsidP="000E3806">
      <w:pPr>
        <w:pStyle w:val="ListParagraph"/>
        <w:spacing w:line="480" w:lineRule="auto"/>
        <w:ind w:left="142"/>
        <w:jc w:val="both"/>
        <w:rPr>
          <w:rFonts w:ascii="Arial" w:hAnsi="Arial" w:cs="Arial"/>
          <w:sz w:val="24"/>
          <w:szCs w:val="24"/>
          <w:lang w:val="en-US"/>
        </w:rPr>
      </w:pPr>
    </w:p>
    <w:p w14:paraId="50920EDE" w14:textId="1558DBA8" w:rsidR="000E3806" w:rsidRPr="004B2B30" w:rsidRDefault="004B2B30" w:rsidP="004B2B30">
      <w:pPr>
        <w:spacing w:line="480" w:lineRule="auto"/>
        <w:ind w:firstLine="142"/>
        <w:jc w:val="both"/>
        <w:rPr>
          <w:rFonts w:ascii="Arial" w:hAnsi="Arial" w:cs="Arial"/>
          <w:sz w:val="24"/>
          <w:szCs w:val="24"/>
          <w:lang w:val="en-US"/>
        </w:rPr>
      </w:pPr>
      <w:r w:rsidRPr="000E3806">
        <w:rPr>
          <w:rFonts w:ascii="Arial" w:hAnsi="Arial" w:cs="Arial"/>
          <w:sz w:val="24"/>
          <w:szCs w:val="24"/>
          <w:lang w:val="en-US"/>
        </w:rPr>
        <w:t>[22]</w:t>
      </w:r>
      <w:r w:rsidRPr="000E3806">
        <w:rPr>
          <w:rFonts w:ascii="Arial" w:hAnsi="Arial" w:cs="Arial"/>
          <w:sz w:val="24"/>
          <w:szCs w:val="24"/>
          <w:lang w:val="en-US"/>
        </w:rPr>
        <w:tab/>
      </w:r>
      <w:r w:rsidR="00E6139B" w:rsidRPr="004B2B30">
        <w:rPr>
          <w:rFonts w:ascii="Arial" w:hAnsi="Arial" w:cs="Arial"/>
          <w:sz w:val="24"/>
          <w:szCs w:val="24"/>
          <w:lang w:val="en-US"/>
        </w:rPr>
        <w:t xml:space="preserve">The High Court, in turn, has </w:t>
      </w:r>
      <w:r w:rsidR="00090CC5" w:rsidRPr="004B2B30">
        <w:rPr>
          <w:rFonts w:ascii="Arial" w:hAnsi="Arial" w:cs="Arial"/>
          <w:sz w:val="24"/>
          <w:szCs w:val="24"/>
          <w:lang w:val="en-US"/>
        </w:rPr>
        <w:t xml:space="preserve">jurisdiction to consider an appeal </w:t>
      </w:r>
      <w:r w:rsidR="0058214E" w:rsidRPr="004B2B30">
        <w:rPr>
          <w:rFonts w:ascii="Arial" w:hAnsi="Arial" w:cs="Arial"/>
          <w:sz w:val="24"/>
          <w:szCs w:val="24"/>
          <w:lang w:val="en-US"/>
        </w:rPr>
        <w:t>against</w:t>
      </w:r>
      <w:r w:rsidR="00E20A5A" w:rsidRPr="004B2B30">
        <w:rPr>
          <w:rFonts w:ascii="Arial" w:hAnsi="Arial" w:cs="Arial"/>
          <w:sz w:val="24"/>
          <w:szCs w:val="24"/>
          <w:lang w:val="en-US"/>
        </w:rPr>
        <w:t xml:space="preserve"> a determination by the adjudicator </w:t>
      </w:r>
      <w:r w:rsidR="00183CA9" w:rsidRPr="004B2B30">
        <w:rPr>
          <w:rFonts w:ascii="Arial" w:hAnsi="Arial" w:cs="Arial"/>
          <w:sz w:val="24"/>
          <w:szCs w:val="24"/>
          <w:lang w:val="en-US"/>
        </w:rPr>
        <w:t>in terms of section 30P of the Act. The section provides:</w:t>
      </w:r>
      <w:r w:rsidR="000E3806" w:rsidRPr="004B2B30">
        <w:rPr>
          <w:rFonts w:ascii="Arial" w:hAnsi="Arial" w:cs="Arial"/>
          <w:sz w:val="24"/>
          <w:szCs w:val="24"/>
        </w:rPr>
        <w:t xml:space="preserve"> “</w:t>
      </w:r>
    </w:p>
    <w:p w14:paraId="02C1BCE7" w14:textId="11B7BB1D" w:rsidR="000E3806" w:rsidRPr="00D52D68" w:rsidRDefault="000E3806" w:rsidP="000E3806">
      <w:pPr>
        <w:spacing w:line="480" w:lineRule="auto"/>
        <w:ind w:left="720"/>
        <w:jc w:val="both"/>
        <w:rPr>
          <w:rFonts w:ascii="Arial" w:hAnsi="Arial" w:cs="Arial"/>
          <w:i/>
          <w:iCs/>
          <w:sz w:val="24"/>
          <w:szCs w:val="24"/>
        </w:rPr>
      </w:pPr>
      <w:r w:rsidRPr="00D52D68">
        <w:rPr>
          <w:rFonts w:ascii="Arial" w:hAnsi="Arial" w:cs="Arial"/>
          <w:b/>
          <w:bCs/>
          <w:i/>
          <w:iCs/>
          <w:sz w:val="24"/>
          <w:szCs w:val="24"/>
        </w:rPr>
        <w:t>Access to court</w:t>
      </w:r>
      <w:r w:rsidRPr="00D52D68">
        <w:rPr>
          <w:rFonts w:ascii="Arial" w:hAnsi="Arial" w:cs="Arial"/>
          <w:i/>
          <w:iCs/>
          <w:sz w:val="24"/>
          <w:szCs w:val="24"/>
        </w:rPr>
        <w:t>.-</w:t>
      </w:r>
    </w:p>
    <w:p w14:paraId="5D78A7F5" w14:textId="77777777" w:rsidR="000E3806" w:rsidRPr="00D52D68" w:rsidRDefault="000E3806" w:rsidP="000E3806">
      <w:pPr>
        <w:spacing w:line="480" w:lineRule="auto"/>
        <w:ind w:left="720"/>
        <w:jc w:val="both"/>
        <w:rPr>
          <w:rFonts w:ascii="Arial" w:hAnsi="Arial" w:cs="Arial"/>
          <w:i/>
          <w:iCs/>
          <w:sz w:val="24"/>
          <w:szCs w:val="24"/>
        </w:rPr>
      </w:pPr>
      <w:r w:rsidRPr="00D52D68">
        <w:rPr>
          <w:rFonts w:ascii="Arial" w:hAnsi="Arial" w:cs="Arial"/>
          <w:i/>
          <w:iCs/>
          <w:sz w:val="24"/>
          <w:szCs w:val="24"/>
        </w:rPr>
        <w:t xml:space="preserve">(1) Any party who feels aggrieved by a determination of the Adjudicator may, within six weeks after the date of the determination, apply to the division of the High Court which has jurisdiction, for relief, and shall at the same time give written notice of his or her intention so to apply to the other parties to the complaint. </w:t>
      </w:r>
    </w:p>
    <w:p w14:paraId="78D04B21" w14:textId="77777777" w:rsidR="000E3806" w:rsidRPr="00D52D68" w:rsidRDefault="000E3806" w:rsidP="000E3806">
      <w:pPr>
        <w:spacing w:line="480" w:lineRule="auto"/>
        <w:ind w:left="720"/>
        <w:jc w:val="both"/>
        <w:rPr>
          <w:rFonts w:ascii="Arial" w:hAnsi="Arial" w:cs="Arial"/>
          <w:i/>
          <w:iCs/>
          <w:sz w:val="24"/>
          <w:szCs w:val="24"/>
        </w:rPr>
      </w:pPr>
      <w:r w:rsidRPr="00D52D68">
        <w:rPr>
          <w:rFonts w:ascii="Arial" w:hAnsi="Arial" w:cs="Arial"/>
          <w:i/>
          <w:iCs/>
          <w:sz w:val="24"/>
          <w:szCs w:val="24"/>
        </w:rPr>
        <w:t xml:space="preserve">(2) The division of the High Court contemplated in subsection (1) may consider the merits of the complaint made to the Adjudicator under section 30A (3) and on which the Adjudicator's determination was based, and may make any order it deems fit. </w:t>
      </w:r>
    </w:p>
    <w:p w14:paraId="69DF1BC2" w14:textId="77777777" w:rsidR="000E3806" w:rsidRPr="00D52D68" w:rsidRDefault="000E3806" w:rsidP="000E3806">
      <w:pPr>
        <w:spacing w:line="480" w:lineRule="auto"/>
        <w:ind w:left="720"/>
        <w:jc w:val="both"/>
        <w:rPr>
          <w:rFonts w:ascii="Arial" w:hAnsi="Arial" w:cs="Arial"/>
          <w:sz w:val="24"/>
          <w:szCs w:val="24"/>
          <w:lang w:val="en-US"/>
        </w:rPr>
      </w:pPr>
      <w:r w:rsidRPr="00D52D68">
        <w:rPr>
          <w:rFonts w:ascii="Arial" w:hAnsi="Arial" w:cs="Arial"/>
          <w:i/>
          <w:iCs/>
          <w:sz w:val="24"/>
          <w:szCs w:val="24"/>
        </w:rPr>
        <w:t>(3) Subsection (2) shall not affect the court's power to decide that sufficient evidence has been adduced on which a decision can be arrived at, and to order that no further evidence shall be adduced.</w:t>
      </w:r>
      <w:r w:rsidRPr="00D52D68">
        <w:rPr>
          <w:rFonts w:ascii="Arial" w:hAnsi="Arial" w:cs="Arial"/>
          <w:sz w:val="24"/>
          <w:szCs w:val="24"/>
        </w:rPr>
        <w:t>”</w:t>
      </w:r>
    </w:p>
    <w:p w14:paraId="527F8944" w14:textId="59800313" w:rsidR="00AC1ABB"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DC2E86" w:rsidRPr="004B2B30">
        <w:rPr>
          <w:rFonts w:ascii="Arial" w:hAnsi="Arial" w:cs="Arial"/>
          <w:sz w:val="24"/>
          <w:szCs w:val="24"/>
          <w:lang w:val="en-US"/>
        </w:rPr>
        <w:t xml:space="preserve">Section 30P affords </w:t>
      </w:r>
      <w:r w:rsidR="0097510A" w:rsidRPr="004B2B30">
        <w:rPr>
          <w:rFonts w:ascii="Arial" w:hAnsi="Arial" w:cs="Arial"/>
          <w:sz w:val="24"/>
          <w:szCs w:val="24"/>
          <w:lang w:val="en-US"/>
        </w:rPr>
        <w:t xml:space="preserve">a party </w:t>
      </w:r>
      <w:r w:rsidR="009A1A35" w:rsidRPr="004B2B30">
        <w:rPr>
          <w:rFonts w:ascii="Arial" w:hAnsi="Arial" w:cs="Arial"/>
          <w:sz w:val="24"/>
          <w:szCs w:val="24"/>
          <w:lang w:val="en-US"/>
        </w:rPr>
        <w:t xml:space="preserve">who is </w:t>
      </w:r>
      <w:r w:rsidR="0097510A" w:rsidRPr="004B2B30">
        <w:rPr>
          <w:rFonts w:ascii="Arial" w:hAnsi="Arial" w:cs="Arial"/>
          <w:sz w:val="24"/>
          <w:szCs w:val="24"/>
          <w:lang w:val="en-US"/>
        </w:rPr>
        <w:t xml:space="preserve">dissatisfied by the ruling of the adjudicator </w:t>
      </w:r>
      <w:r w:rsidR="002559DC" w:rsidRPr="004B2B30">
        <w:rPr>
          <w:rFonts w:ascii="Arial" w:hAnsi="Arial" w:cs="Arial"/>
          <w:sz w:val="24"/>
          <w:szCs w:val="24"/>
          <w:lang w:val="en-US"/>
        </w:rPr>
        <w:t xml:space="preserve">a complete re-hearing of the matter. </w:t>
      </w:r>
      <w:r w:rsidR="003133D7" w:rsidRPr="004B2B30">
        <w:rPr>
          <w:rFonts w:ascii="Arial" w:hAnsi="Arial" w:cs="Arial"/>
          <w:sz w:val="24"/>
          <w:szCs w:val="24"/>
          <w:lang w:val="en-US"/>
        </w:rPr>
        <w:t xml:space="preserve">This entails that the court is not confined to the </w:t>
      </w:r>
      <w:r w:rsidR="003133D7" w:rsidRPr="004B2B30">
        <w:rPr>
          <w:rFonts w:ascii="Arial" w:hAnsi="Arial" w:cs="Arial"/>
          <w:sz w:val="24"/>
          <w:szCs w:val="24"/>
          <w:lang w:val="en-US"/>
        </w:rPr>
        <w:lastRenderedPageBreak/>
        <w:t xml:space="preserve">record which was before the adjudicator, but </w:t>
      </w:r>
      <w:r w:rsidR="004A7812" w:rsidRPr="004B2B30">
        <w:rPr>
          <w:rFonts w:ascii="Arial" w:hAnsi="Arial" w:cs="Arial"/>
          <w:sz w:val="24"/>
          <w:szCs w:val="24"/>
          <w:lang w:val="en-US"/>
        </w:rPr>
        <w:t xml:space="preserve">may include </w:t>
      </w:r>
      <w:r w:rsidR="00F56F22" w:rsidRPr="004B2B30">
        <w:rPr>
          <w:rFonts w:ascii="Arial" w:hAnsi="Arial" w:cs="Arial"/>
          <w:sz w:val="24"/>
          <w:szCs w:val="24"/>
          <w:lang w:val="en-US"/>
        </w:rPr>
        <w:t>additional</w:t>
      </w:r>
      <w:r w:rsidR="004A7812" w:rsidRPr="004B2B30">
        <w:rPr>
          <w:rFonts w:ascii="Arial" w:hAnsi="Arial" w:cs="Arial"/>
          <w:sz w:val="24"/>
          <w:szCs w:val="24"/>
          <w:lang w:val="en-US"/>
        </w:rPr>
        <w:t xml:space="preserve"> evidence or information. As held in </w:t>
      </w:r>
      <w:r w:rsidR="004A7812" w:rsidRPr="004B2B30">
        <w:rPr>
          <w:rFonts w:ascii="Arial" w:hAnsi="Arial" w:cs="Arial"/>
          <w:b/>
          <w:bCs/>
          <w:sz w:val="24"/>
          <w:szCs w:val="24"/>
          <w:lang w:val="en-US"/>
        </w:rPr>
        <w:t xml:space="preserve">Meyer v </w:t>
      </w:r>
      <w:r w:rsidR="00791DED" w:rsidRPr="004B2B30">
        <w:rPr>
          <w:rFonts w:ascii="Arial" w:hAnsi="Arial" w:cs="Arial"/>
          <w:b/>
          <w:bCs/>
          <w:sz w:val="24"/>
          <w:szCs w:val="24"/>
          <w:lang w:val="en-US"/>
        </w:rPr>
        <w:t>Iscor Pension Fund</w:t>
      </w:r>
      <w:r w:rsidR="001002EB" w:rsidRPr="00D52D68">
        <w:rPr>
          <w:rStyle w:val="FootnoteReference"/>
          <w:rFonts w:ascii="Arial" w:hAnsi="Arial" w:cs="Arial"/>
          <w:sz w:val="24"/>
          <w:szCs w:val="24"/>
          <w:lang w:val="en-US"/>
        </w:rPr>
        <w:footnoteReference w:id="8"/>
      </w:r>
      <w:r w:rsidR="0043503C" w:rsidRPr="004B2B30">
        <w:rPr>
          <w:rFonts w:ascii="Arial" w:hAnsi="Arial" w:cs="Arial"/>
          <w:sz w:val="24"/>
          <w:szCs w:val="24"/>
          <w:lang w:val="en-US"/>
        </w:rPr>
        <w:t>:</w:t>
      </w:r>
    </w:p>
    <w:p w14:paraId="6E259338" w14:textId="77777777" w:rsidR="000E3806" w:rsidRDefault="000E3806" w:rsidP="000E3806">
      <w:pPr>
        <w:pStyle w:val="ListParagraph"/>
        <w:spacing w:line="480" w:lineRule="auto"/>
        <w:ind w:left="360"/>
        <w:jc w:val="both"/>
        <w:rPr>
          <w:rFonts w:ascii="Arial" w:hAnsi="Arial" w:cs="Arial"/>
          <w:sz w:val="24"/>
          <w:szCs w:val="24"/>
          <w:lang w:val="en-US"/>
        </w:rPr>
      </w:pPr>
    </w:p>
    <w:p w14:paraId="592DD998" w14:textId="4F1DCA8C" w:rsidR="000E3806" w:rsidRDefault="000E3806" w:rsidP="000E3806">
      <w:pPr>
        <w:pStyle w:val="ListParagraph"/>
        <w:spacing w:line="480" w:lineRule="auto"/>
        <w:ind w:left="360"/>
        <w:jc w:val="both"/>
        <w:rPr>
          <w:rFonts w:ascii="Arial" w:hAnsi="Arial" w:cs="Arial"/>
          <w:sz w:val="24"/>
          <w:szCs w:val="24"/>
          <w:lang w:val="en-GB"/>
        </w:rPr>
      </w:pPr>
      <w:r w:rsidRPr="00D52D68">
        <w:rPr>
          <w:rFonts w:ascii="Arial" w:hAnsi="Arial" w:cs="Arial"/>
          <w:sz w:val="24"/>
          <w:szCs w:val="24"/>
          <w:lang w:val="en-US"/>
        </w:rPr>
        <w:t>“</w:t>
      </w:r>
      <w:r w:rsidRPr="00D52D68">
        <w:rPr>
          <w:rFonts w:ascii="Arial" w:hAnsi="Arial" w:cs="Arial"/>
          <w:i/>
          <w:iCs/>
          <w:sz w:val="24"/>
          <w:szCs w:val="24"/>
          <w:lang w:val="en-GB"/>
        </w:rPr>
        <w:t>From the wording of s30P (2) it is clear that the appeal to the High Court contemplated is an appeal in the wide sense. The High Court is therefore not limited to a decision whether the adjudicator's determination was right or wrong. Neither is it confined to the evidence or the grounds upon which the adjudicator's determination was based. The Court can consider the matter afresh and make any order it deems fit. At the same time, however, the High Court’s jurisdiction is limited by s 30</w:t>
      </w:r>
      <w:r w:rsidR="00151844" w:rsidRPr="00D52D68">
        <w:rPr>
          <w:rFonts w:ascii="Arial" w:hAnsi="Arial" w:cs="Arial"/>
          <w:i/>
          <w:iCs/>
          <w:sz w:val="24"/>
          <w:szCs w:val="24"/>
          <w:lang w:val="en-GB"/>
        </w:rPr>
        <w:t>P (</w:t>
      </w:r>
      <w:r w:rsidRPr="00D52D68">
        <w:rPr>
          <w:rFonts w:ascii="Arial" w:hAnsi="Arial" w:cs="Arial"/>
          <w:i/>
          <w:iCs/>
          <w:sz w:val="24"/>
          <w:szCs w:val="24"/>
          <w:lang w:val="en-GB"/>
        </w:rPr>
        <w:t>2) to a consideration of ‘the merits of the complaint in question’.</w:t>
      </w:r>
      <w:r w:rsidRPr="00D52D68">
        <w:rPr>
          <w:rFonts w:ascii="Arial" w:hAnsi="Arial" w:cs="Arial"/>
          <w:sz w:val="24"/>
          <w:szCs w:val="24"/>
          <w:lang w:val="en-GB"/>
        </w:rPr>
        <w:t>”</w:t>
      </w:r>
    </w:p>
    <w:p w14:paraId="2D80970D" w14:textId="77777777" w:rsidR="000E3806" w:rsidRPr="00D52D68" w:rsidRDefault="000E3806" w:rsidP="000E3806">
      <w:pPr>
        <w:pStyle w:val="ListParagraph"/>
        <w:spacing w:line="480" w:lineRule="auto"/>
        <w:ind w:left="360"/>
        <w:jc w:val="both"/>
        <w:rPr>
          <w:rFonts w:ascii="Arial" w:hAnsi="Arial" w:cs="Arial"/>
          <w:sz w:val="24"/>
          <w:szCs w:val="24"/>
          <w:lang w:val="en-GB"/>
        </w:rPr>
      </w:pPr>
    </w:p>
    <w:p w14:paraId="549C6F85" w14:textId="08DE022D" w:rsidR="000E3806" w:rsidRDefault="000E3806" w:rsidP="000E3806">
      <w:pPr>
        <w:spacing w:line="480" w:lineRule="auto"/>
        <w:jc w:val="both"/>
        <w:rPr>
          <w:rFonts w:ascii="Arial" w:hAnsi="Arial" w:cs="Arial"/>
          <w:b/>
          <w:bCs/>
          <w:sz w:val="24"/>
          <w:szCs w:val="24"/>
          <w:lang w:val="en-GB"/>
        </w:rPr>
      </w:pPr>
      <w:r w:rsidRPr="000E3806">
        <w:rPr>
          <w:rFonts w:ascii="Arial" w:hAnsi="Arial" w:cs="Arial"/>
          <w:b/>
          <w:bCs/>
          <w:sz w:val="24"/>
          <w:szCs w:val="24"/>
          <w:lang w:val="en-GB"/>
        </w:rPr>
        <w:t>Submissions by the applicants</w:t>
      </w:r>
    </w:p>
    <w:p w14:paraId="2DFC88C6" w14:textId="77777777" w:rsidR="00850F08" w:rsidRPr="000E3806" w:rsidRDefault="00850F08" w:rsidP="000E3806">
      <w:pPr>
        <w:spacing w:line="480" w:lineRule="auto"/>
        <w:jc w:val="both"/>
        <w:rPr>
          <w:rFonts w:ascii="Arial" w:hAnsi="Arial" w:cs="Arial"/>
          <w:sz w:val="24"/>
          <w:szCs w:val="24"/>
          <w:lang w:val="en-GB"/>
        </w:rPr>
      </w:pPr>
    </w:p>
    <w:p w14:paraId="75659F30" w14:textId="54ACB0BF" w:rsidR="00B9432E"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B03BBF" w:rsidRPr="004B2B30">
        <w:rPr>
          <w:rFonts w:ascii="Arial" w:hAnsi="Arial" w:cs="Arial"/>
          <w:sz w:val="24"/>
          <w:szCs w:val="24"/>
          <w:lang w:val="en-US"/>
        </w:rPr>
        <w:t xml:space="preserve">The </w:t>
      </w:r>
      <w:r w:rsidR="00DD2BC0" w:rsidRPr="004B2B30">
        <w:rPr>
          <w:rFonts w:ascii="Arial" w:hAnsi="Arial" w:cs="Arial"/>
          <w:sz w:val="24"/>
          <w:szCs w:val="24"/>
          <w:lang w:val="en-US"/>
        </w:rPr>
        <w:t xml:space="preserve"> essence</w:t>
      </w:r>
      <w:r w:rsidR="00B03BBF" w:rsidRPr="004B2B30">
        <w:rPr>
          <w:rFonts w:ascii="Arial" w:hAnsi="Arial" w:cs="Arial"/>
          <w:sz w:val="24"/>
          <w:szCs w:val="24"/>
          <w:lang w:val="en-US"/>
        </w:rPr>
        <w:t xml:space="preserve"> of the </w:t>
      </w:r>
      <w:r w:rsidR="00DD2BC0" w:rsidRPr="004B2B30">
        <w:rPr>
          <w:rFonts w:ascii="Arial" w:hAnsi="Arial" w:cs="Arial"/>
          <w:sz w:val="24"/>
          <w:szCs w:val="24"/>
          <w:lang w:val="en-US"/>
        </w:rPr>
        <w:t xml:space="preserve">grievance of the </w:t>
      </w:r>
      <w:r w:rsidR="00820CC2" w:rsidRPr="004B2B30">
        <w:rPr>
          <w:rFonts w:ascii="Arial" w:hAnsi="Arial" w:cs="Arial"/>
          <w:sz w:val="24"/>
          <w:szCs w:val="24"/>
          <w:lang w:val="en-US"/>
        </w:rPr>
        <w:t xml:space="preserve">applicant’s grievance </w:t>
      </w:r>
      <w:r w:rsidR="00B03BBF" w:rsidRPr="004B2B30">
        <w:rPr>
          <w:rFonts w:ascii="Arial" w:hAnsi="Arial" w:cs="Arial"/>
          <w:sz w:val="24"/>
          <w:szCs w:val="24"/>
          <w:lang w:val="en-US"/>
        </w:rPr>
        <w:t xml:space="preserve">is that the entire death benefit </w:t>
      </w:r>
      <w:r w:rsidR="00BA45DA" w:rsidRPr="004B2B30">
        <w:rPr>
          <w:rFonts w:ascii="Arial" w:hAnsi="Arial" w:cs="Arial"/>
          <w:sz w:val="24"/>
          <w:szCs w:val="24"/>
          <w:lang w:val="en-US"/>
        </w:rPr>
        <w:t xml:space="preserve">was allocated to Auret </w:t>
      </w:r>
      <w:r w:rsidR="007566F6" w:rsidRPr="004B2B30">
        <w:rPr>
          <w:rFonts w:ascii="Arial" w:hAnsi="Arial" w:cs="Arial"/>
          <w:sz w:val="24"/>
          <w:szCs w:val="24"/>
          <w:lang w:val="en-US"/>
        </w:rPr>
        <w:t xml:space="preserve">solely on the basis that she was involved </w:t>
      </w:r>
      <w:r w:rsidR="00834F07" w:rsidRPr="004B2B30">
        <w:rPr>
          <w:rFonts w:ascii="Arial" w:hAnsi="Arial" w:cs="Arial"/>
          <w:sz w:val="24"/>
          <w:szCs w:val="24"/>
          <w:lang w:val="en-US"/>
        </w:rPr>
        <w:t>in a relationship with the deceased with who</w:t>
      </w:r>
      <w:r w:rsidR="00DD2BC0" w:rsidRPr="004B2B30">
        <w:rPr>
          <w:rFonts w:ascii="Arial" w:hAnsi="Arial" w:cs="Arial"/>
          <w:sz w:val="24"/>
          <w:szCs w:val="24"/>
          <w:lang w:val="en-US"/>
        </w:rPr>
        <w:t xml:space="preserve">m he had </w:t>
      </w:r>
      <w:r w:rsidR="002F3FE8" w:rsidRPr="004B2B30">
        <w:rPr>
          <w:rFonts w:ascii="Arial" w:hAnsi="Arial" w:cs="Arial"/>
          <w:sz w:val="24"/>
          <w:szCs w:val="24"/>
          <w:lang w:val="en-US"/>
        </w:rPr>
        <w:t xml:space="preserve">lived before his passing. </w:t>
      </w:r>
      <w:r w:rsidR="0049703A" w:rsidRPr="004B2B30">
        <w:rPr>
          <w:rFonts w:ascii="Arial" w:hAnsi="Arial" w:cs="Arial"/>
          <w:sz w:val="24"/>
          <w:szCs w:val="24"/>
          <w:lang w:val="en-US"/>
        </w:rPr>
        <w:t xml:space="preserve">They also </w:t>
      </w:r>
      <w:r w:rsidR="00CC57D6" w:rsidRPr="004B2B30">
        <w:rPr>
          <w:rFonts w:ascii="Arial" w:hAnsi="Arial" w:cs="Arial"/>
          <w:sz w:val="24"/>
          <w:szCs w:val="24"/>
          <w:lang w:val="en-US"/>
        </w:rPr>
        <w:t xml:space="preserve">take issue with the fact </w:t>
      </w:r>
      <w:r w:rsidR="0049703A" w:rsidRPr="004B2B30">
        <w:rPr>
          <w:rFonts w:ascii="Arial" w:hAnsi="Arial" w:cs="Arial"/>
          <w:sz w:val="24"/>
          <w:szCs w:val="24"/>
          <w:lang w:val="en-US"/>
        </w:rPr>
        <w:t>that they were not consulted</w:t>
      </w:r>
      <w:r w:rsidR="0000542C" w:rsidRPr="004B2B30">
        <w:rPr>
          <w:rFonts w:ascii="Arial" w:hAnsi="Arial" w:cs="Arial"/>
          <w:sz w:val="24"/>
          <w:szCs w:val="24"/>
          <w:lang w:val="en-US"/>
        </w:rPr>
        <w:t xml:space="preserve">, nor were they provided with information </w:t>
      </w:r>
      <w:r w:rsidR="00EC2ED2" w:rsidRPr="004B2B30">
        <w:rPr>
          <w:rFonts w:ascii="Arial" w:hAnsi="Arial" w:cs="Arial"/>
          <w:sz w:val="24"/>
          <w:szCs w:val="24"/>
          <w:lang w:val="en-US"/>
        </w:rPr>
        <w:t xml:space="preserve">upon which the </w:t>
      </w:r>
      <w:r w:rsidR="003E240D" w:rsidRPr="004B2B30">
        <w:rPr>
          <w:rFonts w:ascii="Arial" w:hAnsi="Arial" w:cs="Arial"/>
          <w:sz w:val="24"/>
          <w:szCs w:val="24"/>
          <w:lang w:val="en-US"/>
        </w:rPr>
        <w:t>board</w:t>
      </w:r>
      <w:r w:rsidR="00CC57D6" w:rsidRPr="004B2B30">
        <w:rPr>
          <w:rFonts w:ascii="Arial" w:hAnsi="Arial" w:cs="Arial"/>
          <w:sz w:val="24"/>
          <w:szCs w:val="24"/>
          <w:lang w:val="en-US"/>
        </w:rPr>
        <w:t xml:space="preserve"> relied to make a</w:t>
      </w:r>
      <w:r w:rsidR="00132231" w:rsidRPr="004B2B30">
        <w:rPr>
          <w:rFonts w:ascii="Arial" w:hAnsi="Arial" w:cs="Arial"/>
          <w:sz w:val="24"/>
          <w:szCs w:val="24"/>
          <w:lang w:val="en-US"/>
        </w:rPr>
        <w:t xml:space="preserve"> decision. </w:t>
      </w:r>
    </w:p>
    <w:p w14:paraId="74E76E00" w14:textId="77777777" w:rsidR="000E3806" w:rsidRDefault="000E3806" w:rsidP="000E3806">
      <w:pPr>
        <w:pStyle w:val="ListParagraph"/>
        <w:spacing w:line="480" w:lineRule="auto"/>
        <w:ind w:left="142"/>
        <w:jc w:val="both"/>
        <w:rPr>
          <w:rFonts w:ascii="Arial" w:hAnsi="Arial" w:cs="Arial"/>
          <w:sz w:val="24"/>
          <w:szCs w:val="24"/>
          <w:lang w:val="en-US"/>
        </w:rPr>
      </w:pPr>
    </w:p>
    <w:p w14:paraId="07104F3C" w14:textId="47A8D079" w:rsidR="00AE4CB5"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CC139F" w:rsidRPr="004B2B30">
        <w:rPr>
          <w:rFonts w:ascii="Arial" w:hAnsi="Arial" w:cs="Arial"/>
          <w:sz w:val="24"/>
          <w:szCs w:val="24"/>
          <w:lang w:val="en-US"/>
        </w:rPr>
        <w:t xml:space="preserve">The applicants also </w:t>
      </w:r>
      <w:r w:rsidR="00151844" w:rsidRPr="004B2B30">
        <w:rPr>
          <w:rFonts w:ascii="Arial" w:hAnsi="Arial" w:cs="Arial"/>
          <w:sz w:val="24"/>
          <w:szCs w:val="24"/>
          <w:lang w:val="en-US"/>
        </w:rPr>
        <w:t>take</w:t>
      </w:r>
      <w:r w:rsidR="00F06931" w:rsidRPr="004B2B30">
        <w:rPr>
          <w:rFonts w:ascii="Arial" w:hAnsi="Arial" w:cs="Arial"/>
          <w:sz w:val="24"/>
          <w:szCs w:val="24"/>
          <w:lang w:val="en-US"/>
        </w:rPr>
        <w:t xml:space="preserve"> issue with the degree of dependency </w:t>
      </w:r>
      <w:r w:rsidR="007E1E71" w:rsidRPr="004B2B30">
        <w:rPr>
          <w:rFonts w:ascii="Arial" w:hAnsi="Arial" w:cs="Arial"/>
          <w:sz w:val="24"/>
          <w:szCs w:val="24"/>
          <w:lang w:val="en-US"/>
        </w:rPr>
        <w:t xml:space="preserve">of Auret </w:t>
      </w:r>
      <w:r w:rsidR="00CC57D6" w:rsidRPr="004B2B30">
        <w:rPr>
          <w:rFonts w:ascii="Arial" w:hAnsi="Arial" w:cs="Arial"/>
          <w:sz w:val="24"/>
          <w:szCs w:val="24"/>
          <w:lang w:val="en-US"/>
        </w:rPr>
        <w:t>up</w:t>
      </w:r>
      <w:r w:rsidR="007E1E71" w:rsidRPr="004B2B30">
        <w:rPr>
          <w:rFonts w:ascii="Arial" w:hAnsi="Arial" w:cs="Arial"/>
          <w:sz w:val="24"/>
          <w:szCs w:val="24"/>
          <w:lang w:val="en-US"/>
        </w:rPr>
        <w:t xml:space="preserve">on the deceased. </w:t>
      </w:r>
      <w:r w:rsidR="008945B2" w:rsidRPr="004B2B30">
        <w:rPr>
          <w:rFonts w:ascii="Arial" w:hAnsi="Arial" w:cs="Arial"/>
          <w:sz w:val="24"/>
          <w:szCs w:val="24"/>
          <w:lang w:val="en-US"/>
        </w:rPr>
        <w:t xml:space="preserve">They aver that there was no </w:t>
      </w:r>
      <w:r w:rsidR="00F15991" w:rsidRPr="004B2B30">
        <w:rPr>
          <w:rFonts w:ascii="Arial" w:hAnsi="Arial" w:cs="Arial"/>
          <w:sz w:val="24"/>
          <w:szCs w:val="24"/>
          <w:lang w:val="en-US"/>
        </w:rPr>
        <w:t xml:space="preserve">proper investigation and </w:t>
      </w:r>
      <w:r w:rsidR="008945B2" w:rsidRPr="004B2B30">
        <w:rPr>
          <w:rFonts w:ascii="Arial" w:hAnsi="Arial" w:cs="Arial"/>
          <w:sz w:val="24"/>
          <w:szCs w:val="24"/>
          <w:lang w:val="en-US"/>
        </w:rPr>
        <w:t xml:space="preserve">consideration of what the deceased </w:t>
      </w:r>
      <w:r w:rsidR="00A15E21" w:rsidRPr="004B2B30">
        <w:rPr>
          <w:rFonts w:ascii="Arial" w:hAnsi="Arial" w:cs="Arial"/>
          <w:sz w:val="24"/>
          <w:szCs w:val="24"/>
          <w:lang w:val="en-US"/>
        </w:rPr>
        <w:t>and Auret respectively contributed to the</w:t>
      </w:r>
      <w:r w:rsidR="00127B52" w:rsidRPr="004B2B30">
        <w:rPr>
          <w:rFonts w:ascii="Arial" w:hAnsi="Arial" w:cs="Arial"/>
          <w:sz w:val="24"/>
          <w:szCs w:val="24"/>
          <w:lang w:val="en-US"/>
        </w:rPr>
        <w:t>ir</w:t>
      </w:r>
      <w:r w:rsidR="00A15E21" w:rsidRPr="004B2B30">
        <w:rPr>
          <w:rFonts w:ascii="Arial" w:hAnsi="Arial" w:cs="Arial"/>
          <w:sz w:val="24"/>
          <w:szCs w:val="24"/>
          <w:lang w:val="en-US"/>
        </w:rPr>
        <w:t xml:space="preserve"> joint household</w:t>
      </w:r>
      <w:r w:rsidR="0060399F" w:rsidRPr="004B2B30">
        <w:rPr>
          <w:rFonts w:ascii="Arial" w:hAnsi="Arial" w:cs="Arial"/>
          <w:sz w:val="24"/>
          <w:szCs w:val="24"/>
          <w:lang w:val="en-US"/>
        </w:rPr>
        <w:t xml:space="preserve">, what </w:t>
      </w:r>
      <w:r w:rsidR="0060399F" w:rsidRPr="004B2B30">
        <w:rPr>
          <w:rFonts w:ascii="Arial" w:hAnsi="Arial" w:cs="Arial"/>
          <w:sz w:val="24"/>
          <w:szCs w:val="24"/>
          <w:lang w:val="en-US"/>
        </w:rPr>
        <w:lastRenderedPageBreak/>
        <w:t xml:space="preserve">Auret’s </w:t>
      </w:r>
      <w:r w:rsidR="00597989" w:rsidRPr="004B2B30">
        <w:rPr>
          <w:rFonts w:ascii="Arial" w:hAnsi="Arial" w:cs="Arial"/>
          <w:sz w:val="24"/>
          <w:szCs w:val="24"/>
          <w:lang w:val="en-US"/>
        </w:rPr>
        <w:t xml:space="preserve">assets and liabilities are and what her </w:t>
      </w:r>
      <w:r w:rsidR="00AF3364" w:rsidRPr="004B2B30">
        <w:rPr>
          <w:rFonts w:ascii="Arial" w:hAnsi="Arial" w:cs="Arial"/>
          <w:sz w:val="24"/>
          <w:szCs w:val="24"/>
          <w:lang w:val="en-US"/>
        </w:rPr>
        <w:t>maintenance requirements were.</w:t>
      </w:r>
      <w:r w:rsidR="001F63BF" w:rsidRPr="004B2B30">
        <w:rPr>
          <w:rFonts w:ascii="Arial" w:hAnsi="Arial" w:cs="Arial"/>
          <w:sz w:val="24"/>
          <w:szCs w:val="24"/>
          <w:lang w:val="en-US"/>
        </w:rPr>
        <w:t xml:space="preserve"> Furthermore, it is alleged that the relationship between Auret and the deceased had </w:t>
      </w:r>
      <w:r w:rsidR="00CC57D6" w:rsidRPr="004B2B30">
        <w:rPr>
          <w:rFonts w:ascii="Arial" w:hAnsi="Arial" w:cs="Arial"/>
          <w:sz w:val="24"/>
          <w:szCs w:val="24"/>
          <w:lang w:val="en-US"/>
        </w:rPr>
        <w:t xml:space="preserve">broken down and </w:t>
      </w:r>
      <w:r w:rsidR="001F63BF" w:rsidRPr="004B2B30">
        <w:rPr>
          <w:rFonts w:ascii="Arial" w:hAnsi="Arial" w:cs="Arial"/>
          <w:sz w:val="24"/>
          <w:szCs w:val="24"/>
          <w:lang w:val="en-US"/>
        </w:rPr>
        <w:t xml:space="preserve">terminated </w:t>
      </w:r>
      <w:r w:rsidR="00CA5F0B" w:rsidRPr="004B2B30">
        <w:rPr>
          <w:rFonts w:ascii="Arial" w:hAnsi="Arial" w:cs="Arial"/>
          <w:sz w:val="24"/>
          <w:szCs w:val="24"/>
          <w:lang w:val="en-US"/>
        </w:rPr>
        <w:t>before the latter’s death, a factor which, they say, was not properly investigated.</w:t>
      </w:r>
      <w:r w:rsidR="0095338E" w:rsidRPr="004B2B30">
        <w:rPr>
          <w:rFonts w:ascii="Arial" w:hAnsi="Arial" w:cs="Arial"/>
          <w:sz w:val="24"/>
          <w:szCs w:val="24"/>
          <w:lang w:val="en-US"/>
        </w:rPr>
        <w:t xml:space="preserve"> In essence, the applicants allege that when the decision </w:t>
      </w:r>
      <w:r w:rsidR="00C4219F" w:rsidRPr="004B2B30">
        <w:rPr>
          <w:rFonts w:ascii="Arial" w:hAnsi="Arial" w:cs="Arial"/>
          <w:sz w:val="24"/>
          <w:szCs w:val="24"/>
          <w:lang w:val="en-US"/>
        </w:rPr>
        <w:t xml:space="preserve">was made to allocate the entire death benefit to Auret, it appears that the </w:t>
      </w:r>
      <w:r w:rsidR="00365CD9" w:rsidRPr="004B2B30">
        <w:rPr>
          <w:rFonts w:ascii="Arial" w:hAnsi="Arial" w:cs="Arial"/>
          <w:sz w:val="24"/>
          <w:szCs w:val="24"/>
          <w:lang w:val="en-US"/>
        </w:rPr>
        <w:t>conclusions reached are irrational and not supported by the facts of this matter.</w:t>
      </w:r>
    </w:p>
    <w:p w14:paraId="3D4C9991" w14:textId="77777777" w:rsidR="00820CC2" w:rsidRDefault="00820CC2" w:rsidP="000E3806">
      <w:pPr>
        <w:rPr>
          <w:rFonts w:ascii="Arial" w:hAnsi="Arial" w:cs="Arial"/>
          <w:b/>
          <w:bCs/>
          <w:sz w:val="24"/>
          <w:szCs w:val="24"/>
          <w:lang w:val="en-US"/>
        </w:rPr>
      </w:pPr>
    </w:p>
    <w:p w14:paraId="4536A46C" w14:textId="5F46E1AD" w:rsidR="000E3806" w:rsidRPr="000E3806" w:rsidRDefault="000E3806" w:rsidP="000E3806">
      <w:pPr>
        <w:rPr>
          <w:rFonts w:ascii="Arial" w:hAnsi="Arial" w:cs="Arial"/>
          <w:sz w:val="24"/>
          <w:szCs w:val="24"/>
          <w:lang w:val="en-US"/>
        </w:rPr>
      </w:pPr>
      <w:r w:rsidRPr="00D52D68">
        <w:rPr>
          <w:rFonts w:ascii="Arial" w:hAnsi="Arial" w:cs="Arial"/>
          <w:b/>
          <w:bCs/>
          <w:sz w:val="24"/>
          <w:szCs w:val="24"/>
          <w:lang w:val="en-US"/>
        </w:rPr>
        <w:t>Discussion</w:t>
      </w:r>
    </w:p>
    <w:p w14:paraId="02A59DA2" w14:textId="51718DB9" w:rsidR="000E3806" w:rsidRDefault="000E3806" w:rsidP="000E3806">
      <w:pPr>
        <w:pStyle w:val="ListParagraph"/>
        <w:rPr>
          <w:rFonts w:ascii="Arial" w:hAnsi="Arial" w:cs="Arial"/>
          <w:sz w:val="24"/>
          <w:szCs w:val="24"/>
          <w:lang w:val="en-US"/>
        </w:rPr>
      </w:pPr>
    </w:p>
    <w:p w14:paraId="0C56D33E" w14:textId="77777777" w:rsidR="000E3806" w:rsidRPr="000E3806" w:rsidRDefault="000E3806" w:rsidP="000E3806">
      <w:pPr>
        <w:pStyle w:val="ListParagraph"/>
        <w:rPr>
          <w:rFonts w:ascii="Arial" w:hAnsi="Arial" w:cs="Arial"/>
          <w:sz w:val="24"/>
          <w:szCs w:val="24"/>
          <w:lang w:val="en-US"/>
        </w:rPr>
      </w:pPr>
    </w:p>
    <w:p w14:paraId="7A9D3C6B" w14:textId="773D7B3E" w:rsidR="006A775A"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6A775A" w:rsidRPr="004B2B30">
        <w:rPr>
          <w:rFonts w:ascii="Arial" w:hAnsi="Arial" w:cs="Arial"/>
          <w:sz w:val="24"/>
          <w:szCs w:val="24"/>
          <w:lang w:val="en-US"/>
        </w:rPr>
        <w:t xml:space="preserve">The board </w:t>
      </w:r>
      <w:r w:rsidR="006244BA" w:rsidRPr="004B2B30">
        <w:rPr>
          <w:rFonts w:ascii="Arial" w:hAnsi="Arial" w:cs="Arial"/>
          <w:sz w:val="24"/>
          <w:szCs w:val="24"/>
          <w:lang w:val="en-US"/>
        </w:rPr>
        <w:t>on the present matter identified the first to f</w:t>
      </w:r>
      <w:r w:rsidR="002F7111" w:rsidRPr="004B2B30">
        <w:rPr>
          <w:rFonts w:ascii="Arial" w:hAnsi="Arial" w:cs="Arial"/>
          <w:sz w:val="24"/>
          <w:szCs w:val="24"/>
          <w:lang w:val="en-US"/>
        </w:rPr>
        <w:t xml:space="preserve">ifth applicants as well Auret as dependants of the deceased. As already stated, the fifth applicant </w:t>
      </w:r>
      <w:r w:rsidR="00D40A38" w:rsidRPr="004B2B30">
        <w:rPr>
          <w:rFonts w:ascii="Arial" w:hAnsi="Arial" w:cs="Arial"/>
          <w:sz w:val="24"/>
          <w:szCs w:val="24"/>
          <w:lang w:val="en-US"/>
        </w:rPr>
        <w:t xml:space="preserve">has since passed away and she is no longer </w:t>
      </w:r>
      <w:r w:rsidR="00653805" w:rsidRPr="004B2B30">
        <w:rPr>
          <w:rFonts w:ascii="Arial" w:hAnsi="Arial" w:cs="Arial"/>
          <w:sz w:val="24"/>
          <w:szCs w:val="24"/>
          <w:lang w:val="en-US"/>
        </w:rPr>
        <w:t xml:space="preserve">a party to these proceedings. The </w:t>
      </w:r>
      <w:r w:rsidR="006C4E7D" w:rsidRPr="004B2B30">
        <w:rPr>
          <w:rFonts w:ascii="Arial" w:hAnsi="Arial" w:cs="Arial"/>
          <w:sz w:val="24"/>
          <w:szCs w:val="24"/>
          <w:lang w:val="en-US"/>
        </w:rPr>
        <w:t xml:space="preserve">remaining </w:t>
      </w:r>
      <w:r w:rsidR="00653805" w:rsidRPr="004B2B30">
        <w:rPr>
          <w:rFonts w:ascii="Arial" w:hAnsi="Arial" w:cs="Arial"/>
          <w:sz w:val="24"/>
          <w:szCs w:val="24"/>
          <w:lang w:val="en-US"/>
        </w:rPr>
        <w:t>applicants, however, dispute</w:t>
      </w:r>
      <w:r w:rsidR="009159BE" w:rsidRPr="004B2B30">
        <w:rPr>
          <w:rFonts w:ascii="Arial" w:hAnsi="Arial" w:cs="Arial"/>
          <w:sz w:val="24"/>
          <w:szCs w:val="24"/>
          <w:lang w:val="en-US"/>
        </w:rPr>
        <w:t xml:space="preserve"> that Auret was a dependant of the deceased</w:t>
      </w:r>
      <w:r w:rsidR="002F6ADB" w:rsidRPr="004B2B30">
        <w:rPr>
          <w:rFonts w:ascii="Arial" w:hAnsi="Arial" w:cs="Arial"/>
          <w:sz w:val="24"/>
          <w:szCs w:val="24"/>
          <w:lang w:val="en-US"/>
        </w:rPr>
        <w:t xml:space="preserve">, and is therefore not entitled to </w:t>
      </w:r>
      <w:r w:rsidR="00413D87" w:rsidRPr="004B2B30">
        <w:rPr>
          <w:rFonts w:ascii="Arial" w:hAnsi="Arial" w:cs="Arial"/>
          <w:sz w:val="24"/>
          <w:szCs w:val="24"/>
          <w:lang w:val="en-US"/>
        </w:rPr>
        <w:t>share in the death benefits.</w:t>
      </w:r>
    </w:p>
    <w:p w14:paraId="3451B5FD" w14:textId="77777777" w:rsidR="000E3806" w:rsidRDefault="000E3806" w:rsidP="000E3806">
      <w:pPr>
        <w:pStyle w:val="ListParagraph"/>
        <w:spacing w:line="480" w:lineRule="auto"/>
        <w:ind w:left="142"/>
        <w:jc w:val="both"/>
        <w:rPr>
          <w:rFonts w:ascii="Arial" w:hAnsi="Arial" w:cs="Arial"/>
          <w:sz w:val="24"/>
          <w:szCs w:val="24"/>
          <w:lang w:val="en-US"/>
        </w:rPr>
      </w:pPr>
    </w:p>
    <w:p w14:paraId="637A1284" w14:textId="723D828C" w:rsidR="00A77E4D"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A77E4D" w:rsidRPr="004B2B30">
        <w:rPr>
          <w:rFonts w:ascii="Arial" w:hAnsi="Arial" w:cs="Arial"/>
          <w:sz w:val="24"/>
          <w:szCs w:val="24"/>
          <w:lang w:val="en-US"/>
        </w:rPr>
        <w:t xml:space="preserve">The deceased had nominated the trust </w:t>
      </w:r>
      <w:r w:rsidR="0024536B" w:rsidRPr="004B2B30">
        <w:rPr>
          <w:rFonts w:ascii="Arial" w:hAnsi="Arial" w:cs="Arial"/>
          <w:sz w:val="24"/>
          <w:szCs w:val="24"/>
          <w:lang w:val="en-US"/>
        </w:rPr>
        <w:t xml:space="preserve">as beneficiary of his death benefits, but the board correctly concluded that such nomination was of no force and effect as </w:t>
      </w:r>
      <w:r w:rsidR="005B7F94" w:rsidRPr="004B2B30">
        <w:rPr>
          <w:rFonts w:ascii="Arial" w:hAnsi="Arial" w:cs="Arial"/>
          <w:sz w:val="24"/>
          <w:szCs w:val="24"/>
          <w:lang w:val="en-US"/>
        </w:rPr>
        <w:t xml:space="preserve">the death benefits must be distributed </w:t>
      </w:r>
      <w:r w:rsidR="00761896" w:rsidRPr="004B2B30">
        <w:rPr>
          <w:rFonts w:ascii="Arial" w:hAnsi="Arial" w:cs="Arial"/>
          <w:sz w:val="24"/>
          <w:szCs w:val="24"/>
          <w:lang w:val="en-US"/>
        </w:rPr>
        <w:t xml:space="preserve">in terms of section 37C which serves a social </w:t>
      </w:r>
      <w:r w:rsidR="00491BDE" w:rsidRPr="004B2B30">
        <w:rPr>
          <w:rFonts w:ascii="Arial" w:hAnsi="Arial" w:cs="Arial"/>
          <w:sz w:val="24"/>
          <w:szCs w:val="24"/>
          <w:lang w:val="en-US"/>
        </w:rPr>
        <w:t>purpose, and as such</w:t>
      </w:r>
      <w:r w:rsidR="00127B52" w:rsidRPr="004B2B30">
        <w:rPr>
          <w:rFonts w:ascii="Arial" w:hAnsi="Arial" w:cs="Arial"/>
          <w:sz w:val="24"/>
          <w:szCs w:val="24"/>
          <w:lang w:val="en-US"/>
        </w:rPr>
        <w:t>,</w:t>
      </w:r>
      <w:r w:rsidR="00491BDE" w:rsidRPr="004B2B30">
        <w:rPr>
          <w:rFonts w:ascii="Arial" w:hAnsi="Arial" w:cs="Arial"/>
          <w:sz w:val="24"/>
          <w:szCs w:val="24"/>
          <w:lang w:val="en-US"/>
        </w:rPr>
        <w:t xml:space="preserve"> a member of a </w:t>
      </w:r>
      <w:r w:rsidR="006F1148" w:rsidRPr="004B2B30">
        <w:rPr>
          <w:rFonts w:ascii="Arial" w:hAnsi="Arial" w:cs="Arial"/>
          <w:sz w:val="24"/>
          <w:szCs w:val="24"/>
          <w:lang w:val="en-US"/>
        </w:rPr>
        <w:t xml:space="preserve">retirement fund cannot nominate a juristic </w:t>
      </w:r>
      <w:r w:rsidR="0017187E" w:rsidRPr="004B2B30">
        <w:rPr>
          <w:rFonts w:ascii="Arial" w:hAnsi="Arial" w:cs="Arial"/>
          <w:sz w:val="24"/>
          <w:szCs w:val="24"/>
          <w:lang w:val="en-US"/>
        </w:rPr>
        <w:t xml:space="preserve">or inanimate entity (such as a trust) </w:t>
      </w:r>
      <w:r w:rsidR="00635DD9" w:rsidRPr="004B2B30">
        <w:rPr>
          <w:rFonts w:ascii="Arial" w:hAnsi="Arial" w:cs="Arial"/>
          <w:sz w:val="24"/>
          <w:szCs w:val="24"/>
          <w:lang w:val="en-US"/>
        </w:rPr>
        <w:t>to receive a death benefit.</w:t>
      </w:r>
    </w:p>
    <w:p w14:paraId="3F338ECB" w14:textId="77777777" w:rsidR="000E3806" w:rsidRPr="000E3806" w:rsidRDefault="000E3806" w:rsidP="000E3806">
      <w:pPr>
        <w:pStyle w:val="ListParagraph"/>
        <w:rPr>
          <w:rFonts w:ascii="Arial" w:hAnsi="Arial" w:cs="Arial"/>
          <w:sz w:val="24"/>
          <w:szCs w:val="24"/>
          <w:lang w:val="en-US"/>
        </w:rPr>
      </w:pPr>
    </w:p>
    <w:p w14:paraId="4009610E" w14:textId="33E25AF3" w:rsidR="00AF3364"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3E5A32" w:rsidRPr="004B2B30">
        <w:rPr>
          <w:rFonts w:ascii="Arial" w:hAnsi="Arial" w:cs="Arial"/>
          <w:sz w:val="24"/>
          <w:szCs w:val="24"/>
          <w:lang w:val="en-US"/>
        </w:rPr>
        <w:t xml:space="preserve">As already alluded to, </w:t>
      </w:r>
      <w:r w:rsidR="00D1641A" w:rsidRPr="004B2B30">
        <w:rPr>
          <w:rFonts w:ascii="Arial" w:hAnsi="Arial" w:cs="Arial"/>
          <w:sz w:val="24"/>
          <w:szCs w:val="24"/>
          <w:lang w:val="en-US"/>
        </w:rPr>
        <w:t>an appeal under section 30P</w:t>
      </w:r>
      <w:r w:rsidR="00850B13" w:rsidRPr="004B2B30">
        <w:rPr>
          <w:rFonts w:ascii="Arial" w:hAnsi="Arial" w:cs="Arial"/>
          <w:sz w:val="24"/>
          <w:szCs w:val="24"/>
          <w:lang w:val="en-US"/>
        </w:rPr>
        <w:t>, which is a rehearing of the applicant’s complaint,</w:t>
      </w:r>
      <w:r w:rsidR="00D1641A" w:rsidRPr="004B2B30">
        <w:rPr>
          <w:rFonts w:ascii="Arial" w:hAnsi="Arial" w:cs="Arial"/>
          <w:sz w:val="24"/>
          <w:szCs w:val="24"/>
          <w:lang w:val="en-US"/>
        </w:rPr>
        <w:t xml:space="preserve"> </w:t>
      </w:r>
      <w:r w:rsidR="007009AE" w:rsidRPr="004B2B30">
        <w:rPr>
          <w:rFonts w:ascii="Arial" w:hAnsi="Arial" w:cs="Arial"/>
          <w:sz w:val="24"/>
          <w:szCs w:val="24"/>
          <w:lang w:val="en-US"/>
        </w:rPr>
        <w:t xml:space="preserve">affords </w:t>
      </w:r>
      <w:r w:rsidR="00F35036" w:rsidRPr="004B2B30">
        <w:rPr>
          <w:rFonts w:ascii="Arial" w:hAnsi="Arial" w:cs="Arial"/>
          <w:sz w:val="24"/>
          <w:szCs w:val="24"/>
          <w:lang w:val="en-US"/>
        </w:rPr>
        <w:t xml:space="preserve">them </w:t>
      </w:r>
      <w:r w:rsidR="007009AE" w:rsidRPr="004B2B30">
        <w:rPr>
          <w:rFonts w:ascii="Arial" w:hAnsi="Arial" w:cs="Arial"/>
          <w:sz w:val="24"/>
          <w:szCs w:val="24"/>
          <w:lang w:val="en-US"/>
        </w:rPr>
        <w:t xml:space="preserve">the right </w:t>
      </w:r>
      <w:r w:rsidR="00897F8B" w:rsidRPr="004B2B30">
        <w:rPr>
          <w:rFonts w:ascii="Arial" w:hAnsi="Arial" w:cs="Arial"/>
          <w:sz w:val="24"/>
          <w:szCs w:val="24"/>
          <w:lang w:val="en-US"/>
        </w:rPr>
        <w:t xml:space="preserve">to </w:t>
      </w:r>
      <w:r w:rsidR="00F56F22" w:rsidRPr="004B2B30">
        <w:rPr>
          <w:rFonts w:ascii="Arial" w:hAnsi="Arial" w:cs="Arial"/>
          <w:sz w:val="24"/>
          <w:szCs w:val="24"/>
          <w:lang w:val="en-US"/>
        </w:rPr>
        <w:t xml:space="preserve">present </w:t>
      </w:r>
      <w:r w:rsidR="00897F8B" w:rsidRPr="004B2B30">
        <w:rPr>
          <w:rFonts w:ascii="Arial" w:hAnsi="Arial" w:cs="Arial"/>
          <w:sz w:val="24"/>
          <w:szCs w:val="24"/>
          <w:lang w:val="en-US"/>
        </w:rPr>
        <w:t xml:space="preserve">any relevant information </w:t>
      </w:r>
      <w:r w:rsidR="00F56F22" w:rsidRPr="004B2B30">
        <w:rPr>
          <w:rFonts w:ascii="Arial" w:hAnsi="Arial" w:cs="Arial"/>
          <w:sz w:val="24"/>
          <w:szCs w:val="24"/>
          <w:lang w:val="en-US"/>
        </w:rPr>
        <w:t>t</w:t>
      </w:r>
      <w:r w:rsidR="00452290" w:rsidRPr="004B2B30">
        <w:rPr>
          <w:rFonts w:ascii="Arial" w:hAnsi="Arial" w:cs="Arial"/>
          <w:sz w:val="24"/>
          <w:szCs w:val="24"/>
          <w:lang w:val="en-US"/>
        </w:rPr>
        <w:t>o the court</w:t>
      </w:r>
      <w:r w:rsidR="0072175B" w:rsidRPr="004B2B30">
        <w:rPr>
          <w:rFonts w:ascii="Arial" w:hAnsi="Arial" w:cs="Arial"/>
          <w:sz w:val="24"/>
          <w:szCs w:val="24"/>
          <w:lang w:val="en-US"/>
        </w:rPr>
        <w:t xml:space="preserve">, irrespective of whether such information was part of the record </w:t>
      </w:r>
      <w:r w:rsidR="008B5B51" w:rsidRPr="004B2B30">
        <w:rPr>
          <w:rFonts w:ascii="Arial" w:hAnsi="Arial" w:cs="Arial"/>
          <w:sz w:val="24"/>
          <w:szCs w:val="24"/>
          <w:lang w:val="en-US"/>
        </w:rPr>
        <w:t>when the adjudicator made his decision.</w:t>
      </w:r>
      <w:r w:rsidR="00452290" w:rsidRPr="004B2B30">
        <w:rPr>
          <w:rFonts w:ascii="Arial" w:hAnsi="Arial" w:cs="Arial"/>
          <w:sz w:val="24"/>
          <w:szCs w:val="24"/>
          <w:lang w:val="en-US"/>
        </w:rPr>
        <w:t xml:space="preserve"> Th</w:t>
      </w:r>
      <w:r w:rsidR="00DF5D35" w:rsidRPr="004B2B30">
        <w:rPr>
          <w:rFonts w:ascii="Arial" w:hAnsi="Arial" w:cs="Arial"/>
          <w:sz w:val="24"/>
          <w:szCs w:val="24"/>
          <w:lang w:val="en-US"/>
        </w:rPr>
        <w:t>e applicants</w:t>
      </w:r>
      <w:r w:rsidR="00452290" w:rsidRPr="004B2B30">
        <w:rPr>
          <w:rFonts w:ascii="Arial" w:hAnsi="Arial" w:cs="Arial"/>
          <w:sz w:val="24"/>
          <w:szCs w:val="24"/>
          <w:lang w:val="en-US"/>
        </w:rPr>
        <w:t xml:space="preserve"> had been afforded the record </w:t>
      </w:r>
      <w:r w:rsidR="00F960B1" w:rsidRPr="004B2B30">
        <w:rPr>
          <w:rFonts w:ascii="Arial" w:hAnsi="Arial" w:cs="Arial"/>
          <w:sz w:val="24"/>
          <w:szCs w:val="24"/>
          <w:lang w:val="en-US"/>
        </w:rPr>
        <w:t xml:space="preserve">in terms </w:t>
      </w:r>
      <w:r w:rsidR="00F960B1" w:rsidRPr="004B2B30">
        <w:rPr>
          <w:rFonts w:ascii="Arial" w:hAnsi="Arial" w:cs="Arial"/>
          <w:sz w:val="24"/>
          <w:szCs w:val="24"/>
          <w:lang w:val="en-US"/>
        </w:rPr>
        <w:lastRenderedPageBreak/>
        <w:t>of Uniform Rule 53</w:t>
      </w:r>
      <w:r w:rsidR="00B37EF2" w:rsidRPr="004B2B30">
        <w:rPr>
          <w:rFonts w:ascii="Arial" w:hAnsi="Arial" w:cs="Arial"/>
          <w:sz w:val="24"/>
          <w:szCs w:val="24"/>
          <w:lang w:val="en-US"/>
        </w:rPr>
        <w:t xml:space="preserve"> </w:t>
      </w:r>
      <w:r w:rsidR="00625790" w:rsidRPr="004B2B30">
        <w:rPr>
          <w:rFonts w:ascii="Arial" w:hAnsi="Arial" w:cs="Arial"/>
          <w:sz w:val="24"/>
          <w:szCs w:val="24"/>
          <w:lang w:val="en-US"/>
        </w:rPr>
        <w:t xml:space="preserve">pertaining to the decision which </w:t>
      </w:r>
      <w:r w:rsidR="00F56F22" w:rsidRPr="004B2B30">
        <w:rPr>
          <w:rFonts w:ascii="Arial" w:hAnsi="Arial" w:cs="Arial"/>
          <w:sz w:val="24"/>
          <w:szCs w:val="24"/>
          <w:lang w:val="en-US"/>
        </w:rPr>
        <w:t xml:space="preserve">they </w:t>
      </w:r>
      <w:r w:rsidR="00127B52" w:rsidRPr="004B2B30">
        <w:rPr>
          <w:rFonts w:ascii="Arial" w:hAnsi="Arial" w:cs="Arial"/>
          <w:sz w:val="24"/>
          <w:szCs w:val="24"/>
          <w:lang w:val="en-US"/>
        </w:rPr>
        <w:t xml:space="preserve">initially </w:t>
      </w:r>
      <w:r w:rsidR="00625790" w:rsidRPr="004B2B30">
        <w:rPr>
          <w:rFonts w:ascii="Arial" w:hAnsi="Arial" w:cs="Arial"/>
          <w:sz w:val="24"/>
          <w:szCs w:val="24"/>
          <w:lang w:val="en-US"/>
        </w:rPr>
        <w:t xml:space="preserve">sought </w:t>
      </w:r>
      <w:r w:rsidR="00BC59B7" w:rsidRPr="004B2B30">
        <w:rPr>
          <w:rFonts w:ascii="Arial" w:hAnsi="Arial" w:cs="Arial"/>
          <w:sz w:val="24"/>
          <w:szCs w:val="24"/>
          <w:lang w:val="en-US"/>
        </w:rPr>
        <w:t>to be reviewed in terms of the notice of motion.</w:t>
      </w:r>
      <w:r w:rsidR="00DF5D35" w:rsidRPr="004B2B30">
        <w:rPr>
          <w:rFonts w:ascii="Arial" w:hAnsi="Arial" w:cs="Arial"/>
          <w:sz w:val="24"/>
          <w:szCs w:val="24"/>
          <w:lang w:val="en-US"/>
        </w:rPr>
        <w:t xml:space="preserve"> </w:t>
      </w:r>
      <w:r w:rsidR="005B05BA" w:rsidRPr="004B2B30">
        <w:rPr>
          <w:rFonts w:ascii="Arial" w:hAnsi="Arial" w:cs="Arial"/>
          <w:sz w:val="24"/>
          <w:szCs w:val="24"/>
          <w:lang w:val="en-US"/>
        </w:rPr>
        <w:t>They</w:t>
      </w:r>
      <w:r w:rsidR="00DF5D35" w:rsidRPr="004B2B30">
        <w:rPr>
          <w:rFonts w:ascii="Arial" w:hAnsi="Arial" w:cs="Arial"/>
          <w:sz w:val="24"/>
          <w:szCs w:val="24"/>
          <w:lang w:val="en-US"/>
        </w:rPr>
        <w:t xml:space="preserve"> had the right to supplement the information </w:t>
      </w:r>
      <w:r w:rsidR="00105018" w:rsidRPr="004B2B30">
        <w:rPr>
          <w:rFonts w:ascii="Arial" w:hAnsi="Arial" w:cs="Arial"/>
          <w:sz w:val="24"/>
          <w:szCs w:val="24"/>
          <w:lang w:val="en-US"/>
        </w:rPr>
        <w:t>therein with</w:t>
      </w:r>
      <w:r w:rsidR="00577325" w:rsidRPr="004B2B30">
        <w:rPr>
          <w:rFonts w:ascii="Arial" w:hAnsi="Arial" w:cs="Arial"/>
          <w:sz w:val="24"/>
          <w:szCs w:val="24"/>
          <w:lang w:val="en-US"/>
        </w:rPr>
        <w:t xml:space="preserve"> any new </w:t>
      </w:r>
      <w:r w:rsidR="00127B52" w:rsidRPr="004B2B30">
        <w:rPr>
          <w:rFonts w:ascii="Arial" w:hAnsi="Arial" w:cs="Arial"/>
          <w:sz w:val="24"/>
          <w:szCs w:val="24"/>
          <w:lang w:val="en-US"/>
        </w:rPr>
        <w:t xml:space="preserve">or additional </w:t>
      </w:r>
      <w:r w:rsidR="00577325" w:rsidRPr="004B2B30">
        <w:rPr>
          <w:rFonts w:ascii="Arial" w:hAnsi="Arial" w:cs="Arial"/>
          <w:sz w:val="24"/>
          <w:szCs w:val="24"/>
          <w:lang w:val="en-US"/>
        </w:rPr>
        <w:t xml:space="preserve">information </w:t>
      </w:r>
      <w:r w:rsidR="00105018" w:rsidRPr="004B2B30">
        <w:rPr>
          <w:rFonts w:ascii="Arial" w:hAnsi="Arial" w:cs="Arial"/>
          <w:sz w:val="24"/>
          <w:szCs w:val="24"/>
          <w:lang w:val="en-US"/>
        </w:rPr>
        <w:t xml:space="preserve">for </w:t>
      </w:r>
      <w:r w:rsidR="00151844" w:rsidRPr="004B2B30">
        <w:rPr>
          <w:rFonts w:ascii="Arial" w:hAnsi="Arial" w:cs="Arial"/>
          <w:sz w:val="24"/>
          <w:szCs w:val="24"/>
          <w:lang w:val="en-US"/>
        </w:rPr>
        <w:t>consideration by</w:t>
      </w:r>
      <w:r w:rsidR="00143184" w:rsidRPr="004B2B30">
        <w:rPr>
          <w:rFonts w:ascii="Arial" w:hAnsi="Arial" w:cs="Arial"/>
          <w:sz w:val="24"/>
          <w:szCs w:val="24"/>
          <w:lang w:val="en-US"/>
        </w:rPr>
        <w:t xml:space="preserve"> </w:t>
      </w:r>
      <w:r w:rsidR="00577325" w:rsidRPr="004B2B30">
        <w:rPr>
          <w:rFonts w:ascii="Arial" w:hAnsi="Arial" w:cs="Arial"/>
          <w:sz w:val="24"/>
          <w:szCs w:val="24"/>
          <w:lang w:val="en-US"/>
        </w:rPr>
        <w:t xml:space="preserve">this court. </w:t>
      </w:r>
      <w:r w:rsidR="008D2A1E" w:rsidRPr="004B2B30">
        <w:rPr>
          <w:rFonts w:ascii="Arial" w:hAnsi="Arial" w:cs="Arial"/>
          <w:sz w:val="24"/>
          <w:szCs w:val="24"/>
          <w:lang w:val="en-US"/>
        </w:rPr>
        <w:t xml:space="preserve">The complaint </w:t>
      </w:r>
      <w:r w:rsidR="00B35642" w:rsidRPr="004B2B30">
        <w:rPr>
          <w:rFonts w:ascii="Arial" w:hAnsi="Arial" w:cs="Arial"/>
          <w:sz w:val="24"/>
          <w:szCs w:val="24"/>
          <w:lang w:val="en-US"/>
        </w:rPr>
        <w:t xml:space="preserve">that the </w:t>
      </w:r>
      <w:r w:rsidR="002F25C8" w:rsidRPr="004B2B30">
        <w:rPr>
          <w:rFonts w:ascii="Arial" w:hAnsi="Arial" w:cs="Arial"/>
          <w:sz w:val="24"/>
          <w:szCs w:val="24"/>
          <w:lang w:val="en-US"/>
        </w:rPr>
        <w:t xml:space="preserve">applicants were not consulted or given an opportunity to make submission </w:t>
      </w:r>
      <w:r w:rsidR="00A74F60" w:rsidRPr="004B2B30">
        <w:rPr>
          <w:rFonts w:ascii="Arial" w:hAnsi="Arial" w:cs="Arial"/>
          <w:sz w:val="24"/>
          <w:szCs w:val="24"/>
          <w:lang w:val="en-US"/>
        </w:rPr>
        <w:t>relating to the allocation of the death benefits, in my view, has become moot.</w:t>
      </w:r>
      <w:r w:rsidR="00127B52" w:rsidRPr="004B2B30">
        <w:rPr>
          <w:rFonts w:ascii="Arial" w:hAnsi="Arial" w:cs="Arial"/>
          <w:sz w:val="24"/>
          <w:szCs w:val="24"/>
          <w:lang w:val="en-US"/>
        </w:rPr>
        <w:t xml:space="preserve"> To the extent that they failed to place additional information in front of this court is (if such additional information exist</w:t>
      </w:r>
      <w:r w:rsidR="006C4E7D" w:rsidRPr="004B2B30">
        <w:rPr>
          <w:rFonts w:ascii="Arial" w:hAnsi="Arial" w:cs="Arial"/>
          <w:sz w:val="24"/>
          <w:szCs w:val="24"/>
          <w:lang w:val="en-US"/>
        </w:rPr>
        <w:t>)</w:t>
      </w:r>
      <w:r w:rsidR="00127B52" w:rsidRPr="004B2B30">
        <w:rPr>
          <w:rFonts w:ascii="Arial" w:hAnsi="Arial" w:cs="Arial"/>
          <w:sz w:val="24"/>
          <w:szCs w:val="24"/>
          <w:lang w:val="en-US"/>
        </w:rPr>
        <w:t>, is of their own making.</w:t>
      </w:r>
    </w:p>
    <w:p w14:paraId="1D05D49F" w14:textId="77777777" w:rsidR="000E3806" w:rsidRPr="000E3806" w:rsidRDefault="000E3806" w:rsidP="000E3806">
      <w:pPr>
        <w:pStyle w:val="ListParagraph"/>
        <w:rPr>
          <w:rFonts w:ascii="Arial" w:hAnsi="Arial" w:cs="Arial"/>
          <w:sz w:val="24"/>
          <w:szCs w:val="24"/>
          <w:lang w:val="en-US"/>
        </w:rPr>
      </w:pPr>
    </w:p>
    <w:p w14:paraId="25D5ECB3" w14:textId="28272CCD" w:rsidR="00AD5F23"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6A475A" w:rsidRPr="004B2B30">
        <w:rPr>
          <w:rFonts w:ascii="Arial" w:hAnsi="Arial" w:cs="Arial"/>
          <w:sz w:val="24"/>
          <w:szCs w:val="24"/>
          <w:lang w:val="en-US"/>
        </w:rPr>
        <w:t xml:space="preserve">Regarding the complaint </w:t>
      </w:r>
      <w:r w:rsidR="00254826" w:rsidRPr="004B2B30">
        <w:rPr>
          <w:rFonts w:ascii="Arial" w:hAnsi="Arial" w:cs="Arial"/>
          <w:sz w:val="24"/>
          <w:szCs w:val="24"/>
          <w:lang w:val="en-US"/>
        </w:rPr>
        <w:t xml:space="preserve">that no proper investigation was </w:t>
      </w:r>
      <w:r w:rsidR="00F56F22" w:rsidRPr="004B2B30">
        <w:rPr>
          <w:rFonts w:ascii="Arial" w:hAnsi="Arial" w:cs="Arial"/>
          <w:sz w:val="24"/>
          <w:szCs w:val="24"/>
          <w:lang w:val="en-US"/>
        </w:rPr>
        <w:t xml:space="preserve">conducted </w:t>
      </w:r>
      <w:r w:rsidR="00254826" w:rsidRPr="004B2B30">
        <w:rPr>
          <w:rFonts w:ascii="Arial" w:hAnsi="Arial" w:cs="Arial"/>
          <w:sz w:val="24"/>
          <w:szCs w:val="24"/>
          <w:lang w:val="en-US"/>
        </w:rPr>
        <w:t xml:space="preserve"> before </w:t>
      </w:r>
      <w:r w:rsidR="00F65A50" w:rsidRPr="004B2B30">
        <w:rPr>
          <w:rFonts w:ascii="Arial" w:hAnsi="Arial" w:cs="Arial"/>
          <w:sz w:val="24"/>
          <w:szCs w:val="24"/>
          <w:lang w:val="en-US"/>
        </w:rPr>
        <w:t xml:space="preserve">the death benefit was allocated to Auret, </w:t>
      </w:r>
      <w:r w:rsidR="00685A7D" w:rsidRPr="004B2B30">
        <w:rPr>
          <w:rFonts w:ascii="Arial" w:hAnsi="Arial" w:cs="Arial"/>
          <w:sz w:val="24"/>
          <w:szCs w:val="24"/>
          <w:lang w:val="en-US"/>
        </w:rPr>
        <w:t>it is</w:t>
      </w:r>
      <w:r w:rsidR="007731C0" w:rsidRPr="004B2B30">
        <w:rPr>
          <w:rFonts w:ascii="Arial" w:hAnsi="Arial" w:cs="Arial"/>
          <w:sz w:val="24"/>
          <w:szCs w:val="24"/>
          <w:lang w:val="en-US"/>
        </w:rPr>
        <w:t xml:space="preserve"> </w:t>
      </w:r>
      <w:r w:rsidR="00F56F22" w:rsidRPr="004B2B30">
        <w:rPr>
          <w:rFonts w:ascii="Arial" w:hAnsi="Arial" w:cs="Arial"/>
          <w:sz w:val="24"/>
          <w:szCs w:val="24"/>
          <w:lang w:val="en-US"/>
        </w:rPr>
        <w:t>un</w:t>
      </w:r>
      <w:r w:rsidR="007731C0" w:rsidRPr="004B2B30">
        <w:rPr>
          <w:rFonts w:ascii="Arial" w:hAnsi="Arial" w:cs="Arial"/>
          <w:sz w:val="24"/>
          <w:szCs w:val="24"/>
          <w:lang w:val="en-US"/>
        </w:rPr>
        <w:t xml:space="preserve">disputed that </w:t>
      </w:r>
      <w:r w:rsidR="00B613C1" w:rsidRPr="004B2B30">
        <w:rPr>
          <w:rFonts w:ascii="Arial" w:hAnsi="Arial" w:cs="Arial"/>
          <w:sz w:val="24"/>
          <w:szCs w:val="24"/>
          <w:lang w:val="en-US"/>
        </w:rPr>
        <w:t>an investigation did in fact take place</w:t>
      </w:r>
      <w:r w:rsidR="00127B52" w:rsidRPr="004B2B30">
        <w:rPr>
          <w:rFonts w:ascii="Arial" w:hAnsi="Arial" w:cs="Arial"/>
          <w:sz w:val="24"/>
          <w:szCs w:val="24"/>
          <w:lang w:val="en-US"/>
        </w:rPr>
        <w:t>.</w:t>
      </w:r>
      <w:r w:rsidR="00B613C1" w:rsidRPr="004B2B30">
        <w:rPr>
          <w:rFonts w:ascii="Arial" w:hAnsi="Arial" w:cs="Arial"/>
          <w:sz w:val="24"/>
          <w:szCs w:val="24"/>
          <w:lang w:val="en-US"/>
        </w:rPr>
        <w:t xml:space="preserve"> </w:t>
      </w:r>
      <w:r w:rsidR="00127B52" w:rsidRPr="004B2B30">
        <w:rPr>
          <w:rFonts w:ascii="Arial" w:hAnsi="Arial" w:cs="Arial"/>
          <w:sz w:val="24"/>
          <w:szCs w:val="24"/>
          <w:lang w:val="en-US"/>
        </w:rPr>
        <w:t>T</w:t>
      </w:r>
      <w:r w:rsidR="00B613C1" w:rsidRPr="004B2B30">
        <w:rPr>
          <w:rFonts w:ascii="Arial" w:hAnsi="Arial" w:cs="Arial"/>
          <w:sz w:val="24"/>
          <w:szCs w:val="24"/>
          <w:lang w:val="en-US"/>
        </w:rPr>
        <w:t>he board did obtain an affidavit from the fourt</w:t>
      </w:r>
      <w:r w:rsidR="002A23B7" w:rsidRPr="004B2B30">
        <w:rPr>
          <w:rFonts w:ascii="Arial" w:hAnsi="Arial" w:cs="Arial"/>
          <w:sz w:val="24"/>
          <w:szCs w:val="24"/>
          <w:lang w:val="en-US"/>
        </w:rPr>
        <w:t>h</w:t>
      </w:r>
      <w:r w:rsidR="00B613C1" w:rsidRPr="004B2B30">
        <w:rPr>
          <w:rFonts w:ascii="Arial" w:hAnsi="Arial" w:cs="Arial"/>
          <w:sz w:val="24"/>
          <w:szCs w:val="24"/>
          <w:lang w:val="en-US"/>
        </w:rPr>
        <w:t xml:space="preserve"> </w:t>
      </w:r>
      <w:r w:rsidR="00127B52" w:rsidRPr="004B2B30">
        <w:rPr>
          <w:rFonts w:ascii="Arial" w:hAnsi="Arial" w:cs="Arial"/>
          <w:sz w:val="24"/>
          <w:szCs w:val="24"/>
          <w:lang w:val="en-US"/>
        </w:rPr>
        <w:t>applicant</w:t>
      </w:r>
      <w:r w:rsidR="002A23B7" w:rsidRPr="004B2B30">
        <w:rPr>
          <w:rFonts w:ascii="Arial" w:hAnsi="Arial" w:cs="Arial"/>
          <w:sz w:val="24"/>
          <w:szCs w:val="24"/>
          <w:lang w:val="en-US"/>
        </w:rPr>
        <w:t xml:space="preserve">. </w:t>
      </w:r>
      <w:r w:rsidR="00026B15" w:rsidRPr="004B2B30">
        <w:rPr>
          <w:rFonts w:ascii="Arial" w:hAnsi="Arial" w:cs="Arial"/>
          <w:sz w:val="24"/>
          <w:szCs w:val="24"/>
          <w:lang w:val="en-US"/>
        </w:rPr>
        <w:t xml:space="preserve">Despite </w:t>
      </w:r>
      <w:r w:rsidR="00FA7005" w:rsidRPr="004B2B30">
        <w:rPr>
          <w:rFonts w:ascii="Arial" w:hAnsi="Arial" w:cs="Arial"/>
          <w:sz w:val="24"/>
          <w:szCs w:val="24"/>
          <w:lang w:val="en-US"/>
        </w:rPr>
        <w:t xml:space="preserve">the first applicant </w:t>
      </w:r>
      <w:r w:rsidR="00026B15" w:rsidRPr="004B2B30">
        <w:rPr>
          <w:rFonts w:ascii="Arial" w:hAnsi="Arial" w:cs="Arial"/>
          <w:sz w:val="24"/>
          <w:szCs w:val="24"/>
          <w:lang w:val="en-US"/>
        </w:rPr>
        <w:t>deny</w:t>
      </w:r>
      <w:r w:rsidR="00FA7005" w:rsidRPr="004B2B30">
        <w:rPr>
          <w:rFonts w:ascii="Arial" w:hAnsi="Arial" w:cs="Arial"/>
          <w:sz w:val="24"/>
          <w:szCs w:val="24"/>
          <w:lang w:val="en-US"/>
        </w:rPr>
        <w:t xml:space="preserve">ing that in her founding affidavit she was contacted by an investigator, she retracted this statement in her </w:t>
      </w:r>
      <w:r w:rsidR="00EE6FEF" w:rsidRPr="004B2B30">
        <w:rPr>
          <w:rFonts w:ascii="Arial" w:hAnsi="Arial" w:cs="Arial"/>
          <w:sz w:val="24"/>
          <w:szCs w:val="24"/>
          <w:lang w:val="en-US"/>
        </w:rPr>
        <w:t xml:space="preserve">supplementary founding affidavit wherein she admits that an </w:t>
      </w:r>
      <w:r w:rsidR="008F10D9" w:rsidRPr="004B2B30">
        <w:rPr>
          <w:rFonts w:ascii="Arial" w:hAnsi="Arial" w:cs="Arial"/>
          <w:sz w:val="24"/>
          <w:szCs w:val="24"/>
          <w:lang w:val="en-US"/>
        </w:rPr>
        <w:t xml:space="preserve">investigator </w:t>
      </w:r>
      <w:r w:rsidR="00F56F22" w:rsidRPr="004B2B30">
        <w:rPr>
          <w:rFonts w:ascii="Arial" w:hAnsi="Arial" w:cs="Arial"/>
          <w:sz w:val="24"/>
          <w:szCs w:val="24"/>
          <w:lang w:val="en-US"/>
        </w:rPr>
        <w:t xml:space="preserve">had </w:t>
      </w:r>
      <w:r w:rsidR="008F10D9" w:rsidRPr="004B2B30">
        <w:rPr>
          <w:rFonts w:ascii="Arial" w:hAnsi="Arial" w:cs="Arial"/>
          <w:sz w:val="24"/>
          <w:szCs w:val="24"/>
          <w:lang w:val="en-US"/>
        </w:rPr>
        <w:t xml:space="preserve"> interview</w:t>
      </w:r>
      <w:r w:rsidR="00F56F22" w:rsidRPr="004B2B30">
        <w:rPr>
          <w:rFonts w:ascii="Arial" w:hAnsi="Arial" w:cs="Arial"/>
          <w:sz w:val="24"/>
          <w:szCs w:val="24"/>
          <w:lang w:val="en-US"/>
        </w:rPr>
        <w:t>ed</w:t>
      </w:r>
      <w:r w:rsidR="008F10D9" w:rsidRPr="004B2B30">
        <w:rPr>
          <w:rFonts w:ascii="Arial" w:hAnsi="Arial" w:cs="Arial"/>
          <w:sz w:val="24"/>
          <w:szCs w:val="24"/>
          <w:lang w:val="en-US"/>
        </w:rPr>
        <w:t xml:space="preserve"> her. The retraction was made after the applicants received the record </w:t>
      </w:r>
      <w:r w:rsidR="006C4E7D" w:rsidRPr="004B2B30">
        <w:rPr>
          <w:rFonts w:ascii="Arial" w:hAnsi="Arial" w:cs="Arial"/>
          <w:sz w:val="24"/>
          <w:szCs w:val="24"/>
          <w:lang w:val="en-US"/>
        </w:rPr>
        <w:t>containing</w:t>
      </w:r>
      <w:r w:rsidR="00F56F22" w:rsidRPr="004B2B30">
        <w:rPr>
          <w:rFonts w:ascii="Arial" w:hAnsi="Arial" w:cs="Arial"/>
          <w:sz w:val="24"/>
          <w:szCs w:val="24"/>
          <w:lang w:val="en-US"/>
        </w:rPr>
        <w:t xml:space="preserve"> </w:t>
      </w:r>
      <w:r w:rsidR="00854CB7" w:rsidRPr="004B2B30">
        <w:rPr>
          <w:rFonts w:ascii="Arial" w:hAnsi="Arial" w:cs="Arial"/>
          <w:sz w:val="24"/>
          <w:szCs w:val="24"/>
          <w:lang w:val="en-US"/>
        </w:rPr>
        <w:t xml:space="preserve">the decision of the board, which included a </w:t>
      </w:r>
      <w:r w:rsidR="00412FC2" w:rsidRPr="004B2B30">
        <w:rPr>
          <w:rFonts w:ascii="Arial" w:hAnsi="Arial" w:cs="Arial"/>
          <w:sz w:val="24"/>
          <w:szCs w:val="24"/>
          <w:lang w:val="en-US"/>
        </w:rPr>
        <w:t xml:space="preserve">forensic investigation </w:t>
      </w:r>
      <w:r w:rsidR="00854CB7" w:rsidRPr="004B2B30">
        <w:rPr>
          <w:rFonts w:ascii="Arial" w:hAnsi="Arial" w:cs="Arial"/>
          <w:sz w:val="24"/>
          <w:szCs w:val="24"/>
          <w:lang w:val="en-US"/>
        </w:rPr>
        <w:t>report</w:t>
      </w:r>
      <w:r w:rsidR="00412FC2" w:rsidRPr="004B2B30">
        <w:rPr>
          <w:rFonts w:ascii="Arial" w:hAnsi="Arial" w:cs="Arial"/>
          <w:sz w:val="24"/>
          <w:szCs w:val="24"/>
          <w:lang w:val="en-US"/>
        </w:rPr>
        <w:t xml:space="preserve">. </w:t>
      </w:r>
      <w:r w:rsidR="002F5160" w:rsidRPr="004B2B30">
        <w:rPr>
          <w:rFonts w:ascii="Arial" w:hAnsi="Arial" w:cs="Arial"/>
          <w:sz w:val="24"/>
          <w:szCs w:val="24"/>
          <w:lang w:val="en-US"/>
        </w:rPr>
        <w:t xml:space="preserve">It was reported that the </w:t>
      </w:r>
      <w:r w:rsidR="00935D62" w:rsidRPr="004B2B30">
        <w:rPr>
          <w:rFonts w:ascii="Arial" w:hAnsi="Arial" w:cs="Arial"/>
          <w:sz w:val="24"/>
          <w:szCs w:val="24"/>
          <w:lang w:val="en-US"/>
        </w:rPr>
        <w:t xml:space="preserve">investigator spoke to </w:t>
      </w:r>
      <w:r w:rsidR="002F5160" w:rsidRPr="004B2B30">
        <w:rPr>
          <w:rFonts w:ascii="Arial" w:hAnsi="Arial" w:cs="Arial"/>
          <w:sz w:val="24"/>
          <w:szCs w:val="24"/>
          <w:lang w:val="en-US"/>
        </w:rPr>
        <w:t xml:space="preserve">first </w:t>
      </w:r>
      <w:r w:rsidR="00127B52" w:rsidRPr="004B2B30">
        <w:rPr>
          <w:rFonts w:ascii="Arial" w:hAnsi="Arial" w:cs="Arial"/>
          <w:sz w:val="24"/>
          <w:szCs w:val="24"/>
          <w:lang w:val="en-US"/>
        </w:rPr>
        <w:t>applica</w:t>
      </w:r>
      <w:r w:rsidR="002F5160" w:rsidRPr="004B2B30">
        <w:rPr>
          <w:rFonts w:ascii="Arial" w:hAnsi="Arial" w:cs="Arial"/>
          <w:sz w:val="24"/>
          <w:szCs w:val="24"/>
          <w:lang w:val="en-US"/>
        </w:rPr>
        <w:t xml:space="preserve">nt </w:t>
      </w:r>
      <w:r w:rsidR="00880334" w:rsidRPr="004B2B30">
        <w:rPr>
          <w:rFonts w:ascii="Arial" w:hAnsi="Arial" w:cs="Arial"/>
          <w:sz w:val="24"/>
          <w:szCs w:val="24"/>
          <w:lang w:val="en-US"/>
        </w:rPr>
        <w:t xml:space="preserve">who advised that she knew her late father had </w:t>
      </w:r>
      <w:r w:rsidR="002751DB" w:rsidRPr="004B2B30">
        <w:rPr>
          <w:rFonts w:ascii="Arial" w:hAnsi="Arial" w:cs="Arial"/>
          <w:sz w:val="24"/>
          <w:szCs w:val="24"/>
          <w:lang w:val="en-US"/>
        </w:rPr>
        <w:t xml:space="preserve">a relationship with Auret, but </w:t>
      </w:r>
      <w:r w:rsidR="00C67B09" w:rsidRPr="004B2B30">
        <w:rPr>
          <w:rFonts w:ascii="Arial" w:hAnsi="Arial" w:cs="Arial"/>
          <w:sz w:val="24"/>
          <w:szCs w:val="24"/>
          <w:lang w:val="en-US"/>
        </w:rPr>
        <w:t>her father never mentioned anything about marrying Auret.</w:t>
      </w:r>
      <w:r w:rsidR="008720BD" w:rsidRPr="004B2B30">
        <w:rPr>
          <w:rFonts w:ascii="Arial" w:hAnsi="Arial" w:cs="Arial"/>
          <w:sz w:val="24"/>
          <w:szCs w:val="24"/>
          <w:lang w:val="en-US"/>
        </w:rPr>
        <w:t xml:space="preserve"> The </w:t>
      </w:r>
      <w:r w:rsidR="00FA2B21" w:rsidRPr="004B2B30">
        <w:rPr>
          <w:rFonts w:ascii="Arial" w:hAnsi="Arial" w:cs="Arial"/>
          <w:sz w:val="24"/>
          <w:szCs w:val="24"/>
          <w:lang w:val="en-US"/>
        </w:rPr>
        <w:t>report also revealed that the investigator had</w:t>
      </w:r>
      <w:r w:rsidR="00E32733" w:rsidRPr="004B2B30">
        <w:rPr>
          <w:rFonts w:ascii="Arial" w:hAnsi="Arial" w:cs="Arial"/>
          <w:sz w:val="24"/>
          <w:szCs w:val="24"/>
          <w:lang w:val="en-US"/>
        </w:rPr>
        <w:t xml:space="preserve"> </w:t>
      </w:r>
      <w:r w:rsidR="00FA2B21" w:rsidRPr="004B2B30">
        <w:rPr>
          <w:rFonts w:ascii="Arial" w:hAnsi="Arial" w:cs="Arial"/>
          <w:sz w:val="24"/>
          <w:szCs w:val="24"/>
          <w:lang w:val="en-US"/>
        </w:rPr>
        <w:t xml:space="preserve">spoken to both the </w:t>
      </w:r>
      <w:r w:rsidR="00E32733" w:rsidRPr="004B2B30">
        <w:rPr>
          <w:rFonts w:ascii="Arial" w:hAnsi="Arial" w:cs="Arial"/>
          <w:sz w:val="24"/>
          <w:szCs w:val="24"/>
          <w:lang w:val="en-US"/>
        </w:rPr>
        <w:t>second and fourth applicants.</w:t>
      </w:r>
    </w:p>
    <w:p w14:paraId="781D9B55" w14:textId="77777777" w:rsidR="000E3806" w:rsidRPr="000E3806" w:rsidRDefault="000E3806" w:rsidP="000E3806">
      <w:pPr>
        <w:pStyle w:val="ListParagraph"/>
        <w:rPr>
          <w:rFonts w:ascii="Arial" w:hAnsi="Arial" w:cs="Arial"/>
          <w:sz w:val="24"/>
          <w:szCs w:val="24"/>
          <w:lang w:val="en-US"/>
        </w:rPr>
      </w:pPr>
    </w:p>
    <w:p w14:paraId="3E935AA6" w14:textId="51BC89B8" w:rsidR="00244BA7"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576783" w:rsidRPr="004B2B30">
        <w:rPr>
          <w:rFonts w:ascii="Arial" w:hAnsi="Arial" w:cs="Arial"/>
          <w:sz w:val="24"/>
          <w:szCs w:val="24"/>
          <w:lang w:val="en-US"/>
        </w:rPr>
        <w:t>In addition t</w:t>
      </w:r>
      <w:r w:rsidR="00DF3308" w:rsidRPr="004B2B30">
        <w:rPr>
          <w:rFonts w:ascii="Arial" w:hAnsi="Arial" w:cs="Arial"/>
          <w:sz w:val="24"/>
          <w:szCs w:val="24"/>
          <w:lang w:val="en-US"/>
        </w:rPr>
        <w:t xml:space="preserve">he forensic </w:t>
      </w:r>
      <w:r w:rsidR="008A4CAA" w:rsidRPr="004B2B30">
        <w:rPr>
          <w:rFonts w:ascii="Arial" w:hAnsi="Arial" w:cs="Arial"/>
          <w:sz w:val="24"/>
          <w:szCs w:val="24"/>
          <w:lang w:val="en-US"/>
        </w:rPr>
        <w:t xml:space="preserve">investigation </w:t>
      </w:r>
      <w:r w:rsidR="00DF3308" w:rsidRPr="004B2B30">
        <w:rPr>
          <w:rFonts w:ascii="Arial" w:hAnsi="Arial" w:cs="Arial"/>
          <w:sz w:val="24"/>
          <w:szCs w:val="24"/>
          <w:lang w:val="en-US"/>
        </w:rPr>
        <w:t xml:space="preserve">report </w:t>
      </w:r>
      <w:r w:rsidR="008A4CAA" w:rsidRPr="004B2B30">
        <w:rPr>
          <w:rFonts w:ascii="Arial" w:hAnsi="Arial" w:cs="Arial"/>
          <w:sz w:val="24"/>
          <w:szCs w:val="24"/>
          <w:lang w:val="en-US"/>
        </w:rPr>
        <w:t xml:space="preserve">also </w:t>
      </w:r>
      <w:r w:rsidR="00576783" w:rsidRPr="004B2B30">
        <w:rPr>
          <w:rFonts w:ascii="Arial" w:hAnsi="Arial" w:cs="Arial"/>
          <w:sz w:val="24"/>
          <w:szCs w:val="24"/>
          <w:lang w:val="en-US"/>
        </w:rPr>
        <w:t>discloses</w:t>
      </w:r>
      <w:r w:rsidR="008A4CAA" w:rsidRPr="004B2B30">
        <w:rPr>
          <w:rFonts w:ascii="Arial" w:hAnsi="Arial" w:cs="Arial"/>
          <w:sz w:val="24"/>
          <w:szCs w:val="24"/>
          <w:lang w:val="en-US"/>
        </w:rPr>
        <w:t xml:space="preserve"> that the investigator </w:t>
      </w:r>
      <w:r w:rsidR="00D92853" w:rsidRPr="004B2B30">
        <w:rPr>
          <w:rFonts w:ascii="Arial" w:hAnsi="Arial" w:cs="Arial"/>
          <w:sz w:val="24"/>
          <w:szCs w:val="24"/>
          <w:lang w:val="en-US"/>
        </w:rPr>
        <w:t xml:space="preserve">interviewed </w:t>
      </w:r>
      <w:r w:rsidR="00576783" w:rsidRPr="004B2B30">
        <w:rPr>
          <w:rFonts w:ascii="Arial" w:hAnsi="Arial" w:cs="Arial"/>
          <w:sz w:val="24"/>
          <w:szCs w:val="24"/>
          <w:lang w:val="en-US"/>
        </w:rPr>
        <w:t xml:space="preserve">several </w:t>
      </w:r>
      <w:r w:rsidR="00D92853" w:rsidRPr="004B2B30">
        <w:rPr>
          <w:rFonts w:ascii="Arial" w:hAnsi="Arial" w:cs="Arial"/>
          <w:sz w:val="24"/>
          <w:szCs w:val="24"/>
          <w:lang w:val="en-US"/>
        </w:rPr>
        <w:t>persons who kn</w:t>
      </w:r>
      <w:r w:rsidR="009D219F" w:rsidRPr="004B2B30">
        <w:rPr>
          <w:rFonts w:ascii="Arial" w:hAnsi="Arial" w:cs="Arial"/>
          <w:sz w:val="24"/>
          <w:szCs w:val="24"/>
          <w:lang w:val="en-US"/>
        </w:rPr>
        <w:t>e</w:t>
      </w:r>
      <w:r w:rsidR="00D92853" w:rsidRPr="004B2B30">
        <w:rPr>
          <w:rFonts w:ascii="Arial" w:hAnsi="Arial" w:cs="Arial"/>
          <w:sz w:val="24"/>
          <w:szCs w:val="24"/>
          <w:lang w:val="en-US"/>
        </w:rPr>
        <w:t>w the deceased and Auret</w:t>
      </w:r>
      <w:r w:rsidR="00801439" w:rsidRPr="004B2B30">
        <w:rPr>
          <w:rFonts w:ascii="Arial" w:hAnsi="Arial" w:cs="Arial"/>
          <w:sz w:val="24"/>
          <w:szCs w:val="24"/>
          <w:lang w:val="en-US"/>
        </w:rPr>
        <w:t>. The</w:t>
      </w:r>
      <w:r w:rsidR="00676552" w:rsidRPr="004B2B30">
        <w:rPr>
          <w:rFonts w:ascii="Arial" w:hAnsi="Arial" w:cs="Arial"/>
          <w:sz w:val="24"/>
          <w:szCs w:val="24"/>
          <w:lang w:val="en-US"/>
        </w:rPr>
        <w:t>se</w:t>
      </w:r>
      <w:r w:rsidR="00801439" w:rsidRPr="004B2B30">
        <w:rPr>
          <w:rFonts w:ascii="Arial" w:hAnsi="Arial" w:cs="Arial"/>
          <w:sz w:val="24"/>
          <w:szCs w:val="24"/>
          <w:lang w:val="en-US"/>
        </w:rPr>
        <w:t xml:space="preserve"> </w:t>
      </w:r>
      <w:r w:rsidR="00576783" w:rsidRPr="004B2B30">
        <w:rPr>
          <w:rFonts w:ascii="Arial" w:hAnsi="Arial" w:cs="Arial"/>
          <w:sz w:val="24"/>
          <w:szCs w:val="24"/>
          <w:lang w:val="en-US"/>
        </w:rPr>
        <w:t>individuals</w:t>
      </w:r>
      <w:r w:rsidR="00676552" w:rsidRPr="004B2B30">
        <w:rPr>
          <w:rFonts w:ascii="Arial" w:hAnsi="Arial" w:cs="Arial"/>
          <w:sz w:val="24"/>
          <w:szCs w:val="24"/>
          <w:lang w:val="en-US"/>
        </w:rPr>
        <w:t xml:space="preserve"> </w:t>
      </w:r>
      <w:r w:rsidR="00801439" w:rsidRPr="004B2B30">
        <w:rPr>
          <w:rFonts w:ascii="Arial" w:hAnsi="Arial" w:cs="Arial"/>
          <w:sz w:val="24"/>
          <w:szCs w:val="24"/>
          <w:lang w:val="en-US"/>
        </w:rPr>
        <w:t xml:space="preserve">confirm that the two were living together </w:t>
      </w:r>
      <w:r w:rsidR="002D2566" w:rsidRPr="004B2B30">
        <w:rPr>
          <w:rFonts w:ascii="Arial" w:hAnsi="Arial" w:cs="Arial"/>
          <w:sz w:val="24"/>
          <w:szCs w:val="24"/>
          <w:lang w:val="en-US"/>
        </w:rPr>
        <w:t xml:space="preserve">and there is evidence that they were engaged to be married. </w:t>
      </w:r>
      <w:r w:rsidR="00981696" w:rsidRPr="004B2B30">
        <w:rPr>
          <w:rFonts w:ascii="Arial" w:hAnsi="Arial" w:cs="Arial"/>
          <w:sz w:val="24"/>
          <w:szCs w:val="24"/>
          <w:lang w:val="en-US"/>
        </w:rPr>
        <w:t xml:space="preserve">What is </w:t>
      </w:r>
      <w:r w:rsidR="00DC7B17" w:rsidRPr="004B2B30">
        <w:rPr>
          <w:rFonts w:ascii="Arial" w:hAnsi="Arial" w:cs="Arial"/>
          <w:sz w:val="24"/>
          <w:szCs w:val="24"/>
          <w:lang w:val="en-US"/>
        </w:rPr>
        <w:t>indisputable</w:t>
      </w:r>
      <w:r w:rsidR="00981696" w:rsidRPr="004B2B30">
        <w:rPr>
          <w:rFonts w:ascii="Arial" w:hAnsi="Arial" w:cs="Arial"/>
          <w:sz w:val="24"/>
          <w:szCs w:val="24"/>
          <w:lang w:val="en-US"/>
        </w:rPr>
        <w:t xml:space="preserve"> is that the deceased and Auret had been living together for</w:t>
      </w:r>
      <w:r w:rsidR="009D219F" w:rsidRPr="004B2B30">
        <w:rPr>
          <w:rFonts w:ascii="Arial" w:hAnsi="Arial" w:cs="Arial"/>
          <w:sz w:val="24"/>
          <w:szCs w:val="24"/>
          <w:lang w:val="en-US"/>
        </w:rPr>
        <w:t xml:space="preserve"> several</w:t>
      </w:r>
      <w:r w:rsidR="00981696" w:rsidRPr="004B2B30">
        <w:rPr>
          <w:rFonts w:ascii="Arial" w:hAnsi="Arial" w:cs="Arial"/>
          <w:sz w:val="24"/>
          <w:szCs w:val="24"/>
          <w:lang w:val="en-US"/>
        </w:rPr>
        <w:t xml:space="preserve"> years </w:t>
      </w:r>
      <w:r w:rsidR="00576783" w:rsidRPr="004B2B30">
        <w:rPr>
          <w:rFonts w:ascii="Arial" w:hAnsi="Arial" w:cs="Arial"/>
          <w:sz w:val="24"/>
          <w:szCs w:val="24"/>
          <w:lang w:val="en-US"/>
        </w:rPr>
        <w:t>prior to</w:t>
      </w:r>
      <w:r w:rsidR="00981696" w:rsidRPr="004B2B30">
        <w:rPr>
          <w:rFonts w:ascii="Arial" w:hAnsi="Arial" w:cs="Arial"/>
          <w:sz w:val="24"/>
          <w:szCs w:val="24"/>
          <w:lang w:val="en-US"/>
        </w:rPr>
        <w:t xml:space="preserve"> the demise of the deceased. </w:t>
      </w:r>
      <w:r w:rsidR="0083523E" w:rsidRPr="004B2B30">
        <w:rPr>
          <w:rFonts w:ascii="Arial" w:hAnsi="Arial" w:cs="Arial"/>
          <w:sz w:val="24"/>
          <w:szCs w:val="24"/>
          <w:lang w:val="en-US"/>
        </w:rPr>
        <w:t xml:space="preserve">They </w:t>
      </w:r>
      <w:r w:rsidR="00854985" w:rsidRPr="004B2B30">
        <w:rPr>
          <w:rFonts w:ascii="Arial" w:hAnsi="Arial" w:cs="Arial"/>
          <w:sz w:val="24"/>
          <w:szCs w:val="24"/>
          <w:lang w:val="en-US"/>
        </w:rPr>
        <w:t>in</w:t>
      </w:r>
      <w:r w:rsidR="00640303" w:rsidRPr="004B2B30">
        <w:rPr>
          <w:rFonts w:ascii="Arial" w:hAnsi="Arial" w:cs="Arial"/>
          <w:sz w:val="24"/>
          <w:szCs w:val="24"/>
          <w:lang w:val="en-US"/>
        </w:rPr>
        <w:t xml:space="preserve">itially leased a </w:t>
      </w:r>
      <w:r w:rsidR="00640303" w:rsidRPr="004B2B30">
        <w:rPr>
          <w:rFonts w:ascii="Arial" w:hAnsi="Arial" w:cs="Arial"/>
          <w:sz w:val="24"/>
          <w:szCs w:val="24"/>
          <w:lang w:val="en-US"/>
        </w:rPr>
        <w:lastRenderedPageBreak/>
        <w:t xml:space="preserve">premises where they lived and later </w:t>
      </w:r>
      <w:r w:rsidR="0083523E" w:rsidRPr="004B2B30">
        <w:rPr>
          <w:rFonts w:ascii="Arial" w:hAnsi="Arial" w:cs="Arial"/>
          <w:sz w:val="24"/>
          <w:szCs w:val="24"/>
          <w:lang w:val="en-US"/>
        </w:rPr>
        <w:t>bought a property together</w:t>
      </w:r>
      <w:r w:rsidR="00640303" w:rsidRPr="004B2B30">
        <w:rPr>
          <w:rFonts w:ascii="Arial" w:hAnsi="Arial" w:cs="Arial"/>
          <w:sz w:val="24"/>
          <w:szCs w:val="24"/>
          <w:lang w:val="en-US"/>
        </w:rPr>
        <w:t xml:space="preserve"> which was registered </w:t>
      </w:r>
      <w:r w:rsidR="00BD54CC" w:rsidRPr="004B2B30">
        <w:rPr>
          <w:rFonts w:ascii="Arial" w:hAnsi="Arial" w:cs="Arial"/>
          <w:sz w:val="24"/>
          <w:szCs w:val="24"/>
          <w:lang w:val="en-US"/>
        </w:rPr>
        <w:t>in</w:t>
      </w:r>
      <w:r w:rsidR="00640303" w:rsidRPr="004B2B30">
        <w:rPr>
          <w:rFonts w:ascii="Arial" w:hAnsi="Arial" w:cs="Arial"/>
          <w:sz w:val="24"/>
          <w:szCs w:val="24"/>
          <w:lang w:val="en-US"/>
        </w:rPr>
        <w:t xml:space="preserve"> the name of Auret. </w:t>
      </w:r>
      <w:r w:rsidR="00ED6F2C" w:rsidRPr="004B2B30">
        <w:rPr>
          <w:rFonts w:ascii="Arial" w:hAnsi="Arial" w:cs="Arial"/>
          <w:sz w:val="24"/>
          <w:szCs w:val="24"/>
          <w:lang w:val="en-US"/>
        </w:rPr>
        <w:t xml:space="preserve">It is common cause that the deceased </w:t>
      </w:r>
      <w:r w:rsidR="00013A5E" w:rsidRPr="004B2B30">
        <w:rPr>
          <w:rFonts w:ascii="Arial" w:hAnsi="Arial" w:cs="Arial"/>
          <w:sz w:val="24"/>
          <w:szCs w:val="24"/>
          <w:lang w:val="en-US"/>
        </w:rPr>
        <w:t xml:space="preserve">paid an amount in excess of R500 000.00 towards </w:t>
      </w:r>
      <w:r w:rsidR="006F3594" w:rsidRPr="004B2B30">
        <w:rPr>
          <w:rFonts w:ascii="Arial" w:hAnsi="Arial" w:cs="Arial"/>
          <w:sz w:val="24"/>
          <w:szCs w:val="24"/>
          <w:lang w:val="en-US"/>
        </w:rPr>
        <w:t xml:space="preserve">the purchase </w:t>
      </w:r>
      <w:r w:rsidR="00576783" w:rsidRPr="004B2B30">
        <w:rPr>
          <w:rFonts w:ascii="Arial" w:hAnsi="Arial" w:cs="Arial"/>
          <w:sz w:val="24"/>
          <w:szCs w:val="24"/>
          <w:lang w:val="en-US"/>
        </w:rPr>
        <w:t xml:space="preserve">price </w:t>
      </w:r>
      <w:r w:rsidR="006F3594" w:rsidRPr="004B2B30">
        <w:rPr>
          <w:rFonts w:ascii="Arial" w:hAnsi="Arial" w:cs="Arial"/>
          <w:sz w:val="24"/>
          <w:szCs w:val="24"/>
          <w:lang w:val="en-US"/>
        </w:rPr>
        <w:t>of</w:t>
      </w:r>
      <w:r w:rsidR="00013A5E" w:rsidRPr="004B2B30">
        <w:rPr>
          <w:rFonts w:ascii="Arial" w:hAnsi="Arial" w:cs="Arial"/>
          <w:sz w:val="24"/>
          <w:szCs w:val="24"/>
          <w:lang w:val="en-US"/>
        </w:rPr>
        <w:t xml:space="preserve"> this property.</w:t>
      </w:r>
    </w:p>
    <w:p w14:paraId="25B04E56" w14:textId="77777777" w:rsidR="000E3806" w:rsidRPr="000E3806" w:rsidRDefault="000E3806" w:rsidP="000E3806">
      <w:pPr>
        <w:pStyle w:val="ListParagraph"/>
        <w:rPr>
          <w:rFonts w:ascii="Arial" w:hAnsi="Arial" w:cs="Arial"/>
          <w:sz w:val="24"/>
          <w:szCs w:val="24"/>
          <w:lang w:val="en-US"/>
        </w:rPr>
      </w:pPr>
    </w:p>
    <w:p w14:paraId="114B67CD" w14:textId="0E9EC51A" w:rsidR="00BB1476"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83523E" w:rsidRPr="004B2B30">
        <w:rPr>
          <w:rFonts w:ascii="Arial" w:hAnsi="Arial" w:cs="Arial"/>
          <w:sz w:val="24"/>
          <w:szCs w:val="24"/>
          <w:lang w:val="en-US"/>
        </w:rPr>
        <w:t xml:space="preserve"> </w:t>
      </w:r>
      <w:r w:rsidR="00144C14" w:rsidRPr="004B2B30">
        <w:rPr>
          <w:rFonts w:ascii="Arial" w:hAnsi="Arial" w:cs="Arial"/>
          <w:sz w:val="24"/>
          <w:szCs w:val="24"/>
          <w:lang w:val="en-US"/>
        </w:rPr>
        <w:t xml:space="preserve">A further </w:t>
      </w:r>
      <w:r w:rsidR="00576783" w:rsidRPr="004B2B30">
        <w:rPr>
          <w:rFonts w:ascii="Arial" w:hAnsi="Arial" w:cs="Arial"/>
          <w:sz w:val="24"/>
          <w:szCs w:val="24"/>
          <w:lang w:val="en-US"/>
        </w:rPr>
        <w:t xml:space="preserve">issue </w:t>
      </w:r>
      <w:r w:rsidR="00144C14" w:rsidRPr="004B2B30">
        <w:rPr>
          <w:rFonts w:ascii="Arial" w:hAnsi="Arial" w:cs="Arial"/>
          <w:sz w:val="24"/>
          <w:szCs w:val="24"/>
          <w:lang w:val="en-US"/>
        </w:rPr>
        <w:t xml:space="preserve">which the applicants alleged were not properly investigated is the allegation that the relationship between the deceased and Auret had terminated before the death of the deceased. </w:t>
      </w:r>
      <w:r w:rsidR="00BE220B" w:rsidRPr="004B2B30">
        <w:rPr>
          <w:rFonts w:ascii="Arial" w:hAnsi="Arial" w:cs="Arial"/>
          <w:sz w:val="24"/>
          <w:szCs w:val="24"/>
          <w:lang w:val="en-US"/>
        </w:rPr>
        <w:t xml:space="preserve">The applicants acknowledged that </w:t>
      </w:r>
      <w:r w:rsidR="004227A1" w:rsidRPr="004B2B30">
        <w:rPr>
          <w:rFonts w:ascii="Arial" w:hAnsi="Arial" w:cs="Arial"/>
          <w:sz w:val="24"/>
          <w:szCs w:val="24"/>
          <w:lang w:val="en-US"/>
        </w:rPr>
        <w:t xml:space="preserve">Auret and the deceased had a tumultuous relationship </w:t>
      </w:r>
      <w:r w:rsidR="00930B71" w:rsidRPr="004B2B30">
        <w:rPr>
          <w:rFonts w:ascii="Arial" w:hAnsi="Arial" w:cs="Arial"/>
          <w:sz w:val="24"/>
          <w:szCs w:val="24"/>
          <w:lang w:val="en-US"/>
        </w:rPr>
        <w:t xml:space="preserve">and that </w:t>
      </w:r>
      <w:r w:rsidR="000B7FB1" w:rsidRPr="004B2B30">
        <w:rPr>
          <w:rFonts w:ascii="Arial" w:hAnsi="Arial" w:cs="Arial"/>
          <w:sz w:val="24"/>
          <w:szCs w:val="24"/>
          <w:lang w:val="en-US"/>
        </w:rPr>
        <w:t>there were occasions when the deceased would go and stay at his house in Gan</w:t>
      </w:r>
      <w:r w:rsidR="00257C32" w:rsidRPr="004B2B30">
        <w:rPr>
          <w:rFonts w:ascii="Arial" w:hAnsi="Arial" w:cs="Arial"/>
          <w:sz w:val="24"/>
          <w:szCs w:val="24"/>
          <w:lang w:val="en-US"/>
        </w:rPr>
        <w:t xml:space="preserve">sbaai after disagreements. </w:t>
      </w:r>
      <w:r w:rsidR="007D2399" w:rsidRPr="004B2B30">
        <w:rPr>
          <w:rFonts w:ascii="Arial" w:hAnsi="Arial" w:cs="Arial"/>
          <w:sz w:val="24"/>
          <w:szCs w:val="24"/>
          <w:lang w:val="en-US"/>
        </w:rPr>
        <w:t xml:space="preserve">The two would </w:t>
      </w:r>
      <w:r w:rsidR="00576783" w:rsidRPr="004B2B30">
        <w:rPr>
          <w:rFonts w:ascii="Arial" w:hAnsi="Arial" w:cs="Arial"/>
          <w:sz w:val="24"/>
          <w:szCs w:val="24"/>
          <w:lang w:val="en-US"/>
        </w:rPr>
        <w:t xml:space="preserve">mend </w:t>
      </w:r>
      <w:r w:rsidR="007D2399" w:rsidRPr="004B2B30">
        <w:rPr>
          <w:rFonts w:ascii="Arial" w:hAnsi="Arial" w:cs="Arial"/>
          <w:sz w:val="24"/>
          <w:szCs w:val="24"/>
          <w:lang w:val="en-US"/>
        </w:rPr>
        <w:t xml:space="preserve">their relationship </w:t>
      </w:r>
      <w:r w:rsidR="00D4164D" w:rsidRPr="004B2B30">
        <w:rPr>
          <w:rFonts w:ascii="Arial" w:hAnsi="Arial" w:cs="Arial"/>
          <w:sz w:val="24"/>
          <w:szCs w:val="24"/>
          <w:lang w:val="en-US"/>
        </w:rPr>
        <w:t xml:space="preserve">and the deceased would move back to their </w:t>
      </w:r>
      <w:r w:rsidR="00576783" w:rsidRPr="004B2B30">
        <w:rPr>
          <w:rFonts w:ascii="Arial" w:hAnsi="Arial" w:cs="Arial"/>
          <w:sz w:val="24"/>
          <w:szCs w:val="24"/>
          <w:lang w:val="en-US"/>
        </w:rPr>
        <w:t xml:space="preserve">shared </w:t>
      </w:r>
      <w:r w:rsidR="00D4164D" w:rsidRPr="004B2B30">
        <w:rPr>
          <w:rFonts w:ascii="Arial" w:hAnsi="Arial" w:cs="Arial"/>
          <w:sz w:val="24"/>
          <w:szCs w:val="24"/>
          <w:lang w:val="en-US"/>
        </w:rPr>
        <w:t xml:space="preserve"> home.</w:t>
      </w:r>
    </w:p>
    <w:p w14:paraId="3DB6DBA0" w14:textId="77777777" w:rsidR="000E3806" w:rsidRPr="000E3806" w:rsidRDefault="000E3806" w:rsidP="000E3806">
      <w:pPr>
        <w:pStyle w:val="ListParagraph"/>
        <w:rPr>
          <w:rFonts w:ascii="Arial" w:hAnsi="Arial" w:cs="Arial"/>
          <w:sz w:val="24"/>
          <w:szCs w:val="24"/>
          <w:lang w:val="en-US"/>
        </w:rPr>
      </w:pPr>
    </w:p>
    <w:p w14:paraId="4D15E4FA" w14:textId="55802033" w:rsidR="00724ACB"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4F3C6E" w:rsidRPr="004B2B30">
        <w:rPr>
          <w:rFonts w:ascii="Arial" w:hAnsi="Arial" w:cs="Arial"/>
          <w:sz w:val="24"/>
          <w:szCs w:val="24"/>
          <w:lang w:val="en-US"/>
        </w:rPr>
        <w:t>According to the first respondent, it</w:t>
      </w:r>
      <w:r w:rsidR="00724ACB" w:rsidRPr="004B2B30">
        <w:rPr>
          <w:rFonts w:ascii="Arial" w:hAnsi="Arial" w:cs="Arial"/>
          <w:sz w:val="24"/>
          <w:szCs w:val="24"/>
          <w:lang w:val="en-US"/>
        </w:rPr>
        <w:t xml:space="preserve"> was precisely because of </w:t>
      </w:r>
      <w:r w:rsidR="004F3C6E" w:rsidRPr="004B2B30">
        <w:rPr>
          <w:rFonts w:ascii="Arial" w:hAnsi="Arial" w:cs="Arial"/>
          <w:sz w:val="24"/>
          <w:szCs w:val="24"/>
          <w:lang w:val="en-US"/>
        </w:rPr>
        <w:t xml:space="preserve">contradictory versions of the relationship between Auret and the deceased that they </w:t>
      </w:r>
      <w:r w:rsidR="007F2602" w:rsidRPr="004B2B30">
        <w:rPr>
          <w:rFonts w:ascii="Arial" w:hAnsi="Arial" w:cs="Arial"/>
          <w:sz w:val="24"/>
          <w:szCs w:val="24"/>
          <w:lang w:val="en-US"/>
        </w:rPr>
        <w:t>decided to conduct their own forensic investigation</w:t>
      </w:r>
      <w:r w:rsidR="00BD6112" w:rsidRPr="004B2B30">
        <w:rPr>
          <w:rFonts w:ascii="Arial" w:hAnsi="Arial" w:cs="Arial"/>
          <w:sz w:val="24"/>
          <w:szCs w:val="24"/>
          <w:lang w:val="en-US"/>
        </w:rPr>
        <w:t xml:space="preserve">, which investigation concluded that the </w:t>
      </w:r>
      <w:r w:rsidR="00AD037F" w:rsidRPr="004B2B30">
        <w:rPr>
          <w:rFonts w:ascii="Arial" w:hAnsi="Arial" w:cs="Arial"/>
          <w:sz w:val="24"/>
          <w:szCs w:val="24"/>
          <w:lang w:val="en-US"/>
        </w:rPr>
        <w:t xml:space="preserve">relationship </w:t>
      </w:r>
      <w:r w:rsidR="00576783" w:rsidRPr="004B2B30">
        <w:rPr>
          <w:rFonts w:ascii="Arial" w:hAnsi="Arial" w:cs="Arial"/>
          <w:sz w:val="24"/>
          <w:szCs w:val="24"/>
          <w:lang w:val="en-US"/>
        </w:rPr>
        <w:t xml:space="preserve">between the deceased and Auret </w:t>
      </w:r>
      <w:r w:rsidR="00AD037F" w:rsidRPr="004B2B30">
        <w:rPr>
          <w:rFonts w:ascii="Arial" w:hAnsi="Arial" w:cs="Arial"/>
          <w:sz w:val="24"/>
          <w:szCs w:val="24"/>
          <w:lang w:val="en-US"/>
        </w:rPr>
        <w:t>was like that of a married couple.</w:t>
      </w:r>
      <w:r w:rsidR="00676552" w:rsidRPr="004B2B30">
        <w:rPr>
          <w:rFonts w:ascii="Arial" w:hAnsi="Arial" w:cs="Arial"/>
          <w:sz w:val="24"/>
          <w:szCs w:val="24"/>
          <w:lang w:val="en-US"/>
        </w:rPr>
        <w:t xml:space="preserve"> The deceased did in fact go to stay at his house in Gansbaai a few days before his passing, but I agree that this is not indicative that his relationship with Auret had terminated.</w:t>
      </w:r>
    </w:p>
    <w:p w14:paraId="5F4D9FC0" w14:textId="77777777" w:rsidR="000E3806" w:rsidRPr="000E3806" w:rsidRDefault="000E3806" w:rsidP="000E3806">
      <w:pPr>
        <w:pStyle w:val="ListParagraph"/>
        <w:rPr>
          <w:rFonts w:ascii="Arial" w:hAnsi="Arial" w:cs="Arial"/>
          <w:sz w:val="24"/>
          <w:szCs w:val="24"/>
          <w:lang w:val="en-US"/>
        </w:rPr>
      </w:pPr>
    </w:p>
    <w:p w14:paraId="7E54CD38" w14:textId="2350E153" w:rsidR="000E3806"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1607F1" w:rsidRPr="004B2B30">
        <w:rPr>
          <w:rFonts w:ascii="Arial" w:hAnsi="Arial" w:cs="Arial"/>
          <w:sz w:val="24"/>
          <w:szCs w:val="24"/>
          <w:lang w:val="en-US"/>
        </w:rPr>
        <w:t xml:space="preserve">Both the </w:t>
      </w:r>
      <w:r w:rsidR="00993714" w:rsidRPr="004B2B30">
        <w:rPr>
          <w:rFonts w:ascii="Arial" w:hAnsi="Arial" w:cs="Arial"/>
          <w:sz w:val="24"/>
          <w:szCs w:val="24"/>
          <w:lang w:val="en-US"/>
        </w:rPr>
        <w:t xml:space="preserve">forensic investigation report </w:t>
      </w:r>
      <w:r w:rsidR="00150EE0" w:rsidRPr="004B2B30">
        <w:rPr>
          <w:rFonts w:ascii="Arial" w:hAnsi="Arial" w:cs="Arial"/>
          <w:sz w:val="24"/>
          <w:szCs w:val="24"/>
          <w:lang w:val="en-US"/>
        </w:rPr>
        <w:t xml:space="preserve">as well as the reasons for the </w:t>
      </w:r>
      <w:r w:rsidR="00671014" w:rsidRPr="004B2B30">
        <w:rPr>
          <w:rFonts w:ascii="Arial" w:hAnsi="Arial" w:cs="Arial"/>
          <w:sz w:val="24"/>
          <w:szCs w:val="24"/>
          <w:lang w:val="en-US"/>
        </w:rPr>
        <w:t xml:space="preserve">final </w:t>
      </w:r>
      <w:r w:rsidR="00150EE0" w:rsidRPr="004B2B30">
        <w:rPr>
          <w:rFonts w:ascii="Arial" w:hAnsi="Arial" w:cs="Arial"/>
          <w:sz w:val="24"/>
          <w:szCs w:val="24"/>
          <w:lang w:val="en-US"/>
        </w:rPr>
        <w:t>decision</w:t>
      </w:r>
      <w:r w:rsidR="00EF34E3" w:rsidRPr="004B2B30">
        <w:rPr>
          <w:rFonts w:ascii="Arial" w:hAnsi="Arial" w:cs="Arial"/>
          <w:sz w:val="24"/>
          <w:szCs w:val="24"/>
          <w:lang w:val="en-US"/>
        </w:rPr>
        <w:t xml:space="preserve"> </w:t>
      </w:r>
      <w:r w:rsidR="00D72DB2" w:rsidRPr="004B2B30">
        <w:rPr>
          <w:rFonts w:ascii="Arial" w:hAnsi="Arial" w:cs="Arial"/>
          <w:sz w:val="24"/>
          <w:szCs w:val="24"/>
          <w:lang w:val="en-US"/>
        </w:rPr>
        <w:t xml:space="preserve">of the board </w:t>
      </w:r>
      <w:r w:rsidR="00EF34E3" w:rsidRPr="004B2B30">
        <w:rPr>
          <w:rFonts w:ascii="Arial" w:hAnsi="Arial" w:cs="Arial"/>
          <w:sz w:val="24"/>
          <w:szCs w:val="24"/>
          <w:lang w:val="en-US"/>
        </w:rPr>
        <w:t>which are contained in the</w:t>
      </w:r>
      <w:r w:rsidR="00676552" w:rsidRPr="004B2B30">
        <w:rPr>
          <w:rFonts w:ascii="Arial" w:hAnsi="Arial" w:cs="Arial"/>
          <w:sz w:val="24"/>
          <w:szCs w:val="24"/>
          <w:lang w:val="en-US"/>
        </w:rPr>
        <w:t xml:space="preserve"> very comprehensive</w:t>
      </w:r>
      <w:r w:rsidR="00EF34E3" w:rsidRPr="004B2B30">
        <w:rPr>
          <w:rFonts w:ascii="Arial" w:hAnsi="Arial" w:cs="Arial"/>
          <w:sz w:val="24"/>
          <w:szCs w:val="24"/>
          <w:lang w:val="en-US"/>
        </w:rPr>
        <w:t xml:space="preserve"> letter </w:t>
      </w:r>
      <w:r w:rsidR="00DF0A9A" w:rsidRPr="004B2B30">
        <w:rPr>
          <w:rFonts w:ascii="Arial" w:hAnsi="Arial" w:cs="Arial"/>
          <w:sz w:val="24"/>
          <w:szCs w:val="24"/>
          <w:lang w:val="en-US"/>
        </w:rPr>
        <w:t xml:space="preserve">from the fund dated 7 October </w:t>
      </w:r>
      <w:r w:rsidR="00762768" w:rsidRPr="004B2B30">
        <w:rPr>
          <w:rFonts w:ascii="Arial" w:hAnsi="Arial" w:cs="Arial"/>
          <w:sz w:val="24"/>
          <w:szCs w:val="24"/>
          <w:lang w:val="en-US"/>
        </w:rPr>
        <w:t xml:space="preserve">2020 </w:t>
      </w:r>
      <w:r w:rsidR="00267B0B" w:rsidRPr="004B2B30">
        <w:rPr>
          <w:rFonts w:ascii="Arial" w:hAnsi="Arial" w:cs="Arial"/>
          <w:sz w:val="24"/>
          <w:szCs w:val="24"/>
          <w:lang w:val="en-US"/>
        </w:rPr>
        <w:t xml:space="preserve">are indicative that the board gathered a considerable amount of information before they made their </w:t>
      </w:r>
      <w:r w:rsidR="00AD532B" w:rsidRPr="004B2B30">
        <w:rPr>
          <w:rFonts w:ascii="Arial" w:hAnsi="Arial" w:cs="Arial"/>
          <w:sz w:val="24"/>
          <w:szCs w:val="24"/>
          <w:lang w:val="en-US"/>
        </w:rPr>
        <w:t xml:space="preserve">decision to allocate the death benefits to Auret. The board clearly considered </w:t>
      </w:r>
      <w:r w:rsidR="00A07D97" w:rsidRPr="004B2B30">
        <w:rPr>
          <w:rFonts w:ascii="Arial" w:hAnsi="Arial" w:cs="Arial"/>
          <w:sz w:val="24"/>
          <w:szCs w:val="24"/>
          <w:lang w:val="en-US"/>
        </w:rPr>
        <w:t>all relevant factors pertaining to the identified dependants</w:t>
      </w:r>
      <w:r w:rsidR="002D327C" w:rsidRPr="004B2B30">
        <w:rPr>
          <w:rFonts w:ascii="Arial" w:hAnsi="Arial" w:cs="Arial"/>
          <w:sz w:val="24"/>
          <w:szCs w:val="24"/>
          <w:lang w:val="en-US"/>
        </w:rPr>
        <w:t>. In paragraph 11 of the letter, they stated:</w:t>
      </w:r>
    </w:p>
    <w:p w14:paraId="4D2F6184" w14:textId="77777777" w:rsidR="00C76DAF" w:rsidRPr="00C76DAF" w:rsidRDefault="00C76DAF" w:rsidP="00C76DAF">
      <w:pPr>
        <w:pStyle w:val="ListParagraph"/>
        <w:rPr>
          <w:rFonts w:ascii="Arial" w:hAnsi="Arial" w:cs="Arial"/>
          <w:sz w:val="24"/>
          <w:szCs w:val="24"/>
          <w:lang w:val="en-US"/>
        </w:rPr>
      </w:pPr>
    </w:p>
    <w:p w14:paraId="16FE1C75" w14:textId="77777777" w:rsidR="00C76DAF" w:rsidRPr="000E3806" w:rsidRDefault="00C76DAF" w:rsidP="00C76DAF">
      <w:pPr>
        <w:pStyle w:val="ListParagraph"/>
        <w:spacing w:line="480" w:lineRule="auto"/>
        <w:ind w:left="142"/>
        <w:jc w:val="both"/>
        <w:rPr>
          <w:rFonts w:ascii="Arial" w:hAnsi="Arial" w:cs="Arial"/>
          <w:sz w:val="24"/>
          <w:szCs w:val="24"/>
          <w:lang w:val="en-US"/>
        </w:rPr>
      </w:pPr>
    </w:p>
    <w:p w14:paraId="325C51EC" w14:textId="77777777" w:rsidR="000E3806" w:rsidRPr="00D52D68" w:rsidRDefault="000E3806" w:rsidP="000E3806">
      <w:pPr>
        <w:pStyle w:val="ListParagraph"/>
        <w:spacing w:line="480" w:lineRule="auto"/>
        <w:ind w:left="1440"/>
        <w:jc w:val="both"/>
        <w:rPr>
          <w:rFonts w:ascii="Arial" w:hAnsi="Arial" w:cs="Arial"/>
          <w:i/>
          <w:iCs/>
          <w:sz w:val="24"/>
          <w:szCs w:val="24"/>
          <w:lang w:val="en-GB"/>
        </w:rPr>
      </w:pPr>
      <w:r w:rsidRPr="00D52D68">
        <w:rPr>
          <w:rFonts w:ascii="Arial" w:hAnsi="Arial" w:cs="Arial"/>
          <w:sz w:val="24"/>
          <w:szCs w:val="24"/>
          <w:lang w:val="en-US"/>
        </w:rPr>
        <w:t>“</w:t>
      </w:r>
      <w:r w:rsidRPr="00D52D68">
        <w:rPr>
          <w:rFonts w:ascii="Arial" w:hAnsi="Arial" w:cs="Arial"/>
          <w:i/>
          <w:iCs/>
          <w:sz w:val="24"/>
          <w:szCs w:val="24"/>
          <w:lang w:val="en-GB"/>
        </w:rPr>
        <w:t>The trustees take the following factors into account when looking at each dependant’s dependency needs:</w:t>
      </w:r>
    </w:p>
    <w:p w14:paraId="1ABF8A0D" w14:textId="77777777" w:rsidR="000E3806" w:rsidRPr="00D52D68" w:rsidRDefault="000E3806" w:rsidP="000E3806">
      <w:pPr>
        <w:pStyle w:val="ListParagraph"/>
        <w:spacing w:line="480" w:lineRule="auto"/>
        <w:ind w:left="1440"/>
        <w:jc w:val="both"/>
        <w:rPr>
          <w:rFonts w:ascii="Arial" w:hAnsi="Arial" w:cs="Arial"/>
          <w:i/>
          <w:iCs/>
          <w:sz w:val="24"/>
          <w:szCs w:val="24"/>
          <w:lang w:val="en-GB"/>
        </w:rPr>
      </w:pPr>
    </w:p>
    <w:p w14:paraId="411FDADB" w14:textId="27E4B8AF" w:rsidR="000E3806" w:rsidRPr="004B2B30" w:rsidRDefault="004B2B30" w:rsidP="004B2B30">
      <w:pPr>
        <w:spacing w:line="480" w:lineRule="auto"/>
        <w:ind w:left="2880" w:hanging="360"/>
        <w:jc w:val="both"/>
        <w:rPr>
          <w:rFonts w:ascii="Arial" w:hAnsi="Arial" w:cs="Arial"/>
          <w:i/>
          <w:iCs/>
          <w:sz w:val="24"/>
          <w:szCs w:val="24"/>
          <w:lang w:val="en-US"/>
        </w:rPr>
      </w:pPr>
      <w:r w:rsidRPr="00D52D68">
        <w:rPr>
          <w:rFonts w:ascii="Symbol" w:hAnsi="Symbol" w:cs="Arial"/>
          <w:iCs/>
          <w:sz w:val="24"/>
          <w:szCs w:val="24"/>
          <w:lang w:val="en-US"/>
        </w:rPr>
        <w:t></w:t>
      </w:r>
      <w:r w:rsidRPr="00D52D68">
        <w:rPr>
          <w:rFonts w:ascii="Symbol" w:hAnsi="Symbol" w:cs="Arial"/>
          <w:iCs/>
          <w:sz w:val="24"/>
          <w:szCs w:val="24"/>
          <w:lang w:val="en-US"/>
        </w:rPr>
        <w:tab/>
      </w:r>
      <w:r w:rsidR="000E3806" w:rsidRPr="004B2B30">
        <w:rPr>
          <w:rFonts w:ascii="Arial" w:hAnsi="Arial" w:cs="Arial"/>
          <w:i/>
          <w:iCs/>
          <w:sz w:val="24"/>
          <w:szCs w:val="24"/>
          <w:lang w:val="en-US"/>
        </w:rPr>
        <w:t>Nature and extent of material support</w:t>
      </w:r>
    </w:p>
    <w:p w14:paraId="7E1BDDFE" w14:textId="784A635C" w:rsidR="000E3806" w:rsidRPr="004B2B30" w:rsidRDefault="004B2B30" w:rsidP="004B2B30">
      <w:pPr>
        <w:spacing w:line="480" w:lineRule="auto"/>
        <w:ind w:left="2880" w:hanging="360"/>
        <w:jc w:val="both"/>
        <w:rPr>
          <w:rFonts w:ascii="Arial" w:hAnsi="Arial" w:cs="Arial"/>
          <w:i/>
          <w:iCs/>
          <w:sz w:val="24"/>
          <w:szCs w:val="24"/>
          <w:lang w:val="en-US"/>
        </w:rPr>
      </w:pPr>
      <w:r w:rsidRPr="00D52D68">
        <w:rPr>
          <w:rFonts w:ascii="Symbol" w:hAnsi="Symbol" w:cs="Arial"/>
          <w:iCs/>
          <w:sz w:val="24"/>
          <w:szCs w:val="24"/>
          <w:lang w:val="en-US"/>
        </w:rPr>
        <w:t></w:t>
      </w:r>
      <w:r w:rsidRPr="00D52D68">
        <w:rPr>
          <w:rFonts w:ascii="Symbol" w:hAnsi="Symbol" w:cs="Arial"/>
          <w:iCs/>
          <w:sz w:val="24"/>
          <w:szCs w:val="24"/>
          <w:lang w:val="en-US"/>
        </w:rPr>
        <w:tab/>
      </w:r>
      <w:r w:rsidR="000E3806" w:rsidRPr="004B2B30">
        <w:rPr>
          <w:rFonts w:ascii="Arial" w:hAnsi="Arial" w:cs="Arial"/>
          <w:i/>
          <w:iCs/>
          <w:sz w:val="24"/>
          <w:szCs w:val="24"/>
          <w:lang w:val="en-US"/>
        </w:rPr>
        <w:t>Financial need</w:t>
      </w:r>
    </w:p>
    <w:p w14:paraId="0E2062B2" w14:textId="339E4087" w:rsidR="000E3806" w:rsidRPr="004B2B30" w:rsidRDefault="004B2B30" w:rsidP="004B2B30">
      <w:pPr>
        <w:spacing w:line="480" w:lineRule="auto"/>
        <w:ind w:left="3600" w:hanging="360"/>
        <w:jc w:val="both"/>
        <w:rPr>
          <w:rFonts w:ascii="Arial" w:hAnsi="Arial" w:cs="Arial"/>
          <w:i/>
          <w:iCs/>
          <w:sz w:val="24"/>
          <w:szCs w:val="24"/>
          <w:lang w:val="en-US"/>
        </w:rPr>
      </w:pPr>
      <w:r w:rsidRPr="00D52D68">
        <w:rPr>
          <w:rFonts w:ascii="Wingdings" w:hAnsi="Wingdings" w:cs="Arial"/>
          <w:iCs/>
          <w:sz w:val="24"/>
          <w:szCs w:val="24"/>
          <w:lang w:val="en-US"/>
        </w:rPr>
        <w:t></w:t>
      </w:r>
      <w:r w:rsidRPr="00D52D68">
        <w:rPr>
          <w:rFonts w:ascii="Wingdings" w:hAnsi="Wingdings" w:cs="Arial"/>
          <w:iCs/>
          <w:sz w:val="24"/>
          <w:szCs w:val="24"/>
          <w:lang w:val="en-US"/>
        </w:rPr>
        <w:tab/>
      </w:r>
      <w:r w:rsidR="000E3806" w:rsidRPr="004B2B30">
        <w:rPr>
          <w:rFonts w:ascii="Arial" w:hAnsi="Arial" w:cs="Arial"/>
          <w:i/>
          <w:iCs/>
          <w:sz w:val="24"/>
          <w:szCs w:val="24"/>
          <w:lang w:val="en-US"/>
        </w:rPr>
        <w:t>Special circumstances</w:t>
      </w:r>
    </w:p>
    <w:p w14:paraId="0B76FF3D" w14:textId="0A38C31E" w:rsidR="000E3806" w:rsidRPr="004B2B30" w:rsidRDefault="004B2B30" w:rsidP="004B2B30">
      <w:pPr>
        <w:spacing w:line="480" w:lineRule="auto"/>
        <w:ind w:left="3600" w:hanging="360"/>
        <w:jc w:val="both"/>
        <w:rPr>
          <w:rFonts w:ascii="Arial" w:hAnsi="Arial" w:cs="Arial"/>
          <w:i/>
          <w:iCs/>
          <w:sz w:val="24"/>
          <w:szCs w:val="24"/>
          <w:lang w:val="en-US"/>
        </w:rPr>
      </w:pPr>
      <w:r w:rsidRPr="00D52D68">
        <w:rPr>
          <w:rFonts w:ascii="Wingdings" w:hAnsi="Wingdings" w:cs="Arial"/>
          <w:iCs/>
          <w:sz w:val="24"/>
          <w:szCs w:val="24"/>
          <w:lang w:val="en-US"/>
        </w:rPr>
        <w:t></w:t>
      </w:r>
      <w:r w:rsidRPr="00D52D68">
        <w:rPr>
          <w:rFonts w:ascii="Wingdings" w:hAnsi="Wingdings" w:cs="Arial"/>
          <w:iCs/>
          <w:sz w:val="24"/>
          <w:szCs w:val="24"/>
          <w:lang w:val="en-US"/>
        </w:rPr>
        <w:tab/>
      </w:r>
      <w:r w:rsidR="000E3806" w:rsidRPr="004B2B30">
        <w:rPr>
          <w:rFonts w:ascii="Arial" w:hAnsi="Arial" w:cs="Arial"/>
          <w:i/>
          <w:iCs/>
          <w:sz w:val="24"/>
          <w:szCs w:val="24"/>
          <w:lang w:val="en-US"/>
        </w:rPr>
        <w:t>Other sources</w:t>
      </w:r>
    </w:p>
    <w:p w14:paraId="6F2A7FF4" w14:textId="640E8980" w:rsidR="000E3806" w:rsidRPr="004B2B30" w:rsidRDefault="004B2B30" w:rsidP="004B2B30">
      <w:pPr>
        <w:spacing w:line="480" w:lineRule="auto"/>
        <w:ind w:left="3600" w:hanging="360"/>
        <w:jc w:val="both"/>
        <w:rPr>
          <w:rFonts w:ascii="Arial" w:hAnsi="Arial" w:cs="Arial"/>
          <w:i/>
          <w:iCs/>
          <w:sz w:val="24"/>
          <w:szCs w:val="24"/>
          <w:lang w:val="en-US"/>
        </w:rPr>
      </w:pPr>
      <w:r w:rsidRPr="00D52D68">
        <w:rPr>
          <w:rFonts w:ascii="Wingdings" w:hAnsi="Wingdings" w:cs="Arial"/>
          <w:iCs/>
          <w:sz w:val="24"/>
          <w:szCs w:val="24"/>
          <w:lang w:val="en-US"/>
        </w:rPr>
        <w:t></w:t>
      </w:r>
      <w:r w:rsidRPr="00D52D68">
        <w:rPr>
          <w:rFonts w:ascii="Wingdings" w:hAnsi="Wingdings" w:cs="Arial"/>
          <w:iCs/>
          <w:sz w:val="24"/>
          <w:szCs w:val="24"/>
          <w:lang w:val="en-US"/>
        </w:rPr>
        <w:tab/>
      </w:r>
      <w:r w:rsidR="000E3806" w:rsidRPr="004B2B30">
        <w:rPr>
          <w:rFonts w:ascii="Arial" w:hAnsi="Arial" w:cs="Arial"/>
          <w:i/>
          <w:iCs/>
          <w:sz w:val="24"/>
          <w:szCs w:val="24"/>
          <w:lang w:val="en-US"/>
        </w:rPr>
        <w:t>Ages</w:t>
      </w:r>
    </w:p>
    <w:p w14:paraId="4C7BA7B4" w14:textId="1ABFFA8E" w:rsidR="000E3806" w:rsidRPr="004B2B30" w:rsidRDefault="004B2B30" w:rsidP="004B2B30">
      <w:pPr>
        <w:spacing w:line="480" w:lineRule="auto"/>
        <w:ind w:left="3600" w:hanging="360"/>
        <w:jc w:val="both"/>
        <w:rPr>
          <w:rFonts w:ascii="Arial" w:hAnsi="Arial" w:cs="Arial"/>
          <w:i/>
          <w:iCs/>
          <w:sz w:val="24"/>
          <w:szCs w:val="24"/>
          <w:lang w:val="en-US"/>
        </w:rPr>
      </w:pPr>
      <w:r w:rsidRPr="00D52D68">
        <w:rPr>
          <w:rFonts w:ascii="Wingdings" w:hAnsi="Wingdings" w:cs="Arial"/>
          <w:iCs/>
          <w:sz w:val="24"/>
          <w:szCs w:val="24"/>
          <w:lang w:val="en-US"/>
        </w:rPr>
        <w:t></w:t>
      </w:r>
      <w:r w:rsidRPr="00D52D68">
        <w:rPr>
          <w:rFonts w:ascii="Wingdings" w:hAnsi="Wingdings" w:cs="Arial"/>
          <w:iCs/>
          <w:sz w:val="24"/>
          <w:szCs w:val="24"/>
          <w:lang w:val="en-US"/>
        </w:rPr>
        <w:tab/>
      </w:r>
      <w:r w:rsidR="000E3806" w:rsidRPr="004B2B30">
        <w:rPr>
          <w:rFonts w:ascii="Arial" w:hAnsi="Arial" w:cs="Arial"/>
          <w:i/>
          <w:iCs/>
          <w:sz w:val="24"/>
          <w:szCs w:val="24"/>
          <w:lang w:val="en-US"/>
        </w:rPr>
        <w:t>Future income-earning capacity</w:t>
      </w:r>
    </w:p>
    <w:p w14:paraId="3EDD8C2B" w14:textId="22A973D0" w:rsidR="000E3806" w:rsidRPr="004B2B30" w:rsidRDefault="004B2B30" w:rsidP="004B2B30">
      <w:pPr>
        <w:spacing w:line="480" w:lineRule="auto"/>
        <w:ind w:left="2880" w:hanging="360"/>
        <w:jc w:val="both"/>
        <w:rPr>
          <w:rFonts w:ascii="Arial" w:hAnsi="Arial" w:cs="Arial"/>
          <w:i/>
          <w:iCs/>
          <w:sz w:val="24"/>
          <w:szCs w:val="24"/>
          <w:lang w:val="en-US"/>
        </w:rPr>
      </w:pPr>
      <w:r w:rsidRPr="00D52D68">
        <w:rPr>
          <w:rFonts w:ascii="Symbol" w:hAnsi="Symbol" w:cs="Arial"/>
          <w:iCs/>
          <w:sz w:val="24"/>
          <w:szCs w:val="24"/>
          <w:lang w:val="en-US"/>
        </w:rPr>
        <w:t></w:t>
      </w:r>
      <w:r w:rsidRPr="00D52D68">
        <w:rPr>
          <w:rFonts w:ascii="Symbol" w:hAnsi="Symbol" w:cs="Arial"/>
          <w:iCs/>
          <w:sz w:val="24"/>
          <w:szCs w:val="24"/>
          <w:lang w:val="en-US"/>
        </w:rPr>
        <w:tab/>
      </w:r>
      <w:r w:rsidR="000E3806" w:rsidRPr="004B2B30">
        <w:rPr>
          <w:rFonts w:ascii="Arial" w:hAnsi="Arial" w:cs="Arial"/>
          <w:i/>
          <w:iCs/>
          <w:sz w:val="24"/>
          <w:szCs w:val="24"/>
          <w:lang w:val="en-US"/>
        </w:rPr>
        <w:t>Nature of relationship with [the] deceased</w:t>
      </w:r>
    </w:p>
    <w:p w14:paraId="5457170D" w14:textId="3955A62D" w:rsidR="000E3806" w:rsidRPr="004B2B30" w:rsidRDefault="004B2B30" w:rsidP="004B2B30">
      <w:pPr>
        <w:spacing w:line="480" w:lineRule="auto"/>
        <w:ind w:left="2880" w:hanging="360"/>
        <w:jc w:val="both"/>
        <w:rPr>
          <w:rFonts w:ascii="Arial" w:hAnsi="Arial" w:cs="Arial"/>
          <w:i/>
          <w:iCs/>
          <w:sz w:val="24"/>
          <w:szCs w:val="24"/>
          <w:lang w:val="en-US"/>
        </w:rPr>
      </w:pPr>
      <w:r w:rsidRPr="00D52D68">
        <w:rPr>
          <w:rFonts w:ascii="Symbol" w:hAnsi="Symbol" w:cs="Arial"/>
          <w:iCs/>
          <w:sz w:val="24"/>
          <w:szCs w:val="24"/>
          <w:lang w:val="en-US"/>
        </w:rPr>
        <w:t></w:t>
      </w:r>
      <w:r w:rsidRPr="00D52D68">
        <w:rPr>
          <w:rFonts w:ascii="Symbol" w:hAnsi="Symbol" w:cs="Arial"/>
          <w:iCs/>
          <w:sz w:val="24"/>
          <w:szCs w:val="24"/>
          <w:lang w:val="en-US"/>
        </w:rPr>
        <w:tab/>
      </w:r>
      <w:r w:rsidR="000E3806" w:rsidRPr="004B2B30">
        <w:rPr>
          <w:rFonts w:ascii="Arial" w:hAnsi="Arial" w:cs="Arial"/>
          <w:i/>
          <w:iCs/>
          <w:sz w:val="24"/>
          <w:szCs w:val="24"/>
          <w:lang w:val="en-US"/>
        </w:rPr>
        <w:t>Amount available for distribution</w:t>
      </w:r>
    </w:p>
    <w:p w14:paraId="5A6663A3" w14:textId="516F4359" w:rsidR="000E3806" w:rsidRPr="004B2B30" w:rsidRDefault="004B2B30" w:rsidP="004B2B30">
      <w:pPr>
        <w:ind w:left="2880" w:hanging="360"/>
        <w:rPr>
          <w:rFonts w:ascii="Arial" w:hAnsi="Arial" w:cs="Arial"/>
          <w:sz w:val="24"/>
          <w:szCs w:val="24"/>
          <w:lang w:val="en-US"/>
        </w:rPr>
      </w:pPr>
      <w:r>
        <w:rPr>
          <w:rFonts w:ascii="Symbol" w:hAnsi="Symbol" w:cs="Arial"/>
          <w:sz w:val="24"/>
          <w:szCs w:val="24"/>
          <w:lang w:val="en-US"/>
        </w:rPr>
        <w:t></w:t>
      </w:r>
      <w:r>
        <w:rPr>
          <w:rFonts w:ascii="Symbol" w:hAnsi="Symbol" w:cs="Arial"/>
          <w:sz w:val="24"/>
          <w:szCs w:val="24"/>
          <w:lang w:val="en-US"/>
        </w:rPr>
        <w:tab/>
      </w:r>
      <w:r w:rsidR="000E3806" w:rsidRPr="004B2B30">
        <w:rPr>
          <w:rFonts w:ascii="Arial" w:hAnsi="Arial" w:cs="Arial"/>
          <w:i/>
          <w:iCs/>
          <w:sz w:val="24"/>
          <w:szCs w:val="24"/>
          <w:lang w:val="en-US"/>
        </w:rPr>
        <w:t>Wishes of the deceased.”</w:t>
      </w:r>
    </w:p>
    <w:p w14:paraId="4750CF75" w14:textId="075CE004" w:rsidR="000E3806" w:rsidRDefault="000E3806" w:rsidP="000E3806">
      <w:pPr>
        <w:pStyle w:val="ListParagraph"/>
        <w:rPr>
          <w:rFonts w:ascii="Arial" w:hAnsi="Arial" w:cs="Arial"/>
          <w:sz w:val="24"/>
          <w:szCs w:val="24"/>
          <w:lang w:val="en-US"/>
        </w:rPr>
      </w:pPr>
    </w:p>
    <w:p w14:paraId="110AAC7C" w14:textId="77777777" w:rsidR="000E3806" w:rsidRPr="000E3806" w:rsidRDefault="000E3806" w:rsidP="000E3806">
      <w:pPr>
        <w:pStyle w:val="ListParagraph"/>
        <w:rPr>
          <w:rFonts w:ascii="Arial" w:hAnsi="Arial" w:cs="Arial"/>
          <w:sz w:val="24"/>
          <w:szCs w:val="24"/>
          <w:lang w:val="en-US"/>
        </w:rPr>
      </w:pPr>
    </w:p>
    <w:p w14:paraId="1B8F4C84" w14:textId="4B07A250" w:rsidR="00874653"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2B0323" w:rsidRPr="004B2B30">
        <w:rPr>
          <w:rFonts w:ascii="Arial" w:hAnsi="Arial" w:cs="Arial"/>
          <w:sz w:val="24"/>
          <w:szCs w:val="24"/>
          <w:lang w:val="en-US"/>
        </w:rPr>
        <w:t xml:space="preserve">The letter then proceeds to state </w:t>
      </w:r>
      <w:r w:rsidR="00CC6716" w:rsidRPr="004B2B30">
        <w:rPr>
          <w:rFonts w:ascii="Arial" w:hAnsi="Arial" w:cs="Arial"/>
          <w:sz w:val="24"/>
          <w:szCs w:val="24"/>
          <w:lang w:val="en-US"/>
        </w:rPr>
        <w:t>what the board found in applying the above factors</w:t>
      </w:r>
      <w:r w:rsidR="00FC15D4" w:rsidRPr="004B2B30">
        <w:rPr>
          <w:rFonts w:ascii="Arial" w:hAnsi="Arial" w:cs="Arial"/>
          <w:sz w:val="24"/>
          <w:szCs w:val="24"/>
          <w:lang w:val="en-US"/>
        </w:rPr>
        <w:t>. I quote verbatim what these findings are:</w:t>
      </w:r>
    </w:p>
    <w:p w14:paraId="6FB141EC" w14:textId="77777777" w:rsidR="000E3806" w:rsidRPr="00151844" w:rsidRDefault="000E3806" w:rsidP="000E3806">
      <w:pPr>
        <w:pStyle w:val="ListParagraph"/>
        <w:spacing w:line="480" w:lineRule="auto"/>
        <w:ind w:left="142"/>
        <w:jc w:val="both"/>
        <w:rPr>
          <w:rFonts w:ascii="Arial" w:hAnsi="Arial" w:cs="Arial"/>
          <w:sz w:val="24"/>
          <w:szCs w:val="24"/>
          <w:lang w:val="en-US"/>
        </w:rPr>
      </w:pPr>
    </w:p>
    <w:p w14:paraId="7956B23F" w14:textId="63594F91" w:rsidR="000E3806" w:rsidRPr="00DC7B17" w:rsidRDefault="006C4ACA" w:rsidP="003A2A52">
      <w:pPr>
        <w:spacing w:line="480" w:lineRule="auto"/>
        <w:ind w:firstLine="720"/>
        <w:jc w:val="both"/>
        <w:rPr>
          <w:rFonts w:ascii="Arial" w:hAnsi="Arial" w:cs="Arial"/>
          <w:iCs/>
          <w:sz w:val="24"/>
          <w:szCs w:val="24"/>
          <w:lang w:val="en-US"/>
        </w:rPr>
      </w:pPr>
      <w:r w:rsidRPr="00DC7B17">
        <w:rPr>
          <w:rFonts w:ascii="Arial" w:hAnsi="Arial" w:cs="Arial"/>
          <w:iCs/>
          <w:sz w:val="24"/>
          <w:szCs w:val="24"/>
          <w:lang w:val="en-US"/>
        </w:rPr>
        <w:t xml:space="preserve">“12. </w:t>
      </w:r>
      <w:r w:rsidR="000E3806" w:rsidRPr="00DC7B17">
        <w:rPr>
          <w:rFonts w:ascii="Arial" w:hAnsi="Arial" w:cs="Arial"/>
          <w:iCs/>
          <w:sz w:val="24"/>
          <w:szCs w:val="24"/>
          <w:lang w:val="en-US"/>
        </w:rPr>
        <w:t xml:space="preserve">The </w:t>
      </w:r>
      <w:r w:rsidR="00151844" w:rsidRPr="00DC7B17">
        <w:rPr>
          <w:rFonts w:ascii="Arial" w:hAnsi="Arial" w:cs="Arial"/>
          <w:iCs/>
          <w:sz w:val="24"/>
          <w:szCs w:val="24"/>
          <w:lang w:val="en-US"/>
        </w:rPr>
        <w:t>D</w:t>
      </w:r>
      <w:r w:rsidR="000E3806" w:rsidRPr="00DC7B17">
        <w:rPr>
          <w:rFonts w:ascii="Arial" w:hAnsi="Arial" w:cs="Arial"/>
          <w:iCs/>
          <w:sz w:val="24"/>
          <w:szCs w:val="24"/>
          <w:lang w:val="en-US"/>
        </w:rPr>
        <w:t>eceased’s mother (C de Swart):</w:t>
      </w:r>
    </w:p>
    <w:p w14:paraId="2EE50C06" w14:textId="6F7D0351" w:rsidR="006C4ACA" w:rsidRPr="00676552" w:rsidRDefault="006C4ACA" w:rsidP="00EB6CD8">
      <w:pPr>
        <w:tabs>
          <w:tab w:val="left" w:pos="1276"/>
        </w:tabs>
        <w:spacing w:line="480" w:lineRule="auto"/>
        <w:ind w:left="2160"/>
        <w:jc w:val="both"/>
        <w:rPr>
          <w:rFonts w:ascii="Arial" w:hAnsi="Arial" w:cs="Arial"/>
          <w:i/>
          <w:sz w:val="24"/>
          <w:szCs w:val="24"/>
          <w:lang w:val="en-US"/>
        </w:rPr>
      </w:pPr>
      <w:r w:rsidRPr="00676552">
        <w:rPr>
          <w:rFonts w:ascii="Arial" w:hAnsi="Arial" w:cs="Arial"/>
          <w:i/>
          <w:sz w:val="24"/>
          <w:szCs w:val="24"/>
          <w:lang w:val="en-US"/>
        </w:rPr>
        <w:t>She qualifies as a dependent as she</w:t>
      </w:r>
      <w:r w:rsidR="00676552" w:rsidRPr="00676552">
        <w:rPr>
          <w:rFonts w:ascii="Arial" w:hAnsi="Arial" w:cs="Arial"/>
          <w:i/>
          <w:sz w:val="24"/>
          <w:szCs w:val="24"/>
          <w:lang w:val="en-US"/>
        </w:rPr>
        <w:t xml:space="preserve"> received R5,000 per month from</w:t>
      </w:r>
      <w:r w:rsidR="00EB6CD8">
        <w:rPr>
          <w:rFonts w:ascii="Arial" w:hAnsi="Arial" w:cs="Arial"/>
          <w:i/>
          <w:sz w:val="24"/>
          <w:szCs w:val="24"/>
          <w:lang w:val="en-US"/>
        </w:rPr>
        <w:t xml:space="preserve"> </w:t>
      </w:r>
      <w:r w:rsidRPr="00676552">
        <w:rPr>
          <w:rFonts w:ascii="Arial" w:hAnsi="Arial" w:cs="Arial"/>
          <w:i/>
          <w:sz w:val="24"/>
          <w:szCs w:val="24"/>
          <w:lang w:val="en-US"/>
        </w:rPr>
        <w:t>the Deceased. She has no source of income and will continue to receive R5,000 from the Trust.</w:t>
      </w:r>
    </w:p>
    <w:p w14:paraId="0B8E75CB" w14:textId="55666A9D" w:rsidR="003A2A52" w:rsidRDefault="006C4ACA" w:rsidP="00EB6CD8">
      <w:pPr>
        <w:spacing w:line="480" w:lineRule="auto"/>
        <w:ind w:left="2160"/>
        <w:jc w:val="both"/>
        <w:rPr>
          <w:rFonts w:ascii="Arial" w:hAnsi="Arial" w:cs="Arial"/>
          <w:i/>
          <w:sz w:val="24"/>
          <w:szCs w:val="24"/>
          <w:lang w:val="en-US"/>
        </w:rPr>
      </w:pPr>
      <w:r w:rsidRPr="00676552">
        <w:rPr>
          <w:rFonts w:ascii="Arial" w:hAnsi="Arial" w:cs="Arial"/>
          <w:i/>
          <w:sz w:val="24"/>
          <w:szCs w:val="24"/>
          <w:lang w:val="en-US"/>
        </w:rPr>
        <w:lastRenderedPageBreak/>
        <w:t>Considering the nature of her relationship with the deceased (being his mother) and the fact that her financial dependency needs will be met fully through the R5,000 she will continue to receive from the Trust, the Trustees of the Fund decided to allocate 0% of the benefit to her.</w:t>
      </w:r>
    </w:p>
    <w:p w14:paraId="7C82EF56" w14:textId="00EC7D45" w:rsidR="006C4ACA" w:rsidRPr="00DC7B17" w:rsidRDefault="006C4ACA" w:rsidP="003A2A52">
      <w:pPr>
        <w:tabs>
          <w:tab w:val="left" w:pos="1985"/>
        </w:tabs>
        <w:spacing w:line="480" w:lineRule="auto"/>
        <w:ind w:left="1276"/>
        <w:jc w:val="both"/>
        <w:rPr>
          <w:rFonts w:ascii="Arial" w:hAnsi="Arial" w:cs="Arial"/>
          <w:iCs/>
          <w:sz w:val="24"/>
          <w:szCs w:val="24"/>
          <w:lang w:val="en-US"/>
        </w:rPr>
      </w:pPr>
      <w:r w:rsidRPr="00DC7B17">
        <w:rPr>
          <w:rFonts w:ascii="Arial" w:hAnsi="Arial" w:cs="Arial"/>
          <w:iCs/>
          <w:sz w:val="24"/>
          <w:szCs w:val="24"/>
          <w:lang w:val="en-US"/>
        </w:rPr>
        <w:t xml:space="preserve">13. </w:t>
      </w:r>
      <w:r w:rsidR="003A2A52" w:rsidRPr="00DC7B17">
        <w:rPr>
          <w:rFonts w:ascii="Arial" w:hAnsi="Arial" w:cs="Arial"/>
          <w:iCs/>
          <w:sz w:val="24"/>
          <w:szCs w:val="24"/>
          <w:lang w:val="en-US"/>
        </w:rPr>
        <w:tab/>
      </w:r>
      <w:r w:rsidRPr="00DC7B17">
        <w:rPr>
          <w:rFonts w:ascii="Arial" w:hAnsi="Arial" w:cs="Arial"/>
          <w:iCs/>
          <w:sz w:val="24"/>
          <w:szCs w:val="24"/>
          <w:lang w:val="en-US"/>
        </w:rPr>
        <w:t>The Deceased’s ex-spouse (S Groenewald)</w:t>
      </w:r>
    </w:p>
    <w:p w14:paraId="1037A486" w14:textId="7E21E5B5" w:rsidR="006C4ACA" w:rsidRPr="00676552" w:rsidRDefault="006C4ACA" w:rsidP="003A2A52">
      <w:pPr>
        <w:spacing w:line="480" w:lineRule="auto"/>
        <w:ind w:left="1985"/>
        <w:jc w:val="both"/>
        <w:rPr>
          <w:rFonts w:ascii="Arial" w:hAnsi="Arial" w:cs="Arial"/>
          <w:i/>
          <w:sz w:val="24"/>
          <w:szCs w:val="24"/>
          <w:lang w:val="en-US"/>
        </w:rPr>
      </w:pPr>
      <w:r w:rsidRPr="00676552">
        <w:rPr>
          <w:rFonts w:ascii="Arial" w:hAnsi="Arial" w:cs="Arial"/>
          <w:i/>
          <w:sz w:val="24"/>
          <w:szCs w:val="24"/>
          <w:lang w:val="en-US"/>
        </w:rPr>
        <w:t xml:space="preserve">She was married to the Deceased and their marriage was dissolved by a divorce order granted on 24 April 2009. She qualifies as a </w:t>
      </w:r>
      <w:r w:rsidR="001861CE" w:rsidRPr="00676552">
        <w:rPr>
          <w:rFonts w:ascii="Arial" w:hAnsi="Arial" w:cs="Arial"/>
          <w:i/>
          <w:sz w:val="24"/>
          <w:szCs w:val="24"/>
          <w:lang w:val="en-US"/>
        </w:rPr>
        <w:t>dependent</w:t>
      </w:r>
      <w:r w:rsidRPr="00676552">
        <w:rPr>
          <w:rFonts w:ascii="Arial" w:hAnsi="Arial" w:cs="Arial"/>
          <w:i/>
          <w:sz w:val="24"/>
          <w:szCs w:val="24"/>
          <w:lang w:val="en-US"/>
        </w:rPr>
        <w:t xml:space="preserve"> </w:t>
      </w:r>
      <w:r w:rsidR="00C2490F" w:rsidRPr="00676552">
        <w:rPr>
          <w:rFonts w:ascii="Arial" w:hAnsi="Arial" w:cs="Arial"/>
          <w:i/>
          <w:sz w:val="24"/>
          <w:szCs w:val="24"/>
          <w:lang w:val="en-US"/>
        </w:rPr>
        <w:t>as she received monthly maintenance from the Deceased in the amount of R17,000 for herself and her minor son, H Groenewald. According to the Trustee of the Trust, she will continue to receive R12,000 for herself as the Deceased had a duty to maintain her for the rest of her life.</w:t>
      </w:r>
    </w:p>
    <w:p w14:paraId="1C3DF0C8" w14:textId="2BFA09CE" w:rsidR="00C2490F" w:rsidRPr="00676552" w:rsidRDefault="00C2490F" w:rsidP="003A2A52">
      <w:pPr>
        <w:spacing w:line="480" w:lineRule="auto"/>
        <w:ind w:left="1985"/>
        <w:jc w:val="both"/>
        <w:rPr>
          <w:rFonts w:ascii="Arial" w:hAnsi="Arial" w:cs="Arial"/>
          <w:i/>
          <w:sz w:val="24"/>
          <w:szCs w:val="24"/>
          <w:lang w:val="en-US"/>
        </w:rPr>
      </w:pPr>
      <w:r w:rsidRPr="00676552">
        <w:rPr>
          <w:rFonts w:ascii="Arial" w:hAnsi="Arial" w:cs="Arial"/>
          <w:i/>
          <w:sz w:val="24"/>
          <w:szCs w:val="24"/>
          <w:lang w:val="en-US"/>
        </w:rPr>
        <w:t xml:space="preserve">Considering the nature of her relationship </w:t>
      </w:r>
      <w:r w:rsidR="00B678A8" w:rsidRPr="00676552">
        <w:rPr>
          <w:rFonts w:ascii="Arial" w:hAnsi="Arial" w:cs="Arial"/>
          <w:i/>
          <w:sz w:val="24"/>
          <w:szCs w:val="24"/>
          <w:lang w:val="en-US"/>
        </w:rPr>
        <w:t>with the Deceased (being his ex-spouse), her age and the fact that her future financial dependency needs will be met through the T</w:t>
      </w:r>
      <w:r w:rsidR="00F0368F" w:rsidRPr="00676552">
        <w:rPr>
          <w:rFonts w:ascii="Arial" w:hAnsi="Arial" w:cs="Arial"/>
          <w:i/>
          <w:sz w:val="24"/>
          <w:szCs w:val="24"/>
          <w:lang w:val="en-US"/>
        </w:rPr>
        <w:t>rust continuing to pay her R12,000 per month for the rest of her life, the Trustees decided to allocated 0% of the benefit to her.</w:t>
      </w:r>
    </w:p>
    <w:p w14:paraId="3256FD3A" w14:textId="55ADD81F" w:rsidR="00F0368F" w:rsidRPr="00DC7B17" w:rsidRDefault="00F0368F" w:rsidP="003A2A52">
      <w:pPr>
        <w:tabs>
          <w:tab w:val="left" w:pos="1985"/>
        </w:tabs>
        <w:spacing w:line="480" w:lineRule="auto"/>
        <w:ind w:left="720" w:firstLine="720"/>
        <w:jc w:val="both"/>
        <w:rPr>
          <w:rFonts w:ascii="Arial" w:hAnsi="Arial" w:cs="Arial"/>
          <w:iCs/>
          <w:sz w:val="24"/>
          <w:szCs w:val="24"/>
          <w:lang w:val="en-US"/>
        </w:rPr>
      </w:pPr>
      <w:r w:rsidRPr="00DC7B17">
        <w:rPr>
          <w:rFonts w:ascii="Arial" w:hAnsi="Arial" w:cs="Arial"/>
          <w:iCs/>
          <w:sz w:val="24"/>
          <w:szCs w:val="24"/>
          <w:lang w:val="en-US"/>
        </w:rPr>
        <w:t xml:space="preserve">14. </w:t>
      </w:r>
      <w:r w:rsidR="003A2A52" w:rsidRPr="00DC7B17">
        <w:rPr>
          <w:rFonts w:ascii="Arial" w:hAnsi="Arial" w:cs="Arial"/>
          <w:iCs/>
          <w:sz w:val="24"/>
          <w:szCs w:val="24"/>
          <w:lang w:val="en-US"/>
        </w:rPr>
        <w:tab/>
      </w:r>
      <w:r w:rsidRPr="00DC7B17">
        <w:rPr>
          <w:rFonts w:ascii="Arial" w:hAnsi="Arial" w:cs="Arial"/>
          <w:iCs/>
          <w:sz w:val="24"/>
          <w:szCs w:val="24"/>
          <w:lang w:val="en-US"/>
        </w:rPr>
        <w:t>The Deceased’s life partner (C Auret)</w:t>
      </w:r>
    </w:p>
    <w:p w14:paraId="5960E854" w14:textId="5743F6F4" w:rsidR="00F0368F" w:rsidRPr="00676552" w:rsidRDefault="00F0368F" w:rsidP="003A2A52">
      <w:pPr>
        <w:tabs>
          <w:tab w:val="left" w:pos="1985"/>
        </w:tabs>
        <w:spacing w:line="480" w:lineRule="auto"/>
        <w:ind w:left="1985"/>
        <w:jc w:val="both"/>
        <w:rPr>
          <w:rFonts w:ascii="Arial" w:hAnsi="Arial" w:cs="Arial"/>
          <w:i/>
          <w:sz w:val="24"/>
          <w:szCs w:val="24"/>
          <w:lang w:val="en-US"/>
        </w:rPr>
      </w:pPr>
      <w:r w:rsidRPr="00676552">
        <w:rPr>
          <w:rFonts w:ascii="Arial" w:hAnsi="Arial" w:cs="Arial"/>
          <w:i/>
          <w:sz w:val="24"/>
          <w:szCs w:val="24"/>
          <w:lang w:val="en-US"/>
        </w:rPr>
        <w:t xml:space="preserve">According to the Fund’s information, she was the Deceased’s life partner and she lived with him since 10 June 2015. Due to the Trustees receiving contradictory information relating to the nature and permanency of her relationship with the Deceased, the Trustees appointed the Fund’s Administrator’s Forensics </w:t>
      </w:r>
      <w:r w:rsidRPr="00676552">
        <w:rPr>
          <w:rFonts w:ascii="Arial" w:hAnsi="Arial" w:cs="Arial"/>
          <w:i/>
          <w:sz w:val="24"/>
          <w:szCs w:val="24"/>
          <w:lang w:val="en-US"/>
        </w:rPr>
        <w:lastRenderedPageBreak/>
        <w:t xml:space="preserve">Department to investigate this matter. The Forensics Department interviewed various persons that were not related </w:t>
      </w:r>
      <w:r w:rsidR="00146DDF" w:rsidRPr="00676552">
        <w:rPr>
          <w:rFonts w:ascii="Arial" w:hAnsi="Arial" w:cs="Arial"/>
          <w:i/>
          <w:sz w:val="24"/>
          <w:szCs w:val="24"/>
          <w:lang w:val="en-US"/>
        </w:rPr>
        <w:t>to either C Auret or the Deceased, who confirmed that their relationship was similar to that of a married couple. The Trustees were comfortable with the independence and impartiality of the persons interviewed and accepted the finding of the Forensics Department.</w:t>
      </w:r>
    </w:p>
    <w:p w14:paraId="5A966612" w14:textId="229CA942" w:rsidR="00146DDF" w:rsidRPr="00676552" w:rsidRDefault="00146DDF" w:rsidP="003A2A52">
      <w:pPr>
        <w:spacing w:line="480" w:lineRule="auto"/>
        <w:ind w:left="1985"/>
        <w:jc w:val="both"/>
        <w:rPr>
          <w:rFonts w:ascii="Arial" w:hAnsi="Arial" w:cs="Arial"/>
          <w:i/>
          <w:sz w:val="24"/>
          <w:szCs w:val="24"/>
          <w:lang w:val="en-US"/>
        </w:rPr>
      </w:pPr>
      <w:r w:rsidRPr="00676552">
        <w:rPr>
          <w:rFonts w:ascii="Arial" w:hAnsi="Arial" w:cs="Arial"/>
          <w:i/>
          <w:sz w:val="24"/>
          <w:szCs w:val="24"/>
          <w:lang w:val="en-US"/>
        </w:rPr>
        <w:t xml:space="preserve">Ms Auret is employed and she and the Deceased </w:t>
      </w:r>
      <w:r w:rsidR="00E65DCE" w:rsidRPr="00676552">
        <w:rPr>
          <w:rFonts w:ascii="Arial" w:hAnsi="Arial" w:cs="Arial"/>
          <w:i/>
          <w:sz w:val="24"/>
          <w:szCs w:val="24"/>
          <w:lang w:val="en-US"/>
        </w:rPr>
        <w:t xml:space="preserve">were co-dependent on one another for their household financial needs. It is in that regard that she qualifies as a </w:t>
      </w:r>
      <w:r w:rsidR="00151844" w:rsidRPr="00676552">
        <w:rPr>
          <w:rFonts w:ascii="Arial" w:hAnsi="Arial" w:cs="Arial"/>
          <w:i/>
          <w:sz w:val="24"/>
          <w:szCs w:val="24"/>
          <w:lang w:val="en-US"/>
        </w:rPr>
        <w:t>dependent</w:t>
      </w:r>
      <w:r w:rsidR="00E65DCE" w:rsidRPr="00676552">
        <w:rPr>
          <w:rFonts w:ascii="Arial" w:hAnsi="Arial" w:cs="Arial"/>
          <w:i/>
          <w:sz w:val="24"/>
          <w:szCs w:val="24"/>
          <w:lang w:val="en-US"/>
        </w:rPr>
        <w:t xml:space="preserve"> in the first instance. In the second instance, she qualifies as a </w:t>
      </w:r>
      <w:r w:rsidR="00151844" w:rsidRPr="00676552">
        <w:rPr>
          <w:rFonts w:ascii="Arial" w:hAnsi="Arial" w:cs="Arial"/>
          <w:i/>
          <w:sz w:val="24"/>
          <w:szCs w:val="24"/>
          <w:lang w:val="en-US"/>
        </w:rPr>
        <w:t>dependent</w:t>
      </w:r>
      <w:r w:rsidR="00E65DCE" w:rsidRPr="00676552">
        <w:rPr>
          <w:rFonts w:ascii="Arial" w:hAnsi="Arial" w:cs="Arial"/>
          <w:i/>
          <w:sz w:val="24"/>
          <w:szCs w:val="24"/>
          <w:lang w:val="en-US"/>
        </w:rPr>
        <w:t xml:space="preserve"> by virtue of the fact that she was his life partner. Section 1 of the Act defines ‘spouse’ to include a permanent life partner for purposes of the Act and reads as follows:</w:t>
      </w:r>
    </w:p>
    <w:p w14:paraId="243EFB88" w14:textId="0D3D3779" w:rsidR="00E65DCE" w:rsidRPr="00676552" w:rsidRDefault="00E65DCE" w:rsidP="003A2A52">
      <w:pPr>
        <w:tabs>
          <w:tab w:val="left" w:pos="2410"/>
        </w:tabs>
        <w:spacing w:line="480" w:lineRule="auto"/>
        <w:ind w:left="2160"/>
        <w:jc w:val="both"/>
        <w:rPr>
          <w:rFonts w:ascii="Arial" w:hAnsi="Arial" w:cs="Arial"/>
          <w:i/>
          <w:sz w:val="24"/>
          <w:szCs w:val="24"/>
          <w:lang w:val="en-US"/>
        </w:rPr>
      </w:pPr>
      <w:r w:rsidRPr="00676552">
        <w:rPr>
          <w:rFonts w:ascii="Arial" w:hAnsi="Arial" w:cs="Arial"/>
          <w:i/>
          <w:sz w:val="24"/>
          <w:szCs w:val="24"/>
          <w:lang w:val="en-US"/>
        </w:rPr>
        <w:t xml:space="preserve">“’spouse’ means a person who is the permanent life partner or </w:t>
      </w:r>
      <w:r w:rsidR="003A2A52">
        <w:rPr>
          <w:rFonts w:ascii="Arial" w:hAnsi="Arial" w:cs="Arial"/>
          <w:i/>
          <w:sz w:val="24"/>
          <w:szCs w:val="24"/>
          <w:lang w:val="en-US"/>
        </w:rPr>
        <w:t xml:space="preserve">   </w:t>
      </w:r>
      <w:r w:rsidRPr="00676552">
        <w:rPr>
          <w:rFonts w:ascii="Arial" w:hAnsi="Arial" w:cs="Arial"/>
          <w:i/>
          <w:sz w:val="24"/>
          <w:szCs w:val="24"/>
          <w:lang w:val="en-US"/>
        </w:rPr>
        <w:t xml:space="preserve">spouse or civil union partner of a member in accordance with the Marriage Act, 1961 (Act 68 of 1961), the recognition of Customary </w:t>
      </w:r>
      <w:r w:rsidR="00151844" w:rsidRPr="00676552">
        <w:rPr>
          <w:rFonts w:ascii="Arial" w:hAnsi="Arial" w:cs="Arial"/>
          <w:i/>
          <w:sz w:val="24"/>
          <w:szCs w:val="24"/>
          <w:lang w:val="en-US"/>
        </w:rPr>
        <w:t>Marriages</w:t>
      </w:r>
      <w:r w:rsidRPr="00676552">
        <w:rPr>
          <w:rFonts w:ascii="Arial" w:hAnsi="Arial" w:cs="Arial"/>
          <w:i/>
          <w:sz w:val="24"/>
          <w:szCs w:val="24"/>
          <w:lang w:val="en-US"/>
        </w:rPr>
        <w:t xml:space="preserve"> Act, 1998 (Act 68 of 1997), or the Civil Union Act, 2006 (Act 17 of 2006), or the tenets of a religion”.</w:t>
      </w:r>
    </w:p>
    <w:p w14:paraId="120869DB" w14:textId="61169078" w:rsidR="003A2A52" w:rsidRPr="00676552" w:rsidRDefault="00E65DCE" w:rsidP="003A2A52">
      <w:pPr>
        <w:spacing w:line="480" w:lineRule="auto"/>
        <w:ind w:left="2160"/>
        <w:jc w:val="both"/>
        <w:rPr>
          <w:rFonts w:ascii="Arial" w:hAnsi="Arial" w:cs="Arial"/>
          <w:i/>
          <w:sz w:val="24"/>
          <w:szCs w:val="24"/>
          <w:lang w:val="en-US"/>
        </w:rPr>
      </w:pPr>
      <w:r w:rsidRPr="00676552">
        <w:rPr>
          <w:rFonts w:ascii="Arial" w:hAnsi="Arial" w:cs="Arial"/>
          <w:i/>
          <w:sz w:val="24"/>
          <w:szCs w:val="24"/>
          <w:lang w:val="en-US"/>
        </w:rPr>
        <w:t xml:space="preserve">Considering the nature of her relationship with the Deceased (being his life-partner), her age and level of income (being in her early fifties which does not give her many working years ahead of her prior to reaching the normal retirement age), and the fact that she will not receive anything from the Deceased’s estate, including the Trust which has assets worth over R40 million, the </w:t>
      </w:r>
      <w:r w:rsidRPr="00676552">
        <w:rPr>
          <w:rFonts w:ascii="Arial" w:hAnsi="Arial" w:cs="Arial"/>
          <w:i/>
          <w:sz w:val="24"/>
          <w:szCs w:val="24"/>
          <w:lang w:val="en-US"/>
        </w:rPr>
        <w:lastRenderedPageBreak/>
        <w:t>Trustees decided to allocate 100% of her benefit to her. She will receive the entire death benefit in the amount of R1,207,277.</w:t>
      </w:r>
    </w:p>
    <w:p w14:paraId="3135F119" w14:textId="68CB614E" w:rsidR="00E65DCE" w:rsidRPr="00DC7B17" w:rsidRDefault="00E65DCE" w:rsidP="003A2A52">
      <w:pPr>
        <w:spacing w:line="480" w:lineRule="auto"/>
        <w:ind w:left="720" w:firstLine="720"/>
        <w:jc w:val="both"/>
        <w:rPr>
          <w:rFonts w:ascii="Arial" w:hAnsi="Arial" w:cs="Arial"/>
          <w:iCs/>
          <w:sz w:val="24"/>
          <w:szCs w:val="24"/>
          <w:lang w:val="en-US"/>
        </w:rPr>
      </w:pPr>
      <w:r w:rsidRPr="00DC7B17">
        <w:rPr>
          <w:rFonts w:ascii="Arial" w:hAnsi="Arial" w:cs="Arial"/>
          <w:iCs/>
          <w:sz w:val="24"/>
          <w:szCs w:val="24"/>
          <w:lang w:val="en-US"/>
        </w:rPr>
        <w:t>15. The Deceased’s major son (B Groenewald)</w:t>
      </w:r>
    </w:p>
    <w:p w14:paraId="5E3502F1" w14:textId="6D555CBF" w:rsidR="00E65DCE" w:rsidRPr="00676552" w:rsidRDefault="00E65DCE" w:rsidP="003A2A52">
      <w:pPr>
        <w:tabs>
          <w:tab w:val="left" w:pos="1843"/>
        </w:tabs>
        <w:spacing w:line="480" w:lineRule="auto"/>
        <w:ind w:left="1843"/>
        <w:jc w:val="both"/>
        <w:rPr>
          <w:rFonts w:ascii="Arial" w:hAnsi="Arial" w:cs="Arial"/>
          <w:i/>
          <w:sz w:val="24"/>
          <w:szCs w:val="24"/>
          <w:lang w:val="en-US"/>
        </w:rPr>
      </w:pPr>
      <w:r w:rsidRPr="00676552">
        <w:rPr>
          <w:rFonts w:ascii="Arial" w:hAnsi="Arial" w:cs="Arial"/>
          <w:i/>
          <w:sz w:val="24"/>
          <w:szCs w:val="24"/>
          <w:lang w:val="en-US"/>
        </w:rPr>
        <w:t xml:space="preserve">He is a child of the Deceased and therefore qualifies as a </w:t>
      </w:r>
      <w:r w:rsidR="00151844" w:rsidRPr="00676552">
        <w:rPr>
          <w:rFonts w:ascii="Arial" w:hAnsi="Arial" w:cs="Arial"/>
          <w:i/>
          <w:sz w:val="24"/>
          <w:szCs w:val="24"/>
          <w:lang w:val="en-US"/>
        </w:rPr>
        <w:t>dependent</w:t>
      </w:r>
      <w:r w:rsidRPr="00676552">
        <w:rPr>
          <w:rFonts w:ascii="Arial" w:hAnsi="Arial" w:cs="Arial"/>
          <w:i/>
          <w:sz w:val="24"/>
          <w:szCs w:val="24"/>
          <w:lang w:val="en-US"/>
        </w:rPr>
        <w:t>. According to the Fund’s information, he is employed and earns about R66,000 per annum. He was financially dependent on the Deceased and now receives R8,000 per month from the Trust. He is an income and capital beneficiary of the Trust with assets worth approximately R42 million.</w:t>
      </w:r>
    </w:p>
    <w:p w14:paraId="5D60DFC0" w14:textId="3D692F6D" w:rsidR="00E65DCE" w:rsidRPr="00676552" w:rsidRDefault="00E65DCE" w:rsidP="003A2A52">
      <w:pPr>
        <w:spacing w:line="480" w:lineRule="auto"/>
        <w:ind w:left="1843"/>
        <w:jc w:val="both"/>
        <w:rPr>
          <w:rFonts w:ascii="Arial" w:hAnsi="Arial" w:cs="Arial"/>
          <w:i/>
          <w:sz w:val="24"/>
          <w:szCs w:val="24"/>
          <w:lang w:val="en-US"/>
        </w:rPr>
      </w:pPr>
      <w:r w:rsidRPr="00676552">
        <w:rPr>
          <w:rFonts w:ascii="Arial" w:hAnsi="Arial" w:cs="Arial"/>
          <w:i/>
          <w:sz w:val="24"/>
          <w:szCs w:val="24"/>
          <w:lang w:val="en-US"/>
        </w:rPr>
        <w:t xml:space="preserve">Considering the nature of his relationship with the Deceased (being his son), his age and level of income </w:t>
      </w:r>
      <w:r w:rsidR="00B51122" w:rsidRPr="00676552">
        <w:rPr>
          <w:rFonts w:ascii="Arial" w:hAnsi="Arial" w:cs="Arial"/>
          <w:i/>
          <w:sz w:val="24"/>
          <w:szCs w:val="24"/>
          <w:lang w:val="en-US"/>
        </w:rPr>
        <w:t>(being in his twenties which gives him many working years ahead of him), and the fact that any financial dependency needs would be more than fully met through what he stands to receive from the Trust</w:t>
      </w:r>
      <w:r w:rsidRPr="00676552">
        <w:rPr>
          <w:rFonts w:ascii="Arial" w:hAnsi="Arial" w:cs="Arial"/>
          <w:i/>
          <w:sz w:val="24"/>
          <w:szCs w:val="24"/>
          <w:lang w:val="en-US"/>
        </w:rPr>
        <w:t xml:space="preserve"> </w:t>
      </w:r>
      <w:r w:rsidR="007E4B4E" w:rsidRPr="00676552">
        <w:rPr>
          <w:rFonts w:ascii="Arial" w:hAnsi="Arial" w:cs="Arial"/>
          <w:i/>
          <w:sz w:val="24"/>
          <w:szCs w:val="24"/>
          <w:lang w:val="en-US"/>
        </w:rPr>
        <w:t>(being the income and capital beneficiary), the Trustees decided to allocate 0% of the benefit to him.</w:t>
      </w:r>
    </w:p>
    <w:p w14:paraId="4D740A20" w14:textId="6B568EDB" w:rsidR="007E4B4E" w:rsidRPr="00DC7B17" w:rsidRDefault="007E4B4E" w:rsidP="003A2A52">
      <w:pPr>
        <w:spacing w:line="480" w:lineRule="auto"/>
        <w:ind w:left="720" w:firstLine="720"/>
        <w:jc w:val="both"/>
        <w:rPr>
          <w:rFonts w:ascii="Arial" w:hAnsi="Arial" w:cs="Arial"/>
          <w:iCs/>
          <w:sz w:val="24"/>
          <w:szCs w:val="24"/>
          <w:lang w:val="en-US"/>
        </w:rPr>
      </w:pPr>
      <w:r w:rsidRPr="00DC7B17">
        <w:rPr>
          <w:rFonts w:ascii="Arial" w:hAnsi="Arial" w:cs="Arial"/>
          <w:iCs/>
          <w:sz w:val="24"/>
          <w:szCs w:val="24"/>
          <w:lang w:val="en-US"/>
        </w:rPr>
        <w:t>16. The Deceased’s major daughter (C Groenewald)</w:t>
      </w:r>
    </w:p>
    <w:p w14:paraId="5BC71A6C" w14:textId="77777777" w:rsidR="00EB6CD8" w:rsidRDefault="007E4B4E" w:rsidP="003A2A52">
      <w:pPr>
        <w:tabs>
          <w:tab w:val="left" w:pos="1843"/>
        </w:tabs>
        <w:spacing w:line="480" w:lineRule="auto"/>
        <w:ind w:left="1843"/>
        <w:jc w:val="both"/>
        <w:rPr>
          <w:rFonts w:ascii="Arial" w:hAnsi="Arial" w:cs="Arial"/>
          <w:i/>
          <w:sz w:val="24"/>
          <w:szCs w:val="24"/>
          <w:lang w:val="en-US"/>
        </w:rPr>
      </w:pPr>
      <w:r w:rsidRPr="00676552">
        <w:rPr>
          <w:rFonts w:ascii="Arial" w:hAnsi="Arial" w:cs="Arial"/>
          <w:i/>
          <w:sz w:val="24"/>
          <w:szCs w:val="24"/>
          <w:lang w:val="en-US"/>
        </w:rPr>
        <w:t xml:space="preserve">She is a child of the Deceased and therefore qualifies as a </w:t>
      </w:r>
      <w:r w:rsidR="00151844" w:rsidRPr="00676552">
        <w:rPr>
          <w:rFonts w:ascii="Arial" w:hAnsi="Arial" w:cs="Arial"/>
          <w:i/>
          <w:sz w:val="24"/>
          <w:szCs w:val="24"/>
          <w:lang w:val="en-US"/>
        </w:rPr>
        <w:t>dependent</w:t>
      </w:r>
      <w:r w:rsidRPr="00676552">
        <w:rPr>
          <w:rFonts w:ascii="Arial" w:hAnsi="Arial" w:cs="Arial"/>
          <w:i/>
          <w:sz w:val="24"/>
          <w:szCs w:val="24"/>
          <w:lang w:val="en-US"/>
        </w:rPr>
        <w:t xml:space="preserve">. She did not live with the Deceased. She is a registered student </w:t>
      </w:r>
      <w:r w:rsidR="001861CE" w:rsidRPr="00676552">
        <w:rPr>
          <w:rFonts w:ascii="Arial" w:hAnsi="Arial" w:cs="Arial"/>
          <w:i/>
          <w:sz w:val="24"/>
          <w:szCs w:val="24"/>
          <w:lang w:val="en-US"/>
        </w:rPr>
        <w:t xml:space="preserve">at the University of South Africa under the LLB program and she is employed as a bartender. She received R7,000 per month </w:t>
      </w:r>
    </w:p>
    <w:p w14:paraId="2A7196D7" w14:textId="77777777" w:rsidR="00EB6CD8" w:rsidRDefault="00EB6CD8" w:rsidP="003A2A52">
      <w:pPr>
        <w:tabs>
          <w:tab w:val="left" w:pos="1843"/>
        </w:tabs>
        <w:spacing w:line="480" w:lineRule="auto"/>
        <w:ind w:left="1843"/>
        <w:jc w:val="both"/>
        <w:rPr>
          <w:rFonts w:ascii="Arial" w:hAnsi="Arial" w:cs="Arial"/>
          <w:i/>
          <w:sz w:val="24"/>
          <w:szCs w:val="24"/>
          <w:lang w:val="en-US"/>
        </w:rPr>
      </w:pPr>
    </w:p>
    <w:p w14:paraId="03277009" w14:textId="77777777" w:rsidR="00EB6CD8" w:rsidRDefault="00EB6CD8" w:rsidP="003A2A52">
      <w:pPr>
        <w:tabs>
          <w:tab w:val="left" w:pos="1843"/>
        </w:tabs>
        <w:spacing w:line="480" w:lineRule="auto"/>
        <w:ind w:left="1843"/>
        <w:jc w:val="both"/>
        <w:rPr>
          <w:rFonts w:ascii="Arial" w:hAnsi="Arial" w:cs="Arial"/>
          <w:i/>
          <w:sz w:val="24"/>
          <w:szCs w:val="24"/>
          <w:lang w:val="en-US"/>
        </w:rPr>
      </w:pPr>
    </w:p>
    <w:p w14:paraId="72B34EF5" w14:textId="1576A1BC" w:rsidR="007E4B4E" w:rsidRPr="00676552" w:rsidRDefault="001861CE" w:rsidP="003A2A52">
      <w:pPr>
        <w:tabs>
          <w:tab w:val="left" w:pos="1843"/>
        </w:tabs>
        <w:spacing w:line="480" w:lineRule="auto"/>
        <w:ind w:left="1843"/>
        <w:jc w:val="both"/>
        <w:rPr>
          <w:rFonts w:ascii="Arial" w:hAnsi="Arial" w:cs="Arial"/>
          <w:i/>
          <w:sz w:val="24"/>
          <w:szCs w:val="24"/>
          <w:lang w:val="en-US"/>
        </w:rPr>
      </w:pPr>
      <w:r w:rsidRPr="00676552">
        <w:rPr>
          <w:rFonts w:ascii="Arial" w:hAnsi="Arial" w:cs="Arial"/>
          <w:i/>
          <w:sz w:val="24"/>
          <w:szCs w:val="24"/>
          <w:lang w:val="en-US"/>
        </w:rPr>
        <w:lastRenderedPageBreak/>
        <w:t>from the Trust and she is an income and capital beneficiary of the Trust with assets worth approximately R42 million.</w:t>
      </w:r>
    </w:p>
    <w:p w14:paraId="130A4824" w14:textId="55F3A36B" w:rsidR="001861CE" w:rsidRPr="00676552" w:rsidRDefault="001861CE" w:rsidP="003A2A52">
      <w:pPr>
        <w:spacing w:line="480" w:lineRule="auto"/>
        <w:ind w:left="1843"/>
        <w:jc w:val="both"/>
        <w:rPr>
          <w:rFonts w:ascii="Arial" w:hAnsi="Arial" w:cs="Arial"/>
          <w:i/>
          <w:sz w:val="24"/>
          <w:szCs w:val="24"/>
          <w:lang w:val="en-US"/>
        </w:rPr>
      </w:pPr>
      <w:r w:rsidRPr="00676552">
        <w:rPr>
          <w:rFonts w:ascii="Arial" w:hAnsi="Arial" w:cs="Arial"/>
          <w:i/>
          <w:sz w:val="24"/>
          <w:szCs w:val="24"/>
          <w:lang w:val="en-US"/>
        </w:rPr>
        <w:t>Considering the nature of her relationship</w:t>
      </w:r>
      <w:r w:rsidR="005878AB" w:rsidRPr="00676552">
        <w:rPr>
          <w:rFonts w:ascii="Arial" w:hAnsi="Arial" w:cs="Arial"/>
          <w:i/>
          <w:sz w:val="24"/>
          <w:szCs w:val="24"/>
          <w:lang w:val="en-US"/>
        </w:rPr>
        <w:t xml:space="preserve"> with the Deceased (being his daughter) her age and level of income (being in her twenties which gives her many working years ahead of her), and the fact that any financial dependency needs would be more than fully met through was she stands to receive from the Trust (being the </w:t>
      </w:r>
      <w:r w:rsidR="00DA1DCE" w:rsidRPr="00676552">
        <w:rPr>
          <w:rFonts w:ascii="Arial" w:hAnsi="Arial" w:cs="Arial"/>
          <w:i/>
          <w:sz w:val="24"/>
          <w:szCs w:val="24"/>
          <w:lang w:val="en-US"/>
        </w:rPr>
        <w:t>income and</w:t>
      </w:r>
      <w:r w:rsidR="005878AB" w:rsidRPr="00676552">
        <w:rPr>
          <w:rFonts w:ascii="Arial" w:hAnsi="Arial" w:cs="Arial"/>
          <w:i/>
          <w:sz w:val="24"/>
          <w:szCs w:val="24"/>
          <w:lang w:val="en-US"/>
        </w:rPr>
        <w:t xml:space="preserve"> capital </w:t>
      </w:r>
      <w:r w:rsidR="00DA1DCE" w:rsidRPr="00676552">
        <w:rPr>
          <w:rFonts w:ascii="Arial" w:hAnsi="Arial" w:cs="Arial"/>
          <w:i/>
          <w:sz w:val="24"/>
          <w:szCs w:val="24"/>
          <w:lang w:val="en-US"/>
        </w:rPr>
        <w:t>beneficiary), the Trustees decided to allocate 0% of the benefit to her.</w:t>
      </w:r>
    </w:p>
    <w:p w14:paraId="7ED11B21" w14:textId="65C638A8" w:rsidR="00DA1DCE" w:rsidRPr="00DC7B17" w:rsidRDefault="00DA1DCE" w:rsidP="003A2A52">
      <w:pPr>
        <w:spacing w:line="480" w:lineRule="auto"/>
        <w:ind w:left="720" w:firstLine="720"/>
        <w:jc w:val="both"/>
        <w:rPr>
          <w:rFonts w:ascii="Arial" w:hAnsi="Arial" w:cs="Arial"/>
          <w:iCs/>
          <w:sz w:val="24"/>
          <w:szCs w:val="24"/>
          <w:lang w:val="en-US"/>
        </w:rPr>
      </w:pPr>
      <w:r w:rsidRPr="00DC7B17">
        <w:rPr>
          <w:rFonts w:ascii="Arial" w:hAnsi="Arial" w:cs="Arial"/>
          <w:iCs/>
          <w:sz w:val="24"/>
          <w:szCs w:val="24"/>
          <w:lang w:val="en-US"/>
        </w:rPr>
        <w:t>17.  The Deceased’s minor son (H Groenewald)</w:t>
      </w:r>
    </w:p>
    <w:p w14:paraId="007876ED" w14:textId="5B9092F5" w:rsidR="00DA1DCE" w:rsidRPr="00676552" w:rsidRDefault="00DA1DCE" w:rsidP="003A2A52">
      <w:pPr>
        <w:tabs>
          <w:tab w:val="left" w:pos="1843"/>
        </w:tabs>
        <w:spacing w:line="480" w:lineRule="auto"/>
        <w:ind w:left="1843"/>
        <w:jc w:val="both"/>
        <w:rPr>
          <w:rFonts w:ascii="Arial" w:hAnsi="Arial" w:cs="Arial"/>
          <w:i/>
          <w:sz w:val="24"/>
          <w:szCs w:val="24"/>
          <w:lang w:val="en-US"/>
        </w:rPr>
      </w:pPr>
      <w:r w:rsidRPr="00676552">
        <w:rPr>
          <w:rFonts w:ascii="Arial" w:hAnsi="Arial" w:cs="Arial"/>
          <w:i/>
          <w:sz w:val="24"/>
          <w:szCs w:val="24"/>
          <w:lang w:val="en-US"/>
        </w:rPr>
        <w:t xml:space="preserve">He is a child of the Deceased and therefore qualifies as a </w:t>
      </w:r>
      <w:r w:rsidR="00151844" w:rsidRPr="00676552">
        <w:rPr>
          <w:rFonts w:ascii="Arial" w:hAnsi="Arial" w:cs="Arial"/>
          <w:i/>
          <w:sz w:val="24"/>
          <w:szCs w:val="24"/>
          <w:lang w:val="en-US"/>
        </w:rPr>
        <w:t>dependent</w:t>
      </w:r>
      <w:r w:rsidRPr="00676552">
        <w:rPr>
          <w:rFonts w:ascii="Arial" w:hAnsi="Arial" w:cs="Arial"/>
          <w:i/>
          <w:sz w:val="24"/>
          <w:szCs w:val="24"/>
          <w:lang w:val="en-US"/>
        </w:rPr>
        <w:t>. According to the Fund’s information, he is still a school-going learner. He lives with his mother, S Groenewald. He was financially dependent on the Deceased and now receives R5,000 from the Trust. He is an income and capital beneficiary of the Trust with assets worth approximately R42 million.</w:t>
      </w:r>
    </w:p>
    <w:p w14:paraId="094C1219" w14:textId="1096E50E" w:rsidR="006C4ACA" w:rsidRDefault="00DA1DCE" w:rsidP="003A2A52">
      <w:pPr>
        <w:spacing w:line="480" w:lineRule="auto"/>
        <w:ind w:left="1843"/>
        <w:jc w:val="both"/>
        <w:rPr>
          <w:rFonts w:ascii="Arial" w:hAnsi="Arial" w:cs="Arial"/>
          <w:sz w:val="24"/>
          <w:szCs w:val="24"/>
          <w:lang w:val="en-US"/>
        </w:rPr>
      </w:pPr>
      <w:r w:rsidRPr="00676552">
        <w:rPr>
          <w:rFonts w:ascii="Arial" w:hAnsi="Arial" w:cs="Arial"/>
          <w:i/>
          <w:sz w:val="24"/>
          <w:szCs w:val="24"/>
          <w:lang w:val="en-US"/>
        </w:rPr>
        <w:t>Considering the nature of his relationship with the Deceased (being his son), his age, and the fact that any financial dependency needs would be more than fully met through what he stands to receive from the Trust (being the income and capital beneficiary), the Trustees decided to allocate 0% of the benefit</w:t>
      </w:r>
      <w:r w:rsidR="00151844" w:rsidRPr="00676552">
        <w:rPr>
          <w:rFonts w:ascii="Arial" w:hAnsi="Arial" w:cs="Arial"/>
          <w:i/>
          <w:sz w:val="24"/>
          <w:szCs w:val="24"/>
          <w:lang w:val="en-US"/>
        </w:rPr>
        <w:t xml:space="preserve"> to him.”</w:t>
      </w:r>
    </w:p>
    <w:p w14:paraId="50B931E1" w14:textId="47175A54" w:rsidR="00EB6CD8"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417853" w:rsidRPr="004B2B30">
        <w:rPr>
          <w:rFonts w:ascii="Arial" w:hAnsi="Arial" w:cs="Arial"/>
          <w:sz w:val="24"/>
          <w:szCs w:val="24"/>
          <w:lang w:val="en-US"/>
        </w:rPr>
        <w:t xml:space="preserve">The </w:t>
      </w:r>
      <w:r w:rsidR="00BA37A9" w:rsidRPr="004B2B30">
        <w:rPr>
          <w:rFonts w:ascii="Arial" w:hAnsi="Arial" w:cs="Arial"/>
          <w:sz w:val="24"/>
          <w:szCs w:val="24"/>
          <w:lang w:val="en-US"/>
        </w:rPr>
        <w:t xml:space="preserve">comprehensive </w:t>
      </w:r>
      <w:r w:rsidR="00576783" w:rsidRPr="004B2B30">
        <w:rPr>
          <w:rFonts w:ascii="Arial" w:hAnsi="Arial" w:cs="Arial"/>
          <w:sz w:val="24"/>
          <w:szCs w:val="24"/>
          <w:lang w:val="en-US"/>
        </w:rPr>
        <w:t xml:space="preserve">nature </w:t>
      </w:r>
      <w:r w:rsidR="00BA37A9" w:rsidRPr="004B2B30">
        <w:rPr>
          <w:rFonts w:ascii="Arial" w:hAnsi="Arial" w:cs="Arial"/>
          <w:sz w:val="24"/>
          <w:szCs w:val="24"/>
          <w:lang w:val="en-US"/>
        </w:rPr>
        <w:t>of the letter dated 7 October 20</w:t>
      </w:r>
      <w:r w:rsidR="00762768" w:rsidRPr="004B2B30">
        <w:rPr>
          <w:rFonts w:ascii="Arial" w:hAnsi="Arial" w:cs="Arial"/>
          <w:sz w:val="24"/>
          <w:szCs w:val="24"/>
          <w:lang w:val="en-US"/>
        </w:rPr>
        <w:t>20</w:t>
      </w:r>
      <w:r w:rsidR="00B21D0A" w:rsidRPr="004B2B30">
        <w:rPr>
          <w:rFonts w:ascii="Arial" w:hAnsi="Arial" w:cs="Arial"/>
          <w:sz w:val="24"/>
          <w:szCs w:val="24"/>
          <w:lang w:val="en-US"/>
        </w:rPr>
        <w:t xml:space="preserve"> with its content </w:t>
      </w:r>
    </w:p>
    <w:p w14:paraId="5248EE16" w14:textId="77777777" w:rsidR="00EB6CD8" w:rsidRDefault="00EB6CD8" w:rsidP="00EB6CD8">
      <w:pPr>
        <w:pStyle w:val="ListParagraph"/>
        <w:spacing w:line="480" w:lineRule="auto"/>
        <w:ind w:left="142"/>
        <w:jc w:val="both"/>
        <w:rPr>
          <w:rFonts w:ascii="Arial" w:hAnsi="Arial" w:cs="Arial"/>
          <w:sz w:val="24"/>
          <w:szCs w:val="24"/>
          <w:lang w:val="en-US"/>
        </w:rPr>
      </w:pPr>
    </w:p>
    <w:p w14:paraId="7C69CEAC" w14:textId="77777777" w:rsidR="00EB6CD8" w:rsidRDefault="00EB6CD8" w:rsidP="00EB6CD8">
      <w:pPr>
        <w:pStyle w:val="ListParagraph"/>
        <w:spacing w:line="480" w:lineRule="auto"/>
        <w:ind w:left="142"/>
        <w:jc w:val="both"/>
        <w:rPr>
          <w:rFonts w:ascii="Arial" w:hAnsi="Arial" w:cs="Arial"/>
          <w:sz w:val="24"/>
          <w:szCs w:val="24"/>
          <w:lang w:val="en-US"/>
        </w:rPr>
      </w:pPr>
    </w:p>
    <w:p w14:paraId="675EDD74" w14:textId="4B6F0042" w:rsidR="00FC15D4" w:rsidRDefault="00B21D0A" w:rsidP="00EB6CD8">
      <w:pPr>
        <w:pStyle w:val="ListParagraph"/>
        <w:spacing w:line="480" w:lineRule="auto"/>
        <w:ind w:left="142"/>
        <w:jc w:val="both"/>
        <w:rPr>
          <w:rFonts w:ascii="Arial" w:hAnsi="Arial" w:cs="Arial"/>
          <w:sz w:val="24"/>
          <w:szCs w:val="24"/>
          <w:lang w:val="en-US"/>
        </w:rPr>
      </w:pPr>
      <w:r w:rsidRPr="00DA1DCE">
        <w:rPr>
          <w:rFonts w:ascii="Arial" w:hAnsi="Arial" w:cs="Arial"/>
          <w:sz w:val="24"/>
          <w:szCs w:val="24"/>
          <w:lang w:val="en-US"/>
        </w:rPr>
        <w:lastRenderedPageBreak/>
        <w:t xml:space="preserve">leads one to conclude that the board did </w:t>
      </w:r>
      <w:r w:rsidR="00576783">
        <w:rPr>
          <w:rFonts w:ascii="Arial" w:hAnsi="Arial" w:cs="Arial"/>
          <w:sz w:val="24"/>
          <w:szCs w:val="24"/>
          <w:lang w:val="en-US"/>
        </w:rPr>
        <w:t>i</w:t>
      </w:r>
      <w:r w:rsidRPr="00DA1DCE">
        <w:rPr>
          <w:rFonts w:ascii="Arial" w:hAnsi="Arial" w:cs="Arial"/>
          <w:sz w:val="24"/>
          <w:szCs w:val="24"/>
          <w:lang w:val="en-US"/>
        </w:rPr>
        <w:t xml:space="preserve">n fact conduct a thorough investigation and took into account all the relevant </w:t>
      </w:r>
      <w:r w:rsidR="00576783">
        <w:rPr>
          <w:rFonts w:ascii="Arial" w:hAnsi="Arial" w:cs="Arial"/>
          <w:sz w:val="24"/>
          <w:szCs w:val="24"/>
          <w:lang w:val="en-US"/>
        </w:rPr>
        <w:t xml:space="preserve">and pertinent </w:t>
      </w:r>
      <w:r w:rsidRPr="00DA1DCE">
        <w:rPr>
          <w:rFonts w:ascii="Arial" w:hAnsi="Arial" w:cs="Arial"/>
          <w:sz w:val="24"/>
          <w:szCs w:val="24"/>
          <w:lang w:val="en-US"/>
        </w:rPr>
        <w:t xml:space="preserve">information that </w:t>
      </w:r>
      <w:r w:rsidR="00617636" w:rsidRPr="00DA1DCE">
        <w:rPr>
          <w:rFonts w:ascii="Arial" w:hAnsi="Arial" w:cs="Arial"/>
          <w:sz w:val="24"/>
          <w:szCs w:val="24"/>
          <w:lang w:val="en-US"/>
        </w:rPr>
        <w:t>w</w:t>
      </w:r>
      <w:r w:rsidR="003A2A52">
        <w:rPr>
          <w:rFonts w:ascii="Arial" w:hAnsi="Arial" w:cs="Arial"/>
          <w:sz w:val="24"/>
          <w:szCs w:val="24"/>
          <w:lang w:val="en-US"/>
        </w:rPr>
        <w:t>as</w:t>
      </w:r>
      <w:r w:rsidR="00617636" w:rsidRPr="00DA1DCE">
        <w:rPr>
          <w:rFonts w:ascii="Arial" w:hAnsi="Arial" w:cs="Arial"/>
          <w:sz w:val="24"/>
          <w:szCs w:val="24"/>
          <w:lang w:val="en-US"/>
        </w:rPr>
        <w:t xml:space="preserve"> at its disposal. I agree with counsel for the first respondent that </w:t>
      </w:r>
      <w:r w:rsidR="00220119" w:rsidRPr="00DA1DCE">
        <w:rPr>
          <w:rFonts w:ascii="Arial" w:hAnsi="Arial" w:cs="Arial"/>
          <w:sz w:val="24"/>
          <w:szCs w:val="24"/>
          <w:lang w:val="en-US"/>
        </w:rPr>
        <w:t>the applicants cannot complain that the</w:t>
      </w:r>
      <w:r w:rsidR="0069451D" w:rsidRPr="00DA1DCE">
        <w:rPr>
          <w:rFonts w:ascii="Arial" w:hAnsi="Arial" w:cs="Arial"/>
          <w:sz w:val="24"/>
          <w:szCs w:val="24"/>
          <w:lang w:val="en-US"/>
        </w:rPr>
        <w:t xml:space="preserve"> principle of </w:t>
      </w:r>
      <w:r w:rsidR="0069451D" w:rsidRPr="00DA1DCE">
        <w:rPr>
          <w:rFonts w:ascii="Arial" w:hAnsi="Arial" w:cs="Arial"/>
          <w:i/>
          <w:sz w:val="24"/>
          <w:szCs w:val="24"/>
          <w:lang w:val="en-US"/>
        </w:rPr>
        <w:t>audi alteram partem</w:t>
      </w:r>
      <w:r w:rsidR="0069451D" w:rsidRPr="00DA1DCE">
        <w:rPr>
          <w:rFonts w:ascii="Arial" w:hAnsi="Arial" w:cs="Arial"/>
          <w:sz w:val="24"/>
          <w:szCs w:val="24"/>
          <w:lang w:val="en-US"/>
        </w:rPr>
        <w:t xml:space="preserve"> was not adhered to. The applicants</w:t>
      </w:r>
      <w:r w:rsidR="00C827CB" w:rsidRPr="00DA1DCE">
        <w:rPr>
          <w:rFonts w:ascii="Arial" w:hAnsi="Arial" w:cs="Arial"/>
          <w:sz w:val="24"/>
          <w:szCs w:val="24"/>
          <w:lang w:val="en-US"/>
        </w:rPr>
        <w:t xml:space="preserve"> were </w:t>
      </w:r>
      <w:r w:rsidR="00093E55" w:rsidRPr="00DA1DCE">
        <w:rPr>
          <w:rFonts w:ascii="Arial" w:hAnsi="Arial" w:cs="Arial"/>
          <w:sz w:val="24"/>
          <w:szCs w:val="24"/>
          <w:lang w:val="en-US"/>
        </w:rPr>
        <w:t>furnished with the board’s prelim</w:t>
      </w:r>
      <w:r w:rsidR="00B07189" w:rsidRPr="00DA1DCE">
        <w:rPr>
          <w:rFonts w:ascii="Arial" w:hAnsi="Arial" w:cs="Arial"/>
          <w:sz w:val="24"/>
          <w:szCs w:val="24"/>
          <w:lang w:val="en-US"/>
        </w:rPr>
        <w:t xml:space="preserve">inary finding and were </w:t>
      </w:r>
      <w:r w:rsidR="00C827CB" w:rsidRPr="00DA1DCE">
        <w:rPr>
          <w:rFonts w:ascii="Arial" w:hAnsi="Arial" w:cs="Arial"/>
          <w:sz w:val="24"/>
          <w:szCs w:val="24"/>
          <w:lang w:val="en-US"/>
        </w:rPr>
        <w:t xml:space="preserve">given a reasonable opportunity to </w:t>
      </w:r>
      <w:r w:rsidR="00B07189" w:rsidRPr="00DA1DCE">
        <w:rPr>
          <w:rFonts w:ascii="Arial" w:hAnsi="Arial" w:cs="Arial"/>
          <w:sz w:val="24"/>
          <w:szCs w:val="24"/>
          <w:lang w:val="en-US"/>
        </w:rPr>
        <w:t xml:space="preserve">furnish the board </w:t>
      </w:r>
      <w:r w:rsidR="00BA7F4C" w:rsidRPr="00DA1DCE">
        <w:rPr>
          <w:rFonts w:ascii="Arial" w:hAnsi="Arial" w:cs="Arial"/>
          <w:sz w:val="24"/>
          <w:szCs w:val="24"/>
          <w:lang w:val="en-US"/>
        </w:rPr>
        <w:t xml:space="preserve">with all relevant information. </w:t>
      </w:r>
      <w:r w:rsidR="007F0AFC" w:rsidRPr="00DA1DCE">
        <w:rPr>
          <w:rFonts w:ascii="Arial" w:hAnsi="Arial" w:cs="Arial"/>
          <w:sz w:val="24"/>
          <w:szCs w:val="24"/>
          <w:lang w:val="en-US"/>
        </w:rPr>
        <w:t xml:space="preserve">They also had such opportunity when they lodged their complaint with the board. </w:t>
      </w:r>
    </w:p>
    <w:p w14:paraId="3B782722" w14:textId="77777777" w:rsidR="00DA1DCE" w:rsidRDefault="00DA1DCE" w:rsidP="00DA1DCE">
      <w:pPr>
        <w:pStyle w:val="ListParagraph"/>
        <w:spacing w:line="480" w:lineRule="auto"/>
        <w:ind w:left="142"/>
        <w:jc w:val="both"/>
        <w:rPr>
          <w:rFonts w:ascii="Arial" w:hAnsi="Arial" w:cs="Arial"/>
          <w:sz w:val="24"/>
          <w:szCs w:val="24"/>
          <w:lang w:val="en-US"/>
        </w:rPr>
      </w:pPr>
    </w:p>
    <w:p w14:paraId="076BEA2C" w14:textId="59B3FBFA" w:rsidR="00FC15D4"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DC73F2" w:rsidRPr="004B2B30">
        <w:rPr>
          <w:rFonts w:ascii="Arial" w:hAnsi="Arial" w:cs="Arial"/>
          <w:sz w:val="24"/>
          <w:szCs w:val="24"/>
          <w:lang w:val="en-US"/>
        </w:rPr>
        <w:t xml:space="preserve">As for the dependency </w:t>
      </w:r>
      <w:r w:rsidR="00DF560A" w:rsidRPr="004B2B30">
        <w:rPr>
          <w:rFonts w:ascii="Arial" w:hAnsi="Arial" w:cs="Arial"/>
          <w:sz w:val="24"/>
          <w:szCs w:val="24"/>
          <w:lang w:val="en-US"/>
        </w:rPr>
        <w:t xml:space="preserve">of Auret on the deceased, I have already dealt with the fact that they lived together and shared a common home. </w:t>
      </w:r>
      <w:r w:rsidR="00AB5A55" w:rsidRPr="004B2B30">
        <w:rPr>
          <w:rFonts w:ascii="Arial" w:hAnsi="Arial" w:cs="Arial"/>
          <w:sz w:val="24"/>
          <w:szCs w:val="24"/>
          <w:lang w:val="en-US"/>
        </w:rPr>
        <w:t xml:space="preserve">The applicants complained that Auret </w:t>
      </w:r>
      <w:r w:rsidR="00B26014" w:rsidRPr="004B2B30">
        <w:rPr>
          <w:rFonts w:ascii="Arial" w:hAnsi="Arial" w:cs="Arial"/>
          <w:sz w:val="24"/>
          <w:szCs w:val="24"/>
          <w:lang w:val="en-US"/>
        </w:rPr>
        <w:t xml:space="preserve">is employed and earned a higher income </w:t>
      </w:r>
      <w:r w:rsidR="00576783" w:rsidRPr="004B2B30">
        <w:rPr>
          <w:rFonts w:ascii="Arial" w:hAnsi="Arial" w:cs="Arial"/>
          <w:sz w:val="24"/>
          <w:szCs w:val="24"/>
          <w:lang w:val="en-US"/>
        </w:rPr>
        <w:t xml:space="preserve">than </w:t>
      </w:r>
      <w:r w:rsidR="00B26014" w:rsidRPr="004B2B30">
        <w:rPr>
          <w:rFonts w:ascii="Arial" w:hAnsi="Arial" w:cs="Arial"/>
          <w:sz w:val="24"/>
          <w:szCs w:val="24"/>
          <w:lang w:val="en-US"/>
        </w:rPr>
        <w:t xml:space="preserve">that </w:t>
      </w:r>
      <w:r w:rsidR="00576783" w:rsidRPr="004B2B30">
        <w:rPr>
          <w:rFonts w:ascii="Arial" w:hAnsi="Arial" w:cs="Arial"/>
          <w:sz w:val="24"/>
          <w:szCs w:val="24"/>
          <w:lang w:val="en-US"/>
        </w:rPr>
        <w:t xml:space="preserve">of </w:t>
      </w:r>
      <w:r w:rsidR="00B26014" w:rsidRPr="004B2B30">
        <w:rPr>
          <w:rFonts w:ascii="Arial" w:hAnsi="Arial" w:cs="Arial"/>
          <w:sz w:val="24"/>
          <w:szCs w:val="24"/>
          <w:lang w:val="en-US"/>
        </w:rPr>
        <w:t xml:space="preserve">the deceased when he was alive. </w:t>
      </w:r>
      <w:r w:rsidR="00E81081" w:rsidRPr="004B2B30">
        <w:rPr>
          <w:rFonts w:ascii="Arial" w:hAnsi="Arial" w:cs="Arial"/>
          <w:sz w:val="24"/>
          <w:szCs w:val="24"/>
          <w:lang w:val="en-US"/>
        </w:rPr>
        <w:t>In this regard, the board concluded in its final decision as follows:</w:t>
      </w:r>
    </w:p>
    <w:p w14:paraId="0BFC0E4C" w14:textId="560A7CD3" w:rsidR="00DA1DCE" w:rsidRDefault="00DA1DCE" w:rsidP="00DA1DCE">
      <w:pPr>
        <w:pStyle w:val="ListParagraph"/>
        <w:rPr>
          <w:rFonts w:ascii="Arial" w:hAnsi="Arial" w:cs="Arial"/>
          <w:sz w:val="24"/>
          <w:szCs w:val="24"/>
          <w:lang w:val="en-US"/>
        </w:rPr>
      </w:pPr>
    </w:p>
    <w:p w14:paraId="6B637FB2" w14:textId="1073EA29" w:rsidR="00DA1DCE" w:rsidRDefault="00DA1DCE" w:rsidP="00DA1DCE">
      <w:pPr>
        <w:pStyle w:val="ListParagraph"/>
        <w:rPr>
          <w:rFonts w:ascii="Arial" w:hAnsi="Arial" w:cs="Arial"/>
          <w:sz w:val="24"/>
          <w:szCs w:val="24"/>
          <w:lang w:val="en-US"/>
        </w:rPr>
      </w:pPr>
    </w:p>
    <w:p w14:paraId="34440E1E" w14:textId="113A69ED" w:rsidR="00DA1DCE" w:rsidRPr="003A2A52" w:rsidRDefault="00DA1DCE" w:rsidP="003A2A52">
      <w:pPr>
        <w:spacing w:line="480" w:lineRule="auto"/>
        <w:ind w:left="1440"/>
        <w:jc w:val="both"/>
        <w:rPr>
          <w:rFonts w:ascii="Arial" w:hAnsi="Arial" w:cs="Arial"/>
          <w:sz w:val="24"/>
          <w:szCs w:val="24"/>
          <w:lang w:val="en-US"/>
        </w:rPr>
      </w:pPr>
      <w:r w:rsidRPr="00D52D68">
        <w:rPr>
          <w:rFonts w:ascii="Arial" w:hAnsi="Arial" w:cs="Arial"/>
          <w:sz w:val="24"/>
          <w:szCs w:val="24"/>
          <w:lang w:val="en-US"/>
        </w:rPr>
        <w:t>“</w:t>
      </w:r>
      <w:r w:rsidRPr="00D52D68">
        <w:rPr>
          <w:rFonts w:ascii="Arial" w:hAnsi="Arial" w:cs="Arial"/>
          <w:i/>
          <w:iCs/>
          <w:sz w:val="24"/>
          <w:szCs w:val="24"/>
          <w:lang w:val="en-US"/>
        </w:rPr>
        <w:t xml:space="preserve">Ms Auret is </w:t>
      </w:r>
      <w:r w:rsidRPr="00D52D68">
        <w:rPr>
          <w:rFonts w:ascii="Arial" w:hAnsi="Arial" w:cs="Arial"/>
          <w:i/>
          <w:iCs/>
          <w:sz w:val="24"/>
          <w:szCs w:val="24"/>
          <w:lang w:val="en-GB"/>
        </w:rPr>
        <w:t>employed and she and the Deceased were co-dependence on one another for their household financial needs. It is in that regard that she qualifies as a dependent in the first instance. In the second instance, she qualifies as a dependant by virtue of the fact that she was his life partner. Section 1 of the [Pension Funds] Act defines ‘spouse’ to include a permanent life partner for purposes of the Act</w:t>
      </w:r>
      <w:r w:rsidRPr="00D52D68">
        <w:rPr>
          <w:rFonts w:ascii="Arial" w:hAnsi="Arial" w:cs="Arial"/>
          <w:sz w:val="24"/>
          <w:szCs w:val="24"/>
          <w:lang w:val="en-GB"/>
        </w:rPr>
        <w:t>.”</w:t>
      </w:r>
    </w:p>
    <w:p w14:paraId="40E2CF45" w14:textId="77777777" w:rsidR="00DA1DCE" w:rsidRPr="00DA1DCE" w:rsidRDefault="00DA1DCE" w:rsidP="00DA1DCE">
      <w:pPr>
        <w:pStyle w:val="ListParagraph"/>
        <w:rPr>
          <w:rFonts w:ascii="Arial" w:hAnsi="Arial" w:cs="Arial"/>
          <w:sz w:val="24"/>
          <w:szCs w:val="24"/>
          <w:lang w:val="en-US"/>
        </w:rPr>
      </w:pPr>
    </w:p>
    <w:p w14:paraId="4CD90FCE" w14:textId="48439CF6" w:rsidR="00FC15D4"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E55E52" w:rsidRPr="004B2B30">
        <w:rPr>
          <w:rFonts w:ascii="Arial" w:hAnsi="Arial" w:cs="Arial"/>
          <w:sz w:val="24"/>
          <w:szCs w:val="24"/>
          <w:lang w:val="en-US"/>
        </w:rPr>
        <w:t xml:space="preserve">It is without doubt that the co-habitation between the deceased and Auret </w:t>
      </w:r>
      <w:r w:rsidR="00217F8C" w:rsidRPr="004B2B30">
        <w:rPr>
          <w:rFonts w:ascii="Arial" w:hAnsi="Arial" w:cs="Arial"/>
          <w:sz w:val="24"/>
          <w:szCs w:val="24"/>
          <w:lang w:val="en-US"/>
        </w:rPr>
        <w:t>entailed that they shared household expenses</w:t>
      </w:r>
      <w:r w:rsidR="00AB26F4" w:rsidRPr="004B2B30">
        <w:rPr>
          <w:rFonts w:ascii="Arial" w:hAnsi="Arial" w:cs="Arial"/>
          <w:sz w:val="24"/>
          <w:szCs w:val="24"/>
          <w:lang w:val="en-US"/>
        </w:rPr>
        <w:t xml:space="preserve">, such as for utilities, food, </w:t>
      </w:r>
      <w:r w:rsidR="00C06839" w:rsidRPr="004B2B30">
        <w:rPr>
          <w:rFonts w:ascii="Arial" w:hAnsi="Arial" w:cs="Arial"/>
          <w:sz w:val="24"/>
          <w:szCs w:val="24"/>
          <w:lang w:val="en-US"/>
        </w:rPr>
        <w:t>household maintenance</w:t>
      </w:r>
      <w:r w:rsidR="00AB26F4" w:rsidRPr="004B2B30">
        <w:rPr>
          <w:rFonts w:ascii="Arial" w:hAnsi="Arial" w:cs="Arial"/>
          <w:sz w:val="24"/>
          <w:szCs w:val="24"/>
          <w:lang w:val="en-US"/>
        </w:rPr>
        <w:t xml:space="preserve">, </w:t>
      </w:r>
      <w:r w:rsidR="00C06839" w:rsidRPr="004B2B30">
        <w:rPr>
          <w:rFonts w:ascii="Arial" w:hAnsi="Arial" w:cs="Arial"/>
          <w:sz w:val="24"/>
          <w:szCs w:val="24"/>
          <w:lang w:val="en-US"/>
        </w:rPr>
        <w:t xml:space="preserve">etc. Without the contributions of the deceased, Auret has to carry such expenses on her own. </w:t>
      </w:r>
    </w:p>
    <w:p w14:paraId="36034382" w14:textId="158E638B" w:rsidR="004D312C" w:rsidRDefault="004D312C" w:rsidP="004D312C">
      <w:pPr>
        <w:pStyle w:val="ListParagraph"/>
        <w:spacing w:line="480" w:lineRule="auto"/>
        <w:ind w:left="142"/>
        <w:jc w:val="both"/>
        <w:rPr>
          <w:rFonts w:ascii="Arial" w:hAnsi="Arial" w:cs="Arial"/>
          <w:sz w:val="24"/>
          <w:szCs w:val="24"/>
          <w:lang w:val="en-US"/>
        </w:rPr>
      </w:pPr>
    </w:p>
    <w:p w14:paraId="36419BE2" w14:textId="77777777" w:rsidR="004D312C" w:rsidRPr="004D312C" w:rsidRDefault="004D312C" w:rsidP="004D312C">
      <w:pPr>
        <w:pStyle w:val="ListParagraph"/>
        <w:rPr>
          <w:rFonts w:ascii="Arial" w:hAnsi="Arial" w:cs="Arial"/>
          <w:sz w:val="24"/>
          <w:szCs w:val="24"/>
          <w:lang w:val="en-US"/>
        </w:rPr>
      </w:pPr>
    </w:p>
    <w:p w14:paraId="34E10B34" w14:textId="12B7DE85" w:rsidR="00FC15D4"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[38]</w:t>
      </w:r>
      <w:r>
        <w:rPr>
          <w:rFonts w:ascii="Arial" w:hAnsi="Arial" w:cs="Arial"/>
          <w:sz w:val="24"/>
          <w:szCs w:val="24"/>
          <w:lang w:val="en-US"/>
        </w:rPr>
        <w:tab/>
      </w:r>
      <w:r w:rsidR="00C06839" w:rsidRPr="004B2B30">
        <w:rPr>
          <w:rFonts w:ascii="Arial" w:hAnsi="Arial" w:cs="Arial"/>
          <w:sz w:val="24"/>
          <w:szCs w:val="24"/>
          <w:lang w:val="en-US"/>
        </w:rPr>
        <w:t xml:space="preserve">It is clear that the board took into account </w:t>
      </w:r>
      <w:r w:rsidR="003D72E1" w:rsidRPr="004B2B30">
        <w:rPr>
          <w:rFonts w:ascii="Arial" w:hAnsi="Arial" w:cs="Arial"/>
          <w:sz w:val="24"/>
          <w:szCs w:val="24"/>
          <w:lang w:val="en-US"/>
        </w:rPr>
        <w:t xml:space="preserve">that the </w:t>
      </w:r>
      <w:r w:rsidR="00653449" w:rsidRPr="004B2B30">
        <w:rPr>
          <w:rFonts w:ascii="Arial" w:hAnsi="Arial" w:cs="Arial"/>
          <w:sz w:val="24"/>
          <w:szCs w:val="24"/>
          <w:lang w:val="en-US"/>
        </w:rPr>
        <w:t xml:space="preserve">trust will continue to meet the </w:t>
      </w:r>
      <w:r w:rsidR="003D72E1" w:rsidRPr="004B2B30">
        <w:rPr>
          <w:rFonts w:ascii="Arial" w:hAnsi="Arial" w:cs="Arial"/>
          <w:sz w:val="24"/>
          <w:szCs w:val="24"/>
          <w:lang w:val="en-US"/>
        </w:rPr>
        <w:t xml:space="preserve">applicant’s financial </w:t>
      </w:r>
      <w:r w:rsidR="00DC7B17" w:rsidRPr="004B2B30">
        <w:rPr>
          <w:rFonts w:ascii="Arial" w:hAnsi="Arial" w:cs="Arial"/>
          <w:sz w:val="24"/>
          <w:szCs w:val="24"/>
          <w:lang w:val="en-US"/>
        </w:rPr>
        <w:t>needs</w:t>
      </w:r>
      <w:r w:rsidR="003D72E1" w:rsidRPr="004B2B30">
        <w:rPr>
          <w:rFonts w:ascii="Arial" w:hAnsi="Arial" w:cs="Arial"/>
          <w:sz w:val="24"/>
          <w:szCs w:val="24"/>
          <w:lang w:val="en-US"/>
        </w:rPr>
        <w:t xml:space="preserve">. This is </w:t>
      </w:r>
      <w:r w:rsidR="00653449" w:rsidRPr="004B2B30">
        <w:rPr>
          <w:rFonts w:ascii="Arial" w:hAnsi="Arial" w:cs="Arial"/>
          <w:sz w:val="24"/>
          <w:szCs w:val="24"/>
          <w:lang w:val="en-US"/>
        </w:rPr>
        <w:t xml:space="preserve">the case </w:t>
      </w:r>
      <w:r w:rsidR="003D72E1" w:rsidRPr="004B2B30">
        <w:rPr>
          <w:rFonts w:ascii="Arial" w:hAnsi="Arial" w:cs="Arial"/>
          <w:sz w:val="24"/>
          <w:szCs w:val="24"/>
          <w:lang w:val="en-US"/>
        </w:rPr>
        <w:t xml:space="preserve">despite the </w:t>
      </w:r>
      <w:r w:rsidR="00653449" w:rsidRPr="004B2B30">
        <w:rPr>
          <w:rFonts w:ascii="Arial" w:hAnsi="Arial" w:cs="Arial"/>
          <w:sz w:val="24"/>
          <w:szCs w:val="24"/>
          <w:lang w:val="en-US"/>
        </w:rPr>
        <w:t xml:space="preserve">applicant’s </w:t>
      </w:r>
      <w:r w:rsidR="00A56ED5" w:rsidRPr="004B2B30">
        <w:rPr>
          <w:rFonts w:ascii="Arial" w:hAnsi="Arial" w:cs="Arial"/>
          <w:sz w:val="24"/>
          <w:szCs w:val="24"/>
          <w:lang w:val="en-US"/>
        </w:rPr>
        <w:t xml:space="preserve">averment that the deceased </w:t>
      </w:r>
      <w:r w:rsidR="007973D4" w:rsidRPr="004B2B30">
        <w:rPr>
          <w:rFonts w:ascii="Arial" w:hAnsi="Arial" w:cs="Arial"/>
          <w:sz w:val="24"/>
          <w:szCs w:val="24"/>
          <w:lang w:val="en-US"/>
        </w:rPr>
        <w:t xml:space="preserve">estate may have </w:t>
      </w:r>
      <w:r w:rsidR="00490040" w:rsidRPr="004B2B30">
        <w:rPr>
          <w:rFonts w:ascii="Arial" w:hAnsi="Arial" w:cs="Arial"/>
          <w:sz w:val="24"/>
          <w:szCs w:val="24"/>
          <w:lang w:val="en-US"/>
        </w:rPr>
        <w:t xml:space="preserve">a cash shortfall of R9.4 million which may </w:t>
      </w:r>
      <w:r w:rsidR="00653449" w:rsidRPr="004B2B30">
        <w:rPr>
          <w:rFonts w:ascii="Arial" w:hAnsi="Arial" w:cs="Arial"/>
          <w:sz w:val="24"/>
          <w:szCs w:val="24"/>
          <w:lang w:val="en-US"/>
        </w:rPr>
        <w:t xml:space="preserve">necessitate </w:t>
      </w:r>
      <w:r w:rsidR="00490040" w:rsidRPr="004B2B30">
        <w:rPr>
          <w:rFonts w:ascii="Arial" w:hAnsi="Arial" w:cs="Arial"/>
          <w:sz w:val="24"/>
          <w:szCs w:val="24"/>
          <w:lang w:val="en-US"/>
        </w:rPr>
        <w:t xml:space="preserve"> the s</w:t>
      </w:r>
      <w:r w:rsidR="00653449" w:rsidRPr="004B2B30">
        <w:rPr>
          <w:rFonts w:ascii="Arial" w:hAnsi="Arial" w:cs="Arial"/>
          <w:sz w:val="24"/>
          <w:szCs w:val="24"/>
          <w:lang w:val="en-US"/>
        </w:rPr>
        <w:t>ale</w:t>
      </w:r>
      <w:r w:rsidR="00490040" w:rsidRPr="004B2B30">
        <w:rPr>
          <w:rFonts w:ascii="Arial" w:hAnsi="Arial" w:cs="Arial"/>
          <w:sz w:val="24"/>
          <w:szCs w:val="24"/>
          <w:lang w:val="en-US"/>
        </w:rPr>
        <w:t xml:space="preserve"> </w:t>
      </w:r>
      <w:r w:rsidR="000F2A1E" w:rsidRPr="004B2B30">
        <w:rPr>
          <w:rFonts w:ascii="Arial" w:hAnsi="Arial" w:cs="Arial"/>
          <w:sz w:val="24"/>
          <w:szCs w:val="24"/>
          <w:lang w:val="en-US"/>
        </w:rPr>
        <w:t xml:space="preserve">of certain assets. The end result, as </w:t>
      </w:r>
      <w:r w:rsidR="00061053" w:rsidRPr="004B2B30">
        <w:rPr>
          <w:rFonts w:ascii="Arial" w:hAnsi="Arial" w:cs="Arial"/>
          <w:sz w:val="24"/>
          <w:szCs w:val="24"/>
          <w:lang w:val="en-US"/>
        </w:rPr>
        <w:t>concluded by the adjudicator, would still be that the applicants would be far better off tha</w:t>
      </w:r>
      <w:r w:rsidR="005B10C0" w:rsidRPr="004B2B30">
        <w:rPr>
          <w:rFonts w:ascii="Arial" w:hAnsi="Arial" w:cs="Arial"/>
          <w:sz w:val="24"/>
          <w:szCs w:val="24"/>
          <w:lang w:val="en-US"/>
        </w:rPr>
        <w:t>n</w:t>
      </w:r>
      <w:r w:rsidR="00061053" w:rsidRPr="004B2B30">
        <w:rPr>
          <w:rFonts w:ascii="Arial" w:hAnsi="Arial" w:cs="Arial"/>
          <w:sz w:val="24"/>
          <w:szCs w:val="24"/>
          <w:lang w:val="en-US"/>
        </w:rPr>
        <w:t xml:space="preserve"> Auret</w:t>
      </w:r>
      <w:r w:rsidR="003A2A52" w:rsidRPr="004B2B30">
        <w:rPr>
          <w:rFonts w:ascii="Arial" w:hAnsi="Arial" w:cs="Arial"/>
          <w:sz w:val="24"/>
          <w:szCs w:val="24"/>
          <w:lang w:val="en-US"/>
        </w:rPr>
        <w:t>.</w:t>
      </w:r>
      <w:r w:rsidR="00061053" w:rsidRPr="004B2B30">
        <w:rPr>
          <w:rFonts w:ascii="Arial" w:hAnsi="Arial" w:cs="Arial"/>
          <w:sz w:val="24"/>
          <w:szCs w:val="24"/>
          <w:lang w:val="en-US"/>
        </w:rPr>
        <w:t xml:space="preserve"> </w:t>
      </w:r>
      <w:r w:rsidR="00523A29" w:rsidRPr="004B2B30">
        <w:rPr>
          <w:rFonts w:ascii="Arial" w:hAnsi="Arial" w:cs="Arial"/>
          <w:sz w:val="24"/>
          <w:szCs w:val="24"/>
          <w:lang w:val="en-US"/>
        </w:rPr>
        <w:t xml:space="preserve">The death benefit which was allocated to Auret in the amount of R </w:t>
      </w:r>
      <w:r w:rsidR="00D86F8D" w:rsidRPr="004B2B30">
        <w:rPr>
          <w:rFonts w:ascii="Arial" w:hAnsi="Arial" w:cs="Arial"/>
          <w:sz w:val="24"/>
          <w:szCs w:val="24"/>
          <w:lang w:val="en-US"/>
        </w:rPr>
        <w:t xml:space="preserve">1 201 277.00 is </w:t>
      </w:r>
      <w:r w:rsidR="00653449" w:rsidRPr="004B2B30">
        <w:rPr>
          <w:rFonts w:ascii="Arial" w:hAnsi="Arial" w:cs="Arial"/>
          <w:sz w:val="24"/>
          <w:szCs w:val="24"/>
          <w:lang w:val="en-US"/>
        </w:rPr>
        <w:t>insignificant</w:t>
      </w:r>
      <w:r w:rsidR="00D86F8D" w:rsidRPr="004B2B30">
        <w:rPr>
          <w:rFonts w:ascii="Arial" w:hAnsi="Arial" w:cs="Arial"/>
          <w:sz w:val="24"/>
          <w:szCs w:val="24"/>
          <w:lang w:val="en-US"/>
        </w:rPr>
        <w:t xml:space="preserve"> in comparison</w:t>
      </w:r>
      <w:r w:rsidR="003A2A52" w:rsidRPr="004B2B30">
        <w:rPr>
          <w:rFonts w:ascii="Arial" w:hAnsi="Arial" w:cs="Arial"/>
          <w:sz w:val="24"/>
          <w:szCs w:val="24"/>
          <w:lang w:val="en-US"/>
        </w:rPr>
        <w:t xml:space="preserve"> to the assets held by the trust</w:t>
      </w:r>
      <w:r w:rsidR="00D86F8D" w:rsidRPr="004B2B30">
        <w:rPr>
          <w:rFonts w:ascii="Arial" w:hAnsi="Arial" w:cs="Arial"/>
          <w:sz w:val="24"/>
          <w:szCs w:val="24"/>
          <w:lang w:val="en-US"/>
        </w:rPr>
        <w:t>.</w:t>
      </w:r>
      <w:r w:rsidR="00A930C6" w:rsidRPr="004B2B30">
        <w:rPr>
          <w:rFonts w:ascii="Arial" w:hAnsi="Arial" w:cs="Arial"/>
          <w:sz w:val="24"/>
          <w:szCs w:val="24"/>
          <w:lang w:val="en-US"/>
        </w:rPr>
        <w:t xml:space="preserve"> I agree with the adjudicator’s conclusion that </w:t>
      </w:r>
      <w:r w:rsidR="00A76C56" w:rsidRPr="004B2B30">
        <w:rPr>
          <w:rFonts w:ascii="Arial" w:hAnsi="Arial" w:cs="Arial"/>
          <w:sz w:val="24"/>
          <w:szCs w:val="24"/>
          <w:lang w:val="en-US"/>
        </w:rPr>
        <w:t>the board’s decision regarding the distribution of the death benefit is both reasonable and equ</w:t>
      </w:r>
      <w:r w:rsidR="0024037C" w:rsidRPr="004B2B30">
        <w:rPr>
          <w:rFonts w:ascii="Arial" w:hAnsi="Arial" w:cs="Arial"/>
          <w:sz w:val="24"/>
          <w:szCs w:val="24"/>
          <w:lang w:val="en-US"/>
        </w:rPr>
        <w:t>itable.</w:t>
      </w:r>
    </w:p>
    <w:p w14:paraId="3D8F3679" w14:textId="77777777" w:rsidR="00151844" w:rsidRPr="00151844" w:rsidRDefault="00151844" w:rsidP="00151844">
      <w:pPr>
        <w:pStyle w:val="ListParagraph"/>
        <w:rPr>
          <w:rFonts w:ascii="Arial" w:hAnsi="Arial" w:cs="Arial"/>
          <w:sz w:val="24"/>
          <w:szCs w:val="24"/>
          <w:lang w:val="en-US"/>
        </w:rPr>
      </w:pPr>
    </w:p>
    <w:p w14:paraId="36E243D4" w14:textId="2FD21945" w:rsidR="005735BD"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24037C" w:rsidRPr="004B2B30">
        <w:rPr>
          <w:rFonts w:ascii="Arial" w:hAnsi="Arial" w:cs="Arial"/>
          <w:sz w:val="24"/>
          <w:szCs w:val="24"/>
          <w:lang w:val="en-US"/>
        </w:rPr>
        <w:t xml:space="preserve">The </w:t>
      </w:r>
      <w:r w:rsidR="009109B7" w:rsidRPr="004B2B30">
        <w:rPr>
          <w:rFonts w:ascii="Arial" w:hAnsi="Arial" w:cs="Arial"/>
          <w:sz w:val="24"/>
          <w:szCs w:val="24"/>
          <w:lang w:val="en-US"/>
        </w:rPr>
        <w:t xml:space="preserve">adjudicator is in full agreement with the board’s decision to allocate the full amount </w:t>
      </w:r>
      <w:r w:rsidR="00323485" w:rsidRPr="004B2B30">
        <w:rPr>
          <w:rFonts w:ascii="Arial" w:hAnsi="Arial" w:cs="Arial"/>
          <w:sz w:val="24"/>
          <w:szCs w:val="24"/>
          <w:lang w:val="en-US"/>
        </w:rPr>
        <w:t xml:space="preserve">of the death benefit to Auret, based on the same reasons. </w:t>
      </w:r>
      <w:r w:rsidR="00EB294F" w:rsidRPr="004B2B30">
        <w:rPr>
          <w:rFonts w:ascii="Arial" w:hAnsi="Arial" w:cs="Arial"/>
          <w:sz w:val="24"/>
          <w:szCs w:val="24"/>
          <w:lang w:val="en-US"/>
        </w:rPr>
        <w:t xml:space="preserve">I </w:t>
      </w:r>
      <w:r w:rsidR="00A35D49" w:rsidRPr="004B2B30">
        <w:rPr>
          <w:rFonts w:ascii="Arial" w:hAnsi="Arial" w:cs="Arial"/>
          <w:sz w:val="24"/>
          <w:szCs w:val="24"/>
          <w:lang w:val="en-US"/>
        </w:rPr>
        <w:t xml:space="preserve">am mindful that with the discretion </w:t>
      </w:r>
      <w:r w:rsidR="00FA19CE" w:rsidRPr="004B2B30">
        <w:rPr>
          <w:rFonts w:ascii="Arial" w:hAnsi="Arial" w:cs="Arial"/>
          <w:sz w:val="24"/>
          <w:szCs w:val="24"/>
          <w:lang w:val="en-US"/>
        </w:rPr>
        <w:t xml:space="preserve">conferred on the board in section 37C of the Act, the board’s decision cannot be </w:t>
      </w:r>
      <w:r w:rsidR="00935640" w:rsidRPr="004B2B30">
        <w:rPr>
          <w:rFonts w:ascii="Arial" w:hAnsi="Arial" w:cs="Arial"/>
          <w:sz w:val="24"/>
          <w:szCs w:val="24"/>
          <w:lang w:val="en-US"/>
        </w:rPr>
        <w:t>interfer</w:t>
      </w:r>
      <w:r w:rsidR="000C377B" w:rsidRPr="004B2B30">
        <w:rPr>
          <w:rFonts w:ascii="Arial" w:hAnsi="Arial" w:cs="Arial"/>
          <w:sz w:val="24"/>
          <w:szCs w:val="24"/>
          <w:lang w:val="en-US"/>
        </w:rPr>
        <w:t>e</w:t>
      </w:r>
      <w:r w:rsidR="00DC2A57" w:rsidRPr="004B2B30">
        <w:rPr>
          <w:rFonts w:ascii="Arial" w:hAnsi="Arial" w:cs="Arial"/>
          <w:sz w:val="24"/>
          <w:szCs w:val="24"/>
          <w:lang w:val="en-US"/>
        </w:rPr>
        <w:t>d</w:t>
      </w:r>
      <w:r w:rsidR="000C377B" w:rsidRPr="004B2B30">
        <w:rPr>
          <w:rFonts w:ascii="Arial" w:hAnsi="Arial" w:cs="Arial"/>
          <w:sz w:val="24"/>
          <w:szCs w:val="24"/>
          <w:lang w:val="en-US"/>
        </w:rPr>
        <w:t xml:space="preserve"> with without more</w:t>
      </w:r>
      <w:r w:rsidR="00B53CFB" w:rsidRPr="004B2B30">
        <w:rPr>
          <w:rFonts w:ascii="Arial" w:hAnsi="Arial" w:cs="Arial"/>
          <w:sz w:val="24"/>
          <w:szCs w:val="24"/>
          <w:lang w:val="en-US"/>
        </w:rPr>
        <w:t>.</w:t>
      </w:r>
      <w:r w:rsidR="00A23068">
        <w:rPr>
          <w:rStyle w:val="FootnoteReference"/>
          <w:rFonts w:ascii="Arial" w:hAnsi="Arial" w:cs="Arial"/>
          <w:sz w:val="24"/>
          <w:szCs w:val="24"/>
          <w:lang w:val="en-US"/>
        </w:rPr>
        <w:footnoteReference w:id="9"/>
      </w:r>
      <w:r w:rsidR="00B53CFB" w:rsidRPr="004B2B30">
        <w:rPr>
          <w:rFonts w:ascii="Arial" w:hAnsi="Arial" w:cs="Arial"/>
          <w:sz w:val="24"/>
          <w:szCs w:val="24"/>
          <w:lang w:val="en-US"/>
        </w:rPr>
        <w:t xml:space="preserve"> The adjudicator, or the court</w:t>
      </w:r>
      <w:r w:rsidR="003F25A8" w:rsidRPr="004B2B30">
        <w:rPr>
          <w:rFonts w:ascii="Arial" w:hAnsi="Arial" w:cs="Arial"/>
          <w:sz w:val="24"/>
          <w:szCs w:val="24"/>
          <w:lang w:val="en-US"/>
        </w:rPr>
        <w:t>,</w:t>
      </w:r>
      <w:r w:rsidR="00B53CFB" w:rsidRPr="004B2B30">
        <w:rPr>
          <w:rFonts w:ascii="Arial" w:hAnsi="Arial" w:cs="Arial"/>
          <w:sz w:val="24"/>
          <w:szCs w:val="24"/>
          <w:lang w:val="en-US"/>
        </w:rPr>
        <w:t xml:space="preserve"> can </w:t>
      </w:r>
      <w:r w:rsidR="006811C0" w:rsidRPr="004B2B30">
        <w:rPr>
          <w:rFonts w:ascii="Arial" w:hAnsi="Arial" w:cs="Arial"/>
          <w:sz w:val="24"/>
          <w:szCs w:val="24"/>
          <w:lang w:val="en-US"/>
        </w:rPr>
        <w:t xml:space="preserve">interfere in circumstances where it is demonstrated that the board took into account </w:t>
      </w:r>
      <w:r w:rsidR="0023686B" w:rsidRPr="004B2B30">
        <w:rPr>
          <w:rFonts w:ascii="Arial" w:hAnsi="Arial" w:cs="Arial"/>
          <w:sz w:val="24"/>
          <w:szCs w:val="24"/>
          <w:lang w:val="en-US"/>
        </w:rPr>
        <w:t>irrelevant, improper or irrational factor</w:t>
      </w:r>
      <w:r w:rsidR="00B166D9" w:rsidRPr="004B2B30">
        <w:rPr>
          <w:rFonts w:ascii="Arial" w:hAnsi="Arial" w:cs="Arial"/>
          <w:sz w:val="24"/>
          <w:szCs w:val="24"/>
          <w:lang w:val="en-US"/>
        </w:rPr>
        <w:t>s, or where its decision can be said</w:t>
      </w:r>
      <w:r w:rsidR="00F12950" w:rsidRPr="004B2B30">
        <w:rPr>
          <w:rFonts w:ascii="Arial" w:hAnsi="Arial" w:cs="Arial"/>
          <w:sz w:val="24"/>
          <w:szCs w:val="24"/>
          <w:lang w:val="en-US"/>
        </w:rPr>
        <w:t xml:space="preserve"> to be one that no reasonable body of trustees </w:t>
      </w:r>
      <w:r w:rsidR="009660B9" w:rsidRPr="004B2B30">
        <w:rPr>
          <w:rFonts w:ascii="Arial" w:hAnsi="Arial" w:cs="Arial"/>
          <w:sz w:val="24"/>
          <w:szCs w:val="24"/>
          <w:lang w:val="en-US"/>
        </w:rPr>
        <w:t>properly directing themselves could have reached.</w:t>
      </w:r>
      <w:r w:rsidR="002637F3">
        <w:rPr>
          <w:rStyle w:val="FootnoteReference"/>
          <w:rFonts w:ascii="Arial" w:hAnsi="Arial" w:cs="Arial"/>
          <w:sz w:val="24"/>
          <w:szCs w:val="24"/>
          <w:lang w:val="en-US"/>
        </w:rPr>
        <w:footnoteReference w:id="10"/>
      </w:r>
      <w:r w:rsidR="00C105AF" w:rsidRPr="004B2B30">
        <w:rPr>
          <w:rFonts w:ascii="Arial" w:hAnsi="Arial" w:cs="Arial"/>
          <w:sz w:val="24"/>
          <w:szCs w:val="24"/>
          <w:lang w:val="en-US"/>
        </w:rPr>
        <w:t xml:space="preserve"> </w:t>
      </w:r>
      <w:r w:rsidR="0057307E" w:rsidRPr="004B2B30">
        <w:rPr>
          <w:rFonts w:ascii="Arial" w:hAnsi="Arial" w:cs="Arial"/>
          <w:sz w:val="24"/>
          <w:szCs w:val="24"/>
          <w:lang w:val="en-US"/>
        </w:rPr>
        <w:t>This is not such a case and the adjudicator’s deci</w:t>
      </w:r>
      <w:r w:rsidR="00E7475F" w:rsidRPr="004B2B30">
        <w:rPr>
          <w:rFonts w:ascii="Arial" w:hAnsi="Arial" w:cs="Arial"/>
          <w:sz w:val="24"/>
          <w:szCs w:val="24"/>
          <w:lang w:val="en-US"/>
        </w:rPr>
        <w:t>si</w:t>
      </w:r>
      <w:r w:rsidR="0057307E" w:rsidRPr="004B2B30">
        <w:rPr>
          <w:rFonts w:ascii="Arial" w:hAnsi="Arial" w:cs="Arial"/>
          <w:sz w:val="24"/>
          <w:szCs w:val="24"/>
          <w:lang w:val="en-US"/>
        </w:rPr>
        <w:t xml:space="preserve">on </w:t>
      </w:r>
      <w:r w:rsidR="00E7475F" w:rsidRPr="004B2B30">
        <w:rPr>
          <w:rFonts w:ascii="Arial" w:hAnsi="Arial" w:cs="Arial"/>
          <w:sz w:val="24"/>
          <w:szCs w:val="24"/>
          <w:lang w:val="en-US"/>
        </w:rPr>
        <w:t>therefore</w:t>
      </w:r>
      <w:r w:rsidR="00C105AF" w:rsidRPr="004B2B30">
        <w:rPr>
          <w:rFonts w:ascii="Arial" w:hAnsi="Arial" w:cs="Arial"/>
          <w:sz w:val="24"/>
          <w:szCs w:val="24"/>
          <w:lang w:val="en-US"/>
        </w:rPr>
        <w:t xml:space="preserve"> cannot be faulted, in my view. </w:t>
      </w:r>
      <w:r w:rsidR="00B21251" w:rsidRPr="004B2B30">
        <w:rPr>
          <w:rFonts w:ascii="Arial" w:hAnsi="Arial" w:cs="Arial"/>
          <w:sz w:val="24"/>
          <w:szCs w:val="24"/>
          <w:lang w:val="en-US"/>
        </w:rPr>
        <w:t xml:space="preserve">The applicants did not make out a case for the setting aside of the adjudicator’s </w:t>
      </w:r>
      <w:r w:rsidR="00151844" w:rsidRPr="004B2B30">
        <w:rPr>
          <w:rFonts w:ascii="Arial" w:hAnsi="Arial" w:cs="Arial"/>
          <w:sz w:val="24"/>
          <w:szCs w:val="24"/>
          <w:lang w:val="en-US"/>
        </w:rPr>
        <w:t>decision,</w:t>
      </w:r>
      <w:r w:rsidR="00B21251" w:rsidRPr="004B2B30">
        <w:rPr>
          <w:rFonts w:ascii="Arial" w:hAnsi="Arial" w:cs="Arial"/>
          <w:sz w:val="24"/>
          <w:szCs w:val="24"/>
          <w:lang w:val="en-US"/>
        </w:rPr>
        <w:t xml:space="preserve"> and the application falls </w:t>
      </w:r>
      <w:r w:rsidR="00D21B62" w:rsidRPr="004B2B30">
        <w:rPr>
          <w:rFonts w:ascii="Arial" w:hAnsi="Arial" w:cs="Arial"/>
          <w:sz w:val="24"/>
          <w:szCs w:val="24"/>
          <w:lang w:val="en-US"/>
        </w:rPr>
        <w:t>to be dismissed.</w:t>
      </w:r>
    </w:p>
    <w:p w14:paraId="4FD0E441" w14:textId="77777777" w:rsidR="00EB6CD8" w:rsidRPr="00EB6CD8" w:rsidRDefault="00EB6CD8" w:rsidP="00EB6CD8">
      <w:pPr>
        <w:pStyle w:val="ListParagraph"/>
        <w:rPr>
          <w:rFonts w:ascii="Arial" w:hAnsi="Arial" w:cs="Arial"/>
          <w:sz w:val="24"/>
          <w:szCs w:val="24"/>
          <w:lang w:val="en-US"/>
        </w:rPr>
      </w:pPr>
    </w:p>
    <w:p w14:paraId="2C6889FE" w14:textId="6CC8CA97" w:rsidR="00EB6CD8" w:rsidRDefault="00EB6CD8" w:rsidP="00EB6CD8">
      <w:pPr>
        <w:spacing w:line="480" w:lineRule="auto"/>
        <w:jc w:val="both"/>
        <w:rPr>
          <w:rFonts w:ascii="Arial" w:hAnsi="Arial" w:cs="Arial"/>
          <w:sz w:val="24"/>
          <w:szCs w:val="24"/>
          <w:lang w:val="en-US"/>
        </w:rPr>
      </w:pPr>
    </w:p>
    <w:p w14:paraId="6E10FD96" w14:textId="77777777" w:rsidR="00EB6CD8" w:rsidRPr="00EB6CD8" w:rsidRDefault="00EB6CD8" w:rsidP="00EB6CD8">
      <w:pPr>
        <w:spacing w:line="480" w:lineRule="auto"/>
        <w:jc w:val="both"/>
        <w:rPr>
          <w:rFonts w:ascii="Arial" w:hAnsi="Arial" w:cs="Arial"/>
          <w:sz w:val="24"/>
          <w:szCs w:val="24"/>
          <w:lang w:val="en-US"/>
        </w:rPr>
      </w:pPr>
    </w:p>
    <w:p w14:paraId="7D8984C0" w14:textId="77777777" w:rsidR="00151844" w:rsidRPr="00151844" w:rsidRDefault="00151844" w:rsidP="00151844">
      <w:pPr>
        <w:pStyle w:val="ListParagraph"/>
        <w:rPr>
          <w:rFonts w:ascii="Arial" w:hAnsi="Arial" w:cs="Arial"/>
          <w:sz w:val="24"/>
          <w:szCs w:val="24"/>
          <w:lang w:val="en-US"/>
        </w:rPr>
      </w:pPr>
    </w:p>
    <w:p w14:paraId="2C18100E" w14:textId="4F8C38B6" w:rsidR="00C76DAF" w:rsidRPr="004B2B30" w:rsidRDefault="004B2B30" w:rsidP="004B2B30">
      <w:pPr>
        <w:spacing w:line="480" w:lineRule="auto"/>
        <w:ind w:firstLine="142"/>
        <w:jc w:val="both"/>
        <w:rPr>
          <w:rFonts w:ascii="Arial" w:hAnsi="Arial" w:cs="Arial"/>
          <w:sz w:val="24"/>
          <w:szCs w:val="24"/>
          <w:lang w:val="en-US"/>
        </w:rPr>
      </w:pPr>
      <w:r w:rsidRPr="003A2A52">
        <w:rPr>
          <w:rFonts w:ascii="Arial" w:hAnsi="Arial" w:cs="Arial"/>
          <w:sz w:val="24"/>
          <w:szCs w:val="24"/>
          <w:lang w:val="en-US"/>
        </w:rPr>
        <w:t>[40]</w:t>
      </w:r>
      <w:r w:rsidRPr="003A2A52">
        <w:rPr>
          <w:rFonts w:ascii="Arial" w:hAnsi="Arial" w:cs="Arial"/>
          <w:sz w:val="24"/>
          <w:szCs w:val="24"/>
          <w:lang w:val="en-US"/>
        </w:rPr>
        <w:tab/>
      </w:r>
      <w:r w:rsidR="00D21B62" w:rsidRPr="004B2B30">
        <w:rPr>
          <w:rFonts w:ascii="Arial" w:hAnsi="Arial" w:cs="Arial"/>
          <w:sz w:val="24"/>
          <w:szCs w:val="24"/>
          <w:lang w:val="en-US"/>
        </w:rPr>
        <w:t>As for costs, there is no reason why costs should not follow the outcome</w:t>
      </w:r>
      <w:r w:rsidR="003F11C1" w:rsidRPr="004B2B30">
        <w:rPr>
          <w:rFonts w:ascii="Arial" w:hAnsi="Arial" w:cs="Arial"/>
          <w:sz w:val="24"/>
          <w:szCs w:val="24"/>
          <w:lang w:val="en-US"/>
        </w:rPr>
        <w:t>.</w:t>
      </w:r>
    </w:p>
    <w:p w14:paraId="5114C59D" w14:textId="2F01E741" w:rsidR="00C76DAF" w:rsidRDefault="00C76DAF" w:rsidP="00151844">
      <w:pPr>
        <w:pStyle w:val="ListParagraph"/>
        <w:rPr>
          <w:rFonts w:ascii="Arial" w:hAnsi="Arial" w:cs="Arial"/>
          <w:sz w:val="24"/>
          <w:szCs w:val="24"/>
          <w:lang w:val="en-US"/>
        </w:rPr>
      </w:pPr>
    </w:p>
    <w:p w14:paraId="77116F6B" w14:textId="77777777" w:rsidR="00C76DAF" w:rsidRPr="00151844" w:rsidRDefault="00C76DAF" w:rsidP="00151844">
      <w:pPr>
        <w:pStyle w:val="ListParagraph"/>
        <w:rPr>
          <w:rFonts w:ascii="Arial" w:hAnsi="Arial" w:cs="Arial"/>
          <w:sz w:val="24"/>
          <w:szCs w:val="24"/>
          <w:lang w:val="en-US"/>
        </w:rPr>
      </w:pPr>
    </w:p>
    <w:p w14:paraId="57319104" w14:textId="71DA42BF" w:rsidR="005735BD" w:rsidRPr="004B2B30" w:rsidRDefault="004B2B30" w:rsidP="004B2B30">
      <w:pPr>
        <w:spacing w:line="480" w:lineRule="auto"/>
        <w:ind w:firstLine="142"/>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3F11C1" w:rsidRPr="004B2B30">
        <w:rPr>
          <w:rFonts w:ascii="Arial" w:hAnsi="Arial" w:cs="Arial"/>
          <w:sz w:val="24"/>
          <w:szCs w:val="24"/>
          <w:lang w:val="en-US"/>
        </w:rPr>
        <w:t>In the result, I order that the application is dismissed with costs.</w:t>
      </w:r>
    </w:p>
    <w:p w14:paraId="0FE6EADB" w14:textId="540C044F" w:rsidR="00151844" w:rsidRDefault="00151844" w:rsidP="00151844">
      <w:pPr>
        <w:pStyle w:val="ListParagraph"/>
        <w:rPr>
          <w:rFonts w:ascii="Arial" w:hAnsi="Arial" w:cs="Arial"/>
          <w:sz w:val="24"/>
          <w:szCs w:val="24"/>
          <w:lang w:val="en-US"/>
        </w:rPr>
      </w:pPr>
    </w:p>
    <w:p w14:paraId="6C0E2A3B" w14:textId="6FDAA20E" w:rsidR="00151844" w:rsidRDefault="00151844" w:rsidP="00151844">
      <w:pPr>
        <w:pStyle w:val="ListParagraph"/>
        <w:rPr>
          <w:rFonts w:ascii="Arial" w:hAnsi="Arial" w:cs="Arial"/>
          <w:sz w:val="24"/>
          <w:szCs w:val="24"/>
          <w:lang w:val="en-US"/>
        </w:rPr>
      </w:pPr>
    </w:p>
    <w:p w14:paraId="3187E0EF" w14:textId="72D2A8A4" w:rsidR="00151844" w:rsidRDefault="00151844" w:rsidP="00151844">
      <w:pPr>
        <w:pStyle w:val="ListParagraph"/>
        <w:rPr>
          <w:rFonts w:ascii="Arial" w:hAnsi="Arial" w:cs="Arial"/>
          <w:sz w:val="24"/>
          <w:szCs w:val="24"/>
          <w:lang w:val="en-US"/>
        </w:rPr>
      </w:pPr>
    </w:p>
    <w:p w14:paraId="169C8AC6" w14:textId="5187FDB4" w:rsidR="00151844" w:rsidRDefault="00151844" w:rsidP="00151844">
      <w:pPr>
        <w:pStyle w:val="ListParagraph"/>
        <w:rPr>
          <w:rFonts w:ascii="Arial" w:hAnsi="Arial" w:cs="Arial"/>
          <w:sz w:val="24"/>
          <w:szCs w:val="24"/>
          <w:lang w:val="en-US"/>
        </w:rPr>
      </w:pPr>
    </w:p>
    <w:p w14:paraId="691CD5DA" w14:textId="4AECD210" w:rsidR="00151844" w:rsidRDefault="00151844" w:rsidP="00151844">
      <w:pPr>
        <w:pStyle w:val="ListParagraph"/>
        <w:rPr>
          <w:rFonts w:ascii="Arial" w:hAnsi="Arial" w:cs="Arial"/>
          <w:sz w:val="24"/>
          <w:szCs w:val="24"/>
          <w:lang w:val="en-US"/>
        </w:rPr>
      </w:pPr>
    </w:p>
    <w:p w14:paraId="7A43812E" w14:textId="77777777" w:rsidR="00151844" w:rsidRPr="00151844" w:rsidRDefault="00151844" w:rsidP="00151844">
      <w:pPr>
        <w:pStyle w:val="ListParagraph"/>
        <w:rPr>
          <w:rFonts w:ascii="Arial" w:hAnsi="Arial" w:cs="Arial"/>
          <w:sz w:val="24"/>
          <w:szCs w:val="24"/>
          <w:lang w:val="en-US"/>
        </w:rPr>
      </w:pPr>
    </w:p>
    <w:p w14:paraId="2D0170A2" w14:textId="0B12E570" w:rsidR="00151844" w:rsidRDefault="00151844" w:rsidP="00151844">
      <w:pPr>
        <w:pStyle w:val="ListParagraph"/>
        <w:pBdr>
          <w:bottom w:val="single" w:sz="12" w:space="1" w:color="auto"/>
        </w:pBdr>
        <w:spacing w:line="480" w:lineRule="auto"/>
        <w:ind w:left="3600"/>
        <w:jc w:val="both"/>
        <w:rPr>
          <w:rFonts w:ascii="Arial" w:hAnsi="Arial" w:cs="Arial"/>
          <w:sz w:val="24"/>
          <w:szCs w:val="24"/>
          <w:lang w:val="en-US"/>
        </w:rPr>
      </w:pPr>
    </w:p>
    <w:p w14:paraId="048B4055" w14:textId="77777777" w:rsidR="00151844" w:rsidRDefault="00151844" w:rsidP="00151844">
      <w:pPr>
        <w:spacing w:line="240" w:lineRule="auto"/>
        <w:ind w:left="2160" w:firstLine="720"/>
        <w:jc w:val="both"/>
        <w:rPr>
          <w:rFonts w:ascii="Arial" w:hAnsi="Arial" w:cs="Arial"/>
          <w:sz w:val="24"/>
          <w:szCs w:val="24"/>
          <w:lang w:val="en-US"/>
        </w:rPr>
      </w:pPr>
      <w:r>
        <w:rPr>
          <w:rFonts w:ascii="Arial" w:hAnsi="Arial" w:cs="Arial"/>
          <w:sz w:val="24"/>
          <w:szCs w:val="24"/>
          <w:lang w:val="en-US"/>
        </w:rPr>
        <w:t xml:space="preserve">           </w:t>
      </w:r>
      <w:r w:rsidRPr="00151844">
        <w:rPr>
          <w:rFonts w:ascii="Arial" w:hAnsi="Arial" w:cs="Arial"/>
          <w:sz w:val="24"/>
          <w:szCs w:val="24"/>
          <w:lang w:val="en-US"/>
        </w:rPr>
        <w:t>S HOCKEY</w:t>
      </w:r>
    </w:p>
    <w:p w14:paraId="60A546BC" w14:textId="20F52952" w:rsidR="00151844" w:rsidRDefault="00151844" w:rsidP="00151844">
      <w:pPr>
        <w:spacing w:line="240" w:lineRule="auto"/>
        <w:ind w:left="2880" w:firstLine="720"/>
        <w:jc w:val="both"/>
        <w:rPr>
          <w:rFonts w:ascii="Arial" w:hAnsi="Arial" w:cs="Arial"/>
          <w:sz w:val="24"/>
          <w:szCs w:val="24"/>
          <w:lang w:val="en-US"/>
        </w:rPr>
      </w:pPr>
      <w:r w:rsidRPr="00151844">
        <w:rPr>
          <w:rFonts w:ascii="Arial" w:hAnsi="Arial" w:cs="Arial"/>
          <w:sz w:val="24"/>
          <w:szCs w:val="24"/>
          <w:lang w:val="en-US"/>
        </w:rPr>
        <w:t>ACTING JUDGE OF THE HIGH COURT</w:t>
      </w:r>
    </w:p>
    <w:p w14:paraId="218AC979" w14:textId="59A1A214" w:rsidR="00F77A4C" w:rsidRDefault="00F77A4C" w:rsidP="00F77A4C">
      <w:pPr>
        <w:spacing w:line="240" w:lineRule="auto"/>
        <w:jc w:val="both"/>
        <w:rPr>
          <w:rFonts w:ascii="Arial" w:hAnsi="Arial" w:cs="Arial"/>
          <w:sz w:val="24"/>
          <w:szCs w:val="24"/>
          <w:lang w:val="en-US"/>
        </w:rPr>
      </w:pPr>
    </w:p>
    <w:p w14:paraId="25C33B82" w14:textId="77777777" w:rsidR="00F77A4C" w:rsidRPr="00F77A4C" w:rsidRDefault="00F77A4C" w:rsidP="00F77A4C">
      <w:pPr>
        <w:spacing w:line="360" w:lineRule="auto"/>
        <w:jc w:val="both"/>
        <w:rPr>
          <w:rFonts w:ascii="Arial" w:hAnsi="Arial" w:cs="Arial"/>
          <w:sz w:val="28"/>
          <w:szCs w:val="28"/>
          <w:lang w:val="en-US"/>
        </w:rPr>
      </w:pPr>
      <w:r w:rsidRPr="00F77A4C">
        <w:rPr>
          <w:rFonts w:ascii="Arial" w:hAnsi="Arial" w:cs="Arial"/>
          <w:sz w:val="28"/>
          <w:szCs w:val="28"/>
          <w:u w:val="single"/>
          <w:lang w:val="en-US"/>
        </w:rPr>
        <w:t>Appearances</w:t>
      </w:r>
      <w:r w:rsidRPr="00F77A4C">
        <w:rPr>
          <w:rFonts w:ascii="Arial" w:hAnsi="Arial" w:cs="Arial"/>
          <w:sz w:val="28"/>
          <w:szCs w:val="28"/>
          <w:lang w:val="en-US"/>
        </w:rPr>
        <w:t>:</w:t>
      </w:r>
    </w:p>
    <w:p w14:paraId="4DCEA665" w14:textId="229BB0D4" w:rsidR="00F77A4C" w:rsidRPr="00F77A4C" w:rsidRDefault="00F77A4C" w:rsidP="00F77A4C">
      <w:pPr>
        <w:spacing w:line="240" w:lineRule="auto"/>
        <w:jc w:val="both"/>
        <w:rPr>
          <w:rFonts w:ascii="Arial" w:hAnsi="Arial" w:cs="Arial"/>
          <w:sz w:val="28"/>
          <w:szCs w:val="28"/>
          <w:lang w:val="en-US"/>
        </w:rPr>
      </w:pPr>
      <w:r>
        <w:rPr>
          <w:rFonts w:ascii="Arial" w:hAnsi="Arial" w:cs="Arial"/>
          <w:sz w:val="28"/>
          <w:szCs w:val="28"/>
          <w:lang w:val="en-US"/>
        </w:rPr>
        <w:t>For the applicant:</w:t>
      </w:r>
      <w:r>
        <w:rPr>
          <w:rFonts w:ascii="Arial" w:hAnsi="Arial" w:cs="Arial"/>
          <w:sz w:val="28"/>
          <w:szCs w:val="28"/>
          <w:lang w:val="en-US"/>
        </w:rPr>
        <w:tab/>
      </w:r>
      <w:r w:rsidRPr="00F77A4C">
        <w:rPr>
          <w:rFonts w:ascii="Arial" w:hAnsi="Arial" w:cs="Arial"/>
          <w:sz w:val="28"/>
          <w:szCs w:val="28"/>
          <w:lang w:val="en-US"/>
        </w:rPr>
        <w:t xml:space="preserve">Adv </w:t>
      </w:r>
      <w:r>
        <w:rPr>
          <w:rFonts w:ascii="Arial" w:hAnsi="Arial" w:cs="Arial"/>
          <w:sz w:val="28"/>
          <w:szCs w:val="28"/>
          <w:lang w:val="en-US"/>
        </w:rPr>
        <w:t>LJ Smit</w:t>
      </w:r>
    </w:p>
    <w:p w14:paraId="0BD24510" w14:textId="3514C956" w:rsidR="00F77A4C" w:rsidRPr="00F77A4C" w:rsidRDefault="00F77A4C" w:rsidP="00F77A4C">
      <w:pPr>
        <w:spacing w:line="360" w:lineRule="auto"/>
        <w:jc w:val="both"/>
        <w:rPr>
          <w:rFonts w:ascii="Arial" w:hAnsi="Arial" w:cs="Arial"/>
          <w:sz w:val="28"/>
          <w:szCs w:val="28"/>
          <w:lang w:val="en-US"/>
        </w:rPr>
      </w:pPr>
      <w:r w:rsidRPr="00F77A4C">
        <w:rPr>
          <w:rFonts w:ascii="Arial" w:hAnsi="Arial" w:cs="Arial"/>
          <w:sz w:val="28"/>
          <w:szCs w:val="28"/>
          <w:lang w:val="en-US"/>
        </w:rPr>
        <w:t xml:space="preserve">Instructed by </w:t>
      </w:r>
      <w:r w:rsidRPr="00F77A4C">
        <w:rPr>
          <w:rFonts w:ascii="Arial" w:hAnsi="Arial" w:cs="Arial"/>
          <w:sz w:val="28"/>
          <w:szCs w:val="28"/>
          <w:lang w:val="en-US"/>
        </w:rPr>
        <w:tab/>
      </w:r>
      <w:r w:rsidRPr="00F77A4C">
        <w:rPr>
          <w:rFonts w:ascii="Arial" w:hAnsi="Arial" w:cs="Arial"/>
          <w:sz w:val="28"/>
          <w:szCs w:val="28"/>
          <w:lang w:val="en-US"/>
        </w:rPr>
        <w:tab/>
      </w:r>
      <w:r>
        <w:rPr>
          <w:rFonts w:ascii="Arial" w:hAnsi="Arial" w:cs="Arial"/>
          <w:sz w:val="28"/>
          <w:szCs w:val="28"/>
          <w:lang w:val="en-US"/>
        </w:rPr>
        <w:t>De Vries De Wet &amp; Krouwkam Attorneys</w:t>
      </w:r>
    </w:p>
    <w:p w14:paraId="1CB03E85" w14:textId="76F0A792" w:rsidR="00F77A4C" w:rsidRPr="00F77A4C" w:rsidRDefault="00F77A4C" w:rsidP="00F77A4C">
      <w:pPr>
        <w:spacing w:line="360" w:lineRule="auto"/>
        <w:jc w:val="both"/>
        <w:rPr>
          <w:rFonts w:ascii="Arial" w:hAnsi="Arial" w:cs="Arial"/>
          <w:sz w:val="28"/>
          <w:szCs w:val="28"/>
          <w:lang w:val="en-US"/>
        </w:rPr>
      </w:pPr>
      <w:r w:rsidRPr="00F77A4C">
        <w:rPr>
          <w:rFonts w:ascii="Arial" w:hAnsi="Arial" w:cs="Arial"/>
          <w:sz w:val="28"/>
          <w:szCs w:val="28"/>
          <w:lang w:val="en-US"/>
        </w:rPr>
        <w:t xml:space="preserve">For the </w:t>
      </w:r>
      <w:r>
        <w:rPr>
          <w:rFonts w:ascii="Arial" w:hAnsi="Arial" w:cs="Arial"/>
          <w:sz w:val="28"/>
          <w:szCs w:val="28"/>
          <w:lang w:val="en-US"/>
        </w:rPr>
        <w:t>Respondents:</w:t>
      </w:r>
      <w:r>
        <w:rPr>
          <w:rFonts w:ascii="Arial" w:hAnsi="Arial" w:cs="Arial"/>
          <w:sz w:val="28"/>
          <w:szCs w:val="28"/>
          <w:lang w:val="en-US"/>
        </w:rPr>
        <w:tab/>
        <w:t>Adv S Khumalo SC</w:t>
      </w:r>
    </w:p>
    <w:p w14:paraId="305B47A3" w14:textId="5DD607F4" w:rsidR="00F77A4C" w:rsidRPr="00F77A4C" w:rsidRDefault="00F77A4C" w:rsidP="00F77A4C">
      <w:pPr>
        <w:spacing w:line="360" w:lineRule="auto"/>
        <w:jc w:val="both"/>
        <w:rPr>
          <w:rFonts w:ascii="Arial" w:hAnsi="Arial" w:cs="Arial"/>
          <w:sz w:val="28"/>
          <w:szCs w:val="28"/>
          <w:lang w:val="en-US"/>
        </w:rPr>
      </w:pPr>
      <w:r w:rsidRPr="00F77A4C">
        <w:rPr>
          <w:rFonts w:ascii="Arial" w:hAnsi="Arial" w:cs="Arial"/>
          <w:sz w:val="28"/>
          <w:szCs w:val="28"/>
          <w:lang w:val="en-US"/>
        </w:rPr>
        <w:t>Instructed by</w:t>
      </w:r>
      <w:r w:rsidRPr="00F77A4C">
        <w:rPr>
          <w:rFonts w:ascii="Arial" w:hAnsi="Arial" w:cs="Arial"/>
          <w:sz w:val="28"/>
          <w:szCs w:val="28"/>
          <w:lang w:val="en-US"/>
        </w:rPr>
        <w:tab/>
      </w:r>
      <w:r w:rsidRPr="00F77A4C">
        <w:rPr>
          <w:rFonts w:ascii="Arial" w:hAnsi="Arial" w:cs="Arial"/>
          <w:sz w:val="28"/>
          <w:szCs w:val="28"/>
          <w:lang w:val="en-US"/>
        </w:rPr>
        <w:tab/>
      </w:r>
      <w:r>
        <w:rPr>
          <w:rFonts w:ascii="Arial" w:hAnsi="Arial" w:cs="Arial"/>
          <w:sz w:val="28"/>
          <w:szCs w:val="28"/>
          <w:lang w:val="en-US"/>
        </w:rPr>
        <w:t>Shepstone &amp; Wylie Attorneys</w:t>
      </w:r>
    </w:p>
    <w:p w14:paraId="28D3C564" w14:textId="77777777" w:rsidR="00F77A4C" w:rsidRPr="00151844" w:rsidRDefault="00F77A4C" w:rsidP="00F77A4C">
      <w:pPr>
        <w:spacing w:line="240" w:lineRule="auto"/>
        <w:jc w:val="both"/>
        <w:rPr>
          <w:rFonts w:ascii="Arial" w:hAnsi="Arial" w:cs="Arial"/>
          <w:sz w:val="24"/>
          <w:szCs w:val="24"/>
          <w:lang w:val="en-US"/>
        </w:rPr>
      </w:pPr>
    </w:p>
    <w:sectPr w:rsidR="00F77A4C" w:rsidRPr="00151844" w:rsidSect="00C76DAF">
      <w:headerReference w:type="default" r:id="rId10"/>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97AE6" w14:textId="77777777" w:rsidR="00A90D17" w:rsidRDefault="00A90D17" w:rsidP="003C4A53">
      <w:pPr>
        <w:spacing w:after="0" w:line="240" w:lineRule="auto"/>
      </w:pPr>
      <w:r>
        <w:separator/>
      </w:r>
    </w:p>
  </w:endnote>
  <w:endnote w:type="continuationSeparator" w:id="0">
    <w:p w14:paraId="7E97D551" w14:textId="77777777" w:rsidR="00A90D17" w:rsidRDefault="00A90D17" w:rsidP="003C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4BE3" w14:textId="77777777" w:rsidR="00A90D17" w:rsidRDefault="00A90D17" w:rsidP="003C4A53">
      <w:pPr>
        <w:spacing w:after="0" w:line="240" w:lineRule="auto"/>
      </w:pPr>
      <w:r>
        <w:separator/>
      </w:r>
    </w:p>
  </w:footnote>
  <w:footnote w:type="continuationSeparator" w:id="0">
    <w:p w14:paraId="630322DC" w14:textId="77777777" w:rsidR="00A90D17" w:rsidRDefault="00A90D17" w:rsidP="003C4A53">
      <w:pPr>
        <w:spacing w:after="0" w:line="240" w:lineRule="auto"/>
      </w:pPr>
      <w:r>
        <w:continuationSeparator/>
      </w:r>
    </w:p>
  </w:footnote>
  <w:footnote w:id="1">
    <w:p w14:paraId="30529191" w14:textId="54C208B4" w:rsidR="00226E87" w:rsidRDefault="00226E87">
      <w:pPr>
        <w:pStyle w:val="FootnoteText"/>
        <w:rPr>
          <w:lang w:val="en-US"/>
        </w:rPr>
      </w:pPr>
      <w:r>
        <w:rPr>
          <w:rStyle w:val="FootnoteReference"/>
        </w:rPr>
        <w:footnoteRef/>
      </w:r>
      <w:r>
        <w:t xml:space="preserve"> </w:t>
      </w:r>
      <w:r>
        <w:rPr>
          <w:lang w:val="en-US"/>
        </w:rPr>
        <w:t xml:space="preserve">The decisions referred to </w:t>
      </w:r>
      <w:r w:rsidR="00447030">
        <w:rPr>
          <w:lang w:val="en-US"/>
        </w:rPr>
        <w:t>was actually that of the board and is dealt with as such. In any event, counsel for the applicants abando</w:t>
      </w:r>
      <w:r w:rsidR="00897E6C">
        <w:rPr>
          <w:lang w:val="en-US"/>
        </w:rPr>
        <w:t>ned the review of these decisions and only persisted with the challenge of the decision by the adju</w:t>
      </w:r>
      <w:r w:rsidR="00042E20">
        <w:rPr>
          <w:lang w:val="en-US"/>
        </w:rPr>
        <w:t>di</w:t>
      </w:r>
      <w:r w:rsidR="00897E6C">
        <w:rPr>
          <w:lang w:val="en-US"/>
        </w:rPr>
        <w:t>cator</w:t>
      </w:r>
      <w:r w:rsidR="00042E20">
        <w:rPr>
          <w:lang w:val="en-US"/>
        </w:rPr>
        <w:t xml:space="preserve">. </w:t>
      </w:r>
    </w:p>
    <w:p w14:paraId="32D4CE90" w14:textId="5D0F2303" w:rsidR="002C1EA2" w:rsidRDefault="002C1EA2">
      <w:pPr>
        <w:pStyle w:val="FootnoteText"/>
        <w:rPr>
          <w:lang w:val="en-US"/>
        </w:rPr>
      </w:pPr>
    </w:p>
    <w:p w14:paraId="28BF1B9C" w14:textId="77777777" w:rsidR="002C1EA2" w:rsidRPr="00226E87" w:rsidRDefault="002C1EA2">
      <w:pPr>
        <w:pStyle w:val="FootnoteText"/>
        <w:rPr>
          <w:lang w:val="en-US"/>
        </w:rPr>
      </w:pPr>
    </w:p>
  </w:footnote>
  <w:footnote w:id="2">
    <w:p w14:paraId="51AD66E2" w14:textId="68FBF2E1" w:rsidR="008E233B" w:rsidRPr="008E233B" w:rsidRDefault="008E233B">
      <w:pPr>
        <w:pStyle w:val="FootnoteText"/>
        <w:rPr>
          <w:lang w:val="en-US"/>
        </w:rPr>
      </w:pPr>
      <w:r>
        <w:rPr>
          <w:rStyle w:val="FootnoteReference"/>
        </w:rPr>
        <w:footnoteRef/>
      </w:r>
      <w:r>
        <w:t xml:space="preserve"> </w:t>
      </w:r>
      <w:r w:rsidR="00D122B4">
        <w:rPr>
          <w:lang w:val="en-US"/>
        </w:rPr>
        <w:t xml:space="preserve">Section 218(d) of the FSR Act </w:t>
      </w:r>
      <w:r w:rsidR="008B136F">
        <w:rPr>
          <w:lang w:val="en-US"/>
        </w:rPr>
        <w:t>refers to “</w:t>
      </w:r>
      <w:r w:rsidR="008B136F" w:rsidRPr="008B136F">
        <w:rPr>
          <w:i/>
          <w:iCs/>
        </w:rPr>
        <w:t>a decision of a statutory ombud in terms of a financial sector law in relation to a specific complaint by a person</w:t>
      </w:r>
      <w:r w:rsidR="008B136F">
        <w:t xml:space="preserve">”, and </w:t>
      </w:r>
      <w:r w:rsidR="000333C6">
        <w:t xml:space="preserve">the Act is included </w:t>
      </w:r>
      <w:r w:rsidR="0081454D">
        <w:t>in Schedule 1 of the FSR Act as “</w:t>
      </w:r>
      <w:r w:rsidR="0081454D" w:rsidRPr="00455331">
        <w:rPr>
          <w:i/>
          <w:iCs/>
        </w:rPr>
        <w:t xml:space="preserve">a financial sector </w:t>
      </w:r>
      <w:r w:rsidR="00455331" w:rsidRPr="00455331">
        <w:rPr>
          <w:i/>
          <w:iCs/>
        </w:rPr>
        <w:t>law</w:t>
      </w:r>
      <w:r w:rsidR="00455331">
        <w:t>”.</w:t>
      </w:r>
    </w:p>
  </w:footnote>
  <w:footnote w:id="3">
    <w:p w14:paraId="55E53738" w14:textId="42104422" w:rsidR="000A7A0D" w:rsidRPr="000A7A0D" w:rsidRDefault="000A7A0D">
      <w:pPr>
        <w:pStyle w:val="FootnoteText"/>
        <w:rPr>
          <w:lang w:val="en-US"/>
        </w:rPr>
      </w:pPr>
      <w:r>
        <w:rPr>
          <w:rStyle w:val="FootnoteReference"/>
        </w:rPr>
        <w:footnoteRef/>
      </w:r>
      <w:r>
        <w:t xml:space="preserve"> </w:t>
      </w:r>
      <w:r>
        <w:rPr>
          <w:lang w:val="en-US"/>
        </w:rPr>
        <w:t xml:space="preserve">See </w:t>
      </w:r>
      <w:r w:rsidR="00276718" w:rsidRPr="003D752A">
        <w:rPr>
          <w:b/>
          <w:bCs/>
          <w:lang w:val="en-US"/>
        </w:rPr>
        <w:t xml:space="preserve">University </w:t>
      </w:r>
      <w:r w:rsidR="00963B27" w:rsidRPr="003D752A">
        <w:rPr>
          <w:b/>
          <w:bCs/>
          <w:lang w:val="en-US"/>
        </w:rPr>
        <w:t xml:space="preserve">of Pretoria Provident Fund v Du </w:t>
      </w:r>
      <w:r w:rsidR="00151844" w:rsidRPr="003D752A">
        <w:rPr>
          <w:b/>
          <w:bCs/>
          <w:lang w:val="en-US"/>
        </w:rPr>
        <w:t>Preez</w:t>
      </w:r>
      <w:r w:rsidR="00963B27" w:rsidRPr="003D752A">
        <w:rPr>
          <w:b/>
          <w:bCs/>
          <w:lang w:val="en-US"/>
        </w:rPr>
        <w:t xml:space="preserve"> </w:t>
      </w:r>
      <w:r w:rsidR="00963B27">
        <w:rPr>
          <w:lang w:val="en-US"/>
        </w:rPr>
        <w:t>2015 JDR 1978 (</w:t>
      </w:r>
      <w:r w:rsidR="006B6A81">
        <w:rPr>
          <w:lang w:val="en-US"/>
        </w:rPr>
        <w:t>GP) at para 12</w:t>
      </w:r>
    </w:p>
  </w:footnote>
  <w:footnote w:id="4">
    <w:p w14:paraId="76A2C414" w14:textId="0D7858CF" w:rsidR="000A52BE" w:rsidRDefault="000A52BE" w:rsidP="000A52BE">
      <w:pPr>
        <w:pStyle w:val="FootnoteText"/>
        <w:rPr>
          <w:lang w:val="en-US"/>
        </w:rPr>
      </w:pPr>
      <w:r>
        <w:rPr>
          <w:rStyle w:val="FootnoteReference"/>
        </w:rPr>
        <w:footnoteRef/>
      </w:r>
      <w:r>
        <w:t xml:space="preserve"> </w:t>
      </w:r>
      <w:r>
        <w:rPr>
          <w:lang w:val="en-US"/>
        </w:rPr>
        <w:t>“</w:t>
      </w:r>
      <w:r w:rsidR="00151844">
        <w:rPr>
          <w:lang w:val="en-US"/>
        </w:rPr>
        <w:t>Dependent</w:t>
      </w:r>
      <w:r>
        <w:rPr>
          <w:lang w:val="en-US"/>
        </w:rPr>
        <w:t>”, in relation to a member is defined in section 1 of the Act as:</w:t>
      </w:r>
    </w:p>
    <w:p w14:paraId="5D49236F" w14:textId="77777777" w:rsidR="000A52BE" w:rsidRDefault="000A52BE" w:rsidP="000A52BE">
      <w:pPr>
        <w:pStyle w:val="FootnoteText"/>
        <w:ind w:left="720"/>
        <w:rPr>
          <w:lang w:val="en-US"/>
        </w:rPr>
      </w:pPr>
    </w:p>
    <w:p w14:paraId="59E13004" w14:textId="77777777" w:rsidR="000A52BE" w:rsidRDefault="000A52BE" w:rsidP="000A52BE">
      <w:pPr>
        <w:pStyle w:val="FootnoteText"/>
        <w:ind w:left="720"/>
      </w:pPr>
      <w:r>
        <w:t xml:space="preserve">(a) a person in respect of whom the member is legally liable for maintenance; </w:t>
      </w:r>
    </w:p>
    <w:p w14:paraId="2EFBE95D" w14:textId="77777777" w:rsidR="000A52BE" w:rsidRDefault="000A52BE" w:rsidP="000A52BE">
      <w:pPr>
        <w:pStyle w:val="FootnoteText"/>
        <w:ind w:left="720"/>
      </w:pPr>
      <w:r>
        <w:t xml:space="preserve">(b) a person in respect of whom the member is not legally liable for maintenance, if such person- </w:t>
      </w:r>
    </w:p>
    <w:p w14:paraId="11345B72" w14:textId="77777777" w:rsidR="000A52BE" w:rsidRDefault="000A52BE" w:rsidP="000A52BE">
      <w:pPr>
        <w:pStyle w:val="FootnoteText"/>
        <w:ind w:left="1440"/>
      </w:pPr>
      <w:r>
        <w:t xml:space="preserve">(i) was, in the opinion of the board, upon the death of the member in fact dependent on the member for maintenance; </w:t>
      </w:r>
    </w:p>
    <w:p w14:paraId="20A4E2E8" w14:textId="77777777" w:rsidR="000A52BE" w:rsidRDefault="000A52BE" w:rsidP="000A52BE">
      <w:pPr>
        <w:pStyle w:val="FootnoteText"/>
        <w:ind w:left="1440"/>
      </w:pPr>
      <w:r>
        <w:t xml:space="preserve">(ii) is the spouse of the member; </w:t>
      </w:r>
    </w:p>
    <w:p w14:paraId="70A1A47D" w14:textId="77777777" w:rsidR="000A52BE" w:rsidRDefault="000A52BE" w:rsidP="000A52BE">
      <w:pPr>
        <w:pStyle w:val="FootnoteText"/>
        <w:ind w:left="1440"/>
      </w:pPr>
      <w:r>
        <w:t xml:space="preserve">(iii) is a child of the member, including a posthumous child, an adopted child and a child born out of wedlock. </w:t>
      </w:r>
    </w:p>
    <w:p w14:paraId="043030D2" w14:textId="77777777" w:rsidR="000A52BE" w:rsidRPr="00C35745" w:rsidRDefault="000A52BE" w:rsidP="000A52BE">
      <w:pPr>
        <w:pStyle w:val="FootnoteText"/>
        <w:ind w:left="720"/>
        <w:rPr>
          <w:lang w:val="en-US"/>
        </w:rPr>
      </w:pPr>
      <w:r>
        <w:t>(c) a person in respect of whom the member would have become legally liable for maintenance, had the member not died;</w:t>
      </w:r>
    </w:p>
  </w:footnote>
  <w:footnote w:id="5">
    <w:p w14:paraId="1E7084C3" w14:textId="1687E190" w:rsidR="00B468E9" w:rsidRPr="00B468E9" w:rsidRDefault="00B468E9">
      <w:pPr>
        <w:pStyle w:val="FootnoteText"/>
        <w:rPr>
          <w:lang w:val="en-US"/>
        </w:rPr>
      </w:pPr>
      <w:r>
        <w:rPr>
          <w:rStyle w:val="FootnoteReference"/>
        </w:rPr>
        <w:footnoteRef/>
      </w:r>
      <w:r>
        <w:t xml:space="preserve"> </w:t>
      </w:r>
      <w:r>
        <w:rPr>
          <w:lang w:val="en-US"/>
        </w:rPr>
        <w:t xml:space="preserve">(96855/16) </w:t>
      </w:r>
      <w:r w:rsidR="00EB185C">
        <w:rPr>
          <w:lang w:val="en-US"/>
        </w:rPr>
        <w:t>[2017] ZAGPPHC 1153 (7 Dec</w:t>
      </w:r>
      <w:r w:rsidR="007256D2">
        <w:rPr>
          <w:lang w:val="en-US"/>
        </w:rPr>
        <w:t>ember 2017)</w:t>
      </w:r>
    </w:p>
  </w:footnote>
  <w:footnote w:id="6">
    <w:p w14:paraId="286F3DC6" w14:textId="77777777" w:rsidR="000A52BE" w:rsidRPr="000D278F" w:rsidRDefault="000A52BE" w:rsidP="000A52BE">
      <w:pPr>
        <w:pStyle w:val="FootnoteText"/>
        <w:rPr>
          <w:lang w:val="en-US"/>
        </w:rPr>
      </w:pPr>
      <w:r>
        <w:rPr>
          <w:rStyle w:val="FootnoteReference"/>
        </w:rPr>
        <w:footnoteRef/>
      </w:r>
      <w:r>
        <w:t xml:space="preserve"> </w:t>
      </w:r>
      <w:r>
        <w:rPr>
          <w:lang w:val="en-US"/>
        </w:rPr>
        <w:t>Ibid at para 7</w:t>
      </w:r>
    </w:p>
  </w:footnote>
  <w:footnote w:id="7">
    <w:p w14:paraId="0C0DE917" w14:textId="77777777" w:rsidR="00A30926" w:rsidRDefault="00EA64A6">
      <w:pPr>
        <w:pStyle w:val="FootnoteText"/>
      </w:pPr>
      <w:r>
        <w:rPr>
          <w:rStyle w:val="FootnoteReference"/>
        </w:rPr>
        <w:footnoteRef/>
      </w:r>
      <w:r>
        <w:t xml:space="preserve"> "</w:t>
      </w:r>
      <w:r w:rsidR="00A30926">
        <w:t>C</w:t>
      </w:r>
      <w:r>
        <w:t xml:space="preserve">omplaint" </w:t>
      </w:r>
      <w:r w:rsidR="00A30926">
        <w:t xml:space="preserve">is defined in section 1 of the Act as </w:t>
      </w:r>
      <w:r>
        <w:t>mean</w:t>
      </w:r>
      <w:r w:rsidR="00A30926">
        <w:t>ing</w:t>
      </w:r>
      <w:r>
        <w:t xml:space="preserve"> </w:t>
      </w:r>
      <w:r w:rsidR="00A30926">
        <w:t>“</w:t>
      </w:r>
      <w:r>
        <w:t xml:space="preserve">a complaint of a complainant relating to the administration of a fund, the investment of its funds or the interpretation and application of its rules, and alleging- </w:t>
      </w:r>
    </w:p>
    <w:p w14:paraId="6AA10638" w14:textId="77777777" w:rsidR="00A30926" w:rsidRDefault="00EA64A6">
      <w:pPr>
        <w:pStyle w:val="FootnoteText"/>
      </w:pPr>
      <w:r>
        <w:t xml:space="preserve">(a) that a decision of the fund or any person purportedly taken in terms of the rules was in excess of the powers of that fund or person, or an improper exercise of its powers; </w:t>
      </w:r>
    </w:p>
    <w:p w14:paraId="2EF1C0B1" w14:textId="77777777" w:rsidR="00A30926" w:rsidRDefault="00EA64A6">
      <w:pPr>
        <w:pStyle w:val="FootnoteText"/>
      </w:pPr>
      <w:r>
        <w:t xml:space="preserve">(b) that the complainant has sustained or may sustain prejudice in consequence of the maladministration of the fund by the fund or any person, whether by act or omission; </w:t>
      </w:r>
    </w:p>
    <w:p w14:paraId="673B563B" w14:textId="77777777" w:rsidR="00A30926" w:rsidRDefault="00EA64A6">
      <w:pPr>
        <w:pStyle w:val="FootnoteText"/>
      </w:pPr>
      <w:r>
        <w:t xml:space="preserve">(c) that a dispute of fact or law has arisen in relation to a fund between the fund or any person and the complainant; or </w:t>
      </w:r>
    </w:p>
    <w:p w14:paraId="765F55F5" w14:textId="53E46C61" w:rsidR="00EA64A6" w:rsidRPr="00EA64A6" w:rsidRDefault="00EA64A6">
      <w:pPr>
        <w:pStyle w:val="FootnoteText"/>
        <w:rPr>
          <w:lang w:val="en-US"/>
        </w:rPr>
      </w:pPr>
      <w:r>
        <w:t>(d) that an employer who participates in a fund has not fulfilled its duties in terms of the rules of the fund; but shall not include a complaint which does not relate to a specific complainant</w:t>
      </w:r>
      <w:r w:rsidR="00A30926">
        <w:t>”.</w:t>
      </w:r>
    </w:p>
  </w:footnote>
  <w:footnote w:id="8">
    <w:p w14:paraId="3A96D965" w14:textId="717E6CE1" w:rsidR="001002EB" w:rsidRPr="001002EB" w:rsidRDefault="001002EB">
      <w:pPr>
        <w:pStyle w:val="FootnoteText"/>
        <w:rPr>
          <w:lang w:val="en-US"/>
        </w:rPr>
      </w:pPr>
      <w:r>
        <w:rPr>
          <w:rStyle w:val="FootnoteReference"/>
        </w:rPr>
        <w:footnoteRef/>
      </w:r>
      <w:r>
        <w:t xml:space="preserve"> </w:t>
      </w:r>
      <w:r>
        <w:rPr>
          <w:lang w:val="en-US"/>
        </w:rPr>
        <w:t xml:space="preserve">2003 (2) SA </w:t>
      </w:r>
      <w:r w:rsidR="00872407">
        <w:rPr>
          <w:lang w:val="en-US"/>
        </w:rPr>
        <w:t>715 (SCA) at para 8</w:t>
      </w:r>
    </w:p>
  </w:footnote>
  <w:footnote w:id="9">
    <w:p w14:paraId="7CF33A78" w14:textId="72E1DBA8" w:rsidR="00A23068" w:rsidRPr="004D312C" w:rsidRDefault="00A23068">
      <w:pPr>
        <w:pStyle w:val="FootnoteText"/>
        <w:rPr>
          <w:lang w:val="en-US"/>
        </w:rPr>
      </w:pPr>
      <w:r>
        <w:rPr>
          <w:rStyle w:val="FootnoteReference"/>
        </w:rPr>
        <w:footnoteRef/>
      </w:r>
      <w:r>
        <w:t xml:space="preserve"> </w:t>
      </w:r>
      <w:r w:rsidR="00C842C7">
        <w:rPr>
          <w:lang w:val="en-US"/>
        </w:rPr>
        <w:t xml:space="preserve">See </w:t>
      </w:r>
      <w:r w:rsidR="00602D85" w:rsidRPr="005D700F">
        <w:rPr>
          <w:b/>
          <w:bCs/>
          <w:lang w:val="en-US"/>
        </w:rPr>
        <w:t>Gerson v Mondi Pension Fund</w:t>
      </w:r>
      <w:r w:rsidR="004A2721" w:rsidRPr="005D700F">
        <w:rPr>
          <w:b/>
          <w:bCs/>
          <w:lang w:val="en-US"/>
        </w:rPr>
        <w:t xml:space="preserve"> and Others</w:t>
      </w:r>
      <w:r w:rsidR="004A2721">
        <w:rPr>
          <w:lang w:val="en-US"/>
        </w:rPr>
        <w:t xml:space="preserve"> 2013 (6) SA 162 (GP) at para </w:t>
      </w:r>
      <w:r w:rsidR="00DF36B5">
        <w:rPr>
          <w:lang w:val="en-US"/>
        </w:rPr>
        <w:t>28</w:t>
      </w:r>
    </w:p>
  </w:footnote>
  <w:footnote w:id="10">
    <w:p w14:paraId="38DF78DF" w14:textId="7451865B" w:rsidR="002637F3" w:rsidRPr="004D312C" w:rsidRDefault="002637F3">
      <w:pPr>
        <w:pStyle w:val="FootnoteText"/>
        <w:rPr>
          <w:lang w:val="en-US"/>
        </w:rPr>
      </w:pPr>
      <w:r>
        <w:rPr>
          <w:rStyle w:val="FootnoteReference"/>
        </w:rPr>
        <w:footnoteRef/>
      </w:r>
      <w:r>
        <w:t xml:space="preserve"> </w:t>
      </w:r>
      <w:r w:rsidR="00CB6FB1">
        <w:rPr>
          <w:lang w:val="en-US"/>
        </w:rPr>
        <w:t xml:space="preserve">See </w:t>
      </w:r>
      <w:r w:rsidR="00CB6FB1" w:rsidRPr="004D312C">
        <w:rPr>
          <w:b/>
          <w:bCs/>
          <w:lang w:val="en-US"/>
        </w:rPr>
        <w:t>Letsoalo v Lukhaimane NO</w:t>
      </w:r>
      <w:r w:rsidR="00CB6FB1">
        <w:rPr>
          <w:lang w:val="en-US"/>
        </w:rPr>
        <w:t xml:space="preserve"> JDR 2018 0277 (GP) at para 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12958"/>
      <w:docPartObj>
        <w:docPartGallery w:val="Page Numbers (Top of Page)"/>
        <w:docPartUnique/>
      </w:docPartObj>
    </w:sdtPr>
    <w:sdtEndPr>
      <w:rPr>
        <w:noProof/>
      </w:rPr>
    </w:sdtEndPr>
    <w:sdtContent>
      <w:p w14:paraId="45049E3D" w14:textId="52E6770C" w:rsidR="00C76DAF" w:rsidRDefault="00C76DAF">
        <w:pPr>
          <w:pStyle w:val="Header"/>
          <w:jc w:val="right"/>
        </w:pPr>
        <w:r>
          <w:fldChar w:fldCharType="begin"/>
        </w:r>
        <w:r>
          <w:instrText xml:space="preserve"> PAGE   \* MERGEFORMAT </w:instrText>
        </w:r>
        <w:r>
          <w:fldChar w:fldCharType="separate"/>
        </w:r>
        <w:r w:rsidR="004B2B30">
          <w:rPr>
            <w:noProof/>
          </w:rPr>
          <w:t>21</w:t>
        </w:r>
        <w:r>
          <w:rPr>
            <w:noProof/>
          </w:rPr>
          <w:fldChar w:fldCharType="end"/>
        </w:r>
      </w:p>
    </w:sdtContent>
  </w:sdt>
  <w:p w14:paraId="3F64EEEB" w14:textId="77777777" w:rsidR="003C4A53" w:rsidRDefault="003C4A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3B3"/>
    <w:multiLevelType w:val="hybridMultilevel"/>
    <w:tmpl w:val="822EC45C"/>
    <w:lvl w:ilvl="0" w:tplc="25EC2F28">
      <w:start w:val="1"/>
      <w:numFmt w:val="lowerLetter"/>
      <w:lvlText w:val="(%1)"/>
      <w:lvlJc w:val="left"/>
      <w:pPr>
        <w:ind w:left="1100" w:hanging="38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0F55F42"/>
    <w:multiLevelType w:val="hybridMultilevel"/>
    <w:tmpl w:val="D77645D2"/>
    <w:lvl w:ilvl="0" w:tplc="034A890E">
      <w:start w:val="1"/>
      <w:numFmt w:val="decimal"/>
      <w:lvlText w:val="[%1]"/>
      <w:lvlJc w:val="center"/>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F746054"/>
    <w:multiLevelType w:val="hybridMultilevel"/>
    <w:tmpl w:val="B7780DC8"/>
    <w:lvl w:ilvl="0" w:tplc="1C090001">
      <w:start w:val="1"/>
      <w:numFmt w:val="bullet"/>
      <w:lvlText w:val=""/>
      <w:lvlJc w:val="left"/>
      <w:pPr>
        <w:ind w:left="2880" w:hanging="360"/>
      </w:pPr>
      <w:rPr>
        <w:rFonts w:ascii="Symbol" w:hAnsi="Symbol" w:hint="default"/>
      </w:rPr>
    </w:lvl>
    <w:lvl w:ilvl="1" w:tplc="1C09000D">
      <w:start w:val="1"/>
      <w:numFmt w:val="bullet"/>
      <w:lvlText w:val=""/>
      <w:lvlJc w:val="left"/>
      <w:pPr>
        <w:ind w:left="3600" w:hanging="360"/>
      </w:pPr>
      <w:rPr>
        <w:rFonts w:ascii="Wingdings" w:hAnsi="Wingdings"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KxMAcCM3NLYzMzIyUdpeDU4uLM/DyQAsNaABrCLjksAAAA"/>
  </w:docVars>
  <w:rsids>
    <w:rsidRoot w:val="00C961B1"/>
    <w:rsid w:val="00001B60"/>
    <w:rsid w:val="0000542C"/>
    <w:rsid w:val="00007EB2"/>
    <w:rsid w:val="0001337F"/>
    <w:rsid w:val="00013A5E"/>
    <w:rsid w:val="00020388"/>
    <w:rsid w:val="00025B95"/>
    <w:rsid w:val="00026B15"/>
    <w:rsid w:val="000333C6"/>
    <w:rsid w:val="00034CB2"/>
    <w:rsid w:val="00037989"/>
    <w:rsid w:val="00040D0F"/>
    <w:rsid w:val="0004115E"/>
    <w:rsid w:val="00042E20"/>
    <w:rsid w:val="00045D05"/>
    <w:rsid w:val="00046C37"/>
    <w:rsid w:val="00047E63"/>
    <w:rsid w:val="00047EA1"/>
    <w:rsid w:val="00053871"/>
    <w:rsid w:val="00061053"/>
    <w:rsid w:val="00061691"/>
    <w:rsid w:val="000746AF"/>
    <w:rsid w:val="00077741"/>
    <w:rsid w:val="00085FA6"/>
    <w:rsid w:val="00090CC5"/>
    <w:rsid w:val="00093E55"/>
    <w:rsid w:val="00094532"/>
    <w:rsid w:val="00094BE2"/>
    <w:rsid w:val="00097DAD"/>
    <w:rsid w:val="000A52BE"/>
    <w:rsid w:val="000A73BB"/>
    <w:rsid w:val="000A7A0D"/>
    <w:rsid w:val="000B44DB"/>
    <w:rsid w:val="000B7FB1"/>
    <w:rsid w:val="000C377B"/>
    <w:rsid w:val="000D278F"/>
    <w:rsid w:val="000D6F03"/>
    <w:rsid w:val="000E28B4"/>
    <w:rsid w:val="000E3806"/>
    <w:rsid w:val="000F2A1E"/>
    <w:rsid w:val="001002EB"/>
    <w:rsid w:val="00105018"/>
    <w:rsid w:val="001131B0"/>
    <w:rsid w:val="00115996"/>
    <w:rsid w:val="00122BDE"/>
    <w:rsid w:val="00122CFC"/>
    <w:rsid w:val="001245D0"/>
    <w:rsid w:val="00125A3D"/>
    <w:rsid w:val="00126CEA"/>
    <w:rsid w:val="00127B52"/>
    <w:rsid w:val="00132231"/>
    <w:rsid w:val="00143184"/>
    <w:rsid w:val="00144C14"/>
    <w:rsid w:val="00146DDF"/>
    <w:rsid w:val="00150EE0"/>
    <w:rsid w:val="00151844"/>
    <w:rsid w:val="001607F1"/>
    <w:rsid w:val="0016093E"/>
    <w:rsid w:val="00160D39"/>
    <w:rsid w:val="001614C6"/>
    <w:rsid w:val="0017187E"/>
    <w:rsid w:val="00183CA9"/>
    <w:rsid w:val="0018508D"/>
    <w:rsid w:val="001861CE"/>
    <w:rsid w:val="00193064"/>
    <w:rsid w:val="00195EEC"/>
    <w:rsid w:val="001A6736"/>
    <w:rsid w:val="001B3A87"/>
    <w:rsid w:val="001B5C8D"/>
    <w:rsid w:val="001E31CD"/>
    <w:rsid w:val="001E4021"/>
    <w:rsid w:val="001F23B0"/>
    <w:rsid w:val="001F5DD8"/>
    <w:rsid w:val="001F63BF"/>
    <w:rsid w:val="002005F5"/>
    <w:rsid w:val="00214743"/>
    <w:rsid w:val="0021519C"/>
    <w:rsid w:val="0021676B"/>
    <w:rsid w:val="00217F8C"/>
    <w:rsid w:val="00220119"/>
    <w:rsid w:val="00220628"/>
    <w:rsid w:val="00223A72"/>
    <w:rsid w:val="002249D6"/>
    <w:rsid w:val="00224B53"/>
    <w:rsid w:val="002260C3"/>
    <w:rsid w:val="00226E87"/>
    <w:rsid w:val="00227BF7"/>
    <w:rsid w:val="0023534C"/>
    <w:rsid w:val="0023686B"/>
    <w:rsid w:val="0024037C"/>
    <w:rsid w:val="00244BA7"/>
    <w:rsid w:val="0024536B"/>
    <w:rsid w:val="00246BD1"/>
    <w:rsid w:val="002470B4"/>
    <w:rsid w:val="00254826"/>
    <w:rsid w:val="002559DC"/>
    <w:rsid w:val="00257C32"/>
    <w:rsid w:val="002637F3"/>
    <w:rsid w:val="00267B0B"/>
    <w:rsid w:val="0027197B"/>
    <w:rsid w:val="002751DB"/>
    <w:rsid w:val="00276657"/>
    <w:rsid w:val="00276718"/>
    <w:rsid w:val="002861B8"/>
    <w:rsid w:val="002874A6"/>
    <w:rsid w:val="00297FE5"/>
    <w:rsid w:val="002A23B7"/>
    <w:rsid w:val="002A49A9"/>
    <w:rsid w:val="002A5165"/>
    <w:rsid w:val="002A538C"/>
    <w:rsid w:val="002A6F15"/>
    <w:rsid w:val="002B0323"/>
    <w:rsid w:val="002C1EA2"/>
    <w:rsid w:val="002D1AA0"/>
    <w:rsid w:val="002D2566"/>
    <w:rsid w:val="002D327C"/>
    <w:rsid w:val="002D45F6"/>
    <w:rsid w:val="002D4D29"/>
    <w:rsid w:val="002E04CD"/>
    <w:rsid w:val="002E1203"/>
    <w:rsid w:val="002E2203"/>
    <w:rsid w:val="002E74DE"/>
    <w:rsid w:val="002F25C8"/>
    <w:rsid w:val="002F2729"/>
    <w:rsid w:val="002F3FE8"/>
    <w:rsid w:val="002F5160"/>
    <w:rsid w:val="002F558E"/>
    <w:rsid w:val="002F6633"/>
    <w:rsid w:val="002F6ADB"/>
    <w:rsid w:val="002F7111"/>
    <w:rsid w:val="0030102A"/>
    <w:rsid w:val="003056CA"/>
    <w:rsid w:val="003133D7"/>
    <w:rsid w:val="00313C76"/>
    <w:rsid w:val="00321747"/>
    <w:rsid w:val="00323485"/>
    <w:rsid w:val="00324D29"/>
    <w:rsid w:val="00331F99"/>
    <w:rsid w:val="003428FB"/>
    <w:rsid w:val="00343D6C"/>
    <w:rsid w:val="003453A5"/>
    <w:rsid w:val="00345E3C"/>
    <w:rsid w:val="00345F50"/>
    <w:rsid w:val="00347874"/>
    <w:rsid w:val="00361359"/>
    <w:rsid w:val="0036444C"/>
    <w:rsid w:val="00365CD9"/>
    <w:rsid w:val="00372455"/>
    <w:rsid w:val="003934EF"/>
    <w:rsid w:val="00396218"/>
    <w:rsid w:val="003A1264"/>
    <w:rsid w:val="003A2A52"/>
    <w:rsid w:val="003A70A9"/>
    <w:rsid w:val="003B4A1B"/>
    <w:rsid w:val="003C2A56"/>
    <w:rsid w:val="003C32BB"/>
    <w:rsid w:val="003C4A53"/>
    <w:rsid w:val="003C7545"/>
    <w:rsid w:val="003D2E1A"/>
    <w:rsid w:val="003D72E1"/>
    <w:rsid w:val="003D752A"/>
    <w:rsid w:val="003E240D"/>
    <w:rsid w:val="003E5A32"/>
    <w:rsid w:val="003F11C1"/>
    <w:rsid w:val="003F1546"/>
    <w:rsid w:val="003F1D79"/>
    <w:rsid w:val="003F25A8"/>
    <w:rsid w:val="003F5DE3"/>
    <w:rsid w:val="0040114A"/>
    <w:rsid w:val="004038EF"/>
    <w:rsid w:val="0040533B"/>
    <w:rsid w:val="00412FC2"/>
    <w:rsid w:val="00413D87"/>
    <w:rsid w:val="00417853"/>
    <w:rsid w:val="004227A1"/>
    <w:rsid w:val="00433CEC"/>
    <w:rsid w:val="0043503C"/>
    <w:rsid w:val="00443A8B"/>
    <w:rsid w:val="00443C4F"/>
    <w:rsid w:val="00447030"/>
    <w:rsid w:val="0044752D"/>
    <w:rsid w:val="00452290"/>
    <w:rsid w:val="00455331"/>
    <w:rsid w:val="004653D9"/>
    <w:rsid w:val="00473FF0"/>
    <w:rsid w:val="00475AC4"/>
    <w:rsid w:val="00486FC2"/>
    <w:rsid w:val="00490040"/>
    <w:rsid w:val="00490DE9"/>
    <w:rsid w:val="00491BDE"/>
    <w:rsid w:val="00495871"/>
    <w:rsid w:val="0049703A"/>
    <w:rsid w:val="004A2454"/>
    <w:rsid w:val="004A2721"/>
    <w:rsid w:val="004A7812"/>
    <w:rsid w:val="004B2B30"/>
    <w:rsid w:val="004C26B0"/>
    <w:rsid w:val="004C3EF2"/>
    <w:rsid w:val="004D0DAE"/>
    <w:rsid w:val="004D312C"/>
    <w:rsid w:val="004D3E08"/>
    <w:rsid w:val="004E644E"/>
    <w:rsid w:val="004F3C6E"/>
    <w:rsid w:val="00501175"/>
    <w:rsid w:val="00512526"/>
    <w:rsid w:val="00513D99"/>
    <w:rsid w:val="00523A29"/>
    <w:rsid w:val="00534E08"/>
    <w:rsid w:val="00542642"/>
    <w:rsid w:val="00543518"/>
    <w:rsid w:val="00557A4E"/>
    <w:rsid w:val="00560D87"/>
    <w:rsid w:val="00566014"/>
    <w:rsid w:val="00572337"/>
    <w:rsid w:val="0057307E"/>
    <w:rsid w:val="005735BD"/>
    <w:rsid w:val="00576783"/>
    <w:rsid w:val="00577325"/>
    <w:rsid w:val="0058214E"/>
    <w:rsid w:val="00584BF9"/>
    <w:rsid w:val="005878AB"/>
    <w:rsid w:val="00595EFE"/>
    <w:rsid w:val="005967E0"/>
    <w:rsid w:val="00596ABE"/>
    <w:rsid w:val="00597989"/>
    <w:rsid w:val="005A13CF"/>
    <w:rsid w:val="005B05BA"/>
    <w:rsid w:val="005B10C0"/>
    <w:rsid w:val="005B499E"/>
    <w:rsid w:val="005B7F94"/>
    <w:rsid w:val="005D362F"/>
    <w:rsid w:val="005D700F"/>
    <w:rsid w:val="005E0D56"/>
    <w:rsid w:val="005F4EED"/>
    <w:rsid w:val="00602D85"/>
    <w:rsid w:val="0060399F"/>
    <w:rsid w:val="00606E6F"/>
    <w:rsid w:val="00617636"/>
    <w:rsid w:val="00621E26"/>
    <w:rsid w:val="006238EF"/>
    <w:rsid w:val="006244BA"/>
    <w:rsid w:val="00625321"/>
    <w:rsid w:val="00625790"/>
    <w:rsid w:val="00631627"/>
    <w:rsid w:val="0063212A"/>
    <w:rsid w:val="00634EBB"/>
    <w:rsid w:val="00635DD9"/>
    <w:rsid w:val="00640303"/>
    <w:rsid w:val="00653449"/>
    <w:rsid w:val="00653805"/>
    <w:rsid w:val="00654CA8"/>
    <w:rsid w:val="00667D85"/>
    <w:rsid w:val="00671014"/>
    <w:rsid w:val="0067329C"/>
    <w:rsid w:val="00676552"/>
    <w:rsid w:val="006811C0"/>
    <w:rsid w:val="00682478"/>
    <w:rsid w:val="00685A7D"/>
    <w:rsid w:val="00686109"/>
    <w:rsid w:val="00692332"/>
    <w:rsid w:val="00693217"/>
    <w:rsid w:val="0069451D"/>
    <w:rsid w:val="00694E61"/>
    <w:rsid w:val="006A475A"/>
    <w:rsid w:val="006A775A"/>
    <w:rsid w:val="006B4223"/>
    <w:rsid w:val="006B6A81"/>
    <w:rsid w:val="006C4ACA"/>
    <w:rsid w:val="006C4E7D"/>
    <w:rsid w:val="006D1D2B"/>
    <w:rsid w:val="006D1F88"/>
    <w:rsid w:val="006E09F8"/>
    <w:rsid w:val="006F1148"/>
    <w:rsid w:val="006F2057"/>
    <w:rsid w:val="006F2D3C"/>
    <w:rsid w:val="006F3594"/>
    <w:rsid w:val="006F7947"/>
    <w:rsid w:val="007009AE"/>
    <w:rsid w:val="007011CE"/>
    <w:rsid w:val="007214C5"/>
    <w:rsid w:val="0072175B"/>
    <w:rsid w:val="00724ACB"/>
    <w:rsid w:val="007256D2"/>
    <w:rsid w:val="0072596B"/>
    <w:rsid w:val="0072696D"/>
    <w:rsid w:val="007300EF"/>
    <w:rsid w:val="00734B78"/>
    <w:rsid w:val="00744A5C"/>
    <w:rsid w:val="007558E1"/>
    <w:rsid w:val="007566F6"/>
    <w:rsid w:val="00757B5F"/>
    <w:rsid w:val="00761896"/>
    <w:rsid w:val="00762768"/>
    <w:rsid w:val="007628F9"/>
    <w:rsid w:val="007664F0"/>
    <w:rsid w:val="007731C0"/>
    <w:rsid w:val="007870EC"/>
    <w:rsid w:val="007909DC"/>
    <w:rsid w:val="00791DED"/>
    <w:rsid w:val="0079255D"/>
    <w:rsid w:val="00795D75"/>
    <w:rsid w:val="007973D4"/>
    <w:rsid w:val="007A3FAE"/>
    <w:rsid w:val="007B0CC9"/>
    <w:rsid w:val="007B1D75"/>
    <w:rsid w:val="007C3355"/>
    <w:rsid w:val="007D0478"/>
    <w:rsid w:val="007D0676"/>
    <w:rsid w:val="007D19C0"/>
    <w:rsid w:val="007D2399"/>
    <w:rsid w:val="007D29EB"/>
    <w:rsid w:val="007D4365"/>
    <w:rsid w:val="007E163D"/>
    <w:rsid w:val="007E1E71"/>
    <w:rsid w:val="007E38B8"/>
    <w:rsid w:val="007E4B4E"/>
    <w:rsid w:val="007F0AFC"/>
    <w:rsid w:val="007F2555"/>
    <w:rsid w:val="007F2602"/>
    <w:rsid w:val="007F6A46"/>
    <w:rsid w:val="00801439"/>
    <w:rsid w:val="00807F3C"/>
    <w:rsid w:val="0081454D"/>
    <w:rsid w:val="00817D18"/>
    <w:rsid w:val="00820CC2"/>
    <w:rsid w:val="008217B8"/>
    <w:rsid w:val="00827FFA"/>
    <w:rsid w:val="00834F07"/>
    <w:rsid w:val="0083523E"/>
    <w:rsid w:val="0084133A"/>
    <w:rsid w:val="00841619"/>
    <w:rsid w:val="00843C67"/>
    <w:rsid w:val="00850B13"/>
    <w:rsid w:val="00850F08"/>
    <w:rsid w:val="00854985"/>
    <w:rsid w:val="00854CB7"/>
    <w:rsid w:val="00861FCE"/>
    <w:rsid w:val="008720BD"/>
    <w:rsid w:val="00872407"/>
    <w:rsid w:val="00874653"/>
    <w:rsid w:val="00877098"/>
    <w:rsid w:val="00880334"/>
    <w:rsid w:val="008806C3"/>
    <w:rsid w:val="00881A1E"/>
    <w:rsid w:val="0088701F"/>
    <w:rsid w:val="00893F69"/>
    <w:rsid w:val="008945B2"/>
    <w:rsid w:val="00897E6C"/>
    <w:rsid w:val="00897F8B"/>
    <w:rsid w:val="008A26ED"/>
    <w:rsid w:val="008A4CAA"/>
    <w:rsid w:val="008A6633"/>
    <w:rsid w:val="008B0D3C"/>
    <w:rsid w:val="008B120F"/>
    <w:rsid w:val="008B136F"/>
    <w:rsid w:val="008B5B51"/>
    <w:rsid w:val="008B7B6C"/>
    <w:rsid w:val="008C7E36"/>
    <w:rsid w:val="008D08B6"/>
    <w:rsid w:val="008D2A1E"/>
    <w:rsid w:val="008E233B"/>
    <w:rsid w:val="008E7EAC"/>
    <w:rsid w:val="008F10D9"/>
    <w:rsid w:val="009050A9"/>
    <w:rsid w:val="00906F07"/>
    <w:rsid w:val="009109B7"/>
    <w:rsid w:val="009159BE"/>
    <w:rsid w:val="00930B71"/>
    <w:rsid w:val="00930C4E"/>
    <w:rsid w:val="00935640"/>
    <w:rsid w:val="00935D62"/>
    <w:rsid w:val="00936DE3"/>
    <w:rsid w:val="0094061F"/>
    <w:rsid w:val="00940F8D"/>
    <w:rsid w:val="00941AD4"/>
    <w:rsid w:val="009520CE"/>
    <w:rsid w:val="0095338E"/>
    <w:rsid w:val="00956BA7"/>
    <w:rsid w:val="00963B27"/>
    <w:rsid w:val="009660B9"/>
    <w:rsid w:val="009701EC"/>
    <w:rsid w:val="00971AB2"/>
    <w:rsid w:val="0097510A"/>
    <w:rsid w:val="00977702"/>
    <w:rsid w:val="00981696"/>
    <w:rsid w:val="00987188"/>
    <w:rsid w:val="0099316A"/>
    <w:rsid w:val="00993714"/>
    <w:rsid w:val="00995788"/>
    <w:rsid w:val="009958F4"/>
    <w:rsid w:val="009A1A35"/>
    <w:rsid w:val="009D219F"/>
    <w:rsid w:val="009D56D6"/>
    <w:rsid w:val="009D6455"/>
    <w:rsid w:val="009E2D0B"/>
    <w:rsid w:val="009F4E78"/>
    <w:rsid w:val="009F5002"/>
    <w:rsid w:val="009F72EA"/>
    <w:rsid w:val="00A060D1"/>
    <w:rsid w:val="00A07D97"/>
    <w:rsid w:val="00A15E21"/>
    <w:rsid w:val="00A1651B"/>
    <w:rsid w:val="00A21B8C"/>
    <w:rsid w:val="00A23068"/>
    <w:rsid w:val="00A233B3"/>
    <w:rsid w:val="00A25F49"/>
    <w:rsid w:val="00A3039D"/>
    <w:rsid w:val="00A303B0"/>
    <w:rsid w:val="00A30926"/>
    <w:rsid w:val="00A35D49"/>
    <w:rsid w:val="00A536CE"/>
    <w:rsid w:val="00A557EC"/>
    <w:rsid w:val="00A56CA8"/>
    <w:rsid w:val="00A56ED5"/>
    <w:rsid w:val="00A611BE"/>
    <w:rsid w:val="00A62390"/>
    <w:rsid w:val="00A62773"/>
    <w:rsid w:val="00A677CE"/>
    <w:rsid w:val="00A7163E"/>
    <w:rsid w:val="00A74030"/>
    <w:rsid w:val="00A74F60"/>
    <w:rsid w:val="00A76C56"/>
    <w:rsid w:val="00A77E4D"/>
    <w:rsid w:val="00A81BC1"/>
    <w:rsid w:val="00A83C0B"/>
    <w:rsid w:val="00A90D17"/>
    <w:rsid w:val="00A930C6"/>
    <w:rsid w:val="00AA0DFC"/>
    <w:rsid w:val="00AA20C3"/>
    <w:rsid w:val="00AA3F3F"/>
    <w:rsid w:val="00AB26F4"/>
    <w:rsid w:val="00AB5A55"/>
    <w:rsid w:val="00AC1ABB"/>
    <w:rsid w:val="00AC4201"/>
    <w:rsid w:val="00AD037F"/>
    <w:rsid w:val="00AD0B23"/>
    <w:rsid w:val="00AD2CA0"/>
    <w:rsid w:val="00AD532B"/>
    <w:rsid w:val="00AD5F23"/>
    <w:rsid w:val="00AD6734"/>
    <w:rsid w:val="00AE1478"/>
    <w:rsid w:val="00AE1EA6"/>
    <w:rsid w:val="00AE4CB5"/>
    <w:rsid w:val="00AE5A62"/>
    <w:rsid w:val="00AE641D"/>
    <w:rsid w:val="00AF044A"/>
    <w:rsid w:val="00AF3194"/>
    <w:rsid w:val="00AF3364"/>
    <w:rsid w:val="00B03BBF"/>
    <w:rsid w:val="00B07189"/>
    <w:rsid w:val="00B142A5"/>
    <w:rsid w:val="00B14EBA"/>
    <w:rsid w:val="00B14FF4"/>
    <w:rsid w:val="00B166D9"/>
    <w:rsid w:val="00B21251"/>
    <w:rsid w:val="00B21D0A"/>
    <w:rsid w:val="00B24B15"/>
    <w:rsid w:val="00B26014"/>
    <w:rsid w:val="00B26E4A"/>
    <w:rsid w:val="00B329EF"/>
    <w:rsid w:val="00B35642"/>
    <w:rsid w:val="00B37EF2"/>
    <w:rsid w:val="00B40AA9"/>
    <w:rsid w:val="00B4383D"/>
    <w:rsid w:val="00B468E9"/>
    <w:rsid w:val="00B502C4"/>
    <w:rsid w:val="00B50FB8"/>
    <w:rsid w:val="00B51122"/>
    <w:rsid w:val="00B5267F"/>
    <w:rsid w:val="00B5347C"/>
    <w:rsid w:val="00B53CFB"/>
    <w:rsid w:val="00B54B49"/>
    <w:rsid w:val="00B60C61"/>
    <w:rsid w:val="00B613C1"/>
    <w:rsid w:val="00B619B4"/>
    <w:rsid w:val="00B678A8"/>
    <w:rsid w:val="00B9432E"/>
    <w:rsid w:val="00B95F7A"/>
    <w:rsid w:val="00B975CA"/>
    <w:rsid w:val="00BA080F"/>
    <w:rsid w:val="00BA10F8"/>
    <w:rsid w:val="00BA33AF"/>
    <w:rsid w:val="00BA37A9"/>
    <w:rsid w:val="00BA45DA"/>
    <w:rsid w:val="00BA7F4C"/>
    <w:rsid w:val="00BB1476"/>
    <w:rsid w:val="00BB1F97"/>
    <w:rsid w:val="00BB632A"/>
    <w:rsid w:val="00BC06EE"/>
    <w:rsid w:val="00BC09F6"/>
    <w:rsid w:val="00BC59B7"/>
    <w:rsid w:val="00BD0259"/>
    <w:rsid w:val="00BD04CF"/>
    <w:rsid w:val="00BD22A1"/>
    <w:rsid w:val="00BD41BD"/>
    <w:rsid w:val="00BD54CC"/>
    <w:rsid w:val="00BD6112"/>
    <w:rsid w:val="00BE220B"/>
    <w:rsid w:val="00BF1131"/>
    <w:rsid w:val="00BF231B"/>
    <w:rsid w:val="00BF777A"/>
    <w:rsid w:val="00C06839"/>
    <w:rsid w:val="00C105AF"/>
    <w:rsid w:val="00C2490F"/>
    <w:rsid w:val="00C326E5"/>
    <w:rsid w:val="00C33B93"/>
    <w:rsid w:val="00C35745"/>
    <w:rsid w:val="00C4219F"/>
    <w:rsid w:val="00C479CB"/>
    <w:rsid w:val="00C52095"/>
    <w:rsid w:val="00C67B09"/>
    <w:rsid w:val="00C76DAF"/>
    <w:rsid w:val="00C7738E"/>
    <w:rsid w:val="00C827CB"/>
    <w:rsid w:val="00C842C7"/>
    <w:rsid w:val="00C92900"/>
    <w:rsid w:val="00C92BE1"/>
    <w:rsid w:val="00C942D8"/>
    <w:rsid w:val="00C957AE"/>
    <w:rsid w:val="00C961B1"/>
    <w:rsid w:val="00CA02B3"/>
    <w:rsid w:val="00CA139A"/>
    <w:rsid w:val="00CA5F0B"/>
    <w:rsid w:val="00CA6565"/>
    <w:rsid w:val="00CB4E60"/>
    <w:rsid w:val="00CB50F3"/>
    <w:rsid w:val="00CB6FB1"/>
    <w:rsid w:val="00CC139F"/>
    <w:rsid w:val="00CC25D5"/>
    <w:rsid w:val="00CC57D6"/>
    <w:rsid w:val="00CC5F1E"/>
    <w:rsid w:val="00CC6716"/>
    <w:rsid w:val="00CC7890"/>
    <w:rsid w:val="00CF6EDB"/>
    <w:rsid w:val="00D048E5"/>
    <w:rsid w:val="00D122B4"/>
    <w:rsid w:val="00D1641A"/>
    <w:rsid w:val="00D21B62"/>
    <w:rsid w:val="00D24979"/>
    <w:rsid w:val="00D301FB"/>
    <w:rsid w:val="00D30993"/>
    <w:rsid w:val="00D40A38"/>
    <w:rsid w:val="00D40E9B"/>
    <w:rsid w:val="00D4164D"/>
    <w:rsid w:val="00D52D68"/>
    <w:rsid w:val="00D616C9"/>
    <w:rsid w:val="00D6195A"/>
    <w:rsid w:val="00D6480A"/>
    <w:rsid w:val="00D72DB2"/>
    <w:rsid w:val="00D838EC"/>
    <w:rsid w:val="00D862A1"/>
    <w:rsid w:val="00D86F8D"/>
    <w:rsid w:val="00D910B0"/>
    <w:rsid w:val="00D92853"/>
    <w:rsid w:val="00D97DE7"/>
    <w:rsid w:val="00DA1DCE"/>
    <w:rsid w:val="00DA371A"/>
    <w:rsid w:val="00DA5EF8"/>
    <w:rsid w:val="00DA6485"/>
    <w:rsid w:val="00DC2A57"/>
    <w:rsid w:val="00DC2E86"/>
    <w:rsid w:val="00DC47B9"/>
    <w:rsid w:val="00DC73F2"/>
    <w:rsid w:val="00DC7B17"/>
    <w:rsid w:val="00DD1FDD"/>
    <w:rsid w:val="00DD2BC0"/>
    <w:rsid w:val="00DE227A"/>
    <w:rsid w:val="00DE2E46"/>
    <w:rsid w:val="00DE7D47"/>
    <w:rsid w:val="00DF0A9A"/>
    <w:rsid w:val="00DF3308"/>
    <w:rsid w:val="00DF36B5"/>
    <w:rsid w:val="00DF534E"/>
    <w:rsid w:val="00DF560A"/>
    <w:rsid w:val="00DF5D35"/>
    <w:rsid w:val="00E0752A"/>
    <w:rsid w:val="00E13451"/>
    <w:rsid w:val="00E20A5A"/>
    <w:rsid w:val="00E300DA"/>
    <w:rsid w:val="00E32733"/>
    <w:rsid w:val="00E3784B"/>
    <w:rsid w:val="00E41025"/>
    <w:rsid w:val="00E50D4D"/>
    <w:rsid w:val="00E55E52"/>
    <w:rsid w:val="00E6139B"/>
    <w:rsid w:val="00E61B90"/>
    <w:rsid w:val="00E65DCE"/>
    <w:rsid w:val="00E7475F"/>
    <w:rsid w:val="00E81081"/>
    <w:rsid w:val="00E82190"/>
    <w:rsid w:val="00E90CC5"/>
    <w:rsid w:val="00E93FF3"/>
    <w:rsid w:val="00E956FA"/>
    <w:rsid w:val="00EA64A6"/>
    <w:rsid w:val="00EB185C"/>
    <w:rsid w:val="00EB294F"/>
    <w:rsid w:val="00EB6CD8"/>
    <w:rsid w:val="00EC290D"/>
    <w:rsid w:val="00EC2ED2"/>
    <w:rsid w:val="00ED6F2C"/>
    <w:rsid w:val="00EE6023"/>
    <w:rsid w:val="00EE6FEF"/>
    <w:rsid w:val="00EE7079"/>
    <w:rsid w:val="00EF04F6"/>
    <w:rsid w:val="00EF34E3"/>
    <w:rsid w:val="00EF485E"/>
    <w:rsid w:val="00EF4A1E"/>
    <w:rsid w:val="00F01BD3"/>
    <w:rsid w:val="00F027A9"/>
    <w:rsid w:val="00F0368F"/>
    <w:rsid w:val="00F06931"/>
    <w:rsid w:val="00F12950"/>
    <w:rsid w:val="00F15991"/>
    <w:rsid w:val="00F1676B"/>
    <w:rsid w:val="00F22A9F"/>
    <w:rsid w:val="00F31FB7"/>
    <w:rsid w:val="00F35036"/>
    <w:rsid w:val="00F53B4E"/>
    <w:rsid w:val="00F54E49"/>
    <w:rsid w:val="00F56F22"/>
    <w:rsid w:val="00F65A50"/>
    <w:rsid w:val="00F77A4C"/>
    <w:rsid w:val="00F86BF6"/>
    <w:rsid w:val="00F87F08"/>
    <w:rsid w:val="00F92DB6"/>
    <w:rsid w:val="00F960B1"/>
    <w:rsid w:val="00F96651"/>
    <w:rsid w:val="00FA1979"/>
    <w:rsid w:val="00FA19CE"/>
    <w:rsid w:val="00FA2B21"/>
    <w:rsid w:val="00FA53FC"/>
    <w:rsid w:val="00FA7005"/>
    <w:rsid w:val="00FB3802"/>
    <w:rsid w:val="00FC15D4"/>
    <w:rsid w:val="00FC1750"/>
    <w:rsid w:val="00FD77C3"/>
    <w:rsid w:val="00FE0840"/>
    <w:rsid w:val="00FE5F36"/>
    <w:rsid w:val="00FE6C28"/>
    <w:rsid w:val="00FF054D"/>
    <w:rsid w:val="00FF3D6D"/>
    <w:rsid w:val="00FF5C3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2043"/>
  <w15:chartTrackingRefBased/>
  <w15:docId w15:val="{E5CA3E36-DF11-4AB2-9BBD-5645D65D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53"/>
    <w:pPr>
      <w:ind w:left="720"/>
      <w:contextualSpacing/>
    </w:pPr>
  </w:style>
  <w:style w:type="paragraph" w:styleId="Header">
    <w:name w:val="header"/>
    <w:basedOn w:val="Normal"/>
    <w:link w:val="HeaderChar"/>
    <w:uiPriority w:val="99"/>
    <w:unhideWhenUsed/>
    <w:rsid w:val="003C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A53"/>
  </w:style>
  <w:style w:type="paragraph" w:styleId="Footer">
    <w:name w:val="footer"/>
    <w:basedOn w:val="Normal"/>
    <w:link w:val="FooterChar"/>
    <w:uiPriority w:val="99"/>
    <w:unhideWhenUsed/>
    <w:rsid w:val="003C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A53"/>
  </w:style>
  <w:style w:type="paragraph" w:styleId="FootnoteText">
    <w:name w:val="footnote text"/>
    <w:basedOn w:val="Normal"/>
    <w:link w:val="FootnoteTextChar"/>
    <w:uiPriority w:val="99"/>
    <w:semiHidden/>
    <w:unhideWhenUsed/>
    <w:rsid w:val="008E2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33B"/>
    <w:rPr>
      <w:sz w:val="20"/>
      <w:szCs w:val="20"/>
    </w:rPr>
  </w:style>
  <w:style w:type="character" w:styleId="FootnoteReference">
    <w:name w:val="footnote reference"/>
    <w:basedOn w:val="DefaultParagraphFont"/>
    <w:uiPriority w:val="99"/>
    <w:semiHidden/>
    <w:unhideWhenUsed/>
    <w:rsid w:val="008E233B"/>
    <w:rPr>
      <w:vertAlign w:val="superscript"/>
    </w:rPr>
  </w:style>
  <w:style w:type="paragraph" w:styleId="NoSpacing">
    <w:name w:val="No Spacing"/>
    <w:uiPriority w:val="1"/>
    <w:qFormat/>
    <w:rsid w:val="00D52D68"/>
    <w:pPr>
      <w:spacing w:after="0" w:line="240" w:lineRule="auto"/>
    </w:pPr>
  </w:style>
  <w:style w:type="paragraph" w:styleId="BalloonText">
    <w:name w:val="Balloon Text"/>
    <w:basedOn w:val="Normal"/>
    <w:link w:val="BalloonTextChar"/>
    <w:uiPriority w:val="99"/>
    <w:semiHidden/>
    <w:unhideWhenUsed/>
    <w:rsid w:val="00C7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AF"/>
    <w:rPr>
      <w:rFonts w:ascii="Segoe UI" w:hAnsi="Segoe UI" w:cs="Segoe UI"/>
      <w:sz w:val="18"/>
      <w:szCs w:val="18"/>
    </w:rPr>
  </w:style>
  <w:style w:type="paragraph" w:styleId="Revision">
    <w:name w:val="Revision"/>
    <w:hidden/>
    <w:uiPriority w:val="99"/>
    <w:semiHidden/>
    <w:rsid w:val="00B61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28E0.21B01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18C1-5DF5-45D6-84C3-4EF29305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Selwyn Hockey</dc:creator>
  <cp:keywords/>
  <dc:description/>
  <cp:lastModifiedBy>Mary Bruce</cp:lastModifiedBy>
  <cp:revision>3</cp:revision>
  <cp:lastPrinted>2022-11-10T10:52:00Z</cp:lastPrinted>
  <dcterms:created xsi:type="dcterms:W3CDTF">2022-11-10T10:53:00Z</dcterms:created>
  <dcterms:modified xsi:type="dcterms:W3CDTF">2022-11-17T08:38:00Z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b642f5943f883b6cd7fb00979ad66b3ef98d00c2ccbc83c50cf0c061a1efd66b</vt:lpwstr>
  </property>
</Properties>
</file>