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F1" w:rsidRPr="00725C7B" w:rsidRDefault="006724F1" w:rsidP="006724F1">
      <w:pPr>
        <w:spacing w:line="360" w:lineRule="auto"/>
        <w:ind w:left="720"/>
        <w:jc w:val="both"/>
        <w:rPr>
          <w:noProof/>
          <w:color w:val="1F497D"/>
          <w:sz w:val="16"/>
          <w:szCs w:val="16"/>
          <w:lang w:eastAsia="en-ZA"/>
        </w:rPr>
      </w:pPr>
      <w:r>
        <w:rPr>
          <w:noProof/>
          <w:lang w:eastAsia="en-ZA"/>
        </w:rPr>
        <w:drawing>
          <wp:anchor distT="0" distB="0" distL="114300" distR="114300" simplePos="0" relativeHeight="251659264" behindDoc="1" locked="0" layoutInCell="1" allowOverlap="1">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F1" w:rsidRPr="00725C7B" w:rsidRDefault="006724F1" w:rsidP="006724F1">
      <w:pPr>
        <w:spacing w:line="360" w:lineRule="auto"/>
        <w:ind w:left="720"/>
        <w:jc w:val="both"/>
        <w:rPr>
          <w:b/>
          <w:bCs/>
        </w:rPr>
      </w:pPr>
    </w:p>
    <w:p w:rsidR="006724F1" w:rsidRDefault="006724F1" w:rsidP="006724F1">
      <w:pPr>
        <w:spacing w:line="360" w:lineRule="auto"/>
        <w:ind w:left="720"/>
        <w:jc w:val="both"/>
        <w:rPr>
          <w:b/>
          <w:bCs/>
        </w:rPr>
      </w:pPr>
    </w:p>
    <w:p w:rsidR="006724F1" w:rsidRPr="003B461A" w:rsidRDefault="006724F1" w:rsidP="00F4257E">
      <w:pPr>
        <w:spacing w:line="360" w:lineRule="auto"/>
        <w:jc w:val="center"/>
      </w:pPr>
      <w:r w:rsidRPr="003B461A">
        <w:rPr>
          <w:b/>
          <w:bCs/>
        </w:rPr>
        <w:t>IN THE HIGH COURT OF SOUTH AFRICA</w:t>
      </w:r>
    </w:p>
    <w:p w:rsidR="006724F1" w:rsidRPr="003B461A" w:rsidRDefault="006724F1" w:rsidP="00F4257E">
      <w:pPr>
        <w:spacing w:line="276" w:lineRule="auto"/>
        <w:jc w:val="center"/>
        <w:rPr>
          <w:b/>
          <w:bCs/>
        </w:rPr>
      </w:pPr>
      <w:r w:rsidRPr="003B461A">
        <w:rPr>
          <w:b/>
          <w:bCs/>
        </w:rPr>
        <w:t>(WESTERN CAPE DIVISION, CAPE TOWN)</w:t>
      </w:r>
    </w:p>
    <w:p w:rsidR="008A5E0B" w:rsidRDefault="008A5E0B" w:rsidP="008A5E0B">
      <w:pPr>
        <w:spacing w:line="360" w:lineRule="auto"/>
        <w:rPr>
          <w:b/>
          <w:bCs/>
        </w:rPr>
      </w:pPr>
    </w:p>
    <w:p w:rsidR="001A373E" w:rsidRPr="00117F44" w:rsidRDefault="001A373E" w:rsidP="001A373E">
      <w:pPr>
        <w:spacing w:line="276" w:lineRule="auto"/>
        <w:ind w:right="-46"/>
        <w:jc w:val="right"/>
        <w:rPr>
          <w:b/>
          <w:bCs/>
          <w:kern w:val="28"/>
          <w:lang w:eastAsia="en-ZA"/>
        </w:rPr>
      </w:pPr>
      <w:r w:rsidRPr="00117F44">
        <w:rPr>
          <w:b/>
          <w:bCs/>
          <w:kern w:val="28"/>
          <w:lang w:eastAsia="en-ZA"/>
        </w:rPr>
        <w:t>Case No:</w:t>
      </w:r>
      <w:r>
        <w:rPr>
          <w:b/>
          <w:bCs/>
          <w:kern w:val="28"/>
          <w:lang w:eastAsia="en-ZA"/>
        </w:rPr>
        <w:t xml:space="preserve"> 11008/2019</w:t>
      </w:r>
      <w:r w:rsidRPr="00117F44">
        <w:rPr>
          <w:b/>
          <w:bCs/>
          <w:kern w:val="28"/>
          <w:lang w:eastAsia="en-ZA"/>
        </w:rPr>
        <w:t xml:space="preserve"> </w:t>
      </w:r>
    </w:p>
    <w:p w:rsidR="00FA2C2F" w:rsidRDefault="00FA2C2F" w:rsidP="00FA2C2F">
      <w:pPr>
        <w:spacing w:line="276" w:lineRule="auto"/>
        <w:ind w:right="-46"/>
        <w:jc w:val="right"/>
        <w:rPr>
          <w:b/>
          <w:bCs/>
          <w:kern w:val="28"/>
          <w:lang w:eastAsia="en-ZA"/>
        </w:rPr>
      </w:pPr>
    </w:p>
    <w:p w:rsidR="00165642" w:rsidRPr="00165642" w:rsidRDefault="00FA2C2F" w:rsidP="00B875EB">
      <w:pPr>
        <w:spacing w:line="600" w:lineRule="auto"/>
        <w:ind w:right="-46"/>
        <w:rPr>
          <w:bCs/>
          <w:kern w:val="28"/>
          <w:lang w:eastAsia="en-ZA"/>
        </w:rPr>
      </w:pPr>
      <w:r>
        <w:rPr>
          <w:bCs/>
          <w:kern w:val="28"/>
          <w:lang w:eastAsia="en-ZA"/>
        </w:rPr>
        <w:t>In the matter between:</w:t>
      </w:r>
      <w:r w:rsidR="00165642">
        <w:t xml:space="preserve">       </w:t>
      </w:r>
    </w:p>
    <w:p w:rsidR="00B875EB" w:rsidRDefault="00B875EB" w:rsidP="00B875EB">
      <w:pPr>
        <w:widowControl w:val="0"/>
        <w:overflowPunct w:val="0"/>
        <w:adjustRightInd w:val="0"/>
        <w:spacing w:line="276" w:lineRule="auto"/>
        <w:ind w:right="-46"/>
        <w:rPr>
          <w:b/>
          <w:bCs/>
          <w:kern w:val="28"/>
          <w:lang w:eastAsia="en-ZA"/>
        </w:rPr>
      </w:pPr>
    </w:p>
    <w:p w:rsidR="001A373E" w:rsidRPr="00117F44" w:rsidRDefault="001A373E" w:rsidP="001A373E">
      <w:pPr>
        <w:widowControl w:val="0"/>
        <w:overflowPunct w:val="0"/>
        <w:adjustRightInd w:val="0"/>
        <w:spacing w:line="276" w:lineRule="auto"/>
        <w:ind w:right="-46"/>
        <w:rPr>
          <w:b/>
          <w:bCs/>
          <w:kern w:val="28"/>
          <w:lang w:eastAsia="en-ZA"/>
        </w:rPr>
      </w:pPr>
    </w:p>
    <w:p w:rsidR="001A373E" w:rsidRDefault="001A373E" w:rsidP="001A373E">
      <w:pPr>
        <w:tabs>
          <w:tab w:val="right" w:pos="10421"/>
        </w:tabs>
        <w:spacing w:line="360" w:lineRule="auto"/>
        <w:jc w:val="both"/>
      </w:pPr>
      <w:r>
        <w:rPr>
          <w:b/>
        </w:rPr>
        <w:t>GEECO INVESTMENTS (PTY) LTD</w:t>
      </w:r>
      <w:r w:rsidRPr="003B461A">
        <w:rPr>
          <w:b/>
        </w:rPr>
        <w:tab/>
        <w:t xml:space="preserve">      </w:t>
      </w:r>
      <w:r>
        <w:rPr>
          <w:b/>
        </w:rPr>
        <w:t xml:space="preserve">            </w:t>
      </w:r>
      <w:r>
        <w:t xml:space="preserve">Applicant    </w:t>
      </w:r>
    </w:p>
    <w:p w:rsidR="001A373E" w:rsidRPr="003B461A" w:rsidRDefault="001A373E" w:rsidP="001A373E">
      <w:pPr>
        <w:spacing w:line="360" w:lineRule="auto"/>
        <w:jc w:val="both"/>
      </w:pPr>
    </w:p>
    <w:p w:rsidR="001A373E" w:rsidRPr="003B461A" w:rsidRDefault="001A373E" w:rsidP="001A373E">
      <w:pPr>
        <w:tabs>
          <w:tab w:val="right" w:pos="8460"/>
        </w:tabs>
        <w:spacing w:line="360" w:lineRule="auto"/>
        <w:jc w:val="both"/>
      </w:pPr>
      <w:r w:rsidRPr="003B461A">
        <w:t>and</w:t>
      </w:r>
    </w:p>
    <w:p w:rsidR="001A373E" w:rsidRPr="003B461A" w:rsidRDefault="001A373E" w:rsidP="001A373E">
      <w:pPr>
        <w:tabs>
          <w:tab w:val="right" w:pos="8460"/>
        </w:tabs>
        <w:spacing w:line="360" w:lineRule="auto"/>
        <w:jc w:val="both"/>
        <w:rPr>
          <w:b/>
        </w:rPr>
      </w:pPr>
    </w:p>
    <w:p w:rsidR="001A373E" w:rsidRDefault="001A373E" w:rsidP="001A373E">
      <w:pPr>
        <w:tabs>
          <w:tab w:val="right" w:pos="10421"/>
        </w:tabs>
        <w:spacing w:line="360" w:lineRule="auto"/>
        <w:jc w:val="both"/>
      </w:pPr>
      <w:r>
        <w:rPr>
          <w:b/>
        </w:rPr>
        <w:t xml:space="preserve">GOURMET CAPE DISTRIBUTORS (PTY) LTD </w:t>
      </w:r>
      <w:r w:rsidRPr="003B461A">
        <w:rPr>
          <w:b/>
        </w:rPr>
        <w:tab/>
        <w:t xml:space="preserve">      </w:t>
      </w:r>
      <w:r>
        <w:rPr>
          <w:b/>
        </w:rPr>
        <w:t xml:space="preserve">            </w:t>
      </w:r>
      <w:r>
        <w:t xml:space="preserve">Respondent   </w:t>
      </w:r>
    </w:p>
    <w:p w:rsidR="00B875EB" w:rsidRDefault="00B875EB" w:rsidP="00B875EB">
      <w:pPr>
        <w:spacing w:line="276" w:lineRule="auto"/>
        <w:rPr>
          <w:b/>
          <w:bCs/>
          <w:kern w:val="28"/>
          <w:lang w:eastAsia="en-ZA"/>
        </w:rPr>
      </w:pPr>
      <w:r>
        <w:rPr>
          <w:b/>
        </w:rPr>
        <w:t xml:space="preserve">                                                        </w:t>
      </w:r>
    </w:p>
    <w:p w:rsidR="00FA2C2F" w:rsidRDefault="00FA2C2F"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rPr>
          <w:b/>
        </w:rPr>
      </w:pPr>
    </w:p>
    <w:p w:rsidR="007E0C13" w:rsidRPr="00E4144F"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AF631F">
        <w:t>Justice J Cloete</w:t>
      </w:r>
    </w:p>
    <w:p w:rsidR="007E0C13" w:rsidRDefault="00D77613" w:rsidP="004C3172">
      <w:pPr>
        <w:tabs>
          <w:tab w:val="right" w:pos="9072"/>
        </w:tabs>
        <w:spacing w:line="480" w:lineRule="auto"/>
        <w:jc w:val="both"/>
      </w:pPr>
      <w:r w:rsidRPr="00E33BD4">
        <w:rPr>
          <w:b/>
        </w:rPr>
        <w:t>Heard:</w:t>
      </w:r>
      <w:r w:rsidR="00166F0F">
        <w:t xml:space="preserve"> </w:t>
      </w:r>
      <w:r w:rsidR="008576C6">
        <w:t>1 November 2022</w:t>
      </w:r>
      <w:r w:rsidR="007D0439">
        <w:t>, supplementary note delivered 9 November 2022</w:t>
      </w:r>
    </w:p>
    <w:p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A81514">
        <w:t>25 November 2022</w:t>
      </w:r>
    </w:p>
    <w:p w:rsidR="007E0C13" w:rsidRPr="003B461A" w:rsidRDefault="007E0C13" w:rsidP="003B461A">
      <w:pPr>
        <w:pBdr>
          <w:bottom w:val="single" w:sz="4" w:space="1" w:color="auto"/>
        </w:pBdr>
        <w:tabs>
          <w:tab w:val="right" w:pos="8400"/>
        </w:tabs>
        <w:spacing w:before="60" w:after="60"/>
        <w:jc w:val="both"/>
        <w:rPr>
          <w:sz w:val="26"/>
          <w:szCs w:val="26"/>
        </w:rPr>
      </w:pPr>
    </w:p>
    <w:p w:rsidR="007E0C13" w:rsidRPr="003B461A" w:rsidRDefault="007E0C13" w:rsidP="003B461A">
      <w:pPr>
        <w:tabs>
          <w:tab w:val="right" w:pos="8400"/>
        </w:tabs>
        <w:spacing w:before="60" w:after="60"/>
        <w:jc w:val="both"/>
        <w:rPr>
          <w:sz w:val="26"/>
          <w:szCs w:val="26"/>
        </w:rPr>
      </w:pPr>
    </w:p>
    <w:p w:rsidR="007E0C13" w:rsidRPr="003B461A" w:rsidRDefault="002D1856" w:rsidP="00D77613">
      <w:pPr>
        <w:tabs>
          <w:tab w:val="right" w:pos="8400"/>
        </w:tabs>
        <w:spacing w:before="60" w:after="60"/>
        <w:jc w:val="center"/>
        <w:rPr>
          <w:b/>
          <w:sz w:val="26"/>
          <w:szCs w:val="26"/>
        </w:rPr>
      </w:pPr>
      <w:r>
        <w:rPr>
          <w:b/>
          <w:sz w:val="26"/>
          <w:szCs w:val="26"/>
        </w:rPr>
        <w:t xml:space="preserve">JUDGMENT </w:t>
      </w:r>
    </w:p>
    <w:p w:rsidR="007E0C13" w:rsidRPr="003B461A" w:rsidRDefault="007E0C13" w:rsidP="003B461A">
      <w:pPr>
        <w:pBdr>
          <w:bottom w:val="single" w:sz="4" w:space="1" w:color="auto"/>
        </w:pBdr>
        <w:tabs>
          <w:tab w:val="right" w:pos="8400"/>
        </w:tabs>
        <w:spacing w:before="60" w:after="60"/>
        <w:jc w:val="both"/>
        <w:rPr>
          <w:sz w:val="26"/>
          <w:szCs w:val="26"/>
        </w:rPr>
      </w:pPr>
    </w:p>
    <w:p w:rsidR="003B461A" w:rsidRPr="00A46FAA" w:rsidRDefault="003B461A" w:rsidP="003B461A">
      <w:pPr>
        <w:jc w:val="both"/>
        <w:rPr>
          <w:rFonts w:eastAsiaTheme="minorHAnsi"/>
          <w:u w:val="single"/>
          <w:lang w:eastAsia="en-US"/>
        </w:rPr>
      </w:pPr>
    </w:p>
    <w:p w:rsidR="003B461A" w:rsidRDefault="00E4144F" w:rsidP="007134CF">
      <w:pPr>
        <w:jc w:val="both"/>
        <w:rPr>
          <w:rFonts w:eastAsiaTheme="minorHAnsi"/>
          <w:b/>
          <w:lang w:eastAsia="en-US"/>
        </w:rPr>
      </w:pPr>
      <w:r w:rsidRPr="00FD66FB">
        <w:rPr>
          <w:rFonts w:eastAsiaTheme="minorHAnsi"/>
          <w:b/>
          <w:u w:val="single"/>
          <w:lang w:eastAsia="en-US"/>
        </w:rPr>
        <w:t>CLOETE J</w:t>
      </w:r>
      <w:r w:rsidR="003D0062">
        <w:rPr>
          <w:rFonts w:eastAsiaTheme="minorHAnsi"/>
          <w:b/>
          <w:lang w:eastAsia="en-US"/>
        </w:rPr>
        <w:t>:</w:t>
      </w:r>
    </w:p>
    <w:p w:rsidR="00577B2C" w:rsidRDefault="00577B2C" w:rsidP="007134CF">
      <w:pPr>
        <w:jc w:val="both"/>
        <w:rPr>
          <w:rFonts w:eastAsiaTheme="minorHAnsi"/>
          <w:b/>
          <w:u w:val="single"/>
          <w:lang w:eastAsia="en-US"/>
        </w:rPr>
      </w:pPr>
    </w:p>
    <w:p w:rsidR="00577B2C" w:rsidRDefault="00577B2C" w:rsidP="007134CF">
      <w:pPr>
        <w:jc w:val="both"/>
        <w:rPr>
          <w:rFonts w:eastAsiaTheme="minorHAnsi"/>
          <w:b/>
          <w:u w:val="single"/>
          <w:lang w:eastAsia="en-US"/>
        </w:rPr>
      </w:pPr>
      <w:r>
        <w:rPr>
          <w:rFonts w:eastAsiaTheme="minorHAnsi"/>
          <w:b/>
          <w:u w:val="single"/>
          <w:lang w:eastAsia="en-US"/>
        </w:rPr>
        <w:t>Introduction</w:t>
      </w:r>
    </w:p>
    <w:p w:rsidR="00577B2C" w:rsidRPr="00577B2C" w:rsidRDefault="00577B2C" w:rsidP="007134CF">
      <w:pPr>
        <w:jc w:val="both"/>
        <w:rPr>
          <w:rFonts w:eastAsiaTheme="minorHAnsi"/>
          <w:b/>
          <w:u w:val="single"/>
          <w:lang w:eastAsia="en-US"/>
        </w:rPr>
      </w:pPr>
    </w:p>
    <w:p w:rsidR="00463FFB" w:rsidRDefault="00463FFB" w:rsidP="003B461A">
      <w:pPr>
        <w:jc w:val="both"/>
        <w:rPr>
          <w:rFonts w:eastAsiaTheme="minorHAnsi"/>
          <w:b/>
          <w:lang w:eastAsia="en-US"/>
        </w:rPr>
      </w:pPr>
    </w:p>
    <w:p w:rsidR="00942ABB" w:rsidRPr="008D00BB" w:rsidRDefault="000728A2" w:rsidP="008576C6">
      <w:pPr>
        <w:numPr>
          <w:ilvl w:val="0"/>
          <w:numId w:val="1"/>
        </w:numPr>
        <w:spacing w:after="480" w:line="480" w:lineRule="auto"/>
        <w:ind w:hanging="720"/>
        <w:jc w:val="both"/>
        <w:rPr>
          <w:b/>
        </w:rPr>
      </w:pPr>
      <w:r>
        <w:t>T</w:t>
      </w:r>
      <w:r w:rsidR="00B96740">
        <w:t>h</w:t>
      </w:r>
      <w:r w:rsidR="008D00BB">
        <w:t xml:space="preserve">is is an opposed application in which the applicant seeks leave to supplement its founding affidavit and amend its notice of motion in the main proceedings to </w:t>
      </w:r>
      <w:r w:rsidR="00A81514">
        <w:t>introduce</w:t>
      </w:r>
      <w:r w:rsidR="008D00BB">
        <w:t xml:space="preserve"> additional relief (the purpose of the supplementary founding affidavit is to support that additional relief).</w:t>
      </w:r>
    </w:p>
    <w:p w:rsidR="008D00BB" w:rsidRPr="008D00BB" w:rsidRDefault="008D00BB" w:rsidP="008576C6">
      <w:pPr>
        <w:numPr>
          <w:ilvl w:val="0"/>
          <w:numId w:val="1"/>
        </w:numPr>
        <w:spacing w:after="480" w:line="480" w:lineRule="auto"/>
        <w:ind w:hanging="720"/>
        <w:jc w:val="both"/>
        <w:rPr>
          <w:b/>
        </w:rPr>
      </w:pPr>
      <w:r>
        <w:lastRenderedPageBreak/>
        <w:t>The background to the current application is as follows. On 28 June 2019 the applicant launched the main proceedings by way of application for payment of R713 700 plus interest and costs. The respondent delivered its answering affidavit on 12 August 2019. Thereafter, and on 18 November 2019, an order (</w:t>
      </w:r>
      <w:r>
        <w:rPr>
          <w:i/>
        </w:rPr>
        <w:t>‘the referral order’</w:t>
      </w:r>
      <w:r>
        <w:t>) was granted by agreement in the following terms:</w:t>
      </w:r>
    </w:p>
    <w:p w:rsidR="008D00BB" w:rsidRDefault="008D00BB" w:rsidP="008D00BB">
      <w:pPr>
        <w:spacing w:after="120" w:line="360" w:lineRule="auto"/>
        <w:ind w:left="1440"/>
        <w:jc w:val="both"/>
        <w:rPr>
          <w:i/>
          <w:sz w:val="22"/>
          <w:szCs w:val="22"/>
        </w:rPr>
      </w:pPr>
      <w:r>
        <w:rPr>
          <w:i/>
          <w:sz w:val="22"/>
          <w:szCs w:val="22"/>
        </w:rPr>
        <w:t>‘1.</w:t>
      </w:r>
      <w:r>
        <w:rPr>
          <w:i/>
          <w:sz w:val="22"/>
          <w:szCs w:val="22"/>
        </w:rPr>
        <w:tab/>
        <w:t xml:space="preserve">The application is referred to trial; </w:t>
      </w:r>
    </w:p>
    <w:p w:rsidR="008D00BB" w:rsidRDefault="008D00BB" w:rsidP="008D00BB">
      <w:pPr>
        <w:spacing w:after="120" w:line="360" w:lineRule="auto"/>
        <w:ind w:left="1440"/>
        <w:jc w:val="both"/>
        <w:rPr>
          <w:i/>
          <w:sz w:val="22"/>
          <w:szCs w:val="22"/>
        </w:rPr>
      </w:pPr>
      <w:r>
        <w:rPr>
          <w:i/>
          <w:sz w:val="22"/>
          <w:szCs w:val="22"/>
        </w:rPr>
        <w:t>2.</w:t>
      </w:r>
      <w:r>
        <w:rPr>
          <w:i/>
          <w:sz w:val="22"/>
          <w:szCs w:val="22"/>
        </w:rPr>
        <w:tab/>
        <w:t>The notice of motion shall stand as a simple summons;</w:t>
      </w:r>
    </w:p>
    <w:p w:rsidR="008D00BB" w:rsidRDefault="008D00BB" w:rsidP="008D00BB">
      <w:pPr>
        <w:spacing w:after="120" w:line="360" w:lineRule="auto"/>
        <w:ind w:left="2160" w:hanging="720"/>
        <w:jc w:val="both"/>
        <w:rPr>
          <w:i/>
          <w:sz w:val="22"/>
          <w:szCs w:val="22"/>
        </w:rPr>
      </w:pPr>
      <w:r>
        <w:rPr>
          <w:i/>
          <w:sz w:val="22"/>
          <w:szCs w:val="22"/>
        </w:rPr>
        <w:t>3.</w:t>
      </w:r>
      <w:r>
        <w:rPr>
          <w:i/>
          <w:sz w:val="22"/>
          <w:szCs w:val="22"/>
        </w:rPr>
        <w:tab/>
        <w:t>The applicant shall deliver a declaration on or before 15 November 2019;</w:t>
      </w:r>
    </w:p>
    <w:p w:rsidR="008D00BB" w:rsidRDefault="008D00BB" w:rsidP="008D00BB">
      <w:pPr>
        <w:spacing w:after="120" w:line="360" w:lineRule="auto"/>
        <w:ind w:left="2160" w:hanging="720"/>
        <w:jc w:val="both"/>
        <w:rPr>
          <w:i/>
          <w:sz w:val="22"/>
          <w:szCs w:val="22"/>
        </w:rPr>
      </w:pPr>
      <w:r>
        <w:rPr>
          <w:i/>
          <w:sz w:val="22"/>
          <w:szCs w:val="22"/>
        </w:rPr>
        <w:t>4.</w:t>
      </w:r>
      <w:r>
        <w:rPr>
          <w:i/>
          <w:sz w:val="22"/>
          <w:szCs w:val="22"/>
        </w:rPr>
        <w:tab/>
        <w:t>The respondent shall deliver its plea on or before 13 December 2019;</w:t>
      </w:r>
    </w:p>
    <w:p w:rsidR="008D00BB" w:rsidRDefault="008D00BB" w:rsidP="008D00BB">
      <w:pPr>
        <w:spacing w:after="120" w:line="360" w:lineRule="auto"/>
        <w:ind w:left="2160" w:hanging="720"/>
        <w:jc w:val="both"/>
        <w:rPr>
          <w:i/>
          <w:sz w:val="22"/>
          <w:szCs w:val="22"/>
        </w:rPr>
      </w:pPr>
      <w:r>
        <w:rPr>
          <w:i/>
          <w:sz w:val="22"/>
          <w:szCs w:val="22"/>
        </w:rPr>
        <w:t>5.</w:t>
      </w:r>
      <w:r>
        <w:rPr>
          <w:i/>
          <w:sz w:val="22"/>
          <w:szCs w:val="22"/>
        </w:rPr>
        <w:tab/>
        <w:t>Costs shall stand over for later determination.’</w:t>
      </w:r>
    </w:p>
    <w:p w:rsidR="008D00BB" w:rsidRPr="008D00BB" w:rsidRDefault="008D00BB" w:rsidP="008D00BB">
      <w:pPr>
        <w:spacing w:after="120" w:line="360" w:lineRule="auto"/>
        <w:ind w:left="2160" w:hanging="720"/>
        <w:jc w:val="both"/>
        <w:rPr>
          <w:i/>
          <w:sz w:val="22"/>
          <w:szCs w:val="22"/>
        </w:rPr>
      </w:pPr>
    </w:p>
    <w:p w:rsidR="008D00BB" w:rsidRDefault="008D00BB" w:rsidP="008576C6">
      <w:pPr>
        <w:numPr>
          <w:ilvl w:val="0"/>
          <w:numId w:val="1"/>
        </w:numPr>
        <w:spacing w:after="480" w:line="480" w:lineRule="auto"/>
        <w:ind w:hanging="720"/>
        <w:jc w:val="both"/>
      </w:pPr>
      <w:r>
        <w:t>After the exchange of pleadings envisaged in the referral order, the matter came before Saldanha J. At the close of the applicant’s case the respondent applied for absolution from the instance with costs.</w:t>
      </w:r>
      <w:r>
        <w:rPr>
          <w:rStyle w:val="FootnoteReference"/>
        </w:rPr>
        <w:footnoteReference w:id="1"/>
      </w:r>
      <w:r w:rsidR="00AE7EC3">
        <w:t xml:space="preserve"> On 17 September 2021 the learned Judge handed down judgment granting the relief sought by the respondent. The applicant did not apply for leave to appeal the Saldanha J order. The present application was launched on 24 November 2021.</w:t>
      </w:r>
    </w:p>
    <w:p w:rsidR="00AE7EC3" w:rsidRPr="00AE7EC3" w:rsidRDefault="00AE7EC3" w:rsidP="00AE7EC3">
      <w:pPr>
        <w:spacing w:after="480" w:line="360" w:lineRule="auto"/>
        <w:jc w:val="both"/>
        <w:rPr>
          <w:b/>
          <w:u w:val="single"/>
        </w:rPr>
      </w:pPr>
      <w:r>
        <w:rPr>
          <w:b/>
          <w:u w:val="single"/>
        </w:rPr>
        <w:t>Whether the applicant has followed the correct procedure</w:t>
      </w:r>
    </w:p>
    <w:p w:rsidR="00FB0353" w:rsidRDefault="002B10DE" w:rsidP="00AC406B">
      <w:pPr>
        <w:numPr>
          <w:ilvl w:val="0"/>
          <w:numId w:val="1"/>
        </w:numPr>
        <w:spacing w:after="480" w:line="480" w:lineRule="auto"/>
        <w:ind w:hanging="720"/>
        <w:jc w:val="both"/>
      </w:pPr>
      <w:r>
        <w:t>I</w:t>
      </w:r>
      <w:r w:rsidR="0009713B">
        <w:t xml:space="preserve">t is </w:t>
      </w:r>
      <w:r>
        <w:t xml:space="preserve">first </w:t>
      </w:r>
      <w:r w:rsidR="0009713B">
        <w:t xml:space="preserve">necessary to consider whether it is still open to the applicant to amend its notice of motion, given the parties’ agreement in paragraph 2 of the referral order that this </w:t>
      </w:r>
      <w:r w:rsidR="0009713B" w:rsidRPr="00E532EA">
        <w:rPr>
          <w:i/>
        </w:rPr>
        <w:t>‘shall stand as a simple summons’.</w:t>
      </w:r>
      <w:r w:rsidR="0009713B">
        <w:t xml:space="preserve"> In the answering affidavit the respondent’s deponent contended that </w:t>
      </w:r>
      <w:r w:rsidR="0009713B" w:rsidRPr="00E532EA">
        <w:rPr>
          <w:i/>
        </w:rPr>
        <w:t xml:space="preserve">‘the motion proceedings have been superseded </w:t>
      </w:r>
      <w:r w:rsidR="00FB0353" w:rsidRPr="00E532EA">
        <w:rPr>
          <w:i/>
        </w:rPr>
        <w:t>by the action proceedings. The wrong procedure is being followed. The applicant should have given notice of intention to amend the declaration’.</w:t>
      </w:r>
      <w:r w:rsidR="00E532EA" w:rsidRPr="00E532EA">
        <w:rPr>
          <w:i/>
        </w:rPr>
        <w:t xml:space="preserve"> </w:t>
      </w:r>
      <w:r w:rsidR="005A440B">
        <w:t>The applicant submitted that this contention is without merit, since the</w:t>
      </w:r>
      <w:r w:rsidR="00A81514">
        <w:t xml:space="preserve"> additional</w:t>
      </w:r>
      <w:r w:rsidR="005A440B">
        <w:t xml:space="preserve"> </w:t>
      </w:r>
      <w:r w:rsidR="00991E7A">
        <w:t>causes of action</w:t>
      </w:r>
      <w:r w:rsidR="005A440B">
        <w:t xml:space="preserve"> which it now seeks to introduce </w:t>
      </w:r>
      <w:r w:rsidR="00A81514">
        <w:t>were</w:t>
      </w:r>
      <w:r w:rsidR="005A440B">
        <w:t xml:space="preserve"> not issue</w:t>
      </w:r>
      <w:r w:rsidR="00A81514">
        <w:t>s</w:t>
      </w:r>
      <w:r w:rsidR="005A440B">
        <w:t xml:space="preserve"> that </w:t>
      </w:r>
      <w:r w:rsidR="00A81514">
        <w:t>were</w:t>
      </w:r>
      <w:r w:rsidR="005A440B">
        <w:t xml:space="preserve"> referred to trial, and thus not dealt with in the pleadings which followed the referral order. </w:t>
      </w:r>
    </w:p>
    <w:p w:rsidR="005A440B" w:rsidRDefault="005A440B" w:rsidP="008576C6">
      <w:pPr>
        <w:numPr>
          <w:ilvl w:val="0"/>
          <w:numId w:val="1"/>
        </w:numPr>
        <w:spacing w:after="480" w:line="480" w:lineRule="auto"/>
        <w:ind w:hanging="720"/>
        <w:jc w:val="both"/>
      </w:pPr>
      <w:r>
        <w:t xml:space="preserve">Neither party specifically considered </w:t>
      </w:r>
      <w:r w:rsidR="00BA2858">
        <w:t xml:space="preserve">whether or not it is competent for this Court to grant an amendment to a simple summons (which is what the notice of motion became in light of the referral order). Counsel were thus afforded the opportunity to do so by way of supplementary notes. I was </w:t>
      </w:r>
      <w:r w:rsidR="009B6FB4">
        <w:t>thereafter</w:t>
      </w:r>
      <w:r w:rsidR="00BA2858">
        <w:t xml:space="preserve"> informed that neither were able to find any authority on the point, but they drew my attention to </w:t>
      </w:r>
      <w:r w:rsidR="00BA2858">
        <w:rPr>
          <w:i/>
        </w:rPr>
        <w:t xml:space="preserve">Absa Bank v </w:t>
      </w:r>
      <w:r w:rsidR="00AF56FA">
        <w:rPr>
          <w:i/>
        </w:rPr>
        <w:t>Janse Van Rensburg</w:t>
      </w:r>
      <w:r w:rsidR="00AF56FA">
        <w:rPr>
          <w:rStyle w:val="FootnoteReference"/>
        </w:rPr>
        <w:footnoteReference w:id="2"/>
      </w:r>
      <w:r w:rsidR="00AF56FA">
        <w:t xml:space="preserve"> where a full court of this division referred to </w:t>
      </w:r>
      <w:r w:rsidR="00AF56FA">
        <w:rPr>
          <w:i/>
        </w:rPr>
        <w:t xml:space="preserve">Icebreakers No 83 (Pty) Ltd v </w:t>
      </w:r>
      <w:proofErr w:type="spellStart"/>
      <w:r w:rsidR="00AF56FA">
        <w:rPr>
          <w:i/>
        </w:rPr>
        <w:t>Medicross</w:t>
      </w:r>
      <w:proofErr w:type="spellEnd"/>
      <w:r w:rsidR="00AF56FA">
        <w:rPr>
          <w:i/>
        </w:rPr>
        <w:t xml:space="preserve"> Health Care Group (Pty) Ltd</w:t>
      </w:r>
      <w:r w:rsidR="00AF56FA" w:rsidRPr="00AF56FA">
        <w:t xml:space="preserve"> </w:t>
      </w:r>
      <w:r w:rsidR="00AF56FA" w:rsidRPr="00AF56FA">
        <w:rPr>
          <w:rStyle w:val="FootnoteReference"/>
        </w:rPr>
        <w:footnoteReference w:id="3"/>
      </w:r>
      <w:r w:rsidR="00AF56FA">
        <w:t xml:space="preserve"> in which it was held that a simple summons is not a pleading.</w:t>
      </w:r>
    </w:p>
    <w:p w:rsidR="00964578" w:rsidRDefault="00964578" w:rsidP="008576C6">
      <w:pPr>
        <w:numPr>
          <w:ilvl w:val="0"/>
          <w:numId w:val="1"/>
        </w:numPr>
        <w:spacing w:after="480" w:line="480" w:lineRule="auto"/>
        <w:ind w:hanging="720"/>
        <w:jc w:val="both"/>
      </w:pPr>
      <w:r>
        <w:t xml:space="preserve">In </w:t>
      </w:r>
      <w:r>
        <w:rPr>
          <w:i/>
        </w:rPr>
        <w:t>Icebreakers</w:t>
      </w:r>
      <w:r>
        <w:t xml:space="preserve"> the Court considered whether it is competent to note an exception to a simple summons. Pertinent for present purposes are the following passages from the judgment:</w:t>
      </w:r>
    </w:p>
    <w:p w:rsidR="00964578" w:rsidRDefault="00BB1197" w:rsidP="00A657F9">
      <w:pPr>
        <w:spacing w:after="120" w:line="360" w:lineRule="auto"/>
        <w:ind w:left="1440"/>
        <w:jc w:val="both"/>
        <w:rPr>
          <w:i/>
          <w:sz w:val="22"/>
          <w:szCs w:val="22"/>
        </w:rPr>
      </w:pPr>
      <w:r>
        <w:rPr>
          <w:i/>
          <w:sz w:val="22"/>
          <w:szCs w:val="22"/>
        </w:rPr>
        <w:t>‘[9] Rule 18(4) is, if anything, even more destructive of the defendant’s contentions. It provides that every pleading shall contain a clear and concise statement of the material facts upon which the pleader relies for the claim, with sufficient particularity, to enable the oppos</w:t>
      </w:r>
      <w:r w:rsidR="00AB2A76">
        <w:rPr>
          <w:i/>
          <w:sz w:val="22"/>
          <w:szCs w:val="22"/>
        </w:rPr>
        <w:t>ite</w:t>
      </w:r>
      <w:r>
        <w:rPr>
          <w:i/>
          <w:sz w:val="22"/>
          <w:szCs w:val="22"/>
        </w:rPr>
        <w:t xml:space="preserve"> party to reply thereto</w:t>
      </w:r>
      <w:r w:rsidR="00E532EA">
        <w:rPr>
          <w:i/>
          <w:sz w:val="22"/>
          <w:szCs w:val="22"/>
        </w:rPr>
        <w:t>…</w:t>
      </w:r>
      <w:r>
        <w:rPr>
          <w:i/>
          <w:sz w:val="22"/>
          <w:szCs w:val="22"/>
        </w:rPr>
        <w:t xml:space="preserve"> a party receiving a simple summons does not reply to the summons, but awaits service of a declaration to which the defendant </w:t>
      </w:r>
      <w:r w:rsidR="00EB2FFE">
        <w:rPr>
          <w:i/>
          <w:sz w:val="22"/>
          <w:szCs w:val="22"/>
        </w:rPr>
        <w:t xml:space="preserve">responds by way of plea. It follows plainly that a simple summons does not have to comply with rule 18(4). The logical inference to be drawn from the fact that it does not need to comply with the fundamental rules governing pleadings is that this is so because it is not a pleading. That is consistent with the view of the authors of </w:t>
      </w:r>
      <w:proofErr w:type="spellStart"/>
      <w:r w:rsidR="00A657F9">
        <w:rPr>
          <w:i/>
          <w:sz w:val="22"/>
          <w:szCs w:val="22"/>
        </w:rPr>
        <w:t>Herbstein</w:t>
      </w:r>
      <w:proofErr w:type="spellEnd"/>
      <w:r w:rsidR="00A657F9">
        <w:rPr>
          <w:i/>
          <w:sz w:val="22"/>
          <w:szCs w:val="22"/>
        </w:rPr>
        <w:t xml:space="preserve"> &amp; Van </w:t>
      </w:r>
      <w:proofErr w:type="spellStart"/>
      <w:r w:rsidR="00A657F9">
        <w:rPr>
          <w:i/>
          <w:sz w:val="22"/>
          <w:szCs w:val="22"/>
        </w:rPr>
        <w:t>Winsen</w:t>
      </w:r>
      <w:proofErr w:type="spellEnd"/>
      <w:r w:rsidR="00A657F9">
        <w:rPr>
          <w:i/>
          <w:sz w:val="22"/>
          <w:szCs w:val="22"/>
        </w:rPr>
        <w:t>, who say that a simple summons is not a pleading.</w:t>
      </w:r>
    </w:p>
    <w:p w:rsidR="00A657F9" w:rsidRDefault="00A657F9" w:rsidP="00A657F9">
      <w:pPr>
        <w:spacing w:after="120" w:line="360" w:lineRule="auto"/>
        <w:ind w:left="1440"/>
        <w:jc w:val="both"/>
        <w:rPr>
          <w:i/>
          <w:sz w:val="22"/>
          <w:szCs w:val="22"/>
        </w:rPr>
      </w:pPr>
      <w:r>
        <w:rPr>
          <w:i/>
          <w:sz w:val="22"/>
          <w:szCs w:val="22"/>
        </w:rPr>
        <w:t>[10]  The summons serves the function of commencing the litigation and bringing the defendant before the court. The pleading, whether by way of particulars of claim or declaration, contains the statement of the case…’</w:t>
      </w:r>
    </w:p>
    <w:p w:rsidR="00641652" w:rsidRDefault="00641652" w:rsidP="00A657F9">
      <w:pPr>
        <w:spacing w:after="120" w:line="360" w:lineRule="auto"/>
        <w:ind w:left="1440"/>
        <w:jc w:val="both"/>
        <w:rPr>
          <w:i/>
          <w:sz w:val="22"/>
          <w:szCs w:val="22"/>
        </w:rPr>
      </w:pPr>
    </w:p>
    <w:p w:rsidR="00E532EA" w:rsidRDefault="00E532EA" w:rsidP="008576C6">
      <w:pPr>
        <w:numPr>
          <w:ilvl w:val="0"/>
          <w:numId w:val="1"/>
        </w:numPr>
        <w:spacing w:after="480" w:line="480" w:lineRule="auto"/>
        <w:ind w:hanging="720"/>
        <w:jc w:val="both"/>
      </w:pPr>
      <w:r>
        <w:t xml:space="preserve">Rule 28 of the uniform rules of court prescribes the procedure to be followed for amendments to </w:t>
      </w:r>
      <w:r>
        <w:rPr>
          <w:i/>
        </w:rPr>
        <w:t>‘pleadings and documents’</w:t>
      </w:r>
      <w:r>
        <w:t xml:space="preserve">. Rule 28(1) provides that any party desiring to amend </w:t>
      </w:r>
      <w:r>
        <w:rPr>
          <w:i/>
        </w:rPr>
        <w:t>‘any pleading or document other than a sworn statement, filed in connection with any proceedings’</w:t>
      </w:r>
      <w:r>
        <w:t xml:space="preserve"> must follow the </w:t>
      </w:r>
      <w:r w:rsidR="009B6FB4">
        <w:t>steps</w:t>
      </w:r>
      <w:r>
        <w:t xml:space="preserve"> set out in that rule. Unhelpfully a </w:t>
      </w:r>
      <w:r>
        <w:rPr>
          <w:i/>
        </w:rPr>
        <w:t>‘document’</w:t>
      </w:r>
      <w:r>
        <w:t xml:space="preserve"> is not defined. </w:t>
      </w:r>
      <w:r w:rsidR="00A25962">
        <w:t xml:space="preserve">Assuming </w:t>
      </w:r>
      <w:r>
        <w:t xml:space="preserve">however </w:t>
      </w:r>
      <w:r w:rsidR="00A25962">
        <w:t xml:space="preserve">that </w:t>
      </w:r>
      <w:r>
        <w:t>a simple summons constitutes a document,</w:t>
      </w:r>
      <w:r w:rsidR="00C867D3">
        <w:t xml:space="preserve"> what </w:t>
      </w:r>
      <w:r w:rsidR="00C867D3">
        <w:rPr>
          <w:i/>
        </w:rPr>
        <w:t>Icebreakers</w:t>
      </w:r>
      <w:r w:rsidR="00C867D3">
        <w:t xml:space="preserve"> makes clear is that </w:t>
      </w:r>
      <w:r>
        <w:t>the amendment sought</w:t>
      </w:r>
      <w:r w:rsidR="00C867D3">
        <w:t xml:space="preserve"> will not assist the applicant in pursuing the additional relief it now seeks to introduce. </w:t>
      </w:r>
    </w:p>
    <w:p w:rsidR="00964578" w:rsidRDefault="00E532EA" w:rsidP="004112AF">
      <w:pPr>
        <w:numPr>
          <w:ilvl w:val="0"/>
          <w:numId w:val="1"/>
        </w:numPr>
        <w:spacing w:after="480" w:line="480" w:lineRule="auto"/>
        <w:ind w:hanging="720"/>
        <w:jc w:val="both"/>
      </w:pPr>
      <w:r>
        <w:t xml:space="preserve">I say this for two principal reasons. </w:t>
      </w:r>
      <w:r w:rsidR="00C867D3">
        <w:t xml:space="preserve">First, even if the amendment sought is granted, the respondent </w:t>
      </w:r>
      <w:r w:rsidR="004112AF">
        <w:t xml:space="preserve">will not be required to plead to anything until the applicant serves an amended declaration. </w:t>
      </w:r>
      <w:r w:rsidR="00880E7C">
        <w:t xml:space="preserve">Second, the applicant </w:t>
      </w:r>
      <w:r w:rsidR="00880E7C" w:rsidRPr="00502326">
        <w:rPr>
          <w:u w:val="single"/>
        </w:rPr>
        <w:t>agreed</w:t>
      </w:r>
      <w:r w:rsidR="00880E7C">
        <w:t xml:space="preserve"> to a referral to trial rather than to oral evidence on </w:t>
      </w:r>
      <w:r w:rsidR="00502326">
        <w:t>specified</w:t>
      </w:r>
      <w:r w:rsidR="00880E7C">
        <w:t xml:space="preserve"> issues. This</w:t>
      </w:r>
      <w:r w:rsidR="00502326">
        <w:t xml:space="preserve"> distinction is</w:t>
      </w:r>
      <w:r w:rsidR="00880E7C">
        <w:t xml:space="preserve"> important </w:t>
      </w:r>
      <w:r w:rsidR="00502326">
        <w:t xml:space="preserve">since the consequences are different, as </w:t>
      </w:r>
      <w:r w:rsidR="00880E7C">
        <w:t xml:space="preserve">was highlighted by the Supreme Court of Appeal in </w:t>
      </w:r>
      <w:proofErr w:type="spellStart"/>
      <w:r w:rsidR="00880E7C" w:rsidRPr="004112AF">
        <w:rPr>
          <w:i/>
        </w:rPr>
        <w:t>Lekup</w:t>
      </w:r>
      <w:proofErr w:type="spellEnd"/>
      <w:r w:rsidR="00880E7C" w:rsidRPr="004112AF">
        <w:rPr>
          <w:i/>
        </w:rPr>
        <w:t xml:space="preserve"> Prop </w:t>
      </w:r>
      <w:r w:rsidR="00502326">
        <w:rPr>
          <w:i/>
        </w:rPr>
        <w:t xml:space="preserve">Co </w:t>
      </w:r>
      <w:r w:rsidR="00880E7C" w:rsidRPr="004112AF">
        <w:rPr>
          <w:i/>
        </w:rPr>
        <w:t>No 4 v Wright</w:t>
      </w:r>
      <w:r w:rsidR="00880E7C">
        <w:t>:</w:t>
      </w:r>
      <w:r w:rsidR="00880E7C">
        <w:rPr>
          <w:rStyle w:val="FootnoteReference"/>
        </w:rPr>
        <w:footnoteReference w:id="4"/>
      </w:r>
    </w:p>
    <w:p w:rsidR="00F24E53" w:rsidRPr="00F24E53" w:rsidRDefault="00F24E53" w:rsidP="00991E7A">
      <w:pPr>
        <w:spacing w:after="600" w:line="360" w:lineRule="auto"/>
        <w:ind w:left="1440"/>
        <w:jc w:val="both"/>
        <w:rPr>
          <w:i/>
          <w:sz w:val="22"/>
          <w:szCs w:val="22"/>
        </w:rPr>
      </w:pPr>
      <w:r>
        <w:rPr>
          <w:i/>
          <w:sz w:val="22"/>
          <w:szCs w:val="22"/>
        </w:rPr>
        <w:t xml:space="preserve">‘[32] …It will be recalled that the appellant initiated motion proceedings and that the matter was referred to trial after the respondent had filed his answering affidavit. At the trial the respondent was allowed to read from that affidavit and did so, extensively. That was not the correct procedure… Affidavits filed may of course be used for cross-examination and also as proof of admissions therein contained, but </w:t>
      </w:r>
      <w:r w:rsidR="00D1569C">
        <w:rPr>
          <w:i/>
          <w:sz w:val="22"/>
          <w:szCs w:val="22"/>
        </w:rPr>
        <w:t>(save to the extent that they contain admissions) they have no probative value; and in the absence of agreement, they do not stand as the witness’s evidence-in-chief or supplement it… A referral to trial is different to a referral to evidence, on limited issues. In the latter case the affidavits stand as evidence, save to the extent that they deal with dispute(s) of fact; and once the dispute(s) have been resolved by oral evidence, the matter is decided on the basis of that finding together with the affidavit evidence that is not in dispute.’</w:t>
      </w:r>
    </w:p>
    <w:p w:rsidR="00F24E53" w:rsidRDefault="00502326" w:rsidP="008576C6">
      <w:pPr>
        <w:numPr>
          <w:ilvl w:val="0"/>
          <w:numId w:val="1"/>
        </w:numPr>
        <w:spacing w:after="480" w:line="480" w:lineRule="auto"/>
        <w:ind w:hanging="720"/>
        <w:jc w:val="both"/>
      </w:pPr>
      <w:r>
        <w:t>G</w:t>
      </w:r>
      <w:r w:rsidR="00D1569C">
        <w:t xml:space="preserve">iven the agreement to refer the main proceedings to trial, </w:t>
      </w:r>
      <w:r w:rsidR="005E2B87">
        <w:t xml:space="preserve">I do not see how it will assist </w:t>
      </w:r>
      <w:r w:rsidR="00D1569C">
        <w:t xml:space="preserve">the applicant to supplement its founding affidavit </w:t>
      </w:r>
      <w:r w:rsidR="005E2B87">
        <w:t>in support of the additional relief it seeks because</w:t>
      </w:r>
      <w:r w:rsidR="00D1569C">
        <w:t>, even if it does so, the proverbial horse has bolted since the exchange of affidavits has come and gone.</w:t>
      </w:r>
      <w:r w:rsidR="009F50A5">
        <w:t xml:space="preserve"> It will not be incumbent upon the respondent to file an answering affidavit, and the probative value of such a supplementary affidavit will fall within the confines </w:t>
      </w:r>
      <w:r w:rsidR="0033262C">
        <w:t xml:space="preserve">outlined in </w:t>
      </w:r>
      <w:proofErr w:type="spellStart"/>
      <w:r w:rsidR="0033262C">
        <w:rPr>
          <w:i/>
        </w:rPr>
        <w:t>Lekup</w:t>
      </w:r>
      <w:proofErr w:type="spellEnd"/>
      <w:r w:rsidR="0033262C">
        <w:rPr>
          <w:i/>
        </w:rPr>
        <w:t xml:space="preserve"> Prop Co.</w:t>
      </w:r>
      <w:r w:rsidR="00D1569C">
        <w:t xml:space="preserve"> </w:t>
      </w:r>
    </w:p>
    <w:p w:rsidR="00AB2A76" w:rsidRDefault="00AB2A76" w:rsidP="008576C6">
      <w:pPr>
        <w:numPr>
          <w:ilvl w:val="0"/>
          <w:numId w:val="1"/>
        </w:numPr>
        <w:spacing w:after="480" w:line="480" w:lineRule="auto"/>
        <w:ind w:hanging="720"/>
        <w:jc w:val="both"/>
      </w:pPr>
      <w:r>
        <w:t xml:space="preserve">The respondent’s other primary contention is that this application is in any event premature, since the applicant has not applied for leave to reopen its case. The applicant disagrees, maintaining that it has followed the approach in </w:t>
      </w:r>
      <w:r>
        <w:rPr>
          <w:i/>
        </w:rPr>
        <w:t>African Farms and Townships Ltd v Cape Town Municipality</w:t>
      </w:r>
      <w:r>
        <w:rPr>
          <w:rStyle w:val="FootnoteReference"/>
        </w:rPr>
        <w:footnoteReference w:id="5"/>
      </w:r>
      <w:r w:rsidR="00475749">
        <w:t xml:space="preserve"> where it was held that:</w:t>
      </w:r>
    </w:p>
    <w:p w:rsidR="00475749" w:rsidRPr="00475749" w:rsidRDefault="00475749" w:rsidP="00991E7A">
      <w:pPr>
        <w:spacing w:after="600" w:line="360" w:lineRule="auto"/>
        <w:ind w:left="1440"/>
        <w:jc w:val="both"/>
        <w:rPr>
          <w:i/>
          <w:sz w:val="22"/>
          <w:szCs w:val="22"/>
        </w:rPr>
      </w:pPr>
      <w:r>
        <w:rPr>
          <w:i/>
          <w:sz w:val="22"/>
          <w:szCs w:val="22"/>
        </w:rPr>
        <w:t>‘As pointed out in Purchase v Purchase 1960 (3) SA 383 (N) at 385, dismissal and refusal of an application have the same effect, namely a decision in favour of the respondent. The equivalent of absolution from the instance would be that no order is made, or that leave is granted to apply again on the same papers.’</w:t>
      </w:r>
    </w:p>
    <w:p w:rsidR="00475749" w:rsidRDefault="00475749" w:rsidP="008576C6">
      <w:pPr>
        <w:numPr>
          <w:ilvl w:val="0"/>
          <w:numId w:val="1"/>
        </w:numPr>
        <w:spacing w:after="480" w:line="480" w:lineRule="auto"/>
        <w:ind w:hanging="720"/>
        <w:jc w:val="both"/>
      </w:pPr>
      <w:r>
        <w:t xml:space="preserve">This issue was comprehensively dealt with by </w:t>
      </w:r>
      <w:proofErr w:type="spellStart"/>
      <w:r>
        <w:t>Tuchten</w:t>
      </w:r>
      <w:proofErr w:type="spellEnd"/>
      <w:r>
        <w:t xml:space="preserve"> J sitting as a court of first instance in </w:t>
      </w:r>
      <w:r>
        <w:rPr>
          <w:i/>
        </w:rPr>
        <w:t>Liberty v K &amp; D Telemarketing</w:t>
      </w:r>
      <w:r w:rsidRPr="00475749">
        <w:rPr>
          <w:rStyle w:val="FootnoteReference"/>
        </w:rPr>
        <w:footnoteReference w:id="6"/>
      </w:r>
      <w:r>
        <w:t xml:space="preserve"> as well as the decision of the Supreme Court of Appeal in the same matter.</w:t>
      </w:r>
      <w:r>
        <w:rPr>
          <w:rStyle w:val="FootnoteReference"/>
        </w:rPr>
        <w:footnoteReference w:id="7"/>
      </w:r>
      <w:r>
        <w:t xml:space="preserve"> </w:t>
      </w:r>
      <w:r w:rsidR="009B6FB4">
        <w:t xml:space="preserve">In </w:t>
      </w:r>
      <w:r w:rsidR="009B6FB4">
        <w:rPr>
          <w:i/>
        </w:rPr>
        <w:t>Liberty</w:t>
      </w:r>
      <w:r w:rsidR="009B6FB4">
        <w:t xml:space="preserve"> the issue was whether, after an order of absolution at the end of a trial, the plaintiff was entitled to reopen its case to pursue its original claim on the same pleadings (seemingly to avoid a plea of prescription). Dismissing the application, </w:t>
      </w:r>
      <w:proofErr w:type="spellStart"/>
      <w:r>
        <w:t>Tuchten</w:t>
      </w:r>
      <w:proofErr w:type="spellEnd"/>
      <w:r>
        <w:t xml:space="preserve"> J held as follows:</w:t>
      </w:r>
    </w:p>
    <w:p w:rsidR="00475749" w:rsidRDefault="00AD0617" w:rsidP="00AD0617">
      <w:pPr>
        <w:spacing w:after="120" w:line="360" w:lineRule="auto"/>
        <w:ind w:left="1440"/>
        <w:jc w:val="both"/>
        <w:rPr>
          <w:i/>
          <w:sz w:val="22"/>
          <w:szCs w:val="22"/>
        </w:rPr>
      </w:pPr>
      <w:r>
        <w:rPr>
          <w:i/>
          <w:sz w:val="22"/>
          <w:szCs w:val="22"/>
        </w:rPr>
        <w:t>‘[19]  There are to my mind a number of reasons why the present application cannot succeed. I think the most important is that the argument presented on behalf of the plaintiff wrongly characterises the courses of action available to a plaintiff against whom absolution has been decreed after the conclusion of the defendant’s case. A plaintiff in such circumstances always has the right to bring further proceedings to enforce his claim. He may do so by instituting proceedings afresh. For that he does not need the leave of the court.</w:t>
      </w:r>
    </w:p>
    <w:p w:rsidR="00AD0617" w:rsidRDefault="00AD0617" w:rsidP="00AD0617">
      <w:pPr>
        <w:spacing w:after="120" w:line="360" w:lineRule="auto"/>
        <w:ind w:left="1440"/>
        <w:jc w:val="both"/>
        <w:rPr>
          <w:i/>
          <w:sz w:val="22"/>
          <w:szCs w:val="22"/>
        </w:rPr>
      </w:pPr>
      <w:r>
        <w:rPr>
          <w:i/>
          <w:sz w:val="22"/>
          <w:szCs w:val="22"/>
        </w:rPr>
        <w:t>[20]  He may also do so by proceeding on the same papers. He needs the court’s permission to do that. But whichever route is followed, such a plaintiff must proceed afresh (de novo)…’</w:t>
      </w:r>
    </w:p>
    <w:p w:rsidR="00AD0617" w:rsidRPr="00475749" w:rsidRDefault="00AD0617" w:rsidP="00AD0617">
      <w:pPr>
        <w:spacing w:after="120" w:line="360" w:lineRule="auto"/>
        <w:ind w:left="1440"/>
        <w:jc w:val="both"/>
        <w:rPr>
          <w:i/>
          <w:sz w:val="22"/>
          <w:szCs w:val="22"/>
        </w:rPr>
      </w:pPr>
    </w:p>
    <w:p w:rsidR="00475749" w:rsidRDefault="00AD0617" w:rsidP="008576C6">
      <w:pPr>
        <w:numPr>
          <w:ilvl w:val="0"/>
          <w:numId w:val="1"/>
        </w:numPr>
        <w:spacing w:after="480" w:line="480" w:lineRule="auto"/>
        <w:ind w:hanging="720"/>
        <w:jc w:val="both"/>
      </w:pPr>
      <w:r>
        <w:t xml:space="preserve">On appeal, counsel on behalf of Liberty relied on </w:t>
      </w:r>
      <w:r>
        <w:rPr>
          <w:i/>
        </w:rPr>
        <w:t>African Farms</w:t>
      </w:r>
      <w:r>
        <w:rPr>
          <w:b/>
        </w:rPr>
        <w:t xml:space="preserve"> </w:t>
      </w:r>
      <w:r>
        <w:t xml:space="preserve">for its submission that it was </w:t>
      </w:r>
      <w:r>
        <w:rPr>
          <w:u w:val="single"/>
        </w:rPr>
        <w:t>entitled</w:t>
      </w:r>
      <w:r>
        <w:t xml:space="preserve"> to reopen its case on the same papers. The appeal court contextualised </w:t>
      </w:r>
      <w:r>
        <w:rPr>
          <w:i/>
        </w:rPr>
        <w:t>African Farms</w:t>
      </w:r>
      <w:r>
        <w:t xml:space="preserve"> as follows:</w:t>
      </w:r>
    </w:p>
    <w:p w:rsidR="00AD0617" w:rsidRDefault="00AD0617" w:rsidP="00AD0617">
      <w:pPr>
        <w:spacing w:after="240" w:line="360" w:lineRule="auto"/>
        <w:ind w:left="1440"/>
        <w:jc w:val="both"/>
        <w:rPr>
          <w:sz w:val="22"/>
          <w:szCs w:val="22"/>
        </w:rPr>
      </w:pPr>
      <w:r>
        <w:rPr>
          <w:i/>
          <w:sz w:val="22"/>
          <w:szCs w:val="22"/>
        </w:rPr>
        <w:t>‘[13]  …That dictum relates to motion proceedings. In motion proceedings, usually in unopposed matters, an applicant might be given leave to approach a court on the same papers</w:t>
      </w:r>
      <w:r w:rsidR="000D03CE">
        <w:rPr>
          <w:i/>
          <w:sz w:val="22"/>
          <w:szCs w:val="22"/>
        </w:rPr>
        <w:t xml:space="preserve">, supplemented if so advised. That is not an order susceptible to appeal. It is no authority for the proposition that it is permissible, after an order of absolution from the instance, to reopen under the same case number on existing pleadings. The only equivalence is that in either instance a defence of res judicata could not be raised. This would be so when an action is instituted de novo or when the application, </w:t>
      </w:r>
      <w:r w:rsidR="000D03CE">
        <w:rPr>
          <w:i/>
          <w:sz w:val="22"/>
          <w:szCs w:val="22"/>
          <w:u w:val="single"/>
        </w:rPr>
        <w:t>in terms of leave having been given, is brought on the same papers, supplemented, if so advised</w:t>
      </w:r>
      <w:r w:rsidR="000D03CE">
        <w:rPr>
          <w:i/>
          <w:sz w:val="22"/>
          <w:szCs w:val="22"/>
        </w:rPr>
        <w:t>. That is what the dictum in African Farms was conveying.’</w:t>
      </w:r>
    </w:p>
    <w:p w:rsidR="000D03CE" w:rsidRPr="000D03CE" w:rsidRDefault="000D03CE" w:rsidP="00991E7A">
      <w:pPr>
        <w:spacing w:after="480" w:line="360" w:lineRule="auto"/>
        <w:ind w:left="1440"/>
        <w:jc w:val="both"/>
        <w:rPr>
          <w:sz w:val="22"/>
          <w:szCs w:val="22"/>
        </w:rPr>
      </w:pPr>
      <w:r>
        <w:rPr>
          <w:sz w:val="22"/>
          <w:szCs w:val="22"/>
        </w:rPr>
        <w:t>[my emphasis]</w:t>
      </w:r>
    </w:p>
    <w:p w:rsidR="000D03CE" w:rsidRDefault="000D03CE" w:rsidP="000D03CE">
      <w:pPr>
        <w:numPr>
          <w:ilvl w:val="0"/>
          <w:numId w:val="1"/>
        </w:numPr>
        <w:spacing w:after="480" w:line="480" w:lineRule="auto"/>
        <w:ind w:hanging="720"/>
        <w:jc w:val="both"/>
      </w:pPr>
      <w:r>
        <w:t xml:space="preserve">Although </w:t>
      </w:r>
      <w:r w:rsidR="00D02B5D">
        <w:t xml:space="preserve">in </w:t>
      </w:r>
      <w:r w:rsidR="00D02B5D" w:rsidRPr="00D02B5D">
        <w:rPr>
          <w:i/>
        </w:rPr>
        <w:t>Liberty</w:t>
      </w:r>
      <w:r w:rsidR="00D02B5D">
        <w:rPr>
          <w:i/>
        </w:rPr>
        <w:t xml:space="preserve"> </w:t>
      </w:r>
      <w:r w:rsidRPr="00D02B5D">
        <w:t>absolution</w:t>
      </w:r>
      <w:r>
        <w:t xml:space="preserve"> </w:t>
      </w:r>
      <w:r w:rsidR="00D02B5D">
        <w:t xml:space="preserve">was granted </w:t>
      </w:r>
      <w:r>
        <w:t>after conclusion of the defendant’s case, I do not understand the principle to be any different when</w:t>
      </w:r>
      <w:r w:rsidR="00D02B5D">
        <w:t xml:space="preserve"> such</w:t>
      </w:r>
      <w:r>
        <w:t xml:space="preserve"> an application is made at the close of a plaintiff’s case, and although the applicant is referred to as such</w:t>
      </w:r>
      <w:r w:rsidR="00D02B5D">
        <w:t xml:space="preserve"> in these proceedings</w:t>
      </w:r>
      <w:r>
        <w:t xml:space="preserve">, for purposes of the trial it was clearly the plaintiff. </w:t>
      </w:r>
      <w:r w:rsidR="00D02B5D">
        <w:t xml:space="preserve">If a plaintiff is required to obtain leave of the court to reopen its case after absolution (unless it proceeds afresh) the relief currently sought by the applicant would be premature. </w:t>
      </w:r>
    </w:p>
    <w:p w:rsidR="00D02B5D" w:rsidRDefault="00D02B5D" w:rsidP="00991E7A">
      <w:pPr>
        <w:numPr>
          <w:ilvl w:val="0"/>
          <w:numId w:val="1"/>
        </w:numPr>
        <w:spacing w:after="360" w:line="480" w:lineRule="auto"/>
        <w:ind w:hanging="720"/>
        <w:jc w:val="both"/>
      </w:pPr>
      <w:r>
        <w:t xml:space="preserve">Of course the distinguishing feature between </w:t>
      </w:r>
      <w:r>
        <w:rPr>
          <w:i/>
        </w:rPr>
        <w:t>Liberty</w:t>
      </w:r>
      <w:r>
        <w:t xml:space="preserve"> and the present matter is that the applicant is not seeking to pursue its original claim on issues previously canvassed on the pleadings (although one of the new causes of action, namely unjustified enrichment, was foreshadowed in the founding affidavit). But what the applicant seeks to do does not withstand scrutiny, since it attempts to introduce additional relief by amending what has become its simple summons, and by supplementing its founding affidavit in circumstances where there is no longer an </w:t>
      </w:r>
      <w:r>
        <w:rPr>
          <w:u w:val="single"/>
        </w:rPr>
        <w:t>application</w:t>
      </w:r>
      <w:r>
        <w:t xml:space="preserve"> before the court. To my mind this is impermissible.</w:t>
      </w:r>
    </w:p>
    <w:p w:rsidR="000D03CE" w:rsidRPr="000D03CE" w:rsidRDefault="000D03CE" w:rsidP="000D03CE">
      <w:pPr>
        <w:spacing w:after="480" w:line="360" w:lineRule="auto"/>
        <w:jc w:val="both"/>
        <w:rPr>
          <w:b/>
          <w:u w:val="single"/>
        </w:rPr>
      </w:pPr>
      <w:r>
        <w:rPr>
          <w:b/>
          <w:u w:val="single"/>
        </w:rPr>
        <w:t>Conclusion</w:t>
      </w:r>
    </w:p>
    <w:p w:rsidR="000D03CE" w:rsidRDefault="00DA101D" w:rsidP="000D03CE">
      <w:pPr>
        <w:numPr>
          <w:ilvl w:val="0"/>
          <w:numId w:val="1"/>
        </w:numPr>
        <w:spacing w:after="480" w:line="480" w:lineRule="auto"/>
        <w:ind w:hanging="720"/>
        <w:jc w:val="both"/>
      </w:pPr>
      <w:r>
        <w:t xml:space="preserve">It follows that the respondent is correct on both primary procedural contentions. </w:t>
      </w:r>
      <w:r w:rsidR="00D02B5D">
        <w:t>There should be no prejudice to the applicant if it follows the correct procedure by applying to reopen its case and thereafter seeking to amend its declaration</w:t>
      </w:r>
      <w:r w:rsidR="00A677F2">
        <w:t xml:space="preserve"> (although it is likely that the respondent will object to the intended amendment). I say this because </w:t>
      </w:r>
      <w:r w:rsidR="00A677F2">
        <w:rPr>
          <w:i/>
        </w:rPr>
        <w:t xml:space="preserve">Icebreakers </w:t>
      </w:r>
      <w:r w:rsidR="00A677F2">
        <w:t xml:space="preserve">tells us that the (simple) summons </w:t>
      </w:r>
      <w:r w:rsidR="00A677F2">
        <w:rPr>
          <w:i/>
        </w:rPr>
        <w:t>‘serves the function of commencing the litigation and bringing the defendant before the court’</w:t>
      </w:r>
      <w:r w:rsidR="00A677F2">
        <w:t>. I make no finding in this regard since, although there was a debate before me about possible prescription of at least one of the additional causes of action, given the applicant’s stance that the present application is interlocutory in nature, i</w:t>
      </w:r>
      <w:r>
        <w:t xml:space="preserve">t would be inappropriate for me to </w:t>
      </w:r>
      <w:r w:rsidR="00A677F2">
        <w:t>deal with</w:t>
      </w:r>
      <w:r>
        <w:t xml:space="preserve"> the merits at this stage</w:t>
      </w:r>
      <w:r w:rsidR="00A677F2">
        <w:t>,</w:t>
      </w:r>
      <w:r>
        <w:t xml:space="preserve"> since it would amount to prejudging matters that may well serve in due course before a different court. </w:t>
      </w:r>
    </w:p>
    <w:p w:rsidR="00DA101D" w:rsidRPr="00DA101D" w:rsidRDefault="00DA101D" w:rsidP="00991E7A">
      <w:pPr>
        <w:numPr>
          <w:ilvl w:val="0"/>
          <w:numId w:val="1"/>
        </w:numPr>
        <w:spacing w:after="120" w:line="480" w:lineRule="auto"/>
        <w:ind w:hanging="720"/>
        <w:jc w:val="both"/>
      </w:pPr>
      <w:r>
        <w:rPr>
          <w:b/>
        </w:rPr>
        <w:t>The following order is made:</w:t>
      </w:r>
    </w:p>
    <w:p w:rsidR="009238DB" w:rsidRDefault="00DA101D" w:rsidP="00991E7A">
      <w:pPr>
        <w:spacing w:after="720" w:line="480" w:lineRule="auto"/>
        <w:ind w:left="720"/>
        <w:jc w:val="both"/>
        <w:rPr>
          <w:b/>
          <w:i/>
        </w:rPr>
      </w:pPr>
      <w:r>
        <w:rPr>
          <w:b/>
          <w:i/>
        </w:rPr>
        <w:t>‘The application is dismissed with costs.’</w:t>
      </w:r>
    </w:p>
    <w:p w:rsidR="009238DB" w:rsidRDefault="00DA101D" w:rsidP="00991E7A">
      <w:pPr>
        <w:spacing w:after="240"/>
        <w:ind w:left="720"/>
        <w:jc w:val="both"/>
        <w:rPr>
          <w:b/>
        </w:rPr>
      </w:pPr>
      <w:r>
        <w:rPr>
          <w:b/>
        </w:rPr>
        <w:tab/>
      </w:r>
      <w:r>
        <w:rPr>
          <w:b/>
        </w:rPr>
        <w:tab/>
      </w:r>
      <w:r>
        <w:rPr>
          <w:b/>
        </w:rPr>
        <w:tab/>
      </w:r>
      <w:r>
        <w:rPr>
          <w:b/>
        </w:rPr>
        <w:tab/>
      </w:r>
      <w:r>
        <w:rPr>
          <w:b/>
        </w:rPr>
        <w:tab/>
      </w:r>
      <w:r w:rsidR="009238DB">
        <w:rPr>
          <w:b/>
        </w:rPr>
        <w:t>__________________</w:t>
      </w:r>
    </w:p>
    <w:p w:rsidR="009238DB" w:rsidRPr="00507B02" w:rsidRDefault="009238DB" w:rsidP="009238DB">
      <w:pPr>
        <w:spacing w:after="480" w:line="480" w:lineRule="auto"/>
        <w:ind w:left="720"/>
        <w:jc w:val="both"/>
        <w:rPr>
          <w:b/>
        </w:rPr>
      </w:pPr>
      <w:r>
        <w:rPr>
          <w:b/>
        </w:rPr>
        <w:tab/>
      </w:r>
      <w:r>
        <w:rPr>
          <w:b/>
        </w:rPr>
        <w:tab/>
      </w:r>
      <w:r>
        <w:rPr>
          <w:b/>
        </w:rPr>
        <w:tab/>
      </w:r>
      <w:r>
        <w:rPr>
          <w:b/>
        </w:rPr>
        <w:tab/>
      </w:r>
      <w:r>
        <w:rPr>
          <w:b/>
        </w:rPr>
        <w:tab/>
        <w:t>J I CLOETE</w:t>
      </w:r>
    </w:p>
    <w:p w:rsidR="009238DB" w:rsidRDefault="009238DB" w:rsidP="009238DB">
      <w:pPr>
        <w:spacing w:line="360" w:lineRule="auto"/>
        <w:jc w:val="both"/>
      </w:pPr>
      <w:r w:rsidRPr="000F667E">
        <w:rPr>
          <w:u w:val="single"/>
        </w:rPr>
        <w:t>For</w:t>
      </w:r>
      <w:r>
        <w:rPr>
          <w:u w:val="single"/>
        </w:rPr>
        <w:t xml:space="preserve"> applicant</w:t>
      </w:r>
      <w:r w:rsidRPr="00D26A46">
        <w:t>:</w:t>
      </w:r>
      <w:r>
        <w:t xml:space="preserve"> Adv G Elliot SC</w:t>
      </w:r>
    </w:p>
    <w:p w:rsidR="009238DB" w:rsidRPr="000F667E" w:rsidRDefault="009238DB" w:rsidP="009238DB">
      <w:pPr>
        <w:spacing w:line="360" w:lineRule="auto"/>
      </w:pPr>
      <w:r w:rsidRPr="00184E4C">
        <w:rPr>
          <w:u w:val="single"/>
        </w:rPr>
        <w:t>Instructed by</w:t>
      </w:r>
      <w:r w:rsidRPr="00D26A46">
        <w:t>:</w:t>
      </w:r>
      <w:r>
        <w:t xml:space="preserve"> Spence</w:t>
      </w:r>
      <w:r w:rsidR="007B7ECF">
        <w:t>r</w:t>
      </w:r>
      <w:bookmarkStart w:id="0" w:name="_GoBack"/>
      <w:bookmarkEnd w:id="0"/>
      <w:r>
        <w:t xml:space="preserve"> Pitman Attorneys (Mr A Pitman)</w:t>
      </w:r>
    </w:p>
    <w:p w:rsidR="009238DB" w:rsidRDefault="009238DB" w:rsidP="009238DB">
      <w:pPr>
        <w:spacing w:line="360" w:lineRule="auto"/>
        <w:jc w:val="both"/>
      </w:pPr>
      <w:r w:rsidRPr="000F667E">
        <w:rPr>
          <w:u w:val="single"/>
        </w:rPr>
        <w:t xml:space="preserve">For </w:t>
      </w:r>
      <w:r>
        <w:rPr>
          <w:u w:val="single"/>
        </w:rPr>
        <w:t>respondent</w:t>
      </w:r>
      <w:r w:rsidRPr="00D26A46">
        <w:t>:</w:t>
      </w:r>
      <w:r>
        <w:t xml:space="preserve"> Adv A Brink </w:t>
      </w:r>
    </w:p>
    <w:p w:rsidR="009238DB" w:rsidRPr="009238DB" w:rsidRDefault="009238DB" w:rsidP="009238DB">
      <w:pPr>
        <w:spacing w:after="480" w:line="360" w:lineRule="auto"/>
        <w:jc w:val="both"/>
      </w:pPr>
      <w:r w:rsidRPr="00184E4C">
        <w:rPr>
          <w:u w:val="single"/>
        </w:rPr>
        <w:t>Instructed by</w:t>
      </w:r>
      <w:r>
        <w:t xml:space="preserve">: </w:t>
      </w:r>
      <w:r w:rsidRPr="00B96740">
        <w:rPr>
          <w:b/>
        </w:rPr>
        <w:t xml:space="preserve"> </w:t>
      </w:r>
      <w:r>
        <w:t>Van Wyk Van Heerden Attorneys (Mr W Van Heerden)</w:t>
      </w:r>
    </w:p>
    <w:p w:rsidR="00D718D0" w:rsidRPr="008D00BB" w:rsidRDefault="00D718D0" w:rsidP="009238DB">
      <w:pPr>
        <w:spacing w:after="480"/>
        <w:ind w:left="720"/>
      </w:pPr>
    </w:p>
    <w:p w:rsidR="007D0439" w:rsidRPr="008D00BB" w:rsidRDefault="007D0439" w:rsidP="007D0439">
      <w:pPr>
        <w:spacing w:after="480" w:line="480" w:lineRule="auto"/>
        <w:jc w:val="both"/>
      </w:pPr>
    </w:p>
    <w:sectPr w:rsidR="007D0439" w:rsidRPr="008D00BB" w:rsidSect="00F4257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F30" w:rsidRDefault="00896F30" w:rsidP="00F4257E">
      <w:r>
        <w:separator/>
      </w:r>
    </w:p>
  </w:endnote>
  <w:endnote w:type="continuationSeparator" w:id="0">
    <w:p w:rsidR="00896F30" w:rsidRDefault="00896F30"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F35" w:rsidRDefault="00D46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F35" w:rsidRDefault="00D46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F35" w:rsidRDefault="00D46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F30" w:rsidRDefault="00896F30" w:rsidP="00F4257E">
      <w:r>
        <w:separator/>
      </w:r>
    </w:p>
  </w:footnote>
  <w:footnote w:type="continuationSeparator" w:id="0">
    <w:p w:rsidR="00896F30" w:rsidRDefault="00896F30" w:rsidP="00F4257E">
      <w:r>
        <w:continuationSeparator/>
      </w:r>
    </w:p>
  </w:footnote>
  <w:footnote w:id="1">
    <w:p w:rsidR="008D00BB" w:rsidRDefault="008D00BB" w:rsidP="008D00BB">
      <w:pPr>
        <w:pStyle w:val="FootnoteText"/>
        <w:tabs>
          <w:tab w:val="left" w:pos="284"/>
        </w:tabs>
        <w:ind w:left="284" w:hanging="284"/>
        <w:jc w:val="both"/>
      </w:pPr>
      <w:r>
        <w:rPr>
          <w:rStyle w:val="FootnoteReference"/>
        </w:rPr>
        <w:footnoteRef/>
      </w:r>
      <w:r>
        <w:t xml:space="preserve"> </w:t>
      </w:r>
      <w:r>
        <w:tab/>
        <w:t>The respondent also delivered a counterclaim, to which the applicant pleaded, but this was not persisted with in light of the absolution application.</w:t>
      </w:r>
    </w:p>
  </w:footnote>
  <w:footnote w:id="2">
    <w:p w:rsidR="00AF56FA" w:rsidRDefault="00AF56FA" w:rsidP="00AF56FA">
      <w:pPr>
        <w:pStyle w:val="FootnoteText"/>
        <w:tabs>
          <w:tab w:val="left" w:pos="284"/>
        </w:tabs>
        <w:ind w:left="284" w:hanging="284"/>
        <w:jc w:val="both"/>
      </w:pPr>
      <w:r>
        <w:rPr>
          <w:rStyle w:val="FootnoteReference"/>
        </w:rPr>
        <w:footnoteRef/>
      </w:r>
      <w:r>
        <w:t xml:space="preserve"> </w:t>
      </w:r>
      <w:r>
        <w:tab/>
        <w:t>2013 (5) SA 173 (WCC) at paras [4] to [5].</w:t>
      </w:r>
    </w:p>
  </w:footnote>
  <w:footnote w:id="3">
    <w:p w:rsidR="00AF56FA" w:rsidRDefault="00AF56FA" w:rsidP="00AF56FA">
      <w:pPr>
        <w:pStyle w:val="FootnoteText"/>
        <w:tabs>
          <w:tab w:val="left" w:pos="284"/>
        </w:tabs>
      </w:pPr>
      <w:r>
        <w:rPr>
          <w:rStyle w:val="FootnoteReference"/>
        </w:rPr>
        <w:footnoteRef/>
      </w:r>
      <w:r>
        <w:t xml:space="preserve"> </w:t>
      </w:r>
      <w:r>
        <w:tab/>
        <w:t>2011 (5) SA 130 (KZD).</w:t>
      </w:r>
    </w:p>
  </w:footnote>
  <w:footnote w:id="4">
    <w:p w:rsidR="00880E7C" w:rsidRDefault="00880E7C" w:rsidP="00880E7C">
      <w:pPr>
        <w:pStyle w:val="FootnoteText"/>
        <w:tabs>
          <w:tab w:val="left" w:pos="284"/>
        </w:tabs>
      </w:pPr>
      <w:r>
        <w:rPr>
          <w:rStyle w:val="FootnoteReference"/>
        </w:rPr>
        <w:footnoteRef/>
      </w:r>
      <w:r>
        <w:t xml:space="preserve"> </w:t>
      </w:r>
      <w:r>
        <w:tab/>
        <w:t>2012 (5) SA 246 (SCA).</w:t>
      </w:r>
    </w:p>
  </w:footnote>
  <w:footnote w:id="5">
    <w:p w:rsidR="00AB2A76" w:rsidRDefault="00AB2A76" w:rsidP="00AB2A76">
      <w:pPr>
        <w:pStyle w:val="FootnoteText"/>
        <w:tabs>
          <w:tab w:val="left" w:pos="284"/>
        </w:tabs>
      </w:pPr>
      <w:r>
        <w:rPr>
          <w:rStyle w:val="FootnoteReference"/>
        </w:rPr>
        <w:footnoteRef/>
      </w:r>
      <w:r>
        <w:t xml:space="preserve"> </w:t>
      </w:r>
      <w:r>
        <w:tab/>
        <w:t xml:space="preserve">1963 (2) SA </w:t>
      </w:r>
      <w:r w:rsidR="00475749">
        <w:t>555 (A) at 563E-F.</w:t>
      </w:r>
    </w:p>
  </w:footnote>
  <w:footnote w:id="6">
    <w:p w:rsidR="00475749" w:rsidRDefault="00475749" w:rsidP="00475749">
      <w:pPr>
        <w:pStyle w:val="FootnoteText"/>
        <w:tabs>
          <w:tab w:val="left" w:pos="284"/>
        </w:tabs>
      </w:pPr>
      <w:r>
        <w:rPr>
          <w:rStyle w:val="FootnoteReference"/>
        </w:rPr>
        <w:footnoteRef/>
      </w:r>
      <w:r>
        <w:t xml:space="preserve"> </w:t>
      </w:r>
      <w:r>
        <w:tab/>
        <w:t>2019 (1) SA 450 (GP).</w:t>
      </w:r>
    </w:p>
  </w:footnote>
  <w:footnote w:id="7">
    <w:p w:rsidR="00475749" w:rsidRDefault="00475749" w:rsidP="00475749">
      <w:pPr>
        <w:pStyle w:val="FootnoteText"/>
        <w:tabs>
          <w:tab w:val="left" w:pos="284"/>
        </w:tabs>
      </w:pPr>
      <w:r>
        <w:rPr>
          <w:rStyle w:val="FootnoteReference"/>
        </w:rPr>
        <w:footnoteRef/>
      </w:r>
      <w:r>
        <w:t xml:space="preserve"> (1290/18) [2020] ZASCA 41 (20 April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F35" w:rsidRDefault="00D46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F35" w:rsidRDefault="00D46F35">
    <w:pPr>
      <w:pStyle w:val="Header"/>
      <w:jc w:val="center"/>
    </w:pPr>
  </w:p>
  <w:sdt>
    <w:sdtPr>
      <w:id w:val="1185634087"/>
      <w:docPartObj>
        <w:docPartGallery w:val="Page Numbers (Top of Page)"/>
        <w:docPartUnique/>
      </w:docPartObj>
    </w:sdtPr>
    <w:sdtEndPr>
      <w:rPr>
        <w:noProof/>
      </w:rPr>
    </w:sdtEndPr>
    <w:sdtContent>
      <w:p w:rsidR="00D46F35" w:rsidRDefault="00D46F35">
        <w:pPr>
          <w:pStyle w:val="Header"/>
          <w:jc w:val="center"/>
          <w:rPr>
            <w:noProof/>
          </w:rPr>
        </w:pPr>
        <w:r>
          <w:fldChar w:fldCharType="begin"/>
        </w:r>
        <w:r>
          <w:instrText xml:space="preserve"> PAGE   \* MERGEFORMAT </w:instrText>
        </w:r>
        <w:r>
          <w:fldChar w:fldCharType="separate"/>
        </w:r>
        <w:r w:rsidR="00AF631F">
          <w:rPr>
            <w:noProof/>
          </w:rPr>
          <w:t>2</w:t>
        </w:r>
        <w:r>
          <w:rPr>
            <w:noProof/>
          </w:rPr>
          <w:fldChar w:fldCharType="end"/>
        </w:r>
      </w:p>
      <w:p w:rsidR="00D46F35" w:rsidRDefault="00896F30">
        <w:pPr>
          <w:pStyle w:val="Header"/>
          <w:jc w:val="center"/>
        </w:pPr>
      </w:p>
    </w:sdtContent>
  </w:sdt>
  <w:p w:rsidR="00D46F35" w:rsidRDefault="00D46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F35" w:rsidRDefault="00D46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386FD9"/>
    <w:multiLevelType w:val="hybridMultilevel"/>
    <w:tmpl w:val="F01260D6"/>
    <w:lvl w:ilvl="0" w:tplc="5636B6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2"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4"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4A0D1E44"/>
    <w:multiLevelType w:val="multilevel"/>
    <w:tmpl w:val="AB30EC7E"/>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6"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19"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FE204B4"/>
    <w:multiLevelType w:val="multilevel"/>
    <w:tmpl w:val="BF18A91A"/>
    <w:lvl w:ilvl="0">
      <w:start w:val="1"/>
      <w:numFmt w:val="decimal"/>
      <w:pStyle w:val="StyleArialLinespacing15line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1"/>
  </w:num>
  <w:num w:numId="2">
    <w:abstractNumId w:val="13"/>
  </w:num>
  <w:num w:numId="3">
    <w:abstractNumId w:val="25"/>
  </w:num>
  <w:num w:numId="4">
    <w:abstractNumId w:val="9"/>
  </w:num>
  <w:num w:numId="5">
    <w:abstractNumId w:val="4"/>
  </w:num>
  <w:num w:numId="6">
    <w:abstractNumId w:val="3"/>
  </w:num>
  <w:num w:numId="7">
    <w:abstractNumId w:val="16"/>
  </w:num>
  <w:num w:numId="8">
    <w:abstractNumId w:val="11"/>
  </w:num>
  <w:num w:numId="9">
    <w:abstractNumId w:val="10"/>
  </w:num>
  <w:num w:numId="10">
    <w:abstractNumId w:val="23"/>
  </w:num>
  <w:num w:numId="11">
    <w:abstractNumId w:val="28"/>
  </w:num>
  <w:num w:numId="12">
    <w:abstractNumId w:val="14"/>
  </w:num>
  <w:num w:numId="13">
    <w:abstractNumId w:val="7"/>
  </w:num>
  <w:num w:numId="14">
    <w:abstractNumId w:val="17"/>
  </w:num>
  <w:num w:numId="15">
    <w:abstractNumId w:val="8"/>
  </w:num>
  <w:num w:numId="16">
    <w:abstractNumId w:val="18"/>
  </w:num>
  <w:num w:numId="17">
    <w:abstractNumId w:val="12"/>
  </w:num>
  <w:num w:numId="18">
    <w:abstractNumId w:val="27"/>
  </w:num>
  <w:num w:numId="19">
    <w:abstractNumId w:val="20"/>
  </w:num>
  <w:num w:numId="20">
    <w:abstractNumId w:val="2"/>
  </w:num>
  <w:num w:numId="21">
    <w:abstractNumId w:val="0"/>
  </w:num>
  <w:num w:numId="22">
    <w:abstractNumId w:val="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6"/>
  </w:num>
  <w:num w:numId="26">
    <w:abstractNumId w:val="24"/>
  </w:num>
  <w:num w:numId="27">
    <w:abstractNumId w:val="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20"/>
    <w:rsid w:val="000001CD"/>
    <w:rsid w:val="00001381"/>
    <w:rsid w:val="0000283B"/>
    <w:rsid w:val="0000327A"/>
    <w:rsid w:val="00003C15"/>
    <w:rsid w:val="00005214"/>
    <w:rsid w:val="00006D22"/>
    <w:rsid w:val="00006E2C"/>
    <w:rsid w:val="00011351"/>
    <w:rsid w:val="00013C43"/>
    <w:rsid w:val="00016727"/>
    <w:rsid w:val="00017D48"/>
    <w:rsid w:val="00030389"/>
    <w:rsid w:val="00030442"/>
    <w:rsid w:val="00032180"/>
    <w:rsid w:val="00035F78"/>
    <w:rsid w:val="0004469E"/>
    <w:rsid w:val="00044E4A"/>
    <w:rsid w:val="00045063"/>
    <w:rsid w:val="00047888"/>
    <w:rsid w:val="000504FA"/>
    <w:rsid w:val="00050CBA"/>
    <w:rsid w:val="00051785"/>
    <w:rsid w:val="00052513"/>
    <w:rsid w:val="000571F9"/>
    <w:rsid w:val="00057F20"/>
    <w:rsid w:val="000603C6"/>
    <w:rsid w:val="00061907"/>
    <w:rsid w:val="00061B5A"/>
    <w:rsid w:val="00062376"/>
    <w:rsid w:val="00062D15"/>
    <w:rsid w:val="00063B2E"/>
    <w:rsid w:val="00071200"/>
    <w:rsid w:val="000728A2"/>
    <w:rsid w:val="00074967"/>
    <w:rsid w:val="0007789C"/>
    <w:rsid w:val="00080E27"/>
    <w:rsid w:val="00082B97"/>
    <w:rsid w:val="00084FD7"/>
    <w:rsid w:val="00086448"/>
    <w:rsid w:val="000876F2"/>
    <w:rsid w:val="00091E0D"/>
    <w:rsid w:val="00092029"/>
    <w:rsid w:val="0009297E"/>
    <w:rsid w:val="0009713B"/>
    <w:rsid w:val="00097268"/>
    <w:rsid w:val="000974DC"/>
    <w:rsid w:val="000A031F"/>
    <w:rsid w:val="000A5153"/>
    <w:rsid w:val="000A595C"/>
    <w:rsid w:val="000A7583"/>
    <w:rsid w:val="000B103A"/>
    <w:rsid w:val="000B3105"/>
    <w:rsid w:val="000B6489"/>
    <w:rsid w:val="000B7977"/>
    <w:rsid w:val="000C2012"/>
    <w:rsid w:val="000C272C"/>
    <w:rsid w:val="000C30A5"/>
    <w:rsid w:val="000C5A3A"/>
    <w:rsid w:val="000C5CFB"/>
    <w:rsid w:val="000C6358"/>
    <w:rsid w:val="000C68E8"/>
    <w:rsid w:val="000C7FE0"/>
    <w:rsid w:val="000D03CE"/>
    <w:rsid w:val="000D0428"/>
    <w:rsid w:val="000D1823"/>
    <w:rsid w:val="000D296F"/>
    <w:rsid w:val="000D3070"/>
    <w:rsid w:val="000D335D"/>
    <w:rsid w:val="000D7B23"/>
    <w:rsid w:val="000E58E8"/>
    <w:rsid w:val="000E7D51"/>
    <w:rsid w:val="000F0458"/>
    <w:rsid w:val="000F138A"/>
    <w:rsid w:val="000F1A51"/>
    <w:rsid w:val="000F1F9F"/>
    <w:rsid w:val="000F26E0"/>
    <w:rsid w:val="000F2B6E"/>
    <w:rsid w:val="000F6201"/>
    <w:rsid w:val="000F7DBB"/>
    <w:rsid w:val="0010279D"/>
    <w:rsid w:val="00104D05"/>
    <w:rsid w:val="00105886"/>
    <w:rsid w:val="00105DE0"/>
    <w:rsid w:val="0012219A"/>
    <w:rsid w:val="00122665"/>
    <w:rsid w:val="00122CDF"/>
    <w:rsid w:val="00126DEE"/>
    <w:rsid w:val="00126FD5"/>
    <w:rsid w:val="00131178"/>
    <w:rsid w:val="00131BD2"/>
    <w:rsid w:val="001324D2"/>
    <w:rsid w:val="001330B9"/>
    <w:rsid w:val="001416ED"/>
    <w:rsid w:val="00141DE9"/>
    <w:rsid w:val="00142667"/>
    <w:rsid w:val="0014329E"/>
    <w:rsid w:val="001432D5"/>
    <w:rsid w:val="0014505D"/>
    <w:rsid w:val="00146706"/>
    <w:rsid w:val="00147849"/>
    <w:rsid w:val="00156BAD"/>
    <w:rsid w:val="00162871"/>
    <w:rsid w:val="00163D0F"/>
    <w:rsid w:val="001644A8"/>
    <w:rsid w:val="001653CA"/>
    <w:rsid w:val="00165642"/>
    <w:rsid w:val="00166F0F"/>
    <w:rsid w:val="00167CD5"/>
    <w:rsid w:val="00172950"/>
    <w:rsid w:val="00176E37"/>
    <w:rsid w:val="001804F1"/>
    <w:rsid w:val="00180D06"/>
    <w:rsid w:val="00181F11"/>
    <w:rsid w:val="00182720"/>
    <w:rsid w:val="001852DA"/>
    <w:rsid w:val="001854A2"/>
    <w:rsid w:val="00187756"/>
    <w:rsid w:val="0019056D"/>
    <w:rsid w:val="00191096"/>
    <w:rsid w:val="00194343"/>
    <w:rsid w:val="00194BFB"/>
    <w:rsid w:val="001A1411"/>
    <w:rsid w:val="001A1BF1"/>
    <w:rsid w:val="001A373E"/>
    <w:rsid w:val="001A4398"/>
    <w:rsid w:val="001A4ED8"/>
    <w:rsid w:val="001A4F37"/>
    <w:rsid w:val="001B27E1"/>
    <w:rsid w:val="001B6EF9"/>
    <w:rsid w:val="001B7B6F"/>
    <w:rsid w:val="001C63D3"/>
    <w:rsid w:val="001D53B3"/>
    <w:rsid w:val="001D5E48"/>
    <w:rsid w:val="001D63ED"/>
    <w:rsid w:val="001D6819"/>
    <w:rsid w:val="001E4798"/>
    <w:rsid w:val="001E4E58"/>
    <w:rsid w:val="001E611A"/>
    <w:rsid w:val="001F100E"/>
    <w:rsid w:val="001F391A"/>
    <w:rsid w:val="001F6013"/>
    <w:rsid w:val="002013B4"/>
    <w:rsid w:val="002020AA"/>
    <w:rsid w:val="002048A8"/>
    <w:rsid w:val="00205047"/>
    <w:rsid w:val="0020643D"/>
    <w:rsid w:val="002074E8"/>
    <w:rsid w:val="002150B4"/>
    <w:rsid w:val="002221F1"/>
    <w:rsid w:val="002225C8"/>
    <w:rsid w:val="00223A31"/>
    <w:rsid w:val="00223C51"/>
    <w:rsid w:val="00231E96"/>
    <w:rsid w:val="00235ECD"/>
    <w:rsid w:val="00240475"/>
    <w:rsid w:val="00240E3E"/>
    <w:rsid w:val="00245D23"/>
    <w:rsid w:val="0024689F"/>
    <w:rsid w:val="0025089F"/>
    <w:rsid w:val="00252595"/>
    <w:rsid w:val="002548BB"/>
    <w:rsid w:val="00254F7A"/>
    <w:rsid w:val="0026237D"/>
    <w:rsid w:val="00264778"/>
    <w:rsid w:val="0026490A"/>
    <w:rsid w:val="00265647"/>
    <w:rsid w:val="002660DE"/>
    <w:rsid w:val="00270206"/>
    <w:rsid w:val="00270B6A"/>
    <w:rsid w:val="00275849"/>
    <w:rsid w:val="00277AAD"/>
    <w:rsid w:val="00280B77"/>
    <w:rsid w:val="00280BFC"/>
    <w:rsid w:val="00283B33"/>
    <w:rsid w:val="00283E38"/>
    <w:rsid w:val="0028442C"/>
    <w:rsid w:val="00285395"/>
    <w:rsid w:val="00285B38"/>
    <w:rsid w:val="0029037C"/>
    <w:rsid w:val="00292B98"/>
    <w:rsid w:val="002B0569"/>
    <w:rsid w:val="002B10DE"/>
    <w:rsid w:val="002B2C3A"/>
    <w:rsid w:val="002B2E6B"/>
    <w:rsid w:val="002C05D3"/>
    <w:rsid w:val="002C182A"/>
    <w:rsid w:val="002C3960"/>
    <w:rsid w:val="002C3B6B"/>
    <w:rsid w:val="002C5CB0"/>
    <w:rsid w:val="002D1856"/>
    <w:rsid w:val="002D19B3"/>
    <w:rsid w:val="002D48AB"/>
    <w:rsid w:val="002D62D3"/>
    <w:rsid w:val="002D7427"/>
    <w:rsid w:val="002E17DB"/>
    <w:rsid w:val="002E3DA8"/>
    <w:rsid w:val="002E58A0"/>
    <w:rsid w:val="002E6446"/>
    <w:rsid w:val="002E7809"/>
    <w:rsid w:val="002F12E8"/>
    <w:rsid w:val="002F1EF1"/>
    <w:rsid w:val="002F5101"/>
    <w:rsid w:val="002F52BA"/>
    <w:rsid w:val="002F5A94"/>
    <w:rsid w:val="00301AF2"/>
    <w:rsid w:val="00303F67"/>
    <w:rsid w:val="00304433"/>
    <w:rsid w:val="003076DD"/>
    <w:rsid w:val="00313209"/>
    <w:rsid w:val="00313AFF"/>
    <w:rsid w:val="003161AC"/>
    <w:rsid w:val="00316863"/>
    <w:rsid w:val="00320A49"/>
    <w:rsid w:val="00321843"/>
    <w:rsid w:val="003228E2"/>
    <w:rsid w:val="0032525F"/>
    <w:rsid w:val="003253AC"/>
    <w:rsid w:val="00326B5F"/>
    <w:rsid w:val="003277FC"/>
    <w:rsid w:val="0033262C"/>
    <w:rsid w:val="00334AAC"/>
    <w:rsid w:val="00334EE3"/>
    <w:rsid w:val="00335F69"/>
    <w:rsid w:val="00336974"/>
    <w:rsid w:val="00336CC6"/>
    <w:rsid w:val="00336ECC"/>
    <w:rsid w:val="00340803"/>
    <w:rsid w:val="0034445D"/>
    <w:rsid w:val="00346CDF"/>
    <w:rsid w:val="00347FD7"/>
    <w:rsid w:val="00351732"/>
    <w:rsid w:val="00351B4D"/>
    <w:rsid w:val="00353987"/>
    <w:rsid w:val="003539CE"/>
    <w:rsid w:val="00362D4F"/>
    <w:rsid w:val="00362ECE"/>
    <w:rsid w:val="00373D7B"/>
    <w:rsid w:val="00374B26"/>
    <w:rsid w:val="00377E77"/>
    <w:rsid w:val="00383245"/>
    <w:rsid w:val="00387F5A"/>
    <w:rsid w:val="00392589"/>
    <w:rsid w:val="0039546A"/>
    <w:rsid w:val="00395E50"/>
    <w:rsid w:val="003A2265"/>
    <w:rsid w:val="003A3EBB"/>
    <w:rsid w:val="003A7F63"/>
    <w:rsid w:val="003B0868"/>
    <w:rsid w:val="003B461A"/>
    <w:rsid w:val="003B5B98"/>
    <w:rsid w:val="003B6629"/>
    <w:rsid w:val="003B6DB3"/>
    <w:rsid w:val="003B7C1F"/>
    <w:rsid w:val="003C0270"/>
    <w:rsid w:val="003C3D40"/>
    <w:rsid w:val="003D0062"/>
    <w:rsid w:val="003D19E7"/>
    <w:rsid w:val="003D3356"/>
    <w:rsid w:val="003D3F3F"/>
    <w:rsid w:val="003D4A9C"/>
    <w:rsid w:val="003D6C58"/>
    <w:rsid w:val="003E6BA5"/>
    <w:rsid w:val="003F040D"/>
    <w:rsid w:val="003F402D"/>
    <w:rsid w:val="003F41BF"/>
    <w:rsid w:val="003F45A7"/>
    <w:rsid w:val="003F5942"/>
    <w:rsid w:val="004112AF"/>
    <w:rsid w:val="0041299F"/>
    <w:rsid w:val="004130EF"/>
    <w:rsid w:val="00413812"/>
    <w:rsid w:val="004149FF"/>
    <w:rsid w:val="00415010"/>
    <w:rsid w:val="00421FE8"/>
    <w:rsid w:val="00422758"/>
    <w:rsid w:val="0042321D"/>
    <w:rsid w:val="004234F1"/>
    <w:rsid w:val="00423895"/>
    <w:rsid w:val="00426848"/>
    <w:rsid w:val="00427E97"/>
    <w:rsid w:val="00430932"/>
    <w:rsid w:val="0043347C"/>
    <w:rsid w:val="00433A98"/>
    <w:rsid w:val="00435CDB"/>
    <w:rsid w:val="00435E29"/>
    <w:rsid w:val="00435F46"/>
    <w:rsid w:val="004369D7"/>
    <w:rsid w:val="00437BBF"/>
    <w:rsid w:val="004405E5"/>
    <w:rsid w:val="004441AA"/>
    <w:rsid w:val="00446D16"/>
    <w:rsid w:val="00451E49"/>
    <w:rsid w:val="0045308D"/>
    <w:rsid w:val="00453091"/>
    <w:rsid w:val="00453306"/>
    <w:rsid w:val="00453B20"/>
    <w:rsid w:val="00456B03"/>
    <w:rsid w:val="00457BC2"/>
    <w:rsid w:val="00463FFB"/>
    <w:rsid w:val="0046468D"/>
    <w:rsid w:val="00464CD7"/>
    <w:rsid w:val="00465FC2"/>
    <w:rsid w:val="0046670C"/>
    <w:rsid w:val="00466A59"/>
    <w:rsid w:val="004700A1"/>
    <w:rsid w:val="0047255B"/>
    <w:rsid w:val="004735F4"/>
    <w:rsid w:val="004738B9"/>
    <w:rsid w:val="00475749"/>
    <w:rsid w:val="004774A8"/>
    <w:rsid w:val="00482702"/>
    <w:rsid w:val="00483BF0"/>
    <w:rsid w:val="0048672D"/>
    <w:rsid w:val="00490333"/>
    <w:rsid w:val="0049188A"/>
    <w:rsid w:val="0049199A"/>
    <w:rsid w:val="00493BB8"/>
    <w:rsid w:val="00494AE1"/>
    <w:rsid w:val="00494F67"/>
    <w:rsid w:val="004A287C"/>
    <w:rsid w:val="004A2A70"/>
    <w:rsid w:val="004A671A"/>
    <w:rsid w:val="004B077D"/>
    <w:rsid w:val="004B0EDA"/>
    <w:rsid w:val="004B5BF5"/>
    <w:rsid w:val="004B781A"/>
    <w:rsid w:val="004B7DE8"/>
    <w:rsid w:val="004C1AFC"/>
    <w:rsid w:val="004C1E4D"/>
    <w:rsid w:val="004C3172"/>
    <w:rsid w:val="004C3492"/>
    <w:rsid w:val="004C62C0"/>
    <w:rsid w:val="004C792E"/>
    <w:rsid w:val="004C7C9E"/>
    <w:rsid w:val="004D189C"/>
    <w:rsid w:val="004D2682"/>
    <w:rsid w:val="004D35E9"/>
    <w:rsid w:val="004D69D1"/>
    <w:rsid w:val="004E5F25"/>
    <w:rsid w:val="004E76E3"/>
    <w:rsid w:val="004F3796"/>
    <w:rsid w:val="004F6535"/>
    <w:rsid w:val="004F668F"/>
    <w:rsid w:val="004F68D5"/>
    <w:rsid w:val="00500AA6"/>
    <w:rsid w:val="00502326"/>
    <w:rsid w:val="005028D9"/>
    <w:rsid w:val="00504CEC"/>
    <w:rsid w:val="00506D90"/>
    <w:rsid w:val="00507B02"/>
    <w:rsid w:val="00510073"/>
    <w:rsid w:val="00511993"/>
    <w:rsid w:val="00511C9E"/>
    <w:rsid w:val="00511D83"/>
    <w:rsid w:val="00514AB6"/>
    <w:rsid w:val="00516A9B"/>
    <w:rsid w:val="005228EB"/>
    <w:rsid w:val="00524BE9"/>
    <w:rsid w:val="005257B4"/>
    <w:rsid w:val="00532EE1"/>
    <w:rsid w:val="00540A04"/>
    <w:rsid w:val="00540ED5"/>
    <w:rsid w:val="00546477"/>
    <w:rsid w:val="00546C4E"/>
    <w:rsid w:val="005472C3"/>
    <w:rsid w:val="005477B2"/>
    <w:rsid w:val="00553B48"/>
    <w:rsid w:val="00555257"/>
    <w:rsid w:val="00555A92"/>
    <w:rsid w:val="00556863"/>
    <w:rsid w:val="00565A7C"/>
    <w:rsid w:val="00565B0D"/>
    <w:rsid w:val="00565F00"/>
    <w:rsid w:val="00566518"/>
    <w:rsid w:val="00566CA5"/>
    <w:rsid w:val="00572662"/>
    <w:rsid w:val="00576610"/>
    <w:rsid w:val="0057775E"/>
    <w:rsid w:val="00577B2C"/>
    <w:rsid w:val="00580943"/>
    <w:rsid w:val="00581E00"/>
    <w:rsid w:val="00584415"/>
    <w:rsid w:val="00585D9D"/>
    <w:rsid w:val="00585FC1"/>
    <w:rsid w:val="0058638B"/>
    <w:rsid w:val="00586B85"/>
    <w:rsid w:val="00587B26"/>
    <w:rsid w:val="0059046B"/>
    <w:rsid w:val="00591017"/>
    <w:rsid w:val="00592C7E"/>
    <w:rsid w:val="00592E64"/>
    <w:rsid w:val="00595706"/>
    <w:rsid w:val="005965E2"/>
    <w:rsid w:val="005A0CB1"/>
    <w:rsid w:val="005A12CA"/>
    <w:rsid w:val="005A15F8"/>
    <w:rsid w:val="005A24CB"/>
    <w:rsid w:val="005A3DE6"/>
    <w:rsid w:val="005A42AF"/>
    <w:rsid w:val="005A440B"/>
    <w:rsid w:val="005A64B0"/>
    <w:rsid w:val="005B1080"/>
    <w:rsid w:val="005B36A6"/>
    <w:rsid w:val="005B3EF2"/>
    <w:rsid w:val="005B417B"/>
    <w:rsid w:val="005C1B5F"/>
    <w:rsid w:val="005C24A5"/>
    <w:rsid w:val="005C25FD"/>
    <w:rsid w:val="005C5467"/>
    <w:rsid w:val="005D0CD2"/>
    <w:rsid w:val="005D153A"/>
    <w:rsid w:val="005D2EB8"/>
    <w:rsid w:val="005D7959"/>
    <w:rsid w:val="005E1017"/>
    <w:rsid w:val="005E1D98"/>
    <w:rsid w:val="005E2B87"/>
    <w:rsid w:val="005E3214"/>
    <w:rsid w:val="005E6262"/>
    <w:rsid w:val="005F00D0"/>
    <w:rsid w:val="005F035D"/>
    <w:rsid w:val="005F0C3A"/>
    <w:rsid w:val="005F149C"/>
    <w:rsid w:val="005F1A2D"/>
    <w:rsid w:val="005F260D"/>
    <w:rsid w:val="005F2757"/>
    <w:rsid w:val="005F5CB8"/>
    <w:rsid w:val="005F7547"/>
    <w:rsid w:val="006004EC"/>
    <w:rsid w:val="00600CBB"/>
    <w:rsid w:val="0060119C"/>
    <w:rsid w:val="0060122F"/>
    <w:rsid w:val="00602B8C"/>
    <w:rsid w:val="00602F26"/>
    <w:rsid w:val="00603812"/>
    <w:rsid w:val="00603925"/>
    <w:rsid w:val="00606679"/>
    <w:rsid w:val="00606DB0"/>
    <w:rsid w:val="00610F8D"/>
    <w:rsid w:val="006113AF"/>
    <w:rsid w:val="00614380"/>
    <w:rsid w:val="00620B00"/>
    <w:rsid w:val="00623F45"/>
    <w:rsid w:val="00627726"/>
    <w:rsid w:val="0063080A"/>
    <w:rsid w:val="006314EF"/>
    <w:rsid w:val="00633C3E"/>
    <w:rsid w:val="0063609C"/>
    <w:rsid w:val="00636995"/>
    <w:rsid w:val="00641652"/>
    <w:rsid w:val="00643915"/>
    <w:rsid w:val="0064641D"/>
    <w:rsid w:val="006531C8"/>
    <w:rsid w:val="006579B2"/>
    <w:rsid w:val="00663D98"/>
    <w:rsid w:val="00664485"/>
    <w:rsid w:val="00670636"/>
    <w:rsid w:val="0067096F"/>
    <w:rsid w:val="00671AAD"/>
    <w:rsid w:val="006724F1"/>
    <w:rsid w:val="00684A27"/>
    <w:rsid w:val="00685F3B"/>
    <w:rsid w:val="0068625C"/>
    <w:rsid w:val="00686904"/>
    <w:rsid w:val="00693403"/>
    <w:rsid w:val="006935DB"/>
    <w:rsid w:val="00695323"/>
    <w:rsid w:val="00695B1A"/>
    <w:rsid w:val="00697486"/>
    <w:rsid w:val="006A0BAC"/>
    <w:rsid w:val="006A30E2"/>
    <w:rsid w:val="006A5024"/>
    <w:rsid w:val="006B0510"/>
    <w:rsid w:val="006B3610"/>
    <w:rsid w:val="006B56ED"/>
    <w:rsid w:val="006B6857"/>
    <w:rsid w:val="006C0B9B"/>
    <w:rsid w:val="006C7CCA"/>
    <w:rsid w:val="006D216F"/>
    <w:rsid w:val="006D2490"/>
    <w:rsid w:val="006D2610"/>
    <w:rsid w:val="006D3546"/>
    <w:rsid w:val="006D40B8"/>
    <w:rsid w:val="006D5EF0"/>
    <w:rsid w:val="006D6544"/>
    <w:rsid w:val="006D6C51"/>
    <w:rsid w:val="006D787E"/>
    <w:rsid w:val="006E5135"/>
    <w:rsid w:val="006E5363"/>
    <w:rsid w:val="006E716A"/>
    <w:rsid w:val="006E7F77"/>
    <w:rsid w:val="006F0DDA"/>
    <w:rsid w:val="006F2F9A"/>
    <w:rsid w:val="006F4520"/>
    <w:rsid w:val="006F6EAE"/>
    <w:rsid w:val="007017A2"/>
    <w:rsid w:val="00702B62"/>
    <w:rsid w:val="00704D23"/>
    <w:rsid w:val="00706077"/>
    <w:rsid w:val="007062BE"/>
    <w:rsid w:val="00706A97"/>
    <w:rsid w:val="00707001"/>
    <w:rsid w:val="00707561"/>
    <w:rsid w:val="00713029"/>
    <w:rsid w:val="007134CF"/>
    <w:rsid w:val="0071418E"/>
    <w:rsid w:val="00714A20"/>
    <w:rsid w:val="007162DA"/>
    <w:rsid w:val="0071723C"/>
    <w:rsid w:val="0072052B"/>
    <w:rsid w:val="007229AE"/>
    <w:rsid w:val="00723EDA"/>
    <w:rsid w:val="00724983"/>
    <w:rsid w:val="00724C73"/>
    <w:rsid w:val="00725B5E"/>
    <w:rsid w:val="00725E0C"/>
    <w:rsid w:val="00725F43"/>
    <w:rsid w:val="00727AB2"/>
    <w:rsid w:val="0073189C"/>
    <w:rsid w:val="00735A90"/>
    <w:rsid w:val="00735BB8"/>
    <w:rsid w:val="007540E2"/>
    <w:rsid w:val="0075432B"/>
    <w:rsid w:val="0075635E"/>
    <w:rsid w:val="0076064D"/>
    <w:rsid w:val="00760657"/>
    <w:rsid w:val="007621EF"/>
    <w:rsid w:val="00763E45"/>
    <w:rsid w:val="00764447"/>
    <w:rsid w:val="007655EC"/>
    <w:rsid w:val="007668FE"/>
    <w:rsid w:val="00770F8F"/>
    <w:rsid w:val="00771E80"/>
    <w:rsid w:val="00772339"/>
    <w:rsid w:val="00773A24"/>
    <w:rsid w:val="00774364"/>
    <w:rsid w:val="00774A0E"/>
    <w:rsid w:val="007765D5"/>
    <w:rsid w:val="007845D1"/>
    <w:rsid w:val="00784D7E"/>
    <w:rsid w:val="007863CC"/>
    <w:rsid w:val="00791750"/>
    <w:rsid w:val="00791C96"/>
    <w:rsid w:val="00792325"/>
    <w:rsid w:val="00792C03"/>
    <w:rsid w:val="00792C85"/>
    <w:rsid w:val="00796C29"/>
    <w:rsid w:val="007A10C0"/>
    <w:rsid w:val="007B0AA7"/>
    <w:rsid w:val="007B0CB7"/>
    <w:rsid w:val="007B38ED"/>
    <w:rsid w:val="007B67AC"/>
    <w:rsid w:val="007B7ECF"/>
    <w:rsid w:val="007C00F7"/>
    <w:rsid w:val="007C07A8"/>
    <w:rsid w:val="007C2161"/>
    <w:rsid w:val="007C23AB"/>
    <w:rsid w:val="007C2CC6"/>
    <w:rsid w:val="007C384A"/>
    <w:rsid w:val="007C460B"/>
    <w:rsid w:val="007C5E37"/>
    <w:rsid w:val="007C6D01"/>
    <w:rsid w:val="007C70A6"/>
    <w:rsid w:val="007C732B"/>
    <w:rsid w:val="007D0439"/>
    <w:rsid w:val="007D04BD"/>
    <w:rsid w:val="007D1353"/>
    <w:rsid w:val="007D2ED8"/>
    <w:rsid w:val="007E0C13"/>
    <w:rsid w:val="007E4F2F"/>
    <w:rsid w:val="007E713D"/>
    <w:rsid w:val="007E773E"/>
    <w:rsid w:val="007F1C4A"/>
    <w:rsid w:val="007F1E90"/>
    <w:rsid w:val="007F2E75"/>
    <w:rsid w:val="007F59CA"/>
    <w:rsid w:val="007F7B84"/>
    <w:rsid w:val="007F7CA4"/>
    <w:rsid w:val="00805867"/>
    <w:rsid w:val="0081081E"/>
    <w:rsid w:val="008113CE"/>
    <w:rsid w:val="00817B29"/>
    <w:rsid w:val="00817E17"/>
    <w:rsid w:val="0082427B"/>
    <w:rsid w:val="00824B4B"/>
    <w:rsid w:val="00825836"/>
    <w:rsid w:val="00825AFE"/>
    <w:rsid w:val="0082676E"/>
    <w:rsid w:val="00827E09"/>
    <w:rsid w:val="00830CD5"/>
    <w:rsid w:val="00830F2B"/>
    <w:rsid w:val="00831201"/>
    <w:rsid w:val="008326C0"/>
    <w:rsid w:val="00832C68"/>
    <w:rsid w:val="00832DA8"/>
    <w:rsid w:val="00832E39"/>
    <w:rsid w:val="00833903"/>
    <w:rsid w:val="0083447B"/>
    <w:rsid w:val="008347E3"/>
    <w:rsid w:val="00840040"/>
    <w:rsid w:val="00845BA4"/>
    <w:rsid w:val="00850F9C"/>
    <w:rsid w:val="00851769"/>
    <w:rsid w:val="008520F2"/>
    <w:rsid w:val="00855D9E"/>
    <w:rsid w:val="008576C6"/>
    <w:rsid w:val="00861366"/>
    <w:rsid w:val="0086172C"/>
    <w:rsid w:val="00862063"/>
    <w:rsid w:val="008620ED"/>
    <w:rsid w:val="0086258A"/>
    <w:rsid w:val="00863BC9"/>
    <w:rsid w:val="00865674"/>
    <w:rsid w:val="00866558"/>
    <w:rsid w:val="008666E9"/>
    <w:rsid w:val="00866EBB"/>
    <w:rsid w:val="00876C47"/>
    <w:rsid w:val="008771CF"/>
    <w:rsid w:val="008778F6"/>
    <w:rsid w:val="00880CAE"/>
    <w:rsid w:val="00880E7C"/>
    <w:rsid w:val="00882A5F"/>
    <w:rsid w:val="008844B1"/>
    <w:rsid w:val="00885198"/>
    <w:rsid w:val="00894596"/>
    <w:rsid w:val="00894928"/>
    <w:rsid w:val="00894B2B"/>
    <w:rsid w:val="00896F30"/>
    <w:rsid w:val="00897493"/>
    <w:rsid w:val="008A13EE"/>
    <w:rsid w:val="008A1553"/>
    <w:rsid w:val="008A2BEF"/>
    <w:rsid w:val="008A5E0B"/>
    <w:rsid w:val="008B0BD4"/>
    <w:rsid w:val="008B1592"/>
    <w:rsid w:val="008B1669"/>
    <w:rsid w:val="008B53B7"/>
    <w:rsid w:val="008B5D62"/>
    <w:rsid w:val="008C122A"/>
    <w:rsid w:val="008C1BC3"/>
    <w:rsid w:val="008C2186"/>
    <w:rsid w:val="008C3576"/>
    <w:rsid w:val="008C58F1"/>
    <w:rsid w:val="008D00BB"/>
    <w:rsid w:val="008D0EEC"/>
    <w:rsid w:val="008D0EF5"/>
    <w:rsid w:val="008D1D5D"/>
    <w:rsid w:val="008E3868"/>
    <w:rsid w:val="008E55AF"/>
    <w:rsid w:val="008E650E"/>
    <w:rsid w:val="008E693E"/>
    <w:rsid w:val="008F0D4E"/>
    <w:rsid w:val="008F4A1C"/>
    <w:rsid w:val="008F6007"/>
    <w:rsid w:val="008F7614"/>
    <w:rsid w:val="00905C71"/>
    <w:rsid w:val="009105D9"/>
    <w:rsid w:val="00910713"/>
    <w:rsid w:val="00910B2C"/>
    <w:rsid w:val="0091184D"/>
    <w:rsid w:val="00915692"/>
    <w:rsid w:val="00915923"/>
    <w:rsid w:val="00917155"/>
    <w:rsid w:val="00917745"/>
    <w:rsid w:val="00920046"/>
    <w:rsid w:val="00923670"/>
    <w:rsid w:val="009238DB"/>
    <w:rsid w:val="00923A2F"/>
    <w:rsid w:val="00923D27"/>
    <w:rsid w:val="00924873"/>
    <w:rsid w:val="00925B30"/>
    <w:rsid w:val="00927C7A"/>
    <w:rsid w:val="00930C6B"/>
    <w:rsid w:val="00932927"/>
    <w:rsid w:val="00934F8E"/>
    <w:rsid w:val="00935287"/>
    <w:rsid w:val="00936344"/>
    <w:rsid w:val="00942ABB"/>
    <w:rsid w:val="0094531D"/>
    <w:rsid w:val="0094706F"/>
    <w:rsid w:val="00947422"/>
    <w:rsid w:val="00951F57"/>
    <w:rsid w:val="0095433B"/>
    <w:rsid w:val="00954A58"/>
    <w:rsid w:val="009562C7"/>
    <w:rsid w:val="00962192"/>
    <w:rsid w:val="00962689"/>
    <w:rsid w:val="00964578"/>
    <w:rsid w:val="00964E96"/>
    <w:rsid w:val="0097092F"/>
    <w:rsid w:val="00976686"/>
    <w:rsid w:val="00976D3C"/>
    <w:rsid w:val="00977109"/>
    <w:rsid w:val="009776DE"/>
    <w:rsid w:val="00982FAD"/>
    <w:rsid w:val="0098565A"/>
    <w:rsid w:val="00991E7A"/>
    <w:rsid w:val="009927B9"/>
    <w:rsid w:val="00993F39"/>
    <w:rsid w:val="009A035A"/>
    <w:rsid w:val="009A188B"/>
    <w:rsid w:val="009A4126"/>
    <w:rsid w:val="009A4AA7"/>
    <w:rsid w:val="009A4FDF"/>
    <w:rsid w:val="009A606A"/>
    <w:rsid w:val="009A6099"/>
    <w:rsid w:val="009B1DFD"/>
    <w:rsid w:val="009B2945"/>
    <w:rsid w:val="009B6FB4"/>
    <w:rsid w:val="009C1BBA"/>
    <w:rsid w:val="009C40DD"/>
    <w:rsid w:val="009C430B"/>
    <w:rsid w:val="009C4F83"/>
    <w:rsid w:val="009C7D3F"/>
    <w:rsid w:val="009D0E0E"/>
    <w:rsid w:val="009D14DB"/>
    <w:rsid w:val="009D257D"/>
    <w:rsid w:val="009D346C"/>
    <w:rsid w:val="009D4CF6"/>
    <w:rsid w:val="009D69D2"/>
    <w:rsid w:val="009E01AE"/>
    <w:rsid w:val="009E0227"/>
    <w:rsid w:val="009E23DF"/>
    <w:rsid w:val="009F01DA"/>
    <w:rsid w:val="009F20BB"/>
    <w:rsid w:val="009F4E48"/>
    <w:rsid w:val="009F50A5"/>
    <w:rsid w:val="00A026E6"/>
    <w:rsid w:val="00A029BE"/>
    <w:rsid w:val="00A031C2"/>
    <w:rsid w:val="00A05360"/>
    <w:rsid w:val="00A07A58"/>
    <w:rsid w:val="00A141ED"/>
    <w:rsid w:val="00A16587"/>
    <w:rsid w:val="00A22E2B"/>
    <w:rsid w:val="00A22FCA"/>
    <w:rsid w:val="00A23089"/>
    <w:rsid w:val="00A23AD8"/>
    <w:rsid w:val="00A25962"/>
    <w:rsid w:val="00A26396"/>
    <w:rsid w:val="00A2707A"/>
    <w:rsid w:val="00A31C95"/>
    <w:rsid w:val="00A341AD"/>
    <w:rsid w:val="00A352F8"/>
    <w:rsid w:val="00A36BCC"/>
    <w:rsid w:val="00A41B4C"/>
    <w:rsid w:val="00A42AF9"/>
    <w:rsid w:val="00A42BC9"/>
    <w:rsid w:val="00A42EC5"/>
    <w:rsid w:val="00A43789"/>
    <w:rsid w:val="00A43E81"/>
    <w:rsid w:val="00A46FAA"/>
    <w:rsid w:val="00A53D21"/>
    <w:rsid w:val="00A55CBA"/>
    <w:rsid w:val="00A561B6"/>
    <w:rsid w:val="00A605B2"/>
    <w:rsid w:val="00A6082F"/>
    <w:rsid w:val="00A633AD"/>
    <w:rsid w:val="00A657F9"/>
    <w:rsid w:val="00A65FC2"/>
    <w:rsid w:val="00A666C4"/>
    <w:rsid w:val="00A67631"/>
    <w:rsid w:val="00A677F2"/>
    <w:rsid w:val="00A701A5"/>
    <w:rsid w:val="00A708A6"/>
    <w:rsid w:val="00A71CB8"/>
    <w:rsid w:val="00A72562"/>
    <w:rsid w:val="00A73931"/>
    <w:rsid w:val="00A73B2D"/>
    <w:rsid w:val="00A74352"/>
    <w:rsid w:val="00A743E6"/>
    <w:rsid w:val="00A752B3"/>
    <w:rsid w:val="00A76F38"/>
    <w:rsid w:val="00A7707C"/>
    <w:rsid w:val="00A8002F"/>
    <w:rsid w:val="00A802BD"/>
    <w:rsid w:val="00A80946"/>
    <w:rsid w:val="00A81514"/>
    <w:rsid w:val="00A8215B"/>
    <w:rsid w:val="00A84553"/>
    <w:rsid w:val="00A92ACA"/>
    <w:rsid w:val="00A93128"/>
    <w:rsid w:val="00A9653E"/>
    <w:rsid w:val="00A96DE4"/>
    <w:rsid w:val="00AA466F"/>
    <w:rsid w:val="00AA61B1"/>
    <w:rsid w:val="00AA6716"/>
    <w:rsid w:val="00AA785A"/>
    <w:rsid w:val="00AB23CB"/>
    <w:rsid w:val="00AB29C9"/>
    <w:rsid w:val="00AB2A76"/>
    <w:rsid w:val="00AB3AB0"/>
    <w:rsid w:val="00AB6640"/>
    <w:rsid w:val="00AC1007"/>
    <w:rsid w:val="00AC12E8"/>
    <w:rsid w:val="00AC3608"/>
    <w:rsid w:val="00AC40FA"/>
    <w:rsid w:val="00AC4370"/>
    <w:rsid w:val="00AC5CBE"/>
    <w:rsid w:val="00AD0029"/>
    <w:rsid w:val="00AD0617"/>
    <w:rsid w:val="00AD0FF8"/>
    <w:rsid w:val="00AD1704"/>
    <w:rsid w:val="00AD1AAD"/>
    <w:rsid w:val="00AD2E3C"/>
    <w:rsid w:val="00AD577D"/>
    <w:rsid w:val="00AD6871"/>
    <w:rsid w:val="00AE232D"/>
    <w:rsid w:val="00AE4108"/>
    <w:rsid w:val="00AE5A7B"/>
    <w:rsid w:val="00AE7EC3"/>
    <w:rsid w:val="00AF1913"/>
    <w:rsid w:val="00AF1D3C"/>
    <w:rsid w:val="00AF56FA"/>
    <w:rsid w:val="00AF5E7A"/>
    <w:rsid w:val="00AF631F"/>
    <w:rsid w:val="00AF6D9B"/>
    <w:rsid w:val="00AF7136"/>
    <w:rsid w:val="00AF7274"/>
    <w:rsid w:val="00B0020F"/>
    <w:rsid w:val="00B017AC"/>
    <w:rsid w:val="00B0256F"/>
    <w:rsid w:val="00B05690"/>
    <w:rsid w:val="00B067C9"/>
    <w:rsid w:val="00B06B86"/>
    <w:rsid w:val="00B100A8"/>
    <w:rsid w:val="00B10CA3"/>
    <w:rsid w:val="00B1569F"/>
    <w:rsid w:val="00B20D94"/>
    <w:rsid w:val="00B214BD"/>
    <w:rsid w:val="00B21AAB"/>
    <w:rsid w:val="00B22CF3"/>
    <w:rsid w:val="00B26753"/>
    <w:rsid w:val="00B26955"/>
    <w:rsid w:val="00B26B60"/>
    <w:rsid w:val="00B26B94"/>
    <w:rsid w:val="00B27449"/>
    <w:rsid w:val="00B336CA"/>
    <w:rsid w:val="00B33B9E"/>
    <w:rsid w:val="00B34674"/>
    <w:rsid w:val="00B36BBC"/>
    <w:rsid w:val="00B41FF9"/>
    <w:rsid w:val="00B45411"/>
    <w:rsid w:val="00B46DA4"/>
    <w:rsid w:val="00B500F8"/>
    <w:rsid w:val="00B502C3"/>
    <w:rsid w:val="00B50EBF"/>
    <w:rsid w:val="00B52DC0"/>
    <w:rsid w:val="00B54517"/>
    <w:rsid w:val="00B56C4C"/>
    <w:rsid w:val="00B621E5"/>
    <w:rsid w:val="00B63E33"/>
    <w:rsid w:val="00B71EE8"/>
    <w:rsid w:val="00B730AB"/>
    <w:rsid w:val="00B73341"/>
    <w:rsid w:val="00B765D7"/>
    <w:rsid w:val="00B81BB6"/>
    <w:rsid w:val="00B840D5"/>
    <w:rsid w:val="00B858BB"/>
    <w:rsid w:val="00B85E17"/>
    <w:rsid w:val="00B875EB"/>
    <w:rsid w:val="00B93996"/>
    <w:rsid w:val="00B93C8E"/>
    <w:rsid w:val="00B958F2"/>
    <w:rsid w:val="00B964A9"/>
    <w:rsid w:val="00B96740"/>
    <w:rsid w:val="00B967F0"/>
    <w:rsid w:val="00B96897"/>
    <w:rsid w:val="00B97833"/>
    <w:rsid w:val="00B9791E"/>
    <w:rsid w:val="00BA1F9B"/>
    <w:rsid w:val="00BA2858"/>
    <w:rsid w:val="00BA598F"/>
    <w:rsid w:val="00BA689E"/>
    <w:rsid w:val="00BA7A24"/>
    <w:rsid w:val="00BB1197"/>
    <w:rsid w:val="00BB3F9F"/>
    <w:rsid w:val="00BB574A"/>
    <w:rsid w:val="00BC03DD"/>
    <w:rsid w:val="00BC6AE9"/>
    <w:rsid w:val="00BD38B2"/>
    <w:rsid w:val="00BE1596"/>
    <w:rsid w:val="00BE2BFC"/>
    <w:rsid w:val="00BE327A"/>
    <w:rsid w:val="00BE372C"/>
    <w:rsid w:val="00BE3894"/>
    <w:rsid w:val="00BE4E2B"/>
    <w:rsid w:val="00BE7C96"/>
    <w:rsid w:val="00BE7E3A"/>
    <w:rsid w:val="00BF2120"/>
    <w:rsid w:val="00C012A1"/>
    <w:rsid w:val="00C02FFD"/>
    <w:rsid w:val="00C05838"/>
    <w:rsid w:val="00C0698C"/>
    <w:rsid w:val="00C16EF8"/>
    <w:rsid w:val="00C17AE0"/>
    <w:rsid w:val="00C20ECD"/>
    <w:rsid w:val="00C23CB3"/>
    <w:rsid w:val="00C2548A"/>
    <w:rsid w:val="00C25E02"/>
    <w:rsid w:val="00C263FF"/>
    <w:rsid w:val="00C2780F"/>
    <w:rsid w:val="00C279F4"/>
    <w:rsid w:val="00C330E2"/>
    <w:rsid w:val="00C4103B"/>
    <w:rsid w:val="00C41466"/>
    <w:rsid w:val="00C418E2"/>
    <w:rsid w:val="00C45486"/>
    <w:rsid w:val="00C4650D"/>
    <w:rsid w:val="00C46ECE"/>
    <w:rsid w:val="00C47D8E"/>
    <w:rsid w:val="00C50106"/>
    <w:rsid w:val="00C50649"/>
    <w:rsid w:val="00C508DC"/>
    <w:rsid w:val="00C50A6B"/>
    <w:rsid w:val="00C578B2"/>
    <w:rsid w:val="00C62247"/>
    <w:rsid w:val="00C630BC"/>
    <w:rsid w:val="00C63685"/>
    <w:rsid w:val="00C66AA3"/>
    <w:rsid w:val="00C72322"/>
    <w:rsid w:val="00C73C36"/>
    <w:rsid w:val="00C77E75"/>
    <w:rsid w:val="00C77F85"/>
    <w:rsid w:val="00C8371D"/>
    <w:rsid w:val="00C83F19"/>
    <w:rsid w:val="00C84D85"/>
    <w:rsid w:val="00C8519E"/>
    <w:rsid w:val="00C85E2C"/>
    <w:rsid w:val="00C867D3"/>
    <w:rsid w:val="00C90FBF"/>
    <w:rsid w:val="00C9425C"/>
    <w:rsid w:val="00C9479E"/>
    <w:rsid w:val="00C95108"/>
    <w:rsid w:val="00C9551F"/>
    <w:rsid w:val="00C95FF5"/>
    <w:rsid w:val="00C97BC2"/>
    <w:rsid w:val="00CA0208"/>
    <w:rsid w:val="00CA3826"/>
    <w:rsid w:val="00CA79D5"/>
    <w:rsid w:val="00CB1E14"/>
    <w:rsid w:val="00CB28EE"/>
    <w:rsid w:val="00CB2D0C"/>
    <w:rsid w:val="00CC255F"/>
    <w:rsid w:val="00CC4052"/>
    <w:rsid w:val="00CC4A9E"/>
    <w:rsid w:val="00CC5B84"/>
    <w:rsid w:val="00CD0E29"/>
    <w:rsid w:val="00CD0E6E"/>
    <w:rsid w:val="00CD19A7"/>
    <w:rsid w:val="00CD3A30"/>
    <w:rsid w:val="00CD62E2"/>
    <w:rsid w:val="00CD654A"/>
    <w:rsid w:val="00CD797A"/>
    <w:rsid w:val="00CE082E"/>
    <w:rsid w:val="00CE1479"/>
    <w:rsid w:val="00CE1D29"/>
    <w:rsid w:val="00CE1D54"/>
    <w:rsid w:val="00CE3715"/>
    <w:rsid w:val="00CE37EA"/>
    <w:rsid w:val="00CE606E"/>
    <w:rsid w:val="00CE7106"/>
    <w:rsid w:val="00CE790F"/>
    <w:rsid w:val="00CF0233"/>
    <w:rsid w:val="00CF4155"/>
    <w:rsid w:val="00CF557E"/>
    <w:rsid w:val="00CF71B9"/>
    <w:rsid w:val="00D00169"/>
    <w:rsid w:val="00D025F9"/>
    <w:rsid w:val="00D02B5D"/>
    <w:rsid w:val="00D0698E"/>
    <w:rsid w:val="00D079D9"/>
    <w:rsid w:val="00D11D3D"/>
    <w:rsid w:val="00D13DC1"/>
    <w:rsid w:val="00D1421D"/>
    <w:rsid w:val="00D1569C"/>
    <w:rsid w:val="00D21646"/>
    <w:rsid w:val="00D21A24"/>
    <w:rsid w:val="00D257EE"/>
    <w:rsid w:val="00D25D23"/>
    <w:rsid w:val="00D268FE"/>
    <w:rsid w:val="00D272E5"/>
    <w:rsid w:val="00D4022C"/>
    <w:rsid w:val="00D40740"/>
    <w:rsid w:val="00D41EEF"/>
    <w:rsid w:val="00D4266A"/>
    <w:rsid w:val="00D441BC"/>
    <w:rsid w:val="00D46F35"/>
    <w:rsid w:val="00D506EC"/>
    <w:rsid w:val="00D516F5"/>
    <w:rsid w:val="00D51FB8"/>
    <w:rsid w:val="00D553D1"/>
    <w:rsid w:val="00D619E5"/>
    <w:rsid w:val="00D6265C"/>
    <w:rsid w:val="00D63C54"/>
    <w:rsid w:val="00D6694C"/>
    <w:rsid w:val="00D67062"/>
    <w:rsid w:val="00D71096"/>
    <w:rsid w:val="00D718D0"/>
    <w:rsid w:val="00D73F7B"/>
    <w:rsid w:val="00D755EB"/>
    <w:rsid w:val="00D77613"/>
    <w:rsid w:val="00D80A08"/>
    <w:rsid w:val="00D81631"/>
    <w:rsid w:val="00D822A0"/>
    <w:rsid w:val="00D833D8"/>
    <w:rsid w:val="00D83DD4"/>
    <w:rsid w:val="00D83E64"/>
    <w:rsid w:val="00D867F1"/>
    <w:rsid w:val="00D90484"/>
    <w:rsid w:val="00D91E20"/>
    <w:rsid w:val="00D932C3"/>
    <w:rsid w:val="00D95C92"/>
    <w:rsid w:val="00DA101D"/>
    <w:rsid w:val="00DA1CBD"/>
    <w:rsid w:val="00DA2A34"/>
    <w:rsid w:val="00DA4F05"/>
    <w:rsid w:val="00DA6AB9"/>
    <w:rsid w:val="00DB04DB"/>
    <w:rsid w:val="00DB0D2F"/>
    <w:rsid w:val="00DB0DFE"/>
    <w:rsid w:val="00DB3187"/>
    <w:rsid w:val="00DB4015"/>
    <w:rsid w:val="00DC16AA"/>
    <w:rsid w:val="00DC1D6B"/>
    <w:rsid w:val="00DC458F"/>
    <w:rsid w:val="00DC5CB4"/>
    <w:rsid w:val="00DD13B3"/>
    <w:rsid w:val="00DD1A1D"/>
    <w:rsid w:val="00DD28DC"/>
    <w:rsid w:val="00DD569E"/>
    <w:rsid w:val="00DD613B"/>
    <w:rsid w:val="00DD67F9"/>
    <w:rsid w:val="00DD6954"/>
    <w:rsid w:val="00DD6FD9"/>
    <w:rsid w:val="00DE5211"/>
    <w:rsid w:val="00DE56FF"/>
    <w:rsid w:val="00DE76AC"/>
    <w:rsid w:val="00DE7A07"/>
    <w:rsid w:val="00DF2995"/>
    <w:rsid w:val="00DF37AB"/>
    <w:rsid w:val="00DF661C"/>
    <w:rsid w:val="00DF68A0"/>
    <w:rsid w:val="00DF6D51"/>
    <w:rsid w:val="00E005BD"/>
    <w:rsid w:val="00E0141B"/>
    <w:rsid w:val="00E019C3"/>
    <w:rsid w:val="00E0395A"/>
    <w:rsid w:val="00E0457D"/>
    <w:rsid w:val="00E109CF"/>
    <w:rsid w:val="00E10E07"/>
    <w:rsid w:val="00E11599"/>
    <w:rsid w:val="00E1214F"/>
    <w:rsid w:val="00E17A1D"/>
    <w:rsid w:val="00E231D6"/>
    <w:rsid w:val="00E237C6"/>
    <w:rsid w:val="00E264E1"/>
    <w:rsid w:val="00E319A4"/>
    <w:rsid w:val="00E31F35"/>
    <w:rsid w:val="00E31F75"/>
    <w:rsid w:val="00E33BD4"/>
    <w:rsid w:val="00E365ED"/>
    <w:rsid w:val="00E36689"/>
    <w:rsid w:val="00E37558"/>
    <w:rsid w:val="00E4144F"/>
    <w:rsid w:val="00E454C3"/>
    <w:rsid w:val="00E45D90"/>
    <w:rsid w:val="00E52E6B"/>
    <w:rsid w:val="00E532EA"/>
    <w:rsid w:val="00E542DD"/>
    <w:rsid w:val="00E555AB"/>
    <w:rsid w:val="00E55BF4"/>
    <w:rsid w:val="00E56B93"/>
    <w:rsid w:val="00E62A28"/>
    <w:rsid w:val="00E729ED"/>
    <w:rsid w:val="00E72D1F"/>
    <w:rsid w:val="00E74682"/>
    <w:rsid w:val="00E818AA"/>
    <w:rsid w:val="00E83485"/>
    <w:rsid w:val="00E84258"/>
    <w:rsid w:val="00E852C8"/>
    <w:rsid w:val="00E85694"/>
    <w:rsid w:val="00E87752"/>
    <w:rsid w:val="00E91F09"/>
    <w:rsid w:val="00E9209D"/>
    <w:rsid w:val="00E9412C"/>
    <w:rsid w:val="00EA5C72"/>
    <w:rsid w:val="00EB2FFE"/>
    <w:rsid w:val="00EB4AC7"/>
    <w:rsid w:val="00EB7742"/>
    <w:rsid w:val="00EC02B6"/>
    <w:rsid w:val="00EC1EF5"/>
    <w:rsid w:val="00EC5A4F"/>
    <w:rsid w:val="00ED76DD"/>
    <w:rsid w:val="00EE019F"/>
    <w:rsid w:val="00EE12F9"/>
    <w:rsid w:val="00EE14EC"/>
    <w:rsid w:val="00EE2843"/>
    <w:rsid w:val="00EE3BD9"/>
    <w:rsid w:val="00EE4381"/>
    <w:rsid w:val="00EF0037"/>
    <w:rsid w:val="00EF0125"/>
    <w:rsid w:val="00EF0619"/>
    <w:rsid w:val="00EF07C2"/>
    <w:rsid w:val="00EF11BA"/>
    <w:rsid w:val="00EF2C0B"/>
    <w:rsid w:val="00EF3313"/>
    <w:rsid w:val="00F03BB2"/>
    <w:rsid w:val="00F05454"/>
    <w:rsid w:val="00F076FA"/>
    <w:rsid w:val="00F117DE"/>
    <w:rsid w:val="00F11A08"/>
    <w:rsid w:val="00F11B08"/>
    <w:rsid w:val="00F1404A"/>
    <w:rsid w:val="00F178BB"/>
    <w:rsid w:val="00F2101C"/>
    <w:rsid w:val="00F22E20"/>
    <w:rsid w:val="00F240FE"/>
    <w:rsid w:val="00F24E53"/>
    <w:rsid w:val="00F26363"/>
    <w:rsid w:val="00F267D9"/>
    <w:rsid w:val="00F27F7F"/>
    <w:rsid w:val="00F302D2"/>
    <w:rsid w:val="00F30675"/>
    <w:rsid w:val="00F35830"/>
    <w:rsid w:val="00F40B24"/>
    <w:rsid w:val="00F41563"/>
    <w:rsid w:val="00F4257E"/>
    <w:rsid w:val="00F4490A"/>
    <w:rsid w:val="00F503AE"/>
    <w:rsid w:val="00F51698"/>
    <w:rsid w:val="00F5183A"/>
    <w:rsid w:val="00F52B32"/>
    <w:rsid w:val="00F531CA"/>
    <w:rsid w:val="00F547E3"/>
    <w:rsid w:val="00F54D06"/>
    <w:rsid w:val="00F565C2"/>
    <w:rsid w:val="00F56FC1"/>
    <w:rsid w:val="00F63921"/>
    <w:rsid w:val="00F67498"/>
    <w:rsid w:val="00F70BF8"/>
    <w:rsid w:val="00F70D05"/>
    <w:rsid w:val="00F72D41"/>
    <w:rsid w:val="00F73042"/>
    <w:rsid w:val="00F731EC"/>
    <w:rsid w:val="00F73FA8"/>
    <w:rsid w:val="00F75BE2"/>
    <w:rsid w:val="00F75E8A"/>
    <w:rsid w:val="00F83739"/>
    <w:rsid w:val="00F83C07"/>
    <w:rsid w:val="00F86A0D"/>
    <w:rsid w:val="00F905B2"/>
    <w:rsid w:val="00F912FC"/>
    <w:rsid w:val="00F917CB"/>
    <w:rsid w:val="00F918AF"/>
    <w:rsid w:val="00F91BAA"/>
    <w:rsid w:val="00F9775A"/>
    <w:rsid w:val="00F97F7C"/>
    <w:rsid w:val="00FA097F"/>
    <w:rsid w:val="00FA1723"/>
    <w:rsid w:val="00FA2C2F"/>
    <w:rsid w:val="00FA6009"/>
    <w:rsid w:val="00FA611A"/>
    <w:rsid w:val="00FA6312"/>
    <w:rsid w:val="00FB0353"/>
    <w:rsid w:val="00FC383E"/>
    <w:rsid w:val="00FC57A7"/>
    <w:rsid w:val="00FC7CC2"/>
    <w:rsid w:val="00FC7E77"/>
    <w:rsid w:val="00FD0299"/>
    <w:rsid w:val="00FD0A51"/>
    <w:rsid w:val="00FD1CDE"/>
    <w:rsid w:val="00FD33A1"/>
    <w:rsid w:val="00FD4FAA"/>
    <w:rsid w:val="00FD66FB"/>
    <w:rsid w:val="00FD6C76"/>
    <w:rsid w:val="00FE0B70"/>
    <w:rsid w:val="00FE2C97"/>
    <w:rsid w:val="00FE6C6F"/>
    <w:rsid w:val="00FE72DE"/>
    <w:rsid w:val="00FF0E58"/>
    <w:rsid w:val="00FF2E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B718F"/>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paragraph" w:customStyle="1" w:styleId="StyleArialLinespacing15lines">
    <w:name w:val="Style Arial Line spacing:  1.5 lines"/>
    <w:basedOn w:val="Normal"/>
    <w:rsid w:val="00165642"/>
    <w:pPr>
      <w:widowControl w:val="0"/>
      <w:numPr>
        <w:numId w:val="28"/>
      </w:numPr>
      <w:snapToGrid w:val="0"/>
      <w:spacing w:line="480" w:lineRule="auto"/>
      <w:jc w:val="both"/>
    </w:pPr>
    <w:rPr>
      <w:rFonts w:cs="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66033">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1032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12061.663682A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6AE6-BB06-4062-9972-8E9954B4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Gillian Kay</cp:lastModifiedBy>
  <cp:revision>39</cp:revision>
  <cp:lastPrinted>2022-11-25T07:28:00Z</cp:lastPrinted>
  <dcterms:created xsi:type="dcterms:W3CDTF">2022-11-24T09:13:00Z</dcterms:created>
  <dcterms:modified xsi:type="dcterms:W3CDTF">2022-11-25T07:31:00Z</dcterms:modified>
</cp:coreProperties>
</file>