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61D3" w14:textId="77777777" w:rsidR="003C6736" w:rsidRDefault="003C6736" w:rsidP="003C6736">
      <w:pPr>
        <w:pStyle w:val="Header"/>
        <w:jc w:val="center"/>
        <w:rPr>
          <w:rFonts w:ascii="Arial" w:hAnsi="Arial" w:cs="Arial"/>
          <w:b/>
          <w:lang w:val="en-GB"/>
        </w:rPr>
      </w:pPr>
      <w:r w:rsidRPr="00AE0666">
        <w:rPr>
          <w:b/>
          <w:noProof/>
          <w:lang w:val="en-US"/>
        </w:rPr>
        <w:drawing>
          <wp:inline distT="0" distB="0" distL="0" distR="0" wp14:anchorId="21B977E2" wp14:editId="6338E6E0">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14:paraId="4679B5A4" w14:textId="77777777" w:rsidR="003C6736" w:rsidRDefault="003C6736" w:rsidP="003C6736">
      <w:pPr>
        <w:pStyle w:val="Header"/>
        <w:jc w:val="center"/>
        <w:rPr>
          <w:rFonts w:ascii="Arial" w:hAnsi="Arial" w:cs="Arial"/>
          <w:b/>
          <w:lang w:val="en-GB"/>
        </w:rPr>
      </w:pPr>
    </w:p>
    <w:p w14:paraId="463A3430" w14:textId="77777777" w:rsidR="003C6736" w:rsidRPr="00AE0666" w:rsidRDefault="003C6736" w:rsidP="00F6620E">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14:paraId="51CAD777" w14:textId="5BAE4BB8" w:rsidR="003C6736" w:rsidRDefault="003C6736" w:rsidP="00F6620E">
      <w:pPr>
        <w:pStyle w:val="Header"/>
        <w:spacing w:line="276" w:lineRule="auto"/>
        <w:jc w:val="center"/>
        <w:rPr>
          <w:rFonts w:ascii="Arial" w:hAnsi="Arial" w:cs="Arial"/>
          <w:b/>
          <w:lang w:val="en-GB"/>
        </w:rPr>
      </w:pPr>
      <w:r w:rsidRPr="00AE0666">
        <w:rPr>
          <w:rFonts w:ascii="Arial" w:hAnsi="Arial" w:cs="Arial"/>
          <w:b/>
          <w:lang w:val="en-GB"/>
        </w:rPr>
        <w:t>(Western Cape Division, Cape Town)</w:t>
      </w:r>
    </w:p>
    <w:p w14:paraId="3B64003D" w14:textId="77777777" w:rsidR="00257DD2" w:rsidRDefault="00257DD2" w:rsidP="00257DD2">
      <w:pPr>
        <w:pStyle w:val="Header"/>
        <w:spacing w:line="276" w:lineRule="auto"/>
        <w:jc w:val="center"/>
        <w:rPr>
          <w:rFonts w:ascii="Calibri" w:hAnsi="Calibri" w:cs="Times New Roman"/>
          <w:lang w:val="en-GB"/>
        </w:rPr>
      </w:pPr>
    </w:p>
    <w:p w14:paraId="6DB8DB4D" w14:textId="77777777" w:rsidR="003C6736" w:rsidRPr="0011453F" w:rsidRDefault="003C6736" w:rsidP="003C6736">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Case Number: A139/2022                                         </w:t>
      </w:r>
    </w:p>
    <w:p w14:paraId="67C20877" w14:textId="77777777" w:rsidR="003C6736" w:rsidRPr="0011453F" w:rsidRDefault="003C6736" w:rsidP="003C6736">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14:paraId="19CBA1DD" w14:textId="77777777" w:rsidR="003C6736" w:rsidRDefault="003C6736" w:rsidP="003C6736">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14:paraId="340D4C97" w14:textId="77777777" w:rsidR="003C6736" w:rsidRDefault="003C6736" w:rsidP="003C6736">
      <w:pPr>
        <w:tabs>
          <w:tab w:val="left" w:pos="7938"/>
        </w:tabs>
        <w:jc w:val="center"/>
        <w:rPr>
          <w:rFonts w:ascii="Arial" w:hAnsi="Arial" w:cs="Arial"/>
          <w:b/>
          <w:sz w:val="24"/>
          <w:szCs w:val="24"/>
        </w:rPr>
      </w:pPr>
    </w:p>
    <w:p w14:paraId="1BF05C27" w14:textId="0AF9A59D" w:rsidR="003C6736" w:rsidRDefault="003C6736" w:rsidP="00F43EF0">
      <w:pPr>
        <w:tabs>
          <w:tab w:val="left" w:pos="7938"/>
        </w:tabs>
        <w:spacing w:after="0" w:line="480" w:lineRule="auto"/>
        <w:rPr>
          <w:rFonts w:ascii="Arial" w:hAnsi="Arial" w:cs="Arial"/>
          <w:b/>
          <w:sz w:val="24"/>
          <w:szCs w:val="24"/>
        </w:rPr>
      </w:pPr>
      <w:r>
        <w:rPr>
          <w:rFonts w:ascii="Arial" w:hAnsi="Arial" w:cs="Arial"/>
          <w:b/>
          <w:sz w:val="24"/>
          <w:szCs w:val="24"/>
        </w:rPr>
        <w:t xml:space="preserve">YACHT HARDWARE </w:t>
      </w:r>
      <w:r w:rsidR="00257DD2">
        <w:rPr>
          <w:rFonts w:ascii="Arial" w:hAnsi="Arial" w:cs="Arial"/>
          <w:b/>
          <w:sz w:val="24"/>
          <w:szCs w:val="24"/>
        </w:rPr>
        <w:t xml:space="preserve">CC </w:t>
      </w:r>
      <w:r>
        <w:rPr>
          <w:rFonts w:ascii="Arial" w:hAnsi="Arial" w:cs="Arial"/>
          <w:b/>
          <w:sz w:val="24"/>
          <w:szCs w:val="24"/>
        </w:rPr>
        <w:t>t/a</w:t>
      </w:r>
      <w:r w:rsidR="00F43EF0">
        <w:rPr>
          <w:rFonts w:ascii="Arial" w:hAnsi="Arial" w:cs="Arial"/>
          <w:b/>
          <w:sz w:val="24"/>
          <w:szCs w:val="24"/>
        </w:rPr>
        <w:t xml:space="preserve"> </w:t>
      </w:r>
      <w:r>
        <w:rPr>
          <w:rFonts w:ascii="Arial" w:hAnsi="Arial" w:cs="Arial"/>
          <w:b/>
          <w:sz w:val="24"/>
          <w:szCs w:val="24"/>
        </w:rPr>
        <w:t xml:space="preserve">HARKEN SOUTH AFRICA            </w:t>
      </w:r>
      <w:r w:rsidR="00601E49">
        <w:rPr>
          <w:rFonts w:ascii="Arial" w:hAnsi="Arial" w:cs="Arial"/>
          <w:b/>
          <w:sz w:val="24"/>
          <w:szCs w:val="24"/>
        </w:rPr>
        <w:t xml:space="preserve">   </w:t>
      </w:r>
      <w:r>
        <w:rPr>
          <w:rFonts w:ascii="Arial" w:hAnsi="Arial" w:cs="Arial"/>
          <w:b/>
          <w:sz w:val="24"/>
          <w:szCs w:val="24"/>
        </w:rPr>
        <w:t xml:space="preserve">    </w:t>
      </w:r>
      <w:r w:rsidR="00F43EF0">
        <w:rPr>
          <w:rFonts w:ascii="Arial" w:hAnsi="Arial" w:cs="Arial"/>
          <w:b/>
          <w:sz w:val="24"/>
          <w:szCs w:val="24"/>
        </w:rPr>
        <w:t xml:space="preserve">        </w:t>
      </w:r>
      <w:r>
        <w:rPr>
          <w:rFonts w:ascii="Arial" w:hAnsi="Arial" w:cs="Arial"/>
          <w:b/>
          <w:sz w:val="24"/>
          <w:szCs w:val="24"/>
        </w:rPr>
        <w:t xml:space="preserve">APPELLANT                                                                                      </w:t>
      </w:r>
    </w:p>
    <w:p w14:paraId="6F0C0787" w14:textId="77777777" w:rsidR="003C6736" w:rsidRDefault="003C6736" w:rsidP="003C6736">
      <w:pPr>
        <w:tabs>
          <w:tab w:val="left" w:pos="7938"/>
        </w:tabs>
        <w:rPr>
          <w:rFonts w:ascii="Arial" w:hAnsi="Arial" w:cs="Arial"/>
          <w:b/>
          <w:sz w:val="24"/>
          <w:szCs w:val="24"/>
        </w:rPr>
      </w:pPr>
    </w:p>
    <w:p w14:paraId="3B89AB32" w14:textId="6DAC6701" w:rsidR="003C6736" w:rsidRDefault="00257DD2" w:rsidP="003C6736">
      <w:pPr>
        <w:tabs>
          <w:tab w:val="left" w:pos="7938"/>
        </w:tabs>
        <w:rPr>
          <w:rFonts w:ascii="Arial" w:hAnsi="Arial" w:cs="Arial"/>
          <w:b/>
          <w:sz w:val="24"/>
          <w:szCs w:val="24"/>
        </w:rPr>
      </w:pPr>
      <w:r>
        <w:rPr>
          <w:rFonts w:ascii="Arial" w:hAnsi="Arial" w:cs="Arial"/>
          <w:b/>
          <w:sz w:val="24"/>
          <w:szCs w:val="24"/>
        </w:rPr>
        <w:t>a</w:t>
      </w:r>
      <w:r w:rsidR="003C6736">
        <w:rPr>
          <w:rFonts w:ascii="Arial" w:hAnsi="Arial" w:cs="Arial"/>
          <w:b/>
          <w:sz w:val="24"/>
          <w:szCs w:val="24"/>
        </w:rPr>
        <w:t xml:space="preserve">nd </w:t>
      </w:r>
    </w:p>
    <w:p w14:paraId="2B797F66" w14:textId="77777777" w:rsidR="003C6736" w:rsidRDefault="003C6736" w:rsidP="003C6736">
      <w:pPr>
        <w:tabs>
          <w:tab w:val="left" w:pos="7938"/>
        </w:tabs>
        <w:rPr>
          <w:rFonts w:ascii="Arial" w:hAnsi="Arial" w:cs="Arial"/>
          <w:b/>
          <w:sz w:val="24"/>
          <w:szCs w:val="24"/>
        </w:rPr>
      </w:pPr>
    </w:p>
    <w:p w14:paraId="6F19248C" w14:textId="0647865D" w:rsidR="003C6736" w:rsidRDefault="003C6736" w:rsidP="00601E49">
      <w:pPr>
        <w:spacing w:after="0"/>
        <w:rPr>
          <w:rFonts w:ascii="Arial" w:hAnsi="Arial" w:cs="Arial"/>
          <w:b/>
          <w:sz w:val="24"/>
          <w:szCs w:val="24"/>
        </w:rPr>
      </w:pPr>
      <w:r>
        <w:rPr>
          <w:rFonts w:ascii="Arial" w:hAnsi="Arial" w:cs="Arial"/>
          <w:b/>
          <w:sz w:val="24"/>
          <w:szCs w:val="24"/>
        </w:rPr>
        <w:t xml:space="preserve">ZENITH INTERNATIONAL (PROPRIETARY) LIMITED   </w:t>
      </w:r>
      <w:r w:rsidR="00257DD2">
        <w:rPr>
          <w:rFonts w:ascii="Arial" w:hAnsi="Arial" w:cs="Arial"/>
          <w:b/>
          <w:sz w:val="24"/>
          <w:szCs w:val="24"/>
        </w:rPr>
        <w:t xml:space="preserve">              </w:t>
      </w:r>
      <w:r w:rsidR="00601E49">
        <w:rPr>
          <w:rFonts w:ascii="Arial" w:hAnsi="Arial" w:cs="Arial"/>
          <w:b/>
          <w:sz w:val="24"/>
          <w:szCs w:val="24"/>
        </w:rPr>
        <w:tab/>
        <w:t xml:space="preserve">    </w:t>
      </w:r>
      <w:r w:rsidR="000A67F7">
        <w:rPr>
          <w:rFonts w:ascii="Arial" w:hAnsi="Arial" w:cs="Arial"/>
          <w:b/>
          <w:sz w:val="24"/>
          <w:szCs w:val="24"/>
        </w:rPr>
        <w:t xml:space="preserve">   </w:t>
      </w:r>
      <w:r>
        <w:rPr>
          <w:rFonts w:ascii="Arial" w:hAnsi="Arial" w:cs="Arial"/>
          <w:b/>
          <w:sz w:val="24"/>
          <w:szCs w:val="24"/>
        </w:rPr>
        <w:t xml:space="preserve">RESPONDENT         </w:t>
      </w:r>
    </w:p>
    <w:p w14:paraId="794FA116" w14:textId="706600B7" w:rsidR="00F6620E" w:rsidRDefault="00F6620E" w:rsidP="003C6736">
      <w:pPr>
        <w:tabs>
          <w:tab w:val="left" w:pos="7938"/>
        </w:tabs>
        <w:spacing w:after="0"/>
        <w:rPr>
          <w:rFonts w:ascii="Arial" w:hAnsi="Arial" w:cs="Arial"/>
          <w:b/>
          <w:sz w:val="24"/>
          <w:szCs w:val="24"/>
        </w:rPr>
      </w:pPr>
    </w:p>
    <w:p w14:paraId="36D2D8A8" w14:textId="11424298" w:rsidR="000A67F7" w:rsidRPr="000A67F7" w:rsidRDefault="000A67F7" w:rsidP="000A67F7">
      <w:pPr>
        <w:tabs>
          <w:tab w:val="left" w:pos="2552"/>
          <w:tab w:val="left" w:pos="7938"/>
        </w:tabs>
        <w:spacing w:after="0"/>
        <w:rPr>
          <w:rFonts w:ascii="Arial" w:hAnsi="Arial" w:cs="Arial"/>
          <w:sz w:val="24"/>
          <w:szCs w:val="24"/>
        </w:rPr>
      </w:pPr>
      <w:r w:rsidRPr="000A67F7">
        <w:rPr>
          <w:rFonts w:ascii="Arial" w:hAnsi="Arial" w:cs="Arial"/>
          <w:sz w:val="24"/>
          <w:szCs w:val="24"/>
        </w:rPr>
        <w:t>Coram:</w:t>
      </w:r>
      <w:r w:rsidRPr="000A67F7">
        <w:rPr>
          <w:rFonts w:ascii="Arial" w:hAnsi="Arial" w:cs="Arial"/>
          <w:sz w:val="24"/>
          <w:szCs w:val="24"/>
        </w:rPr>
        <w:tab/>
        <w:t>Erasmus J and De Wet AJ</w:t>
      </w:r>
    </w:p>
    <w:p w14:paraId="3601736C" w14:textId="6F16DFA2" w:rsidR="000A67F7" w:rsidRPr="000A67F7" w:rsidRDefault="000A67F7" w:rsidP="000A67F7">
      <w:pPr>
        <w:tabs>
          <w:tab w:val="left" w:pos="2552"/>
          <w:tab w:val="left" w:pos="7938"/>
        </w:tabs>
        <w:spacing w:after="0"/>
        <w:rPr>
          <w:rFonts w:ascii="Arial" w:hAnsi="Arial" w:cs="Arial"/>
          <w:sz w:val="24"/>
          <w:szCs w:val="24"/>
        </w:rPr>
      </w:pPr>
      <w:r w:rsidRPr="000A67F7">
        <w:rPr>
          <w:rFonts w:ascii="Arial" w:hAnsi="Arial" w:cs="Arial"/>
          <w:sz w:val="24"/>
          <w:szCs w:val="24"/>
        </w:rPr>
        <w:t>Judgment:</w:t>
      </w:r>
      <w:r w:rsidRPr="000A67F7">
        <w:rPr>
          <w:rFonts w:ascii="Arial" w:hAnsi="Arial" w:cs="Arial"/>
          <w:sz w:val="24"/>
          <w:szCs w:val="24"/>
        </w:rPr>
        <w:tab/>
        <w:t>De Wet AJ</w:t>
      </w:r>
    </w:p>
    <w:p w14:paraId="27BB6D68" w14:textId="47647A96" w:rsidR="003C6736" w:rsidRPr="000A67F7" w:rsidRDefault="003C6736" w:rsidP="000A67F7">
      <w:pPr>
        <w:tabs>
          <w:tab w:val="left" w:pos="2552"/>
          <w:tab w:val="left" w:pos="7938"/>
        </w:tabs>
        <w:spacing w:after="0"/>
        <w:rPr>
          <w:rFonts w:ascii="Arial" w:hAnsi="Arial" w:cs="Arial"/>
          <w:sz w:val="24"/>
          <w:szCs w:val="24"/>
        </w:rPr>
      </w:pPr>
      <w:r w:rsidRPr="000A67F7">
        <w:rPr>
          <w:rFonts w:ascii="Arial" w:hAnsi="Arial" w:cs="Arial"/>
          <w:sz w:val="24"/>
          <w:szCs w:val="24"/>
        </w:rPr>
        <w:t>Date of hearing:</w:t>
      </w:r>
      <w:r w:rsidR="00257DD2" w:rsidRPr="000A67F7">
        <w:rPr>
          <w:rFonts w:ascii="Arial" w:hAnsi="Arial" w:cs="Arial"/>
          <w:sz w:val="24"/>
          <w:szCs w:val="24"/>
        </w:rPr>
        <w:t xml:space="preserve"> </w:t>
      </w:r>
      <w:r w:rsidR="000A67F7">
        <w:rPr>
          <w:rFonts w:ascii="Arial" w:hAnsi="Arial" w:cs="Arial"/>
          <w:sz w:val="24"/>
          <w:szCs w:val="24"/>
        </w:rPr>
        <w:tab/>
      </w:r>
      <w:r w:rsidR="00257DD2" w:rsidRPr="000A67F7">
        <w:rPr>
          <w:rFonts w:ascii="Arial" w:hAnsi="Arial" w:cs="Arial"/>
          <w:sz w:val="24"/>
          <w:szCs w:val="24"/>
        </w:rPr>
        <w:t>12 October 2022</w:t>
      </w:r>
    </w:p>
    <w:p w14:paraId="5C60F6B6" w14:textId="74BFB517" w:rsidR="003C6736" w:rsidRPr="000A67F7" w:rsidRDefault="003C6736" w:rsidP="000A67F7">
      <w:pPr>
        <w:tabs>
          <w:tab w:val="left" w:pos="2552"/>
          <w:tab w:val="left" w:pos="7938"/>
        </w:tabs>
        <w:spacing w:after="0"/>
        <w:rPr>
          <w:rFonts w:ascii="Arial" w:hAnsi="Arial" w:cs="Arial"/>
          <w:sz w:val="24"/>
          <w:szCs w:val="24"/>
        </w:rPr>
      </w:pPr>
      <w:r w:rsidRPr="000A67F7">
        <w:rPr>
          <w:rFonts w:ascii="Arial" w:hAnsi="Arial" w:cs="Arial"/>
          <w:sz w:val="24"/>
          <w:szCs w:val="24"/>
        </w:rPr>
        <w:t>Date of Judgment:</w:t>
      </w:r>
      <w:r w:rsidR="00257DD2" w:rsidRPr="000A67F7">
        <w:rPr>
          <w:rFonts w:ascii="Arial" w:hAnsi="Arial" w:cs="Arial"/>
          <w:sz w:val="24"/>
          <w:szCs w:val="24"/>
        </w:rPr>
        <w:t xml:space="preserve"> </w:t>
      </w:r>
      <w:r w:rsidR="000A67F7">
        <w:rPr>
          <w:rFonts w:ascii="Arial" w:hAnsi="Arial" w:cs="Arial"/>
          <w:sz w:val="24"/>
          <w:szCs w:val="24"/>
        </w:rPr>
        <w:tab/>
      </w:r>
      <w:r w:rsidR="00F6620E" w:rsidRPr="000A67F7">
        <w:rPr>
          <w:rFonts w:ascii="Arial" w:hAnsi="Arial" w:cs="Arial"/>
          <w:sz w:val="24"/>
          <w:szCs w:val="24"/>
        </w:rPr>
        <w:t>2 Dec</w:t>
      </w:r>
      <w:r w:rsidR="00BD668E" w:rsidRPr="000A67F7">
        <w:rPr>
          <w:rFonts w:ascii="Arial" w:hAnsi="Arial" w:cs="Arial"/>
          <w:sz w:val="24"/>
          <w:szCs w:val="24"/>
        </w:rPr>
        <w:t xml:space="preserve">ember </w:t>
      </w:r>
      <w:r w:rsidR="00257DD2" w:rsidRPr="000A67F7">
        <w:rPr>
          <w:rFonts w:ascii="Arial" w:hAnsi="Arial" w:cs="Arial"/>
          <w:sz w:val="24"/>
          <w:szCs w:val="24"/>
        </w:rPr>
        <w:t>2022</w:t>
      </w:r>
    </w:p>
    <w:p w14:paraId="313B4051" w14:textId="63610E3A" w:rsidR="003C6736" w:rsidRDefault="003C6736" w:rsidP="003C6736">
      <w:pPr>
        <w:pBdr>
          <w:bottom w:val="single" w:sz="12" w:space="1" w:color="auto"/>
        </w:pBdr>
        <w:spacing w:after="0" w:line="276" w:lineRule="auto"/>
        <w:jc w:val="both"/>
        <w:rPr>
          <w:rFonts w:ascii="Arial" w:hAnsi="Arial" w:cs="Arial"/>
          <w:sz w:val="24"/>
          <w:szCs w:val="24"/>
        </w:rPr>
      </w:pPr>
    </w:p>
    <w:p w14:paraId="491F3D90" w14:textId="77777777" w:rsidR="003C6736" w:rsidRDefault="003C6736" w:rsidP="003C6736">
      <w:pPr>
        <w:spacing w:after="0"/>
        <w:ind w:left="720" w:firstLine="720"/>
        <w:rPr>
          <w:rFonts w:ascii="Arial" w:hAnsi="Arial" w:cs="Arial"/>
          <w:b/>
          <w:sz w:val="24"/>
          <w:szCs w:val="24"/>
        </w:rPr>
      </w:pPr>
      <w:r>
        <w:rPr>
          <w:rFonts w:ascii="Arial" w:hAnsi="Arial" w:cs="Arial"/>
          <w:b/>
          <w:sz w:val="24"/>
          <w:szCs w:val="24"/>
        </w:rPr>
        <w:t xml:space="preserve">                           </w:t>
      </w:r>
    </w:p>
    <w:p w14:paraId="4E89AADB" w14:textId="79DD5E35" w:rsidR="003C6736" w:rsidRDefault="003C6736" w:rsidP="003C6736">
      <w:pPr>
        <w:spacing w:after="0"/>
        <w:jc w:val="center"/>
        <w:rPr>
          <w:rFonts w:ascii="Arial" w:hAnsi="Arial" w:cs="Arial"/>
          <w:b/>
          <w:sz w:val="24"/>
          <w:szCs w:val="24"/>
        </w:rPr>
      </w:pPr>
      <w:r>
        <w:rPr>
          <w:rFonts w:ascii="Arial" w:hAnsi="Arial" w:cs="Arial"/>
          <w:b/>
          <w:sz w:val="24"/>
          <w:szCs w:val="24"/>
        </w:rPr>
        <w:t xml:space="preserve">JUDGMENT </w:t>
      </w:r>
    </w:p>
    <w:p w14:paraId="3C73FD62" w14:textId="21B5F43A" w:rsidR="001C6BE7" w:rsidRPr="001C6BE7" w:rsidRDefault="001C6BE7" w:rsidP="003C6736">
      <w:pPr>
        <w:spacing w:after="0"/>
        <w:jc w:val="center"/>
        <w:rPr>
          <w:rFonts w:ascii="Arial" w:hAnsi="Arial" w:cs="Arial"/>
          <w:sz w:val="24"/>
          <w:szCs w:val="24"/>
        </w:rPr>
      </w:pPr>
      <w:r w:rsidRPr="001C6BE7">
        <w:rPr>
          <w:rFonts w:ascii="Arial" w:hAnsi="Arial" w:cs="Arial"/>
          <w:sz w:val="24"/>
          <w:szCs w:val="24"/>
        </w:rPr>
        <w:t>(handed down electronically, via email)</w:t>
      </w:r>
    </w:p>
    <w:p w14:paraId="126C82D5" w14:textId="77777777" w:rsidR="003C6736" w:rsidRDefault="003C6736" w:rsidP="003C6736">
      <w:pPr>
        <w:pBdr>
          <w:bottom w:val="single" w:sz="12" w:space="1" w:color="auto"/>
        </w:pBdr>
        <w:spacing w:after="0"/>
        <w:jc w:val="both"/>
        <w:rPr>
          <w:rFonts w:ascii="Arial" w:hAnsi="Arial" w:cs="Arial"/>
          <w:sz w:val="18"/>
          <w:szCs w:val="18"/>
        </w:rPr>
      </w:pPr>
    </w:p>
    <w:p w14:paraId="67E3CEBD" w14:textId="77777777" w:rsidR="003C6736" w:rsidRDefault="003C6736" w:rsidP="003C6736">
      <w:pPr>
        <w:spacing w:after="0" w:line="480" w:lineRule="auto"/>
        <w:jc w:val="center"/>
        <w:rPr>
          <w:rFonts w:ascii="Times New Roman" w:eastAsia="Times New Roman" w:hAnsi="Times New Roman" w:cs="Times New Roman"/>
          <w:sz w:val="24"/>
          <w:szCs w:val="24"/>
        </w:rPr>
      </w:pPr>
    </w:p>
    <w:p w14:paraId="297F0CB1" w14:textId="77777777" w:rsidR="00731B02" w:rsidRDefault="003C6736" w:rsidP="00140065">
      <w:pPr>
        <w:spacing w:after="0"/>
        <w:rPr>
          <w:rFonts w:ascii="Arial" w:hAnsi="Arial" w:cs="Arial"/>
          <w:b/>
          <w:sz w:val="24"/>
          <w:szCs w:val="24"/>
        </w:rPr>
      </w:pPr>
      <w:r>
        <w:rPr>
          <w:rFonts w:ascii="Arial" w:hAnsi="Arial" w:cs="Arial"/>
          <w:b/>
          <w:sz w:val="24"/>
          <w:szCs w:val="24"/>
        </w:rPr>
        <w:t>DE WET, AJ</w:t>
      </w:r>
    </w:p>
    <w:p w14:paraId="0A16A896" w14:textId="77777777" w:rsidR="00D77FEA" w:rsidRDefault="00D77FEA" w:rsidP="00140065">
      <w:pPr>
        <w:spacing w:after="0"/>
        <w:rPr>
          <w:rFonts w:ascii="Arial" w:hAnsi="Arial" w:cs="Arial"/>
          <w:b/>
          <w:sz w:val="24"/>
          <w:szCs w:val="24"/>
        </w:rPr>
      </w:pPr>
    </w:p>
    <w:p w14:paraId="224E4482" w14:textId="367FEB8B" w:rsidR="00D77FEA" w:rsidRDefault="00D77FEA" w:rsidP="00140065">
      <w:pPr>
        <w:spacing w:after="0" w:line="480" w:lineRule="auto"/>
        <w:jc w:val="both"/>
        <w:rPr>
          <w:rFonts w:ascii="Arial" w:hAnsi="Arial" w:cs="Arial"/>
          <w:sz w:val="24"/>
          <w:szCs w:val="24"/>
        </w:rPr>
      </w:pPr>
      <w:r w:rsidRPr="00C57CE0">
        <w:rPr>
          <w:rFonts w:ascii="Arial" w:hAnsi="Arial" w:cs="Arial"/>
          <w:sz w:val="24"/>
          <w:szCs w:val="24"/>
        </w:rPr>
        <w:t>[1]</w:t>
      </w:r>
      <w:r w:rsidRPr="00C57CE0">
        <w:rPr>
          <w:rFonts w:ascii="Arial" w:hAnsi="Arial" w:cs="Arial"/>
          <w:sz w:val="24"/>
          <w:szCs w:val="24"/>
        </w:rPr>
        <w:tab/>
        <w:t xml:space="preserve">This matter concerns the interpretation of </w:t>
      </w:r>
      <w:r w:rsidR="00B366C4">
        <w:rPr>
          <w:rFonts w:ascii="Arial" w:hAnsi="Arial" w:cs="Arial"/>
          <w:sz w:val="24"/>
          <w:szCs w:val="24"/>
        </w:rPr>
        <w:t xml:space="preserve">indemnity clauses contained in </w:t>
      </w:r>
      <w:r w:rsidRPr="00C57CE0">
        <w:rPr>
          <w:rFonts w:ascii="Arial" w:hAnsi="Arial" w:cs="Arial"/>
          <w:sz w:val="24"/>
          <w:szCs w:val="24"/>
        </w:rPr>
        <w:t>a contract of sale concluded between the parties during September 2019. The appellant claim</w:t>
      </w:r>
      <w:r w:rsidR="00B366C4">
        <w:rPr>
          <w:rFonts w:ascii="Arial" w:hAnsi="Arial" w:cs="Arial"/>
          <w:sz w:val="24"/>
          <w:szCs w:val="24"/>
        </w:rPr>
        <w:t>ed</w:t>
      </w:r>
      <w:r w:rsidRPr="00C57CE0">
        <w:rPr>
          <w:rFonts w:ascii="Arial" w:hAnsi="Arial" w:cs="Arial"/>
          <w:sz w:val="24"/>
          <w:szCs w:val="24"/>
        </w:rPr>
        <w:t xml:space="preserve"> specific performance from the respondent in terms of clause 9.2 in the court </w:t>
      </w:r>
      <w:r w:rsidRPr="00C57CE0">
        <w:rPr>
          <w:rFonts w:ascii="Arial" w:hAnsi="Arial" w:cs="Arial"/>
          <w:i/>
          <w:sz w:val="24"/>
          <w:szCs w:val="24"/>
        </w:rPr>
        <w:t>a quo</w:t>
      </w:r>
      <w:r w:rsidR="00915F86">
        <w:rPr>
          <w:rFonts w:ascii="Arial" w:hAnsi="Arial" w:cs="Arial"/>
          <w:i/>
          <w:sz w:val="24"/>
          <w:szCs w:val="24"/>
        </w:rPr>
        <w:t>,</w:t>
      </w:r>
      <w:r w:rsidRPr="00C57CE0">
        <w:rPr>
          <w:rFonts w:ascii="Arial" w:hAnsi="Arial" w:cs="Arial"/>
          <w:i/>
          <w:sz w:val="24"/>
          <w:szCs w:val="24"/>
        </w:rPr>
        <w:t xml:space="preserve"> </w:t>
      </w:r>
      <w:r w:rsidR="00866DC9">
        <w:rPr>
          <w:rFonts w:ascii="Arial" w:hAnsi="Arial" w:cs="Arial"/>
          <w:iCs/>
          <w:sz w:val="24"/>
          <w:szCs w:val="24"/>
        </w:rPr>
        <w:t xml:space="preserve">who </w:t>
      </w:r>
      <w:r w:rsidR="00B366C4">
        <w:rPr>
          <w:rFonts w:ascii="Arial" w:hAnsi="Arial" w:cs="Arial"/>
          <w:sz w:val="24"/>
          <w:szCs w:val="24"/>
        </w:rPr>
        <w:t xml:space="preserve">dismissed the claim after allowing </w:t>
      </w:r>
      <w:r w:rsidR="00230577">
        <w:rPr>
          <w:rFonts w:ascii="Arial" w:hAnsi="Arial" w:cs="Arial"/>
          <w:sz w:val="24"/>
          <w:szCs w:val="24"/>
        </w:rPr>
        <w:t xml:space="preserve">and considering </w:t>
      </w:r>
      <w:r w:rsidR="00B366C4">
        <w:rPr>
          <w:rFonts w:ascii="Arial" w:hAnsi="Arial" w:cs="Arial"/>
          <w:sz w:val="24"/>
          <w:szCs w:val="24"/>
        </w:rPr>
        <w:t xml:space="preserve">extensive evidence </w:t>
      </w:r>
      <w:r w:rsidR="00B366C4">
        <w:rPr>
          <w:rFonts w:ascii="Arial" w:hAnsi="Arial" w:cs="Arial"/>
          <w:sz w:val="24"/>
          <w:szCs w:val="24"/>
        </w:rPr>
        <w:lastRenderedPageBreak/>
        <w:t xml:space="preserve">regarding the intention of the parties when entering into the agreement. It is against this decision the </w:t>
      </w:r>
      <w:r w:rsidR="00FC3A05">
        <w:rPr>
          <w:rFonts w:ascii="Arial" w:hAnsi="Arial" w:cs="Arial"/>
          <w:sz w:val="24"/>
          <w:szCs w:val="24"/>
        </w:rPr>
        <w:t>appellant now appeal</w:t>
      </w:r>
      <w:r w:rsidR="005E7C54">
        <w:rPr>
          <w:rFonts w:ascii="Arial" w:hAnsi="Arial" w:cs="Arial"/>
          <w:sz w:val="24"/>
          <w:szCs w:val="24"/>
        </w:rPr>
        <w:t>s</w:t>
      </w:r>
      <w:r w:rsidR="00B366C4">
        <w:rPr>
          <w:rFonts w:ascii="Arial" w:hAnsi="Arial" w:cs="Arial"/>
          <w:sz w:val="24"/>
          <w:szCs w:val="24"/>
        </w:rPr>
        <w:t xml:space="preserve">. </w:t>
      </w:r>
    </w:p>
    <w:p w14:paraId="647C10EE" w14:textId="77777777" w:rsidR="00140065" w:rsidRPr="00C57CE0" w:rsidRDefault="00140065" w:rsidP="00140065">
      <w:pPr>
        <w:spacing w:after="0" w:line="480" w:lineRule="auto"/>
        <w:jc w:val="both"/>
        <w:rPr>
          <w:rFonts w:ascii="Arial" w:hAnsi="Arial" w:cs="Arial"/>
          <w:sz w:val="24"/>
          <w:szCs w:val="24"/>
        </w:rPr>
      </w:pPr>
    </w:p>
    <w:p w14:paraId="2FA6E3AD" w14:textId="77777777" w:rsidR="003C42F6" w:rsidRDefault="003C42F6" w:rsidP="00140065">
      <w:pPr>
        <w:spacing w:after="0" w:line="480" w:lineRule="auto"/>
        <w:jc w:val="both"/>
        <w:rPr>
          <w:rFonts w:ascii="Arial" w:hAnsi="Arial" w:cs="Arial"/>
          <w:sz w:val="24"/>
          <w:szCs w:val="24"/>
        </w:rPr>
      </w:pPr>
      <w:r w:rsidRPr="00C57CE0">
        <w:rPr>
          <w:rFonts w:ascii="Arial" w:hAnsi="Arial" w:cs="Arial"/>
          <w:sz w:val="24"/>
          <w:szCs w:val="24"/>
        </w:rPr>
        <w:t>[2]</w:t>
      </w:r>
      <w:r w:rsidRPr="00C57CE0">
        <w:rPr>
          <w:rFonts w:ascii="Arial" w:hAnsi="Arial" w:cs="Arial"/>
          <w:sz w:val="24"/>
          <w:szCs w:val="24"/>
        </w:rPr>
        <w:tab/>
        <w:t xml:space="preserve">For ease of reference the parties are referred to as in the court </w:t>
      </w:r>
      <w:r w:rsidRPr="00C57CE0">
        <w:rPr>
          <w:rFonts w:ascii="Arial" w:hAnsi="Arial" w:cs="Arial"/>
          <w:i/>
          <w:sz w:val="24"/>
          <w:szCs w:val="24"/>
        </w:rPr>
        <w:t>a quo</w:t>
      </w:r>
      <w:r w:rsidRPr="00C57CE0">
        <w:rPr>
          <w:rFonts w:ascii="Arial" w:hAnsi="Arial" w:cs="Arial"/>
          <w:sz w:val="24"/>
          <w:szCs w:val="24"/>
        </w:rPr>
        <w:t>.</w:t>
      </w:r>
    </w:p>
    <w:p w14:paraId="7A8BC8C5" w14:textId="77777777" w:rsidR="00140065" w:rsidRDefault="00140065" w:rsidP="00140065">
      <w:pPr>
        <w:spacing w:after="0" w:line="480" w:lineRule="auto"/>
        <w:jc w:val="both"/>
        <w:rPr>
          <w:rFonts w:ascii="Arial" w:hAnsi="Arial" w:cs="Arial"/>
          <w:sz w:val="24"/>
          <w:szCs w:val="24"/>
          <w:u w:val="single"/>
        </w:rPr>
      </w:pPr>
    </w:p>
    <w:p w14:paraId="371AD0C8" w14:textId="682CCF3C" w:rsidR="003C42F6" w:rsidRPr="00C57CE0" w:rsidRDefault="001C6BE7" w:rsidP="00140065">
      <w:pPr>
        <w:spacing w:after="0" w:line="480" w:lineRule="auto"/>
        <w:jc w:val="both"/>
        <w:rPr>
          <w:rFonts w:ascii="Arial" w:hAnsi="Arial" w:cs="Arial"/>
          <w:sz w:val="24"/>
          <w:szCs w:val="24"/>
          <w:u w:val="single"/>
        </w:rPr>
      </w:pPr>
      <w:r>
        <w:rPr>
          <w:rFonts w:ascii="Arial" w:hAnsi="Arial" w:cs="Arial"/>
          <w:sz w:val="24"/>
          <w:szCs w:val="24"/>
          <w:u w:val="single"/>
        </w:rPr>
        <w:t>Brief factual background</w:t>
      </w:r>
    </w:p>
    <w:p w14:paraId="73633362" w14:textId="6AADEBF1" w:rsidR="00866DC9" w:rsidRDefault="003C42F6" w:rsidP="00140065">
      <w:pPr>
        <w:spacing w:after="0" w:line="480" w:lineRule="auto"/>
        <w:jc w:val="both"/>
        <w:rPr>
          <w:rFonts w:ascii="Arial" w:hAnsi="Arial" w:cs="Arial"/>
          <w:sz w:val="24"/>
          <w:szCs w:val="24"/>
        </w:rPr>
      </w:pPr>
      <w:r w:rsidRPr="00C57CE0">
        <w:rPr>
          <w:rFonts w:ascii="Arial" w:hAnsi="Arial" w:cs="Arial"/>
          <w:sz w:val="24"/>
          <w:szCs w:val="24"/>
        </w:rPr>
        <w:t>[3]</w:t>
      </w:r>
      <w:r w:rsidRPr="00C57CE0">
        <w:rPr>
          <w:rFonts w:ascii="Arial" w:hAnsi="Arial" w:cs="Arial"/>
          <w:sz w:val="24"/>
          <w:szCs w:val="24"/>
        </w:rPr>
        <w:tab/>
      </w:r>
      <w:r w:rsidR="00866DC9">
        <w:rPr>
          <w:rFonts w:ascii="Arial" w:hAnsi="Arial" w:cs="Arial"/>
          <w:sz w:val="24"/>
          <w:szCs w:val="24"/>
        </w:rPr>
        <w:t xml:space="preserve">The facts underlying this appeal are common placed and if considered in totality (regardless of whether the court </w:t>
      </w:r>
      <w:r w:rsidR="00866DC9" w:rsidRPr="00866DC9">
        <w:rPr>
          <w:rFonts w:ascii="Arial" w:hAnsi="Arial" w:cs="Arial"/>
          <w:i/>
          <w:iCs/>
          <w:sz w:val="24"/>
          <w:szCs w:val="24"/>
        </w:rPr>
        <w:t>a quo</w:t>
      </w:r>
      <w:r w:rsidR="00866DC9">
        <w:rPr>
          <w:rFonts w:ascii="Arial" w:hAnsi="Arial" w:cs="Arial"/>
          <w:sz w:val="24"/>
          <w:szCs w:val="24"/>
        </w:rPr>
        <w:t xml:space="preserve"> allowed </w:t>
      </w:r>
      <w:r w:rsidR="00FC3A05">
        <w:rPr>
          <w:rFonts w:ascii="Arial" w:hAnsi="Arial" w:cs="Arial"/>
          <w:sz w:val="24"/>
          <w:szCs w:val="24"/>
        </w:rPr>
        <w:t xml:space="preserve">and considered </w:t>
      </w:r>
      <w:r w:rsidR="00866DC9">
        <w:rPr>
          <w:rFonts w:ascii="Arial" w:hAnsi="Arial" w:cs="Arial"/>
          <w:sz w:val="24"/>
          <w:szCs w:val="24"/>
        </w:rPr>
        <w:t>inadmissible evidence or not)</w:t>
      </w:r>
      <w:r w:rsidR="00FC3A05">
        <w:rPr>
          <w:rFonts w:ascii="Arial" w:hAnsi="Arial" w:cs="Arial"/>
          <w:sz w:val="24"/>
          <w:szCs w:val="24"/>
        </w:rPr>
        <w:t>,</w:t>
      </w:r>
      <w:r w:rsidR="00866DC9">
        <w:rPr>
          <w:rFonts w:ascii="Arial" w:hAnsi="Arial" w:cs="Arial"/>
          <w:sz w:val="24"/>
          <w:szCs w:val="24"/>
        </w:rPr>
        <w:t xml:space="preserve"> depicts the normal situation where parties negotiate and finally reach </w:t>
      </w:r>
      <w:r w:rsidR="00FC3A05">
        <w:rPr>
          <w:rFonts w:ascii="Arial" w:hAnsi="Arial" w:cs="Arial"/>
          <w:sz w:val="24"/>
          <w:szCs w:val="24"/>
        </w:rPr>
        <w:t xml:space="preserve">an </w:t>
      </w:r>
      <w:r w:rsidR="00866DC9">
        <w:rPr>
          <w:rFonts w:ascii="Arial" w:hAnsi="Arial" w:cs="Arial"/>
          <w:sz w:val="24"/>
          <w:szCs w:val="24"/>
        </w:rPr>
        <w:t>agreement wh</w:t>
      </w:r>
      <w:r w:rsidR="00FC3A05">
        <w:rPr>
          <w:rFonts w:ascii="Arial" w:hAnsi="Arial" w:cs="Arial"/>
          <w:sz w:val="24"/>
          <w:szCs w:val="24"/>
        </w:rPr>
        <w:t xml:space="preserve">ich is embodied in a written </w:t>
      </w:r>
      <w:r w:rsidR="00866DC9">
        <w:rPr>
          <w:rFonts w:ascii="Arial" w:hAnsi="Arial" w:cs="Arial"/>
          <w:sz w:val="24"/>
          <w:szCs w:val="24"/>
        </w:rPr>
        <w:t xml:space="preserve">document signed </w:t>
      </w:r>
      <w:r w:rsidR="00FC3A05">
        <w:rPr>
          <w:rFonts w:ascii="Arial" w:hAnsi="Arial" w:cs="Arial"/>
          <w:sz w:val="24"/>
          <w:szCs w:val="24"/>
        </w:rPr>
        <w:t xml:space="preserve">by both parties. </w:t>
      </w:r>
    </w:p>
    <w:p w14:paraId="067FC387" w14:textId="77777777" w:rsidR="00140065" w:rsidRDefault="00140065" w:rsidP="00140065">
      <w:pPr>
        <w:spacing w:after="0" w:line="480" w:lineRule="auto"/>
        <w:jc w:val="both"/>
        <w:rPr>
          <w:rFonts w:ascii="Arial" w:hAnsi="Arial" w:cs="Arial"/>
          <w:sz w:val="24"/>
          <w:szCs w:val="24"/>
        </w:rPr>
      </w:pPr>
    </w:p>
    <w:p w14:paraId="1AC85BC1" w14:textId="41BCE3E6" w:rsidR="003C42F6" w:rsidRPr="00C57CE0" w:rsidRDefault="00866DC9" w:rsidP="00140065">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C42F6" w:rsidRPr="00C57CE0">
        <w:rPr>
          <w:rFonts w:ascii="Arial" w:hAnsi="Arial" w:cs="Arial"/>
          <w:sz w:val="24"/>
          <w:szCs w:val="24"/>
        </w:rPr>
        <w:t xml:space="preserve">The </w:t>
      </w:r>
      <w:r w:rsidR="00801B94" w:rsidRPr="00C57CE0">
        <w:rPr>
          <w:rFonts w:ascii="Arial" w:hAnsi="Arial" w:cs="Arial"/>
          <w:sz w:val="24"/>
          <w:szCs w:val="24"/>
        </w:rPr>
        <w:t>plaintiff</w:t>
      </w:r>
      <w:r w:rsidR="003C42F6" w:rsidRPr="00C57CE0">
        <w:rPr>
          <w:rFonts w:ascii="Arial" w:hAnsi="Arial" w:cs="Arial"/>
          <w:sz w:val="24"/>
          <w:szCs w:val="24"/>
        </w:rPr>
        <w:t xml:space="preserve">, a close corporation based in South Africa, obtained the right to exclusively </w:t>
      </w:r>
      <w:r w:rsidR="006F5B48">
        <w:rPr>
          <w:rFonts w:ascii="Arial" w:hAnsi="Arial" w:cs="Arial"/>
          <w:sz w:val="24"/>
          <w:szCs w:val="24"/>
        </w:rPr>
        <w:t xml:space="preserve">manufacture and distribute marine products </w:t>
      </w:r>
      <w:r w:rsidR="003C42F6" w:rsidRPr="00C57CE0">
        <w:rPr>
          <w:rFonts w:ascii="Arial" w:hAnsi="Arial" w:cs="Arial"/>
          <w:sz w:val="24"/>
          <w:szCs w:val="24"/>
        </w:rPr>
        <w:t xml:space="preserve">under the name of Harken </w:t>
      </w:r>
      <w:r w:rsidR="00B366C4">
        <w:rPr>
          <w:rFonts w:ascii="Arial" w:hAnsi="Arial" w:cs="Arial"/>
          <w:sz w:val="24"/>
          <w:szCs w:val="24"/>
        </w:rPr>
        <w:t>in</w:t>
      </w:r>
      <w:r w:rsidR="003C42F6" w:rsidRPr="00C57CE0">
        <w:rPr>
          <w:rFonts w:ascii="Arial" w:hAnsi="Arial" w:cs="Arial"/>
          <w:sz w:val="24"/>
          <w:szCs w:val="24"/>
        </w:rPr>
        <w:t xml:space="preserve"> </w:t>
      </w:r>
      <w:r w:rsidR="00801B94" w:rsidRPr="00C57CE0">
        <w:rPr>
          <w:rFonts w:ascii="Arial" w:hAnsi="Arial" w:cs="Arial"/>
          <w:sz w:val="24"/>
          <w:szCs w:val="24"/>
        </w:rPr>
        <w:t>South</w:t>
      </w:r>
      <w:r w:rsidR="003C42F6" w:rsidRPr="00C57CE0">
        <w:rPr>
          <w:rFonts w:ascii="Arial" w:hAnsi="Arial" w:cs="Arial"/>
          <w:sz w:val="24"/>
          <w:szCs w:val="24"/>
        </w:rPr>
        <w:t xml:space="preserve"> Africa. Harken is a USA base</w:t>
      </w:r>
      <w:r w:rsidR="00BD668E">
        <w:rPr>
          <w:rFonts w:ascii="Arial" w:hAnsi="Arial" w:cs="Arial"/>
          <w:sz w:val="24"/>
          <w:szCs w:val="24"/>
        </w:rPr>
        <w:t>d</w:t>
      </w:r>
      <w:r w:rsidR="003C42F6" w:rsidRPr="00C57CE0">
        <w:rPr>
          <w:rFonts w:ascii="Arial" w:hAnsi="Arial" w:cs="Arial"/>
          <w:sz w:val="24"/>
          <w:szCs w:val="24"/>
        </w:rPr>
        <w:t xml:space="preserve"> company w</w:t>
      </w:r>
      <w:r w:rsidR="00B366C4">
        <w:rPr>
          <w:rFonts w:ascii="Arial" w:hAnsi="Arial" w:cs="Arial"/>
          <w:sz w:val="24"/>
          <w:szCs w:val="24"/>
        </w:rPr>
        <w:t>h</w:t>
      </w:r>
      <w:r w:rsidR="003C42F6" w:rsidRPr="00C57CE0">
        <w:rPr>
          <w:rFonts w:ascii="Arial" w:hAnsi="Arial" w:cs="Arial"/>
          <w:sz w:val="24"/>
          <w:szCs w:val="24"/>
        </w:rPr>
        <w:t xml:space="preserve">o </w:t>
      </w:r>
      <w:r w:rsidR="00801B94" w:rsidRPr="00C57CE0">
        <w:rPr>
          <w:rFonts w:ascii="Arial" w:hAnsi="Arial" w:cs="Arial"/>
          <w:sz w:val="24"/>
          <w:szCs w:val="24"/>
        </w:rPr>
        <w:t>specialises</w:t>
      </w:r>
      <w:r w:rsidR="003C42F6" w:rsidRPr="00C57CE0">
        <w:rPr>
          <w:rFonts w:ascii="Arial" w:hAnsi="Arial" w:cs="Arial"/>
          <w:sz w:val="24"/>
          <w:szCs w:val="24"/>
        </w:rPr>
        <w:t xml:space="preserve"> in the design, manufac</w:t>
      </w:r>
      <w:r w:rsidR="00801B94" w:rsidRPr="00C57CE0">
        <w:rPr>
          <w:rFonts w:ascii="Arial" w:hAnsi="Arial" w:cs="Arial"/>
          <w:sz w:val="24"/>
          <w:szCs w:val="24"/>
        </w:rPr>
        <w:t>ture</w:t>
      </w:r>
      <w:r w:rsidR="003C42F6" w:rsidRPr="00C57CE0">
        <w:rPr>
          <w:rFonts w:ascii="Arial" w:hAnsi="Arial" w:cs="Arial"/>
          <w:sz w:val="24"/>
          <w:szCs w:val="24"/>
        </w:rPr>
        <w:t xml:space="preserve"> and sale </w:t>
      </w:r>
      <w:r w:rsidR="00B366C4" w:rsidRPr="00C57CE0">
        <w:rPr>
          <w:rFonts w:ascii="Arial" w:hAnsi="Arial" w:cs="Arial"/>
          <w:sz w:val="24"/>
          <w:szCs w:val="24"/>
        </w:rPr>
        <w:t>of</w:t>
      </w:r>
      <w:r w:rsidR="003C42F6" w:rsidRPr="00C57CE0">
        <w:rPr>
          <w:rFonts w:ascii="Arial" w:hAnsi="Arial" w:cs="Arial"/>
          <w:sz w:val="24"/>
          <w:szCs w:val="24"/>
        </w:rPr>
        <w:t xml:space="preserve"> marine hardware </w:t>
      </w:r>
      <w:r w:rsidR="006F5B48">
        <w:rPr>
          <w:rFonts w:ascii="Arial" w:hAnsi="Arial" w:cs="Arial"/>
          <w:sz w:val="24"/>
          <w:szCs w:val="24"/>
        </w:rPr>
        <w:t xml:space="preserve">and accessory </w:t>
      </w:r>
      <w:r w:rsidR="003C42F6" w:rsidRPr="00C57CE0">
        <w:rPr>
          <w:rFonts w:ascii="Arial" w:hAnsi="Arial" w:cs="Arial"/>
          <w:sz w:val="24"/>
          <w:szCs w:val="24"/>
        </w:rPr>
        <w:t>products.</w:t>
      </w:r>
    </w:p>
    <w:p w14:paraId="6AE84F59" w14:textId="77777777" w:rsidR="00140065" w:rsidRDefault="00140065" w:rsidP="00140065">
      <w:pPr>
        <w:spacing w:after="0" w:line="480" w:lineRule="auto"/>
        <w:jc w:val="both"/>
        <w:rPr>
          <w:rFonts w:ascii="Arial" w:hAnsi="Arial" w:cs="Arial"/>
          <w:sz w:val="24"/>
          <w:szCs w:val="24"/>
        </w:rPr>
      </w:pPr>
    </w:p>
    <w:p w14:paraId="00E16B6F" w14:textId="283741E9" w:rsidR="003C42F6" w:rsidRDefault="003C42F6" w:rsidP="00140065">
      <w:pPr>
        <w:spacing w:after="0" w:line="480" w:lineRule="auto"/>
        <w:jc w:val="both"/>
        <w:rPr>
          <w:rFonts w:ascii="Arial" w:hAnsi="Arial" w:cs="Arial"/>
          <w:sz w:val="24"/>
          <w:szCs w:val="24"/>
        </w:rPr>
      </w:pPr>
      <w:r w:rsidRPr="00C57CE0">
        <w:rPr>
          <w:rFonts w:ascii="Arial" w:hAnsi="Arial" w:cs="Arial"/>
          <w:sz w:val="24"/>
          <w:szCs w:val="24"/>
        </w:rPr>
        <w:t>[</w:t>
      </w:r>
      <w:r w:rsidR="00601E49">
        <w:rPr>
          <w:rFonts w:ascii="Arial" w:hAnsi="Arial" w:cs="Arial"/>
          <w:sz w:val="24"/>
          <w:szCs w:val="24"/>
        </w:rPr>
        <w:t>5</w:t>
      </w:r>
      <w:r w:rsidRPr="00C57CE0">
        <w:rPr>
          <w:rFonts w:ascii="Arial" w:hAnsi="Arial" w:cs="Arial"/>
          <w:sz w:val="24"/>
          <w:szCs w:val="24"/>
        </w:rPr>
        <w:t>]</w:t>
      </w:r>
      <w:r w:rsidRPr="00C57CE0">
        <w:rPr>
          <w:rFonts w:ascii="Arial" w:hAnsi="Arial" w:cs="Arial"/>
          <w:sz w:val="24"/>
          <w:szCs w:val="24"/>
        </w:rPr>
        <w:tab/>
        <w:t xml:space="preserve">The sole member of the plaintiff, Mr Roux, passed away on 10 May 2018. In terms of </w:t>
      </w:r>
      <w:r w:rsidR="00801B94" w:rsidRPr="00C57CE0">
        <w:rPr>
          <w:rFonts w:ascii="Arial" w:hAnsi="Arial" w:cs="Arial"/>
          <w:sz w:val="24"/>
          <w:szCs w:val="24"/>
        </w:rPr>
        <w:t>his</w:t>
      </w:r>
      <w:r w:rsidRPr="00C57CE0">
        <w:rPr>
          <w:rFonts w:ascii="Arial" w:hAnsi="Arial" w:cs="Arial"/>
          <w:sz w:val="24"/>
          <w:szCs w:val="24"/>
        </w:rPr>
        <w:t xml:space="preserve"> will, Mr Roux appointed Mr Venter, the accounting officer of the plaintiff</w:t>
      </w:r>
      <w:r w:rsidR="002B4EE7">
        <w:rPr>
          <w:rFonts w:ascii="Arial" w:hAnsi="Arial" w:cs="Arial"/>
          <w:sz w:val="24"/>
          <w:szCs w:val="24"/>
        </w:rPr>
        <w:t>,</w:t>
      </w:r>
      <w:r w:rsidRPr="00C57CE0">
        <w:rPr>
          <w:rFonts w:ascii="Arial" w:hAnsi="Arial" w:cs="Arial"/>
          <w:sz w:val="24"/>
          <w:szCs w:val="24"/>
        </w:rPr>
        <w:t xml:space="preserve"> as his executor. He </w:t>
      </w:r>
      <w:r w:rsidR="00801B94" w:rsidRPr="00C57CE0">
        <w:rPr>
          <w:rFonts w:ascii="Arial" w:hAnsi="Arial" w:cs="Arial"/>
          <w:sz w:val="24"/>
          <w:szCs w:val="24"/>
        </w:rPr>
        <w:t>bequeathed</w:t>
      </w:r>
      <w:r w:rsidRPr="00C57CE0">
        <w:rPr>
          <w:rFonts w:ascii="Arial" w:hAnsi="Arial" w:cs="Arial"/>
          <w:sz w:val="24"/>
          <w:szCs w:val="24"/>
        </w:rPr>
        <w:t xml:space="preserve"> </w:t>
      </w:r>
      <w:r w:rsidR="002B4EE7">
        <w:rPr>
          <w:rFonts w:ascii="Arial" w:hAnsi="Arial" w:cs="Arial"/>
          <w:sz w:val="24"/>
          <w:szCs w:val="24"/>
        </w:rPr>
        <w:t>t</w:t>
      </w:r>
      <w:r w:rsidRPr="00C57CE0">
        <w:rPr>
          <w:rFonts w:ascii="Arial" w:hAnsi="Arial" w:cs="Arial"/>
          <w:sz w:val="24"/>
          <w:szCs w:val="24"/>
        </w:rPr>
        <w:t xml:space="preserve">o each of his </w:t>
      </w:r>
      <w:r w:rsidR="00801B94" w:rsidRPr="00C57CE0">
        <w:rPr>
          <w:rFonts w:ascii="Arial" w:hAnsi="Arial" w:cs="Arial"/>
          <w:sz w:val="24"/>
          <w:szCs w:val="24"/>
        </w:rPr>
        <w:t>three</w:t>
      </w:r>
      <w:r w:rsidRPr="00C57CE0">
        <w:rPr>
          <w:rFonts w:ascii="Arial" w:hAnsi="Arial" w:cs="Arial"/>
          <w:sz w:val="24"/>
          <w:szCs w:val="24"/>
        </w:rPr>
        <w:t xml:space="preserve"> daughters 30% of his membership in the </w:t>
      </w:r>
      <w:r w:rsidR="00801B94" w:rsidRPr="00C57CE0">
        <w:rPr>
          <w:rFonts w:ascii="Arial" w:hAnsi="Arial" w:cs="Arial"/>
          <w:sz w:val="24"/>
          <w:szCs w:val="24"/>
        </w:rPr>
        <w:t>plaintiff</w:t>
      </w:r>
      <w:r w:rsidRPr="00C57CE0">
        <w:rPr>
          <w:rFonts w:ascii="Arial" w:hAnsi="Arial" w:cs="Arial"/>
          <w:sz w:val="24"/>
          <w:szCs w:val="24"/>
        </w:rPr>
        <w:t xml:space="preserve"> and </w:t>
      </w:r>
      <w:r w:rsidR="002B4EE7">
        <w:rPr>
          <w:rFonts w:ascii="Arial" w:hAnsi="Arial" w:cs="Arial"/>
          <w:sz w:val="24"/>
          <w:szCs w:val="24"/>
        </w:rPr>
        <w:t xml:space="preserve">he left the </w:t>
      </w:r>
      <w:r w:rsidRPr="00C57CE0">
        <w:rPr>
          <w:rFonts w:ascii="Arial" w:hAnsi="Arial" w:cs="Arial"/>
          <w:sz w:val="24"/>
          <w:szCs w:val="24"/>
        </w:rPr>
        <w:t xml:space="preserve">remaining 10% </w:t>
      </w:r>
      <w:r w:rsidR="002B4EE7">
        <w:rPr>
          <w:rFonts w:ascii="Arial" w:hAnsi="Arial" w:cs="Arial"/>
          <w:sz w:val="24"/>
          <w:szCs w:val="24"/>
        </w:rPr>
        <w:t xml:space="preserve">thereof </w:t>
      </w:r>
      <w:r w:rsidRPr="00C57CE0">
        <w:rPr>
          <w:rFonts w:ascii="Arial" w:hAnsi="Arial" w:cs="Arial"/>
          <w:sz w:val="24"/>
          <w:szCs w:val="24"/>
        </w:rPr>
        <w:t>to one Knoetzen, who was an employee of the plaintiff at the time.</w:t>
      </w:r>
    </w:p>
    <w:p w14:paraId="65DDBB12" w14:textId="77777777" w:rsidR="00140065" w:rsidRDefault="00140065" w:rsidP="00140065">
      <w:pPr>
        <w:spacing w:after="0" w:line="480" w:lineRule="auto"/>
        <w:jc w:val="both"/>
        <w:rPr>
          <w:rFonts w:ascii="Arial" w:hAnsi="Arial" w:cs="Arial"/>
          <w:sz w:val="24"/>
          <w:szCs w:val="24"/>
        </w:rPr>
      </w:pPr>
    </w:p>
    <w:p w14:paraId="0E92EE77" w14:textId="46B69778" w:rsidR="003C42F6" w:rsidRPr="00C57CE0" w:rsidRDefault="003C42F6" w:rsidP="00140065">
      <w:pPr>
        <w:spacing w:after="0" w:line="480" w:lineRule="auto"/>
        <w:jc w:val="both"/>
        <w:rPr>
          <w:rFonts w:ascii="Arial" w:hAnsi="Arial" w:cs="Arial"/>
          <w:sz w:val="24"/>
          <w:szCs w:val="24"/>
        </w:rPr>
      </w:pPr>
      <w:r w:rsidRPr="00C57CE0">
        <w:rPr>
          <w:rFonts w:ascii="Arial" w:hAnsi="Arial" w:cs="Arial"/>
          <w:sz w:val="24"/>
          <w:szCs w:val="24"/>
        </w:rPr>
        <w:lastRenderedPageBreak/>
        <w:t>[</w:t>
      </w:r>
      <w:r w:rsidR="00601E49">
        <w:rPr>
          <w:rFonts w:ascii="Arial" w:hAnsi="Arial" w:cs="Arial"/>
          <w:sz w:val="24"/>
          <w:szCs w:val="24"/>
        </w:rPr>
        <w:t>6</w:t>
      </w:r>
      <w:r w:rsidRPr="00C57CE0">
        <w:rPr>
          <w:rFonts w:ascii="Arial" w:hAnsi="Arial" w:cs="Arial"/>
          <w:sz w:val="24"/>
          <w:szCs w:val="24"/>
        </w:rPr>
        <w:t>]</w:t>
      </w:r>
      <w:r w:rsidRPr="00C57CE0">
        <w:rPr>
          <w:rFonts w:ascii="Arial" w:hAnsi="Arial" w:cs="Arial"/>
          <w:sz w:val="24"/>
          <w:szCs w:val="24"/>
        </w:rPr>
        <w:tab/>
        <w:t xml:space="preserve">On 5 </w:t>
      </w:r>
      <w:r w:rsidR="00801B94" w:rsidRPr="00C57CE0">
        <w:rPr>
          <w:rFonts w:ascii="Arial" w:hAnsi="Arial" w:cs="Arial"/>
          <w:sz w:val="24"/>
          <w:szCs w:val="24"/>
        </w:rPr>
        <w:t>September</w:t>
      </w:r>
      <w:r w:rsidRPr="00C57CE0">
        <w:rPr>
          <w:rFonts w:ascii="Arial" w:hAnsi="Arial" w:cs="Arial"/>
          <w:sz w:val="24"/>
          <w:szCs w:val="24"/>
        </w:rPr>
        <w:t xml:space="preserve"> 2019 the plaintiff</w:t>
      </w:r>
      <w:r w:rsidR="002B4EE7">
        <w:rPr>
          <w:rFonts w:ascii="Arial" w:hAnsi="Arial" w:cs="Arial"/>
          <w:sz w:val="24"/>
          <w:szCs w:val="24"/>
        </w:rPr>
        <w:t xml:space="preserve">, </w:t>
      </w:r>
      <w:r w:rsidR="002B4EE7" w:rsidRPr="00FC3A05">
        <w:rPr>
          <w:rFonts w:ascii="Arial" w:hAnsi="Arial" w:cs="Arial"/>
          <w:sz w:val="24"/>
          <w:szCs w:val="24"/>
        </w:rPr>
        <w:t>represented by Mr Venter</w:t>
      </w:r>
      <w:r w:rsidRPr="00FC3A05">
        <w:rPr>
          <w:rFonts w:ascii="Arial" w:hAnsi="Arial" w:cs="Arial"/>
          <w:sz w:val="24"/>
          <w:szCs w:val="24"/>
        </w:rPr>
        <w:t xml:space="preserve"> </w:t>
      </w:r>
      <w:r w:rsidRPr="00C57CE0">
        <w:rPr>
          <w:rFonts w:ascii="Arial" w:hAnsi="Arial" w:cs="Arial"/>
          <w:sz w:val="24"/>
          <w:szCs w:val="24"/>
        </w:rPr>
        <w:t xml:space="preserve">and Mr Knoetzen, who was acting as nominee for a company to be </w:t>
      </w:r>
      <w:r w:rsidR="00801B94" w:rsidRPr="00C57CE0">
        <w:rPr>
          <w:rFonts w:ascii="Arial" w:hAnsi="Arial" w:cs="Arial"/>
          <w:sz w:val="24"/>
          <w:szCs w:val="24"/>
        </w:rPr>
        <w:t>formed</w:t>
      </w:r>
      <w:r w:rsidRPr="00C57CE0">
        <w:rPr>
          <w:rFonts w:ascii="Arial" w:hAnsi="Arial" w:cs="Arial"/>
          <w:sz w:val="24"/>
          <w:szCs w:val="24"/>
        </w:rPr>
        <w:t xml:space="preserve">, </w:t>
      </w:r>
      <w:r w:rsidR="00801B94" w:rsidRPr="00C57CE0">
        <w:rPr>
          <w:rFonts w:ascii="Arial" w:hAnsi="Arial" w:cs="Arial"/>
          <w:sz w:val="24"/>
          <w:szCs w:val="24"/>
        </w:rPr>
        <w:t>concluded</w:t>
      </w:r>
      <w:r w:rsidRPr="00C57CE0">
        <w:rPr>
          <w:rFonts w:ascii="Arial" w:hAnsi="Arial" w:cs="Arial"/>
          <w:sz w:val="24"/>
          <w:szCs w:val="24"/>
        </w:rPr>
        <w:t xml:space="preserve"> a written contract </w:t>
      </w:r>
      <w:r w:rsidR="002B4EE7">
        <w:rPr>
          <w:rFonts w:ascii="Arial" w:hAnsi="Arial" w:cs="Arial"/>
          <w:sz w:val="24"/>
          <w:szCs w:val="24"/>
        </w:rPr>
        <w:t xml:space="preserve">pertaining to the </w:t>
      </w:r>
      <w:r w:rsidRPr="00C57CE0">
        <w:rPr>
          <w:rFonts w:ascii="Arial" w:hAnsi="Arial" w:cs="Arial"/>
          <w:sz w:val="24"/>
          <w:szCs w:val="24"/>
        </w:rPr>
        <w:t xml:space="preserve">sale of the assets and stock </w:t>
      </w:r>
      <w:r w:rsidR="00801B94" w:rsidRPr="00C57CE0">
        <w:rPr>
          <w:rFonts w:ascii="Arial" w:hAnsi="Arial" w:cs="Arial"/>
          <w:sz w:val="24"/>
          <w:szCs w:val="24"/>
        </w:rPr>
        <w:t>belonging</w:t>
      </w:r>
      <w:r w:rsidRPr="00C57CE0">
        <w:rPr>
          <w:rFonts w:ascii="Arial" w:hAnsi="Arial" w:cs="Arial"/>
          <w:sz w:val="24"/>
          <w:szCs w:val="24"/>
        </w:rPr>
        <w:t xml:space="preserve"> to the plaintiff (“the contract</w:t>
      </w:r>
      <w:r w:rsidR="00B366C4">
        <w:rPr>
          <w:rFonts w:ascii="Arial" w:hAnsi="Arial" w:cs="Arial"/>
          <w:sz w:val="24"/>
          <w:szCs w:val="24"/>
        </w:rPr>
        <w:t xml:space="preserve"> of sale</w:t>
      </w:r>
      <w:r w:rsidRPr="00C57CE0">
        <w:rPr>
          <w:rFonts w:ascii="Arial" w:hAnsi="Arial" w:cs="Arial"/>
          <w:sz w:val="24"/>
          <w:szCs w:val="24"/>
        </w:rPr>
        <w:t>”)</w:t>
      </w:r>
      <w:r w:rsidR="002B4EE7">
        <w:rPr>
          <w:rStyle w:val="FootnoteReference"/>
          <w:rFonts w:ascii="Arial" w:hAnsi="Arial" w:cs="Arial"/>
          <w:sz w:val="24"/>
          <w:szCs w:val="24"/>
        </w:rPr>
        <w:footnoteReference w:id="1"/>
      </w:r>
      <w:r w:rsidR="002B4EE7">
        <w:rPr>
          <w:rFonts w:ascii="Arial" w:hAnsi="Arial" w:cs="Arial"/>
          <w:sz w:val="24"/>
          <w:szCs w:val="24"/>
        </w:rPr>
        <w:t>.</w:t>
      </w:r>
    </w:p>
    <w:p w14:paraId="0324B1D5" w14:textId="77777777" w:rsidR="00140065" w:rsidRDefault="00140065" w:rsidP="00140065">
      <w:pPr>
        <w:spacing w:after="0" w:line="480" w:lineRule="auto"/>
        <w:jc w:val="both"/>
        <w:rPr>
          <w:rFonts w:ascii="Arial" w:hAnsi="Arial" w:cs="Arial"/>
          <w:sz w:val="24"/>
          <w:szCs w:val="24"/>
        </w:rPr>
      </w:pPr>
    </w:p>
    <w:p w14:paraId="7DD7F103" w14:textId="5E050F31" w:rsidR="003C42F6" w:rsidRPr="00C57CE0" w:rsidRDefault="003C42F6" w:rsidP="00140065">
      <w:pPr>
        <w:spacing w:after="0" w:line="480" w:lineRule="auto"/>
        <w:jc w:val="both"/>
        <w:rPr>
          <w:rFonts w:ascii="Arial" w:hAnsi="Arial" w:cs="Arial"/>
          <w:sz w:val="24"/>
          <w:szCs w:val="24"/>
        </w:rPr>
      </w:pPr>
      <w:r w:rsidRPr="00C57CE0">
        <w:rPr>
          <w:rFonts w:ascii="Arial" w:hAnsi="Arial" w:cs="Arial"/>
          <w:sz w:val="24"/>
          <w:szCs w:val="24"/>
        </w:rPr>
        <w:t>[</w:t>
      </w:r>
      <w:r w:rsidR="00601E49">
        <w:rPr>
          <w:rFonts w:ascii="Arial" w:hAnsi="Arial" w:cs="Arial"/>
          <w:sz w:val="24"/>
          <w:szCs w:val="24"/>
        </w:rPr>
        <w:t>7</w:t>
      </w:r>
      <w:r w:rsidRPr="00C57CE0">
        <w:rPr>
          <w:rFonts w:ascii="Arial" w:hAnsi="Arial" w:cs="Arial"/>
          <w:sz w:val="24"/>
          <w:szCs w:val="24"/>
        </w:rPr>
        <w:t>]</w:t>
      </w:r>
      <w:r w:rsidRPr="00C57CE0">
        <w:rPr>
          <w:rFonts w:ascii="Arial" w:hAnsi="Arial" w:cs="Arial"/>
          <w:sz w:val="24"/>
          <w:szCs w:val="24"/>
        </w:rPr>
        <w:tab/>
        <w:t>Mr Knoetzen nominated the defendant as the purchaser and it duly accepted the nomination.</w:t>
      </w:r>
    </w:p>
    <w:p w14:paraId="460AACC9" w14:textId="77777777" w:rsidR="00140065" w:rsidRDefault="00140065" w:rsidP="00140065">
      <w:pPr>
        <w:spacing w:after="0" w:line="480" w:lineRule="auto"/>
        <w:jc w:val="both"/>
        <w:rPr>
          <w:rFonts w:ascii="Arial" w:hAnsi="Arial" w:cs="Arial"/>
          <w:sz w:val="24"/>
          <w:szCs w:val="24"/>
        </w:rPr>
      </w:pPr>
    </w:p>
    <w:p w14:paraId="7901A981" w14:textId="5483240B" w:rsidR="003C42F6" w:rsidRPr="00C57CE0" w:rsidRDefault="003C42F6" w:rsidP="00140065">
      <w:pPr>
        <w:spacing w:after="0" w:line="480" w:lineRule="auto"/>
        <w:jc w:val="both"/>
        <w:rPr>
          <w:rFonts w:ascii="Arial" w:hAnsi="Arial" w:cs="Arial"/>
          <w:sz w:val="24"/>
          <w:szCs w:val="24"/>
        </w:rPr>
      </w:pPr>
      <w:r w:rsidRPr="00C57CE0">
        <w:rPr>
          <w:rFonts w:ascii="Arial" w:hAnsi="Arial" w:cs="Arial"/>
          <w:sz w:val="24"/>
          <w:szCs w:val="24"/>
        </w:rPr>
        <w:t>[</w:t>
      </w:r>
      <w:r w:rsidR="00601E49">
        <w:rPr>
          <w:rFonts w:ascii="Arial" w:hAnsi="Arial" w:cs="Arial"/>
          <w:sz w:val="24"/>
          <w:szCs w:val="24"/>
        </w:rPr>
        <w:t>8</w:t>
      </w:r>
      <w:r w:rsidRPr="00C57CE0">
        <w:rPr>
          <w:rFonts w:ascii="Arial" w:hAnsi="Arial" w:cs="Arial"/>
          <w:sz w:val="24"/>
          <w:szCs w:val="24"/>
        </w:rPr>
        <w:t>]</w:t>
      </w:r>
      <w:r w:rsidRPr="00C57CE0">
        <w:rPr>
          <w:rFonts w:ascii="Arial" w:hAnsi="Arial" w:cs="Arial"/>
          <w:sz w:val="24"/>
          <w:szCs w:val="24"/>
        </w:rPr>
        <w:tab/>
      </w:r>
      <w:r w:rsidR="00BD668E">
        <w:rPr>
          <w:rFonts w:ascii="Arial" w:hAnsi="Arial" w:cs="Arial"/>
          <w:sz w:val="24"/>
          <w:szCs w:val="24"/>
        </w:rPr>
        <w:t>The relevant clauses for purposes of this appeal are c</w:t>
      </w:r>
      <w:r w:rsidRPr="00C57CE0">
        <w:rPr>
          <w:rFonts w:ascii="Arial" w:hAnsi="Arial" w:cs="Arial"/>
          <w:sz w:val="24"/>
          <w:szCs w:val="24"/>
        </w:rPr>
        <w:t xml:space="preserve">lause 9.1 </w:t>
      </w:r>
      <w:r w:rsidR="00BD668E">
        <w:rPr>
          <w:rFonts w:ascii="Arial" w:hAnsi="Arial" w:cs="Arial"/>
          <w:sz w:val="24"/>
          <w:szCs w:val="24"/>
        </w:rPr>
        <w:t xml:space="preserve">and 9.2 </w:t>
      </w:r>
      <w:r w:rsidRPr="00C57CE0">
        <w:rPr>
          <w:rFonts w:ascii="Arial" w:hAnsi="Arial" w:cs="Arial"/>
          <w:sz w:val="24"/>
          <w:szCs w:val="24"/>
        </w:rPr>
        <w:t xml:space="preserve">of the contract </w:t>
      </w:r>
      <w:r w:rsidR="00B366C4">
        <w:rPr>
          <w:rFonts w:ascii="Arial" w:hAnsi="Arial" w:cs="Arial"/>
          <w:sz w:val="24"/>
          <w:szCs w:val="24"/>
        </w:rPr>
        <w:t xml:space="preserve">of sale </w:t>
      </w:r>
      <w:r w:rsidR="00BD668E">
        <w:rPr>
          <w:rFonts w:ascii="Arial" w:hAnsi="Arial" w:cs="Arial"/>
          <w:sz w:val="24"/>
          <w:szCs w:val="24"/>
        </w:rPr>
        <w:t xml:space="preserve">which </w:t>
      </w:r>
      <w:r w:rsidR="00B366C4">
        <w:rPr>
          <w:rFonts w:ascii="Arial" w:hAnsi="Arial" w:cs="Arial"/>
          <w:sz w:val="24"/>
          <w:szCs w:val="24"/>
        </w:rPr>
        <w:t>reads as follows</w:t>
      </w:r>
      <w:r w:rsidRPr="00C57CE0">
        <w:rPr>
          <w:rFonts w:ascii="Arial" w:hAnsi="Arial" w:cs="Arial"/>
          <w:sz w:val="24"/>
          <w:szCs w:val="24"/>
        </w:rPr>
        <w:t>:</w:t>
      </w:r>
    </w:p>
    <w:p w14:paraId="4FD0AFCD" w14:textId="4404BC9C" w:rsidR="003C42F6" w:rsidRPr="00B366C4" w:rsidRDefault="003C42F6" w:rsidP="00140065">
      <w:pPr>
        <w:spacing w:after="0" w:line="480" w:lineRule="auto"/>
        <w:ind w:left="720"/>
        <w:jc w:val="both"/>
        <w:rPr>
          <w:rFonts w:ascii="Arial" w:hAnsi="Arial" w:cs="Arial"/>
          <w:sz w:val="24"/>
          <w:szCs w:val="24"/>
        </w:rPr>
      </w:pPr>
      <w:r w:rsidRPr="00C57CE0">
        <w:rPr>
          <w:rFonts w:ascii="Arial" w:hAnsi="Arial" w:cs="Arial"/>
          <w:i/>
        </w:rPr>
        <w:t>“9.1</w:t>
      </w:r>
      <w:r w:rsidRPr="00C57CE0">
        <w:rPr>
          <w:rFonts w:ascii="Arial" w:hAnsi="Arial" w:cs="Arial"/>
          <w:i/>
        </w:rPr>
        <w:tab/>
        <w:t xml:space="preserve">Without prejudice to any of </w:t>
      </w:r>
      <w:r w:rsidR="00801B94" w:rsidRPr="00C57CE0">
        <w:rPr>
          <w:rFonts w:ascii="Arial" w:hAnsi="Arial" w:cs="Arial"/>
          <w:i/>
        </w:rPr>
        <w:t>the</w:t>
      </w:r>
      <w:r w:rsidRPr="00C57CE0">
        <w:rPr>
          <w:rFonts w:ascii="Arial" w:hAnsi="Arial" w:cs="Arial"/>
          <w:i/>
        </w:rPr>
        <w:t xml:space="preserve"> right</w:t>
      </w:r>
      <w:r w:rsidR="00BD668E">
        <w:rPr>
          <w:rFonts w:ascii="Arial" w:hAnsi="Arial" w:cs="Arial"/>
          <w:i/>
        </w:rPr>
        <w:t>s</w:t>
      </w:r>
      <w:r w:rsidRPr="00C57CE0">
        <w:rPr>
          <w:rFonts w:ascii="Arial" w:hAnsi="Arial" w:cs="Arial"/>
          <w:i/>
        </w:rPr>
        <w:t xml:space="preserve"> of </w:t>
      </w:r>
      <w:r w:rsidR="00801B94" w:rsidRPr="00C57CE0">
        <w:rPr>
          <w:rFonts w:ascii="Arial" w:hAnsi="Arial" w:cs="Arial"/>
          <w:i/>
        </w:rPr>
        <w:t>the</w:t>
      </w:r>
      <w:r w:rsidRPr="00C57CE0">
        <w:rPr>
          <w:rFonts w:ascii="Arial" w:hAnsi="Arial" w:cs="Arial"/>
          <w:i/>
        </w:rPr>
        <w:t xml:space="preserve"> Purchaser in terms of this agreement, the Seller indemnifies the Purchaser against all loss, liability, damage, costs or expense (whether actual, contingent or otherwise) which the Purchase</w:t>
      </w:r>
      <w:r w:rsidR="00BD668E">
        <w:rPr>
          <w:rFonts w:ascii="Arial" w:hAnsi="Arial" w:cs="Arial"/>
          <w:i/>
        </w:rPr>
        <w:t>r</w:t>
      </w:r>
      <w:r w:rsidRPr="00C57CE0">
        <w:rPr>
          <w:rFonts w:ascii="Arial" w:hAnsi="Arial" w:cs="Arial"/>
          <w:i/>
        </w:rPr>
        <w:t xml:space="preserve"> may suffer as a </w:t>
      </w:r>
      <w:r w:rsidR="00801B94" w:rsidRPr="00C57CE0">
        <w:rPr>
          <w:rFonts w:ascii="Arial" w:hAnsi="Arial" w:cs="Arial"/>
          <w:i/>
        </w:rPr>
        <w:t>result</w:t>
      </w:r>
      <w:r w:rsidRPr="00C57CE0">
        <w:rPr>
          <w:rFonts w:ascii="Arial" w:hAnsi="Arial" w:cs="Arial"/>
          <w:i/>
        </w:rPr>
        <w:t xml:space="preserve"> of or which may be attributable to any </w:t>
      </w:r>
      <w:r w:rsidR="00801B94" w:rsidRPr="00C57CE0">
        <w:rPr>
          <w:rFonts w:ascii="Arial" w:hAnsi="Arial" w:cs="Arial"/>
          <w:i/>
        </w:rPr>
        <w:t>liability</w:t>
      </w:r>
      <w:r w:rsidRPr="00C57CE0">
        <w:rPr>
          <w:rFonts w:ascii="Arial" w:hAnsi="Arial" w:cs="Arial"/>
          <w:i/>
        </w:rPr>
        <w:t xml:space="preserve"> (including any liability for taxation, </w:t>
      </w:r>
      <w:r w:rsidR="00801B94" w:rsidRPr="00C57CE0">
        <w:rPr>
          <w:rFonts w:ascii="Arial" w:hAnsi="Arial" w:cs="Arial"/>
          <w:i/>
        </w:rPr>
        <w:t>whether</w:t>
      </w:r>
      <w:r w:rsidRPr="00C57CE0">
        <w:rPr>
          <w:rFonts w:ascii="Arial" w:hAnsi="Arial" w:cs="Arial"/>
          <w:i/>
        </w:rPr>
        <w:t xml:space="preserve"> actual</w:t>
      </w:r>
      <w:r w:rsidR="00801B94" w:rsidRPr="00C57CE0">
        <w:rPr>
          <w:rFonts w:ascii="Arial" w:hAnsi="Arial" w:cs="Arial"/>
          <w:i/>
        </w:rPr>
        <w:t>, uncertain or contingent) or obligation of the Seller which arose prior to the effective date, it being specifically recorded and agreed that the Purchaser does not assume any of the Seller’s liabilities incurred as at or prior to the effective date”.</w:t>
      </w:r>
      <w:r w:rsidR="00B366C4">
        <w:rPr>
          <w:rFonts w:ascii="Arial" w:hAnsi="Arial" w:cs="Arial"/>
        </w:rPr>
        <w:t xml:space="preserve"> </w:t>
      </w:r>
      <w:r w:rsidR="00B366C4">
        <w:rPr>
          <w:rFonts w:ascii="Arial" w:hAnsi="Arial" w:cs="Arial"/>
          <w:sz w:val="24"/>
          <w:szCs w:val="24"/>
        </w:rPr>
        <w:t>(“the first indemnity clause”)</w:t>
      </w:r>
      <w:r w:rsidR="00BD668E">
        <w:rPr>
          <w:rFonts w:ascii="Arial" w:hAnsi="Arial" w:cs="Arial"/>
          <w:sz w:val="24"/>
          <w:szCs w:val="24"/>
        </w:rPr>
        <w:t xml:space="preserve"> and </w:t>
      </w:r>
    </w:p>
    <w:p w14:paraId="37570DEF" w14:textId="014F0B8F" w:rsidR="00801B94" w:rsidRPr="00C57CE0" w:rsidRDefault="00801B94" w:rsidP="00140065">
      <w:pPr>
        <w:spacing w:after="0" w:line="480" w:lineRule="auto"/>
        <w:ind w:left="720"/>
        <w:jc w:val="both"/>
        <w:rPr>
          <w:rFonts w:ascii="Arial" w:hAnsi="Arial" w:cs="Arial"/>
          <w:sz w:val="24"/>
          <w:szCs w:val="24"/>
        </w:rPr>
      </w:pPr>
      <w:r w:rsidRPr="00C57CE0">
        <w:rPr>
          <w:rFonts w:ascii="Arial" w:hAnsi="Arial" w:cs="Arial"/>
          <w:i/>
        </w:rPr>
        <w:t>9.2</w:t>
      </w:r>
      <w:r w:rsidRPr="00C57CE0">
        <w:rPr>
          <w:rFonts w:ascii="Arial" w:hAnsi="Arial" w:cs="Arial"/>
          <w:i/>
        </w:rPr>
        <w:tab/>
        <w:t xml:space="preserve">In light of the fact that the Purchaser is not taking on the employees of the Seller, the Purchaser indemnifies the Seller against any claims brought by employees for </w:t>
      </w:r>
      <w:r w:rsidRPr="00C57CE0">
        <w:rPr>
          <w:rFonts w:ascii="Arial" w:hAnsi="Arial" w:cs="Arial"/>
          <w:i/>
        </w:rPr>
        <w:lastRenderedPageBreak/>
        <w:t>compensation of whatsoever nature due to the termination.”</w:t>
      </w:r>
      <w:r w:rsidRPr="00C57CE0">
        <w:rPr>
          <w:rFonts w:ascii="Arial" w:hAnsi="Arial" w:cs="Arial"/>
          <w:i/>
          <w:sz w:val="24"/>
          <w:szCs w:val="24"/>
        </w:rPr>
        <w:t xml:space="preserve"> </w:t>
      </w:r>
      <w:r w:rsidRPr="00C57CE0">
        <w:rPr>
          <w:rFonts w:ascii="Arial" w:hAnsi="Arial" w:cs="Arial"/>
          <w:sz w:val="24"/>
          <w:szCs w:val="24"/>
        </w:rPr>
        <w:t xml:space="preserve">(“the </w:t>
      </w:r>
      <w:r w:rsidR="00B366C4">
        <w:rPr>
          <w:rFonts w:ascii="Arial" w:hAnsi="Arial" w:cs="Arial"/>
          <w:sz w:val="24"/>
          <w:szCs w:val="24"/>
        </w:rPr>
        <w:t xml:space="preserve">second </w:t>
      </w:r>
      <w:r w:rsidRPr="00C57CE0">
        <w:rPr>
          <w:rFonts w:ascii="Arial" w:hAnsi="Arial" w:cs="Arial"/>
          <w:sz w:val="24"/>
          <w:szCs w:val="24"/>
        </w:rPr>
        <w:t>indemnity clause”)</w:t>
      </w:r>
    </w:p>
    <w:p w14:paraId="71ECEB9F" w14:textId="77777777" w:rsidR="00140065" w:rsidRDefault="00140065" w:rsidP="00140065">
      <w:pPr>
        <w:spacing w:after="0" w:line="480" w:lineRule="auto"/>
        <w:jc w:val="both"/>
        <w:rPr>
          <w:rFonts w:ascii="Arial" w:hAnsi="Arial" w:cs="Arial"/>
          <w:sz w:val="24"/>
          <w:szCs w:val="24"/>
        </w:rPr>
      </w:pPr>
    </w:p>
    <w:p w14:paraId="77E9B48E" w14:textId="5C0E9B17" w:rsidR="00801B94" w:rsidRPr="00C57CE0" w:rsidRDefault="00801B94" w:rsidP="00140065">
      <w:pPr>
        <w:spacing w:after="0" w:line="480" w:lineRule="auto"/>
        <w:jc w:val="both"/>
        <w:rPr>
          <w:rFonts w:ascii="Arial" w:hAnsi="Arial" w:cs="Arial"/>
          <w:sz w:val="24"/>
          <w:szCs w:val="24"/>
        </w:rPr>
      </w:pPr>
      <w:r w:rsidRPr="00C57CE0">
        <w:rPr>
          <w:rFonts w:ascii="Arial" w:hAnsi="Arial" w:cs="Arial"/>
          <w:sz w:val="24"/>
          <w:szCs w:val="24"/>
        </w:rPr>
        <w:t>[</w:t>
      </w:r>
      <w:r w:rsidR="00C82F04">
        <w:rPr>
          <w:rFonts w:ascii="Arial" w:hAnsi="Arial" w:cs="Arial"/>
          <w:sz w:val="24"/>
          <w:szCs w:val="24"/>
        </w:rPr>
        <w:t>9</w:t>
      </w:r>
      <w:r w:rsidRPr="00C57CE0">
        <w:rPr>
          <w:rFonts w:ascii="Arial" w:hAnsi="Arial" w:cs="Arial"/>
          <w:sz w:val="24"/>
          <w:szCs w:val="24"/>
        </w:rPr>
        <w:t>]</w:t>
      </w:r>
      <w:r w:rsidRPr="00C57CE0">
        <w:rPr>
          <w:rFonts w:ascii="Arial" w:hAnsi="Arial" w:cs="Arial"/>
          <w:sz w:val="24"/>
          <w:szCs w:val="24"/>
        </w:rPr>
        <w:tab/>
        <w:t xml:space="preserve">Following the conclusion of the contract, </w:t>
      </w:r>
      <w:r w:rsidR="002B4EE7">
        <w:rPr>
          <w:rFonts w:ascii="Arial" w:hAnsi="Arial" w:cs="Arial"/>
          <w:sz w:val="24"/>
          <w:szCs w:val="24"/>
        </w:rPr>
        <w:t xml:space="preserve">and prior to </w:t>
      </w:r>
      <w:r w:rsidR="006F5B48">
        <w:rPr>
          <w:rFonts w:ascii="Arial" w:hAnsi="Arial" w:cs="Arial"/>
          <w:sz w:val="24"/>
          <w:szCs w:val="24"/>
        </w:rPr>
        <w:t xml:space="preserve">12 September 2019, </w:t>
      </w:r>
      <w:r w:rsidR="002B4EE7">
        <w:rPr>
          <w:rFonts w:ascii="Arial" w:hAnsi="Arial" w:cs="Arial"/>
          <w:sz w:val="24"/>
          <w:szCs w:val="24"/>
        </w:rPr>
        <w:t xml:space="preserve">the effective date stipulated in the contract of sale, </w:t>
      </w:r>
      <w:r w:rsidRPr="00C57CE0">
        <w:rPr>
          <w:rFonts w:ascii="Arial" w:hAnsi="Arial" w:cs="Arial"/>
          <w:sz w:val="24"/>
          <w:szCs w:val="24"/>
        </w:rPr>
        <w:t>the plaintiff</w:t>
      </w:r>
      <w:r w:rsidR="002B4EE7">
        <w:rPr>
          <w:rFonts w:ascii="Arial" w:hAnsi="Arial" w:cs="Arial"/>
          <w:sz w:val="24"/>
          <w:szCs w:val="24"/>
        </w:rPr>
        <w:t xml:space="preserve">, represented by Mr Venter, </w:t>
      </w:r>
      <w:r w:rsidR="006F5B48">
        <w:rPr>
          <w:rFonts w:ascii="Arial" w:hAnsi="Arial" w:cs="Arial"/>
          <w:sz w:val="24"/>
          <w:szCs w:val="24"/>
        </w:rPr>
        <w:t xml:space="preserve">gave two of the plaintiff’s employees, </w:t>
      </w:r>
      <w:r w:rsidR="002B4EE7">
        <w:rPr>
          <w:rFonts w:ascii="Arial" w:hAnsi="Arial" w:cs="Arial"/>
          <w:sz w:val="24"/>
          <w:szCs w:val="24"/>
        </w:rPr>
        <w:t xml:space="preserve">namely </w:t>
      </w:r>
      <w:r w:rsidRPr="00C57CE0">
        <w:rPr>
          <w:rFonts w:ascii="Arial" w:hAnsi="Arial" w:cs="Arial"/>
          <w:sz w:val="24"/>
          <w:szCs w:val="24"/>
        </w:rPr>
        <w:t>Kesse and Barrish</w:t>
      </w:r>
      <w:r w:rsidR="002B4EE7">
        <w:rPr>
          <w:rStyle w:val="FootnoteReference"/>
          <w:rFonts w:ascii="Arial" w:hAnsi="Arial" w:cs="Arial"/>
          <w:sz w:val="24"/>
          <w:szCs w:val="24"/>
        </w:rPr>
        <w:footnoteReference w:id="2"/>
      </w:r>
      <w:r w:rsidR="007745DF">
        <w:rPr>
          <w:rFonts w:ascii="Arial" w:hAnsi="Arial" w:cs="Arial"/>
          <w:sz w:val="24"/>
          <w:szCs w:val="24"/>
        </w:rPr>
        <w:t>,</w:t>
      </w:r>
      <w:r w:rsidR="00430A1D">
        <w:rPr>
          <w:rFonts w:ascii="Arial" w:hAnsi="Arial" w:cs="Arial"/>
          <w:sz w:val="24"/>
          <w:szCs w:val="24"/>
        </w:rPr>
        <w:t xml:space="preserve"> notice of the termination of the</w:t>
      </w:r>
      <w:r w:rsidR="007745DF">
        <w:rPr>
          <w:rFonts w:ascii="Arial" w:hAnsi="Arial" w:cs="Arial"/>
          <w:sz w:val="24"/>
          <w:szCs w:val="24"/>
        </w:rPr>
        <w:t>ir</w:t>
      </w:r>
      <w:r w:rsidR="00430A1D">
        <w:rPr>
          <w:rFonts w:ascii="Arial" w:hAnsi="Arial" w:cs="Arial"/>
          <w:sz w:val="24"/>
          <w:szCs w:val="24"/>
        </w:rPr>
        <w:t xml:space="preserve"> contracts of employment on </w:t>
      </w:r>
      <w:r w:rsidR="00BD668E">
        <w:rPr>
          <w:rFonts w:ascii="Arial" w:hAnsi="Arial" w:cs="Arial"/>
          <w:sz w:val="24"/>
          <w:szCs w:val="24"/>
        </w:rPr>
        <w:t>the effective date</w:t>
      </w:r>
      <w:r w:rsidR="001C6BE7">
        <w:rPr>
          <w:rFonts w:ascii="Arial" w:hAnsi="Arial" w:cs="Arial"/>
          <w:sz w:val="24"/>
          <w:szCs w:val="24"/>
        </w:rPr>
        <w:t>. Kesse and</w:t>
      </w:r>
      <w:r w:rsidR="00430A1D">
        <w:rPr>
          <w:rFonts w:ascii="Arial" w:hAnsi="Arial" w:cs="Arial"/>
          <w:sz w:val="24"/>
          <w:szCs w:val="24"/>
        </w:rPr>
        <w:t xml:space="preserve"> Barrish referred disputes to the </w:t>
      </w:r>
      <w:r w:rsidRPr="00C57CE0">
        <w:rPr>
          <w:rFonts w:ascii="Arial" w:hAnsi="Arial" w:cs="Arial"/>
          <w:sz w:val="24"/>
          <w:szCs w:val="24"/>
        </w:rPr>
        <w:t>Commission for Conciliation, Mediation and Arbitration (“CCMA”)</w:t>
      </w:r>
      <w:r w:rsidR="002B4EE7">
        <w:rPr>
          <w:rFonts w:ascii="Arial" w:hAnsi="Arial" w:cs="Arial"/>
          <w:sz w:val="24"/>
          <w:szCs w:val="24"/>
        </w:rPr>
        <w:t xml:space="preserve"> against the plaintiff</w:t>
      </w:r>
      <w:r w:rsidR="00430A1D">
        <w:rPr>
          <w:rFonts w:ascii="Arial" w:hAnsi="Arial" w:cs="Arial"/>
          <w:sz w:val="24"/>
          <w:szCs w:val="24"/>
        </w:rPr>
        <w:t xml:space="preserve">. Barrish cited the defendant as </w:t>
      </w:r>
      <w:r w:rsidR="005E7C54">
        <w:rPr>
          <w:rFonts w:ascii="Arial" w:hAnsi="Arial" w:cs="Arial"/>
          <w:sz w:val="24"/>
          <w:szCs w:val="24"/>
        </w:rPr>
        <w:t>a</w:t>
      </w:r>
      <w:r w:rsidR="00430A1D">
        <w:rPr>
          <w:rFonts w:ascii="Arial" w:hAnsi="Arial" w:cs="Arial"/>
          <w:sz w:val="24"/>
          <w:szCs w:val="24"/>
        </w:rPr>
        <w:t xml:space="preserve"> second respondent in his referral. </w:t>
      </w:r>
      <w:r w:rsidRPr="00C57CE0">
        <w:rPr>
          <w:rFonts w:ascii="Arial" w:hAnsi="Arial" w:cs="Arial"/>
          <w:sz w:val="24"/>
          <w:szCs w:val="24"/>
        </w:rPr>
        <w:t xml:space="preserve">During conciliation at the CCMA, </w:t>
      </w:r>
      <w:r w:rsidR="007745DF">
        <w:rPr>
          <w:rFonts w:ascii="Arial" w:hAnsi="Arial" w:cs="Arial"/>
          <w:sz w:val="24"/>
          <w:szCs w:val="24"/>
        </w:rPr>
        <w:t>th</w:t>
      </w:r>
      <w:r w:rsidR="002B4EE7">
        <w:rPr>
          <w:rFonts w:ascii="Arial" w:hAnsi="Arial" w:cs="Arial"/>
          <w:sz w:val="24"/>
          <w:szCs w:val="24"/>
        </w:rPr>
        <w:t>e plaintif</w:t>
      </w:r>
      <w:r w:rsidR="00915F86">
        <w:rPr>
          <w:rFonts w:ascii="Arial" w:hAnsi="Arial" w:cs="Arial"/>
          <w:sz w:val="24"/>
          <w:szCs w:val="24"/>
        </w:rPr>
        <w:t>f and the disgruntled employees</w:t>
      </w:r>
      <w:r w:rsidR="002B4EE7">
        <w:rPr>
          <w:rFonts w:ascii="Arial" w:hAnsi="Arial" w:cs="Arial"/>
          <w:sz w:val="24"/>
          <w:szCs w:val="24"/>
        </w:rPr>
        <w:t xml:space="preserve"> reached a settlement in respect of their claims</w:t>
      </w:r>
      <w:r w:rsidR="00430A1D">
        <w:rPr>
          <w:rFonts w:ascii="Arial" w:hAnsi="Arial" w:cs="Arial"/>
          <w:sz w:val="24"/>
          <w:szCs w:val="24"/>
        </w:rPr>
        <w:t xml:space="preserve"> and the </w:t>
      </w:r>
      <w:r w:rsidR="001A39F0">
        <w:rPr>
          <w:rFonts w:ascii="Arial" w:hAnsi="Arial" w:cs="Arial"/>
          <w:sz w:val="24"/>
          <w:szCs w:val="24"/>
        </w:rPr>
        <w:t>plaintiff</w:t>
      </w:r>
      <w:r w:rsidR="00430A1D">
        <w:rPr>
          <w:rFonts w:ascii="Arial" w:hAnsi="Arial" w:cs="Arial"/>
          <w:sz w:val="24"/>
          <w:szCs w:val="24"/>
        </w:rPr>
        <w:t>,</w:t>
      </w:r>
      <w:r w:rsidR="00915F86">
        <w:rPr>
          <w:rFonts w:ascii="Arial" w:hAnsi="Arial" w:cs="Arial"/>
          <w:sz w:val="24"/>
          <w:szCs w:val="24"/>
        </w:rPr>
        <w:t xml:space="preserve"> in terms of </w:t>
      </w:r>
      <w:r w:rsidR="005E7C54">
        <w:rPr>
          <w:rFonts w:ascii="Arial" w:hAnsi="Arial" w:cs="Arial"/>
          <w:sz w:val="24"/>
          <w:szCs w:val="24"/>
        </w:rPr>
        <w:t xml:space="preserve">this </w:t>
      </w:r>
      <w:r w:rsidR="001A39F0">
        <w:rPr>
          <w:rFonts w:ascii="Arial" w:hAnsi="Arial" w:cs="Arial"/>
          <w:sz w:val="24"/>
          <w:szCs w:val="24"/>
        </w:rPr>
        <w:t>settlement</w:t>
      </w:r>
      <w:r w:rsidR="005E7C54">
        <w:rPr>
          <w:rFonts w:ascii="Arial" w:hAnsi="Arial" w:cs="Arial"/>
          <w:sz w:val="24"/>
          <w:szCs w:val="24"/>
        </w:rPr>
        <w:t xml:space="preserve">, </w:t>
      </w:r>
      <w:r w:rsidR="001A39F0">
        <w:rPr>
          <w:rFonts w:ascii="Arial" w:hAnsi="Arial" w:cs="Arial"/>
          <w:sz w:val="24"/>
          <w:szCs w:val="24"/>
        </w:rPr>
        <w:t>paid these e</w:t>
      </w:r>
      <w:r w:rsidRPr="00C57CE0">
        <w:rPr>
          <w:rFonts w:ascii="Arial" w:hAnsi="Arial" w:cs="Arial"/>
          <w:sz w:val="24"/>
          <w:szCs w:val="24"/>
        </w:rPr>
        <w:t xml:space="preserve">mployees during November 2019 </w:t>
      </w:r>
      <w:r w:rsidR="001A39F0">
        <w:rPr>
          <w:rFonts w:ascii="Arial" w:hAnsi="Arial" w:cs="Arial"/>
          <w:sz w:val="24"/>
          <w:szCs w:val="24"/>
        </w:rPr>
        <w:t>the total amount of R 3</w:t>
      </w:r>
      <w:r w:rsidR="007423E0">
        <w:rPr>
          <w:rFonts w:ascii="Arial" w:hAnsi="Arial" w:cs="Arial"/>
          <w:sz w:val="24"/>
          <w:szCs w:val="24"/>
        </w:rPr>
        <w:t>24 010.</w:t>
      </w:r>
    </w:p>
    <w:p w14:paraId="0B28FF2D" w14:textId="77777777" w:rsidR="00140065" w:rsidRDefault="00140065" w:rsidP="00140065">
      <w:pPr>
        <w:spacing w:after="0" w:line="480" w:lineRule="auto"/>
        <w:jc w:val="both"/>
        <w:rPr>
          <w:rFonts w:ascii="Arial" w:hAnsi="Arial" w:cs="Arial"/>
          <w:sz w:val="24"/>
          <w:szCs w:val="24"/>
        </w:rPr>
      </w:pPr>
    </w:p>
    <w:p w14:paraId="324FB7C0" w14:textId="6E749FF2" w:rsidR="001A39F0" w:rsidRDefault="00801B94" w:rsidP="00140065">
      <w:pPr>
        <w:spacing w:after="0" w:line="480" w:lineRule="auto"/>
        <w:jc w:val="both"/>
        <w:rPr>
          <w:rFonts w:ascii="Arial" w:hAnsi="Arial" w:cs="Arial"/>
          <w:sz w:val="24"/>
          <w:szCs w:val="24"/>
        </w:rPr>
      </w:pPr>
      <w:r w:rsidRPr="00C57CE0">
        <w:rPr>
          <w:rFonts w:ascii="Arial" w:hAnsi="Arial" w:cs="Arial"/>
          <w:sz w:val="24"/>
          <w:szCs w:val="24"/>
        </w:rPr>
        <w:t>[1</w:t>
      </w:r>
      <w:r w:rsidR="00C82F04">
        <w:rPr>
          <w:rFonts w:ascii="Arial" w:hAnsi="Arial" w:cs="Arial"/>
          <w:sz w:val="24"/>
          <w:szCs w:val="24"/>
        </w:rPr>
        <w:t>0</w:t>
      </w:r>
      <w:r w:rsidRPr="00C57CE0">
        <w:rPr>
          <w:rFonts w:ascii="Arial" w:hAnsi="Arial" w:cs="Arial"/>
          <w:sz w:val="24"/>
          <w:szCs w:val="24"/>
        </w:rPr>
        <w:t>]</w:t>
      </w:r>
      <w:r w:rsidRPr="00C57CE0">
        <w:rPr>
          <w:rFonts w:ascii="Arial" w:hAnsi="Arial" w:cs="Arial"/>
          <w:sz w:val="24"/>
          <w:szCs w:val="24"/>
        </w:rPr>
        <w:tab/>
        <w:t xml:space="preserve">The plaintiff </w:t>
      </w:r>
      <w:r w:rsidR="00430A1D">
        <w:rPr>
          <w:rFonts w:ascii="Arial" w:hAnsi="Arial" w:cs="Arial"/>
          <w:sz w:val="24"/>
          <w:szCs w:val="24"/>
        </w:rPr>
        <w:t xml:space="preserve">then </w:t>
      </w:r>
      <w:r w:rsidRPr="00C57CE0">
        <w:rPr>
          <w:rFonts w:ascii="Arial" w:hAnsi="Arial" w:cs="Arial"/>
          <w:sz w:val="24"/>
          <w:szCs w:val="24"/>
        </w:rPr>
        <w:t>proceeded</w:t>
      </w:r>
      <w:r w:rsidR="001A39F0">
        <w:rPr>
          <w:rFonts w:ascii="Arial" w:hAnsi="Arial" w:cs="Arial"/>
          <w:sz w:val="24"/>
          <w:szCs w:val="24"/>
        </w:rPr>
        <w:t>,</w:t>
      </w:r>
      <w:r w:rsidRPr="00C57CE0">
        <w:rPr>
          <w:rFonts w:ascii="Arial" w:hAnsi="Arial" w:cs="Arial"/>
          <w:sz w:val="24"/>
          <w:szCs w:val="24"/>
        </w:rPr>
        <w:t xml:space="preserve"> in terms of clause 9.2 of the contract</w:t>
      </w:r>
      <w:r w:rsidR="00430A1D">
        <w:rPr>
          <w:rFonts w:ascii="Arial" w:hAnsi="Arial" w:cs="Arial"/>
          <w:sz w:val="24"/>
          <w:szCs w:val="24"/>
        </w:rPr>
        <w:t xml:space="preserve"> of sale</w:t>
      </w:r>
      <w:r w:rsidRPr="00C57CE0">
        <w:rPr>
          <w:rFonts w:ascii="Arial" w:hAnsi="Arial" w:cs="Arial"/>
          <w:sz w:val="24"/>
          <w:szCs w:val="24"/>
        </w:rPr>
        <w:t xml:space="preserve">, </w:t>
      </w:r>
      <w:r w:rsidR="00B366C4">
        <w:rPr>
          <w:rFonts w:ascii="Arial" w:hAnsi="Arial" w:cs="Arial"/>
          <w:sz w:val="24"/>
          <w:szCs w:val="24"/>
        </w:rPr>
        <w:t xml:space="preserve">to </w:t>
      </w:r>
      <w:r w:rsidRPr="00C57CE0">
        <w:rPr>
          <w:rFonts w:ascii="Arial" w:hAnsi="Arial" w:cs="Arial"/>
          <w:sz w:val="24"/>
          <w:szCs w:val="24"/>
        </w:rPr>
        <w:t xml:space="preserve">claim the amounts </w:t>
      </w:r>
      <w:r w:rsidR="00B366C4">
        <w:rPr>
          <w:rFonts w:ascii="Arial" w:hAnsi="Arial" w:cs="Arial"/>
          <w:sz w:val="24"/>
          <w:szCs w:val="24"/>
        </w:rPr>
        <w:t xml:space="preserve">paid to the employees </w:t>
      </w:r>
      <w:r w:rsidRPr="00C57CE0">
        <w:rPr>
          <w:rFonts w:ascii="Arial" w:hAnsi="Arial" w:cs="Arial"/>
          <w:sz w:val="24"/>
          <w:szCs w:val="24"/>
        </w:rPr>
        <w:t>fr</w:t>
      </w:r>
      <w:r w:rsidR="00B366C4">
        <w:rPr>
          <w:rFonts w:ascii="Arial" w:hAnsi="Arial" w:cs="Arial"/>
          <w:sz w:val="24"/>
          <w:szCs w:val="24"/>
        </w:rPr>
        <w:t>o</w:t>
      </w:r>
      <w:r w:rsidRPr="00C57CE0">
        <w:rPr>
          <w:rFonts w:ascii="Arial" w:hAnsi="Arial" w:cs="Arial"/>
          <w:sz w:val="24"/>
          <w:szCs w:val="24"/>
        </w:rPr>
        <w:t>m the defendant</w:t>
      </w:r>
      <w:r w:rsidR="001A39F0">
        <w:rPr>
          <w:rFonts w:ascii="Arial" w:hAnsi="Arial" w:cs="Arial"/>
          <w:sz w:val="24"/>
          <w:szCs w:val="24"/>
        </w:rPr>
        <w:t xml:space="preserve">. The defendant denied liability </w:t>
      </w:r>
      <w:r w:rsidR="00430A1D">
        <w:rPr>
          <w:rFonts w:ascii="Arial" w:hAnsi="Arial" w:cs="Arial"/>
          <w:sz w:val="24"/>
          <w:szCs w:val="24"/>
        </w:rPr>
        <w:t xml:space="preserve">and the plaintiff instituted a claim in the court </w:t>
      </w:r>
      <w:r w:rsidR="00430A1D">
        <w:rPr>
          <w:rFonts w:ascii="Arial" w:hAnsi="Arial" w:cs="Arial"/>
          <w:i/>
          <w:iCs/>
          <w:sz w:val="24"/>
          <w:szCs w:val="24"/>
        </w:rPr>
        <w:t xml:space="preserve">a quo. </w:t>
      </w:r>
      <w:r w:rsidR="00430A1D">
        <w:rPr>
          <w:rFonts w:ascii="Arial" w:hAnsi="Arial" w:cs="Arial"/>
          <w:sz w:val="24"/>
          <w:szCs w:val="24"/>
        </w:rPr>
        <w:t xml:space="preserve">In its plea, the defendant </w:t>
      </w:r>
      <w:r w:rsidR="001A39F0" w:rsidRPr="001A39F0">
        <w:rPr>
          <w:rFonts w:ascii="Arial" w:hAnsi="Arial" w:cs="Arial"/>
          <w:i/>
          <w:iCs/>
          <w:sz w:val="24"/>
          <w:szCs w:val="24"/>
        </w:rPr>
        <w:t>inter alia</w:t>
      </w:r>
      <w:r w:rsidR="001A39F0">
        <w:rPr>
          <w:rFonts w:ascii="Arial" w:hAnsi="Arial" w:cs="Arial"/>
          <w:sz w:val="24"/>
          <w:szCs w:val="24"/>
        </w:rPr>
        <w:t xml:space="preserve"> </w:t>
      </w:r>
      <w:r w:rsidR="00430A1D">
        <w:rPr>
          <w:rFonts w:ascii="Arial" w:hAnsi="Arial" w:cs="Arial"/>
          <w:sz w:val="24"/>
          <w:szCs w:val="24"/>
        </w:rPr>
        <w:t xml:space="preserve">alleged </w:t>
      </w:r>
      <w:r w:rsidR="001A39F0">
        <w:rPr>
          <w:rFonts w:ascii="Arial" w:hAnsi="Arial" w:cs="Arial"/>
          <w:sz w:val="24"/>
          <w:szCs w:val="24"/>
        </w:rPr>
        <w:t>that:</w:t>
      </w:r>
    </w:p>
    <w:p w14:paraId="4D8A38B7" w14:textId="4D06529D" w:rsidR="001A39F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0</w:t>
      </w:r>
      <w:r>
        <w:rPr>
          <w:rFonts w:ascii="Arial" w:hAnsi="Arial" w:cs="Arial"/>
          <w:sz w:val="24"/>
          <w:szCs w:val="24"/>
        </w:rPr>
        <w:t>.1</w:t>
      </w:r>
      <w:r>
        <w:rPr>
          <w:rFonts w:ascii="Arial" w:hAnsi="Arial" w:cs="Arial"/>
          <w:sz w:val="24"/>
          <w:szCs w:val="24"/>
        </w:rPr>
        <w:tab/>
        <w:t xml:space="preserve">The claim did not resort under clause 9.2 of the contract but under the </w:t>
      </w:r>
      <w:r w:rsidR="005E7C54">
        <w:rPr>
          <w:rFonts w:ascii="Arial" w:hAnsi="Arial" w:cs="Arial"/>
          <w:sz w:val="24"/>
          <w:szCs w:val="24"/>
        </w:rPr>
        <w:t xml:space="preserve">general </w:t>
      </w:r>
      <w:r>
        <w:rPr>
          <w:rFonts w:ascii="Arial" w:hAnsi="Arial" w:cs="Arial"/>
          <w:sz w:val="24"/>
          <w:szCs w:val="24"/>
        </w:rPr>
        <w:t>indemnity in favour of the defendant contained in clause 9.1</w:t>
      </w:r>
      <w:r w:rsidR="00430A1D">
        <w:rPr>
          <w:rFonts w:ascii="Arial" w:hAnsi="Arial" w:cs="Arial"/>
          <w:sz w:val="24"/>
          <w:szCs w:val="24"/>
        </w:rPr>
        <w:t>, as the plaintiff g</w:t>
      </w:r>
      <w:r w:rsidR="00BD668E">
        <w:rPr>
          <w:rFonts w:ascii="Arial" w:hAnsi="Arial" w:cs="Arial"/>
          <w:sz w:val="24"/>
          <w:szCs w:val="24"/>
        </w:rPr>
        <w:t>ave</w:t>
      </w:r>
      <w:r w:rsidR="00430A1D">
        <w:rPr>
          <w:rFonts w:ascii="Arial" w:hAnsi="Arial" w:cs="Arial"/>
          <w:sz w:val="24"/>
          <w:szCs w:val="24"/>
        </w:rPr>
        <w:t xml:space="preserve"> notice of termination to the two employees prior to the effective date</w:t>
      </w:r>
      <w:r>
        <w:rPr>
          <w:rFonts w:ascii="Arial" w:hAnsi="Arial" w:cs="Arial"/>
          <w:sz w:val="24"/>
          <w:szCs w:val="24"/>
        </w:rPr>
        <w:t>;</w:t>
      </w:r>
    </w:p>
    <w:p w14:paraId="17A80FFD" w14:textId="49FC18FB" w:rsidR="001A39F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lastRenderedPageBreak/>
        <w:t>1</w:t>
      </w:r>
      <w:r w:rsidR="00C82F04">
        <w:rPr>
          <w:rFonts w:ascii="Arial" w:hAnsi="Arial" w:cs="Arial"/>
          <w:sz w:val="24"/>
          <w:szCs w:val="24"/>
        </w:rPr>
        <w:t>0</w:t>
      </w:r>
      <w:r>
        <w:rPr>
          <w:rFonts w:ascii="Arial" w:hAnsi="Arial" w:cs="Arial"/>
          <w:sz w:val="24"/>
          <w:szCs w:val="24"/>
        </w:rPr>
        <w:t>.2</w:t>
      </w:r>
      <w:r>
        <w:rPr>
          <w:rFonts w:ascii="Arial" w:hAnsi="Arial" w:cs="Arial"/>
          <w:sz w:val="24"/>
          <w:szCs w:val="24"/>
        </w:rPr>
        <w:tab/>
        <w:t xml:space="preserve">The business </w:t>
      </w:r>
      <w:r w:rsidR="007745DF">
        <w:rPr>
          <w:rFonts w:ascii="Arial" w:hAnsi="Arial" w:cs="Arial"/>
          <w:sz w:val="24"/>
          <w:szCs w:val="24"/>
        </w:rPr>
        <w:t xml:space="preserve">of the plaintiff </w:t>
      </w:r>
      <w:r>
        <w:rPr>
          <w:rFonts w:ascii="Arial" w:hAnsi="Arial" w:cs="Arial"/>
          <w:sz w:val="24"/>
          <w:szCs w:val="24"/>
        </w:rPr>
        <w:t>did not terminate;</w:t>
      </w:r>
      <w:r w:rsidR="007745DF">
        <w:rPr>
          <w:rFonts w:ascii="Arial" w:hAnsi="Arial" w:cs="Arial"/>
          <w:sz w:val="24"/>
          <w:szCs w:val="24"/>
        </w:rPr>
        <w:t xml:space="preserve"> and</w:t>
      </w:r>
    </w:p>
    <w:p w14:paraId="089F80BD" w14:textId="42E82EF6" w:rsidR="00801B94" w:rsidRPr="00C57CE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0</w:t>
      </w:r>
      <w:r>
        <w:rPr>
          <w:rFonts w:ascii="Arial" w:hAnsi="Arial" w:cs="Arial"/>
          <w:sz w:val="24"/>
          <w:szCs w:val="24"/>
        </w:rPr>
        <w:t>.3</w:t>
      </w:r>
      <w:r>
        <w:rPr>
          <w:rFonts w:ascii="Arial" w:hAnsi="Arial" w:cs="Arial"/>
          <w:sz w:val="24"/>
          <w:szCs w:val="24"/>
        </w:rPr>
        <w:tab/>
      </w:r>
      <w:r w:rsidR="00430A1D">
        <w:rPr>
          <w:rFonts w:ascii="Arial" w:hAnsi="Arial" w:cs="Arial"/>
          <w:sz w:val="24"/>
          <w:szCs w:val="24"/>
        </w:rPr>
        <w:t xml:space="preserve">Clause 9.2 </w:t>
      </w:r>
      <w:r w:rsidR="007745DF">
        <w:rPr>
          <w:rFonts w:ascii="Arial" w:hAnsi="Arial" w:cs="Arial"/>
          <w:sz w:val="24"/>
          <w:szCs w:val="24"/>
        </w:rPr>
        <w:t>pertains to an indemnity in favour of the plaintiff with reference to the employees of the defendant.</w:t>
      </w:r>
    </w:p>
    <w:p w14:paraId="670AB62B" w14:textId="77777777" w:rsidR="00140065" w:rsidRDefault="00140065" w:rsidP="00140065">
      <w:pPr>
        <w:spacing w:after="0" w:line="480" w:lineRule="auto"/>
        <w:jc w:val="both"/>
        <w:rPr>
          <w:rFonts w:ascii="Arial" w:hAnsi="Arial" w:cs="Arial"/>
          <w:sz w:val="24"/>
          <w:szCs w:val="24"/>
        </w:rPr>
      </w:pPr>
    </w:p>
    <w:p w14:paraId="3A079ED4" w14:textId="6016D588" w:rsidR="001A39F0" w:rsidRDefault="00801B94" w:rsidP="00140065">
      <w:pPr>
        <w:spacing w:after="0" w:line="480" w:lineRule="auto"/>
        <w:jc w:val="both"/>
        <w:rPr>
          <w:rFonts w:ascii="Arial" w:hAnsi="Arial" w:cs="Arial"/>
          <w:sz w:val="24"/>
          <w:szCs w:val="24"/>
        </w:rPr>
      </w:pPr>
      <w:r w:rsidRPr="00C57CE0">
        <w:rPr>
          <w:rFonts w:ascii="Arial" w:hAnsi="Arial" w:cs="Arial"/>
          <w:sz w:val="24"/>
          <w:szCs w:val="24"/>
        </w:rPr>
        <w:t>[1</w:t>
      </w:r>
      <w:r w:rsidR="00C82F04">
        <w:rPr>
          <w:rFonts w:ascii="Arial" w:hAnsi="Arial" w:cs="Arial"/>
          <w:sz w:val="24"/>
          <w:szCs w:val="24"/>
        </w:rPr>
        <w:t>1</w:t>
      </w:r>
      <w:r w:rsidRPr="00C57CE0">
        <w:rPr>
          <w:rFonts w:ascii="Arial" w:hAnsi="Arial" w:cs="Arial"/>
          <w:sz w:val="24"/>
          <w:szCs w:val="24"/>
        </w:rPr>
        <w:t>]</w:t>
      </w:r>
      <w:r w:rsidRPr="00C57CE0">
        <w:rPr>
          <w:rFonts w:ascii="Arial" w:hAnsi="Arial" w:cs="Arial"/>
          <w:sz w:val="24"/>
          <w:szCs w:val="24"/>
        </w:rPr>
        <w:tab/>
      </w:r>
      <w:r w:rsidR="001A39F0">
        <w:rPr>
          <w:rFonts w:ascii="Arial" w:hAnsi="Arial" w:cs="Arial"/>
          <w:sz w:val="24"/>
          <w:szCs w:val="24"/>
        </w:rPr>
        <w:t xml:space="preserve">The court </w:t>
      </w:r>
      <w:r w:rsidR="001A39F0" w:rsidRPr="00F51C8F">
        <w:rPr>
          <w:rFonts w:ascii="Arial" w:hAnsi="Arial" w:cs="Arial"/>
          <w:i/>
          <w:iCs/>
          <w:sz w:val="24"/>
          <w:szCs w:val="24"/>
        </w:rPr>
        <w:t>a quo</w:t>
      </w:r>
      <w:r w:rsidR="001A39F0">
        <w:rPr>
          <w:rFonts w:ascii="Arial" w:hAnsi="Arial" w:cs="Arial"/>
          <w:sz w:val="24"/>
          <w:szCs w:val="24"/>
        </w:rPr>
        <w:t xml:space="preserve"> allowed extensive evidence in respect of the intention of the parties when entering in</w:t>
      </w:r>
      <w:r w:rsidR="007745DF">
        <w:rPr>
          <w:rFonts w:ascii="Arial" w:hAnsi="Arial" w:cs="Arial"/>
          <w:sz w:val="24"/>
          <w:szCs w:val="24"/>
        </w:rPr>
        <w:t>to</w:t>
      </w:r>
      <w:r w:rsidR="001A39F0">
        <w:rPr>
          <w:rFonts w:ascii="Arial" w:hAnsi="Arial" w:cs="Arial"/>
          <w:sz w:val="24"/>
          <w:szCs w:val="24"/>
        </w:rPr>
        <w:t xml:space="preserve"> the contract of sale. On </w:t>
      </w:r>
      <w:r w:rsidR="00F51C8F">
        <w:rPr>
          <w:rFonts w:ascii="Arial" w:hAnsi="Arial" w:cs="Arial"/>
          <w:sz w:val="24"/>
          <w:szCs w:val="24"/>
        </w:rPr>
        <w:t xml:space="preserve">perusal of the evidence, it however appears that the following essential aspects were </w:t>
      </w:r>
      <w:r w:rsidR="001A39F0">
        <w:rPr>
          <w:rFonts w:ascii="Arial" w:hAnsi="Arial" w:cs="Arial"/>
          <w:sz w:val="24"/>
          <w:szCs w:val="24"/>
        </w:rPr>
        <w:t>common cause</w:t>
      </w:r>
      <w:r w:rsidR="00F51C8F">
        <w:rPr>
          <w:rFonts w:ascii="Arial" w:hAnsi="Arial" w:cs="Arial"/>
          <w:sz w:val="24"/>
          <w:szCs w:val="24"/>
        </w:rPr>
        <w:t>:</w:t>
      </w:r>
      <w:r w:rsidR="001A39F0">
        <w:rPr>
          <w:rFonts w:ascii="Arial" w:hAnsi="Arial" w:cs="Arial"/>
          <w:sz w:val="24"/>
          <w:szCs w:val="24"/>
        </w:rPr>
        <w:t xml:space="preserve"> </w:t>
      </w:r>
    </w:p>
    <w:p w14:paraId="219C9AAE" w14:textId="1A39208C" w:rsidR="00F51C8F"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1</w:t>
      </w:r>
      <w:r>
        <w:rPr>
          <w:rFonts w:ascii="Arial" w:hAnsi="Arial" w:cs="Arial"/>
          <w:sz w:val="24"/>
          <w:szCs w:val="24"/>
        </w:rPr>
        <w:t>.1</w:t>
      </w:r>
      <w:r>
        <w:rPr>
          <w:rFonts w:ascii="Arial" w:hAnsi="Arial" w:cs="Arial"/>
          <w:sz w:val="24"/>
          <w:szCs w:val="24"/>
        </w:rPr>
        <w:tab/>
      </w:r>
      <w:r w:rsidR="00F51C8F">
        <w:rPr>
          <w:rFonts w:ascii="Arial" w:hAnsi="Arial" w:cs="Arial"/>
          <w:sz w:val="24"/>
          <w:szCs w:val="24"/>
        </w:rPr>
        <w:t xml:space="preserve">At the time the contract of sale was concluded </w:t>
      </w:r>
      <w:r w:rsidR="00BD668E">
        <w:rPr>
          <w:rFonts w:ascii="Arial" w:hAnsi="Arial" w:cs="Arial"/>
          <w:sz w:val="24"/>
          <w:szCs w:val="24"/>
        </w:rPr>
        <w:t xml:space="preserve">on 5 September 2019, </w:t>
      </w:r>
      <w:r w:rsidR="00F51C8F">
        <w:rPr>
          <w:rFonts w:ascii="Arial" w:hAnsi="Arial" w:cs="Arial"/>
          <w:sz w:val="24"/>
          <w:szCs w:val="24"/>
        </w:rPr>
        <w:t>the plaintiff had four employees: Knoetzen, Batt, K</w:t>
      </w:r>
      <w:r w:rsidRPr="00C57CE0">
        <w:rPr>
          <w:rFonts w:ascii="Arial" w:hAnsi="Arial" w:cs="Arial"/>
          <w:sz w:val="24"/>
          <w:szCs w:val="24"/>
        </w:rPr>
        <w:t>esse and Barrish</w:t>
      </w:r>
      <w:r w:rsidR="00F51C8F">
        <w:rPr>
          <w:rFonts w:ascii="Arial" w:hAnsi="Arial" w:cs="Arial"/>
          <w:sz w:val="24"/>
          <w:szCs w:val="24"/>
        </w:rPr>
        <w:t xml:space="preserve">. Knoetzen and Batt negotiated the right to use the Harken name and established the defendant. </w:t>
      </w:r>
    </w:p>
    <w:p w14:paraId="225D6C89" w14:textId="7EFB4AFC" w:rsidR="00C73D1D" w:rsidRDefault="00F51C8F"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1</w:t>
      </w:r>
      <w:r>
        <w:rPr>
          <w:rFonts w:ascii="Arial" w:hAnsi="Arial" w:cs="Arial"/>
          <w:sz w:val="24"/>
          <w:szCs w:val="24"/>
        </w:rPr>
        <w:t>.2</w:t>
      </w:r>
      <w:r>
        <w:rPr>
          <w:rFonts w:ascii="Arial" w:hAnsi="Arial" w:cs="Arial"/>
          <w:sz w:val="24"/>
          <w:szCs w:val="24"/>
        </w:rPr>
        <w:tab/>
        <w:t>The defendant did not want to take over the business of the plaintiff as a going concern</w:t>
      </w:r>
      <w:r w:rsidR="007423E0">
        <w:rPr>
          <w:rFonts w:ascii="Arial" w:hAnsi="Arial" w:cs="Arial"/>
          <w:sz w:val="24"/>
          <w:szCs w:val="24"/>
        </w:rPr>
        <w:t>,</w:t>
      </w:r>
      <w:r>
        <w:rPr>
          <w:rFonts w:ascii="Arial" w:hAnsi="Arial" w:cs="Arial"/>
          <w:sz w:val="24"/>
          <w:szCs w:val="24"/>
        </w:rPr>
        <w:t xml:space="preserve"> and did not want to take over the other two employees of the </w:t>
      </w:r>
      <w:r w:rsidR="00C73D1D">
        <w:rPr>
          <w:rFonts w:ascii="Arial" w:hAnsi="Arial" w:cs="Arial"/>
          <w:sz w:val="24"/>
          <w:szCs w:val="24"/>
        </w:rPr>
        <w:t xml:space="preserve">plaintiff, Kesse and Barrish. </w:t>
      </w:r>
    </w:p>
    <w:p w14:paraId="2C66AC7F" w14:textId="1044390A" w:rsidR="001A39F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1</w:t>
      </w:r>
      <w:r>
        <w:rPr>
          <w:rFonts w:ascii="Arial" w:hAnsi="Arial" w:cs="Arial"/>
          <w:sz w:val="24"/>
          <w:szCs w:val="24"/>
        </w:rPr>
        <w:t>.</w:t>
      </w:r>
      <w:r w:rsidR="007745DF">
        <w:rPr>
          <w:rFonts w:ascii="Arial" w:hAnsi="Arial" w:cs="Arial"/>
          <w:sz w:val="24"/>
          <w:szCs w:val="24"/>
        </w:rPr>
        <w:t>3</w:t>
      </w:r>
      <w:r>
        <w:rPr>
          <w:rFonts w:ascii="Arial" w:hAnsi="Arial" w:cs="Arial"/>
          <w:sz w:val="24"/>
          <w:szCs w:val="24"/>
        </w:rPr>
        <w:tab/>
      </w:r>
      <w:r w:rsidRPr="00C57CE0">
        <w:rPr>
          <w:rFonts w:ascii="Arial" w:hAnsi="Arial" w:cs="Arial"/>
          <w:sz w:val="24"/>
          <w:szCs w:val="24"/>
        </w:rPr>
        <w:t xml:space="preserve">The </w:t>
      </w:r>
      <w:r>
        <w:rPr>
          <w:rFonts w:ascii="Arial" w:hAnsi="Arial" w:cs="Arial"/>
          <w:sz w:val="24"/>
          <w:szCs w:val="24"/>
        </w:rPr>
        <w:t>p</w:t>
      </w:r>
      <w:r w:rsidRPr="00C57CE0">
        <w:rPr>
          <w:rFonts w:ascii="Arial" w:hAnsi="Arial" w:cs="Arial"/>
          <w:sz w:val="24"/>
          <w:szCs w:val="24"/>
        </w:rPr>
        <w:t>laintiff’s business terminated after the sale of its assets and stock</w:t>
      </w:r>
      <w:r w:rsidR="00C73D1D">
        <w:rPr>
          <w:rFonts w:ascii="Arial" w:hAnsi="Arial" w:cs="Arial"/>
          <w:sz w:val="24"/>
          <w:szCs w:val="24"/>
        </w:rPr>
        <w:t>. In this regard Mr Knoetzen testified that “…without the name [Harken] we can close our doors and walk away”</w:t>
      </w:r>
      <w:r w:rsidRPr="00C57CE0">
        <w:rPr>
          <w:rStyle w:val="FootnoteReference"/>
          <w:rFonts w:ascii="Arial" w:hAnsi="Arial" w:cs="Arial"/>
          <w:sz w:val="24"/>
          <w:szCs w:val="24"/>
        </w:rPr>
        <w:footnoteReference w:id="3"/>
      </w:r>
      <w:r w:rsidR="007745DF">
        <w:rPr>
          <w:rFonts w:ascii="Arial" w:hAnsi="Arial" w:cs="Arial"/>
          <w:sz w:val="24"/>
          <w:szCs w:val="24"/>
        </w:rPr>
        <w:t xml:space="preserve"> and further expressly agreed that the business of the plaintiff would be terminated on the effective date</w:t>
      </w:r>
      <w:r w:rsidR="007745DF">
        <w:rPr>
          <w:rStyle w:val="FootnoteReference"/>
          <w:rFonts w:ascii="Arial" w:hAnsi="Arial" w:cs="Arial"/>
          <w:sz w:val="24"/>
          <w:szCs w:val="24"/>
        </w:rPr>
        <w:footnoteReference w:id="4"/>
      </w:r>
      <w:r w:rsidR="007745DF">
        <w:rPr>
          <w:rFonts w:ascii="Arial" w:hAnsi="Arial" w:cs="Arial"/>
          <w:sz w:val="24"/>
          <w:szCs w:val="24"/>
        </w:rPr>
        <w:t>.</w:t>
      </w:r>
    </w:p>
    <w:p w14:paraId="33387C33" w14:textId="32BD8437" w:rsidR="00C73D1D"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1</w:t>
      </w:r>
      <w:r>
        <w:rPr>
          <w:rFonts w:ascii="Arial" w:hAnsi="Arial" w:cs="Arial"/>
          <w:sz w:val="24"/>
          <w:szCs w:val="24"/>
        </w:rPr>
        <w:t>.4</w:t>
      </w:r>
      <w:r w:rsidRPr="00C57CE0">
        <w:rPr>
          <w:rFonts w:ascii="Arial" w:hAnsi="Arial" w:cs="Arial"/>
          <w:sz w:val="24"/>
          <w:szCs w:val="24"/>
        </w:rPr>
        <w:tab/>
        <w:t>Following the conclusion of the c</w:t>
      </w:r>
      <w:r>
        <w:rPr>
          <w:rFonts w:ascii="Arial" w:hAnsi="Arial" w:cs="Arial"/>
          <w:sz w:val="24"/>
          <w:szCs w:val="24"/>
        </w:rPr>
        <w:t xml:space="preserve">ontract </w:t>
      </w:r>
      <w:r w:rsidR="00C73D1D">
        <w:rPr>
          <w:rFonts w:ascii="Arial" w:hAnsi="Arial" w:cs="Arial"/>
          <w:sz w:val="24"/>
          <w:szCs w:val="24"/>
        </w:rPr>
        <w:t xml:space="preserve">of sale, Mr Venter notified </w:t>
      </w:r>
      <w:r>
        <w:rPr>
          <w:rFonts w:ascii="Arial" w:hAnsi="Arial" w:cs="Arial"/>
          <w:sz w:val="24"/>
          <w:szCs w:val="24"/>
        </w:rPr>
        <w:t>Kesse</w:t>
      </w:r>
      <w:r w:rsidRPr="00C57CE0">
        <w:rPr>
          <w:rFonts w:ascii="Arial" w:hAnsi="Arial" w:cs="Arial"/>
          <w:sz w:val="24"/>
          <w:szCs w:val="24"/>
        </w:rPr>
        <w:t xml:space="preserve"> and Barrish </w:t>
      </w:r>
      <w:r w:rsidR="007745DF">
        <w:rPr>
          <w:rFonts w:ascii="Arial" w:hAnsi="Arial" w:cs="Arial"/>
          <w:sz w:val="24"/>
          <w:szCs w:val="24"/>
        </w:rPr>
        <w:t xml:space="preserve">that </w:t>
      </w:r>
      <w:r w:rsidR="00C73D1D">
        <w:rPr>
          <w:rFonts w:ascii="Arial" w:hAnsi="Arial" w:cs="Arial"/>
          <w:sz w:val="24"/>
          <w:szCs w:val="24"/>
        </w:rPr>
        <w:t>th</w:t>
      </w:r>
      <w:r w:rsidR="009F0E10">
        <w:rPr>
          <w:rFonts w:ascii="Arial" w:hAnsi="Arial" w:cs="Arial"/>
          <w:sz w:val="24"/>
          <w:szCs w:val="24"/>
        </w:rPr>
        <w:t xml:space="preserve">eir </w:t>
      </w:r>
      <w:r w:rsidR="00C73D1D">
        <w:rPr>
          <w:rFonts w:ascii="Arial" w:hAnsi="Arial" w:cs="Arial"/>
          <w:sz w:val="24"/>
          <w:szCs w:val="24"/>
        </w:rPr>
        <w:t xml:space="preserve">employment with the plaintiff </w:t>
      </w:r>
      <w:r w:rsidR="009F0E10">
        <w:rPr>
          <w:rFonts w:ascii="Arial" w:hAnsi="Arial" w:cs="Arial"/>
          <w:sz w:val="24"/>
          <w:szCs w:val="24"/>
        </w:rPr>
        <w:t xml:space="preserve">is </w:t>
      </w:r>
      <w:r w:rsidR="00C73D1D">
        <w:rPr>
          <w:rFonts w:ascii="Arial" w:hAnsi="Arial" w:cs="Arial"/>
          <w:sz w:val="24"/>
          <w:szCs w:val="24"/>
        </w:rPr>
        <w:t>terminated</w:t>
      </w:r>
      <w:r w:rsidR="009F0E10">
        <w:rPr>
          <w:rFonts w:ascii="Arial" w:hAnsi="Arial" w:cs="Arial"/>
          <w:sz w:val="24"/>
          <w:szCs w:val="24"/>
        </w:rPr>
        <w:t xml:space="preserve"> as at the effective date</w:t>
      </w:r>
      <w:r w:rsidR="00C73D1D">
        <w:rPr>
          <w:rFonts w:ascii="Arial" w:hAnsi="Arial" w:cs="Arial"/>
          <w:sz w:val="24"/>
          <w:szCs w:val="24"/>
        </w:rPr>
        <w:t>.</w:t>
      </w:r>
    </w:p>
    <w:p w14:paraId="4876D8DB" w14:textId="22977829" w:rsidR="001A39F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t>1</w:t>
      </w:r>
      <w:r w:rsidR="00C82F04">
        <w:rPr>
          <w:rFonts w:ascii="Arial" w:hAnsi="Arial" w:cs="Arial"/>
          <w:sz w:val="24"/>
          <w:szCs w:val="24"/>
        </w:rPr>
        <w:t>1</w:t>
      </w:r>
      <w:r>
        <w:rPr>
          <w:rFonts w:ascii="Arial" w:hAnsi="Arial" w:cs="Arial"/>
          <w:sz w:val="24"/>
          <w:szCs w:val="24"/>
        </w:rPr>
        <w:t>.</w:t>
      </w:r>
      <w:r w:rsidR="00BD668E">
        <w:rPr>
          <w:rFonts w:ascii="Arial" w:hAnsi="Arial" w:cs="Arial"/>
          <w:sz w:val="24"/>
          <w:szCs w:val="24"/>
        </w:rPr>
        <w:t>5</w:t>
      </w:r>
      <w:r>
        <w:rPr>
          <w:rFonts w:ascii="Arial" w:hAnsi="Arial" w:cs="Arial"/>
          <w:sz w:val="24"/>
          <w:szCs w:val="24"/>
        </w:rPr>
        <w:tab/>
      </w:r>
      <w:r w:rsidRPr="00C57CE0">
        <w:rPr>
          <w:rFonts w:ascii="Arial" w:hAnsi="Arial" w:cs="Arial"/>
          <w:sz w:val="24"/>
          <w:szCs w:val="24"/>
        </w:rPr>
        <w:t>Kesse and Barrish registered claims with the CCMA</w:t>
      </w:r>
      <w:r>
        <w:rPr>
          <w:rFonts w:ascii="Arial" w:hAnsi="Arial" w:cs="Arial"/>
          <w:sz w:val="24"/>
          <w:szCs w:val="24"/>
        </w:rPr>
        <w:t>.</w:t>
      </w:r>
      <w:r w:rsidRPr="00C57CE0">
        <w:rPr>
          <w:rFonts w:ascii="Arial" w:hAnsi="Arial" w:cs="Arial"/>
          <w:sz w:val="24"/>
          <w:szCs w:val="24"/>
        </w:rPr>
        <w:t xml:space="preserve"> </w:t>
      </w:r>
    </w:p>
    <w:p w14:paraId="126A287F" w14:textId="7BDF5E3F" w:rsidR="001A39F0" w:rsidRDefault="001A39F0" w:rsidP="00140065">
      <w:pPr>
        <w:spacing w:after="0" w:line="480" w:lineRule="auto"/>
        <w:ind w:left="1440" w:hanging="720"/>
        <w:jc w:val="both"/>
        <w:rPr>
          <w:rFonts w:ascii="Arial" w:hAnsi="Arial" w:cs="Arial"/>
          <w:sz w:val="24"/>
          <w:szCs w:val="24"/>
        </w:rPr>
      </w:pPr>
      <w:r>
        <w:rPr>
          <w:rFonts w:ascii="Arial" w:hAnsi="Arial" w:cs="Arial"/>
          <w:sz w:val="24"/>
          <w:szCs w:val="24"/>
        </w:rPr>
        <w:lastRenderedPageBreak/>
        <w:t>1</w:t>
      </w:r>
      <w:r w:rsidR="00C82F04">
        <w:rPr>
          <w:rFonts w:ascii="Arial" w:hAnsi="Arial" w:cs="Arial"/>
          <w:sz w:val="24"/>
          <w:szCs w:val="24"/>
        </w:rPr>
        <w:t>1</w:t>
      </w:r>
      <w:r>
        <w:rPr>
          <w:rFonts w:ascii="Arial" w:hAnsi="Arial" w:cs="Arial"/>
          <w:sz w:val="24"/>
          <w:szCs w:val="24"/>
        </w:rPr>
        <w:t>.</w:t>
      </w:r>
      <w:r w:rsidR="00BD668E">
        <w:rPr>
          <w:rFonts w:ascii="Arial" w:hAnsi="Arial" w:cs="Arial"/>
          <w:sz w:val="24"/>
          <w:szCs w:val="24"/>
        </w:rPr>
        <w:t>6</w:t>
      </w:r>
      <w:r>
        <w:rPr>
          <w:rFonts w:ascii="Arial" w:hAnsi="Arial" w:cs="Arial"/>
          <w:sz w:val="24"/>
          <w:szCs w:val="24"/>
        </w:rPr>
        <w:tab/>
        <w:t>T</w:t>
      </w:r>
      <w:r w:rsidRPr="00C57CE0">
        <w:rPr>
          <w:rFonts w:ascii="Arial" w:hAnsi="Arial" w:cs="Arial"/>
          <w:sz w:val="24"/>
          <w:szCs w:val="24"/>
        </w:rPr>
        <w:t xml:space="preserve">he plaintiff settled the claims submitted to the CCMA by Kesse and Barrish for R160 000 </w:t>
      </w:r>
      <w:r>
        <w:rPr>
          <w:rFonts w:ascii="Arial" w:hAnsi="Arial" w:cs="Arial"/>
          <w:sz w:val="24"/>
          <w:szCs w:val="24"/>
        </w:rPr>
        <w:t>an</w:t>
      </w:r>
      <w:r w:rsidRPr="00C57CE0">
        <w:rPr>
          <w:rFonts w:ascii="Arial" w:hAnsi="Arial" w:cs="Arial"/>
          <w:sz w:val="24"/>
          <w:szCs w:val="24"/>
        </w:rPr>
        <w:t>d R164 010 respective</w:t>
      </w:r>
      <w:r w:rsidR="007423E0">
        <w:rPr>
          <w:rFonts w:ascii="Arial" w:hAnsi="Arial" w:cs="Arial"/>
          <w:sz w:val="24"/>
          <w:szCs w:val="24"/>
        </w:rPr>
        <w:t>ly, the sum total of R324 010</w:t>
      </w:r>
      <w:r w:rsidRPr="00C57CE0">
        <w:rPr>
          <w:rFonts w:ascii="Arial" w:hAnsi="Arial" w:cs="Arial"/>
          <w:sz w:val="24"/>
          <w:szCs w:val="24"/>
        </w:rPr>
        <w:t xml:space="preserve"> being the amount claimed by the plaintiff from the defendant.</w:t>
      </w:r>
    </w:p>
    <w:p w14:paraId="20D4B315" w14:textId="77777777" w:rsidR="00140065" w:rsidRDefault="00140065" w:rsidP="00140065">
      <w:pPr>
        <w:spacing w:after="0" w:line="480" w:lineRule="auto"/>
        <w:jc w:val="both"/>
        <w:rPr>
          <w:rFonts w:ascii="Arial" w:hAnsi="Arial" w:cs="Arial"/>
          <w:sz w:val="24"/>
          <w:szCs w:val="24"/>
          <w:u w:val="single"/>
        </w:rPr>
      </w:pPr>
    </w:p>
    <w:p w14:paraId="32A398DC" w14:textId="0171F237" w:rsidR="002B5381" w:rsidRPr="00C57CE0" w:rsidRDefault="002B5381" w:rsidP="00140065">
      <w:pPr>
        <w:spacing w:after="0" w:line="480" w:lineRule="auto"/>
        <w:jc w:val="both"/>
        <w:rPr>
          <w:rFonts w:ascii="Arial" w:hAnsi="Arial" w:cs="Arial"/>
          <w:sz w:val="24"/>
          <w:szCs w:val="24"/>
          <w:u w:val="single"/>
        </w:rPr>
      </w:pPr>
      <w:r w:rsidRPr="00C57CE0">
        <w:rPr>
          <w:rFonts w:ascii="Arial" w:hAnsi="Arial" w:cs="Arial"/>
          <w:sz w:val="24"/>
          <w:szCs w:val="24"/>
          <w:u w:val="single"/>
        </w:rPr>
        <w:t>The legal pos</w:t>
      </w:r>
      <w:r w:rsidR="00140065">
        <w:rPr>
          <w:rFonts w:ascii="Arial" w:hAnsi="Arial" w:cs="Arial"/>
          <w:sz w:val="24"/>
          <w:szCs w:val="24"/>
          <w:u w:val="single"/>
        </w:rPr>
        <w:t>ition</w:t>
      </w:r>
    </w:p>
    <w:p w14:paraId="47DCD14E" w14:textId="0EDECC66" w:rsidR="00CE1DD3" w:rsidRDefault="00CE1DD3" w:rsidP="00140065">
      <w:pPr>
        <w:spacing w:after="0" w:line="480" w:lineRule="auto"/>
        <w:jc w:val="both"/>
        <w:rPr>
          <w:rFonts w:ascii="Arial" w:hAnsi="Arial" w:cs="Arial"/>
          <w:sz w:val="24"/>
          <w:szCs w:val="24"/>
        </w:rPr>
      </w:pPr>
      <w:r>
        <w:rPr>
          <w:rFonts w:ascii="Arial" w:hAnsi="Arial" w:cs="Arial"/>
          <w:sz w:val="24"/>
          <w:szCs w:val="24"/>
        </w:rPr>
        <w:t>[1</w:t>
      </w:r>
      <w:r w:rsidR="00C82F04">
        <w:rPr>
          <w:rFonts w:ascii="Arial" w:hAnsi="Arial" w:cs="Arial"/>
          <w:sz w:val="24"/>
          <w:szCs w:val="24"/>
        </w:rPr>
        <w:t>2</w:t>
      </w:r>
      <w:r>
        <w:rPr>
          <w:rFonts w:ascii="Arial" w:hAnsi="Arial" w:cs="Arial"/>
          <w:sz w:val="24"/>
          <w:szCs w:val="24"/>
        </w:rPr>
        <w:t>]</w:t>
      </w:r>
      <w:r>
        <w:rPr>
          <w:rFonts w:ascii="Arial" w:hAnsi="Arial" w:cs="Arial"/>
          <w:sz w:val="24"/>
          <w:szCs w:val="24"/>
        </w:rPr>
        <w:tab/>
        <w:t>The plaintiff claimed specific performance of clause 9.2 of the contract of sale. As the contract places no reciprocal duty on the plaintiff in terms of the indemnity clause, the plaintiff needed to prove the contract, its terms and non-performance by the defendant in order to succeed with it</w:t>
      </w:r>
      <w:r w:rsidR="009F0E10">
        <w:rPr>
          <w:rFonts w:ascii="Arial" w:hAnsi="Arial" w:cs="Arial"/>
          <w:sz w:val="24"/>
          <w:szCs w:val="24"/>
        </w:rPr>
        <w:t xml:space="preserve">s </w:t>
      </w:r>
      <w:r>
        <w:rPr>
          <w:rFonts w:ascii="Arial" w:hAnsi="Arial" w:cs="Arial"/>
          <w:sz w:val="24"/>
          <w:szCs w:val="24"/>
        </w:rPr>
        <w:t>claim.</w:t>
      </w:r>
      <w:r>
        <w:rPr>
          <w:rStyle w:val="FootnoteReference"/>
          <w:rFonts w:ascii="Arial" w:hAnsi="Arial" w:cs="Arial"/>
          <w:sz w:val="24"/>
          <w:szCs w:val="24"/>
        </w:rPr>
        <w:footnoteReference w:id="5"/>
      </w:r>
      <w:r>
        <w:rPr>
          <w:rFonts w:ascii="Arial" w:hAnsi="Arial" w:cs="Arial"/>
          <w:sz w:val="24"/>
          <w:szCs w:val="24"/>
        </w:rPr>
        <w:t xml:space="preserve"> These elements were all common cause</w:t>
      </w:r>
      <w:r w:rsidR="007745DF">
        <w:rPr>
          <w:rFonts w:ascii="Arial" w:hAnsi="Arial" w:cs="Arial"/>
          <w:sz w:val="24"/>
          <w:szCs w:val="24"/>
        </w:rPr>
        <w:t xml:space="preserve">. </w:t>
      </w:r>
      <w:r w:rsidR="007857A9">
        <w:rPr>
          <w:rFonts w:ascii="Arial" w:hAnsi="Arial" w:cs="Arial"/>
          <w:sz w:val="24"/>
          <w:szCs w:val="24"/>
        </w:rPr>
        <w:t xml:space="preserve">The court </w:t>
      </w:r>
      <w:r w:rsidR="007857A9">
        <w:rPr>
          <w:rFonts w:ascii="Arial" w:hAnsi="Arial" w:cs="Arial"/>
          <w:i/>
          <w:iCs/>
          <w:sz w:val="24"/>
          <w:szCs w:val="24"/>
        </w:rPr>
        <w:t xml:space="preserve">a quo </w:t>
      </w:r>
      <w:r w:rsidR="007857A9">
        <w:rPr>
          <w:rFonts w:ascii="Arial" w:hAnsi="Arial" w:cs="Arial"/>
          <w:sz w:val="24"/>
          <w:szCs w:val="24"/>
        </w:rPr>
        <w:t xml:space="preserve">consequently had to decide whether </w:t>
      </w:r>
      <w:r>
        <w:rPr>
          <w:rFonts w:ascii="Arial" w:hAnsi="Arial" w:cs="Arial"/>
          <w:sz w:val="24"/>
          <w:szCs w:val="24"/>
        </w:rPr>
        <w:t xml:space="preserve">clause 9.1 </w:t>
      </w:r>
      <w:r w:rsidR="007857A9">
        <w:rPr>
          <w:rFonts w:ascii="Arial" w:hAnsi="Arial" w:cs="Arial"/>
          <w:sz w:val="24"/>
          <w:szCs w:val="24"/>
        </w:rPr>
        <w:t xml:space="preserve">or </w:t>
      </w:r>
      <w:r>
        <w:rPr>
          <w:rFonts w:ascii="Arial" w:hAnsi="Arial" w:cs="Arial"/>
          <w:sz w:val="24"/>
          <w:szCs w:val="24"/>
        </w:rPr>
        <w:t xml:space="preserve">9.2 </w:t>
      </w:r>
      <w:r w:rsidR="009F0E10">
        <w:rPr>
          <w:rFonts w:ascii="Arial" w:hAnsi="Arial" w:cs="Arial"/>
          <w:sz w:val="24"/>
          <w:szCs w:val="24"/>
        </w:rPr>
        <w:t>was applicable to the plaintiff’s claim. This is a question of interpretation.</w:t>
      </w:r>
    </w:p>
    <w:p w14:paraId="4A58D4E8" w14:textId="77777777" w:rsidR="00140065" w:rsidRDefault="00140065" w:rsidP="00140065">
      <w:pPr>
        <w:spacing w:after="0" w:line="480" w:lineRule="auto"/>
        <w:jc w:val="both"/>
        <w:rPr>
          <w:rFonts w:ascii="Arial" w:hAnsi="Arial" w:cs="Arial"/>
          <w:sz w:val="24"/>
          <w:szCs w:val="24"/>
        </w:rPr>
      </w:pPr>
    </w:p>
    <w:p w14:paraId="40EAA537" w14:textId="22CA6A32" w:rsidR="00801B94" w:rsidRDefault="00CE1DD3" w:rsidP="00140065">
      <w:pPr>
        <w:spacing w:after="0" w:line="480" w:lineRule="auto"/>
        <w:jc w:val="both"/>
        <w:rPr>
          <w:rFonts w:ascii="Arial" w:hAnsi="Arial" w:cs="Arial"/>
          <w:sz w:val="24"/>
          <w:szCs w:val="24"/>
        </w:rPr>
      </w:pPr>
      <w:r>
        <w:rPr>
          <w:rFonts w:ascii="Arial" w:hAnsi="Arial" w:cs="Arial"/>
          <w:sz w:val="24"/>
          <w:szCs w:val="24"/>
        </w:rPr>
        <w:t>[1</w:t>
      </w:r>
      <w:r w:rsidR="00C82F04">
        <w:rPr>
          <w:rFonts w:ascii="Arial" w:hAnsi="Arial" w:cs="Arial"/>
          <w:sz w:val="24"/>
          <w:szCs w:val="24"/>
        </w:rPr>
        <w:t>3</w:t>
      </w:r>
      <w:r>
        <w:rPr>
          <w:rFonts w:ascii="Arial" w:hAnsi="Arial" w:cs="Arial"/>
          <w:sz w:val="24"/>
          <w:szCs w:val="24"/>
        </w:rPr>
        <w:t>]</w:t>
      </w:r>
      <w:r>
        <w:rPr>
          <w:rFonts w:ascii="Arial" w:hAnsi="Arial" w:cs="Arial"/>
          <w:sz w:val="24"/>
          <w:szCs w:val="24"/>
        </w:rPr>
        <w:tab/>
      </w:r>
      <w:r w:rsidR="007857A9">
        <w:rPr>
          <w:rFonts w:ascii="Arial" w:hAnsi="Arial" w:cs="Arial"/>
          <w:sz w:val="24"/>
          <w:szCs w:val="24"/>
        </w:rPr>
        <w:t>The contextual approach to contractual interpretation is now mostly settled and “</w:t>
      </w:r>
      <w:r w:rsidR="00801B94" w:rsidRPr="00C57CE0">
        <w:rPr>
          <w:rFonts w:ascii="Arial" w:hAnsi="Arial" w:cs="Arial"/>
          <w:i/>
          <w:sz w:val="24"/>
          <w:szCs w:val="24"/>
        </w:rPr>
        <w:t xml:space="preserve">(the) inevitable point of departure </w:t>
      </w:r>
      <w:r w:rsidR="00801B94" w:rsidRPr="00C57CE0">
        <w:rPr>
          <w:rFonts w:ascii="Arial" w:hAnsi="Arial" w:cs="Arial"/>
          <w:sz w:val="24"/>
          <w:szCs w:val="24"/>
        </w:rPr>
        <w:t xml:space="preserve">(in interpreting a contract) </w:t>
      </w:r>
      <w:r w:rsidR="00801B94" w:rsidRPr="00C57CE0">
        <w:rPr>
          <w:rFonts w:ascii="Arial" w:hAnsi="Arial" w:cs="Arial"/>
          <w:i/>
          <w:sz w:val="24"/>
          <w:szCs w:val="24"/>
        </w:rPr>
        <w:t xml:space="preserve">is the language of the provision itself” </w:t>
      </w:r>
      <w:r w:rsidR="00801B94" w:rsidRPr="00C57CE0">
        <w:rPr>
          <w:rFonts w:ascii="Arial" w:hAnsi="Arial" w:cs="Arial"/>
          <w:sz w:val="24"/>
          <w:szCs w:val="24"/>
        </w:rPr>
        <w:t xml:space="preserve">as it was </w:t>
      </w:r>
      <w:r>
        <w:rPr>
          <w:rFonts w:ascii="Arial" w:hAnsi="Arial" w:cs="Arial"/>
          <w:sz w:val="24"/>
          <w:szCs w:val="24"/>
        </w:rPr>
        <w:t xml:space="preserve">explained </w:t>
      </w:r>
      <w:r w:rsidR="00801B94" w:rsidRPr="00C57CE0">
        <w:rPr>
          <w:rFonts w:ascii="Arial" w:hAnsi="Arial" w:cs="Arial"/>
          <w:sz w:val="24"/>
          <w:szCs w:val="24"/>
        </w:rPr>
        <w:t xml:space="preserve">by the SCA in </w:t>
      </w:r>
      <w:r w:rsidR="00801B94" w:rsidRPr="007423E0">
        <w:rPr>
          <w:rFonts w:ascii="Arial" w:hAnsi="Arial" w:cs="Arial"/>
          <w:sz w:val="24"/>
          <w:szCs w:val="24"/>
          <w:u w:val="single"/>
        </w:rPr>
        <w:t>Natal Joint Municipal Pension Fund v Endumeni Municipality</w:t>
      </w:r>
      <w:r w:rsidRPr="007423E0">
        <w:rPr>
          <w:rFonts w:ascii="Arial" w:hAnsi="Arial" w:cs="Arial"/>
          <w:sz w:val="24"/>
          <w:szCs w:val="24"/>
          <w:u w:val="single"/>
        </w:rPr>
        <w:t>.</w:t>
      </w:r>
      <w:r w:rsidR="003C7E7D" w:rsidRPr="00B366C4">
        <w:rPr>
          <w:rStyle w:val="FootnoteReference"/>
          <w:rFonts w:ascii="Arial" w:hAnsi="Arial" w:cs="Arial"/>
          <w:sz w:val="24"/>
          <w:szCs w:val="24"/>
        </w:rPr>
        <w:footnoteReference w:id="6"/>
      </w:r>
    </w:p>
    <w:p w14:paraId="36F08C0B" w14:textId="77777777" w:rsidR="00140065" w:rsidRDefault="00140065" w:rsidP="00140065">
      <w:pPr>
        <w:spacing w:after="0" w:line="480" w:lineRule="auto"/>
        <w:jc w:val="both"/>
        <w:rPr>
          <w:rFonts w:ascii="Arial" w:hAnsi="Arial" w:cs="Arial"/>
          <w:sz w:val="24"/>
          <w:szCs w:val="24"/>
        </w:rPr>
      </w:pPr>
    </w:p>
    <w:p w14:paraId="415BDC64" w14:textId="77777777" w:rsidR="00140065" w:rsidRDefault="00140065" w:rsidP="00140065">
      <w:pPr>
        <w:spacing w:after="0" w:line="480" w:lineRule="auto"/>
        <w:jc w:val="both"/>
        <w:rPr>
          <w:rFonts w:ascii="Arial" w:hAnsi="Arial" w:cs="Arial"/>
          <w:sz w:val="24"/>
          <w:szCs w:val="24"/>
        </w:rPr>
      </w:pPr>
    </w:p>
    <w:p w14:paraId="30558D20" w14:textId="1E0BAF96" w:rsidR="003C7E7D" w:rsidRPr="00C57CE0" w:rsidRDefault="00CE1DD3" w:rsidP="00140065">
      <w:pPr>
        <w:spacing w:after="0" w:line="480" w:lineRule="auto"/>
        <w:jc w:val="both"/>
        <w:rPr>
          <w:rFonts w:ascii="Arial" w:hAnsi="Arial" w:cs="Arial"/>
          <w:sz w:val="24"/>
          <w:szCs w:val="24"/>
        </w:rPr>
      </w:pPr>
      <w:r>
        <w:rPr>
          <w:rFonts w:ascii="Arial" w:hAnsi="Arial" w:cs="Arial"/>
          <w:sz w:val="24"/>
          <w:szCs w:val="24"/>
        </w:rPr>
        <w:t>[1</w:t>
      </w:r>
      <w:r w:rsidR="00C82F04">
        <w:rPr>
          <w:rFonts w:ascii="Arial" w:hAnsi="Arial" w:cs="Arial"/>
          <w:sz w:val="24"/>
          <w:szCs w:val="24"/>
        </w:rPr>
        <w:t>4</w:t>
      </w:r>
      <w:r>
        <w:rPr>
          <w:rFonts w:ascii="Arial" w:hAnsi="Arial" w:cs="Arial"/>
          <w:sz w:val="24"/>
          <w:szCs w:val="24"/>
        </w:rPr>
        <w:t>]</w:t>
      </w:r>
      <w:r>
        <w:rPr>
          <w:rFonts w:ascii="Arial" w:hAnsi="Arial" w:cs="Arial"/>
          <w:sz w:val="24"/>
          <w:szCs w:val="24"/>
        </w:rPr>
        <w:tab/>
      </w:r>
      <w:r w:rsidR="002B5381">
        <w:rPr>
          <w:rFonts w:ascii="Arial" w:hAnsi="Arial" w:cs="Arial"/>
          <w:sz w:val="24"/>
          <w:szCs w:val="24"/>
        </w:rPr>
        <w:t xml:space="preserve">Recently in the matter of </w:t>
      </w:r>
      <w:r w:rsidR="002B5381" w:rsidRPr="007423E0">
        <w:rPr>
          <w:rFonts w:ascii="Arial" w:hAnsi="Arial" w:cs="Arial"/>
          <w:sz w:val="24"/>
          <w:szCs w:val="24"/>
          <w:u w:val="single"/>
        </w:rPr>
        <w:t>Z v Z</w:t>
      </w:r>
      <w:r w:rsidR="002B5381">
        <w:rPr>
          <w:rStyle w:val="FootnoteReference"/>
          <w:rFonts w:ascii="Arial" w:hAnsi="Arial" w:cs="Arial"/>
          <w:sz w:val="24"/>
          <w:szCs w:val="24"/>
        </w:rPr>
        <w:footnoteReference w:id="7"/>
      </w:r>
      <w:r w:rsidR="002B5381">
        <w:rPr>
          <w:rFonts w:ascii="Arial" w:hAnsi="Arial" w:cs="Arial"/>
          <w:sz w:val="24"/>
          <w:szCs w:val="24"/>
        </w:rPr>
        <w:t xml:space="preserve"> the SCA, albeit in the context of the interpretation of statutes, reiterated that words must be given their ordinary grammatical meaning, unless to do so would result in absurdity.  </w:t>
      </w:r>
    </w:p>
    <w:p w14:paraId="17D63CFF" w14:textId="77777777" w:rsidR="00140065" w:rsidRDefault="00140065" w:rsidP="00140065">
      <w:pPr>
        <w:spacing w:after="0" w:line="480" w:lineRule="auto"/>
        <w:jc w:val="both"/>
        <w:rPr>
          <w:rFonts w:ascii="Arial" w:hAnsi="Arial" w:cs="Arial"/>
          <w:sz w:val="24"/>
          <w:szCs w:val="24"/>
        </w:rPr>
      </w:pPr>
    </w:p>
    <w:p w14:paraId="44F6F318" w14:textId="1E149CF6" w:rsidR="007857A9" w:rsidRDefault="003C7E7D" w:rsidP="00140065">
      <w:pPr>
        <w:spacing w:after="0" w:line="480" w:lineRule="auto"/>
        <w:jc w:val="both"/>
        <w:rPr>
          <w:rFonts w:ascii="Arial" w:hAnsi="Arial" w:cs="Arial"/>
          <w:bCs/>
          <w:sz w:val="24"/>
          <w:szCs w:val="24"/>
        </w:rPr>
      </w:pPr>
      <w:r w:rsidRPr="00C57CE0">
        <w:rPr>
          <w:rFonts w:ascii="Arial" w:hAnsi="Arial" w:cs="Arial"/>
          <w:sz w:val="24"/>
          <w:szCs w:val="24"/>
        </w:rPr>
        <w:t>[1</w:t>
      </w:r>
      <w:r w:rsidR="00C82F04">
        <w:rPr>
          <w:rFonts w:ascii="Arial" w:hAnsi="Arial" w:cs="Arial"/>
          <w:sz w:val="24"/>
          <w:szCs w:val="24"/>
        </w:rPr>
        <w:t>5</w:t>
      </w:r>
      <w:r w:rsidRPr="00C57CE0">
        <w:rPr>
          <w:rFonts w:ascii="Arial" w:hAnsi="Arial" w:cs="Arial"/>
          <w:sz w:val="24"/>
          <w:szCs w:val="24"/>
        </w:rPr>
        <w:t>]</w:t>
      </w:r>
      <w:r w:rsidRPr="00C57CE0">
        <w:rPr>
          <w:rFonts w:ascii="Arial" w:hAnsi="Arial" w:cs="Arial"/>
          <w:sz w:val="24"/>
          <w:szCs w:val="24"/>
        </w:rPr>
        <w:tab/>
      </w:r>
      <w:r w:rsidR="0077350E">
        <w:rPr>
          <w:rFonts w:ascii="Arial" w:hAnsi="Arial" w:cs="Arial"/>
          <w:sz w:val="24"/>
          <w:szCs w:val="24"/>
        </w:rPr>
        <w:t>I</w:t>
      </w:r>
      <w:r w:rsidRPr="00C57CE0">
        <w:rPr>
          <w:rFonts w:ascii="Arial" w:hAnsi="Arial" w:cs="Arial"/>
          <w:sz w:val="24"/>
          <w:szCs w:val="24"/>
        </w:rPr>
        <w:t xml:space="preserve">n </w:t>
      </w:r>
      <w:r w:rsidR="0077350E">
        <w:rPr>
          <w:rFonts w:ascii="Arial" w:hAnsi="Arial" w:cs="Arial"/>
          <w:sz w:val="24"/>
          <w:szCs w:val="24"/>
        </w:rPr>
        <w:t xml:space="preserve">the matter of </w:t>
      </w:r>
      <w:r w:rsidRPr="007423E0">
        <w:rPr>
          <w:rFonts w:ascii="Arial" w:hAnsi="Arial" w:cs="Arial"/>
          <w:bCs/>
          <w:sz w:val="24"/>
          <w:szCs w:val="24"/>
          <w:u w:val="single"/>
        </w:rPr>
        <w:t>Tshwane City v Blair Atholl Homeowners Association</w:t>
      </w:r>
      <w:r w:rsidRPr="00CE1DD3">
        <w:rPr>
          <w:rStyle w:val="FootnoteReference"/>
          <w:rFonts w:ascii="Arial" w:hAnsi="Arial" w:cs="Arial"/>
          <w:bCs/>
          <w:sz w:val="24"/>
          <w:szCs w:val="24"/>
        </w:rPr>
        <w:footnoteReference w:id="8"/>
      </w:r>
      <w:r w:rsidR="0077350E" w:rsidRPr="00CE1DD3">
        <w:rPr>
          <w:rFonts w:ascii="Arial" w:hAnsi="Arial" w:cs="Arial"/>
          <w:bCs/>
          <w:sz w:val="24"/>
          <w:szCs w:val="24"/>
        </w:rPr>
        <w:t xml:space="preserve"> the SCA explained that the</w:t>
      </w:r>
      <w:r w:rsidR="0077350E">
        <w:rPr>
          <w:rFonts w:ascii="Arial" w:hAnsi="Arial" w:cs="Arial"/>
          <w:bCs/>
          <w:sz w:val="24"/>
          <w:szCs w:val="24"/>
        </w:rPr>
        <w:t xml:space="preserve"> court has moved away from a narrow peering at words in an agreement and has stated on numerous occasions that words in a document must not be considered in isolation. Restrictive consideration of words without regard to context should therefor</w:t>
      </w:r>
      <w:r w:rsidR="00524812">
        <w:rPr>
          <w:rFonts w:ascii="Arial" w:hAnsi="Arial" w:cs="Arial"/>
          <w:bCs/>
          <w:sz w:val="24"/>
          <w:szCs w:val="24"/>
        </w:rPr>
        <w:t>e</w:t>
      </w:r>
      <w:r w:rsidR="0077350E">
        <w:rPr>
          <w:rFonts w:ascii="Arial" w:hAnsi="Arial" w:cs="Arial"/>
          <w:bCs/>
          <w:sz w:val="24"/>
          <w:szCs w:val="24"/>
        </w:rPr>
        <w:t xml:space="preserve"> be avoided. </w:t>
      </w:r>
      <w:r w:rsidR="00E56A90">
        <w:rPr>
          <w:rFonts w:ascii="Arial" w:hAnsi="Arial" w:cs="Arial"/>
          <w:bCs/>
          <w:sz w:val="24"/>
          <w:szCs w:val="24"/>
        </w:rPr>
        <w:t xml:space="preserve">It was </w:t>
      </w:r>
      <w:r w:rsidR="0077350E">
        <w:rPr>
          <w:rFonts w:ascii="Arial" w:hAnsi="Arial" w:cs="Arial"/>
          <w:bCs/>
          <w:sz w:val="24"/>
          <w:szCs w:val="24"/>
        </w:rPr>
        <w:t xml:space="preserve">consequently held that the “distinction between context and background circumstances has been jettisoned with reference to the matter of </w:t>
      </w:r>
      <w:r w:rsidR="0077350E" w:rsidRPr="007423E0">
        <w:rPr>
          <w:rFonts w:ascii="Arial" w:hAnsi="Arial" w:cs="Arial"/>
          <w:bCs/>
          <w:sz w:val="24"/>
          <w:szCs w:val="24"/>
          <w:u w:val="single"/>
        </w:rPr>
        <w:t>KPMG Chartered Accountants (SA) v Securefin Ltd and Another</w:t>
      </w:r>
      <w:r w:rsidR="0077350E">
        <w:rPr>
          <w:rFonts w:ascii="Arial" w:hAnsi="Arial" w:cs="Arial"/>
          <w:bCs/>
          <w:sz w:val="24"/>
          <w:szCs w:val="24"/>
        </w:rPr>
        <w:t xml:space="preserve"> 2009 (4) SA 399 (SCA) </w:t>
      </w:r>
      <w:r w:rsidR="007155B1">
        <w:rPr>
          <w:rFonts w:ascii="Arial" w:hAnsi="Arial" w:cs="Arial"/>
          <w:bCs/>
          <w:sz w:val="24"/>
          <w:szCs w:val="24"/>
        </w:rPr>
        <w:t>at 409I -410A.</w:t>
      </w:r>
      <w:r w:rsidR="00E56A90">
        <w:rPr>
          <w:rFonts w:ascii="Arial" w:hAnsi="Arial" w:cs="Arial"/>
          <w:bCs/>
          <w:sz w:val="24"/>
          <w:szCs w:val="24"/>
        </w:rPr>
        <w:t xml:space="preserve"> </w:t>
      </w:r>
    </w:p>
    <w:p w14:paraId="718260D9" w14:textId="77777777" w:rsidR="00140065" w:rsidRDefault="00140065" w:rsidP="00140065">
      <w:pPr>
        <w:spacing w:after="0" w:line="480" w:lineRule="auto"/>
        <w:jc w:val="both"/>
        <w:rPr>
          <w:rFonts w:ascii="Arial" w:hAnsi="Arial" w:cs="Arial"/>
          <w:bCs/>
          <w:sz w:val="24"/>
          <w:szCs w:val="24"/>
        </w:rPr>
      </w:pPr>
    </w:p>
    <w:p w14:paraId="5B05D289" w14:textId="67638F6E" w:rsidR="003C7E7D" w:rsidRPr="00E56A90" w:rsidRDefault="007857A9" w:rsidP="00140065">
      <w:pPr>
        <w:spacing w:after="0" w:line="480" w:lineRule="auto"/>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7155B1">
        <w:rPr>
          <w:rFonts w:ascii="Arial" w:hAnsi="Arial" w:cs="Arial"/>
          <w:bCs/>
          <w:sz w:val="24"/>
          <w:szCs w:val="24"/>
        </w:rPr>
        <w:t xml:space="preserve">The Court further noted that </w:t>
      </w:r>
      <w:r w:rsidR="003C7E7D" w:rsidRPr="00C57CE0">
        <w:rPr>
          <w:rFonts w:ascii="Arial" w:hAnsi="Arial" w:cs="Arial"/>
          <w:i/>
        </w:rPr>
        <w:t xml:space="preserve">“Since this court’s decision in Endumeni, we are seeing a spate of cases in which evidence is allowed to be led in trial courts beyond the ambit of what is set out in the preceding paragraph. We are increasingly seeing witnesses testify about the meaning to be attributed </w:t>
      </w:r>
      <w:r w:rsidR="0077350E">
        <w:rPr>
          <w:rFonts w:ascii="Arial" w:hAnsi="Arial" w:cs="Arial"/>
          <w:i/>
        </w:rPr>
        <w:t>to</w:t>
      </w:r>
      <w:r w:rsidR="003C7E7D" w:rsidRPr="00C57CE0">
        <w:rPr>
          <w:rFonts w:ascii="Arial" w:hAnsi="Arial" w:cs="Arial"/>
          <w:i/>
        </w:rPr>
        <w:t xml:space="preserve"> words in legislation and in written agreements. That is true of the present case in which, </w:t>
      </w:r>
      <w:r w:rsidR="003C7E7D" w:rsidRPr="007155B1">
        <w:rPr>
          <w:rFonts w:ascii="Arial" w:hAnsi="Arial" w:cs="Arial"/>
          <w:i/>
        </w:rPr>
        <w:t>in addition, evidence was le</w:t>
      </w:r>
      <w:r w:rsidR="007423E0">
        <w:rPr>
          <w:rFonts w:ascii="Arial" w:hAnsi="Arial" w:cs="Arial"/>
          <w:i/>
        </w:rPr>
        <w:t>d</w:t>
      </w:r>
      <w:r w:rsidR="003C7E7D" w:rsidRPr="007155B1">
        <w:rPr>
          <w:rFonts w:ascii="Arial" w:hAnsi="Arial" w:cs="Arial"/>
          <w:i/>
        </w:rPr>
        <w:t xml:space="preserve"> about negotiations leading up to the conclusion of the ESA.”</w:t>
      </w:r>
    </w:p>
    <w:p w14:paraId="739FCFA8" w14:textId="77777777" w:rsidR="00140065" w:rsidRDefault="00140065" w:rsidP="00140065">
      <w:pPr>
        <w:spacing w:after="0" w:line="480" w:lineRule="auto"/>
        <w:jc w:val="both"/>
        <w:rPr>
          <w:rFonts w:ascii="Arial" w:hAnsi="Arial" w:cs="Arial"/>
          <w:sz w:val="24"/>
          <w:szCs w:val="24"/>
        </w:rPr>
      </w:pPr>
    </w:p>
    <w:p w14:paraId="293E6BA8" w14:textId="77777777" w:rsidR="00140065" w:rsidRDefault="00140065" w:rsidP="00140065">
      <w:pPr>
        <w:spacing w:after="0" w:line="480" w:lineRule="auto"/>
        <w:jc w:val="both"/>
        <w:rPr>
          <w:rFonts w:ascii="Arial" w:hAnsi="Arial" w:cs="Arial"/>
          <w:sz w:val="24"/>
          <w:szCs w:val="24"/>
        </w:rPr>
      </w:pPr>
    </w:p>
    <w:p w14:paraId="5DB360EB" w14:textId="0B8FDDD8" w:rsidR="003C7E7D" w:rsidRPr="00C57CE0" w:rsidRDefault="003C7E7D" w:rsidP="00140065">
      <w:pPr>
        <w:spacing w:after="0" w:line="480" w:lineRule="auto"/>
        <w:jc w:val="both"/>
        <w:rPr>
          <w:rFonts w:ascii="Arial" w:hAnsi="Arial" w:cs="Arial"/>
          <w:sz w:val="24"/>
          <w:szCs w:val="24"/>
        </w:rPr>
      </w:pPr>
      <w:r w:rsidRPr="00C57CE0">
        <w:rPr>
          <w:rFonts w:ascii="Arial" w:hAnsi="Arial" w:cs="Arial"/>
          <w:sz w:val="24"/>
          <w:szCs w:val="24"/>
        </w:rPr>
        <w:lastRenderedPageBreak/>
        <w:t>[1</w:t>
      </w:r>
      <w:r w:rsidR="00C82F04">
        <w:rPr>
          <w:rFonts w:ascii="Arial" w:hAnsi="Arial" w:cs="Arial"/>
          <w:sz w:val="24"/>
          <w:szCs w:val="24"/>
        </w:rPr>
        <w:t>6</w:t>
      </w:r>
      <w:r w:rsidRPr="00C57CE0">
        <w:rPr>
          <w:rFonts w:ascii="Arial" w:hAnsi="Arial" w:cs="Arial"/>
          <w:sz w:val="24"/>
          <w:szCs w:val="24"/>
        </w:rPr>
        <w:t>]</w:t>
      </w:r>
      <w:r w:rsidRPr="00C57CE0">
        <w:rPr>
          <w:rFonts w:ascii="Arial" w:hAnsi="Arial" w:cs="Arial"/>
          <w:sz w:val="24"/>
          <w:szCs w:val="24"/>
        </w:rPr>
        <w:tab/>
      </w:r>
      <w:r w:rsidR="007155B1">
        <w:rPr>
          <w:rFonts w:ascii="Arial" w:hAnsi="Arial" w:cs="Arial"/>
          <w:sz w:val="24"/>
          <w:szCs w:val="24"/>
        </w:rPr>
        <w:t xml:space="preserve">Recently and in the </w:t>
      </w:r>
      <w:r w:rsidRPr="00C57CE0">
        <w:rPr>
          <w:rFonts w:ascii="Arial" w:hAnsi="Arial" w:cs="Arial"/>
          <w:sz w:val="24"/>
          <w:szCs w:val="24"/>
        </w:rPr>
        <w:t xml:space="preserve">matter of </w:t>
      </w:r>
      <w:r w:rsidRPr="007423E0">
        <w:rPr>
          <w:rFonts w:ascii="Arial" w:hAnsi="Arial" w:cs="Arial"/>
          <w:bCs/>
          <w:sz w:val="24"/>
          <w:szCs w:val="24"/>
          <w:u w:val="single"/>
        </w:rPr>
        <w:t>Capitec Holdings Limited v Coral Lagoon Investments 194</w:t>
      </w:r>
      <w:r w:rsidRPr="007423E0">
        <w:rPr>
          <w:rStyle w:val="FootnoteReference"/>
          <w:rFonts w:ascii="Arial" w:hAnsi="Arial" w:cs="Arial"/>
          <w:bCs/>
          <w:sz w:val="24"/>
          <w:szCs w:val="24"/>
        </w:rPr>
        <w:footnoteReference w:id="9"/>
      </w:r>
      <w:r w:rsidR="007423E0" w:rsidRPr="007423E0">
        <w:rPr>
          <w:rFonts w:ascii="Arial" w:hAnsi="Arial" w:cs="Arial"/>
          <w:bCs/>
          <w:sz w:val="24"/>
          <w:szCs w:val="24"/>
        </w:rPr>
        <w:t>,</w:t>
      </w:r>
      <w:r w:rsidR="007423E0">
        <w:rPr>
          <w:rFonts w:ascii="Arial" w:hAnsi="Arial" w:cs="Arial"/>
          <w:bCs/>
          <w:sz w:val="24"/>
          <w:szCs w:val="24"/>
        </w:rPr>
        <w:t xml:space="preserve"> </w:t>
      </w:r>
      <w:r w:rsidR="007155B1" w:rsidRPr="00E56A90">
        <w:rPr>
          <w:rFonts w:ascii="Arial" w:hAnsi="Arial" w:cs="Arial"/>
          <w:bCs/>
          <w:sz w:val="24"/>
          <w:szCs w:val="24"/>
        </w:rPr>
        <w:t xml:space="preserve">the SCA again </w:t>
      </w:r>
      <w:r w:rsidRPr="00E56A90">
        <w:rPr>
          <w:rFonts w:ascii="Arial" w:hAnsi="Arial" w:cs="Arial"/>
          <w:bCs/>
          <w:sz w:val="24"/>
          <w:szCs w:val="24"/>
        </w:rPr>
        <w:t>comm</w:t>
      </w:r>
      <w:r w:rsidRPr="00C57CE0">
        <w:rPr>
          <w:rFonts w:ascii="Arial" w:hAnsi="Arial" w:cs="Arial"/>
          <w:sz w:val="24"/>
          <w:szCs w:val="24"/>
        </w:rPr>
        <w:t>ented as follows</w:t>
      </w:r>
      <w:r w:rsidR="007155B1">
        <w:rPr>
          <w:rFonts w:ascii="Arial" w:hAnsi="Arial" w:cs="Arial"/>
          <w:sz w:val="24"/>
          <w:szCs w:val="24"/>
        </w:rPr>
        <w:t xml:space="preserve"> with regards to courts </w:t>
      </w:r>
      <w:r w:rsidR="008217F8">
        <w:rPr>
          <w:rFonts w:ascii="Arial" w:hAnsi="Arial" w:cs="Arial"/>
          <w:sz w:val="24"/>
          <w:szCs w:val="24"/>
        </w:rPr>
        <w:t xml:space="preserve">allowing evidence beyond the ambit of the approach set out in </w:t>
      </w:r>
      <w:r w:rsidR="008217F8" w:rsidRPr="007423E0">
        <w:rPr>
          <w:rFonts w:ascii="Arial" w:hAnsi="Arial" w:cs="Arial"/>
          <w:sz w:val="24"/>
          <w:szCs w:val="24"/>
          <w:u w:val="single"/>
        </w:rPr>
        <w:t>Endumeni</w:t>
      </w:r>
      <w:r w:rsidRPr="007423E0">
        <w:rPr>
          <w:rFonts w:ascii="Arial" w:hAnsi="Arial" w:cs="Arial"/>
          <w:sz w:val="24"/>
          <w:szCs w:val="24"/>
          <w:u w:val="single"/>
        </w:rPr>
        <w:t>:</w:t>
      </w:r>
    </w:p>
    <w:p w14:paraId="4599FE79" w14:textId="68CFBF4D" w:rsidR="003C7E7D" w:rsidRPr="00C57CE0" w:rsidRDefault="003C7E7D" w:rsidP="00140065">
      <w:pPr>
        <w:spacing w:after="0" w:line="480" w:lineRule="auto"/>
        <w:ind w:left="720"/>
        <w:jc w:val="both"/>
        <w:rPr>
          <w:rFonts w:ascii="Arial" w:hAnsi="Arial" w:cs="Arial"/>
          <w:i/>
        </w:rPr>
      </w:pPr>
      <w:r w:rsidRPr="00C57CE0">
        <w:rPr>
          <w:rFonts w:ascii="Arial" w:hAnsi="Arial" w:cs="Arial"/>
          <w:i/>
        </w:rPr>
        <w:t xml:space="preserve">“None of this would require repetition but for the fact that the judgment of the High Court failed to make its point of departure the relevant </w:t>
      </w:r>
      <w:r w:rsidR="001C4AB0" w:rsidRPr="00C57CE0">
        <w:rPr>
          <w:rFonts w:ascii="Arial" w:hAnsi="Arial" w:cs="Arial"/>
          <w:i/>
        </w:rPr>
        <w:t>provision</w:t>
      </w:r>
      <w:r w:rsidRPr="00C57CE0">
        <w:rPr>
          <w:rFonts w:ascii="Arial" w:hAnsi="Arial" w:cs="Arial"/>
          <w:i/>
        </w:rPr>
        <w:t xml:space="preserve"> of the subscription agreement. Endumeni is not a charter for judicial constructs premised upon what a </w:t>
      </w:r>
      <w:r w:rsidR="001C4AB0" w:rsidRPr="00C57CE0">
        <w:rPr>
          <w:rFonts w:ascii="Arial" w:hAnsi="Arial" w:cs="Arial"/>
          <w:i/>
        </w:rPr>
        <w:t>contract</w:t>
      </w:r>
      <w:r w:rsidRPr="00C57CE0">
        <w:rPr>
          <w:rFonts w:ascii="Arial" w:hAnsi="Arial" w:cs="Arial"/>
          <w:i/>
        </w:rPr>
        <w:t xml:space="preserve"> should be taken to mean from a vantage point that is not located in the text of what the </w:t>
      </w:r>
      <w:r w:rsidR="001C4AB0" w:rsidRPr="00C57CE0">
        <w:rPr>
          <w:rFonts w:ascii="Arial" w:hAnsi="Arial" w:cs="Arial"/>
          <w:i/>
        </w:rPr>
        <w:t>parties</w:t>
      </w:r>
      <w:r w:rsidRPr="00C57CE0">
        <w:rPr>
          <w:rFonts w:ascii="Arial" w:hAnsi="Arial" w:cs="Arial"/>
          <w:i/>
        </w:rPr>
        <w:t xml:space="preserve"> in fact agreed. Nor does Endumeni licence judicial </w:t>
      </w:r>
      <w:r w:rsidR="001C4AB0" w:rsidRPr="00C57CE0">
        <w:rPr>
          <w:rFonts w:ascii="Arial" w:hAnsi="Arial" w:cs="Arial"/>
          <w:i/>
        </w:rPr>
        <w:t>interpretation</w:t>
      </w:r>
      <w:r w:rsidRPr="00C57CE0">
        <w:rPr>
          <w:rFonts w:ascii="Arial" w:hAnsi="Arial" w:cs="Arial"/>
          <w:i/>
        </w:rPr>
        <w:t xml:space="preserve"> that </w:t>
      </w:r>
      <w:r w:rsidR="007857A9">
        <w:rPr>
          <w:rFonts w:ascii="Arial" w:hAnsi="Arial" w:cs="Arial"/>
          <w:i/>
        </w:rPr>
        <w:t>imports</w:t>
      </w:r>
      <w:r w:rsidRPr="00C57CE0">
        <w:rPr>
          <w:rFonts w:ascii="Arial" w:hAnsi="Arial" w:cs="Arial"/>
          <w:i/>
        </w:rPr>
        <w:t xml:space="preserve"> meaning </w:t>
      </w:r>
      <w:r w:rsidR="001C4AB0" w:rsidRPr="00C57CE0">
        <w:rPr>
          <w:rFonts w:ascii="Arial" w:hAnsi="Arial" w:cs="Arial"/>
          <w:i/>
        </w:rPr>
        <w:t>into</w:t>
      </w:r>
      <w:r w:rsidRPr="00C57CE0">
        <w:rPr>
          <w:rFonts w:ascii="Arial" w:hAnsi="Arial" w:cs="Arial"/>
          <w:i/>
        </w:rPr>
        <w:t xml:space="preserve"> a contract so as to make it a better contract, or one that is ethically preferable”</w:t>
      </w:r>
    </w:p>
    <w:p w14:paraId="1873F3DE" w14:textId="77777777" w:rsidR="00140065" w:rsidRDefault="00140065" w:rsidP="00140065">
      <w:pPr>
        <w:spacing w:after="0" w:line="480" w:lineRule="auto"/>
        <w:jc w:val="both"/>
        <w:rPr>
          <w:rFonts w:ascii="Arial" w:hAnsi="Arial" w:cs="Arial"/>
          <w:sz w:val="24"/>
          <w:szCs w:val="24"/>
        </w:rPr>
      </w:pPr>
    </w:p>
    <w:p w14:paraId="17D5C293" w14:textId="69D7D785" w:rsidR="00C4553F" w:rsidRDefault="003C7E7D" w:rsidP="00140065">
      <w:pPr>
        <w:spacing w:after="0" w:line="480" w:lineRule="auto"/>
        <w:jc w:val="both"/>
        <w:rPr>
          <w:rFonts w:ascii="Arial" w:hAnsi="Arial" w:cs="Arial"/>
          <w:sz w:val="24"/>
          <w:szCs w:val="24"/>
        </w:rPr>
      </w:pPr>
      <w:r w:rsidRPr="00C57CE0">
        <w:rPr>
          <w:rFonts w:ascii="Arial" w:hAnsi="Arial" w:cs="Arial"/>
          <w:sz w:val="24"/>
          <w:szCs w:val="24"/>
        </w:rPr>
        <w:t>[</w:t>
      </w:r>
      <w:r w:rsidR="00807BD5">
        <w:rPr>
          <w:rFonts w:ascii="Arial" w:hAnsi="Arial" w:cs="Arial"/>
          <w:sz w:val="24"/>
          <w:szCs w:val="24"/>
        </w:rPr>
        <w:t>1</w:t>
      </w:r>
      <w:r w:rsidR="00C82F04">
        <w:rPr>
          <w:rFonts w:ascii="Arial" w:hAnsi="Arial" w:cs="Arial"/>
          <w:sz w:val="24"/>
          <w:szCs w:val="24"/>
        </w:rPr>
        <w:t>7</w:t>
      </w:r>
      <w:r w:rsidRPr="00C57CE0">
        <w:rPr>
          <w:rFonts w:ascii="Arial" w:hAnsi="Arial" w:cs="Arial"/>
          <w:sz w:val="24"/>
          <w:szCs w:val="24"/>
        </w:rPr>
        <w:t>]</w:t>
      </w:r>
      <w:r w:rsidRPr="00C57CE0">
        <w:rPr>
          <w:rFonts w:ascii="Arial" w:hAnsi="Arial" w:cs="Arial"/>
          <w:sz w:val="24"/>
          <w:szCs w:val="24"/>
        </w:rPr>
        <w:tab/>
      </w:r>
      <w:r w:rsidR="008217F8">
        <w:rPr>
          <w:rFonts w:ascii="Arial" w:hAnsi="Arial" w:cs="Arial"/>
          <w:sz w:val="24"/>
          <w:szCs w:val="24"/>
        </w:rPr>
        <w:t xml:space="preserve"> In the matter of </w:t>
      </w:r>
      <w:r w:rsidR="008217F8" w:rsidRPr="007423E0">
        <w:rPr>
          <w:rFonts w:ascii="Arial" w:hAnsi="Arial" w:cs="Arial"/>
          <w:sz w:val="24"/>
          <w:szCs w:val="24"/>
          <w:u w:val="single"/>
        </w:rPr>
        <w:t>Choisy</w:t>
      </w:r>
      <w:r w:rsidR="009F0E10" w:rsidRPr="007423E0">
        <w:rPr>
          <w:rFonts w:ascii="Arial" w:hAnsi="Arial" w:cs="Arial"/>
          <w:sz w:val="24"/>
          <w:szCs w:val="24"/>
          <w:u w:val="single"/>
        </w:rPr>
        <w:t>-Le-Roi (Pty) Ltd v Municipality of Stellenbosch and Another</w:t>
      </w:r>
      <w:r w:rsidR="008217F8">
        <w:rPr>
          <w:rStyle w:val="FootnoteReference"/>
          <w:rFonts w:ascii="Arial" w:hAnsi="Arial" w:cs="Arial"/>
          <w:sz w:val="24"/>
          <w:szCs w:val="24"/>
        </w:rPr>
        <w:footnoteReference w:id="10"/>
      </w:r>
      <w:r w:rsidR="008217F8">
        <w:rPr>
          <w:rFonts w:ascii="Arial" w:hAnsi="Arial" w:cs="Arial"/>
          <w:sz w:val="24"/>
          <w:szCs w:val="24"/>
        </w:rPr>
        <w:t xml:space="preserve">, Binns-Ward J, with reference to the decision of </w:t>
      </w:r>
      <w:r w:rsidR="008217F8" w:rsidRPr="007423E0">
        <w:rPr>
          <w:rFonts w:ascii="Arial" w:hAnsi="Arial" w:cs="Arial"/>
          <w:sz w:val="24"/>
          <w:szCs w:val="24"/>
          <w:u w:val="single"/>
        </w:rPr>
        <w:t>University of Johannesburg</w:t>
      </w:r>
      <w:r w:rsidR="00140065">
        <w:rPr>
          <w:rFonts w:ascii="Arial" w:hAnsi="Arial" w:cs="Arial"/>
          <w:sz w:val="24"/>
          <w:szCs w:val="24"/>
          <w:u w:val="single"/>
        </w:rPr>
        <w:t xml:space="preserve"> v Auckland Park Theological Seminary and Another</w:t>
      </w:r>
      <w:r w:rsidR="008217F8">
        <w:rPr>
          <w:rStyle w:val="FootnoteReference"/>
          <w:rFonts w:ascii="Arial" w:hAnsi="Arial" w:cs="Arial"/>
          <w:sz w:val="24"/>
          <w:szCs w:val="24"/>
        </w:rPr>
        <w:footnoteReference w:id="11"/>
      </w:r>
      <w:r w:rsidR="008217F8">
        <w:rPr>
          <w:rFonts w:ascii="Arial" w:hAnsi="Arial" w:cs="Arial"/>
          <w:sz w:val="24"/>
          <w:szCs w:val="24"/>
        </w:rPr>
        <w:t>, held that in a contractual con</w:t>
      </w:r>
      <w:r w:rsidR="007857A9">
        <w:rPr>
          <w:rFonts w:ascii="Arial" w:hAnsi="Arial" w:cs="Arial"/>
          <w:sz w:val="24"/>
          <w:szCs w:val="24"/>
        </w:rPr>
        <w:t xml:space="preserve">text </w:t>
      </w:r>
      <w:r w:rsidR="008217F8">
        <w:rPr>
          <w:rFonts w:ascii="Arial" w:hAnsi="Arial" w:cs="Arial"/>
          <w:sz w:val="24"/>
          <w:szCs w:val="24"/>
        </w:rPr>
        <w:t xml:space="preserve">an enquiry into the meaning of a text should be directed at determining, within the limits defined by the language the parties have chosen to use, what the parties had intended. He further held that </w:t>
      </w:r>
      <w:r w:rsidR="00C4553F">
        <w:rPr>
          <w:rFonts w:ascii="Arial" w:hAnsi="Arial" w:cs="Arial"/>
          <w:sz w:val="24"/>
          <w:szCs w:val="24"/>
        </w:rPr>
        <w:t>in the context of statutory interpretation the rule of law requires the statutory text to speak for itself and that a person cannot be expected, in the context of legislation, to have to “dig into its drafting history to find out whether it really bears the meaning that it</w:t>
      </w:r>
      <w:r w:rsidR="007423E0">
        <w:rPr>
          <w:rFonts w:ascii="Arial" w:hAnsi="Arial" w:cs="Arial"/>
          <w:sz w:val="24"/>
          <w:szCs w:val="24"/>
        </w:rPr>
        <w:t>s</w:t>
      </w:r>
      <w:r w:rsidR="00C4553F">
        <w:rPr>
          <w:rFonts w:ascii="Arial" w:hAnsi="Arial" w:cs="Arial"/>
          <w:sz w:val="24"/>
          <w:szCs w:val="24"/>
        </w:rPr>
        <w:t xml:space="preserve"> language conveys…”</w:t>
      </w:r>
      <w:r w:rsidR="00C4553F">
        <w:rPr>
          <w:rStyle w:val="FootnoteReference"/>
          <w:rFonts w:ascii="Arial" w:hAnsi="Arial" w:cs="Arial"/>
          <w:sz w:val="24"/>
          <w:szCs w:val="24"/>
        </w:rPr>
        <w:footnoteReference w:id="12"/>
      </w:r>
      <w:r w:rsidR="007857A9">
        <w:rPr>
          <w:rFonts w:ascii="Arial" w:hAnsi="Arial" w:cs="Arial"/>
          <w:sz w:val="24"/>
          <w:szCs w:val="24"/>
        </w:rPr>
        <w:t xml:space="preserve"> As pointed out in </w:t>
      </w:r>
      <w:r w:rsidR="007857A9" w:rsidRPr="007423E0">
        <w:rPr>
          <w:rFonts w:ascii="Arial" w:hAnsi="Arial" w:cs="Arial"/>
          <w:sz w:val="24"/>
          <w:szCs w:val="24"/>
          <w:u w:val="single"/>
        </w:rPr>
        <w:t>Choicy-Le-Roy</w:t>
      </w:r>
      <w:r w:rsidR="007857A9">
        <w:rPr>
          <w:rFonts w:ascii="Arial" w:hAnsi="Arial" w:cs="Arial"/>
          <w:sz w:val="24"/>
          <w:szCs w:val="24"/>
        </w:rPr>
        <w:t xml:space="preserve"> (supra), I am of the view that the court </w:t>
      </w:r>
      <w:r w:rsidR="007857A9" w:rsidRPr="007857A9">
        <w:rPr>
          <w:rFonts w:ascii="Arial" w:hAnsi="Arial" w:cs="Arial"/>
          <w:i/>
          <w:iCs/>
          <w:sz w:val="24"/>
          <w:szCs w:val="24"/>
        </w:rPr>
        <w:t>a quo</w:t>
      </w:r>
      <w:r w:rsidR="007857A9">
        <w:rPr>
          <w:rFonts w:ascii="Arial" w:hAnsi="Arial" w:cs="Arial"/>
          <w:sz w:val="24"/>
          <w:szCs w:val="24"/>
        </w:rPr>
        <w:t xml:space="preserve"> should not have delved into the intention of the parties and why certain clauses were included or excluded during settlement negotiations. </w:t>
      </w:r>
    </w:p>
    <w:p w14:paraId="47AC79DE" w14:textId="77777777" w:rsidR="009F0E10" w:rsidRDefault="009F0E10" w:rsidP="00140065">
      <w:pPr>
        <w:spacing w:after="0" w:line="480" w:lineRule="auto"/>
        <w:jc w:val="both"/>
        <w:rPr>
          <w:rFonts w:ascii="Arial" w:hAnsi="Arial" w:cs="Arial"/>
          <w:sz w:val="24"/>
          <w:szCs w:val="24"/>
          <w:u w:val="single"/>
        </w:rPr>
      </w:pPr>
    </w:p>
    <w:p w14:paraId="5BD2C85F" w14:textId="04F13C23" w:rsidR="00E56A90" w:rsidRPr="00E56A90" w:rsidRDefault="001C6BE7" w:rsidP="00140065">
      <w:pPr>
        <w:spacing w:after="0" w:line="480" w:lineRule="auto"/>
        <w:jc w:val="both"/>
        <w:rPr>
          <w:rFonts w:ascii="Arial" w:hAnsi="Arial" w:cs="Arial"/>
          <w:sz w:val="24"/>
          <w:szCs w:val="24"/>
          <w:u w:val="single"/>
        </w:rPr>
      </w:pPr>
      <w:r>
        <w:rPr>
          <w:rFonts w:ascii="Arial" w:hAnsi="Arial" w:cs="Arial"/>
          <w:sz w:val="24"/>
          <w:szCs w:val="24"/>
          <w:u w:val="single"/>
        </w:rPr>
        <w:t>Analysis</w:t>
      </w:r>
    </w:p>
    <w:p w14:paraId="3EA7149E" w14:textId="5FE21264" w:rsidR="006A7155" w:rsidRDefault="003A2E6E" w:rsidP="00140065">
      <w:pPr>
        <w:spacing w:after="0" w:line="480" w:lineRule="auto"/>
        <w:jc w:val="both"/>
        <w:rPr>
          <w:rFonts w:ascii="Arial" w:hAnsi="Arial" w:cs="Arial"/>
          <w:sz w:val="24"/>
          <w:szCs w:val="24"/>
        </w:rPr>
      </w:pPr>
      <w:r>
        <w:rPr>
          <w:rFonts w:ascii="Arial" w:hAnsi="Arial" w:cs="Arial"/>
          <w:sz w:val="24"/>
          <w:szCs w:val="24"/>
        </w:rPr>
        <w:t>[</w:t>
      </w:r>
      <w:r w:rsidR="00C82F04">
        <w:rPr>
          <w:rFonts w:ascii="Arial" w:hAnsi="Arial" w:cs="Arial"/>
          <w:sz w:val="24"/>
          <w:szCs w:val="24"/>
        </w:rPr>
        <w:t>18</w:t>
      </w:r>
      <w:r>
        <w:rPr>
          <w:rFonts w:ascii="Arial" w:hAnsi="Arial" w:cs="Arial"/>
          <w:sz w:val="24"/>
          <w:szCs w:val="24"/>
        </w:rPr>
        <w:t>]</w:t>
      </w:r>
      <w:r>
        <w:rPr>
          <w:rFonts w:ascii="Arial" w:hAnsi="Arial" w:cs="Arial"/>
          <w:sz w:val="24"/>
          <w:szCs w:val="24"/>
        </w:rPr>
        <w:tab/>
        <w:t xml:space="preserve">It appears </w:t>
      </w:r>
      <w:r w:rsidR="007857A9">
        <w:rPr>
          <w:rFonts w:ascii="Arial" w:hAnsi="Arial" w:cs="Arial"/>
          <w:sz w:val="24"/>
          <w:szCs w:val="24"/>
        </w:rPr>
        <w:t xml:space="preserve">from clause 9.2 itself, that it was included </w:t>
      </w:r>
      <w:r w:rsidRPr="00CA082E">
        <w:rPr>
          <w:rFonts w:ascii="Arial" w:hAnsi="Arial" w:cs="Arial"/>
          <w:sz w:val="24"/>
          <w:szCs w:val="24"/>
        </w:rPr>
        <w:t xml:space="preserve">to provide for the fact that the </w:t>
      </w:r>
      <w:r>
        <w:rPr>
          <w:rFonts w:ascii="Arial" w:hAnsi="Arial" w:cs="Arial"/>
          <w:sz w:val="24"/>
          <w:szCs w:val="24"/>
        </w:rPr>
        <w:t xml:space="preserve">defendant had </w:t>
      </w:r>
      <w:r w:rsidRPr="00CA082E">
        <w:rPr>
          <w:rFonts w:ascii="Arial" w:hAnsi="Arial" w:cs="Arial"/>
          <w:sz w:val="24"/>
          <w:szCs w:val="24"/>
        </w:rPr>
        <w:t xml:space="preserve">elected not to take over the said employees of </w:t>
      </w:r>
      <w:r>
        <w:rPr>
          <w:rFonts w:ascii="Arial" w:hAnsi="Arial" w:cs="Arial"/>
          <w:sz w:val="24"/>
          <w:szCs w:val="24"/>
        </w:rPr>
        <w:t xml:space="preserve">plaintiff </w:t>
      </w:r>
      <w:r w:rsidRPr="00CA082E">
        <w:rPr>
          <w:rFonts w:ascii="Arial" w:hAnsi="Arial" w:cs="Arial"/>
          <w:sz w:val="24"/>
          <w:szCs w:val="24"/>
        </w:rPr>
        <w:t xml:space="preserve">resulting in such employees’ employment having to be terminated by the </w:t>
      </w:r>
      <w:r>
        <w:rPr>
          <w:rFonts w:ascii="Arial" w:hAnsi="Arial" w:cs="Arial"/>
          <w:sz w:val="24"/>
          <w:szCs w:val="24"/>
        </w:rPr>
        <w:t>p</w:t>
      </w:r>
      <w:r w:rsidRPr="00CA082E">
        <w:rPr>
          <w:rFonts w:ascii="Arial" w:hAnsi="Arial" w:cs="Arial"/>
          <w:sz w:val="24"/>
          <w:szCs w:val="24"/>
        </w:rPr>
        <w:t>laintiff</w:t>
      </w:r>
      <w:r>
        <w:rPr>
          <w:rFonts w:ascii="Arial" w:hAnsi="Arial" w:cs="Arial"/>
          <w:sz w:val="24"/>
          <w:szCs w:val="24"/>
        </w:rPr>
        <w:t xml:space="preserve">. To </w:t>
      </w:r>
      <w:r w:rsidRPr="00CA082E">
        <w:rPr>
          <w:rFonts w:ascii="Arial" w:hAnsi="Arial" w:cs="Arial"/>
          <w:sz w:val="24"/>
          <w:szCs w:val="24"/>
        </w:rPr>
        <w:t xml:space="preserve">regulate the situation where such employees may bring a claim for compensation of whatsoever nature against the </w:t>
      </w:r>
      <w:r>
        <w:rPr>
          <w:rFonts w:ascii="Arial" w:hAnsi="Arial" w:cs="Arial"/>
          <w:sz w:val="24"/>
          <w:szCs w:val="24"/>
        </w:rPr>
        <w:t>p</w:t>
      </w:r>
      <w:r w:rsidRPr="00CA082E">
        <w:rPr>
          <w:rFonts w:ascii="Arial" w:hAnsi="Arial" w:cs="Arial"/>
          <w:sz w:val="24"/>
          <w:szCs w:val="24"/>
        </w:rPr>
        <w:t>laintiff arising therefrom</w:t>
      </w:r>
      <w:r>
        <w:rPr>
          <w:rFonts w:ascii="Arial" w:hAnsi="Arial" w:cs="Arial"/>
          <w:sz w:val="24"/>
          <w:szCs w:val="24"/>
        </w:rPr>
        <w:t xml:space="preserve">, clause 9.2 specifically </w:t>
      </w:r>
      <w:r w:rsidRPr="00CA082E">
        <w:rPr>
          <w:rFonts w:ascii="Arial" w:hAnsi="Arial" w:cs="Arial"/>
          <w:sz w:val="24"/>
          <w:szCs w:val="24"/>
        </w:rPr>
        <w:t xml:space="preserve">provides for and refers to claims of the (former) employees of the </w:t>
      </w:r>
      <w:r>
        <w:rPr>
          <w:rFonts w:ascii="Arial" w:hAnsi="Arial" w:cs="Arial"/>
          <w:sz w:val="24"/>
          <w:szCs w:val="24"/>
        </w:rPr>
        <w:t>p</w:t>
      </w:r>
      <w:r w:rsidRPr="00CA082E">
        <w:rPr>
          <w:rFonts w:ascii="Arial" w:hAnsi="Arial" w:cs="Arial"/>
          <w:sz w:val="24"/>
          <w:szCs w:val="24"/>
        </w:rPr>
        <w:t xml:space="preserve">laintiff whose employment was to be terminated as a result of the </w:t>
      </w:r>
      <w:r w:rsidR="006A7155">
        <w:rPr>
          <w:rFonts w:ascii="Arial" w:hAnsi="Arial" w:cs="Arial"/>
          <w:sz w:val="24"/>
          <w:szCs w:val="24"/>
        </w:rPr>
        <w:t xml:space="preserve">contract of </w:t>
      </w:r>
      <w:r w:rsidRPr="00CA082E">
        <w:rPr>
          <w:rFonts w:ascii="Arial" w:hAnsi="Arial" w:cs="Arial"/>
          <w:sz w:val="24"/>
          <w:szCs w:val="24"/>
        </w:rPr>
        <w:t>sale being concluded</w:t>
      </w:r>
      <w:r w:rsidR="007423E0">
        <w:rPr>
          <w:rFonts w:ascii="Arial" w:hAnsi="Arial" w:cs="Arial"/>
          <w:sz w:val="24"/>
          <w:szCs w:val="24"/>
        </w:rPr>
        <w:t>,</w:t>
      </w:r>
      <w:r w:rsidRPr="00CA082E">
        <w:rPr>
          <w:rFonts w:ascii="Arial" w:hAnsi="Arial" w:cs="Arial"/>
          <w:sz w:val="24"/>
          <w:szCs w:val="24"/>
        </w:rPr>
        <w:t xml:space="preserve"> and the </w:t>
      </w:r>
      <w:r>
        <w:rPr>
          <w:rFonts w:ascii="Arial" w:hAnsi="Arial" w:cs="Arial"/>
          <w:sz w:val="24"/>
          <w:szCs w:val="24"/>
        </w:rPr>
        <w:t>d</w:t>
      </w:r>
      <w:r w:rsidRPr="00CA082E">
        <w:rPr>
          <w:rFonts w:ascii="Arial" w:hAnsi="Arial" w:cs="Arial"/>
          <w:sz w:val="24"/>
          <w:szCs w:val="24"/>
        </w:rPr>
        <w:t>efendant not taking over such employees as part of the sale transaction.</w:t>
      </w:r>
      <w:r>
        <w:rPr>
          <w:rFonts w:ascii="Arial" w:hAnsi="Arial" w:cs="Arial"/>
          <w:sz w:val="24"/>
          <w:szCs w:val="24"/>
        </w:rPr>
        <w:t xml:space="preserve"> </w:t>
      </w:r>
    </w:p>
    <w:p w14:paraId="0922CE50" w14:textId="77777777" w:rsidR="00140065" w:rsidRDefault="00140065" w:rsidP="00140065">
      <w:pPr>
        <w:spacing w:after="0" w:line="480" w:lineRule="auto"/>
        <w:jc w:val="both"/>
        <w:rPr>
          <w:rFonts w:ascii="Arial" w:hAnsi="Arial" w:cs="Arial"/>
          <w:sz w:val="24"/>
          <w:szCs w:val="24"/>
        </w:rPr>
      </w:pPr>
    </w:p>
    <w:p w14:paraId="336DDE6E" w14:textId="67537E57" w:rsidR="003A2E6E" w:rsidRDefault="00C82F04" w:rsidP="00140065">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A2E6E">
        <w:rPr>
          <w:rFonts w:ascii="Arial" w:hAnsi="Arial" w:cs="Arial"/>
          <w:sz w:val="24"/>
          <w:szCs w:val="24"/>
        </w:rPr>
        <w:t>Further to this</w:t>
      </w:r>
      <w:r w:rsidR="007857A9">
        <w:rPr>
          <w:rFonts w:ascii="Arial" w:hAnsi="Arial" w:cs="Arial"/>
          <w:sz w:val="24"/>
          <w:szCs w:val="24"/>
        </w:rPr>
        <w:t>,</w:t>
      </w:r>
      <w:r w:rsidR="003A2E6E">
        <w:rPr>
          <w:rFonts w:ascii="Arial" w:hAnsi="Arial" w:cs="Arial"/>
          <w:sz w:val="24"/>
          <w:szCs w:val="24"/>
        </w:rPr>
        <w:t xml:space="preserve"> </w:t>
      </w:r>
      <w:r w:rsidR="003A2E6E" w:rsidRPr="00CA082E">
        <w:rPr>
          <w:rFonts w:ascii="Arial" w:hAnsi="Arial" w:cs="Arial"/>
          <w:sz w:val="24"/>
          <w:szCs w:val="24"/>
        </w:rPr>
        <w:t xml:space="preserve">clause 1.2.2 of the </w:t>
      </w:r>
      <w:r w:rsidR="003A2E6E">
        <w:rPr>
          <w:rFonts w:ascii="Arial" w:hAnsi="Arial" w:cs="Arial"/>
          <w:sz w:val="24"/>
          <w:szCs w:val="24"/>
        </w:rPr>
        <w:t xml:space="preserve">contract of </w:t>
      </w:r>
      <w:r w:rsidR="003A2E6E" w:rsidRPr="00CA082E">
        <w:rPr>
          <w:rFonts w:ascii="Arial" w:hAnsi="Arial" w:cs="Arial"/>
          <w:sz w:val="24"/>
          <w:szCs w:val="24"/>
        </w:rPr>
        <w:t xml:space="preserve">sale </w:t>
      </w:r>
      <w:r w:rsidR="003A2E6E">
        <w:rPr>
          <w:rFonts w:ascii="Arial" w:hAnsi="Arial" w:cs="Arial"/>
          <w:sz w:val="24"/>
          <w:szCs w:val="24"/>
        </w:rPr>
        <w:t xml:space="preserve">defines </w:t>
      </w:r>
      <w:r w:rsidR="003A2E6E" w:rsidRPr="00CA082E">
        <w:rPr>
          <w:rFonts w:ascii="Arial" w:hAnsi="Arial" w:cs="Arial"/>
          <w:sz w:val="24"/>
          <w:szCs w:val="24"/>
        </w:rPr>
        <w:t xml:space="preserve">“business” </w:t>
      </w:r>
      <w:r w:rsidR="003A2E6E">
        <w:rPr>
          <w:rFonts w:ascii="Arial" w:hAnsi="Arial" w:cs="Arial"/>
          <w:sz w:val="24"/>
          <w:szCs w:val="24"/>
        </w:rPr>
        <w:t xml:space="preserve">as </w:t>
      </w:r>
      <w:r w:rsidR="003A2E6E" w:rsidRPr="00CA082E">
        <w:rPr>
          <w:rFonts w:ascii="Arial" w:hAnsi="Arial" w:cs="Arial"/>
          <w:sz w:val="24"/>
          <w:szCs w:val="24"/>
        </w:rPr>
        <w:t>“shall mean the business Harken SA which the Seller conducts at the premises at 46 Marine Drive, Paarden Island, Cape Town, 7405”</w:t>
      </w:r>
      <w:r w:rsidR="003A2E6E">
        <w:rPr>
          <w:rFonts w:ascii="Arial" w:hAnsi="Arial" w:cs="Arial"/>
          <w:sz w:val="24"/>
          <w:szCs w:val="24"/>
        </w:rPr>
        <w:t xml:space="preserve"> and </w:t>
      </w:r>
      <w:r w:rsidR="003A2E6E" w:rsidRPr="00CA082E">
        <w:rPr>
          <w:rFonts w:ascii="Arial" w:hAnsi="Arial" w:cs="Arial"/>
          <w:sz w:val="24"/>
          <w:szCs w:val="24"/>
        </w:rPr>
        <w:t xml:space="preserve">clause 2 of the </w:t>
      </w:r>
      <w:r w:rsidR="003A2E6E">
        <w:rPr>
          <w:rFonts w:ascii="Arial" w:hAnsi="Arial" w:cs="Arial"/>
          <w:sz w:val="24"/>
          <w:szCs w:val="24"/>
        </w:rPr>
        <w:t xml:space="preserve">contact of </w:t>
      </w:r>
      <w:r w:rsidR="003A2E6E" w:rsidRPr="00CA082E">
        <w:rPr>
          <w:rFonts w:ascii="Arial" w:hAnsi="Arial" w:cs="Arial"/>
          <w:sz w:val="24"/>
          <w:szCs w:val="24"/>
        </w:rPr>
        <w:t xml:space="preserve">sale, </w:t>
      </w:r>
      <w:r w:rsidR="003A2E6E">
        <w:rPr>
          <w:rFonts w:ascii="Arial" w:hAnsi="Arial" w:cs="Arial"/>
          <w:sz w:val="24"/>
          <w:szCs w:val="24"/>
        </w:rPr>
        <w:t xml:space="preserve">states that </w:t>
      </w:r>
      <w:r w:rsidR="003A2E6E" w:rsidRPr="00CA082E">
        <w:rPr>
          <w:rFonts w:ascii="Arial" w:hAnsi="Arial" w:cs="Arial"/>
          <w:sz w:val="24"/>
          <w:szCs w:val="24"/>
        </w:rPr>
        <w:t xml:space="preserve">the </w:t>
      </w:r>
      <w:r w:rsidR="003A2E6E">
        <w:rPr>
          <w:rFonts w:ascii="Arial" w:hAnsi="Arial" w:cs="Arial"/>
          <w:sz w:val="24"/>
          <w:szCs w:val="24"/>
        </w:rPr>
        <w:t>p</w:t>
      </w:r>
      <w:r w:rsidR="003A2E6E" w:rsidRPr="00CA082E">
        <w:rPr>
          <w:rFonts w:ascii="Arial" w:hAnsi="Arial" w:cs="Arial"/>
          <w:sz w:val="24"/>
          <w:szCs w:val="24"/>
        </w:rPr>
        <w:t>laintiff sold the assets and stock, and “the right to use the name ‘Harken SA’ to the Purchaser”</w:t>
      </w:r>
      <w:r w:rsidR="003A2E6E">
        <w:rPr>
          <w:rFonts w:ascii="Arial" w:hAnsi="Arial" w:cs="Arial"/>
          <w:sz w:val="24"/>
          <w:szCs w:val="24"/>
        </w:rPr>
        <w:t xml:space="preserve">. Thus, by </w:t>
      </w:r>
      <w:r w:rsidR="003A2E6E" w:rsidRPr="00CA082E">
        <w:rPr>
          <w:rFonts w:ascii="Arial" w:hAnsi="Arial" w:cs="Arial"/>
          <w:sz w:val="24"/>
          <w:szCs w:val="24"/>
        </w:rPr>
        <w:t xml:space="preserve">selling the assets and stock as well as the right to use the name ‘Harken SA’, the </w:t>
      </w:r>
      <w:r w:rsidR="003A2E6E">
        <w:rPr>
          <w:rFonts w:ascii="Arial" w:hAnsi="Arial" w:cs="Arial"/>
          <w:sz w:val="24"/>
          <w:szCs w:val="24"/>
        </w:rPr>
        <w:t>p</w:t>
      </w:r>
      <w:r w:rsidR="003A2E6E" w:rsidRPr="00CA082E">
        <w:rPr>
          <w:rFonts w:ascii="Arial" w:hAnsi="Arial" w:cs="Arial"/>
          <w:sz w:val="24"/>
          <w:szCs w:val="24"/>
        </w:rPr>
        <w:t xml:space="preserve">laintiff’s business as defined in clause 1.2.2 </w:t>
      </w:r>
      <w:r w:rsidR="003A2E6E">
        <w:rPr>
          <w:rFonts w:ascii="Arial" w:hAnsi="Arial" w:cs="Arial"/>
          <w:sz w:val="24"/>
          <w:szCs w:val="24"/>
        </w:rPr>
        <w:t xml:space="preserve">was </w:t>
      </w:r>
      <w:r w:rsidR="003A2E6E" w:rsidRPr="00CA082E">
        <w:rPr>
          <w:rFonts w:ascii="Arial" w:hAnsi="Arial" w:cs="Arial"/>
          <w:sz w:val="24"/>
          <w:szCs w:val="24"/>
        </w:rPr>
        <w:t>effectively terminated</w:t>
      </w:r>
      <w:r w:rsidR="003A2E6E">
        <w:rPr>
          <w:rFonts w:ascii="Arial" w:hAnsi="Arial" w:cs="Arial"/>
          <w:sz w:val="24"/>
          <w:szCs w:val="24"/>
        </w:rPr>
        <w:t>.</w:t>
      </w:r>
    </w:p>
    <w:p w14:paraId="338A88AD" w14:textId="77777777" w:rsidR="00140065" w:rsidRDefault="00140065" w:rsidP="00140065">
      <w:pPr>
        <w:spacing w:after="0" w:line="480" w:lineRule="auto"/>
        <w:jc w:val="both"/>
        <w:rPr>
          <w:rFonts w:ascii="Arial" w:hAnsi="Arial" w:cs="Arial"/>
          <w:sz w:val="24"/>
          <w:szCs w:val="24"/>
        </w:rPr>
      </w:pPr>
    </w:p>
    <w:p w14:paraId="34E4B05D" w14:textId="7AC35B17" w:rsidR="00E56A90" w:rsidRDefault="00CA082E" w:rsidP="00140065">
      <w:pPr>
        <w:spacing w:after="0" w:line="480" w:lineRule="auto"/>
        <w:jc w:val="both"/>
        <w:rPr>
          <w:rFonts w:ascii="Arial" w:hAnsi="Arial" w:cs="Arial"/>
          <w:sz w:val="24"/>
          <w:szCs w:val="24"/>
        </w:rPr>
      </w:pPr>
      <w:r>
        <w:rPr>
          <w:rFonts w:ascii="Arial" w:hAnsi="Arial" w:cs="Arial"/>
          <w:sz w:val="24"/>
          <w:szCs w:val="24"/>
        </w:rPr>
        <w:t>[</w:t>
      </w:r>
      <w:r w:rsidR="00C82F04">
        <w:rPr>
          <w:rFonts w:ascii="Arial" w:hAnsi="Arial" w:cs="Arial"/>
          <w:sz w:val="24"/>
          <w:szCs w:val="24"/>
        </w:rPr>
        <w:t>20</w:t>
      </w:r>
      <w:r>
        <w:rPr>
          <w:rFonts w:ascii="Arial" w:hAnsi="Arial" w:cs="Arial"/>
          <w:sz w:val="24"/>
          <w:szCs w:val="24"/>
        </w:rPr>
        <w:t>]</w:t>
      </w:r>
      <w:r>
        <w:rPr>
          <w:rFonts w:ascii="Arial" w:hAnsi="Arial" w:cs="Arial"/>
          <w:sz w:val="24"/>
          <w:szCs w:val="24"/>
        </w:rPr>
        <w:tab/>
      </w:r>
      <w:r w:rsidR="007857A9">
        <w:rPr>
          <w:rFonts w:ascii="Arial" w:hAnsi="Arial" w:cs="Arial"/>
          <w:sz w:val="24"/>
          <w:szCs w:val="24"/>
        </w:rPr>
        <w:t xml:space="preserve">Against this background, the </w:t>
      </w:r>
      <w:r w:rsidR="00E56A90">
        <w:rPr>
          <w:rFonts w:ascii="Arial" w:hAnsi="Arial" w:cs="Arial"/>
          <w:sz w:val="24"/>
          <w:szCs w:val="24"/>
        </w:rPr>
        <w:t xml:space="preserve">court </w:t>
      </w:r>
      <w:r w:rsidR="00E56A90" w:rsidRPr="00E56A90">
        <w:rPr>
          <w:rFonts w:ascii="Arial" w:hAnsi="Arial" w:cs="Arial"/>
          <w:i/>
          <w:iCs/>
          <w:sz w:val="24"/>
          <w:szCs w:val="24"/>
        </w:rPr>
        <w:t>a quo</w:t>
      </w:r>
      <w:r w:rsidR="00E56A90">
        <w:rPr>
          <w:rFonts w:ascii="Arial" w:hAnsi="Arial" w:cs="Arial"/>
          <w:sz w:val="24"/>
          <w:szCs w:val="24"/>
        </w:rPr>
        <w:t xml:space="preserve"> simply disregarded the fact that it should use the </w:t>
      </w:r>
      <w:r w:rsidR="00E56A90" w:rsidRPr="00C57CE0">
        <w:rPr>
          <w:rFonts w:ascii="Arial" w:hAnsi="Arial" w:cs="Arial"/>
          <w:sz w:val="24"/>
          <w:szCs w:val="24"/>
        </w:rPr>
        <w:t xml:space="preserve">express and plain words of clause 9.2 of the contract </w:t>
      </w:r>
      <w:r w:rsidR="004457BE">
        <w:rPr>
          <w:rFonts w:ascii="Arial" w:hAnsi="Arial" w:cs="Arial"/>
          <w:sz w:val="24"/>
          <w:szCs w:val="24"/>
        </w:rPr>
        <w:t xml:space="preserve">of sale </w:t>
      </w:r>
      <w:r w:rsidR="00E56A90" w:rsidRPr="00C57CE0">
        <w:rPr>
          <w:rFonts w:ascii="Arial" w:hAnsi="Arial" w:cs="Arial"/>
          <w:sz w:val="24"/>
          <w:szCs w:val="24"/>
        </w:rPr>
        <w:t>as its point of departure</w:t>
      </w:r>
      <w:r w:rsidR="00E56A90">
        <w:rPr>
          <w:rFonts w:ascii="Arial" w:hAnsi="Arial" w:cs="Arial"/>
          <w:sz w:val="24"/>
          <w:szCs w:val="24"/>
        </w:rPr>
        <w:t xml:space="preserve">. Instead, it veered down a slippery slide of what the parties’ opinions were pertaining to the meaning of clauses 9.1 and 9.2 of the contact of sale and further, allowed </w:t>
      </w:r>
      <w:r w:rsidR="00E56A90">
        <w:rPr>
          <w:rFonts w:ascii="Arial" w:hAnsi="Arial" w:cs="Arial"/>
          <w:sz w:val="24"/>
          <w:szCs w:val="24"/>
        </w:rPr>
        <w:lastRenderedPageBreak/>
        <w:t>and considered</w:t>
      </w:r>
      <w:r w:rsidR="004457BE">
        <w:rPr>
          <w:rFonts w:ascii="Arial" w:hAnsi="Arial" w:cs="Arial"/>
          <w:sz w:val="24"/>
          <w:szCs w:val="24"/>
        </w:rPr>
        <w:t>,</w:t>
      </w:r>
      <w:r w:rsidR="00E56A90">
        <w:rPr>
          <w:rFonts w:ascii="Arial" w:hAnsi="Arial" w:cs="Arial"/>
          <w:sz w:val="24"/>
          <w:szCs w:val="24"/>
        </w:rPr>
        <w:t xml:space="preserve"> evidence </w:t>
      </w:r>
      <w:r w:rsidR="007857A9">
        <w:rPr>
          <w:rFonts w:ascii="Arial" w:hAnsi="Arial" w:cs="Arial"/>
          <w:sz w:val="24"/>
          <w:szCs w:val="24"/>
        </w:rPr>
        <w:t xml:space="preserve">which was brought to vary, add to or contradict the written terms of the contract of sale. </w:t>
      </w:r>
      <w:r w:rsidR="00E56A90">
        <w:rPr>
          <w:rFonts w:ascii="Arial" w:hAnsi="Arial" w:cs="Arial"/>
          <w:sz w:val="24"/>
          <w:szCs w:val="24"/>
        </w:rPr>
        <w:t xml:space="preserve"> </w:t>
      </w:r>
    </w:p>
    <w:p w14:paraId="57D148B0" w14:textId="77777777" w:rsidR="00140065" w:rsidRDefault="00140065" w:rsidP="00140065">
      <w:pPr>
        <w:spacing w:after="0" w:line="480" w:lineRule="auto"/>
        <w:jc w:val="both"/>
        <w:rPr>
          <w:rFonts w:ascii="Arial" w:hAnsi="Arial" w:cs="Arial"/>
          <w:sz w:val="24"/>
          <w:szCs w:val="24"/>
        </w:rPr>
      </w:pPr>
    </w:p>
    <w:p w14:paraId="3A1C1756" w14:textId="0A295639" w:rsidR="001A39F0" w:rsidRDefault="00807BD5" w:rsidP="00140065">
      <w:pPr>
        <w:spacing w:after="0" w:line="480" w:lineRule="auto"/>
        <w:jc w:val="both"/>
        <w:rPr>
          <w:rFonts w:ascii="Arial" w:hAnsi="Arial" w:cs="Arial"/>
          <w:iCs/>
          <w:sz w:val="24"/>
          <w:szCs w:val="24"/>
        </w:rPr>
      </w:pPr>
      <w:r>
        <w:rPr>
          <w:rFonts w:ascii="Arial" w:hAnsi="Arial" w:cs="Arial"/>
          <w:sz w:val="24"/>
          <w:szCs w:val="24"/>
        </w:rPr>
        <w:t>[2</w:t>
      </w:r>
      <w:r w:rsidR="00C82F04">
        <w:rPr>
          <w:rFonts w:ascii="Arial" w:hAnsi="Arial" w:cs="Arial"/>
          <w:sz w:val="24"/>
          <w:szCs w:val="24"/>
        </w:rPr>
        <w:t>1</w:t>
      </w:r>
      <w:r>
        <w:rPr>
          <w:rFonts w:ascii="Arial" w:hAnsi="Arial" w:cs="Arial"/>
          <w:sz w:val="24"/>
          <w:szCs w:val="24"/>
        </w:rPr>
        <w:t>]</w:t>
      </w:r>
      <w:r>
        <w:rPr>
          <w:rFonts w:ascii="Arial" w:hAnsi="Arial" w:cs="Arial"/>
          <w:sz w:val="24"/>
          <w:szCs w:val="24"/>
        </w:rPr>
        <w:tab/>
      </w:r>
      <w:r w:rsidR="00F43EF0">
        <w:rPr>
          <w:rFonts w:ascii="Arial" w:hAnsi="Arial" w:cs="Arial"/>
          <w:sz w:val="24"/>
          <w:szCs w:val="24"/>
        </w:rPr>
        <w:t xml:space="preserve">In </w:t>
      </w:r>
      <w:r w:rsidR="00140065">
        <w:rPr>
          <w:rFonts w:ascii="Arial" w:hAnsi="Arial" w:cs="Arial"/>
          <w:sz w:val="24"/>
          <w:szCs w:val="24"/>
        </w:rPr>
        <w:t>reaching its conclusion,</w:t>
      </w:r>
      <w:r w:rsidR="00C4553F">
        <w:rPr>
          <w:rFonts w:ascii="Arial" w:hAnsi="Arial" w:cs="Arial"/>
          <w:sz w:val="24"/>
          <w:szCs w:val="24"/>
        </w:rPr>
        <w:t xml:space="preserve"> the court </w:t>
      </w:r>
      <w:r w:rsidR="00C4553F" w:rsidRPr="00E56A90">
        <w:rPr>
          <w:rFonts w:ascii="Arial" w:hAnsi="Arial" w:cs="Arial"/>
          <w:i/>
          <w:iCs/>
          <w:sz w:val="24"/>
          <w:szCs w:val="24"/>
        </w:rPr>
        <w:t>a quo</w:t>
      </w:r>
      <w:r w:rsidR="00C4553F">
        <w:rPr>
          <w:rFonts w:ascii="Arial" w:hAnsi="Arial" w:cs="Arial"/>
          <w:sz w:val="24"/>
          <w:szCs w:val="24"/>
        </w:rPr>
        <w:t xml:space="preserve"> </w:t>
      </w:r>
      <w:r w:rsidR="00E56A90">
        <w:rPr>
          <w:rFonts w:ascii="Arial" w:hAnsi="Arial" w:cs="Arial"/>
          <w:sz w:val="24"/>
          <w:szCs w:val="24"/>
        </w:rPr>
        <w:t xml:space="preserve">misdirected itself in allowing and considering </w:t>
      </w:r>
      <w:r w:rsidR="007857A9">
        <w:rPr>
          <w:rFonts w:ascii="Arial" w:hAnsi="Arial" w:cs="Arial"/>
          <w:sz w:val="24"/>
          <w:szCs w:val="24"/>
        </w:rPr>
        <w:t xml:space="preserve">inadmissible </w:t>
      </w:r>
      <w:r w:rsidR="00E56A90">
        <w:rPr>
          <w:rFonts w:ascii="Arial" w:hAnsi="Arial" w:cs="Arial"/>
          <w:sz w:val="24"/>
          <w:szCs w:val="24"/>
        </w:rPr>
        <w:t xml:space="preserve">evidence </w:t>
      </w:r>
      <w:r w:rsidR="009F0E10">
        <w:rPr>
          <w:rFonts w:ascii="Arial" w:hAnsi="Arial" w:cs="Arial"/>
          <w:sz w:val="24"/>
          <w:szCs w:val="24"/>
        </w:rPr>
        <w:t xml:space="preserve">under the guise of context, </w:t>
      </w:r>
      <w:r w:rsidR="00E56A90">
        <w:rPr>
          <w:rFonts w:ascii="Arial" w:hAnsi="Arial" w:cs="Arial"/>
          <w:sz w:val="24"/>
          <w:szCs w:val="24"/>
        </w:rPr>
        <w:t>for purposes of interpreting clauses 9.1 and 9.2 of the contract of sale</w:t>
      </w:r>
      <w:r w:rsidR="00140065">
        <w:rPr>
          <w:rFonts w:ascii="Arial" w:hAnsi="Arial" w:cs="Arial"/>
          <w:sz w:val="24"/>
          <w:szCs w:val="24"/>
        </w:rPr>
        <w:t>,</w:t>
      </w:r>
      <w:r w:rsidR="00E56A90">
        <w:rPr>
          <w:rFonts w:ascii="Arial" w:hAnsi="Arial" w:cs="Arial"/>
          <w:sz w:val="24"/>
          <w:szCs w:val="24"/>
        </w:rPr>
        <w:t xml:space="preserve"> </w:t>
      </w:r>
      <w:r w:rsidR="009F0E10">
        <w:rPr>
          <w:rFonts w:ascii="Arial" w:hAnsi="Arial" w:cs="Arial"/>
          <w:sz w:val="24"/>
          <w:szCs w:val="24"/>
        </w:rPr>
        <w:t>as a</w:t>
      </w:r>
      <w:r w:rsidR="00E56A90">
        <w:rPr>
          <w:rFonts w:ascii="Arial" w:hAnsi="Arial" w:cs="Arial"/>
          <w:sz w:val="24"/>
          <w:szCs w:val="24"/>
        </w:rPr>
        <w:t xml:space="preserve"> plain reading of clause 9.2</w:t>
      </w:r>
      <w:r w:rsidR="00F43EF0">
        <w:rPr>
          <w:rFonts w:ascii="Arial" w:hAnsi="Arial" w:cs="Arial"/>
          <w:sz w:val="24"/>
          <w:szCs w:val="24"/>
        </w:rPr>
        <w:t>,</w:t>
      </w:r>
      <w:r w:rsidR="00E56A90">
        <w:rPr>
          <w:rFonts w:ascii="Arial" w:hAnsi="Arial" w:cs="Arial"/>
          <w:sz w:val="24"/>
          <w:szCs w:val="24"/>
        </w:rPr>
        <w:t xml:space="preserve"> </w:t>
      </w:r>
      <w:r w:rsidR="004457BE">
        <w:rPr>
          <w:rFonts w:ascii="Arial" w:hAnsi="Arial" w:cs="Arial"/>
          <w:sz w:val="24"/>
          <w:szCs w:val="24"/>
        </w:rPr>
        <w:t xml:space="preserve">shows that </w:t>
      </w:r>
      <w:r w:rsidR="00C4553F">
        <w:rPr>
          <w:rFonts w:ascii="Arial" w:hAnsi="Arial" w:cs="Arial"/>
          <w:sz w:val="24"/>
          <w:szCs w:val="24"/>
        </w:rPr>
        <w:t xml:space="preserve">the defendant </w:t>
      </w:r>
      <w:r w:rsidR="004457BE">
        <w:rPr>
          <w:rFonts w:ascii="Arial" w:hAnsi="Arial" w:cs="Arial"/>
          <w:sz w:val="24"/>
          <w:szCs w:val="24"/>
        </w:rPr>
        <w:t xml:space="preserve">had </w:t>
      </w:r>
      <w:r w:rsidR="00C4553F">
        <w:rPr>
          <w:rFonts w:ascii="Arial" w:hAnsi="Arial" w:cs="Arial"/>
          <w:sz w:val="24"/>
          <w:szCs w:val="24"/>
        </w:rPr>
        <w:t>indemnifie</w:t>
      </w:r>
      <w:r w:rsidR="004457BE">
        <w:rPr>
          <w:rFonts w:ascii="Arial" w:hAnsi="Arial" w:cs="Arial"/>
          <w:sz w:val="24"/>
          <w:szCs w:val="24"/>
        </w:rPr>
        <w:t>d</w:t>
      </w:r>
      <w:r w:rsidR="00C4553F">
        <w:rPr>
          <w:rFonts w:ascii="Arial" w:hAnsi="Arial" w:cs="Arial"/>
          <w:sz w:val="24"/>
          <w:szCs w:val="24"/>
        </w:rPr>
        <w:t xml:space="preserve"> the plaintiff in respect of any claims by employees, such as Kesse and Ba</w:t>
      </w:r>
      <w:r w:rsidR="004457BE">
        <w:rPr>
          <w:rFonts w:ascii="Arial" w:hAnsi="Arial" w:cs="Arial"/>
          <w:sz w:val="24"/>
          <w:szCs w:val="24"/>
        </w:rPr>
        <w:t xml:space="preserve">rrish </w:t>
      </w:r>
      <w:r w:rsidR="001A39F0" w:rsidRPr="00C57CE0">
        <w:rPr>
          <w:rFonts w:ascii="Arial" w:hAnsi="Arial" w:cs="Arial"/>
          <w:i/>
          <w:sz w:val="24"/>
          <w:szCs w:val="24"/>
        </w:rPr>
        <w:t>“in light of the fact that Purchaser is not taking on the employees of the Seller…”</w:t>
      </w:r>
      <w:r w:rsidR="009F0E10">
        <w:rPr>
          <w:rFonts w:ascii="Arial" w:hAnsi="Arial" w:cs="Arial"/>
          <w:i/>
          <w:sz w:val="24"/>
          <w:szCs w:val="24"/>
        </w:rPr>
        <w:t>.</w:t>
      </w:r>
      <w:r w:rsidR="009F0E10" w:rsidRPr="003A2E6E">
        <w:rPr>
          <w:rFonts w:ascii="Arial" w:hAnsi="Arial" w:cs="Arial"/>
          <w:b/>
          <w:bCs/>
          <w:i/>
          <w:sz w:val="24"/>
          <w:szCs w:val="24"/>
        </w:rPr>
        <w:t xml:space="preserve"> </w:t>
      </w:r>
      <w:r w:rsidR="007857A9" w:rsidRPr="00140065">
        <w:rPr>
          <w:rFonts w:ascii="Arial" w:hAnsi="Arial" w:cs="Arial"/>
          <w:bCs/>
          <w:iCs/>
          <w:sz w:val="24"/>
          <w:szCs w:val="24"/>
        </w:rPr>
        <w:t xml:space="preserve">As set out in the </w:t>
      </w:r>
      <w:r w:rsidR="007857A9" w:rsidRPr="00140065">
        <w:rPr>
          <w:rFonts w:ascii="Arial" w:hAnsi="Arial" w:cs="Arial"/>
          <w:bCs/>
          <w:iCs/>
          <w:sz w:val="24"/>
          <w:szCs w:val="24"/>
          <w:u w:val="single"/>
        </w:rPr>
        <w:t>University of Johannesburg</w:t>
      </w:r>
      <w:r w:rsidR="007857A9" w:rsidRPr="00140065">
        <w:rPr>
          <w:rFonts w:ascii="Arial" w:hAnsi="Arial" w:cs="Arial"/>
          <w:bCs/>
          <w:iCs/>
          <w:sz w:val="24"/>
          <w:szCs w:val="24"/>
        </w:rPr>
        <w:t xml:space="preserve"> (supra), the parol evidence rule still renders extrinsic evidence inadmissible if it is tendered to add to or m</w:t>
      </w:r>
      <w:r w:rsidR="00500EF4" w:rsidRPr="00140065">
        <w:rPr>
          <w:rFonts w:ascii="Arial" w:hAnsi="Arial" w:cs="Arial"/>
          <w:bCs/>
          <w:iCs/>
          <w:sz w:val="24"/>
          <w:szCs w:val="24"/>
        </w:rPr>
        <w:t xml:space="preserve">odify </w:t>
      </w:r>
      <w:r w:rsidR="007857A9" w:rsidRPr="00140065">
        <w:rPr>
          <w:rFonts w:ascii="Arial" w:hAnsi="Arial" w:cs="Arial"/>
          <w:bCs/>
          <w:iCs/>
          <w:sz w:val="24"/>
          <w:szCs w:val="24"/>
        </w:rPr>
        <w:t xml:space="preserve">the meaning of a document which was intended to provide a complete memorial of a jural act. Clause 9.2 contains no </w:t>
      </w:r>
      <w:r w:rsidR="009F0E10" w:rsidRPr="00140065">
        <w:rPr>
          <w:rFonts w:ascii="Arial" w:hAnsi="Arial" w:cs="Arial"/>
          <w:bCs/>
          <w:iCs/>
          <w:sz w:val="24"/>
          <w:szCs w:val="24"/>
        </w:rPr>
        <w:t>ambiguity</w:t>
      </w:r>
      <w:r w:rsidR="007857A9" w:rsidRPr="00140065">
        <w:rPr>
          <w:rFonts w:ascii="Arial" w:hAnsi="Arial" w:cs="Arial"/>
          <w:bCs/>
          <w:iCs/>
          <w:sz w:val="24"/>
          <w:szCs w:val="24"/>
        </w:rPr>
        <w:t xml:space="preserve"> and if </w:t>
      </w:r>
      <w:r w:rsidR="00F43EF0" w:rsidRPr="00140065">
        <w:rPr>
          <w:rFonts w:ascii="Arial" w:hAnsi="Arial" w:cs="Arial"/>
          <w:bCs/>
          <w:iCs/>
          <w:sz w:val="24"/>
          <w:szCs w:val="24"/>
        </w:rPr>
        <w:t xml:space="preserve">the </w:t>
      </w:r>
      <w:r w:rsidR="009F0E10" w:rsidRPr="00140065">
        <w:rPr>
          <w:rFonts w:ascii="Arial" w:hAnsi="Arial" w:cs="Arial"/>
          <w:bCs/>
          <w:iCs/>
          <w:sz w:val="24"/>
          <w:szCs w:val="24"/>
        </w:rPr>
        <w:t xml:space="preserve">correct approach was adopted by the court </w:t>
      </w:r>
      <w:r w:rsidR="009F0E10" w:rsidRPr="00140065">
        <w:rPr>
          <w:rFonts w:ascii="Arial" w:hAnsi="Arial" w:cs="Arial"/>
          <w:bCs/>
          <w:i/>
          <w:sz w:val="24"/>
          <w:szCs w:val="24"/>
        </w:rPr>
        <w:t>a quo</w:t>
      </w:r>
      <w:r w:rsidR="003A2E6E" w:rsidRPr="00140065">
        <w:rPr>
          <w:rFonts w:ascii="Arial" w:hAnsi="Arial" w:cs="Arial"/>
          <w:bCs/>
          <w:iCs/>
          <w:sz w:val="24"/>
          <w:szCs w:val="24"/>
        </w:rPr>
        <w:t xml:space="preserve">, from the outset, </w:t>
      </w:r>
      <w:r w:rsidR="009F0E10" w:rsidRPr="00140065">
        <w:rPr>
          <w:rFonts w:ascii="Arial" w:hAnsi="Arial" w:cs="Arial"/>
          <w:bCs/>
          <w:iCs/>
          <w:sz w:val="24"/>
          <w:szCs w:val="24"/>
        </w:rPr>
        <w:t>the costs and legal resources employed in determining th</w:t>
      </w:r>
      <w:r w:rsidR="003A2E6E" w:rsidRPr="00140065">
        <w:rPr>
          <w:rFonts w:ascii="Arial" w:hAnsi="Arial" w:cs="Arial"/>
          <w:bCs/>
          <w:iCs/>
          <w:sz w:val="24"/>
          <w:szCs w:val="24"/>
        </w:rPr>
        <w:t xml:space="preserve">is relatively small claim would </w:t>
      </w:r>
      <w:r w:rsidR="00500EF4" w:rsidRPr="00140065">
        <w:rPr>
          <w:rFonts w:ascii="Arial" w:hAnsi="Arial" w:cs="Arial"/>
          <w:bCs/>
          <w:iCs/>
          <w:sz w:val="24"/>
          <w:szCs w:val="24"/>
        </w:rPr>
        <w:t>not have resulted.</w:t>
      </w:r>
      <w:r w:rsidR="003A2E6E" w:rsidRPr="003A2E6E">
        <w:rPr>
          <w:rFonts w:ascii="Arial" w:hAnsi="Arial" w:cs="Arial"/>
          <w:b/>
          <w:bCs/>
          <w:iCs/>
          <w:sz w:val="24"/>
          <w:szCs w:val="24"/>
        </w:rPr>
        <w:t xml:space="preserve"> </w:t>
      </w:r>
      <w:r w:rsidR="009F0E10">
        <w:rPr>
          <w:rFonts w:ascii="Arial" w:hAnsi="Arial" w:cs="Arial"/>
          <w:iCs/>
          <w:sz w:val="24"/>
          <w:szCs w:val="24"/>
        </w:rPr>
        <w:t xml:space="preserve"> </w:t>
      </w:r>
    </w:p>
    <w:p w14:paraId="6EDD8399" w14:textId="77777777" w:rsidR="00140065" w:rsidRPr="009F0E10" w:rsidRDefault="00140065" w:rsidP="00140065">
      <w:pPr>
        <w:spacing w:after="0" w:line="480" w:lineRule="auto"/>
        <w:jc w:val="both"/>
        <w:rPr>
          <w:rFonts w:ascii="Arial" w:hAnsi="Arial" w:cs="Arial"/>
          <w:iCs/>
          <w:sz w:val="24"/>
          <w:szCs w:val="24"/>
        </w:rPr>
      </w:pPr>
    </w:p>
    <w:p w14:paraId="6CD24D34" w14:textId="5B7EAEAE" w:rsidR="00CF1D15" w:rsidRDefault="00CA082E" w:rsidP="00140065">
      <w:pPr>
        <w:spacing w:after="0" w:line="480" w:lineRule="auto"/>
        <w:jc w:val="both"/>
        <w:rPr>
          <w:rFonts w:ascii="Arial" w:hAnsi="Arial" w:cs="Arial"/>
          <w:sz w:val="24"/>
          <w:szCs w:val="24"/>
        </w:rPr>
      </w:pPr>
      <w:r>
        <w:rPr>
          <w:rFonts w:ascii="Arial" w:hAnsi="Arial" w:cs="Arial"/>
          <w:sz w:val="24"/>
          <w:szCs w:val="24"/>
        </w:rPr>
        <w:t>[2</w:t>
      </w:r>
      <w:r w:rsidR="00287AE9">
        <w:rPr>
          <w:rFonts w:ascii="Arial" w:hAnsi="Arial" w:cs="Arial"/>
          <w:sz w:val="24"/>
          <w:szCs w:val="24"/>
        </w:rPr>
        <w:t>2</w:t>
      </w:r>
      <w:r>
        <w:rPr>
          <w:rFonts w:ascii="Arial" w:hAnsi="Arial" w:cs="Arial"/>
          <w:sz w:val="24"/>
          <w:szCs w:val="24"/>
        </w:rPr>
        <w:t>]</w:t>
      </w:r>
      <w:r>
        <w:rPr>
          <w:rFonts w:ascii="Arial" w:hAnsi="Arial" w:cs="Arial"/>
          <w:sz w:val="24"/>
          <w:szCs w:val="24"/>
        </w:rPr>
        <w:tab/>
      </w:r>
      <w:r w:rsidR="004457BE">
        <w:rPr>
          <w:rFonts w:ascii="Arial" w:hAnsi="Arial" w:cs="Arial"/>
          <w:sz w:val="24"/>
          <w:szCs w:val="24"/>
        </w:rPr>
        <w:t xml:space="preserve">Insofar as the court </w:t>
      </w:r>
      <w:r w:rsidR="004457BE" w:rsidRPr="003A2E6E">
        <w:rPr>
          <w:rFonts w:ascii="Arial" w:hAnsi="Arial" w:cs="Arial"/>
          <w:i/>
          <w:iCs/>
          <w:sz w:val="24"/>
          <w:szCs w:val="24"/>
        </w:rPr>
        <w:t>a quo</w:t>
      </w:r>
      <w:r w:rsidR="004457BE">
        <w:rPr>
          <w:rFonts w:ascii="Arial" w:hAnsi="Arial" w:cs="Arial"/>
          <w:sz w:val="24"/>
          <w:szCs w:val="24"/>
        </w:rPr>
        <w:t xml:space="preserve"> held that clause 9.1 is applicable, a </w:t>
      </w:r>
      <w:r w:rsidR="00F43EF0">
        <w:rPr>
          <w:rFonts w:ascii="Arial" w:hAnsi="Arial" w:cs="Arial"/>
          <w:sz w:val="24"/>
          <w:szCs w:val="24"/>
        </w:rPr>
        <w:t xml:space="preserve">comparison of </w:t>
      </w:r>
      <w:r w:rsidR="00CF1D15">
        <w:rPr>
          <w:rFonts w:ascii="Arial" w:hAnsi="Arial" w:cs="Arial"/>
          <w:sz w:val="24"/>
          <w:szCs w:val="24"/>
        </w:rPr>
        <w:t>clause</w:t>
      </w:r>
      <w:r w:rsidR="004457BE">
        <w:rPr>
          <w:rFonts w:ascii="Arial" w:hAnsi="Arial" w:cs="Arial"/>
          <w:sz w:val="24"/>
          <w:szCs w:val="24"/>
        </w:rPr>
        <w:t xml:space="preserve"> 9.1 and 9.2 </w:t>
      </w:r>
      <w:r w:rsidR="00257DD2">
        <w:rPr>
          <w:rFonts w:ascii="Arial" w:hAnsi="Arial" w:cs="Arial"/>
          <w:sz w:val="24"/>
          <w:szCs w:val="24"/>
        </w:rPr>
        <w:t xml:space="preserve">shows that </w:t>
      </w:r>
      <w:r w:rsidR="00CF1D15">
        <w:rPr>
          <w:rFonts w:ascii="Arial" w:hAnsi="Arial" w:cs="Arial"/>
          <w:sz w:val="24"/>
          <w:szCs w:val="24"/>
        </w:rPr>
        <w:t>clause 9.1</w:t>
      </w:r>
      <w:r w:rsidR="00257DD2">
        <w:rPr>
          <w:rFonts w:ascii="Arial" w:hAnsi="Arial" w:cs="Arial"/>
          <w:sz w:val="24"/>
          <w:szCs w:val="24"/>
        </w:rPr>
        <w:t xml:space="preserve"> deals with an indemnity by the plaintiff in favour of the defendant for any </w:t>
      </w:r>
      <w:r w:rsidR="00CF1D15">
        <w:rPr>
          <w:rFonts w:ascii="Arial" w:hAnsi="Arial" w:cs="Arial"/>
          <w:sz w:val="24"/>
          <w:szCs w:val="24"/>
        </w:rPr>
        <w:t>general claims pertaining to loss</w:t>
      </w:r>
      <w:r w:rsidR="00257DD2">
        <w:rPr>
          <w:rFonts w:ascii="Arial" w:hAnsi="Arial" w:cs="Arial"/>
          <w:sz w:val="24"/>
          <w:szCs w:val="24"/>
        </w:rPr>
        <w:t>,</w:t>
      </w:r>
      <w:r w:rsidR="00CF1D15">
        <w:rPr>
          <w:rFonts w:ascii="Arial" w:hAnsi="Arial" w:cs="Arial"/>
          <w:sz w:val="24"/>
          <w:szCs w:val="24"/>
        </w:rPr>
        <w:t xml:space="preserve"> liability</w:t>
      </w:r>
      <w:r w:rsidR="00257DD2">
        <w:rPr>
          <w:rFonts w:ascii="Arial" w:hAnsi="Arial" w:cs="Arial"/>
          <w:sz w:val="24"/>
          <w:szCs w:val="24"/>
        </w:rPr>
        <w:t>,</w:t>
      </w:r>
      <w:r w:rsidR="00CF1D15">
        <w:rPr>
          <w:rFonts w:ascii="Arial" w:hAnsi="Arial" w:cs="Arial"/>
          <w:sz w:val="24"/>
          <w:szCs w:val="24"/>
        </w:rPr>
        <w:t xml:space="preserve"> damage</w:t>
      </w:r>
      <w:r w:rsidR="00257DD2">
        <w:rPr>
          <w:rFonts w:ascii="Arial" w:hAnsi="Arial" w:cs="Arial"/>
          <w:sz w:val="24"/>
          <w:szCs w:val="24"/>
        </w:rPr>
        <w:t>,</w:t>
      </w:r>
      <w:r w:rsidR="00CF1D15">
        <w:rPr>
          <w:rFonts w:ascii="Arial" w:hAnsi="Arial" w:cs="Arial"/>
          <w:sz w:val="24"/>
          <w:szCs w:val="24"/>
        </w:rPr>
        <w:t xml:space="preserve"> costs or expenses </w:t>
      </w:r>
      <w:r w:rsidR="00CF1D15" w:rsidRPr="00257DD2">
        <w:rPr>
          <w:rFonts w:ascii="Arial" w:hAnsi="Arial" w:cs="Arial"/>
          <w:sz w:val="24"/>
          <w:szCs w:val="24"/>
        </w:rPr>
        <w:t>without prejudice to any rights of the plaintiff in terms of th</w:t>
      </w:r>
      <w:r w:rsidR="00257DD2">
        <w:rPr>
          <w:rFonts w:ascii="Arial" w:hAnsi="Arial" w:cs="Arial"/>
          <w:sz w:val="24"/>
          <w:szCs w:val="24"/>
        </w:rPr>
        <w:t>e</w:t>
      </w:r>
      <w:r w:rsidR="00CF1D15" w:rsidRPr="00257DD2">
        <w:rPr>
          <w:rFonts w:ascii="Arial" w:hAnsi="Arial" w:cs="Arial"/>
          <w:sz w:val="24"/>
          <w:szCs w:val="24"/>
        </w:rPr>
        <w:t xml:space="preserve"> agreement</w:t>
      </w:r>
      <w:r w:rsidR="00257DD2">
        <w:rPr>
          <w:rFonts w:ascii="Arial" w:hAnsi="Arial" w:cs="Arial"/>
          <w:sz w:val="24"/>
          <w:szCs w:val="24"/>
        </w:rPr>
        <w:t xml:space="preserve">, </w:t>
      </w:r>
      <w:r w:rsidR="00CF1D15" w:rsidRPr="00257DD2">
        <w:rPr>
          <w:rFonts w:ascii="Arial" w:hAnsi="Arial" w:cs="Arial"/>
          <w:sz w:val="24"/>
          <w:szCs w:val="24"/>
        </w:rPr>
        <w:t>whilst</w:t>
      </w:r>
      <w:r w:rsidR="00CF1D15">
        <w:rPr>
          <w:rFonts w:ascii="Arial" w:hAnsi="Arial" w:cs="Arial"/>
          <w:sz w:val="24"/>
          <w:szCs w:val="24"/>
        </w:rPr>
        <w:t xml:space="preserve"> clause 9.2 </w:t>
      </w:r>
      <w:r w:rsidR="00257DD2">
        <w:rPr>
          <w:rFonts w:ascii="Arial" w:hAnsi="Arial" w:cs="Arial"/>
          <w:sz w:val="24"/>
          <w:szCs w:val="24"/>
        </w:rPr>
        <w:t xml:space="preserve">deals with an indemnity by the defendant in favour of the plaintiff against any claims brought by employees due to the termination of the business and </w:t>
      </w:r>
      <w:r w:rsidR="00CF1D15">
        <w:rPr>
          <w:rFonts w:ascii="Arial" w:hAnsi="Arial" w:cs="Arial"/>
          <w:i/>
          <w:sz w:val="24"/>
          <w:szCs w:val="24"/>
        </w:rPr>
        <w:t xml:space="preserve">“in light of the purchaser not taking on the employees of the </w:t>
      </w:r>
      <w:r w:rsidR="004457BE">
        <w:rPr>
          <w:rFonts w:ascii="Arial" w:hAnsi="Arial" w:cs="Arial"/>
          <w:i/>
          <w:sz w:val="24"/>
          <w:szCs w:val="24"/>
        </w:rPr>
        <w:t>S</w:t>
      </w:r>
      <w:r w:rsidR="00CF1D15">
        <w:rPr>
          <w:rFonts w:ascii="Arial" w:hAnsi="Arial" w:cs="Arial"/>
          <w:i/>
          <w:sz w:val="24"/>
          <w:szCs w:val="24"/>
        </w:rPr>
        <w:t>eller”</w:t>
      </w:r>
      <w:r w:rsidR="00257DD2">
        <w:rPr>
          <w:rFonts w:ascii="Arial" w:hAnsi="Arial" w:cs="Arial"/>
          <w:iCs/>
          <w:sz w:val="24"/>
          <w:szCs w:val="24"/>
        </w:rPr>
        <w:t xml:space="preserve">. </w:t>
      </w:r>
      <w:r w:rsidR="00CF1D15">
        <w:rPr>
          <w:rFonts w:ascii="Arial" w:hAnsi="Arial" w:cs="Arial"/>
          <w:sz w:val="24"/>
          <w:szCs w:val="24"/>
        </w:rPr>
        <w:t xml:space="preserve"> </w:t>
      </w:r>
    </w:p>
    <w:p w14:paraId="7A1C4E60" w14:textId="77777777" w:rsidR="00140065" w:rsidRDefault="00140065" w:rsidP="00140065">
      <w:pPr>
        <w:spacing w:after="0" w:line="480" w:lineRule="auto"/>
        <w:jc w:val="both"/>
        <w:rPr>
          <w:rFonts w:ascii="Arial" w:hAnsi="Arial" w:cs="Arial"/>
          <w:sz w:val="24"/>
          <w:szCs w:val="24"/>
        </w:rPr>
      </w:pPr>
    </w:p>
    <w:p w14:paraId="16DE0250" w14:textId="77777777" w:rsidR="00140065" w:rsidRDefault="00140065" w:rsidP="00140065">
      <w:pPr>
        <w:spacing w:after="0" w:line="480" w:lineRule="auto"/>
        <w:jc w:val="both"/>
        <w:rPr>
          <w:rFonts w:ascii="Arial" w:hAnsi="Arial" w:cs="Arial"/>
          <w:sz w:val="24"/>
          <w:szCs w:val="24"/>
        </w:rPr>
      </w:pPr>
    </w:p>
    <w:p w14:paraId="7CD252BC" w14:textId="7480E558" w:rsidR="004457BE" w:rsidRDefault="00CF1D15" w:rsidP="00140065">
      <w:pPr>
        <w:spacing w:after="0" w:line="480" w:lineRule="auto"/>
        <w:jc w:val="both"/>
        <w:rPr>
          <w:rFonts w:ascii="Arial" w:hAnsi="Arial" w:cs="Arial"/>
          <w:sz w:val="24"/>
          <w:szCs w:val="24"/>
        </w:rPr>
      </w:pPr>
      <w:r>
        <w:rPr>
          <w:rFonts w:ascii="Arial" w:hAnsi="Arial" w:cs="Arial"/>
          <w:sz w:val="24"/>
          <w:szCs w:val="24"/>
        </w:rPr>
        <w:t>[2</w:t>
      </w:r>
      <w:r w:rsidR="00287AE9">
        <w:rPr>
          <w:rFonts w:ascii="Arial" w:hAnsi="Arial" w:cs="Arial"/>
          <w:sz w:val="24"/>
          <w:szCs w:val="24"/>
        </w:rPr>
        <w:t>3</w:t>
      </w:r>
      <w:r>
        <w:rPr>
          <w:rFonts w:ascii="Arial" w:hAnsi="Arial" w:cs="Arial"/>
          <w:sz w:val="24"/>
          <w:szCs w:val="24"/>
        </w:rPr>
        <w:t>]</w:t>
      </w:r>
      <w:r>
        <w:rPr>
          <w:rFonts w:ascii="Arial" w:hAnsi="Arial" w:cs="Arial"/>
          <w:sz w:val="24"/>
          <w:szCs w:val="24"/>
        </w:rPr>
        <w:tab/>
      </w:r>
      <w:r w:rsidR="00257DD2">
        <w:rPr>
          <w:rFonts w:ascii="Arial" w:hAnsi="Arial" w:cs="Arial"/>
          <w:sz w:val="24"/>
          <w:szCs w:val="24"/>
        </w:rPr>
        <w:t>There can</w:t>
      </w:r>
      <w:r w:rsidR="00F43EF0">
        <w:rPr>
          <w:rFonts w:ascii="Arial" w:hAnsi="Arial" w:cs="Arial"/>
          <w:sz w:val="24"/>
          <w:szCs w:val="24"/>
        </w:rPr>
        <w:t>,</w:t>
      </w:r>
      <w:r w:rsidR="00257DD2">
        <w:rPr>
          <w:rFonts w:ascii="Arial" w:hAnsi="Arial" w:cs="Arial"/>
          <w:sz w:val="24"/>
          <w:szCs w:val="24"/>
        </w:rPr>
        <w:t xml:space="preserve"> in my view</w:t>
      </w:r>
      <w:r w:rsidR="00F43EF0">
        <w:rPr>
          <w:rFonts w:ascii="Arial" w:hAnsi="Arial" w:cs="Arial"/>
          <w:sz w:val="24"/>
          <w:szCs w:val="24"/>
        </w:rPr>
        <w:t>,</w:t>
      </w:r>
      <w:r w:rsidR="00257DD2">
        <w:rPr>
          <w:rFonts w:ascii="Arial" w:hAnsi="Arial" w:cs="Arial"/>
          <w:sz w:val="24"/>
          <w:szCs w:val="24"/>
        </w:rPr>
        <w:t xml:space="preserve"> be no doubt that the claims of </w:t>
      </w:r>
      <w:r>
        <w:rPr>
          <w:rFonts w:ascii="Arial" w:hAnsi="Arial" w:cs="Arial"/>
          <w:sz w:val="24"/>
          <w:szCs w:val="24"/>
        </w:rPr>
        <w:t>Kesse and Barrish</w:t>
      </w:r>
      <w:r w:rsidR="00257DD2">
        <w:rPr>
          <w:rFonts w:ascii="Arial" w:hAnsi="Arial" w:cs="Arial"/>
          <w:sz w:val="24"/>
          <w:szCs w:val="24"/>
        </w:rPr>
        <w:t>, who were admittedly both previously employees of the plaintiff and had lost their employment due to the termination of the business</w:t>
      </w:r>
      <w:r w:rsidR="004457BE">
        <w:rPr>
          <w:rFonts w:ascii="Arial" w:hAnsi="Arial" w:cs="Arial"/>
          <w:sz w:val="24"/>
          <w:szCs w:val="24"/>
        </w:rPr>
        <w:t xml:space="preserve"> and the fact that the defendant did not want to take over their employment contracts</w:t>
      </w:r>
      <w:r w:rsidR="00257DD2">
        <w:rPr>
          <w:rFonts w:ascii="Arial" w:hAnsi="Arial" w:cs="Arial"/>
          <w:sz w:val="24"/>
          <w:szCs w:val="24"/>
        </w:rPr>
        <w:t>, f</w:t>
      </w:r>
      <w:r>
        <w:rPr>
          <w:rFonts w:ascii="Arial" w:hAnsi="Arial" w:cs="Arial"/>
          <w:sz w:val="24"/>
          <w:szCs w:val="24"/>
        </w:rPr>
        <w:t>all squarely within the ambit of clause 9.2 of the contract</w:t>
      </w:r>
      <w:r w:rsidR="00866DC9">
        <w:rPr>
          <w:rFonts w:ascii="Arial" w:hAnsi="Arial" w:cs="Arial"/>
          <w:sz w:val="24"/>
          <w:szCs w:val="24"/>
        </w:rPr>
        <w:t>.</w:t>
      </w:r>
    </w:p>
    <w:p w14:paraId="0FEB69CB" w14:textId="77777777" w:rsidR="00140065" w:rsidRDefault="00140065" w:rsidP="00140065">
      <w:pPr>
        <w:spacing w:after="0" w:line="480" w:lineRule="auto"/>
        <w:jc w:val="both"/>
        <w:rPr>
          <w:rFonts w:ascii="Arial" w:hAnsi="Arial" w:cs="Arial"/>
          <w:sz w:val="24"/>
          <w:szCs w:val="24"/>
        </w:rPr>
      </w:pPr>
    </w:p>
    <w:p w14:paraId="76635BB9" w14:textId="32AFDC5E" w:rsidR="004D6065" w:rsidRDefault="00287AE9" w:rsidP="00140065">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457BE">
        <w:rPr>
          <w:rFonts w:ascii="Arial" w:hAnsi="Arial" w:cs="Arial"/>
          <w:sz w:val="24"/>
          <w:szCs w:val="24"/>
        </w:rPr>
        <w:t>The evidence of Mr Knoetzen</w:t>
      </w:r>
      <w:r w:rsidR="00F43EF0">
        <w:rPr>
          <w:rFonts w:ascii="Arial" w:hAnsi="Arial" w:cs="Arial"/>
          <w:sz w:val="24"/>
          <w:szCs w:val="24"/>
        </w:rPr>
        <w:t>,</w:t>
      </w:r>
      <w:r w:rsidR="004457BE">
        <w:rPr>
          <w:rFonts w:ascii="Arial" w:hAnsi="Arial" w:cs="Arial"/>
          <w:sz w:val="24"/>
          <w:szCs w:val="24"/>
        </w:rPr>
        <w:t xml:space="preserve"> that in his opinion clause 9.2 meant that should his or Mr Batt’s services with the defendant terminate for any reason, the plaintiff would be indemnified in respect of any claims by them (and not Kesse or Barrish), was simply </w:t>
      </w:r>
      <w:r w:rsidR="003A2E6E">
        <w:rPr>
          <w:rFonts w:ascii="Arial" w:hAnsi="Arial" w:cs="Arial"/>
          <w:sz w:val="24"/>
          <w:szCs w:val="24"/>
        </w:rPr>
        <w:t xml:space="preserve">far-fetched </w:t>
      </w:r>
      <w:r w:rsidR="004457BE">
        <w:rPr>
          <w:rFonts w:ascii="Arial" w:hAnsi="Arial" w:cs="Arial"/>
          <w:sz w:val="24"/>
          <w:szCs w:val="24"/>
        </w:rPr>
        <w:t xml:space="preserve">and </w:t>
      </w:r>
      <w:r w:rsidR="004D6065">
        <w:rPr>
          <w:rFonts w:ascii="Arial" w:hAnsi="Arial" w:cs="Arial"/>
          <w:sz w:val="24"/>
          <w:szCs w:val="24"/>
        </w:rPr>
        <w:t>contrary to the clear wording of the contract of sale.</w:t>
      </w:r>
    </w:p>
    <w:p w14:paraId="1FA5CC1B" w14:textId="77777777" w:rsidR="00140065" w:rsidRDefault="00140065" w:rsidP="00140065">
      <w:pPr>
        <w:spacing w:after="0" w:line="480" w:lineRule="auto"/>
        <w:jc w:val="both"/>
        <w:rPr>
          <w:rFonts w:ascii="Arial" w:hAnsi="Arial" w:cs="Arial"/>
          <w:sz w:val="24"/>
          <w:szCs w:val="24"/>
        </w:rPr>
      </w:pPr>
    </w:p>
    <w:p w14:paraId="217D95B5" w14:textId="1F6B1AA4" w:rsidR="003A2E6E" w:rsidRDefault="00287AE9" w:rsidP="00140065">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D6065">
        <w:rPr>
          <w:rFonts w:ascii="Arial" w:hAnsi="Arial" w:cs="Arial"/>
          <w:sz w:val="24"/>
          <w:szCs w:val="24"/>
        </w:rPr>
        <w:t>In respect of whether, within the context of clause 9.2, the business of the plaintiff terminated, the common cause facts speaks for themselves: without the assets and stock which includes the name Harken, the</w:t>
      </w:r>
      <w:r w:rsidR="00BD668E">
        <w:rPr>
          <w:rFonts w:ascii="Arial" w:hAnsi="Arial" w:cs="Arial"/>
          <w:sz w:val="24"/>
          <w:szCs w:val="24"/>
        </w:rPr>
        <w:t>re</w:t>
      </w:r>
      <w:r w:rsidR="004D6065">
        <w:rPr>
          <w:rFonts w:ascii="Arial" w:hAnsi="Arial" w:cs="Arial"/>
          <w:sz w:val="24"/>
          <w:szCs w:val="24"/>
        </w:rPr>
        <w:t xml:space="preserve"> was no business. The business terminated on 12 September 2019 and the defendant indemnified the plaintiff in respect of any claims by its previous employees</w:t>
      </w:r>
      <w:r w:rsidR="00F43EF0">
        <w:rPr>
          <w:rFonts w:ascii="Arial" w:hAnsi="Arial" w:cs="Arial"/>
          <w:sz w:val="24"/>
          <w:szCs w:val="24"/>
        </w:rPr>
        <w:t>,</w:t>
      </w:r>
      <w:r w:rsidR="004D6065">
        <w:rPr>
          <w:rFonts w:ascii="Arial" w:hAnsi="Arial" w:cs="Arial"/>
          <w:sz w:val="24"/>
          <w:szCs w:val="24"/>
        </w:rPr>
        <w:t xml:space="preserve"> Kess and Barrish. Mr Venter did not need to inform nor did he need to obtain the consent of the defendant in order to settle the claims of these employees at the CCMA</w:t>
      </w:r>
      <w:r w:rsidR="003A2E6E">
        <w:rPr>
          <w:rFonts w:ascii="Arial" w:hAnsi="Arial" w:cs="Arial"/>
          <w:sz w:val="24"/>
          <w:szCs w:val="24"/>
        </w:rPr>
        <w:t xml:space="preserve"> in order to rely on the indemnity clause. The evidence in the court </w:t>
      </w:r>
      <w:r w:rsidR="003A2E6E" w:rsidRPr="003A2E6E">
        <w:rPr>
          <w:rFonts w:ascii="Arial" w:hAnsi="Arial" w:cs="Arial"/>
          <w:i/>
          <w:iCs/>
          <w:sz w:val="24"/>
          <w:szCs w:val="24"/>
        </w:rPr>
        <w:t>a quo</w:t>
      </w:r>
      <w:r w:rsidR="003A2E6E">
        <w:rPr>
          <w:rFonts w:ascii="Arial" w:hAnsi="Arial" w:cs="Arial"/>
          <w:sz w:val="24"/>
          <w:szCs w:val="24"/>
        </w:rPr>
        <w:t xml:space="preserve"> pertaining to whether or not the defendant was aware of the claims by employees of the plaintiff and had agreed to the amount settled upon for purpose of their claims, similarly unnecessarily burdened the proceedings in the court </w:t>
      </w:r>
      <w:r w:rsidR="003A2E6E" w:rsidRPr="003A2E6E">
        <w:rPr>
          <w:rFonts w:ascii="Arial" w:hAnsi="Arial" w:cs="Arial"/>
          <w:i/>
          <w:iCs/>
          <w:sz w:val="24"/>
          <w:szCs w:val="24"/>
        </w:rPr>
        <w:t>a quo</w:t>
      </w:r>
      <w:r w:rsidR="003A2E6E">
        <w:rPr>
          <w:rFonts w:ascii="Arial" w:hAnsi="Arial" w:cs="Arial"/>
          <w:sz w:val="24"/>
          <w:szCs w:val="24"/>
        </w:rPr>
        <w:t>.</w:t>
      </w:r>
    </w:p>
    <w:p w14:paraId="6CFF7BE4" w14:textId="77777777" w:rsidR="00140065" w:rsidRDefault="00140065" w:rsidP="00140065">
      <w:pPr>
        <w:spacing w:after="0" w:line="480" w:lineRule="auto"/>
        <w:jc w:val="both"/>
        <w:rPr>
          <w:rFonts w:ascii="Arial" w:hAnsi="Arial" w:cs="Arial"/>
          <w:sz w:val="24"/>
          <w:szCs w:val="24"/>
        </w:rPr>
      </w:pPr>
    </w:p>
    <w:p w14:paraId="43B3F898" w14:textId="1DC36B7E" w:rsidR="0098169F" w:rsidRDefault="00CA082E" w:rsidP="00140065">
      <w:pPr>
        <w:spacing w:after="0" w:line="480" w:lineRule="auto"/>
        <w:jc w:val="both"/>
        <w:rPr>
          <w:rFonts w:ascii="Arial" w:hAnsi="Arial" w:cs="Arial"/>
          <w:sz w:val="24"/>
          <w:szCs w:val="24"/>
        </w:rPr>
      </w:pPr>
      <w:r>
        <w:rPr>
          <w:rFonts w:ascii="Arial" w:hAnsi="Arial" w:cs="Arial"/>
          <w:sz w:val="24"/>
          <w:szCs w:val="24"/>
        </w:rPr>
        <w:lastRenderedPageBreak/>
        <w:t>[</w:t>
      </w:r>
      <w:r w:rsidR="00287AE9">
        <w:rPr>
          <w:rFonts w:ascii="Arial" w:hAnsi="Arial" w:cs="Arial"/>
          <w:sz w:val="24"/>
          <w:szCs w:val="24"/>
        </w:rPr>
        <w:t>2</w:t>
      </w:r>
      <w:r w:rsidR="00C82F04">
        <w:rPr>
          <w:rFonts w:ascii="Arial" w:hAnsi="Arial" w:cs="Arial"/>
          <w:sz w:val="24"/>
          <w:szCs w:val="24"/>
        </w:rPr>
        <w:t>6</w:t>
      </w:r>
      <w:r>
        <w:rPr>
          <w:rFonts w:ascii="Arial" w:hAnsi="Arial" w:cs="Arial"/>
          <w:sz w:val="24"/>
          <w:szCs w:val="24"/>
        </w:rPr>
        <w:t>]</w:t>
      </w:r>
      <w:r>
        <w:rPr>
          <w:rFonts w:ascii="Arial" w:hAnsi="Arial" w:cs="Arial"/>
          <w:sz w:val="24"/>
          <w:szCs w:val="24"/>
        </w:rPr>
        <w:tab/>
      </w:r>
      <w:r w:rsidR="002825DC" w:rsidRPr="007A538C">
        <w:rPr>
          <w:rFonts w:ascii="Arial" w:hAnsi="Arial" w:cs="Arial"/>
          <w:sz w:val="24"/>
          <w:szCs w:val="24"/>
        </w:rPr>
        <w:t xml:space="preserve">Accordingly, the payments made by the Plaintiff in respect of the said employees’ claims, were payments made in respect of claims by employees, as provided for in terms of clause 9.2 of the sale agreement, </w:t>
      </w:r>
      <w:r w:rsidR="00807BD5">
        <w:rPr>
          <w:rFonts w:ascii="Arial" w:hAnsi="Arial" w:cs="Arial"/>
          <w:sz w:val="24"/>
          <w:szCs w:val="24"/>
        </w:rPr>
        <w:t>w</w:t>
      </w:r>
      <w:r w:rsidR="002825DC" w:rsidRPr="007A538C">
        <w:rPr>
          <w:rFonts w:ascii="Arial" w:hAnsi="Arial" w:cs="Arial"/>
          <w:sz w:val="24"/>
          <w:szCs w:val="24"/>
        </w:rPr>
        <w:t xml:space="preserve">hich payments are covered by the </w:t>
      </w:r>
      <w:r w:rsidR="00884614" w:rsidRPr="007A538C">
        <w:rPr>
          <w:rFonts w:ascii="Arial" w:hAnsi="Arial" w:cs="Arial"/>
          <w:sz w:val="24"/>
          <w:szCs w:val="24"/>
        </w:rPr>
        <w:t xml:space="preserve">Indemnity provided by the </w:t>
      </w:r>
      <w:r w:rsidR="00807BD5">
        <w:rPr>
          <w:rFonts w:ascii="Arial" w:hAnsi="Arial" w:cs="Arial"/>
          <w:sz w:val="24"/>
          <w:szCs w:val="24"/>
        </w:rPr>
        <w:t>d</w:t>
      </w:r>
      <w:r w:rsidR="00884614" w:rsidRPr="007A538C">
        <w:rPr>
          <w:rFonts w:ascii="Arial" w:hAnsi="Arial" w:cs="Arial"/>
          <w:sz w:val="24"/>
          <w:szCs w:val="24"/>
        </w:rPr>
        <w:t>efendant contained in clause 9.2 of the agreement.</w:t>
      </w:r>
    </w:p>
    <w:p w14:paraId="6EE04BA0" w14:textId="77777777" w:rsidR="00140065" w:rsidRDefault="00140065" w:rsidP="00140065">
      <w:pPr>
        <w:spacing w:after="0" w:line="480" w:lineRule="auto"/>
        <w:jc w:val="both"/>
        <w:rPr>
          <w:rFonts w:ascii="Arial" w:hAnsi="Arial" w:cs="Arial"/>
          <w:sz w:val="24"/>
          <w:szCs w:val="24"/>
        </w:rPr>
      </w:pPr>
    </w:p>
    <w:p w14:paraId="1FDB728D" w14:textId="6222DF60" w:rsidR="00230577" w:rsidRPr="00C57CE0" w:rsidRDefault="00230577" w:rsidP="00140065">
      <w:pPr>
        <w:spacing w:after="0" w:line="480" w:lineRule="auto"/>
        <w:jc w:val="both"/>
        <w:rPr>
          <w:rFonts w:ascii="Arial" w:hAnsi="Arial" w:cs="Arial"/>
          <w:sz w:val="24"/>
          <w:szCs w:val="24"/>
        </w:rPr>
      </w:pPr>
      <w:r w:rsidRPr="00C57CE0">
        <w:rPr>
          <w:rFonts w:ascii="Arial" w:hAnsi="Arial" w:cs="Arial"/>
          <w:sz w:val="24"/>
          <w:szCs w:val="24"/>
        </w:rPr>
        <w:t>[2</w:t>
      </w:r>
      <w:r w:rsidR="00C82F04">
        <w:rPr>
          <w:rFonts w:ascii="Arial" w:hAnsi="Arial" w:cs="Arial"/>
          <w:sz w:val="24"/>
          <w:szCs w:val="24"/>
        </w:rPr>
        <w:t>7</w:t>
      </w:r>
      <w:r w:rsidRPr="00C57CE0">
        <w:rPr>
          <w:rFonts w:ascii="Arial" w:hAnsi="Arial" w:cs="Arial"/>
          <w:sz w:val="24"/>
          <w:szCs w:val="24"/>
        </w:rPr>
        <w:t>]</w:t>
      </w:r>
      <w:r w:rsidRPr="00C57CE0">
        <w:rPr>
          <w:rFonts w:ascii="Arial" w:hAnsi="Arial" w:cs="Arial"/>
          <w:sz w:val="24"/>
          <w:szCs w:val="24"/>
        </w:rPr>
        <w:tab/>
        <w:t>In the circumstances, the following order is made:</w:t>
      </w:r>
    </w:p>
    <w:p w14:paraId="40C65840" w14:textId="68786E13" w:rsidR="00230577" w:rsidRPr="00C57CE0" w:rsidRDefault="00230577" w:rsidP="00140065">
      <w:pPr>
        <w:spacing w:after="0" w:line="480" w:lineRule="auto"/>
        <w:jc w:val="both"/>
        <w:rPr>
          <w:rFonts w:ascii="Arial" w:hAnsi="Arial" w:cs="Arial"/>
          <w:sz w:val="24"/>
          <w:szCs w:val="24"/>
        </w:rPr>
      </w:pPr>
      <w:r>
        <w:rPr>
          <w:rFonts w:ascii="Arial" w:hAnsi="Arial" w:cs="Arial"/>
          <w:sz w:val="24"/>
          <w:szCs w:val="24"/>
        </w:rPr>
        <w:tab/>
      </w:r>
      <w:r w:rsidR="00807BD5">
        <w:rPr>
          <w:rFonts w:ascii="Arial" w:hAnsi="Arial" w:cs="Arial"/>
          <w:sz w:val="24"/>
          <w:szCs w:val="24"/>
        </w:rPr>
        <w:t>1.</w:t>
      </w:r>
      <w:r w:rsidR="00807BD5">
        <w:rPr>
          <w:rFonts w:ascii="Arial" w:hAnsi="Arial" w:cs="Arial"/>
          <w:sz w:val="24"/>
          <w:szCs w:val="24"/>
        </w:rPr>
        <w:tab/>
      </w:r>
      <w:r w:rsidRPr="00C57CE0">
        <w:rPr>
          <w:rFonts w:ascii="Arial" w:hAnsi="Arial" w:cs="Arial"/>
          <w:sz w:val="24"/>
          <w:szCs w:val="24"/>
        </w:rPr>
        <w:t>The appeal is upheld</w:t>
      </w:r>
      <w:r w:rsidR="00807BD5">
        <w:rPr>
          <w:rFonts w:ascii="Arial" w:hAnsi="Arial" w:cs="Arial"/>
          <w:sz w:val="24"/>
          <w:szCs w:val="24"/>
        </w:rPr>
        <w:t xml:space="preserve"> with costs.</w:t>
      </w:r>
    </w:p>
    <w:p w14:paraId="14345E9A" w14:textId="359B4E0A" w:rsidR="00230577" w:rsidRPr="00C57CE0" w:rsidRDefault="00807BD5" w:rsidP="00140065">
      <w:pPr>
        <w:spacing w:after="0" w:line="48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0577" w:rsidRPr="00C57CE0">
        <w:rPr>
          <w:rFonts w:ascii="Arial" w:hAnsi="Arial" w:cs="Arial"/>
          <w:sz w:val="24"/>
          <w:szCs w:val="24"/>
        </w:rPr>
        <w:t xml:space="preserve">The order of the court </w:t>
      </w:r>
      <w:r w:rsidR="00230577" w:rsidRPr="00C57CE0">
        <w:rPr>
          <w:rFonts w:ascii="Arial" w:hAnsi="Arial" w:cs="Arial"/>
          <w:i/>
          <w:sz w:val="24"/>
          <w:szCs w:val="24"/>
        </w:rPr>
        <w:t xml:space="preserve">a quo </w:t>
      </w:r>
      <w:r w:rsidR="00230577" w:rsidRPr="00C57CE0">
        <w:rPr>
          <w:rFonts w:ascii="Arial" w:hAnsi="Arial" w:cs="Arial"/>
          <w:sz w:val="24"/>
          <w:szCs w:val="24"/>
        </w:rPr>
        <w:t>is set aside and replaced with the following:</w:t>
      </w:r>
    </w:p>
    <w:p w14:paraId="381DFB22" w14:textId="3990F964" w:rsidR="00230577" w:rsidRDefault="00807BD5" w:rsidP="00140065">
      <w:pPr>
        <w:spacing w:after="0" w:line="480" w:lineRule="auto"/>
        <w:ind w:left="144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30577" w:rsidRPr="00C57CE0">
        <w:rPr>
          <w:rFonts w:ascii="Arial" w:hAnsi="Arial" w:cs="Arial"/>
          <w:sz w:val="24"/>
          <w:szCs w:val="24"/>
        </w:rPr>
        <w:t>The defendant is ordered to make payment to the plaintiff in the amount of R324 010.00;</w:t>
      </w:r>
    </w:p>
    <w:p w14:paraId="7138223D" w14:textId="11E8143A" w:rsidR="00230577" w:rsidRDefault="00807BD5" w:rsidP="00140065">
      <w:pPr>
        <w:spacing w:after="0" w:line="480" w:lineRule="auto"/>
        <w:ind w:left="144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30577" w:rsidRPr="00C57CE0">
        <w:rPr>
          <w:rFonts w:ascii="Arial" w:hAnsi="Arial" w:cs="Arial"/>
          <w:sz w:val="24"/>
          <w:szCs w:val="24"/>
        </w:rPr>
        <w:t>The defendant is ordered to pay interest on the aforementioned amount calculated at the rate of 7,25% per annum from 26 August 2020 to date of payment; and</w:t>
      </w:r>
    </w:p>
    <w:p w14:paraId="118664AA" w14:textId="273CC00C" w:rsidR="00230577" w:rsidRPr="00807BD5" w:rsidRDefault="00807BD5" w:rsidP="00140065">
      <w:pPr>
        <w:spacing w:after="0" w:line="480" w:lineRule="auto"/>
        <w:ind w:left="144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30577" w:rsidRPr="00807BD5">
        <w:rPr>
          <w:rFonts w:ascii="Arial" w:hAnsi="Arial" w:cs="Arial"/>
          <w:sz w:val="24"/>
          <w:szCs w:val="24"/>
        </w:rPr>
        <w:t>The defendant is ordered to pay the plaintiff’s costs in the action.</w:t>
      </w:r>
    </w:p>
    <w:p w14:paraId="1D8F7CB4" w14:textId="77777777" w:rsidR="00287AE9" w:rsidRDefault="00287AE9" w:rsidP="00140065">
      <w:pPr>
        <w:spacing w:after="0"/>
        <w:jc w:val="right"/>
        <w:rPr>
          <w:rFonts w:ascii="Arial" w:eastAsia="Calibri" w:hAnsi="Arial" w:cs="Arial"/>
          <w:sz w:val="24"/>
          <w:szCs w:val="24"/>
        </w:rPr>
      </w:pPr>
    </w:p>
    <w:p w14:paraId="71F89DCF" w14:textId="77777777" w:rsidR="00140065" w:rsidRDefault="00140065" w:rsidP="00140065">
      <w:pPr>
        <w:spacing w:after="0" w:line="240" w:lineRule="auto"/>
        <w:jc w:val="right"/>
        <w:rPr>
          <w:rFonts w:ascii="Arial" w:eastAsia="Calibri" w:hAnsi="Arial" w:cs="Arial"/>
          <w:sz w:val="24"/>
          <w:szCs w:val="24"/>
        </w:rPr>
      </w:pPr>
    </w:p>
    <w:p w14:paraId="4EB58B58" w14:textId="77777777" w:rsidR="00140065" w:rsidRDefault="00140065" w:rsidP="00140065">
      <w:pPr>
        <w:spacing w:after="0" w:line="240" w:lineRule="auto"/>
        <w:jc w:val="right"/>
        <w:rPr>
          <w:rFonts w:ascii="Arial" w:eastAsia="Calibri" w:hAnsi="Arial" w:cs="Arial"/>
          <w:sz w:val="24"/>
          <w:szCs w:val="24"/>
        </w:rPr>
      </w:pPr>
    </w:p>
    <w:p w14:paraId="20C2F362" w14:textId="20754A71" w:rsidR="00CA082E" w:rsidRPr="00CA082E" w:rsidRDefault="00CA082E" w:rsidP="00140065">
      <w:pPr>
        <w:spacing w:after="0" w:line="240" w:lineRule="auto"/>
        <w:jc w:val="right"/>
        <w:rPr>
          <w:rFonts w:ascii="Arial" w:eastAsia="Calibri" w:hAnsi="Arial" w:cs="Arial"/>
          <w:sz w:val="24"/>
          <w:szCs w:val="24"/>
        </w:rPr>
      </w:pPr>
      <w:r w:rsidRPr="00CA082E">
        <w:rPr>
          <w:rFonts w:ascii="Arial" w:eastAsia="Calibri" w:hAnsi="Arial" w:cs="Arial"/>
          <w:sz w:val="24"/>
          <w:szCs w:val="24"/>
        </w:rPr>
        <w:t>_____________________________</w:t>
      </w:r>
    </w:p>
    <w:p w14:paraId="71FFC37A" w14:textId="77777777" w:rsidR="00CA082E" w:rsidRPr="00CA082E" w:rsidRDefault="00CA082E" w:rsidP="00140065">
      <w:pPr>
        <w:spacing w:after="0" w:line="240" w:lineRule="auto"/>
        <w:jc w:val="right"/>
        <w:rPr>
          <w:rFonts w:ascii="Arial" w:eastAsia="Calibri" w:hAnsi="Arial" w:cs="Arial"/>
          <w:b/>
          <w:bCs/>
          <w:sz w:val="24"/>
          <w:szCs w:val="24"/>
        </w:rPr>
      </w:pPr>
      <w:r w:rsidRPr="00CA082E">
        <w:rPr>
          <w:rFonts w:ascii="Arial" w:eastAsia="Calibri" w:hAnsi="Arial" w:cs="Arial"/>
          <w:b/>
          <w:bCs/>
          <w:sz w:val="24"/>
          <w:szCs w:val="24"/>
        </w:rPr>
        <w:t xml:space="preserve">                A De Wet</w:t>
      </w:r>
    </w:p>
    <w:p w14:paraId="7BFB0718" w14:textId="77777777" w:rsidR="00CA082E" w:rsidRPr="00CA082E" w:rsidRDefault="00CA082E" w:rsidP="00140065">
      <w:pPr>
        <w:spacing w:after="0" w:line="240" w:lineRule="auto"/>
        <w:jc w:val="right"/>
        <w:rPr>
          <w:rFonts w:ascii="Arial" w:eastAsia="Calibri" w:hAnsi="Arial" w:cs="Arial"/>
          <w:b/>
          <w:bCs/>
          <w:sz w:val="24"/>
          <w:szCs w:val="24"/>
        </w:rPr>
      </w:pPr>
      <w:r w:rsidRPr="00CA082E">
        <w:rPr>
          <w:rFonts w:ascii="Arial" w:eastAsia="Calibri" w:hAnsi="Arial" w:cs="Arial"/>
          <w:b/>
          <w:bCs/>
          <w:sz w:val="24"/>
          <w:szCs w:val="24"/>
        </w:rPr>
        <w:t>Acting Judge of the High Court</w:t>
      </w:r>
    </w:p>
    <w:p w14:paraId="7170441E" w14:textId="6EBFD95B" w:rsidR="00BD668E" w:rsidRDefault="00807BD5" w:rsidP="00140065">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5CC47A17" w14:textId="77777777" w:rsidR="00F43EF0" w:rsidRDefault="00807BD5" w:rsidP="00140065">
      <w:pPr>
        <w:spacing w:after="0" w:line="240" w:lineRule="auto"/>
        <w:rPr>
          <w:rFonts w:ascii="Arial" w:eastAsia="Calibri" w:hAnsi="Arial" w:cs="Arial"/>
          <w:sz w:val="24"/>
          <w:szCs w:val="24"/>
        </w:rPr>
      </w:pPr>
      <w:r>
        <w:rPr>
          <w:rFonts w:ascii="Arial" w:eastAsia="Calibri" w:hAnsi="Arial" w:cs="Arial"/>
          <w:sz w:val="24"/>
          <w:szCs w:val="24"/>
        </w:rPr>
        <w:tab/>
      </w:r>
    </w:p>
    <w:p w14:paraId="5ABF8373" w14:textId="77777777" w:rsidR="00F43EF0" w:rsidRDefault="00F43EF0" w:rsidP="00140065">
      <w:pPr>
        <w:spacing w:after="0" w:line="240" w:lineRule="auto"/>
        <w:rPr>
          <w:rFonts w:ascii="Arial" w:eastAsia="Calibri" w:hAnsi="Arial" w:cs="Arial"/>
          <w:sz w:val="24"/>
          <w:szCs w:val="24"/>
        </w:rPr>
      </w:pPr>
    </w:p>
    <w:p w14:paraId="499842AD" w14:textId="18C86460" w:rsidR="00CA082E" w:rsidRDefault="00807BD5" w:rsidP="00140065">
      <w:pPr>
        <w:spacing w:after="0" w:line="240" w:lineRule="auto"/>
        <w:ind w:firstLine="720"/>
        <w:rPr>
          <w:rFonts w:ascii="Arial" w:eastAsia="Calibri" w:hAnsi="Arial" w:cs="Arial"/>
          <w:sz w:val="24"/>
          <w:szCs w:val="24"/>
        </w:rPr>
      </w:pPr>
      <w:r>
        <w:rPr>
          <w:rFonts w:ascii="Arial" w:eastAsia="Calibri" w:hAnsi="Arial" w:cs="Arial"/>
          <w:sz w:val="24"/>
          <w:szCs w:val="24"/>
        </w:rPr>
        <w:t>I agree:</w:t>
      </w:r>
    </w:p>
    <w:p w14:paraId="44A81F1E" w14:textId="651A678A" w:rsidR="00807BD5" w:rsidRDefault="006933BF" w:rsidP="00140065">
      <w:pPr>
        <w:spacing w:after="0" w:line="240" w:lineRule="auto"/>
        <w:rPr>
          <w:rFonts w:ascii="Arial" w:eastAsia="Calibri" w:hAnsi="Arial" w:cs="Arial"/>
          <w:sz w:val="24"/>
          <w:szCs w:val="24"/>
        </w:rPr>
      </w:pPr>
      <w:r>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r>
      <w:r w:rsidR="00807BD5">
        <w:rPr>
          <w:rFonts w:ascii="Arial" w:eastAsia="Calibri" w:hAnsi="Arial" w:cs="Arial"/>
          <w:sz w:val="24"/>
          <w:szCs w:val="24"/>
        </w:rPr>
        <w:tab/>
        <w:t>__________________________</w:t>
      </w:r>
    </w:p>
    <w:p w14:paraId="3C64995E" w14:textId="3CA49D41" w:rsidR="00807BD5" w:rsidRPr="00807BD5" w:rsidRDefault="00807BD5" w:rsidP="00140065">
      <w:pPr>
        <w:spacing w:after="0" w:line="240" w:lineRule="auto"/>
        <w:rPr>
          <w:rFonts w:ascii="Arial" w:eastAsia="Calibri" w:hAnsi="Arial" w:cs="Arial"/>
          <w:b/>
          <w:bCs/>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sidRPr="00807BD5">
        <w:rPr>
          <w:rFonts w:ascii="Arial" w:eastAsia="Calibri" w:hAnsi="Arial" w:cs="Arial"/>
          <w:b/>
          <w:bCs/>
          <w:sz w:val="24"/>
          <w:szCs w:val="24"/>
        </w:rPr>
        <w:t>N Erasmus</w:t>
      </w:r>
    </w:p>
    <w:p w14:paraId="5E0BBA90" w14:textId="42F6CDE3" w:rsidR="00807BD5" w:rsidRDefault="00807BD5" w:rsidP="00140065">
      <w:pPr>
        <w:spacing w:after="0" w:line="240" w:lineRule="auto"/>
        <w:rPr>
          <w:rFonts w:ascii="Arial" w:eastAsia="Calibri" w:hAnsi="Arial" w:cs="Arial"/>
          <w:b/>
          <w:bCs/>
          <w:sz w:val="24"/>
          <w:szCs w:val="24"/>
        </w:rPr>
      </w:pP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sidRPr="00807BD5">
        <w:rPr>
          <w:rFonts w:ascii="Arial" w:eastAsia="Calibri" w:hAnsi="Arial" w:cs="Arial"/>
          <w:b/>
          <w:bCs/>
          <w:sz w:val="24"/>
          <w:szCs w:val="24"/>
        </w:rPr>
        <w:tab/>
      </w:r>
      <w:r>
        <w:rPr>
          <w:rFonts w:ascii="Arial" w:eastAsia="Calibri" w:hAnsi="Arial" w:cs="Arial"/>
          <w:b/>
          <w:bCs/>
          <w:sz w:val="24"/>
          <w:szCs w:val="24"/>
        </w:rPr>
        <w:t xml:space="preserve">          </w:t>
      </w:r>
      <w:r w:rsidRPr="00807BD5">
        <w:rPr>
          <w:rFonts w:ascii="Arial" w:eastAsia="Calibri" w:hAnsi="Arial" w:cs="Arial"/>
          <w:b/>
          <w:bCs/>
          <w:sz w:val="24"/>
          <w:szCs w:val="24"/>
        </w:rPr>
        <w:t>Judge of the High Court</w:t>
      </w:r>
    </w:p>
    <w:p w14:paraId="114564CB" w14:textId="0BEECEF4" w:rsidR="00F43EF0" w:rsidRDefault="00F43EF0" w:rsidP="00140065">
      <w:pPr>
        <w:spacing w:after="0" w:line="360" w:lineRule="auto"/>
        <w:rPr>
          <w:rFonts w:ascii="Arial" w:eastAsia="Calibri" w:hAnsi="Arial" w:cs="Arial"/>
          <w:b/>
          <w:bCs/>
          <w:sz w:val="24"/>
          <w:szCs w:val="24"/>
        </w:rPr>
      </w:pPr>
    </w:p>
    <w:p w14:paraId="638627E2" w14:textId="27434749" w:rsidR="00F43EF0" w:rsidRPr="00807BD5" w:rsidRDefault="00F43EF0" w:rsidP="00140065">
      <w:pPr>
        <w:spacing w:after="0" w:line="360" w:lineRule="auto"/>
        <w:rPr>
          <w:rFonts w:ascii="Arial" w:eastAsia="Calibri" w:hAnsi="Arial" w:cs="Arial"/>
          <w:b/>
          <w:bCs/>
          <w:sz w:val="24"/>
          <w:szCs w:val="24"/>
        </w:rPr>
      </w:pPr>
      <w:r>
        <w:rPr>
          <w:rFonts w:ascii="Arial" w:eastAsia="Calibri" w:hAnsi="Arial" w:cs="Arial"/>
          <w:b/>
          <w:bCs/>
          <w:sz w:val="24"/>
          <w:szCs w:val="24"/>
        </w:rPr>
        <w:tab/>
        <w:t>IT IS SO ORDERED</w:t>
      </w:r>
    </w:p>
    <w:p w14:paraId="2BA33B32" w14:textId="77777777" w:rsidR="00F43EF0" w:rsidRDefault="00F43EF0" w:rsidP="00140065">
      <w:pPr>
        <w:spacing w:after="0" w:line="259" w:lineRule="auto"/>
        <w:rPr>
          <w:rFonts w:ascii="Arial" w:eastAsia="Calibri" w:hAnsi="Arial" w:cs="Arial"/>
          <w:sz w:val="24"/>
          <w:szCs w:val="24"/>
        </w:rPr>
      </w:pPr>
      <w:r>
        <w:rPr>
          <w:rFonts w:ascii="Arial" w:eastAsia="Calibri" w:hAnsi="Arial" w:cs="Arial"/>
          <w:sz w:val="24"/>
          <w:szCs w:val="24"/>
        </w:rPr>
        <w:br w:type="page"/>
      </w:r>
    </w:p>
    <w:p w14:paraId="7142B0E0" w14:textId="606C0907" w:rsidR="00CA082E" w:rsidRPr="00CA082E" w:rsidRDefault="00CA082E" w:rsidP="00140065">
      <w:pPr>
        <w:spacing w:after="0" w:line="240" w:lineRule="auto"/>
        <w:rPr>
          <w:rFonts w:ascii="Arial" w:eastAsia="Calibri" w:hAnsi="Arial" w:cs="Arial"/>
          <w:sz w:val="24"/>
          <w:szCs w:val="24"/>
        </w:rPr>
      </w:pPr>
      <w:r w:rsidRPr="00CA082E">
        <w:rPr>
          <w:rFonts w:ascii="Arial" w:eastAsia="Calibri" w:hAnsi="Arial" w:cs="Arial"/>
          <w:sz w:val="24"/>
          <w:szCs w:val="24"/>
        </w:rPr>
        <w:lastRenderedPageBreak/>
        <w:t xml:space="preserve">Counsel for </w:t>
      </w:r>
      <w:r>
        <w:rPr>
          <w:rFonts w:ascii="Arial" w:eastAsia="Calibri" w:hAnsi="Arial" w:cs="Arial"/>
          <w:sz w:val="24"/>
          <w:szCs w:val="24"/>
        </w:rPr>
        <w:t>Appellant</w:t>
      </w:r>
      <w:r w:rsidRPr="00CA082E">
        <w:rPr>
          <w:rFonts w:ascii="Arial" w:eastAsia="Calibri" w:hAnsi="Arial" w:cs="Arial"/>
          <w:sz w:val="24"/>
          <w:szCs w:val="24"/>
        </w:rPr>
        <w:t>:</w:t>
      </w:r>
      <w:r w:rsidR="006933BF">
        <w:rPr>
          <w:rFonts w:ascii="Arial" w:eastAsia="Calibri" w:hAnsi="Arial" w:cs="Arial"/>
          <w:sz w:val="24"/>
          <w:szCs w:val="24"/>
        </w:rPr>
        <w:t xml:space="preserve">    </w:t>
      </w:r>
      <w:r w:rsidR="006933BF">
        <w:rPr>
          <w:rFonts w:ascii="Arial" w:eastAsia="Calibri" w:hAnsi="Arial" w:cs="Arial"/>
          <w:sz w:val="24"/>
          <w:szCs w:val="24"/>
        </w:rPr>
        <w:tab/>
        <w:t>Adv. D Coetzee</w:t>
      </w:r>
      <w:r w:rsidRPr="00CA082E">
        <w:rPr>
          <w:rFonts w:ascii="Arial" w:eastAsia="Calibri" w:hAnsi="Arial" w:cs="Arial"/>
          <w:sz w:val="24"/>
          <w:szCs w:val="24"/>
        </w:rPr>
        <w:tab/>
      </w:r>
    </w:p>
    <w:p w14:paraId="7ECA4C91" w14:textId="2E8B2F28" w:rsidR="006933BF" w:rsidRDefault="00CA082E" w:rsidP="00140065">
      <w:pPr>
        <w:spacing w:after="0" w:line="240" w:lineRule="auto"/>
        <w:rPr>
          <w:rFonts w:ascii="Arial" w:eastAsia="Calibri" w:hAnsi="Arial" w:cs="Arial"/>
          <w:sz w:val="24"/>
          <w:szCs w:val="24"/>
        </w:rPr>
      </w:pPr>
      <w:r w:rsidRPr="00CA082E">
        <w:rPr>
          <w:rFonts w:ascii="Arial" w:eastAsia="Calibri" w:hAnsi="Arial" w:cs="Arial"/>
          <w:sz w:val="24"/>
          <w:szCs w:val="24"/>
        </w:rPr>
        <w:t xml:space="preserve">Attorneys for </w:t>
      </w:r>
      <w:r>
        <w:rPr>
          <w:rFonts w:ascii="Arial" w:eastAsia="Calibri" w:hAnsi="Arial" w:cs="Arial"/>
          <w:sz w:val="24"/>
          <w:szCs w:val="24"/>
        </w:rPr>
        <w:t>Appellant</w:t>
      </w:r>
      <w:r w:rsidRPr="00CA082E">
        <w:rPr>
          <w:rFonts w:ascii="Arial" w:eastAsia="Calibri" w:hAnsi="Arial" w:cs="Arial"/>
          <w:sz w:val="24"/>
          <w:szCs w:val="24"/>
        </w:rPr>
        <w:t>:</w:t>
      </w:r>
      <w:r w:rsidR="006933BF">
        <w:rPr>
          <w:rFonts w:ascii="Arial" w:eastAsia="Calibri" w:hAnsi="Arial" w:cs="Arial"/>
          <w:sz w:val="24"/>
          <w:szCs w:val="24"/>
        </w:rPr>
        <w:t xml:space="preserve">  </w:t>
      </w:r>
      <w:r w:rsidR="006933BF">
        <w:rPr>
          <w:rFonts w:ascii="Arial" w:eastAsia="Calibri" w:hAnsi="Arial" w:cs="Arial"/>
          <w:sz w:val="24"/>
          <w:szCs w:val="24"/>
        </w:rPr>
        <w:tab/>
        <w:t>Werksmans</w:t>
      </w:r>
    </w:p>
    <w:p w14:paraId="60E9E540" w14:textId="70D48446" w:rsidR="006933BF" w:rsidRDefault="00140065" w:rsidP="00140065">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Pr>
          <w:rFonts w:ascii="Arial" w:eastAsia="Calibri" w:hAnsi="Arial" w:cs="Arial"/>
          <w:sz w:val="24"/>
          <w:szCs w:val="24"/>
        </w:rPr>
        <w:tab/>
        <w:t xml:space="preserve">J Niemand – email </w:t>
      </w:r>
      <w:hyperlink r:id="rId9" w:history="1">
        <w:r w:rsidR="006933BF" w:rsidRPr="000C68EB">
          <w:rPr>
            <w:rStyle w:val="Hyperlink"/>
            <w:rFonts w:ascii="Arial" w:eastAsia="Calibri" w:hAnsi="Arial" w:cs="Arial"/>
            <w:sz w:val="24"/>
            <w:szCs w:val="24"/>
          </w:rPr>
          <w:t>jniemand@werksmans.com</w:t>
        </w:r>
      </w:hyperlink>
    </w:p>
    <w:p w14:paraId="2A639E4B" w14:textId="77777777" w:rsidR="006933BF" w:rsidRDefault="006933BF" w:rsidP="00140065">
      <w:pPr>
        <w:spacing w:after="0" w:line="240" w:lineRule="auto"/>
        <w:rPr>
          <w:rFonts w:ascii="Arial" w:eastAsia="Calibri" w:hAnsi="Arial" w:cs="Arial"/>
          <w:sz w:val="24"/>
          <w:szCs w:val="24"/>
        </w:rPr>
      </w:pPr>
    </w:p>
    <w:p w14:paraId="047314AB" w14:textId="5A159F13" w:rsidR="006933BF" w:rsidRDefault="00CA082E" w:rsidP="00140065">
      <w:pPr>
        <w:spacing w:after="0" w:line="240" w:lineRule="auto"/>
        <w:rPr>
          <w:rFonts w:ascii="Arial" w:eastAsia="Calibri" w:hAnsi="Arial" w:cs="Arial"/>
          <w:sz w:val="24"/>
          <w:szCs w:val="24"/>
        </w:rPr>
      </w:pPr>
      <w:r w:rsidRPr="00CA082E">
        <w:rPr>
          <w:rFonts w:ascii="Arial" w:eastAsia="Calibri" w:hAnsi="Arial" w:cs="Arial"/>
          <w:sz w:val="24"/>
          <w:szCs w:val="24"/>
        </w:rPr>
        <w:t>Attorneys for Respondent:</w:t>
      </w:r>
      <w:r w:rsidRPr="00CA082E">
        <w:rPr>
          <w:rFonts w:ascii="Arial" w:eastAsia="Calibri" w:hAnsi="Arial" w:cs="Arial"/>
          <w:sz w:val="24"/>
          <w:szCs w:val="24"/>
        </w:rPr>
        <w:tab/>
      </w:r>
      <w:r w:rsidR="006933BF">
        <w:rPr>
          <w:rFonts w:ascii="Arial" w:eastAsia="Calibri" w:hAnsi="Arial" w:cs="Arial"/>
          <w:sz w:val="24"/>
          <w:szCs w:val="24"/>
        </w:rPr>
        <w:t>Abiding</w:t>
      </w:r>
    </w:p>
    <w:p w14:paraId="09D48201" w14:textId="3EC77227" w:rsidR="006933BF" w:rsidRDefault="006933BF" w:rsidP="00140065">
      <w:pPr>
        <w:spacing w:after="0" w:line="240" w:lineRule="auto"/>
        <w:ind w:left="2160" w:firstLine="720"/>
        <w:rPr>
          <w:rFonts w:ascii="Arial" w:eastAsia="Calibri" w:hAnsi="Arial" w:cs="Arial"/>
          <w:sz w:val="24"/>
          <w:szCs w:val="24"/>
        </w:rPr>
      </w:pPr>
      <w:r>
        <w:rPr>
          <w:rFonts w:ascii="Arial" w:eastAsia="Calibri" w:hAnsi="Arial" w:cs="Arial"/>
          <w:sz w:val="24"/>
          <w:szCs w:val="24"/>
        </w:rPr>
        <w:t>Hancock Attorneys</w:t>
      </w:r>
    </w:p>
    <w:p w14:paraId="4AB2603F" w14:textId="1C6EFDF0" w:rsidR="006933BF" w:rsidRDefault="006933BF" w:rsidP="00140065">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E</w:t>
      </w:r>
      <w:r w:rsidR="00140065">
        <w:rPr>
          <w:rFonts w:ascii="Arial" w:eastAsia="Calibri" w:hAnsi="Arial" w:cs="Arial"/>
          <w:sz w:val="24"/>
          <w:szCs w:val="24"/>
        </w:rPr>
        <w:t>mail</w:t>
      </w:r>
      <w:r>
        <w:rPr>
          <w:rFonts w:ascii="Arial" w:eastAsia="Calibri" w:hAnsi="Arial" w:cs="Arial"/>
          <w:sz w:val="24"/>
          <w:szCs w:val="24"/>
        </w:rPr>
        <w:t xml:space="preserve"> </w:t>
      </w:r>
      <w:hyperlink r:id="rId10" w:history="1">
        <w:r w:rsidRPr="000C68EB">
          <w:rPr>
            <w:rStyle w:val="Hyperlink"/>
            <w:rFonts w:ascii="Arial" w:eastAsia="Calibri" w:hAnsi="Arial" w:cs="Arial"/>
            <w:sz w:val="24"/>
            <w:szCs w:val="24"/>
          </w:rPr>
          <w:t>law@hancock.co.za</w:t>
        </w:r>
      </w:hyperlink>
    </w:p>
    <w:p w14:paraId="00D090AB" w14:textId="77777777" w:rsidR="006933BF" w:rsidRPr="00CA082E" w:rsidRDefault="006933BF" w:rsidP="00140065">
      <w:pPr>
        <w:spacing w:after="0" w:line="360" w:lineRule="auto"/>
        <w:rPr>
          <w:rFonts w:ascii="Arial" w:eastAsia="Calibri" w:hAnsi="Arial" w:cs="Arial"/>
          <w:sz w:val="24"/>
          <w:szCs w:val="24"/>
        </w:rPr>
      </w:pPr>
    </w:p>
    <w:p w14:paraId="305B07FA" w14:textId="388C1E1B" w:rsidR="00CA082E" w:rsidRPr="00CA082E" w:rsidRDefault="00CA082E" w:rsidP="00140065">
      <w:pPr>
        <w:spacing w:after="0" w:line="360" w:lineRule="auto"/>
        <w:rPr>
          <w:rFonts w:ascii="Arial" w:eastAsia="Calibri" w:hAnsi="Arial" w:cs="Arial"/>
          <w:sz w:val="24"/>
          <w:szCs w:val="24"/>
        </w:rPr>
      </w:pPr>
      <w:r w:rsidRPr="00CA082E">
        <w:rPr>
          <w:rFonts w:ascii="Arial" w:eastAsia="Calibri" w:hAnsi="Arial" w:cs="Arial"/>
          <w:sz w:val="24"/>
          <w:szCs w:val="24"/>
        </w:rPr>
        <w:tab/>
        <w:t xml:space="preserve"> </w:t>
      </w:r>
    </w:p>
    <w:p w14:paraId="52B3349C" w14:textId="24EC4398" w:rsidR="00F84F99" w:rsidRDefault="00CA082E" w:rsidP="00140065">
      <w:pPr>
        <w:spacing w:after="0" w:line="360" w:lineRule="auto"/>
        <w:rPr>
          <w:rFonts w:ascii="Arial" w:eastAsia="Calibri" w:hAnsi="Arial" w:cs="Arial"/>
          <w:sz w:val="24"/>
          <w:szCs w:val="24"/>
        </w:rPr>
      </w:pPr>
      <w:r w:rsidRPr="00CA082E">
        <w:rPr>
          <w:rFonts w:ascii="Arial" w:eastAsia="Calibri" w:hAnsi="Arial" w:cs="Arial"/>
          <w:sz w:val="24"/>
          <w:szCs w:val="24"/>
        </w:rPr>
        <w:tab/>
      </w:r>
      <w:r w:rsidRPr="00CA082E">
        <w:rPr>
          <w:rFonts w:ascii="Arial" w:eastAsia="Calibri" w:hAnsi="Arial" w:cs="Arial"/>
          <w:sz w:val="24"/>
          <w:szCs w:val="24"/>
        </w:rPr>
        <w:tab/>
      </w:r>
      <w:r w:rsidRPr="00CA082E">
        <w:rPr>
          <w:rFonts w:ascii="Arial" w:eastAsia="Calibri" w:hAnsi="Arial" w:cs="Arial"/>
          <w:sz w:val="24"/>
          <w:szCs w:val="24"/>
        </w:rPr>
        <w:tab/>
      </w:r>
      <w:r w:rsidRPr="00CA082E">
        <w:rPr>
          <w:rFonts w:ascii="Arial" w:eastAsia="Calibri" w:hAnsi="Arial" w:cs="Arial"/>
          <w:sz w:val="24"/>
          <w:szCs w:val="24"/>
        </w:rPr>
        <w:tab/>
      </w:r>
      <w:r w:rsidRPr="00CA082E">
        <w:rPr>
          <w:rFonts w:ascii="Arial" w:eastAsia="Calibri" w:hAnsi="Arial" w:cs="Arial"/>
          <w:sz w:val="24"/>
          <w:szCs w:val="24"/>
        </w:rPr>
        <w:tab/>
      </w:r>
      <w:r w:rsidRPr="00CA082E">
        <w:rPr>
          <w:rFonts w:ascii="Arial" w:eastAsia="Calibri" w:hAnsi="Arial" w:cs="Arial"/>
          <w:sz w:val="24"/>
          <w:szCs w:val="24"/>
        </w:rPr>
        <w:tab/>
        <w:t xml:space="preserve"> </w:t>
      </w:r>
    </w:p>
    <w:p w14:paraId="130569DE" w14:textId="05EC953F" w:rsidR="00F84F99" w:rsidRPr="00CA4562" w:rsidRDefault="00F84F99" w:rsidP="00CA4562">
      <w:pPr>
        <w:spacing w:line="259" w:lineRule="auto"/>
        <w:rPr>
          <w:rFonts w:ascii="Arial" w:eastAsia="Calibri" w:hAnsi="Arial" w:cs="Arial"/>
          <w:sz w:val="24"/>
          <w:szCs w:val="24"/>
        </w:rPr>
      </w:pPr>
      <w:bookmarkStart w:id="0" w:name="_GoBack"/>
      <w:bookmarkEnd w:id="0"/>
      <w:r w:rsidRPr="00807BD5">
        <w:rPr>
          <w:rFonts w:ascii="Arial" w:hAnsi="Arial" w:cs="Arial"/>
          <w:sz w:val="24"/>
          <w:szCs w:val="24"/>
        </w:rPr>
        <w:t>.</w:t>
      </w:r>
    </w:p>
    <w:p w14:paraId="27312F31" w14:textId="77777777" w:rsidR="00CA082E" w:rsidRPr="00CA082E" w:rsidRDefault="00CA082E" w:rsidP="00140065">
      <w:pPr>
        <w:spacing w:after="0" w:line="360" w:lineRule="auto"/>
        <w:rPr>
          <w:rFonts w:ascii="Arial" w:hAnsi="Arial" w:cs="Arial"/>
          <w:sz w:val="24"/>
          <w:szCs w:val="24"/>
        </w:rPr>
      </w:pPr>
    </w:p>
    <w:sectPr w:rsidR="00CA082E" w:rsidRPr="00CA082E" w:rsidSect="0023057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5189" w14:textId="77777777" w:rsidR="008335D5" w:rsidRDefault="008335D5" w:rsidP="003C7E7D">
      <w:pPr>
        <w:spacing w:after="0" w:line="240" w:lineRule="auto"/>
      </w:pPr>
      <w:r>
        <w:separator/>
      </w:r>
    </w:p>
  </w:endnote>
  <w:endnote w:type="continuationSeparator" w:id="0">
    <w:p w14:paraId="12D19854" w14:textId="77777777" w:rsidR="008335D5" w:rsidRDefault="008335D5" w:rsidP="003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6D2F" w14:textId="77777777" w:rsidR="008335D5" w:rsidRDefault="008335D5" w:rsidP="003C7E7D">
      <w:pPr>
        <w:spacing w:after="0" w:line="240" w:lineRule="auto"/>
      </w:pPr>
      <w:r>
        <w:separator/>
      </w:r>
    </w:p>
  </w:footnote>
  <w:footnote w:type="continuationSeparator" w:id="0">
    <w:p w14:paraId="7C31732E" w14:textId="77777777" w:rsidR="008335D5" w:rsidRDefault="008335D5" w:rsidP="003C7E7D">
      <w:pPr>
        <w:spacing w:after="0" w:line="240" w:lineRule="auto"/>
      </w:pPr>
      <w:r>
        <w:continuationSeparator/>
      </w:r>
    </w:p>
  </w:footnote>
  <w:footnote w:id="1">
    <w:p w14:paraId="11301719" w14:textId="5D3A383C" w:rsidR="002B4EE7" w:rsidRDefault="002B4EE7" w:rsidP="00C82F04">
      <w:pPr>
        <w:pStyle w:val="FootnoteText"/>
        <w:ind w:left="360" w:hanging="360"/>
        <w:jc w:val="both"/>
      </w:pPr>
      <w:r>
        <w:rPr>
          <w:rStyle w:val="FootnoteReference"/>
        </w:rPr>
        <w:footnoteRef/>
      </w:r>
      <w:r>
        <w:t xml:space="preserve"> </w:t>
      </w:r>
      <w:r w:rsidR="00601E49">
        <w:tab/>
      </w:r>
      <w:r w:rsidR="006F5B48">
        <w:t>In terms of clause 1.2.1 of the contract of sale, assets and stock is defined as the movables, fixtures, fittings and stock in trade of the seller as set out in schedule “A” used by the seller in conducting the business. Schedule “A” consists of 3 motor vehicles, all equipment and office furniture in the premises on the effective date, shelving in the premises on the effective date, computer equipment on the effective date, all stock in trade fully paid by the seller on the effective date</w:t>
      </w:r>
      <w:r w:rsidR="005E7C54">
        <w:t xml:space="preserve">, the website being </w:t>
      </w:r>
      <w:hyperlink r:id="rId1" w:history="1">
        <w:r w:rsidR="006F5B48" w:rsidRPr="00A91B2D">
          <w:rPr>
            <w:rStyle w:val="Hyperlink"/>
          </w:rPr>
          <w:t>www.harken.co.za</w:t>
        </w:r>
      </w:hyperlink>
      <w:r w:rsidR="006F5B48">
        <w:t xml:space="preserve"> and </w:t>
      </w:r>
      <w:r w:rsidR="005E7C54">
        <w:t xml:space="preserve">the </w:t>
      </w:r>
      <w:r w:rsidR="006F5B48">
        <w:t>telephone number to transfer</w:t>
      </w:r>
      <w:r w:rsidR="005E7C54">
        <w:t>red</w:t>
      </w:r>
      <w:r w:rsidR="006F5B48">
        <w:t xml:space="preserve"> to the purchaser. </w:t>
      </w:r>
    </w:p>
  </w:footnote>
  <w:footnote w:id="2">
    <w:p w14:paraId="06C5A145" w14:textId="70B462D2" w:rsidR="002B4EE7" w:rsidRDefault="002B4EE7" w:rsidP="00C82F04">
      <w:pPr>
        <w:pStyle w:val="FootnoteText"/>
        <w:ind w:left="360" w:hanging="360"/>
        <w:jc w:val="both"/>
      </w:pPr>
      <w:r>
        <w:rPr>
          <w:rStyle w:val="FootnoteReference"/>
        </w:rPr>
        <w:footnoteRef/>
      </w:r>
      <w:r>
        <w:t xml:space="preserve"> </w:t>
      </w:r>
      <w:r w:rsidR="00A81483">
        <w:tab/>
      </w:r>
      <w:r>
        <w:t xml:space="preserve">It is common cause that the other two employees </w:t>
      </w:r>
      <w:r w:rsidR="00BD668E">
        <w:t xml:space="preserve">of the plaintiff </w:t>
      </w:r>
      <w:r>
        <w:t>at the time of the parties entering into the contract of sale, was</w:t>
      </w:r>
      <w:r w:rsidR="00BD668E">
        <w:t xml:space="preserve"> Knoetzen and Batt, who negotiated with Harken to obtain the exclusive right to distribute their products in South Africa under the name of the defendant.</w:t>
      </w:r>
    </w:p>
  </w:footnote>
  <w:footnote w:id="3">
    <w:p w14:paraId="591AC686" w14:textId="4E272205" w:rsidR="001A39F0" w:rsidRPr="00F56773" w:rsidRDefault="001A39F0" w:rsidP="001A39F0">
      <w:pPr>
        <w:pStyle w:val="FootnoteText"/>
        <w:rPr>
          <w:lang w:val="en-GB"/>
        </w:rPr>
      </w:pPr>
      <w:r>
        <w:rPr>
          <w:rStyle w:val="FootnoteReference"/>
        </w:rPr>
        <w:footnoteRef/>
      </w:r>
      <w:r>
        <w:t xml:space="preserve"> </w:t>
      </w:r>
      <w:r w:rsidR="00C73D1D">
        <w:t xml:space="preserve">Record </w:t>
      </w:r>
      <w:r w:rsidR="007745DF">
        <w:t xml:space="preserve">Vol 2 </w:t>
      </w:r>
      <w:r w:rsidR="00C73D1D">
        <w:t>page 127, lines 10-11</w:t>
      </w:r>
    </w:p>
  </w:footnote>
  <w:footnote w:id="4">
    <w:p w14:paraId="477228B5" w14:textId="25D5B850" w:rsidR="007745DF" w:rsidRDefault="007745DF">
      <w:pPr>
        <w:pStyle w:val="FootnoteText"/>
      </w:pPr>
      <w:r>
        <w:rPr>
          <w:rStyle w:val="FootnoteReference"/>
        </w:rPr>
        <w:footnoteRef/>
      </w:r>
      <w:r>
        <w:t xml:space="preserve"> Record Vol 2 page 187, lines 1-10</w:t>
      </w:r>
    </w:p>
  </w:footnote>
  <w:footnote w:id="5">
    <w:p w14:paraId="6F4DF528" w14:textId="67EE9A63" w:rsidR="00CE1DD3" w:rsidRDefault="00CE1DD3">
      <w:pPr>
        <w:pStyle w:val="FootnoteText"/>
      </w:pPr>
      <w:r>
        <w:rPr>
          <w:rStyle w:val="FootnoteReference"/>
        </w:rPr>
        <w:footnoteRef/>
      </w:r>
      <w:r>
        <w:t xml:space="preserve">      RM Van de Ghinste &amp; Co (Pty) Ltd</w:t>
      </w:r>
      <w:r w:rsidR="00140065">
        <w:t xml:space="preserve"> v Van de Ghinste 1980 (1) 250 (C)</w:t>
      </w:r>
      <w:r>
        <w:t xml:space="preserve"> at 253H – 254 B</w:t>
      </w:r>
    </w:p>
  </w:footnote>
  <w:footnote w:id="6">
    <w:p w14:paraId="4C65668F" w14:textId="423B291D" w:rsidR="003C7E7D" w:rsidRPr="003C7E7D" w:rsidRDefault="003C7E7D" w:rsidP="009E21C2">
      <w:pPr>
        <w:pStyle w:val="FootnoteText"/>
        <w:ind w:left="360" w:hanging="360"/>
        <w:jc w:val="both"/>
        <w:rPr>
          <w:lang w:val="en-GB"/>
        </w:rPr>
      </w:pPr>
      <w:r>
        <w:rPr>
          <w:rStyle w:val="FootnoteReference"/>
        </w:rPr>
        <w:footnoteRef/>
      </w:r>
      <w:r>
        <w:t xml:space="preserve"> </w:t>
      </w:r>
      <w:r w:rsidR="009E21C2">
        <w:tab/>
      </w:r>
      <w:r>
        <w:rPr>
          <w:lang w:val="en-GB"/>
        </w:rPr>
        <w:t>2012 (4) SA 593 (SCA) at para 18</w:t>
      </w:r>
      <w:r w:rsidR="00514C77">
        <w:rPr>
          <w:lang w:val="en-GB"/>
        </w:rPr>
        <w:t xml:space="preserve"> it was held that: </w:t>
      </w:r>
      <w:r w:rsidR="00514C77">
        <w:t>“</w:t>
      </w:r>
      <w:r w:rsidR="00514C77" w:rsidRPr="00514C77">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light of all these factors. The process is objective, not subjective. A sensible meaning is to be preferred to one that leads to insensible or unbusinesslike results or undermines the apparent purpose of the document</w:t>
      </w:r>
      <w:r w:rsidR="007857A9">
        <w:t xml:space="preserve">. The </w:t>
      </w:r>
      <w:r w:rsidR="00514C77" w:rsidRPr="00514C77">
        <w:t>inevitable point of departure is the language of the provision itself, read in context and having regard to the purpose of the provision and the background to the preparation and production of the document”</w:t>
      </w:r>
      <w:r w:rsidR="009E21C2">
        <w:t>.</w:t>
      </w:r>
    </w:p>
  </w:footnote>
  <w:footnote w:id="7">
    <w:p w14:paraId="3EC0D72F" w14:textId="72394125" w:rsidR="002B5381" w:rsidRDefault="002B5381" w:rsidP="009E21C2">
      <w:pPr>
        <w:pStyle w:val="FootnoteText"/>
        <w:ind w:left="360" w:hanging="360"/>
      </w:pPr>
      <w:r>
        <w:rPr>
          <w:rStyle w:val="FootnoteReference"/>
        </w:rPr>
        <w:footnoteRef/>
      </w:r>
      <w:r>
        <w:t xml:space="preserve"> </w:t>
      </w:r>
      <w:r w:rsidR="009E21C2">
        <w:tab/>
      </w:r>
      <w:r>
        <w:t>(556/2021 [2022] ZASCA 113 (21 July 2022) at paragraphs 7 and 15</w:t>
      </w:r>
      <w:r w:rsidR="009E21C2">
        <w:t>.</w:t>
      </w:r>
    </w:p>
  </w:footnote>
  <w:footnote w:id="8">
    <w:p w14:paraId="691C60CD" w14:textId="1985177D" w:rsidR="003C7E7D" w:rsidRPr="003C7E7D" w:rsidRDefault="003C7E7D" w:rsidP="009E21C2">
      <w:pPr>
        <w:pStyle w:val="FootnoteText"/>
        <w:ind w:left="360" w:hanging="360"/>
        <w:rPr>
          <w:lang w:val="en-GB"/>
        </w:rPr>
      </w:pPr>
      <w:r>
        <w:rPr>
          <w:rStyle w:val="FootnoteReference"/>
        </w:rPr>
        <w:footnoteRef/>
      </w:r>
      <w:r>
        <w:t xml:space="preserve"> </w:t>
      </w:r>
      <w:r w:rsidR="009E21C2">
        <w:tab/>
      </w:r>
      <w:r>
        <w:rPr>
          <w:lang w:val="en-GB"/>
        </w:rPr>
        <w:t>2019 (3) SA 398 (SCA)</w:t>
      </w:r>
      <w:r w:rsidR="009E21C2">
        <w:rPr>
          <w:lang w:val="en-GB"/>
        </w:rPr>
        <w:t>.</w:t>
      </w:r>
    </w:p>
  </w:footnote>
  <w:footnote w:id="9">
    <w:p w14:paraId="00BA850C" w14:textId="37C68124" w:rsidR="003C7E7D" w:rsidRPr="003C7E7D" w:rsidRDefault="003C7E7D">
      <w:pPr>
        <w:pStyle w:val="FootnoteText"/>
        <w:rPr>
          <w:lang w:val="en-GB"/>
        </w:rPr>
      </w:pPr>
      <w:r>
        <w:rPr>
          <w:rStyle w:val="FootnoteReference"/>
        </w:rPr>
        <w:footnoteRef/>
      </w:r>
      <w:r>
        <w:t xml:space="preserve"> </w:t>
      </w:r>
      <w:r w:rsidR="00E56A90">
        <w:t xml:space="preserve">     </w:t>
      </w:r>
      <w:r>
        <w:rPr>
          <w:lang w:val="en-GB"/>
        </w:rPr>
        <w:t>2022 (1) SA 100 (SCA)</w:t>
      </w:r>
    </w:p>
  </w:footnote>
  <w:footnote w:id="10">
    <w:p w14:paraId="02DC4BC2" w14:textId="1F62FB41" w:rsidR="008217F8" w:rsidRDefault="008217F8" w:rsidP="00CA082E">
      <w:pPr>
        <w:pStyle w:val="FootnoteText"/>
        <w:ind w:left="360" w:hanging="360"/>
      </w:pPr>
      <w:r>
        <w:rPr>
          <w:rStyle w:val="FootnoteReference"/>
        </w:rPr>
        <w:footnoteRef/>
      </w:r>
      <w:r>
        <w:t xml:space="preserve"> </w:t>
      </w:r>
      <w:r w:rsidR="00CA082E">
        <w:tab/>
      </w:r>
      <w:r w:rsidR="009F0E10">
        <w:t>2022(5) SA 461 (WCC)</w:t>
      </w:r>
    </w:p>
  </w:footnote>
  <w:footnote w:id="11">
    <w:p w14:paraId="051B61D2" w14:textId="1F0C199A" w:rsidR="008217F8" w:rsidRDefault="008217F8" w:rsidP="00CA082E">
      <w:pPr>
        <w:pStyle w:val="FootnoteText"/>
        <w:ind w:left="360" w:hanging="360"/>
      </w:pPr>
      <w:r>
        <w:rPr>
          <w:rStyle w:val="FootnoteReference"/>
        </w:rPr>
        <w:footnoteRef/>
      </w:r>
      <w:r>
        <w:t xml:space="preserve">  </w:t>
      </w:r>
      <w:r w:rsidR="00140065">
        <w:tab/>
        <w:t>2021 (6) SA 1 (CC) (11 June 2021)</w:t>
      </w:r>
    </w:p>
  </w:footnote>
  <w:footnote w:id="12">
    <w:p w14:paraId="0A3733C2" w14:textId="673CFA09" w:rsidR="00C4553F" w:rsidRDefault="00C4553F" w:rsidP="00CA082E">
      <w:pPr>
        <w:pStyle w:val="FootnoteText"/>
        <w:ind w:left="360" w:hanging="360"/>
      </w:pPr>
      <w:r>
        <w:rPr>
          <w:rStyle w:val="FootnoteReference"/>
        </w:rPr>
        <w:footnoteRef/>
      </w:r>
      <w:r>
        <w:t xml:space="preserve"> </w:t>
      </w:r>
      <w:r w:rsidR="00CA082E">
        <w:tab/>
      </w:r>
      <w:r>
        <w:t>See paragraph 38 of the judgment in this regard</w:t>
      </w:r>
      <w:r w:rsidR="00CA082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791615"/>
      <w:docPartObj>
        <w:docPartGallery w:val="Page Numbers (Top of Page)"/>
        <w:docPartUnique/>
      </w:docPartObj>
    </w:sdtPr>
    <w:sdtEndPr>
      <w:rPr>
        <w:noProof/>
      </w:rPr>
    </w:sdtEndPr>
    <w:sdtContent>
      <w:p w14:paraId="320E53C2" w14:textId="508CC0FE" w:rsidR="00D228A2" w:rsidRDefault="00D228A2">
        <w:pPr>
          <w:pStyle w:val="Header"/>
          <w:jc w:val="right"/>
        </w:pPr>
        <w:r>
          <w:fldChar w:fldCharType="begin"/>
        </w:r>
        <w:r>
          <w:instrText xml:space="preserve"> PAGE   \* MERGEFORMAT </w:instrText>
        </w:r>
        <w:r>
          <w:fldChar w:fldCharType="separate"/>
        </w:r>
        <w:r w:rsidR="00CA4562">
          <w:rPr>
            <w:noProof/>
          </w:rPr>
          <w:t>13</w:t>
        </w:r>
        <w:r>
          <w:rPr>
            <w:noProof/>
          </w:rPr>
          <w:fldChar w:fldCharType="end"/>
        </w:r>
      </w:p>
    </w:sdtContent>
  </w:sdt>
  <w:p w14:paraId="6AB00274" w14:textId="77777777" w:rsidR="00D228A2" w:rsidRDefault="00D228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24A" w14:textId="32592B14" w:rsidR="00C82F04" w:rsidRDefault="00C82F04" w:rsidP="00C82F04">
    <w:pPr>
      <w:pStyle w:val="Header"/>
      <w:jc w:val="right"/>
    </w:pPr>
    <w:r w:rsidRPr="00C82F04">
      <w:rPr>
        <w:b/>
        <w:bCs/>
      </w:rPr>
      <w:t>REPORTABLE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3B9"/>
    <w:multiLevelType w:val="multilevel"/>
    <w:tmpl w:val="B5EEDEBE"/>
    <w:lvl w:ilvl="0">
      <w:start w:val="28"/>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6269A"/>
    <w:multiLevelType w:val="hybridMultilevel"/>
    <w:tmpl w:val="1A101F5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004D51"/>
    <w:multiLevelType w:val="multilevel"/>
    <w:tmpl w:val="D42069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B35564"/>
    <w:multiLevelType w:val="multilevel"/>
    <w:tmpl w:val="42E25B04"/>
    <w:lvl w:ilvl="0">
      <w:start w:val="3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36"/>
    <w:rsid w:val="00084699"/>
    <w:rsid w:val="000A67F7"/>
    <w:rsid w:val="00140065"/>
    <w:rsid w:val="001A39F0"/>
    <w:rsid w:val="001C4AB0"/>
    <w:rsid w:val="001C6BE7"/>
    <w:rsid w:val="001D521C"/>
    <w:rsid w:val="00230577"/>
    <w:rsid w:val="00253582"/>
    <w:rsid w:val="00257DD2"/>
    <w:rsid w:val="0027122F"/>
    <w:rsid w:val="002737AA"/>
    <w:rsid w:val="002825DC"/>
    <w:rsid w:val="00287AE9"/>
    <w:rsid w:val="002B4EE7"/>
    <w:rsid w:val="002B5381"/>
    <w:rsid w:val="003A2E6E"/>
    <w:rsid w:val="003C42F6"/>
    <w:rsid w:val="003C6736"/>
    <w:rsid w:val="003C7E7D"/>
    <w:rsid w:val="00430A1D"/>
    <w:rsid w:val="004457BE"/>
    <w:rsid w:val="004D6065"/>
    <w:rsid w:val="004F5EAF"/>
    <w:rsid w:val="00500EF4"/>
    <w:rsid w:val="00514C77"/>
    <w:rsid w:val="00524812"/>
    <w:rsid w:val="005D00EB"/>
    <w:rsid w:val="005E7C54"/>
    <w:rsid w:val="00601E49"/>
    <w:rsid w:val="006933BF"/>
    <w:rsid w:val="006A7155"/>
    <w:rsid w:val="006B7463"/>
    <w:rsid w:val="006F5B48"/>
    <w:rsid w:val="0071259A"/>
    <w:rsid w:val="007155B1"/>
    <w:rsid w:val="007423E0"/>
    <w:rsid w:val="0077350E"/>
    <w:rsid w:val="007745DF"/>
    <w:rsid w:val="007857A9"/>
    <w:rsid w:val="007A538C"/>
    <w:rsid w:val="007D6955"/>
    <w:rsid w:val="00801B94"/>
    <w:rsid w:val="00807BD5"/>
    <w:rsid w:val="00815143"/>
    <w:rsid w:val="008217F8"/>
    <w:rsid w:val="008335D5"/>
    <w:rsid w:val="00866DC9"/>
    <w:rsid w:val="00884614"/>
    <w:rsid w:val="0090671B"/>
    <w:rsid w:val="00915F86"/>
    <w:rsid w:val="00923C34"/>
    <w:rsid w:val="0098169F"/>
    <w:rsid w:val="009E21C2"/>
    <w:rsid w:val="009F0E10"/>
    <w:rsid w:val="00A81483"/>
    <w:rsid w:val="00B00B48"/>
    <w:rsid w:val="00B366C4"/>
    <w:rsid w:val="00BB1DAE"/>
    <w:rsid w:val="00BD668E"/>
    <w:rsid w:val="00C4553F"/>
    <w:rsid w:val="00C57CE0"/>
    <w:rsid w:val="00C73D1D"/>
    <w:rsid w:val="00C82F04"/>
    <w:rsid w:val="00CA082E"/>
    <w:rsid w:val="00CA4562"/>
    <w:rsid w:val="00CE1DD3"/>
    <w:rsid w:val="00CE5765"/>
    <w:rsid w:val="00CE6F5D"/>
    <w:rsid w:val="00CF1D15"/>
    <w:rsid w:val="00D228A2"/>
    <w:rsid w:val="00D25BBC"/>
    <w:rsid w:val="00D35913"/>
    <w:rsid w:val="00D70B6B"/>
    <w:rsid w:val="00D743CB"/>
    <w:rsid w:val="00D77FEA"/>
    <w:rsid w:val="00DB4F10"/>
    <w:rsid w:val="00E1199C"/>
    <w:rsid w:val="00E56A90"/>
    <w:rsid w:val="00F43EF0"/>
    <w:rsid w:val="00F507D4"/>
    <w:rsid w:val="00F51C8F"/>
    <w:rsid w:val="00F56773"/>
    <w:rsid w:val="00F6620E"/>
    <w:rsid w:val="00F84F99"/>
    <w:rsid w:val="00F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6069"/>
  <w15:chartTrackingRefBased/>
  <w15:docId w15:val="{3013266A-9813-4651-9AED-0EDBCC2F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36"/>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36"/>
    <w:rPr>
      <w:lang w:val="en-ZA"/>
    </w:rPr>
  </w:style>
  <w:style w:type="paragraph" w:styleId="FootnoteText">
    <w:name w:val="footnote text"/>
    <w:basedOn w:val="Normal"/>
    <w:link w:val="FootnoteTextChar"/>
    <w:uiPriority w:val="99"/>
    <w:semiHidden/>
    <w:unhideWhenUsed/>
    <w:rsid w:val="003C7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E7D"/>
    <w:rPr>
      <w:sz w:val="20"/>
      <w:szCs w:val="20"/>
      <w:lang w:val="en-ZA"/>
    </w:rPr>
  </w:style>
  <w:style w:type="character" w:styleId="FootnoteReference">
    <w:name w:val="footnote reference"/>
    <w:basedOn w:val="DefaultParagraphFont"/>
    <w:uiPriority w:val="99"/>
    <w:semiHidden/>
    <w:unhideWhenUsed/>
    <w:rsid w:val="003C7E7D"/>
    <w:rPr>
      <w:vertAlign w:val="superscript"/>
    </w:rPr>
  </w:style>
  <w:style w:type="paragraph" w:styleId="BalloonText">
    <w:name w:val="Balloon Text"/>
    <w:basedOn w:val="Normal"/>
    <w:link w:val="BalloonTextChar"/>
    <w:uiPriority w:val="99"/>
    <w:semiHidden/>
    <w:unhideWhenUsed/>
    <w:rsid w:val="00D2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A2"/>
    <w:rPr>
      <w:rFonts w:ascii="Segoe UI" w:hAnsi="Segoe UI" w:cs="Segoe UI"/>
      <w:sz w:val="18"/>
      <w:szCs w:val="18"/>
      <w:lang w:val="en-ZA"/>
    </w:rPr>
  </w:style>
  <w:style w:type="paragraph" w:styleId="Footer">
    <w:name w:val="footer"/>
    <w:basedOn w:val="Normal"/>
    <w:link w:val="FooterChar"/>
    <w:uiPriority w:val="99"/>
    <w:unhideWhenUsed/>
    <w:rsid w:val="00D2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A2"/>
    <w:rPr>
      <w:lang w:val="en-ZA"/>
    </w:rPr>
  </w:style>
  <w:style w:type="paragraph" w:styleId="ListParagraph">
    <w:name w:val="List Paragraph"/>
    <w:basedOn w:val="Normal"/>
    <w:uiPriority w:val="34"/>
    <w:qFormat/>
    <w:rsid w:val="0098169F"/>
    <w:pPr>
      <w:ind w:left="720"/>
      <w:contextualSpacing/>
    </w:pPr>
  </w:style>
  <w:style w:type="character" w:styleId="Hyperlink">
    <w:name w:val="Hyperlink"/>
    <w:uiPriority w:val="99"/>
    <w:unhideWhenUsed/>
    <w:rsid w:val="00CA082E"/>
    <w:rPr>
      <w:color w:val="0000FF"/>
      <w:u w:val="single"/>
    </w:rPr>
  </w:style>
  <w:style w:type="character" w:customStyle="1" w:styleId="UnresolvedMention">
    <w:name w:val="Unresolved Mention"/>
    <w:basedOn w:val="DefaultParagraphFont"/>
    <w:uiPriority w:val="99"/>
    <w:semiHidden/>
    <w:unhideWhenUsed/>
    <w:rsid w:val="006F5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w@hancock.co.za" TargetMode="External"/><Relationship Id="rId4" Type="http://schemas.openxmlformats.org/officeDocument/2006/relationships/settings" Target="settings.xml"/><Relationship Id="rId9" Type="http://schemas.openxmlformats.org/officeDocument/2006/relationships/hyperlink" Target="mailto:jniemand@werksman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rke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DD4F-576D-4EC4-A6E5-0909D795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Fadiah Davids</cp:lastModifiedBy>
  <cp:revision>3</cp:revision>
  <cp:lastPrinted>2022-12-02T08:29:00Z</cp:lastPrinted>
  <dcterms:created xsi:type="dcterms:W3CDTF">2022-12-02T08:30:00Z</dcterms:created>
  <dcterms:modified xsi:type="dcterms:W3CDTF">2022-12-02T09:55:00Z</dcterms:modified>
</cp:coreProperties>
</file>