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F443" w14:textId="77777777" w:rsidR="00F30F9B" w:rsidRDefault="00F30F9B" w:rsidP="006319C0">
      <w:pPr>
        <w:widowControl w:val="0"/>
        <w:spacing w:after="0"/>
        <w:jc w:val="center"/>
        <w:rPr>
          <w:b/>
          <w:lang w:val="en-GB"/>
        </w:rPr>
      </w:pPr>
      <w:r>
        <w:rPr>
          <w:b/>
          <w:noProof/>
          <w:lang w:eastAsia="en-ZA"/>
        </w:rPr>
        <w:drawing>
          <wp:inline distT="0" distB="0" distL="0" distR="0" wp14:anchorId="455D8A13" wp14:editId="3086E2D4">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2BEAA806"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t>
      </w:r>
    </w:p>
    <w:p w14:paraId="643CC76B"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In the High Court of South Africa</w:t>
      </w:r>
    </w:p>
    <w:p w14:paraId="0ABB3A87"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(Western Cape Division, Cape Town)</w:t>
      </w:r>
    </w:p>
    <w:p w14:paraId="4BC0FAAD" w14:textId="77777777" w:rsidR="00F30F9B" w:rsidRDefault="00F30F9B" w:rsidP="006319C0">
      <w:pPr>
        <w:pStyle w:val="Header"/>
        <w:widowControl w:val="0"/>
        <w:jc w:val="center"/>
        <w:rPr>
          <w:rFonts w:ascii="Calibri" w:hAnsi="Calibri" w:cs="Times New Roman"/>
          <w:lang w:val="en-GB"/>
        </w:rPr>
      </w:pPr>
    </w:p>
    <w:p w14:paraId="68A3CFCF" w14:textId="77777777" w:rsidR="004F3CB3" w:rsidRDefault="004F3CB3" w:rsidP="006319C0">
      <w:pPr>
        <w:widowControl w:val="0"/>
        <w:spacing w:after="0" w:line="480" w:lineRule="auto"/>
        <w:ind w:left="851" w:right="283" w:hanging="851"/>
        <w:jc w:val="right"/>
        <w:rPr>
          <w:rFonts w:ascii="Arial" w:eastAsia="Calibri" w:hAnsi="Arial" w:cs="Arial"/>
          <w:sz w:val="24"/>
          <w:szCs w:val="24"/>
          <w:lang w:val="en-GB"/>
        </w:rPr>
      </w:pPr>
    </w:p>
    <w:p w14:paraId="7D9E4A0F" w14:textId="7A32909B" w:rsidR="00E251F0" w:rsidRPr="00977EE0" w:rsidRDefault="00FF5DC6" w:rsidP="006319C0">
      <w:pPr>
        <w:widowControl w:val="0"/>
        <w:spacing w:after="0" w:line="480" w:lineRule="auto"/>
        <w:ind w:left="851" w:right="283" w:hanging="851"/>
        <w:jc w:val="right"/>
        <w:rPr>
          <w:rFonts w:ascii="Arial" w:eastAsia="Calibri" w:hAnsi="Arial" w:cs="Arial"/>
          <w:sz w:val="24"/>
          <w:szCs w:val="24"/>
          <w:lang w:val="en-GB"/>
        </w:rPr>
      </w:pPr>
      <w:r>
        <w:rPr>
          <w:rFonts w:ascii="Arial" w:eastAsia="Calibri" w:hAnsi="Arial" w:cs="Arial"/>
          <w:sz w:val="24"/>
          <w:szCs w:val="24"/>
          <w:lang w:val="en-GB"/>
        </w:rPr>
        <w:t>Bail appeal case number</w:t>
      </w:r>
      <w:r w:rsidR="00E251F0" w:rsidRPr="00977EE0">
        <w:rPr>
          <w:rFonts w:ascii="Arial" w:eastAsia="Calibri" w:hAnsi="Arial" w:cs="Arial"/>
          <w:sz w:val="24"/>
          <w:szCs w:val="24"/>
          <w:lang w:val="en-GB"/>
        </w:rPr>
        <w:t>: A</w:t>
      </w:r>
      <w:r w:rsidR="006A464D">
        <w:rPr>
          <w:rFonts w:ascii="Arial" w:eastAsia="Calibri" w:hAnsi="Arial" w:cs="Arial"/>
          <w:sz w:val="24"/>
          <w:szCs w:val="24"/>
          <w:lang w:val="en-GB"/>
        </w:rPr>
        <w:t>254</w:t>
      </w:r>
      <w:r w:rsidR="00E251F0" w:rsidRPr="00977EE0">
        <w:rPr>
          <w:rFonts w:ascii="Arial" w:eastAsia="Calibri" w:hAnsi="Arial" w:cs="Arial"/>
          <w:sz w:val="24"/>
          <w:szCs w:val="24"/>
          <w:lang w:val="en-GB"/>
        </w:rPr>
        <w:t>/2021</w:t>
      </w:r>
    </w:p>
    <w:p w14:paraId="3337F2A8" w14:textId="49911E2C" w:rsidR="00E251F0" w:rsidRPr="00977EE0" w:rsidRDefault="0093596C" w:rsidP="006319C0">
      <w:pPr>
        <w:widowControl w:val="0"/>
        <w:spacing w:after="0" w:line="480" w:lineRule="auto"/>
        <w:ind w:left="851" w:right="283" w:hanging="851"/>
        <w:jc w:val="right"/>
        <w:rPr>
          <w:rFonts w:ascii="Arial" w:eastAsia="Calibri" w:hAnsi="Arial" w:cs="Arial"/>
          <w:sz w:val="24"/>
          <w:szCs w:val="24"/>
          <w:lang w:val="en-GB"/>
        </w:rPr>
      </w:pPr>
      <w:r>
        <w:rPr>
          <w:rFonts w:ascii="Arial" w:eastAsia="Calibri" w:hAnsi="Arial" w:cs="Arial"/>
          <w:sz w:val="24"/>
          <w:szCs w:val="24"/>
          <w:lang w:val="en-GB"/>
        </w:rPr>
        <w:t>Magistrate’s</w:t>
      </w:r>
      <w:r w:rsidR="00E251F0" w:rsidRPr="00977EE0">
        <w:rPr>
          <w:rFonts w:ascii="Arial" w:eastAsia="Calibri" w:hAnsi="Arial" w:cs="Arial"/>
          <w:sz w:val="24"/>
          <w:szCs w:val="24"/>
          <w:lang w:val="en-GB"/>
        </w:rPr>
        <w:t xml:space="preserve"> </w:t>
      </w:r>
      <w:r>
        <w:rPr>
          <w:rFonts w:ascii="Arial" w:eastAsia="Calibri" w:hAnsi="Arial" w:cs="Arial"/>
          <w:sz w:val="24"/>
          <w:szCs w:val="24"/>
          <w:lang w:val="en-GB"/>
        </w:rPr>
        <w:t xml:space="preserve">Court </w:t>
      </w:r>
      <w:r w:rsidR="00E251F0" w:rsidRPr="00977EE0">
        <w:rPr>
          <w:rFonts w:ascii="Arial" w:eastAsia="Calibri" w:hAnsi="Arial" w:cs="Arial"/>
          <w:sz w:val="24"/>
          <w:szCs w:val="24"/>
          <w:lang w:val="en-GB"/>
        </w:rPr>
        <w:t xml:space="preserve">case number: </w:t>
      </w:r>
      <w:r w:rsidR="006A464D">
        <w:rPr>
          <w:rFonts w:ascii="Arial" w:eastAsia="Calibri" w:hAnsi="Arial" w:cs="Arial"/>
          <w:sz w:val="24"/>
          <w:szCs w:val="24"/>
          <w:lang w:val="en-GB"/>
        </w:rPr>
        <w:t>16/235</w:t>
      </w:r>
      <w:r w:rsidR="00E251F0" w:rsidRPr="00977EE0">
        <w:rPr>
          <w:rFonts w:ascii="Arial" w:eastAsia="Calibri" w:hAnsi="Arial" w:cs="Arial"/>
          <w:sz w:val="24"/>
          <w:szCs w:val="24"/>
          <w:lang w:val="en-GB"/>
        </w:rPr>
        <w:t>/202</w:t>
      </w:r>
      <w:r w:rsidR="00FF5DC6">
        <w:rPr>
          <w:rFonts w:ascii="Arial" w:eastAsia="Calibri" w:hAnsi="Arial" w:cs="Arial"/>
          <w:sz w:val="24"/>
          <w:szCs w:val="24"/>
          <w:lang w:val="en-GB"/>
        </w:rPr>
        <w:t>1</w:t>
      </w:r>
    </w:p>
    <w:p w14:paraId="5528A1A3" w14:textId="77777777" w:rsidR="00E251F0" w:rsidRPr="004F3CB3" w:rsidRDefault="00E251F0" w:rsidP="006319C0">
      <w:pPr>
        <w:widowControl w:val="0"/>
        <w:spacing w:after="0" w:line="480" w:lineRule="auto"/>
        <w:ind w:left="851" w:right="283" w:hanging="851"/>
        <w:rPr>
          <w:rFonts w:ascii="Arial" w:eastAsia="Calibri" w:hAnsi="Arial" w:cs="Arial"/>
          <w:sz w:val="24"/>
          <w:szCs w:val="24"/>
          <w:lang w:val="en-GB"/>
        </w:rPr>
      </w:pPr>
    </w:p>
    <w:p w14:paraId="3C8C2267" w14:textId="192F77B3" w:rsidR="00E251F0" w:rsidRPr="004F3CB3" w:rsidRDefault="00E251F0" w:rsidP="006319C0">
      <w:pPr>
        <w:widowControl w:val="0"/>
        <w:spacing w:after="0" w:line="480" w:lineRule="auto"/>
        <w:ind w:left="851" w:right="283" w:hanging="851"/>
        <w:rPr>
          <w:rFonts w:ascii="Arial" w:eastAsia="Calibri" w:hAnsi="Arial" w:cs="Arial"/>
          <w:sz w:val="24"/>
          <w:szCs w:val="24"/>
          <w:lang w:val="en-GB"/>
        </w:rPr>
      </w:pPr>
      <w:r w:rsidRPr="004F3CB3">
        <w:rPr>
          <w:rFonts w:ascii="Arial" w:eastAsia="Calibri" w:hAnsi="Arial" w:cs="Arial"/>
          <w:sz w:val="24"/>
          <w:szCs w:val="24"/>
          <w:lang w:val="en-GB"/>
        </w:rPr>
        <w:t xml:space="preserve">In the </w:t>
      </w:r>
      <w:r w:rsidR="00F304ED" w:rsidRPr="004F3CB3">
        <w:rPr>
          <w:rFonts w:ascii="Arial" w:eastAsia="Calibri" w:hAnsi="Arial" w:cs="Arial"/>
          <w:sz w:val="24"/>
          <w:szCs w:val="24"/>
          <w:lang w:val="en-GB"/>
        </w:rPr>
        <w:t>matter</w:t>
      </w:r>
      <w:r w:rsidRPr="004F3CB3">
        <w:rPr>
          <w:rFonts w:ascii="Arial" w:eastAsia="Calibri" w:hAnsi="Arial" w:cs="Arial"/>
          <w:sz w:val="24"/>
          <w:szCs w:val="24"/>
          <w:lang w:val="en-GB"/>
        </w:rPr>
        <w:t xml:space="preserve"> between:</w:t>
      </w:r>
    </w:p>
    <w:p w14:paraId="6710941F" w14:textId="74B2421A" w:rsidR="00E251F0" w:rsidRDefault="006A464D" w:rsidP="006319C0">
      <w:pPr>
        <w:widowControl w:val="0"/>
        <w:tabs>
          <w:tab w:val="right" w:pos="9000"/>
        </w:tabs>
        <w:spacing w:after="0" w:line="480" w:lineRule="auto"/>
        <w:ind w:left="851" w:right="283" w:hanging="851"/>
        <w:rPr>
          <w:rFonts w:ascii="Arial" w:eastAsia="Calibri" w:hAnsi="Arial" w:cs="Arial"/>
          <w:sz w:val="24"/>
          <w:szCs w:val="24"/>
          <w:lang w:val="en-GB"/>
        </w:rPr>
      </w:pPr>
      <w:r>
        <w:rPr>
          <w:rFonts w:ascii="Arial" w:eastAsia="Calibri" w:hAnsi="Arial" w:cs="Arial"/>
          <w:b/>
          <w:sz w:val="24"/>
          <w:szCs w:val="24"/>
          <w:lang w:val="en-GB"/>
        </w:rPr>
        <w:t>TULISILE TENZA</w:t>
      </w:r>
      <w:r w:rsidR="00E251F0" w:rsidRPr="004F3CB3">
        <w:rPr>
          <w:rFonts w:ascii="Arial" w:eastAsia="Calibri" w:hAnsi="Arial" w:cs="Arial"/>
          <w:b/>
          <w:sz w:val="24"/>
          <w:szCs w:val="24"/>
          <w:lang w:val="en-GB"/>
        </w:rPr>
        <w:tab/>
      </w:r>
      <w:r>
        <w:rPr>
          <w:rFonts w:ascii="Arial" w:eastAsia="Calibri" w:hAnsi="Arial" w:cs="Arial"/>
          <w:sz w:val="24"/>
          <w:szCs w:val="24"/>
          <w:lang w:val="en-GB"/>
        </w:rPr>
        <w:t>First a</w:t>
      </w:r>
      <w:r w:rsidR="00E251F0" w:rsidRPr="004F3CB3">
        <w:rPr>
          <w:rFonts w:ascii="Arial" w:eastAsia="Calibri" w:hAnsi="Arial" w:cs="Arial"/>
          <w:sz w:val="24"/>
          <w:szCs w:val="24"/>
          <w:lang w:val="en-GB"/>
        </w:rPr>
        <w:t>ppellant</w:t>
      </w:r>
    </w:p>
    <w:p w14:paraId="759EE677" w14:textId="5DFFF08B" w:rsidR="006A464D" w:rsidRPr="004F3CB3" w:rsidRDefault="006A464D" w:rsidP="006319C0">
      <w:pPr>
        <w:widowControl w:val="0"/>
        <w:tabs>
          <w:tab w:val="right" w:pos="9000"/>
        </w:tabs>
        <w:spacing w:after="0" w:line="480" w:lineRule="auto"/>
        <w:ind w:left="851" w:right="283" w:hanging="851"/>
        <w:rPr>
          <w:rFonts w:ascii="Arial" w:eastAsia="Calibri" w:hAnsi="Arial" w:cs="Arial"/>
          <w:b/>
          <w:sz w:val="24"/>
          <w:szCs w:val="24"/>
          <w:lang w:val="en-GB"/>
        </w:rPr>
      </w:pPr>
      <w:r>
        <w:rPr>
          <w:rFonts w:ascii="Arial" w:eastAsia="Calibri" w:hAnsi="Arial" w:cs="Arial"/>
          <w:b/>
          <w:sz w:val="24"/>
          <w:szCs w:val="24"/>
          <w:lang w:val="en-GB"/>
        </w:rPr>
        <w:t>VUSUMZI GQHOBHOKA</w:t>
      </w:r>
      <w:r w:rsidRPr="006A464D">
        <w:rPr>
          <w:rFonts w:ascii="Arial" w:eastAsia="Calibri" w:hAnsi="Arial" w:cs="Arial"/>
          <w:bCs/>
          <w:sz w:val="24"/>
          <w:szCs w:val="24"/>
          <w:lang w:val="en-GB"/>
        </w:rPr>
        <w:tab/>
        <w:t>Second appellant</w:t>
      </w:r>
    </w:p>
    <w:p w14:paraId="020F46C7" w14:textId="77777777" w:rsidR="00E251F0" w:rsidRPr="004F3CB3" w:rsidRDefault="00E251F0" w:rsidP="006319C0">
      <w:pPr>
        <w:widowControl w:val="0"/>
        <w:tabs>
          <w:tab w:val="right" w:pos="9000"/>
        </w:tabs>
        <w:spacing w:after="0" w:line="480" w:lineRule="auto"/>
        <w:ind w:left="851" w:right="283" w:hanging="851"/>
        <w:rPr>
          <w:rFonts w:ascii="Arial" w:eastAsia="Calibri" w:hAnsi="Arial" w:cs="Arial"/>
          <w:sz w:val="24"/>
          <w:szCs w:val="24"/>
          <w:lang w:val="en-GB"/>
        </w:rPr>
      </w:pPr>
    </w:p>
    <w:p w14:paraId="1F1AE7C8" w14:textId="77777777" w:rsidR="00E251F0" w:rsidRPr="004F3CB3" w:rsidRDefault="00E251F0" w:rsidP="006319C0">
      <w:pPr>
        <w:widowControl w:val="0"/>
        <w:tabs>
          <w:tab w:val="right" w:pos="9000"/>
        </w:tabs>
        <w:spacing w:after="0" w:line="480" w:lineRule="auto"/>
        <w:ind w:left="851" w:right="283" w:hanging="851"/>
        <w:rPr>
          <w:rFonts w:ascii="Arial" w:eastAsia="Calibri" w:hAnsi="Arial" w:cs="Arial"/>
          <w:sz w:val="24"/>
          <w:szCs w:val="24"/>
          <w:lang w:val="en-GB"/>
        </w:rPr>
      </w:pPr>
      <w:r w:rsidRPr="004F3CB3">
        <w:rPr>
          <w:rFonts w:ascii="Arial" w:eastAsia="Calibri" w:hAnsi="Arial" w:cs="Arial"/>
          <w:sz w:val="24"/>
          <w:szCs w:val="24"/>
          <w:lang w:val="en-GB"/>
        </w:rPr>
        <w:t>and</w:t>
      </w:r>
    </w:p>
    <w:p w14:paraId="663AB2EE" w14:textId="77777777" w:rsidR="00E251F0" w:rsidRPr="004F3CB3" w:rsidRDefault="00E251F0" w:rsidP="006319C0">
      <w:pPr>
        <w:widowControl w:val="0"/>
        <w:tabs>
          <w:tab w:val="right" w:pos="9000"/>
        </w:tabs>
        <w:spacing w:after="0" w:line="480" w:lineRule="auto"/>
        <w:ind w:left="851" w:right="283" w:hanging="851"/>
        <w:rPr>
          <w:rFonts w:ascii="Arial" w:eastAsia="Calibri" w:hAnsi="Arial" w:cs="Arial"/>
          <w:b/>
          <w:sz w:val="24"/>
          <w:szCs w:val="24"/>
          <w:lang w:val="en-GB"/>
        </w:rPr>
      </w:pPr>
      <w:bookmarkStart w:id="0" w:name="_Hlk499712325"/>
    </w:p>
    <w:p w14:paraId="74EF4C0B" w14:textId="582F761B" w:rsidR="00E251F0" w:rsidRPr="004F3CB3" w:rsidRDefault="00E251F0" w:rsidP="006319C0">
      <w:pPr>
        <w:widowControl w:val="0"/>
        <w:pBdr>
          <w:bottom w:val="single" w:sz="12" w:space="1" w:color="auto"/>
        </w:pBdr>
        <w:tabs>
          <w:tab w:val="right" w:pos="9000"/>
        </w:tabs>
        <w:spacing w:after="0" w:line="480" w:lineRule="auto"/>
        <w:ind w:left="851" w:right="283" w:hanging="851"/>
        <w:rPr>
          <w:rFonts w:ascii="Arial" w:eastAsia="Calibri" w:hAnsi="Arial" w:cs="Arial"/>
          <w:b/>
          <w:sz w:val="24"/>
          <w:szCs w:val="24"/>
          <w:lang w:val="en-GB"/>
        </w:rPr>
      </w:pPr>
      <w:r w:rsidRPr="004F3CB3">
        <w:rPr>
          <w:rFonts w:ascii="Arial" w:eastAsia="Calibri" w:hAnsi="Arial" w:cs="Arial"/>
          <w:b/>
          <w:sz w:val="24"/>
          <w:szCs w:val="24"/>
          <w:lang w:val="en-GB"/>
        </w:rPr>
        <w:t>THE STATE</w:t>
      </w:r>
      <w:r w:rsidRPr="004F3CB3">
        <w:rPr>
          <w:rFonts w:ascii="Arial" w:eastAsia="Calibri" w:hAnsi="Arial" w:cs="Arial"/>
          <w:b/>
          <w:sz w:val="24"/>
          <w:szCs w:val="24"/>
          <w:lang w:val="en-GB"/>
        </w:rPr>
        <w:tab/>
      </w:r>
      <w:r w:rsidRPr="004F3CB3">
        <w:rPr>
          <w:rFonts w:ascii="Arial" w:eastAsia="Calibri" w:hAnsi="Arial" w:cs="Arial"/>
          <w:sz w:val="24"/>
          <w:szCs w:val="24"/>
          <w:lang w:val="en-GB"/>
        </w:rPr>
        <w:t>Respondent</w:t>
      </w:r>
    </w:p>
    <w:bookmarkEnd w:id="0"/>
    <w:p w14:paraId="04D4C372" w14:textId="77777777" w:rsidR="00154E4A" w:rsidRDefault="00154E4A" w:rsidP="006319C0">
      <w:pPr>
        <w:widowControl w:val="0"/>
        <w:spacing w:after="0" w:line="480" w:lineRule="auto"/>
        <w:ind w:left="851" w:right="283" w:hanging="851"/>
        <w:rPr>
          <w:rFonts w:ascii="Arial" w:eastAsia="Calibri" w:hAnsi="Arial" w:cs="Arial"/>
          <w:sz w:val="24"/>
          <w:szCs w:val="24"/>
          <w:lang w:val="en-GB"/>
        </w:rPr>
      </w:pPr>
    </w:p>
    <w:p w14:paraId="54413BBC" w14:textId="0047FE4D" w:rsidR="00E251F0" w:rsidRPr="00C62657" w:rsidRDefault="00E251F0" w:rsidP="00C62657">
      <w:pPr>
        <w:widowControl w:val="0"/>
        <w:spacing w:after="0" w:line="480" w:lineRule="auto"/>
        <w:ind w:left="851" w:right="283" w:hanging="851"/>
        <w:jc w:val="center"/>
        <w:rPr>
          <w:rFonts w:ascii="Arial" w:eastAsia="Times New Roman" w:hAnsi="Arial" w:cs="Arial"/>
          <w:b/>
          <w:sz w:val="24"/>
          <w:szCs w:val="24"/>
          <w:lang w:val="en-GB"/>
        </w:rPr>
      </w:pPr>
      <w:r w:rsidRPr="004F3CB3">
        <w:rPr>
          <w:rFonts w:ascii="Arial" w:eastAsia="Times New Roman" w:hAnsi="Arial" w:cs="Arial"/>
          <w:b/>
          <w:sz w:val="24"/>
          <w:szCs w:val="24"/>
          <w:lang w:val="en-GB"/>
        </w:rPr>
        <w:t>JUDGMEN</w:t>
      </w:r>
      <w:r w:rsidR="00B65C7C">
        <w:rPr>
          <w:rFonts w:ascii="Arial" w:eastAsia="Times New Roman" w:hAnsi="Arial" w:cs="Arial"/>
          <w:b/>
          <w:sz w:val="24"/>
          <w:szCs w:val="24"/>
          <w:lang w:val="en-GB"/>
        </w:rPr>
        <w:t>T</w:t>
      </w:r>
      <w:r w:rsidR="006A464D">
        <w:rPr>
          <w:rFonts w:ascii="Arial" w:eastAsia="Times New Roman" w:hAnsi="Arial" w:cs="Arial"/>
          <w:b/>
          <w:sz w:val="24"/>
          <w:szCs w:val="24"/>
          <w:lang w:val="en-GB"/>
        </w:rPr>
        <w:t xml:space="preserve"> DELIVERED ON </w:t>
      </w:r>
      <w:r w:rsidR="00C62657">
        <w:rPr>
          <w:rFonts w:ascii="Arial" w:eastAsia="Times New Roman" w:hAnsi="Arial" w:cs="Arial"/>
          <w:b/>
          <w:sz w:val="24"/>
          <w:szCs w:val="24"/>
          <w:lang w:val="en-GB"/>
        </w:rPr>
        <w:t>12</w:t>
      </w:r>
      <w:r w:rsidR="006A464D">
        <w:rPr>
          <w:rFonts w:ascii="Arial" w:eastAsia="Times New Roman" w:hAnsi="Arial" w:cs="Arial"/>
          <w:b/>
          <w:sz w:val="24"/>
          <w:szCs w:val="24"/>
          <w:lang w:val="en-GB"/>
        </w:rPr>
        <w:t xml:space="preserve"> </w:t>
      </w:r>
      <w:r w:rsidR="006A464D" w:rsidRPr="00C62657">
        <w:rPr>
          <w:rFonts w:ascii="Arial" w:eastAsia="Times New Roman" w:hAnsi="Arial" w:cs="Arial"/>
          <w:b/>
          <w:sz w:val="24"/>
          <w:szCs w:val="24"/>
          <w:lang w:val="en-GB"/>
        </w:rPr>
        <w:t>A</w:t>
      </w:r>
      <w:r w:rsidR="00C62657" w:rsidRPr="00C62657">
        <w:rPr>
          <w:rFonts w:ascii="Arial" w:eastAsia="Times New Roman" w:hAnsi="Arial" w:cs="Arial"/>
          <w:b/>
          <w:sz w:val="24"/>
          <w:szCs w:val="24"/>
          <w:lang w:val="en-GB"/>
        </w:rPr>
        <w:t>P</w:t>
      </w:r>
      <w:r w:rsidR="006A464D" w:rsidRPr="00C62657">
        <w:rPr>
          <w:rFonts w:ascii="Arial" w:eastAsia="Times New Roman" w:hAnsi="Arial" w:cs="Arial"/>
          <w:b/>
          <w:sz w:val="24"/>
          <w:szCs w:val="24"/>
          <w:lang w:val="en-GB"/>
        </w:rPr>
        <w:t>RIL 2022</w:t>
      </w:r>
    </w:p>
    <w:p w14:paraId="659D7C8D" w14:textId="30A2F85D" w:rsidR="00E251F0" w:rsidRPr="00C62657" w:rsidRDefault="00E251F0" w:rsidP="00C62657">
      <w:pPr>
        <w:widowControl w:val="0"/>
        <w:spacing w:after="0" w:line="480" w:lineRule="auto"/>
        <w:ind w:left="851" w:right="283" w:hanging="851"/>
        <w:jc w:val="both"/>
        <w:rPr>
          <w:rFonts w:ascii="Arial" w:eastAsia="Calibri" w:hAnsi="Arial" w:cs="Arial"/>
          <w:sz w:val="24"/>
          <w:szCs w:val="24"/>
          <w:lang w:val="en-GB"/>
        </w:rPr>
      </w:pPr>
      <w:r w:rsidRPr="00C62657">
        <w:rPr>
          <w:rFonts w:ascii="Arial" w:eastAsia="Calibri" w:hAnsi="Arial" w:cs="Arial"/>
          <w:sz w:val="24"/>
          <w:szCs w:val="24"/>
          <w:lang w:val="en-GB"/>
        </w:rPr>
        <w:t>_________________________________________________________________</w:t>
      </w:r>
    </w:p>
    <w:p w14:paraId="23F17B23" w14:textId="77777777" w:rsidR="00F304ED" w:rsidRPr="00C62657" w:rsidRDefault="00F304ED" w:rsidP="00C62657">
      <w:pPr>
        <w:widowControl w:val="0"/>
        <w:spacing w:after="0" w:line="480" w:lineRule="auto"/>
        <w:jc w:val="both"/>
        <w:rPr>
          <w:rFonts w:ascii="Arial" w:hAnsi="Arial" w:cs="Arial"/>
          <w:sz w:val="24"/>
          <w:szCs w:val="24"/>
          <w:lang w:val="en-US"/>
        </w:rPr>
      </w:pPr>
    </w:p>
    <w:p w14:paraId="5EC81C7E" w14:textId="0EC3D28F" w:rsidR="005A5A94" w:rsidRPr="00C62657" w:rsidRDefault="00F304ED" w:rsidP="00C62657">
      <w:pPr>
        <w:widowControl w:val="0"/>
        <w:spacing w:after="0" w:line="480" w:lineRule="auto"/>
        <w:jc w:val="both"/>
        <w:rPr>
          <w:rFonts w:ascii="Arial" w:hAnsi="Arial" w:cs="Arial"/>
          <w:b/>
          <w:sz w:val="24"/>
          <w:szCs w:val="24"/>
          <w:u w:val="single"/>
          <w:lang w:val="en-US"/>
        </w:rPr>
      </w:pPr>
      <w:r w:rsidRPr="00C62657">
        <w:rPr>
          <w:rFonts w:ascii="Arial" w:hAnsi="Arial" w:cs="Arial"/>
          <w:b/>
          <w:sz w:val="24"/>
          <w:szCs w:val="24"/>
          <w:u w:val="single"/>
          <w:lang w:val="en-US"/>
        </w:rPr>
        <w:t>VAN ZYL AJ</w:t>
      </w:r>
      <w:r w:rsidR="006A464D" w:rsidRPr="00C62657">
        <w:rPr>
          <w:rFonts w:ascii="Arial" w:hAnsi="Arial" w:cs="Arial"/>
          <w:b/>
          <w:sz w:val="24"/>
          <w:szCs w:val="24"/>
          <w:u w:val="single"/>
          <w:lang w:val="en-US"/>
        </w:rPr>
        <w:t>:</w:t>
      </w:r>
    </w:p>
    <w:p w14:paraId="62494B50" w14:textId="77777777" w:rsidR="00F304ED" w:rsidRPr="00C62657" w:rsidRDefault="00F304ED" w:rsidP="00C62657">
      <w:pPr>
        <w:widowControl w:val="0"/>
        <w:spacing w:after="0" w:line="480" w:lineRule="auto"/>
        <w:jc w:val="both"/>
        <w:rPr>
          <w:rFonts w:ascii="Arial" w:hAnsi="Arial" w:cs="Arial"/>
          <w:b/>
          <w:bCs/>
          <w:sz w:val="24"/>
          <w:szCs w:val="24"/>
          <w:u w:val="single"/>
          <w:lang w:val="en-US"/>
        </w:rPr>
      </w:pPr>
    </w:p>
    <w:p w14:paraId="5E74B329" w14:textId="020DB0EE" w:rsidR="00460F28" w:rsidRPr="00C62657" w:rsidRDefault="005A5A94" w:rsidP="00C62657">
      <w:pPr>
        <w:widowControl w:val="0"/>
        <w:spacing w:after="0" w:line="480" w:lineRule="auto"/>
        <w:jc w:val="both"/>
        <w:rPr>
          <w:rFonts w:ascii="Arial" w:hAnsi="Arial" w:cs="Arial"/>
          <w:b/>
          <w:bCs/>
          <w:sz w:val="24"/>
          <w:szCs w:val="24"/>
          <w:u w:val="single"/>
          <w:lang w:val="en-US"/>
        </w:rPr>
      </w:pPr>
      <w:r w:rsidRPr="00C62657">
        <w:rPr>
          <w:rFonts w:ascii="Arial" w:hAnsi="Arial" w:cs="Arial"/>
          <w:b/>
          <w:bCs/>
          <w:sz w:val="24"/>
          <w:szCs w:val="24"/>
          <w:u w:val="single"/>
          <w:lang w:val="en-US"/>
        </w:rPr>
        <w:t>Introduction</w:t>
      </w:r>
    </w:p>
    <w:p w14:paraId="2453AEE6" w14:textId="2592B414" w:rsidR="00460F28" w:rsidRPr="00C62657" w:rsidRDefault="00460F28" w:rsidP="00C62657">
      <w:pPr>
        <w:widowControl w:val="0"/>
        <w:spacing w:after="0" w:line="480" w:lineRule="auto"/>
        <w:jc w:val="both"/>
        <w:rPr>
          <w:rFonts w:ascii="Arial" w:hAnsi="Arial" w:cs="Arial"/>
          <w:sz w:val="24"/>
          <w:szCs w:val="24"/>
          <w:lang w:val="en-US"/>
        </w:rPr>
      </w:pPr>
    </w:p>
    <w:p w14:paraId="6B957C99" w14:textId="67E9A6A1" w:rsidR="006A464D" w:rsidRPr="00C62657" w:rsidRDefault="00F30F9B" w:rsidP="00C62657">
      <w:pPr>
        <w:pStyle w:val="ListParagraph"/>
        <w:widowControl w:val="0"/>
        <w:numPr>
          <w:ilvl w:val="0"/>
          <w:numId w:val="4"/>
        </w:numPr>
        <w:spacing w:after="0" w:line="480" w:lineRule="auto"/>
        <w:ind w:hanging="720"/>
        <w:jc w:val="both"/>
        <w:rPr>
          <w:rFonts w:ascii="Arial" w:hAnsi="Arial" w:cs="Arial"/>
          <w:sz w:val="24"/>
          <w:szCs w:val="24"/>
        </w:rPr>
      </w:pPr>
      <w:r w:rsidRPr="00C62657">
        <w:rPr>
          <w:rFonts w:ascii="Arial" w:hAnsi="Arial" w:cs="Arial"/>
          <w:sz w:val="24"/>
          <w:szCs w:val="24"/>
        </w:rPr>
        <w:t xml:space="preserve">This </w:t>
      </w:r>
      <w:r w:rsidR="00FB2A4D" w:rsidRPr="00C62657">
        <w:rPr>
          <w:rFonts w:ascii="Arial" w:hAnsi="Arial" w:cs="Arial"/>
          <w:sz w:val="24"/>
          <w:szCs w:val="24"/>
        </w:rPr>
        <w:t xml:space="preserve">is an appeal by each of the appellants </w:t>
      </w:r>
      <w:r w:rsidRPr="00C62657">
        <w:rPr>
          <w:rFonts w:ascii="Arial" w:hAnsi="Arial" w:cs="Arial"/>
          <w:sz w:val="24"/>
          <w:szCs w:val="24"/>
        </w:rPr>
        <w:t xml:space="preserve">against </w:t>
      </w:r>
      <w:r w:rsidR="00FF5DC6" w:rsidRPr="00C62657">
        <w:rPr>
          <w:rFonts w:ascii="Arial" w:hAnsi="Arial" w:cs="Arial"/>
          <w:sz w:val="24"/>
          <w:szCs w:val="24"/>
        </w:rPr>
        <w:t>the refusal of bail to</w:t>
      </w:r>
      <w:r w:rsidR="00FB2A4D" w:rsidRPr="00C62657">
        <w:rPr>
          <w:rFonts w:ascii="Arial" w:hAnsi="Arial" w:cs="Arial"/>
          <w:sz w:val="24"/>
          <w:szCs w:val="24"/>
        </w:rPr>
        <w:t xml:space="preserve"> them</w:t>
      </w:r>
      <w:r w:rsidR="00FF5DC6" w:rsidRPr="00C62657">
        <w:rPr>
          <w:rFonts w:ascii="Arial" w:hAnsi="Arial" w:cs="Arial"/>
          <w:sz w:val="24"/>
          <w:szCs w:val="24"/>
        </w:rPr>
        <w:t xml:space="preserve"> </w:t>
      </w:r>
      <w:r w:rsidR="00FF5DC6" w:rsidRPr="00C62657">
        <w:rPr>
          <w:rFonts w:ascii="Arial" w:hAnsi="Arial" w:cs="Arial"/>
          <w:sz w:val="24"/>
          <w:szCs w:val="24"/>
        </w:rPr>
        <w:lastRenderedPageBreak/>
        <w:t xml:space="preserve">by the </w:t>
      </w:r>
      <w:r w:rsidR="006A464D" w:rsidRPr="00C62657">
        <w:rPr>
          <w:rFonts w:ascii="Arial" w:hAnsi="Arial" w:cs="Arial"/>
          <w:sz w:val="24"/>
          <w:szCs w:val="24"/>
        </w:rPr>
        <w:t>Cape Town</w:t>
      </w:r>
      <w:r w:rsidR="00FF5DC6" w:rsidRPr="00C62657">
        <w:rPr>
          <w:rFonts w:ascii="Arial" w:hAnsi="Arial" w:cs="Arial"/>
          <w:sz w:val="24"/>
          <w:szCs w:val="24"/>
        </w:rPr>
        <w:t xml:space="preserve"> Magistrate’s Court on </w:t>
      </w:r>
      <w:r w:rsidR="006A464D" w:rsidRPr="00C62657">
        <w:rPr>
          <w:rFonts w:ascii="Arial" w:hAnsi="Arial" w:cs="Arial"/>
          <w:sz w:val="24"/>
          <w:szCs w:val="24"/>
        </w:rPr>
        <w:t>14</w:t>
      </w:r>
      <w:r w:rsidR="00FF5DC6" w:rsidRPr="00C62657">
        <w:rPr>
          <w:rFonts w:ascii="Arial" w:hAnsi="Arial" w:cs="Arial"/>
          <w:sz w:val="24"/>
          <w:szCs w:val="24"/>
        </w:rPr>
        <w:t xml:space="preserve"> </w:t>
      </w:r>
      <w:r w:rsidR="006A464D" w:rsidRPr="00C62657">
        <w:rPr>
          <w:rFonts w:ascii="Arial" w:hAnsi="Arial" w:cs="Arial"/>
          <w:sz w:val="24"/>
          <w:szCs w:val="24"/>
        </w:rPr>
        <w:t>October</w:t>
      </w:r>
      <w:r w:rsidR="00FF5DC6" w:rsidRPr="00C62657">
        <w:rPr>
          <w:rFonts w:ascii="Arial" w:hAnsi="Arial" w:cs="Arial"/>
          <w:sz w:val="24"/>
          <w:szCs w:val="24"/>
        </w:rPr>
        <w:t xml:space="preserve"> 20</w:t>
      </w:r>
      <w:r w:rsidR="006A464D" w:rsidRPr="00C62657">
        <w:rPr>
          <w:rFonts w:ascii="Arial" w:hAnsi="Arial" w:cs="Arial"/>
          <w:sz w:val="24"/>
          <w:szCs w:val="24"/>
        </w:rPr>
        <w:t>2</w:t>
      </w:r>
      <w:r w:rsidR="00FF5DC6" w:rsidRPr="00C62657">
        <w:rPr>
          <w:rFonts w:ascii="Arial" w:hAnsi="Arial" w:cs="Arial"/>
          <w:sz w:val="24"/>
          <w:szCs w:val="24"/>
        </w:rPr>
        <w:t>1.</w:t>
      </w:r>
    </w:p>
    <w:p w14:paraId="21AA2FE0" w14:textId="77777777" w:rsidR="006A464D" w:rsidRPr="00C62657" w:rsidRDefault="006A464D" w:rsidP="00C62657">
      <w:pPr>
        <w:pStyle w:val="ListParagraph"/>
        <w:widowControl w:val="0"/>
        <w:spacing w:after="0" w:line="480" w:lineRule="auto"/>
        <w:jc w:val="both"/>
        <w:rPr>
          <w:rFonts w:ascii="Arial" w:hAnsi="Arial" w:cs="Arial"/>
          <w:sz w:val="24"/>
          <w:szCs w:val="24"/>
        </w:rPr>
      </w:pPr>
    </w:p>
    <w:p w14:paraId="35490917" w14:textId="2DDC58DA" w:rsidR="00C07297" w:rsidRPr="00C62657" w:rsidRDefault="00F30F9B" w:rsidP="00C62657">
      <w:pPr>
        <w:pStyle w:val="ListParagraph"/>
        <w:widowControl w:val="0"/>
        <w:numPr>
          <w:ilvl w:val="0"/>
          <w:numId w:val="4"/>
        </w:numPr>
        <w:spacing w:after="0" w:line="480" w:lineRule="auto"/>
        <w:ind w:hanging="720"/>
        <w:jc w:val="both"/>
        <w:rPr>
          <w:rFonts w:ascii="Arial" w:hAnsi="Arial" w:cs="Arial"/>
          <w:sz w:val="24"/>
          <w:szCs w:val="24"/>
        </w:rPr>
      </w:pPr>
      <w:r w:rsidRPr="00C62657">
        <w:rPr>
          <w:rFonts w:ascii="Arial" w:hAnsi="Arial" w:cs="Arial"/>
          <w:sz w:val="24"/>
          <w:szCs w:val="24"/>
        </w:rPr>
        <w:t>The appellant</w:t>
      </w:r>
      <w:r w:rsidR="006A464D" w:rsidRPr="00C62657">
        <w:rPr>
          <w:rFonts w:ascii="Arial" w:hAnsi="Arial" w:cs="Arial"/>
          <w:sz w:val="24"/>
          <w:szCs w:val="24"/>
        </w:rPr>
        <w:t xml:space="preserve">s are both charged with two counts of robbery with aggravating circumstances.  </w:t>
      </w:r>
      <w:r w:rsidR="00C07297" w:rsidRPr="00C62657">
        <w:rPr>
          <w:rFonts w:ascii="Arial" w:hAnsi="Arial" w:cs="Arial"/>
          <w:sz w:val="24"/>
          <w:szCs w:val="24"/>
        </w:rPr>
        <w:t>The State alleges that the appellants committed a robbery on 13 Nove</w:t>
      </w:r>
      <w:r w:rsidR="00FB2A4D" w:rsidRPr="00C62657">
        <w:rPr>
          <w:rFonts w:ascii="Arial" w:hAnsi="Arial" w:cs="Arial"/>
          <w:sz w:val="24"/>
          <w:szCs w:val="24"/>
        </w:rPr>
        <w:t xml:space="preserve">mber 2020 at Visual Impact Terraces where firearms were wielded.  The appellants also stand accused of a second charge of robbery </w:t>
      </w:r>
      <w:r w:rsidR="00E93BF2" w:rsidRPr="00C62657">
        <w:rPr>
          <w:rFonts w:ascii="Arial" w:hAnsi="Arial" w:cs="Arial"/>
          <w:sz w:val="24"/>
          <w:szCs w:val="24"/>
        </w:rPr>
        <w:t xml:space="preserve">on 27 April 2021, </w:t>
      </w:r>
      <w:r w:rsidR="00FB2A4D" w:rsidRPr="00C62657">
        <w:rPr>
          <w:rFonts w:ascii="Arial" w:hAnsi="Arial" w:cs="Arial"/>
          <w:sz w:val="24"/>
          <w:szCs w:val="24"/>
        </w:rPr>
        <w:t>which involved in jewellery store in the Cape Town city centre.</w:t>
      </w:r>
      <w:r w:rsidR="00C07297" w:rsidRPr="00C62657">
        <w:rPr>
          <w:rFonts w:ascii="Arial" w:hAnsi="Arial" w:cs="Arial"/>
          <w:sz w:val="24"/>
          <w:szCs w:val="24"/>
        </w:rPr>
        <w:t xml:space="preserve"> </w:t>
      </w:r>
    </w:p>
    <w:p w14:paraId="0413AADB" w14:textId="77777777" w:rsidR="00FB2A4D" w:rsidRPr="00C62657" w:rsidRDefault="00FB2A4D" w:rsidP="00C62657">
      <w:pPr>
        <w:pStyle w:val="ListParagraph"/>
        <w:widowControl w:val="0"/>
        <w:spacing w:after="0" w:line="480" w:lineRule="auto"/>
        <w:jc w:val="both"/>
        <w:rPr>
          <w:rFonts w:ascii="Arial" w:hAnsi="Arial" w:cs="Arial"/>
          <w:sz w:val="24"/>
          <w:szCs w:val="24"/>
        </w:rPr>
      </w:pPr>
    </w:p>
    <w:p w14:paraId="463840FE" w14:textId="3C061B56" w:rsidR="00FB2A4D" w:rsidRPr="00C62657" w:rsidRDefault="00FB2A4D" w:rsidP="00C62657">
      <w:pPr>
        <w:pStyle w:val="ListParagraph"/>
        <w:widowControl w:val="0"/>
        <w:numPr>
          <w:ilvl w:val="0"/>
          <w:numId w:val="4"/>
        </w:numPr>
        <w:spacing w:after="0" w:line="480" w:lineRule="auto"/>
        <w:ind w:hanging="720"/>
        <w:jc w:val="both"/>
        <w:rPr>
          <w:rFonts w:ascii="Arial" w:hAnsi="Arial" w:cs="Arial"/>
          <w:sz w:val="24"/>
          <w:szCs w:val="24"/>
        </w:rPr>
      </w:pPr>
      <w:r w:rsidRPr="00C62657">
        <w:rPr>
          <w:rFonts w:ascii="Arial" w:hAnsi="Arial" w:cs="Arial"/>
          <w:sz w:val="24"/>
          <w:szCs w:val="24"/>
        </w:rPr>
        <w:t>Aggrieved by the refusal of their respective bail applications, the appellants appeal against the refusal in terms of section 65(1) of the Criminal Procedure Act, 1977 (“the CPA”). The appellants</w:t>
      </w:r>
      <w:r w:rsidR="00F5280F" w:rsidRPr="00C62657">
        <w:rPr>
          <w:rFonts w:ascii="Arial" w:hAnsi="Arial" w:cs="Arial"/>
          <w:sz w:val="24"/>
          <w:szCs w:val="24"/>
        </w:rPr>
        <w:t>’</w:t>
      </w:r>
      <w:r w:rsidRPr="00C62657">
        <w:rPr>
          <w:rFonts w:ascii="Arial" w:hAnsi="Arial" w:cs="Arial"/>
          <w:sz w:val="24"/>
          <w:szCs w:val="24"/>
        </w:rPr>
        <w:t xml:space="preserve"> grounds of appeal </w:t>
      </w:r>
      <w:r w:rsidR="003C26D5" w:rsidRPr="00C62657">
        <w:rPr>
          <w:rFonts w:ascii="Arial" w:hAnsi="Arial" w:cs="Arial"/>
          <w:sz w:val="24"/>
          <w:szCs w:val="24"/>
        </w:rPr>
        <w:t xml:space="preserve">were contained in a combined documents and </w:t>
      </w:r>
      <w:r w:rsidRPr="00C62657">
        <w:rPr>
          <w:rFonts w:ascii="Arial" w:hAnsi="Arial" w:cs="Arial"/>
          <w:sz w:val="24"/>
          <w:szCs w:val="24"/>
        </w:rPr>
        <w:t>are, essentially, as follows:</w:t>
      </w:r>
    </w:p>
    <w:p w14:paraId="77222CBB" w14:textId="33D01096" w:rsidR="00FB2A4D" w:rsidRPr="00C62657" w:rsidRDefault="00FB2A4D" w:rsidP="00C62657">
      <w:pPr>
        <w:pStyle w:val="ListParagraph"/>
        <w:widowControl w:val="0"/>
        <w:spacing w:after="0" w:line="480" w:lineRule="auto"/>
        <w:jc w:val="both"/>
        <w:rPr>
          <w:rFonts w:ascii="Arial" w:hAnsi="Arial" w:cs="Arial"/>
          <w:sz w:val="24"/>
          <w:szCs w:val="24"/>
        </w:rPr>
      </w:pPr>
    </w:p>
    <w:p w14:paraId="751B07AD" w14:textId="104FCF70" w:rsidR="00FB2A4D" w:rsidRPr="00C62657" w:rsidRDefault="00FB2A4D" w:rsidP="00C62657">
      <w:pPr>
        <w:pStyle w:val="ListParagraph"/>
        <w:widowControl w:val="0"/>
        <w:numPr>
          <w:ilvl w:val="1"/>
          <w:numId w:val="4"/>
        </w:numPr>
        <w:spacing w:after="0" w:line="480" w:lineRule="auto"/>
        <w:jc w:val="both"/>
        <w:rPr>
          <w:rFonts w:ascii="Arial" w:hAnsi="Arial" w:cs="Arial"/>
          <w:sz w:val="24"/>
          <w:szCs w:val="24"/>
        </w:rPr>
      </w:pPr>
      <w:r w:rsidRPr="00C62657">
        <w:rPr>
          <w:rFonts w:ascii="Arial" w:hAnsi="Arial" w:cs="Arial"/>
          <w:sz w:val="24"/>
          <w:szCs w:val="24"/>
        </w:rPr>
        <w:t xml:space="preserve">The lower court erred in </w:t>
      </w:r>
      <w:r w:rsidR="003C26D5" w:rsidRPr="00C62657">
        <w:rPr>
          <w:rFonts w:ascii="Arial" w:hAnsi="Arial" w:cs="Arial"/>
          <w:sz w:val="24"/>
          <w:szCs w:val="24"/>
        </w:rPr>
        <w:t>placing undue emphasis on the seriousness of the offences and finding that the personal circumstances of the appellants did not justify a closer look and do not warrant the granting of bail in the interests of justice</w:t>
      </w:r>
      <w:r w:rsidRPr="00C62657">
        <w:rPr>
          <w:rFonts w:ascii="Arial" w:hAnsi="Arial" w:cs="Arial"/>
          <w:sz w:val="24"/>
          <w:szCs w:val="24"/>
        </w:rPr>
        <w:t>.</w:t>
      </w:r>
    </w:p>
    <w:p w14:paraId="290280E5" w14:textId="77777777" w:rsidR="00FB2A4D" w:rsidRPr="00C62657" w:rsidRDefault="00FB2A4D" w:rsidP="00C62657">
      <w:pPr>
        <w:pStyle w:val="ListParagraph"/>
        <w:widowControl w:val="0"/>
        <w:spacing w:after="0" w:line="480" w:lineRule="auto"/>
        <w:ind w:left="1440"/>
        <w:jc w:val="both"/>
        <w:rPr>
          <w:rFonts w:ascii="Arial" w:hAnsi="Arial" w:cs="Arial"/>
          <w:sz w:val="24"/>
          <w:szCs w:val="24"/>
        </w:rPr>
      </w:pPr>
    </w:p>
    <w:p w14:paraId="60178D35" w14:textId="0390EAC5" w:rsidR="00FB2A4D" w:rsidRPr="00C62657" w:rsidRDefault="00FB2A4D" w:rsidP="00C62657">
      <w:pPr>
        <w:pStyle w:val="ListParagraph"/>
        <w:widowControl w:val="0"/>
        <w:numPr>
          <w:ilvl w:val="1"/>
          <w:numId w:val="4"/>
        </w:numPr>
        <w:spacing w:after="0" w:line="480" w:lineRule="auto"/>
        <w:jc w:val="both"/>
        <w:rPr>
          <w:rFonts w:ascii="Arial" w:hAnsi="Arial" w:cs="Arial"/>
          <w:sz w:val="24"/>
          <w:szCs w:val="24"/>
        </w:rPr>
      </w:pPr>
      <w:r w:rsidRPr="00C62657">
        <w:rPr>
          <w:rFonts w:ascii="Arial" w:hAnsi="Arial" w:cs="Arial"/>
          <w:sz w:val="24"/>
          <w:szCs w:val="24"/>
        </w:rPr>
        <w:t xml:space="preserve">The lower court </w:t>
      </w:r>
      <w:r w:rsidR="003C26D5" w:rsidRPr="00C62657">
        <w:rPr>
          <w:rFonts w:ascii="Arial" w:hAnsi="Arial" w:cs="Arial"/>
          <w:sz w:val="24"/>
          <w:szCs w:val="24"/>
        </w:rPr>
        <w:t>erred in not finding that the following constituted exceptional circumstances:</w:t>
      </w:r>
    </w:p>
    <w:p w14:paraId="2A1BCF4D" w14:textId="77777777" w:rsidR="003C26D5" w:rsidRPr="00C62657" w:rsidRDefault="00FB2A4D"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 appellant</w:t>
      </w:r>
      <w:r w:rsidR="003C26D5" w:rsidRPr="00C62657">
        <w:rPr>
          <w:rFonts w:ascii="Arial" w:hAnsi="Arial" w:cs="Arial"/>
          <w:sz w:val="24"/>
          <w:szCs w:val="24"/>
        </w:rPr>
        <w:t>s had not conclusively been shown to be a flight risk and have fixed addresses.</w:t>
      </w:r>
    </w:p>
    <w:p w14:paraId="30E58744" w14:textId="6F880B0C" w:rsidR="003C26D5" w:rsidRPr="00C62657" w:rsidRDefault="003C26D5"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 appellants did not possess any passports which would enable them to flee the country.</w:t>
      </w:r>
    </w:p>
    <w:p w14:paraId="3E048365" w14:textId="379C81FE" w:rsidR="003C26D5" w:rsidRPr="00C62657" w:rsidRDefault="003C26D5"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 first appellant had minor dependents</w:t>
      </w:r>
      <w:r w:rsidR="00B43FA2" w:rsidRPr="00C62657">
        <w:rPr>
          <w:rFonts w:ascii="Arial" w:hAnsi="Arial" w:cs="Arial"/>
          <w:sz w:val="24"/>
          <w:szCs w:val="24"/>
        </w:rPr>
        <w:t xml:space="preserve"> and is the primary </w:t>
      </w:r>
      <w:r w:rsidR="00B43FA2" w:rsidRPr="00C62657">
        <w:rPr>
          <w:rFonts w:ascii="Arial" w:hAnsi="Arial" w:cs="Arial"/>
          <w:sz w:val="24"/>
          <w:szCs w:val="24"/>
        </w:rPr>
        <w:lastRenderedPageBreak/>
        <w:t>financial source for his dependents</w:t>
      </w:r>
      <w:r w:rsidRPr="00C62657">
        <w:rPr>
          <w:rFonts w:ascii="Arial" w:hAnsi="Arial" w:cs="Arial"/>
          <w:sz w:val="24"/>
          <w:szCs w:val="24"/>
        </w:rPr>
        <w:t>.</w:t>
      </w:r>
    </w:p>
    <w:p w14:paraId="0A33BB34" w14:textId="192E418C" w:rsidR="00B43FA2" w:rsidRPr="00C62657" w:rsidRDefault="00B43FA2"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 lower court ignored the “</w:t>
      </w:r>
      <w:r w:rsidRPr="00C62657">
        <w:rPr>
          <w:rFonts w:ascii="Arial" w:hAnsi="Arial" w:cs="Arial"/>
          <w:i/>
          <w:iCs/>
          <w:sz w:val="24"/>
          <w:szCs w:val="24"/>
        </w:rPr>
        <w:t>glaring evidence</w:t>
      </w:r>
      <w:r w:rsidRPr="00C62657">
        <w:rPr>
          <w:rFonts w:ascii="Arial" w:hAnsi="Arial" w:cs="Arial"/>
          <w:sz w:val="24"/>
          <w:szCs w:val="24"/>
        </w:rPr>
        <w:t>” presented by the appellants regarding allegations of the “</w:t>
      </w:r>
      <w:r w:rsidRPr="00C62657">
        <w:rPr>
          <w:rFonts w:ascii="Arial" w:hAnsi="Arial" w:cs="Arial"/>
          <w:i/>
          <w:iCs/>
          <w:sz w:val="24"/>
          <w:szCs w:val="24"/>
        </w:rPr>
        <w:t>unorthodox</w:t>
      </w:r>
      <w:r w:rsidRPr="00C62657">
        <w:rPr>
          <w:rFonts w:ascii="Arial" w:hAnsi="Arial" w:cs="Arial"/>
          <w:sz w:val="24"/>
          <w:szCs w:val="24"/>
        </w:rPr>
        <w:t>” manner in which the investigating officer conducted his investigations, allegedly going as far as manufacturing evidence.</w:t>
      </w:r>
    </w:p>
    <w:p w14:paraId="36E3BD9A" w14:textId="0F6AE6C6" w:rsidR="00B43FA2" w:rsidRPr="00C62657" w:rsidRDefault="00B43FA2"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 appellants pose no danger to the victims and witnesses in the case against them as they have no idea where those persons’ residential addresses are.</w:t>
      </w:r>
    </w:p>
    <w:p w14:paraId="4FEE98DB" w14:textId="77777777" w:rsidR="00B43FA2" w:rsidRPr="00C62657" w:rsidRDefault="00B43FA2" w:rsidP="00C62657">
      <w:pPr>
        <w:pStyle w:val="ListParagraph"/>
        <w:widowControl w:val="0"/>
        <w:spacing w:after="0" w:line="480" w:lineRule="auto"/>
        <w:ind w:left="1440"/>
        <w:jc w:val="both"/>
        <w:rPr>
          <w:rFonts w:ascii="Arial" w:hAnsi="Arial" w:cs="Arial"/>
          <w:sz w:val="24"/>
          <w:szCs w:val="24"/>
        </w:rPr>
      </w:pPr>
    </w:p>
    <w:p w14:paraId="7E0B51DC" w14:textId="53B13296" w:rsidR="00B43FA2" w:rsidRPr="00C62657" w:rsidRDefault="00B43FA2" w:rsidP="00C62657">
      <w:pPr>
        <w:pStyle w:val="ListParagraph"/>
        <w:widowControl w:val="0"/>
        <w:numPr>
          <w:ilvl w:val="1"/>
          <w:numId w:val="4"/>
        </w:numPr>
        <w:spacing w:after="0" w:line="480" w:lineRule="auto"/>
        <w:jc w:val="both"/>
        <w:rPr>
          <w:rFonts w:ascii="Arial" w:hAnsi="Arial" w:cs="Arial"/>
          <w:sz w:val="24"/>
          <w:szCs w:val="24"/>
        </w:rPr>
      </w:pPr>
      <w:r w:rsidRPr="00C62657">
        <w:rPr>
          <w:rFonts w:ascii="Arial" w:hAnsi="Arial" w:cs="Arial"/>
          <w:sz w:val="24"/>
          <w:szCs w:val="24"/>
        </w:rPr>
        <w:t>The lower court erred in not giving due weight to the personal circumstances of the appellants which in the interests of justice permit their release:</w:t>
      </w:r>
    </w:p>
    <w:p w14:paraId="76ECE0B6" w14:textId="5CCDFA64" w:rsidR="00B43FA2" w:rsidRPr="00C62657" w:rsidRDefault="00B43FA2"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 appellants have fixed addresses and strict bail conditions will cure any flight risk.</w:t>
      </w:r>
    </w:p>
    <w:p w14:paraId="66CD1412" w14:textId="426FCC30" w:rsidR="00B43FA2" w:rsidRPr="00C62657" w:rsidRDefault="000009C3"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There were no facts placed before the court that the appellants would not stand trial should they be released on bail, except for the court taking into account the lengthy sentences that might be imposed should they be found guilty.</w:t>
      </w:r>
    </w:p>
    <w:p w14:paraId="30977F55" w14:textId="5EDACC1E" w:rsidR="000009C3" w:rsidRPr="00C62657" w:rsidRDefault="000009C3"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There were no facts placed before the court that the appellants might endanger the safety of the public.</w:t>
      </w:r>
    </w:p>
    <w:p w14:paraId="741AB4FC" w14:textId="77777777" w:rsidR="000009C3" w:rsidRPr="00C62657" w:rsidRDefault="000009C3" w:rsidP="00C62657">
      <w:pPr>
        <w:pStyle w:val="ListParagraph"/>
        <w:widowControl w:val="0"/>
        <w:numPr>
          <w:ilvl w:val="2"/>
          <w:numId w:val="4"/>
        </w:numPr>
        <w:spacing w:after="0" w:line="480" w:lineRule="auto"/>
        <w:jc w:val="both"/>
        <w:rPr>
          <w:rFonts w:ascii="Arial" w:hAnsi="Arial" w:cs="Arial"/>
          <w:sz w:val="24"/>
          <w:szCs w:val="24"/>
        </w:rPr>
      </w:pPr>
      <w:r w:rsidRPr="00C62657">
        <w:rPr>
          <w:rFonts w:ascii="Arial" w:hAnsi="Arial" w:cs="Arial"/>
          <w:sz w:val="24"/>
          <w:szCs w:val="24"/>
        </w:rPr>
        <w:t>The State did not show that the appellants had even been issued with warrants for intentional non-attendance at court.</w:t>
      </w:r>
    </w:p>
    <w:p w14:paraId="20F588CE" w14:textId="3350FF5A" w:rsidR="00FB2A4D" w:rsidRPr="00C62657" w:rsidRDefault="000009C3" w:rsidP="00C62657">
      <w:pPr>
        <w:pStyle w:val="ListParagraph"/>
        <w:widowControl w:val="0"/>
        <w:numPr>
          <w:ilvl w:val="2"/>
          <w:numId w:val="4"/>
        </w:numPr>
        <w:spacing w:after="0" w:line="480" w:lineRule="auto"/>
        <w:jc w:val="both"/>
        <w:rPr>
          <w:rFonts w:ascii="Arial" w:hAnsi="Arial" w:cs="Arial"/>
          <w:sz w:val="24"/>
          <w:szCs w:val="24"/>
          <w:lang w:val="en-US"/>
        </w:rPr>
      </w:pPr>
      <w:r w:rsidRPr="00C62657">
        <w:rPr>
          <w:rFonts w:ascii="Arial" w:hAnsi="Arial" w:cs="Arial"/>
          <w:sz w:val="24"/>
          <w:szCs w:val="24"/>
        </w:rPr>
        <w:t>There was no evidence to the effect that the appellants would not adhere to any strict bail conditions set by the court.</w:t>
      </w:r>
    </w:p>
    <w:p w14:paraId="6A1C1E4C" w14:textId="77777777" w:rsidR="000009C3" w:rsidRPr="00C62657" w:rsidRDefault="000009C3" w:rsidP="00C62657">
      <w:pPr>
        <w:pStyle w:val="ListParagraph"/>
        <w:widowControl w:val="0"/>
        <w:spacing w:after="0" w:line="480" w:lineRule="auto"/>
        <w:jc w:val="both"/>
        <w:rPr>
          <w:rFonts w:ascii="Arial" w:hAnsi="Arial" w:cs="Arial"/>
          <w:sz w:val="24"/>
          <w:szCs w:val="24"/>
          <w:lang w:val="en-US"/>
        </w:rPr>
      </w:pPr>
    </w:p>
    <w:p w14:paraId="315DD075" w14:textId="27C5CB7C" w:rsidR="000009C3" w:rsidRPr="00C62657" w:rsidRDefault="000009C3"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lastRenderedPageBreak/>
        <w:t>The appellants accordingly contend that they should be released on bail, subject to various conditions.</w:t>
      </w:r>
    </w:p>
    <w:p w14:paraId="7A3D968E" w14:textId="77777777" w:rsidR="000009C3" w:rsidRPr="00C62657" w:rsidRDefault="000009C3" w:rsidP="00C62657">
      <w:pPr>
        <w:pStyle w:val="ListParagraph"/>
        <w:widowControl w:val="0"/>
        <w:spacing w:after="0" w:line="480" w:lineRule="auto"/>
        <w:jc w:val="both"/>
        <w:rPr>
          <w:rFonts w:ascii="Arial" w:hAnsi="Arial" w:cs="Arial"/>
          <w:sz w:val="24"/>
          <w:szCs w:val="24"/>
          <w:lang w:val="en-US"/>
        </w:rPr>
      </w:pPr>
    </w:p>
    <w:p w14:paraId="068DFA04" w14:textId="4560E5D4" w:rsidR="00FB2A4D" w:rsidRPr="00C62657" w:rsidRDefault="00FB2A4D"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 State opposes the appeal upon considerations that will be dealt with in the course of the discussion below.</w:t>
      </w:r>
    </w:p>
    <w:p w14:paraId="0199CB2A" w14:textId="1C0008EE" w:rsidR="00FB2A4D" w:rsidRPr="00C62657" w:rsidRDefault="00FB2A4D" w:rsidP="00C62657">
      <w:pPr>
        <w:pStyle w:val="ListParagraph"/>
        <w:widowControl w:val="0"/>
        <w:spacing w:after="0" w:line="480" w:lineRule="auto"/>
        <w:jc w:val="both"/>
        <w:rPr>
          <w:rFonts w:ascii="Arial" w:hAnsi="Arial" w:cs="Arial"/>
          <w:sz w:val="24"/>
          <w:szCs w:val="24"/>
        </w:rPr>
      </w:pPr>
    </w:p>
    <w:p w14:paraId="48634CC1" w14:textId="6943E3A1" w:rsidR="00E4557B" w:rsidRPr="00C62657" w:rsidRDefault="00E93BF2" w:rsidP="00C62657">
      <w:pPr>
        <w:widowControl w:val="0"/>
        <w:spacing w:after="0" w:line="480" w:lineRule="auto"/>
        <w:jc w:val="both"/>
        <w:rPr>
          <w:rFonts w:ascii="Arial" w:hAnsi="Arial" w:cs="Arial"/>
          <w:b/>
          <w:bCs/>
          <w:sz w:val="24"/>
          <w:szCs w:val="24"/>
          <w:u w:val="single"/>
        </w:rPr>
      </w:pPr>
      <w:r w:rsidRPr="00C62657">
        <w:rPr>
          <w:rFonts w:ascii="Arial" w:hAnsi="Arial" w:cs="Arial"/>
          <w:b/>
          <w:bCs/>
          <w:sz w:val="24"/>
          <w:szCs w:val="24"/>
          <w:u w:val="single"/>
        </w:rPr>
        <w:t xml:space="preserve">The appellants </w:t>
      </w:r>
      <w:r w:rsidR="0093596C" w:rsidRPr="00C62657">
        <w:rPr>
          <w:rFonts w:ascii="Arial" w:hAnsi="Arial" w:cs="Arial"/>
          <w:b/>
          <w:bCs/>
          <w:sz w:val="24"/>
          <w:szCs w:val="24"/>
          <w:u w:val="single"/>
        </w:rPr>
        <w:t>stand</w:t>
      </w:r>
      <w:r w:rsidRPr="00C62657">
        <w:rPr>
          <w:rFonts w:ascii="Arial" w:hAnsi="Arial" w:cs="Arial"/>
          <w:b/>
          <w:bCs/>
          <w:sz w:val="24"/>
          <w:szCs w:val="24"/>
          <w:u w:val="single"/>
        </w:rPr>
        <w:t xml:space="preserve"> accused of</w:t>
      </w:r>
      <w:r w:rsidR="00E4557B" w:rsidRPr="00C62657">
        <w:rPr>
          <w:rFonts w:ascii="Arial" w:hAnsi="Arial" w:cs="Arial"/>
          <w:b/>
          <w:bCs/>
          <w:sz w:val="24"/>
          <w:szCs w:val="24"/>
          <w:u w:val="single"/>
        </w:rPr>
        <w:t xml:space="preserve"> Schedule 6 offence</w:t>
      </w:r>
      <w:r w:rsidRPr="00C62657">
        <w:rPr>
          <w:rFonts w:ascii="Arial" w:hAnsi="Arial" w:cs="Arial"/>
          <w:b/>
          <w:bCs/>
          <w:sz w:val="24"/>
          <w:szCs w:val="24"/>
          <w:u w:val="single"/>
        </w:rPr>
        <w:t>s</w:t>
      </w:r>
    </w:p>
    <w:p w14:paraId="4DEE8056" w14:textId="77777777" w:rsidR="00C07297" w:rsidRPr="00C62657" w:rsidRDefault="00C07297" w:rsidP="00C62657">
      <w:pPr>
        <w:pStyle w:val="ListParagraph"/>
        <w:widowControl w:val="0"/>
        <w:spacing w:after="0" w:line="480" w:lineRule="auto"/>
        <w:jc w:val="both"/>
        <w:rPr>
          <w:rFonts w:ascii="Arial" w:hAnsi="Arial" w:cs="Arial"/>
          <w:sz w:val="24"/>
          <w:szCs w:val="24"/>
        </w:rPr>
      </w:pPr>
    </w:p>
    <w:p w14:paraId="3EA95F0C" w14:textId="111E4111" w:rsidR="005855EA" w:rsidRPr="00C62657" w:rsidRDefault="005855EA"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 starting point in bail applications generally is section 60(1)(a) of the CPA, which provides that “</w:t>
      </w:r>
      <w:r w:rsidRPr="00C62657">
        <w:rPr>
          <w:rFonts w:ascii="Arial" w:hAnsi="Arial" w:cs="Arial"/>
          <w:i/>
          <w:iCs/>
          <w:sz w:val="24"/>
          <w:szCs w:val="24"/>
          <w:lang w:val="en-US"/>
        </w:rPr>
        <w:t>an</w:t>
      </w:r>
      <w:r w:rsidRPr="00C62657">
        <w:rPr>
          <w:rFonts w:ascii="Arial" w:eastAsia="Times New Roman" w:hAnsi="Arial" w:cs="Arial"/>
          <w:i/>
          <w:iCs/>
          <w:sz w:val="24"/>
          <w:szCs w:val="24"/>
          <w:lang w:eastAsia="en-ZA"/>
        </w:rPr>
        <w:t xml:space="preserve"> accused who is in custody in respect of an offence shall … be entitled to be released on bail at any stage preceding his or her conviction in respect of such offence, if the court is satisfied that the interests of justice so permit.</w:t>
      </w:r>
      <w:r w:rsidRPr="00C62657">
        <w:rPr>
          <w:rFonts w:ascii="Arial" w:eastAsia="Times New Roman" w:hAnsi="Arial" w:cs="Arial"/>
          <w:sz w:val="24"/>
          <w:szCs w:val="24"/>
          <w:lang w:eastAsia="en-ZA"/>
        </w:rPr>
        <w:t>”</w:t>
      </w:r>
    </w:p>
    <w:p w14:paraId="02B01905"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38BC7722" w14:textId="77777777" w:rsidR="005855EA" w:rsidRPr="00C62657" w:rsidRDefault="005855EA"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Section 60(4) enjoins the Court, in determining a bail application, to have regard to the following factors in deciding whether to grant bail:</w:t>
      </w:r>
    </w:p>
    <w:p w14:paraId="3133348A"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14734CCE" w14:textId="77777777" w:rsidR="005855EA" w:rsidRPr="00C62657" w:rsidRDefault="005855EA" w:rsidP="00C62657">
      <w:pPr>
        <w:widowControl w:val="0"/>
        <w:shd w:val="clear" w:color="auto" w:fill="FFFFFF"/>
        <w:spacing w:after="0" w:line="480" w:lineRule="auto"/>
        <w:ind w:left="720"/>
        <w:contextualSpacing/>
        <w:jc w:val="both"/>
        <w:rPr>
          <w:rFonts w:ascii="Arial" w:eastAsia="Times New Roman" w:hAnsi="Arial" w:cs="Arial"/>
          <w:i/>
          <w:iCs/>
          <w:sz w:val="24"/>
          <w:szCs w:val="24"/>
          <w:lang w:eastAsia="en-ZA"/>
        </w:rPr>
      </w:pPr>
      <w:r w:rsidRPr="00C62657">
        <w:rPr>
          <w:rFonts w:ascii="Arial" w:eastAsia="Times New Roman" w:hAnsi="Arial" w:cs="Arial"/>
          <w:sz w:val="24"/>
          <w:szCs w:val="24"/>
          <w:lang w:eastAsia="en-ZA"/>
        </w:rPr>
        <w:t>“</w:t>
      </w:r>
      <w:r w:rsidRPr="00C62657">
        <w:rPr>
          <w:rFonts w:ascii="Arial" w:eastAsia="Times New Roman" w:hAnsi="Arial" w:cs="Arial"/>
          <w:i/>
          <w:iCs/>
          <w:sz w:val="24"/>
          <w:szCs w:val="24"/>
          <w:lang w:eastAsia="en-ZA"/>
        </w:rPr>
        <w:t>The interests of justice do not permit the release from detention of an accused where one or more of the following grounds are established:</w:t>
      </w:r>
    </w:p>
    <w:p w14:paraId="265636EE" w14:textId="77777777" w:rsidR="005855EA" w:rsidRPr="00C62657" w:rsidRDefault="005855EA" w:rsidP="00C62657">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62657">
        <w:rPr>
          <w:rFonts w:ascii="Arial" w:eastAsia="Times New Roman" w:hAnsi="Arial" w:cs="Arial"/>
          <w:i/>
          <w:iCs/>
          <w:sz w:val="24"/>
          <w:szCs w:val="24"/>
          <w:lang w:eastAsia="en-ZA"/>
        </w:rPr>
        <w:t> Where there is the likelihood that the accused, if he or she were released on bail, will endanger the safety of the public or any particular person or will commit a Schedule 1 offence; or</w:t>
      </w:r>
    </w:p>
    <w:p w14:paraId="548615DC" w14:textId="77777777" w:rsidR="005855EA" w:rsidRPr="00C62657" w:rsidRDefault="005855EA" w:rsidP="00C62657">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62657">
        <w:rPr>
          <w:rFonts w:ascii="Arial" w:eastAsia="Times New Roman" w:hAnsi="Arial" w:cs="Arial"/>
          <w:i/>
          <w:iCs/>
          <w:sz w:val="24"/>
          <w:szCs w:val="24"/>
          <w:lang w:eastAsia="en-ZA"/>
        </w:rPr>
        <w:t> where there is the likelihood that the accused, if he or she were released on bail, will attempt to evade his or her trial; or</w:t>
      </w:r>
    </w:p>
    <w:p w14:paraId="37018B1D" w14:textId="77777777" w:rsidR="005855EA" w:rsidRPr="00C62657" w:rsidRDefault="005855EA" w:rsidP="00C62657">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62657">
        <w:rPr>
          <w:rFonts w:ascii="Arial" w:eastAsia="Times New Roman" w:hAnsi="Arial" w:cs="Arial"/>
          <w:i/>
          <w:iCs/>
          <w:sz w:val="24"/>
          <w:szCs w:val="24"/>
          <w:lang w:eastAsia="en-ZA"/>
        </w:rPr>
        <w:t xml:space="preserve"> where there is the likelihood that the accused, if he or she were released </w:t>
      </w:r>
      <w:r w:rsidRPr="00C62657">
        <w:rPr>
          <w:rFonts w:ascii="Arial" w:eastAsia="Times New Roman" w:hAnsi="Arial" w:cs="Arial"/>
          <w:i/>
          <w:iCs/>
          <w:sz w:val="24"/>
          <w:szCs w:val="24"/>
          <w:lang w:eastAsia="en-ZA"/>
        </w:rPr>
        <w:lastRenderedPageBreak/>
        <w:t>on bail, will attempt to influence or intimidate witnesses or to conceal or destroy evidence; or</w:t>
      </w:r>
    </w:p>
    <w:p w14:paraId="5142AA7B" w14:textId="77777777" w:rsidR="005855EA" w:rsidRPr="00C62657" w:rsidRDefault="005855EA" w:rsidP="00C62657">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62657">
        <w:rPr>
          <w:rFonts w:ascii="Arial" w:eastAsia="Times New Roman" w:hAnsi="Arial" w:cs="Arial"/>
          <w:i/>
          <w:iCs/>
          <w:sz w:val="24"/>
          <w:szCs w:val="24"/>
          <w:lang w:eastAsia="en-ZA"/>
        </w:rPr>
        <w:t> where there is the likelihood that the accused, if he or she were released on bail, will undermine or jeopardise the objectives or the proper functioning of the criminal justice system, including the bail system; or</w:t>
      </w:r>
    </w:p>
    <w:p w14:paraId="05930D73" w14:textId="77777777" w:rsidR="005855EA" w:rsidRPr="00C62657" w:rsidRDefault="005855EA" w:rsidP="00C62657">
      <w:pPr>
        <w:pStyle w:val="ListParagraph"/>
        <w:widowControl w:val="0"/>
        <w:numPr>
          <w:ilvl w:val="0"/>
          <w:numId w:val="6"/>
        </w:numPr>
        <w:shd w:val="clear" w:color="auto" w:fill="FFFFFF"/>
        <w:spacing w:after="0" w:line="480" w:lineRule="auto"/>
        <w:jc w:val="both"/>
        <w:rPr>
          <w:rFonts w:ascii="Arial" w:eastAsia="Times New Roman" w:hAnsi="Arial" w:cs="Arial"/>
          <w:sz w:val="24"/>
          <w:szCs w:val="24"/>
          <w:lang w:eastAsia="en-ZA"/>
        </w:rPr>
      </w:pPr>
      <w:r w:rsidRPr="00C62657">
        <w:rPr>
          <w:rFonts w:ascii="Arial" w:eastAsia="Times New Roman" w:hAnsi="Arial" w:cs="Arial"/>
          <w:i/>
          <w:iCs/>
          <w:sz w:val="24"/>
          <w:szCs w:val="24"/>
          <w:lang w:eastAsia="en-ZA"/>
        </w:rPr>
        <w:t> where in exceptional circumstances there is the likelihood that the release of the accused will disturb the public order or undermine the public peace or security</w:t>
      </w:r>
      <w:r w:rsidRPr="00C62657">
        <w:rPr>
          <w:rFonts w:ascii="Arial" w:eastAsia="Times New Roman" w:hAnsi="Arial" w:cs="Arial"/>
          <w:sz w:val="24"/>
          <w:szCs w:val="24"/>
          <w:lang w:eastAsia="en-ZA"/>
        </w:rPr>
        <w:t>.”</w:t>
      </w:r>
    </w:p>
    <w:p w14:paraId="7577A34E"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09C0DFD3" w14:textId="77777777" w:rsidR="005855EA" w:rsidRPr="00C62657" w:rsidRDefault="005855EA"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Section 60(11) of the CPA constitutes an exception to the general entitlement to be released on bail as set out in section 60(1), read with section 60(4): </w:t>
      </w:r>
    </w:p>
    <w:p w14:paraId="47575820"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7CDC9F7C" w14:textId="77777777" w:rsidR="005855EA" w:rsidRPr="00C62657" w:rsidRDefault="005855EA" w:rsidP="00C62657">
      <w:pPr>
        <w:widowControl w:val="0"/>
        <w:shd w:val="clear" w:color="auto" w:fill="FFFFFF"/>
        <w:spacing w:after="0" w:line="480" w:lineRule="auto"/>
        <w:ind w:left="720"/>
        <w:jc w:val="both"/>
        <w:rPr>
          <w:rFonts w:ascii="Arial" w:eastAsia="Times New Roman" w:hAnsi="Arial" w:cs="Arial"/>
          <w:i/>
          <w:iCs/>
          <w:sz w:val="24"/>
          <w:szCs w:val="24"/>
          <w:lang w:eastAsia="en-ZA"/>
        </w:rPr>
      </w:pPr>
      <w:r w:rsidRPr="00C62657">
        <w:rPr>
          <w:rFonts w:ascii="Arial" w:eastAsia="Times New Roman" w:hAnsi="Arial" w:cs="Arial"/>
          <w:sz w:val="24"/>
          <w:szCs w:val="24"/>
          <w:lang w:eastAsia="en-ZA"/>
        </w:rPr>
        <w:t>“</w:t>
      </w:r>
      <w:r w:rsidRPr="00C62657">
        <w:rPr>
          <w:rFonts w:ascii="Arial" w:eastAsia="Times New Roman" w:hAnsi="Arial" w:cs="Arial"/>
          <w:i/>
          <w:iCs/>
          <w:sz w:val="24"/>
          <w:szCs w:val="24"/>
          <w:lang w:eastAsia="en-ZA"/>
        </w:rPr>
        <w:t>Notwithstanding any provision of this Act, where an accused is charged with an offence referred to-</w:t>
      </w:r>
    </w:p>
    <w:p w14:paraId="36DF4C69" w14:textId="77777777" w:rsidR="005855EA" w:rsidRPr="00C62657" w:rsidRDefault="005855EA" w:rsidP="00C62657">
      <w:pPr>
        <w:widowControl w:val="0"/>
        <w:shd w:val="clear" w:color="auto" w:fill="FFFFFF"/>
        <w:spacing w:after="0" w:line="480" w:lineRule="auto"/>
        <w:ind w:left="1440" w:hanging="720"/>
        <w:jc w:val="both"/>
        <w:rPr>
          <w:rFonts w:ascii="Arial" w:eastAsia="Times New Roman" w:hAnsi="Arial" w:cs="Arial"/>
          <w:i/>
          <w:iCs/>
          <w:sz w:val="24"/>
          <w:szCs w:val="24"/>
          <w:lang w:eastAsia="en-ZA"/>
        </w:rPr>
      </w:pPr>
      <w:r w:rsidRPr="00C62657">
        <w:rPr>
          <w:rFonts w:ascii="Arial" w:eastAsia="Times New Roman" w:hAnsi="Arial" w:cs="Arial"/>
          <w:i/>
          <w:iCs/>
          <w:sz w:val="24"/>
          <w:szCs w:val="24"/>
          <w:lang w:eastAsia="en-ZA"/>
        </w:rPr>
        <w:t>(a)</w:t>
      </w:r>
      <w:r w:rsidRPr="00C62657">
        <w:rPr>
          <w:rFonts w:ascii="Arial" w:eastAsia="Times New Roman" w:hAnsi="Arial" w:cs="Arial"/>
          <w:i/>
          <w:iCs/>
          <w:sz w:val="24"/>
          <w:szCs w:val="24"/>
          <w:lang w:eastAsia="en-ZA"/>
        </w:rPr>
        <w:tab/>
        <w:t>in Schedule 6, the court shall order that the accused be detained in custody until he or she is dealt with in accordance with the law, unless the accused, having been given a reasonable opportunity to do so, adduces evidence which satisfies the court that exceptional circumstances exist which in the interests of justice permit his or her release;</w:t>
      </w:r>
    </w:p>
    <w:p w14:paraId="57A59C45"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70ADC3F4" w14:textId="48E5BCB4" w:rsidR="005855EA" w:rsidRPr="00C62657" w:rsidRDefault="005855EA" w:rsidP="00C62657">
      <w:pPr>
        <w:pStyle w:val="ListParagraph"/>
        <w:widowControl w:val="0"/>
        <w:numPr>
          <w:ilvl w:val="0"/>
          <w:numId w:val="4"/>
        </w:numPr>
        <w:spacing w:after="0" w:line="480" w:lineRule="auto"/>
        <w:ind w:hanging="720"/>
        <w:jc w:val="both"/>
        <w:rPr>
          <w:rFonts w:ascii="Arial" w:hAnsi="Arial" w:cs="Arial"/>
          <w:sz w:val="24"/>
          <w:szCs w:val="24"/>
        </w:rPr>
      </w:pPr>
      <w:r w:rsidRPr="00C62657">
        <w:rPr>
          <w:rFonts w:ascii="Arial" w:hAnsi="Arial" w:cs="Arial"/>
          <w:sz w:val="24"/>
          <w:szCs w:val="24"/>
        </w:rPr>
        <w:t xml:space="preserve">The crime of robbery with aggravating circumstances where a firearm was used is listed under Schedule 6 of the CPA.  </w:t>
      </w:r>
    </w:p>
    <w:p w14:paraId="399C1130" w14:textId="77777777" w:rsidR="00F5280F" w:rsidRPr="00C62657" w:rsidRDefault="00F5280F" w:rsidP="00C62657">
      <w:pPr>
        <w:pStyle w:val="ListParagraph"/>
        <w:widowControl w:val="0"/>
        <w:spacing w:after="0" w:line="480" w:lineRule="auto"/>
        <w:jc w:val="both"/>
        <w:rPr>
          <w:rFonts w:ascii="Arial" w:hAnsi="Arial" w:cs="Arial"/>
          <w:sz w:val="24"/>
          <w:szCs w:val="24"/>
          <w:lang w:val="en-US"/>
        </w:rPr>
      </w:pPr>
    </w:p>
    <w:p w14:paraId="0768DEB5" w14:textId="48B459C2" w:rsidR="005855EA" w:rsidRPr="00C62657" w:rsidRDefault="005855EA"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In the premises, the appellant</w:t>
      </w:r>
      <w:r w:rsidR="00F5280F" w:rsidRPr="00C62657">
        <w:rPr>
          <w:rFonts w:ascii="Arial" w:hAnsi="Arial" w:cs="Arial"/>
          <w:sz w:val="24"/>
          <w:szCs w:val="24"/>
          <w:lang w:val="en-US"/>
        </w:rPr>
        <w:t>s</w:t>
      </w:r>
      <w:r w:rsidRPr="00C62657">
        <w:rPr>
          <w:rFonts w:ascii="Arial" w:hAnsi="Arial" w:cs="Arial"/>
          <w:sz w:val="24"/>
          <w:szCs w:val="24"/>
          <w:lang w:val="en-US"/>
        </w:rPr>
        <w:t xml:space="preserve"> must show, by adducing evidence, that </w:t>
      </w:r>
      <w:r w:rsidRPr="00C62657">
        <w:rPr>
          <w:rFonts w:ascii="Arial" w:hAnsi="Arial" w:cs="Arial"/>
          <w:sz w:val="24"/>
          <w:szCs w:val="24"/>
          <w:lang w:val="en-US"/>
        </w:rPr>
        <w:lastRenderedPageBreak/>
        <w:t xml:space="preserve">exceptional circumstances exist which, in the interests of justice, permits </w:t>
      </w:r>
      <w:r w:rsidR="00F5280F" w:rsidRPr="00C62657">
        <w:rPr>
          <w:rFonts w:ascii="Arial" w:hAnsi="Arial" w:cs="Arial"/>
          <w:sz w:val="24"/>
          <w:szCs w:val="24"/>
          <w:lang w:val="en-US"/>
        </w:rPr>
        <w:t>their</w:t>
      </w:r>
      <w:r w:rsidRPr="00C62657">
        <w:rPr>
          <w:rFonts w:ascii="Arial" w:hAnsi="Arial" w:cs="Arial"/>
          <w:sz w:val="24"/>
          <w:szCs w:val="24"/>
          <w:lang w:val="en-US"/>
        </w:rPr>
        <w:t xml:space="preserve"> release on bail.  In </w:t>
      </w:r>
      <w:r w:rsidRPr="00C62657">
        <w:rPr>
          <w:rFonts w:ascii="Arial" w:hAnsi="Arial" w:cs="Arial"/>
          <w:i/>
          <w:iCs/>
          <w:sz w:val="24"/>
          <w:szCs w:val="24"/>
          <w:lang w:val="en-US"/>
        </w:rPr>
        <w:t>S v Petersen</w:t>
      </w:r>
      <w:r w:rsidRPr="00C62657">
        <w:rPr>
          <w:rFonts w:ascii="Arial" w:hAnsi="Arial" w:cs="Arial"/>
          <w:sz w:val="24"/>
          <w:szCs w:val="24"/>
          <w:lang w:val="en-US"/>
        </w:rPr>
        <w:t xml:space="preserve"> 2008 (2) SACR 355 (C) at para [54] it was stated that “</w:t>
      </w:r>
      <w:r w:rsidRPr="00C62657">
        <w:rPr>
          <w:rFonts w:ascii="Arial" w:hAnsi="Arial" w:cs="Arial"/>
          <w:i/>
          <w:iCs/>
          <w:sz w:val="24"/>
          <w:szCs w:val="24"/>
          <w:lang w:val="en-US"/>
        </w:rPr>
        <w:t>…it is clear that the onus is on the accused to adduce evidence, and hence to prove, the existence of exceptional circumstances of such a nature as to permit his or her release on bail.  The court must also be satisfied that the release of the accused is in the interests of justice</w:t>
      </w:r>
      <w:r w:rsidRPr="00C62657">
        <w:rPr>
          <w:rFonts w:ascii="Arial" w:hAnsi="Arial" w:cs="Arial"/>
          <w:sz w:val="24"/>
          <w:szCs w:val="24"/>
          <w:lang w:val="en-US"/>
        </w:rPr>
        <w:t>”.</w:t>
      </w:r>
    </w:p>
    <w:p w14:paraId="5D347ED9"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41F33468" w14:textId="31835ECB" w:rsidR="005855EA" w:rsidRPr="00C62657" w:rsidRDefault="005855EA"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In paragraphs [55] and [56] of the same case the concept of “exceptional circumstances” was explained as follows</w:t>
      </w:r>
      <w:r w:rsidR="008B1D11" w:rsidRPr="00C62657">
        <w:rPr>
          <w:rFonts w:ascii="Arial" w:hAnsi="Arial" w:cs="Arial"/>
          <w:sz w:val="24"/>
          <w:szCs w:val="24"/>
          <w:lang w:val="en-US"/>
        </w:rPr>
        <w:t xml:space="preserve"> (see also </w:t>
      </w:r>
      <w:r w:rsidR="008B1D11" w:rsidRPr="00C62657">
        <w:rPr>
          <w:rFonts w:ascii="Arial" w:hAnsi="Arial" w:cs="Arial"/>
          <w:i/>
          <w:iCs/>
          <w:sz w:val="24"/>
          <w:szCs w:val="24"/>
          <w:lang w:val="en-US"/>
        </w:rPr>
        <w:t>S v Vanga</w:t>
      </w:r>
      <w:r w:rsidR="008B1D11" w:rsidRPr="00C62657">
        <w:rPr>
          <w:rFonts w:ascii="Arial" w:hAnsi="Arial" w:cs="Arial"/>
          <w:sz w:val="24"/>
          <w:szCs w:val="24"/>
          <w:lang w:val="en-US"/>
        </w:rPr>
        <w:t xml:space="preserve"> 2000 (2) SACR 371 (Tk)</w:t>
      </w:r>
      <w:r w:rsidR="008B1D11" w:rsidRPr="00C62657">
        <w:rPr>
          <w:rFonts w:ascii="Arial" w:hAnsi="Arial" w:cs="Arial"/>
          <w:sz w:val="24"/>
          <w:szCs w:val="24"/>
          <w:lang w:val="en-US"/>
        </w:rPr>
        <w:t>)</w:t>
      </w:r>
      <w:r w:rsidRPr="00C62657">
        <w:rPr>
          <w:rFonts w:ascii="Arial" w:hAnsi="Arial" w:cs="Arial"/>
          <w:sz w:val="24"/>
          <w:szCs w:val="24"/>
          <w:lang w:val="en-US"/>
        </w:rPr>
        <w:t>:</w:t>
      </w:r>
    </w:p>
    <w:p w14:paraId="2A2E5100"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4DE630F6" w14:textId="77777777" w:rsidR="005855EA" w:rsidRPr="00C62657" w:rsidRDefault="005855EA" w:rsidP="00C62657">
      <w:pPr>
        <w:pStyle w:val="ListParagraph"/>
        <w:widowControl w:val="0"/>
        <w:spacing w:after="0" w:line="480" w:lineRule="auto"/>
        <w:jc w:val="both"/>
        <w:rPr>
          <w:rFonts w:ascii="Arial" w:hAnsi="Arial" w:cs="Arial"/>
          <w:i/>
          <w:iCs/>
          <w:sz w:val="24"/>
          <w:szCs w:val="24"/>
          <w:lang w:val="en-US"/>
        </w:rPr>
      </w:pPr>
      <w:r w:rsidRPr="00C62657">
        <w:rPr>
          <w:rFonts w:ascii="Arial" w:hAnsi="Arial" w:cs="Arial"/>
          <w:sz w:val="24"/>
          <w:szCs w:val="24"/>
          <w:lang w:val="en-US"/>
        </w:rPr>
        <w:t>“</w:t>
      </w:r>
      <w:r w:rsidRPr="00C62657">
        <w:rPr>
          <w:rFonts w:ascii="Arial" w:hAnsi="Arial" w:cs="Arial"/>
          <w:i/>
          <w:iCs/>
          <w:sz w:val="24"/>
          <w:szCs w:val="24"/>
          <w:lang w:val="en-US"/>
        </w:rPr>
        <w:t xml:space="preserve">Generally </w:t>
      </w:r>
      <w:proofErr w:type="gramStart"/>
      <w:r w:rsidRPr="00C62657">
        <w:rPr>
          <w:rFonts w:ascii="Arial" w:hAnsi="Arial" w:cs="Arial"/>
          <w:i/>
          <w:iCs/>
          <w:sz w:val="24"/>
          <w:szCs w:val="24"/>
          <w:lang w:val="en-US"/>
        </w:rPr>
        <w:t>speaking</w:t>
      </w:r>
      <w:proofErr w:type="gramEnd"/>
      <w:r w:rsidRPr="00C62657">
        <w:rPr>
          <w:rFonts w:ascii="Arial" w:hAnsi="Arial" w:cs="Arial"/>
          <w:i/>
          <w:iCs/>
          <w:sz w:val="24"/>
          <w:szCs w:val="24"/>
          <w:lang w:val="en-US"/>
        </w:rPr>
        <w:t xml:space="preserve"> ‘exceptional’ is indicative of something unusual, extraordinary, remarkable, peculiar or simply different.  There are, of course, different degrees of exceptionality, unusualness, extraordinariness, remarkableness, peculiarity or difference.  This depends on their context and on the particular circumstances of the case under consideration.</w:t>
      </w:r>
    </w:p>
    <w:p w14:paraId="12F11D8B" w14:textId="1CBD3C0E" w:rsidR="005855EA" w:rsidRPr="00C62657" w:rsidRDefault="005855EA" w:rsidP="00C62657">
      <w:pPr>
        <w:pStyle w:val="ListParagraph"/>
        <w:widowControl w:val="0"/>
        <w:spacing w:after="0" w:line="480" w:lineRule="auto"/>
        <w:jc w:val="both"/>
        <w:rPr>
          <w:rFonts w:ascii="Arial" w:hAnsi="Arial" w:cs="Arial"/>
          <w:sz w:val="24"/>
          <w:szCs w:val="24"/>
          <w:lang w:val="en-US"/>
        </w:rPr>
      </w:pPr>
      <w:r w:rsidRPr="00C62657">
        <w:rPr>
          <w:rFonts w:ascii="Arial" w:hAnsi="Arial" w:cs="Arial"/>
          <w:i/>
          <w:iCs/>
          <w:sz w:val="24"/>
          <w:szCs w:val="24"/>
          <w:lang w:val="en-US"/>
        </w:rPr>
        <w:t>In the context of section 60(11)(a) the exceptionality of the circumstances must be such as to persuade a court that</w:t>
      </w:r>
      <w:r w:rsidR="009F120B" w:rsidRPr="00C62657">
        <w:rPr>
          <w:rFonts w:ascii="Arial" w:hAnsi="Arial" w:cs="Arial"/>
          <w:i/>
          <w:iCs/>
          <w:sz w:val="24"/>
          <w:szCs w:val="24"/>
          <w:lang w:val="en-US"/>
        </w:rPr>
        <w:t xml:space="preserve"> i</w:t>
      </w:r>
      <w:r w:rsidRPr="00C62657">
        <w:rPr>
          <w:rFonts w:ascii="Arial" w:hAnsi="Arial" w:cs="Arial"/>
          <w:i/>
          <w:iCs/>
          <w:sz w:val="24"/>
          <w:szCs w:val="24"/>
          <w:lang w:val="en-US"/>
        </w:rPr>
        <w:t>t would be in the interests of justice to order the release of the accused person. … In essence the court will be exercising a value judgment in accordance with all the relevant facts and circumstances, and with reference to all the applicable legal criteria.</w:t>
      </w:r>
      <w:r w:rsidRPr="00C62657">
        <w:rPr>
          <w:rFonts w:ascii="Arial" w:hAnsi="Arial" w:cs="Arial"/>
          <w:sz w:val="24"/>
          <w:szCs w:val="24"/>
          <w:lang w:val="en-US"/>
        </w:rPr>
        <w:t>”</w:t>
      </w:r>
    </w:p>
    <w:p w14:paraId="47071E9C" w14:textId="77777777" w:rsidR="005855EA" w:rsidRPr="00C62657" w:rsidRDefault="005855EA" w:rsidP="00C62657">
      <w:pPr>
        <w:pStyle w:val="ListParagraph"/>
        <w:widowControl w:val="0"/>
        <w:spacing w:after="0" w:line="480" w:lineRule="auto"/>
        <w:jc w:val="both"/>
        <w:rPr>
          <w:rFonts w:ascii="Arial" w:hAnsi="Arial" w:cs="Arial"/>
          <w:sz w:val="24"/>
          <w:szCs w:val="24"/>
          <w:lang w:val="en-US"/>
        </w:rPr>
      </w:pPr>
    </w:p>
    <w:p w14:paraId="1CE4D291" w14:textId="21FCEE74" w:rsidR="008541B3" w:rsidRPr="00C62657" w:rsidRDefault="00F5280F" w:rsidP="00C62657">
      <w:pPr>
        <w:pStyle w:val="ListParagraph"/>
        <w:widowControl w:val="0"/>
        <w:numPr>
          <w:ilvl w:val="0"/>
          <w:numId w:val="4"/>
        </w:numPr>
        <w:spacing w:after="0" w:line="480" w:lineRule="auto"/>
        <w:ind w:hanging="720"/>
        <w:jc w:val="both"/>
        <w:rPr>
          <w:rFonts w:ascii="Arial" w:hAnsi="Arial" w:cs="Arial"/>
          <w:sz w:val="24"/>
          <w:szCs w:val="24"/>
        </w:rPr>
      </w:pPr>
      <w:r w:rsidRPr="00C62657">
        <w:rPr>
          <w:rFonts w:ascii="Arial" w:hAnsi="Arial" w:cs="Arial"/>
          <w:sz w:val="24"/>
          <w:szCs w:val="24"/>
          <w:lang w:val="en-US"/>
        </w:rPr>
        <w:t>This notwithstanding, a</w:t>
      </w:r>
      <w:r w:rsidR="005855EA" w:rsidRPr="00C62657">
        <w:rPr>
          <w:rFonts w:ascii="Arial" w:hAnsi="Arial" w:cs="Arial"/>
          <w:sz w:val="24"/>
          <w:szCs w:val="24"/>
          <w:lang w:val="en-US"/>
        </w:rPr>
        <w:t xml:space="preserve"> charge in respect of a Schedule 6 office is not an absolute bar to the granting of bail, and bail is not punitive in character.  That much is clear from a proper interpretation of the relevant provisions of the CPA.</w:t>
      </w:r>
    </w:p>
    <w:p w14:paraId="1E408BA8" w14:textId="5A5F2CB7" w:rsidR="00DE0F2B" w:rsidRPr="00C62657" w:rsidRDefault="00DE0F2B" w:rsidP="00C62657">
      <w:pPr>
        <w:widowControl w:val="0"/>
        <w:spacing w:after="0" w:line="480" w:lineRule="auto"/>
        <w:jc w:val="both"/>
        <w:rPr>
          <w:rFonts w:ascii="Arial" w:hAnsi="Arial" w:cs="Arial"/>
          <w:sz w:val="24"/>
          <w:szCs w:val="24"/>
          <w:lang w:val="en-US"/>
        </w:rPr>
      </w:pPr>
    </w:p>
    <w:p w14:paraId="104355BB" w14:textId="2AC2BB81" w:rsidR="00DE0F2B" w:rsidRPr="00C62657" w:rsidRDefault="00552F44" w:rsidP="00C62657">
      <w:pPr>
        <w:widowControl w:val="0"/>
        <w:spacing w:after="0" w:line="480" w:lineRule="auto"/>
        <w:jc w:val="both"/>
        <w:rPr>
          <w:rFonts w:ascii="Arial" w:hAnsi="Arial" w:cs="Arial"/>
          <w:b/>
          <w:bCs/>
          <w:sz w:val="24"/>
          <w:szCs w:val="24"/>
          <w:u w:val="single"/>
          <w:lang w:val="en-US"/>
        </w:rPr>
      </w:pPr>
      <w:r w:rsidRPr="00C62657">
        <w:rPr>
          <w:rFonts w:ascii="Arial" w:hAnsi="Arial" w:cs="Arial"/>
          <w:b/>
          <w:bCs/>
          <w:sz w:val="24"/>
          <w:szCs w:val="24"/>
          <w:u w:val="single"/>
          <w:lang w:val="en-US"/>
        </w:rPr>
        <w:t xml:space="preserve">When may </w:t>
      </w:r>
      <w:r w:rsidR="00934DF9" w:rsidRPr="00C62657">
        <w:rPr>
          <w:rFonts w:ascii="Arial" w:hAnsi="Arial" w:cs="Arial"/>
          <w:b/>
          <w:bCs/>
          <w:sz w:val="24"/>
          <w:szCs w:val="24"/>
          <w:u w:val="single"/>
          <w:lang w:val="en-US"/>
        </w:rPr>
        <w:t>the magistrate’s decision be overturned</w:t>
      </w:r>
      <w:r w:rsidR="001F63A3" w:rsidRPr="00C62657">
        <w:rPr>
          <w:rFonts w:ascii="Arial" w:hAnsi="Arial" w:cs="Arial"/>
          <w:b/>
          <w:bCs/>
          <w:sz w:val="24"/>
          <w:szCs w:val="24"/>
          <w:u w:val="single"/>
          <w:lang w:val="en-US"/>
        </w:rPr>
        <w:t>?</w:t>
      </w:r>
    </w:p>
    <w:p w14:paraId="69054AF0" w14:textId="77777777" w:rsidR="00DE0F2B" w:rsidRPr="00C62657" w:rsidRDefault="00DE0F2B" w:rsidP="00C62657">
      <w:pPr>
        <w:widowControl w:val="0"/>
        <w:spacing w:after="0" w:line="480" w:lineRule="auto"/>
        <w:jc w:val="both"/>
        <w:rPr>
          <w:rFonts w:ascii="Arial" w:hAnsi="Arial" w:cs="Arial"/>
          <w:sz w:val="24"/>
          <w:szCs w:val="24"/>
          <w:lang w:val="en-US"/>
        </w:rPr>
      </w:pPr>
    </w:p>
    <w:p w14:paraId="6A9AF514" w14:textId="27C2EC86" w:rsidR="003F7054" w:rsidRPr="00C62657" w:rsidRDefault="00934DF9"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In terms of section 6</w:t>
      </w:r>
      <w:r w:rsidR="003F7054" w:rsidRPr="00C62657">
        <w:rPr>
          <w:rFonts w:ascii="Arial" w:hAnsi="Arial" w:cs="Arial"/>
          <w:sz w:val="24"/>
          <w:szCs w:val="24"/>
          <w:lang w:val="en-US"/>
        </w:rPr>
        <w:t>5</w:t>
      </w:r>
      <w:r w:rsidRPr="00C62657">
        <w:rPr>
          <w:rFonts w:ascii="Arial" w:hAnsi="Arial" w:cs="Arial"/>
          <w:sz w:val="24"/>
          <w:szCs w:val="24"/>
          <w:lang w:val="en-US"/>
        </w:rPr>
        <w:t>(2)</w:t>
      </w:r>
      <w:r w:rsidR="003F7054" w:rsidRPr="00C62657">
        <w:rPr>
          <w:rFonts w:ascii="Arial" w:hAnsi="Arial" w:cs="Arial"/>
          <w:sz w:val="24"/>
          <w:szCs w:val="24"/>
          <w:lang w:val="en-US"/>
        </w:rPr>
        <w:t xml:space="preserve"> of the CPA, read with section 63(3), the Court is bound by the record, and there is no scope for placing additional facts before the Court for the purposes of the hearing on appeal (</w:t>
      </w:r>
      <w:r w:rsidR="003F7054" w:rsidRPr="00C62657">
        <w:rPr>
          <w:rFonts w:ascii="Arial" w:hAnsi="Arial" w:cs="Arial"/>
          <w:i/>
          <w:iCs/>
          <w:sz w:val="24"/>
          <w:szCs w:val="24"/>
          <w:lang w:val="en-US"/>
        </w:rPr>
        <w:t>S v Ho</w:t>
      </w:r>
      <w:r w:rsidR="003F7054" w:rsidRPr="00C62657">
        <w:rPr>
          <w:rFonts w:ascii="Arial" w:hAnsi="Arial" w:cs="Arial"/>
          <w:sz w:val="24"/>
          <w:szCs w:val="24"/>
          <w:lang w:val="en-US"/>
        </w:rPr>
        <w:t xml:space="preserve"> 1979 (3) SA 734 (W) at 737G).</w:t>
      </w:r>
    </w:p>
    <w:p w14:paraId="55B8DDB3" w14:textId="77777777" w:rsidR="003F7054" w:rsidRPr="00C62657" w:rsidRDefault="003F7054" w:rsidP="00C62657">
      <w:pPr>
        <w:pStyle w:val="ListParagraph"/>
        <w:widowControl w:val="0"/>
        <w:spacing w:after="0" w:line="480" w:lineRule="auto"/>
        <w:jc w:val="both"/>
        <w:rPr>
          <w:rFonts w:ascii="Arial" w:hAnsi="Arial" w:cs="Arial"/>
          <w:sz w:val="24"/>
          <w:szCs w:val="24"/>
          <w:lang w:val="en-US"/>
        </w:rPr>
      </w:pPr>
    </w:p>
    <w:p w14:paraId="4800CAB7" w14:textId="77777777" w:rsidR="00E50485" w:rsidRPr="00C62657" w:rsidRDefault="003F705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Section 65(4) of the CPA provides that the “</w:t>
      </w:r>
      <w:r w:rsidRPr="00C62657">
        <w:rPr>
          <w:rFonts w:ascii="Arial" w:hAnsi="Arial" w:cs="Arial"/>
          <w:i/>
          <w:iCs/>
          <w:sz w:val="24"/>
          <w:szCs w:val="24"/>
          <w:lang w:val="en-US"/>
        </w:rPr>
        <w:t>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r w:rsidRPr="00C62657">
        <w:rPr>
          <w:rFonts w:ascii="Arial" w:hAnsi="Arial" w:cs="Arial"/>
          <w:sz w:val="24"/>
          <w:szCs w:val="24"/>
          <w:lang w:val="en-US"/>
        </w:rPr>
        <w:t>.”</w:t>
      </w:r>
    </w:p>
    <w:p w14:paraId="616DB5BB" w14:textId="77777777" w:rsidR="00E50485" w:rsidRPr="00C62657" w:rsidRDefault="00E50485" w:rsidP="00C62657">
      <w:pPr>
        <w:pStyle w:val="ListParagraph"/>
        <w:widowControl w:val="0"/>
        <w:spacing w:after="0" w:line="480" w:lineRule="auto"/>
        <w:jc w:val="both"/>
        <w:rPr>
          <w:rFonts w:ascii="Arial" w:hAnsi="Arial" w:cs="Arial"/>
          <w:sz w:val="24"/>
          <w:szCs w:val="24"/>
          <w:lang w:val="en-US"/>
        </w:rPr>
      </w:pPr>
    </w:p>
    <w:p w14:paraId="6B494919" w14:textId="77777777" w:rsidR="00725514" w:rsidRPr="00C62657" w:rsidRDefault="00E50485"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A court may interfere on appeal when</w:t>
      </w:r>
      <w:r w:rsidR="001F63A3" w:rsidRPr="00C62657">
        <w:rPr>
          <w:rFonts w:ascii="Arial" w:hAnsi="Arial" w:cs="Arial"/>
          <w:sz w:val="24"/>
          <w:szCs w:val="24"/>
          <w:lang w:val="en-US"/>
        </w:rPr>
        <w:t xml:space="preserve"> the </w:t>
      </w:r>
      <w:r w:rsidR="003F7054" w:rsidRPr="00C62657">
        <w:rPr>
          <w:rFonts w:ascii="Arial" w:hAnsi="Arial" w:cs="Arial"/>
          <w:sz w:val="24"/>
          <w:szCs w:val="24"/>
          <w:lang w:val="en-US"/>
        </w:rPr>
        <w:t xml:space="preserve">lower </w:t>
      </w:r>
      <w:r w:rsidR="001F63A3" w:rsidRPr="00C62657">
        <w:rPr>
          <w:rFonts w:ascii="Arial" w:hAnsi="Arial" w:cs="Arial"/>
          <w:sz w:val="24"/>
          <w:szCs w:val="24"/>
          <w:lang w:val="en-US"/>
        </w:rPr>
        <w:t xml:space="preserve">court </w:t>
      </w:r>
      <w:r w:rsidR="003F7054" w:rsidRPr="00C62657">
        <w:rPr>
          <w:rFonts w:ascii="Arial" w:hAnsi="Arial" w:cs="Arial"/>
          <w:sz w:val="24"/>
          <w:szCs w:val="24"/>
          <w:lang w:val="en-US"/>
        </w:rPr>
        <w:t>m</w:t>
      </w:r>
      <w:r w:rsidR="001F63A3" w:rsidRPr="00C62657">
        <w:rPr>
          <w:rFonts w:ascii="Arial" w:hAnsi="Arial" w:cs="Arial"/>
          <w:sz w:val="24"/>
          <w:szCs w:val="24"/>
          <w:lang w:val="en-US"/>
        </w:rPr>
        <w:t xml:space="preserve">isdirected itself </w:t>
      </w:r>
      <w:r w:rsidR="003F7054" w:rsidRPr="00C62657">
        <w:rPr>
          <w:rFonts w:ascii="Arial" w:hAnsi="Arial" w:cs="Arial"/>
          <w:sz w:val="24"/>
          <w:szCs w:val="24"/>
          <w:lang w:val="en-US"/>
        </w:rPr>
        <w:t xml:space="preserve">materially </w:t>
      </w:r>
      <w:r w:rsidRPr="00C62657">
        <w:rPr>
          <w:rFonts w:ascii="Arial" w:hAnsi="Arial" w:cs="Arial"/>
          <w:sz w:val="24"/>
          <w:szCs w:val="24"/>
          <w:lang w:val="en-US"/>
        </w:rPr>
        <w:t>in respect of the relevant legal principles or the facts of the case (</w:t>
      </w:r>
      <w:r w:rsidRPr="00C62657">
        <w:rPr>
          <w:rFonts w:ascii="Arial" w:hAnsi="Arial" w:cs="Arial"/>
          <w:i/>
          <w:iCs/>
          <w:sz w:val="24"/>
          <w:szCs w:val="24"/>
          <w:lang w:val="en-US"/>
        </w:rPr>
        <w:t>S v Essop</w:t>
      </w:r>
      <w:r w:rsidRPr="00C62657">
        <w:rPr>
          <w:rFonts w:ascii="Arial" w:hAnsi="Arial" w:cs="Arial"/>
          <w:sz w:val="24"/>
          <w:szCs w:val="24"/>
          <w:lang w:val="en-US"/>
        </w:rPr>
        <w:t xml:space="preserve"> 2018 (1) SACR 99 (GP) at paras [34]-[35]), or where the lower court over looked important aspects in coming to its decision to refuse bail (</w:t>
      </w:r>
      <w:r w:rsidRPr="00C62657">
        <w:rPr>
          <w:rFonts w:ascii="Arial" w:hAnsi="Arial" w:cs="Arial"/>
          <w:i/>
          <w:iCs/>
          <w:sz w:val="24"/>
          <w:szCs w:val="24"/>
        </w:rPr>
        <w:t>Ramasia v S</w:t>
      </w:r>
      <w:r w:rsidRPr="00C62657">
        <w:rPr>
          <w:rFonts w:ascii="Arial" w:hAnsi="Arial" w:cs="Arial"/>
          <w:sz w:val="24"/>
          <w:szCs w:val="24"/>
        </w:rPr>
        <w:t xml:space="preserve"> (A24/2012) [2012] ZAFSHC 88 (3 May 2012)</w:t>
      </w:r>
      <w:r w:rsidR="00E4510F" w:rsidRPr="00C62657">
        <w:rPr>
          <w:rFonts w:ascii="Arial" w:hAnsi="Arial" w:cs="Arial"/>
          <w:sz w:val="24"/>
          <w:szCs w:val="24"/>
        </w:rPr>
        <w:t xml:space="preserve">).  The power of the court on appeal are thus similar to those in an appeal against conviction and sentence </w:t>
      </w:r>
      <w:r w:rsidR="00E4510F" w:rsidRPr="00C62657">
        <w:rPr>
          <w:rFonts w:ascii="Arial" w:hAnsi="Arial" w:cs="Arial"/>
          <w:sz w:val="24"/>
          <w:szCs w:val="24"/>
          <w:lang w:val="en-US"/>
        </w:rPr>
        <w:t>(</w:t>
      </w:r>
      <w:r w:rsidR="00E4510F" w:rsidRPr="00C62657">
        <w:rPr>
          <w:rFonts w:ascii="Arial" w:hAnsi="Arial" w:cs="Arial"/>
          <w:i/>
          <w:iCs/>
          <w:sz w:val="24"/>
          <w:szCs w:val="24"/>
          <w:lang w:val="en-US"/>
        </w:rPr>
        <w:t>S v Ho</w:t>
      </w:r>
      <w:r w:rsidR="00E4510F" w:rsidRPr="00C62657">
        <w:rPr>
          <w:rFonts w:ascii="Arial" w:hAnsi="Arial" w:cs="Arial"/>
          <w:sz w:val="24"/>
          <w:szCs w:val="24"/>
          <w:lang w:val="en-US"/>
        </w:rPr>
        <w:t xml:space="preserve"> 1979 (3) SA 734 (W) at 737H)</w:t>
      </w:r>
      <w:r w:rsidR="00E4510F" w:rsidRPr="00C62657">
        <w:rPr>
          <w:rFonts w:ascii="Arial" w:hAnsi="Arial" w:cs="Arial"/>
          <w:sz w:val="24"/>
          <w:szCs w:val="24"/>
        </w:rPr>
        <w:t>.</w:t>
      </w:r>
    </w:p>
    <w:p w14:paraId="75862363" w14:textId="77777777" w:rsidR="00725514" w:rsidRPr="00C62657" w:rsidRDefault="00725514" w:rsidP="00C62657">
      <w:pPr>
        <w:pStyle w:val="ListParagraph"/>
        <w:widowControl w:val="0"/>
        <w:spacing w:after="0" w:line="480" w:lineRule="auto"/>
        <w:jc w:val="both"/>
        <w:rPr>
          <w:rFonts w:ascii="Arial" w:hAnsi="Arial" w:cs="Arial"/>
          <w:sz w:val="24"/>
          <w:szCs w:val="24"/>
        </w:rPr>
      </w:pPr>
    </w:p>
    <w:p w14:paraId="7DF1FF09" w14:textId="1A9EC61E" w:rsidR="00E50485" w:rsidRPr="00C62657" w:rsidRDefault="00E4510F"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rPr>
        <w:t xml:space="preserve">Nevertheless, in </w:t>
      </w:r>
      <w:r w:rsidRPr="00C62657">
        <w:rPr>
          <w:rFonts w:ascii="Arial" w:hAnsi="Arial" w:cs="Arial"/>
          <w:i/>
          <w:iCs/>
          <w:sz w:val="24"/>
          <w:szCs w:val="24"/>
        </w:rPr>
        <w:t>S v Porthern and others</w:t>
      </w:r>
      <w:r w:rsidRPr="00C62657">
        <w:rPr>
          <w:rFonts w:ascii="Arial" w:hAnsi="Arial" w:cs="Arial"/>
          <w:sz w:val="24"/>
          <w:szCs w:val="24"/>
        </w:rPr>
        <w:t xml:space="preserve"> 2004 (2) SA SACR 242 (C) the Court observed at para [17] that it remains necessary “</w:t>
      </w:r>
      <w:r w:rsidRPr="00C62657">
        <w:rPr>
          <w:rFonts w:ascii="Arial" w:hAnsi="Arial" w:cs="Arial"/>
          <w:i/>
          <w:iCs/>
          <w:sz w:val="24"/>
          <w:szCs w:val="24"/>
        </w:rPr>
        <w:t xml:space="preserve">to be mindful that a bail appeal, including one affected by the provisions of section 60(11)(a), goes to the </w:t>
      </w:r>
      <w:r w:rsidRPr="00C62657">
        <w:rPr>
          <w:rFonts w:ascii="Arial" w:hAnsi="Arial" w:cs="Arial"/>
          <w:i/>
          <w:iCs/>
          <w:sz w:val="24"/>
          <w:szCs w:val="24"/>
        </w:rPr>
        <w:lastRenderedPageBreak/>
        <w:t xml:space="preserve">question of deprivation of personal liberty.  In my view, that consideration is a further factor confirming that section 65(4) of the CPA should </w:t>
      </w:r>
      <w:r w:rsidR="0093596C" w:rsidRPr="00C62657">
        <w:rPr>
          <w:rFonts w:ascii="Arial" w:hAnsi="Arial" w:cs="Arial"/>
          <w:i/>
          <w:iCs/>
          <w:sz w:val="24"/>
          <w:szCs w:val="24"/>
        </w:rPr>
        <w:t>b</w:t>
      </w:r>
      <w:r w:rsidRPr="00C62657">
        <w:rPr>
          <w:rFonts w:ascii="Arial" w:hAnsi="Arial" w:cs="Arial"/>
          <w:i/>
          <w:iCs/>
          <w:sz w:val="24"/>
          <w:szCs w:val="24"/>
        </w:rPr>
        <w:t>e construed in a manner which does not unduly restrict the ambit of an appeal court’s competence to decide that the lower court’s discretion to refuse bail was ’wrong’”</w:t>
      </w:r>
      <w:r w:rsidRPr="00C62657">
        <w:rPr>
          <w:rFonts w:ascii="Arial" w:hAnsi="Arial" w:cs="Arial"/>
          <w:sz w:val="24"/>
          <w:szCs w:val="24"/>
        </w:rPr>
        <w:t>.</w:t>
      </w:r>
    </w:p>
    <w:p w14:paraId="66AD211A" w14:textId="77777777" w:rsidR="00154E4A" w:rsidRPr="00C62657" w:rsidRDefault="00154E4A" w:rsidP="00C62657">
      <w:pPr>
        <w:pStyle w:val="ListParagraph"/>
        <w:widowControl w:val="0"/>
        <w:spacing w:after="0" w:line="480" w:lineRule="auto"/>
        <w:jc w:val="both"/>
        <w:rPr>
          <w:rFonts w:ascii="Arial" w:hAnsi="Arial" w:cs="Arial"/>
          <w:sz w:val="24"/>
          <w:szCs w:val="24"/>
          <w:lang w:val="en-US"/>
        </w:rPr>
      </w:pPr>
    </w:p>
    <w:p w14:paraId="45425EED" w14:textId="4A16E76A" w:rsidR="00DE0F2B" w:rsidRPr="00C62657" w:rsidRDefault="00154E4A"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 mere fact that the reasons for refusing bail are brief, is not in itself a sufficient ground for the court of appeal to infer that insufficient consideration was given to the considerations set out in section 60 of the CPA (</w:t>
      </w:r>
      <w:r w:rsidRPr="00C62657">
        <w:rPr>
          <w:rFonts w:ascii="Arial" w:hAnsi="Arial" w:cs="Arial"/>
          <w:i/>
          <w:iCs/>
          <w:sz w:val="24"/>
          <w:szCs w:val="24"/>
          <w:lang w:val="en-US"/>
        </w:rPr>
        <w:t>S v Ali</w:t>
      </w:r>
      <w:r w:rsidRPr="00C62657">
        <w:rPr>
          <w:rFonts w:ascii="Arial" w:hAnsi="Arial" w:cs="Arial"/>
          <w:sz w:val="24"/>
          <w:szCs w:val="24"/>
          <w:lang w:val="en-US"/>
        </w:rPr>
        <w:t xml:space="preserve"> 2011 (1) SACR 34 (ECP) at para [15]).</w:t>
      </w:r>
    </w:p>
    <w:p w14:paraId="2EC44D44" w14:textId="77777777" w:rsidR="00552EAC" w:rsidRPr="00C62657" w:rsidRDefault="00552EAC" w:rsidP="00C62657">
      <w:pPr>
        <w:pStyle w:val="ListParagraph"/>
        <w:widowControl w:val="0"/>
        <w:spacing w:after="0" w:line="480" w:lineRule="auto"/>
        <w:ind w:left="360"/>
        <w:jc w:val="both"/>
        <w:rPr>
          <w:rFonts w:ascii="Arial" w:hAnsi="Arial" w:cs="Arial"/>
          <w:sz w:val="24"/>
          <w:szCs w:val="24"/>
          <w:lang w:val="en-US"/>
        </w:rPr>
      </w:pPr>
    </w:p>
    <w:p w14:paraId="75372E6B" w14:textId="7297BEE7" w:rsidR="00552F44" w:rsidRPr="00C62657" w:rsidRDefault="00552F4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In the present matter, </w:t>
      </w:r>
      <w:r w:rsidR="0023426B" w:rsidRPr="00C62657">
        <w:rPr>
          <w:rFonts w:ascii="Arial" w:hAnsi="Arial" w:cs="Arial"/>
          <w:sz w:val="24"/>
          <w:szCs w:val="24"/>
          <w:lang w:val="en-US"/>
        </w:rPr>
        <w:t xml:space="preserve">each of </w:t>
      </w:r>
      <w:r w:rsidRPr="00C62657">
        <w:rPr>
          <w:rFonts w:ascii="Arial" w:hAnsi="Arial" w:cs="Arial"/>
          <w:sz w:val="24"/>
          <w:szCs w:val="24"/>
          <w:lang w:val="en-US"/>
        </w:rPr>
        <w:t>the appellant</w:t>
      </w:r>
      <w:r w:rsidR="0023426B" w:rsidRPr="00C62657">
        <w:rPr>
          <w:rFonts w:ascii="Arial" w:hAnsi="Arial" w:cs="Arial"/>
          <w:sz w:val="24"/>
          <w:szCs w:val="24"/>
          <w:lang w:val="en-US"/>
        </w:rPr>
        <w:t>s</w:t>
      </w:r>
      <w:r w:rsidRPr="00C62657">
        <w:rPr>
          <w:rFonts w:ascii="Arial" w:hAnsi="Arial" w:cs="Arial"/>
          <w:sz w:val="24"/>
          <w:szCs w:val="24"/>
          <w:lang w:val="en-US"/>
        </w:rPr>
        <w:t xml:space="preserve"> effectively contends that the lower court misdirected itself by overemphasizing the seriousness of the charge at the expense of the appellant</w:t>
      </w:r>
      <w:r w:rsidR="0023426B" w:rsidRPr="00C62657">
        <w:rPr>
          <w:rFonts w:ascii="Arial" w:hAnsi="Arial" w:cs="Arial"/>
          <w:sz w:val="24"/>
          <w:szCs w:val="24"/>
          <w:lang w:val="en-US"/>
        </w:rPr>
        <w:t>s</w:t>
      </w:r>
      <w:r w:rsidRPr="00C62657">
        <w:rPr>
          <w:rFonts w:ascii="Arial" w:hAnsi="Arial" w:cs="Arial"/>
          <w:sz w:val="24"/>
          <w:szCs w:val="24"/>
          <w:lang w:val="en-US"/>
        </w:rPr>
        <w:t xml:space="preserve">, thereby disregarding </w:t>
      </w:r>
      <w:r w:rsidR="0023426B" w:rsidRPr="00C62657">
        <w:rPr>
          <w:rFonts w:ascii="Arial" w:hAnsi="Arial" w:cs="Arial"/>
          <w:sz w:val="24"/>
          <w:szCs w:val="24"/>
          <w:lang w:val="en-US"/>
        </w:rPr>
        <w:t>their</w:t>
      </w:r>
      <w:r w:rsidRPr="00C62657">
        <w:rPr>
          <w:rFonts w:ascii="Arial" w:hAnsi="Arial" w:cs="Arial"/>
          <w:sz w:val="24"/>
          <w:szCs w:val="24"/>
          <w:lang w:val="en-US"/>
        </w:rPr>
        <w:t xml:space="preserve"> personal circumstances</w:t>
      </w:r>
      <w:r w:rsidR="005855EA" w:rsidRPr="00C62657">
        <w:rPr>
          <w:rFonts w:ascii="Arial" w:hAnsi="Arial" w:cs="Arial"/>
          <w:sz w:val="24"/>
          <w:szCs w:val="24"/>
          <w:lang w:val="en-US"/>
        </w:rPr>
        <w:t>,</w:t>
      </w:r>
      <w:r w:rsidRPr="00C62657">
        <w:rPr>
          <w:rFonts w:ascii="Arial" w:hAnsi="Arial" w:cs="Arial"/>
          <w:sz w:val="24"/>
          <w:szCs w:val="24"/>
          <w:lang w:val="en-US"/>
        </w:rPr>
        <w:t xml:space="preserve"> and failing to consider the factors in section 60(4) </w:t>
      </w:r>
      <w:r w:rsidR="00E93BF2" w:rsidRPr="00C62657">
        <w:rPr>
          <w:rFonts w:ascii="Arial" w:hAnsi="Arial" w:cs="Arial"/>
          <w:sz w:val="24"/>
          <w:szCs w:val="24"/>
          <w:lang w:val="en-US"/>
        </w:rPr>
        <w:t xml:space="preserve">– especially the factors relating to whether the appellants are flight risks or would interfere with victims and witnesses - </w:t>
      </w:r>
      <w:r w:rsidRPr="00C62657">
        <w:rPr>
          <w:rFonts w:ascii="Arial" w:hAnsi="Arial" w:cs="Arial"/>
          <w:sz w:val="24"/>
          <w:szCs w:val="24"/>
          <w:lang w:val="en-US"/>
        </w:rPr>
        <w:t>as being exceptional in the context of the case.</w:t>
      </w:r>
    </w:p>
    <w:p w14:paraId="60FCC5F7" w14:textId="77777777" w:rsidR="00552F44" w:rsidRPr="00C62657" w:rsidRDefault="00552F44" w:rsidP="00C62657">
      <w:pPr>
        <w:pStyle w:val="ListParagraph"/>
        <w:widowControl w:val="0"/>
        <w:spacing w:after="0" w:line="480" w:lineRule="auto"/>
        <w:jc w:val="both"/>
        <w:rPr>
          <w:rFonts w:ascii="Arial" w:hAnsi="Arial" w:cs="Arial"/>
          <w:sz w:val="24"/>
          <w:szCs w:val="24"/>
          <w:lang w:val="en-US"/>
        </w:rPr>
      </w:pPr>
    </w:p>
    <w:p w14:paraId="1439F31C" w14:textId="38C6DA66" w:rsidR="001F63A3" w:rsidRPr="00C62657" w:rsidRDefault="00552F4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It is against this background that I consider the facts at my disposal, and the argument present</w:t>
      </w:r>
      <w:r w:rsidR="00803263" w:rsidRPr="00C62657">
        <w:rPr>
          <w:rFonts w:ascii="Arial" w:hAnsi="Arial" w:cs="Arial"/>
          <w:sz w:val="24"/>
          <w:szCs w:val="24"/>
          <w:lang w:val="en-US"/>
        </w:rPr>
        <w:t>ed</w:t>
      </w:r>
      <w:r w:rsidRPr="00C62657">
        <w:rPr>
          <w:rFonts w:ascii="Arial" w:hAnsi="Arial" w:cs="Arial"/>
          <w:sz w:val="24"/>
          <w:szCs w:val="24"/>
          <w:lang w:val="en-US"/>
        </w:rPr>
        <w:t xml:space="preserve"> by the parties.</w:t>
      </w:r>
    </w:p>
    <w:p w14:paraId="3E276110" w14:textId="2F23E9C9" w:rsidR="00552EAC" w:rsidRPr="00C62657" w:rsidRDefault="00552EAC" w:rsidP="00C62657">
      <w:pPr>
        <w:widowControl w:val="0"/>
        <w:spacing w:after="0" w:line="480" w:lineRule="auto"/>
        <w:jc w:val="both"/>
        <w:rPr>
          <w:rFonts w:ascii="Arial" w:hAnsi="Arial" w:cs="Arial"/>
          <w:sz w:val="24"/>
          <w:szCs w:val="24"/>
          <w:lang w:val="en-US"/>
        </w:rPr>
      </w:pPr>
    </w:p>
    <w:p w14:paraId="0FCC8F07" w14:textId="2C84E943" w:rsidR="00552F44" w:rsidRPr="00C62657" w:rsidRDefault="00552F44" w:rsidP="00C62657">
      <w:pPr>
        <w:widowControl w:val="0"/>
        <w:spacing w:after="0" w:line="480" w:lineRule="auto"/>
        <w:jc w:val="both"/>
        <w:rPr>
          <w:rFonts w:ascii="Arial" w:hAnsi="Arial" w:cs="Arial"/>
          <w:b/>
          <w:bCs/>
          <w:sz w:val="24"/>
          <w:szCs w:val="24"/>
          <w:u w:val="single"/>
          <w:lang w:val="en-US"/>
        </w:rPr>
      </w:pPr>
      <w:r w:rsidRPr="00C62657">
        <w:rPr>
          <w:rFonts w:ascii="Arial" w:hAnsi="Arial" w:cs="Arial"/>
          <w:b/>
          <w:bCs/>
          <w:sz w:val="24"/>
          <w:szCs w:val="24"/>
          <w:u w:val="single"/>
          <w:lang w:val="en-US"/>
        </w:rPr>
        <w:t>Has the appellant shown the existence of exceptional circumstances warranting the grant of bail?</w:t>
      </w:r>
    </w:p>
    <w:p w14:paraId="16B60442" w14:textId="77777777" w:rsidR="00552F44" w:rsidRPr="00C62657" w:rsidRDefault="00552F44" w:rsidP="00C62657">
      <w:pPr>
        <w:widowControl w:val="0"/>
        <w:spacing w:after="0" w:line="480" w:lineRule="auto"/>
        <w:jc w:val="both"/>
        <w:rPr>
          <w:rFonts w:ascii="Arial" w:hAnsi="Arial" w:cs="Arial"/>
          <w:sz w:val="24"/>
          <w:szCs w:val="24"/>
          <w:lang w:val="en-US"/>
        </w:rPr>
      </w:pPr>
    </w:p>
    <w:p w14:paraId="20E8947E" w14:textId="3CC06762" w:rsidR="00F07825" w:rsidRPr="00C62657" w:rsidRDefault="00913D41"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The first appellant’s case is, essentially, that he has no knowledge of the crimes </w:t>
      </w:r>
      <w:r w:rsidRPr="00C62657">
        <w:rPr>
          <w:rFonts w:ascii="Arial" w:hAnsi="Arial" w:cs="Arial"/>
          <w:sz w:val="24"/>
          <w:szCs w:val="24"/>
          <w:lang w:val="en-US"/>
        </w:rPr>
        <w:lastRenderedPageBreak/>
        <w:t xml:space="preserve">and that he was not involved.  </w:t>
      </w:r>
      <w:r w:rsidR="00113D18" w:rsidRPr="00C62657">
        <w:rPr>
          <w:rFonts w:ascii="Arial" w:hAnsi="Arial" w:cs="Arial"/>
          <w:sz w:val="24"/>
          <w:szCs w:val="24"/>
          <w:lang w:val="en-US"/>
        </w:rPr>
        <w:t xml:space="preserve">He declined to testify </w:t>
      </w:r>
      <w:r w:rsidR="00D80018" w:rsidRPr="00C62657">
        <w:rPr>
          <w:rFonts w:ascii="Arial" w:hAnsi="Arial" w:cs="Arial"/>
          <w:sz w:val="24"/>
          <w:szCs w:val="24"/>
          <w:lang w:val="en-US"/>
        </w:rPr>
        <w:t xml:space="preserve">on the merits of the matter during cross-examination. </w:t>
      </w:r>
      <w:r w:rsidRPr="00C62657">
        <w:rPr>
          <w:rFonts w:ascii="Arial" w:hAnsi="Arial" w:cs="Arial"/>
          <w:sz w:val="24"/>
          <w:szCs w:val="24"/>
          <w:lang w:val="en-US"/>
        </w:rPr>
        <w:t>He mentions the following factors</w:t>
      </w:r>
      <w:r w:rsidR="00D80018" w:rsidRPr="00C62657">
        <w:rPr>
          <w:rFonts w:ascii="Arial" w:hAnsi="Arial" w:cs="Arial"/>
          <w:sz w:val="24"/>
          <w:szCs w:val="24"/>
          <w:lang w:val="en-US"/>
        </w:rPr>
        <w:t>, which appears form the record</w:t>
      </w:r>
      <w:r w:rsidRPr="00C62657">
        <w:rPr>
          <w:rFonts w:ascii="Arial" w:hAnsi="Arial" w:cs="Arial"/>
          <w:sz w:val="24"/>
          <w:szCs w:val="24"/>
          <w:lang w:val="en-US"/>
        </w:rPr>
        <w:t>:</w:t>
      </w:r>
    </w:p>
    <w:p w14:paraId="60ACC745" w14:textId="3A0CE607"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 xml:space="preserve">He is </w:t>
      </w:r>
      <w:r w:rsidR="00113D18" w:rsidRPr="00C62657">
        <w:rPr>
          <w:rFonts w:ascii="Arial" w:hAnsi="Arial" w:cs="Arial"/>
          <w:sz w:val="24"/>
          <w:szCs w:val="24"/>
          <w:lang w:val="en-US"/>
        </w:rPr>
        <w:t>3</w:t>
      </w:r>
      <w:r w:rsidRPr="00C62657">
        <w:rPr>
          <w:rFonts w:ascii="Arial" w:hAnsi="Arial" w:cs="Arial"/>
          <w:sz w:val="24"/>
          <w:szCs w:val="24"/>
          <w:lang w:val="en-US"/>
        </w:rPr>
        <w:t>1 years old, and unmarried.</w:t>
      </w:r>
      <w:r w:rsidR="00113D18" w:rsidRPr="00C62657">
        <w:rPr>
          <w:rFonts w:ascii="Arial" w:hAnsi="Arial" w:cs="Arial"/>
          <w:sz w:val="24"/>
          <w:szCs w:val="24"/>
          <w:lang w:val="en-US"/>
        </w:rPr>
        <w:t xml:space="preserve">  His parents are both deceased.</w:t>
      </w:r>
    </w:p>
    <w:p w14:paraId="6B27B879" w14:textId="3A4F01DE"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has one minor child.</w:t>
      </w:r>
    </w:p>
    <w:p w14:paraId="04077679" w14:textId="1428EF5C"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 xml:space="preserve">He has a fixed address </w:t>
      </w:r>
      <w:r w:rsidR="007A32E4" w:rsidRPr="00C62657">
        <w:rPr>
          <w:rFonts w:ascii="Arial" w:hAnsi="Arial" w:cs="Arial"/>
          <w:sz w:val="24"/>
          <w:szCs w:val="24"/>
          <w:lang w:val="en-US"/>
        </w:rPr>
        <w:t>(the State disputes this</w:t>
      </w:r>
      <w:r w:rsidR="00D80018" w:rsidRPr="00C62657">
        <w:rPr>
          <w:rFonts w:ascii="Arial" w:hAnsi="Arial" w:cs="Arial"/>
          <w:sz w:val="24"/>
          <w:szCs w:val="24"/>
          <w:lang w:val="en-US"/>
        </w:rPr>
        <w:t>, and it was shown during the hearing that he ha</w:t>
      </w:r>
      <w:r w:rsidR="004C6F31" w:rsidRPr="00C62657">
        <w:rPr>
          <w:rFonts w:ascii="Arial" w:hAnsi="Arial" w:cs="Arial"/>
          <w:sz w:val="24"/>
          <w:szCs w:val="24"/>
          <w:lang w:val="en-US"/>
        </w:rPr>
        <w:t>d</w:t>
      </w:r>
      <w:r w:rsidR="00D80018" w:rsidRPr="00C62657">
        <w:rPr>
          <w:rFonts w:ascii="Arial" w:hAnsi="Arial" w:cs="Arial"/>
          <w:sz w:val="24"/>
          <w:szCs w:val="24"/>
          <w:lang w:val="en-US"/>
        </w:rPr>
        <w:t xml:space="preserve"> been living at least two</w:t>
      </w:r>
      <w:r w:rsidR="004C6F31" w:rsidRPr="00C62657">
        <w:rPr>
          <w:rFonts w:ascii="Arial" w:hAnsi="Arial" w:cs="Arial"/>
          <w:sz w:val="24"/>
          <w:szCs w:val="24"/>
          <w:lang w:val="en-US"/>
        </w:rPr>
        <w:t xml:space="preserve"> different</w:t>
      </w:r>
      <w:r w:rsidR="00D80018" w:rsidRPr="00C62657">
        <w:rPr>
          <w:rFonts w:ascii="Arial" w:hAnsi="Arial" w:cs="Arial"/>
          <w:sz w:val="24"/>
          <w:szCs w:val="24"/>
          <w:lang w:val="en-US"/>
        </w:rPr>
        <w:t xml:space="preserve"> addresses</w:t>
      </w:r>
      <w:r w:rsidR="007A32E4" w:rsidRPr="00C62657">
        <w:rPr>
          <w:rFonts w:ascii="Arial" w:hAnsi="Arial" w:cs="Arial"/>
          <w:sz w:val="24"/>
          <w:szCs w:val="24"/>
          <w:lang w:val="en-US"/>
        </w:rPr>
        <w:t xml:space="preserve">) </w:t>
      </w:r>
      <w:r w:rsidRPr="00C62657">
        <w:rPr>
          <w:rFonts w:ascii="Arial" w:hAnsi="Arial" w:cs="Arial"/>
          <w:sz w:val="24"/>
          <w:szCs w:val="24"/>
          <w:lang w:val="en-US"/>
        </w:rPr>
        <w:t xml:space="preserve">and </w:t>
      </w:r>
      <w:r w:rsidR="00113D18" w:rsidRPr="00C62657">
        <w:rPr>
          <w:rFonts w:ascii="Arial" w:hAnsi="Arial" w:cs="Arial"/>
          <w:sz w:val="24"/>
          <w:szCs w:val="24"/>
          <w:lang w:val="en-US"/>
        </w:rPr>
        <w:t>works</w:t>
      </w:r>
      <w:r w:rsidRPr="00C62657">
        <w:rPr>
          <w:rFonts w:ascii="Arial" w:hAnsi="Arial" w:cs="Arial"/>
          <w:sz w:val="24"/>
          <w:szCs w:val="24"/>
          <w:lang w:val="en-US"/>
        </w:rPr>
        <w:t xml:space="preserve"> as a </w:t>
      </w:r>
      <w:r w:rsidR="00113D18" w:rsidRPr="00C62657">
        <w:rPr>
          <w:rFonts w:ascii="Arial" w:hAnsi="Arial" w:cs="Arial"/>
          <w:sz w:val="24"/>
          <w:szCs w:val="24"/>
          <w:lang w:val="en-US"/>
        </w:rPr>
        <w:t xml:space="preserve">private taxi </w:t>
      </w:r>
      <w:r w:rsidRPr="00C62657">
        <w:rPr>
          <w:rFonts w:ascii="Arial" w:hAnsi="Arial" w:cs="Arial"/>
          <w:sz w:val="24"/>
          <w:szCs w:val="24"/>
          <w:lang w:val="en-US"/>
        </w:rPr>
        <w:t>driver.</w:t>
      </w:r>
    </w:p>
    <w:p w14:paraId="65D7FD0D" w14:textId="0383C660"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has no previous convictions, although there are two pending matters against him.</w:t>
      </w:r>
    </w:p>
    <w:p w14:paraId="608DE737" w14:textId="0B546462"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has no outstanding warrants of arrest.</w:t>
      </w:r>
    </w:p>
    <w:p w14:paraId="3F9BC96F" w14:textId="17946C6D" w:rsidR="00D80018" w:rsidRPr="00C62657" w:rsidRDefault="00D80018"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has a passport.</w:t>
      </w:r>
    </w:p>
    <w:p w14:paraId="14B07816" w14:textId="77777777" w:rsidR="00913D41" w:rsidRPr="00C62657" w:rsidRDefault="00913D41" w:rsidP="00C62657">
      <w:pPr>
        <w:pStyle w:val="ListParagraph"/>
        <w:widowControl w:val="0"/>
        <w:spacing w:after="0" w:line="480" w:lineRule="auto"/>
        <w:jc w:val="both"/>
        <w:rPr>
          <w:rFonts w:ascii="Arial" w:hAnsi="Arial" w:cs="Arial"/>
          <w:sz w:val="24"/>
          <w:szCs w:val="24"/>
          <w:lang w:val="en-US"/>
        </w:rPr>
      </w:pPr>
    </w:p>
    <w:p w14:paraId="3DFC6C53" w14:textId="639ED2CE" w:rsidR="00913D41" w:rsidRPr="00C62657" w:rsidRDefault="00913D41"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 second appellant also denied any involvement in the crimes</w:t>
      </w:r>
      <w:r w:rsidR="00327700" w:rsidRPr="00C62657">
        <w:rPr>
          <w:rFonts w:ascii="Arial" w:hAnsi="Arial" w:cs="Arial"/>
          <w:sz w:val="24"/>
          <w:szCs w:val="24"/>
          <w:lang w:val="en-US"/>
        </w:rPr>
        <w:t>, and did not testify on the merits of the case</w:t>
      </w:r>
      <w:r w:rsidRPr="00C62657">
        <w:rPr>
          <w:rFonts w:ascii="Arial" w:hAnsi="Arial" w:cs="Arial"/>
          <w:sz w:val="24"/>
          <w:szCs w:val="24"/>
          <w:lang w:val="en-US"/>
        </w:rPr>
        <w:t>.  He relies on the following factors</w:t>
      </w:r>
      <w:r w:rsidR="00D80018" w:rsidRPr="00C62657">
        <w:rPr>
          <w:rFonts w:ascii="Arial" w:hAnsi="Arial" w:cs="Arial"/>
          <w:sz w:val="24"/>
          <w:szCs w:val="24"/>
          <w:lang w:val="en-US"/>
        </w:rPr>
        <w:t>, which appears from the record</w:t>
      </w:r>
      <w:r w:rsidRPr="00C62657">
        <w:rPr>
          <w:rFonts w:ascii="Arial" w:hAnsi="Arial" w:cs="Arial"/>
          <w:sz w:val="24"/>
          <w:szCs w:val="24"/>
          <w:lang w:val="en-US"/>
        </w:rPr>
        <w:t>:</w:t>
      </w:r>
    </w:p>
    <w:p w14:paraId="069BB634" w14:textId="3B94FFFA"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is 42 years old, and has no children.</w:t>
      </w:r>
    </w:p>
    <w:p w14:paraId="5E2CE6B2" w14:textId="50FB97D8"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is unemployed and does not have a fixed address.</w:t>
      </w:r>
    </w:p>
    <w:p w14:paraId="5EFD15FC" w14:textId="34106226" w:rsidR="00913D41" w:rsidRPr="00C62657" w:rsidRDefault="00913D41"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has twelve previous convictions, no outstanding warrants, and one matter pending against him.</w:t>
      </w:r>
    </w:p>
    <w:p w14:paraId="73920965" w14:textId="14EB0E1D" w:rsidR="00D80018" w:rsidRPr="00C62657" w:rsidRDefault="00D80018" w:rsidP="00C62657">
      <w:pPr>
        <w:pStyle w:val="ListParagraph"/>
        <w:widowControl w:val="0"/>
        <w:numPr>
          <w:ilvl w:val="1"/>
          <w:numId w:val="4"/>
        </w:numPr>
        <w:spacing w:after="0" w:line="480" w:lineRule="auto"/>
        <w:jc w:val="both"/>
        <w:rPr>
          <w:rFonts w:ascii="Arial" w:hAnsi="Arial" w:cs="Arial"/>
          <w:sz w:val="24"/>
          <w:szCs w:val="24"/>
          <w:lang w:val="en-US"/>
        </w:rPr>
      </w:pPr>
      <w:r w:rsidRPr="00C62657">
        <w:rPr>
          <w:rFonts w:ascii="Arial" w:hAnsi="Arial" w:cs="Arial"/>
          <w:sz w:val="24"/>
          <w:szCs w:val="24"/>
          <w:lang w:val="en-US"/>
        </w:rPr>
        <w:t>He does not have a passport.</w:t>
      </w:r>
    </w:p>
    <w:p w14:paraId="74150255" w14:textId="77777777" w:rsidR="00913D41" w:rsidRPr="00C62657" w:rsidRDefault="00913D41" w:rsidP="00C62657">
      <w:pPr>
        <w:pStyle w:val="ListParagraph"/>
        <w:widowControl w:val="0"/>
        <w:spacing w:after="0" w:line="480" w:lineRule="auto"/>
        <w:ind w:left="1440"/>
        <w:jc w:val="both"/>
        <w:rPr>
          <w:rFonts w:ascii="Arial" w:hAnsi="Arial" w:cs="Arial"/>
          <w:sz w:val="24"/>
          <w:szCs w:val="24"/>
          <w:lang w:val="en-US"/>
        </w:rPr>
      </w:pPr>
    </w:p>
    <w:p w14:paraId="5AAB5CDC" w14:textId="315B9BE6" w:rsidR="00C23C57" w:rsidRPr="00C62657" w:rsidRDefault="006319C0"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There are</w:t>
      </w:r>
      <w:r w:rsidR="00C62657">
        <w:rPr>
          <w:rFonts w:ascii="Arial" w:hAnsi="Arial" w:cs="Arial"/>
          <w:sz w:val="24"/>
          <w:szCs w:val="24"/>
          <w:lang w:val="en-US"/>
        </w:rPr>
        <w:t>, however,</w:t>
      </w:r>
      <w:r w:rsidRPr="00C62657">
        <w:rPr>
          <w:rFonts w:ascii="Arial" w:hAnsi="Arial" w:cs="Arial"/>
          <w:sz w:val="24"/>
          <w:szCs w:val="24"/>
          <w:lang w:val="en-US"/>
        </w:rPr>
        <w:t xml:space="preserve"> various factors that militate against the grant of bail in the present matter.</w:t>
      </w:r>
    </w:p>
    <w:p w14:paraId="1F23F553" w14:textId="77777777" w:rsidR="00C23C57" w:rsidRPr="00C62657" w:rsidRDefault="00C23C57" w:rsidP="00C62657">
      <w:pPr>
        <w:pStyle w:val="ListParagraph"/>
        <w:widowControl w:val="0"/>
        <w:spacing w:after="0" w:line="480" w:lineRule="auto"/>
        <w:jc w:val="both"/>
        <w:rPr>
          <w:rFonts w:ascii="Arial" w:hAnsi="Arial" w:cs="Arial"/>
          <w:sz w:val="24"/>
          <w:szCs w:val="24"/>
          <w:lang w:val="en-US"/>
        </w:rPr>
      </w:pPr>
    </w:p>
    <w:p w14:paraId="41375AFE" w14:textId="2E790A7D" w:rsidR="00056950" w:rsidRPr="00C62657" w:rsidRDefault="00913D41"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lastRenderedPageBreak/>
        <w:t xml:space="preserve">Firstly, </w:t>
      </w:r>
      <w:r w:rsidR="00EC32F3" w:rsidRPr="00C62657">
        <w:rPr>
          <w:rFonts w:ascii="Arial" w:hAnsi="Arial" w:cs="Arial"/>
          <w:sz w:val="24"/>
          <w:szCs w:val="24"/>
          <w:lang w:val="en-US"/>
        </w:rPr>
        <w:t xml:space="preserve">the charges against the appellants are serious and </w:t>
      </w:r>
      <w:r w:rsidRPr="00C62657">
        <w:rPr>
          <w:rFonts w:ascii="Arial" w:hAnsi="Arial" w:cs="Arial"/>
          <w:sz w:val="24"/>
          <w:szCs w:val="24"/>
          <w:lang w:val="en-US"/>
        </w:rPr>
        <w:t xml:space="preserve">there is a strong </w:t>
      </w:r>
      <w:r w:rsidRPr="00C62657">
        <w:rPr>
          <w:rFonts w:ascii="Arial" w:hAnsi="Arial" w:cs="Arial"/>
          <w:i/>
          <w:iCs/>
          <w:sz w:val="24"/>
          <w:szCs w:val="24"/>
          <w:lang w:val="en-US"/>
        </w:rPr>
        <w:t>prima facie</w:t>
      </w:r>
      <w:r w:rsidRPr="00C62657">
        <w:rPr>
          <w:rFonts w:ascii="Arial" w:hAnsi="Arial" w:cs="Arial"/>
          <w:sz w:val="24"/>
          <w:szCs w:val="24"/>
          <w:lang w:val="en-US"/>
        </w:rPr>
        <w:t xml:space="preserve"> case against the</w:t>
      </w:r>
      <w:r w:rsidR="00EC32F3" w:rsidRPr="00C62657">
        <w:rPr>
          <w:rFonts w:ascii="Arial" w:hAnsi="Arial" w:cs="Arial"/>
          <w:sz w:val="24"/>
          <w:szCs w:val="24"/>
          <w:lang w:val="en-US"/>
        </w:rPr>
        <w:t>m</w:t>
      </w:r>
      <w:r w:rsidR="00820936" w:rsidRPr="00C62657">
        <w:rPr>
          <w:rFonts w:ascii="Arial" w:hAnsi="Arial" w:cs="Arial"/>
          <w:sz w:val="24"/>
          <w:szCs w:val="24"/>
          <w:lang w:val="en-US"/>
        </w:rPr>
        <w:t xml:space="preserve">, despite the appellants’ argument that the Magistrate’s Court misdirected itself in over-emphasizing the strength of the State’s case.  </w:t>
      </w:r>
      <w:r w:rsidR="00E93BF2" w:rsidRPr="00C62657">
        <w:rPr>
          <w:rFonts w:ascii="Arial" w:hAnsi="Arial" w:cs="Arial"/>
          <w:sz w:val="24"/>
          <w:szCs w:val="24"/>
          <w:lang w:val="en-US"/>
        </w:rPr>
        <w:t xml:space="preserve">The appellants </w:t>
      </w:r>
      <w:r w:rsidR="00820936" w:rsidRPr="00C62657">
        <w:rPr>
          <w:rFonts w:ascii="Arial" w:hAnsi="Arial" w:cs="Arial"/>
          <w:sz w:val="24"/>
          <w:szCs w:val="24"/>
          <w:lang w:val="en-US"/>
        </w:rPr>
        <w:t xml:space="preserve">argued that the State’s case was weak, and </w:t>
      </w:r>
      <w:r w:rsidR="00E93BF2" w:rsidRPr="00C62657">
        <w:rPr>
          <w:rFonts w:ascii="Arial" w:hAnsi="Arial" w:cs="Arial"/>
          <w:sz w:val="24"/>
          <w:szCs w:val="24"/>
          <w:lang w:val="en-US"/>
        </w:rPr>
        <w:t xml:space="preserve">accused the State of not divulging all of its evidence to the appellants and to the court but, as the court correctly held, it was not empowered to compel the State to do as at bail stage.  </w:t>
      </w:r>
      <w:r w:rsidR="00056950" w:rsidRPr="00C62657">
        <w:rPr>
          <w:rFonts w:ascii="Arial" w:hAnsi="Arial" w:cs="Arial"/>
          <w:sz w:val="24"/>
          <w:szCs w:val="24"/>
          <w:lang w:val="en-US"/>
        </w:rPr>
        <w:t>The appellants could have made a formal application for access to the docket at bail stage (</w:t>
      </w:r>
      <w:r w:rsidR="00C23C57" w:rsidRPr="00C62657">
        <w:rPr>
          <w:rFonts w:ascii="Arial" w:hAnsi="Arial" w:cs="Arial"/>
          <w:i/>
          <w:iCs/>
          <w:sz w:val="24"/>
          <w:szCs w:val="24"/>
        </w:rPr>
        <w:t xml:space="preserve">Shabalala and Others v Attorney-General of the Transvaal and </w:t>
      </w:r>
      <w:r w:rsidR="00B01F7D" w:rsidRPr="00C62657">
        <w:rPr>
          <w:rFonts w:ascii="Arial" w:hAnsi="Arial" w:cs="Arial"/>
          <w:i/>
          <w:iCs/>
          <w:sz w:val="24"/>
          <w:szCs w:val="24"/>
        </w:rPr>
        <w:t>a</w:t>
      </w:r>
      <w:r w:rsidR="00C23C57" w:rsidRPr="00C62657">
        <w:rPr>
          <w:rFonts w:ascii="Arial" w:hAnsi="Arial" w:cs="Arial"/>
          <w:i/>
          <w:iCs/>
          <w:sz w:val="24"/>
          <w:szCs w:val="24"/>
        </w:rPr>
        <w:t>nother</w:t>
      </w:r>
      <w:r w:rsidR="00C23C57" w:rsidRPr="00C62657">
        <w:rPr>
          <w:rFonts w:ascii="Arial" w:hAnsi="Arial" w:cs="Arial"/>
          <w:sz w:val="24"/>
          <w:szCs w:val="24"/>
        </w:rPr>
        <w:t xml:space="preserve"> 1996 (1) SA 725 (</w:t>
      </w:r>
      <w:r w:rsidR="00C23C57" w:rsidRPr="00C62657">
        <w:rPr>
          <w:rFonts w:ascii="Arial" w:hAnsi="Arial" w:cs="Arial"/>
          <w:sz w:val="24"/>
          <w:szCs w:val="24"/>
        </w:rPr>
        <w:t>CC)</w:t>
      </w:r>
      <w:r w:rsidR="00056950" w:rsidRPr="00C62657">
        <w:rPr>
          <w:rFonts w:ascii="Arial" w:hAnsi="Arial" w:cs="Arial"/>
          <w:sz w:val="24"/>
          <w:szCs w:val="24"/>
          <w:lang w:val="en-US"/>
        </w:rPr>
        <w:t xml:space="preserve"> but did not do so.</w:t>
      </w:r>
    </w:p>
    <w:p w14:paraId="03AAAABA" w14:textId="77777777" w:rsidR="00056950" w:rsidRPr="00C62657" w:rsidRDefault="00056950" w:rsidP="00C62657">
      <w:pPr>
        <w:pStyle w:val="ListParagraph"/>
        <w:widowControl w:val="0"/>
        <w:spacing w:after="0" w:line="480" w:lineRule="auto"/>
        <w:jc w:val="both"/>
        <w:rPr>
          <w:rFonts w:ascii="Arial" w:hAnsi="Arial" w:cs="Arial"/>
          <w:sz w:val="24"/>
          <w:szCs w:val="24"/>
          <w:lang w:val="en-US"/>
        </w:rPr>
      </w:pPr>
    </w:p>
    <w:p w14:paraId="3DDF57B3" w14:textId="2241611D" w:rsidR="00E93BF2" w:rsidRPr="00C62657" w:rsidRDefault="00E93BF2"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The fact that video footage </w:t>
      </w:r>
      <w:r w:rsidR="0093596C" w:rsidRPr="00C62657">
        <w:rPr>
          <w:rFonts w:ascii="Arial" w:hAnsi="Arial" w:cs="Arial"/>
          <w:sz w:val="24"/>
          <w:szCs w:val="24"/>
          <w:lang w:val="en-US"/>
        </w:rPr>
        <w:t xml:space="preserve">of the appellants linking them to the crimes </w:t>
      </w:r>
      <w:r w:rsidRPr="00C62657">
        <w:rPr>
          <w:rFonts w:ascii="Arial" w:hAnsi="Arial" w:cs="Arial"/>
          <w:sz w:val="24"/>
          <w:szCs w:val="24"/>
          <w:lang w:val="en-US"/>
        </w:rPr>
        <w:t>a</w:t>
      </w:r>
      <w:r w:rsidR="0093596C" w:rsidRPr="00C62657">
        <w:rPr>
          <w:rFonts w:ascii="Arial" w:hAnsi="Arial" w:cs="Arial"/>
          <w:sz w:val="24"/>
          <w:szCs w:val="24"/>
          <w:lang w:val="en-US"/>
        </w:rPr>
        <w:t>re</w:t>
      </w:r>
      <w:r w:rsidRPr="00C62657">
        <w:rPr>
          <w:rFonts w:ascii="Arial" w:hAnsi="Arial" w:cs="Arial"/>
          <w:sz w:val="24"/>
          <w:szCs w:val="24"/>
          <w:lang w:val="en-US"/>
        </w:rPr>
        <w:t xml:space="preserve"> available was, however</w:t>
      </w:r>
      <w:r w:rsidR="0093596C" w:rsidRPr="00C62657">
        <w:rPr>
          <w:rFonts w:ascii="Arial" w:hAnsi="Arial" w:cs="Arial"/>
          <w:sz w:val="24"/>
          <w:szCs w:val="24"/>
          <w:lang w:val="en-US"/>
        </w:rPr>
        <w:t>,</w:t>
      </w:r>
      <w:r w:rsidRPr="00C62657">
        <w:rPr>
          <w:rFonts w:ascii="Arial" w:hAnsi="Arial" w:cs="Arial"/>
          <w:sz w:val="24"/>
          <w:szCs w:val="24"/>
          <w:lang w:val="en-US"/>
        </w:rPr>
        <w:t xml:space="preserve"> know</w:t>
      </w:r>
      <w:r w:rsidR="00820936" w:rsidRPr="00C62657">
        <w:rPr>
          <w:rFonts w:ascii="Arial" w:hAnsi="Arial" w:cs="Arial"/>
          <w:sz w:val="24"/>
          <w:szCs w:val="24"/>
          <w:lang w:val="en-US"/>
        </w:rPr>
        <w:t>n</w:t>
      </w:r>
      <w:r w:rsidRPr="00C62657">
        <w:rPr>
          <w:rFonts w:ascii="Arial" w:hAnsi="Arial" w:cs="Arial"/>
          <w:sz w:val="24"/>
          <w:szCs w:val="24"/>
          <w:lang w:val="en-US"/>
        </w:rPr>
        <w:t xml:space="preserve"> to the parties and to the court.</w:t>
      </w:r>
    </w:p>
    <w:p w14:paraId="2CEF91D9" w14:textId="77777777" w:rsidR="0017611A" w:rsidRPr="00C62657" w:rsidRDefault="0017611A" w:rsidP="00C62657">
      <w:pPr>
        <w:pStyle w:val="ListParagraph"/>
        <w:widowControl w:val="0"/>
        <w:spacing w:after="0" w:line="480" w:lineRule="auto"/>
        <w:jc w:val="both"/>
        <w:rPr>
          <w:rFonts w:ascii="Arial" w:hAnsi="Arial" w:cs="Arial"/>
          <w:sz w:val="24"/>
          <w:szCs w:val="24"/>
          <w:lang w:val="en-US"/>
        </w:rPr>
      </w:pPr>
    </w:p>
    <w:p w14:paraId="78E71275" w14:textId="77777777" w:rsidR="007011EC" w:rsidRPr="00C62657" w:rsidRDefault="0093596C"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The State placed evidence before the </w:t>
      </w:r>
      <w:r w:rsidR="0017611A" w:rsidRPr="00C62657">
        <w:rPr>
          <w:rFonts w:ascii="Arial" w:hAnsi="Arial" w:cs="Arial"/>
          <w:sz w:val="24"/>
          <w:szCs w:val="24"/>
          <w:lang w:val="en-US"/>
        </w:rPr>
        <w:t>M</w:t>
      </w:r>
      <w:r w:rsidRPr="00C62657">
        <w:rPr>
          <w:rFonts w:ascii="Arial" w:hAnsi="Arial" w:cs="Arial"/>
          <w:sz w:val="24"/>
          <w:szCs w:val="24"/>
          <w:lang w:val="en-US"/>
        </w:rPr>
        <w:t>agistrate’s Court by way of affidavit from the investigating officer.  It appears from the affidavit that, as regards the crime committed on 13 November 2020, the robbery entailed the removal of camera and other equipment to the value of R3 million.</w:t>
      </w:r>
      <w:r w:rsidR="0017611A" w:rsidRPr="00C62657">
        <w:rPr>
          <w:rFonts w:ascii="Arial" w:hAnsi="Arial" w:cs="Arial"/>
          <w:sz w:val="24"/>
          <w:szCs w:val="24"/>
          <w:lang w:val="en-US"/>
        </w:rPr>
        <w:t xml:space="preserve">  The robbery occurred in the morning at about 09:00 after two vehicles had arrived at the store.  According to the video footage, the appellants entered the store and the first appellant held a customer and receptionist at gunpoint while further perpetrators entered the store and</w:t>
      </w:r>
      <w:r w:rsidR="007011EC" w:rsidRPr="00C62657">
        <w:rPr>
          <w:rFonts w:ascii="Arial" w:hAnsi="Arial" w:cs="Arial"/>
          <w:sz w:val="24"/>
          <w:szCs w:val="24"/>
          <w:lang w:val="en-US"/>
        </w:rPr>
        <w:t xml:space="preserve"> removed the goods.</w:t>
      </w:r>
    </w:p>
    <w:p w14:paraId="53BC097D" w14:textId="77777777" w:rsidR="007011EC" w:rsidRPr="00C62657" w:rsidRDefault="007011EC" w:rsidP="00C62657">
      <w:pPr>
        <w:pStyle w:val="ListParagraph"/>
        <w:widowControl w:val="0"/>
        <w:spacing w:after="0" w:line="480" w:lineRule="auto"/>
        <w:jc w:val="both"/>
        <w:rPr>
          <w:rFonts w:ascii="Arial" w:hAnsi="Arial" w:cs="Arial"/>
          <w:sz w:val="24"/>
          <w:szCs w:val="24"/>
          <w:lang w:val="en-US"/>
        </w:rPr>
      </w:pPr>
    </w:p>
    <w:p w14:paraId="671D3C06" w14:textId="6F6B8170" w:rsidR="0093596C" w:rsidRPr="00C62657" w:rsidRDefault="007011EC"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After the incident, one of the vehicles was found in Langa</w:t>
      </w:r>
      <w:r w:rsidR="00D80018" w:rsidRPr="00C62657">
        <w:rPr>
          <w:rFonts w:ascii="Arial" w:hAnsi="Arial" w:cs="Arial"/>
          <w:sz w:val="24"/>
          <w:szCs w:val="24"/>
          <w:lang w:val="en-US"/>
        </w:rPr>
        <w:t xml:space="preserve"> (a tracker on the vehicle placed it at the scene of the crime)</w:t>
      </w:r>
      <w:r w:rsidRPr="00C62657">
        <w:rPr>
          <w:rFonts w:ascii="Arial" w:hAnsi="Arial" w:cs="Arial"/>
          <w:sz w:val="24"/>
          <w:szCs w:val="24"/>
          <w:lang w:val="en-US"/>
        </w:rPr>
        <w:t xml:space="preserve">.  Through investigations it transpired </w:t>
      </w:r>
      <w:r w:rsidRPr="00C62657">
        <w:rPr>
          <w:rFonts w:ascii="Arial" w:hAnsi="Arial" w:cs="Arial"/>
          <w:sz w:val="24"/>
          <w:szCs w:val="24"/>
          <w:lang w:val="en-US"/>
        </w:rPr>
        <w:lastRenderedPageBreak/>
        <w:t>that the vehicle had been hired from a certain company, and a witness placed both appellants inside one of the vehicles that had driven up to the store on the morning of the robbery.</w:t>
      </w:r>
      <w:r w:rsidR="0017611A" w:rsidRPr="00C62657">
        <w:rPr>
          <w:rFonts w:ascii="Arial" w:hAnsi="Arial" w:cs="Arial"/>
          <w:sz w:val="24"/>
          <w:szCs w:val="24"/>
          <w:lang w:val="en-US"/>
        </w:rPr>
        <w:t xml:space="preserve"> </w:t>
      </w:r>
      <w:r w:rsidRPr="00C62657">
        <w:rPr>
          <w:rFonts w:ascii="Arial" w:hAnsi="Arial" w:cs="Arial"/>
          <w:sz w:val="24"/>
          <w:szCs w:val="24"/>
          <w:lang w:val="en-US"/>
        </w:rPr>
        <w:t>The business premises had CCTV cameras.  The footage was circulated on social media and in newspapers, and with the assistance of the public, the first appellant was identified.  He was also identified by his brother-in-law who had viewed the footage.</w:t>
      </w:r>
      <w:r w:rsidR="00056950" w:rsidRPr="00C62657">
        <w:rPr>
          <w:rFonts w:ascii="Arial" w:hAnsi="Arial" w:cs="Arial"/>
          <w:sz w:val="24"/>
          <w:szCs w:val="24"/>
          <w:lang w:val="en-US"/>
        </w:rPr>
        <w:t xml:space="preserve">  Despite the appellants’ criticisms in this regard, there is nothing wrong in using social media as an investigative tool.</w:t>
      </w:r>
    </w:p>
    <w:p w14:paraId="014FDFF7" w14:textId="77777777" w:rsidR="007011EC" w:rsidRPr="00C62657" w:rsidRDefault="007011EC" w:rsidP="00C62657">
      <w:pPr>
        <w:pStyle w:val="ListParagraph"/>
        <w:widowControl w:val="0"/>
        <w:spacing w:after="0" w:line="480" w:lineRule="auto"/>
        <w:jc w:val="both"/>
        <w:rPr>
          <w:rFonts w:ascii="Arial" w:hAnsi="Arial" w:cs="Arial"/>
          <w:sz w:val="24"/>
          <w:szCs w:val="24"/>
          <w:lang w:val="en-US"/>
        </w:rPr>
      </w:pPr>
    </w:p>
    <w:p w14:paraId="2768FA1D" w14:textId="608B0F28" w:rsidR="007011EC" w:rsidRPr="00C62657" w:rsidRDefault="007011EC"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 second appellant was also linked to the scene via video footage.  Apart from that, he was observed interacting with the first appellant on various occasions.</w:t>
      </w:r>
    </w:p>
    <w:p w14:paraId="65706B3E" w14:textId="77777777" w:rsidR="007011EC" w:rsidRPr="00C62657" w:rsidRDefault="007011EC" w:rsidP="00C62657">
      <w:pPr>
        <w:pStyle w:val="ListParagraph"/>
        <w:widowControl w:val="0"/>
        <w:spacing w:after="0" w:line="480" w:lineRule="auto"/>
        <w:jc w:val="both"/>
        <w:rPr>
          <w:rFonts w:ascii="Arial" w:hAnsi="Arial" w:cs="Arial"/>
          <w:sz w:val="24"/>
          <w:szCs w:val="24"/>
          <w:lang w:val="en-US"/>
        </w:rPr>
      </w:pPr>
    </w:p>
    <w:p w14:paraId="117134F4" w14:textId="5F0A151B" w:rsidR="00F33BCD" w:rsidRPr="00C62657" w:rsidRDefault="007011EC"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As regards the robbery that took place on 27 April 2021, the second appellant was identified on CCTV footage as the person breaking a gate to enter the jewel</w:t>
      </w:r>
      <w:r w:rsidR="00F07825" w:rsidRPr="00C62657">
        <w:rPr>
          <w:rFonts w:ascii="Arial" w:hAnsi="Arial" w:cs="Arial"/>
          <w:sz w:val="24"/>
          <w:szCs w:val="24"/>
          <w:lang w:val="en-US"/>
        </w:rPr>
        <w:t>le</w:t>
      </w:r>
      <w:r w:rsidRPr="00C62657">
        <w:rPr>
          <w:rFonts w:ascii="Arial" w:hAnsi="Arial" w:cs="Arial"/>
          <w:sz w:val="24"/>
          <w:szCs w:val="24"/>
          <w:lang w:val="en-US"/>
        </w:rPr>
        <w:t>ry store</w:t>
      </w:r>
      <w:r w:rsidR="00F07825" w:rsidRPr="00C62657">
        <w:rPr>
          <w:rFonts w:ascii="Arial" w:hAnsi="Arial" w:cs="Arial"/>
          <w:sz w:val="24"/>
          <w:szCs w:val="24"/>
          <w:lang w:val="en-US"/>
        </w:rPr>
        <w:t xml:space="preserve">.  </w:t>
      </w:r>
      <w:r w:rsidR="00D80018" w:rsidRPr="00C62657">
        <w:rPr>
          <w:rFonts w:ascii="Arial" w:hAnsi="Arial" w:cs="Arial"/>
          <w:sz w:val="24"/>
          <w:szCs w:val="24"/>
          <w:lang w:val="en-US"/>
        </w:rPr>
        <w:t xml:space="preserve">Goods to the value of R245 000,00 were stolen and a firearm was used in the course of the commission of the offence.  </w:t>
      </w:r>
      <w:r w:rsidR="00F07825" w:rsidRPr="00C62657">
        <w:rPr>
          <w:rFonts w:ascii="Arial" w:hAnsi="Arial" w:cs="Arial"/>
          <w:sz w:val="24"/>
          <w:szCs w:val="24"/>
          <w:lang w:val="en-US"/>
        </w:rPr>
        <w:t>He was arrested during May 2021 and the same clothing seen on the video footage was found at his residence.  The first appellant was arrested a day later and images of some of the stolen items were founding on his cell phone.  The appellants are further linked to the crime through cellphone communications with each other, as well as video footage from the scene.</w:t>
      </w:r>
    </w:p>
    <w:p w14:paraId="4FA9BCD5" w14:textId="77777777" w:rsidR="00327700" w:rsidRPr="00C62657" w:rsidRDefault="00327700" w:rsidP="00C62657">
      <w:pPr>
        <w:pStyle w:val="ListParagraph"/>
        <w:widowControl w:val="0"/>
        <w:spacing w:after="0" w:line="480" w:lineRule="auto"/>
        <w:jc w:val="both"/>
        <w:rPr>
          <w:rFonts w:ascii="Arial" w:hAnsi="Arial" w:cs="Arial"/>
          <w:sz w:val="24"/>
          <w:szCs w:val="24"/>
          <w:lang w:val="en-US"/>
        </w:rPr>
      </w:pPr>
    </w:p>
    <w:p w14:paraId="225C72B8" w14:textId="1686009C" w:rsidR="00327700" w:rsidRPr="00C62657" w:rsidRDefault="00327700"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 offences were premediated and well-planned.</w:t>
      </w:r>
    </w:p>
    <w:p w14:paraId="7EB3C700" w14:textId="77777777" w:rsidR="003E35CB" w:rsidRPr="00C62657" w:rsidRDefault="003E35CB" w:rsidP="00C62657">
      <w:pPr>
        <w:pStyle w:val="ListParagraph"/>
        <w:widowControl w:val="0"/>
        <w:spacing w:after="0" w:line="480" w:lineRule="auto"/>
        <w:jc w:val="both"/>
        <w:rPr>
          <w:rFonts w:ascii="Arial" w:hAnsi="Arial" w:cs="Arial"/>
          <w:sz w:val="24"/>
          <w:szCs w:val="24"/>
          <w:lang w:val="en-US"/>
        </w:rPr>
      </w:pPr>
    </w:p>
    <w:p w14:paraId="2DD5D0B0" w14:textId="194EC90D" w:rsidR="003E35CB" w:rsidRPr="00C62657" w:rsidRDefault="003E35CB"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lastRenderedPageBreak/>
        <w:t>It is therefore not “common cause”, the appellants argue, that they were not found in possession of anything that connected them to the robberies.</w:t>
      </w:r>
    </w:p>
    <w:p w14:paraId="3F093468" w14:textId="77777777" w:rsidR="00F33BCD" w:rsidRPr="00C62657" w:rsidRDefault="00F33BCD" w:rsidP="00C62657">
      <w:pPr>
        <w:pStyle w:val="ListParagraph"/>
        <w:widowControl w:val="0"/>
        <w:spacing w:after="0" w:line="480" w:lineRule="auto"/>
        <w:jc w:val="both"/>
        <w:rPr>
          <w:rFonts w:ascii="Arial" w:hAnsi="Arial" w:cs="Arial"/>
          <w:sz w:val="24"/>
          <w:szCs w:val="24"/>
          <w:lang w:val="en-US"/>
        </w:rPr>
      </w:pPr>
    </w:p>
    <w:p w14:paraId="76BA052F" w14:textId="1AFAD878" w:rsidR="00F33BCD" w:rsidRPr="00C62657" w:rsidRDefault="00820936"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There is, of course, no obligation on an applicant for bail to challenge the strength of the State case – it is not necessary to do so in order to establish exceptional circumstances (</w:t>
      </w:r>
      <w:r w:rsidRPr="00C62657">
        <w:rPr>
          <w:rFonts w:ascii="Arial" w:hAnsi="Arial" w:cs="Arial"/>
          <w:i/>
          <w:iCs/>
          <w:sz w:val="24"/>
          <w:szCs w:val="24"/>
          <w:lang w:val="en-US"/>
        </w:rPr>
        <w:t>Panayiotou v S</w:t>
      </w:r>
      <w:r w:rsidR="00F33BCD" w:rsidRPr="00C62657">
        <w:rPr>
          <w:rFonts w:ascii="Arial" w:hAnsi="Arial" w:cs="Arial"/>
          <w:sz w:val="24"/>
          <w:szCs w:val="24"/>
          <w:lang w:val="en-US"/>
        </w:rPr>
        <w:t xml:space="preserve"> </w:t>
      </w:r>
      <w:r w:rsidR="00F33BCD" w:rsidRPr="00C62657">
        <w:rPr>
          <w:rFonts w:ascii="Arial" w:hAnsi="Arial" w:cs="Arial"/>
          <w:sz w:val="24"/>
          <w:szCs w:val="24"/>
        </w:rPr>
        <w:t>(CA&amp;R 06 /2015) [2015] ZAECGHC 73 (28 July 2015)</w:t>
      </w:r>
      <w:r w:rsidR="00F33BCD" w:rsidRPr="00C62657">
        <w:rPr>
          <w:rFonts w:ascii="Arial" w:hAnsi="Arial" w:cs="Arial"/>
          <w:sz w:val="24"/>
          <w:szCs w:val="24"/>
        </w:rPr>
        <w:t xml:space="preserve"> at para [56]).  But if the applicant does choose to challenge the strength of the State’s case against him in bail proceedings, then he attracts a burden to of proof to show that there is a real likelihood that he will be acquitted at trial.  In </w:t>
      </w:r>
      <w:r w:rsidR="00F33BCD" w:rsidRPr="00C62657">
        <w:rPr>
          <w:rFonts w:ascii="Arial" w:hAnsi="Arial" w:cs="Arial"/>
          <w:i/>
          <w:iCs/>
          <w:sz w:val="24"/>
          <w:szCs w:val="24"/>
        </w:rPr>
        <w:t>Panayiotou</w:t>
      </w:r>
      <w:r w:rsidR="0092704A" w:rsidRPr="00C62657">
        <w:rPr>
          <w:rFonts w:ascii="Arial" w:hAnsi="Arial" w:cs="Arial"/>
          <w:i/>
          <w:iCs/>
          <w:sz w:val="24"/>
          <w:szCs w:val="24"/>
        </w:rPr>
        <w:t xml:space="preserve"> v S</w:t>
      </w:r>
      <w:r w:rsidR="00F33BCD" w:rsidRPr="00C62657">
        <w:rPr>
          <w:rFonts w:ascii="Arial" w:hAnsi="Arial" w:cs="Arial"/>
          <w:sz w:val="24"/>
          <w:szCs w:val="24"/>
        </w:rPr>
        <w:t xml:space="preserve"> (at para [</w:t>
      </w:r>
      <w:r w:rsidR="00D01894" w:rsidRPr="00C62657">
        <w:rPr>
          <w:rFonts w:ascii="Arial" w:hAnsi="Arial" w:cs="Arial"/>
          <w:sz w:val="24"/>
          <w:szCs w:val="24"/>
        </w:rPr>
        <w:t xml:space="preserve">57]), the Court held that, </w:t>
      </w:r>
      <w:r w:rsidR="00D01894" w:rsidRPr="00C62657">
        <w:rPr>
          <w:rFonts w:ascii="Arial" w:hAnsi="Arial" w:cs="Arial"/>
          <w:sz w:val="24"/>
          <w:szCs w:val="24"/>
          <w:shd w:val="clear" w:color="auto" w:fill="FFFFFF"/>
        </w:rPr>
        <w:t xml:space="preserve">in order to enable the court to come to the conclusion that the </w:t>
      </w:r>
      <w:r w:rsidR="00D01894" w:rsidRPr="00C62657">
        <w:rPr>
          <w:rFonts w:ascii="Arial" w:hAnsi="Arial" w:cs="Arial"/>
          <w:sz w:val="24"/>
          <w:szCs w:val="24"/>
          <w:shd w:val="clear" w:color="auto" w:fill="FFFFFF"/>
        </w:rPr>
        <w:t>S</w:t>
      </w:r>
      <w:r w:rsidR="00D01894" w:rsidRPr="00C62657">
        <w:rPr>
          <w:rFonts w:ascii="Arial" w:hAnsi="Arial" w:cs="Arial"/>
          <w:sz w:val="24"/>
          <w:szCs w:val="24"/>
          <w:shd w:val="clear" w:color="auto" w:fill="FFFFFF"/>
        </w:rPr>
        <w:t>tate case was weak or that he was likely to be acquitted, he was required to adduce convincing evidence to establish this</w:t>
      </w:r>
      <w:r w:rsidR="00D01894" w:rsidRPr="00C62657">
        <w:rPr>
          <w:rFonts w:ascii="Arial" w:hAnsi="Arial" w:cs="Arial"/>
          <w:sz w:val="24"/>
          <w:szCs w:val="24"/>
          <w:shd w:val="clear" w:color="auto" w:fill="FFFFFF"/>
        </w:rPr>
        <w:t>.</w:t>
      </w:r>
    </w:p>
    <w:p w14:paraId="5A6E6977" w14:textId="77777777" w:rsidR="00D01894" w:rsidRPr="00C62657" w:rsidRDefault="00D01894" w:rsidP="00C62657">
      <w:pPr>
        <w:pStyle w:val="ListParagraph"/>
        <w:widowControl w:val="0"/>
        <w:spacing w:after="0" w:line="480" w:lineRule="auto"/>
        <w:jc w:val="both"/>
        <w:rPr>
          <w:rFonts w:ascii="Arial" w:hAnsi="Arial" w:cs="Arial"/>
          <w:sz w:val="24"/>
          <w:szCs w:val="24"/>
          <w:lang w:val="en-US"/>
        </w:rPr>
      </w:pPr>
    </w:p>
    <w:p w14:paraId="68FAEE02" w14:textId="70F610E0" w:rsidR="002E133E" w:rsidRPr="00C62657" w:rsidRDefault="00D0189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This neither of the appellants did, despite their contentions that there was a lack of evidence against them.  </w:t>
      </w:r>
      <w:r w:rsidR="00820936" w:rsidRPr="00C62657">
        <w:rPr>
          <w:rFonts w:ascii="Arial" w:hAnsi="Arial" w:cs="Arial"/>
          <w:sz w:val="24"/>
          <w:szCs w:val="24"/>
          <w:lang w:val="en-US"/>
        </w:rPr>
        <w:t xml:space="preserve">In the circumstances, I do not think that that magistrate erred in finding that </w:t>
      </w:r>
      <w:r w:rsidR="003E35CB" w:rsidRPr="00C62657">
        <w:rPr>
          <w:rFonts w:ascii="Arial" w:hAnsi="Arial" w:cs="Arial"/>
          <w:sz w:val="24"/>
          <w:szCs w:val="24"/>
          <w:lang w:val="en-US"/>
        </w:rPr>
        <w:t>t</w:t>
      </w:r>
      <w:r w:rsidR="00820936" w:rsidRPr="00C62657">
        <w:rPr>
          <w:rFonts w:ascii="Arial" w:hAnsi="Arial" w:cs="Arial"/>
          <w:sz w:val="24"/>
          <w:szCs w:val="24"/>
          <w:lang w:val="en-US"/>
        </w:rPr>
        <w:t>he State had a strong</w:t>
      </w:r>
      <w:r w:rsidR="00820936" w:rsidRPr="00C62657">
        <w:rPr>
          <w:rFonts w:ascii="Arial" w:hAnsi="Arial" w:cs="Arial"/>
          <w:i/>
          <w:iCs/>
          <w:sz w:val="24"/>
          <w:szCs w:val="24"/>
          <w:lang w:val="en-US"/>
        </w:rPr>
        <w:t xml:space="preserve"> prima facie</w:t>
      </w:r>
      <w:r w:rsidR="00820936" w:rsidRPr="00C62657">
        <w:rPr>
          <w:rFonts w:ascii="Arial" w:hAnsi="Arial" w:cs="Arial"/>
          <w:sz w:val="24"/>
          <w:szCs w:val="24"/>
          <w:lang w:val="en-US"/>
        </w:rPr>
        <w:t xml:space="preserve"> case against the appellants.</w:t>
      </w:r>
    </w:p>
    <w:p w14:paraId="3E7042BA" w14:textId="77777777" w:rsidR="00743725" w:rsidRPr="00C62657" w:rsidRDefault="00743725" w:rsidP="00C62657">
      <w:pPr>
        <w:pStyle w:val="ListParagraph"/>
        <w:widowControl w:val="0"/>
        <w:spacing w:after="0" w:line="480" w:lineRule="auto"/>
        <w:jc w:val="both"/>
        <w:rPr>
          <w:rFonts w:ascii="Arial" w:hAnsi="Arial" w:cs="Arial"/>
          <w:sz w:val="24"/>
          <w:szCs w:val="24"/>
          <w:lang w:val="en-US"/>
        </w:rPr>
      </w:pPr>
    </w:p>
    <w:p w14:paraId="765E8E38" w14:textId="7D44DEC8" w:rsidR="00D01894" w:rsidRPr="00C62657" w:rsidRDefault="00D0189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Secondly, although both of the appellants made serious allegations of unethical conduct against the investigating officer, including allegations of torture, they did not produce any proof substantiating such allegations.  They did not lay a complaint </w:t>
      </w:r>
      <w:r w:rsidR="00327700" w:rsidRPr="00C62657">
        <w:rPr>
          <w:rFonts w:ascii="Arial" w:hAnsi="Arial" w:cs="Arial"/>
          <w:sz w:val="24"/>
          <w:szCs w:val="24"/>
          <w:lang w:val="en-US"/>
        </w:rPr>
        <w:t xml:space="preserve">or charges of assault </w:t>
      </w:r>
      <w:r w:rsidRPr="00C62657">
        <w:rPr>
          <w:rFonts w:ascii="Arial" w:hAnsi="Arial" w:cs="Arial"/>
          <w:sz w:val="24"/>
          <w:szCs w:val="24"/>
          <w:lang w:val="en-US"/>
        </w:rPr>
        <w:t>against the investigating officer, and did not furnish any medical evidence supporting their claims.</w:t>
      </w:r>
      <w:r w:rsidR="00C70D74" w:rsidRPr="00C62657">
        <w:rPr>
          <w:rFonts w:ascii="Arial" w:hAnsi="Arial" w:cs="Arial"/>
          <w:sz w:val="24"/>
          <w:szCs w:val="24"/>
          <w:lang w:val="en-US"/>
        </w:rPr>
        <w:t xml:space="preserve">  An argument to the effect that there are corrupt police officers who engage in questionable behaviour </w:t>
      </w:r>
      <w:r w:rsidR="00C70D74" w:rsidRPr="00C62657">
        <w:rPr>
          <w:rFonts w:ascii="Arial" w:hAnsi="Arial" w:cs="Arial"/>
          <w:sz w:val="24"/>
          <w:szCs w:val="24"/>
          <w:lang w:val="en-US"/>
        </w:rPr>
        <w:lastRenderedPageBreak/>
        <w:t>does not establish credible evidence of wrongdoing on the part of the investigating officer involvement in the present matter.  It is therefore not correct of the appellants to criticize the State for not presenting “counter evidence to show that these were just malicious allegations”.</w:t>
      </w:r>
    </w:p>
    <w:p w14:paraId="4B7AFD1C" w14:textId="77777777" w:rsidR="00D01894" w:rsidRPr="00C62657" w:rsidRDefault="00D01894" w:rsidP="00C62657">
      <w:pPr>
        <w:pStyle w:val="ListParagraph"/>
        <w:widowControl w:val="0"/>
        <w:spacing w:after="0" w:line="480" w:lineRule="auto"/>
        <w:jc w:val="both"/>
        <w:rPr>
          <w:rFonts w:ascii="Arial" w:hAnsi="Arial" w:cs="Arial"/>
          <w:sz w:val="24"/>
          <w:szCs w:val="24"/>
          <w:lang w:val="en-US"/>
        </w:rPr>
      </w:pPr>
    </w:p>
    <w:p w14:paraId="5BC5B9EF" w14:textId="074EAA7B" w:rsidR="00D01894" w:rsidRPr="00C62657" w:rsidRDefault="00D0189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In the premises, the magistrate did not err in finding that she had no credible evidence before her to </w:t>
      </w:r>
      <w:r w:rsidR="006E7376" w:rsidRPr="00C62657">
        <w:rPr>
          <w:rFonts w:ascii="Arial" w:hAnsi="Arial" w:cs="Arial"/>
          <w:sz w:val="24"/>
          <w:szCs w:val="24"/>
          <w:lang w:val="en-US"/>
        </w:rPr>
        <w:t>su</w:t>
      </w:r>
      <w:r w:rsidRPr="00C62657">
        <w:rPr>
          <w:rFonts w:ascii="Arial" w:hAnsi="Arial" w:cs="Arial"/>
          <w:sz w:val="24"/>
          <w:szCs w:val="24"/>
          <w:lang w:val="en-US"/>
        </w:rPr>
        <w:t xml:space="preserve">bstantiate the </w:t>
      </w:r>
      <w:r w:rsidR="006E7376" w:rsidRPr="00C62657">
        <w:rPr>
          <w:rFonts w:ascii="Arial" w:hAnsi="Arial" w:cs="Arial"/>
          <w:sz w:val="24"/>
          <w:szCs w:val="24"/>
          <w:lang w:val="en-US"/>
        </w:rPr>
        <w:t>claims.  She could not make a finding that the investigating officer was not a credible witness.</w:t>
      </w:r>
    </w:p>
    <w:p w14:paraId="39C2556E" w14:textId="77777777" w:rsidR="0092704A" w:rsidRPr="00C62657" w:rsidRDefault="0092704A" w:rsidP="00C62657">
      <w:pPr>
        <w:pStyle w:val="ListParagraph"/>
        <w:widowControl w:val="0"/>
        <w:spacing w:after="0" w:line="480" w:lineRule="auto"/>
        <w:jc w:val="both"/>
        <w:rPr>
          <w:rFonts w:ascii="Arial" w:hAnsi="Arial" w:cs="Arial"/>
          <w:sz w:val="24"/>
          <w:szCs w:val="24"/>
          <w:lang w:val="en-US"/>
        </w:rPr>
      </w:pPr>
    </w:p>
    <w:p w14:paraId="6FEEDDDD" w14:textId="18481511" w:rsidR="0092704A" w:rsidRPr="00C62657" w:rsidRDefault="0092704A"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Thirdly, given the evidence against the appellants at this stage and the fact that they face lengthy jail sentences, together with the uncertainties as regards their places of residence, the magistrate correctly held that there is a strong likelihood that they will not stand trial.  In </w:t>
      </w:r>
      <w:r w:rsidRPr="00C62657">
        <w:rPr>
          <w:rFonts w:ascii="Arial" w:hAnsi="Arial" w:cs="Arial"/>
          <w:i/>
          <w:iCs/>
          <w:sz w:val="24"/>
          <w:szCs w:val="24"/>
          <w:lang w:val="en-US"/>
        </w:rPr>
        <w:t>Panayiotou v S</w:t>
      </w:r>
      <w:r w:rsidRPr="00C62657">
        <w:rPr>
          <w:rFonts w:ascii="Arial" w:hAnsi="Arial" w:cs="Arial"/>
          <w:sz w:val="24"/>
          <w:szCs w:val="24"/>
          <w:lang w:val="en-US"/>
        </w:rPr>
        <w:t xml:space="preserve"> the Court held as follows at para [57]: </w:t>
      </w:r>
    </w:p>
    <w:p w14:paraId="2482E831" w14:textId="244F2CD7" w:rsidR="00D01894" w:rsidRPr="00C62657" w:rsidRDefault="00D01894" w:rsidP="00C62657">
      <w:pPr>
        <w:pStyle w:val="ListParagraph"/>
        <w:widowControl w:val="0"/>
        <w:spacing w:after="0" w:line="480" w:lineRule="auto"/>
        <w:jc w:val="both"/>
        <w:rPr>
          <w:rFonts w:ascii="Arial" w:hAnsi="Arial" w:cs="Arial"/>
          <w:sz w:val="24"/>
          <w:szCs w:val="24"/>
          <w:lang w:val="en-US"/>
        </w:rPr>
      </w:pPr>
    </w:p>
    <w:p w14:paraId="0C780542" w14:textId="574F4E41" w:rsidR="0092704A" w:rsidRPr="00C62657" w:rsidRDefault="00524939" w:rsidP="00C62657">
      <w:pPr>
        <w:pStyle w:val="ListParagraph"/>
        <w:widowControl w:val="0"/>
        <w:spacing w:after="0" w:line="480" w:lineRule="auto"/>
        <w:jc w:val="both"/>
        <w:rPr>
          <w:rFonts w:ascii="Arial" w:hAnsi="Arial" w:cs="Arial"/>
          <w:sz w:val="24"/>
          <w:szCs w:val="24"/>
          <w:lang w:val="en-US"/>
        </w:rPr>
      </w:pPr>
      <w:r w:rsidRPr="00C62657">
        <w:rPr>
          <w:rFonts w:ascii="Arial" w:hAnsi="Arial" w:cs="Arial"/>
          <w:i/>
          <w:iCs/>
          <w:color w:val="242121"/>
          <w:sz w:val="24"/>
          <w:szCs w:val="24"/>
          <w:shd w:val="clear" w:color="auto" w:fill="FFFFFF"/>
        </w:rPr>
        <w:t xml:space="preserve">“…the magistrate was quite correct to consider as one of the factors in determining whether </w:t>
      </w:r>
      <w:r w:rsidRPr="00C62657">
        <w:rPr>
          <w:rFonts w:ascii="Arial" w:hAnsi="Arial" w:cs="Arial"/>
          <w:i/>
          <w:iCs/>
          <w:color w:val="242121"/>
          <w:sz w:val="24"/>
          <w:szCs w:val="24"/>
          <w:shd w:val="clear" w:color="auto" w:fill="FFFFFF"/>
        </w:rPr>
        <w:t>exceptional circumstances exist, the fact that the prosecution has a reasonably strong case. That factor, of course, is also relevant in the overall assessment of whether the appellant poses a flight risk and whether there is a real likelihood that he will evade his trial. In her judgment the magistrate noted that the likely consequence of a conviction was that the appellant would face potential life imprisonment, given the nature of the offence. This she found would serve as an inducement to evade trial. In so finding the magistrate did not misdirect herself in any manner.</w:t>
      </w:r>
      <w:r w:rsidRPr="00C62657">
        <w:rPr>
          <w:rFonts w:ascii="Arial" w:hAnsi="Arial" w:cs="Arial"/>
          <w:i/>
          <w:iCs/>
          <w:color w:val="242121"/>
          <w:sz w:val="24"/>
          <w:szCs w:val="24"/>
          <w:shd w:val="clear" w:color="auto" w:fill="FFFFFF"/>
        </w:rPr>
        <w:t>”</w:t>
      </w:r>
    </w:p>
    <w:p w14:paraId="349595BE" w14:textId="77777777" w:rsidR="00E3472F" w:rsidRPr="00C62657" w:rsidRDefault="00E3472F" w:rsidP="00C62657">
      <w:pPr>
        <w:pStyle w:val="ListParagraph"/>
        <w:widowControl w:val="0"/>
        <w:spacing w:after="0" w:line="480" w:lineRule="auto"/>
        <w:jc w:val="both"/>
        <w:rPr>
          <w:rFonts w:ascii="Arial" w:hAnsi="Arial" w:cs="Arial"/>
          <w:sz w:val="24"/>
          <w:szCs w:val="24"/>
          <w:lang w:val="en-US"/>
        </w:rPr>
      </w:pPr>
    </w:p>
    <w:p w14:paraId="198E2761" w14:textId="44234477" w:rsidR="003E35CB" w:rsidRPr="00C62657" w:rsidRDefault="003E35CB"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lastRenderedPageBreak/>
        <w:t>Fourthly, the first appellant was identified as one of the robbers by his own brother-in-law.  He knows the witness and may well use the family connection to interfere with the witness</w:t>
      </w:r>
      <w:r w:rsidR="00327700" w:rsidRPr="00C62657">
        <w:rPr>
          <w:rFonts w:ascii="Arial" w:hAnsi="Arial" w:cs="Arial"/>
          <w:sz w:val="24"/>
          <w:szCs w:val="24"/>
          <w:lang w:val="en-US"/>
        </w:rPr>
        <w:t xml:space="preserve">.  </w:t>
      </w:r>
    </w:p>
    <w:p w14:paraId="3659D1EF" w14:textId="77777777" w:rsidR="003E35CB" w:rsidRPr="00C62657" w:rsidRDefault="003E35CB" w:rsidP="00C62657">
      <w:pPr>
        <w:pStyle w:val="ListParagraph"/>
        <w:widowControl w:val="0"/>
        <w:spacing w:after="0" w:line="480" w:lineRule="auto"/>
        <w:jc w:val="both"/>
        <w:rPr>
          <w:rFonts w:ascii="Arial" w:hAnsi="Arial" w:cs="Arial"/>
          <w:sz w:val="24"/>
          <w:szCs w:val="24"/>
          <w:lang w:val="en-US"/>
        </w:rPr>
      </w:pPr>
    </w:p>
    <w:p w14:paraId="5B4D8EC2" w14:textId="017368B4" w:rsidR="003E35CB" w:rsidRPr="00C62657" w:rsidRDefault="003E35CB"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Fifthly, the second appellant has twelve previous convictions, and seemingly a propensity to commit Schedule 1 offences.  In terms of section 60(4)(a) of the CPA it is thus not in the interests of justice to grant him bail.</w:t>
      </w:r>
      <w:r w:rsidR="00AF293A" w:rsidRPr="00C62657">
        <w:rPr>
          <w:rFonts w:ascii="Arial" w:hAnsi="Arial" w:cs="Arial"/>
          <w:sz w:val="24"/>
          <w:szCs w:val="24"/>
          <w:lang w:val="en-US"/>
        </w:rPr>
        <w:t xml:space="preserve">  He also has another pending case of robbery with aggravating circumstances against him, and may thus </w:t>
      </w:r>
      <w:r w:rsidR="00EC32F3" w:rsidRPr="00C62657">
        <w:rPr>
          <w:rFonts w:ascii="Arial" w:hAnsi="Arial" w:cs="Arial"/>
          <w:sz w:val="24"/>
          <w:szCs w:val="24"/>
          <w:lang w:val="en-US"/>
        </w:rPr>
        <w:t>wish to evade his trial.</w:t>
      </w:r>
      <w:r w:rsidR="00327700" w:rsidRPr="00C62657">
        <w:rPr>
          <w:rFonts w:ascii="Arial" w:hAnsi="Arial" w:cs="Arial"/>
          <w:sz w:val="24"/>
          <w:szCs w:val="24"/>
          <w:lang w:val="en-US"/>
        </w:rPr>
        <w:t xml:space="preserve">  </w:t>
      </w:r>
      <w:r w:rsidR="00327700" w:rsidRPr="00C62657">
        <w:rPr>
          <w:rFonts w:ascii="Arial" w:hAnsi="Arial" w:cs="Arial"/>
          <w:sz w:val="24"/>
          <w:szCs w:val="24"/>
          <w:lang w:val="en-US"/>
        </w:rPr>
        <w:t>The magistrate also found that the State furnished evidence of evasion of arrest on the part of both</w:t>
      </w:r>
      <w:r w:rsidR="00327700" w:rsidRPr="00C62657">
        <w:rPr>
          <w:rFonts w:ascii="Arial" w:hAnsi="Arial" w:cs="Arial"/>
          <w:sz w:val="24"/>
          <w:szCs w:val="24"/>
          <w:lang w:val="en-US"/>
        </w:rPr>
        <w:t xml:space="preserve"> appellants, as there were sought by the police since November 2020 and could only be located in May 2021.</w:t>
      </w:r>
    </w:p>
    <w:p w14:paraId="4B000045" w14:textId="77777777" w:rsidR="004C6F31" w:rsidRPr="00C62657" w:rsidRDefault="004C6F31" w:rsidP="00C62657">
      <w:pPr>
        <w:pStyle w:val="ListParagraph"/>
        <w:widowControl w:val="0"/>
        <w:spacing w:after="0" w:line="480" w:lineRule="auto"/>
        <w:jc w:val="both"/>
        <w:rPr>
          <w:rFonts w:ascii="Arial" w:hAnsi="Arial" w:cs="Arial"/>
          <w:sz w:val="24"/>
          <w:szCs w:val="24"/>
          <w:lang w:val="en-US"/>
        </w:rPr>
      </w:pPr>
    </w:p>
    <w:p w14:paraId="4384716B" w14:textId="4B33A2F7" w:rsidR="004C6F31" w:rsidRPr="00C62657" w:rsidRDefault="004C6F31"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The magistrate did not err in finding that the evasion of arrest pointed to a risk of absconding so as to evade the trial.</w:t>
      </w:r>
    </w:p>
    <w:p w14:paraId="01ADD10E" w14:textId="77777777" w:rsidR="003E35CB" w:rsidRPr="00C62657" w:rsidRDefault="003E35CB" w:rsidP="00C62657">
      <w:pPr>
        <w:pStyle w:val="ListParagraph"/>
        <w:widowControl w:val="0"/>
        <w:spacing w:after="0" w:line="480" w:lineRule="auto"/>
        <w:jc w:val="both"/>
        <w:rPr>
          <w:rFonts w:ascii="Arial" w:hAnsi="Arial" w:cs="Arial"/>
          <w:sz w:val="24"/>
          <w:szCs w:val="24"/>
          <w:lang w:val="en-US"/>
        </w:rPr>
      </w:pPr>
    </w:p>
    <w:p w14:paraId="08D258B1" w14:textId="36FB3875" w:rsidR="004228B0" w:rsidRPr="00C62657" w:rsidRDefault="003E35CB"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In the sixth place</w:t>
      </w:r>
      <w:r w:rsidR="00743725" w:rsidRPr="00C62657">
        <w:rPr>
          <w:rFonts w:ascii="Arial" w:hAnsi="Arial" w:cs="Arial"/>
          <w:sz w:val="24"/>
          <w:szCs w:val="24"/>
          <w:lang w:val="en-US"/>
        </w:rPr>
        <w:t xml:space="preserve">, the personal circumstances </w:t>
      </w:r>
      <w:r w:rsidR="00725514" w:rsidRPr="00C62657">
        <w:rPr>
          <w:rFonts w:ascii="Arial" w:hAnsi="Arial" w:cs="Arial"/>
          <w:sz w:val="24"/>
          <w:szCs w:val="24"/>
          <w:lang w:val="en-US"/>
        </w:rPr>
        <w:t>advanced by</w:t>
      </w:r>
      <w:r w:rsidR="00743725" w:rsidRPr="00C62657">
        <w:rPr>
          <w:rFonts w:ascii="Arial" w:hAnsi="Arial" w:cs="Arial"/>
          <w:sz w:val="24"/>
          <w:szCs w:val="24"/>
          <w:lang w:val="en-US"/>
        </w:rPr>
        <w:t xml:space="preserve"> the appellant</w:t>
      </w:r>
      <w:r w:rsidR="00524939" w:rsidRPr="00C62657">
        <w:rPr>
          <w:rFonts w:ascii="Arial" w:hAnsi="Arial" w:cs="Arial"/>
          <w:sz w:val="24"/>
          <w:szCs w:val="24"/>
          <w:lang w:val="en-US"/>
        </w:rPr>
        <w:t>s</w:t>
      </w:r>
      <w:r w:rsidR="00743725" w:rsidRPr="00C62657">
        <w:rPr>
          <w:rFonts w:ascii="Arial" w:hAnsi="Arial" w:cs="Arial"/>
          <w:sz w:val="24"/>
          <w:szCs w:val="24"/>
          <w:lang w:val="en-US"/>
        </w:rPr>
        <w:t xml:space="preserve"> do not constitute exceptional circumstances as contemplated by section 60(11).  In </w:t>
      </w:r>
      <w:r w:rsidR="00743725" w:rsidRPr="00C62657">
        <w:rPr>
          <w:rFonts w:ascii="Arial" w:hAnsi="Arial" w:cs="Arial"/>
          <w:i/>
          <w:iCs/>
          <w:sz w:val="24"/>
          <w:szCs w:val="24"/>
          <w:lang w:val="en-US"/>
        </w:rPr>
        <w:t>S v Botha</w:t>
      </w:r>
      <w:r w:rsidR="00743725" w:rsidRPr="00C62657">
        <w:rPr>
          <w:rFonts w:ascii="Arial" w:hAnsi="Arial" w:cs="Arial"/>
          <w:sz w:val="24"/>
          <w:szCs w:val="24"/>
          <w:lang w:val="en-US"/>
        </w:rPr>
        <w:t xml:space="preserve"> [2002] 2 All SA </w:t>
      </w:r>
      <w:r w:rsidR="00E3472F" w:rsidRPr="00C62657">
        <w:rPr>
          <w:rFonts w:ascii="Arial" w:hAnsi="Arial" w:cs="Arial"/>
          <w:sz w:val="24"/>
          <w:szCs w:val="24"/>
          <w:lang w:val="en-US"/>
        </w:rPr>
        <w:t xml:space="preserve">577 (A) the accused advanced similar circumstances, which the Appellate Division (at para [17]) did not regard as exceptional in the face of a </w:t>
      </w:r>
      <w:r w:rsidR="00E3472F" w:rsidRPr="00C62657">
        <w:rPr>
          <w:rFonts w:ascii="Arial" w:hAnsi="Arial" w:cs="Arial"/>
          <w:i/>
          <w:iCs/>
          <w:sz w:val="24"/>
          <w:szCs w:val="24"/>
          <w:lang w:val="en-US"/>
        </w:rPr>
        <w:t>prima facie</w:t>
      </w:r>
      <w:r w:rsidR="00E3472F" w:rsidRPr="00C62657">
        <w:rPr>
          <w:rFonts w:ascii="Arial" w:hAnsi="Arial" w:cs="Arial"/>
          <w:sz w:val="24"/>
          <w:szCs w:val="24"/>
          <w:lang w:val="en-US"/>
        </w:rPr>
        <w:t xml:space="preserve"> case</w:t>
      </w:r>
      <w:r w:rsidR="004556AD" w:rsidRPr="00C62657">
        <w:rPr>
          <w:rFonts w:ascii="Arial" w:hAnsi="Arial" w:cs="Arial"/>
          <w:sz w:val="24"/>
          <w:szCs w:val="24"/>
          <w:lang w:val="en-US"/>
        </w:rPr>
        <w:t>.</w:t>
      </w:r>
    </w:p>
    <w:p w14:paraId="137EAE36" w14:textId="77777777" w:rsidR="00EC32F3" w:rsidRPr="00C62657" w:rsidRDefault="00EC32F3" w:rsidP="00C62657">
      <w:pPr>
        <w:pStyle w:val="ListParagraph"/>
        <w:widowControl w:val="0"/>
        <w:spacing w:after="0" w:line="480" w:lineRule="auto"/>
        <w:jc w:val="both"/>
        <w:rPr>
          <w:rFonts w:ascii="Arial" w:hAnsi="Arial" w:cs="Arial"/>
          <w:sz w:val="24"/>
          <w:szCs w:val="24"/>
          <w:lang w:val="en-US"/>
        </w:rPr>
      </w:pPr>
    </w:p>
    <w:p w14:paraId="57F18923" w14:textId="77777777" w:rsidR="007A32E4" w:rsidRPr="00C62657" w:rsidRDefault="00524939"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In short, neither of the appellants provided any evidence in support for their contention that it would be “in the interests of justice” that they be released on bail.  They have not placed any evidence on record which can be relied upon </w:t>
      </w:r>
      <w:r w:rsidRPr="00C62657">
        <w:rPr>
          <w:rFonts w:ascii="Arial" w:hAnsi="Arial" w:cs="Arial"/>
          <w:sz w:val="24"/>
          <w:szCs w:val="24"/>
          <w:lang w:val="en-US"/>
        </w:rPr>
        <w:lastRenderedPageBreak/>
        <w:t>to prove the existence of exceptional circumstances.</w:t>
      </w:r>
      <w:r w:rsidRPr="00C62657">
        <w:rPr>
          <w:rFonts w:ascii="Arial" w:hAnsi="Arial" w:cs="Arial"/>
          <w:sz w:val="24"/>
          <w:szCs w:val="24"/>
          <w:lang w:val="en-US"/>
        </w:rPr>
        <w:t xml:space="preserve">  </w:t>
      </w:r>
      <w:r w:rsidR="00E50485" w:rsidRPr="00C62657">
        <w:rPr>
          <w:rFonts w:ascii="Arial" w:hAnsi="Arial" w:cs="Arial"/>
          <w:sz w:val="24"/>
          <w:szCs w:val="24"/>
          <w:lang w:val="en-US"/>
        </w:rPr>
        <w:t>O</w:t>
      </w:r>
      <w:r w:rsidR="004F3BAA" w:rsidRPr="00C62657">
        <w:rPr>
          <w:rFonts w:ascii="Arial" w:hAnsi="Arial" w:cs="Arial"/>
          <w:sz w:val="24"/>
          <w:szCs w:val="24"/>
          <w:lang w:val="en-US"/>
        </w:rPr>
        <w:t xml:space="preserve">n a consideration of the matter as a whole, </w:t>
      </w:r>
      <w:r w:rsidR="00E50485" w:rsidRPr="00C62657">
        <w:rPr>
          <w:rFonts w:ascii="Arial" w:hAnsi="Arial" w:cs="Arial"/>
          <w:sz w:val="24"/>
          <w:szCs w:val="24"/>
          <w:lang w:val="en-US"/>
        </w:rPr>
        <w:t>I am not satisfied that the magistrate’s court misdirected itself materially on the legal principles involved, or on the facts.</w:t>
      </w:r>
      <w:r w:rsidR="004228B0" w:rsidRPr="00C62657">
        <w:rPr>
          <w:rFonts w:ascii="Arial" w:hAnsi="Arial" w:cs="Arial"/>
          <w:sz w:val="24"/>
          <w:szCs w:val="24"/>
          <w:lang w:val="en-US"/>
        </w:rPr>
        <w:t xml:space="preserve">  The evidence on record, viewed as a whole, shows that the appellant</w:t>
      </w:r>
      <w:r w:rsidRPr="00C62657">
        <w:rPr>
          <w:rFonts w:ascii="Arial" w:hAnsi="Arial" w:cs="Arial"/>
          <w:sz w:val="24"/>
          <w:szCs w:val="24"/>
          <w:lang w:val="en-US"/>
        </w:rPr>
        <w:t>s</w:t>
      </w:r>
      <w:r w:rsidR="004228B0" w:rsidRPr="00C62657">
        <w:rPr>
          <w:rFonts w:ascii="Arial" w:hAnsi="Arial" w:cs="Arial"/>
          <w:sz w:val="24"/>
          <w:szCs w:val="24"/>
          <w:lang w:val="en-US"/>
        </w:rPr>
        <w:t xml:space="preserve"> failed</w:t>
      </w:r>
      <w:r w:rsidR="00725514" w:rsidRPr="00C62657">
        <w:rPr>
          <w:rFonts w:ascii="Arial" w:hAnsi="Arial" w:cs="Arial"/>
          <w:sz w:val="24"/>
          <w:szCs w:val="24"/>
          <w:lang w:val="en-US"/>
        </w:rPr>
        <w:t>, at the bail hearing,</w:t>
      </w:r>
      <w:r w:rsidR="004228B0" w:rsidRPr="00C62657">
        <w:rPr>
          <w:rFonts w:ascii="Arial" w:hAnsi="Arial" w:cs="Arial"/>
          <w:sz w:val="24"/>
          <w:szCs w:val="24"/>
          <w:lang w:val="en-US"/>
        </w:rPr>
        <w:t xml:space="preserve"> to discharge the onus </w:t>
      </w:r>
      <w:r w:rsidR="00725514" w:rsidRPr="00C62657">
        <w:rPr>
          <w:rFonts w:ascii="Arial" w:hAnsi="Arial" w:cs="Arial"/>
          <w:sz w:val="24"/>
          <w:szCs w:val="24"/>
          <w:lang w:val="en-US"/>
        </w:rPr>
        <w:t xml:space="preserve">of proving </w:t>
      </w:r>
      <w:r w:rsidR="004228B0" w:rsidRPr="00C62657">
        <w:rPr>
          <w:rFonts w:ascii="Arial" w:hAnsi="Arial" w:cs="Arial"/>
          <w:sz w:val="24"/>
          <w:szCs w:val="24"/>
          <w:lang w:val="en-US"/>
        </w:rPr>
        <w:t xml:space="preserve">that exceptional circumstances exist that justify </w:t>
      </w:r>
      <w:r w:rsidRPr="00C62657">
        <w:rPr>
          <w:rFonts w:ascii="Arial" w:hAnsi="Arial" w:cs="Arial"/>
          <w:sz w:val="24"/>
          <w:szCs w:val="24"/>
          <w:lang w:val="en-US"/>
        </w:rPr>
        <w:t>their</w:t>
      </w:r>
      <w:r w:rsidR="004228B0" w:rsidRPr="00C62657">
        <w:rPr>
          <w:rFonts w:ascii="Arial" w:hAnsi="Arial" w:cs="Arial"/>
          <w:sz w:val="24"/>
          <w:szCs w:val="24"/>
          <w:lang w:val="en-US"/>
        </w:rPr>
        <w:t xml:space="preserve"> release </w:t>
      </w:r>
      <w:r w:rsidRPr="00C62657">
        <w:rPr>
          <w:rFonts w:ascii="Arial" w:hAnsi="Arial" w:cs="Arial"/>
          <w:sz w:val="24"/>
          <w:szCs w:val="24"/>
          <w:lang w:val="en-US"/>
        </w:rPr>
        <w:t>o</w:t>
      </w:r>
      <w:r w:rsidR="004228B0" w:rsidRPr="00C62657">
        <w:rPr>
          <w:rFonts w:ascii="Arial" w:hAnsi="Arial" w:cs="Arial"/>
          <w:sz w:val="24"/>
          <w:szCs w:val="24"/>
          <w:lang w:val="en-US"/>
        </w:rPr>
        <w:t>n bail in the interests of justice.</w:t>
      </w:r>
    </w:p>
    <w:p w14:paraId="6826E92A" w14:textId="77777777" w:rsidR="007A32E4" w:rsidRPr="00C62657" w:rsidRDefault="007A32E4" w:rsidP="00C62657">
      <w:pPr>
        <w:pStyle w:val="ListParagraph"/>
        <w:widowControl w:val="0"/>
        <w:spacing w:after="0" w:line="480" w:lineRule="auto"/>
        <w:jc w:val="both"/>
        <w:rPr>
          <w:rFonts w:ascii="Arial" w:hAnsi="Arial" w:cs="Arial"/>
          <w:sz w:val="24"/>
          <w:szCs w:val="24"/>
          <w:lang w:val="en-US"/>
        </w:rPr>
      </w:pPr>
    </w:p>
    <w:p w14:paraId="34245153" w14:textId="602A3391" w:rsidR="00552EAC" w:rsidRPr="00C62657" w:rsidRDefault="00DC53E0"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Given the nature of bail proceedings</w:t>
      </w:r>
      <w:r w:rsidR="007A32E4" w:rsidRPr="00C62657">
        <w:rPr>
          <w:rFonts w:ascii="Arial" w:hAnsi="Arial" w:cs="Arial"/>
          <w:sz w:val="24"/>
          <w:szCs w:val="24"/>
          <w:lang w:val="en-US"/>
        </w:rPr>
        <w:t xml:space="preserve"> and in light of the circumstances of this matter</w:t>
      </w:r>
      <w:r w:rsidRPr="00C62657">
        <w:rPr>
          <w:rFonts w:ascii="Arial" w:hAnsi="Arial" w:cs="Arial"/>
          <w:sz w:val="24"/>
          <w:szCs w:val="24"/>
          <w:lang w:val="en-US"/>
        </w:rPr>
        <w:t xml:space="preserve">, especially where Schedule 6 offences are concerned, this finding does not detract from what was said in </w:t>
      </w:r>
      <w:r w:rsidRPr="00C62657">
        <w:rPr>
          <w:rFonts w:ascii="Arial" w:hAnsi="Arial" w:cs="Arial"/>
          <w:i/>
          <w:iCs/>
          <w:sz w:val="24"/>
          <w:szCs w:val="24"/>
          <w:lang w:val="en-US"/>
        </w:rPr>
        <w:t xml:space="preserve">DJVV </w:t>
      </w:r>
      <w:r w:rsidR="0090316C" w:rsidRPr="00C62657">
        <w:rPr>
          <w:rFonts w:ascii="Arial" w:hAnsi="Arial" w:cs="Arial"/>
          <w:i/>
          <w:iCs/>
          <w:sz w:val="24"/>
          <w:szCs w:val="24"/>
          <w:lang w:val="en-US"/>
        </w:rPr>
        <w:t>v The State</w:t>
      </w:r>
      <w:r w:rsidR="0090316C" w:rsidRPr="00C62657">
        <w:rPr>
          <w:rFonts w:ascii="Arial" w:hAnsi="Arial" w:cs="Arial"/>
          <w:sz w:val="24"/>
          <w:szCs w:val="24"/>
          <w:lang w:val="en-US"/>
        </w:rPr>
        <w:t xml:space="preserve"> (A721/2010, North Gauteng High Court, Pretoria, unreported)</w:t>
      </w:r>
      <w:r w:rsidRPr="00C62657">
        <w:rPr>
          <w:rFonts w:ascii="Arial" w:hAnsi="Arial" w:cs="Arial"/>
          <w:sz w:val="24"/>
          <w:szCs w:val="24"/>
          <w:lang w:val="en-US"/>
        </w:rPr>
        <w:t xml:space="preserve">, upon which the appellants rely: </w:t>
      </w:r>
      <w:r w:rsidR="0090316C" w:rsidRPr="00C62657">
        <w:rPr>
          <w:rFonts w:ascii="Arial" w:hAnsi="Arial" w:cs="Arial"/>
          <w:sz w:val="24"/>
          <w:szCs w:val="24"/>
          <w:lang w:val="en-US"/>
        </w:rPr>
        <w:t>“</w:t>
      </w:r>
      <w:r w:rsidR="0090316C" w:rsidRPr="00C62657">
        <w:rPr>
          <w:rFonts w:ascii="Arial" w:hAnsi="Arial" w:cs="Arial"/>
          <w:i/>
          <w:iCs/>
          <w:sz w:val="24"/>
          <w:szCs w:val="24"/>
          <w:lang w:val="en-US"/>
        </w:rPr>
        <w:t>To incarcerate an innocent person for an offence which he did not commit could also be viewed as exceptional.  It could not have been the intention of the legislature in section 60(4)(a) of the Act to legitimize at random the incarceration of persons who are suspected of having committed Schedule 6 offices, who, after all, must be regarded as innocent until proven guilty in a court of law</w:t>
      </w:r>
      <w:r w:rsidR="0090316C" w:rsidRPr="00C62657">
        <w:rPr>
          <w:rFonts w:ascii="Arial" w:hAnsi="Arial" w:cs="Arial"/>
          <w:sz w:val="24"/>
          <w:szCs w:val="24"/>
          <w:lang w:val="en-US"/>
        </w:rPr>
        <w:t>.”</w:t>
      </w:r>
    </w:p>
    <w:p w14:paraId="2712729E" w14:textId="77777777" w:rsidR="007A32E4" w:rsidRPr="00C62657" w:rsidRDefault="007A32E4" w:rsidP="00C62657">
      <w:pPr>
        <w:pStyle w:val="ListParagraph"/>
        <w:widowControl w:val="0"/>
        <w:spacing w:after="0" w:line="480" w:lineRule="auto"/>
        <w:jc w:val="both"/>
        <w:rPr>
          <w:rFonts w:ascii="Arial" w:hAnsi="Arial" w:cs="Arial"/>
          <w:sz w:val="24"/>
          <w:szCs w:val="24"/>
          <w:lang w:val="en-US"/>
        </w:rPr>
      </w:pPr>
    </w:p>
    <w:p w14:paraId="1CE8B91E" w14:textId="7A5049B8" w:rsidR="007A32E4" w:rsidRPr="00C62657" w:rsidRDefault="007A32E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The magistrate was very much aware of this, expressly stating </w:t>
      </w:r>
      <w:r w:rsidR="00CE6FBE" w:rsidRPr="00C62657">
        <w:rPr>
          <w:rFonts w:ascii="Arial" w:hAnsi="Arial" w:cs="Arial"/>
          <w:sz w:val="24"/>
          <w:szCs w:val="24"/>
          <w:lang w:val="en-US"/>
        </w:rPr>
        <w:t xml:space="preserve">in the course of a discussion as regards the nature and requirements of bail proceedings </w:t>
      </w:r>
      <w:r w:rsidRPr="00C62657">
        <w:rPr>
          <w:rFonts w:ascii="Arial" w:hAnsi="Arial" w:cs="Arial"/>
          <w:sz w:val="24"/>
          <w:szCs w:val="24"/>
          <w:lang w:val="en-US"/>
        </w:rPr>
        <w:t>that the “</w:t>
      </w:r>
      <w:r w:rsidRPr="00C62657">
        <w:rPr>
          <w:rFonts w:ascii="Arial" w:hAnsi="Arial" w:cs="Arial"/>
          <w:i/>
          <w:iCs/>
          <w:sz w:val="24"/>
          <w:szCs w:val="24"/>
          <w:lang w:val="en-US"/>
        </w:rPr>
        <w:t>court must be very mindful that to arrest somebody, to detain a person to attend trial, is very serious and that [indistinct] of the person’s right to freedom</w:t>
      </w:r>
      <w:r w:rsidRPr="00C62657">
        <w:rPr>
          <w:rFonts w:ascii="Arial" w:hAnsi="Arial" w:cs="Arial"/>
          <w:sz w:val="24"/>
          <w:szCs w:val="24"/>
          <w:lang w:val="en-US"/>
        </w:rPr>
        <w:t>”.</w:t>
      </w:r>
    </w:p>
    <w:p w14:paraId="12A4228C" w14:textId="77777777" w:rsidR="004228B0" w:rsidRPr="00C62657" w:rsidRDefault="004228B0" w:rsidP="00C62657">
      <w:pPr>
        <w:pStyle w:val="ListParagraph"/>
        <w:widowControl w:val="0"/>
        <w:spacing w:after="0" w:line="480" w:lineRule="auto"/>
        <w:jc w:val="both"/>
        <w:rPr>
          <w:rFonts w:ascii="Arial" w:hAnsi="Arial" w:cs="Arial"/>
          <w:sz w:val="24"/>
          <w:szCs w:val="24"/>
          <w:lang w:val="en-US"/>
        </w:rPr>
      </w:pPr>
    </w:p>
    <w:p w14:paraId="30AF0A03" w14:textId="1B216E94" w:rsidR="00CB476A" w:rsidRPr="00C62657" w:rsidRDefault="00CB476A" w:rsidP="00C62657">
      <w:pPr>
        <w:widowControl w:val="0"/>
        <w:spacing w:after="0" w:line="480" w:lineRule="auto"/>
        <w:jc w:val="both"/>
        <w:rPr>
          <w:rFonts w:ascii="Arial" w:hAnsi="Arial" w:cs="Arial"/>
          <w:b/>
          <w:bCs/>
          <w:sz w:val="24"/>
          <w:szCs w:val="24"/>
          <w:u w:val="single"/>
          <w:lang w:val="en-US"/>
        </w:rPr>
      </w:pPr>
      <w:r w:rsidRPr="00C62657">
        <w:rPr>
          <w:rFonts w:ascii="Arial" w:hAnsi="Arial" w:cs="Arial"/>
          <w:b/>
          <w:bCs/>
          <w:sz w:val="24"/>
          <w:szCs w:val="24"/>
          <w:u w:val="single"/>
          <w:lang w:val="en-US"/>
        </w:rPr>
        <w:t>Order</w:t>
      </w:r>
    </w:p>
    <w:p w14:paraId="51B396EB" w14:textId="77777777" w:rsidR="00CB476A" w:rsidRPr="00C62657" w:rsidRDefault="00CB476A" w:rsidP="00C62657">
      <w:pPr>
        <w:widowControl w:val="0"/>
        <w:spacing w:after="0" w:line="480" w:lineRule="auto"/>
        <w:jc w:val="both"/>
        <w:rPr>
          <w:rFonts w:ascii="Arial" w:hAnsi="Arial" w:cs="Arial"/>
          <w:sz w:val="24"/>
          <w:szCs w:val="24"/>
          <w:lang w:val="en-US"/>
        </w:rPr>
      </w:pPr>
    </w:p>
    <w:p w14:paraId="7773ECC5" w14:textId="77777777" w:rsidR="00E50485" w:rsidRPr="00C62657" w:rsidRDefault="000629E4" w:rsidP="00C62657">
      <w:pPr>
        <w:pStyle w:val="ListParagraph"/>
        <w:widowControl w:val="0"/>
        <w:numPr>
          <w:ilvl w:val="0"/>
          <w:numId w:val="4"/>
        </w:numPr>
        <w:spacing w:after="0" w:line="480" w:lineRule="auto"/>
        <w:ind w:hanging="720"/>
        <w:jc w:val="both"/>
        <w:rPr>
          <w:rFonts w:ascii="Arial" w:hAnsi="Arial" w:cs="Arial"/>
          <w:sz w:val="24"/>
          <w:szCs w:val="24"/>
          <w:lang w:val="en-US"/>
        </w:rPr>
      </w:pPr>
      <w:r w:rsidRPr="00C62657">
        <w:rPr>
          <w:rFonts w:ascii="Arial" w:hAnsi="Arial" w:cs="Arial"/>
          <w:sz w:val="24"/>
          <w:szCs w:val="24"/>
          <w:lang w:val="en-US"/>
        </w:rPr>
        <w:t xml:space="preserve">In the circumstances, </w:t>
      </w:r>
      <w:r w:rsidR="00E50485" w:rsidRPr="00C62657">
        <w:rPr>
          <w:rFonts w:ascii="Arial" w:hAnsi="Arial" w:cs="Arial"/>
          <w:sz w:val="24"/>
          <w:szCs w:val="24"/>
          <w:lang w:val="en-US"/>
        </w:rPr>
        <w:t>it is ordered as follows:</w:t>
      </w:r>
    </w:p>
    <w:p w14:paraId="5771F5D4" w14:textId="77777777" w:rsidR="00AF293A" w:rsidRPr="00C62657" w:rsidRDefault="00AF293A" w:rsidP="00C62657">
      <w:pPr>
        <w:pStyle w:val="ListParagraph"/>
        <w:widowControl w:val="0"/>
        <w:spacing w:after="0" w:line="480" w:lineRule="auto"/>
        <w:jc w:val="both"/>
        <w:rPr>
          <w:rFonts w:ascii="Arial" w:hAnsi="Arial" w:cs="Arial"/>
          <w:b/>
          <w:bCs/>
          <w:sz w:val="24"/>
          <w:szCs w:val="24"/>
          <w:u w:val="single"/>
          <w:lang w:val="en-US"/>
        </w:rPr>
      </w:pPr>
    </w:p>
    <w:p w14:paraId="65DEAC38" w14:textId="38D17B3F" w:rsidR="004F3CB3" w:rsidRPr="00C62657" w:rsidRDefault="00AF293A" w:rsidP="00C62657">
      <w:pPr>
        <w:pStyle w:val="ListParagraph"/>
        <w:widowControl w:val="0"/>
        <w:spacing w:after="0" w:line="480" w:lineRule="auto"/>
        <w:jc w:val="both"/>
        <w:rPr>
          <w:rFonts w:ascii="Arial" w:hAnsi="Arial" w:cs="Arial"/>
          <w:sz w:val="24"/>
          <w:szCs w:val="24"/>
          <w:u w:val="single"/>
          <w:lang w:val="en-US"/>
        </w:rPr>
      </w:pPr>
      <w:r w:rsidRPr="00C62657">
        <w:rPr>
          <w:rFonts w:ascii="Arial" w:hAnsi="Arial" w:cs="Arial"/>
          <w:b/>
          <w:bCs/>
          <w:sz w:val="24"/>
          <w:szCs w:val="24"/>
          <w:u w:val="single"/>
          <w:lang w:val="en-US"/>
        </w:rPr>
        <w:t>In respect of the first appellant, t</w:t>
      </w:r>
      <w:r w:rsidR="00E806D0" w:rsidRPr="00C62657">
        <w:rPr>
          <w:rFonts w:ascii="Arial" w:hAnsi="Arial" w:cs="Arial"/>
          <w:b/>
          <w:bCs/>
          <w:sz w:val="24"/>
          <w:szCs w:val="24"/>
          <w:u w:val="single"/>
          <w:lang w:val="en-US"/>
        </w:rPr>
        <w:t xml:space="preserve">he appeal is </w:t>
      </w:r>
      <w:r w:rsidR="00E50485" w:rsidRPr="00C62657">
        <w:rPr>
          <w:rFonts w:ascii="Arial" w:hAnsi="Arial" w:cs="Arial"/>
          <w:b/>
          <w:bCs/>
          <w:sz w:val="24"/>
          <w:szCs w:val="24"/>
          <w:u w:val="single"/>
          <w:lang w:val="en-US"/>
        </w:rPr>
        <w:t>dismissed</w:t>
      </w:r>
      <w:r w:rsidR="00E50485" w:rsidRPr="00C62657">
        <w:rPr>
          <w:rFonts w:ascii="Arial" w:hAnsi="Arial" w:cs="Arial"/>
          <w:sz w:val="24"/>
          <w:szCs w:val="24"/>
          <w:u w:val="single"/>
          <w:lang w:val="en-US"/>
        </w:rPr>
        <w:t>.</w:t>
      </w:r>
    </w:p>
    <w:p w14:paraId="60F95E1A" w14:textId="2543E5BE" w:rsidR="00AF293A" w:rsidRPr="00C62657" w:rsidRDefault="00AF293A" w:rsidP="00C62657">
      <w:pPr>
        <w:pStyle w:val="ListParagraph"/>
        <w:widowControl w:val="0"/>
        <w:spacing w:after="0" w:line="480" w:lineRule="auto"/>
        <w:jc w:val="both"/>
        <w:rPr>
          <w:rFonts w:ascii="Arial" w:hAnsi="Arial" w:cs="Arial"/>
          <w:sz w:val="24"/>
          <w:szCs w:val="24"/>
          <w:u w:val="single"/>
          <w:lang w:val="en-US"/>
        </w:rPr>
      </w:pPr>
      <w:r w:rsidRPr="00C62657">
        <w:rPr>
          <w:rFonts w:ascii="Arial" w:hAnsi="Arial" w:cs="Arial"/>
          <w:b/>
          <w:bCs/>
          <w:sz w:val="24"/>
          <w:szCs w:val="24"/>
          <w:u w:val="single"/>
          <w:lang w:val="en-US"/>
        </w:rPr>
        <w:t>In respect of the second appellant, the appeal is dismissed</w:t>
      </w:r>
      <w:r w:rsidRPr="00C62657">
        <w:rPr>
          <w:rFonts w:ascii="Arial" w:hAnsi="Arial" w:cs="Arial"/>
          <w:sz w:val="24"/>
          <w:szCs w:val="24"/>
          <w:u w:val="single"/>
          <w:lang w:val="en-US"/>
        </w:rPr>
        <w:t>.</w:t>
      </w:r>
    </w:p>
    <w:p w14:paraId="4CA8118B" w14:textId="2278A38B" w:rsidR="004F3CB3" w:rsidRDefault="004F3CB3" w:rsidP="006319C0">
      <w:pPr>
        <w:widowControl w:val="0"/>
        <w:spacing w:after="0" w:line="480" w:lineRule="auto"/>
        <w:jc w:val="right"/>
        <w:rPr>
          <w:rFonts w:ascii="Arial" w:hAnsi="Arial" w:cs="Arial"/>
          <w:sz w:val="24"/>
          <w:szCs w:val="24"/>
          <w:lang w:val="en-US"/>
        </w:rPr>
      </w:pPr>
    </w:p>
    <w:p w14:paraId="0926DA70" w14:textId="77777777" w:rsidR="00C62657" w:rsidRPr="004F3CB3" w:rsidRDefault="00C62657" w:rsidP="006319C0">
      <w:pPr>
        <w:widowControl w:val="0"/>
        <w:spacing w:after="0" w:line="480" w:lineRule="auto"/>
        <w:jc w:val="right"/>
        <w:rPr>
          <w:rFonts w:ascii="Arial" w:hAnsi="Arial" w:cs="Arial"/>
          <w:sz w:val="24"/>
          <w:szCs w:val="24"/>
          <w:lang w:val="en-US"/>
        </w:rPr>
      </w:pPr>
    </w:p>
    <w:p w14:paraId="6CA10472" w14:textId="5667C433" w:rsidR="00E07CF6" w:rsidRPr="004F3CB3" w:rsidRDefault="00E07CF6" w:rsidP="006319C0">
      <w:pPr>
        <w:widowControl w:val="0"/>
        <w:spacing w:after="0" w:line="480" w:lineRule="auto"/>
        <w:jc w:val="right"/>
        <w:rPr>
          <w:rFonts w:ascii="Arial" w:hAnsi="Arial" w:cs="Arial"/>
          <w:sz w:val="24"/>
          <w:szCs w:val="24"/>
          <w:lang w:val="en-US"/>
        </w:rPr>
      </w:pPr>
      <w:r w:rsidRPr="004F3CB3">
        <w:rPr>
          <w:rFonts w:ascii="Arial" w:hAnsi="Arial" w:cs="Arial"/>
          <w:sz w:val="24"/>
          <w:szCs w:val="24"/>
          <w:lang w:val="en-US"/>
        </w:rPr>
        <w:t>______________</w:t>
      </w:r>
    </w:p>
    <w:p w14:paraId="35F1DD6C" w14:textId="756A1999" w:rsidR="00460F28" w:rsidRDefault="00E50485" w:rsidP="006319C0">
      <w:pPr>
        <w:widowControl w:val="0"/>
        <w:spacing w:after="0" w:line="480" w:lineRule="auto"/>
        <w:jc w:val="right"/>
        <w:rPr>
          <w:rFonts w:ascii="Arial" w:hAnsi="Arial" w:cs="Arial"/>
          <w:b/>
          <w:bCs/>
          <w:sz w:val="24"/>
          <w:szCs w:val="24"/>
          <w:lang w:val="en-US"/>
        </w:rPr>
      </w:pPr>
      <w:r>
        <w:rPr>
          <w:rFonts w:ascii="Arial" w:hAnsi="Arial" w:cs="Arial"/>
          <w:b/>
          <w:bCs/>
          <w:sz w:val="24"/>
          <w:szCs w:val="24"/>
          <w:lang w:val="en-US"/>
        </w:rPr>
        <w:t xml:space="preserve">P. S. </w:t>
      </w:r>
      <w:r w:rsidR="00F46149" w:rsidRPr="004F3CB3">
        <w:rPr>
          <w:rFonts w:ascii="Arial" w:hAnsi="Arial" w:cs="Arial"/>
          <w:b/>
          <w:bCs/>
          <w:sz w:val="24"/>
          <w:szCs w:val="24"/>
          <w:lang w:val="en-US"/>
        </w:rPr>
        <w:t>VAN ZYL</w:t>
      </w:r>
    </w:p>
    <w:p w14:paraId="0264F1A1" w14:textId="35DFC100" w:rsidR="00AF293A" w:rsidRPr="004F3CB3" w:rsidRDefault="00AF293A" w:rsidP="006319C0">
      <w:pPr>
        <w:widowControl w:val="0"/>
        <w:spacing w:after="0" w:line="480" w:lineRule="auto"/>
        <w:jc w:val="right"/>
        <w:rPr>
          <w:rFonts w:ascii="Arial" w:hAnsi="Arial" w:cs="Arial"/>
          <w:b/>
          <w:bCs/>
          <w:sz w:val="24"/>
          <w:szCs w:val="24"/>
          <w:lang w:val="en-US"/>
        </w:rPr>
      </w:pPr>
      <w:r>
        <w:rPr>
          <w:rFonts w:ascii="Arial" w:hAnsi="Arial" w:cs="Arial"/>
          <w:b/>
          <w:bCs/>
          <w:sz w:val="24"/>
          <w:szCs w:val="24"/>
          <w:lang w:val="en-US"/>
        </w:rPr>
        <w:t>Acting judge of the High Court</w:t>
      </w:r>
    </w:p>
    <w:p w14:paraId="42C36ACD" w14:textId="77777777" w:rsidR="00F051E6" w:rsidRPr="004F3CB3" w:rsidRDefault="00F051E6" w:rsidP="006319C0">
      <w:pPr>
        <w:widowControl w:val="0"/>
        <w:spacing w:after="0" w:line="480" w:lineRule="auto"/>
        <w:rPr>
          <w:rFonts w:ascii="Arial" w:hAnsi="Arial" w:cs="Arial"/>
          <w:b/>
          <w:bCs/>
          <w:sz w:val="24"/>
          <w:szCs w:val="24"/>
          <w:lang w:val="en-US"/>
        </w:rPr>
      </w:pPr>
    </w:p>
    <w:p w14:paraId="188BF4FC" w14:textId="01EF3841" w:rsidR="00F051E6" w:rsidRPr="004F3CB3" w:rsidRDefault="00AF293A" w:rsidP="006319C0">
      <w:pPr>
        <w:widowControl w:val="0"/>
        <w:spacing w:after="0" w:line="480" w:lineRule="auto"/>
        <w:rPr>
          <w:rFonts w:ascii="Arial" w:hAnsi="Arial" w:cs="Arial"/>
          <w:sz w:val="24"/>
          <w:szCs w:val="24"/>
          <w:lang w:val="en-US"/>
        </w:rPr>
      </w:pPr>
      <w:r>
        <w:rPr>
          <w:rFonts w:ascii="Arial" w:hAnsi="Arial" w:cs="Arial"/>
          <w:b/>
          <w:bCs/>
          <w:sz w:val="24"/>
          <w:szCs w:val="24"/>
          <w:lang w:val="en-US"/>
        </w:rPr>
        <w:t>D. Zantsi</w:t>
      </w:r>
      <w:r w:rsidR="00F051E6" w:rsidRPr="004F3CB3">
        <w:rPr>
          <w:rFonts w:ascii="Arial" w:hAnsi="Arial" w:cs="Arial"/>
          <w:sz w:val="24"/>
          <w:szCs w:val="24"/>
          <w:lang w:val="en-US"/>
        </w:rPr>
        <w:t xml:space="preserve"> for the appellant</w:t>
      </w:r>
      <w:r>
        <w:rPr>
          <w:rFonts w:ascii="Arial" w:hAnsi="Arial" w:cs="Arial"/>
          <w:sz w:val="24"/>
          <w:szCs w:val="24"/>
          <w:lang w:val="en-US"/>
        </w:rPr>
        <w:t>s</w:t>
      </w:r>
      <w:r w:rsidR="00F051E6" w:rsidRPr="004F3CB3">
        <w:rPr>
          <w:rFonts w:ascii="Arial" w:hAnsi="Arial" w:cs="Arial"/>
          <w:sz w:val="24"/>
          <w:szCs w:val="24"/>
          <w:lang w:val="en-US"/>
        </w:rPr>
        <w:t xml:space="preserve"> (</w:t>
      </w:r>
      <w:r w:rsidR="00E50485">
        <w:rPr>
          <w:rFonts w:ascii="Arial" w:hAnsi="Arial" w:cs="Arial"/>
          <w:sz w:val="24"/>
          <w:szCs w:val="24"/>
          <w:lang w:val="en-US"/>
        </w:rPr>
        <w:t>instruct</w:t>
      </w:r>
      <w:r w:rsidR="009F120B">
        <w:rPr>
          <w:rFonts w:ascii="Arial" w:hAnsi="Arial" w:cs="Arial"/>
          <w:sz w:val="24"/>
          <w:szCs w:val="24"/>
          <w:lang w:val="en-US"/>
        </w:rPr>
        <w:t>ing attorney unknown</w:t>
      </w:r>
      <w:r w:rsidR="00F051E6" w:rsidRPr="004F3CB3">
        <w:rPr>
          <w:rFonts w:ascii="Arial" w:hAnsi="Arial" w:cs="Arial"/>
          <w:sz w:val="24"/>
          <w:szCs w:val="24"/>
          <w:lang w:val="en-US"/>
        </w:rPr>
        <w:t>)</w:t>
      </w:r>
    </w:p>
    <w:p w14:paraId="4C2E98AF" w14:textId="38D7D879" w:rsidR="00F051E6" w:rsidRPr="004F3CB3" w:rsidRDefault="00AF293A" w:rsidP="006319C0">
      <w:pPr>
        <w:widowControl w:val="0"/>
        <w:spacing w:after="0" w:line="480" w:lineRule="auto"/>
        <w:rPr>
          <w:rFonts w:ascii="Arial" w:hAnsi="Arial" w:cs="Arial"/>
          <w:sz w:val="24"/>
          <w:szCs w:val="24"/>
          <w:lang w:val="en-US"/>
        </w:rPr>
      </w:pPr>
      <w:r>
        <w:rPr>
          <w:rFonts w:ascii="Arial" w:hAnsi="Arial" w:cs="Arial"/>
          <w:b/>
          <w:bCs/>
          <w:sz w:val="24"/>
          <w:szCs w:val="24"/>
          <w:lang w:val="en-US"/>
        </w:rPr>
        <w:t>K. Uys</w:t>
      </w:r>
      <w:r w:rsidR="00F051E6" w:rsidRPr="004F3CB3">
        <w:rPr>
          <w:rFonts w:ascii="Arial" w:hAnsi="Arial" w:cs="Arial"/>
          <w:sz w:val="24"/>
          <w:szCs w:val="24"/>
          <w:lang w:val="en-US"/>
        </w:rPr>
        <w:t xml:space="preserve"> for the respondent (Director of Public Prosecutions, Western Cape)</w:t>
      </w:r>
    </w:p>
    <w:sectPr w:rsidR="00F051E6" w:rsidRPr="004F3C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F8EE" w14:textId="77777777" w:rsidR="00CE122B" w:rsidRDefault="00CE122B" w:rsidP="00A248BA">
      <w:pPr>
        <w:spacing w:after="0" w:line="240" w:lineRule="auto"/>
      </w:pPr>
      <w:r>
        <w:separator/>
      </w:r>
    </w:p>
  </w:endnote>
  <w:endnote w:type="continuationSeparator" w:id="0">
    <w:p w14:paraId="378963F4" w14:textId="77777777" w:rsidR="00CE122B" w:rsidRDefault="00CE122B"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1597" w14:textId="77777777" w:rsidR="00CE122B" w:rsidRDefault="00CE122B" w:rsidP="00A248BA">
      <w:pPr>
        <w:spacing w:after="0" w:line="240" w:lineRule="auto"/>
      </w:pPr>
      <w:r>
        <w:separator/>
      </w:r>
    </w:p>
  </w:footnote>
  <w:footnote w:type="continuationSeparator" w:id="0">
    <w:p w14:paraId="60C725DA" w14:textId="77777777" w:rsidR="00CE122B" w:rsidRDefault="00CE122B" w:rsidP="00A2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5589"/>
      <w:docPartObj>
        <w:docPartGallery w:val="Page Numbers (Top of Page)"/>
        <w:docPartUnique/>
      </w:docPartObj>
    </w:sdtPr>
    <w:sdtEndPr>
      <w:rPr>
        <w:rFonts w:ascii="Arial" w:hAnsi="Arial" w:cs="Arial"/>
        <w:noProof/>
      </w:rPr>
    </w:sdtEndPr>
    <w:sdtContent>
      <w:p w14:paraId="70DDCF21" w14:textId="6A2C69CE" w:rsidR="0007337A" w:rsidRPr="0007337A" w:rsidRDefault="0007337A">
        <w:pPr>
          <w:pStyle w:val="Header"/>
          <w:jc w:val="right"/>
          <w:rPr>
            <w:rFonts w:ascii="Arial" w:hAnsi="Arial" w:cs="Arial"/>
          </w:rPr>
        </w:pPr>
        <w:r w:rsidRPr="0007337A">
          <w:rPr>
            <w:rFonts w:ascii="Arial" w:hAnsi="Arial" w:cs="Arial"/>
          </w:rPr>
          <w:fldChar w:fldCharType="begin"/>
        </w:r>
        <w:r w:rsidRPr="0007337A">
          <w:rPr>
            <w:rFonts w:ascii="Arial" w:hAnsi="Arial" w:cs="Arial"/>
          </w:rPr>
          <w:instrText xml:space="preserve"> PAGE   \* MERGEFORMAT </w:instrText>
        </w:r>
        <w:r w:rsidRPr="0007337A">
          <w:rPr>
            <w:rFonts w:ascii="Arial" w:hAnsi="Arial" w:cs="Arial"/>
          </w:rPr>
          <w:fldChar w:fldCharType="separate"/>
        </w:r>
        <w:r w:rsidRPr="0007337A">
          <w:rPr>
            <w:rFonts w:ascii="Arial" w:hAnsi="Arial" w:cs="Arial"/>
            <w:noProof/>
          </w:rPr>
          <w:t>2</w:t>
        </w:r>
        <w:r w:rsidRPr="0007337A">
          <w:rPr>
            <w:rFonts w:ascii="Arial" w:hAnsi="Arial" w:cs="Arial"/>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F80"/>
    <w:multiLevelType w:val="hybridMultilevel"/>
    <w:tmpl w:val="0A222C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C3C80"/>
    <w:multiLevelType w:val="multilevel"/>
    <w:tmpl w:val="6F9E766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441C40"/>
    <w:multiLevelType w:val="multilevel"/>
    <w:tmpl w:val="D24E79C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938FE"/>
    <w:multiLevelType w:val="hybridMultilevel"/>
    <w:tmpl w:val="324846A2"/>
    <w:lvl w:ilvl="0" w:tplc="DD84C2F8">
      <w:start w:val="1"/>
      <w:numFmt w:val="lowerLetter"/>
      <w:lvlText w:val="(%1)"/>
      <w:lvlJc w:val="left"/>
      <w:pPr>
        <w:ind w:left="1078" w:hanging="360"/>
      </w:pPr>
      <w:rPr>
        <w:rFonts w:hint="default"/>
        <w:i/>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5" w15:restartNumberingAfterBreak="0">
    <w:nsid w:val="5EC45EA9"/>
    <w:multiLevelType w:val="hybridMultilevel"/>
    <w:tmpl w:val="296C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604265081">
    <w:abstractNumId w:val="1"/>
  </w:num>
  <w:num w:numId="2" w16cid:durableId="603415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012329">
    <w:abstractNumId w:val="2"/>
  </w:num>
  <w:num w:numId="4" w16cid:durableId="533230289">
    <w:abstractNumId w:val="0"/>
  </w:num>
  <w:num w:numId="5" w16cid:durableId="396510436">
    <w:abstractNumId w:val="3"/>
  </w:num>
  <w:num w:numId="6" w16cid:durableId="1148206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64"/>
    <w:rsid w:val="000009C3"/>
    <w:rsid w:val="00056950"/>
    <w:rsid w:val="000629E4"/>
    <w:rsid w:val="0007337A"/>
    <w:rsid w:val="00075C9C"/>
    <w:rsid w:val="00112244"/>
    <w:rsid w:val="00113D18"/>
    <w:rsid w:val="001529BC"/>
    <w:rsid w:val="00154E4A"/>
    <w:rsid w:val="0017611A"/>
    <w:rsid w:val="00197081"/>
    <w:rsid w:val="001C09BC"/>
    <w:rsid w:val="001E7C43"/>
    <w:rsid w:val="001F63A3"/>
    <w:rsid w:val="0023426B"/>
    <w:rsid w:val="00257C63"/>
    <w:rsid w:val="00261DE5"/>
    <w:rsid w:val="00287AE9"/>
    <w:rsid w:val="002A321A"/>
    <w:rsid w:val="002A4693"/>
    <w:rsid w:val="002E133E"/>
    <w:rsid w:val="00327700"/>
    <w:rsid w:val="003458D6"/>
    <w:rsid w:val="003844BF"/>
    <w:rsid w:val="003C26D5"/>
    <w:rsid w:val="003E35CB"/>
    <w:rsid w:val="003F7054"/>
    <w:rsid w:val="00421010"/>
    <w:rsid w:val="004228B0"/>
    <w:rsid w:val="004278F8"/>
    <w:rsid w:val="004300B7"/>
    <w:rsid w:val="00434291"/>
    <w:rsid w:val="004556AD"/>
    <w:rsid w:val="00460F28"/>
    <w:rsid w:val="004733F5"/>
    <w:rsid w:val="004C6B30"/>
    <w:rsid w:val="004C6F31"/>
    <w:rsid w:val="004F3BAA"/>
    <w:rsid w:val="004F3CB3"/>
    <w:rsid w:val="00524939"/>
    <w:rsid w:val="00530020"/>
    <w:rsid w:val="00552EAC"/>
    <w:rsid w:val="00552F44"/>
    <w:rsid w:val="00563DE2"/>
    <w:rsid w:val="005855EA"/>
    <w:rsid w:val="005A42D4"/>
    <w:rsid w:val="005A5A94"/>
    <w:rsid w:val="005B7DDA"/>
    <w:rsid w:val="005C2ED2"/>
    <w:rsid w:val="005E7572"/>
    <w:rsid w:val="006319C0"/>
    <w:rsid w:val="00653802"/>
    <w:rsid w:val="00684DA6"/>
    <w:rsid w:val="006A2521"/>
    <w:rsid w:val="006A464D"/>
    <w:rsid w:val="006E7376"/>
    <w:rsid w:val="006F22E3"/>
    <w:rsid w:val="007011EC"/>
    <w:rsid w:val="00722800"/>
    <w:rsid w:val="00725514"/>
    <w:rsid w:val="007376F7"/>
    <w:rsid w:val="00743725"/>
    <w:rsid w:val="0076444A"/>
    <w:rsid w:val="007A32E4"/>
    <w:rsid w:val="007D7C73"/>
    <w:rsid w:val="007F1E4D"/>
    <w:rsid w:val="00803263"/>
    <w:rsid w:val="0080437C"/>
    <w:rsid w:val="00820936"/>
    <w:rsid w:val="008541B3"/>
    <w:rsid w:val="008B1D11"/>
    <w:rsid w:val="008E59A1"/>
    <w:rsid w:val="0090316C"/>
    <w:rsid w:val="00913D41"/>
    <w:rsid w:val="0092704A"/>
    <w:rsid w:val="00934DF9"/>
    <w:rsid w:val="0093596C"/>
    <w:rsid w:val="009450B4"/>
    <w:rsid w:val="0096550F"/>
    <w:rsid w:val="00977EE0"/>
    <w:rsid w:val="00995816"/>
    <w:rsid w:val="009A75D1"/>
    <w:rsid w:val="009D5720"/>
    <w:rsid w:val="009F120B"/>
    <w:rsid w:val="00A009DF"/>
    <w:rsid w:val="00A07D7A"/>
    <w:rsid w:val="00A16C7B"/>
    <w:rsid w:val="00A248BA"/>
    <w:rsid w:val="00A4790E"/>
    <w:rsid w:val="00A64A9C"/>
    <w:rsid w:val="00A7667D"/>
    <w:rsid w:val="00AC22AD"/>
    <w:rsid w:val="00AF293A"/>
    <w:rsid w:val="00B01F7D"/>
    <w:rsid w:val="00B07EF6"/>
    <w:rsid w:val="00B23846"/>
    <w:rsid w:val="00B33418"/>
    <w:rsid w:val="00B43FA2"/>
    <w:rsid w:val="00B50DFA"/>
    <w:rsid w:val="00B65C7C"/>
    <w:rsid w:val="00B904D8"/>
    <w:rsid w:val="00BC55F0"/>
    <w:rsid w:val="00BE0B61"/>
    <w:rsid w:val="00BE1A2C"/>
    <w:rsid w:val="00C07297"/>
    <w:rsid w:val="00C12EB9"/>
    <w:rsid w:val="00C23C57"/>
    <w:rsid w:val="00C62657"/>
    <w:rsid w:val="00C70D74"/>
    <w:rsid w:val="00C730CB"/>
    <w:rsid w:val="00C75511"/>
    <w:rsid w:val="00C85F27"/>
    <w:rsid w:val="00CB3BBC"/>
    <w:rsid w:val="00CB476A"/>
    <w:rsid w:val="00CE122B"/>
    <w:rsid w:val="00CE6FBE"/>
    <w:rsid w:val="00D01894"/>
    <w:rsid w:val="00D53C5B"/>
    <w:rsid w:val="00D63CAF"/>
    <w:rsid w:val="00D80018"/>
    <w:rsid w:val="00DC53E0"/>
    <w:rsid w:val="00DE0F2B"/>
    <w:rsid w:val="00E00964"/>
    <w:rsid w:val="00E07CF6"/>
    <w:rsid w:val="00E138C5"/>
    <w:rsid w:val="00E21634"/>
    <w:rsid w:val="00E2177E"/>
    <w:rsid w:val="00E251F0"/>
    <w:rsid w:val="00E3472F"/>
    <w:rsid w:val="00E37419"/>
    <w:rsid w:val="00E4510F"/>
    <w:rsid w:val="00E4557B"/>
    <w:rsid w:val="00E50485"/>
    <w:rsid w:val="00E53A8F"/>
    <w:rsid w:val="00E806D0"/>
    <w:rsid w:val="00E93BF2"/>
    <w:rsid w:val="00EB7E16"/>
    <w:rsid w:val="00EC32F3"/>
    <w:rsid w:val="00EC4FEB"/>
    <w:rsid w:val="00F051E6"/>
    <w:rsid w:val="00F07825"/>
    <w:rsid w:val="00F1445C"/>
    <w:rsid w:val="00F154B0"/>
    <w:rsid w:val="00F16888"/>
    <w:rsid w:val="00F304ED"/>
    <w:rsid w:val="00F30F9B"/>
    <w:rsid w:val="00F33BCD"/>
    <w:rsid w:val="00F46149"/>
    <w:rsid w:val="00F5280F"/>
    <w:rsid w:val="00F93F1D"/>
    <w:rsid w:val="00FB2A4D"/>
    <w:rsid w:val="00FD2B9D"/>
    <w:rsid w:val="00FD45B7"/>
    <w:rsid w:val="00FF5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04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iPriority w:val="99"/>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BA"/>
  </w:style>
  <w:style w:type="character" w:customStyle="1" w:styleId="Heading2Char">
    <w:name w:val="Heading 2 Char"/>
    <w:basedOn w:val="DefaultParagraphFont"/>
    <w:link w:val="Heading2"/>
    <w:uiPriority w:val="9"/>
    <w:rsid w:val="00E504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2244"/>
    <w:rPr>
      <w:color w:val="0000FF"/>
      <w:u w:val="single"/>
    </w:rPr>
  </w:style>
  <w:style w:type="paragraph" w:customStyle="1" w:styleId="western">
    <w:name w:val="western"/>
    <w:basedOn w:val="Normal"/>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183">
      <w:bodyDiv w:val="1"/>
      <w:marLeft w:val="0"/>
      <w:marRight w:val="0"/>
      <w:marTop w:val="0"/>
      <w:marBottom w:val="0"/>
      <w:divBdr>
        <w:top w:val="none" w:sz="0" w:space="0" w:color="auto"/>
        <w:left w:val="none" w:sz="0" w:space="0" w:color="auto"/>
        <w:bottom w:val="none" w:sz="0" w:space="0" w:color="auto"/>
        <w:right w:val="none" w:sz="0" w:space="0" w:color="auto"/>
      </w:divBdr>
    </w:div>
    <w:div w:id="153910343">
      <w:bodyDiv w:val="1"/>
      <w:marLeft w:val="0"/>
      <w:marRight w:val="0"/>
      <w:marTop w:val="0"/>
      <w:marBottom w:val="0"/>
      <w:divBdr>
        <w:top w:val="none" w:sz="0" w:space="0" w:color="auto"/>
        <w:left w:val="none" w:sz="0" w:space="0" w:color="auto"/>
        <w:bottom w:val="none" w:sz="0" w:space="0" w:color="auto"/>
        <w:right w:val="none" w:sz="0" w:space="0" w:color="auto"/>
      </w:divBdr>
    </w:div>
    <w:div w:id="696583400">
      <w:bodyDiv w:val="1"/>
      <w:marLeft w:val="0"/>
      <w:marRight w:val="0"/>
      <w:marTop w:val="0"/>
      <w:marBottom w:val="0"/>
      <w:divBdr>
        <w:top w:val="none" w:sz="0" w:space="0" w:color="auto"/>
        <w:left w:val="none" w:sz="0" w:space="0" w:color="auto"/>
        <w:bottom w:val="none" w:sz="0" w:space="0" w:color="auto"/>
        <w:right w:val="none" w:sz="0" w:space="0" w:color="auto"/>
      </w:divBdr>
      <w:divsChild>
        <w:div w:id="2015452811">
          <w:marLeft w:val="0"/>
          <w:marRight w:val="0"/>
          <w:marTop w:val="120"/>
          <w:marBottom w:val="0"/>
          <w:divBdr>
            <w:top w:val="none" w:sz="0" w:space="0" w:color="auto"/>
            <w:left w:val="none" w:sz="0" w:space="0" w:color="auto"/>
            <w:bottom w:val="none" w:sz="0" w:space="0" w:color="auto"/>
            <w:right w:val="none" w:sz="0" w:space="0" w:color="auto"/>
          </w:divBdr>
        </w:div>
      </w:divsChild>
    </w:div>
    <w:div w:id="857239563">
      <w:bodyDiv w:val="1"/>
      <w:marLeft w:val="0"/>
      <w:marRight w:val="0"/>
      <w:marTop w:val="0"/>
      <w:marBottom w:val="0"/>
      <w:divBdr>
        <w:top w:val="none" w:sz="0" w:space="0" w:color="auto"/>
        <w:left w:val="none" w:sz="0" w:space="0" w:color="auto"/>
        <w:bottom w:val="none" w:sz="0" w:space="0" w:color="auto"/>
        <w:right w:val="none" w:sz="0" w:space="0" w:color="auto"/>
      </w:divBdr>
      <w:divsChild>
        <w:div w:id="1841045815">
          <w:marLeft w:val="0"/>
          <w:marRight w:val="0"/>
          <w:marTop w:val="120"/>
          <w:marBottom w:val="0"/>
          <w:divBdr>
            <w:top w:val="none" w:sz="0" w:space="0" w:color="auto"/>
            <w:left w:val="none" w:sz="0" w:space="0" w:color="auto"/>
            <w:bottom w:val="none" w:sz="0" w:space="0" w:color="auto"/>
            <w:right w:val="none" w:sz="0" w:space="0" w:color="auto"/>
          </w:divBdr>
        </w:div>
        <w:div w:id="1152647817">
          <w:marLeft w:val="1134"/>
          <w:marRight w:val="0"/>
          <w:marTop w:val="60"/>
          <w:marBottom w:val="0"/>
          <w:divBdr>
            <w:top w:val="none" w:sz="0" w:space="0" w:color="auto"/>
            <w:left w:val="none" w:sz="0" w:space="0" w:color="auto"/>
            <w:bottom w:val="none" w:sz="0" w:space="0" w:color="auto"/>
            <w:right w:val="none" w:sz="0" w:space="0" w:color="auto"/>
          </w:divBdr>
        </w:div>
        <w:div w:id="1566456787">
          <w:marLeft w:val="1134"/>
          <w:marRight w:val="0"/>
          <w:marTop w:val="60"/>
          <w:marBottom w:val="0"/>
          <w:divBdr>
            <w:top w:val="none" w:sz="0" w:space="0" w:color="auto"/>
            <w:left w:val="none" w:sz="0" w:space="0" w:color="auto"/>
            <w:bottom w:val="none" w:sz="0" w:space="0" w:color="auto"/>
            <w:right w:val="none" w:sz="0" w:space="0" w:color="auto"/>
          </w:divBdr>
        </w:div>
      </w:divsChild>
    </w:div>
    <w:div w:id="861554483">
      <w:bodyDiv w:val="1"/>
      <w:marLeft w:val="0"/>
      <w:marRight w:val="0"/>
      <w:marTop w:val="0"/>
      <w:marBottom w:val="0"/>
      <w:divBdr>
        <w:top w:val="none" w:sz="0" w:space="0" w:color="auto"/>
        <w:left w:val="none" w:sz="0" w:space="0" w:color="auto"/>
        <w:bottom w:val="none" w:sz="0" w:space="0" w:color="auto"/>
        <w:right w:val="none" w:sz="0" w:space="0" w:color="auto"/>
      </w:divBdr>
      <w:divsChild>
        <w:div w:id="335764199">
          <w:marLeft w:val="0"/>
          <w:marRight w:val="0"/>
          <w:marTop w:val="120"/>
          <w:marBottom w:val="0"/>
          <w:divBdr>
            <w:top w:val="none" w:sz="0" w:space="0" w:color="auto"/>
            <w:left w:val="none" w:sz="0" w:space="0" w:color="auto"/>
            <w:bottom w:val="none" w:sz="0" w:space="0" w:color="auto"/>
            <w:right w:val="none" w:sz="0" w:space="0" w:color="auto"/>
          </w:divBdr>
        </w:div>
        <w:div w:id="2107269020">
          <w:marLeft w:val="1134"/>
          <w:marRight w:val="0"/>
          <w:marTop w:val="60"/>
          <w:marBottom w:val="0"/>
          <w:divBdr>
            <w:top w:val="none" w:sz="0" w:space="0" w:color="auto"/>
            <w:left w:val="none" w:sz="0" w:space="0" w:color="auto"/>
            <w:bottom w:val="none" w:sz="0" w:space="0" w:color="auto"/>
            <w:right w:val="none" w:sz="0" w:space="0" w:color="auto"/>
          </w:divBdr>
        </w:div>
        <w:div w:id="312099936">
          <w:marLeft w:val="567"/>
          <w:marRight w:val="567"/>
          <w:marTop w:val="20"/>
          <w:marBottom w:val="20"/>
          <w:divBdr>
            <w:top w:val="none" w:sz="0" w:space="0" w:color="auto"/>
            <w:left w:val="none" w:sz="0" w:space="0" w:color="auto"/>
            <w:bottom w:val="none" w:sz="0" w:space="0" w:color="auto"/>
            <w:right w:val="none" w:sz="0" w:space="0" w:color="auto"/>
          </w:divBdr>
        </w:div>
        <w:div w:id="1005398406">
          <w:marLeft w:val="1134"/>
          <w:marRight w:val="0"/>
          <w:marTop w:val="60"/>
          <w:marBottom w:val="0"/>
          <w:divBdr>
            <w:top w:val="none" w:sz="0" w:space="0" w:color="auto"/>
            <w:left w:val="none" w:sz="0" w:space="0" w:color="auto"/>
            <w:bottom w:val="none" w:sz="0" w:space="0" w:color="auto"/>
            <w:right w:val="none" w:sz="0" w:space="0" w:color="auto"/>
          </w:divBdr>
        </w:div>
        <w:div w:id="2066173166">
          <w:marLeft w:val="1134"/>
          <w:marRight w:val="0"/>
          <w:marTop w:val="60"/>
          <w:marBottom w:val="0"/>
          <w:divBdr>
            <w:top w:val="none" w:sz="0" w:space="0" w:color="auto"/>
            <w:left w:val="none" w:sz="0" w:space="0" w:color="auto"/>
            <w:bottom w:val="none" w:sz="0" w:space="0" w:color="auto"/>
            <w:right w:val="none" w:sz="0" w:space="0" w:color="auto"/>
          </w:divBdr>
        </w:div>
        <w:div w:id="1480608701">
          <w:marLeft w:val="1134"/>
          <w:marRight w:val="0"/>
          <w:marTop w:val="60"/>
          <w:marBottom w:val="0"/>
          <w:divBdr>
            <w:top w:val="none" w:sz="0" w:space="0" w:color="auto"/>
            <w:left w:val="none" w:sz="0" w:space="0" w:color="auto"/>
            <w:bottom w:val="none" w:sz="0" w:space="0" w:color="auto"/>
            <w:right w:val="none" w:sz="0" w:space="0" w:color="auto"/>
          </w:divBdr>
        </w:div>
        <w:div w:id="1035425045">
          <w:marLeft w:val="1134"/>
          <w:marRight w:val="0"/>
          <w:marTop w:val="60"/>
          <w:marBottom w:val="0"/>
          <w:divBdr>
            <w:top w:val="none" w:sz="0" w:space="0" w:color="auto"/>
            <w:left w:val="none" w:sz="0" w:space="0" w:color="auto"/>
            <w:bottom w:val="none" w:sz="0" w:space="0" w:color="auto"/>
            <w:right w:val="none" w:sz="0" w:space="0" w:color="auto"/>
          </w:divBdr>
        </w:div>
      </w:divsChild>
    </w:div>
    <w:div w:id="1165589876">
      <w:bodyDiv w:val="1"/>
      <w:marLeft w:val="0"/>
      <w:marRight w:val="0"/>
      <w:marTop w:val="0"/>
      <w:marBottom w:val="0"/>
      <w:divBdr>
        <w:top w:val="none" w:sz="0" w:space="0" w:color="auto"/>
        <w:left w:val="none" w:sz="0" w:space="0" w:color="auto"/>
        <w:bottom w:val="none" w:sz="0" w:space="0" w:color="auto"/>
        <w:right w:val="none" w:sz="0" w:space="0" w:color="auto"/>
      </w:divBdr>
    </w:div>
    <w:div w:id="11778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TotalTime>
  <Pages>16</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Phillipa Van Zyl</cp:lastModifiedBy>
  <cp:revision>15</cp:revision>
  <dcterms:created xsi:type="dcterms:W3CDTF">2022-04-07T10:16:00Z</dcterms:created>
  <dcterms:modified xsi:type="dcterms:W3CDTF">2022-04-12T11:03:00Z</dcterms:modified>
</cp:coreProperties>
</file>