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A7CC" w14:textId="0E3C5E56" w:rsidR="00E52642" w:rsidRDefault="00E52642" w:rsidP="00E52642">
      <w:pPr>
        <w:rPr>
          <w:rFonts w:ascii="Arial" w:hAnsi="Arial" w:cs="Arial"/>
          <w:color w:val="FF0000"/>
        </w:rPr>
      </w:pPr>
      <w:r>
        <w:rPr>
          <w:rFonts w:ascii="Arial" w:hAnsi="Arial" w:cs="Arial"/>
          <w:color w:val="FF0000"/>
        </w:rPr>
        <w:t>Editorial note: Certain information has been redacted from this judgment in compliance with the law.</w:t>
      </w:r>
    </w:p>
    <w:p w14:paraId="3CFBC602" w14:textId="77777777" w:rsidR="00E724D0" w:rsidRPr="00E52642" w:rsidRDefault="00E724D0" w:rsidP="00E52642">
      <w:pPr>
        <w:rPr>
          <w:color w:val="FF0000"/>
          <w:u w:val="single"/>
          <w:lang w:val="en-ZA"/>
        </w:rPr>
      </w:pPr>
    </w:p>
    <w:p w14:paraId="5866C030" w14:textId="1230B75A" w:rsidR="009A7B21" w:rsidRPr="009663D0" w:rsidRDefault="009A7B21" w:rsidP="009663D0">
      <w:pPr>
        <w:widowControl w:val="0"/>
        <w:tabs>
          <w:tab w:val="right" w:pos="8647"/>
        </w:tabs>
        <w:spacing w:line="480" w:lineRule="auto"/>
        <w:jc w:val="both"/>
        <w:rPr>
          <w:rFonts w:ascii="Arial" w:hAnsi="Arial" w:cs="Arial"/>
          <w:b/>
          <w:color w:val="000000" w:themeColor="text1"/>
          <w:lang w:val="en-GB"/>
        </w:rPr>
      </w:pPr>
      <w:r w:rsidRPr="009663D0">
        <w:rPr>
          <w:rFonts w:ascii="Arial" w:hAnsi="Arial" w:cs="Arial"/>
          <w:b/>
          <w:color w:val="000000" w:themeColor="text1"/>
          <w:lang w:val="en-GB"/>
        </w:rPr>
        <w:t>IN THE HIGH COURT OF SOUTH AFRICA</w:t>
      </w:r>
    </w:p>
    <w:p w14:paraId="78E7D4CA" w14:textId="116905DE" w:rsidR="009A7B21" w:rsidRPr="009663D0" w:rsidRDefault="009A7B21" w:rsidP="009663D0">
      <w:pPr>
        <w:widowControl w:val="0"/>
        <w:tabs>
          <w:tab w:val="right" w:pos="8647"/>
        </w:tabs>
        <w:spacing w:line="480" w:lineRule="auto"/>
        <w:jc w:val="both"/>
        <w:rPr>
          <w:rFonts w:ascii="Arial" w:hAnsi="Arial" w:cs="Arial"/>
          <w:b/>
          <w:color w:val="000000" w:themeColor="text1"/>
          <w:lang w:val="en-GB"/>
        </w:rPr>
      </w:pPr>
      <w:r w:rsidRPr="009663D0">
        <w:rPr>
          <w:rFonts w:ascii="Arial" w:hAnsi="Arial" w:cs="Arial"/>
          <w:b/>
          <w:color w:val="000000" w:themeColor="text1"/>
          <w:lang w:val="en-GB"/>
        </w:rPr>
        <w:t>WESTERN CAPE DIVISION, CAPE TOWN</w:t>
      </w:r>
    </w:p>
    <w:p w14:paraId="70DB440A" w14:textId="0391D50D" w:rsidR="009A7B21" w:rsidRPr="009663D0" w:rsidRDefault="009A7B21" w:rsidP="009663D0">
      <w:pPr>
        <w:widowControl w:val="0"/>
        <w:tabs>
          <w:tab w:val="left" w:pos="0"/>
          <w:tab w:val="left" w:pos="576"/>
          <w:tab w:val="left" w:pos="1296"/>
          <w:tab w:val="left" w:pos="2736"/>
          <w:tab w:val="left" w:pos="4176"/>
          <w:tab w:val="right" w:pos="8505"/>
          <w:tab w:val="right" w:pos="8784"/>
        </w:tabs>
        <w:spacing w:line="480" w:lineRule="auto"/>
        <w:jc w:val="right"/>
        <w:rPr>
          <w:rFonts w:ascii="Arial" w:hAnsi="Arial" w:cs="Arial"/>
          <w:bCs/>
          <w:snapToGrid w:val="0"/>
          <w:color w:val="000000" w:themeColor="text1"/>
          <w:lang w:val="en-GB"/>
        </w:rPr>
      </w:pPr>
      <w:r w:rsidRPr="009663D0">
        <w:rPr>
          <w:rFonts w:ascii="Arial" w:hAnsi="Arial" w:cs="Arial"/>
          <w:bCs/>
          <w:snapToGrid w:val="0"/>
          <w:color w:val="000000" w:themeColor="text1"/>
          <w:lang w:val="en-GB"/>
        </w:rPr>
        <w:t xml:space="preserve">Case </w:t>
      </w:r>
      <w:r w:rsidR="000342F7" w:rsidRPr="009663D0">
        <w:rPr>
          <w:rFonts w:ascii="Arial" w:hAnsi="Arial" w:cs="Arial"/>
          <w:bCs/>
          <w:snapToGrid w:val="0"/>
          <w:color w:val="000000" w:themeColor="text1"/>
          <w:lang w:val="en-GB"/>
        </w:rPr>
        <w:t>number:</w:t>
      </w:r>
      <w:r w:rsidRPr="009663D0">
        <w:rPr>
          <w:rFonts w:ascii="Arial" w:hAnsi="Arial" w:cs="Arial"/>
          <w:bCs/>
          <w:snapToGrid w:val="0"/>
          <w:color w:val="000000" w:themeColor="text1"/>
          <w:lang w:val="en-GB"/>
        </w:rPr>
        <w:t xml:space="preserve"> </w:t>
      </w:r>
      <w:r w:rsidR="009D540F" w:rsidRPr="009663D0">
        <w:rPr>
          <w:rFonts w:ascii="Arial" w:hAnsi="Arial" w:cs="Arial"/>
          <w:bCs/>
          <w:snapToGrid w:val="0"/>
          <w:color w:val="000000" w:themeColor="text1"/>
          <w:lang w:val="en-GB"/>
        </w:rPr>
        <w:t>10837</w:t>
      </w:r>
      <w:r w:rsidR="002203E1" w:rsidRPr="009663D0">
        <w:rPr>
          <w:rFonts w:ascii="Arial" w:hAnsi="Arial" w:cs="Arial"/>
          <w:bCs/>
          <w:snapToGrid w:val="0"/>
          <w:color w:val="000000" w:themeColor="text1"/>
          <w:lang w:val="en-GB"/>
        </w:rPr>
        <w:t>/20</w:t>
      </w:r>
      <w:r w:rsidR="009D540F" w:rsidRPr="009663D0">
        <w:rPr>
          <w:rFonts w:ascii="Arial" w:hAnsi="Arial" w:cs="Arial"/>
          <w:bCs/>
          <w:snapToGrid w:val="0"/>
          <w:color w:val="000000" w:themeColor="text1"/>
          <w:lang w:val="en-GB"/>
        </w:rPr>
        <w:t>16</w:t>
      </w:r>
    </w:p>
    <w:p w14:paraId="0CA70122" w14:textId="39F2A3B2" w:rsidR="009D540F" w:rsidRPr="009663D0" w:rsidRDefault="009D540F" w:rsidP="009663D0">
      <w:pPr>
        <w:widowControl w:val="0"/>
        <w:tabs>
          <w:tab w:val="left" w:pos="0"/>
          <w:tab w:val="left" w:pos="576"/>
          <w:tab w:val="left" w:pos="1296"/>
          <w:tab w:val="left" w:pos="2736"/>
          <w:tab w:val="left" w:pos="4176"/>
          <w:tab w:val="right" w:pos="8505"/>
          <w:tab w:val="right" w:pos="8784"/>
        </w:tabs>
        <w:spacing w:line="480" w:lineRule="auto"/>
        <w:jc w:val="right"/>
        <w:rPr>
          <w:rFonts w:ascii="Arial" w:hAnsi="Arial" w:cs="Arial"/>
          <w:bCs/>
          <w:snapToGrid w:val="0"/>
          <w:color w:val="000000" w:themeColor="text1"/>
          <w:lang w:val="en-GB"/>
        </w:rPr>
      </w:pPr>
      <w:r w:rsidRPr="009663D0">
        <w:rPr>
          <w:rFonts w:ascii="Arial" w:hAnsi="Arial" w:cs="Arial"/>
          <w:bCs/>
          <w:snapToGrid w:val="0"/>
          <w:color w:val="000000" w:themeColor="text1"/>
          <w:lang w:val="en-GB"/>
        </w:rPr>
        <w:t>Case number: 19689/2016</w:t>
      </w:r>
    </w:p>
    <w:p w14:paraId="2C7EB902" w14:textId="3FB3073D" w:rsidR="009D540F" w:rsidRPr="009663D0" w:rsidRDefault="009D540F" w:rsidP="009663D0">
      <w:pPr>
        <w:widowControl w:val="0"/>
        <w:tabs>
          <w:tab w:val="left" w:pos="0"/>
          <w:tab w:val="left" w:pos="576"/>
          <w:tab w:val="left" w:pos="1296"/>
          <w:tab w:val="left" w:pos="2736"/>
          <w:tab w:val="left" w:pos="4176"/>
          <w:tab w:val="right" w:pos="8505"/>
          <w:tab w:val="right" w:pos="8784"/>
        </w:tabs>
        <w:spacing w:line="480" w:lineRule="auto"/>
        <w:jc w:val="right"/>
        <w:rPr>
          <w:rFonts w:ascii="Arial" w:hAnsi="Arial" w:cs="Arial"/>
          <w:bCs/>
          <w:snapToGrid w:val="0"/>
          <w:color w:val="000000" w:themeColor="text1"/>
          <w:lang w:val="en-GB"/>
        </w:rPr>
      </w:pPr>
      <w:r w:rsidRPr="009663D0">
        <w:rPr>
          <w:rFonts w:ascii="Arial" w:hAnsi="Arial" w:cs="Arial"/>
          <w:bCs/>
          <w:snapToGrid w:val="0"/>
          <w:color w:val="000000" w:themeColor="text1"/>
          <w:lang w:val="en-GB"/>
        </w:rPr>
        <w:t>Case number: 17728/2021</w:t>
      </w:r>
    </w:p>
    <w:p w14:paraId="12CB34F3" w14:textId="36F46C89" w:rsidR="009A7B21" w:rsidRPr="009663D0" w:rsidRDefault="009A7B21" w:rsidP="009663D0">
      <w:pPr>
        <w:widowControl w:val="0"/>
        <w:tabs>
          <w:tab w:val="left" w:pos="0"/>
          <w:tab w:val="left" w:pos="576"/>
          <w:tab w:val="left" w:pos="1296"/>
          <w:tab w:val="left" w:pos="2736"/>
          <w:tab w:val="left" w:pos="4176"/>
          <w:tab w:val="right" w:pos="8505"/>
          <w:tab w:val="right" w:pos="8784"/>
        </w:tabs>
        <w:spacing w:line="480" w:lineRule="auto"/>
        <w:ind w:right="856"/>
        <w:jc w:val="both"/>
        <w:rPr>
          <w:rFonts w:ascii="Arial" w:hAnsi="Arial" w:cs="Arial"/>
          <w:snapToGrid w:val="0"/>
          <w:color w:val="000000" w:themeColor="text1"/>
          <w:lang w:val="en-GB"/>
        </w:rPr>
      </w:pPr>
      <w:r w:rsidRPr="009663D0">
        <w:rPr>
          <w:rFonts w:ascii="Arial" w:hAnsi="Arial" w:cs="Arial"/>
          <w:snapToGrid w:val="0"/>
          <w:color w:val="000000" w:themeColor="text1"/>
          <w:lang w:val="en-GB"/>
        </w:rPr>
        <w:t>In the matter between:</w:t>
      </w:r>
    </w:p>
    <w:p w14:paraId="687A9BCC" w14:textId="505382FE" w:rsidR="009A7B21" w:rsidRPr="00E52642" w:rsidRDefault="009D540F" w:rsidP="00E52642">
      <w:pPr>
        <w:widowControl w:val="0"/>
        <w:tabs>
          <w:tab w:val="right" w:pos="8315"/>
        </w:tabs>
        <w:overflowPunct w:val="0"/>
        <w:autoSpaceDE w:val="0"/>
        <w:autoSpaceDN w:val="0"/>
        <w:adjustRightInd w:val="0"/>
        <w:spacing w:line="480" w:lineRule="auto"/>
        <w:jc w:val="both"/>
        <w:textAlignment w:val="baseline"/>
        <w:rPr>
          <w:rFonts w:ascii="Arial" w:hAnsi="Arial" w:cs="Arial"/>
          <w:b/>
          <w:color w:val="000000" w:themeColor="text1"/>
          <w:lang w:val="en-GB"/>
        </w:rPr>
      </w:pPr>
      <w:proofErr w:type="gramStart"/>
      <w:r w:rsidRPr="009663D0">
        <w:rPr>
          <w:rFonts w:ascii="Arial" w:hAnsi="Arial" w:cs="Arial"/>
          <w:b/>
          <w:color w:val="000000" w:themeColor="text1"/>
          <w:lang w:val="en-GB"/>
        </w:rPr>
        <w:t>S</w:t>
      </w:r>
      <w:r w:rsidR="00774CE4">
        <w:rPr>
          <w:rFonts w:ascii="Arial" w:hAnsi="Arial" w:cs="Arial"/>
          <w:b/>
          <w:color w:val="000000" w:themeColor="text1"/>
          <w:lang w:val="en-GB"/>
        </w:rPr>
        <w:t>[</w:t>
      </w:r>
      <w:proofErr w:type="gramEnd"/>
      <w:r w:rsidR="00774CE4">
        <w:rPr>
          <w:rFonts w:ascii="Arial" w:hAnsi="Arial" w:cs="Arial"/>
          <w:b/>
          <w:color w:val="000000" w:themeColor="text1"/>
          <w:lang w:val="en-GB"/>
        </w:rPr>
        <w:t xml:space="preserve">…] </w:t>
      </w:r>
      <w:r w:rsidRPr="009663D0">
        <w:rPr>
          <w:rFonts w:ascii="Arial" w:hAnsi="Arial" w:cs="Arial"/>
          <w:b/>
          <w:color w:val="000000" w:themeColor="text1"/>
          <w:lang w:val="en-GB"/>
        </w:rPr>
        <w:t>C</w:t>
      </w:r>
      <w:r w:rsidR="00774CE4">
        <w:rPr>
          <w:rFonts w:ascii="Arial" w:hAnsi="Arial" w:cs="Arial"/>
          <w:b/>
          <w:color w:val="000000" w:themeColor="text1"/>
          <w:lang w:val="en-GB"/>
        </w:rPr>
        <w:t>[…]</w:t>
      </w:r>
      <w:r w:rsidR="009A7B21" w:rsidRPr="009663D0">
        <w:rPr>
          <w:rFonts w:ascii="Arial" w:hAnsi="Arial" w:cs="Arial"/>
          <w:b/>
          <w:color w:val="000000" w:themeColor="text1"/>
          <w:lang w:val="en-GB"/>
        </w:rPr>
        <w:tab/>
      </w:r>
      <w:r w:rsidRPr="009663D0">
        <w:rPr>
          <w:rFonts w:ascii="Arial" w:hAnsi="Arial" w:cs="Arial"/>
          <w:color w:val="000000" w:themeColor="text1"/>
          <w:lang w:val="en-GB"/>
        </w:rPr>
        <w:t>Applicant/Defendant</w:t>
      </w:r>
    </w:p>
    <w:p w14:paraId="1FDED32E" w14:textId="3E97063B" w:rsidR="009A7B21" w:rsidRPr="009663D0" w:rsidRDefault="009A7B21" w:rsidP="00E52642">
      <w:pPr>
        <w:widowControl w:val="0"/>
        <w:tabs>
          <w:tab w:val="left" w:pos="0"/>
          <w:tab w:val="left" w:pos="576"/>
          <w:tab w:val="left" w:pos="1296"/>
          <w:tab w:val="left" w:pos="2736"/>
          <w:tab w:val="left" w:pos="4176"/>
          <w:tab w:val="right" w:pos="8315"/>
        </w:tabs>
        <w:spacing w:line="480" w:lineRule="auto"/>
        <w:ind w:right="856"/>
        <w:jc w:val="both"/>
        <w:rPr>
          <w:rFonts w:ascii="Arial" w:hAnsi="Arial" w:cs="Arial"/>
          <w:snapToGrid w:val="0"/>
          <w:color w:val="000000" w:themeColor="text1"/>
          <w:lang w:val="en-GB"/>
        </w:rPr>
      </w:pPr>
      <w:r w:rsidRPr="009663D0">
        <w:rPr>
          <w:rFonts w:ascii="Arial" w:hAnsi="Arial" w:cs="Arial"/>
          <w:snapToGrid w:val="0"/>
          <w:color w:val="000000" w:themeColor="text1"/>
          <w:lang w:val="en-GB"/>
        </w:rPr>
        <w:t>and</w:t>
      </w:r>
    </w:p>
    <w:p w14:paraId="42585C09" w14:textId="3D01BAE7" w:rsidR="009A7B21" w:rsidRPr="009663D0" w:rsidRDefault="009D540F" w:rsidP="009663D0">
      <w:pPr>
        <w:widowControl w:val="0"/>
        <w:tabs>
          <w:tab w:val="left" w:pos="0"/>
          <w:tab w:val="right" w:pos="576"/>
          <w:tab w:val="left" w:pos="1296"/>
          <w:tab w:val="left" w:pos="2736"/>
          <w:tab w:val="left" w:pos="4176"/>
          <w:tab w:val="right" w:pos="8315"/>
          <w:tab w:val="right" w:pos="8505"/>
        </w:tabs>
        <w:spacing w:line="480" w:lineRule="auto"/>
        <w:ind w:right="-51"/>
        <w:jc w:val="both"/>
        <w:rPr>
          <w:rFonts w:ascii="Arial" w:hAnsi="Arial" w:cs="Arial"/>
          <w:snapToGrid w:val="0"/>
          <w:color w:val="000000" w:themeColor="text1"/>
          <w:lang w:val="en-GB"/>
        </w:rPr>
      </w:pPr>
      <w:proofErr w:type="gramStart"/>
      <w:r w:rsidRPr="009663D0">
        <w:rPr>
          <w:rFonts w:ascii="Arial" w:hAnsi="Arial" w:cs="Arial"/>
          <w:b/>
          <w:snapToGrid w:val="0"/>
          <w:color w:val="000000" w:themeColor="text1"/>
          <w:lang w:val="en-GB"/>
        </w:rPr>
        <w:t>T</w:t>
      </w:r>
      <w:r w:rsidR="00774CE4">
        <w:rPr>
          <w:rFonts w:ascii="Arial" w:hAnsi="Arial" w:cs="Arial"/>
          <w:b/>
          <w:snapToGrid w:val="0"/>
          <w:color w:val="000000" w:themeColor="text1"/>
          <w:lang w:val="en-GB"/>
        </w:rPr>
        <w:t>[</w:t>
      </w:r>
      <w:proofErr w:type="gramEnd"/>
      <w:r w:rsidR="00774CE4">
        <w:rPr>
          <w:rFonts w:ascii="Arial" w:hAnsi="Arial" w:cs="Arial"/>
          <w:b/>
          <w:snapToGrid w:val="0"/>
          <w:color w:val="000000" w:themeColor="text1"/>
          <w:lang w:val="en-GB"/>
        </w:rPr>
        <w:t>…]</w:t>
      </w:r>
      <w:r w:rsidRPr="009663D0">
        <w:rPr>
          <w:rFonts w:ascii="Arial" w:hAnsi="Arial" w:cs="Arial"/>
          <w:b/>
          <w:snapToGrid w:val="0"/>
          <w:color w:val="000000" w:themeColor="text1"/>
          <w:lang w:val="en-GB"/>
        </w:rPr>
        <w:t xml:space="preserve"> C</w:t>
      </w:r>
      <w:r w:rsidR="00774CE4">
        <w:rPr>
          <w:rFonts w:ascii="Arial" w:hAnsi="Arial" w:cs="Arial"/>
          <w:b/>
          <w:snapToGrid w:val="0"/>
          <w:color w:val="000000" w:themeColor="text1"/>
          <w:lang w:val="en-GB"/>
        </w:rPr>
        <w:t xml:space="preserve">[…]  </w:t>
      </w:r>
      <w:r w:rsidRPr="009663D0">
        <w:rPr>
          <w:rFonts w:ascii="Arial" w:hAnsi="Arial" w:cs="Arial"/>
          <w:b/>
          <w:snapToGrid w:val="0"/>
          <w:color w:val="000000" w:themeColor="text1"/>
          <w:lang w:val="en-GB"/>
        </w:rPr>
        <w:tab/>
      </w:r>
      <w:r w:rsidR="00F1588C" w:rsidRPr="009663D0">
        <w:rPr>
          <w:rFonts w:ascii="Arial" w:hAnsi="Arial" w:cs="Arial"/>
          <w:b/>
          <w:snapToGrid w:val="0"/>
          <w:color w:val="000000" w:themeColor="text1"/>
          <w:lang w:val="en-GB"/>
        </w:rPr>
        <w:tab/>
      </w:r>
      <w:r w:rsidR="009A7B21" w:rsidRPr="009663D0">
        <w:rPr>
          <w:rFonts w:ascii="Arial" w:hAnsi="Arial" w:cs="Arial"/>
          <w:snapToGrid w:val="0"/>
          <w:color w:val="000000" w:themeColor="text1"/>
          <w:lang w:val="en-GB"/>
        </w:rPr>
        <w:tab/>
      </w:r>
      <w:r w:rsidRPr="009663D0">
        <w:rPr>
          <w:rFonts w:ascii="Arial" w:hAnsi="Arial" w:cs="Arial"/>
          <w:snapToGrid w:val="0"/>
          <w:color w:val="000000" w:themeColor="text1"/>
          <w:lang w:val="en-GB"/>
        </w:rPr>
        <w:t>Respondent/Plaintiff</w:t>
      </w:r>
    </w:p>
    <w:p w14:paraId="5FA40945" w14:textId="77777777" w:rsidR="005E23A4" w:rsidRPr="009663D0" w:rsidRDefault="005E23A4" w:rsidP="009663D0">
      <w:pPr>
        <w:widowControl w:val="0"/>
        <w:pBdr>
          <w:bottom w:val="single" w:sz="12" w:space="1" w:color="auto"/>
        </w:pBdr>
        <w:tabs>
          <w:tab w:val="right" w:pos="8640"/>
        </w:tabs>
        <w:spacing w:line="480" w:lineRule="auto"/>
        <w:jc w:val="both"/>
        <w:rPr>
          <w:rFonts w:ascii="Arial" w:hAnsi="Arial" w:cs="Arial"/>
          <w:color w:val="000000" w:themeColor="text1"/>
          <w:lang w:val="en-GB"/>
        </w:rPr>
      </w:pPr>
    </w:p>
    <w:p w14:paraId="126F8454" w14:textId="58C42A1E" w:rsidR="00090569" w:rsidRPr="009663D0" w:rsidRDefault="00090569" w:rsidP="009663D0">
      <w:pPr>
        <w:pStyle w:val="Heading4"/>
        <w:keepNext w:val="0"/>
        <w:jc w:val="left"/>
        <w:rPr>
          <w:rFonts w:ascii="Arial" w:hAnsi="Arial" w:cs="Arial"/>
          <w:color w:val="000000" w:themeColor="text1"/>
          <w:sz w:val="24"/>
          <w:szCs w:val="24"/>
          <w:lang w:val="en-GB"/>
        </w:rPr>
      </w:pPr>
    </w:p>
    <w:p w14:paraId="57C8B486" w14:textId="5C1140C9" w:rsidR="00825DA7" w:rsidRPr="009663D0" w:rsidRDefault="000342F7" w:rsidP="009663D0">
      <w:pPr>
        <w:widowControl w:val="0"/>
        <w:spacing w:line="480" w:lineRule="auto"/>
        <w:jc w:val="center"/>
        <w:rPr>
          <w:rFonts w:ascii="Arial" w:hAnsi="Arial" w:cs="Arial"/>
          <w:b/>
          <w:bCs/>
          <w:lang w:val="en-GB"/>
        </w:rPr>
      </w:pPr>
      <w:r w:rsidRPr="009663D0">
        <w:rPr>
          <w:rFonts w:ascii="Arial" w:hAnsi="Arial" w:cs="Arial"/>
          <w:b/>
          <w:bCs/>
          <w:lang w:val="en-GB"/>
        </w:rPr>
        <w:t>JUDGMENT</w:t>
      </w:r>
      <w:r w:rsidR="00757EE0" w:rsidRPr="009663D0">
        <w:rPr>
          <w:rFonts w:ascii="Arial" w:hAnsi="Arial" w:cs="Arial"/>
          <w:b/>
          <w:bCs/>
          <w:lang w:val="en-GB"/>
        </w:rPr>
        <w:t xml:space="preserve"> </w:t>
      </w:r>
      <w:r w:rsidR="00D25DD2">
        <w:rPr>
          <w:rFonts w:ascii="Arial" w:hAnsi="Arial" w:cs="Arial"/>
          <w:b/>
          <w:bCs/>
          <w:lang w:val="en-GB"/>
        </w:rPr>
        <w:t xml:space="preserve">(1) </w:t>
      </w:r>
      <w:r w:rsidR="00757EE0" w:rsidRPr="009663D0">
        <w:rPr>
          <w:rFonts w:ascii="Arial" w:hAnsi="Arial" w:cs="Arial"/>
          <w:b/>
          <w:bCs/>
          <w:lang w:val="en-GB"/>
        </w:rPr>
        <w:t>DELIVERED ON</w:t>
      </w:r>
      <w:r w:rsidR="003D60B8" w:rsidRPr="009663D0">
        <w:rPr>
          <w:rFonts w:ascii="Arial" w:hAnsi="Arial" w:cs="Arial"/>
          <w:b/>
          <w:bCs/>
          <w:lang w:val="en-GB"/>
        </w:rPr>
        <w:t xml:space="preserve"> </w:t>
      </w:r>
      <w:r w:rsidR="00D55F4C" w:rsidRPr="009663D0">
        <w:rPr>
          <w:rFonts w:ascii="Arial" w:hAnsi="Arial" w:cs="Arial"/>
          <w:b/>
          <w:bCs/>
          <w:lang w:val="en-GB"/>
        </w:rPr>
        <w:t>1</w:t>
      </w:r>
      <w:r w:rsidR="007727D2" w:rsidRPr="009663D0">
        <w:rPr>
          <w:rFonts w:ascii="Arial" w:hAnsi="Arial" w:cs="Arial"/>
          <w:b/>
          <w:bCs/>
          <w:lang w:val="en-GB"/>
        </w:rPr>
        <w:t>1</w:t>
      </w:r>
      <w:r w:rsidR="00D55F4C" w:rsidRPr="009663D0">
        <w:rPr>
          <w:rFonts w:ascii="Arial" w:hAnsi="Arial" w:cs="Arial"/>
          <w:b/>
          <w:bCs/>
          <w:lang w:val="en-GB"/>
        </w:rPr>
        <w:t xml:space="preserve"> </w:t>
      </w:r>
      <w:r w:rsidR="009D540F" w:rsidRPr="009663D0">
        <w:rPr>
          <w:rFonts w:ascii="Arial" w:hAnsi="Arial" w:cs="Arial"/>
          <w:b/>
          <w:bCs/>
          <w:lang w:val="en-GB"/>
        </w:rPr>
        <w:t>M</w:t>
      </w:r>
      <w:r w:rsidR="007727D2" w:rsidRPr="009663D0">
        <w:rPr>
          <w:rFonts w:ascii="Arial" w:hAnsi="Arial" w:cs="Arial"/>
          <w:b/>
          <w:bCs/>
          <w:lang w:val="en-GB"/>
        </w:rPr>
        <w:t>AY</w:t>
      </w:r>
      <w:r w:rsidR="00825DA7" w:rsidRPr="009663D0">
        <w:rPr>
          <w:rFonts w:ascii="Arial" w:hAnsi="Arial" w:cs="Arial"/>
          <w:b/>
          <w:bCs/>
          <w:lang w:val="en-GB"/>
        </w:rPr>
        <w:t xml:space="preserve"> 2022</w:t>
      </w:r>
    </w:p>
    <w:p w14:paraId="5B3443C2" w14:textId="77777777" w:rsidR="00090569" w:rsidRPr="009663D0" w:rsidRDefault="00090569" w:rsidP="009663D0">
      <w:pPr>
        <w:widowControl w:val="0"/>
        <w:pBdr>
          <w:bottom w:val="single" w:sz="12" w:space="1" w:color="auto"/>
        </w:pBdr>
        <w:tabs>
          <w:tab w:val="right" w:pos="8640"/>
        </w:tabs>
        <w:spacing w:line="480" w:lineRule="auto"/>
        <w:jc w:val="both"/>
        <w:rPr>
          <w:rFonts w:ascii="Arial" w:hAnsi="Arial" w:cs="Arial"/>
          <w:color w:val="000000" w:themeColor="text1"/>
          <w:lang w:val="en-GB"/>
        </w:rPr>
      </w:pPr>
    </w:p>
    <w:p w14:paraId="40AB7C9A" w14:textId="1578AC26" w:rsidR="00E52642" w:rsidRPr="009663D0" w:rsidRDefault="00E52642" w:rsidP="009663D0">
      <w:pPr>
        <w:widowControl w:val="0"/>
        <w:spacing w:line="480" w:lineRule="auto"/>
        <w:jc w:val="both"/>
        <w:rPr>
          <w:rFonts w:ascii="Arial" w:hAnsi="Arial" w:cs="Arial"/>
          <w:color w:val="000000" w:themeColor="text1"/>
          <w:lang w:val="en-GB"/>
        </w:rPr>
      </w:pPr>
      <w:bookmarkStart w:id="0" w:name="_GoBack"/>
      <w:bookmarkEnd w:id="0"/>
    </w:p>
    <w:p w14:paraId="199D3239" w14:textId="47A20D96" w:rsidR="000342F7" w:rsidRPr="009663D0" w:rsidRDefault="000342F7" w:rsidP="009663D0">
      <w:pPr>
        <w:widowControl w:val="0"/>
        <w:spacing w:line="480" w:lineRule="auto"/>
        <w:jc w:val="both"/>
        <w:rPr>
          <w:rFonts w:ascii="Arial" w:hAnsi="Arial" w:cs="Arial"/>
          <w:b/>
          <w:bCs/>
          <w:color w:val="000000" w:themeColor="text1"/>
          <w:u w:val="single"/>
          <w:lang w:val="en-GB"/>
        </w:rPr>
      </w:pPr>
      <w:r w:rsidRPr="009663D0">
        <w:rPr>
          <w:rFonts w:ascii="Arial" w:hAnsi="Arial" w:cs="Arial"/>
          <w:b/>
          <w:bCs/>
          <w:color w:val="000000" w:themeColor="text1"/>
          <w:u w:val="single"/>
          <w:lang w:val="en-GB"/>
        </w:rPr>
        <w:t>VAN ZYL AJ:</w:t>
      </w:r>
    </w:p>
    <w:p w14:paraId="15F02FBA" w14:textId="77777777" w:rsidR="000342F7" w:rsidRPr="009663D0" w:rsidRDefault="000342F7" w:rsidP="009663D0">
      <w:pPr>
        <w:widowControl w:val="0"/>
        <w:spacing w:line="480" w:lineRule="auto"/>
        <w:jc w:val="both"/>
        <w:rPr>
          <w:rFonts w:ascii="Arial" w:hAnsi="Arial" w:cs="Arial"/>
          <w:color w:val="000000" w:themeColor="text1"/>
          <w:lang w:val="en-GB"/>
        </w:rPr>
      </w:pPr>
    </w:p>
    <w:p w14:paraId="4AD89676" w14:textId="0C5B2DA9" w:rsidR="00474FE2" w:rsidRPr="009663D0" w:rsidRDefault="00474FE2" w:rsidP="009663D0">
      <w:pPr>
        <w:pStyle w:val="Heading1"/>
        <w:spacing w:before="0" w:after="0"/>
        <w:jc w:val="both"/>
        <w:rPr>
          <w:rFonts w:ascii="Arial" w:hAnsi="Arial" w:cs="Arial"/>
          <w:b/>
          <w:bCs/>
          <w:color w:val="000000" w:themeColor="text1"/>
          <w:sz w:val="24"/>
          <w:szCs w:val="24"/>
          <w:u w:val="single"/>
          <w:lang w:val="en-GB"/>
        </w:rPr>
      </w:pPr>
      <w:r w:rsidRPr="009663D0">
        <w:rPr>
          <w:rFonts w:ascii="Arial" w:hAnsi="Arial" w:cs="Arial"/>
          <w:b/>
          <w:bCs/>
          <w:color w:val="000000" w:themeColor="text1"/>
          <w:sz w:val="24"/>
          <w:szCs w:val="24"/>
          <w:u w:val="single"/>
          <w:lang w:val="en-GB"/>
        </w:rPr>
        <w:t>I</w:t>
      </w:r>
      <w:r w:rsidR="000342F7" w:rsidRPr="009663D0">
        <w:rPr>
          <w:rFonts w:ascii="Arial" w:hAnsi="Arial" w:cs="Arial"/>
          <w:b/>
          <w:bCs/>
          <w:color w:val="000000" w:themeColor="text1"/>
          <w:sz w:val="24"/>
          <w:szCs w:val="24"/>
          <w:u w:val="single"/>
          <w:lang w:val="en-GB"/>
        </w:rPr>
        <w:t>ntroduction</w:t>
      </w:r>
    </w:p>
    <w:p w14:paraId="77F34F5D" w14:textId="77777777" w:rsidR="00825DA7" w:rsidRPr="009663D0" w:rsidRDefault="00825DA7" w:rsidP="009663D0">
      <w:pPr>
        <w:pStyle w:val="Heading1"/>
        <w:spacing w:before="0" w:after="0"/>
        <w:ind w:left="709"/>
        <w:jc w:val="both"/>
        <w:rPr>
          <w:rFonts w:ascii="Arial" w:hAnsi="Arial" w:cs="Arial"/>
          <w:color w:val="000000" w:themeColor="text1"/>
          <w:sz w:val="24"/>
          <w:szCs w:val="24"/>
          <w:lang w:val="en-GB"/>
        </w:rPr>
      </w:pPr>
    </w:p>
    <w:p w14:paraId="7BB419EB" w14:textId="3B2F2EB4" w:rsidR="00FA7ED8" w:rsidRPr="009663D0" w:rsidRDefault="00E52642" w:rsidP="00E52642">
      <w:pPr>
        <w:pStyle w:val="Heading1"/>
        <w:tabs>
          <w:tab w:val="left" w:pos="709"/>
        </w:tabs>
        <w:spacing w:before="0" w:after="0"/>
        <w:ind w:left="709"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1.</w:t>
      </w:r>
      <w:r w:rsidRPr="009663D0">
        <w:rPr>
          <w:rFonts w:ascii="Arial" w:hAnsi="Arial" w:cs="Arial"/>
          <w:color w:val="000000" w:themeColor="text1"/>
          <w:sz w:val="24"/>
          <w:szCs w:val="24"/>
          <w:lang w:val="en-GB"/>
        </w:rPr>
        <w:tab/>
      </w:r>
      <w:r w:rsidR="008438E5" w:rsidRPr="009663D0">
        <w:rPr>
          <w:rFonts w:ascii="Arial" w:hAnsi="Arial" w:cs="Arial"/>
          <w:color w:val="000000" w:themeColor="text1"/>
          <w:sz w:val="24"/>
          <w:szCs w:val="24"/>
          <w:lang w:val="en-GB"/>
        </w:rPr>
        <w:t>The parties are embroiled in a long-running divorce action</w:t>
      </w:r>
      <w:r w:rsidR="00FA7ED8" w:rsidRPr="009663D0">
        <w:rPr>
          <w:rFonts w:ascii="Arial" w:hAnsi="Arial" w:cs="Arial"/>
          <w:color w:val="000000" w:themeColor="text1"/>
          <w:sz w:val="24"/>
          <w:szCs w:val="24"/>
          <w:lang w:val="en-GB"/>
        </w:rPr>
        <w:t xml:space="preserve"> instituted in June 2016</w:t>
      </w:r>
      <w:r w:rsidR="00757EE0" w:rsidRPr="009663D0">
        <w:rPr>
          <w:rFonts w:ascii="Arial" w:hAnsi="Arial" w:cs="Arial"/>
          <w:color w:val="000000" w:themeColor="text1"/>
          <w:sz w:val="24"/>
          <w:szCs w:val="24"/>
          <w:lang w:val="en-GB"/>
        </w:rPr>
        <w:t xml:space="preserve"> under case number 10837/2016</w:t>
      </w:r>
      <w:r w:rsidR="008438E5" w:rsidRPr="009663D0">
        <w:rPr>
          <w:rFonts w:ascii="Arial" w:hAnsi="Arial" w:cs="Arial"/>
          <w:color w:val="000000" w:themeColor="text1"/>
          <w:sz w:val="24"/>
          <w:szCs w:val="24"/>
          <w:lang w:val="en-GB"/>
        </w:rPr>
        <w:t xml:space="preserve">, in which the applicant in this application is the defendant, and the respondent is the plaintiff.  </w:t>
      </w:r>
      <w:r w:rsidR="009672DA" w:rsidRPr="009663D0">
        <w:rPr>
          <w:rFonts w:ascii="Arial" w:hAnsi="Arial" w:cs="Arial"/>
          <w:color w:val="000000" w:themeColor="text1"/>
          <w:sz w:val="24"/>
          <w:szCs w:val="24"/>
          <w:lang w:val="en-GB"/>
        </w:rPr>
        <w:t xml:space="preserve">The parties were married on 7 January 2006.  </w:t>
      </w:r>
      <w:r w:rsidR="00FA7ED8" w:rsidRPr="009663D0">
        <w:rPr>
          <w:rFonts w:ascii="Arial" w:hAnsi="Arial" w:cs="Arial"/>
          <w:color w:val="000000" w:themeColor="text1"/>
          <w:sz w:val="24"/>
          <w:szCs w:val="24"/>
          <w:lang w:val="en-GB"/>
        </w:rPr>
        <w:t>They have two minor children, the eldest of whom suffers from diabetes, pervasive developmental disorder and other chronic conditions.</w:t>
      </w:r>
    </w:p>
    <w:p w14:paraId="61209B8F" w14:textId="77777777" w:rsidR="00FA7ED8" w:rsidRPr="009663D0" w:rsidRDefault="00FA7ED8" w:rsidP="009663D0">
      <w:pPr>
        <w:pStyle w:val="Heading1"/>
        <w:spacing w:before="0" w:after="0"/>
        <w:ind w:left="709"/>
        <w:jc w:val="both"/>
        <w:rPr>
          <w:rFonts w:ascii="Arial" w:hAnsi="Arial" w:cs="Arial"/>
          <w:color w:val="000000" w:themeColor="text1"/>
          <w:sz w:val="24"/>
          <w:szCs w:val="24"/>
          <w:lang w:val="en-GB"/>
        </w:rPr>
      </w:pPr>
    </w:p>
    <w:p w14:paraId="23AD3EA2" w14:textId="229EA510" w:rsidR="003167C2" w:rsidRPr="009663D0" w:rsidRDefault="00E52642" w:rsidP="00E52642">
      <w:pPr>
        <w:pStyle w:val="Heading1"/>
        <w:tabs>
          <w:tab w:val="left" w:pos="709"/>
        </w:tabs>
        <w:spacing w:before="0" w:after="0"/>
        <w:ind w:left="709"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lastRenderedPageBreak/>
        <w:t>2.</w:t>
      </w:r>
      <w:r w:rsidRPr="009663D0">
        <w:rPr>
          <w:rFonts w:ascii="Arial" w:hAnsi="Arial" w:cs="Arial"/>
          <w:color w:val="000000" w:themeColor="text1"/>
          <w:sz w:val="24"/>
          <w:szCs w:val="24"/>
          <w:lang w:val="en-GB"/>
        </w:rPr>
        <w:tab/>
      </w:r>
      <w:r w:rsidR="003167C2" w:rsidRPr="009663D0">
        <w:rPr>
          <w:rFonts w:ascii="Arial" w:hAnsi="Arial" w:cs="Arial"/>
          <w:color w:val="000000" w:themeColor="text1"/>
          <w:sz w:val="24"/>
          <w:szCs w:val="24"/>
          <w:lang w:val="en-GB"/>
        </w:rPr>
        <w:t>I shall refer to the parties as, respectively, the “applicant” and the “respondent”.</w:t>
      </w:r>
    </w:p>
    <w:p w14:paraId="275930AE" w14:textId="77777777" w:rsidR="003167C2" w:rsidRPr="009663D0" w:rsidRDefault="003167C2" w:rsidP="009663D0">
      <w:pPr>
        <w:pStyle w:val="Heading1"/>
        <w:spacing w:before="0" w:after="0"/>
        <w:ind w:left="709"/>
        <w:jc w:val="both"/>
        <w:rPr>
          <w:rFonts w:ascii="Arial" w:hAnsi="Arial" w:cs="Arial"/>
          <w:color w:val="000000" w:themeColor="text1"/>
          <w:sz w:val="24"/>
          <w:szCs w:val="24"/>
          <w:lang w:val="en-GB"/>
        </w:rPr>
      </w:pPr>
    </w:p>
    <w:p w14:paraId="224EAD6B" w14:textId="767FDF18" w:rsidR="00FA7ED8" w:rsidRPr="009663D0" w:rsidRDefault="00E52642" w:rsidP="00E52642">
      <w:pPr>
        <w:pStyle w:val="Heading1"/>
        <w:tabs>
          <w:tab w:val="left" w:pos="709"/>
        </w:tabs>
        <w:spacing w:before="0" w:after="0"/>
        <w:ind w:left="709"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3.</w:t>
      </w:r>
      <w:r w:rsidRPr="009663D0">
        <w:rPr>
          <w:rFonts w:ascii="Arial" w:hAnsi="Arial" w:cs="Arial"/>
          <w:color w:val="000000" w:themeColor="text1"/>
          <w:sz w:val="24"/>
          <w:szCs w:val="24"/>
          <w:lang w:val="en-GB"/>
        </w:rPr>
        <w:tab/>
      </w:r>
      <w:r w:rsidR="00FA7ED8" w:rsidRPr="009663D0">
        <w:rPr>
          <w:rFonts w:ascii="Arial" w:hAnsi="Arial" w:cs="Arial"/>
          <w:color w:val="000000" w:themeColor="text1"/>
          <w:sz w:val="24"/>
          <w:szCs w:val="24"/>
          <w:lang w:val="en-GB"/>
        </w:rPr>
        <w:t>What is in dispute in the divorce action is</w:t>
      </w:r>
      <w:r w:rsidR="00F060CA" w:rsidRPr="009663D0">
        <w:rPr>
          <w:rFonts w:ascii="Arial" w:hAnsi="Arial" w:cs="Arial"/>
          <w:color w:val="000000" w:themeColor="text1"/>
          <w:sz w:val="24"/>
          <w:szCs w:val="24"/>
          <w:lang w:val="en-GB"/>
        </w:rPr>
        <w:t xml:space="preserve">, </w:t>
      </w:r>
      <w:r w:rsidR="00F060CA" w:rsidRPr="009663D0">
        <w:rPr>
          <w:rFonts w:ascii="Arial" w:hAnsi="Arial" w:cs="Arial"/>
          <w:i/>
          <w:iCs/>
          <w:color w:val="000000" w:themeColor="text1"/>
          <w:sz w:val="24"/>
          <w:szCs w:val="24"/>
          <w:lang w:val="en-GB"/>
        </w:rPr>
        <w:t>inter alia</w:t>
      </w:r>
      <w:r w:rsidR="00F060CA" w:rsidRPr="009663D0">
        <w:rPr>
          <w:rFonts w:ascii="Arial" w:hAnsi="Arial" w:cs="Arial"/>
          <w:color w:val="000000" w:themeColor="text1"/>
          <w:sz w:val="24"/>
          <w:szCs w:val="24"/>
          <w:lang w:val="en-GB"/>
        </w:rPr>
        <w:t xml:space="preserve">, whether </w:t>
      </w:r>
      <w:r w:rsidR="007727D2" w:rsidRPr="009663D0">
        <w:rPr>
          <w:rFonts w:ascii="Arial" w:hAnsi="Arial" w:cs="Arial"/>
          <w:color w:val="000000" w:themeColor="text1"/>
          <w:sz w:val="24"/>
          <w:szCs w:val="24"/>
          <w:lang w:val="en-GB"/>
        </w:rPr>
        <w:t>certain funds</w:t>
      </w:r>
      <w:r w:rsidR="00F060CA" w:rsidRPr="009663D0">
        <w:rPr>
          <w:rFonts w:ascii="Arial" w:hAnsi="Arial" w:cs="Arial"/>
          <w:color w:val="000000" w:themeColor="text1"/>
          <w:sz w:val="24"/>
          <w:szCs w:val="24"/>
          <w:lang w:val="en-GB"/>
        </w:rPr>
        <w:t xml:space="preserve"> provided by the respondent to the applicant </w:t>
      </w:r>
      <w:r w:rsidR="007727D2" w:rsidRPr="009663D0">
        <w:rPr>
          <w:rFonts w:ascii="Arial" w:hAnsi="Arial" w:cs="Arial"/>
          <w:color w:val="000000" w:themeColor="text1"/>
          <w:sz w:val="24"/>
          <w:szCs w:val="24"/>
          <w:lang w:val="en-GB"/>
        </w:rPr>
        <w:t>in the course of</w:t>
      </w:r>
      <w:r w:rsidR="00F060CA" w:rsidRPr="009663D0">
        <w:rPr>
          <w:rFonts w:ascii="Arial" w:hAnsi="Arial" w:cs="Arial"/>
          <w:color w:val="000000" w:themeColor="text1"/>
          <w:sz w:val="24"/>
          <w:szCs w:val="24"/>
          <w:lang w:val="en-GB"/>
        </w:rPr>
        <w:t xml:space="preserve"> their marriage were not gifts, but were loans repayable on divorce.</w:t>
      </w:r>
      <w:r w:rsidR="003167C2" w:rsidRPr="009663D0">
        <w:rPr>
          <w:rFonts w:ascii="Arial" w:hAnsi="Arial" w:cs="Arial"/>
          <w:color w:val="000000" w:themeColor="text1"/>
          <w:sz w:val="24"/>
          <w:szCs w:val="24"/>
          <w:lang w:val="en-GB"/>
        </w:rPr>
        <w:t xml:space="preserve">  This issue features prominently in these proceedings.</w:t>
      </w:r>
    </w:p>
    <w:p w14:paraId="5AE88FF0" w14:textId="77777777" w:rsidR="00F060CA" w:rsidRPr="009663D0" w:rsidRDefault="00F060CA" w:rsidP="009663D0">
      <w:pPr>
        <w:widowControl w:val="0"/>
        <w:spacing w:line="480" w:lineRule="auto"/>
        <w:rPr>
          <w:rFonts w:ascii="Arial" w:hAnsi="Arial" w:cs="Arial"/>
          <w:lang w:val="en-GB"/>
        </w:rPr>
      </w:pPr>
    </w:p>
    <w:p w14:paraId="2CB1A82D" w14:textId="6D4E78DE" w:rsidR="009D540F" w:rsidRPr="009663D0" w:rsidRDefault="00E52642" w:rsidP="00E52642">
      <w:pPr>
        <w:pStyle w:val="Heading1"/>
        <w:tabs>
          <w:tab w:val="left" w:pos="709"/>
        </w:tabs>
        <w:spacing w:before="0" w:after="0"/>
        <w:ind w:left="709"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4.</w:t>
      </w:r>
      <w:r w:rsidRPr="009663D0">
        <w:rPr>
          <w:rFonts w:ascii="Arial" w:hAnsi="Arial" w:cs="Arial"/>
          <w:color w:val="000000" w:themeColor="text1"/>
          <w:sz w:val="24"/>
          <w:szCs w:val="24"/>
          <w:lang w:val="en-GB"/>
        </w:rPr>
        <w:tab/>
      </w:r>
      <w:r w:rsidR="007E72B6" w:rsidRPr="009663D0">
        <w:rPr>
          <w:rFonts w:ascii="Arial" w:hAnsi="Arial" w:cs="Arial"/>
          <w:color w:val="000000" w:themeColor="text1"/>
          <w:sz w:val="24"/>
          <w:szCs w:val="24"/>
          <w:lang w:val="en-GB"/>
        </w:rPr>
        <w:t>The</w:t>
      </w:r>
      <w:r w:rsidR="009D540F" w:rsidRPr="009663D0">
        <w:rPr>
          <w:rFonts w:ascii="Arial" w:hAnsi="Arial" w:cs="Arial"/>
          <w:color w:val="000000" w:themeColor="text1"/>
          <w:sz w:val="24"/>
          <w:szCs w:val="24"/>
          <w:lang w:val="en-GB"/>
        </w:rPr>
        <w:t xml:space="preserve">re are </w:t>
      </w:r>
      <w:r w:rsidR="003167C2" w:rsidRPr="009663D0">
        <w:rPr>
          <w:rFonts w:ascii="Arial" w:hAnsi="Arial" w:cs="Arial"/>
          <w:color w:val="000000" w:themeColor="text1"/>
          <w:sz w:val="24"/>
          <w:szCs w:val="24"/>
          <w:lang w:val="en-GB"/>
        </w:rPr>
        <w:t xml:space="preserve">essentially </w:t>
      </w:r>
      <w:r w:rsidR="00FA7ED8" w:rsidRPr="009663D0">
        <w:rPr>
          <w:rFonts w:ascii="Arial" w:hAnsi="Arial" w:cs="Arial"/>
          <w:color w:val="000000" w:themeColor="text1"/>
          <w:sz w:val="24"/>
          <w:szCs w:val="24"/>
          <w:lang w:val="en-GB"/>
        </w:rPr>
        <w:t>f</w:t>
      </w:r>
      <w:r w:rsidR="00484E4F" w:rsidRPr="009663D0">
        <w:rPr>
          <w:rFonts w:ascii="Arial" w:hAnsi="Arial" w:cs="Arial"/>
          <w:color w:val="000000" w:themeColor="text1"/>
          <w:sz w:val="24"/>
          <w:szCs w:val="24"/>
          <w:lang w:val="en-GB"/>
        </w:rPr>
        <w:t xml:space="preserve">ive </w:t>
      </w:r>
      <w:r w:rsidR="008438E5" w:rsidRPr="009663D0">
        <w:rPr>
          <w:rFonts w:ascii="Arial" w:hAnsi="Arial" w:cs="Arial"/>
          <w:color w:val="000000" w:themeColor="text1"/>
          <w:sz w:val="24"/>
          <w:szCs w:val="24"/>
          <w:lang w:val="en-GB"/>
        </w:rPr>
        <w:t xml:space="preserve">opposed </w:t>
      </w:r>
      <w:r w:rsidR="009D540F" w:rsidRPr="009663D0">
        <w:rPr>
          <w:rFonts w:ascii="Arial" w:hAnsi="Arial" w:cs="Arial"/>
          <w:color w:val="000000" w:themeColor="text1"/>
          <w:sz w:val="24"/>
          <w:szCs w:val="24"/>
          <w:lang w:val="en-GB"/>
        </w:rPr>
        <w:t>applications before me:</w:t>
      </w:r>
    </w:p>
    <w:p w14:paraId="21C780EE" w14:textId="77777777" w:rsidR="008438E5" w:rsidRPr="009663D0" w:rsidRDefault="008438E5" w:rsidP="009663D0">
      <w:pPr>
        <w:widowControl w:val="0"/>
        <w:spacing w:line="480" w:lineRule="auto"/>
        <w:rPr>
          <w:rFonts w:ascii="Arial" w:hAnsi="Arial" w:cs="Arial"/>
          <w:lang w:val="en-GB"/>
        </w:rPr>
      </w:pPr>
    </w:p>
    <w:p w14:paraId="03F56A10" w14:textId="54E4EC6A" w:rsidR="00FA7ED8" w:rsidRPr="009663D0" w:rsidRDefault="00E52642" w:rsidP="00E52642">
      <w:pPr>
        <w:pStyle w:val="Heading1"/>
        <w:spacing w:before="0" w:after="0"/>
        <w:ind w:left="1418"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4.1.</w:t>
      </w:r>
      <w:r w:rsidRPr="009663D0">
        <w:rPr>
          <w:rFonts w:ascii="Arial" w:hAnsi="Arial" w:cs="Arial"/>
          <w:color w:val="000000" w:themeColor="text1"/>
          <w:sz w:val="24"/>
          <w:szCs w:val="24"/>
          <w:lang w:val="en-GB"/>
        </w:rPr>
        <w:tab/>
      </w:r>
      <w:r w:rsidR="00FA7ED8" w:rsidRPr="009663D0">
        <w:rPr>
          <w:rFonts w:ascii="Arial" w:hAnsi="Arial" w:cs="Arial"/>
          <w:color w:val="000000" w:themeColor="text1"/>
          <w:sz w:val="24"/>
          <w:szCs w:val="24"/>
          <w:lang w:val="en-GB"/>
        </w:rPr>
        <w:t>An application instituted by the applicant for the provisional sequestration of the respondent’s estate</w:t>
      </w:r>
      <w:r w:rsidR="00757EE0" w:rsidRPr="009663D0">
        <w:rPr>
          <w:rFonts w:ascii="Arial" w:hAnsi="Arial" w:cs="Arial"/>
          <w:color w:val="000000" w:themeColor="text1"/>
          <w:sz w:val="24"/>
          <w:szCs w:val="24"/>
          <w:lang w:val="en-GB"/>
        </w:rPr>
        <w:t xml:space="preserve"> under case number </w:t>
      </w:r>
      <w:r w:rsidR="00A91DCD" w:rsidRPr="009663D0">
        <w:rPr>
          <w:rFonts w:ascii="Arial" w:hAnsi="Arial" w:cs="Arial"/>
          <w:color w:val="000000" w:themeColor="text1"/>
          <w:sz w:val="24"/>
          <w:szCs w:val="24"/>
          <w:lang w:val="en-GB"/>
        </w:rPr>
        <w:t>17728/2021</w:t>
      </w:r>
      <w:r w:rsidR="00FA7ED8" w:rsidRPr="009663D0">
        <w:rPr>
          <w:rFonts w:ascii="Arial" w:hAnsi="Arial" w:cs="Arial"/>
          <w:color w:val="000000" w:themeColor="text1"/>
          <w:sz w:val="24"/>
          <w:szCs w:val="24"/>
          <w:lang w:val="en-GB"/>
        </w:rPr>
        <w:t>.</w:t>
      </w:r>
    </w:p>
    <w:p w14:paraId="40B8907B" w14:textId="77777777" w:rsidR="00FA7ED8" w:rsidRPr="009663D0" w:rsidRDefault="00FA7ED8" w:rsidP="009663D0">
      <w:pPr>
        <w:widowControl w:val="0"/>
        <w:spacing w:line="480" w:lineRule="auto"/>
        <w:rPr>
          <w:rFonts w:ascii="Arial" w:hAnsi="Arial" w:cs="Arial"/>
          <w:lang w:val="en-GB"/>
        </w:rPr>
      </w:pPr>
    </w:p>
    <w:p w14:paraId="2267F98D" w14:textId="4F06D9F8" w:rsidR="00852818" w:rsidRPr="009663D0" w:rsidRDefault="00E52642" w:rsidP="00E52642">
      <w:pPr>
        <w:pStyle w:val="Heading1"/>
        <w:spacing w:before="0" w:after="0"/>
        <w:ind w:left="1418"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4.2.</w:t>
      </w:r>
      <w:r w:rsidRPr="009663D0">
        <w:rPr>
          <w:rFonts w:ascii="Arial" w:hAnsi="Arial" w:cs="Arial"/>
          <w:color w:val="000000" w:themeColor="text1"/>
          <w:sz w:val="24"/>
          <w:szCs w:val="24"/>
          <w:lang w:val="en-GB"/>
        </w:rPr>
        <w:tab/>
      </w:r>
      <w:r w:rsidR="008438E5" w:rsidRPr="009663D0">
        <w:rPr>
          <w:rFonts w:ascii="Arial" w:hAnsi="Arial" w:cs="Arial"/>
          <w:color w:val="000000" w:themeColor="text1"/>
          <w:sz w:val="24"/>
          <w:szCs w:val="24"/>
          <w:lang w:val="en-GB"/>
        </w:rPr>
        <w:t xml:space="preserve">An application brought </w:t>
      </w:r>
      <w:proofErr w:type="gramStart"/>
      <w:r w:rsidR="008438E5" w:rsidRPr="009663D0">
        <w:rPr>
          <w:rFonts w:ascii="Arial" w:hAnsi="Arial" w:cs="Arial"/>
          <w:color w:val="000000" w:themeColor="text1"/>
          <w:sz w:val="24"/>
          <w:szCs w:val="24"/>
          <w:lang w:val="en-GB"/>
        </w:rPr>
        <w:t>In</w:t>
      </w:r>
      <w:proofErr w:type="gramEnd"/>
      <w:r w:rsidR="008438E5" w:rsidRPr="009663D0">
        <w:rPr>
          <w:rFonts w:ascii="Arial" w:hAnsi="Arial" w:cs="Arial"/>
          <w:color w:val="000000" w:themeColor="text1"/>
          <w:sz w:val="24"/>
          <w:szCs w:val="24"/>
          <w:lang w:val="en-GB"/>
        </w:rPr>
        <w:t xml:space="preserve"> September 2021 </w:t>
      </w:r>
      <w:r w:rsidR="00A91DCD" w:rsidRPr="009663D0">
        <w:rPr>
          <w:rFonts w:ascii="Arial" w:hAnsi="Arial" w:cs="Arial"/>
          <w:color w:val="000000" w:themeColor="text1"/>
          <w:sz w:val="24"/>
          <w:szCs w:val="24"/>
          <w:lang w:val="en-GB"/>
        </w:rPr>
        <w:t xml:space="preserve">under case number 19689/2016 </w:t>
      </w:r>
      <w:r w:rsidR="008438E5" w:rsidRPr="009663D0">
        <w:rPr>
          <w:rFonts w:ascii="Arial" w:hAnsi="Arial" w:cs="Arial"/>
          <w:color w:val="000000" w:themeColor="text1"/>
          <w:sz w:val="24"/>
          <w:szCs w:val="24"/>
          <w:lang w:val="en-GB"/>
        </w:rPr>
        <w:t>by the respondent in terms of Rule 43(6),</w:t>
      </w:r>
      <w:r w:rsidR="00FA7ED8" w:rsidRPr="009663D0">
        <w:rPr>
          <w:rFonts w:ascii="Arial" w:hAnsi="Arial" w:cs="Arial"/>
          <w:color w:val="000000" w:themeColor="text1"/>
          <w:sz w:val="24"/>
          <w:szCs w:val="24"/>
          <w:lang w:val="en-GB"/>
        </w:rPr>
        <w:t xml:space="preserve"> </w:t>
      </w:r>
      <w:r w:rsidR="008438E5" w:rsidRPr="009663D0">
        <w:rPr>
          <w:rFonts w:ascii="Arial" w:hAnsi="Arial" w:cs="Arial"/>
          <w:color w:val="000000" w:themeColor="text1"/>
          <w:sz w:val="24"/>
          <w:szCs w:val="24"/>
          <w:lang w:val="en-GB"/>
        </w:rPr>
        <w:t>seeking a variation of an order made in terms of Rule 43 on 4 April 2017</w:t>
      </w:r>
      <w:r w:rsidR="00852818" w:rsidRPr="009663D0">
        <w:rPr>
          <w:rFonts w:ascii="Arial" w:hAnsi="Arial" w:cs="Arial"/>
          <w:color w:val="000000" w:themeColor="text1"/>
          <w:sz w:val="24"/>
          <w:szCs w:val="24"/>
          <w:lang w:val="en-GB"/>
        </w:rPr>
        <w:t>.</w:t>
      </w:r>
    </w:p>
    <w:p w14:paraId="0A3B9FE0" w14:textId="77777777" w:rsidR="00852818" w:rsidRPr="009663D0" w:rsidRDefault="00852818" w:rsidP="009663D0">
      <w:pPr>
        <w:pStyle w:val="Heading1"/>
        <w:spacing w:before="0" w:after="0"/>
        <w:ind w:left="1418"/>
        <w:jc w:val="both"/>
        <w:rPr>
          <w:rFonts w:ascii="Arial" w:hAnsi="Arial" w:cs="Arial"/>
          <w:color w:val="000000" w:themeColor="text1"/>
          <w:sz w:val="24"/>
          <w:szCs w:val="24"/>
          <w:lang w:val="en-GB"/>
        </w:rPr>
      </w:pPr>
    </w:p>
    <w:p w14:paraId="79556234" w14:textId="6CA9F41C" w:rsidR="00852818" w:rsidRPr="009663D0" w:rsidRDefault="00E52642" w:rsidP="00E52642">
      <w:pPr>
        <w:pStyle w:val="Heading1"/>
        <w:spacing w:before="0" w:after="0"/>
        <w:ind w:left="1418"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4.3.</w:t>
      </w:r>
      <w:r w:rsidRPr="009663D0">
        <w:rPr>
          <w:rFonts w:ascii="Arial" w:hAnsi="Arial" w:cs="Arial"/>
          <w:color w:val="000000" w:themeColor="text1"/>
          <w:sz w:val="24"/>
          <w:szCs w:val="24"/>
          <w:lang w:val="en-GB"/>
        </w:rPr>
        <w:tab/>
      </w:r>
      <w:r w:rsidR="00852818" w:rsidRPr="009663D0">
        <w:rPr>
          <w:rFonts w:ascii="Arial" w:hAnsi="Arial" w:cs="Arial"/>
          <w:color w:val="000000" w:themeColor="text1"/>
          <w:sz w:val="24"/>
          <w:szCs w:val="24"/>
          <w:lang w:val="en-GB"/>
        </w:rPr>
        <w:t>A counter-application to the respondent’s Rule 43(6) application</w:t>
      </w:r>
      <w:r w:rsidR="00A91DCD" w:rsidRPr="009663D0">
        <w:rPr>
          <w:rFonts w:ascii="Arial" w:hAnsi="Arial" w:cs="Arial"/>
          <w:color w:val="000000" w:themeColor="text1"/>
          <w:sz w:val="24"/>
          <w:szCs w:val="24"/>
          <w:lang w:val="en-GB"/>
        </w:rPr>
        <w:t xml:space="preserve"> under the same case number</w:t>
      </w:r>
      <w:r w:rsidR="00852818" w:rsidRPr="009663D0">
        <w:rPr>
          <w:rFonts w:ascii="Arial" w:hAnsi="Arial" w:cs="Arial"/>
          <w:color w:val="000000" w:themeColor="text1"/>
          <w:sz w:val="24"/>
          <w:szCs w:val="24"/>
          <w:lang w:val="en-GB"/>
        </w:rPr>
        <w:t xml:space="preserve">, in which the applicant seeks an order holding the respondent in contempt for failure to comply with the Rule 43 order granted on 4 April 2017 and the directions made for the purposes of trial preparation by the relevant case management judge </w:t>
      </w:r>
      <w:r w:rsidR="00484E4F" w:rsidRPr="009663D0">
        <w:rPr>
          <w:rFonts w:ascii="Arial" w:hAnsi="Arial" w:cs="Arial"/>
          <w:color w:val="000000" w:themeColor="text1"/>
          <w:sz w:val="24"/>
          <w:szCs w:val="24"/>
          <w:lang w:val="en-GB"/>
        </w:rPr>
        <w:t xml:space="preserve">(the Honourable Justice Dolamo) </w:t>
      </w:r>
      <w:r w:rsidR="00852818" w:rsidRPr="009663D0">
        <w:rPr>
          <w:rFonts w:ascii="Arial" w:hAnsi="Arial" w:cs="Arial"/>
          <w:color w:val="000000" w:themeColor="text1"/>
          <w:sz w:val="24"/>
          <w:szCs w:val="24"/>
          <w:lang w:val="en-GB"/>
        </w:rPr>
        <w:t>on 6 February 2018, 7 October 2020, and 26 November 2020.</w:t>
      </w:r>
    </w:p>
    <w:p w14:paraId="0BC78B69" w14:textId="77777777" w:rsidR="00852818" w:rsidRPr="009663D0" w:rsidRDefault="00852818" w:rsidP="009663D0">
      <w:pPr>
        <w:pStyle w:val="Heading1"/>
        <w:spacing w:before="0" w:after="0"/>
        <w:ind w:left="1418"/>
        <w:jc w:val="both"/>
        <w:rPr>
          <w:rFonts w:ascii="Arial" w:hAnsi="Arial" w:cs="Arial"/>
          <w:color w:val="000000" w:themeColor="text1"/>
          <w:sz w:val="24"/>
          <w:szCs w:val="24"/>
          <w:lang w:val="en-GB"/>
        </w:rPr>
      </w:pPr>
    </w:p>
    <w:p w14:paraId="6BEF426C" w14:textId="1547558E" w:rsidR="00484E4F" w:rsidRPr="009663D0" w:rsidRDefault="00E52642" w:rsidP="00E52642">
      <w:pPr>
        <w:pStyle w:val="Heading1"/>
        <w:spacing w:before="0" w:after="0"/>
        <w:ind w:left="1418"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4.4.</w:t>
      </w:r>
      <w:r w:rsidRPr="009663D0">
        <w:rPr>
          <w:rFonts w:ascii="Arial" w:hAnsi="Arial" w:cs="Arial"/>
          <w:color w:val="000000" w:themeColor="text1"/>
          <w:sz w:val="24"/>
          <w:szCs w:val="24"/>
          <w:lang w:val="en-GB"/>
        </w:rPr>
        <w:tab/>
      </w:r>
      <w:r w:rsidR="00F060CA" w:rsidRPr="009663D0">
        <w:rPr>
          <w:rFonts w:ascii="Arial" w:hAnsi="Arial" w:cs="Arial"/>
          <w:color w:val="000000" w:themeColor="text1"/>
          <w:sz w:val="24"/>
          <w:szCs w:val="24"/>
          <w:lang w:val="en-GB"/>
        </w:rPr>
        <w:t>A</w:t>
      </w:r>
      <w:r w:rsidR="007727D2" w:rsidRPr="009663D0">
        <w:rPr>
          <w:rFonts w:ascii="Arial" w:hAnsi="Arial" w:cs="Arial"/>
          <w:color w:val="000000" w:themeColor="text1"/>
          <w:sz w:val="24"/>
          <w:szCs w:val="24"/>
          <w:lang w:val="en-GB"/>
        </w:rPr>
        <w:t xml:space="preserve"> </w:t>
      </w:r>
      <w:r w:rsidR="00F060CA" w:rsidRPr="009663D0">
        <w:rPr>
          <w:rFonts w:ascii="Arial" w:hAnsi="Arial" w:cs="Arial"/>
          <w:color w:val="000000" w:themeColor="text1"/>
          <w:sz w:val="24"/>
          <w:szCs w:val="24"/>
          <w:lang w:val="en-GB"/>
        </w:rPr>
        <w:t xml:space="preserve">procedural complaint </w:t>
      </w:r>
      <w:r w:rsidR="007727D2" w:rsidRPr="009663D0">
        <w:rPr>
          <w:rFonts w:ascii="Arial" w:hAnsi="Arial" w:cs="Arial"/>
          <w:color w:val="000000" w:themeColor="text1"/>
          <w:sz w:val="24"/>
          <w:szCs w:val="24"/>
          <w:lang w:val="en-GB"/>
        </w:rPr>
        <w:t xml:space="preserve">raised by the respondent </w:t>
      </w:r>
      <w:r w:rsidR="00484E4F" w:rsidRPr="009663D0">
        <w:rPr>
          <w:rFonts w:ascii="Arial" w:hAnsi="Arial" w:cs="Arial"/>
          <w:color w:val="000000" w:themeColor="text1"/>
          <w:sz w:val="24"/>
          <w:szCs w:val="24"/>
          <w:lang w:val="en-GB"/>
        </w:rPr>
        <w:t>that the applicant may not raise the respondent’s contempt by way of a counter-application.</w:t>
      </w:r>
    </w:p>
    <w:p w14:paraId="764FD9E6" w14:textId="77777777" w:rsidR="00484E4F" w:rsidRPr="009663D0" w:rsidRDefault="00484E4F" w:rsidP="009663D0">
      <w:pPr>
        <w:widowControl w:val="0"/>
        <w:spacing w:line="480" w:lineRule="auto"/>
        <w:jc w:val="both"/>
        <w:rPr>
          <w:rFonts w:ascii="Arial" w:hAnsi="Arial" w:cs="Arial"/>
          <w:lang w:val="en-GB"/>
        </w:rPr>
      </w:pPr>
    </w:p>
    <w:p w14:paraId="28CA83EF" w14:textId="442D3497" w:rsidR="009D540F" w:rsidRPr="009663D0" w:rsidRDefault="00E52642" w:rsidP="00E52642">
      <w:pPr>
        <w:pStyle w:val="Heading1"/>
        <w:spacing w:before="0" w:after="0"/>
        <w:ind w:left="1418" w:hanging="709"/>
        <w:jc w:val="both"/>
        <w:rPr>
          <w:rFonts w:ascii="Arial" w:hAnsi="Arial" w:cs="Arial"/>
          <w:sz w:val="24"/>
          <w:szCs w:val="24"/>
          <w:lang w:val="en-GB"/>
        </w:rPr>
      </w:pPr>
      <w:r w:rsidRPr="009663D0">
        <w:rPr>
          <w:rFonts w:ascii="Arial" w:hAnsi="Arial" w:cs="Arial"/>
          <w:sz w:val="24"/>
          <w:szCs w:val="24"/>
          <w:lang w:val="en-GB"/>
        </w:rPr>
        <w:lastRenderedPageBreak/>
        <w:t>4.5.</w:t>
      </w:r>
      <w:r w:rsidRPr="009663D0">
        <w:rPr>
          <w:rFonts w:ascii="Arial" w:hAnsi="Arial" w:cs="Arial"/>
          <w:sz w:val="24"/>
          <w:szCs w:val="24"/>
          <w:lang w:val="en-GB"/>
        </w:rPr>
        <w:tab/>
      </w:r>
      <w:r w:rsidR="00852818" w:rsidRPr="009663D0">
        <w:rPr>
          <w:rFonts w:ascii="Arial" w:hAnsi="Arial" w:cs="Arial"/>
          <w:sz w:val="24"/>
          <w:szCs w:val="24"/>
          <w:lang w:val="en-GB"/>
        </w:rPr>
        <w:t>An application by the respondent</w:t>
      </w:r>
      <w:r w:rsidR="00A91DCD" w:rsidRPr="009663D0">
        <w:rPr>
          <w:rFonts w:ascii="Arial" w:hAnsi="Arial" w:cs="Arial"/>
          <w:sz w:val="24"/>
          <w:szCs w:val="24"/>
          <w:lang w:val="en-GB"/>
        </w:rPr>
        <w:t xml:space="preserve"> </w:t>
      </w:r>
      <w:r w:rsidR="00852818" w:rsidRPr="009663D0">
        <w:rPr>
          <w:rFonts w:ascii="Arial" w:hAnsi="Arial" w:cs="Arial"/>
          <w:sz w:val="24"/>
          <w:szCs w:val="24"/>
          <w:lang w:val="en-GB"/>
        </w:rPr>
        <w:t>for the setting aside of a writ of execution obtained by the respondent on 8 November 2021</w:t>
      </w:r>
      <w:r w:rsidR="00757EE0" w:rsidRPr="009663D0">
        <w:rPr>
          <w:rFonts w:ascii="Arial" w:hAnsi="Arial" w:cs="Arial"/>
          <w:sz w:val="24"/>
          <w:szCs w:val="24"/>
          <w:lang w:val="en-GB"/>
        </w:rPr>
        <w:t xml:space="preserve"> under case number 19689/2016</w:t>
      </w:r>
      <w:r w:rsidR="00852818" w:rsidRPr="009663D0">
        <w:rPr>
          <w:rFonts w:ascii="Arial" w:hAnsi="Arial" w:cs="Arial"/>
          <w:sz w:val="24"/>
          <w:szCs w:val="24"/>
          <w:lang w:val="en-GB"/>
        </w:rPr>
        <w:t>.</w:t>
      </w:r>
    </w:p>
    <w:p w14:paraId="192D8CDD" w14:textId="61A4DA3E" w:rsidR="009D540F" w:rsidRPr="009663D0" w:rsidRDefault="009D540F" w:rsidP="009663D0">
      <w:pPr>
        <w:pStyle w:val="Heading1"/>
        <w:spacing w:before="0" w:after="0"/>
        <w:jc w:val="both"/>
        <w:rPr>
          <w:rFonts w:ascii="Arial" w:hAnsi="Arial" w:cs="Arial"/>
          <w:sz w:val="24"/>
          <w:szCs w:val="24"/>
          <w:lang w:val="en-GB"/>
        </w:rPr>
      </w:pPr>
    </w:p>
    <w:p w14:paraId="0C556A5F" w14:textId="03ED5D9E" w:rsidR="00484E4F" w:rsidRPr="00E52642" w:rsidRDefault="00E52642" w:rsidP="00E52642">
      <w:pPr>
        <w:widowControl w:val="0"/>
        <w:tabs>
          <w:tab w:val="left" w:pos="709"/>
        </w:tabs>
        <w:spacing w:line="480" w:lineRule="auto"/>
        <w:ind w:left="709" w:hanging="709"/>
        <w:jc w:val="both"/>
        <w:rPr>
          <w:rFonts w:ascii="Arial" w:hAnsi="Arial" w:cs="Arial"/>
          <w:lang w:val="en-GB"/>
        </w:rPr>
      </w:pPr>
      <w:r>
        <w:rPr>
          <w:rFonts w:ascii="Arial" w:hAnsi="Arial" w:cs="Arial"/>
          <w:lang w:val="en-GB"/>
        </w:rPr>
        <w:t>5.</w:t>
      </w:r>
      <w:r>
        <w:rPr>
          <w:rFonts w:ascii="Arial" w:hAnsi="Arial" w:cs="Arial"/>
          <w:lang w:val="en-GB"/>
        </w:rPr>
        <w:tab/>
      </w:r>
      <w:r w:rsidR="00484E4F" w:rsidRPr="00E52642">
        <w:rPr>
          <w:rFonts w:ascii="Arial" w:hAnsi="Arial" w:cs="Arial"/>
          <w:lang w:val="en-GB"/>
        </w:rPr>
        <w:t xml:space="preserve">The same facts inform </w:t>
      </w:r>
      <w:r w:rsidR="00530809" w:rsidRPr="00E52642">
        <w:rPr>
          <w:rFonts w:ascii="Arial" w:hAnsi="Arial" w:cs="Arial"/>
          <w:lang w:val="en-GB"/>
        </w:rPr>
        <w:t>most</w:t>
      </w:r>
      <w:r w:rsidR="00484E4F" w:rsidRPr="00E52642">
        <w:rPr>
          <w:rFonts w:ascii="Arial" w:hAnsi="Arial" w:cs="Arial"/>
          <w:lang w:val="en-GB"/>
        </w:rPr>
        <w:t xml:space="preserve"> of these applications</w:t>
      </w:r>
      <w:r w:rsidR="00757EE0" w:rsidRPr="00E52642">
        <w:rPr>
          <w:rFonts w:ascii="Arial" w:hAnsi="Arial" w:cs="Arial"/>
          <w:lang w:val="en-GB"/>
        </w:rPr>
        <w:t xml:space="preserve">.  </w:t>
      </w:r>
      <w:r w:rsidR="00484E4F" w:rsidRPr="00E52642">
        <w:rPr>
          <w:rFonts w:ascii="Arial" w:hAnsi="Arial" w:cs="Arial"/>
          <w:lang w:val="en-GB"/>
        </w:rPr>
        <w:t>In what follows I shall address the sequestration application first</w:t>
      </w:r>
      <w:r w:rsidR="005019CA" w:rsidRPr="00E52642">
        <w:rPr>
          <w:rFonts w:ascii="Arial" w:hAnsi="Arial" w:cs="Arial"/>
          <w:lang w:val="en-GB"/>
        </w:rPr>
        <w:t>, as the fate of Rule 43(6) application and the application for the setting aside of the writ of execution depends upon the outcome of the sequestration application.</w:t>
      </w:r>
    </w:p>
    <w:p w14:paraId="45FF2C9B" w14:textId="77777777" w:rsidR="00DA6ED6" w:rsidRDefault="00DA6ED6" w:rsidP="00DA6ED6">
      <w:pPr>
        <w:pStyle w:val="ListParagraph"/>
        <w:widowControl w:val="0"/>
        <w:spacing w:line="480" w:lineRule="auto"/>
        <w:ind w:left="709"/>
        <w:jc w:val="both"/>
        <w:rPr>
          <w:rFonts w:ascii="Arial" w:hAnsi="Arial" w:cs="Arial"/>
          <w:lang w:val="en-GB"/>
        </w:rPr>
      </w:pPr>
    </w:p>
    <w:p w14:paraId="3917AD63" w14:textId="75AA38C4" w:rsidR="00DA6ED6"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6.</w:t>
      </w:r>
      <w:r w:rsidRPr="009663D0">
        <w:rPr>
          <w:rFonts w:ascii="Arial" w:hAnsi="Arial" w:cs="Arial"/>
          <w:lang w:val="en-GB"/>
        </w:rPr>
        <w:tab/>
      </w:r>
      <w:r w:rsidR="00DA6ED6" w:rsidRPr="00E52642">
        <w:rPr>
          <w:rFonts w:ascii="Arial" w:hAnsi="Arial" w:cs="Arial"/>
          <w:lang w:val="en-GB"/>
        </w:rPr>
        <w:t>I shall, in a follow-up judgment, deal with the applicant’s contempt application and the respondent’s objection as to the competence thereof.</w:t>
      </w:r>
    </w:p>
    <w:p w14:paraId="1BC18BEE" w14:textId="77777777" w:rsidR="00A7732B" w:rsidRPr="009663D0" w:rsidRDefault="00A7732B" w:rsidP="009663D0">
      <w:pPr>
        <w:pStyle w:val="ListParagraph"/>
        <w:widowControl w:val="0"/>
        <w:spacing w:line="480" w:lineRule="auto"/>
        <w:ind w:left="709"/>
        <w:jc w:val="both"/>
        <w:rPr>
          <w:rFonts w:ascii="Arial" w:hAnsi="Arial" w:cs="Arial"/>
          <w:lang w:val="en-GB"/>
        </w:rPr>
      </w:pPr>
    </w:p>
    <w:p w14:paraId="190D4A4D" w14:textId="78E7A83D" w:rsidR="00453521"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7.</w:t>
      </w:r>
      <w:r w:rsidRPr="009663D0">
        <w:rPr>
          <w:rFonts w:ascii="Arial" w:hAnsi="Arial" w:cs="Arial"/>
          <w:lang w:val="en-GB"/>
        </w:rPr>
        <w:tab/>
      </w:r>
      <w:r w:rsidR="00453521" w:rsidRPr="00E52642">
        <w:rPr>
          <w:rFonts w:ascii="Arial" w:hAnsi="Arial" w:cs="Arial"/>
          <w:lang w:val="en-GB"/>
        </w:rPr>
        <w:t>Both parties ha</w:t>
      </w:r>
      <w:r w:rsidR="00A7732B" w:rsidRPr="00E52642">
        <w:rPr>
          <w:rFonts w:ascii="Arial" w:hAnsi="Arial" w:cs="Arial"/>
          <w:lang w:val="en-GB"/>
        </w:rPr>
        <w:t>d</w:t>
      </w:r>
      <w:r w:rsidR="00453521" w:rsidRPr="00E52642">
        <w:rPr>
          <w:rFonts w:ascii="Arial" w:hAnsi="Arial" w:cs="Arial"/>
          <w:lang w:val="en-GB"/>
        </w:rPr>
        <w:t xml:space="preserve"> delivered certain affidavits late, and they both applied for condonation in respect thereof.  Condonation was </w:t>
      </w:r>
      <w:r w:rsidR="00A7732B" w:rsidRPr="00E52642">
        <w:rPr>
          <w:rFonts w:ascii="Arial" w:hAnsi="Arial" w:cs="Arial"/>
          <w:lang w:val="en-GB"/>
        </w:rPr>
        <w:t xml:space="preserve">duly </w:t>
      </w:r>
      <w:r w:rsidR="00453521" w:rsidRPr="00E52642">
        <w:rPr>
          <w:rFonts w:ascii="Arial" w:hAnsi="Arial" w:cs="Arial"/>
          <w:lang w:val="en-GB"/>
        </w:rPr>
        <w:t>granted</w:t>
      </w:r>
      <w:r w:rsidR="00A7732B" w:rsidRPr="00E52642">
        <w:rPr>
          <w:rFonts w:ascii="Arial" w:hAnsi="Arial" w:cs="Arial"/>
          <w:lang w:val="en-GB"/>
        </w:rPr>
        <w:t>.</w:t>
      </w:r>
    </w:p>
    <w:p w14:paraId="34ED1715" w14:textId="77777777" w:rsidR="00757EE0" w:rsidRPr="009663D0" w:rsidRDefault="00757EE0" w:rsidP="009663D0">
      <w:pPr>
        <w:pStyle w:val="ListParagraph"/>
        <w:widowControl w:val="0"/>
        <w:spacing w:line="480" w:lineRule="auto"/>
        <w:ind w:left="709"/>
        <w:jc w:val="both"/>
        <w:rPr>
          <w:rFonts w:ascii="Arial" w:hAnsi="Arial" w:cs="Arial"/>
          <w:lang w:val="en-GB"/>
        </w:rPr>
      </w:pPr>
    </w:p>
    <w:p w14:paraId="7BC4DFD6" w14:textId="069B4352" w:rsidR="00757EE0" w:rsidRPr="009663D0" w:rsidRDefault="00757EE0" w:rsidP="009663D0">
      <w:pPr>
        <w:widowControl w:val="0"/>
        <w:spacing w:line="480" w:lineRule="auto"/>
        <w:jc w:val="both"/>
        <w:rPr>
          <w:rFonts w:ascii="Arial" w:hAnsi="Arial" w:cs="Arial"/>
          <w:b/>
          <w:bCs/>
          <w:u w:val="single"/>
          <w:lang w:val="en-GB"/>
        </w:rPr>
      </w:pPr>
      <w:r w:rsidRPr="009663D0">
        <w:rPr>
          <w:rFonts w:ascii="Arial" w:hAnsi="Arial" w:cs="Arial"/>
          <w:b/>
          <w:bCs/>
          <w:u w:val="single"/>
          <w:lang w:val="en-GB"/>
        </w:rPr>
        <w:t>The applicant’s application for the sequestration of the respondent’s estate</w:t>
      </w:r>
    </w:p>
    <w:p w14:paraId="74235CE0" w14:textId="24F39003" w:rsidR="00757EE0" w:rsidRPr="009663D0" w:rsidRDefault="00757EE0" w:rsidP="009663D0">
      <w:pPr>
        <w:widowControl w:val="0"/>
        <w:spacing w:line="480" w:lineRule="auto"/>
        <w:jc w:val="both"/>
        <w:rPr>
          <w:rFonts w:ascii="Arial" w:hAnsi="Arial" w:cs="Arial"/>
          <w:lang w:val="en-GB"/>
        </w:rPr>
      </w:pPr>
    </w:p>
    <w:p w14:paraId="0D72473B" w14:textId="384236E1" w:rsidR="00757EE0"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8.</w:t>
      </w:r>
      <w:r w:rsidRPr="009663D0">
        <w:rPr>
          <w:rFonts w:ascii="Arial" w:hAnsi="Arial" w:cs="Arial"/>
          <w:lang w:val="en-GB"/>
        </w:rPr>
        <w:tab/>
      </w:r>
      <w:r w:rsidR="004D1759" w:rsidRPr="00E52642">
        <w:rPr>
          <w:rFonts w:ascii="Arial" w:hAnsi="Arial" w:cs="Arial"/>
          <w:lang w:val="en-GB"/>
        </w:rPr>
        <w:t>S</w:t>
      </w:r>
      <w:r w:rsidR="00F7658D" w:rsidRPr="00E52642">
        <w:rPr>
          <w:rFonts w:ascii="Arial" w:hAnsi="Arial" w:cs="Arial"/>
          <w:lang w:val="en-GB"/>
        </w:rPr>
        <w:t>ection 10 of the Insolvency Act</w:t>
      </w:r>
      <w:r w:rsidR="004D1759" w:rsidRPr="00E52642">
        <w:rPr>
          <w:rFonts w:ascii="Arial" w:hAnsi="Arial" w:cs="Arial"/>
          <w:lang w:val="en-GB"/>
        </w:rPr>
        <w:t xml:space="preserve"> provides as follows:</w:t>
      </w:r>
    </w:p>
    <w:p w14:paraId="4C0BB01F" w14:textId="77707A30" w:rsidR="004D1759" w:rsidRPr="009663D0" w:rsidRDefault="004D1759" w:rsidP="009663D0">
      <w:pPr>
        <w:pStyle w:val="ListParagraph"/>
        <w:widowControl w:val="0"/>
        <w:spacing w:line="480" w:lineRule="auto"/>
        <w:ind w:left="709"/>
        <w:jc w:val="both"/>
        <w:rPr>
          <w:rFonts w:ascii="Arial" w:hAnsi="Arial" w:cs="Arial"/>
          <w:lang w:val="en-GB"/>
        </w:rPr>
      </w:pPr>
    </w:p>
    <w:p w14:paraId="2A437F7F" w14:textId="12AFDA4D" w:rsidR="004D1759" w:rsidRPr="009663D0" w:rsidRDefault="009672DA" w:rsidP="009663D0">
      <w:pPr>
        <w:widowControl w:val="0"/>
        <w:spacing w:line="480" w:lineRule="auto"/>
        <w:ind w:left="709"/>
        <w:jc w:val="both"/>
        <w:rPr>
          <w:rFonts w:ascii="Arial" w:hAnsi="Arial" w:cs="Arial"/>
          <w:i/>
          <w:iCs/>
          <w:lang w:val="en-ZA" w:eastAsia="en-ZA"/>
        </w:rPr>
      </w:pPr>
      <w:r w:rsidRPr="009663D0">
        <w:rPr>
          <w:rFonts w:ascii="Arial" w:hAnsi="Arial" w:cs="Arial"/>
          <w:i/>
          <w:iCs/>
          <w:lang w:val="en-ZA" w:eastAsia="en-ZA"/>
        </w:rPr>
        <w:t>“</w:t>
      </w:r>
      <w:r w:rsidR="004D1759" w:rsidRPr="009663D0">
        <w:rPr>
          <w:rFonts w:ascii="Arial" w:hAnsi="Arial" w:cs="Arial"/>
          <w:i/>
          <w:iCs/>
          <w:lang w:val="en-ZA" w:eastAsia="en-ZA"/>
        </w:rPr>
        <w:t>If the court to which the petition for the sequestration of the estate of a debtor has been presented is of the opinion that </w:t>
      </w:r>
      <w:r w:rsidR="004D1759" w:rsidRPr="009663D0">
        <w:rPr>
          <w:rFonts w:ascii="Arial" w:hAnsi="Arial" w:cs="Arial"/>
          <w:lang w:val="en-ZA" w:eastAsia="en-ZA"/>
        </w:rPr>
        <w:t>prima facie</w:t>
      </w:r>
      <w:r w:rsidR="004D1759" w:rsidRPr="009663D0">
        <w:rPr>
          <w:rFonts w:ascii="Arial" w:hAnsi="Arial" w:cs="Arial"/>
          <w:i/>
          <w:iCs/>
          <w:lang w:val="en-ZA" w:eastAsia="en-ZA"/>
        </w:rPr>
        <w:t>-</w:t>
      </w:r>
    </w:p>
    <w:p w14:paraId="7A7EE700" w14:textId="09F92E50" w:rsidR="004D1759" w:rsidRPr="00E52642" w:rsidRDefault="00E52642" w:rsidP="00E52642">
      <w:pPr>
        <w:widowControl w:val="0"/>
        <w:shd w:val="clear" w:color="auto" w:fill="FFFFFF"/>
        <w:spacing w:line="480" w:lineRule="auto"/>
        <w:ind w:left="1069" w:hanging="360"/>
        <w:jc w:val="both"/>
        <w:rPr>
          <w:rFonts w:ascii="Arial" w:hAnsi="Arial" w:cs="Arial"/>
          <w:i/>
          <w:iCs/>
          <w:lang w:val="en-ZA" w:eastAsia="en-ZA"/>
        </w:rPr>
      </w:pPr>
      <w:r w:rsidRPr="009663D0">
        <w:rPr>
          <w:rFonts w:ascii="Arial" w:hAnsi="Arial" w:cs="Arial"/>
          <w:i/>
          <w:iCs/>
          <w:lang w:val="en-ZA" w:eastAsia="en-ZA"/>
        </w:rPr>
        <w:t>(a)</w:t>
      </w:r>
      <w:r w:rsidRPr="009663D0">
        <w:rPr>
          <w:rFonts w:ascii="Arial" w:hAnsi="Arial" w:cs="Arial"/>
          <w:i/>
          <w:iCs/>
          <w:lang w:val="en-ZA" w:eastAsia="en-ZA"/>
        </w:rPr>
        <w:tab/>
      </w:r>
      <w:r w:rsidR="004D1759" w:rsidRPr="00E52642">
        <w:rPr>
          <w:rFonts w:ascii="Arial" w:hAnsi="Arial" w:cs="Arial"/>
          <w:i/>
          <w:iCs/>
          <w:lang w:val="en-ZA" w:eastAsia="en-ZA"/>
        </w:rPr>
        <w:t>the petitioning creditor has established against the debtor a claim such as is mentioned in subsection (1) of section nine; and</w:t>
      </w:r>
    </w:p>
    <w:p w14:paraId="7170F038" w14:textId="51B4F381" w:rsidR="004D1759" w:rsidRPr="00E52642" w:rsidRDefault="00E52642" w:rsidP="00E52642">
      <w:pPr>
        <w:widowControl w:val="0"/>
        <w:shd w:val="clear" w:color="auto" w:fill="FFFFFF"/>
        <w:spacing w:line="480" w:lineRule="auto"/>
        <w:ind w:left="1069" w:hanging="360"/>
        <w:jc w:val="both"/>
        <w:rPr>
          <w:rFonts w:ascii="Arial" w:hAnsi="Arial" w:cs="Arial"/>
          <w:i/>
          <w:iCs/>
          <w:lang w:val="en-ZA" w:eastAsia="en-ZA"/>
        </w:rPr>
      </w:pPr>
      <w:r w:rsidRPr="009663D0">
        <w:rPr>
          <w:rFonts w:ascii="Arial" w:hAnsi="Arial" w:cs="Arial"/>
          <w:i/>
          <w:iCs/>
          <w:lang w:val="en-ZA" w:eastAsia="en-ZA"/>
        </w:rPr>
        <w:t>(b)</w:t>
      </w:r>
      <w:r w:rsidRPr="009663D0">
        <w:rPr>
          <w:rFonts w:ascii="Arial" w:hAnsi="Arial" w:cs="Arial"/>
          <w:i/>
          <w:iCs/>
          <w:lang w:val="en-ZA" w:eastAsia="en-ZA"/>
        </w:rPr>
        <w:tab/>
      </w:r>
      <w:r w:rsidR="004D1759" w:rsidRPr="00E52642">
        <w:rPr>
          <w:rFonts w:ascii="Arial" w:hAnsi="Arial" w:cs="Arial"/>
          <w:i/>
          <w:iCs/>
          <w:lang w:val="en-ZA" w:eastAsia="en-ZA"/>
        </w:rPr>
        <w:t>the debtor has committed an act of insolvency or is insolvent; and</w:t>
      </w:r>
    </w:p>
    <w:p w14:paraId="14BC930D" w14:textId="472BD80F" w:rsidR="004D1759" w:rsidRPr="00E52642" w:rsidRDefault="00E52642" w:rsidP="00E52642">
      <w:pPr>
        <w:widowControl w:val="0"/>
        <w:shd w:val="clear" w:color="auto" w:fill="FFFFFF"/>
        <w:spacing w:line="480" w:lineRule="auto"/>
        <w:ind w:left="1069" w:hanging="360"/>
        <w:jc w:val="both"/>
        <w:rPr>
          <w:rFonts w:ascii="Arial" w:hAnsi="Arial" w:cs="Arial"/>
          <w:i/>
          <w:iCs/>
          <w:lang w:val="en-ZA" w:eastAsia="en-ZA"/>
        </w:rPr>
      </w:pPr>
      <w:r w:rsidRPr="009663D0">
        <w:rPr>
          <w:rFonts w:ascii="Arial" w:hAnsi="Arial" w:cs="Arial"/>
          <w:i/>
          <w:iCs/>
          <w:lang w:val="en-ZA" w:eastAsia="en-ZA"/>
        </w:rPr>
        <w:t>(c)</w:t>
      </w:r>
      <w:r w:rsidRPr="009663D0">
        <w:rPr>
          <w:rFonts w:ascii="Arial" w:hAnsi="Arial" w:cs="Arial"/>
          <w:i/>
          <w:iCs/>
          <w:lang w:val="en-ZA" w:eastAsia="en-ZA"/>
        </w:rPr>
        <w:tab/>
      </w:r>
      <w:r w:rsidR="004D1759" w:rsidRPr="00E52642">
        <w:rPr>
          <w:rFonts w:ascii="Arial" w:hAnsi="Arial" w:cs="Arial"/>
          <w:i/>
          <w:iCs/>
          <w:lang w:val="en-ZA" w:eastAsia="en-ZA"/>
        </w:rPr>
        <w:t xml:space="preserve">there is reason to believe that it will be to the advantage of creditors of the debtor </w:t>
      </w:r>
      <w:r w:rsidR="004D1759" w:rsidRPr="00E52642">
        <w:rPr>
          <w:rFonts w:ascii="Arial" w:hAnsi="Arial" w:cs="Arial"/>
          <w:i/>
          <w:iCs/>
          <w:lang w:val="en-ZA" w:eastAsia="en-ZA"/>
        </w:rPr>
        <w:lastRenderedPageBreak/>
        <w:t>if his estate is sequestrated,</w:t>
      </w:r>
    </w:p>
    <w:p w14:paraId="21621332" w14:textId="31A63BA1" w:rsidR="004D1759" w:rsidRPr="004D1759" w:rsidRDefault="004D1759" w:rsidP="009663D0">
      <w:pPr>
        <w:widowControl w:val="0"/>
        <w:spacing w:line="480" w:lineRule="auto"/>
        <w:ind w:firstLine="709"/>
        <w:jc w:val="both"/>
        <w:rPr>
          <w:rFonts w:ascii="Arial" w:hAnsi="Arial" w:cs="Arial"/>
          <w:lang w:val="en-ZA" w:eastAsia="en-ZA"/>
        </w:rPr>
      </w:pPr>
      <w:r w:rsidRPr="004D1759">
        <w:rPr>
          <w:rFonts w:ascii="Arial" w:hAnsi="Arial" w:cs="Arial"/>
          <w:i/>
          <w:iCs/>
          <w:lang w:val="en-ZA" w:eastAsia="en-ZA"/>
        </w:rPr>
        <w:t>it may make an order sequestrating the estate of the debtor provisionally</w:t>
      </w:r>
      <w:r w:rsidRPr="004D1759">
        <w:rPr>
          <w:rFonts w:ascii="Arial" w:hAnsi="Arial" w:cs="Arial"/>
          <w:lang w:val="en-ZA" w:eastAsia="en-ZA"/>
        </w:rPr>
        <w:t>.</w:t>
      </w:r>
      <w:r w:rsidR="009672DA" w:rsidRPr="009663D0">
        <w:rPr>
          <w:rFonts w:ascii="Arial" w:hAnsi="Arial" w:cs="Arial"/>
          <w:lang w:val="en-ZA" w:eastAsia="en-ZA"/>
        </w:rPr>
        <w:t>”</w:t>
      </w:r>
    </w:p>
    <w:p w14:paraId="310C76FA" w14:textId="3B0ADC26" w:rsidR="004D1759" w:rsidRPr="009663D0" w:rsidRDefault="004D1759" w:rsidP="009663D0">
      <w:pPr>
        <w:widowControl w:val="0"/>
        <w:spacing w:line="480" w:lineRule="auto"/>
        <w:jc w:val="both"/>
        <w:rPr>
          <w:rFonts w:ascii="Arial" w:hAnsi="Arial" w:cs="Arial"/>
          <w:lang w:val="en-GB"/>
        </w:rPr>
      </w:pPr>
    </w:p>
    <w:p w14:paraId="2AAC6909" w14:textId="3716DCCA" w:rsidR="00CF49F7"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9.</w:t>
      </w:r>
      <w:r w:rsidRPr="009663D0">
        <w:rPr>
          <w:rFonts w:ascii="Arial" w:hAnsi="Arial" w:cs="Arial"/>
          <w:lang w:val="en-GB"/>
        </w:rPr>
        <w:tab/>
      </w:r>
      <w:r w:rsidR="00CF49F7" w:rsidRPr="00E52642">
        <w:rPr>
          <w:rFonts w:ascii="Arial" w:hAnsi="Arial" w:cs="Arial"/>
          <w:lang w:val="en-GB"/>
        </w:rPr>
        <w:t>The claim mentioned is section 9(1) is a claim of at least R100,00.</w:t>
      </w:r>
    </w:p>
    <w:p w14:paraId="5D86A807" w14:textId="77777777" w:rsidR="00453521" w:rsidRPr="009663D0" w:rsidRDefault="00453521" w:rsidP="009663D0">
      <w:pPr>
        <w:pStyle w:val="ListParagraph"/>
        <w:widowControl w:val="0"/>
        <w:spacing w:line="480" w:lineRule="auto"/>
        <w:ind w:left="709"/>
        <w:jc w:val="both"/>
        <w:rPr>
          <w:rFonts w:ascii="Arial" w:hAnsi="Arial" w:cs="Arial"/>
          <w:lang w:val="en-GB"/>
        </w:rPr>
      </w:pPr>
    </w:p>
    <w:p w14:paraId="1C91ADDA" w14:textId="2FDD1AE0" w:rsidR="00CF49F7"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10.</w:t>
      </w:r>
      <w:r w:rsidRPr="009663D0">
        <w:rPr>
          <w:rFonts w:ascii="Arial" w:hAnsi="Arial" w:cs="Arial"/>
          <w:lang w:val="en-GB"/>
        </w:rPr>
        <w:tab/>
      </w:r>
      <w:r w:rsidR="00202B51" w:rsidRPr="00E52642">
        <w:rPr>
          <w:rFonts w:ascii="Arial" w:hAnsi="Arial" w:cs="Arial"/>
          <w:lang w:val="en-GB"/>
        </w:rPr>
        <w:t>Even if the papers disclose disputes of fact, an applicant will nevertheless suc</w:t>
      </w:r>
      <w:r w:rsidR="00453521" w:rsidRPr="00E52642">
        <w:rPr>
          <w:rFonts w:ascii="Arial" w:hAnsi="Arial" w:cs="Arial"/>
          <w:lang w:val="en-GB"/>
        </w:rPr>
        <w:t>c</w:t>
      </w:r>
      <w:r w:rsidR="00202B51" w:rsidRPr="00E52642">
        <w:rPr>
          <w:rFonts w:ascii="Arial" w:hAnsi="Arial" w:cs="Arial"/>
          <w:lang w:val="en-GB"/>
        </w:rPr>
        <w:t>ee</w:t>
      </w:r>
      <w:r w:rsidR="00453521" w:rsidRPr="00E52642">
        <w:rPr>
          <w:rFonts w:ascii="Arial" w:hAnsi="Arial" w:cs="Arial"/>
          <w:lang w:val="en-GB"/>
        </w:rPr>
        <w:t>d</w:t>
      </w:r>
      <w:r w:rsidR="00202B51" w:rsidRPr="00E52642">
        <w:rPr>
          <w:rFonts w:ascii="Arial" w:hAnsi="Arial" w:cs="Arial"/>
          <w:lang w:val="en-GB"/>
        </w:rPr>
        <w:t xml:space="preserve"> in establishing a </w:t>
      </w:r>
      <w:r w:rsidR="00202B51" w:rsidRPr="00E52642">
        <w:rPr>
          <w:rFonts w:ascii="Arial" w:hAnsi="Arial" w:cs="Arial"/>
          <w:i/>
          <w:iCs/>
          <w:lang w:val="en-GB"/>
        </w:rPr>
        <w:t>prima facie</w:t>
      </w:r>
      <w:r w:rsidR="00202B51" w:rsidRPr="00E52642">
        <w:rPr>
          <w:rFonts w:ascii="Arial" w:hAnsi="Arial" w:cs="Arial"/>
          <w:lang w:val="en-GB"/>
        </w:rPr>
        <w:t xml:space="preserve"> case where he or she can show that </w:t>
      </w:r>
      <w:r w:rsidR="00453521" w:rsidRPr="00E52642">
        <w:rPr>
          <w:rFonts w:ascii="Arial" w:hAnsi="Arial" w:cs="Arial"/>
          <w:lang w:val="en-GB"/>
        </w:rPr>
        <w:t>“</w:t>
      </w:r>
      <w:r w:rsidR="00202B51" w:rsidRPr="00E52642">
        <w:rPr>
          <w:rFonts w:ascii="Arial" w:hAnsi="Arial" w:cs="Arial"/>
          <w:i/>
          <w:iCs/>
          <w:lang w:val="en-GB"/>
        </w:rPr>
        <w:t>on a consideration of all the affidavits filed [that] a case for sequestr</w:t>
      </w:r>
      <w:r w:rsidR="00453521" w:rsidRPr="00E52642">
        <w:rPr>
          <w:rFonts w:ascii="Arial" w:hAnsi="Arial" w:cs="Arial"/>
          <w:i/>
          <w:iCs/>
          <w:lang w:val="en-GB"/>
        </w:rPr>
        <w:t>at</w:t>
      </w:r>
      <w:r w:rsidR="00202B51" w:rsidRPr="00E52642">
        <w:rPr>
          <w:rFonts w:ascii="Arial" w:hAnsi="Arial" w:cs="Arial"/>
          <w:i/>
          <w:iCs/>
          <w:lang w:val="en-GB"/>
        </w:rPr>
        <w:t>ion has been established on a balance of probabilities</w:t>
      </w:r>
      <w:r w:rsidR="00202B51" w:rsidRPr="00E52642">
        <w:rPr>
          <w:rFonts w:ascii="Arial" w:hAnsi="Arial" w:cs="Arial"/>
          <w:lang w:val="en-GB"/>
        </w:rPr>
        <w:t>”</w:t>
      </w:r>
      <w:r w:rsidR="00453521" w:rsidRPr="00E52642">
        <w:rPr>
          <w:rFonts w:ascii="Arial" w:hAnsi="Arial" w:cs="Arial"/>
          <w:lang w:val="en-GB"/>
        </w:rPr>
        <w:t>, though open to some doubt (</w:t>
      </w:r>
      <w:r w:rsidR="00453521" w:rsidRPr="00E52642">
        <w:rPr>
          <w:rFonts w:ascii="Arial" w:hAnsi="Arial" w:cs="Arial"/>
          <w:i/>
          <w:iCs/>
          <w:lang w:val="en-GB"/>
        </w:rPr>
        <w:t>Kalil v Decotex (Pty) Ltd and another</w:t>
      </w:r>
      <w:r w:rsidR="00453521" w:rsidRPr="00E52642">
        <w:rPr>
          <w:rFonts w:ascii="Arial" w:hAnsi="Arial" w:cs="Arial"/>
          <w:lang w:val="en-GB"/>
        </w:rPr>
        <w:t xml:space="preserve"> 1988 (1) SA 943 (A) at 978D-E)</w:t>
      </w:r>
      <w:r w:rsidR="00202B51" w:rsidRPr="00E52642">
        <w:rPr>
          <w:rFonts w:ascii="Arial" w:hAnsi="Arial" w:cs="Arial"/>
          <w:lang w:val="en-GB"/>
        </w:rPr>
        <w:t>.</w:t>
      </w:r>
    </w:p>
    <w:p w14:paraId="12794CFD" w14:textId="77777777" w:rsidR="00453521" w:rsidRPr="009663D0" w:rsidRDefault="00453521" w:rsidP="009663D0">
      <w:pPr>
        <w:pStyle w:val="ListParagraph"/>
        <w:widowControl w:val="0"/>
        <w:spacing w:line="480" w:lineRule="auto"/>
        <w:rPr>
          <w:rFonts w:ascii="Arial" w:hAnsi="Arial" w:cs="Arial"/>
          <w:lang w:val="en-GB"/>
        </w:rPr>
      </w:pPr>
    </w:p>
    <w:p w14:paraId="34649A1E" w14:textId="075F2E2E" w:rsidR="00453521"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11.</w:t>
      </w:r>
      <w:r w:rsidRPr="009663D0">
        <w:rPr>
          <w:rFonts w:ascii="Arial" w:hAnsi="Arial" w:cs="Arial"/>
          <w:lang w:val="en-GB"/>
        </w:rPr>
        <w:tab/>
      </w:r>
      <w:r w:rsidR="00453521" w:rsidRPr="00E52642">
        <w:rPr>
          <w:rFonts w:ascii="Arial" w:hAnsi="Arial" w:cs="Arial"/>
          <w:lang w:val="en-GB"/>
        </w:rPr>
        <w:t>I proceed to consider each of these requirements in turn.</w:t>
      </w:r>
    </w:p>
    <w:p w14:paraId="108C1DD1" w14:textId="74FADEEB" w:rsidR="00453521" w:rsidRPr="009663D0" w:rsidRDefault="00453521" w:rsidP="009663D0">
      <w:pPr>
        <w:widowControl w:val="0"/>
        <w:spacing w:line="480" w:lineRule="auto"/>
        <w:jc w:val="both"/>
        <w:rPr>
          <w:rFonts w:ascii="Arial" w:hAnsi="Arial" w:cs="Arial"/>
          <w:lang w:val="en-GB"/>
        </w:rPr>
      </w:pPr>
    </w:p>
    <w:p w14:paraId="5746C871" w14:textId="0520F23D" w:rsidR="00453521" w:rsidRPr="009663D0" w:rsidRDefault="00453521" w:rsidP="009663D0">
      <w:pPr>
        <w:widowControl w:val="0"/>
        <w:spacing w:line="480" w:lineRule="auto"/>
        <w:jc w:val="both"/>
        <w:rPr>
          <w:rFonts w:ascii="Arial" w:hAnsi="Arial" w:cs="Arial"/>
          <w:u w:val="single"/>
          <w:lang w:val="en-GB"/>
        </w:rPr>
      </w:pPr>
      <w:r w:rsidRPr="009663D0">
        <w:rPr>
          <w:rFonts w:ascii="Arial" w:hAnsi="Arial" w:cs="Arial"/>
          <w:u w:val="single"/>
          <w:lang w:val="en-GB"/>
        </w:rPr>
        <w:t>The applicant’s claim against the respondent</w:t>
      </w:r>
    </w:p>
    <w:p w14:paraId="642D46FE" w14:textId="6DE99B75" w:rsidR="00453521" w:rsidRPr="009663D0" w:rsidRDefault="00453521" w:rsidP="009663D0">
      <w:pPr>
        <w:widowControl w:val="0"/>
        <w:spacing w:line="480" w:lineRule="auto"/>
        <w:jc w:val="both"/>
        <w:rPr>
          <w:rFonts w:ascii="Arial" w:hAnsi="Arial" w:cs="Arial"/>
          <w:lang w:val="en-GB"/>
        </w:rPr>
      </w:pPr>
    </w:p>
    <w:p w14:paraId="35FDD28A" w14:textId="3520C7B2" w:rsidR="007C5584" w:rsidRPr="009663D0" w:rsidRDefault="007C5584" w:rsidP="009663D0">
      <w:pPr>
        <w:widowControl w:val="0"/>
        <w:spacing w:line="480" w:lineRule="auto"/>
        <w:jc w:val="both"/>
        <w:rPr>
          <w:rFonts w:ascii="Arial" w:hAnsi="Arial" w:cs="Arial"/>
          <w:i/>
          <w:iCs/>
          <w:u w:val="single"/>
          <w:lang w:val="en-GB"/>
        </w:rPr>
      </w:pPr>
      <w:r w:rsidRPr="009663D0">
        <w:rPr>
          <w:rFonts w:ascii="Arial" w:hAnsi="Arial" w:cs="Arial"/>
          <w:i/>
          <w:iCs/>
          <w:u w:val="single"/>
          <w:lang w:val="en-GB"/>
        </w:rPr>
        <w:t>The claim of R4,5 million</w:t>
      </w:r>
    </w:p>
    <w:p w14:paraId="6279C045" w14:textId="77777777" w:rsidR="007C5584" w:rsidRPr="009663D0" w:rsidRDefault="007C5584" w:rsidP="009663D0">
      <w:pPr>
        <w:widowControl w:val="0"/>
        <w:spacing w:line="480" w:lineRule="auto"/>
        <w:jc w:val="both"/>
        <w:rPr>
          <w:rFonts w:ascii="Arial" w:hAnsi="Arial" w:cs="Arial"/>
          <w:lang w:val="en-GB"/>
        </w:rPr>
      </w:pPr>
    </w:p>
    <w:p w14:paraId="46044534" w14:textId="7A048BB0" w:rsidR="009672DA"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12.</w:t>
      </w:r>
      <w:r w:rsidRPr="009663D0">
        <w:rPr>
          <w:rFonts w:ascii="Arial" w:hAnsi="Arial" w:cs="Arial"/>
          <w:sz w:val="24"/>
          <w:szCs w:val="24"/>
        </w:rPr>
        <w:tab/>
      </w:r>
      <w:r w:rsidR="009672DA" w:rsidRPr="009663D0">
        <w:rPr>
          <w:rFonts w:ascii="Arial" w:hAnsi="Arial" w:cs="Arial"/>
          <w:sz w:val="24"/>
          <w:szCs w:val="24"/>
        </w:rPr>
        <w:t xml:space="preserve">The applicant relies, </w:t>
      </w:r>
      <w:r w:rsidR="007C5584" w:rsidRPr="009663D0">
        <w:rPr>
          <w:rFonts w:ascii="Arial" w:hAnsi="Arial" w:cs="Arial"/>
          <w:sz w:val="24"/>
          <w:szCs w:val="24"/>
        </w:rPr>
        <w:t xml:space="preserve">firstly, </w:t>
      </w:r>
      <w:r w:rsidR="009672DA" w:rsidRPr="009663D0">
        <w:rPr>
          <w:rFonts w:ascii="Arial" w:hAnsi="Arial" w:cs="Arial"/>
          <w:sz w:val="24"/>
          <w:szCs w:val="24"/>
        </w:rPr>
        <w:t xml:space="preserve">for the purposes of </w:t>
      </w:r>
      <w:r w:rsidR="009672DA" w:rsidRPr="009663D0">
        <w:rPr>
          <w:rFonts w:ascii="Arial" w:hAnsi="Arial" w:cs="Arial"/>
          <w:i/>
          <w:iCs/>
          <w:sz w:val="24"/>
          <w:szCs w:val="24"/>
        </w:rPr>
        <w:t>locus standi</w:t>
      </w:r>
      <w:r w:rsidR="009672DA" w:rsidRPr="009663D0">
        <w:rPr>
          <w:rFonts w:ascii="Arial" w:hAnsi="Arial" w:cs="Arial"/>
          <w:sz w:val="24"/>
          <w:szCs w:val="24"/>
        </w:rPr>
        <w:t xml:space="preserve"> upon a claim of R4,5 million against the respondent.</w:t>
      </w:r>
    </w:p>
    <w:p w14:paraId="04649A9D" w14:textId="77777777" w:rsidR="009672DA" w:rsidRPr="009663D0" w:rsidRDefault="009672DA" w:rsidP="009663D0">
      <w:pPr>
        <w:pStyle w:val="PlainText"/>
        <w:widowControl w:val="0"/>
        <w:spacing w:line="480" w:lineRule="auto"/>
        <w:ind w:left="709"/>
        <w:jc w:val="both"/>
        <w:rPr>
          <w:rFonts w:ascii="Arial" w:hAnsi="Arial" w:cs="Arial"/>
          <w:sz w:val="24"/>
          <w:szCs w:val="24"/>
        </w:rPr>
      </w:pPr>
    </w:p>
    <w:p w14:paraId="762BD892" w14:textId="23FE3997" w:rsidR="00530809"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13.</w:t>
      </w:r>
      <w:r w:rsidRPr="009663D0">
        <w:rPr>
          <w:rFonts w:ascii="Arial" w:hAnsi="Arial" w:cs="Arial"/>
          <w:sz w:val="24"/>
          <w:szCs w:val="24"/>
        </w:rPr>
        <w:tab/>
      </w:r>
      <w:r w:rsidR="009672DA" w:rsidRPr="009663D0">
        <w:rPr>
          <w:rFonts w:ascii="Arial" w:hAnsi="Arial" w:cs="Arial"/>
          <w:sz w:val="24"/>
          <w:szCs w:val="24"/>
        </w:rPr>
        <w:t>The applicant and respondent are married to each other out of community of property with the application of the accrual system.  In terms of their declaration of assets, read with an agreement concluded between them on 28 December 2005, the parties agreed that the applicant would be "</w:t>
      </w:r>
      <w:r w:rsidR="009672DA" w:rsidRPr="009663D0">
        <w:rPr>
          <w:rFonts w:ascii="Arial" w:hAnsi="Arial" w:cs="Arial"/>
          <w:i/>
          <w:iCs/>
          <w:sz w:val="24"/>
          <w:szCs w:val="24"/>
        </w:rPr>
        <w:t xml:space="preserve">regarded as being the owner of a one half share of </w:t>
      </w:r>
      <w:r w:rsidR="001228D6" w:rsidRPr="009663D0">
        <w:rPr>
          <w:rFonts w:ascii="Arial" w:hAnsi="Arial" w:cs="Arial"/>
          <w:i/>
          <w:iCs/>
          <w:sz w:val="24"/>
          <w:szCs w:val="24"/>
        </w:rPr>
        <w:t>[</w:t>
      </w:r>
      <w:r w:rsidR="009672DA" w:rsidRPr="009663D0">
        <w:rPr>
          <w:rFonts w:ascii="Arial" w:hAnsi="Arial" w:cs="Arial"/>
          <w:i/>
          <w:iCs/>
          <w:sz w:val="24"/>
          <w:szCs w:val="24"/>
        </w:rPr>
        <w:t xml:space="preserve">Erf </w:t>
      </w:r>
      <w:r w:rsidR="009D1EF1">
        <w:rPr>
          <w:rFonts w:ascii="Arial" w:hAnsi="Arial" w:cs="Arial"/>
          <w:i/>
          <w:iCs/>
          <w:sz w:val="24"/>
          <w:szCs w:val="24"/>
        </w:rPr>
        <w:t>[…]</w:t>
      </w:r>
      <w:r w:rsidR="009672DA" w:rsidRPr="009663D0">
        <w:rPr>
          <w:rFonts w:ascii="Arial" w:hAnsi="Arial" w:cs="Arial"/>
          <w:i/>
          <w:iCs/>
          <w:sz w:val="24"/>
          <w:szCs w:val="24"/>
        </w:rPr>
        <w:t>, Cape Town</w:t>
      </w:r>
      <w:r w:rsidR="001228D6" w:rsidRPr="009663D0">
        <w:rPr>
          <w:rFonts w:ascii="Arial" w:hAnsi="Arial" w:cs="Arial"/>
          <w:i/>
          <w:iCs/>
          <w:sz w:val="24"/>
          <w:szCs w:val="24"/>
        </w:rPr>
        <w:t>]</w:t>
      </w:r>
      <w:r w:rsidR="009672DA" w:rsidRPr="009663D0">
        <w:rPr>
          <w:rFonts w:ascii="Arial" w:hAnsi="Arial" w:cs="Arial"/>
          <w:i/>
          <w:iCs/>
          <w:sz w:val="24"/>
          <w:szCs w:val="24"/>
        </w:rPr>
        <w:t xml:space="preserve"> and have the same rights and obligations as if she were a registered </w:t>
      </w:r>
      <w:r w:rsidR="009672DA" w:rsidRPr="009663D0">
        <w:rPr>
          <w:rFonts w:ascii="Arial" w:hAnsi="Arial" w:cs="Arial"/>
          <w:i/>
          <w:iCs/>
          <w:sz w:val="24"/>
          <w:szCs w:val="24"/>
        </w:rPr>
        <w:lastRenderedPageBreak/>
        <w:t>owner</w:t>
      </w:r>
      <w:r w:rsidR="009672DA" w:rsidRPr="009663D0">
        <w:rPr>
          <w:rFonts w:ascii="Arial" w:hAnsi="Arial" w:cs="Arial"/>
          <w:sz w:val="24"/>
          <w:szCs w:val="24"/>
        </w:rPr>
        <w:t xml:space="preserve">.”  </w:t>
      </w:r>
      <w:r w:rsidR="001228D6" w:rsidRPr="009663D0">
        <w:rPr>
          <w:rFonts w:ascii="Arial" w:hAnsi="Arial" w:cs="Arial"/>
          <w:sz w:val="24"/>
          <w:szCs w:val="24"/>
        </w:rPr>
        <w:t>Erf</w:t>
      </w:r>
      <w:r w:rsidR="009672DA" w:rsidRPr="009663D0">
        <w:rPr>
          <w:rFonts w:ascii="Arial" w:hAnsi="Arial" w:cs="Arial"/>
          <w:sz w:val="24"/>
          <w:szCs w:val="24"/>
        </w:rPr>
        <w:t xml:space="preserve"> </w:t>
      </w:r>
      <w:r w:rsidR="009D1EF1">
        <w:rPr>
          <w:rFonts w:ascii="Arial" w:hAnsi="Arial" w:cs="Arial"/>
          <w:sz w:val="24"/>
          <w:szCs w:val="24"/>
        </w:rPr>
        <w:t>[…]</w:t>
      </w:r>
      <w:r w:rsidR="009672DA" w:rsidRPr="009663D0">
        <w:rPr>
          <w:rFonts w:ascii="Arial" w:hAnsi="Arial" w:cs="Arial"/>
          <w:sz w:val="24"/>
          <w:szCs w:val="24"/>
        </w:rPr>
        <w:t xml:space="preserve"> is also known as </w:t>
      </w:r>
      <w:proofErr w:type="gramStart"/>
      <w:r w:rsidR="009672DA" w:rsidRPr="009663D0">
        <w:rPr>
          <w:rFonts w:ascii="Arial" w:hAnsi="Arial" w:cs="Arial"/>
          <w:sz w:val="24"/>
          <w:szCs w:val="24"/>
        </w:rPr>
        <w:t>E</w:t>
      </w:r>
      <w:r w:rsidR="00DE6BA2">
        <w:rPr>
          <w:rFonts w:ascii="Arial" w:hAnsi="Arial" w:cs="Arial"/>
          <w:sz w:val="24"/>
          <w:szCs w:val="24"/>
        </w:rPr>
        <w:t>[</w:t>
      </w:r>
      <w:proofErr w:type="gramEnd"/>
      <w:r w:rsidR="00DE6BA2">
        <w:rPr>
          <w:rFonts w:ascii="Arial" w:hAnsi="Arial" w:cs="Arial"/>
          <w:sz w:val="24"/>
          <w:szCs w:val="24"/>
        </w:rPr>
        <w:t>…]</w:t>
      </w:r>
      <w:r w:rsidR="009672DA" w:rsidRPr="009663D0">
        <w:rPr>
          <w:rFonts w:ascii="Arial" w:hAnsi="Arial" w:cs="Arial"/>
          <w:sz w:val="24"/>
          <w:szCs w:val="24"/>
        </w:rPr>
        <w:t xml:space="preserve"> Avenue, K</w:t>
      </w:r>
      <w:r w:rsidR="00DE6BA2">
        <w:rPr>
          <w:rFonts w:ascii="Arial" w:hAnsi="Arial" w:cs="Arial"/>
          <w:sz w:val="24"/>
          <w:szCs w:val="24"/>
        </w:rPr>
        <w:t>[…]</w:t>
      </w:r>
      <w:r w:rsidR="009672DA" w:rsidRPr="009663D0">
        <w:rPr>
          <w:rFonts w:ascii="Arial" w:hAnsi="Arial" w:cs="Arial"/>
          <w:sz w:val="24"/>
          <w:szCs w:val="24"/>
        </w:rPr>
        <w:t xml:space="preserve"> </w:t>
      </w:r>
      <w:r w:rsidR="001228D6" w:rsidRPr="009663D0">
        <w:rPr>
          <w:rFonts w:ascii="Arial" w:hAnsi="Arial" w:cs="Arial"/>
          <w:sz w:val="24"/>
          <w:szCs w:val="24"/>
        </w:rPr>
        <w:t>E</w:t>
      </w:r>
      <w:r w:rsidR="00DE6BA2">
        <w:rPr>
          <w:rFonts w:ascii="Arial" w:hAnsi="Arial" w:cs="Arial"/>
          <w:sz w:val="24"/>
          <w:szCs w:val="24"/>
        </w:rPr>
        <w:t>state</w:t>
      </w:r>
      <w:r w:rsidR="009672DA" w:rsidRPr="009663D0">
        <w:rPr>
          <w:rFonts w:ascii="Arial" w:hAnsi="Arial" w:cs="Arial"/>
          <w:sz w:val="24"/>
          <w:szCs w:val="24"/>
        </w:rPr>
        <w:t xml:space="preserve">, </w:t>
      </w:r>
      <w:proofErr w:type="spellStart"/>
      <w:r w:rsidR="001228D6" w:rsidRPr="009663D0">
        <w:rPr>
          <w:rFonts w:ascii="Arial" w:hAnsi="Arial" w:cs="Arial"/>
          <w:sz w:val="24"/>
          <w:szCs w:val="24"/>
        </w:rPr>
        <w:t>Hout</w:t>
      </w:r>
      <w:proofErr w:type="spellEnd"/>
      <w:r w:rsidR="009672DA" w:rsidRPr="009663D0">
        <w:rPr>
          <w:rFonts w:ascii="Arial" w:hAnsi="Arial" w:cs="Arial"/>
          <w:sz w:val="24"/>
          <w:szCs w:val="24"/>
        </w:rPr>
        <w:t xml:space="preserve"> Bay</w:t>
      </w:r>
      <w:r w:rsidR="001228D6" w:rsidRPr="009663D0">
        <w:rPr>
          <w:rFonts w:ascii="Arial" w:hAnsi="Arial" w:cs="Arial"/>
          <w:sz w:val="24"/>
          <w:szCs w:val="24"/>
        </w:rPr>
        <w:t>, and is the parties’ former common matrimonial home</w:t>
      </w:r>
      <w:r w:rsidR="009672DA" w:rsidRPr="009663D0">
        <w:rPr>
          <w:rFonts w:ascii="Arial" w:hAnsi="Arial" w:cs="Arial"/>
          <w:sz w:val="24"/>
          <w:szCs w:val="24"/>
        </w:rPr>
        <w:t>.</w:t>
      </w:r>
    </w:p>
    <w:p w14:paraId="0B205220" w14:textId="77777777" w:rsidR="00530809" w:rsidRPr="009663D0" w:rsidRDefault="00530809" w:rsidP="009663D0">
      <w:pPr>
        <w:pStyle w:val="ListParagraph"/>
        <w:widowControl w:val="0"/>
        <w:spacing w:line="480" w:lineRule="auto"/>
        <w:rPr>
          <w:rFonts w:ascii="Arial" w:hAnsi="Arial" w:cs="Arial"/>
        </w:rPr>
      </w:pPr>
    </w:p>
    <w:p w14:paraId="2C113CBC" w14:textId="276E0E59" w:rsidR="009672DA"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14.</w:t>
      </w:r>
      <w:r w:rsidRPr="009663D0">
        <w:rPr>
          <w:rFonts w:ascii="Arial" w:hAnsi="Arial" w:cs="Arial"/>
          <w:sz w:val="24"/>
          <w:szCs w:val="24"/>
        </w:rPr>
        <w:tab/>
      </w:r>
      <w:r w:rsidR="009672DA" w:rsidRPr="009663D0">
        <w:rPr>
          <w:rFonts w:ascii="Arial" w:hAnsi="Arial" w:cs="Arial"/>
          <w:sz w:val="24"/>
          <w:szCs w:val="24"/>
        </w:rPr>
        <w:t xml:space="preserve">In terms of clause 3 of the 2005 agreement, upon the disposition of that property </w:t>
      </w:r>
      <w:r w:rsidR="001228D6" w:rsidRPr="009663D0">
        <w:rPr>
          <w:rFonts w:ascii="Arial" w:hAnsi="Arial" w:cs="Arial"/>
          <w:sz w:val="24"/>
          <w:szCs w:val="24"/>
        </w:rPr>
        <w:t xml:space="preserve">the </w:t>
      </w:r>
      <w:r w:rsidR="009672DA" w:rsidRPr="009663D0">
        <w:rPr>
          <w:rFonts w:ascii="Arial" w:hAnsi="Arial" w:cs="Arial"/>
          <w:sz w:val="24"/>
          <w:szCs w:val="24"/>
        </w:rPr>
        <w:t>responde</w:t>
      </w:r>
      <w:r w:rsidR="001228D6" w:rsidRPr="009663D0">
        <w:rPr>
          <w:rFonts w:ascii="Arial" w:hAnsi="Arial" w:cs="Arial"/>
          <w:sz w:val="24"/>
          <w:szCs w:val="24"/>
        </w:rPr>
        <w:t>nt</w:t>
      </w:r>
      <w:r w:rsidR="009672DA" w:rsidRPr="009663D0">
        <w:rPr>
          <w:rFonts w:ascii="Arial" w:hAnsi="Arial" w:cs="Arial"/>
          <w:sz w:val="24"/>
          <w:szCs w:val="24"/>
        </w:rPr>
        <w:t xml:space="preserve"> would be liable to pay to the applicant 50% of the net proceeds of the sale.  Clause 4 of the 2005 agreement enjoined the respondent from seeking the applicant’s</w:t>
      </w:r>
      <w:r w:rsidR="001228D6" w:rsidRPr="009663D0">
        <w:rPr>
          <w:rFonts w:ascii="Arial" w:hAnsi="Arial" w:cs="Arial"/>
          <w:sz w:val="24"/>
          <w:szCs w:val="24"/>
        </w:rPr>
        <w:t xml:space="preserve"> </w:t>
      </w:r>
      <w:r w:rsidR="009672DA" w:rsidRPr="009663D0">
        <w:rPr>
          <w:rFonts w:ascii="Arial" w:hAnsi="Arial" w:cs="Arial"/>
          <w:sz w:val="24"/>
          <w:szCs w:val="24"/>
        </w:rPr>
        <w:t>permission prior to dispo</w:t>
      </w:r>
      <w:r w:rsidR="001228D6" w:rsidRPr="009663D0">
        <w:rPr>
          <w:rFonts w:ascii="Arial" w:hAnsi="Arial" w:cs="Arial"/>
          <w:sz w:val="24"/>
          <w:szCs w:val="24"/>
        </w:rPr>
        <w:t>s</w:t>
      </w:r>
      <w:r w:rsidR="009672DA" w:rsidRPr="009663D0">
        <w:rPr>
          <w:rFonts w:ascii="Arial" w:hAnsi="Arial" w:cs="Arial"/>
          <w:sz w:val="24"/>
          <w:szCs w:val="24"/>
        </w:rPr>
        <w:t xml:space="preserve">ing of Erf </w:t>
      </w:r>
      <w:r w:rsidR="00DE6BA2">
        <w:rPr>
          <w:rFonts w:ascii="Arial" w:hAnsi="Arial" w:cs="Arial"/>
          <w:sz w:val="24"/>
          <w:szCs w:val="24"/>
        </w:rPr>
        <w:t>[…]</w:t>
      </w:r>
      <w:r w:rsidR="001228D6" w:rsidRPr="009663D0">
        <w:rPr>
          <w:rFonts w:ascii="Arial" w:hAnsi="Arial" w:cs="Arial"/>
          <w:sz w:val="24"/>
          <w:szCs w:val="24"/>
        </w:rPr>
        <w:t>.</w:t>
      </w:r>
    </w:p>
    <w:p w14:paraId="2C53CCE4" w14:textId="77777777" w:rsidR="009672DA" w:rsidRPr="009663D0" w:rsidRDefault="009672DA" w:rsidP="009663D0">
      <w:pPr>
        <w:pStyle w:val="PlainText"/>
        <w:widowControl w:val="0"/>
        <w:spacing w:line="480" w:lineRule="auto"/>
        <w:ind w:left="709"/>
        <w:jc w:val="both"/>
        <w:rPr>
          <w:rFonts w:ascii="Arial" w:hAnsi="Arial" w:cs="Arial"/>
          <w:sz w:val="24"/>
          <w:szCs w:val="24"/>
        </w:rPr>
      </w:pPr>
    </w:p>
    <w:p w14:paraId="25E82371" w14:textId="31070629" w:rsidR="009672DA"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15.</w:t>
      </w:r>
      <w:r w:rsidRPr="009663D0">
        <w:rPr>
          <w:rFonts w:ascii="Arial" w:hAnsi="Arial" w:cs="Arial"/>
          <w:sz w:val="24"/>
          <w:szCs w:val="24"/>
        </w:rPr>
        <w:tab/>
      </w:r>
      <w:r w:rsidR="009672DA" w:rsidRPr="009663D0">
        <w:rPr>
          <w:rFonts w:ascii="Arial" w:hAnsi="Arial" w:cs="Arial"/>
          <w:sz w:val="24"/>
          <w:szCs w:val="24"/>
        </w:rPr>
        <w:t>On 23 March 2011 the applicant acquired another property in the same development</w:t>
      </w:r>
      <w:r w:rsidR="001228D6" w:rsidRPr="009663D0">
        <w:rPr>
          <w:rFonts w:ascii="Arial" w:hAnsi="Arial" w:cs="Arial"/>
          <w:sz w:val="24"/>
          <w:szCs w:val="24"/>
        </w:rPr>
        <w:t xml:space="preserve">, namely </w:t>
      </w:r>
      <w:proofErr w:type="gramStart"/>
      <w:r w:rsidR="009672DA" w:rsidRPr="009663D0">
        <w:rPr>
          <w:rFonts w:ascii="Arial" w:hAnsi="Arial" w:cs="Arial"/>
          <w:sz w:val="24"/>
          <w:szCs w:val="24"/>
        </w:rPr>
        <w:t>F</w:t>
      </w:r>
      <w:r w:rsidR="00DE6BA2">
        <w:rPr>
          <w:rFonts w:ascii="Arial" w:hAnsi="Arial" w:cs="Arial"/>
          <w:sz w:val="24"/>
          <w:szCs w:val="24"/>
        </w:rPr>
        <w:t>[</w:t>
      </w:r>
      <w:proofErr w:type="gramEnd"/>
      <w:r w:rsidR="00DE6BA2">
        <w:rPr>
          <w:rFonts w:ascii="Arial" w:hAnsi="Arial" w:cs="Arial"/>
          <w:sz w:val="24"/>
          <w:szCs w:val="24"/>
        </w:rPr>
        <w:t>…]</w:t>
      </w:r>
      <w:r w:rsidR="009672DA" w:rsidRPr="009663D0">
        <w:rPr>
          <w:rFonts w:ascii="Arial" w:hAnsi="Arial" w:cs="Arial"/>
          <w:sz w:val="24"/>
          <w:szCs w:val="24"/>
        </w:rPr>
        <w:t xml:space="preserve"> Lane </w:t>
      </w:r>
      <w:r w:rsidR="001228D6" w:rsidRPr="009663D0">
        <w:rPr>
          <w:rFonts w:ascii="Arial" w:hAnsi="Arial" w:cs="Arial"/>
          <w:sz w:val="24"/>
          <w:szCs w:val="24"/>
        </w:rPr>
        <w:t>in K</w:t>
      </w:r>
      <w:r w:rsidR="00DE6BA2">
        <w:rPr>
          <w:rFonts w:ascii="Arial" w:hAnsi="Arial" w:cs="Arial"/>
          <w:sz w:val="24"/>
          <w:szCs w:val="24"/>
        </w:rPr>
        <w:t>[…]</w:t>
      </w:r>
      <w:r w:rsidR="001228D6" w:rsidRPr="009663D0">
        <w:rPr>
          <w:rFonts w:ascii="Arial" w:hAnsi="Arial" w:cs="Arial"/>
          <w:sz w:val="24"/>
          <w:szCs w:val="24"/>
        </w:rPr>
        <w:t xml:space="preserve"> E</w:t>
      </w:r>
      <w:r w:rsidR="00DE6BA2">
        <w:rPr>
          <w:rFonts w:ascii="Arial" w:hAnsi="Arial" w:cs="Arial"/>
          <w:sz w:val="24"/>
          <w:szCs w:val="24"/>
        </w:rPr>
        <w:t>[…]</w:t>
      </w:r>
      <w:r w:rsidR="001228D6" w:rsidRPr="009663D0">
        <w:rPr>
          <w:rFonts w:ascii="Arial" w:hAnsi="Arial" w:cs="Arial"/>
          <w:sz w:val="24"/>
          <w:szCs w:val="24"/>
        </w:rPr>
        <w:t>.  T</w:t>
      </w:r>
      <w:r w:rsidR="009672DA" w:rsidRPr="009663D0">
        <w:rPr>
          <w:rFonts w:ascii="Arial" w:hAnsi="Arial" w:cs="Arial"/>
          <w:sz w:val="24"/>
          <w:szCs w:val="24"/>
        </w:rPr>
        <w:t xml:space="preserve">he </w:t>
      </w:r>
      <w:proofErr w:type="gramStart"/>
      <w:r w:rsidR="009672DA" w:rsidRPr="009663D0">
        <w:rPr>
          <w:rFonts w:ascii="Arial" w:hAnsi="Arial" w:cs="Arial"/>
          <w:sz w:val="24"/>
          <w:szCs w:val="24"/>
        </w:rPr>
        <w:t>F</w:t>
      </w:r>
      <w:r w:rsidR="00DE6BA2">
        <w:rPr>
          <w:rFonts w:ascii="Arial" w:hAnsi="Arial" w:cs="Arial"/>
          <w:sz w:val="24"/>
          <w:szCs w:val="24"/>
        </w:rPr>
        <w:t>[</w:t>
      </w:r>
      <w:proofErr w:type="gramEnd"/>
      <w:r w:rsidR="00DE6BA2">
        <w:rPr>
          <w:rFonts w:ascii="Arial" w:hAnsi="Arial" w:cs="Arial"/>
          <w:sz w:val="24"/>
          <w:szCs w:val="24"/>
        </w:rPr>
        <w:t>…]</w:t>
      </w:r>
      <w:r w:rsidR="009672DA" w:rsidRPr="009663D0">
        <w:rPr>
          <w:rFonts w:ascii="Arial" w:hAnsi="Arial" w:cs="Arial"/>
          <w:sz w:val="24"/>
          <w:szCs w:val="24"/>
        </w:rPr>
        <w:t xml:space="preserve"> Lane property was occupied by the applicant</w:t>
      </w:r>
      <w:r w:rsidR="001228D6" w:rsidRPr="009663D0">
        <w:rPr>
          <w:rFonts w:ascii="Arial" w:hAnsi="Arial" w:cs="Arial"/>
          <w:sz w:val="24"/>
          <w:szCs w:val="24"/>
        </w:rPr>
        <w:t>’</w:t>
      </w:r>
      <w:r w:rsidR="009672DA" w:rsidRPr="009663D0">
        <w:rPr>
          <w:rFonts w:ascii="Arial" w:hAnsi="Arial" w:cs="Arial"/>
          <w:sz w:val="24"/>
          <w:szCs w:val="24"/>
        </w:rPr>
        <w:t>s father and his partner until September 2014. It was thereafter place</w:t>
      </w:r>
      <w:r w:rsidR="001228D6" w:rsidRPr="009663D0">
        <w:rPr>
          <w:rFonts w:ascii="Arial" w:hAnsi="Arial" w:cs="Arial"/>
          <w:sz w:val="24"/>
          <w:szCs w:val="24"/>
        </w:rPr>
        <w:t>d</w:t>
      </w:r>
      <w:r w:rsidR="009672DA" w:rsidRPr="009663D0">
        <w:rPr>
          <w:rFonts w:ascii="Arial" w:hAnsi="Arial" w:cs="Arial"/>
          <w:sz w:val="24"/>
          <w:szCs w:val="24"/>
        </w:rPr>
        <w:t xml:space="preserve"> </w:t>
      </w:r>
      <w:r w:rsidR="001228D6" w:rsidRPr="009663D0">
        <w:rPr>
          <w:rFonts w:ascii="Arial" w:hAnsi="Arial" w:cs="Arial"/>
          <w:sz w:val="24"/>
          <w:szCs w:val="24"/>
        </w:rPr>
        <w:t>o</w:t>
      </w:r>
      <w:r w:rsidR="009672DA" w:rsidRPr="009663D0">
        <w:rPr>
          <w:rFonts w:ascii="Arial" w:hAnsi="Arial" w:cs="Arial"/>
          <w:sz w:val="24"/>
          <w:szCs w:val="24"/>
        </w:rPr>
        <w:t>n the market to be sold. The proceeds of the sale were to be paid to the applicant</w:t>
      </w:r>
      <w:r w:rsidR="001228D6" w:rsidRPr="009663D0">
        <w:rPr>
          <w:rFonts w:ascii="Arial" w:hAnsi="Arial" w:cs="Arial"/>
          <w:sz w:val="24"/>
          <w:szCs w:val="24"/>
        </w:rPr>
        <w:t>,</w:t>
      </w:r>
      <w:r w:rsidR="009672DA" w:rsidRPr="009663D0">
        <w:rPr>
          <w:rFonts w:ascii="Arial" w:hAnsi="Arial" w:cs="Arial"/>
          <w:sz w:val="24"/>
          <w:szCs w:val="24"/>
        </w:rPr>
        <w:t xml:space="preserve"> as she </w:t>
      </w:r>
      <w:r w:rsidR="00530809" w:rsidRPr="009663D0">
        <w:rPr>
          <w:rFonts w:ascii="Arial" w:hAnsi="Arial" w:cs="Arial"/>
          <w:sz w:val="24"/>
          <w:szCs w:val="24"/>
        </w:rPr>
        <w:t xml:space="preserve">was the registered </w:t>
      </w:r>
      <w:r w:rsidR="009672DA" w:rsidRPr="009663D0">
        <w:rPr>
          <w:rFonts w:ascii="Arial" w:hAnsi="Arial" w:cs="Arial"/>
          <w:sz w:val="24"/>
          <w:szCs w:val="24"/>
        </w:rPr>
        <w:t>owne</w:t>
      </w:r>
      <w:r w:rsidR="00530809" w:rsidRPr="009663D0">
        <w:rPr>
          <w:rFonts w:ascii="Arial" w:hAnsi="Arial" w:cs="Arial"/>
          <w:sz w:val="24"/>
          <w:szCs w:val="24"/>
        </w:rPr>
        <w:t>r</w:t>
      </w:r>
      <w:r w:rsidR="009672DA" w:rsidRPr="009663D0">
        <w:rPr>
          <w:rFonts w:ascii="Arial" w:hAnsi="Arial" w:cs="Arial"/>
          <w:sz w:val="24"/>
          <w:szCs w:val="24"/>
        </w:rPr>
        <w:t>. The respondent</w:t>
      </w:r>
      <w:r w:rsidR="001228D6" w:rsidRPr="009663D0">
        <w:rPr>
          <w:rFonts w:ascii="Arial" w:hAnsi="Arial" w:cs="Arial"/>
          <w:sz w:val="24"/>
          <w:szCs w:val="24"/>
        </w:rPr>
        <w:t>,</w:t>
      </w:r>
      <w:r w:rsidR="009672DA" w:rsidRPr="009663D0">
        <w:rPr>
          <w:rFonts w:ascii="Arial" w:hAnsi="Arial" w:cs="Arial"/>
          <w:sz w:val="24"/>
          <w:szCs w:val="24"/>
        </w:rPr>
        <w:t xml:space="preserve"> however</w:t>
      </w:r>
      <w:r w:rsidR="001228D6" w:rsidRPr="009663D0">
        <w:rPr>
          <w:rFonts w:ascii="Arial" w:hAnsi="Arial" w:cs="Arial"/>
          <w:sz w:val="24"/>
          <w:szCs w:val="24"/>
        </w:rPr>
        <w:t>,</w:t>
      </w:r>
      <w:r w:rsidR="009672DA" w:rsidRPr="009663D0">
        <w:rPr>
          <w:rFonts w:ascii="Arial" w:hAnsi="Arial" w:cs="Arial"/>
          <w:sz w:val="24"/>
          <w:szCs w:val="24"/>
        </w:rPr>
        <w:t xml:space="preserve"> asked to borrow those proceeds from the applicant. That led to the applicant and the respondent concluding a </w:t>
      </w:r>
      <w:r w:rsidR="001228D6" w:rsidRPr="009663D0">
        <w:rPr>
          <w:rFonts w:ascii="Arial" w:hAnsi="Arial" w:cs="Arial"/>
          <w:sz w:val="24"/>
          <w:szCs w:val="24"/>
        </w:rPr>
        <w:t xml:space="preserve">further </w:t>
      </w:r>
      <w:r w:rsidR="009672DA" w:rsidRPr="009663D0">
        <w:rPr>
          <w:rFonts w:ascii="Arial" w:hAnsi="Arial" w:cs="Arial"/>
          <w:sz w:val="24"/>
          <w:szCs w:val="24"/>
        </w:rPr>
        <w:t>written agreement on 2</w:t>
      </w:r>
      <w:r w:rsidR="001228D6" w:rsidRPr="009663D0">
        <w:rPr>
          <w:rFonts w:ascii="Arial" w:hAnsi="Arial" w:cs="Arial"/>
          <w:sz w:val="24"/>
          <w:szCs w:val="24"/>
        </w:rPr>
        <w:t>2</w:t>
      </w:r>
      <w:r w:rsidR="009672DA" w:rsidRPr="009663D0">
        <w:rPr>
          <w:rFonts w:ascii="Arial" w:hAnsi="Arial" w:cs="Arial"/>
          <w:sz w:val="24"/>
          <w:szCs w:val="24"/>
        </w:rPr>
        <w:t xml:space="preserve"> October 2014. </w:t>
      </w:r>
    </w:p>
    <w:p w14:paraId="55A46D02" w14:textId="77777777" w:rsidR="009672DA" w:rsidRPr="009663D0" w:rsidRDefault="009672DA" w:rsidP="009663D0">
      <w:pPr>
        <w:pStyle w:val="PlainText"/>
        <w:widowControl w:val="0"/>
        <w:spacing w:line="480" w:lineRule="auto"/>
        <w:ind w:left="709"/>
        <w:jc w:val="both"/>
        <w:rPr>
          <w:rFonts w:ascii="Arial" w:hAnsi="Arial" w:cs="Arial"/>
          <w:sz w:val="24"/>
          <w:szCs w:val="24"/>
        </w:rPr>
      </w:pPr>
    </w:p>
    <w:p w14:paraId="1FF6C018" w14:textId="7055B72B" w:rsidR="009672DA" w:rsidRPr="009663D0" w:rsidRDefault="00E52642" w:rsidP="00E52642">
      <w:pPr>
        <w:pStyle w:val="PlainText"/>
        <w:widowControl w:val="0"/>
        <w:tabs>
          <w:tab w:val="left" w:pos="709"/>
        </w:tabs>
        <w:spacing w:line="480" w:lineRule="auto"/>
        <w:ind w:left="706" w:hanging="706"/>
        <w:jc w:val="both"/>
        <w:rPr>
          <w:rFonts w:ascii="Arial" w:hAnsi="Arial" w:cs="Arial"/>
          <w:sz w:val="24"/>
          <w:szCs w:val="24"/>
        </w:rPr>
      </w:pPr>
      <w:r w:rsidRPr="009663D0">
        <w:rPr>
          <w:rFonts w:ascii="Arial" w:hAnsi="Arial" w:cs="Arial"/>
          <w:sz w:val="24"/>
          <w:szCs w:val="24"/>
        </w:rPr>
        <w:t>16.</w:t>
      </w:r>
      <w:r w:rsidRPr="009663D0">
        <w:rPr>
          <w:rFonts w:ascii="Arial" w:hAnsi="Arial" w:cs="Arial"/>
          <w:sz w:val="24"/>
          <w:szCs w:val="24"/>
        </w:rPr>
        <w:tab/>
      </w:r>
      <w:r w:rsidR="009672DA" w:rsidRPr="009663D0">
        <w:rPr>
          <w:rFonts w:ascii="Arial" w:hAnsi="Arial" w:cs="Arial"/>
          <w:sz w:val="24"/>
          <w:szCs w:val="24"/>
        </w:rPr>
        <w:t xml:space="preserve">In terms of the 2014 agreement the applicant would lend </w:t>
      </w:r>
      <w:r w:rsidR="001228D6" w:rsidRPr="009663D0">
        <w:rPr>
          <w:rFonts w:ascii="Arial" w:hAnsi="Arial" w:cs="Arial"/>
          <w:sz w:val="24"/>
          <w:szCs w:val="24"/>
        </w:rPr>
        <w:t xml:space="preserve">R4,5 </w:t>
      </w:r>
      <w:r w:rsidR="009672DA" w:rsidRPr="009663D0">
        <w:rPr>
          <w:rFonts w:ascii="Arial" w:hAnsi="Arial" w:cs="Arial"/>
          <w:sz w:val="24"/>
          <w:szCs w:val="24"/>
        </w:rPr>
        <w:t xml:space="preserve">million of the proceeds of the sale of </w:t>
      </w:r>
      <w:proofErr w:type="gramStart"/>
      <w:r w:rsidR="009672DA" w:rsidRPr="009663D0">
        <w:rPr>
          <w:rFonts w:ascii="Arial" w:hAnsi="Arial" w:cs="Arial"/>
          <w:sz w:val="24"/>
          <w:szCs w:val="24"/>
        </w:rPr>
        <w:t>F</w:t>
      </w:r>
      <w:r w:rsidR="00DE6BA2">
        <w:rPr>
          <w:rFonts w:ascii="Arial" w:hAnsi="Arial" w:cs="Arial"/>
          <w:sz w:val="24"/>
          <w:szCs w:val="24"/>
        </w:rPr>
        <w:t>[</w:t>
      </w:r>
      <w:proofErr w:type="gramEnd"/>
      <w:r w:rsidR="00DE6BA2">
        <w:rPr>
          <w:rFonts w:ascii="Arial" w:hAnsi="Arial" w:cs="Arial"/>
          <w:sz w:val="24"/>
          <w:szCs w:val="24"/>
        </w:rPr>
        <w:t>…]</w:t>
      </w:r>
      <w:r w:rsidR="009672DA" w:rsidRPr="009663D0">
        <w:rPr>
          <w:rFonts w:ascii="Arial" w:hAnsi="Arial" w:cs="Arial"/>
          <w:sz w:val="24"/>
          <w:szCs w:val="24"/>
        </w:rPr>
        <w:t xml:space="preserve"> Lane to the respondent. The respondent would be liable to repay the loan to the applicant on the date on which the transfer of the former matrimonial home, </w:t>
      </w:r>
      <w:r w:rsidR="001228D6" w:rsidRPr="009663D0">
        <w:rPr>
          <w:rFonts w:ascii="Arial" w:hAnsi="Arial" w:cs="Arial"/>
          <w:sz w:val="24"/>
          <w:szCs w:val="24"/>
        </w:rPr>
        <w:t xml:space="preserve">Erf </w:t>
      </w:r>
      <w:r w:rsidR="006D7051">
        <w:rPr>
          <w:rFonts w:ascii="Arial" w:hAnsi="Arial" w:cs="Arial"/>
          <w:sz w:val="24"/>
          <w:szCs w:val="24"/>
        </w:rPr>
        <w:t>[…]</w:t>
      </w:r>
      <w:r w:rsidR="009672DA" w:rsidRPr="009663D0">
        <w:rPr>
          <w:rFonts w:ascii="Arial" w:hAnsi="Arial" w:cs="Arial"/>
          <w:sz w:val="24"/>
          <w:szCs w:val="24"/>
        </w:rPr>
        <w:t>, was registered. On the date of registration</w:t>
      </w:r>
      <w:r w:rsidR="001228D6" w:rsidRPr="009663D0">
        <w:rPr>
          <w:rFonts w:ascii="Arial" w:hAnsi="Arial" w:cs="Arial"/>
          <w:sz w:val="24"/>
          <w:szCs w:val="24"/>
        </w:rPr>
        <w:t>,</w:t>
      </w:r>
      <w:r w:rsidR="009672DA" w:rsidRPr="009663D0">
        <w:rPr>
          <w:rFonts w:ascii="Arial" w:hAnsi="Arial" w:cs="Arial"/>
          <w:sz w:val="24"/>
          <w:szCs w:val="24"/>
        </w:rPr>
        <w:t xml:space="preserve"> the respondent would become liable to pay to the applicant the sum of R4</w:t>
      </w:r>
      <w:r w:rsidR="001228D6" w:rsidRPr="009663D0">
        <w:rPr>
          <w:rFonts w:ascii="Arial" w:hAnsi="Arial" w:cs="Arial"/>
          <w:sz w:val="24"/>
          <w:szCs w:val="24"/>
        </w:rPr>
        <w:t>,</w:t>
      </w:r>
      <w:r w:rsidR="009672DA" w:rsidRPr="009663D0">
        <w:rPr>
          <w:rFonts w:ascii="Arial" w:hAnsi="Arial" w:cs="Arial"/>
          <w:sz w:val="24"/>
          <w:szCs w:val="24"/>
        </w:rPr>
        <w:t xml:space="preserve">5 million or, if half of the proceeds of the sale was higher than </w:t>
      </w:r>
      <w:r w:rsidR="001228D6" w:rsidRPr="009663D0">
        <w:rPr>
          <w:rFonts w:ascii="Arial" w:hAnsi="Arial" w:cs="Arial"/>
          <w:sz w:val="24"/>
          <w:szCs w:val="24"/>
        </w:rPr>
        <w:t>R4,</w:t>
      </w:r>
      <w:r w:rsidR="009672DA" w:rsidRPr="009663D0">
        <w:rPr>
          <w:rFonts w:ascii="Arial" w:hAnsi="Arial" w:cs="Arial"/>
          <w:sz w:val="24"/>
          <w:szCs w:val="24"/>
        </w:rPr>
        <w:t>5 million, then the respondent was to pay to the applicant half of the proceeds of the sale.</w:t>
      </w:r>
    </w:p>
    <w:p w14:paraId="5FCB7324" w14:textId="77777777" w:rsidR="008E2B28" w:rsidRPr="009663D0" w:rsidRDefault="008E2B28" w:rsidP="009663D0">
      <w:pPr>
        <w:pStyle w:val="PlainText"/>
        <w:widowControl w:val="0"/>
        <w:spacing w:line="480" w:lineRule="auto"/>
        <w:ind w:left="706"/>
        <w:jc w:val="both"/>
        <w:rPr>
          <w:rFonts w:ascii="Arial" w:hAnsi="Arial" w:cs="Arial"/>
          <w:sz w:val="24"/>
          <w:szCs w:val="24"/>
        </w:rPr>
      </w:pPr>
    </w:p>
    <w:p w14:paraId="45E85A35" w14:textId="4F87D775" w:rsidR="008E2B28" w:rsidRPr="009663D0" w:rsidRDefault="00E52642" w:rsidP="00E52642">
      <w:pPr>
        <w:pStyle w:val="PlainText"/>
        <w:widowControl w:val="0"/>
        <w:tabs>
          <w:tab w:val="left" w:pos="709"/>
        </w:tabs>
        <w:spacing w:line="480" w:lineRule="auto"/>
        <w:ind w:left="706" w:hanging="706"/>
        <w:jc w:val="both"/>
        <w:rPr>
          <w:rFonts w:ascii="Arial" w:hAnsi="Arial" w:cs="Arial"/>
          <w:sz w:val="24"/>
          <w:szCs w:val="24"/>
        </w:rPr>
      </w:pPr>
      <w:r w:rsidRPr="009663D0">
        <w:rPr>
          <w:rFonts w:ascii="Arial" w:hAnsi="Arial" w:cs="Arial"/>
          <w:sz w:val="24"/>
          <w:szCs w:val="24"/>
        </w:rPr>
        <w:t>17.</w:t>
      </w:r>
      <w:r w:rsidRPr="009663D0">
        <w:rPr>
          <w:rFonts w:ascii="Arial" w:hAnsi="Arial" w:cs="Arial"/>
          <w:sz w:val="24"/>
          <w:szCs w:val="24"/>
        </w:rPr>
        <w:tab/>
      </w:r>
      <w:r w:rsidR="008E2B28" w:rsidRPr="009663D0">
        <w:rPr>
          <w:rFonts w:ascii="Arial" w:hAnsi="Arial" w:cs="Arial"/>
          <w:sz w:val="24"/>
          <w:szCs w:val="24"/>
        </w:rPr>
        <w:t xml:space="preserve">There is a dispute between the parties as to whether the 2014 agreement was </w:t>
      </w:r>
      <w:r w:rsidR="008E2B28" w:rsidRPr="009663D0">
        <w:rPr>
          <w:rFonts w:ascii="Arial" w:hAnsi="Arial" w:cs="Arial"/>
          <w:sz w:val="24"/>
          <w:szCs w:val="24"/>
        </w:rPr>
        <w:lastRenderedPageBreak/>
        <w:t>concluded to substitute the 2005 agreement. The respondent says that that was the case</w:t>
      </w:r>
      <w:r w:rsidR="00331671" w:rsidRPr="009663D0">
        <w:rPr>
          <w:rFonts w:ascii="Arial" w:hAnsi="Arial" w:cs="Arial"/>
          <w:sz w:val="24"/>
          <w:szCs w:val="24"/>
        </w:rPr>
        <w:t xml:space="preserve">, and that the applicant had </w:t>
      </w:r>
      <w:r w:rsidR="00F97B5D" w:rsidRPr="009663D0">
        <w:rPr>
          <w:rFonts w:ascii="Arial" w:hAnsi="Arial" w:cs="Arial"/>
          <w:sz w:val="24"/>
          <w:szCs w:val="24"/>
        </w:rPr>
        <w:t>abandoned</w:t>
      </w:r>
      <w:r w:rsidR="00331671" w:rsidRPr="009663D0">
        <w:rPr>
          <w:rFonts w:ascii="Arial" w:hAnsi="Arial" w:cs="Arial"/>
          <w:sz w:val="24"/>
          <w:szCs w:val="24"/>
        </w:rPr>
        <w:t xml:space="preserve"> her </w:t>
      </w:r>
      <w:r w:rsidR="00F97B5D" w:rsidRPr="009663D0">
        <w:rPr>
          <w:rFonts w:ascii="Arial" w:hAnsi="Arial" w:cs="Arial"/>
          <w:sz w:val="24"/>
          <w:szCs w:val="24"/>
        </w:rPr>
        <w:t xml:space="preserve">claim in relation to the 50% nett proceeds of Erf </w:t>
      </w:r>
      <w:r w:rsidR="006D7051">
        <w:rPr>
          <w:rFonts w:ascii="Arial" w:hAnsi="Arial" w:cs="Arial"/>
          <w:sz w:val="24"/>
          <w:szCs w:val="24"/>
        </w:rPr>
        <w:t>[…]</w:t>
      </w:r>
      <w:r w:rsidR="00F97B5D" w:rsidRPr="009663D0">
        <w:rPr>
          <w:rFonts w:ascii="Arial" w:hAnsi="Arial" w:cs="Arial"/>
          <w:sz w:val="24"/>
          <w:szCs w:val="24"/>
        </w:rPr>
        <w:t xml:space="preserve"> in a statement of issues in dispute formulated for the purposes of the divorce action</w:t>
      </w:r>
      <w:r w:rsidR="008E2B28" w:rsidRPr="009663D0">
        <w:rPr>
          <w:rFonts w:ascii="Arial" w:hAnsi="Arial" w:cs="Arial"/>
          <w:sz w:val="24"/>
          <w:szCs w:val="24"/>
        </w:rPr>
        <w:t>.</w:t>
      </w:r>
      <w:r w:rsidR="00F97B5D" w:rsidRPr="009663D0">
        <w:rPr>
          <w:rFonts w:ascii="Arial" w:hAnsi="Arial" w:cs="Arial"/>
          <w:sz w:val="24"/>
          <w:szCs w:val="24"/>
        </w:rPr>
        <w:t xml:space="preserve"> Apart from the fact that the “abandonment” was made on a without prejudice basis and in an attempt to settle </w:t>
      </w:r>
      <w:r w:rsidR="00530809" w:rsidRPr="009663D0">
        <w:rPr>
          <w:rFonts w:ascii="Arial" w:hAnsi="Arial" w:cs="Arial"/>
          <w:sz w:val="24"/>
          <w:szCs w:val="24"/>
        </w:rPr>
        <w:t xml:space="preserve">and narrow </w:t>
      </w:r>
      <w:r w:rsidR="00F97B5D" w:rsidRPr="009663D0">
        <w:rPr>
          <w:rFonts w:ascii="Arial" w:hAnsi="Arial" w:cs="Arial"/>
          <w:sz w:val="24"/>
          <w:szCs w:val="24"/>
        </w:rPr>
        <w:t>the issues in the divorce action, t</w:t>
      </w:r>
      <w:r w:rsidR="008E2B28" w:rsidRPr="009663D0">
        <w:rPr>
          <w:rFonts w:ascii="Arial" w:hAnsi="Arial" w:cs="Arial"/>
          <w:sz w:val="24"/>
          <w:szCs w:val="24"/>
        </w:rPr>
        <w:t>he dispute is</w:t>
      </w:r>
      <w:r w:rsidR="00F97B5D" w:rsidRPr="009663D0">
        <w:rPr>
          <w:rFonts w:ascii="Arial" w:hAnsi="Arial" w:cs="Arial"/>
          <w:sz w:val="24"/>
          <w:szCs w:val="24"/>
        </w:rPr>
        <w:t xml:space="preserve"> </w:t>
      </w:r>
      <w:r w:rsidR="008E2B28" w:rsidRPr="009663D0">
        <w:rPr>
          <w:rFonts w:ascii="Arial" w:hAnsi="Arial" w:cs="Arial"/>
          <w:sz w:val="24"/>
          <w:szCs w:val="24"/>
        </w:rPr>
        <w:t>not material to this application. Either way, the respondent would be indebted to the applicant in the sum of at least R</w:t>
      </w:r>
      <w:r w:rsidR="00C15051" w:rsidRPr="009663D0">
        <w:rPr>
          <w:rFonts w:ascii="Arial" w:hAnsi="Arial" w:cs="Arial"/>
          <w:sz w:val="24"/>
          <w:szCs w:val="24"/>
        </w:rPr>
        <w:t>4,</w:t>
      </w:r>
      <w:r w:rsidR="008E2B28" w:rsidRPr="009663D0">
        <w:rPr>
          <w:rFonts w:ascii="Arial" w:hAnsi="Arial" w:cs="Arial"/>
          <w:sz w:val="24"/>
          <w:szCs w:val="24"/>
        </w:rPr>
        <w:t xml:space="preserve">5 million or half of the net proceeds of the sale </w:t>
      </w:r>
      <w:r w:rsidR="00C15051" w:rsidRPr="009663D0">
        <w:rPr>
          <w:rFonts w:ascii="Arial" w:hAnsi="Arial" w:cs="Arial"/>
          <w:sz w:val="24"/>
          <w:szCs w:val="24"/>
        </w:rPr>
        <w:t xml:space="preserve">of Erf </w:t>
      </w:r>
      <w:r w:rsidR="006D7051">
        <w:rPr>
          <w:rFonts w:ascii="Arial" w:hAnsi="Arial" w:cs="Arial"/>
          <w:sz w:val="24"/>
          <w:szCs w:val="24"/>
        </w:rPr>
        <w:t>[…]</w:t>
      </w:r>
      <w:r w:rsidR="00C15051" w:rsidRPr="009663D0">
        <w:rPr>
          <w:rFonts w:ascii="Arial" w:hAnsi="Arial" w:cs="Arial"/>
          <w:sz w:val="24"/>
          <w:szCs w:val="24"/>
        </w:rPr>
        <w:t xml:space="preserve"> </w:t>
      </w:r>
      <w:r w:rsidR="008E2B28" w:rsidRPr="009663D0">
        <w:rPr>
          <w:rFonts w:ascii="Arial" w:hAnsi="Arial" w:cs="Arial"/>
          <w:sz w:val="24"/>
          <w:szCs w:val="24"/>
        </w:rPr>
        <w:t>should it exceed R</w:t>
      </w:r>
      <w:r w:rsidR="00C15051" w:rsidRPr="009663D0">
        <w:rPr>
          <w:rFonts w:ascii="Arial" w:hAnsi="Arial" w:cs="Arial"/>
          <w:sz w:val="24"/>
          <w:szCs w:val="24"/>
        </w:rPr>
        <w:t>4,</w:t>
      </w:r>
      <w:r w:rsidR="008E2B28" w:rsidRPr="009663D0">
        <w:rPr>
          <w:rFonts w:ascii="Arial" w:hAnsi="Arial" w:cs="Arial"/>
          <w:sz w:val="24"/>
          <w:szCs w:val="24"/>
        </w:rPr>
        <w:t>5 million. Alternatively, if the 2005 agreement and the 2014 agreement co</w:t>
      </w:r>
      <w:r w:rsidR="00C15051" w:rsidRPr="009663D0">
        <w:rPr>
          <w:rFonts w:ascii="Arial" w:hAnsi="Arial" w:cs="Arial"/>
          <w:sz w:val="24"/>
          <w:szCs w:val="24"/>
        </w:rPr>
        <w:t>-</w:t>
      </w:r>
      <w:r w:rsidR="008E2B28" w:rsidRPr="009663D0">
        <w:rPr>
          <w:rFonts w:ascii="Arial" w:hAnsi="Arial" w:cs="Arial"/>
          <w:sz w:val="24"/>
          <w:szCs w:val="24"/>
        </w:rPr>
        <w:t xml:space="preserve">exist, then the respondent is liable to pay to the applicant </w:t>
      </w:r>
      <w:r w:rsidR="00C15051" w:rsidRPr="009663D0">
        <w:rPr>
          <w:rFonts w:ascii="Arial" w:hAnsi="Arial" w:cs="Arial"/>
          <w:sz w:val="24"/>
          <w:szCs w:val="24"/>
        </w:rPr>
        <w:t>R4,</w:t>
      </w:r>
      <w:r w:rsidR="008E2B28" w:rsidRPr="009663D0">
        <w:rPr>
          <w:rFonts w:ascii="Arial" w:hAnsi="Arial" w:cs="Arial"/>
          <w:sz w:val="24"/>
          <w:szCs w:val="24"/>
        </w:rPr>
        <w:t xml:space="preserve">5 million (pursuant to the 2014 agreement) and half of the proceeds of the sale of </w:t>
      </w:r>
      <w:r w:rsidR="00C15051" w:rsidRPr="009663D0">
        <w:rPr>
          <w:rFonts w:ascii="Arial" w:hAnsi="Arial" w:cs="Arial"/>
          <w:sz w:val="24"/>
          <w:szCs w:val="24"/>
        </w:rPr>
        <w:t>Erf</w:t>
      </w:r>
      <w:r w:rsidR="008E2B28" w:rsidRPr="009663D0">
        <w:rPr>
          <w:rFonts w:ascii="Arial" w:hAnsi="Arial" w:cs="Arial"/>
          <w:sz w:val="24"/>
          <w:szCs w:val="24"/>
        </w:rPr>
        <w:t xml:space="preserve"> </w:t>
      </w:r>
      <w:r w:rsidR="006D7051">
        <w:rPr>
          <w:rFonts w:ascii="Arial" w:hAnsi="Arial" w:cs="Arial"/>
          <w:sz w:val="24"/>
          <w:szCs w:val="24"/>
        </w:rPr>
        <w:t>[…]</w:t>
      </w:r>
      <w:r w:rsidR="00C15051" w:rsidRPr="009663D0">
        <w:rPr>
          <w:rFonts w:ascii="Arial" w:hAnsi="Arial" w:cs="Arial"/>
          <w:sz w:val="24"/>
          <w:szCs w:val="24"/>
        </w:rPr>
        <w:t>, or R4,5 million (pursuant to the 2005 agreement), totalling at least R9 million</w:t>
      </w:r>
      <w:r w:rsidR="008E2B28" w:rsidRPr="009663D0">
        <w:rPr>
          <w:rFonts w:ascii="Arial" w:hAnsi="Arial" w:cs="Arial"/>
          <w:sz w:val="24"/>
          <w:szCs w:val="24"/>
        </w:rPr>
        <w:t>.</w:t>
      </w:r>
    </w:p>
    <w:p w14:paraId="7DD9827C" w14:textId="77777777" w:rsidR="008E2B28" w:rsidRPr="009663D0" w:rsidRDefault="008E2B28" w:rsidP="009663D0">
      <w:pPr>
        <w:pStyle w:val="PlainText"/>
        <w:widowControl w:val="0"/>
        <w:spacing w:line="480" w:lineRule="auto"/>
        <w:ind w:left="706"/>
        <w:jc w:val="both"/>
        <w:rPr>
          <w:rFonts w:ascii="Arial" w:hAnsi="Arial" w:cs="Arial"/>
          <w:sz w:val="24"/>
          <w:szCs w:val="24"/>
        </w:rPr>
      </w:pPr>
    </w:p>
    <w:p w14:paraId="5316D041" w14:textId="28C75F83" w:rsidR="00DC0747"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18.</w:t>
      </w:r>
      <w:r w:rsidRPr="009663D0">
        <w:rPr>
          <w:rFonts w:ascii="Arial" w:hAnsi="Arial" w:cs="Arial"/>
          <w:sz w:val="24"/>
          <w:szCs w:val="24"/>
        </w:rPr>
        <w:tab/>
      </w:r>
      <w:r w:rsidR="00C15051" w:rsidRPr="009663D0">
        <w:rPr>
          <w:rFonts w:ascii="Arial" w:hAnsi="Arial" w:cs="Arial"/>
          <w:sz w:val="24"/>
          <w:szCs w:val="24"/>
        </w:rPr>
        <w:t>I</w:t>
      </w:r>
      <w:r w:rsidR="008E2B28" w:rsidRPr="009663D0">
        <w:rPr>
          <w:rFonts w:ascii="Arial" w:hAnsi="Arial" w:cs="Arial"/>
          <w:sz w:val="24"/>
          <w:szCs w:val="24"/>
        </w:rPr>
        <w:t xml:space="preserve">n October 2016 the applicant brought </w:t>
      </w:r>
      <w:r w:rsidR="00C15051" w:rsidRPr="009663D0">
        <w:rPr>
          <w:rFonts w:ascii="Arial" w:hAnsi="Arial" w:cs="Arial"/>
          <w:sz w:val="24"/>
          <w:szCs w:val="24"/>
        </w:rPr>
        <w:t>a</w:t>
      </w:r>
      <w:r w:rsidR="008E2B28" w:rsidRPr="009663D0">
        <w:rPr>
          <w:rFonts w:ascii="Arial" w:hAnsi="Arial" w:cs="Arial"/>
          <w:sz w:val="24"/>
          <w:szCs w:val="24"/>
        </w:rPr>
        <w:t xml:space="preserve"> </w:t>
      </w:r>
      <w:r w:rsidR="00C15051" w:rsidRPr="009663D0">
        <w:rPr>
          <w:rFonts w:ascii="Arial" w:hAnsi="Arial" w:cs="Arial"/>
          <w:sz w:val="24"/>
          <w:szCs w:val="24"/>
        </w:rPr>
        <w:t>R</w:t>
      </w:r>
      <w:r w:rsidR="008E2B28" w:rsidRPr="009663D0">
        <w:rPr>
          <w:rFonts w:ascii="Arial" w:hAnsi="Arial" w:cs="Arial"/>
          <w:sz w:val="24"/>
          <w:szCs w:val="24"/>
        </w:rPr>
        <w:t>ule 43 application</w:t>
      </w:r>
      <w:r w:rsidR="00C15051" w:rsidRPr="009663D0">
        <w:rPr>
          <w:rFonts w:ascii="Arial" w:hAnsi="Arial" w:cs="Arial"/>
          <w:sz w:val="24"/>
          <w:szCs w:val="24"/>
        </w:rPr>
        <w:t>. T</w:t>
      </w:r>
      <w:r w:rsidR="008E2B28" w:rsidRPr="009663D0">
        <w:rPr>
          <w:rFonts w:ascii="Arial" w:hAnsi="Arial" w:cs="Arial"/>
          <w:sz w:val="24"/>
          <w:szCs w:val="24"/>
        </w:rPr>
        <w:t>he respondent was in court for the hearing of the application. His coun</w:t>
      </w:r>
      <w:r w:rsidR="00C15051" w:rsidRPr="009663D0">
        <w:rPr>
          <w:rFonts w:ascii="Arial" w:hAnsi="Arial" w:cs="Arial"/>
          <w:sz w:val="24"/>
          <w:szCs w:val="24"/>
        </w:rPr>
        <w:t>sel</w:t>
      </w:r>
      <w:r w:rsidR="008E2B28" w:rsidRPr="009663D0">
        <w:rPr>
          <w:rFonts w:ascii="Arial" w:hAnsi="Arial" w:cs="Arial"/>
          <w:sz w:val="24"/>
          <w:szCs w:val="24"/>
        </w:rPr>
        <w:t xml:space="preserve"> conceded that</w:t>
      </w:r>
      <w:r w:rsidR="00C15051" w:rsidRPr="009663D0">
        <w:rPr>
          <w:rFonts w:ascii="Arial" w:hAnsi="Arial" w:cs="Arial"/>
          <w:sz w:val="24"/>
          <w:szCs w:val="24"/>
        </w:rPr>
        <w:t>,</w:t>
      </w:r>
      <w:r w:rsidR="008E2B28" w:rsidRPr="009663D0">
        <w:rPr>
          <w:rFonts w:ascii="Arial" w:hAnsi="Arial" w:cs="Arial"/>
          <w:sz w:val="24"/>
          <w:szCs w:val="24"/>
        </w:rPr>
        <w:t xml:space="preserve"> when the matrimonial home </w:t>
      </w:r>
      <w:r w:rsidR="00C15051" w:rsidRPr="009663D0">
        <w:rPr>
          <w:rFonts w:ascii="Arial" w:hAnsi="Arial" w:cs="Arial"/>
          <w:sz w:val="24"/>
          <w:szCs w:val="24"/>
        </w:rPr>
        <w:t xml:space="preserve">(Erf </w:t>
      </w:r>
      <w:r w:rsidR="006D7051">
        <w:rPr>
          <w:rFonts w:ascii="Arial" w:hAnsi="Arial" w:cs="Arial"/>
          <w:sz w:val="24"/>
          <w:szCs w:val="24"/>
        </w:rPr>
        <w:t>[…]</w:t>
      </w:r>
      <w:r w:rsidR="00C15051" w:rsidRPr="009663D0">
        <w:rPr>
          <w:rFonts w:ascii="Arial" w:hAnsi="Arial" w:cs="Arial"/>
          <w:sz w:val="24"/>
          <w:szCs w:val="24"/>
        </w:rPr>
        <w:t xml:space="preserve">) </w:t>
      </w:r>
      <w:r w:rsidR="008E2B28" w:rsidRPr="009663D0">
        <w:rPr>
          <w:rFonts w:ascii="Arial" w:hAnsi="Arial" w:cs="Arial"/>
          <w:sz w:val="24"/>
          <w:szCs w:val="24"/>
        </w:rPr>
        <w:t xml:space="preserve">was sold then </w:t>
      </w:r>
      <w:r w:rsidR="00C15051" w:rsidRPr="009663D0">
        <w:rPr>
          <w:rFonts w:ascii="Arial" w:hAnsi="Arial" w:cs="Arial"/>
          <w:sz w:val="24"/>
          <w:szCs w:val="24"/>
        </w:rPr>
        <w:t xml:space="preserve">the </w:t>
      </w:r>
      <w:r w:rsidR="008E2B28" w:rsidRPr="009663D0">
        <w:rPr>
          <w:rFonts w:ascii="Arial" w:hAnsi="Arial" w:cs="Arial"/>
          <w:sz w:val="24"/>
          <w:szCs w:val="24"/>
        </w:rPr>
        <w:t>respond</w:t>
      </w:r>
      <w:r w:rsidR="00C15051" w:rsidRPr="009663D0">
        <w:rPr>
          <w:rFonts w:ascii="Arial" w:hAnsi="Arial" w:cs="Arial"/>
          <w:sz w:val="24"/>
          <w:szCs w:val="24"/>
        </w:rPr>
        <w:t xml:space="preserve">ent </w:t>
      </w:r>
      <w:r w:rsidR="008E2B28" w:rsidRPr="009663D0">
        <w:rPr>
          <w:rFonts w:ascii="Arial" w:hAnsi="Arial" w:cs="Arial"/>
          <w:sz w:val="24"/>
          <w:szCs w:val="24"/>
        </w:rPr>
        <w:t>would become indebted to the applicant in the sum of R</w:t>
      </w:r>
      <w:r w:rsidR="00C15051" w:rsidRPr="009663D0">
        <w:rPr>
          <w:rFonts w:ascii="Arial" w:hAnsi="Arial" w:cs="Arial"/>
          <w:sz w:val="24"/>
          <w:szCs w:val="24"/>
        </w:rPr>
        <w:t>4,</w:t>
      </w:r>
      <w:r w:rsidR="008E2B28" w:rsidRPr="009663D0">
        <w:rPr>
          <w:rFonts w:ascii="Arial" w:hAnsi="Arial" w:cs="Arial"/>
          <w:sz w:val="24"/>
          <w:szCs w:val="24"/>
        </w:rPr>
        <w:t>5 million. The respondent did not object to that</w:t>
      </w:r>
      <w:r w:rsidR="00C15051" w:rsidRPr="009663D0">
        <w:rPr>
          <w:rFonts w:ascii="Arial" w:hAnsi="Arial" w:cs="Arial"/>
          <w:sz w:val="24"/>
          <w:szCs w:val="24"/>
        </w:rPr>
        <w:t xml:space="preserve"> concession</w:t>
      </w:r>
      <w:r w:rsidR="008E2B28" w:rsidRPr="009663D0">
        <w:rPr>
          <w:rFonts w:ascii="Arial" w:hAnsi="Arial" w:cs="Arial"/>
          <w:sz w:val="24"/>
          <w:szCs w:val="24"/>
        </w:rPr>
        <w:t>.</w:t>
      </w:r>
      <w:r w:rsidR="00DC0747" w:rsidRPr="009663D0">
        <w:rPr>
          <w:rFonts w:ascii="Arial" w:hAnsi="Arial" w:cs="Arial"/>
          <w:sz w:val="24"/>
          <w:szCs w:val="24"/>
        </w:rPr>
        <w:t xml:space="preserve">  (I pause to mention that the respondent also admitted that at least R4.5 million was due to the applicant on registration of the transfer of Erf </w:t>
      </w:r>
      <w:r w:rsidR="006D7051">
        <w:rPr>
          <w:rFonts w:ascii="Arial" w:hAnsi="Arial" w:cs="Arial"/>
          <w:sz w:val="24"/>
          <w:szCs w:val="24"/>
        </w:rPr>
        <w:t>[…]</w:t>
      </w:r>
      <w:r w:rsidR="00DC0747" w:rsidRPr="009663D0">
        <w:rPr>
          <w:rFonts w:ascii="Arial" w:hAnsi="Arial" w:cs="Arial"/>
          <w:sz w:val="24"/>
          <w:szCs w:val="24"/>
        </w:rPr>
        <w:t xml:space="preserve"> in his particulars of claim, insofar as he ask</w:t>
      </w:r>
      <w:r w:rsidR="007C5584" w:rsidRPr="009663D0">
        <w:rPr>
          <w:rFonts w:ascii="Arial" w:hAnsi="Arial" w:cs="Arial"/>
          <w:sz w:val="24"/>
          <w:szCs w:val="24"/>
        </w:rPr>
        <w:t>ed</w:t>
      </w:r>
      <w:r w:rsidR="00DC0747" w:rsidRPr="009663D0">
        <w:rPr>
          <w:rFonts w:ascii="Arial" w:hAnsi="Arial" w:cs="Arial"/>
          <w:sz w:val="24"/>
          <w:szCs w:val="24"/>
        </w:rPr>
        <w:t xml:space="preserve"> for an order implementing the terms of the antenuptial agreement.  The admission </w:t>
      </w:r>
      <w:r w:rsidR="007C5584" w:rsidRPr="009663D0">
        <w:rPr>
          <w:rFonts w:ascii="Arial" w:hAnsi="Arial" w:cs="Arial"/>
          <w:sz w:val="24"/>
          <w:szCs w:val="24"/>
        </w:rPr>
        <w:t>wa</w:t>
      </w:r>
      <w:r w:rsidR="00DC0747" w:rsidRPr="009663D0">
        <w:rPr>
          <w:rFonts w:ascii="Arial" w:hAnsi="Arial" w:cs="Arial"/>
          <w:sz w:val="24"/>
          <w:szCs w:val="24"/>
        </w:rPr>
        <w:t>s repeated in the respondent’s plea to the applicant’s counterclaim.)</w:t>
      </w:r>
    </w:p>
    <w:p w14:paraId="1C6FCA15" w14:textId="2D403F6E" w:rsidR="008E2B28" w:rsidRPr="009663D0" w:rsidRDefault="008E2B28" w:rsidP="009663D0">
      <w:pPr>
        <w:pStyle w:val="PlainText"/>
        <w:widowControl w:val="0"/>
        <w:spacing w:line="480" w:lineRule="auto"/>
        <w:ind w:left="706"/>
        <w:jc w:val="both"/>
        <w:rPr>
          <w:rFonts w:ascii="Arial" w:hAnsi="Arial" w:cs="Arial"/>
          <w:sz w:val="24"/>
          <w:szCs w:val="24"/>
        </w:rPr>
      </w:pPr>
    </w:p>
    <w:p w14:paraId="461A5883" w14:textId="539CAE35" w:rsidR="007A5854"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19.</w:t>
      </w:r>
      <w:r w:rsidRPr="009663D0">
        <w:rPr>
          <w:rFonts w:ascii="Arial" w:hAnsi="Arial" w:cs="Arial"/>
          <w:sz w:val="24"/>
          <w:szCs w:val="24"/>
        </w:rPr>
        <w:tab/>
      </w:r>
      <w:r w:rsidR="00DC0747" w:rsidRPr="009663D0">
        <w:rPr>
          <w:rFonts w:ascii="Arial" w:hAnsi="Arial" w:cs="Arial"/>
          <w:sz w:val="24"/>
          <w:szCs w:val="24"/>
        </w:rPr>
        <w:t xml:space="preserve">Despite the provisions of clause 4 of the 2005 agreement, which required the applicant’s permission prior to the respondent’s disposing of Erf </w:t>
      </w:r>
      <w:r w:rsidR="006D7051">
        <w:rPr>
          <w:rFonts w:ascii="Arial" w:hAnsi="Arial" w:cs="Arial"/>
          <w:sz w:val="24"/>
          <w:szCs w:val="24"/>
        </w:rPr>
        <w:t>[…]</w:t>
      </w:r>
      <w:r w:rsidR="00DC0747" w:rsidRPr="009663D0">
        <w:rPr>
          <w:rFonts w:ascii="Arial" w:hAnsi="Arial" w:cs="Arial"/>
          <w:sz w:val="24"/>
          <w:szCs w:val="24"/>
        </w:rPr>
        <w:t xml:space="preserve">, the respondent concluded a sale agreement in respect of that property on 7 May 2021. Transfer was </w:t>
      </w:r>
      <w:r w:rsidR="00DC0747" w:rsidRPr="009663D0">
        <w:rPr>
          <w:rFonts w:ascii="Arial" w:hAnsi="Arial" w:cs="Arial"/>
          <w:sz w:val="24"/>
          <w:szCs w:val="24"/>
        </w:rPr>
        <w:lastRenderedPageBreak/>
        <w:t>registered on 27 July 2021. In terms of the agreements between the parties, the respondent became liable to pay to the applicant at least R4,5 million on that date. The applicant was not aware of the sale and transfer at the time, and the respondent did not repay the loan to the applicant as he was obliged to do.</w:t>
      </w:r>
    </w:p>
    <w:p w14:paraId="7BC27047" w14:textId="77777777" w:rsidR="007A5854" w:rsidRPr="009663D0" w:rsidRDefault="007A5854" w:rsidP="009663D0">
      <w:pPr>
        <w:pStyle w:val="ListParagraph"/>
        <w:widowControl w:val="0"/>
        <w:spacing w:line="480" w:lineRule="auto"/>
        <w:rPr>
          <w:rFonts w:ascii="Arial" w:hAnsi="Arial" w:cs="Arial"/>
        </w:rPr>
      </w:pPr>
    </w:p>
    <w:p w14:paraId="63903580" w14:textId="24093CF2" w:rsidR="00DC0747"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20.</w:t>
      </w:r>
      <w:r w:rsidRPr="009663D0">
        <w:rPr>
          <w:rFonts w:ascii="Arial" w:hAnsi="Arial" w:cs="Arial"/>
          <w:sz w:val="24"/>
          <w:szCs w:val="24"/>
        </w:rPr>
        <w:tab/>
      </w:r>
      <w:r w:rsidR="00DC0747" w:rsidRPr="009663D0">
        <w:rPr>
          <w:rFonts w:ascii="Arial" w:hAnsi="Arial" w:cs="Arial"/>
          <w:sz w:val="24"/>
          <w:szCs w:val="24"/>
        </w:rPr>
        <w:t>Instead, he used the proceeds of the sale to settle various expenses</w:t>
      </w:r>
      <w:r w:rsidR="00364258" w:rsidRPr="009663D0">
        <w:rPr>
          <w:rFonts w:ascii="Arial" w:hAnsi="Arial" w:cs="Arial"/>
          <w:sz w:val="24"/>
          <w:szCs w:val="24"/>
        </w:rPr>
        <w:t>,</w:t>
      </w:r>
      <w:r w:rsidR="00DC0747" w:rsidRPr="009663D0">
        <w:rPr>
          <w:rFonts w:ascii="Arial" w:hAnsi="Arial" w:cs="Arial"/>
          <w:sz w:val="24"/>
          <w:szCs w:val="24"/>
        </w:rPr>
        <w:t xml:space="preserve"> including unvouched loans in the amount of more than R3 million made to him by his brothers, friends, and his late father’s estate. He also repaid his current account overdraft and credit card debt, settled his legal fees and accommodation expenses, and settled some of the arrear maintenance owed to the applicant in terms of the rule 43 order. The respondent accordingly depleted the proceeds of the sale and </w:t>
      </w:r>
      <w:r w:rsidR="007A5854" w:rsidRPr="009663D0">
        <w:rPr>
          <w:rFonts w:ascii="Arial" w:hAnsi="Arial" w:cs="Arial"/>
          <w:sz w:val="24"/>
          <w:szCs w:val="24"/>
        </w:rPr>
        <w:t xml:space="preserve">(so the applicant contends) </w:t>
      </w:r>
      <w:r w:rsidR="00DC0747" w:rsidRPr="009663D0">
        <w:rPr>
          <w:rFonts w:ascii="Arial" w:hAnsi="Arial" w:cs="Arial"/>
          <w:sz w:val="24"/>
          <w:szCs w:val="24"/>
        </w:rPr>
        <w:t>preferred other creditors above the applicant.</w:t>
      </w:r>
    </w:p>
    <w:p w14:paraId="3CFA9C47" w14:textId="77777777" w:rsidR="005A16C7" w:rsidRPr="009663D0" w:rsidRDefault="005A16C7" w:rsidP="009663D0">
      <w:pPr>
        <w:pStyle w:val="ListParagraph"/>
        <w:widowControl w:val="0"/>
        <w:spacing w:line="480" w:lineRule="auto"/>
        <w:jc w:val="both"/>
        <w:rPr>
          <w:rFonts w:ascii="Arial" w:hAnsi="Arial" w:cs="Arial"/>
        </w:rPr>
      </w:pPr>
    </w:p>
    <w:p w14:paraId="1E1116F0" w14:textId="0F53FC78" w:rsidR="0059112B"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21.</w:t>
      </w:r>
      <w:r w:rsidRPr="009663D0">
        <w:rPr>
          <w:rFonts w:ascii="Arial" w:hAnsi="Arial" w:cs="Arial"/>
          <w:sz w:val="24"/>
          <w:szCs w:val="24"/>
        </w:rPr>
        <w:tab/>
      </w:r>
      <w:r w:rsidR="0059112B" w:rsidRPr="009663D0">
        <w:rPr>
          <w:rFonts w:ascii="Arial" w:hAnsi="Arial" w:cs="Arial"/>
          <w:sz w:val="24"/>
          <w:szCs w:val="24"/>
        </w:rPr>
        <w:t>The respondent opposes the applicant’s claim for payment of the R4,5 million loan, alleging that the applicant is in fact indebted to him in the sum of more than R9 million. He relies on set</w:t>
      </w:r>
      <w:r w:rsidR="00364258" w:rsidRPr="009663D0">
        <w:rPr>
          <w:rFonts w:ascii="Arial" w:hAnsi="Arial" w:cs="Arial"/>
          <w:sz w:val="24"/>
          <w:szCs w:val="24"/>
        </w:rPr>
        <w:t>-</w:t>
      </w:r>
      <w:r w:rsidR="0059112B" w:rsidRPr="009663D0">
        <w:rPr>
          <w:rFonts w:ascii="Arial" w:hAnsi="Arial" w:cs="Arial"/>
          <w:sz w:val="24"/>
          <w:szCs w:val="24"/>
        </w:rPr>
        <w:t>off to indicate that the applicant in fact owes him money. The respondent alleges that the applicant’s indebtedness towards him arises from seven loan agreement concluded between the parties during the subsistence of their marriage. These loans are</w:t>
      </w:r>
      <w:r w:rsidR="00364258" w:rsidRPr="009663D0">
        <w:rPr>
          <w:rFonts w:ascii="Arial" w:hAnsi="Arial" w:cs="Arial"/>
          <w:sz w:val="24"/>
          <w:szCs w:val="24"/>
        </w:rPr>
        <w:t>, however,</w:t>
      </w:r>
      <w:r w:rsidR="0059112B" w:rsidRPr="009663D0">
        <w:rPr>
          <w:rFonts w:ascii="Arial" w:hAnsi="Arial" w:cs="Arial"/>
          <w:sz w:val="24"/>
          <w:szCs w:val="24"/>
        </w:rPr>
        <w:t xml:space="preserve"> undocumented and there is no </w:t>
      </w:r>
      <w:r w:rsidR="00364258" w:rsidRPr="009663D0">
        <w:rPr>
          <w:rFonts w:ascii="Arial" w:hAnsi="Arial" w:cs="Arial"/>
          <w:sz w:val="24"/>
          <w:szCs w:val="24"/>
        </w:rPr>
        <w:t xml:space="preserve">contemporaneous </w:t>
      </w:r>
      <w:r w:rsidR="0059112B" w:rsidRPr="009663D0">
        <w:rPr>
          <w:rFonts w:ascii="Arial" w:hAnsi="Arial" w:cs="Arial"/>
          <w:sz w:val="24"/>
          <w:szCs w:val="24"/>
        </w:rPr>
        <w:t>detail as to the dates on which they were advanced, what the agreed terms were, and what the agreed repayment date would have been.</w:t>
      </w:r>
    </w:p>
    <w:p w14:paraId="10A9BBEC" w14:textId="77777777" w:rsidR="0059112B" w:rsidRPr="009663D0" w:rsidRDefault="0059112B" w:rsidP="009663D0">
      <w:pPr>
        <w:pStyle w:val="PlainText"/>
        <w:widowControl w:val="0"/>
        <w:spacing w:line="480" w:lineRule="auto"/>
        <w:ind w:left="709"/>
        <w:jc w:val="both"/>
        <w:rPr>
          <w:rFonts w:ascii="Arial" w:hAnsi="Arial" w:cs="Arial"/>
          <w:sz w:val="24"/>
          <w:szCs w:val="24"/>
        </w:rPr>
      </w:pPr>
    </w:p>
    <w:p w14:paraId="5A9B1231" w14:textId="678C6037" w:rsidR="0059112B"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22.</w:t>
      </w:r>
      <w:r w:rsidRPr="009663D0">
        <w:rPr>
          <w:rFonts w:ascii="Arial" w:hAnsi="Arial" w:cs="Arial"/>
          <w:sz w:val="24"/>
          <w:szCs w:val="24"/>
        </w:rPr>
        <w:tab/>
      </w:r>
      <w:r w:rsidR="0059112B" w:rsidRPr="009663D0">
        <w:rPr>
          <w:rFonts w:ascii="Arial" w:hAnsi="Arial" w:cs="Arial"/>
          <w:sz w:val="24"/>
          <w:szCs w:val="24"/>
        </w:rPr>
        <w:t xml:space="preserve">The respondent says, correctly so, that the status of these loans is still to be determined by this Court at the finalisation of the divorce action. He therefore concedes that he would have to prove at the divorce trial that there was a meeting of </w:t>
      </w:r>
      <w:r w:rsidR="0059112B" w:rsidRPr="009663D0">
        <w:rPr>
          <w:rFonts w:ascii="Arial" w:hAnsi="Arial" w:cs="Arial"/>
          <w:sz w:val="24"/>
          <w:szCs w:val="24"/>
        </w:rPr>
        <w:lastRenderedPageBreak/>
        <w:t>the minds between the parties to conclude seven loan agreements, repayable on divorce</w:t>
      </w:r>
      <w:r w:rsidR="007552E7" w:rsidRPr="009663D0">
        <w:rPr>
          <w:rFonts w:ascii="Arial" w:hAnsi="Arial" w:cs="Arial"/>
          <w:sz w:val="24"/>
          <w:szCs w:val="24"/>
        </w:rPr>
        <w:t>, and what the terms were</w:t>
      </w:r>
      <w:r w:rsidR="0059112B" w:rsidRPr="009663D0">
        <w:rPr>
          <w:rFonts w:ascii="Arial" w:hAnsi="Arial" w:cs="Arial"/>
          <w:sz w:val="24"/>
          <w:szCs w:val="24"/>
        </w:rPr>
        <w:t>. He must prove that the amounts alleged to have been lent were in fact advanced to the applicant and have been correctly calculated in accordance with the provisions of the respective loan agreements. It is clear that in the circumstances the respondent cannot rely on set off</w:t>
      </w:r>
      <w:r w:rsidR="00C434AE" w:rsidRPr="009663D0">
        <w:rPr>
          <w:rFonts w:ascii="Arial" w:hAnsi="Arial" w:cs="Arial"/>
          <w:sz w:val="24"/>
          <w:szCs w:val="24"/>
        </w:rPr>
        <w:t>.</w:t>
      </w:r>
    </w:p>
    <w:p w14:paraId="5867F1B0" w14:textId="77777777" w:rsidR="00B74321" w:rsidRPr="009663D0" w:rsidRDefault="00B74321" w:rsidP="009663D0">
      <w:pPr>
        <w:pStyle w:val="ListParagraph"/>
        <w:widowControl w:val="0"/>
        <w:spacing w:line="480" w:lineRule="auto"/>
        <w:jc w:val="both"/>
        <w:rPr>
          <w:rFonts w:ascii="Arial" w:hAnsi="Arial" w:cs="Arial"/>
        </w:rPr>
      </w:pPr>
    </w:p>
    <w:p w14:paraId="4CF90A35" w14:textId="04706982" w:rsidR="00B74321" w:rsidRPr="009663D0" w:rsidRDefault="00E52642" w:rsidP="00E52642">
      <w:pPr>
        <w:pStyle w:val="western"/>
        <w:widowControl w:val="0"/>
        <w:shd w:val="clear" w:color="auto" w:fill="FFFFFF"/>
        <w:tabs>
          <w:tab w:val="left" w:pos="709"/>
        </w:tabs>
        <w:spacing w:before="0" w:beforeAutospacing="0" w:after="0" w:afterAutospacing="0" w:line="480" w:lineRule="auto"/>
        <w:ind w:left="709" w:hanging="709"/>
        <w:jc w:val="both"/>
        <w:rPr>
          <w:rFonts w:ascii="Arial" w:hAnsi="Arial" w:cs="Arial"/>
          <w:lang w:val="en-GB"/>
        </w:rPr>
      </w:pPr>
      <w:r w:rsidRPr="009663D0">
        <w:rPr>
          <w:rFonts w:ascii="Arial" w:hAnsi="Arial" w:cs="Arial"/>
          <w:lang w:val="en-GB"/>
        </w:rPr>
        <w:t>23.</w:t>
      </w:r>
      <w:r w:rsidRPr="009663D0">
        <w:rPr>
          <w:rFonts w:ascii="Arial" w:hAnsi="Arial" w:cs="Arial"/>
          <w:lang w:val="en-GB"/>
        </w:rPr>
        <w:tab/>
      </w:r>
      <w:r w:rsidR="00B74321" w:rsidRPr="009663D0">
        <w:rPr>
          <w:rFonts w:ascii="Arial" w:hAnsi="Arial" w:cs="Arial"/>
          <w:i/>
          <w:iCs/>
          <w:lang w:val="en-GB"/>
        </w:rPr>
        <w:t xml:space="preserve">In </w:t>
      </w:r>
      <w:proofErr w:type="spellStart"/>
      <w:r w:rsidR="00B74321" w:rsidRPr="009663D0">
        <w:rPr>
          <w:rFonts w:ascii="Arial" w:hAnsi="Arial" w:cs="Arial"/>
          <w:i/>
          <w:iCs/>
          <w:lang w:val="en-GB"/>
        </w:rPr>
        <w:t>Gilliat</w:t>
      </w:r>
      <w:proofErr w:type="spellEnd"/>
      <w:r w:rsidR="00710653" w:rsidRPr="009663D0">
        <w:rPr>
          <w:rFonts w:ascii="Arial" w:hAnsi="Arial" w:cs="Arial"/>
          <w:i/>
          <w:iCs/>
          <w:lang w:val="en-GB"/>
        </w:rPr>
        <w:t xml:space="preserve"> </w:t>
      </w:r>
      <w:r w:rsidR="00B74321" w:rsidRPr="009663D0">
        <w:rPr>
          <w:rFonts w:ascii="Arial" w:hAnsi="Arial" w:cs="Arial"/>
          <w:i/>
          <w:iCs/>
          <w:lang w:val="en-GB"/>
        </w:rPr>
        <w:t xml:space="preserve">v </w:t>
      </w:r>
      <w:proofErr w:type="spellStart"/>
      <w:r w:rsidR="00B74321" w:rsidRPr="009663D0">
        <w:rPr>
          <w:rFonts w:ascii="Arial" w:hAnsi="Arial" w:cs="Arial"/>
          <w:i/>
          <w:iCs/>
          <w:lang w:val="en-GB"/>
        </w:rPr>
        <w:t>Sassin</w:t>
      </w:r>
      <w:proofErr w:type="spellEnd"/>
      <w:r w:rsidR="00B74321" w:rsidRPr="009663D0">
        <w:rPr>
          <w:rFonts w:ascii="Arial" w:hAnsi="Arial" w:cs="Arial"/>
          <w:lang w:val="en-GB"/>
        </w:rPr>
        <w:t xml:space="preserve"> 1954 (2) SA 278 (C) the issue was whether the applicant creditor had a liquidated claim in circumstances where she relied on an amount due to her as heir in terms of the first and final liquidation and distribution account in her late mother’s estate, which the respondent, the executor, had misappropriated out of the estate. The respondent took the point that the estate account had not yet been finally approved by the Master, and that it was possible that the Master might require amendments to the estate account, in which case the amount due to the applicant would be subject to alteration. The court was called upon to determine whether, in these circumstances, the applicant had a liquidated claim entitling her to apply for the sequestration of the respondent’s estate. The court held as follows at 280A-D: </w:t>
      </w:r>
    </w:p>
    <w:p w14:paraId="09096155" w14:textId="77777777" w:rsidR="00B74321" w:rsidRPr="009663D0" w:rsidRDefault="00B74321" w:rsidP="009663D0">
      <w:pPr>
        <w:pStyle w:val="western"/>
        <w:widowControl w:val="0"/>
        <w:shd w:val="clear" w:color="auto" w:fill="FFFFFF"/>
        <w:spacing w:before="0" w:beforeAutospacing="0" w:after="0" w:afterAutospacing="0" w:line="480" w:lineRule="auto"/>
        <w:jc w:val="both"/>
        <w:rPr>
          <w:rFonts w:ascii="Arial" w:hAnsi="Arial" w:cs="Arial"/>
          <w:lang w:val="en-GB"/>
        </w:rPr>
      </w:pPr>
    </w:p>
    <w:p w14:paraId="47E7B7B2" w14:textId="686EA9AF" w:rsidR="00B74321" w:rsidRPr="009663D0" w:rsidRDefault="00B74321" w:rsidP="009663D0">
      <w:pPr>
        <w:pStyle w:val="western"/>
        <w:widowControl w:val="0"/>
        <w:shd w:val="clear" w:color="auto" w:fill="FFFFFF"/>
        <w:spacing w:before="0" w:beforeAutospacing="0" w:after="0" w:afterAutospacing="0" w:line="480" w:lineRule="auto"/>
        <w:ind w:left="720"/>
        <w:jc w:val="both"/>
        <w:rPr>
          <w:rFonts w:ascii="Arial" w:hAnsi="Arial" w:cs="Arial"/>
          <w:i/>
          <w:iCs/>
          <w:lang w:val="en-GB"/>
        </w:rPr>
      </w:pPr>
      <w:r w:rsidRPr="009663D0">
        <w:rPr>
          <w:rFonts w:ascii="Arial" w:hAnsi="Arial" w:cs="Arial"/>
          <w:lang w:val="en-GB"/>
        </w:rPr>
        <w:t>“</w:t>
      </w:r>
      <w:r w:rsidRPr="009663D0">
        <w:rPr>
          <w:rFonts w:ascii="Arial" w:hAnsi="Arial" w:cs="Arial"/>
          <w:i/>
          <w:iCs/>
          <w:lang w:val="en-GB"/>
        </w:rPr>
        <w:t>To be regarded as a liquidated claim the petitioner’s claim must be fixed and determined. This Court, in the case of </w:t>
      </w:r>
      <w:r w:rsidRPr="009663D0">
        <w:rPr>
          <w:rFonts w:ascii="Arial" w:hAnsi="Arial" w:cs="Arial"/>
          <w:lang w:val="en-GB"/>
        </w:rPr>
        <w:t>Stephan v Khan</w:t>
      </w:r>
      <w:r w:rsidRPr="009663D0">
        <w:rPr>
          <w:rFonts w:ascii="Arial" w:hAnsi="Arial" w:cs="Arial"/>
          <w:i/>
          <w:iCs/>
          <w:lang w:val="en-GB"/>
        </w:rPr>
        <w:t> </w:t>
      </w:r>
      <w:hyperlink r:id="rId8" w:tooltip="View LawCiteRecord" w:history="1">
        <w:r w:rsidRPr="009663D0">
          <w:rPr>
            <w:rStyle w:val="Hyperlink"/>
            <w:rFonts w:ascii="Arial" w:hAnsi="Arial" w:cs="Arial"/>
            <w:i/>
            <w:iCs/>
            <w:color w:val="auto"/>
            <w:u w:val="none"/>
            <w:lang w:val="en-GB"/>
          </w:rPr>
          <w:t>1917 CPD 24</w:t>
        </w:r>
      </w:hyperlink>
      <w:r w:rsidRPr="009663D0">
        <w:rPr>
          <w:rFonts w:ascii="Arial" w:hAnsi="Arial" w:cs="Arial"/>
          <w:i/>
          <w:iCs/>
          <w:lang w:val="en-GB"/>
        </w:rPr>
        <w:t> – a decision which has frequently been followed not only in this Court but in other Courts – held that “liquidated claim”, as those words are used in sec. 9(1) of the 1916 </w:t>
      </w:r>
      <w:hyperlink r:id="rId9" w:history="1">
        <w:r w:rsidRPr="009663D0">
          <w:rPr>
            <w:rStyle w:val="Hyperlink"/>
            <w:rFonts w:ascii="Arial" w:hAnsi="Arial" w:cs="Arial"/>
            <w:i/>
            <w:iCs/>
            <w:color w:val="auto"/>
            <w:u w:val="none"/>
            <w:lang w:val="en-GB"/>
          </w:rPr>
          <w:t>Insolvency Act, mean</w:t>
        </w:r>
      </w:hyperlink>
      <w:r w:rsidRPr="009663D0">
        <w:rPr>
          <w:rFonts w:ascii="Arial" w:hAnsi="Arial" w:cs="Arial"/>
          <w:i/>
          <w:iCs/>
          <w:lang w:val="en-GB"/>
        </w:rPr>
        <w:t> a claim the amount of which has been determined by a judgment of the Court, by agreement or otherwise.</w:t>
      </w:r>
    </w:p>
    <w:p w14:paraId="1F7EFBE3" w14:textId="32A99C3C" w:rsidR="00B74321" w:rsidRPr="009663D0" w:rsidRDefault="00B74321" w:rsidP="009663D0">
      <w:pPr>
        <w:pStyle w:val="western"/>
        <w:widowControl w:val="0"/>
        <w:shd w:val="clear" w:color="auto" w:fill="FFFFFF"/>
        <w:spacing w:before="0" w:beforeAutospacing="0" w:after="0" w:afterAutospacing="0" w:line="480" w:lineRule="auto"/>
        <w:ind w:left="709"/>
        <w:jc w:val="both"/>
        <w:rPr>
          <w:rFonts w:ascii="Arial" w:hAnsi="Arial" w:cs="Arial"/>
          <w:lang w:val="en-GB"/>
        </w:rPr>
      </w:pPr>
      <w:r w:rsidRPr="009663D0">
        <w:rPr>
          <w:rFonts w:ascii="Arial" w:hAnsi="Arial" w:cs="Arial"/>
          <w:i/>
          <w:iCs/>
          <w:u w:val="single"/>
          <w:lang w:val="en-GB"/>
        </w:rPr>
        <w:t xml:space="preserve">Now, in the present case the amount of the petitioner’s claim – and indeed whether she will have a claim at all – is conditional upon whether the account in the estate of </w:t>
      </w:r>
      <w:r w:rsidRPr="009663D0">
        <w:rPr>
          <w:rFonts w:ascii="Arial" w:hAnsi="Arial" w:cs="Arial"/>
          <w:i/>
          <w:iCs/>
          <w:u w:val="single"/>
          <w:lang w:val="en-GB"/>
        </w:rPr>
        <w:lastRenderedPageBreak/>
        <w:t>the petitioner’s late mother is accepted in the form in which it presently stands. The account has, however, still to be advertised and objection may successfully be taken thereto, which might have the effect of reducing her claim or even eliminating it altogether</w:t>
      </w:r>
      <w:r w:rsidRPr="009663D0">
        <w:rPr>
          <w:rFonts w:ascii="Arial" w:hAnsi="Arial" w:cs="Arial"/>
          <w:i/>
          <w:iCs/>
          <w:lang w:val="en-GB"/>
        </w:rPr>
        <w:t>. Mr.Meyerowitz stated that in any event she had a prima facie claim to the amount appearing in this account and that it was highly probable that an amount would eventually be found to be due to her which would be in excess of £ 50. This may be so, but to my mind this does not go far enough to satisfy the provisions of </w:t>
      </w:r>
      <w:hyperlink r:id="rId10" w:anchor="s9" w:history="1">
        <w:r w:rsidRPr="009663D0">
          <w:rPr>
            <w:rStyle w:val="Hyperlink"/>
            <w:rFonts w:ascii="Arial" w:hAnsi="Arial" w:cs="Arial"/>
            <w:i/>
            <w:iCs/>
            <w:color w:val="auto"/>
            <w:u w:val="none"/>
            <w:lang w:val="en-GB"/>
          </w:rPr>
          <w:t>sec. 9(1)</w:t>
        </w:r>
      </w:hyperlink>
      <w:r w:rsidRPr="009663D0">
        <w:rPr>
          <w:rFonts w:ascii="Arial" w:hAnsi="Arial" w:cs="Arial"/>
          <w:i/>
          <w:iCs/>
          <w:lang w:val="en-GB"/>
        </w:rPr>
        <w:t>, which require a liquidated claim.</w:t>
      </w:r>
      <w:r w:rsidRPr="009663D0">
        <w:rPr>
          <w:rFonts w:ascii="Arial" w:hAnsi="Arial" w:cs="Arial"/>
          <w:lang w:val="en-GB"/>
        </w:rPr>
        <w:t>” (Emphasis added.)</w:t>
      </w:r>
    </w:p>
    <w:p w14:paraId="6591ED3C" w14:textId="77777777" w:rsidR="00B74321" w:rsidRPr="009663D0" w:rsidRDefault="00B74321" w:rsidP="009663D0">
      <w:pPr>
        <w:pStyle w:val="western"/>
        <w:widowControl w:val="0"/>
        <w:shd w:val="clear" w:color="auto" w:fill="FFFFFF"/>
        <w:spacing w:before="0" w:beforeAutospacing="0" w:after="0" w:afterAutospacing="0" w:line="480" w:lineRule="auto"/>
        <w:jc w:val="both"/>
        <w:rPr>
          <w:rFonts w:ascii="Arial" w:hAnsi="Arial" w:cs="Arial"/>
          <w:lang w:val="en-GB"/>
        </w:rPr>
      </w:pPr>
    </w:p>
    <w:p w14:paraId="2A46F25C" w14:textId="1AF00159" w:rsidR="00B74321" w:rsidRPr="009663D0" w:rsidRDefault="00E52642" w:rsidP="00E52642">
      <w:pPr>
        <w:pStyle w:val="western"/>
        <w:widowControl w:val="0"/>
        <w:shd w:val="clear" w:color="auto" w:fill="FFFFFF"/>
        <w:tabs>
          <w:tab w:val="left" w:pos="709"/>
        </w:tabs>
        <w:spacing w:before="0" w:beforeAutospacing="0" w:after="0" w:afterAutospacing="0" w:line="480" w:lineRule="auto"/>
        <w:ind w:left="709" w:hanging="709"/>
        <w:jc w:val="both"/>
        <w:rPr>
          <w:rFonts w:ascii="Arial" w:hAnsi="Arial" w:cs="Arial"/>
          <w:lang w:val="en-GB"/>
        </w:rPr>
      </w:pPr>
      <w:r w:rsidRPr="009663D0">
        <w:rPr>
          <w:rFonts w:ascii="Arial" w:hAnsi="Arial" w:cs="Arial"/>
          <w:lang w:val="en-GB"/>
        </w:rPr>
        <w:t>24.</w:t>
      </w:r>
      <w:r w:rsidRPr="009663D0">
        <w:rPr>
          <w:rFonts w:ascii="Arial" w:hAnsi="Arial" w:cs="Arial"/>
          <w:lang w:val="en-GB"/>
        </w:rPr>
        <w:tab/>
      </w:r>
      <w:r w:rsidR="00B74321" w:rsidRPr="009663D0">
        <w:rPr>
          <w:rFonts w:ascii="Arial" w:hAnsi="Arial" w:cs="Arial"/>
          <w:lang w:val="en-GB"/>
        </w:rPr>
        <w:t>To my mind the</w:t>
      </w:r>
      <w:r w:rsidR="00710653" w:rsidRPr="009663D0">
        <w:rPr>
          <w:rFonts w:ascii="Arial" w:hAnsi="Arial" w:cs="Arial"/>
          <w:lang w:val="en-GB"/>
        </w:rPr>
        <w:t xml:space="preserve"> reasoning</w:t>
      </w:r>
      <w:r w:rsidR="00B74321" w:rsidRPr="009663D0">
        <w:rPr>
          <w:rFonts w:ascii="Arial" w:hAnsi="Arial" w:cs="Arial"/>
          <w:lang w:val="en-GB"/>
        </w:rPr>
        <w:t xml:space="preserve"> in </w:t>
      </w:r>
      <w:r w:rsidR="00B74321" w:rsidRPr="009663D0">
        <w:rPr>
          <w:rFonts w:ascii="Arial" w:hAnsi="Arial" w:cs="Arial"/>
          <w:i/>
          <w:iCs/>
          <w:lang w:val="en-GB"/>
        </w:rPr>
        <w:t xml:space="preserve">Gilliatt v Sassin </w:t>
      </w:r>
      <w:r w:rsidR="00B74321" w:rsidRPr="009663D0">
        <w:rPr>
          <w:rFonts w:ascii="Arial" w:hAnsi="Arial" w:cs="Arial"/>
          <w:lang w:val="en-GB"/>
        </w:rPr>
        <w:t>is equally apposite in relation to the respondent’s claim against the applicant.</w:t>
      </w:r>
    </w:p>
    <w:p w14:paraId="74B0F44A" w14:textId="77777777" w:rsidR="00C434AE" w:rsidRPr="009663D0" w:rsidRDefault="00C434AE" w:rsidP="009663D0">
      <w:pPr>
        <w:pStyle w:val="ListParagraph"/>
        <w:widowControl w:val="0"/>
        <w:spacing w:line="480" w:lineRule="auto"/>
        <w:rPr>
          <w:rFonts w:ascii="Arial" w:hAnsi="Arial" w:cs="Arial"/>
        </w:rPr>
      </w:pPr>
    </w:p>
    <w:p w14:paraId="07E4EEFC" w14:textId="73A1A2D0" w:rsidR="00C434AE"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25.</w:t>
      </w:r>
      <w:r w:rsidRPr="009663D0">
        <w:rPr>
          <w:rFonts w:ascii="Arial" w:hAnsi="Arial" w:cs="Arial"/>
          <w:sz w:val="24"/>
          <w:szCs w:val="24"/>
        </w:rPr>
        <w:tab/>
      </w:r>
      <w:r w:rsidR="00C434AE" w:rsidRPr="009663D0">
        <w:rPr>
          <w:rFonts w:ascii="Arial" w:hAnsi="Arial" w:cs="Arial"/>
          <w:sz w:val="24"/>
          <w:szCs w:val="24"/>
        </w:rPr>
        <w:t>Setoff comes into operation when two parties are mutually indebted to each other, and both debts are liquidated and fully due (</w:t>
      </w:r>
      <w:r w:rsidR="007552E7" w:rsidRPr="009663D0">
        <w:rPr>
          <w:rFonts w:ascii="Arial" w:hAnsi="Arial" w:cs="Arial"/>
          <w:i/>
          <w:iCs/>
          <w:sz w:val="24"/>
          <w:szCs w:val="24"/>
        </w:rPr>
        <w:t>Fatti’s Engineering Co (Pty) Ltd v Vendick Spares (Pty) Ltd</w:t>
      </w:r>
      <w:r w:rsidR="007552E7" w:rsidRPr="009663D0">
        <w:rPr>
          <w:rFonts w:ascii="Arial" w:hAnsi="Arial" w:cs="Arial"/>
          <w:sz w:val="24"/>
          <w:szCs w:val="24"/>
        </w:rPr>
        <w:t xml:space="preserve"> 1962 (1) SA 736 (T) at 738E-H)</w:t>
      </w:r>
      <w:r w:rsidR="00C434AE" w:rsidRPr="009663D0">
        <w:rPr>
          <w:rFonts w:ascii="Arial" w:hAnsi="Arial" w:cs="Arial"/>
          <w:sz w:val="24"/>
          <w:szCs w:val="24"/>
        </w:rPr>
        <w:t xml:space="preserve">.  The respondent’s claims are </w:t>
      </w:r>
      <w:r w:rsidR="00364258" w:rsidRPr="009663D0">
        <w:rPr>
          <w:rFonts w:ascii="Arial" w:hAnsi="Arial" w:cs="Arial"/>
          <w:sz w:val="24"/>
          <w:szCs w:val="24"/>
        </w:rPr>
        <w:t xml:space="preserve">clearly </w:t>
      </w:r>
      <w:r w:rsidR="00C434AE" w:rsidRPr="009663D0">
        <w:rPr>
          <w:rFonts w:ascii="Arial" w:hAnsi="Arial" w:cs="Arial"/>
          <w:sz w:val="24"/>
          <w:szCs w:val="24"/>
        </w:rPr>
        <w:t xml:space="preserve">unliquidated are this stage. </w:t>
      </w:r>
    </w:p>
    <w:p w14:paraId="54A2FC16" w14:textId="77777777" w:rsidR="009074F1" w:rsidRPr="009663D0" w:rsidRDefault="009074F1" w:rsidP="009663D0">
      <w:pPr>
        <w:pStyle w:val="ListParagraph"/>
        <w:widowControl w:val="0"/>
        <w:spacing w:line="480" w:lineRule="auto"/>
        <w:rPr>
          <w:rFonts w:ascii="Arial" w:hAnsi="Arial" w:cs="Arial"/>
        </w:rPr>
      </w:pPr>
    </w:p>
    <w:p w14:paraId="7565921B" w14:textId="47CF37EF" w:rsidR="009074F1"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26.</w:t>
      </w:r>
      <w:r w:rsidRPr="009663D0">
        <w:rPr>
          <w:rFonts w:ascii="Arial" w:hAnsi="Arial" w:cs="Arial"/>
          <w:sz w:val="24"/>
          <w:szCs w:val="24"/>
        </w:rPr>
        <w:tab/>
      </w:r>
      <w:r w:rsidR="009074F1" w:rsidRPr="009663D0">
        <w:rPr>
          <w:rFonts w:ascii="Arial" w:hAnsi="Arial" w:cs="Arial"/>
          <w:sz w:val="24"/>
          <w:szCs w:val="24"/>
        </w:rPr>
        <w:t>It appears further that the respondent has failed to comply wit</w:t>
      </w:r>
      <w:r w:rsidR="00B444F2" w:rsidRPr="009663D0">
        <w:rPr>
          <w:rFonts w:ascii="Arial" w:hAnsi="Arial" w:cs="Arial"/>
          <w:sz w:val="24"/>
          <w:szCs w:val="24"/>
        </w:rPr>
        <w:t>h</w:t>
      </w:r>
      <w:r w:rsidR="009074F1" w:rsidRPr="009663D0">
        <w:rPr>
          <w:rFonts w:ascii="Arial" w:hAnsi="Arial" w:cs="Arial"/>
          <w:sz w:val="24"/>
          <w:szCs w:val="24"/>
        </w:rPr>
        <w:t xml:space="preserve"> </w:t>
      </w:r>
      <w:r w:rsidR="00364258" w:rsidRPr="009663D0">
        <w:rPr>
          <w:rFonts w:ascii="Arial" w:hAnsi="Arial" w:cs="Arial"/>
          <w:sz w:val="24"/>
          <w:szCs w:val="24"/>
        </w:rPr>
        <w:t xml:space="preserve">various </w:t>
      </w:r>
      <w:r w:rsidR="009074F1" w:rsidRPr="009663D0">
        <w:rPr>
          <w:rFonts w:ascii="Arial" w:hAnsi="Arial" w:cs="Arial"/>
          <w:sz w:val="24"/>
          <w:szCs w:val="24"/>
        </w:rPr>
        <w:t>pretrial directive</w:t>
      </w:r>
      <w:r w:rsidR="00B444F2" w:rsidRPr="009663D0">
        <w:rPr>
          <w:rFonts w:ascii="Arial" w:hAnsi="Arial" w:cs="Arial"/>
          <w:sz w:val="24"/>
          <w:szCs w:val="24"/>
        </w:rPr>
        <w:t>s</w:t>
      </w:r>
      <w:r w:rsidR="009074F1" w:rsidRPr="009663D0">
        <w:rPr>
          <w:rFonts w:ascii="Arial" w:hAnsi="Arial" w:cs="Arial"/>
          <w:sz w:val="24"/>
          <w:szCs w:val="24"/>
        </w:rPr>
        <w:t xml:space="preserve"> in terms of which he was to provide details and supporting evidence of the loans, including their quantification.</w:t>
      </w:r>
      <w:r w:rsidR="00B444F2" w:rsidRPr="009663D0">
        <w:rPr>
          <w:rFonts w:ascii="Arial" w:hAnsi="Arial" w:cs="Arial"/>
          <w:sz w:val="24"/>
          <w:szCs w:val="24"/>
        </w:rPr>
        <w:t xml:space="preserve">  I agree with the applicant’s counsel that the schedules annexed to the answering affidavit do not constitute sufficient proof of the alleged loans.  They are not contemporaneous, and were </w:t>
      </w:r>
      <w:r w:rsidR="00364258" w:rsidRPr="009663D0">
        <w:rPr>
          <w:rFonts w:ascii="Arial" w:hAnsi="Arial" w:cs="Arial"/>
          <w:sz w:val="24"/>
          <w:szCs w:val="24"/>
        </w:rPr>
        <w:t>obviously</w:t>
      </w:r>
      <w:r w:rsidR="00B444F2" w:rsidRPr="009663D0">
        <w:rPr>
          <w:rFonts w:ascii="Arial" w:hAnsi="Arial" w:cs="Arial"/>
          <w:sz w:val="24"/>
          <w:szCs w:val="24"/>
        </w:rPr>
        <w:t xml:space="preserve"> created for the purposes of th</w:t>
      </w:r>
      <w:r w:rsidR="00364258" w:rsidRPr="009663D0">
        <w:rPr>
          <w:rFonts w:ascii="Arial" w:hAnsi="Arial" w:cs="Arial"/>
          <w:sz w:val="24"/>
          <w:szCs w:val="24"/>
        </w:rPr>
        <w:t>ese proceedings</w:t>
      </w:r>
      <w:r w:rsidR="00B444F2" w:rsidRPr="009663D0">
        <w:rPr>
          <w:rFonts w:ascii="Arial" w:hAnsi="Arial" w:cs="Arial"/>
          <w:sz w:val="24"/>
          <w:szCs w:val="24"/>
        </w:rPr>
        <w:t xml:space="preserve">.  </w:t>
      </w:r>
      <w:r w:rsidR="00576708" w:rsidRPr="009663D0">
        <w:rPr>
          <w:rFonts w:ascii="Arial" w:hAnsi="Arial" w:cs="Arial"/>
          <w:sz w:val="24"/>
          <w:szCs w:val="24"/>
        </w:rPr>
        <w:t xml:space="preserve">The bank statements attached by the respondent also do not provide substantiation for the alleged loans; </w:t>
      </w:r>
      <w:r w:rsidR="00364258" w:rsidRPr="009663D0">
        <w:rPr>
          <w:rFonts w:ascii="Arial" w:hAnsi="Arial" w:cs="Arial"/>
          <w:sz w:val="24"/>
          <w:szCs w:val="24"/>
        </w:rPr>
        <w:t xml:space="preserve">as </w:t>
      </w:r>
      <w:r w:rsidR="00576708" w:rsidRPr="009663D0">
        <w:rPr>
          <w:rFonts w:ascii="Arial" w:hAnsi="Arial" w:cs="Arial"/>
          <w:sz w:val="24"/>
          <w:szCs w:val="24"/>
        </w:rPr>
        <w:t>the</w:t>
      </w:r>
      <w:r w:rsidR="00364258" w:rsidRPr="009663D0">
        <w:rPr>
          <w:rFonts w:ascii="Arial" w:hAnsi="Arial" w:cs="Arial"/>
          <w:sz w:val="24"/>
          <w:szCs w:val="24"/>
        </w:rPr>
        <w:t>y</w:t>
      </w:r>
      <w:r w:rsidR="00576708" w:rsidRPr="009663D0">
        <w:rPr>
          <w:rFonts w:ascii="Arial" w:hAnsi="Arial" w:cs="Arial"/>
          <w:sz w:val="24"/>
          <w:szCs w:val="24"/>
        </w:rPr>
        <w:t xml:space="preserve"> just reflect payments made to a conveyancing attorney.  In fact, the answering affidavit displays a startling paucity </w:t>
      </w:r>
      <w:r w:rsidR="00576708" w:rsidRPr="009663D0">
        <w:rPr>
          <w:rFonts w:ascii="Arial" w:hAnsi="Arial" w:cs="Arial"/>
          <w:sz w:val="24"/>
          <w:szCs w:val="24"/>
        </w:rPr>
        <w:lastRenderedPageBreak/>
        <w:t xml:space="preserve">of information in relation to what is alleged to be a very substantial </w:t>
      </w:r>
      <w:r w:rsidR="00364258" w:rsidRPr="009663D0">
        <w:rPr>
          <w:rFonts w:ascii="Arial" w:hAnsi="Arial" w:cs="Arial"/>
          <w:sz w:val="24"/>
          <w:szCs w:val="24"/>
        </w:rPr>
        <w:t xml:space="preserve">total </w:t>
      </w:r>
      <w:r w:rsidR="00576708" w:rsidRPr="009663D0">
        <w:rPr>
          <w:rFonts w:ascii="Arial" w:hAnsi="Arial" w:cs="Arial"/>
          <w:sz w:val="24"/>
          <w:szCs w:val="24"/>
        </w:rPr>
        <w:t>loan obligation.</w:t>
      </w:r>
    </w:p>
    <w:p w14:paraId="7AAAE0B3" w14:textId="77777777" w:rsidR="004571A1" w:rsidRPr="009663D0" w:rsidRDefault="004571A1" w:rsidP="009663D0">
      <w:pPr>
        <w:pStyle w:val="ListParagraph"/>
        <w:widowControl w:val="0"/>
        <w:spacing w:line="480" w:lineRule="auto"/>
        <w:jc w:val="both"/>
        <w:rPr>
          <w:rFonts w:ascii="Arial" w:hAnsi="Arial" w:cs="Arial"/>
        </w:rPr>
      </w:pPr>
    </w:p>
    <w:p w14:paraId="75E55997" w14:textId="5CF8973F" w:rsidR="004571A1"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27.</w:t>
      </w:r>
      <w:r w:rsidRPr="009663D0">
        <w:rPr>
          <w:rFonts w:ascii="Arial" w:hAnsi="Arial" w:cs="Arial"/>
          <w:sz w:val="24"/>
          <w:szCs w:val="24"/>
        </w:rPr>
        <w:tab/>
      </w:r>
      <w:r w:rsidR="0041461E" w:rsidRPr="009663D0">
        <w:rPr>
          <w:rFonts w:ascii="Arial" w:hAnsi="Arial" w:cs="Arial"/>
          <w:sz w:val="24"/>
          <w:szCs w:val="24"/>
        </w:rPr>
        <w:t>Moreover, the alleged loans date back to 2009.  As counsel for the applicant points out</w:t>
      </w:r>
      <w:r w:rsidR="00911486" w:rsidRPr="009663D0">
        <w:rPr>
          <w:rFonts w:ascii="Arial" w:hAnsi="Arial" w:cs="Arial"/>
          <w:sz w:val="24"/>
          <w:szCs w:val="24"/>
        </w:rPr>
        <w:t>, an absurdity arises on the respondent’s allegations</w:t>
      </w:r>
      <w:r w:rsidR="0041461E" w:rsidRPr="009663D0">
        <w:rPr>
          <w:rFonts w:ascii="Arial" w:hAnsi="Arial" w:cs="Arial"/>
          <w:sz w:val="24"/>
          <w:szCs w:val="24"/>
        </w:rPr>
        <w:t xml:space="preserve">:  </w:t>
      </w:r>
      <w:r w:rsidR="00336B06" w:rsidRPr="009663D0">
        <w:rPr>
          <w:rFonts w:ascii="Arial" w:hAnsi="Arial" w:cs="Arial"/>
          <w:sz w:val="24"/>
          <w:szCs w:val="24"/>
        </w:rPr>
        <w:t xml:space="preserve">if </w:t>
      </w:r>
      <w:r w:rsidR="0041461E" w:rsidRPr="009663D0">
        <w:rPr>
          <w:rFonts w:ascii="Arial" w:hAnsi="Arial" w:cs="Arial"/>
          <w:sz w:val="24"/>
          <w:szCs w:val="24"/>
        </w:rPr>
        <w:t>the respondent’s version</w:t>
      </w:r>
      <w:r w:rsidR="00336B06" w:rsidRPr="009663D0">
        <w:rPr>
          <w:rFonts w:ascii="Arial" w:hAnsi="Arial" w:cs="Arial"/>
          <w:sz w:val="24"/>
          <w:szCs w:val="24"/>
        </w:rPr>
        <w:t xml:space="preserve"> is</w:t>
      </w:r>
      <w:r w:rsidR="0041461E" w:rsidRPr="009663D0">
        <w:rPr>
          <w:rFonts w:ascii="Arial" w:hAnsi="Arial" w:cs="Arial"/>
          <w:sz w:val="24"/>
          <w:szCs w:val="24"/>
        </w:rPr>
        <w:t xml:space="preserve"> correct, then he effectively concluded the 2014 agreement with </w:t>
      </w:r>
      <w:r w:rsidR="00911486" w:rsidRPr="009663D0">
        <w:rPr>
          <w:rFonts w:ascii="Arial" w:hAnsi="Arial" w:cs="Arial"/>
          <w:sz w:val="24"/>
          <w:szCs w:val="24"/>
        </w:rPr>
        <w:t xml:space="preserve">the </w:t>
      </w:r>
      <w:r w:rsidR="0041461E" w:rsidRPr="009663D0">
        <w:rPr>
          <w:rFonts w:ascii="Arial" w:hAnsi="Arial" w:cs="Arial"/>
          <w:sz w:val="24"/>
          <w:szCs w:val="24"/>
        </w:rPr>
        <w:t>applicant so as to borrow money from himself.  He did not both conclude loans with the applicant in 2011 and 2012, in terms of which the applicant would be indebted to him in the sum of more than R5,5 million, just so as to borrow money from the applicant in 2014 which, on his version, was his own.</w:t>
      </w:r>
    </w:p>
    <w:p w14:paraId="3FB2CDF6" w14:textId="77777777" w:rsidR="00A50D05" w:rsidRPr="009663D0" w:rsidRDefault="00A50D05" w:rsidP="009663D0">
      <w:pPr>
        <w:pStyle w:val="ListParagraph"/>
        <w:widowControl w:val="0"/>
        <w:spacing w:line="480" w:lineRule="auto"/>
        <w:rPr>
          <w:rFonts w:ascii="Arial" w:hAnsi="Arial" w:cs="Arial"/>
        </w:rPr>
      </w:pPr>
    </w:p>
    <w:p w14:paraId="30E7992C" w14:textId="23325521" w:rsidR="00A50D05"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28.</w:t>
      </w:r>
      <w:r w:rsidRPr="009663D0">
        <w:rPr>
          <w:rFonts w:ascii="Arial" w:hAnsi="Arial" w:cs="Arial"/>
          <w:sz w:val="24"/>
          <w:szCs w:val="24"/>
        </w:rPr>
        <w:tab/>
      </w:r>
      <w:r w:rsidR="00336B06" w:rsidRPr="009663D0">
        <w:rPr>
          <w:rFonts w:ascii="Arial" w:hAnsi="Arial" w:cs="Arial"/>
          <w:sz w:val="24"/>
          <w:szCs w:val="24"/>
        </w:rPr>
        <w:t>The essence of the respondent</w:t>
      </w:r>
      <w:r w:rsidR="00A50D05" w:rsidRPr="009663D0">
        <w:rPr>
          <w:rFonts w:ascii="Arial" w:hAnsi="Arial" w:cs="Arial"/>
          <w:sz w:val="24"/>
          <w:szCs w:val="24"/>
        </w:rPr>
        <w:t>’</w:t>
      </w:r>
      <w:r w:rsidR="00336B06" w:rsidRPr="009663D0">
        <w:rPr>
          <w:rFonts w:ascii="Arial" w:hAnsi="Arial" w:cs="Arial"/>
          <w:sz w:val="24"/>
          <w:szCs w:val="24"/>
        </w:rPr>
        <w:t>s defence is th</w:t>
      </w:r>
      <w:r w:rsidR="006D53B3" w:rsidRPr="009663D0">
        <w:rPr>
          <w:rFonts w:ascii="Arial" w:hAnsi="Arial" w:cs="Arial"/>
          <w:sz w:val="24"/>
          <w:szCs w:val="24"/>
        </w:rPr>
        <w:t>u</w:t>
      </w:r>
      <w:r w:rsidR="00336B06" w:rsidRPr="009663D0">
        <w:rPr>
          <w:rFonts w:ascii="Arial" w:hAnsi="Arial" w:cs="Arial"/>
          <w:sz w:val="24"/>
          <w:szCs w:val="24"/>
        </w:rPr>
        <w:t xml:space="preserve">s that he has a possible contingent claim against the applicant, which he wishes to set off </w:t>
      </w:r>
      <w:r w:rsidR="00A50D05" w:rsidRPr="009663D0">
        <w:rPr>
          <w:rFonts w:ascii="Arial" w:hAnsi="Arial" w:cs="Arial"/>
          <w:sz w:val="24"/>
          <w:szCs w:val="24"/>
        </w:rPr>
        <w:t xml:space="preserve">(in the face of the established requirements for set-off) </w:t>
      </w:r>
      <w:r w:rsidR="00336B06" w:rsidRPr="009663D0">
        <w:rPr>
          <w:rFonts w:ascii="Arial" w:hAnsi="Arial" w:cs="Arial"/>
          <w:sz w:val="24"/>
          <w:szCs w:val="24"/>
        </w:rPr>
        <w:t>against the claim for payment of R4</w:t>
      </w:r>
      <w:r w:rsidR="00364258" w:rsidRPr="009663D0">
        <w:rPr>
          <w:rFonts w:ascii="Arial" w:hAnsi="Arial" w:cs="Arial"/>
          <w:sz w:val="24"/>
          <w:szCs w:val="24"/>
        </w:rPr>
        <w:t>,</w:t>
      </w:r>
      <w:r w:rsidR="00336B06" w:rsidRPr="009663D0">
        <w:rPr>
          <w:rFonts w:ascii="Arial" w:hAnsi="Arial" w:cs="Arial"/>
          <w:sz w:val="24"/>
          <w:szCs w:val="24"/>
        </w:rPr>
        <w:t>5 million as acknowledged by him in court</w:t>
      </w:r>
      <w:r w:rsidR="00A50D05" w:rsidRPr="009663D0">
        <w:rPr>
          <w:rFonts w:ascii="Arial" w:hAnsi="Arial" w:cs="Arial"/>
          <w:sz w:val="24"/>
          <w:szCs w:val="24"/>
        </w:rPr>
        <w:t xml:space="preserve"> a</w:t>
      </w:r>
      <w:r w:rsidR="00336B06" w:rsidRPr="009663D0">
        <w:rPr>
          <w:rFonts w:ascii="Arial" w:hAnsi="Arial" w:cs="Arial"/>
          <w:sz w:val="24"/>
          <w:szCs w:val="24"/>
        </w:rPr>
        <w:t>nd in his pleadings</w:t>
      </w:r>
      <w:r w:rsidR="00A50D05" w:rsidRPr="009663D0">
        <w:rPr>
          <w:rFonts w:ascii="Arial" w:hAnsi="Arial" w:cs="Arial"/>
          <w:sz w:val="24"/>
          <w:szCs w:val="24"/>
        </w:rPr>
        <w:t>.  H</w:t>
      </w:r>
      <w:r w:rsidR="00336B06" w:rsidRPr="009663D0">
        <w:rPr>
          <w:rFonts w:ascii="Arial" w:hAnsi="Arial" w:cs="Arial"/>
          <w:sz w:val="24"/>
          <w:szCs w:val="24"/>
        </w:rPr>
        <w:t xml:space="preserve">is claim is </w:t>
      </w:r>
      <w:r w:rsidR="00A50D05" w:rsidRPr="009663D0">
        <w:rPr>
          <w:rFonts w:ascii="Arial" w:hAnsi="Arial" w:cs="Arial"/>
          <w:sz w:val="24"/>
          <w:szCs w:val="24"/>
        </w:rPr>
        <w:t>a</w:t>
      </w:r>
      <w:r w:rsidR="00336B06" w:rsidRPr="009663D0">
        <w:rPr>
          <w:rFonts w:ascii="Arial" w:hAnsi="Arial" w:cs="Arial"/>
          <w:sz w:val="24"/>
          <w:szCs w:val="24"/>
        </w:rPr>
        <w:t xml:space="preserve"> </w:t>
      </w:r>
      <w:r w:rsidR="00A50D05" w:rsidRPr="009663D0">
        <w:rPr>
          <w:rFonts w:ascii="Arial" w:hAnsi="Arial" w:cs="Arial"/>
          <w:sz w:val="24"/>
          <w:szCs w:val="24"/>
        </w:rPr>
        <w:t>“</w:t>
      </w:r>
      <w:r w:rsidR="00336B06" w:rsidRPr="009663D0">
        <w:rPr>
          <w:rFonts w:ascii="Arial" w:hAnsi="Arial" w:cs="Arial"/>
          <w:sz w:val="24"/>
          <w:szCs w:val="24"/>
        </w:rPr>
        <w:t>possible</w:t>
      </w:r>
      <w:r w:rsidR="00A50D05" w:rsidRPr="009663D0">
        <w:rPr>
          <w:rFonts w:ascii="Arial" w:hAnsi="Arial" w:cs="Arial"/>
          <w:sz w:val="24"/>
          <w:szCs w:val="24"/>
        </w:rPr>
        <w:t>”</w:t>
      </w:r>
      <w:r w:rsidR="00336B06" w:rsidRPr="009663D0">
        <w:rPr>
          <w:rFonts w:ascii="Arial" w:hAnsi="Arial" w:cs="Arial"/>
          <w:sz w:val="24"/>
          <w:szCs w:val="24"/>
        </w:rPr>
        <w:t xml:space="preserve"> one because the </w:t>
      </w:r>
      <w:r w:rsidR="00A50D05" w:rsidRPr="009663D0">
        <w:rPr>
          <w:rFonts w:ascii="Arial" w:hAnsi="Arial" w:cs="Arial"/>
          <w:sz w:val="24"/>
          <w:szCs w:val="24"/>
        </w:rPr>
        <w:t>existence</w:t>
      </w:r>
      <w:r w:rsidR="00336B06" w:rsidRPr="009663D0">
        <w:rPr>
          <w:rFonts w:ascii="Arial" w:hAnsi="Arial" w:cs="Arial"/>
          <w:sz w:val="24"/>
          <w:szCs w:val="24"/>
        </w:rPr>
        <w:t xml:space="preserve"> of such claim depends on the outcome of the divorce proceedings, and not on the happening of some certain future events such as the arrival of specific date for the d</w:t>
      </w:r>
      <w:r w:rsidR="00A50D05" w:rsidRPr="009663D0">
        <w:rPr>
          <w:rFonts w:ascii="Arial" w:hAnsi="Arial" w:cs="Arial"/>
          <w:sz w:val="24"/>
          <w:szCs w:val="24"/>
        </w:rPr>
        <w:t>ebt</w:t>
      </w:r>
      <w:r w:rsidR="00336B06" w:rsidRPr="009663D0">
        <w:rPr>
          <w:rFonts w:ascii="Arial" w:hAnsi="Arial" w:cs="Arial"/>
          <w:sz w:val="24"/>
          <w:szCs w:val="24"/>
        </w:rPr>
        <w:t xml:space="preserve"> to become due.</w:t>
      </w:r>
      <w:r w:rsidR="00682371" w:rsidRPr="009663D0">
        <w:rPr>
          <w:rFonts w:ascii="Arial" w:hAnsi="Arial" w:cs="Arial"/>
          <w:sz w:val="24"/>
          <w:szCs w:val="24"/>
        </w:rPr>
        <w:t xml:space="preserve">  The applicant’s claim is not in the same category, despite the respondent’s submission in his heads of argument that such loan “</w:t>
      </w:r>
      <w:r w:rsidR="00682371" w:rsidRPr="009663D0">
        <w:rPr>
          <w:rFonts w:ascii="Arial" w:hAnsi="Arial" w:cs="Arial"/>
          <w:i/>
          <w:iCs/>
          <w:sz w:val="24"/>
          <w:szCs w:val="24"/>
        </w:rPr>
        <w:t>stands to be determined as part of the consequences and determination of the parties’ matrimonial estate as part of their divorce proceedings</w:t>
      </w:r>
      <w:r w:rsidR="00682371" w:rsidRPr="009663D0">
        <w:rPr>
          <w:rFonts w:ascii="Arial" w:hAnsi="Arial" w:cs="Arial"/>
          <w:sz w:val="24"/>
          <w:szCs w:val="24"/>
        </w:rPr>
        <w:t>.”  The applicant’s claim is already admitted, and is liquidated, due and payable.</w:t>
      </w:r>
    </w:p>
    <w:p w14:paraId="3FEBFB96" w14:textId="77777777" w:rsidR="00A50D05" w:rsidRPr="009663D0" w:rsidRDefault="00A50D05" w:rsidP="009663D0">
      <w:pPr>
        <w:pStyle w:val="ListParagraph"/>
        <w:widowControl w:val="0"/>
        <w:spacing w:line="480" w:lineRule="auto"/>
        <w:rPr>
          <w:rFonts w:ascii="Arial" w:hAnsi="Arial" w:cs="Arial"/>
        </w:rPr>
      </w:pPr>
    </w:p>
    <w:p w14:paraId="1406AE9F" w14:textId="6B0468B8" w:rsidR="00336B06"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29.</w:t>
      </w:r>
      <w:r w:rsidRPr="009663D0">
        <w:rPr>
          <w:rFonts w:ascii="Arial" w:hAnsi="Arial" w:cs="Arial"/>
          <w:sz w:val="24"/>
          <w:szCs w:val="24"/>
        </w:rPr>
        <w:tab/>
      </w:r>
      <w:r w:rsidR="00336B06" w:rsidRPr="009663D0">
        <w:rPr>
          <w:rFonts w:ascii="Arial" w:hAnsi="Arial" w:cs="Arial"/>
          <w:sz w:val="24"/>
          <w:szCs w:val="24"/>
        </w:rPr>
        <w:t>In determining whether a person is solvent</w:t>
      </w:r>
      <w:r w:rsidR="00E127B8" w:rsidRPr="009663D0">
        <w:rPr>
          <w:rFonts w:ascii="Arial" w:hAnsi="Arial" w:cs="Arial"/>
          <w:sz w:val="24"/>
          <w:szCs w:val="24"/>
        </w:rPr>
        <w:t>,</w:t>
      </w:r>
      <w:r w:rsidR="00336B06" w:rsidRPr="009663D0">
        <w:rPr>
          <w:rFonts w:ascii="Arial" w:hAnsi="Arial" w:cs="Arial"/>
          <w:sz w:val="24"/>
          <w:szCs w:val="24"/>
        </w:rPr>
        <w:t xml:space="preserve"> contingent liabilities </w:t>
      </w:r>
      <w:r w:rsidR="00E127B8" w:rsidRPr="009663D0">
        <w:rPr>
          <w:rFonts w:ascii="Arial" w:hAnsi="Arial" w:cs="Arial"/>
          <w:sz w:val="24"/>
          <w:szCs w:val="24"/>
        </w:rPr>
        <w:t>are</w:t>
      </w:r>
      <w:r w:rsidR="00336B06" w:rsidRPr="009663D0">
        <w:rPr>
          <w:rFonts w:ascii="Arial" w:hAnsi="Arial" w:cs="Arial"/>
          <w:sz w:val="24"/>
          <w:szCs w:val="24"/>
        </w:rPr>
        <w:t xml:space="preserve"> only one of the factors taken into account, including the remoteness of the contingency. A court cannot simply add up contingent and prospective liabilities: what it must do is to take into </w:t>
      </w:r>
      <w:r w:rsidR="00336B06" w:rsidRPr="009663D0">
        <w:rPr>
          <w:rFonts w:ascii="Arial" w:hAnsi="Arial" w:cs="Arial"/>
          <w:sz w:val="24"/>
          <w:szCs w:val="24"/>
        </w:rPr>
        <w:lastRenderedPageBreak/>
        <w:t>account the contingent</w:t>
      </w:r>
      <w:r w:rsidR="00E127B8" w:rsidRPr="009663D0">
        <w:rPr>
          <w:rFonts w:ascii="Arial" w:hAnsi="Arial" w:cs="Arial"/>
          <w:sz w:val="24"/>
          <w:szCs w:val="24"/>
        </w:rPr>
        <w:t xml:space="preserve"> liabilities</w:t>
      </w:r>
      <w:r w:rsidR="00336B06" w:rsidRPr="009663D0">
        <w:rPr>
          <w:rFonts w:ascii="Arial" w:hAnsi="Arial" w:cs="Arial"/>
          <w:sz w:val="24"/>
          <w:szCs w:val="24"/>
        </w:rPr>
        <w:t>, whether such liabilities are likely to become present and</w:t>
      </w:r>
      <w:r w:rsidR="00E127B8" w:rsidRPr="009663D0">
        <w:rPr>
          <w:rFonts w:ascii="Arial" w:hAnsi="Arial" w:cs="Arial"/>
          <w:sz w:val="24"/>
          <w:szCs w:val="24"/>
        </w:rPr>
        <w:t>,</w:t>
      </w:r>
      <w:r w:rsidR="00336B06" w:rsidRPr="009663D0">
        <w:rPr>
          <w:rFonts w:ascii="Arial" w:hAnsi="Arial" w:cs="Arial"/>
          <w:sz w:val="24"/>
          <w:szCs w:val="24"/>
        </w:rPr>
        <w:t xml:space="preserve"> if so, when: </w:t>
      </w:r>
      <w:r w:rsidR="00E127B8" w:rsidRPr="009663D0">
        <w:rPr>
          <w:rFonts w:ascii="Arial" w:hAnsi="Arial" w:cs="Arial"/>
          <w:sz w:val="24"/>
          <w:szCs w:val="24"/>
        </w:rPr>
        <w:t xml:space="preserve">see </w:t>
      </w:r>
      <w:r w:rsidR="00E127B8" w:rsidRPr="009663D0">
        <w:rPr>
          <w:rFonts w:ascii="Arial" w:hAnsi="Arial" w:cs="Arial"/>
          <w:i/>
          <w:iCs/>
          <w:sz w:val="24"/>
          <w:szCs w:val="24"/>
        </w:rPr>
        <w:t>Henochsberg on the Companies Act</w:t>
      </w:r>
      <w:r w:rsidR="00E127B8" w:rsidRPr="009663D0">
        <w:rPr>
          <w:rFonts w:ascii="Arial" w:hAnsi="Arial" w:cs="Arial"/>
          <w:sz w:val="24"/>
          <w:szCs w:val="24"/>
        </w:rPr>
        <w:t xml:space="preserve"> </w:t>
      </w:r>
      <w:r w:rsidR="00336B06" w:rsidRPr="009663D0">
        <w:rPr>
          <w:rFonts w:ascii="Arial" w:hAnsi="Arial" w:cs="Arial"/>
          <w:sz w:val="24"/>
          <w:szCs w:val="24"/>
        </w:rPr>
        <w:t xml:space="preserve">61 of 1973 </w:t>
      </w:r>
      <w:r w:rsidR="00E127B8" w:rsidRPr="009663D0">
        <w:rPr>
          <w:rFonts w:ascii="Arial" w:hAnsi="Arial" w:cs="Arial"/>
          <w:sz w:val="24"/>
          <w:szCs w:val="24"/>
        </w:rPr>
        <w:t xml:space="preserve">(5ed) at </w:t>
      </w:r>
      <w:r w:rsidR="00336B06" w:rsidRPr="009663D0">
        <w:rPr>
          <w:rFonts w:ascii="Arial" w:hAnsi="Arial" w:cs="Arial"/>
          <w:sz w:val="24"/>
          <w:szCs w:val="24"/>
        </w:rPr>
        <w:t xml:space="preserve">page 711. </w:t>
      </w:r>
      <w:r w:rsidR="005A565D" w:rsidRPr="009663D0">
        <w:rPr>
          <w:rFonts w:ascii="Arial" w:hAnsi="Arial" w:cs="Arial"/>
          <w:sz w:val="24"/>
          <w:szCs w:val="24"/>
        </w:rPr>
        <w:t xml:space="preserve"> By analogy in relation to the respondent’s contingent claim, </w:t>
      </w:r>
      <w:r w:rsidR="00336B06" w:rsidRPr="009663D0">
        <w:rPr>
          <w:rFonts w:ascii="Arial" w:hAnsi="Arial" w:cs="Arial"/>
          <w:sz w:val="24"/>
          <w:szCs w:val="24"/>
        </w:rPr>
        <w:t>I agree with the applicant</w:t>
      </w:r>
      <w:r w:rsidR="00E127B8" w:rsidRPr="009663D0">
        <w:rPr>
          <w:rFonts w:ascii="Arial" w:hAnsi="Arial" w:cs="Arial"/>
          <w:sz w:val="24"/>
          <w:szCs w:val="24"/>
        </w:rPr>
        <w:t>’</w:t>
      </w:r>
      <w:r w:rsidR="00336B06" w:rsidRPr="009663D0">
        <w:rPr>
          <w:rFonts w:ascii="Arial" w:hAnsi="Arial" w:cs="Arial"/>
          <w:sz w:val="24"/>
          <w:szCs w:val="24"/>
        </w:rPr>
        <w:t>s coun</w:t>
      </w:r>
      <w:r w:rsidR="00E127B8" w:rsidRPr="009663D0">
        <w:rPr>
          <w:rFonts w:ascii="Arial" w:hAnsi="Arial" w:cs="Arial"/>
          <w:sz w:val="24"/>
          <w:szCs w:val="24"/>
        </w:rPr>
        <w:t xml:space="preserve">sel </w:t>
      </w:r>
      <w:r w:rsidR="00336B06" w:rsidRPr="009663D0">
        <w:rPr>
          <w:rFonts w:ascii="Arial" w:hAnsi="Arial" w:cs="Arial"/>
          <w:sz w:val="24"/>
          <w:szCs w:val="24"/>
        </w:rPr>
        <w:t xml:space="preserve">that in the present case the seven loans that </w:t>
      </w:r>
      <w:r w:rsidR="006D53B3" w:rsidRPr="009663D0">
        <w:rPr>
          <w:rFonts w:ascii="Arial" w:hAnsi="Arial" w:cs="Arial"/>
          <w:sz w:val="24"/>
          <w:szCs w:val="24"/>
        </w:rPr>
        <w:t xml:space="preserve">the </w:t>
      </w:r>
      <w:r w:rsidR="00336B06" w:rsidRPr="009663D0">
        <w:rPr>
          <w:rFonts w:ascii="Arial" w:hAnsi="Arial" w:cs="Arial"/>
          <w:sz w:val="24"/>
          <w:szCs w:val="24"/>
        </w:rPr>
        <w:t>respondent seeks to set off against the already due R4.5 million (in respect of which a written agreement,</w:t>
      </w:r>
      <w:r w:rsidR="00E127B8" w:rsidRPr="009663D0">
        <w:rPr>
          <w:rFonts w:ascii="Arial" w:hAnsi="Arial" w:cs="Arial"/>
          <w:sz w:val="24"/>
          <w:szCs w:val="24"/>
        </w:rPr>
        <w:t xml:space="preserve"> concession</w:t>
      </w:r>
      <w:r w:rsidR="00336B06" w:rsidRPr="009663D0">
        <w:rPr>
          <w:rFonts w:ascii="Arial" w:hAnsi="Arial" w:cs="Arial"/>
          <w:sz w:val="24"/>
          <w:szCs w:val="24"/>
        </w:rPr>
        <w:t>s</w:t>
      </w:r>
      <w:r w:rsidR="00E127B8" w:rsidRPr="009663D0">
        <w:rPr>
          <w:rFonts w:ascii="Arial" w:hAnsi="Arial" w:cs="Arial"/>
          <w:sz w:val="24"/>
          <w:szCs w:val="24"/>
        </w:rPr>
        <w:t xml:space="preserve"> made in court</w:t>
      </w:r>
      <w:r w:rsidR="00336B06" w:rsidRPr="009663D0">
        <w:rPr>
          <w:rFonts w:ascii="Arial" w:hAnsi="Arial" w:cs="Arial"/>
          <w:sz w:val="24"/>
          <w:szCs w:val="24"/>
        </w:rPr>
        <w:t xml:space="preserve">, and a written undertaking exist) are significantly remote contingent </w:t>
      </w:r>
      <w:r w:rsidR="006D53B3" w:rsidRPr="009663D0">
        <w:rPr>
          <w:rFonts w:ascii="Arial" w:hAnsi="Arial" w:cs="Arial"/>
          <w:sz w:val="24"/>
          <w:szCs w:val="24"/>
        </w:rPr>
        <w:t>claims</w:t>
      </w:r>
      <w:r w:rsidR="00336B06" w:rsidRPr="009663D0">
        <w:rPr>
          <w:rFonts w:ascii="Arial" w:hAnsi="Arial" w:cs="Arial"/>
          <w:sz w:val="24"/>
          <w:szCs w:val="24"/>
        </w:rPr>
        <w:t>.</w:t>
      </w:r>
    </w:p>
    <w:p w14:paraId="370B6AA2" w14:textId="77777777" w:rsidR="00FE253E" w:rsidRPr="009663D0" w:rsidRDefault="00FE253E" w:rsidP="009663D0">
      <w:pPr>
        <w:pStyle w:val="ListParagraph"/>
        <w:widowControl w:val="0"/>
        <w:spacing w:line="480" w:lineRule="auto"/>
        <w:rPr>
          <w:rFonts w:ascii="Arial" w:hAnsi="Arial" w:cs="Arial"/>
        </w:rPr>
      </w:pPr>
    </w:p>
    <w:p w14:paraId="68A257B3" w14:textId="37D1144C" w:rsidR="00FE253E"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30.</w:t>
      </w:r>
      <w:r w:rsidRPr="009663D0">
        <w:rPr>
          <w:rFonts w:ascii="Arial" w:hAnsi="Arial" w:cs="Arial"/>
          <w:sz w:val="24"/>
          <w:szCs w:val="24"/>
        </w:rPr>
        <w:tab/>
      </w:r>
      <w:r w:rsidR="00FE253E" w:rsidRPr="009663D0">
        <w:rPr>
          <w:rFonts w:ascii="Arial" w:hAnsi="Arial" w:cs="Arial"/>
          <w:sz w:val="24"/>
          <w:szCs w:val="24"/>
        </w:rPr>
        <w:t xml:space="preserve">In any event, </w:t>
      </w:r>
      <w:r w:rsidR="002D76DF" w:rsidRPr="009663D0">
        <w:rPr>
          <w:rFonts w:ascii="Arial" w:hAnsi="Arial" w:cs="Arial"/>
          <w:sz w:val="24"/>
          <w:szCs w:val="24"/>
        </w:rPr>
        <w:t>why would the parties be punctilious in recording the loan from the applicant to the respondent in the 2014 agreement, whilst not once recording in writing any such agreement in relation to the substantial sums allegedly lent by the respondent to the applicant over the years?   The respondent was, after all, the businessman in the relationship.</w:t>
      </w:r>
    </w:p>
    <w:p w14:paraId="5F65D48A" w14:textId="77777777" w:rsidR="00336B06" w:rsidRPr="009663D0" w:rsidRDefault="00336B06" w:rsidP="009663D0">
      <w:pPr>
        <w:pStyle w:val="PlainText"/>
        <w:widowControl w:val="0"/>
        <w:spacing w:line="480" w:lineRule="auto"/>
        <w:ind w:left="709"/>
        <w:jc w:val="both"/>
        <w:rPr>
          <w:rFonts w:ascii="Arial" w:hAnsi="Arial" w:cs="Arial"/>
          <w:sz w:val="24"/>
          <w:szCs w:val="24"/>
        </w:rPr>
      </w:pPr>
    </w:p>
    <w:p w14:paraId="6097969C" w14:textId="62E2F4AA" w:rsidR="00336B06"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31.</w:t>
      </w:r>
      <w:r w:rsidRPr="009663D0">
        <w:rPr>
          <w:rFonts w:ascii="Arial" w:hAnsi="Arial" w:cs="Arial"/>
          <w:sz w:val="24"/>
          <w:szCs w:val="24"/>
        </w:rPr>
        <w:tab/>
      </w:r>
      <w:r w:rsidR="006D53B3" w:rsidRPr="009663D0">
        <w:rPr>
          <w:rFonts w:ascii="Arial" w:hAnsi="Arial" w:cs="Arial"/>
          <w:sz w:val="24"/>
          <w:szCs w:val="24"/>
        </w:rPr>
        <w:t>I</w:t>
      </w:r>
      <w:r w:rsidR="00336B06" w:rsidRPr="009663D0">
        <w:rPr>
          <w:rFonts w:ascii="Arial" w:hAnsi="Arial" w:cs="Arial"/>
          <w:sz w:val="24"/>
          <w:szCs w:val="24"/>
        </w:rPr>
        <w:t xml:space="preserve">f the respondent cannot prove the loans but can show that he thought that they were loans whilst the applicant thought that they were gifts, the respondent might notionally fall back on </w:t>
      </w:r>
      <w:r w:rsidR="006D53B3" w:rsidRPr="009663D0">
        <w:rPr>
          <w:rFonts w:ascii="Arial" w:hAnsi="Arial" w:cs="Arial"/>
          <w:sz w:val="24"/>
          <w:szCs w:val="24"/>
        </w:rPr>
        <w:t xml:space="preserve">a claim for unjustified </w:t>
      </w:r>
      <w:r w:rsidR="00336B06" w:rsidRPr="009663D0">
        <w:rPr>
          <w:rFonts w:ascii="Arial" w:hAnsi="Arial" w:cs="Arial"/>
          <w:sz w:val="24"/>
          <w:szCs w:val="24"/>
        </w:rPr>
        <w:t>enrichment. The problem is that this argument has n</w:t>
      </w:r>
      <w:r w:rsidR="006A63CD" w:rsidRPr="009663D0">
        <w:rPr>
          <w:rFonts w:ascii="Arial" w:hAnsi="Arial" w:cs="Arial"/>
          <w:sz w:val="24"/>
          <w:szCs w:val="24"/>
        </w:rPr>
        <w:t>ever</w:t>
      </w:r>
      <w:r w:rsidR="00336B06" w:rsidRPr="009663D0">
        <w:rPr>
          <w:rFonts w:ascii="Arial" w:hAnsi="Arial" w:cs="Arial"/>
          <w:sz w:val="24"/>
          <w:szCs w:val="24"/>
        </w:rPr>
        <w:t xml:space="preserve"> been</w:t>
      </w:r>
      <w:r w:rsidR="006D53B3" w:rsidRPr="009663D0">
        <w:rPr>
          <w:rFonts w:ascii="Arial" w:hAnsi="Arial" w:cs="Arial"/>
          <w:sz w:val="24"/>
          <w:szCs w:val="24"/>
        </w:rPr>
        <w:t xml:space="preserve"> pleaded</w:t>
      </w:r>
      <w:r w:rsidR="00336B06" w:rsidRPr="009663D0">
        <w:rPr>
          <w:rFonts w:ascii="Arial" w:hAnsi="Arial" w:cs="Arial"/>
          <w:sz w:val="24"/>
          <w:szCs w:val="24"/>
        </w:rPr>
        <w:t xml:space="preserve"> by the respondent at any stage in these proceedings</w:t>
      </w:r>
      <w:r w:rsidR="006D53B3" w:rsidRPr="009663D0">
        <w:rPr>
          <w:rFonts w:ascii="Arial" w:hAnsi="Arial" w:cs="Arial"/>
          <w:sz w:val="24"/>
          <w:szCs w:val="24"/>
        </w:rPr>
        <w:t xml:space="preserve"> or the divorce proceedings in general</w:t>
      </w:r>
      <w:r w:rsidR="00336B06" w:rsidRPr="009663D0">
        <w:rPr>
          <w:rFonts w:ascii="Arial" w:hAnsi="Arial" w:cs="Arial"/>
          <w:sz w:val="24"/>
          <w:szCs w:val="24"/>
        </w:rPr>
        <w:t xml:space="preserve"> and</w:t>
      </w:r>
      <w:r w:rsidR="006D53B3" w:rsidRPr="009663D0">
        <w:rPr>
          <w:rFonts w:ascii="Arial" w:hAnsi="Arial" w:cs="Arial"/>
          <w:sz w:val="24"/>
          <w:szCs w:val="24"/>
        </w:rPr>
        <w:t>,</w:t>
      </w:r>
      <w:r w:rsidR="00336B06" w:rsidRPr="009663D0">
        <w:rPr>
          <w:rFonts w:ascii="Arial" w:hAnsi="Arial" w:cs="Arial"/>
          <w:sz w:val="24"/>
          <w:szCs w:val="24"/>
        </w:rPr>
        <w:t xml:space="preserve"> moreover</w:t>
      </w:r>
      <w:r w:rsidR="006D53B3" w:rsidRPr="009663D0">
        <w:rPr>
          <w:rFonts w:ascii="Arial" w:hAnsi="Arial" w:cs="Arial"/>
          <w:sz w:val="24"/>
          <w:szCs w:val="24"/>
        </w:rPr>
        <w:t>,</w:t>
      </w:r>
      <w:r w:rsidR="00336B06" w:rsidRPr="009663D0">
        <w:rPr>
          <w:rFonts w:ascii="Arial" w:hAnsi="Arial" w:cs="Arial"/>
          <w:sz w:val="24"/>
          <w:szCs w:val="24"/>
        </w:rPr>
        <w:t xml:space="preserve"> any enrichment claim that he may have enjoyed against the applicant as regards the payments made during the period 2009 to 2016 has already become prescribed</w:t>
      </w:r>
      <w:r w:rsidR="006D53B3" w:rsidRPr="009663D0">
        <w:rPr>
          <w:rFonts w:ascii="Arial" w:hAnsi="Arial" w:cs="Arial"/>
          <w:sz w:val="24"/>
          <w:szCs w:val="24"/>
        </w:rPr>
        <w:t xml:space="preserve"> i</w:t>
      </w:r>
      <w:r w:rsidR="00336B06" w:rsidRPr="009663D0">
        <w:rPr>
          <w:rFonts w:ascii="Arial" w:hAnsi="Arial" w:cs="Arial"/>
          <w:sz w:val="24"/>
          <w:szCs w:val="24"/>
        </w:rPr>
        <w:t>n terms of section 11</w:t>
      </w:r>
      <w:r w:rsidR="006D53B3" w:rsidRPr="009663D0">
        <w:rPr>
          <w:rFonts w:ascii="Arial" w:hAnsi="Arial" w:cs="Arial"/>
          <w:sz w:val="24"/>
          <w:szCs w:val="24"/>
        </w:rPr>
        <w:t>(d)</w:t>
      </w:r>
      <w:r w:rsidR="00336B06" w:rsidRPr="009663D0">
        <w:rPr>
          <w:rFonts w:ascii="Arial" w:hAnsi="Arial" w:cs="Arial"/>
          <w:sz w:val="24"/>
          <w:szCs w:val="24"/>
        </w:rPr>
        <w:t xml:space="preserve"> of the </w:t>
      </w:r>
      <w:r w:rsidR="006D53B3" w:rsidRPr="009663D0">
        <w:rPr>
          <w:rFonts w:ascii="Arial" w:hAnsi="Arial" w:cs="Arial"/>
          <w:sz w:val="24"/>
          <w:szCs w:val="24"/>
        </w:rPr>
        <w:t>P</w:t>
      </w:r>
      <w:r w:rsidR="00336B06" w:rsidRPr="009663D0">
        <w:rPr>
          <w:rFonts w:ascii="Arial" w:hAnsi="Arial" w:cs="Arial"/>
          <w:sz w:val="24"/>
          <w:szCs w:val="24"/>
        </w:rPr>
        <w:t xml:space="preserve">rescription </w:t>
      </w:r>
      <w:r w:rsidR="006D53B3" w:rsidRPr="009663D0">
        <w:rPr>
          <w:rFonts w:ascii="Arial" w:hAnsi="Arial" w:cs="Arial"/>
          <w:sz w:val="24"/>
          <w:szCs w:val="24"/>
        </w:rPr>
        <w:t>A</w:t>
      </w:r>
      <w:r w:rsidR="00336B06" w:rsidRPr="009663D0">
        <w:rPr>
          <w:rFonts w:ascii="Arial" w:hAnsi="Arial" w:cs="Arial"/>
          <w:sz w:val="24"/>
          <w:szCs w:val="24"/>
        </w:rPr>
        <w:t>ct 68 of 1969.</w:t>
      </w:r>
    </w:p>
    <w:p w14:paraId="32B943FE" w14:textId="77777777" w:rsidR="00A50D05" w:rsidRPr="009663D0" w:rsidRDefault="00A50D05" w:rsidP="009663D0">
      <w:pPr>
        <w:pStyle w:val="Heading1"/>
        <w:spacing w:before="0" w:after="0"/>
        <w:jc w:val="both"/>
        <w:rPr>
          <w:rFonts w:ascii="Arial" w:hAnsi="Arial" w:cs="Arial"/>
          <w:i/>
          <w:iCs/>
          <w:sz w:val="24"/>
          <w:szCs w:val="24"/>
          <w:u w:val="single"/>
          <w:lang w:val="en-GB"/>
        </w:rPr>
      </w:pPr>
    </w:p>
    <w:p w14:paraId="6BA3E21C" w14:textId="261DDE39" w:rsidR="00336B06" w:rsidRPr="009663D0" w:rsidRDefault="00E52642" w:rsidP="00E52642">
      <w:pPr>
        <w:pStyle w:val="PlainText"/>
        <w:widowControl w:val="0"/>
        <w:tabs>
          <w:tab w:val="left" w:pos="709"/>
        </w:tabs>
        <w:spacing w:line="480" w:lineRule="auto"/>
        <w:ind w:left="706" w:hanging="706"/>
        <w:jc w:val="both"/>
        <w:rPr>
          <w:rFonts w:ascii="Arial" w:hAnsi="Arial" w:cs="Arial"/>
          <w:sz w:val="24"/>
          <w:szCs w:val="24"/>
        </w:rPr>
      </w:pPr>
      <w:r w:rsidRPr="009663D0">
        <w:rPr>
          <w:rFonts w:ascii="Arial" w:hAnsi="Arial" w:cs="Arial"/>
          <w:sz w:val="24"/>
          <w:szCs w:val="24"/>
        </w:rPr>
        <w:t>32.</w:t>
      </w:r>
      <w:r w:rsidRPr="009663D0">
        <w:rPr>
          <w:rFonts w:ascii="Arial" w:hAnsi="Arial" w:cs="Arial"/>
          <w:sz w:val="24"/>
          <w:szCs w:val="24"/>
        </w:rPr>
        <w:tab/>
      </w:r>
      <w:r w:rsidR="00331671" w:rsidRPr="009663D0">
        <w:rPr>
          <w:rFonts w:ascii="Arial" w:hAnsi="Arial" w:cs="Arial"/>
          <w:sz w:val="24"/>
          <w:szCs w:val="24"/>
        </w:rPr>
        <w:t>The respondent argues that there is a presumption against donations</w:t>
      </w:r>
      <w:r w:rsidR="00682371" w:rsidRPr="009663D0">
        <w:rPr>
          <w:rFonts w:ascii="Arial" w:hAnsi="Arial" w:cs="Arial"/>
          <w:sz w:val="24"/>
          <w:szCs w:val="24"/>
        </w:rPr>
        <w:t xml:space="preserve">, in support for his argument that the parties had concluded loan agreements over the course of their </w:t>
      </w:r>
      <w:r w:rsidR="00682371" w:rsidRPr="009663D0">
        <w:rPr>
          <w:rFonts w:ascii="Arial" w:hAnsi="Arial" w:cs="Arial"/>
          <w:sz w:val="24"/>
          <w:szCs w:val="24"/>
        </w:rPr>
        <w:lastRenderedPageBreak/>
        <w:t>marriage.</w:t>
      </w:r>
    </w:p>
    <w:p w14:paraId="369FFE31" w14:textId="77777777" w:rsidR="00682371" w:rsidRPr="009663D0" w:rsidRDefault="00682371" w:rsidP="009663D0">
      <w:pPr>
        <w:pStyle w:val="PlainText"/>
        <w:widowControl w:val="0"/>
        <w:spacing w:line="480" w:lineRule="auto"/>
        <w:ind w:left="706"/>
        <w:jc w:val="both"/>
        <w:rPr>
          <w:rFonts w:ascii="Arial" w:hAnsi="Arial" w:cs="Arial"/>
          <w:sz w:val="24"/>
          <w:szCs w:val="24"/>
        </w:rPr>
      </w:pPr>
    </w:p>
    <w:p w14:paraId="092649AE" w14:textId="7EE4AF16" w:rsidR="00336B06" w:rsidRPr="009663D0" w:rsidRDefault="00E52642" w:rsidP="00E52642">
      <w:pPr>
        <w:pStyle w:val="PlainText"/>
        <w:widowControl w:val="0"/>
        <w:tabs>
          <w:tab w:val="left" w:pos="709"/>
        </w:tabs>
        <w:spacing w:line="480" w:lineRule="auto"/>
        <w:ind w:left="706" w:hanging="706"/>
        <w:jc w:val="both"/>
        <w:rPr>
          <w:rFonts w:ascii="Arial" w:hAnsi="Arial" w:cs="Arial"/>
          <w:sz w:val="24"/>
          <w:szCs w:val="24"/>
        </w:rPr>
      </w:pPr>
      <w:r w:rsidRPr="009663D0">
        <w:rPr>
          <w:rFonts w:ascii="Arial" w:hAnsi="Arial" w:cs="Arial"/>
          <w:sz w:val="24"/>
          <w:szCs w:val="24"/>
        </w:rPr>
        <w:t>33.</w:t>
      </w:r>
      <w:r w:rsidRPr="009663D0">
        <w:rPr>
          <w:rFonts w:ascii="Arial" w:hAnsi="Arial" w:cs="Arial"/>
          <w:sz w:val="24"/>
          <w:szCs w:val="24"/>
        </w:rPr>
        <w:tab/>
      </w:r>
      <w:r w:rsidR="00682371" w:rsidRPr="009663D0">
        <w:rPr>
          <w:rFonts w:ascii="Arial" w:hAnsi="Arial" w:cs="Arial"/>
          <w:sz w:val="24"/>
          <w:szCs w:val="24"/>
        </w:rPr>
        <w:t>He</w:t>
      </w:r>
      <w:r w:rsidR="00336B06" w:rsidRPr="009663D0">
        <w:rPr>
          <w:rFonts w:ascii="Arial" w:hAnsi="Arial" w:cs="Arial"/>
          <w:sz w:val="24"/>
          <w:szCs w:val="24"/>
        </w:rPr>
        <w:t xml:space="preserve"> relies</w:t>
      </w:r>
      <w:r w:rsidR="00682371" w:rsidRPr="009663D0">
        <w:rPr>
          <w:rFonts w:ascii="Arial" w:hAnsi="Arial" w:cs="Arial"/>
          <w:sz w:val="24"/>
          <w:szCs w:val="24"/>
        </w:rPr>
        <w:t>, in this regard,</w:t>
      </w:r>
      <w:r w:rsidR="00336B06" w:rsidRPr="009663D0">
        <w:rPr>
          <w:rFonts w:ascii="Arial" w:hAnsi="Arial" w:cs="Arial"/>
          <w:sz w:val="24"/>
          <w:szCs w:val="24"/>
        </w:rPr>
        <w:t xml:space="preserve"> on the decision of </w:t>
      </w:r>
      <w:r w:rsidR="00336B06" w:rsidRPr="009663D0">
        <w:rPr>
          <w:rFonts w:ascii="Arial" w:hAnsi="Arial" w:cs="Arial"/>
          <w:i/>
          <w:iCs/>
          <w:sz w:val="24"/>
          <w:szCs w:val="24"/>
        </w:rPr>
        <w:t>Barkhuizen v Forbes</w:t>
      </w:r>
      <w:r w:rsidR="00336B06" w:rsidRPr="009663D0">
        <w:rPr>
          <w:rFonts w:ascii="Arial" w:hAnsi="Arial" w:cs="Arial"/>
          <w:sz w:val="24"/>
          <w:szCs w:val="24"/>
        </w:rPr>
        <w:t xml:space="preserve"> 1998 (1) SA 140 (E)</w:t>
      </w:r>
      <w:r w:rsidR="006A63CD" w:rsidRPr="009663D0">
        <w:rPr>
          <w:rFonts w:ascii="Arial" w:hAnsi="Arial" w:cs="Arial"/>
          <w:sz w:val="24"/>
          <w:szCs w:val="24"/>
        </w:rPr>
        <w:t>,</w:t>
      </w:r>
      <w:r w:rsidR="00336B06" w:rsidRPr="009663D0">
        <w:rPr>
          <w:rFonts w:ascii="Arial" w:hAnsi="Arial" w:cs="Arial"/>
          <w:sz w:val="24"/>
          <w:szCs w:val="24"/>
        </w:rPr>
        <w:t xml:space="preserve"> </w:t>
      </w:r>
      <w:r w:rsidR="00682371" w:rsidRPr="009663D0">
        <w:rPr>
          <w:rFonts w:ascii="Arial" w:hAnsi="Arial" w:cs="Arial"/>
          <w:sz w:val="24"/>
          <w:szCs w:val="24"/>
        </w:rPr>
        <w:t>and</w:t>
      </w:r>
      <w:r w:rsidR="00336B06" w:rsidRPr="009663D0">
        <w:rPr>
          <w:rFonts w:ascii="Arial" w:hAnsi="Arial" w:cs="Arial"/>
          <w:sz w:val="24"/>
          <w:szCs w:val="24"/>
        </w:rPr>
        <w:t xml:space="preserve"> he contends that there is sufficient evidence before this Court to consider the payments made by him to the applicant as loans, and therefore as debt owed by the applicant to the respondent. When those payments are considered to be loans, the respondent establishes a dispute sufficient to resist the sequestration application.</w:t>
      </w:r>
    </w:p>
    <w:p w14:paraId="1CE560D2" w14:textId="77777777" w:rsidR="00336B06" w:rsidRPr="009663D0" w:rsidRDefault="00336B06" w:rsidP="009663D0">
      <w:pPr>
        <w:pStyle w:val="PlainText"/>
        <w:widowControl w:val="0"/>
        <w:spacing w:line="480" w:lineRule="auto"/>
        <w:ind w:left="706"/>
        <w:jc w:val="both"/>
        <w:rPr>
          <w:rFonts w:ascii="Arial" w:hAnsi="Arial" w:cs="Arial"/>
          <w:sz w:val="24"/>
          <w:szCs w:val="24"/>
        </w:rPr>
      </w:pPr>
    </w:p>
    <w:p w14:paraId="26C00C24" w14:textId="3DA1AFDE" w:rsidR="00336B06" w:rsidRPr="009663D0" w:rsidRDefault="00E52642" w:rsidP="00E52642">
      <w:pPr>
        <w:pStyle w:val="PlainText"/>
        <w:widowControl w:val="0"/>
        <w:tabs>
          <w:tab w:val="left" w:pos="709"/>
        </w:tabs>
        <w:spacing w:line="480" w:lineRule="auto"/>
        <w:ind w:left="706" w:hanging="706"/>
        <w:jc w:val="both"/>
        <w:rPr>
          <w:rFonts w:ascii="Arial" w:hAnsi="Arial" w:cs="Arial"/>
          <w:sz w:val="24"/>
          <w:szCs w:val="24"/>
        </w:rPr>
      </w:pPr>
      <w:r w:rsidRPr="009663D0">
        <w:rPr>
          <w:rFonts w:ascii="Arial" w:hAnsi="Arial" w:cs="Arial"/>
          <w:sz w:val="24"/>
          <w:szCs w:val="24"/>
        </w:rPr>
        <w:t>34.</w:t>
      </w:r>
      <w:r w:rsidRPr="009663D0">
        <w:rPr>
          <w:rFonts w:ascii="Arial" w:hAnsi="Arial" w:cs="Arial"/>
          <w:sz w:val="24"/>
          <w:szCs w:val="24"/>
        </w:rPr>
        <w:tab/>
      </w:r>
      <w:r w:rsidR="006A63CD" w:rsidRPr="009663D0">
        <w:rPr>
          <w:rFonts w:ascii="Arial" w:hAnsi="Arial" w:cs="Arial"/>
          <w:sz w:val="24"/>
          <w:szCs w:val="24"/>
        </w:rPr>
        <w:t xml:space="preserve">A reading of </w:t>
      </w:r>
      <w:proofErr w:type="spellStart"/>
      <w:r w:rsidR="00336B06" w:rsidRPr="009663D0">
        <w:rPr>
          <w:rFonts w:ascii="Arial" w:hAnsi="Arial" w:cs="Arial"/>
          <w:i/>
          <w:iCs/>
          <w:sz w:val="24"/>
          <w:szCs w:val="24"/>
        </w:rPr>
        <w:t>Barkhuizen</w:t>
      </w:r>
      <w:proofErr w:type="spellEnd"/>
      <w:r w:rsidR="00336B06" w:rsidRPr="009663D0">
        <w:rPr>
          <w:rFonts w:ascii="Arial" w:hAnsi="Arial" w:cs="Arial"/>
          <w:i/>
          <w:iCs/>
          <w:sz w:val="24"/>
          <w:szCs w:val="24"/>
        </w:rPr>
        <w:t xml:space="preserve"> v Forbes</w:t>
      </w:r>
      <w:r w:rsidR="00336B06" w:rsidRPr="009663D0">
        <w:rPr>
          <w:rFonts w:ascii="Arial" w:hAnsi="Arial" w:cs="Arial"/>
          <w:sz w:val="24"/>
          <w:szCs w:val="24"/>
        </w:rPr>
        <w:t xml:space="preserve"> </w:t>
      </w:r>
      <w:r w:rsidR="006A63CD" w:rsidRPr="009663D0">
        <w:rPr>
          <w:rFonts w:ascii="Arial" w:hAnsi="Arial" w:cs="Arial"/>
          <w:sz w:val="24"/>
          <w:szCs w:val="24"/>
        </w:rPr>
        <w:t>indicates, however,</w:t>
      </w:r>
      <w:r w:rsidR="00336B06" w:rsidRPr="009663D0">
        <w:rPr>
          <w:rFonts w:ascii="Arial" w:hAnsi="Arial" w:cs="Arial"/>
          <w:sz w:val="24"/>
          <w:szCs w:val="24"/>
        </w:rPr>
        <w:t xml:space="preserve"> </w:t>
      </w:r>
      <w:r w:rsidR="006A63CD" w:rsidRPr="009663D0">
        <w:rPr>
          <w:rFonts w:ascii="Arial" w:hAnsi="Arial" w:cs="Arial"/>
          <w:sz w:val="24"/>
          <w:szCs w:val="24"/>
        </w:rPr>
        <w:t xml:space="preserve">that it is </w:t>
      </w:r>
      <w:r w:rsidR="00336B06" w:rsidRPr="009663D0">
        <w:rPr>
          <w:rFonts w:ascii="Arial" w:hAnsi="Arial" w:cs="Arial"/>
          <w:sz w:val="24"/>
          <w:szCs w:val="24"/>
        </w:rPr>
        <w:t xml:space="preserve">distinguishable from the present matter on a number of grounds, the most important being that those parties were in a romantic relationship, but they were not married and they did not cohabit.  The Court found (at 151I-152C) that those facts advocated against the presumption </w:t>
      </w:r>
      <w:r w:rsidR="00F3121C" w:rsidRPr="009663D0">
        <w:rPr>
          <w:rFonts w:ascii="Arial" w:hAnsi="Arial" w:cs="Arial"/>
          <w:sz w:val="24"/>
          <w:szCs w:val="24"/>
          <w:u w:val="single"/>
        </w:rPr>
        <w:t>of</w:t>
      </w:r>
      <w:r w:rsidR="00336B06" w:rsidRPr="009663D0">
        <w:rPr>
          <w:rFonts w:ascii="Arial" w:hAnsi="Arial" w:cs="Arial"/>
          <w:sz w:val="24"/>
          <w:szCs w:val="24"/>
        </w:rPr>
        <w:t xml:space="preserve"> donations between spouses established in the Appellate Division’s decision in </w:t>
      </w:r>
      <w:r w:rsidR="00336B06" w:rsidRPr="009663D0">
        <w:rPr>
          <w:rFonts w:ascii="Arial" w:hAnsi="Arial" w:cs="Arial"/>
          <w:i/>
          <w:iCs/>
          <w:sz w:val="24"/>
          <w:szCs w:val="24"/>
        </w:rPr>
        <w:t>Smith’s Trustee v Smith</w:t>
      </w:r>
      <w:r w:rsidR="00336B06" w:rsidRPr="009663D0">
        <w:rPr>
          <w:rFonts w:ascii="Arial" w:hAnsi="Arial" w:cs="Arial"/>
          <w:sz w:val="24"/>
          <w:szCs w:val="24"/>
        </w:rPr>
        <w:t xml:space="preserve"> 1927 AD 482:</w:t>
      </w:r>
    </w:p>
    <w:p w14:paraId="309E8F3B" w14:textId="77777777" w:rsidR="00336B06" w:rsidRPr="009663D0" w:rsidRDefault="00336B06" w:rsidP="009663D0">
      <w:pPr>
        <w:pStyle w:val="ListParagraph"/>
        <w:widowControl w:val="0"/>
        <w:spacing w:line="480" w:lineRule="auto"/>
        <w:jc w:val="both"/>
        <w:rPr>
          <w:rFonts w:ascii="Arial" w:hAnsi="Arial" w:cs="Arial"/>
        </w:rPr>
      </w:pPr>
    </w:p>
    <w:p w14:paraId="4DE98F38" w14:textId="77777777" w:rsidR="00336B06" w:rsidRPr="00B61FB5" w:rsidRDefault="00336B06" w:rsidP="009663D0">
      <w:pPr>
        <w:pStyle w:val="PlainText"/>
        <w:widowControl w:val="0"/>
        <w:spacing w:line="480" w:lineRule="auto"/>
        <w:ind w:left="706"/>
        <w:jc w:val="both"/>
        <w:rPr>
          <w:rFonts w:ascii="Arial" w:hAnsi="Arial" w:cs="Arial"/>
          <w:i/>
          <w:iCs/>
          <w:sz w:val="24"/>
          <w:szCs w:val="24"/>
        </w:rPr>
      </w:pPr>
      <w:r w:rsidRPr="009663D0">
        <w:rPr>
          <w:rFonts w:ascii="Arial" w:hAnsi="Arial" w:cs="Arial"/>
          <w:sz w:val="24"/>
          <w:szCs w:val="24"/>
        </w:rPr>
        <w:t>“</w:t>
      </w:r>
      <w:r w:rsidRPr="009663D0">
        <w:rPr>
          <w:rFonts w:ascii="Arial" w:hAnsi="Arial" w:cs="Arial"/>
          <w:i/>
          <w:iCs/>
          <w:sz w:val="24"/>
          <w:szCs w:val="24"/>
        </w:rPr>
        <w:t>A further factor to be considered is how the close relationship between the parties may affect the issue of onus. In </w:t>
      </w:r>
      <w:r w:rsidRPr="009663D0">
        <w:rPr>
          <w:rFonts w:ascii="Arial" w:hAnsi="Arial" w:cs="Arial"/>
          <w:sz w:val="24"/>
          <w:szCs w:val="24"/>
        </w:rPr>
        <w:t>Smith's Trustee v Smith</w:t>
      </w:r>
      <w:r w:rsidRPr="009663D0">
        <w:rPr>
          <w:rFonts w:ascii="Arial" w:hAnsi="Arial" w:cs="Arial"/>
          <w:i/>
          <w:iCs/>
          <w:sz w:val="24"/>
          <w:szCs w:val="24"/>
        </w:rPr>
        <w:t xml:space="preserve">… it was pointed out that </w:t>
      </w:r>
      <w:r w:rsidRPr="00B61FB5">
        <w:rPr>
          <w:rFonts w:ascii="Arial" w:hAnsi="Arial" w:cs="Arial"/>
          <w:i/>
          <w:iCs/>
          <w:sz w:val="24"/>
          <w:szCs w:val="24"/>
          <w:lang w:eastAsia="en-ZA"/>
        </w:rPr>
        <w:t>'</w:t>
      </w:r>
      <w:r w:rsidRPr="00B61FB5">
        <w:rPr>
          <w:rFonts w:ascii="Arial" w:hAnsi="Arial" w:cs="Arial"/>
          <w:sz w:val="24"/>
          <w:szCs w:val="24"/>
          <w:lang w:eastAsia="en-ZA"/>
        </w:rPr>
        <w:t>although apparently no presumption can be based merely upon the close relationship between the parties . . . Mascardus (Idem No 43) points out that there is a presumption of a gift on the grounds of blood or other relationship where no cause appears from which such presumption can be rebutted'</w:t>
      </w:r>
      <w:r w:rsidRPr="00B61FB5">
        <w:rPr>
          <w:rFonts w:ascii="Arial" w:hAnsi="Arial" w:cs="Arial"/>
          <w:i/>
          <w:iCs/>
          <w:sz w:val="24"/>
          <w:szCs w:val="24"/>
          <w:lang w:eastAsia="en-ZA"/>
        </w:rPr>
        <w:t>.</w:t>
      </w:r>
    </w:p>
    <w:p w14:paraId="14282772" w14:textId="77777777" w:rsidR="00336B06" w:rsidRPr="009663D0" w:rsidRDefault="00336B06" w:rsidP="009663D0">
      <w:pPr>
        <w:widowControl w:val="0"/>
        <w:shd w:val="clear" w:color="auto" w:fill="FFFFFF"/>
        <w:spacing w:line="480" w:lineRule="auto"/>
        <w:ind w:left="675"/>
        <w:jc w:val="both"/>
        <w:rPr>
          <w:rFonts w:ascii="Arial" w:hAnsi="Arial" w:cs="Arial"/>
          <w:i/>
          <w:iCs/>
          <w:lang w:val="en-ZA" w:eastAsia="en-ZA"/>
        </w:rPr>
      </w:pPr>
      <w:r w:rsidRPr="00B61FB5">
        <w:rPr>
          <w:rFonts w:ascii="Arial" w:hAnsi="Arial" w:cs="Arial"/>
          <w:i/>
          <w:iCs/>
          <w:lang w:val="en-ZA" w:eastAsia="en-ZA"/>
        </w:rPr>
        <w:t xml:space="preserve">In this case the Court was concerned with the relationship between a husband and a wife. In the present case we are not dealing with any blood relationship nor is the relationship anywhere near as close as husband and wife where the parties may make donations in order to protect themselves against various legal problems which may </w:t>
      </w:r>
      <w:r w:rsidRPr="00B61FB5">
        <w:rPr>
          <w:rFonts w:ascii="Arial" w:hAnsi="Arial" w:cs="Arial"/>
          <w:i/>
          <w:iCs/>
          <w:lang w:val="en-ZA" w:eastAsia="en-ZA"/>
        </w:rPr>
        <w:lastRenderedPageBreak/>
        <w:t>arise. In this case the parties did not even cohabit and, although plaintiff was in love with the respondent, this is not, in my view, sufficient to create a presumption that the amounts now claimed were donations. In any event, and insofar as plaintiff has presented acceptable evidence that the amounts now claimed were loans, there appears a 'cause' from which any presumption of a donation can be rebutted.</w:t>
      </w:r>
      <w:r w:rsidRPr="009663D0">
        <w:rPr>
          <w:rFonts w:ascii="Arial" w:hAnsi="Arial" w:cs="Arial"/>
          <w:i/>
          <w:iCs/>
          <w:lang w:val="en-ZA" w:eastAsia="en-ZA"/>
        </w:rPr>
        <w:t>”</w:t>
      </w:r>
    </w:p>
    <w:p w14:paraId="637DFA8E" w14:textId="77777777" w:rsidR="00336B06" w:rsidRPr="009663D0" w:rsidRDefault="00336B06" w:rsidP="009663D0">
      <w:pPr>
        <w:widowControl w:val="0"/>
        <w:shd w:val="clear" w:color="auto" w:fill="FFFFFF"/>
        <w:spacing w:line="480" w:lineRule="auto"/>
        <w:ind w:left="675"/>
        <w:jc w:val="both"/>
        <w:rPr>
          <w:rFonts w:ascii="Arial" w:hAnsi="Arial" w:cs="Arial"/>
          <w:i/>
          <w:iCs/>
          <w:lang w:val="en-ZA" w:eastAsia="en-ZA"/>
        </w:rPr>
      </w:pPr>
    </w:p>
    <w:p w14:paraId="730217FD" w14:textId="09F95795" w:rsidR="00336B06" w:rsidRPr="00E52642" w:rsidRDefault="00E52642" w:rsidP="00E52642">
      <w:pPr>
        <w:widowControl w:val="0"/>
        <w:shd w:val="clear" w:color="auto" w:fill="FFFFFF"/>
        <w:tabs>
          <w:tab w:val="left" w:pos="709"/>
        </w:tabs>
        <w:spacing w:line="480" w:lineRule="auto"/>
        <w:ind w:left="709" w:hanging="709"/>
        <w:jc w:val="both"/>
        <w:rPr>
          <w:rFonts w:ascii="Arial" w:hAnsi="Arial" w:cs="Arial"/>
          <w:lang w:val="en-ZA" w:eastAsia="en-ZA"/>
        </w:rPr>
      </w:pPr>
      <w:r w:rsidRPr="009663D0">
        <w:rPr>
          <w:rFonts w:ascii="Arial" w:hAnsi="Arial" w:cs="Arial"/>
          <w:lang w:val="en-ZA" w:eastAsia="en-ZA"/>
        </w:rPr>
        <w:t>35.</w:t>
      </w:r>
      <w:r w:rsidRPr="009663D0">
        <w:rPr>
          <w:rFonts w:ascii="Arial" w:hAnsi="Arial" w:cs="Arial"/>
          <w:lang w:val="en-ZA" w:eastAsia="en-ZA"/>
        </w:rPr>
        <w:tab/>
      </w:r>
      <w:r w:rsidR="00336B06" w:rsidRPr="00E52642">
        <w:rPr>
          <w:rFonts w:ascii="Arial" w:hAnsi="Arial" w:cs="Arial"/>
          <w:lang w:val="en-ZA" w:eastAsia="en-ZA"/>
        </w:rPr>
        <w:t>In</w:t>
      </w:r>
      <w:r w:rsidR="00336B06" w:rsidRPr="00E52642">
        <w:rPr>
          <w:rFonts w:ascii="Arial" w:hAnsi="Arial" w:cs="Arial"/>
          <w:i/>
          <w:iCs/>
          <w:lang w:val="en-ZA" w:eastAsia="en-ZA"/>
        </w:rPr>
        <w:t xml:space="preserve"> Smith’s Trustee</w:t>
      </w:r>
      <w:r w:rsidR="00336B06" w:rsidRPr="00E52642">
        <w:rPr>
          <w:rFonts w:ascii="Arial" w:hAnsi="Arial" w:cs="Arial"/>
          <w:lang w:val="en-ZA" w:eastAsia="en-ZA"/>
        </w:rPr>
        <w:t xml:space="preserve"> the Court found (at 486) that </w:t>
      </w:r>
      <w:r w:rsidR="00336B06" w:rsidRPr="00E52642">
        <w:rPr>
          <w:rFonts w:ascii="Arial" w:hAnsi="Arial" w:cs="Arial"/>
          <w:shd w:val="clear" w:color="auto" w:fill="FFFFFF"/>
        </w:rPr>
        <w:t xml:space="preserve">the presumption against donations does exist but that it does not apply to the case of a husband and wife for various reasons. </w:t>
      </w:r>
    </w:p>
    <w:p w14:paraId="325F2F29" w14:textId="77777777" w:rsidR="00336B06" w:rsidRPr="009663D0" w:rsidRDefault="00336B06" w:rsidP="009663D0">
      <w:pPr>
        <w:pStyle w:val="ListParagraph"/>
        <w:widowControl w:val="0"/>
        <w:shd w:val="clear" w:color="auto" w:fill="FFFFFF"/>
        <w:spacing w:line="480" w:lineRule="auto"/>
        <w:ind w:left="709"/>
        <w:jc w:val="both"/>
        <w:rPr>
          <w:rFonts w:ascii="Arial" w:hAnsi="Arial" w:cs="Arial"/>
          <w:lang w:val="en-ZA" w:eastAsia="en-ZA"/>
        </w:rPr>
      </w:pPr>
    </w:p>
    <w:p w14:paraId="08A10141" w14:textId="2C9C3D32" w:rsidR="00336B06" w:rsidRPr="00E52642" w:rsidRDefault="00E52642" w:rsidP="00E52642">
      <w:pPr>
        <w:widowControl w:val="0"/>
        <w:shd w:val="clear" w:color="auto" w:fill="FFFFFF"/>
        <w:tabs>
          <w:tab w:val="left" w:pos="709"/>
        </w:tabs>
        <w:spacing w:line="480" w:lineRule="auto"/>
        <w:ind w:left="706" w:hanging="709"/>
        <w:jc w:val="both"/>
        <w:rPr>
          <w:rFonts w:ascii="Arial" w:hAnsi="Arial" w:cs="Arial"/>
          <w:lang w:val="en-ZA" w:eastAsia="en-ZA"/>
        </w:rPr>
      </w:pPr>
      <w:r w:rsidRPr="009663D0">
        <w:rPr>
          <w:rFonts w:ascii="Arial" w:hAnsi="Arial" w:cs="Arial"/>
          <w:lang w:val="en-ZA" w:eastAsia="en-ZA"/>
        </w:rPr>
        <w:t>36.</w:t>
      </w:r>
      <w:r w:rsidRPr="009663D0">
        <w:rPr>
          <w:rFonts w:ascii="Arial" w:hAnsi="Arial" w:cs="Arial"/>
          <w:lang w:val="en-ZA" w:eastAsia="en-ZA"/>
        </w:rPr>
        <w:tab/>
      </w:r>
      <w:r w:rsidR="00336B06" w:rsidRPr="00E52642">
        <w:rPr>
          <w:rFonts w:ascii="Arial" w:hAnsi="Arial" w:cs="Arial"/>
        </w:rPr>
        <w:t>The</w:t>
      </w:r>
      <w:r w:rsidR="00336B06" w:rsidRPr="00E52642">
        <w:rPr>
          <w:rFonts w:ascii="Arial" w:hAnsi="Arial" w:cs="Arial"/>
          <w:i/>
          <w:iCs/>
        </w:rPr>
        <w:t xml:space="preserve"> Smith’s Trustee</w:t>
      </w:r>
      <w:r w:rsidR="00336B06" w:rsidRPr="00E52642">
        <w:rPr>
          <w:rFonts w:ascii="Arial" w:hAnsi="Arial" w:cs="Arial"/>
        </w:rPr>
        <w:t xml:space="preserve"> presumption is regarded as the exception to the general rule relating to the presumption against donations. This spousal exemption was also referred to by this Court in its full bench decision in </w:t>
      </w:r>
      <w:r w:rsidR="00336B06" w:rsidRPr="00E52642">
        <w:rPr>
          <w:rFonts w:ascii="Arial" w:hAnsi="Arial" w:cs="Arial"/>
          <w:i/>
          <w:iCs/>
        </w:rPr>
        <w:t>Mogudi v Fezi</w:t>
      </w:r>
      <w:r w:rsidR="00336B06" w:rsidRPr="00E52642">
        <w:rPr>
          <w:rFonts w:ascii="Arial" w:hAnsi="Arial" w:cs="Arial"/>
        </w:rPr>
        <w:t xml:space="preserve"> (A67/07) [2007] ZAWCHC 46 (28 August 2007) where the court remarked</w:t>
      </w:r>
      <w:r w:rsidR="00A15CF4" w:rsidRPr="00E52642">
        <w:rPr>
          <w:rFonts w:ascii="Arial" w:hAnsi="Arial" w:cs="Arial"/>
        </w:rPr>
        <w:t xml:space="preserve"> at para [36], following a discussion of </w:t>
      </w:r>
      <w:r w:rsidR="00A15CF4" w:rsidRPr="00E52642">
        <w:rPr>
          <w:rFonts w:ascii="Arial" w:hAnsi="Arial" w:cs="Arial"/>
          <w:i/>
          <w:iCs/>
        </w:rPr>
        <w:t>Smith’s Trustee</w:t>
      </w:r>
      <w:r w:rsidR="00A15CF4" w:rsidRPr="00E52642">
        <w:rPr>
          <w:rFonts w:ascii="Arial" w:hAnsi="Arial" w:cs="Arial"/>
        </w:rPr>
        <w:t>,</w:t>
      </w:r>
      <w:r w:rsidR="00CB2816" w:rsidRPr="00E52642">
        <w:rPr>
          <w:rFonts w:ascii="Arial" w:hAnsi="Arial" w:cs="Arial"/>
        </w:rPr>
        <w:t xml:space="preserve"> </w:t>
      </w:r>
      <w:r w:rsidR="00336B06" w:rsidRPr="00E52642">
        <w:rPr>
          <w:rFonts w:ascii="Arial" w:hAnsi="Arial" w:cs="Arial"/>
        </w:rPr>
        <w:t xml:space="preserve">that the probabilities, based on the conduct of the appellant of the nature </w:t>
      </w:r>
      <w:r w:rsidR="00A15CF4" w:rsidRPr="00E52642">
        <w:rPr>
          <w:rFonts w:ascii="Arial" w:hAnsi="Arial" w:cs="Arial"/>
        </w:rPr>
        <w:t xml:space="preserve">and </w:t>
      </w:r>
      <w:r w:rsidR="00336B06" w:rsidRPr="00E52642">
        <w:rPr>
          <w:rFonts w:ascii="Arial" w:hAnsi="Arial" w:cs="Arial"/>
        </w:rPr>
        <w:t>the parties’ relationship, pointed to an act of generosity and benevolence rather than to a loan.</w:t>
      </w:r>
      <w:r w:rsidR="00F93D6D" w:rsidRPr="00E52642">
        <w:rPr>
          <w:rFonts w:ascii="Arial" w:hAnsi="Arial" w:cs="Arial"/>
        </w:rPr>
        <w:t xml:space="preserve">  See also, in this respect, </w:t>
      </w:r>
      <w:r w:rsidR="00F93D6D" w:rsidRPr="00E52642">
        <w:rPr>
          <w:rFonts w:ascii="Arial" w:hAnsi="Arial" w:cs="Arial"/>
          <w:i/>
          <w:iCs/>
        </w:rPr>
        <w:t xml:space="preserve">PGJ v AEJ </w:t>
      </w:r>
      <w:r w:rsidR="00F93D6D" w:rsidRPr="00E52642">
        <w:rPr>
          <w:rFonts w:ascii="Arial" w:hAnsi="Arial" w:cs="Arial"/>
        </w:rPr>
        <w:t xml:space="preserve">(unreported decision of the Free State Division under case number 49498/2013, delivered </w:t>
      </w:r>
      <w:r w:rsidR="00D25DD2" w:rsidRPr="00E52642">
        <w:rPr>
          <w:rFonts w:ascii="Arial" w:hAnsi="Arial" w:cs="Arial"/>
        </w:rPr>
        <w:t>o</w:t>
      </w:r>
      <w:r w:rsidR="00F93D6D" w:rsidRPr="00E52642">
        <w:rPr>
          <w:rFonts w:ascii="Arial" w:hAnsi="Arial" w:cs="Arial"/>
        </w:rPr>
        <w:t>n 19 May 2016) at paras [1] and [24].</w:t>
      </w:r>
    </w:p>
    <w:p w14:paraId="23B9C76C" w14:textId="77777777" w:rsidR="00336B06" w:rsidRPr="009663D0" w:rsidRDefault="00336B06" w:rsidP="009663D0">
      <w:pPr>
        <w:pStyle w:val="PlainText"/>
        <w:widowControl w:val="0"/>
        <w:spacing w:line="480" w:lineRule="auto"/>
        <w:ind w:left="706"/>
        <w:jc w:val="both"/>
        <w:rPr>
          <w:rFonts w:ascii="Arial" w:hAnsi="Arial" w:cs="Arial"/>
          <w:sz w:val="24"/>
          <w:szCs w:val="24"/>
        </w:rPr>
      </w:pPr>
    </w:p>
    <w:p w14:paraId="3266CA3B" w14:textId="014587E7" w:rsidR="00336B06" w:rsidRPr="009663D0" w:rsidRDefault="00E52642" w:rsidP="00E52642">
      <w:pPr>
        <w:pStyle w:val="PlainText"/>
        <w:widowControl w:val="0"/>
        <w:tabs>
          <w:tab w:val="left" w:pos="709"/>
        </w:tabs>
        <w:spacing w:line="480" w:lineRule="auto"/>
        <w:ind w:left="706" w:hanging="709"/>
        <w:jc w:val="both"/>
        <w:rPr>
          <w:rFonts w:ascii="Arial" w:hAnsi="Arial" w:cs="Arial"/>
          <w:sz w:val="24"/>
          <w:szCs w:val="24"/>
        </w:rPr>
      </w:pPr>
      <w:r w:rsidRPr="009663D0">
        <w:rPr>
          <w:rFonts w:ascii="Arial" w:hAnsi="Arial" w:cs="Arial"/>
          <w:sz w:val="24"/>
          <w:szCs w:val="24"/>
        </w:rPr>
        <w:t>37.</w:t>
      </w:r>
      <w:r w:rsidRPr="009663D0">
        <w:rPr>
          <w:rFonts w:ascii="Arial" w:hAnsi="Arial" w:cs="Arial"/>
          <w:sz w:val="24"/>
          <w:szCs w:val="24"/>
        </w:rPr>
        <w:tab/>
      </w:r>
      <w:r w:rsidR="00336B06" w:rsidRPr="009663D0">
        <w:rPr>
          <w:rFonts w:ascii="Arial" w:hAnsi="Arial" w:cs="Arial"/>
          <w:sz w:val="24"/>
          <w:szCs w:val="24"/>
        </w:rPr>
        <w:t xml:space="preserve">The Court in </w:t>
      </w:r>
      <w:proofErr w:type="spellStart"/>
      <w:r w:rsidR="00336B06" w:rsidRPr="009663D0">
        <w:rPr>
          <w:rFonts w:ascii="Arial" w:hAnsi="Arial" w:cs="Arial"/>
          <w:i/>
          <w:iCs/>
          <w:sz w:val="24"/>
          <w:szCs w:val="24"/>
        </w:rPr>
        <w:t>Barkhuizen</w:t>
      </w:r>
      <w:proofErr w:type="spellEnd"/>
      <w:r w:rsidR="00336B06" w:rsidRPr="009663D0">
        <w:rPr>
          <w:rFonts w:ascii="Arial" w:hAnsi="Arial" w:cs="Arial"/>
          <w:i/>
          <w:iCs/>
          <w:sz w:val="24"/>
          <w:szCs w:val="24"/>
        </w:rPr>
        <w:t xml:space="preserve"> v Forbes</w:t>
      </w:r>
      <w:r w:rsidR="00336B06" w:rsidRPr="009663D0">
        <w:rPr>
          <w:rFonts w:ascii="Arial" w:hAnsi="Arial" w:cs="Arial"/>
          <w:sz w:val="24"/>
          <w:szCs w:val="24"/>
        </w:rPr>
        <w:t xml:space="preserve"> was of the view that it was important to have regard to the nature of the payments to determine, on the probabilities, whether the payments constituted gifts or loans (at 149H). In the present matter, disregarding the payments made not to the applicant but to third parties, the respondent made payments to the applicant for the purposes of</w:t>
      </w:r>
      <w:r w:rsidR="00FE253E" w:rsidRPr="009663D0">
        <w:rPr>
          <w:rFonts w:ascii="Arial" w:hAnsi="Arial" w:cs="Arial"/>
          <w:sz w:val="24"/>
          <w:szCs w:val="24"/>
        </w:rPr>
        <w:t xml:space="preserve"> a</w:t>
      </w:r>
      <w:r w:rsidR="00336B06" w:rsidRPr="009663D0">
        <w:rPr>
          <w:rFonts w:ascii="Arial" w:hAnsi="Arial" w:cs="Arial"/>
          <w:sz w:val="24"/>
          <w:szCs w:val="24"/>
        </w:rPr>
        <w:t>cquiring F</w:t>
      </w:r>
      <w:r w:rsidR="00E33D49">
        <w:rPr>
          <w:rFonts w:ascii="Arial" w:hAnsi="Arial" w:cs="Arial"/>
          <w:sz w:val="24"/>
          <w:szCs w:val="24"/>
        </w:rPr>
        <w:t>[…]</w:t>
      </w:r>
      <w:r w:rsidR="00336B06" w:rsidRPr="009663D0">
        <w:rPr>
          <w:rFonts w:ascii="Arial" w:hAnsi="Arial" w:cs="Arial"/>
          <w:sz w:val="24"/>
          <w:szCs w:val="24"/>
        </w:rPr>
        <w:t xml:space="preserve"> Lane so that the applicant’s father could </w:t>
      </w:r>
      <w:r w:rsidR="00336B06" w:rsidRPr="009663D0">
        <w:rPr>
          <w:rFonts w:ascii="Arial" w:hAnsi="Arial" w:cs="Arial"/>
          <w:sz w:val="24"/>
          <w:szCs w:val="24"/>
        </w:rPr>
        <w:lastRenderedPageBreak/>
        <w:t>reside in close proximity in order to assist in caring for their eldest child</w:t>
      </w:r>
      <w:r w:rsidR="00FE253E" w:rsidRPr="009663D0">
        <w:rPr>
          <w:rFonts w:ascii="Arial" w:hAnsi="Arial" w:cs="Arial"/>
          <w:sz w:val="24"/>
          <w:szCs w:val="24"/>
        </w:rPr>
        <w:t xml:space="preserve"> who suffers from certain medical issues; g</w:t>
      </w:r>
      <w:r w:rsidR="00336B06" w:rsidRPr="009663D0">
        <w:rPr>
          <w:rFonts w:ascii="Arial" w:hAnsi="Arial" w:cs="Arial"/>
          <w:sz w:val="24"/>
          <w:szCs w:val="24"/>
        </w:rPr>
        <w:t>ifting the applicant with offshore funds (up to a maximum of R4 million); and</w:t>
      </w:r>
      <w:r w:rsidR="00FE253E" w:rsidRPr="009663D0">
        <w:rPr>
          <w:rFonts w:ascii="Arial" w:hAnsi="Arial" w:cs="Arial"/>
          <w:sz w:val="24"/>
          <w:szCs w:val="24"/>
        </w:rPr>
        <w:t xml:space="preserve"> s</w:t>
      </w:r>
      <w:r w:rsidR="00336B06" w:rsidRPr="009663D0">
        <w:rPr>
          <w:rFonts w:ascii="Arial" w:hAnsi="Arial" w:cs="Arial"/>
          <w:sz w:val="24"/>
          <w:szCs w:val="24"/>
        </w:rPr>
        <w:t>ecuring a rental property for the applicant and the minor children in fulfilment of the respondent’s maintenance obligations towards them.</w:t>
      </w:r>
    </w:p>
    <w:p w14:paraId="2C690C75" w14:textId="77777777" w:rsidR="00336B06" w:rsidRPr="009663D0" w:rsidRDefault="00336B06" w:rsidP="009663D0">
      <w:pPr>
        <w:pStyle w:val="PlainText"/>
        <w:widowControl w:val="0"/>
        <w:spacing w:line="480" w:lineRule="auto"/>
        <w:ind w:left="706"/>
        <w:jc w:val="both"/>
        <w:rPr>
          <w:rFonts w:ascii="Arial" w:hAnsi="Arial" w:cs="Arial"/>
          <w:sz w:val="24"/>
          <w:szCs w:val="24"/>
        </w:rPr>
      </w:pPr>
    </w:p>
    <w:p w14:paraId="550FA1DF" w14:textId="0075830F" w:rsidR="00336B06" w:rsidRPr="009663D0" w:rsidRDefault="00E52642" w:rsidP="00E52642">
      <w:pPr>
        <w:pStyle w:val="PlainText"/>
        <w:widowControl w:val="0"/>
        <w:tabs>
          <w:tab w:val="left" w:pos="709"/>
        </w:tabs>
        <w:spacing w:line="480" w:lineRule="auto"/>
        <w:ind w:left="706" w:hanging="709"/>
        <w:jc w:val="both"/>
        <w:rPr>
          <w:rFonts w:ascii="Arial" w:hAnsi="Arial" w:cs="Arial"/>
          <w:sz w:val="24"/>
          <w:szCs w:val="24"/>
        </w:rPr>
      </w:pPr>
      <w:r w:rsidRPr="009663D0">
        <w:rPr>
          <w:rFonts w:ascii="Arial" w:hAnsi="Arial" w:cs="Arial"/>
          <w:sz w:val="24"/>
          <w:szCs w:val="24"/>
        </w:rPr>
        <w:t>38.</w:t>
      </w:r>
      <w:r w:rsidRPr="009663D0">
        <w:rPr>
          <w:rFonts w:ascii="Arial" w:hAnsi="Arial" w:cs="Arial"/>
          <w:sz w:val="24"/>
          <w:szCs w:val="24"/>
        </w:rPr>
        <w:tab/>
      </w:r>
      <w:r w:rsidR="00336B06" w:rsidRPr="009663D0">
        <w:rPr>
          <w:rFonts w:ascii="Arial" w:hAnsi="Arial" w:cs="Arial"/>
          <w:sz w:val="24"/>
          <w:szCs w:val="24"/>
        </w:rPr>
        <w:t>I am, however, not required to make a finding as regards the nature of these payments to determine whether they constituted gifts or loans. What I must decide is whether the respondent’s defence, namely that he enjoys a contingent loan claim against the applicant, is sufficient to resist the sequestration application.</w:t>
      </w:r>
    </w:p>
    <w:p w14:paraId="464F2120" w14:textId="77777777" w:rsidR="00B26135" w:rsidRPr="009663D0" w:rsidRDefault="00B26135" w:rsidP="009663D0">
      <w:pPr>
        <w:pStyle w:val="ListParagraph"/>
        <w:widowControl w:val="0"/>
        <w:spacing w:line="480" w:lineRule="auto"/>
        <w:rPr>
          <w:rFonts w:ascii="Arial" w:hAnsi="Arial" w:cs="Arial"/>
        </w:rPr>
      </w:pPr>
    </w:p>
    <w:p w14:paraId="3365890B" w14:textId="364E99F8" w:rsidR="00E36835" w:rsidRPr="009663D0" w:rsidRDefault="00E52642" w:rsidP="00E52642">
      <w:pPr>
        <w:pStyle w:val="PlainText"/>
        <w:widowControl w:val="0"/>
        <w:tabs>
          <w:tab w:val="left" w:pos="709"/>
        </w:tabs>
        <w:spacing w:line="480" w:lineRule="auto"/>
        <w:ind w:left="706" w:hanging="709"/>
        <w:jc w:val="both"/>
        <w:rPr>
          <w:rFonts w:ascii="Arial" w:hAnsi="Arial" w:cs="Arial"/>
          <w:sz w:val="24"/>
          <w:szCs w:val="24"/>
        </w:rPr>
      </w:pPr>
      <w:r w:rsidRPr="009663D0">
        <w:rPr>
          <w:rFonts w:ascii="Arial" w:hAnsi="Arial" w:cs="Arial"/>
          <w:sz w:val="24"/>
          <w:szCs w:val="24"/>
        </w:rPr>
        <w:t>39.</w:t>
      </w:r>
      <w:r w:rsidRPr="009663D0">
        <w:rPr>
          <w:rFonts w:ascii="Arial" w:hAnsi="Arial" w:cs="Arial"/>
          <w:sz w:val="24"/>
          <w:szCs w:val="24"/>
        </w:rPr>
        <w:tab/>
      </w:r>
      <w:r w:rsidR="00B26135" w:rsidRPr="009663D0">
        <w:rPr>
          <w:rFonts w:ascii="Arial" w:hAnsi="Arial" w:cs="Arial"/>
          <w:sz w:val="24"/>
          <w:szCs w:val="24"/>
        </w:rPr>
        <w:t xml:space="preserve">Is the applicant’s claim disputed to such an extent that the grant of a provisional order of sequestration is excluded?  </w:t>
      </w:r>
      <w:r w:rsidR="00E36835" w:rsidRPr="009663D0">
        <w:rPr>
          <w:rFonts w:ascii="Arial" w:hAnsi="Arial" w:cs="Arial"/>
          <w:sz w:val="24"/>
          <w:szCs w:val="24"/>
        </w:rPr>
        <w:t xml:space="preserve">It is not sufficient for a respondent in a sequestration application merely to dispute the claim of an applicant creditor.  A claim must be disputed on </w:t>
      </w:r>
      <w:r w:rsidR="00E36835" w:rsidRPr="009663D0">
        <w:rPr>
          <w:rFonts w:ascii="Arial" w:hAnsi="Arial" w:cs="Arial"/>
          <w:i/>
          <w:sz w:val="24"/>
          <w:szCs w:val="24"/>
        </w:rPr>
        <w:t>bona fide</w:t>
      </w:r>
      <w:r w:rsidR="00E36835" w:rsidRPr="009663D0">
        <w:rPr>
          <w:rFonts w:ascii="Arial" w:hAnsi="Arial" w:cs="Arial"/>
          <w:sz w:val="24"/>
          <w:szCs w:val="24"/>
        </w:rPr>
        <w:t xml:space="preserve"> grounds (</w:t>
      </w:r>
      <w:r w:rsidR="00E36835" w:rsidRPr="009663D0">
        <w:rPr>
          <w:rFonts w:ascii="Arial" w:hAnsi="Arial" w:cs="Arial"/>
          <w:i/>
          <w:sz w:val="24"/>
          <w:szCs w:val="24"/>
        </w:rPr>
        <w:t>Laeveldse Koöperasie BPK v Joubert</w:t>
      </w:r>
      <w:r w:rsidR="00E36835" w:rsidRPr="009663D0">
        <w:rPr>
          <w:rFonts w:ascii="Arial" w:hAnsi="Arial" w:cs="Arial"/>
          <w:sz w:val="24"/>
          <w:szCs w:val="24"/>
        </w:rPr>
        <w:t xml:space="preserve"> 1980 (3) SA 1117 (T) at 1120H).  </w:t>
      </w:r>
      <w:r w:rsidR="00B26135" w:rsidRPr="009663D0">
        <w:rPr>
          <w:rFonts w:ascii="Arial" w:hAnsi="Arial" w:cs="Arial"/>
          <w:sz w:val="24"/>
          <w:szCs w:val="24"/>
        </w:rPr>
        <w:t xml:space="preserve">The respondent relies on the </w:t>
      </w:r>
      <w:r w:rsidR="00E36835" w:rsidRPr="009663D0">
        <w:rPr>
          <w:rFonts w:ascii="Arial" w:hAnsi="Arial" w:cs="Arial"/>
          <w:sz w:val="24"/>
          <w:szCs w:val="24"/>
        </w:rPr>
        <w:t>so called</w:t>
      </w:r>
      <w:r w:rsidR="00B26135" w:rsidRPr="009663D0">
        <w:rPr>
          <w:rFonts w:ascii="Arial" w:hAnsi="Arial" w:cs="Arial"/>
          <w:sz w:val="24"/>
          <w:szCs w:val="24"/>
        </w:rPr>
        <w:t xml:space="preserve"> </w:t>
      </w:r>
      <w:r w:rsidR="00B26135" w:rsidRPr="009663D0">
        <w:rPr>
          <w:rFonts w:ascii="Arial" w:hAnsi="Arial" w:cs="Arial"/>
          <w:i/>
          <w:iCs/>
          <w:sz w:val="24"/>
          <w:szCs w:val="24"/>
        </w:rPr>
        <w:t>Badenhorst</w:t>
      </w:r>
      <w:r w:rsidR="00B26135" w:rsidRPr="009663D0">
        <w:rPr>
          <w:rFonts w:ascii="Arial" w:hAnsi="Arial" w:cs="Arial"/>
          <w:sz w:val="24"/>
          <w:szCs w:val="24"/>
        </w:rPr>
        <w:t xml:space="preserve"> </w:t>
      </w:r>
      <w:r w:rsidR="00E36835" w:rsidRPr="009663D0">
        <w:rPr>
          <w:rFonts w:ascii="Arial" w:hAnsi="Arial" w:cs="Arial"/>
          <w:sz w:val="24"/>
          <w:szCs w:val="24"/>
        </w:rPr>
        <w:t xml:space="preserve">rule </w:t>
      </w:r>
      <w:r w:rsidR="00D424D0" w:rsidRPr="009663D0">
        <w:rPr>
          <w:rFonts w:ascii="Arial" w:hAnsi="Arial" w:cs="Arial"/>
          <w:sz w:val="24"/>
          <w:szCs w:val="24"/>
        </w:rPr>
        <w:t xml:space="preserve">(with reference to </w:t>
      </w:r>
      <w:r w:rsidR="00D424D0" w:rsidRPr="009663D0">
        <w:rPr>
          <w:rFonts w:ascii="Arial" w:hAnsi="Arial" w:cs="Arial"/>
          <w:i/>
          <w:sz w:val="24"/>
          <w:szCs w:val="24"/>
        </w:rPr>
        <w:t>Badenhorst v Northern Enterprises (Pty) Ltd</w:t>
      </w:r>
      <w:r w:rsidR="00D424D0" w:rsidRPr="009663D0">
        <w:rPr>
          <w:rFonts w:ascii="Arial" w:hAnsi="Arial" w:cs="Arial"/>
          <w:sz w:val="24"/>
          <w:szCs w:val="24"/>
        </w:rPr>
        <w:t xml:space="preserve"> 1956 (2) SA 346 (T) at 347H-348C) </w:t>
      </w:r>
      <w:r w:rsidR="00E36835" w:rsidRPr="009663D0">
        <w:rPr>
          <w:rFonts w:ascii="Arial" w:hAnsi="Arial" w:cs="Arial"/>
          <w:sz w:val="24"/>
          <w:szCs w:val="24"/>
        </w:rPr>
        <w:t>which states that a court will refuse an application for the provisional winding-up of a company if the company</w:t>
      </w:r>
      <w:r w:rsidR="00E36835" w:rsidRPr="009663D0">
        <w:rPr>
          <w:rFonts w:ascii="Arial" w:hAnsi="Arial" w:cs="Arial"/>
          <w:i/>
          <w:iCs/>
          <w:sz w:val="24"/>
          <w:szCs w:val="24"/>
        </w:rPr>
        <w:t xml:space="preserve"> bona fide</w:t>
      </w:r>
      <w:r w:rsidR="00E36835" w:rsidRPr="009663D0">
        <w:rPr>
          <w:rFonts w:ascii="Arial" w:hAnsi="Arial" w:cs="Arial"/>
          <w:sz w:val="24"/>
          <w:szCs w:val="24"/>
        </w:rPr>
        <w:t xml:space="preserve"> disputes the applicant’s claim on reasonable grounds.</w:t>
      </w:r>
    </w:p>
    <w:p w14:paraId="594731A7" w14:textId="77777777" w:rsidR="00E36835" w:rsidRPr="009663D0" w:rsidRDefault="00E36835" w:rsidP="009663D0">
      <w:pPr>
        <w:pStyle w:val="ListParagraph"/>
        <w:widowControl w:val="0"/>
        <w:spacing w:line="480" w:lineRule="auto"/>
        <w:jc w:val="both"/>
        <w:rPr>
          <w:rFonts w:ascii="Arial" w:hAnsi="Arial" w:cs="Arial"/>
        </w:rPr>
      </w:pPr>
    </w:p>
    <w:p w14:paraId="4D0E5900" w14:textId="45CF21C0" w:rsidR="00E36835" w:rsidRPr="009663D0" w:rsidRDefault="00E52642" w:rsidP="00E52642">
      <w:pPr>
        <w:pStyle w:val="PlainText"/>
        <w:widowControl w:val="0"/>
        <w:tabs>
          <w:tab w:val="left" w:pos="709"/>
        </w:tabs>
        <w:spacing w:line="480" w:lineRule="auto"/>
        <w:ind w:left="706" w:hanging="709"/>
        <w:jc w:val="both"/>
        <w:rPr>
          <w:rFonts w:ascii="Arial" w:hAnsi="Arial" w:cs="Arial"/>
          <w:sz w:val="24"/>
          <w:szCs w:val="24"/>
        </w:rPr>
      </w:pPr>
      <w:r w:rsidRPr="009663D0">
        <w:rPr>
          <w:rFonts w:ascii="Arial" w:hAnsi="Arial" w:cs="Arial"/>
          <w:sz w:val="24"/>
          <w:szCs w:val="24"/>
        </w:rPr>
        <w:t>40.</w:t>
      </w:r>
      <w:r w:rsidRPr="009663D0">
        <w:rPr>
          <w:rFonts w:ascii="Arial" w:hAnsi="Arial" w:cs="Arial"/>
          <w:sz w:val="24"/>
          <w:szCs w:val="24"/>
        </w:rPr>
        <w:tab/>
      </w:r>
      <w:r w:rsidR="00E36835" w:rsidRPr="009663D0">
        <w:rPr>
          <w:rFonts w:ascii="Arial" w:hAnsi="Arial" w:cs="Arial"/>
          <w:sz w:val="24"/>
          <w:szCs w:val="24"/>
        </w:rPr>
        <w:t xml:space="preserve">This Court considered this issue in </w:t>
      </w:r>
      <w:r w:rsidR="00E36835" w:rsidRPr="009663D0">
        <w:rPr>
          <w:rFonts w:ascii="Arial" w:hAnsi="Arial" w:cs="Arial"/>
          <w:i/>
          <w:sz w:val="24"/>
          <w:szCs w:val="24"/>
        </w:rPr>
        <w:t>Gap Merchant Recycling CC v Goal Reach Trading 55 CC</w:t>
      </w:r>
      <w:r w:rsidR="00D424D0" w:rsidRPr="009663D0">
        <w:rPr>
          <w:rFonts w:ascii="Arial" w:hAnsi="Arial" w:cs="Arial"/>
          <w:sz w:val="24"/>
          <w:szCs w:val="24"/>
        </w:rPr>
        <w:t xml:space="preserve"> 2016 (1) SA 261 (WCC)</w:t>
      </w:r>
      <w:r w:rsidR="00AB0447" w:rsidRPr="009663D0">
        <w:rPr>
          <w:rFonts w:ascii="Arial" w:hAnsi="Arial" w:cs="Arial"/>
          <w:sz w:val="24"/>
          <w:szCs w:val="24"/>
        </w:rPr>
        <w:t xml:space="preserve"> </w:t>
      </w:r>
      <w:r w:rsidR="00E36835" w:rsidRPr="009663D0">
        <w:rPr>
          <w:rFonts w:ascii="Arial" w:hAnsi="Arial" w:cs="Arial"/>
          <w:sz w:val="24"/>
          <w:szCs w:val="24"/>
        </w:rPr>
        <w:t>at paras [26]</w:t>
      </w:r>
      <w:proofErr w:type="gramStart"/>
      <w:r w:rsidR="00E36835" w:rsidRPr="009663D0">
        <w:rPr>
          <w:rFonts w:ascii="Arial" w:hAnsi="Arial" w:cs="Arial"/>
          <w:sz w:val="24"/>
          <w:szCs w:val="24"/>
        </w:rPr>
        <w:t>-[</w:t>
      </w:r>
      <w:proofErr w:type="gramEnd"/>
      <w:r w:rsidR="00E36835" w:rsidRPr="009663D0">
        <w:rPr>
          <w:rFonts w:ascii="Arial" w:hAnsi="Arial" w:cs="Arial"/>
          <w:sz w:val="24"/>
          <w:szCs w:val="24"/>
        </w:rPr>
        <w:t>27]:</w:t>
      </w:r>
    </w:p>
    <w:p w14:paraId="3A792AF2" w14:textId="77777777" w:rsidR="00E36835" w:rsidRPr="009663D0" w:rsidRDefault="00E36835" w:rsidP="009663D0">
      <w:pPr>
        <w:pStyle w:val="ListParagraph"/>
        <w:widowControl w:val="0"/>
        <w:spacing w:line="480" w:lineRule="auto"/>
        <w:jc w:val="both"/>
        <w:rPr>
          <w:rFonts w:ascii="Arial" w:hAnsi="Arial" w:cs="Arial"/>
        </w:rPr>
      </w:pPr>
    </w:p>
    <w:p w14:paraId="55714680" w14:textId="77777777" w:rsidR="00E36835" w:rsidRPr="009663D0" w:rsidRDefault="00E36835" w:rsidP="009663D0">
      <w:pPr>
        <w:pStyle w:val="NormalWeb"/>
        <w:widowControl w:val="0"/>
        <w:shd w:val="clear" w:color="auto" w:fill="FFFFFF"/>
        <w:spacing w:line="480" w:lineRule="auto"/>
        <w:ind w:left="706"/>
        <w:jc w:val="both"/>
        <w:rPr>
          <w:rFonts w:ascii="Arial" w:hAnsi="Arial" w:cs="Arial"/>
          <w:i/>
        </w:rPr>
      </w:pPr>
      <w:r w:rsidRPr="009663D0">
        <w:rPr>
          <w:rFonts w:ascii="Arial" w:hAnsi="Arial" w:cs="Arial"/>
          <w:i/>
        </w:rPr>
        <w:t xml:space="preserve">“I see no reason for adopting a different approach when considering, in liquidation proceedings, whether the applicant’s claim is </w:t>
      </w:r>
      <w:r w:rsidRPr="009663D0">
        <w:rPr>
          <w:rFonts w:ascii="Arial" w:hAnsi="Arial" w:cs="Arial"/>
        </w:rPr>
        <w:t xml:space="preserve">bona fide </w:t>
      </w:r>
      <w:r w:rsidRPr="009663D0">
        <w:rPr>
          <w:rFonts w:ascii="Arial" w:hAnsi="Arial" w:cs="Arial"/>
          <w:i/>
        </w:rPr>
        <w:t xml:space="preserve">disputed on reasonable </w:t>
      </w:r>
      <w:r w:rsidRPr="009663D0">
        <w:rPr>
          <w:rFonts w:ascii="Arial" w:hAnsi="Arial" w:cs="Arial"/>
          <w:i/>
        </w:rPr>
        <w:lastRenderedPageBreak/>
        <w:t xml:space="preserve">grounds. </w:t>
      </w:r>
      <w:r w:rsidRPr="009663D0">
        <w:rPr>
          <w:rFonts w:ascii="Arial" w:hAnsi="Arial" w:cs="Arial"/>
        </w:rPr>
        <w:t>Bona fides</w:t>
      </w:r>
      <w:r w:rsidRPr="009663D0">
        <w:rPr>
          <w:rFonts w:ascii="Arial" w:hAnsi="Arial" w:cs="Arial"/>
          <w:i/>
        </w:rPr>
        <w:t xml:space="preserve"> relates to the respondent’s subjective state of mind while reasonableness has to do with whether, objectively speaking, the facts alleged by the respondent constitute in law a defence. The two elements are nevertheless inter-related because inadequacies in the statement of the facts underlying the alleged defence may indicate that the respondent is not </w:t>
      </w:r>
      <w:r w:rsidRPr="009663D0">
        <w:rPr>
          <w:rFonts w:ascii="Arial" w:hAnsi="Arial" w:cs="Arial"/>
        </w:rPr>
        <w:t>bona fide</w:t>
      </w:r>
      <w:r w:rsidRPr="009663D0">
        <w:rPr>
          <w:rFonts w:ascii="Arial" w:hAnsi="Arial" w:cs="Arial"/>
          <w:i/>
        </w:rPr>
        <w:t xml:space="preserve"> in asserting those facts. As </w:t>
      </w:r>
      <w:r w:rsidRPr="009663D0">
        <w:rPr>
          <w:rFonts w:ascii="Arial" w:hAnsi="Arial" w:cs="Arial"/>
        </w:rPr>
        <w:t>Hülse-Reutter</w:t>
      </w:r>
      <w:r w:rsidRPr="009663D0">
        <w:rPr>
          <w:rFonts w:ascii="Arial" w:hAnsi="Arial" w:cs="Arial"/>
          <w:i/>
        </w:rPr>
        <w:t xml:space="preserve"> makes clear, the objective requirement of reasonable grounds for a defence is not met by bald allegations lacking in particularity; and, as appears from </w:t>
      </w:r>
      <w:r w:rsidRPr="009663D0">
        <w:rPr>
          <w:rFonts w:ascii="Arial" w:hAnsi="Arial" w:cs="Arial"/>
        </w:rPr>
        <w:t>Breitenbach</w:t>
      </w:r>
      <w:r w:rsidRPr="009663D0">
        <w:rPr>
          <w:rFonts w:ascii="Arial" w:hAnsi="Arial" w:cs="Arial"/>
          <w:i/>
        </w:rPr>
        <w:t xml:space="preserve"> and </w:t>
      </w:r>
      <w:r w:rsidRPr="009663D0">
        <w:rPr>
          <w:rFonts w:ascii="Arial" w:hAnsi="Arial" w:cs="Arial"/>
        </w:rPr>
        <w:t>El-Naddaf</w:t>
      </w:r>
      <w:r w:rsidRPr="009663D0">
        <w:rPr>
          <w:rFonts w:ascii="Arial" w:hAnsi="Arial" w:cs="Arial"/>
          <w:i/>
        </w:rPr>
        <w:t xml:space="preserve">, bald allegations lacking in particularity are unlikely to be sufficient to persuade a court that the respondent is </w:t>
      </w:r>
      <w:r w:rsidRPr="009663D0">
        <w:rPr>
          <w:rFonts w:ascii="Arial" w:hAnsi="Arial" w:cs="Arial"/>
        </w:rPr>
        <w:t>bona fide</w:t>
      </w:r>
      <w:r w:rsidRPr="009663D0">
        <w:rPr>
          <w:rFonts w:ascii="Arial" w:hAnsi="Arial" w:cs="Arial"/>
          <w:i/>
        </w:rPr>
        <w:t>.</w:t>
      </w:r>
    </w:p>
    <w:p w14:paraId="75AA8C5D" w14:textId="77777777" w:rsidR="00E36835" w:rsidRPr="009663D0" w:rsidRDefault="00E36835" w:rsidP="009663D0">
      <w:pPr>
        <w:pStyle w:val="NormalWeb"/>
        <w:widowControl w:val="0"/>
        <w:shd w:val="clear" w:color="auto" w:fill="FFFFFF"/>
        <w:spacing w:line="480" w:lineRule="auto"/>
        <w:jc w:val="both"/>
        <w:rPr>
          <w:rFonts w:ascii="Arial" w:hAnsi="Arial" w:cs="Arial"/>
          <w:i/>
        </w:rPr>
      </w:pPr>
      <w:r w:rsidRPr="009663D0">
        <w:rPr>
          <w:rFonts w:ascii="Arial" w:hAnsi="Arial" w:cs="Arial"/>
          <w:i/>
        </w:rPr>
        <w:tab/>
        <w:t>…</w:t>
      </w:r>
    </w:p>
    <w:p w14:paraId="2AD7D342" w14:textId="77777777" w:rsidR="00E36835" w:rsidRPr="009663D0" w:rsidRDefault="00E36835" w:rsidP="009663D0">
      <w:pPr>
        <w:pStyle w:val="NormalWeb"/>
        <w:widowControl w:val="0"/>
        <w:shd w:val="clear" w:color="auto" w:fill="FFFFFF"/>
        <w:spacing w:line="480" w:lineRule="auto"/>
        <w:ind w:left="720"/>
        <w:jc w:val="both"/>
        <w:rPr>
          <w:rFonts w:ascii="Arial" w:hAnsi="Arial" w:cs="Arial"/>
          <w:i/>
        </w:rPr>
      </w:pPr>
      <w:r w:rsidRPr="009663D0">
        <w:rPr>
          <w:rFonts w:ascii="Arial" w:hAnsi="Arial" w:cs="Arial"/>
          <w:i/>
        </w:rPr>
        <w:t>The foregoing discussion treats the</w:t>
      </w:r>
      <w:r w:rsidRPr="009663D0">
        <w:rPr>
          <w:rFonts w:ascii="Arial" w:hAnsi="Arial" w:cs="Arial"/>
        </w:rPr>
        <w:t xml:space="preserve"> Badenhorst </w:t>
      </w:r>
      <w:r w:rsidRPr="009663D0">
        <w:rPr>
          <w:rFonts w:ascii="Arial" w:hAnsi="Arial" w:cs="Arial"/>
          <w:i/>
        </w:rPr>
        <w:t xml:space="preserve">rule as laying down a rigid legal test: if the application is </w:t>
      </w:r>
      <w:r w:rsidRPr="009663D0">
        <w:rPr>
          <w:rFonts w:ascii="Arial" w:hAnsi="Arial" w:cs="Arial"/>
        </w:rPr>
        <w:t>bona fide</w:t>
      </w:r>
      <w:r w:rsidRPr="009663D0">
        <w:rPr>
          <w:rFonts w:ascii="Arial" w:hAnsi="Arial" w:cs="Arial"/>
          <w:i/>
        </w:rPr>
        <w:t xml:space="preserve"> disputed on reasonable grounds, the application must as a rule of law be dismissed. That is far from being settled in our law. In </w:t>
      </w:r>
      <w:r w:rsidRPr="009663D0">
        <w:rPr>
          <w:rFonts w:ascii="Arial" w:hAnsi="Arial" w:cs="Arial"/>
        </w:rPr>
        <w:t>Kalil v Decotex (Pty) Ltd &amp; Another</w:t>
      </w:r>
      <w:r w:rsidRPr="009663D0">
        <w:rPr>
          <w:rStyle w:val="apple-converted-space"/>
          <w:rFonts w:ascii="Arial" w:hAnsi="Arial" w:cs="Arial"/>
          <w:i/>
        </w:rPr>
        <w:t> </w:t>
      </w:r>
      <w:hyperlink r:id="rId11" w:tooltip="View LawCiteRecord" w:history="1">
        <w:r w:rsidRPr="009663D0">
          <w:rPr>
            <w:rStyle w:val="Hyperlink"/>
            <w:rFonts w:ascii="Arial" w:hAnsi="Arial" w:cs="Arial"/>
            <w:i/>
            <w:color w:val="auto"/>
            <w:u w:val="none"/>
          </w:rPr>
          <w:t>1988 (1) SA 943</w:t>
        </w:r>
      </w:hyperlink>
      <w:r w:rsidRPr="009663D0">
        <w:rPr>
          <w:rStyle w:val="apple-converted-space"/>
          <w:rFonts w:ascii="Arial" w:hAnsi="Arial" w:cs="Arial"/>
          <w:i/>
        </w:rPr>
        <w:t> </w:t>
      </w:r>
      <w:r w:rsidRPr="009663D0">
        <w:rPr>
          <w:rFonts w:ascii="Arial" w:hAnsi="Arial" w:cs="Arial"/>
          <w:i/>
        </w:rPr>
        <w:t>(A) Corbett JA, after listing a number of decisions in which the rule in slightly varying formulations had been adopted, said the following (at 980F-I):</w:t>
      </w:r>
    </w:p>
    <w:p w14:paraId="364E9EEA" w14:textId="21673C17" w:rsidR="00E36835" w:rsidRPr="009663D0" w:rsidRDefault="00E36835" w:rsidP="009663D0">
      <w:pPr>
        <w:pStyle w:val="NormalWeb"/>
        <w:widowControl w:val="0"/>
        <w:shd w:val="clear" w:color="auto" w:fill="FFFFFF"/>
        <w:spacing w:line="480" w:lineRule="auto"/>
        <w:ind w:left="720"/>
        <w:jc w:val="both"/>
        <w:rPr>
          <w:rFonts w:ascii="Arial" w:hAnsi="Arial" w:cs="Arial"/>
          <w:i/>
        </w:rPr>
      </w:pPr>
      <w:r w:rsidRPr="009663D0">
        <w:rPr>
          <w:rFonts w:ascii="Arial" w:hAnsi="Arial" w:cs="Arial"/>
          <w:i/>
        </w:rPr>
        <w:t xml:space="preserve">‘This rule would tend to cut across the general approach to applications for a provisional order for winding-up which I have outlined above as it is conceivable that the situation might arise that the applicant could show a balance of probabilities in his favour on the affidavits, while at the same time the respondent established that its indebtedness to the applicant was disputed on </w:t>
      </w:r>
      <w:r w:rsidRPr="009663D0">
        <w:rPr>
          <w:rFonts w:ascii="Arial" w:hAnsi="Arial" w:cs="Arial"/>
        </w:rPr>
        <w:t>bona fide</w:t>
      </w:r>
      <w:r w:rsidRPr="009663D0">
        <w:rPr>
          <w:rFonts w:ascii="Arial" w:hAnsi="Arial" w:cs="Arial"/>
          <w:i/>
        </w:rPr>
        <w:t xml:space="preserve"> and reasonable grounds. Whether the </w:t>
      </w:r>
      <w:r w:rsidRPr="009663D0">
        <w:rPr>
          <w:rFonts w:ascii="Arial" w:hAnsi="Arial" w:cs="Arial"/>
        </w:rPr>
        <w:t xml:space="preserve">Badenhorst </w:t>
      </w:r>
      <w:r w:rsidRPr="009663D0">
        <w:rPr>
          <w:rFonts w:ascii="Arial" w:hAnsi="Arial" w:cs="Arial"/>
          <w:i/>
        </w:rPr>
        <w:t xml:space="preserve">rule should be accepted then as an exception to the general approach relating specifically to the </w:t>
      </w:r>
      <w:r w:rsidRPr="009663D0">
        <w:rPr>
          <w:rFonts w:ascii="Arial" w:hAnsi="Arial" w:cs="Arial"/>
        </w:rPr>
        <w:t>locus standi</w:t>
      </w:r>
      <w:r w:rsidRPr="009663D0">
        <w:rPr>
          <w:rFonts w:ascii="Arial" w:hAnsi="Arial" w:cs="Arial"/>
          <w:i/>
        </w:rPr>
        <w:t xml:space="preserve"> of the applicant as a creditor, and the further question as to whether it should be applied inflexibly or only when it appears that the applicant is in effect abusing the winding-up procedure by using it as a means </w:t>
      </w:r>
      <w:r w:rsidRPr="009663D0">
        <w:rPr>
          <w:rFonts w:ascii="Arial" w:hAnsi="Arial" w:cs="Arial"/>
          <w:i/>
        </w:rPr>
        <w:lastRenderedPageBreak/>
        <w:t xml:space="preserve">of putting pressure on the company to pay a debt which is </w:t>
      </w:r>
      <w:r w:rsidRPr="009663D0">
        <w:rPr>
          <w:rFonts w:ascii="Arial" w:hAnsi="Arial" w:cs="Arial"/>
        </w:rPr>
        <w:t>bona fide</w:t>
      </w:r>
      <w:r w:rsidRPr="009663D0">
        <w:rPr>
          <w:rFonts w:ascii="Arial" w:hAnsi="Arial" w:cs="Arial"/>
          <w:i/>
        </w:rPr>
        <w:t xml:space="preserve"> disputed</w:t>
      </w:r>
      <w:r w:rsidR="00D424D0" w:rsidRPr="009663D0">
        <w:rPr>
          <w:rFonts w:ascii="Arial" w:hAnsi="Arial" w:cs="Arial"/>
          <w:i/>
        </w:rPr>
        <w:t xml:space="preserve"> …</w:t>
      </w:r>
      <w:r w:rsidRPr="009663D0">
        <w:rPr>
          <w:rFonts w:ascii="Arial" w:hAnsi="Arial" w:cs="Arial"/>
          <w:i/>
        </w:rPr>
        <w:t xml:space="preserve"> need not, however, be decided in this case. The point was not argued before us and, as I shall show, it seems to me that for various reasons the </w:t>
      </w:r>
      <w:r w:rsidRPr="009663D0">
        <w:rPr>
          <w:rFonts w:ascii="Arial" w:hAnsi="Arial" w:cs="Arial"/>
        </w:rPr>
        <w:t>Badenhorst</w:t>
      </w:r>
      <w:r w:rsidRPr="009663D0">
        <w:rPr>
          <w:rFonts w:ascii="Arial" w:hAnsi="Arial" w:cs="Arial"/>
          <w:i/>
        </w:rPr>
        <w:t xml:space="preserve"> rule should not be applied here.’”</w:t>
      </w:r>
    </w:p>
    <w:p w14:paraId="01334337" w14:textId="77777777" w:rsidR="00E36835" w:rsidRPr="009663D0" w:rsidRDefault="00E36835" w:rsidP="009663D0">
      <w:pPr>
        <w:pStyle w:val="ListParagraph"/>
        <w:widowControl w:val="0"/>
        <w:spacing w:line="480" w:lineRule="auto"/>
        <w:jc w:val="both"/>
        <w:rPr>
          <w:rFonts w:ascii="Arial" w:hAnsi="Arial" w:cs="Arial"/>
        </w:rPr>
      </w:pPr>
    </w:p>
    <w:p w14:paraId="26A63E0B" w14:textId="0CEB9C12" w:rsidR="00E36835" w:rsidRPr="009663D0" w:rsidRDefault="00E52642" w:rsidP="00E52642">
      <w:pPr>
        <w:pStyle w:val="XClause1Head"/>
        <w:widowControl w:val="0"/>
        <w:numPr>
          <w:ilvl w:val="0"/>
          <w:numId w:val="0"/>
        </w:numPr>
        <w:tabs>
          <w:tab w:val="left" w:pos="709"/>
        </w:tabs>
        <w:spacing w:after="0" w:line="480" w:lineRule="auto"/>
        <w:ind w:left="709" w:hanging="709"/>
        <w:rPr>
          <w:rFonts w:cs="Arial"/>
          <w:sz w:val="24"/>
          <w:szCs w:val="24"/>
        </w:rPr>
      </w:pPr>
      <w:r w:rsidRPr="009663D0">
        <w:rPr>
          <w:rFonts w:cs="Arial"/>
          <w:sz w:val="24"/>
          <w:szCs w:val="24"/>
        </w:rPr>
        <w:t>41.</w:t>
      </w:r>
      <w:r w:rsidRPr="009663D0">
        <w:rPr>
          <w:rFonts w:cs="Arial"/>
          <w:sz w:val="24"/>
          <w:szCs w:val="24"/>
        </w:rPr>
        <w:tab/>
      </w:r>
      <w:r w:rsidR="00E36835" w:rsidRPr="009663D0">
        <w:rPr>
          <w:rFonts w:cs="Arial"/>
          <w:sz w:val="24"/>
          <w:szCs w:val="24"/>
        </w:rPr>
        <w:t>Incidentally, the Court also referred</w:t>
      </w:r>
      <w:r w:rsidR="00D424D0" w:rsidRPr="009663D0">
        <w:rPr>
          <w:rStyle w:val="FootnoteReference"/>
          <w:rFonts w:cs="Arial"/>
          <w:sz w:val="24"/>
          <w:szCs w:val="24"/>
        </w:rPr>
        <w:t xml:space="preserve"> </w:t>
      </w:r>
      <w:r w:rsidR="00D424D0" w:rsidRPr="009663D0">
        <w:rPr>
          <w:rFonts w:cs="Arial"/>
          <w:sz w:val="24"/>
          <w:szCs w:val="24"/>
        </w:rPr>
        <w:t xml:space="preserve">at para [28] </w:t>
      </w:r>
      <w:r w:rsidR="00E36835" w:rsidRPr="009663D0">
        <w:rPr>
          <w:rFonts w:cs="Arial"/>
          <w:sz w:val="24"/>
          <w:szCs w:val="24"/>
        </w:rPr>
        <w:t>to the opinion expressed in recent case law in this Court that the</w:t>
      </w:r>
      <w:r w:rsidR="00D424D0" w:rsidRPr="009663D0">
        <w:rPr>
          <w:rFonts w:cs="Arial"/>
          <w:sz w:val="24"/>
          <w:szCs w:val="24"/>
        </w:rPr>
        <w:t xml:space="preserve"> </w:t>
      </w:r>
      <w:r w:rsidR="00E36835" w:rsidRPr="009663D0">
        <w:rPr>
          <w:rFonts w:cs="Arial"/>
          <w:i/>
          <w:sz w:val="24"/>
          <w:szCs w:val="24"/>
        </w:rPr>
        <w:t xml:space="preserve">Badenhorst </w:t>
      </w:r>
      <w:r w:rsidR="00E36835" w:rsidRPr="009663D0">
        <w:rPr>
          <w:rFonts w:cs="Arial"/>
          <w:sz w:val="24"/>
          <w:szCs w:val="24"/>
        </w:rPr>
        <w:t xml:space="preserve">rule, </w:t>
      </w:r>
      <w:r w:rsidR="00D424D0" w:rsidRPr="009663D0">
        <w:rPr>
          <w:rFonts w:cs="Arial"/>
          <w:sz w:val="24"/>
          <w:szCs w:val="24"/>
        </w:rPr>
        <w:t xml:space="preserve">to the effect </w:t>
      </w:r>
      <w:r w:rsidR="00E36835" w:rsidRPr="009663D0">
        <w:rPr>
          <w:rFonts w:cs="Arial"/>
          <w:sz w:val="24"/>
          <w:szCs w:val="24"/>
        </w:rPr>
        <w:t>that winding-up proceedings should not be resorted to as a means of enforcing payment of a debt the existence of which is</w:t>
      </w:r>
      <w:r w:rsidR="00E36835" w:rsidRPr="009663D0">
        <w:rPr>
          <w:rFonts w:cs="Arial"/>
          <w:i/>
          <w:sz w:val="24"/>
          <w:szCs w:val="24"/>
        </w:rPr>
        <w:t xml:space="preserve"> bona fide</w:t>
      </w:r>
      <w:r w:rsidR="00E36835" w:rsidRPr="009663D0">
        <w:rPr>
          <w:rFonts w:cs="Arial"/>
          <w:sz w:val="24"/>
          <w:szCs w:val="24"/>
        </w:rPr>
        <w:t xml:space="preserve"> disputed on reasonable grounds, may not go to </w:t>
      </w:r>
      <w:r w:rsidR="00E36835" w:rsidRPr="009663D0">
        <w:rPr>
          <w:rFonts w:cs="Arial"/>
          <w:i/>
          <w:sz w:val="24"/>
          <w:szCs w:val="24"/>
        </w:rPr>
        <w:t>locus standi</w:t>
      </w:r>
      <w:r w:rsidR="00E36835" w:rsidRPr="009663D0">
        <w:rPr>
          <w:rFonts w:cs="Arial"/>
          <w:sz w:val="24"/>
          <w:szCs w:val="24"/>
        </w:rPr>
        <w:t>, and that it is rather a self-standing and possibly flexible principle.</w:t>
      </w:r>
      <w:r w:rsidR="009164ED" w:rsidRPr="009663D0">
        <w:rPr>
          <w:rFonts w:cs="Arial"/>
          <w:sz w:val="24"/>
          <w:szCs w:val="24"/>
        </w:rPr>
        <w:t xml:space="preserve">  See also the discussion of the rule in </w:t>
      </w:r>
      <w:r w:rsidR="009164ED" w:rsidRPr="009663D0">
        <w:rPr>
          <w:rFonts w:cs="Arial"/>
          <w:i/>
          <w:iCs/>
          <w:sz w:val="24"/>
          <w:szCs w:val="24"/>
        </w:rPr>
        <w:t>Orestisolve (Pty) Ltd t/a Essa Investments v NDFT Investment Holdings (Pty) Ltd and another</w:t>
      </w:r>
      <w:r w:rsidR="009164ED" w:rsidRPr="009663D0">
        <w:rPr>
          <w:rFonts w:cs="Arial"/>
          <w:sz w:val="24"/>
          <w:szCs w:val="24"/>
        </w:rPr>
        <w:t xml:space="preserve"> 2015 (4) SA 499 (WCC) at paras [7] to [13], and </w:t>
      </w:r>
      <w:r w:rsidR="009164ED" w:rsidRPr="009663D0">
        <w:rPr>
          <w:rFonts w:cs="Arial"/>
          <w:i/>
          <w:iCs/>
          <w:sz w:val="24"/>
          <w:szCs w:val="24"/>
        </w:rPr>
        <w:t>Trinity Asset Management (Pty) Ltd v Grindstone Investments 132 (Pty) Ltd</w:t>
      </w:r>
      <w:r w:rsidR="009164ED" w:rsidRPr="009663D0">
        <w:rPr>
          <w:rFonts w:cs="Arial"/>
          <w:sz w:val="24"/>
          <w:szCs w:val="24"/>
        </w:rPr>
        <w:t xml:space="preserve"> 2018 (1) SA 94 (CC) at paras </w:t>
      </w:r>
      <w:r w:rsidR="00D153C8" w:rsidRPr="009663D0">
        <w:rPr>
          <w:rFonts w:cs="Arial"/>
          <w:sz w:val="24"/>
          <w:szCs w:val="24"/>
        </w:rPr>
        <w:t>[92] to [93]</w:t>
      </w:r>
      <w:r w:rsidR="009164ED" w:rsidRPr="009663D0">
        <w:rPr>
          <w:rFonts w:cs="Arial"/>
          <w:sz w:val="24"/>
          <w:szCs w:val="24"/>
        </w:rPr>
        <w:t>.</w:t>
      </w:r>
    </w:p>
    <w:p w14:paraId="52A6F427" w14:textId="77777777" w:rsidR="00E36835" w:rsidRPr="009663D0" w:rsidRDefault="00E36835" w:rsidP="009663D0">
      <w:pPr>
        <w:pStyle w:val="ListParagraph"/>
        <w:widowControl w:val="0"/>
        <w:spacing w:line="480" w:lineRule="auto"/>
        <w:rPr>
          <w:rFonts w:ascii="Arial" w:hAnsi="Arial" w:cs="Arial"/>
        </w:rPr>
      </w:pPr>
    </w:p>
    <w:p w14:paraId="329E7517" w14:textId="1C192D4D" w:rsidR="00B26135" w:rsidRPr="009663D0" w:rsidRDefault="00E52642" w:rsidP="00E52642">
      <w:pPr>
        <w:pStyle w:val="PlainText"/>
        <w:widowControl w:val="0"/>
        <w:tabs>
          <w:tab w:val="left" w:pos="709"/>
        </w:tabs>
        <w:spacing w:line="480" w:lineRule="auto"/>
        <w:ind w:left="706" w:hanging="709"/>
        <w:jc w:val="both"/>
        <w:rPr>
          <w:rFonts w:ascii="Arial" w:hAnsi="Arial" w:cs="Arial"/>
          <w:sz w:val="24"/>
          <w:szCs w:val="24"/>
        </w:rPr>
      </w:pPr>
      <w:r w:rsidRPr="009663D0">
        <w:rPr>
          <w:rFonts w:ascii="Arial" w:hAnsi="Arial" w:cs="Arial"/>
          <w:sz w:val="24"/>
          <w:szCs w:val="24"/>
        </w:rPr>
        <w:t>42.</w:t>
      </w:r>
      <w:r w:rsidRPr="009663D0">
        <w:rPr>
          <w:rFonts w:ascii="Arial" w:hAnsi="Arial" w:cs="Arial"/>
          <w:sz w:val="24"/>
          <w:szCs w:val="24"/>
        </w:rPr>
        <w:tab/>
      </w:r>
      <w:r w:rsidR="00AB0447" w:rsidRPr="009663D0">
        <w:rPr>
          <w:rFonts w:ascii="Arial" w:hAnsi="Arial" w:cs="Arial"/>
          <w:sz w:val="24"/>
          <w:szCs w:val="24"/>
        </w:rPr>
        <w:t>In the present case, t</w:t>
      </w:r>
      <w:r w:rsidR="00B26135" w:rsidRPr="009663D0">
        <w:rPr>
          <w:rFonts w:ascii="Arial" w:hAnsi="Arial" w:cs="Arial"/>
          <w:sz w:val="24"/>
          <w:szCs w:val="24"/>
        </w:rPr>
        <w:t>he respondent’s contingent claim against the applicant is an unliquidated claim, and a remote one at that for reasons set out earlier, dependent on the divorce court eventually making a finding in favour of the respondent.</w:t>
      </w:r>
    </w:p>
    <w:p w14:paraId="03FED01F" w14:textId="77777777" w:rsidR="00B26135" w:rsidRPr="009663D0" w:rsidRDefault="00B26135" w:rsidP="009663D0">
      <w:pPr>
        <w:pStyle w:val="PlainText"/>
        <w:widowControl w:val="0"/>
        <w:spacing w:line="480" w:lineRule="auto"/>
        <w:ind w:left="706"/>
        <w:jc w:val="both"/>
        <w:rPr>
          <w:rFonts w:ascii="Arial" w:hAnsi="Arial" w:cs="Arial"/>
          <w:sz w:val="24"/>
          <w:szCs w:val="24"/>
        </w:rPr>
      </w:pPr>
    </w:p>
    <w:p w14:paraId="6182E3CA" w14:textId="68DFB098" w:rsidR="00B26135" w:rsidRPr="009663D0" w:rsidRDefault="00E52642" w:rsidP="00E52642">
      <w:pPr>
        <w:pStyle w:val="PlainText"/>
        <w:widowControl w:val="0"/>
        <w:tabs>
          <w:tab w:val="left" w:pos="709"/>
        </w:tabs>
        <w:spacing w:line="480" w:lineRule="auto"/>
        <w:ind w:left="706" w:hanging="709"/>
        <w:jc w:val="both"/>
        <w:rPr>
          <w:rFonts w:ascii="Arial" w:hAnsi="Arial" w:cs="Arial"/>
          <w:sz w:val="24"/>
          <w:szCs w:val="24"/>
        </w:rPr>
      </w:pPr>
      <w:r w:rsidRPr="009663D0">
        <w:rPr>
          <w:rFonts w:ascii="Arial" w:hAnsi="Arial" w:cs="Arial"/>
          <w:sz w:val="24"/>
          <w:szCs w:val="24"/>
        </w:rPr>
        <w:t>43.</w:t>
      </w:r>
      <w:r w:rsidRPr="009663D0">
        <w:rPr>
          <w:rFonts w:ascii="Arial" w:hAnsi="Arial" w:cs="Arial"/>
          <w:sz w:val="24"/>
          <w:szCs w:val="24"/>
        </w:rPr>
        <w:tab/>
      </w:r>
      <w:r w:rsidR="00B26135" w:rsidRPr="009663D0">
        <w:rPr>
          <w:rFonts w:ascii="Arial" w:hAnsi="Arial" w:cs="Arial"/>
          <w:sz w:val="24"/>
          <w:szCs w:val="24"/>
        </w:rPr>
        <w:t xml:space="preserve">In contrast, the applicant has an admitted liquidated claim in the sum of R4,5 million, based on the written loan agreement concluded between the applicant and the respondent on 22 October 2014. As mentioned previously, at the hearing of the Rule 43 application the respondent’s counsel, with the respondent in attendance at court, conceded that the latter would become liable to repay the R4,5 million loan to the applicant on the date on which transfer of Erf </w:t>
      </w:r>
      <w:r w:rsidR="003210AD">
        <w:rPr>
          <w:rFonts w:ascii="Arial" w:hAnsi="Arial" w:cs="Arial"/>
          <w:sz w:val="24"/>
          <w:szCs w:val="24"/>
        </w:rPr>
        <w:t>[…]</w:t>
      </w:r>
      <w:r w:rsidR="00B26135" w:rsidRPr="009663D0">
        <w:rPr>
          <w:rFonts w:ascii="Arial" w:hAnsi="Arial" w:cs="Arial"/>
          <w:sz w:val="24"/>
          <w:szCs w:val="24"/>
        </w:rPr>
        <w:t xml:space="preserve"> was registered.  The loan was </w:t>
      </w:r>
      <w:r w:rsidR="00B26135" w:rsidRPr="009663D0">
        <w:rPr>
          <w:rFonts w:ascii="Arial" w:hAnsi="Arial" w:cs="Arial"/>
          <w:sz w:val="24"/>
          <w:szCs w:val="24"/>
        </w:rPr>
        <w:lastRenderedPageBreak/>
        <w:t>admitted in the respondent’s pleadings.  The respondent was required to repay the loan on 27 July 2021, which he failed to do.</w:t>
      </w:r>
      <w:r w:rsidR="003167C2" w:rsidRPr="009663D0">
        <w:rPr>
          <w:rFonts w:ascii="Arial" w:hAnsi="Arial" w:cs="Arial"/>
          <w:sz w:val="24"/>
          <w:szCs w:val="24"/>
        </w:rPr>
        <w:t xml:space="preserve">  He used the funds for his own purposes.</w:t>
      </w:r>
    </w:p>
    <w:p w14:paraId="48DF1E69" w14:textId="77777777" w:rsidR="00B26135" w:rsidRPr="009663D0" w:rsidRDefault="00B26135" w:rsidP="009663D0">
      <w:pPr>
        <w:pStyle w:val="ListParagraph"/>
        <w:widowControl w:val="0"/>
        <w:spacing w:line="480" w:lineRule="auto"/>
        <w:rPr>
          <w:rFonts w:ascii="Arial" w:hAnsi="Arial" w:cs="Arial"/>
        </w:rPr>
      </w:pPr>
    </w:p>
    <w:p w14:paraId="61A9D6C6" w14:textId="7F928A56" w:rsidR="005A565D" w:rsidRPr="009663D0" w:rsidRDefault="00E52642" w:rsidP="00E52642">
      <w:pPr>
        <w:pStyle w:val="PlainText"/>
        <w:widowControl w:val="0"/>
        <w:tabs>
          <w:tab w:val="left" w:pos="709"/>
        </w:tabs>
        <w:spacing w:line="480" w:lineRule="auto"/>
        <w:ind w:left="706" w:hanging="709"/>
        <w:jc w:val="both"/>
        <w:rPr>
          <w:rFonts w:ascii="Arial" w:hAnsi="Arial" w:cs="Arial"/>
          <w:sz w:val="24"/>
          <w:szCs w:val="24"/>
        </w:rPr>
      </w:pPr>
      <w:r w:rsidRPr="009663D0">
        <w:rPr>
          <w:rFonts w:ascii="Arial" w:hAnsi="Arial" w:cs="Arial"/>
          <w:sz w:val="24"/>
          <w:szCs w:val="24"/>
        </w:rPr>
        <w:t>44.</w:t>
      </w:r>
      <w:r w:rsidRPr="009663D0">
        <w:rPr>
          <w:rFonts w:ascii="Arial" w:hAnsi="Arial" w:cs="Arial"/>
          <w:sz w:val="24"/>
          <w:szCs w:val="24"/>
        </w:rPr>
        <w:tab/>
      </w:r>
      <w:r w:rsidR="00336B06" w:rsidRPr="009663D0">
        <w:rPr>
          <w:rFonts w:ascii="Arial" w:hAnsi="Arial" w:cs="Arial"/>
          <w:sz w:val="24"/>
          <w:szCs w:val="24"/>
        </w:rPr>
        <w:t xml:space="preserve">In the circumstances, </w:t>
      </w:r>
      <w:r w:rsidR="003167C2" w:rsidRPr="009663D0">
        <w:rPr>
          <w:rFonts w:ascii="Arial" w:hAnsi="Arial" w:cs="Arial"/>
          <w:sz w:val="24"/>
          <w:szCs w:val="24"/>
        </w:rPr>
        <w:t xml:space="preserve">I am of the view that </w:t>
      </w:r>
      <w:r w:rsidR="00336B06" w:rsidRPr="009663D0">
        <w:rPr>
          <w:rFonts w:ascii="Arial" w:hAnsi="Arial" w:cs="Arial"/>
          <w:sz w:val="24"/>
          <w:szCs w:val="24"/>
        </w:rPr>
        <w:t xml:space="preserve">the respondent cannot dispute his indebtedness to the applicant on </w:t>
      </w:r>
      <w:r w:rsidR="00336B06" w:rsidRPr="009663D0">
        <w:rPr>
          <w:rFonts w:ascii="Arial" w:hAnsi="Arial" w:cs="Arial"/>
          <w:i/>
          <w:iCs/>
          <w:sz w:val="24"/>
          <w:szCs w:val="24"/>
        </w:rPr>
        <w:t xml:space="preserve">bona fide </w:t>
      </w:r>
      <w:r w:rsidR="00336B06" w:rsidRPr="009663D0">
        <w:rPr>
          <w:rFonts w:ascii="Arial" w:hAnsi="Arial" w:cs="Arial"/>
          <w:sz w:val="24"/>
          <w:szCs w:val="24"/>
        </w:rPr>
        <w:t>and reasonable grounds. His unliquidated contingent claim does not constitute a defence on reasonable grounds for the purposes of section 10 of the Insolvency Act. There is no basis on the papers for me to exercise my residual discretion in the respondent’s favour</w:t>
      </w:r>
      <w:r w:rsidR="008D3701" w:rsidRPr="009663D0">
        <w:rPr>
          <w:rFonts w:ascii="Arial" w:hAnsi="Arial" w:cs="Arial"/>
          <w:sz w:val="24"/>
          <w:szCs w:val="24"/>
        </w:rPr>
        <w:t xml:space="preserve"> </w:t>
      </w:r>
      <w:r w:rsidR="003167C2" w:rsidRPr="009663D0">
        <w:rPr>
          <w:rFonts w:ascii="Arial" w:hAnsi="Arial" w:cs="Arial"/>
          <w:sz w:val="24"/>
          <w:szCs w:val="24"/>
        </w:rPr>
        <w:t>in the face of</w:t>
      </w:r>
      <w:r w:rsidR="008D3701" w:rsidRPr="009663D0">
        <w:rPr>
          <w:rFonts w:ascii="Arial" w:hAnsi="Arial" w:cs="Arial"/>
          <w:sz w:val="24"/>
          <w:szCs w:val="24"/>
        </w:rPr>
        <w:t xml:space="preserve"> the applicant’s fulfilment of the requirements of section 10</w:t>
      </w:r>
      <w:r w:rsidR="00C4175B">
        <w:rPr>
          <w:rFonts w:ascii="Arial" w:hAnsi="Arial" w:cs="Arial"/>
          <w:sz w:val="24"/>
          <w:szCs w:val="24"/>
        </w:rPr>
        <w:t xml:space="preserve"> (see </w:t>
      </w:r>
      <w:r w:rsidR="00C4175B" w:rsidRPr="00C4175B">
        <w:rPr>
          <w:rFonts w:ascii="Arial" w:hAnsi="Arial" w:cs="Arial"/>
          <w:i/>
          <w:iCs/>
          <w:sz w:val="24"/>
          <w:szCs w:val="24"/>
        </w:rPr>
        <w:t>Firstrand Bank v Evans</w:t>
      </w:r>
      <w:r w:rsidR="00C4175B">
        <w:rPr>
          <w:rFonts w:ascii="Arial" w:hAnsi="Arial" w:cs="Arial"/>
          <w:sz w:val="24"/>
          <w:szCs w:val="24"/>
        </w:rPr>
        <w:t xml:space="preserve"> 2011 (4) SA 597 (KZD) at paras [27] and [33]; </w:t>
      </w:r>
      <w:r w:rsidR="00C4175B" w:rsidRPr="00C4175B">
        <w:rPr>
          <w:rFonts w:ascii="Arial" w:hAnsi="Arial" w:cs="Arial"/>
          <w:i/>
          <w:iCs/>
          <w:sz w:val="24"/>
          <w:szCs w:val="24"/>
        </w:rPr>
        <w:t xml:space="preserve">Investec Bank v Lambrechts </w:t>
      </w:r>
      <w:r w:rsidR="00C4175B">
        <w:rPr>
          <w:rFonts w:ascii="Arial" w:hAnsi="Arial" w:cs="Arial"/>
          <w:sz w:val="24"/>
          <w:szCs w:val="24"/>
        </w:rPr>
        <w:t>2019 (5) SA 179 (WCC) at para [60])</w:t>
      </w:r>
      <w:r w:rsidR="00336B06" w:rsidRPr="009663D0">
        <w:rPr>
          <w:rFonts w:ascii="Arial" w:hAnsi="Arial" w:cs="Arial"/>
          <w:sz w:val="24"/>
          <w:szCs w:val="24"/>
        </w:rPr>
        <w:t>.</w:t>
      </w:r>
    </w:p>
    <w:p w14:paraId="4BA15EAB" w14:textId="77777777" w:rsidR="005A565D" w:rsidRPr="009663D0" w:rsidRDefault="005A565D" w:rsidP="009663D0">
      <w:pPr>
        <w:pStyle w:val="ListParagraph"/>
        <w:widowControl w:val="0"/>
        <w:spacing w:line="480" w:lineRule="auto"/>
        <w:rPr>
          <w:rFonts w:ascii="Arial" w:hAnsi="Arial" w:cs="Arial"/>
        </w:rPr>
      </w:pPr>
    </w:p>
    <w:p w14:paraId="27C36A84" w14:textId="7A1B2CCC" w:rsidR="005A565D" w:rsidRPr="009663D0" w:rsidRDefault="00E52642" w:rsidP="00E52642">
      <w:pPr>
        <w:pStyle w:val="PlainText"/>
        <w:widowControl w:val="0"/>
        <w:tabs>
          <w:tab w:val="left" w:pos="709"/>
        </w:tabs>
        <w:spacing w:line="480" w:lineRule="auto"/>
        <w:ind w:left="706" w:hanging="709"/>
        <w:jc w:val="both"/>
        <w:rPr>
          <w:rFonts w:ascii="Arial" w:hAnsi="Arial" w:cs="Arial"/>
          <w:sz w:val="24"/>
          <w:szCs w:val="24"/>
        </w:rPr>
      </w:pPr>
      <w:r w:rsidRPr="009663D0">
        <w:rPr>
          <w:rFonts w:ascii="Arial" w:hAnsi="Arial" w:cs="Arial"/>
          <w:sz w:val="24"/>
          <w:szCs w:val="24"/>
        </w:rPr>
        <w:t>45.</w:t>
      </w:r>
      <w:r w:rsidRPr="009663D0">
        <w:rPr>
          <w:rFonts w:ascii="Arial" w:hAnsi="Arial" w:cs="Arial"/>
          <w:sz w:val="24"/>
          <w:szCs w:val="24"/>
        </w:rPr>
        <w:tab/>
      </w:r>
      <w:r w:rsidR="005A565D" w:rsidRPr="009663D0">
        <w:rPr>
          <w:rFonts w:ascii="Arial" w:hAnsi="Arial" w:cs="Arial"/>
          <w:sz w:val="24"/>
          <w:szCs w:val="24"/>
        </w:rPr>
        <w:t>The applicant denies that the parties had concluded personal loan agreements in respect of any funds given to her during the course of the marriage. She alleges that the funds paid to her were gifts, as the respondent was at that stage very wealthy and generous towards the applicant, whom he at that stage appreciated had given up her career to make a home and raise their two children.  This is plausible evidence</w:t>
      </w:r>
      <w:r w:rsidR="00F3121C" w:rsidRPr="009663D0">
        <w:rPr>
          <w:rFonts w:ascii="Arial" w:hAnsi="Arial" w:cs="Arial"/>
          <w:sz w:val="24"/>
          <w:szCs w:val="24"/>
        </w:rPr>
        <w:t>, given the relationship that had existed between them at the time</w:t>
      </w:r>
      <w:r w:rsidR="005A565D" w:rsidRPr="009663D0">
        <w:rPr>
          <w:rFonts w:ascii="Arial" w:hAnsi="Arial" w:cs="Arial"/>
          <w:sz w:val="24"/>
          <w:szCs w:val="24"/>
        </w:rPr>
        <w:t>.</w:t>
      </w:r>
    </w:p>
    <w:p w14:paraId="0EDA1303" w14:textId="77777777" w:rsidR="005A565D" w:rsidRPr="009663D0" w:rsidRDefault="005A565D" w:rsidP="009663D0">
      <w:pPr>
        <w:pStyle w:val="ListParagraph"/>
        <w:widowControl w:val="0"/>
        <w:spacing w:line="480" w:lineRule="auto"/>
        <w:rPr>
          <w:rFonts w:ascii="Arial" w:hAnsi="Arial" w:cs="Arial"/>
        </w:rPr>
      </w:pPr>
    </w:p>
    <w:p w14:paraId="300F2569" w14:textId="33B677B5" w:rsidR="005A565D" w:rsidRPr="009663D0" w:rsidRDefault="00E52642" w:rsidP="00E52642">
      <w:pPr>
        <w:pStyle w:val="PlainText"/>
        <w:widowControl w:val="0"/>
        <w:tabs>
          <w:tab w:val="left" w:pos="709"/>
        </w:tabs>
        <w:spacing w:line="480" w:lineRule="auto"/>
        <w:ind w:left="706" w:hanging="709"/>
        <w:jc w:val="both"/>
        <w:rPr>
          <w:rFonts w:ascii="Arial" w:hAnsi="Arial" w:cs="Arial"/>
          <w:sz w:val="24"/>
          <w:szCs w:val="24"/>
        </w:rPr>
      </w:pPr>
      <w:r w:rsidRPr="009663D0">
        <w:rPr>
          <w:rFonts w:ascii="Arial" w:hAnsi="Arial" w:cs="Arial"/>
          <w:sz w:val="24"/>
          <w:szCs w:val="24"/>
        </w:rPr>
        <w:t>46.</w:t>
      </w:r>
      <w:r w:rsidRPr="009663D0">
        <w:rPr>
          <w:rFonts w:ascii="Arial" w:hAnsi="Arial" w:cs="Arial"/>
          <w:sz w:val="24"/>
          <w:szCs w:val="24"/>
        </w:rPr>
        <w:tab/>
      </w:r>
      <w:r w:rsidR="005A565D" w:rsidRPr="009663D0">
        <w:rPr>
          <w:rFonts w:ascii="Arial" w:hAnsi="Arial" w:cs="Arial"/>
          <w:sz w:val="24"/>
          <w:szCs w:val="24"/>
        </w:rPr>
        <w:t xml:space="preserve">Where </w:t>
      </w:r>
      <w:r w:rsidR="00794411" w:rsidRPr="009663D0">
        <w:rPr>
          <w:rFonts w:ascii="Arial" w:hAnsi="Arial" w:cs="Arial"/>
          <w:sz w:val="24"/>
          <w:szCs w:val="24"/>
        </w:rPr>
        <w:t xml:space="preserve">a </w:t>
      </w:r>
      <w:r w:rsidR="005A565D" w:rsidRPr="009663D0">
        <w:rPr>
          <w:rFonts w:ascii="Arial" w:hAnsi="Arial" w:cs="Arial"/>
          <w:sz w:val="24"/>
          <w:szCs w:val="24"/>
        </w:rPr>
        <w:t xml:space="preserve">respondent raises a dispute about his indebtedness, he has an onus, in the sense of an evidentiary burden, to show that the dispute is raised </w:t>
      </w:r>
      <w:r w:rsidR="005A565D" w:rsidRPr="009663D0">
        <w:rPr>
          <w:rFonts w:ascii="Arial" w:hAnsi="Arial" w:cs="Arial"/>
          <w:i/>
          <w:iCs/>
          <w:sz w:val="24"/>
          <w:szCs w:val="24"/>
        </w:rPr>
        <w:t>bona fide</w:t>
      </w:r>
      <w:r w:rsidR="005A565D" w:rsidRPr="009663D0">
        <w:rPr>
          <w:rFonts w:ascii="Arial" w:hAnsi="Arial" w:cs="Arial"/>
          <w:sz w:val="24"/>
          <w:szCs w:val="24"/>
        </w:rPr>
        <w:t xml:space="preserve"> and on reasonable grounds</w:t>
      </w:r>
      <w:r w:rsidR="002F17A2" w:rsidRPr="009663D0">
        <w:rPr>
          <w:rFonts w:ascii="Arial" w:hAnsi="Arial" w:cs="Arial"/>
          <w:sz w:val="24"/>
          <w:szCs w:val="24"/>
        </w:rPr>
        <w:t xml:space="preserve"> (</w:t>
      </w:r>
      <w:r w:rsidR="002F17A2" w:rsidRPr="009663D0">
        <w:rPr>
          <w:rFonts w:ascii="Arial" w:hAnsi="Arial" w:cs="Arial"/>
          <w:i/>
          <w:iCs/>
          <w:sz w:val="24"/>
          <w:szCs w:val="24"/>
        </w:rPr>
        <w:t>Kalil v Decotex supra</w:t>
      </w:r>
      <w:r w:rsidR="002F17A2" w:rsidRPr="009663D0">
        <w:rPr>
          <w:rFonts w:ascii="Arial" w:hAnsi="Arial" w:cs="Arial"/>
          <w:sz w:val="24"/>
          <w:szCs w:val="24"/>
        </w:rPr>
        <w:t xml:space="preserve"> at 956H)</w:t>
      </w:r>
      <w:r w:rsidR="005A565D" w:rsidRPr="009663D0">
        <w:rPr>
          <w:rFonts w:ascii="Arial" w:hAnsi="Arial" w:cs="Arial"/>
          <w:sz w:val="24"/>
          <w:szCs w:val="24"/>
        </w:rPr>
        <w:t xml:space="preserve">. The respondent disputes his indebtedness to the applicant and contends that the applicant does not have </w:t>
      </w:r>
      <w:r w:rsidR="005A565D" w:rsidRPr="009663D0">
        <w:rPr>
          <w:rFonts w:ascii="Arial" w:hAnsi="Arial" w:cs="Arial"/>
          <w:i/>
          <w:iCs/>
          <w:sz w:val="24"/>
          <w:szCs w:val="24"/>
        </w:rPr>
        <w:t>locus standi</w:t>
      </w:r>
      <w:r w:rsidR="005A565D" w:rsidRPr="009663D0">
        <w:rPr>
          <w:rFonts w:ascii="Arial" w:hAnsi="Arial" w:cs="Arial"/>
          <w:sz w:val="24"/>
          <w:szCs w:val="24"/>
        </w:rPr>
        <w:t xml:space="preserve"> in the sequestration application. In the light of the discussion set out above, I do not think that the respondent has discharged the onus to show that his allegations </w:t>
      </w:r>
      <w:r w:rsidR="005A565D" w:rsidRPr="009663D0">
        <w:rPr>
          <w:rFonts w:ascii="Arial" w:hAnsi="Arial" w:cs="Arial"/>
          <w:sz w:val="24"/>
          <w:szCs w:val="24"/>
        </w:rPr>
        <w:lastRenderedPageBreak/>
        <w:t xml:space="preserve">establish a </w:t>
      </w:r>
      <w:r w:rsidR="005A565D" w:rsidRPr="009663D0">
        <w:rPr>
          <w:rFonts w:ascii="Arial" w:hAnsi="Arial" w:cs="Arial"/>
          <w:i/>
          <w:iCs/>
          <w:sz w:val="24"/>
          <w:szCs w:val="24"/>
        </w:rPr>
        <w:t>bona fide</w:t>
      </w:r>
      <w:r w:rsidR="005A565D" w:rsidRPr="009663D0">
        <w:rPr>
          <w:rFonts w:ascii="Arial" w:hAnsi="Arial" w:cs="Arial"/>
          <w:sz w:val="24"/>
          <w:szCs w:val="24"/>
        </w:rPr>
        <w:t xml:space="preserve"> dispute and </w:t>
      </w:r>
      <w:r w:rsidR="00331671" w:rsidRPr="009663D0">
        <w:rPr>
          <w:rFonts w:ascii="Arial" w:hAnsi="Arial" w:cs="Arial"/>
          <w:sz w:val="24"/>
          <w:szCs w:val="24"/>
        </w:rPr>
        <w:t xml:space="preserve">that </w:t>
      </w:r>
      <w:r w:rsidR="005A565D" w:rsidRPr="009663D0">
        <w:rPr>
          <w:rFonts w:ascii="Arial" w:hAnsi="Arial" w:cs="Arial"/>
          <w:sz w:val="24"/>
          <w:szCs w:val="24"/>
        </w:rPr>
        <w:t>they are premised upon reasonable grounds.</w:t>
      </w:r>
    </w:p>
    <w:p w14:paraId="3D76C489" w14:textId="77777777" w:rsidR="007C5584" w:rsidRPr="009663D0" w:rsidRDefault="007C5584" w:rsidP="009663D0">
      <w:pPr>
        <w:pStyle w:val="ListParagraph"/>
        <w:widowControl w:val="0"/>
        <w:spacing w:line="480" w:lineRule="auto"/>
        <w:jc w:val="both"/>
        <w:rPr>
          <w:rFonts w:ascii="Arial" w:hAnsi="Arial" w:cs="Arial"/>
        </w:rPr>
      </w:pPr>
    </w:p>
    <w:p w14:paraId="124A0A38" w14:textId="718C7020" w:rsidR="007C5584"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47.</w:t>
      </w:r>
      <w:r w:rsidRPr="009663D0">
        <w:rPr>
          <w:rFonts w:ascii="Arial" w:hAnsi="Arial" w:cs="Arial"/>
          <w:sz w:val="24"/>
          <w:szCs w:val="24"/>
        </w:rPr>
        <w:tab/>
      </w:r>
      <w:r w:rsidR="005A16C7" w:rsidRPr="009663D0">
        <w:rPr>
          <w:rFonts w:ascii="Arial" w:hAnsi="Arial" w:cs="Arial"/>
          <w:sz w:val="24"/>
          <w:szCs w:val="24"/>
        </w:rPr>
        <w:t>In these circumstances, I am satisfied that the applicant has a</w:t>
      </w:r>
      <w:r w:rsidR="006E0F3B" w:rsidRPr="009663D0">
        <w:rPr>
          <w:rFonts w:ascii="Arial" w:hAnsi="Arial" w:cs="Arial"/>
          <w:sz w:val="24"/>
          <w:szCs w:val="24"/>
        </w:rPr>
        <w:t xml:space="preserve"> </w:t>
      </w:r>
      <w:r w:rsidR="006E0F3B" w:rsidRPr="009663D0">
        <w:rPr>
          <w:rFonts w:ascii="Arial" w:hAnsi="Arial" w:cs="Arial"/>
          <w:i/>
          <w:iCs/>
          <w:sz w:val="24"/>
          <w:szCs w:val="24"/>
        </w:rPr>
        <w:t>prima facie</w:t>
      </w:r>
      <w:r w:rsidR="006E0F3B" w:rsidRPr="009663D0">
        <w:rPr>
          <w:rFonts w:ascii="Arial" w:hAnsi="Arial" w:cs="Arial"/>
          <w:sz w:val="24"/>
          <w:szCs w:val="24"/>
        </w:rPr>
        <w:t xml:space="preserve"> </w:t>
      </w:r>
      <w:r w:rsidR="005A16C7" w:rsidRPr="009663D0">
        <w:rPr>
          <w:rFonts w:ascii="Arial" w:hAnsi="Arial" w:cs="Arial"/>
          <w:sz w:val="24"/>
          <w:szCs w:val="24"/>
        </w:rPr>
        <w:t>claim against the respondent</w:t>
      </w:r>
      <w:r w:rsidR="00336B06" w:rsidRPr="009663D0">
        <w:rPr>
          <w:rFonts w:ascii="Arial" w:hAnsi="Arial" w:cs="Arial"/>
          <w:sz w:val="24"/>
          <w:szCs w:val="24"/>
        </w:rPr>
        <w:t xml:space="preserve"> in the sum of at least R4,5 million</w:t>
      </w:r>
      <w:r w:rsidR="006E0F3B" w:rsidRPr="009663D0">
        <w:rPr>
          <w:rFonts w:ascii="Arial" w:hAnsi="Arial" w:cs="Arial"/>
          <w:sz w:val="24"/>
          <w:szCs w:val="24"/>
        </w:rPr>
        <w:t>, in satisfaction of the requirement set out in section 10(a) of the Insolvency Act.</w:t>
      </w:r>
    </w:p>
    <w:p w14:paraId="2E614AEB" w14:textId="3C44E383" w:rsidR="00DC0747" w:rsidRPr="009663D0" w:rsidRDefault="00DC0747" w:rsidP="009663D0">
      <w:pPr>
        <w:pStyle w:val="PlainText"/>
        <w:widowControl w:val="0"/>
        <w:spacing w:line="480" w:lineRule="auto"/>
        <w:jc w:val="both"/>
        <w:rPr>
          <w:rFonts w:ascii="Arial" w:hAnsi="Arial" w:cs="Arial"/>
          <w:sz w:val="24"/>
          <w:szCs w:val="24"/>
        </w:rPr>
      </w:pPr>
    </w:p>
    <w:p w14:paraId="39D8F773" w14:textId="22CD1DC2" w:rsidR="007C5584" w:rsidRPr="009663D0" w:rsidRDefault="007C5584" w:rsidP="009663D0">
      <w:pPr>
        <w:pStyle w:val="PlainText"/>
        <w:widowControl w:val="0"/>
        <w:spacing w:line="480" w:lineRule="auto"/>
        <w:jc w:val="both"/>
        <w:rPr>
          <w:rFonts w:ascii="Arial" w:hAnsi="Arial" w:cs="Arial"/>
          <w:i/>
          <w:iCs/>
          <w:sz w:val="24"/>
          <w:szCs w:val="24"/>
          <w:u w:val="single"/>
        </w:rPr>
      </w:pPr>
      <w:r w:rsidRPr="009663D0">
        <w:rPr>
          <w:rFonts w:ascii="Arial" w:hAnsi="Arial" w:cs="Arial"/>
          <w:i/>
          <w:iCs/>
          <w:sz w:val="24"/>
          <w:szCs w:val="24"/>
          <w:u w:val="single"/>
        </w:rPr>
        <w:t>The applicant’s claim under the Rule 43 order</w:t>
      </w:r>
    </w:p>
    <w:p w14:paraId="4EA5D1EA" w14:textId="77777777" w:rsidR="007C5584" w:rsidRPr="009663D0" w:rsidRDefault="007C5584" w:rsidP="009663D0">
      <w:pPr>
        <w:pStyle w:val="PlainText"/>
        <w:widowControl w:val="0"/>
        <w:spacing w:line="480" w:lineRule="auto"/>
        <w:jc w:val="both"/>
        <w:rPr>
          <w:rFonts w:ascii="Arial" w:hAnsi="Arial" w:cs="Arial"/>
          <w:sz w:val="24"/>
          <w:szCs w:val="24"/>
        </w:rPr>
      </w:pPr>
    </w:p>
    <w:p w14:paraId="07A84500" w14:textId="416F9AA4" w:rsidR="008E2B28" w:rsidRPr="009663D0" w:rsidRDefault="00E52642" w:rsidP="00E52642">
      <w:pPr>
        <w:pStyle w:val="PlainText"/>
        <w:widowControl w:val="0"/>
        <w:tabs>
          <w:tab w:val="left" w:pos="709"/>
        </w:tabs>
        <w:spacing w:line="480" w:lineRule="auto"/>
        <w:ind w:left="706" w:hanging="706"/>
        <w:jc w:val="both"/>
        <w:rPr>
          <w:rFonts w:ascii="Arial" w:hAnsi="Arial" w:cs="Arial"/>
          <w:sz w:val="24"/>
          <w:szCs w:val="24"/>
        </w:rPr>
      </w:pPr>
      <w:r w:rsidRPr="009663D0">
        <w:rPr>
          <w:rFonts w:ascii="Arial" w:hAnsi="Arial" w:cs="Arial"/>
          <w:sz w:val="24"/>
          <w:szCs w:val="24"/>
        </w:rPr>
        <w:t>48.</w:t>
      </w:r>
      <w:r w:rsidRPr="009663D0">
        <w:rPr>
          <w:rFonts w:ascii="Arial" w:hAnsi="Arial" w:cs="Arial"/>
          <w:sz w:val="24"/>
          <w:szCs w:val="24"/>
        </w:rPr>
        <w:tab/>
      </w:r>
      <w:r w:rsidR="007C5584" w:rsidRPr="009663D0">
        <w:rPr>
          <w:rFonts w:ascii="Arial" w:hAnsi="Arial" w:cs="Arial"/>
          <w:sz w:val="24"/>
          <w:szCs w:val="24"/>
        </w:rPr>
        <w:t>The applicant relies, secondly, upon a claim for arrear maintenance under</w:t>
      </w:r>
      <w:r w:rsidR="00D25DD2">
        <w:rPr>
          <w:rFonts w:ascii="Arial" w:hAnsi="Arial" w:cs="Arial"/>
          <w:sz w:val="24"/>
          <w:szCs w:val="24"/>
        </w:rPr>
        <w:t xml:space="preserve"> a</w:t>
      </w:r>
      <w:r w:rsidR="007C5584" w:rsidRPr="009663D0">
        <w:rPr>
          <w:rFonts w:ascii="Arial" w:hAnsi="Arial" w:cs="Arial"/>
          <w:sz w:val="24"/>
          <w:szCs w:val="24"/>
        </w:rPr>
        <w:t xml:space="preserve"> Rule 43 order made on 4 July 2017</w:t>
      </w:r>
      <w:r w:rsidR="005A16C7" w:rsidRPr="009663D0">
        <w:rPr>
          <w:rFonts w:ascii="Arial" w:hAnsi="Arial" w:cs="Arial"/>
          <w:sz w:val="24"/>
          <w:szCs w:val="24"/>
        </w:rPr>
        <w:t>, which obliged the respondent to make monthly maintenance to the applicant pending the finalisation of the divorce action.  The applicant claims that the sum of R334 998, 02 is owing on account of arrear maintenance.  This is disputed by the respondent.</w:t>
      </w:r>
    </w:p>
    <w:p w14:paraId="2BF30680" w14:textId="77777777" w:rsidR="004F29F5" w:rsidRPr="009663D0" w:rsidRDefault="004F29F5" w:rsidP="009663D0">
      <w:pPr>
        <w:pStyle w:val="PlainText"/>
        <w:widowControl w:val="0"/>
        <w:spacing w:line="480" w:lineRule="auto"/>
        <w:ind w:left="709"/>
        <w:jc w:val="both"/>
        <w:rPr>
          <w:rFonts w:ascii="Arial" w:hAnsi="Arial" w:cs="Arial"/>
          <w:sz w:val="24"/>
          <w:szCs w:val="24"/>
        </w:rPr>
      </w:pPr>
    </w:p>
    <w:p w14:paraId="7A2BF376" w14:textId="0284F31F" w:rsidR="004F29F5"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49.</w:t>
      </w:r>
      <w:r w:rsidRPr="009663D0">
        <w:rPr>
          <w:rFonts w:ascii="Arial" w:hAnsi="Arial" w:cs="Arial"/>
          <w:sz w:val="24"/>
          <w:szCs w:val="24"/>
        </w:rPr>
        <w:tab/>
      </w:r>
      <w:r w:rsidR="004F29F5" w:rsidRPr="009663D0">
        <w:rPr>
          <w:rFonts w:ascii="Arial" w:hAnsi="Arial" w:cs="Arial"/>
          <w:sz w:val="24"/>
          <w:szCs w:val="24"/>
        </w:rPr>
        <w:t xml:space="preserve">In </w:t>
      </w:r>
      <w:proofErr w:type="spellStart"/>
      <w:r w:rsidR="004F29F5" w:rsidRPr="009663D0">
        <w:rPr>
          <w:rFonts w:ascii="Arial" w:hAnsi="Arial" w:cs="Arial"/>
          <w:i/>
          <w:iCs/>
          <w:sz w:val="24"/>
          <w:szCs w:val="24"/>
        </w:rPr>
        <w:t>Gobel</w:t>
      </w:r>
      <w:proofErr w:type="spellEnd"/>
      <w:r w:rsidR="004F29F5" w:rsidRPr="009663D0">
        <w:rPr>
          <w:rFonts w:ascii="Arial" w:hAnsi="Arial" w:cs="Arial"/>
          <w:i/>
          <w:iCs/>
          <w:sz w:val="24"/>
          <w:szCs w:val="24"/>
        </w:rPr>
        <w:t xml:space="preserve"> v </w:t>
      </w:r>
      <w:proofErr w:type="spellStart"/>
      <w:r w:rsidR="004F29F5" w:rsidRPr="009663D0">
        <w:rPr>
          <w:rFonts w:ascii="Arial" w:hAnsi="Arial" w:cs="Arial"/>
          <w:i/>
          <w:iCs/>
          <w:sz w:val="24"/>
          <w:szCs w:val="24"/>
        </w:rPr>
        <w:t>Gobel</w:t>
      </w:r>
      <w:proofErr w:type="spellEnd"/>
      <w:r w:rsidR="004F29F5" w:rsidRPr="009663D0">
        <w:rPr>
          <w:rFonts w:ascii="Arial" w:hAnsi="Arial" w:cs="Arial"/>
          <w:sz w:val="24"/>
          <w:szCs w:val="24"/>
        </w:rPr>
        <w:t xml:space="preserve"> (6935/13) [2013] ZAWCHC 91 (28 June 2013) this Court also considered an application for the sequestration of a spouse’s estate in the course of divorce proceedings.  The applicant’s claim was for arrear maintenance and other payments due under a Rule 43 order.  The respondent had previously brought a Rule 43(6) application in which he asked for an order retrospectively to vary the original Rule 43 order.  The Court found that, in those circumstances, the applicant’s claim was not certain, as a subsequent finding by the Court determining the Rule 43(6) application with retrospective effect could result in the applicant having no claim at all. In the present matter, the respondent’s Rule 43(6) application does not seek a retrospective amendment of the Rule 43 order and </w:t>
      </w:r>
      <w:r w:rsidR="004F29F5" w:rsidRPr="009663D0">
        <w:rPr>
          <w:rFonts w:ascii="Arial" w:hAnsi="Arial" w:cs="Arial"/>
          <w:i/>
          <w:iCs/>
          <w:sz w:val="24"/>
          <w:szCs w:val="24"/>
        </w:rPr>
        <w:t>Gobel</w:t>
      </w:r>
      <w:r w:rsidR="004F29F5" w:rsidRPr="009663D0">
        <w:rPr>
          <w:rFonts w:ascii="Arial" w:hAnsi="Arial" w:cs="Arial"/>
          <w:sz w:val="24"/>
          <w:szCs w:val="24"/>
        </w:rPr>
        <w:t xml:space="preserve"> is thus distinguishable.</w:t>
      </w:r>
    </w:p>
    <w:p w14:paraId="2B6624DE" w14:textId="77777777" w:rsidR="005A16C7" w:rsidRPr="009663D0" w:rsidRDefault="005A16C7" w:rsidP="009663D0">
      <w:pPr>
        <w:pStyle w:val="PlainText"/>
        <w:widowControl w:val="0"/>
        <w:spacing w:line="480" w:lineRule="auto"/>
        <w:ind w:left="706"/>
        <w:jc w:val="both"/>
        <w:rPr>
          <w:rFonts w:ascii="Arial" w:hAnsi="Arial" w:cs="Arial"/>
          <w:sz w:val="24"/>
          <w:szCs w:val="24"/>
        </w:rPr>
      </w:pPr>
    </w:p>
    <w:p w14:paraId="709F3285" w14:textId="6EB72149" w:rsidR="005A16C7" w:rsidRPr="009663D0" w:rsidRDefault="00E52642" w:rsidP="00E52642">
      <w:pPr>
        <w:pStyle w:val="PlainText"/>
        <w:widowControl w:val="0"/>
        <w:tabs>
          <w:tab w:val="left" w:pos="709"/>
        </w:tabs>
        <w:spacing w:line="480" w:lineRule="auto"/>
        <w:ind w:left="706" w:hanging="706"/>
        <w:jc w:val="both"/>
        <w:rPr>
          <w:rFonts w:ascii="Arial" w:hAnsi="Arial" w:cs="Arial"/>
          <w:sz w:val="24"/>
          <w:szCs w:val="24"/>
        </w:rPr>
      </w:pPr>
      <w:r w:rsidRPr="009663D0">
        <w:rPr>
          <w:rFonts w:ascii="Arial" w:hAnsi="Arial" w:cs="Arial"/>
          <w:sz w:val="24"/>
          <w:szCs w:val="24"/>
        </w:rPr>
        <w:lastRenderedPageBreak/>
        <w:t>50.</w:t>
      </w:r>
      <w:r w:rsidRPr="009663D0">
        <w:rPr>
          <w:rFonts w:ascii="Arial" w:hAnsi="Arial" w:cs="Arial"/>
          <w:sz w:val="24"/>
          <w:szCs w:val="24"/>
        </w:rPr>
        <w:tab/>
      </w:r>
      <w:r w:rsidR="004F29F5" w:rsidRPr="009663D0">
        <w:rPr>
          <w:rFonts w:ascii="Arial" w:hAnsi="Arial" w:cs="Arial"/>
          <w:sz w:val="24"/>
          <w:szCs w:val="24"/>
        </w:rPr>
        <w:t>Be that as it may, g</w:t>
      </w:r>
      <w:r w:rsidR="005A16C7" w:rsidRPr="009663D0">
        <w:rPr>
          <w:rFonts w:ascii="Arial" w:hAnsi="Arial" w:cs="Arial"/>
          <w:sz w:val="24"/>
          <w:szCs w:val="24"/>
        </w:rPr>
        <w:t>iven the conclusion to which I have come in respect of the applicant’s claim for R4,5 million, I do not need to address the maintenance claim at this juncture.</w:t>
      </w:r>
      <w:r w:rsidR="00D25DD2">
        <w:rPr>
          <w:rFonts w:ascii="Arial" w:hAnsi="Arial" w:cs="Arial"/>
          <w:sz w:val="24"/>
          <w:szCs w:val="24"/>
        </w:rPr>
        <w:t xml:space="preserve">  I shall do so in a follow-up judgment in relation to the applicant’s contempt application arising from the respondent’s alleged non-compliance with the order.</w:t>
      </w:r>
    </w:p>
    <w:p w14:paraId="34BDD4DC" w14:textId="77777777" w:rsidR="004D1759" w:rsidRPr="009663D0" w:rsidRDefault="004D1759" w:rsidP="009663D0">
      <w:pPr>
        <w:pStyle w:val="ListParagraph"/>
        <w:widowControl w:val="0"/>
        <w:spacing w:line="480" w:lineRule="auto"/>
        <w:ind w:left="709"/>
        <w:jc w:val="both"/>
        <w:rPr>
          <w:rFonts w:ascii="Arial" w:hAnsi="Arial" w:cs="Arial"/>
          <w:lang w:val="en-GB"/>
        </w:rPr>
      </w:pPr>
    </w:p>
    <w:p w14:paraId="28A2895C" w14:textId="7B7DBFB6" w:rsidR="00F7658D" w:rsidRPr="009663D0" w:rsidRDefault="004D1759" w:rsidP="009663D0">
      <w:pPr>
        <w:widowControl w:val="0"/>
        <w:spacing w:line="480" w:lineRule="auto"/>
        <w:jc w:val="both"/>
        <w:rPr>
          <w:rFonts w:ascii="Arial" w:hAnsi="Arial" w:cs="Arial"/>
          <w:u w:val="single"/>
          <w:lang w:val="en-GB"/>
        </w:rPr>
      </w:pPr>
      <w:r w:rsidRPr="009663D0">
        <w:rPr>
          <w:rFonts w:ascii="Arial" w:hAnsi="Arial" w:cs="Arial"/>
          <w:u w:val="single"/>
          <w:lang w:val="en-GB"/>
        </w:rPr>
        <w:t xml:space="preserve">The respondent’s </w:t>
      </w:r>
      <w:r w:rsidR="00043B94" w:rsidRPr="009663D0">
        <w:rPr>
          <w:rFonts w:ascii="Arial" w:hAnsi="Arial" w:cs="Arial"/>
          <w:u w:val="single"/>
          <w:lang w:val="en-GB"/>
        </w:rPr>
        <w:t xml:space="preserve">factual </w:t>
      </w:r>
      <w:r w:rsidRPr="009663D0">
        <w:rPr>
          <w:rFonts w:ascii="Arial" w:hAnsi="Arial" w:cs="Arial"/>
          <w:u w:val="single"/>
          <w:lang w:val="en-GB"/>
        </w:rPr>
        <w:t>insolvency</w:t>
      </w:r>
      <w:r w:rsidR="007C5584" w:rsidRPr="009663D0">
        <w:rPr>
          <w:rFonts w:ascii="Arial" w:hAnsi="Arial" w:cs="Arial"/>
          <w:u w:val="single"/>
          <w:lang w:val="en-GB"/>
        </w:rPr>
        <w:t xml:space="preserve"> and acts of insolvency</w:t>
      </w:r>
    </w:p>
    <w:p w14:paraId="06471876" w14:textId="77777777" w:rsidR="004D1759" w:rsidRPr="009663D0" w:rsidRDefault="004D1759" w:rsidP="009663D0">
      <w:pPr>
        <w:pStyle w:val="Heading2"/>
        <w:shd w:val="clear" w:color="auto" w:fill="FFFFFF"/>
        <w:spacing w:before="0" w:after="0"/>
        <w:ind w:left="709"/>
        <w:rPr>
          <w:rFonts w:ascii="Arial" w:hAnsi="Arial" w:cs="Arial"/>
          <w:sz w:val="24"/>
          <w:szCs w:val="24"/>
          <w:lang w:val="en-GB"/>
        </w:rPr>
      </w:pPr>
    </w:p>
    <w:p w14:paraId="2165C6E3" w14:textId="035F0107" w:rsidR="00794411" w:rsidRPr="009663D0" w:rsidRDefault="00E52642" w:rsidP="00E52642">
      <w:pPr>
        <w:pStyle w:val="Heading2"/>
        <w:shd w:val="clear" w:color="auto" w:fill="FFFFFF"/>
        <w:tabs>
          <w:tab w:val="left" w:pos="709"/>
        </w:tabs>
        <w:spacing w:before="0" w:after="0"/>
        <w:ind w:left="709" w:hanging="709"/>
        <w:rPr>
          <w:rFonts w:ascii="Arial" w:hAnsi="Arial" w:cs="Arial"/>
          <w:sz w:val="24"/>
          <w:szCs w:val="24"/>
          <w:lang w:val="en-GB"/>
        </w:rPr>
      </w:pPr>
      <w:r w:rsidRPr="009663D0">
        <w:rPr>
          <w:rFonts w:ascii="Arial" w:hAnsi="Arial" w:cs="Arial"/>
          <w:sz w:val="24"/>
          <w:szCs w:val="24"/>
          <w:lang w:val="en-GB"/>
        </w:rPr>
        <w:t>51.</w:t>
      </w:r>
      <w:r w:rsidRPr="009663D0">
        <w:rPr>
          <w:rFonts w:ascii="Arial" w:hAnsi="Arial" w:cs="Arial"/>
          <w:sz w:val="24"/>
          <w:szCs w:val="24"/>
          <w:lang w:val="en-GB"/>
        </w:rPr>
        <w:tab/>
      </w:r>
      <w:r w:rsidR="00794411" w:rsidRPr="009663D0">
        <w:rPr>
          <w:rFonts w:ascii="Arial" w:hAnsi="Arial" w:cs="Arial"/>
          <w:sz w:val="24"/>
          <w:szCs w:val="24"/>
          <w:lang w:val="en-GB"/>
        </w:rPr>
        <w:t>In fulfilment of th</w:t>
      </w:r>
      <w:r w:rsidR="00FE253E" w:rsidRPr="009663D0">
        <w:rPr>
          <w:rFonts w:ascii="Arial" w:hAnsi="Arial" w:cs="Arial"/>
          <w:sz w:val="24"/>
          <w:szCs w:val="24"/>
          <w:lang w:val="en-GB"/>
        </w:rPr>
        <w:t>e</w:t>
      </w:r>
      <w:r w:rsidR="00794411" w:rsidRPr="009663D0">
        <w:rPr>
          <w:rFonts w:ascii="Arial" w:hAnsi="Arial" w:cs="Arial"/>
          <w:sz w:val="24"/>
          <w:szCs w:val="24"/>
          <w:lang w:val="en-GB"/>
        </w:rPr>
        <w:t xml:space="preserve"> requirement</w:t>
      </w:r>
      <w:r w:rsidR="00FE253E" w:rsidRPr="009663D0">
        <w:rPr>
          <w:rFonts w:ascii="Arial" w:hAnsi="Arial" w:cs="Arial"/>
          <w:sz w:val="24"/>
          <w:szCs w:val="24"/>
          <w:lang w:val="en-GB"/>
        </w:rPr>
        <w:t>s of section 10(b) of the Insolvency Act</w:t>
      </w:r>
      <w:r w:rsidR="00794411" w:rsidRPr="009663D0">
        <w:rPr>
          <w:rFonts w:ascii="Arial" w:hAnsi="Arial" w:cs="Arial"/>
          <w:sz w:val="24"/>
          <w:szCs w:val="24"/>
          <w:lang w:val="en-GB"/>
        </w:rPr>
        <w:t>, the applicant relies on the respondent’s factual insolvency, as well as certain acts of insolvency said to have been committed in the course of the litigation between the parties.</w:t>
      </w:r>
    </w:p>
    <w:p w14:paraId="3FBD716B" w14:textId="77777777" w:rsidR="00794411" w:rsidRPr="009663D0" w:rsidRDefault="00794411" w:rsidP="009663D0">
      <w:pPr>
        <w:widowControl w:val="0"/>
        <w:spacing w:line="480" w:lineRule="auto"/>
        <w:rPr>
          <w:rFonts w:ascii="Arial" w:hAnsi="Arial" w:cs="Arial"/>
          <w:lang w:val="en-GB"/>
        </w:rPr>
      </w:pPr>
    </w:p>
    <w:p w14:paraId="04B29F3D" w14:textId="3CF44DF2" w:rsidR="00F7658D" w:rsidRPr="009663D0" w:rsidRDefault="00E52642" w:rsidP="00E52642">
      <w:pPr>
        <w:pStyle w:val="Heading2"/>
        <w:shd w:val="clear" w:color="auto" w:fill="FFFFFF"/>
        <w:tabs>
          <w:tab w:val="left" w:pos="709"/>
        </w:tabs>
        <w:spacing w:before="0" w:after="0"/>
        <w:ind w:left="709" w:hanging="709"/>
        <w:rPr>
          <w:rFonts w:ascii="Arial" w:hAnsi="Arial" w:cs="Arial"/>
          <w:sz w:val="24"/>
          <w:szCs w:val="24"/>
          <w:lang w:val="en-GB"/>
        </w:rPr>
      </w:pPr>
      <w:r w:rsidRPr="009663D0">
        <w:rPr>
          <w:rFonts w:ascii="Arial" w:hAnsi="Arial" w:cs="Arial"/>
          <w:sz w:val="24"/>
          <w:szCs w:val="24"/>
          <w:lang w:val="en-GB"/>
        </w:rPr>
        <w:t>52.</w:t>
      </w:r>
      <w:r w:rsidRPr="009663D0">
        <w:rPr>
          <w:rFonts w:ascii="Arial" w:hAnsi="Arial" w:cs="Arial"/>
          <w:sz w:val="24"/>
          <w:szCs w:val="24"/>
          <w:lang w:val="en-GB"/>
        </w:rPr>
        <w:tab/>
      </w:r>
      <w:r w:rsidR="00F7658D" w:rsidRPr="009663D0">
        <w:rPr>
          <w:rFonts w:ascii="Arial" w:hAnsi="Arial" w:cs="Arial"/>
          <w:sz w:val="24"/>
          <w:szCs w:val="24"/>
          <w:lang w:val="en-GB"/>
        </w:rPr>
        <w:t>In</w:t>
      </w:r>
      <w:r w:rsidR="00BB6A0F" w:rsidRPr="009663D0">
        <w:rPr>
          <w:rFonts w:ascii="Arial" w:hAnsi="Arial" w:cs="Arial"/>
          <w:sz w:val="24"/>
          <w:szCs w:val="24"/>
        </w:rPr>
        <w:t xml:space="preserve"> </w:t>
      </w:r>
      <w:r w:rsidR="00BB6A0F" w:rsidRPr="009663D0">
        <w:rPr>
          <w:rFonts w:ascii="Arial" w:hAnsi="Arial" w:cs="Arial"/>
          <w:i/>
          <w:iCs/>
          <w:sz w:val="24"/>
          <w:szCs w:val="24"/>
        </w:rPr>
        <w:t xml:space="preserve">Ullman Sails (Pty) Ltd v </w:t>
      </w:r>
      <w:proofErr w:type="spellStart"/>
      <w:r w:rsidR="00BB6A0F" w:rsidRPr="009663D0">
        <w:rPr>
          <w:rFonts w:ascii="Arial" w:hAnsi="Arial" w:cs="Arial"/>
          <w:i/>
          <w:iCs/>
          <w:sz w:val="24"/>
          <w:szCs w:val="24"/>
        </w:rPr>
        <w:t>Jannie</w:t>
      </w:r>
      <w:proofErr w:type="spellEnd"/>
      <w:r w:rsidR="00BB6A0F" w:rsidRPr="009663D0">
        <w:rPr>
          <w:rFonts w:ascii="Arial" w:hAnsi="Arial" w:cs="Arial"/>
          <w:i/>
          <w:iCs/>
          <w:sz w:val="24"/>
          <w:szCs w:val="24"/>
        </w:rPr>
        <w:t xml:space="preserve"> </w:t>
      </w:r>
      <w:proofErr w:type="spellStart"/>
      <w:r w:rsidR="00BB6A0F" w:rsidRPr="009663D0">
        <w:rPr>
          <w:rFonts w:ascii="Arial" w:hAnsi="Arial" w:cs="Arial"/>
          <w:i/>
          <w:iCs/>
          <w:sz w:val="24"/>
          <w:szCs w:val="24"/>
        </w:rPr>
        <w:t>Reuvers</w:t>
      </w:r>
      <w:proofErr w:type="spellEnd"/>
      <w:r w:rsidR="00BB6A0F" w:rsidRPr="009663D0">
        <w:rPr>
          <w:rFonts w:ascii="Arial" w:hAnsi="Arial" w:cs="Arial"/>
          <w:i/>
          <w:iCs/>
          <w:sz w:val="24"/>
          <w:szCs w:val="24"/>
        </w:rPr>
        <w:t xml:space="preserve"> Sails (Pty) Ltd and Others; Ullman Sails International Incorporated and Others v </w:t>
      </w:r>
      <w:proofErr w:type="spellStart"/>
      <w:r w:rsidR="00BB6A0F" w:rsidRPr="009663D0">
        <w:rPr>
          <w:rFonts w:ascii="Arial" w:hAnsi="Arial" w:cs="Arial"/>
          <w:i/>
          <w:iCs/>
          <w:sz w:val="24"/>
          <w:szCs w:val="24"/>
        </w:rPr>
        <w:t>Reuvers</w:t>
      </w:r>
      <w:proofErr w:type="spellEnd"/>
      <w:r w:rsidR="00BB6A0F" w:rsidRPr="009663D0">
        <w:rPr>
          <w:rFonts w:ascii="Arial" w:hAnsi="Arial" w:cs="Arial"/>
          <w:i/>
          <w:iCs/>
          <w:sz w:val="24"/>
          <w:szCs w:val="24"/>
        </w:rPr>
        <w:t xml:space="preserve"> and another; Ullman Sails International Incorporated and Others v </w:t>
      </w:r>
      <w:proofErr w:type="spellStart"/>
      <w:r w:rsidR="00BB6A0F" w:rsidRPr="009663D0">
        <w:rPr>
          <w:rFonts w:ascii="Arial" w:hAnsi="Arial" w:cs="Arial"/>
          <w:i/>
          <w:iCs/>
          <w:sz w:val="24"/>
          <w:szCs w:val="24"/>
        </w:rPr>
        <w:t>Reuvers</w:t>
      </w:r>
      <w:proofErr w:type="spellEnd"/>
      <w:r w:rsidR="00BB6A0F" w:rsidRPr="009663D0">
        <w:rPr>
          <w:rFonts w:ascii="Arial" w:hAnsi="Arial" w:cs="Arial"/>
          <w:i/>
          <w:iCs/>
          <w:sz w:val="24"/>
          <w:szCs w:val="24"/>
        </w:rPr>
        <w:t xml:space="preserve"> and another</w:t>
      </w:r>
      <w:r w:rsidR="00BB6A0F" w:rsidRPr="009663D0">
        <w:rPr>
          <w:rFonts w:ascii="Arial" w:hAnsi="Arial" w:cs="Arial"/>
          <w:sz w:val="24"/>
          <w:szCs w:val="24"/>
        </w:rPr>
        <w:t xml:space="preserve"> (8225/2021; 8231/2021; 8232/2021) [2022] ZAWCHC 38 (22 March 2022)</w:t>
      </w:r>
      <w:r w:rsidR="00F7658D" w:rsidRPr="009663D0">
        <w:rPr>
          <w:rFonts w:ascii="Arial" w:hAnsi="Arial" w:cs="Arial"/>
          <w:sz w:val="24"/>
          <w:szCs w:val="24"/>
          <w:lang w:val="en-GB"/>
        </w:rPr>
        <w:t>, this Court held as follows</w:t>
      </w:r>
      <w:r w:rsidR="00BB6A0F" w:rsidRPr="009663D0">
        <w:rPr>
          <w:rFonts w:ascii="Arial" w:hAnsi="Arial" w:cs="Arial"/>
          <w:sz w:val="24"/>
          <w:szCs w:val="24"/>
          <w:lang w:val="en-GB"/>
        </w:rPr>
        <w:t xml:space="preserve"> at para [48]</w:t>
      </w:r>
      <w:r w:rsidR="00F7658D" w:rsidRPr="009663D0">
        <w:rPr>
          <w:rFonts w:ascii="Arial" w:hAnsi="Arial" w:cs="Arial"/>
          <w:sz w:val="24"/>
          <w:szCs w:val="24"/>
          <w:lang w:val="en-GB"/>
        </w:rPr>
        <w:t>:</w:t>
      </w:r>
    </w:p>
    <w:p w14:paraId="140BA029" w14:textId="1D0C124C" w:rsidR="004A6C38" w:rsidRPr="009663D0" w:rsidRDefault="004A6C38" w:rsidP="009663D0">
      <w:pPr>
        <w:widowControl w:val="0"/>
        <w:spacing w:line="480" w:lineRule="auto"/>
        <w:jc w:val="both"/>
        <w:rPr>
          <w:rFonts w:ascii="Arial" w:hAnsi="Arial" w:cs="Arial"/>
          <w:lang w:val="en-GB"/>
        </w:rPr>
      </w:pPr>
    </w:p>
    <w:p w14:paraId="4B2C4FD9" w14:textId="16DE9863" w:rsidR="004A6C38" w:rsidRPr="009663D0" w:rsidRDefault="004A6C38" w:rsidP="009663D0">
      <w:pPr>
        <w:pStyle w:val="western"/>
        <w:widowControl w:val="0"/>
        <w:shd w:val="clear" w:color="auto" w:fill="FFFFFF"/>
        <w:spacing w:before="0" w:beforeAutospacing="0" w:after="0" w:afterAutospacing="0" w:line="480" w:lineRule="auto"/>
        <w:ind w:left="709"/>
        <w:jc w:val="both"/>
        <w:rPr>
          <w:rFonts w:ascii="Arial" w:hAnsi="Arial" w:cs="Arial"/>
        </w:rPr>
      </w:pPr>
      <w:r w:rsidRPr="009663D0">
        <w:rPr>
          <w:rFonts w:ascii="Arial" w:hAnsi="Arial" w:cs="Arial"/>
          <w:lang w:val="en-GB"/>
        </w:rPr>
        <w:t>“</w:t>
      </w:r>
      <w:r w:rsidRPr="009663D0">
        <w:rPr>
          <w:rFonts w:ascii="Arial" w:hAnsi="Arial" w:cs="Arial"/>
          <w:i/>
          <w:iCs/>
          <w:lang w:val="en-GB"/>
        </w:rPr>
        <w:t xml:space="preserve">It is not incumbent on an applicant relying on factual insolvency to adduce evidence that would enable the respondent’s assets and liabilities to be finitely determined in rands and cents.  It would be a rare case, other than in the context of so-called friendly sequestrations, for an applicant to be able to do that.  It is well established that an applicant can discharge the onus of establishing a </w:t>
      </w:r>
      <w:r w:rsidRPr="009663D0">
        <w:rPr>
          <w:rFonts w:ascii="Arial" w:hAnsi="Arial" w:cs="Arial"/>
          <w:lang w:val="en-GB"/>
        </w:rPr>
        <w:t>prima facie</w:t>
      </w:r>
      <w:r w:rsidRPr="009663D0">
        <w:rPr>
          <w:rFonts w:ascii="Arial" w:hAnsi="Arial" w:cs="Arial"/>
          <w:i/>
          <w:iCs/>
          <w:lang w:val="en-GB"/>
        </w:rPr>
        <w:t xml:space="preserve"> case on the basis of factual insolvency by adducing sufficient evidence to justify the inference as a matter of probability that the respondent is insolvent.  Once an applicant does that, the </w:t>
      </w:r>
      <w:r w:rsidRPr="009663D0">
        <w:rPr>
          <w:rFonts w:ascii="Arial" w:hAnsi="Arial" w:cs="Arial"/>
          <w:i/>
          <w:iCs/>
          <w:lang w:val="en-GB"/>
        </w:rPr>
        <w:lastRenderedPageBreak/>
        <w:t>respondent attracts an evidential onus to rebut the inference by showing that he does possess sufficient assets to be able to settle his liabilities, see </w:t>
      </w:r>
      <w:r w:rsidRPr="009663D0">
        <w:rPr>
          <w:rFonts w:ascii="Arial" w:hAnsi="Arial" w:cs="Arial"/>
          <w:lang w:val="en-GB"/>
        </w:rPr>
        <w:t>Absa Bank Ltd v Rhebokskloof (Pty) Ltd and Others</w:t>
      </w:r>
      <w:r w:rsidRPr="009663D0">
        <w:rPr>
          <w:rFonts w:ascii="Arial" w:hAnsi="Arial" w:cs="Arial"/>
          <w:i/>
          <w:iCs/>
          <w:lang w:val="en-GB"/>
        </w:rPr>
        <w:t> </w:t>
      </w:r>
      <w:hyperlink r:id="rId12" w:tooltip="View LawCiteRecord" w:history="1">
        <w:r w:rsidRPr="009663D0">
          <w:rPr>
            <w:rStyle w:val="Hyperlink"/>
            <w:rFonts w:ascii="Arial" w:hAnsi="Arial" w:cs="Arial"/>
            <w:i/>
            <w:iCs/>
            <w:color w:val="auto"/>
            <w:u w:val="none"/>
            <w:lang w:val="en-GB"/>
          </w:rPr>
          <w:t>1993 (4) SA 436</w:t>
        </w:r>
      </w:hyperlink>
      <w:r w:rsidRPr="009663D0">
        <w:rPr>
          <w:rFonts w:ascii="Arial" w:hAnsi="Arial" w:cs="Arial"/>
          <w:i/>
          <w:iCs/>
          <w:lang w:val="en-GB"/>
        </w:rPr>
        <w:t> (C) at 443D-G and </w:t>
      </w:r>
      <w:r w:rsidRPr="009663D0">
        <w:rPr>
          <w:rFonts w:ascii="Arial" w:hAnsi="Arial" w:cs="Arial"/>
          <w:lang w:val="en-GB"/>
        </w:rPr>
        <w:t>Mackay v Cahi</w:t>
      </w:r>
      <w:r w:rsidRPr="009663D0">
        <w:rPr>
          <w:rFonts w:ascii="Arial" w:hAnsi="Arial" w:cs="Arial"/>
          <w:i/>
          <w:iCs/>
          <w:lang w:val="en-GB"/>
        </w:rPr>
        <w:t> </w:t>
      </w:r>
      <w:hyperlink r:id="rId13" w:tooltip="View LawCiteRecord" w:history="1">
        <w:r w:rsidRPr="009663D0">
          <w:rPr>
            <w:rStyle w:val="Hyperlink"/>
            <w:rFonts w:ascii="Arial" w:hAnsi="Arial" w:cs="Arial"/>
            <w:i/>
            <w:iCs/>
            <w:color w:val="auto"/>
            <w:u w:val="none"/>
            <w:lang w:val="en-GB"/>
          </w:rPr>
          <w:t>1962 (4) SA 193</w:t>
        </w:r>
      </w:hyperlink>
      <w:r w:rsidRPr="009663D0">
        <w:rPr>
          <w:rFonts w:ascii="Arial" w:hAnsi="Arial" w:cs="Arial"/>
          <w:i/>
          <w:iCs/>
          <w:lang w:val="en-GB"/>
        </w:rPr>
        <w:t> (O) at 204F-G.  A strong and persuasive indicator of insolvency is the failure by a respondent to pay his debts; cf the oft cited observation by Innes CJ in </w:t>
      </w:r>
      <w:r w:rsidRPr="009663D0">
        <w:rPr>
          <w:rFonts w:ascii="Arial" w:hAnsi="Arial" w:cs="Arial"/>
          <w:lang w:val="en-GB"/>
        </w:rPr>
        <w:t>De Waard v Andrews &amp; Thienhans Ltd</w:t>
      </w:r>
      <w:r w:rsidRPr="009663D0">
        <w:rPr>
          <w:rFonts w:ascii="Arial" w:hAnsi="Arial" w:cs="Arial"/>
          <w:i/>
          <w:iCs/>
          <w:lang w:val="en-GB"/>
        </w:rPr>
        <w:t> </w:t>
      </w:r>
      <w:hyperlink r:id="rId14" w:tooltip="View LawCiteRecord" w:history="1">
        <w:r w:rsidRPr="009663D0">
          <w:rPr>
            <w:rStyle w:val="Hyperlink"/>
            <w:rFonts w:ascii="Arial" w:hAnsi="Arial" w:cs="Arial"/>
            <w:i/>
            <w:iCs/>
            <w:color w:val="auto"/>
            <w:u w:val="none"/>
            <w:lang w:val="en-GB"/>
          </w:rPr>
          <w:t>1907 TS 727</w:t>
        </w:r>
      </w:hyperlink>
      <w:r w:rsidRPr="009663D0">
        <w:rPr>
          <w:rFonts w:ascii="Arial" w:hAnsi="Arial" w:cs="Arial"/>
          <w:i/>
          <w:iCs/>
          <w:lang w:val="en-GB"/>
        </w:rPr>
        <w:t> at 733:</w:t>
      </w:r>
      <w:r w:rsidRPr="009663D0">
        <w:rPr>
          <w:rFonts w:ascii="Arial" w:hAnsi="Arial" w:cs="Arial"/>
          <w:lang w:val="en-GB"/>
        </w:rPr>
        <w:t xml:space="preserve"> ‘</w:t>
      </w:r>
      <w:r w:rsidRPr="009663D0">
        <w:rPr>
          <w:rFonts w:ascii="Arial" w:hAnsi="Arial" w:cs="Arial"/>
          <w:u w:val="single"/>
          <w:lang w:val="en-GB"/>
        </w:rPr>
        <w:t>To my mind the best proof of solvency is that a man should pay his debts; and therefore I always examine in a critical spirit the case of a man who does not pay what he owes</w:t>
      </w:r>
      <w:r w:rsidRPr="009663D0">
        <w:rPr>
          <w:rFonts w:ascii="Arial" w:hAnsi="Arial" w:cs="Arial"/>
          <w:lang w:val="en-GB"/>
        </w:rPr>
        <w:t>’.”</w:t>
      </w:r>
      <w:r w:rsidR="00A021A8" w:rsidRPr="009663D0">
        <w:rPr>
          <w:rFonts w:ascii="Arial" w:hAnsi="Arial" w:cs="Arial"/>
          <w:lang w:val="en-GB"/>
        </w:rPr>
        <w:t xml:space="preserve"> (Emphasis supplied.)</w:t>
      </w:r>
    </w:p>
    <w:p w14:paraId="5AB0D68F" w14:textId="77777777" w:rsidR="00D43BE5" w:rsidRPr="009663D0" w:rsidRDefault="00D43BE5" w:rsidP="009663D0">
      <w:pPr>
        <w:pStyle w:val="PlainText"/>
        <w:widowControl w:val="0"/>
        <w:spacing w:line="480" w:lineRule="auto"/>
        <w:ind w:left="709"/>
        <w:jc w:val="both"/>
        <w:rPr>
          <w:rFonts w:ascii="Arial" w:hAnsi="Arial" w:cs="Arial"/>
          <w:sz w:val="24"/>
          <w:szCs w:val="24"/>
        </w:rPr>
      </w:pPr>
    </w:p>
    <w:p w14:paraId="31B570CF" w14:textId="31D113E0" w:rsidR="00A021A8"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53.</w:t>
      </w:r>
      <w:r w:rsidRPr="009663D0">
        <w:rPr>
          <w:rFonts w:ascii="Arial" w:hAnsi="Arial" w:cs="Arial"/>
          <w:lang w:val="en-GB"/>
        </w:rPr>
        <w:tab/>
      </w:r>
      <w:r w:rsidR="00A021A8" w:rsidRPr="00E52642">
        <w:rPr>
          <w:rFonts w:ascii="Arial" w:hAnsi="Arial" w:cs="Arial"/>
          <w:lang w:val="en-GB"/>
        </w:rPr>
        <w:t xml:space="preserve">The respondent has indicated </w:t>
      </w:r>
      <w:r w:rsidR="00272C42" w:rsidRPr="00E52642">
        <w:rPr>
          <w:rFonts w:ascii="Arial" w:hAnsi="Arial" w:cs="Arial"/>
          <w:lang w:val="en-GB"/>
        </w:rPr>
        <w:t>that he has had to sell his vehicle and the former matrimonial home to pay his debts.  The value of his 25% interest in two close corporations has been reduced to zero following the sale of the corporations’ assets.  He has had to draw down on his capital and has allegedly incurred loans totalling more than R3,5 million to meet his monthly obligations.</w:t>
      </w:r>
    </w:p>
    <w:p w14:paraId="311E6695" w14:textId="77777777" w:rsidR="00272C42" w:rsidRPr="009663D0" w:rsidRDefault="00272C42" w:rsidP="009663D0">
      <w:pPr>
        <w:pStyle w:val="ListParagraph"/>
        <w:widowControl w:val="0"/>
        <w:spacing w:line="480" w:lineRule="auto"/>
        <w:ind w:left="709"/>
        <w:jc w:val="both"/>
        <w:rPr>
          <w:rFonts w:ascii="Arial" w:hAnsi="Arial" w:cs="Arial"/>
          <w:lang w:val="en-GB"/>
        </w:rPr>
      </w:pPr>
    </w:p>
    <w:p w14:paraId="40A518DD" w14:textId="2B1D87BC" w:rsidR="00A021A8"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54.</w:t>
      </w:r>
      <w:r w:rsidRPr="009663D0">
        <w:rPr>
          <w:rFonts w:ascii="Arial" w:hAnsi="Arial" w:cs="Arial"/>
          <w:lang w:val="en-GB"/>
        </w:rPr>
        <w:tab/>
      </w:r>
      <w:r w:rsidR="00A021A8" w:rsidRPr="00E52642">
        <w:rPr>
          <w:rFonts w:ascii="Arial" w:hAnsi="Arial" w:cs="Arial"/>
        </w:rPr>
        <w:t>Whilst the respondent alleges that his assets exceed his liabilities by almost R400,000, he attaches no substantiation for this allegation in his papers opposing the sequestration application. More importantly, the liabilities listed by the respondent do not include his obligation towards the applicant in the sum of R4.5 million. That must clearly be taken into account.  It follows that the respondent’s liabilities exceed its assets by more than R4 million. His negative net asset value considered together with his admitted financial demise, disclose</w:t>
      </w:r>
      <w:r w:rsidR="004F29F5" w:rsidRPr="00E52642">
        <w:rPr>
          <w:rFonts w:ascii="Arial" w:hAnsi="Arial" w:cs="Arial"/>
        </w:rPr>
        <w:t>s</w:t>
      </w:r>
      <w:r w:rsidR="00A021A8" w:rsidRPr="00E52642">
        <w:rPr>
          <w:rFonts w:ascii="Arial" w:hAnsi="Arial" w:cs="Arial"/>
        </w:rPr>
        <w:t xml:space="preserve"> that the respondent is factually insolvent.</w:t>
      </w:r>
    </w:p>
    <w:p w14:paraId="184DC2E5" w14:textId="77777777" w:rsidR="00A021A8" w:rsidRPr="009663D0" w:rsidRDefault="00A021A8" w:rsidP="009663D0">
      <w:pPr>
        <w:pStyle w:val="ListParagraph"/>
        <w:widowControl w:val="0"/>
        <w:spacing w:line="480" w:lineRule="auto"/>
        <w:ind w:left="709"/>
        <w:jc w:val="both"/>
        <w:rPr>
          <w:rFonts w:ascii="Arial" w:hAnsi="Arial" w:cs="Arial"/>
          <w:lang w:val="en-GB"/>
        </w:rPr>
      </w:pPr>
    </w:p>
    <w:p w14:paraId="416ECA34" w14:textId="13B3B462" w:rsidR="00D907F2"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55.</w:t>
      </w:r>
      <w:r w:rsidRPr="009663D0">
        <w:rPr>
          <w:rFonts w:ascii="Arial" w:hAnsi="Arial" w:cs="Arial"/>
          <w:lang w:val="en-GB"/>
        </w:rPr>
        <w:tab/>
      </w:r>
      <w:r w:rsidR="00794411" w:rsidRPr="00E52642">
        <w:rPr>
          <w:rFonts w:ascii="Arial" w:hAnsi="Arial" w:cs="Arial"/>
          <w:lang w:val="en-GB"/>
        </w:rPr>
        <w:t xml:space="preserve">In relation to the alleged acts of insolvency, the applicant relies, firstly, on the </w:t>
      </w:r>
      <w:r w:rsidR="00794411" w:rsidRPr="00E52642">
        <w:rPr>
          <w:rFonts w:ascii="Arial" w:hAnsi="Arial" w:cs="Arial"/>
          <w:lang w:val="en-GB"/>
        </w:rPr>
        <w:lastRenderedPageBreak/>
        <w:t>provisions of section 8(g) of the Insolvency Act.</w:t>
      </w:r>
      <w:r w:rsidR="00FF3E10" w:rsidRPr="00E52642">
        <w:rPr>
          <w:rFonts w:ascii="Arial" w:hAnsi="Arial" w:cs="Arial"/>
          <w:lang w:val="en-GB"/>
        </w:rPr>
        <w:t xml:space="preserve">  </w:t>
      </w:r>
      <w:r w:rsidR="00D907F2" w:rsidRPr="00E52642">
        <w:rPr>
          <w:rFonts w:ascii="Arial" w:hAnsi="Arial" w:cs="Arial"/>
        </w:rPr>
        <w:t>That section provides that where</w:t>
      </w:r>
      <w:r w:rsidR="00FF3E10" w:rsidRPr="00E52642">
        <w:rPr>
          <w:rFonts w:ascii="Arial" w:hAnsi="Arial" w:cs="Arial"/>
        </w:rPr>
        <w:t xml:space="preserve"> a </w:t>
      </w:r>
      <w:r w:rsidR="00D907F2" w:rsidRPr="00E52642">
        <w:rPr>
          <w:rFonts w:ascii="Arial" w:hAnsi="Arial" w:cs="Arial"/>
        </w:rPr>
        <w:t>debtor gives notice in writing to any of his creditors that he is unable to pay any</w:t>
      </w:r>
      <w:r w:rsidR="00FF3E10" w:rsidRPr="00E52642">
        <w:rPr>
          <w:rFonts w:ascii="Arial" w:hAnsi="Arial" w:cs="Arial"/>
        </w:rPr>
        <w:t xml:space="preserve"> of his debts, </w:t>
      </w:r>
      <w:r w:rsidR="00D907F2" w:rsidRPr="00E52642">
        <w:rPr>
          <w:rFonts w:ascii="Arial" w:hAnsi="Arial" w:cs="Arial"/>
        </w:rPr>
        <w:t>he commits an act of insolvency.</w:t>
      </w:r>
    </w:p>
    <w:p w14:paraId="52501770" w14:textId="77777777" w:rsidR="00D907F2" w:rsidRPr="009663D0" w:rsidRDefault="00D907F2" w:rsidP="009663D0">
      <w:pPr>
        <w:pStyle w:val="PlainText"/>
        <w:widowControl w:val="0"/>
        <w:spacing w:line="480" w:lineRule="auto"/>
        <w:ind w:left="709"/>
        <w:jc w:val="both"/>
        <w:rPr>
          <w:rFonts w:ascii="Arial" w:hAnsi="Arial" w:cs="Arial"/>
          <w:sz w:val="24"/>
          <w:szCs w:val="24"/>
        </w:rPr>
      </w:pPr>
    </w:p>
    <w:p w14:paraId="5AE7B20B" w14:textId="3D6B5A0B" w:rsidR="00872846"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56.</w:t>
      </w:r>
      <w:r w:rsidRPr="009663D0">
        <w:rPr>
          <w:rFonts w:ascii="Arial" w:hAnsi="Arial" w:cs="Arial"/>
          <w:sz w:val="24"/>
          <w:szCs w:val="24"/>
        </w:rPr>
        <w:tab/>
      </w:r>
      <w:r w:rsidR="00D907F2" w:rsidRPr="009663D0">
        <w:rPr>
          <w:rFonts w:ascii="Arial" w:hAnsi="Arial" w:cs="Arial"/>
          <w:sz w:val="24"/>
          <w:szCs w:val="24"/>
        </w:rPr>
        <w:t>In the respondent</w:t>
      </w:r>
      <w:r w:rsidR="00FF3E10" w:rsidRPr="009663D0">
        <w:rPr>
          <w:rFonts w:ascii="Arial" w:hAnsi="Arial" w:cs="Arial"/>
          <w:sz w:val="24"/>
          <w:szCs w:val="24"/>
        </w:rPr>
        <w:t>’</w:t>
      </w:r>
      <w:r w:rsidR="00D907F2" w:rsidRPr="009663D0">
        <w:rPr>
          <w:rFonts w:ascii="Arial" w:hAnsi="Arial" w:cs="Arial"/>
          <w:sz w:val="24"/>
          <w:szCs w:val="24"/>
        </w:rPr>
        <w:t xml:space="preserve">s founding affidavit in the </w:t>
      </w:r>
      <w:r w:rsidR="00FF3E10" w:rsidRPr="009663D0">
        <w:rPr>
          <w:rFonts w:ascii="Arial" w:hAnsi="Arial" w:cs="Arial"/>
          <w:sz w:val="24"/>
          <w:szCs w:val="24"/>
        </w:rPr>
        <w:t>Rule</w:t>
      </w:r>
      <w:r w:rsidR="00D907F2" w:rsidRPr="009663D0">
        <w:rPr>
          <w:rFonts w:ascii="Arial" w:hAnsi="Arial" w:cs="Arial"/>
          <w:sz w:val="24"/>
          <w:szCs w:val="24"/>
        </w:rPr>
        <w:t xml:space="preserve"> 46</w:t>
      </w:r>
      <w:r w:rsidR="00FF3E10" w:rsidRPr="009663D0">
        <w:rPr>
          <w:rFonts w:ascii="Arial" w:hAnsi="Arial" w:cs="Arial"/>
          <w:sz w:val="24"/>
          <w:szCs w:val="24"/>
        </w:rPr>
        <w:t>(3)</w:t>
      </w:r>
      <w:r w:rsidR="00D907F2" w:rsidRPr="009663D0">
        <w:rPr>
          <w:rFonts w:ascii="Arial" w:hAnsi="Arial" w:cs="Arial"/>
          <w:sz w:val="24"/>
          <w:szCs w:val="24"/>
        </w:rPr>
        <w:t xml:space="preserve"> application he alleges that he does not have the funds to pay any portion of his </w:t>
      </w:r>
      <w:r w:rsidR="00FF3E10" w:rsidRPr="009663D0">
        <w:rPr>
          <w:rFonts w:ascii="Arial" w:hAnsi="Arial" w:cs="Arial"/>
          <w:sz w:val="24"/>
          <w:szCs w:val="24"/>
        </w:rPr>
        <w:t>er</w:t>
      </w:r>
      <w:r w:rsidR="005B29D6" w:rsidRPr="009663D0">
        <w:rPr>
          <w:rFonts w:ascii="Arial" w:hAnsi="Arial" w:cs="Arial"/>
          <w:sz w:val="24"/>
          <w:szCs w:val="24"/>
        </w:rPr>
        <w:t>s</w:t>
      </w:r>
      <w:r w:rsidR="00FF3E10" w:rsidRPr="009663D0">
        <w:rPr>
          <w:rFonts w:ascii="Arial" w:hAnsi="Arial" w:cs="Arial"/>
          <w:sz w:val="24"/>
          <w:szCs w:val="24"/>
        </w:rPr>
        <w:t>t</w:t>
      </w:r>
      <w:r w:rsidR="00D907F2" w:rsidRPr="009663D0">
        <w:rPr>
          <w:rFonts w:ascii="Arial" w:hAnsi="Arial" w:cs="Arial"/>
          <w:sz w:val="24"/>
          <w:szCs w:val="24"/>
        </w:rPr>
        <w:t>while attorney</w:t>
      </w:r>
      <w:r w:rsidR="00FF3E10" w:rsidRPr="009663D0">
        <w:rPr>
          <w:rFonts w:ascii="Arial" w:hAnsi="Arial" w:cs="Arial"/>
          <w:sz w:val="24"/>
          <w:szCs w:val="24"/>
        </w:rPr>
        <w:t>’</w:t>
      </w:r>
      <w:r w:rsidR="00D907F2" w:rsidRPr="009663D0">
        <w:rPr>
          <w:rFonts w:ascii="Arial" w:hAnsi="Arial" w:cs="Arial"/>
          <w:sz w:val="24"/>
          <w:szCs w:val="24"/>
        </w:rPr>
        <w:t xml:space="preserve">s fees, and in an email </w:t>
      </w:r>
      <w:r w:rsidR="005B29D6" w:rsidRPr="009663D0">
        <w:rPr>
          <w:rFonts w:ascii="Arial" w:hAnsi="Arial" w:cs="Arial"/>
          <w:sz w:val="24"/>
          <w:szCs w:val="24"/>
        </w:rPr>
        <w:t>dated</w:t>
      </w:r>
      <w:r w:rsidR="00D907F2" w:rsidRPr="009663D0">
        <w:rPr>
          <w:rFonts w:ascii="Arial" w:hAnsi="Arial" w:cs="Arial"/>
          <w:sz w:val="24"/>
          <w:szCs w:val="24"/>
        </w:rPr>
        <w:t xml:space="preserve"> 2 July 2021 he admits to having a lack of cash flow which has resulted in him not </w:t>
      </w:r>
      <w:r w:rsidR="005B29D6" w:rsidRPr="009663D0">
        <w:rPr>
          <w:rFonts w:ascii="Arial" w:hAnsi="Arial" w:cs="Arial"/>
          <w:sz w:val="24"/>
          <w:szCs w:val="24"/>
        </w:rPr>
        <w:t xml:space="preserve">being able to </w:t>
      </w:r>
      <w:r w:rsidR="00D907F2" w:rsidRPr="009663D0">
        <w:rPr>
          <w:rFonts w:ascii="Arial" w:hAnsi="Arial" w:cs="Arial"/>
          <w:sz w:val="24"/>
          <w:szCs w:val="24"/>
        </w:rPr>
        <w:t>mak</w:t>
      </w:r>
      <w:r w:rsidR="005B29D6" w:rsidRPr="009663D0">
        <w:rPr>
          <w:rFonts w:ascii="Arial" w:hAnsi="Arial" w:cs="Arial"/>
          <w:sz w:val="24"/>
          <w:szCs w:val="24"/>
        </w:rPr>
        <w:t>e</w:t>
      </w:r>
      <w:r w:rsidR="00D907F2" w:rsidRPr="009663D0">
        <w:rPr>
          <w:rFonts w:ascii="Arial" w:hAnsi="Arial" w:cs="Arial"/>
          <w:sz w:val="24"/>
          <w:szCs w:val="24"/>
        </w:rPr>
        <w:t xml:space="preserve"> the </w:t>
      </w:r>
      <w:r w:rsidR="005B29D6" w:rsidRPr="009663D0">
        <w:rPr>
          <w:rFonts w:ascii="Arial" w:hAnsi="Arial" w:cs="Arial"/>
          <w:sz w:val="24"/>
          <w:szCs w:val="24"/>
        </w:rPr>
        <w:t xml:space="preserve">maintenance payments required in </w:t>
      </w:r>
      <w:r w:rsidR="00D907F2" w:rsidRPr="009663D0">
        <w:rPr>
          <w:rFonts w:ascii="Arial" w:hAnsi="Arial" w:cs="Arial"/>
          <w:sz w:val="24"/>
          <w:szCs w:val="24"/>
        </w:rPr>
        <w:t xml:space="preserve">accordance with rule 43 order granted on </w:t>
      </w:r>
      <w:r w:rsidR="005B29D6" w:rsidRPr="009663D0">
        <w:rPr>
          <w:rFonts w:ascii="Arial" w:hAnsi="Arial" w:cs="Arial"/>
          <w:sz w:val="24"/>
          <w:szCs w:val="24"/>
        </w:rPr>
        <w:t>4</w:t>
      </w:r>
      <w:r w:rsidR="00D907F2" w:rsidRPr="009663D0">
        <w:rPr>
          <w:rFonts w:ascii="Arial" w:hAnsi="Arial" w:cs="Arial"/>
          <w:sz w:val="24"/>
          <w:szCs w:val="24"/>
        </w:rPr>
        <w:t xml:space="preserve"> July 20</w:t>
      </w:r>
      <w:r w:rsidR="005B29D6" w:rsidRPr="009663D0">
        <w:rPr>
          <w:rFonts w:ascii="Arial" w:hAnsi="Arial" w:cs="Arial"/>
          <w:sz w:val="24"/>
          <w:szCs w:val="24"/>
        </w:rPr>
        <w:t>1</w:t>
      </w:r>
      <w:r w:rsidR="00D907F2" w:rsidRPr="009663D0">
        <w:rPr>
          <w:rFonts w:ascii="Arial" w:hAnsi="Arial" w:cs="Arial"/>
          <w:sz w:val="24"/>
          <w:szCs w:val="24"/>
        </w:rPr>
        <w:t xml:space="preserve">7. </w:t>
      </w:r>
      <w:r w:rsidR="005B29D6" w:rsidRPr="009663D0">
        <w:rPr>
          <w:rFonts w:ascii="Arial" w:hAnsi="Arial" w:cs="Arial"/>
          <w:sz w:val="24"/>
          <w:szCs w:val="24"/>
        </w:rPr>
        <w:t xml:space="preserve"> He has thus expressly </w:t>
      </w:r>
      <w:r w:rsidR="00522731" w:rsidRPr="009663D0">
        <w:rPr>
          <w:rFonts w:ascii="Arial" w:hAnsi="Arial" w:cs="Arial"/>
          <w:sz w:val="24"/>
          <w:szCs w:val="24"/>
        </w:rPr>
        <w:t>indicated</w:t>
      </w:r>
      <w:r w:rsidR="005B29D6" w:rsidRPr="009663D0">
        <w:rPr>
          <w:rFonts w:ascii="Arial" w:hAnsi="Arial" w:cs="Arial"/>
          <w:sz w:val="24"/>
          <w:szCs w:val="24"/>
        </w:rPr>
        <w:t xml:space="preserve"> that he cannot pay his debts.</w:t>
      </w:r>
      <w:r w:rsidR="00D907F2" w:rsidRPr="009663D0">
        <w:rPr>
          <w:rFonts w:ascii="Arial" w:hAnsi="Arial" w:cs="Arial"/>
          <w:sz w:val="24"/>
          <w:szCs w:val="24"/>
        </w:rPr>
        <w:t xml:space="preserve"> </w:t>
      </w:r>
    </w:p>
    <w:p w14:paraId="0748DBDC" w14:textId="77777777" w:rsidR="0045730E" w:rsidRPr="009663D0" w:rsidRDefault="0045730E" w:rsidP="009663D0">
      <w:pPr>
        <w:pStyle w:val="ListParagraph"/>
        <w:widowControl w:val="0"/>
        <w:spacing w:line="480" w:lineRule="auto"/>
        <w:jc w:val="both"/>
        <w:rPr>
          <w:rFonts w:ascii="Arial" w:hAnsi="Arial" w:cs="Arial"/>
        </w:rPr>
      </w:pPr>
    </w:p>
    <w:p w14:paraId="05A62D49" w14:textId="7A3AD0DB" w:rsidR="00872846"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57.</w:t>
      </w:r>
      <w:r w:rsidRPr="009663D0">
        <w:rPr>
          <w:rFonts w:ascii="Arial" w:hAnsi="Arial" w:cs="Arial"/>
          <w:sz w:val="24"/>
          <w:szCs w:val="24"/>
        </w:rPr>
        <w:tab/>
      </w:r>
      <w:r w:rsidR="0045730E" w:rsidRPr="009663D0">
        <w:rPr>
          <w:rFonts w:ascii="Arial" w:hAnsi="Arial" w:cs="Arial"/>
          <w:sz w:val="24"/>
          <w:szCs w:val="24"/>
        </w:rPr>
        <w:t xml:space="preserve">In </w:t>
      </w:r>
      <w:proofErr w:type="spellStart"/>
      <w:r w:rsidR="0045730E" w:rsidRPr="009663D0">
        <w:rPr>
          <w:rFonts w:ascii="Arial" w:hAnsi="Arial" w:cs="Arial"/>
          <w:i/>
          <w:iCs/>
          <w:sz w:val="24"/>
          <w:szCs w:val="24"/>
        </w:rPr>
        <w:t>Gobel</w:t>
      </w:r>
      <w:proofErr w:type="spellEnd"/>
      <w:r w:rsidR="0045730E" w:rsidRPr="009663D0">
        <w:rPr>
          <w:rFonts w:ascii="Arial" w:hAnsi="Arial" w:cs="Arial"/>
          <w:i/>
          <w:iCs/>
          <w:sz w:val="24"/>
          <w:szCs w:val="24"/>
        </w:rPr>
        <w:t xml:space="preserve"> supra</w:t>
      </w:r>
      <w:r w:rsidR="0045730E" w:rsidRPr="009663D0">
        <w:rPr>
          <w:rFonts w:ascii="Arial" w:hAnsi="Arial" w:cs="Arial"/>
          <w:sz w:val="24"/>
          <w:szCs w:val="24"/>
        </w:rPr>
        <w:t xml:space="preserve"> the respondent made statements in his Rule 43(6) application to the effect that he was </w:t>
      </w:r>
      <w:r w:rsidR="0045730E" w:rsidRPr="009663D0">
        <w:rPr>
          <w:rFonts w:ascii="Arial" w:hAnsi="Arial" w:cs="Arial"/>
          <w:color w:val="242121"/>
          <w:sz w:val="24"/>
          <w:szCs w:val="24"/>
          <w:shd w:val="clear" w:color="auto" w:fill="FFFFFF"/>
        </w:rPr>
        <w:t xml:space="preserve">unable to comply with the Rule 43 order due to a material change in his financial circumstances.  The Court held that, in the particular circumstances of that case, those statements did not qualify as acts of insolvency in terms of section 8(g) of the Insolvency Act, because they were made in relation to disputed debts (with reference to what is stated about </w:t>
      </w:r>
      <w:r w:rsidR="0045730E" w:rsidRPr="009663D0">
        <w:rPr>
          <w:rFonts w:ascii="Arial" w:hAnsi="Arial" w:cs="Arial"/>
          <w:i/>
          <w:iCs/>
          <w:color w:val="242121"/>
          <w:sz w:val="24"/>
          <w:szCs w:val="24"/>
          <w:shd w:val="clear" w:color="auto" w:fill="FFFFFF"/>
        </w:rPr>
        <w:t>Gobel</w:t>
      </w:r>
      <w:r w:rsidR="0045730E" w:rsidRPr="009663D0">
        <w:rPr>
          <w:rFonts w:ascii="Arial" w:hAnsi="Arial" w:cs="Arial"/>
          <w:color w:val="242121"/>
          <w:sz w:val="24"/>
          <w:szCs w:val="24"/>
          <w:shd w:val="clear" w:color="auto" w:fill="FFFFFF"/>
        </w:rPr>
        <w:t xml:space="preserve"> earlier in this judgment) which were subject to change with retrospective effect.  </w:t>
      </w:r>
      <w:r w:rsidR="0045730E" w:rsidRPr="009663D0">
        <w:rPr>
          <w:rFonts w:ascii="Arial" w:hAnsi="Arial" w:cs="Arial"/>
          <w:i/>
          <w:iCs/>
          <w:color w:val="242121"/>
          <w:sz w:val="24"/>
          <w:szCs w:val="24"/>
          <w:shd w:val="clear" w:color="auto" w:fill="FFFFFF"/>
        </w:rPr>
        <w:t>Gobel</w:t>
      </w:r>
      <w:r w:rsidR="0045730E" w:rsidRPr="009663D0">
        <w:rPr>
          <w:rFonts w:ascii="Arial" w:hAnsi="Arial" w:cs="Arial"/>
          <w:color w:val="242121"/>
          <w:sz w:val="24"/>
          <w:szCs w:val="24"/>
          <w:shd w:val="clear" w:color="auto" w:fill="FFFFFF"/>
        </w:rPr>
        <w:t xml:space="preserve"> is accordingly distinguishable from the present matter on this basis, too.</w:t>
      </w:r>
    </w:p>
    <w:p w14:paraId="1DB36F8C" w14:textId="77777777" w:rsidR="0045730E" w:rsidRPr="009663D0" w:rsidRDefault="0045730E" w:rsidP="009663D0">
      <w:pPr>
        <w:pStyle w:val="ListParagraph"/>
        <w:widowControl w:val="0"/>
        <w:spacing w:line="480" w:lineRule="auto"/>
        <w:jc w:val="both"/>
        <w:rPr>
          <w:rFonts w:ascii="Arial" w:hAnsi="Arial" w:cs="Arial"/>
        </w:rPr>
      </w:pPr>
    </w:p>
    <w:p w14:paraId="6615D535" w14:textId="529D5E63" w:rsidR="005B29D6"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58.</w:t>
      </w:r>
      <w:r w:rsidRPr="009663D0">
        <w:rPr>
          <w:rFonts w:ascii="Arial" w:hAnsi="Arial" w:cs="Arial"/>
          <w:sz w:val="24"/>
          <w:szCs w:val="24"/>
        </w:rPr>
        <w:tab/>
      </w:r>
      <w:r w:rsidR="005B29D6" w:rsidRPr="009663D0">
        <w:rPr>
          <w:rFonts w:ascii="Arial" w:hAnsi="Arial" w:cs="Arial"/>
          <w:sz w:val="24"/>
          <w:szCs w:val="24"/>
        </w:rPr>
        <w:t>Another act of insolvency upon which the applicant relies is section 8(c) of the Insolvency Act, which provides that where a debtor makes or attempts to make any disposition of any of his property which has or would have the effect of prejudicing his creditors or of preferring one creditor above another, he commits an act of insolvency.</w:t>
      </w:r>
      <w:r w:rsidR="00710653" w:rsidRPr="009663D0">
        <w:rPr>
          <w:rFonts w:ascii="Arial" w:hAnsi="Arial" w:cs="Arial"/>
          <w:sz w:val="24"/>
          <w:szCs w:val="24"/>
        </w:rPr>
        <w:t xml:space="preserve"> </w:t>
      </w:r>
    </w:p>
    <w:p w14:paraId="7FC631F4" w14:textId="77777777" w:rsidR="005B29D6" w:rsidRPr="009663D0" w:rsidRDefault="005B29D6" w:rsidP="009663D0">
      <w:pPr>
        <w:pStyle w:val="ListParagraph"/>
        <w:widowControl w:val="0"/>
        <w:spacing w:line="480" w:lineRule="auto"/>
        <w:ind w:left="706"/>
        <w:jc w:val="both"/>
        <w:rPr>
          <w:rFonts w:ascii="Arial" w:hAnsi="Arial" w:cs="Arial"/>
          <w:lang w:val="en-GB"/>
        </w:rPr>
      </w:pPr>
    </w:p>
    <w:p w14:paraId="6EA1506E" w14:textId="3AD32E20" w:rsidR="005B29D6" w:rsidRPr="00E52642" w:rsidRDefault="00E52642" w:rsidP="00E52642">
      <w:pPr>
        <w:widowControl w:val="0"/>
        <w:tabs>
          <w:tab w:val="left" w:pos="709"/>
        </w:tabs>
        <w:spacing w:line="480" w:lineRule="auto"/>
        <w:ind w:left="706" w:hanging="709"/>
        <w:jc w:val="both"/>
        <w:rPr>
          <w:rFonts w:ascii="Arial" w:hAnsi="Arial" w:cs="Arial"/>
          <w:lang w:val="en-GB"/>
        </w:rPr>
      </w:pPr>
      <w:r w:rsidRPr="009663D0">
        <w:rPr>
          <w:rFonts w:ascii="Arial" w:hAnsi="Arial" w:cs="Arial"/>
          <w:lang w:val="en-GB"/>
        </w:rPr>
        <w:lastRenderedPageBreak/>
        <w:t>59.</w:t>
      </w:r>
      <w:r w:rsidRPr="009663D0">
        <w:rPr>
          <w:rFonts w:ascii="Arial" w:hAnsi="Arial" w:cs="Arial"/>
          <w:lang w:val="en-GB"/>
        </w:rPr>
        <w:tab/>
      </w:r>
      <w:r w:rsidR="005B29D6" w:rsidRPr="00E52642">
        <w:rPr>
          <w:rFonts w:ascii="Arial" w:hAnsi="Arial" w:cs="Arial"/>
          <w:lang w:val="en-GB"/>
        </w:rPr>
        <w:t xml:space="preserve">As regards this act of insolvency, the Court in </w:t>
      </w:r>
      <w:r w:rsidR="005B29D6" w:rsidRPr="00E52642">
        <w:rPr>
          <w:rFonts w:ascii="Arial" w:hAnsi="Arial" w:cs="Arial"/>
          <w:i/>
          <w:iCs/>
          <w:lang w:val="en-GB"/>
        </w:rPr>
        <w:t>Ullman Sails</w:t>
      </w:r>
      <w:r w:rsidR="005B29D6" w:rsidRPr="00E52642">
        <w:rPr>
          <w:rFonts w:ascii="Arial" w:hAnsi="Arial" w:cs="Arial"/>
          <w:lang w:val="en-GB"/>
        </w:rPr>
        <w:t xml:space="preserve"> remarked as follows:</w:t>
      </w:r>
    </w:p>
    <w:p w14:paraId="3D9787AB" w14:textId="77777777" w:rsidR="005B29D6" w:rsidRPr="009663D0" w:rsidRDefault="005B29D6" w:rsidP="009663D0">
      <w:pPr>
        <w:pStyle w:val="ListParagraph"/>
        <w:widowControl w:val="0"/>
        <w:spacing w:line="480" w:lineRule="auto"/>
        <w:ind w:left="706"/>
        <w:jc w:val="both"/>
        <w:rPr>
          <w:rFonts w:ascii="Arial" w:hAnsi="Arial" w:cs="Arial"/>
          <w:lang w:val="en-GB"/>
        </w:rPr>
      </w:pPr>
    </w:p>
    <w:p w14:paraId="793C80C3" w14:textId="7E2E7E0A" w:rsidR="005B29D6" w:rsidRPr="009663D0" w:rsidRDefault="005B29D6" w:rsidP="009663D0">
      <w:pPr>
        <w:pStyle w:val="ListParagraph"/>
        <w:widowControl w:val="0"/>
        <w:spacing w:line="480" w:lineRule="auto"/>
        <w:ind w:left="706"/>
        <w:jc w:val="both"/>
        <w:rPr>
          <w:rFonts w:ascii="Arial" w:hAnsi="Arial" w:cs="Arial"/>
          <w:lang w:val="en-GB"/>
        </w:rPr>
      </w:pPr>
      <w:r w:rsidRPr="009663D0">
        <w:rPr>
          <w:rFonts w:ascii="Arial" w:hAnsi="Arial" w:cs="Arial"/>
          <w:shd w:val="clear" w:color="auto" w:fill="FFFFFF"/>
          <w:lang w:val="en-GB"/>
        </w:rPr>
        <w:t>“</w:t>
      </w:r>
      <w:r w:rsidRPr="009663D0">
        <w:rPr>
          <w:rFonts w:ascii="Arial" w:hAnsi="Arial" w:cs="Arial"/>
          <w:i/>
          <w:iCs/>
          <w:shd w:val="clear" w:color="auto" w:fill="FFFFFF"/>
          <w:lang w:val="en-GB"/>
        </w:rPr>
        <w:t>[46] The difficulty with an application for the sequestration of a person’s estate based on act of insolvency in terms of s 8(c) of the Insolvency Act is that it will often be impossible to determine whether the disposition in issue has or would have the effect of prejudicing his creditors or preferring one creditor above another without an adequate overall insight into the respondent’s proprietary affairs.  Thus, if the respondent is factually solvent it would generally be difficult to establish that the disposition of any property that would not put his balance sheet into the red would prejudice his creditors.  It would, however, defeat the object of s 8(c) if it could find a basis to operate only if an applicant established that the disposition in question had or would have the effect of rendering the respondent factually insolvent; …  Therefore, having regard to the object of the establishment of ‘acts of insolvency’ in terms of s 8, which is to relieve applicants of the often daunting evidential burden of establishing factual insolvency, it seems to me that the sort of disposition that the legislature must have primarily had in mind when it enacted s 8(c) must have been the sort that by its very character, seen in isolation, was likely to have the postulated effect.</w:t>
      </w:r>
      <w:r w:rsidRPr="009663D0">
        <w:rPr>
          <w:rFonts w:ascii="Arial" w:hAnsi="Arial" w:cs="Arial"/>
          <w:shd w:val="clear" w:color="auto" w:fill="FFFFFF"/>
          <w:lang w:val="en-GB"/>
        </w:rPr>
        <w:t>”</w:t>
      </w:r>
    </w:p>
    <w:p w14:paraId="2124AA49" w14:textId="77777777" w:rsidR="005B29D6" w:rsidRPr="009663D0" w:rsidRDefault="005B29D6" w:rsidP="009663D0">
      <w:pPr>
        <w:pStyle w:val="PlainText"/>
        <w:widowControl w:val="0"/>
        <w:spacing w:line="480" w:lineRule="auto"/>
        <w:ind w:left="709"/>
        <w:jc w:val="both"/>
        <w:rPr>
          <w:rFonts w:ascii="Arial" w:hAnsi="Arial" w:cs="Arial"/>
          <w:sz w:val="24"/>
          <w:szCs w:val="24"/>
        </w:rPr>
      </w:pPr>
    </w:p>
    <w:p w14:paraId="16A5664C" w14:textId="0677DD43" w:rsidR="005B29D6"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60.</w:t>
      </w:r>
      <w:r w:rsidRPr="009663D0">
        <w:rPr>
          <w:rFonts w:ascii="Arial" w:hAnsi="Arial" w:cs="Arial"/>
          <w:sz w:val="24"/>
          <w:szCs w:val="24"/>
        </w:rPr>
        <w:tab/>
      </w:r>
      <w:r w:rsidR="005B29D6" w:rsidRPr="009663D0">
        <w:rPr>
          <w:rFonts w:ascii="Arial" w:hAnsi="Arial" w:cs="Arial"/>
          <w:sz w:val="24"/>
          <w:szCs w:val="24"/>
        </w:rPr>
        <w:t xml:space="preserve">The 2014 agreement identifies the applicant as a creditor of the respondent, who was required payment of the amount of at least R4,5 million on the sale of Erf </w:t>
      </w:r>
      <w:r w:rsidR="00466960">
        <w:rPr>
          <w:rFonts w:ascii="Arial" w:hAnsi="Arial" w:cs="Arial"/>
          <w:sz w:val="24"/>
          <w:szCs w:val="24"/>
        </w:rPr>
        <w:t>[…]</w:t>
      </w:r>
      <w:r w:rsidR="005B29D6" w:rsidRPr="009663D0">
        <w:rPr>
          <w:rFonts w:ascii="Arial" w:hAnsi="Arial" w:cs="Arial"/>
          <w:sz w:val="24"/>
          <w:szCs w:val="24"/>
        </w:rPr>
        <w:t>. I have already found that this is an admitted liability, due and owing to the applicant.</w:t>
      </w:r>
    </w:p>
    <w:p w14:paraId="625238CA" w14:textId="77777777" w:rsidR="005B29D6" w:rsidRPr="009663D0" w:rsidRDefault="005B29D6" w:rsidP="009663D0">
      <w:pPr>
        <w:pStyle w:val="PlainText"/>
        <w:widowControl w:val="0"/>
        <w:spacing w:line="480" w:lineRule="auto"/>
        <w:ind w:left="709"/>
        <w:jc w:val="both"/>
        <w:rPr>
          <w:rFonts w:ascii="Arial" w:hAnsi="Arial" w:cs="Arial"/>
          <w:sz w:val="24"/>
          <w:szCs w:val="24"/>
        </w:rPr>
      </w:pPr>
    </w:p>
    <w:p w14:paraId="07598CA8" w14:textId="44907DB8" w:rsidR="005B29D6"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61.</w:t>
      </w:r>
      <w:r w:rsidRPr="009663D0">
        <w:rPr>
          <w:rFonts w:ascii="Arial" w:hAnsi="Arial" w:cs="Arial"/>
          <w:sz w:val="24"/>
          <w:szCs w:val="24"/>
        </w:rPr>
        <w:tab/>
      </w:r>
      <w:r w:rsidR="005B29D6" w:rsidRPr="009663D0">
        <w:rPr>
          <w:rFonts w:ascii="Arial" w:hAnsi="Arial" w:cs="Arial"/>
          <w:sz w:val="24"/>
          <w:szCs w:val="24"/>
        </w:rPr>
        <w:t xml:space="preserve">Upon the registration of transfer of Erf </w:t>
      </w:r>
      <w:r w:rsidR="00466960">
        <w:rPr>
          <w:rFonts w:ascii="Arial" w:hAnsi="Arial" w:cs="Arial"/>
          <w:sz w:val="24"/>
          <w:szCs w:val="24"/>
        </w:rPr>
        <w:t>[…]</w:t>
      </w:r>
      <w:r w:rsidR="005B29D6" w:rsidRPr="009663D0">
        <w:rPr>
          <w:rFonts w:ascii="Arial" w:hAnsi="Arial" w:cs="Arial"/>
          <w:sz w:val="24"/>
          <w:szCs w:val="24"/>
        </w:rPr>
        <w:t xml:space="preserve">, the respondent </w:t>
      </w:r>
      <w:r w:rsidR="00F34C9F" w:rsidRPr="009663D0">
        <w:rPr>
          <w:rFonts w:ascii="Arial" w:hAnsi="Arial" w:cs="Arial"/>
          <w:sz w:val="24"/>
          <w:szCs w:val="24"/>
        </w:rPr>
        <w:t>spent</w:t>
      </w:r>
      <w:r w:rsidR="005B29D6" w:rsidRPr="009663D0">
        <w:rPr>
          <w:rFonts w:ascii="Arial" w:hAnsi="Arial" w:cs="Arial"/>
          <w:sz w:val="24"/>
          <w:szCs w:val="24"/>
        </w:rPr>
        <w:t xml:space="preserve"> the proceeds of the sale by making payments to </w:t>
      </w:r>
      <w:r w:rsidR="00F34C9F" w:rsidRPr="009663D0">
        <w:rPr>
          <w:rFonts w:ascii="Arial" w:hAnsi="Arial" w:cs="Arial"/>
          <w:sz w:val="24"/>
          <w:szCs w:val="24"/>
        </w:rPr>
        <w:t xml:space="preserve">various </w:t>
      </w:r>
      <w:r w:rsidR="005B29D6" w:rsidRPr="009663D0">
        <w:rPr>
          <w:rFonts w:ascii="Arial" w:hAnsi="Arial" w:cs="Arial"/>
          <w:sz w:val="24"/>
          <w:szCs w:val="24"/>
        </w:rPr>
        <w:t xml:space="preserve">of his alleged creditors to such an extent that a negative balance is remaining. In dissipating the proceeds of the sale, </w:t>
      </w:r>
      <w:r w:rsidR="00F34C9F" w:rsidRPr="009663D0">
        <w:rPr>
          <w:rFonts w:ascii="Arial" w:hAnsi="Arial" w:cs="Arial"/>
          <w:sz w:val="24"/>
          <w:szCs w:val="24"/>
        </w:rPr>
        <w:t>t</w:t>
      </w:r>
      <w:r w:rsidR="005B29D6" w:rsidRPr="009663D0">
        <w:rPr>
          <w:rFonts w:ascii="Arial" w:hAnsi="Arial" w:cs="Arial"/>
          <w:sz w:val="24"/>
          <w:szCs w:val="24"/>
        </w:rPr>
        <w:t xml:space="preserve">he respondent </w:t>
      </w:r>
      <w:r w:rsidR="005B29D6" w:rsidRPr="009663D0">
        <w:rPr>
          <w:rFonts w:ascii="Arial" w:hAnsi="Arial" w:cs="Arial"/>
          <w:sz w:val="24"/>
          <w:szCs w:val="24"/>
        </w:rPr>
        <w:lastRenderedPageBreak/>
        <w:t>preferred his friends, family and his late father</w:t>
      </w:r>
      <w:r w:rsidR="00F34C9F" w:rsidRPr="009663D0">
        <w:rPr>
          <w:rFonts w:ascii="Arial" w:hAnsi="Arial" w:cs="Arial"/>
          <w:sz w:val="24"/>
          <w:szCs w:val="24"/>
        </w:rPr>
        <w:t>’s</w:t>
      </w:r>
      <w:r w:rsidR="005B29D6" w:rsidRPr="009663D0">
        <w:rPr>
          <w:rFonts w:ascii="Arial" w:hAnsi="Arial" w:cs="Arial"/>
          <w:sz w:val="24"/>
          <w:szCs w:val="24"/>
        </w:rPr>
        <w:t xml:space="preserve"> estate above his obligation to maintain his children and his wife. He is still indebted to the applicant in the sum of R</w:t>
      </w:r>
      <w:r w:rsidR="00F34C9F" w:rsidRPr="009663D0">
        <w:rPr>
          <w:rFonts w:ascii="Arial" w:hAnsi="Arial" w:cs="Arial"/>
          <w:sz w:val="24"/>
          <w:szCs w:val="24"/>
        </w:rPr>
        <w:t>4,</w:t>
      </w:r>
      <w:r w:rsidR="005B29D6" w:rsidRPr="009663D0">
        <w:rPr>
          <w:rFonts w:ascii="Arial" w:hAnsi="Arial" w:cs="Arial"/>
          <w:sz w:val="24"/>
          <w:szCs w:val="24"/>
        </w:rPr>
        <w:t>5 million which he was required to pay to her on 27 July 2021 when transfer of the property was registered.</w:t>
      </w:r>
    </w:p>
    <w:p w14:paraId="1175B265" w14:textId="77777777" w:rsidR="005B29D6" w:rsidRPr="009663D0" w:rsidRDefault="005B29D6" w:rsidP="009663D0">
      <w:pPr>
        <w:pStyle w:val="PlainText"/>
        <w:widowControl w:val="0"/>
        <w:spacing w:line="480" w:lineRule="auto"/>
        <w:ind w:left="709"/>
        <w:jc w:val="both"/>
        <w:rPr>
          <w:rFonts w:ascii="Arial" w:hAnsi="Arial" w:cs="Arial"/>
          <w:sz w:val="24"/>
          <w:szCs w:val="24"/>
        </w:rPr>
      </w:pPr>
    </w:p>
    <w:p w14:paraId="6B498A5B" w14:textId="4E5925CD" w:rsidR="005B29D6"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62.</w:t>
      </w:r>
      <w:r w:rsidRPr="009663D0">
        <w:rPr>
          <w:rFonts w:ascii="Arial" w:hAnsi="Arial" w:cs="Arial"/>
          <w:sz w:val="24"/>
          <w:szCs w:val="24"/>
        </w:rPr>
        <w:tab/>
      </w:r>
      <w:r w:rsidR="005B29D6" w:rsidRPr="009663D0">
        <w:rPr>
          <w:rFonts w:ascii="Arial" w:hAnsi="Arial" w:cs="Arial"/>
          <w:sz w:val="24"/>
          <w:szCs w:val="24"/>
        </w:rPr>
        <w:t>The respondent</w:t>
      </w:r>
      <w:r w:rsidR="00F34C9F" w:rsidRPr="009663D0">
        <w:rPr>
          <w:rFonts w:ascii="Arial" w:hAnsi="Arial" w:cs="Arial"/>
          <w:sz w:val="24"/>
          <w:szCs w:val="24"/>
        </w:rPr>
        <w:t>’</w:t>
      </w:r>
      <w:r w:rsidR="005B29D6" w:rsidRPr="009663D0">
        <w:rPr>
          <w:rFonts w:ascii="Arial" w:hAnsi="Arial" w:cs="Arial"/>
          <w:sz w:val="24"/>
          <w:szCs w:val="24"/>
        </w:rPr>
        <w:t>s balance sheet calculation discloses that he cannot make payment of the R4</w:t>
      </w:r>
      <w:r w:rsidR="00F34C9F" w:rsidRPr="009663D0">
        <w:rPr>
          <w:rFonts w:ascii="Arial" w:hAnsi="Arial" w:cs="Arial"/>
          <w:sz w:val="24"/>
          <w:szCs w:val="24"/>
        </w:rPr>
        <w:t>,</w:t>
      </w:r>
      <w:r w:rsidR="005B29D6" w:rsidRPr="009663D0">
        <w:rPr>
          <w:rFonts w:ascii="Arial" w:hAnsi="Arial" w:cs="Arial"/>
          <w:sz w:val="24"/>
          <w:szCs w:val="24"/>
        </w:rPr>
        <w:t>5 million</w:t>
      </w:r>
      <w:r w:rsidR="00F34C9F" w:rsidRPr="009663D0">
        <w:rPr>
          <w:rFonts w:ascii="Arial" w:hAnsi="Arial" w:cs="Arial"/>
          <w:sz w:val="24"/>
          <w:szCs w:val="24"/>
        </w:rPr>
        <w:t xml:space="preserve"> (</w:t>
      </w:r>
      <w:r w:rsidR="005B29D6" w:rsidRPr="009663D0">
        <w:rPr>
          <w:rFonts w:ascii="Arial" w:hAnsi="Arial" w:cs="Arial"/>
          <w:sz w:val="24"/>
          <w:szCs w:val="24"/>
        </w:rPr>
        <w:t xml:space="preserve">as well as arrears </w:t>
      </w:r>
      <w:r w:rsidR="00F34C9F" w:rsidRPr="009663D0">
        <w:rPr>
          <w:rFonts w:ascii="Arial" w:hAnsi="Arial" w:cs="Arial"/>
          <w:sz w:val="24"/>
          <w:szCs w:val="24"/>
        </w:rPr>
        <w:t xml:space="preserve">owed to the applicant </w:t>
      </w:r>
      <w:r w:rsidR="005B29D6" w:rsidRPr="009663D0">
        <w:rPr>
          <w:rFonts w:ascii="Arial" w:hAnsi="Arial" w:cs="Arial"/>
          <w:sz w:val="24"/>
          <w:szCs w:val="24"/>
        </w:rPr>
        <w:t xml:space="preserve">in respect of the rule 43 maintenance order which I have </w:t>
      </w:r>
      <w:r w:rsidR="00D43BE5" w:rsidRPr="009663D0">
        <w:rPr>
          <w:rFonts w:ascii="Arial" w:hAnsi="Arial" w:cs="Arial"/>
          <w:sz w:val="24"/>
          <w:szCs w:val="24"/>
        </w:rPr>
        <w:t>not had to consider for the purposes of this application</w:t>
      </w:r>
      <w:r w:rsidR="00F34C9F" w:rsidRPr="009663D0">
        <w:rPr>
          <w:rFonts w:ascii="Arial" w:hAnsi="Arial" w:cs="Arial"/>
          <w:sz w:val="24"/>
          <w:szCs w:val="24"/>
        </w:rPr>
        <w:t>)</w:t>
      </w:r>
      <w:r w:rsidR="005B29D6" w:rsidRPr="009663D0">
        <w:rPr>
          <w:rFonts w:ascii="Arial" w:hAnsi="Arial" w:cs="Arial"/>
          <w:sz w:val="24"/>
          <w:szCs w:val="24"/>
        </w:rPr>
        <w:t>. In settling the debt</w:t>
      </w:r>
      <w:r w:rsidR="00F34C9F" w:rsidRPr="009663D0">
        <w:rPr>
          <w:rFonts w:ascii="Arial" w:hAnsi="Arial" w:cs="Arial"/>
          <w:sz w:val="24"/>
          <w:szCs w:val="24"/>
        </w:rPr>
        <w:t>s</w:t>
      </w:r>
      <w:r w:rsidR="005B29D6" w:rsidRPr="009663D0">
        <w:rPr>
          <w:rFonts w:ascii="Arial" w:hAnsi="Arial" w:cs="Arial"/>
          <w:sz w:val="24"/>
          <w:szCs w:val="24"/>
        </w:rPr>
        <w:t xml:space="preserve"> owed to his other creditors, </w:t>
      </w:r>
      <w:r w:rsidR="00F34C9F" w:rsidRPr="009663D0">
        <w:rPr>
          <w:rFonts w:ascii="Arial" w:hAnsi="Arial" w:cs="Arial"/>
          <w:sz w:val="24"/>
          <w:szCs w:val="24"/>
        </w:rPr>
        <w:t xml:space="preserve">the </w:t>
      </w:r>
      <w:r w:rsidR="005B29D6" w:rsidRPr="009663D0">
        <w:rPr>
          <w:rFonts w:ascii="Arial" w:hAnsi="Arial" w:cs="Arial"/>
          <w:sz w:val="24"/>
          <w:szCs w:val="24"/>
        </w:rPr>
        <w:t>responde</w:t>
      </w:r>
      <w:r w:rsidR="00F34C9F" w:rsidRPr="009663D0">
        <w:rPr>
          <w:rFonts w:ascii="Arial" w:hAnsi="Arial" w:cs="Arial"/>
          <w:sz w:val="24"/>
          <w:szCs w:val="24"/>
        </w:rPr>
        <w:t>nt</w:t>
      </w:r>
      <w:r w:rsidR="005B29D6" w:rsidRPr="009663D0">
        <w:rPr>
          <w:rFonts w:ascii="Arial" w:hAnsi="Arial" w:cs="Arial"/>
          <w:sz w:val="24"/>
          <w:szCs w:val="24"/>
        </w:rPr>
        <w:t xml:space="preserve"> preferred them over the applicant and in doing so committed the act of insolvency contemplated in section 8</w:t>
      </w:r>
      <w:r w:rsidR="00F34C9F" w:rsidRPr="009663D0">
        <w:rPr>
          <w:rFonts w:ascii="Arial" w:hAnsi="Arial" w:cs="Arial"/>
          <w:sz w:val="24"/>
          <w:szCs w:val="24"/>
        </w:rPr>
        <w:t>(c)</w:t>
      </w:r>
      <w:r w:rsidR="005B29D6" w:rsidRPr="009663D0">
        <w:rPr>
          <w:rFonts w:ascii="Arial" w:hAnsi="Arial" w:cs="Arial"/>
          <w:sz w:val="24"/>
          <w:szCs w:val="24"/>
        </w:rPr>
        <w:t xml:space="preserve"> of the </w:t>
      </w:r>
      <w:r w:rsidR="00F34C9F" w:rsidRPr="009663D0">
        <w:rPr>
          <w:rFonts w:ascii="Arial" w:hAnsi="Arial" w:cs="Arial"/>
          <w:sz w:val="24"/>
          <w:szCs w:val="24"/>
        </w:rPr>
        <w:t>I</w:t>
      </w:r>
      <w:r w:rsidR="005B29D6" w:rsidRPr="009663D0">
        <w:rPr>
          <w:rFonts w:ascii="Arial" w:hAnsi="Arial" w:cs="Arial"/>
          <w:sz w:val="24"/>
          <w:szCs w:val="24"/>
        </w:rPr>
        <w:t xml:space="preserve">nsolvency </w:t>
      </w:r>
      <w:r w:rsidR="00F34C9F" w:rsidRPr="009663D0">
        <w:rPr>
          <w:rFonts w:ascii="Arial" w:hAnsi="Arial" w:cs="Arial"/>
          <w:sz w:val="24"/>
          <w:szCs w:val="24"/>
        </w:rPr>
        <w:t>A</w:t>
      </w:r>
      <w:r w:rsidR="005B29D6" w:rsidRPr="009663D0">
        <w:rPr>
          <w:rFonts w:ascii="Arial" w:hAnsi="Arial" w:cs="Arial"/>
          <w:sz w:val="24"/>
          <w:szCs w:val="24"/>
        </w:rPr>
        <w:t>ct</w:t>
      </w:r>
      <w:r w:rsidR="00F34C9F" w:rsidRPr="009663D0">
        <w:rPr>
          <w:rFonts w:ascii="Arial" w:hAnsi="Arial" w:cs="Arial"/>
          <w:sz w:val="24"/>
          <w:szCs w:val="24"/>
        </w:rPr>
        <w:t>.</w:t>
      </w:r>
    </w:p>
    <w:p w14:paraId="00C04E26" w14:textId="77777777" w:rsidR="004F29F5" w:rsidRPr="009663D0" w:rsidRDefault="004F29F5" w:rsidP="009663D0">
      <w:pPr>
        <w:pStyle w:val="ListParagraph"/>
        <w:widowControl w:val="0"/>
        <w:spacing w:line="480" w:lineRule="auto"/>
        <w:rPr>
          <w:rFonts w:ascii="Arial" w:hAnsi="Arial" w:cs="Arial"/>
        </w:rPr>
      </w:pPr>
    </w:p>
    <w:p w14:paraId="2D4665E8" w14:textId="76484A59" w:rsidR="004F29F5" w:rsidRPr="009663D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9663D0">
        <w:rPr>
          <w:rFonts w:ascii="Arial" w:hAnsi="Arial" w:cs="Arial"/>
          <w:sz w:val="24"/>
          <w:szCs w:val="24"/>
        </w:rPr>
        <w:t>63.</w:t>
      </w:r>
      <w:r w:rsidRPr="009663D0">
        <w:rPr>
          <w:rFonts w:ascii="Arial" w:hAnsi="Arial" w:cs="Arial"/>
          <w:sz w:val="24"/>
          <w:szCs w:val="24"/>
        </w:rPr>
        <w:tab/>
      </w:r>
      <w:r w:rsidR="004F29F5" w:rsidRPr="009663D0">
        <w:rPr>
          <w:rFonts w:ascii="Arial" w:hAnsi="Arial" w:cs="Arial"/>
          <w:sz w:val="24"/>
          <w:szCs w:val="24"/>
        </w:rPr>
        <w:t xml:space="preserve">In these circumstances, I am satisfied that the applicant has established, </w:t>
      </w:r>
      <w:r w:rsidR="004F29F5" w:rsidRPr="009663D0">
        <w:rPr>
          <w:rFonts w:ascii="Arial" w:hAnsi="Arial" w:cs="Arial"/>
          <w:i/>
          <w:iCs/>
          <w:sz w:val="24"/>
          <w:szCs w:val="24"/>
        </w:rPr>
        <w:t>prima facie</w:t>
      </w:r>
      <w:r w:rsidR="004F29F5" w:rsidRPr="009663D0">
        <w:rPr>
          <w:rFonts w:ascii="Arial" w:hAnsi="Arial" w:cs="Arial"/>
          <w:sz w:val="24"/>
          <w:szCs w:val="24"/>
        </w:rPr>
        <w:t>, that the respondent is factually insolvent and that he has, in any event, committed acts of insolvency, in fulfilment of the requirement in section 10(b) of the Insolvency Act.</w:t>
      </w:r>
    </w:p>
    <w:p w14:paraId="32CBA191" w14:textId="7E69E651" w:rsidR="004A6C38" w:rsidRPr="009663D0" w:rsidRDefault="004A6C38" w:rsidP="009663D0">
      <w:pPr>
        <w:widowControl w:val="0"/>
        <w:spacing w:line="480" w:lineRule="auto"/>
        <w:jc w:val="both"/>
        <w:rPr>
          <w:rFonts w:ascii="Arial" w:hAnsi="Arial" w:cs="Arial"/>
          <w:lang w:val="en-GB"/>
        </w:rPr>
      </w:pPr>
    </w:p>
    <w:p w14:paraId="3FB5A3D7" w14:textId="55F2556C" w:rsidR="004A6C38" w:rsidRPr="009663D0" w:rsidRDefault="004A6C38" w:rsidP="009663D0">
      <w:pPr>
        <w:widowControl w:val="0"/>
        <w:spacing w:line="480" w:lineRule="auto"/>
        <w:jc w:val="both"/>
        <w:rPr>
          <w:rFonts w:ascii="Arial" w:hAnsi="Arial" w:cs="Arial"/>
          <w:u w:val="single"/>
          <w:lang w:val="en-GB"/>
        </w:rPr>
      </w:pPr>
      <w:r w:rsidRPr="009663D0">
        <w:rPr>
          <w:rFonts w:ascii="Arial" w:hAnsi="Arial" w:cs="Arial"/>
          <w:u w:val="single"/>
          <w:lang w:val="en-GB"/>
        </w:rPr>
        <w:t>Advantage to creditors</w:t>
      </w:r>
    </w:p>
    <w:p w14:paraId="6926A545" w14:textId="77777777" w:rsidR="004A6C38" w:rsidRPr="009663D0" w:rsidRDefault="004A6C38" w:rsidP="00C132D2">
      <w:pPr>
        <w:widowControl w:val="0"/>
        <w:spacing w:line="480" w:lineRule="auto"/>
        <w:jc w:val="both"/>
        <w:rPr>
          <w:rFonts w:ascii="Arial" w:hAnsi="Arial" w:cs="Arial"/>
          <w:lang w:val="en-GB"/>
        </w:rPr>
      </w:pPr>
    </w:p>
    <w:p w14:paraId="0020542A" w14:textId="1E0D10C0" w:rsidR="00F7658D"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64.</w:t>
      </w:r>
      <w:r w:rsidRPr="009663D0">
        <w:rPr>
          <w:rFonts w:ascii="Arial" w:hAnsi="Arial" w:cs="Arial"/>
          <w:lang w:val="en-GB"/>
        </w:rPr>
        <w:tab/>
      </w:r>
      <w:r w:rsidR="00BB6A0F" w:rsidRPr="00E52642">
        <w:rPr>
          <w:rFonts w:ascii="Arial" w:hAnsi="Arial" w:cs="Arial"/>
          <w:lang w:val="en-GB"/>
        </w:rPr>
        <w:t xml:space="preserve">As to an advantage to creditors, it was stated in </w:t>
      </w:r>
      <w:r w:rsidR="00BB6A0F" w:rsidRPr="00E52642">
        <w:rPr>
          <w:rFonts w:ascii="Arial" w:hAnsi="Arial" w:cs="Arial"/>
          <w:i/>
          <w:iCs/>
          <w:lang w:val="en-GB"/>
        </w:rPr>
        <w:t>Ullman Sails</w:t>
      </w:r>
      <w:r w:rsidR="00BB6A0F" w:rsidRPr="00E52642">
        <w:rPr>
          <w:rFonts w:ascii="Arial" w:hAnsi="Arial" w:cs="Arial"/>
          <w:lang w:val="en-GB"/>
        </w:rPr>
        <w:t xml:space="preserve"> at para [60] as follows:</w:t>
      </w:r>
    </w:p>
    <w:p w14:paraId="04885C28" w14:textId="7E442040" w:rsidR="00BB6A0F" w:rsidRPr="009663D0" w:rsidRDefault="00BB6A0F" w:rsidP="00C132D2">
      <w:pPr>
        <w:pStyle w:val="ListParagraph"/>
        <w:widowControl w:val="0"/>
        <w:spacing w:line="480" w:lineRule="auto"/>
        <w:ind w:left="709"/>
        <w:jc w:val="both"/>
        <w:rPr>
          <w:rFonts w:ascii="Arial" w:hAnsi="Arial" w:cs="Arial"/>
          <w:lang w:val="en-GB"/>
        </w:rPr>
      </w:pPr>
    </w:p>
    <w:p w14:paraId="5C2B992D" w14:textId="7C6723BE" w:rsidR="004A6C38" w:rsidRDefault="00BB6A0F" w:rsidP="00C132D2">
      <w:pPr>
        <w:pStyle w:val="western"/>
        <w:widowControl w:val="0"/>
        <w:shd w:val="clear" w:color="auto" w:fill="FFFFFF"/>
        <w:spacing w:before="0" w:beforeAutospacing="0" w:after="0" w:afterAutospacing="0" w:line="480" w:lineRule="auto"/>
        <w:ind w:left="709"/>
        <w:jc w:val="both"/>
        <w:rPr>
          <w:rFonts w:ascii="Arial" w:hAnsi="Arial" w:cs="Arial"/>
          <w:lang w:val="en-GB"/>
        </w:rPr>
      </w:pPr>
      <w:r w:rsidRPr="009663D0">
        <w:rPr>
          <w:rFonts w:ascii="Arial" w:hAnsi="Arial" w:cs="Arial"/>
          <w:lang w:val="en-GB"/>
        </w:rPr>
        <w:t>“</w:t>
      </w:r>
      <w:r w:rsidR="004A6C38" w:rsidRPr="009663D0">
        <w:rPr>
          <w:rFonts w:ascii="Arial" w:hAnsi="Arial" w:cs="Arial"/>
          <w:i/>
          <w:iCs/>
          <w:lang w:val="en-GB"/>
        </w:rPr>
        <w:t>The prospect of a significant dividend to unsecured creditors does not look promising on the papers, but, as explained in </w:t>
      </w:r>
      <w:r w:rsidR="004A6C38" w:rsidRPr="009663D0">
        <w:rPr>
          <w:rFonts w:ascii="Arial" w:hAnsi="Arial" w:cs="Arial"/>
          <w:lang w:val="en-GB"/>
        </w:rPr>
        <w:t>Stratford and Others v Investec Bank Limited and Others</w:t>
      </w:r>
      <w:r w:rsidR="004A6C38" w:rsidRPr="009663D0">
        <w:rPr>
          <w:rFonts w:ascii="Arial" w:hAnsi="Arial" w:cs="Arial"/>
          <w:i/>
          <w:iCs/>
          <w:lang w:val="en-GB"/>
        </w:rPr>
        <w:t xml:space="preserve"> … </w:t>
      </w:r>
      <w:hyperlink r:id="rId15" w:tooltip="View LawCiteRecord" w:history="1">
        <w:r w:rsidR="004A6C38" w:rsidRPr="009663D0">
          <w:rPr>
            <w:rStyle w:val="Hyperlink"/>
            <w:rFonts w:ascii="Arial" w:hAnsi="Arial" w:cs="Arial"/>
            <w:i/>
            <w:iCs/>
            <w:color w:val="auto"/>
            <w:u w:val="none"/>
            <w:lang w:val="en-GB"/>
          </w:rPr>
          <w:t>2015 (3) SA 1</w:t>
        </w:r>
      </w:hyperlink>
      <w:r w:rsidR="004A6C38" w:rsidRPr="009663D0">
        <w:rPr>
          <w:rFonts w:ascii="Arial" w:hAnsi="Arial" w:cs="Arial"/>
          <w:i/>
          <w:iCs/>
          <w:lang w:val="en-GB"/>
        </w:rPr>
        <w:t> (CC) … at para 43-45, that is not necessary to establish that there would be an advantage to creditors if the respondents’ estates were sequestrated.  The Constitutional Court there endorsed the approach stated in </w:t>
      </w:r>
      <w:r w:rsidR="004A6C38" w:rsidRPr="009663D0">
        <w:rPr>
          <w:rFonts w:ascii="Arial" w:hAnsi="Arial" w:cs="Arial"/>
          <w:lang w:val="en-GB"/>
        </w:rPr>
        <w:t xml:space="preserve">Meskin </w:t>
      </w:r>
      <w:r w:rsidR="004A6C38" w:rsidRPr="009663D0">
        <w:rPr>
          <w:rFonts w:ascii="Arial" w:hAnsi="Arial" w:cs="Arial"/>
          <w:lang w:val="en-GB"/>
        </w:rPr>
        <w:lastRenderedPageBreak/>
        <w:t>&amp; Co v Friedman</w:t>
      </w:r>
      <w:r w:rsidR="004A6C38" w:rsidRPr="009663D0">
        <w:rPr>
          <w:rFonts w:ascii="Arial" w:hAnsi="Arial" w:cs="Arial"/>
          <w:i/>
          <w:iCs/>
          <w:lang w:val="en-GB"/>
        </w:rPr>
        <w:t> </w:t>
      </w:r>
      <w:hyperlink r:id="rId16" w:tooltip="View LawCiteRecord" w:history="1">
        <w:r w:rsidR="004A6C38" w:rsidRPr="009663D0">
          <w:rPr>
            <w:rStyle w:val="Hyperlink"/>
            <w:rFonts w:ascii="Arial" w:hAnsi="Arial" w:cs="Arial"/>
            <w:i/>
            <w:iCs/>
            <w:color w:val="auto"/>
            <w:u w:val="none"/>
            <w:lang w:val="en-GB"/>
          </w:rPr>
          <w:t>1948 (2) SA 555</w:t>
        </w:r>
      </w:hyperlink>
      <w:r w:rsidR="004A6C38" w:rsidRPr="009663D0">
        <w:rPr>
          <w:rFonts w:ascii="Arial" w:hAnsi="Arial" w:cs="Arial"/>
          <w:i/>
          <w:iCs/>
          <w:lang w:val="en-GB"/>
        </w:rPr>
        <w:t xml:space="preserve"> (W) at 559, where Roper J held that if the facts before the court satisfied it that there was ‘a reasonable prospect – not necessarily a likelihood, but a prospect which is not too remote – that some pecuniary benefit would result to creditors’ that would be sufficient.  The learned judge elaborated: ‘It is not necessary to prove that the insolvent has any assets.  Even if there are none at all, but there are reasons for thinking that as a result of enquiry under the Act some may </w:t>
      </w:r>
      <w:r w:rsidR="004A6C38" w:rsidRPr="00141EC0">
        <w:rPr>
          <w:rFonts w:ascii="Arial" w:hAnsi="Arial" w:cs="Arial"/>
          <w:i/>
          <w:iCs/>
          <w:lang w:val="en-GB"/>
        </w:rPr>
        <w:t>be revealed or recovered for the benefit of creditors that is sufficient’</w:t>
      </w:r>
      <w:r w:rsidR="004A6C38" w:rsidRPr="00141EC0">
        <w:rPr>
          <w:rFonts w:ascii="Arial" w:hAnsi="Arial" w:cs="Arial"/>
          <w:lang w:val="en-GB"/>
        </w:rPr>
        <w:t>.”</w:t>
      </w:r>
    </w:p>
    <w:p w14:paraId="3B8AC7B9" w14:textId="77777777" w:rsidR="00BB6A0F" w:rsidRPr="00141EC0" w:rsidRDefault="00BB6A0F" w:rsidP="00C132D2">
      <w:pPr>
        <w:pStyle w:val="ListParagraph"/>
        <w:widowControl w:val="0"/>
        <w:spacing w:line="480" w:lineRule="auto"/>
        <w:ind w:left="709"/>
        <w:jc w:val="both"/>
        <w:rPr>
          <w:rFonts w:ascii="Arial" w:hAnsi="Arial" w:cs="Arial"/>
          <w:lang w:val="en-GB"/>
        </w:rPr>
      </w:pPr>
    </w:p>
    <w:p w14:paraId="7B4A5671" w14:textId="62891F28" w:rsidR="00B75803" w:rsidRDefault="00E52642" w:rsidP="00E52642">
      <w:pPr>
        <w:pStyle w:val="PlainText"/>
        <w:widowControl w:val="0"/>
        <w:tabs>
          <w:tab w:val="left" w:pos="709"/>
        </w:tabs>
        <w:spacing w:line="480" w:lineRule="auto"/>
        <w:ind w:left="709" w:hanging="709"/>
        <w:jc w:val="both"/>
        <w:rPr>
          <w:rFonts w:ascii="Arial" w:hAnsi="Arial" w:cs="Arial"/>
          <w:sz w:val="24"/>
          <w:szCs w:val="24"/>
        </w:rPr>
      </w:pPr>
      <w:r>
        <w:rPr>
          <w:rFonts w:ascii="Arial" w:hAnsi="Arial" w:cs="Arial"/>
          <w:sz w:val="24"/>
          <w:szCs w:val="24"/>
        </w:rPr>
        <w:t>65.</w:t>
      </w:r>
      <w:r>
        <w:rPr>
          <w:rFonts w:ascii="Arial" w:hAnsi="Arial" w:cs="Arial"/>
          <w:sz w:val="24"/>
          <w:szCs w:val="24"/>
        </w:rPr>
        <w:tab/>
      </w:r>
      <w:r w:rsidR="00B75803">
        <w:rPr>
          <w:rFonts w:ascii="Arial" w:hAnsi="Arial" w:cs="Arial"/>
          <w:sz w:val="24"/>
          <w:szCs w:val="24"/>
        </w:rPr>
        <w:t xml:space="preserve">See also </w:t>
      </w:r>
      <w:r w:rsidR="00B75803" w:rsidRPr="00B75803">
        <w:rPr>
          <w:rFonts w:ascii="Arial" w:hAnsi="Arial" w:cs="Arial"/>
          <w:i/>
          <w:iCs/>
          <w:sz w:val="24"/>
          <w:szCs w:val="24"/>
        </w:rPr>
        <w:t xml:space="preserve">London Estates (Pty) Ltd v Nair </w:t>
      </w:r>
      <w:r w:rsidR="00B75803">
        <w:rPr>
          <w:rFonts w:ascii="Arial" w:hAnsi="Arial" w:cs="Arial"/>
          <w:sz w:val="24"/>
          <w:szCs w:val="24"/>
        </w:rPr>
        <w:t xml:space="preserve">1957 (3) SA 591 (D) at 592F; </w:t>
      </w:r>
      <w:r w:rsidR="00B75803" w:rsidRPr="00B75803">
        <w:rPr>
          <w:rFonts w:ascii="Arial" w:hAnsi="Arial" w:cs="Arial"/>
          <w:i/>
          <w:iCs/>
          <w:sz w:val="24"/>
          <w:szCs w:val="24"/>
        </w:rPr>
        <w:t>Cohen v Ja</w:t>
      </w:r>
      <w:r w:rsidR="00B75803">
        <w:rPr>
          <w:rFonts w:ascii="Arial" w:hAnsi="Arial" w:cs="Arial"/>
          <w:i/>
          <w:iCs/>
          <w:sz w:val="24"/>
          <w:szCs w:val="24"/>
        </w:rPr>
        <w:t>c</w:t>
      </w:r>
      <w:r w:rsidR="00B75803" w:rsidRPr="00B75803">
        <w:rPr>
          <w:rFonts w:ascii="Arial" w:hAnsi="Arial" w:cs="Arial"/>
          <w:i/>
          <w:iCs/>
          <w:sz w:val="24"/>
          <w:szCs w:val="24"/>
        </w:rPr>
        <w:t>o</w:t>
      </w:r>
      <w:r w:rsidR="00B75803">
        <w:rPr>
          <w:rFonts w:ascii="Arial" w:hAnsi="Arial" w:cs="Arial"/>
          <w:i/>
          <w:iCs/>
          <w:sz w:val="24"/>
          <w:szCs w:val="24"/>
        </w:rPr>
        <w:t>b</w:t>
      </w:r>
      <w:r w:rsidR="00B75803" w:rsidRPr="00B75803">
        <w:rPr>
          <w:rFonts w:ascii="Arial" w:hAnsi="Arial" w:cs="Arial"/>
          <w:i/>
          <w:iCs/>
          <w:sz w:val="24"/>
          <w:szCs w:val="24"/>
        </w:rPr>
        <w:t>s</w:t>
      </w:r>
      <w:r w:rsidR="00B75803">
        <w:rPr>
          <w:rFonts w:ascii="Arial" w:hAnsi="Arial" w:cs="Arial"/>
          <w:sz w:val="24"/>
          <w:szCs w:val="24"/>
        </w:rPr>
        <w:t xml:space="preserve"> 1949 (4) SA 474 (C) at 481; </w:t>
      </w:r>
      <w:r w:rsidR="00B75803" w:rsidRPr="00B75803">
        <w:rPr>
          <w:rFonts w:ascii="Arial" w:hAnsi="Arial" w:cs="Arial"/>
          <w:i/>
          <w:iCs/>
          <w:sz w:val="24"/>
          <w:szCs w:val="24"/>
        </w:rPr>
        <w:t>Botha v Botha</w:t>
      </w:r>
      <w:r w:rsidR="00B75803">
        <w:rPr>
          <w:rFonts w:ascii="Arial" w:hAnsi="Arial" w:cs="Arial"/>
          <w:sz w:val="24"/>
          <w:szCs w:val="24"/>
        </w:rPr>
        <w:t xml:space="preserve"> 1990 (4) SA 580 (W) at 584H-585D.</w:t>
      </w:r>
    </w:p>
    <w:p w14:paraId="212F1D97" w14:textId="77777777" w:rsidR="00B75803" w:rsidRDefault="00B75803" w:rsidP="00C132D2">
      <w:pPr>
        <w:pStyle w:val="PlainText"/>
        <w:widowControl w:val="0"/>
        <w:spacing w:line="480" w:lineRule="auto"/>
        <w:ind w:left="709"/>
        <w:jc w:val="both"/>
        <w:rPr>
          <w:rFonts w:ascii="Arial" w:hAnsi="Arial" w:cs="Arial"/>
          <w:sz w:val="24"/>
          <w:szCs w:val="24"/>
        </w:rPr>
      </w:pPr>
    </w:p>
    <w:p w14:paraId="6652D34E" w14:textId="14C19BF7" w:rsidR="00C132D2" w:rsidRDefault="00E52642" w:rsidP="00E52642">
      <w:pPr>
        <w:pStyle w:val="PlainText"/>
        <w:widowControl w:val="0"/>
        <w:tabs>
          <w:tab w:val="left" w:pos="709"/>
        </w:tabs>
        <w:spacing w:line="480" w:lineRule="auto"/>
        <w:ind w:left="709" w:hanging="709"/>
        <w:jc w:val="both"/>
        <w:rPr>
          <w:rFonts w:ascii="Arial" w:hAnsi="Arial" w:cs="Arial"/>
          <w:sz w:val="24"/>
          <w:szCs w:val="24"/>
        </w:rPr>
      </w:pPr>
      <w:r>
        <w:rPr>
          <w:rFonts w:ascii="Arial" w:hAnsi="Arial" w:cs="Arial"/>
          <w:sz w:val="24"/>
          <w:szCs w:val="24"/>
        </w:rPr>
        <w:t>66.</w:t>
      </w:r>
      <w:r>
        <w:rPr>
          <w:rFonts w:ascii="Arial" w:hAnsi="Arial" w:cs="Arial"/>
          <w:sz w:val="24"/>
          <w:szCs w:val="24"/>
        </w:rPr>
        <w:tab/>
      </w:r>
      <w:r w:rsidR="00141EC0" w:rsidRPr="00141EC0">
        <w:rPr>
          <w:rFonts w:ascii="Arial" w:hAnsi="Arial" w:cs="Arial"/>
          <w:sz w:val="24"/>
          <w:szCs w:val="24"/>
        </w:rPr>
        <w:t>In the present matter</w:t>
      </w:r>
      <w:r w:rsidR="00141EC0">
        <w:rPr>
          <w:rFonts w:ascii="Arial" w:hAnsi="Arial" w:cs="Arial"/>
          <w:sz w:val="24"/>
          <w:szCs w:val="24"/>
        </w:rPr>
        <w:t>,</w:t>
      </w:r>
      <w:r w:rsidR="00141EC0" w:rsidRPr="00141EC0">
        <w:rPr>
          <w:rFonts w:ascii="Arial" w:hAnsi="Arial" w:cs="Arial"/>
          <w:sz w:val="24"/>
          <w:szCs w:val="24"/>
        </w:rPr>
        <w:t xml:space="preserve"> if the dispositions made by the respondent </w:t>
      </w:r>
      <w:r w:rsidR="00B75803">
        <w:rPr>
          <w:rFonts w:ascii="Arial" w:hAnsi="Arial" w:cs="Arial"/>
          <w:sz w:val="24"/>
          <w:szCs w:val="24"/>
        </w:rPr>
        <w:t xml:space="preserve">(whether </w:t>
      </w:r>
      <w:r w:rsidR="00141EC0" w:rsidRPr="00141EC0">
        <w:rPr>
          <w:rFonts w:ascii="Arial" w:hAnsi="Arial" w:cs="Arial"/>
          <w:sz w:val="24"/>
          <w:szCs w:val="24"/>
        </w:rPr>
        <w:t>six months</w:t>
      </w:r>
      <w:r w:rsidR="00B75803">
        <w:rPr>
          <w:rFonts w:ascii="Arial" w:hAnsi="Arial" w:cs="Arial"/>
          <w:sz w:val="24"/>
          <w:szCs w:val="24"/>
        </w:rPr>
        <w:t xml:space="preserve"> or</w:t>
      </w:r>
      <w:r w:rsidR="00141EC0" w:rsidRPr="00141EC0">
        <w:rPr>
          <w:rFonts w:ascii="Arial" w:hAnsi="Arial" w:cs="Arial"/>
          <w:sz w:val="24"/>
          <w:szCs w:val="24"/>
        </w:rPr>
        <w:t xml:space="preserve"> two years preceding the date on which the application was instituted</w:t>
      </w:r>
      <w:r w:rsidR="00B75803">
        <w:rPr>
          <w:rFonts w:ascii="Arial" w:hAnsi="Arial" w:cs="Arial"/>
          <w:sz w:val="24"/>
          <w:szCs w:val="24"/>
        </w:rPr>
        <w:t>)</w:t>
      </w:r>
      <w:r w:rsidR="00141EC0" w:rsidRPr="00141EC0">
        <w:rPr>
          <w:rFonts w:ascii="Arial" w:hAnsi="Arial" w:cs="Arial"/>
          <w:sz w:val="24"/>
          <w:szCs w:val="24"/>
        </w:rPr>
        <w:t xml:space="preserve"> </w:t>
      </w:r>
      <w:r w:rsidR="00B75803">
        <w:rPr>
          <w:rFonts w:ascii="Arial" w:hAnsi="Arial" w:cs="Arial"/>
          <w:sz w:val="24"/>
          <w:szCs w:val="24"/>
        </w:rPr>
        <w:t>is set a</w:t>
      </w:r>
      <w:r w:rsidR="00141EC0" w:rsidRPr="00141EC0">
        <w:rPr>
          <w:rFonts w:ascii="Arial" w:hAnsi="Arial" w:cs="Arial"/>
          <w:sz w:val="24"/>
          <w:szCs w:val="24"/>
        </w:rPr>
        <w:t>side</w:t>
      </w:r>
      <w:r w:rsidR="00B75803">
        <w:rPr>
          <w:rFonts w:ascii="Arial" w:hAnsi="Arial" w:cs="Arial"/>
          <w:sz w:val="24"/>
          <w:szCs w:val="24"/>
        </w:rPr>
        <w:t>,</w:t>
      </w:r>
      <w:r w:rsidR="00141EC0" w:rsidRPr="00141EC0">
        <w:rPr>
          <w:rFonts w:ascii="Arial" w:hAnsi="Arial" w:cs="Arial"/>
          <w:sz w:val="24"/>
          <w:szCs w:val="24"/>
        </w:rPr>
        <w:t xml:space="preserve"> </w:t>
      </w:r>
      <w:r w:rsidR="00B75803">
        <w:rPr>
          <w:rFonts w:ascii="Arial" w:hAnsi="Arial" w:cs="Arial"/>
          <w:sz w:val="24"/>
          <w:szCs w:val="24"/>
        </w:rPr>
        <w:t>t</w:t>
      </w:r>
      <w:r w:rsidR="00141EC0" w:rsidRPr="00141EC0">
        <w:rPr>
          <w:rFonts w:ascii="Arial" w:hAnsi="Arial" w:cs="Arial"/>
          <w:sz w:val="24"/>
          <w:szCs w:val="24"/>
        </w:rPr>
        <w:t xml:space="preserve">he applicant anticipates </w:t>
      </w:r>
      <w:r w:rsidR="00B75803">
        <w:rPr>
          <w:rFonts w:ascii="Arial" w:hAnsi="Arial" w:cs="Arial"/>
          <w:sz w:val="24"/>
          <w:szCs w:val="24"/>
        </w:rPr>
        <w:t xml:space="preserve">that a </w:t>
      </w:r>
      <w:r w:rsidR="00141EC0" w:rsidRPr="00141EC0">
        <w:rPr>
          <w:rFonts w:ascii="Arial" w:hAnsi="Arial" w:cs="Arial"/>
          <w:sz w:val="24"/>
          <w:szCs w:val="24"/>
        </w:rPr>
        <w:t xml:space="preserve">dividend of approximately 57 </w:t>
      </w:r>
      <w:r w:rsidR="00B75803">
        <w:rPr>
          <w:rFonts w:ascii="Arial" w:hAnsi="Arial" w:cs="Arial"/>
          <w:sz w:val="24"/>
          <w:szCs w:val="24"/>
        </w:rPr>
        <w:t xml:space="preserve">cents </w:t>
      </w:r>
      <w:r w:rsidR="00141EC0" w:rsidRPr="00141EC0">
        <w:rPr>
          <w:rFonts w:ascii="Arial" w:hAnsi="Arial" w:cs="Arial"/>
          <w:sz w:val="24"/>
          <w:szCs w:val="24"/>
        </w:rPr>
        <w:t>in the rand may be paid to the respondent</w:t>
      </w:r>
      <w:r w:rsidR="00B75803">
        <w:rPr>
          <w:rFonts w:ascii="Arial" w:hAnsi="Arial" w:cs="Arial"/>
          <w:sz w:val="24"/>
          <w:szCs w:val="24"/>
        </w:rPr>
        <w:t>’</w:t>
      </w:r>
      <w:r w:rsidR="00141EC0" w:rsidRPr="00141EC0">
        <w:rPr>
          <w:rFonts w:ascii="Arial" w:hAnsi="Arial" w:cs="Arial"/>
          <w:sz w:val="24"/>
          <w:szCs w:val="24"/>
        </w:rPr>
        <w:t>s creditors. That is on the basis that all of the creditors listed by the respondent in his reconciliation are in fact genuine. Given that no substantiation in relation to these d</w:t>
      </w:r>
      <w:r w:rsidR="00B75803">
        <w:rPr>
          <w:rFonts w:ascii="Arial" w:hAnsi="Arial" w:cs="Arial"/>
          <w:sz w:val="24"/>
          <w:szCs w:val="24"/>
        </w:rPr>
        <w:t>ebts</w:t>
      </w:r>
      <w:r w:rsidR="00141EC0" w:rsidRPr="00141EC0">
        <w:rPr>
          <w:rFonts w:ascii="Arial" w:hAnsi="Arial" w:cs="Arial"/>
          <w:sz w:val="24"/>
          <w:szCs w:val="24"/>
        </w:rPr>
        <w:t xml:space="preserve"> was attached to his opposing affidavit it is by no means clear </w:t>
      </w:r>
      <w:r w:rsidR="00C132D2">
        <w:rPr>
          <w:rFonts w:ascii="Arial" w:hAnsi="Arial" w:cs="Arial"/>
          <w:sz w:val="24"/>
          <w:szCs w:val="24"/>
        </w:rPr>
        <w:t>what the status of those creditors is.</w:t>
      </w:r>
    </w:p>
    <w:p w14:paraId="12813A65" w14:textId="77777777" w:rsidR="00C132D2" w:rsidRDefault="00C132D2" w:rsidP="00C132D2">
      <w:pPr>
        <w:pStyle w:val="ListParagraph"/>
        <w:spacing w:line="480" w:lineRule="auto"/>
        <w:rPr>
          <w:rFonts w:ascii="Arial" w:hAnsi="Arial" w:cs="Arial"/>
        </w:rPr>
      </w:pPr>
    </w:p>
    <w:p w14:paraId="5C404B1D" w14:textId="663B8747" w:rsidR="00C132D2" w:rsidRDefault="00E52642" w:rsidP="00E52642">
      <w:pPr>
        <w:pStyle w:val="PlainText"/>
        <w:widowControl w:val="0"/>
        <w:tabs>
          <w:tab w:val="left" w:pos="709"/>
        </w:tabs>
        <w:spacing w:line="480" w:lineRule="auto"/>
        <w:ind w:left="709" w:hanging="709"/>
        <w:jc w:val="both"/>
        <w:rPr>
          <w:rFonts w:ascii="Arial" w:hAnsi="Arial" w:cs="Arial"/>
          <w:sz w:val="24"/>
          <w:szCs w:val="24"/>
        </w:rPr>
      </w:pPr>
      <w:r>
        <w:rPr>
          <w:rFonts w:ascii="Arial" w:hAnsi="Arial" w:cs="Arial"/>
          <w:sz w:val="24"/>
          <w:szCs w:val="24"/>
        </w:rPr>
        <w:t>67.</w:t>
      </w:r>
      <w:r>
        <w:rPr>
          <w:rFonts w:ascii="Arial" w:hAnsi="Arial" w:cs="Arial"/>
          <w:sz w:val="24"/>
          <w:szCs w:val="24"/>
        </w:rPr>
        <w:tab/>
      </w:r>
      <w:r w:rsidR="00141EC0" w:rsidRPr="00141EC0">
        <w:rPr>
          <w:rFonts w:ascii="Arial" w:hAnsi="Arial" w:cs="Arial"/>
          <w:sz w:val="24"/>
          <w:szCs w:val="24"/>
        </w:rPr>
        <w:t>The applicant also anticipates non-patrimonial advantages</w:t>
      </w:r>
      <w:r w:rsidR="00C132D2">
        <w:rPr>
          <w:rFonts w:ascii="Arial" w:hAnsi="Arial" w:cs="Arial"/>
          <w:sz w:val="24"/>
          <w:szCs w:val="24"/>
        </w:rPr>
        <w:t>,</w:t>
      </w:r>
      <w:r w:rsidR="00141EC0" w:rsidRPr="00141EC0">
        <w:rPr>
          <w:rFonts w:ascii="Arial" w:hAnsi="Arial" w:cs="Arial"/>
          <w:sz w:val="24"/>
          <w:szCs w:val="24"/>
        </w:rPr>
        <w:t xml:space="preserve"> namely that </w:t>
      </w:r>
      <w:r w:rsidR="00C132D2">
        <w:rPr>
          <w:rFonts w:ascii="Arial" w:hAnsi="Arial" w:cs="Arial"/>
          <w:sz w:val="24"/>
          <w:szCs w:val="24"/>
        </w:rPr>
        <w:t xml:space="preserve">the </w:t>
      </w:r>
      <w:r w:rsidR="00141EC0" w:rsidRPr="00141EC0">
        <w:rPr>
          <w:rFonts w:ascii="Arial" w:hAnsi="Arial" w:cs="Arial"/>
          <w:sz w:val="24"/>
          <w:szCs w:val="24"/>
        </w:rPr>
        <w:t>respond</w:t>
      </w:r>
      <w:r w:rsidR="00C132D2">
        <w:rPr>
          <w:rFonts w:ascii="Arial" w:hAnsi="Arial" w:cs="Arial"/>
          <w:sz w:val="24"/>
          <w:szCs w:val="24"/>
        </w:rPr>
        <w:t>ent’s</w:t>
      </w:r>
      <w:r w:rsidR="00141EC0" w:rsidRPr="00141EC0">
        <w:rPr>
          <w:rFonts w:ascii="Arial" w:hAnsi="Arial" w:cs="Arial"/>
          <w:sz w:val="24"/>
          <w:szCs w:val="24"/>
        </w:rPr>
        <w:t xml:space="preserve"> creditors will be assured of equal treatment and </w:t>
      </w:r>
      <w:r w:rsidR="00C132D2">
        <w:rPr>
          <w:rFonts w:ascii="Arial" w:hAnsi="Arial" w:cs="Arial"/>
          <w:sz w:val="24"/>
          <w:szCs w:val="24"/>
        </w:rPr>
        <w:t>that</w:t>
      </w:r>
      <w:r w:rsidR="00141EC0" w:rsidRPr="00141EC0">
        <w:rPr>
          <w:rFonts w:ascii="Arial" w:hAnsi="Arial" w:cs="Arial"/>
          <w:sz w:val="24"/>
          <w:szCs w:val="24"/>
        </w:rPr>
        <w:t xml:space="preserve"> the respondent </w:t>
      </w:r>
      <w:r w:rsidR="00C132D2">
        <w:rPr>
          <w:rFonts w:ascii="Arial" w:hAnsi="Arial" w:cs="Arial"/>
          <w:sz w:val="24"/>
          <w:szCs w:val="24"/>
        </w:rPr>
        <w:t>will not be able to</w:t>
      </w:r>
      <w:r w:rsidR="00141EC0" w:rsidRPr="00141EC0">
        <w:rPr>
          <w:rFonts w:ascii="Arial" w:hAnsi="Arial" w:cs="Arial"/>
          <w:sz w:val="24"/>
          <w:szCs w:val="24"/>
        </w:rPr>
        <w:t xml:space="preserve"> incur further dates to diminish </w:t>
      </w:r>
      <w:r w:rsidR="00C132D2">
        <w:rPr>
          <w:rFonts w:ascii="Arial" w:hAnsi="Arial" w:cs="Arial"/>
          <w:sz w:val="24"/>
          <w:szCs w:val="24"/>
        </w:rPr>
        <w:t xml:space="preserve">his </w:t>
      </w:r>
      <w:r w:rsidR="00141EC0" w:rsidRPr="00141EC0">
        <w:rPr>
          <w:rFonts w:ascii="Arial" w:hAnsi="Arial" w:cs="Arial"/>
          <w:sz w:val="24"/>
          <w:szCs w:val="24"/>
        </w:rPr>
        <w:t xml:space="preserve">already insolvent estate. It is in any event clear that his financial dealings require investigation. </w:t>
      </w:r>
    </w:p>
    <w:p w14:paraId="298E7FD6" w14:textId="77777777" w:rsidR="00C132D2" w:rsidRDefault="00C132D2" w:rsidP="00C132D2">
      <w:pPr>
        <w:pStyle w:val="ListParagraph"/>
        <w:spacing w:line="480" w:lineRule="auto"/>
        <w:rPr>
          <w:rFonts w:ascii="Arial" w:hAnsi="Arial" w:cs="Arial"/>
        </w:rPr>
      </w:pPr>
    </w:p>
    <w:p w14:paraId="3A02AD62" w14:textId="67F612C9" w:rsidR="00141EC0" w:rsidRPr="00C132D2" w:rsidRDefault="00E52642" w:rsidP="00E52642">
      <w:pPr>
        <w:pStyle w:val="PlainText"/>
        <w:widowControl w:val="0"/>
        <w:tabs>
          <w:tab w:val="left" w:pos="709"/>
        </w:tabs>
        <w:spacing w:line="480" w:lineRule="auto"/>
        <w:ind w:left="709" w:hanging="709"/>
        <w:jc w:val="both"/>
        <w:rPr>
          <w:rFonts w:ascii="Arial" w:hAnsi="Arial" w:cs="Arial"/>
          <w:sz w:val="24"/>
          <w:szCs w:val="24"/>
          <w:lang w:val="en-GB"/>
        </w:rPr>
      </w:pPr>
      <w:r w:rsidRPr="00C132D2">
        <w:rPr>
          <w:rFonts w:ascii="Arial" w:hAnsi="Arial" w:cs="Arial"/>
          <w:sz w:val="24"/>
          <w:szCs w:val="24"/>
          <w:lang w:val="en-GB"/>
        </w:rPr>
        <w:t>68.</w:t>
      </w:r>
      <w:r w:rsidRPr="00C132D2">
        <w:rPr>
          <w:rFonts w:ascii="Arial" w:hAnsi="Arial" w:cs="Arial"/>
          <w:sz w:val="24"/>
          <w:szCs w:val="24"/>
          <w:lang w:val="en-GB"/>
        </w:rPr>
        <w:tab/>
      </w:r>
      <w:r w:rsidR="00141EC0" w:rsidRPr="00C132D2">
        <w:rPr>
          <w:rFonts w:ascii="Arial" w:hAnsi="Arial" w:cs="Arial"/>
          <w:sz w:val="24"/>
          <w:szCs w:val="24"/>
        </w:rPr>
        <w:t xml:space="preserve">In the circumstances I am of the view that the applicant has in satisfaction of the </w:t>
      </w:r>
      <w:r w:rsidR="00141EC0" w:rsidRPr="00C132D2">
        <w:rPr>
          <w:rFonts w:ascii="Arial" w:hAnsi="Arial" w:cs="Arial"/>
          <w:sz w:val="24"/>
          <w:szCs w:val="24"/>
        </w:rPr>
        <w:lastRenderedPageBreak/>
        <w:t>requirement in section 10</w:t>
      </w:r>
      <w:r w:rsidR="00C132D2" w:rsidRPr="00C132D2">
        <w:rPr>
          <w:rFonts w:ascii="Arial" w:hAnsi="Arial" w:cs="Arial"/>
          <w:sz w:val="24"/>
          <w:szCs w:val="24"/>
        </w:rPr>
        <w:t>(c)</w:t>
      </w:r>
      <w:r w:rsidR="00141EC0" w:rsidRPr="00C132D2">
        <w:rPr>
          <w:rFonts w:ascii="Arial" w:hAnsi="Arial" w:cs="Arial"/>
          <w:sz w:val="24"/>
          <w:szCs w:val="24"/>
        </w:rPr>
        <w:t xml:space="preserve"> of the </w:t>
      </w:r>
      <w:r w:rsidR="00C132D2" w:rsidRPr="00C132D2">
        <w:rPr>
          <w:rFonts w:ascii="Arial" w:hAnsi="Arial" w:cs="Arial"/>
          <w:sz w:val="24"/>
          <w:szCs w:val="24"/>
        </w:rPr>
        <w:t>I</w:t>
      </w:r>
      <w:r w:rsidR="00141EC0" w:rsidRPr="00C132D2">
        <w:rPr>
          <w:rFonts w:ascii="Arial" w:hAnsi="Arial" w:cs="Arial"/>
          <w:sz w:val="24"/>
          <w:szCs w:val="24"/>
        </w:rPr>
        <w:t xml:space="preserve">nsolvency </w:t>
      </w:r>
      <w:r w:rsidR="00C132D2" w:rsidRPr="00C132D2">
        <w:rPr>
          <w:rFonts w:ascii="Arial" w:hAnsi="Arial" w:cs="Arial"/>
          <w:sz w:val="24"/>
          <w:szCs w:val="24"/>
        </w:rPr>
        <w:t>A</w:t>
      </w:r>
      <w:r w:rsidR="00141EC0" w:rsidRPr="00C132D2">
        <w:rPr>
          <w:rFonts w:ascii="Arial" w:hAnsi="Arial" w:cs="Arial"/>
          <w:sz w:val="24"/>
          <w:szCs w:val="24"/>
        </w:rPr>
        <w:t>ct</w:t>
      </w:r>
      <w:r w:rsidR="00C132D2" w:rsidRPr="00C132D2">
        <w:rPr>
          <w:rFonts w:ascii="Arial" w:hAnsi="Arial" w:cs="Arial"/>
          <w:sz w:val="24"/>
          <w:szCs w:val="24"/>
        </w:rPr>
        <w:t xml:space="preserve"> </w:t>
      </w:r>
      <w:r w:rsidR="00C132D2" w:rsidRPr="00C132D2">
        <w:rPr>
          <w:rFonts w:ascii="Arial" w:hAnsi="Arial" w:cs="Arial"/>
          <w:i/>
          <w:iCs/>
          <w:sz w:val="24"/>
          <w:szCs w:val="24"/>
        </w:rPr>
        <w:t>prima facie</w:t>
      </w:r>
      <w:r w:rsidR="00C132D2" w:rsidRPr="00C132D2">
        <w:rPr>
          <w:rFonts w:ascii="Arial" w:hAnsi="Arial" w:cs="Arial"/>
          <w:sz w:val="24"/>
          <w:szCs w:val="24"/>
        </w:rPr>
        <w:t xml:space="preserve"> shown</w:t>
      </w:r>
      <w:r w:rsidR="00141EC0" w:rsidRPr="00C132D2">
        <w:rPr>
          <w:rFonts w:ascii="Arial" w:hAnsi="Arial" w:cs="Arial"/>
          <w:sz w:val="24"/>
          <w:szCs w:val="24"/>
        </w:rPr>
        <w:t xml:space="preserve"> a benefit to creditors</w:t>
      </w:r>
      <w:r w:rsidR="00C132D2" w:rsidRPr="00C132D2">
        <w:rPr>
          <w:rFonts w:ascii="Arial" w:hAnsi="Arial" w:cs="Arial"/>
          <w:sz w:val="24"/>
          <w:szCs w:val="24"/>
        </w:rPr>
        <w:t>.</w:t>
      </w:r>
      <w:r w:rsidR="00141EC0" w:rsidRPr="00C132D2">
        <w:rPr>
          <w:rFonts w:ascii="Arial" w:hAnsi="Arial" w:cs="Arial"/>
          <w:sz w:val="24"/>
          <w:szCs w:val="24"/>
        </w:rPr>
        <w:t xml:space="preserve"> </w:t>
      </w:r>
    </w:p>
    <w:p w14:paraId="12D91567" w14:textId="05B29778" w:rsidR="009D540F" w:rsidRPr="009663D0" w:rsidRDefault="009D540F" w:rsidP="00C132D2">
      <w:pPr>
        <w:pStyle w:val="Heading1"/>
        <w:spacing w:before="0" w:after="0"/>
        <w:jc w:val="both"/>
        <w:rPr>
          <w:rFonts w:ascii="Arial" w:hAnsi="Arial" w:cs="Arial"/>
          <w:color w:val="000000" w:themeColor="text1"/>
          <w:sz w:val="24"/>
          <w:szCs w:val="24"/>
          <w:lang w:val="en-GB"/>
        </w:rPr>
      </w:pPr>
    </w:p>
    <w:p w14:paraId="2F697744" w14:textId="1A6E8256" w:rsidR="00BD0E16" w:rsidRPr="009663D0" w:rsidRDefault="00BD0E16" w:rsidP="00C132D2">
      <w:pPr>
        <w:widowControl w:val="0"/>
        <w:spacing w:line="480" w:lineRule="auto"/>
        <w:jc w:val="both"/>
        <w:rPr>
          <w:rFonts w:ascii="Arial" w:hAnsi="Arial" w:cs="Arial"/>
          <w:u w:val="single"/>
          <w:lang w:val="en-GB"/>
        </w:rPr>
      </w:pPr>
      <w:r w:rsidRPr="009663D0">
        <w:rPr>
          <w:rFonts w:ascii="Arial" w:hAnsi="Arial" w:cs="Arial"/>
          <w:u w:val="single"/>
          <w:lang w:val="en-GB"/>
        </w:rPr>
        <w:t xml:space="preserve">Conclusion </w:t>
      </w:r>
    </w:p>
    <w:p w14:paraId="39056C73" w14:textId="77777777" w:rsidR="00BD0E16" w:rsidRPr="009663D0" w:rsidRDefault="00BD0E16" w:rsidP="00C132D2">
      <w:pPr>
        <w:widowControl w:val="0"/>
        <w:spacing w:line="480" w:lineRule="auto"/>
        <w:jc w:val="both"/>
        <w:rPr>
          <w:rFonts w:ascii="Arial" w:hAnsi="Arial" w:cs="Arial"/>
          <w:lang w:val="en-GB"/>
        </w:rPr>
      </w:pPr>
    </w:p>
    <w:p w14:paraId="31A1D2A5" w14:textId="0794866F" w:rsidR="00C132D2" w:rsidRDefault="00E52642" w:rsidP="00E52642">
      <w:pPr>
        <w:pStyle w:val="PlainText"/>
        <w:widowControl w:val="0"/>
        <w:tabs>
          <w:tab w:val="left" w:pos="709"/>
        </w:tabs>
        <w:spacing w:line="480" w:lineRule="auto"/>
        <w:ind w:left="709" w:hanging="709"/>
        <w:jc w:val="both"/>
        <w:rPr>
          <w:rFonts w:ascii="Arial" w:hAnsi="Arial" w:cs="Arial"/>
          <w:sz w:val="24"/>
          <w:szCs w:val="24"/>
        </w:rPr>
      </w:pPr>
      <w:r>
        <w:rPr>
          <w:rFonts w:ascii="Arial" w:hAnsi="Arial" w:cs="Arial"/>
          <w:sz w:val="24"/>
          <w:szCs w:val="24"/>
        </w:rPr>
        <w:t>69.</w:t>
      </w:r>
      <w:r>
        <w:rPr>
          <w:rFonts w:ascii="Arial" w:hAnsi="Arial" w:cs="Arial"/>
          <w:sz w:val="24"/>
          <w:szCs w:val="24"/>
        </w:rPr>
        <w:tab/>
      </w:r>
      <w:r w:rsidR="00BD0E16" w:rsidRPr="009663D0">
        <w:rPr>
          <w:rFonts w:ascii="Arial" w:hAnsi="Arial" w:cs="Arial"/>
          <w:color w:val="000000" w:themeColor="text1"/>
          <w:sz w:val="24"/>
          <w:szCs w:val="24"/>
          <w:lang w:val="en-GB"/>
        </w:rPr>
        <w:t xml:space="preserve">The respondent argues that the sequestration application is an abuse of the process of court and an opportunistic tactic to obtain an advantage in the pending divorce proceedings between the parties.  That may well be the respondent’ perception given the parties’ acrimonious relationship, but the fact remains that the applicant has made out a proper case for the sequestration of the respondent’s estate. </w:t>
      </w:r>
      <w:r w:rsidR="00C132D2">
        <w:rPr>
          <w:rFonts w:ascii="Arial" w:hAnsi="Arial" w:cs="Arial"/>
          <w:color w:val="000000" w:themeColor="text1"/>
          <w:sz w:val="24"/>
          <w:szCs w:val="24"/>
          <w:lang w:val="en-GB"/>
        </w:rPr>
        <w:t xml:space="preserve"> The respondent, on the other hand, has placed </w:t>
      </w:r>
      <w:r w:rsidR="00C132D2" w:rsidRPr="00141EC0">
        <w:rPr>
          <w:rFonts w:ascii="Arial" w:hAnsi="Arial" w:cs="Arial"/>
          <w:sz w:val="24"/>
          <w:szCs w:val="24"/>
        </w:rPr>
        <w:t xml:space="preserve">no evidence before the court </w:t>
      </w:r>
      <w:r w:rsidR="00C132D2">
        <w:rPr>
          <w:rFonts w:ascii="Arial" w:hAnsi="Arial" w:cs="Arial"/>
          <w:sz w:val="24"/>
          <w:szCs w:val="24"/>
        </w:rPr>
        <w:t xml:space="preserve">credibly </w:t>
      </w:r>
      <w:r w:rsidR="00C132D2" w:rsidRPr="00141EC0">
        <w:rPr>
          <w:rFonts w:ascii="Arial" w:hAnsi="Arial" w:cs="Arial"/>
          <w:sz w:val="24"/>
          <w:szCs w:val="24"/>
        </w:rPr>
        <w:t>to disclose his financial position.</w:t>
      </w:r>
    </w:p>
    <w:p w14:paraId="10B5264C" w14:textId="77777777" w:rsidR="00C132D2" w:rsidRDefault="00C132D2" w:rsidP="00C132D2">
      <w:pPr>
        <w:pStyle w:val="PlainText"/>
        <w:widowControl w:val="0"/>
        <w:spacing w:line="480" w:lineRule="auto"/>
        <w:ind w:left="709"/>
        <w:jc w:val="both"/>
        <w:rPr>
          <w:rFonts w:ascii="Arial" w:hAnsi="Arial" w:cs="Arial"/>
          <w:sz w:val="24"/>
          <w:szCs w:val="24"/>
        </w:rPr>
      </w:pPr>
    </w:p>
    <w:p w14:paraId="31AEE4E6" w14:textId="152D57F8" w:rsidR="00C132D2" w:rsidRPr="00141EC0" w:rsidRDefault="00E52642" w:rsidP="00E52642">
      <w:pPr>
        <w:pStyle w:val="PlainText"/>
        <w:widowControl w:val="0"/>
        <w:tabs>
          <w:tab w:val="left" w:pos="709"/>
        </w:tabs>
        <w:spacing w:line="480" w:lineRule="auto"/>
        <w:ind w:left="709" w:hanging="709"/>
        <w:jc w:val="both"/>
        <w:rPr>
          <w:rFonts w:ascii="Arial" w:hAnsi="Arial" w:cs="Arial"/>
          <w:sz w:val="24"/>
          <w:szCs w:val="24"/>
        </w:rPr>
      </w:pPr>
      <w:r w:rsidRPr="00141EC0">
        <w:rPr>
          <w:rFonts w:ascii="Arial" w:hAnsi="Arial" w:cs="Arial"/>
          <w:sz w:val="24"/>
          <w:szCs w:val="24"/>
        </w:rPr>
        <w:t>70.</w:t>
      </w:r>
      <w:r w:rsidRPr="00141EC0">
        <w:rPr>
          <w:rFonts w:ascii="Arial" w:hAnsi="Arial" w:cs="Arial"/>
          <w:sz w:val="24"/>
          <w:szCs w:val="24"/>
        </w:rPr>
        <w:tab/>
      </w:r>
      <w:r w:rsidR="00C132D2">
        <w:rPr>
          <w:rFonts w:ascii="Arial" w:hAnsi="Arial" w:cs="Arial"/>
          <w:sz w:val="24"/>
          <w:szCs w:val="24"/>
        </w:rPr>
        <w:t>I</w:t>
      </w:r>
      <w:r w:rsidR="00C132D2" w:rsidRPr="00141EC0">
        <w:rPr>
          <w:rFonts w:ascii="Arial" w:hAnsi="Arial" w:cs="Arial"/>
          <w:sz w:val="24"/>
          <w:szCs w:val="24"/>
        </w:rPr>
        <w:t>n all of these circumstances the applicant has made out a case for the provisional sequestration of the respondent estate and it will be so ordered.</w:t>
      </w:r>
    </w:p>
    <w:p w14:paraId="170B16C6" w14:textId="1F756833" w:rsidR="00BD0E16" w:rsidRPr="009663D0" w:rsidRDefault="00BD0E16" w:rsidP="009663D0">
      <w:pPr>
        <w:widowControl w:val="0"/>
        <w:spacing w:line="480" w:lineRule="auto"/>
        <w:jc w:val="both"/>
        <w:rPr>
          <w:rFonts w:ascii="Arial" w:hAnsi="Arial" w:cs="Arial"/>
          <w:lang w:val="en-GB"/>
        </w:rPr>
      </w:pPr>
    </w:p>
    <w:p w14:paraId="762B1DD4" w14:textId="5FD6CE73" w:rsidR="00BD0E16" w:rsidRPr="009663D0" w:rsidRDefault="00BD0E16" w:rsidP="009663D0">
      <w:pPr>
        <w:widowControl w:val="0"/>
        <w:spacing w:line="480" w:lineRule="auto"/>
        <w:jc w:val="both"/>
        <w:rPr>
          <w:rFonts w:ascii="Arial" w:hAnsi="Arial" w:cs="Arial"/>
          <w:b/>
          <w:bCs/>
          <w:u w:val="single"/>
          <w:lang w:val="en-GB"/>
        </w:rPr>
      </w:pPr>
      <w:r w:rsidRPr="009663D0">
        <w:rPr>
          <w:rFonts w:ascii="Arial" w:hAnsi="Arial" w:cs="Arial"/>
          <w:b/>
          <w:bCs/>
          <w:u w:val="single"/>
          <w:lang w:val="en-GB"/>
        </w:rPr>
        <w:t>The applications under Rule 43(6) and the application to set aside the warrant of execution</w:t>
      </w:r>
    </w:p>
    <w:p w14:paraId="2DADF591" w14:textId="4EBB0BFC" w:rsidR="00BD0E16" w:rsidRPr="009663D0" w:rsidRDefault="00BD0E16" w:rsidP="009663D0">
      <w:pPr>
        <w:pStyle w:val="Heading1"/>
        <w:spacing w:before="0" w:after="0"/>
        <w:jc w:val="both"/>
        <w:rPr>
          <w:rFonts w:ascii="Arial" w:hAnsi="Arial" w:cs="Arial"/>
          <w:b/>
          <w:bCs/>
          <w:color w:val="000000" w:themeColor="text1"/>
          <w:sz w:val="24"/>
          <w:szCs w:val="24"/>
          <w:u w:val="single"/>
          <w:lang w:val="en-GB"/>
        </w:rPr>
      </w:pPr>
    </w:p>
    <w:p w14:paraId="00644643" w14:textId="0A450715" w:rsidR="00CF49F7"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71.</w:t>
      </w:r>
      <w:r w:rsidRPr="009663D0">
        <w:rPr>
          <w:rFonts w:ascii="Arial" w:hAnsi="Arial" w:cs="Arial"/>
          <w:lang w:val="en-GB"/>
        </w:rPr>
        <w:tab/>
      </w:r>
      <w:r w:rsidR="00BD0E16" w:rsidRPr="00E52642">
        <w:rPr>
          <w:rFonts w:ascii="Arial" w:hAnsi="Arial" w:cs="Arial"/>
          <w:lang w:val="en-GB"/>
        </w:rPr>
        <w:t>In the light of the finding in the sequestration application, I refrain from considering these applications.</w:t>
      </w:r>
    </w:p>
    <w:p w14:paraId="64DFABD6" w14:textId="77777777" w:rsidR="00CF49F7" w:rsidRPr="009663D0" w:rsidRDefault="00CF49F7" w:rsidP="009663D0">
      <w:pPr>
        <w:pStyle w:val="ListParagraph"/>
        <w:widowControl w:val="0"/>
        <w:spacing w:line="480" w:lineRule="auto"/>
        <w:ind w:left="709"/>
        <w:jc w:val="both"/>
        <w:rPr>
          <w:rFonts w:ascii="Arial" w:hAnsi="Arial" w:cs="Arial"/>
          <w:lang w:val="en-GB"/>
        </w:rPr>
      </w:pPr>
    </w:p>
    <w:p w14:paraId="78C7A633" w14:textId="75E57A8D" w:rsidR="00BD0E16"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72.</w:t>
      </w:r>
      <w:r w:rsidRPr="009663D0">
        <w:rPr>
          <w:rFonts w:ascii="Arial" w:hAnsi="Arial" w:cs="Arial"/>
          <w:lang w:val="en-GB"/>
        </w:rPr>
        <w:tab/>
      </w:r>
      <w:r w:rsidR="00CF49F7" w:rsidRPr="00E52642">
        <w:rPr>
          <w:rFonts w:ascii="Arial" w:hAnsi="Arial" w:cs="Arial"/>
          <w:lang w:val="en-GB"/>
        </w:rPr>
        <w:t>Insolvency does not terminate the respondent’s maintenance obligations towards the applicant and their minor children (</w:t>
      </w:r>
      <w:r w:rsidR="00CF49F7" w:rsidRPr="00E52642">
        <w:rPr>
          <w:rFonts w:ascii="Arial" w:hAnsi="Arial" w:cs="Arial"/>
          <w:i/>
          <w:iCs/>
          <w:lang w:val="en-GB"/>
        </w:rPr>
        <w:t>Weinberg v Weinberg</w:t>
      </w:r>
      <w:r w:rsidR="00CF49F7" w:rsidRPr="00E52642">
        <w:rPr>
          <w:rFonts w:ascii="Arial" w:hAnsi="Arial" w:cs="Arial"/>
          <w:lang w:val="en-GB"/>
        </w:rPr>
        <w:t xml:space="preserve"> 1958 (2) SA 618 (C))</w:t>
      </w:r>
      <w:r w:rsidR="00F0322F" w:rsidRPr="00E52642">
        <w:rPr>
          <w:rFonts w:ascii="Arial" w:hAnsi="Arial" w:cs="Arial"/>
          <w:lang w:val="en-GB"/>
        </w:rPr>
        <w:t>.</w:t>
      </w:r>
      <w:r w:rsidR="00BD0E16" w:rsidRPr="00E52642">
        <w:rPr>
          <w:rFonts w:ascii="Arial" w:hAnsi="Arial" w:cs="Arial"/>
          <w:lang w:val="en-GB"/>
        </w:rPr>
        <w:t xml:space="preserve">  It will be the task of the trustee to make maintenance payments under the Rule 43 order, </w:t>
      </w:r>
      <w:r w:rsidR="00BD0E16" w:rsidRPr="00E52642">
        <w:rPr>
          <w:rFonts w:ascii="Arial" w:hAnsi="Arial" w:cs="Arial"/>
          <w:lang w:val="en-GB"/>
        </w:rPr>
        <w:lastRenderedPageBreak/>
        <w:t>taking into account what the estate can afford.  It will also be the trustee who will have to decide whether to proceed with these applications in due course.</w:t>
      </w:r>
    </w:p>
    <w:p w14:paraId="2A4F61A4" w14:textId="77777777" w:rsidR="00F0322F" w:rsidRPr="009663D0" w:rsidRDefault="00F0322F" w:rsidP="009663D0">
      <w:pPr>
        <w:pStyle w:val="ListParagraph"/>
        <w:widowControl w:val="0"/>
        <w:spacing w:line="480" w:lineRule="auto"/>
        <w:rPr>
          <w:rFonts w:ascii="Arial" w:hAnsi="Arial" w:cs="Arial"/>
          <w:lang w:val="en-GB"/>
        </w:rPr>
      </w:pPr>
    </w:p>
    <w:p w14:paraId="5D9EA5E6" w14:textId="091DE95C" w:rsidR="00F0322F"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73.</w:t>
      </w:r>
      <w:r w:rsidRPr="009663D0">
        <w:rPr>
          <w:rFonts w:ascii="Arial" w:hAnsi="Arial" w:cs="Arial"/>
          <w:lang w:val="en-GB"/>
        </w:rPr>
        <w:tab/>
      </w:r>
      <w:r w:rsidR="00202B51" w:rsidRPr="00E52642">
        <w:rPr>
          <w:rFonts w:ascii="Arial" w:hAnsi="Arial" w:cs="Arial"/>
          <w:lang w:val="en-GB"/>
        </w:rPr>
        <w:t>A trustee may furthermore apply for the setting aide of disposition made by the respondent six months (or two years, depending on the nature of the disposition</w:t>
      </w:r>
      <w:r w:rsidR="00336B06" w:rsidRPr="00E52642">
        <w:rPr>
          <w:rFonts w:ascii="Arial" w:hAnsi="Arial" w:cs="Arial"/>
          <w:lang w:val="en-GB"/>
        </w:rPr>
        <w:t>: see section 26 and section 29 of the Insolvency Act</w:t>
      </w:r>
      <w:r w:rsidR="00202B51" w:rsidRPr="00E52642">
        <w:rPr>
          <w:rFonts w:ascii="Arial" w:hAnsi="Arial" w:cs="Arial"/>
          <w:lang w:val="en-GB"/>
        </w:rPr>
        <w:t>) prior to the sequestration of his estate.  Those dispositions (which the applicant contends constitute acts of insolvency) are among the facts upon which the respondent relies for the purposes of his Rule 43(6) application.  It those dispositions are set aside, there might be sufficient funds in the estate to pay the maintenance due in terms of the Rule 43 order.</w:t>
      </w:r>
      <w:r w:rsidR="00336B06" w:rsidRPr="00E52642">
        <w:rPr>
          <w:rFonts w:ascii="Arial" w:hAnsi="Arial" w:cs="Arial"/>
          <w:lang w:val="en-GB"/>
        </w:rPr>
        <w:t xml:space="preserve">  Payments made under the Rule 43 order will not be set aside as they constitute dispositions in compliance with an order of court as contemplated in section 2 (</w:t>
      </w:r>
      <w:r w:rsidR="00336B06" w:rsidRPr="00E52642">
        <w:rPr>
          <w:rFonts w:ascii="Arial" w:hAnsi="Arial" w:cs="Arial"/>
          <w:i/>
          <w:iCs/>
          <w:lang w:val="en-GB"/>
        </w:rPr>
        <w:t>sv</w:t>
      </w:r>
      <w:r w:rsidR="00336B06" w:rsidRPr="00E52642">
        <w:rPr>
          <w:rFonts w:ascii="Arial" w:hAnsi="Arial" w:cs="Arial"/>
          <w:lang w:val="en-GB"/>
        </w:rPr>
        <w:t xml:space="preserve"> “disposition”) of the Insolvency Act.</w:t>
      </w:r>
      <w:r w:rsidR="00531DE5" w:rsidRPr="00E52642">
        <w:rPr>
          <w:rFonts w:ascii="Arial" w:hAnsi="Arial" w:cs="Arial"/>
          <w:lang w:val="en-GB"/>
        </w:rPr>
        <w:t xml:space="preserve">  (For this reason I do not agree with the respondent’s counsel that I should refuse to grant a provisional sequestration order because it would be prejudicial to the interests of the parties’ minor children.)</w:t>
      </w:r>
    </w:p>
    <w:p w14:paraId="7D510AFF" w14:textId="77777777" w:rsidR="002769DB" w:rsidRPr="009663D0" w:rsidRDefault="002769DB" w:rsidP="009663D0">
      <w:pPr>
        <w:pStyle w:val="ListParagraph"/>
        <w:widowControl w:val="0"/>
        <w:spacing w:line="480" w:lineRule="auto"/>
        <w:ind w:left="709"/>
        <w:jc w:val="both"/>
        <w:rPr>
          <w:rFonts w:ascii="Arial" w:hAnsi="Arial" w:cs="Arial"/>
          <w:lang w:val="en-GB"/>
        </w:rPr>
      </w:pPr>
    </w:p>
    <w:p w14:paraId="29A26346" w14:textId="67236273" w:rsidR="002769DB" w:rsidRPr="00E52642" w:rsidRDefault="00E52642" w:rsidP="00E52642">
      <w:pPr>
        <w:widowControl w:val="0"/>
        <w:tabs>
          <w:tab w:val="left" w:pos="709"/>
        </w:tabs>
        <w:spacing w:line="480" w:lineRule="auto"/>
        <w:ind w:left="709" w:hanging="709"/>
        <w:jc w:val="both"/>
        <w:rPr>
          <w:rFonts w:ascii="Arial" w:hAnsi="Arial" w:cs="Arial"/>
          <w:lang w:val="en-GB"/>
        </w:rPr>
      </w:pPr>
      <w:r w:rsidRPr="009663D0">
        <w:rPr>
          <w:rFonts w:ascii="Arial" w:hAnsi="Arial" w:cs="Arial"/>
          <w:lang w:val="en-GB"/>
        </w:rPr>
        <w:t>74.</w:t>
      </w:r>
      <w:r w:rsidRPr="009663D0">
        <w:rPr>
          <w:rFonts w:ascii="Arial" w:hAnsi="Arial" w:cs="Arial"/>
          <w:lang w:val="en-GB"/>
        </w:rPr>
        <w:tab/>
      </w:r>
      <w:r w:rsidR="002769DB" w:rsidRPr="00E52642">
        <w:rPr>
          <w:rFonts w:ascii="Arial" w:hAnsi="Arial" w:cs="Arial"/>
          <w:lang w:val="en-GB"/>
        </w:rPr>
        <w:t xml:space="preserve">The respondent’s application under Rule 43(6) and his application to set aside the writ of execution obtained on 8 November 2011 are accordingly postponed </w:t>
      </w:r>
      <w:r w:rsidR="002769DB" w:rsidRPr="00E52642">
        <w:rPr>
          <w:rFonts w:ascii="Arial" w:hAnsi="Arial" w:cs="Arial"/>
          <w:i/>
          <w:iCs/>
          <w:lang w:val="en-GB"/>
        </w:rPr>
        <w:t>sine die</w:t>
      </w:r>
      <w:r w:rsidR="002769DB" w:rsidRPr="00E52642">
        <w:rPr>
          <w:rFonts w:ascii="Arial" w:hAnsi="Arial" w:cs="Arial"/>
          <w:lang w:val="en-GB"/>
        </w:rPr>
        <w:t>.</w:t>
      </w:r>
    </w:p>
    <w:p w14:paraId="11C073D8" w14:textId="77777777" w:rsidR="002769DB" w:rsidRPr="009663D0" w:rsidRDefault="002769DB" w:rsidP="009663D0">
      <w:pPr>
        <w:pStyle w:val="ListParagraph"/>
        <w:widowControl w:val="0"/>
        <w:spacing w:line="480" w:lineRule="auto"/>
        <w:ind w:left="709"/>
        <w:jc w:val="both"/>
        <w:rPr>
          <w:rFonts w:ascii="Arial" w:hAnsi="Arial" w:cs="Arial"/>
          <w:lang w:val="en-GB"/>
        </w:rPr>
      </w:pPr>
    </w:p>
    <w:p w14:paraId="6412B9FE" w14:textId="311A71B6" w:rsidR="00C0192B" w:rsidRPr="009663D0" w:rsidRDefault="002740A1" w:rsidP="009663D0">
      <w:pPr>
        <w:pStyle w:val="Heading1"/>
        <w:spacing w:before="0" w:after="0"/>
        <w:jc w:val="both"/>
        <w:rPr>
          <w:rFonts w:ascii="Arial" w:hAnsi="Arial" w:cs="Arial"/>
          <w:color w:val="000000" w:themeColor="text1"/>
          <w:sz w:val="24"/>
          <w:szCs w:val="24"/>
          <w:lang w:val="en-GB"/>
        </w:rPr>
      </w:pPr>
      <w:r w:rsidRPr="009663D0">
        <w:rPr>
          <w:rFonts w:ascii="Arial" w:hAnsi="Arial" w:cs="Arial"/>
          <w:b/>
          <w:bCs/>
          <w:color w:val="000000" w:themeColor="text1"/>
          <w:sz w:val="24"/>
          <w:szCs w:val="24"/>
          <w:u w:val="single"/>
          <w:lang w:val="en-GB"/>
        </w:rPr>
        <w:t>Order</w:t>
      </w:r>
    </w:p>
    <w:p w14:paraId="3C9BFC83" w14:textId="77777777" w:rsidR="00B2775E" w:rsidRPr="009663D0" w:rsidRDefault="00B2775E" w:rsidP="009663D0">
      <w:pPr>
        <w:pStyle w:val="Heading1"/>
        <w:spacing w:before="0" w:after="0"/>
        <w:ind w:left="709"/>
        <w:jc w:val="both"/>
        <w:rPr>
          <w:rFonts w:ascii="Arial" w:hAnsi="Arial" w:cs="Arial"/>
          <w:color w:val="000000" w:themeColor="text1"/>
          <w:sz w:val="24"/>
          <w:szCs w:val="24"/>
          <w:lang w:val="en-GB"/>
        </w:rPr>
      </w:pPr>
    </w:p>
    <w:p w14:paraId="5F2CA63C" w14:textId="2246DC06" w:rsidR="005531EA" w:rsidRPr="009663D0" w:rsidRDefault="00E52642" w:rsidP="00E52642">
      <w:pPr>
        <w:pStyle w:val="Heading1"/>
        <w:tabs>
          <w:tab w:val="left" w:pos="709"/>
        </w:tabs>
        <w:spacing w:before="0" w:after="0"/>
        <w:ind w:left="709"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25.</w:t>
      </w:r>
      <w:r w:rsidRPr="009663D0">
        <w:rPr>
          <w:rFonts w:ascii="Arial" w:hAnsi="Arial" w:cs="Arial"/>
          <w:color w:val="000000" w:themeColor="text1"/>
          <w:sz w:val="24"/>
          <w:szCs w:val="24"/>
          <w:lang w:val="en-GB"/>
        </w:rPr>
        <w:tab/>
      </w:r>
      <w:r w:rsidR="002740A1" w:rsidRPr="009663D0">
        <w:rPr>
          <w:rFonts w:ascii="Arial" w:hAnsi="Arial" w:cs="Arial"/>
          <w:color w:val="000000" w:themeColor="text1"/>
          <w:sz w:val="24"/>
          <w:szCs w:val="24"/>
          <w:lang w:val="en-GB"/>
        </w:rPr>
        <w:t xml:space="preserve">In the circumstances, </w:t>
      </w:r>
      <w:r w:rsidR="00C44510" w:rsidRPr="009663D0">
        <w:rPr>
          <w:rFonts w:ascii="Arial" w:hAnsi="Arial" w:cs="Arial"/>
          <w:color w:val="000000" w:themeColor="text1"/>
          <w:sz w:val="24"/>
          <w:szCs w:val="24"/>
          <w:lang w:val="en-GB"/>
        </w:rPr>
        <w:t>it is ordered as follows</w:t>
      </w:r>
      <w:r w:rsidR="00AF1570" w:rsidRPr="009663D0">
        <w:rPr>
          <w:rFonts w:ascii="Arial" w:hAnsi="Arial" w:cs="Arial"/>
          <w:color w:val="000000" w:themeColor="text1"/>
          <w:sz w:val="24"/>
          <w:szCs w:val="24"/>
          <w:lang w:val="en-GB"/>
        </w:rPr>
        <w:t>:</w:t>
      </w:r>
    </w:p>
    <w:p w14:paraId="57569EE4" w14:textId="77777777" w:rsidR="007727D2" w:rsidRPr="009663D0" w:rsidRDefault="007727D2" w:rsidP="009663D0">
      <w:pPr>
        <w:pStyle w:val="Heading1"/>
        <w:spacing w:before="0" w:after="0"/>
        <w:ind w:left="709"/>
        <w:jc w:val="both"/>
        <w:rPr>
          <w:rFonts w:ascii="Arial" w:hAnsi="Arial" w:cs="Arial"/>
          <w:b/>
          <w:bCs/>
          <w:color w:val="242121"/>
          <w:sz w:val="24"/>
          <w:szCs w:val="24"/>
          <w:u w:val="single"/>
          <w:lang w:val="en-GB"/>
        </w:rPr>
      </w:pPr>
    </w:p>
    <w:p w14:paraId="238923F0" w14:textId="2B64DBF2" w:rsidR="005531EA" w:rsidRPr="009663D0" w:rsidRDefault="002769DB" w:rsidP="009663D0">
      <w:pPr>
        <w:pStyle w:val="Heading1"/>
        <w:spacing w:before="0" w:after="0"/>
        <w:ind w:left="709"/>
        <w:jc w:val="both"/>
        <w:rPr>
          <w:rFonts w:ascii="Arial" w:hAnsi="Arial" w:cs="Arial"/>
          <w:color w:val="000000" w:themeColor="text1"/>
          <w:sz w:val="24"/>
          <w:szCs w:val="24"/>
          <w:lang w:val="en-GB"/>
        </w:rPr>
      </w:pPr>
      <w:r w:rsidRPr="009663D0">
        <w:rPr>
          <w:rFonts w:ascii="Arial" w:hAnsi="Arial" w:cs="Arial"/>
          <w:b/>
          <w:bCs/>
          <w:color w:val="242121"/>
          <w:sz w:val="24"/>
          <w:szCs w:val="24"/>
          <w:u w:val="single"/>
          <w:lang w:val="en-GB"/>
        </w:rPr>
        <w:t>In case n</w:t>
      </w:r>
      <w:r w:rsidR="00E70AEA" w:rsidRPr="009663D0">
        <w:rPr>
          <w:rFonts w:ascii="Arial" w:hAnsi="Arial" w:cs="Arial"/>
          <w:b/>
          <w:bCs/>
          <w:color w:val="242121"/>
          <w:sz w:val="24"/>
          <w:szCs w:val="24"/>
          <w:u w:val="single"/>
          <w:lang w:val="en-GB"/>
        </w:rPr>
        <w:t>umber</w:t>
      </w:r>
      <w:r w:rsidRPr="009663D0">
        <w:rPr>
          <w:rFonts w:ascii="Arial" w:hAnsi="Arial" w:cs="Arial"/>
          <w:b/>
          <w:bCs/>
          <w:color w:val="242121"/>
          <w:sz w:val="24"/>
          <w:szCs w:val="24"/>
          <w:u w:val="single"/>
          <w:lang w:val="en-GB"/>
        </w:rPr>
        <w:t xml:space="preserve"> 17728/2021:</w:t>
      </w:r>
    </w:p>
    <w:p w14:paraId="67E2DD0D" w14:textId="77777777" w:rsidR="005531EA" w:rsidRPr="009663D0" w:rsidRDefault="005531EA" w:rsidP="009663D0">
      <w:pPr>
        <w:pStyle w:val="Heading1"/>
        <w:spacing w:before="0" w:after="0"/>
        <w:ind w:left="709"/>
        <w:jc w:val="both"/>
        <w:rPr>
          <w:rFonts w:ascii="Arial" w:hAnsi="Arial" w:cs="Arial"/>
          <w:color w:val="000000" w:themeColor="text1"/>
          <w:sz w:val="24"/>
          <w:szCs w:val="24"/>
          <w:lang w:val="en-GB"/>
        </w:rPr>
      </w:pPr>
    </w:p>
    <w:p w14:paraId="4F052EBC" w14:textId="511B6036" w:rsidR="005531EA" w:rsidRPr="009663D0" w:rsidRDefault="00E52642" w:rsidP="00E52642">
      <w:pPr>
        <w:pStyle w:val="Heading1"/>
        <w:spacing w:before="0" w:after="0"/>
        <w:ind w:left="1418"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lastRenderedPageBreak/>
        <w:t>25.1.</w:t>
      </w:r>
      <w:r w:rsidRPr="009663D0">
        <w:rPr>
          <w:rFonts w:ascii="Arial" w:hAnsi="Arial" w:cs="Arial"/>
          <w:color w:val="000000" w:themeColor="text1"/>
          <w:sz w:val="24"/>
          <w:szCs w:val="24"/>
          <w:lang w:val="en-GB"/>
        </w:rPr>
        <w:tab/>
      </w:r>
      <w:r w:rsidR="002769DB" w:rsidRPr="009663D0">
        <w:rPr>
          <w:rFonts w:ascii="Arial" w:hAnsi="Arial" w:cs="Arial"/>
          <w:color w:val="242121"/>
          <w:sz w:val="24"/>
          <w:szCs w:val="24"/>
          <w:lang w:val="en-GB"/>
        </w:rPr>
        <w:t xml:space="preserve">The estate of the respondent is placed </w:t>
      </w:r>
      <w:r w:rsidR="00314D61" w:rsidRPr="009663D0">
        <w:rPr>
          <w:rFonts w:ascii="Arial" w:hAnsi="Arial" w:cs="Arial"/>
          <w:color w:val="242121"/>
          <w:sz w:val="24"/>
          <w:szCs w:val="24"/>
          <w:lang w:val="en-GB"/>
        </w:rPr>
        <w:t>under</w:t>
      </w:r>
      <w:r w:rsidR="002769DB" w:rsidRPr="009663D0">
        <w:rPr>
          <w:rFonts w:ascii="Arial" w:hAnsi="Arial" w:cs="Arial"/>
          <w:color w:val="242121"/>
          <w:sz w:val="24"/>
          <w:szCs w:val="24"/>
          <w:lang w:val="en-GB"/>
        </w:rPr>
        <w:t xml:space="preserve"> provisional sequestration in the hands of the Master</w:t>
      </w:r>
      <w:r w:rsidR="007727D2" w:rsidRPr="009663D0">
        <w:rPr>
          <w:rFonts w:ascii="Arial" w:hAnsi="Arial" w:cs="Arial"/>
          <w:color w:val="242121"/>
          <w:sz w:val="24"/>
          <w:szCs w:val="24"/>
          <w:lang w:val="en-GB"/>
        </w:rPr>
        <w:t xml:space="preserve"> of this Court</w:t>
      </w:r>
      <w:r w:rsidR="002769DB" w:rsidRPr="009663D0">
        <w:rPr>
          <w:rFonts w:ascii="Arial" w:hAnsi="Arial" w:cs="Arial"/>
          <w:color w:val="242121"/>
          <w:sz w:val="24"/>
          <w:szCs w:val="24"/>
          <w:lang w:val="en-GB"/>
        </w:rPr>
        <w:t>.</w:t>
      </w:r>
    </w:p>
    <w:p w14:paraId="3FD31D2A" w14:textId="77777777" w:rsidR="005531EA" w:rsidRPr="009663D0" w:rsidRDefault="005531EA" w:rsidP="009663D0">
      <w:pPr>
        <w:pStyle w:val="Heading1"/>
        <w:spacing w:before="0" w:after="0"/>
        <w:ind w:left="1418"/>
        <w:jc w:val="both"/>
        <w:rPr>
          <w:rFonts w:ascii="Arial" w:hAnsi="Arial" w:cs="Arial"/>
          <w:color w:val="000000" w:themeColor="text1"/>
          <w:sz w:val="24"/>
          <w:szCs w:val="24"/>
          <w:lang w:val="en-GB"/>
        </w:rPr>
      </w:pPr>
    </w:p>
    <w:p w14:paraId="3B9DA5E9" w14:textId="035AE54D" w:rsidR="005531EA" w:rsidRPr="009663D0" w:rsidRDefault="00E52642" w:rsidP="00E52642">
      <w:pPr>
        <w:pStyle w:val="Heading1"/>
        <w:spacing w:before="0" w:after="0"/>
        <w:ind w:left="1418"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25.2.</w:t>
      </w:r>
      <w:r w:rsidRPr="009663D0">
        <w:rPr>
          <w:rFonts w:ascii="Arial" w:hAnsi="Arial" w:cs="Arial"/>
          <w:color w:val="000000" w:themeColor="text1"/>
          <w:sz w:val="24"/>
          <w:szCs w:val="24"/>
          <w:lang w:val="en-GB"/>
        </w:rPr>
        <w:tab/>
      </w:r>
      <w:r w:rsidR="002769DB" w:rsidRPr="009663D0">
        <w:rPr>
          <w:rFonts w:ascii="Arial" w:hAnsi="Arial" w:cs="Arial"/>
          <w:color w:val="242121"/>
          <w:sz w:val="24"/>
          <w:szCs w:val="24"/>
          <w:lang w:val="en-GB"/>
        </w:rPr>
        <w:t xml:space="preserve">A rule </w:t>
      </w:r>
      <w:r w:rsidR="002769DB" w:rsidRPr="009663D0">
        <w:rPr>
          <w:rFonts w:ascii="Arial" w:hAnsi="Arial" w:cs="Arial"/>
          <w:i/>
          <w:iCs/>
          <w:color w:val="242121"/>
          <w:sz w:val="24"/>
          <w:szCs w:val="24"/>
          <w:lang w:val="en-GB"/>
        </w:rPr>
        <w:t>nisi</w:t>
      </w:r>
      <w:r w:rsidR="002769DB" w:rsidRPr="009663D0">
        <w:rPr>
          <w:rFonts w:ascii="Arial" w:hAnsi="Arial" w:cs="Arial"/>
          <w:color w:val="242121"/>
          <w:sz w:val="24"/>
          <w:szCs w:val="24"/>
          <w:lang w:val="en-GB"/>
        </w:rPr>
        <w:t xml:space="preserve"> does hereby issue calling upon the respondent to appear before this Honourable Court on </w:t>
      </w:r>
      <w:r w:rsidR="002769DB" w:rsidRPr="009663D0">
        <w:rPr>
          <w:rFonts w:ascii="Arial" w:hAnsi="Arial" w:cs="Arial"/>
          <w:b/>
          <w:bCs/>
          <w:color w:val="242121"/>
          <w:sz w:val="24"/>
          <w:szCs w:val="24"/>
          <w:lang w:val="en-GB"/>
        </w:rPr>
        <w:t>T</w:t>
      </w:r>
      <w:r w:rsidR="00E70AEA" w:rsidRPr="009663D0">
        <w:rPr>
          <w:rFonts w:ascii="Arial" w:hAnsi="Arial" w:cs="Arial"/>
          <w:b/>
          <w:bCs/>
          <w:color w:val="242121"/>
          <w:sz w:val="24"/>
          <w:szCs w:val="24"/>
          <w:lang w:val="en-GB"/>
        </w:rPr>
        <w:t>hursday</w:t>
      </w:r>
      <w:r w:rsidR="002769DB" w:rsidRPr="009663D0">
        <w:rPr>
          <w:rFonts w:ascii="Arial" w:hAnsi="Arial" w:cs="Arial"/>
          <w:b/>
          <w:bCs/>
          <w:color w:val="242121"/>
          <w:sz w:val="24"/>
          <w:szCs w:val="24"/>
          <w:lang w:val="en-GB"/>
        </w:rPr>
        <w:t xml:space="preserve">, </w:t>
      </w:r>
      <w:r w:rsidR="00E70AEA" w:rsidRPr="009663D0">
        <w:rPr>
          <w:rFonts w:ascii="Arial" w:hAnsi="Arial" w:cs="Arial"/>
          <w:b/>
          <w:bCs/>
          <w:color w:val="242121"/>
          <w:sz w:val="24"/>
          <w:szCs w:val="24"/>
          <w:lang w:val="en-GB"/>
        </w:rPr>
        <w:t>23</w:t>
      </w:r>
      <w:r w:rsidR="002769DB" w:rsidRPr="009663D0">
        <w:rPr>
          <w:rFonts w:ascii="Arial" w:hAnsi="Arial" w:cs="Arial"/>
          <w:b/>
          <w:bCs/>
          <w:color w:val="242121"/>
          <w:sz w:val="24"/>
          <w:szCs w:val="24"/>
          <w:lang w:val="en-GB"/>
        </w:rPr>
        <w:t xml:space="preserve"> </w:t>
      </w:r>
      <w:r w:rsidR="00E70AEA" w:rsidRPr="009663D0">
        <w:rPr>
          <w:rFonts w:ascii="Arial" w:hAnsi="Arial" w:cs="Arial"/>
          <w:b/>
          <w:bCs/>
          <w:color w:val="242121"/>
          <w:sz w:val="24"/>
          <w:szCs w:val="24"/>
          <w:lang w:val="en-GB"/>
        </w:rPr>
        <w:t>June</w:t>
      </w:r>
      <w:r w:rsidR="002769DB" w:rsidRPr="009663D0">
        <w:rPr>
          <w:rFonts w:ascii="Arial" w:hAnsi="Arial" w:cs="Arial"/>
          <w:b/>
          <w:bCs/>
          <w:color w:val="242121"/>
          <w:sz w:val="24"/>
          <w:szCs w:val="24"/>
          <w:lang w:val="en-GB"/>
        </w:rPr>
        <w:t xml:space="preserve"> 2022</w:t>
      </w:r>
      <w:r w:rsidR="002769DB" w:rsidRPr="009663D0">
        <w:rPr>
          <w:rFonts w:ascii="Arial" w:hAnsi="Arial" w:cs="Arial"/>
          <w:color w:val="242121"/>
          <w:sz w:val="24"/>
          <w:szCs w:val="24"/>
          <w:lang w:val="en-GB"/>
        </w:rPr>
        <w:t> at 10</w:t>
      </w:r>
      <w:r w:rsidR="00E70AEA" w:rsidRPr="009663D0">
        <w:rPr>
          <w:rFonts w:ascii="Arial" w:hAnsi="Arial" w:cs="Arial"/>
          <w:color w:val="242121"/>
          <w:sz w:val="24"/>
          <w:szCs w:val="24"/>
          <w:lang w:val="en-GB"/>
        </w:rPr>
        <w:t>:</w:t>
      </w:r>
      <w:r w:rsidR="002769DB" w:rsidRPr="009663D0">
        <w:rPr>
          <w:rFonts w:ascii="Arial" w:hAnsi="Arial" w:cs="Arial"/>
          <w:color w:val="242121"/>
          <w:sz w:val="24"/>
          <w:szCs w:val="24"/>
          <w:lang w:val="en-GB"/>
        </w:rPr>
        <w:t>00 or as soon thereafter as the matter may be called to show cause why</w:t>
      </w:r>
      <w:r w:rsidR="00E70AEA" w:rsidRPr="009663D0">
        <w:rPr>
          <w:rFonts w:ascii="Arial" w:hAnsi="Arial" w:cs="Arial"/>
          <w:color w:val="242121"/>
          <w:sz w:val="24"/>
          <w:szCs w:val="24"/>
          <w:lang w:val="en-GB"/>
        </w:rPr>
        <w:t>:</w:t>
      </w:r>
    </w:p>
    <w:p w14:paraId="114A1082" w14:textId="77777777" w:rsidR="007727D2" w:rsidRPr="009663D0" w:rsidRDefault="007727D2" w:rsidP="009663D0">
      <w:pPr>
        <w:pStyle w:val="Heading1"/>
        <w:spacing w:before="0" w:after="0"/>
        <w:ind w:left="2127"/>
        <w:jc w:val="both"/>
        <w:rPr>
          <w:rFonts w:ascii="Arial" w:hAnsi="Arial" w:cs="Arial"/>
          <w:color w:val="000000" w:themeColor="text1"/>
          <w:sz w:val="24"/>
          <w:szCs w:val="24"/>
          <w:lang w:val="en-GB"/>
        </w:rPr>
      </w:pPr>
    </w:p>
    <w:p w14:paraId="0E791013" w14:textId="6FFACB6C" w:rsidR="007727D2" w:rsidRPr="009663D0" w:rsidRDefault="00E52642" w:rsidP="00E52642">
      <w:pPr>
        <w:pStyle w:val="Heading1"/>
        <w:spacing w:before="0" w:after="0"/>
        <w:ind w:left="2880" w:hanging="1462"/>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25.2.1.</w:t>
      </w:r>
      <w:r w:rsidRPr="009663D0">
        <w:rPr>
          <w:rFonts w:ascii="Arial" w:hAnsi="Arial" w:cs="Arial"/>
          <w:color w:val="000000" w:themeColor="text1"/>
          <w:sz w:val="24"/>
          <w:szCs w:val="24"/>
          <w:lang w:val="en-GB"/>
        </w:rPr>
        <w:tab/>
      </w:r>
      <w:r w:rsidR="002769DB" w:rsidRPr="009663D0">
        <w:rPr>
          <w:rFonts w:ascii="Arial" w:hAnsi="Arial" w:cs="Arial"/>
          <w:color w:val="242121"/>
          <w:sz w:val="24"/>
          <w:szCs w:val="24"/>
          <w:lang w:val="en-GB"/>
        </w:rPr>
        <w:t>h</w:t>
      </w:r>
      <w:r w:rsidR="00E70AEA" w:rsidRPr="009663D0">
        <w:rPr>
          <w:rFonts w:ascii="Arial" w:hAnsi="Arial" w:cs="Arial"/>
          <w:color w:val="242121"/>
          <w:sz w:val="24"/>
          <w:szCs w:val="24"/>
          <w:lang w:val="en-GB"/>
        </w:rPr>
        <w:t>is</w:t>
      </w:r>
      <w:r w:rsidR="002769DB" w:rsidRPr="009663D0">
        <w:rPr>
          <w:rFonts w:ascii="Arial" w:hAnsi="Arial" w:cs="Arial"/>
          <w:color w:val="242121"/>
          <w:sz w:val="24"/>
          <w:szCs w:val="24"/>
          <w:lang w:val="en-GB"/>
        </w:rPr>
        <w:t xml:space="preserve"> estate should not be </w:t>
      </w:r>
      <w:r w:rsidR="00CF1598" w:rsidRPr="009663D0">
        <w:rPr>
          <w:rFonts w:ascii="Arial" w:hAnsi="Arial" w:cs="Arial"/>
          <w:color w:val="242121"/>
          <w:sz w:val="24"/>
          <w:szCs w:val="24"/>
          <w:lang w:val="en-GB"/>
        </w:rPr>
        <w:t>placed under a final order of sequestration</w:t>
      </w:r>
      <w:r w:rsidR="002769DB" w:rsidRPr="009663D0">
        <w:rPr>
          <w:rFonts w:ascii="Arial" w:hAnsi="Arial" w:cs="Arial"/>
          <w:color w:val="242121"/>
          <w:sz w:val="24"/>
          <w:szCs w:val="24"/>
          <w:lang w:val="en-GB"/>
        </w:rPr>
        <w:t xml:space="preserve">, </w:t>
      </w:r>
      <w:r w:rsidR="00E70AEA" w:rsidRPr="009663D0">
        <w:rPr>
          <w:rFonts w:ascii="Arial" w:hAnsi="Arial" w:cs="Arial"/>
          <w:color w:val="242121"/>
          <w:sz w:val="24"/>
          <w:szCs w:val="24"/>
          <w:lang w:val="en-GB"/>
        </w:rPr>
        <w:t>an</w:t>
      </w:r>
      <w:r w:rsidR="007727D2" w:rsidRPr="009663D0">
        <w:rPr>
          <w:rFonts w:ascii="Arial" w:hAnsi="Arial" w:cs="Arial"/>
          <w:color w:val="242121"/>
          <w:sz w:val="24"/>
          <w:szCs w:val="24"/>
          <w:lang w:val="en-GB"/>
        </w:rPr>
        <w:t>d</w:t>
      </w:r>
    </w:p>
    <w:p w14:paraId="459BA3BB" w14:textId="77777777" w:rsidR="007727D2" w:rsidRPr="009663D0" w:rsidRDefault="007727D2" w:rsidP="009663D0">
      <w:pPr>
        <w:pStyle w:val="Heading1"/>
        <w:spacing w:before="0" w:after="0"/>
        <w:ind w:left="2127"/>
        <w:jc w:val="both"/>
        <w:rPr>
          <w:rFonts w:ascii="Arial" w:hAnsi="Arial" w:cs="Arial"/>
          <w:color w:val="000000" w:themeColor="text1"/>
          <w:sz w:val="24"/>
          <w:szCs w:val="24"/>
          <w:lang w:val="en-GB"/>
        </w:rPr>
      </w:pPr>
    </w:p>
    <w:p w14:paraId="6BEE8879" w14:textId="5EFB766B" w:rsidR="005531EA" w:rsidRPr="009663D0" w:rsidRDefault="00E52642" w:rsidP="00E52642">
      <w:pPr>
        <w:pStyle w:val="Heading1"/>
        <w:spacing w:before="0" w:after="0"/>
        <w:ind w:left="2880" w:hanging="1462"/>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25.2.2.</w:t>
      </w:r>
      <w:r w:rsidRPr="009663D0">
        <w:rPr>
          <w:rFonts w:ascii="Arial" w:hAnsi="Arial" w:cs="Arial"/>
          <w:color w:val="000000" w:themeColor="text1"/>
          <w:sz w:val="24"/>
          <w:szCs w:val="24"/>
          <w:lang w:val="en-GB"/>
        </w:rPr>
        <w:tab/>
      </w:r>
      <w:r w:rsidR="00E70AEA" w:rsidRPr="009663D0">
        <w:rPr>
          <w:rFonts w:ascii="Arial" w:hAnsi="Arial" w:cs="Arial"/>
          <w:color w:val="242121"/>
          <w:sz w:val="24"/>
          <w:szCs w:val="24"/>
          <w:lang w:val="en-GB"/>
        </w:rPr>
        <w:t>why the costs of this application should not be costs in the sequestration</w:t>
      </w:r>
      <w:r w:rsidR="002769DB" w:rsidRPr="009663D0">
        <w:rPr>
          <w:rFonts w:ascii="Arial" w:hAnsi="Arial" w:cs="Arial"/>
          <w:color w:val="242121"/>
          <w:sz w:val="24"/>
          <w:szCs w:val="24"/>
          <w:lang w:val="en-GB"/>
        </w:rPr>
        <w:t>.</w:t>
      </w:r>
    </w:p>
    <w:p w14:paraId="6FBD2835" w14:textId="77777777" w:rsidR="005531EA" w:rsidRPr="009663D0" w:rsidRDefault="005531EA" w:rsidP="009663D0">
      <w:pPr>
        <w:pStyle w:val="Heading1"/>
        <w:spacing w:before="0" w:after="0"/>
        <w:ind w:left="1418"/>
        <w:jc w:val="both"/>
        <w:rPr>
          <w:rFonts w:ascii="Arial" w:hAnsi="Arial" w:cs="Arial"/>
          <w:color w:val="000000" w:themeColor="text1"/>
          <w:sz w:val="24"/>
          <w:szCs w:val="24"/>
          <w:lang w:val="en-GB"/>
        </w:rPr>
      </w:pPr>
    </w:p>
    <w:p w14:paraId="05726FCB" w14:textId="37E4C8E3" w:rsidR="005531EA" w:rsidRPr="009663D0" w:rsidRDefault="00E52642" w:rsidP="00E52642">
      <w:pPr>
        <w:pStyle w:val="Heading1"/>
        <w:spacing w:before="0" w:after="0"/>
        <w:ind w:left="1418" w:hanging="709"/>
        <w:jc w:val="both"/>
        <w:rPr>
          <w:rFonts w:ascii="Arial" w:hAnsi="Arial" w:cs="Arial"/>
          <w:sz w:val="24"/>
          <w:szCs w:val="24"/>
          <w:lang w:val="en-GB"/>
        </w:rPr>
      </w:pPr>
      <w:r w:rsidRPr="009663D0">
        <w:rPr>
          <w:rFonts w:ascii="Arial" w:hAnsi="Arial" w:cs="Arial"/>
          <w:sz w:val="24"/>
          <w:szCs w:val="24"/>
          <w:lang w:val="en-GB"/>
        </w:rPr>
        <w:t>25.3.</w:t>
      </w:r>
      <w:r w:rsidRPr="009663D0">
        <w:rPr>
          <w:rFonts w:ascii="Arial" w:hAnsi="Arial" w:cs="Arial"/>
          <w:sz w:val="24"/>
          <w:szCs w:val="24"/>
          <w:lang w:val="en-GB"/>
        </w:rPr>
        <w:tab/>
      </w:r>
      <w:r w:rsidR="002769DB" w:rsidRPr="009663D0">
        <w:rPr>
          <w:rFonts w:ascii="Arial" w:hAnsi="Arial" w:cs="Arial"/>
          <w:color w:val="242121"/>
          <w:sz w:val="24"/>
          <w:szCs w:val="24"/>
          <w:lang w:val="en-GB"/>
        </w:rPr>
        <w:t xml:space="preserve">The </w:t>
      </w:r>
      <w:r w:rsidR="00CF1598" w:rsidRPr="009663D0">
        <w:rPr>
          <w:rFonts w:ascii="Arial" w:hAnsi="Arial" w:cs="Arial"/>
          <w:color w:val="242121"/>
          <w:sz w:val="24"/>
          <w:szCs w:val="24"/>
          <w:lang w:val="en-GB"/>
        </w:rPr>
        <w:t>provisional order</w:t>
      </w:r>
      <w:r w:rsidR="002769DB" w:rsidRPr="009663D0">
        <w:rPr>
          <w:rFonts w:ascii="Arial" w:hAnsi="Arial" w:cs="Arial"/>
          <w:color w:val="242121"/>
          <w:sz w:val="24"/>
          <w:szCs w:val="24"/>
          <w:lang w:val="en-GB"/>
        </w:rPr>
        <w:t xml:space="preserve"> must be served </w:t>
      </w:r>
      <w:r w:rsidR="00CF1598" w:rsidRPr="009663D0">
        <w:rPr>
          <w:rFonts w:ascii="Arial" w:hAnsi="Arial" w:cs="Arial"/>
          <w:color w:val="242121"/>
          <w:sz w:val="24"/>
          <w:szCs w:val="24"/>
          <w:lang w:val="en-GB"/>
        </w:rPr>
        <w:t xml:space="preserve">by the Sheriff </w:t>
      </w:r>
      <w:r w:rsidR="002769DB" w:rsidRPr="009663D0">
        <w:rPr>
          <w:rFonts w:ascii="Arial" w:hAnsi="Arial" w:cs="Arial"/>
          <w:color w:val="242121"/>
          <w:sz w:val="24"/>
          <w:szCs w:val="24"/>
          <w:lang w:val="en-GB"/>
        </w:rPr>
        <w:t>on the respondent</w:t>
      </w:r>
      <w:r w:rsidR="00CF1598" w:rsidRPr="009663D0">
        <w:rPr>
          <w:rFonts w:ascii="Arial" w:hAnsi="Arial" w:cs="Arial"/>
          <w:color w:val="242121"/>
          <w:sz w:val="24"/>
          <w:szCs w:val="24"/>
          <w:lang w:val="en-GB"/>
        </w:rPr>
        <w:t xml:space="preserve"> personally</w:t>
      </w:r>
      <w:r w:rsidR="002769DB" w:rsidRPr="009663D0">
        <w:rPr>
          <w:rFonts w:ascii="Arial" w:hAnsi="Arial" w:cs="Arial"/>
          <w:color w:val="242121"/>
          <w:sz w:val="24"/>
          <w:szCs w:val="24"/>
          <w:lang w:val="en-GB"/>
        </w:rPr>
        <w:t xml:space="preserve"> and copies thereof must also be served as provided in terms of</w:t>
      </w:r>
      <w:r w:rsidR="002769DB" w:rsidRPr="009663D0">
        <w:rPr>
          <w:rFonts w:ascii="Arial" w:hAnsi="Arial" w:cs="Arial"/>
          <w:sz w:val="24"/>
          <w:szCs w:val="24"/>
          <w:lang w:val="en-GB"/>
        </w:rPr>
        <w:t> </w:t>
      </w:r>
      <w:hyperlink r:id="rId17" w:anchor="s11" w:history="1">
        <w:r w:rsidR="002769DB" w:rsidRPr="009663D0">
          <w:rPr>
            <w:rStyle w:val="Hyperlink"/>
            <w:rFonts w:ascii="Arial" w:hAnsi="Arial" w:cs="Arial"/>
            <w:color w:val="auto"/>
            <w:sz w:val="24"/>
            <w:szCs w:val="24"/>
            <w:u w:val="none"/>
            <w:lang w:val="en-GB"/>
          </w:rPr>
          <w:t>section 11(2A)</w:t>
        </w:r>
      </w:hyperlink>
      <w:r w:rsidR="006F4049" w:rsidRPr="009663D0">
        <w:rPr>
          <w:rFonts w:ascii="Arial" w:hAnsi="Arial" w:cs="Arial"/>
          <w:sz w:val="24"/>
          <w:szCs w:val="24"/>
          <w:lang w:val="en-GB"/>
        </w:rPr>
        <w:t>,</w:t>
      </w:r>
      <w:r w:rsidR="002769DB" w:rsidRPr="009663D0">
        <w:rPr>
          <w:rFonts w:ascii="Arial" w:hAnsi="Arial" w:cs="Arial"/>
          <w:sz w:val="24"/>
          <w:szCs w:val="24"/>
          <w:lang w:val="en-GB"/>
        </w:rPr>
        <w:t> read with </w:t>
      </w:r>
      <w:hyperlink r:id="rId18" w:anchor="s11" w:history="1">
        <w:r w:rsidR="002769DB" w:rsidRPr="009663D0">
          <w:rPr>
            <w:rStyle w:val="Hyperlink"/>
            <w:rFonts w:ascii="Arial" w:hAnsi="Arial" w:cs="Arial"/>
            <w:color w:val="auto"/>
            <w:sz w:val="24"/>
            <w:szCs w:val="24"/>
            <w:u w:val="none"/>
            <w:lang w:val="en-GB"/>
          </w:rPr>
          <w:t>section 11(4)</w:t>
        </w:r>
      </w:hyperlink>
      <w:r w:rsidR="006F4049" w:rsidRPr="009663D0">
        <w:rPr>
          <w:rFonts w:ascii="Arial" w:hAnsi="Arial" w:cs="Arial"/>
          <w:sz w:val="24"/>
          <w:szCs w:val="24"/>
          <w:lang w:val="en-GB"/>
        </w:rPr>
        <w:t>,</w:t>
      </w:r>
      <w:r w:rsidR="002769DB" w:rsidRPr="009663D0">
        <w:rPr>
          <w:rFonts w:ascii="Arial" w:hAnsi="Arial" w:cs="Arial"/>
          <w:sz w:val="24"/>
          <w:szCs w:val="24"/>
          <w:lang w:val="en-GB"/>
        </w:rPr>
        <w:t> of the </w:t>
      </w:r>
      <w:hyperlink r:id="rId19" w:history="1">
        <w:r w:rsidR="002769DB" w:rsidRPr="009663D0">
          <w:rPr>
            <w:rStyle w:val="Hyperlink"/>
            <w:rFonts w:ascii="Arial" w:hAnsi="Arial" w:cs="Arial"/>
            <w:color w:val="auto"/>
            <w:sz w:val="24"/>
            <w:szCs w:val="24"/>
            <w:u w:val="none"/>
            <w:lang w:val="en-GB"/>
          </w:rPr>
          <w:t>Insolvency Act 24 of 1936</w:t>
        </w:r>
      </w:hyperlink>
      <w:r w:rsidR="002769DB" w:rsidRPr="009663D0">
        <w:rPr>
          <w:rFonts w:ascii="Arial" w:hAnsi="Arial" w:cs="Arial"/>
          <w:sz w:val="24"/>
          <w:szCs w:val="24"/>
          <w:lang w:val="en-GB"/>
        </w:rPr>
        <w:t>.</w:t>
      </w:r>
    </w:p>
    <w:p w14:paraId="758D1636" w14:textId="77777777" w:rsidR="005531EA" w:rsidRPr="009663D0" w:rsidRDefault="005531EA" w:rsidP="009663D0">
      <w:pPr>
        <w:pStyle w:val="Heading1"/>
        <w:spacing w:before="0" w:after="0"/>
        <w:ind w:left="1418"/>
        <w:jc w:val="both"/>
        <w:rPr>
          <w:rFonts w:ascii="Arial" w:hAnsi="Arial" w:cs="Arial"/>
          <w:color w:val="000000" w:themeColor="text1"/>
          <w:sz w:val="24"/>
          <w:szCs w:val="24"/>
          <w:lang w:val="en-GB"/>
        </w:rPr>
      </w:pPr>
    </w:p>
    <w:p w14:paraId="356AC6E9" w14:textId="5BB13255" w:rsidR="00CF1598" w:rsidRPr="009663D0" w:rsidRDefault="00E52642" w:rsidP="00E52642">
      <w:pPr>
        <w:pStyle w:val="Heading1"/>
        <w:spacing w:before="0" w:after="0"/>
        <w:ind w:left="1418"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25.4.</w:t>
      </w:r>
      <w:r w:rsidRPr="009663D0">
        <w:rPr>
          <w:rFonts w:ascii="Arial" w:hAnsi="Arial" w:cs="Arial"/>
          <w:color w:val="000000" w:themeColor="text1"/>
          <w:sz w:val="24"/>
          <w:szCs w:val="24"/>
          <w:lang w:val="en-GB"/>
        </w:rPr>
        <w:tab/>
      </w:r>
      <w:r w:rsidR="00CF1598" w:rsidRPr="009663D0">
        <w:rPr>
          <w:rFonts w:ascii="Arial" w:hAnsi="Arial" w:cs="Arial"/>
          <w:color w:val="000000" w:themeColor="text1"/>
          <w:sz w:val="24"/>
          <w:szCs w:val="24"/>
          <w:lang w:val="en-GB"/>
        </w:rPr>
        <w:t>Notice of the provisional order must, in addition, be given by prepaid registered post to all creditors whose claims exceed R25 000,00.</w:t>
      </w:r>
    </w:p>
    <w:p w14:paraId="72D70D90" w14:textId="77777777" w:rsidR="00CF1598" w:rsidRPr="009663D0" w:rsidRDefault="00CF1598" w:rsidP="009663D0">
      <w:pPr>
        <w:widowControl w:val="0"/>
        <w:spacing w:line="480" w:lineRule="auto"/>
        <w:jc w:val="both"/>
        <w:rPr>
          <w:rFonts w:ascii="Arial" w:hAnsi="Arial" w:cs="Arial"/>
          <w:lang w:val="en-GB"/>
        </w:rPr>
      </w:pPr>
    </w:p>
    <w:p w14:paraId="18CCFCB6" w14:textId="5022A217" w:rsidR="002769DB" w:rsidRPr="009663D0" w:rsidRDefault="00E52642" w:rsidP="00E52642">
      <w:pPr>
        <w:pStyle w:val="Heading1"/>
        <w:spacing w:before="0" w:after="0"/>
        <w:ind w:left="1418"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25.5.</w:t>
      </w:r>
      <w:r w:rsidRPr="009663D0">
        <w:rPr>
          <w:rFonts w:ascii="Arial" w:hAnsi="Arial" w:cs="Arial"/>
          <w:color w:val="000000" w:themeColor="text1"/>
          <w:sz w:val="24"/>
          <w:szCs w:val="24"/>
          <w:lang w:val="en-GB"/>
        </w:rPr>
        <w:tab/>
      </w:r>
      <w:r w:rsidR="002769DB" w:rsidRPr="009663D0">
        <w:rPr>
          <w:rFonts w:ascii="Arial" w:hAnsi="Arial" w:cs="Arial"/>
          <w:color w:val="242121"/>
          <w:sz w:val="24"/>
          <w:szCs w:val="24"/>
          <w:lang w:val="en-GB"/>
        </w:rPr>
        <w:t>The Sheriff shall attach all moveable property in the insolvent estate and shall, immediately after effecting the attachment, report to the Master in writing that the attachment has been effected and shall submit with such report a copy of the inventory in terms</w:t>
      </w:r>
      <w:r w:rsidR="002769DB" w:rsidRPr="009663D0">
        <w:rPr>
          <w:rFonts w:ascii="Arial" w:hAnsi="Arial" w:cs="Arial"/>
          <w:sz w:val="24"/>
          <w:szCs w:val="24"/>
          <w:lang w:val="en-GB"/>
        </w:rPr>
        <w:t xml:space="preserve"> of </w:t>
      </w:r>
      <w:hyperlink r:id="rId20" w:anchor="s19" w:history="1">
        <w:r w:rsidR="002769DB" w:rsidRPr="009663D0">
          <w:rPr>
            <w:rStyle w:val="Hyperlink"/>
            <w:rFonts w:ascii="Arial" w:hAnsi="Arial" w:cs="Arial"/>
            <w:color w:val="auto"/>
            <w:sz w:val="24"/>
            <w:szCs w:val="24"/>
            <w:u w:val="none"/>
            <w:lang w:val="en-GB"/>
          </w:rPr>
          <w:t>section 19</w:t>
        </w:r>
      </w:hyperlink>
      <w:r w:rsidR="002769DB" w:rsidRPr="009663D0">
        <w:rPr>
          <w:rFonts w:ascii="Arial" w:hAnsi="Arial" w:cs="Arial"/>
          <w:sz w:val="24"/>
          <w:szCs w:val="24"/>
          <w:lang w:val="en-GB"/>
        </w:rPr>
        <w:t> of the </w:t>
      </w:r>
      <w:hyperlink r:id="rId21" w:history="1">
        <w:r w:rsidR="002769DB" w:rsidRPr="009663D0">
          <w:rPr>
            <w:rStyle w:val="Hyperlink"/>
            <w:rFonts w:ascii="Arial" w:hAnsi="Arial" w:cs="Arial"/>
            <w:color w:val="auto"/>
            <w:sz w:val="24"/>
            <w:szCs w:val="24"/>
            <w:u w:val="none"/>
            <w:lang w:val="en-GB"/>
          </w:rPr>
          <w:t>Insolvency Act.</w:t>
        </w:r>
      </w:hyperlink>
    </w:p>
    <w:p w14:paraId="44E2CC75" w14:textId="6F7342FD" w:rsidR="002769DB" w:rsidRPr="009663D0" w:rsidRDefault="002769DB" w:rsidP="009663D0">
      <w:pPr>
        <w:widowControl w:val="0"/>
        <w:spacing w:line="480" w:lineRule="auto"/>
        <w:jc w:val="both"/>
        <w:rPr>
          <w:rFonts w:ascii="Arial" w:hAnsi="Arial" w:cs="Arial"/>
          <w:lang w:val="en-GB"/>
        </w:rPr>
      </w:pPr>
    </w:p>
    <w:p w14:paraId="33DDCD69" w14:textId="1C93F0C4" w:rsidR="00E70AEA" w:rsidRPr="009663D0" w:rsidRDefault="00E70AEA" w:rsidP="009663D0">
      <w:pPr>
        <w:widowControl w:val="0"/>
        <w:spacing w:line="480" w:lineRule="auto"/>
        <w:ind w:firstLine="709"/>
        <w:jc w:val="both"/>
        <w:rPr>
          <w:rFonts w:ascii="Arial" w:hAnsi="Arial" w:cs="Arial"/>
          <w:b/>
          <w:bCs/>
          <w:u w:val="single"/>
          <w:lang w:val="en-GB"/>
        </w:rPr>
      </w:pPr>
      <w:r w:rsidRPr="009663D0">
        <w:rPr>
          <w:rFonts w:ascii="Arial" w:hAnsi="Arial" w:cs="Arial"/>
          <w:b/>
          <w:bCs/>
          <w:u w:val="single"/>
          <w:lang w:val="en-GB"/>
        </w:rPr>
        <w:lastRenderedPageBreak/>
        <w:t>In case number 19689/2016</w:t>
      </w:r>
    </w:p>
    <w:p w14:paraId="323E2910" w14:textId="77777777" w:rsidR="002769DB" w:rsidRPr="009663D0" w:rsidRDefault="002769DB" w:rsidP="009663D0">
      <w:pPr>
        <w:widowControl w:val="0"/>
        <w:spacing w:line="480" w:lineRule="auto"/>
        <w:jc w:val="both"/>
        <w:rPr>
          <w:rFonts w:ascii="Arial" w:hAnsi="Arial" w:cs="Arial"/>
          <w:lang w:val="en-GB"/>
        </w:rPr>
      </w:pPr>
    </w:p>
    <w:p w14:paraId="364AAD01" w14:textId="7234014C" w:rsidR="005531EA" w:rsidRPr="009663D0" w:rsidRDefault="00E52642" w:rsidP="00E52642">
      <w:pPr>
        <w:pStyle w:val="Heading1"/>
        <w:tabs>
          <w:tab w:val="clear" w:pos="1418"/>
          <w:tab w:val="clear" w:pos="2835"/>
          <w:tab w:val="clear" w:pos="4253"/>
          <w:tab w:val="clear" w:pos="5670"/>
          <w:tab w:val="clear" w:pos="7088"/>
          <w:tab w:val="clear" w:pos="8505"/>
        </w:tabs>
        <w:spacing w:before="0" w:after="0"/>
        <w:ind w:left="1418"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25.6.</w:t>
      </w:r>
      <w:r w:rsidRPr="009663D0">
        <w:rPr>
          <w:rFonts w:ascii="Arial" w:hAnsi="Arial" w:cs="Arial"/>
          <w:color w:val="000000" w:themeColor="text1"/>
          <w:sz w:val="24"/>
          <w:szCs w:val="24"/>
          <w:lang w:val="en-GB"/>
        </w:rPr>
        <w:tab/>
      </w:r>
      <w:r w:rsidR="002740A1" w:rsidRPr="009663D0">
        <w:rPr>
          <w:rFonts w:ascii="Arial" w:hAnsi="Arial" w:cs="Arial"/>
          <w:color w:val="000000" w:themeColor="text1"/>
          <w:sz w:val="24"/>
          <w:szCs w:val="24"/>
          <w:lang w:val="en-GB"/>
        </w:rPr>
        <w:t xml:space="preserve">The </w:t>
      </w:r>
      <w:r w:rsidR="005531EA" w:rsidRPr="009663D0">
        <w:rPr>
          <w:rFonts w:ascii="Arial" w:hAnsi="Arial" w:cs="Arial"/>
          <w:color w:val="000000" w:themeColor="text1"/>
          <w:sz w:val="24"/>
          <w:szCs w:val="24"/>
          <w:lang w:val="en-GB"/>
        </w:rPr>
        <w:t xml:space="preserve">respondent’s application under Rule 43(6) for the variation of the Rule 43 order granted on 4 April 2017 is postponed </w:t>
      </w:r>
      <w:r w:rsidR="005531EA" w:rsidRPr="009663D0">
        <w:rPr>
          <w:rFonts w:ascii="Arial" w:hAnsi="Arial" w:cs="Arial"/>
          <w:i/>
          <w:iCs/>
          <w:color w:val="000000" w:themeColor="text1"/>
          <w:sz w:val="24"/>
          <w:szCs w:val="24"/>
          <w:lang w:val="en-GB"/>
        </w:rPr>
        <w:t xml:space="preserve">sine die, </w:t>
      </w:r>
      <w:r w:rsidR="005531EA" w:rsidRPr="009663D0">
        <w:rPr>
          <w:rFonts w:ascii="Arial" w:hAnsi="Arial" w:cs="Arial"/>
          <w:color w:val="000000" w:themeColor="text1"/>
          <w:sz w:val="24"/>
          <w:szCs w:val="24"/>
          <w:lang w:val="en-GB"/>
        </w:rPr>
        <w:t>with costs to stand over for later determination.</w:t>
      </w:r>
    </w:p>
    <w:p w14:paraId="58EBA848" w14:textId="77777777" w:rsidR="005531EA" w:rsidRPr="009663D0" w:rsidRDefault="005531EA" w:rsidP="009663D0">
      <w:pPr>
        <w:pStyle w:val="Heading1"/>
        <w:tabs>
          <w:tab w:val="clear" w:pos="1418"/>
          <w:tab w:val="clear" w:pos="2835"/>
          <w:tab w:val="clear" w:pos="4253"/>
          <w:tab w:val="clear" w:pos="5670"/>
          <w:tab w:val="clear" w:pos="7088"/>
          <w:tab w:val="clear" w:pos="8505"/>
        </w:tabs>
        <w:spacing w:before="0" w:after="0"/>
        <w:ind w:left="1418"/>
        <w:jc w:val="both"/>
        <w:rPr>
          <w:rFonts w:ascii="Arial" w:hAnsi="Arial" w:cs="Arial"/>
          <w:color w:val="000000" w:themeColor="text1"/>
          <w:sz w:val="24"/>
          <w:szCs w:val="24"/>
          <w:lang w:val="en-GB"/>
        </w:rPr>
      </w:pPr>
    </w:p>
    <w:p w14:paraId="64A5B8B2" w14:textId="4DEF58F1" w:rsidR="005531EA" w:rsidRPr="009663D0" w:rsidRDefault="00E52642" w:rsidP="00E52642">
      <w:pPr>
        <w:pStyle w:val="Heading1"/>
        <w:tabs>
          <w:tab w:val="clear" w:pos="1418"/>
          <w:tab w:val="clear" w:pos="2835"/>
          <w:tab w:val="clear" w:pos="4253"/>
          <w:tab w:val="clear" w:pos="5670"/>
          <w:tab w:val="clear" w:pos="7088"/>
          <w:tab w:val="clear" w:pos="8505"/>
        </w:tabs>
        <w:spacing w:before="0" w:after="0"/>
        <w:ind w:left="1418" w:hanging="709"/>
        <w:jc w:val="both"/>
        <w:rPr>
          <w:rFonts w:ascii="Arial" w:hAnsi="Arial" w:cs="Arial"/>
          <w:color w:val="000000" w:themeColor="text1"/>
          <w:sz w:val="24"/>
          <w:szCs w:val="24"/>
          <w:lang w:val="en-GB"/>
        </w:rPr>
      </w:pPr>
      <w:r w:rsidRPr="009663D0">
        <w:rPr>
          <w:rFonts w:ascii="Arial" w:hAnsi="Arial" w:cs="Arial"/>
          <w:color w:val="000000" w:themeColor="text1"/>
          <w:sz w:val="24"/>
          <w:szCs w:val="24"/>
          <w:lang w:val="en-GB"/>
        </w:rPr>
        <w:t>25.7.</w:t>
      </w:r>
      <w:r w:rsidRPr="009663D0">
        <w:rPr>
          <w:rFonts w:ascii="Arial" w:hAnsi="Arial" w:cs="Arial"/>
          <w:color w:val="000000" w:themeColor="text1"/>
          <w:sz w:val="24"/>
          <w:szCs w:val="24"/>
          <w:lang w:val="en-GB"/>
        </w:rPr>
        <w:tab/>
      </w:r>
      <w:r w:rsidR="005531EA" w:rsidRPr="009663D0">
        <w:rPr>
          <w:rFonts w:ascii="Arial" w:hAnsi="Arial" w:cs="Arial"/>
          <w:color w:val="000000" w:themeColor="text1"/>
          <w:sz w:val="24"/>
          <w:szCs w:val="24"/>
          <w:lang w:val="en-GB"/>
        </w:rPr>
        <w:t xml:space="preserve">The respondent’s application for the setting aside of the writ of execution obtained by the application on 8 November 2021 is postponed </w:t>
      </w:r>
      <w:r w:rsidR="005531EA" w:rsidRPr="009663D0">
        <w:rPr>
          <w:rFonts w:ascii="Arial" w:hAnsi="Arial" w:cs="Arial"/>
          <w:i/>
          <w:iCs/>
          <w:color w:val="000000" w:themeColor="text1"/>
          <w:sz w:val="24"/>
          <w:szCs w:val="24"/>
          <w:lang w:val="en-GB"/>
        </w:rPr>
        <w:t xml:space="preserve">sine die, </w:t>
      </w:r>
      <w:r w:rsidR="005531EA" w:rsidRPr="009663D0">
        <w:rPr>
          <w:rFonts w:ascii="Arial" w:hAnsi="Arial" w:cs="Arial"/>
          <w:color w:val="000000" w:themeColor="text1"/>
          <w:sz w:val="24"/>
          <w:szCs w:val="24"/>
          <w:lang w:val="en-GB"/>
        </w:rPr>
        <w:t>with costs to stand over for later determination.</w:t>
      </w:r>
    </w:p>
    <w:p w14:paraId="563917FD" w14:textId="77777777" w:rsidR="005531EA" w:rsidRPr="009663D0" w:rsidRDefault="005531EA" w:rsidP="009663D0">
      <w:pPr>
        <w:widowControl w:val="0"/>
        <w:spacing w:line="480" w:lineRule="auto"/>
        <w:rPr>
          <w:rFonts w:ascii="Arial" w:hAnsi="Arial" w:cs="Arial"/>
          <w:lang w:val="en-GB"/>
        </w:rPr>
      </w:pPr>
    </w:p>
    <w:p w14:paraId="7746BFAC" w14:textId="77777777" w:rsidR="00485985" w:rsidRPr="009663D0" w:rsidRDefault="00485985" w:rsidP="009663D0">
      <w:pPr>
        <w:widowControl w:val="0"/>
        <w:spacing w:line="480" w:lineRule="auto"/>
        <w:ind w:left="5041" w:hanging="5041"/>
        <w:jc w:val="both"/>
        <w:outlineLvl w:val="0"/>
        <w:rPr>
          <w:rFonts w:ascii="Arial" w:hAnsi="Arial" w:cs="Arial"/>
          <w:color w:val="000000" w:themeColor="text1"/>
          <w:lang w:val="en-GB"/>
        </w:rPr>
      </w:pPr>
    </w:p>
    <w:p w14:paraId="58AE424C" w14:textId="77777777" w:rsidR="0069378A" w:rsidRPr="009663D0" w:rsidRDefault="0069378A" w:rsidP="009663D0">
      <w:pPr>
        <w:widowControl w:val="0"/>
        <w:spacing w:line="480" w:lineRule="auto"/>
        <w:ind w:left="5040" w:firstLine="720"/>
        <w:jc w:val="both"/>
        <w:rPr>
          <w:rFonts w:ascii="Arial" w:hAnsi="Arial" w:cs="Arial"/>
          <w:color w:val="000000" w:themeColor="text1"/>
          <w:lang w:val="en-GB"/>
        </w:rPr>
      </w:pPr>
      <w:r w:rsidRPr="009663D0">
        <w:rPr>
          <w:rFonts w:ascii="Arial" w:hAnsi="Arial" w:cs="Arial"/>
          <w:color w:val="000000" w:themeColor="text1"/>
          <w:lang w:val="en-GB"/>
        </w:rPr>
        <w:t>____________________</w:t>
      </w:r>
    </w:p>
    <w:p w14:paraId="3032344D" w14:textId="4DEF1659" w:rsidR="0069378A" w:rsidRPr="009663D0" w:rsidRDefault="001C0F82" w:rsidP="009663D0">
      <w:pPr>
        <w:widowControl w:val="0"/>
        <w:spacing w:line="480" w:lineRule="auto"/>
        <w:ind w:left="5040" w:firstLine="720"/>
        <w:outlineLvl w:val="0"/>
        <w:rPr>
          <w:rFonts w:ascii="Arial" w:hAnsi="Arial" w:cs="Arial"/>
          <w:b/>
          <w:bCs/>
          <w:color w:val="000000" w:themeColor="text1"/>
          <w:lang w:val="en-GB"/>
        </w:rPr>
      </w:pPr>
      <w:r w:rsidRPr="009663D0">
        <w:rPr>
          <w:rFonts w:ascii="Arial" w:hAnsi="Arial" w:cs="Arial"/>
          <w:b/>
          <w:bCs/>
          <w:color w:val="000000" w:themeColor="text1"/>
          <w:lang w:val="en-GB"/>
        </w:rPr>
        <w:t>P. S. VAN ZYL</w:t>
      </w:r>
    </w:p>
    <w:p w14:paraId="68392793" w14:textId="2889A4B2" w:rsidR="00454D6E" w:rsidRPr="009663D0" w:rsidRDefault="00454D6E" w:rsidP="009663D0">
      <w:pPr>
        <w:widowControl w:val="0"/>
        <w:spacing w:line="480" w:lineRule="auto"/>
        <w:ind w:left="5760"/>
        <w:outlineLvl w:val="0"/>
        <w:rPr>
          <w:rFonts w:ascii="Arial" w:hAnsi="Arial" w:cs="Arial"/>
          <w:b/>
          <w:bCs/>
          <w:color w:val="000000" w:themeColor="text1"/>
          <w:lang w:val="en-GB"/>
        </w:rPr>
      </w:pPr>
      <w:r w:rsidRPr="009663D0">
        <w:rPr>
          <w:rFonts w:ascii="Arial" w:hAnsi="Arial" w:cs="Arial"/>
          <w:b/>
          <w:bCs/>
          <w:color w:val="000000" w:themeColor="text1"/>
          <w:lang w:val="en-GB"/>
        </w:rPr>
        <w:t>Acting judge of the High Court</w:t>
      </w:r>
    </w:p>
    <w:p w14:paraId="399B70BA" w14:textId="1B4052DC" w:rsidR="001C0F82" w:rsidRPr="009663D0" w:rsidRDefault="001C0F82" w:rsidP="009663D0">
      <w:pPr>
        <w:widowControl w:val="0"/>
        <w:spacing w:line="480" w:lineRule="auto"/>
        <w:outlineLvl w:val="0"/>
        <w:rPr>
          <w:rFonts w:ascii="Arial" w:hAnsi="Arial" w:cs="Arial"/>
          <w:b/>
          <w:bCs/>
          <w:color w:val="000000" w:themeColor="text1"/>
          <w:lang w:val="en-GB"/>
        </w:rPr>
      </w:pPr>
    </w:p>
    <w:p w14:paraId="0DB779BF" w14:textId="4D9B52C2" w:rsidR="001C0F82" w:rsidRPr="009663D0" w:rsidRDefault="001C0F82" w:rsidP="009663D0">
      <w:pPr>
        <w:widowControl w:val="0"/>
        <w:spacing w:line="480" w:lineRule="auto"/>
        <w:jc w:val="both"/>
        <w:outlineLvl w:val="0"/>
        <w:rPr>
          <w:rFonts w:ascii="Arial" w:hAnsi="Arial" w:cs="Arial"/>
          <w:b/>
          <w:bCs/>
          <w:color w:val="000000" w:themeColor="text1"/>
          <w:u w:val="single"/>
          <w:lang w:val="en-GB"/>
        </w:rPr>
      </w:pPr>
      <w:r w:rsidRPr="009663D0">
        <w:rPr>
          <w:rFonts w:ascii="Arial" w:hAnsi="Arial" w:cs="Arial"/>
          <w:b/>
          <w:bCs/>
          <w:color w:val="000000" w:themeColor="text1"/>
          <w:u w:val="single"/>
          <w:lang w:val="en-GB"/>
        </w:rPr>
        <w:t>Appearances:</w:t>
      </w:r>
    </w:p>
    <w:p w14:paraId="53CCB51A" w14:textId="77777777" w:rsidR="00284141" w:rsidRPr="009663D0" w:rsidRDefault="00284141" w:rsidP="009663D0">
      <w:pPr>
        <w:widowControl w:val="0"/>
        <w:spacing w:line="480" w:lineRule="auto"/>
        <w:ind w:left="3600" w:hanging="3600"/>
        <w:jc w:val="both"/>
        <w:outlineLvl w:val="0"/>
        <w:rPr>
          <w:rFonts w:ascii="Arial" w:hAnsi="Arial" w:cs="Arial"/>
          <w:b/>
          <w:bCs/>
          <w:color w:val="000000" w:themeColor="text1"/>
          <w:lang w:val="en-GB"/>
        </w:rPr>
      </w:pPr>
    </w:p>
    <w:p w14:paraId="5AC2CCDE" w14:textId="5703FA2D" w:rsidR="001C0F82" w:rsidRPr="009663D0" w:rsidRDefault="00454D6E" w:rsidP="009663D0">
      <w:pPr>
        <w:widowControl w:val="0"/>
        <w:spacing w:line="480" w:lineRule="auto"/>
        <w:ind w:left="3600" w:hanging="3600"/>
        <w:jc w:val="both"/>
        <w:outlineLvl w:val="0"/>
        <w:rPr>
          <w:rFonts w:ascii="Arial" w:hAnsi="Arial" w:cs="Arial"/>
          <w:color w:val="000000" w:themeColor="text1"/>
          <w:lang w:val="en-GB"/>
        </w:rPr>
      </w:pPr>
      <w:r w:rsidRPr="009663D0">
        <w:rPr>
          <w:rFonts w:ascii="Arial" w:hAnsi="Arial" w:cs="Arial"/>
          <w:b/>
          <w:bCs/>
          <w:color w:val="000000" w:themeColor="text1"/>
          <w:lang w:val="en-GB"/>
        </w:rPr>
        <w:t>For the applicant</w:t>
      </w:r>
      <w:r w:rsidR="001C0F82" w:rsidRPr="009663D0">
        <w:rPr>
          <w:rFonts w:ascii="Arial" w:hAnsi="Arial" w:cs="Arial"/>
          <w:b/>
          <w:bCs/>
          <w:color w:val="000000" w:themeColor="text1"/>
          <w:lang w:val="en-GB"/>
        </w:rPr>
        <w:t xml:space="preserve">: </w:t>
      </w:r>
      <w:r w:rsidR="001C0F82" w:rsidRPr="009663D0">
        <w:rPr>
          <w:rFonts w:ascii="Arial" w:hAnsi="Arial" w:cs="Arial"/>
          <w:color w:val="000000" w:themeColor="text1"/>
          <w:lang w:val="en-GB"/>
        </w:rPr>
        <w:t xml:space="preserve"> </w:t>
      </w:r>
      <w:r w:rsidRPr="009663D0">
        <w:rPr>
          <w:rFonts w:ascii="Arial" w:hAnsi="Arial" w:cs="Arial"/>
          <w:color w:val="000000" w:themeColor="text1"/>
          <w:lang w:val="en-GB"/>
        </w:rPr>
        <w:tab/>
        <w:t>R. G. Patrick (with him H. Beviss-Challinor)</w:t>
      </w:r>
      <w:r w:rsidR="001C0F82" w:rsidRPr="009663D0">
        <w:rPr>
          <w:rFonts w:ascii="Arial" w:hAnsi="Arial" w:cs="Arial"/>
          <w:color w:val="000000" w:themeColor="text1"/>
          <w:lang w:val="en-GB"/>
        </w:rPr>
        <w:t>, instructed by</w:t>
      </w:r>
      <w:r w:rsidR="007E72B6" w:rsidRPr="009663D0">
        <w:rPr>
          <w:rFonts w:ascii="Arial" w:hAnsi="Arial" w:cs="Arial"/>
          <w:color w:val="000000" w:themeColor="text1"/>
          <w:lang w:val="en-GB"/>
        </w:rPr>
        <w:t xml:space="preserve"> </w:t>
      </w:r>
      <w:r w:rsidRPr="009663D0">
        <w:rPr>
          <w:rFonts w:ascii="Arial" w:hAnsi="Arial" w:cs="Arial"/>
          <w:color w:val="000000" w:themeColor="text1"/>
          <w:lang w:val="en-GB"/>
        </w:rPr>
        <w:t>Werksmans</w:t>
      </w:r>
    </w:p>
    <w:p w14:paraId="5998BA74" w14:textId="77777777" w:rsidR="00284141" w:rsidRPr="009663D0" w:rsidRDefault="00284141" w:rsidP="009663D0">
      <w:pPr>
        <w:widowControl w:val="0"/>
        <w:spacing w:line="480" w:lineRule="auto"/>
        <w:jc w:val="both"/>
        <w:outlineLvl w:val="0"/>
        <w:rPr>
          <w:rFonts w:ascii="Arial" w:hAnsi="Arial" w:cs="Arial"/>
          <w:b/>
          <w:bCs/>
          <w:color w:val="000000" w:themeColor="text1"/>
          <w:lang w:val="en-GB"/>
        </w:rPr>
      </w:pPr>
    </w:p>
    <w:p w14:paraId="060E9771" w14:textId="36ABDA89" w:rsidR="001C0F82" w:rsidRPr="009663D0" w:rsidRDefault="00454D6E" w:rsidP="009663D0">
      <w:pPr>
        <w:widowControl w:val="0"/>
        <w:spacing w:line="480" w:lineRule="auto"/>
        <w:jc w:val="both"/>
        <w:outlineLvl w:val="0"/>
        <w:rPr>
          <w:rFonts w:ascii="Arial" w:hAnsi="Arial" w:cs="Arial"/>
          <w:b/>
          <w:bCs/>
          <w:color w:val="000000" w:themeColor="text1"/>
          <w:lang w:val="en-GB"/>
        </w:rPr>
      </w:pPr>
      <w:r w:rsidRPr="009663D0">
        <w:rPr>
          <w:rFonts w:ascii="Arial" w:hAnsi="Arial" w:cs="Arial"/>
          <w:b/>
          <w:bCs/>
          <w:color w:val="000000" w:themeColor="text1"/>
          <w:lang w:val="en-GB"/>
        </w:rPr>
        <w:t>For the respondent</w:t>
      </w:r>
      <w:r w:rsidR="001C0F82" w:rsidRPr="009663D0">
        <w:rPr>
          <w:rFonts w:ascii="Arial" w:hAnsi="Arial" w:cs="Arial"/>
          <w:b/>
          <w:bCs/>
          <w:color w:val="000000" w:themeColor="text1"/>
          <w:lang w:val="en-GB"/>
        </w:rPr>
        <w:t>:</w:t>
      </w:r>
      <w:r w:rsidR="001C0F82" w:rsidRPr="009663D0">
        <w:rPr>
          <w:rFonts w:ascii="Arial" w:hAnsi="Arial" w:cs="Arial"/>
          <w:color w:val="000000" w:themeColor="text1"/>
          <w:lang w:val="en-GB"/>
        </w:rPr>
        <w:tab/>
      </w:r>
      <w:r w:rsidRPr="009663D0">
        <w:rPr>
          <w:rFonts w:ascii="Arial" w:hAnsi="Arial" w:cs="Arial"/>
          <w:color w:val="000000" w:themeColor="text1"/>
          <w:lang w:val="en-GB"/>
        </w:rPr>
        <w:tab/>
      </w:r>
      <w:r w:rsidR="00A2341C" w:rsidRPr="009663D0">
        <w:rPr>
          <w:rFonts w:ascii="Arial" w:hAnsi="Arial" w:cs="Arial"/>
          <w:color w:val="000000" w:themeColor="text1"/>
          <w:lang w:val="en-GB"/>
        </w:rPr>
        <w:t>P</w:t>
      </w:r>
      <w:r w:rsidR="00757EE0" w:rsidRPr="009663D0">
        <w:rPr>
          <w:rFonts w:ascii="Arial" w:hAnsi="Arial" w:cs="Arial"/>
          <w:color w:val="000000" w:themeColor="text1"/>
          <w:lang w:val="en-GB"/>
        </w:rPr>
        <w:t xml:space="preserve">. C. </w:t>
      </w:r>
      <w:r w:rsidR="00A2341C" w:rsidRPr="009663D0">
        <w:rPr>
          <w:rFonts w:ascii="Arial" w:hAnsi="Arial" w:cs="Arial"/>
          <w:color w:val="000000" w:themeColor="text1"/>
          <w:lang w:val="en-GB"/>
        </w:rPr>
        <w:t xml:space="preserve">Eia, instructed by </w:t>
      </w:r>
      <w:r w:rsidR="00757EE0" w:rsidRPr="009663D0">
        <w:rPr>
          <w:rFonts w:ascii="Arial" w:hAnsi="Arial" w:cs="Arial"/>
          <w:color w:val="000000" w:themeColor="text1"/>
          <w:lang w:val="en-GB"/>
        </w:rPr>
        <w:t>Fairbridges Wertheim Becker</w:t>
      </w:r>
    </w:p>
    <w:sectPr w:rsidR="001C0F82" w:rsidRPr="009663D0" w:rsidSect="003D60B8">
      <w:headerReference w:type="default" r:id="rId2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D39AA" w14:textId="77777777" w:rsidR="00B54370" w:rsidRDefault="00B54370" w:rsidP="003015FA">
      <w:r>
        <w:separator/>
      </w:r>
    </w:p>
  </w:endnote>
  <w:endnote w:type="continuationSeparator" w:id="0">
    <w:p w14:paraId="6AFAC007" w14:textId="77777777" w:rsidR="00B54370" w:rsidRDefault="00B54370" w:rsidP="0030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78A10" w14:textId="77777777" w:rsidR="00B54370" w:rsidRDefault="00B54370" w:rsidP="003015FA">
      <w:r>
        <w:separator/>
      </w:r>
    </w:p>
  </w:footnote>
  <w:footnote w:type="continuationSeparator" w:id="0">
    <w:p w14:paraId="4E36F44F" w14:textId="77777777" w:rsidR="00B54370" w:rsidRDefault="00B54370" w:rsidP="003015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320885445"/>
      <w:docPartObj>
        <w:docPartGallery w:val="Page Numbers (Top of Page)"/>
        <w:docPartUnique/>
      </w:docPartObj>
    </w:sdtPr>
    <w:sdtEndPr>
      <w:rPr>
        <w:rFonts w:ascii="Arial" w:hAnsi="Arial"/>
        <w:noProof/>
      </w:rPr>
    </w:sdtEndPr>
    <w:sdtContent>
      <w:p w14:paraId="5CA81E98" w14:textId="4156DF0D" w:rsidR="00B36482" w:rsidRPr="00463977" w:rsidRDefault="00B36482">
        <w:pPr>
          <w:pStyle w:val="Header"/>
          <w:jc w:val="center"/>
          <w:rPr>
            <w:rFonts w:ascii="Arial" w:hAnsi="Arial"/>
            <w:sz w:val="22"/>
            <w:szCs w:val="22"/>
          </w:rPr>
        </w:pPr>
        <w:r w:rsidRPr="00463977">
          <w:rPr>
            <w:rFonts w:ascii="Arial" w:hAnsi="Arial"/>
            <w:sz w:val="22"/>
            <w:szCs w:val="22"/>
          </w:rPr>
          <w:fldChar w:fldCharType="begin"/>
        </w:r>
        <w:r w:rsidRPr="00463977">
          <w:rPr>
            <w:rFonts w:ascii="Arial" w:hAnsi="Arial"/>
            <w:sz w:val="22"/>
            <w:szCs w:val="22"/>
          </w:rPr>
          <w:instrText xml:space="preserve"> PAGE   \* MERGEFORMAT </w:instrText>
        </w:r>
        <w:r w:rsidRPr="00463977">
          <w:rPr>
            <w:rFonts w:ascii="Arial" w:hAnsi="Arial"/>
            <w:sz w:val="22"/>
            <w:szCs w:val="22"/>
          </w:rPr>
          <w:fldChar w:fldCharType="separate"/>
        </w:r>
        <w:r w:rsidR="00E724D0">
          <w:rPr>
            <w:rFonts w:ascii="Arial" w:hAnsi="Arial"/>
            <w:noProof/>
            <w:sz w:val="22"/>
            <w:szCs w:val="22"/>
          </w:rPr>
          <w:t>2</w:t>
        </w:r>
        <w:r w:rsidRPr="00463977">
          <w:rPr>
            <w:rFonts w:ascii="Arial" w:hAnsi="Arial"/>
            <w:noProof/>
            <w:sz w:val="22"/>
            <w:szCs w:val="22"/>
          </w:rPr>
          <w:fldChar w:fldCharType="end"/>
        </w:r>
      </w:p>
    </w:sdtContent>
  </w:sdt>
  <w:p w14:paraId="38AA81E3" w14:textId="77777777" w:rsidR="00B36482" w:rsidRPr="00463977" w:rsidRDefault="00B36482">
    <w:pPr>
      <w:pStyle w:val="Head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49"/>
    <w:multiLevelType w:val="hybridMultilevel"/>
    <w:tmpl w:val="ABEE61AA"/>
    <w:lvl w:ilvl="0" w:tplc="80D8796C">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46C60D9"/>
    <w:multiLevelType w:val="multilevel"/>
    <w:tmpl w:val="C7C6AFCC"/>
    <w:lvl w:ilvl="0">
      <w:start w:val="1"/>
      <w:numFmt w:val="decimal"/>
      <w:lvlText w:val="%1."/>
      <w:lvlJc w:val="left"/>
      <w:pPr>
        <w:tabs>
          <w:tab w:val="num" w:pos="709"/>
        </w:tabs>
        <w:ind w:left="709" w:hanging="709"/>
      </w:pPr>
      <w:rPr>
        <w:rFonts w:hint="default"/>
        <w:b w:val="0"/>
        <w:bCs w:val="0"/>
        <w:sz w:val="24"/>
        <w:szCs w:val="24"/>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 w15:restartNumberingAfterBreak="0">
    <w:nsid w:val="09401EA6"/>
    <w:multiLevelType w:val="multilevel"/>
    <w:tmpl w:val="D9E83A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B0550A5"/>
    <w:multiLevelType w:val="hybridMultilevel"/>
    <w:tmpl w:val="C4544C32"/>
    <w:lvl w:ilvl="0" w:tplc="469AF202">
      <w:start w:val="1"/>
      <w:numFmt w:val="lowerLetter"/>
      <w:lvlText w:val="(%1)"/>
      <w:lvlJc w:val="left"/>
      <w:pPr>
        <w:ind w:left="690" w:hanging="360"/>
      </w:pPr>
    </w:lvl>
    <w:lvl w:ilvl="1" w:tplc="1C090019">
      <w:start w:val="1"/>
      <w:numFmt w:val="lowerLetter"/>
      <w:lvlText w:val="%2."/>
      <w:lvlJc w:val="left"/>
      <w:pPr>
        <w:ind w:left="1410" w:hanging="360"/>
      </w:pPr>
    </w:lvl>
    <w:lvl w:ilvl="2" w:tplc="1C09001B">
      <w:start w:val="1"/>
      <w:numFmt w:val="lowerRoman"/>
      <w:lvlText w:val="%3."/>
      <w:lvlJc w:val="right"/>
      <w:pPr>
        <w:ind w:left="2130" w:hanging="180"/>
      </w:pPr>
    </w:lvl>
    <w:lvl w:ilvl="3" w:tplc="1C09000F">
      <w:start w:val="1"/>
      <w:numFmt w:val="decimal"/>
      <w:lvlText w:val="%4."/>
      <w:lvlJc w:val="left"/>
      <w:pPr>
        <w:ind w:left="2850" w:hanging="360"/>
      </w:pPr>
    </w:lvl>
    <w:lvl w:ilvl="4" w:tplc="1C090019">
      <w:start w:val="1"/>
      <w:numFmt w:val="lowerLetter"/>
      <w:lvlText w:val="%5."/>
      <w:lvlJc w:val="left"/>
      <w:pPr>
        <w:ind w:left="3570" w:hanging="360"/>
      </w:pPr>
    </w:lvl>
    <w:lvl w:ilvl="5" w:tplc="1C09001B">
      <w:start w:val="1"/>
      <w:numFmt w:val="lowerRoman"/>
      <w:lvlText w:val="%6."/>
      <w:lvlJc w:val="right"/>
      <w:pPr>
        <w:ind w:left="4290" w:hanging="180"/>
      </w:pPr>
    </w:lvl>
    <w:lvl w:ilvl="6" w:tplc="1C09000F">
      <w:start w:val="1"/>
      <w:numFmt w:val="decimal"/>
      <w:lvlText w:val="%7."/>
      <w:lvlJc w:val="left"/>
      <w:pPr>
        <w:ind w:left="5010" w:hanging="360"/>
      </w:pPr>
    </w:lvl>
    <w:lvl w:ilvl="7" w:tplc="1C090019">
      <w:start w:val="1"/>
      <w:numFmt w:val="lowerLetter"/>
      <w:lvlText w:val="%8."/>
      <w:lvlJc w:val="left"/>
      <w:pPr>
        <w:ind w:left="5730" w:hanging="360"/>
      </w:pPr>
    </w:lvl>
    <w:lvl w:ilvl="8" w:tplc="1C09001B">
      <w:start w:val="1"/>
      <w:numFmt w:val="lowerRoman"/>
      <w:lvlText w:val="%9."/>
      <w:lvlJc w:val="right"/>
      <w:pPr>
        <w:ind w:left="6450" w:hanging="180"/>
      </w:pPr>
    </w:lvl>
  </w:abstractNum>
  <w:abstractNum w:abstractNumId="4" w15:restartNumberingAfterBreak="0">
    <w:nsid w:val="1BBF22E0"/>
    <w:multiLevelType w:val="multilevel"/>
    <w:tmpl w:val="5A029A2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772304"/>
    <w:multiLevelType w:val="multilevel"/>
    <w:tmpl w:val="83DE5040"/>
    <w:lvl w:ilvl="0">
      <w:start w:val="1"/>
      <w:numFmt w:val="decimal"/>
      <w:lvlText w:val="%1."/>
      <w:lvlJc w:val="left"/>
      <w:pPr>
        <w:ind w:left="1069" w:hanging="360"/>
      </w:pPr>
      <w:rPr>
        <w:b w:val="0"/>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 w15:restartNumberingAfterBreak="0">
    <w:nsid w:val="253219AD"/>
    <w:multiLevelType w:val="hybridMultilevel"/>
    <w:tmpl w:val="A376769A"/>
    <w:lvl w:ilvl="0" w:tplc="7B7814C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D457571"/>
    <w:multiLevelType w:val="hybridMultilevel"/>
    <w:tmpl w:val="7BA2654E"/>
    <w:lvl w:ilvl="0" w:tplc="05E68E3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6C0F13"/>
    <w:multiLevelType w:val="multilevel"/>
    <w:tmpl w:val="3536BD02"/>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26738B"/>
    <w:multiLevelType w:val="hybridMultilevel"/>
    <w:tmpl w:val="4BF09EBA"/>
    <w:lvl w:ilvl="0" w:tplc="6A7A5E48">
      <w:start w:val="1"/>
      <w:numFmt w:val="lowerRoman"/>
      <w:lvlText w:val="(%1)"/>
      <w:lvlJc w:val="left"/>
      <w:pPr>
        <w:ind w:left="2149" w:hanging="72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0" w15:restartNumberingAfterBreak="0">
    <w:nsid w:val="3E835E0A"/>
    <w:multiLevelType w:val="hybridMultilevel"/>
    <w:tmpl w:val="D2988FBE"/>
    <w:lvl w:ilvl="0" w:tplc="FFD661F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40954A56"/>
    <w:multiLevelType w:val="multilevel"/>
    <w:tmpl w:val="123872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BF0EA1"/>
    <w:multiLevelType w:val="hybridMultilevel"/>
    <w:tmpl w:val="1C566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308E5"/>
    <w:multiLevelType w:val="hybridMultilevel"/>
    <w:tmpl w:val="5582BE2C"/>
    <w:lvl w:ilvl="0" w:tplc="8272BE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46F20363"/>
    <w:multiLevelType w:val="multilevel"/>
    <w:tmpl w:val="A5FA1A66"/>
    <w:lvl w:ilvl="0">
      <w:start w:val="1"/>
      <w:numFmt w:val="decimal"/>
      <w:lvlText w:val="%1."/>
      <w:lvlJc w:val="left"/>
      <w:pPr>
        <w:ind w:left="360" w:hanging="360"/>
      </w:pPr>
      <w:rPr>
        <w:rFonts w:ascii="Arial" w:hAnsi="Arial" w:cs="Arial" w:hint="default"/>
        <w:b w:val="0"/>
        <w:i w:val="0"/>
        <w:sz w:val="24"/>
        <w:szCs w:val="24"/>
      </w:rPr>
    </w:lvl>
    <w:lvl w:ilvl="1">
      <w:start w:val="1"/>
      <w:numFmt w:val="decimal"/>
      <w:lvlText w:val="%1.%2."/>
      <w:lvlJc w:val="left"/>
      <w:pPr>
        <w:ind w:left="792" w:hanging="432"/>
      </w:pPr>
      <w:rPr>
        <w:rFonts w:hint="default"/>
        <w:b w:val="0"/>
        <w:i w:val="0"/>
        <w:sz w:val="26"/>
      </w:rPr>
    </w:lvl>
    <w:lvl w:ilvl="2">
      <w:start w:val="1"/>
      <w:numFmt w:val="decimal"/>
      <w:lvlText w:val="%1.%2.%3."/>
      <w:lvlJc w:val="left"/>
      <w:pPr>
        <w:ind w:left="1224" w:hanging="504"/>
      </w:pPr>
      <w:rPr>
        <w:rFonts w:hint="default"/>
        <w:b w:val="0"/>
        <w:i w:val="0"/>
        <w:sz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1C2412"/>
    <w:multiLevelType w:val="multilevel"/>
    <w:tmpl w:val="C9F2D1FE"/>
    <w:lvl w:ilvl="0">
      <w:start w:val="1"/>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16" w15:restartNumberingAfterBreak="0">
    <w:nsid w:val="4C441C55"/>
    <w:multiLevelType w:val="multilevel"/>
    <w:tmpl w:val="9FF6089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221A95"/>
    <w:multiLevelType w:val="hybridMultilevel"/>
    <w:tmpl w:val="4D040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B4AAC"/>
    <w:multiLevelType w:val="hybridMultilevel"/>
    <w:tmpl w:val="287ED9FA"/>
    <w:lvl w:ilvl="0" w:tplc="42A08274">
      <w:start w:val="1"/>
      <w:numFmt w:val="lowerLetter"/>
      <w:lvlText w:val="(%1)"/>
      <w:lvlJc w:val="left"/>
      <w:pPr>
        <w:ind w:left="1069" w:hanging="360"/>
      </w:pPr>
      <w:rPr>
        <w:rFonts w:hint="default"/>
        <w:i/>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51D46AF3"/>
    <w:multiLevelType w:val="multilevel"/>
    <w:tmpl w:val="220698FE"/>
    <w:lvl w:ilvl="0">
      <w:start w:val="11"/>
      <w:numFmt w:val="decimal"/>
      <w:lvlText w:val="%1."/>
      <w:lvlJc w:val="left"/>
      <w:pPr>
        <w:ind w:left="720" w:hanging="360"/>
      </w:pPr>
      <w:rPr>
        <w:rFonts w:hint="default"/>
      </w:rPr>
    </w:lvl>
    <w:lvl w:ilvl="1">
      <w:start w:val="1"/>
      <w:numFmt w:val="decimal"/>
      <w:isLgl/>
      <w:lvlText w:val="%1.%2"/>
      <w:lvlJc w:val="left"/>
      <w:pPr>
        <w:ind w:left="1548" w:hanging="468"/>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528463BF"/>
    <w:multiLevelType w:val="hybridMultilevel"/>
    <w:tmpl w:val="8DC6905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83975"/>
    <w:multiLevelType w:val="multilevel"/>
    <w:tmpl w:val="4D7CF48E"/>
    <w:lvl w:ilvl="0">
      <w:start w:val="11"/>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2" w15:restartNumberingAfterBreak="0">
    <w:nsid w:val="5557390E"/>
    <w:multiLevelType w:val="hybridMultilevel"/>
    <w:tmpl w:val="868AD68A"/>
    <w:lvl w:ilvl="0" w:tplc="34CE28F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9CD4B22"/>
    <w:multiLevelType w:val="multilevel"/>
    <w:tmpl w:val="30C8F200"/>
    <w:lvl w:ilvl="0">
      <w:start w:val="20"/>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B231C89"/>
    <w:multiLevelType w:val="hybridMultilevel"/>
    <w:tmpl w:val="3EB2C2C6"/>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45FF1"/>
    <w:multiLevelType w:val="multilevel"/>
    <w:tmpl w:val="FA007482"/>
    <w:lvl w:ilvl="0">
      <w:start w:val="1"/>
      <w:numFmt w:val="decimal"/>
      <w:pStyle w:val="XClause1Head"/>
      <w:isLgl/>
      <w:lvlText w:val="%1."/>
      <w:lvlJc w:val="left"/>
      <w:pPr>
        <w:tabs>
          <w:tab w:val="num" w:pos="720"/>
        </w:tabs>
        <w:ind w:left="720" w:hanging="720"/>
      </w:pPr>
      <w:rPr>
        <w:rFonts w:hint="default"/>
        <w:b w:val="0"/>
        <w:sz w:val="24"/>
        <w:szCs w:val="24"/>
      </w:rPr>
    </w:lvl>
    <w:lvl w:ilvl="1">
      <w:start w:val="1"/>
      <w:numFmt w:val="decimal"/>
      <w:pStyle w:val="XClause2Sub"/>
      <w:lvlText w:val="%1.%2."/>
      <w:lvlJc w:val="left"/>
      <w:pPr>
        <w:tabs>
          <w:tab w:val="num" w:pos="1440"/>
        </w:tabs>
        <w:ind w:left="1440" w:hanging="720"/>
      </w:pPr>
      <w:rPr>
        <w:rFonts w:hint="default"/>
        <w:sz w:val="24"/>
        <w:szCs w:val="24"/>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26" w15:restartNumberingAfterBreak="0">
    <w:nsid w:val="5E762115"/>
    <w:multiLevelType w:val="multilevel"/>
    <w:tmpl w:val="F07EAB5E"/>
    <w:lvl w:ilvl="0">
      <w:start w:val="29"/>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7" w15:restartNumberingAfterBreak="0">
    <w:nsid w:val="5F394597"/>
    <w:multiLevelType w:val="multilevel"/>
    <w:tmpl w:val="C7C6AFCC"/>
    <w:lvl w:ilvl="0">
      <w:start w:val="1"/>
      <w:numFmt w:val="decimal"/>
      <w:lvlText w:val="%1."/>
      <w:lvlJc w:val="left"/>
      <w:pPr>
        <w:tabs>
          <w:tab w:val="num" w:pos="709"/>
        </w:tabs>
        <w:ind w:left="709" w:hanging="709"/>
      </w:pPr>
      <w:rPr>
        <w:rFonts w:hint="default"/>
        <w:b w:val="0"/>
        <w:bCs w:val="0"/>
        <w:sz w:val="24"/>
        <w:szCs w:val="24"/>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8" w15:restartNumberingAfterBreak="0">
    <w:nsid w:val="63F90284"/>
    <w:multiLevelType w:val="multilevel"/>
    <w:tmpl w:val="D77E888E"/>
    <w:lvl w:ilvl="0">
      <w:start w:val="1"/>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29" w15:restartNumberingAfterBreak="0">
    <w:nsid w:val="640841B7"/>
    <w:multiLevelType w:val="multilevel"/>
    <w:tmpl w:val="75B2B1C4"/>
    <w:lvl w:ilvl="0">
      <w:start w:val="18"/>
      <w:numFmt w:val="decimal"/>
      <w:lvlText w:val="%1."/>
      <w:lvlJc w:val="left"/>
      <w:pPr>
        <w:ind w:left="540" w:hanging="54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68B706D0"/>
    <w:multiLevelType w:val="hybridMultilevel"/>
    <w:tmpl w:val="2FB47B6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6CB95140"/>
    <w:multiLevelType w:val="multilevel"/>
    <w:tmpl w:val="4718F5E4"/>
    <w:lvl w:ilvl="0">
      <w:start w:val="25"/>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32" w15:restartNumberingAfterBreak="0">
    <w:nsid w:val="6ED9557C"/>
    <w:multiLevelType w:val="hybridMultilevel"/>
    <w:tmpl w:val="66F8BD96"/>
    <w:lvl w:ilvl="0" w:tplc="E07A4328">
      <w:start w:val="3"/>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407A35"/>
    <w:multiLevelType w:val="multilevel"/>
    <w:tmpl w:val="196CCA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4FA7735"/>
    <w:multiLevelType w:val="hybridMultilevel"/>
    <w:tmpl w:val="84482118"/>
    <w:lvl w:ilvl="0" w:tplc="B36A8BC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15:restartNumberingAfterBreak="0">
    <w:nsid w:val="754D6B69"/>
    <w:multiLevelType w:val="multilevel"/>
    <w:tmpl w:val="EA5A3F90"/>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8C73EAF"/>
    <w:multiLevelType w:val="multilevel"/>
    <w:tmpl w:val="B8E0F12E"/>
    <w:lvl w:ilvl="0">
      <w:start w:val="5"/>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num w:numId="1">
    <w:abstractNumId w:val="14"/>
  </w:num>
  <w:num w:numId="2">
    <w:abstractNumId w:val="20"/>
  </w:num>
  <w:num w:numId="3">
    <w:abstractNumId w:val="24"/>
  </w:num>
  <w:num w:numId="4">
    <w:abstractNumId w:val="29"/>
  </w:num>
  <w:num w:numId="5">
    <w:abstractNumId w:val="23"/>
  </w:num>
  <w:num w:numId="6">
    <w:abstractNumId w:val="19"/>
  </w:num>
  <w:num w:numId="7">
    <w:abstractNumId w:val="17"/>
  </w:num>
  <w:num w:numId="8">
    <w:abstractNumId w:val="15"/>
  </w:num>
  <w:num w:numId="9">
    <w:abstractNumId w:val="28"/>
  </w:num>
  <w:num w:numId="10">
    <w:abstractNumId w:val="35"/>
  </w:num>
  <w:num w:numId="11">
    <w:abstractNumId w:val="12"/>
  </w:num>
  <w:num w:numId="12">
    <w:abstractNumId w:val="4"/>
  </w:num>
  <w:num w:numId="13">
    <w:abstractNumId w:val="10"/>
  </w:num>
  <w:num w:numId="14">
    <w:abstractNumId w:val="27"/>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36"/>
  </w:num>
  <w:num w:numId="20">
    <w:abstractNumId w:val="7"/>
  </w:num>
  <w:num w:numId="21">
    <w:abstractNumId w:val="32"/>
  </w:num>
  <w:num w:numId="22">
    <w:abstractNumId w:val="34"/>
  </w:num>
  <w:num w:numId="23">
    <w:abstractNumId w:val="9"/>
  </w:num>
  <w:num w:numId="24">
    <w:abstractNumId w:val="0"/>
  </w:num>
  <w:num w:numId="25">
    <w:abstractNumId w:val="6"/>
  </w:num>
  <w:num w:numId="26">
    <w:abstractNumId w:val="30"/>
  </w:num>
  <w:num w:numId="27">
    <w:abstractNumId w:val="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1"/>
  </w:num>
  <w:num w:numId="33">
    <w:abstractNumId w:val="26"/>
  </w:num>
  <w:num w:numId="34">
    <w:abstractNumId w:val="18"/>
  </w:num>
  <w:num w:numId="35">
    <w:abstractNumId w:val="1"/>
  </w:num>
  <w:num w:numId="36">
    <w:abstractNumId w:val="8"/>
  </w:num>
  <w:num w:numId="37">
    <w:abstractNumId w:val="25"/>
  </w:num>
  <w:num w:numId="38">
    <w:abstractNumId w:val="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69"/>
    <w:rsid w:val="0000255E"/>
    <w:rsid w:val="00002CC8"/>
    <w:rsid w:val="0000771D"/>
    <w:rsid w:val="00007A60"/>
    <w:rsid w:val="000118D9"/>
    <w:rsid w:val="00013482"/>
    <w:rsid w:val="00014FE3"/>
    <w:rsid w:val="00016B4A"/>
    <w:rsid w:val="0002280B"/>
    <w:rsid w:val="00023B13"/>
    <w:rsid w:val="00025B1B"/>
    <w:rsid w:val="00025BAC"/>
    <w:rsid w:val="00032231"/>
    <w:rsid w:val="000342F7"/>
    <w:rsid w:val="00043B94"/>
    <w:rsid w:val="0005500D"/>
    <w:rsid w:val="0005737E"/>
    <w:rsid w:val="00057998"/>
    <w:rsid w:val="00062EDC"/>
    <w:rsid w:val="000701E8"/>
    <w:rsid w:val="000712B1"/>
    <w:rsid w:val="00073EE7"/>
    <w:rsid w:val="00076445"/>
    <w:rsid w:val="00077C8B"/>
    <w:rsid w:val="000809E8"/>
    <w:rsid w:val="00087B14"/>
    <w:rsid w:val="00090569"/>
    <w:rsid w:val="000925F7"/>
    <w:rsid w:val="00093E6C"/>
    <w:rsid w:val="00096240"/>
    <w:rsid w:val="00097508"/>
    <w:rsid w:val="000A0521"/>
    <w:rsid w:val="000A4666"/>
    <w:rsid w:val="000A569D"/>
    <w:rsid w:val="000A7779"/>
    <w:rsid w:val="000B1C75"/>
    <w:rsid w:val="000B3FFD"/>
    <w:rsid w:val="000B6F38"/>
    <w:rsid w:val="000B709B"/>
    <w:rsid w:val="000C041C"/>
    <w:rsid w:val="000C0A01"/>
    <w:rsid w:val="000C3D91"/>
    <w:rsid w:val="000C50A9"/>
    <w:rsid w:val="000C510B"/>
    <w:rsid w:val="000C560E"/>
    <w:rsid w:val="000C5D18"/>
    <w:rsid w:val="000D1898"/>
    <w:rsid w:val="000D1E6F"/>
    <w:rsid w:val="000D2E41"/>
    <w:rsid w:val="000D2FEE"/>
    <w:rsid w:val="000D3265"/>
    <w:rsid w:val="000D7F4E"/>
    <w:rsid w:val="000E3F70"/>
    <w:rsid w:val="000E7623"/>
    <w:rsid w:val="000E76EC"/>
    <w:rsid w:val="000E7841"/>
    <w:rsid w:val="000F037C"/>
    <w:rsid w:val="000F07EF"/>
    <w:rsid w:val="000F0AB4"/>
    <w:rsid w:val="000F6729"/>
    <w:rsid w:val="000F7B0E"/>
    <w:rsid w:val="00101CC6"/>
    <w:rsid w:val="00104E82"/>
    <w:rsid w:val="00105321"/>
    <w:rsid w:val="00110516"/>
    <w:rsid w:val="001148E0"/>
    <w:rsid w:val="00115080"/>
    <w:rsid w:val="0011563A"/>
    <w:rsid w:val="00116587"/>
    <w:rsid w:val="0012218B"/>
    <w:rsid w:val="001228D6"/>
    <w:rsid w:val="0012532A"/>
    <w:rsid w:val="001255C3"/>
    <w:rsid w:val="0012754F"/>
    <w:rsid w:val="00130897"/>
    <w:rsid w:val="00133A46"/>
    <w:rsid w:val="00134240"/>
    <w:rsid w:val="001345D7"/>
    <w:rsid w:val="0013718D"/>
    <w:rsid w:val="001376C5"/>
    <w:rsid w:val="0014136F"/>
    <w:rsid w:val="00141EC0"/>
    <w:rsid w:val="00142DE5"/>
    <w:rsid w:val="00143008"/>
    <w:rsid w:val="0014548B"/>
    <w:rsid w:val="00145FC0"/>
    <w:rsid w:val="00147186"/>
    <w:rsid w:val="0014761A"/>
    <w:rsid w:val="00153197"/>
    <w:rsid w:val="00153FE4"/>
    <w:rsid w:val="001579C0"/>
    <w:rsid w:val="00160C07"/>
    <w:rsid w:val="001645AF"/>
    <w:rsid w:val="00166B6B"/>
    <w:rsid w:val="001716C9"/>
    <w:rsid w:val="00172359"/>
    <w:rsid w:val="0017318B"/>
    <w:rsid w:val="001742D1"/>
    <w:rsid w:val="001757C2"/>
    <w:rsid w:val="001772F0"/>
    <w:rsid w:val="001779E1"/>
    <w:rsid w:val="00177A5C"/>
    <w:rsid w:val="0018074A"/>
    <w:rsid w:val="00185B77"/>
    <w:rsid w:val="00186226"/>
    <w:rsid w:val="001874F4"/>
    <w:rsid w:val="00193223"/>
    <w:rsid w:val="00196818"/>
    <w:rsid w:val="001A0344"/>
    <w:rsid w:val="001A14A8"/>
    <w:rsid w:val="001A1A42"/>
    <w:rsid w:val="001A30B2"/>
    <w:rsid w:val="001A403C"/>
    <w:rsid w:val="001A4790"/>
    <w:rsid w:val="001A77C7"/>
    <w:rsid w:val="001B0ED8"/>
    <w:rsid w:val="001B17B9"/>
    <w:rsid w:val="001B2FD0"/>
    <w:rsid w:val="001B5B71"/>
    <w:rsid w:val="001B76CA"/>
    <w:rsid w:val="001B7E49"/>
    <w:rsid w:val="001C0F82"/>
    <w:rsid w:val="001C2401"/>
    <w:rsid w:val="001C24B0"/>
    <w:rsid w:val="001C2A8B"/>
    <w:rsid w:val="001C3C7F"/>
    <w:rsid w:val="001C3D52"/>
    <w:rsid w:val="001C760B"/>
    <w:rsid w:val="001D04AC"/>
    <w:rsid w:val="001D2560"/>
    <w:rsid w:val="001D3069"/>
    <w:rsid w:val="001D5A28"/>
    <w:rsid w:val="001D6815"/>
    <w:rsid w:val="001D7574"/>
    <w:rsid w:val="001E2653"/>
    <w:rsid w:val="001E3AD9"/>
    <w:rsid w:val="001E72AD"/>
    <w:rsid w:val="001E77FB"/>
    <w:rsid w:val="001F1AE1"/>
    <w:rsid w:val="001F3547"/>
    <w:rsid w:val="001F399F"/>
    <w:rsid w:val="001F5837"/>
    <w:rsid w:val="001F67B0"/>
    <w:rsid w:val="00201697"/>
    <w:rsid w:val="00202B51"/>
    <w:rsid w:val="00210466"/>
    <w:rsid w:val="0021166E"/>
    <w:rsid w:val="00212DA4"/>
    <w:rsid w:val="002149EB"/>
    <w:rsid w:val="00214C7D"/>
    <w:rsid w:val="00216146"/>
    <w:rsid w:val="002203E1"/>
    <w:rsid w:val="002214A3"/>
    <w:rsid w:val="00224139"/>
    <w:rsid w:val="0022450E"/>
    <w:rsid w:val="00224ECC"/>
    <w:rsid w:val="002267BF"/>
    <w:rsid w:val="0023232F"/>
    <w:rsid w:val="002328F5"/>
    <w:rsid w:val="00241530"/>
    <w:rsid w:val="002427DA"/>
    <w:rsid w:val="002431F0"/>
    <w:rsid w:val="00247209"/>
    <w:rsid w:val="00247672"/>
    <w:rsid w:val="00250B7D"/>
    <w:rsid w:val="00251A5C"/>
    <w:rsid w:val="00253172"/>
    <w:rsid w:val="002532EE"/>
    <w:rsid w:val="00254249"/>
    <w:rsid w:val="00256248"/>
    <w:rsid w:val="00257007"/>
    <w:rsid w:val="00260EB4"/>
    <w:rsid w:val="00262529"/>
    <w:rsid w:val="00263A45"/>
    <w:rsid w:val="00265341"/>
    <w:rsid w:val="0026656D"/>
    <w:rsid w:val="00270515"/>
    <w:rsid w:val="00272B80"/>
    <w:rsid w:val="00272C42"/>
    <w:rsid w:val="00273F23"/>
    <w:rsid w:val="002740A1"/>
    <w:rsid w:val="00274961"/>
    <w:rsid w:val="002749F1"/>
    <w:rsid w:val="00274BA6"/>
    <w:rsid w:val="002769DB"/>
    <w:rsid w:val="00277ED0"/>
    <w:rsid w:val="00284141"/>
    <w:rsid w:val="00285BEC"/>
    <w:rsid w:val="00286F63"/>
    <w:rsid w:val="00293AB0"/>
    <w:rsid w:val="0029440D"/>
    <w:rsid w:val="002A2CF7"/>
    <w:rsid w:val="002A3D77"/>
    <w:rsid w:val="002A4081"/>
    <w:rsid w:val="002A52F5"/>
    <w:rsid w:val="002A6987"/>
    <w:rsid w:val="002B6231"/>
    <w:rsid w:val="002C1254"/>
    <w:rsid w:val="002C1BA9"/>
    <w:rsid w:val="002C2B5A"/>
    <w:rsid w:val="002C3424"/>
    <w:rsid w:val="002C5111"/>
    <w:rsid w:val="002C7E7A"/>
    <w:rsid w:val="002D4994"/>
    <w:rsid w:val="002D667C"/>
    <w:rsid w:val="002D76DF"/>
    <w:rsid w:val="002E53C8"/>
    <w:rsid w:val="002E660C"/>
    <w:rsid w:val="002E76E8"/>
    <w:rsid w:val="002F14FE"/>
    <w:rsid w:val="002F17A2"/>
    <w:rsid w:val="002F6BAC"/>
    <w:rsid w:val="003015FA"/>
    <w:rsid w:val="0030171D"/>
    <w:rsid w:val="00314D61"/>
    <w:rsid w:val="00315E4F"/>
    <w:rsid w:val="003167C2"/>
    <w:rsid w:val="00316BEC"/>
    <w:rsid w:val="003210AD"/>
    <w:rsid w:val="0032260A"/>
    <w:rsid w:val="0032562D"/>
    <w:rsid w:val="003261FD"/>
    <w:rsid w:val="00326622"/>
    <w:rsid w:val="00327D08"/>
    <w:rsid w:val="00330716"/>
    <w:rsid w:val="00331671"/>
    <w:rsid w:val="00332CBC"/>
    <w:rsid w:val="00334F17"/>
    <w:rsid w:val="00336B06"/>
    <w:rsid w:val="00347522"/>
    <w:rsid w:val="00347803"/>
    <w:rsid w:val="00347C4D"/>
    <w:rsid w:val="00350775"/>
    <w:rsid w:val="003528A7"/>
    <w:rsid w:val="00352A95"/>
    <w:rsid w:val="00353991"/>
    <w:rsid w:val="003616CA"/>
    <w:rsid w:val="00361AE9"/>
    <w:rsid w:val="003631C6"/>
    <w:rsid w:val="00363ADD"/>
    <w:rsid w:val="00364258"/>
    <w:rsid w:val="00383D1C"/>
    <w:rsid w:val="00386DDB"/>
    <w:rsid w:val="00392147"/>
    <w:rsid w:val="0039543B"/>
    <w:rsid w:val="003957C8"/>
    <w:rsid w:val="003A0D66"/>
    <w:rsid w:val="003A3B7F"/>
    <w:rsid w:val="003A4FAD"/>
    <w:rsid w:val="003A7D1E"/>
    <w:rsid w:val="003B143B"/>
    <w:rsid w:val="003B272F"/>
    <w:rsid w:val="003B3303"/>
    <w:rsid w:val="003B5A26"/>
    <w:rsid w:val="003B7318"/>
    <w:rsid w:val="003C41A6"/>
    <w:rsid w:val="003C45DB"/>
    <w:rsid w:val="003C4FA6"/>
    <w:rsid w:val="003C567D"/>
    <w:rsid w:val="003D0F2C"/>
    <w:rsid w:val="003D1BAE"/>
    <w:rsid w:val="003D2252"/>
    <w:rsid w:val="003D60B8"/>
    <w:rsid w:val="003E19CC"/>
    <w:rsid w:val="003E2DF4"/>
    <w:rsid w:val="003E5191"/>
    <w:rsid w:val="003E581B"/>
    <w:rsid w:val="003E6541"/>
    <w:rsid w:val="003E7F1B"/>
    <w:rsid w:val="003F3E2E"/>
    <w:rsid w:val="003F67C8"/>
    <w:rsid w:val="003F7316"/>
    <w:rsid w:val="004002AD"/>
    <w:rsid w:val="00400777"/>
    <w:rsid w:val="00402595"/>
    <w:rsid w:val="00403A89"/>
    <w:rsid w:val="00405152"/>
    <w:rsid w:val="0040551A"/>
    <w:rsid w:val="00411297"/>
    <w:rsid w:val="00412F56"/>
    <w:rsid w:val="00413805"/>
    <w:rsid w:val="00413CD2"/>
    <w:rsid w:val="004144B1"/>
    <w:rsid w:val="0041461E"/>
    <w:rsid w:val="00423F49"/>
    <w:rsid w:val="0042588D"/>
    <w:rsid w:val="004259E5"/>
    <w:rsid w:val="00427BD2"/>
    <w:rsid w:val="00435B50"/>
    <w:rsid w:val="00440693"/>
    <w:rsid w:val="00441665"/>
    <w:rsid w:val="00442903"/>
    <w:rsid w:val="00445F4C"/>
    <w:rsid w:val="00446EE4"/>
    <w:rsid w:val="00450335"/>
    <w:rsid w:val="004520D3"/>
    <w:rsid w:val="004532C5"/>
    <w:rsid w:val="00453521"/>
    <w:rsid w:val="00454D6E"/>
    <w:rsid w:val="004569B9"/>
    <w:rsid w:val="004571A1"/>
    <w:rsid w:val="0045730E"/>
    <w:rsid w:val="00463179"/>
    <w:rsid w:val="00463977"/>
    <w:rsid w:val="00466960"/>
    <w:rsid w:val="00471012"/>
    <w:rsid w:val="0047121E"/>
    <w:rsid w:val="00471CAC"/>
    <w:rsid w:val="00471D3B"/>
    <w:rsid w:val="00474FE2"/>
    <w:rsid w:val="00476604"/>
    <w:rsid w:val="00482DA3"/>
    <w:rsid w:val="00484E4F"/>
    <w:rsid w:val="00485884"/>
    <w:rsid w:val="00485985"/>
    <w:rsid w:val="00485BC4"/>
    <w:rsid w:val="004863D8"/>
    <w:rsid w:val="004871AE"/>
    <w:rsid w:val="00487F51"/>
    <w:rsid w:val="00487F73"/>
    <w:rsid w:val="00493A44"/>
    <w:rsid w:val="004950AA"/>
    <w:rsid w:val="004A10E6"/>
    <w:rsid w:val="004A305E"/>
    <w:rsid w:val="004A6C38"/>
    <w:rsid w:val="004A747F"/>
    <w:rsid w:val="004B1EC3"/>
    <w:rsid w:val="004B20FE"/>
    <w:rsid w:val="004B23D8"/>
    <w:rsid w:val="004B26C2"/>
    <w:rsid w:val="004B2785"/>
    <w:rsid w:val="004B2C75"/>
    <w:rsid w:val="004B5174"/>
    <w:rsid w:val="004B6022"/>
    <w:rsid w:val="004C00D6"/>
    <w:rsid w:val="004C1033"/>
    <w:rsid w:val="004C16D9"/>
    <w:rsid w:val="004C27F4"/>
    <w:rsid w:val="004C4BB6"/>
    <w:rsid w:val="004C7042"/>
    <w:rsid w:val="004D1759"/>
    <w:rsid w:val="004D3767"/>
    <w:rsid w:val="004D5414"/>
    <w:rsid w:val="004D617B"/>
    <w:rsid w:val="004D7A8C"/>
    <w:rsid w:val="004E14B3"/>
    <w:rsid w:val="004E5436"/>
    <w:rsid w:val="004E697F"/>
    <w:rsid w:val="004E7A19"/>
    <w:rsid w:val="004F12F9"/>
    <w:rsid w:val="004F29F5"/>
    <w:rsid w:val="004F5FB0"/>
    <w:rsid w:val="004F7357"/>
    <w:rsid w:val="005019CA"/>
    <w:rsid w:val="00507FF7"/>
    <w:rsid w:val="00514334"/>
    <w:rsid w:val="00515638"/>
    <w:rsid w:val="00522731"/>
    <w:rsid w:val="00523261"/>
    <w:rsid w:val="00525C0D"/>
    <w:rsid w:val="00526632"/>
    <w:rsid w:val="00530809"/>
    <w:rsid w:val="0053163D"/>
    <w:rsid w:val="00531DE5"/>
    <w:rsid w:val="005332C3"/>
    <w:rsid w:val="00536FE1"/>
    <w:rsid w:val="00537B5E"/>
    <w:rsid w:val="00537BA4"/>
    <w:rsid w:val="00537C1C"/>
    <w:rsid w:val="005531EA"/>
    <w:rsid w:val="005569F6"/>
    <w:rsid w:val="00557ECE"/>
    <w:rsid w:val="0056086B"/>
    <w:rsid w:val="0056113A"/>
    <w:rsid w:val="0056126D"/>
    <w:rsid w:val="00566103"/>
    <w:rsid w:val="0056766D"/>
    <w:rsid w:val="00570AB9"/>
    <w:rsid w:val="00575267"/>
    <w:rsid w:val="00576708"/>
    <w:rsid w:val="0058020E"/>
    <w:rsid w:val="00585B1E"/>
    <w:rsid w:val="0059112B"/>
    <w:rsid w:val="00592450"/>
    <w:rsid w:val="00592793"/>
    <w:rsid w:val="005A16C7"/>
    <w:rsid w:val="005A2632"/>
    <w:rsid w:val="005A2C4B"/>
    <w:rsid w:val="005A3A65"/>
    <w:rsid w:val="005A4579"/>
    <w:rsid w:val="005A565D"/>
    <w:rsid w:val="005A715D"/>
    <w:rsid w:val="005B0107"/>
    <w:rsid w:val="005B1724"/>
    <w:rsid w:val="005B294C"/>
    <w:rsid w:val="005B29D6"/>
    <w:rsid w:val="005B66AE"/>
    <w:rsid w:val="005B67DA"/>
    <w:rsid w:val="005B6EED"/>
    <w:rsid w:val="005B6F42"/>
    <w:rsid w:val="005B70BB"/>
    <w:rsid w:val="005B7C3C"/>
    <w:rsid w:val="005C051A"/>
    <w:rsid w:val="005C092A"/>
    <w:rsid w:val="005C608E"/>
    <w:rsid w:val="005C6BD0"/>
    <w:rsid w:val="005C7C3B"/>
    <w:rsid w:val="005D2D2B"/>
    <w:rsid w:val="005D38CC"/>
    <w:rsid w:val="005D3AE8"/>
    <w:rsid w:val="005D4D4E"/>
    <w:rsid w:val="005D64A2"/>
    <w:rsid w:val="005E06A5"/>
    <w:rsid w:val="005E1918"/>
    <w:rsid w:val="005E23A4"/>
    <w:rsid w:val="005E2932"/>
    <w:rsid w:val="005E387C"/>
    <w:rsid w:val="005E6BEF"/>
    <w:rsid w:val="005F043C"/>
    <w:rsid w:val="005F1744"/>
    <w:rsid w:val="005F2F12"/>
    <w:rsid w:val="005F3871"/>
    <w:rsid w:val="005F3972"/>
    <w:rsid w:val="005F7101"/>
    <w:rsid w:val="005F72FB"/>
    <w:rsid w:val="006032BA"/>
    <w:rsid w:val="00603FD0"/>
    <w:rsid w:val="00606485"/>
    <w:rsid w:val="00610886"/>
    <w:rsid w:val="00612470"/>
    <w:rsid w:val="00615487"/>
    <w:rsid w:val="0062259E"/>
    <w:rsid w:val="00622E4E"/>
    <w:rsid w:val="006232D7"/>
    <w:rsid w:val="00624A81"/>
    <w:rsid w:val="006253C3"/>
    <w:rsid w:val="00625B58"/>
    <w:rsid w:val="00630801"/>
    <w:rsid w:val="00632F4C"/>
    <w:rsid w:val="006358E9"/>
    <w:rsid w:val="006402AF"/>
    <w:rsid w:val="00646813"/>
    <w:rsid w:val="006478AA"/>
    <w:rsid w:val="00650944"/>
    <w:rsid w:val="00651864"/>
    <w:rsid w:val="006532B6"/>
    <w:rsid w:val="00654763"/>
    <w:rsid w:val="00654F21"/>
    <w:rsid w:val="00654FBF"/>
    <w:rsid w:val="0065605B"/>
    <w:rsid w:val="0065795C"/>
    <w:rsid w:val="00660572"/>
    <w:rsid w:val="00663087"/>
    <w:rsid w:val="0066608B"/>
    <w:rsid w:val="00666BD2"/>
    <w:rsid w:val="00670365"/>
    <w:rsid w:val="0068227B"/>
    <w:rsid w:val="00682371"/>
    <w:rsid w:val="006901EF"/>
    <w:rsid w:val="0069152B"/>
    <w:rsid w:val="0069378A"/>
    <w:rsid w:val="00697E28"/>
    <w:rsid w:val="00697E8A"/>
    <w:rsid w:val="006A048D"/>
    <w:rsid w:val="006A08A8"/>
    <w:rsid w:val="006A4027"/>
    <w:rsid w:val="006A63CD"/>
    <w:rsid w:val="006A6702"/>
    <w:rsid w:val="006A6AB5"/>
    <w:rsid w:val="006A7675"/>
    <w:rsid w:val="006A786F"/>
    <w:rsid w:val="006B3345"/>
    <w:rsid w:val="006B568F"/>
    <w:rsid w:val="006B6A2F"/>
    <w:rsid w:val="006B765F"/>
    <w:rsid w:val="006C16B2"/>
    <w:rsid w:val="006C5238"/>
    <w:rsid w:val="006C64DF"/>
    <w:rsid w:val="006D53B3"/>
    <w:rsid w:val="006D60B6"/>
    <w:rsid w:val="006D6934"/>
    <w:rsid w:val="006D7051"/>
    <w:rsid w:val="006E0F3B"/>
    <w:rsid w:val="006E21B5"/>
    <w:rsid w:val="006E4323"/>
    <w:rsid w:val="006E49F8"/>
    <w:rsid w:val="006E4DBF"/>
    <w:rsid w:val="006E7AA3"/>
    <w:rsid w:val="006F2D6C"/>
    <w:rsid w:val="006F3E25"/>
    <w:rsid w:val="006F4049"/>
    <w:rsid w:val="007001FA"/>
    <w:rsid w:val="007024F5"/>
    <w:rsid w:val="00704075"/>
    <w:rsid w:val="00706580"/>
    <w:rsid w:val="00706C84"/>
    <w:rsid w:val="00707C90"/>
    <w:rsid w:val="00710653"/>
    <w:rsid w:val="0071160E"/>
    <w:rsid w:val="00711CA3"/>
    <w:rsid w:val="00713531"/>
    <w:rsid w:val="00713A28"/>
    <w:rsid w:val="00714429"/>
    <w:rsid w:val="00717677"/>
    <w:rsid w:val="00723B55"/>
    <w:rsid w:val="00727117"/>
    <w:rsid w:val="00727332"/>
    <w:rsid w:val="007274E0"/>
    <w:rsid w:val="00727E26"/>
    <w:rsid w:val="007306FC"/>
    <w:rsid w:val="00736F1A"/>
    <w:rsid w:val="007401E6"/>
    <w:rsid w:val="00740D91"/>
    <w:rsid w:val="007440AC"/>
    <w:rsid w:val="00744811"/>
    <w:rsid w:val="00754C8C"/>
    <w:rsid w:val="00754FF4"/>
    <w:rsid w:val="007552E7"/>
    <w:rsid w:val="00757EE0"/>
    <w:rsid w:val="00763796"/>
    <w:rsid w:val="00764435"/>
    <w:rsid w:val="007658AE"/>
    <w:rsid w:val="00766AFC"/>
    <w:rsid w:val="007671D7"/>
    <w:rsid w:val="00767408"/>
    <w:rsid w:val="007727D2"/>
    <w:rsid w:val="00774CE4"/>
    <w:rsid w:val="00775289"/>
    <w:rsid w:val="007758AE"/>
    <w:rsid w:val="007776A5"/>
    <w:rsid w:val="00780A32"/>
    <w:rsid w:val="00780DA6"/>
    <w:rsid w:val="00781ABD"/>
    <w:rsid w:val="00782476"/>
    <w:rsid w:val="007827EF"/>
    <w:rsid w:val="007831F3"/>
    <w:rsid w:val="00783233"/>
    <w:rsid w:val="0078391D"/>
    <w:rsid w:val="00783F73"/>
    <w:rsid w:val="00785EC2"/>
    <w:rsid w:val="007877ED"/>
    <w:rsid w:val="007902AA"/>
    <w:rsid w:val="0079250F"/>
    <w:rsid w:val="00794411"/>
    <w:rsid w:val="00797791"/>
    <w:rsid w:val="007A28CF"/>
    <w:rsid w:val="007A2FAB"/>
    <w:rsid w:val="007A5854"/>
    <w:rsid w:val="007A58A5"/>
    <w:rsid w:val="007A71E5"/>
    <w:rsid w:val="007B017B"/>
    <w:rsid w:val="007B3058"/>
    <w:rsid w:val="007B40C1"/>
    <w:rsid w:val="007B7D21"/>
    <w:rsid w:val="007C0C7C"/>
    <w:rsid w:val="007C39C2"/>
    <w:rsid w:val="007C4685"/>
    <w:rsid w:val="007C5584"/>
    <w:rsid w:val="007D44EA"/>
    <w:rsid w:val="007D70D8"/>
    <w:rsid w:val="007E47AF"/>
    <w:rsid w:val="007E5C49"/>
    <w:rsid w:val="007E72B6"/>
    <w:rsid w:val="007F03AD"/>
    <w:rsid w:val="007F0B05"/>
    <w:rsid w:val="007F11A6"/>
    <w:rsid w:val="007F2D6E"/>
    <w:rsid w:val="007F5388"/>
    <w:rsid w:val="007F7ACC"/>
    <w:rsid w:val="00800391"/>
    <w:rsid w:val="0080086A"/>
    <w:rsid w:val="0080231A"/>
    <w:rsid w:val="00802BC6"/>
    <w:rsid w:val="00803CBE"/>
    <w:rsid w:val="00803EC2"/>
    <w:rsid w:val="00803F63"/>
    <w:rsid w:val="008118DB"/>
    <w:rsid w:val="00812927"/>
    <w:rsid w:val="00812F19"/>
    <w:rsid w:val="00817185"/>
    <w:rsid w:val="00825DA7"/>
    <w:rsid w:val="00825DF2"/>
    <w:rsid w:val="008262F9"/>
    <w:rsid w:val="008318CE"/>
    <w:rsid w:val="00831EFB"/>
    <w:rsid w:val="0083649B"/>
    <w:rsid w:val="008375CB"/>
    <w:rsid w:val="008438E5"/>
    <w:rsid w:val="008440A4"/>
    <w:rsid w:val="00845066"/>
    <w:rsid w:val="00852818"/>
    <w:rsid w:val="0085359C"/>
    <w:rsid w:val="00853C5E"/>
    <w:rsid w:val="008625B2"/>
    <w:rsid w:val="008654CD"/>
    <w:rsid w:val="00866EF9"/>
    <w:rsid w:val="008670B6"/>
    <w:rsid w:val="00870C1A"/>
    <w:rsid w:val="008719B8"/>
    <w:rsid w:val="00872846"/>
    <w:rsid w:val="00872F8F"/>
    <w:rsid w:val="00875045"/>
    <w:rsid w:val="00876C93"/>
    <w:rsid w:val="00877594"/>
    <w:rsid w:val="0088080D"/>
    <w:rsid w:val="00881D6A"/>
    <w:rsid w:val="0088338E"/>
    <w:rsid w:val="008841A2"/>
    <w:rsid w:val="00885556"/>
    <w:rsid w:val="008A34F4"/>
    <w:rsid w:val="008A4C2A"/>
    <w:rsid w:val="008A61E0"/>
    <w:rsid w:val="008A7A8A"/>
    <w:rsid w:val="008B01CD"/>
    <w:rsid w:val="008C3FDD"/>
    <w:rsid w:val="008C47FB"/>
    <w:rsid w:val="008D06D7"/>
    <w:rsid w:val="008D0F3B"/>
    <w:rsid w:val="008D3701"/>
    <w:rsid w:val="008D716A"/>
    <w:rsid w:val="008E2478"/>
    <w:rsid w:val="008E2B28"/>
    <w:rsid w:val="008E3062"/>
    <w:rsid w:val="008E4B9B"/>
    <w:rsid w:val="008E59DB"/>
    <w:rsid w:val="008E70B0"/>
    <w:rsid w:val="008E7C76"/>
    <w:rsid w:val="008E7E3E"/>
    <w:rsid w:val="008F040F"/>
    <w:rsid w:val="008F4A87"/>
    <w:rsid w:val="008F65FF"/>
    <w:rsid w:val="008F78B0"/>
    <w:rsid w:val="00901120"/>
    <w:rsid w:val="00902B5C"/>
    <w:rsid w:val="0090489F"/>
    <w:rsid w:val="00905970"/>
    <w:rsid w:val="0090630A"/>
    <w:rsid w:val="009074DA"/>
    <w:rsid w:val="009074F1"/>
    <w:rsid w:val="0091028E"/>
    <w:rsid w:val="00911486"/>
    <w:rsid w:val="00912040"/>
    <w:rsid w:val="009133C3"/>
    <w:rsid w:val="009146BA"/>
    <w:rsid w:val="009164ED"/>
    <w:rsid w:val="0091711C"/>
    <w:rsid w:val="009179CC"/>
    <w:rsid w:val="009205CF"/>
    <w:rsid w:val="0092122E"/>
    <w:rsid w:val="00927FBE"/>
    <w:rsid w:val="00931392"/>
    <w:rsid w:val="009347FE"/>
    <w:rsid w:val="009404BA"/>
    <w:rsid w:val="00941181"/>
    <w:rsid w:val="00941BD6"/>
    <w:rsid w:val="00944599"/>
    <w:rsid w:val="00947335"/>
    <w:rsid w:val="0095002A"/>
    <w:rsid w:val="00953AA6"/>
    <w:rsid w:val="009564FF"/>
    <w:rsid w:val="00957DDF"/>
    <w:rsid w:val="00962FE4"/>
    <w:rsid w:val="009663D0"/>
    <w:rsid w:val="009672DA"/>
    <w:rsid w:val="00971A35"/>
    <w:rsid w:val="00975C07"/>
    <w:rsid w:val="009772F9"/>
    <w:rsid w:val="00977859"/>
    <w:rsid w:val="00981253"/>
    <w:rsid w:val="00981C10"/>
    <w:rsid w:val="00983E9D"/>
    <w:rsid w:val="009864B5"/>
    <w:rsid w:val="00997851"/>
    <w:rsid w:val="009A0937"/>
    <w:rsid w:val="009A0B82"/>
    <w:rsid w:val="009A2642"/>
    <w:rsid w:val="009A3C3A"/>
    <w:rsid w:val="009A66D2"/>
    <w:rsid w:val="009A7B21"/>
    <w:rsid w:val="009B0097"/>
    <w:rsid w:val="009B149D"/>
    <w:rsid w:val="009B274C"/>
    <w:rsid w:val="009B3A17"/>
    <w:rsid w:val="009B4E52"/>
    <w:rsid w:val="009B5F39"/>
    <w:rsid w:val="009B650C"/>
    <w:rsid w:val="009C0309"/>
    <w:rsid w:val="009C0D80"/>
    <w:rsid w:val="009C0D81"/>
    <w:rsid w:val="009D1AFB"/>
    <w:rsid w:val="009D1EF1"/>
    <w:rsid w:val="009D540F"/>
    <w:rsid w:val="009D54DA"/>
    <w:rsid w:val="009D690B"/>
    <w:rsid w:val="009E0D60"/>
    <w:rsid w:val="009E4492"/>
    <w:rsid w:val="009E709C"/>
    <w:rsid w:val="009F34AA"/>
    <w:rsid w:val="009F4134"/>
    <w:rsid w:val="009F52D7"/>
    <w:rsid w:val="009F7F3E"/>
    <w:rsid w:val="00A0124C"/>
    <w:rsid w:val="00A01F73"/>
    <w:rsid w:val="00A021A8"/>
    <w:rsid w:val="00A022A7"/>
    <w:rsid w:val="00A0287D"/>
    <w:rsid w:val="00A0521C"/>
    <w:rsid w:val="00A10BA7"/>
    <w:rsid w:val="00A10CED"/>
    <w:rsid w:val="00A15CF4"/>
    <w:rsid w:val="00A179C7"/>
    <w:rsid w:val="00A17B8B"/>
    <w:rsid w:val="00A20B68"/>
    <w:rsid w:val="00A2341C"/>
    <w:rsid w:val="00A236FD"/>
    <w:rsid w:val="00A25A7C"/>
    <w:rsid w:val="00A2788D"/>
    <w:rsid w:val="00A30796"/>
    <w:rsid w:val="00A30AFF"/>
    <w:rsid w:val="00A3190B"/>
    <w:rsid w:val="00A31FAF"/>
    <w:rsid w:val="00A379FF"/>
    <w:rsid w:val="00A37C7F"/>
    <w:rsid w:val="00A402FA"/>
    <w:rsid w:val="00A41A26"/>
    <w:rsid w:val="00A46C3E"/>
    <w:rsid w:val="00A50D05"/>
    <w:rsid w:val="00A52160"/>
    <w:rsid w:val="00A523F8"/>
    <w:rsid w:val="00A538A3"/>
    <w:rsid w:val="00A539A5"/>
    <w:rsid w:val="00A60E55"/>
    <w:rsid w:val="00A61E7A"/>
    <w:rsid w:val="00A62A2D"/>
    <w:rsid w:val="00A635C3"/>
    <w:rsid w:val="00A67548"/>
    <w:rsid w:val="00A71465"/>
    <w:rsid w:val="00A71D46"/>
    <w:rsid w:val="00A73198"/>
    <w:rsid w:val="00A746A9"/>
    <w:rsid w:val="00A758CA"/>
    <w:rsid w:val="00A760A4"/>
    <w:rsid w:val="00A76C25"/>
    <w:rsid w:val="00A77323"/>
    <w:rsid w:val="00A7732B"/>
    <w:rsid w:val="00A777C9"/>
    <w:rsid w:val="00A815BD"/>
    <w:rsid w:val="00A81A60"/>
    <w:rsid w:val="00A8365B"/>
    <w:rsid w:val="00A84FC4"/>
    <w:rsid w:val="00A85603"/>
    <w:rsid w:val="00A85948"/>
    <w:rsid w:val="00A905C4"/>
    <w:rsid w:val="00A909E3"/>
    <w:rsid w:val="00A91D62"/>
    <w:rsid w:val="00A91DCD"/>
    <w:rsid w:val="00A920C6"/>
    <w:rsid w:val="00A92195"/>
    <w:rsid w:val="00A957DD"/>
    <w:rsid w:val="00A95DF4"/>
    <w:rsid w:val="00A96B37"/>
    <w:rsid w:val="00A96FA0"/>
    <w:rsid w:val="00A970B7"/>
    <w:rsid w:val="00A9781E"/>
    <w:rsid w:val="00AA240A"/>
    <w:rsid w:val="00AA401C"/>
    <w:rsid w:val="00AB0447"/>
    <w:rsid w:val="00AB199B"/>
    <w:rsid w:val="00AB5BEE"/>
    <w:rsid w:val="00AB64F5"/>
    <w:rsid w:val="00AB6ADC"/>
    <w:rsid w:val="00AC02E8"/>
    <w:rsid w:val="00AC3046"/>
    <w:rsid w:val="00AC531E"/>
    <w:rsid w:val="00AC563B"/>
    <w:rsid w:val="00AC668A"/>
    <w:rsid w:val="00AC6848"/>
    <w:rsid w:val="00AC7A5D"/>
    <w:rsid w:val="00AD1437"/>
    <w:rsid w:val="00AD2DB3"/>
    <w:rsid w:val="00AD70E3"/>
    <w:rsid w:val="00AE2FF3"/>
    <w:rsid w:val="00AE68EF"/>
    <w:rsid w:val="00AF0495"/>
    <w:rsid w:val="00AF1570"/>
    <w:rsid w:val="00AF17CE"/>
    <w:rsid w:val="00AF678E"/>
    <w:rsid w:val="00B0114A"/>
    <w:rsid w:val="00B01E09"/>
    <w:rsid w:val="00B05448"/>
    <w:rsid w:val="00B05A6E"/>
    <w:rsid w:val="00B11C95"/>
    <w:rsid w:val="00B11CDD"/>
    <w:rsid w:val="00B20006"/>
    <w:rsid w:val="00B260CF"/>
    <w:rsid w:val="00B26135"/>
    <w:rsid w:val="00B2775E"/>
    <w:rsid w:val="00B3241E"/>
    <w:rsid w:val="00B346C0"/>
    <w:rsid w:val="00B349A8"/>
    <w:rsid w:val="00B36482"/>
    <w:rsid w:val="00B3649A"/>
    <w:rsid w:val="00B37EA7"/>
    <w:rsid w:val="00B4060E"/>
    <w:rsid w:val="00B40C0E"/>
    <w:rsid w:val="00B41F1E"/>
    <w:rsid w:val="00B43D4E"/>
    <w:rsid w:val="00B444F2"/>
    <w:rsid w:val="00B468DC"/>
    <w:rsid w:val="00B46B26"/>
    <w:rsid w:val="00B47F27"/>
    <w:rsid w:val="00B514D7"/>
    <w:rsid w:val="00B53D31"/>
    <w:rsid w:val="00B54370"/>
    <w:rsid w:val="00B5746F"/>
    <w:rsid w:val="00B6042B"/>
    <w:rsid w:val="00B61FB5"/>
    <w:rsid w:val="00B625B1"/>
    <w:rsid w:val="00B74321"/>
    <w:rsid w:val="00B75803"/>
    <w:rsid w:val="00B76887"/>
    <w:rsid w:val="00B81DB5"/>
    <w:rsid w:val="00B9193B"/>
    <w:rsid w:val="00B92CE8"/>
    <w:rsid w:val="00B93149"/>
    <w:rsid w:val="00B97642"/>
    <w:rsid w:val="00BA216E"/>
    <w:rsid w:val="00BA5D51"/>
    <w:rsid w:val="00BA7C89"/>
    <w:rsid w:val="00BB00D7"/>
    <w:rsid w:val="00BB1D4A"/>
    <w:rsid w:val="00BB31C4"/>
    <w:rsid w:val="00BB32ED"/>
    <w:rsid w:val="00BB6A0F"/>
    <w:rsid w:val="00BC1A75"/>
    <w:rsid w:val="00BC1CA5"/>
    <w:rsid w:val="00BC1F01"/>
    <w:rsid w:val="00BC261C"/>
    <w:rsid w:val="00BC3A03"/>
    <w:rsid w:val="00BD0E16"/>
    <w:rsid w:val="00BD2411"/>
    <w:rsid w:val="00BE112D"/>
    <w:rsid w:val="00BE17F4"/>
    <w:rsid w:val="00BE291E"/>
    <w:rsid w:val="00BE3AA6"/>
    <w:rsid w:val="00BE4A36"/>
    <w:rsid w:val="00BF55DA"/>
    <w:rsid w:val="00BF6499"/>
    <w:rsid w:val="00C0192B"/>
    <w:rsid w:val="00C02C72"/>
    <w:rsid w:val="00C056EE"/>
    <w:rsid w:val="00C0637E"/>
    <w:rsid w:val="00C132D2"/>
    <w:rsid w:val="00C147F0"/>
    <w:rsid w:val="00C15051"/>
    <w:rsid w:val="00C161EC"/>
    <w:rsid w:val="00C21572"/>
    <w:rsid w:val="00C21D06"/>
    <w:rsid w:val="00C23642"/>
    <w:rsid w:val="00C25263"/>
    <w:rsid w:val="00C26F9E"/>
    <w:rsid w:val="00C31687"/>
    <w:rsid w:val="00C362D6"/>
    <w:rsid w:val="00C36348"/>
    <w:rsid w:val="00C370F8"/>
    <w:rsid w:val="00C4175B"/>
    <w:rsid w:val="00C434AE"/>
    <w:rsid w:val="00C44419"/>
    <w:rsid w:val="00C44510"/>
    <w:rsid w:val="00C44D0C"/>
    <w:rsid w:val="00C45092"/>
    <w:rsid w:val="00C4595C"/>
    <w:rsid w:val="00C45FB0"/>
    <w:rsid w:val="00C45FE1"/>
    <w:rsid w:val="00C46866"/>
    <w:rsid w:val="00C468A6"/>
    <w:rsid w:val="00C47E14"/>
    <w:rsid w:val="00C50955"/>
    <w:rsid w:val="00C54C2A"/>
    <w:rsid w:val="00C60088"/>
    <w:rsid w:val="00C719E0"/>
    <w:rsid w:val="00C71DA6"/>
    <w:rsid w:val="00C73326"/>
    <w:rsid w:val="00C81E4D"/>
    <w:rsid w:val="00C82888"/>
    <w:rsid w:val="00C85DC7"/>
    <w:rsid w:val="00C91F3F"/>
    <w:rsid w:val="00C96DC6"/>
    <w:rsid w:val="00C97DAE"/>
    <w:rsid w:val="00CA2A4A"/>
    <w:rsid w:val="00CB12C4"/>
    <w:rsid w:val="00CB15CA"/>
    <w:rsid w:val="00CB1BD9"/>
    <w:rsid w:val="00CB24FB"/>
    <w:rsid w:val="00CB2816"/>
    <w:rsid w:val="00CB4E38"/>
    <w:rsid w:val="00CC095B"/>
    <w:rsid w:val="00CC1AE3"/>
    <w:rsid w:val="00CC2EEE"/>
    <w:rsid w:val="00CC3761"/>
    <w:rsid w:val="00CC438F"/>
    <w:rsid w:val="00CC60DD"/>
    <w:rsid w:val="00CD1E7E"/>
    <w:rsid w:val="00CD2672"/>
    <w:rsid w:val="00CD3925"/>
    <w:rsid w:val="00CD5102"/>
    <w:rsid w:val="00CD6DFF"/>
    <w:rsid w:val="00CD70E5"/>
    <w:rsid w:val="00CD76E3"/>
    <w:rsid w:val="00CE066E"/>
    <w:rsid w:val="00CE37CF"/>
    <w:rsid w:val="00CE3D75"/>
    <w:rsid w:val="00CF1598"/>
    <w:rsid w:val="00CF2E10"/>
    <w:rsid w:val="00CF4593"/>
    <w:rsid w:val="00CF49F7"/>
    <w:rsid w:val="00CF4FAD"/>
    <w:rsid w:val="00CF7472"/>
    <w:rsid w:val="00D013E4"/>
    <w:rsid w:val="00D013F1"/>
    <w:rsid w:val="00D03C4A"/>
    <w:rsid w:val="00D052C4"/>
    <w:rsid w:val="00D06DB3"/>
    <w:rsid w:val="00D14AA8"/>
    <w:rsid w:val="00D153C8"/>
    <w:rsid w:val="00D16EC7"/>
    <w:rsid w:val="00D16EDA"/>
    <w:rsid w:val="00D212B2"/>
    <w:rsid w:val="00D21F95"/>
    <w:rsid w:val="00D23910"/>
    <w:rsid w:val="00D25691"/>
    <w:rsid w:val="00D25DD2"/>
    <w:rsid w:val="00D26528"/>
    <w:rsid w:val="00D32556"/>
    <w:rsid w:val="00D33D18"/>
    <w:rsid w:val="00D35341"/>
    <w:rsid w:val="00D35916"/>
    <w:rsid w:val="00D404BB"/>
    <w:rsid w:val="00D424D0"/>
    <w:rsid w:val="00D43BE5"/>
    <w:rsid w:val="00D45205"/>
    <w:rsid w:val="00D45AE5"/>
    <w:rsid w:val="00D53E70"/>
    <w:rsid w:val="00D54597"/>
    <w:rsid w:val="00D54AD4"/>
    <w:rsid w:val="00D55F4C"/>
    <w:rsid w:val="00D6071C"/>
    <w:rsid w:val="00D6174A"/>
    <w:rsid w:val="00D6226A"/>
    <w:rsid w:val="00D62C13"/>
    <w:rsid w:val="00D63BED"/>
    <w:rsid w:val="00D65E3F"/>
    <w:rsid w:val="00D67A4E"/>
    <w:rsid w:val="00D73788"/>
    <w:rsid w:val="00D76111"/>
    <w:rsid w:val="00D77040"/>
    <w:rsid w:val="00D81792"/>
    <w:rsid w:val="00D83465"/>
    <w:rsid w:val="00D8399F"/>
    <w:rsid w:val="00D86EDD"/>
    <w:rsid w:val="00D874C2"/>
    <w:rsid w:val="00D907F2"/>
    <w:rsid w:val="00D919EB"/>
    <w:rsid w:val="00D9370A"/>
    <w:rsid w:val="00D95D30"/>
    <w:rsid w:val="00D96B1A"/>
    <w:rsid w:val="00D9769A"/>
    <w:rsid w:val="00DA368C"/>
    <w:rsid w:val="00DA6ED6"/>
    <w:rsid w:val="00DB1A1D"/>
    <w:rsid w:val="00DC0747"/>
    <w:rsid w:val="00DC0FC6"/>
    <w:rsid w:val="00DC195E"/>
    <w:rsid w:val="00DC1C3F"/>
    <w:rsid w:val="00DC3C9C"/>
    <w:rsid w:val="00DC5B95"/>
    <w:rsid w:val="00DC7794"/>
    <w:rsid w:val="00DD17BF"/>
    <w:rsid w:val="00DD24BC"/>
    <w:rsid w:val="00DD2F3B"/>
    <w:rsid w:val="00DE1E28"/>
    <w:rsid w:val="00DE6BA2"/>
    <w:rsid w:val="00DF2173"/>
    <w:rsid w:val="00DF2EFD"/>
    <w:rsid w:val="00DF50EA"/>
    <w:rsid w:val="00DF54A1"/>
    <w:rsid w:val="00E01DDD"/>
    <w:rsid w:val="00E02AA6"/>
    <w:rsid w:val="00E067D3"/>
    <w:rsid w:val="00E06DE2"/>
    <w:rsid w:val="00E102E4"/>
    <w:rsid w:val="00E10FE8"/>
    <w:rsid w:val="00E127B8"/>
    <w:rsid w:val="00E20A8C"/>
    <w:rsid w:val="00E21D3D"/>
    <w:rsid w:val="00E2214E"/>
    <w:rsid w:val="00E2451D"/>
    <w:rsid w:val="00E247AF"/>
    <w:rsid w:val="00E2584A"/>
    <w:rsid w:val="00E32BCB"/>
    <w:rsid w:val="00E33D49"/>
    <w:rsid w:val="00E36835"/>
    <w:rsid w:val="00E36ACE"/>
    <w:rsid w:val="00E41813"/>
    <w:rsid w:val="00E42072"/>
    <w:rsid w:val="00E443A9"/>
    <w:rsid w:val="00E446E9"/>
    <w:rsid w:val="00E45D34"/>
    <w:rsid w:val="00E479A9"/>
    <w:rsid w:val="00E47EF5"/>
    <w:rsid w:val="00E50861"/>
    <w:rsid w:val="00E5257E"/>
    <w:rsid w:val="00E52642"/>
    <w:rsid w:val="00E55CA1"/>
    <w:rsid w:val="00E60FD0"/>
    <w:rsid w:val="00E6482B"/>
    <w:rsid w:val="00E65783"/>
    <w:rsid w:val="00E671BB"/>
    <w:rsid w:val="00E70AEA"/>
    <w:rsid w:val="00E724D0"/>
    <w:rsid w:val="00E73789"/>
    <w:rsid w:val="00E77B37"/>
    <w:rsid w:val="00E84924"/>
    <w:rsid w:val="00E84CC3"/>
    <w:rsid w:val="00E956BD"/>
    <w:rsid w:val="00EA71DD"/>
    <w:rsid w:val="00EB139E"/>
    <w:rsid w:val="00EB1A89"/>
    <w:rsid w:val="00EB5B36"/>
    <w:rsid w:val="00ED5002"/>
    <w:rsid w:val="00ED53B3"/>
    <w:rsid w:val="00ED6C5D"/>
    <w:rsid w:val="00EE3495"/>
    <w:rsid w:val="00EE43EB"/>
    <w:rsid w:val="00EE5369"/>
    <w:rsid w:val="00EE7B85"/>
    <w:rsid w:val="00EF572C"/>
    <w:rsid w:val="00EF6D66"/>
    <w:rsid w:val="00EF70F4"/>
    <w:rsid w:val="00F0322F"/>
    <w:rsid w:val="00F05843"/>
    <w:rsid w:val="00F058BB"/>
    <w:rsid w:val="00F060CA"/>
    <w:rsid w:val="00F07CFB"/>
    <w:rsid w:val="00F10559"/>
    <w:rsid w:val="00F118CB"/>
    <w:rsid w:val="00F13008"/>
    <w:rsid w:val="00F145AF"/>
    <w:rsid w:val="00F151AF"/>
    <w:rsid w:val="00F1588C"/>
    <w:rsid w:val="00F1735C"/>
    <w:rsid w:val="00F25354"/>
    <w:rsid w:val="00F25DDC"/>
    <w:rsid w:val="00F3121C"/>
    <w:rsid w:val="00F34C9F"/>
    <w:rsid w:val="00F40548"/>
    <w:rsid w:val="00F405E1"/>
    <w:rsid w:val="00F40A70"/>
    <w:rsid w:val="00F42414"/>
    <w:rsid w:val="00F43408"/>
    <w:rsid w:val="00F51EDB"/>
    <w:rsid w:val="00F52FCB"/>
    <w:rsid w:val="00F53741"/>
    <w:rsid w:val="00F54376"/>
    <w:rsid w:val="00F544DE"/>
    <w:rsid w:val="00F5591A"/>
    <w:rsid w:val="00F55E8F"/>
    <w:rsid w:val="00F55EEF"/>
    <w:rsid w:val="00F568E8"/>
    <w:rsid w:val="00F576A6"/>
    <w:rsid w:val="00F67A61"/>
    <w:rsid w:val="00F67DE6"/>
    <w:rsid w:val="00F7658D"/>
    <w:rsid w:val="00F767FC"/>
    <w:rsid w:val="00F8142C"/>
    <w:rsid w:val="00F81AAE"/>
    <w:rsid w:val="00F83C51"/>
    <w:rsid w:val="00F8454E"/>
    <w:rsid w:val="00F858A5"/>
    <w:rsid w:val="00F86712"/>
    <w:rsid w:val="00F87E02"/>
    <w:rsid w:val="00F9218E"/>
    <w:rsid w:val="00F933A0"/>
    <w:rsid w:val="00F93D6D"/>
    <w:rsid w:val="00F94558"/>
    <w:rsid w:val="00F94ED8"/>
    <w:rsid w:val="00F954B1"/>
    <w:rsid w:val="00F96734"/>
    <w:rsid w:val="00F970AC"/>
    <w:rsid w:val="00F97B5D"/>
    <w:rsid w:val="00FA3E03"/>
    <w:rsid w:val="00FA4FF1"/>
    <w:rsid w:val="00FA744E"/>
    <w:rsid w:val="00FA7ED8"/>
    <w:rsid w:val="00FB4C4E"/>
    <w:rsid w:val="00FB6DF8"/>
    <w:rsid w:val="00FB780B"/>
    <w:rsid w:val="00FB79F5"/>
    <w:rsid w:val="00FC5365"/>
    <w:rsid w:val="00FC7FE5"/>
    <w:rsid w:val="00FD1C76"/>
    <w:rsid w:val="00FD71FE"/>
    <w:rsid w:val="00FD7F23"/>
    <w:rsid w:val="00FE0234"/>
    <w:rsid w:val="00FE1885"/>
    <w:rsid w:val="00FE253E"/>
    <w:rsid w:val="00FE2D82"/>
    <w:rsid w:val="00FE70D9"/>
    <w:rsid w:val="00FE7A7D"/>
    <w:rsid w:val="00FE7D91"/>
    <w:rsid w:val="00FF0191"/>
    <w:rsid w:val="00FF1F31"/>
    <w:rsid w:val="00FF3365"/>
    <w:rsid w:val="00FF3E10"/>
    <w:rsid w:val="00FF3EC9"/>
    <w:rsid w:val="00FF4D6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9CDB"/>
  <w15:docId w15:val="{F845E7B7-E191-490B-858E-52F9C568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6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90569"/>
    <w:pPr>
      <w:widowControl w:val="0"/>
      <w:tabs>
        <w:tab w:val="left" w:pos="1418"/>
        <w:tab w:val="left" w:pos="2835"/>
        <w:tab w:val="left" w:pos="4253"/>
        <w:tab w:val="left" w:pos="5670"/>
        <w:tab w:val="left" w:pos="7088"/>
        <w:tab w:val="left" w:pos="8505"/>
      </w:tabs>
      <w:spacing w:before="240" w:after="60" w:line="480" w:lineRule="auto"/>
      <w:jc w:val="center"/>
      <w:outlineLvl w:val="0"/>
    </w:pPr>
    <w:rPr>
      <w:rFonts w:ascii="Century Gothic" w:hAnsi="Century Gothic"/>
      <w:kern w:val="28"/>
      <w:sz w:val="26"/>
      <w:szCs w:val="20"/>
      <w:lang w:val="en-ZA"/>
    </w:rPr>
  </w:style>
  <w:style w:type="paragraph" w:styleId="Heading2">
    <w:name w:val="heading 2"/>
    <w:basedOn w:val="Normal"/>
    <w:next w:val="Normal"/>
    <w:link w:val="Heading2Char"/>
    <w:unhideWhenUsed/>
    <w:qFormat/>
    <w:rsid w:val="00090569"/>
    <w:pPr>
      <w:widowControl w:val="0"/>
      <w:tabs>
        <w:tab w:val="left" w:pos="1418"/>
        <w:tab w:val="left" w:pos="2835"/>
        <w:tab w:val="left" w:pos="4253"/>
        <w:tab w:val="left" w:pos="5670"/>
        <w:tab w:val="left" w:pos="7088"/>
        <w:tab w:val="left" w:pos="8505"/>
      </w:tabs>
      <w:spacing w:before="240" w:after="60" w:line="480" w:lineRule="auto"/>
      <w:jc w:val="both"/>
      <w:outlineLvl w:val="1"/>
    </w:pPr>
    <w:rPr>
      <w:rFonts w:ascii="Century Gothic" w:hAnsi="Century Gothic"/>
      <w:sz w:val="26"/>
      <w:szCs w:val="20"/>
      <w:lang w:val="en-ZA"/>
    </w:rPr>
  </w:style>
  <w:style w:type="paragraph" w:styleId="Heading3">
    <w:name w:val="heading 3"/>
    <w:next w:val="Normal"/>
    <w:link w:val="Heading3Char"/>
    <w:semiHidden/>
    <w:unhideWhenUsed/>
    <w:qFormat/>
    <w:rsid w:val="00090569"/>
    <w:pPr>
      <w:widowControl w:val="0"/>
      <w:tabs>
        <w:tab w:val="left" w:pos="1418"/>
        <w:tab w:val="left" w:pos="4253"/>
        <w:tab w:val="left" w:pos="5670"/>
        <w:tab w:val="left" w:pos="7088"/>
        <w:tab w:val="left" w:pos="8505"/>
      </w:tabs>
      <w:spacing w:before="240" w:after="60" w:line="480" w:lineRule="auto"/>
      <w:jc w:val="both"/>
      <w:outlineLvl w:val="2"/>
    </w:pPr>
    <w:rPr>
      <w:rFonts w:ascii="Century Gothic" w:eastAsia="Times New Roman" w:hAnsi="Century Gothic" w:cs="Times New Roman"/>
      <w:sz w:val="26"/>
      <w:szCs w:val="20"/>
    </w:rPr>
  </w:style>
  <w:style w:type="paragraph" w:styleId="Heading4">
    <w:name w:val="heading 4"/>
    <w:basedOn w:val="Normal"/>
    <w:next w:val="Normal"/>
    <w:link w:val="Heading4Char"/>
    <w:semiHidden/>
    <w:unhideWhenUsed/>
    <w:qFormat/>
    <w:rsid w:val="00090569"/>
    <w:pPr>
      <w:keepNext/>
      <w:widowControl w:val="0"/>
      <w:tabs>
        <w:tab w:val="right" w:pos="8640"/>
      </w:tabs>
      <w:spacing w:line="480" w:lineRule="auto"/>
      <w:jc w:val="center"/>
      <w:outlineLvl w:val="3"/>
    </w:pPr>
    <w:rPr>
      <w:rFonts w:ascii="Century Gothic" w:hAnsi="Century Gothic"/>
      <w:b/>
      <w:bCs/>
      <w:sz w:val="26"/>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569"/>
    <w:rPr>
      <w:rFonts w:ascii="Century Gothic" w:eastAsia="Times New Roman" w:hAnsi="Century Gothic" w:cs="Times New Roman"/>
      <w:kern w:val="28"/>
      <w:sz w:val="26"/>
      <w:szCs w:val="20"/>
    </w:rPr>
  </w:style>
  <w:style w:type="character" w:customStyle="1" w:styleId="Heading2Char">
    <w:name w:val="Heading 2 Char"/>
    <w:basedOn w:val="DefaultParagraphFont"/>
    <w:link w:val="Heading2"/>
    <w:rsid w:val="00090569"/>
    <w:rPr>
      <w:rFonts w:ascii="Century Gothic" w:eastAsia="Times New Roman" w:hAnsi="Century Gothic" w:cs="Times New Roman"/>
      <w:sz w:val="26"/>
      <w:szCs w:val="20"/>
    </w:rPr>
  </w:style>
  <w:style w:type="character" w:customStyle="1" w:styleId="Heading3Char">
    <w:name w:val="Heading 3 Char"/>
    <w:basedOn w:val="DefaultParagraphFont"/>
    <w:link w:val="Heading3"/>
    <w:semiHidden/>
    <w:rsid w:val="00090569"/>
    <w:rPr>
      <w:rFonts w:ascii="Century Gothic" w:eastAsia="Times New Roman" w:hAnsi="Century Gothic" w:cs="Times New Roman"/>
      <w:sz w:val="26"/>
      <w:szCs w:val="20"/>
    </w:rPr>
  </w:style>
  <w:style w:type="character" w:customStyle="1" w:styleId="Heading4Char">
    <w:name w:val="Heading 4 Char"/>
    <w:basedOn w:val="DefaultParagraphFont"/>
    <w:link w:val="Heading4"/>
    <w:semiHidden/>
    <w:rsid w:val="00090569"/>
    <w:rPr>
      <w:rFonts w:ascii="Century Gothic" w:eastAsia="Times New Roman" w:hAnsi="Century Gothic" w:cs="Times New Roman"/>
      <w:b/>
      <w:bCs/>
      <w:sz w:val="26"/>
      <w:szCs w:val="20"/>
    </w:rPr>
  </w:style>
  <w:style w:type="paragraph" w:styleId="ListParagraph">
    <w:name w:val="List Paragraph"/>
    <w:basedOn w:val="Normal"/>
    <w:uiPriority w:val="34"/>
    <w:qFormat/>
    <w:rsid w:val="0022450E"/>
    <w:pPr>
      <w:ind w:left="720"/>
      <w:contextualSpacing/>
    </w:pPr>
  </w:style>
  <w:style w:type="paragraph" w:styleId="BalloonText">
    <w:name w:val="Balloon Text"/>
    <w:basedOn w:val="Normal"/>
    <w:link w:val="BalloonTextChar"/>
    <w:uiPriority w:val="99"/>
    <w:semiHidden/>
    <w:unhideWhenUsed/>
    <w:rsid w:val="00272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80"/>
    <w:rPr>
      <w:rFonts w:ascii="Segoe UI" w:eastAsia="Times New Roman" w:hAnsi="Segoe UI" w:cs="Segoe UI"/>
      <w:sz w:val="18"/>
      <w:szCs w:val="18"/>
      <w:lang w:val="en-US"/>
    </w:rPr>
  </w:style>
  <w:style w:type="paragraph" w:styleId="Header">
    <w:name w:val="header"/>
    <w:basedOn w:val="Normal"/>
    <w:link w:val="HeaderChar"/>
    <w:uiPriority w:val="99"/>
    <w:unhideWhenUsed/>
    <w:rsid w:val="003015FA"/>
    <w:pPr>
      <w:tabs>
        <w:tab w:val="center" w:pos="4513"/>
        <w:tab w:val="right" w:pos="9026"/>
      </w:tabs>
    </w:pPr>
  </w:style>
  <w:style w:type="character" w:customStyle="1" w:styleId="HeaderChar">
    <w:name w:val="Header Char"/>
    <w:basedOn w:val="DefaultParagraphFont"/>
    <w:link w:val="Header"/>
    <w:uiPriority w:val="99"/>
    <w:rsid w:val="003015F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15FA"/>
    <w:pPr>
      <w:tabs>
        <w:tab w:val="center" w:pos="4513"/>
        <w:tab w:val="right" w:pos="9026"/>
      </w:tabs>
    </w:pPr>
  </w:style>
  <w:style w:type="character" w:customStyle="1" w:styleId="FooterChar">
    <w:name w:val="Footer Char"/>
    <w:basedOn w:val="DefaultParagraphFont"/>
    <w:link w:val="Footer"/>
    <w:uiPriority w:val="99"/>
    <w:rsid w:val="003015FA"/>
    <w:rPr>
      <w:rFonts w:ascii="Times New Roman" w:eastAsia="Times New Roman" w:hAnsi="Times New Roman" w:cs="Times New Roman"/>
      <w:sz w:val="24"/>
      <w:szCs w:val="24"/>
      <w:lang w:val="en-US"/>
    </w:rPr>
  </w:style>
  <w:style w:type="paragraph" w:styleId="BodyText">
    <w:name w:val="Body Text"/>
    <w:basedOn w:val="Normal"/>
    <w:link w:val="BodyTextChar"/>
    <w:rsid w:val="00FE70D9"/>
    <w:pPr>
      <w:tabs>
        <w:tab w:val="right" w:pos="8222"/>
      </w:tabs>
      <w:spacing w:line="480" w:lineRule="auto"/>
      <w:jc w:val="both"/>
    </w:pPr>
    <w:rPr>
      <w:rFonts w:ascii="Arial" w:hAnsi="Arial"/>
      <w:sz w:val="20"/>
      <w:szCs w:val="20"/>
    </w:rPr>
  </w:style>
  <w:style w:type="character" w:customStyle="1" w:styleId="BodyTextChar">
    <w:name w:val="Body Text Char"/>
    <w:basedOn w:val="DefaultParagraphFont"/>
    <w:link w:val="BodyText"/>
    <w:rsid w:val="00FE70D9"/>
    <w:rPr>
      <w:rFonts w:ascii="Arial" w:eastAsia="Times New Roman" w:hAnsi="Arial" w:cs="Times New Roman"/>
      <w:sz w:val="20"/>
      <w:szCs w:val="20"/>
      <w:lang w:val="en-US"/>
    </w:rPr>
  </w:style>
  <w:style w:type="character" w:styleId="Hyperlink">
    <w:name w:val="Hyperlink"/>
    <w:basedOn w:val="DefaultParagraphFont"/>
    <w:uiPriority w:val="99"/>
    <w:unhideWhenUsed/>
    <w:rsid w:val="00E32BCB"/>
    <w:rPr>
      <w:color w:val="0563C1" w:themeColor="hyperlink"/>
      <w:u w:val="single"/>
    </w:rPr>
  </w:style>
  <w:style w:type="character" w:styleId="FollowedHyperlink">
    <w:name w:val="FollowedHyperlink"/>
    <w:basedOn w:val="DefaultParagraphFont"/>
    <w:uiPriority w:val="99"/>
    <w:semiHidden/>
    <w:unhideWhenUsed/>
    <w:rsid w:val="009133C3"/>
    <w:rPr>
      <w:color w:val="954F72" w:themeColor="followedHyperlink"/>
      <w:u w:val="single"/>
    </w:rPr>
  </w:style>
  <w:style w:type="paragraph" w:styleId="FootnoteText">
    <w:name w:val="footnote text"/>
    <w:basedOn w:val="Normal"/>
    <w:link w:val="FootnoteTextChar"/>
    <w:unhideWhenUsed/>
    <w:rsid w:val="002C5111"/>
    <w:rPr>
      <w:sz w:val="20"/>
      <w:szCs w:val="20"/>
    </w:rPr>
  </w:style>
  <w:style w:type="character" w:customStyle="1" w:styleId="FootnoteTextChar">
    <w:name w:val="Footnote Text Char"/>
    <w:basedOn w:val="DefaultParagraphFont"/>
    <w:link w:val="FootnoteText"/>
    <w:rsid w:val="002C5111"/>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2C5111"/>
    <w:rPr>
      <w:vertAlign w:val="superscript"/>
    </w:rPr>
  </w:style>
  <w:style w:type="paragraph" w:styleId="NormalWeb">
    <w:name w:val="Normal (Web)"/>
    <w:basedOn w:val="Normal"/>
    <w:uiPriority w:val="99"/>
    <w:semiHidden/>
    <w:unhideWhenUsed/>
    <w:rsid w:val="00002CC8"/>
  </w:style>
  <w:style w:type="character" w:customStyle="1" w:styleId="UnresolvedMention">
    <w:name w:val="Unresolved Mention"/>
    <w:basedOn w:val="DefaultParagraphFont"/>
    <w:uiPriority w:val="99"/>
    <w:rsid w:val="00603FD0"/>
    <w:rPr>
      <w:color w:val="605E5C"/>
      <w:shd w:val="clear" w:color="auto" w:fill="E1DFDD"/>
    </w:rPr>
  </w:style>
  <w:style w:type="paragraph" w:customStyle="1" w:styleId="lrpara">
    <w:name w:val="lrpara"/>
    <w:basedOn w:val="Normal"/>
    <w:rsid w:val="00347C4D"/>
    <w:pPr>
      <w:spacing w:before="100" w:beforeAutospacing="1" w:after="100" w:afterAutospacing="1"/>
    </w:pPr>
    <w:rPr>
      <w:lang w:val="en-ZA" w:eastAsia="en-ZA"/>
    </w:rPr>
  </w:style>
  <w:style w:type="paragraph" w:customStyle="1" w:styleId="pageno">
    <w:name w:val="pageno"/>
    <w:basedOn w:val="Normal"/>
    <w:rsid w:val="00347C4D"/>
    <w:pPr>
      <w:spacing w:before="100" w:beforeAutospacing="1" w:after="100" w:afterAutospacing="1"/>
    </w:pPr>
    <w:rPr>
      <w:lang w:val="en-ZA" w:eastAsia="en-ZA"/>
    </w:rPr>
  </w:style>
  <w:style w:type="paragraph" w:customStyle="1" w:styleId="lrjudgecont">
    <w:name w:val="lrjudgecont"/>
    <w:basedOn w:val="Normal"/>
    <w:rsid w:val="00347C4D"/>
    <w:pPr>
      <w:spacing w:before="100" w:beforeAutospacing="1" w:after="100" w:afterAutospacing="1"/>
    </w:pPr>
    <w:rPr>
      <w:lang w:val="en-ZA" w:eastAsia="en-ZA"/>
    </w:rPr>
  </w:style>
  <w:style w:type="character" w:customStyle="1" w:styleId="mc">
    <w:name w:val="mc"/>
    <w:basedOn w:val="DefaultParagraphFont"/>
    <w:rsid w:val="00347C4D"/>
  </w:style>
  <w:style w:type="paragraph" w:styleId="PlainText">
    <w:name w:val="Plain Text"/>
    <w:basedOn w:val="Normal"/>
    <w:link w:val="PlainTextChar"/>
    <w:uiPriority w:val="99"/>
    <w:unhideWhenUsed/>
    <w:rsid w:val="00A2341C"/>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rsid w:val="00A2341C"/>
    <w:rPr>
      <w:rFonts w:ascii="Calibri" w:hAnsi="Calibri"/>
      <w:szCs w:val="21"/>
    </w:rPr>
  </w:style>
  <w:style w:type="paragraph" w:customStyle="1" w:styleId="lrquote">
    <w:name w:val="lrquote"/>
    <w:basedOn w:val="Normal"/>
    <w:rsid w:val="00B61FB5"/>
    <w:pPr>
      <w:spacing w:before="100" w:beforeAutospacing="1" w:after="100" w:afterAutospacing="1"/>
    </w:pPr>
    <w:rPr>
      <w:lang w:val="en-ZA" w:eastAsia="en-ZA"/>
    </w:rPr>
  </w:style>
  <w:style w:type="paragraph" w:customStyle="1" w:styleId="western">
    <w:name w:val="western"/>
    <w:basedOn w:val="Normal"/>
    <w:rsid w:val="004A6C38"/>
    <w:pPr>
      <w:spacing w:before="100" w:beforeAutospacing="1" w:after="100" w:afterAutospacing="1"/>
    </w:pPr>
    <w:rPr>
      <w:lang w:val="en-ZA" w:eastAsia="en-ZA"/>
    </w:rPr>
  </w:style>
  <w:style w:type="character" w:customStyle="1" w:styleId="apple-converted-space">
    <w:name w:val="apple-converted-space"/>
    <w:basedOn w:val="DefaultParagraphFont"/>
    <w:rsid w:val="00E36835"/>
  </w:style>
  <w:style w:type="paragraph" w:customStyle="1" w:styleId="XClause1Head">
    <w:name w:val="XClause1Head"/>
    <w:basedOn w:val="Normal"/>
    <w:link w:val="XClause1HeadChar"/>
    <w:rsid w:val="00E36835"/>
    <w:pPr>
      <w:numPr>
        <w:numId w:val="37"/>
      </w:numPr>
      <w:spacing w:after="240" w:line="360" w:lineRule="atLeast"/>
      <w:jc w:val="both"/>
    </w:pPr>
    <w:rPr>
      <w:rFonts w:ascii="Arial" w:hAnsi="Arial"/>
      <w:sz w:val="20"/>
      <w:szCs w:val="20"/>
      <w:lang w:val="en-GB" w:eastAsia="en-GB"/>
    </w:rPr>
  </w:style>
  <w:style w:type="paragraph" w:customStyle="1" w:styleId="XClause2Sub">
    <w:name w:val="XClause2Sub"/>
    <w:basedOn w:val="Normal"/>
    <w:rsid w:val="00E36835"/>
    <w:pPr>
      <w:numPr>
        <w:ilvl w:val="1"/>
        <w:numId w:val="37"/>
      </w:numPr>
      <w:spacing w:after="240" w:line="360" w:lineRule="atLeast"/>
      <w:jc w:val="both"/>
    </w:pPr>
    <w:rPr>
      <w:rFonts w:ascii="Arial" w:hAnsi="Arial"/>
      <w:sz w:val="20"/>
      <w:szCs w:val="20"/>
      <w:lang w:val="en-GB" w:eastAsia="en-GB"/>
    </w:rPr>
  </w:style>
  <w:style w:type="paragraph" w:customStyle="1" w:styleId="XClause3Sub">
    <w:name w:val="XClause3Sub"/>
    <w:basedOn w:val="Normal"/>
    <w:rsid w:val="00E36835"/>
    <w:pPr>
      <w:numPr>
        <w:ilvl w:val="2"/>
        <w:numId w:val="37"/>
      </w:numPr>
      <w:spacing w:after="240" w:line="360" w:lineRule="atLeast"/>
      <w:jc w:val="both"/>
    </w:pPr>
    <w:rPr>
      <w:rFonts w:ascii="Arial" w:hAnsi="Arial"/>
      <w:sz w:val="20"/>
      <w:szCs w:val="20"/>
      <w:lang w:val="en-GB" w:eastAsia="en-GB"/>
    </w:rPr>
  </w:style>
  <w:style w:type="paragraph" w:customStyle="1" w:styleId="XClause4Sub">
    <w:name w:val="XClause4Sub"/>
    <w:basedOn w:val="Normal"/>
    <w:rsid w:val="00E36835"/>
    <w:pPr>
      <w:numPr>
        <w:ilvl w:val="3"/>
        <w:numId w:val="37"/>
      </w:numPr>
      <w:spacing w:after="240" w:line="360" w:lineRule="atLeast"/>
      <w:jc w:val="both"/>
    </w:pPr>
    <w:rPr>
      <w:rFonts w:ascii="Arial" w:hAnsi="Arial"/>
      <w:sz w:val="20"/>
      <w:szCs w:val="20"/>
      <w:lang w:val="en-GB" w:eastAsia="en-GB"/>
    </w:rPr>
  </w:style>
  <w:style w:type="paragraph" w:customStyle="1" w:styleId="XClause5Sub">
    <w:name w:val="XClause5Sub"/>
    <w:basedOn w:val="Normal"/>
    <w:rsid w:val="00E36835"/>
    <w:pPr>
      <w:numPr>
        <w:ilvl w:val="4"/>
        <w:numId w:val="37"/>
      </w:numPr>
      <w:spacing w:after="240" w:line="360" w:lineRule="atLeast"/>
      <w:jc w:val="both"/>
    </w:pPr>
    <w:rPr>
      <w:rFonts w:ascii="Arial" w:hAnsi="Arial"/>
      <w:sz w:val="20"/>
      <w:szCs w:val="20"/>
      <w:lang w:val="en-GB" w:eastAsia="en-GB"/>
    </w:rPr>
  </w:style>
  <w:style w:type="paragraph" w:customStyle="1" w:styleId="XClause6Sub">
    <w:name w:val="XClause6Sub"/>
    <w:basedOn w:val="Normal"/>
    <w:rsid w:val="00E36835"/>
    <w:pPr>
      <w:numPr>
        <w:ilvl w:val="5"/>
        <w:numId w:val="37"/>
      </w:numPr>
      <w:spacing w:after="240" w:line="360" w:lineRule="atLeast"/>
      <w:jc w:val="both"/>
    </w:pPr>
    <w:rPr>
      <w:rFonts w:ascii="Arial" w:hAnsi="Arial"/>
      <w:sz w:val="20"/>
      <w:szCs w:val="20"/>
      <w:lang w:val="en-GB" w:eastAsia="en-GB"/>
    </w:rPr>
  </w:style>
  <w:style w:type="paragraph" w:customStyle="1" w:styleId="XClause7Sub">
    <w:name w:val="XClause7Sub"/>
    <w:basedOn w:val="Normal"/>
    <w:rsid w:val="00E36835"/>
    <w:pPr>
      <w:numPr>
        <w:ilvl w:val="6"/>
        <w:numId w:val="37"/>
      </w:numPr>
      <w:spacing w:after="240" w:line="360" w:lineRule="atLeast"/>
      <w:jc w:val="both"/>
    </w:pPr>
    <w:rPr>
      <w:rFonts w:ascii="Arial" w:hAnsi="Arial"/>
      <w:sz w:val="20"/>
      <w:szCs w:val="20"/>
      <w:lang w:val="en-GB" w:eastAsia="en-GB"/>
    </w:rPr>
  </w:style>
  <w:style w:type="paragraph" w:customStyle="1" w:styleId="XClause8Sub">
    <w:name w:val="XClause8Sub"/>
    <w:basedOn w:val="Normal"/>
    <w:rsid w:val="00E36835"/>
    <w:pPr>
      <w:numPr>
        <w:ilvl w:val="7"/>
        <w:numId w:val="37"/>
      </w:numPr>
      <w:spacing w:after="240" w:line="360" w:lineRule="atLeast"/>
      <w:jc w:val="both"/>
    </w:pPr>
    <w:rPr>
      <w:rFonts w:ascii="Arial" w:hAnsi="Arial"/>
      <w:sz w:val="20"/>
      <w:szCs w:val="20"/>
      <w:lang w:val="en-GB" w:eastAsia="en-GB"/>
    </w:rPr>
  </w:style>
  <w:style w:type="paragraph" w:customStyle="1" w:styleId="XClause9Sub">
    <w:name w:val="XClause9Sub"/>
    <w:basedOn w:val="Normal"/>
    <w:rsid w:val="00E36835"/>
    <w:pPr>
      <w:numPr>
        <w:ilvl w:val="8"/>
        <w:numId w:val="37"/>
      </w:numPr>
      <w:spacing w:after="240" w:line="360" w:lineRule="atLeast"/>
      <w:jc w:val="both"/>
    </w:pPr>
    <w:rPr>
      <w:rFonts w:ascii="Arial" w:hAnsi="Arial"/>
      <w:sz w:val="20"/>
      <w:szCs w:val="20"/>
      <w:lang w:val="en-GB" w:eastAsia="en-GB"/>
    </w:rPr>
  </w:style>
  <w:style w:type="character" w:customStyle="1" w:styleId="XClause1HeadChar">
    <w:name w:val="XClause1Head Char"/>
    <w:basedOn w:val="DefaultParagraphFont"/>
    <w:link w:val="XClause1Head"/>
    <w:rsid w:val="00E36835"/>
    <w:rPr>
      <w:rFonts w:ascii="Arial" w:eastAsia="Times New Roman" w:hAnsi="Arial" w:cs="Times New Roman"/>
      <w:sz w:val="20"/>
      <w:szCs w:val="20"/>
      <w:lang w:val="en-GB" w:eastAsia="en-GB"/>
    </w:rPr>
  </w:style>
  <w:style w:type="character" w:styleId="Emphasis">
    <w:name w:val="Emphasis"/>
    <w:uiPriority w:val="20"/>
    <w:qFormat/>
    <w:rsid w:val="005E19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189">
      <w:bodyDiv w:val="1"/>
      <w:marLeft w:val="0"/>
      <w:marRight w:val="0"/>
      <w:marTop w:val="0"/>
      <w:marBottom w:val="0"/>
      <w:divBdr>
        <w:top w:val="none" w:sz="0" w:space="0" w:color="auto"/>
        <w:left w:val="none" w:sz="0" w:space="0" w:color="auto"/>
        <w:bottom w:val="none" w:sz="0" w:space="0" w:color="auto"/>
        <w:right w:val="none" w:sz="0" w:space="0" w:color="auto"/>
      </w:divBdr>
    </w:div>
    <w:div w:id="20054303">
      <w:bodyDiv w:val="1"/>
      <w:marLeft w:val="0"/>
      <w:marRight w:val="0"/>
      <w:marTop w:val="0"/>
      <w:marBottom w:val="0"/>
      <w:divBdr>
        <w:top w:val="none" w:sz="0" w:space="0" w:color="auto"/>
        <w:left w:val="none" w:sz="0" w:space="0" w:color="auto"/>
        <w:bottom w:val="none" w:sz="0" w:space="0" w:color="auto"/>
        <w:right w:val="none" w:sz="0" w:space="0" w:color="auto"/>
      </w:divBdr>
    </w:div>
    <w:div w:id="184174585">
      <w:bodyDiv w:val="1"/>
      <w:marLeft w:val="0"/>
      <w:marRight w:val="0"/>
      <w:marTop w:val="0"/>
      <w:marBottom w:val="0"/>
      <w:divBdr>
        <w:top w:val="none" w:sz="0" w:space="0" w:color="auto"/>
        <w:left w:val="none" w:sz="0" w:space="0" w:color="auto"/>
        <w:bottom w:val="none" w:sz="0" w:space="0" w:color="auto"/>
        <w:right w:val="none" w:sz="0" w:space="0" w:color="auto"/>
      </w:divBdr>
    </w:div>
    <w:div w:id="185488650">
      <w:bodyDiv w:val="1"/>
      <w:marLeft w:val="0"/>
      <w:marRight w:val="0"/>
      <w:marTop w:val="0"/>
      <w:marBottom w:val="0"/>
      <w:divBdr>
        <w:top w:val="none" w:sz="0" w:space="0" w:color="auto"/>
        <w:left w:val="none" w:sz="0" w:space="0" w:color="auto"/>
        <w:bottom w:val="none" w:sz="0" w:space="0" w:color="auto"/>
        <w:right w:val="none" w:sz="0" w:space="0" w:color="auto"/>
      </w:divBdr>
      <w:divsChild>
        <w:div w:id="1140225414">
          <w:marLeft w:val="0"/>
          <w:marRight w:val="0"/>
          <w:marTop w:val="120"/>
          <w:marBottom w:val="0"/>
          <w:divBdr>
            <w:top w:val="none" w:sz="0" w:space="0" w:color="auto"/>
            <w:left w:val="none" w:sz="0" w:space="0" w:color="auto"/>
            <w:bottom w:val="none" w:sz="0" w:space="0" w:color="auto"/>
            <w:right w:val="none" w:sz="0" w:space="0" w:color="auto"/>
          </w:divBdr>
        </w:div>
        <w:div w:id="1086733798">
          <w:marLeft w:val="0"/>
          <w:marRight w:val="0"/>
          <w:marTop w:val="120"/>
          <w:marBottom w:val="0"/>
          <w:divBdr>
            <w:top w:val="none" w:sz="0" w:space="0" w:color="auto"/>
            <w:left w:val="none" w:sz="0" w:space="0" w:color="auto"/>
            <w:bottom w:val="none" w:sz="0" w:space="0" w:color="auto"/>
            <w:right w:val="none" w:sz="0" w:space="0" w:color="auto"/>
          </w:divBdr>
        </w:div>
        <w:div w:id="1147741694">
          <w:marLeft w:val="0"/>
          <w:marRight w:val="0"/>
          <w:marTop w:val="60"/>
          <w:marBottom w:val="0"/>
          <w:divBdr>
            <w:top w:val="none" w:sz="0" w:space="0" w:color="auto"/>
            <w:left w:val="none" w:sz="0" w:space="0" w:color="auto"/>
            <w:bottom w:val="none" w:sz="0" w:space="0" w:color="auto"/>
            <w:right w:val="none" w:sz="0" w:space="0" w:color="auto"/>
          </w:divBdr>
        </w:div>
        <w:div w:id="403645643">
          <w:marLeft w:val="0"/>
          <w:marRight w:val="0"/>
          <w:marTop w:val="60"/>
          <w:marBottom w:val="0"/>
          <w:divBdr>
            <w:top w:val="none" w:sz="0" w:space="0" w:color="auto"/>
            <w:left w:val="none" w:sz="0" w:space="0" w:color="auto"/>
            <w:bottom w:val="none" w:sz="0" w:space="0" w:color="auto"/>
            <w:right w:val="none" w:sz="0" w:space="0" w:color="auto"/>
          </w:divBdr>
        </w:div>
        <w:div w:id="579339181">
          <w:marLeft w:val="0"/>
          <w:marRight w:val="0"/>
          <w:marTop w:val="60"/>
          <w:marBottom w:val="0"/>
          <w:divBdr>
            <w:top w:val="none" w:sz="0" w:space="0" w:color="auto"/>
            <w:left w:val="none" w:sz="0" w:space="0" w:color="auto"/>
            <w:bottom w:val="none" w:sz="0" w:space="0" w:color="auto"/>
            <w:right w:val="none" w:sz="0" w:space="0" w:color="auto"/>
          </w:divBdr>
        </w:div>
      </w:divsChild>
    </w:div>
    <w:div w:id="221604525">
      <w:bodyDiv w:val="1"/>
      <w:marLeft w:val="0"/>
      <w:marRight w:val="0"/>
      <w:marTop w:val="0"/>
      <w:marBottom w:val="0"/>
      <w:divBdr>
        <w:top w:val="none" w:sz="0" w:space="0" w:color="auto"/>
        <w:left w:val="none" w:sz="0" w:space="0" w:color="auto"/>
        <w:bottom w:val="none" w:sz="0" w:space="0" w:color="auto"/>
        <w:right w:val="none" w:sz="0" w:space="0" w:color="auto"/>
      </w:divBdr>
    </w:div>
    <w:div w:id="236597544">
      <w:bodyDiv w:val="1"/>
      <w:marLeft w:val="0"/>
      <w:marRight w:val="0"/>
      <w:marTop w:val="0"/>
      <w:marBottom w:val="0"/>
      <w:divBdr>
        <w:top w:val="none" w:sz="0" w:space="0" w:color="auto"/>
        <w:left w:val="none" w:sz="0" w:space="0" w:color="auto"/>
        <w:bottom w:val="none" w:sz="0" w:space="0" w:color="auto"/>
        <w:right w:val="none" w:sz="0" w:space="0" w:color="auto"/>
      </w:divBdr>
    </w:div>
    <w:div w:id="396514648">
      <w:bodyDiv w:val="1"/>
      <w:marLeft w:val="0"/>
      <w:marRight w:val="0"/>
      <w:marTop w:val="0"/>
      <w:marBottom w:val="0"/>
      <w:divBdr>
        <w:top w:val="none" w:sz="0" w:space="0" w:color="auto"/>
        <w:left w:val="none" w:sz="0" w:space="0" w:color="auto"/>
        <w:bottom w:val="none" w:sz="0" w:space="0" w:color="auto"/>
        <w:right w:val="none" w:sz="0" w:space="0" w:color="auto"/>
      </w:divBdr>
    </w:div>
    <w:div w:id="448739037">
      <w:bodyDiv w:val="1"/>
      <w:marLeft w:val="0"/>
      <w:marRight w:val="0"/>
      <w:marTop w:val="0"/>
      <w:marBottom w:val="0"/>
      <w:divBdr>
        <w:top w:val="none" w:sz="0" w:space="0" w:color="auto"/>
        <w:left w:val="none" w:sz="0" w:space="0" w:color="auto"/>
        <w:bottom w:val="none" w:sz="0" w:space="0" w:color="auto"/>
        <w:right w:val="none" w:sz="0" w:space="0" w:color="auto"/>
      </w:divBdr>
    </w:div>
    <w:div w:id="484668162">
      <w:bodyDiv w:val="1"/>
      <w:marLeft w:val="0"/>
      <w:marRight w:val="0"/>
      <w:marTop w:val="0"/>
      <w:marBottom w:val="0"/>
      <w:divBdr>
        <w:top w:val="none" w:sz="0" w:space="0" w:color="auto"/>
        <w:left w:val="none" w:sz="0" w:space="0" w:color="auto"/>
        <w:bottom w:val="none" w:sz="0" w:space="0" w:color="auto"/>
        <w:right w:val="none" w:sz="0" w:space="0" w:color="auto"/>
      </w:divBdr>
    </w:div>
    <w:div w:id="550774161">
      <w:bodyDiv w:val="1"/>
      <w:marLeft w:val="0"/>
      <w:marRight w:val="0"/>
      <w:marTop w:val="0"/>
      <w:marBottom w:val="0"/>
      <w:divBdr>
        <w:top w:val="none" w:sz="0" w:space="0" w:color="auto"/>
        <w:left w:val="none" w:sz="0" w:space="0" w:color="auto"/>
        <w:bottom w:val="none" w:sz="0" w:space="0" w:color="auto"/>
        <w:right w:val="none" w:sz="0" w:space="0" w:color="auto"/>
      </w:divBdr>
    </w:div>
    <w:div w:id="642546992">
      <w:bodyDiv w:val="1"/>
      <w:marLeft w:val="0"/>
      <w:marRight w:val="0"/>
      <w:marTop w:val="0"/>
      <w:marBottom w:val="0"/>
      <w:divBdr>
        <w:top w:val="none" w:sz="0" w:space="0" w:color="auto"/>
        <w:left w:val="none" w:sz="0" w:space="0" w:color="auto"/>
        <w:bottom w:val="none" w:sz="0" w:space="0" w:color="auto"/>
        <w:right w:val="none" w:sz="0" w:space="0" w:color="auto"/>
      </w:divBdr>
    </w:div>
    <w:div w:id="653290509">
      <w:bodyDiv w:val="1"/>
      <w:marLeft w:val="0"/>
      <w:marRight w:val="0"/>
      <w:marTop w:val="0"/>
      <w:marBottom w:val="0"/>
      <w:divBdr>
        <w:top w:val="none" w:sz="0" w:space="0" w:color="auto"/>
        <w:left w:val="none" w:sz="0" w:space="0" w:color="auto"/>
        <w:bottom w:val="none" w:sz="0" w:space="0" w:color="auto"/>
        <w:right w:val="none" w:sz="0" w:space="0" w:color="auto"/>
      </w:divBdr>
    </w:div>
    <w:div w:id="745954124">
      <w:bodyDiv w:val="1"/>
      <w:marLeft w:val="0"/>
      <w:marRight w:val="0"/>
      <w:marTop w:val="0"/>
      <w:marBottom w:val="0"/>
      <w:divBdr>
        <w:top w:val="none" w:sz="0" w:space="0" w:color="auto"/>
        <w:left w:val="none" w:sz="0" w:space="0" w:color="auto"/>
        <w:bottom w:val="none" w:sz="0" w:space="0" w:color="auto"/>
        <w:right w:val="none" w:sz="0" w:space="0" w:color="auto"/>
      </w:divBdr>
    </w:div>
    <w:div w:id="823357267">
      <w:bodyDiv w:val="1"/>
      <w:marLeft w:val="0"/>
      <w:marRight w:val="0"/>
      <w:marTop w:val="0"/>
      <w:marBottom w:val="0"/>
      <w:divBdr>
        <w:top w:val="none" w:sz="0" w:space="0" w:color="auto"/>
        <w:left w:val="none" w:sz="0" w:space="0" w:color="auto"/>
        <w:bottom w:val="none" w:sz="0" w:space="0" w:color="auto"/>
        <w:right w:val="none" w:sz="0" w:space="0" w:color="auto"/>
      </w:divBdr>
    </w:div>
    <w:div w:id="855968889">
      <w:bodyDiv w:val="1"/>
      <w:marLeft w:val="0"/>
      <w:marRight w:val="0"/>
      <w:marTop w:val="0"/>
      <w:marBottom w:val="0"/>
      <w:divBdr>
        <w:top w:val="none" w:sz="0" w:space="0" w:color="auto"/>
        <w:left w:val="none" w:sz="0" w:space="0" w:color="auto"/>
        <w:bottom w:val="none" w:sz="0" w:space="0" w:color="auto"/>
        <w:right w:val="none" w:sz="0" w:space="0" w:color="auto"/>
      </w:divBdr>
    </w:div>
    <w:div w:id="940799562">
      <w:bodyDiv w:val="1"/>
      <w:marLeft w:val="0"/>
      <w:marRight w:val="0"/>
      <w:marTop w:val="0"/>
      <w:marBottom w:val="0"/>
      <w:divBdr>
        <w:top w:val="none" w:sz="0" w:space="0" w:color="auto"/>
        <w:left w:val="none" w:sz="0" w:space="0" w:color="auto"/>
        <w:bottom w:val="none" w:sz="0" w:space="0" w:color="auto"/>
        <w:right w:val="none" w:sz="0" w:space="0" w:color="auto"/>
      </w:divBdr>
    </w:div>
    <w:div w:id="968122291">
      <w:bodyDiv w:val="1"/>
      <w:marLeft w:val="0"/>
      <w:marRight w:val="0"/>
      <w:marTop w:val="0"/>
      <w:marBottom w:val="0"/>
      <w:divBdr>
        <w:top w:val="none" w:sz="0" w:space="0" w:color="auto"/>
        <w:left w:val="none" w:sz="0" w:space="0" w:color="auto"/>
        <w:bottom w:val="none" w:sz="0" w:space="0" w:color="auto"/>
        <w:right w:val="none" w:sz="0" w:space="0" w:color="auto"/>
      </w:divBdr>
    </w:div>
    <w:div w:id="1023553267">
      <w:bodyDiv w:val="1"/>
      <w:marLeft w:val="0"/>
      <w:marRight w:val="0"/>
      <w:marTop w:val="0"/>
      <w:marBottom w:val="0"/>
      <w:divBdr>
        <w:top w:val="none" w:sz="0" w:space="0" w:color="auto"/>
        <w:left w:val="none" w:sz="0" w:space="0" w:color="auto"/>
        <w:bottom w:val="none" w:sz="0" w:space="0" w:color="auto"/>
        <w:right w:val="none" w:sz="0" w:space="0" w:color="auto"/>
      </w:divBdr>
    </w:div>
    <w:div w:id="1033534026">
      <w:bodyDiv w:val="1"/>
      <w:marLeft w:val="0"/>
      <w:marRight w:val="0"/>
      <w:marTop w:val="0"/>
      <w:marBottom w:val="0"/>
      <w:divBdr>
        <w:top w:val="none" w:sz="0" w:space="0" w:color="auto"/>
        <w:left w:val="none" w:sz="0" w:space="0" w:color="auto"/>
        <w:bottom w:val="none" w:sz="0" w:space="0" w:color="auto"/>
        <w:right w:val="none" w:sz="0" w:space="0" w:color="auto"/>
      </w:divBdr>
      <w:divsChild>
        <w:div w:id="1368720035">
          <w:marLeft w:val="0"/>
          <w:marRight w:val="0"/>
          <w:marTop w:val="120"/>
          <w:marBottom w:val="0"/>
          <w:divBdr>
            <w:top w:val="none" w:sz="0" w:space="0" w:color="auto"/>
            <w:left w:val="none" w:sz="0" w:space="0" w:color="auto"/>
            <w:bottom w:val="none" w:sz="0" w:space="0" w:color="auto"/>
            <w:right w:val="none" w:sz="0" w:space="0" w:color="auto"/>
          </w:divBdr>
        </w:div>
        <w:div w:id="678118146">
          <w:marLeft w:val="1134"/>
          <w:marRight w:val="0"/>
          <w:marTop w:val="60"/>
          <w:marBottom w:val="0"/>
          <w:divBdr>
            <w:top w:val="none" w:sz="0" w:space="0" w:color="auto"/>
            <w:left w:val="none" w:sz="0" w:space="0" w:color="auto"/>
            <w:bottom w:val="none" w:sz="0" w:space="0" w:color="auto"/>
            <w:right w:val="none" w:sz="0" w:space="0" w:color="auto"/>
          </w:divBdr>
        </w:div>
        <w:div w:id="1284968317">
          <w:marLeft w:val="1134"/>
          <w:marRight w:val="0"/>
          <w:marTop w:val="60"/>
          <w:marBottom w:val="0"/>
          <w:divBdr>
            <w:top w:val="none" w:sz="0" w:space="0" w:color="auto"/>
            <w:left w:val="none" w:sz="0" w:space="0" w:color="auto"/>
            <w:bottom w:val="none" w:sz="0" w:space="0" w:color="auto"/>
            <w:right w:val="none" w:sz="0" w:space="0" w:color="auto"/>
          </w:divBdr>
        </w:div>
        <w:div w:id="745148635">
          <w:marLeft w:val="1134"/>
          <w:marRight w:val="0"/>
          <w:marTop w:val="60"/>
          <w:marBottom w:val="0"/>
          <w:divBdr>
            <w:top w:val="none" w:sz="0" w:space="0" w:color="auto"/>
            <w:left w:val="none" w:sz="0" w:space="0" w:color="auto"/>
            <w:bottom w:val="none" w:sz="0" w:space="0" w:color="auto"/>
            <w:right w:val="none" w:sz="0" w:space="0" w:color="auto"/>
          </w:divBdr>
        </w:div>
        <w:div w:id="1059211217">
          <w:marLeft w:val="0"/>
          <w:marRight w:val="0"/>
          <w:marTop w:val="120"/>
          <w:marBottom w:val="0"/>
          <w:divBdr>
            <w:top w:val="none" w:sz="0" w:space="0" w:color="auto"/>
            <w:left w:val="none" w:sz="0" w:space="0" w:color="auto"/>
            <w:bottom w:val="none" w:sz="0" w:space="0" w:color="auto"/>
            <w:right w:val="none" w:sz="0" w:space="0" w:color="auto"/>
          </w:divBdr>
        </w:div>
      </w:divsChild>
    </w:div>
    <w:div w:id="1038696879">
      <w:bodyDiv w:val="1"/>
      <w:marLeft w:val="0"/>
      <w:marRight w:val="0"/>
      <w:marTop w:val="0"/>
      <w:marBottom w:val="0"/>
      <w:divBdr>
        <w:top w:val="none" w:sz="0" w:space="0" w:color="auto"/>
        <w:left w:val="none" w:sz="0" w:space="0" w:color="auto"/>
        <w:bottom w:val="none" w:sz="0" w:space="0" w:color="auto"/>
        <w:right w:val="none" w:sz="0" w:space="0" w:color="auto"/>
      </w:divBdr>
    </w:div>
    <w:div w:id="1040209698">
      <w:bodyDiv w:val="1"/>
      <w:marLeft w:val="0"/>
      <w:marRight w:val="0"/>
      <w:marTop w:val="0"/>
      <w:marBottom w:val="0"/>
      <w:divBdr>
        <w:top w:val="none" w:sz="0" w:space="0" w:color="auto"/>
        <w:left w:val="none" w:sz="0" w:space="0" w:color="auto"/>
        <w:bottom w:val="none" w:sz="0" w:space="0" w:color="auto"/>
        <w:right w:val="none" w:sz="0" w:space="0" w:color="auto"/>
      </w:divBdr>
    </w:div>
    <w:div w:id="1151747286">
      <w:bodyDiv w:val="1"/>
      <w:marLeft w:val="0"/>
      <w:marRight w:val="0"/>
      <w:marTop w:val="0"/>
      <w:marBottom w:val="0"/>
      <w:divBdr>
        <w:top w:val="none" w:sz="0" w:space="0" w:color="auto"/>
        <w:left w:val="none" w:sz="0" w:space="0" w:color="auto"/>
        <w:bottom w:val="none" w:sz="0" w:space="0" w:color="auto"/>
        <w:right w:val="none" w:sz="0" w:space="0" w:color="auto"/>
      </w:divBdr>
    </w:div>
    <w:div w:id="1223371181">
      <w:bodyDiv w:val="1"/>
      <w:marLeft w:val="0"/>
      <w:marRight w:val="0"/>
      <w:marTop w:val="0"/>
      <w:marBottom w:val="0"/>
      <w:divBdr>
        <w:top w:val="none" w:sz="0" w:space="0" w:color="auto"/>
        <w:left w:val="none" w:sz="0" w:space="0" w:color="auto"/>
        <w:bottom w:val="none" w:sz="0" w:space="0" w:color="auto"/>
        <w:right w:val="none" w:sz="0" w:space="0" w:color="auto"/>
      </w:divBdr>
    </w:div>
    <w:div w:id="1306549278">
      <w:bodyDiv w:val="1"/>
      <w:marLeft w:val="0"/>
      <w:marRight w:val="0"/>
      <w:marTop w:val="0"/>
      <w:marBottom w:val="0"/>
      <w:divBdr>
        <w:top w:val="none" w:sz="0" w:space="0" w:color="auto"/>
        <w:left w:val="none" w:sz="0" w:space="0" w:color="auto"/>
        <w:bottom w:val="none" w:sz="0" w:space="0" w:color="auto"/>
        <w:right w:val="none" w:sz="0" w:space="0" w:color="auto"/>
      </w:divBdr>
    </w:div>
    <w:div w:id="1323436928">
      <w:bodyDiv w:val="1"/>
      <w:marLeft w:val="0"/>
      <w:marRight w:val="0"/>
      <w:marTop w:val="0"/>
      <w:marBottom w:val="0"/>
      <w:divBdr>
        <w:top w:val="none" w:sz="0" w:space="0" w:color="auto"/>
        <w:left w:val="none" w:sz="0" w:space="0" w:color="auto"/>
        <w:bottom w:val="none" w:sz="0" w:space="0" w:color="auto"/>
        <w:right w:val="none" w:sz="0" w:space="0" w:color="auto"/>
      </w:divBdr>
    </w:div>
    <w:div w:id="1346903694">
      <w:bodyDiv w:val="1"/>
      <w:marLeft w:val="0"/>
      <w:marRight w:val="0"/>
      <w:marTop w:val="0"/>
      <w:marBottom w:val="0"/>
      <w:divBdr>
        <w:top w:val="none" w:sz="0" w:space="0" w:color="auto"/>
        <w:left w:val="none" w:sz="0" w:space="0" w:color="auto"/>
        <w:bottom w:val="none" w:sz="0" w:space="0" w:color="auto"/>
        <w:right w:val="none" w:sz="0" w:space="0" w:color="auto"/>
      </w:divBdr>
    </w:div>
    <w:div w:id="1407142045">
      <w:bodyDiv w:val="1"/>
      <w:marLeft w:val="0"/>
      <w:marRight w:val="0"/>
      <w:marTop w:val="0"/>
      <w:marBottom w:val="0"/>
      <w:divBdr>
        <w:top w:val="none" w:sz="0" w:space="0" w:color="auto"/>
        <w:left w:val="none" w:sz="0" w:space="0" w:color="auto"/>
        <w:bottom w:val="none" w:sz="0" w:space="0" w:color="auto"/>
        <w:right w:val="none" w:sz="0" w:space="0" w:color="auto"/>
      </w:divBdr>
      <w:divsChild>
        <w:div w:id="1548909325">
          <w:marLeft w:val="0"/>
          <w:marRight w:val="0"/>
          <w:marTop w:val="60"/>
          <w:marBottom w:val="0"/>
          <w:divBdr>
            <w:top w:val="none" w:sz="0" w:space="0" w:color="auto"/>
            <w:left w:val="none" w:sz="0" w:space="0" w:color="auto"/>
            <w:bottom w:val="none" w:sz="0" w:space="0" w:color="auto"/>
            <w:right w:val="none" w:sz="0" w:space="0" w:color="auto"/>
          </w:divBdr>
        </w:div>
      </w:divsChild>
    </w:div>
    <w:div w:id="1424448535">
      <w:bodyDiv w:val="1"/>
      <w:marLeft w:val="0"/>
      <w:marRight w:val="0"/>
      <w:marTop w:val="0"/>
      <w:marBottom w:val="0"/>
      <w:divBdr>
        <w:top w:val="none" w:sz="0" w:space="0" w:color="auto"/>
        <w:left w:val="none" w:sz="0" w:space="0" w:color="auto"/>
        <w:bottom w:val="none" w:sz="0" w:space="0" w:color="auto"/>
        <w:right w:val="none" w:sz="0" w:space="0" w:color="auto"/>
      </w:divBdr>
    </w:div>
    <w:div w:id="1456749406">
      <w:bodyDiv w:val="1"/>
      <w:marLeft w:val="0"/>
      <w:marRight w:val="0"/>
      <w:marTop w:val="0"/>
      <w:marBottom w:val="0"/>
      <w:divBdr>
        <w:top w:val="none" w:sz="0" w:space="0" w:color="auto"/>
        <w:left w:val="none" w:sz="0" w:space="0" w:color="auto"/>
        <w:bottom w:val="none" w:sz="0" w:space="0" w:color="auto"/>
        <w:right w:val="none" w:sz="0" w:space="0" w:color="auto"/>
      </w:divBdr>
    </w:div>
    <w:div w:id="1590309143">
      <w:bodyDiv w:val="1"/>
      <w:marLeft w:val="0"/>
      <w:marRight w:val="0"/>
      <w:marTop w:val="0"/>
      <w:marBottom w:val="0"/>
      <w:divBdr>
        <w:top w:val="none" w:sz="0" w:space="0" w:color="auto"/>
        <w:left w:val="none" w:sz="0" w:space="0" w:color="auto"/>
        <w:bottom w:val="none" w:sz="0" w:space="0" w:color="auto"/>
        <w:right w:val="none" w:sz="0" w:space="0" w:color="auto"/>
      </w:divBdr>
    </w:div>
    <w:div w:id="1606578421">
      <w:bodyDiv w:val="1"/>
      <w:marLeft w:val="0"/>
      <w:marRight w:val="0"/>
      <w:marTop w:val="0"/>
      <w:marBottom w:val="0"/>
      <w:divBdr>
        <w:top w:val="none" w:sz="0" w:space="0" w:color="auto"/>
        <w:left w:val="none" w:sz="0" w:space="0" w:color="auto"/>
        <w:bottom w:val="none" w:sz="0" w:space="0" w:color="auto"/>
        <w:right w:val="none" w:sz="0" w:space="0" w:color="auto"/>
      </w:divBdr>
    </w:div>
    <w:div w:id="1669407566">
      <w:bodyDiv w:val="1"/>
      <w:marLeft w:val="0"/>
      <w:marRight w:val="0"/>
      <w:marTop w:val="0"/>
      <w:marBottom w:val="0"/>
      <w:divBdr>
        <w:top w:val="none" w:sz="0" w:space="0" w:color="auto"/>
        <w:left w:val="none" w:sz="0" w:space="0" w:color="auto"/>
        <w:bottom w:val="none" w:sz="0" w:space="0" w:color="auto"/>
        <w:right w:val="none" w:sz="0" w:space="0" w:color="auto"/>
      </w:divBdr>
    </w:div>
    <w:div w:id="1737512966">
      <w:bodyDiv w:val="1"/>
      <w:marLeft w:val="0"/>
      <w:marRight w:val="0"/>
      <w:marTop w:val="0"/>
      <w:marBottom w:val="0"/>
      <w:divBdr>
        <w:top w:val="none" w:sz="0" w:space="0" w:color="auto"/>
        <w:left w:val="none" w:sz="0" w:space="0" w:color="auto"/>
        <w:bottom w:val="none" w:sz="0" w:space="0" w:color="auto"/>
        <w:right w:val="none" w:sz="0" w:space="0" w:color="auto"/>
      </w:divBdr>
    </w:div>
    <w:div w:id="1751736838">
      <w:bodyDiv w:val="1"/>
      <w:marLeft w:val="0"/>
      <w:marRight w:val="0"/>
      <w:marTop w:val="0"/>
      <w:marBottom w:val="0"/>
      <w:divBdr>
        <w:top w:val="none" w:sz="0" w:space="0" w:color="auto"/>
        <w:left w:val="none" w:sz="0" w:space="0" w:color="auto"/>
        <w:bottom w:val="none" w:sz="0" w:space="0" w:color="auto"/>
        <w:right w:val="none" w:sz="0" w:space="0" w:color="auto"/>
      </w:divBdr>
    </w:div>
    <w:div w:id="1791127866">
      <w:bodyDiv w:val="1"/>
      <w:marLeft w:val="0"/>
      <w:marRight w:val="0"/>
      <w:marTop w:val="0"/>
      <w:marBottom w:val="0"/>
      <w:divBdr>
        <w:top w:val="none" w:sz="0" w:space="0" w:color="auto"/>
        <w:left w:val="none" w:sz="0" w:space="0" w:color="auto"/>
        <w:bottom w:val="none" w:sz="0" w:space="0" w:color="auto"/>
        <w:right w:val="none" w:sz="0" w:space="0" w:color="auto"/>
      </w:divBdr>
    </w:div>
    <w:div w:id="1830706152">
      <w:bodyDiv w:val="1"/>
      <w:marLeft w:val="0"/>
      <w:marRight w:val="0"/>
      <w:marTop w:val="0"/>
      <w:marBottom w:val="0"/>
      <w:divBdr>
        <w:top w:val="none" w:sz="0" w:space="0" w:color="auto"/>
        <w:left w:val="none" w:sz="0" w:space="0" w:color="auto"/>
        <w:bottom w:val="none" w:sz="0" w:space="0" w:color="auto"/>
        <w:right w:val="none" w:sz="0" w:space="0" w:color="auto"/>
      </w:divBdr>
    </w:div>
    <w:div w:id="1876892844">
      <w:bodyDiv w:val="1"/>
      <w:marLeft w:val="0"/>
      <w:marRight w:val="0"/>
      <w:marTop w:val="0"/>
      <w:marBottom w:val="0"/>
      <w:divBdr>
        <w:top w:val="none" w:sz="0" w:space="0" w:color="auto"/>
        <w:left w:val="none" w:sz="0" w:space="0" w:color="auto"/>
        <w:bottom w:val="none" w:sz="0" w:space="0" w:color="auto"/>
        <w:right w:val="none" w:sz="0" w:space="0" w:color="auto"/>
      </w:divBdr>
    </w:div>
    <w:div w:id="1976060580">
      <w:bodyDiv w:val="1"/>
      <w:marLeft w:val="0"/>
      <w:marRight w:val="0"/>
      <w:marTop w:val="0"/>
      <w:marBottom w:val="0"/>
      <w:divBdr>
        <w:top w:val="none" w:sz="0" w:space="0" w:color="auto"/>
        <w:left w:val="none" w:sz="0" w:space="0" w:color="auto"/>
        <w:bottom w:val="none" w:sz="0" w:space="0" w:color="auto"/>
        <w:right w:val="none" w:sz="0" w:space="0" w:color="auto"/>
      </w:divBdr>
    </w:div>
    <w:div w:id="21260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1917%20CPD%2024" TargetMode="External"/><Relationship Id="rId13" Type="http://schemas.openxmlformats.org/officeDocument/2006/relationships/hyperlink" Target="https://www.saflii.org/cgi-bin/LawCite?cit=1962%20%284%29%20SA%20193" TargetMode="External"/><Relationship Id="rId18" Type="http://schemas.openxmlformats.org/officeDocument/2006/relationships/hyperlink" Target="http://www.saflii.org/za/legis/consol_act/ia1936149/index.html" TargetMode="External"/><Relationship Id="rId3" Type="http://schemas.openxmlformats.org/officeDocument/2006/relationships/styles" Target="styles.xml"/><Relationship Id="rId21" Type="http://schemas.openxmlformats.org/officeDocument/2006/relationships/hyperlink" Target="http://www.saflii.org/za/legis/consol_act/ia1936149/" TargetMode="External"/><Relationship Id="rId7" Type="http://schemas.openxmlformats.org/officeDocument/2006/relationships/endnotes" Target="endnotes.xml"/><Relationship Id="rId12" Type="http://schemas.openxmlformats.org/officeDocument/2006/relationships/hyperlink" Target="https://www.saflii.org/cgi-bin/LawCite?cit=1993%20%284%29%20SA%20436" TargetMode="External"/><Relationship Id="rId17" Type="http://schemas.openxmlformats.org/officeDocument/2006/relationships/hyperlink" Target="http://www.saflii.org/za/legis/consol_act/ia1936149/index.html" TargetMode="External"/><Relationship Id="rId2" Type="http://schemas.openxmlformats.org/officeDocument/2006/relationships/numbering" Target="numbering.xml"/><Relationship Id="rId16" Type="http://schemas.openxmlformats.org/officeDocument/2006/relationships/hyperlink" Target="https://www.saflii.org/cgi-bin/LawCite?cit=1948%20%282%29%20SA%20555" TargetMode="External"/><Relationship Id="rId20" Type="http://schemas.openxmlformats.org/officeDocument/2006/relationships/hyperlink" Target="http://www.saflii.org/za/legis/consol_act/ia1936149/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cgi-bin/LawCite?cit=1988%20%281%29%20SA%2094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lii.org/cgi-bin/LawCite?cit=2015%20%283%29%20SA%201" TargetMode="External"/><Relationship Id="rId23" Type="http://schemas.openxmlformats.org/officeDocument/2006/relationships/fontTable" Target="fontTable.xml"/><Relationship Id="rId10" Type="http://schemas.openxmlformats.org/officeDocument/2006/relationships/hyperlink" Target="http://www.saflii.org/za/legis/consol_act/ia1936149/index.html" TargetMode="External"/><Relationship Id="rId19" Type="http://schemas.openxmlformats.org/officeDocument/2006/relationships/hyperlink" Target="http://www.saflii.org/za/legis/consol_act/ia1936149/" TargetMode="External"/><Relationship Id="rId4" Type="http://schemas.openxmlformats.org/officeDocument/2006/relationships/settings" Target="settings.xml"/><Relationship Id="rId9" Type="http://schemas.openxmlformats.org/officeDocument/2006/relationships/hyperlink" Target="http://www.saflii.org/za/legis/consol_act/ia1936149/" TargetMode="External"/><Relationship Id="rId14" Type="http://schemas.openxmlformats.org/officeDocument/2006/relationships/hyperlink" Target="https://www.saflii.org/cgi-bin/LawCite?cit=1907%20TS%20727"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F21E-8ED8-4206-A39D-04285406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6741</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dc:creator>
  <cp:lastModifiedBy>Mary Bruce</cp:lastModifiedBy>
  <cp:revision>8</cp:revision>
  <cp:lastPrinted>2022-03-09T12:21:00Z</cp:lastPrinted>
  <dcterms:created xsi:type="dcterms:W3CDTF">2022-05-11T11:42:00Z</dcterms:created>
  <dcterms:modified xsi:type="dcterms:W3CDTF">2022-12-20T12:58:00Z</dcterms:modified>
</cp:coreProperties>
</file>