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3B54C" w14:textId="77777777" w:rsidR="002F3E4F" w:rsidRDefault="002F3E4F" w:rsidP="002F3E4F">
      <w:pPr>
        <w:rPr>
          <w:lang w:val="en-ZA"/>
        </w:rPr>
      </w:pPr>
      <w:r>
        <w:rPr>
          <w:rFonts w:ascii="Arial" w:hAnsi="Arial" w:cs="Arial"/>
          <w:color w:val="FF0000"/>
        </w:rPr>
        <w:t>Editorial note: Certain information has been redacted from this judgment in compliance with the law.</w:t>
      </w:r>
    </w:p>
    <w:p w14:paraId="6656E26C" w14:textId="77777777" w:rsidR="002F3E4F" w:rsidRDefault="002F3E4F" w:rsidP="009037BF">
      <w:pPr>
        <w:widowControl w:val="0"/>
        <w:tabs>
          <w:tab w:val="right" w:pos="8647"/>
        </w:tabs>
        <w:spacing w:line="480" w:lineRule="auto"/>
        <w:jc w:val="both"/>
        <w:rPr>
          <w:rFonts w:ascii="Arial" w:hAnsi="Arial" w:cs="Arial"/>
          <w:b/>
          <w:color w:val="000000" w:themeColor="text1"/>
          <w:lang w:val="en-GB"/>
        </w:rPr>
      </w:pPr>
    </w:p>
    <w:p w14:paraId="5866C030" w14:textId="2AE32032" w:rsidR="009A7B21" w:rsidRPr="009037BF" w:rsidRDefault="009A7B21" w:rsidP="009037BF">
      <w:pPr>
        <w:widowControl w:val="0"/>
        <w:tabs>
          <w:tab w:val="right" w:pos="8647"/>
        </w:tabs>
        <w:spacing w:line="480" w:lineRule="auto"/>
        <w:jc w:val="both"/>
        <w:rPr>
          <w:rFonts w:ascii="Arial" w:hAnsi="Arial" w:cs="Arial"/>
          <w:b/>
          <w:color w:val="000000" w:themeColor="text1"/>
          <w:lang w:val="en-GB"/>
        </w:rPr>
      </w:pPr>
      <w:r w:rsidRPr="009037BF">
        <w:rPr>
          <w:rFonts w:ascii="Arial" w:hAnsi="Arial" w:cs="Arial"/>
          <w:b/>
          <w:color w:val="000000" w:themeColor="text1"/>
          <w:lang w:val="en-GB"/>
        </w:rPr>
        <w:t>IN THE HIGH COURT OF SOUTH AFRICA</w:t>
      </w:r>
    </w:p>
    <w:p w14:paraId="78E7D4CA" w14:textId="116905DE" w:rsidR="009A7B21" w:rsidRPr="009037BF" w:rsidRDefault="009A7B21" w:rsidP="009037BF">
      <w:pPr>
        <w:widowControl w:val="0"/>
        <w:tabs>
          <w:tab w:val="right" w:pos="8647"/>
        </w:tabs>
        <w:spacing w:line="480" w:lineRule="auto"/>
        <w:jc w:val="both"/>
        <w:rPr>
          <w:rFonts w:ascii="Arial" w:hAnsi="Arial" w:cs="Arial"/>
          <w:b/>
          <w:color w:val="000000" w:themeColor="text1"/>
          <w:lang w:val="en-GB"/>
        </w:rPr>
      </w:pPr>
      <w:r w:rsidRPr="009037BF">
        <w:rPr>
          <w:rFonts w:ascii="Arial" w:hAnsi="Arial" w:cs="Arial"/>
          <w:b/>
          <w:color w:val="000000" w:themeColor="text1"/>
          <w:lang w:val="en-GB"/>
        </w:rPr>
        <w:t>WESTERN CAPE DIVISION, CAPE TOWN</w:t>
      </w:r>
    </w:p>
    <w:p w14:paraId="70DB440A" w14:textId="0391D50D" w:rsidR="009A7B21" w:rsidRPr="009037BF" w:rsidRDefault="009A7B21" w:rsidP="009037BF">
      <w:pPr>
        <w:widowControl w:val="0"/>
        <w:tabs>
          <w:tab w:val="left" w:pos="0"/>
          <w:tab w:val="left" w:pos="576"/>
          <w:tab w:val="left" w:pos="1296"/>
          <w:tab w:val="left" w:pos="2736"/>
          <w:tab w:val="left" w:pos="4176"/>
          <w:tab w:val="right" w:pos="8505"/>
          <w:tab w:val="right" w:pos="8784"/>
        </w:tabs>
        <w:spacing w:line="480" w:lineRule="auto"/>
        <w:jc w:val="right"/>
        <w:rPr>
          <w:rFonts w:ascii="Arial" w:hAnsi="Arial" w:cs="Arial"/>
          <w:bCs/>
          <w:snapToGrid w:val="0"/>
          <w:color w:val="000000" w:themeColor="text1"/>
          <w:lang w:val="en-GB"/>
        </w:rPr>
      </w:pPr>
      <w:r w:rsidRPr="009037BF">
        <w:rPr>
          <w:rFonts w:ascii="Arial" w:hAnsi="Arial" w:cs="Arial"/>
          <w:bCs/>
          <w:snapToGrid w:val="0"/>
          <w:color w:val="000000" w:themeColor="text1"/>
          <w:lang w:val="en-GB"/>
        </w:rPr>
        <w:t xml:space="preserve">Case </w:t>
      </w:r>
      <w:r w:rsidR="000342F7" w:rsidRPr="009037BF">
        <w:rPr>
          <w:rFonts w:ascii="Arial" w:hAnsi="Arial" w:cs="Arial"/>
          <w:bCs/>
          <w:snapToGrid w:val="0"/>
          <w:color w:val="000000" w:themeColor="text1"/>
          <w:lang w:val="en-GB"/>
        </w:rPr>
        <w:t>number:</w:t>
      </w:r>
      <w:r w:rsidRPr="009037BF">
        <w:rPr>
          <w:rFonts w:ascii="Arial" w:hAnsi="Arial" w:cs="Arial"/>
          <w:bCs/>
          <w:snapToGrid w:val="0"/>
          <w:color w:val="000000" w:themeColor="text1"/>
          <w:lang w:val="en-GB"/>
        </w:rPr>
        <w:t xml:space="preserve"> </w:t>
      </w:r>
      <w:r w:rsidR="009D540F" w:rsidRPr="009037BF">
        <w:rPr>
          <w:rFonts w:ascii="Arial" w:hAnsi="Arial" w:cs="Arial"/>
          <w:bCs/>
          <w:snapToGrid w:val="0"/>
          <w:color w:val="000000" w:themeColor="text1"/>
          <w:lang w:val="en-GB"/>
        </w:rPr>
        <w:t>10837</w:t>
      </w:r>
      <w:r w:rsidR="002203E1" w:rsidRPr="009037BF">
        <w:rPr>
          <w:rFonts w:ascii="Arial" w:hAnsi="Arial" w:cs="Arial"/>
          <w:bCs/>
          <w:snapToGrid w:val="0"/>
          <w:color w:val="000000" w:themeColor="text1"/>
          <w:lang w:val="en-GB"/>
        </w:rPr>
        <w:t>/20</w:t>
      </w:r>
      <w:r w:rsidR="009D540F" w:rsidRPr="009037BF">
        <w:rPr>
          <w:rFonts w:ascii="Arial" w:hAnsi="Arial" w:cs="Arial"/>
          <w:bCs/>
          <w:snapToGrid w:val="0"/>
          <w:color w:val="000000" w:themeColor="text1"/>
          <w:lang w:val="en-GB"/>
        </w:rPr>
        <w:t>16</w:t>
      </w:r>
    </w:p>
    <w:p w14:paraId="0CA70122" w14:textId="39F2A3B2" w:rsidR="009D540F" w:rsidRPr="009037BF" w:rsidRDefault="009D540F" w:rsidP="009037BF">
      <w:pPr>
        <w:widowControl w:val="0"/>
        <w:tabs>
          <w:tab w:val="left" w:pos="0"/>
          <w:tab w:val="left" w:pos="576"/>
          <w:tab w:val="left" w:pos="1296"/>
          <w:tab w:val="left" w:pos="2736"/>
          <w:tab w:val="left" w:pos="4176"/>
          <w:tab w:val="right" w:pos="8505"/>
          <w:tab w:val="right" w:pos="8784"/>
        </w:tabs>
        <w:spacing w:line="480" w:lineRule="auto"/>
        <w:jc w:val="right"/>
        <w:rPr>
          <w:rFonts w:ascii="Arial" w:hAnsi="Arial" w:cs="Arial"/>
          <w:bCs/>
          <w:snapToGrid w:val="0"/>
          <w:color w:val="000000" w:themeColor="text1"/>
          <w:lang w:val="en-GB"/>
        </w:rPr>
      </w:pPr>
      <w:r w:rsidRPr="009037BF">
        <w:rPr>
          <w:rFonts w:ascii="Arial" w:hAnsi="Arial" w:cs="Arial"/>
          <w:bCs/>
          <w:snapToGrid w:val="0"/>
          <w:color w:val="000000" w:themeColor="text1"/>
          <w:lang w:val="en-GB"/>
        </w:rPr>
        <w:t>Case number: 19689/2016</w:t>
      </w:r>
    </w:p>
    <w:p w14:paraId="12CB34F3" w14:textId="36F46C89" w:rsidR="009A7B21" w:rsidRPr="009037BF" w:rsidRDefault="009A7B21" w:rsidP="009037BF">
      <w:pPr>
        <w:widowControl w:val="0"/>
        <w:tabs>
          <w:tab w:val="left" w:pos="0"/>
          <w:tab w:val="left" w:pos="576"/>
          <w:tab w:val="left" w:pos="1296"/>
          <w:tab w:val="left" w:pos="2736"/>
          <w:tab w:val="left" w:pos="4176"/>
          <w:tab w:val="right" w:pos="8505"/>
          <w:tab w:val="right" w:pos="8784"/>
        </w:tabs>
        <w:spacing w:line="480" w:lineRule="auto"/>
        <w:ind w:right="856"/>
        <w:jc w:val="both"/>
        <w:rPr>
          <w:rFonts w:ascii="Arial" w:hAnsi="Arial" w:cs="Arial"/>
          <w:snapToGrid w:val="0"/>
          <w:color w:val="000000" w:themeColor="text1"/>
          <w:lang w:val="en-GB"/>
        </w:rPr>
      </w:pPr>
      <w:r w:rsidRPr="009037BF">
        <w:rPr>
          <w:rFonts w:ascii="Arial" w:hAnsi="Arial" w:cs="Arial"/>
          <w:snapToGrid w:val="0"/>
          <w:color w:val="000000" w:themeColor="text1"/>
          <w:lang w:val="en-GB"/>
        </w:rPr>
        <w:t>In the matter between:</w:t>
      </w:r>
    </w:p>
    <w:p w14:paraId="687A9BCC" w14:textId="32FCEB39" w:rsidR="009A7B21" w:rsidRPr="002F3E4F" w:rsidRDefault="0016067D" w:rsidP="002F3E4F">
      <w:pPr>
        <w:widowControl w:val="0"/>
        <w:tabs>
          <w:tab w:val="right" w:pos="8315"/>
        </w:tabs>
        <w:overflowPunct w:val="0"/>
        <w:autoSpaceDE w:val="0"/>
        <w:autoSpaceDN w:val="0"/>
        <w:adjustRightInd w:val="0"/>
        <w:spacing w:line="480" w:lineRule="auto"/>
        <w:jc w:val="both"/>
        <w:textAlignment w:val="baseline"/>
        <w:rPr>
          <w:rFonts w:ascii="Arial" w:hAnsi="Arial" w:cs="Arial"/>
          <w:b/>
          <w:color w:val="000000" w:themeColor="text1"/>
          <w:lang w:val="en-GB"/>
        </w:rPr>
      </w:pPr>
      <w:proofErr w:type="gramStart"/>
      <w:r>
        <w:rPr>
          <w:rFonts w:ascii="Arial" w:hAnsi="Arial" w:cs="Arial"/>
          <w:b/>
          <w:color w:val="000000" w:themeColor="text1"/>
          <w:lang w:val="en-GB"/>
        </w:rPr>
        <w:t>S[</w:t>
      </w:r>
      <w:proofErr w:type="gramEnd"/>
      <w:r>
        <w:rPr>
          <w:rFonts w:ascii="Arial" w:hAnsi="Arial" w:cs="Arial"/>
          <w:b/>
          <w:color w:val="000000" w:themeColor="text1"/>
          <w:lang w:val="en-GB"/>
        </w:rPr>
        <w:t>…]</w:t>
      </w:r>
      <w:r w:rsidR="009D540F" w:rsidRPr="009037BF">
        <w:rPr>
          <w:rFonts w:ascii="Arial" w:hAnsi="Arial" w:cs="Arial"/>
          <w:b/>
          <w:color w:val="000000" w:themeColor="text1"/>
          <w:lang w:val="en-GB"/>
        </w:rPr>
        <w:t xml:space="preserve"> C</w:t>
      </w:r>
      <w:r>
        <w:rPr>
          <w:rFonts w:ascii="Arial" w:hAnsi="Arial" w:cs="Arial"/>
          <w:b/>
          <w:color w:val="000000" w:themeColor="text1"/>
          <w:lang w:val="en-GB"/>
        </w:rPr>
        <w:t>[…]</w:t>
      </w:r>
      <w:r w:rsidR="009A7B21" w:rsidRPr="009037BF">
        <w:rPr>
          <w:rFonts w:ascii="Arial" w:hAnsi="Arial" w:cs="Arial"/>
          <w:b/>
          <w:color w:val="000000" w:themeColor="text1"/>
          <w:lang w:val="en-GB"/>
        </w:rPr>
        <w:tab/>
      </w:r>
      <w:r w:rsidR="009D540F" w:rsidRPr="009037BF">
        <w:rPr>
          <w:rFonts w:ascii="Arial" w:hAnsi="Arial" w:cs="Arial"/>
          <w:color w:val="000000" w:themeColor="text1"/>
          <w:lang w:val="en-GB"/>
        </w:rPr>
        <w:t>Applicant/Defendant</w:t>
      </w:r>
    </w:p>
    <w:p w14:paraId="1FDED32E" w14:textId="698640B6" w:rsidR="009A7B21" w:rsidRPr="009037BF" w:rsidRDefault="009A7B21" w:rsidP="002F3E4F">
      <w:pPr>
        <w:widowControl w:val="0"/>
        <w:tabs>
          <w:tab w:val="left" w:pos="0"/>
          <w:tab w:val="left" w:pos="576"/>
          <w:tab w:val="left" w:pos="1296"/>
          <w:tab w:val="left" w:pos="2736"/>
          <w:tab w:val="left" w:pos="4176"/>
          <w:tab w:val="right" w:pos="8315"/>
        </w:tabs>
        <w:spacing w:line="480" w:lineRule="auto"/>
        <w:ind w:right="856"/>
        <w:jc w:val="both"/>
        <w:rPr>
          <w:rFonts w:ascii="Arial" w:hAnsi="Arial" w:cs="Arial"/>
          <w:snapToGrid w:val="0"/>
          <w:color w:val="000000" w:themeColor="text1"/>
          <w:lang w:val="en-GB"/>
        </w:rPr>
      </w:pPr>
      <w:r w:rsidRPr="009037BF">
        <w:rPr>
          <w:rFonts w:ascii="Arial" w:hAnsi="Arial" w:cs="Arial"/>
          <w:snapToGrid w:val="0"/>
          <w:color w:val="000000" w:themeColor="text1"/>
          <w:lang w:val="en-GB"/>
        </w:rPr>
        <w:t>and</w:t>
      </w:r>
    </w:p>
    <w:p w14:paraId="42585C09" w14:textId="046DE823" w:rsidR="009A7B21" w:rsidRPr="009037BF" w:rsidRDefault="009D540F" w:rsidP="009037BF">
      <w:pPr>
        <w:widowControl w:val="0"/>
        <w:tabs>
          <w:tab w:val="left" w:pos="0"/>
          <w:tab w:val="right" w:pos="576"/>
          <w:tab w:val="left" w:pos="1296"/>
          <w:tab w:val="left" w:pos="2736"/>
          <w:tab w:val="left" w:pos="4176"/>
          <w:tab w:val="right" w:pos="8315"/>
          <w:tab w:val="right" w:pos="8505"/>
        </w:tabs>
        <w:spacing w:line="480" w:lineRule="auto"/>
        <w:ind w:right="-51"/>
        <w:jc w:val="both"/>
        <w:rPr>
          <w:rFonts w:ascii="Arial" w:hAnsi="Arial" w:cs="Arial"/>
          <w:snapToGrid w:val="0"/>
          <w:color w:val="000000" w:themeColor="text1"/>
          <w:lang w:val="en-GB"/>
        </w:rPr>
      </w:pPr>
      <w:r w:rsidRPr="009037BF">
        <w:rPr>
          <w:rFonts w:ascii="Arial" w:hAnsi="Arial" w:cs="Arial"/>
          <w:b/>
          <w:snapToGrid w:val="0"/>
          <w:color w:val="000000" w:themeColor="text1"/>
          <w:lang w:val="en-GB"/>
        </w:rPr>
        <w:t>T</w:t>
      </w:r>
      <w:r w:rsidR="0016067D">
        <w:rPr>
          <w:rFonts w:ascii="Arial" w:hAnsi="Arial" w:cs="Arial"/>
          <w:b/>
          <w:color w:val="000000" w:themeColor="text1"/>
          <w:lang w:val="en-GB"/>
        </w:rPr>
        <w:t>[…]</w:t>
      </w:r>
      <w:r w:rsidR="0016067D">
        <w:rPr>
          <w:rFonts w:ascii="Arial" w:hAnsi="Arial" w:cs="Arial"/>
          <w:b/>
          <w:color w:val="000000" w:themeColor="text1"/>
          <w:lang w:val="en-GB"/>
        </w:rPr>
        <w:t xml:space="preserve"> </w:t>
      </w:r>
      <w:r w:rsidRPr="009037BF">
        <w:rPr>
          <w:rFonts w:ascii="Arial" w:hAnsi="Arial" w:cs="Arial"/>
          <w:b/>
          <w:snapToGrid w:val="0"/>
          <w:color w:val="000000" w:themeColor="text1"/>
          <w:lang w:val="en-GB"/>
        </w:rPr>
        <w:t>C</w:t>
      </w:r>
      <w:r w:rsidR="0016067D">
        <w:rPr>
          <w:rFonts w:ascii="Arial" w:hAnsi="Arial" w:cs="Arial"/>
          <w:b/>
          <w:color w:val="000000" w:themeColor="text1"/>
          <w:lang w:val="en-GB"/>
        </w:rPr>
        <w:t>[…]</w:t>
      </w:r>
      <w:r w:rsidR="0016067D">
        <w:rPr>
          <w:rFonts w:ascii="Arial" w:hAnsi="Arial" w:cs="Arial"/>
          <w:b/>
          <w:color w:val="000000" w:themeColor="text1"/>
          <w:lang w:val="en-GB"/>
        </w:rPr>
        <w:t xml:space="preserve">  </w:t>
      </w:r>
      <w:bookmarkStart w:id="0" w:name="_GoBack"/>
      <w:bookmarkEnd w:id="0"/>
      <w:r w:rsidRPr="009037BF">
        <w:rPr>
          <w:rFonts w:ascii="Arial" w:hAnsi="Arial" w:cs="Arial"/>
          <w:b/>
          <w:snapToGrid w:val="0"/>
          <w:color w:val="000000" w:themeColor="text1"/>
          <w:lang w:val="en-GB"/>
        </w:rPr>
        <w:tab/>
      </w:r>
      <w:r w:rsidR="00F1588C" w:rsidRPr="009037BF">
        <w:rPr>
          <w:rFonts w:ascii="Arial" w:hAnsi="Arial" w:cs="Arial"/>
          <w:b/>
          <w:snapToGrid w:val="0"/>
          <w:color w:val="000000" w:themeColor="text1"/>
          <w:lang w:val="en-GB"/>
        </w:rPr>
        <w:tab/>
      </w:r>
      <w:r w:rsidR="009A7B21" w:rsidRPr="009037BF">
        <w:rPr>
          <w:rFonts w:ascii="Arial" w:hAnsi="Arial" w:cs="Arial"/>
          <w:snapToGrid w:val="0"/>
          <w:color w:val="000000" w:themeColor="text1"/>
          <w:lang w:val="en-GB"/>
        </w:rPr>
        <w:tab/>
      </w:r>
      <w:r w:rsidRPr="009037BF">
        <w:rPr>
          <w:rFonts w:ascii="Arial" w:hAnsi="Arial" w:cs="Arial"/>
          <w:snapToGrid w:val="0"/>
          <w:color w:val="000000" w:themeColor="text1"/>
          <w:lang w:val="en-GB"/>
        </w:rPr>
        <w:t>Respondent/Plaintiff</w:t>
      </w:r>
    </w:p>
    <w:p w14:paraId="5FA40945" w14:textId="77777777" w:rsidR="005E23A4" w:rsidRPr="009037BF" w:rsidRDefault="005E23A4" w:rsidP="009037BF">
      <w:pPr>
        <w:widowControl w:val="0"/>
        <w:pBdr>
          <w:bottom w:val="single" w:sz="12" w:space="1" w:color="auto"/>
        </w:pBdr>
        <w:tabs>
          <w:tab w:val="right" w:pos="8640"/>
        </w:tabs>
        <w:spacing w:line="480" w:lineRule="auto"/>
        <w:jc w:val="both"/>
        <w:rPr>
          <w:rFonts w:ascii="Arial" w:hAnsi="Arial" w:cs="Arial"/>
          <w:color w:val="000000" w:themeColor="text1"/>
          <w:lang w:val="en-GB"/>
        </w:rPr>
      </w:pPr>
    </w:p>
    <w:p w14:paraId="126F8454" w14:textId="58C42A1E" w:rsidR="00090569" w:rsidRPr="009037BF" w:rsidRDefault="00090569" w:rsidP="009037BF">
      <w:pPr>
        <w:pStyle w:val="Heading4"/>
        <w:keepNext w:val="0"/>
        <w:jc w:val="left"/>
        <w:rPr>
          <w:rFonts w:ascii="Arial" w:hAnsi="Arial" w:cs="Arial"/>
          <w:color w:val="000000" w:themeColor="text1"/>
          <w:sz w:val="24"/>
          <w:szCs w:val="24"/>
          <w:lang w:val="en-GB"/>
        </w:rPr>
      </w:pPr>
    </w:p>
    <w:p w14:paraId="57C8B486" w14:textId="438926B3" w:rsidR="00825DA7" w:rsidRPr="009037BF" w:rsidRDefault="000342F7" w:rsidP="009037BF">
      <w:pPr>
        <w:widowControl w:val="0"/>
        <w:spacing w:line="480" w:lineRule="auto"/>
        <w:jc w:val="center"/>
        <w:rPr>
          <w:rFonts w:ascii="Arial" w:hAnsi="Arial" w:cs="Arial"/>
          <w:b/>
          <w:bCs/>
          <w:lang w:val="en-GB"/>
        </w:rPr>
      </w:pPr>
      <w:r w:rsidRPr="009037BF">
        <w:rPr>
          <w:rFonts w:ascii="Arial" w:hAnsi="Arial" w:cs="Arial"/>
          <w:b/>
          <w:bCs/>
          <w:lang w:val="en-GB"/>
        </w:rPr>
        <w:t>JUDGMENT</w:t>
      </w:r>
      <w:r w:rsidR="00757EE0" w:rsidRPr="009037BF">
        <w:rPr>
          <w:rFonts w:ascii="Arial" w:hAnsi="Arial" w:cs="Arial"/>
          <w:b/>
          <w:bCs/>
          <w:lang w:val="en-GB"/>
        </w:rPr>
        <w:t xml:space="preserve"> DELIVERED ON</w:t>
      </w:r>
      <w:r w:rsidR="003D60B8" w:rsidRPr="009037BF">
        <w:rPr>
          <w:rFonts w:ascii="Arial" w:hAnsi="Arial" w:cs="Arial"/>
          <w:b/>
          <w:bCs/>
          <w:lang w:val="en-GB"/>
        </w:rPr>
        <w:t xml:space="preserve"> </w:t>
      </w:r>
      <w:r w:rsidR="00D55F4C" w:rsidRPr="009037BF">
        <w:rPr>
          <w:rFonts w:ascii="Arial" w:hAnsi="Arial" w:cs="Arial"/>
          <w:b/>
          <w:bCs/>
          <w:lang w:val="en-GB"/>
        </w:rPr>
        <w:t>1</w:t>
      </w:r>
      <w:r w:rsidR="00D27FA5" w:rsidRPr="009037BF">
        <w:rPr>
          <w:rFonts w:ascii="Arial" w:hAnsi="Arial" w:cs="Arial"/>
          <w:b/>
          <w:bCs/>
          <w:lang w:val="en-GB"/>
        </w:rPr>
        <w:t>2</w:t>
      </w:r>
      <w:r w:rsidR="00D55F4C" w:rsidRPr="009037BF">
        <w:rPr>
          <w:rFonts w:ascii="Arial" w:hAnsi="Arial" w:cs="Arial"/>
          <w:b/>
          <w:bCs/>
          <w:lang w:val="en-GB"/>
        </w:rPr>
        <w:t xml:space="preserve"> </w:t>
      </w:r>
      <w:r w:rsidR="009D540F" w:rsidRPr="009037BF">
        <w:rPr>
          <w:rFonts w:ascii="Arial" w:hAnsi="Arial" w:cs="Arial"/>
          <w:b/>
          <w:bCs/>
          <w:lang w:val="en-GB"/>
        </w:rPr>
        <w:t>M</w:t>
      </w:r>
      <w:r w:rsidR="007727D2" w:rsidRPr="009037BF">
        <w:rPr>
          <w:rFonts w:ascii="Arial" w:hAnsi="Arial" w:cs="Arial"/>
          <w:b/>
          <w:bCs/>
          <w:lang w:val="en-GB"/>
        </w:rPr>
        <w:t>AY</w:t>
      </w:r>
      <w:r w:rsidR="00825DA7" w:rsidRPr="009037BF">
        <w:rPr>
          <w:rFonts w:ascii="Arial" w:hAnsi="Arial" w:cs="Arial"/>
          <w:b/>
          <w:bCs/>
          <w:lang w:val="en-GB"/>
        </w:rPr>
        <w:t xml:space="preserve"> 2022</w:t>
      </w:r>
    </w:p>
    <w:p w14:paraId="5B3443C2" w14:textId="77777777" w:rsidR="00090569" w:rsidRPr="009037BF" w:rsidRDefault="00090569" w:rsidP="009037BF">
      <w:pPr>
        <w:widowControl w:val="0"/>
        <w:pBdr>
          <w:bottom w:val="single" w:sz="12" w:space="1" w:color="auto"/>
        </w:pBdr>
        <w:tabs>
          <w:tab w:val="right" w:pos="8640"/>
        </w:tabs>
        <w:spacing w:line="480" w:lineRule="auto"/>
        <w:jc w:val="both"/>
        <w:rPr>
          <w:rFonts w:ascii="Arial" w:hAnsi="Arial" w:cs="Arial"/>
          <w:color w:val="000000" w:themeColor="text1"/>
          <w:lang w:val="en-GB"/>
        </w:rPr>
      </w:pPr>
    </w:p>
    <w:p w14:paraId="7F1860FC" w14:textId="26B8C653" w:rsidR="00090569" w:rsidRPr="009037BF" w:rsidRDefault="00090569" w:rsidP="009037BF">
      <w:pPr>
        <w:widowControl w:val="0"/>
        <w:spacing w:line="480" w:lineRule="auto"/>
        <w:jc w:val="both"/>
        <w:rPr>
          <w:rFonts w:ascii="Arial" w:hAnsi="Arial" w:cs="Arial"/>
          <w:color w:val="000000" w:themeColor="text1"/>
          <w:lang w:val="en-GB"/>
        </w:rPr>
      </w:pPr>
    </w:p>
    <w:p w14:paraId="199D3239" w14:textId="47A20D96" w:rsidR="000342F7" w:rsidRPr="009037BF" w:rsidRDefault="000342F7" w:rsidP="009037BF">
      <w:pPr>
        <w:widowControl w:val="0"/>
        <w:spacing w:line="480" w:lineRule="auto"/>
        <w:jc w:val="both"/>
        <w:rPr>
          <w:rFonts w:ascii="Arial" w:hAnsi="Arial" w:cs="Arial"/>
          <w:b/>
          <w:bCs/>
          <w:color w:val="000000" w:themeColor="text1"/>
          <w:u w:val="single"/>
          <w:lang w:val="en-GB"/>
        </w:rPr>
      </w:pPr>
      <w:r w:rsidRPr="009037BF">
        <w:rPr>
          <w:rFonts w:ascii="Arial" w:hAnsi="Arial" w:cs="Arial"/>
          <w:b/>
          <w:bCs/>
          <w:color w:val="000000" w:themeColor="text1"/>
          <w:u w:val="single"/>
          <w:lang w:val="en-GB"/>
        </w:rPr>
        <w:t>VAN ZYL AJ:</w:t>
      </w:r>
    </w:p>
    <w:p w14:paraId="15F02FBA" w14:textId="77777777" w:rsidR="000342F7" w:rsidRPr="009037BF" w:rsidRDefault="000342F7" w:rsidP="009037BF">
      <w:pPr>
        <w:widowControl w:val="0"/>
        <w:spacing w:line="480" w:lineRule="auto"/>
        <w:jc w:val="both"/>
        <w:rPr>
          <w:rFonts w:ascii="Arial" w:hAnsi="Arial" w:cs="Arial"/>
          <w:color w:val="000000" w:themeColor="text1"/>
          <w:lang w:val="en-GB"/>
        </w:rPr>
      </w:pPr>
    </w:p>
    <w:p w14:paraId="4AD89676" w14:textId="0C5B2DA9" w:rsidR="00474FE2" w:rsidRPr="009037BF" w:rsidRDefault="00474FE2" w:rsidP="009037BF">
      <w:pPr>
        <w:pStyle w:val="Heading1"/>
        <w:spacing w:before="0" w:after="0"/>
        <w:jc w:val="both"/>
        <w:rPr>
          <w:rFonts w:ascii="Arial" w:hAnsi="Arial" w:cs="Arial"/>
          <w:b/>
          <w:bCs/>
          <w:color w:val="000000" w:themeColor="text1"/>
          <w:sz w:val="24"/>
          <w:szCs w:val="24"/>
          <w:u w:val="single"/>
          <w:lang w:val="en-GB"/>
        </w:rPr>
      </w:pPr>
      <w:r w:rsidRPr="009037BF">
        <w:rPr>
          <w:rFonts w:ascii="Arial" w:hAnsi="Arial" w:cs="Arial"/>
          <w:b/>
          <w:bCs/>
          <w:color w:val="000000" w:themeColor="text1"/>
          <w:sz w:val="24"/>
          <w:szCs w:val="24"/>
          <w:u w:val="single"/>
          <w:lang w:val="en-GB"/>
        </w:rPr>
        <w:t>I</w:t>
      </w:r>
      <w:r w:rsidR="000342F7" w:rsidRPr="009037BF">
        <w:rPr>
          <w:rFonts w:ascii="Arial" w:hAnsi="Arial" w:cs="Arial"/>
          <w:b/>
          <w:bCs/>
          <w:color w:val="000000" w:themeColor="text1"/>
          <w:sz w:val="24"/>
          <w:szCs w:val="24"/>
          <w:u w:val="single"/>
          <w:lang w:val="en-GB"/>
        </w:rPr>
        <w:t>ntroduction</w:t>
      </w:r>
    </w:p>
    <w:p w14:paraId="77F34F5D" w14:textId="77777777" w:rsidR="00825DA7" w:rsidRPr="009037BF" w:rsidRDefault="00825DA7" w:rsidP="009037BF">
      <w:pPr>
        <w:pStyle w:val="Heading1"/>
        <w:spacing w:before="0" w:after="0"/>
        <w:ind w:left="709"/>
        <w:jc w:val="both"/>
        <w:rPr>
          <w:rFonts w:ascii="Arial" w:hAnsi="Arial" w:cs="Arial"/>
          <w:color w:val="000000" w:themeColor="text1"/>
          <w:sz w:val="24"/>
          <w:szCs w:val="24"/>
          <w:lang w:val="en-GB"/>
        </w:rPr>
      </w:pPr>
    </w:p>
    <w:p w14:paraId="7BB419EB" w14:textId="7036E9BC" w:rsidR="00FA7ED8" w:rsidRPr="009037BF" w:rsidRDefault="00177EF4" w:rsidP="00177EF4">
      <w:pPr>
        <w:pStyle w:val="Heading1"/>
        <w:tabs>
          <w:tab w:val="left" w:pos="709"/>
        </w:tabs>
        <w:spacing w:before="0" w:after="0"/>
        <w:ind w:left="709" w:hanging="709"/>
        <w:jc w:val="both"/>
        <w:rPr>
          <w:rFonts w:ascii="Arial" w:hAnsi="Arial" w:cs="Arial"/>
          <w:color w:val="000000" w:themeColor="text1"/>
          <w:sz w:val="24"/>
          <w:szCs w:val="24"/>
          <w:lang w:val="en-GB"/>
        </w:rPr>
      </w:pPr>
      <w:r w:rsidRPr="009037BF">
        <w:rPr>
          <w:rFonts w:ascii="Arial" w:hAnsi="Arial" w:cs="Arial"/>
          <w:color w:val="000000" w:themeColor="text1"/>
          <w:sz w:val="24"/>
          <w:szCs w:val="24"/>
          <w:lang w:val="en-GB"/>
        </w:rPr>
        <w:t>1.</w:t>
      </w:r>
      <w:r w:rsidRPr="009037BF">
        <w:rPr>
          <w:rFonts w:ascii="Arial" w:hAnsi="Arial" w:cs="Arial"/>
          <w:color w:val="000000" w:themeColor="text1"/>
          <w:sz w:val="24"/>
          <w:szCs w:val="24"/>
          <w:lang w:val="en-GB"/>
        </w:rPr>
        <w:tab/>
      </w:r>
      <w:r w:rsidR="008438E5" w:rsidRPr="009037BF">
        <w:rPr>
          <w:rFonts w:ascii="Arial" w:hAnsi="Arial" w:cs="Arial"/>
          <w:color w:val="000000" w:themeColor="text1"/>
          <w:sz w:val="24"/>
          <w:szCs w:val="24"/>
          <w:lang w:val="en-GB"/>
        </w:rPr>
        <w:t>The parties are embroiled in a long-running divorce action</w:t>
      </w:r>
      <w:r w:rsidR="00FA7ED8" w:rsidRPr="009037BF">
        <w:rPr>
          <w:rFonts w:ascii="Arial" w:hAnsi="Arial" w:cs="Arial"/>
          <w:color w:val="000000" w:themeColor="text1"/>
          <w:sz w:val="24"/>
          <w:szCs w:val="24"/>
          <w:lang w:val="en-GB"/>
        </w:rPr>
        <w:t xml:space="preserve"> instituted in June 2016</w:t>
      </w:r>
      <w:r w:rsidR="00757EE0" w:rsidRPr="009037BF">
        <w:rPr>
          <w:rFonts w:ascii="Arial" w:hAnsi="Arial" w:cs="Arial"/>
          <w:color w:val="000000" w:themeColor="text1"/>
          <w:sz w:val="24"/>
          <w:szCs w:val="24"/>
          <w:lang w:val="en-GB"/>
        </w:rPr>
        <w:t xml:space="preserve"> under case number 10837/2016</w:t>
      </w:r>
      <w:r w:rsidR="008438E5" w:rsidRPr="009037BF">
        <w:rPr>
          <w:rFonts w:ascii="Arial" w:hAnsi="Arial" w:cs="Arial"/>
          <w:color w:val="000000" w:themeColor="text1"/>
          <w:sz w:val="24"/>
          <w:szCs w:val="24"/>
          <w:lang w:val="en-GB"/>
        </w:rPr>
        <w:t xml:space="preserve">, in which the applicant in this application is the defendant, and the respondent is the plaintiff.  </w:t>
      </w:r>
      <w:r w:rsidR="009672DA" w:rsidRPr="009037BF">
        <w:rPr>
          <w:rFonts w:ascii="Arial" w:hAnsi="Arial" w:cs="Arial"/>
          <w:color w:val="000000" w:themeColor="text1"/>
          <w:sz w:val="24"/>
          <w:szCs w:val="24"/>
          <w:lang w:val="en-GB"/>
        </w:rPr>
        <w:t xml:space="preserve">The parties were married on 7 January 2006.  </w:t>
      </w:r>
      <w:r w:rsidR="00D27FA5" w:rsidRPr="009037BF">
        <w:rPr>
          <w:rFonts w:ascii="Arial" w:hAnsi="Arial" w:cs="Arial"/>
          <w:color w:val="000000" w:themeColor="text1"/>
          <w:sz w:val="24"/>
          <w:szCs w:val="24"/>
          <w:lang w:val="en-GB"/>
        </w:rPr>
        <w:t xml:space="preserve">The divorce has not been finalised.  </w:t>
      </w:r>
      <w:r w:rsidR="00FA7ED8" w:rsidRPr="009037BF">
        <w:rPr>
          <w:rFonts w:ascii="Arial" w:hAnsi="Arial" w:cs="Arial"/>
          <w:color w:val="000000" w:themeColor="text1"/>
          <w:sz w:val="24"/>
          <w:szCs w:val="24"/>
          <w:lang w:val="en-GB"/>
        </w:rPr>
        <w:t>They have two minor children, the eldest of whom suffers from diabetes, pervasive developmental disorder and other chronic conditions.</w:t>
      </w:r>
    </w:p>
    <w:p w14:paraId="61209B8F" w14:textId="77777777" w:rsidR="00FA7ED8" w:rsidRPr="009037BF" w:rsidRDefault="00FA7ED8" w:rsidP="009037BF">
      <w:pPr>
        <w:pStyle w:val="Heading1"/>
        <w:spacing w:before="0" w:after="0"/>
        <w:ind w:left="709"/>
        <w:jc w:val="both"/>
        <w:rPr>
          <w:rFonts w:ascii="Arial" w:hAnsi="Arial" w:cs="Arial"/>
          <w:color w:val="000000" w:themeColor="text1"/>
          <w:sz w:val="24"/>
          <w:szCs w:val="24"/>
          <w:lang w:val="en-GB"/>
        </w:rPr>
      </w:pPr>
    </w:p>
    <w:p w14:paraId="23AD3EA2" w14:textId="45CD4E05" w:rsidR="003167C2" w:rsidRPr="009037BF" w:rsidRDefault="00177EF4" w:rsidP="00177EF4">
      <w:pPr>
        <w:pStyle w:val="Heading1"/>
        <w:tabs>
          <w:tab w:val="left" w:pos="709"/>
        </w:tabs>
        <w:spacing w:before="0" w:after="0"/>
        <w:ind w:left="709" w:hanging="709"/>
        <w:jc w:val="both"/>
        <w:rPr>
          <w:rFonts w:ascii="Arial" w:hAnsi="Arial" w:cs="Arial"/>
          <w:color w:val="000000" w:themeColor="text1"/>
          <w:sz w:val="24"/>
          <w:szCs w:val="24"/>
          <w:lang w:val="en-GB"/>
        </w:rPr>
      </w:pPr>
      <w:r w:rsidRPr="009037BF">
        <w:rPr>
          <w:rFonts w:ascii="Arial" w:hAnsi="Arial" w:cs="Arial"/>
          <w:color w:val="000000" w:themeColor="text1"/>
          <w:sz w:val="24"/>
          <w:szCs w:val="24"/>
          <w:lang w:val="en-GB"/>
        </w:rPr>
        <w:t>2.</w:t>
      </w:r>
      <w:r w:rsidRPr="009037BF">
        <w:rPr>
          <w:rFonts w:ascii="Arial" w:hAnsi="Arial" w:cs="Arial"/>
          <w:color w:val="000000" w:themeColor="text1"/>
          <w:sz w:val="24"/>
          <w:szCs w:val="24"/>
          <w:lang w:val="en-GB"/>
        </w:rPr>
        <w:tab/>
      </w:r>
      <w:r w:rsidR="003167C2" w:rsidRPr="009037BF">
        <w:rPr>
          <w:rFonts w:ascii="Arial" w:hAnsi="Arial" w:cs="Arial"/>
          <w:color w:val="000000" w:themeColor="text1"/>
          <w:sz w:val="24"/>
          <w:szCs w:val="24"/>
          <w:lang w:val="en-GB"/>
        </w:rPr>
        <w:t>I shall refer to the parties as, respectively, the “applicant” and the “respondent”.</w:t>
      </w:r>
    </w:p>
    <w:p w14:paraId="275930AE" w14:textId="77777777" w:rsidR="003167C2" w:rsidRPr="009037BF" w:rsidRDefault="003167C2" w:rsidP="009037BF">
      <w:pPr>
        <w:pStyle w:val="Heading1"/>
        <w:spacing w:before="0" w:after="0"/>
        <w:ind w:left="709"/>
        <w:jc w:val="both"/>
        <w:rPr>
          <w:rFonts w:ascii="Arial" w:hAnsi="Arial" w:cs="Arial"/>
          <w:color w:val="000000" w:themeColor="text1"/>
          <w:sz w:val="24"/>
          <w:szCs w:val="24"/>
          <w:lang w:val="en-GB"/>
        </w:rPr>
      </w:pPr>
    </w:p>
    <w:p w14:paraId="2CB1A82D" w14:textId="33D32208" w:rsidR="009D540F" w:rsidRPr="009037BF" w:rsidRDefault="00177EF4" w:rsidP="00177EF4">
      <w:pPr>
        <w:pStyle w:val="Heading1"/>
        <w:tabs>
          <w:tab w:val="left" w:pos="709"/>
        </w:tabs>
        <w:spacing w:before="0" w:after="0"/>
        <w:ind w:left="709" w:hanging="709"/>
        <w:jc w:val="both"/>
        <w:rPr>
          <w:rFonts w:ascii="Arial" w:hAnsi="Arial" w:cs="Arial"/>
          <w:color w:val="000000" w:themeColor="text1"/>
          <w:sz w:val="24"/>
          <w:szCs w:val="24"/>
          <w:lang w:val="en-GB"/>
        </w:rPr>
      </w:pPr>
      <w:r w:rsidRPr="009037BF">
        <w:rPr>
          <w:rFonts w:ascii="Arial" w:hAnsi="Arial" w:cs="Arial"/>
          <w:color w:val="000000" w:themeColor="text1"/>
          <w:sz w:val="24"/>
          <w:szCs w:val="24"/>
          <w:lang w:val="en-GB"/>
        </w:rPr>
        <w:t>3.</w:t>
      </w:r>
      <w:r w:rsidRPr="009037BF">
        <w:rPr>
          <w:rFonts w:ascii="Arial" w:hAnsi="Arial" w:cs="Arial"/>
          <w:color w:val="000000" w:themeColor="text1"/>
          <w:sz w:val="24"/>
          <w:szCs w:val="24"/>
          <w:lang w:val="en-GB"/>
        </w:rPr>
        <w:tab/>
      </w:r>
      <w:r w:rsidR="00D27FA5" w:rsidRPr="009037BF">
        <w:rPr>
          <w:rFonts w:ascii="Arial" w:hAnsi="Arial" w:cs="Arial"/>
          <w:color w:val="000000" w:themeColor="text1"/>
          <w:sz w:val="24"/>
          <w:szCs w:val="24"/>
          <w:lang w:val="en-GB"/>
        </w:rPr>
        <w:t>When the matter was called, there were</w:t>
      </w:r>
      <w:r w:rsidR="009D540F" w:rsidRPr="009037BF">
        <w:rPr>
          <w:rFonts w:ascii="Arial" w:hAnsi="Arial" w:cs="Arial"/>
          <w:color w:val="000000" w:themeColor="text1"/>
          <w:sz w:val="24"/>
          <w:szCs w:val="24"/>
          <w:lang w:val="en-GB"/>
        </w:rPr>
        <w:t xml:space="preserve"> </w:t>
      </w:r>
      <w:r w:rsidR="003167C2" w:rsidRPr="009037BF">
        <w:rPr>
          <w:rFonts w:ascii="Arial" w:hAnsi="Arial" w:cs="Arial"/>
          <w:color w:val="000000" w:themeColor="text1"/>
          <w:sz w:val="24"/>
          <w:szCs w:val="24"/>
          <w:lang w:val="en-GB"/>
        </w:rPr>
        <w:t xml:space="preserve">essentially </w:t>
      </w:r>
      <w:r w:rsidR="00FA7ED8" w:rsidRPr="009037BF">
        <w:rPr>
          <w:rFonts w:ascii="Arial" w:hAnsi="Arial" w:cs="Arial"/>
          <w:color w:val="000000" w:themeColor="text1"/>
          <w:sz w:val="24"/>
          <w:szCs w:val="24"/>
          <w:lang w:val="en-GB"/>
        </w:rPr>
        <w:t>f</w:t>
      </w:r>
      <w:r w:rsidR="00484E4F" w:rsidRPr="009037BF">
        <w:rPr>
          <w:rFonts w:ascii="Arial" w:hAnsi="Arial" w:cs="Arial"/>
          <w:color w:val="000000" w:themeColor="text1"/>
          <w:sz w:val="24"/>
          <w:szCs w:val="24"/>
          <w:lang w:val="en-GB"/>
        </w:rPr>
        <w:t xml:space="preserve">ive </w:t>
      </w:r>
      <w:r w:rsidR="008438E5" w:rsidRPr="009037BF">
        <w:rPr>
          <w:rFonts w:ascii="Arial" w:hAnsi="Arial" w:cs="Arial"/>
          <w:color w:val="000000" w:themeColor="text1"/>
          <w:sz w:val="24"/>
          <w:szCs w:val="24"/>
          <w:lang w:val="en-GB"/>
        </w:rPr>
        <w:t xml:space="preserve">opposed </w:t>
      </w:r>
      <w:r w:rsidR="009D540F" w:rsidRPr="009037BF">
        <w:rPr>
          <w:rFonts w:ascii="Arial" w:hAnsi="Arial" w:cs="Arial"/>
          <w:color w:val="000000" w:themeColor="text1"/>
          <w:sz w:val="24"/>
          <w:szCs w:val="24"/>
          <w:lang w:val="en-GB"/>
        </w:rPr>
        <w:t>applications before me:</w:t>
      </w:r>
    </w:p>
    <w:p w14:paraId="21C780EE" w14:textId="77777777" w:rsidR="008438E5" w:rsidRPr="009037BF" w:rsidRDefault="008438E5" w:rsidP="009037BF">
      <w:pPr>
        <w:widowControl w:val="0"/>
        <w:spacing w:line="480" w:lineRule="auto"/>
        <w:jc w:val="both"/>
        <w:rPr>
          <w:rFonts w:ascii="Arial" w:hAnsi="Arial" w:cs="Arial"/>
          <w:lang w:val="en-GB"/>
        </w:rPr>
      </w:pPr>
    </w:p>
    <w:p w14:paraId="03F56A10" w14:textId="5CF16596" w:rsidR="00FA7ED8" w:rsidRPr="009037BF" w:rsidRDefault="00177EF4" w:rsidP="00177EF4">
      <w:pPr>
        <w:pStyle w:val="Heading1"/>
        <w:spacing w:before="0" w:after="0"/>
        <w:ind w:left="1418" w:hanging="709"/>
        <w:jc w:val="both"/>
        <w:rPr>
          <w:rFonts w:ascii="Arial" w:hAnsi="Arial" w:cs="Arial"/>
          <w:color w:val="000000" w:themeColor="text1"/>
          <w:sz w:val="24"/>
          <w:szCs w:val="24"/>
          <w:lang w:val="en-GB"/>
        </w:rPr>
      </w:pPr>
      <w:r w:rsidRPr="009037BF">
        <w:rPr>
          <w:rFonts w:ascii="Arial" w:hAnsi="Arial" w:cs="Arial"/>
          <w:color w:val="000000" w:themeColor="text1"/>
          <w:sz w:val="24"/>
          <w:szCs w:val="24"/>
          <w:lang w:val="en-GB"/>
        </w:rPr>
        <w:t>3.1.</w:t>
      </w:r>
      <w:r w:rsidRPr="009037BF">
        <w:rPr>
          <w:rFonts w:ascii="Arial" w:hAnsi="Arial" w:cs="Arial"/>
          <w:color w:val="000000" w:themeColor="text1"/>
          <w:sz w:val="24"/>
          <w:szCs w:val="24"/>
          <w:lang w:val="en-GB"/>
        </w:rPr>
        <w:tab/>
      </w:r>
      <w:r w:rsidR="00FA7ED8" w:rsidRPr="009037BF">
        <w:rPr>
          <w:rFonts w:ascii="Arial" w:hAnsi="Arial" w:cs="Arial"/>
          <w:color w:val="000000" w:themeColor="text1"/>
          <w:sz w:val="24"/>
          <w:szCs w:val="24"/>
          <w:lang w:val="en-GB"/>
        </w:rPr>
        <w:t>An application instituted by the applicant for the provisional sequestration of the respondent’s estate</w:t>
      </w:r>
      <w:r w:rsidR="00757EE0" w:rsidRPr="009037BF">
        <w:rPr>
          <w:rFonts w:ascii="Arial" w:hAnsi="Arial" w:cs="Arial"/>
          <w:color w:val="000000" w:themeColor="text1"/>
          <w:sz w:val="24"/>
          <w:szCs w:val="24"/>
          <w:lang w:val="en-GB"/>
        </w:rPr>
        <w:t xml:space="preserve"> under case number </w:t>
      </w:r>
      <w:r w:rsidR="00A91DCD" w:rsidRPr="009037BF">
        <w:rPr>
          <w:rFonts w:ascii="Arial" w:hAnsi="Arial" w:cs="Arial"/>
          <w:color w:val="000000" w:themeColor="text1"/>
          <w:sz w:val="24"/>
          <w:szCs w:val="24"/>
          <w:lang w:val="en-GB"/>
        </w:rPr>
        <w:t>17728/2021</w:t>
      </w:r>
      <w:r w:rsidR="00FA7ED8" w:rsidRPr="009037BF">
        <w:rPr>
          <w:rFonts w:ascii="Arial" w:hAnsi="Arial" w:cs="Arial"/>
          <w:color w:val="000000" w:themeColor="text1"/>
          <w:sz w:val="24"/>
          <w:szCs w:val="24"/>
          <w:lang w:val="en-GB"/>
        </w:rPr>
        <w:t>.</w:t>
      </w:r>
    </w:p>
    <w:p w14:paraId="40B8907B" w14:textId="77777777" w:rsidR="00FA7ED8" w:rsidRPr="009037BF" w:rsidRDefault="00FA7ED8" w:rsidP="009037BF">
      <w:pPr>
        <w:widowControl w:val="0"/>
        <w:spacing w:line="480" w:lineRule="auto"/>
        <w:jc w:val="both"/>
        <w:rPr>
          <w:rFonts w:ascii="Arial" w:hAnsi="Arial" w:cs="Arial"/>
          <w:lang w:val="en-GB"/>
        </w:rPr>
      </w:pPr>
    </w:p>
    <w:p w14:paraId="2267F98D" w14:textId="30D7AC15" w:rsidR="00852818" w:rsidRPr="009037BF" w:rsidRDefault="00177EF4" w:rsidP="00177EF4">
      <w:pPr>
        <w:pStyle w:val="Heading1"/>
        <w:spacing w:before="0" w:after="0"/>
        <w:ind w:left="1418" w:hanging="709"/>
        <w:jc w:val="both"/>
        <w:rPr>
          <w:rFonts w:ascii="Arial" w:hAnsi="Arial" w:cs="Arial"/>
          <w:color w:val="000000" w:themeColor="text1"/>
          <w:sz w:val="24"/>
          <w:szCs w:val="24"/>
          <w:lang w:val="en-GB"/>
        </w:rPr>
      </w:pPr>
      <w:r w:rsidRPr="009037BF">
        <w:rPr>
          <w:rFonts w:ascii="Arial" w:hAnsi="Arial" w:cs="Arial"/>
          <w:color w:val="000000" w:themeColor="text1"/>
          <w:sz w:val="24"/>
          <w:szCs w:val="24"/>
          <w:lang w:val="en-GB"/>
        </w:rPr>
        <w:t>3.2.</w:t>
      </w:r>
      <w:r w:rsidRPr="009037BF">
        <w:rPr>
          <w:rFonts w:ascii="Arial" w:hAnsi="Arial" w:cs="Arial"/>
          <w:color w:val="000000" w:themeColor="text1"/>
          <w:sz w:val="24"/>
          <w:szCs w:val="24"/>
          <w:lang w:val="en-GB"/>
        </w:rPr>
        <w:tab/>
      </w:r>
      <w:r w:rsidR="008438E5" w:rsidRPr="009037BF">
        <w:rPr>
          <w:rFonts w:ascii="Arial" w:hAnsi="Arial" w:cs="Arial"/>
          <w:color w:val="000000" w:themeColor="text1"/>
          <w:sz w:val="24"/>
          <w:szCs w:val="24"/>
          <w:lang w:val="en-GB"/>
        </w:rPr>
        <w:t xml:space="preserve">An application brought </w:t>
      </w:r>
      <w:r w:rsidR="00D27FA5" w:rsidRPr="009037BF">
        <w:rPr>
          <w:rFonts w:ascii="Arial" w:hAnsi="Arial" w:cs="Arial"/>
          <w:color w:val="000000" w:themeColor="text1"/>
          <w:sz w:val="24"/>
          <w:szCs w:val="24"/>
          <w:lang w:val="en-GB"/>
        </w:rPr>
        <w:t>i</w:t>
      </w:r>
      <w:r w:rsidR="008438E5" w:rsidRPr="009037BF">
        <w:rPr>
          <w:rFonts w:ascii="Arial" w:hAnsi="Arial" w:cs="Arial"/>
          <w:color w:val="000000" w:themeColor="text1"/>
          <w:sz w:val="24"/>
          <w:szCs w:val="24"/>
          <w:lang w:val="en-GB"/>
        </w:rPr>
        <w:t xml:space="preserve">n September 2021 </w:t>
      </w:r>
      <w:r w:rsidR="00A91DCD" w:rsidRPr="009037BF">
        <w:rPr>
          <w:rFonts w:ascii="Arial" w:hAnsi="Arial" w:cs="Arial"/>
          <w:color w:val="000000" w:themeColor="text1"/>
          <w:sz w:val="24"/>
          <w:szCs w:val="24"/>
          <w:lang w:val="en-GB"/>
        </w:rPr>
        <w:t xml:space="preserve">under case number 19689/2016 </w:t>
      </w:r>
      <w:r w:rsidR="008438E5" w:rsidRPr="009037BF">
        <w:rPr>
          <w:rFonts w:ascii="Arial" w:hAnsi="Arial" w:cs="Arial"/>
          <w:color w:val="000000" w:themeColor="text1"/>
          <w:sz w:val="24"/>
          <w:szCs w:val="24"/>
          <w:lang w:val="en-GB"/>
        </w:rPr>
        <w:t>by the respondent in terms of Rule 43(6),</w:t>
      </w:r>
      <w:r w:rsidR="00FA7ED8" w:rsidRPr="009037BF">
        <w:rPr>
          <w:rFonts w:ascii="Arial" w:hAnsi="Arial" w:cs="Arial"/>
          <w:color w:val="000000" w:themeColor="text1"/>
          <w:sz w:val="24"/>
          <w:szCs w:val="24"/>
          <w:lang w:val="en-GB"/>
        </w:rPr>
        <w:t xml:space="preserve"> </w:t>
      </w:r>
      <w:r w:rsidR="008438E5" w:rsidRPr="009037BF">
        <w:rPr>
          <w:rFonts w:ascii="Arial" w:hAnsi="Arial" w:cs="Arial"/>
          <w:color w:val="000000" w:themeColor="text1"/>
          <w:sz w:val="24"/>
          <w:szCs w:val="24"/>
          <w:lang w:val="en-GB"/>
        </w:rPr>
        <w:t>seeking a variation of an order made in terms of Rule 43 on 4 April 2017</w:t>
      </w:r>
      <w:r w:rsidR="00852818" w:rsidRPr="009037BF">
        <w:rPr>
          <w:rFonts w:ascii="Arial" w:hAnsi="Arial" w:cs="Arial"/>
          <w:color w:val="000000" w:themeColor="text1"/>
          <w:sz w:val="24"/>
          <w:szCs w:val="24"/>
          <w:lang w:val="en-GB"/>
        </w:rPr>
        <w:t>.</w:t>
      </w:r>
    </w:p>
    <w:p w14:paraId="0A3B9FE0" w14:textId="77777777" w:rsidR="00852818" w:rsidRPr="009037BF" w:rsidRDefault="00852818" w:rsidP="009037BF">
      <w:pPr>
        <w:pStyle w:val="Heading1"/>
        <w:spacing w:before="0" w:after="0"/>
        <w:ind w:left="1418"/>
        <w:jc w:val="both"/>
        <w:rPr>
          <w:rFonts w:ascii="Arial" w:hAnsi="Arial" w:cs="Arial"/>
          <w:color w:val="000000" w:themeColor="text1"/>
          <w:sz w:val="24"/>
          <w:szCs w:val="24"/>
          <w:lang w:val="en-GB"/>
        </w:rPr>
      </w:pPr>
    </w:p>
    <w:p w14:paraId="79556234" w14:textId="321D8081" w:rsidR="00852818" w:rsidRPr="009037BF" w:rsidRDefault="00177EF4" w:rsidP="00177EF4">
      <w:pPr>
        <w:pStyle w:val="Heading1"/>
        <w:spacing w:before="0" w:after="0"/>
        <w:ind w:left="1418" w:hanging="709"/>
        <w:jc w:val="both"/>
        <w:rPr>
          <w:rFonts w:ascii="Arial" w:hAnsi="Arial" w:cs="Arial"/>
          <w:color w:val="000000" w:themeColor="text1"/>
          <w:sz w:val="24"/>
          <w:szCs w:val="24"/>
          <w:lang w:val="en-GB"/>
        </w:rPr>
      </w:pPr>
      <w:r w:rsidRPr="009037BF">
        <w:rPr>
          <w:rFonts w:ascii="Arial" w:hAnsi="Arial" w:cs="Arial"/>
          <w:color w:val="000000" w:themeColor="text1"/>
          <w:sz w:val="24"/>
          <w:szCs w:val="24"/>
          <w:lang w:val="en-GB"/>
        </w:rPr>
        <w:t>3.3.</w:t>
      </w:r>
      <w:r w:rsidRPr="009037BF">
        <w:rPr>
          <w:rFonts w:ascii="Arial" w:hAnsi="Arial" w:cs="Arial"/>
          <w:color w:val="000000" w:themeColor="text1"/>
          <w:sz w:val="24"/>
          <w:szCs w:val="24"/>
          <w:lang w:val="en-GB"/>
        </w:rPr>
        <w:tab/>
      </w:r>
      <w:r w:rsidR="00852818" w:rsidRPr="009037BF">
        <w:rPr>
          <w:rFonts w:ascii="Arial" w:hAnsi="Arial" w:cs="Arial"/>
          <w:color w:val="000000" w:themeColor="text1"/>
          <w:sz w:val="24"/>
          <w:szCs w:val="24"/>
          <w:lang w:val="en-GB"/>
        </w:rPr>
        <w:t>A counter-application to the respondent’s Rule 43(6) application</w:t>
      </w:r>
      <w:r w:rsidR="00A91DCD" w:rsidRPr="009037BF">
        <w:rPr>
          <w:rFonts w:ascii="Arial" w:hAnsi="Arial" w:cs="Arial"/>
          <w:color w:val="000000" w:themeColor="text1"/>
          <w:sz w:val="24"/>
          <w:szCs w:val="24"/>
          <w:lang w:val="en-GB"/>
        </w:rPr>
        <w:t xml:space="preserve"> under the same case number</w:t>
      </w:r>
      <w:r w:rsidR="00852818" w:rsidRPr="009037BF">
        <w:rPr>
          <w:rFonts w:ascii="Arial" w:hAnsi="Arial" w:cs="Arial"/>
          <w:color w:val="000000" w:themeColor="text1"/>
          <w:sz w:val="24"/>
          <w:szCs w:val="24"/>
          <w:lang w:val="en-GB"/>
        </w:rPr>
        <w:t xml:space="preserve">, in which the applicant seeks an order holding the respondent in contempt for failure to comply with the Rule 43 order granted on 4 April 2017 and the directions made for the purposes of trial preparation by the relevant case management judge </w:t>
      </w:r>
      <w:r w:rsidR="00484E4F" w:rsidRPr="009037BF">
        <w:rPr>
          <w:rFonts w:ascii="Arial" w:hAnsi="Arial" w:cs="Arial"/>
          <w:color w:val="000000" w:themeColor="text1"/>
          <w:sz w:val="24"/>
          <w:szCs w:val="24"/>
          <w:lang w:val="en-GB"/>
        </w:rPr>
        <w:t xml:space="preserve">(the Honourable Justice Dolamo) </w:t>
      </w:r>
      <w:r w:rsidR="009A7802" w:rsidRPr="009037BF">
        <w:rPr>
          <w:rFonts w:ascii="Arial" w:hAnsi="Arial" w:cs="Arial"/>
          <w:color w:val="000000" w:themeColor="text1"/>
          <w:sz w:val="24"/>
          <w:szCs w:val="24"/>
          <w:lang w:val="en-GB"/>
        </w:rPr>
        <w:t xml:space="preserve">during </w:t>
      </w:r>
      <w:r w:rsidR="00852818" w:rsidRPr="009037BF">
        <w:rPr>
          <w:rFonts w:ascii="Arial" w:hAnsi="Arial" w:cs="Arial"/>
          <w:color w:val="000000" w:themeColor="text1"/>
          <w:sz w:val="24"/>
          <w:szCs w:val="24"/>
          <w:lang w:val="en-GB"/>
        </w:rPr>
        <w:t>October 2020 and November 2020.</w:t>
      </w:r>
    </w:p>
    <w:p w14:paraId="0BC78B69" w14:textId="77777777" w:rsidR="00852818" w:rsidRPr="009037BF" w:rsidRDefault="00852818" w:rsidP="009037BF">
      <w:pPr>
        <w:pStyle w:val="Heading1"/>
        <w:spacing w:before="0" w:after="0"/>
        <w:ind w:left="1418"/>
        <w:jc w:val="both"/>
        <w:rPr>
          <w:rFonts w:ascii="Arial" w:hAnsi="Arial" w:cs="Arial"/>
          <w:color w:val="000000" w:themeColor="text1"/>
          <w:sz w:val="24"/>
          <w:szCs w:val="24"/>
          <w:lang w:val="en-GB"/>
        </w:rPr>
      </w:pPr>
    </w:p>
    <w:p w14:paraId="6BEF426C" w14:textId="3659E7C7" w:rsidR="00484E4F" w:rsidRPr="009037BF" w:rsidRDefault="00177EF4" w:rsidP="00177EF4">
      <w:pPr>
        <w:pStyle w:val="Heading1"/>
        <w:spacing w:before="0" w:after="0"/>
        <w:ind w:left="1418" w:hanging="709"/>
        <w:jc w:val="both"/>
        <w:rPr>
          <w:rFonts w:ascii="Arial" w:hAnsi="Arial" w:cs="Arial"/>
          <w:color w:val="000000" w:themeColor="text1"/>
          <w:sz w:val="24"/>
          <w:szCs w:val="24"/>
          <w:lang w:val="en-GB"/>
        </w:rPr>
      </w:pPr>
      <w:r w:rsidRPr="009037BF">
        <w:rPr>
          <w:rFonts w:ascii="Arial" w:hAnsi="Arial" w:cs="Arial"/>
          <w:color w:val="000000" w:themeColor="text1"/>
          <w:sz w:val="24"/>
          <w:szCs w:val="24"/>
          <w:lang w:val="en-GB"/>
        </w:rPr>
        <w:t>3.4.</w:t>
      </w:r>
      <w:r w:rsidRPr="009037BF">
        <w:rPr>
          <w:rFonts w:ascii="Arial" w:hAnsi="Arial" w:cs="Arial"/>
          <w:color w:val="000000" w:themeColor="text1"/>
          <w:sz w:val="24"/>
          <w:szCs w:val="24"/>
          <w:lang w:val="en-GB"/>
        </w:rPr>
        <w:tab/>
      </w:r>
      <w:r w:rsidR="00F060CA" w:rsidRPr="009037BF">
        <w:rPr>
          <w:rFonts w:ascii="Arial" w:hAnsi="Arial" w:cs="Arial"/>
          <w:color w:val="000000" w:themeColor="text1"/>
          <w:sz w:val="24"/>
          <w:szCs w:val="24"/>
          <w:lang w:val="en-GB"/>
        </w:rPr>
        <w:t>A</w:t>
      </w:r>
      <w:r w:rsidR="007727D2" w:rsidRPr="009037BF">
        <w:rPr>
          <w:rFonts w:ascii="Arial" w:hAnsi="Arial" w:cs="Arial"/>
          <w:color w:val="000000" w:themeColor="text1"/>
          <w:sz w:val="24"/>
          <w:szCs w:val="24"/>
          <w:lang w:val="en-GB"/>
        </w:rPr>
        <w:t xml:space="preserve"> </w:t>
      </w:r>
      <w:r w:rsidR="00F060CA" w:rsidRPr="009037BF">
        <w:rPr>
          <w:rFonts w:ascii="Arial" w:hAnsi="Arial" w:cs="Arial"/>
          <w:color w:val="000000" w:themeColor="text1"/>
          <w:sz w:val="24"/>
          <w:szCs w:val="24"/>
          <w:lang w:val="en-GB"/>
        </w:rPr>
        <w:t xml:space="preserve">procedural complaint </w:t>
      </w:r>
      <w:r w:rsidR="007727D2" w:rsidRPr="009037BF">
        <w:rPr>
          <w:rFonts w:ascii="Arial" w:hAnsi="Arial" w:cs="Arial"/>
          <w:color w:val="000000" w:themeColor="text1"/>
          <w:sz w:val="24"/>
          <w:szCs w:val="24"/>
          <w:lang w:val="en-GB"/>
        </w:rPr>
        <w:t xml:space="preserve">raised by the respondent </w:t>
      </w:r>
      <w:r w:rsidR="00484E4F" w:rsidRPr="009037BF">
        <w:rPr>
          <w:rFonts w:ascii="Arial" w:hAnsi="Arial" w:cs="Arial"/>
          <w:color w:val="000000" w:themeColor="text1"/>
          <w:sz w:val="24"/>
          <w:szCs w:val="24"/>
          <w:lang w:val="en-GB"/>
        </w:rPr>
        <w:t>that the applicant may not raise the respondent’s contempt by way of a counter-application.</w:t>
      </w:r>
    </w:p>
    <w:p w14:paraId="764FD9E6" w14:textId="77777777" w:rsidR="00484E4F" w:rsidRPr="009037BF" w:rsidRDefault="00484E4F" w:rsidP="009037BF">
      <w:pPr>
        <w:widowControl w:val="0"/>
        <w:spacing w:line="480" w:lineRule="auto"/>
        <w:jc w:val="both"/>
        <w:rPr>
          <w:rFonts w:ascii="Arial" w:hAnsi="Arial" w:cs="Arial"/>
          <w:lang w:val="en-GB"/>
        </w:rPr>
      </w:pPr>
    </w:p>
    <w:p w14:paraId="28CA83EF" w14:textId="3317E285" w:rsidR="009D540F" w:rsidRPr="009037BF" w:rsidRDefault="00177EF4" w:rsidP="00177EF4">
      <w:pPr>
        <w:pStyle w:val="Heading1"/>
        <w:spacing w:before="0" w:after="0"/>
        <w:ind w:left="1418" w:hanging="709"/>
        <w:jc w:val="both"/>
        <w:rPr>
          <w:rFonts w:ascii="Arial" w:hAnsi="Arial" w:cs="Arial"/>
          <w:sz w:val="24"/>
          <w:szCs w:val="24"/>
          <w:lang w:val="en-GB"/>
        </w:rPr>
      </w:pPr>
      <w:r w:rsidRPr="009037BF">
        <w:rPr>
          <w:rFonts w:ascii="Arial" w:hAnsi="Arial" w:cs="Arial"/>
          <w:sz w:val="24"/>
          <w:szCs w:val="24"/>
          <w:lang w:val="en-GB"/>
        </w:rPr>
        <w:t>3.5.</w:t>
      </w:r>
      <w:r w:rsidRPr="009037BF">
        <w:rPr>
          <w:rFonts w:ascii="Arial" w:hAnsi="Arial" w:cs="Arial"/>
          <w:sz w:val="24"/>
          <w:szCs w:val="24"/>
          <w:lang w:val="en-GB"/>
        </w:rPr>
        <w:tab/>
      </w:r>
      <w:r w:rsidR="00852818" w:rsidRPr="009037BF">
        <w:rPr>
          <w:rFonts w:ascii="Arial" w:hAnsi="Arial" w:cs="Arial"/>
          <w:sz w:val="24"/>
          <w:szCs w:val="24"/>
          <w:lang w:val="en-GB"/>
        </w:rPr>
        <w:t>An application by the respondent</w:t>
      </w:r>
      <w:r w:rsidR="00A91DCD" w:rsidRPr="009037BF">
        <w:rPr>
          <w:rFonts w:ascii="Arial" w:hAnsi="Arial" w:cs="Arial"/>
          <w:sz w:val="24"/>
          <w:szCs w:val="24"/>
          <w:lang w:val="en-GB"/>
        </w:rPr>
        <w:t xml:space="preserve"> </w:t>
      </w:r>
      <w:r w:rsidR="00852818" w:rsidRPr="009037BF">
        <w:rPr>
          <w:rFonts w:ascii="Arial" w:hAnsi="Arial" w:cs="Arial"/>
          <w:sz w:val="24"/>
          <w:szCs w:val="24"/>
          <w:lang w:val="en-GB"/>
        </w:rPr>
        <w:t>for the setting aside of a writ of execution obtained by the respondent on 8 November 2021</w:t>
      </w:r>
      <w:r w:rsidR="00757EE0" w:rsidRPr="009037BF">
        <w:rPr>
          <w:rFonts w:ascii="Arial" w:hAnsi="Arial" w:cs="Arial"/>
          <w:sz w:val="24"/>
          <w:szCs w:val="24"/>
          <w:lang w:val="en-GB"/>
        </w:rPr>
        <w:t xml:space="preserve"> under case number </w:t>
      </w:r>
      <w:r w:rsidR="00757EE0" w:rsidRPr="009037BF">
        <w:rPr>
          <w:rFonts w:ascii="Arial" w:hAnsi="Arial" w:cs="Arial"/>
          <w:sz w:val="24"/>
          <w:szCs w:val="24"/>
          <w:lang w:val="en-GB"/>
        </w:rPr>
        <w:lastRenderedPageBreak/>
        <w:t>19689/2016</w:t>
      </w:r>
      <w:r w:rsidR="00852818" w:rsidRPr="009037BF">
        <w:rPr>
          <w:rFonts w:ascii="Arial" w:hAnsi="Arial" w:cs="Arial"/>
          <w:sz w:val="24"/>
          <w:szCs w:val="24"/>
          <w:lang w:val="en-GB"/>
        </w:rPr>
        <w:t>.</w:t>
      </w:r>
    </w:p>
    <w:p w14:paraId="192D8CDD" w14:textId="61A4DA3E" w:rsidR="009D540F" w:rsidRPr="009037BF" w:rsidRDefault="009D540F" w:rsidP="009037BF">
      <w:pPr>
        <w:pStyle w:val="Heading1"/>
        <w:spacing w:before="0" w:after="0"/>
        <w:jc w:val="both"/>
        <w:rPr>
          <w:rFonts w:ascii="Arial" w:hAnsi="Arial" w:cs="Arial"/>
          <w:sz w:val="24"/>
          <w:szCs w:val="24"/>
          <w:lang w:val="en-GB"/>
        </w:rPr>
      </w:pPr>
    </w:p>
    <w:p w14:paraId="3917AD63" w14:textId="5A20B04A" w:rsidR="00DA6ED6"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4.</w:t>
      </w:r>
      <w:r w:rsidRPr="009037BF">
        <w:rPr>
          <w:rFonts w:ascii="Arial" w:hAnsi="Arial" w:cs="Arial"/>
          <w:lang w:val="en-GB"/>
        </w:rPr>
        <w:tab/>
      </w:r>
      <w:r w:rsidR="00D27FA5" w:rsidRPr="00177EF4">
        <w:rPr>
          <w:rFonts w:ascii="Arial" w:hAnsi="Arial" w:cs="Arial"/>
          <w:lang w:val="en-GB"/>
        </w:rPr>
        <w:t>I have dealt with the first</w:t>
      </w:r>
      <w:r w:rsidR="00132E61" w:rsidRPr="00177EF4">
        <w:rPr>
          <w:rFonts w:ascii="Arial" w:hAnsi="Arial" w:cs="Arial"/>
          <w:lang w:val="en-GB"/>
        </w:rPr>
        <w:t>, second and fifth</w:t>
      </w:r>
      <w:r w:rsidR="00D27FA5" w:rsidRPr="00177EF4">
        <w:rPr>
          <w:rFonts w:ascii="Arial" w:hAnsi="Arial" w:cs="Arial"/>
          <w:lang w:val="en-GB"/>
        </w:rPr>
        <w:t xml:space="preserve"> applications in a judgment delivered on 11 May 2022.  What remains is </w:t>
      </w:r>
      <w:r w:rsidR="00DA6ED6" w:rsidRPr="00177EF4">
        <w:rPr>
          <w:rFonts w:ascii="Arial" w:hAnsi="Arial" w:cs="Arial"/>
          <w:lang w:val="en-GB"/>
        </w:rPr>
        <w:t>the applicant’s contempt application</w:t>
      </w:r>
      <w:r w:rsidR="006116C1" w:rsidRPr="00177EF4">
        <w:rPr>
          <w:rFonts w:ascii="Arial" w:hAnsi="Arial" w:cs="Arial"/>
          <w:lang w:val="en-GB"/>
        </w:rPr>
        <w:t>, together with</w:t>
      </w:r>
      <w:r w:rsidR="00DA6ED6" w:rsidRPr="00177EF4">
        <w:rPr>
          <w:rFonts w:ascii="Arial" w:hAnsi="Arial" w:cs="Arial"/>
          <w:lang w:val="en-GB"/>
        </w:rPr>
        <w:t xml:space="preserve"> the respondent’s objection as to the competence thereof.</w:t>
      </w:r>
    </w:p>
    <w:p w14:paraId="1BC18BEE" w14:textId="77777777" w:rsidR="00A7732B" w:rsidRPr="009037BF" w:rsidRDefault="00A7732B" w:rsidP="009037BF">
      <w:pPr>
        <w:pStyle w:val="ListParagraph"/>
        <w:widowControl w:val="0"/>
        <w:spacing w:line="480" w:lineRule="auto"/>
        <w:ind w:left="709"/>
        <w:jc w:val="both"/>
        <w:rPr>
          <w:rFonts w:ascii="Arial" w:hAnsi="Arial" w:cs="Arial"/>
          <w:lang w:val="en-GB"/>
        </w:rPr>
      </w:pPr>
    </w:p>
    <w:p w14:paraId="190D4A4D" w14:textId="439515C4" w:rsidR="00453521"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5.</w:t>
      </w:r>
      <w:r w:rsidRPr="009037BF">
        <w:rPr>
          <w:rFonts w:ascii="Arial" w:hAnsi="Arial" w:cs="Arial"/>
          <w:lang w:val="en-GB"/>
        </w:rPr>
        <w:tab/>
      </w:r>
      <w:r w:rsidR="00453521" w:rsidRPr="00177EF4">
        <w:rPr>
          <w:rFonts w:ascii="Arial" w:hAnsi="Arial" w:cs="Arial"/>
          <w:lang w:val="en-GB"/>
        </w:rPr>
        <w:t>Both parties ha</w:t>
      </w:r>
      <w:r w:rsidR="00A7732B" w:rsidRPr="00177EF4">
        <w:rPr>
          <w:rFonts w:ascii="Arial" w:hAnsi="Arial" w:cs="Arial"/>
          <w:lang w:val="en-GB"/>
        </w:rPr>
        <w:t>d</w:t>
      </w:r>
      <w:r w:rsidR="00453521" w:rsidRPr="00177EF4">
        <w:rPr>
          <w:rFonts w:ascii="Arial" w:hAnsi="Arial" w:cs="Arial"/>
          <w:lang w:val="en-GB"/>
        </w:rPr>
        <w:t xml:space="preserve"> delivered certain affidavits late, and they both applied for condonation in respect thereof.  Condonation was </w:t>
      </w:r>
      <w:r w:rsidR="00A7732B" w:rsidRPr="00177EF4">
        <w:rPr>
          <w:rFonts w:ascii="Arial" w:hAnsi="Arial" w:cs="Arial"/>
          <w:lang w:val="en-GB"/>
        </w:rPr>
        <w:t xml:space="preserve">duly </w:t>
      </w:r>
      <w:r w:rsidR="00453521" w:rsidRPr="00177EF4">
        <w:rPr>
          <w:rFonts w:ascii="Arial" w:hAnsi="Arial" w:cs="Arial"/>
          <w:lang w:val="en-GB"/>
        </w:rPr>
        <w:t>granted</w:t>
      </w:r>
      <w:r w:rsidR="00A7732B" w:rsidRPr="00177EF4">
        <w:rPr>
          <w:rFonts w:ascii="Arial" w:hAnsi="Arial" w:cs="Arial"/>
          <w:lang w:val="en-GB"/>
        </w:rPr>
        <w:t>.</w:t>
      </w:r>
    </w:p>
    <w:p w14:paraId="11C073D8" w14:textId="77777777" w:rsidR="002769DB" w:rsidRPr="009037BF" w:rsidRDefault="002769DB" w:rsidP="009037BF">
      <w:pPr>
        <w:pStyle w:val="ListParagraph"/>
        <w:widowControl w:val="0"/>
        <w:spacing w:line="480" w:lineRule="auto"/>
        <w:ind w:left="709"/>
        <w:jc w:val="both"/>
        <w:rPr>
          <w:rFonts w:ascii="Arial" w:hAnsi="Arial" w:cs="Arial"/>
          <w:lang w:val="en-GB"/>
        </w:rPr>
      </w:pPr>
    </w:p>
    <w:p w14:paraId="193804C6" w14:textId="02723B15" w:rsidR="002769DB" w:rsidRPr="009037BF" w:rsidRDefault="002769DB" w:rsidP="009037BF">
      <w:pPr>
        <w:widowControl w:val="0"/>
        <w:spacing w:line="480" w:lineRule="auto"/>
        <w:jc w:val="both"/>
        <w:rPr>
          <w:rFonts w:ascii="Arial" w:hAnsi="Arial" w:cs="Arial"/>
          <w:b/>
          <w:bCs/>
          <w:u w:val="single"/>
          <w:lang w:val="en-GB"/>
        </w:rPr>
      </w:pPr>
      <w:r w:rsidRPr="009037BF">
        <w:rPr>
          <w:rFonts w:ascii="Arial" w:hAnsi="Arial" w:cs="Arial"/>
          <w:b/>
          <w:bCs/>
          <w:u w:val="single"/>
          <w:lang w:val="en-GB"/>
        </w:rPr>
        <w:t>The application for contempt of court, and the respondent’s objection that such an application is not competent</w:t>
      </w:r>
      <w:r w:rsidR="00D27FA5" w:rsidRPr="009037BF">
        <w:rPr>
          <w:rFonts w:ascii="Arial" w:hAnsi="Arial" w:cs="Arial"/>
          <w:b/>
          <w:bCs/>
          <w:u w:val="single"/>
          <w:lang w:val="en-GB"/>
        </w:rPr>
        <w:t>ly</w:t>
      </w:r>
      <w:r w:rsidRPr="009037BF">
        <w:rPr>
          <w:rFonts w:ascii="Arial" w:hAnsi="Arial" w:cs="Arial"/>
          <w:b/>
          <w:bCs/>
          <w:u w:val="single"/>
          <w:lang w:val="en-GB"/>
        </w:rPr>
        <w:t xml:space="preserve"> brough</w:t>
      </w:r>
      <w:r w:rsidR="00D27FA5" w:rsidRPr="009037BF">
        <w:rPr>
          <w:rFonts w:ascii="Arial" w:hAnsi="Arial" w:cs="Arial"/>
          <w:b/>
          <w:bCs/>
          <w:u w:val="single"/>
          <w:lang w:val="en-GB"/>
        </w:rPr>
        <w:t>t</w:t>
      </w:r>
      <w:r w:rsidRPr="009037BF">
        <w:rPr>
          <w:rFonts w:ascii="Arial" w:hAnsi="Arial" w:cs="Arial"/>
          <w:b/>
          <w:bCs/>
          <w:u w:val="single"/>
          <w:lang w:val="en-GB"/>
        </w:rPr>
        <w:t xml:space="preserve"> as a counter-application to a Rule 43(6) application</w:t>
      </w:r>
    </w:p>
    <w:p w14:paraId="41BEDA4A" w14:textId="77777777" w:rsidR="002769DB" w:rsidRPr="009037BF" w:rsidRDefault="002769DB" w:rsidP="009037BF">
      <w:pPr>
        <w:widowControl w:val="0"/>
        <w:spacing w:line="480" w:lineRule="auto"/>
        <w:jc w:val="both"/>
        <w:rPr>
          <w:rFonts w:ascii="Arial" w:hAnsi="Arial" w:cs="Arial"/>
          <w:lang w:val="en-GB"/>
        </w:rPr>
      </w:pPr>
    </w:p>
    <w:p w14:paraId="0E063F7B" w14:textId="310A0309" w:rsidR="00D27FA5"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6.</w:t>
      </w:r>
      <w:r w:rsidRPr="009037BF">
        <w:rPr>
          <w:rFonts w:ascii="Arial" w:hAnsi="Arial" w:cs="Arial"/>
          <w:lang w:val="en-GB"/>
        </w:rPr>
        <w:tab/>
      </w:r>
      <w:r w:rsidR="002769DB" w:rsidRPr="00177EF4">
        <w:rPr>
          <w:rFonts w:ascii="Arial" w:hAnsi="Arial" w:cs="Arial"/>
          <w:lang w:val="en-GB"/>
        </w:rPr>
        <w:t xml:space="preserve">Is the respondent in contempt of court in relation to his maintenance payments </w:t>
      </w:r>
      <w:r w:rsidR="00975C07" w:rsidRPr="00177EF4">
        <w:rPr>
          <w:rFonts w:ascii="Arial" w:hAnsi="Arial" w:cs="Arial"/>
          <w:lang w:val="en-GB"/>
        </w:rPr>
        <w:t xml:space="preserve">under the Rule 43 order granted on 4 July 2017, </w:t>
      </w:r>
      <w:r w:rsidR="002769DB" w:rsidRPr="00177EF4">
        <w:rPr>
          <w:rFonts w:ascii="Arial" w:hAnsi="Arial" w:cs="Arial"/>
          <w:lang w:val="en-GB"/>
        </w:rPr>
        <w:t xml:space="preserve">and the directions </w:t>
      </w:r>
      <w:r w:rsidR="00975C07" w:rsidRPr="00177EF4">
        <w:rPr>
          <w:rFonts w:ascii="Arial" w:hAnsi="Arial" w:cs="Arial"/>
          <w:lang w:val="en-GB"/>
        </w:rPr>
        <w:t xml:space="preserve">given </w:t>
      </w:r>
      <w:r w:rsidR="002769DB" w:rsidRPr="00177EF4">
        <w:rPr>
          <w:rFonts w:ascii="Arial" w:hAnsi="Arial" w:cs="Arial"/>
          <w:lang w:val="en-GB"/>
        </w:rPr>
        <w:t>by Justice Dolamo</w:t>
      </w:r>
      <w:r w:rsidR="00975C07" w:rsidRPr="00177EF4">
        <w:rPr>
          <w:rFonts w:ascii="Arial" w:hAnsi="Arial" w:cs="Arial"/>
          <w:lang w:val="en-GB"/>
        </w:rPr>
        <w:t xml:space="preserve"> in the course of the pretrial proceedings</w:t>
      </w:r>
      <w:r w:rsidR="002769DB" w:rsidRPr="00177EF4">
        <w:rPr>
          <w:rFonts w:ascii="Arial" w:hAnsi="Arial" w:cs="Arial"/>
          <w:lang w:val="en-GB"/>
        </w:rPr>
        <w:t>?</w:t>
      </w:r>
    </w:p>
    <w:p w14:paraId="35E13BAB" w14:textId="77777777" w:rsidR="00D27FA5" w:rsidRPr="009037BF" w:rsidRDefault="00D27FA5" w:rsidP="009037BF">
      <w:pPr>
        <w:pStyle w:val="ListParagraph"/>
        <w:widowControl w:val="0"/>
        <w:spacing w:line="480" w:lineRule="auto"/>
        <w:ind w:left="709"/>
        <w:jc w:val="both"/>
        <w:rPr>
          <w:rFonts w:ascii="Arial" w:hAnsi="Arial" w:cs="Arial"/>
          <w:lang w:val="en-GB"/>
        </w:rPr>
      </w:pPr>
    </w:p>
    <w:p w14:paraId="7C3162FC" w14:textId="67CBCD79" w:rsidR="002769DB"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7.</w:t>
      </w:r>
      <w:r w:rsidRPr="009037BF">
        <w:rPr>
          <w:rFonts w:ascii="Arial" w:hAnsi="Arial" w:cs="Arial"/>
          <w:lang w:val="en-GB"/>
        </w:rPr>
        <w:tab/>
      </w:r>
      <w:r w:rsidR="00B3241E" w:rsidRPr="00177EF4">
        <w:rPr>
          <w:rFonts w:ascii="Arial" w:hAnsi="Arial" w:cs="Arial"/>
        </w:rPr>
        <w:t xml:space="preserve">The pretrial directions in question are those issued on 7 October 2020 and 26 November 2020. </w:t>
      </w:r>
      <w:r w:rsidR="005646AF" w:rsidRPr="00177EF4">
        <w:rPr>
          <w:rFonts w:ascii="Arial" w:hAnsi="Arial" w:cs="Arial"/>
        </w:rPr>
        <w:t xml:space="preserve">(The allegation that the respondent was also in contempt of a pretrial directive dated 6 February 2018 was not persisted with at the hearing of the application.)  </w:t>
      </w:r>
      <w:r w:rsidR="00B3241E" w:rsidRPr="00177EF4">
        <w:rPr>
          <w:rFonts w:ascii="Arial" w:hAnsi="Arial" w:cs="Arial"/>
        </w:rPr>
        <w:t xml:space="preserve">Those directions were issued requiring the respondent to provide a detailed reply to the reconciliation of the maintenance arrears in dispute by 20 November 2020 and, on extension, by 4 December 2020. The respondent was further required to </w:t>
      </w:r>
      <w:r w:rsidR="00E94DDC" w:rsidRPr="00177EF4">
        <w:rPr>
          <w:rFonts w:ascii="Arial" w:hAnsi="Arial" w:cs="Arial"/>
        </w:rPr>
        <w:t>“</w:t>
      </w:r>
      <w:r w:rsidR="00B3241E" w:rsidRPr="00177EF4">
        <w:rPr>
          <w:rFonts w:ascii="Arial" w:hAnsi="Arial" w:cs="Arial"/>
          <w:i/>
          <w:iCs/>
        </w:rPr>
        <w:t>finalise</w:t>
      </w:r>
      <w:r w:rsidR="00E94DDC" w:rsidRPr="00177EF4">
        <w:rPr>
          <w:rFonts w:ascii="Arial" w:hAnsi="Arial" w:cs="Arial"/>
        </w:rPr>
        <w:t>”</w:t>
      </w:r>
      <w:r w:rsidR="00B3241E" w:rsidRPr="00177EF4">
        <w:rPr>
          <w:rFonts w:ascii="Arial" w:hAnsi="Arial" w:cs="Arial"/>
        </w:rPr>
        <w:t xml:space="preserve"> his views regarding the alleged loan liabilities owed by the applicant to the respondent, providing full details, quantification, and supporting </w:t>
      </w:r>
      <w:r w:rsidR="00B3241E" w:rsidRPr="00177EF4">
        <w:rPr>
          <w:rFonts w:ascii="Arial" w:hAnsi="Arial" w:cs="Arial"/>
        </w:rPr>
        <w:lastRenderedPageBreak/>
        <w:t>evidence by 20 November 2020, and on 4 December 2020, after an extension to comply had been given.</w:t>
      </w:r>
    </w:p>
    <w:p w14:paraId="610FFB1F" w14:textId="16D6D15F" w:rsidR="00975C07" w:rsidRPr="009037BF" w:rsidRDefault="00975C07" w:rsidP="009037BF">
      <w:pPr>
        <w:widowControl w:val="0"/>
        <w:spacing w:line="480" w:lineRule="auto"/>
        <w:jc w:val="both"/>
        <w:rPr>
          <w:rFonts w:ascii="Arial" w:hAnsi="Arial" w:cs="Arial"/>
          <w:lang w:val="en-GB"/>
        </w:rPr>
      </w:pPr>
    </w:p>
    <w:p w14:paraId="4A2AF8A3" w14:textId="791A05A0" w:rsidR="00F81AAE" w:rsidRPr="009037BF" w:rsidRDefault="00F81AAE" w:rsidP="009037BF">
      <w:pPr>
        <w:widowControl w:val="0"/>
        <w:spacing w:line="480" w:lineRule="auto"/>
        <w:jc w:val="both"/>
        <w:rPr>
          <w:rFonts w:ascii="Arial" w:hAnsi="Arial" w:cs="Arial"/>
          <w:u w:val="single"/>
          <w:lang w:val="en-GB"/>
        </w:rPr>
      </w:pPr>
      <w:r w:rsidRPr="009037BF">
        <w:rPr>
          <w:rFonts w:ascii="Arial" w:hAnsi="Arial" w:cs="Arial"/>
          <w:u w:val="single"/>
          <w:lang w:val="en-GB"/>
        </w:rPr>
        <w:t>The Rule 30 notice</w:t>
      </w:r>
    </w:p>
    <w:p w14:paraId="7BE47A2B" w14:textId="77777777" w:rsidR="00F81AAE" w:rsidRPr="009037BF" w:rsidRDefault="00F81AAE" w:rsidP="009037BF">
      <w:pPr>
        <w:widowControl w:val="0"/>
        <w:spacing w:line="480" w:lineRule="auto"/>
        <w:jc w:val="both"/>
        <w:rPr>
          <w:rFonts w:ascii="Arial" w:hAnsi="Arial" w:cs="Arial"/>
          <w:lang w:val="en-GB"/>
        </w:rPr>
      </w:pPr>
    </w:p>
    <w:p w14:paraId="194C6097" w14:textId="487A83DA" w:rsidR="002769DB"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8.</w:t>
      </w:r>
      <w:r w:rsidRPr="009037BF">
        <w:rPr>
          <w:rFonts w:ascii="Arial" w:hAnsi="Arial" w:cs="Arial"/>
          <w:lang w:val="en-GB"/>
        </w:rPr>
        <w:tab/>
      </w:r>
      <w:r w:rsidR="00C4175B" w:rsidRPr="00177EF4">
        <w:rPr>
          <w:rFonts w:ascii="Arial" w:hAnsi="Arial" w:cs="Arial"/>
          <w:lang w:val="en-GB"/>
        </w:rPr>
        <w:t xml:space="preserve">The applicant brought the contempt application as a counter-application to the respondent’s Rule 43(6) application.  In response, the </w:t>
      </w:r>
      <w:r w:rsidR="00975C07" w:rsidRPr="00177EF4">
        <w:rPr>
          <w:rFonts w:ascii="Arial" w:hAnsi="Arial" w:cs="Arial"/>
          <w:lang w:val="en-GB"/>
        </w:rPr>
        <w:t>respondent delivered a notice in terms of Rule 30</w:t>
      </w:r>
      <w:r w:rsidR="00B346C0" w:rsidRPr="00177EF4">
        <w:rPr>
          <w:rFonts w:ascii="Arial" w:hAnsi="Arial" w:cs="Arial"/>
          <w:lang w:val="en-GB"/>
        </w:rPr>
        <w:t>(2)(b)</w:t>
      </w:r>
      <w:r w:rsidR="00975C07" w:rsidRPr="00177EF4">
        <w:rPr>
          <w:rFonts w:ascii="Arial" w:hAnsi="Arial" w:cs="Arial"/>
          <w:lang w:val="en-GB"/>
        </w:rPr>
        <w:t>, objecting (insofar as relevant for present purposes) on the basis that a contempt application is not contemplated or envisaged in terms of Rule 43.</w:t>
      </w:r>
    </w:p>
    <w:p w14:paraId="77FE4026" w14:textId="77777777" w:rsidR="00975C07" w:rsidRPr="009037BF" w:rsidRDefault="00975C07" w:rsidP="009037BF">
      <w:pPr>
        <w:pStyle w:val="ListParagraph"/>
        <w:widowControl w:val="0"/>
        <w:spacing w:line="480" w:lineRule="auto"/>
        <w:jc w:val="both"/>
        <w:rPr>
          <w:rFonts w:ascii="Arial" w:hAnsi="Arial" w:cs="Arial"/>
          <w:lang w:val="en-GB"/>
        </w:rPr>
      </w:pPr>
    </w:p>
    <w:p w14:paraId="06F6B7E5" w14:textId="1033A026" w:rsidR="00423F49"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9.</w:t>
      </w:r>
      <w:r w:rsidRPr="009037BF">
        <w:rPr>
          <w:rFonts w:ascii="Arial" w:hAnsi="Arial" w:cs="Arial"/>
          <w:lang w:val="en-GB"/>
        </w:rPr>
        <w:tab/>
      </w:r>
      <w:r w:rsidR="00975C07" w:rsidRPr="00177EF4">
        <w:rPr>
          <w:rFonts w:ascii="Arial" w:hAnsi="Arial" w:cs="Arial"/>
          <w:lang w:val="en-GB"/>
        </w:rPr>
        <w:t>The Rule 30</w:t>
      </w:r>
      <w:r w:rsidR="00B346C0" w:rsidRPr="00177EF4">
        <w:rPr>
          <w:rFonts w:ascii="Arial" w:hAnsi="Arial" w:cs="Arial"/>
          <w:lang w:val="en-GB"/>
        </w:rPr>
        <w:t>(2)(b)</w:t>
      </w:r>
      <w:r w:rsidR="00975C07" w:rsidRPr="00177EF4">
        <w:rPr>
          <w:rFonts w:ascii="Arial" w:hAnsi="Arial" w:cs="Arial"/>
          <w:lang w:val="en-GB"/>
        </w:rPr>
        <w:t xml:space="preserve"> notice was not followed up by an application as contemplated in Rule 30</w:t>
      </w:r>
      <w:r w:rsidR="00B346C0" w:rsidRPr="00177EF4">
        <w:rPr>
          <w:rFonts w:ascii="Arial" w:hAnsi="Arial" w:cs="Arial"/>
          <w:lang w:val="en-GB"/>
        </w:rPr>
        <w:t>(2)(c), and there is thus no Rule 30 application before me.  As the issue was, however, raised in argument, I address it briefly.</w:t>
      </w:r>
    </w:p>
    <w:p w14:paraId="41F98344" w14:textId="77777777" w:rsidR="00423F49" w:rsidRPr="009037BF" w:rsidRDefault="00423F49" w:rsidP="009037BF">
      <w:pPr>
        <w:pStyle w:val="ListParagraph"/>
        <w:widowControl w:val="0"/>
        <w:spacing w:line="480" w:lineRule="auto"/>
        <w:jc w:val="both"/>
        <w:rPr>
          <w:rFonts w:ascii="Arial" w:hAnsi="Arial" w:cs="Arial"/>
          <w:lang w:val="en-GB"/>
        </w:rPr>
      </w:pPr>
    </w:p>
    <w:p w14:paraId="13AE00AD" w14:textId="558AB97A" w:rsidR="001D7574"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10.</w:t>
      </w:r>
      <w:r w:rsidRPr="009037BF">
        <w:rPr>
          <w:rFonts w:ascii="Arial" w:hAnsi="Arial" w:cs="Arial"/>
          <w:lang w:val="en-GB"/>
        </w:rPr>
        <w:tab/>
      </w:r>
      <w:r w:rsidR="00B346C0" w:rsidRPr="00177EF4">
        <w:rPr>
          <w:rFonts w:ascii="Arial" w:hAnsi="Arial" w:cs="Arial"/>
          <w:lang w:val="en-GB"/>
        </w:rPr>
        <w:t xml:space="preserve">It seems to me that </w:t>
      </w:r>
      <w:r w:rsidR="008A7A8A" w:rsidRPr="00177EF4">
        <w:rPr>
          <w:rFonts w:ascii="Arial" w:hAnsi="Arial" w:cs="Arial"/>
          <w:lang w:val="en-GB"/>
        </w:rPr>
        <w:t>the objection is without merit.  The issue</w:t>
      </w:r>
      <w:r w:rsidR="00E443A9" w:rsidRPr="00177EF4">
        <w:rPr>
          <w:rFonts w:ascii="Arial" w:hAnsi="Arial" w:cs="Arial"/>
          <w:lang w:val="en-GB"/>
        </w:rPr>
        <w:t>s</w:t>
      </w:r>
      <w:r w:rsidR="008A7A8A" w:rsidRPr="00177EF4">
        <w:rPr>
          <w:rFonts w:ascii="Arial" w:hAnsi="Arial" w:cs="Arial"/>
          <w:lang w:val="en-GB"/>
        </w:rPr>
        <w:t xml:space="preserve"> invariably being intertwined, there cannot be a bar against a respondent (in this case the applicant) in an application under Rule 43(6) raising the fact that the applicant for the variation (the respondent in the present case) is in contempt of his existing obligations.  </w:t>
      </w:r>
      <w:r w:rsidR="00EB1A89" w:rsidRPr="00177EF4">
        <w:rPr>
          <w:rFonts w:ascii="Arial" w:hAnsi="Arial" w:cs="Arial"/>
          <w:lang w:val="en-GB"/>
        </w:rPr>
        <w:t>In fact, i</w:t>
      </w:r>
      <w:r w:rsidR="001D7574" w:rsidRPr="00177EF4">
        <w:rPr>
          <w:rFonts w:ascii="Arial" w:hAnsi="Arial" w:cs="Arial"/>
          <w:lang w:val="en-GB"/>
        </w:rPr>
        <w:t xml:space="preserve">t often happens that </w:t>
      </w:r>
      <w:r w:rsidR="00EB1A89" w:rsidRPr="00177EF4">
        <w:rPr>
          <w:rFonts w:ascii="Arial" w:hAnsi="Arial" w:cs="Arial"/>
          <w:lang w:val="en-GB"/>
        </w:rPr>
        <w:t xml:space="preserve">an applicant armed with a Rule 43 order will bring a contempt application, which is then met by the respondent with an application under section 43(6) (see, for example, </w:t>
      </w:r>
      <w:r w:rsidR="00423F49" w:rsidRPr="00177EF4">
        <w:rPr>
          <w:rFonts w:ascii="Arial" w:hAnsi="Arial" w:cs="Arial"/>
          <w:i/>
          <w:iCs/>
        </w:rPr>
        <w:t>S v S</w:t>
      </w:r>
      <w:r w:rsidR="00423F49" w:rsidRPr="00177EF4">
        <w:rPr>
          <w:rFonts w:ascii="Arial" w:hAnsi="Arial" w:cs="Arial"/>
        </w:rPr>
        <w:t xml:space="preserve"> (12496/2019) [2021] ZAGPJHC 7 (8 February 2021)</w:t>
      </w:r>
      <w:r w:rsidR="001D7574" w:rsidRPr="00177EF4">
        <w:rPr>
          <w:rFonts w:ascii="Arial" w:hAnsi="Arial" w:cs="Arial"/>
        </w:rPr>
        <w:t>)</w:t>
      </w:r>
      <w:r w:rsidR="00423F49" w:rsidRPr="00177EF4">
        <w:rPr>
          <w:rFonts w:ascii="Arial" w:hAnsi="Arial" w:cs="Arial"/>
        </w:rPr>
        <w:t xml:space="preserve">.  </w:t>
      </w:r>
      <w:r w:rsidR="00EB1A89" w:rsidRPr="00177EF4">
        <w:rPr>
          <w:rFonts w:ascii="Arial" w:hAnsi="Arial" w:cs="Arial"/>
          <w:lang w:val="en-GB"/>
        </w:rPr>
        <w:t>There is no reason why the converse should not be allowed.</w:t>
      </w:r>
    </w:p>
    <w:p w14:paraId="155CA4E6" w14:textId="77777777" w:rsidR="001D7574" w:rsidRPr="009037BF" w:rsidRDefault="001D7574" w:rsidP="009037BF">
      <w:pPr>
        <w:pStyle w:val="ListParagraph"/>
        <w:widowControl w:val="0"/>
        <w:spacing w:line="480" w:lineRule="auto"/>
        <w:jc w:val="both"/>
        <w:rPr>
          <w:rFonts w:ascii="Arial" w:hAnsi="Arial" w:cs="Arial"/>
          <w:lang w:val="en-GB"/>
        </w:rPr>
      </w:pPr>
    </w:p>
    <w:p w14:paraId="4A8C24F4" w14:textId="50F5FB6B" w:rsidR="001D7574"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11.</w:t>
      </w:r>
      <w:r w:rsidRPr="009037BF">
        <w:rPr>
          <w:rFonts w:ascii="Arial" w:hAnsi="Arial" w:cs="Arial"/>
          <w:lang w:val="en-GB"/>
        </w:rPr>
        <w:tab/>
      </w:r>
      <w:r w:rsidR="008A7A8A" w:rsidRPr="00177EF4">
        <w:rPr>
          <w:rFonts w:ascii="Arial" w:hAnsi="Arial" w:cs="Arial"/>
          <w:lang w:val="en-GB"/>
        </w:rPr>
        <w:t xml:space="preserve">Requiring the applicant to launch a separate contempt application is unnecessarily </w:t>
      </w:r>
      <w:r w:rsidR="008A7A8A" w:rsidRPr="00177EF4">
        <w:rPr>
          <w:rFonts w:ascii="Arial" w:hAnsi="Arial" w:cs="Arial"/>
          <w:lang w:val="en-GB"/>
        </w:rPr>
        <w:lastRenderedPageBreak/>
        <w:t>formalistic, and would lead to the piecem</w:t>
      </w:r>
      <w:r w:rsidR="00E443A9" w:rsidRPr="00177EF4">
        <w:rPr>
          <w:rFonts w:ascii="Arial" w:hAnsi="Arial" w:cs="Arial"/>
          <w:lang w:val="en-GB"/>
        </w:rPr>
        <w:t>e</w:t>
      </w:r>
      <w:r w:rsidR="008A7A8A" w:rsidRPr="00177EF4">
        <w:rPr>
          <w:rFonts w:ascii="Arial" w:hAnsi="Arial" w:cs="Arial"/>
          <w:lang w:val="en-GB"/>
        </w:rPr>
        <w:t>al adjudication of issues tha</w:t>
      </w:r>
      <w:r w:rsidR="00E443A9" w:rsidRPr="00177EF4">
        <w:rPr>
          <w:rFonts w:ascii="Arial" w:hAnsi="Arial" w:cs="Arial"/>
          <w:lang w:val="en-GB"/>
        </w:rPr>
        <w:t>t should properly be considered</w:t>
      </w:r>
      <w:r w:rsidR="008A7A8A" w:rsidRPr="00177EF4">
        <w:rPr>
          <w:rFonts w:ascii="Arial" w:hAnsi="Arial" w:cs="Arial"/>
          <w:lang w:val="en-GB"/>
        </w:rPr>
        <w:t xml:space="preserve"> </w:t>
      </w:r>
      <w:r w:rsidR="00E443A9" w:rsidRPr="00177EF4">
        <w:rPr>
          <w:rFonts w:ascii="Arial" w:hAnsi="Arial" w:cs="Arial"/>
          <w:lang w:val="en-GB"/>
        </w:rPr>
        <w:t>together.</w:t>
      </w:r>
      <w:r w:rsidR="00423F49" w:rsidRPr="00177EF4">
        <w:rPr>
          <w:rFonts w:ascii="Arial" w:hAnsi="Arial" w:cs="Arial"/>
          <w:lang w:val="en-GB"/>
        </w:rPr>
        <w:t xml:space="preserve">  </w:t>
      </w:r>
      <w:r w:rsidR="001D7574" w:rsidRPr="00177EF4">
        <w:rPr>
          <w:rFonts w:ascii="Arial" w:hAnsi="Arial" w:cs="Arial"/>
        </w:rPr>
        <w:t>The rules of court are not an end in themselves to be observed for their own sake, but are there to secure the expeditious completion of litigation before the Court (</w:t>
      </w:r>
      <w:r w:rsidR="001D7574" w:rsidRPr="00177EF4">
        <w:rPr>
          <w:rFonts w:ascii="Arial" w:hAnsi="Arial" w:cs="Arial"/>
          <w:i/>
          <w:iCs/>
        </w:rPr>
        <w:t>Federated Trust Ltd v Botha</w:t>
      </w:r>
      <w:r w:rsidR="001D7574" w:rsidRPr="00177EF4">
        <w:rPr>
          <w:rFonts w:ascii="Arial" w:hAnsi="Arial" w:cs="Arial"/>
        </w:rPr>
        <w:t xml:space="preserve"> 1978 (3) SA 645 (A) at 654C- F). The respondent’s objection is unnecessarily procedural and not truly required for justice to be done in the circumstances.</w:t>
      </w:r>
    </w:p>
    <w:p w14:paraId="52D12B87" w14:textId="77777777" w:rsidR="00E443A9" w:rsidRPr="009037BF" w:rsidRDefault="00E443A9" w:rsidP="009037BF">
      <w:pPr>
        <w:pStyle w:val="ListParagraph"/>
        <w:widowControl w:val="0"/>
        <w:spacing w:line="480" w:lineRule="auto"/>
        <w:jc w:val="both"/>
        <w:rPr>
          <w:rFonts w:ascii="Arial" w:hAnsi="Arial" w:cs="Arial"/>
          <w:lang w:val="en-GB"/>
        </w:rPr>
      </w:pPr>
    </w:p>
    <w:p w14:paraId="3EAB75C0" w14:textId="70E6308A" w:rsidR="00E443A9"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12.</w:t>
      </w:r>
      <w:r w:rsidRPr="009037BF">
        <w:rPr>
          <w:rFonts w:ascii="Arial" w:hAnsi="Arial" w:cs="Arial"/>
          <w:lang w:val="en-GB"/>
        </w:rPr>
        <w:tab/>
      </w:r>
      <w:r w:rsidR="00E443A9" w:rsidRPr="00177EF4">
        <w:rPr>
          <w:rFonts w:ascii="Arial" w:hAnsi="Arial" w:cs="Arial"/>
          <w:lang w:val="en-GB"/>
        </w:rPr>
        <w:t>In any event, the</w:t>
      </w:r>
      <w:r w:rsidR="006116C1" w:rsidRPr="00177EF4">
        <w:rPr>
          <w:rFonts w:ascii="Arial" w:hAnsi="Arial" w:cs="Arial"/>
          <w:lang w:val="en-GB"/>
        </w:rPr>
        <w:t xml:space="preserve"> argument</w:t>
      </w:r>
      <w:r w:rsidR="00E443A9" w:rsidRPr="00177EF4">
        <w:rPr>
          <w:rFonts w:ascii="Arial" w:hAnsi="Arial" w:cs="Arial"/>
          <w:lang w:val="en-GB"/>
        </w:rPr>
        <w:t xml:space="preserve"> that Rule 43 itself does not contemplate contempt proceedings </w:t>
      </w:r>
      <w:r w:rsidR="00CA08A7" w:rsidRPr="00177EF4">
        <w:rPr>
          <w:rFonts w:ascii="Arial" w:hAnsi="Arial" w:cs="Arial"/>
          <w:lang w:val="en-GB"/>
        </w:rPr>
        <w:t>is misplaced</w:t>
      </w:r>
      <w:r w:rsidR="00E443A9" w:rsidRPr="00177EF4">
        <w:rPr>
          <w:rFonts w:ascii="Arial" w:hAnsi="Arial" w:cs="Arial"/>
          <w:lang w:val="en-GB"/>
        </w:rPr>
        <w:t xml:space="preserve">.  The applicant is not seeking relief under Rule 43; she is seeking contempt relief based upon the respondent’s alleged non-compliance with, </w:t>
      </w:r>
      <w:r w:rsidR="00E443A9" w:rsidRPr="00177EF4">
        <w:rPr>
          <w:rFonts w:ascii="Arial" w:hAnsi="Arial" w:cs="Arial"/>
          <w:i/>
          <w:iCs/>
          <w:lang w:val="en-GB"/>
        </w:rPr>
        <w:t>inter alia</w:t>
      </w:r>
      <w:r w:rsidR="00E443A9" w:rsidRPr="00177EF4">
        <w:rPr>
          <w:rFonts w:ascii="Arial" w:hAnsi="Arial" w:cs="Arial"/>
          <w:lang w:val="en-GB"/>
        </w:rPr>
        <w:t>, his obligations under the Rule 43 order.</w:t>
      </w:r>
    </w:p>
    <w:p w14:paraId="7A348B4F" w14:textId="160F2840" w:rsidR="00E443A9" w:rsidRPr="009037BF" w:rsidRDefault="00E443A9" w:rsidP="009037BF">
      <w:pPr>
        <w:widowControl w:val="0"/>
        <w:spacing w:line="480" w:lineRule="auto"/>
        <w:jc w:val="both"/>
        <w:rPr>
          <w:rFonts w:ascii="Arial" w:hAnsi="Arial" w:cs="Arial"/>
          <w:lang w:val="en-GB"/>
        </w:rPr>
      </w:pPr>
    </w:p>
    <w:p w14:paraId="5E87E7EE" w14:textId="1CFEE832" w:rsidR="00F81AAE" w:rsidRPr="009037BF" w:rsidRDefault="00F81AAE" w:rsidP="009037BF">
      <w:pPr>
        <w:widowControl w:val="0"/>
        <w:spacing w:line="480" w:lineRule="auto"/>
        <w:jc w:val="both"/>
        <w:rPr>
          <w:rFonts w:ascii="Arial" w:hAnsi="Arial" w:cs="Arial"/>
          <w:u w:val="single"/>
          <w:lang w:val="en-GB"/>
        </w:rPr>
      </w:pPr>
      <w:r w:rsidRPr="009037BF">
        <w:rPr>
          <w:rFonts w:ascii="Arial" w:hAnsi="Arial" w:cs="Arial"/>
          <w:u w:val="single"/>
          <w:lang w:val="en-GB"/>
        </w:rPr>
        <w:t>The contempt application</w:t>
      </w:r>
    </w:p>
    <w:p w14:paraId="17A961F9" w14:textId="77777777" w:rsidR="00F81AAE" w:rsidRPr="009037BF" w:rsidRDefault="00F81AAE" w:rsidP="009037BF">
      <w:pPr>
        <w:widowControl w:val="0"/>
        <w:spacing w:line="480" w:lineRule="auto"/>
        <w:jc w:val="both"/>
        <w:rPr>
          <w:rFonts w:ascii="Arial" w:hAnsi="Arial" w:cs="Arial"/>
          <w:lang w:val="en-GB"/>
        </w:rPr>
      </w:pPr>
    </w:p>
    <w:p w14:paraId="2AA4CEA8" w14:textId="39C14CEF" w:rsidR="00E10FE8"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13.</w:t>
      </w:r>
      <w:r w:rsidRPr="009037BF">
        <w:rPr>
          <w:rFonts w:ascii="Arial" w:hAnsi="Arial" w:cs="Arial"/>
          <w:lang w:val="en-GB"/>
        </w:rPr>
        <w:tab/>
      </w:r>
      <w:r w:rsidR="00E443A9" w:rsidRPr="00177EF4">
        <w:rPr>
          <w:rFonts w:ascii="Arial" w:hAnsi="Arial" w:cs="Arial"/>
          <w:lang w:val="en-GB"/>
        </w:rPr>
        <w:t xml:space="preserve">Returning to the contempt application:  </w:t>
      </w:r>
      <w:r w:rsidR="005E1918" w:rsidRPr="00177EF4">
        <w:rPr>
          <w:rFonts w:ascii="Arial" w:hAnsi="Arial" w:cs="Arial"/>
        </w:rPr>
        <w:t>the common law test for whether disobedience of a civil order constitutes contempt is that (1) an order must exist, (2) the order must have been duly served on the contemnor, (3) there must have been non-compliance, and (4) the non-compliance must have been deliberate and </w:t>
      </w:r>
      <w:r w:rsidR="005E1918" w:rsidRPr="00177EF4">
        <w:rPr>
          <w:rStyle w:val="Emphasis"/>
          <w:rFonts w:ascii="Arial" w:hAnsi="Arial" w:cs="Arial"/>
        </w:rPr>
        <w:t>mala fide</w:t>
      </w:r>
      <w:r w:rsidR="005E1918" w:rsidRPr="00177EF4">
        <w:rPr>
          <w:rFonts w:ascii="Arial" w:hAnsi="Arial" w:cs="Arial"/>
        </w:rPr>
        <w:t xml:space="preserve">. The onus lies on the applicant to prove beyond a reasonable doubt that all these elements are present (see </w:t>
      </w:r>
      <w:r w:rsidR="005E1918" w:rsidRPr="00177EF4">
        <w:rPr>
          <w:rFonts w:ascii="Arial" w:hAnsi="Arial" w:cs="Arial"/>
          <w:i/>
          <w:iCs/>
          <w:shd w:val="clear" w:color="auto" w:fill="FFFFFF"/>
        </w:rPr>
        <w:t>Fakie N.O. v CCII Systems (Pty) Ltd </w:t>
      </w:r>
      <w:r w:rsidR="005E1918" w:rsidRPr="00177EF4">
        <w:rPr>
          <w:rFonts w:ascii="Arial" w:hAnsi="Arial" w:cs="Arial"/>
          <w:shd w:val="clear" w:color="auto" w:fill="FFFFFF"/>
        </w:rPr>
        <w:t>2006 (4) SA 326 (SCA)).</w:t>
      </w:r>
    </w:p>
    <w:p w14:paraId="196F11C4" w14:textId="77777777" w:rsidR="00E10FE8" w:rsidRPr="009037BF" w:rsidRDefault="00E10FE8" w:rsidP="009037BF">
      <w:pPr>
        <w:pStyle w:val="ListParagraph"/>
        <w:widowControl w:val="0"/>
        <w:spacing w:line="480" w:lineRule="auto"/>
        <w:jc w:val="both"/>
        <w:rPr>
          <w:rFonts w:ascii="Arial" w:hAnsi="Arial" w:cs="Arial"/>
          <w:lang w:val="en-GB"/>
        </w:rPr>
      </w:pPr>
    </w:p>
    <w:p w14:paraId="11A47256" w14:textId="21147776" w:rsidR="007274E0"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14.</w:t>
      </w:r>
      <w:r w:rsidRPr="009037BF">
        <w:rPr>
          <w:rFonts w:ascii="Arial" w:hAnsi="Arial" w:cs="Arial"/>
          <w:sz w:val="24"/>
          <w:szCs w:val="24"/>
        </w:rPr>
        <w:tab/>
      </w:r>
      <w:r w:rsidR="007274E0" w:rsidRPr="009037BF">
        <w:rPr>
          <w:rFonts w:ascii="Arial" w:hAnsi="Arial" w:cs="Arial"/>
          <w:sz w:val="24"/>
          <w:szCs w:val="24"/>
        </w:rPr>
        <w:t xml:space="preserve">The onus then shifts to the respondent to prove, on the balance of probabilities, that his non-compliance was not wilful or </w:t>
      </w:r>
      <w:r w:rsidR="007274E0" w:rsidRPr="009037BF">
        <w:rPr>
          <w:rFonts w:ascii="Arial" w:hAnsi="Arial" w:cs="Arial"/>
          <w:i/>
          <w:iCs/>
          <w:sz w:val="24"/>
          <w:szCs w:val="24"/>
        </w:rPr>
        <w:t>mala fide</w:t>
      </w:r>
      <w:r w:rsidR="007274E0" w:rsidRPr="009037BF">
        <w:rPr>
          <w:rFonts w:ascii="Arial" w:hAnsi="Arial" w:cs="Arial"/>
          <w:sz w:val="24"/>
          <w:szCs w:val="24"/>
        </w:rPr>
        <w:t>. Failing such proof, the requirements for a declaration of contempt will have been established beyond a reasonable doubt.</w:t>
      </w:r>
    </w:p>
    <w:p w14:paraId="6CC319BE" w14:textId="77777777" w:rsidR="007274E0" w:rsidRPr="009037BF" w:rsidRDefault="007274E0" w:rsidP="007D290F">
      <w:pPr>
        <w:pStyle w:val="PlainText"/>
        <w:widowControl w:val="0"/>
        <w:spacing w:line="480" w:lineRule="auto"/>
        <w:ind w:left="709"/>
        <w:jc w:val="both"/>
        <w:rPr>
          <w:rFonts w:ascii="Arial" w:hAnsi="Arial" w:cs="Arial"/>
          <w:sz w:val="24"/>
          <w:szCs w:val="24"/>
        </w:rPr>
      </w:pPr>
    </w:p>
    <w:p w14:paraId="1E42C307" w14:textId="389757EA" w:rsidR="0040635C" w:rsidRDefault="00177EF4" w:rsidP="00177EF4">
      <w:pPr>
        <w:pStyle w:val="PlainText"/>
        <w:widowControl w:val="0"/>
        <w:tabs>
          <w:tab w:val="left" w:pos="709"/>
        </w:tabs>
        <w:spacing w:line="480" w:lineRule="auto"/>
        <w:ind w:left="709" w:hanging="709"/>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40635C">
        <w:rPr>
          <w:rFonts w:ascii="Arial" w:hAnsi="Arial" w:cs="Arial"/>
          <w:sz w:val="24"/>
          <w:szCs w:val="24"/>
        </w:rPr>
        <w:t>The object of contempt procee</w:t>
      </w:r>
      <w:r w:rsidR="007D290F">
        <w:rPr>
          <w:rFonts w:ascii="Arial" w:hAnsi="Arial" w:cs="Arial"/>
          <w:sz w:val="24"/>
          <w:szCs w:val="24"/>
        </w:rPr>
        <w:t>d</w:t>
      </w:r>
      <w:r w:rsidR="0040635C">
        <w:rPr>
          <w:rFonts w:ascii="Arial" w:hAnsi="Arial" w:cs="Arial"/>
          <w:sz w:val="24"/>
          <w:szCs w:val="24"/>
        </w:rPr>
        <w:t xml:space="preserve">ings is not only to </w:t>
      </w:r>
      <w:r w:rsidR="007D290F">
        <w:rPr>
          <w:rFonts w:ascii="Arial" w:hAnsi="Arial" w:cs="Arial"/>
          <w:sz w:val="24"/>
          <w:szCs w:val="24"/>
        </w:rPr>
        <w:t>p</w:t>
      </w:r>
      <w:r w:rsidR="0040635C">
        <w:rPr>
          <w:rFonts w:ascii="Arial" w:hAnsi="Arial" w:cs="Arial"/>
          <w:sz w:val="24"/>
          <w:szCs w:val="24"/>
        </w:rPr>
        <w:t>unish,</w:t>
      </w:r>
      <w:r w:rsidR="007D290F">
        <w:rPr>
          <w:rFonts w:ascii="Arial" w:hAnsi="Arial" w:cs="Arial"/>
          <w:sz w:val="24"/>
          <w:szCs w:val="24"/>
        </w:rPr>
        <w:t xml:space="preserve"> but </w:t>
      </w:r>
      <w:r w:rsidR="0040635C">
        <w:rPr>
          <w:rFonts w:ascii="Arial" w:hAnsi="Arial" w:cs="Arial"/>
          <w:sz w:val="24"/>
          <w:szCs w:val="24"/>
        </w:rPr>
        <w:t>also t</w:t>
      </w:r>
      <w:r w:rsidR="007D290F">
        <w:rPr>
          <w:rFonts w:ascii="Arial" w:hAnsi="Arial" w:cs="Arial"/>
          <w:sz w:val="24"/>
          <w:szCs w:val="24"/>
        </w:rPr>
        <w:t>o</w:t>
      </w:r>
      <w:r w:rsidR="0040635C">
        <w:rPr>
          <w:rFonts w:ascii="Arial" w:hAnsi="Arial" w:cs="Arial"/>
          <w:sz w:val="24"/>
          <w:szCs w:val="24"/>
        </w:rPr>
        <w:t xml:space="preserve"> compel compliance (</w:t>
      </w:r>
      <w:r w:rsidR="0040635C" w:rsidRPr="007D290F">
        <w:rPr>
          <w:rFonts w:ascii="Arial" w:hAnsi="Arial" w:cs="Arial"/>
          <w:i/>
          <w:iCs/>
          <w:sz w:val="24"/>
          <w:szCs w:val="24"/>
        </w:rPr>
        <w:t xml:space="preserve">Protea Holdings Ltd v </w:t>
      </w:r>
      <w:proofErr w:type="spellStart"/>
      <w:r w:rsidR="0040635C" w:rsidRPr="007D290F">
        <w:rPr>
          <w:rFonts w:ascii="Arial" w:hAnsi="Arial" w:cs="Arial"/>
          <w:i/>
          <w:iCs/>
          <w:sz w:val="24"/>
          <w:szCs w:val="24"/>
        </w:rPr>
        <w:t>Wri</w:t>
      </w:r>
      <w:r w:rsidR="007D290F" w:rsidRPr="007D290F">
        <w:rPr>
          <w:rFonts w:ascii="Arial" w:hAnsi="Arial" w:cs="Arial"/>
          <w:i/>
          <w:iCs/>
          <w:sz w:val="24"/>
          <w:szCs w:val="24"/>
        </w:rPr>
        <w:t>wt</w:t>
      </w:r>
      <w:proofErr w:type="spellEnd"/>
      <w:r w:rsidR="007D290F" w:rsidRPr="007D290F">
        <w:rPr>
          <w:rFonts w:ascii="Arial" w:hAnsi="Arial" w:cs="Arial"/>
          <w:i/>
          <w:iCs/>
          <w:sz w:val="24"/>
          <w:szCs w:val="24"/>
        </w:rPr>
        <w:t xml:space="preserve"> and another </w:t>
      </w:r>
      <w:r w:rsidR="007D290F">
        <w:rPr>
          <w:rFonts w:ascii="Arial" w:hAnsi="Arial" w:cs="Arial"/>
          <w:sz w:val="24"/>
          <w:szCs w:val="24"/>
        </w:rPr>
        <w:t>1978 (3) SA 865 (W) at 868H).</w:t>
      </w:r>
    </w:p>
    <w:p w14:paraId="0240AC74" w14:textId="77777777" w:rsidR="0040635C" w:rsidRDefault="0040635C" w:rsidP="007D290F">
      <w:pPr>
        <w:pStyle w:val="ListParagraph"/>
        <w:widowControl w:val="0"/>
        <w:spacing w:line="480" w:lineRule="auto"/>
        <w:rPr>
          <w:rFonts w:ascii="Arial" w:hAnsi="Arial" w:cs="Arial"/>
        </w:rPr>
      </w:pPr>
    </w:p>
    <w:p w14:paraId="13BF7953" w14:textId="657AF1B3" w:rsidR="007274E0"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16.</w:t>
      </w:r>
      <w:r w:rsidRPr="009037BF">
        <w:rPr>
          <w:rFonts w:ascii="Arial" w:hAnsi="Arial" w:cs="Arial"/>
          <w:sz w:val="24"/>
          <w:szCs w:val="24"/>
        </w:rPr>
        <w:tab/>
      </w:r>
      <w:r w:rsidR="007274E0" w:rsidRPr="009037BF">
        <w:rPr>
          <w:rFonts w:ascii="Arial" w:hAnsi="Arial" w:cs="Arial"/>
          <w:sz w:val="24"/>
          <w:szCs w:val="24"/>
        </w:rPr>
        <w:t>It is common cause that the Rule 43 order and the pre-trial directions exist and that the</w:t>
      </w:r>
      <w:r w:rsidR="00B3241E" w:rsidRPr="009037BF">
        <w:rPr>
          <w:rFonts w:ascii="Arial" w:hAnsi="Arial" w:cs="Arial"/>
          <w:sz w:val="24"/>
          <w:szCs w:val="24"/>
        </w:rPr>
        <w:t xml:space="preserve"> respondent </w:t>
      </w:r>
      <w:r w:rsidR="00CA08A7" w:rsidRPr="009037BF">
        <w:rPr>
          <w:rFonts w:ascii="Arial" w:hAnsi="Arial" w:cs="Arial"/>
          <w:sz w:val="24"/>
          <w:szCs w:val="24"/>
        </w:rPr>
        <w:t>was aware of</w:t>
      </w:r>
      <w:r w:rsidR="00B3241E" w:rsidRPr="009037BF">
        <w:rPr>
          <w:rFonts w:ascii="Arial" w:hAnsi="Arial" w:cs="Arial"/>
          <w:sz w:val="24"/>
          <w:szCs w:val="24"/>
        </w:rPr>
        <w:t xml:space="preserve"> them</w:t>
      </w:r>
      <w:r w:rsidR="007274E0" w:rsidRPr="009037BF">
        <w:rPr>
          <w:rFonts w:ascii="Arial" w:hAnsi="Arial" w:cs="Arial"/>
          <w:sz w:val="24"/>
          <w:szCs w:val="24"/>
        </w:rPr>
        <w:t xml:space="preserve">. </w:t>
      </w:r>
      <w:r w:rsidR="00B3241E" w:rsidRPr="009037BF">
        <w:rPr>
          <w:rFonts w:ascii="Arial" w:hAnsi="Arial" w:cs="Arial"/>
          <w:sz w:val="24"/>
          <w:szCs w:val="24"/>
        </w:rPr>
        <w:t>T</w:t>
      </w:r>
      <w:r w:rsidR="007274E0" w:rsidRPr="009037BF">
        <w:rPr>
          <w:rFonts w:ascii="Arial" w:hAnsi="Arial" w:cs="Arial"/>
          <w:sz w:val="24"/>
          <w:szCs w:val="24"/>
        </w:rPr>
        <w:t xml:space="preserve">he issues are whether the respondent complied with </w:t>
      </w:r>
      <w:r w:rsidR="00B3241E" w:rsidRPr="009037BF">
        <w:rPr>
          <w:rFonts w:ascii="Arial" w:hAnsi="Arial" w:cs="Arial"/>
          <w:sz w:val="24"/>
          <w:szCs w:val="24"/>
        </w:rPr>
        <w:t xml:space="preserve">them </w:t>
      </w:r>
      <w:r w:rsidR="007274E0" w:rsidRPr="009037BF">
        <w:rPr>
          <w:rFonts w:ascii="Arial" w:hAnsi="Arial" w:cs="Arial"/>
          <w:sz w:val="24"/>
          <w:szCs w:val="24"/>
        </w:rPr>
        <w:t>and whether he has displace</w:t>
      </w:r>
      <w:r w:rsidR="00B3241E" w:rsidRPr="009037BF">
        <w:rPr>
          <w:rFonts w:ascii="Arial" w:hAnsi="Arial" w:cs="Arial"/>
          <w:sz w:val="24"/>
          <w:szCs w:val="24"/>
        </w:rPr>
        <w:t>d</w:t>
      </w:r>
      <w:r w:rsidR="007274E0" w:rsidRPr="009037BF">
        <w:rPr>
          <w:rFonts w:ascii="Arial" w:hAnsi="Arial" w:cs="Arial"/>
          <w:sz w:val="24"/>
          <w:szCs w:val="24"/>
        </w:rPr>
        <w:t xml:space="preserve"> the presumption of wilful</w:t>
      </w:r>
      <w:r w:rsidR="00B3241E" w:rsidRPr="009037BF">
        <w:rPr>
          <w:rFonts w:ascii="Arial" w:hAnsi="Arial" w:cs="Arial"/>
          <w:sz w:val="24"/>
          <w:szCs w:val="24"/>
        </w:rPr>
        <w:t xml:space="preserve">ness or </w:t>
      </w:r>
      <w:r w:rsidR="007274E0" w:rsidRPr="009037BF">
        <w:rPr>
          <w:rFonts w:ascii="Arial" w:hAnsi="Arial" w:cs="Arial"/>
          <w:sz w:val="24"/>
          <w:szCs w:val="24"/>
        </w:rPr>
        <w:t>bad faith.</w:t>
      </w:r>
    </w:p>
    <w:p w14:paraId="0F98CA4B" w14:textId="050031E1" w:rsidR="00E10FE8" w:rsidRPr="009037BF" w:rsidRDefault="00E10FE8" w:rsidP="007D290F">
      <w:pPr>
        <w:widowControl w:val="0"/>
        <w:spacing w:line="480" w:lineRule="auto"/>
        <w:jc w:val="both"/>
        <w:rPr>
          <w:rFonts w:ascii="Arial" w:hAnsi="Arial" w:cs="Arial"/>
          <w:lang w:val="en-GB"/>
        </w:rPr>
      </w:pPr>
    </w:p>
    <w:p w14:paraId="738643C0" w14:textId="61C541B3" w:rsidR="00F81AAE" w:rsidRPr="009037BF" w:rsidRDefault="00212DA4" w:rsidP="007D290F">
      <w:pPr>
        <w:widowControl w:val="0"/>
        <w:spacing w:line="480" w:lineRule="auto"/>
        <w:jc w:val="both"/>
        <w:rPr>
          <w:rFonts w:ascii="Arial" w:hAnsi="Arial" w:cs="Arial"/>
          <w:i/>
          <w:iCs/>
          <w:u w:val="single"/>
          <w:lang w:val="en-GB"/>
        </w:rPr>
      </w:pPr>
      <w:r w:rsidRPr="009037BF">
        <w:rPr>
          <w:rFonts w:ascii="Arial" w:hAnsi="Arial" w:cs="Arial"/>
          <w:i/>
          <w:iCs/>
          <w:u w:val="single"/>
          <w:lang w:val="en-GB"/>
        </w:rPr>
        <w:t>The Rule 43 order</w:t>
      </w:r>
    </w:p>
    <w:p w14:paraId="7C1BFE37" w14:textId="77777777" w:rsidR="00F81AAE" w:rsidRPr="009037BF" w:rsidRDefault="00F81AAE" w:rsidP="007D290F">
      <w:pPr>
        <w:widowControl w:val="0"/>
        <w:spacing w:line="480" w:lineRule="auto"/>
        <w:jc w:val="both"/>
        <w:rPr>
          <w:rFonts w:ascii="Arial" w:hAnsi="Arial" w:cs="Arial"/>
          <w:lang w:val="en-GB"/>
        </w:rPr>
      </w:pPr>
    </w:p>
    <w:p w14:paraId="61428FC3" w14:textId="1FDFBDA4" w:rsidR="005E1918"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17.</w:t>
      </w:r>
      <w:r w:rsidRPr="009037BF">
        <w:rPr>
          <w:rFonts w:ascii="Arial" w:hAnsi="Arial" w:cs="Arial"/>
          <w:lang w:val="en-GB"/>
        </w:rPr>
        <w:tab/>
      </w:r>
      <w:r w:rsidR="005E1918" w:rsidRPr="00177EF4">
        <w:rPr>
          <w:rFonts w:ascii="Arial" w:hAnsi="Arial" w:cs="Arial"/>
          <w:lang w:val="en-GB"/>
        </w:rPr>
        <w:t>In relation to the allegations of contempt for disobedience of the Rule 43 order, the failure to pay maintenance is viewed in a very serious light, especially where minor children are involved</w:t>
      </w:r>
      <w:r w:rsidR="00E10FE8" w:rsidRPr="00177EF4">
        <w:rPr>
          <w:rFonts w:ascii="Arial" w:hAnsi="Arial" w:cs="Arial"/>
          <w:lang w:val="en-GB"/>
        </w:rPr>
        <w:t xml:space="preserve">.  In </w:t>
      </w:r>
      <w:r w:rsidR="005E1918" w:rsidRPr="00177EF4">
        <w:rPr>
          <w:rFonts w:ascii="Arial" w:hAnsi="Arial" w:cs="Arial"/>
          <w:i/>
          <w:iCs/>
        </w:rPr>
        <w:t xml:space="preserve">N </w:t>
      </w:r>
      <w:proofErr w:type="gramStart"/>
      <w:r w:rsidR="005E1918" w:rsidRPr="00177EF4">
        <w:rPr>
          <w:rFonts w:ascii="Arial" w:hAnsi="Arial" w:cs="Arial"/>
          <w:i/>
          <w:iCs/>
        </w:rPr>
        <w:t>v</w:t>
      </w:r>
      <w:proofErr w:type="gramEnd"/>
      <w:r w:rsidR="005E1918" w:rsidRPr="00177EF4">
        <w:rPr>
          <w:rFonts w:ascii="Arial" w:hAnsi="Arial" w:cs="Arial"/>
          <w:i/>
          <w:iCs/>
        </w:rPr>
        <w:t xml:space="preserve"> N </w:t>
      </w:r>
      <w:r w:rsidR="005E1918" w:rsidRPr="00177EF4">
        <w:rPr>
          <w:rFonts w:ascii="Arial" w:hAnsi="Arial" w:cs="Arial"/>
        </w:rPr>
        <w:t>(5245/2017) [2017] ZAWCHC 63 (31 May 2017) at para [3]</w:t>
      </w:r>
      <w:r w:rsidR="00E10FE8" w:rsidRPr="00177EF4">
        <w:rPr>
          <w:rFonts w:ascii="Arial" w:hAnsi="Arial" w:cs="Arial"/>
        </w:rPr>
        <w:t xml:space="preserve"> this Court stated as follows:</w:t>
      </w:r>
    </w:p>
    <w:p w14:paraId="2E5A3486" w14:textId="559DB179" w:rsidR="00E10FE8" w:rsidRPr="009037BF" w:rsidRDefault="00E10FE8" w:rsidP="009037BF">
      <w:pPr>
        <w:widowControl w:val="0"/>
        <w:spacing w:line="480" w:lineRule="auto"/>
        <w:jc w:val="both"/>
        <w:rPr>
          <w:rFonts w:ascii="Arial" w:hAnsi="Arial" w:cs="Arial"/>
          <w:lang w:val="en-ZA"/>
        </w:rPr>
      </w:pPr>
    </w:p>
    <w:p w14:paraId="53B68EAE" w14:textId="0C29630F" w:rsidR="00E10FE8" w:rsidRPr="009037BF" w:rsidRDefault="00E10FE8" w:rsidP="009037BF">
      <w:pPr>
        <w:pStyle w:val="NormalWeb"/>
        <w:widowControl w:val="0"/>
        <w:shd w:val="clear" w:color="auto" w:fill="FFFFFF"/>
        <w:spacing w:line="480" w:lineRule="auto"/>
        <w:ind w:left="709"/>
        <w:jc w:val="both"/>
        <w:rPr>
          <w:rFonts w:ascii="Arial" w:hAnsi="Arial" w:cs="Arial"/>
          <w:i/>
          <w:iCs/>
          <w:lang w:val="en-ZA"/>
        </w:rPr>
      </w:pPr>
      <w:r w:rsidRPr="009037BF">
        <w:rPr>
          <w:rFonts w:ascii="Arial" w:hAnsi="Arial" w:cs="Arial"/>
        </w:rPr>
        <w:t>“</w:t>
      </w:r>
      <w:r w:rsidRPr="009037BF">
        <w:rPr>
          <w:rFonts w:ascii="Arial" w:hAnsi="Arial" w:cs="Arial"/>
          <w:i/>
          <w:iCs/>
        </w:rPr>
        <w:t xml:space="preserve">[3] … the court must view the conduct of the respondent seriously in that he opposes the main application without purging his contempt. In </w:t>
      </w:r>
      <w:proofErr w:type="gramStart"/>
      <w:r w:rsidRPr="009037BF">
        <w:rPr>
          <w:rFonts w:ascii="Arial" w:hAnsi="Arial" w:cs="Arial"/>
          <w:i/>
          <w:iCs/>
        </w:rPr>
        <w:t>fact</w:t>
      </w:r>
      <w:proofErr w:type="gramEnd"/>
      <w:r w:rsidRPr="009037BF">
        <w:rPr>
          <w:rFonts w:ascii="Arial" w:hAnsi="Arial" w:cs="Arial"/>
          <w:i/>
          <w:iCs/>
        </w:rPr>
        <w:t xml:space="preserve"> such conduct is fatally defective. … One must mention that the minor child of the parties is actually the person that has suffered the most prejudice because of the respondent’s failure to pay maintenance contemplated in the court order. Ordinarily, courts should not allow respondents such as the present one to be heard until such time that their/his contempt has been purged. It comes as no surprise at all that the applicant invites me not to allow the respondent to be heard until such time that he purges his contempt. This approach is supported in </w:t>
      </w:r>
      <w:r w:rsidRPr="009037BF">
        <w:rPr>
          <w:rFonts w:ascii="Arial" w:hAnsi="Arial" w:cs="Arial"/>
        </w:rPr>
        <w:t>Byliefeldt v Redpath</w:t>
      </w:r>
      <w:r w:rsidRPr="009037BF">
        <w:rPr>
          <w:rFonts w:ascii="Arial" w:hAnsi="Arial" w:cs="Arial"/>
          <w:i/>
          <w:iCs/>
        </w:rPr>
        <w:t> </w:t>
      </w:r>
      <w:hyperlink r:id="rId8" w:tooltip="View LawCiteRecord" w:history="1">
        <w:r w:rsidRPr="009037BF">
          <w:rPr>
            <w:rStyle w:val="Hyperlink"/>
            <w:rFonts w:ascii="Arial" w:hAnsi="Arial" w:cs="Arial"/>
            <w:i/>
            <w:iCs/>
            <w:color w:val="auto"/>
            <w:u w:val="none"/>
          </w:rPr>
          <w:t>1982 (1) SA 702</w:t>
        </w:r>
      </w:hyperlink>
      <w:r w:rsidRPr="009037BF">
        <w:rPr>
          <w:rFonts w:ascii="Arial" w:hAnsi="Arial" w:cs="Arial"/>
          <w:i/>
          <w:iCs/>
        </w:rPr>
        <w:t> (AD). It has been held authoritatively that this approach is especially of importance in matters involving the best interests of the minor children. See in this regard </w:t>
      </w:r>
      <w:r w:rsidRPr="009037BF">
        <w:rPr>
          <w:rFonts w:ascii="Arial" w:hAnsi="Arial" w:cs="Arial"/>
        </w:rPr>
        <w:t>Kotze v Kotze</w:t>
      </w:r>
      <w:r w:rsidRPr="009037BF">
        <w:rPr>
          <w:rFonts w:ascii="Arial" w:hAnsi="Arial" w:cs="Arial"/>
          <w:i/>
          <w:iCs/>
        </w:rPr>
        <w:t> </w:t>
      </w:r>
      <w:hyperlink r:id="rId9" w:tooltip="View LawCiteRecord" w:history="1">
        <w:r w:rsidRPr="009037BF">
          <w:rPr>
            <w:rStyle w:val="Hyperlink"/>
            <w:rFonts w:ascii="Arial" w:hAnsi="Arial" w:cs="Arial"/>
            <w:i/>
            <w:iCs/>
            <w:color w:val="auto"/>
            <w:u w:val="none"/>
          </w:rPr>
          <w:t xml:space="preserve">1953 (2) SA </w:t>
        </w:r>
        <w:r w:rsidRPr="009037BF">
          <w:rPr>
            <w:rStyle w:val="Hyperlink"/>
            <w:rFonts w:ascii="Arial" w:hAnsi="Arial" w:cs="Arial"/>
            <w:i/>
            <w:iCs/>
            <w:color w:val="auto"/>
            <w:u w:val="none"/>
          </w:rPr>
          <w:lastRenderedPageBreak/>
          <w:t>184</w:t>
        </w:r>
      </w:hyperlink>
      <w:r w:rsidRPr="009037BF">
        <w:rPr>
          <w:rFonts w:ascii="Arial" w:hAnsi="Arial" w:cs="Arial"/>
          <w:i/>
          <w:iCs/>
        </w:rPr>
        <w:t> (CPD). … I view the failure to pay maintenance in a very serious light. In </w:t>
      </w:r>
      <w:r w:rsidRPr="009037BF">
        <w:rPr>
          <w:rFonts w:ascii="Arial" w:hAnsi="Arial" w:cs="Arial"/>
        </w:rPr>
        <w:t>Kotze v Kotze supra</w:t>
      </w:r>
      <w:r w:rsidRPr="009037BF">
        <w:rPr>
          <w:rFonts w:ascii="Arial" w:hAnsi="Arial" w:cs="Arial"/>
          <w:i/>
          <w:iCs/>
        </w:rPr>
        <w:t> the judge cited the following dicta of Romer, L. J. in </w:t>
      </w:r>
      <w:r w:rsidRPr="009037BF">
        <w:rPr>
          <w:rFonts w:ascii="Arial" w:hAnsi="Arial" w:cs="Arial"/>
        </w:rPr>
        <w:t>Hadkinson v Hadkinson</w:t>
      </w:r>
      <w:r w:rsidRPr="009037BF">
        <w:rPr>
          <w:rFonts w:ascii="Arial" w:hAnsi="Arial" w:cs="Arial"/>
          <w:i/>
          <w:iCs/>
        </w:rPr>
        <w:t> 1952 (2) A. E. R. at page 571:</w:t>
      </w:r>
    </w:p>
    <w:p w14:paraId="1D8C7AA9" w14:textId="4C959763" w:rsidR="00E10FE8" w:rsidRPr="009037BF" w:rsidRDefault="00E10FE8" w:rsidP="009037BF">
      <w:pPr>
        <w:pStyle w:val="NormalWeb"/>
        <w:widowControl w:val="0"/>
        <w:shd w:val="clear" w:color="auto" w:fill="FFFFFF"/>
        <w:spacing w:line="480" w:lineRule="auto"/>
        <w:ind w:left="709"/>
        <w:jc w:val="both"/>
        <w:rPr>
          <w:rFonts w:ascii="Arial" w:hAnsi="Arial" w:cs="Arial"/>
          <w:color w:val="242121"/>
        </w:rPr>
      </w:pPr>
      <w:r w:rsidRPr="009037BF">
        <w:rPr>
          <w:rFonts w:ascii="Arial" w:hAnsi="Arial" w:cs="Arial"/>
          <w:i/>
          <w:iCs/>
        </w:rPr>
        <w:t>‘</w:t>
      </w:r>
      <w:r w:rsidRPr="009037BF">
        <w:rPr>
          <w:rFonts w:ascii="Arial" w:hAnsi="Arial" w:cs="Arial"/>
        </w:rPr>
        <w:t>Disregard of an order of the court is a matter of sufficient gravity, whatever the order might be. Where, however, the order relates to a child, the court is, or should be, adamant on its due observance. Such an</w:t>
      </w:r>
      <w:r w:rsidRPr="009037BF">
        <w:rPr>
          <w:rFonts w:ascii="Arial" w:hAnsi="Arial" w:cs="Arial"/>
          <w:color w:val="242121"/>
        </w:rPr>
        <w:t xml:space="preserve"> order is made in the interests of the welfare of the child and the court will not tolerate any interference with or disregard of its decisions on these matters</w:t>
      </w:r>
      <w:r w:rsidRPr="009037BF">
        <w:rPr>
          <w:rFonts w:ascii="Arial" w:hAnsi="Arial" w:cs="Arial"/>
          <w:i/>
          <w:iCs/>
          <w:color w:val="242121"/>
        </w:rPr>
        <w:t>.””</w:t>
      </w:r>
    </w:p>
    <w:p w14:paraId="1DAE6306" w14:textId="46199E84" w:rsidR="00E10FE8" w:rsidRPr="009037BF" w:rsidRDefault="00E10FE8" w:rsidP="009037BF">
      <w:pPr>
        <w:widowControl w:val="0"/>
        <w:spacing w:line="480" w:lineRule="auto"/>
        <w:jc w:val="both"/>
        <w:rPr>
          <w:rFonts w:ascii="Arial" w:hAnsi="Arial" w:cs="Arial"/>
          <w:lang w:val="en-ZA"/>
        </w:rPr>
      </w:pPr>
    </w:p>
    <w:p w14:paraId="214B5AA4" w14:textId="2B5E7D28" w:rsidR="00973C83"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18.</w:t>
      </w:r>
      <w:r w:rsidRPr="009037BF">
        <w:rPr>
          <w:rFonts w:ascii="Arial" w:hAnsi="Arial" w:cs="Arial"/>
          <w:sz w:val="24"/>
          <w:szCs w:val="24"/>
        </w:rPr>
        <w:tab/>
      </w:r>
      <w:r w:rsidR="00973C83" w:rsidRPr="009037BF">
        <w:rPr>
          <w:rFonts w:ascii="Arial" w:hAnsi="Arial" w:cs="Arial"/>
          <w:sz w:val="24"/>
          <w:szCs w:val="24"/>
        </w:rPr>
        <w:t xml:space="preserve">The court’s intention </w:t>
      </w:r>
      <w:r w:rsidR="00677D13" w:rsidRPr="009037BF">
        <w:rPr>
          <w:rFonts w:ascii="Arial" w:hAnsi="Arial" w:cs="Arial"/>
          <w:sz w:val="24"/>
          <w:szCs w:val="24"/>
        </w:rPr>
        <w:t xml:space="preserve">in granting the Rule 43 order in the terms it did </w:t>
      </w:r>
      <w:r w:rsidR="00973C83" w:rsidRPr="009037BF">
        <w:rPr>
          <w:rFonts w:ascii="Arial" w:hAnsi="Arial" w:cs="Arial"/>
          <w:sz w:val="24"/>
          <w:szCs w:val="24"/>
        </w:rPr>
        <w:t>is to be ascertained primarily from the language of the order in accordance with the well-known rules relating to the interpretation of documents. When interpreting the order, the circumstances attendant upon its coming into existence must be taken into account along with the language used, in light of the ordinary rules of grammar and syntax and the apparent purpose to which it is directed, and the material known to those responsible for its production (</w:t>
      </w:r>
      <w:r w:rsidR="00973C83" w:rsidRPr="009037BF">
        <w:rPr>
          <w:rFonts w:ascii="Arial" w:hAnsi="Arial" w:cs="Arial"/>
          <w:i/>
          <w:iCs/>
          <w:sz w:val="24"/>
          <w:szCs w:val="24"/>
        </w:rPr>
        <w:t>Natal Joint Municipal Pension Fund v Endumeni Municipality</w:t>
      </w:r>
      <w:r w:rsidR="00973C83" w:rsidRPr="009037BF">
        <w:rPr>
          <w:rFonts w:ascii="Arial" w:hAnsi="Arial" w:cs="Arial"/>
          <w:sz w:val="24"/>
          <w:szCs w:val="24"/>
        </w:rPr>
        <w:t xml:space="preserve"> 2012 (4) SA 593 (SCA) at para [18]). </w:t>
      </w:r>
    </w:p>
    <w:p w14:paraId="3137A96E" w14:textId="77777777" w:rsidR="00677D13" w:rsidRPr="009037BF" w:rsidRDefault="00677D13" w:rsidP="009037BF">
      <w:pPr>
        <w:pStyle w:val="PlainText"/>
        <w:widowControl w:val="0"/>
        <w:spacing w:line="480" w:lineRule="auto"/>
        <w:ind w:left="709"/>
        <w:jc w:val="both"/>
        <w:rPr>
          <w:rFonts w:ascii="Arial" w:hAnsi="Arial" w:cs="Arial"/>
          <w:sz w:val="24"/>
          <w:szCs w:val="24"/>
        </w:rPr>
      </w:pPr>
    </w:p>
    <w:p w14:paraId="64EBF684" w14:textId="63C583CF" w:rsidR="00677D13"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19.</w:t>
      </w:r>
      <w:r w:rsidRPr="009037BF">
        <w:rPr>
          <w:rFonts w:ascii="Arial" w:hAnsi="Arial" w:cs="Arial"/>
          <w:sz w:val="24"/>
          <w:szCs w:val="24"/>
        </w:rPr>
        <w:tab/>
      </w:r>
      <w:r w:rsidR="00677D13" w:rsidRPr="009037BF">
        <w:rPr>
          <w:rFonts w:ascii="Arial" w:hAnsi="Arial" w:cs="Arial"/>
          <w:sz w:val="24"/>
          <w:szCs w:val="24"/>
        </w:rPr>
        <w:t>The applicant alleges that the respondent is indebted to her in the amount of R334,998.02 in respect of ar</w:t>
      </w:r>
      <w:r w:rsidR="00CA08A7" w:rsidRPr="009037BF">
        <w:rPr>
          <w:rFonts w:ascii="Arial" w:hAnsi="Arial" w:cs="Arial"/>
          <w:sz w:val="24"/>
          <w:szCs w:val="24"/>
        </w:rPr>
        <w:t>r</w:t>
      </w:r>
      <w:r w:rsidR="00677D13" w:rsidRPr="009037BF">
        <w:rPr>
          <w:rFonts w:ascii="Arial" w:hAnsi="Arial" w:cs="Arial"/>
          <w:sz w:val="24"/>
          <w:szCs w:val="24"/>
        </w:rPr>
        <w:t>ea</w:t>
      </w:r>
      <w:r w:rsidR="00CA08A7" w:rsidRPr="009037BF">
        <w:rPr>
          <w:rFonts w:ascii="Arial" w:hAnsi="Arial" w:cs="Arial"/>
          <w:sz w:val="24"/>
          <w:szCs w:val="24"/>
        </w:rPr>
        <w:t>r</w:t>
      </w:r>
      <w:r w:rsidR="00677D13" w:rsidRPr="009037BF">
        <w:rPr>
          <w:rFonts w:ascii="Arial" w:hAnsi="Arial" w:cs="Arial"/>
          <w:sz w:val="24"/>
          <w:szCs w:val="24"/>
        </w:rPr>
        <w:t xml:space="preserve"> maintenance. This amount is in excess of the sum of R360,000 unilaterally paid by the respondent in an attempt to meet what he claimed, when making payment, was due on account of the </w:t>
      </w:r>
      <w:r w:rsidR="00CA08A7" w:rsidRPr="009037BF">
        <w:rPr>
          <w:rFonts w:ascii="Arial" w:hAnsi="Arial" w:cs="Arial"/>
          <w:sz w:val="24"/>
          <w:szCs w:val="24"/>
        </w:rPr>
        <w:t>ar</w:t>
      </w:r>
      <w:r w:rsidR="00677D13" w:rsidRPr="009037BF">
        <w:rPr>
          <w:rFonts w:ascii="Arial" w:hAnsi="Arial" w:cs="Arial"/>
          <w:sz w:val="24"/>
          <w:szCs w:val="24"/>
        </w:rPr>
        <w:t>rear maintenance.</w:t>
      </w:r>
      <w:r w:rsidR="00CA08A7" w:rsidRPr="009037BF">
        <w:rPr>
          <w:rFonts w:ascii="Arial" w:hAnsi="Arial" w:cs="Arial"/>
          <w:sz w:val="24"/>
          <w:szCs w:val="24"/>
        </w:rPr>
        <w:t xml:space="preserve">  I deal with this aspect of the respondent’s defence later.</w:t>
      </w:r>
    </w:p>
    <w:p w14:paraId="4B5D0BB5" w14:textId="77777777" w:rsidR="00677D13" w:rsidRPr="009037BF" w:rsidRDefault="00677D13" w:rsidP="009037BF">
      <w:pPr>
        <w:pStyle w:val="PlainText"/>
        <w:widowControl w:val="0"/>
        <w:spacing w:line="480" w:lineRule="auto"/>
        <w:ind w:left="709"/>
        <w:jc w:val="both"/>
        <w:rPr>
          <w:rFonts w:ascii="Arial" w:hAnsi="Arial" w:cs="Arial"/>
          <w:sz w:val="24"/>
          <w:szCs w:val="24"/>
        </w:rPr>
      </w:pPr>
    </w:p>
    <w:p w14:paraId="4B96EBDB" w14:textId="53D9C0C7" w:rsidR="00677D13"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20.</w:t>
      </w:r>
      <w:r w:rsidRPr="009037BF">
        <w:rPr>
          <w:rFonts w:ascii="Arial" w:hAnsi="Arial" w:cs="Arial"/>
          <w:sz w:val="24"/>
          <w:szCs w:val="24"/>
        </w:rPr>
        <w:tab/>
      </w:r>
      <w:r w:rsidR="00677D13" w:rsidRPr="009037BF">
        <w:rPr>
          <w:rFonts w:ascii="Arial" w:hAnsi="Arial" w:cs="Arial"/>
          <w:sz w:val="24"/>
          <w:szCs w:val="24"/>
        </w:rPr>
        <w:t>In support of her claim</w:t>
      </w:r>
      <w:r w:rsidR="00373F10" w:rsidRPr="009037BF">
        <w:rPr>
          <w:rFonts w:ascii="Arial" w:hAnsi="Arial" w:cs="Arial"/>
          <w:sz w:val="24"/>
          <w:szCs w:val="24"/>
        </w:rPr>
        <w:t>,</w:t>
      </w:r>
      <w:r w:rsidR="00677D13" w:rsidRPr="009037BF">
        <w:rPr>
          <w:rFonts w:ascii="Arial" w:hAnsi="Arial" w:cs="Arial"/>
          <w:sz w:val="24"/>
          <w:szCs w:val="24"/>
        </w:rPr>
        <w:t xml:space="preserve"> the applicant </w:t>
      </w:r>
      <w:r w:rsidR="00373F10" w:rsidRPr="009037BF">
        <w:rPr>
          <w:rFonts w:ascii="Arial" w:hAnsi="Arial" w:cs="Arial"/>
          <w:sz w:val="24"/>
          <w:szCs w:val="24"/>
        </w:rPr>
        <w:t>provides lists and attache</w:t>
      </w:r>
      <w:r w:rsidR="00CA08A7" w:rsidRPr="009037BF">
        <w:rPr>
          <w:rFonts w:ascii="Arial" w:hAnsi="Arial" w:cs="Arial"/>
          <w:sz w:val="24"/>
          <w:szCs w:val="24"/>
        </w:rPr>
        <w:t>s</w:t>
      </w:r>
      <w:r w:rsidR="00373F10" w:rsidRPr="009037BF">
        <w:rPr>
          <w:rFonts w:ascii="Arial" w:hAnsi="Arial" w:cs="Arial"/>
          <w:sz w:val="24"/>
          <w:szCs w:val="24"/>
        </w:rPr>
        <w:t xml:space="preserve"> documentation </w:t>
      </w:r>
      <w:r w:rsidR="00CA08A7" w:rsidRPr="009037BF">
        <w:rPr>
          <w:rFonts w:ascii="Arial" w:hAnsi="Arial" w:cs="Arial"/>
          <w:sz w:val="24"/>
          <w:szCs w:val="24"/>
        </w:rPr>
        <w:t xml:space="preserve">to her </w:t>
      </w:r>
      <w:r w:rsidR="00CA08A7" w:rsidRPr="009037BF">
        <w:rPr>
          <w:rFonts w:ascii="Arial" w:hAnsi="Arial" w:cs="Arial"/>
          <w:sz w:val="24"/>
          <w:szCs w:val="24"/>
        </w:rPr>
        <w:lastRenderedPageBreak/>
        <w:t xml:space="preserve">affidavit </w:t>
      </w:r>
      <w:r w:rsidR="00677D13" w:rsidRPr="009037BF">
        <w:rPr>
          <w:rFonts w:ascii="Arial" w:hAnsi="Arial" w:cs="Arial"/>
          <w:sz w:val="24"/>
          <w:szCs w:val="24"/>
        </w:rPr>
        <w:t>which show the following:</w:t>
      </w:r>
    </w:p>
    <w:p w14:paraId="77E306DF" w14:textId="77777777" w:rsidR="00677D13" w:rsidRPr="009037BF" w:rsidRDefault="00677D13" w:rsidP="009037BF">
      <w:pPr>
        <w:pStyle w:val="PlainText"/>
        <w:widowControl w:val="0"/>
        <w:spacing w:line="480" w:lineRule="auto"/>
        <w:ind w:left="709"/>
        <w:jc w:val="both"/>
        <w:rPr>
          <w:rFonts w:ascii="Arial" w:hAnsi="Arial" w:cs="Arial"/>
          <w:sz w:val="24"/>
          <w:szCs w:val="24"/>
        </w:rPr>
      </w:pPr>
    </w:p>
    <w:p w14:paraId="5B8BA2CE" w14:textId="6907306D" w:rsidR="00677D13" w:rsidRPr="009037BF" w:rsidRDefault="00177EF4" w:rsidP="00177EF4">
      <w:pPr>
        <w:pStyle w:val="PlainText"/>
        <w:widowControl w:val="0"/>
        <w:spacing w:line="480" w:lineRule="auto"/>
        <w:ind w:left="1418" w:hanging="709"/>
        <w:jc w:val="both"/>
        <w:rPr>
          <w:rFonts w:ascii="Arial" w:hAnsi="Arial" w:cs="Arial"/>
          <w:sz w:val="24"/>
          <w:szCs w:val="24"/>
        </w:rPr>
      </w:pPr>
      <w:r w:rsidRPr="009037BF">
        <w:rPr>
          <w:rFonts w:ascii="Arial" w:hAnsi="Arial" w:cs="Arial"/>
          <w:sz w:val="24"/>
          <w:szCs w:val="24"/>
        </w:rPr>
        <w:t>20.1.</w:t>
      </w:r>
      <w:r w:rsidRPr="009037BF">
        <w:rPr>
          <w:rFonts w:ascii="Arial" w:hAnsi="Arial" w:cs="Arial"/>
          <w:sz w:val="24"/>
          <w:szCs w:val="24"/>
        </w:rPr>
        <w:tab/>
      </w:r>
      <w:r w:rsidR="00677D13" w:rsidRPr="009037BF">
        <w:rPr>
          <w:rFonts w:ascii="Arial" w:hAnsi="Arial" w:cs="Arial"/>
          <w:sz w:val="24"/>
          <w:szCs w:val="24"/>
        </w:rPr>
        <w:t>The respondent’s obligations as they appear in paragraphs 1.1 and 1.2 of the Rule 43 order;</w:t>
      </w:r>
    </w:p>
    <w:p w14:paraId="16F1942D" w14:textId="77777777" w:rsidR="00677D13" w:rsidRPr="009037BF" w:rsidRDefault="00677D13" w:rsidP="009037BF">
      <w:pPr>
        <w:pStyle w:val="PlainText"/>
        <w:widowControl w:val="0"/>
        <w:spacing w:line="480" w:lineRule="auto"/>
        <w:ind w:left="709"/>
        <w:jc w:val="both"/>
        <w:rPr>
          <w:rFonts w:ascii="Arial" w:hAnsi="Arial" w:cs="Arial"/>
          <w:sz w:val="24"/>
          <w:szCs w:val="24"/>
        </w:rPr>
      </w:pPr>
    </w:p>
    <w:p w14:paraId="4CCE45EF" w14:textId="11EDC0B9" w:rsidR="00677D13" w:rsidRPr="009037BF" w:rsidRDefault="00177EF4" w:rsidP="00177EF4">
      <w:pPr>
        <w:pStyle w:val="PlainText"/>
        <w:widowControl w:val="0"/>
        <w:spacing w:line="480" w:lineRule="auto"/>
        <w:ind w:left="1418" w:hanging="709"/>
        <w:jc w:val="both"/>
        <w:rPr>
          <w:rFonts w:ascii="Arial" w:hAnsi="Arial" w:cs="Arial"/>
          <w:sz w:val="24"/>
          <w:szCs w:val="24"/>
        </w:rPr>
      </w:pPr>
      <w:r w:rsidRPr="009037BF">
        <w:rPr>
          <w:rFonts w:ascii="Arial" w:hAnsi="Arial" w:cs="Arial"/>
          <w:sz w:val="24"/>
          <w:szCs w:val="24"/>
        </w:rPr>
        <w:t>20.2.</w:t>
      </w:r>
      <w:r w:rsidRPr="009037BF">
        <w:rPr>
          <w:rFonts w:ascii="Arial" w:hAnsi="Arial" w:cs="Arial"/>
          <w:sz w:val="24"/>
          <w:szCs w:val="24"/>
        </w:rPr>
        <w:tab/>
      </w:r>
      <w:r w:rsidR="00677D13" w:rsidRPr="009037BF">
        <w:rPr>
          <w:rFonts w:ascii="Arial" w:hAnsi="Arial" w:cs="Arial"/>
          <w:sz w:val="24"/>
          <w:szCs w:val="24"/>
        </w:rPr>
        <w:t>The payments made by the respondent in part settlement of his obligations under those paragraphs;</w:t>
      </w:r>
    </w:p>
    <w:p w14:paraId="205DB585" w14:textId="77777777" w:rsidR="00677D13" w:rsidRPr="009037BF" w:rsidRDefault="00677D13" w:rsidP="009037BF">
      <w:pPr>
        <w:pStyle w:val="PlainText"/>
        <w:widowControl w:val="0"/>
        <w:spacing w:line="480" w:lineRule="auto"/>
        <w:ind w:left="709"/>
        <w:jc w:val="both"/>
        <w:rPr>
          <w:rFonts w:ascii="Arial" w:hAnsi="Arial" w:cs="Arial"/>
          <w:sz w:val="24"/>
          <w:szCs w:val="24"/>
        </w:rPr>
      </w:pPr>
    </w:p>
    <w:p w14:paraId="46098509" w14:textId="225AD6C3" w:rsidR="00677D13" w:rsidRPr="009037BF" w:rsidRDefault="00177EF4" w:rsidP="00177EF4">
      <w:pPr>
        <w:pStyle w:val="PlainText"/>
        <w:widowControl w:val="0"/>
        <w:spacing w:line="480" w:lineRule="auto"/>
        <w:ind w:left="1418" w:hanging="709"/>
        <w:jc w:val="both"/>
        <w:rPr>
          <w:rFonts w:ascii="Arial" w:hAnsi="Arial" w:cs="Arial"/>
          <w:sz w:val="24"/>
          <w:szCs w:val="24"/>
        </w:rPr>
      </w:pPr>
      <w:r w:rsidRPr="009037BF">
        <w:rPr>
          <w:rFonts w:ascii="Arial" w:hAnsi="Arial" w:cs="Arial"/>
          <w:sz w:val="24"/>
          <w:szCs w:val="24"/>
        </w:rPr>
        <w:t>20.3.</w:t>
      </w:r>
      <w:r w:rsidRPr="009037BF">
        <w:rPr>
          <w:rFonts w:ascii="Arial" w:hAnsi="Arial" w:cs="Arial"/>
          <w:sz w:val="24"/>
          <w:szCs w:val="24"/>
        </w:rPr>
        <w:tab/>
      </w:r>
      <w:r w:rsidR="00677D13" w:rsidRPr="009037BF">
        <w:rPr>
          <w:rFonts w:ascii="Arial" w:hAnsi="Arial" w:cs="Arial"/>
          <w:sz w:val="24"/>
          <w:szCs w:val="24"/>
        </w:rPr>
        <w:t>The expenses incurred by the applicant pursuant to paragraphs 1.3 and 1.4 of the order;</w:t>
      </w:r>
    </w:p>
    <w:p w14:paraId="76417C50" w14:textId="77777777" w:rsidR="00677D13" w:rsidRPr="009037BF" w:rsidRDefault="00677D13" w:rsidP="009037BF">
      <w:pPr>
        <w:pStyle w:val="PlainText"/>
        <w:widowControl w:val="0"/>
        <w:spacing w:line="480" w:lineRule="auto"/>
        <w:ind w:left="709"/>
        <w:jc w:val="both"/>
        <w:rPr>
          <w:rFonts w:ascii="Arial" w:hAnsi="Arial" w:cs="Arial"/>
          <w:sz w:val="24"/>
          <w:szCs w:val="24"/>
        </w:rPr>
      </w:pPr>
    </w:p>
    <w:p w14:paraId="494B054B" w14:textId="575CE8C6" w:rsidR="00677D13" w:rsidRPr="009037BF" w:rsidRDefault="00177EF4" w:rsidP="00177EF4">
      <w:pPr>
        <w:pStyle w:val="PlainText"/>
        <w:widowControl w:val="0"/>
        <w:spacing w:line="480" w:lineRule="auto"/>
        <w:ind w:left="1418" w:hanging="709"/>
        <w:jc w:val="both"/>
        <w:rPr>
          <w:rFonts w:ascii="Arial" w:hAnsi="Arial" w:cs="Arial"/>
          <w:sz w:val="24"/>
          <w:szCs w:val="24"/>
        </w:rPr>
      </w:pPr>
      <w:r w:rsidRPr="009037BF">
        <w:rPr>
          <w:rFonts w:ascii="Arial" w:hAnsi="Arial" w:cs="Arial"/>
          <w:sz w:val="24"/>
          <w:szCs w:val="24"/>
        </w:rPr>
        <w:t>20.4.</w:t>
      </w:r>
      <w:r w:rsidRPr="009037BF">
        <w:rPr>
          <w:rFonts w:ascii="Arial" w:hAnsi="Arial" w:cs="Arial"/>
          <w:sz w:val="24"/>
          <w:szCs w:val="24"/>
        </w:rPr>
        <w:tab/>
      </w:r>
      <w:r w:rsidR="00677D13" w:rsidRPr="009037BF">
        <w:rPr>
          <w:rFonts w:ascii="Arial" w:hAnsi="Arial" w:cs="Arial"/>
          <w:sz w:val="24"/>
          <w:szCs w:val="24"/>
        </w:rPr>
        <w:t>The documentary evidence tendered by the applicant in support of the expenses so incurred; and</w:t>
      </w:r>
    </w:p>
    <w:p w14:paraId="5E16EE61" w14:textId="77777777" w:rsidR="00677D13" w:rsidRPr="009037BF" w:rsidRDefault="00677D13" w:rsidP="009037BF">
      <w:pPr>
        <w:pStyle w:val="PlainText"/>
        <w:widowControl w:val="0"/>
        <w:spacing w:line="480" w:lineRule="auto"/>
        <w:ind w:left="709"/>
        <w:jc w:val="both"/>
        <w:rPr>
          <w:rFonts w:ascii="Arial" w:hAnsi="Arial" w:cs="Arial"/>
          <w:sz w:val="24"/>
          <w:szCs w:val="24"/>
        </w:rPr>
      </w:pPr>
    </w:p>
    <w:p w14:paraId="30C3DACD" w14:textId="67162381" w:rsidR="00677D13" w:rsidRPr="009037BF" w:rsidRDefault="00177EF4" w:rsidP="00177EF4">
      <w:pPr>
        <w:pStyle w:val="PlainText"/>
        <w:widowControl w:val="0"/>
        <w:spacing w:line="480" w:lineRule="auto"/>
        <w:ind w:left="1418" w:hanging="709"/>
        <w:jc w:val="both"/>
        <w:rPr>
          <w:rFonts w:ascii="Arial" w:hAnsi="Arial" w:cs="Arial"/>
          <w:sz w:val="24"/>
          <w:szCs w:val="24"/>
        </w:rPr>
      </w:pPr>
      <w:r w:rsidRPr="009037BF">
        <w:rPr>
          <w:rFonts w:ascii="Arial" w:hAnsi="Arial" w:cs="Arial"/>
          <w:sz w:val="24"/>
          <w:szCs w:val="24"/>
        </w:rPr>
        <w:t>20.5.</w:t>
      </w:r>
      <w:r w:rsidRPr="009037BF">
        <w:rPr>
          <w:rFonts w:ascii="Arial" w:hAnsi="Arial" w:cs="Arial"/>
          <w:sz w:val="24"/>
          <w:szCs w:val="24"/>
        </w:rPr>
        <w:tab/>
      </w:r>
      <w:r w:rsidR="00677D13" w:rsidRPr="009037BF">
        <w:rPr>
          <w:rFonts w:ascii="Arial" w:hAnsi="Arial" w:cs="Arial"/>
          <w:sz w:val="24"/>
          <w:szCs w:val="24"/>
        </w:rPr>
        <w:t xml:space="preserve">The four payments made by the respondent in part settlement of his obligations under those paragraphs. </w:t>
      </w:r>
    </w:p>
    <w:p w14:paraId="64ADC2F6" w14:textId="77777777" w:rsidR="00677D13" w:rsidRPr="009037BF" w:rsidRDefault="00677D13" w:rsidP="009037BF">
      <w:pPr>
        <w:pStyle w:val="PlainText"/>
        <w:widowControl w:val="0"/>
        <w:spacing w:line="480" w:lineRule="auto"/>
        <w:ind w:left="709"/>
        <w:jc w:val="both"/>
        <w:rPr>
          <w:rFonts w:ascii="Arial" w:hAnsi="Arial" w:cs="Arial"/>
          <w:sz w:val="24"/>
          <w:szCs w:val="24"/>
        </w:rPr>
      </w:pPr>
    </w:p>
    <w:p w14:paraId="791D450F" w14:textId="40786DB9" w:rsidR="00677D13"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21.</w:t>
      </w:r>
      <w:r w:rsidRPr="009037BF">
        <w:rPr>
          <w:rFonts w:ascii="Arial" w:hAnsi="Arial" w:cs="Arial"/>
          <w:sz w:val="24"/>
          <w:szCs w:val="24"/>
        </w:rPr>
        <w:tab/>
      </w:r>
      <w:r w:rsidR="00677D13" w:rsidRPr="009037BF">
        <w:rPr>
          <w:rFonts w:ascii="Arial" w:hAnsi="Arial" w:cs="Arial"/>
          <w:sz w:val="24"/>
          <w:szCs w:val="24"/>
        </w:rPr>
        <w:t xml:space="preserve">I shall deal with the obligations arising from paragraphs 1.1 to 1.4 of the </w:t>
      </w:r>
      <w:r w:rsidR="00373F10" w:rsidRPr="009037BF">
        <w:rPr>
          <w:rFonts w:ascii="Arial" w:hAnsi="Arial" w:cs="Arial"/>
          <w:sz w:val="24"/>
          <w:szCs w:val="24"/>
        </w:rPr>
        <w:t>R</w:t>
      </w:r>
      <w:r w:rsidR="00677D13" w:rsidRPr="009037BF">
        <w:rPr>
          <w:rFonts w:ascii="Arial" w:hAnsi="Arial" w:cs="Arial"/>
          <w:sz w:val="24"/>
          <w:szCs w:val="24"/>
        </w:rPr>
        <w:t>ule 43 order in the course of the discussion below.</w:t>
      </w:r>
    </w:p>
    <w:p w14:paraId="62E0FC80" w14:textId="54117D1A" w:rsidR="00973C83" w:rsidRPr="009037BF" w:rsidRDefault="00973C83" w:rsidP="009037BF">
      <w:pPr>
        <w:pStyle w:val="PlainText"/>
        <w:widowControl w:val="0"/>
        <w:spacing w:line="480" w:lineRule="auto"/>
        <w:jc w:val="both"/>
        <w:rPr>
          <w:rFonts w:ascii="Arial" w:hAnsi="Arial" w:cs="Arial"/>
          <w:sz w:val="24"/>
          <w:szCs w:val="24"/>
        </w:rPr>
      </w:pPr>
    </w:p>
    <w:p w14:paraId="3DF92D61" w14:textId="5591CC5A" w:rsidR="00973C83" w:rsidRPr="009037BF" w:rsidRDefault="00973C83" w:rsidP="009037BF">
      <w:pPr>
        <w:pStyle w:val="PlainText"/>
        <w:widowControl w:val="0"/>
        <w:spacing w:line="480" w:lineRule="auto"/>
        <w:jc w:val="both"/>
        <w:rPr>
          <w:rFonts w:ascii="Arial" w:hAnsi="Arial" w:cs="Arial"/>
          <w:i/>
          <w:iCs/>
          <w:sz w:val="24"/>
          <w:szCs w:val="24"/>
          <w:u w:val="single"/>
        </w:rPr>
      </w:pPr>
      <w:r w:rsidRPr="009037BF">
        <w:rPr>
          <w:rFonts w:ascii="Arial" w:hAnsi="Arial" w:cs="Arial"/>
          <w:i/>
          <w:iCs/>
          <w:sz w:val="24"/>
          <w:szCs w:val="24"/>
          <w:u w:val="single"/>
        </w:rPr>
        <w:t>The cash contribution</w:t>
      </w:r>
      <w:r w:rsidR="00373F10" w:rsidRPr="009037BF">
        <w:rPr>
          <w:rFonts w:ascii="Arial" w:hAnsi="Arial" w:cs="Arial"/>
          <w:i/>
          <w:iCs/>
          <w:sz w:val="24"/>
          <w:szCs w:val="24"/>
          <w:u w:val="single"/>
        </w:rPr>
        <w:t>s</w:t>
      </w:r>
    </w:p>
    <w:p w14:paraId="375E33C2" w14:textId="77777777" w:rsidR="00973C83" w:rsidRPr="009037BF" w:rsidRDefault="00973C83" w:rsidP="009037BF">
      <w:pPr>
        <w:pStyle w:val="PlainText"/>
        <w:widowControl w:val="0"/>
        <w:spacing w:line="480" w:lineRule="auto"/>
        <w:jc w:val="both"/>
        <w:rPr>
          <w:rFonts w:ascii="Arial" w:hAnsi="Arial" w:cs="Arial"/>
          <w:sz w:val="24"/>
          <w:szCs w:val="24"/>
        </w:rPr>
      </w:pPr>
    </w:p>
    <w:p w14:paraId="76536F56" w14:textId="3E6EEC9F" w:rsidR="00650A5E"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22.</w:t>
      </w:r>
      <w:r w:rsidRPr="009037BF">
        <w:rPr>
          <w:rFonts w:ascii="Arial" w:hAnsi="Arial" w:cs="Arial"/>
          <w:sz w:val="24"/>
          <w:szCs w:val="24"/>
        </w:rPr>
        <w:tab/>
      </w:r>
      <w:r w:rsidR="00373F10" w:rsidRPr="009037BF">
        <w:rPr>
          <w:rFonts w:ascii="Arial" w:hAnsi="Arial" w:cs="Arial"/>
          <w:sz w:val="24"/>
          <w:szCs w:val="24"/>
        </w:rPr>
        <w:t>P</w:t>
      </w:r>
      <w:r w:rsidR="00973C83" w:rsidRPr="009037BF">
        <w:rPr>
          <w:rFonts w:ascii="Arial" w:hAnsi="Arial" w:cs="Arial"/>
          <w:sz w:val="24"/>
          <w:szCs w:val="24"/>
        </w:rPr>
        <w:t xml:space="preserve">aragraphs 1.1 and 1.2 of the </w:t>
      </w:r>
      <w:r w:rsidR="00373F10" w:rsidRPr="009037BF">
        <w:rPr>
          <w:rFonts w:ascii="Arial" w:hAnsi="Arial" w:cs="Arial"/>
          <w:sz w:val="24"/>
          <w:szCs w:val="24"/>
        </w:rPr>
        <w:t>R</w:t>
      </w:r>
      <w:r w:rsidR="00973C83" w:rsidRPr="009037BF">
        <w:rPr>
          <w:rFonts w:ascii="Arial" w:hAnsi="Arial" w:cs="Arial"/>
          <w:sz w:val="24"/>
          <w:szCs w:val="24"/>
        </w:rPr>
        <w:t xml:space="preserve">ule 43 order oblige the respondent to pay to the applicant </w:t>
      </w:r>
      <w:r w:rsidR="00373F10" w:rsidRPr="009037BF">
        <w:rPr>
          <w:rFonts w:ascii="Arial" w:hAnsi="Arial" w:cs="Arial"/>
          <w:sz w:val="24"/>
          <w:szCs w:val="24"/>
        </w:rPr>
        <w:t xml:space="preserve">a total </w:t>
      </w:r>
      <w:r w:rsidR="00973C83" w:rsidRPr="009037BF">
        <w:rPr>
          <w:rFonts w:ascii="Arial" w:hAnsi="Arial" w:cs="Arial"/>
          <w:sz w:val="24"/>
          <w:szCs w:val="24"/>
        </w:rPr>
        <w:t xml:space="preserve">cash maintenance </w:t>
      </w:r>
      <w:r w:rsidR="00373F10" w:rsidRPr="009037BF">
        <w:rPr>
          <w:rFonts w:ascii="Arial" w:hAnsi="Arial" w:cs="Arial"/>
          <w:sz w:val="24"/>
          <w:szCs w:val="24"/>
        </w:rPr>
        <w:t xml:space="preserve">amount </w:t>
      </w:r>
      <w:r w:rsidR="00973C83" w:rsidRPr="009037BF">
        <w:rPr>
          <w:rFonts w:ascii="Arial" w:hAnsi="Arial" w:cs="Arial"/>
          <w:sz w:val="24"/>
          <w:szCs w:val="24"/>
        </w:rPr>
        <w:t>of R53,750 consisting of R44,715 per month as maintenance and R9</w:t>
      </w:r>
      <w:r w:rsidR="00373F10" w:rsidRPr="009037BF">
        <w:rPr>
          <w:rFonts w:ascii="Arial" w:hAnsi="Arial" w:cs="Arial"/>
          <w:sz w:val="24"/>
          <w:szCs w:val="24"/>
        </w:rPr>
        <w:t>,</w:t>
      </w:r>
      <w:r w:rsidR="00973C83" w:rsidRPr="009037BF">
        <w:rPr>
          <w:rFonts w:ascii="Arial" w:hAnsi="Arial" w:cs="Arial"/>
          <w:sz w:val="24"/>
          <w:szCs w:val="24"/>
        </w:rPr>
        <w:t>000 a month in respect of the salaries of the applicant</w:t>
      </w:r>
      <w:r w:rsidR="00373F10" w:rsidRPr="009037BF">
        <w:rPr>
          <w:rFonts w:ascii="Arial" w:hAnsi="Arial" w:cs="Arial"/>
          <w:sz w:val="24"/>
          <w:szCs w:val="24"/>
        </w:rPr>
        <w:t>’</w:t>
      </w:r>
      <w:r w:rsidR="00973C83" w:rsidRPr="009037BF">
        <w:rPr>
          <w:rFonts w:ascii="Arial" w:hAnsi="Arial" w:cs="Arial"/>
          <w:sz w:val="24"/>
          <w:szCs w:val="24"/>
        </w:rPr>
        <w:t xml:space="preserve">s </w:t>
      </w:r>
      <w:r w:rsidR="00973C83" w:rsidRPr="009037BF">
        <w:rPr>
          <w:rFonts w:ascii="Arial" w:hAnsi="Arial" w:cs="Arial"/>
          <w:sz w:val="24"/>
          <w:szCs w:val="24"/>
        </w:rPr>
        <w:lastRenderedPageBreak/>
        <w:t>domestic assistan</w:t>
      </w:r>
      <w:r w:rsidR="00373F10" w:rsidRPr="009037BF">
        <w:rPr>
          <w:rFonts w:ascii="Arial" w:hAnsi="Arial" w:cs="Arial"/>
          <w:sz w:val="24"/>
          <w:szCs w:val="24"/>
        </w:rPr>
        <w:t>ts</w:t>
      </w:r>
      <w:r w:rsidR="00973C83" w:rsidRPr="009037BF">
        <w:rPr>
          <w:rFonts w:ascii="Arial" w:hAnsi="Arial" w:cs="Arial"/>
          <w:sz w:val="24"/>
          <w:szCs w:val="24"/>
        </w:rPr>
        <w:t xml:space="preserve"> or their success</w:t>
      </w:r>
      <w:r w:rsidR="00373F10" w:rsidRPr="009037BF">
        <w:rPr>
          <w:rFonts w:ascii="Arial" w:hAnsi="Arial" w:cs="Arial"/>
          <w:sz w:val="24"/>
          <w:szCs w:val="24"/>
        </w:rPr>
        <w:t>or</w:t>
      </w:r>
      <w:r w:rsidR="00973C83" w:rsidRPr="009037BF">
        <w:rPr>
          <w:rFonts w:ascii="Arial" w:hAnsi="Arial" w:cs="Arial"/>
          <w:sz w:val="24"/>
          <w:szCs w:val="24"/>
        </w:rPr>
        <w:t>s.</w:t>
      </w:r>
    </w:p>
    <w:p w14:paraId="1E085571" w14:textId="77777777" w:rsidR="00650A5E" w:rsidRPr="009037BF" w:rsidRDefault="00650A5E" w:rsidP="009037BF">
      <w:pPr>
        <w:pStyle w:val="PlainText"/>
        <w:widowControl w:val="0"/>
        <w:spacing w:line="480" w:lineRule="auto"/>
        <w:ind w:left="709"/>
        <w:jc w:val="both"/>
        <w:rPr>
          <w:rFonts w:ascii="Arial" w:hAnsi="Arial" w:cs="Arial"/>
          <w:sz w:val="24"/>
          <w:szCs w:val="24"/>
        </w:rPr>
      </w:pPr>
    </w:p>
    <w:p w14:paraId="6C4399CE" w14:textId="67B8FA80" w:rsidR="00973C83"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23.</w:t>
      </w:r>
      <w:r w:rsidRPr="009037BF">
        <w:rPr>
          <w:rFonts w:ascii="Arial" w:hAnsi="Arial" w:cs="Arial"/>
          <w:sz w:val="24"/>
          <w:szCs w:val="24"/>
        </w:rPr>
        <w:tab/>
      </w:r>
      <w:r w:rsidR="00973C83" w:rsidRPr="009037BF">
        <w:rPr>
          <w:rFonts w:ascii="Arial" w:hAnsi="Arial" w:cs="Arial"/>
          <w:sz w:val="24"/>
          <w:szCs w:val="24"/>
        </w:rPr>
        <w:t xml:space="preserve">Paragraph 1.1 states that the date on which the first maintenance payment </w:t>
      </w:r>
      <w:r w:rsidR="00CA08A7" w:rsidRPr="009037BF">
        <w:rPr>
          <w:rFonts w:ascii="Arial" w:hAnsi="Arial" w:cs="Arial"/>
          <w:sz w:val="24"/>
          <w:szCs w:val="24"/>
        </w:rPr>
        <w:t>had to</w:t>
      </w:r>
      <w:r w:rsidR="00973C83" w:rsidRPr="009037BF">
        <w:rPr>
          <w:rFonts w:ascii="Arial" w:hAnsi="Arial" w:cs="Arial"/>
          <w:sz w:val="24"/>
          <w:szCs w:val="24"/>
        </w:rPr>
        <w:t xml:space="preserve"> be made was </w:t>
      </w:r>
      <w:r w:rsidR="00373F10" w:rsidRPr="009037BF">
        <w:rPr>
          <w:rFonts w:ascii="Arial" w:hAnsi="Arial" w:cs="Arial"/>
          <w:sz w:val="24"/>
          <w:szCs w:val="24"/>
        </w:rPr>
        <w:t>1</w:t>
      </w:r>
      <w:r w:rsidR="00973C83" w:rsidRPr="009037BF">
        <w:rPr>
          <w:rFonts w:ascii="Arial" w:hAnsi="Arial" w:cs="Arial"/>
          <w:sz w:val="24"/>
          <w:szCs w:val="24"/>
        </w:rPr>
        <w:t xml:space="preserve"> April 2017. </w:t>
      </w:r>
      <w:r w:rsidR="00373F10" w:rsidRPr="009037BF">
        <w:rPr>
          <w:rFonts w:ascii="Arial" w:hAnsi="Arial" w:cs="Arial"/>
          <w:sz w:val="24"/>
          <w:szCs w:val="24"/>
        </w:rPr>
        <w:t xml:space="preserve"> </w:t>
      </w:r>
      <w:r w:rsidR="00973C83" w:rsidRPr="009037BF">
        <w:rPr>
          <w:rFonts w:ascii="Arial" w:hAnsi="Arial" w:cs="Arial"/>
          <w:sz w:val="24"/>
          <w:szCs w:val="24"/>
        </w:rPr>
        <w:t>In the absence of wording to the contrary, common</w:t>
      </w:r>
      <w:r w:rsidR="00373F10" w:rsidRPr="009037BF">
        <w:rPr>
          <w:rFonts w:ascii="Arial" w:hAnsi="Arial" w:cs="Arial"/>
          <w:sz w:val="24"/>
          <w:szCs w:val="24"/>
        </w:rPr>
        <w:t xml:space="preserve"> </w:t>
      </w:r>
      <w:r w:rsidR="00973C83" w:rsidRPr="009037BF">
        <w:rPr>
          <w:rFonts w:ascii="Arial" w:hAnsi="Arial" w:cs="Arial"/>
          <w:sz w:val="24"/>
          <w:szCs w:val="24"/>
        </w:rPr>
        <w:t>sense and general practice dictate that all subsequent maintenance payments in terms of these paragraphs were to be made on or before the first day of the months following April 2017. This has never been denied by the respondent</w:t>
      </w:r>
      <w:r w:rsidR="00373F10" w:rsidRPr="009037BF">
        <w:rPr>
          <w:rFonts w:ascii="Arial" w:hAnsi="Arial" w:cs="Arial"/>
          <w:sz w:val="24"/>
          <w:szCs w:val="24"/>
        </w:rPr>
        <w:t xml:space="preserve"> (in relation to parties’ conduct as an aid in the interpretation of a document, see </w:t>
      </w:r>
      <w:r w:rsidR="00650A5E" w:rsidRPr="009037BF">
        <w:rPr>
          <w:rFonts w:ascii="Arial" w:hAnsi="Arial" w:cs="Arial"/>
          <w:i/>
          <w:iCs/>
          <w:sz w:val="24"/>
          <w:szCs w:val="24"/>
        </w:rPr>
        <w:t>Comwezi Security Services (Pty) Ltd v Cape Empowerment Trust Ltd</w:t>
      </w:r>
      <w:r w:rsidR="00650A5E" w:rsidRPr="009037BF">
        <w:rPr>
          <w:rFonts w:ascii="Arial" w:hAnsi="Arial" w:cs="Arial"/>
          <w:sz w:val="24"/>
          <w:szCs w:val="24"/>
        </w:rPr>
        <w:t xml:space="preserve"> (759/2011) [2012] ZASCA 126 (21 September 2012) at para [15]).</w:t>
      </w:r>
      <w:r w:rsidR="00CA08A7" w:rsidRPr="009037BF">
        <w:rPr>
          <w:rFonts w:ascii="Arial" w:hAnsi="Arial" w:cs="Arial"/>
          <w:sz w:val="24"/>
          <w:szCs w:val="24"/>
        </w:rPr>
        <w:t xml:space="preserve">  The respondent has, over the period November 2019 to October 2021, failed to make these payments by the due date</w:t>
      </w:r>
      <w:r w:rsidR="00C94925" w:rsidRPr="009037BF">
        <w:rPr>
          <w:rFonts w:ascii="Arial" w:hAnsi="Arial" w:cs="Arial"/>
          <w:sz w:val="24"/>
          <w:szCs w:val="24"/>
        </w:rPr>
        <w:t>, or at all in certain instances.</w:t>
      </w:r>
    </w:p>
    <w:p w14:paraId="787075D5" w14:textId="77777777" w:rsidR="00973C83" w:rsidRPr="009037BF" w:rsidRDefault="00973C83" w:rsidP="009037BF">
      <w:pPr>
        <w:pStyle w:val="PlainText"/>
        <w:widowControl w:val="0"/>
        <w:spacing w:line="480" w:lineRule="auto"/>
        <w:ind w:left="709"/>
        <w:jc w:val="both"/>
        <w:rPr>
          <w:rFonts w:ascii="Arial" w:hAnsi="Arial" w:cs="Arial"/>
          <w:sz w:val="24"/>
          <w:szCs w:val="24"/>
        </w:rPr>
      </w:pPr>
    </w:p>
    <w:p w14:paraId="0D657247" w14:textId="754B6044" w:rsidR="00973C83"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24.</w:t>
      </w:r>
      <w:r w:rsidRPr="009037BF">
        <w:rPr>
          <w:rFonts w:ascii="Arial" w:hAnsi="Arial" w:cs="Arial"/>
          <w:sz w:val="24"/>
          <w:szCs w:val="24"/>
        </w:rPr>
        <w:tab/>
      </w:r>
      <w:r w:rsidR="00650A5E" w:rsidRPr="009037BF">
        <w:rPr>
          <w:rFonts w:ascii="Arial" w:hAnsi="Arial" w:cs="Arial"/>
          <w:sz w:val="24"/>
          <w:szCs w:val="24"/>
        </w:rPr>
        <w:t>The R9,000 payment came about as follows: a</w:t>
      </w:r>
      <w:r w:rsidR="00973C83" w:rsidRPr="009037BF">
        <w:rPr>
          <w:rFonts w:ascii="Arial" w:hAnsi="Arial" w:cs="Arial"/>
          <w:sz w:val="24"/>
          <w:szCs w:val="24"/>
        </w:rPr>
        <w:t xml:space="preserve">t the hearing of the </w:t>
      </w:r>
      <w:r w:rsidR="00650A5E" w:rsidRPr="009037BF">
        <w:rPr>
          <w:rFonts w:ascii="Arial" w:hAnsi="Arial" w:cs="Arial"/>
          <w:sz w:val="24"/>
          <w:szCs w:val="24"/>
        </w:rPr>
        <w:t>R</w:t>
      </w:r>
      <w:r w:rsidR="00973C83" w:rsidRPr="009037BF">
        <w:rPr>
          <w:rFonts w:ascii="Arial" w:hAnsi="Arial" w:cs="Arial"/>
          <w:sz w:val="24"/>
          <w:szCs w:val="24"/>
        </w:rPr>
        <w:t>ule 43 application the respondent</w:t>
      </w:r>
      <w:r w:rsidR="00650A5E" w:rsidRPr="009037BF">
        <w:rPr>
          <w:rFonts w:ascii="Arial" w:hAnsi="Arial" w:cs="Arial"/>
          <w:sz w:val="24"/>
          <w:szCs w:val="24"/>
        </w:rPr>
        <w:t>’</w:t>
      </w:r>
      <w:r w:rsidR="00973C83" w:rsidRPr="009037BF">
        <w:rPr>
          <w:rFonts w:ascii="Arial" w:hAnsi="Arial" w:cs="Arial"/>
          <w:sz w:val="24"/>
          <w:szCs w:val="24"/>
        </w:rPr>
        <w:t xml:space="preserve">s counsel told the court that one of the </w:t>
      </w:r>
      <w:r w:rsidR="00650A5E" w:rsidRPr="009037BF">
        <w:rPr>
          <w:rFonts w:ascii="Arial" w:hAnsi="Arial" w:cs="Arial"/>
          <w:sz w:val="24"/>
          <w:szCs w:val="24"/>
        </w:rPr>
        <w:t xml:space="preserve">applicant’s </w:t>
      </w:r>
      <w:r w:rsidR="00973C83" w:rsidRPr="009037BF">
        <w:rPr>
          <w:rFonts w:ascii="Arial" w:hAnsi="Arial" w:cs="Arial"/>
          <w:sz w:val="24"/>
          <w:szCs w:val="24"/>
        </w:rPr>
        <w:t>domestic workers</w:t>
      </w:r>
      <w:r w:rsidR="00650A5E" w:rsidRPr="009037BF">
        <w:rPr>
          <w:rFonts w:ascii="Arial" w:hAnsi="Arial" w:cs="Arial"/>
          <w:sz w:val="24"/>
          <w:szCs w:val="24"/>
        </w:rPr>
        <w:t xml:space="preserve">, Ms </w:t>
      </w:r>
      <w:r w:rsidR="00973C83" w:rsidRPr="009037BF">
        <w:rPr>
          <w:rFonts w:ascii="Arial" w:hAnsi="Arial" w:cs="Arial"/>
          <w:sz w:val="24"/>
          <w:szCs w:val="24"/>
        </w:rPr>
        <w:t xml:space="preserve">Maria </w:t>
      </w:r>
      <w:r w:rsidR="00BA4EEE" w:rsidRPr="009037BF">
        <w:rPr>
          <w:rFonts w:ascii="Arial" w:hAnsi="Arial" w:cs="Arial"/>
          <w:sz w:val="24"/>
          <w:szCs w:val="24"/>
        </w:rPr>
        <w:t>Buwu</w:t>
      </w:r>
      <w:r w:rsidR="00973C83" w:rsidRPr="009037BF">
        <w:rPr>
          <w:rFonts w:ascii="Arial" w:hAnsi="Arial" w:cs="Arial"/>
          <w:sz w:val="24"/>
          <w:szCs w:val="24"/>
        </w:rPr>
        <w:t>, was earning a salary of R5</w:t>
      </w:r>
      <w:r w:rsidR="00BA4EEE" w:rsidRPr="009037BF">
        <w:rPr>
          <w:rFonts w:ascii="Arial" w:hAnsi="Arial" w:cs="Arial"/>
          <w:sz w:val="24"/>
          <w:szCs w:val="24"/>
        </w:rPr>
        <w:t>,</w:t>
      </w:r>
      <w:r w:rsidR="00973C83" w:rsidRPr="009037BF">
        <w:rPr>
          <w:rFonts w:ascii="Arial" w:hAnsi="Arial" w:cs="Arial"/>
          <w:sz w:val="24"/>
          <w:szCs w:val="24"/>
        </w:rPr>
        <w:t>600</w:t>
      </w:r>
      <w:r w:rsidR="00BA4EEE" w:rsidRPr="009037BF">
        <w:rPr>
          <w:rFonts w:ascii="Arial" w:hAnsi="Arial" w:cs="Arial"/>
          <w:sz w:val="24"/>
          <w:szCs w:val="24"/>
        </w:rPr>
        <w:t>,</w:t>
      </w:r>
      <w:r w:rsidR="00973C83" w:rsidRPr="009037BF">
        <w:rPr>
          <w:rFonts w:ascii="Arial" w:hAnsi="Arial" w:cs="Arial"/>
          <w:sz w:val="24"/>
          <w:szCs w:val="24"/>
        </w:rPr>
        <w:t xml:space="preserve"> whilst the other</w:t>
      </w:r>
      <w:r w:rsidR="00BA4EEE" w:rsidRPr="009037BF">
        <w:rPr>
          <w:rFonts w:ascii="Arial" w:hAnsi="Arial" w:cs="Arial"/>
          <w:sz w:val="24"/>
          <w:szCs w:val="24"/>
        </w:rPr>
        <w:t>, Ms Farai Zinyemba</w:t>
      </w:r>
      <w:r w:rsidR="004A156C" w:rsidRPr="009037BF">
        <w:rPr>
          <w:rFonts w:ascii="Arial" w:hAnsi="Arial" w:cs="Arial"/>
          <w:sz w:val="24"/>
          <w:szCs w:val="24"/>
        </w:rPr>
        <w:t>,</w:t>
      </w:r>
      <w:r w:rsidR="00973C83" w:rsidRPr="009037BF">
        <w:rPr>
          <w:rFonts w:ascii="Arial" w:hAnsi="Arial" w:cs="Arial"/>
          <w:sz w:val="24"/>
          <w:szCs w:val="24"/>
        </w:rPr>
        <w:t xml:space="preserve"> was earning R3</w:t>
      </w:r>
      <w:r w:rsidR="00BA4EEE" w:rsidRPr="009037BF">
        <w:rPr>
          <w:rFonts w:ascii="Arial" w:hAnsi="Arial" w:cs="Arial"/>
          <w:sz w:val="24"/>
          <w:szCs w:val="24"/>
        </w:rPr>
        <w:t>,</w:t>
      </w:r>
      <w:r w:rsidR="00973C83" w:rsidRPr="009037BF">
        <w:rPr>
          <w:rFonts w:ascii="Arial" w:hAnsi="Arial" w:cs="Arial"/>
          <w:sz w:val="24"/>
          <w:szCs w:val="24"/>
        </w:rPr>
        <w:t>200 per month. His coun</w:t>
      </w:r>
      <w:r w:rsidR="00BA4EEE" w:rsidRPr="009037BF">
        <w:rPr>
          <w:rFonts w:ascii="Arial" w:hAnsi="Arial" w:cs="Arial"/>
          <w:sz w:val="24"/>
          <w:szCs w:val="24"/>
        </w:rPr>
        <w:t>sel</w:t>
      </w:r>
      <w:r w:rsidR="00973C83" w:rsidRPr="009037BF">
        <w:rPr>
          <w:rFonts w:ascii="Arial" w:hAnsi="Arial" w:cs="Arial"/>
          <w:sz w:val="24"/>
          <w:szCs w:val="24"/>
        </w:rPr>
        <w:t xml:space="preserve"> therefore suggested that R9</w:t>
      </w:r>
      <w:r w:rsidR="00BA4EEE" w:rsidRPr="009037BF">
        <w:rPr>
          <w:rFonts w:ascii="Arial" w:hAnsi="Arial" w:cs="Arial"/>
          <w:sz w:val="24"/>
          <w:szCs w:val="24"/>
        </w:rPr>
        <w:t>,</w:t>
      </w:r>
      <w:r w:rsidR="00973C83" w:rsidRPr="009037BF">
        <w:rPr>
          <w:rFonts w:ascii="Arial" w:hAnsi="Arial" w:cs="Arial"/>
          <w:sz w:val="24"/>
          <w:szCs w:val="24"/>
        </w:rPr>
        <w:t xml:space="preserve">000 </w:t>
      </w:r>
      <w:r w:rsidR="004A156C" w:rsidRPr="009037BF">
        <w:rPr>
          <w:rFonts w:ascii="Arial" w:hAnsi="Arial" w:cs="Arial"/>
          <w:sz w:val="24"/>
          <w:szCs w:val="24"/>
        </w:rPr>
        <w:t xml:space="preserve">in total </w:t>
      </w:r>
      <w:r w:rsidR="00973C83" w:rsidRPr="009037BF">
        <w:rPr>
          <w:rFonts w:ascii="Arial" w:hAnsi="Arial" w:cs="Arial"/>
          <w:sz w:val="24"/>
          <w:szCs w:val="24"/>
        </w:rPr>
        <w:t>be paid to the applicant to settle th</w:t>
      </w:r>
      <w:r w:rsidR="00BA4EEE" w:rsidRPr="009037BF">
        <w:rPr>
          <w:rFonts w:ascii="Arial" w:hAnsi="Arial" w:cs="Arial"/>
          <w:sz w:val="24"/>
          <w:szCs w:val="24"/>
        </w:rPr>
        <w:t>o</w:t>
      </w:r>
      <w:r w:rsidR="00973C83" w:rsidRPr="009037BF">
        <w:rPr>
          <w:rFonts w:ascii="Arial" w:hAnsi="Arial" w:cs="Arial"/>
          <w:sz w:val="24"/>
          <w:szCs w:val="24"/>
        </w:rPr>
        <w:t>se salaries. The fact</w:t>
      </w:r>
      <w:r w:rsidR="00BA4EEE" w:rsidRPr="009037BF">
        <w:rPr>
          <w:rFonts w:ascii="Arial" w:hAnsi="Arial" w:cs="Arial"/>
          <w:sz w:val="24"/>
          <w:szCs w:val="24"/>
        </w:rPr>
        <w:t>s</w:t>
      </w:r>
      <w:r w:rsidR="00973C83" w:rsidRPr="009037BF">
        <w:rPr>
          <w:rFonts w:ascii="Arial" w:hAnsi="Arial" w:cs="Arial"/>
          <w:sz w:val="24"/>
          <w:szCs w:val="24"/>
        </w:rPr>
        <w:t xml:space="preserve"> disclosed to the court which resulted in the order that the applicant make payment of R9</w:t>
      </w:r>
      <w:r w:rsidR="00BA4EEE" w:rsidRPr="009037BF">
        <w:rPr>
          <w:rFonts w:ascii="Arial" w:hAnsi="Arial" w:cs="Arial"/>
          <w:sz w:val="24"/>
          <w:szCs w:val="24"/>
        </w:rPr>
        <w:t>,</w:t>
      </w:r>
      <w:r w:rsidR="00973C83" w:rsidRPr="009037BF">
        <w:rPr>
          <w:rFonts w:ascii="Arial" w:hAnsi="Arial" w:cs="Arial"/>
          <w:sz w:val="24"/>
          <w:szCs w:val="24"/>
        </w:rPr>
        <w:t xml:space="preserve">000 </w:t>
      </w:r>
      <w:r w:rsidR="00BA4EEE" w:rsidRPr="009037BF">
        <w:rPr>
          <w:rFonts w:ascii="Arial" w:hAnsi="Arial" w:cs="Arial"/>
          <w:sz w:val="24"/>
          <w:szCs w:val="24"/>
        </w:rPr>
        <w:t xml:space="preserve">in total in relation to salaries, and not </w:t>
      </w:r>
      <w:r w:rsidR="00973C83" w:rsidRPr="009037BF">
        <w:rPr>
          <w:rFonts w:ascii="Arial" w:hAnsi="Arial" w:cs="Arial"/>
          <w:sz w:val="24"/>
          <w:szCs w:val="24"/>
        </w:rPr>
        <w:t>R4</w:t>
      </w:r>
      <w:r w:rsidR="00BA4EEE" w:rsidRPr="009037BF">
        <w:rPr>
          <w:rFonts w:ascii="Arial" w:hAnsi="Arial" w:cs="Arial"/>
          <w:sz w:val="24"/>
          <w:szCs w:val="24"/>
        </w:rPr>
        <w:t>,</w:t>
      </w:r>
      <w:r w:rsidR="00973C83" w:rsidRPr="009037BF">
        <w:rPr>
          <w:rFonts w:ascii="Arial" w:hAnsi="Arial" w:cs="Arial"/>
          <w:sz w:val="24"/>
          <w:szCs w:val="24"/>
        </w:rPr>
        <w:t xml:space="preserve">500 </w:t>
      </w:r>
      <w:r w:rsidR="00BA4EEE" w:rsidRPr="009037BF">
        <w:rPr>
          <w:rFonts w:ascii="Arial" w:hAnsi="Arial" w:cs="Arial"/>
          <w:sz w:val="24"/>
          <w:szCs w:val="24"/>
        </w:rPr>
        <w:t>per</w:t>
      </w:r>
      <w:r w:rsidR="00973C83" w:rsidRPr="009037BF">
        <w:rPr>
          <w:rFonts w:ascii="Arial" w:hAnsi="Arial" w:cs="Arial"/>
          <w:sz w:val="24"/>
          <w:szCs w:val="24"/>
        </w:rPr>
        <w:t xml:space="preserve"> domestic assistant, means that the respondent cannot unilaterally decide to pay an amount of R4</w:t>
      </w:r>
      <w:r w:rsidR="00BA4EEE" w:rsidRPr="009037BF">
        <w:rPr>
          <w:rFonts w:ascii="Arial" w:hAnsi="Arial" w:cs="Arial"/>
          <w:sz w:val="24"/>
          <w:szCs w:val="24"/>
        </w:rPr>
        <w:t>,</w:t>
      </w:r>
      <w:r w:rsidR="00973C83" w:rsidRPr="009037BF">
        <w:rPr>
          <w:rFonts w:ascii="Arial" w:hAnsi="Arial" w:cs="Arial"/>
          <w:sz w:val="24"/>
          <w:szCs w:val="24"/>
        </w:rPr>
        <w:t xml:space="preserve">500 even if the applicant </w:t>
      </w:r>
      <w:r w:rsidR="00BA4EEE" w:rsidRPr="009037BF">
        <w:rPr>
          <w:rFonts w:ascii="Arial" w:hAnsi="Arial" w:cs="Arial"/>
          <w:sz w:val="24"/>
          <w:szCs w:val="24"/>
        </w:rPr>
        <w:t>only</w:t>
      </w:r>
      <w:r w:rsidR="00973C83" w:rsidRPr="009037BF">
        <w:rPr>
          <w:rFonts w:ascii="Arial" w:hAnsi="Arial" w:cs="Arial"/>
          <w:sz w:val="24"/>
          <w:szCs w:val="24"/>
        </w:rPr>
        <w:t xml:space="preserve"> employ</w:t>
      </w:r>
      <w:r w:rsidR="004A156C" w:rsidRPr="009037BF">
        <w:rPr>
          <w:rFonts w:ascii="Arial" w:hAnsi="Arial" w:cs="Arial"/>
          <w:sz w:val="24"/>
          <w:szCs w:val="24"/>
        </w:rPr>
        <w:t>ed</w:t>
      </w:r>
      <w:r w:rsidR="00973C83" w:rsidRPr="009037BF">
        <w:rPr>
          <w:rFonts w:ascii="Arial" w:hAnsi="Arial" w:cs="Arial"/>
          <w:sz w:val="24"/>
          <w:szCs w:val="24"/>
        </w:rPr>
        <w:t xml:space="preserve"> </w:t>
      </w:r>
      <w:r w:rsidR="00BA4EEE" w:rsidRPr="009037BF">
        <w:rPr>
          <w:rFonts w:ascii="Arial" w:hAnsi="Arial" w:cs="Arial"/>
          <w:sz w:val="24"/>
          <w:szCs w:val="24"/>
        </w:rPr>
        <w:t>Ms Buwu</w:t>
      </w:r>
      <w:r w:rsidR="00973C83" w:rsidRPr="009037BF">
        <w:rPr>
          <w:rFonts w:ascii="Arial" w:hAnsi="Arial" w:cs="Arial"/>
          <w:sz w:val="24"/>
          <w:szCs w:val="24"/>
        </w:rPr>
        <w:t>. He knows, and his coun</w:t>
      </w:r>
      <w:r w:rsidR="00BA4EEE" w:rsidRPr="009037BF">
        <w:rPr>
          <w:rFonts w:ascii="Arial" w:hAnsi="Arial" w:cs="Arial"/>
          <w:sz w:val="24"/>
          <w:szCs w:val="24"/>
        </w:rPr>
        <w:t>sel</w:t>
      </w:r>
      <w:r w:rsidR="00973C83" w:rsidRPr="009037BF">
        <w:rPr>
          <w:rFonts w:ascii="Arial" w:hAnsi="Arial" w:cs="Arial"/>
          <w:sz w:val="24"/>
          <w:szCs w:val="24"/>
        </w:rPr>
        <w:t xml:space="preserve"> disclose</w:t>
      </w:r>
      <w:r w:rsidR="00BA4EEE" w:rsidRPr="009037BF">
        <w:rPr>
          <w:rFonts w:ascii="Arial" w:hAnsi="Arial" w:cs="Arial"/>
          <w:sz w:val="24"/>
          <w:szCs w:val="24"/>
        </w:rPr>
        <w:t>d</w:t>
      </w:r>
      <w:r w:rsidR="00973C83" w:rsidRPr="009037BF">
        <w:rPr>
          <w:rFonts w:ascii="Arial" w:hAnsi="Arial" w:cs="Arial"/>
          <w:sz w:val="24"/>
          <w:szCs w:val="24"/>
        </w:rPr>
        <w:t xml:space="preserve"> to the court, that her monthly salary </w:t>
      </w:r>
      <w:r w:rsidR="00BA4EEE" w:rsidRPr="009037BF">
        <w:rPr>
          <w:rFonts w:ascii="Arial" w:hAnsi="Arial" w:cs="Arial"/>
          <w:sz w:val="24"/>
          <w:szCs w:val="24"/>
        </w:rPr>
        <w:t>alone</w:t>
      </w:r>
      <w:r w:rsidR="00973C83" w:rsidRPr="009037BF">
        <w:rPr>
          <w:rFonts w:ascii="Arial" w:hAnsi="Arial" w:cs="Arial"/>
          <w:sz w:val="24"/>
          <w:szCs w:val="24"/>
        </w:rPr>
        <w:t xml:space="preserve"> exceeded R4500. The purpose of paragraph 1.2 of the order was </w:t>
      </w:r>
      <w:r w:rsidR="00BA4EEE" w:rsidRPr="009037BF">
        <w:rPr>
          <w:rFonts w:ascii="Arial" w:hAnsi="Arial" w:cs="Arial"/>
          <w:sz w:val="24"/>
          <w:szCs w:val="24"/>
        </w:rPr>
        <w:t>thus</w:t>
      </w:r>
      <w:r w:rsidR="00973C83" w:rsidRPr="009037BF">
        <w:rPr>
          <w:rFonts w:ascii="Arial" w:hAnsi="Arial" w:cs="Arial"/>
          <w:sz w:val="24"/>
          <w:szCs w:val="24"/>
        </w:rPr>
        <w:t xml:space="preserve"> to ensure that her monthly salary was paid in full and </w:t>
      </w:r>
      <w:r w:rsidR="00BA4EEE" w:rsidRPr="009037BF">
        <w:rPr>
          <w:rFonts w:ascii="Arial" w:hAnsi="Arial" w:cs="Arial"/>
          <w:sz w:val="24"/>
          <w:szCs w:val="24"/>
        </w:rPr>
        <w:t xml:space="preserve">to </w:t>
      </w:r>
      <w:r w:rsidR="00973C83" w:rsidRPr="009037BF">
        <w:rPr>
          <w:rFonts w:ascii="Arial" w:hAnsi="Arial" w:cs="Arial"/>
          <w:sz w:val="24"/>
          <w:szCs w:val="24"/>
        </w:rPr>
        <w:t>leave a balance so that the applicant could employ a second assistant</w:t>
      </w:r>
      <w:r w:rsidR="00BA4EEE" w:rsidRPr="009037BF">
        <w:rPr>
          <w:rFonts w:ascii="Arial" w:hAnsi="Arial" w:cs="Arial"/>
          <w:sz w:val="24"/>
          <w:szCs w:val="24"/>
        </w:rPr>
        <w:t>,</w:t>
      </w:r>
      <w:r w:rsidR="00973C83" w:rsidRPr="009037BF">
        <w:rPr>
          <w:rFonts w:ascii="Arial" w:hAnsi="Arial" w:cs="Arial"/>
          <w:sz w:val="24"/>
          <w:szCs w:val="24"/>
        </w:rPr>
        <w:t xml:space="preserve"> as she </w:t>
      </w:r>
      <w:r w:rsidR="00BA4EEE" w:rsidRPr="009037BF">
        <w:rPr>
          <w:rFonts w:ascii="Arial" w:hAnsi="Arial" w:cs="Arial"/>
          <w:sz w:val="24"/>
          <w:szCs w:val="24"/>
        </w:rPr>
        <w:t xml:space="preserve">currently </w:t>
      </w:r>
      <w:r w:rsidR="00973C83" w:rsidRPr="009037BF">
        <w:rPr>
          <w:rFonts w:ascii="Arial" w:hAnsi="Arial" w:cs="Arial"/>
          <w:sz w:val="24"/>
          <w:szCs w:val="24"/>
        </w:rPr>
        <w:t>does</w:t>
      </w:r>
      <w:r w:rsidR="004A156C" w:rsidRPr="009037BF">
        <w:rPr>
          <w:rFonts w:ascii="Arial" w:hAnsi="Arial" w:cs="Arial"/>
          <w:sz w:val="24"/>
          <w:szCs w:val="24"/>
        </w:rPr>
        <w:t xml:space="preserve"> (Ms Zinyemba has s</w:t>
      </w:r>
      <w:r w:rsidR="00C94925" w:rsidRPr="009037BF">
        <w:rPr>
          <w:rFonts w:ascii="Arial" w:hAnsi="Arial" w:cs="Arial"/>
          <w:sz w:val="24"/>
          <w:szCs w:val="24"/>
        </w:rPr>
        <w:t>i</w:t>
      </w:r>
      <w:r w:rsidR="004A156C" w:rsidRPr="009037BF">
        <w:rPr>
          <w:rFonts w:ascii="Arial" w:hAnsi="Arial" w:cs="Arial"/>
          <w:sz w:val="24"/>
          <w:szCs w:val="24"/>
        </w:rPr>
        <w:t xml:space="preserve">nce been </w:t>
      </w:r>
      <w:r w:rsidR="004A156C" w:rsidRPr="009037BF">
        <w:rPr>
          <w:rFonts w:ascii="Arial" w:hAnsi="Arial" w:cs="Arial"/>
          <w:sz w:val="24"/>
          <w:szCs w:val="24"/>
        </w:rPr>
        <w:lastRenderedPageBreak/>
        <w:t>replaced by other assist</w:t>
      </w:r>
      <w:r w:rsidR="00C94925" w:rsidRPr="009037BF">
        <w:rPr>
          <w:rFonts w:ascii="Arial" w:hAnsi="Arial" w:cs="Arial"/>
          <w:sz w:val="24"/>
          <w:szCs w:val="24"/>
        </w:rPr>
        <w:t>a</w:t>
      </w:r>
      <w:r w:rsidR="004A156C" w:rsidRPr="009037BF">
        <w:rPr>
          <w:rFonts w:ascii="Arial" w:hAnsi="Arial" w:cs="Arial"/>
          <w:sz w:val="24"/>
          <w:szCs w:val="24"/>
        </w:rPr>
        <w:t>n</w:t>
      </w:r>
      <w:r w:rsidR="00C94925" w:rsidRPr="009037BF">
        <w:rPr>
          <w:rFonts w:ascii="Arial" w:hAnsi="Arial" w:cs="Arial"/>
          <w:sz w:val="24"/>
          <w:szCs w:val="24"/>
        </w:rPr>
        <w:t>t</w:t>
      </w:r>
      <w:r w:rsidR="004A156C" w:rsidRPr="009037BF">
        <w:rPr>
          <w:rFonts w:ascii="Arial" w:hAnsi="Arial" w:cs="Arial"/>
          <w:sz w:val="24"/>
          <w:szCs w:val="24"/>
        </w:rPr>
        <w:t>s from time to time)</w:t>
      </w:r>
      <w:r w:rsidR="00973C83" w:rsidRPr="009037BF">
        <w:rPr>
          <w:rFonts w:ascii="Arial" w:hAnsi="Arial" w:cs="Arial"/>
          <w:sz w:val="24"/>
          <w:szCs w:val="24"/>
        </w:rPr>
        <w:t>.</w:t>
      </w:r>
    </w:p>
    <w:p w14:paraId="16E928F1" w14:textId="77777777" w:rsidR="001E05C3" w:rsidRPr="009037BF" w:rsidRDefault="001E05C3" w:rsidP="009037BF">
      <w:pPr>
        <w:pStyle w:val="ListParagraph"/>
        <w:widowControl w:val="0"/>
        <w:spacing w:line="480" w:lineRule="auto"/>
        <w:ind w:left="709"/>
        <w:jc w:val="both"/>
        <w:rPr>
          <w:rFonts w:ascii="Arial" w:hAnsi="Arial" w:cs="Arial"/>
          <w:lang w:val="en-GB"/>
        </w:rPr>
      </w:pPr>
    </w:p>
    <w:p w14:paraId="2507390A" w14:textId="0F70CBE9" w:rsidR="005E1918"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25.</w:t>
      </w:r>
      <w:r w:rsidRPr="009037BF">
        <w:rPr>
          <w:rFonts w:ascii="Arial" w:hAnsi="Arial" w:cs="Arial"/>
          <w:lang w:val="en-GB"/>
        </w:rPr>
        <w:tab/>
      </w:r>
      <w:r w:rsidR="001E05C3" w:rsidRPr="00177EF4">
        <w:rPr>
          <w:rFonts w:ascii="Arial" w:hAnsi="Arial" w:cs="Arial"/>
          <w:lang w:val="en-GB"/>
        </w:rPr>
        <w:t>The respondent claims that he is only liable to pay R4,500</w:t>
      </w:r>
      <w:r w:rsidR="00C94925" w:rsidRPr="00177EF4">
        <w:rPr>
          <w:rFonts w:ascii="Arial" w:hAnsi="Arial" w:cs="Arial"/>
          <w:lang w:val="en-GB"/>
        </w:rPr>
        <w:t xml:space="preserve"> (whether on the persistent contention that only Ms Buwu is currently employed he does not say)</w:t>
      </w:r>
      <w:r w:rsidR="001E05C3" w:rsidRPr="00177EF4">
        <w:rPr>
          <w:rFonts w:ascii="Arial" w:hAnsi="Arial" w:cs="Arial"/>
          <w:lang w:val="en-GB"/>
        </w:rPr>
        <w:t>.  But that cannot be a correct interpretation of the order, given the fact that he knows that Ms Buwu’s salary is more than that, and moreover that the applicant employs more than one assistant (the respondent does not deny this fact).  In addition, his own counsel offered that he would pay R9,000, and R4,500, per month.</w:t>
      </w:r>
    </w:p>
    <w:p w14:paraId="483348B7" w14:textId="77777777" w:rsidR="001E05C3" w:rsidRPr="009037BF" w:rsidRDefault="001E05C3" w:rsidP="009037BF">
      <w:pPr>
        <w:pStyle w:val="ListParagraph"/>
        <w:widowControl w:val="0"/>
        <w:spacing w:line="480" w:lineRule="auto"/>
        <w:jc w:val="both"/>
        <w:rPr>
          <w:rFonts w:ascii="Arial" w:hAnsi="Arial" w:cs="Arial"/>
          <w:lang w:val="en-GB"/>
        </w:rPr>
      </w:pPr>
    </w:p>
    <w:p w14:paraId="421F5CAE" w14:textId="4B167300" w:rsidR="001E05C3"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26.</w:t>
      </w:r>
      <w:r w:rsidRPr="009037BF">
        <w:rPr>
          <w:rFonts w:ascii="Arial" w:hAnsi="Arial" w:cs="Arial"/>
          <w:lang w:val="en-GB"/>
        </w:rPr>
        <w:tab/>
      </w:r>
      <w:r w:rsidR="001E05C3" w:rsidRPr="00177EF4">
        <w:rPr>
          <w:rFonts w:ascii="Arial" w:hAnsi="Arial" w:cs="Arial"/>
          <w:lang w:val="en-GB"/>
        </w:rPr>
        <w:t>In the circumstances, the respondent must pay (and should have paid) to the applicant the total amount of R53,750.02 on the first day of every month following 1 April 2017.  He has not done so.</w:t>
      </w:r>
    </w:p>
    <w:p w14:paraId="1F0F293A" w14:textId="77777777" w:rsidR="0041262A" w:rsidRPr="009037BF" w:rsidRDefault="0041262A" w:rsidP="009037BF">
      <w:pPr>
        <w:pStyle w:val="ListParagraph"/>
        <w:widowControl w:val="0"/>
        <w:spacing w:line="480" w:lineRule="auto"/>
        <w:jc w:val="both"/>
        <w:rPr>
          <w:rFonts w:ascii="Arial" w:hAnsi="Arial" w:cs="Arial"/>
          <w:lang w:val="en-GB"/>
        </w:rPr>
      </w:pPr>
    </w:p>
    <w:p w14:paraId="4D85BF77" w14:textId="4965975A" w:rsidR="0041262A"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27.</w:t>
      </w:r>
      <w:r w:rsidRPr="009037BF">
        <w:rPr>
          <w:rFonts w:ascii="Arial" w:hAnsi="Arial" w:cs="Arial"/>
          <w:lang w:val="en-GB"/>
        </w:rPr>
        <w:tab/>
      </w:r>
      <w:r w:rsidR="0041262A" w:rsidRPr="00177EF4">
        <w:rPr>
          <w:rFonts w:ascii="Arial" w:hAnsi="Arial" w:cs="Arial"/>
          <w:lang w:val="en-GB"/>
        </w:rPr>
        <w:t xml:space="preserve">As to wilfulness and mala fides, the Supreme Court of Appeal held as follows in </w:t>
      </w:r>
      <w:r w:rsidR="0041262A" w:rsidRPr="00177EF4">
        <w:rPr>
          <w:rFonts w:ascii="Arial" w:hAnsi="Arial" w:cs="Arial"/>
          <w:i/>
          <w:iCs/>
          <w:lang w:val="en-GB"/>
        </w:rPr>
        <w:t xml:space="preserve">Fakie supra </w:t>
      </w:r>
      <w:r w:rsidR="0041262A" w:rsidRPr="00177EF4">
        <w:rPr>
          <w:rFonts w:ascii="Arial" w:hAnsi="Arial" w:cs="Arial"/>
          <w:lang w:val="en-GB"/>
        </w:rPr>
        <w:t>at 333D-F in relation to the necessity for the court hearing contempt proceedings to be satisfied that the party in default had intentionally disobeyed the order:</w:t>
      </w:r>
    </w:p>
    <w:p w14:paraId="56CB9B2D" w14:textId="59902847" w:rsidR="00D04F06" w:rsidRPr="009037BF" w:rsidRDefault="00D04F06" w:rsidP="009037BF">
      <w:pPr>
        <w:pStyle w:val="ListParagraph"/>
        <w:widowControl w:val="0"/>
        <w:spacing w:line="480" w:lineRule="auto"/>
        <w:jc w:val="both"/>
        <w:rPr>
          <w:rFonts w:ascii="Arial" w:hAnsi="Arial" w:cs="Arial"/>
          <w:i/>
          <w:iCs/>
          <w:lang w:val="en-GB"/>
        </w:rPr>
      </w:pPr>
    </w:p>
    <w:p w14:paraId="10C20482" w14:textId="0BCB423F" w:rsidR="0041262A" w:rsidRPr="0041262A" w:rsidRDefault="0041262A" w:rsidP="009037BF">
      <w:pPr>
        <w:widowControl w:val="0"/>
        <w:shd w:val="clear" w:color="auto" w:fill="FFFFFF"/>
        <w:spacing w:line="480" w:lineRule="auto"/>
        <w:ind w:left="675"/>
        <w:jc w:val="both"/>
        <w:rPr>
          <w:rFonts w:ascii="Arial" w:hAnsi="Arial" w:cs="Arial"/>
          <w:i/>
          <w:iCs/>
          <w:lang w:val="en-ZA" w:eastAsia="en-ZA"/>
        </w:rPr>
      </w:pPr>
      <w:r w:rsidRPr="009037BF">
        <w:rPr>
          <w:rFonts w:ascii="Arial" w:hAnsi="Arial" w:cs="Arial"/>
          <w:i/>
          <w:iCs/>
          <w:lang w:val="en-ZA" w:eastAsia="en-ZA"/>
        </w:rPr>
        <w:t>“</w:t>
      </w:r>
      <w:r w:rsidRPr="0041262A">
        <w:rPr>
          <w:rFonts w:ascii="Arial" w:hAnsi="Arial" w:cs="Arial"/>
          <w:i/>
          <w:iCs/>
          <w:lang w:val="en-ZA" w:eastAsia="en-ZA"/>
        </w:rPr>
        <w:t xml:space="preserve">[9] The test for when disobedience of a civil order constitutes contempt has come to be stated as whether the breach was committed deliberately and </w:t>
      </w:r>
      <w:r w:rsidRPr="0041262A">
        <w:rPr>
          <w:rFonts w:ascii="Arial" w:hAnsi="Arial" w:cs="Arial"/>
          <w:lang w:val="en-ZA" w:eastAsia="en-ZA"/>
        </w:rPr>
        <w:t>mala fide</w:t>
      </w:r>
      <w:r w:rsidRPr="0041262A">
        <w:rPr>
          <w:rFonts w:ascii="Arial" w:hAnsi="Arial" w:cs="Arial"/>
          <w:i/>
          <w:iCs/>
          <w:lang w:val="en-ZA" w:eastAsia="en-ZA"/>
        </w:rPr>
        <w:t>. A deliberate disregard is not enough, since the non-complier may genuinely, albeit mistakenly, believe ... herself entitled to act in the way claimed to constitute the contempt. In such a case, good faith avoids the infraction. Even a refusal to comply that is objectively unreasonable may be</w:t>
      </w:r>
      <w:r w:rsidRPr="0041262A">
        <w:rPr>
          <w:rFonts w:ascii="Arial" w:hAnsi="Arial" w:cs="Arial"/>
          <w:lang w:val="en-ZA" w:eastAsia="en-ZA"/>
        </w:rPr>
        <w:t> bona fide</w:t>
      </w:r>
      <w:r w:rsidRPr="0041262A">
        <w:rPr>
          <w:rFonts w:ascii="Arial" w:hAnsi="Arial" w:cs="Arial"/>
          <w:i/>
          <w:iCs/>
          <w:lang w:val="en-ZA" w:eastAsia="en-ZA"/>
        </w:rPr>
        <w:t> (though unreasonableness could evidence lack of good faith).</w:t>
      </w:r>
    </w:p>
    <w:p w14:paraId="2EADC8DC" w14:textId="480F2214" w:rsidR="0041262A" w:rsidRPr="0041262A" w:rsidRDefault="0041262A" w:rsidP="009037BF">
      <w:pPr>
        <w:widowControl w:val="0"/>
        <w:shd w:val="clear" w:color="auto" w:fill="FFFFFF"/>
        <w:spacing w:line="480" w:lineRule="auto"/>
        <w:ind w:left="675"/>
        <w:jc w:val="both"/>
        <w:rPr>
          <w:rFonts w:ascii="Arial" w:hAnsi="Arial" w:cs="Arial"/>
          <w:i/>
          <w:iCs/>
          <w:lang w:val="en-ZA" w:eastAsia="en-ZA"/>
        </w:rPr>
      </w:pPr>
      <w:r w:rsidRPr="0041262A">
        <w:rPr>
          <w:rFonts w:ascii="Arial" w:hAnsi="Arial" w:cs="Arial"/>
          <w:i/>
          <w:iCs/>
          <w:lang w:val="en-ZA" w:eastAsia="en-ZA"/>
        </w:rPr>
        <w:t>[10] These requirements — that the refusal to obey should be both wilful and </w:t>
      </w:r>
      <w:r w:rsidRPr="0041262A">
        <w:rPr>
          <w:rFonts w:ascii="Arial" w:hAnsi="Arial" w:cs="Arial"/>
          <w:lang w:val="en-ZA" w:eastAsia="en-ZA"/>
        </w:rPr>
        <w:t>mala fide</w:t>
      </w:r>
      <w:r w:rsidRPr="0041262A">
        <w:rPr>
          <w:rFonts w:ascii="Arial" w:hAnsi="Arial" w:cs="Arial"/>
          <w:i/>
          <w:iCs/>
          <w:lang w:val="en-ZA" w:eastAsia="en-ZA"/>
        </w:rPr>
        <w:t xml:space="preserve">, </w:t>
      </w:r>
      <w:r w:rsidRPr="0041262A">
        <w:rPr>
          <w:rFonts w:ascii="Arial" w:hAnsi="Arial" w:cs="Arial"/>
          <w:i/>
          <w:iCs/>
          <w:lang w:val="en-ZA" w:eastAsia="en-ZA"/>
        </w:rPr>
        <w:lastRenderedPageBreak/>
        <w:t>and that unreasonable non-compliance, provided it is </w:t>
      </w:r>
      <w:r w:rsidRPr="0041262A">
        <w:rPr>
          <w:rFonts w:ascii="Arial" w:hAnsi="Arial" w:cs="Arial"/>
          <w:lang w:val="en-ZA" w:eastAsia="en-ZA"/>
        </w:rPr>
        <w:t>bona fide</w:t>
      </w:r>
      <w:r w:rsidRPr="0041262A">
        <w:rPr>
          <w:rFonts w:ascii="Arial" w:hAnsi="Arial" w:cs="Arial"/>
          <w:i/>
          <w:iCs/>
          <w:lang w:val="en-ZA" w:eastAsia="en-ZA"/>
        </w:rPr>
        <w:t>, does not constitute contempt — accord with the broader</w:t>
      </w:r>
      <w:r w:rsidRPr="009037BF">
        <w:rPr>
          <w:rFonts w:ascii="Arial" w:hAnsi="Arial" w:cs="Arial"/>
          <w:i/>
          <w:iCs/>
          <w:lang w:val="en-ZA" w:eastAsia="en-ZA"/>
        </w:rPr>
        <w:t xml:space="preserve"> </w:t>
      </w:r>
      <w:r w:rsidRPr="0041262A">
        <w:rPr>
          <w:rFonts w:ascii="Arial" w:hAnsi="Arial" w:cs="Arial"/>
          <w:i/>
          <w:iCs/>
          <w:lang w:val="en-ZA" w:eastAsia="en-ZA"/>
        </w:rPr>
        <w:t>definition of the crime, of which non-compliance with civil orders is a manifestation. They show that the offence is committed not by mere disregard of a court order, but by the deliberate and intentional violation of the court's dignity, repute or authority that this evinces. Honest belief that non-compliance is justified or proper is incompatible with that intent.</w:t>
      </w:r>
      <w:r w:rsidR="00B23075" w:rsidRPr="009037BF">
        <w:rPr>
          <w:rFonts w:ascii="Arial" w:hAnsi="Arial" w:cs="Arial"/>
          <w:i/>
          <w:iCs/>
          <w:lang w:val="en-ZA" w:eastAsia="en-ZA"/>
        </w:rPr>
        <w:t>”</w:t>
      </w:r>
    </w:p>
    <w:p w14:paraId="0A661DD6" w14:textId="0A935FC1" w:rsidR="0041262A" w:rsidRPr="009037BF" w:rsidRDefault="0041262A" w:rsidP="009037BF">
      <w:pPr>
        <w:pStyle w:val="ListParagraph"/>
        <w:widowControl w:val="0"/>
        <w:spacing w:line="480" w:lineRule="auto"/>
        <w:jc w:val="both"/>
        <w:rPr>
          <w:rFonts w:ascii="Arial" w:hAnsi="Arial" w:cs="Arial"/>
          <w:i/>
          <w:iCs/>
          <w:lang w:val="en-GB"/>
        </w:rPr>
      </w:pPr>
    </w:p>
    <w:p w14:paraId="5D216604" w14:textId="7B13B431" w:rsidR="00327888"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28.</w:t>
      </w:r>
      <w:r w:rsidRPr="009037BF">
        <w:rPr>
          <w:rFonts w:ascii="Arial" w:hAnsi="Arial" w:cs="Arial"/>
          <w:sz w:val="24"/>
          <w:szCs w:val="24"/>
        </w:rPr>
        <w:tab/>
      </w:r>
      <w:r w:rsidR="00327888" w:rsidRPr="009037BF">
        <w:rPr>
          <w:rFonts w:ascii="Arial" w:hAnsi="Arial" w:cs="Arial"/>
          <w:sz w:val="24"/>
          <w:szCs w:val="24"/>
        </w:rPr>
        <w:t>The applicant has given full details of the monthly cash maintenance amount that the respondent has failed to pay her in terms of these paragraphs. In the course of 2020 and 2021 the respondent indicated, by email and through his attorneys, that he was not in a position to pay all of the maintenance because of a cash flow problem. He also alleged that, because Ms Zinyemba had left the applicant’s employ, he was not obliged to make payment of R9,000 to her, and therefore only paid R4,500.</w:t>
      </w:r>
    </w:p>
    <w:p w14:paraId="65537E5E" w14:textId="77777777" w:rsidR="00327888" w:rsidRPr="009037BF" w:rsidRDefault="00327888" w:rsidP="009037BF">
      <w:pPr>
        <w:pStyle w:val="PlainText"/>
        <w:widowControl w:val="0"/>
        <w:spacing w:line="480" w:lineRule="auto"/>
        <w:ind w:left="709"/>
        <w:jc w:val="both"/>
        <w:rPr>
          <w:rFonts w:ascii="Arial" w:hAnsi="Arial" w:cs="Arial"/>
          <w:sz w:val="24"/>
          <w:szCs w:val="24"/>
        </w:rPr>
      </w:pPr>
    </w:p>
    <w:p w14:paraId="4F23D0F6" w14:textId="7DEFFEED" w:rsidR="00327888"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29.</w:t>
      </w:r>
      <w:r w:rsidRPr="009037BF">
        <w:rPr>
          <w:rFonts w:ascii="Arial" w:hAnsi="Arial" w:cs="Arial"/>
          <w:sz w:val="24"/>
          <w:szCs w:val="24"/>
        </w:rPr>
        <w:tab/>
      </w:r>
      <w:r w:rsidR="00327888" w:rsidRPr="009037BF">
        <w:rPr>
          <w:rFonts w:ascii="Arial" w:hAnsi="Arial" w:cs="Arial"/>
          <w:sz w:val="24"/>
          <w:szCs w:val="24"/>
        </w:rPr>
        <w:t xml:space="preserve">The respondent delayed, however, until 23 September 2021, to make application for a reduction of the amount that he was obliged to pay in terms of paragraphs 1.1 and 1.2 of the order. No order has yet been granted in that application, and he had in any event not applied for the variation to be implemented with retrospective effect (see </w:t>
      </w:r>
      <w:r w:rsidR="00327888" w:rsidRPr="009037BF">
        <w:rPr>
          <w:rFonts w:ascii="Arial" w:hAnsi="Arial" w:cs="Arial"/>
          <w:i/>
          <w:iCs/>
          <w:sz w:val="24"/>
          <w:szCs w:val="24"/>
        </w:rPr>
        <w:t>Gobel v Gobel</w:t>
      </w:r>
      <w:r w:rsidR="00327888" w:rsidRPr="009037BF">
        <w:rPr>
          <w:rFonts w:ascii="Arial" w:hAnsi="Arial" w:cs="Arial"/>
          <w:sz w:val="24"/>
          <w:szCs w:val="24"/>
        </w:rPr>
        <w:t xml:space="preserve"> </w:t>
      </w:r>
      <w:r w:rsidR="0032397F" w:rsidRPr="009037BF">
        <w:rPr>
          <w:rFonts w:ascii="Arial" w:hAnsi="Arial" w:cs="Arial"/>
          <w:sz w:val="24"/>
          <w:szCs w:val="24"/>
        </w:rPr>
        <w:t>(6935/13) [2013] ZAWCHC 91 (28 June 2013))</w:t>
      </w:r>
      <w:r w:rsidR="00327888" w:rsidRPr="009037BF">
        <w:rPr>
          <w:rFonts w:ascii="Arial" w:hAnsi="Arial" w:cs="Arial"/>
          <w:sz w:val="24"/>
          <w:szCs w:val="24"/>
        </w:rPr>
        <w:t xml:space="preserve">.  He therefore remains liable for payment of the full amount as stipulated in the Rule 43 order. Insofar as he has unilaterally reduced </w:t>
      </w:r>
      <w:r w:rsidR="0032397F" w:rsidRPr="009037BF">
        <w:rPr>
          <w:rFonts w:ascii="Arial" w:hAnsi="Arial" w:cs="Arial"/>
          <w:sz w:val="24"/>
          <w:szCs w:val="24"/>
        </w:rPr>
        <w:t>th</w:t>
      </w:r>
      <w:r w:rsidR="00327888" w:rsidRPr="009037BF">
        <w:rPr>
          <w:rFonts w:ascii="Arial" w:hAnsi="Arial" w:cs="Arial"/>
          <w:sz w:val="24"/>
          <w:szCs w:val="24"/>
        </w:rPr>
        <w:t>e amounts p</w:t>
      </w:r>
      <w:r w:rsidR="00C94925" w:rsidRPr="009037BF">
        <w:rPr>
          <w:rFonts w:ascii="Arial" w:hAnsi="Arial" w:cs="Arial"/>
          <w:sz w:val="24"/>
          <w:szCs w:val="24"/>
        </w:rPr>
        <w:t>ayable</w:t>
      </w:r>
      <w:r w:rsidR="00491AC9" w:rsidRPr="009037BF">
        <w:rPr>
          <w:rFonts w:ascii="Arial" w:hAnsi="Arial" w:cs="Arial"/>
          <w:sz w:val="24"/>
          <w:szCs w:val="24"/>
        </w:rPr>
        <w:t>,</w:t>
      </w:r>
      <w:r w:rsidR="00327888" w:rsidRPr="009037BF">
        <w:rPr>
          <w:rFonts w:ascii="Arial" w:hAnsi="Arial" w:cs="Arial"/>
          <w:sz w:val="24"/>
          <w:szCs w:val="24"/>
        </w:rPr>
        <w:t xml:space="preserve"> he has acted wilfully and, given his </w:t>
      </w:r>
      <w:r w:rsidR="007907EA" w:rsidRPr="009037BF">
        <w:rPr>
          <w:rFonts w:ascii="Arial" w:hAnsi="Arial" w:cs="Arial"/>
          <w:sz w:val="24"/>
          <w:szCs w:val="24"/>
        </w:rPr>
        <w:t>delay in</w:t>
      </w:r>
      <w:r w:rsidR="00327888" w:rsidRPr="009037BF">
        <w:rPr>
          <w:rFonts w:ascii="Arial" w:hAnsi="Arial" w:cs="Arial"/>
          <w:sz w:val="24"/>
          <w:szCs w:val="24"/>
        </w:rPr>
        <w:t xml:space="preserve"> apply</w:t>
      </w:r>
      <w:r w:rsidR="007907EA" w:rsidRPr="009037BF">
        <w:rPr>
          <w:rFonts w:ascii="Arial" w:hAnsi="Arial" w:cs="Arial"/>
          <w:sz w:val="24"/>
          <w:szCs w:val="24"/>
        </w:rPr>
        <w:t>ing</w:t>
      </w:r>
      <w:r w:rsidR="00327888" w:rsidRPr="009037BF">
        <w:rPr>
          <w:rFonts w:ascii="Arial" w:hAnsi="Arial" w:cs="Arial"/>
          <w:sz w:val="24"/>
          <w:szCs w:val="24"/>
        </w:rPr>
        <w:t xml:space="preserve"> for a variation</w:t>
      </w:r>
      <w:r w:rsidR="007907EA" w:rsidRPr="009037BF">
        <w:rPr>
          <w:rFonts w:ascii="Arial" w:hAnsi="Arial" w:cs="Arial"/>
          <w:sz w:val="24"/>
          <w:szCs w:val="24"/>
        </w:rPr>
        <w:t xml:space="preserve"> coupled with his </w:t>
      </w:r>
      <w:r w:rsidR="00491AC9" w:rsidRPr="009037BF">
        <w:rPr>
          <w:rFonts w:ascii="Arial" w:hAnsi="Arial" w:cs="Arial"/>
          <w:sz w:val="24"/>
          <w:szCs w:val="24"/>
        </w:rPr>
        <w:t xml:space="preserve">patently </w:t>
      </w:r>
      <w:r w:rsidR="007907EA" w:rsidRPr="009037BF">
        <w:rPr>
          <w:rFonts w:ascii="Arial" w:hAnsi="Arial" w:cs="Arial"/>
          <w:sz w:val="24"/>
          <w:szCs w:val="24"/>
        </w:rPr>
        <w:t>unsustainable interpretation of the Rule 43 order</w:t>
      </w:r>
      <w:r w:rsidR="00327888" w:rsidRPr="009037BF">
        <w:rPr>
          <w:rFonts w:ascii="Arial" w:hAnsi="Arial" w:cs="Arial"/>
          <w:sz w:val="24"/>
          <w:szCs w:val="24"/>
        </w:rPr>
        <w:t xml:space="preserve">, the inference </w:t>
      </w:r>
      <w:r w:rsidR="007907EA" w:rsidRPr="009037BF">
        <w:rPr>
          <w:rFonts w:ascii="Arial" w:hAnsi="Arial" w:cs="Arial"/>
          <w:sz w:val="24"/>
          <w:szCs w:val="24"/>
        </w:rPr>
        <w:t xml:space="preserve">may be drawn that </w:t>
      </w:r>
      <w:r w:rsidR="00327888" w:rsidRPr="009037BF">
        <w:rPr>
          <w:rFonts w:ascii="Arial" w:hAnsi="Arial" w:cs="Arial"/>
          <w:sz w:val="24"/>
          <w:szCs w:val="24"/>
        </w:rPr>
        <w:t>h</w:t>
      </w:r>
      <w:r w:rsidR="007907EA" w:rsidRPr="009037BF">
        <w:rPr>
          <w:rFonts w:ascii="Arial" w:hAnsi="Arial" w:cs="Arial"/>
          <w:sz w:val="24"/>
          <w:szCs w:val="24"/>
        </w:rPr>
        <w:t xml:space="preserve">is failure to pay was done </w:t>
      </w:r>
      <w:r w:rsidR="00327888" w:rsidRPr="009037BF">
        <w:rPr>
          <w:rFonts w:ascii="Arial" w:hAnsi="Arial" w:cs="Arial"/>
          <w:sz w:val="24"/>
          <w:szCs w:val="24"/>
        </w:rPr>
        <w:t>in bad faith.</w:t>
      </w:r>
      <w:r w:rsidR="00B23075" w:rsidRPr="009037BF">
        <w:rPr>
          <w:rFonts w:ascii="Arial" w:hAnsi="Arial" w:cs="Arial"/>
          <w:sz w:val="24"/>
          <w:szCs w:val="24"/>
        </w:rPr>
        <w:t xml:space="preserve">  He could not have harboured the honest belief that non-compliance was proper and justified.</w:t>
      </w:r>
    </w:p>
    <w:p w14:paraId="6619F0FB" w14:textId="7BCF00B1" w:rsidR="001E05C3" w:rsidRPr="009037BF" w:rsidRDefault="001E05C3" w:rsidP="009037BF">
      <w:pPr>
        <w:widowControl w:val="0"/>
        <w:spacing w:line="480" w:lineRule="auto"/>
        <w:jc w:val="both"/>
        <w:rPr>
          <w:rFonts w:ascii="Arial" w:hAnsi="Arial" w:cs="Arial"/>
          <w:lang w:val="en-GB"/>
        </w:rPr>
      </w:pPr>
    </w:p>
    <w:p w14:paraId="4F5A82D5" w14:textId="17AB2AAD" w:rsidR="001E05C3" w:rsidRPr="009037BF" w:rsidRDefault="001E05C3" w:rsidP="009037BF">
      <w:pPr>
        <w:widowControl w:val="0"/>
        <w:spacing w:line="480" w:lineRule="auto"/>
        <w:jc w:val="both"/>
        <w:rPr>
          <w:rFonts w:ascii="Arial" w:hAnsi="Arial" w:cs="Arial"/>
          <w:i/>
          <w:iCs/>
          <w:u w:val="single"/>
          <w:lang w:val="en-GB"/>
        </w:rPr>
      </w:pPr>
      <w:r w:rsidRPr="009037BF">
        <w:rPr>
          <w:rFonts w:ascii="Arial" w:hAnsi="Arial" w:cs="Arial"/>
          <w:i/>
          <w:iCs/>
          <w:u w:val="single"/>
          <w:lang w:val="en-GB"/>
        </w:rPr>
        <w:t>The medical expenses</w:t>
      </w:r>
    </w:p>
    <w:p w14:paraId="3CFFE042" w14:textId="77777777" w:rsidR="001E05C3" w:rsidRPr="009037BF" w:rsidRDefault="001E05C3" w:rsidP="009037BF">
      <w:pPr>
        <w:widowControl w:val="0"/>
        <w:spacing w:line="480" w:lineRule="auto"/>
        <w:jc w:val="both"/>
        <w:rPr>
          <w:rFonts w:ascii="Arial" w:hAnsi="Arial" w:cs="Arial"/>
          <w:lang w:val="en-GB"/>
        </w:rPr>
      </w:pPr>
    </w:p>
    <w:p w14:paraId="639915C0" w14:textId="3C254C61" w:rsidR="00011634"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30.</w:t>
      </w:r>
      <w:r w:rsidRPr="009037BF">
        <w:rPr>
          <w:rFonts w:ascii="Arial" w:hAnsi="Arial" w:cs="Arial"/>
          <w:sz w:val="24"/>
          <w:szCs w:val="24"/>
        </w:rPr>
        <w:tab/>
      </w:r>
      <w:r w:rsidR="00011634" w:rsidRPr="009037BF">
        <w:rPr>
          <w:rFonts w:ascii="Arial" w:hAnsi="Arial" w:cs="Arial"/>
          <w:sz w:val="24"/>
          <w:szCs w:val="24"/>
        </w:rPr>
        <w:t>Paragraph 1.3 of the Rule 43 order directs the respondent to pay all reasonable medical, dental, surgical, hospital, orthodontic, ophthalmological, pharmaceutical (on prescription), psychological, psychiatric and related medical expenses, reasonably incurred by and on behalf of the applicant and the minor children, including the provision, where necessary, of spectacles and/or contact lenses.</w:t>
      </w:r>
    </w:p>
    <w:p w14:paraId="02E44AB5" w14:textId="77777777" w:rsidR="00011634" w:rsidRPr="009037BF" w:rsidRDefault="00011634" w:rsidP="009037BF">
      <w:pPr>
        <w:pStyle w:val="PlainText"/>
        <w:widowControl w:val="0"/>
        <w:spacing w:line="480" w:lineRule="auto"/>
        <w:ind w:left="709"/>
        <w:jc w:val="both"/>
        <w:rPr>
          <w:rFonts w:ascii="Arial" w:hAnsi="Arial" w:cs="Arial"/>
          <w:sz w:val="24"/>
          <w:szCs w:val="24"/>
        </w:rPr>
      </w:pPr>
    </w:p>
    <w:p w14:paraId="583FC1D5" w14:textId="631873F4" w:rsidR="0061609F"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31.</w:t>
      </w:r>
      <w:r w:rsidRPr="009037BF">
        <w:rPr>
          <w:rFonts w:ascii="Arial" w:hAnsi="Arial" w:cs="Arial"/>
          <w:sz w:val="24"/>
          <w:szCs w:val="24"/>
        </w:rPr>
        <w:tab/>
      </w:r>
      <w:r w:rsidR="00011634" w:rsidRPr="009037BF">
        <w:rPr>
          <w:rFonts w:ascii="Arial" w:hAnsi="Arial" w:cs="Arial"/>
          <w:sz w:val="24"/>
          <w:szCs w:val="24"/>
        </w:rPr>
        <w:t xml:space="preserve">The respondent interprets this paragraph to mean that, before the applicant will be reimbursed for those expenses, she must enquire from the </w:t>
      </w:r>
      <w:r w:rsidR="0061609F" w:rsidRPr="009037BF">
        <w:rPr>
          <w:rFonts w:ascii="Arial" w:hAnsi="Arial" w:cs="Arial"/>
          <w:sz w:val="24"/>
          <w:szCs w:val="24"/>
        </w:rPr>
        <w:t xml:space="preserve">respondent’s </w:t>
      </w:r>
      <w:r w:rsidR="00011634" w:rsidRPr="009037BF">
        <w:rPr>
          <w:rFonts w:ascii="Arial" w:hAnsi="Arial" w:cs="Arial"/>
          <w:sz w:val="24"/>
          <w:szCs w:val="24"/>
        </w:rPr>
        <w:t>medical aid</w:t>
      </w:r>
      <w:r w:rsidR="0061609F" w:rsidRPr="009037BF">
        <w:rPr>
          <w:rFonts w:ascii="Arial" w:hAnsi="Arial" w:cs="Arial"/>
          <w:sz w:val="24"/>
          <w:szCs w:val="24"/>
        </w:rPr>
        <w:t xml:space="preserve"> </w:t>
      </w:r>
      <w:r w:rsidR="00011634" w:rsidRPr="009037BF">
        <w:rPr>
          <w:rFonts w:ascii="Arial" w:hAnsi="Arial" w:cs="Arial"/>
          <w:sz w:val="24"/>
          <w:szCs w:val="24"/>
        </w:rPr>
        <w:t>whether the specialist</w:t>
      </w:r>
      <w:r w:rsidR="0061609F" w:rsidRPr="009037BF">
        <w:rPr>
          <w:rFonts w:ascii="Arial" w:hAnsi="Arial" w:cs="Arial"/>
          <w:sz w:val="24"/>
          <w:szCs w:val="24"/>
        </w:rPr>
        <w:t>s’</w:t>
      </w:r>
      <w:r w:rsidR="00011634" w:rsidRPr="009037BF">
        <w:rPr>
          <w:rFonts w:ascii="Arial" w:hAnsi="Arial" w:cs="Arial"/>
          <w:sz w:val="24"/>
          <w:szCs w:val="24"/>
        </w:rPr>
        <w:t xml:space="preserve"> </w:t>
      </w:r>
      <w:r w:rsidR="0061609F" w:rsidRPr="009037BF">
        <w:rPr>
          <w:rFonts w:ascii="Arial" w:hAnsi="Arial" w:cs="Arial"/>
          <w:sz w:val="24"/>
          <w:szCs w:val="24"/>
        </w:rPr>
        <w:t>and</w:t>
      </w:r>
      <w:r w:rsidR="00011634" w:rsidRPr="009037BF">
        <w:rPr>
          <w:rFonts w:ascii="Arial" w:hAnsi="Arial" w:cs="Arial"/>
          <w:sz w:val="24"/>
          <w:szCs w:val="24"/>
        </w:rPr>
        <w:t xml:space="preserve"> hospitals</w:t>
      </w:r>
      <w:r w:rsidR="0061609F" w:rsidRPr="009037BF">
        <w:rPr>
          <w:rFonts w:ascii="Arial" w:hAnsi="Arial" w:cs="Arial"/>
          <w:sz w:val="24"/>
          <w:szCs w:val="24"/>
        </w:rPr>
        <w:t>’</w:t>
      </w:r>
      <w:r w:rsidR="00011634" w:rsidRPr="009037BF">
        <w:rPr>
          <w:rFonts w:ascii="Arial" w:hAnsi="Arial" w:cs="Arial"/>
          <w:sz w:val="24"/>
          <w:szCs w:val="24"/>
        </w:rPr>
        <w:t xml:space="preserve"> bills will be fully covered by the medical aid</w:t>
      </w:r>
      <w:r w:rsidR="0061609F" w:rsidRPr="009037BF">
        <w:rPr>
          <w:rFonts w:ascii="Arial" w:hAnsi="Arial" w:cs="Arial"/>
          <w:sz w:val="24"/>
          <w:szCs w:val="24"/>
        </w:rPr>
        <w:t>.  If she does not do so, she is not entitled to be reimbursed.</w:t>
      </w:r>
      <w:r w:rsidR="00011634" w:rsidRPr="009037BF">
        <w:rPr>
          <w:rFonts w:ascii="Arial" w:hAnsi="Arial" w:cs="Arial"/>
          <w:sz w:val="24"/>
          <w:szCs w:val="24"/>
        </w:rPr>
        <w:t xml:space="preserve"> He alleges that he is entitled to withhold </w:t>
      </w:r>
      <w:r w:rsidR="0061609F" w:rsidRPr="009037BF">
        <w:rPr>
          <w:rFonts w:ascii="Arial" w:hAnsi="Arial" w:cs="Arial"/>
          <w:sz w:val="24"/>
          <w:szCs w:val="24"/>
        </w:rPr>
        <w:t xml:space="preserve">such funds </w:t>
      </w:r>
      <w:r w:rsidR="00011634" w:rsidRPr="009037BF">
        <w:rPr>
          <w:rFonts w:ascii="Arial" w:hAnsi="Arial" w:cs="Arial"/>
          <w:sz w:val="24"/>
          <w:szCs w:val="24"/>
        </w:rPr>
        <w:t>because he has downgraded his medical aid plan, and because</w:t>
      </w:r>
      <w:r w:rsidR="0061609F" w:rsidRPr="009037BF">
        <w:rPr>
          <w:rFonts w:ascii="Arial" w:hAnsi="Arial" w:cs="Arial"/>
          <w:sz w:val="24"/>
          <w:szCs w:val="24"/>
        </w:rPr>
        <w:t>,</w:t>
      </w:r>
      <w:r w:rsidR="00011634" w:rsidRPr="009037BF">
        <w:rPr>
          <w:rFonts w:ascii="Arial" w:hAnsi="Arial" w:cs="Arial"/>
          <w:sz w:val="24"/>
          <w:szCs w:val="24"/>
        </w:rPr>
        <w:t xml:space="preserve"> in his view</w:t>
      </w:r>
      <w:r w:rsidR="0061609F" w:rsidRPr="009037BF">
        <w:rPr>
          <w:rFonts w:ascii="Arial" w:hAnsi="Arial" w:cs="Arial"/>
          <w:sz w:val="24"/>
          <w:szCs w:val="24"/>
        </w:rPr>
        <w:t xml:space="preserve">, the applicant </w:t>
      </w:r>
      <w:r w:rsidR="00011634" w:rsidRPr="009037BF">
        <w:rPr>
          <w:rFonts w:ascii="Arial" w:hAnsi="Arial" w:cs="Arial"/>
          <w:sz w:val="24"/>
          <w:szCs w:val="24"/>
        </w:rPr>
        <w:t xml:space="preserve">has abused that </w:t>
      </w:r>
      <w:r w:rsidR="0061609F" w:rsidRPr="009037BF">
        <w:rPr>
          <w:rFonts w:ascii="Arial" w:hAnsi="Arial" w:cs="Arial"/>
          <w:sz w:val="24"/>
          <w:szCs w:val="24"/>
        </w:rPr>
        <w:t>plan</w:t>
      </w:r>
      <w:r w:rsidR="00011634" w:rsidRPr="009037BF">
        <w:rPr>
          <w:rFonts w:ascii="Arial" w:hAnsi="Arial" w:cs="Arial"/>
          <w:sz w:val="24"/>
          <w:szCs w:val="24"/>
        </w:rPr>
        <w:t>.</w:t>
      </w:r>
    </w:p>
    <w:p w14:paraId="20FBF51A" w14:textId="77777777" w:rsidR="0061609F" w:rsidRPr="009037BF" w:rsidRDefault="0061609F" w:rsidP="009037BF">
      <w:pPr>
        <w:pStyle w:val="ListParagraph"/>
        <w:widowControl w:val="0"/>
        <w:spacing w:line="480" w:lineRule="auto"/>
        <w:jc w:val="both"/>
        <w:rPr>
          <w:rFonts w:ascii="Arial" w:hAnsi="Arial" w:cs="Arial"/>
        </w:rPr>
      </w:pPr>
    </w:p>
    <w:p w14:paraId="0B12C112" w14:textId="1A4EFBA4" w:rsidR="00011634"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32.</w:t>
      </w:r>
      <w:r w:rsidRPr="009037BF">
        <w:rPr>
          <w:rFonts w:ascii="Arial" w:hAnsi="Arial" w:cs="Arial"/>
          <w:sz w:val="24"/>
          <w:szCs w:val="24"/>
        </w:rPr>
        <w:tab/>
      </w:r>
      <w:r w:rsidR="00011634" w:rsidRPr="009037BF">
        <w:rPr>
          <w:rFonts w:ascii="Arial" w:hAnsi="Arial" w:cs="Arial"/>
          <w:sz w:val="24"/>
          <w:szCs w:val="24"/>
        </w:rPr>
        <w:t>The order</w:t>
      </w:r>
      <w:r w:rsidR="0061609F" w:rsidRPr="009037BF">
        <w:rPr>
          <w:rFonts w:ascii="Arial" w:hAnsi="Arial" w:cs="Arial"/>
          <w:sz w:val="24"/>
          <w:szCs w:val="24"/>
        </w:rPr>
        <w:t>,</w:t>
      </w:r>
      <w:r w:rsidR="00011634" w:rsidRPr="009037BF">
        <w:rPr>
          <w:rFonts w:ascii="Arial" w:hAnsi="Arial" w:cs="Arial"/>
          <w:sz w:val="24"/>
          <w:szCs w:val="24"/>
        </w:rPr>
        <w:t xml:space="preserve"> however</w:t>
      </w:r>
      <w:r w:rsidR="0061609F" w:rsidRPr="009037BF">
        <w:rPr>
          <w:rFonts w:ascii="Arial" w:hAnsi="Arial" w:cs="Arial"/>
          <w:sz w:val="24"/>
          <w:szCs w:val="24"/>
        </w:rPr>
        <w:t>,</w:t>
      </w:r>
      <w:r w:rsidR="00011634" w:rsidRPr="009037BF">
        <w:rPr>
          <w:rFonts w:ascii="Arial" w:hAnsi="Arial" w:cs="Arial"/>
          <w:sz w:val="24"/>
          <w:szCs w:val="24"/>
        </w:rPr>
        <w:t xml:space="preserve"> </w:t>
      </w:r>
      <w:r w:rsidR="00C94925" w:rsidRPr="009037BF">
        <w:rPr>
          <w:rFonts w:ascii="Arial" w:hAnsi="Arial" w:cs="Arial"/>
          <w:sz w:val="24"/>
          <w:szCs w:val="24"/>
        </w:rPr>
        <w:t xml:space="preserve">plainly </w:t>
      </w:r>
      <w:r w:rsidR="00011634" w:rsidRPr="009037BF">
        <w:rPr>
          <w:rFonts w:ascii="Arial" w:hAnsi="Arial" w:cs="Arial"/>
          <w:sz w:val="24"/>
          <w:szCs w:val="24"/>
        </w:rPr>
        <w:t xml:space="preserve">does not oblige </w:t>
      </w:r>
      <w:r w:rsidR="0061609F" w:rsidRPr="009037BF">
        <w:rPr>
          <w:rFonts w:ascii="Arial" w:hAnsi="Arial" w:cs="Arial"/>
          <w:sz w:val="24"/>
          <w:szCs w:val="24"/>
        </w:rPr>
        <w:t xml:space="preserve">the </w:t>
      </w:r>
      <w:r w:rsidR="00011634" w:rsidRPr="009037BF">
        <w:rPr>
          <w:rFonts w:ascii="Arial" w:hAnsi="Arial" w:cs="Arial"/>
          <w:sz w:val="24"/>
          <w:szCs w:val="24"/>
        </w:rPr>
        <w:t xml:space="preserve">respondent to retain the </w:t>
      </w:r>
      <w:r w:rsidR="0061609F" w:rsidRPr="009037BF">
        <w:rPr>
          <w:rFonts w:ascii="Arial" w:hAnsi="Arial" w:cs="Arial"/>
          <w:sz w:val="24"/>
          <w:szCs w:val="24"/>
        </w:rPr>
        <w:t xml:space="preserve">applicant and the </w:t>
      </w:r>
      <w:r w:rsidR="00011634" w:rsidRPr="009037BF">
        <w:rPr>
          <w:rFonts w:ascii="Arial" w:hAnsi="Arial" w:cs="Arial"/>
          <w:sz w:val="24"/>
          <w:szCs w:val="24"/>
        </w:rPr>
        <w:t xml:space="preserve">children on a medical aid. </w:t>
      </w:r>
      <w:r w:rsidR="0061609F" w:rsidRPr="009037BF">
        <w:rPr>
          <w:rFonts w:ascii="Arial" w:hAnsi="Arial" w:cs="Arial"/>
          <w:sz w:val="24"/>
          <w:szCs w:val="24"/>
        </w:rPr>
        <w:t xml:space="preserve"> It only </w:t>
      </w:r>
      <w:r w:rsidR="00011634" w:rsidRPr="009037BF">
        <w:rPr>
          <w:rFonts w:ascii="Arial" w:hAnsi="Arial" w:cs="Arial"/>
          <w:sz w:val="24"/>
          <w:szCs w:val="24"/>
        </w:rPr>
        <w:t>oblige</w:t>
      </w:r>
      <w:r w:rsidR="0061609F" w:rsidRPr="009037BF">
        <w:rPr>
          <w:rFonts w:ascii="Arial" w:hAnsi="Arial" w:cs="Arial"/>
          <w:sz w:val="24"/>
          <w:szCs w:val="24"/>
        </w:rPr>
        <w:t>s</w:t>
      </w:r>
      <w:r w:rsidR="00011634" w:rsidRPr="009037BF">
        <w:rPr>
          <w:rFonts w:ascii="Arial" w:hAnsi="Arial" w:cs="Arial"/>
          <w:sz w:val="24"/>
          <w:szCs w:val="24"/>
        </w:rPr>
        <w:t xml:space="preserve"> him to settle the applicant</w:t>
      </w:r>
      <w:r w:rsidR="0061609F" w:rsidRPr="009037BF">
        <w:rPr>
          <w:rFonts w:ascii="Arial" w:hAnsi="Arial" w:cs="Arial"/>
          <w:sz w:val="24"/>
          <w:szCs w:val="24"/>
        </w:rPr>
        <w:t>’s</w:t>
      </w:r>
      <w:r w:rsidR="00011634" w:rsidRPr="009037BF">
        <w:rPr>
          <w:rFonts w:ascii="Arial" w:hAnsi="Arial" w:cs="Arial"/>
          <w:sz w:val="24"/>
          <w:szCs w:val="24"/>
        </w:rPr>
        <w:t xml:space="preserve"> </w:t>
      </w:r>
      <w:r w:rsidR="0061609F" w:rsidRPr="009037BF">
        <w:rPr>
          <w:rFonts w:ascii="Arial" w:hAnsi="Arial" w:cs="Arial"/>
          <w:sz w:val="24"/>
          <w:szCs w:val="24"/>
        </w:rPr>
        <w:t>and</w:t>
      </w:r>
      <w:r w:rsidR="00011634" w:rsidRPr="009037BF">
        <w:rPr>
          <w:rFonts w:ascii="Arial" w:hAnsi="Arial" w:cs="Arial"/>
          <w:sz w:val="24"/>
          <w:szCs w:val="24"/>
        </w:rPr>
        <w:t xml:space="preserve"> the children's reasonable medical expenses. If the respondent makes use of a medical </w:t>
      </w:r>
      <w:r w:rsidR="007B6AB4" w:rsidRPr="009037BF">
        <w:rPr>
          <w:rFonts w:ascii="Arial" w:hAnsi="Arial" w:cs="Arial"/>
          <w:sz w:val="24"/>
          <w:szCs w:val="24"/>
        </w:rPr>
        <w:t xml:space="preserve">aid </w:t>
      </w:r>
      <w:r w:rsidR="00011634" w:rsidRPr="009037BF">
        <w:rPr>
          <w:rFonts w:ascii="Arial" w:hAnsi="Arial" w:cs="Arial"/>
          <w:sz w:val="24"/>
          <w:szCs w:val="24"/>
        </w:rPr>
        <w:t>pla</w:t>
      </w:r>
      <w:r w:rsidR="0061609F" w:rsidRPr="009037BF">
        <w:rPr>
          <w:rFonts w:ascii="Arial" w:hAnsi="Arial" w:cs="Arial"/>
          <w:sz w:val="24"/>
          <w:szCs w:val="24"/>
        </w:rPr>
        <w:t xml:space="preserve">n to assist him </w:t>
      </w:r>
      <w:r w:rsidR="00011634" w:rsidRPr="009037BF">
        <w:rPr>
          <w:rFonts w:ascii="Arial" w:hAnsi="Arial" w:cs="Arial"/>
          <w:sz w:val="24"/>
          <w:szCs w:val="24"/>
        </w:rPr>
        <w:t>in settling th</w:t>
      </w:r>
      <w:r w:rsidR="0061609F" w:rsidRPr="009037BF">
        <w:rPr>
          <w:rFonts w:ascii="Arial" w:hAnsi="Arial" w:cs="Arial"/>
          <w:sz w:val="24"/>
          <w:szCs w:val="24"/>
        </w:rPr>
        <w:t>o</w:t>
      </w:r>
      <w:r w:rsidR="00011634" w:rsidRPr="009037BF">
        <w:rPr>
          <w:rFonts w:ascii="Arial" w:hAnsi="Arial" w:cs="Arial"/>
          <w:sz w:val="24"/>
          <w:szCs w:val="24"/>
        </w:rPr>
        <w:t>se expenses</w:t>
      </w:r>
      <w:r w:rsidR="0061609F" w:rsidRPr="009037BF">
        <w:rPr>
          <w:rFonts w:ascii="Arial" w:hAnsi="Arial" w:cs="Arial"/>
          <w:sz w:val="24"/>
          <w:szCs w:val="24"/>
        </w:rPr>
        <w:t>,</w:t>
      </w:r>
      <w:r w:rsidR="00011634" w:rsidRPr="009037BF">
        <w:rPr>
          <w:rFonts w:ascii="Arial" w:hAnsi="Arial" w:cs="Arial"/>
          <w:sz w:val="24"/>
          <w:szCs w:val="24"/>
        </w:rPr>
        <w:t xml:space="preserve"> that is a matter between him and the medical aid in question. </w:t>
      </w:r>
      <w:r w:rsidR="0061609F" w:rsidRPr="009037BF">
        <w:rPr>
          <w:rFonts w:ascii="Arial" w:hAnsi="Arial" w:cs="Arial"/>
          <w:sz w:val="24"/>
          <w:szCs w:val="24"/>
        </w:rPr>
        <w:t xml:space="preserve"> He cannot dictate to the applicant to make use</w:t>
      </w:r>
      <w:r w:rsidR="007B6AB4" w:rsidRPr="009037BF">
        <w:rPr>
          <w:rFonts w:ascii="Arial" w:hAnsi="Arial" w:cs="Arial"/>
          <w:sz w:val="24"/>
          <w:szCs w:val="24"/>
        </w:rPr>
        <w:t xml:space="preserve"> only</w:t>
      </w:r>
      <w:r w:rsidR="0061609F" w:rsidRPr="009037BF">
        <w:rPr>
          <w:rFonts w:ascii="Arial" w:hAnsi="Arial" w:cs="Arial"/>
          <w:sz w:val="24"/>
          <w:szCs w:val="24"/>
        </w:rPr>
        <w:t xml:space="preserve"> of practitioners covered by his medical aid.</w:t>
      </w:r>
    </w:p>
    <w:p w14:paraId="534AA7DA" w14:textId="77777777" w:rsidR="0061609F" w:rsidRPr="009037BF" w:rsidRDefault="0061609F" w:rsidP="009037BF">
      <w:pPr>
        <w:pStyle w:val="ListParagraph"/>
        <w:widowControl w:val="0"/>
        <w:spacing w:line="480" w:lineRule="auto"/>
        <w:jc w:val="both"/>
        <w:rPr>
          <w:rFonts w:ascii="Arial" w:hAnsi="Arial" w:cs="Arial"/>
        </w:rPr>
      </w:pPr>
    </w:p>
    <w:p w14:paraId="40B8F195" w14:textId="5A08AFD9" w:rsidR="00D04F06"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33.</w:t>
      </w:r>
      <w:r w:rsidRPr="009037BF">
        <w:rPr>
          <w:rFonts w:ascii="Arial" w:hAnsi="Arial" w:cs="Arial"/>
          <w:sz w:val="24"/>
          <w:szCs w:val="24"/>
        </w:rPr>
        <w:tab/>
      </w:r>
      <w:r w:rsidR="00491AC9" w:rsidRPr="009037BF">
        <w:rPr>
          <w:rFonts w:ascii="Arial" w:hAnsi="Arial" w:cs="Arial"/>
          <w:sz w:val="24"/>
          <w:szCs w:val="24"/>
        </w:rPr>
        <w:t>The r</w:t>
      </w:r>
      <w:r w:rsidR="00D04F06" w:rsidRPr="009037BF">
        <w:rPr>
          <w:rFonts w:ascii="Arial" w:hAnsi="Arial" w:cs="Arial"/>
          <w:sz w:val="24"/>
          <w:szCs w:val="24"/>
        </w:rPr>
        <w:t>esponde</w:t>
      </w:r>
      <w:r w:rsidR="00491AC9" w:rsidRPr="009037BF">
        <w:rPr>
          <w:rFonts w:ascii="Arial" w:hAnsi="Arial" w:cs="Arial"/>
          <w:sz w:val="24"/>
          <w:szCs w:val="24"/>
        </w:rPr>
        <w:t>nt</w:t>
      </w:r>
      <w:r w:rsidR="00D04F06" w:rsidRPr="009037BF">
        <w:rPr>
          <w:rFonts w:ascii="Arial" w:hAnsi="Arial" w:cs="Arial"/>
          <w:sz w:val="24"/>
          <w:szCs w:val="24"/>
        </w:rPr>
        <w:t xml:space="preserve"> further argues that </w:t>
      </w:r>
      <w:r w:rsidR="00491AC9" w:rsidRPr="009037BF">
        <w:rPr>
          <w:rFonts w:ascii="Arial" w:hAnsi="Arial" w:cs="Arial"/>
          <w:sz w:val="24"/>
          <w:szCs w:val="24"/>
        </w:rPr>
        <w:t>“</w:t>
      </w:r>
      <w:r w:rsidR="00D04F06" w:rsidRPr="009037BF">
        <w:rPr>
          <w:rFonts w:ascii="Arial" w:hAnsi="Arial" w:cs="Arial"/>
          <w:sz w:val="24"/>
          <w:szCs w:val="24"/>
        </w:rPr>
        <w:t>reasonable</w:t>
      </w:r>
      <w:r w:rsidR="00491AC9" w:rsidRPr="009037BF">
        <w:rPr>
          <w:rFonts w:ascii="Arial" w:hAnsi="Arial" w:cs="Arial"/>
          <w:sz w:val="24"/>
          <w:szCs w:val="24"/>
        </w:rPr>
        <w:t>”</w:t>
      </w:r>
      <w:r w:rsidR="00D04F06" w:rsidRPr="009037BF">
        <w:rPr>
          <w:rFonts w:ascii="Arial" w:hAnsi="Arial" w:cs="Arial"/>
          <w:sz w:val="24"/>
          <w:szCs w:val="24"/>
        </w:rPr>
        <w:t xml:space="preserve"> means that the applicant must agree the expenses in question with him before making purchases, a</w:t>
      </w:r>
      <w:r w:rsidR="00491AC9" w:rsidRPr="009037BF">
        <w:rPr>
          <w:rFonts w:ascii="Arial" w:hAnsi="Arial" w:cs="Arial"/>
          <w:sz w:val="24"/>
          <w:szCs w:val="24"/>
        </w:rPr>
        <w:t>nd</w:t>
      </w:r>
      <w:r w:rsidR="00D04F06" w:rsidRPr="009037BF">
        <w:rPr>
          <w:rFonts w:ascii="Arial" w:hAnsi="Arial" w:cs="Arial"/>
          <w:sz w:val="24"/>
          <w:szCs w:val="24"/>
        </w:rPr>
        <w:t xml:space="preserve"> </w:t>
      </w:r>
      <w:r w:rsidR="00491AC9" w:rsidRPr="009037BF">
        <w:rPr>
          <w:rFonts w:ascii="Arial" w:hAnsi="Arial" w:cs="Arial"/>
          <w:sz w:val="24"/>
          <w:szCs w:val="24"/>
        </w:rPr>
        <w:t xml:space="preserve">invoices evidencing </w:t>
      </w:r>
      <w:r w:rsidR="00D04F06" w:rsidRPr="009037BF">
        <w:rPr>
          <w:rFonts w:ascii="Arial" w:hAnsi="Arial" w:cs="Arial"/>
          <w:sz w:val="24"/>
          <w:szCs w:val="24"/>
        </w:rPr>
        <w:lastRenderedPageBreak/>
        <w:t xml:space="preserve">pharmacy expenses </w:t>
      </w:r>
      <w:r w:rsidR="00491AC9" w:rsidRPr="009037BF">
        <w:rPr>
          <w:rFonts w:ascii="Arial" w:hAnsi="Arial" w:cs="Arial"/>
          <w:sz w:val="24"/>
          <w:szCs w:val="24"/>
        </w:rPr>
        <w:t>must be signed by the</w:t>
      </w:r>
      <w:r w:rsidR="00D04F06" w:rsidRPr="009037BF">
        <w:rPr>
          <w:rFonts w:ascii="Arial" w:hAnsi="Arial" w:cs="Arial"/>
          <w:sz w:val="24"/>
          <w:szCs w:val="24"/>
        </w:rPr>
        <w:t xml:space="preserve"> pharmacist </w:t>
      </w:r>
      <w:r w:rsidR="00491AC9" w:rsidRPr="009037BF">
        <w:rPr>
          <w:rFonts w:ascii="Arial" w:hAnsi="Arial" w:cs="Arial"/>
          <w:sz w:val="24"/>
          <w:szCs w:val="24"/>
        </w:rPr>
        <w:t>prior to being</w:t>
      </w:r>
      <w:r w:rsidR="00D04F06" w:rsidRPr="009037BF">
        <w:rPr>
          <w:rFonts w:ascii="Arial" w:hAnsi="Arial" w:cs="Arial"/>
          <w:sz w:val="24"/>
          <w:szCs w:val="24"/>
        </w:rPr>
        <w:t xml:space="preserve"> presented by the applicant to the respondent. This contention is </w:t>
      </w:r>
      <w:r w:rsidR="00491AC9" w:rsidRPr="009037BF">
        <w:rPr>
          <w:rFonts w:ascii="Arial" w:hAnsi="Arial" w:cs="Arial"/>
          <w:sz w:val="24"/>
          <w:szCs w:val="24"/>
        </w:rPr>
        <w:t xml:space="preserve">not </w:t>
      </w:r>
      <w:r w:rsidR="00D04F06" w:rsidRPr="009037BF">
        <w:rPr>
          <w:rFonts w:ascii="Arial" w:hAnsi="Arial" w:cs="Arial"/>
          <w:sz w:val="24"/>
          <w:szCs w:val="24"/>
        </w:rPr>
        <w:t>correct</w:t>
      </w:r>
      <w:r w:rsidR="00491AC9" w:rsidRPr="009037BF">
        <w:rPr>
          <w:rFonts w:ascii="Arial" w:hAnsi="Arial" w:cs="Arial"/>
          <w:sz w:val="24"/>
          <w:szCs w:val="24"/>
        </w:rPr>
        <w:t>,</w:t>
      </w:r>
      <w:r w:rsidR="00D04F06" w:rsidRPr="009037BF">
        <w:rPr>
          <w:rFonts w:ascii="Arial" w:hAnsi="Arial" w:cs="Arial"/>
          <w:sz w:val="24"/>
          <w:szCs w:val="24"/>
        </w:rPr>
        <w:t xml:space="preserve"> as the order clearly does not oblige the applicant </w:t>
      </w:r>
      <w:r w:rsidR="00BA78B5" w:rsidRPr="009037BF">
        <w:rPr>
          <w:rFonts w:ascii="Arial" w:hAnsi="Arial" w:cs="Arial"/>
          <w:sz w:val="24"/>
          <w:szCs w:val="24"/>
        </w:rPr>
        <w:t>first</w:t>
      </w:r>
      <w:r w:rsidR="00D04F06" w:rsidRPr="009037BF">
        <w:rPr>
          <w:rFonts w:ascii="Arial" w:hAnsi="Arial" w:cs="Arial"/>
          <w:sz w:val="24"/>
          <w:szCs w:val="24"/>
        </w:rPr>
        <w:t xml:space="preserve"> to consult with the respondent before a medical expense is incurred, and to obtain his approval to incur such expense. W</w:t>
      </w:r>
      <w:r w:rsidR="00BA78B5" w:rsidRPr="009037BF">
        <w:rPr>
          <w:rFonts w:ascii="Arial" w:hAnsi="Arial" w:cs="Arial"/>
          <w:sz w:val="24"/>
          <w:szCs w:val="24"/>
        </w:rPr>
        <w:t xml:space="preserve">here </w:t>
      </w:r>
      <w:r w:rsidR="00D04F06" w:rsidRPr="009037BF">
        <w:rPr>
          <w:rFonts w:ascii="Arial" w:hAnsi="Arial" w:cs="Arial"/>
          <w:sz w:val="24"/>
          <w:szCs w:val="24"/>
        </w:rPr>
        <w:t>trained medical pr</w:t>
      </w:r>
      <w:r w:rsidR="00BA78B5" w:rsidRPr="009037BF">
        <w:rPr>
          <w:rFonts w:ascii="Arial" w:hAnsi="Arial" w:cs="Arial"/>
          <w:sz w:val="24"/>
          <w:szCs w:val="24"/>
        </w:rPr>
        <w:t>ofessionals</w:t>
      </w:r>
      <w:r w:rsidR="00D04F06" w:rsidRPr="009037BF">
        <w:rPr>
          <w:rFonts w:ascii="Arial" w:hAnsi="Arial" w:cs="Arial"/>
          <w:sz w:val="24"/>
          <w:szCs w:val="24"/>
        </w:rPr>
        <w:t xml:space="preserve"> have indicated that medical costs should be incurred</w:t>
      </w:r>
      <w:r w:rsidR="00BA78B5" w:rsidRPr="009037BF">
        <w:rPr>
          <w:rFonts w:ascii="Arial" w:hAnsi="Arial" w:cs="Arial"/>
          <w:sz w:val="24"/>
          <w:szCs w:val="24"/>
        </w:rPr>
        <w:t>,</w:t>
      </w:r>
      <w:r w:rsidR="00D04F06" w:rsidRPr="009037BF">
        <w:rPr>
          <w:rFonts w:ascii="Arial" w:hAnsi="Arial" w:cs="Arial"/>
          <w:sz w:val="24"/>
          <w:szCs w:val="24"/>
        </w:rPr>
        <w:t xml:space="preserve"> it is not for the respondent to allege that because </w:t>
      </w:r>
      <w:r w:rsidR="00BA78B5" w:rsidRPr="009037BF">
        <w:rPr>
          <w:rFonts w:ascii="Arial" w:hAnsi="Arial" w:cs="Arial"/>
          <w:sz w:val="24"/>
          <w:szCs w:val="24"/>
        </w:rPr>
        <w:t>his</w:t>
      </w:r>
      <w:r w:rsidR="00D04F06" w:rsidRPr="009037BF">
        <w:rPr>
          <w:rFonts w:ascii="Arial" w:hAnsi="Arial" w:cs="Arial"/>
          <w:sz w:val="24"/>
          <w:szCs w:val="24"/>
        </w:rPr>
        <w:t xml:space="preserve"> medical aid does not cover th</w:t>
      </w:r>
      <w:r w:rsidR="00BA78B5" w:rsidRPr="009037BF">
        <w:rPr>
          <w:rFonts w:ascii="Arial" w:hAnsi="Arial" w:cs="Arial"/>
          <w:sz w:val="24"/>
          <w:szCs w:val="24"/>
        </w:rPr>
        <w:t>ose</w:t>
      </w:r>
      <w:r w:rsidR="00D04F06" w:rsidRPr="009037BF">
        <w:rPr>
          <w:rFonts w:ascii="Arial" w:hAnsi="Arial" w:cs="Arial"/>
          <w:sz w:val="24"/>
          <w:szCs w:val="24"/>
        </w:rPr>
        <w:t xml:space="preserve"> expenses</w:t>
      </w:r>
      <w:r w:rsidR="00BA78B5" w:rsidRPr="009037BF">
        <w:rPr>
          <w:rFonts w:ascii="Arial" w:hAnsi="Arial" w:cs="Arial"/>
          <w:sz w:val="24"/>
          <w:szCs w:val="24"/>
        </w:rPr>
        <w:t xml:space="preserve">, they are </w:t>
      </w:r>
      <w:r w:rsidR="00D04F06" w:rsidRPr="009037BF">
        <w:rPr>
          <w:rFonts w:ascii="Arial" w:hAnsi="Arial" w:cs="Arial"/>
          <w:sz w:val="24"/>
          <w:szCs w:val="24"/>
        </w:rPr>
        <w:t>unreasonable and unreasonably incurred.</w:t>
      </w:r>
    </w:p>
    <w:p w14:paraId="1218A94A" w14:textId="77777777" w:rsidR="00D04F06" w:rsidRPr="009037BF" w:rsidRDefault="00D04F06" w:rsidP="009037BF">
      <w:pPr>
        <w:pStyle w:val="PlainText"/>
        <w:widowControl w:val="0"/>
        <w:spacing w:line="480" w:lineRule="auto"/>
        <w:ind w:left="709"/>
        <w:jc w:val="both"/>
        <w:rPr>
          <w:rFonts w:ascii="Arial" w:hAnsi="Arial" w:cs="Arial"/>
          <w:sz w:val="24"/>
          <w:szCs w:val="24"/>
        </w:rPr>
      </w:pPr>
    </w:p>
    <w:p w14:paraId="57232C49" w14:textId="2A2B4BD3" w:rsidR="00D04F06"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34.</w:t>
      </w:r>
      <w:r w:rsidRPr="009037BF">
        <w:rPr>
          <w:rFonts w:ascii="Arial" w:hAnsi="Arial" w:cs="Arial"/>
          <w:sz w:val="24"/>
          <w:szCs w:val="24"/>
        </w:rPr>
        <w:tab/>
      </w:r>
      <w:r w:rsidR="00D04F06" w:rsidRPr="009037BF">
        <w:rPr>
          <w:rFonts w:ascii="Arial" w:hAnsi="Arial" w:cs="Arial"/>
          <w:sz w:val="24"/>
          <w:szCs w:val="24"/>
        </w:rPr>
        <w:t xml:space="preserve">The purpose of the order </w:t>
      </w:r>
      <w:r w:rsidR="00BA78B5" w:rsidRPr="009037BF">
        <w:rPr>
          <w:rFonts w:ascii="Arial" w:hAnsi="Arial" w:cs="Arial"/>
          <w:sz w:val="24"/>
          <w:szCs w:val="24"/>
        </w:rPr>
        <w:t xml:space="preserve">in relation to medical expenses </w:t>
      </w:r>
      <w:r w:rsidR="00D04F06" w:rsidRPr="009037BF">
        <w:rPr>
          <w:rFonts w:ascii="Arial" w:hAnsi="Arial" w:cs="Arial"/>
          <w:sz w:val="24"/>
          <w:szCs w:val="24"/>
        </w:rPr>
        <w:t xml:space="preserve">was to ensure that the applicant </w:t>
      </w:r>
      <w:r w:rsidR="00BA78B5" w:rsidRPr="009037BF">
        <w:rPr>
          <w:rFonts w:ascii="Arial" w:hAnsi="Arial" w:cs="Arial"/>
          <w:sz w:val="24"/>
          <w:szCs w:val="24"/>
        </w:rPr>
        <w:t>and</w:t>
      </w:r>
      <w:r w:rsidR="00D04F06" w:rsidRPr="009037BF">
        <w:rPr>
          <w:rFonts w:ascii="Arial" w:hAnsi="Arial" w:cs="Arial"/>
          <w:sz w:val="24"/>
          <w:szCs w:val="24"/>
        </w:rPr>
        <w:t xml:space="preserve"> the children receive the medical treatment they require. The respondent was found to be able to </w:t>
      </w:r>
      <w:r w:rsidR="00BA78B5" w:rsidRPr="009037BF">
        <w:rPr>
          <w:rFonts w:ascii="Arial" w:hAnsi="Arial" w:cs="Arial"/>
          <w:sz w:val="24"/>
          <w:szCs w:val="24"/>
        </w:rPr>
        <w:t>do so.</w:t>
      </w:r>
      <w:r w:rsidR="00D04F06" w:rsidRPr="009037BF">
        <w:rPr>
          <w:rFonts w:ascii="Arial" w:hAnsi="Arial" w:cs="Arial"/>
          <w:sz w:val="24"/>
          <w:szCs w:val="24"/>
        </w:rPr>
        <w:t xml:space="preserve"> The </w:t>
      </w:r>
      <w:r w:rsidR="00BA78B5" w:rsidRPr="009037BF">
        <w:rPr>
          <w:rFonts w:ascii="Arial" w:hAnsi="Arial" w:cs="Arial"/>
          <w:sz w:val="24"/>
          <w:szCs w:val="24"/>
        </w:rPr>
        <w:t>Court k</w:t>
      </w:r>
      <w:r w:rsidR="00D04F06" w:rsidRPr="009037BF">
        <w:rPr>
          <w:rFonts w:ascii="Arial" w:hAnsi="Arial" w:cs="Arial"/>
          <w:sz w:val="24"/>
          <w:szCs w:val="24"/>
        </w:rPr>
        <w:t>new at the time when it made the order that the parties</w:t>
      </w:r>
      <w:r w:rsidR="00BA78B5" w:rsidRPr="009037BF">
        <w:rPr>
          <w:rFonts w:ascii="Arial" w:hAnsi="Arial" w:cs="Arial"/>
          <w:sz w:val="24"/>
          <w:szCs w:val="24"/>
        </w:rPr>
        <w:t>’</w:t>
      </w:r>
      <w:r w:rsidR="00D04F06" w:rsidRPr="009037BF">
        <w:rPr>
          <w:rFonts w:ascii="Arial" w:hAnsi="Arial" w:cs="Arial"/>
          <w:sz w:val="24"/>
          <w:szCs w:val="24"/>
        </w:rPr>
        <w:t xml:space="preserve"> eldest child suffered from various chronic </w:t>
      </w:r>
      <w:r w:rsidR="00BA78B5" w:rsidRPr="009037BF">
        <w:rPr>
          <w:rFonts w:ascii="Arial" w:hAnsi="Arial" w:cs="Arial"/>
          <w:sz w:val="24"/>
          <w:szCs w:val="24"/>
        </w:rPr>
        <w:t xml:space="preserve">medical </w:t>
      </w:r>
      <w:r w:rsidR="00D04F06" w:rsidRPr="009037BF">
        <w:rPr>
          <w:rFonts w:ascii="Arial" w:hAnsi="Arial" w:cs="Arial"/>
          <w:sz w:val="24"/>
          <w:szCs w:val="24"/>
        </w:rPr>
        <w:t>conditions. When that child requires urgent medical attention</w:t>
      </w:r>
      <w:r w:rsidR="00BA78B5" w:rsidRPr="009037BF">
        <w:rPr>
          <w:rFonts w:ascii="Arial" w:hAnsi="Arial" w:cs="Arial"/>
          <w:sz w:val="24"/>
          <w:szCs w:val="24"/>
        </w:rPr>
        <w:t>,</w:t>
      </w:r>
      <w:r w:rsidR="00D04F06" w:rsidRPr="009037BF">
        <w:rPr>
          <w:rFonts w:ascii="Arial" w:hAnsi="Arial" w:cs="Arial"/>
          <w:sz w:val="24"/>
          <w:szCs w:val="24"/>
        </w:rPr>
        <w:t xml:space="preserve"> the respondent</w:t>
      </w:r>
      <w:r w:rsidR="00BA78B5" w:rsidRPr="009037BF">
        <w:rPr>
          <w:rFonts w:ascii="Arial" w:hAnsi="Arial" w:cs="Arial"/>
          <w:sz w:val="24"/>
          <w:szCs w:val="24"/>
        </w:rPr>
        <w:t>’</w:t>
      </w:r>
      <w:r w:rsidR="00D04F06" w:rsidRPr="009037BF">
        <w:rPr>
          <w:rFonts w:ascii="Arial" w:hAnsi="Arial" w:cs="Arial"/>
          <w:sz w:val="24"/>
          <w:szCs w:val="24"/>
        </w:rPr>
        <w:t>s medical aid cover</w:t>
      </w:r>
      <w:r w:rsidR="00BA78B5" w:rsidRPr="009037BF">
        <w:rPr>
          <w:rFonts w:ascii="Arial" w:hAnsi="Arial" w:cs="Arial"/>
          <w:sz w:val="24"/>
          <w:szCs w:val="24"/>
        </w:rPr>
        <w:t>ed</w:t>
      </w:r>
      <w:r w:rsidR="00D04F06" w:rsidRPr="009037BF">
        <w:rPr>
          <w:rFonts w:ascii="Arial" w:hAnsi="Arial" w:cs="Arial"/>
          <w:sz w:val="24"/>
          <w:szCs w:val="24"/>
        </w:rPr>
        <w:t xml:space="preserve"> practitioners </w:t>
      </w:r>
      <w:r w:rsidR="00BA78B5" w:rsidRPr="009037BF">
        <w:rPr>
          <w:rFonts w:ascii="Arial" w:hAnsi="Arial" w:cs="Arial"/>
          <w:sz w:val="24"/>
          <w:szCs w:val="24"/>
        </w:rPr>
        <w:t>are not necessarily available. On the</w:t>
      </w:r>
      <w:r w:rsidR="00D04F06" w:rsidRPr="009037BF">
        <w:rPr>
          <w:rFonts w:ascii="Arial" w:hAnsi="Arial" w:cs="Arial"/>
          <w:sz w:val="24"/>
          <w:szCs w:val="24"/>
        </w:rPr>
        <w:t xml:space="preserve"> respondent</w:t>
      </w:r>
      <w:r w:rsidR="00BA78B5" w:rsidRPr="009037BF">
        <w:rPr>
          <w:rFonts w:ascii="Arial" w:hAnsi="Arial" w:cs="Arial"/>
          <w:sz w:val="24"/>
          <w:szCs w:val="24"/>
        </w:rPr>
        <w:t>’</w:t>
      </w:r>
      <w:r w:rsidR="00D04F06" w:rsidRPr="009037BF">
        <w:rPr>
          <w:rFonts w:ascii="Arial" w:hAnsi="Arial" w:cs="Arial"/>
          <w:sz w:val="24"/>
          <w:szCs w:val="24"/>
        </w:rPr>
        <w:t xml:space="preserve">s interpretation, the costs that the applicant </w:t>
      </w:r>
      <w:r w:rsidR="00BA78B5" w:rsidRPr="009037BF">
        <w:rPr>
          <w:rFonts w:ascii="Arial" w:hAnsi="Arial" w:cs="Arial"/>
          <w:sz w:val="24"/>
          <w:szCs w:val="24"/>
        </w:rPr>
        <w:t xml:space="preserve">would </w:t>
      </w:r>
      <w:r w:rsidR="00D04F06" w:rsidRPr="009037BF">
        <w:rPr>
          <w:rFonts w:ascii="Arial" w:hAnsi="Arial" w:cs="Arial"/>
          <w:sz w:val="24"/>
          <w:szCs w:val="24"/>
        </w:rPr>
        <w:t xml:space="preserve">incur in those instances are not reasonable and he is not required to settle those expenses. Such an </w:t>
      </w:r>
      <w:r w:rsidR="00BA78B5" w:rsidRPr="009037BF">
        <w:rPr>
          <w:rFonts w:ascii="Arial" w:hAnsi="Arial" w:cs="Arial"/>
          <w:sz w:val="24"/>
          <w:szCs w:val="24"/>
        </w:rPr>
        <w:t xml:space="preserve">interpretation is </w:t>
      </w:r>
      <w:r w:rsidR="00D04F06" w:rsidRPr="009037BF">
        <w:rPr>
          <w:rFonts w:ascii="Arial" w:hAnsi="Arial" w:cs="Arial"/>
          <w:sz w:val="24"/>
          <w:szCs w:val="24"/>
        </w:rPr>
        <w:t>clearly incorrect.</w:t>
      </w:r>
    </w:p>
    <w:p w14:paraId="2AA5813A" w14:textId="77777777" w:rsidR="00EE1B50" w:rsidRPr="009037BF" w:rsidRDefault="00EE1B50" w:rsidP="009037BF">
      <w:pPr>
        <w:pStyle w:val="ListParagraph"/>
        <w:widowControl w:val="0"/>
        <w:spacing w:line="480" w:lineRule="auto"/>
        <w:jc w:val="both"/>
        <w:rPr>
          <w:rFonts w:ascii="Arial" w:hAnsi="Arial" w:cs="Arial"/>
        </w:rPr>
      </w:pPr>
    </w:p>
    <w:p w14:paraId="32C8B298" w14:textId="77777777" w:rsidR="00D04F06" w:rsidRPr="009037BF" w:rsidRDefault="00D04F06" w:rsidP="009037BF">
      <w:pPr>
        <w:pStyle w:val="PlainText"/>
        <w:widowControl w:val="0"/>
        <w:spacing w:line="480" w:lineRule="auto"/>
        <w:jc w:val="both"/>
        <w:rPr>
          <w:rFonts w:ascii="Arial" w:hAnsi="Arial" w:cs="Arial"/>
          <w:i/>
          <w:iCs/>
          <w:sz w:val="24"/>
          <w:szCs w:val="24"/>
          <w:u w:val="single"/>
        </w:rPr>
      </w:pPr>
      <w:r w:rsidRPr="009037BF">
        <w:rPr>
          <w:rFonts w:ascii="Arial" w:hAnsi="Arial" w:cs="Arial"/>
          <w:i/>
          <w:iCs/>
          <w:sz w:val="24"/>
          <w:szCs w:val="24"/>
          <w:u w:val="single"/>
        </w:rPr>
        <w:t>Educational costs</w:t>
      </w:r>
    </w:p>
    <w:p w14:paraId="58783015" w14:textId="77777777" w:rsidR="00D04F06" w:rsidRPr="009037BF" w:rsidRDefault="00D04F06" w:rsidP="009037BF">
      <w:pPr>
        <w:pStyle w:val="PlainText"/>
        <w:widowControl w:val="0"/>
        <w:spacing w:line="480" w:lineRule="auto"/>
        <w:ind w:left="709"/>
        <w:jc w:val="both"/>
        <w:rPr>
          <w:rFonts w:ascii="Arial" w:hAnsi="Arial" w:cs="Arial"/>
          <w:sz w:val="24"/>
          <w:szCs w:val="24"/>
        </w:rPr>
      </w:pPr>
    </w:p>
    <w:p w14:paraId="15D97EAE" w14:textId="760147C5" w:rsidR="00D04F06"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35.</w:t>
      </w:r>
      <w:r w:rsidRPr="009037BF">
        <w:rPr>
          <w:rFonts w:ascii="Arial" w:hAnsi="Arial" w:cs="Arial"/>
          <w:sz w:val="24"/>
          <w:szCs w:val="24"/>
        </w:rPr>
        <w:tab/>
      </w:r>
      <w:r w:rsidR="00D04F06" w:rsidRPr="009037BF">
        <w:rPr>
          <w:rFonts w:ascii="Arial" w:hAnsi="Arial" w:cs="Arial"/>
          <w:sz w:val="24"/>
          <w:szCs w:val="24"/>
        </w:rPr>
        <w:t xml:space="preserve">Paragraph 1.4 of the </w:t>
      </w:r>
      <w:r w:rsidR="003A7F7C" w:rsidRPr="009037BF">
        <w:rPr>
          <w:rFonts w:ascii="Arial" w:hAnsi="Arial" w:cs="Arial"/>
          <w:sz w:val="24"/>
          <w:szCs w:val="24"/>
        </w:rPr>
        <w:t>R</w:t>
      </w:r>
      <w:r w:rsidR="00D04F06" w:rsidRPr="009037BF">
        <w:rPr>
          <w:rFonts w:ascii="Arial" w:hAnsi="Arial" w:cs="Arial"/>
          <w:sz w:val="24"/>
          <w:szCs w:val="24"/>
        </w:rPr>
        <w:t>ule 43 order obliges the respondent to pay to the applicant the minor children</w:t>
      </w:r>
      <w:r w:rsidR="003A7F7C" w:rsidRPr="009037BF">
        <w:rPr>
          <w:rFonts w:ascii="Arial" w:hAnsi="Arial" w:cs="Arial"/>
          <w:sz w:val="24"/>
          <w:szCs w:val="24"/>
        </w:rPr>
        <w:t>’s</w:t>
      </w:r>
      <w:r w:rsidR="00D04F06" w:rsidRPr="009037BF">
        <w:rPr>
          <w:rFonts w:ascii="Arial" w:hAnsi="Arial" w:cs="Arial"/>
          <w:sz w:val="24"/>
          <w:szCs w:val="24"/>
        </w:rPr>
        <w:t xml:space="preserve"> schooling expenses (at private schools)</w:t>
      </w:r>
      <w:r w:rsidR="003A7F7C" w:rsidRPr="009037BF">
        <w:rPr>
          <w:rFonts w:ascii="Arial" w:hAnsi="Arial" w:cs="Arial"/>
          <w:sz w:val="24"/>
          <w:szCs w:val="24"/>
        </w:rPr>
        <w:t>,</w:t>
      </w:r>
      <w:r w:rsidR="00D04F06" w:rsidRPr="009037BF">
        <w:rPr>
          <w:rFonts w:ascii="Arial" w:hAnsi="Arial" w:cs="Arial"/>
          <w:sz w:val="24"/>
          <w:szCs w:val="24"/>
        </w:rPr>
        <w:t xml:space="preserve"> including the costs of school fees, school uniforms, books, additional tuition fees, c</w:t>
      </w:r>
      <w:r w:rsidR="003A7F7C" w:rsidRPr="009037BF">
        <w:rPr>
          <w:rFonts w:ascii="Arial" w:hAnsi="Arial" w:cs="Arial"/>
          <w:sz w:val="24"/>
          <w:szCs w:val="24"/>
        </w:rPr>
        <w:t>amp</w:t>
      </w:r>
      <w:r w:rsidR="00D04F06" w:rsidRPr="009037BF">
        <w:rPr>
          <w:rFonts w:ascii="Arial" w:hAnsi="Arial" w:cs="Arial"/>
          <w:sz w:val="24"/>
          <w:szCs w:val="24"/>
        </w:rPr>
        <w:t xml:space="preserve">s, outings, extramural activities, and equipment and attire relating to the sport and extramural activities reasonably required by the minor children, </w:t>
      </w:r>
      <w:r w:rsidR="003A7F7C" w:rsidRPr="009037BF">
        <w:rPr>
          <w:rFonts w:ascii="Arial" w:hAnsi="Arial" w:cs="Arial"/>
          <w:sz w:val="24"/>
          <w:szCs w:val="24"/>
        </w:rPr>
        <w:t xml:space="preserve">as well as </w:t>
      </w:r>
      <w:r w:rsidR="00D04F06" w:rsidRPr="009037BF">
        <w:rPr>
          <w:rFonts w:ascii="Arial" w:hAnsi="Arial" w:cs="Arial"/>
          <w:sz w:val="24"/>
          <w:szCs w:val="24"/>
        </w:rPr>
        <w:t>computer equipment, including printer cartridges.</w:t>
      </w:r>
    </w:p>
    <w:p w14:paraId="53DDA603" w14:textId="77777777" w:rsidR="00D04F06" w:rsidRPr="009037BF" w:rsidRDefault="00D04F06" w:rsidP="009037BF">
      <w:pPr>
        <w:pStyle w:val="PlainText"/>
        <w:widowControl w:val="0"/>
        <w:spacing w:line="480" w:lineRule="auto"/>
        <w:ind w:left="709"/>
        <w:jc w:val="both"/>
        <w:rPr>
          <w:rFonts w:ascii="Arial" w:hAnsi="Arial" w:cs="Arial"/>
          <w:sz w:val="24"/>
          <w:szCs w:val="24"/>
        </w:rPr>
      </w:pPr>
    </w:p>
    <w:p w14:paraId="36F57603" w14:textId="12EF00E0" w:rsidR="003A7F7C"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36.</w:t>
      </w:r>
      <w:r w:rsidRPr="009037BF">
        <w:rPr>
          <w:rFonts w:ascii="Arial" w:hAnsi="Arial" w:cs="Arial"/>
          <w:sz w:val="24"/>
          <w:szCs w:val="24"/>
        </w:rPr>
        <w:tab/>
      </w:r>
      <w:r w:rsidR="00D04F06" w:rsidRPr="009037BF">
        <w:rPr>
          <w:rFonts w:ascii="Arial" w:hAnsi="Arial" w:cs="Arial"/>
          <w:sz w:val="24"/>
          <w:szCs w:val="24"/>
        </w:rPr>
        <w:t xml:space="preserve">On the </w:t>
      </w:r>
      <w:r w:rsidR="003A7F7C" w:rsidRPr="009037BF">
        <w:rPr>
          <w:rFonts w:ascii="Arial" w:hAnsi="Arial" w:cs="Arial"/>
          <w:sz w:val="24"/>
          <w:szCs w:val="24"/>
        </w:rPr>
        <w:t>respondent’s</w:t>
      </w:r>
      <w:r w:rsidR="00D04F06" w:rsidRPr="009037BF">
        <w:rPr>
          <w:rFonts w:ascii="Arial" w:hAnsi="Arial" w:cs="Arial"/>
          <w:sz w:val="24"/>
          <w:szCs w:val="24"/>
        </w:rPr>
        <w:t xml:space="preserve"> interpretation of this paragraph, the applicant must send her credit card statements t</w:t>
      </w:r>
      <w:r w:rsidR="003A7F7C" w:rsidRPr="009037BF">
        <w:rPr>
          <w:rFonts w:ascii="Arial" w:hAnsi="Arial" w:cs="Arial"/>
          <w:sz w:val="24"/>
          <w:szCs w:val="24"/>
        </w:rPr>
        <w:t>o him</w:t>
      </w:r>
      <w:r w:rsidR="00D04F06" w:rsidRPr="009037BF">
        <w:rPr>
          <w:rFonts w:ascii="Arial" w:hAnsi="Arial" w:cs="Arial"/>
          <w:sz w:val="24"/>
          <w:szCs w:val="24"/>
        </w:rPr>
        <w:t xml:space="preserve"> showing that the amounts claimed in respect of school and sports clo</w:t>
      </w:r>
      <w:r w:rsidR="003A7F7C" w:rsidRPr="009037BF">
        <w:rPr>
          <w:rFonts w:ascii="Arial" w:hAnsi="Arial" w:cs="Arial"/>
          <w:sz w:val="24"/>
          <w:szCs w:val="24"/>
        </w:rPr>
        <w:t>thes</w:t>
      </w:r>
      <w:r w:rsidR="00D04F06" w:rsidRPr="009037BF">
        <w:rPr>
          <w:rFonts w:ascii="Arial" w:hAnsi="Arial" w:cs="Arial"/>
          <w:sz w:val="24"/>
          <w:szCs w:val="24"/>
        </w:rPr>
        <w:t xml:space="preserve"> purchased from the school are reflected the</w:t>
      </w:r>
      <w:r w:rsidR="003A7F7C" w:rsidRPr="009037BF">
        <w:rPr>
          <w:rFonts w:ascii="Arial" w:hAnsi="Arial" w:cs="Arial"/>
          <w:sz w:val="24"/>
          <w:szCs w:val="24"/>
        </w:rPr>
        <w:t>reo</w:t>
      </w:r>
      <w:r w:rsidR="00D04F06" w:rsidRPr="009037BF">
        <w:rPr>
          <w:rFonts w:ascii="Arial" w:hAnsi="Arial" w:cs="Arial"/>
          <w:sz w:val="24"/>
          <w:szCs w:val="24"/>
        </w:rPr>
        <w:t xml:space="preserve">n. He contends that the applicant </w:t>
      </w:r>
      <w:r w:rsidR="007B6AB4" w:rsidRPr="009037BF">
        <w:rPr>
          <w:rFonts w:ascii="Arial" w:hAnsi="Arial" w:cs="Arial"/>
          <w:sz w:val="24"/>
          <w:szCs w:val="24"/>
        </w:rPr>
        <w:t xml:space="preserve">is </w:t>
      </w:r>
      <w:r w:rsidR="00D04F06" w:rsidRPr="009037BF">
        <w:rPr>
          <w:rFonts w:ascii="Arial" w:hAnsi="Arial" w:cs="Arial"/>
          <w:sz w:val="24"/>
          <w:szCs w:val="24"/>
        </w:rPr>
        <w:t xml:space="preserve">obliged to prove that she personally </w:t>
      </w:r>
      <w:r w:rsidR="003A7F7C" w:rsidRPr="009037BF">
        <w:rPr>
          <w:rFonts w:ascii="Arial" w:hAnsi="Arial" w:cs="Arial"/>
          <w:sz w:val="24"/>
          <w:szCs w:val="24"/>
        </w:rPr>
        <w:t>incurred</w:t>
      </w:r>
      <w:r w:rsidR="00D04F06" w:rsidRPr="009037BF">
        <w:rPr>
          <w:rFonts w:ascii="Arial" w:hAnsi="Arial" w:cs="Arial"/>
          <w:sz w:val="24"/>
          <w:szCs w:val="24"/>
        </w:rPr>
        <w:t xml:space="preserve"> the </w:t>
      </w:r>
      <w:r w:rsidR="003A7F7C" w:rsidRPr="009037BF">
        <w:rPr>
          <w:rFonts w:ascii="Arial" w:hAnsi="Arial" w:cs="Arial"/>
          <w:sz w:val="24"/>
          <w:szCs w:val="24"/>
        </w:rPr>
        <w:t xml:space="preserve">relevant </w:t>
      </w:r>
      <w:r w:rsidR="00D04F06" w:rsidRPr="009037BF">
        <w:rPr>
          <w:rFonts w:ascii="Arial" w:hAnsi="Arial" w:cs="Arial"/>
          <w:sz w:val="24"/>
          <w:szCs w:val="24"/>
        </w:rPr>
        <w:t>expense</w:t>
      </w:r>
      <w:r w:rsidR="007B6AB4" w:rsidRPr="009037BF">
        <w:rPr>
          <w:rFonts w:ascii="Arial" w:hAnsi="Arial" w:cs="Arial"/>
          <w:sz w:val="24"/>
          <w:szCs w:val="24"/>
        </w:rPr>
        <w:t>s</w:t>
      </w:r>
      <w:r w:rsidR="00D04F06" w:rsidRPr="009037BF">
        <w:rPr>
          <w:rFonts w:ascii="Arial" w:hAnsi="Arial" w:cs="Arial"/>
          <w:sz w:val="24"/>
          <w:szCs w:val="24"/>
        </w:rPr>
        <w:t>.</w:t>
      </w:r>
    </w:p>
    <w:p w14:paraId="01BD0F96" w14:textId="77777777" w:rsidR="003A7F7C" w:rsidRPr="009037BF" w:rsidRDefault="003A7F7C" w:rsidP="009037BF">
      <w:pPr>
        <w:pStyle w:val="ListParagraph"/>
        <w:widowControl w:val="0"/>
        <w:spacing w:line="480" w:lineRule="auto"/>
        <w:jc w:val="both"/>
        <w:rPr>
          <w:rFonts w:ascii="Arial" w:hAnsi="Arial" w:cs="Arial"/>
        </w:rPr>
      </w:pPr>
    </w:p>
    <w:p w14:paraId="7936A1E5" w14:textId="31688CD1" w:rsidR="00D04F06"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37.</w:t>
      </w:r>
      <w:r w:rsidRPr="009037BF">
        <w:rPr>
          <w:rFonts w:ascii="Arial" w:hAnsi="Arial" w:cs="Arial"/>
          <w:sz w:val="24"/>
          <w:szCs w:val="24"/>
        </w:rPr>
        <w:tab/>
      </w:r>
      <w:r w:rsidR="00D04F06" w:rsidRPr="009037BF">
        <w:rPr>
          <w:rFonts w:ascii="Arial" w:hAnsi="Arial" w:cs="Arial"/>
          <w:sz w:val="24"/>
          <w:szCs w:val="24"/>
        </w:rPr>
        <w:t>The applicant is</w:t>
      </w:r>
      <w:r w:rsidR="003A7F7C" w:rsidRPr="009037BF">
        <w:rPr>
          <w:rFonts w:ascii="Arial" w:hAnsi="Arial" w:cs="Arial"/>
          <w:sz w:val="24"/>
          <w:szCs w:val="24"/>
        </w:rPr>
        <w:t>,</w:t>
      </w:r>
      <w:r w:rsidR="00D04F06" w:rsidRPr="009037BF">
        <w:rPr>
          <w:rFonts w:ascii="Arial" w:hAnsi="Arial" w:cs="Arial"/>
          <w:sz w:val="24"/>
          <w:szCs w:val="24"/>
        </w:rPr>
        <w:t xml:space="preserve"> however</w:t>
      </w:r>
      <w:r w:rsidR="003A7F7C" w:rsidRPr="009037BF">
        <w:rPr>
          <w:rFonts w:ascii="Arial" w:hAnsi="Arial" w:cs="Arial"/>
          <w:sz w:val="24"/>
          <w:szCs w:val="24"/>
        </w:rPr>
        <w:t>,</w:t>
      </w:r>
      <w:r w:rsidR="00D04F06" w:rsidRPr="009037BF">
        <w:rPr>
          <w:rFonts w:ascii="Arial" w:hAnsi="Arial" w:cs="Arial"/>
          <w:sz w:val="24"/>
          <w:szCs w:val="24"/>
        </w:rPr>
        <w:t xml:space="preserve"> not </w:t>
      </w:r>
      <w:r w:rsidR="003A7F7C" w:rsidRPr="009037BF">
        <w:rPr>
          <w:rFonts w:ascii="Arial" w:hAnsi="Arial" w:cs="Arial"/>
          <w:sz w:val="24"/>
          <w:szCs w:val="24"/>
        </w:rPr>
        <w:t>wealthy, and she h</w:t>
      </w:r>
      <w:r w:rsidR="00D04F06" w:rsidRPr="009037BF">
        <w:rPr>
          <w:rFonts w:ascii="Arial" w:hAnsi="Arial" w:cs="Arial"/>
          <w:sz w:val="24"/>
          <w:szCs w:val="24"/>
        </w:rPr>
        <w:t xml:space="preserve">as </w:t>
      </w:r>
      <w:r w:rsidR="007B6AB4" w:rsidRPr="009037BF">
        <w:rPr>
          <w:rFonts w:ascii="Arial" w:hAnsi="Arial" w:cs="Arial"/>
          <w:sz w:val="24"/>
          <w:szCs w:val="24"/>
        </w:rPr>
        <w:t>told</w:t>
      </w:r>
      <w:r w:rsidR="003A7F7C" w:rsidRPr="009037BF">
        <w:rPr>
          <w:rFonts w:ascii="Arial" w:hAnsi="Arial" w:cs="Arial"/>
          <w:sz w:val="24"/>
          <w:szCs w:val="24"/>
        </w:rPr>
        <w:t xml:space="preserve"> the Court </w:t>
      </w:r>
      <w:r w:rsidR="00D04F06" w:rsidRPr="009037BF">
        <w:rPr>
          <w:rFonts w:ascii="Arial" w:hAnsi="Arial" w:cs="Arial"/>
          <w:sz w:val="24"/>
          <w:szCs w:val="24"/>
        </w:rPr>
        <w:t xml:space="preserve">that she has had </w:t>
      </w:r>
      <w:r w:rsidR="00CB624F" w:rsidRPr="009037BF">
        <w:rPr>
          <w:rFonts w:ascii="Arial" w:hAnsi="Arial" w:cs="Arial"/>
          <w:sz w:val="24"/>
          <w:szCs w:val="24"/>
        </w:rPr>
        <w:t>to borrow</w:t>
      </w:r>
      <w:r w:rsidR="00D04F06" w:rsidRPr="009037BF">
        <w:rPr>
          <w:rFonts w:ascii="Arial" w:hAnsi="Arial" w:cs="Arial"/>
          <w:sz w:val="24"/>
          <w:szCs w:val="24"/>
        </w:rPr>
        <w:t xml:space="preserve"> money</w:t>
      </w:r>
      <w:r w:rsidR="00CB624F" w:rsidRPr="009037BF">
        <w:rPr>
          <w:rFonts w:ascii="Arial" w:hAnsi="Arial" w:cs="Arial"/>
          <w:sz w:val="24"/>
          <w:szCs w:val="24"/>
        </w:rPr>
        <w:t xml:space="preserve"> and </w:t>
      </w:r>
      <w:r w:rsidR="00D04F06" w:rsidRPr="009037BF">
        <w:rPr>
          <w:rFonts w:ascii="Arial" w:hAnsi="Arial" w:cs="Arial"/>
          <w:sz w:val="24"/>
          <w:szCs w:val="24"/>
        </w:rPr>
        <w:t xml:space="preserve">sell </w:t>
      </w:r>
      <w:r w:rsidR="003A7F7C" w:rsidRPr="009037BF">
        <w:rPr>
          <w:rFonts w:ascii="Arial" w:hAnsi="Arial" w:cs="Arial"/>
          <w:sz w:val="24"/>
          <w:szCs w:val="24"/>
        </w:rPr>
        <w:t>second-hand</w:t>
      </w:r>
      <w:r w:rsidR="00D04F06" w:rsidRPr="009037BF">
        <w:rPr>
          <w:rFonts w:ascii="Arial" w:hAnsi="Arial" w:cs="Arial"/>
          <w:sz w:val="24"/>
          <w:szCs w:val="24"/>
        </w:rPr>
        <w:t xml:space="preserve"> furniture </w:t>
      </w:r>
      <w:r w:rsidR="00CB624F" w:rsidRPr="009037BF">
        <w:rPr>
          <w:rFonts w:ascii="Arial" w:hAnsi="Arial" w:cs="Arial"/>
          <w:sz w:val="24"/>
          <w:szCs w:val="24"/>
        </w:rPr>
        <w:t>to</w:t>
      </w:r>
      <w:r w:rsidR="00D04F06" w:rsidRPr="009037BF">
        <w:rPr>
          <w:rFonts w:ascii="Arial" w:hAnsi="Arial" w:cs="Arial"/>
          <w:sz w:val="24"/>
          <w:szCs w:val="24"/>
        </w:rPr>
        <w:t xml:space="preserve"> meet her a</w:t>
      </w:r>
      <w:r w:rsidR="00CB624F" w:rsidRPr="009037BF">
        <w:rPr>
          <w:rFonts w:ascii="Arial" w:hAnsi="Arial" w:cs="Arial"/>
          <w:sz w:val="24"/>
          <w:szCs w:val="24"/>
        </w:rPr>
        <w:t>nd</w:t>
      </w:r>
      <w:r w:rsidR="00D04F06" w:rsidRPr="009037BF">
        <w:rPr>
          <w:rFonts w:ascii="Arial" w:hAnsi="Arial" w:cs="Arial"/>
          <w:sz w:val="24"/>
          <w:szCs w:val="24"/>
        </w:rPr>
        <w:t xml:space="preserve"> the children's maintenance needs. The loans are repa</w:t>
      </w:r>
      <w:r w:rsidR="00CB624F" w:rsidRPr="009037BF">
        <w:rPr>
          <w:rFonts w:ascii="Arial" w:hAnsi="Arial" w:cs="Arial"/>
          <w:sz w:val="24"/>
          <w:szCs w:val="24"/>
        </w:rPr>
        <w:t>yable</w:t>
      </w:r>
      <w:r w:rsidR="00D04F06" w:rsidRPr="009037BF">
        <w:rPr>
          <w:rFonts w:ascii="Arial" w:hAnsi="Arial" w:cs="Arial"/>
          <w:sz w:val="24"/>
          <w:szCs w:val="24"/>
        </w:rPr>
        <w:t xml:space="preserve">. Where she has incurred loans to purchase the children's school and sports clothes, the relevant expense will not necessarily show on </w:t>
      </w:r>
      <w:r w:rsidR="00BD5C8D" w:rsidRPr="009037BF">
        <w:rPr>
          <w:rFonts w:ascii="Arial" w:hAnsi="Arial" w:cs="Arial"/>
          <w:sz w:val="24"/>
          <w:szCs w:val="24"/>
        </w:rPr>
        <w:t xml:space="preserve">her </w:t>
      </w:r>
      <w:r w:rsidR="00D04F06" w:rsidRPr="009037BF">
        <w:rPr>
          <w:rFonts w:ascii="Arial" w:hAnsi="Arial" w:cs="Arial"/>
          <w:sz w:val="24"/>
          <w:szCs w:val="24"/>
        </w:rPr>
        <w:t xml:space="preserve">credit card statement. But she has nevertheless </w:t>
      </w:r>
      <w:r w:rsidR="003A7F7C" w:rsidRPr="009037BF">
        <w:rPr>
          <w:rFonts w:ascii="Arial" w:hAnsi="Arial" w:cs="Arial"/>
          <w:sz w:val="24"/>
          <w:szCs w:val="24"/>
        </w:rPr>
        <w:t>delivered</w:t>
      </w:r>
      <w:r w:rsidR="00D04F06" w:rsidRPr="009037BF">
        <w:rPr>
          <w:rFonts w:ascii="Arial" w:hAnsi="Arial" w:cs="Arial"/>
          <w:sz w:val="24"/>
          <w:szCs w:val="24"/>
        </w:rPr>
        <w:t xml:space="preserve"> to the respondent invoices and proof of payment that she has made to acquire clothes for the children.</w:t>
      </w:r>
    </w:p>
    <w:p w14:paraId="3FEDC21B" w14:textId="77777777" w:rsidR="00D04F06" w:rsidRPr="009037BF" w:rsidRDefault="00D04F06" w:rsidP="009037BF">
      <w:pPr>
        <w:pStyle w:val="PlainText"/>
        <w:widowControl w:val="0"/>
        <w:spacing w:line="480" w:lineRule="auto"/>
        <w:ind w:left="709"/>
        <w:jc w:val="both"/>
        <w:rPr>
          <w:rFonts w:ascii="Arial" w:hAnsi="Arial" w:cs="Arial"/>
          <w:sz w:val="24"/>
          <w:szCs w:val="24"/>
        </w:rPr>
      </w:pPr>
    </w:p>
    <w:p w14:paraId="1F3C5FA6" w14:textId="40C71B21" w:rsidR="00D04F06"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38.</w:t>
      </w:r>
      <w:r w:rsidRPr="009037BF">
        <w:rPr>
          <w:rFonts w:ascii="Arial" w:hAnsi="Arial" w:cs="Arial"/>
          <w:sz w:val="24"/>
          <w:szCs w:val="24"/>
        </w:rPr>
        <w:tab/>
      </w:r>
      <w:r w:rsidR="00D04F06" w:rsidRPr="009037BF">
        <w:rPr>
          <w:rFonts w:ascii="Arial" w:hAnsi="Arial" w:cs="Arial"/>
          <w:sz w:val="24"/>
          <w:szCs w:val="24"/>
        </w:rPr>
        <w:t xml:space="preserve">The respondent disputes that the applicant incurred </w:t>
      </w:r>
      <w:r w:rsidR="00BD5C8D" w:rsidRPr="009037BF">
        <w:rPr>
          <w:rFonts w:ascii="Arial" w:hAnsi="Arial" w:cs="Arial"/>
          <w:sz w:val="24"/>
          <w:szCs w:val="24"/>
        </w:rPr>
        <w:t xml:space="preserve">those </w:t>
      </w:r>
      <w:r w:rsidR="00D04F06" w:rsidRPr="009037BF">
        <w:rPr>
          <w:rFonts w:ascii="Arial" w:hAnsi="Arial" w:cs="Arial"/>
          <w:sz w:val="24"/>
          <w:szCs w:val="24"/>
        </w:rPr>
        <w:t xml:space="preserve">expenses and alleges that his legal advisers have advised him that </w:t>
      </w:r>
      <w:r w:rsidR="00BD5C8D" w:rsidRPr="009037BF">
        <w:rPr>
          <w:rFonts w:ascii="Arial" w:hAnsi="Arial" w:cs="Arial"/>
          <w:sz w:val="24"/>
          <w:szCs w:val="24"/>
        </w:rPr>
        <w:t xml:space="preserve">he is not obliged </w:t>
      </w:r>
      <w:r w:rsidR="00D04F06" w:rsidRPr="009037BF">
        <w:rPr>
          <w:rFonts w:ascii="Arial" w:hAnsi="Arial" w:cs="Arial"/>
          <w:sz w:val="24"/>
          <w:szCs w:val="24"/>
        </w:rPr>
        <w:t>to make payment to her unles</w:t>
      </w:r>
      <w:r w:rsidR="00BD5C8D" w:rsidRPr="009037BF">
        <w:rPr>
          <w:rFonts w:ascii="Arial" w:hAnsi="Arial" w:cs="Arial"/>
          <w:sz w:val="24"/>
          <w:szCs w:val="24"/>
        </w:rPr>
        <w:t>s</w:t>
      </w:r>
      <w:r w:rsidR="00D04F06" w:rsidRPr="009037BF">
        <w:rPr>
          <w:rFonts w:ascii="Arial" w:hAnsi="Arial" w:cs="Arial"/>
          <w:sz w:val="24"/>
          <w:szCs w:val="24"/>
        </w:rPr>
        <w:t xml:space="preserve"> she proves, by submitting her credit card statements to him, that she personally incurred </w:t>
      </w:r>
      <w:r w:rsidR="00BD5C8D" w:rsidRPr="009037BF">
        <w:rPr>
          <w:rFonts w:ascii="Arial" w:hAnsi="Arial" w:cs="Arial"/>
          <w:sz w:val="24"/>
          <w:szCs w:val="24"/>
        </w:rPr>
        <w:t xml:space="preserve">those </w:t>
      </w:r>
      <w:r w:rsidR="00D04F06" w:rsidRPr="009037BF">
        <w:rPr>
          <w:rFonts w:ascii="Arial" w:hAnsi="Arial" w:cs="Arial"/>
          <w:sz w:val="24"/>
          <w:szCs w:val="24"/>
        </w:rPr>
        <w:t>expense</w:t>
      </w:r>
      <w:r w:rsidR="00BD5C8D" w:rsidRPr="009037BF">
        <w:rPr>
          <w:rFonts w:ascii="Arial" w:hAnsi="Arial" w:cs="Arial"/>
          <w:sz w:val="24"/>
          <w:szCs w:val="24"/>
        </w:rPr>
        <w:t>s</w:t>
      </w:r>
      <w:r w:rsidR="00D04F06" w:rsidRPr="009037BF">
        <w:rPr>
          <w:rFonts w:ascii="Arial" w:hAnsi="Arial" w:cs="Arial"/>
          <w:sz w:val="24"/>
          <w:szCs w:val="24"/>
        </w:rPr>
        <w:t>.</w:t>
      </w:r>
      <w:r w:rsidR="00BD5C8D" w:rsidRPr="009037BF">
        <w:rPr>
          <w:rFonts w:ascii="Arial" w:hAnsi="Arial" w:cs="Arial"/>
          <w:sz w:val="24"/>
          <w:szCs w:val="24"/>
        </w:rPr>
        <w:t xml:space="preserve">  Given the evidence of those expenses already provided to the respondent, the advice is clearly incorrect.</w:t>
      </w:r>
    </w:p>
    <w:p w14:paraId="6A2E34F9" w14:textId="77777777" w:rsidR="00D04F06" w:rsidRPr="009037BF" w:rsidRDefault="00D04F06" w:rsidP="009037BF">
      <w:pPr>
        <w:pStyle w:val="PlainText"/>
        <w:widowControl w:val="0"/>
        <w:spacing w:line="480" w:lineRule="auto"/>
        <w:ind w:left="709"/>
        <w:jc w:val="both"/>
        <w:rPr>
          <w:rFonts w:ascii="Arial" w:hAnsi="Arial" w:cs="Arial"/>
          <w:sz w:val="24"/>
          <w:szCs w:val="24"/>
        </w:rPr>
      </w:pPr>
    </w:p>
    <w:p w14:paraId="09B33437" w14:textId="0EDFF503" w:rsidR="00D04F06"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39.</w:t>
      </w:r>
      <w:r w:rsidRPr="009037BF">
        <w:rPr>
          <w:rFonts w:ascii="Arial" w:hAnsi="Arial" w:cs="Arial"/>
          <w:sz w:val="24"/>
          <w:szCs w:val="24"/>
        </w:rPr>
        <w:tab/>
      </w:r>
      <w:r w:rsidR="00D04F06" w:rsidRPr="009037BF">
        <w:rPr>
          <w:rFonts w:ascii="Arial" w:hAnsi="Arial" w:cs="Arial"/>
          <w:sz w:val="24"/>
          <w:szCs w:val="24"/>
        </w:rPr>
        <w:t xml:space="preserve">Another example of the </w:t>
      </w:r>
      <w:r w:rsidR="003A7F7C" w:rsidRPr="009037BF">
        <w:rPr>
          <w:rFonts w:ascii="Arial" w:hAnsi="Arial" w:cs="Arial"/>
          <w:sz w:val="24"/>
          <w:szCs w:val="24"/>
        </w:rPr>
        <w:t>respondent’s</w:t>
      </w:r>
      <w:r w:rsidR="00D04F06" w:rsidRPr="009037BF">
        <w:rPr>
          <w:rFonts w:ascii="Arial" w:hAnsi="Arial" w:cs="Arial"/>
          <w:sz w:val="24"/>
          <w:szCs w:val="24"/>
        </w:rPr>
        <w:t xml:space="preserve"> interpretation of paragraph 1.4 is in relation to the applicant</w:t>
      </w:r>
      <w:r w:rsidR="00BD5C8D" w:rsidRPr="009037BF">
        <w:rPr>
          <w:rFonts w:ascii="Arial" w:hAnsi="Arial" w:cs="Arial"/>
          <w:sz w:val="24"/>
          <w:szCs w:val="24"/>
        </w:rPr>
        <w:t>’</w:t>
      </w:r>
      <w:r w:rsidR="00D04F06" w:rsidRPr="009037BF">
        <w:rPr>
          <w:rFonts w:ascii="Arial" w:hAnsi="Arial" w:cs="Arial"/>
          <w:sz w:val="24"/>
          <w:szCs w:val="24"/>
        </w:rPr>
        <w:t>s purchase of a junior blazer and three pairs of school shoes during the period July 2018 to May 2021. The respondent alleges that school blazers and shoes are to be purchased in the new year only. He therefore refuses to reimburse the applicant</w:t>
      </w:r>
      <w:r w:rsidR="00BD5C8D" w:rsidRPr="009037BF">
        <w:rPr>
          <w:rFonts w:ascii="Arial" w:hAnsi="Arial" w:cs="Arial"/>
          <w:sz w:val="24"/>
          <w:szCs w:val="24"/>
        </w:rPr>
        <w:t xml:space="preserve"> for those expenses</w:t>
      </w:r>
      <w:r w:rsidR="00D04F06" w:rsidRPr="009037BF">
        <w:rPr>
          <w:rFonts w:ascii="Arial" w:hAnsi="Arial" w:cs="Arial"/>
          <w:sz w:val="24"/>
          <w:szCs w:val="24"/>
        </w:rPr>
        <w:t xml:space="preserve">. He has not </w:t>
      </w:r>
      <w:r w:rsidR="0097651C" w:rsidRPr="009037BF">
        <w:rPr>
          <w:rFonts w:ascii="Arial" w:hAnsi="Arial" w:cs="Arial"/>
          <w:sz w:val="24"/>
          <w:szCs w:val="24"/>
        </w:rPr>
        <w:t>explained</w:t>
      </w:r>
      <w:r w:rsidR="00D04F06" w:rsidRPr="009037BF">
        <w:rPr>
          <w:rFonts w:ascii="Arial" w:hAnsi="Arial" w:cs="Arial"/>
          <w:sz w:val="24"/>
          <w:szCs w:val="24"/>
        </w:rPr>
        <w:t xml:space="preserve"> why he has not </w:t>
      </w:r>
      <w:r w:rsidR="003A7F7C" w:rsidRPr="009037BF">
        <w:rPr>
          <w:rFonts w:ascii="Arial" w:hAnsi="Arial" w:cs="Arial"/>
          <w:sz w:val="24"/>
          <w:szCs w:val="24"/>
        </w:rPr>
        <w:t>reimbursed</w:t>
      </w:r>
      <w:r w:rsidR="00D04F06" w:rsidRPr="009037BF">
        <w:rPr>
          <w:rFonts w:ascii="Arial" w:hAnsi="Arial" w:cs="Arial"/>
          <w:sz w:val="24"/>
          <w:szCs w:val="24"/>
        </w:rPr>
        <w:t xml:space="preserve"> the </w:t>
      </w:r>
      <w:r w:rsidR="00D04F06" w:rsidRPr="009037BF">
        <w:rPr>
          <w:rFonts w:ascii="Arial" w:hAnsi="Arial" w:cs="Arial"/>
          <w:sz w:val="24"/>
          <w:szCs w:val="24"/>
        </w:rPr>
        <w:lastRenderedPageBreak/>
        <w:t>applicant for the other items purchased from the school shop.</w:t>
      </w:r>
    </w:p>
    <w:p w14:paraId="3AE6C9D8" w14:textId="77777777" w:rsidR="00D04F06" w:rsidRPr="009037BF" w:rsidRDefault="00D04F06" w:rsidP="009037BF">
      <w:pPr>
        <w:pStyle w:val="PlainText"/>
        <w:widowControl w:val="0"/>
        <w:spacing w:line="480" w:lineRule="auto"/>
        <w:ind w:left="709"/>
        <w:jc w:val="both"/>
        <w:rPr>
          <w:rFonts w:ascii="Arial" w:hAnsi="Arial" w:cs="Arial"/>
          <w:sz w:val="24"/>
          <w:szCs w:val="24"/>
        </w:rPr>
      </w:pPr>
    </w:p>
    <w:p w14:paraId="42DA2F39" w14:textId="71C78902" w:rsidR="00D04F06"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40.</w:t>
      </w:r>
      <w:r w:rsidRPr="009037BF">
        <w:rPr>
          <w:rFonts w:ascii="Arial" w:hAnsi="Arial" w:cs="Arial"/>
          <w:sz w:val="24"/>
          <w:szCs w:val="24"/>
        </w:rPr>
        <w:tab/>
      </w:r>
      <w:r w:rsidR="0097651C" w:rsidRPr="009037BF">
        <w:rPr>
          <w:rFonts w:ascii="Arial" w:hAnsi="Arial" w:cs="Arial"/>
          <w:sz w:val="24"/>
          <w:szCs w:val="24"/>
        </w:rPr>
        <w:t xml:space="preserve">Again, the respondent’s interpretation of </w:t>
      </w:r>
      <w:r w:rsidR="00D04F06" w:rsidRPr="009037BF">
        <w:rPr>
          <w:rFonts w:ascii="Arial" w:hAnsi="Arial" w:cs="Arial"/>
          <w:sz w:val="24"/>
          <w:szCs w:val="24"/>
        </w:rPr>
        <w:t xml:space="preserve">paragraph 1.4 is </w:t>
      </w:r>
      <w:r w:rsidR="00B23075" w:rsidRPr="009037BF">
        <w:rPr>
          <w:rFonts w:ascii="Arial" w:hAnsi="Arial" w:cs="Arial"/>
          <w:sz w:val="24"/>
          <w:szCs w:val="24"/>
        </w:rPr>
        <w:t xml:space="preserve">manifestly </w:t>
      </w:r>
      <w:r w:rsidR="00D04F06" w:rsidRPr="009037BF">
        <w:rPr>
          <w:rFonts w:ascii="Arial" w:hAnsi="Arial" w:cs="Arial"/>
          <w:sz w:val="24"/>
          <w:szCs w:val="24"/>
        </w:rPr>
        <w:t>unsustainable. All that the applicant is required</w:t>
      </w:r>
      <w:r w:rsidR="0097651C" w:rsidRPr="009037BF">
        <w:rPr>
          <w:rFonts w:ascii="Arial" w:hAnsi="Arial" w:cs="Arial"/>
          <w:sz w:val="24"/>
          <w:szCs w:val="24"/>
        </w:rPr>
        <w:t xml:space="preserve"> to prove</w:t>
      </w:r>
      <w:r w:rsidR="00D04F06" w:rsidRPr="009037BF">
        <w:rPr>
          <w:rFonts w:ascii="Arial" w:hAnsi="Arial" w:cs="Arial"/>
          <w:sz w:val="24"/>
          <w:szCs w:val="24"/>
        </w:rPr>
        <w:t xml:space="preserve"> when incurring these expenses </w:t>
      </w:r>
      <w:r w:rsidR="0097651C" w:rsidRPr="009037BF">
        <w:rPr>
          <w:rFonts w:ascii="Arial" w:hAnsi="Arial" w:cs="Arial"/>
          <w:sz w:val="24"/>
          <w:szCs w:val="24"/>
        </w:rPr>
        <w:t>is</w:t>
      </w:r>
      <w:r w:rsidR="00D04F06" w:rsidRPr="009037BF">
        <w:rPr>
          <w:rFonts w:ascii="Arial" w:hAnsi="Arial" w:cs="Arial"/>
          <w:sz w:val="24"/>
          <w:szCs w:val="24"/>
        </w:rPr>
        <w:t xml:space="preserve"> that they </w:t>
      </w:r>
      <w:r w:rsidR="0097651C" w:rsidRPr="009037BF">
        <w:rPr>
          <w:rFonts w:ascii="Arial" w:hAnsi="Arial" w:cs="Arial"/>
          <w:sz w:val="24"/>
          <w:szCs w:val="24"/>
        </w:rPr>
        <w:t>we</w:t>
      </w:r>
      <w:r w:rsidR="00D04F06" w:rsidRPr="009037BF">
        <w:rPr>
          <w:rFonts w:ascii="Arial" w:hAnsi="Arial" w:cs="Arial"/>
          <w:sz w:val="24"/>
          <w:szCs w:val="24"/>
        </w:rPr>
        <w:t xml:space="preserve">re </w:t>
      </w:r>
      <w:r w:rsidR="0097651C" w:rsidRPr="009037BF">
        <w:rPr>
          <w:rFonts w:ascii="Arial" w:hAnsi="Arial" w:cs="Arial"/>
          <w:sz w:val="24"/>
          <w:szCs w:val="24"/>
        </w:rPr>
        <w:t>reasonably</w:t>
      </w:r>
      <w:r w:rsidR="00D04F06" w:rsidRPr="009037BF">
        <w:rPr>
          <w:rFonts w:ascii="Arial" w:hAnsi="Arial" w:cs="Arial"/>
          <w:sz w:val="24"/>
          <w:szCs w:val="24"/>
        </w:rPr>
        <w:t xml:space="preserve"> incurred. The respondent has not stated why he is of the view that the expenses incurred by the applicant are not reasonable</w:t>
      </w:r>
      <w:r w:rsidR="00120D98" w:rsidRPr="009037BF">
        <w:rPr>
          <w:rFonts w:ascii="Arial" w:hAnsi="Arial" w:cs="Arial"/>
          <w:sz w:val="24"/>
          <w:szCs w:val="24"/>
        </w:rPr>
        <w:t>,</w:t>
      </w:r>
      <w:r w:rsidR="00D04F06" w:rsidRPr="009037BF">
        <w:rPr>
          <w:rFonts w:ascii="Arial" w:hAnsi="Arial" w:cs="Arial"/>
          <w:sz w:val="24"/>
          <w:szCs w:val="24"/>
        </w:rPr>
        <w:t xml:space="preserve"> except for </w:t>
      </w:r>
      <w:r w:rsidR="007B6AB4" w:rsidRPr="009037BF">
        <w:rPr>
          <w:rFonts w:ascii="Arial" w:hAnsi="Arial" w:cs="Arial"/>
          <w:sz w:val="24"/>
          <w:szCs w:val="24"/>
        </w:rPr>
        <w:t>contending</w:t>
      </w:r>
      <w:r w:rsidR="00D04F06" w:rsidRPr="009037BF">
        <w:rPr>
          <w:rFonts w:ascii="Arial" w:hAnsi="Arial" w:cs="Arial"/>
          <w:sz w:val="24"/>
          <w:szCs w:val="24"/>
        </w:rPr>
        <w:t xml:space="preserve"> that the school clothing should only be </w:t>
      </w:r>
      <w:r w:rsidR="0097651C" w:rsidRPr="009037BF">
        <w:rPr>
          <w:rFonts w:ascii="Arial" w:hAnsi="Arial" w:cs="Arial"/>
          <w:sz w:val="24"/>
          <w:szCs w:val="24"/>
        </w:rPr>
        <w:t>purchased</w:t>
      </w:r>
      <w:r w:rsidR="00D04F06" w:rsidRPr="009037BF">
        <w:rPr>
          <w:rFonts w:ascii="Arial" w:hAnsi="Arial" w:cs="Arial"/>
          <w:sz w:val="24"/>
          <w:szCs w:val="24"/>
        </w:rPr>
        <w:t xml:space="preserve"> once a year, and that the children are not required to have iPads at school.</w:t>
      </w:r>
    </w:p>
    <w:p w14:paraId="58D69B47" w14:textId="77777777" w:rsidR="00120D98" w:rsidRPr="009037BF" w:rsidRDefault="00120D98" w:rsidP="009037BF">
      <w:pPr>
        <w:pStyle w:val="ListParagraph"/>
        <w:widowControl w:val="0"/>
        <w:spacing w:line="480" w:lineRule="auto"/>
        <w:jc w:val="both"/>
        <w:rPr>
          <w:rFonts w:ascii="Arial" w:hAnsi="Arial" w:cs="Arial"/>
        </w:rPr>
      </w:pPr>
    </w:p>
    <w:p w14:paraId="0DC05BB8" w14:textId="572CEE87" w:rsidR="003F75FC"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41.</w:t>
      </w:r>
      <w:r w:rsidRPr="009037BF">
        <w:rPr>
          <w:rFonts w:ascii="Arial" w:hAnsi="Arial" w:cs="Arial"/>
          <w:sz w:val="24"/>
          <w:szCs w:val="24"/>
        </w:rPr>
        <w:tab/>
      </w:r>
      <w:r w:rsidR="003F75FC" w:rsidRPr="009037BF">
        <w:rPr>
          <w:rFonts w:ascii="Arial" w:hAnsi="Arial" w:cs="Arial"/>
          <w:sz w:val="24"/>
          <w:szCs w:val="24"/>
        </w:rPr>
        <w:t xml:space="preserve">The respondent disputes that the amounts claimed by the applicant in respect of paragraphs 1.3 and 1.4 of the order are payable to her. He contends that some of the expenses included in her reconciliation are duplicated and not reasonable, and that the applicant has abused his medical aid. In March 2020 the applicant produced a lever arch file, updated in October 2020, containing the supporting vouchers for every unpaid expense. The file has been tendered to the respondent and his attorneys, who have to date failed to examine it and to indicate which expenses on the reconciliation the respondent does not agree with. Given the respondent’s </w:t>
      </w:r>
      <w:r w:rsidR="007B6AB4" w:rsidRPr="009037BF">
        <w:rPr>
          <w:rFonts w:ascii="Arial" w:hAnsi="Arial" w:cs="Arial"/>
          <w:sz w:val="24"/>
          <w:szCs w:val="24"/>
        </w:rPr>
        <w:t xml:space="preserve">apparently nonchalant </w:t>
      </w:r>
      <w:r w:rsidR="003F75FC" w:rsidRPr="009037BF">
        <w:rPr>
          <w:rFonts w:ascii="Arial" w:hAnsi="Arial" w:cs="Arial"/>
          <w:sz w:val="24"/>
          <w:szCs w:val="24"/>
        </w:rPr>
        <w:t xml:space="preserve">attitude in this respect coupled with his unsustainable interpretation of the relevant paragraphs of the Rule 43 order, I am of the view that the inference may be drawn that his non-payment of the relevant expenses is not only wilful but also persisted </w:t>
      </w:r>
      <w:r w:rsidR="007B6AB4" w:rsidRPr="009037BF">
        <w:rPr>
          <w:rFonts w:ascii="Arial" w:hAnsi="Arial" w:cs="Arial"/>
          <w:sz w:val="24"/>
          <w:szCs w:val="24"/>
        </w:rPr>
        <w:t>with</w:t>
      </w:r>
      <w:r w:rsidR="003F75FC" w:rsidRPr="009037BF">
        <w:rPr>
          <w:rFonts w:ascii="Arial" w:hAnsi="Arial" w:cs="Arial"/>
          <w:sz w:val="24"/>
          <w:szCs w:val="24"/>
        </w:rPr>
        <w:t xml:space="preserve"> in bad faith.</w:t>
      </w:r>
      <w:r w:rsidR="00B23075" w:rsidRPr="009037BF">
        <w:rPr>
          <w:rFonts w:ascii="Arial" w:hAnsi="Arial" w:cs="Arial"/>
          <w:sz w:val="24"/>
          <w:szCs w:val="24"/>
        </w:rPr>
        <w:t xml:space="preserve">  In the words of </w:t>
      </w:r>
      <w:r w:rsidR="00B23075" w:rsidRPr="009037BF">
        <w:rPr>
          <w:rFonts w:ascii="Arial" w:hAnsi="Arial" w:cs="Arial"/>
          <w:i/>
          <w:iCs/>
          <w:sz w:val="24"/>
          <w:szCs w:val="24"/>
        </w:rPr>
        <w:t>Fakie</w:t>
      </w:r>
      <w:r w:rsidR="00B23075" w:rsidRPr="009037BF">
        <w:rPr>
          <w:rFonts w:ascii="Arial" w:hAnsi="Arial" w:cs="Arial"/>
          <w:sz w:val="24"/>
          <w:szCs w:val="24"/>
        </w:rPr>
        <w:t xml:space="preserve">, the respondent could not honestly have believed that his </w:t>
      </w:r>
      <w:r w:rsidR="00B23075" w:rsidRPr="0041262A">
        <w:rPr>
          <w:rFonts w:ascii="Arial" w:hAnsi="Arial" w:cs="Arial"/>
          <w:sz w:val="24"/>
          <w:szCs w:val="24"/>
          <w:lang w:eastAsia="en-ZA"/>
        </w:rPr>
        <w:t xml:space="preserve">non-compliance </w:t>
      </w:r>
      <w:r w:rsidR="00B23075" w:rsidRPr="009037BF">
        <w:rPr>
          <w:rFonts w:ascii="Arial" w:hAnsi="Arial" w:cs="Arial"/>
          <w:sz w:val="24"/>
          <w:szCs w:val="24"/>
          <w:lang w:eastAsia="en-ZA"/>
        </w:rPr>
        <w:t>wa</w:t>
      </w:r>
      <w:r w:rsidR="00B23075" w:rsidRPr="0041262A">
        <w:rPr>
          <w:rFonts w:ascii="Arial" w:hAnsi="Arial" w:cs="Arial"/>
          <w:sz w:val="24"/>
          <w:szCs w:val="24"/>
          <w:lang w:eastAsia="en-ZA"/>
        </w:rPr>
        <w:t xml:space="preserve">s justified or proper </w:t>
      </w:r>
      <w:r w:rsidR="00B23075" w:rsidRPr="009037BF">
        <w:rPr>
          <w:rFonts w:ascii="Arial" w:hAnsi="Arial" w:cs="Arial"/>
          <w:sz w:val="24"/>
          <w:szCs w:val="24"/>
          <w:lang w:eastAsia="en-ZA"/>
        </w:rPr>
        <w:t>in the circumstances.</w:t>
      </w:r>
    </w:p>
    <w:p w14:paraId="475269AF" w14:textId="1E9ADC85" w:rsidR="00D04F06" w:rsidRPr="009037BF" w:rsidRDefault="00D04F06" w:rsidP="009037BF">
      <w:pPr>
        <w:pStyle w:val="PlainText"/>
        <w:widowControl w:val="0"/>
        <w:spacing w:line="480" w:lineRule="auto"/>
        <w:jc w:val="both"/>
        <w:rPr>
          <w:rFonts w:ascii="Arial" w:hAnsi="Arial" w:cs="Arial"/>
          <w:sz w:val="24"/>
          <w:szCs w:val="24"/>
        </w:rPr>
      </w:pPr>
    </w:p>
    <w:p w14:paraId="360AA22C" w14:textId="098DFE85" w:rsidR="00D04F06" w:rsidRPr="009037BF" w:rsidRDefault="00D04F06" w:rsidP="009037BF">
      <w:pPr>
        <w:pStyle w:val="PlainText"/>
        <w:widowControl w:val="0"/>
        <w:spacing w:line="480" w:lineRule="auto"/>
        <w:jc w:val="both"/>
        <w:rPr>
          <w:rFonts w:ascii="Arial" w:hAnsi="Arial" w:cs="Arial"/>
          <w:i/>
          <w:iCs/>
          <w:sz w:val="24"/>
          <w:szCs w:val="24"/>
          <w:u w:val="single"/>
        </w:rPr>
      </w:pPr>
      <w:r w:rsidRPr="009037BF">
        <w:rPr>
          <w:rFonts w:ascii="Arial" w:hAnsi="Arial" w:cs="Arial"/>
          <w:i/>
          <w:iCs/>
          <w:sz w:val="24"/>
          <w:szCs w:val="24"/>
          <w:u w:val="single"/>
        </w:rPr>
        <w:t>The alleged compromise of the applicant’s arrear maintenance claim</w:t>
      </w:r>
    </w:p>
    <w:p w14:paraId="7B124285" w14:textId="77777777" w:rsidR="00D04F06" w:rsidRPr="009037BF" w:rsidRDefault="00D04F06" w:rsidP="009037BF">
      <w:pPr>
        <w:pStyle w:val="PlainText"/>
        <w:widowControl w:val="0"/>
        <w:spacing w:line="480" w:lineRule="auto"/>
        <w:jc w:val="both"/>
        <w:rPr>
          <w:rFonts w:ascii="Arial" w:hAnsi="Arial" w:cs="Arial"/>
          <w:sz w:val="24"/>
          <w:szCs w:val="24"/>
        </w:rPr>
      </w:pPr>
    </w:p>
    <w:p w14:paraId="775B01FA" w14:textId="0502CADB" w:rsidR="00FD123D"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lastRenderedPageBreak/>
        <w:t>42.</w:t>
      </w:r>
      <w:r w:rsidRPr="009037BF">
        <w:rPr>
          <w:rFonts w:ascii="Arial" w:hAnsi="Arial" w:cs="Arial"/>
          <w:sz w:val="24"/>
          <w:szCs w:val="24"/>
        </w:rPr>
        <w:tab/>
      </w:r>
      <w:r w:rsidR="00D04F06" w:rsidRPr="009037BF">
        <w:rPr>
          <w:rFonts w:ascii="Arial" w:hAnsi="Arial" w:cs="Arial"/>
          <w:sz w:val="24"/>
          <w:szCs w:val="24"/>
        </w:rPr>
        <w:t xml:space="preserve">Apart from his interpretation of the </w:t>
      </w:r>
      <w:r w:rsidR="00120D98" w:rsidRPr="009037BF">
        <w:rPr>
          <w:rFonts w:ascii="Arial" w:hAnsi="Arial" w:cs="Arial"/>
          <w:sz w:val="24"/>
          <w:szCs w:val="24"/>
        </w:rPr>
        <w:t>Rule</w:t>
      </w:r>
      <w:r w:rsidR="00D04F06" w:rsidRPr="009037BF">
        <w:rPr>
          <w:rFonts w:ascii="Arial" w:hAnsi="Arial" w:cs="Arial"/>
          <w:sz w:val="24"/>
          <w:szCs w:val="24"/>
        </w:rPr>
        <w:t xml:space="preserve"> 43 order, the respondent has another string to his bow. This is that the applicant</w:t>
      </w:r>
      <w:r w:rsidR="00120D98" w:rsidRPr="009037BF">
        <w:rPr>
          <w:rFonts w:ascii="Arial" w:hAnsi="Arial" w:cs="Arial"/>
          <w:sz w:val="24"/>
          <w:szCs w:val="24"/>
        </w:rPr>
        <w:t>’</w:t>
      </w:r>
      <w:r w:rsidR="00D04F06" w:rsidRPr="009037BF">
        <w:rPr>
          <w:rFonts w:ascii="Arial" w:hAnsi="Arial" w:cs="Arial"/>
          <w:sz w:val="24"/>
          <w:szCs w:val="24"/>
        </w:rPr>
        <w:t>s claim in respect of a</w:t>
      </w:r>
      <w:r w:rsidR="00D15484" w:rsidRPr="009037BF">
        <w:rPr>
          <w:rFonts w:ascii="Arial" w:hAnsi="Arial" w:cs="Arial"/>
          <w:sz w:val="24"/>
          <w:szCs w:val="24"/>
        </w:rPr>
        <w:t>r</w:t>
      </w:r>
      <w:r w:rsidR="00D04F06" w:rsidRPr="009037BF">
        <w:rPr>
          <w:rFonts w:ascii="Arial" w:hAnsi="Arial" w:cs="Arial"/>
          <w:sz w:val="24"/>
          <w:szCs w:val="24"/>
        </w:rPr>
        <w:t>rear maintenance has been compromised.</w:t>
      </w:r>
      <w:r w:rsidR="005B70C4" w:rsidRPr="009037BF">
        <w:rPr>
          <w:rFonts w:ascii="Arial" w:hAnsi="Arial" w:cs="Arial"/>
          <w:sz w:val="24"/>
          <w:szCs w:val="24"/>
        </w:rPr>
        <w:t xml:space="preserve">  He raises this argument without having indicated yet, on the direction issued by Justice Dolamo, which of the items on the applicant’s reconciliation he disputes, and why.</w:t>
      </w:r>
    </w:p>
    <w:p w14:paraId="20FD9553" w14:textId="77777777" w:rsidR="00164453" w:rsidRPr="009037BF" w:rsidRDefault="00164453" w:rsidP="009037BF">
      <w:pPr>
        <w:pStyle w:val="PlainText"/>
        <w:widowControl w:val="0"/>
        <w:spacing w:line="480" w:lineRule="auto"/>
        <w:ind w:left="709"/>
        <w:jc w:val="both"/>
        <w:rPr>
          <w:rFonts w:ascii="Arial" w:hAnsi="Arial" w:cs="Arial"/>
          <w:sz w:val="24"/>
          <w:szCs w:val="24"/>
        </w:rPr>
      </w:pPr>
    </w:p>
    <w:p w14:paraId="1DEBB6C6" w14:textId="74FC101B" w:rsidR="00F77651"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43.</w:t>
      </w:r>
      <w:r w:rsidRPr="009037BF">
        <w:rPr>
          <w:rFonts w:ascii="Arial" w:hAnsi="Arial" w:cs="Arial"/>
          <w:sz w:val="24"/>
          <w:szCs w:val="24"/>
        </w:rPr>
        <w:tab/>
      </w:r>
      <w:r w:rsidR="00164453" w:rsidRPr="009037BF">
        <w:rPr>
          <w:rFonts w:ascii="Arial" w:hAnsi="Arial" w:cs="Arial"/>
          <w:sz w:val="24"/>
          <w:szCs w:val="24"/>
        </w:rPr>
        <w:t xml:space="preserve">A compromise </w:t>
      </w:r>
      <w:r w:rsidR="009037BF" w:rsidRPr="009037BF">
        <w:rPr>
          <w:rFonts w:ascii="Arial" w:hAnsi="Arial" w:cs="Arial"/>
          <w:sz w:val="24"/>
          <w:szCs w:val="24"/>
        </w:rPr>
        <w:t>is</w:t>
      </w:r>
      <w:r w:rsidR="00164453" w:rsidRPr="009037BF">
        <w:rPr>
          <w:rFonts w:ascii="Arial" w:hAnsi="Arial" w:cs="Arial"/>
          <w:sz w:val="24"/>
          <w:szCs w:val="24"/>
        </w:rPr>
        <w:t xml:space="preserve"> an agreement in terms of which the parties to an obligation settle a dispute about the </w:t>
      </w:r>
      <w:proofErr w:type="gramStart"/>
      <w:r w:rsidR="00164453" w:rsidRPr="009037BF">
        <w:rPr>
          <w:rFonts w:ascii="Arial" w:hAnsi="Arial" w:cs="Arial"/>
          <w:sz w:val="24"/>
          <w:szCs w:val="24"/>
        </w:rPr>
        <w:t>obligation,  Only</w:t>
      </w:r>
      <w:proofErr w:type="gramEnd"/>
      <w:r w:rsidR="00164453" w:rsidRPr="009037BF">
        <w:rPr>
          <w:rFonts w:ascii="Arial" w:hAnsi="Arial" w:cs="Arial"/>
          <w:sz w:val="24"/>
          <w:szCs w:val="24"/>
        </w:rPr>
        <w:t xml:space="preserve"> when they reach consensus is the original obligation discharged.  Then a new obligation, based on the terms of the settlement, arises.  Ass a compromise constitutes a contract, the principles concerning contractual consensus apply to establish whether an order of compromise has been made and accepted</w:t>
      </w:r>
      <w:r w:rsidR="009359C3" w:rsidRPr="009037BF">
        <w:rPr>
          <w:rFonts w:ascii="Arial" w:hAnsi="Arial" w:cs="Arial"/>
          <w:sz w:val="24"/>
          <w:szCs w:val="24"/>
        </w:rPr>
        <w:t xml:space="preserve"> (</w:t>
      </w:r>
      <w:r w:rsidR="009359C3" w:rsidRPr="009037BF">
        <w:rPr>
          <w:rFonts w:ascii="Arial" w:hAnsi="Arial" w:cs="Arial"/>
          <w:i/>
          <w:iCs/>
          <w:sz w:val="24"/>
          <w:szCs w:val="24"/>
        </w:rPr>
        <w:t>Absa Bank v Van de Vyver</w:t>
      </w:r>
      <w:r w:rsidR="009359C3" w:rsidRPr="009037BF">
        <w:rPr>
          <w:rFonts w:ascii="Arial" w:hAnsi="Arial" w:cs="Arial"/>
          <w:sz w:val="24"/>
          <w:szCs w:val="24"/>
        </w:rPr>
        <w:t xml:space="preserve"> 2002 (4) SA 397 (SCA) at para 17]</w:t>
      </w:r>
      <w:r w:rsidR="00F77651" w:rsidRPr="009037BF">
        <w:rPr>
          <w:rFonts w:ascii="Arial" w:hAnsi="Arial" w:cs="Arial"/>
          <w:sz w:val="24"/>
          <w:szCs w:val="24"/>
        </w:rPr>
        <w:t xml:space="preserve">; and see the discussion in Christie’s </w:t>
      </w:r>
      <w:r w:rsidR="00F77651" w:rsidRPr="009037BF">
        <w:rPr>
          <w:rFonts w:ascii="Arial" w:hAnsi="Arial" w:cs="Arial"/>
          <w:i/>
          <w:iCs/>
          <w:sz w:val="24"/>
          <w:szCs w:val="24"/>
        </w:rPr>
        <w:t>Law of Contract in South Africa</w:t>
      </w:r>
      <w:r w:rsidR="00F77651" w:rsidRPr="009037BF">
        <w:rPr>
          <w:rFonts w:ascii="Arial" w:hAnsi="Arial" w:cs="Arial"/>
          <w:sz w:val="24"/>
          <w:szCs w:val="24"/>
        </w:rPr>
        <w:t xml:space="preserve"> (7ed) at 528ff</w:t>
      </w:r>
      <w:r w:rsidR="009359C3" w:rsidRPr="009037BF">
        <w:rPr>
          <w:rFonts w:ascii="Arial" w:hAnsi="Arial" w:cs="Arial"/>
          <w:sz w:val="24"/>
          <w:szCs w:val="24"/>
        </w:rPr>
        <w:t>)</w:t>
      </w:r>
      <w:r w:rsidR="00F77651" w:rsidRPr="009037BF">
        <w:rPr>
          <w:rFonts w:ascii="Arial" w:hAnsi="Arial" w:cs="Arial"/>
          <w:sz w:val="24"/>
          <w:szCs w:val="24"/>
        </w:rPr>
        <w:t>.</w:t>
      </w:r>
    </w:p>
    <w:p w14:paraId="76CF8F3C" w14:textId="77777777" w:rsidR="00F77651" w:rsidRPr="009037BF" w:rsidRDefault="00F77651" w:rsidP="009037BF">
      <w:pPr>
        <w:pStyle w:val="ListParagraph"/>
        <w:widowControl w:val="0"/>
        <w:spacing w:line="480" w:lineRule="auto"/>
        <w:jc w:val="both"/>
        <w:rPr>
          <w:rFonts w:ascii="Arial" w:hAnsi="Arial" w:cs="Arial"/>
        </w:rPr>
      </w:pPr>
    </w:p>
    <w:p w14:paraId="709566C6" w14:textId="29C49104" w:rsidR="00164453"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44.</w:t>
      </w:r>
      <w:r w:rsidRPr="009037BF">
        <w:rPr>
          <w:rFonts w:ascii="Arial" w:hAnsi="Arial" w:cs="Arial"/>
          <w:sz w:val="24"/>
          <w:szCs w:val="24"/>
        </w:rPr>
        <w:tab/>
      </w:r>
      <w:r w:rsidR="00F77651" w:rsidRPr="009037BF">
        <w:rPr>
          <w:rFonts w:ascii="Arial" w:hAnsi="Arial" w:cs="Arial"/>
          <w:sz w:val="24"/>
          <w:szCs w:val="24"/>
        </w:rPr>
        <w:t xml:space="preserve">The onus is on the party alleging that a compromise has been effected, and because it is a form of novation and involves the waiver of rights, it must be clearly and unambiguously proved </w:t>
      </w:r>
      <w:r w:rsidR="001F6480" w:rsidRPr="009037BF">
        <w:rPr>
          <w:rFonts w:ascii="Arial" w:hAnsi="Arial" w:cs="Arial"/>
          <w:sz w:val="24"/>
          <w:szCs w:val="24"/>
        </w:rPr>
        <w:t>(</w:t>
      </w:r>
      <w:r w:rsidR="001F6480" w:rsidRPr="009037BF">
        <w:rPr>
          <w:rFonts w:ascii="Arial" w:hAnsi="Arial" w:cs="Arial"/>
          <w:i/>
          <w:iCs/>
          <w:sz w:val="24"/>
          <w:szCs w:val="24"/>
        </w:rPr>
        <w:t>Marendaz v Marendaz</w:t>
      </w:r>
      <w:r w:rsidR="001F6480" w:rsidRPr="009037BF">
        <w:rPr>
          <w:rFonts w:ascii="Arial" w:hAnsi="Arial" w:cs="Arial"/>
          <w:sz w:val="24"/>
          <w:szCs w:val="24"/>
        </w:rPr>
        <w:t xml:space="preserve"> 1953 (4) SA 218 (C) at 226H-227A)</w:t>
      </w:r>
      <w:r w:rsidR="00F77651" w:rsidRPr="009037BF">
        <w:rPr>
          <w:rFonts w:ascii="Arial" w:hAnsi="Arial" w:cs="Arial"/>
          <w:sz w:val="24"/>
          <w:szCs w:val="24"/>
        </w:rPr>
        <w:t>.</w:t>
      </w:r>
    </w:p>
    <w:p w14:paraId="1C9D1A31" w14:textId="77777777" w:rsidR="00FD123D" w:rsidRPr="009037BF" w:rsidRDefault="00FD123D" w:rsidP="009037BF">
      <w:pPr>
        <w:pStyle w:val="PlainText"/>
        <w:widowControl w:val="0"/>
        <w:spacing w:line="480" w:lineRule="auto"/>
        <w:ind w:left="709"/>
        <w:jc w:val="both"/>
        <w:rPr>
          <w:rFonts w:ascii="Arial" w:hAnsi="Arial" w:cs="Arial"/>
          <w:sz w:val="24"/>
          <w:szCs w:val="24"/>
        </w:rPr>
      </w:pPr>
    </w:p>
    <w:p w14:paraId="779230F0" w14:textId="11F9732F" w:rsidR="00FD123D"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45.</w:t>
      </w:r>
      <w:r w:rsidRPr="009037BF">
        <w:rPr>
          <w:rFonts w:ascii="Arial" w:hAnsi="Arial" w:cs="Arial"/>
          <w:sz w:val="24"/>
          <w:szCs w:val="24"/>
        </w:rPr>
        <w:tab/>
      </w:r>
      <w:r w:rsidR="001F6480" w:rsidRPr="009037BF">
        <w:rPr>
          <w:rFonts w:ascii="Arial" w:hAnsi="Arial" w:cs="Arial"/>
          <w:sz w:val="24"/>
          <w:szCs w:val="24"/>
        </w:rPr>
        <w:t>T</w:t>
      </w:r>
      <w:r w:rsidR="005B70C4" w:rsidRPr="009037BF">
        <w:rPr>
          <w:rFonts w:ascii="Arial" w:hAnsi="Arial" w:cs="Arial"/>
          <w:sz w:val="24"/>
          <w:szCs w:val="24"/>
        </w:rPr>
        <w:t xml:space="preserve">he </w:t>
      </w:r>
      <w:r w:rsidR="00FD123D" w:rsidRPr="009037BF">
        <w:rPr>
          <w:rFonts w:ascii="Arial" w:hAnsi="Arial" w:cs="Arial"/>
          <w:sz w:val="24"/>
          <w:szCs w:val="24"/>
        </w:rPr>
        <w:t xml:space="preserve">respondent says that on 29 July 2021 he made a payment to the applicant in the sum of R360,000.  The payment was not accompanied by correspondence in which the respondent explained that he had made the payment in full and final settlement of his Rule 43 indebtedness to the applicant. There was therefore no indication to the applicant that the respondent intended his payment to constitute a compromise. If he had seriously intended that such payment be regarded as a compromise (and had he sought appropriate advice) he would have been advised to obtain a bank check and </w:t>
      </w:r>
      <w:r w:rsidR="00FD123D" w:rsidRPr="009037BF">
        <w:rPr>
          <w:rFonts w:ascii="Arial" w:hAnsi="Arial" w:cs="Arial"/>
          <w:sz w:val="24"/>
          <w:szCs w:val="24"/>
        </w:rPr>
        <w:lastRenderedPageBreak/>
        <w:t>deliver it under cover of a letter detailing the terms of the compromise, which is the ordinary practice in such situations.</w:t>
      </w:r>
    </w:p>
    <w:p w14:paraId="3E6C7062" w14:textId="77777777" w:rsidR="00FD123D" w:rsidRPr="009037BF" w:rsidRDefault="00FD123D" w:rsidP="009037BF">
      <w:pPr>
        <w:pStyle w:val="ListParagraph"/>
        <w:widowControl w:val="0"/>
        <w:spacing w:line="480" w:lineRule="auto"/>
        <w:jc w:val="both"/>
        <w:rPr>
          <w:rFonts w:ascii="Arial" w:hAnsi="Arial" w:cs="Arial"/>
        </w:rPr>
      </w:pPr>
    </w:p>
    <w:p w14:paraId="08AA10C5" w14:textId="08326FD8" w:rsidR="00E40DB5"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46.</w:t>
      </w:r>
      <w:r w:rsidRPr="009037BF">
        <w:rPr>
          <w:rFonts w:ascii="Arial" w:hAnsi="Arial" w:cs="Arial"/>
          <w:sz w:val="24"/>
          <w:szCs w:val="24"/>
        </w:rPr>
        <w:tab/>
      </w:r>
      <w:r w:rsidR="00FD123D" w:rsidRPr="009037BF">
        <w:rPr>
          <w:rFonts w:ascii="Arial" w:hAnsi="Arial" w:cs="Arial"/>
          <w:sz w:val="24"/>
          <w:szCs w:val="24"/>
        </w:rPr>
        <w:t xml:space="preserve">The context for the payment of 29 July 2021 is noteworthy (see Zeffert “Payments ‘In Full Settlement’” </w:t>
      </w:r>
      <w:r w:rsidR="00FD123D" w:rsidRPr="009037BF">
        <w:rPr>
          <w:rFonts w:ascii="Arial" w:hAnsi="Arial" w:cs="Arial"/>
          <w:i/>
          <w:iCs/>
          <w:sz w:val="24"/>
          <w:szCs w:val="24"/>
        </w:rPr>
        <w:t>SALJ</w:t>
      </w:r>
      <w:r w:rsidR="00FD123D" w:rsidRPr="009037BF">
        <w:rPr>
          <w:rFonts w:ascii="Arial" w:hAnsi="Arial" w:cs="Arial"/>
          <w:sz w:val="24"/>
          <w:szCs w:val="24"/>
        </w:rPr>
        <w:t xml:space="preserve"> 89 (1972) 35 at 48</w:t>
      </w:r>
      <w:r w:rsidR="00E40DB5" w:rsidRPr="009037BF">
        <w:rPr>
          <w:rFonts w:ascii="Arial" w:hAnsi="Arial" w:cs="Arial"/>
          <w:sz w:val="24"/>
          <w:szCs w:val="24"/>
        </w:rPr>
        <w:t xml:space="preserve"> to the effect that context is everything</w:t>
      </w:r>
      <w:r w:rsidR="00FD123D" w:rsidRPr="009037BF">
        <w:rPr>
          <w:rFonts w:ascii="Arial" w:hAnsi="Arial" w:cs="Arial"/>
          <w:sz w:val="24"/>
          <w:szCs w:val="24"/>
        </w:rPr>
        <w:t>). On 7 July 2021 the applicant</w:t>
      </w:r>
      <w:r w:rsidR="00E40DB5" w:rsidRPr="009037BF">
        <w:rPr>
          <w:rFonts w:ascii="Arial" w:hAnsi="Arial" w:cs="Arial"/>
          <w:sz w:val="24"/>
          <w:szCs w:val="24"/>
        </w:rPr>
        <w:t>’</w:t>
      </w:r>
      <w:r w:rsidR="00FD123D" w:rsidRPr="009037BF">
        <w:rPr>
          <w:rFonts w:ascii="Arial" w:hAnsi="Arial" w:cs="Arial"/>
          <w:sz w:val="24"/>
          <w:szCs w:val="24"/>
        </w:rPr>
        <w:t>s attorneys addressed an email to the respondent</w:t>
      </w:r>
      <w:r w:rsidR="00E40DB5" w:rsidRPr="009037BF">
        <w:rPr>
          <w:rFonts w:ascii="Arial" w:hAnsi="Arial" w:cs="Arial"/>
          <w:sz w:val="24"/>
          <w:szCs w:val="24"/>
        </w:rPr>
        <w:t>’</w:t>
      </w:r>
      <w:r w:rsidR="00FD123D" w:rsidRPr="009037BF">
        <w:rPr>
          <w:rFonts w:ascii="Arial" w:hAnsi="Arial" w:cs="Arial"/>
          <w:sz w:val="24"/>
          <w:szCs w:val="24"/>
        </w:rPr>
        <w:t>s attorneys, enclos</w:t>
      </w:r>
      <w:r w:rsidR="00E40DB5" w:rsidRPr="009037BF">
        <w:rPr>
          <w:rFonts w:ascii="Arial" w:hAnsi="Arial" w:cs="Arial"/>
          <w:sz w:val="24"/>
          <w:szCs w:val="24"/>
        </w:rPr>
        <w:t>ing</w:t>
      </w:r>
      <w:r w:rsidR="00FD123D" w:rsidRPr="009037BF">
        <w:rPr>
          <w:rFonts w:ascii="Arial" w:hAnsi="Arial" w:cs="Arial"/>
          <w:sz w:val="24"/>
          <w:szCs w:val="24"/>
        </w:rPr>
        <w:t xml:space="preserve"> </w:t>
      </w:r>
      <w:r w:rsidR="00E40DB5" w:rsidRPr="009037BF">
        <w:rPr>
          <w:rFonts w:ascii="Arial" w:hAnsi="Arial" w:cs="Arial"/>
          <w:sz w:val="24"/>
          <w:szCs w:val="24"/>
        </w:rPr>
        <w:t xml:space="preserve">a comprehensive </w:t>
      </w:r>
      <w:r w:rsidR="00FD123D" w:rsidRPr="009037BF">
        <w:rPr>
          <w:rFonts w:ascii="Arial" w:hAnsi="Arial" w:cs="Arial"/>
          <w:sz w:val="24"/>
          <w:szCs w:val="24"/>
        </w:rPr>
        <w:t>draft settlement agreement. The closing paragraph of the email read as follows</w:t>
      </w:r>
      <w:proofErr w:type="gramStart"/>
      <w:r w:rsidR="00FD123D" w:rsidRPr="009037BF">
        <w:rPr>
          <w:rFonts w:ascii="Arial" w:hAnsi="Arial" w:cs="Arial"/>
          <w:sz w:val="24"/>
          <w:szCs w:val="24"/>
        </w:rPr>
        <w:t>:</w:t>
      </w:r>
      <w:r w:rsidR="00E40DB5" w:rsidRPr="009037BF">
        <w:rPr>
          <w:rFonts w:ascii="Arial" w:hAnsi="Arial" w:cs="Arial"/>
          <w:sz w:val="24"/>
          <w:szCs w:val="24"/>
        </w:rPr>
        <w:t xml:space="preserve">  “</w:t>
      </w:r>
      <w:proofErr w:type="gramEnd"/>
      <w:r w:rsidR="00E40DB5" w:rsidRPr="009037BF">
        <w:rPr>
          <w:rFonts w:ascii="Arial" w:hAnsi="Arial" w:cs="Arial"/>
          <w:sz w:val="24"/>
          <w:szCs w:val="24"/>
        </w:rPr>
        <w:t>…</w:t>
      </w:r>
      <w:r w:rsidR="00E40DB5" w:rsidRPr="009037BF">
        <w:rPr>
          <w:rFonts w:ascii="Arial" w:hAnsi="Arial" w:cs="Arial"/>
          <w:i/>
          <w:iCs/>
          <w:sz w:val="24"/>
          <w:szCs w:val="24"/>
        </w:rPr>
        <w:t>o</w:t>
      </w:r>
      <w:r w:rsidR="00FD123D" w:rsidRPr="009037BF">
        <w:rPr>
          <w:rFonts w:ascii="Arial" w:hAnsi="Arial" w:cs="Arial"/>
          <w:i/>
          <w:iCs/>
          <w:sz w:val="24"/>
          <w:szCs w:val="24"/>
        </w:rPr>
        <w:t>ur client has instructed us to attempt to settle the divorce proceedings in its entirety, without the need of becoming embroiled in further litigation with your client and as a consequence we enclose here with a draft settlement agreement for you and your client</w:t>
      </w:r>
      <w:r w:rsidR="00E40DB5" w:rsidRPr="009037BF">
        <w:rPr>
          <w:rFonts w:ascii="Arial" w:hAnsi="Arial" w:cs="Arial"/>
          <w:i/>
          <w:iCs/>
          <w:sz w:val="24"/>
          <w:szCs w:val="24"/>
        </w:rPr>
        <w:t>’</w:t>
      </w:r>
      <w:r w:rsidR="00FD123D" w:rsidRPr="009037BF">
        <w:rPr>
          <w:rFonts w:ascii="Arial" w:hAnsi="Arial" w:cs="Arial"/>
          <w:i/>
          <w:iCs/>
          <w:sz w:val="24"/>
          <w:szCs w:val="24"/>
        </w:rPr>
        <w:t>s consideration, which is available for acceptance until Friday, 16 July 2021</w:t>
      </w:r>
      <w:r w:rsidR="00FD123D" w:rsidRPr="009037BF">
        <w:rPr>
          <w:rFonts w:ascii="Arial" w:hAnsi="Arial" w:cs="Arial"/>
          <w:sz w:val="24"/>
          <w:szCs w:val="24"/>
        </w:rPr>
        <w:t>.</w:t>
      </w:r>
      <w:r w:rsidR="00E40DB5" w:rsidRPr="009037BF">
        <w:rPr>
          <w:rFonts w:ascii="Arial" w:hAnsi="Arial" w:cs="Arial"/>
          <w:sz w:val="24"/>
          <w:szCs w:val="24"/>
        </w:rPr>
        <w:t>”</w:t>
      </w:r>
    </w:p>
    <w:p w14:paraId="7F520E82" w14:textId="77777777" w:rsidR="00E40DB5" w:rsidRPr="009037BF" w:rsidRDefault="00E40DB5" w:rsidP="009037BF">
      <w:pPr>
        <w:pStyle w:val="ListParagraph"/>
        <w:widowControl w:val="0"/>
        <w:spacing w:line="480" w:lineRule="auto"/>
        <w:jc w:val="both"/>
        <w:rPr>
          <w:rFonts w:ascii="Arial" w:hAnsi="Arial" w:cs="Arial"/>
        </w:rPr>
      </w:pPr>
    </w:p>
    <w:p w14:paraId="6E7778E4" w14:textId="4F72F51E" w:rsidR="00E40DB5"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47.</w:t>
      </w:r>
      <w:r w:rsidRPr="009037BF">
        <w:rPr>
          <w:rFonts w:ascii="Arial" w:hAnsi="Arial" w:cs="Arial"/>
          <w:sz w:val="24"/>
          <w:szCs w:val="24"/>
        </w:rPr>
        <w:tab/>
      </w:r>
      <w:r w:rsidR="00FD123D" w:rsidRPr="009037BF">
        <w:rPr>
          <w:rFonts w:ascii="Arial" w:hAnsi="Arial" w:cs="Arial"/>
          <w:sz w:val="24"/>
          <w:szCs w:val="24"/>
        </w:rPr>
        <w:t xml:space="preserve">In terms of </w:t>
      </w:r>
      <w:r w:rsidR="00E40DB5" w:rsidRPr="009037BF">
        <w:rPr>
          <w:rFonts w:ascii="Arial" w:hAnsi="Arial" w:cs="Arial"/>
          <w:sz w:val="24"/>
          <w:szCs w:val="24"/>
        </w:rPr>
        <w:t>t</w:t>
      </w:r>
      <w:r w:rsidR="00FD123D" w:rsidRPr="009037BF">
        <w:rPr>
          <w:rFonts w:ascii="Arial" w:hAnsi="Arial" w:cs="Arial"/>
          <w:sz w:val="24"/>
          <w:szCs w:val="24"/>
        </w:rPr>
        <w:t xml:space="preserve">he draft settlement proposal the applicant would accept as part of the composite settlement a sum of R350,000 in respect of the arrear maintenance owing to her as </w:t>
      </w:r>
      <w:r w:rsidR="00E40DB5" w:rsidRPr="009037BF">
        <w:rPr>
          <w:rFonts w:ascii="Arial" w:hAnsi="Arial" w:cs="Arial"/>
          <w:sz w:val="24"/>
          <w:szCs w:val="24"/>
        </w:rPr>
        <w:t>a</w:t>
      </w:r>
      <w:r w:rsidR="00FD123D" w:rsidRPr="009037BF">
        <w:rPr>
          <w:rFonts w:ascii="Arial" w:hAnsi="Arial" w:cs="Arial"/>
          <w:sz w:val="24"/>
          <w:szCs w:val="24"/>
        </w:rPr>
        <w:t xml:space="preserve">t 11 June 2021 in terms of the </w:t>
      </w:r>
      <w:r w:rsidR="00E40DB5" w:rsidRPr="009037BF">
        <w:rPr>
          <w:rFonts w:ascii="Arial" w:hAnsi="Arial" w:cs="Arial"/>
          <w:sz w:val="24"/>
          <w:szCs w:val="24"/>
        </w:rPr>
        <w:t>existing</w:t>
      </w:r>
      <w:r w:rsidR="00FD123D" w:rsidRPr="009037BF">
        <w:rPr>
          <w:rFonts w:ascii="Arial" w:hAnsi="Arial" w:cs="Arial"/>
          <w:sz w:val="24"/>
          <w:szCs w:val="24"/>
        </w:rPr>
        <w:t xml:space="preserve"> </w:t>
      </w:r>
      <w:r w:rsidR="00E40DB5" w:rsidRPr="009037BF">
        <w:rPr>
          <w:rFonts w:ascii="Arial" w:hAnsi="Arial" w:cs="Arial"/>
          <w:sz w:val="24"/>
          <w:szCs w:val="24"/>
        </w:rPr>
        <w:t>R</w:t>
      </w:r>
      <w:r w:rsidR="00FD123D" w:rsidRPr="009037BF">
        <w:rPr>
          <w:rFonts w:ascii="Arial" w:hAnsi="Arial" w:cs="Arial"/>
          <w:sz w:val="24"/>
          <w:szCs w:val="24"/>
        </w:rPr>
        <w:t>ule 43 order.</w:t>
      </w:r>
    </w:p>
    <w:p w14:paraId="7865C26E" w14:textId="77777777" w:rsidR="00E40DB5" w:rsidRPr="009037BF" w:rsidRDefault="00E40DB5" w:rsidP="009037BF">
      <w:pPr>
        <w:pStyle w:val="ListParagraph"/>
        <w:widowControl w:val="0"/>
        <w:spacing w:line="480" w:lineRule="auto"/>
        <w:jc w:val="both"/>
        <w:rPr>
          <w:rFonts w:ascii="Arial" w:hAnsi="Arial" w:cs="Arial"/>
        </w:rPr>
      </w:pPr>
    </w:p>
    <w:p w14:paraId="6D583E63" w14:textId="47DB9F16" w:rsidR="00E40DB5"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48.</w:t>
      </w:r>
      <w:r w:rsidRPr="009037BF">
        <w:rPr>
          <w:rFonts w:ascii="Arial" w:hAnsi="Arial" w:cs="Arial"/>
          <w:sz w:val="24"/>
          <w:szCs w:val="24"/>
        </w:rPr>
        <w:tab/>
      </w:r>
      <w:r w:rsidR="00FD123D" w:rsidRPr="009037BF">
        <w:rPr>
          <w:rFonts w:ascii="Arial" w:hAnsi="Arial" w:cs="Arial"/>
          <w:sz w:val="24"/>
          <w:szCs w:val="24"/>
        </w:rPr>
        <w:t>The respondent did not accept the applicant</w:t>
      </w:r>
      <w:r w:rsidR="00E40DB5" w:rsidRPr="009037BF">
        <w:rPr>
          <w:rFonts w:ascii="Arial" w:hAnsi="Arial" w:cs="Arial"/>
          <w:sz w:val="24"/>
          <w:szCs w:val="24"/>
        </w:rPr>
        <w:t>’</w:t>
      </w:r>
      <w:r w:rsidR="00FD123D" w:rsidRPr="009037BF">
        <w:rPr>
          <w:rFonts w:ascii="Arial" w:hAnsi="Arial" w:cs="Arial"/>
          <w:sz w:val="24"/>
          <w:szCs w:val="24"/>
        </w:rPr>
        <w:t xml:space="preserve">s proposal to settle the divorce in its </w:t>
      </w:r>
      <w:r w:rsidR="00E40DB5" w:rsidRPr="009037BF">
        <w:rPr>
          <w:rFonts w:ascii="Arial" w:hAnsi="Arial" w:cs="Arial"/>
          <w:sz w:val="24"/>
          <w:szCs w:val="24"/>
        </w:rPr>
        <w:t>entirety, and the deadline for acceptance came and went</w:t>
      </w:r>
      <w:r w:rsidR="00FD123D" w:rsidRPr="009037BF">
        <w:rPr>
          <w:rFonts w:ascii="Arial" w:hAnsi="Arial" w:cs="Arial"/>
          <w:sz w:val="24"/>
          <w:szCs w:val="24"/>
        </w:rPr>
        <w:t xml:space="preserve">. </w:t>
      </w:r>
    </w:p>
    <w:p w14:paraId="6D5E4DC7" w14:textId="77777777" w:rsidR="00E40DB5" w:rsidRPr="009037BF" w:rsidRDefault="00E40DB5" w:rsidP="009037BF">
      <w:pPr>
        <w:pStyle w:val="ListParagraph"/>
        <w:widowControl w:val="0"/>
        <w:spacing w:line="480" w:lineRule="auto"/>
        <w:jc w:val="both"/>
        <w:rPr>
          <w:rFonts w:ascii="Arial" w:hAnsi="Arial" w:cs="Arial"/>
        </w:rPr>
      </w:pPr>
    </w:p>
    <w:p w14:paraId="06B43B2D" w14:textId="2B431725" w:rsidR="00E40DB5"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49.</w:t>
      </w:r>
      <w:r w:rsidRPr="009037BF">
        <w:rPr>
          <w:rFonts w:ascii="Arial" w:hAnsi="Arial" w:cs="Arial"/>
          <w:sz w:val="24"/>
          <w:szCs w:val="24"/>
        </w:rPr>
        <w:tab/>
      </w:r>
      <w:r w:rsidR="00FD123D" w:rsidRPr="009037BF">
        <w:rPr>
          <w:rFonts w:ascii="Arial" w:hAnsi="Arial" w:cs="Arial"/>
          <w:sz w:val="24"/>
          <w:szCs w:val="24"/>
        </w:rPr>
        <w:t>On 28 July 2021 the applicant</w:t>
      </w:r>
      <w:r w:rsidR="00E40DB5" w:rsidRPr="009037BF">
        <w:rPr>
          <w:rFonts w:ascii="Arial" w:hAnsi="Arial" w:cs="Arial"/>
          <w:sz w:val="24"/>
          <w:szCs w:val="24"/>
        </w:rPr>
        <w:t>’</w:t>
      </w:r>
      <w:r w:rsidR="00FD123D" w:rsidRPr="009037BF">
        <w:rPr>
          <w:rFonts w:ascii="Arial" w:hAnsi="Arial" w:cs="Arial"/>
          <w:sz w:val="24"/>
          <w:szCs w:val="24"/>
        </w:rPr>
        <w:t>s attorneys sent an email to the respondent</w:t>
      </w:r>
      <w:r w:rsidR="00E40DB5" w:rsidRPr="009037BF">
        <w:rPr>
          <w:rFonts w:ascii="Arial" w:hAnsi="Arial" w:cs="Arial"/>
          <w:sz w:val="24"/>
          <w:szCs w:val="24"/>
        </w:rPr>
        <w:t>’</w:t>
      </w:r>
      <w:r w:rsidR="00FD123D" w:rsidRPr="009037BF">
        <w:rPr>
          <w:rFonts w:ascii="Arial" w:hAnsi="Arial" w:cs="Arial"/>
          <w:sz w:val="24"/>
          <w:szCs w:val="24"/>
        </w:rPr>
        <w:t xml:space="preserve">s attorneys. </w:t>
      </w:r>
      <w:r w:rsidR="00E40DB5" w:rsidRPr="009037BF">
        <w:rPr>
          <w:rFonts w:ascii="Arial" w:hAnsi="Arial" w:cs="Arial"/>
          <w:sz w:val="24"/>
          <w:szCs w:val="24"/>
        </w:rPr>
        <w:t>T</w:t>
      </w:r>
      <w:r w:rsidR="00FD123D" w:rsidRPr="009037BF">
        <w:rPr>
          <w:rFonts w:ascii="Arial" w:hAnsi="Arial" w:cs="Arial"/>
          <w:sz w:val="24"/>
          <w:szCs w:val="24"/>
        </w:rPr>
        <w:t>he email stated</w:t>
      </w:r>
      <w:r w:rsidR="00E40DB5" w:rsidRPr="009037BF">
        <w:rPr>
          <w:rFonts w:ascii="Arial" w:hAnsi="Arial" w:cs="Arial"/>
          <w:sz w:val="24"/>
          <w:szCs w:val="24"/>
        </w:rPr>
        <w:t xml:space="preserve">, </w:t>
      </w:r>
      <w:r w:rsidR="00E40DB5" w:rsidRPr="009037BF">
        <w:rPr>
          <w:rFonts w:ascii="Arial" w:hAnsi="Arial" w:cs="Arial"/>
          <w:i/>
          <w:iCs/>
          <w:sz w:val="24"/>
          <w:szCs w:val="24"/>
        </w:rPr>
        <w:t>inter alia</w:t>
      </w:r>
      <w:r w:rsidR="00E40DB5" w:rsidRPr="009037BF">
        <w:rPr>
          <w:rFonts w:ascii="Arial" w:hAnsi="Arial" w:cs="Arial"/>
          <w:sz w:val="24"/>
          <w:szCs w:val="24"/>
        </w:rPr>
        <w:t>,</w:t>
      </w:r>
      <w:r w:rsidR="00FD123D" w:rsidRPr="009037BF">
        <w:rPr>
          <w:rFonts w:ascii="Arial" w:hAnsi="Arial" w:cs="Arial"/>
          <w:sz w:val="24"/>
          <w:szCs w:val="24"/>
        </w:rPr>
        <w:t xml:space="preserve"> as follows</w:t>
      </w:r>
      <w:proofErr w:type="gramStart"/>
      <w:r w:rsidR="00FD123D" w:rsidRPr="009037BF">
        <w:rPr>
          <w:rFonts w:ascii="Arial" w:hAnsi="Arial" w:cs="Arial"/>
          <w:sz w:val="24"/>
          <w:szCs w:val="24"/>
        </w:rPr>
        <w:t>:</w:t>
      </w:r>
      <w:r w:rsidR="00E40DB5" w:rsidRPr="009037BF">
        <w:rPr>
          <w:rFonts w:ascii="Arial" w:hAnsi="Arial" w:cs="Arial"/>
          <w:sz w:val="24"/>
          <w:szCs w:val="24"/>
        </w:rPr>
        <w:t xml:space="preserve">  “</w:t>
      </w:r>
      <w:proofErr w:type="gramEnd"/>
      <w:r w:rsidR="00FD123D" w:rsidRPr="009037BF">
        <w:rPr>
          <w:rFonts w:ascii="Arial" w:hAnsi="Arial" w:cs="Arial"/>
          <w:i/>
          <w:iCs/>
          <w:sz w:val="24"/>
          <w:szCs w:val="24"/>
        </w:rPr>
        <w:t>I enclose here with a detailed statement reflecting the amounts owing by your client in respect of the outstanding maintenance and disbursements for which your client remains liable.</w:t>
      </w:r>
      <w:r w:rsidR="00E40DB5" w:rsidRPr="009037BF">
        <w:rPr>
          <w:rFonts w:ascii="Arial" w:hAnsi="Arial" w:cs="Arial"/>
          <w:i/>
          <w:iCs/>
          <w:sz w:val="24"/>
          <w:szCs w:val="24"/>
        </w:rPr>
        <w:t xml:space="preserve"> … </w:t>
      </w:r>
      <w:r w:rsidR="00FD123D" w:rsidRPr="009037BF">
        <w:rPr>
          <w:rFonts w:ascii="Arial" w:hAnsi="Arial" w:cs="Arial"/>
          <w:i/>
          <w:iCs/>
          <w:sz w:val="24"/>
          <w:szCs w:val="24"/>
        </w:rPr>
        <w:t xml:space="preserve">Furthermore, our client instructs that your client remains in contempt of the existing </w:t>
      </w:r>
      <w:r w:rsidR="00E40DB5" w:rsidRPr="009037BF">
        <w:rPr>
          <w:rFonts w:ascii="Arial" w:hAnsi="Arial" w:cs="Arial"/>
          <w:i/>
          <w:iCs/>
          <w:sz w:val="24"/>
          <w:szCs w:val="24"/>
        </w:rPr>
        <w:t>rule</w:t>
      </w:r>
      <w:r w:rsidR="00FD123D" w:rsidRPr="009037BF">
        <w:rPr>
          <w:rFonts w:ascii="Arial" w:hAnsi="Arial" w:cs="Arial"/>
          <w:i/>
          <w:iCs/>
          <w:sz w:val="24"/>
          <w:szCs w:val="24"/>
        </w:rPr>
        <w:t xml:space="preserve"> 43 order in that he </w:t>
      </w:r>
      <w:r w:rsidR="00FD123D" w:rsidRPr="009037BF">
        <w:rPr>
          <w:rFonts w:ascii="Arial" w:hAnsi="Arial" w:cs="Arial"/>
          <w:i/>
          <w:iCs/>
          <w:sz w:val="24"/>
          <w:szCs w:val="24"/>
        </w:rPr>
        <w:lastRenderedPageBreak/>
        <w:t xml:space="preserve">has failed to effect payment of the maintenance due in the sum of </w:t>
      </w:r>
      <w:r w:rsidR="00E40DB5" w:rsidRPr="009037BF">
        <w:rPr>
          <w:rFonts w:ascii="Arial" w:hAnsi="Arial" w:cs="Arial"/>
          <w:i/>
          <w:iCs/>
          <w:sz w:val="24"/>
          <w:szCs w:val="24"/>
        </w:rPr>
        <w:t>R</w:t>
      </w:r>
      <w:r w:rsidR="00FD123D" w:rsidRPr="009037BF">
        <w:rPr>
          <w:rFonts w:ascii="Arial" w:hAnsi="Arial" w:cs="Arial"/>
          <w:i/>
          <w:iCs/>
          <w:sz w:val="24"/>
          <w:szCs w:val="24"/>
        </w:rPr>
        <w:t>53</w:t>
      </w:r>
      <w:r w:rsidR="00E40DB5" w:rsidRPr="009037BF">
        <w:rPr>
          <w:rFonts w:ascii="Arial" w:hAnsi="Arial" w:cs="Arial"/>
          <w:i/>
          <w:iCs/>
          <w:sz w:val="24"/>
          <w:szCs w:val="24"/>
        </w:rPr>
        <w:t xml:space="preserve"> </w:t>
      </w:r>
      <w:r w:rsidR="00FD123D" w:rsidRPr="009037BF">
        <w:rPr>
          <w:rFonts w:ascii="Arial" w:hAnsi="Arial" w:cs="Arial"/>
          <w:i/>
          <w:iCs/>
          <w:sz w:val="24"/>
          <w:szCs w:val="24"/>
        </w:rPr>
        <w:t xml:space="preserve">750 payable </w:t>
      </w:r>
      <w:r w:rsidR="00E40DB5" w:rsidRPr="009037BF">
        <w:rPr>
          <w:rFonts w:ascii="Arial" w:hAnsi="Arial" w:cs="Arial"/>
          <w:i/>
          <w:iCs/>
          <w:sz w:val="24"/>
          <w:szCs w:val="24"/>
        </w:rPr>
        <w:t xml:space="preserve">on </w:t>
      </w:r>
      <w:r w:rsidR="00FD123D" w:rsidRPr="009037BF">
        <w:rPr>
          <w:rFonts w:ascii="Arial" w:hAnsi="Arial" w:cs="Arial"/>
          <w:i/>
          <w:iCs/>
          <w:sz w:val="24"/>
          <w:szCs w:val="24"/>
        </w:rPr>
        <w:t>1 July 2021 in terms of clause 1.1 and 1.2 of the rule 43 order.</w:t>
      </w:r>
      <w:r w:rsidR="00E40DB5" w:rsidRPr="009037BF">
        <w:rPr>
          <w:rFonts w:ascii="Arial" w:hAnsi="Arial" w:cs="Arial"/>
          <w:sz w:val="24"/>
          <w:szCs w:val="24"/>
        </w:rPr>
        <w:t>”</w:t>
      </w:r>
    </w:p>
    <w:p w14:paraId="4B4EE398" w14:textId="77777777" w:rsidR="00E40DB5" w:rsidRPr="009037BF" w:rsidRDefault="00E40DB5" w:rsidP="009037BF">
      <w:pPr>
        <w:pStyle w:val="ListParagraph"/>
        <w:widowControl w:val="0"/>
        <w:spacing w:line="480" w:lineRule="auto"/>
        <w:jc w:val="both"/>
        <w:rPr>
          <w:rFonts w:ascii="Arial" w:hAnsi="Arial" w:cs="Arial"/>
        </w:rPr>
      </w:pPr>
    </w:p>
    <w:p w14:paraId="174E0D88" w14:textId="21AAA9DC" w:rsidR="00FD123D"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50.</w:t>
      </w:r>
      <w:r w:rsidRPr="009037BF">
        <w:rPr>
          <w:rFonts w:ascii="Arial" w:hAnsi="Arial" w:cs="Arial"/>
          <w:sz w:val="24"/>
          <w:szCs w:val="24"/>
        </w:rPr>
        <w:tab/>
      </w:r>
      <w:r w:rsidR="00FD123D" w:rsidRPr="009037BF">
        <w:rPr>
          <w:rFonts w:ascii="Arial" w:hAnsi="Arial" w:cs="Arial"/>
          <w:sz w:val="24"/>
          <w:szCs w:val="24"/>
        </w:rPr>
        <w:t xml:space="preserve">The statement attached to the email reflected the balance owing </w:t>
      </w:r>
      <w:r w:rsidR="00E40DB5" w:rsidRPr="009037BF">
        <w:rPr>
          <w:rFonts w:ascii="Arial" w:hAnsi="Arial" w:cs="Arial"/>
          <w:sz w:val="24"/>
          <w:szCs w:val="24"/>
        </w:rPr>
        <w:t xml:space="preserve">to the applicant </w:t>
      </w:r>
      <w:r w:rsidR="00FD123D" w:rsidRPr="009037BF">
        <w:rPr>
          <w:rFonts w:ascii="Arial" w:hAnsi="Arial" w:cs="Arial"/>
          <w:sz w:val="24"/>
          <w:szCs w:val="24"/>
        </w:rPr>
        <w:t>in the sum of R547,106.20</w:t>
      </w:r>
      <w:r w:rsidR="0019243B" w:rsidRPr="009037BF">
        <w:rPr>
          <w:rFonts w:ascii="Arial" w:hAnsi="Arial" w:cs="Arial"/>
          <w:sz w:val="24"/>
          <w:szCs w:val="24"/>
        </w:rPr>
        <w:t>.  No response was received to the email.</w:t>
      </w:r>
    </w:p>
    <w:p w14:paraId="7075F992" w14:textId="77777777" w:rsidR="0019243B" w:rsidRPr="009037BF" w:rsidRDefault="0019243B" w:rsidP="009037BF">
      <w:pPr>
        <w:pStyle w:val="ListParagraph"/>
        <w:widowControl w:val="0"/>
        <w:spacing w:line="480" w:lineRule="auto"/>
        <w:jc w:val="both"/>
        <w:rPr>
          <w:rFonts w:ascii="Arial" w:hAnsi="Arial" w:cs="Arial"/>
        </w:rPr>
      </w:pPr>
    </w:p>
    <w:p w14:paraId="52A128AB" w14:textId="06B9D19A" w:rsidR="001F6480"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51.</w:t>
      </w:r>
      <w:r w:rsidRPr="009037BF">
        <w:rPr>
          <w:rFonts w:ascii="Arial" w:hAnsi="Arial" w:cs="Arial"/>
          <w:sz w:val="24"/>
          <w:szCs w:val="24"/>
        </w:rPr>
        <w:tab/>
      </w:r>
      <w:r w:rsidR="001F6480" w:rsidRPr="009037BF">
        <w:rPr>
          <w:rFonts w:ascii="Arial" w:hAnsi="Arial" w:cs="Arial"/>
          <w:sz w:val="24"/>
          <w:szCs w:val="24"/>
        </w:rPr>
        <w:t xml:space="preserve">I agree with the applicant’s counsel’s submission that if the respondent had at that stage believed that the parties had compromised the applicant’s arrear maintenance claim as a result of the provision of the draft settlement agreement, the email of 28 July 2021 called for a firm and immediate denial that the respondent was indebted to the applicant in the sum claimed. This did not occur. The only inference </w:t>
      </w:r>
      <w:r w:rsidR="00611C24" w:rsidRPr="009037BF">
        <w:rPr>
          <w:rFonts w:ascii="Arial" w:hAnsi="Arial" w:cs="Arial"/>
          <w:sz w:val="24"/>
          <w:szCs w:val="24"/>
        </w:rPr>
        <w:t xml:space="preserve">to be </w:t>
      </w:r>
      <w:r w:rsidR="001F6480" w:rsidRPr="009037BF">
        <w:rPr>
          <w:rFonts w:ascii="Arial" w:hAnsi="Arial" w:cs="Arial"/>
          <w:sz w:val="24"/>
          <w:szCs w:val="24"/>
        </w:rPr>
        <w:t xml:space="preserve">drawn from </w:t>
      </w:r>
      <w:r w:rsidR="00611C24" w:rsidRPr="009037BF">
        <w:rPr>
          <w:rFonts w:ascii="Arial" w:hAnsi="Arial" w:cs="Arial"/>
          <w:sz w:val="24"/>
          <w:szCs w:val="24"/>
        </w:rPr>
        <w:t xml:space="preserve">the </w:t>
      </w:r>
      <w:r w:rsidR="001F6480" w:rsidRPr="009037BF">
        <w:rPr>
          <w:rFonts w:ascii="Arial" w:hAnsi="Arial" w:cs="Arial"/>
          <w:sz w:val="24"/>
          <w:szCs w:val="24"/>
        </w:rPr>
        <w:t>respondent</w:t>
      </w:r>
      <w:r w:rsidR="00611C24" w:rsidRPr="009037BF">
        <w:rPr>
          <w:rFonts w:ascii="Arial" w:hAnsi="Arial" w:cs="Arial"/>
          <w:sz w:val="24"/>
          <w:szCs w:val="24"/>
        </w:rPr>
        <w:t>’s</w:t>
      </w:r>
      <w:r w:rsidR="001F6480" w:rsidRPr="009037BF">
        <w:rPr>
          <w:rFonts w:ascii="Arial" w:hAnsi="Arial" w:cs="Arial"/>
          <w:sz w:val="24"/>
          <w:szCs w:val="24"/>
        </w:rPr>
        <w:t xml:space="preserve"> silence is that he admitted the truth of the assertions contained in the </w:t>
      </w:r>
      <w:r w:rsidR="00611C24" w:rsidRPr="009037BF">
        <w:rPr>
          <w:rFonts w:ascii="Arial" w:hAnsi="Arial" w:cs="Arial"/>
          <w:sz w:val="24"/>
          <w:szCs w:val="24"/>
        </w:rPr>
        <w:t xml:space="preserve">applicant’s attorneys’ </w:t>
      </w:r>
      <w:r w:rsidR="001F6480" w:rsidRPr="009037BF">
        <w:rPr>
          <w:rFonts w:ascii="Arial" w:hAnsi="Arial" w:cs="Arial"/>
          <w:sz w:val="24"/>
          <w:szCs w:val="24"/>
        </w:rPr>
        <w:t>email. He did not address the v</w:t>
      </w:r>
      <w:r w:rsidR="00611C24" w:rsidRPr="009037BF">
        <w:rPr>
          <w:rFonts w:ascii="Arial" w:hAnsi="Arial" w:cs="Arial"/>
          <w:sz w:val="24"/>
          <w:szCs w:val="24"/>
        </w:rPr>
        <w:t>e</w:t>
      </w:r>
      <w:r w:rsidR="001F6480" w:rsidRPr="009037BF">
        <w:rPr>
          <w:rFonts w:ascii="Arial" w:hAnsi="Arial" w:cs="Arial"/>
          <w:sz w:val="24"/>
          <w:szCs w:val="24"/>
        </w:rPr>
        <w:t>racity of the email in his answering affidavit in th</w:t>
      </w:r>
      <w:r w:rsidR="00611C24" w:rsidRPr="009037BF">
        <w:rPr>
          <w:rFonts w:ascii="Arial" w:hAnsi="Arial" w:cs="Arial"/>
          <w:sz w:val="24"/>
          <w:szCs w:val="24"/>
        </w:rPr>
        <w:t>e</w:t>
      </w:r>
      <w:r w:rsidR="001F6480" w:rsidRPr="009037BF">
        <w:rPr>
          <w:rFonts w:ascii="Arial" w:hAnsi="Arial" w:cs="Arial"/>
          <w:sz w:val="24"/>
          <w:szCs w:val="24"/>
        </w:rPr>
        <w:t>s</w:t>
      </w:r>
      <w:r w:rsidR="00611C24" w:rsidRPr="009037BF">
        <w:rPr>
          <w:rFonts w:ascii="Arial" w:hAnsi="Arial" w:cs="Arial"/>
          <w:sz w:val="24"/>
          <w:szCs w:val="24"/>
        </w:rPr>
        <w:t>e</w:t>
      </w:r>
      <w:r w:rsidR="001F6480" w:rsidRPr="009037BF">
        <w:rPr>
          <w:rFonts w:ascii="Arial" w:hAnsi="Arial" w:cs="Arial"/>
          <w:sz w:val="24"/>
          <w:szCs w:val="24"/>
        </w:rPr>
        <w:t xml:space="preserve"> proceedings.</w:t>
      </w:r>
    </w:p>
    <w:p w14:paraId="0BA204BC" w14:textId="77777777" w:rsidR="001F6480" w:rsidRPr="009037BF" w:rsidRDefault="001F6480" w:rsidP="009037BF">
      <w:pPr>
        <w:pStyle w:val="PlainText"/>
        <w:widowControl w:val="0"/>
        <w:spacing w:line="480" w:lineRule="auto"/>
        <w:ind w:left="709"/>
        <w:jc w:val="both"/>
        <w:rPr>
          <w:rFonts w:ascii="Arial" w:hAnsi="Arial" w:cs="Arial"/>
          <w:sz w:val="24"/>
          <w:szCs w:val="24"/>
        </w:rPr>
      </w:pPr>
    </w:p>
    <w:p w14:paraId="619C6741" w14:textId="20AF78CB" w:rsidR="001F6480"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52.</w:t>
      </w:r>
      <w:r w:rsidRPr="009037BF">
        <w:rPr>
          <w:rFonts w:ascii="Arial" w:hAnsi="Arial" w:cs="Arial"/>
          <w:sz w:val="24"/>
          <w:szCs w:val="24"/>
        </w:rPr>
        <w:tab/>
      </w:r>
      <w:r w:rsidR="001F6480" w:rsidRPr="009037BF">
        <w:rPr>
          <w:rFonts w:ascii="Arial" w:hAnsi="Arial" w:cs="Arial"/>
          <w:sz w:val="24"/>
          <w:szCs w:val="24"/>
        </w:rPr>
        <w:t>W</w:t>
      </w:r>
      <w:r w:rsidR="00611C24" w:rsidRPr="009037BF">
        <w:rPr>
          <w:rFonts w:ascii="Arial" w:hAnsi="Arial" w:cs="Arial"/>
          <w:sz w:val="24"/>
          <w:szCs w:val="24"/>
        </w:rPr>
        <w:t xml:space="preserve">hat </w:t>
      </w:r>
      <w:r w:rsidR="001F6480" w:rsidRPr="009037BF">
        <w:rPr>
          <w:rFonts w:ascii="Arial" w:hAnsi="Arial" w:cs="Arial"/>
          <w:sz w:val="24"/>
          <w:szCs w:val="24"/>
        </w:rPr>
        <w:t>the emails of 7 July 2021 and 28 July 2021 indicate is that the respondent was offered an opportunity to compromise the divorce in its entirety</w:t>
      </w:r>
      <w:r w:rsidR="00611C24" w:rsidRPr="009037BF">
        <w:rPr>
          <w:rFonts w:ascii="Arial" w:hAnsi="Arial" w:cs="Arial"/>
          <w:sz w:val="24"/>
          <w:szCs w:val="24"/>
        </w:rPr>
        <w:t>,</w:t>
      </w:r>
      <w:r w:rsidR="001F6480" w:rsidRPr="009037BF">
        <w:rPr>
          <w:rFonts w:ascii="Arial" w:hAnsi="Arial" w:cs="Arial"/>
          <w:sz w:val="24"/>
          <w:szCs w:val="24"/>
        </w:rPr>
        <w:t xml:space="preserve"> including the ar</w:t>
      </w:r>
      <w:r w:rsidR="00611C24" w:rsidRPr="009037BF">
        <w:rPr>
          <w:rFonts w:ascii="Arial" w:hAnsi="Arial" w:cs="Arial"/>
          <w:sz w:val="24"/>
          <w:szCs w:val="24"/>
        </w:rPr>
        <w:t>r</w:t>
      </w:r>
      <w:r w:rsidR="001F6480" w:rsidRPr="009037BF">
        <w:rPr>
          <w:rFonts w:ascii="Arial" w:hAnsi="Arial" w:cs="Arial"/>
          <w:sz w:val="24"/>
          <w:szCs w:val="24"/>
        </w:rPr>
        <w:t>ea</w:t>
      </w:r>
      <w:r w:rsidR="00611C24" w:rsidRPr="009037BF">
        <w:rPr>
          <w:rFonts w:ascii="Arial" w:hAnsi="Arial" w:cs="Arial"/>
          <w:sz w:val="24"/>
          <w:szCs w:val="24"/>
        </w:rPr>
        <w:t>r</w:t>
      </w:r>
      <w:r w:rsidR="001F6480" w:rsidRPr="009037BF">
        <w:rPr>
          <w:rFonts w:ascii="Arial" w:hAnsi="Arial" w:cs="Arial"/>
          <w:sz w:val="24"/>
          <w:szCs w:val="24"/>
        </w:rPr>
        <w:t xml:space="preserve"> maintenance claim. That offer wa</w:t>
      </w:r>
      <w:r w:rsidR="00611C24" w:rsidRPr="009037BF">
        <w:rPr>
          <w:rFonts w:ascii="Arial" w:hAnsi="Arial" w:cs="Arial"/>
          <w:sz w:val="24"/>
          <w:szCs w:val="24"/>
        </w:rPr>
        <w:t>s</w:t>
      </w:r>
      <w:r w:rsidR="001F6480" w:rsidRPr="009037BF">
        <w:rPr>
          <w:rFonts w:ascii="Arial" w:hAnsi="Arial" w:cs="Arial"/>
          <w:sz w:val="24"/>
          <w:szCs w:val="24"/>
        </w:rPr>
        <w:t xml:space="preserve"> open for acceptance only until 16 July 2021.</w:t>
      </w:r>
      <w:r w:rsidR="00611C24" w:rsidRPr="009037BF">
        <w:rPr>
          <w:rFonts w:ascii="Arial" w:hAnsi="Arial" w:cs="Arial"/>
          <w:sz w:val="24"/>
          <w:szCs w:val="24"/>
        </w:rPr>
        <w:t xml:space="preserve">  It lapsed thereafter.</w:t>
      </w:r>
    </w:p>
    <w:p w14:paraId="483202FA" w14:textId="77777777" w:rsidR="001F6480" w:rsidRPr="009037BF" w:rsidRDefault="001F6480" w:rsidP="009037BF">
      <w:pPr>
        <w:pStyle w:val="PlainText"/>
        <w:widowControl w:val="0"/>
        <w:spacing w:line="480" w:lineRule="auto"/>
        <w:ind w:left="709"/>
        <w:jc w:val="both"/>
        <w:rPr>
          <w:rFonts w:ascii="Arial" w:hAnsi="Arial" w:cs="Arial"/>
          <w:sz w:val="24"/>
          <w:szCs w:val="24"/>
        </w:rPr>
      </w:pPr>
    </w:p>
    <w:p w14:paraId="41A90CE8" w14:textId="73C9D2F8" w:rsidR="001F6480"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53.</w:t>
      </w:r>
      <w:r w:rsidRPr="009037BF">
        <w:rPr>
          <w:rFonts w:ascii="Arial" w:hAnsi="Arial" w:cs="Arial"/>
          <w:sz w:val="24"/>
          <w:szCs w:val="24"/>
        </w:rPr>
        <w:tab/>
      </w:r>
      <w:r w:rsidR="001F6480" w:rsidRPr="009037BF">
        <w:rPr>
          <w:rFonts w:ascii="Arial" w:hAnsi="Arial" w:cs="Arial"/>
          <w:sz w:val="24"/>
          <w:szCs w:val="24"/>
        </w:rPr>
        <w:t xml:space="preserve">The respondent, with the knowledge that the offer of compromise </w:t>
      </w:r>
      <w:r w:rsidR="00335CE3" w:rsidRPr="009037BF">
        <w:rPr>
          <w:rFonts w:ascii="Arial" w:hAnsi="Arial" w:cs="Arial"/>
          <w:sz w:val="24"/>
          <w:szCs w:val="24"/>
        </w:rPr>
        <w:t>had lapsed</w:t>
      </w:r>
      <w:r w:rsidR="001F6480" w:rsidRPr="009037BF">
        <w:rPr>
          <w:rFonts w:ascii="Arial" w:hAnsi="Arial" w:cs="Arial"/>
          <w:sz w:val="24"/>
          <w:szCs w:val="24"/>
        </w:rPr>
        <w:t xml:space="preserve"> and that the applicant </w:t>
      </w:r>
      <w:r w:rsidR="00335CE3" w:rsidRPr="009037BF">
        <w:rPr>
          <w:rFonts w:ascii="Arial" w:hAnsi="Arial" w:cs="Arial"/>
          <w:sz w:val="24"/>
          <w:szCs w:val="24"/>
        </w:rPr>
        <w:t xml:space="preserve">had subsequently </w:t>
      </w:r>
      <w:r w:rsidR="001F6480" w:rsidRPr="009037BF">
        <w:rPr>
          <w:rFonts w:ascii="Arial" w:hAnsi="Arial" w:cs="Arial"/>
          <w:sz w:val="24"/>
          <w:szCs w:val="24"/>
        </w:rPr>
        <w:t>delivered a demand for payment of the ar</w:t>
      </w:r>
      <w:r w:rsidR="00335CE3" w:rsidRPr="009037BF">
        <w:rPr>
          <w:rFonts w:ascii="Arial" w:hAnsi="Arial" w:cs="Arial"/>
          <w:sz w:val="24"/>
          <w:szCs w:val="24"/>
        </w:rPr>
        <w:t>r</w:t>
      </w:r>
      <w:r w:rsidR="001F6480" w:rsidRPr="009037BF">
        <w:rPr>
          <w:rFonts w:ascii="Arial" w:hAnsi="Arial" w:cs="Arial"/>
          <w:sz w:val="24"/>
          <w:szCs w:val="24"/>
        </w:rPr>
        <w:t>ea</w:t>
      </w:r>
      <w:r w:rsidR="00335CE3" w:rsidRPr="009037BF">
        <w:rPr>
          <w:rFonts w:ascii="Arial" w:hAnsi="Arial" w:cs="Arial"/>
          <w:sz w:val="24"/>
          <w:szCs w:val="24"/>
        </w:rPr>
        <w:t>r</w:t>
      </w:r>
      <w:r w:rsidR="001F6480" w:rsidRPr="009037BF">
        <w:rPr>
          <w:rFonts w:ascii="Arial" w:hAnsi="Arial" w:cs="Arial"/>
          <w:sz w:val="24"/>
          <w:szCs w:val="24"/>
        </w:rPr>
        <w:t xml:space="preserve"> maintenance, </w:t>
      </w:r>
      <w:r w:rsidR="00335CE3" w:rsidRPr="009037BF">
        <w:rPr>
          <w:rFonts w:ascii="Arial" w:hAnsi="Arial" w:cs="Arial"/>
          <w:sz w:val="24"/>
          <w:szCs w:val="24"/>
        </w:rPr>
        <w:t xml:space="preserve">nevertheless </w:t>
      </w:r>
      <w:r w:rsidR="001F6480" w:rsidRPr="009037BF">
        <w:rPr>
          <w:rFonts w:ascii="Arial" w:hAnsi="Arial" w:cs="Arial"/>
          <w:sz w:val="24"/>
          <w:szCs w:val="24"/>
        </w:rPr>
        <w:t>elected on 29 July 20</w:t>
      </w:r>
      <w:r w:rsidR="00335CE3" w:rsidRPr="009037BF">
        <w:rPr>
          <w:rFonts w:ascii="Arial" w:hAnsi="Arial" w:cs="Arial"/>
          <w:sz w:val="24"/>
          <w:szCs w:val="24"/>
        </w:rPr>
        <w:t xml:space="preserve">21 </w:t>
      </w:r>
      <w:r w:rsidR="001F6480" w:rsidRPr="009037BF">
        <w:rPr>
          <w:rFonts w:ascii="Arial" w:hAnsi="Arial" w:cs="Arial"/>
          <w:sz w:val="24"/>
          <w:szCs w:val="24"/>
        </w:rPr>
        <w:t>to make a payment to the applicant in the sum of R360,000. Notably</w:t>
      </w:r>
      <w:r w:rsidR="00335CE3" w:rsidRPr="009037BF">
        <w:rPr>
          <w:rFonts w:ascii="Arial" w:hAnsi="Arial" w:cs="Arial"/>
          <w:sz w:val="24"/>
          <w:szCs w:val="24"/>
        </w:rPr>
        <w:t>,</w:t>
      </w:r>
      <w:r w:rsidR="001F6480" w:rsidRPr="009037BF">
        <w:rPr>
          <w:rFonts w:ascii="Arial" w:hAnsi="Arial" w:cs="Arial"/>
          <w:sz w:val="24"/>
          <w:szCs w:val="24"/>
        </w:rPr>
        <w:t xml:space="preserve"> this was not R350,000 as was the proposal made in the draft settlement agreement. As mentioned before, the payment was not </w:t>
      </w:r>
      <w:r w:rsidR="001F6480" w:rsidRPr="009037BF">
        <w:rPr>
          <w:rFonts w:ascii="Arial" w:hAnsi="Arial" w:cs="Arial"/>
          <w:sz w:val="24"/>
          <w:szCs w:val="24"/>
        </w:rPr>
        <w:lastRenderedPageBreak/>
        <w:t>accompanied by correspondence containing any indication that it was made in full and final settlement of the applicant</w:t>
      </w:r>
      <w:r w:rsidR="00335CE3" w:rsidRPr="009037BF">
        <w:rPr>
          <w:rFonts w:ascii="Arial" w:hAnsi="Arial" w:cs="Arial"/>
          <w:sz w:val="24"/>
          <w:szCs w:val="24"/>
        </w:rPr>
        <w:t>’</w:t>
      </w:r>
      <w:r w:rsidR="001F6480" w:rsidRPr="009037BF">
        <w:rPr>
          <w:rFonts w:ascii="Arial" w:hAnsi="Arial" w:cs="Arial"/>
          <w:sz w:val="24"/>
          <w:szCs w:val="24"/>
        </w:rPr>
        <w:t>s claim. There was also no explanation for the additional payment of R10,000.</w:t>
      </w:r>
    </w:p>
    <w:p w14:paraId="0D610331" w14:textId="77777777" w:rsidR="001F6480" w:rsidRPr="009037BF" w:rsidRDefault="001F6480" w:rsidP="009037BF">
      <w:pPr>
        <w:pStyle w:val="PlainText"/>
        <w:widowControl w:val="0"/>
        <w:spacing w:line="480" w:lineRule="auto"/>
        <w:ind w:left="709"/>
        <w:jc w:val="both"/>
        <w:rPr>
          <w:rFonts w:ascii="Arial" w:hAnsi="Arial" w:cs="Arial"/>
          <w:sz w:val="24"/>
          <w:szCs w:val="24"/>
        </w:rPr>
      </w:pPr>
    </w:p>
    <w:p w14:paraId="5DC41949" w14:textId="437ED54D" w:rsidR="001F6480"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54.</w:t>
      </w:r>
      <w:r w:rsidRPr="009037BF">
        <w:rPr>
          <w:rFonts w:ascii="Arial" w:hAnsi="Arial" w:cs="Arial"/>
          <w:sz w:val="24"/>
          <w:szCs w:val="24"/>
        </w:rPr>
        <w:tab/>
      </w:r>
      <w:r w:rsidR="001F6480" w:rsidRPr="009037BF">
        <w:rPr>
          <w:rFonts w:ascii="Arial" w:hAnsi="Arial" w:cs="Arial"/>
          <w:sz w:val="24"/>
          <w:szCs w:val="24"/>
        </w:rPr>
        <w:t xml:space="preserve">On </w:t>
      </w:r>
      <w:r w:rsidR="00335CE3" w:rsidRPr="009037BF">
        <w:rPr>
          <w:rFonts w:ascii="Arial" w:hAnsi="Arial" w:cs="Arial"/>
          <w:sz w:val="24"/>
          <w:szCs w:val="24"/>
        </w:rPr>
        <w:t>2</w:t>
      </w:r>
      <w:r w:rsidR="001F6480" w:rsidRPr="009037BF">
        <w:rPr>
          <w:rFonts w:ascii="Arial" w:hAnsi="Arial" w:cs="Arial"/>
          <w:sz w:val="24"/>
          <w:szCs w:val="24"/>
        </w:rPr>
        <w:t xml:space="preserve"> August- 2021 the respondent</w:t>
      </w:r>
      <w:r w:rsidR="00335CE3" w:rsidRPr="009037BF">
        <w:rPr>
          <w:rFonts w:ascii="Arial" w:hAnsi="Arial" w:cs="Arial"/>
          <w:sz w:val="24"/>
          <w:szCs w:val="24"/>
        </w:rPr>
        <w:t>’</w:t>
      </w:r>
      <w:r w:rsidR="001F6480" w:rsidRPr="009037BF">
        <w:rPr>
          <w:rFonts w:ascii="Arial" w:hAnsi="Arial" w:cs="Arial"/>
          <w:sz w:val="24"/>
          <w:szCs w:val="24"/>
        </w:rPr>
        <w:t>s attorneys wrote to the applicant</w:t>
      </w:r>
      <w:r w:rsidR="00335CE3" w:rsidRPr="009037BF">
        <w:rPr>
          <w:rFonts w:ascii="Arial" w:hAnsi="Arial" w:cs="Arial"/>
          <w:sz w:val="24"/>
          <w:szCs w:val="24"/>
        </w:rPr>
        <w:t>’</w:t>
      </w:r>
      <w:r w:rsidR="001F6480" w:rsidRPr="009037BF">
        <w:rPr>
          <w:rFonts w:ascii="Arial" w:hAnsi="Arial" w:cs="Arial"/>
          <w:sz w:val="24"/>
          <w:szCs w:val="24"/>
        </w:rPr>
        <w:t xml:space="preserve">s attorneys, as follows: </w:t>
      </w:r>
      <w:r w:rsidR="00335CE3" w:rsidRPr="009037BF">
        <w:rPr>
          <w:rFonts w:ascii="Arial" w:hAnsi="Arial" w:cs="Arial"/>
          <w:sz w:val="24"/>
          <w:szCs w:val="24"/>
        </w:rPr>
        <w:t>“</w:t>
      </w:r>
      <w:r w:rsidR="00335CE3" w:rsidRPr="009037BF">
        <w:rPr>
          <w:rFonts w:ascii="Arial" w:hAnsi="Arial" w:cs="Arial"/>
          <w:i/>
          <w:iCs/>
          <w:sz w:val="24"/>
          <w:szCs w:val="24"/>
        </w:rPr>
        <w:t>W</w:t>
      </w:r>
      <w:r w:rsidR="001F6480" w:rsidRPr="009037BF">
        <w:rPr>
          <w:rFonts w:ascii="Arial" w:hAnsi="Arial" w:cs="Arial"/>
          <w:i/>
          <w:iCs/>
          <w:sz w:val="24"/>
          <w:szCs w:val="24"/>
        </w:rPr>
        <w:t>e record that our client has settled all the a</w:t>
      </w:r>
      <w:r w:rsidR="00335CE3" w:rsidRPr="009037BF">
        <w:rPr>
          <w:rFonts w:ascii="Arial" w:hAnsi="Arial" w:cs="Arial"/>
          <w:i/>
          <w:iCs/>
          <w:sz w:val="24"/>
          <w:szCs w:val="24"/>
        </w:rPr>
        <w:t>r</w:t>
      </w:r>
      <w:r w:rsidR="001F6480" w:rsidRPr="009037BF">
        <w:rPr>
          <w:rFonts w:ascii="Arial" w:hAnsi="Arial" w:cs="Arial"/>
          <w:i/>
          <w:iCs/>
          <w:sz w:val="24"/>
          <w:szCs w:val="24"/>
        </w:rPr>
        <w:t>rea</w:t>
      </w:r>
      <w:r w:rsidR="00335CE3" w:rsidRPr="009037BF">
        <w:rPr>
          <w:rFonts w:ascii="Arial" w:hAnsi="Arial" w:cs="Arial"/>
          <w:i/>
          <w:iCs/>
          <w:sz w:val="24"/>
          <w:szCs w:val="24"/>
        </w:rPr>
        <w:t>r</w:t>
      </w:r>
      <w:r w:rsidR="001F6480" w:rsidRPr="009037BF">
        <w:rPr>
          <w:rFonts w:ascii="Arial" w:hAnsi="Arial" w:cs="Arial"/>
          <w:i/>
          <w:iCs/>
          <w:sz w:val="24"/>
          <w:szCs w:val="24"/>
        </w:rPr>
        <w:t xml:space="preserve"> maintenance owing in terms of the r</w:t>
      </w:r>
      <w:r w:rsidR="00335CE3" w:rsidRPr="009037BF">
        <w:rPr>
          <w:rFonts w:ascii="Arial" w:hAnsi="Arial" w:cs="Arial"/>
          <w:i/>
          <w:iCs/>
          <w:sz w:val="24"/>
          <w:szCs w:val="24"/>
        </w:rPr>
        <w:t>ule</w:t>
      </w:r>
      <w:r w:rsidR="001F6480" w:rsidRPr="009037BF">
        <w:rPr>
          <w:rFonts w:ascii="Arial" w:hAnsi="Arial" w:cs="Arial"/>
          <w:i/>
          <w:iCs/>
          <w:sz w:val="24"/>
          <w:szCs w:val="24"/>
        </w:rPr>
        <w:t xml:space="preserve"> 43 </w:t>
      </w:r>
      <w:r w:rsidR="00335CE3" w:rsidRPr="009037BF">
        <w:rPr>
          <w:rFonts w:ascii="Arial" w:hAnsi="Arial" w:cs="Arial"/>
          <w:i/>
          <w:iCs/>
          <w:sz w:val="24"/>
          <w:szCs w:val="24"/>
        </w:rPr>
        <w:t>O</w:t>
      </w:r>
      <w:r w:rsidR="001F6480" w:rsidRPr="009037BF">
        <w:rPr>
          <w:rFonts w:ascii="Arial" w:hAnsi="Arial" w:cs="Arial"/>
          <w:i/>
          <w:iCs/>
          <w:sz w:val="24"/>
          <w:szCs w:val="24"/>
        </w:rPr>
        <w:t>rder by making payment to your client of the sum of R360</w:t>
      </w:r>
      <w:r w:rsidR="00335CE3" w:rsidRPr="009037BF">
        <w:rPr>
          <w:rFonts w:ascii="Arial" w:hAnsi="Arial" w:cs="Arial"/>
          <w:i/>
          <w:iCs/>
          <w:sz w:val="24"/>
          <w:szCs w:val="24"/>
        </w:rPr>
        <w:t xml:space="preserve"> </w:t>
      </w:r>
      <w:r w:rsidR="001F6480" w:rsidRPr="009037BF">
        <w:rPr>
          <w:rFonts w:ascii="Arial" w:hAnsi="Arial" w:cs="Arial"/>
          <w:i/>
          <w:iCs/>
          <w:sz w:val="24"/>
          <w:szCs w:val="24"/>
        </w:rPr>
        <w:t>000 on Thursday, 29 July 2021</w:t>
      </w:r>
      <w:r w:rsidR="00335CE3" w:rsidRPr="009037BF">
        <w:rPr>
          <w:rFonts w:ascii="Arial" w:hAnsi="Arial" w:cs="Arial"/>
          <w:sz w:val="24"/>
          <w:szCs w:val="24"/>
        </w:rPr>
        <w:t>”</w:t>
      </w:r>
      <w:r w:rsidR="001F6480" w:rsidRPr="009037BF">
        <w:rPr>
          <w:rFonts w:ascii="Arial" w:hAnsi="Arial" w:cs="Arial"/>
          <w:sz w:val="24"/>
          <w:szCs w:val="24"/>
        </w:rPr>
        <w:t>.</w:t>
      </w:r>
    </w:p>
    <w:p w14:paraId="470ADEFC" w14:textId="77777777" w:rsidR="001F6480" w:rsidRPr="009037BF" w:rsidRDefault="001F6480" w:rsidP="009037BF">
      <w:pPr>
        <w:pStyle w:val="PlainText"/>
        <w:widowControl w:val="0"/>
        <w:spacing w:line="480" w:lineRule="auto"/>
        <w:ind w:left="709"/>
        <w:jc w:val="both"/>
        <w:rPr>
          <w:rFonts w:ascii="Arial" w:hAnsi="Arial" w:cs="Arial"/>
          <w:sz w:val="24"/>
          <w:szCs w:val="24"/>
        </w:rPr>
      </w:pPr>
    </w:p>
    <w:p w14:paraId="07193EBF" w14:textId="4EB2FC1D" w:rsidR="001F6480"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55.</w:t>
      </w:r>
      <w:r w:rsidRPr="009037BF">
        <w:rPr>
          <w:rFonts w:ascii="Arial" w:hAnsi="Arial" w:cs="Arial"/>
          <w:sz w:val="24"/>
          <w:szCs w:val="24"/>
        </w:rPr>
        <w:tab/>
      </w:r>
      <w:r w:rsidR="001F6480" w:rsidRPr="009037BF">
        <w:rPr>
          <w:rFonts w:ascii="Arial" w:hAnsi="Arial" w:cs="Arial"/>
          <w:sz w:val="24"/>
          <w:szCs w:val="24"/>
        </w:rPr>
        <w:t>On 6 August 2021 the applicant</w:t>
      </w:r>
      <w:r w:rsidR="00335CE3" w:rsidRPr="009037BF">
        <w:rPr>
          <w:rFonts w:ascii="Arial" w:hAnsi="Arial" w:cs="Arial"/>
          <w:sz w:val="24"/>
          <w:szCs w:val="24"/>
        </w:rPr>
        <w:t>’</w:t>
      </w:r>
      <w:r w:rsidR="001F6480" w:rsidRPr="009037BF">
        <w:rPr>
          <w:rFonts w:ascii="Arial" w:hAnsi="Arial" w:cs="Arial"/>
          <w:sz w:val="24"/>
          <w:szCs w:val="24"/>
        </w:rPr>
        <w:t xml:space="preserve">s attorneys </w:t>
      </w:r>
      <w:r w:rsidR="00335CE3" w:rsidRPr="009037BF">
        <w:rPr>
          <w:rFonts w:ascii="Arial" w:hAnsi="Arial" w:cs="Arial"/>
          <w:sz w:val="24"/>
          <w:szCs w:val="24"/>
        </w:rPr>
        <w:t>replied, den</w:t>
      </w:r>
      <w:r w:rsidR="001F6480" w:rsidRPr="009037BF">
        <w:rPr>
          <w:rFonts w:ascii="Arial" w:hAnsi="Arial" w:cs="Arial"/>
          <w:sz w:val="24"/>
          <w:szCs w:val="24"/>
        </w:rPr>
        <w:t>ying that the respondent</w:t>
      </w:r>
      <w:r w:rsidR="00335CE3" w:rsidRPr="009037BF">
        <w:rPr>
          <w:rFonts w:ascii="Arial" w:hAnsi="Arial" w:cs="Arial"/>
          <w:sz w:val="24"/>
          <w:szCs w:val="24"/>
        </w:rPr>
        <w:t>’</w:t>
      </w:r>
      <w:r w:rsidR="001F6480" w:rsidRPr="009037BF">
        <w:rPr>
          <w:rFonts w:ascii="Arial" w:hAnsi="Arial" w:cs="Arial"/>
          <w:sz w:val="24"/>
          <w:szCs w:val="24"/>
        </w:rPr>
        <w:t>s payment was in settlement of his maintenance obligations</w:t>
      </w:r>
      <w:r w:rsidR="00335CE3" w:rsidRPr="009037BF">
        <w:rPr>
          <w:rFonts w:ascii="Arial" w:hAnsi="Arial" w:cs="Arial"/>
          <w:sz w:val="24"/>
          <w:szCs w:val="24"/>
        </w:rPr>
        <w:t>. T</w:t>
      </w:r>
      <w:r w:rsidR="001F6480" w:rsidRPr="009037BF">
        <w:rPr>
          <w:rFonts w:ascii="Arial" w:hAnsi="Arial" w:cs="Arial"/>
          <w:sz w:val="24"/>
          <w:szCs w:val="24"/>
        </w:rPr>
        <w:t>hey recorded that on 28 July 2021 they had provided the respondent</w:t>
      </w:r>
      <w:r w:rsidR="00335CE3" w:rsidRPr="009037BF">
        <w:rPr>
          <w:rFonts w:ascii="Arial" w:hAnsi="Arial" w:cs="Arial"/>
          <w:sz w:val="24"/>
          <w:szCs w:val="24"/>
        </w:rPr>
        <w:t>’</w:t>
      </w:r>
      <w:r w:rsidR="001F6480" w:rsidRPr="009037BF">
        <w:rPr>
          <w:rFonts w:ascii="Arial" w:hAnsi="Arial" w:cs="Arial"/>
          <w:sz w:val="24"/>
          <w:szCs w:val="24"/>
        </w:rPr>
        <w:t xml:space="preserve">s attorneys with a detailed </w:t>
      </w:r>
      <w:r w:rsidR="00335CE3" w:rsidRPr="009037BF">
        <w:rPr>
          <w:rFonts w:ascii="Arial" w:hAnsi="Arial" w:cs="Arial"/>
          <w:sz w:val="24"/>
          <w:szCs w:val="24"/>
        </w:rPr>
        <w:t>statement</w:t>
      </w:r>
      <w:r w:rsidR="001F6480" w:rsidRPr="009037BF">
        <w:rPr>
          <w:rFonts w:ascii="Arial" w:hAnsi="Arial" w:cs="Arial"/>
          <w:sz w:val="24"/>
          <w:szCs w:val="24"/>
        </w:rPr>
        <w:t xml:space="preserve"> of the amounts owing to the applicant. They indicated </w:t>
      </w:r>
      <w:r w:rsidR="00335CE3" w:rsidRPr="009037BF">
        <w:rPr>
          <w:rFonts w:ascii="Arial" w:hAnsi="Arial" w:cs="Arial"/>
          <w:sz w:val="24"/>
          <w:szCs w:val="24"/>
        </w:rPr>
        <w:t xml:space="preserve">further </w:t>
      </w:r>
      <w:r w:rsidR="001F6480" w:rsidRPr="009037BF">
        <w:rPr>
          <w:rFonts w:ascii="Arial" w:hAnsi="Arial" w:cs="Arial"/>
          <w:sz w:val="24"/>
          <w:szCs w:val="24"/>
        </w:rPr>
        <w:t xml:space="preserve">that they were confused as to how </w:t>
      </w:r>
      <w:r w:rsidR="00335CE3" w:rsidRPr="009037BF">
        <w:rPr>
          <w:rFonts w:ascii="Arial" w:hAnsi="Arial" w:cs="Arial"/>
          <w:sz w:val="24"/>
          <w:szCs w:val="24"/>
        </w:rPr>
        <w:t xml:space="preserve">the </w:t>
      </w:r>
      <w:r w:rsidR="001F6480" w:rsidRPr="009037BF">
        <w:rPr>
          <w:rFonts w:ascii="Arial" w:hAnsi="Arial" w:cs="Arial"/>
          <w:sz w:val="24"/>
          <w:szCs w:val="24"/>
        </w:rPr>
        <w:t>respondent had arrived at R360,000 when paying that s</w:t>
      </w:r>
      <w:r w:rsidR="00335CE3" w:rsidRPr="009037BF">
        <w:rPr>
          <w:rFonts w:ascii="Arial" w:hAnsi="Arial" w:cs="Arial"/>
          <w:sz w:val="24"/>
          <w:szCs w:val="24"/>
        </w:rPr>
        <w:t>um</w:t>
      </w:r>
      <w:r w:rsidR="001F6480" w:rsidRPr="009037BF">
        <w:rPr>
          <w:rFonts w:ascii="Arial" w:hAnsi="Arial" w:cs="Arial"/>
          <w:sz w:val="24"/>
          <w:szCs w:val="24"/>
        </w:rPr>
        <w:t xml:space="preserve"> to the applicant purportedly in settlement of his </w:t>
      </w:r>
      <w:r w:rsidR="00335CE3" w:rsidRPr="009037BF">
        <w:rPr>
          <w:rFonts w:ascii="Arial" w:hAnsi="Arial" w:cs="Arial"/>
          <w:sz w:val="24"/>
          <w:szCs w:val="24"/>
        </w:rPr>
        <w:t xml:space="preserve">obligation, and indicated that </w:t>
      </w:r>
      <w:r w:rsidR="001F6480" w:rsidRPr="009037BF">
        <w:rPr>
          <w:rFonts w:ascii="Arial" w:hAnsi="Arial" w:cs="Arial"/>
          <w:sz w:val="24"/>
          <w:szCs w:val="24"/>
        </w:rPr>
        <w:t>the amount ha</w:t>
      </w:r>
      <w:r w:rsidR="00335CE3" w:rsidRPr="009037BF">
        <w:rPr>
          <w:rFonts w:ascii="Arial" w:hAnsi="Arial" w:cs="Arial"/>
          <w:sz w:val="24"/>
          <w:szCs w:val="24"/>
        </w:rPr>
        <w:t>d</w:t>
      </w:r>
      <w:r w:rsidR="001F6480" w:rsidRPr="009037BF">
        <w:rPr>
          <w:rFonts w:ascii="Arial" w:hAnsi="Arial" w:cs="Arial"/>
          <w:sz w:val="24"/>
          <w:szCs w:val="24"/>
        </w:rPr>
        <w:t xml:space="preserve"> been accepted on account and in reduction of the </w:t>
      </w:r>
      <w:r w:rsidR="00335CE3" w:rsidRPr="009037BF">
        <w:rPr>
          <w:rFonts w:ascii="Arial" w:hAnsi="Arial" w:cs="Arial"/>
          <w:sz w:val="24"/>
          <w:szCs w:val="24"/>
        </w:rPr>
        <w:t xml:space="preserve">total </w:t>
      </w:r>
      <w:r w:rsidR="001F6480" w:rsidRPr="009037BF">
        <w:rPr>
          <w:rFonts w:ascii="Arial" w:hAnsi="Arial" w:cs="Arial"/>
          <w:sz w:val="24"/>
          <w:szCs w:val="24"/>
        </w:rPr>
        <w:t>amount owing.</w:t>
      </w:r>
    </w:p>
    <w:p w14:paraId="6E88C6A7" w14:textId="77777777" w:rsidR="001F6480" w:rsidRPr="009037BF" w:rsidRDefault="001F6480" w:rsidP="009037BF">
      <w:pPr>
        <w:pStyle w:val="PlainText"/>
        <w:widowControl w:val="0"/>
        <w:spacing w:line="480" w:lineRule="auto"/>
        <w:ind w:left="709"/>
        <w:jc w:val="both"/>
        <w:rPr>
          <w:rFonts w:ascii="Arial" w:hAnsi="Arial" w:cs="Arial"/>
          <w:sz w:val="24"/>
          <w:szCs w:val="24"/>
        </w:rPr>
      </w:pPr>
    </w:p>
    <w:p w14:paraId="1039E763" w14:textId="2C18CE66" w:rsidR="001F6480"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56.</w:t>
      </w:r>
      <w:r w:rsidRPr="009037BF">
        <w:rPr>
          <w:rFonts w:ascii="Arial" w:hAnsi="Arial" w:cs="Arial"/>
          <w:sz w:val="24"/>
          <w:szCs w:val="24"/>
        </w:rPr>
        <w:tab/>
      </w:r>
      <w:r w:rsidR="001F6480" w:rsidRPr="009037BF">
        <w:rPr>
          <w:rFonts w:ascii="Arial" w:hAnsi="Arial" w:cs="Arial"/>
          <w:sz w:val="24"/>
          <w:szCs w:val="24"/>
        </w:rPr>
        <w:t>On 23 August 2021 the respondent</w:t>
      </w:r>
      <w:r w:rsidR="00335CE3" w:rsidRPr="009037BF">
        <w:rPr>
          <w:rFonts w:ascii="Arial" w:hAnsi="Arial" w:cs="Arial"/>
          <w:sz w:val="24"/>
          <w:szCs w:val="24"/>
        </w:rPr>
        <w:t>’</w:t>
      </w:r>
      <w:r w:rsidR="001F6480" w:rsidRPr="009037BF">
        <w:rPr>
          <w:rFonts w:ascii="Arial" w:hAnsi="Arial" w:cs="Arial"/>
          <w:sz w:val="24"/>
          <w:szCs w:val="24"/>
        </w:rPr>
        <w:t xml:space="preserve">s attorneys </w:t>
      </w:r>
      <w:r w:rsidR="00335CE3" w:rsidRPr="009037BF">
        <w:rPr>
          <w:rFonts w:ascii="Arial" w:hAnsi="Arial" w:cs="Arial"/>
          <w:sz w:val="24"/>
          <w:szCs w:val="24"/>
        </w:rPr>
        <w:t>responded that</w:t>
      </w:r>
      <w:r w:rsidR="001F6480" w:rsidRPr="009037BF">
        <w:rPr>
          <w:rFonts w:ascii="Arial" w:hAnsi="Arial" w:cs="Arial"/>
          <w:sz w:val="24"/>
          <w:szCs w:val="24"/>
        </w:rPr>
        <w:t xml:space="preserve">: </w:t>
      </w:r>
      <w:r w:rsidR="00335CE3" w:rsidRPr="009037BF">
        <w:rPr>
          <w:rFonts w:ascii="Arial" w:hAnsi="Arial" w:cs="Arial"/>
          <w:sz w:val="24"/>
          <w:szCs w:val="24"/>
        </w:rPr>
        <w:t>“</w:t>
      </w:r>
      <w:r w:rsidR="00335CE3" w:rsidRPr="009037BF">
        <w:rPr>
          <w:rFonts w:ascii="Arial" w:hAnsi="Arial" w:cs="Arial"/>
          <w:i/>
          <w:iCs/>
          <w:sz w:val="24"/>
          <w:szCs w:val="24"/>
        </w:rPr>
        <w:t>I</w:t>
      </w:r>
      <w:r w:rsidR="001F6480" w:rsidRPr="009037BF">
        <w:rPr>
          <w:rFonts w:ascii="Arial" w:hAnsi="Arial" w:cs="Arial"/>
          <w:i/>
          <w:iCs/>
          <w:sz w:val="24"/>
          <w:szCs w:val="24"/>
        </w:rPr>
        <w:t xml:space="preserve">n the settlement agreement received </w:t>
      </w:r>
      <w:r w:rsidR="00335CE3" w:rsidRPr="009037BF">
        <w:rPr>
          <w:rFonts w:ascii="Arial" w:hAnsi="Arial" w:cs="Arial"/>
          <w:i/>
          <w:iCs/>
          <w:sz w:val="24"/>
          <w:szCs w:val="24"/>
        </w:rPr>
        <w:t>under</w:t>
      </w:r>
      <w:r w:rsidR="001F6480" w:rsidRPr="009037BF">
        <w:rPr>
          <w:rFonts w:ascii="Arial" w:hAnsi="Arial" w:cs="Arial"/>
          <w:i/>
          <w:iCs/>
          <w:sz w:val="24"/>
          <w:szCs w:val="24"/>
        </w:rPr>
        <w:t xml:space="preserve"> the cover of your letter dated 7 July 2021 </w:t>
      </w:r>
      <w:r w:rsidR="005A6304" w:rsidRPr="009037BF">
        <w:rPr>
          <w:rFonts w:ascii="Arial" w:hAnsi="Arial" w:cs="Arial"/>
          <w:i/>
          <w:iCs/>
          <w:sz w:val="24"/>
          <w:szCs w:val="24"/>
        </w:rPr>
        <w:t>your c</w:t>
      </w:r>
      <w:r w:rsidR="001F6480" w:rsidRPr="009037BF">
        <w:rPr>
          <w:rFonts w:ascii="Arial" w:hAnsi="Arial" w:cs="Arial"/>
          <w:i/>
          <w:iCs/>
          <w:sz w:val="24"/>
          <w:szCs w:val="24"/>
        </w:rPr>
        <w:t xml:space="preserve">lient claimed </w:t>
      </w:r>
      <w:r w:rsidR="005A6304" w:rsidRPr="009037BF">
        <w:rPr>
          <w:rFonts w:ascii="Arial" w:hAnsi="Arial" w:cs="Arial"/>
          <w:i/>
          <w:iCs/>
          <w:sz w:val="24"/>
          <w:szCs w:val="24"/>
        </w:rPr>
        <w:t>ar</w:t>
      </w:r>
      <w:r w:rsidR="001F6480" w:rsidRPr="009037BF">
        <w:rPr>
          <w:rFonts w:ascii="Arial" w:hAnsi="Arial" w:cs="Arial"/>
          <w:i/>
          <w:iCs/>
          <w:sz w:val="24"/>
          <w:szCs w:val="24"/>
        </w:rPr>
        <w:t>rear maintenance of R350</w:t>
      </w:r>
      <w:r w:rsidR="005A6304" w:rsidRPr="009037BF">
        <w:rPr>
          <w:rFonts w:ascii="Arial" w:hAnsi="Arial" w:cs="Arial"/>
          <w:i/>
          <w:iCs/>
          <w:sz w:val="24"/>
          <w:szCs w:val="24"/>
        </w:rPr>
        <w:t xml:space="preserve"> </w:t>
      </w:r>
      <w:r w:rsidR="001F6480" w:rsidRPr="009037BF">
        <w:rPr>
          <w:rFonts w:ascii="Arial" w:hAnsi="Arial" w:cs="Arial"/>
          <w:i/>
          <w:iCs/>
          <w:sz w:val="24"/>
          <w:szCs w:val="24"/>
        </w:rPr>
        <w:t>000</w:t>
      </w:r>
      <w:r w:rsidR="005A6304" w:rsidRPr="009037BF">
        <w:rPr>
          <w:rFonts w:ascii="Arial" w:hAnsi="Arial" w:cs="Arial"/>
          <w:i/>
          <w:iCs/>
          <w:sz w:val="24"/>
          <w:szCs w:val="24"/>
        </w:rPr>
        <w:t>.00</w:t>
      </w:r>
      <w:r w:rsidR="001F6480" w:rsidRPr="009037BF">
        <w:rPr>
          <w:rFonts w:ascii="Arial" w:hAnsi="Arial" w:cs="Arial"/>
          <w:i/>
          <w:iCs/>
          <w:sz w:val="24"/>
          <w:szCs w:val="24"/>
        </w:rPr>
        <w:t xml:space="preserve">. </w:t>
      </w:r>
      <w:r w:rsidR="005A6304" w:rsidRPr="009037BF">
        <w:rPr>
          <w:rFonts w:ascii="Arial" w:hAnsi="Arial" w:cs="Arial"/>
          <w:i/>
          <w:iCs/>
          <w:sz w:val="24"/>
          <w:szCs w:val="24"/>
        </w:rPr>
        <w:t>Our</w:t>
      </w:r>
      <w:r w:rsidR="001F6480" w:rsidRPr="009037BF">
        <w:rPr>
          <w:rFonts w:ascii="Arial" w:hAnsi="Arial" w:cs="Arial"/>
          <w:i/>
          <w:iCs/>
          <w:sz w:val="24"/>
          <w:szCs w:val="24"/>
        </w:rPr>
        <w:t xml:space="preserve"> client effected payment of a sum of R360</w:t>
      </w:r>
      <w:r w:rsidR="005A6304" w:rsidRPr="009037BF">
        <w:rPr>
          <w:rFonts w:ascii="Arial" w:hAnsi="Arial" w:cs="Arial"/>
          <w:i/>
          <w:iCs/>
          <w:sz w:val="24"/>
          <w:szCs w:val="24"/>
        </w:rPr>
        <w:t xml:space="preserve"> </w:t>
      </w:r>
      <w:r w:rsidR="001F6480" w:rsidRPr="009037BF">
        <w:rPr>
          <w:rFonts w:ascii="Arial" w:hAnsi="Arial" w:cs="Arial"/>
          <w:i/>
          <w:iCs/>
          <w:sz w:val="24"/>
          <w:szCs w:val="24"/>
        </w:rPr>
        <w:t>000</w:t>
      </w:r>
      <w:r w:rsidR="005A6304" w:rsidRPr="009037BF">
        <w:rPr>
          <w:rFonts w:ascii="Arial" w:hAnsi="Arial" w:cs="Arial"/>
          <w:i/>
          <w:iCs/>
          <w:sz w:val="24"/>
          <w:szCs w:val="24"/>
        </w:rPr>
        <w:t>,00</w:t>
      </w:r>
      <w:r w:rsidR="001F6480" w:rsidRPr="009037BF">
        <w:rPr>
          <w:rFonts w:ascii="Arial" w:hAnsi="Arial" w:cs="Arial"/>
          <w:i/>
          <w:iCs/>
          <w:sz w:val="24"/>
          <w:szCs w:val="24"/>
        </w:rPr>
        <w:t xml:space="preserve"> which included maintenance for July and the arrears owing according to his calculations.</w:t>
      </w:r>
      <w:r w:rsidR="005A6304" w:rsidRPr="009037BF">
        <w:rPr>
          <w:rFonts w:ascii="Arial" w:hAnsi="Arial" w:cs="Arial"/>
          <w:sz w:val="24"/>
          <w:szCs w:val="24"/>
        </w:rPr>
        <w:t>”</w:t>
      </w:r>
    </w:p>
    <w:p w14:paraId="186E780A" w14:textId="77777777" w:rsidR="001F6480" w:rsidRPr="009037BF" w:rsidRDefault="001F6480" w:rsidP="009037BF">
      <w:pPr>
        <w:pStyle w:val="PlainText"/>
        <w:widowControl w:val="0"/>
        <w:spacing w:line="480" w:lineRule="auto"/>
        <w:ind w:left="706"/>
        <w:jc w:val="both"/>
        <w:rPr>
          <w:rFonts w:ascii="Arial" w:hAnsi="Arial" w:cs="Arial"/>
          <w:sz w:val="24"/>
          <w:szCs w:val="24"/>
        </w:rPr>
      </w:pPr>
    </w:p>
    <w:p w14:paraId="2BF2179E" w14:textId="52268DC0" w:rsidR="0029227B" w:rsidRPr="009037BF" w:rsidRDefault="00177EF4" w:rsidP="00177EF4">
      <w:pPr>
        <w:pStyle w:val="PlainText"/>
        <w:widowControl w:val="0"/>
        <w:tabs>
          <w:tab w:val="left" w:pos="709"/>
        </w:tabs>
        <w:spacing w:line="480" w:lineRule="auto"/>
        <w:ind w:left="706" w:hanging="709"/>
        <w:jc w:val="both"/>
        <w:rPr>
          <w:rFonts w:ascii="Arial" w:hAnsi="Arial" w:cs="Arial"/>
          <w:sz w:val="24"/>
          <w:szCs w:val="24"/>
        </w:rPr>
      </w:pPr>
      <w:r w:rsidRPr="009037BF">
        <w:rPr>
          <w:rFonts w:ascii="Arial" w:hAnsi="Arial" w:cs="Arial"/>
          <w:sz w:val="24"/>
          <w:szCs w:val="24"/>
        </w:rPr>
        <w:t>57.</w:t>
      </w:r>
      <w:r w:rsidRPr="009037BF">
        <w:rPr>
          <w:rFonts w:ascii="Arial" w:hAnsi="Arial" w:cs="Arial"/>
          <w:sz w:val="24"/>
          <w:szCs w:val="24"/>
        </w:rPr>
        <w:tab/>
      </w:r>
      <w:r w:rsidR="0029227B" w:rsidRPr="009037BF">
        <w:rPr>
          <w:rFonts w:ascii="Arial" w:hAnsi="Arial" w:cs="Arial"/>
          <w:sz w:val="24"/>
          <w:szCs w:val="24"/>
        </w:rPr>
        <w:t xml:space="preserve">Given that the onus to prove compromise is on the respondent, he had to place evidence before this Court to prove that it was his and the applicant’s common </w:t>
      </w:r>
      <w:r w:rsidR="0029227B" w:rsidRPr="009037BF">
        <w:rPr>
          <w:rFonts w:ascii="Arial" w:hAnsi="Arial" w:cs="Arial"/>
          <w:sz w:val="24"/>
          <w:szCs w:val="24"/>
        </w:rPr>
        <w:lastRenderedPageBreak/>
        <w:t>intention to be bound by a R350,000 arrear maintenance compromise.</w:t>
      </w:r>
    </w:p>
    <w:p w14:paraId="0180D19C" w14:textId="77777777" w:rsidR="0029227B" w:rsidRPr="009037BF" w:rsidRDefault="0029227B" w:rsidP="009037BF">
      <w:pPr>
        <w:pStyle w:val="ListParagraph"/>
        <w:widowControl w:val="0"/>
        <w:spacing w:line="480" w:lineRule="auto"/>
        <w:jc w:val="both"/>
        <w:rPr>
          <w:rFonts w:ascii="Arial" w:hAnsi="Arial" w:cs="Arial"/>
        </w:rPr>
      </w:pPr>
    </w:p>
    <w:p w14:paraId="068ACD3F" w14:textId="6145E9C8" w:rsidR="0029227B" w:rsidRPr="009037BF" w:rsidRDefault="00177EF4" w:rsidP="00177EF4">
      <w:pPr>
        <w:pStyle w:val="PlainText"/>
        <w:widowControl w:val="0"/>
        <w:tabs>
          <w:tab w:val="left" w:pos="709"/>
        </w:tabs>
        <w:spacing w:line="480" w:lineRule="auto"/>
        <w:ind w:left="706" w:hanging="709"/>
        <w:jc w:val="both"/>
        <w:rPr>
          <w:rFonts w:ascii="Arial" w:hAnsi="Arial" w:cs="Arial"/>
          <w:sz w:val="24"/>
          <w:szCs w:val="24"/>
        </w:rPr>
      </w:pPr>
      <w:r w:rsidRPr="009037BF">
        <w:rPr>
          <w:rFonts w:ascii="Arial" w:hAnsi="Arial" w:cs="Arial"/>
          <w:sz w:val="24"/>
          <w:szCs w:val="24"/>
        </w:rPr>
        <w:t>58.</w:t>
      </w:r>
      <w:r w:rsidRPr="009037BF">
        <w:rPr>
          <w:rFonts w:ascii="Arial" w:hAnsi="Arial" w:cs="Arial"/>
          <w:sz w:val="24"/>
          <w:szCs w:val="24"/>
        </w:rPr>
        <w:tab/>
      </w:r>
      <w:r w:rsidR="0029227B" w:rsidRPr="009037BF">
        <w:rPr>
          <w:rFonts w:ascii="Arial" w:hAnsi="Arial" w:cs="Arial"/>
          <w:sz w:val="24"/>
          <w:szCs w:val="24"/>
        </w:rPr>
        <w:t xml:space="preserve">The correspondence referred to above proves nothing of the sort, and the respondent has adduced no other evidence to further his case.  At no stage prior to the making of the R360,000 </w:t>
      </w:r>
      <w:proofErr w:type="gramStart"/>
      <w:r w:rsidR="0029227B" w:rsidRPr="009037BF">
        <w:rPr>
          <w:rFonts w:ascii="Arial" w:hAnsi="Arial" w:cs="Arial"/>
          <w:sz w:val="24"/>
          <w:szCs w:val="24"/>
        </w:rPr>
        <w:t>payment</w:t>
      </w:r>
      <w:proofErr w:type="gramEnd"/>
      <w:r w:rsidR="0029227B" w:rsidRPr="009037BF">
        <w:rPr>
          <w:rFonts w:ascii="Arial" w:hAnsi="Arial" w:cs="Arial"/>
          <w:sz w:val="24"/>
          <w:szCs w:val="24"/>
        </w:rPr>
        <w:t xml:space="preserve"> on 29 July 2021 was there a meeting of the parties’ minds in relation to the settlement of the divorce in its entirety, as was the purpose of the provision of the draft settlement agreement to the respondent. The terms of the email of 7 July 2021 were clear and unambiguous. Only if the parties were to settle the divorce in its entirety in accordance with the provisions of the settlement agreement would the applicant compromise her maintenance claim by accepting payment of the sum of R350,000.</w:t>
      </w:r>
    </w:p>
    <w:p w14:paraId="15F095CC" w14:textId="77777777" w:rsidR="0029227B" w:rsidRPr="009037BF" w:rsidRDefault="0029227B" w:rsidP="009037BF">
      <w:pPr>
        <w:pStyle w:val="ListParagraph"/>
        <w:widowControl w:val="0"/>
        <w:spacing w:line="480" w:lineRule="auto"/>
        <w:jc w:val="both"/>
        <w:rPr>
          <w:rFonts w:ascii="Arial" w:hAnsi="Arial" w:cs="Arial"/>
        </w:rPr>
      </w:pPr>
    </w:p>
    <w:p w14:paraId="6FF89AA3" w14:textId="61B469A6" w:rsidR="0029227B" w:rsidRPr="009037BF" w:rsidRDefault="00177EF4" w:rsidP="00177EF4">
      <w:pPr>
        <w:pStyle w:val="PlainText"/>
        <w:widowControl w:val="0"/>
        <w:tabs>
          <w:tab w:val="left" w:pos="709"/>
        </w:tabs>
        <w:spacing w:line="480" w:lineRule="auto"/>
        <w:ind w:left="706" w:hanging="709"/>
        <w:jc w:val="both"/>
        <w:rPr>
          <w:rFonts w:ascii="Arial" w:hAnsi="Arial" w:cs="Arial"/>
          <w:sz w:val="24"/>
          <w:szCs w:val="24"/>
        </w:rPr>
      </w:pPr>
      <w:r w:rsidRPr="009037BF">
        <w:rPr>
          <w:rFonts w:ascii="Arial" w:hAnsi="Arial" w:cs="Arial"/>
          <w:sz w:val="24"/>
          <w:szCs w:val="24"/>
        </w:rPr>
        <w:t>59.</w:t>
      </w:r>
      <w:r w:rsidRPr="009037BF">
        <w:rPr>
          <w:rFonts w:ascii="Arial" w:hAnsi="Arial" w:cs="Arial"/>
          <w:sz w:val="24"/>
          <w:szCs w:val="24"/>
        </w:rPr>
        <w:tab/>
      </w:r>
      <w:r w:rsidR="0029227B" w:rsidRPr="009037BF">
        <w:rPr>
          <w:rFonts w:ascii="Arial" w:hAnsi="Arial" w:cs="Arial"/>
          <w:sz w:val="24"/>
          <w:szCs w:val="24"/>
        </w:rPr>
        <w:t>The applicant was therefore entitled to retain a payment of R360,000 in reduction of the entire sum owed to her as set out in her reconciliation. That left her with her current claim of R334,998.02.</w:t>
      </w:r>
    </w:p>
    <w:p w14:paraId="0244F4BD" w14:textId="77777777" w:rsidR="0029227B" w:rsidRPr="009037BF" w:rsidRDefault="0029227B" w:rsidP="009037BF">
      <w:pPr>
        <w:pStyle w:val="ListParagraph"/>
        <w:widowControl w:val="0"/>
        <w:spacing w:line="480" w:lineRule="auto"/>
        <w:jc w:val="both"/>
        <w:rPr>
          <w:rFonts w:ascii="Arial" w:hAnsi="Arial" w:cs="Arial"/>
        </w:rPr>
      </w:pPr>
    </w:p>
    <w:p w14:paraId="3C14BA89" w14:textId="41908E6B" w:rsidR="0029227B" w:rsidRPr="009037BF" w:rsidRDefault="00177EF4" w:rsidP="00177EF4">
      <w:pPr>
        <w:pStyle w:val="PlainText"/>
        <w:widowControl w:val="0"/>
        <w:tabs>
          <w:tab w:val="left" w:pos="709"/>
        </w:tabs>
        <w:spacing w:line="480" w:lineRule="auto"/>
        <w:ind w:left="706" w:hanging="709"/>
        <w:jc w:val="both"/>
        <w:rPr>
          <w:rFonts w:ascii="Arial" w:hAnsi="Arial" w:cs="Arial"/>
          <w:sz w:val="24"/>
          <w:szCs w:val="24"/>
        </w:rPr>
      </w:pPr>
      <w:r w:rsidRPr="009037BF">
        <w:rPr>
          <w:rFonts w:ascii="Arial" w:hAnsi="Arial" w:cs="Arial"/>
          <w:sz w:val="24"/>
          <w:szCs w:val="24"/>
        </w:rPr>
        <w:t>60.</w:t>
      </w:r>
      <w:r w:rsidRPr="009037BF">
        <w:rPr>
          <w:rFonts w:ascii="Arial" w:hAnsi="Arial" w:cs="Arial"/>
          <w:sz w:val="24"/>
          <w:szCs w:val="24"/>
        </w:rPr>
        <w:tab/>
      </w:r>
      <w:r w:rsidR="0029227B" w:rsidRPr="009037BF">
        <w:rPr>
          <w:rFonts w:ascii="Arial" w:hAnsi="Arial" w:cs="Arial"/>
          <w:sz w:val="24"/>
          <w:szCs w:val="24"/>
        </w:rPr>
        <w:t>In the light of the discussion set out above, I am satisfied that the respondent is in contempt of the Rule 43 order.</w:t>
      </w:r>
    </w:p>
    <w:p w14:paraId="64A61A45" w14:textId="77777777" w:rsidR="0061609F" w:rsidRPr="009037BF" w:rsidRDefault="0061609F" w:rsidP="009037BF">
      <w:pPr>
        <w:pStyle w:val="PlainText"/>
        <w:widowControl w:val="0"/>
        <w:spacing w:line="480" w:lineRule="auto"/>
        <w:ind w:left="709"/>
        <w:jc w:val="both"/>
        <w:rPr>
          <w:rFonts w:ascii="Arial" w:hAnsi="Arial" w:cs="Arial"/>
          <w:sz w:val="24"/>
          <w:szCs w:val="24"/>
        </w:rPr>
      </w:pPr>
    </w:p>
    <w:p w14:paraId="10569EE2" w14:textId="4BE0035C" w:rsidR="001E05C3" w:rsidRPr="009037BF" w:rsidRDefault="00A31EBC" w:rsidP="009037BF">
      <w:pPr>
        <w:widowControl w:val="0"/>
        <w:spacing w:line="480" w:lineRule="auto"/>
        <w:jc w:val="both"/>
        <w:rPr>
          <w:rFonts w:ascii="Arial" w:hAnsi="Arial" w:cs="Arial"/>
          <w:u w:val="single"/>
          <w:lang w:val="en-GB"/>
        </w:rPr>
      </w:pPr>
      <w:r w:rsidRPr="009037BF">
        <w:rPr>
          <w:rFonts w:ascii="Arial" w:hAnsi="Arial" w:cs="Arial"/>
          <w:u w:val="single"/>
          <w:lang w:val="en-GB"/>
        </w:rPr>
        <w:t xml:space="preserve">The practice directions issued by </w:t>
      </w:r>
      <w:r w:rsidRPr="009037BF">
        <w:rPr>
          <w:rFonts w:ascii="Arial" w:hAnsi="Arial" w:cs="Arial"/>
          <w:color w:val="000000" w:themeColor="text1"/>
          <w:u w:val="single"/>
          <w:lang w:val="en-GB"/>
        </w:rPr>
        <w:t>the Honourable Justice Dolamo on 7 October 2020 and 26 November 2020</w:t>
      </w:r>
    </w:p>
    <w:p w14:paraId="11E00CC1" w14:textId="77777777" w:rsidR="00A31EBC" w:rsidRPr="009037BF" w:rsidRDefault="00A31EBC" w:rsidP="009037BF">
      <w:pPr>
        <w:pStyle w:val="ListParagraph"/>
        <w:widowControl w:val="0"/>
        <w:spacing w:line="480" w:lineRule="auto"/>
        <w:ind w:left="709"/>
        <w:jc w:val="both"/>
        <w:rPr>
          <w:rFonts w:ascii="Arial" w:hAnsi="Arial" w:cs="Arial"/>
          <w:lang w:val="en-GB"/>
        </w:rPr>
      </w:pPr>
    </w:p>
    <w:p w14:paraId="15EA8B71" w14:textId="1DF0FFC3" w:rsidR="00A31EBC"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61.</w:t>
      </w:r>
      <w:r w:rsidRPr="009037BF">
        <w:rPr>
          <w:rFonts w:ascii="Arial" w:hAnsi="Arial" w:cs="Arial"/>
          <w:lang w:val="en-GB"/>
        </w:rPr>
        <w:tab/>
      </w:r>
      <w:r w:rsidR="00A31EBC" w:rsidRPr="00177EF4">
        <w:rPr>
          <w:rFonts w:ascii="Arial" w:hAnsi="Arial" w:cs="Arial"/>
          <w:lang w:val="en-GB"/>
        </w:rPr>
        <w:t xml:space="preserve">In </w:t>
      </w:r>
      <w:r w:rsidR="00A31EBC" w:rsidRPr="00177EF4">
        <w:rPr>
          <w:rFonts w:ascii="Arial" w:hAnsi="Arial" w:cs="Arial"/>
          <w:i/>
          <w:iCs/>
          <w:lang w:val="en-GB"/>
        </w:rPr>
        <w:t>MT v CT</w:t>
      </w:r>
      <w:r w:rsidR="00A31EBC" w:rsidRPr="00177EF4">
        <w:rPr>
          <w:rFonts w:ascii="Arial" w:hAnsi="Arial" w:cs="Arial"/>
          <w:lang w:val="en-GB"/>
        </w:rPr>
        <w:t xml:space="preserve"> 2016 (4) SA 193 (WCC) this Court </w:t>
      </w:r>
      <w:r w:rsidR="008878BA" w:rsidRPr="00177EF4">
        <w:rPr>
          <w:rFonts w:ascii="Arial" w:hAnsi="Arial" w:cs="Arial"/>
          <w:lang w:val="en-GB"/>
        </w:rPr>
        <w:t>discussed whether contempt proceedings were apposite in the context of the failure to adhere to practice directions.  At para [19] the Court stated:</w:t>
      </w:r>
    </w:p>
    <w:p w14:paraId="4ECA5670" w14:textId="4362F236" w:rsidR="008878BA" w:rsidRPr="009037BF" w:rsidRDefault="008878BA" w:rsidP="009037BF">
      <w:pPr>
        <w:pStyle w:val="ListParagraph"/>
        <w:widowControl w:val="0"/>
        <w:spacing w:line="480" w:lineRule="auto"/>
        <w:ind w:left="709"/>
        <w:jc w:val="both"/>
        <w:rPr>
          <w:rFonts w:ascii="Arial" w:hAnsi="Arial" w:cs="Arial"/>
          <w:lang w:val="en-GB"/>
        </w:rPr>
      </w:pPr>
    </w:p>
    <w:p w14:paraId="45F2CE32" w14:textId="7C572449" w:rsidR="008878BA" w:rsidRPr="009037BF" w:rsidRDefault="008878BA" w:rsidP="009037BF">
      <w:pPr>
        <w:pStyle w:val="ListParagraph"/>
        <w:widowControl w:val="0"/>
        <w:spacing w:line="480" w:lineRule="auto"/>
        <w:ind w:left="706"/>
        <w:jc w:val="both"/>
        <w:rPr>
          <w:rFonts w:ascii="Arial" w:hAnsi="Arial" w:cs="Arial"/>
          <w:lang w:val="en-GB"/>
        </w:rPr>
      </w:pPr>
      <w:r w:rsidRPr="009037BF">
        <w:rPr>
          <w:rFonts w:ascii="Arial" w:hAnsi="Arial" w:cs="Arial"/>
          <w:lang w:val="en-GB"/>
        </w:rPr>
        <w:t>“</w:t>
      </w:r>
      <w:r w:rsidRPr="009037BF">
        <w:rPr>
          <w:rFonts w:ascii="Arial" w:hAnsi="Arial" w:cs="Arial"/>
          <w:shd w:val="clear" w:color="auto" w:fill="FFFFFF"/>
        </w:rPr>
        <w:t>…</w:t>
      </w:r>
      <w:r w:rsidRPr="009037BF">
        <w:rPr>
          <w:rFonts w:ascii="Arial" w:hAnsi="Arial" w:cs="Arial"/>
          <w:i/>
          <w:iCs/>
          <w:shd w:val="clear" w:color="auto" w:fill="FFFFFF"/>
        </w:rPr>
        <w:t xml:space="preserve"> the court requested Ms Holderness to address it on the question as to whether it was appropriate to hold proceedings for contempt of court against a person who had disobeyed a direction given in terms of rule 37(8), as opposed to a court order per se. Ms Holderness submitted that such a direction was not an order and that contempt proceedings were accordingly not appropriate. She referred the court to the express wording of rule 37(8)(c) in which the judge presiding at a rule 37(8) conference may only give a direction when there is agreement between the parties in relation thereto. Counsel fairly submitted that if a practice direction were given pursuant to such agreement it would be appropriate for contempt proceedings to follow in the event of non-compliance therewith</w:t>
      </w:r>
      <w:r w:rsidRPr="009037BF">
        <w:rPr>
          <w:rFonts w:ascii="Arial" w:hAnsi="Arial" w:cs="Arial"/>
          <w:shd w:val="clear" w:color="auto" w:fill="FFFFFF"/>
        </w:rPr>
        <w:t xml:space="preserve"> …”</w:t>
      </w:r>
    </w:p>
    <w:p w14:paraId="54240617" w14:textId="77777777" w:rsidR="008878BA" w:rsidRPr="009037BF" w:rsidRDefault="008878BA" w:rsidP="009037BF">
      <w:pPr>
        <w:pStyle w:val="ListParagraph"/>
        <w:widowControl w:val="0"/>
        <w:spacing w:line="480" w:lineRule="auto"/>
        <w:ind w:left="706"/>
        <w:jc w:val="both"/>
        <w:rPr>
          <w:rFonts w:ascii="Arial" w:hAnsi="Arial" w:cs="Arial"/>
          <w:lang w:val="en-GB"/>
        </w:rPr>
      </w:pPr>
    </w:p>
    <w:p w14:paraId="1FD1A9B5" w14:textId="67CB4335" w:rsidR="005002D7" w:rsidRPr="009037BF" w:rsidRDefault="00177EF4" w:rsidP="00177EF4">
      <w:pPr>
        <w:pStyle w:val="PlainText"/>
        <w:widowControl w:val="0"/>
        <w:tabs>
          <w:tab w:val="left" w:pos="709"/>
        </w:tabs>
        <w:spacing w:line="480" w:lineRule="auto"/>
        <w:ind w:left="706" w:hanging="709"/>
        <w:jc w:val="both"/>
        <w:rPr>
          <w:rFonts w:ascii="Arial" w:hAnsi="Arial" w:cs="Arial"/>
          <w:sz w:val="24"/>
          <w:szCs w:val="24"/>
        </w:rPr>
      </w:pPr>
      <w:r w:rsidRPr="009037BF">
        <w:rPr>
          <w:rFonts w:ascii="Arial" w:hAnsi="Arial" w:cs="Arial"/>
          <w:sz w:val="24"/>
          <w:szCs w:val="24"/>
        </w:rPr>
        <w:t>62.</w:t>
      </w:r>
      <w:r w:rsidRPr="009037BF">
        <w:rPr>
          <w:rFonts w:ascii="Arial" w:hAnsi="Arial" w:cs="Arial"/>
          <w:sz w:val="24"/>
          <w:szCs w:val="24"/>
        </w:rPr>
        <w:tab/>
      </w:r>
      <w:r w:rsidR="008878BA" w:rsidRPr="009037BF">
        <w:rPr>
          <w:rFonts w:ascii="Arial" w:hAnsi="Arial" w:cs="Arial"/>
          <w:sz w:val="24"/>
          <w:szCs w:val="24"/>
          <w:lang w:val="en-GB"/>
        </w:rPr>
        <w:t xml:space="preserve">Following a discussion of various authorities regarding the nature of contempt, </w:t>
      </w:r>
      <w:r w:rsidR="009552C9" w:rsidRPr="009037BF">
        <w:rPr>
          <w:rFonts w:ascii="Arial" w:hAnsi="Arial" w:cs="Arial"/>
          <w:sz w:val="24"/>
          <w:szCs w:val="24"/>
          <w:lang w:val="en-GB"/>
        </w:rPr>
        <w:t>which at common law “</w:t>
      </w:r>
      <w:r w:rsidR="009552C9" w:rsidRPr="009037BF">
        <w:rPr>
          <w:rFonts w:ascii="Arial" w:hAnsi="Arial" w:cs="Arial"/>
          <w:i/>
          <w:iCs/>
          <w:sz w:val="24"/>
          <w:szCs w:val="24"/>
          <w:lang w:val="en-GB"/>
        </w:rPr>
        <w:t xml:space="preserve">may adequately be defined as an injury </w:t>
      </w:r>
      <w:r w:rsidR="009552C9" w:rsidRPr="009037BF">
        <w:rPr>
          <w:rFonts w:ascii="Arial" w:hAnsi="Arial" w:cs="Arial"/>
          <w:i/>
          <w:iCs/>
          <w:sz w:val="24"/>
          <w:szCs w:val="24"/>
        </w:rPr>
        <w:t>committed against a person or body occupying a public judicial office, by which injury the dignity and respect which is due to such office or its authority in the administration of justice is intentionally violated</w:t>
      </w:r>
      <w:r w:rsidR="005002D7" w:rsidRPr="009037BF">
        <w:rPr>
          <w:rFonts w:ascii="Arial" w:hAnsi="Arial" w:cs="Arial"/>
          <w:sz w:val="24"/>
          <w:szCs w:val="24"/>
        </w:rPr>
        <w:t>”</w:t>
      </w:r>
      <w:r w:rsidR="009552C9" w:rsidRPr="009037BF">
        <w:rPr>
          <w:rFonts w:ascii="Arial" w:hAnsi="Arial" w:cs="Arial"/>
          <w:sz w:val="24"/>
          <w:szCs w:val="24"/>
        </w:rPr>
        <w:t xml:space="preserve"> (see Melius de Villiers </w:t>
      </w:r>
      <w:r w:rsidR="009552C9" w:rsidRPr="009037BF">
        <w:rPr>
          <w:rFonts w:ascii="Arial" w:hAnsi="Arial" w:cs="Arial"/>
          <w:i/>
          <w:iCs/>
          <w:sz w:val="24"/>
          <w:szCs w:val="24"/>
        </w:rPr>
        <w:t>The Roman and Roman Dutch Law of Injuries</w:t>
      </w:r>
      <w:r w:rsidR="009552C9" w:rsidRPr="009037BF">
        <w:rPr>
          <w:rFonts w:ascii="Arial" w:hAnsi="Arial" w:cs="Arial"/>
          <w:sz w:val="24"/>
          <w:szCs w:val="24"/>
        </w:rPr>
        <w:t xml:space="preserve"> (1899) at 166), </w:t>
      </w:r>
      <w:r w:rsidR="005002D7" w:rsidRPr="009037BF">
        <w:rPr>
          <w:rFonts w:ascii="Arial" w:hAnsi="Arial" w:cs="Arial"/>
          <w:sz w:val="24"/>
          <w:szCs w:val="24"/>
        </w:rPr>
        <w:t>t</w:t>
      </w:r>
      <w:r w:rsidR="009552C9" w:rsidRPr="009037BF">
        <w:rPr>
          <w:rFonts w:ascii="Arial" w:hAnsi="Arial" w:cs="Arial"/>
          <w:sz w:val="24"/>
          <w:szCs w:val="24"/>
        </w:rPr>
        <w:t xml:space="preserve">he </w:t>
      </w:r>
      <w:r w:rsidR="005002D7" w:rsidRPr="009037BF">
        <w:rPr>
          <w:rFonts w:ascii="Arial" w:hAnsi="Arial" w:cs="Arial"/>
          <w:sz w:val="24"/>
          <w:szCs w:val="24"/>
        </w:rPr>
        <w:t xml:space="preserve">Court </w:t>
      </w:r>
      <w:r w:rsidR="009552C9" w:rsidRPr="009037BF">
        <w:rPr>
          <w:rFonts w:ascii="Arial" w:hAnsi="Arial" w:cs="Arial"/>
          <w:sz w:val="24"/>
          <w:szCs w:val="24"/>
        </w:rPr>
        <w:t xml:space="preserve">proceeded with a discussion of the nature and purpose of </w:t>
      </w:r>
      <w:r w:rsidR="005002D7" w:rsidRPr="009037BF">
        <w:rPr>
          <w:rFonts w:ascii="Arial" w:hAnsi="Arial" w:cs="Arial"/>
          <w:sz w:val="24"/>
          <w:szCs w:val="24"/>
        </w:rPr>
        <w:t>R</w:t>
      </w:r>
      <w:r w:rsidR="009552C9" w:rsidRPr="009037BF">
        <w:rPr>
          <w:rFonts w:ascii="Arial" w:hAnsi="Arial" w:cs="Arial"/>
          <w:sz w:val="24"/>
          <w:szCs w:val="24"/>
        </w:rPr>
        <w:t>ule 37</w:t>
      </w:r>
      <w:r w:rsidR="005002D7" w:rsidRPr="009037BF">
        <w:rPr>
          <w:rFonts w:ascii="Arial" w:hAnsi="Arial" w:cs="Arial"/>
          <w:sz w:val="24"/>
          <w:szCs w:val="24"/>
        </w:rPr>
        <w:t>(8)</w:t>
      </w:r>
      <w:r w:rsidR="009552C9" w:rsidRPr="009037BF">
        <w:rPr>
          <w:rFonts w:ascii="Arial" w:hAnsi="Arial" w:cs="Arial"/>
          <w:sz w:val="24"/>
          <w:szCs w:val="24"/>
        </w:rPr>
        <w:t xml:space="preserve"> procedures in this division</w:t>
      </w:r>
      <w:r w:rsidR="005002D7" w:rsidRPr="009037BF">
        <w:rPr>
          <w:rFonts w:ascii="Arial" w:hAnsi="Arial" w:cs="Arial"/>
          <w:sz w:val="24"/>
          <w:szCs w:val="24"/>
        </w:rPr>
        <w:t>:</w:t>
      </w:r>
    </w:p>
    <w:p w14:paraId="6BB5F18B" w14:textId="69EA04D8" w:rsidR="009552C9" w:rsidRPr="009037BF" w:rsidRDefault="009552C9" w:rsidP="009037BF">
      <w:pPr>
        <w:pStyle w:val="PlainText"/>
        <w:widowControl w:val="0"/>
        <w:spacing w:line="480" w:lineRule="auto"/>
        <w:ind w:left="709"/>
        <w:jc w:val="both"/>
        <w:rPr>
          <w:rFonts w:ascii="Arial" w:hAnsi="Arial" w:cs="Arial"/>
          <w:sz w:val="24"/>
          <w:szCs w:val="24"/>
        </w:rPr>
      </w:pPr>
    </w:p>
    <w:p w14:paraId="6CD5108F" w14:textId="180C64C2" w:rsidR="005002D7" w:rsidRPr="009037BF" w:rsidRDefault="005002D7" w:rsidP="009037BF">
      <w:pPr>
        <w:pStyle w:val="lrpara"/>
        <w:widowControl w:val="0"/>
        <w:shd w:val="clear" w:color="auto" w:fill="FFFFFF"/>
        <w:spacing w:before="0" w:beforeAutospacing="0" w:after="0" w:afterAutospacing="0" w:line="480" w:lineRule="auto"/>
        <w:ind w:left="706"/>
        <w:jc w:val="both"/>
        <w:rPr>
          <w:rFonts w:ascii="Arial" w:hAnsi="Arial" w:cs="Arial"/>
          <w:i/>
          <w:iCs/>
        </w:rPr>
      </w:pPr>
      <w:r w:rsidRPr="009037BF">
        <w:rPr>
          <w:rFonts w:ascii="Arial" w:hAnsi="Arial" w:cs="Arial"/>
        </w:rPr>
        <w:t>“</w:t>
      </w:r>
      <w:r w:rsidRPr="009037BF">
        <w:rPr>
          <w:rFonts w:ascii="Arial" w:hAnsi="Arial" w:cs="Arial"/>
          <w:i/>
          <w:iCs/>
        </w:rPr>
        <w:t xml:space="preserve">[26] In terms of a directive issued by the Judge President, the judges of this division preside over pre-trial conferences in open court on a regular basis during term time. The purpose of these hearings is to expedite the speedy resolution of matters in which the pleadings have closed and which have therefore been enrolled for trial with the registrar. Judges preside over such matters on a roster-basis at hearings conducted </w:t>
      </w:r>
      <w:r w:rsidRPr="009037BF">
        <w:rPr>
          <w:rFonts w:ascii="Arial" w:hAnsi="Arial" w:cs="Arial"/>
          <w:i/>
          <w:iCs/>
        </w:rPr>
        <w:lastRenderedPageBreak/>
        <w:t>before the commencement of the court day, and they do not robe, although the proceedings are held in open court.</w:t>
      </w:r>
      <w:r w:rsidR="002963D8" w:rsidRPr="009037BF">
        <w:rPr>
          <w:rFonts w:ascii="Arial" w:hAnsi="Arial" w:cs="Arial"/>
          <w:i/>
          <w:iCs/>
        </w:rPr>
        <w:t xml:space="preserve"> …</w:t>
      </w:r>
      <w:r w:rsidRPr="009037BF">
        <w:rPr>
          <w:rFonts w:ascii="Arial" w:hAnsi="Arial" w:cs="Arial"/>
          <w:i/>
          <w:iCs/>
        </w:rPr>
        <w:t>.</w:t>
      </w:r>
    </w:p>
    <w:p w14:paraId="44E922F4" w14:textId="3B7B0E3D" w:rsidR="005002D7" w:rsidRPr="005002D7" w:rsidRDefault="005002D7" w:rsidP="009037BF">
      <w:pPr>
        <w:widowControl w:val="0"/>
        <w:shd w:val="clear" w:color="auto" w:fill="FFFFFF"/>
        <w:spacing w:line="480" w:lineRule="auto"/>
        <w:ind w:left="706" w:firstLine="60"/>
        <w:jc w:val="both"/>
        <w:rPr>
          <w:rFonts w:ascii="Arial" w:hAnsi="Arial" w:cs="Arial"/>
          <w:i/>
          <w:iCs/>
          <w:lang w:val="en-ZA" w:eastAsia="en-ZA"/>
        </w:rPr>
      </w:pPr>
      <w:r w:rsidRPr="005002D7">
        <w:rPr>
          <w:rFonts w:ascii="Arial" w:hAnsi="Arial" w:cs="Arial"/>
          <w:i/>
          <w:iCs/>
          <w:lang w:val="en-ZA" w:eastAsia="en-ZA"/>
        </w:rPr>
        <w:t>[27] The parties are represented by attorneys, and sometimes counsel. The legal representatives inform the judge of the status of the trial preparation in the case and usually ask for an agreed timetable, for the filing of any further pleadings or notices in terms of the rules, to be authorised by the presiding judge. In the event that a party is in default of a procedural step, eg has failed to file a reply to a request for trial particulars, or claims that certain documents are not discoverable, the pre-trial procedure is held in abeyance while the parties take the dispute to the motion court for resolution there: the rule 37(8) procedure is not geared to the resolution of pre-trial disputes which invariably require the filing of affidavits and heads of argument.</w:t>
      </w:r>
    </w:p>
    <w:p w14:paraId="483930C2" w14:textId="1BFF31CD" w:rsidR="005002D7" w:rsidRPr="005002D7" w:rsidRDefault="005002D7" w:rsidP="009037BF">
      <w:pPr>
        <w:widowControl w:val="0"/>
        <w:shd w:val="clear" w:color="auto" w:fill="FFFFFF"/>
        <w:spacing w:line="480" w:lineRule="auto"/>
        <w:ind w:left="706" w:firstLine="60"/>
        <w:jc w:val="both"/>
        <w:rPr>
          <w:rFonts w:ascii="Arial" w:hAnsi="Arial" w:cs="Arial"/>
          <w:lang w:val="en-ZA" w:eastAsia="en-ZA"/>
        </w:rPr>
      </w:pPr>
      <w:r w:rsidRPr="005002D7">
        <w:rPr>
          <w:rFonts w:ascii="Arial" w:hAnsi="Arial" w:cs="Arial"/>
          <w:i/>
          <w:iCs/>
          <w:lang w:val="en-ZA" w:eastAsia="en-ZA"/>
        </w:rPr>
        <w:t>[28] The intervention of the judge at a rule 37(8) conference is fairly limited. For example, if the time sought for a postponement is considered to be unduly lengthy, or the parties cannot agree on such a date, the judge may fix a date unilaterally. Furthermore, in the event that the parties are unable to agree on a date, or a step to be taken, the judge may be asked by one of the parties to direct accordingly. The function of rule 37(8) procedures in this division is to speed up the pre-trial process and to ensure that when a matter is allocated a trial date, that it is indeed trial ready. To this end the practice is for the rule 37(8) judge to issue a compliance certificate when all pre-trial steps have been completed.</w:t>
      </w:r>
      <w:r w:rsidR="002963D8" w:rsidRPr="009037BF">
        <w:rPr>
          <w:rFonts w:ascii="Arial" w:hAnsi="Arial" w:cs="Arial"/>
          <w:lang w:val="en-ZA" w:eastAsia="en-ZA"/>
        </w:rPr>
        <w:t>”</w:t>
      </w:r>
    </w:p>
    <w:p w14:paraId="3E004800" w14:textId="77777777" w:rsidR="009552C9" w:rsidRPr="009037BF" w:rsidRDefault="009552C9" w:rsidP="009037BF">
      <w:pPr>
        <w:pStyle w:val="PlainText"/>
        <w:widowControl w:val="0"/>
        <w:spacing w:line="480" w:lineRule="auto"/>
        <w:jc w:val="both"/>
        <w:rPr>
          <w:rFonts w:ascii="Arial" w:hAnsi="Arial" w:cs="Arial"/>
          <w:sz w:val="24"/>
          <w:szCs w:val="24"/>
        </w:rPr>
      </w:pPr>
    </w:p>
    <w:p w14:paraId="1F44D631" w14:textId="7DC77472" w:rsidR="008878BA"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63.</w:t>
      </w:r>
      <w:r w:rsidRPr="009037BF">
        <w:rPr>
          <w:rFonts w:ascii="Arial" w:hAnsi="Arial" w:cs="Arial"/>
          <w:lang w:val="en-GB"/>
        </w:rPr>
        <w:tab/>
      </w:r>
      <w:r w:rsidR="00116F95" w:rsidRPr="00177EF4">
        <w:rPr>
          <w:rFonts w:ascii="Arial" w:hAnsi="Arial" w:cs="Arial"/>
        </w:rPr>
        <w:t>The Court</w:t>
      </w:r>
      <w:r w:rsidR="009552C9" w:rsidRPr="00177EF4">
        <w:rPr>
          <w:rFonts w:ascii="Arial" w:hAnsi="Arial" w:cs="Arial"/>
        </w:rPr>
        <w:t xml:space="preserve"> concluded as follows </w:t>
      </w:r>
      <w:r w:rsidR="00116F95" w:rsidRPr="00177EF4">
        <w:rPr>
          <w:rFonts w:ascii="Arial" w:hAnsi="Arial" w:cs="Arial"/>
        </w:rPr>
        <w:t>in this respect</w:t>
      </w:r>
      <w:r w:rsidR="009552C9" w:rsidRPr="00177EF4">
        <w:rPr>
          <w:rFonts w:ascii="Arial" w:hAnsi="Arial" w:cs="Arial"/>
        </w:rPr>
        <w:t>:</w:t>
      </w:r>
    </w:p>
    <w:p w14:paraId="7375935C" w14:textId="00A331FA" w:rsidR="00116F95" w:rsidRPr="009037BF" w:rsidRDefault="00116F95" w:rsidP="009037BF">
      <w:pPr>
        <w:pStyle w:val="ListParagraph"/>
        <w:widowControl w:val="0"/>
        <w:spacing w:line="480" w:lineRule="auto"/>
        <w:ind w:left="709"/>
        <w:jc w:val="both"/>
        <w:rPr>
          <w:rFonts w:ascii="Arial" w:hAnsi="Arial" w:cs="Arial"/>
        </w:rPr>
      </w:pPr>
    </w:p>
    <w:p w14:paraId="25B77AFA" w14:textId="5A3D6B89" w:rsidR="00116F95" w:rsidRPr="00116F95" w:rsidRDefault="00116F95" w:rsidP="009037BF">
      <w:pPr>
        <w:widowControl w:val="0"/>
        <w:shd w:val="clear" w:color="auto" w:fill="FFFFFF"/>
        <w:spacing w:line="480" w:lineRule="auto"/>
        <w:ind w:left="709"/>
        <w:jc w:val="both"/>
        <w:rPr>
          <w:rFonts w:ascii="Arial" w:hAnsi="Arial" w:cs="Arial"/>
          <w:i/>
          <w:iCs/>
          <w:lang w:val="en-ZA" w:eastAsia="en-ZA"/>
        </w:rPr>
      </w:pPr>
      <w:r w:rsidRPr="009037BF">
        <w:rPr>
          <w:rFonts w:ascii="Arial" w:hAnsi="Arial" w:cs="Arial"/>
          <w:lang w:val="en-ZA" w:eastAsia="en-ZA"/>
        </w:rPr>
        <w:t>“</w:t>
      </w:r>
      <w:r w:rsidRPr="00116F95">
        <w:rPr>
          <w:rFonts w:ascii="Arial" w:hAnsi="Arial" w:cs="Arial"/>
          <w:i/>
          <w:iCs/>
          <w:lang w:val="en-ZA" w:eastAsia="en-ZA"/>
        </w:rPr>
        <w:t xml:space="preserve">[33] In my respectful view it does not matter that the direction which was given on 6 November 2015 was not a court order per se. Disregarding the fact that the plaintiff </w:t>
      </w:r>
      <w:r w:rsidRPr="00116F95">
        <w:rPr>
          <w:rFonts w:ascii="Arial" w:hAnsi="Arial" w:cs="Arial"/>
          <w:i/>
          <w:iCs/>
          <w:lang w:val="en-ZA" w:eastAsia="en-ZA"/>
        </w:rPr>
        <w:lastRenderedPageBreak/>
        <w:t xml:space="preserve">consented to the order being made, I am of the view that </w:t>
      </w:r>
      <w:r w:rsidRPr="00116F95">
        <w:rPr>
          <w:rFonts w:ascii="Arial" w:hAnsi="Arial" w:cs="Arial"/>
          <w:i/>
          <w:iCs/>
          <w:u w:val="single"/>
          <w:lang w:val="en-ZA" w:eastAsia="en-ZA"/>
        </w:rPr>
        <w:t>the practice direction in question falls within the broad ambit of instructions which a court may issue to litigants to ensure that efficient and speedy steps are taken to enable the court to properly discharge its functions to the litigants before it.</w:t>
      </w:r>
      <w:r w:rsidRPr="00116F95">
        <w:rPr>
          <w:rFonts w:ascii="Arial" w:hAnsi="Arial" w:cs="Arial"/>
          <w:i/>
          <w:iCs/>
          <w:lang w:val="en-ZA" w:eastAsia="en-ZA"/>
        </w:rPr>
        <w:t xml:space="preserve"> It falls within the purview of the 'curiosities and anomalies' referred to by Milton supra, since, as Cameron JA remarked in Fakie, </w:t>
      </w:r>
      <w:proofErr w:type="gramStart"/>
      <w:r w:rsidR="00074BEF" w:rsidRPr="009037BF">
        <w:rPr>
          <w:rFonts w:ascii="Arial" w:hAnsi="Arial" w:cs="Arial"/>
          <w:i/>
          <w:iCs/>
          <w:lang w:val="en-ZA" w:eastAsia="en-ZA"/>
        </w:rPr>
        <w:t xml:space="preserve">… </w:t>
      </w:r>
      <w:r w:rsidRPr="00116F95">
        <w:rPr>
          <w:rFonts w:ascii="Arial" w:hAnsi="Arial" w:cs="Arial"/>
          <w:i/>
          <w:iCs/>
          <w:lang w:val="en-ZA" w:eastAsia="en-ZA"/>
        </w:rPr>
        <w:t>,</w:t>
      </w:r>
      <w:proofErr w:type="gramEnd"/>
      <w:r w:rsidRPr="00116F95">
        <w:rPr>
          <w:rFonts w:ascii="Arial" w:hAnsi="Arial" w:cs="Arial"/>
          <w:i/>
          <w:iCs/>
          <w:lang w:val="en-ZA" w:eastAsia="en-ZA"/>
        </w:rPr>
        <w:t xml:space="preserve"> contempt of court 'is part of a broader offence, which can take many forms'. After carefully considering all the facts, I am left with little doubt that the failure of the plaintiff to adhere to this court's directions in terms of rule 37(8) has led to the undermining of the efficiency, dignity and authority of 'the fount of justice'.</w:t>
      </w:r>
    </w:p>
    <w:p w14:paraId="0AF5988C" w14:textId="3F290EB0" w:rsidR="00116F95" w:rsidRPr="00116F95" w:rsidRDefault="00116F95" w:rsidP="009037BF">
      <w:pPr>
        <w:widowControl w:val="0"/>
        <w:shd w:val="clear" w:color="auto" w:fill="FFFFFF"/>
        <w:spacing w:line="480" w:lineRule="auto"/>
        <w:ind w:left="709"/>
        <w:jc w:val="both"/>
        <w:rPr>
          <w:rFonts w:ascii="Arial" w:hAnsi="Arial" w:cs="Arial"/>
          <w:lang w:val="en-ZA" w:eastAsia="en-ZA"/>
        </w:rPr>
      </w:pPr>
      <w:r w:rsidRPr="00116F95">
        <w:rPr>
          <w:rFonts w:ascii="Arial" w:hAnsi="Arial" w:cs="Arial"/>
          <w:i/>
          <w:iCs/>
          <w:lang w:val="en-ZA" w:eastAsia="en-ZA"/>
        </w:rPr>
        <w:t>[34] In the circumstances I am persuaded that, subject to that which is set out below in relation to wilfulness, the plaintiff's failure to adhere to the direction given on 6 November 2015 is capable of being addressed through contempt proceedings</w:t>
      </w:r>
      <w:r w:rsidRPr="00116F95">
        <w:rPr>
          <w:rFonts w:ascii="Arial" w:hAnsi="Arial" w:cs="Arial"/>
          <w:lang w:val="en-ZA" w:eastAsia="en-ZA"/>
        </w:rPr>
        <w:t>.</w:t>
      </w:r>
      <w:r w:rsidRPr="009037BF">
        <w:rPr>
          <w:rFonts w:ascii="Arial" w:hAnsi="Arial" w:cs="Arial"/>
          <w:lang w:val="en-ZA" w:eastAsia="en-ZA"/>
        </w:rPr>
        <w:t>”</w:t>
      </w:r>
      <w:r w:rsidR="00074BEF" w:rsidRPr="009037BF">
        <w:rPr>
          <w:rFonts w:ascii="Arial" w:hAnsi="Arial" w:cs="Arial"/>
          <w:lang w:val="en-ZA" w:eastAsia="en-ZA"/>
        </w:rPr>
        <w:t xml:space="preserve"> (Emphasis supplied.)</w:t>
      </w:r>
    </w:p>
    <w:p w14:paraId="0FC0F98C" w14:textId="79322C66" w:rsidR="00116F95" w:rsidRPr="009037BF" w:rsidRDefault="00116F95" w:rsidP="009037BF">
      <w:pPr>
        <w:pStyle w:val="ListParagraph"/>
        <w:widowControl w:val="0"/>
        <w:spacing w:line="480" w:lineRule="auto"/>
        <w:ind w:left="706"/>
        <w:jc w:val="both"/>
        <w:rPr>
          <w:rFonts w:ascii="Arial" w:hAnsi="Arial" w:cs="Arial"/>
        </w:rPr>
      </w:pPr>
    </w:p>
    <w:p w14:paraId="623C953B" w14:textId="4CF558CE" w:rsidR="00951206" w:rsidRPr="009037BF" w:rsidRDefault="00177EF4" w:rsidP="00177EF4">
      <w:pPr>
        <w:pStyle w:val="lrcasename"/>
        <w:widowControl w:val="0"/>
        <w:shd w:val="clear" w:color="auto" w:fill="FFFFFF"/>
        <w:tabs>
          <w:tab w:val="left" w:pos="709"/>
        </w:tabs>
        <w:spacing w:before="0" w:beforeAutospacing="0" w:after="0" w:afterAutospacing="0" w:line="480" w:lineRule="auto"/>
        <w:ind w:left="706" w:hanging="709"/>
        <w:jc w:val="both"/>
        <w:rPr>
          <w:rFonts w:ascii="Arial" w:hAnsi="Arial" w:cs="Arial"/>
        </w:rPr>
      </w:pPr>
      <w:r w:rsidRPr="009037BF">
        <w:rPr>
          <w:rFonts w:ascii="Arial" w:hAnsi="Arial" w:cs="Arial"/>
        </w:rPr>
        <w:t>64.</w:t>
      </w:r>
      <w:r w:rsidRPr="009037BF">
        <w:rPr>
          <w:rFonts w:ascii="Arial" w:hAnsi="Arial" w:cs="Arial"/>
        </w:rPr>
        <w:tab/>
      </w:r>
      <w:r w:rsidR="00951206" w:rsidRPr="009037BF">
        <w:rPr>
          <w:rFonts w:ascii="Arial" w:hAnsi="Arial" w:cs="Arial"/>
          <w:lang w:val="en-GB"/>
        </w:rPr>
        <w:t xml:space="preserve">(The case was referred to in </w:t>
      </w:r>
      <w:r w:rsidR="00951206" w:rsidRPr="009037BF">
        <w:rPr>
          <w:rFonts w:ascii="Arial" w:hAnsi="Arial" w:cs="Arial"/>
          <w:i/>
          <w:iCs/>
        </w:rPr>
        <w:t>CT v MT and others</w:t>
      </w:r>
      <w:r w:rsidR="00951206" w:rsidRPr="009037BF">
        <w:rPr>
          <w:rFonts w:ascii="Arial" w:hAnsi="Arial" w:cs="Arial"/>
        </w:rPr>
        <w:t xml:space="preserve"> 2020 (3) SA 409 (WCC) with reference to the finding of contempt, which was not criticised, albeit that the </w:t>
      </w:r>
      <w:r w:rsidR="00951206" w:rsidRPr="009037BF">
        <w:rPr>
          <w:rFonts w:ascii="Arial" w:hAnsi="Arial" w:cs="Arial"/>
          <w:i/>
          <w:iCs/>
        </w:rPr>
        <w:t>CT v MT</w:t>
      </w:r>
      <w:r w:rsidR="00951206" w:rsidRPr="009037BF">
        <w:rPr>
          <w:rFonts w:ascii="Arial" w:hAnsi="Arial" w:cs="Arial"/>
        </w:rPr>
        <w:t xml:space="preserve"> matter dealt with another issue arising from the parties’ divorce proceedings).</w:t>
      </w:r>
    </w:p>
    <w:p w14:paraId="259D1E02" w14:textId="4935DBB7" w:rsidR="00951206" w:rsidRPr="009037BF" w:rsidRDefault="00951206" w:rsidP="009037BF">
      <w:pPr>
        <w:pStyle w:val="ListParagraph"/>
        <w:widowControl w:val="0"/>
        <w:spacing w:line="480" w:lineRule="auto"/>
        <w:ind w:left="706"/>
        <w:jc w:val="both"/>
        <w:rPr>
          <w:rFonts w:ascii="Arial" w:hAnsi="Arial" w:cs="Arial"/>
          <w:lang w:val="en-GB"/>
        </w:rPr>
      </w:pPr>
    </w:p>
    <w:p w14:paraId="242E3612" w14:textId="79A1BDA5" w:rsidR="00C65D88" w:rsidRPr="00177EF4" w:rsidRDefault="00177EF4" w:rsidP="00177EF4">
      <w:pPr>
        <w:widowControl w:val="0"/>
        <w:tabs>
          <w:tab w:val="left" w:pos="709"/>
        </w:tabs>
        <w:spacing w:line="480" w:lineRule="auto"/>
        <w:ind w:left="706" w:hanging="709"/>
        <w:jc w:val="both"/>
        <w:rPr>
          <w:rFonts w:ascii="Arial" w:hAnsi="Arial" w:cs="Arial"/>
          <w:lang w:val="en-GB"/>
        </w:rPr>
      </w:pPr>
      <w:r w:rsidRPr="009037BF">
        <w:rPr>
          <w:rFonts w:ascii="Arial" w:hAnsi="Arial" w:cs="Arial"/>
          <w:lang w:val="en-GB"/>
        </w:rPr>
        <w:t>65.</w:t>
      </w:r>
      <w:r w:rsidRPr="009037BF">
        <w:rPr>
          <w:rFonts w:ascii="Arial" w:hAnsi="Arial" w:cs="Arial"/>
          <w:lang w:val="en-GB"/>
        </w:rPr>
        <w:tab/>
      </w:r>
      <w:r w:rsidR="00C65D88" w:rsidRPr="00177EF4">
        <w:rPr>
          <w:rFonts w:ascii="Arial" w:hAnsi="Arial" w:cs="Arial"/>
          <w:lang w:val="en-GB"/>
        </w:rPr>
        <w:t xml:space="preserve">I agree with this finding.  The failure to comply with a direction issued by a court seems to me to be no different from the failure to obey a formal court order.  Both </w:t>
      </w:r>
      <w:r w:rsidR="002C1E8A" w:rsidRPr="00177EF4">
        <w:rPr>
          <w:rFonts w:ascii="Arial" w:hAnsi="Arial" w:cs="Arial"/>
          <w:lang w:val="en-GB"/>
        </w:rPr>
        <w:t>lead to the undermining of the efficiency dignity and authority of the court.</w:t>
      </w:r>
    </w:p>
    <w:p w14:paraId="326CC8F7" w14:textId="77777777" w:rsidR="00C65D88" w:rsidRPr="009037BF" w:rsidRDefault="00C65D88" w:rsidP="009037BF">
      <w:pPr>
        <w:pStyle w:val="ListParagraph"/>
        <w:widowControl w:val="0"/>
        <w:spacing w:line="480" w:lineRule="auto"/>
        <w:ind w:left="709"/>
        <w:jc w:val="both"/>
        <w:rPr>
          <w:rFonts w:ascii="Arial" w:hAnsi="Arial" w:cs="Arial"/>
          <w:lang w:val="en-GB"/>
        </w:rPr>
      </w:pPr>
    </w:p>
    <w:p w14:paraId="7607B6FA" w14:textId="4C6C2BB1" w:rsidR="00116F95" w:rsidRPr="00177EF4" w:rsidRDefault="00177EF4" w:rsidP="00177EF4">
      <w:pPr>
        <w:widowControl w:val="0"/>
        <w:tabs>
          <w:tab w:val="left" w:pos="709"/>
        </w:tabs>
        <w:spacing w:line="480" w:lineRule="auto"/>
        <w:ind w:left="709" w:hanging="709"/>
        <w:jc w:val="both"/>
        <w:rPr>
          <w:rFonts w:ascii="Arial" w:hAnsi="Arial" w:cs="Arial"/>
          <w:lang w:val="en-GB"/>
        </w:rPr>
      </w:pPr>
      <w:r w:rsidRPr="009037BF">
        <w:rPr>
          <w:rFonts w:ascii="Arial" w:hAnsi="Arial" w:cs="Arial"/>
          <w:lang w:val="en-GB"/>
        </w:rPr>
        <w:t>66.</w:t>
      </w:r>
      <w:r w:rsidRPr="009037BF">
        <w:rPr>
          <w:rFonts w:ascii="Arial" w:hAnsi="Arial" w:cs="Arial"/>
          <w:lang w:val="en-GB"/>
        </w:rPr>
        <w:tab/>
      </w:r>
      <w:r w:rsidR="003923F8" w:rsidRPr="00177EF4">
        <w:rPr>
          <w:rFonts w:ascii="Arial" w:hAnsi="Arial" w:cs="Arial"/>
          <w:lang w:val="en-GB"/>
        </w:rPr>
        <w:t xml:space="preserve">There does not seem to me to be any reason why, as the respondent’s counsel suggests, Justice Dolamo himself needs to deal with the issue of contempt of the directions issued by him.  The directions are in themselves documents to be </w:t>
      </w:r>
      <w:r w:rsidR="003923F8" w:rsidRPr="00177EF4">
        <w:rPr>
          <w:rFonts w:ascii="Arial" w:hAnsi="Arial" w:cs="Arial"/>
          <w:lang w:val="en-GB"/>
        </w:rPr>
        <w:lastRenderedPageBreak/>
        <w:t>interpreted by a court in accordance with the applicable principles; their interpretation is not subject to that of the judge who granted them.  Whether they have been obeyed and in what circumstances the disobedience occurred are factual issues</w:t>
      </w:r>
      <w:r w:rsidR="002C1E8A" w:rsidRPr="00177EF4">
        <w:rPr>
          <w:rFonts w:ascii="Arial" w:hAnsi="Arial" w:cs="Arial"/>
          <w:lang w:val="en-GB"/>
        </w:rPr>
        <w:t xml:space="preserve"> and inferences drawn therefrom</w:t>
      </w:r>
      <w:r w:rsidR="003923F8" w:rsidRPr="00177EF4">
        <w:rPr>
          <w:rFonts w:ascii="Arial" w:hAnsi="Arial" w:cs="Arial"/>
          <w:lang w:val="en-GB"/>
        </w:rPr>
        <w:t xml:space="preserve"> not tied to the judge who granted the directions.</w:t>
      </w:r>
    </w:p>
    <w:p w14:paraId="0CA30F1B" w14:textId="77777777" w:rsidR="009A7802" w:rsidRPr="009037BF" w:rsidRDefault="009A7802" w:rsidP="009037BF">
      <w:pPr>
        <w:pStyle w:val="ListParagraph"/>
        <w:widowControl w:val="0"/>
        <w:spacing w:line="480" w:lineRule="auto"/>
        <w:jc w:val="both"/>
        <w:rPr>
          <w:rFonts w:ascii="Arial" w:hAnsi="Arial" w:cs="Arial"/>
          <w:lang w:val="en-GB"/>
        </w:rPr>
      </w:pPr>
    </w:p>
    <w:p w14:paraId="5A5AC664" w14:textId="770B2C71" w:rsidR="009E3A3E"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67.</w:t>
      </w:r>
      <w:r w:rsidRPr="009037BF">
        <w:rPr>
          <w:rFonts w:ascii="Arial" w:hAnsi="Arial" w:cs="Arial"/>
          <w:sz w:val="24"/>
          <w:szCs w:val="24"/>
        </w:rPr>
        <w:tab/>
      </w:r>
      <w:r w:rsidR="009E3A3E" w:rsidRPr="009037BF">
        <w:rPr>
          <w:rFonts w:ascii="Arial" w:hAnsi="Arial" w:cs="Arial"/>
          <w:sz w:val="24"/>
          <w:szCs w:val="24"/>
        </w:rPr>
        <w:t>The respondent was directed in terms of the relevant pre-trial directions to provide a detailed reply to the reconciliation of the maintenance arrears in dispute by the 20th of November 2020. This direction was issued at a pretrial meeting on 7 October 2020. He was further, in the same meeting, directed to finalise his views regarding the alleged loan liability is owned by the applicant to the respondent, providing full details, quantification, and supporting evidence by 20 November 2020. At a pretrial meeting held on 26 November 2020, the respondent was granted an extension of time to deliver the information by 4 December 2020. In terms of these directions, therefore, the respondent had to consider the reconciliation prepared by the applicant together with the lever arch file containing her supporting vouchers, and indicate which expenses he did not agree with, and why. He also had to produce a document containing the liabilities he alleged the applicant owed him, which document was to contain full details of the alleged loans, a quantification of amounts paid, and supporting documentation.</w:t>
      </w:r>
    </w:p>
    <w:p w14:paraId="6779C19E" w14:textId="77777777" w:rsidR="009E3A3E" w:rsidRPr="009037BF" w:rsidRDefault="009E3A3E" w:rsidP="009037BF">
      <w:pPr>
        <w:pStyle w:val="PlainText"/>
        <w:widowControl w:val="0"/>
        <w:spacing w:line="480" w:lineRule="auto"/>
        <w:ind w:left="709"/>
        <w:jc w:val="both"/>
        <w:rPr>
          <w:rFonts w:ascii="Arial" w:hAnsi="Arial" w:cs="Arial"/>
          <w:sz w:val="24"/>
          <w:szCs w:val="24"/>
        </w:rPr>
      </w:pPr>
    </w:p>
    <w:p w14:paraId="4505BBB1" w14:textId="0C3F64D0" w:rsidR="009E3A3E"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68.</w:t>
      </w:r>
      <w:r w:rsidRPr="009037BF">
        <w:rPr>
          <w:rFonts w:ascii="Arial" w:hAnsi="Arial" w:cs="Arial"/>
          <w:sz w:val="24"/>
          <w:szCs w:val="24"/>
        </w:rPr>
        <w:tab/>
      </w:r>
      <w:r w:rsidR="009E3A3E" w:rsidRPr="009037BF">
        <w:rPr>
          <w:rFonts w:ascii="Arial" w:hAnsi="Arial" w:cs="Arial"/>
          <w:sz w:val="24"/>
          <w:szCs w:val="24"/>
        </w:rPr>
        <w:t xml:space="preserve">The respondent did not expressly deal with the allegations as regards his contempt of the pretrial directions in his answering affidavit in the contempt application.  He alleges in his answering affidavit in the sequestration proceedings (dealt with in a judgment delivered on 11 May 2022) that certain annexures (SR1 to SR3) </w:t>
      </w:r>
      <w:r w:rsidR="00897C3F" w:rsidRPr="009037BF">
        <w:rPr>
          <w:rFonts w:ascii="Arial" w:hAnsi="Arial" w:cs="Arial"/>
          <w:sz w:val="24"/>
          <w:szCs w:val="24"/>
        </w:rPr>
        <w:t xml:space="preserve">to that affidavit </w:t>
      </w:r>
      <w:r w:rsidR="009E3A3E" w:rsidRPr="009037BF">
        <w:rPr>
          <w:rFonts w:ascii="Arial" w:hAnsi="Arial" w:cs="Arial"/>
          <w:sz w:val="24"/>
          <w:szCs w:val="24"/>
        </w:rPr>
        <w:t>constitute vouchers or justification for the loans he alleges that the applicant</w:t>
      </w:r>
      <w:r w:rsidR="00897C3F" w:rsidRPr="009037BF">
        <w:rPr>
          <w:rFonts w:ascii="Arial" w:hAnsi="Arial" w:cs="Arial"/>
          <w:sz w:val="24"/>
          <w:szCs w:val="24"/>
        </w:rPr>
        <w:t xml:space="preserve"> owes him</w:t>
      </w:r>
      <w:r w:rsidR="009E3A3E" w:rsidRPr="009037BF">
        <w:rPr>
          <w:rFonts w:ascii="Arial" w:hAnsi="Arial" w:cs="Arial"/>
          <w:sz w:val="24"/>
          <w:szCs w:val="24"/>
        </w:rPr>
        <w:t>. He has however still</w:t>
      </w:r>
      <w:r w:rsidR="00897C3F" w:rsidRPr="009037BF">
        <w:rPr>
          <w:rFonts w:ascii="Arial" w:hAnsi="Arial" w:cs="Arial"/>
          <w:sz w:val="24"/>
          <w:szCs w:val="24"/>
        </w:rPr>
        <w:t xml:space="preserve"> not </w:t>
      </w:r>
      <w:r w:rsidR="009E3A3E" w:rsidRPr="009037BF">
        <w:rPr>
          <w:rFonts w:ascii="Arial" w:hAnsi="Arial" w:cs="Arial"/>
          <w:sz w:val="24"/>
          <w:szCs w:val="24"/>
        </w:rPr>
        <w:t xml:space="preserve">complied with the </w:t>
      </w:r>
      <w:r w:rsidR="00897C3F" w:rsidRPr="009037BF">
        <w:rPr>
          <w:rFonts w:ascii="Arial" w:hAnsi="Arial" w:cs="Arial"/>
          <w:sz w:val="24"/>
          <w:szCs w:val="24"/>
        </w:rPr>
        <w:t xml:space="preserve">relevant </w:t>
      </w:r>
      <w:r w:rsidR="009E3A3E" w:rsidRPr="009037BF">
        <w:rPr>
          <w:rFonts w:ascii="Arial" w:hAnsi="Arial" w:cs="Arial"/>
          <w:sz w:val="24"/>
          <w:szCs w:val="24"/>
        </w:rPr>
        <w:t>direction.</w:t>
      </w:r>
    </w:p>
    <w:p w14:paraId="07FE415B" w14:textId="77777777" w:rsidR="009E3A3E" w:rsidRPr="009037BF" w:rsidRDefault="009E3A3E" w:rsidP="009037BF">
      <w:pPr>
        <w:pStyle w:val="PlainText"/>
        <w:widowControl w:val="0"/>
        <w:spacing w:line="480" w:lineRule="auto"/>
        <w:ind w:left="709"/>
        <w:jc w:val="both"/>
        <w:rPr>
          <w:rFonts w:ascii="Arial" w:hAnsi="Arial" w:cs="Arial"/>
          <w:sz w:val="24"/>
          <w:szCs w:val="24"/>
        </w:rPr>
      </w:pPr>
    </w:p>
    <w:p w14:paraId="401E018C" w14:textId="65BFDAF2" w:rsidR="009E3A3E"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69.</w:t>
      </w:r>
      <w:r w:rsidRPr="009037BF">
        <w:rPr>
          <w:rFonts w:ascii="Arial" w:hAnsi="Arial" w:cs="Arial"/>
          <w:sz w:val="24"/>
          <w:szCs w:val="24"/>
        </w:rPr>
        <w:tab/>
      </w:r>
      <w:r w:rsidR="009E3A3E" w:rsidRPr="009037BF">
        <w:rPr>
          <w:rFonts w:ascii="Arial" w:hAnsi="Arial" w:cs="Arial"/>
          <w:sz w:val="24"/>
          <w:szCs w:val="24"/>
        </w:rPr>
        <w:t xml:space="preserve">Those </w:t>
      </w:r>
      <w:r w:rsidR="00897C3F" w:rsidRPr="009037BF">
        <w:rPr>
          <w:rFonts w:ascii="Arial" w:hAnsi="Arial" w:cs="Arial"/>
          <w:sz w:val="24"/>
          <w:szCs w:val="24"/>
        </w:rPr>
        <w:t>annexures</w:t>
      </w:r>
      <w:r w:rsidR="009E3A3E" w:rsidRPr="009037BF">
        <w:rPr>
          <w:rFonts w:ascii="Arial" w:hAnsi="Arial" w:cs="Arial"/>
          <w:sz w:val="24"/>
          <w:szCs w:val="24"/>
        </w:rPr>
        <w:t xml:space="preserve"> do not constitute proof of the loans </w:t>
      </w:r>
      <w:r w:rsidR="00897C3F" w:rsidRPr="009037BF">
        <w:rPr>
          <w:rFonts w:ascii="Arial" w:hAnsi="Arial" w:cs="Arial"/>
          <w:sz w:val="24"/>
          <w:szCs w:val="24"/>
        </w:rPr>
        <w:t xml:space="preserve">allegedly made </w:t>
      </w:r>
      <w:r w:rsidR="009E3A3E" w:rsidRPr="009037BF">
        <w:rPr>
          <w:rFonts w:ascii="Arial" w:hAnsi="Arial" w:cs="Arial"/>
          <w:sz w:val="24"/>
          <w:szCs w:val="24"/>
        </w:rPr>
        <w:t>to the applicant</w:t>
      </w:r>
      <w:r w:rsidR="00897C3F" w:rsidRPr="009037BF">
        <w:rPr>
          <w:rFonts w:ascii="Arial" w:hAnsi="Arial" w:cs="Arial"/>
          <w:sz w:val="24"/>
          <w:szCs w:val="24"/>
        </w:rPr>
        <w:t>.</w:t>
      </w:r>
      <w:r w:rsidR="009E3A3E" w:rsidRPr="009037BF">
        <w:rPr>
          <w:rFonts w:ascii="Arial" w:hAnsi="Arial" w:cs="Arial"/>
          <w:sz w:val="24"/>
          <w:szCs w:val="24"/>
        </w:rPr>
        <w:t xml:space="preserve"> </w:t>
      </w:r>
      <w:r w:rsidR="00897C3F" w:rsidRPr="009037BF">
        <w:rPr>
          <w:rFonts w:ascii="Arial" w:hAnsi="Arial" w:cs="Arial"/>
          <w:sz w:val="24"/>
          <w:szCs w:val="24"/>
        </w:rPr>
        <w:t>T</w:t>
      </w:r>
      <w:r w:rsidR="009E3A3E" w:rsidRPr="009037BF">
        <w:rPr>
          <w:rFonts w:ascii="Arial" w:hAnsi="Arial" w:cs="Arial"/>
          <w:sz w:val="24"/>
          <w:szCs w:val="24"/>
        </w:rPr>
        <w:t xml:space="preserve">hey are not contemporaneous documents but have been </w:t>
      </w:r>
      <w:r w:rsidR="00897C3F" w:rsidRPr="009037BF">
        <w:rPr>
          <w:rFonts w:ascii="Arial" w:hAnsi="Arial" w:cs="Arial"/>
          <w:sz w:val="24"/>
          <w:szCs w:val="24"/>
        </w:rPr>
        <w:t xml:space="preserve">compiled for the specific purpose of </w:t>
      </w:r>
      <w:r w:rsidR="009E3A3E" w:rsidRPr="009037BF">
        <w:rPr>
          <w:rFonts w:ascii="Arial" w:hAnsi="Arial" w:cs="Arial"/>
          <w:sz w:val="24"/>
          <w:szCs w:val="24"/>
        </w:rPr>
        <w:t>these proceedings. In addition</w:t>
      </w:r>
      <w:r w:rsidR="00897C3F" w:rsidRPr="009037BF">
        <w:rPr>
          <w:rFonts w:ascii="Arial" w:hAnsi="Arial" w:cs="Arial"/>
          <w:sz w:val="24"/>
          <w:szCs w:val="24"/>
        </w:rPr>
        <w:t>,</w:t>
      </w:r>
      <w:r w:rsidR="009E3A3E" w:rsidRPr="009037BF">
        <w:rPr>
          <w:rFonts w:ascii="Arial" w:hAnsi="Arial" w:cs="Arial"/>
          <w:sz w:val="24"/>
          <w:szCs w:val="24"/>
        </w:rPr>
        <w:t xml:space="preserve"> the bank statements attached to the affidavit do not </w:t>
      </w:r>
      <w:r w:rsidR="00897C3F" w:rsidRPr="009037BF">
        <w:rPr>
          <w:rFonts w:ascii="Arial" w:hAnsi="Arial" w:cs="Arial"/>
          <w:sz w:val="24"/>
          <w:szCs w:val="24"/>
        </w:rPr>
        <w:t>serve to prove the loans.</w:t>
      </w:r>
      <w:r w:rsidR="009E3A3E" w:rsidRPr="009037BF">
        <w:rPr>
          <w:rFonts w:ascii="Arial" w:hAnsi="Arial" w:cs="Arial"/>
          <w:sz w:val="24"/>
          <w:szCs w:val="24"/>
        </w:rPr>
        <w:t xml:space="preserve"> They merely record payments made to a conveyancing attorney</w:t>
      </w:r>
      <w:r w:rsidR="00897C3F" w:rsidRPr="009037BF">
        <w:rPr>
          <w:rFonts w:ascii="Arial" w:hAnsi="Arial" w:cs="Arial"/>
          <w:sz w:val="24"/>
          <w:szCs w:val="24"/>
        </w:rPr>
        <w:t>.</w:t>
      </w:r>
    </w:p>
    <w:p w14:paraId="5A2E2842" w14:textId="77777777" w:rsidR="009E3A3E" w:rsidRPr="009037BF" w:rsidRDefault="009E3A3E" w:rsidP="009037BF">
      <w:pPr>
        <w:pStyle w:val="PlainText"/>
        <w:widowControl w:val="0"/>
        <w:spacing w:line="480" w:lineRule="auto"/>
        <w:ind w:left="709"/>
        <w:jc w:val="both"/>
        <w:rPr>
          <w:rFonts w:ascii="Arial" w:hAnsi="Arial" w:cs="Arial"/>
          <w:sz w:val="24"/>
          <w:szCs w:val="24"/>
        </w:rPr>
      </w:pPr>
    </w:p>
    <w:p w14:paraId="37CB41FF" w14:textId="50E469E8" w:rsidR="009E3A3E"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70.</w:t>
      </w:r>
      <w:r w:rsidRPr="009037BF">
        <w:rPr>
          <w:rFonts w:ascii="Arial" w:hAnsi="Arial" w:cs="Arial"/>
          <w:sz w:val="24"/>
          <w:szCs w:val="24"/>
        </w:rPr>
        <w:tab/>
      </w:r>
      <w:r w:rsidR="00897C3F" w:rsidRPr="009037BF">
        <w:rPr>
          <w:rFonts w:ascii="Arial" w:hAnsi="Arial" w:cs="Arial"/>
          <w:sz w:val="24"/>
          <w:szCs w:val="24"/>
        </w:rPr>
        <w:t>In the light of what has been stated regarding the respondent’s defence of compromise in relation to the arrear maintenance, the respondent has also not complied with the direction that he should indicate which items of the applicant’s reconciliation he disputed.  H</w:t>
      </w:r>
      <w:r w:rsidR="009E3A3E" w:rsidRPr="009037BF">
        <w:rPr>
          <w:rFonts w:ascii="Arial" w:hAnsi="Arial" w:cs="Arial"/>
          <w:sz w:val="24"/>
          <w:szCs w:val="24"/>
        </w:rPr>
        <w:t>e has</w:t>
      </w:r>
      <w:r w:rsidR="00897C3F" w:rsidRPr="009037BF">
        <w:rPr>
          <w:rFonts w:ascii="Arial" w:hAnsi="Arial" w:cs="Arial"/>
          <w:sz w:val="24"/>
          <w:szCs w:val="24"/>
        </w:rPr>
        <w:t>,</w:t>
      </w:r>
      <w:r w:rsidR="009E3A3E" w:rsidRPr="009037BF">
        <w:rPr>
          <w:rFonts w:ascii="Arial" w:hAnsi="Arial" w:cs="Arial"/>
          <w:sz w:val="24"/>
          <w:szCs w:val="24"/>
        </w:rPr>
        <w:t xml:space="preserve"> in fact</w:t>
      </w:r>
      <w:r w:rsidR="00897C3F" w:rsidRPr="009037BF">
        <w:rPr>
          <w:rFonts w:ascii="Arial" w:hAnsi="Arial" w:cs="Arial"/>
          <w:sz w:val="24"/>
          <w:szCs w:val="24"/>
        </w:rPr>
        <w:t>,</w:t>
      </w:r>
      <w:r w:rsidR="009E3A3E" w:rsidRPr="009037BF">
        <w:rPr>
          <w:rFonts w:ascii="Arial" w:hAnsi="Arial" w:cs="Arial"/>
          <w:sz w:val="24"/>
          <w:szCs w:val="24"/>
        </w:rPr>
        <w:t xml:space="preserve"> not even considered the</w:t>
      </w:r>
      <w:r w:rsidR="00897C3F" w:rsidRPr="009037BF">
        <w:rPr>
          <w:rFonts w:ascii="Arial" w:hAnsi="Arial" w:cs="Arial"/>
          <w:sz w:val="24"/>
          <w:szCs w:val="24"/>
        </w:rPr>
        <w:t xml:space="preserve"> applicant’s </w:t>
      </w:r>
      <w:r w:rsidR="009E3A3E" w:rsidRPr="009037BF">
        <w:rPr>
          <w:rFonts w:ascii="Arial" w:hAnsi="Arial" w:cs="Arial"/>
          <w:sz w:val="24"/>
          <w:szCs w:val="24"/>
        </w:rPr>
        <w:t>lever arch file containing the supporting vouchers.</w:t>
      </w:r>
    </w:p>
    <w:p w14:paraId="0BAF9B32" w14:textId="5BDE2332" w:rsidR="009E3A3E" w:rsidRPr="009037BF" w:rsidRDefault="009E3A3E" w:rsidP="009037BF">
      <w:pPr>
        <w:pStyle w:val="PlainText"/>
        <w:widowControl w:val="0"/>
        <w:spacing w:line="480" w:lineRule="auto"/>
        <w:jc w:val="both"/>
        <w:rPr>
          <w:rFonts w:ascii="Arial" w:hAnsi="Arial" w:cs="Arial"/>
          <w:sz w:val="24"/>
          <w:szCs w:val="24"/>
        </w:rPr>
      </w:pPr>
    </w:p>
    <w:p w14:paraId="73F91AFD" w14:textId="112B25DE" w:rsidR="000B0FF1" w:rsidRPr="009037BF" w:rsidRDefault="000B0FF1" w:rsidP="009037BF">
      <w:pPr>
        <w:pStyle w:val="PlainText"/>
        <w:widowControl w:val="0"/>
        <w:spacing w:line="480" w:lineRule="auto"/>
        <w:jc w:val="both"/>
        <w:rPr>
          <w:rFonts w:ascii="Arial" w:hAnsi="Arial" w:cs="Arial"/>
          <w:b/>
          <w:bCs/>
          <w:sz w:val="24"/>
          <w:szCs w:val="24"/>
          <w:u w:val="single"/>
        </w:rPr>
      </w:pPr>
      <w:r w:rsidRPr="009037BF">
        <w:rPr>
          <w:rFonts w:ascii="Arial" w:hAnsi="Arial" w:cs="Arial"/>
          <w:b/>
          <w:bCs/>
          <w:sz w:val="24"/>
          <w:szCs w:val="24"/>
          <w:u w:val="single"/>
        </w:rPr>
        <w:t>Conclusion</w:t>
      </w:r>
    </w:p>
    <w:p w14:paraId="67364050" w14:textId="77777777" w:rsidR="000B0FF1" w:rsidRPr="009037BF" w:rsidRDefault="000B0FF1" w:rsidP="009037BF">
      <w:pPr>
        <w:pStyle w:val="PlainText"/>
        <w:widowControl w:val="0"/>
        <w:spacing w:line="480" w:lineRule="auto"/>
        <w:jc w:val="both"/>
        <w:rPr>
          <w:rFonts w:ascii="Arial" w:hAnsi="Arial" w:cs="Arial"/>
          <w:sz w:val="24"/>
          <w:szCs w:val="24"/>
        </w:rPr>
      </w:pPr>
    </w:p>
    <w:p w14:paraId="6AE1928C" w14:textId="67916BE0" w:rsidR="009E3A3E" w:rsidRPr="009037BF"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9037BF">
        <w:rPr>
          <w:rFonts w:ascii="Arial" w:hAnsi="Arial" w:cs="Arial"/>
          <w:sz w:val="24"/>
          <w:szCs w:val="24"/>
        </w:rPr>
        <w:t>71.</w:t>
      </w:r>
      <w:r w:rsidRPr="009037BF">
        <w:rPr>
          <w:rFonts w:ascii="Arial" w:hAnsi="Arial" w:cs="Arial"/>
          <w:sz w:val="24"/>
          <w:szCs w:val="24"/>
        </w:rPr>
        <w:tab/>
      </w:r>
      <w:r w:rsidR="009E3A3E" w:rsidRPr="009037BF">
        <w:rPr>
          <w:rFonts w:ascii="Arial" w:hAnsi="Arial" w:cs="Arial"/>
          <w:sz w:val="24"/>
          <w:szCs w:val="24"/>
        </w:rPr>
        <w:t xml:space="preserve">The onus is on the respondent to prove that he has not acted in wilful and bad faith disregard of the </w:t>
      </w:r>
      <w:r w:rsidR="00897C3F" w:rsidRPr="009037BF">
        <w:rPr>
          <w:rFonts w:ascii="Arial" w:hAnsi="Arial" w:cs="Arial"/>
          <w:sz w:val="24"/>
          <w:szCs w:val="24"/>
        </w:rPr>
        <w:t>Rule</w:t>
      </w:r>
      <w:r w:rsidR="009E3A3E" w:rsidRPr="009037BF">
        <w:rPr>
          <w:rFonts w:ascii="Arial" w:hAnsi="Arial" w:cs="Arial"/>
          <w:sz w:val="24"/>
          <w:szCs w:val="24"/>
        </w:rPr>
        <w:t xml:space="preserve"> 43 order and the directions. He </w:t>
      </w:r>
      <w:r w:rsidR="00897C3F" w:rsidRPr="009037BF">
        <w:rPr>
          <w:rFonts w:ascii="Arial" w:hAnsi="Arial" w:cs="Arial"/>
          <w:sz w:val="24"/>
          <w:szCs w:val="24"/>
        </w:rPr>
        <w:t>ha</w:t>
      </w:r>
      <w:r w:rsidR="009E3A3E" w:rsidRPr="009037BF">
        <w:rPr>
          <w:rFonts w:ascii="Arial" w:hAnsi="Arial" w:cs="Arial"/>
          <w:sz w:val="24"/>
          <w:szCs w:val="24"/>
        </w:rPr>
        <w:t>s clearly made no attempt to comply with the pre-trial directions and</w:t>
      </w:r>
      <w:r w:rsidR="00897C3F" w:rsidRPr="009037BF">
        <w:rPr>
          <w:rFonts w:ascii="Arial" w:hAnsi="Arial" w:cs="Arial"/>
          <w:sz w:val="24"/>
          <w:szCs w:val="24"/>
        </w:rPr>
        <w:t>,</w:t>
      </w:r>
      <w:r w:rsidR="009E3A3E" w:rsidRPr="009037BF">
        <w:rPr>
          <w:rFonts w:ascii="Arial" w:hAnsi="Arial" w:cs="Arial"/>
          <w:sz w:val="24"/>
          <w:szCs w:val="24"/>
        </w:rPr>
        <w:t xml:space="preserve"> as far as the </w:t>
      </w:r>
      <w:r w:rsidR="00897C3F" w:rsidRPr="009037BF">
        <w:rPr>
          <w:rFonts w:ascii="Arial" w:hAnsi="Arial" w:cs="Arial"/>
          <w:sz w:val="24"/>
          <w:szCs w:val="24"/>
        </w:rPr>
        <w:t>Rule</w:t>
      </w:r>
      <w:r w:rsidR="009E3A3E" w:rsidRPr="009037BF">
        <w:rPr>
          <w:rFonts w:ascii="Arial" w:hAnsi="Arial" w:cs="Arial"/>
          <w:sz w:val="24"/>
          <w:szCs w:val="24"/>
        </w:rPr>
        <w:t xml:space="preserve"> 43 order is concerned</w:t>
      </w:r>
      <w:r w:rsidR="00897C3F" w:rsidRPr="009037BF">
        <w:rPr>
          <w:rFonts w:ascii="Arial" w:hAnsi="Arial" w:cs="Arial"/>
          <w:sz w:val="24"/>
          <w:szCs w:val="24"/>
        </w:rPr>
        <w:t>,</w:t>
      </w:r>
      <w:r w:rsidR="009E3A3E" w:rsidRPr="009037BF">
        <w:rPr>
          <w:rFonts w:ascii="Arial" w:hAnsi="Arial" w:cs="Arial"/>
          <w:sz w:val="24"/>
          <w:szCs w:val="24"/>
        </w:rPr>
        <w:t xml:space="preserve"> there has not been any compromise.</w:t>
      </w:r>
      <w:r w:rsidR="00897C3F" w:rsidRPr="009037BF">
        <w:rPr>
          <w:rFonts w:ascii="Arial" w:hAnsi="Arial" w:cs="Arial"/>
          <w:sz w:val="24"/>
          <w:szCs w:val="24"/>
        </w:rPr>
        <w:t xml:space="preserve">  He remains liable to pay the amounts stipulated in the Rule 43 order</w:t>
      </w:r>
      <w:r w:rsidR="000B0FF1" w:rsidRPr="009037BF">
        <w:rPr>
          <w:rFonts w:ascii="Arial" w:hAnsi="Arial" w:cs="Arial"/>
          <w:sz w:val="24"/>
          <w:szCs w:val="24"/>
        </w:rPr>
        <w:t>, which he has failed to do to the extent set out in the applicant’ reconciliation.</w:t>
      </w:r>
    </w:p>
    <w:p w14:paraId="6ABFE657" w14:textId="77777777" w:rsidR="009E3A3E" w:rsidRPr="009037BF" w:rsidRDefault="009E3A3E" w:rsidP="009037BF">
      <w:pPr>
        <w:pStyle w:val="PlainText"/>
        <w:widowControl w:val="0"/>
        <w:spacing w:line="480" w:lineRule="auto"/>
        <w:ind w:left="709"/>
        <w:jc w:val="both"/>
        <w:rPr>
          <w:rFonts w:ascii="Arial" w:hAnsi="Arial" w:cs="Arial"/>
          <w:sz w:val="24"/>
          <w:szCs w:val="24"/>
        </w:rPr>
      </w:pPr>
    </w:p>
    <w:p w14:paraId="5EF47D95" w14:textId="0503383F" w:rsidR="009E3A3E" w:rsidRPr="003F3AAE"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3F3AAE">
        <w:rPr>
          <w:rFonts w:ascii="Arial" w:hAnsi="Arial" w:cs="Arial"/>
          <w:sz w:val="24"/>
          <w:szCs w:val="24"/>
        </w:rPr>
        <w:t>72.</w:t>
      </w:r>
      <w:r w:rsidRPr="003F3AAE">
        <w:rPr>
          <w:rFonts w:ascii="Arial" w:hAnsi="Arial" w:cs="Arial"/>
          <w:sz w:val="24"/>
          <w:szCs w:val="24"/>
        </w:rPr>
        <w:tab/>
      </w:r>
      <w:r w:rsidR="005B6390" w:rsidRPr="009037BF">
        <w:rPr>
          <w:rFonts w:ascii="Arial" w:hAnsi="Arial" w:cs="Arial"/>
          <w:sz w:val="24"/>
          <w:szCs w:val="24"/>
        </w:rPr>
        <w:t>I agree with the applicant’s counsel’s submission that t</w:t>
      </w:r>
      <w:r w:rsidR="000B0FF1" w:rsidRPr="009037BF">
        <w:rPr>
          <w:rFonts w:ascii="Arial" w:hAnsi="Arial" w:cs="Arial"/>
          <w:sz w:val="24"/>
          <w:szCs w:val="24"/>
        </w:rPr>
        <w:t>he r</w:t>
      </w:r>
      <w:r w:rsidR="009E3A3E" w:rsidRPr="009037BF">
        <w:rPr>
          <w:rFonts w:ascii="Arial" w:hAnsi="Arial" w:cs="Arial"/>
          <w:sz w:val="24"/>
          <w:szCs w:val="24"/>
        </w:rPr>
        <w:t xml:space="preserve">espondent cannot escape the inference of wilful non-compliance with the </w:t>
      </w:r>
      <w:r w:rsidR="000B0FF1" w:rsidRPr="009037BF">
        <w:rPr>
          <w:rFonts w:ascii="Arial" w:hAnsi="Arial" w:cs="Arial"/>
          <w:sz w:val="24"/>
          <w:szCs w:val="24"/>
        </w:rPr>
        <w:t>R</w:t>
      </w:r>
      <w:r w:rsidR="009E3A3E" w:rsidRPr="009037BF">
        <w:rPr>
          <w:rFonts w:ascii="Arial" w:hAnsi="Arial" w:cs="Arial"/>
          <w:sz w:val="24"/>
          <w:szCs w:val="24"/>
        </w:rPr>
        <w:t>ule 43 order by alleging that he received advice that he could pay R360,000 to the applicant and that th</w:t>
      </w:r>
      <w:r w:rsidR="009E3A3E" w:rsidRPr="003F3AAE">
        <w:rPr>
          <w:rFonts w:ascii="Arial" w:hAnsi="Arial" w:cs="Arial"/>
          <w:sz w:val="24"/>
          <w:szCs w:val="24"/>
        </w:rPr>
        <w:t xml:space="preserve">at would </w:t>
      </w:r>
      <w:r w:rsidR="009E3A3E" w:rsidRPr="003F3AAE">
        <w:rPr>
          <w:rFonts w:ascii="Arial" w:hAnsi="Arial" w:cs="Arial"/>
          <w:sz w:val="24"/>
          <w:szCs w:val="24"/>
        </w:rPr>
        <w:lastRenderedPageBreak/>
        <w:t>constitute a compromise. He did not plead that he so</w:t>
      </w:r>
      <w:r w:rsidR="005B6390" w:rsidRPr="003F3AAE">
        <w:rPr>
          <w:rFonts w:ascii="Arial" w:hAnsi="Arial" w:cs="Arial"/>
          <w:sz w:val="24"/>
          <w:szCs w:val="24"/>
        </w:rPr>
        <w:t>ught</w:t>
      </w:r>
      <w:r w:rsidR="009E3A3E" w:rsidRPr="003F3AAE">
        <w:rPr>
          <w:rFonts w:ascii="Arial" w:hAnsi="Arial" w:cs="Arial"/>
          <w:sz w:val="24"/>
          <w:szCs w:val="24"/>
        </w:rPr>
        <w:t xml:space="preserve"> this advice before he made the payment</w:t>
      </w:r>
      <w:r w:rsidR="005B6390" w:rsidRPr="003F3AAE">
        <w:rPr>
          <w:rFonts w:ascii="Arial" w:hAnsi="Arial" w:cs="Arial"/>
          <w:sz w:val="24"/>
          <w:szCs w:val="24"/>
        </w:rPr>
        <w:t>,</w:t>
      </w:r>
      <w:r w:rsidR="009E3A3E" w:rsidRPr="003F3AAE">
        <w:rPr>
          <w:rFonts w:ascii="Arial" w:hAnsi="Arial" w:cs="Arial"/>
          <w:sz w:val="24"/>
          <w:szCs w:val="24"/>
        </w:rPr>
        <w:t xml:space="preserve"> or from whom </w:t>
      </w:r>
      <w:r w:rsidR="005B6390" w:rsidRPr="003F3AAE">
        <w:rPr>
          <w:rFonts w:ascii="Arial" w:hAnsi="Arial" w:cs="Arial"/>
          <w:sz w:val="24"/>
          <w:szCs w:val="24"/>
        </w:rPr>
        <w:t xml:space="preserve">he received such advice. His attorneys did not depose to a confirmatory affidavit indicating that they gave him such advice.  </w:t>
      </w:r>
      <w:r w:rsidR="009E3A3E" w:rsidRPr="003F3AAE">
        <w:rPr>
          <w:rFonts w:ascii="Arial" w:hAnsi="Arial" w:cs="Arial"/>
          <w:sz w:val="24"/>
          <w:szCs w:val="24"/>
        </w:rPr>
        <w:t>In any event</w:t>
      </w:r>
      <w:r w:rsidR="005B6390" w:rsidRPr="003F3AAE">
        <w:rPr>
          <w:rFonts w:ascii="Arial" w:hAnsi="Arial" w:cs="Arial"/>
          <w:sz w:val="24"/>
          <w:szCs w:val="24"/>
        </w:rPr>
        <w:t>,</w:t>
      </w:r>
      <w:r w:rsidR="009E3A3E" w:rsidRPr="003F3AAE">
        <w:rPr>
          <w:rFonts w:ascii="Arial" w:hAnsi="Arial" w:cs="Arial"/>
          <w:sz w:val="24"/>
          <w:szCs w:val="24"/>
        </w:rPr>
        <w:t xml:space="preserve"> the correspondence exchanged during the period July 2021 to August 2021 indicate</w:t>
      </w:r>
      <w:r w:rsidR="005B6390" w:rsidRPr="003F3AAE">
        <w:rPr>
          <w:rFonts w:ascii="Arial" w:hAnsi="Arial" w:cs="Arial"/>
          <w:sz w:val="24"/>
          <w:szCs w:val="24"/>
        </w:rPr>
        <w:t>s</w:t>
      </w:r>
      <w:r w:rsidR="009E3A3E" w:rsidRPr="003F3AAE">
        <w:rPr>
          <w:rFonts w:ascii="Arial" w:hAnsi="Arial" w:cs="Arial"/>
          <w:sz w:val="24"/>
          <w:szCs w:val="24"/>
        </w:rPr>
        <w:t xml:space="preserve"> that the respondent</w:t>
      </w:r>
      <w:r w:rsidR="005B6390" w:rsidRPr="003F3AAE">
        <w:rPr>
          <w:rFonts w:ascii="Arial" w:hAnsi="Arial" w:cs="Arial"/>
          <w:sz w:val="24"/>
          <w:szCs w:val="24"/>
        </w:rPr>
        <w:t>’</w:t>
      </w:r>
      <w:r w:rsidR="009E3A3E" w:rsidRPr="003F3AAE">
        <w:rPr>
          <w:rFonts w:ascii="Arial" w:hAnsi="Arial" w:cs="Arial"/>
          <w:sz w:val="24"/>
          <w:szCs w:val="24"/>
        </w:rPr>
        <w:t>s attorneys could</w:t>
      </w:r>
      <w:r w:rsidR="005B6390" w:rsidRPr="003F3AAE">
        <w:rPr>
          <w:rFonts w:ascii="Arial" w:hAnsi="Arial" w:cs="Arial"/>
          <w:sz w:val="24"/>
          <w:szCs w:val="24"/>
        </w:rPr>
        <w:t xml:space="preserve"> not</w:t>
      </w:r>
      <w:r w:rsidR="009E3A3E" w:rsidRPr="003F3AAE">
        <w:rPr>
          <w:rFonts w:ascii="Arial" w:hAnsi="Arial" w:cs="Arial"/>
          <w:sz w:val="24"/>
          <w:szCs w:val="24"/>
        </w:rPr>
        <w:t xml:space="preserve"> have given this advice to the respondent.</w:t>
      </w:r>
    </w:p>
    <w:p w14:paraId="64829F22" w14:textId="77777777" w:rsidR="009E3A3E" w:rsidRPr="003F3AAE" w:rsidRDefault="009E3A3E" w:rsidP="003F3AAE">
      <w:pPr>
        <w:pStyle w:val="PlainText"/>
        <w:widowControl w:val="0"/>
        <w:spacing w:line="480" w:lineRule="auto"/>
        <w:ind w:left="709"/>
        <w:jc w:val="both"/>
        <w:rPr>
          <w:rFonts w:ascii="Arial" w:hAnsi="Arial" w:cs="Arial"/>
          <w:sz w:val="24"/>
          <w:szCs w:val="24"/>
        </w:rPr>
      </w:pPr>
    </w:p>
    <w:p w14:paraId="021FCBAC" w14:textId="369ECBF5" w:rsidR="009E3A3E" w:rsidRPr="003F3AAE" w:rsidRDefault="00177EF4" w:rsidP="00177EF4">
      <w:pPr>
        <w:pStyle w:val="PlainText"/>
        <w:widowControl w:val="0"/>
        <w:tabs>
          <w:tab w:val="left" w:pos="709"/>
        </w:tabs>
        <w:spacing w:line="480" w:lineRule="auto"/>
        <w:ind w:left="709" w:hanging="709"/>
        <w:jc w:val="both"/>
        <w:rPr>
          <w:rFonts w:ascii="Arial" w:hAnsi="Arial" w:cs="Arial"/>
          <w:sz w:val="24"/>
          <w:szCs w:val="24"/>
        </w:rPr>
      </w:pPr>
      <w:r w:rsidRPr="003F3AAE">
        <w:rPr>
          <w:rFonts w:ascii="Arial" w:hAnsi="Arial" w:cs="Arial"/>
          <w:sz w:val="24"/>
          <w:szCs w:val="24"/>
        </w:rPr>
        <w:t>73.</w:t>
      </w:r>
      <w:r w:rsidRPr="003F3AAE">
        <w:rPr>
          <w:rFonts w:ascii="Arial" w:hAnsi="Arial" w:cs="Arial"/>
          <w:sz w:val="24"/>
          <w:szCs w:val="24"/>
        </w:rPr>
        <w:tab/>
      </w:r>
      <w:r w:rsidR="009E3A3E" w:rsidRPr="003F3AAE">
        <w:rPr>
          <w:rFonts w:ascii="Arial" w:hAnsi="Arial" w:cs="Arial"/>
          <w:sz w:val="24"/>
          <w:szCs w:val="24"/>
        </w:rPr>
        <w:t>In</w:t>
      </w:r>
      <w:r w:rsidR="005B6390" w:rsidRPr="003F3AAE">
        <w:rPr>
          <w:rFonts w:ascii="Arial" w:hAnsi="Arial" w:cs="Arial"/>
          <w:sz w:val="24"/>
          <w:szCs w:val="24"/>
        </w:rPr>
        <w:t>so</w:t>
      </w:r>
      <w:r w:rsidR="009E3A3E" w:rsidRPr="003F3AAE">
        <w:rPr>
          <w:rFonts w:ascii="Arial" w:hAnsi="Arial" w:cs="Arial"/>
          <w:sz w:val="24"/>
          <w:szCs w:val="24"/>
        </w:rPr>
        <w:t>far as the respondent disputes the entries on the applicant</w:t>
      </w:r>
      <w:r w:rsidR="005B6390" w:rsidRPr="003F3AAE">
        <w:rPr>
          <w:rFonts w:ascii="Arial" w:hAnsi="Arial" w:cs="Arial"/>
          <w:sz w:val="24"/>
          <w:szCs w:val="24"/>
        </w:rPr>
        <w:t>’</w:t>
      </w:r>
      <w:r w:rsidR="009E3A3E" w:rsidRPr="003F3AAE">
        <w:rPr>
          <w:rFonts w:ascii="Arial" w:hAnsi="Arial" w:cs="Arial"/>
          <w:sz w:val="24"/>
          <w:szCs w:val="24"/>
        </w:rPr>
        <w:t xml:space="preserve">s reconciliation </w:t>
      </w:r>
      <w:r w:rsidR="005B6390" w:rsidRPr="003F3AAE">
        <w:rPr>
          <w:rFonts w:ascii="Arial" w:hAnsi="Arial" w:cs="Arial"/>
          <w:sz w:val="24"/>
          <w:szCs w:val="24"/>
        </w:rPr>
        <w:t>he was</w:t>
      </w:r>
      <w:r w:rsidR="009E3A3E" w:rsidRPr="003F3AAE">
        <w:rPr>
          <w:rFonts w:ascii="Arial" w:hAnsi="Arial" w:cs="Arial"/>
          <w:sz w:val="24"/>
          <w:szCs w:val="24"/>
        </w:rPr>
        <w:t xml:space="preserve"> required by 4 December 2020 to have explained what expenses were, in his view, not reasonable. Had he done so</w:t>
      </w:r>
      <w:r w:rsidR="005B6390" w:rsidRPr="003F3AAE">
        <w:rPr>
          <w:rFonts w:ascii="Arial" w:hAnsi="Arial" w:cs="Arial"/>
          <w:sz w:val="24"/>
          <w:szCs w:val="24"/>
        </w:rPr>
        <w:t>, Justice Dolamo</w:t>
      </w:r>
      <w:r w:rsidR="009E3A3E" w:rsidRPr="003F3AAE">
        <w:rPr>
          <w:rFonts w:ascii="Arial" w:hAnsi="Arial" w:cs="Arial"/>
          <w:sz w:val="24"/>
          <w:szCs w:val="24"/>
        </w:rPr>
        <w:t xml:space="preserve"> could</w:t>
      </w:r>
      <w:r w:rsidR="005B6390" w:rsidRPr="003F3AAE">
        <w:rPr>
          <w:rFonts w:ascii="Arial" w:hAnsi="Arial" w:cs="Arial"/>
          <w:sz w:val="24"/>
          <w:szCs w:val="24"/>
        </w:rPr>
        <w:t xml:space="preserve"> have</w:t>
      </w:r>
      <w:r w:rsidR="009E3A3E" w:rsidRPr="003F3AAE">
        <w:rPr>
          <w:rFonts w:ascii="Arial" w:hAnsi="Arial" w:cs="Arial"/>
          <w:sz w:val="24"/>
          <w:szCs w:val="24"/>
        </w:rPr>
        <w:t xml:space="preserve"> made a determination on the disputed items. </w:t>
      </w:r>
      <w:r w:rsidR="00C264BA" w:rsidRPr="003F3AAE">
        <w:rPr>
          <w:rFonts w:ascii="Arial" w:hAnsi="Arial" w:cs="Arial"/>
          <w:sz w:val="24"/>
          <w:szCs w:val="24"/>
        </w:rPr>
        <w:t xml:space="preserve">The same applies to the respondent’s defence to the applicant’s claim of R4,5 million against him in relation to the sale of the former common home:  he alleges that the applicant owes him almost double that amount as a result of various loans concluded since 2009.  He was required to provide evidencing supporting his claim.  </w:t>
      </w:r>
      <w:r w:rsidR="005B6390" w:rsidRPr="003F3AAE">
        <w:rPr>
          <w:rFonts w:ascii="Arial" w:hAnsi="Arial" w:cs="Arial"/>
          <w:sz w:val="24"/>
          <w:szCs w:val="24"/>
        </w:rPr>
        <w:t>He did not do so, and thus hampered the efficiency of the administration of justice</w:t>
      </w:r>
      <w:r w:rsidR="00E12DB7" w:rsidRPr="003F3AAE">
        <w:rPr>
          <w:rFonts w:ascii="Arial" w:hAnsi="Arial" w:cs="Arial"/>
          <w:sz w:val="24"/>
          <w:szCs w:val="24"/>
        </w:rPr>
        <w:t>, whilst affecting the dignity and authority of the court.  I</w:t>
      </w:r>
      <w:r w:rsidR="009E3A3E" w:rsidRPr="003F3AAE">
        <w:rPr>
          <w:rFonts w:ascii="Arial" w:hAnsi="Arial" w:cs="Arial"/>
          <w:sz w:val="24"/>
          <w:szCs w:val="24"/>
        </w:rPr>
        <w:t>n the</w:t>
      </w:r>
      <w:r w:rsidR="00E12DB7" w:rsidRPr="003F3AAE">
        <w:rPr>
          <w:rFonts w:ascii="Arial" w:hAnsi="Arial" w:cs="Arial"/>
          <w:sz w:val="24"/>
          <w:szCs w:val="24"/>
        </w:rPr>
        <w:t>se</w:t>
      </w:r>
      <w:r w:rsidR="009E3A3E" w:rsidRPr="003F3AAE">
        <w:rPr>
          <w:rFonts w:ascii="Arial" w:hAnsi="Arial" w:cs="Arial"/>
          <w:sz w:val="24"/>
          <w:szCs w:val="24"/>
        </w:rPr>
        <w:t xml:space="preserve"> circumstances</w:t>
      </w:r>
      <w:r w:rsidR="00E12DB7" w:rsidRPr="003F3AAE">
        <w:rPr>
          <w:rFonts w:ascii="Arial" w:hAnsi="Arial" w:cs="Arial"/>
          <w:sz w:val="24"/>
          <w:szCs w:val="24"/>
        </w:rPr>
        <w:t>,</w:t>
      </w:r>
      <w:r w:rsidR="009E3A3E" w:rsidRPr="003F3AAE">
        <w:rPr>
          <w:rFonts w:ascii="Arial" w:hAnsi="Arial" w:cs="Arial"/>
          <w:sz w:val="24"/>
          <w:szCs w:val="24"/>
        </w:rPr>
        <w:t xml:space="preserve"> the respondent has failed to discharge the presumption that he acted wilfully </w:t>
      </w:r>
      <w:r w:rsidR="00E12DB7" w:rsidRPr="003F3AAE">
        <w:rPr>
          <w:rFonts w:ascii="Arial" w:hAnsi="Arial" w:cs="Arial"/>
          <w:sz w:val="24"/>
          <w:szCs w:val="24"/>
        </w:rPr>
        <w:t>and in bad faith</w:t>
      </w:r>
      <w:r w:rsidR="009E3A3E" w:rsidRPr="003F3AAE">
        <w:rPr>
          <w:rFonts w:ascii="Arial" w:hAnsi="Arial" w:cs="Arial"/>
          <w:sz w:val="24"/>
          <w:szCs w:val="24"/>
        </w:rPr>
        <w:t>.</w:t>
      </w:r>
    </w:p>
    <w:p w14:paraId="2BF701F5" w14:textId="77777777" w:rsidR="00116F95" w:rsidRPr="003F3AAE" w:rsidRDefault="00116F95" w:rsidP="003F3AAE">
      <w:pPr>
        <w:widowControl w:val="0"/>
        <w:spacing w:line="480" w:lineRule="auto"/>
        <w:jc w:val="both"/>
        <w:rPr>
          <w:rFonts w:ascii="Arial" w:hAnsi="Arial" w:cs="Arial"/>
          <w:lang w:val="en-GB"/>
        </w:rPr>
      </w:pPr>
    </w:p>
    <w:p w14:paraId="7B981370" w14:textId="7D8D3818" w:rsidR="009D540F" w:rsidRPr="003F3AAE" w:rsidRDefault="009D540F" w:rsidP="003F3AAE">
      <w:pPr>
        <w:pStyle w:val="Heading1"/>
        <w:spacing w:before="0" w:after="0"/>
        <w:jc w:val="both"/>
        <w:rPr>
          <w:rFonts w:ascii="Arial" w:hAnsi="Arial" w:cs="Arial"/>
          <w:b/>
          <w:bCs/>
          <w:sz w:val="24"/>
          <w:szCs w:val="24"/>
          <w:u w:val="single"/>
          <w:lang w:val="en-GB"/>
        </w:rPr>
      </w:pPr>
      <w:r w:rsidRPr="003F3AAE">
        <w:rPr>
          <w:rFonts w:ascii="Arial" w:hAnsi="Arial" w:cs="Arial"/>
          <w:b/>
          <w:bCs/>
          <w:sz w:val="24"/>
          <w:szCs w:val="24"/>
          <w:u w:val="single"/>
          <w:lang w:val="en-GB"/>
        </w:rPr>
        <w:t>Costs</w:t>
      </w:r>
    </w:p>
    <w:p w14:paraId="0A04DFFD" w14:textId="77777777" w:rsidR="006B3609" w:rsidRPr="003F3AAE" w:rsidRDefault="006B3609" w:rsidP="003F3AAE">
      <w:pPr>
        <w:pStyle w:val="FootnoteText"/>
        <w:widowControl w:val="0"/>
        <w:tabs>
          <w:tab w:val="left" w:pos="90"/>
        </w:tabs>
        <w:spacing w:line="480" w:lineRule="auto"/>
        <w:ind w:left="720"/>
        <w:jc w:val="both"/>
        <w:rPr>
          <w:rFonts w:ascii="Arial" w:hAnsi="Arial" w:cs="Arial"/>
          <w:sz w:val="24"/>
          <w:szCs w:val="24"/>
        </w:rPr>
      </w:pPr>
    </w:p>
    <w:p w14:paraId="56DA591A" w14:textId="1B4EBC69" w:rsidR="006B3609" w:rsidRPr="003F3AAE" w:rsidRDefault="00177EF4" w:rsidP="00177EF4">
      <w:pPr>
        <w:pStyle w:val="FootnoteText"/>
        <w:widowControl w:val="0"/>
        <w:tabs>
          <w:tab w:val="left" w:pos="90"/>
          <w:tab w:val="left" w:pos="709"/>
        </w:tabs>
        <w:spacing w:line="480" w:lineRule="auto"/>
        <w:ind w:left="709" w:hanging="709"/>
        <w:jc w:val="both"/>
        <w:rPr>
          <w:rFonts w:ascii="Arial" w:hAnsi="Arial" w:cs="Arial"/>
          <w:sz w:val="24"/>
          <w:szCs w:val="24"/>
        </w:rPr>
      </w:pPr>
      <w:r w:rsidRPr="003F3AAE">
        <w:rPr>
          <w:rFonts w:ascii="Arial" w:hAnsi="Arial" w:cs="Arial"/>
          <w:sz w:val="24"/>
          <w:szCs w:val="24"/>
        </w:rPr>
        <w:t>74.</w:t>
      </w:r>
      <w:r w:rsidRPr="003F3AAE">
        <w:rPr>
          <w:rFonts w:ascii="Arial" w:hAnsi="Arial" w:cs="Arial"/>
          <w:sz w:val="24"/>
          <w:szCs w:val="24"/>
        </w:rPr>
        <w:tab/>
      </w:r>
      <w:r w:rsidR="006B3609" w:rsidRPr="003F3AAE">
        <w:rPr>
          <w:rFonts w:ascii="Arial" w:hAnsi="Arial" w:cs="Arial"/>
          <w:sz w:val="24"/>
          <w:szCs w:val="24"/>
          <w:lang w:val="en-GB"/>
        </w:rPr>
        <w:t>Punitive costs orders are</w:t>
      </w:r>
      <w:r w:rsidR="006B3609" w:rsidRPr="003F3AAE">
        <w:rPr>
          <w:rFonts w:ascii="Arial" w:hAnsi="Arial" w:cs="Arial"/>
          <w:sz w:val="24"/>
          <w:szCs w:val="24"/>
        </w:rPr>
        <w:t xml:space="preserve"> generally reserved for litigants who are guilty of dishonesty or fraud or some other conduct which is to be frowned upon by the Court: “</w:t>
      </w:r>
      <w:r w:rsidR="006B3609" w:rsidRPr="003F3AAE">
        <w:rPr>
          <w:rFonts w:ascii="Arial" w:hAnsi="Arial" w:cs="Arial"/>
          <w:i/>
          <w:iCs/>
          <w:sz w:val="24"/>
          <w:szCs w:val="24"/>
          <w:shd w:val="clear" w:color="auto" w:fill="FFFFFF"/>
        </w:rPr>
        <w:t xml:space="preserve">The scale of attorney and client is an extra-ordinary one which should be reserved for cases where it can be found that a litigant conducted itself in a clear and indubitably vexatious and reprehensible conduct. Such an award is exceptional and is intended to be very </w:t>
      </w:r>
      <w:r w:rsidR="006B3609" w:rsidRPr="003F3AAE">
        <w:rPr>
          <w:rFonts w:ascii="Arial" w:hAnsi="Arial" w:cs="Arial"/>
          <w:i/>
          <w:iCs/>
          <w:sz w:val="24"/>
          <w:szCs w:val="24"/>
          <w:shd w:val="clear" w:color="auto" w:fill="FFFFFF"/>
        </w:rPr>
        <w:lastRenderedPageBreak/>
        <w:t>punitive and indicative of extreme opprobrium</w:t>
      </w:r>
      <w:r w:rsidR="006B3609" w:rsidRPr="003F3AAE">
        <w:rPr>
          <w:rFonts w:ascii="Arial" w:hAnsi="Arial" w:cs="Arial"/>
          <w:sz w:val="24"/>
          <w:szCs w:val="24"/>
          <w:shd w:val="clear" w:color="auto" w:fill="FFFFFF"/>
        </w:rPr>
        <w:t>” (</w:t>
      </w:r>
      <w:r w:rsidR="006B3609" w:rsidRPr="003F3AAE">
        <w:rPr>
          <w:rFonts w:ascii="Arial" w:hAnsi="Arial" w:cs="Arial"/>
          <w:sz w:val="24"/>
          <w:szCs w:val="24"/>
        </w:rPr>
        <w:t xml:space="preserve">Plastic Converters Association of South Africa (PCASA) Obo Members </w:t>
      </w:r>
      <w:proofErr w:type="gramStart"/>
      <w:r w:rsidR="006B3609" w:rsidRPr="003F3AAE">
        <w:rPr>
          <w:rFonts w:ascii="Arial" w:hAnsi="Arial" w:cs="Arial"/>
          <w:sz w:val="24"/>
          <w:szCs w:val="24"/>
        </w:rPr>
        <w:t>v</w:t>
      </w:r>
      <w:proofErr w:type="gramEnd"/>
      <w:r w:rsidR="006B3609" w:rsidRPr="003F3AAE">
        <w:rPr>
          <w:rFonts w:ascii="Arial" w:hAnsi="Arial" w:cs="Arial"/>
          <w:sz w:val="24"/>
          <w:szCs w:val="24"/>
        </w:rPr>
        <w:t xml:space="preserve"> National Union of Metalworkers Union of South Africa and Others</w:t>
      </w:r>
      <w:r w:rsidR="006B3609" w:rsidRPr="003F3AAE">
        <w:rPr>
          <w:rFonts w:ascii="Arial" w:hAnsi="Arial" w:cs="Arial"/>
          <w:i/>
          <w:iCs/>
          <w:sz w:val="24"/>
          <w:szCs w:val="24"/>
        </w:rPr>
        <w:t xml:space="preserve"> (JA112/14) [2016] ZALAC 37 (6 July 2016) at para [46]</w:t>
      </w:r>
      <w:r w:rsidR="006B3609" w:rsidRPr="003F3AAE">
        <w:rPr>
          <w:rFonts w:ascii="Arial" w:hAnsi="Arial" w:cs="Arial"/>
          <w:sz w:val="24"/>
          <w:szCs w:val="24"/>
        </w:rPr>
        <w:t>)</w:t>
      </w:r>
      <w:r w:rsidR="006B3609" w:rsidRPr="003F3AAE">
        <w:rPr>
          <w:rFonts w:ascii="Arial" w:hAnsi="Arial" w:cs="Arial"/>
          <w:i/>
          <w:iCs/>
          <w:sz w:val="24"/>
          <w:szCs w:val="24"/>
        </w:rPr>
        <w:t>.</w:t>
      </w:r>
    </w:p>
    <w:p w14:paraId="03908150" w14:textId="77777777" w:rsidR="009037BF" w:rsidRPr="003F3AAE" w:rsidRDefault="009037BF" w:rsidP="003F3AAE">
      <w:pPr>
        <w:pStyle w:val="FootnoteText"/>
        <w:widowControl w:val="0"/>
        <w:tabs>
          <w:tab w:val="left" w:pos="90"/>
        </w:tabs>
        <w:spacing w:line="480" w:lineRule="auto"/>
        <w:ind w:left="709"/>
        <w:jc w:val="both"/>
        <w:rPr>
          <w:rFonts w:ascii="Arial" w:hAnsi="Arial" w:cs="Arial"/>
          <w:sz w:val="24"/>
          <w:szCs w:val="24"/>
        </w:rPr>
      </w:pPr>
    </w:p>
    <w:p w14:paraId="6F6AF902" w14:textId="2EA8C307" w:rsidR="006B3609" w:rsidRPr="003F3AAE" w:rsidRDefault="00177EF4" w:rsidP="00177EF4">
      <w:pPr>
        <w:pStyle w:val="FootnoteText"/>
        <w:widowControl w:val="0"/>
        <w:tabs>
          <w:tab w:val="left" w:pos="90"/>
          <w:tab w:val="left" w:pos="709"/>
        </w:tabs>
        <w:spacing w:line="480" w:lineRule="auto"/>
        <w:ind w:left="709" w:hanging="709"/>
        <w:jc w:val="both"/>
        <w:rPr>
          <w:rFonts w:ascii="Arial" w:hAnsi="Arial" w:cs="Arial"/>
          <w:sz w:val="24"/>
          <w:szCs w:val="24"/>
        </w:rPr>
      </w:pPr>
      <w:r w:rsidRPr="003F3AAE">
        <w:rPr>
          <w:rFonts w:ascii="Arial" w:hAnsi="Arial" w:cs="Arial"/>
          <w:sz w:val="24"/>
          <w:szCs w:val="24"/>
        </w:rPr>
        <w:t>75.</w:t>
      </w:r>
      <w:r w:rsidRPr="003F3AAE">
        <w:rPr>
          <w:rFonts w:ascii="Arial" w:hAnsi="Arial" w:cs="Arial"/>
          <w:sz w:val="24"/>
          <w:szCs w:val="24"/>
        </w:rPr>
        <w:tab/>
      </w:r>
      <w:r w:rsidR="009037BF" w:rsidRPr="003F3AAE">
        <w:rPr>
          <w:rFonts w:ascii="Arial" w:hAnsi="Arial" w:cs="Arial"/>
          <w:sz w:val="24"/>
          <w:szCs w:val="24"/>
          <w:lang w:val="en-GB"/>
        </w:rPr>
        <w:t>The present matter is such a case.  The respondent has acted in blatant contempt of his obligations under the Rule 43 order and the pretrial directions.  His opposition to the contempt application was alarmingly sparse and unsustainable.  In these circumstances, I think that his conduct should be visited with an order of costs on the scale as between attorney and client.</w:t>
      </w:r>
    </w:p>
    <w:p w14:paraId="5E8927A2" w14:textId="77777777" w:rsidR="007727D2" w:rsidRPr="003F3AAE" w:rsidRDefault="007727D2" w:rsidP="003F3AAE">
      <w:pPr>
        <w:pStyle w:val="Heading1"/>
        <w:spacing w:before="0" w:after="0"/>
        <w:jc w:val="both"/>
        <w:rPr>
          <w:rFonts w:ascii="Arial" w:hAnsi="Arial" w:cs="Arial"/>
          <w:b/>
          <w:bCs/>
          <w:sz w:val="24"/>
          <w:szCs w:val="24"/>
          <w:u w:val="single"/>
          <w:lang w:val="en-GB"/>
        </w:rPr>
      </w:pPr>
    </w:p>
    <w:p w14:paraId="6412B9FE" w14:textId="311A71B6" w:rsidR="00C0192B" w:rsidRPr="003F3AAE" w:rsidRDefault="002740A1" w:rsidP="003F3AAE">
      <w:pPr>
        <w:pStyle w:val="Heading1"/>
        <w:spacing w:before="0" w:after="0"/>
        <w:jc w:val="both"/>
        <w:rPr>
          <w:rFonts w:ascii="Arial" w:hAnsi="Arial" w:cs="Arial"/>
          <w:sz w:val="24"/>
          <w:szCs w:val="24"/>
          <w:lang w:val="en-GB"/>
        </w:rPr>
      </w:pPr>
      <w:r w:rsidRPr="003F3AAE">
        <w:rPr>
          <w:rFonts w:ascii="Arial" w:hAnsi="Arial" w:cs="Arial"/>
          <w:b/>
          <w:bCs/>
          <w:sz w:val="24"/>
          <w:szCs w:val="24"/>
          <w:u w:val="single"/>
          <w:lang w:val="en-GB"/>
        </w:rPr>
        <w:t>Order</w:t>
      </w:r>
    </w:p>
    <w:p w14:paraId="3C9BFC83" w14:textId="77777777" w:rsidR="00B2775E" w:rsidRPr="003F3AAE" w:rsidRDefault="00B2775E" w:rsidP="003F3AAE">
      <w:pPr>
        <w:pStyle w:val="Heading1"/>
        <w:spacing w:before="0" w:after="0"/>
        <w:ind w:left="709"/>
        <w:jc w:val="both"/>
        <w:rPr>
          <w:rFonts w:ascii="Arial" w:hAnsi="Arial" w:cs="Arial"/>
          <w:sz w:val="24"/>
          <w:szCs w:val="24"/>
          <w:lang w:val="en-GB"/>
        </w:rPr>
      </w:pPr>
    </w:p>
    <w:p w14:paraId="5F2CA63C" w14:textId="0F6EF48F" w:rsidR="005531EA" w:rsidRPr="003F3AAE" w:rsidRDefault="00177EF4" w:rsidP="00177EF4">
      <w:pPr>
        <w:pStyle w:val="Heading1"/>
        <w:tabs>
          <w:tab w:val="left" w:pos="709"/>
        </w:tabs>
        <w:spacing w:before="0" w:after="0"/>
        <w:ind w:left="709" w:hanging="709"/>
        <w:jc w:val="both"/>
        <w:rPr>
          <w:rFonts w:ascii="Arial" w:hAnsi="Arial" w:cs="Arial"/>
          <w:sz w:val="24"/>
          <w:szCs w:val="24"/>
          <w:lang w:val="en-GB"/>
        </w:rPr>
      </w:pPr>
      <w:r w:rsidRPr="003F3AAE">
        <w:rPr>
          <w:rFonts w:ascii="Arial" w:hAnsi="Arial" w:cs="Arial"/>
          <w:sz w:val="24"/>
          <w:szCs w:val="24"/>
          <w:lang w:val="en-GB"/>
        </w:rPr>
        <w:t>76.</w:t>
      </w:r>
      <w:r w:rsidRPr="003F3AAE">
        <w:rPr>
          <w:rFonts w:ascii="Arial" w:hAnsi="Arial" w:cs="Arial"/>
          <w:sz w:val="24"/>
          <w:szCs w:val="24"/>
          <w:lang w:val="en-GB"/>
        </w:rPr>
        <w:tab/>
      </w:r>
      <w:r w:rsidR="002740A1" w:rsidRPr="003F3AAE">
        <w:rPr>
          <w:rFonts w:ascii="Arial" w:hAnsi="Arial" w:cs="Arial"/>
          <w:sz w:val="24"/>
          <w:szCs w:val="24"/>
          <w:lang w:val="en-GB"/>
        </w:rPr>
        <w:t xml:space="preserve">In the circumstances, </w:t>
      </w:r>
      <w:r w:rsidR="00C44510" w:rsidRPr="003F3AAE">
        <w:rPr>
          <w:rFonts w:ascii="Arial" w:hAnsi="Arial" w:cs="Arial"/>
          <w:sz w:val="24"/>
          <w:szCs w:val="24"/>
          <w:lang w:val="en-GB"/>
        </w:rPr>
        <w:t>it is ordered as follows</w:t>
      </w:r>
      <w:r w:rsidR="00AF1570" w:rsidRPr="003F3AAE">
        <w:rPr>
          <w:rFonts w:ascii="Arial" w:hAnsi="Arial" w:cs="Arial"/>
          <w:sz w:val="24"/>
          <w:szCs w:val="24"/>
          <w:lang w:val="en-GB"/>
        </w:rPr>
        <w:t>:</w:t>
      </w:r>
    </w:p>
    <w:p w14:paraId="57569EE4" w14:textId="77777777" w:rsidR="007727D2" w:rsidRPr="003F3AAE" w:rsidRDefault="007727D2" w:rsidP="003F3AAE">
      <w:pPr>
        <w:pStyle w:val="Heading1"/>
        <w:spacing w:before="0" w:after="0"/>
        <w:ind w:left="709"/>
        <w:jc w:val="both"/>
        <w:rPr>
          <w:rFonts w:ascii="Arial" w:hAnsi="Arial" w:cs="Arial"/>
          <w:b/>
          <w:bCs/>
          <w:sz w:val="24"/>
          <w:szCs w:val="24"/>
          <w:u w:val="single"/>
          <w:lang w:val="en-GB"/>
        </w:rPr>
      </w:pPr>
    </w:p>
    <w:p w14:paraId="1F67E6FE" w14:textId="76680404" w:rsidR="00C8257D" w:rsidRPr="003F3AAE" w:rsidRDefault="00177EF4" w:rsidP="00177EF4">
      <w:pPr>
        <w:pStyle w:val="Heading1"/>
        <w:spacing w:before="0" w:after="0"/>
        <w:ind w:left="1418" w:hanging="709"/>
        <w:jc w:val="both"/>
        <w:rPr>
          <w:rFonts w:ascii="Arial" w:hAnsi="Arial" w:cs="Arial"/>
          <w:sz w:val="24"/>
          <w:szCs w:val="24"/>
          <w:lang w:val="en-GB"/>
        </w:rPr>
      </w:pPr>
      <w:r w:rsidRPr="003F3AAE">
        <w:rPr>
          <w:rFonts w:ascii="Arial" w:hAnsi="Arial" w:cs="Arial"/>
          <w:sz w:val="24"/>
          <w:szCs w:val="24"/>
          <w:lang w:val="en-GB"/>
        </w:rPr>
        <w:t>76.1.</w:t>
      </w:r>
      <w:r w:rsidRPr="003F3AAE">
        <w:rPr>
          <w:rFonts w:ascii="Arial" w:hAnsi="Arial" w:cs="Arial"/>
          <w:sz w:val="24"/>
          <w:szCs w:val="24"/>
          <w:lang w:val="en-GB"/>
        </w:rPr>
        <w:tab/>
      </w:r>
      <w:r w:rsidR="002769DB" w:rsidRPr="003F3AAE">
        <w:rPr>
          <w:rFonts w:ascii="Arial" w:hAnsi="Arial" w:cs="Arial"/>
          <w:sz w:val="24"/>
          <w:szCs w:val="24"/>
          <w:lang w:val="en-GB"/>
        </w:rPr>
        <w:t xml:space="preserve">The </w:t>
      </w:r>
      <w:r w:rsidR="00C8257D" w:rsidRPr="003F3AAE">
        <w:rPr>
          <w:rFonts w:ascii="Arial" w:hAnsi="Arial" w:cs="Arial"/>
          <w:sz w:val="24"/>
          <w:szCs w:val="24"/>
          <w:lang w:val="en-GB"/>
        </w:rPr>
        <w:t>respondent is in contempt of the court order made in terms of Rule 43 on 4 July 2017 and the pretrial directions made on 7 October 2020 and 26 November 2020.</w:t>
      </w:r>
    </w:p>
    <w:p w14:paraId="7DB73B5E" w14:textId="77777777" w:rsidR="00C8257D" w:rsidRPr="003F3AAE" w:rsidRDefault="00C8257D" w:rsidP="003F3AAE">
      <w:pPr>
        <w:pStyle w:val="Heading1"/>
        <w:spacing w:before="0" w:after="0"/>
        <w:ind w:left="1418"/>
        <w:jc w:val="both"/>
        <w:rPr>
          <w:rFonts w:ascii="Arial" w:hAnsi="Arial" w:cs="Arial"/>
          <w:sz w:val="24"/>
          <w:szCs w:val="24"/>
          <w:lang w:val="en-GB"/>
        </w:rPr>
      </w:pPr>
    </w:p>
    <w:p w14:paraId="6C874178" w14:textId="1310610E" w:rsidR="00C8257D" w:rsidRPr="003F3AAE" w:rsidRDefault="00177EF4" w:rsidP="00177EF4">
      <w:pPr>
        <w:pStyle w:val="Heading1"/>
        <w:spacing w:before="0" w:after="0"/>
        <w:ind w:left="1418" w:hanging="709"/>
        <w:jc w:val="both"/>
        <w:rPr>
          <w:rFonts w:ascii="Arial" w:hAnsi="Arial" w:cs="Arial"/>
          <w:sz w:val="24"/>
          <w:szCs w:val="24"/>
          <w:lang w:val="en-GB"/>
        </w:rPr>
      </w:pPr>
      <w:r w:rsidRPr="003F3AAE">
        <w:rPr>
          <w:rFonts w:ascii="Arial" w:hAnsi="Arial" w:cs="Arial"/>
          <w:sz w:val="24"/>
          <w:szCs w:val="24"/>
          <w:lang w:val="en-GB"/>
        </w:rPr>
        <w:t>76.2.</w:t>
      </w:r>
      <w:r w:rsidRPr="003F3AAE">
        <w:rPr>
          <w:rFonts w:ascii="Arial" w:hAnsi="Arial" w:cs="Arial"/>
          <w:sz w:val="24"/>
          <w:szCs w:val="24"/>
          <w:lang w:val="en-GB"/>
        </w:rPr>
        <w:tab/>
      </w:r>
      <w:r w:rsidR="00C8257D" w:rsidRPr="003F3AAE">
        <w:rPr>
          <w:rFonts w:ascii="Arial" w:hAnsi="Arial" w:cs="Arial"/>
          <w:sz w:val="24"/>
          <w:szCs w:val="24"/>
          <w:lang w:val="en-GB"/>
        </w:rPr>
        <w:t xml:space="preserve"> The respondent is committed to prison for a period of 30 (thirty) days.</w:t>
      </w:r>
    </w:p>
    <w:p w14:paraId="1AE6E996" w14:textId="77777777" w:rsidR="00C8257D" w:rsidRPr="003F3AAE" w:rsidRDefault="00C8257D" w:rsidP="003F3AAE">
      <w:pPr>
        <w:pStyle w:val="Heading1"/>
        <w:spacing w:before="0" w:after="0"/>
        <w:ind w:left="1418"/>
        <w:jc w:val="both"/>
        <w:rPr>
          <w:rFonts w:ascii="Arial" w:hAnsi="Arial" w:cs="Arial"/>
          <w:sz w:val="24"/>
          <w:szCs w:val="24"/>
          <w:lang w:val="en-GB"/>
        </w:rPr>
      </w:pPr>
    </w:p>
    <w:p w14:paraId="440CC110" w14:textId="0E4BF55B" w:rsidR="00AA2467" w:rsidRPr="003F3AAE" w:rsidRDefault="00177EF4" w:rsidP="00177EF4">
      <w:pPr>
        <w:pStyle w:val="Heading1"/>
        <w:spacing w:before="0" w:after="0"/>
        <w:ind w:left="1418" w:hanging="709"/>
        <w:jc w:val="both"/>
        <w:rPr>
          <w:rFonts w:ascii="Arial" w:hAnsi="Arial" w:cs="Arial"/>
          <w:sz w:val="24"/>
          <w:szCs w:val="24"/>
          <w:lang w:val="en-GB"/>
        </w:rPr>
      </w:pPr>
      <w:r w:rsidRPr="003F3AAE">
        <w:rPr>
          <w:rFonts w:ascii="Arial" w:hAnsi="Arial" w:cs="Arial"/>
          <w:sz w:val="24"/>
          <w:szCs w:val="24"/>
          <w:lang w:val="en-GB"/>
        </w:rPr>
        <w:t>76.3.</w:t>
      </w:r>
      <w:r w:rsidRPr="003F3AAE">
        <w:rPr>
          <w:rFonts w:ascii="Arial" w:hAnsi="Arial" w:cs="Arial"/>
          <w:sz w:val="24"/>
          <w:szCs w:val="24"/>
          <w:lang w:val="en-GB"/>
        </w:rPr>
        <w:tab/>
      </w:r>
      <w:r w:rsidR="00C8257D" w:rsidRPr="003F3AAE">
        <w:rPr>
          <w:rFonts w:ascii="Arial" w:hAnsi="Arial" w:cs="Arial"/>
          <w:sz w:val="24"/>
          <w:szCs w:val="24"/>
          <w:lang w:val="en-GB"/>
        </w:rPr>
        <w:t>The sanction imposed in paragraph 7</w:t>
      </w:r>
      <w:r w:rsidR="005334C1" w:rsidRPr="003F3AAE">
        <w:rPr>
          <w:rFonts w:ascii="Arial" w:hAnsi="Arial" w:cs="Arial"/>
          <w:sz w:val="24"/>
          <w:szCs w:val="24"/>
          <w:lang w:val="en-GB"/>
        </w:rPr>
        <w:t>6</w:t>
      </w:r>
      <w:r w:rsidR="00C8257D" w:rsidRPr="003F3AAE">
        <w:rPr>
          <w:rFonts w:ascii="Arial" w:hAnsi="Arial" w:cs="Arial"/>
          <w:sz w:val="24"/>
          <w:szCs w:val="24"/>
          <w:lang w:val="en-GB"/>
        </w:rPr>
        <w:t>.2</w:t>
      </w:r>
      <w:r w:rsidR="005334C1" w:rsidRPr="003F3AAE">
        <w:rPr>
          <w:rFonts w:ascii="Arial" w:hAnsi="Arial" w:cs="Arial"/>
          <w:sz w:val="24"/>
          <w:szCs w:val="24"/>
          <w:lang w:val="en-GB"/>
        </w:rPr>
        <w:t xml:space="preserve"> is suspended for a period of 1 (one) year, provided that the respondent has, within </w:t>
      </w:r>
      <w:r w:rsidR="003F3AAE" w:rsidRPr="003F3AAE">
        <w:rPr>
          <w:rFonts w:ascii="Arial" w:hAnsi="Arial" w:cs="Arial"/>
          <w:sz w:val="24"/>
          <w:szCs w:val="24"/>
          <w:lang w:val="en-GB"/>
        </w:rPr>
        <w:t>9</w:t>
      </w:r>
      <w:r w:rsidR="00AA2467" w:rsidRPr="003F3AAE">
        <w:rPr>
          <w:rFonts w:ascii="Arial" w:hAnsi="Arial" w:cs="Arial"/>
          <w:sz w:val="24"/>
          <w:szCs w:val="24"/>
          <w:lang w:val="en-GB"/>
        </w:rPr>
        <w:t>0 (</w:t>
      </w:r>
      <w:r w:rsidR="003F3AAE" w:rsidRPr="003F3AAE">
        <w:rPr>
          <w:rFonts w:ascii="Arial" w:hAnsi="Arial" w:cs="Arial"/>
          <w:sz w:val="24"/>
          <w:szCs w:val="24"/>
          <w:lang w:val="en-GB"/>
        </w:rPr>
        <w:t>nine</w:t>
      </w:r>
      <w:r w:rsidR="00AA2467" w:rsidRPr="003F3AAE">
        <w:rPr>
          <w:rFonts w:ascii="Arial" w:hAnsi="Arial" w:cs="Arial"/>
          <w:sz w:val="24"/>
          <w:szCs w:val="24"/>
          <w:lang w:val="en-GB"/>
        </w:rPr>
        <w:t>ty) days of the date of this order:</w:t>
      </w:r>
    </w:p>
    <w:p w14:paraId="79FCEDC1" w14:textId="77777777" w:rsidR="00B80D4F" w:rsidRPr="003F3AAE" w:rsidRDefault="00B80D4F" w:rsidP="003F3AAE">
      <w:pPr>
        <w:pStyle w:val="Heading1"/>
        <w:tabs>
          <w:tab w:val="clear" w:pos="1418"/>
          <w:tab w:val="left" w:pos="2340"/>
        </w:tabs>
        <w:spacing w:before="0" w:after="0"/>
        <w:ind w:left="2340"/>
        <w:jc w:val="both"/>
        <w:rPr>
          <w:rFonts w:ascii="Arial" w:hAnsi="Arial" w:cs="Arial"/>
          <w:sz w:val="24"/>
          <w:szCs w:val="24"/>
          <w:lang w:val="en-GB"/>
        </w:rPr>
      </w:pPr>
    </w:p>
    <w:p w14:paraId="325438A2" w14:textId="57F287AE" w:rsidR="00B80D4F" w:rsidRPr="003F3AAE" w:rsidRDefault="00177EF4" w:rsidP="00177EF4">
      <w:pPr>
        <w:pStyle w:val="Heading1"/>
        <w:tabs>
          <w:tab w:val="clear" w:pos="1418"/>
          <w:tab w:val="left" w:pos="2340"/>
        </w:tabs>
        <w:spacing w:before="0" w:after="0"/>
        <w:ind w:left="2340" w:hanging="1069"/>
        <w:jc w:val="both"/>
        <w:rPr>
          <w:rFonts w:ascii="Arial" w:hAnsi="Arial" w:cs="Arial"/>
          <w:sz w:val="24"/>
          <w:szCs w:val="24"/>
          <w:lang w:val="en-GB"/>
        </w:rPr>
      </w:pPr>
      <w:r w:rsidRPr="003F3AAE">
        <w:rPr>
          <w:rFonts w:ascii="Arial" w:hAnsi="Arial" w:cs="Arial"/>
          <w:sz w:val="24"/>
          <w:szCs w:val="24"/>
          <w:lang w:val="en-GB"/>
        </w:rPr>
        <w:t>76.3.1.</w:t>
      </w:r>
      <w:r w:rsidRPr="003F3AAE">
        <w:rPr>
          <w:rFonts w:ascii="Arial" w:hAnsi="Arial" w:cs="Arial"/>
          <w:sz w:val="24"/>
          <w:szCs w:val="24"/>
          <w:lang w:val="en-GB"/>
        </w:rPr>
        <w:tab/>
      </w:r>
      <w:r w:rsidR="00AA2467" w:rsidRPr="003F3AAE">
        <w:rPr>
          <w:rFonts w:ascii="Arial" w:hAnsi="Arial" w:cs="Arial"/>
          <w:sz w:val="24"/>
          <w:szCs w:val="24"/>
          <w:lang w:val="en-GB"/>
        </w:rPr>
        <w:t xml:space="preserve">Made payment to the applicant, by way of transfer to the applicant’s </w:t>
      </w:r>
      <w:r w:rsidR="00AA2467" w:rsidRPr="003F3AAE">
        <w:rPr>
          <w:rFonts w:ascii="Arial" w:hAnsi="Arial" w:cs="Arial"/>
          <w:sz w:val="24"/>
          <w:szCs w:val="24"/>
          <w:lang w:val="en-GB"/>
        </w:rPr>
        <w:lastRenderedPageBreak/>
        <w:t xml:space="preserve">attorneys’ trust account, of the amount of R334 998.02, together with interest thereon at the prescribed rate </w:t>
      </w:r>
      <w:r w:rsidR="00B80D4F" w:rsidRPr="003F3AAE">
        <w:rPr>
          <w:rFonts w:ascii="Arial" w:hAnsi="Arial" w:cs="Arial"/>
          <w:sz w:val="24"/>
          <w:szCs w:val="24"/>
          <w:lang w:val="en-GB"/>
        </w:rPr>
        <w:t>from 5 October 2021 to date of payment; and</w:t>
      </w:r>
    </w:p>
    <w:p w14:paraId="6F8941C3" w14:textId="77777777" w:rsidR="00B80D4F" w:rsidRPr="003F3AAE" w:rsidRDefault="00B80D4F" w:rsidP="003F3AAE">
      <w:pPr>
        <w:pStyle w:val="Heading1"/>
        <w:tabs>
          <w:tab w:val="clear" w:pos="1418"/>
          <w:tab w:val="left" w:pos="2340"/>
        </w:tabs>
        <w:spacing w:before="0" w:after="0"/>
        <w:ind w:left="2340"/>
        <w:jc w:val="both"/>
        <w:rPr>
          <w:rFonts w:ascii="Arial" w:hAnsi="Arial" w:cs="Arial"/>
          <w:sz w:val="24"/>
          <w:szCs w:val="24"/>
          <w:lang w:val="en-GB"/>
        </w:rPr>
      </w:pPr>
    </w:p>
    <w:p w14:paraId="40EB5276" w14:textId="71A4BCF9" w:rsidR="00AA2467" w:rsidRPr="003F3AAE" w:rsidRDefault="00177EF4" w:rsidP="00177EF4">
      <w:pPr>
        <w:pStyle w:val="Heading1"/>
        <w:tabs>
          <w:tab w:val="clear" w:pos="1418"/>
          <w:tab w:val="left" w:pos="2340"/>
        </w:tabs>
        <w:spacing w:before="0" w:after="0"/>
        <w:ind w:left="2340" w:hanging="1069"/>
        <w:jc w:val="both"/>
        <w:rPr>
          <w:rFonts w:ascii="Arial" w:hAnsi="Arial" w:cs="Arial"/>
          <w:sz w:val="24"/>
          <w:szCs w:val="24"/>
          <w:lang w:val="en-GB"/>
        </w:rPr>
      </w:pPr>
      <w:r w:rsidRPr="003F3AAE">
        <w:rPr>
          <w:rFonts w:ascii="Arial" w:hAnsi="Arial" w:cs="Arial"/>
          <w:sz w:val="24"/>
          <w:szCs w:val="24"/>
          <w:lang w:val="en-GB"/>
        </w:rPr>
        <w:t>76.3.2.</w:t>
      </w:r>
      <w:r w:rsidRPr="003F3AAE">
        <w:rPr>
          <w:rFonts w:ascii="Arial" w:hAnsi="Arial" w:cs="Arial"/>
          <w:sz w:val="24"/>
          <w:szCs w:val="24"/>
          <w:lang w:val="en-GB"/>
        </w:rPr>
        <w:tab/>
      </w:r>
      <w:r w:rsidR="00B80D4F" w:rsidRPr="003F3AAE">
        <w:rPr>
          <w:rFonts w:ascii="Arial" w:hAnsi="Arial" w:cs="Arial"/>
          <w:sz w:val="24"/>
          <w:szCs w:val="24"/>
          <w:lang w:val="en-GB"/>
        </w:rPr>
        <w:t xml:space="preserve">Delivered full details of the alleged loan liabilities of the applicant to the respondent, including the provision of full details in relation to </w:t>
      </w:r>
      <w:r w:rsidR="003F3AAE" w:rsidRPr="003F3AAE">
        <w:rPr>
          <w:rFonts w:ascii="Arial" w:hAnsi="Arial" w:cs="Arial"/>
          <w:sz w:val="24"/>
          <w:szCs w:val="24"/>
          <w:lang w:val="en-GB"/>
        </w:rPr>
        <w:t>such</w:t>
      </w:r>
      <w:r w:rsidR="00B80D4F" w:rsidRPr="003F3AAE">
        <w:rPr>
          <w:rFonts w:ascii="Arial" w:hAnsi="Arial" w:cs="Arial"/>
          <w:sz w:val="24"/>
          <w:szCs w:val="24"/>
          <w:lang w:val="en-GB"/>
        </w:rPr>
        <w:t xml:space="preserve"> loan agreements, quantification, and supporting evidence. </w:t>
      </w:r>
    </w:p>
    <w:p w14:paraId="57B09550" w14:textId="77777777" w:rsidR="00AA2467" w:rsidRPr="003F3AAE" w:rsidRDefault="00AA2467" w:rsidP="003F3AAE">
      <w:pPr>
        <w:pStyle w:val="Heading1"/>
        <w:spacing w:before="0" w:after="0"/>
        <w:jc w:val="both"/>
        <w:rPr>
          <w:rFonts w:ascii="Arial" w:hAnsi="Arial" w:cs="Arial"/>
          <w:sz w:val="24"/>
          <w:szCs w:val="24"/>
          <w:lang w:val="en-GB"/>
        </w:rPr>
      </w:pPr>
    </w:p>
    <w:p w14:paraId="02949F03" w14:textId="50E4B947" w:rsidR="00AA2467" w:rsidRPr="003F3AAE" w:rsidRDefault="00177EF4" w:rsidP="00177EF4">
      <w:pPr>
        <w:pStyle w:val="Heading1"/>
        <w:spacing w:before="0" w:after="0"/>
        <w:ind w:left="1418" w:hanging="709"/>
        <w:jc w:val="both"/>
        <w:rPr>
          <w:rFonts w:ascii="Arial" w:hAnsi="Arial" w:cs="Arial"/>
          <w:sz w:val="24"/>
          <w:szCs w:val="24"/>
          <w:lang w:val="en-GB"/>
        </w:rPr>
      </w:pPr>
      <w:r w:rsidRPr="003F3AAE">
        <w:rPr>
          <w:rFonts w:ascii="Arial" w:hAnsi="Arial" w:cs="Arial"/>
          <w:sz w:val="24"/>
          <w:szCs w:val="24"/>
          <w:lang w:val="en-GB"/>
        </w:rPr>
        <w:t>76.4.</w:t>
      </w:r>
      <w:r w:rsidRPr="003F3AAE">
        <w:rPr>
          <w:rFonts w:ascii="Arial" w:hAnsi="Arial" w:cs="Arial"/>
          <w:sz w:val="24"/>
          <w:szCs w:val="24"/>
          <w:lang w:val="en-GB"/>
        </w:rPr>
        <w:tab/>
      </w:r>
      <w:r w:rsidR="00AA2467" w:rsidRPr="003F3AAE">
        <w:rPr>
          <w:rFonts w:ascii="Arial" w:hAnsi="Arial" w:cs="Arial"/>
          <w:sz w:val="24"/>
          <w:szCs w:val="24"/>
          <w:lang w:val="en-GB"/>
        </w:rPr>
        <w:t xml:space="preserve">In the event of the respondent failing to comply with the provisions of paragraph 76.3, the applicant may approach the Court ion the same papers, duly supplemented and on not less than 5 (five) court days’ notice to the respondent, for an order that the respondent be committed to prison. </w:t>
      </w:r>
    </w:p>
    <w:p w14:paraId="0C0345BF" w14:textId="77777777" w:rsidR="00AA2467" w:rsidRPr="003F3AAE" w:rsidRDefault="00AA2467" w:rsidP="003F3AAE">
      <w:pPr>
        <w:pStyle w:val="Heading1"/>
        <w:spacing w:before="0" w:after="0"/>
        <w:ind w:left="1418"/>
        <w:jc w:val="both"/>
        <w:rPr>
          <w:rFonts w:ascii="Arial" w:hAnsi="Arial" w:cs="Arial"/>
          <w:sz w:val="24"/>
          <w:szCs w:val="24"/>
          <w:lang w:val="en-GB"/>
        </w:rPr>
      </w:pPr>
    </w:p>
    <w:p w14:paraId="4F052EBC" w14:textId="0263FCC5" w:rsidR="005531EA" w:rsidRPr="003F3AAE" w:rsidRDefault="00177EF4" w:rsidP="00177EF4">
      <w:pPr>
        <w:pStyle w:val="Heading1"/>
        <w:spacing w:before="0" w:after="0"/>
        <w:ind w:left="1418" w:hanging="709"/>
        <w:jc w:val="both"/>
        <w:rPr>
          <w:rFonts w:ascii="Arial" w:hAnsi="Arial" w:cs="Arial"/>
          <w:sz w:val="24"/>
          <w:szCs w:val="24"/>
          <w:lang w:val="en-GB"/>
        </w:rPr>
      </w:pPr>
      <w:r w:rsidRPr="003F3AAE">
        <w:rPr>
          <w:rFonts w:ascii="Arial" w:hAnsi="Arial" w:cs="Arial"/>
          <w:sz w:val="24"/>
          <w:szCs w:val="24"/>
          <w:lang w:val="en-GB"/>
        </w:rPr>
        <w:t>76.5.</w:t>
      </w:r>
      <w:r w:rsidRPr="003F3AAE">
        <w:rPr>
          <w:rFonts w:ascii="Arial" w:hAnsi="Arial" w:cs="Arial"/>
          <w:sz w:val="24"/>
          <w:szCs w:val="24"/>
          <w:lang w:val="en-GB"/>
        </w:rPr>
        <w:tab/>
      </w:r>
      <w:r w:rsidR="00AA2467" w:rsidRPr="003F3AAE">
        <w:rPr>
          <w:rFonts w:ascii="Arial" w:hAnsi="Arial" w:cs="Arial"/>
          <w:sz w:val="24"/>
          <w:szCs w:val="24"/>
          <w:lang w:val="en-GB"/>
        </w:rPr>
        <w:t>The respondent shall bear the costs of the contempt application on the scale as between attorney and client.</w:t>
      </w:r>
    </w:p>
    <w:p w14:paraId="3A5C4ABF" w14:textId="77777777" w:rsidR="00C8257D" w:rsidRPr="003F3AAE" w:rsidRDefault="00C8257D" w:rsidP="003F3AAE">
      <w:pPr>
        <w:spacing w:line="480" w:lineRule="auto"/>
        <w:rPr>
          <w:lang w:val="en-GB"/>
        </w:rPr>
      </w:pPr>
    </w:p>
    <w:p w14:paraId="3FD31D2A" w14:textId="77777777" w:rsidR="005531EA" w:rsidRPr="003F3AAE" w:rsidRDefault="005531EA" w:rsidP="003F3AAE">
      <w:pPr>
        <w:pStyle w:val="Heading1"/>
        <w:spacing w:before="0" w:after="0"/>
        <w:ind w:left="1418"/>
        <w:jc w:val="both"/>
        <w:rPr>
          <w:rFonts w:ascii="Arial" w:hAnsi="Arial" w:cs="Arial"/>
          <w:sz w:val="24"/>
          <w:szCs w:val="24"/>
          <w:lang w:val="en-GB"/>
        </w:rPr>
      </w:pPr>
    </w:p>
    <w:p w14:paraId="58AE424C" w14:textId="77777777" w:rsidR="0069378A" w:rsidRPr="003F3AAE" w:rsidRDefault="0069378A" w:rsidP="003F3AAE">
      <w:pPr>
        <w:widowControl w:val="0"/>
        <w:spacing w:line="480" w:lineRule="auto"/>
        <w:ind w:left="5040" w:firstLine="720"/>
        <w:jc w:val="both"/>
        <w:rPr>
          <w:rFonts w:ascii="Arial" w:hAnsi="Arial" w:cs="Arial"/>
          <w:lang w:val="en-GB"/>
        </w:rPr>
      </w:pPr>
      <w:r w:rsidRPr="003F3AAE">
        <w:rPr>
          <w:rFonts w:ascii="Arial" w:hAnsi="Arial" w:cs="Arial"/>
          <w:lang w:val="en-GB"/>
        </w:rPr>
        <w:t>____________________</w:t>
      </w:r>
    </w:p>
    <w:p w14:paraId="3032344D" w14:textId="4DEF1659" w:rsidR="0069378A" w:rsidRPr="009037BF" w:rsidRDefault="001C0F82" w:rsidP="009037BF">
      <w:pPr>
        <w:widowControl w:val="0"/>
        <w:spacing w:line="480" w:lineRule="auto"/>
        <w:ind w:left="5040" w:firstLine="720"/>
        <w:outlineLvl w:val="0"/>
        <w:rPr>
          <w:rFonts w:ascii="Arial" w:hAnsi="Arial" w:cs="Arial"/>
          <w:b/>
          <w:bCs/>
          <w:color w:val="000000" w:themeColor="text1"/>
          <w:lang w:val="en-GB"/>
        </w:rPr>
      </w:pPr>
      <w:r w:rsidRPr="009037BF">
        <w:rPr>
          <w:rFonts w:ascii="Arial" w:hAnsi="Arial" w:cs="Arial"/>
          <w:b/>
          <w:bCs/>
          <w:color w:val="000000" w:themeColor="text1"/>
          <w:lang w:val="en-GB"/>
        </w:rPr>
        <w:t>P. S. VAN ZYL</w:t>
      </w:r>
    </w:p>
    <w:p w14:paraId="68392793" w14:textId="2889A4B2" w:rsidR="00454D6E" w:rsidRPr="009037BF" w:rsidRDefault="00454D6E" w:rsidP="009037BF">
      <w:pPr>
        <w:widowControl w:val="0"/>
        <w:spacing w:line="480" w:lineRule="auto"/>
        <w:ind w:left="5760"/>
        <w:outlineLvl w:val="0"/>
        <w:rPr>
          <w:rFonts w:ascii="Arial" w:hAnsi="Arial" w:cs="Arial"/>
          <w:b/>
          <w:bCs/>
          <w:color w:val="000000" w:themeColor="text1"/>
          <w:lang w:val="en-GB"/>
        </w:rPr>
      </w:pPr>
      <w:r w:rsidRPr="009037BF">
        <w:rPr>
          <w:rFonts w:ascii="Arial" w:hAnsi="Arial" w:cs="Arial"/>
          <w:b/>
          <w:bCs/>
          <w:color w:val="000000" w:themeColor="text1"/>
          <w:lang w:val="en-GB"/>
        </w:rPr>
        <w:t>Acting judge of the High Court</w:t>
      </w:r>
    </w:p>
    <w:p w14:paraId="399B70BA" w14:textId="1B4052DC" w:rsidR="001C0F82" w:rsidRPr="009037BF" w:rsidRDefault="001C0F82" w:rsidP="009037BF">
      <w:pPr>
        <w:widowControl w:val="0"/>
        <w:spacing w:line="480" w:lineRule="auto"/>
        <w:outlineLvl w:val="0"/>
        <w:rPr>
          <w:rFonts w:ascii="Arial" w:hAnsi="Arial" w:cs="Arial"/>
          <w:b/>
          <w:bCs/>
          <w:color w:val="000000" w:themeColor="text1"/>
          <w:lang w:val="en-GB"/>
        </w:rPr>
      </w:pPr>
    </w:p>
    <w:p w14:paraId="0DB779BF" w14:textId="4D9B52C2" w:rsidR="001C0F82" w:rsidRPr="009037BF" w:rsidRDefault="001C0F82" w:rsidP="009037BF">
      <w:pPr>
        <w:widowControl w:val="0"/>
        <w:spacing w:line="480" w:lineRule="auto"/>
        <w:jc w:val="both"/>
        <w:outlineLvl w:val="0"/>
        <w:rPr>
          <w:rFonts w:ascii="Arial" w:hAnsi="Arial" w:cs="Arial"/>
          <w:b/>
          <w:bCs/>
          <w:color w:val="000000" w:themeColor="text1"/>
          <w:u w:val="single"/>
          <w:lang w:val="en-GB"/>
        </w:rPr>
      </w:pPr>
      <w:r w:rsidRPr="009037BF">
        <w:rPr>
          <w:rFonts w:ascii="Arial" w:hAnsi="Arial" w:cs="Arial"/>
          <w:b/>
          <w:bCs/>
          <w:color w:val="000000" w:themeColor="text1"/>
          <w:u w:val="single"/>
          <w:lang w:val="en-GB"/>
        </w:rPr>
        <w:t>Appearances:</w:t>
      </w:r>
    </w:p>
    <w:p w14:paraId="53CCB51A" w14:textId="77777777" w:rsidR="00284141" w:rsidRPr="009037BF" w:rsidRDefault="00284141" w:rsidP="009037BF">
      <w:pPr>
        <w:widowControl w:val="0"/>
        <w:spacing w:line="480" w:lineRule="auto"/>
        <w:ind w:left="3600" w:hanging="3600"/>
        <w:jc w:val="both"/>
        <w:outlineLvl w:val="0"/>
        <w:rPr>
          <w:rFonts w:ascii="Arial" w:hAnsi="Arial" w:cs="Arial"/>
          <w:b/>
          <w:bCs/>
          <w:color w:val="000000" w:themeColor="text1"/>
          <w:lang w:val="en-GB"/>
        </w:rPr>
      </w:pPr>
    </w:p>
    <w:p w14:paraId="5AC2CCDE" w14:textId="5703FA2D" w:rsidR="001C0F82" w:rsidRPr="009037BF" w:rsidRDefault="00454D6E" w:rsidP="009037BF">
      <w:pPr>
        <w:widowControl w:val="0"/>
        <w:spacing w:line="480" w:lineRule="auto"/>
        <w:ind w:left="3600" w:hanging="3600"/>
        <w:jc w:val="both"/>
        <w:outlineLvl w:val="0"/>
        <w:rPr>
          <w:rFonts w:ascii="Arial" w:hAnsi="Arial" w:cs="Arial"/>
          <w:color w:val="000000" w:themeColor="text1"/>
          <w:lang w:val="en-GB"/>
        </w:rPr>
      </w:pPr>
      <w:r w:rsidRPr="009037BF">
        <w:rPr>
          <w:rFonts w:ascii="Arial" w:hAnsi="Arial" w:cs="Arial"/>
          <w:b/>
          <w:bCs/>
          <w:color w:val="000000" w:themeColor="text1"/>
          <w:lang w:val="en-GB"/>
        </w:rPr>
        <w:t>For the applicant</w:t>
      </w:r>
      <w:r w:rsidR="001C0F82" w:rsidRPr="009037BF">
        <w:rPr>
          <w:rFonts w:ascii="Arial" w:hAnsi="Arial" w:cs="Arial"/>
          <w:b/>
          <w:bCs/>
          <w:color w:val="000000" w:themeColor="text1"/>
          <w:lang w:val="en-GB"/>
        </w:rPr>
        <w:t xml:space="preserve">: </w:t>
      </w:r>
      <w:r w:rsidR="001C0F82" w:rsidRPr="009037BF">
        <w:rPr>
          <w:rFonts w:ascii="Arial" w:hAnsi="Arial" w:cs="Arial"/>
          <w:color w:val="000000" w:themeColor="text1"/>
          <w:lang w:val="en-GB"/>
        </w:rPr>
        <w:t xml:space="preserve"> </w:t>
      </w:r>
      <w:r w:rsidRPr="009037BF">
        <w:rPr>
          <w:rFonts w:ascii="Arial" w:hAnsi="Arial" w:cs="Arial"/>
          <w:color w:val="000000" w:themeColor="text1"/>
          <w:lang w:val="en-GB"/>
        </w:rPr>
        <w:tab/>
        <w:t>R. G. Patrick (with him H. Beviss-Challinor)</w:t>
      </w:r>
      <w:r w:rsidR="001C0F82" w:rsidRPr="009037BF">
        <w:rPr>
          <w:rFonts w:ascii="Arial" w:hAnsi="Arial" w:cs="Arial"/>
          <w:color w:val="000000" w:themeColor="text1"/>
          <w:lang w:val="en-GB"/>
        </w:rPr>
        <w:t>, instructed by</w:t>
      </w:r>
      <w:r w:rsidR="007E72B6" w:rsidRPr="009037BF">
        <w:rPr>
          <w:rFonts w:ascii="Arial" w:hAnsi="Arial" w:cs="Arial"/>
          <w:color w:val="000000" w:themeColor="text1"/>
          <w:lang w:val="en-GB"/>
        </w:rPr>
        <w:t xml:space="preserve"> </w:t>
      </w:r>
      <w:r w:rsidRPr="009037BF">
        <w:rPr>
          <w:rFonts w:ascii="Arial" w:hAnsi="Arial" w:cs="Arial"/>
          <w:color w:val="000000" w:themeColor="text1"/>
          <w:lang w:val="en-GB"/>
        </w:rPr>
        <w:t>Werksmans</w:t>
      </w:r>
    </w:p>
    <w:p w14:paraId="5998BA74" w14:textId="77777777" w:rsidR="00284141" w:rsidRPr="009037BF" w:rsidRDefault="00284141" w:rsidP="009037BF">
      <w:pPr>
        <w:widowControl w:val="0"/>
        <w:spacing w:line="480" w:lineRule="auto"/>
        <w:jc w:val="both"/>
        <w:outlineLvl w:val="0"/>
        <w:rPr>
          <w:rFonts w:ascii="Arial" w:hAnsi="Arial" w:cs="Arial"/>
          <w:b/>
          <w:bCs/>
          <w:color w:val="000000" w:themeColor="text1"/>
          <w:lang w:val="en-GB"/>
        </w:rPr>
      </w:pPr>
    </w:p>
    <w:p w14:paraId="060E9771" w14:textId="36ABDA89" w:rsidR="001C0F82" w:rsidRPr="009037BF" w:rsidRDefault="00454D6E" w:rsidP="009037BF">
      <w:pPr>
        <w:widowControl w:val="0"/>
        <w:spacing w:line="480" w:lineRule="auto"/>
        <w:jc w:val="both"/>
        <w:outlineLvl w:val="0"/>
        <w:rPr>
          <w:rFonts w:ascii="Arial" w:hAnsi="Arial" w:cs="Arial"/>
          <w:b/>
          <w:bCs/>
          <w:color w:val="000000" w:themeColor="text1"/>
          <w:lang w:val="en-GB"/>
        </w:rPr>
      </w:pPr>
      <w:r w:rsidRPr="009037BF">
        <w:rPr>
          <w:rFonts w:ascii="Arial" w:hAnsi="Arial" w:cs="Arial"/>
          <w:b/>
          <w:bCs/>
          <w:color w:val="000000" w:themeColor="text1"/>
          <w:lang w:val="en-GB"/>
        </w:rPr>
        <w:t>For the respondent</w:t>
      </w:r>
      <w:r w:rsidR="001C0F82" w:rsidRPr="009037BF">
        <w:rPr>
          <w:rFonts w:ascii="Arial" w:hAnsi="Arial" w:cs="Arial"/>
          <w:b/>
          <w:bCs/>
          <w:color w:val="000000" w:themeColor="text1"/>
          <w:lang w:val="en-GB"/>
        </w:rPr>
        <w:t>:</w:t>
      </w:r>
      <w:r w:rsidR="001C0F82" w:rsidRPr="009037BF">
        <w:rPr>
          <w:rFonts w:ascii="Arial" w:hAnsi="Arial" w:cs="Arial"/>
          <w:color w:val="000000" w:themeColor="text1"/>
          <w:lang w:val="en-GB"/>
        </w:rPr>
        <w:tab/>
      </w:r>
      <w:r w:rsidRPr="009037BF">
        <w:rPr>
          <w:rFonts w:ascii="Arial" w:hAnsi="Arial" w:cs="Arial"/>
          <w:color w:val="000000" w:themeColor="text1"/>
          <w:lang w:val="en-GB"/>
        </w:rPr>
        <w:tab/>
      </w:r>
      <w:r w:rsidR="00A2341C" w:rsidRPr="009037BF">
        <w:rPr>
          <w:rFonts w:ascii="Arial" w:hAnsi="Arial" w:cs="Arial"/>
          <w:color w:val="000000" w:themeColor="text1"/>
          <w:lang w:val="en-GB"/>
        </w:rPr>
        <w:t>P</w:t>
      </w:r>
      <w:r w:rsidR="00757EE0" w:rsidRPr="009037BF">
        <w:rPr>
          <w:rFonts w:ascii="Arial" w:hAnsi="Arial" w:cs="Arial"/>
          <w:color w:val="000000" w:themeColor="text1"/>
          <w:lang w:val="en-GB"/>
        </w:rPr>
        <w:t xml:space="preserve">. C. </w:t>
      </w:r>
      <w:r w:rsidR="00A2341C" w:rsidRPr="009037BF">
        <w:rPr>
          <w:rFonts w:ascii="Arial" w:hAnsi="Arial" w:cs="Arial"/>
          <w:color w:val="000000" w:themeColor="text1"/>
          <w:lang w:val="en-GB"/>
        </w:rPr>
        <w:t xml:space="preserve">Eia, instructed by </w:t>
      </w:r>
      <w:r w:rsidR="00757EE0" w:rsidRPr="009037BF">
        <w:rPr>
          <w:rFonts w:ascii="Arial" w:hAnsi="Arial" w:cs="Arial"/>
          <w:color w:val="000000" w:themeColor="text1"/>
          <w:lang w:val="en-GB"/>
        </w:rPr>
        <w:t>Fairbridges Wertheim Becker</w:t>
      </w:r>
    </w:p>
    <w:sectPr w:rsidR="001C0F82" w:rsidRPr="009037BF" w:rsidSect="003D60B8">
      <w:headerReference w:type="default" r:id="rId10"/>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1BF5E" w14:textId="77777777" w:rsidR="0016410E" w:rsidRDefault="0016410E" w:rsidP="003015FA">
      <w:r>
        <w:separator/>
      </w:r>
    </w:p>
  </w:endnote>
  <w:endnote w:type="continuationSeparator" w:id="0">
    <w:p w14:paraId="50F8BA67" w14:textId="77777777" w:rsidR="0016410E" w:rsidRDefault="0016410E" w:rsidP="0030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E299" w14:textId="77777777" w:rsidR="0016410E" w:rsidRDefault="0016410E" w:rsidP="003015FA">
      <w:r>
        <w:separator/>
      </w:r>
    </w:p>
  </w:footnote>
  <w:footnote w:type="continuationSeparator" w:id="0">
    <w:p w14:paraId="2A4FB4C9" w14:textId="77777777" w:rsidR="0016410E" w:rsidRDefault="0016410E" w:rsidP="003015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320885445"/>
      <w:docPartObj>
        <w:docPartGallery w:val="Page Numbers (Top of Page)"/>
        <w:docPartUnique/>
      </w:docPartObj>
    </w:sdtPr>
    <w:sdtEndPr>
      <w:rPr>
        <w:rFonts w:ascii="Arial" w:hAnsi="Arial"/>
        <w:noProof/>
      </w:rPr>
    </w:sdtEndPr>
    <w:sdtContent>
      <w:p w14:paraId="5CA81E98" w14:textId="67B08891" w:rsidR="00B36482" w:rsidRPr="00463977" w:rsidRDefault="00B36482">
        <w:pPr>
          <w:pStyle w:val="Header"/>
          <w:jc w:val="center"/>
          <w:rPr>
            <w:rFonts w:ascii="Arial" w:hAnsi="Arial"/>
            <w:sz w:val="22"/>
            <w:szCs w:val="22"/>
          </w:rPr>
        </w:pPr>
        <w:r w:rsidRPr="00463977">
          <w:rPr>
            <w:rFonts w:ascii="Arial" w:hAnsi="Arial"/>
            <w:sz w:val="22"/>
            <w:szCs w:val="22"/>
          </w:rPr>
          <w:fldChar w:fldCharType="begin"/>
        </w:r>
        <w:r w:rsidRPr="00463977">
          <w:rPr>
            <w:rFonts w:ascii="Arial" w:hAnsi="Arial"/>
            <w:sz w:val="22"/>
            <w:szCs w:val="22"/>
          </w:rPr>
          <w:instrText xml:space="preserve"> PAGE   \* MERGEFORMAT </w:instrText>
        </w:r>
        <w:r w:rsidRPr="00463977">
          <w:rPr>
            <w:rFonts w:ascii="Arial" w:hAnsi="Arial"/>
            <w:sz w:val="22"/>
            <w:szCs w:val="22"/>
          </w:rPr>
          <w:fldChar w:fldCharType="separate"/>
        </w:r>
        <w:r w:rsidR="0016067D">
          <w:rPr>
            <w:rFonts w:ascii="Arial" w:hAnsi="Arial"/>
            <w:noProof/>
            <w:sz w:val="22"/>
            <w:szCs w:val="22"/>
          </w:rPr>
          <w:t>20</w:t>
        </w:r>
        <w:r w:rsidRPr="00463977">
          <w:rPr>
            <w:rFonts w:ascii="Arial" w:hAnsi="Arial"/>
            <w:noProof/>
            <w:sz w:val="22"/>
            <w:szCs w:val="22"/>
          </w:rPr>
          <w:fldChar w:fldCharType="end"/>
        </w:r>
      </w:p>
    </w:sdtContent>
  </w:sdt>
  <w:p w14:paraId="38AA81E3" w14:textId="77777777" w:rsidR="00B36482" w:rsidRPr="00463977" w:rsidRDefault="00B36482">
    <w:pPr>
      <w:pStyle w:val="Head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49"/>
    <w:multiLevelType w:val="hybridMultilevel"/>
    <w:tmpl w:val="ABEE61AA"/>
    <w:lvl w:ilvl="0" w:tplc="80D8796C">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046C60D9"/>
    <w:multiLevelType w:val="multilevel"/>
    <w:tmpl w:val="C7C6AFCC"/>
    <w:lvl w:ilvl="0">
      <w:start w:val="1"/>
      <w:numFmt w:val="decimal"/>
      <w:lvlText w:val="%1."/>
      <w:lvlJc w:val="left"/>
      <w:pPr>
        <w:tabs>
          <w:tab w:val="num" w:pos="709"/>
        </w:tabs>
        <w:ind w:left="709" w:hanging="709"/>
      </w:pPr>
      <w:rPr>
        <w:rFonts w:hint="default"/>
        <w:b w:val="0"/>
        <w:bCs w:val="0"/>
        <w:sz w:val="24"/>
        <w:szCs w:val="24"/>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 w15:restartNumberingAfterBreak="0">
    <w:nsid w:val="09401EA6"/>
    <w:multiLevelType w:val="multilevel"/>
    <w:tmpl w:val="D9E83A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B0550A5"/>
    <w:multiLevelType w:val="hybridMultilevel"/>
    <w:tmpl w:val="C4544C32"/>
    <w:lvl w:ilvl="0" w:tplc="469AF202">
      <w:start w:val="1"/>
      <w:numFmt w:val="lowerLetter"/>
      <w:lvlText w:val="(%1)"/>
      <w:lvlJc w:val="left"/>
      <w:pPr>
        <w:ind w:left="690" w:hanging="360"/>
      </w:pPr>
    </w:lvl>
    <w:lvl w:ilvl="1" w:tplc="1C090019">
      <w:start w:val="1"/>
      <w:numFmt w:val="lowerLetter"/>
      <w:lvlText w:val="%2."/>
      <w:lvlJc w:val="left"/>
      <w:pPr>
        <w:ind w:left="1410" w:hanging="360"/>
      </w:pPr>
    </w:lvl>
    <w:lvl w:ilvl="2" w:tplc="1C09001B">
      <w:start w:val="1"/>
      <w:numFmt w:val="lowerRoman"/>
      <w:lvlText w:val="%3."/>
      <w:lvlJc w:val="right"/>
      <w:pPr>
        <w:ind w:left="2130" w:hanging="180"/>
      </w:pPr>
    </w:lvl>
    <w:lvl w:ilvl="3" w:tplc="1C09000F">
      <w:start w:val="1"/>
      <w:numFmt w:val="decimal"/>
      <w:lvlText w:val="%4."/>
      <w:lvlJc w:val="left"/>
      <w:pPr>
        <w:ind w:left="2850" w:hanging="360"/>
      </w:pPr>
    </w:lvl>
    <w:lvl w:ilvl="4" w:tplc="1C090019">
      <w:start w:val="1"/>
      <w:numFmt w:val="lowerLetter"/>
      <w:lvlText w:val="%5."/>
      <w:lvlJc w:val="left"/>
      <w:pPr>
        <w:ind w:left="3570" w:hanging="360"/>
      </w:pPr>
    </w:lvl>
    <w:lvl w:ilvl="5" w:tplc="1C09001B">
      <w:start w:val="1"/>
      <w:numFmt w:val="lowerRoman"/>
      <w:lvlText w:val="%6."/>
      <w:lvlJc w:val="right"/>
      <w:pPr>
        <w:ind w:left="4290" w:hanging="180"/>
      </w:pPr>
    </w:lvl>
    <w:lvl w:ilvl="6" w:tplc="1C09000F">
      <w:start w:val="1"/>
      <w:numFmt w:val="decimal"/>
      <w:lvlText w:val="%7."/>
      <w:lvlJc w:val="left"/>
      <w:pPr>
        <w:ind w:left="5010" w:hanging="360"/>
      </w:pPr>
    </w:lvl>
    <w:lvl w:ilvl="7" w:tplc="1C090019">
      <w:start w:val="1"/>
      <w:numFmt w:val="lowerLetter"/>
      <w:lvlText w:val="%8."/>
      <w:lvlJc w:val="left"/>
      <w:pPr>
        <w:ind w:left="5730" w:hanging="360"/>
      </w:pPr>
    </w:lvl>
    <w:lvl w:ilvl="8" w:tplc="1C09001B">
      <w:start w:val="1"/>
      <w:numFmt w:val="lowerRoman"/>
      <w:lvlText w:val="%9."/>
      <w:lvlJc w:val="right"/>
      <w:pPr>
        <w:ind w:left="6450" w:hanging="180"/>
      </w:pPr>
    </w:lvl>
  </w:abstractNum>
  <w:abstractNum w:abstractNumId="4" w15:restartNumberingAfterBreak="0">
    <w:nsid w:val="1BBF22E0"/>
    <w:multiLevelType w:val="multilevel"/>
    <w:tmpl w:val="5A029A2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772304"/>
    <w:multiLevelType w:val="multilevel"/>
    <w:tmpl w:val="83DE5040"/>
    <w:lvl w:ilvl="0">
      <w:start w:val="1"/>
      <w:numFmt w:val="decimal"/>
      <w:lvlText w:val="%1."/>
      <w:lvlJc w:val="left"/>
      <w:pPr>
        <w:ind w:left="1069" w:hanging="360"/>
      </w:pPr>
      <w:rPr>
        <w:b w:val="0"/>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6" w15:restartNumberingAfterBreak="0">
    <w:nsid w:val="253219AD"/>
    <w:multiLevelType w:val="hybridMultilevel"/>
    <w:tmpl w:val="A376769A"/>
    <w:lvl w:ilvl="0" w:tplc="7B7814C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D457571"/>
    <w:multiLevelType w:val="hybridMultilevel"/>
    <w:tmpl w:val="7BA2654E"/>
    <w:lvl w:ilvl="0" w:tplc="05E68E3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26C0F13"/>
    <w:multiLevelType w:val="multilevel"/>
    <w:tmpl w:val="3536BD02"/>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26738B"/>
    <w:multiLevelType w:val="hybridMultilevel"/>
    <w:tmpl w:val="4BF09EBA"/>
    <w:lvl w:ilvl="0" w:tplc="6A7A5E48">
      <w:start w:val="1"/>
      <w:numFmt w:val="lowerRoman"/>
      <w:lvlText w:val="(%1)"/>
      <w:lvlJc w:val="left"/>
      <w:pPr>
        <w:ind w:left="2149" w:hanging="72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0" w15:restartNumberingAfterBreak="0">
    <w:nsid w:val="3E835E0A"/>
    <w:multiLevelType w:val="hybridMultilevel"/>
    <w:tmpl w:val="D2988FBE"/>
    <w:lvl w:ilvl="0" w:tplc="FFD661F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40954A56"/>
    <w:multiLevelType w:val="multilevel"/>
    <w:tmpl w:val="123872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BF0EA1"/>
    <w:multiLevelType w:val="hybridMultilevel"/>
    <w:tmpl w:val="1C566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308E5"/>
    <w:multiLevelType w:val="hybridMultilevel"/>
    <w:tmpl w:val="5582BE2C"/>
    <w:lvl w:ilvl="0" w:tplc="8272BE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46F20363"/>
    <w:multiLevelType w:val="multilevel"/>
    <w:tmpl w:val="A5FA1A66"/>
    <w:lvl w:ilvl="0">
      <w:start w:val="1"/>
      <w:numFmt w:val="decimal"/>
      <w:lvlText w:val="%1."/>
      <w:lvlJc w:val="left"/>
      <w:pPr>
        <w:ind w:left="360" w:hanging="360"/>
      </w:pPr>
      <w:rPr>
        <w:rFonts w:ascii="Arial" w:hAnsi="Arial" w:cs="Arial" w:hint="default"/>
        <w:b w:val="0"/>
        <w:i w:val="0"/>
        <w:sz w:val="24"/>
        <w:szCs w:val="24"/>
      </w:rPr>
    </w:lvl>
    <w:lvl w:ilvl="1">
      <w:start w:val="1"/>
      <w:numFmt w:val="decimal"/>
      <w:lvlText w:val="%1.%2."/>
      <w:lvlJc w:val="left"/>
      <w:pPr>
        <w:ind w:left="792" w:hanging="432"/>
      </w:pPr>
      <w:rPr>
        <w:rFonts w:hint="default"/>
        <w:b w:val="0"/>
        <w:i w:val="0"/>
        <w:sz w:val="26"/>
      </w:rPr>
    </w:lvl>
    <w:lvl w:ilvl="2">
      <w:start w:val="1"/>
      <w:numFmt w:val="decimal"/>
      <w:lvlText w:val="%1.%2.%3."/>
      <w:lvlJc w:val="left"/>
      <w:pPr>
        <w:ind w:left="1224" w:hanging="504"/>
      </w:pPr>
      <w:rPr>
        <w:rFonts w:hint="default"/>
        <w:b w:val="0"/>
        <w:i w:val="0"/>
        <w:sz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1C2412"/>
    <w:multiLevelType w:val="multilevel"/>
    <w:tmpl w:val="C9F2D1FE"/>
    <w:lvl w:ilvl="0">
      <w:start w:val="1"/>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16" w15:restartNumberingAfterBreak="0">
    <w:nsid w:val="4C441C55"/>
    <w:multiLevelType w:val="multilevel"/>
    <w:tmpl w:val="9FF6089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221A95"/>
    <w:multiLevelType w:val="hybridMultilevel"/>
    <w:tmpl w:val="4D040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B4AAC"/>
    <w:multiLevelType w:val="hybridMultilevel"/>
    <w:tmpl w:val="287ED9FA"/>
    <w:lvl w:ilvl="0" w:tplc="42A08274">
      <w:start w:val="1"/>
      <w:numFmt w:val="lowerLetter"/>
      <w:lvlText w:val="(%1)"/>
      <w:lvlJc w:val="left"/>
      <w:pPr>
        <w:ind w:left="1069" w:hanging="360"/>
      </w:pPr>
      <w:rPr>
        <w:rFonts w:hint="default"/>
        <w:i/>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51D46AF3"/>
    <w:multiLevelType w:val="multilevel"/>
    <w:tmpl w:val="220698FE"/>
    <w:lvl w:ilvl="0">
      <w:start w:val="11"/>
      <w:numFmt w:val="decimal"/>
      <w:lvlText w:val="%1."/>
      <w:lvlJc w:val="left"/>
      <w:pPr>
        <w:ind w:left="720" w:hanging="360"/>
      </w:pPr>
      <w:rPr>
        <w:rFonts w:hint="default"/>
      </w:rPr>
    </w:lvl>
    <w:lvl w:ilvl="1">
      <w:start w:val="1"/>
      <w:numFmt w:val="decimal"/>
      <w:isLgl/>
      <w:lvlText w:val="%1.%2"/>
      <w:lvlJc w:val="left"/>
      <w:pPr>
        <w:ind w:left="1548" w:hanging="468"/>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528463BF"/>
    <w:multiLevelType w:val="hybridMultilevel"/>
    <w:tmpl w:val="8DC6905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83975"/>
    <w:multiLevelType w:val="multilevel"/>
    <w:tmpl w:val="4D7CF48E"/>
    <w:lvl w:ilvl="0">
      <w:start w:val="11"/>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2" w15:restartNumberingAfterBreak="0">
    <w:nsid w:val="5557390E"/>
    <w:multiLevelType w:val="hybridMultilevel"/>
    <w:tmpl w:val="868AD68A"/>
    <w:lvl w:ilvl="0" w:tplc="34CE28F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9CD4B22"/>
    <w:multiLevelType w:val="multilevel"/>
    <w:tmpl w:val="30C8F200"/>
    <w:lvl w:ilvl="0">
      <w:start w:val="20"/>
      <w:numFmt w:val="decimal"/>
      <w:lvlText w:val="%1."/>
      <w:lvlJc w:val="left"/>
      <w:pPr>
        <w:ind w:left="540" w:hanging="5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AC91868"/>
    <w:multiLevelType w:val="multilevel"/>
    <w:tmpl w:val="2828E578"/>
    <w:lvl w:ilvl="0">
      <w:start w:val="1"/>
      <w:numFmt w:val="decimal"/>
      <w:lvlText w:val="%1."/>
      <w:lvlJc w:val="left"/>
      <w:pPr>
        <w:tabs>
          <w:tab w:val="num" w:pos="720"/>
        </w:tabs>
        <w:ind w:left="720" w:hanging="720"/>
      </w:pPr>
      <w:rPr>
        <w:b w:val="0"/>
        <w:bCs w:val="0"/>
      </w:rPr>
    </w:lvl>
    <w:lvl w:ilvl="1">
      <w:start w:val="1"/>
      <w:numFmt w:val="decimal"/>
      <w:isLgl/>
      <w:lvlText w:val="%1.%2"/>
      <w:lvlJc w:val="left"/>
      <w:pPr>
        <w:tabs>
          <w:tab w:val="num" w:pos="1713"/>
        </w:tabs>
        <w:ind w:left="1713" w:hanging="720"/>
      </w:pPr>
      <w:rPr>
        <w:b w:val="0"/>
        <w:bCs w:val="0"/>
        <w:i w:val="0"/>
        <w:iCs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25" w15:restartNumberingAfterBreak="0">
    <w:nsid w:val="5B231C89"/>
    <w:multiLevelType w:val="hybridMultilevel"/>
    <w:tmpl w:val="3EB2C2C6"/>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45FF1"/>
    <w:multiLevelType w:val="multilevel"/>
    <w:tmpl w:val="FA007482"/>
    <w:lvl w:ilvl="0">
      <w:start w:val="1"/>
      <w:numFmt w:val="decimal"/>
      <w:pStyle w:val="XClause1Head"/>
      <w:isLgl/>
      <w:lvlText w:val="%1."/>
      <w:lvlJc w:val="left"/>
      <w:pPr>
        <w:tabs>
          <w:tab w:val="num" w:pos="720"/>
        </w:tabs>
        <w:ind w:left="720" w:hanging="720"/>
      </w:pPr>
      <w:rPr>
        <w:rFonts w:hint="default"/>
        <w:b w:val="0"/>
        <w:sz w:val="24"/>
        <w:szCs w:val="24"/>
      </w:rPr>
    </w:lvl>
    <w:lvl w:ilvl="1">
      <w:start w:val="1"/>
      <w:numFmt w:val="decimal"/>
      <w:pStyle w:val="XClause2Sub"/>
      <w:lvlText w:val="%1.%2."/>
      <w:lvlJc w:val="left"/>
      <w:pPr>
        <w:tabs>
          <w:tab w:val="num" w:pos="1440"/>
        </w:tabs>
        <w:ind w:left="1440" w:hanging="720"/>
      </w:pPr>
      <w:rPr>
        <w:rFonts w:hint="default"/>
        <w:sz w:val="24"/>
        <w:szCs w:val="24"/>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27" w15:restartNumberingAfterBreak="0">
    <w:nsid w:val="5E762115"/>
    <w:multiLevelType w:val="multilevel"/>
    <w:tmpl w:val="F07EAB5E"/>
    <w:lvl w:ilvl="0">
      <w:start w:val="29"/>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8" w15:restartNumberingAfterBreak="0">
    <w:nsid w:val="5F394597"/>
    <w:multiLevelType w:val="multilevel"/>
    <w:tmpl w:val="C7C6AFCC"/>
    <w:lvl w:ilvl="0">
      <w:start w:val="1"/>
      <w:numFmt w:val="decimal"/>
      <w:lvlText w:val="%1."/>
      <w:lvlJc w:val="left"/>
      <w:pPr>
        <w:tabs>
          <w:tab w:val="num" w:pos="709"/>
        </w:tabs>
        <w:ind w:left="709" w:hanging="709"/>
      </w:pPr>
      <w:rPr>
        <w:rFonts w:hint="default"/>
        <w:b w:val="0"/>
        <w:bCs w:val="0"/>
        <w:sz w:val="24"/>
        <w:szCs w:val="24"/>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9" w15:restartNumberingAfterBreak="0">
    <w:nsid w:val="63F90284"/>
    <w:multiLevelType w:val="multilevel"/>
    <w:tmpl w:val="D77E888E"/>
    <w:lvl w:ilvl="0">
      <w:start w:val="1"/>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30" w15:restartNumberingAfterBreak="0">
    <w:nsid w:val="640841B7"/>
    <w:multiLevelType w:val="multilevel"/>
    <w:tmpl w:val="75B2B1C4"/>
    <w:lvl w:ilvl="0">
      <w:start w:val="18"/>
      <w:numFmt w:val="decimal"/>
      <w:lvlText w:val="%1."/>
      <w:lvlJc w:val="left"/>
      <w:pPr>
        <w:ind w:left="540" w:hanging="5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68B706D0"/>
    <w:multiLevelType w:val="hybridMultilevel"/>
    <w:tmpl w:val="2FB47B6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6CB95140"/>
    <w:multiLevelType w:val="multilevel"/>
    <w:tmpl w:val="4718F5E4"/>
    <w:lvl w:ilvl="0">
      <w:start w:val="25"/>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33" w15:restartNumberingAfterBreak="0">
    <w:nsid w:val="6ED9557C"/>
    <w:multiLevelType w:val="hybridMultilevel"/>
    <w:tmpl w:val="66F8BD96"/>
    <w:lvl w:ilvl="0" w:tplc="E07A4328">
      <w:start w:val="3"/>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407A35"/>
    <w:multiLevelType w:val="multilevel"/>
    <w:tmpl w:val="196CCA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4FA7735"/>
    <w:multiLevelType w:val="hybridMultilevel"/>
    <w:tmpl w:val="84482118"/>
    <w:lvl w:ilvl="0" w:tplc="B36A8BC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15:restartNumberingAfterBreak="0">
    <w:nsid w:val="754D6B69"/>
    <w:multiLevelType w:val="multilevel"/>
    <w:tmpl w:val="EA5A3F90"/>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8C73EAF"/>
    <w:multiLevelType w:val="multilevel"/>
    <w:tmpl w:val="B8E0F12E"/>
    <w:lvl w:ilvl="0">
      <w:start w:val="5"/>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num w:numId="1">
    <w:abstractNumId w:val="14"/>
  </w:num>
  <w:num w:numId="2">
    <w:abstractNumId w:val="20"/>
  </w:num>
  <w:num w:numId="3">
    <w:abstractNumId w:val="25"/>
  </w:num>
  <w:num w:numId="4">
    <w:abstractNumId w:val="30"/>
  </w:num>
  <w:num w:numId="5">
    <w:abstractNumId w:val="23"/>
  </w:num>
  <w:num w:numId="6">
    <w:abstractNumId w:val="19"/>
  </w:num>
  <w:num w:numId="7">
    <w:abstractNumId w:val="17"/>
  </w:num>
  <w:num w:numId="8">
    <w:abstractNumId w:val="15"/>
  </w:num>
  <w:num w:numId="9">
    <w:abstractNumId w:val="29"/>
  </w:num>
  <w:num w:numId="10">
    <w:abstractNumId w:val="36"/>
  </w:num>
  <w:num w:numId="11">
    <w:abstractNumId w:val="12"/>
  </w:num>
  <w:num w:numId="12">
    <w:abstractNumId w:val="4"/>
  </w:num>
  <w:num w:numId="13">
    <w:abstractNumId w:val="10"/>
  </w:num>
  <w:num w:numId="14">
    <w:abstractNumId w:val="28"/>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num>
  <w:num w:numId="19">
    <w:abstractNumId w:val="37"/>
  </w:num>
  <w:num w:numId="20">
    <w:abstractNumId w:val="7"/>
  </w:num>
  <w:num w:numId="21">
    <w:abstractNumId w:val="33"/>
  </w:num>
  <w:num w:numId="22">
    <w:abstractNumId w:val="35"/>
  </w:num>
  <w:num w:numId="23">
    <w:abstractNumId w:val="9"/>
  </w:num>
  <w:num w:numId="24">
    <w:abstractNumId w:val="0"/>
  </w:num>
  <w:num w:numId="25">
    <w:abstractNumId w:val="6"/>
  </w:num>
  <w:num w:numId="26">
    <w:abstractNumId w:val="31"/>
  </w:num>
  <w:num w:numId="27">
    <w:abstractNumId w:val="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2"/>
  </w:num>
  <w:num w:numId="33">
    <w:abstractNumId w:val="27"/>
  </w:num>
  <w:num w:numId="34">
    <w:abstractNumId w:val="18"/>
  </w:num>
  <w:num w:numId="35">
    <w:abstractNumId w:val="1"/>
  </w:num>
  <w:num w:numId="36">
    <w:abstractNumId w:val="8"/>
  </w:num>
  <w:num w:numId="37">
    <w:abstractNumId w:val="26"/>
  </w:num>
  <w:num w:numId="38">
    <w:abstractNumId w:val="2"/>
  </w:num>
  <w:num w:numId="39">
    <w:abstractNumId w:val="3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69"/>
    <w:rsid w:val="0000255E"/>
    <w:rsid w:val="00002CC8"/>
    <w:rsid w:val="0000771D"/>
    <w:rsid w:val="00007A60"/>
    <w:rsid w:val="00011634"/>
    <w:rsid w:val="000118D9"/>
    <w:rsid w:val="00013482"/>
    <w:rsid w:val="00014FE3"/>
    <w:rsid w:val="00016B4A"/>
    <w:rsid w:val="0002280B"/>
    <w:rsid w:val="00023B13"/>
    <w:rsid w:val="00025B1B"/>
    <w:rsid w:val="00025BAC"/>
    <w:rsid w:val="00032231"/>
    <w:rsid w:val="000342F7"/>
    <w:rsid w:val="00043B94"/>
    <w:rsid w:val="0005500D"/>
    <w:rsid w:val="0005737E"/>
    <w:rsid w:val="00057998"/>
    <w:rsid w:val="00062EDC"/>
    <w:rsid w:val="000701E8"/>
    <w:rsid w:val="000712B1"/>
    <w:rsid w:val="00073EE7"/>
    <w:rsid w:val="00074BEF"/>
    <w:rsid w:val="00076445"/>
    <w:rsid w:val="00077C8B"/>
    <w:rsid w:val="000809E8"/>
    <w:rsid w:val="00087B14"/>
    <w:rsid w:val="00090569"/>
    <w:rsid w:val="000925F7"/>
    <w:rsid w:val="00093E6C"/>
    <w:rsid w:val="00096240"/>
    <w:rsid w:val="00097508"/>
    <w:rsid w:val="000A0521"/>
    <w:rsid w:val="000A4666"/>
    <w:rsid w:val="000A569D"/>
    <w:rsid w:val="000A7779"/>
    <w:rsid w:val="000B0FF1"/>
    <w:rsid w:val="000B1C75"/>
    <w:rsid w:val="000B3FFD"/>
    <w:rsid w:val="000B6F38"/>
    <w:rsid w:val="000B709B"/>
    <w:rsid w:val="000C041C"/>
    <w:rsid w:val="000C0A01"/>
    <w:rsid w:val="000C3D91"/>
    <w:rsid w:val="000C50A9"/>
    <w:rsid w:val="000C510B"/>
    <w:rsid w:val="000C560E"/>
    <w:rsid w:val="000C576C"/>
    <w:rsid w:val="000C5D18"/>
    <w:rsid w:val="000D1898"/>
    <w:rsid w:val="000D1E6F"/>
    <w:rsid w:val="000D2E41"/>
    <w:rsid w:val="000D2FEE"/>
    <w:rsid w:val="000D3265"/>
    <w:rsid w:val="000D7F4E"/>
    <w:rsid w:val="000E3F70"/>
    <w:rsid w:val="000E7623"/>
    <w:rsid w:val="000E76EC"/>
    <w:rsid w:val="000E7841"/>
    <w:rsid w:val="000F037C"/>
    <w:rsid w:val="000F07EF"/>
    <w:rsid w:val="000F0AB4"/>
    <w:rsid w:val="000F6729"/>
    <w:rsid w:val="000F7B0E"/>
    <w:rsid w:val="00101CC6"/>
    <w:rsid w:val="00104E82"/>
    <w:rsid w:val="00105321"/>
    <w:rsid w:val="00110516"/>
    <w:rsid w:val="001148E0"/>
    <w:rsid w:val="00115080"/>
    <w:rsid w:val="0011563A"/>
    <w:rsid w:val="00116587"/>
    <w:rsid w:val="00116F95"/>
    <w:rsid w:val="00120D98"/>
    <w:rsid w:val="0012218B"/>
    <w:rsid w:val="001228D6"/>
    <w:rsid w:val="0012532A"/>
    <w:rsid w:val="001255C3"/>
    <w:rsid w:val="0012754F"/>
    <w:rsid w:val="00130897"/>
    <w:rsid w:val="00132E61"/>
    <w:rsid w:val="00133A46"/>
    <w:rsid w:val="00134240"/>
    <w:rsid w:val="001345D7"/>
    <w:rsid w:val="0013718D"/>
    <w:rsid w:val="001376C5"/>
    <w:rsid w:val="0014136F"/>
    <w:rsid w:val="00141EC0"/>
    <w:rsid w:val="00142DE5"/>
    <w:rsid w:val="00143008"/>
    <w:rsid w:val="0014548B"/>
    <w:rsid w:val="00145FC0"/>
    <w:rsid w:val="00147186"/>
    <w:rsid w:val="0014761A"/>
    <w:rsid w:val="00153197"/>
    <w:rsid w:val="00153FE4"/>
    <w:rsid w:val="001579C0"/>
    <w:rsid w:val="0016067D"/>
    <w:rsid w:val="00160C07"/>
    <w:rsid w:val="0016410E"/>
    <w:rsid w:val="00164453"/>
    <w:rsid w:val="001645AF"/>
    <w:rsid w:val="00166B6B"/>
    <w:rsid w:val="001716C9"/>
    <w:rsid w:val="00172359"/>
    <w:rsid w:val="0017318B"/>
    <w:rsid w:val="001742D1"/>
    <w:rsid w:val="001757C2"/>
    <w:rsid w:val="001772F0"/>
    <w:rsid w:val="001779E1"/>
    <w:rsid w:val="00177A5C"/>
    <w:rsid w:val="00177EF4"/>
    <w:rsid w:val="0018074A"/>
    <w:rsid w:val="00185B77"/>
    <w:rsid w:val="00186226"/>
    <w:rsid w:val="001874F4"/>
    <w:rsid w:val="0019243B"/>
    <w:rsid w:val="00193223"/>
    <w:rsid w:val="00196818"/>
    <w:rsid w:val="001A0344"/>
    <w:rsid w:val="001A14A8"/>
    <w:rsid w:val="001A1A42"/>
    <w:rsid w:val="001A30B2"/>
    <w:rsid w:val="001A403C"/>
    <w:rsid w:val="001A4790"/>
    <w:rsid w:val="001A77C7"/>
    <w:rsid w:val="001B0ED8"/>
    <w:rsid w:val="001B17B9"/>
    <w:rsid w:val="001B2FD0"/>
    <w:rsid w:val="001B5B71"/>
    <w:rsid w:val="001B76CA"/>
    <w:rsid w:val="001B7E49"/>
    <w:rsid w:val="001C0F82"/>
    <w:rsid w:val="001C2401"/>
    <w:rsid w:val="001C24B0"/>
    <w:rsid w:val="001C2A8B"/>
    <w:rsid w:val="001C3C7F"/>
    <w:rsid w:val="001C3D52"/>
    <w:rsid w:val="001C760B"/>
    <w:rsid w:val="001D04AC"/>
    <w:rsid w:val="001D2560"/>
    <w:rsid w:val="001D3069"/>
    <w:rsid w:val="001D5A28"/>
    <w:rsid w:val="001D6815"/>
    <w:rsid w:val="001D7574"/>
    <w:rsid w:val="001E05C3"/>
    <w:rsid w:val="001E2653"/>
    <w:rsid w:val="001E3AD9"/>
    <w:rsid w:val="001E72AD"/>
    <w:rsid w:val="001E77FB"/>
    <w:rsid w:val="001F1AE1"/>
    <w:rsid w:val="001F3547"/>
    <w:rsid w:val="001F399F"/>
    <w:rsid w:val="001F5837"/>
    <w:rsid w:val="001F6480"/>
    <w:rsid w:val="001F67B0"/>
    <w:rsid w:val="00201697"/>
    <w:rsid w:val="00202B51"/>
    <w:rsid w:val="0020463D"/>
    <w:rsid w:val="00210466"/>
    <w:rsid w:val="0021166E"/>
    <w:rsid w:val="00212DA4"/>
    <w:rsid w:val="002149EB"/>
    <w:rsid w:val="00214C7D"/>
    <w:rsid w:val="00216146"/>
    <w:rsid w:val="002203E1"/>
    <w:rsid w:val="002214A3"/>
    <w:rsid w:val="00224139"/>
    <w:rsid w:val="0022450E"/>
    <w:rsid w:val="00224ECC"/>
    <w:rsid w:val="002267BF"/>
    <w:rsid w:val="0023232F"/>
    <w:rsid w:val="002328F5"/>
    <w:rsid w:val="00241530"/>
    <w:rsid w:val="002427DA"/>
    <w:rsid w:val="002431F0"/>
    <w:rsid w:val="00247209"/>
    <w:rsid w:val="00247672"/>
    <w:rsid w:val="00250B7D"/>
    <w:rsid w:val="00251A5C"/>
    <w:rsid w:val="00253172"/>
    <w:rsid w:val="002532EE"/>
    <w:rsid w:val="00254249"/>
    <w:rsid w:val="00254997"/>
    <w:rsid w:val="00256248"/>
    <w:rsid w:val="00257007"/>
    <w:rsid w:val="00260EB4"/>
    <w:rsid w:val="00262529"/>
    <w:rsid w:val="00263A45"/>
    <w:rsid w:val="00265341"/>
    <w:rsid w:val="0026656D"/>
    <w:rsid w:val="00270515"/>
    <w:rsid w:val="00272B80"/>
    <w:rsid w:val="00272C42"/>
    <w:rsid w:val="00273F23"/>
    <w:rsid w:val="002740A1"/>
    <w:rsid w:val="00274961"/>
    <w:rsid w:val="002749F1"/>
    <w:rsid w:val="00274BA6"/>
    <w:rsid w:val="002769DB"/>
    <w:rsid w:val="00277ED0"/>
    <w:rsid w:val="00284141"/>
    <w:rsid w:val="00285BEC"/>
    <w:rsid w:val="00286F63"/>
    <w:rsid w:val="0029227B"/>
    <w:rsid w:val="00293AB0"/>
    <w:rsid w:val="0029440D"/>
    <w:rsid w:val="002963D8"/>
    <w:rsid w:val="002A2CF7"/>
    <w:rsid w:val="002A3D77"/>
    <w:rsid w:val="002A4081"/>
    <w:rsid w:val="002A52F5"/>
    <w:rsid w:val="002A6987"/>
    <w:rsid w:val="002B6231"/>
    <w:rsid w:val="002C1254"/>
    <w:rsid w:val="002C1BA9"/>
    <w:rsid w:val="002C1E8A"/>
    <w:rsid w:val="002C2B5A"/>
    <w:rsid w:val="002C3424"/>
    <w:rsid w:val="002C5111"/>
    <w:rsid w:val="002C7E7A"/>
    <w:rsid w:val="002D4994"/>
    <w:rsid w:val="002D667C"/>
    <w:rsid w:val="002D76DF"/>
    <w:rsid w:val="002E53C8"/>
    <w:rsid w:val="002E660C"/>
    <w:rsid w:val="002E76E8"/>
    <w:rsid w:val="002F14FE"/>
    <w:rsid w:val="002F17A2"/>
    <w:rsid w:val="002F3E4F"/>
    <w:rsid w:val="002F6BAC"/>
    <w:rsid w:val="003015FA"/>
    <w:rsid w:val="0030171D"/>
    <w:rsid w:val="00314D61"/>
    <w:rsid w:val="00315E4F"/>
    <w:rsid w:val="003167C2"/>
    <w:rsid w:val="00316BEC"/>
    <w:rsid w:val="0032260A"/>
    <w:rsid w:val="0032397F"/>
    <w:rsid w:val="0032562D"/>
    <w:rsid w:val="003261FD"/>
    <w:rsid w:val="00326622"/>
    <w:rsid w:val="00327888"/>
    <w:rsid w:val="00327D08"/>
    <w:rsid w:val="00330716"/>
    <w:rsid w:val="00331671"/>
    <w:rsid w:val="00332CBC"/>
    <w:rsid w:val="00334F17"/>
    <w:rsid w:val="00335CE3"/>
    <w:rsid w:val="00336B06"/>
    <w:rsid w:val="00347522"/>
    <w:rsid w:val="00347803"/>
    <w:rsid w:val="00347C4D"/>
    <w:rsid w:val="00350775"/>
    <w:rsid w:val="003528A7"/>
    <w:rsid w:val="00352A95"/>
    <w:rsid w:val="00353991"/>
    <w:rsid w:val="003616CA"/>
    <w:rsid w:val="00361AE9"/>
    <w:rsid w:val="003631C6"/>
    <w:rsid w:val="00363ADD"/>
    <w:rsid w:val="00364258"/>
    <w:rsid w:val="00373F10"/>
    <w:rsid w:val="00383D1C"/>
    <w:rsid w:val="00386DDB"/>
    <w:rsid w:val="00392147"/>
    <w:rsid w:val="003923F8"/>
    <w:rsid w:val="0039543B"/>
    <w:rsid w:val="003957C8"/>
    <w:rsid w:val="003A0D66"/>
    <w:rsid w:val="003A3B7F"/>
    <w:rsid w:val="003A4FAD"/>
    <w:rsid w:val="003A7D1E"/>
    <w:rsid w:val="003A7F7C"/>
    <w:rsid w:val="003B143B"/>
    <w:rsid w:val="003B272F"/>
    <w:rsid w:val="003B3303"/>
    <w:rsid w:val="003B5A26"/>
    <w:rsid w:val="003B7318"/>
    <w:rsid w:val="003C41A6"/>
    <w:rsid w:val="003C45DB"/>
    <w:rsid w:val="003C4FA6"/>
    <w:rsid w:val="003C567D"/>
    <w:rsid w:val="003D0F2C"/>
    <w:rsid w:val="003D1BAE"/>
    <w:rsid w:val="003D2252"/>
    <w:rsid w:val="003D60B8"/>
    <w:rsid w:val="003E19CC"/>
    <w:rsid w:val="003E2DF4"/>
    <w:rsid w:val="003E5191"/>
    <w:rsid w:val="003E581B"/>
    <w:rsid w:val="003E6541"/>
    <w:rsid w:val="003E7F1B"/>
    <w:rsid w:val="003F3AAE"/>
    <w:rsid w:val="003F3E2E"/>
    <w:rsid w:val="003F67C8"/>
    <w:rsid w:val="003F7316"/>
    <w:rsid w:val="003F75FC"/>
    <w:rsid w:val="004002AD"/>
    <w:rsid w:val="00400777"/>
    <w:rsid w:val="00402595"/>
    <w:rsid w:val="00403A89"/>
    <w:rsid w:val="00405152"/>
    <w:rsid w:val="0040551A"/>
    <w:rsid w:val="0040635C"/>
    <w:rsid w:val="00411297"/>
    <w:rsid w:val="0041262A"/>
    <w:rsid w:val="00412F56"/>
    <w:rsid w:val="00413805"/>
    <w:rsid w:val="00413CD2"/>
    <w:rsid w:val="004144B1"/>
    <w:rsid w:val="0041461E"/>
    <w:rsid w:val="00423F49"/>
    <w:rsid w:val="0042588D"/>
    <w:rsid w:val="004259E5"/>
    <w:rsid w:val="00427BD2"/>
    <w:rsid w:val="00435B50"/>
    <w:rsid w:val="00440693"/>
    <w:rsid w:val="00441665"/>
    <w:rsid w:val="00442903"/>
    <w:rsid w:val="00445F4C"/>
    <w:rsid w:val="00446EE4"/>
    <w:rsid w:val="00450335"/>
    <w:rsid w:val="004520D3"/>
    <w:rsid w:val="004532C5"/>
    <w:rsid w:val="00453521"/>
    <w:rsid w:val="00454D6E"/>
    <w:rsid w:val="004569B9"/>
    <w:rsid w:val="004571A1"/>
    <w:rsid w:val="0045730E"/>
    <w:rsid w:val="00463179"/>
    <w:rsid w:val="00463977"/>
    <w:rsid w:val="00471012"/>
    <w:rsid w:val="0047121E"/>
    <w:rsid w:val="00471CAC"/>
    <w:rsid w:val="00471D3B"/>
    <w:rsid w:val="00474FE2"/>
    <w:rsid w:val="00476604"/>
    <w:rsid w:val="00482DA3"/>
    <w:rsid w:val="00484E4F"/>
    <w:rsid w:val="00485884"/>
    <w:rsid w:val="00485985"/>
    <w:rsid w:val="00485BC4"/>
    <w:rsid w:val="004863D8"/>
    <w:rsid w:val="004871AE"/>
    <w:rsid w:val="00487F51"/>
    <w:rsid w:val="00487F73"/>
    <w:rsid w:val="00491AC9"/>
    <w:rsid w:val="00493A44"/>
    <w:rsid w:val="004950AA"/>
    <w:rsid w:val="004A10E6"/>
    <w:rsid w:val="004A156C"/>
    <w:rsid w:val="004A305E"/>
    <w:rsid w:val="004A6C38"/>
    <w:rsid w:val="004A747F"/>
    <w:rsid w:val="004B1EC3"/>
    <w:rsid w:val="004B20FE"/>
    <w:rsid w:val="004B23D8"/>
    <w:rsid w:val="004B26C2"/>
    <w:rsid w:val="004B2785"/>
    <w:rsid w:val="004B2C75"/>
    <w:rsid w:val="004B5174"/>
    <w:rsid w:val="004B6022"/>
    <w:rsid w:val="004C00D6"/>
    <w:rsid w:val="004C1033"/>
    <w:rsid w:val="004C16D9"/>
    <w:rsid w:val="004C27F4"/>
    <w:rsid w:val="004C4BB6"/>
    <w:rsid w:val="004C7042"/>
    <w:rsid w:val="004D1759"/>
    <w:rsid w:val="004D3767"/>
    <w:rsid w:val="004D5414"/>
    <w:rsid w:val="004D617B"/>
    <w:rsid w:val="004D7A8C"/>
    <w:rsid w:val="004E14B3"/>
    <w:rsid w:val="004E5436"/>
    <w:rsid w:val="004E697F"/>
    <w:rsid w:val="004E7A19"/>
    <w:rsid w:val="004F12F9"/>
    <w:rsid w:val="004F29F5"/>
    <w:rsid w:val="004F7357"/>
    <w:rsid w:val="005002D7"/>
    <w:rsid w:val="005019CA"/>
    <w:rsid w:val="00507FF7"/>
    <w:rsid w:val="00514334"/>
    <w:rsid w:val="00515638"/>
    <w:rsid w:val="00522731"/>
    <w:rsid w:val="00523261"/>
    <w:rsid w:val="00525C0D"/>
    <w:rsid w:val="00526632"/>
    <w:rsid w:val="00530809"/>
    <w:rsid w:val="0053163D"/>
    <w:rsid w:val="00531DE5"/>
    <w:rsid w:val="005332C3"/>
    <w:rsid w:val="005334C1"/>
    <w:rsid w:val="00536FE1"/>
    <w:rsid w:val="00537B5E"/>
    <w:rsid w:val="00537BA4"/>
    <w:rsid w:val="00537C1C"/>
    <w:rsid w:val="005531EA"/>
    <w:rsid w:val="005569F6"/>
    <w:rsid w:val="00557ECE"/>
    <w:rsid w:val="0056086B"/>
    <w:rsid w:val="0056113A"/>
    <w:rsid w:val="0056126D"/>
    <w:rsid w:val="005646AF"/>
    <w:rsid w:val="00566103"/>
    <w:rsid w:val="0056766D"/>
    <w:rsid w:val="00570AB9"/>
    <w:rsid w:val="00575267"/>
    <w:rsid w:val="00576708"/>
    <w:rsid w:val="0058020E"/>
    <w:rsid w:val="00585B1E"/>
    <w:rsid w:val="0059112B"/>
    <w:rsid w:val="00592450"/>
    <w:rsid w:val="00592793"/>
    <w:rsid w:val="005A16C7"/>
    <w:rsid w:val="005A2632"/>
    <w:rsid w:val="005A2C4B"/>
    <w:rsid w:val="005A3A65"/>
    <w:rsid w:val="005A4579"/>
    <w:rsid w:val="005A565D"/>
    <w:rsid w:val="005A59A4"/>
    <w:rsid w:val="005A6304"/>
    <w:rsid w:val="005A715D"/>
    <w:rsid w:val="005B0107"/>
    <w:rsid w:val="005B1724"/>
    <w:rsid w:val="005B294C"/>
    <w:rsid w:val="005B29D6"/>
    <w:rsid w:val="005B6390"/>
    <w:rsid w:val="005B66AE"/>
    <w:rsid w:val="005B67DA"/>
    <w:rsid w:val="005B6EED"/>
    <w:rsid w:val="005B6F42"/>
    <w:rsid w:val="005B70BB"/>
    <w:rsid w:val="005B70C4"/>
    <w:rsid w:val="005B7C3C"/>
    <w:rsid w:val="005C051A"/>
    <w:rsid w:val="005C092A"/>
    <w:rsid w:val="005C608E"/>
    <w:rsid w:val="005C6BD0"/>
    <w:rsid w:val="005C7C3B"/>
    <w:rsid w:val="005D2D2B"/>
    <w:rsid w:val="005D38CC"/>
    <w:rsid w:val="005D3AE8"/>
    <w:rsid w:val="005D4D4E"/>
    <w:rsid w:val="005D64A2"/>
    <w:rsid w:val="005E06A5"/>
    <w:rsid w:val="005E1918"/>
    <w:rsid w:val="005E23A4"/>
    <w:rsid w:val="005E2932"/>
    <w:rsid w:val="005E387C"/>
    <w:rsid w:val="005E6BEF"/>
    <w:rsid w:val="005F043C"/>
    <w:rsid w:val="005F1744"/>
    <w:rsid w:val="005F2F12"/>
    <w:rsid w:val="005F3871"/>
    <w:rsid w:val="005F3972"/>
    <w:rsid w:val="005F7101"/>
    <w:rsid w:val="005F72FB"/>
    <w:rsid w:val="006032BA"/>
    <w:rsid w:val="00603FD0"/>
    <w:rsid w:val="00606485"/>
    <w:rsid w:val="00610886"/>
    <w:rsid w:val="006116C1"/>
    <w:rsid w:val="00611C24"/>
    <w:rsid w:val="00612470"/>
    <w:rsid w:val="00615487"/>
    <w:rsid w:val="0061609F"/>
    <w:rsid w:val="0062259E"/>
    <w:rsid w:val="00622E4E"/>
    <w:rsid w:val="006232D7"/>
    <w:rsid w:val="00624A81"/>
    <w:rsid w:val="006253C3"/>
    <w:rsid w:val="0062571E"/>
    <w:rsid w:val="00625B58"/>
    <w:rsid w:val="00630801"/>
    <w:rsid w:val="00632F4C"/>
    <w:rsid w:val="006358E9"/>
    <w:rsid w:val="006402AF"/>
    <w:rsid w:val="00646813"/>
    <w:rsid w:val="006478AA"/>
    <w:rsid w:val="00650944"/>
    <w:rsid w:val="00650A5E"/>
    <w:rsid w:val="00651864"/>
    <w:rsid w:val="006532B6"/>
    <w:rsid w:val="00654763"/>
    <w:rsid w:val="00654F21"/>
    <w:rsid w:val="00654FBF"/>
    <w:rsid w:val="0065605B"/>
    <w:rsid w:val="0065795C"/>
    <w:rsid w:val="00660572"/>
    <w:rsid w:val="00663087"/>
    <w:rsid w:val="0066608B"/>
    <w:rsid w:val="00666BD2"/>
    <w:rsid w:val="00670365"/>
    <w:rsid w:val="00677D13"/>
    <w:rsid w:val="00680D5E"/>
    <w:rsid w:val="0068227B"/>
    <w:rsid w:val="00682371"/>
    <w:rsid w:val="006901EF"/>
    <w:rsid w:val="0069152B"/>
    <w:rsid w:val="0069378A"/>
    <w:rsid w:val="00697E28"/>
    <w:rsid w:val="00697E8A"/>
    <w:rsid w:val="006A08A8"/>
    <w:rsid w:val="006A4027"/>
    <w:rsid w:val="006A63CD"/>
    <w:rsid w:val="006A6702"/>
    <w:rsid w:val="006A6AB5"/>
    <w:rsid w:val="006A7675"/>
    <w:rsid w:val="006A786F"/>
    <w:rsid w:val="006B3345"/>
    <w:rsid w:val="006B3609"/>
    <w:rsid w:val="006B568F"/>
    <w:rsid w:val="006B6A2F"/>
    <w:rsid w:val="006B765F"/>
    <w:rsid w:val="006C16B2"/>
    <w:rsid w:val="006C5238"/>
    <w:rsid w:val="006C64DF"/>
    <w:rsid w:val="006D53B3"/>
    <w:rsid w:val="006D60B6"/>
    <w:rsid w:val="006D6934"/>
    <w:rsid w:val="006E0F3B"/>
    <w:rsid w:val="006E21B5"/>
    <w:rsid w:val="006E4323"/>
    <w:rsid w:val="006E49F8"/>
    <w:rsid w:val="006E4DBF"/>
    <w:rsid w:val="006E7AA3"/>
    <w:rsid w:val="006F2D6C"/>
    <w:rsid w:val="006F3E25"/>
    <w:rsid w:val="006F4049"/>
    <w:rsid w:val="007001FA"/>
    <w:rsid w:val="007024F5"/>
    <w:rsid w:val="00704075"/>
    <w:rsid w:val="00706580"/>
    <w:rsid w:val="00706C84"/>
    <w:rsid w:val="00707C90"/>
    <w:rsid w:val="00710653"/>
    <w:rsid w:val="0071160E"/>
    <w:rsid w:val="00711CA3"/>
    <w:rsid w:val="00713531"/>
    <w:rsid w:val="00713A28"/>
    <w:rsid w:val="00714429"/>
    <w:rsid w:val="00717677"/>
    <w:rsid w:val="00722DBB"/>
    <w:rsid w:val="00723B55"/>
    <w:rsid w:val="00727117"/>
    <w:rsid w:val="00727332"/>
    <w:rsid w:val="007274E0"/>
    <w:rsid w:val="00727E26"/>
    <w:rsid w:val="007306FC"/>
    <w:rsid w:val="00736F1A"/>
    <w:rsid w:val="007401E6"/>
    <w:rsid w:val="00740D91"/>
    <w:rsid w:val="007440AC"/>
    <w:rsid w:val="00744811"/>
    <w:rsid w:val="00754C8C"/>
    <w:rsid w:val="00754FF4"/>
    <w:rsid w:val="007552E7"/>
    <w:rsid w:val="00757EE0"/>
    <w:rsid w:val="00763796"/>
    <w:rsid w:val="00764435"/>
    <w:rsid w:val="007658AE"/>
    <w:rsid w:val="00766AFC"/>
    <w:rsid w:val="007671D7"/>
    <w:rsid w:val="00767408"/>
    <w:rsid w:val="007727D2"/>
    <w:rsid w:val="007748E2"/>
    <w:rsid w:val="00775289"/>
    <w:rsid w:val="007758AE"/>
    <w:rsid w:val="007776A5"/>
    <w:rsid w:val="00780A32"/>
    <w:rsid w:val="00780DA6"/>
    <w:rsid w:val="00781ABD"/>
    <w:rsid w:val="00782476"/>
    <w:rsid w:val="007827EF"/>
    <w:rsid w:val="00783233"/>
    <w:rsid w:val="0078391D"/>
    <w:rsid w:val="00783F73"/>
    <w:rsid w:val="00785EC2"/>
    <w:rsid w:val="007877ED"/>
    <w:rsid w:val="007902AA"/>
    <w:rsid w:val="007907EA"/>
    <w:rsid w:val="0079250F"/>
    <w:rsid w:val="00794411"/>
    <w:rsid w:val="00797791"/>
    <w:rsid w:val="007A28CF"/>
    <w:rsid w:val="007A2FAB"/>
    <w:rsid w:val="007A5854"/>
    <w:rsid w:val="007A58A5"/>
    <w:rsid w:val="007A71E5"/>
    <w:rsid w:val="007B017B"/>
    <w:rsid w:val="007B3058"/>
    <w:rsid w:val="007B40C1"/>
    <w:rsid w:val="007B6AB4"/>
    <w:rsid w:val="007B7D21"/>
    <w:rsid w:val="007C0C7C"/>
    <w:rsid w:val="007C39C2"/>
    <w:rsid w:val="007C4685"/>
    <w:rsid w:val="007C5584"/>
    <w:rsid w:val="007D290F"/>
    <w:rsid w:val="007D44EA"/>
    <w:rsid w:val="007D70D8"/>
    <w:rsid w:val="007E47AF"/>
    <w:rsid w:val="007E5C49"/>
    <w:rsid w:val="007E72B6"/>
    <w:rsid w:val="007F03AD"/>
    <w:rsid w:val="007F0B05"/>
    <w:rsid w:val="007F11A6"/>
    <w:rsid w:val="007F2D6E"/>
    <w:rsid w:val="007F5388"/>
    <w:rsid w:val="007F7ACC"/>
    <w:rsid w:val="00800391"/>
    <w:rsid w:val="0080086A"/>
    <w:rsid w:val="0080231A"/>
    <w:rsid w:val="00802BC6"/>
    <w:rsid w:val="00803CBE"/>
    <w:rsid w:val="00803EC2"/>
    <w:rsid w:val="00803F63"/>
    <w:rsid w:val="008118DB"/>
    <w:rsid w:val="00812927"/>
    <w:rsid w:val="00812F19"/>
    <w:rsid w:val="00817185"/>
    <w:rsid w:val="00825DA7"/>
    <w:rsid w:val="00825DF2"/>
    <w:rsid w:val="008262F9"/>
    <w:rsid w:val="008318CE"/>
    <w:rsid w:val="00831EFB"/>
    <w:rsid w:val="0083649B"/>
    <w:rsid w:val="008375CB"/>
    <w:rsid w:val="008438E5"/>
    <w:rsid w:val="008440A4"/>
    <w:rsid w:val="00845066"/>
    <w:rsid w:val="00852818"/>
    <w:rsid w:val="0085359C"/>
    <w:rsid w:val="00853C5E"/>
    <w:rsid w:val="008625B2"/>
    <w:rsid w:val="008654CD"/>
    <w:rsid w:val="00866EF9"/>
    <w:rsid w:val="008670B6"/>
    <w:rsid w:val="00870C1A"/>
    <w:rsid w:val="008719B8"/>
    <w:rsid w:val="00872846"/>
    <w:rsid w:val="00872F8F"/>
    <w:rsid w:val="00875045"/>
    <w:rsid w:val="00876C93"/>
    <w:rsid w:val="00877594"/>
    <w:rsid w:val="0088080D"/>
    <w:rsid w:val="00881D6A"/>
    <w:rsid w:val="0088338E"/>
    <w:rsid w:val="008841A2"/>
    <w:rsid w:val="00885556"/>
    <w:rsid w:val="008878BA"/>
    <w:rsid w:val="00897C3F"/>
    <w:rsid w:val="008A34F4"/>
    <w:rsid w:val="008A4C2A"/>
    <w:rsid w:val="008A61E0"/>
    <w:rsid w:val="008A7A8A"/>
    <w:rsid w:val="008B01CD"/>
    <w:rsid w:val="008C3FDD"/>
    <w:rsid w:val="008C47FB"/>
    <w:rsid w:val="008D06D7"/>
    <w:rsid w:val="008D0F3B"/>
    <w:rsid w:val="008D3701"/>
    <w:rsid w:val="008D716A"/>
    <w:rsid w:val="008E2478"/>
    <w:rsid w:val="008E2B28"/>
    <w:rsid w:val="008E3062"/>
    <w:rsid w:val="008E4B9B"/>
    <w:rsid w:val="008E59DB"/>
    <w:rsid w:val="008E70B0"/>
    <w:rsid w:val="008E7C76"/>
    <w:rsid w:val="008E7E3E"/>
    <w:rsid w:val="008F040F"/>
    <w:rsid w:val="008F4A87"/>
    <w:rsid w:val="008F65FF"/>
    <w:rsid w:val="008F78B0"/>
    <w:rsid w:val="00901120"/>
    <w:rsid w:val="00902B5C"/>
    <w:rsid w:val="009037BF"/>
    <w:rsid w:val="0090489F"/>
    <w:rsid w:val="00905970"/>
    <w:rsid w:val="0090630A"/>
    <w:rsid w:val="009074DA"/>
    <w:rsid w:val="009074F1"/>
    <w:rsid w:val="0091028E"/>
    <w:rsid w:val="00911486"/>
    <w:rsid w:val="00912040"/>
    <w:rsid w:val="009133C3"/>
    <w:rsid w:val="009146BA"/>
    <w:rsid w:val="009164ED"/>
    <w:rsid w:val="0091711C"/>
    <w:rsid w:val="009179CC"/>
    <w:rsid w:val="009205CF"/>
    <w:rsid w:val="0092122E"/>
    <w:rsid w:val="00927FBE"/>
    <w:rsid w:val="00931392"/>
    <w:rsid w:val="009347FE"/>
    <w:rsid w:val="009359C3"/>
    <w:rsid w:val="009404BA"/>
    <w:rsid w:val="00941181"/>
    <w:rsid w:val="00941BD6"/>
    <w:rsid w:val="00944599"/>
    <w:rsid w:val="00947335"/>
    <w:rsid w:val="0095002A"/>
    <w:rsid w:val="00951206"/>
    <w:rsid w:val="00953AA6"/>
    <w:rsid w:val="009552C9"/>
    <w:rsid w:val="009564FF"/>
    <w:rsid w:val="00957DDF"/>
    <w:rsid w:val="00962FE4"/>
    <w:rsid w:val="009663D0"/>
    <w:rsid w:val="009672DA"/>
    <w:rsid w:val="00971A35"/>
    <w:rsid w:val="00973756"/>
    <w:rsid w:val="00973C83"/>
    <w:rsid w:val="00975C07"/>
    <w:rsid w:val="0097651C"/>
    <w:rsid w:val="009772F9"/>
    <w:rsid w:val="00977859"/>
    <w:rsid w:val="00981253"/>
    <w:rsid w:val="00981C10"/>
    <w:rsid w:val="00983E9D"/>
    <w:rsid w:val="009864B5"/>
    <w:rsid w:val="00997851"/>
    <w:rsid w:val="009A0937"/>
    <w:rsid w:val="009A0B82"/>
    <w:rsid w:val="009A2642"/>
    <w:rsid w:val="009A3C3A"/>
    <w:rsid w:val="009A66D2"/>
    <w:rsid w:val="009A7802"/>
    <w:rsid w:val="009A7B21"/>
    <w:rsid w:val="009B0097"/>
    <w:rsid w:val="009B149D"/>
    <w:rsid w:val="009B274C"/>
    <w:rsid w:val="009B3A17"/>
    <w:rsid w:val="009B4E52"/>
    <w:rsid w:val="009B5F39"/>
    <w:rsid w:val="009B650C"/>
    <w:rsid w:val="009C0309"/>
    <w:rsid w:val="009C0D80"/>
    <w:rsid w:val="009C0D81"/>
    <w:rsid w:val="009D1AFB"/>
    <w:rsid w:val="009D540F"/>
    <w:rsid w:val="009D54DA"/>
    <w:rsid w:val="009D690B"/>
    <w:rsid w:val="009E0D60"/>
    <w:rsid w:val="009E3A3E"/>
    <w:rsid w:val="009E4492"/>
    <w:rsid w:val="009E709C"/>
    <w:rsid w:val="009F34AA"/>
    <w:rsid w:val="009F4134"/>
    <w:rsid w:val="009F52D7"/>
    <w:rsid w:val="009F7F3E"/>
    <w:rsid w:val="00A0124C"/>
    <w:rsid w:val="00A01F73"/>
    <w:rsid w:val="00A021A8"/>
    <w:rsid w:val="00A022A7"/>
    <w:rsid w:val="00A0287D"/>
    <w:rsid w:val="00A0521C"/>
    <w:rsid w:val="00A10BA7"/>
    <w:rsid w:val="00A10CED"/>
    <w:rsid w:val="00A15CF4"/>
    <w:rsid w:val="00A179C7"/>
    <w:rsid w:val="00A17B8B"/>
    <w:rsid w:val="00A20B68"/>
    <w:rsid w:val="00A21B5B"/>
    <w:rsid w:val="00A2341C"/>
    <w:rsid w:val="00A236FD"/>
    <w:rsid w:val="00A25A7C"/>
    <w:rsid w:val="00A2788D"/>
    <w:rsid w:val="00A30796"/>
    <w:rsid w:val="00A30AFF"/>
    <w:rsid w:val="00A3190B"/>
    <w:rsid w:val="00A31EBC"/>
    <w:rsid w:val="00A31FAF"/>
    <w:rsid w:val="00A379FF"/>
    <w:rsid w:val="00A37C7F"/>
    <w:rsid w:val="00A402FA"/>
    <w:rsid w:val="00A41A26"/>
    <w:rsid w:val="00A46C3E"/>
    <w:rsid w:val="00A50D05"/>
    <w:rsid w:val="00A52160"/>
    <w:rsid w:val="00A523F8"/>
    <w:rsid w:val="00A538A3"/>
    <w:rsid w:val="00A539A5"/>
    <w:rsid w:val="00A60E55"/>
    <w:rsid w:val="00A61E7A"/>
    <w:rsid w:val="00A62A2D"/>
    <w:rsid w:val="00A635C3"/>
    <w:rsid w:val="00A67548"/>
    <w:rsid w:val="00A71465"/>
    <w:rsid w:val="00A71D46"/>
    <w:rsid w:val="00A73198"/>
    <w:rsid w:val="00A746A9"/>
    <w:rsid w:val="00A758CA"/>
    <w:rsid w:val="00A76C25"/>
    <w:rsid w:val="00A77323"/>
    <w:rsid w:val="00A7732B"/>
    <w:rsid w:val="00A777C9"/>
    <w:rsid w:val="00A815BD"/>
    <w:rsid w:val="00A81A60"/>
    <w:rsid w:val="00A8365B"/>
    <w:rsid w:val="00A84FC4"/>
    <w:rsid w:val="00A85603"/>
    <w:rsid w:val="00A85948"/>
    <w:rsid w:val="00A905C4"/>
    <w:rsid w:val="00A909E3"/>
    <w:rsid w:val="00A91D62"/>
    <w:rsid w:val="00A91DCD"/>
    <w:rsid w:val="00A920C6"/>
    <w:rsid w:val="00A92195"/>
    <w:rsid w:val="00A957DD"/>
    <w:rsid w:val="00A95DF4"/>
    <w:rsid w:val="00A96B37"/>
    <w:rsid w:val="00A96FA0"/>
    <w:rsid w:val="00A970B7"/>
    <w:rsid w:val="00A9781E"/>
    <w:rsid w:val="00AA240A"/>
    <w:rsid w:val="00AA2467"/>
    <w:rsid w:val="00AA401C"/>
    <w:rsid w:val="00AB0447"/>
    <w:rsid w:val="00AB199B"/>
    <w:rsid w:val="00AB5BEE"/>
    <w:rsid w:val="00AB64F5"/>
    <w:rsid w:val="00AB6ADC"/>
    <w:rsid w:val="00AC02E8"/>
    <w:rsid w:val="00AC3046"/>
    <w:rsid w:val="00AC531E"/>
    <w:rsid w:val="00AC563B"/>
    <w:rsid w:val="00AC668A"/>
    <w:rsid w:val="00AC6848"/>
    <w:rsid w:val="00AC7A5D"/>
    <w:rsid w:val="00AD11E3"/>
    <w:rsid w:val="00AD1437"/>
    <w:rsid w:val="00AD2DB3"/>
    <w:rsid w:val="00AD70E3"/>
    <w:rsid w:val="00AE2FF3"/>
    <w:rsid w:val="00AE68EF"/>
    <w:rsid w:val="00AF0495"/>
    <w:rsid w:val="00AF1570"/>
    <w:rsid w:val="00AF17CE"/>
    <w:rsid w:val="00AF678E"/>
    <w:rsid w:val="00B0114A"/>
    <w:rsid w:val="00B01E09"/>
    <w:rsid w:val="00B05448"/>
    <w:rsid w:val="00B05A6E"/>
    <w:rsid w:val="00B11C95"/>
    <w:rsid w:val="00B11CDD"/>
    <w:rsid w:val="00B20006"/>
    <w:rsid w:val="00B23075"/>
    <w:rsid w:val="00B260CF"/>
    <w:rsid w:val="00B26135"/>
    <w:rsid w:val="00B2775E"/>
    <w:rsid w:val="00B3241E"/>
    <w:rsid w:val="00B346C0"/>
    <w:rsid w:val="00B349A8"/>
    <w:rsid w:val="00B36482"/>
    <w:rsid w:val="00B3649A"/>
    <w:rsid w:val="00B37EA7"/>
    <w:rsid w:val="00B4060E"/>
    <w:rsid w:val="00B40C0E"/>
    <w:rsid w:val="00B41F1E"/>
    <w:rsid w:val="00B43D4E"/>
    <w:rsid w:val="00B444F2"/>
    <w:rsid w:val="00B468DC"/>
    <w:rsid w:val="00B46B26"/>
    <w:rsid w:val="00B47F27"/>
    <w:rsid w:val="00B514D7"/>
    <w:rsid w:val="00B53D31"/>
    <w:rsid w:val="00B5746F"/>
    <w:rsid w:val="00B6042B"/>
    <w:rsid w:val="00B61FB5"/>
    <w:rsid w:val="00B625B1"/>
    <w:rsid w:val="00B74321"/>
    <w:rsid w:val="00B75803"/>
    <w:rsid w:val="00B76887"/>
    <w:rsid w:val="00B80D4F"/>
    <w:rsid w:val="00B81DB5"/>
    <w:rsid w:val="00B9193B"/>
    <w:rsid w:val="00B92CE8"/>
    <w:rsid w:val="00B93149"/>
    <w:rsid w:val="00B97642"/>
    <w:rsid w:val="00BA216E"/>
    <w:rsid w:val="00BA4EEE"/>
    <w:rsid w:val="00BA5D51"/>
    <w:rsid w:val="00BA78B5"/>
    <w:rsid w:val="00BA7C89"/>
    <w:rsid w:val="00BB00D7"/>
    <w:rsid w:val="00BB1D4A"/>
    <w:rsid w:val="00BB31C4"/>
    <w:rsid w:val="00BB32ED"/>
    <w:rsid w:val="00BB6A0F"/>
    <w:rsid w:val="00BB78AA"/>
    <w:rsid w:val="00BC1A75"/>
    <w:rsid w:val="00BC1CA5"/>
    <w:rsid w:val="00BC1F01"/>
    <w:rsid w:val="00BC261C"/>
    <w:rsid w:val="00BC3A03"/>
    <w:rsid w:val="00BD0E16"/>
    <w:rsid w:val="00BD2411"/>
    <w:rsid w:val="00BD5C8D"/>
    <w:rsid w:val="00BE112D"/>
    <w:rsid w:val="00BE17F4"/>
    <w:rsid w:val="00BE291E"/>
    <w:rsid w:val="00BE3AA6"/>
    <w:rsid w:val="00BE4A36"/>
    <w:rsid w:val="00BF55DA"/>
    <w:rsid w:val="00BF6499"/>
    <w:rsid w:val="00C0192B"/>
    <w:rsid w:val="00C02C72"/>
    <w:rsid w:val="00C056EE"/>
    <w:rsid w:val="00C0637E"/>
    <w:rsid w:val="00C132D2"/>
    <w:rsid w:val="00C147F0"/>
    <w:rsid w:val="00C15051"/>
    <w:rsid w:val="00C161EC"/>
    <w:rsid w:val="00C21572"/>
    <w:rsid w:val="00C21D06"/>
    <w:rsid w:val="00C23642"/>
    <w:rsid w:val="00C25263"/>
    <w:rsid w:val="00C264BA"/>
    <w:rsid w:val="00C26F9E"/>
    <w:rsid w:val="00C31687"/>
    <w:rsid w:val="00C362D6"/>
    <w:rsid w:val="00C36348"/>
    <w:rsid w:val="00C370F8"/>
    <w:rsid w:val="00C4175B"/>
    <w:rsid w:val="00C434AE"/>
    <w:rsid w:val="00C44419"/>
    <w:rsid w:val="00C44510"/>
    <w:rsid w:val="00C44D0C"/>
    <w:rsid w:val="00C45092"/>
    <w:rsid w:val="00C4595C"/>
    <w:rsid w:val="00C45FB0"/>
    <w:rsid w:val="00C45FE1"/>
    <w:rsid w:val="00C46866"/>
    <w:rsid w:val="00C468A6"/>
    <w:rsid w:val="00C47E14"/>
    <w:rsid w:val="00C50955"/>
    <w:rsid w:val="00C54C2A"/>
    <w:rsid w:val="00C60088"/>
    <w:rsid w:val="00C65D88"/>
    <w:rsid w:val="00C719E0"/>
    <w:rsid w:val="00C71DA6"/>
    <w:rsid w:val="00C73326"/>
    <w:rsid w:val="00C81E4D"/>
    <w:rsid w:val="00C8257D"/>
    <w:rsid w:val="00C82888"/>
    <w:rsid w:val="00C85DC7"/>
    <w:rsid w:val="00C91F3F"/>
    <w:rsid w:val="00C94925"/>
    <w:rsid w:val="00C96DC6"/>
    <w:rsid w:val="00C97DAE"/>
    <w:rsid w:val="00CA08A7"/>
    <w:rsid w:val="00CA2A4A"/>
    <w:rsid w:val="00CB12C4"/>
    <w:rsid w:val="00CB15CA"/>
    <w:rsid w:val="00CB1BD9"/>
    <w:rsid w:val="00CB24FB"/>
    <w:rsid w:val="00CB2816"/>
    <w:rsid w:val="00CB4E38"/>
    <w:rsid w:val="00CB624F"/>
    <w:rsid w:val="00CC095B"/>
    <w:rsid w:val="00CC1AE3"/>
    <w:rsid w:val="00CC2EEE"/>
    <w:rsid w:val="00CC3761"/>
    <w:rsid w:val="00CC438F"/>
    <w:rsid w:val="00CC60DD"/>
    <w:rsid w:val="00CD1E7E"/>
    <w:rsid w:val="00CD2672"/>
    <w:rsid w:val="00CD3925"/>
    <w:rsid w:val="00CD5102"/>
    <w:rsid w:val="00CD6DFF"/>
    <w:rsid w:val="00CD70E5"/>
    <w:rsid w:val="00CD76E3"/>
    <w:rsid w:val="00CE066E"/>
    <w:rsid w:val="00CE37CF"/>
    <w:rsid w:val="00CE3D75"/>
    <w:rsid w:val="00CF1598"/>
    <w:rsid w:val="00CF2E10"/>
    <w:rsid w:val="00CF4593"/>
    <w:rsid w:val="00CF49F7"/>
    <w:rsid w:val="00CF4FAD"/>
    <w:rsid w:val="00CF7472"/>
    <w:rsid w:val="00D013E4"/>
    <w:rsid w:val="00D013F1"/>
    <w:rsid w:val="00D03C4A"/>
    <w:rsid w:val="00D04F06"/>
    <w:rsid w:val="00D052C4"/>
    <w:rsid w:val="00D06DB3"/>
    <w:rsid w:val="00D14AA8"/>
    <w:rsid w:val="00D153C8"/>
    <w:rsid w:val="00D15484"/>
    <w:rsid w:val="00D16EC7"/>
    <w:rsid w:val="00D16EDA"/>
    <w:rsid w:val="00D212B2"/>
    <w:rsid w:val="00D21F95"/>
    <w:rsid w:val="00D23910"/>
    <w:rsid w:val="00D25691"/>
    <w:rsid w:val="00D26528"/>
    <w:rsid w:val="00D27FA5"/>
    <w:rsid w:val="00D32556"/>
    <w:rsid w:val="00D33D18"/>
    <w:rsid w:val="00D35341"/>
    <w:rsid w:val="00D35916"/>
    <w:rsid w:val="00D404BB"/>
    <w:rsid w:val="00D424D0"/>
    <w:rsid w:val="00D43BE5"/>
    <w:rsid w:val="00D45205"/>
    <w:rsid w:val="00D45AE5"/>
    <w:rsid w:val="00D53E70"/>
    <w:rsid w:val="00D54597"/>
    <w:rsid w:val="00D54AD4"/>
    <w:rsid w:val="00D55F4C"/>
    <w:rsid w:val="00D6071C"/>
    <w:rsid w:val="00D6174A"/>
    <w:rsid w:val="00D6226A"/>
    <w:rsid w:val="00D62C13"/>
    <w:rsid w:val="00D63BED"/>
    <w:rsid w:val="00D65E3F"/>
    <w:rsid w:val="00D67A4E"/>
    <w:rsid w:val="00D73788"/>
    <w:rsid w:val="00D76111"/>
    <w:rsid w:val="00D77040"/>
    <w:rsid w:val="00D81792"/>
    <w:rsid w:val="00D81DE7"/>
    <w:rsid w:val="00D83465"/>
    <w:rsid w:val="00D8399F"/>
    <w:rsid w:val="00D86EDD"/>
    <w:rsid w:val="00D874C2"/>
    <w:rsid w:val="00D907F2"/>
    <w:rsid w:val="00D919EB"/>
    <w:rsid w:val="00D9370A"/>
    <w:rsid w:val="00D95D30"/>
    <w:rsid w:val="00D96B1A"/>
    <w:rsid w:val="00D9769A"/>
    <w:rsid w:val="00DA368C"/>
    <w:rsid w:val="00DA6ED6"/>
    <w:rsid w:val="00DB1A1D"/>
    <w:rsid w:val="00DC0747"/>
    <w:rsid w:val="00DC0FC6"/>
    <w:rsid w:val="00DC195E"/>
    <w:rsid w:val="00DC1C3F"/>
    <w:rsid w:val="00DC3C9C"/>
    <w:rsid w:val="00DC5B95"/>
    <w:rsid w:val="00DC7794"/>
    <w:rsid w:val="00DD17BF"/>
    <w:rsid w:val="00DD24BC"/>
    <w:rsid w:val="00DD2F3B"/>
    <w:rsid w:val="00DE1E28"/>
    <w:rsid w:val="00DF2173"/>
    <w:rsid w:val="00DF2EFD"/>
    <w:rsid w:val="00DF50EA"/>
    <w:rsid w:val="00DF54A1"/>
    <w:rsid w:val="00E01DDD"/>
    <w:rsid w:val="00E02AA6"/>
    <w:rsid w:val="00E067D3"/>
    <w:rsid w:val="00E06DE2"/>
    <w:rsid w:val="00E10FE8"/>
    <w:rsid w:val="00E127B8"/>
    <w:rsid w:val="00E12DB7"/>
    <w:rsid w:val="00E20A8C"/>
    <w:rsid w:val="00E21D3D"/>
    <w:rsid w:val="00E2214E"/>
    <w:rsid w:val="00E2451D"/>
    <w:rsid w:val="00E247AF"/>
    <w:rsid w:val="00E2584A"/>
    <w:rsid w:val="00E32BCB"/>
    <w:rsid w:val="00E36835"/>
    <w:rsid w:val="00E36ACE"/>
    <w:rsid w:val="00E40DB5"/>
    <w:rsid w:val="00E41813"/>
    <w:rsid w:val="00E42072"/>
    <w:rsid w:val="00E443A9"/>
    <w:rsid w:val="00E446E9"/>
    <w:rsid w:val="00E45D34"/>
    <w:rsid w:val="00E479A9"/>
    <w:rsid w:val="00E47EF5"/>
    <w:rsid w:val="00E50861"/>
    <w:rsid w:val="00E5257E"/>
    <w:rsid w:val="00E55CA1"/>
    <w:rsid w:val="00E60FD0"/>
    <w:rsid w:val="00E6482B"/>
    <w:rsid w:val="00E65783"/>
    <w:rsid w:val="00E671BB"/>
    <w:rsid w:val="00E70AEA"/>
    <w:rsid w:val="00E73789"/>
    <w:rsid w:val="00E77B37"/>
    <w:rsid w:val="00E84924"/>
    <w:rsid w:val="00E84CC3"/>
    <w:rsid w:val="00E94DDC"/>
    <w:rsid w:val="00E956BD"/>
    <w:rsid w:val="00EA71DD"/>
    <w:rsid w:val="00EB139E"/>
    <w:rsid w:val="00EB1A89"/>
    <w:rsid w:val="00EB5B36"/>
    <w:rsid w:val="00ED5002"/>
    <w:rsid w:val="00ED53B3"/>
    <w:rsid w:val="00ED6C5D"/>
    <w:rsid w:val="00EE1B50"/>
    <w:rsid w:val="00EE3495"/>
    <w:rsid w:val="00EE43EB"/>
    <w:rsid w:val="00EE5369"/>
    <w:rsid w:val="00EE7B85"/>
    <w:rsid w:val="00EF572C"/>
    <w:rsid w:val="00EF6D66"/>
    <w:rsid w:val="00EF70F4"/>
    <w:rsid w:val="00F0322F"/>
    <w:rsid w:val="00F05843"/>
    <w:rsid w:val="00F058BB"/>
    <w:rsid w:val="00F060CA"/>
    <w:rsid w:val="00F07CFB"/>
    <w:rsid w:val="00F10559"/>
    <w:rsid w:val="00F118CB"/>
    <w:rsid w:val="00F13008"/>
    <w:rsid w:val="00F145AF"/>
    <w:rsid w:val="00F151AF"/>
    <w:rsid w:val="00F1588C"/>
    <w:rsid w:val="00F1735C"/>
    <w:rsid w:val="00F25354"/>
    <w:rsid w:val="00F25DDC"/>
    <w:rsid w:val="00F3121C"/>
    <w:rsid w:val="00F34C9F"/>
    <w:rsid w:val="00F40548"/>
    <w:rsid w:val="00F405E1"/>
    <w:rsid w:val="00F40A70"/>
    <w:rsid w:val="00F42414"/>
    <w:rsid w:val="00F43408"/>
    <w:rsid w:val="00F51EDB"/>
    <w:rsid w:val="00F52FCB"/>
    <w:rsid w:val="00F53741"/>
    <w:rsid w:val="00F54376"/>
    <w:rsid w:val="00F544DE"/>
    <w:rsid w:val="00F5591A"/>
    <w:rsid w:val="00F55E8F"/>
    <w:rsid w:val="00F55EEF"/>
    <w:rsid w:val="00F568E8"/>
    <w:rsid w:val="00F576A6"/>
    <w:rsid w:val="00F67A61"/>
    <w:rsid w:val="00F67DE6"/>
    <w:rsid w:val="00F7658D"/>
    <w:rsid w:val="00F767FC"/>
    <w:rsid w:val="00F77651"/>
    <w:rsid w:val="00F8142C"/>
    <w:rsid w:val="00F81AAE"/>
    <w:rsid w:val="00F83C51"/>
    <w:rsid w:val="00F8454E"/>
    <w:rsid w:val="00F858A5"/>
    <w:rsid w:val="00F86712"/>
    <w:rsid w:val="00F87E02"/>
    <w:rsid w:val="00F9218E"/>
    <w:rsid w:val="00F933A0"/>
    <w:rsid w:val="00F93D6D"/>
    <w:rsid w:val="00F94558"/>
    <w:rsid w:val="00F94ED8"/>
    <w:rsid w:val="00F954B1"/>
    <w:rsid w:val="00F96734"/>
    <w:rsid w:val="00F970AC"/>
    <w:rsid w:val="00F97B5D"/>
    <w:rsid w:val="00FA3E03"/>
    <w:rsid w:val="00FA4FF1"/>
    <w:rsid w:val="00FA744E"/>
    <w:rsid w:val="00FA7ED8"/>
    <w:rsid w:val="00FB4C4E"/>
    <w:rsid w:val="00FB6DF8"/>
    <w:rsid w:val="00FB780B"/>
    <w:rsid w:val="00FB79F5"/>
    <w:rsid w:val="00FC5365"/>
    <w:rsid w:val="00FC7FE5"/>
    <w:rsid w:val="00FD123D"/>
    <w:rsid w:val="00FD1C76"/>
    <w:rsid w:val="00FD71FE"/>
    <w:rsid w:val="00FD7F23"/>
    <w:rsid w:val="00FE0234"/>
    <w:rsid w:val="00FE1885"/>
    <w:rsid w:val="00FE253E"/>
    <w:rsid w:val="00FE2D82"/>
    <w:rsid w:val="00FE70D9"/>
    <w:rsid w:val="00FE7A7D"/>
    <w:rsid w:val="00FE7D91"/>
    <w:rsid w:val="00FF0191"/>
    <w:rsid w:val="00FF1F31"/>
    <w:rsid w:val="00FF3365"/>
    <w:rsid w:val="00FF3E10"/>
    <w:rsid w:val="00FF3EC9"/>
    <w:rsid w:val="00FF4D6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9CDB"/>
  <w15:docId w15:val="{F845E7B7-E191-490B-858E-52F9C568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90569"/>
    <w:pPr>
      <w:widowControl w:val="0"/>
      <w:tabs>
        <w:tab w:val="left" w:pos="1418"/>
        <w:tab w:val="left" w:pos="2835"/>
        <w:tab w:val="left" w:pos="4253"/>
        <w:tab w:val="left" w:pos="5670"/>
        <w:tab w:val="left" w:pos="7088"/>
        <w:tab w:val="left" w:pos="8505"/>
      </w:tabs>
      <w:spacing w:before="240" w:after="60" w:line="480" w:lineRule="auto"/>
      <w:jc w:val="center"/>
      <w:outlineLvl w:val="0"/>
    </w:pPr>
    <w:rPr>
      <w:rFonts w:ascii="Century Gothic" w:hAnsi="Century Gothic"/>
      <w:kern w:val="28"/>
      <w:sz w:val="26"/>
      <w:szCs w:val="20"/>
      <w:lang w:val="en-ZA"/>
    </w:rPr>
  </w:style>
  <w:style w:type="paragraph" w:styleId="Heading2">
    <w:name w:val="heading 2"/>
    <w:basedOn w:val="Normal"/>
    <w:next w:val="Normal"/>
    <w:link w:val="Heading2Char"/>
    <w:unhideWhenUsed/>
    <w:qFormat/>
    <w:rsid w:val="00090569"/>
    <w:pPr>
      <w:widowControl w:val="0"/>
      <w:tabs>
        <w:tab w:val="left" w:pos="1418"/>
        <w:tab w:val="left" w:pos="2835"/>
        <w:tab w:val="left" w:pos="4253"/>
        <w:tab w:val="left" w:pos="5670"/>
        <w:tab w:val="left" w:pos="7088"/>
        <w:tab w:val="left" w:pos="8505"/>
      </w:tabs>
      <w:spacing w:before="240" w:after="60" w:line="480" w:lineRule="auto"/>
      <w:jc w:val="both"/>
      <w:outlineLvl w:val="1"/>
    </w:pPr>
    <w:rPr>
      <w:rFonts w:ascii="Century Gothic" w:hAnsi="Century Gothic"/>
      <w:sz w:val="26"/>
      <w:szCs w:val="20"/>
      <w:lang w:val="en-ZA"/>
    </w:rPr>
  </w:style>
  <w:style w:type="paragraph" w:styleId="Heading3">
    <w:name w:val="heading 3"/>
    <w:next w:val="Normal"/>
    <w:link w:val="Heading3Char"/>
    <w:semiHidden/>
    <w:unhideWhenUsed/>
    <w:qFormat/>
    <w:rsid w:val="00090569"/>
    <w:pPr>
      <w:widowControl w:val="0"/>
      <w:tabs>
        <w:tab w:val="left" w:pos="1418"/>
        <w:tab w:val="left" w:pos="4253"/>
        <w:tab w:val="left" w:pos="5670"/>
        <w:tab w:val="left" w:pos="7088"/>
        <w:tab w:val="left" w:pos="8505"/>
      </w:tabs>
      <w:spacing w:before="240" w:after="60" w:line="480" w:lineRule="auto"/>
      <w:jc w:val="both"/>
      <w:outlineLvl w:val="2"/>
    </w:pPr>
    <w:rPr>
      <w:rFonts w:ascii="Century Gothic" w:eastAsia="Times New Roman" w:hAnsi="Century Gothic" w:cs="Times New Roman"/>
      <w:sz w:val="26"/>
      <w:szCs w:val="20"/>
    </w:rPr>
  </w:style>
  <w:style w:type="paragraph" w:styleId="Heading4">
    <w:name w:val="heading 4"/>
    <w:basedOn w:val="Normal"/>
    <w:next w:val="Normal"/>
    <w:link w:val="Heading4Char"/>
    <w:semiHidden/>
    <w:unhideWhenUsed/>
    <w:qFormat/>
    <w:rsid w:val="00090569"/>
    <w:pPr>
      <w:keepNext/>
      <w:widowControl w:val="0"/>
      <w:tabs>
        <w:tab w:val="right" w:pos="8640"/>
      </w:tabs>
      <w:spacing w:line="480" w:lineRule="auto"/>
      <w:jc w:val="center"/>
      <w:outlineLvl w:val="3"/>
    </w:pPr>
    <w:rPr>
      <w:rFonts w:ascii="Century Gothic" w:hAnsi="Century Gothic"/>
      <w:b/>
      <w:bCs/>
      <w:sz w:val="26"/>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569"/>
    <w:rPr>
      <w:rFonts w:ascii="Century Gothic" w:eastAsia="Times New Roman" w:hAnsi="Century Gothic" w:cs="Times New Roman"/>
      <w:kern w:val="28"/>
      <w:sz w:val="26"/>
      <w:szCs w:val="20"/>
    </w:rPr>
  </w:style>
  <w:style w:type="character" w:customStyle="1" w:styleId="Heading2Char">
    <w:name w:val="Heading 2 Char"/>
    <w:basedOn w:val="DefaultParagraphFont"/>
    <w:link w:val="Heading2"/>
    <w:rsid w:val="00090569"/>
    <w:rPr>
      <w:rFonts w:ascii="Century Gothic" w:eastAsia="Times New Roman" w:hAnsi="Century Gothic" w:cs="Times New Roman"/>
      <w:sz w:val="26"/>
      <w:szCs w:val="20"/>
    </w:rPr>
  </w:style>
  <w:style w:type="character" w:customStyle="1" w:styleId="Heading3Char">
    <w:name w:val="Heading 3 Char"/>
    <w:basedOn w:val="DefaultParagraphFont"/>
    <w:link w:val="Heading3"/>
    <w:semiHidden/>
    <w:rsid w:val="00090569"/>
    <w:rPr>
      <w:rFonts w:ascii="Century Gothic" w:eastAsia="Times New Roman" w:hAnsi="Century Gothic" w:cs="Times New Roman"/>
      <w:sz w:val="26"/>
      <w:szCs w:val="20"/>
    </w:rPr>
  </w:style>
  <w:style w:type="character" w:customStyle="1" w:styleId="Heading4Char">
    <w:name w:val="Heading 4 Char"/>
    <w:basedOn w:val="DefaultParagraphFont"/>
    <w:link w:val="Heading4"/>
    <w:semiHidden/>
    <w:rsid w:val="00090569"/>
    <w:rPr>
      <w:rFonts w:ascii="Century Gothic" w:eastAsia="Times New Roman" w:hAnsi="Century Gothic" w:cs="Times New Roman"/>
      <w:b/>
      <w:bCs/>
      <w:sz w:val="26"/>
      <w:szCs w:val="20"/>
    </w:rPr>
  </w:style>
  <w:style w:type="paragraph" w:styleId="ListParagraph">
    <w:name w:val="List Paragraph"/>
    <w:basedOn w:val="Normal"/>
    <w:uiPriority w:val="34"/>
    <w:qFormat/>
    <w:rsid w:val="0022450E"/>
    <w:pPr>
      <w:ind w:left="720"/>
      <w:contextualSpacing/>
    </w:pPr>
  </w:style>
  <w:style w:type="paragraph" w:styleId="BalloonText">
    <w:name w:val="Balloon Text"/>
    <w:basedOn w:val="Normal"/>
    <w:link w:val="BalloonTextChar"/>
    <w:uiPriority w:val="99"/>
    <w:semiHidden/>
    <w:unhideWhenUsed/>
    <w:rsid w:val="00272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80"/>
    <w:rPr>
      <w:rFonts w:ascii="Segoe UI" w:eastAsia="Times New Roman" w:hAnsi="Segoe UI" w:cs="Segoe UI"/>
      <w:sz w:val="18"/>
      <w:szCs w:val="18"/>
      <w:lang w:val="en-US"/>
    </w:rPr>
  </w:style>
  <w:style w:type="paragraph" w:styleId="Header">
    <w:name w:val="header"/>
    <w:basedOn w:val="Normal"/>
    <w:link w:val="HeaderChar"/>
    <w:uiPriority w:val="99"/>
    <w:unhideWhenUsed/>
    <w:rsid w:val="003015FA"/>
    <w:pPr>
      <w:tabs>
        <w:tab w:val="center" w:pos="4513"/>
        <w:tab w:val="right" w:pos="9026"/>
      </w:tabs>
    </w:pPr>
  </w:style>
  <w:style w:type="character" w:customStyle="1" w:styleId="HeaderChar">
    <w:name w:val="Header Char"/>
    <w:basedOn w:val="DefaultParagraphFont"/>
    <w:link w:val="Header"/>
    <w:uiPriority w:val="99"/>
    <w:rsid w:val="003015F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15FA"/>
    <w:pPr>
      <w:tabs>
        <w:tab w:val="center" w:pos="4513"/>
        <w:tab w:val="right" w:pos="9026"/>
      </w:tabs>
    </w:pPr>
  </w:style>
  <w:style w:type="character" w:customStyle="1" w:styleId="FooterChar">
    <w:name w:val="Footer Char"/>
    <w:basedOn w:val="DefaultParagraphFont"/>
    <w:link w:val="Footer"/>
    <w:uiPriority w:val="99"/>
    <w:rsid w:val="003015FA"/>
    <w:rPr>
      <w:rFonts w:ascii="Times New Roman" w:eastAsia="Times New Roman" w:hAnsi="Times New Roman" w:cs="Times New Roman"/>
      <w:sz w:val="24"/>
      <w:szCs w:val="24"/>
      <w:lang w:val="en-US"/>
    </w:rPr>
  </w:style>
  <w:style w:type="paragraph" w:styleId="BodyText">
    <w:name w:val="Body Text"/>
    <w:basedOn w:val="Normal"/>
    <w:link w:val="BodyTextChar"/>
    <w:rsid w:val="00FE70D9"/>
    <w:pPr>
      <w:tabs>
        <w:tab w:val="right" w:pos="8222"/>
      </w:tabs>
      <w:spacing w:line="480" w:lineRule="auto"/>
      <w:jc w:val="both"/>
    </w:pPr>
    <w:rPr>
      <w:rFonts w:ascii="Arial" w:hAnsi="Arial"/>
      <w:sz w:val="20"/>
      <w:szCs w:val="20"/>
    </w:rPr>
  </w:style>
  <w:style w:type="character" w:customStyle="1" w:styleId="BodyTextChar">
    <w:name w:val="Body Text Char"/>
    <w:basedOn w:val="DefaultParagraphFont"/>
    <w:link w:val="BodyText"/>
    <w:rsid w:val="00FE70D9"/>
    <w:rPr>
      <w:rFonts w:ascii="Arial" w:eastAsia="Times New Roman" w:hAnsi="Arial" w:cs="Times New Roman"/>
      <w:sz w:val="20"/>
      <w:szCs w:val="20"/>
      <w:lang w:val="en-US"/>
    </w:rPr>
  </w:style>
  <w:style w:type="character" w:styleId="Hyperlink">
    <w:name w:val="Hyperlink"/>
    <w:basedOn w:val="DefaultParagraphFont"/>
    <w:uiPriority w:val="99"/>
    <w:unhideWhenUsed/>
    <w:rsid w:val="00E32BCB"/>
    <w:rPr>
      <w:color w:val="0563C1" w:themeColor="hyperlink"/>
      <w:u w:val="single"/>
    </w:rPr>
  </w:style>
  <w:style w:type="character" w:styleId="FollowedHyperlink">
    <w:name w:val="FollowedHyperlink"/>
    <w:basedOn w:val="DefaultParagraphFont"/>
    <w:uiPriority w:val="99"/>
    <w:semiHidden/>
    <w:unhideWhenUsed/>
    <w:rsid w:val="009133C3"/>
    <w:rPr>
      <w:color w:val="954F72" w:themeColor="followedHyperlink"/>
      <w:u w:val="single"/>
    </w:rPr>
  </w:style>
  <w:style w:type="paragraph" w:styleId="FootnoteText">
    <w:name w:val="footnote text"/>
    <w:aliases w:val="Footnote Text Char1,Footnote Text Char Char,Footnote Text Char1 Char,Footnote Text Char Char Char,Footnote Text Char Char1,Char Char Char,Char Char,Footnote Text Char1 Char1 Char1 Char Char,Footnote Text Cha,Char, Char Char Char, Char Char"/>
    <w:basedOn w:val="Normal"/>
    <w:link w:val="FootnoteTextChar"/>
    <w:uiPriority w:val="99"/>
    <w:unhideWhenUsed/>
    <w:qFormat/>
    <w:rsid w:val="002C5111"/>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 Char Char,Char Char Char1,Footnote Text Char1 Char1 Char1 Char Char Char"/>
    <w:basedOn w:val="DefaultParagraphFont"/>
    <w:link w:val="FootnoteText"/>
    <w:uiPriority w:val="99"/>
    <w:rsid w:val="002C5111"/>
    <w:rPr>
      <w:rFonts w:ascii="Times New Roman" w:eastAsia="Times New Roman" w:hAnsi="Times New Roman" w:cs="Times New Roman"/>
      <w:sz w:val="20"/>
      <w:szCs w:val="20"/>
      <w:lang w:val="en-US"/>
    </w:rPr>
  </w:style>
  <w:style w:type="character" w:styleId="FootnoteReference">
    <w:name w:val="footnote reference"/>
    <w:aliases w:val="Footnote Reference + Superscript,Ref,de nota al pie,註腳內容,Appel note de bas de page,Footnotes refss,(NECG) Footnote Reference,fr,Heading 6 Char1,do not use4 Char1,Footnote symbol,Style 12,Footnote,4_G"/>
    <w:basedOn w:val="DefaultParagraphFont"/>
    <w:uiPriority w:val="99"/>
    <w:unhideWhenUsed/>
    <w:qFormat/>
    <w:rsid w:val="002C5111"/>
    <w:rPr>
      <w:vertAlign w:val="superscript"/>
    </w:rPr>
  </w:style>
  <w:style w:type="paragraph" w:styleId="NormalWeb">
    <w:name w:val="Normal (Web)"/>
    <w:basedOn w:val="Normal"/>
    <w:uiPriority w:val="99"/>
    <w:semiHidden/>
    <w:unhideWhenUsed/>
    <w:rsid w:val="00002CC8"/>
  </w:style>
  <w:style w:type="character" w:customStyle="1" w:styleId="UnresolvedMention">
    <w:name w:val="Unresolved Mention"/>
    <w:basedOn w:val="DefaultParagraphFont"/>
    <w:uiPriority w:val="99"/>
    <w:rsid w:val="00603FD0"/>
    <w:rPr>
      <w:color w:val="605E5C"/>
      <w:shd w:val="clear" w:color="auto" w:fill="E1DFDD"/>
    </w:rPr>
  </w:style>
  <w:style w:type="paragraph" w:customStyle="1" w:styleId="lrpara">
    <w:name w:val="lrpara"/>
    <w:basedOn w:val="Normal"/>
    <w:rsid w:val="00347C4D"/>
    <w:pPr>
      <w:spacing w:before="100" w:beforeAutospacing="1" w:after="100" w:afterAutospacing="1"/>
    </w:pPr>
    <w:rPr>
      <w:lang w:val="en-ZA" w:eastAsia="en-ZA"/>
    </w:rPr>
  </w:style>
  <w:style w:type="paragraph" w:customStyle="1" w:styleId="pageno">
    <w:name w:val="pageno"/>
    <w:basedOn w:val="Normal"/>
    <w:rsid w:val="00347C4D"/>
    <w:pPr>
      <w:spacing w:before="100" w:beforeAutospacing="1" w:after="100" w:afterAutospacing="1"/>
    </w:pPr>
    <w:rPr>
      <w:lang w:val="en-ZA" w:eastAsia="en-ZA"/>
    </w:rPr>
  </w:style>
  <w:style w:type="paragraph" w:customStyle="1" w:styleId="lrjudgecont">
    <w:name w:val="lrjudgecont"/>
    <w:basedOn w:val="Normal"/>
    <w:rsid w:val="00347C4D"/>
    <w:pPr>
      <w:spacing w:before="100" w:beforeAutospacing="1" w:after="100" w:afterAutospacing="1"/>
    </w:pPr>
    <w:rPr>
      <w:lang w:val="en-ZA" w:eastAsia="en-ZA"/>
    </w:rPr>
  </w:style>
  <w:style w:type="character" w:customStyle="1" w:styleId="mc">
    <w:name w:val="mc"/>
    <w:basedOn w:val="DefaultParagraphFont"/>
    <w:rsid w:val="00347C4D"/>
  </w:style>
  <w:style w:type="paragraph" w:styleId="PlainText">
    <w:name w:val="Plain Text"/>
    <w:basedOn w:val="Normal"/>
    <w:link w:val="PlainTextChar"/>
    <w:uiPriority w:val="99"/>
    <w:unhideWhenUsed/>
    <w:rsid w:val="00A2341C"/>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rsid w:val="00A2341C"/>
    <w:rPr>
      <w:rFonts w:ascii="Calibri" w:hAnsi="Calibri"/>
      <w:szCs w:val="21"/>
    </w:rPr>
  </w:style>
  <w:style w:type="paragraph" w:customStyle="1" w:styleId="lrquote">
    <w:name w:val="lrquote"/>
    <w:basedOn w:val="Normal"/>
    <w:rsid w:val="00B61FB5"/>
    <w:pPr>
      <w:spacing w:before="100" w:beforeAutospacing="1" w:after="100" w:afterAutospacing="1"/>
    </w:pPr>
    <w:rPr>
      <w:lang w:val="en-ZA" w:eastAsia="en-ZA"/>
    </w:rPr>
  </w:style>
  <w:style w:type="paragraph" w:customStyle="1" w:styleId="western">
    <w:name w:val="western"/>
    <w:basedOn w:val="Normal"/>
    <w:rsid w:val="004A6C38"/>
    <w:pPr>
      <w:spacing w:before="100" w:beforeAutospacing="1" w:after="100" w:afterAutospacing="1"/>
    </w:pPr>
    <w:rPr>
      <w:lang w:val="en-ZA" w:eastAsia="en-ZA"/>
    </w:rPr>
  </w:style>
  <w:style w:type="character" w:customStyle="1" w:styleId="apple-converted-space">
    <w:name w:val="apple-converted-space"/>
    <w:basedOn w:val="DefaultParagraphFont"/>
    <w:rsid w:val="00E36835"/>
  </w:style>
  <w:style w:type="paragraph" w:customStyle="1" w:styleId="XClause1Head">
    <w:name w:val="XClause1Head"/>
    <w:basedOn w:val="Normal"/>
    <w:link w:val="XClause1HeadChar"/>
    <w:rsid w:val="00E36835"/>
    <w:pPr>
      <w:numPr>
        <w:numId w:val="37"/>
      </w:numPr>
      <w:spacing w:after="240" w:line="360" w:lineRule="atLeast"/>
      <w:jc w:val="both"/>
    </w:pPr>
    <w:rPr>
      <w:rFonts w:ascii="Arial" w:hAnsi="Arial"/>
      <w:sz w:val="20"/>
      <w:szCs w:val="20"/>
      <w:lang w:val="en-GB" w:eastAsia="en-GB"/>
    </w:rPr>
  </w:style>
  <w:style w:type="paragraph" w:customStyle="1" w:styleId="XClause2Sub">
    <w:name w:val="XClause2Sub"/>
    <w:basedOn w:val="Normal"/>
    <w:rsid w:val="00E36835"/>
    <w:pPr>
      <w:numPr>
        <w:ilvl w:val="1"/>
        <w:numId w:val="37"/>
      </w:numPr>
      <w:spacing w:after="240" w:line="360" w:lineRule="atLeast"/>
      <w:jc w:val="both"/>
    </w:pPr>
    <w:rPr>
      <w:rFonts w:ascii="Arial" w:hAnsi="Arial"/>
      <w:sz w:val="20"/>
      <w:szCs w:val="20"/>
      <w:lang w:val="en-GB" w:eastAsia="en-GB"/>
    </w:rPr>
  </w:style>
  <w:style w:type="paragraph" w:customStyle="1" w:styleId="XClause3Sub">
    <w:name w:val="XClause3Sub"/>
    <w:basedOn w:val="Normal"/>
    <w:rsid w:val="00E36835"/>
    <w:pPr>
      <w:numPr>
        <w:ilvl w:val="2"/>
        <w:numId w:val="37"/>
      </w:numPr>
      <w:spacing w:after="240" w:line="360" w:lineRule="atLeast"/>
      <w:jc w:val="both"/>
    </w:pPr>
    <w:rPr>
      <w:rFonts w:ascii="Arial" w:hAnsi="Arial"/>
      <w:sz w:val="20"/>
      <w:szCs w:val="20"/>
      <w:lang w:val="en-GB" w:eastAsia="en-GB"/>
    </w:rPr>
  </w:style>
  <w:style w:type="paragraph" w:customStyle="1" w:styleId="XClause4Sub">
    <w:name w:val="XClause4Sub"/>
    <w:basedOn w:val="Normal"/>
    <w:rsid w:val="00E36835"/>
    <w:pPr>
      <w:numPr>
        <w:ilvl w:val="3"/>
        <w:numId w:val="37"/>
      </w:numPr>
      <w:spacing w:after="240" w:line="360" w:lineRule="atLeast"/>
      <w:jc w:val="both"/>
    </w:pPr>
    <w:rPr>
      <w:rFonts w:ascii="Arial" w:hAnsi="Arial"/>
      <w:sz w:val="20"/>
      <w:szCs w:val="20"/>
      <w:lang w:val="en-GB" w:eastAsia="en-GB"/>
    </w:rPr>
  </w:style>
  <w:style w:type="paragraph" w:customStyle="1" w:styleId="XClause5Sub">
    <w:name w:val="XClause5Sub"/>
    <w:basedOn w:val="Normal"/>
    <w:rsid w:val="00E36835"/>
    <w:pPr>
      <w:numPr>
        <w:ilvl w:val="4"/>
        <w:numId w:val="37"/>
      </w:numPr>
      <w:spacing w:after="240" w:line="360" w:lineRule="atLeast"/>
      <w:jc w:val="both"/>
    </w:pPr>
    <w:rPr>
      <w:rFonts w:ascii="Arial" w:hAnsi="Arial"/>
      <w:sz w:val="20"/>
      <w:szCs w:val="20"/>
      <w:lang w:val="en-GB" w:eastAsia="en-GB"/>
    </w:rPr>
  </w:style>
  <w:style w:type="paragraph" w:customStyle="1" w:styleId="XClause6Sub">
    <w:name w:val="XClause6Sub"/>
    <w:basedOn w:val="Normal"/>
    <w:rsid w:val="00E36835"/>
    <w:pPr>
      <w:numPr>
        <w:ilvl w:val="5"/>
        <w:numId w:val="37"/>
      </w:numPr>
      <w:spacing w:after="240" w:line="360" w:lineRule="atLeast"/>
      <w:jc w:val="both"/>
    </w:pPr>
    <w:rPr>
      <w:rFonts w:ascii="Arial" w:hAnsi="Arial"/>
      <w:sz w:val="20"/>
      <w:szCs w:val="20"/>
      <w:lang w:val="en-GB" w:eastAsia="en-GB"/>
    </w:rPr>
  </w:style>
  <w:style w:type="paragraph" w:customStyle="1" w:styleId="XClause7Sub">
    <w:name w:val="XClause7Sub"/>
    <w:basedOn w:val="Normal"/>
    <w:rsid w:val="00E36835"/>
    <w:pPr>
      <w:numPr>
        <w:ilvl w:val="6"/>
        <w:numId w:val="37"/>
      </w:numPr>
      <w:spacing w:after="240" w:line="360" w:lineRule="atLeast"/>
      <w:jc w:val="both"/>
    </w:pPr>
    <w:rPr>
      <w:rFonts w:ascii="Arial" w:hAnsi="Arial"/>
      <w:sz w:val="20"/>
      <w:szCs w:val="20"/>
      <w:lang w:val="en-GB" w:eastAsia="en-GB"/>
    </w:rPr>
  </w:style>
  <w:style w:type="paragraph" w:customStyle="1" w:styleId="XClause8Sub">
    <w:name w:val="XClause8Sub"/>
    <w:basedOn w:val="Normal"/>
    <w:rsid w:val="00E36835"/>
    <w:pPr>
      <w:numPr>
        <w:ilvl w:val="7"/>
        <w:numId w:val="37"/>
      </w:numPr>
      <w:spacing w:after="240" w:line="360" w:lineRule="atLeast"/>
      <w:jc w:val="both"/>
    </w:pPr>
    <w:rPr>
      <w:rFonts w:ascii="Arial" w:hAnsi="Arial"/>
      <w:sz w:val="20"/>
      <w:szCs w:val="20"/>
      <w:lang w:val="en-GB" w:eastAsia="en-GB"/>
    </w:rPr>
  </w:style>
  <w:style w:type="paragraph" w:customStyle="1" w:styleId="XClause9Sub">
    <w:name w:val="XClause9Sub"/>
    <w:basedOn w:val="Normal"/>
    <w:rsid w:val="00E36835"/>
    <w:pPr>
      <w:numPr>
        <w:ilvl w:val="8"/>
        <w:numId w:val="37"/>
      </w:numPr>
      <w:spacing w:after="240" w:line="360" w:lineRule="atLeast"/>
      <w:jc w:val="both"/>
    </w:pPr>
    <w:rPr>
      <w:rFonts w:ascii="Arial" w:hAnsi="Arial"/>
      <w:sz w:val="20"/>
      <w:szCs w:val="20"/>
      <w:lang w:val="en-GB" w:eastAsia="en-GB"/>
    </w:rPr>
  </w:style>
  <w:style w:type="character" w:customStyle="1" w:styleId="XClause1HeadChar">
    <w:name w:val="XClause1Head Char"/>
    <w:basedOn w:val="DefaultParagraphFont"/>
    <w:link w:val="XClause1Head"/>
    <w:rsid w:val="00E36835"/>
    <w:rPr>
      <w:rFonts w:ascii="Arial" w:eastAsia="Times New Roman" w:hAnsi="Arial" w:cs="Times New Roman"/>
      <w:sz w:val="20"/>
      <w:szCs w:val="20"/>
      <w:lang w:val="en-GB" w:eastAsia="en-GB"/>
    </w:rPr>
  </w:style>
  <w:style w:type="character" w:styleId="Emphasis">
    <w:name w:val="Emphasis"/>
    <w:uiPriority w:val="20"/>
    <w:qFormat/>
    <w:rsid w:val="005E1918"/>
    <w:rPr>
      <w:i/>
      <w:iCs/>
    </w:rPr>
  </w:style>
  <w:style w:type="character" w:customStyle="1" w:styleId="footnoteanchor">
    <w:name w:val="footnoteanchor"/>
    <w:basedOn w:val="DefaultParagraphFont"/>
    <w:rsid w:val="008878BA"/>
  </w:style>
  <w:style w:type="paragraph" w:customStyle="1" w:styleId="lrcasename">
    <w:name w:val="lrcasename"/>
    <w:basedOn w:val="Normal"/>
    <w:rsid w:val="00951206"/>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303">
      <w:bodyDiv w:val="1"/>
      <w:marLeft w:val="0"/>
      <w:marRight w:val="0"/>
      <w:marTop w:val="0"/>
      <w:marBottom w:val="0"/>
      <w:divBdr>
        <w:top w:val="none" w:sz="0" w:space="0" w:color="auto"/>
        <w:left w:val="none" w:sz="0" w:space="0" w:color="auto"/>
        <w:bottom w:val="none" w:sz="0" w:space="0" w:color="auto"/>
        <w:right w:val="none" w:sz="0" w:space="0" w:color="auto"/>
      </w:divBdr>
    </w:div>
    <w:div w:id="184174585">
      <w:bodyDiv w:val="1"/>
      <w:marLeft w:val="0"/>
      <w:marRight w:val="0"/>
      <w:marTop w:val="0"/>
      <w:marBottom w:val="0"/>
      <w:divBdr>
        <w:top w:val="none" w:sz="0" w:space="0" w:color="auto"/>
        <w:left w:val="none" w:sz="0" w:space="0" w:color="auto"/>
        <w:bottom w:val="none" w:sz="0" w:space="0" w:color="auto"/>
        <w:right w:val="none" w:sz="0" w:space="0" w:color="auto"/>
      </w:divBdr>
    </w:div>
    <w:div w:id="185488650">
      <w:bodyDiv w:val="1"/>
      <w:marLeft w:val="0"/>
      <w:marRight w:val="0"/>
      <w:marTop w:val="0"/>
      <w:marBottom w:val="0"/>
      <w:divBdr>
        <w:top w:val="none" w:sz="0" w:space="0" w:color="auto"/>
        <w:left w:val="none" w:sz="0" w:space="0" w:color="auto"/>
        <w:bottom w:val="none" w:sz="0" w:space="0" w:color="auto"/>
        <w:right w:val="none" w:sz="0" w:space="0" w:color="auto"/>
      </w:divBdr>
      <w:divsChild>
        <w:div w:id="1140225414">
          <w:marLeft w:val="0"/>
          <w:marRight w:val="0"/>
          <w:marTop w:val="120"/>
          <w:marBottom w:val="0"/>
          <w:divBdr>
            <w:top w:val="none" w:sz="0" w:space="0" w:color="auto"/>
            <w:left w:val="none" w:sz="0" w:space="0" w:color="auto"/>
            <w:bottom w:val="none" w:sz="0" w:space="0" w:color="auto"/>
            <w:right w:val="none" w:sz="0" w:space="0" w:color="auto"/>
          </w:divBdr>
        </w:div>
        <w:div w:id="1086733798">
          <w:marLeft w:val="0"/>
          <w:marRight w:val="0"/>
          <w:marTop w:val="120"/>
          <w:marBottom w:val="0"/>
          <w:divBdr>
            <w:top w:val="none" w:sz="0" w:space="0" w:color="auto"/>
            <w:left w:val="none" w:sz="0" w:space="0" w:color="auto"/>
            <w:bottom w:val="none" w:sz="0" w:space="0" w:color="auto"/>
            <w:right w:val="none" w:sz="0" w:space="0" w:color="auto"/>
          </w:divBdr>
        </w:div>
        <w:div w:id="1147741694">
          <w:marLeft w:val="0"/>
          <w:marRight w:val="0"/>
          <w:marTop w:val="60"/>
          <w:marBottom w:val="0"/>
          <w:divBdr>
            <w:top w:val="none" w:sz="0" w:space="0" w:color="auto"/>
            <w:left w:val="none" w:sz="0" w:space="0" w:color="auto"/>
            <w:bottom w:val="none" w:sz="0" w:space="0" w:color="auto"/>
            <w:right w:val="none" w:sz="0" w:space="0" w:color="auto"/>
          </w:divBdr>
        </w:div>
        <w:div w:id="403645643">
          <w:marLeft w:val="0"/>
          <w:marRight w:val="0"/>
          <w:marTop w:val="60"/>
          <w:marBottom w:val="0"/>
          <w:divBdr>
            <w:top w:val="none" w:sz="0" w:space="0" w:color="auto"/>
            <w:left w:val="none" w:sz="0" w:space="0" w:color="auto"/>
            <w:bottom w:val="none" w:sz="0" w:space="0" w:color="auto"/>
            <w:right w:val="none" w:sz="0" w:space="0" w:color="auto"/>
          </w:divBdr>
        </w:div>
        <w:div w:id="579339181">
          <w:marLeft w:val="0"/>
          <w:marRight w:val="0"/>
          <w:marTop w:val="60"/>
          <w:marBottom w:val="0"/>
          <w:divBdr>
            <w:top w:val="none" w:sz="0" w:space="0" w:color="auto"/>
            <w:left w:val="none" w:sz="0" w:space="0" w:color="auto"/>
            <w:bottom w:val="none" w:sz="0" w:space="0" w:color="auto"/>
            <w:right w:val="none" w:sz="0" w:space="0" w:color="auto"/>
          </w:divBdr>
        </w:div>
      </w:divsChild>
    </w:div>
    <w:div w:id="221604525">
      <w:bodyDiv w:val="1"/>
      <w:marLeft w:val="0"/>
      <w:marRight w:val="0"/>
      <w:marTop w:val="0"/>
      <w:marBottom w:val="0"/>
      <w:divBdr>
        <w:top w:val="none" w:sz="0" w:space="0" w:color="auto"/>
        <w:left w:val="none" w:sz="0" w:space="0" w:color="auto"/>
        <w:bottom w:val="none" w:sz="0" w:space="0" w:color="auto"/>
        <w:right w:val="none" w:sz="0" w:space="0" w:color="auto"/>
      </w:divBdr>
    </w:div>
    <w:div w:id="231545585">
      <w:bodyDiv w:val="1"/>
      <w:marLeft w:val="0"/>
      <w:marRight w:val="0"/>
      <w:marTop w:val="0"/>
      <w:marBottom w:val="0"/>
      <w:divBdr>
        <w:top w:val="none" w:sz="0" w:space="0" w:color="auto"/>
        <w:left w:val="none" w:sz="0" w:space="0" w:color="auto"/>
        <w:bottom w:val="none" w:sz="0" w:space="0" w:color="auto"/>
        <w:right w:val="none" w:sz="0" w:space="0" w:color="auto"/>
      </w:divBdr>
    </w:div>
    <w:div w:id="236597544">
      <w:bodyDiv w:val="1"/>
      <w:marLeft w:val="0"/>
      <w:marRight w:val="0"/>
      <w:marTop w:val="0"/>
      <w:marBottom w:val="0"/>
      <w:divBdr>
        <w:top w:val="none" w:sz="0" w:space="0" w:color="auto"/>
        <w:left w:val="none" w:sz="0" w:space="0" w:color="auto"/>
        <w:bottom w:val="none" w:sz="0" w:space="0" w:color="auto"/>
        <w:right w:val="none" w:sz="0" w:space="0" w:color="auto"/>
      </w:divBdr>
    </w:div>
    <w:div w:id="321127408">
      <w:bodyDiv w:val="1"/>
      <w:marLeft w:val="0"/>
      <w:marRight w:val="0"/>
      <w:marTop w:val="0"/>
      <w:marBottom w:val="0"/>
      <w:divBdr>
        <w:top w:val="none" w:sz="0" w:space="0" w:color="auto"/>
        <w:left w:val="none" w:sz="0" w:space="0" w:color="auto"/>
        <w:bottom w:val="none" w:sz="0" w:space="0" w:color="auto"/>
        <w:right w:val="none" w:sz="0" w:space="0" w:color="auto"/>
      </w:divBdr>
    </w:div>
    <w:div w:id="396514648">
      <w:bodyDiv w:val="1"/>
      <w:marLeft w:val="0"/>
      <w:marRight w:val="0"/>
      <w:marTop w:val="0"/>
      <w:marBottom w:val="0"/>
      <w:divBdr>
        <w:top w:val="none" w:sz="0" w:space="0" w:color="auto"/>
        <w:left w:val="none" w:sz="0" w:space="0" w:color="auto"/>
        <w:bottom w:val="none" w:sz="0" w:space="0" w:color="auto"/>
        <w:right w:val="none" w:sz="0" w:space="0" w:color="auto"/>
      </w:divBdr>
    </w:div>
    <w:div w:id="448739037">
      <w:bodyDiv w:val="1"/>
      <w:marLeft w:val="0"/>
      <w:marRight w:val="0"/>
      <w:marTop w:val="0"/>
      <w:marBottom w:val="0"/>
      <w:divBdr>
        <w:top w:val="none" w:sz="0" w:space="0" w:color="auto"/>
        <w:left w:val="none" w:sz="0" w:space="0" w:color="auto"/>
        <w:bottom w:val="none" w:sz="0" w:space="0" w:color="auto"/>
        <w:right w:val="none" w:sz="0" w:space="0" w:color="auto"/>
      </w:divBdr>
    </w:div>
    <w:div w:id="484668162">
      <w:bodyDiv w:val="1"/>
      <w:marLeft w:val="0"/>
      <w:marRight w:val="0"/>
      <w:marTop w:val="0"/>
      <w:marBottom w:val="0"/>
      <w:divBdr>
        <w:top w:val="none" w:sz="0" w:space="0" w:color="auto"/>
        <w:left w:val="none" w:sz="0" w:space="0" w:color="auto"/>
        <w:bottom w:val="none" w:sz="0" w:space="0" w:color="auto"/>
        <w:right w:val="none" w:sz="0" w:space="0" w:color="auto"/>
      </w:divBdr>
    </w:div>
    <w:div w:id="550774161">
      <w:bodyDiv w:val="1"/>
      <w:marLeft w:val="0"/>
      <w:marRight w:val="0"/>
      <w:marTop w:val="0"/>
      <w:marBottom w:val="0"/>
      <w:divBdr>
        <w:top w:val="none" w:sz="0" w:space="0" w:color="auto"/>
        <w:left w:val="none" w:sz="0" w:space="0" w:color="auto"/>
        <w:bottom w:val="none" w:sz="0" w:space="0" w:color="auto"/>
        <w:right w:val="none" w:sz="0" w:space="0" w:color="auto"/>
      </w:divBdr>
    </w:div>
    <w:div w:id="642546992">
      <w:bodyDiv w:val="1"/>
      <w:marLeft w:val="0"/>
      <w:marRight w:val="0"/>
      <w:marTop w:val="0"/>
      <w:marBottom w:val="0"/>
      <w:divBdr>
        <w:top w:val="none" w:sz="0" w:space="0" w:color="auto"/>
        <w:left w:val="none" w:sz="0" w:space="0" w:color="auto"/>
        <w:bottom w:val="none" w:sz="0" w:space="0" w:color="auto"/>
        <w:right w:val="none" w:sz="0" w:space="0" w:color="auto"/>
      </w:divBdr>
    </w:div>
    <w:div w:id="653290509">
      <w:bodyDiv w:val="1"/>
      <w:marLeft w:val="0"/>
      <w:marRight w:val="0"/>
      <w:marTop w:val="0"/>
      <w:marBottom w:val="0"/>
      <w:divBdr>
        <w:top w:val="none" w:sz="0" w:space="0" w:color="auto"/>
        <w:left w:val="none" w:sz="0" w:space="0" w:color="auto"/>
        <w:bottom w:val="none" w:sz="0" w:space="0" w:color="auto"/>
        <w:right w:val="none" w:sz="0" w:space="0" w:color="auto"/>
      </w:divBdr>
    </w:div>
    <w:div w:id="730349731">
      <w:bodyDiv w:val="1"/>
      <w:marLeft w:val="0"/>
      <w:marRight w:val="0"/>
      <w:marTop w:val="0"/>
      <w:marBottom w:val="0"/>
      <w:divBdr>
        <w:top w:val="none" w:sz="0" w:space="0" w:color="auto"/>
        <w:left w:val="none" w:sz="0" w:space="0" w:color="auto"/>
        <w:bottom w:val="none" w:sz="0" w:space="0" w:color="auto"/>
        <w:right w:val="none" w:sz="0" w:space="0" w:color="auto"/>
      </w:divBdr>
    </w:div>
    <w:div w:id="745954124">
      <w:bodyDiv w:val="1"/>
      <w:marLeft w:val="0"/>
      <w:marRight w:val="0"/>
      <w:marTop w:val="0"/>
      <w:marBottom w:val="0"/>
      <w:divBdr>
        <w:top w:val="none" w:sz="0" w:space="0" w:color="auto"/>
        <w:left w:val="none" w:sz="0" w:space="0" w:color="auto"/>
        <w:bottom w:val="none" w:sz="0" w:space="0" w:color="auto"/>
        <w:right w:val="none" w:sz="0" w:space="0" w:color="auto"/>
      </w:divBdr>
    </w:div>
    <w:div w:id="807280989">
      <w:bodyDiv w:val="1"/>
      <w:marLeft w:val="0"/>
      <w:marRight w:val="0"/>
      <w:marTop w:val="0"/>
      <w:marBottom w:val="0"/>
      <w:divBdr>
        <w:top w:val="none" w:sz="0" w:space="0" w:color="auto"/>
        <w:left w:val="none" w:sz="0" w:space="0" w:color="auto"/>
        <w:bottom w:val="none" w:sz="0" w:space="0" w:color="auto"/>
        <w:right w:val="none" w:sz="0" w:space="0" w:color="auto"/>
      </w:divBdr>
    </w:div>
    <w:div w:id="823357267">
      <w:bodyDiv w:val="1"/>
      <w:marLeft w:val="0"/>
      <w:marRight w:val="0"/>
      <w:marTop w:val="0"/>
      <w:marBottom w:val="0"/>
      <w:divBdr>
        <w:top w:val="none" w:sz="0" w:space="0" w:color="auto"/>
        <w:left w:val="none" w:sz="0" w:space="0" w:color="auto"/>
        <w:bottom w:val="none" w:sz="0" w:space="0" w:color="auto"/>
        <w:right w:val="none" w:sz="0" w:space="0" w:color="auto"/>
      </w:divBdr>
    </w:div>
    <w:div w:id="829054846">
      <w:bodyDiv w:val="1"/>
      <w:marLeft w:val="0"/>
      <w:marRight w:val="0"/>
      <w:marTop w:val="0"/>
      <w:marBottom w:val="0"/>
      <w:divBdr>
        <w:top w:val="none" w:sz="0" w:space="0" w:color="auto"/>
        <w:left w:val="none" w:sz="0" w:space="0" w:color="auto"/>
        <w:bottom w:val="none" w:sz="0" w:space="0" w:color="auto"/>
        <w:right w:val="none" w:sz="0" w:space="0" w:color="auto"/>
      </w:divBdr>
    </w:div>
    <w:div w:id="855968889">
      <w:bodyDiv w:val="1"/>
      <w:marLeft w:val="0"/>
      <w:marRight w:val="0"/>
      <w:marTop w:val="0"/>
      <w:marBottom w:val="0"/>
      <w:divBdr>
        <w:top w:val="none" w:sz="0" w:space="0" w:color="auto"/>
        <w:left w:val="none" w:sz="0" w:space="0" w:color="auto"/>
        <w:bottom w:val="none" w:sz="0" w:space="0" w:color="auto"/>
        <w:right w:val="none" w:sz="0" w:space="0" w:color="auto"/>
      </w:divBdr>
    </w:div>
    <w:div w:id="921835186">
      <w:bodyDiv w:val="1"/>
      <w:marLeft w:val="0"/>
      <w:marRight w:val="0"/>
      <w:marTop w:val="0"/>
      <w:marBottom w:val="0"/>
      <w:divBdr>
        <w:top w:val="none" w:sz="0" w:space="0" w:color="auto"/>
        <w:left w:val="none" w:sz="0" w:space="0" w:color="auto"/>
        <w:bottom w:val="none" w:sz="0" w:space="0" w:color="auto"/>
        <w:right w:val="none" w:sz="0" w:space="0" w:color="auto"/>
      </w:divBdr>
    </w:div>
    <w:div w:id="940799562">
      <w:bodyDiv w:val="1"/>
      <w:marLeft w:val="0"/>
      <w:marRight w:val="0"/>
      <w:marTop w:val="0"/>
      <w:marBottom w:val="0"/>
      <w:divBdr>
        <w:top w:val="none" w:sz="0" w:space="0" w:color="auto"/>
        <w:left w:val="none" w:sz="0" w:space="0" w:color="auto"/>
        <w:bottom w:val="none" w:sz="0" w:space="0" w:color="auto"/>
        <w:right w:val="none" w:sz="0" w:space="0" w:color="auto"/>
      </w:divBdr>
    </w:div>
    <w:div w:id="957637813">
      <w:bodyDiv w:val="1"/>
      <w:marLeft w:val="0"/>
      <w:marRight w:val="0"/>
      <w:marTop w:val="0"/>
      <w:marBottom w:val="0"/>
      <w:divBdr>
        <w:top w:val="none" w:sz="0" w:space="0" w:color="auto"/>
        <w:left w:val="none" w:sz="0" w:space="0" w:color="auto"/>
        <w:bottom w:val="none" w:sz="0" w:space="0" w:color="auto"/>
        <w:right w:val="none" w:sz="0" w:space="0" w:color="auto"/>
      </w:divBdr>
    </w:div>
    <w:div w:id="968122291">
      <w:bodyDiv w:val="1"/>
      <w:marLeft w:val="0"/>
      <w:marRight w:val="0"/>
      <w:marTop w:val="0"/>
      <w:marBottom w:val="0"/>
      <w:divBdr>
        <w:top w:val="none" w:sz="0" w:space="0" w:color="auto"/>
        <w:left w:val="none" w:sz="0" w:space="0" w:color="auto"/>
        <w:bottom w:val="none" w:sz="0" w:space="0" w:color="auto"/>
        <w:right w:val="none" w:sz="0" w:space="0" w:color="auto"/>
      </w:divBdr>
    </w:div>
    <w:div w:id="1023553267">
      <w:bodyDiv w:val="1"/>
      <w:marLeft w:val="0"/>
      <w:marRight w:val="0"/>
      <w:marTop w:val="0"/>
      <w:marBottom w:val="0"/>
      <w:divBdr>
        <w:top w:val="none" w:sz="0" w:space="0" w:color="auto"/>
        <w:left w:val="none" w:sz="0" w:space="0" w:color="auto"/>
        <w:bottom w:val="none" w:sz="0" w:space="0" w:color="auto"/>
        <w:right w:val="none" w:sz="0" w:space="0" w:color="auto"/>
      </w:divBdr>
    </w:div>
    <w:div w:id="1033534026">
      <w:bodyDiv w:val="1"/>
      <w:marLeft w:val="0"/>
      <w:marRight w:val="0"/>
      <w:marTop w:val="0"/>
      <w:marBottom w:val="0"/>
      <w:divBdr>
        <w:top w:val="none" w:sz="0" w:space="0" w:color="auto"/>
        <w:left w:val="none" w:sz="0" w:space="0" w:color="auto"/>
        <w:bottom w:val="none" w:sz="0" w:space="0" w:color="auto"/>
        <w:right w:val="none" w:sz="0" w:space="0" w:color="auto"/>
      </w:divBdr>
      <w:divsChild>
        <w:div w:id="1368720035">
          <w:marLeft w:val="0"/>
          <w:marRight w:val="0"/>
          <w:marTop w:val="120"/>
          <w:marBottom w:val="0"/>
          <w:divBdr>
            <w:top w:val="none" w:sz="0" w:space="0" w:color="auto"/>
            <w:left w:val="none" w:sz="0" w:space="0" w:color="auto"/>
            <w:bottom w:val="none" w:sz="0" w:space="0" w:color="auto"/>
            <w:right w:val="none" w:sz="0" w:space="0" w:color="auto"/>
          </w:divBdr>
        </w:div>
        <w:div w:id="678118146">
          <w:marLeft w:val="1134"/>
          <w:marRight w:val="0"/>
          <w:marTop w:val="60"/>
          <w:marBottom w:val="0"/>
          <w:divBdr>
            <w:top w:val="none" w:sz="0" w:space="0" w:color="auto"/>
            <w:left w:val="none" w:sz="0" w:space="0" w:color="auto"/>
            <w:bottom w:val="none" w:sz="0" w:space="0" w:color="auto"/>
            <w:right w:val="none" w:sz="0" w:space="0" w:color="auto"/>
          </w:divBdr>
        </w:div>
        <w:div w:id="1284968317">
          <w:marLeft w:val="1134"/>
          <w:marRight w:val="0"/>
          <w:marTop w:val="60"/>
          <w:marBottom w:val="0"/>
          <w:divBdr>
            <w:top w:val="none" w:sz="0" w:space="0" w:color="auto"/>
            <w:left w:val="none" w:sz="0" w:space="0" w:color="auto"/>
            <w:bottom w:val="none" w:sz="0" w:space="0" w:color="auto"/>
            <w:right w:val="none" w:sz="0" w:space="0" w:color="auto"/>
          </w:divBdr>
        </w:div>
        <w:div w:id="745148635">
          <w:marLeft w:val="1134"/>
          <w:marRight w:val="0"/>
          <w:marTop w:val="60"/>
          <w:marBottom w:val="0"/>
          <w:divBdr>
            <w:top w:val="none" w:sz="0" w:space="0" w:color="auto"/>
            <w:left w:val="none" w:sz="0" w:space="0" w:color="auto"/>
            <w:bottom w:val="none" w:sz="0" w:space="0" w:color="auto"/>
            <w:right w:val="none" w:sz="0" w:space="0" w:color="auto"/>
          </w:divBdr>
        </w:div>
        <w:div w:id="1059211217">
          <w:marLeft w:val="0"/>
          <w:marRight w:val="0"/>
          <w:marTop w:val="120"/>
          <w:marBottom w:val="0"/>
          <w:divBdr>
            <w:top w:val="none" w:sz="0" w:space="0" w:color="auto"/>
            <w:left w:val="none" w:sz="0" w:space="0" w:color="auto"/>
            <w:bottom w:val="none" w:sz="0" w:space="0" w:color="auto"/>
            <w:right w:val="none" w:sz="0" w:space="0" w:color="auto"/>
          </w:divBdr>
        </w:div>
      </w:divsChild>
    </w:div>
    <w:div w:id="1038696879">
      <w:bodyDiv w:val="1"/>
      <w:marLeft w:val="0"/>
      <w:marRight w:val="0"/>
      <w:marTop w:val="0"/>
      <w:marBottom w:val="0"/>
      <w:divBdr>
        <w:top w:val="none" w:sz="0" w:space="0" w:color="auto"/>
        <w:left w:val="none" w:sz="0" w:space="0" w:color="auto"/>
        <w:bottom w:val="none" w:sz="0" w:space="0" w:color="auto"/>
        <w:right w:val="none" w:sz="0" w:space="0" w:color="auto"/>
      </w:divBdr>
    </w:div>
    <w:div w:id="1040209698">
      <w:bodyDiv w:val="1"/>
      <w:marLeft w:val="0"/>
      <w:marRight w:val="0"/>
      <w:marTop w:val="0"/>
      <w:marBottom w:val="0"/>
      <w:divBdr>
        <w:top w:val="none" w:sz="0" w:space="0" w:color="auto"/>
        <w:left w:val="none" w:sz="0" w:space="0" w:color="auto"/>
        <w:bottom w:val="none" w:sz="0" w:space="0" w:color="auto"/>
        <w:right w:val="none" w:sz="0" w:space="0" w:color="auto"/>
      </w:divBdr>
    </w:div>
    <w:div w:id="1046104671">
      <w:bodyDiv w:val="1"/>
      <w:marLeft w:val="0"/>
      <w:marRight w:val="0"/>
      <w:marTop w:val="0"/>
      <w:marBottom w:val="0"/>
      <w:divBdr>
        <w:top w:val="none" w:sz="0" w:space="0" w:color="auto"/>
        <w:left w:val="none" w:sz="0" w:space="0" w:color="auto"/>
        <w:bottom w:val="none" w:sz="0" w:space="0" w:color="auto"/>
        <w:right w:val="none" w:sz="0" w:space="0" w:color="auto"/>
      </w:divBdr>
    </w:div>
    <w:div w:id="1151747286">
      <w:bodyDiv w:val="1"/>
      <w:marLeft w:val="0"/>
      <w:marRight w:val="0"/>
      <w:marTop w:val="0"/>
      <w:marBottom w:val="0"/>
      <w:divBdr>
        <w:top w:val="none" w:sz="0" w:space="0" w:color="auto"/>
        <w:left w:val="none" w:sz="0" w:space="0" w:color="auto"/>
        <w:bottom w:val="none" w:sz="0" w:space="0" w:color="auto"/>
        <w:right w:val="none" w:sz="0" w:space="0" w:color="auto"/>
      </w:divBdr>
    </w:div>
    <w:div w:id="1192106688">
      <w:bodyDiv w:val="1"/>
      <w:marLeft w:val="0"/>
      <w:marRight w:val="0"/>
      <w:marTop w:val="0"/>
      <w:marBottom w:val="0"/>
      <w:divBdr>
        <w:top w:val="none" w:sz="0" w:space="0" w:color="auto"/>
        <w:left w:val="none" w:sz="0" w:space="0" w:color="auto"/>
        <w:bottom w:val="none" w:sz="0" w:space="0" w:color="auto"/>
        <w:right w:val="none" w:sz="0" w:space="0" w:color="auto"/>
      </w:divBdr>
    </w:div>
    <w:div w:id="1223371181">
      <w:bodyDiv w:val="1"/>
      <w:marLeft w:val="0"/>
      <w:marRight w:val="0"/>
      <w:marTop w:val="0"/>
      <w:marBottom w:val="0"/>
      <w:divBdr>
        <w:top w:val="none" w:sz="0" w:space="0" w:color="auto"/>
        <w:left w:val="none" w:sz="0" w:space="0" w:color="auto"/>
        <w:bottom w:val="none" w:sz="0" w:space="0" w:color="auto"/>
        <w:right w:val="none" w:sz="0" w:space="0" w:color="auto"/>
      </w:divBdr>
    </w:div>
    <w:div w:id="1305771999">
      <w:bodyDiv w:val="1"/>
      <w:marLeft w:val="0"/>
      <w:marRight w:val="0"/>
      <w:marTop w:val="0"/>
      <w:marBottom w:val="0"/>
      <w:divBdr>
        <w:top w:val="none" w:sz="0" w:space="0" w:color="auto"/>
        <w:left w:val="none" w:sz="0" w:space="0" w:color="auto"/>
        <w:bottom w:val="none" w:sz="0" w:space="0" w:color="auto"/>
        <w:right w:val="none" w:sz="0" w:space="0" w:color="auto"/>
      </w:divBdr>
    </w:div>
    <w:div w:id="1306549278">
      <w:bodyDiv w:val="1"/>
      <w:marLeft w:val="0"/>
      <w:marRight w:val="0"/>
      <w:marTop w:val="0"/>
      <w:marBottom w:val="0"/>
      <w:divBdr>
        <w:top w:val="none" w:sz="0" w:space="0" w:color="auto"/>
        <w:left w:val="none" w:sz="0" w:space="0" w:color="auto"/>
        <w:bottom w:val="none" w:sz="0" w:space="0" w:color="auto"/>
        <w:right w:val="none" w:sz="0" w:space="0" w:color="auto"/>
      </w:divBdr>
    </w:div>
    <w:div w:id="1310741882">
      <w:bodyDiv w:val="1"/>
      <w:marLeft w:val="0"/>
      <w:marRight w:val="0"/>
      <w:marTop w:val="0"/>
      <w:marBottom w:val="0"/>
      <w:divBdr>
        <w:top w:val="none" w:sz="0" w:space="0" w:color="auto"/>
        <w:left w:val="none" w:sz="0" w:space="0" w:color="auto"/>
        <w:bottom w:val="none" w:sz="0" w:space="0" w:color="auto"/>
        <w:right w:val="none" w:sz="0" w:space="0" w:color="auto"/>
      </w:divBdr>
    </w:div>
    <w:div w:id="1323436928">
      <w:bodyDiv w:val="1"/>
      <w:marLeft w:val="0"/>
      <w:marRight w:val="0"/>
      <w:marTop w:val="0"/>
      <w:marBottom w:val="0"/>
      <w:divBdr>
        <w:top w:val="none" w:sz="0" w:space="0" w:color="auto"/>
        <w:left w:val="none" w:sz="0" w:space="0" w:color="auto"/>
        <w:bottom w:val="none" w:sz="0" w:space="0" w:color="auto"/>
        <w:right w:val="none" w:sz="0" w:space="0" w:color="auto"/>
      </w:divBdr>
    </w:div>
    <w:div w:id="1346903694">
      <w:bodyDiv w:val="1"/>
      <w:marLeft w:val="0"/>
      <w:marRight w:val="0"/>
      <w:marTop w:val="0"/>
      <w:marBottom w:val="0"/>
      <w:divBdr>
        <w:top w:val="none" w:sz="0" w:space="0" w:color="auto"/>
        <w:left w:val="none" w:sz="0" w:space="0" w:color="auto"/>
        <w:bottom w:val="none" w:sz="0" w:space="0" w:color="auto"/>
        <w:right w:val="none" w:sz="0" w:space="0" w:color="auto"/>
      </w:divBdr>
    </w:div>
    <w:div w:id="1352491726">
      <w:bodyDiv w:val="1"/>
      <w:marLeft w:val="0"/>
      <w:marRight w:val="0"/>
      <w:marTop w:val="0"/>
      <w:marBottom w:val="0"/>
      <w:divBdr>
        <w:top w:val="none" w:sz="0" w:space="0" w:color="auto"/>
        <w:left w:val="none" w:sz="0" w:space="0" w:color="auto"/>
        <w:bottom w:val="none" w:sz="0" w:space="0" w:color="auto"/>
        <w:right w:val="none" w:sz="0" w:space="0" w:color="auto"/>
      </w:divBdr>
    </w:div>
    <w:div w:id="1393313491">
      <w:bodyDiv w:val="1"/>
      <w:marLeft w:val="0"/>
      <w:marRight w:val="0"/>
      <w:marTop w:val="0"/>
      <w:marBottom w:val="0"/>
      <w:divBdr>
        <w:top w:val="none" w:sz="0" w:space="0" w:color="auto"/>
        <w:left w:val="none" w:sz="0" w:space="0" w:color="auto"/>
        <w:bottom w:val="none" w:sz="0" w:space="0" w:color="auto"/>
        <w:right w:val="none" w:sz="0" w:space="0" w:color="auto"/>
      </w:divBdr>
    </w:div>
    <w:div w:id="1407142045">
      <w:bodyDiv w:val="1"/>
      <w:marLeft w:val="0"/>
      <w:marRight w:val="0"/>
      <w:marTop w:val="0"/>
      <w:marBottom w:val="0"/>
      <w:divBdr>
        <w:top w:val="none" w:sz="0" w:space="0" w:color="auto"/>
        <w:left w:val="none" w:sz="0" w:space="0" w:color="auto"/>
        <w:bottom w:val="none" w:sz="0" w:space="0" w:color="auto"/>
        <w:right w:val="none" w:sz="0" w:space="0" w:color="auto"/>
      </w:divBdr>
      <w:divsChild>
        <w:div w:id="1548909325">
          <w:marLeft w:val="0"/>
          <w:marRight w:val="0"/>
          <w:marTop w:val="60"/>
          <w:marBottom w:val="0"/>
          <w:divBdr>
            <w:top w:val="none" w:sz="0" w:space="0" w:color="auto"/>
            <w:left w:val="none" w:sz="0" w:space="0" w:color="auto"/>
            <w:bottom w:val="none" w:sz="0" w:space="0" w:color="auto"/>
            <w:right w:val="none" w:sz="0" w:space="0" w:color="auto"/>
          </w:divBdr>
        </w:div>
      </w:divsChild>
    </w:div>
    <w:div w:id="1424448535">
      <w:bodyDiv w:val="1"/>
      <w:marLeft w:val="0"/>
      <w:marRight w:val="0"/>
      <w:marTop w:val="0"/>
      <w:marBottom w:val="0"/>
      <w:divBdr>
        <w:top w:val="none" w:sz="0" w:space="0" w:color="auto"/>
        <w:left w:val="none" w:sz="0" w:space="0" w:color="auto"/>
        <w:bottom w:val="none" w:sz="0" w:space="0" w:color="auto"/>
        <w:right w:val="none" w:sz="0" w:space="0" w:color="auto"/>
      </w:divBdr>
    </w:div>
    <w:div w:id="1456749406">
      <w:bodyDiv w:val="1"/>
      <w:marLeft w:val="0"/>
      <w:marRight w:val="0"/>
      <w:marTop w:val="0"/>
      <w:marBottom w:val="0"/>
      <w:divBdr>
        <w:top w:val="none" w:sz="0" w:space="0" w:color="auto"/>
        <w:left w:val="none" w:sz="0" w:space="0" w:color="auto"/>
        <w:bottom w:val="none" w:sz="0" w:space="0" w:color="auto"/>
        <w:right w:val="none" w:sz="0" w:space="0" w:color="auto"/>
      </w:divBdr>
    </w:div>
    <w:div w:id="1590309143">
      <w:bodyDiv w:val="1"/>
      <w:marLeft w:val="0"/>
      <w:marRight w:val="0"/>
      <w:marTop w:val="0"/>
      <w:marBottom w:val="0"/>
      <w:divBdr>
        <w:top w:val="none" w:sz="0" w:space="0" w:color="auto"/>
        <w:left w:val="none" w:sz="0" w:space="0" w:color="auto"/>
        <w:bottom w:val="none" w:sz="0" w:space="0" w:color="auto"/>
        <w:right w:val="none" w:sz="0" w:space="0" w:color="auto"/>
      </w:divBdr>
    </w:div>
    <w:div w:id="1606578421">
      <w:bodyDiv w:val="1"/>
      <w:marLeft w:val="0"/>
      <w:marRight w:val="0"/>
      <w:marTop w:val="0"/>
      <w:marBottom w:val="0"/>
      <w:divBdr>
        <w:top w:val="none" w:sz="0" w:space="0" w:color="auto"/>
        <w:left w:val="none" w:sz="0" w:space="0" w:color="auto"/>
        <w:bottom w:val="none" w:sz="0" w:space="0" w:color="auto"/>
        <w:right w:val="none" w:sz="0" w:space="0" w:color="auto"/>
      </w:divBdr>
    </w:div>
    <w:div w:id="1661037886">
      <w:bodyDiv w:val="1"/>
      <w:marLeft w:val="0"/>
      <w:marRight w:val="0"/>
      <w:marTop w:val="0"/>
      <w:marBottom w:val="0"/>
      <w:divBdr>
        <w:top w:val="none" w:sz="0" w:space="0" w:color="auto"/>
        <w:left w:val="none" w:sz="0" w:space="0" w:color="auto"/>
        <w:bottom w:val="none" w:sz="0" w:space="0" w:color="auto"/>
        <w:right w:val="none" w:sz="0" w:space="0" w:color="auto"/>
      </w:divBdr>
    </w:div>
    <w:div w:id="1669407566">
      <w:bodyDiv w:val="1"/>
      <w:marLeft w:val="0"/>
      <w:marRight w:val="0"/>
      <w:marTop w:val="0"/>
      <w:marBottom w:val="0"/>
      <w:divBdr>
        <w:top w:val="none" w:sz="0" w:space="0" w:color="auto"/>
        <w:left w:val="none" w:sz="0" w:space="0" w:color="auto"/>
        <w:bottom w:val="none" w:sz="0" w:space="0" w:color="auto"/>
        <w:right w:val="none" w:sz="0" w:space="0" w:color="auto"/>
      </w:divBdr>
    </w:div>
    <w:div w:id="1709913063">
      <w:bodyDiv w:val="1"/>
      <w:marLeft w:val="0"/>
      <w:marRight w:val="0"/>
      <w:marTop w:val="0"/>
      <w:marBottom w:val="0"/>
      <w:divBdr>
        <w:top w:val="none" w:sz="0" w:space="0" w:color="auto"/>
        <w:left w:val="none" w:sz="0" w:space="0" w:color="auto"/>
        <w:bottom w:val="none" w:sz="0" w:space="0" w:color="auto"/>
        <w:right w:val="none" w:sz="0" w:space="0" w:color="auto"/>
      </w:divBdr>
    </w:div>
    <w:div w:id="1737512966">
      <w:bodyDiv w:val="1"/>
      <w:marLeft w:val="0"/>
      <w:marRight w:val="0"/>
      <w:marTop w:val="0"/>
      <w:marBottom w:val="0"/>
      <w:divBdr>
        <w:top w:val="none" w:sz="0" w:space="0" w:color="auto"/>
        <w:left w:val="none" w:sz="0" w:space="0" w:color="auto"/>
        <w:bottom w:val="none" w:sz="0" w:space="0" w:color="auto"/>
        <w:right w:val="none" w:sz="0" w:space="0" w:color="auto"/>
      </w:divBdr>
    </w:div>
    <w:div w:id="1751736838">
      <w:bodyDiv w:val="1"/>
      <w:marLeft w:val="0"/>
      <w:marRight w:val="0"/>
      <w:marTop w:val="0"/>
      <w:marBottom w:val="0"/>
      <w:divBdr>
        <w:top w:val="none" w:sz="0" w:space="0" w:color="auto"/>
        <w:left w:val="none" w:sz="0" w:space="0" w:color="auto"/>
        <w:bottom w:val="none" w:sz="0" w:space="0" w:color="auto"/>
        <w:right w:val="none" w:sz="0" w:space="0" w:color="auto"/>
      </w:divBdr>
    </w:div>
    <w:div w:id="1791127866">
      <w:bodyDiv w:val="1"/>
      <w:marLeft w:val="0"/>
      <w:marRight w:val="0"/>
      <w:marTop w:val="0"/>
      <w:marBottom w:val="0"/>
      <w:divBdr>
        <w:top w:val="none" w:sz="0" w:space="0" w:color="auto"/>
        <w:left w:val="none" w:sz="0" w:space="0" w:color="auto"/>
        <w:bottom w:val="none" w:sz="0" w:space="0" w:color="auto"/>
        <w:right w:val="none" w:sz="0" w:space="0" w:color="auto"/>
      </w:divBdr>
    </w:div>
    <w:div w:id="1830706152">
      <w:bodyDiv w:val="1"/>
      <w:marLeft w:val="0"/>
      <w:marRight w:val="0"/>
      <w:marTop w:val="0"/>
      <w:marBottom w:val="0"/>
      <w:divBdr>
        <w:top w:val="none" w:sz="0" w:space="0" w:color="auto"/>
        <w:left w:val="none" w:sz="0" w:space="0" w:color="auto"/>
        <w:bottom w:val="none" w:sz="0" w:space="0" w:color="auto"/>
        <w:right w:val="none" w:sz="0" w:space="0" w:color="auto"/>
      </w:divBdr>
    </w:div>
    <w:div w:id="1876892844">
      <w:bodyDiv w:val="1"/>
      <w:marLeft w:val="0"/>
      <w:marRight w:val="0"/>
      <w:marTop w:val="0"/>
      <w:marBottom w:val="0"/>
      <w:divBdr>
        <w:top w:val="none" w:sz="0" w:space="0" w:color="auto"/>
        <w:left w:val="none" w:sz="0" w:space="0" w:color="auto"/>
        <w:bottom w:val="none" w:sz="0" w:space="0" w:color="auto"/>
        <w:right w:val="none" w:sz="0" w:space="0" w:color="auto"/>
      </w:divBdr>
    </w:div>
    <w:div w:id="1896768451">
      <w:bodyDiv w:val="1"/>
      <w:marLeft w:val="0"/>
      <w:marRight w:val="0"/>
      <w:marTop w:val="0"/>
      <w:marBottom w:val="0"/>
      <w:divBdr>
        <w:top w:val="none" w:sz="0" w:space="0" w:color="auto"/>
        <w:left w:val="none" w:sz="0" w:space="0" w:color="auto"/>
        <w:bottom w:val="none" w:sz="0" w:space="0" w:color="auto"/>
        <w:right w:val="none" w:sz="0" w:space="0" w:color="auto"/>
      </w:divBdr>
    </w:div>
    <w:div w:id="1976060580">
      <w:bodyDiv w:val="1"/>
      <w:marLeft w:val="0"/>
      <w:marRight w:val="0"/>
      <w:marTop w:val="0"/>
      <w:marBottom w:val="0"/>
      <w:divBdr>
        <w:top w:val="none" w:sz="0" w:space="0" w:color="auto"/>
        <w:left w:val="none" w:sz="0" w:space="0" w:color="auto"/>
        <w:bottom w:val="none" w:sz="0" w:space="0" w:color="auto"/>
        <w:right w:val="none" w:sz="0" w:space="0" w:color="auto"/>
      </w:divBdr>
    </w:div>
    <w:div w:id="2069838705">
      <w:bodyDiv w:val="1"/>
      <w:marLeft w:val="0"/>
      <w:marRight w:val="0"/>
      <w:marTop w:val="0"/>
      <w:marBottom w:val="0"/>
      <w:divBdr>
        <w:top w:val="none" w:sz="0" w:space="0" w:color="auto"/>
        <w:left w:val="none" w:sz="0" w:space="0" w:color="auto"/>
        <w:bottom w:val="none" w:sz="0" w:space="0" w:color="auto"/>
        <w:right w:val="none" w:sz="0" w:space="0" w:color="auto"/>
      </w:divBdr>
    </w:div>
    <w:div w:id="2094932068">
      <w:bodyDiv w:val="1"/>
      <w:marLeft w:val="0"/>
      <w:marRight w:val="0"/>
      <w:marTop w:val="0"/>
      <w:marBottom w:val="0"/>
      <w:divBdr>
        <w:top w:val="none" w:sz="0" w:space="0" w:color="auto"/>
        <w:left w:val="none" w:sz="0" w:space="0" w:color="auto"/>
        <w:bottom w:val="none" w:sz="0" w:space="0" w:color="auto"/>
        <w:right w:val="none" w:sz="0" w:space="0" w:color="auto"/>
      </w:divBdr>
    </w:div>
    <w:div w:id="21260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1982%20%281%29%20SA%207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cgi-bin/LawCite?cit=1953%20%282%29%20SA%20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7E76-4EB9-478B-9BC5-A890E484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3088</TotalTime>
  <Pages>29</Pages>
  <Words>6506</Words>
  <Characters>37087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lna</dc:creator>
  <cp:lastModifiedBy>Mary Bruce</cp:lastModifiedBy>
  <cp:revision>33</cp:revision>
  <cp:lastPrinted>2022-03-09T12:21:00Z</cp:lastPrinted>
  <dcterms:created xsi:type="dcterms:W3CDTF">2022-05-11T11:49:00Z</dcterms:created>
  <dcterms:modified xsi:type="dcterms:W3CDTF">2022-12-21T15:53:00Z</dcterms:modified>
</cp:coreProperties>
</file>