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0201" w14:textId="77777777" w:rsidR="00A84844" w:rsidRDefault="00A84844" w:rsidP="00A84844">
      <w:pPr>
        <w:pStyle w:val="Header"/>
        <w:jc w:val="center"/>
        <w:rPr>
          <w:rFonts w:ascii="Arial" w:hAnsi="Arial" w:cs="Arial"/>
          <w:b/>
          <w:lang w:val="en-GB"/>
        </w:rPr>
      </w:pPr>
      <w:bookmarkStart w:id="0" w:name="_GoBack"/>
      <w:bookmarkEnd w:id="0"/>
      <w:r w:rsidRPr="00AE0666">
        <w:rPr>
          <w:b/>
          <w:noProof/>
          <w:lang w:eastAsia="en-ZA"/>
        </w:rPr>
        <w:drawing>
          <wp:inline distT="0" distB="0" distL="0" distR="0" wp14:anchorId="6DA1B3EE" wp14:editId="6F80B149">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14:paraId="58C2D45A" w14:textId="77777777" w:rsidR="00A84844" w:rsidRDefault="00A84844" w:rsidP="00A84844">
      <w:pPr>
        <w:pStyle w:val="Header"/>
        <w:jc w:val="center"/>
        <w:rPr>
          <w:rFonts w:ascii="Arial" w:hAnsi="Arial" w:cs="Arial"/>
          <w:b/>
          <w:lang w:val="en-GB"/>
        </w:rPr>
      </w:pPr>
    </w:p>
    <w:p w14:paraId="129ABF6D" w14:textId="77777777" w:rsidR="00B904EA" w:rsidRDefault="00B904EA" w:rsidP="00A84844">
      <w:pPr>
        <w:pStyle w:val="Header"/>
        <w:spacing w:line="276" w:lineRule="auto"/>
        <w:jc w:val="center"/>
        <w:rPr>
          <w:rFonts w:ascii="Arial" w:hAnsi="Arial" w:cs="Arial"/>
          <w:b/>
          <w:sz w:val="24"/>
          <w:szCs w:val="24"/>
          <w:lang w:val="en-GB"/>
        </w:rPr>
      </w:pPr>
      <w:r>
        <w:rPr>
          <w:rFonts w:ascii="Arial" w:hAnsi="Arial" w:cs="Arial"/>
          <w:b/>
          <w:sz w:val="24"/>
          <w:szCs w:val="24"/>
          <w:lang w:val="en-GB"/>
        </w:rPr>
        <w:t>IN THE HIGH COURT OF SOUTH AFRICA</w:t>
      </w:r>
    </w:p>
    <w:p w14:paraId="10FB7F8C" w14:textId="4FA0EC68" w:rsidR="00A84844" w:rsidRPr="00AE0666" w:rsidRDefault="00B904EA" w:rsidP="00A84844">
      <w:pPr>
        <w:pStyle w:val="Header"/>
        <w:spacing w:line="276" w:lineRule="auto"/>
        <w:jc w:val="center"/>
        <w:rPr>
          <w:rFonts w:ascii="Arial" w:hAnsi="Arial" w:cs="Arial"/>
          <w:b/>
          <w:lang w:val="en-GB"/>
        </w:rPr>
      </w:pPr>
      <w:r>
        <w:rPr>
          <w:rFonts w:ascii="Arial" w:hAnsi="Arial" w:cs="Arial"/>
          <w:b/>
          <w:sz w:val="24"/>
          <w:szCs w:val="24"/>
          <w:lang w:val="en-GB"/>
        </w:rPr>
        <w:t>WESTERN CAPE DIVISION, CAPE TOWN</w:t>
      </w:r>
    </w:p>
    <w:p w14:paraId="1B58D562" w14:textId="77777777" w:rsidR="00A84844" w:rsidRDefault="00A84844" w:rsidP="00A84844">
      <w:pPr>
        <w:pStyle w:val="Header"/>
        <w:jc w:val="center"/>
        <w:rPr>
          <w:rFonts w:ascii="Calibri" w:hAnsi="Calibri" w:cs="Times New Roman"/>
          <w:lang w:val="en-GB"/>
        </w:rPr>
      </w:pPr>
    </w:p>
    <w:p w14:paraId="39FEDAEE" w14:textId="77777777" w:rsidR="00A84844" w:rsidRPr="0011453F" w:rsidRDefault="00A84844" w:rsidP="00A84844">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Case Number: 21528/2021                                         </w:t>
      </w:r>
    </w:p>
    <w:p w14:paraId="0121BD7F" w14:textId="77777777" w:rsidR="00A84844" w:rsidRPr="0011453F" w:rsidRDefault="00A84844" w:rsidP="00A84844">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14:paraId="066F6D3C" w14:textId="77777777" w:rsidR="00A84844" w:rsidRDefault="00A84844" w:rsidP="00A84844">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14:paraId="7BBE3DD5" w14:textId="77777777" w:rsidR="00A84844" w:rsidRDefault="00A84844" w:rsidP="00A84844">
      <w:pPr>
        <w:tabs>
          <w:tab w:val="left" w:pos="7938"/>
        </w:tabs>
        <w:jc w:val="center"/>
        <w:rPr>
          <w:rFonts w:ascii="Arial" w:hAnsi="Arial" w:cs="Arial"/>
          <w:b/>
          <w:sz w:val="24"/>
          <w:szCs w:val="24"/>
        </w:rPr>
      </w:pPr>
    </w:p>
    <w:p w14:paraId="4C571211" w14:textId="77777777" w:rsidR="00A84844" w:rsidRDefault="00A84844" w:rsidP="00A84844">
      <w:pPr>
        <w:tabs>
          <w:tab w:val="left" w:pos="7938"/>
        </w:tabs>
        <w:rPr>
          <w:rFonts w:ascii="Arial" w:hAnsi="Arial" w:cs="Arial"/>
          <w:b/>
          <w:sz w:val="24"/>
          <w:szCs w:val="24"/>
        </w:rPr>
      </w:pPr>
      <w:r>
        <w:rPr>
          <w:rFonts w:ascii="Arial" w:hAnsi="Arial" w:cs="Arial"/>
          <w:b/>
          <w:sz w:val="24"/>
          <w:szCs w:val="24"/>
        </w:rPr>
        <w:t>HYPROP INVESTMENTS LIMITED</w:t>
      </w:r>
    </w:p>
    <w:p w14:paraId="435CF02A" w14:textId="77777777" w:rsidR="00A84844" w:rsidRPr="00A84844" w:rsidRDefault="00A84844" w:rsidP="00A84844">
      <w:pPr>
        <w:tabs>
          <w:tab w:val="left" w:pos="7938"/>
        </w:tabs>
        <w:rPr>
          <w:rFonts w:ascii="Arial" w:hAnsi="Arial" w:cs="Arial"/>
          <w:sz w:val="24"/>
          <w:szCs w:val="24"/>
        </w:rPr>
      </w:pPr>
      <w:r>
        <w:rPr>
          <w:rFonts w:ascii="Arial" w:hAnsi="Arial" w:cs="Arial"/>
          <w:sz w:val="24"/>
          <w:szCs w:val="24"/>
        </w:rPr>
        <w:t>(Registration Number: 1987/005284/06)</w:t>
      </w:r>
      <w:r>
        <w:rPr>
          <w:rFonts w:ascii="Arial" w:hAnsi="Arial" w:cs="Arial"/>
          <w:sz w:val="24"/>
          <w:szCs w:val="24"/>
        </w:rPr>
        <w:tab/>
        <w:t>Applicant</w:t>
      </w:r>
    </w:p>
    <w:p w14:paraId="0E53486D" w14:textId="77777777" w:rsidR="00B904EA" w:rsidRDefault="00B904EA" w:rsidP="00A84844">
      <w:pPr>
        <w:tabs>
          <w:tab w:val="left" w:pos="7938"/>
        </w:tabs>
        <w:rPr>
          <w:rFonts w:ascii="Arial" w:hAnsi="Arial" w:cs="Arial"/>
          <w:b/>
          <w:sz w:val="24"/>
          <w:szCs w:val="24"/>
        </w:rPr>
      </w:pPr>
    </w:p>
    <w:p w14:paraId="5F765ADD" w14:textId="6B649FCC" w:rsidR="00A84844" w:rsidRDefault="00B904EA" w:rsidP="00A84844">
      <w:pPr>
        <w:tabs>
          <w:tab w:val="left" w:pos="7938"/>
        </w:tabs>
        <w:rPr>
          <w:rFonts w:ascii="Arial" w:hAnsi="Arial" w:cs="Arial"/>
          <w:b/>
          <w:sz w:val="24"/>
          <w:szCs w:val="24"/>
        </w:rPr>
      </w:pPr>
      <w:r>
        <w:rPr>
          <w:rFonts w:ascii="Arial" w:hAnsi="Arial" w:cs="Arial"/>
          <w:b/>
          <w:sz w:val="24"/>
          <w:szCs w:val="24"/>
        </w:rPr>
        <w:t>a</w:t>
      </w:r>
      <w:r w:rsidR="00A84844">
        <w:rPr>
          <w:rFonts w:ascii="Arial" w:hAnsi="Arial" w:cs="Arial"/>
          <w:b/>
          <w:sz w:val="24"/>
          <w:szCs w:val="24"/>
        </w:rPr>
        <w:t xml:space="preserve">nd </w:t>
      </w:r>
    </w:p>
    <w:p w14:paraId="3AA2535D" w14:textId="77777777" w:rsidR="00B904EA" w:rsidRDefault="00B904EA" w:rsidP="00A84844">
      <w:pPr>
        <w:tabs>
          <w:tab w:val="left" w:pos="7938"/>
        </w:tabs>
        <w:rPr>
          <w:rFonts w:ascii="Arial" w:hAnsi="Arial" w:cs="Arial"/>
          <w:b/>
          <w:sz w:val="24"/>
          <w:szCs w:val="24"/>
        </w:rPr>
      </w:pPr>
    </w:p>
    <w:p w14:paraId="5A88C7CB" w14:textId="2C0E460E" w:rsidR="00A84844" w:rsidRDefault="00A84844" w:rsidP="00A84844">
      <w:pPr>
        <w:tabs>
          <w:tab w:val="left" w:pos="7938"/>
        </w:tabs>
        <w:rPr>
          <w:rFonts w:ascii="Arial" w:hAnsi="Arial" w:cs="Arial"/>
          <w:b/>
          <w:sz w:val="24"/>
          <w:szCs w:val="24"/>
        </w:rPr>
      </w:pPr>
      <w:r>
        <w:rPr>
          <w:rFonts w:ascii="Arial" w:hAnsi="Arial" w:cs="Arial"/>
          <w:b/>
          <w:sz w:val="24"/>
          <w:szCs w:val="24"/>
        </w:rPr>
        <w:t>A &amp; M INVESTMENTS (PTY) LTD</w:t>
      </w:r>
    </w:p>
    <w:p w14:paraId="4C65AC15" w14:textId="77777777" w:rsidR="00A84844" w:rsidRDefault="00A84844" w:rsidP="00A84844">
      <w:pPr>
        <w:tabs>
          <w:tab w:val="left" w:pos="7938"/>
        </w:tabs>
        <w:rPr>
          <w:rFonts w:ascii="Arial" w:hAnsi="Arial" w:cs="Arial"/>
          <w:sz w:val="24"/>
          <w:szCs w:val="24"/>
        </w:rPr>
      </w:pPr>
      <w:r>
        <w:rPr>
          <w:rFonts w:ascii="Arial" w:hAnsi="Arial" w:cs="Arial"/>
          <w:sz w:val="24"/>
          <w:szCs w:val="24"/>
        </w:rPr>
        <w:t>(Registration Number: 2019/085864/07)</w:t>
      </w:r>
      <w:r>
        <w:rPr>
          <w:rFonts w:ascii="Arial" w:hAnsi="Arial" w:cs="Arial"/>
          <w:sz w:val="24"/>
          <w:szCs w:val="24"/>
        </w:rPr>
        <w:tab/>
        <w:t>Respondent</w:t>
      </w:r>
    </w:p>
    <w:p w14:paraId="6AE12449" w14:textId="77777777" w:rsidR="00B904EA" w:rsidRDefault="00B904EA" w:rsidP="002216A3">
      <w:pPr>
        <w:spacing w:after="0" w:line="240" w:lineRule="auto"/>
        <w:jc w:val="both"/>
        <w:rPr>
          <w:rFonts w:ascii="Arial" w:eastAsia="Calibri" w:hAnsi="Arial" w:cs="Arial"/>
          <w:sz w:val="24"/>
          <w:szCs w:val="24"/>
          <w:lang w:val="en-GB"/>
        </w:rPr>
      </w:pPr>
    </w:p>
    <w:p w14:paraId="249DCE66" w14:textId="6A938265" w:rsidR="002216A3" w:rsidRDefault="002216A3" w:rsidP="002216A3">
      <w:pPr>
        <w:spacing w:after="0" w:line="240" w:lineRule="auto"/>
        <w:jc w:val="both"/>
        <w:rPr>
          <w:rFonts w:ascii="Arial" w:eastAsia="Calibri" w:hAnsi="Arial" w:cs="Arial"/>
          <w:sz w:val="24"/>
          <w:szCs w:val="24"/>
          <w:lang w:val="en-GB"/>
        </w:rPr>
      </w:pPr>
      <w:r w:rsidRPr="00675D20">
        <w:rPr>
          <w:rFonts w:ascii="Arial" w:eastAsia="Calibri" w:hAnsi="Arial" w:cs="Arial"/>
          <w:sz w:val="24"/>
          <w:szCs w:val="24"/>
          <w:lang w:val="en-GB"/>
        </w:rPr>
        <w:t>Date of Judgment: This judgment was handed down electronically by circulation to the parties’ legal representatives by email</w:t>
      </w:r>
      <w:r>
        <w:rPr>
          <w:rFonts w:ascii="Arial" w:eastAsia="Calibri" w:hAnsi="Arial" w:cs="Arial"/>
          <w:sz w:val="24"/>
          <w:szCs w:val="24"/>
          <w:lang w:val="en-GB"/>
        </w:rPr>
        <w:t xml:space="preserve">. </w:t>
      </w:r>
      <w:r w:rsidRPr="00675D20">
        <w:rPr>
          <w:rFonts w:ascii="Arial" w:eastAsia="Calibri" w:hAnsi="Arial" w:cs="Arial"/>
          <w:sz w:val="24"/>
          <w:szCs w:val="24"/>
          <w:lang w:val="en-GB"/>
        </w:rPr>
        <w:t>The date and time for handing down judgment is deemed to be 10h00 on</w:t>
      </w:r>
      <w:r>
        <w:rPr>
          <w:rFonts w:ascii="Arial" w:eastAsia="Calibri" w:hAnsi="Arial" w:cs="Arial"/>
          <w:sz w:val="24"/>
          <w:szCs w:val="24"/>
          <w:lang w:val="en-GB"/>
        </w:rPr>
        <w:t xml:space="preserve"> 2</w:t>
      </w:r>
      <w:r w:rsidR="00965517">
        <w:rPr>
          <w:rFonts w:ascii="Arial" w:eastAsia="Calibri" w:hAnsi="Arial" w:cs="Arial"/>
          <w:sz w:val="24"/>
          <w:szCs w:val="24"/>
          <w:lang w:val="en-GB"/>
        </w:rPr>
        <w:t>9</w:t>
      </w:r>
      <w:r>
        <w:rPr>
          <w:rFonts w:ascii="Arial" w:eastAsia="Calibri" w:hAnsi="Arial" w:cs="Arial"/>
          <w:sz w:val="24"/>
          <w:szCs w:val="24"/>
          <w:lang w:val="en-GB"/>
        </w:rPr>
        <w:t xml:space="preserve"> December </w:t>
      </w:r>
      <w:r w:rsidRPr="00675D20">
        <w:rPr>
          <w:rFonts w:ascii="Arial" w:eastAsia="Calibri" w:hAnsi="Arial" w:cs="Arial"/>
          <w:sz w:val="24"/>
          <w:szCs w:val="24"/>
          <w:lang w:val="en-GB"/>
        </w:rPr>
        <w:t>2022.</w:t>
      </w:r>
    </w:p>
    <w:p w14:paraId="3FE57F95" w14:textId="77777777" w:rsidR="00A84844" w:rsidRDefault="00A84844" w:rsidP="00A84844">
      <w:pPr>
        <w:pBdr>
          <w:bottom w:val="single" w:sz="12" w:space="1" w:color="auto"/>
        </w:pBdr>
        <w:spacing w:after="0" w:line="276" w:lineRule="auto"/>
        <w:jc w:val="both"/>
        <w:rPr>
          <w:rFonts w:ascii="Arial" w:hAnsi="Arial" w:cs="Arial"/>
          <w:sz w:val="24"/>
          <w:szCs w:val="24"/>
        </w:rPr>
      </w:pPr>
    </w:p>
    <w:p w14:paraId="625C3A7D" w14:textId="77777777" w:rsidR="00A84844" w:rsidRDefault="00A84844" w:rsidP="00A84844">
      <w:pPr>
        <w:spacing w:after="0"/>
        <w:ind w:left="720" w:firstLine="720"/>
        <w:rPr>
          <w:rFonts w:ascii="Arial" w:hAnsi="Arial" w:cs="Arial"/>
          <w:b/>
          <w:sz w:val="24"/>
          <w:szCs w:val="24"/>
        </w:rPr>
      </w:pPr>
      <w:r>
        <w:rPr>
          <w:rFonts w:ascii="Arial" w:hAnsi="Arial" w:cs="Arial"/>
          <w:b/>
          <w:sz w:val="24"/>
          <w:szCs w:val="24"/>
        </w:rPr>
        <w:t xml:space="preserve">                           </w:t>
      </w:r>
    </w:p>
    <w:p w14:paraId="073CB291" w14:textId="4391DC2B" w:rsidR="00A84844" w:rsidRDefault="00A84844" w:rsidP="00A84844">
      <w:pPr>
        <w:spacing w:after="0"/>
        <w:jc w:val="center"/>
        <w:rPr>
          <w:rFonts w:ascii="Arial" w:hAnsi="Arial" w:cs="Arial"/>
          <w:b/>
          <w:sz w:val="24"/>
          <w:szCs w:val="24"/>
        </w:rPr>
      </w:pPr>
      <w:r>
        <w:rPr>
          <w:rFonts w:ascii="Arial" w:hAnsi="Arial" w:cs="Arial"/>
          <w:b/>
          <w:sz w:val="24"/>
          <w:szCs w:val="24"/>
        </w:rPr>
        <w:t xml:space="preserve">JUDGMENT </w:t>
      </w:r>
    </w:p>
    <w:p w14:paraId="3E9B2065" w14:textId="77777777" w:rsidR="00A84844" w:rsidRDefault="00A84844" w:rsidP="00A84844">
      <w:pPr>
        <w:pBdr>
          <w:bottom w:val="single" w:sz="12" w:space="1" w:color="auto"/>
        </w:pBdr>
        <w:spacing w:after="0"/>
        <w:jc w:val="both"/>
        <w:rPr>
          <w:rFonts w:ascii="Arial" w:hAnsi="Arial" w:cs="Arial"/>
          <w:sz w:val="18"/>
          <w:szCs w:val="18"/>
        </w:rPr>
      </w:pPr>
    </w:p>
    <w:p w14:paraId="6036939D" w14:textId="77777777" w:rsidR="00A84844" w:rsidRDefault="00A84844" w:rsidP="00A84844">
      <w:pPr>
        <w:spacing w:after="0" w:line="480" w:lineRule="auto"/>
        <w:jc w:val="center"/>
        <w:rPr>
          <w:rFonts w:ascii="Times New Roman" w:eastAsia="Times New Roman" w:hAnsi="Times New Roman" w:cs="Times New Roman"/>
          <w:sz w:val="24"/>
          <w:szCs w:val="24"/>
        </w:rPr>
      </w:pPr>
    </w:p>
    <w:p w14:paraId="28C9CE78" w14:textId="76C5A185" w:rsidR="00A84844" w:rsidRPr="00F643B0" w:rsidRDefault="00A84844" w:rsidP="00A84844">
      <w:pPr>
        <w:rPr>
          <w:rFonts w:ascii="Arial" w:hAnsi="Arial" w:cs="Arial"/>
          <w:b/>
          <w:sz w:val="24"/>
          <w:szCs w:val="24"/>
          <w:u w:val="single"/>
        </w:rPr>
      </w:pPr>
      <w:r w:rsidRPr="00F643B0">
        <w:rPr>
          <w:rFonts w:ascii="Arial" w:hAnsi="Arial" w:cs="Arial"/>
          <w:b/>
          <w:sz w:val="24"/>
          <w:szCs w:val="24"/>
          <w:u w:val="single"/>
        </w:rPr>
        <w:t>DE WET AJ</w:t>
      </w:r>
      <w:r w:rsidR="000205C8" w:rsidRPr="00F643B0">
        <w:rPr>
          <w:rFonts w:ascii="Arial" w:hAnsi="Arial" w:cs="Arial"/>
          <w:b/>
          <w:sz w:val="24"/>
          <w:szCs w:val="24"/>
          <w:u w:val="single"/>
        </w:rPr>
        <w:t>:</w:t>
      </w:r>
    </w:p>
    <w:p w14:paraId="1D3A2206" w14:textId="77777777" w:rsidR="00B904EA" w:rsidRDefault="00B904EA" w:rsidP="00A84844">
      <w:pPr>
        <w:rPr>
          <w:rFonts w:ascii="Arial" w:hAnsi="Arial" w:cs="Arial"/>
          <w:b/>
          <w:sz w:val="24"/>
          <w:szCs w:val="24"/>
        </w:rPr>
      </w:pPr>
    </w:p>
    <w:p w14:paraId="6102A2AA" w14:textId="7A28753F" w:rsidR="00F95FB6" w:rsidRDefault="00345566" w:rsidP="00600476">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627D1">
        <w:rPr>
          <w:rFonts w:ascii="Arial" w:hAnsi="Arial" w:cs="Arial"/>
          <w:sz w:val="24"/>
          <w:szCs w:val="24"/>
        </w:rPr>
        <w:t xml:space="preserve">This is an opposed </w:t>
      </w:r>
      <w:r>
        <w:rPr>
          <w:rFonts w:ascii="Arial" w:hAnsi="Arial" w:cs="Arial"/>
          <w:sz w:val="24"/>
          <w:szCs w:val="24"/>
        </w:rPr>
        <w:t>eviction app</w:t>
      </w:r>
      <w:r w:rsidR="00D2536F">
        <w:rPr>
          <w:rFonts w:ascii="Arial" w:hAnsi="Arial" w:cs="Arial"/>
          <w:sz w:val="24"/>
          <w:szCs w:val="24"/>
        </w:rPr>
        <w:t>lication</w:t>
      </w:r>
      <w:r w:rsidR="00C627D1">
        <w:rPr>
          <w:rFonts w:ascii="Arial" w:hAnsi="Arial" w:cs="Arial"/>
          <w:sz w:val="24"/>
          <w:szCs w:val="24"/>
        </w:rPr>
        <w:t xml:space="preserve"> where </w:t>
      </w:r>
      <w:r>
        <w:rPr>
          <w:rFonts w:ascii="Arial" w:hAnsi="Arial" w:cs="Arial"/>
          <w:sz w:val="24"/>
          <w:szCs w:val="24"/>
        </w:rPr>
        <w:t xml:space="preserve">the issue in dispute is whether the respondent </w:t>
      </w:r>
      <w:r w:rsidR="00813ED9">
        <w:rPr>
          <w:rFonts w:ascii="Arial" w:hAnsi="Arial" w:cs="Arial"/>
          <w:sz w:val="24"/>
          <w:szCs w:val="24"/>
        </w:rPr>
        <w:t>was</w:t>
      </w:r>
      <w:r w:rsidR="00F95FB6">
        <w:rPr>
          <w:rFonts w:ascii="Arial" w:hAnsi="Arial" w:cs="Arial"/>
          <w:sz w:val="24"/>
          <w:szCs w:val="24"/>
        </w:rPr>
        <w:t xml:space="preserve"> renting a commercial space owned by the applicant on a month-to-month </w:t>
      </w:r>
      <w:r w:rsidR="00F95FB6">
        <w:rPr>
          <w:rFonts w:ascii="Arial" w:hAnsi="Arial" w:cs="Arial"/>
          <w:sz w:val="24"/>
          <w:szCs w:val="24"/>
        </w:rPr>
        <w:lastRenderedPageBreak/>
        <w:t>basis for an indefinite period</w:t>
      </w:r>
      <w:r w:rsidR="00AF6500">
        <w:rPr>
          <w:rFonts w:ascii="Arial" w:hAnsi="Arial" w:cs="Arial"/>
          <w:sz w:val="24"/>
          <w:szCs w:val="24"/>
        </w:rPr>
        <w:t>,</w:t>
      </w:r>
      <w:r w:rsidR="00F95FB6">
        <w:rPr>
          <w:rFonts w:ascii="Arial" w:hAnsi="Arial" w:cs="Arial"/>
          <w:sz w:val="24"/>
          <w:szCs w:val="24"/>
        </w:rPr>
        <w:t xml:space="preserve"> or whether the rental agreement was for a fixed term period which resulted in it </w:t>
      </w:r>
      <w:r w:rsidR="00813ED9">
        <w:rPr>
          <w:rFonts w:ascii="Arial" w:hAnsi="Arial" w:cs="Arial"/>
          <w:sz w:val="24"/>
          <w:szCs w:val="24"/>
        </w:rPr>
        <w:t xml:space="preserve">automatically </w:t>
      </w:r>
      <w:r w:rsidR="00F95FB6">
        <w:rPr>
          <w:rFonts w:ascii="Arial" w:hAnsi="Arial" w:cs="Arial"/>
          <w:sz w:val="24"/>
          <w:szCs w:val="24"/>
        </w:rPr>
        <w:t>terminating at the end of September 2021.</w:t>
      </w:r>
    </w:p>
    <w:p w14:paraId="561C48C0" w14:textId="77777777" w:rsidR="000B5C86" w:rsidRDefault="000B5C86" w:rsidP="00600476">
      <w:pPr>
        <w:spacing w:line="480" w:lineRule="auto"/>
        <w:jc w:val="both"/>
        <w:rPr>
          <w:rFonts w:ascii="Arial" w:hAnsi="Arial" w:cs="Arial"/>
          <w:i/>
          <w:sz w:val="24"/>
          <w:szCs w:val="24"/>
          <w:u w:val="single"/>
        </w:rPr>
      </w:pPr>
    </w:p>
    <w:p w14:paraId="2620B4D2" w14:textId="68105867" w:rsidR="000E2B73" w:rsidRPr="00C627D1" w:rsidRDefault="000E2B73" w:rsidP="00600476">
      <w:pPr>
        <w:spacing w:line="480" w:lineRule="auto"/>
        <w:jc w:val="both"/>
        <w:rPr>
          <w:rFonts w:ascii="Arial" w:hAnsi="Arial" w:cs="Arial"/>
          <w:i/>
          <w:sz w:val="24"/>
          <w:szCs w:val="24"/>
          <w:u w:val="single"/>
        </w:rPr>
      </w:pPr>
      <w:r w:rsidRPr="00C627D1">
        <w:rPr>
          <w:rFonts w:ascii="Arial" w:hAnsi="Arial" w:cs="Arial"/>
          <w:i/>
          <w:sz w:val="24"/>
          <w:szCs w:val="24"/>
          <w:u w:val="single"/>
        </w:rPr>
        <w:t>The factual matrix:</w:t>
      </w:r>
    </w:p>
    <w:p w14:paraId="376FB012" w14:textId="77777777" w:rsidR="000B5C86" w:rsidRDefault="000B5C86" w:rsidP="00600476">
      <w:pPr>
        <w:spacing w:line="480" w:lineRule="auto"/>
        <w:jc w:val="both"/>
        <w:rPr>
          <w:rFonts w:ascii="Arial" w:hAnsi="Arial" w:cs="Arial"/>
          <w:sz w:val="24"/>
          <w:szCs w:val="24"/>
        </w:rPr>
      </w:pPr>
    </w:p>
    <w:p w14:paraId="4FC5A50B" w14:textId="5A8EE839" w:rsidR="00345566" w:rsidRDefault="00345566" w:rsidP="00600476">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is</w:t>
      </w:r>
      <w:r w:rsidR="00813ED9">
        <w:rPr>
          <w:rFonts w:ascii="Arial" w:hAnsi="Arial" w:cs="Arial"/>
          <w:sz w:val="24"/>
          <w:szCs w:val="24"/>
        </w:rPr>
        <w:t xml:space="preserve"> </w:t>
      </w:r>
      <w:r>
        <w:rPr>
          <w:rFonts w:ascii="Arial" w:hAnsi="Arial" w:cs="Arial"/>
          <w:sz w:val="24"/>
          <w:szCs w:val="24"/>
        </w:rPr>
        <w:t>the registered owner of the immovable business complex known as Cape Gate, situated at Erf 18736, Brackenfell, We</w:t>
      </w:r>
      <w:r w:rsidR="00F95FB6">
        <w:rPr>
          <w:rFonts w:ascii="Arial" w:hAnsi="Arial" w:cs="Arial"/>
          <w:sz w:val="24"/>
          <w:szCs w:val="24"/>
        </w:rPr>
        <w:t>s</w:t>
      </w:r>
      <w:r>
        <w:rPr>
          <w:rFonts w:ascii="Arial" w:hAnsi="Arial" w:cs="Arial"/>
          <w:sz w:val="24"/>
          <w:szCs w:val="24"/>
        </w:rPr>
        <w:t>ter</w:t>
      </w:r>
      <w:r w:rsidR="00F95FB6">
        <w:rPr>
          <w:rFonts w:ascii="Arial" w:hAnsi="Arial" w:cs="Arial"/>
          <w:sz w:val="24"/>
          <w:szCs w:val="24"/>
        </w:rPr>
        <w:t>n</w:t>
      </w:r>
      <w:r>
        <w:rPr>
          <w:rFonts w:ascii="Arial" w:hAnsi="Arial" w:cs="Arial"/>
          <w:sz w:val="24"/>
          <w:szCs w:val="24"/>
        </w:rPr>
        <w:t xml:space="preserve"> Cape (“the </w:t>
      </w:r>
      <w:r w:rsidR="00F95FB6">
        <w:rPr>
          <w:rFonts w:ascii="Arial" w:hAnsi="Arial" w:cs="Arial"/>
          <w:sz w:val="24"/>
          <w:szCs w:val="24"/>
        </w:rPr>
        <w:t>property</w:t>
      </w:r>
      <w:r>
        <w:rPr>
          <w:rFonts w:ascii="Arial" w:hAnsi="Arial" w:cs="Arial"/>
          <w:sz w:val="24"/>
          <w:szCs w:val="24"/>
        </w:rPr>
        <w:t>”).</w:t>
      </w:r>
    </w:p>
    <w:p w14:paraId="65932F6A" w14:textId="77777777" w:rsidR="000B5C86" w:rsidRDefault="000B5C86" w:rsidP="00600476">
      <w:pPr>
        <w:spacing w:line="480" w:lineRule="auto"/>
        <w:jc w:val="both"/>
        <w:rPr>
          <w:rFonts w:ascii="Arial" w:hAnsi="Arial" w:cs="Arial"/>
          <w:sz w:val="24"/>
          <w:szCs w:val="24"/>
        </w:rPr>
      </w:pPr>
    </w:p>
    <w:p w14:paraId="406F9AB7" w14:textId="354DE3D8" w:rsidR="00345566" w:rsidRDefault="00345566" w:rsidP="00600476">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respondent is a company with its </w:t>
      </w:r>
      <w:r w:rsidR="00813F4D">
        <w:rPr>
          <w:rFonts w:ascii="Arial" w:hAnsi="Arial" w:cs="Arial"/>
          <w:sz w:val="24"/>
          <w:szCs w:val="24"/>
        </w:rPr>
        <w:t>principal</w:t>
      </w:r>
      <w:r>
        <w:rPr>
          <w:rFonts w:ascii="Arial" w:hAnsi="Arial" w:cs="Arial"/>
          <w:sz w:val="24"/>
          <w:szCs w:val="24"/>
        </w:rPr>
        <w:t xml:space="preserve"> place of business at Musica Court Exhibition Space, Cape </w:t>
      </w:r>
      <w:r w:rsidR="00600476">
        <w:rPr>
          <w:rFonts w:ascii="Arial" w:hAnsi="Arial" w:cs="Arial"/>
          <w:sz w:val="24"/>
          <w:szCs w:val="24"/>
        </w:rPr>
        <w:t>Gate Shopping</w:t>
      </w:r>
      <w:r>
        <w:rPr>
          <w:rFonts w:ascii="Arial" w:hAnsi="Arial" w:cs="Arial"/>
          <w:sz w:val="24"/>
          <w:szCs w:val="24"/>
        </w:rPr>
        <w:t xml:space="preserve"> Centre (“the exhibition premises”) which is </w:t>
      </w:r>
      <w:r w:rsidR="00AE2ADB">
        <w:rPr>
          <w:rFonts w:ascii="Arial" w:hAnsi="Arial" w:cs="Arial"/>
          <w:sz w:val="24"/>
          <w:szCs w:val="24"/>
        </w:rPr>
        <w:t>l</w:t>
      </w:r>
      <w:r w:rsidR="009E7F0B">
        <w:rPr>
          <w:rFonts w:ascii="Arial" w:hAnsi="Arial" w:cs="Arial"/>
          <w:sz w:val="24"/>
          <w:szCs w:val="24"/>
        </w:rPr>
        <w:t>ocated</w:t>
      </w:r>
      <w:r>
        <w:rPr>
          <w:rFonts w:ascii="Arial" w:hAnsi="Arial" w:cs="Arial"/>
          <w:sz w:val="24"/>
          <w:szCs w:val="24"/>
        </w:rPr>
        <w:t xml:space="preserve"> within the property.</w:t>
      </w:r>
      <w:r w:rsidR="00F95FB6">
        <w:rPr>
          <w:rFonts w:ascii="Arial" w:hAnsi="Arial" w:cs="Arial"/>
          <w:sz w:val="24"/>
          <w:szCs w:val="24"/>
        </w:rPr>
        <w:t xml:space="preserve"> </w:t>
      </w:r>
      <w:r>
        <w:rPr>
          <w:rFonts w:ascii="Arial" w:hAnsi="Arial" w:cs="Arial"/>
          <w:sz w:val="24"/>
          <w:szCs w:val="24"/>
        </w:rPr>
        <w:t>As the owner of the property</w:t>
      </w:r>
      <w:r w:rsidR="004A2A2C">
        <w:rPr>
          <w:rFonts w:ascii="Arial" w:hAnsi="Arial" w:cs="Arial"/>
          <w:sz w:val="24"/>
          <w:szCs w:val="24"/>
        </w:rPr>
        <w:t>,</w:t>
      </w:r>
      <w:r>
        <w:rPr>
          <w:rFonts w:ascii="Arial" w:hAnsi="Arial" w:cs="Arial"/>
          <w:sz w:val="24"/>
          <w:szCs w:val="24"/>
        </w:rPr>
        <w:t xml:space="preserve"> the applicant </w:t>
      </w:r>
      <w:r w:rsidR="00D2536F">
        <w:rPr>
          <w:rFonts w:ascii="Arial" w:hAnsi="Arial" w:cs="Arial"/>
          <w:sz w:val="24"/>
          <w:szCs w:val="24"/>
        </w:rPr>
        <w:t>ha</w:t>
      </w:r>
      <w:r w:rsidR="00AF6500">
        <w:rPr>
          <w:rFonts w:ascii="Arial" w:hAnsi="Arial" w:cs="Arial"/>
          <w:sz w:val="24"/>
          <w:szCs w:val="24"/>
        </w:rPr>
        <w:t>d</w:t>
      </w:r>
      <w:r w:rsidR="00D2536F">
        <w:rPr>
          <w:rFonts w:ascii="Arial" w:hAnsi="Arial" w:cs="Arial"/>
          <w:sz w:val="24"/>
          <w:szCs w:val="24"/>
        </w:rPr>
        <w:t xml:space="preserve"> the </w:t>
      </w:r>
      <w:r w:rsidR="00756616">
        <w:rPr>
          <w:rFonts w:ascii="Arial" w:hAnsi="Arial" w:cs="Arial"/>
          <w:sz w:val="24"/>
          <w:szCs w:val="24"/>
        </w:rPr>
        <w:t>required</w:t>
      </w:r>
      <w:r>
        <w:rPr>
          <w:rFonts w:ascii="Arial" w:hAnsi="Arial" w:cs="Arial"/>
          <w:sz w:val="24"/>
          <w:szCs w:val="24"/>
        </w:rPr>
        <w:t xml:space="preserve"> </w:t>
      </w:r>
      <w:r>
        <w:rPr>
          <w:rFonts w:ascii="Arial" w:hAnsi="Arial" w:cs="Arial"/>
          <w:i/>
          <w:sz w:val="24"/>
          <w:szCs w:val="24"/>
        </w:rPr>
        <w:t>locus standi</w:t>
      </w:r>
      <w:r>
        <w:rPr>
          <w:rFonts w:ascii="Arial" w:hAnsi="Arial" w:cs="Arial"/>
          <w:sz w:val="24"/>
          <w:szCs w:val="24"/>
        </w:rPr>
        <w:t xml:space="preserve"> to launch th</w:t>
      </w:r>
      <w:r w:rsidR="00AF6500">
        <w:rPr>
          <w:rFonts w:ascii="Arial" w:hAnsi="Arial" w:cs="Arial"/>
          <w:sz w:val="24"/>
          <w:szCs w:val="24"/>
        </w:rPr>
        <w:t xml:space="preserve">e eviction </w:t>
      </w:r>
      <w:r>
        <w:rPr>
          <w:rFonts w:ascii="Arial" w:hAnsi="Arial" w:cs="Arial"/>
          <w:sz w:val="24"/>
          <w:szCs w:val="24"/>
        </w:rPr>
        <w:t>application.</w:t>
      </w:r>
    </w:p>
    <w:p w14:paraId="148F2418" w14:textId="77777777" w:rsidR="00345566" w:rsidRDefault="00345566" w:rsidP="00600476">
      <w:pPr>
        <w:spacing w:line="480" w:lineRule="auto"/>
        <w:jc w:val="both"/>
        <w:rPr>
          <w:rFonts w:ascii="Arial" w:hAnsi="Arial" w:cs="Arial"/>
          <w:sz w:val="24"/>
          <w:szCs w:val="24"/>
        </w:rPr>
      </w:pPr>
    </w:p>
    <w:p w14:paraId="3F31CC2C" w14:textId="68A3B5BD" w:rsidR="00AF6500" w:rsidRDefault="00345566" w:rsidP="00600476">
      <w:pPr>
        <w:spacing w:line="480" w:lineRule="auto"/>
        <w:jc w:val="both"/>
        <w:rPr>
          <w:rFonts w:ascii="Arial" w:hAnsi="Arial" w:cs="Arial"/>
          <w:sz w:val="24"/>
          <w:szCs w:val="24"/>
        </w:rPr>
      </w:pPr>
      <w:r>
        <w:rPr>
          <w:rFonts w:ascii="Arial" w:hAnsi="Arial" w:cs="Arial"/>
          <w:sz w:val="24"/>
          <w:szCs w:val="24"/>
        </w:rPr>
        <w:t>[</w:t>
      </w:r>
      <w:r w:rsidR="006A3E08">
        <w:rPr>
          <w:rFonts w:ascii="Arial" w:hAnsi="Arial" w:cs="Arial"/>
          <w:sz w:val="24"/>
          <w:szCs w:val="24"/>
        </w:rPr>
        <w:t>4</w:t>
      </w:r>
      <w:r>
        <w:rPr>
          <w:rFonts w:ascii="Arial" w:hAnsi="Arial" w:cs="Arial"/>
          <w:sz w:val="24"/>
          <w:szCs w:val="24"/>
        </w:rPr>
        <w:t>]</w:t>
      </w:r>
      <w:r>
        <w:rPr>
          <w:rFonts w:ascii="Arial" w:hAnsi="Arial" w:cs="Arial"/>
          <w:sz w:val="24"/>
          <w:szCs w:val="24"/>
        </w:rPr>
        <w:tab/>
        <w:t xml:space="preserve">On 12 March 2021 and at Cape Gate, the respondent, </w:t>
      </w:r>
      <w:r w:rsidR="00600476">
        <w:rPr>
          <w:rFonts w:ascii="Arial" w:hAnsi="Arial" w:cs="Arial"/>
          <w:sz w:val="24"/>
          <w:szCs w:val="24"/>
        </w:rPr>
        <w:t>represented</w:t>
      </w:r>
      <w:r>
        <w:rPr>
          <w:rFonts w:ascii="Arial" w:hAnsi="Arial" w:cs="Arial"/>
          <w:sz w:val="24"/>
          <w:szCs w:val="24"/>
        </w:rPr>
        <w:t xml:space="preserve"> by Muhammad Ah</w:t>
      </w:r>
      <w:r w:rsidR="00813ED9">
        <w:rPr>
          <w:rFonts w:ascii="Arial" w:hAnsi="Arial" w:cs="Arial"/>
          <w:sz w:val="24"/>
          <w:szCs w:val="24"/>
        </w:rPr>
        <w:t>ts</w:t>
      </w:r>
      <w:r>
        <w:rPr>
          <w:rFonts w:ascii="Arial" w:hAnsi="Arial" w:cs="Arial"/>
          <w:sz w:val="24"/>
          <w:szCs w:val="24"/>
        </w:rPr>
        <w:t xml:space="preserve">ham (“Ahtsham”) and the applicant, </w:t>
      </w:r>
      <w:r w:rsidR="00600476">
        <w:rPr>
          <w:rFonts w:ascii="Arial" w:hAnsi="Arial" w:cs="Arial"/>
          <w:sz w:val="24"/>
          <w:szCs w:val="24"/>
        </w:rPr>
        <w:t>represented</w:t>
      </w:r>
      <w:r>
        <w:rPr>
          <w:rFonts w:ascii="Arial" w:hAnsi="Arial" w:cs="Arial"/>
          <w:sz w:val="24"/>
          <w:szCs w:val="24"/>
        </w:rPr>
        <w:t xml:space="preserve"> by Amanda McCarthy</w:t>
      </w:r>
      <w:r w:rsidR="00F95FB6">
        <w:rPr>
          <w:rFonts w:ascii="Arial" w:hAnsi="Arial" w:cs="Arial"/>
          <w:sz w:val="24"/>
          <w:szCs w:val="24"/>
        </w:rPr>
        <w:t>,</w:t>
      </w:r>
      <w:r>
        <w:rPr>
          <w:rFonts w:ascii="Arial" w:hAnsi="Arial" w:cs="Arial"/>
          <w:sz w:val="24"/>
          <w:szCs w:val="24"/>
        </w:rPr>
        <w:t xml:space="preserve"> concluded </w:t>
      </w:r>
      <w:r w:rsidR="00F95FB6">
        <w:rPr>
          <w:rFonts w:ascii="Arial" w:hAnsi="Arial" w:cs="Arial"/>
          <w:sz w:val="24"/>
          <w:szCs w:val="24"/>
        </w:rPr>
        <w:t>a</w:t>
      </w:r>
      <w:r w:rsidR="00D2536F">
        <w:rPr>
          <w:rFonts w:ascii="Arial" w:hAnsi="Arial" w:cs="Arial"/>
          <w:sz w:val="24"/>
          <w:szCs w:val="24"/>
        </w:rPr>
        <w:t xml:space="preserve"> written </w:t>
      </w:r>
      <w:r w:rsidR="00F95FB6">
        <w:rPr>
          <w:rFonts w:ascii="Arial" w:hAnsi="Arial" w:cs="Arial"/>
          <w:sz w:val="24"/>
          <w:szCs w:val="24"/>
        </w:rPr>
        <w:t xml:space="preserve">exhibition </w:t>
      </w:r>
      <w:r>
        <w:rPr>
          <w:rFonts w:ascii="Arial" w:hAnsi="Arial" w:cs="Arial"/>
          <w:sz w:val="24"/>
          <w:szCs w:val="24"/>
        </w:rPr>
        <w:t xml:space="preserve">agreement in relation to the </w:t>
      </w:r>
      <w:r w:rsidR="00F95FB6">
        <w:rPr>
          <w:rFonts w:ascii="Arial" w:hAnsi="Arial" w:cs="Arial"/>
          <w:sz w:val="24"/>
          <w:szCs w:val="24"/>
        </w:rPr>
        <w:t xml:space="preserve">exhibition </w:t>
      </w:r>
      <w:r>
        <w:rPr>
          <w:rFonts w:ascii="Arial" w:hAnsi="Arial" w:cs="Arial"/>
          <w:sz w:val="24"/>
          <w:szCs w:val="24"/>
        </w:rPr>
        <w:t>premises. The exhibition agreement was to endure for a period of one month, commencing on 1 March 2021 and terminati</w:t>
      </w:r>
      <w:r w:rsidR="00F95FB6">
        <w:rPr>
          <w:rFonts w:ascii="Arial" w:hAnsi="Arial" w:cs="Arial"/>
          <w:sz w:val="24"/>
          <w:szCs w:val="24"/>
        </w:rPr>
        <w:t>ng</w:t>
      </w:r>
      <w:r>
        <w:rPr>
          <w:rFonts w:ascii="Arial" w:hAnsi="Arial" w:cs="Arial"/>
          <w:sz w:val="24"/>
          <w:szCs w:val="24"/>
        </w:rPr>
        <w:t xml:space="preserve"> on 31 March 2021. </w:t>
      </w:r>
    </w:p>
    <w:p w14:paraId="6B7FF930" w14:textId="77777777" w:rsidR="00AF6500" w:rsidRDefault="00AF6500" w:rsidP="00600476">
      <w:pPr>
        <w:spacing w:line="480" w:lineRule="auto"/>
        <w:jc w:val="both"/>
        <w:rPr>
          <w:rFonts w:ascii="Arial" w:hAnsi="Arial" w:cs="Arial"/>
          <w:sz w:val="24"/>
          <w:szCs w:val="24"/>
        </w:rPr>
      </w:pPr>
    </w:p>
    <w:p w14:paraId="6A12CE74" w14:textId="03F61865" w:rsidR="00F95FB6" w:rsidRDefault="00AF6500" w:rsidP="00600476">
      <w:pPr>
        <w:spacing w:line="48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345566">
        <w:rPr>
          <w:rFonts w:ascii="Arial" w:hAnsi="Arial" w:cs="Arial"/>
          <w:sz w:val="24"/>
          <w:szCs w:val="24"/>
        </w:rPr>
        <w:t xml:space="preserve">The respondent </w:t>
      </w:r>
      <w:r w:rsidR="00600476">
        <w:rPr>
          <w:rFonts w:ascii="Arial" w:hAnsi="Arial" w:cs="Arial"/>
          <w:sz w:val="24"/>
          <w:szCs w:val="24"/>
        </w:rPr>
        <w:t>took up</w:t>
      </w:r>
      <w:r w:rsidR="00345566">
        <w:rPr>
          <w:rFonts w:ascii="Arial" w:hAnsi="Arial" w:cs="Arial"/>
          <w:sz w:val="24"/>
          <w:szCs w:val="24"/>
        </w:rPr>
        <w:t xml:space="preserve"> occupation of the premises in terms of the exhibition agreement and </w:t>
      </w:r>
      <w:r w:rsidR="00813ED9">
        <w:rPr>
          <w:rFonts w:ascii="Arial" w:hAnsi="Arial" w:cs="Arial"/>
          <w:sz w:val="24"/>
          <w:szCs w:val="24"/>
        </w:rPr>
        <w:t>is still in o</w:t>
      </w:r>
      <w:r w:rsidR="00345566">
        <w:rPr>
          <w:rFonts w:ascii="Arial" w:hAnsi="Arial" w:cs="Arial"/>
          <w:sz w:val="24"/>
          <w:szCs w:val="24"/>
        </w:rPr>
        <w:t>ccupation thereof</w:t>
      </w:r>
      <w:r w:rsidR="00D2536F">
        <w:rPr>
          <w:rFonts w:ascii="Arial" w:hAnsi="Arial" w:cs="Arial"/>
          <w:sz w:val="24"/>
          <w:szCs w:val="24"/>
        </w:rPr>
        <w:t>.</w:t>
      </w:r>
      <w:r w:rsidR="00345566">
        <w:rPr>
          <w:rFonts w:ascii="Arial" w:hAnsi="Arial" w:cs="Arial"/>
          <w:sz w:val="24"/>
          <w:szCs w:val="24"/>
        </w:rPr>
        <w:t xml:space="preserve"> </w:t>
      </w:r>
      <w:r w:rsidR="00F95FB6">
        <w:rPr>
          <w:rFonts w:ascii="Arial" w:hAnsi="Arial" w:cs="Arial"/>
          <w:sz w:val="24"/>
          <w:szCs w:val="24"/>
        </w:rPr>
        <w:t xml:space="preserve">There </w:t>
      </w:r>
      <w:r>
        <w:rPr>
          <w:rFonts w:ascii="Arial" w:hAnsi="Arial" w:cs="Arial"/>
          <w:sz w:val="24"/>
          <w:szCs w:val="24"/>
        </w:rPr>
        <w:t xml:space="preserve">were </w:t>
      </w:r>
      <w:r w:rsidR="00F95FB6">
        <w:rPr>
          <w:rFonts w:ascii="Arial" w:hAnsi="Arial" w:cs="Arial"/>
          <w:sz w:val="24"/>
          <w:szCs w:val="24"/>
        </w:rPr>
        <w:t>no written agreement</w:t>
      </w:r>
      <w:r>
        <w:rPr>
          <w:rFonts w:ascii="Arial" w:hAnsi="Arial" w:cs="Arial"/>
          <w:sz w:val="24"/>
          <w:szCs w:val="24"/>
        </w:rPr>
        <w:t>s</w:t>
      </w:r>
      <w:r w:rsidR="00F95FB6">
        <w:rPr>
          <w:rFonts w:ascii="Arial" w:hAnsi="Arial" w:cs="Arial"/>
          <w:sz w:val="24"/>
          <w:szCs w:val="24"/>
        </w:rPr>
        <w:t xml:space="preserve"> or </w:t>
      </w:r>
      <w:r w:rsidR="00F95FB6">
        <w:rPr>
          <w:rFonts w:ascii="Arial" w:hAnsi="Arial" w:cs="Arial"/>
          <w:sz w:val="24"/>
          <w:szCs w:val="24"/>
        </w:rPr>
        <w:lastRenderedPageBreak/>
        <w:t>addendum agreement</w:t>
      </w:r>
      <w:r>
        <w:rPr>
          <w:rFonts w:ascii="Arial" w:hAnsi="Arial" w:cs="Arial"/>
          <w:sz w:val="24"/>
          <w:szCs w:val="24"/>
        </w:rPr>
        <w:t>s</w:t>
      </w:r>
      <w:r w:rsidR="00F95FB6">
        <w:rPr>
          <w:rFonts w:ascii="Arial" w:hAnsi="Arial" w:cs="Arial"/>
          <w:sz w:val="24"/>
          <w:szCs w:val="24"/>
        </w:rPr>
        <w:t xml:space="preserve"> in respect of April, May and June 2021 between the parties, but it is common cause that the respondent </w:t>
      </w:r>
      <w:r>
        <w:rPr>
          <w:rFonts w:ascii="Arial" w:hAnsi="Arial" w:cs="Arial"/>
          <w:sz w:val="24"/>
          <w:szCs w:val="24"/>
        </w:rPr>
        <w:t xml:space="preserve">continued </w:t>
      </w:r>
      <w:r w:rsidR="00F95FB6">
        <w:rPr>
          <w:rFonts w:ascii="Arial" w:hAnsi="Arial" w:cs="Arial"/>
          <w:sz w:val="24"/>
          <w:szCs w:val="24"/>
        </w:rPr>
        <w:t>occup</w:t>
      </w:r>
      <w:r>
        <w:rPr>
          <w:rFonts w:ascii="Arial" w:hAnsi="Arial" w:cs="Arial"/>
          <w:sz w:val="24"/>
          <w:szCs w:val="24"/>
        </w:rPr>
        <w:t xml:space="preserve">ying </w:t>
      </w:r>
      <w:r w:rsidR="00F95FB6">
        <w:rPr>
          <w:rFonts w:ascii="Arial" w:hAnsi="Arial" w:cs="Arial"/>
          <w:sz w:val="24"/>
          <w:szCs w:val="24"/>
        </w:rPr>
        <w:t>the exhibition premises during these months.</w:t>
      </w:r>
    </w:p>
    <w:p w14:paraId="6E872203" w14:textId="77777777" w:rsidR="00D2536F" w:rsidRDefault="00D2536F" w:rsidP="00600476">
      <w:pPr>
        <w:spacing w:line="480" w:lineRule="auto"/>
        <w:jc w:val="both"/>
        <w:rPr>
          <w:rFonts w:ascii="Arial" w:hAnsi="Arial" w:cs="Arial"/>
          <w:sz w:val="24"/>
          <w:szCs w:val="24"/>
        </w:rPr>
      </w:pPr>
    </w:p>
    <w:p w14:paraId="5130C02E" w14:textId="70075E64" w:rsidR="00345566" w:rsidRDefault="00345566" w:rsidP="00600476">
      <w:pPr>
        <w:spacing w:line="480" w:lineRule="auto"/>
        <w:jc w:val="both"/>
        <w:rPr>
          <w:rFonts w:ascii="Arial" w:hAnsi="Arial" w:cs="Arial"/>
          <w:sz w:val="24"/>
          <w:szCs w:val="24"/>
        </w:rPr>
      </w:pPr>
      <w:r>
        <w:rPr>
          <w:rFonts w:ascii="Arial" w:hAnsi="Arial" w:cs="Arial"/>
          <w:sz w:val="24"/>
          <w:szCs w:val="24"/>
        </w:rPr>
        <w:t>[</w:t>
      </w:r>
      <w:r w:rsidR="006A3E08">
        <w:rPr>
          <w:rFonts w:ascii="Arial" w:hAnsi="Arial" w:cs="Arial"/>
          <w:sz w:val="24"/>
          <w:szCs w:val="24"/>
        </w:rPr>
        <w:t>6</w:t>
      </w:r>
      <w:r>
        <w:rPr>
          <w:rFonts w:ascii="Arial" w:hAnsi="Arial" w:cs="Arial"/>
          <w:sz w:val="24"/>
          <w:szCs w:val="24"/>
        </w:rPr>
        <w:t>]</w:t>
      </w:r>
      <w:r>
        <w:rPr>
          <w:rFonts w:ascii="Arial" w:hAnsi="Arial" w:cs="Arial"/>
          <w:sz w:val="24"/>
          <w:szCs w:val="24"/>
        </w:rPr>
        <w:tab/>
        <w:t>On 21 July 2021</w:t>
      </w:r>
      <w:r w:rsidR="00F95FB6">
        <w:rPr>
          <w:rFonts w:ascii="Arial" w:hAnsi="Arial" w:cs="Arial"/>
          <w:sz w:val="24"/>
          <w:szCs w:val="24"/>
        </w:rPr>
        <w:t>,</w:t>
      </w:r>
      <w:r>
        <w:rPr>
          <w:rFonts w:ascii="Arial" w:hAnsi="Arial" w:cs="Arial"/>
          <w:sz w:val="24"/>
          <w:szCs w:val="24"/>
        </w:rPr>
        <w:t xml:space="preserve"> the respondent</w:t>
      </w:r>
      <w:r w:rsidR="00AF6500">
        <w:rPr>
          <w:rFonts w:ascii="Arial" w:hAnsi="Arial" w:cs="Arial"/>
          <w:sz w:val="24"/>
          <w:szCs w:val="24"/>
        </w:rPr>
        <w:t>,</w:t>
      </w:r>
      <w:r>
        <w:rPr>
          <w:rFonts w:ascii="Arial" w:hAnsi="Arial" w:cs="Arial"/>
          <w:sz w:val="24"/>
          <w:szCs w:val="24"/>
        </w:rPr>
        <w:t xml:space="preserve"> represented by Ahtsham and the applicant, represented by Zoe Ganz, concluded a written addendum to the exhibition agreement, </w:t>
      </w:r>
      <w:r>
        <w:rPr>
          <w:rFonts w:ascii="Arial" w:hAnsi="Arial" w:cs="Arial"/>
          <w:i/>
          <w:sz w:val="24"/>
          <w:szCs w:val="24"/>
        </w:rPr>
        <w:t xml:space="preserve">inter alia, </w:t>
      </w:r>
      <w:r>
        <w:rPr>
          <w:rFonts w:ascii="Arial" w:hAnsi="Arial" w:cs="Arial"/>
          <w:sz w:val="24"/>
          <w:szCs w:val="24"/>
        </w:rPr>
        <w:t xml:space="preserve">extending the exhibition agreement for a further </w:t>
      </w:r>
      <w:r w:rsidR="00600476">
        <w:rPr>
          <w:rFonts w:ascii="Arial" w:hAnsi="Arial" w:cs="Arial"/>
          <w:sz w:val="24"/>
          <w:szCs w:val="24"/>
        </w:rPr>
        <w:t>month</w:t>
      </w:r>
      <w:r>
        <w:rPr>
          <w:rFonts w:ascii="Arial" w:hAnsi="Arial" w:cs="Arial"/>
          <w:sz w:val="24"/>
          <w:szCs w:val="24"/>
        </w:rPr>
        <w:t xml:space="preserve"> period</w:t>
      </w:r>
      <w:r w:rsidR="00AF6500">
        <w:rPr>
          <w:rFonts w:ascii="Arial" w:hAnsi="Arial" w:cs="Arial"/>
          <w:sz w:val="24"/>
          <w:szCs w:val="24"/>
        </w:rPr>
        <w:t xml:space="preserve">, it being </w:t>
      </w:r>
      <w:r w:rsidR="00600476">
        <w:rPr>
          <w:rFonts w:ascii="Arial" w:hAnsi="Arial" w:cs="Arial"/>
          <w:sz w:val="24"/>
          <w:szCs w:val="24"/>
        </w:rPr>
        <w:t>from</w:t>
      </w:r>
      <w:r>
        <w:rPr>
          <w:rFonts w:ascii="Arial" w:hAnsi="Arial" w:cs="Arial"/>
          <w:sz w:val="24"/>
          <w:szCs w:val="24"/>
        </w:rPr>
        <w:t xml:space="preserve"> 1 to 31 July 2021.</w:t>
      </w:r>
    </w:p>
    <w:p w14:paraId="56497E8D" w14:textId="77777777" w:rsidR="00345566" w:rsidRDefault="00345566" w:rsidP="00600476">
      <w:pPr>
        <w:spacing w:line="480" w:lineRule="auto"/>
        <w:jc w:val="both"/>
        <w:rPr>
          <w:rFonts w:ascii="Arial" w:hAnsi="Arial" w:cs="Arial"/>
          <w:sz w:val="24"/>
          <w:szCs w:val="24"/>
        </w:rPr>
      </w:pPr>
    </w:p>
    <w:p w14:paraId="042A0296" w14:textId="135A35F1" w:rsidR="00345566" w:rsidRDefault="006A3E08" w:rsidP="00600476">
      <w:pPr>
        <w:spacing w:line="480" w:lineRule="auto"/>
        <w:jc w:val="both"/>
        <w:rPr>
          <w:rFonts w:ascii="Arial" w:hAnsi="Arial" w:cs="Arial"/>
          <w:sz w:val="24"/>
          <w:szCs w:val="24"/>
        </w:rPr>
      </w:pPr>
      <w:r>
        <w:rPr>
          <w:rFonts w:ascii="Arial" w:hAnsi="Arial" w:cs="Arial"/>
          <w:sz w:val="24"/>
          <w:szCs w:val="24"/>
        </w:rPr>
        <w:t>[7</w:t>
      </w:r>
      <w:r w:rsidR="00345566">
        <w:rPr>
          <w:rFonts w:ascii="Arial" w:hAnsi="Arial" w:cs="Arial"/>
          <w:sz w:val="24"/>
          <w:szCs w:val="24"/>
        </w:rPr>
        <w:t>]</w:t>
      </w:r>
      <w:r w:rsidR="00345566">
        <w:rPr>
          <w:rFonts w:ascii="Arial" w:hAnsi="Arial" w:cs="Arial"/>
          <w:sz w:val="24"/>
          <w:szCs w:val="24"/>
        </w:rPr>
        <w:tab/>
        <w:t xml:space="preserve">On 5 August 2021 and 3 September 2021 </w:t>
      </w:r>
      <w:r w:rsidR="00F95FB6">
        <w:rPr>
          <w:rFonts w:ascii="Arial" w:hAnsi="Arial" w:cs="Arial"/>
          <w:sz w:val="24"/>
          <w:szCs w:val="24"/>
        </w:rPr>
        <w:t xml:space="preserve">respectively, </w:t>
      </w:r>
      <w:r w:rsidR="00D2536F">
        <w:rPr>
          <w:rFonts w:ascii="Arial" w:hAnsi="Arial" w:cs="Arial"/>
          <w:sz w:val="24"/>
          <w:szCs w:val="24"/>
        </w:rPr>
        <w:t>the parties concluded t</w:t>
      </w:r>
      <w:r w:rsidR="00345566">
        <w:rPr>
          <w:rFonts w:ascii="Arial" w:hAnsi="Arial" w:cs="Arial"/>
          <w:sz w:val="24"/>
          <w:szCs w:val="24"/>
        </w:rPr>
        <w:t>w</w:t>
      </w:r>
      <w:r w:rsidR="00D2536F">
        <w:rPr>
          <w:rFonts w:ascii="Arial" w:hAnsi="Arial" w:cs="Arial"/>
          <w:sz w:val="24"/>
          <w:szCs w:val="24"/>
        </w:rPr>
        <w:t>o</w:t>
      </w:r>
      <w:r w:rsidR="00345566">
        <w:rPr>
          <w:rFonts w:ascii="Arial" w:hAnsi="Arial" w:cs="Arial"/>
          <w:sz w:val="24"/>
          <w:szCs w:val="24"/>
        </w:rPr>
        <w:t xml:space="preserve"> further written addendums to the exhibition agreement, </w:t>
      </w:r>
      <w:r w:rsidR="00345566">
        <w:rPr>
          <w:rFonts w:ascii="Arial" w:hAnsi="Arial" w:cs="Arial"/>
          <w:i/>
          <w:sz w:val="24"/>
          <w:szCs w:val="24"/>
        </w:rPr>
        <w:t>inter alia,</w:t>
      </w:r>
      <w:r w:rsidR="00345566">
        <w:rPr>
          <w:rFonts w:ascii="Arial" w:hAnsi="Arial" w:cs="Arial"/>
          <w:sz w:val="24"/>
          <w:szCs w:val="24"/>
        </w:rPr>
        <w:t xml:space="preserve"> </w:t>
      </w:r>
      <w:r w:rsidR="00AF6500">
        <w:rPr>
          <w:rFonts w:ascii="Arial" w:hAnsi="Arial" w:cs="Arial"/>
          <w:sz w:val="24"/>
          <w:szCs w:val="24"/>
        </w:rPr>
        <w:t xml:space="preserve">to </w:t>
      </w:r>
      <w:r w:rsidR="00345566">
        <w:rPr>
          <w:rFonts w:ascii="Arial" w:hAnsi="Arial" w:cs="Arial"/>
          <w:sz w:val="24"/>
          <w:szCs w:val="24"/>
        </w:rPr>
        <w:t xml:space="preserve">further </w:t>
      </w:r>
      <w:r w:rsidR="00600476">
        <w:rPr>
          <w:rFonts w:ascii="Arial" w:hAnsi="Arial" w:cs="Arial"/>
          <w:sz w:val="24"/>
          <w:szCs w:val="24"/>
        </w:rPr>
        <w:t>extend</w:t>
      </w:r>
      <w:r w:rsidR="00345566">
        <w:rPr>
          <w:rFonts w:ascii="Arial" w:hAnsi="Arial" w:cs="Arial"/>
          <w:sz w:val="24"/>
          <w:szCs w:val="24"/>
        </w:rPr>
        <w:t xml:space="preserve"> the exhibition agreement for two </w:t>
      </w:r>
      <w:r w:rsidR="00AF6500">
        <w:rPr>
          <w:rFonts w:ascii="Arial" w:hAnsi="Arial" w:cs="Arial"/>
          <w:sz w:val="24"/>
          <w:szCs w:val="24"/>
        </w:rPr>
        <w:t xml:space="preserve">periods being from </w:t>
      </w:r>
      <w:r w:rsidR="00345566">
        <w:rPr>
          <w:rFonts w:ascii="Arial" w:hAnsi="Arial" w:cs="Arial"/>
          <w:sz w:val="24"/>
          <w:szCs w:val="24"/>
        </w:rPr>
        <w:t>1 to 31 August 2021</w:t>
      </w:r>
      <w:r w:rsidR="00AF6500">
        <w:rPr>
          <w:rFonts w:ascii="Arial" w:hAnsi="Arial" w:cs="Arial"/>
          <w:sz w:val="24"/>
          <w:szCs w:val="24"/>
        </w:rPr>
        <w:t>,</w:t>
      </w:r>
      <w:r w:rsidR="00345566">
        <w:rPr>
          <w:rFonts w:ascii="Arial" w:hAnsi="Arial" w:cs="Arial"/>
          <w:sz w:val="24"/>
          <w:szCs w:val="24"/>
        </w:rPr>
        <w:t xml:space="preserve"> and</w:t>
      </w:r>
      <w:r w:rsidR="00AF6500">
        <w:rPr>
          <w:rFonts w:ascii="Arial" w:hAnsi="Arial" w:cs="Arial"/>
          <w:sz w:val="24"/>
          <w:szCs w:val="24"/>
        </w:rPr>
        <w:t xml:space="preserve"> then from </w:t>
      </w:r>
      <w:r w:rsidR="00345566">
        <w:rPr>
          <w:rFonts w:ascii="Arial" w:hAnsi="Arial" w:cs="Arial"/>
          <w:sz w:val="24"/>
          <w:szCs w:val="24"/>
        </w:rPr>
        <w:t xml:space="preserve">1 to 30 </w:t>
      </w:r>
      <w:r w:rsidR="00F95FB6">
        <w:rPr>
          <w:rFonts w:ascii="Arial" w:hAnsi="Arial" w:cs="Arial"/>
          <w:sz w:val="24"/>
          <w:szCs w:val="24"/>
        </w:rPr>
        <w:t xml:space="preserve">September </w:t>
      </w:r>
      <w:r w:rsidR="00345566">
        <w:rPr>
          <w:rFonts w:ascii="Arial" w:hAnsi="Arial" w:cs="Arial"/>
          <w:sz w:val="24"/>
          <w:szCs w:val="24"/>
        </w:rPr>
        <w:t>2021</w:t>
      </w:r>
      <w:r w:rsidR="00F95FB6">
        <w:rPr>
          <w:rFonts w:ascii="Arial" w:hAnsi="Arial" w:cs="Arial"/>
          <w:sz w:val="24"/>
          <w:szCs w:val="24"/>
        </w:rPr>
        <w:t>.</w:t>
      </w:r>
      <w:r w:rsidR="00345566">
        <w:rPr>
          <w:rFonts w:ascii="Arial" w:hAnsi="Arial" w:cs="Arial"/>
          <w:sz w:val="24"/>
          <w:szCs w:val="24"/>
        </w:rPr>
        <w:t xml:space="preserve"> </w:t>
      </w:r>
      <w:r w:rsidR="006303C2">
        <w:rPr>
          <w:rFonts w:ascii="Arial" w:hAnsi="Arial" w:cs="Arial"/>
          <w:sz w:val="24"/>
          <w:szCs w:val="24"/>
        </w:rPr>
        <w:t>The conclusion and terms of the exhibition agreement and the addendums thereto are not in dispute.</w:t>
      </w:r>
    </w:p>
    <w:p w14:paraId="06D41447" w14:textId="77777777" w:rsidR="003C15BB" w:rsidRDefault="003C15BB" w:rsidP="00600476">
      <w:pPr>
        <w:spacing w:line="480" w:lineRule="auto"/>
        <w:jc w:val="both"/>
        <w:rPr>
          <w:rFonts w:ascii="Arial" w:hAnsi="Arial" w:cs="Arial"/>
          <w:sz w:val="24"/>
          <w:szCs w:val="24"/>
        </w:rPr>
      </w:pPr>
    </w:p>
    <w:p w14:paraId="5AB1DC5A" w14:textId="3F4B568E" w:rsidR="00F95FB6" w:rsidRDefault="0078275A" w:rsidP="00600476">
      <w:pPr>
        <w:spacing w:line="480" w:lineRule="auto"/>
        <w:jc w:val="both"/>
        <w:rPr>
          <w:rFonts w:ascii="Arial" w:hAnsi="Arial" w:cs="Arial"/>
          <w:sz w:val="24"/>
          <w:szCs w:val="24"/>
        </w:rPr>
      </w:pPr>
      <w:r>
        <w:rPr>
          <w:rFonts w:ascii="Arial" w:hAnsi="Arial" w:cs="Arial"/>
          <w:sz w:val="24"/>
          <w:szCs w:val="24"/>
        </w:rPr>
        <w:t>[</w:t>
      </w:r>
      <w:r w:rsidR="006A3E08">
        <w:rPr>
          <w:rFonts w:ascii="Arial" w:hAnsi="Arial" w:cs="Arial"/>
          <w:sz w:val="24"/>
          <w:szCs w:val="24"/>
        </w:rPr>
        <w:t>8</w:t>
      </w:r>
      <w:r>
        <w:rPr>
          <w:rFonts w:ascii="Arial" w:hAnsi="Arial" w:cs="Arial"/>
          <w:sz w:val="24"/>
          <w:szCs w:val="24"/>
        </w:rPr>
        <w:t>]</w:t>
      </w:r>
      <w:r>
        <w:rPr>
          <w:rFonts w:ascii="Arial" w:hAnsi="Arial" w:cs="Arial"/>
          <w:sz w:val="24"/>
          <w:szCs w:val="24"/>
        </w:rPr>
        <w:tab/>
      </w:r>
      <w:r w:rsidR="00F95FB6">
        <w:rPr>
          <w:rFonts w:ascii="Arial" w:hAnsi="Arial" w:cs="Arial"/>
          <w:sz w:val="24"/>
          <w:szCs w:val="24"/>
        </w:rPr>
        <w:t xml:space="preserve">On 16 </w:t>
      </w:r>
      <w:r>
        <w:rPr>
          <w:rFonts w:ascii="Arial" w:hAnsi="Arial" w:cs="Arial"/>
          <w:sz w:val="24"/>
          <w:szCs w:val="24"/>
        </w:rPr>
        <w:t>September 2021 the applicant</w:t>
      </w:r>
      <w:r w:rsidR="00F95FB6">
        <w:rPr>
          <w:rFonts w:ascii="Arial" w:hAnsi="Arial" w:cs="Arial"/>
          <w:sz w:val="24"/>
          <w:szCs w:val="24"/>
        </w:rPr>
        <w:t>’s sales representative</w:t>
      </w:r>
      <w:r>
        <w:rPr>
          <w:rFonts w:ascii="Arial" w:hAnsi="Arial" w:cs="Arial"/>
          <w:sz w:val="24"/>
          <w:szCs w:val="24"/>
        </w:rPr>
        <w:t xml:space="preserve"> advised the respondent that it was required to vacate the premises on 30 September 2021.</w:t>
      </w:r>
      <w:r w:rsidR="00F95FB6">
        <w:rPr>
          <w:rFonts w:ascii="Arial" w:hAnsi="Arial" w:cs="Arial"/>
          <w:sz w:val="24"/>
          <w:szCs w:val="24"/>
        </w:rPr>
        <w:t xml:space="preserve"> This sparked the r</w:t>
      </w:r>
      <w:r w:rsidR="00C465DB">
        <w:rPr>
          <w:rFonts w:ascii="Arial" w:hAnsi="Arial" w:cs="Arial"/>
          <w:sz w:val="24"/>
          <w:szCs w:val="24"/>
        </w:rPr>
        <w:t>e</w:t>
      </w:r>
      <w:r w:rsidR="00F95FB6">
        <w:rPr>
          <w:rFonts w:ascii="Arial" w:hAnsi="Arial" w:cs="Arial"/>
          <w:sz w:val="24"/>
          <w:szCs w:val="24"/>
        </w:rPr>
        <w:t xml:space="preserve">spondent into action. </w:t>
      </w:r>
      <w:r>
        <w:rPr>
          <w:rFonts w:ascii="Arial" w:hAnsi="Arial" w:cs="Arial"/>
          <w:sz w:val="24"/>
          <w:szCs w:val="24"/>
        </w:rPr>
        <w:t>Mr Ahtsham</w:t>
      </w:r>
      <w:r w:rsidR="00E211D2">
        <w:rPr>
          <w:rFonts w:ascii="Arial" w:hAnsi="Arial" w:cs="Arial"/>
          <w:sz w:val="24"/>
          <w:szCs w:val="24"/>
        </w:rPr>
        <w:t>,</w:t>
      </w:r>
      <w:r w:rsidR="00F11333">
        <w:rPr>
          <w:rFonts w:ascii="Arial" w:hAnsi="Arial" w:cs="Arial"/>
          <w:sz w:val="24"/>
          <w:szCs w:val="24"/>
        </w:rPr>
        <w:t xml:space="preserve"> the sole director of the respondent, </w:t>
      </w:r>
      <w:r w:rsidR="00F95FB6">
        <w:rPr>
          <w:rFonts w:ascii="Arial" w:hAnsi="Arial" w:cs="Arial"/>
          <w:sz w:val="24"/>
          <w:szCs w:val="24"/>
        </w:rPr>
        <w:t>addressed email correspondence to Mr Buckle</w:t>
      </w:r>
      <w:r w:rsidR="00D2536F">
        <w:rPr>
          <w:rFonts w:ascii="Arial" w:hAnsi="Arial" w:cs="Arial"/>
          <w:sz w:val="24"/>
          <w:szCs w:val="24"/>
        </w:rPr>
        <w:t>,</w:t>
      </w:r>
      <w:r w:rsidR="00F95FB6">
        <w:rPr>
          <w:rFonts w:ascii="Arial" w:hAnsi="Arial" w:cs="Arial"/>
          <w:sz w:val="24"/>
          <w:szCs w:val="24"/>
        </w:rPr>
        <w:t xml:space="preserve"> the </w:t>
      </w:r>
      <w:r w:rsidR="008137A9">
        <w:rPr>
          <w:rFonts w:ascii="Arial" w:hAnsi="Arial" w:cs="Arial"/>
          <w:sz w:val="24"/>
          <w:szCs w:val="24"/>
        </w:rPr>
        <w:t>sales</w:t>
      </w:r>
      <w:r w:rsidR="00F95FB6">
        <w:rPr>
          <w:rFonts w:ascii="Arial" w:hAnsi="Arial" w:cs="Arial"/>
          <w:sz w:val="24"/>
          <w:szCs w:val="24"/>
        </w:rPr>
        <w:t xml:space="preserve"> manager </w:t>
      </w:r>
      <w:r w:rsidR="00C76999">
        <w:rPr>
          <w:rFonts w:ascii="Arial" w:hAnsi="Arial" w:cs="Arial"/>
          <w:sz w:val="24"/>
          <w:szCs w:val="24"/>
        </w:rPr>
        <w:t>of</w:t>
      </w:r>
      <w:r w:rsidR="00F95FB6">
        <w:rPr>
          <w:rFonts w:ascii="Arial" w:hAnsi="Arial" w:cs="Arial"/>
          <w:sz w:val="24"/>
          <w:szCs w:val="24"/>
        </w:rPr>
        <w:t xml:space="preserve"> the applicant, with the subject “Unhappy”.</w:t>
      </w:r>
      <w:r w:rsidR="00D2536F">
        <w:rPr>
          <w:rFonts w:ascii="Arial" w:hAnsi="Arial" w:cs="Arial"/>
          <w:sz w:val="24"/>
          <w:szCs w:val="24"/>
        </w:rPr>
        <w:t xml:space="preserve"> </w:t>
      </w:r>
      <w:r w:rsidR="00F95FB6">
        <w:rPr>
          <w:rFonts w:ascii="Arial" w:hAnsi="Arial" w:cs="Arial"/>
          <w:sz w:val="24"/>
          <w:szCs w:val="24"/>
        </w:rPr>
        <w:t>In the email, he state</w:t>
      </w:r>
      <w:r w:rsidR="00AF6500">
        <w:rPr>
          <w:rFonts w:ascii="Arial" w:hAnsi="Arial" w:cs="Arial"/>
          <w:sz w:val="24"/>
          <w:szCs w:val="24"/>
        </w:rPr>
        <w:t>d</w:t>
      </w:r>
      <w:r w:rsidR="00F95FB6">
        <w:rPr>
          <w:rFonts w:ascii="Arial" w:hAnsi="Arial" w:cs="Arial"/>
          <w:sz w:val="24"/>
          <w:szCs w:val="24"/>
        </w:rPr>
        <w:t xml:space="preserve"> that:</w:t>
      </w:r>
    </w:p>
    <w:p w14:paraId="6B265C1E" w14:textId="77777777" w:rsidR="004A2A2C" w:rsidRDefault="004A2A2C" w:rsidP="005A4E0B">
      <w:pPr>
        <w:spacing w:line="480" w:lineRule="auto"/>
        <w:ind w:left="720"/>
        <w:jc w:val="both"/>
        <w:rPr>
          <w:rFonts w:ascii="Arial" w:hAnsi="Arial" w:cs="Arial"/>
          <w:i/>
        </w:rPr>
      </w:pPr>
    </w:p>
    <w:p w14:paraId="1F981E79" w14:textId="77777777" w:rsidR="004A2A2C" w:rsidRDefault="004A2A2C" w:rsidP="005A4E0B">
      <w:pPr>
        <w:spacing w:line="480" w:lineRule="auto"/>
        <w:ind w:left="720"/>
        <w:jc w:val="both"/>
        <w:rPr>
          <w:rFonts w:ascii="Arial" w:hAnsi="Arial" w:cs="Arial"/>
          <w:i/>
        </w:rPr>
      </w:pPr>
    </w:p>
    <w:p w14:paraId="2F8251CF" w14:textId="39A8E64E" w:rsidR="004A2A2C" w:rsidRDefault="00F95FB6" w:rsidP="005A4E0B">
      <w:pPr>
        <w:spacing w:line="480" w:lineRule="auto"/>
        <w:ind w:left="720"/>
        <w:jc w:val="both"/>
        <w:rPr>
          <w:rFonts w:ascii="Arial" w:hAnsi="Arial" w:cs="Arial"/>
          <w:i/>
        </w:rPr>
      </w:pPr>
      <w:r w:rsidRPr="005A4E0B">
        <w:rPr>
          <w:rFonts w:ascii="Arial" w:hAnsi="Arial" w:cs="Arial"/>
          <w:i/>
        </w:rPr>
        <w:t>“</w:t>
      </w:r>
      <w:r w:rsidR="004A2A2C">
        <w:rPr>
          <w:rFonts w:ascii="Arial" w:hAnsi="Arial" w:cs="Arial"/>
          <w:i/>
        </w:rPr>
        <w:t>…</w:t>
      </w:r>
    </w:p>
    <w:p w14:paraId="745F5ACF" w14:textId="5F644278" w:rsidR="005A4E0B" w:rsidRPr="008137A9" w:rsidRDefault="00EB7663" w:rsidP="005A4E0B">
      <w:pPr>
        <w:spacing w:line="480" w:lineRule="auto"/>
        <w:ind w:left="720"/>
        <w:jc w:val="both"/>
        <w:rPr>
          <w:rFonts w:ascii="Arial" w:hAnsi="Arial" w:cs="Arial"/>
        </w:rPr>
      </w:pPr>
      <w:r w:rsidRPr="005A4E0B">
        <w:rPr>
          <w:rFonts w:ascii="Arial" w:hAnsi="Arial" w:cs="Arial"/>
          <w:i/>
        </w:rPr>
        <w:t>I just want to explain my story</w:t>
      </w:r>
      <w:r w:rsidR="009E0D52">
        <w:rPr>
          <w:rFonts w:ascii="Arial" w:hAnsi="Arial" w:cs="Arial"/>
          <w:i/>
        </w:rPr>
        <w:t>,</w:t>
      </w:r>
      <w:r w:rsidRPr="005A4E0B">
        <w:rPr>
          <w:rFonts w:ascii="Arial" w:hAnsi="Arial" w:cs="Arial"/>
          <w:i/>
        </w:rPr>
        <w:t xml:space="preserve"> we came from Canal walk to your mall referred by Canal walk, we feel let down by your mall because we spe</w:t>
      </w:r>
      <w:r w:rsidR="00AF6500">
        <w:rPr>
          <w:rFonts w:ascii="Arial" w:hAnsi="Arial" w:cs="Arial"/>
          <w:i/>
        </w:rPr>
        <w:t>n</w:t>
      </w:r>
      <w:r w:rsidRPr="005A4E0B">
        <w:rPr>
          <w:rFonts w:ascii="Arial" w:hAnsi="Arial" w:cs="Arial"/>
          <w:i/>
        </w:rPr>
        <w:t>d so much money on improving our kiosk and we did all demands coming f</w:t>
      </w:r>
      <w:r w:rsidR="00AF6500">
        <w:rPr>
          <w:rFonts w:ascii="Arial" w:hAnsi="Arial" w:cs="Arial"/>
          <w:i/>
        </w:rPr>
        <w:t xml:space="preserve">rom </w:t>
      </w:r>
      <w:r w:rsidRPr="005A4E0B">
        <w:rPr>
          <w:rFonts w:ascii="Arial" w:hAnsi="Arial" w:cs="Arial"/>
          <w:i/>
        </w:rPr>
        <w:t xml:space="preserve">Kim, now to be asked to leave the mall because our offerings not needed it is sad, we don’t have any other place to go, my staff will be out of work and we are happy in your mall, its so sad to see that leasing has giving the kiosk by mr price offer but not us and we have been paying our rental on time. I am willing to pay R 30 000.00 for a lease each month our business is slow but we trying to improve always, I did not also send my turnover to leasing but </w:t>
      </w:r>
      <w:r w:rsidR="005A4E0B" w:rsidRPr="005A4E0B">
        <w:rPr>
          <w:rFonts w:ascii="Arial" w:hAnsi="Arial" w:cs="Arial"/>
          <w:i/>
        </w:rPr>
        <w:t>with no</w:t>
      </w:r>
      <w:r w:rsidRPr="005A4E0B">
        <w:rPr>
          <w:rFonts w:ascii="Arial" w:hAnsi="Arial" w:cs="Arial"/>
          <w:i/>
        </w:rPr>
        <w:t xml:space="preserve"> success. </w:t>
      </w:r>
      <w:r w:rsidRPr="008137A9">
        <w:rPr>
          <w:rFonts w:ascii="Arial" w:hAnsi="Arial" w:cs="Arial"/>
          <w:i/>
          <w:u w:val="single"/>
        </w:rPr>
        <w:t xml:space="preserve">In all fairness we have to get an offer because I was never approached for a full lease i even said we will take away anything they not happy with, but i cant move until i get </w:t>
      </w:r>
      <w:r w:rsidR="005A4E0B" w:rsidRPr="008137A9">
        <w:rPr>
          <w:rFonts w:ascii="Arial" w:hAnsi="Arial" w:cs="Arial"/>
          <w:i/>
          <w:u w:val="single"/>
        </w:rPr>
        <w:t>other</w:t>
      </w:r>
      <w:r w:rsidRPr="008137A9">
        <w:rPr>
          <w:rFonts w:ascii="Arial" w:hAnsi="Arial" w:cs="Arial"/>
          <w:i/>
          <w:u w:val="single"/>
        </w:rPr>
        <w:t xml:space="preserve"> place please can you help us i beg of you.</w:t>
      </w:r>
      <w:r w:rsidRPr="005A4E0B">
        <w:rPr>
          <w:rFonts w:ascii="Arial" w:hAnsi="Arial" w:cs="Arial"/>
          <w:i/>
        </w:rPr>
        <w:t xml:space="preserve"> We have not had 1 complaint we are on </w:t>
      </w:r>
      <w:r w:rsidR="005A4E0B" w:rsidRPr="005A4E0B">
        <w:rPr>
          <w:rFonts w:ascii="Arial" w:hAnsi="Arial" w:cs="Arial"/>
          <w:i/>
        </w:rPr>
        <w:t>time</w:t>
      </w:r>
      <w:r w:rsidRPr="005A4E0B">
        <w:rPr>
          <w:rFonts w:ascii="Arial" w:hAnsi="Arial" w:cs="Arial"/>
          <w:i/>
        </w:rPr>
        <w:t xml:space="preserve"> and professional we have good relations with tenants too. All I ask for 1 year give us that 1 year if you not happy we then leave but </w:t>
      </w:r>
      <w:r w:rsidR="005A4E0B" w:rsidRPr="005A4E0B">
        <w:rPr>
          <w:rFonts w:ascii="Arial" w:hAnsi="Arial" w:cs="Arial"/>
          <w:i/>
        </w:rPr>
        <w:t>i</w:t>
      </w:r>
      <w:r w:rsidRPr="005A4E0B">
        <w:rPr>
          <w:rFonts w:ascii="Arial" w:hAnsi="Arial" w:cs="Arial"/>
          <w:i/>
        </w:rPr>
        <w:t xml:space="preserve"> believe every income can help the mall </w:t>
      </w:r>
      <w:r w:rsidR="005A4E0B" w:rsidRPr="005A4E0B">
        <w:rPr>
          <w:rFonts w:ascii="Arial" w:hAnsi="Arial" w:cs="Arial"/>
          <w:i/>
        </w:rPr>
        <w:t>i</w:t>
      </w:r>
      <w:r w:rsidRPr="005A4E0B">
        <w:rPr>
          <w:rFonts w:ascii="Arial" w:hAnsi="Arial" w:cs="Arial"/>
          <w:i/>
        </w:rPr>
        <w:t xml:space="preserve"> even ask for a shop if that is possible, we are legal in the country and we are going to expand to the US as franchise.</w:t>
      </w:r>
      <w:r w:rsidR="005A4E0B" w:rsidRPr="005A4E0B">
        <w:rPr>
          <w:rFonts w:ascii="Arial" w:hAnsi="Arial" w:cs="Arial"/>
          <w:i/>
        </w:rPr>
        <w:t>”</w:t>
      </w:r>
      <w:r w:rsidR="008137A9">
        <w:rPr>
          <w:rFonts w:ascii="Arial" w:hAnsi="Arial" w:cs="Arial"/>
        </w:rPr>
        <w:t xml:space="preserve"> </w:t>
      </w:r>
      <w:r w:rsidR="00EB7C4C">
        <w:rPr>
          <w:rFonts w:ascii="Arial" w:hAnsi="Arial" w:cs="Arial"/>
        </w:rPr>
        <w:t>(</w:t>
      </w:r>
      <w:r w:rsidR="00EB7C4C">
        <w:rPr>
          <w:rFonts w:ascii="Arial" w:hAnsi="Arial" w:cs="Arial"/>
          <w:i/>
          <w:iCs/>
        </w:rPr>
        <w:t>sic</w:t>
      </w:r>
      <w:r w:rsidR="00F327AE">
        <w:rPr>
          <w:rFonts w:ascii="Arial" w:hAnsi="Arial" w:cs="Arial"/>
        </w:rPr>
        <w:t xml:space="preserve">) </w:t>
      </w:r>
      <w:r w:rsidR="008137A9">
        <w:rPr>
          <w:rFonts w:ascii="Arial" w:hAnsi="Arial" w:cs="Arial"/>
        </w:rPr>
        <w:t>(my emphasis)</w:t>
      </w:r>
      <w:r w:rsidR="00F327AE">
        <w:rPr>
          <w:rFonts w:ascii="Arial" w:hAnsi="Arial" w:cs="Arial"/>
        </w:rPr>
        <w:t>.</w:t>
      </w:r>
    </w:p>
    <w:p w14:paraId="092BA98B" w14:textId="77777777" w:rsidR="005A4E0B" w:rsidRPr="00F11333" w:rsidRDefault="005A4E0B" w:rsidP="005A4E0B">
      <w:pPr>
        <w:spacing w:line="480" w:lineRule="auto"/>
        <w:ind w:left="720"/>
        <w:jc w:val="both"/>
        <w:rPr>
          <w:rFonts w:ascii="Arial" w:hAnsi="Arial" w:cs="Arial"/>
          <w:i/>
          <w:sz w:val="24"/>
          <w:szCs w:val="24"/>
        </w:rPr>
      </w:pPr>
    </w:p>
    <w:p w14:paraId="71B73B18" w14:textId="141626F1" w:rsidR="000B624D" w:rsidRPr="00F11333" w:rsidRDefault="008137A9" w:rsidP="000B624D">
      <w:pPr>
        <w:spacing w:line="480" w:lineRule="auto"/>
        <w:jc w:val="both"/>
        <w:rPr>
          <w:rFonts w:ascii="Arial" w:hAnsi="Arial" w:cs="Arial"/>
          <w:sz w:val="24"/>
          <w:szCs w:val="24"/>
        </w:rPr>
      </w:pPr>
      <w:r w:rsidRPr="00F11333">
        <w:rPr>
          <w:rFonts w:ascii="Arial" w:hAnsi="Arial" w:cs="Arial"/>
          <w:sz w:val="24"/>
          <w:szCs w:val="24"/>
        </w:rPr>
        <w:t>[</w:t>
      </w:r>
      <w:r w:rsidR="006A3E08" w:rsidRPr="00F11333">
        <w:rPr>
          <w:rFonts w:ascii="Arial" w:hAnsi="Arial" w:cs="Arial"/>
          <w:sz w:val="24"/>
          <w:szCs w:val="24"/>
        </w:rPr>
        <w:t>9</w:t>
      </w:r>
      <w:r w:rsidRPr="00F11333">
        <w:rPr>
          <w:rFonts w:ascii="Arial" w:hAnsi="Arial" w:cs="Arial"/>
          <w:sz w:val="24"/>
          <w:szCs w:val="24"/>
        </w:rPr>
        <w:t>]</w:t>
      </w:r>
      <w:r w:rsidRPr="00F11333">
        <w:rPr>
          <w:rFonts w:ascii="Arial" w:hAnsi="Arial" w:cs="Arial"/>
          <w:sz w:val="24"/>
          <w:szCs w:val="24"/>
        </w:rPr>
        <w:tab/>
      </w:r>
      <w:r w:rsidR="000B624D" w:rsidRPr="00F11333">
        <w:rPr>
          <w:rFonts w:ascii="Arial" w:hAnsi="Arial" w:cs="Arial"/>
          <w:sz w:val="24"/>
          <w:szCs w:val="24"/>
        </w:rPr>
        <w:t>On the same day, the respondent was advised that his request had been escalated to ascertain whether “a plan” could be made for the respondent to rent the premises for a further one-year period.</w:t>
      </w:r>
    </w:p>
    <w:p w14:paraId="751B9C53" w14:textId="1D6303BA" w:rsidR="00B473CF" w:rsidRDefault="00B473CF" w:rsidP="00F95FB6">
      <w:pPr>
        <w:spacing w:line="480" w:lineRule="auto"/>
        <w:jc w:val="both"/>
        <w:rPr>
          <w:rFonts w:ascii="Arial" w:hAnsi="Arial" w:cs="Arial"/>
          <w:sz w:val="24"/>
          <w:szCs w:val="24"/>
        </w:rPr>
      </w:pPr>
    </w:p>
    <w:p w14:paraId="7369F9E0" w14:textId="77777777" w:rsidR="00B473CF" w:rsidRDefault="00B473CF" w:rsidP="00F95FB6">
      <w:pPr>
        <w:spacing w:line="480" w:lineRule="auto"/>
        <w:jc w:val="both"/>
        <w:rPr>
          <w:rFonts w:ascii="Arial" w:hAnsi="Arial" w:cs="Arial"/>
          <w:sz w:val="24"/>
          <w:szCs w:val="24"/>
        </w:rPr>
      </w:pPr>
    </w:p>
    <w:p w14:paraId="239C2709" w14:textId="77777777" w:rsidR="007D112B" w:rsidRDefault="007D112B" w:rsidP="007D112B">
      <w:pPr>
        <w:spacing w:line="480" w:lineRule="auto"/>
        <w:ind w:left="720"/>
        <w:jc w:val="both"/>
        <w:rPr>
          <w:rFonts w:ascii="Arial" w:hAnsi="Arial" w:cs="Arial"/>
          <w:sz w:val="24"/>
          <w:szCs w:val="24"/>
        </w:rPr>
      </w:pPr>
    </w:p>
    <w:p w14:paraId="34B6932B" w14:textId="23DBEDC3" w:rsidR="000B624D" w:rsidRPr="004A5B45" w:rsidRDefault="008137A9" w:rsidP="000B624D">
      <w:pPr>
        <w:spacing w:line="480" w:lineRule="auto"/>
        <w:jc w:val="both"/>
        <w:rPr>
          <w:rFonts w:ascii="Arial" w:hAnsi="Arial" w:cs="Arial"/>
          <w:sz w:val="24"/>
          <w:szCs w:val="24"/>
        </w:rPr>
      </w:pPr>
      <w:r>
        <w:rPr>
          <w:rFonts w:ascii="Arial" w:hAnsi="Arial" w:cs="Arial"/>
          <w:sz w:val="24"/>
          <w:szCs w:val="24"/>
        </w:rPr>
        <w:t>[1</w:t>
      </w:r>
      <w:r w:rsidR="006A3E08">
        <w:rPr>
          <w:rFonts w:ascii="Arial" w:hAnsi="Arial" w:cs="Arial"/>
          <w:sz w:val="24"/>
          <w:szCs w:val="24"/>
        </w:rPr>
        <w:t>0</w:t>
      </w:r>
      <w:r>
        <w:rPr>
          <w:rFonts w:ascii="Arial" w:hAnsi="Arial" w:cs="Arial"/>
          <w:sz w:val="24"/>
          <w:szCs w:val="24"/>
        </w:rPr>
        <w:t>]</w:t>
      </w:r>
      <w:r>
        <w:rPr>
          <w:rFonts w:ascii="Arial" w:hAnsi="Arial" w:cs="Arial"/>
          <w:sz w:val="24"/>
          <w:szCs w:val="24"/>
        </w:rPr>
        <w:tab/>
      </w:r>
      <w:r w:rsidR="000B624D" w:rsidRPr="004A5B45">
        <w:rPr>
          <w:rFonts w:ascii="Arial" w:hAnsi="Arial" w:cs="Arial"/>
          <w:sz w:val="24"/>
          <w:szCs w:val="24"/>
        </w:rPr>
        <w:t xml:space="preserve">On 20 September 2021, </w:t>
      </w:r>
      <w:r w:rsidR="00E6318D">
        <w:rPr>
          <w:rFonts w:ascii="Arial" w:hAnsi="Arial" w:cs="Arial"/>
          <w:sz w:val="24"/>
          <w:szCs w:val="24"/>
        </w:rPr>
        <w:t xml:space="preserve">as no response was forthcoming, </w:t>
      </w:r>
      <w:r w:rsidR="000B624D" w:rsidRPr="004A5B45">
        <w:rPr>
          <w:rFonts w:ascii="Arial" w:hAnsi="Arial" w:cs="Arial"/>
          <w:sz w:val="24"/>
          <w:szCs w:val="24"/>
        </w:rPr>
        <w:t>Mr Ahtsham send yet another email stating:</w:t>
      </w:r>
    </w:p>
    <w:p w14:paraId="5B38A545" w14:textId="1B1610BC" w:rsidR="000B624D" w:rsidRPr="007B197E" w:rsidRDefault="000B624D" w:rsidP="000B624D">
      <w:pPr>
        <w:spacing w:line="480" w:lineRule="auto"/>
        <w:ind w:left="720"/>
        <w:jc w:val="both"/>
        <w:rPr>
          <w:rFonts w:ascii="Arial" w:hAnsi="Arial" w:cs="Arial"/>
          <w:iCs/>
          <w:sz w:val="24"/>
          <w:szCs w:val="24"/>
        </w:rPr>
      </w:pPr>
      <w:r w:rsidRPr="004A5B45">
        <w:rPr>
          <w:rFonts w:ascii="Arial" w:hAnsi="Arial" w:cs="Arial"/>
          <w:sz w:val="24"/>
          <w:szCs w:val="24"/>
        </w:rPr>
        <w:t>“</w:t>
      </w:r>
      <w:r w:rsidRPr="004A5B45">
        <w:rPr>
          <w:rFonts w:ascii="Arial" w:hAnsi="Arial" w:cs="Arial"/>
          <w:i/>
          <w:sz w:val="24"/>
          <w:szCs w:val="24"/>
        </w:rPr>
        <w:t>I am just following up on feedback as I am getting worried its getting to month end.”</w:t>
      </w:r>
      <w:r w:rsidR="009D7868">
        <w:rPr>
          <w:rFonts w:ascii="Arial" w:hAnsi="Arial" w:cs="Arial"/>
          <w:i/>
          <w:sz w:val="24"/>
          <w:szCs w:val="24"/>
        </w:rPr>
        <w:t>(sic)</w:t>
      </w:r>
      <w:r w:rsidR="007B197E">
        <w:rPr>
          <w:rFonts w:ascii="Arial" w:hAnsi="Arial" w:cs="Arial"/>
          <w:iCs/>
          <w:sz w:val="24"/>
          <w:szCs w:val="24"/>
        </w:rPr>
        <w:t>.</w:t>
      </w:r>
    </w:p>
    <w:p w14:paraId="1A35E9A9" w14:textId="77777777" w:rsidR="004A5B45" w:rsidRDefault="004A5B45" w:rsidP="00600476">
      <w:pPr>
        <w:spacing w:line="480" w:lineRule="auto"/>
        <w:jc w:val="both"/>
        <w:rPr>
          <w:rFonts w:ascii="Arial" w:hAnsi="Arial" w:cs="Arial"/>
          <w:sz w:val="24"/>
          <w:szCs w:val="24"/>
        </w:rPr>
      </w:pPr>
    </w:p>
    <w:p w14:paraId="064B54D8" w14:textId="1FF5DAE8" w:rsidR="0078275A" w:rsidRDefault="0078275A" w:rsidP="00600476">
      <w:pPr>
        <w:spacing w:line="480" w:lineRule="auto"/>
        <w:jc w:val="both"/>
        <w:rPr>
          <w:rFonts w:ascii="Arial" w:hAnsi="Arial" w:cs="Arial"/>
          <w:sz w:val="24"/>
          <w:szCs w:val="24"/>
        </w:rPr>
      </w:pPr>
      <w:r>
        <w:rPr>
          <w:rFonts w:ascii="Arial" w:hAnsi="Arial" w:cs="Arial"/>
          <w:sz w:val="24"/>
          <w:szCs w:val="24"/>
        </w:rPr>
        <w:t>[1</w:t>
      </w:r>
      <w:r w:rsidR="006A3E08">
        <w:rPr>
          <w:rFonts w:ascii="Arial" w:hAnsi="Arial" w:cs="Arial"/>
          <w:sz w:val="24"/>
          <w:szCs w:val="24"/>
        </w:rPr>
        <w:t>1</w:t>
      </w:r>
      <w:r>
        <w:rPr>
          <w:rFonts w:ascii="Arial" w:hAnsi="Arial" w:cs="Arial"/>
          <w:sz w:val="24"/>
          <w:szCs w:val="24"/>
        </w:rPr>
        <w:t>]</w:t>
      </w:r>
      <w:r>
        <w:rPr>
          <w:rFonts w:ascii="Arial" w:hAnsi="Arial" w:cs="Arial"/>
          <w:sz w:val="24"/>
          <w:szCs w:val="24"/>
        </w:rPr>
        <w:tab/>
        <w:t xml:space="preserve">On 19 October 2021, the </w:t>
      </w:r>
      <w:r w:rsidR="00600476">
        <w:rPr>
          <w:rFonts w:ascii="Arial" w:hAnsi="Arial" w:cs="Arial"/>
          <w:sz w:val="24"/>
          <w:szCs w:val="24"/>
        </w:rPr>
        <w:t>respondent</w:t>
      </w:r>
      <w:r>
        <w:rPr>
          <w:rFonts w:ascii="Arial" w:hAnsi="Arial" w:cs="Arial"/>
          <w:sz w:val="24"/>
          <w:szCs w:val="24"/>
        </w:rPr>
        <w:t xml:space="preserve"> was advised that the applicant </w:t>
      </w:r>
      <w:r w:rsidR="00600476">
        <w:rPr>
          <w:rFonts w:ascii="Arial" w:hAnsi="Arial" w:cs="Arial"/>
          <w:sz w:val="24"/>
          <w:szCs w:val="24"/>
        </w:rPr>
        <w:t>did</w:t>
      </w:r>
      <w:r>
        <w:rPr>
          <w:rFonts w:ascii="Arial" w:hAnsi="Arial" w:cs="Arial"/>
          <w:sz w:val="24"/>
          <w:szCs w:val="24"/>
        </w:rPr>
        <w:t xml:space="preserve"> not intend entering into a further lease agreement with the respondent and that it had to vacate the property by 1 November 2021. The respondent failed to do so and is still</w:t>
      </w:r>
      <w:r w:rsidR="008137A9">
        <w:rPr>
          <w:rFonts w:ascii="Arial" w:hAnsi="Arial" w:cs="Arial"/>
          <w:sz w:val="24"/>
          <w:szCs w:val="24"/>
        </w:rPr>
        <w:t>,</w:t>
      </w:r>
      <w:r>
        <w:rPr>
          <w:rFonts w:ascii="Arial" w:hAnsi="Arial" w:cs="Arial"/>
          <w:sz w:val="24"/>
          <w:szCs w:val="24"/>
        </w:rPr>
        <w:t xml:space="preserve"> </w:t>
      </w:r>
      <w:r w:rsidR="00BD6878">
        <w:rPr>
          <w:rFonts w:ascii="Arial" w:hAnsi="Arial" w:cs="Arial"/>
          <w:sz w:val="24"/>
          <w:szCs w:val="24"/>
        </w:rPr>
        <w:t xml:space="preserve">more than </w:t>
      </w:r>
      <w:r>
        <w:rPr>
          <w:rFonts w:ascii="Arial" w:hAnsi="Arial" w:cs="Arial"/>
          <w:sz w:val="24"/>
          <w:szCs w:val="24"/>
        </w:rPr>
        <w:t>a year late</w:t>
      </w:r>
      <w:r w:rsidR="00D2536F">
        <w:rPr>
          <w:rFonts w:ascii="Arial" w:hAnsi="Arial" w:cs="Arial"/>
          <w:sz w:val="24"/>
          <w:szCs w:val="24"/>
        </w:rPr>
        <w:t>r</w:t>
      </w:r>
      <w:r>
        <w:rPr>
          <w:rFonts w:ascii="Arial" w:hAnsi="Arial" w:cs="Arial"/>
          <w:sz w:val="24"/>
          <w:szCs w:val="24"/>
        </w:rPr>
        <w:t>, in occupation of the property.</w:t>
      </w:r>
    </w:p>
    <w:p w14:paraId="6534A79F" w14:textId="77777777" w:rsidR="00B22EAD" w:rsidRDefault="00B22EAD" w:rsidP="00600476">
      <w:pPr>
        <w:spacing w:line="480" w:lineRule="auto"/>
        <w:jc w:val="both"/>
        <w:rPr>
          <w:rFonts w:ascii="Arial" w:hAnsi="Arial" w:cs="Arial"/>
          <w:i/>
          <w:iCs/>
          <w:sz w:val="24"/>
          <w:szCs w:val="24"/>
          <w:u w:val="single"/>
        </w:rPr>
      </w:pPr>
    </w:p>
    <w:p w14:paraId="13028A55" w14:textId="52496857" w:rsidR="00813ED9" w:rsidRPr="003D3FEE" w:rsidRDefault="000E2B73" w:rsidP="00600476">
      <w:pPr>
        <w:spacing w:line="480" w:lineRule="auto"/>
        <w:jc w:val="both"/>
        <w:rPr>
          <w:rFonts w:ascii="Arial" w:hAnsi="Arial" w:cs="Arial"/>
          <w:i/>
          <w:iCs/>
          <w:sz w:val="24"/>
          <w:szCs w:val="24"/>
          <w:u w:val="single"/>
        </w:rPr>
      </w:pPr>
      <w:r w:rsidRPr="003D3FEE">
        <w:rPr>
          <w:rFonts w:ascii="Arial" w:hAnsi="Arial" w:cs="Arial"/>
          <w:i/>
          <w:iCs/>
          <w:sz w:val="24"/>
          <w:szCs w:val="24"/>
          <w:u w:val="single"/>
        </w:rPr>
        <w:t>The parties’ respective contentions:</w:t>
      </w:r>
    </w:p>
    <w:p w14:paraId="5AC93AF5" w14:textId="77777777" w:rsidR="00B22EAD" w:rsidRDefault="00B22EAD" w:rsidP="00600476">
      <w:pPr>
        <w:spacing w:line="480" w:lineRule="auto"/>
        <w:jc w:val="both"/>
        <w:rPr>
          <w:rFonts w:ascii="Arial" w:hAnsi="Arial" w:cs="Arial"/>
          <w:sz w:val="24"/>
          <w:szCs w:val="24"/>
        </w:rPr>
      </w:pPr>
    </w:p>
    <w:p w14:paraId="6381AAA1" w14:textId="665B030D" w:rsidR="007D112B" w:rsidRDefault="00F95FB6" w:rsidP="00600476">
      <w:pPr>
        <w:spacing w:line="480" w:lineRule="auto"/>
        <w:jc w:val="both"/>
        <w:rPr>
          <w:rFonts w:ascii="Arial" w:hAnsi="Arial" w:cs="Arial"/>
          <w:sz w:val="24"/>
          <w:szCs w:val="24"/>
        </w:rPr>
      </w:pPr>
      <w:r>
        <w:rPr>
          <w:rFonts w:ascii="Arial" w:hAnsi="Arial" w:cs="Arial"/>
          <w:sz w:val="24"/>
          <w:szCs w:val="24"/>
        </w:rPr>
        <w:t>[</w:t>
      </w:r>
      <w:r w:rsidR="008137A9">
        <w:rPr>
          <w:rFonts w:ascii="Arial" w:hAnsi="Arial" w:cs="Arial"/>
          <w:sz w:val="24"/>
          <w:szCs w:val="24"/>
        </w:rPr>
        <w:t>1</w:t>
      </w:r>
      <w:r w:rsidR="006A3E08">
        <w:rPr>
          <w:rFonts w:ascii="Arial" w:hAnsi="Arial" w:cs="Arial"/>
          <w:sz w:val="24"/>
          <w:szCs w:val="24"/>
        </w:rPr>
        <w:t>2</w:t>
      </w:r>
      <w:r>
        <w:rPr>
          <w:rFonts w:ascii="Arial" w:hAnsi="Arial" w:cs="Arial"/>
          <w:sz w:val="24"/>
          <w:szCs w:val="24"/>
        </w:rPr>
        <w:t>]</w:t>
      </w:r>
      <w:r>
        <w:rPr>
          <w:rFonts w:ascii="Arial" w:hAnsi="Arial" w:cs="Arial"/>
          <w:sz w:val="24"/>
          <w:szCs w:val="24"/>
        </w:rPr>
        <w:tab/>
        <w:t>It is the applicant’s case that the exhibition agreement is clear and unambiguous. The exhibition period was for the period 1 March 2021 to 31 March 2021</w:t>
      </w:r>
      <w:r w:rsidR="000E2B73">
        <w:rPr>
          <w:rFonts w:ascii="Arial" w:hAnsi="Arial" w:cs="Arial"/>
          <w:sz w:val="24"/>
          <w:szCs w:val="24"/>
        </w:rPr>
        <w:t>.</w:t>
      </w:r>
      <w:r>
        <w:rPr>
          <w:rFonts w:ascii="Arial" w:hAnsi="Arial" w:cs="Arial"/>
          <w:sz w:val="24"/>
          <w:szCs w:val="24"/>
        </w:rPr>
        <w:t xml:space="preserve"> The addendum agreements subsequently concluded, </w:t>
      </w:r>
      <w:r w:rsidR="0063049E">
        <w:rPr>
          <w:rFonts w:ascii="Arial" w:hAnsi="Arial" w:cs="Arial"/>
          <w:sz w:val="24"/>
          <w:szCs w:val="24"/>
        </w:rPr>
        <w:t xml:space="preserve">were </w:t>
      </w:r>
      <w:r>
        <w:rPr>
          <w:rFonts w:ascii="Arial" w:hAnsi="Arial" w:cs="Arial"/>
          <w:sz w:val="24"/>
          <w:szCs w:val="24"/>
        </w:rPr>
        <w:t xml:space="preserve">all three for fixed term periods, the last one </w:t>
      </w:r>
      <w:r w:rsidR="007D112B">
        <w:rPr>
          <w:rFonts w:ascii="Arial" w:hAnsi="Arial" w:cs="Arial"/>
          <w:sz w:val="24"/>
          <w:szCs w:val="24"/>
        </w:rPr>
        <w:t>being</w:t>
      </w:r>
      <w:r>
        <w:rPr>
          <w:rFonts w:ascii="Arial" w:hAnsi="Arial" w:cs="Arial"/>
          <w:sz w:val="24"/>
          <w:szCs w:val="24"/>
        </w:rPr>
        <w:t xml:space="preserve"> from 1 September 2021 to 3</w:t>
      </w:r>
      <w:r w:rsidR="008137A9">
        <w:rPr>
          <w:rFonts w:ascii="Arial" w:hAnsi="Arial" w:cs="Arial"/>
          <w:sz w:val="24"/>
          <w:szCs w:val="24"/>
        </w:rPr>
        <w:t>0</w:t>
      </w:r>
      <w:r>
        <w:rPr>
          <w:rFonts w:ascii="Arial" w:hAnsi="Arial" w:cs="Arial"/>
          <w:sz w:val="24"/>
          <w:szCs w:val="24"/>
        </w:rPr>
        <w:t xml:space="preserve"> </w:t>
      </w:r>
      <w:r w:rsidR="007D112B">
        <w:rPr>
          <w:rFonts w:ascii="Arial" w:hAnsi="Arial" w:cs="Arial"/>
          <w:sz w:val="24"/>
          <w:szCs w:val="24"/>
        </w:rPr>
        <w:t>September</w:t>
      </w:r>
      <w:r>
        <w:rPr>
          <w:rFonts w:ascii="Arial" w:hAnsi="Arial" w:cs="Arial"/>
          <w:sz w:val="24"/>
          <w:szCs w:val="24"/>
        </w:rPr>
        <w:t xml:space="preserve"> 2021. No further </w:t>
      </w:r>
      <w:r w:rsidR="00813ED9">
        <w:rPr>
          <w:rFonts w:ascii="Arial" w:hAnsi="Arial" w:cs="Arial"/>
          <w:sz w:val="24"/>
          <w:szCs w:val="24"/>
        </w:rPr>
        <w:t xml:space="preserve">agreement, </w:t>
      </w:r>
      <w:r>
        <w:rPr>
          <w:rFonts w:ascii="Arial" w:hAnsi="Arial" w:cs="Arial"/>
          <w:sz w:val="24"/>
          <w:szCs w:val="24"/>
        </w:rPr>
        <w:t>be it tacit or implied</w:t>
      </w:r>
      <w:r w:rsidR="0063049E">
        <w:rPr>
          <w:rFonts w:ascii="Arial" w:hAnsi="Arial" w:cs="Arial"/>
          <w:sz w:val="24"/>
          <w:szCs w:val="24"/>
        </w:rPr>
        <w:t>,</w:t>
      </w:r>
      <w:r>
        <w:rPr>
          <w:rFonts w:ascii="Arial" w:hAnsi="Arial" w:cs="Arial"/>
          <w:sz w:val="24"/>
          <w:szCs w:val="24"/>
        </w:rPr>
        <w:t xml:space="preserve"> was concluded between the </w:t>
      </w:r>
      <w:r w:rsidR="007D112B">
        <w:rPr>
          <w:rFonts w:ascii="Arial" w:hAnsi="Arial" w:cs="Arial"/>
          <w:sz w:val="24"/>
          <w:szCs w:val="24"/>
        </w:rPr>
        <w:t>parties</w:t>
      </w:r>
      <w:r w:rsidR="00813ED9">
        <w:rPr>
          <w:rFonts w:ascii="Arial" w:hAnsi="Arial" w:cs="Arial"/>
          <w:sz w:val="24"/>
          <w:szCs w:val="24"/>
        </w:rPr>
        <w:t xml:space="preserve">, even on the respondent’s version, </w:t>
      </w:r>
      <w:r>
        <w:rPr>
          <w:rFonts w:ascii="Arial" w:hAnsi="Arial" w:cs="Arial"/>
          <w:sz w:val="24"/>
          <w:szCs w:val="24"/>
        </w:rPr>
        <w:t>after the la</w:t>
      </w:r>
      <w:r w:rsidR="007D112B">
        <w:rPr>
          <w:rFonts w:ascii="Arial" w:hAnsi="Arial" w:cs="Arial"/>
          <w:sz w:val="24"/>
          <w:szCs w:val="24"/>
        </w:rPr>
        <w:t>s</w:t>
      </w:r>
      <w:r>
        <w:rPr>
          <w:rFonts w:ascii="Arial" w:hAnsi="Arial" w:cs="Arial"/>
          <w:sz w:val="24"/>
          <w:szCs w:val="24"/>
        </w:rPr>
        <w:t>t fixed term agreement came to an end</w:t>
      </w:r>
      <w:r w:rsidR="00813ED9">
        <w:rPr>
          <w:rFonts w:ascii="Arial" w:hAnsi="Arial" w:cs="Arial"/>
          <w:sz w:val="24"/>
          <w:szCs w:val="24"/>
        </w:rPr>
        <w:t xml:space="preserve"> on 30 September 2021. The respondent is therefor</w:t>
      </w:r>
      <w:r w:rsidR="004819E7">
        <w:rPr>
          <w:rFonts w:ascii="Arial" w:hAnsi="Arial" w:cs="Arial"/>
          <w:sz w:val="24"/>
          <w:szCs w:val="24"/>
        </w:rPr>
        <w:t>e</w:t>
      </w:r>
      <w:r w:rsidR="00813ED9">
        <w:rPr>
          <w:rFonts w:ascii="Arial" w:hAnsi="Arial" w:cs="Arial"/>
          <w:sz w:val="24"/>
          <w:szCs w:val="24"/>
        </w:rPr>
        <w:t xml:space="preserve"> in unlawful occupation and the applicant is entitled to an eviction order</w:t>
      </w:r>
      <w:r w:rsidR="007D112B">
        <w:rPr>
          <w:rFonts w:ascii="Arial" w:hAnsi="Arial" w:cs="Arial"/>
          <w:sz w:val="24"/>
          <w:szCs w:val="24"/>
        </w:rPr>
        <w:t>.</w:t>
      </w:r>
    </w:p>
    <w:p w14:paraId="007BD4D5" w14:textId="77777777" w:rsidR="008137A9" w:rsidRDefault="00813ED9" w:rsidP="00600476">
      <w:pPr>
        <w:spacing w:line="480" w:lineRule="auto"/>
        <w:jc w:val="both"/>
        <w:rPr>
          <w:rFonts w:ascii="Arial" w:hAnsi="Arial" w:cs="Arial"/>
          <w:sz w:val="24"/>
          <w:szCs w:val="24"/>
        </w:rPr>
      </w:pPr>
      <w:r>
        <w:rPr>
          <w:rFonts w:ascii="Arial" w:hAnsi="Arial" w:cs="Arial"/>
          <w:sz w:val="24"/>
          <w:szCs w:val="24"/>
        </w:rPr>
        <w:t xml:space="preserve"> </w:t>
      </w:r>
    </w:p>
    <w:p w14:paraId="29A0A9E6" w14:textId="1AB37726" w:rsidR="0078275A" w:rsidRDefault="0078275A" w:rsidP="00600476">
      <w:pPr>
        <w:spacing w:line="480" w:lineRule="auto"/>
        <w:jc w:val="both"/>
        <w:rPr>
          <w:rFonts w:ascii="Arial" w:hAnsi="Arial" w:cs="Arial"/>
          <w:sz w:val="24"/>
          <w:szCs w:val="24"/>
        </w:rPr>
      </w:pPr>
      <w:r>
        <w:rPr>
          <w:rFonts w:ascii="Arial" w:hAnsi="Arial" w:cs="Arial"/>
          <w:sz w:val="24"/>
          <w:szCs w:val="24"/>
        </w:rPr>
        <w:lastRenderedPageBreak/>
        <w:t>[1</w:t>
      </w:r>
      <w:r w:rsidR="006A3E08">
        <w:rPr>
          <w:rFonts w:ascii="Arial" w:hAnsi="Arial" w:cs="Arial"/>
          <w:sz w:val="24"/>
          <w:szCs w:val="24"/>
        </w:rPr>
        <w:t>3</w:t>
      </w:r>
      <w:r>
        <w:rPr>
          <w:rFonts w:ascii="Arial" w:hAnsi="Arial" w:cs="Arial"/>
          <w:sz w:val="24"/>
          <w:szCs w:val="24"/>
        </w:rPr>
        <w:t>]</w:t>
      </w:r>
      <w:r>
        <w:rPr>
          <w:rFonts w:ascii="Arial" w:hAnsi="Arial" w:cs="Arial"/>
          <w:sz w:val="24"/>
          <w:szCs w:val="24"/>
        </w:rPr>
        <w:tab/>
      </w:r>
      <w:r w:rsidR="00584364">
        <w:rPr>
          <w:rFonts w:ascii="Arial" w:hAnsi="Arial" w:cs="Arial"/>
          <w:sz w:val="24"/>
          <w:szCs w:val="24"/>
        </w:rPr>
        <w:t xml:space="preserve">The respondent </w:t>
      </w:r>
      <w:r w:rsidR="00813ED9">
        <w:rPr>
          <w:rFonts w:ascii="Arial" w:hAnsi="Arial" w:cs="Arial"/>
          <w:sz w:val="24"/>
          <w:szCs w:val="24"/>
        </w:rPr>
        <w:t>oppose</w:t>
      </w:r>
      <w:r w:rsidR="00584364">
        <w:rPr>
          <w:rFonts w:ascii="Arial" w:hAnsi="Arial" w:cs="Arial"/>
          <w:sz w:val="24"/>
          <w:szCs w:val="24"/>
        </w:rPr>
        <w:t>d</w:t>
      </w:r>
      <w:r w:rsidR="00813ED9">
        <w:rPr>
          <w:rFonts w:ascii="Arial" w:hAnsi="Arial" w:cs="Arial"/>
          <w:sz w:val="24"/>
          <w:szCs w:val="24"/>
        </w:rPr>
        <w:t xml:space="preserve"> the </w:t>
      </w:r>
      <w:r>
        <w:rPr>
          <w:rFonts w:ascii="Arial" w:hAnsi="Arial" w:cs="Arial"/>
          <w:sz w:val="24"/>
          <w:szCs w:val="24"/>
        </w:rPr>
        <w:t xml:space="preserve">relief sought by the applicant on two main </w:t>
      </w:r>
      <w:r w:rsidR="00D2536F">
        <w:rPr>
          <w:rFonts w:ascii="Arial" w:hAnsi="Arial" w:cs="Arial"/>
          <w:sz w:val="24"/>
          <w:szCs w:val="24"/>
        </w:rPr>
        <w:t>grounds, namely</w:t>
      </w:r>
      <w:r>
        <w:rPr>
          <w:rFonts w:ascii="Arial" w:hAnsi="Arial" w:cs="Arial"/>
          <w:sz w:val="24"/>
          <w:szCs w:val="24"/>
        </w:rPr>
        <w:t>.</w:t>
      </w:r>
    </w:p>
    <w:p w14:paraId="13A2B114" w14:textId="71E43F10" w:rsidR="0078275A" w:rsidRDefault="0078275A" w:rsidP="00600476">
      <w:pPr>
        <w:spacing w:line="480" w:lineRule="auto"/>
        <w:ind w:left="720"/>
        <w:jc w:val="both"/>
        <w:rPr>
          <w:rFonts w:ascii="Arial" w:hAnsi="Arial" w:cs="Arial"/>
          <w:sz w:val="24"/>
          <w:szCs w:val="24"/>
        </w:rPr>
      </w:pPr>
      <w:r>
        <w:rPr>
          <w:rFonts w:ascii="Arial" w:hAnsi="Arial" w:cs="Arial"/>
          <w:sz w:val="24"/>
          <w:szCs w:val="24"/>
        </w:rPr>
        <w:t>1</w:t>
      </w:r>
      <w:r w:rsidR="006A3E08">
        <w:rPr>
          <w:rFonts w:ascii="Arial" w:hAnsi="Arial" w:cs="Arial"/>
          <w:sz w:val="24"/>
          <w:szCs w:val="24"/>
        </w:rPr>
        <w:t>3</w:t>
      </w:r>
      <w:r>
        <w:rPr>
          <w:rFonts w:ascii="Arial" w:hAnsi="Arial" w:cs="Arial"/>
          <w:sz w:val="24"/>
          <w:szCs w:val="24"/>
        </w:rPr>
        <w:t>.1</w:t>
      </w:r>
      <w:r>
        <w:rPr>
          <w:rFonts w:ascii="Arial" w:hAnsi="Arial" w:cs="Arial"/>
          <w:sz w:val="24"/>
          <w:szCs w:val="24"/>
        </w:rPr>
        <w:tab/>
        <w:t xml:space="preserve">That the lease agreement between the </w:t>
      </w:r>
      <w:r w:rsidR="00600476">
        <w:rPr>
          <w:rFonts w:ascii="Arial" w:hAnsi="Arial" w:cs="Arial"/>
          <w:sz w:val="24"/>
          <w:szCs w:val="24"/>
        </w:rPr>
        <w:t>parties</w:t>
      </w:r>
      <w:r>
        <w:rPr>
          <w:rFonts w:ascii="Arial" w:hAnsi="Arial" w:cs="Arial"/>
          <w:sz w:val="24"/>
          <w:szCs w:val="24"/>
        </w:rPr>
        <w:t xml:space="preserve"> is an </w:t>
      </w:r>
      <w:r w:rsidR="00600476">
        <w:rPr>
          <w:rFonts w:ascii="Arial" w:hAnsi="Arial" w:cs="Arial"/>
          <w:sz w:val="24"/>
          <w:szCs w:val="24"/>
        </w:rPr>
        <w:t>indefinite</w:t>
      </w:r>
      <w:r>
        <w:rPr>
          <w:rFonts w:ascii="Arial" w:hAnsi="Arial" w:cs="Arial"/>
          <w:sz w:val="24"/>
          <w:szCs w:val="24"/>
        </w:rPr>
        <w:t xml:space="preserve"> lease on a month-to-month basis and therefore </w:t>
      </w:r>
      <w:r w:rsidR="00725822">
        <w:rPr>
          <w:rFonts w:ascii="Arial" w:hAnsi="Arial" w:cs="Arial"/>
          <w:sz w:val="24"/>
          <w:szCs w:val="24"/>
        </w:rPr>
        <w:t xml:space="preserve">the applicant was required to give, </w:t>
      </w:r>
      <w:r>
        <w:rPr>
          <w:rFonts w:ascii="Arial" w:hAnsi="Arial" w:cs="Arial"/>
          <w:sz w:val="24"/>
          <w:szCs w:val="24"/>
        </w:rPr>
        <w:t xml:space="preserve">at </w:t>
      </w:r>
      <w:r w:rsidR="00600476">
        <w:rPr>
          <w:rFonts w:ascii="Arial" w:hAnsi="Arial" w:cs="Arial"/>
          <w:sz w:val="24"/>
          <w:szCs w:val="24"/>
        </w:rPr>
        <w:t>least</w:t>
      </w:r>
      <w:r>
        <w:rPr>
          <w:rFonts w:ascii="Arial" w:hAnsi="Arial" w:cs="Arial"/>
          <w:sz w:val="24"/>
          <w:szCs w:val="24"/>
        </w:rPr>
        <w:t xml:space="preserve">, a month’s notice </w:t>
      </w:r>
      <w:r w:rsidR="00D2536F">
        <w:rPr>
          <w:rFonts w:ascii="Arial" w:hAnsi="Arial" w:cs="Arial"/>
          <w:sz w:val="24"/>
          <w:szCs w:val="24"/>
        </w:rPr>
        <w:t>to the respondent of the</w:t>
      </w:r>
      <w:r>
        <w:rPr>
          <w:rFonts w:ascii="Arial" w:hAnsi="Arial" w:cs="Arial"/>
          <w:sz w:val="24"/>
          <w:szCs w:val="24"/>
        </w:rPr>
        <w:t xml:space="preserve"> termination of the agreement and that the </w:t>
      </w:r>
      <w:r w:rsidR="00600476">
        <w:rPr>
          <w:rFonts w:ascii="Arial" w:hAnsi="Arial" w:cs="Arial"/>
          <w:sz w:val="24"/>
          <w:szCs w:val="24"/>
        </w:rPr>
        <w:t>applicant</w:t>
      </w:r>
      <w:r>
        <w:rPr>
          <w:rFonts w:ascii="Arial" w:hAnsi="Arial" w:cs="Arial"/>
          <w:sz w:val="24"/>
          <w:szCs w:val="24"/>
        </w:rPr>
        <w:t xml:space="preserve"> </w:t>
      </w:r>
      <w:r w:rsidR="00725822">
        <w:rPr>
          <w:rFonts w:ascii="Arial" w:hAnsi="Arial" w:cs="Arial"/>
          <w:sz w:val="24"/>
          <w:szCs w:val="24"/>
        </w:rPr>
        <w:t xml:space="preserve">failed to do </w:t>
      </w:r>
      <w:r w:rsidR="00804254">
        <w:rPr>
          <w:rFonts w:ascii="Arial" w:hAnsi="Arial" w:cs="Arial"/>
          <w:sz w:val="24"/>
          <w:szCs w:val="24"/>
        </w:rPr>
        <w:t>so.</w:t>
      </w:r>
    </w:p>
    <w:p w14:paraId="678DF8D9" w14:textId="59D064D0" w:rsidR="00671076" w:rsidRDefault="00035749" w:rsidP="00600476">
      <w:pPr>
        <w:spacing w:line="480" w:lineRule="auto"/>
        <w:ind w:left="720"/>
        <w:jc w:val="both"/>
        <w:rPr>
          <w:rFonts w:ascii="Arial" w:hAnsi="Arial" w:cs="Arial"/>
          <w:sz w:val="24"/>
          <w:szCs w:val="24"/>
        </w:rPr>
      </w:pPr>
      <w:r>
        <w:rPr>
          <w:rFonts w:ascii="Arial" w:hAnsi="Arial" w:cs="Arial"/>
          <w:sz w:val="24"/>
          <w:szCs w:val="24"/>
        </w:rPr>
        <w:t>1</w:t>
      </w:r>
      <w:r w:rsidR="006A3E08">
        <w:rPr>
          <w:rFonts w:ascii="Arial" w:hAnsi="Arial" w:cs="Arial"/>
          <w:sz w:val="24"/>
          <w:szCs w:val="24"/>
        </w:rPr>
        <w:t>3</w:t>
      </w:r>
      <w:r w:rsidR="0078275A">
        <w:rPr>
          <w:rFonts w:ascii="Arial" w:hAnsi="Arial" w:cs="Arial"/>
          <w:sz w:val="24"/>
          <w:szCs w:val="24"/>
        </w:rPr>
        <w:t>.2</w:t>
      </w:r>
      <w:r w:rsidR="0078275A">
        <w:rPr>
          <w:rFonts w:ascii="Arial" w:hAnsi="Arial" w:cs="Arial"/>
          <w:sz w:val="24"/>
          <w:szCs w:val="24"/>
        </w:rPr>
        <w:tab/>
      </w:r>
      <w:r w:rsidR="00D2536F">
        <w:rPr>
          <w:rFonts w:ascii="Arial" w:hAnsi="Arial" w:cs="Arial"/>
          <w:sz w:val="24"/>
          <w:szCs w:val="24"/>
        </w:rPr>
        <w:t>That t</w:t>
      </w:r>
      <w:r w:rsidR="0078275A">
        <w:rPr>
          <w:rFonts w:ascii="Arial" w:hAnsi="Arial" w:cs="Arial"/>
          <w:sz w:val="24"/>
          <w:szCs w:val="24"/>
        </w:rPr>
        <w:t xml:space="preserve">he applicant’s correspondence to the respondent requiring </w:t>
      </w:r>
      <w:r w:rsidR="00600476">
        <w:rPr>
          <w:rFonts w:ascii="Arial" w:hAnsi="Arial" w:cs="Arial"/>
          <w:sz w:val="24"/>
          <w:szCs w:val="24"/>
        </w:rPr>
        <w:t>the</w:t>
      </w:r>
      <w:r w:rsidR="0078275A">
        <w:rPr>
          <w:rFonts w:ascii="Arial" w:hAnsi="Arial" w:cs="Arial"/>
          <w:sz w:val="24"/>
          <w:szCs w:val="24"/>
        </w:rPr>
        <w:t xml:space="preserve"> respondent to vacate the premises at the end of September 2021 </w:t>
      </w:r>
      <w:r w:rsidR="008F7315">
        <w:rPr>
          <w:rFonts w:ascii="Arial" w:hAnsi="Arial" w:cs="Arial"/>
          <w:sz w:val="24"/>
          <w:szCs w:val="24"/>
        </w:rPr>
        <w:t xml:space="preserve">and </w:t>
      </w:r>
      <w:r w:rsidR="00FC4E09">
        <w:rPr>
          <w:rFonts w:ascii="Arial" w:hAnsi="Arial" w:cs="Arial"/>
          <w:sz w:val="24"/>
          <w:szCs w:val="24"/>
        </w:rPr>
        <w:t xml:space="preserve">later, </w:t>
      </w:r>
      <w:r w:rsidR="0078275A">
        <w:rPr>
          <w:rFonts w:ascii="Arial" w:hAnsi="Arial" w:cs="Arial"/>
          <w:sz w:val="24"/>
          <w:szCs w:val="24"/>
        </w:rPr>
        <w:t>in subsequent correspondence</w:t>
      </w:r>
      <w:r w:rsidR="00C63874">
        <w:rPr>
          <w:rFonts w:ascii="Arial" w:hAnsi="Arial" w:cs="Arial"/>
          <w:sz w:val="24"/>
          <w:szCs w:val="24"/>
        </w:rPr>
        <w:t xml:space="preserve">, </w:t>
      </w:r>
      <w:r w:rsidR="0078275A">
        <w:rPr>
          <w:rFonts w:ascii="Arial" w:hAnsi="Arial" w:cs="Arial"/>
          <w:sz w:val="24"/>
          <w:szCs w:val="24"/>
        </w:rPr>
        <w:t xml:space="preserve">by 1 </w:t>
      </w:r>
      <w:r w:rsidR="00600476">
        <w:rPr>
          <w:rFonts w:ascii="Arial" w:hAnsi="Arial" w:cs="Arial"/>
          <w:sz w:val="24"/>
          <w:szCs w:val="24"/>
        </w:rPr>
        <w:t>November</w:t>
      </w:r>
      <w:r w:rsidR="0078275A">
        <w:rPr>
          <w:rFonts w:ascii="Arial" w:hAnsi="Arial" w:cs="Arial"/>
          <w:sz w:val="24"/>
          <w:szCs w:val="24"/>
        </w:rPr>
        <w:t xml:space="preserve"> 2021</w:t>
      </w:r>
      <w:r w:rsidR="00D2536F">
        <w:rPr>
          <w:rFonts w:ascii="Arial" w:hAnsi="Arial" w:cs="Arial"/>
          <w:sz w:val="24"/>
          <w:szCs w:val="24"/>
        </w:rPr>
        <w:t>,</w:t>
      </w:r>
      <w:r w:rsidR="0078275A">
        <w:rPr>
          <w:rFonts w:ascii="Arial" w:hAnsi="Arial" w:cs="Arial"/>
          <w:sz w:val="24"/>
          <w:szCs w:val="24"/>
        </w:rPr>
        <w:t xml:space="preserve"> amounted to a formal notice of non-renewal of the lease agreement and neither Mr Buckle nor Mr Oliphant, w</w:t>
      </w:r>
      <w:r w:rsidR="0063049E">
        <w:rPr>
          <w:rFonts w:ascii="Arial" w:hAnsi="Arial" w:cs="Arial"/>
          <w:sz w:val="24"/>
          <w:szCs w:val="24"/>
        </w:rPr>
        <w:t>as</w:t>
      </w:r>
      <w:r w:rsidR="0078275A">
        <w:rPr>
          <w:rFonts w:ascii="Arial" w:hAnsi="Arial" w:cs="Arial"/>
          <w:sz w:val="24"/>
          <w:szCs w:val="24"/>
        </w:rPr>
        <w:t xml:space="preserve"> authorise</w:t>
      </w:r>
      <w:r w:rsidR="007D112B">
        <w:rPr>
          <w:rFonts w:ascii="Arial" w:hAnsi="Arial" w:cs="Arial"/>
          <w:sz w:val="24"/>
          <w:szCs w:val="24"/>
        </w:rPr>
        <w:t>d</w:t>
      </w:r>
      <w:r w:rsidR="0078275A">
        <w:rPr>
          <w:rFonts w:ascii="Arial" w:hAnsi="Arial" w:cs="Arial"/>
          <w:sz w:val="24"/>
          <w:szCs w:val="24"/>
        </w:rPr>
        <w:t xml:space="preserve"> to provide such notice to the respondent</w:t>
      </w:r>
      <w:r w:rsidR="00650FAF">
        <w:rPr>
          <w:rFonts w:ascii="Arial" w:hAnsi="Arial" w:cs="Arial"/>
          <w:sz w:val="24"/>
          <w:szCs w:val="24"/>
        </w:rPr>
        <w:t xml:space="preserve"> on behalf of the respondent</w:t>
      </w:r>
      <w:r w:rsidR="0078275A">
        <w:rPr>
          <w:rFonts w:ascii="Arial" w:hAnsi="Arial" w:cs="Arial"/>
          <w:sz w:val="24"/>
          <w:szCs w:val="24"/>
        </w:rPr>
        <w:t xml:space="preserve">. </w:t>
      </w:r>
    </w:p>
    <w:p w14:paraId="67F2AE9D" w14:textId="77777777" w:rsidR="0063049E" w:rsidRDefault="0063049E" w:rsidP="00991DD7">
      <w:pPr>
        <w:spacing w:line="480" w:lineRule="auto"/>
        <w:jc w:val="both"/>
        <w:rPr>
          <w:rFonts w:ascii="Arial" w:hAnsi="Arial" w:cs="Arial"/>
          <w:i/>
          <w:iCs/>
          <w:sz w:val="24"/>
          <w:szCs w:val="24"/>
          <w:u w:val="single"/>
        </w:rPr>
      </w:pPr>
    </w:p>
    <w:p w14:paraId="1D26F35C" w14:textId="10DC2135" w:rsidR="00991DD7" w:rsidRPr="003D3FEE" w:rsidRDefault="00991DD7" w:rsidP="00991DD7">
      <w:pPr>
        <w:spacing w:line="480" w:lineRule="auto"/>
        <w:jc w:val="both"/>
        <w:rPr>
          <w:rFonts w:ascii="Arial" w:hAnsi="Arial" w:cs="Arial"/>
          <w:i/>
          <w:iCs/>
          <w:sz w:val="24"/>
          <w:szCs w:val="24"/>
          <w:u w:val="single"/>
        </w:rPr>
      </w:pPr>
      <w:r w:rsidRPr="003D3FEE">
        <w:rPr>
          <w:rFonts w:ascii="Arial" w:hAnsi="Arial" w:cs="Arial"/>
          <w:i/>
          <w:iCs/>
          <w:sz w:val="24"/>
          <w:szCs w:val="24"/>
          <w:u w:val="single"/>
        </w:rPr>
        <w:t>The nature of the lease:</w:t>
      </w:r>
    </w:p>
    <w:p w14:paraId="76843CF2" w14:textId="77777777" w:rsidR="00B22EAD" w:rsidRDefault="00B22EAD" w:rsidP="00991DD7">
      <w:pPr>
        <w:spacing w:line="480" w:lineRule="auto"/>
        <w:jc w:val="both"/>
        <w:rPr>
          <w:rFonts w:ascii="Arial" w:hAnsi="Arial" w:cs="Arial"/>
          <w:sz w:val="24"/>
          <w:szCs w:val="24"/>
        </w:rPr>
      </w:pPr>
    </w:p>
    <w:p w14:paraId="7A52C624" w14:textId="11B7DB72" w:rsidR="00991DD7" w:rsidRDefault="00991DD7" w:rsidP="00991DD7">
      <w:pPr>
        <w:spacing w:line="480" w:lineRule="auto"/>
        <w:jc w:val="both"/>
        <w:rPr>
          <w:rFonts w:ascii="Arial" w:hAnsi="Arial" w:cs="Arial"/>
          <w:sz w:val="24"/>
          <w:szCs w:val="24"/>
        </w:rPr>
      </w:pPr>
      <w:r>
        <w:rPr>
          <w:rFonts w:ascii="Arial" w:hAnsi="Arial" w:cs="Arial"/>
          <w:sz w:val="24"/>
          <w:szCs w:val="24"/>
        </w:rPr>
        <w:t>[1</w:t>
      </w:r>
      <w:r w:rsidR="006A3E08">
        <w:rPr>
          <w:rFonts w:ascii="Arial" w:hAnsi="Arial" w:cs="Arial"/>
          <w:sz w:val="24"/>
          <w:szCs w:val="24"/>
        </w:rPr>
        <w:t>4</w:t>
      </w:r>
      <w:r>
        <w:rPr>
          <w:rFonts w:ascii="Arial" w:hAnsi="Arial" w:cs="Arial"/>
          <w:sz w:val="24"/>
          <w:szCs w:val="24"/>
        </w:rPr>
        <w:t>]</w:t>
      </w:r>
      <w:r w:rsidR="000D201F">
        <w:rPr>
          <w:rFonts w:ascii="Arial" w:hAnsi="Arial" w:cs="Arial"/>
          <w:sz w:val="24"/>
          <w:szCs w:val="24"/>
        </w:rPr>
        <w:tab/>
      </w:r>
      <w:r>
        <w:rPr>
          <w:rFonts w:ascii="Arial" w:hAnsi="Arial" w:cs="Arial"/>
          <w:sz w:val="24"/>
          <w:szCs w:val="24"/>
        </w:rPr>
        <w:t xml:space="preserve">If the exhibition agreement and later addendums </w:t>
      </w:r>
      <w:r w:rsidR="0063049E">
        <w:rPr>
          <w:rFonts w:ascii="Arial" w:hAnsi="Arial" w:cs="Arial"/>
          <w:sz w:val="24"/>
          <w:szCs w:val="24"/>
        </w:rPr>
        <w:t>constitute</w:t>
      </w:r>
      <w:r w:rsidR="004E5E43">
        <w:rPr>
          <w:rFonts w:ascii="Arial" w:hAnsi="Arial" w:cs="Arial"/>
          <w:sz w:val="24"/>
          <w:szCs w:val="24"/>
        </w:rPr>
        <w:t>d</w:t>
      </w:r>
      <w:r w:rsidR="0063049E">
        <w:rPr>
          <w:rFonts w:ascii="Arial" w:hAnsi="Arial" w:cs="Arial"/>
          <w:sz w:val="24"/>
          <w:szCs w:val="24"/>
        </w:rPr>
        <w:t xml:space="preserve"> </w:t>
      </w:r>
      <w:r>
        <w:rPr>
          <w:rFonts w:ascii="Arial" w:hAnsi="Arial" w:cs="Arial"/>
          <w:sz w:val="24"/>
          <w:szCs w:val="24"/>
        </w:rPr>
        <w:t xml:space="preserve">an indefinite </w:t>
      </w:r>
      <w:r w:rsidR="006A3E08">
        <w:rPr>
          <w:rFonts w:ascii="Arial" w:hAnsi="Arial" w:cs="Arial"/>
          <w:sz w:val="24"/>
          <w:szCs w:val="24"/>
        </w:rPr>
        <w:t>month-to-month</w:t>
      </w:r>
      <w:r>
        <w:rPr>
          <w:rFonts w:ascii="Arial" w:hAnsi="Arial" w:cs="Arial"/>
          <w:sz w:val="24"/>
          <w:szCs w:val="24"/>
        </w:rPr>
        <w:t xml:space="preserve"> lease, reasonable notice would be</w:t>
      </w:r>
      <w:r w:rsidR="0063049E">
        <w:rPr>
          <w:rFonts w:ascii="Arial" w:hAnsi="Arial" w:cs="Arial"/>
          <w:sz w:val="24"/>
          <w:szCs w:val="24"/>
        </w:rPr>
        <w:t xml:space="preserve"> calculated</w:t>
      </w:r>
      <w:r>
        <w:rPr>
          <w:rFonts w:ascii="Arial" w:hAnsi="Arial" w:cs="Arial"/>
          <w:sz w:val="24"/>
          <w:szCs w:val="24"/>
        </w:rPr>
        <w:t>, with reference to the work of WE Cooper</w:t>
      </w:r>
      <w:r>
        <w:rPr>
          <w:rStyle w:val="FootnoteReference"/>
          <w:rFonts w:ascii="Arial" w:hAnsi="Arial" w:cs="Arial"/>
          <w:sz w:val="24"/>
          <w:szCs w:val="24"/>
        </w:rPr>
        <w:footnoteReference w:id="1"/>
      </w:r>
      <w:r>
        <w:rPr>
          <w:rFonts w:ascii="Arial" w:hAnsi="Arial" w:cs="Arial"/>
          <w:sz w:val="24"/>
          <w:szCs w:val="24"/>
        </w:rPr>
        <w:t xml:space="preserve">, as set out in the matter of </w:t>
      </w:r>
      <w:r w:rsidRPr="003D3FEE">
        <w:rPr>
          <w:rFonts w:ascii="Arial" w:hAnsi="Arial" w:cs="Arial"/>
          <w:bCs/>
          <w:sz w:val="24"/>
          <w:szCs w:val="24"/>
        </w:rPr>
        <w:t xml:space="preserve">Airports Company South Africa </w:t>
      </w:r>
      <w:r w:rsidR="00790641">
        <w:rPr>
          <w:rFonts w:ascii="Arial" w:hAnsi="Arial" w:cs="Arial"/>
          <w:bCs/>
          <w:sz w:val="24"/>
          <w:szCs w:val="24"/>
        </w:rPr>
        <w:t xml:space="preserve">Soc </w:t>
      </w:r>
      <w:r w:rsidRPr="003D3FEE">
        <w:rPr>
          <w:rFonts w:ascii="Arial" w:hAnsi="Arial" w:cs="Arial"/>
          <w:bCs/>
          <w:sz w:val="24"/>
          <w:szCs w:val="24"/>
        </w:rPr>
        <w:t>L</w:t>
      </w:r>
      <w:r w:rsidR="00742A7A">
        <w:rPr>
          <w:rFonts w:ascii="Arial" w:hAnsi="Arial" w:cs="Arial"/>
          <w:bCs/>
          <w:sz w:val="24"/>
          <w:szCs w:val="24"/>
        </w:rPr>
        <w:t>imited</w:t>
      </w:r>
      <w:r w:rsidRPr="003D3FEE">
        <w:rPr>
          <w:rFonts w:ascii="Arial" w:hAnsi="Arial" w:cs="Arial"/>
          <w:bCs/>
          <w:sz w:val="24"/>
          <w:szCs w:val="24"/>
        </w:rPr>
        <w:t xml:space="preserve"> v Airport Bookshops (Pty) Ltd t/a Exclusive Books </w:t>
      </w:r>
      <w:r>
        <w:rPr>
          <w:rFonts w:ascii="Arial" w:hAnsi="Arial" w:cs="Arial"/>
          <w:sz w:val="24"/>
          <w:szCs w:val="24"/>
        </w:rPr>
        <w:t xml:space="preserve">2017 (3) SA 128 (SCA) at para </w:t>
      </w:r>
      <w:r w:rsidR="0010149D">
        <w:rPr>
          <w:rFonts w:ascii="Arial" w:hAnsi="Arial" w:cs="Arial"/>
          <w:sz w:val="24"/>
          <w:szCs w:val="24"/>
        </w:rPr>
        <w:t>18</w:t>
      </w:r>
      <w:r w:rsidR="00CE2B19">
        <w:rPr>
          <w:rFonts w:ascii="Arial" w:hAnsi="Arial" w:cs="Arial"/>
          <w:sz w:val="24"/>
          <w:szCs w:val="24"/>
        </w:rPr>
        <w:t>,</w:t>
      </w:r>
      <w:r w:rsidR="0010149D">
        <w:rPr>
          <w:rFonts w:ascii="Arial" w:hAnsi="Arial" w:cs="Arial"/>
          <w:sz w:val="24"/>
          <w:szCs w:val="24"/>
        </w:rPr>
        <w:t xml:space="preserve"> </w:t>
      </w:r>
      <w:r>
        <w:rPr>
          <w:rFonts w:ascii="Arial" w:hAnsi="Arial" w:cs="Arial"/>
          <w:sz w:val="24"/>
          <w:szCs w:val="24"/>
        </w:rPr>
        <w:t>as follows:</w:t>
      </w:r>
    </w:p>
    <w:p w14:paraId="54885C59" w14:textId="42698E1A" w:rsidR="00991DD7" w:rsidRPr="00756616" w:rsidRDefault="00991DD7" w:rsidP="00991DD7">
      <w:pPr>
        <w:spacing w:line="480" w:lineRule="auto"/>
        <w:ind w:left="720"/>
        <w:jc w:val="both"/>
        <w:rPr>
          <w:rFonts w:ascii="Arial" w:hAnsi="Arial" w:cs="Arial"/>
          <w:i/>
        </w:rPr>
      </w:pPr>
      <w:r w:rsidRPr="00756616">
        <w:rPr>
          <w:rFonts w:ascii="Arial" w:hAnsi="Arial" w:cs="Arial"/>
          <w:i/>
        </w:rPr>
        <w:t xml:space="preserve">“A periodic lease continues until it is terminated by notice given by either party. In the absence of agreement to the contrary, notice must be given a reasonable time before the </w:t>
      </w:r>
      <w:r w:rsidRPr="00756616">
        <w:rPr>
          <w:rFonts w:ascii="Arial" w:hAnsi="Arial" w:cs="Arial"/>
          <w:i/>
        </w:rPr>
        <w:lastRenderedPageBreak/>
        <w:t xml:space="preserve">date on which a party decides to terminate the lease. The period of such notice must be such that the lessor has a reasonable opportunity of letting his premises or the lessee of finding other premises. A day’s notice is considered reasonable in the case of a daily lease; a week’s notice in the case of a weekly lease; and a month’s notice in the case of a monthly lease, but there is </w:t>
      </w:r>
      <w:r w:rsidRPr="005F7B75">
        <w:rPr>
          <w:rFonts w:ascii="Arial" w:hAnsi="Arial" w:cs="Arial"/>
          <w:i/>
        </w:rPr>
        <w:t>no</w:t>
      </w:r>
      <w:r w:rsidRPr="00756616">
        <w:rPr>
          <w:rFonts w:ascii="Arial" w:hAnsi="Arial" w:cs="Arial"/>
          <w:i/>
        </w:rPr>
        <w:t xml:space="preserve"> fixed rati</w:t>
      </w:r>
      <w:r w:rsidR="005F7B75">
        <w:rPr>
          <w:rFonts w:ascii="Arial" w:hAnsi="Arial" w:cs="Arial"/>
          <w:i/>
        </w:rPr>
        <w:t>o</w:t>
      </w:r>
      <w:r w:rsidRPr="00756616">
        <w:rPr>
          <w:rFonts w:ascii="Arial" w:hAnsi="Arial" w:cs="Arial"/>
          <w:i/>
        </w:rPr>
        <w:t xml:space="preserve"> between the period of the lease and the notice period</w:t>
      </w:r>
      <w:r w:rsidR="000D201F">
        <w:rPr>
          <w:rFonts w:ascii="Arial" w:hAnsi="Arial" w:cs="Arial"/>
          <w:i/>
        </w:rPr>
        <w:t>.</w:t>
      </w:r>
      <w:r w:rsidRPr="00756616">
        <w:rPr>
          <w:rFonts w:ascii="Arial" w:hAnsi="Arial" w:cs="Arial"/>
          <w:i/>
        </w:rPr>
        <w:t>”</w:t>
      </w:r>
      <w:r>
        <w:rPr>
          <w:rFonts w:ascii="Arial" w:hAnsi="Arial" w:cs="Arial"/>
          <w:i/>
        </w:rPr>
        <w:t xml:space="preserve"> </w:t>
      </w:r>
    </w:p>
    <w:p w14:paraId="0E4B932F" w14:textId="77777777" w:rsidR="00991DD7" w:rsidRDefault="00991DD7" w:rsidP="00991DD7">
      <w:pPr>
        <w:spacing w:line="480" w:lineRule="auto"/>
        <w:ind w:left="720"/>
        <w:jc w:val="both"/>
        <w:rPr>
          <w:rFonts w:ascii="Arial" w:hAnsi="Arial" w:cs="Arial"/>
          <w:i/>
        </w:rPr>
      </w:pPr>
    </w:p>
    <w:p w14:paraId="045A252E" w14:textId="18C1529A" w:rsidR="00991DD7" w:rsidRDefault="00991DD7" w:rsidP="00991DD7">
      <w:pPr>
        <w:spacing w:line="480" w:lineRule="auto"/>
        <w:jc w:val="both"/>
        <w:rPr>
          <w:rFonts w:ascii="Arial" w:hAnsi="Arial" w:cs="Arial"/>
          <w:sz w:val="24"/>
          <w:szCs w:val="24"/>
        </w:rPr>
      </w:pPr>
      <w:r>
        <w:rPr>
          <w:rFonts w:ascii="Arial" w:hAnsi="Arial" w:cs="Arial"/>
          <w:sz w:val="24"/>
          <w:szCs w:val="24"/>
        </w:rPr>
        <w:t>[1</w:t>
      </w:r>
      <w:r w:rsidR="006A3E08">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If the lease </w:t>
      </w:r>
      <w:r w:rsidR="00425375">
        <w:rPr>
          <w:rFonts w:ascii="Arial" w:hAnsi="Arial" w:cs="Arial"/>
          <w:sz w:val="24"/>
          <w:szCs w:val="24"/>
        </w:rPr>
        <w:t>was</w:t>
      </w:r>
      <w:r>
        <w:rPr>
          <w:rFonts w:ascii="Arial" w:hAnsi="Arial" w:cs="Arial"/>
          <w:sz w:val="24"/>
          <w:szCs w:val="24"/>
        </w:rPr>
        <w:t xml:space="preserve"> for a fixed term period and such period c</w:t>
      </w:r>
      <w:r w:rsidR="00532071">
        <w:rPr>
          <w:rFonts w:ascii="Arial" w:hAnsi="Arial" w:cs="Arial"/>
          <w:sz w:val="24"/>
          <w:szCs w:val="24"/>
        </w:rPr>
        <w:t>ame</w:t>
      </w:r>
      <w:r>
        <w:rPr>
          <w:rFonts w:ascii="Arial" w:hAnsi="Arial" w:cs="Arial"/>
          <w:sz w:val="24"/>
          <w:szCs w:val="24"/>
        </w:rPr>
        <w:t xml:space="preserve"> to an end, the position </w:t>
      </w:r>
      <w:r w:rsidR="006E3B98">
        <w:rPr>
          <w:rFonts w:ascii="Arial" w:hAnsi="Arial" w:cs="Arial"/>
          <w:sz w:val="24"/>
          <w:szCs w:val="24"/>
        </w:rPr>
        <w:t>is</w:t>
      </w:r>
      <w:r>
        <w:rPr>
          <w:rFonts w:ascii="Arial" w:hAnsi="Arial" w:cs="Arial"/>
          <w:sz w:val="24"/>
          <w:szCs w:val="24"/>
        </w:rPr>
        <w:t xml:space="preserve"> that the lease terminate</w:t>
      </w:r>
      <w:r w:rsidR="00A01624">
        <w:rPr>
          <w:rFonts w:ascii="Arial" w:hAnsi="Arial" w:cs="Arial"/>
          <w:sz w:val="24"/>
          <w:szCs w:val="24"/>
        </w:rPr>
        <w:t>s</w:t>
      </w:r>
      <w:r>
        <w:rPr>
          <w:rFonts w:ascii="Arial" w:hAnsi="Arial" w:cs="Arial"/>
          <w:sz w:val="24"/>
          <w:szCs w:val="24"/>
        </w:rPr>
        <w:t xml:space="preserve"> automatically by operation of law</w:t>
      </w:r>
      <w:r>
        <w:rPr>
          <w:rStyle w:val="FootnoteReference"/>
          <w:rFonts w:ascii="Arial" w:hAnsi="Arial" w:cs="Arial"/>
          <w:sz w:val="24"/>
          <w:szCs w:val="24"/>
        </w:rPr>
        <w:footnoteReference w:id="2"/>
      </w:r>
      <w:r>
        <w:rPr>
          <w:rFonts w:ascii="Arial" w:hAnsi="Arial" w:cs="Arial"/>
          <w:sz w:val="24"/>
          <w:szCs w:val="24"/>
        </w:rPr>
        <w:t xml:space="preserve">. De Villiers AJ in </w:t>
      </w:r>
      <w:r w:rsidRPr="003D3FEE">
        <w:rPr>
          <w:rFonts w:ascii="Arial" w:hAnsi="Arial" w:cs="Arial"/>
          <w:bCs/>
          <w:sz w:val="24"/>
          <w:szCs w:val="24"/>
        </w:rPr>
        <w:t>Tiopaizi v Bulawayo Municipality</w:t>
      </w:r>
      <w:r>
        <w:rPr>
          <w:rFonts w:ascii="Arial" w:hAnsi="Arial" w:cs="Arial"/>
          <w:sz w:val="24"/>
          <w:szCs w:val="24"/>
        </w:rPr>
        <w:t xml:space="preserve"> 1923</w:t>
      </w:r>
      <w:r w:rsidR="00AF37F3">
        <w:rPr>
          <w:rFonts w:ascii="Arial" w:hAnsi="Arial" w:cs="Arial"/>
          <w:sz w:val="24"/>
          <w:szCs w:val="24"/>
        </w:rPr>
        <w:t xml:space="preserve"> </w:t>
      </w:r>
      <w:r>
        <w:rPr>
          <w:rFonts w:ascii="Arial" w:hAnsi="Arial" w:cs="Arial"/>
          <w:sz w:val="24"/>
          <w:szCs w:val="24"/>
        </w:rPr>
        <w:t xml:space="preserve">(AD) 317 at 326 aptly stated the legal position </w:t>
      </w:r>
      <w:r w:rsidR="00CF65BB">
        <w:rPr>
          <w:rFonts w:ascii="Arial" w:hAnsi="Arial" w:cs="Arial"/>
          <w:sz w:val="24"/>
          <w:szCs w:val="24"/>
        </w:rPr>
        <w:t xml:space="preserve">in such situation </w:t>
      </w:r>
      <w:r>
        <w:rPr>
          <w:rFonts w:ascii="Arial" w:hAnsi="Arial" w:cs="Arial"/>
          <w:sz w:val="24"/>
          <w:szCs w:val="24"/>
        </w:rPr>
        <w:t xml:space="preserve">as follows: </w:t>
      </w:r>
    </w:p>
    <w:p w14:paraId="6C281020" w14:textId="66B01492" w:rsidR="000E2B73" w:rsidRDefault="00991DD7" w:rsidP="00991DD7">
      <w:pPr>
        <w:spacing w:line="480" w:lineRule="auto"/>
        <w:ind w:left="720"/>
        <w:jc w:val="both"/>
        <w:rPr>
          <w:rFonts w:ascii="Arial" w:hAnsi="Arial" w:cs="Arial"/>
          <w:i/>
        </w:rPr>
      </w:pPr>
      <w:r w:rsidRPr="0076293F">
        <w:rPr>
          <w:rFonts w:ascii="Arial" w:hAnsi="Arial" w:cs="Arial"/>
          <w:i/>
        </w:rPr>
        <w:t>“</w:t>
      </w:r>
      <w:r>
        <w:rPr>
          <w:rFonts w:ascii="Arial" w:hAnsi="Arial" w:cs="Arial"/>
          <w:i/>
        </w:rPr>
        <w:t>If</w:t>
      </w:r>
      <w:r w:rsidRPr="0076293F">
        <w:rPr>
          <w:rFonts w:ascii="Arial" w:hAnsi="Arial" w:cs="Arial"/>
          <w:i/>
        </w:rPr>
        <w:t xml:space="preserve"> parties agree upon a definite time for the expiration of the contract, it follows that no notice of termination is required. The contract expires by effluxion of time and with it the relationship of lessor and lessee ceases.” </w:t>
      </w:r>
    </w:p>
    <w:p w14:paraId="57FF8E57" w14:textId="77777777" w:rsidR="006A3E08" w:rsidRPr="00991DD7" w:rsidRDefault="006A3E08" w:rsidP="00991DD7">
      <w:pPr>
        <w:spacing w:line="480" w:lineRule="auto"/>
        <w:ind w:left="720"/>
        <w:jc w:val="both"/>
        <w:rPr>
          <w:rFonts w:ascii="Arial" w:hAnsi="Arial" w:cs="Arial"/>
          <w:i/>
        </w:rPr>
      </w:pPr>
    </w:p>
    <w:p w14:paraId="02047D0C" w14:textId="5B6AB583" w:rsidR="00DD7B5D" w:rsidRDefault="00991DD7" w:rsidP="008137A9">
      <w:pPr>
        <w:spacing w:line="480" w:lineRule="auto"/>
        <w:jc w:val="both"/>
        <w:rPr>
          <w:rFonts w:ascii="Arial" w:hAnsi="Arial" w:cs="Arial"/>
          <w:sz w:val="24"/>
          <w:szCs w:val="24"/>
        </w:rPr>
      </w:pPr>
      <w:r>
        <w:rPr>
          <w:rFonts w:ascii="Arial" w:hAnsi="Arial" w:cs="Arial"/>
          <w:sz w:val="24"/>
          <w:szCs w:val="24"/>
        </w:rPr>
        <w:t>[1</w:t>
      </w:r>
      <w:r w:rsidR="006A3E08">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813ED9">
        <w:rPr>
          <w:rFonts w:ascii="Arial" w:hAnsi="Arial" w:cs="Arial"/>
          <w:sz w:val="24"/>
          <w:szCs w:val="24"/>
        </w:rPr>
        <w:t xml:space="preserve">It was conceded by counsel for the applicant that </w:t>
      </w:r>
      <w:r w:rsidR="008B77BB">
        <w:rPr>
          <w:rFonts w:ascii="Arial" w:hAnsi="Arial" w:cs="Arial"/>
          <w:sz w:val="24"/>
          <w:szCs w:val="24"/>
        </w:rPr>
        <w:t xml:space="preserve">for </w:t>
      </w:r>
      <w:r w:rsidR="00813ED9">
        <w:rPr>
          <w:rFonts w:ascii="Arial" w:hAnsi="Arial" w:cs="Arial"/>
          <w:sz w:val="24"/>
          <w:szCs w:val="24"/>
        </w:rPr>
        <w:t xml:space="preserve">the months of April, May and June 2021, there must have been a tacit agreement or an </w:t>
      </w:r>
      <w:r w:rsidR="00DD7B5D">
        <w:rPr>
          <w:rFonts w:ascii="Arial" w:hAnsi="Arial" w:cs="Arial"/>
          <w:sz w:val="24"/>
          <w:szCs w:val="24"/>
        </w:rPr>
        <w:t>extension</w:t>
      </w:r>
      <w:r w:rsidR="00813ED9">
        <w:rPr>
          <w:rFonts w:ascii="Arial" w:hAnsi="Arial" w:cs="Arial"/>
          <w:sz w:val="24"/>
          <w:szCs w:val="24"/>
        </w:rPr>
        <w:t xml:space="preserve"> of the </w:t>
      </w:r>
      <w:r>
        <w:rPr>
          <w:rFonts w:ascii="Arial" w:hAnsi="Arial" w:cs="Arial"/>
          <w:sz w:val="24"/>
          <w:szCs w:val="24"/>
        </w:rPr>
        <w:t xml:space="preserve">initial </w:t>
      </w:r>
      <w:r w:rsidR="00813ED9">
        <w:rPr>
          <w:rFonts w:ascii="Arial" w:hAnsi="Arial" w:cs="Arial"/>
          <w:sz w:val="24"/>
          <w:szCs w:val="24"/>
        </w:rPr>
        <w:t>exhibition agreement in respect of the exhibition premises</w:t>
      </w:r>
      <w:r w:rsidR="00DD7B5D">
        <w:rPr>
          <w:rFonts w:ascii="Arial" w:hAnsi="Arial" w:cs="Arial"/>
          <w:sz w:val="24"/>
          <w:szCs w:val="24"/>
        </w:rPr>
        <w:t xml:space="preserve">. This tacit agreement, according to </w:t>
      </w:r>
      <w:r w:rsidR="0063049E">
        <w:rPr>
          <w:rFonts w:ascii="Arial" w:hAnsi="Arial" w:cs="Arial"/>
          <w:sz w:val="24"/>
          <w:szCs w:val="24"/>
        </w:rPr>
        <w:t>counsel for the respondent</w:t>
      </w:r>
      <w:r w:rsidR="00DD7B5D">
        <w:rPr>
          <w:rFonts w:ascii="Arial" w:hAnsi="Arial" w:cs="Arial"/>
          <w:sz w:val="24"/>
          <w:szCs w:val="24"/>
        </w:rPr>
        <w:t>, changed the exhibition agreement into an indefinite month</w:t>
      </w:r>
      <w:r w:rsidR="00A01624">
        <w:rPr>
          <w:rFonts w:ascii="Arial" w:hAnsi="Arial" w:cs="Arial"/>
          <w:sz w:val="24"/>
          <w:szCs w:val="24"/>
        </w:rPr>
        <w:t>-</w:t>
      </w:r>
      <w:r w:rsidR="00DD7B5D">
        <w:rPr>
          <w:rFonts w:ascii="Arial" w:hAnsi="Arial" w:cs="Arial"/>
          <w:sz w:val="24"/>
          <w:szCs w:val="24"/>
        </w:rPr>
        <w:t>to</w:t>
      </w:r>
      <w:r w:rsidR="00A01624">
        <w:rPr>
          <w:rFonts w:ascii="Arial" w:hAnsi="Arial" w:cs="Arial"/>
          <w:sz w:val="24"/>
          <w:szCs w:val="24"/>
        </w:rPr>
        <w:t>-</w:t>
      </w:r>
      <w:r w:rsidR="00DD7B5D">
        <w:rPr>
          <w:rFonts w:ascii="Arial" w:hAnsi="Arial" w:cs="Arial"/>
          <w:sz w:val="24"/>
          <w:szCs w:val="24"/>
        </w:rPr>
        <w:t xml:space="preserve"> month exhibition agreement and the applicant therefore had to provide the respondent </w:t>
      </w:r>
      <w:r w:rsidR="00DD7B5D">
        <w:rPr>
          <w:rFonts w:ascii="Arial" w:hAnsi="Arial" w:cs="Arial"/>
          <w:sz w:val="24"/>
          <w:szCs w:val="24"/>
        </w:rPr>
        <w:lastRenderedPageBreak/>
        <w:t xml:space="preserve">with a month’s notice for it </w:t>
      </w:r>
      <w:r>
        <w:rPr>
          <w:rFonts w:ascii="Arial" w:hAnsi="Arial" w:cs="Arial"/>
          <w:sz w:val="24"/>
          <w:szCs w:val="24"/>
        </w:rPr>
        <w:t xml:space="preserve">to </w:t>
      </w:r>
      <w:r w:rsidR="00DD7B5D">
        <w:rPr>
          <w:rFonts w:ascii="Arial" w:hAnsi="Arial" w:cs="Arial"/>
          <w:sz w:val="24"/>
          <w:szCs w:val="24"/>
        </w:rPr>
        <w:t>lawfully cancel the exhibition agreement.</w:t>
      </w:r>
      <w:r w:rsidR="009443F1">
        <w:rPr>
          <w:rFonts w:ascii="Arial" w:hAnsi="Arial" w:cs="Arial"/>
          <w:sz w:val="24"/>
          <w:szCs w:val="24"/>
        </w:rPr>
        <w:t xml:space="preserve"> It was common cause that if it was an indefinite lease agreement, the applicant gave </w:t>
      </w:r>
      <w:r w:rsidR="004A5761">
        <w:rPr>
          <w:rFonts w:ascii="Arial" w:hAnsi="Arial" w:cs="Arial"/>
          <w:sz w:val="24"/>
          <w:szCs w:val="24"/>
        </w:rPr>
        <w:t>short notice of cancellation.</w:t>
      </w:r>
    </w:p>
    <w:p w14:paraId="013DD5E2" w14:textId="77777777" w:rsidR="00991DD7" w:rsidRDefault="00991DD7" w:rsidP="008137A9">
      <w:pPr>
        <w:spacing w:line="480" w:lineRule="auto"/>
        <w:jc w:val="both"/>
        <w:rPr>
          <w:rFonts w:ascii="Arial" w:hAnsi="Arial" w:cs="Arial"/>
          <w:sz w:val="24"/>
          <w:szCs w:val="24"/>
        </w:rPr>
      </w:pPr>
    </w:p>
    <w:p w14:paraId="3C42EC23" w14:textId="6892E2A9" w:rsidR="005A4E0B" w:rsidRDefault="002C215C" w:rsidP="005A4E0B">
      <w:pPr>
        <w:spacing w:line="480" w:lineRule="auto"/>
        <w:jc w:val="both"/>
        <w:rPr>
          <w:rFonts w:ascii="Arial" w:hAnsi="Arial" w:cs="Arial"/>
          <w:sz w:val="24"/>
          <w:szCs w:val="24"/>
        </w:rPr>
      </w:pPr>
      <w:r>
        <w:rPr>
          <w:rFonts w:ascii="Arial" w:hAnsi="Arial" w:cs="Arial"/>
          <w:sz w:val="24"/>
          <w:szCs w:val="24"/>
        </w:rPr>
        <w:t xml:space="preserve"> </w:t>
      </w:r>
      <w:r w:rsidR="008B7652">
        <w:rPr>
          <w:rFonts w:ascii="Arial" w:hAnsi="Arial" w:cs="Arial"/>
          <w:sz w:val="24"/>
          <w:szCs w:val="24"/>
        </w:rPr>
        <w:t>[</w:t>
      </w:r>
      <w:r w:rsidR="006A3E08">
        <w:rPr>
          <w:rFonts w:ascii="Arial" w:hAnsi="Arial" w:cs="Arial"/>
          <w:sz w:val="24"/>
          <w:szCs w:val="24"/>
        </w:rPr>
        <w:t>17</w:t>
      </w:r>
      <w:r w:rsidR="008B7652">
        <w:rPr>
          <w:rFonts w:ascii="Arial" w:hAnsi="Arial" w:cs="Arial"/>
          <w:sz w:val="24"/>
          <w:szCs w:val="24"/>
        </w:rPr>
        <w:t>]</w:t>
      </w:r>
      <w:r w:rsidR="000D201F">
        <w:rPr>
          <w:rFonts w:ascii="Arial" w:hAnsi="Arial" w:cs="Arial"/>
          <w:sz w:val="24"/>
          <w:szCs w:val="24"/>
        </w:rPr>
        <w:tab/>
      </w:r>
      <w:r w:rsidR="00AD2280">
        <w:rPr>
          <w:rFonts w:ascii="Arial" w:hAnsi="Arial" w:cs="Arial"/>
          <w:sz w:val="24"/>
          <w:szCs w:val="24"/>
        </w:rPr>
        <w:t>In support of its argument that it was an indefinite lease agreement, t</w:t>
      </w:r>
      <w:r w:rsidR="005A4E0B">
        <w:rPr>
          <w:rFonts w:ascii="Arial" w:hAnsi="Arial" w:cs="Arial"/>
          <w:sz w:val="24"/>
          <w:szCs w:val="24"/>
        </w:rPr>
        <w:t xml:space="preserve">he respondent relied heavily on the fact that Mr Buckle, on 28 October 2021, after the exhibition agreement had expired according to the applicant in terms of the fixed term addendum, </w:t>
      </w:r>
      <w:r w:rsidR="002A5DF7">
        <w:rPr>
          <w:rFonts w:ascii="Arial" w:hAnsi="Arial" w:cs="Arial"/>
          <w:sz w:val="24"/>
          <w:szCs w:val="24"/>
        </w:rPr>
        <w:t xml:space="preserve">advised </w:t>
      </w:r>
      <w:r w:rsidR="005A4E0B">
        <w:rPr>
          <w:rFonts w:ascii="Arial" w:hAnsi="Arial" w:cs="Arial"/>
          <w:sz w:val="24"/>
          <w:szCs w:val="24"/>
        </w:rPr>
        <w:t>the respondent as follows:</w:t>
      </w:r>
    </w:p>
    <w:p w14:paraId="6E69CB8E" w14:textId="77777777" w:rsidR="005A4E0B" w:rsidRDefault="005A4E0B" w:rsidP="005A4E0B">
      <w:pPr>
        <w:spacing w:line="480" w:lineRule="auto"/>
        <w:ind w:left="720"/>
        <w:jc w:val="both"/>
        <w:rPr>
          <w:rFonts w:ascii="Arial" w:hAnsi="Arial" w:cs="Arial"/>
          <w:i/>
        </w:rPr>
      </w:pPr>
      <w:r w:rsidRPr="006A3E08">
        <w:rPr>
          <w:rFonts w:ascii="Arial" w:hAnsi="Arial" w:cs="Arial"/>
          <w:i/>
        </w:rPr>
        <w:t xml:space="preserve">“After much deliberation and weighing our options a business directive has been taken to not allow a further extension of your month-to-month agreement. I realise that this is unfortunate news and that it will have a real financial impact on us both, but the decision is final and won’t be reconsidered in any further deliberations  . . </w:t>
      </w:r>
      <w:r w:rsidR="00991DD7" w:rsidRPr="006A3E08">
        <w:rPr>
          <w:rFonts w:ascii="Arial" w:hAnsi="Arial" w:cs="Arial"/>
          <w:i/>
        </w:rPr>
        <w:t>Y</w:t>
      </w:r>
      <w:r w:rsidRPr="006A3E08">
        <w:rPr>
          <w:rFonts w:ascii="Arial" w:hAnsi="Arial" w:cs="Arial"/>
          <w:i/>
        </w:rPr>
        <w:t>our team will be required to vacate the mall at the end of the weekend as Nicolas requested a while ago. . .”</w:t>
      </w:r>
    </w:p>
    <w:p w14:paraId="6BB2F34E" w14:textId="77777777" w:rsidR="006A3E08" w:rsidRPr="006A3E08" w:rsidRDefault="006A3E08" w:rsidP="005A4E0B">
      <w:pPr>
        <w:spacing w:line="480" w:lineRule="auto"/>
        <w:ind w:left="720"/>
        <w:jc w:val="both"/>
        <w:rPr>
          <w:rFonts w:ascii="Arial" w:hAnsi="Arial" w:cs="Arial"/>
          <w:i/>
        </w:rPr>
      </w:pPr>
    </w:p>
    <w:p w14:paraId="4B2CE6C1" w14:textId="016B8578" w:rsidR="00991DD7" w:rsidRDefault="005A4E0B" w:rsidP="00600476">
      <w:pPr>
        <w:spacing w:line="480" w:lineRule="auto"/>
        <w:jc w:val="both"/>
        <w:rPr>
          <w:rFonts w:ascii="Arial" w:hAnsi="Arial" w:cs="Arial"/>
          <w:sz w:val="24"/>
          <w:szCs w:val="24"/>
        </w:rPr>
      </w:pPr>
      <w:r>
        <w:rPr>
          <w:rFonts w:ascii="Arial" w:hAnsi="Arial" w:cs="Arial"/>
          <w:sz w:val="24"/>
          <w:szCs w:val="24"/>
        </w:rPr>
        <w:t>[</w:t>
      </w:r>
      <w:r w:rsidR="008137A9">
        <w:rPr>
          <w:rFonts w:ascii="Arial" w:hAnsi="Arial" w:cs="Arial"/>
          <w:sz w:val="24"/>
          <w:szCs w:val="24"/>
        </w:rPr>
        <w:t>18</w:t>
      </w:r>
      <w:r>
        <w:rPr>
          <w:rFonts w:ascii="Arial" w:hAnsi="Arial" w:cs="Arial"/>
          <w:sz w:val="24"/>
          <w:szCs w:val="24"/>
        </w:rPr>
        <w:t>]</w:t>
      </w:r>
      <w:r>
        <w:rPr>
          <w:rFonts w:ascii="Arial" w:hAnsi="Arial" w:cs="Arial"/>
          <w:sz w:val="24"/>
          <w:szCs w:val="24"/>
        </w:rPr>
        <w:tab/>
        <w:t>In my view, having regard to the express and unambitious</w:t>
      </w:r>
      <w:r w:rsidR="0076293F">
        <w:rPr>
          <w:rFonts w:ascii="Arial" w:hAnsi="Arial" w:cs="Arial"/>
          <w:sz w:val="24"/>
          <w:szCs w:val="24"/>
        </w:rPr>
        <w:t xml:space="preserve"> wording of the three addendum agreements and regardless of the tacit agreement that existed in respect of April, May and June 2021, the parties entered into further fixed term agreements in respect of July, August and September 2021. </w:t>
      </w:r>
      <w:r w:rsidR="009C6AC3">
        <w:rPr>
          <w:rFonts w:ascii="Arial" w:hAnsi="Arial" w:cs="Arial"/>
          <w:sz w:val="24"/>
          <w:szCs w:val="24"/>
        </w:rPr>
        <w:t>In t</w:t>
      </w:r>
      <w:r w:rsidR="0076293F">
        <w:rPr>
          <w:rFonts w:ascii="Arial" w:hAnsi="Arial" w:cs="Arial"/>
          <w:sz w:val="24"/>
          <w:szCs w:val="24"/>
        </w:rPr>
        <w:t xml:space="preserve">he final fixed term </w:t>
      </w:r>
      <w:r w:rsidR="009C6AC3">
        <w:rPr>
          <w:rFonts w:ascii="Arial" w:hAnsi="Arial" w:cs="Arial"/>
          <w:sz w:val="24"/>
          <w:szCs w:val="24"/>
        </w:rPr>
        <w:t xml:space="preserve">exhibition </w:t>
      </w:r>
      <w:r w:rsidR="0076293F">
        <w:rPr>
          <w:rFonts w:ascii="Arial" w:hAnsi="Arial" w:cs="Arial"/>
          <w:sz w:val="24"/>
          <w:szCs w:val="24"/>
        </w:rPr>
        <w:t>agreement</w:t>
      </w:r>
      <w:r w:rsidR="009C6AC3">
        <w:rPr>
          <w:rFonts w:ascii="Arial" w:hAnsi="Arial" w:cs="Arial"/>
          <w:sz w:val="24"/>
          <w:szCs w:val="24"/>
        </w:rPr>
        <w:t>,</w:t>
      </w:r>
      <w:r w:rsidR="0076293F">
        <w:rPr>
          <w:rFonts w:ascii="Arial" w:hAnsi="Arial" w:cs="Arial"/>
          <w:sz w:val="24"/>
          <w:szCs w:val="24"/>
        </w:rPr>
        <w:t xml:space="preserve"> </w:t>
      </w:r>
      <w:r w:rsidR="009C6AC3">
        <w:rPr>
          <w:rFonts w:ascii="Arial" w:hAnsi="Arial" w:cs="Arial"/>
          <w:sz w:val="24"/>
          <w:szCs w:val="24"/>
        </w:rPr>
        <w:t>it is recorded, as was the case in respect of the previous two addendums,</w:t>
      </w:r>
      <w:r w:rsidR="000E2B73">
        <w:rPr>
          <w:rFonts w:ascii="Arial" w:hAnsi="Arial" w:cs="Arial"/>
          <w:sz w:val="24"/>
          <w:szCs w:val="24"/>
        </w:rPr>
        <w:t xml:space="preserve"> that </w:t>
      </w:r>
      <w:r w:rsidR="009C6AC3">
        <w:rPr>
          <w:rFonts w:ascii="Arial" w:hAnsi="Arial" w:cs="Arial"/>
          <w:sz w:val="24"/>
          <w:szCs w:val="24"/>
        </w:rPr>
        <w:t>the reason for the addendum</w:t>
      </w:r>
      <w:r w:rsidR="00654690">
        <w:rPr>
          <w:rFonts w:ascii="Arial" w:hAnsi="Arial" w:cs="Arial"/>
          <w:sz w:val="24"/>
          <w:szCs w:val="24"/>
        </w:rPr>
        <w:t>(s)</w:t>
      </w:r>
      <w:r w:rsidR="009C6AC3">
        <w:rPr>
          <w:rFonts w:ascii="Arial" w:hAnsi="Arial" w:cs="Arial"/>
          <w:sz w:val="24"/>
          <w:szCs w:val="24"/>
        </w:rPr>
        <w:t xml:space="preserve"> was to add additional dates, those being from 1 to 30 September 2021.</w:t>
      </w:r>
      <w:r w:rsidR="00991DD7">
        <w:rPr>
          <w:rFonts w:ascii="Arial" w:hAnsi="Arial" w:cs="Arial"/>
          <w:sz w:val="24"/>
          <w:szCs w:val="24"/>
        </w:rPr>
        <w:t xml:space="preserve"> Whatever the situation was prior to the further addendum</w:t>
      </w:r>
      <w:r w:rsidR="00C40842">
        <w:rPr>
          <w:rFonts w:ascii="Arial" w:hAnsi="Arial" w:cs="Arial"/>
          <w:sz w:val="24"/>
          <w:szCs w:val="24"/>
        </w:rPr>
        <w:t>(</w:t>
      </w:r>
      <w:r w:rsidR="00991DD7">
        <w:rPr>
          <w:rFonts w:ascii="Arial" w:hAnsi="Arial" w:cs="Arial"/>
          <w:sz w:val="24"/>
          <w:szCs w:val="24"/>
        </w:rPr>
        <w:t>s</w:t>
      </w:r>
      <w:r w:rsidR="00C40842">
        <w:rPr>
          <w:rFonts w:ascii="Arial" w:hAnsi="Arial" w:cs="Arial"/>
          <w:sz w:val="24"/>
          <w:szCs w:val="24"/>
        </w:rPr>
        <w:t>)</w:t>
      </w:r>
      <w:r w:rsidR="00991DD7">
        <w:rPr>
          <w:rFonts w:ascii="Arial" w:hAnsi="Arial" w:cs="Arial"/>
          <w:sz w:val="24"/>
          <w:szCs w:val="24"/>
        </w:rPr>
        <w:t xml:space="preserve"> being signed, is in my view irrelevant and does not change the terms of the addendum</w:t>
      </w:r>
      <w:r w:rsidR="00280D76">
        <w:rPr>
          <w:rFonts w:ascii="Arial" w:hAnsi="Arial" w:cs="Arial"/>
          <w:sz w:val="24"/>
          <w:szCs w:val="24"/>
        </w:rPr>
        <w:t>(</w:t>
      </w:r>
      <w:r w:rsidR="00991DD7">
        <w:rPr>
          <w:rFonts w:ascii="Arial" w:hAnsi="Arial" w:cs="Arial"/>
          <w:sz w:val="24"/>
          <w:szCs w:val="24"/>
        </w:rPr>
        <w:t>s</w:t>
      </w:r>
      <w:r w:rsidR="00280D76">
        <w:rPr>
          <w:rFonts w:ascii="Arial" w:hAnsi="Arial" w:cs="Arial"/>
          <w:sz w:val="24"/>
          <w:szCs w:val="24"/>
        </w:rPr>
        <w:t>)</w:t>
      </w:r>
      <w:r w:rsidR="00991DD7">
        <w:rPr>
          <w:rFonts w:ascii="Arial" w:hAnsi="Arial" w:cs="Arial"/>
          <w:sz w:val="24"/>
          <w:szCs w:val="24"/>
        </w:rPr>
        <w:t xml:space="preserve"> entered into between the parties. </w:t>
      </w:r>
    </w:p>
    <w:p w14:paraId="14EC089D" w14:textId="77777777" w:rsidR="00280D76" w:rsidRDefault="00280D76" w:rsidP="00600476">
      <w:pPr>
        <w:spacing w:line="480" w:lineRule="auto"/>
        <w:jc w:val="both"/>
        <w:rPr>
          <w:rFonts w:ascii="Arial" w:hAnsi="Arial" w:cs="Arial"/>
          <w:sz w:val="24"/>
          <w:szCs w:val="24"/>
        </w:rPr>
      </w:pPr>
    </w:p>
    <w:p w14:paraId="520CA0A3" w14:textId="3F39F9A5" w:rsidR="001B77EA" w:rsidRDefault="008137A9" w:rsidP="000E2B73">
      <w:pPr>
        <w:spacing w:line="480" w:lineRule="auto"/>
        <w:jc w:val="both"/>
        <w:rPr>
          <w:rFonts w:ascii="Arial" w:hAnsi="Arial" w:cs="Arial"/>
          <w:sz w:val="24"/>
          <w:szCs w:val="24"/>
        </w:rPr>
      </w:pPr>
      <w:r>
        <w:rPr>
          <w:rFonts w:ascii="Arial" w:hAnsi="Arial" w:cs="Arial"/>
          <w:sz w:val="24"/>
          <w:szCs w:val="24"/>
        </w:rPr>
        <w:t>[</w:t>
      </w:r>
      <w:r w:rsidR="006A3E08">
        <w:rPr>
          <w:rFonts w:ascii="Arial" w:hAnsi="Arial" w:cs="Arial"/>
          <w:sz w:val="24"/>
          <w:szCs w:val="24"/>
        </w:rPr>
        <w:t>19</w:t>
      </w:r>
      <w:r>
        <w:rPr>
          <w:rFonts w:ascii="Arial" w:hAnsi="Arial" w:cs="Arial"/>
          <w:sz w:val="24"/>
          <w:szCs w:val="24"/>
        </w:rPr>
        <w:t>]</w:t>
      </w:r>
      <w:r>
        <w:rPr>
          <w:rFonts w:ascii="Arial" w:hAnsi="Arial" w:cs="Arial"/>
          <w:sz w:val="24"/>
          <w:szCs w:val="24"/>
        </w:rPr>
        <w:tab/>
      </w:r>
      <w:r w:rsidR="00B528AD">
        <w:rPr>
          <w:rFonts w:ascii="Arial" w:hAnsi="Arial" w:cs="Arial"/>
          <w:sz w:val="24"/>
          <w:szCs w:val="24"/>
        </w:rPr>
        <w:t>The respondent</w:t>
      </w:r>
      <w:r w:rsidR="00737467">
        <w:rPr>
          <w:rFonts w:ascii="Arial" w:hAnsi="Arial" w:cs="Arial"/>
          <w:sz w:val="24"/>
          <w:szCs w:val="24"/>
        </w:rPr>
        <w:t xml:space="preserve">’s </w:t>
      </w:r>
      <w:r w:rsidR="007630FE">
        <w:rPr>
          <w:rFonts w:ascii="Arial" w:hAnsi="Arial" w:cs="Arial"/>
          <w:sz w:val="24"/>
          <w:szCs w:val="24"/>
        </w:rPr>
        <w:t xml:space="preserve">reliance on </w:t>
      </w:r>
      <w:r w:rsidR="00991DD7">
        <w:rPr>
          <w:rFonts w:ascii="Arial" w:hAnsi="Arial" w:cs="Arial"/>
          <w:sz w:val="24"/>
          <w:szCs w:val="24"/>
        </w:rPr>
        <w:t xml:space="preserve">the </w:t>
      </w:r>
      <w:r w:rsidR="00755738">
        <w:rPr>
          <w:rFonts w:ascii="Arial" w:hAnsi="Arial" w:cs="Arial"/>
          <w:sz w:val="24"/>
          <w:szCs w:val="24"/>
        </w:rPr>
        <w:t>email of Mr Buckle of 28 October 2021</w:t>
      </w:r>
      <w:r w:rsidR="00CE44F3">
        <w:rPr>
          <w:rFonts w:ascii="Arial" w:hAnsi="Arial" w:cs="Arial"/>
          <w:sz w:val="24"/>
          <w:szCs w:val="24"/>
        </w:rPr>
        <w:t xml:space="preserve"> that </w:t>
      </w:r>
      <w:r w:rsidR="00991DD7">
        <w:rPr>
          <w:rFonts w:ascii="Arial" w:hAnsi="Arial" w:cs="Arial"/>
          <w:sz w:val="24"/>
          <w:szCs w:val="24"/>
        </w:rPr>
        <w:t>there was a</w:t>
      </w:r>
      <w:r w:rsidR="0025090C">
        <w:rPr>
          <w:rFonts w:ascii="Arial" w:hAnsi="Arial" w:cs="Arial"/>
          <w:sz w:val="24"/>
          <w:szCs w:val="24"/>
        </w:rPr>
        <w:t>n</w:t>
      </w:r>
      <w:r w:rsidR="00991DD7">
        <w:rPr>
          <w:rFonts w:ascii="Arial" w:hAnsi="Arial" w:cs="Arial"/>
          <w:sz w:val="24"/>
          <w:szCs w:val="24"/>
        </w:rPr>
        <w:t xml:space="preserve"> </w:t>
      </w:r>
      <w:r w:rsidR="0025090C">
        <w:rPr>
          <w:rFonts w:ascii="Arial" w:hAnsi="Arial" w:cs="Arial"/>
          <w:sz w:val="24"/>
          <w:szCs w:val="24"/>
        </w:rPr>
        <w:t xml:space="preserve">indefinite </w:t>
      </w:r>
      <w:r w:rsidR="000D201F">
        <w:rPr>
          <w:rFonts w:ascii="Arial" w:hAnsi="Arial" w:cs="Arial"/>
          <w:sz w:val="24"/>
          <w:szCs w:val="24"/>
        </w:rPr>
        <w:t>month-to-month</w:t>
      </w:r>
      <w:r w:rsidR="0025090C">
        <w:rPr>
          <w:rFonts w:ascii="Arial" w:hAnsi="Arial" w:cs="Arial"/>
          <w:sz w:val="24"/>
          <w:szCs w:val="24"/>
        </w:rPr>
        <w:t xml:space="preserve"> exhibition agreement i</w:t>
      </w:r>
      <w:r w:rsidR="009436B6">
        <w:rPr>
          <w:rFonts w:ascii="Arial" w:hAnsi="Arial" w:cs="Arial"/>
          <w:sz w:val="24"/>
          <w:szCs w:val="24"/>
        </w:rPr>
        <w:t>s</w:t>
      </w:r>
      <w:r w:rsidR="0025090C">
        <w:rPr>
          <w:rFonts w:ascii="Arial" w:hAnsi="Arial" w:cs="Arial"/>
          <w:sz w:val="24"/>
          <w:szCs w:val="24"/>
        </w:rPr>
        <w:t xml:space="preserve"> </w:t>
      </w:r>
      <w:r w:rsidR="00975A2D">
        <w:rPr>
          <w:rFonts w:ascii="Arial" w:hAnsi="Arial" w:cs="Arial"/>
          <w:sz w:val="24"/>
          <w:szCs w:val="24"/>
        </w:rPr>
        <w:t>misplaced</w:t>
      </w:r>
      <w:r w:rsidR="00E8387C">
        <w:rPr>
          <w:rFonts w:ascii="Arial" w:hAnsi="Arial" w:cs="Arial"/>
          <w:sz w:val="24"/>
          <w:szCs w:val="24"/>
        </w:rPr>
        <w:t xml:space="preserve"> </w:t>
      </w:r>
      <w:r w:rsidR="001207F0">
        <w:rPr>
          <w:rFonts w:ascii="Arial" w:hAnsi="Arial" w:cs="Arial"/>
          <w:sz w:val="24"/>
          <w:szCs w:val="24"/>
        </w:rPr>
        <w:t xml:space="preserve">and I am </w:t>
      </w:r>
      <w:r w:rsidR="0025090C">
        <w:rPr>
          <w:rFonts w:ascii="Arial" w:hAnsi="Arial" w:cs="Arial"/>
          <w:sz w:val="24"/>
          <w:szCs w:val="24"/>
        </w:rPr>
        <w:t>not convinced that Mr Buckle was of the view that the parties had entered into an indefinite month</w:t>
      </w:r>
      <w:r w:rsidR="006E3B98">
        <w:rPr>
          <w:rFonts w:ascii="Arial" w:hAnsi="Arial" w:cs="Arial"/>
          <w:sz w:val="24"/>
          <w:szCs w:val="24"/>
        </w:rPr>
        <w:t>-</w:t>
      </w:r>
      <w:r w:rsidR="0025090C">
        <w:rPr>
          <w:rFonts w:ascii="Arial" w:hAnsi="Arial" w:cs="Arial"/>
          <w:sz w:val="24"/>
          <w:szCs w:val="24"/>
        </w:rPr>
        <w:t>to</w:t>
      </w:r>
      <w:r w:rsidR="006E3B98">
        <w:rPr>
          <w:rFonts w:ascii="Arial" w:hAnsi="Arial" w:cs="Arial"/>
          <w:sz w:val="24"/>
          <w:szCs w:val="24"/>
        </w:rPr>
        <w:t>-</w:t>
      </w:r>
      <w:r w:rsidR="0025090C">
        <w:rPr>
          <w:rFonts w:ascii="Arial" w:hAnsi="Arial" w:cs="Arial"/>
          <w:sz w:val="24"/>
          <w:szCs w:val="24"/>
        </w:rPr>
        <w:t>month exhibition agreement</w:t>
      </w:r>
      <w:r w:rsidR="006B5578">
        <w:rPr>
          <w:rFonts w:ascii="Arial" w:hAnsi="Arial" w:cs="Arial"/>
          <w:sz w:val="24"/>
          <w:szCs w:val="24"/>
        </w:rPr>
        <w:t xml:space="preserve">. To me, it </w:t>
      </w:r>
      <w:r w:rsidR="000A6E59">
        <w:rPr>
          <w:rFonts w:ascii="Arial" w:hAnsi="Arial" w:cs="Arial"/>
          <w:sz w:val="24"/>
          <w:szCs w:val="24"/>
        </w:rPr>
        <w:t xml:space="preserve">rather </w:t>
      </w:r>
      <w:r w:rsidR="006B5578">
        <w:rPr>
          <w:rFonts w:ascii="Arial" w:hAnsi="Arial" w:cs="Arial"/>
          <w:sz w:val="24"/>
          <w:szCs w:val="24"/>
        </w:rPr>
        <w:t xml:space="preserve">appears that he was </w:t>
      </w:r>
      <w:r w:rsidR="0025090C">
        <w:rPr>
          <w:rFonts w:ascii="Arial" w:hAnsi="Arial" w:cs="Arial"/>
          <w:sz w:val="24"/>
          <w:szCs w:val="24"/>
        </w:rPr>
        <w:t>simply reiterating what Mr Oliphant, the general manager of the applicant, had already advised the respondent on 19 October 2021</w:t>
      </w:r>
      <w:r w:rsidR="00BE4654">
        <w:rPr>
          <w:rFonts w:ascii="Arial" w:hAnsi="Arial" w:cs="Arial"/>
          <w:sz w:val="24"/>
          <w:szCs w:val="24"/>
        </w:rPr>
        <w:t xml:space="preserve"> in </w:t>
      </w:r>
      <w:r w:rsidR="0025090C">
        <w:rPr>
          <w:rFonts w:ascii="Arial" w:hAnsi="Arial" w:cs="Arial"/>
          <w:sz w:val="24"/>
          <w:szCs w:val="24"/>
        </w:rPr>
        <w:t>layman’s terms</w:t>
      </w:r>
      <w:r w:rsidR="00D8172D">
        <w:rPr>
          <w:rFonts w:ascii="Arial" w:hAnsi="Arial" w:cs="Arial"/>
          <w:sz w:val="24"/>
          <w:szCs w:val="24"/>
        </w:rPr>
        <w:t xml:space="preserve">: </w:t>
      </w:r>
      <w:r w:rsidR="0025090C">
        <w:rPr>
          <w:rFonts w:ascii="Arial" w:hAnsi="Arial" w:cs="Arial"/>
          <w:sz w:val="24"/>
          <w:szCs w:val="24"/>
        </w:rPr>
        <w:t xml:space="preserve">the applicant would no longer be entering into monthly addendums with the respondent and </w:t>
      </w:r>
      <w:r w:rsidR="00D8172D">
        <w:rPr>
          <w:rFonts w:ascii="Arial" w:hAnsi="Arial" w:cs="Arial"/>
          <w:sz w:val="24"/>
          <w:szCs w:val="24"/>
        </w:rPr>
        <w:t xml:space="preserve">it </w:t>
      </w:r>
      <w:r w:rsidR="0025090C">
        <w:rPr>
          <w:rFonts w:ascii="Arial" w:hAnsi="Arial" w:cs="Arial"/>
          <w:sz w:val="24"/>
          <w:szCs w:val="24"/>
        </w:rPr>
        <w:t>had to vacate the exhibition premises.</w:t>
      </w:r>
      <w:r w:rsidR="00530CED">
        <w:rPr>
          <w:rFonts w:ascii="Arial" w:hAnsi="Arial" w:cs="Arial"/>
          <w:sz w:val="24"/>
          <w:szCs w:val="24"/>
        </w:rPr>
        <w:t xml:space="preserve"> </w:t>
      </w:r>
      <w:r w:rsidR="00626C75">
        <w:rPr>
          <w:rFonts w:ascii="Arial" w:hAnsi="Arial" w:cs="Arial"/>
          <w:sz w:val="24"/>
          <w:szCs w:val="24"/>
        </w:rPr>
        <w:t>In any event, w</w:t>
      </w:r>
      <w:r w:rsidR="00530CED">
        <w:rPr>
          <w:rFonts w:ascii="Arial" w:hAnsi="Arial" w:cs="Arial"/>
          <w:sz w:val="24"/>
          <w:szCs w:val="24"/>
        </w:rPr>
        <w:t>hatever Mr Buckle may have thought</w:t>
      </w:r>
      <w:r w:rsidR="00626C75">
        <w:rPr>
          <w:rFonts w:ascii="Arial" w:hAnsi="Arial" w:cs="Arial"/>
          <w:sz w:val="24"/>
          <w:szCs w:val="24"/>
        </w:rPr>
        <w:t xml:space="preserve"> or opined</w:t>
      </w:r>
      <w:r w:rsidR="00530CED">
        <w:rPr>
          <w:rFonts w:ascii="Arial" w:hAnsi="Arial" w:cs="Arial"/>
          <w:sz w:val="24"/>
          <w:szCs w:val="24"/>
        </w:rPr>
        <w:t xml:space="preserve">, the </w:t>
      </w:r>
      <w:r w:rsidR="0075192F">
        <w:rPr>
          <w:rFonts w:ascii="Arial" w:hAnsi="Arial" w:cs="Arial"/>
          <w:sz w:val="24"/>
          <w:szCs w:val="24"/>
        </w:rPr>
        <w:t>express wording of the addendum to the e</w:t>
      </w:r>
      <w:r w:rsidR="00530CED">
        <w:rPr>
          <w:rFonts w:ascii="Arial" w:hAnsi="Arial" w:cs="Arial"/>
          <w:sz w:val="24"/>
          <w:szCs w:val="24"/>
        </w:rPr>
        <w:t>xhibition agreement</w:t>
      </w:r>
      <w:r w:rsidR="0075192F">
        <w:rPr>
          <w:rFonts w:ascii="Arial" w:hAnsi="Arial" w:cs="Arial"/>
          <w:sz w:val="24"/>
          <w:szCs w:val="24"/>
        </w:rPr>
        <w:t xml:space="preserve"> </w:t>
      </w:r>
      <w:r w:rsidR="000350C9">
        <w:rPr>
          <w:rFonts w:ascii="Arial" w:hAnsi="Arial" w:cs="Arial"/>
          <w:sz w:val="24"/>
          <w:szCs w:val="24"/>
        </w:rPr>
        <w:t xml:space="preserve">is that the right of the respondent to lawfully occupy the exhibition agreement </w:t>
      </w:r>
      <w:r w:rsidR="0024277C">
        <w:rPr>
          <w:rFonts w:ascii="Arial" w:hAnsi="Arial" w:cs="Arial"/>
          <w:sz w:val="24"/>
          <w:szCs w:val="24"/>
        </w:rPr>
        <w:t xml:space="preserve">would cease on </w:t>
      </w:r>
      <w:r w:rsidR="00530CED">
        <w:rPr>
          <w:rFonts w:ascii="Arial" w:hAnsi="Arial" w:cs="Arial"/>
          <w:sz w:val="24"/>
          <w:szCs w:val="24"/>
        </w:rPr>
        <w:t>30 September 2021</w:t>
      </w:r>
      <w:r w:rsidR="001B77EA">
        <w:rPr>
          <w:rFonts w:ascii="Arial" w:hAnsi="Arial" w:cs="Arial"/>
          <w:sz w:val="24"/>
          <w:szCs w:val="24"/>
        </w:rPr>
        <w:t xml:space="preserve">. </w:t>
      </w:r>
    </w:p>
    <w:p w14:paraId="7472C9FB" w14:textId="77777777" w:rsidR="000E2B73" w:rsidRDefault="000E2B73" w:rsidP="000E2B73">
      <w:pPr>
        <w:spacing w:line="480" w:lineRule="auto"/>
        <w:jc w:val="both"/>
        <w:rPr>
          <w:rFonts w:ascii="Arial" w:hAnsi="Arial" w:cs="Arial"/>
          <w:sz w:val="24"/>
          <w:szCs w:val="24"/>
        </w:rPr>
      </w:pPr>
    </w:p>
    <w:p w14:paraId="2FFE877F" w14:textId="72C4F402" w:rsidR="00307B31" w:rsidRDefault="000E2B73" w:rsidP="00307B31">
      <w:pPr>
        <w:spacing w:line="480" w:lineRule="auto"/>
        <w:jc w:val="both"/>
        <w:rPr>
          <w:rFonts w:ascii="Arial" w:hAnsi="Arial" w:cs="Arial"/>
          <w:sz w:val="24"/>
          <w:szCs w:val="24"/>
        </w:rPr>
      </w:pPr>
      <w:r>
        <w:rPr>
          <w:rFonts w:ascii="Arial" w:hAnsi="Arial" w:cs="Arial"/>
          <w:sz w:val="24"/>
          <w:szCs w:val="24"/>
        </w:rPr>
        <w:t>[</w:t>
      </w:r>
      <w:r w:rsidR="006A3E08">
        <w:rPr>
          <w:rFonts w:ascii="Arial" w:hAnsi="Arial" w:cs="Arial"/>
          <w:sz w:val="24"/>
          <w:szCs w:val="24"/>
        </w:rPr>
        <w:t>20</w:t>
      </w:r>
      <w:r>
        <w:rPr>
          <w:rFonts w:ascii="Arial" w:hAnsi="Arial" w:cs="Arial"/>
          <w:sz w:val="24"/>
          <w:szCs w:val="24"/>
        </w:rPr>
        <w:t>]</w:t>
      </w:r>
      <w:r>
        <w:rPr>
          <w:rFonts w:ascii="Arial" w:hAnsi="Arial" w:cs="Arial"/>
          <w:sz w:val="24"/>
          <w:szCs w:val="24"/>
        </w:rPr>
        <w:tab/>
      </w:r>
      <w:r w:rsidR="005846CF">
        <w:rPr>
          <w:rFonts w:ascii="Arial" w:hAnsi="Arial" w:cs="Arial"/>
          <w:sz w:val="24"/>
          <w:szCs w:val="24"/>
        </w:rPr>
        <w:t xml:space="preserve">Insofar as it was argued, although not stated as such in the opposing papers, that a further tacit agreement was entered into between the parties after the termination of the exhibition agreement whilst the respondent tried to negotiate with the applicant </w:t>
      </w:r>
      <w:r w:rsidR="003E2A1A">
        <w:rPr>
          <w:rFonts w:ascii="Arial" w:hAnsi="Arial" w:cs="Arial"/>
          <w:sz w:val="24"/>
          <w:szCs w:val="24"/>
        </w:rPr>
        <w:t xml:space="preserve">a </w:t>
      </w:r>
      <w:r w:rsidR="005846CF">
        <w:rPr>
          <w:rFonts w:ascii="Arial" w:hAnsi="Arial" w:cs="Arial"/>
          <w:sz w:val="24"/>
          <w:szCs w:val="24"/>
        </w:rPr>
        <w:t xml:space="preserve">further lease agreement, </w:t>
      </w:r>
      <w:r w:rsidR="00A677DB">
        <w:rPr>
          <w:rFonts w:ascii="Arial" w:hAnsi="Arial" w:cs="Arial"/>
          <w:sz w:val="24"/>
          <w:szCs w:val="24"/>
        </w:rPr>
        <w:t xml:space="preserve">I agree with </w:t>
      </w:r>
      <w:r w:rsidR="00C83A72">
        <w:rPr>
          <w:rFonts w:ascii="Arial" w:hAnsi="Arial" w:cs="Arial"/>
          <w:sz w:val="24"/>
          <w:szCs w:val="24"/>
        </w:rPr>
        <w:t>counsel for the applicant</w:t>
      </w:r>
      <w:r w:rsidR="00622F20">
        <w:rPr>
          <w:rFonts w:ascii="Arial" w:hAnsi="Arial" w:cs="Arial"/>
          <w:sz w:val="24"/>
          <w:szCs w:val="24"/>
        </w:rPr>
        <w:t>,</w:t>
      </w:r>
      <w:r w:rsidR="00C83A72">
        <w:rPr>
          <w:rFonts w:ascii="Arial" w:hAnsi="Arial" w:cs="Arial"/>
          <w:sz w:val="24"/>
          <w:szCs w:val="24"/>
        </w:rPr>
        <w:t xml:space="preserve"> </w:t>
      </w:r>
      <w:r w:rsidR="005846CF">
        <w:rPr>
          <w:rFonts w:ascii="Arial" w:hAnsi="Arial" w:cs="Arial"/>
          <w:sz w:val="24"/>
          <w:szCs w:val="24"/>
        </w:rPr>
        <w:t xml:space="preserve">with reference to the matter of </w:t>
      </w:r>
      <w:r w:rsidR="005846CF" w:rsidRPr="003D3FEE">
        <w:rPr>
          <w:rFonts w:ascii="Arial" w:hAnsi="Arial" w:cs="Arial"/>
          <w:bCs/>
          <w:sz w:val="24"/>
          <w:szCs w:val="24"/>
        </w:rPr>
        <w:t xml:space="preserve">Barkhuizen v Napier </w:t>
      </w:r>
      <w:r w:rsidR="005846CF">
        <w:rPr>
          <w:rFonts w:ascii="Arial" w:hAnsi="Arial" w:cs="Arial"/>
          <w:sz w:val="24"/>
          <w:szCs w:val="24"/>
        </w:rPr>
        <w:t>2007 (5) SA 323 (CC)</w:t>
      </w:r>
      <w:r w:rsidR="00C83A72">
        <w:rPr>
          <w:rFonts w:ascii="Arial" w:hAnsi="Arial" w:cs="Arial"/>
          <w:sz w:val="24"/>
          <w:szCs w:val="24"/>
        </w:rPr>
        <w:t>,</w:t>
      </w:r>
      <w:r w:rsidR="00A677DB">
        <w:rPr>
          <w:rFonts w:ascii="Arial" w:hAnsi="Arial" w:cs="Arial"/>
          <w:sz w:val="24"/>
          <w:szCs w:val="24"/>
        </w:rPr>
        <w:t xml:space="preserve"> </w:t>
      </w:r>
      <w:r>
        <w:rPr>
          <w:rFonts w:ascii="Arial" w:hAnsi="Arial" w:cs="Arial"/>
          <w:sz w:val="24"/>
          <w:szCs w:val="24"/>
        </w:rPr>
        <w:t>that any willingness by the applicant to engage with the respondent with a view of possibly extending the lease agreement or entering into a new lease agreement</w:t>
      </w:r>
      <w:r w:rsidR="00A677DB">
        <w:rPr>
          <w:rFonts w:ascii="Arial" w:hAnsi="Arial" w:cs="Arial"/>
          <w:sz w:val="24"/>
          <w:szCs w:val="24"/>
        </w:rPr>
        <w:t xml:space="preserve">, </w:t>
      </w:r>
      <w:r>
        <w:rPr>
          <w:rFonts w:ascii="Arial" w:hAnsi="Arial" w:cs="Arial"/>
          <w:sz w:val="24"/>
          <w:szCs w:val="24"/>
        </w:rPr>
        <w:t>did not result in any further agreement being entered into.</w:t>
      </w:r>
      <w:r w:rsidR="00A677DB">
        <w:rPr>
          <w:rStyle w:val="FootnoteReference"/>
          <w:rFonts w:ascii="Arial" w:hAnsi="Arial" w:cs="Arial"/>
          <w:sz w:val="24"/>
          <w:szCs w:val="24"/>
        </w:rPr>
        <w:footnoteReference w:id="3"/>
      </w:r>
      <w:r>
        <w:rPr>
          <w:rFonts w:ascii="Arial" w:hAnsi="Arial" w:cs="Arial"/>
          <w:sz w:val="24"/>
          <w:szCs w:val="24"/>
        </w:rPr>
        <w:t xml:space="preserve"> It was also not the respondent’s case that a new agreement was entered </w:t>
      </w:r>
      <w:r>
        <w:rPr>
          <w:rFonts w:ascii="Arial" w:hAnsi="Arial" w:cs="Arial"/>
          <w:sz w:val="24"/>
          <w:szCs w:val="24"/>
        </w:rPr>
        <w:lastRenderedPageBreak/>
        <w:t xml:space="preserve">into or that an extension was granted. </w:t>
      </w:r>
      <w:r w:rsidR="00E820C4">
        <w:rPr>
          <w:rFonts w:ascii="Arial" w:hAnsi="Arial" w:cs="Arial"/>
          <w:sz w:val="24"/>
          <w:szCs w:val="24"/>
        </w:rPr>
        <w:t>In fact, the contents of the correspondence between the parties</w:t>
      </w:r>
      <w:r w:rsidR="00DB6B3C">
        <w:rPr>
          <w:rFonts w:ascii="Arial" w:hAnsi="Arial" w:cs="Arial"/>
          <w:sz w:val="24"/>
          <w:szCs w:val="24"/>
        </w:rPr>
        <w:t xml:space="preserve"> shows that Mr Ahtsham </w:t>
      </w:r>
      <w:r w:rsidR="00D161C6">
        <w:rPr>
          <w:rFonts w:ascii="Arial" w:hAnsi="Arial" w:cs="Arial"/>
          <w:sz w:val="24"/>
          <w:szCs w:val="24"/>
        </w:rPr>
        <w:t xml:space="preserve">knew that the respondent had no right to remain in occupation of the premises. He was simply begging the applicant, for various reasons, </w:t>
      </w:r>
      <w:r w:rsidR="00BA7D48">
        <w:rPr>
          <w:rFonts w:ascii="Arial" w:hAnsi="Arial" w:cs="Arial"/>
          <w:sz w:val="24"/>
          <w:szCs w:val="24"/>
        </w:rPr>
        <w:t xml:space="preserve">to enter into a new lease agreement with the respondent after the </w:t>
      </w:r>
      <w:r w:rsidR="00386B62">
        <w:rPr>
          <w:rFonts w:ascii="Arial" w:hAnsi="Arial" w:cs="Arial"/>
          <w:sz w:val="24"/>
          <w:szCs w:val="24"/>
        </w:rPr>
        <w:t>exhibition agreement had terminated on 30 September 202</w:t>
      </w:r>
      <w:r w:rsidR="00384721">
        <w:rPr>
          <w:rFonts w:ascii="Arial" w:hAnsi="Arial" w:cs="Arial"/>
          <w:sz w:val="24"/>
          <w:szCs w:val="24"/>
        </w:rPr>
        <w:t>1.</w:t>
      </w:r>
      <w:r w:rsidR="00307B31">
        <w:rPr>
          <w:rFonts w:ascii="Arial" w:hAnsi="Arial" w:cs="Arial"/>
          <w:sz w:val="24"/>
          <w:szCs w:val="24"/>
        </w:rPr>
        <w:t xml:space="preserve"> He further did not complain that the </w:t>
      </w:r>
      <w:r w:rsidR="00E025B3">
        <w:rPr>
          <w:rFonts w:ascii="Arial" w:hAnsi="Arial" w:cs="Arial"/>
          <w:sz w:val="24"/>
          <w:szCs w:val="24"/>
        </w:rPr>
        <w:t xml:space="preserve">applicant had given the </w:t>
      </w:r>
      <w:r w:rsidR="00307B31">
        <w:rPr>
          <w:rFonts w:ascii="Arial" w:hAnsi="Arial" w:cs="Arial"/>
          <w:sz w:val="24"/>
          <w:szCs w:val="24"/>
        </w:rPr>
        <w:t xml:space="preserve">respondent short notice of </w:t>
      </w:r>
      <w:r w:rsidR="00F17AB9">
        <w:rPr>
          <w:rFonts w:ascii="Arial" w:hAnsi="Arial" w:cs="Arial"/>
          <w:sz w:val="24"/>
          <w:szCs w:val="24"/>
        </w:rPr>
        <w:t>termination,</w:t>
      </w:r>
      <w:r w:rsidR="00307B31">
        <w:rPr>
          <w:rFonts w:ascii="Arial" w:hAnsi="Arial" w:cs="Arial"/>
          <w:sz w:val="24"/>
          <w:szCs w:val="24"/>
        </w:rPr>
        <w:t xml:space="preserve"> </w:t>
      </w:r>
      <w:r w:rsidR="005B5568">
        <w:rPr>
          <w:rFonts w:ascii="Arial" w:hAnsi="Arial" w:cs="Arial"/>
          <w:sz w:val="24"/>
          <w:szCs w:val="24"/>
        </w:rPr>
        <w:t xml:space="preserve">nor did he state that the respondent </w:t>
      </w:r>
      <w:r w:rsidR="00307B31">
        <w:rPr>
          <w:rFonts w:ascii="Arial" w:hAnsi="Arial" w:cs="Arial"/>
          <w:sz w:val="24"/>
          <w:szCs w:val="24"/>
        </w:rPr>
        <w:t xml:space="preserve">was entitled to a month’s notice in order for the exhibition agreement to be </w:t>
      </w:r>
      <w:r w:rsidR="00297952">
        <w:rPr>
          <w:rFonts w:ascii="Arial" w:hAnsi="Arial" w:cs="Arial"/>
          <w:sz w:val="24"/>
          <w:szCs w:val="24"/>
        </w:rPr>
        <w:t xml:space="preserve">validly </w:t>
      </w:r>
      <w:r w:rsidR="00307B31">
        <w:rPr>
          <w:rFonts w:ascii="Arial" w:hAnsi="Arial" w:cs="Arial"/>
          <w:sz w:val="24"/>
          <w:szCs w:val="24"/>
        </w:rPr>
        <w:t>cancelled</w:t>
      </w:r>
      <w:r w:rsidR="00297952">
        <w:rPr>
          <w:rFonts w:ascii="Arial" w:hAnsi="Arial" w:cs="Arial"/>
          <w:sz w:val="24"/>
          <w:szCs w:val="24"/>
        </w:rPr>
        <w:t>.</w:t>
      </w:r>
      <w:r w:rsidR="00307B31">
        <w:rPr>
          <w:rFonts w:ascii="Arial" w:hAnsi="Arial" w:cs="Arial"/>
          <w:sz w:val="24"/>
          <w:szCs w:val="24"/>
        </w:rPr>
        <w:t xml:space="preserve"> </w:t>
      </w:r>
    </w:p>
    <w:p w14:paraId="4D3B5D70" w14:textId="52A0D453" w:rsidR="00384721" w:rsidRDefault="00384721" w:rsidP="00C75D94">
      <w:pPr>
        <w:spacing w:line="480" w:lineRule="auto"/>
        <w:jc w:val="both"/>
        <w:rPr>
          <w:rFonts w:ascii="Arial" w:hAnsi="Arial" w:cs="Arial"/>
          <w:sz w:val="24"/>
          <w:szCs w:val="24"/>
        </w:rPr>
      </w:pPr>
    </w:p>
    <w:p w14:paraId="046D0EB2" w14:textId="60A81406" w:rsidR="00A7244B" w:rsidRDefault="00755738" w:rsidP="00A7244B">
      <w:pPr>
        <w:spacing w:line="480" w:lineRule="auto"/>
        <w:jc w:val="both"/>
        <w:rPr>
          <w:rFonts w:ascii="Arial" w:hAnsi="Arial" w:cs="Arial"/>
          <w:sz w:val="24"/>
          <w:szCs w:val="24"/>
        </w:rPr>
      </w:pPr>
      <w:r>
        <w:rPr>
          <w:rFonts w:ascii="Arial" w:hAnsi="Arial" w:cs="Arial"/>
          <w:sz w:val="24"/>
          <w:szCs w:val="24"/>
        </w:rPr>
        <w:t>[</w:t>
      </w:r>
      <w:r w:rsidR="008137A9">
        <w:rPr>
          <w:rFonts w:ascii="Arial" w:hAnsi="Arial" w:cs="Arial"/>
          <w:sz w:val="24"/>
          <w:szCs w:val="24"/>
        </w:rPr>
        <w:t>2</w:t>
      </w:r>
      <w:r w:rsidR="006A3E08">
        <w:rPr>
          <w:rFonts w:ascii="Arial" w:hAnsi="Arial" w:cs="Arial"/>
          <w:sz w:val="24"/>
          <w:szCs w:val="24"/>
        </w:rPr>
        <w:t>1</w:t>
      </w:r>
      <w:r>
        <w:rPr>
          <w:rFonts w:ascii="Arial" w:hAnsi="Arial" w:cs="Arial"/>
          <w:sz w:val="24"/>
          <w:szCs w:val="24"/>
        </w:rPr>
        <w:t>]</w:t>
      </w:r>
      <w:r>
        <w:rPr>
          <w:rFonts w:ascii="Arial" w:hAnsi="Arial" w:cs="Arial"/>
          <w:sz w:val="24"/>
          <w:szCs w:val="24"/>
        </w:rPr>
        <w:tab/>
      </w:r>
      <w:r w:rsidR="00F17AB9">
        <w:rPr>
          <w:rFonts w:ascii="Arial" w:hAnsi="Arial" w:cs="Arial"/>
          <w:sz w:val="24"/>
          <w:szCs w:val="24"/>
        </w:rPr>
        <w:t xml:space="preserve">The uncontested terms of the </w:t>
      </w:r>
      <w:r w:rsidR="00AC6E18">
        <w:rPr>
          <w:rFonts w:ascii="Arial" w:hAnsi="Arial" w:cs="Arial"/>
          <w:sz w:val="24"/>
          <w:szCs w:val="24"/>
        </w:rPr>
        <w:t xml:space="preserve">exhibition agreement and further addendums, </w:t>
      </w:r>
      <w:r w:rsidR="000A0A68">
        <w:rPr>
          <w:rFonts w:ascii="Arial" w:hAnsi="Arial" w:cs="Arial"/>
          <w:sz w:val="24"/>
          <w:szCs w:val="24"/>
        </w:rPr>
        <w:t xml:space="preserve">further and in any event, </w:t>
      </w:r>
      <w:r w:rsidR="00AC6E18">
        <w:rPr>
          <w:rFonts w:ascii="Arial" w:hAnsi="Arial" w:cs="Arial"/>
          <w:sz w:val="24"/>
          <w:szCs w:val="24"/>
        </w:rPr>
        <w:t xml:space="preserve">sets out in </w:t>
      </w:r>
      <w:r w:rsidR="00A7244B">
        <w:rPr>
          <w:rFonts w:ascii="Arial" w:hAnsi="Arial" w:cs="Arial"/>
          <w:sz w:val="24"/>
          <w:szCs w:val="24"/>
        </w:rPr>
        <w:t>clauses 6.1 and 6.3</w:t>
      </w:r>
      <w:r w:rsidR="00A7244B">
        <w:rPr>
          <w:rStyle w:val="FootnoteReference"/>
          <w:rFonts w:ascii="Arial" w:hAnsi="Arial" w:cs="Arial"/>
          <w:sz w:val="24"/>
          <w:szCs w:val="24"/>
        </w:rPr>
        <w:footnoteReference w:id="4"/>
      </w:r>
      <w:r w:rsidR="00087061">
        <w:rPr>
          <w:rFonts w:ascii="Arial" w:hAnsi="Arial" w:cs="Arial"/>
          <w:sz w:val="24"/>
          <w:szCs w:val="24"/>
        </w:rPr>
        <w:t xml:space="preserve">, that </w:t>
      </w:r>
      <w:r w:rsidR="009057B4">
        <w:rPr>
          <w:rFonts w:ascii="Arial" w:hAnsi="Arial" w:cs="Arial"/>
          <w:sz w:val="24"/>
          <w:szCs w:val="24"/>
        </w:rPr>
        <w:t xml:space="preserve">no amendments </w:t>
      </w:r>
      <w:r w:rsidR="00CD4791">
        <w:rPr>
          <w:rFonts w:ascii="Arial" w:hAnsi="Arial" w:cs="Arial"/>
          <w:sz w:val="24"/>
          <w:szCs w:val="24"/>
        </w:rPr>
        <w:t>or variations of the agreement</w:t>
      </w:r>
      <w:r w:rsidR="00DB3BFC">
        <w:rPr>
          <w:rFonts w:ascii="Arial" w:hAnsi="Arial" w:cs="Arial"/>
          <w:sz w:val="24"/>
          <w:szCs w:val="24"/>
        </w:rPr>
        <w:t>(</w:t>
      </w:r>
      <w:r w:rsidR="00CD4791">
        <w:rPr>
          <w:rFonts w:ascii="Arial" w:hAnsi="Arial" w:cs="Arial"/>
          <w:sz w:val="24"/>
          <w:szCs w:val="24"/>
        </w:rPr>
        <w:t>s</w:t>
      </w:r>
      <w:r w:rsidR="00DB3BFC">
        <w:rPr>
          <w:rFonts w:ascii="Arial" w:hAnsi="Arial" w:cs="Arial"/>
          <w:sz w:val="24"/>
          <w:szCs w:val="24"/>
        </w:rPr>
        <w:t>)</w:t>
      </w:r>
      <w:r w:rsidR="00CD4791">
        <w:rPr>
          <w:rFonts w:ascii="Arial" w:hAnsi="Arial" w:cs="Arial"/>
          <w:sz w:val="24"/>
          <w:szCs w:val="24"/>
        </w:rPr>
        <w:t xml:space="preserve"> will be valid unless reduced to writing and signed by bo</w:t>
      </w:r>
      <w:r w:rsidR="00F9417B">
        <w:rPr>
          <w:rFonts w:ascii="Arial" w:hAnsi="Arial" w:cs="Arial"/>
          <w:sz w:val="24"/>
          <w:szCs w:val="24"/>
        </w:rPr>
        <w:t>th</w:t>
      </w:r>
      <w:r w:rsidR="00CD4791">
        <w:rPr>
          <w:rFonts w:ascii="Arial" w:hAnsi="Arial" w:cs="Arial"/>
          <w:sz w:val="24"/>
          <w:szCs w:val="24"/>
        </w:rPr>
        <w:t xml:space="preserve"> parties and that </w:t>
      </w:r>
      <w:r w:rsidR="00DB3BFC">
        <w:rPr>
          <w:rFonts w:ascii="Arial" w:hAnsi="Arial" w:cs="Arial"/>
          <w:sz w:val="24"/>
          <w:szCs w:val="24"/>
        </w:rPr>
        <w:t xml:space="preserve">the respondent </w:t>
      </w:r>
      <w:r w:rsidR="00255ECE">
        <w:rPr>
          <w:rFonts w:ascii="Arial" w:hAnsi="Arial" w:cs="Arial"/>
          <w:sz w:val="24"/>
          <w:szCs w:val="24"/>
        </w:rPr>
        <w:t xml:space="preserve">is precluded from relying on waiver </w:t>
      </w:r>
      <w:r w:rsidR="008A0A3F">
        <w:rPr>
          <w:rFonts w:ascii="Arial" w:hAnsi="Arial" w:cs="Arial"/>
          <w:sz w:val="24"/>
          <w:szCs w:val="24"/>
        </w:rPr>
        <w:t>on the part of the applicant or estoppel</w:t>
      </w:r>
      <w:r w:rsidR="00F475C9">
        <w:rPr>
          <w:rFonts w:ascii="Arial" w:hAnsi="Arial" w:cs="Arial"/>
          <w:sz w:val="24"/>
          <w:szCs w:val="24"/>
        </w:rPr>
        <w:t xml:space="preserve"> in respect of any </w:t>
      </w:r>
      <w:r w:rsidR="00961295">
        <w:rPr>
          <w:rFonts w:ascii="Arial" w:hAnsi="Arial" w:cs="Arial"/>
          <w:sz w:val="24"/>
          <w:szCs w:val="24"/>
        </w:rPr>
        <w:t>term</w:t>
      </w:r>
      <w:r w:rsidR="00820164">
        <w:rPr>
          <w:rFonts w:ascii="Arial" w:hAnsi="Arial" w:cs="Arial"/>
          <w:sz w:val="24"/>
          <w:szCs w:val="24"/>
        </w:rPr>
        <w:t xml:space="preserve"> or representation not recorded in the agreement.</w:t>
      </w:r>
    </w:p>
    <w:p w14:paraId="02F71D26" w14:textId="3FE3B142" w:rsidR="00530CED" w:rsidRDefault="003C4EE3" w:rsidP="00064CFA">
      <w:pPr>
        <w:spacing w:line="480" w:lineRule="auto"/>
        <w:jc w:val="both"/>
        <w:rPr>
          <w:rFonts w:ascii="Arial" w:hAnsi="Arial" w:cs="Arial"/>
          <w:sz w:val="24"/>
          <w:szCs w:val="24"/>
        </w:rPr>
      </w:pPr>
      <w:r>
        <w:rPr>
          <w:rFonts w:ascii="Arial" w:hAnsi="Arial" w:cs="Arial"/>
          <w:sz w:val="24"/>
          <w:szCs w:val="24"/>
        </w:rPr>
        <w:t xml:space="preserve"> </w:t>
      </w:r>
    </w:p>
    <w:p w14:paraId="24FC0833" w14:textId="5821B311" w:rsidR="00A02659" w:rsidRDefault="00755738" w:rsidP="00064CFA">
      <w:pPr>
        <w:spacing w:line="480" w:lineRule="auto"/>
        <w:jc w:val="both"/>
        <w:rPr>
          <w:rFonts w:ascii="Arial" w:hAnsi="Arial" w:cs="Arial"/>
          <w:sz w:val="24"/>
          <w:szCs w:val="24"/>
        </w:rPr>
      </w:pPr>
      <w:r>
        <w:rPr>
          <w:rFonts w:ascii="Arial" w:hAnsi="Arial" w:cs="Arial"/>
          <w:sz w:val="24"/>
          <w:szCs w:val="24"/>
        </w:rPr>
        <w:lastRenderedPageBreak/>
        <w:t>[</w:t>
      </w:r>
      <w:r w:rsidR="008137A9">
        <w:rPr>
          <w:rFonts w:ascii="Arial" w:hAnsi="Arial" w:cs="Arial"/>
          <w:sz w:val="24"/>
          <w:szCs w:val="24"/>
        </w:rPr>
        <w:t>2</w:t>
      </w:r>
      <w:r w:rsidR="006A3E08">
        <w:rPr>
          <w:rFonts w:ascii="Arial" w:hAnsi="Arial" w:cs="Arial"/>
          <w:sz w:val="24"/>
          <w:szCs w:val="24"/>
        </w:rPr>
        <w:t>2</w:t>
      </w:r>
      <w:r>
        <w:rPr>
          <w:rFonts w:ascii="Arial" w:hAnsi="Arial" w:cs="Arial"/>
          <w:sz w:val="24"/>
          <w:szCs w:val="24"/>
        </w:rPr>
        <w:t>]</w:t>
      </w:r>
      <w:r>
        <w:rPr>
          <w:rFonts w:ascii="Arial" w:hAnsi="Arial" w:cs="Arial"/>
          <w:sz w:val="24"/>
          <w:szCs w:val="24"/>
        </w:rPr>
        <w:tab/>
        <w:t xml:space="preserve">In the circumstances, I find that the </w:t>
      </w:r>
      <w:r w:rsidR="009C6AC3">
        <w:rPr>
          <w:rFonts w:ascii="Arial" w:hAnsi="Arial" w:cs="Arial"/>
          <w:sz w:val="24"/>
          <w:szCs w:val="24"/>
        </w:rPr>
        <w:t xml:space="preserve">parties had entered into a fixed term </w:t>
      </w:r>
      <w:r w:rsidR="00675628">
        <w:rPr>
          <w:rFonts w:ascii="Arial" w:hAnsi="Arial" w:cs="Arial"/>
          <w:sz w:val="24"/>
          <w:szCs w:val="24"/>
        </w:rPr>
        <w:t>exhibition</w:t>
      </w:r>
      <w:r>
        <w:rPr>
          <w:rFonts w:ascii="Arial" w:hAnsi="Arial" w:cs="Arial"/>
          <w:sz w:val="24"/>
          <w:szCs w:val="24"/>
        </w:rPr>
        <w:t xml:space="preserve"> agreement </w:t>
      </w:r>
      <w:r w:rsidR="009C6AC3">
        <w:rPr>
          <w:rFonts w:ascii="Arial" w:hAnsi="Arial" w:cs="Arial"/>
          <w:sz w:val="24"/>
          <w:szCs w:val="24"/>
        </w:rPr>
        <w:t xml:space="preserve">which terminated </w:t>
      </w:r>
      <w:r w:rsidR="00A02659">
        <w:rPr>
          <w:rFonts w:ascii="Arial" w:hAnsi="Arial" w:cs="Arial"/>
          <w:sz w:val="24"/>
          <w:szCs w:val="24"/>
        </w:rPr>
        <w:t xml:space="preserve">by operation of law </w:t>
      </w:r>
      <w:r w:rsidR="009C6AC3">
        <w:rPr>
          <w:rFonts w:ascii="Arial" w:hAnsi="Arial" w:cs="Arial"/>
          <w:sz w:val="24"/>
          <w:szCs w:val="24"/>
        </w:rPr>
        <w:t>on 3</w:t>
      </w:r>
      <w:r>
        <w:rPr>
          <w:rFonts w:ascii="Arial" w:hAnsi="Arial" w:cs="Arial"/>
          <w:sz w:val="24"/>
          <w:szCs w:val="24"/>
        </w:rPr>
        <w:t>0 September 202</w:t>
      </w:r>
      <w:r w:rsidR="002C2703">
        <w:rPr>
          <w:rFonts w:ascii="Arial" w:hAnsi="Arial" w:cs="Arial"/>
          <w:sz w:val="24"/>
          <w:szCs w:val="24"/>
        </w:rPr>
        <w:t xml:space="preserve">1 and </w:t>
      </w:r>
      <w:r w:rsidR="002C739A">
        <w:rPr>
          <w:rFonts w:ascii="Arial" w:hAnsi="Arial" w:cs="Arial"/>
          <w:sz w:val="24"/>
          <w:szCs w:val="24"/>
        </w:rPr>
        <w:t xml:space="preserve">that the respondent is in unlawful occupation of the exhibition premises. </w:t>
      </w:r>
      <w:r w:rsidR="009A69E1">
        <w:rPr>
          <w:rFonts w:ascii="Arial" w:hAnsi="Arial" w:cs="Arial"/>
          <w:sz w:val="24"/>
          <w:szCs w:val="24"/>
        </w:rPr>
        <w:t xml:space="preserve">In light of this finding it is not </w:t>
      </w:r>
      <w:r w:rsidR="002C739A">
        <w:rPr>
          <w:rFonts w:ascii="Arial" w:hAnsi="Arial" w:cs="Arial"/>
          <w:sz w:val="24"/>
          <w:szCs w:val="24"/>
        </w:rPr>
        <w:t xml:space="preserve">necessary </w:t>
      </w:r>
      <w:r w:rsidR="009A69E1">
        <w:rPr>
          <w:rFonts w:ascii="Arial" w:hAnsi="Arial" w:cs="Arial"/>
          <w:sz w:val="24"/>
          <w:szCs w:val="24"/>
        </w:rPr>
        <w:t>to deal with the</w:t>
      </w:r>
      <w:r w:rsidR="001C4C43">
        <w:rPr>
          <w:rFonts w:ascii="Arial" w:hAnsi="Arial" w:cs="Arial"/>
          <w:sz w:val="24"/>
          <w:szCs w:val="24"/>
        </w:rPr>
        <w:t xml:space="preserve"> whether the applicant’s representatives had </w:t>
      </w:r>
      <w:r w:rsidR="00923054">
        <w:rPr>
          <w:rFonts w:ascii="Arial" w:hAnsi="Arial" w:cs="Arial"/>
          <w:sz w:val="24"/>
          <w:szCs w:val="24"/>
        </w:rPr>
        <w:t xml:space="preserve">the necessary </w:t>
      </w:r>
      <w:r w:rsidR="009C6AC3">
        <w:rPr>
          <w:rFonts w:ascii="Arial" w:hAnsi="Arial" w:cs="Arial"/>
          <w:sz w:val="24"/>
          <w:szCs w:val="24"/>
        </w:rPr>
        <w:t xml:space="preserve">authorisation </w:t>
      </w:r>
      <w:r w:rsidR="0088045A">
        <w:rPr>
          <w:rFonts w:ascii="Arial" w:hAnsi="Arial" w:cs="Arial"/>
          <w:sz w:val="24"/>
          <w:szCs w:val="24"/>
        </w:rPr>
        <w:t xml:space="preserve">to issue a notice of </w:t>
      </w:r>
      <w:r w:rsidR="00131E8A">
        <w:rPr>
          <w:rFonts w:ascii="Arial" w:hAnsi="Arial" w:cs="Arial"/>
          <w:sz w:val="24"/>
          <w:szCs w:val="24"/>
        </w:rPr>
        <w:t xml:space="preserve">non-renewal to the respondent </w:t>
      </w:r>
      <w:r w:rsidR="00923054">
        <w:rPr>
          <w:rFonts w:ascii="Arial" w:hAnsi="Arial" w:cs="Arial"/>
          <w:sz w:val="24"/>
          <w:szCs w:val="24"/>
        </w:rPr>
        <w:t>or w</w:t>
      </w:r>
      <w:r w:rsidR="009C6AC3">
        <w:rPr>
          <w:rFonts w:ascii="Arial" w:hAnsi="Arial" w:cs="Arial"/>
          <w:sz w:val="24"/>
          <w:szCs w:val="24"/>
        </w:rPr>
        <w:t>hether the applicant provided the respondent with reasonable notice</w:t>
      </w:r>
      <w:r w:rsidR="00A02659">
        <w:rPr>
          <w:rFonts w:ascii="Arial" w:hAnsi="Arial" w:cs="Arial"/>
          <w:sz w:val="24"/>
          <w:szCs w:val="24"/>
        </w:rPr>
        <w:t>.</w:t>
      </w:r>
    </w:p>
    <w:p w14:paraId="0581FE6A" w14:textId="77777777" w:rsidR="00CE5F83" w:rsidRDefault="00CE5F83" w:rsidP="00064CFA">
      <w:pPr>
        <w:spacing w:line="480" w:lineRule="auto"/>
        <w:jc w:val="both"/>
        <w:rPr>
          <w:rFonts w:ascii="Arial" w:hAnsi="Arial" w:cs="Arial"/>
          <w:sz w:val="24"/>
          <w:szCs w:val="24"/>
        </w:rPr>
      </w:pPr>
    </w:p>
    <w:p w14:paraId="131EF2BD" w14:textId="77777777" w:rsidR="00755738" w:rsidRPr="00BD5C97" w:rsidRDefault="00755738" w:rsidP="00064CFA">
      <w:pPr>
        <w:spacing w:line="480" w:lineRule="auto"/>
        <w:jc w:val="both"/>
        <w:rPr>
          <w:rFonts w:ascii="Arial" w:hAnsi="Arial" w:cs="Arial"/>
          <w:sz w:val="24"/>
          <w:szCs w:val="24"/>
          <w:u w:val="single"/>
        </w:rPr>
      </w:pPr>
      <w:r w:rsidRPr="00BD5C97">
        <w:rPr>
          <w:rFonts w:ascii="Arial" w:hAnsi="Arial" w:cs="Arial"/>
          <w:sz w:val="24"/>
          <w:szCs w:val="24"/>
          <w:u w:val="single"/>
        </w:rPr>
        <w:t>Condonation:</w:t>
      </w:r>
    </w:p>
    <w:p w14:paraId="17796E04" w14:textId="77777777" w:rsidR="00CE5F83" w:rsidRDefault="00CE5F83" w:rsidP="00064CFA">
      <w:pPr>
        <w:spacing w:line="480" w:lineRule="auto"/>
        <w:jc w:val="both"/>
        <w:rPr>
          <w:rFonts w:ascii="Arial" w:hAnsi="Arial" w:cs="Arial"/>
          <w:sz w:val="24"/>
          <w:szCs w:val="24"/>
        </w:rPr>
      </w:pPr>
    </w:p>
    <w:p w14:paraId="6E3E6BF3" w14:textId="1A034C1C" w:rsidR="00520B92" w:rsidRDefault="008137A9" w:rsidP="00064CFA">
      <w:pPr>
        <w:spacing w:line="480" w:lineRule="auto"/>
        <w:jc w:val="both"/>
        <w:rPr>
          <w:rFonts w:ascii="Arial" w:hAnsi="Arial" w:cs="Arial"/>
          <w:sz w:val="24"/>
          <w:szCs w:val="24"/>
        </w:rPr>
      </w:pPr>
      <w:r>
        <w:rPr>
          <w:rFonts w:ascii="Arial" w:hAnsi="Arial" w:cs="Arial"/>
          <w:sz w:val="24"/>
          <w:szCs w:val="24"/>
        </w:rPr>
        <w:t>[2</w:t>
      </w:r>
      <w:r w:rsidR="00D41248">
        <w:rPr>
          <w:rFonts w:ascii="Arial" w:hAnsi="Arial" w:cs="Arial"/>
          <w:sz w:val="24"/>
          <w:szCs w:val="24"/>
        </w:rPr>
        <w:t>3</w:t>
      </w:r>
      <w:r>
        <w:rPr>
          <w:rFonts w:ascii="Arial" w:hAnsi="Arial" w:cs="Arial"/>
          <w:sz w:val="24"/>
          <w:szCs w:val="24"/>
        </w:rPr>
        <w:t>]</w:t>
      </w:r>
      <w:r w:rsidR="00A02659">
        <w:rPr>
          <w:rFonts w:ascii="Arial" w:hAnsi="Arial" w:cs="Arial"/>
          <w:sz w:val="24"/>
          <w:szCs w:val="24"/>
        </w:rPr>
        <w:tab/>
        <w:t>The application was issued and served during December 2021</w:t>
      </w:r>
      <w:r w:rsidR="0067622B">
        <w:rPr>
          <w:rFonts w:ascii="Arial" w:hAnsi="Arial" w:cs="Arial"/>
          <w:sz w:val="24"/>
          <w:szCs w:val="24"/>
        </w:rPr>
        <w:t xml:space="preserve">. The respondent filed a notice of intention to defend on 22 December 2021 but simply failed to file opposing papers. </w:t>
      </w:r>
      <w:r w:rsidR="001933C8">
        <w:rPr>
          <w:rFonts w:ascii="Arial" w:hAnsi="Arial" w:cs="Arial"/>
          <w:sz w:val="24"/>
          <w:szCs w:val="24"/>
        </w:rPr>
        <w:t>The applicant</w:t>
      </w:r>
      <w:r w:rsidR="00001D42">
        <w:rPr>
          <w:rFonts w:ascii="Arial" w:hAnsi="Arial" w:cs="Arial"/>
          <w:sz w:val="24"/>
          <w:szCs w:val="24"/>
        </w:rPr>
        <w:t>,</w:t>
      </w:r>
      <w:r w:rsidR="001933C8">
        <w:rPr>
          <w:rFonts w:ascii="Arial" w:hAnsi="Arial" w:cs="Arial"/>
          <w:sz w:val="24"/>
          <w:szCs w:val="24"/>
        </w:rPr>
        <w:t xml:space="preserve"> due to the respondent’s inaction and in terms of Practice Directive </w:t>
      </w:r>
      <w:r w:rsidR="007E4994">
        <w:rPr>
          <w:rFonts w:ascii="Arial" w:hAnsi="Arial" w:cs="Arial"/>
          <w:sz w:val="24"/>
          <w:szCs w:val="24"/>
        </w:rPr>
        <w:t>3</w:t>
      </w:r>
      <w:r w:rsidR="001933C8">
        <w:rPr>
          <w:rFonts w:ascii="Arial" w:hAnsi="Arial" w:cs="Arial"/>
          <w:sz w:val="24"/>
          <w:szCs w:val="24"/>
        </w:rPr>
        <w:t>7</w:t>
      </w:r>
      <w:r w:rsidR="002A3422">
        <w:rPr>
          <w:rFonts w:ascii="Arial" w:hAnsi="Arial" w:cs="Arial"/>
          <w:sz w:val="24"/>
          <w:szCs w:val="24"/>
        </w:rPr>
        <w:t>(19)</w:t>
      </w:r>
      <w:r w:rsidR="00001D42">
        <w:rPr>
          <w:rFonts w:ascii="Arial" w:hAnsi="Arial" w:cs="Arial"/>
          <w:sz w:val="24"/>
          <w:szCs w:val="24"/>
        </w:rPr>
        <w:t>,</w:t>
      </w:r>
      <w:r w:rsidR="002A3422">
        <w:rPr>
          <w:rFonts w:ascii="Arial" w:hAnsi="Arial" w:cs="Arial"/>
          <w:sz w:val="24"/>
          <w:szCs w:val="24"/>
        </w:rPr>
        <w:t xml:space="preserve"> obtained an order on 3 March 2022 in terms whereof the respondent was ordered to file its opposing papers within </w:t>
      </w:r>
      <w:r w:rsidR="00483B38">
        <w:rPr>
          <w:rFonts w:ascii="Arial" w:hAnsi="Arial" w:cs="Arial"/>
          <w:sz w:val="24"/>
          <w:szCs w:val="24"/>
        </w:rPr>
        <w:t xml:space="preserve">10 days of service of the order. </w:t>
      </w:r>
      <w:r w:rsidR="00520B92">
        <w:rPr>
          <w:rFonts w:ascii="Arial" w:hAnsi="Arial" w:cs="Arial"/>
          <w:sz w:val="24"/>
          <w:szCs w:val="24"/>
        </w:rPr>
        <w:t xml:space="preserve">The respondent failed to comply with this order and </w:t>
      </w:r>
      <w:r w:rsidR="005F4AC9">
        <w:rPr>
          <w:rFonts w:ascii="Arial" w:hAnsi="Arial" w:cs="Arial"/>
          <w:sz w:val="24"/>
          <w:szCs w:val="24"/>
        </w:rPr>
        <w:t xml:space="preserve">only filed opposing papers </w:t>
      </w:r>
      <w:r w:rsidR="00A13096">
        <w:rPr>
          <w:rFonts w:ascii="Arial" w:hAnsi="Arial" w:cs="Arial"/>
          <w:sz w:val="24"/>
          <w:szCs w:val="24"/>
        </w:rPr>
        <w:t xml:space="preserve">on 18 May 2021. </w:t>
      </w:r>
    </w:p>
    <w:p w14:paraId="567EAFA9" w14:textId="42766754" w:rsidR="00126835" w:rsidRDefault="00D41248" w:rsidP="00064CFA">
      <w:pPr>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83B38">
        <w:rPr>
          <w:rFonts w:ascii="Arial" w:hAnsi="Arial" w:cs="Arial"/>
          <w:sz w:val="24"/>
          <w:szCs w:val="24"/>
        </w:rPr>
        <w:t xml:space="preserve">According to the respondent </w:t>
      </w:r>
      <w:r w:rsidR="00126835">
        <w:rPr>
          <w:rFonts w:ascii="Arial" w:hAnsi="Arial" w:cs="Arial"/>
          <w:sz w:val="24"/>
          <w:szCs w:val="24"/>
        </w:rPr>
        <w:t xml:space="preserve">its failure to comply with the order </w:t>
      </w:r>
      <w:r w:rsidR="00665F35">
        <w:rPr>
          <w:rFonts w:ascii="Arial" w:hAnsi="Arial" w:cs="Arial"/>
          <w:sz w:val="24"/>
          <w:szCs w:val="24"/>
        </w:rPr>
        <w:t xml:space="preserve">was </w:t>
      </w:r>
      <w:r w:rsidR="005566A5">
        <w:rPr>
          <w:rFonts w:ascii="Arial" w:hAnsi="Arial" w:cs="Arial"/>
          <w:sz w:val="24"/>
          <w:szCs w:val="24"/>
        </w:rPr>
        <w:t>because of</w:t>
      </w:r>
      <w:r w:rsidR="00665F35">
        <w:rPr>
          <w:rFonts w:ascii="Arial" w:hAnsi="Arial" w:cs="Arial"/>
          <w:sz w:val="24"/>
          <w:szCs w:val="24"/>
        </w:rPr>
        <w:t xml:space="preserve"> its attorney of record </w:t>
      </w:r>
      <w:r w:rsidR="00483B38">
        <w:rPr>
          <w:rFonts w:ascii="Arial" w:hAnsi="Arial" w:cs="Arial"/>
          <w:sz w:val="24"/>
          <w:szCs w:val="24"/>
        </w:rPr>
        <w:t>only bec</w:t>
      </w:r>
      <w:r w:rsidR="00665F35">
        <w:rPr>
          <w:rFonts w:ascii="Arial" w:hAnsi="Arial" w:cs="Arial"/>
          <w:sz w:val="24"/>
          <w:szCs w:val="24"/>
        </w:rPr>
        <w:t>o</w:t>
      </w:r>
      <w:r w:rsidR="00483B38">
        <w:rPr>
          <w:rFonts w:ascii="Arial" w:hAnsi="Arial" w:cs="Arial"/>
          <w:sz w:val="24"/>
          <w:szCs w:val="24"/>
        </w:rPr>
        <w:t>m</w:t>
      </w:r>
      <w:r w:rsidR="00665F35">
        <w:rPr>
          <w:rFonts w:ascii="Arial" w:hAnsi="Arial" w:cs="Arial"/>
          <w:sz w:val="24"/>
          <w:szCs w:val="24"/>
        </w:rPr>
        <w:t xml:space="preserve">ing </w:t>
      </w:r>
      <w:r w:rsidR="00483B38">
        <w:rPr>
          <w:rFonts w:ascii="Arial" w:hAnsi="Arial" w:cs="Arial"/>
          <w:sz w:val="24"/>
          <w:szCs w:val="24"/>
        </w:rPr>
        <w:t>aware of the order on 25 March 2022</w:t>
      </w:r>
      <w:r w:rsidR="005566A5">
        <w:rPr>
          <w:rFonts w:ascii="Arial" w:hAnsi="Arial" w:cs="Arial"/>
          <w:sz w:val="24"/>
          <w:szCs w:val="24"/>
        </w:rPr>
        <w:t>,</w:t>
      </w:r>
      <w:r w:rsidR="00483B38">
        <w:rPr>
          <w:rFonts w:ascii="Arial" w:hAnsi="Arial" w:cs="Arial"/>
          <w:sz w:val="24"/>
          <w:szCs w:val="24"/>
        </w:rPr>
        <w:t xml:space="preserve"> </w:t>
      </w:r>
      <w:r w:rsidR="004A5209">
        <w:rPr>
          <w:rFonts w:ascii="Arial" w:hAnsi="Arial" w:cs="Arial"/>
          <w:sz w:val="24"/>
          <w:szCs w:val="24"/>
        </w:rPr>
        <w:t xml:space="preserve">at which stage </w:t>
      </w:r>
      <w:r w:rsidR="00483B38">
        <w:rPr>
          <w:rFonts w:ascii="Arial" w:hAnsi="Arial" w:cs="Arial"/>
          <w:sz w:val="24"/>
          <w:szCs w:val="24"/>
        </w:rPr>
        <w:t xml:space="preserve">its </w:t>
      </w:r>
      <w:r w:rsidR="00A07978">
        <w:rPr>
          <w:rFonts w:ascii="Arial" w:hAnsi="Arial" w:cs="Arial"/>
          <w:sz w:val="24"/>
          <w:szCs w:val="24"/>
        </w:rPr>
        <w:t xml:space="preserve">chosen counsel was hospitalised and unable to </w:t>
      </w:r>
      <w:r w:rsidR="003A7C75">
        <w:rPr>
          <w:rFonts w:ascii="Arial" w:hAnsi="Arial" w:cs="Arial"/>
          <w:sz w:val="24"/>
          <w:szCs w:val="24"/>
        </w:rPr>
        <w:t>assist</w:t>
      </w:r>
      <w:r w:rsidR="004A5209">
        <w:rPr>
          <w:rFonts w:ascii="Arial" w:hAnsi="Arial" w:cs="Arial"/>
          <w:sz w:val="24"/>
          <w:szCs w:val="24"/>
        </w:rPr>
        <w:t xml:space="preserve">. Its </w:t>
      </w:r>
      <w:r w:rsidR="00751765">
        <w:rPr>
          <w:rFonts w:ascii="Arial" w:hAnsi="Arial" w:cs="Arial"/>
          <w:sz w:val="24"/>
          <w:szCs w:val="24"/>
        </w:rPr>
        <w:t xml:space="preserve">attorney </w:t>
      </w:r>
      <w:r w:rsidR="004A5209">
        <w:rPr>
          <w:rFonts w:ascii="Arial" w:hAnsi="Arial" w:cs="Arial"/>
          <w:sz w:val="24"/>
          <w:szCs w:val="24"/>
        </w:rPr>
        <w:t>of re</w:t>
      </w:r>
      <w:r w:rsidR="009B5C36">
        <w:rPr>
          <w:rFonts w:ascii="Arial" w:hAnsi="Arial" w:cs="Arial"/>
          <w:sz w:val="24"/>
          <w:szCs w:val="24"/>
        </w:rPr>
        <w:t xml:space="preserve">cord </w:t>
      </w:r>
      <w:r w:rsidR="004A5209">
        <w:rPr>
          <w:rFonts w:ascii="Arial" w:hAnsi="Arial" w:cs="Arial"/>
          <w:sz w:val="24"/>
          <w:szCs w:val="24"/>
        </w:rPr>
        <w:t xml:space="preserve">was further </w:t>
      </w:r>
      <w:r w:rsidR="00FC305E">
        <w:rPr>
          <w:rFonts w:ascii="Arial" w:hAnsi="Arial" w:cs="Arial"/>
          <w:sz w:val="24"/>
          <w:szCs w:val="24"/>
        </w:rPr>
        <w:t xml:space="preserve">on </w:t>
      </w:r>
      <w:r w:rsidR="008735A6">
        <w:rPr>
          <w:rFonts w:ascii="Arial" w:hAnsi="Arial" w:cs="Arial"/>
          <w:sz w:val="24"/>
          <w:szCs w:val="24"/>
        </w:rPr>
        <w:t>pilgrimage and out of the country for a period of two week</w:t>
      </w:r>
      <w:r w:rsidR="005566A5">
        <w:rPr>
          <w:rFonts w:ascii="Arial" w:hAnsi="Arial" w:cs="Arial"/>
          <w:sz w:val="24"/>
          <w:szCs w:val="24"/>
        </w:rPr>
        <w:t>s</w:t>
      </w:r>
      <w:r w:rsidR="008735A6">
        <w:rPr>
          <w:rFonts w:ascii="Arial" w:hAnsi="Arial" w:cs="Arial"/>
          <w:sz w:val="24"/>
          <w:szCs w:val="24"/>
        </w:rPr>
        <w:t xml:space="preserve"> during </w:t>
      </w:r>
      <w:r w:rsidR="006166F7">
        <w:rPr>
          <w:rFonts w:ascii="Arial" w:hAnsi="Arial" w:cs="Arial"/>
          <w:sz w:val="24"/>
          <w:szCs w:val="24"/>
        </w:rPr>
        <w:t>the end of April and the beginning of May 2022</w:t>
      </w:r>
      <w:r w:rsidR="009B5C36">
        <w:rPr>
          <w:rFonts w:ascii="Arial" w:hAnsi="Arial" w:cs="Arial"/>
          <w:sz w:val="24"/>
          <w:szCs w:val="24"/>
        </w:rPr>
        <w:t>.</w:t>
      </w:r>
    </w:p>
    <w:p w14:paraId="544FA987" w14:textId="17854534" w:rsidR="00043865" w:rsidRDefault="00751765" w:rsidP="00064CFA">
      <w:pPr>
        <w:spacing w:line="480" w:lineRule="auto"/>
        <w:jc w:val="both"/>
        <w:rPr>
          <w:rFonts w:ascii="Arial" w:hAnsi="Arial" w:cs="Arial"/>
          <w:sz w:val="24"/>
          <w:szCs w:val="24"/>
        </w:rPr>
      </w:pPr>
      <w:r>
        <w:rPr>
          <w:rFonts w:ascii="Arial" w:hAnsi="Arial" w:cs="Arial"/>
          <w:sz w:val="24"/>
          <w:szCs w:val="24"/>
        </w:rPr>
        <w:t>[2</w:t>
      </w:r>
      <w:r w:rsidR="001B729E">
        <w:rPr>
          <w:rFonts w:ascii="Arial" w:hAnsi="Arial" w:cs="Arial"/>
          <w:sz w:val="24"/>
          <w:szCs w:val="24"/>
        </w:rPr>
        <w:t>5</w:t>
      </w:r>
      <w:r>
        <w:rPr>
          <w:rFonts w:ascii="Arial" w:hAnsi="Arial" w:cs="Arial"/>
          <w:sz w:val="24"/>
          <w:szCs w:val="24"/>
        </w:rPr>
        <w:t>]</w:t>
      </w:r>
      <w:r>
        <w:rPr>
          <w:rFonts w:ascii="Arial" w:hAnsi="Arial" w:cs="Arial"/>
          <w:sz w:val="24"/>
          <w:szCs w:val="24"/>
        </w:rPr>
        <w:tab/>
      </w:r>
      <w:r w:rsidR="00672E1D">
        <w:rPr>
          <w:rFonts w:ascii="Arial" w:hAnsi="Arial" w:cs="Arial"/>
          <w:sz w:val="24"/>
          <w:szCs w:val="24"/>
        </w:rPr>
        <w:t>The respondent offered no explanation whatsoever as to why it failed to file opposing papers after it delivered a notice of intention to defend</w:t>
      </w:r>
      <w:r w:rsidR="00D22003">
        <w:rPr>
          <w:rFonts w:ascii="Arial" w:hAnsi="Arial" w:cs="Arial"/>
          <w:sz w:val="24"/>
          <w:szCs w:val="24"/>
        </w:rPr>
        <w:t xml:space="preserve"> and its explanation for </w:t>
      </w:r>
      <w:r w:rsidR="00D22003">
        <w:rPr>
          <w:rFonts w:ascii="Arial" w:hAnsi="Arial" w:cs="Arial"/>
          <w:sz w:val="24"/>
          <w:szCs w:val="24"/>
        </w:rPr>
        <w:lastRenderedPageBreak/>
        <w:t>its failure to comply</w:t>
      </w:r>
      <w:r w:rsidR="00EF28BC">
        <w:rPr>
          <w:rFonts w:ascii="Arial" w:hAnsi="Arial" w:cs="Arial"/>
          <w:sz w:val="24"/>
          <w:szCs w:val="24"/>
        </w:rPr>
        <w:t xml:space="preserve"> with the</w:t>
      </w:r>
      <w:r w:rsidR="004B6345">
        <w:rPr>
          <w:rFonts w:ascii="Arial" w:hAnsi="Arial" w:cs="Arial"/>
          <w:sz w:val="24"/>
          <w:szCs w:val="24"/>
        </w:rPr>
        <w:t xml:space="preserve"> order</w:t>
      </w:r>
      <w:r w:rsidR="00EF28BC">
        <w:rPr>
          <w:rFonts w:ascii="Arial" w:hAnsi="Arial" w:cs="Arial"/>
          <w:sz w:val="24"/>
          <w:szCs w:val="24"/>
        </w:rPr>
        <w:t xml:space="preserve"> of 3 March 2022 </w:t>
      </w:r>
      <w:r w:rsidR="00B10C18">
        <w:rPr>
          <w:rFonts w:ascii="Arial" w:hAnsi="Arial" w:cs="Arial"/>
          <w:sz w:val="24"/>
          <w:szCs w:val="24"/>
        </w:rPr>
        <w:t xml:space="preserve">for a period of </w:t>
      </w:r>
      <w:r w:rsidR="00A412D4">
        <w:rPr>
          <w:rFonts w:ascii="Arial" w:hAnsi="Arial" w:cs="Arial"/>
          <w:sz w:val="24"/>
          <w:szCs w:val="24"/>
        </w:rPr>
        <w:t xml:space="preserve">about 2 months </w:t>
      </w:r>
      <w:r w:rsidR="00041F15">
        <w:rPr>
          <w:rFonts w:ascii="Arial" w:hAnsi="Arial" w:cs="Arial"/>
          <w:sz w:val="24"/>
          <w:szCs w:val="24"/>
        </w:rPr>
        <w:t xml:space="preserve">lacks specificity. </w:t>
      </w:r>
      <w:r w:rsidR="00EF28BC">
        <w:rPr>
          <w:rFonts w:ascii="Arial" w:hAnsi="Arial" w:cs="Arial"/>
          <w:sz w:val="24"/>
          <w:szCs w:val="24"/>
        </w:rPr>
        <w:t xml:space="preserve">It appears to me that the opposing affidavit was only filed </w:t>
      </w:r>
      <w:r w:rsidR="001E2BF5">
        <w:rPr>
          <w:rFonts w:ascii="Arial" w:hAnsi="Arial" w:cs="Arial"/>
          <w:sz w:val="24"/>
          <w:szCs w:val="24"/>
        </w:rPr>
        <w:t>because of</w:t>
      </w:r>
      <w:r w:rsidR="00E461F4">
        <w:rPr>
          <w:rFonts w:ascii="Arial" w:hAnsi="Arial" w:cs="Arial"/>
          <w:sz w:val="24"/>
          <w:szCs w:val="24"/>
        </w:rPr>
        <w:t xml:space="preserve"> </w:t>
      </w:r>
      <w:r w:rsidR="00EF28BC">
        <w:rPr>
          <w:rFonts w:ascii="Arial" w:hAnsi="Arial" w:cs="Arial"/>
          <w:sz w:val="24"/>
          <w:szCs w:val="24"/>
        </w:rPr>
        <w:t xml:space="preserve">the matter </w:t>
      </w:r>
      <w:r w:rsidR="003E5298">
        <w:rPr>
          <w:rFonts w:ascii="Arial" w:hAnsi="Arial" w:cs="Arial"/>
          <w:sz w:val="24"/>
          <w:szCs w:val="24"/>
        </w:rPr>
        <w:t xml:space="preserve">being </w:t>
      </w:r>
      <w:r w:rsidR="00EF28BC">
        <w:rPr>
          <w:rFonts w:ascii="Arial" w:hAnsi="Arial" w:cs="Arial"/>
          <w:sz w:val="24"/>
          <w:szCs w:val="24"/>
        </w:rPr>
        <w:t xml:space="preserve">set down to be heard on the </w:t>
      </w:r>
      <w:r w:rsidR="002B680C">
        <w:rPr>
          <w:rFonts w:ascii="Arial" w:hAnsi="Arial" w:cs="Arial"/>
          <w:sz w:val="24"/>
          <w:szCs w:val="24"/>
        </w:rPr>
        <w:t>unopposed ro</w:t>
      </w:r>
      <w:r w:rsidR="00505F38">
        <w:rPr>
          <w:rFonts w:ascii="Arial" w:hAnsi="Arial" w:cs="Arial"/>
          <w:sz w:val="24"/>
          <w:szCs w:val="24"/>
        </w:rPr>
        <w:t xml:space="preserve">le </w:t>
      </w:r>
      <w:r w:rsidR="002B680C">
        <w:rPr>
          <w:rFonts w:ascii="Arial" w:hAnsi="Arial" w:cs="Arial"/>
          <w:sz w:val="24"/>
          <w:szCs w:val="24"/>
        </w:rPr>
        <w:t xml:space="preserve">on 9 June 2022. </w:t>
      </w:r>
      <w:r w:rsidR="008557DB">
        <w:rPr>
          <w:rFonts w:ascii="Arial" w:hAnsi="Arial" w:cs="Arial"/>
          <w:sz w:val="24"/>
          <w:szCs w:val="24"/>
        </w:rPr>
        <w:t xml:space="preserve">Whilst the applicant had an opportunity to reply to the opposing papers, </w:t>
      </w:r>
      <w:r w:rsidR="00497B41">
        <w:rPr>
          <w:rFonts w:ascii="Arial" w:hAnsi="Arial" w:cs="Arial"/>
          <w:sz w:val="24"/>
          <w:szCs w:val="24"/>
        </w:rPr>
        <w:t xml:space="preserve">it was </w:t>
      </w:r>
      <w:r w:rsidR="00FD48BB">
        <w:rPr>
          <w:rFonts w:ascii="Arial" w:hAnsi="Arial" w:cs="Arial"/>
          <w:sz w:val="24"/>
          <w:szCs w:val="24"/>
        </w:rPr>
        <w:t xml:space="preserve">nevertheless prejudiced </w:t>
      </w:r>
      <w:r w:rsidR="0072245C">
        <w:rPr>
          <w:rFonts w:ascii="Arial" w:hAnsi="Arial" w:cs="Arial"/>
          <w:sz w:val="24"/>
          <w:szCs w:val="24"/>
        </w:rPr>
        <w:t xml:space="preserve">by the conduct of the respondent </w:t>
      </w:r>
      <w:r w:rsidR="00FD48BB">
        <w:rPr>
          <w:rFonts w:ascii="Arial" w:hAnsi="Arial" w:cs="Arial"/>
          <w:sz w:val="24"/>
          <w:szCs w:val="24"/>
        </w:rPr>
        <w:t xml:space="preserve">as the </w:t>
      </w:r>
      <w:r w:rsidR="002B680C">
        <w:rPr>
          <w:rFonts w:ascii="Arial" w:hAnsi="Arial" w:cs="Arial"/>
          <w:sz w:val="24"/>
          <w:szCs w:val="24"/>
        </w:rPr>
        <w:t xml:space="preserve">filing of the opposing papers at that </w:t>
      </w:r>
      <w:r w:rsidR="00505F38">
        <w:rPr>
          <w:rFonts w:ascii="Arial" w:hAnsi="Arial" w:cs="Arial"/>
          <w:sz w:val="24"/>
          <w:szCs w:val="24"/>
        </w:rPr>
        <w:t xml:space="preserve">late </w:t>
      </w:r>
      <w:r w:rsidR="002B680C">
        <w:rPr>
          <w:rFonts w:ascii="Arial" w:hAnsi="Arial" w:cs="Arial"/>
          <w:sz w:val="24"/>
          <w:szCs w:val="24"/>
        </w:rPr>
        <w:t>stage cause</w:t>
      </w:r>
      <w:r w:rsidR="00505F38">
        <w:rPr>
          <w:rFonts w:ascii="Arial" w:hAnsi="Arial" w:cs="Arial"/>
          <w:sz w:val="24"/>
          <w:szCs w:val="24"/>
        </w:rPr>
        <w:t>d</w:t>
      </w:r>
      <w:r w:rsidR="002B680C">
        <w:rPr>
          <w:rFonts w:ascii="Arial" w:hAnsi="Arial" w:cs="Arial"/>
          <w:sz w:val="24"/>
          <w:szCs w:val="24"/>
        </w:rPr>
        <w:t xml:space="preserve"> the </w:t>
      </w:r>
      <w:r w:rsidR="009F3E33">
        <w:rPr>
          <w:rFonts w:ascii="Arial" w:hAnsi="Arial" w:cs="Arial"/>
          <w:sz w:val="24"/>
          <w:szCs w:val="24"/>
        </w:rPr>
        <w:t xml:space="preserve">further </w:t>
      </w:r>
      <w:r w:rsidR="002B680C">
        <w:rPr>
          <w:rFonts w:ascii="Arial" w:hAnsi="Arial" w:cs="Arial"/>
          <w:sz w:val="24"/>
          <w:szCs w:val="24"/>
        </w:rPr>
        <w:t>postponement of the matter to the opposed motion rol</w:t>
      </w:r>
      <w:r w:rsidR="007E21D4">
        <w:rPr>
          <w:rFonts w:ascii="Arial" w:hAnsi="Arial" w:cs="Arial"/>
          <w:sz w:val="24"/>
          <w:szCs w:val="24"/>
        </w:rPr>
        <w:t>e</w:t>
      </w:r>
      <w:r w:rsidR="00FD48BB">
        <w:rPr>
          <w:rFonts w:ascii="Arial" w:hAnsi="Arial" w:cs="Arial"/>
          <w:sz w:val="24"/>
          <w:szCs w:val="24"/>
        </w:rPr>
        <w:t xml:space="preserve">. </w:t>
      </w:r>
    </w:p>
    <w:p w14:paraId="0EB742A0" w14:textId="46B9B500" w:rsidR="00F31AF0" w:rsidRDefault="00E80511" w:rsidP="00064CFA">
      <w:pPr>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A909EA">
        <w:rPr>
          <w:rFonts w:ascii="Arial" w:hAnsi="Arial" w:cs="Arial"/>
          <w:sz w:val="24"/>
          <w:szCs w:val="24"/>
        </w:rPr>
        <w:t xml:space="preserve">Although </w:t>
      </w:r>
      <w:r w:rsidR="008A0AF6">
        <w:rPr>
          <w:rFonts w:ascii="Arial" w:hAnsi="Arial" w:cs="Arial"/>
          <w:sz w:val="24"/>
          <w:szCs w:val="24"/>
        </w:rPr>
        <w:t xml:space="preserve">I </w:t>
      </w:r>
      <w:r w:rsidR="00CB6A51">
        <w:rPr>
          <w:rFonts w:ascii="Arial" w:hAnsi="Arial" w:cs="Arial"/>
          <w:sz w:val="24"/>
          <w:szCs w:val="24"/>
        </w:rPr>
        <w:t xml:space="preserve">have serious concerns regarding the </w:t>
      </w:r>
      <w:r w:rsidR="001A3DA0">
        <w:rPr>
          <w:rFonts w:ascii="Arial" w:hAnsi="Arial" w:cs="Arial"/>
          <w:sz w:val="24"/>
          <w:szCs w:val="24"/>
        </w:rPr>
        <w:t>explanation</w:t>
      </w:r>
      <w:r w:rsidR="00FD1132">
        <w:rPr>
          <w:rFonts w:ascii="Arial" w:hAnsi="Arial" w:cs="Arial"/>
          <w:sz w:val="24"/>
          <w:szCs w:val="24"/>
        </w:rPr>
        <w:t xml:space="preserve"> </w:t>
      </w:r>
      <w:r w:rsidR="001A3DA0">
        <w:rPr>
          <w:rFonts w:ascii="Arial" w:hAnsi="Arial" w:cs="Arial"/>
          <w:sz w:val="24"/>
          <w:szCs w:val="24"/>
        </w:rPr>
        <w:t>tendered by the respondent</w:t>
      </w:r>
      <w:r w:rsidR="00A909EA">
        <w:rPr>
          <w:rFonts w:ascii="Arial" w:hAnsi="Arial" w:cs="Arial"/>
          <w:sz w:val="24"/>
          <w:szCs w:val="24"/>
        </w:rPr>
        <w:t xml:space="preserve"> for its failure to comply with the rules and orders of this court</w:t>
      </w:r>
      <w:r w:rsidR="001A3DA0">
        <w:rPr>
          <w:rFonts w:ascii="Arial" w:hAnsi="Arial" w:cs="Arial"/>
          <w:sz w:val="24"/>
          <w:szCs w:val="24"/>
        </w:rPr>
        <w:t xml:space="preserve">, I have </w:t>
      </w:r>
      <w:r w:rsidR="00E62EBA">
        <w:rPr>
          <w:rFonts w:ascii="Arial" w:hAnsi="Arial" w:cs="Arial"/>
          <w:sz w:val="24"/>
          <w:szCs w:val="24"/>
        </w:rPr>
        <w:t>decided</w:t>
      </w:r>
      <w:r w:rsidR="0077766B">
        <w:rPr>
          <w:rFonts w:ascii="Arial" w:hAnsi="Arial" w:cs="Arial"/>
          <w:sz w:val="24"/>
          <w:szCs w:val="24"/>
        </w:rPr>
        <w:t xml:space="preserve">, in the exercise of my discretion, </w:t>
      </w:r>
      <w:r w:rsidR="00E62EBA">
        <w:rPr>
          <w:rFonts w:ascii="Arial" w:hAnsi="Arial" w:cs="Arial"/>
          <w:sz w:val="24"/>
          <w:szCs w:val="24"/>
        </w:rPr>
        <w:t xml:space="preserve">to allow the opposing papers </w:t>
      </w:r>
      <w:r w:rsidR="00C008AD">
        <w:rPr>
          <w:rFonts w:ascii="Arial" w:hAnsi="Arial" w:cs="Arial"/>
          <w:sz w:val="24"/>
          <w:szCs w:val="24"/>
        </w:rPr>
        <w:t>in the interest of justice</w:t>
      </w:r>
      <w:r w:rsidR="0088390E">
        <w:rPr>
          <w:rFonts w:ascii="Arial" w:hAnsi="Arial" w:cs="Arial"/>
          <w:sz w:val="24"/>
          <w:szCs w:val="24"/>
        </w:rPr>
        <w:t xml:space="preserve"> </w:t>
      </w:r>
      <w:r w:rsidR="00060120">
        <w:rPr>
          <w:rFonts w:ascii="Arial" w:hAnsi="Arial" w:cs="Arial"/>
          <w:sz w:val="24"/>
          <w:szCs w:val="24"/>
        </w:rPr>
        <w:t xml:space="preserve">on the basis that the respondent </w:t>
      </w:r>
      <w:r w:rsidR="0024143D">
        <w:rPr>
          <w:rFonts w:ascii="Arial" w:hAnsi="Arial" w:cs="Arial"/>
          <w:sz w:val="24"/>
          <w:szCs w:val="24"/>
        </w:rPr>
        <w:t>bear</w:t>
      </w:r>
      <w:r w:rsidR="004E667B">
        <w:rPr>
          <w:rFonts w:ascii="Arial" w:hAnsi="Arial" w:cs="Arial"/>
          <w:sz w:val="24"/>
          <w:szCs w:val="24"/>
        </w:rPr>
        <w:t>s</w:t>
      </w:r>
      <w:r w:rsidR="0024143D">
        <w:rPr>
          <w:rFonts w:ascii="Arial" w:hAnsi="Arial" w:cs="Arial"/>
          <w:sz w:val="24"/>
          <w:szCs w:val="24"/>
        </w:rPr>
        <w:t xml:space="preserve"> the applicant’s cost in respect of the chamber book application, the condonation application and the cost</w:t>
      </w:r>
      <w:r w:rsidR="006B70C8">
        <w:rPr>
          <w:rFonts w:ascii="Arial" w:hAnsi="Arial" w:cs="Arial"/>
          <w:sz w:val="24"/>
          <w:szCs w:val="24"/>
        </w:rPr>
        <w:t xml:space="preserve">s occasioned by the postponement of the application on 9 June </w:t>
      </w:r>
      <w:r w:rsidR="00F31AF0">
        <w:rPr>
          <w:rFonts w:ascii="Arial" w:hAnsi="Arial" w:cs="Arial"/>
          <w:sz w:val="24"/>
          <w:szCs w:val="24"/>
        </w:rPr>
        <w:t>2022.</w:t>
      </w:r>
    </w:p>
    <w:p w14:paraId="65B4A330" w14:textId="77777777" w:rsidR="007232A2" w:rsidRDefault="007232A2" w:rsidP="00064CFA">
      <w:pPr>
        <w:spacing w:line="480" w:lineRule="auto"/>
        <w:jc w:val="both"/>
        <w:rPr>
          <w:rFonts w:ascii="Arial" w:hAnsi="Arial" w:cs="Arial"/>
          <w:i/>
          <w:iCs/>
          <w:sz w:val="24"/>
          <w:szCs w:val="24"/>
          <w:u w:val="single"/>
        </w:rPr>
      </w:pPr>
    </w:p>
    <w:p w14:paraId="5BFFD2FB" w14:textId="2E113896" w:rsidR="00C83A72" w:rsidRDefault="00C83A72" w:rsidP="00064CFA">
      <w:pPr>
        <w:spacing w:line="480" w:lineRule="auto"/>
        <w:jc w:val="both"/>
        <w:rPr>
          <w:rFonts w:ascii="Arial" w:hAnsi="Arial" w:cs="Arial"/>
          <w:i/>
          <w:iCs/>
          <w:sz w:val="24"/>
          <w:szCs w:val="24"/>
          <w:u w:val="single"/>
        </w:rPr>
      </w:pPr>
      <w:r w:rsidRPr="00C83A72">
        <w:rPr>
          <w:rFonts w:ascii="Arial" w:hAnsi="Arial" w:cs="Arial"/>
          <w:i/>
          <w:iCs/>
          <w:sz w:val="24"/>
          <w:szCs w:val="24"/>
          <w:u w:val="single"/>
        </w:rPr>
        <w:t>Costs</w:t>
      </w:r>
      <w:r w:rsidR="00F31AF0">
        <w:rPr>
          <w:rFonts w:ascii="Arial" w:hAnsi="Arial" w:cs="Arial"/>
          <w:i/>
          <w:iCs/>
          <w:sz w:val="24"/>
          <w:szCs w:val="24"/>
          <w:u w:val="single"/>
        </w:rPr>
        <w:t xml:space="preserve"> of the application</w:t>
      </w:r>
      <w:r w:rsidRPr="00C83A72">
        <w:rPr>
          <w:rFonts w:ascii="Arial" w:hAnsi="Arial" w:cs="Arial"/>
          <w:i/>
          <w:iCs/>
          <w:sz w:val="24"/>
          <w:szCs w:val="24"/>
          <w:u w:val="single"/>
        </w:rPr>
        <w:t>:</w:t>
      </w:r>
    </w:p>
    <w:p w14:paraId="419FB72C" w14:textId="77777777" w:rsidR="001B729E" w:rsidRPr="00C83A72" w:rsidRDefault="001B729E" w:rsidP="00064CFA">
      <w:pPr>
        <w:spacing w:line="480" w:lineRule="auto"/>
        <w:jc w:val="both"/>
        <w:rPr>
          <w:rFonts w:ascii="Arial" w:hAnsi="Arial" w:cs="Arial"/>
          <w:i/>
          <w:iCs/>
          <w:sz w:val="24"/>
          <w:szCs w:val="24"/>
          <w:u w:val="single"/>
        </w:rPr>
      </w:pPr>
    </w:p>
    <w:p w14:paraId="376D18A4" w14:textId="36E8BFD5" w:rsidR="0089244E" w:rsidRPr="00C83A72" w:rsidRDefault="008137A9" w:rsidP="00C83A72">
      <w:pPr>
        <w:spacing w:line="480" w:lineRule="auto"/>
        <w:jc w:val="both"/>
        <w:rPr>
          <w:rFonts w:ascii="Arial" w:hAnsi="Arial" w:cs="Arial"/>
          <w:sz w:val="24"/>
          <w:szCs w:val="24"/>
        </w:rPr>
      </w:pPr>
      <w:r>
        <w:rPr>
          <w:rFonts w:ascii="Arial" w:hAnsi="Arial" w:cs="Arial"/>
          <w:sz w:val="24"/>
          <w:szCs w:val="24"/>
        </w:rPr>
        <w:t>[27]</w:t>
      </w:r>
      <w:r w:rsidR="00C83A72">
        <w:rPr>
          <w:rFonts w:ascii="Arial" w:hAnsi="Arial" w:cs="Arial"/>
          <w:sz w:val="24"/>
          <w:szCs w:val="24"/>
        </w:rPr>
        <w:t xml:space="preserve"> </w:t>
      </w:r>
      <w:r w:rsidR="00C83A72">
        <w:rPr>
          <w:rFonts w:ascii="Arial" w:hAnsi="Arial" w:cs="Arial"/>
          <w:sz w:val="24"/>
          <w:szCs w:val="24"/>
        </w:rPr>
        <w:tab/>
      </w:r>
      <w:r w:rsidR="0089244E" w:rsidRPr="0089244E">
        <w:rPr>
          <w:rFonts w:ascii="Arial" w:hAnsi="Arial" w:cs="Arial"/>
          <w:sz w:val="24"/>
          <w:szCs w:val="24"/>
        </w:rPr>
        <w:t xml:space="preserve">The </w:t>
      </w:r>
      <w:r w:rsidR="006C1136">
        <w:rPr>
          <w:rFonts w:ascii="Arial" w:hAnsi="Arial" w:cs="Arial"/>
          <w:sz w:val="24"/>
          <w:szCs w:val="24"/>
        </w:rPr>
        <w:t>exhibition a</w:t>
      </w:r>
      <w:r w:rsidR="0089244E" w:rsidRPr="0089244E">
        <w:rPr>
          <w:rFonts w:ascii="Arial" w:hAnsi="Arial" w:cs="Arial"/>
          <w:sz w:val="24"/>
          <w:szCs w:val="24"/>
        </w:rPr>
        <w:t>greement contains a generic consent to jurisdiction clause which reads as follows:</w:t>
      </w:r>
    </w:p>
    <w:p w14:paraId="6F572E42" w14:textId="086196A8" w:rsidR="0089244E" w:rsidRPr="0089244E" w:rsidRDefault="0089244E" w:rsidP="0089244E">
      <w:pPr>
        <w:spacing w:after="360" w:line="480" w:lineRule="auto"/>
        <w:ind w:left="720"/>
        <w:jc w:val="both"/>
        <w:rPr>
          <w:rFonts w:ascii="Arial" w:hAnsi="Arial" w:cs="Arial"/>
          <w:sz w:val="24"/>
          <w:szCs w:val="24"/>
          <w:lang w:val="en-GB"/>
        </w:rPr>
      </w:pPr>
      <w:r w:rsidRPr="0089244E">
        <w:rPr>
          <w:rFonts w:ascii="Arial" w:hAnsi="Arial" w:cs="Arial"/>
          <w:sz w:val="24"/>
          <w:szCs w:val="24"/>
        </w:rPr>
        <w:t>“</w:t>
      </w:r>
      <w:r w:rsidRPr="0089244E">
        <w:rPr>
          <w:rFonts w:ascii="Arial" w:hAnsi="Arial" w:cs="Arial"/>
          <w:i/>
          <w:iCs/>
          <w:sz w:val="24"/>
          <w:szCs w:val="24"/>
        </w:rPr>
        <w:t>The parties agree to the jurisdiction of the Magistrate’s Court in respect of all matters, disputes and claims arising out of this Agreement, although such matters may exceed or be outside such jurisdiction</w:t>
      </w:r>
      <w:r w:rsidR="004E667B">
        <w:rPr>
          <w:rFonts w:ascii="Arial" w:hAnsi="Arial" w:cs="Arial"/>
          <w:i/>
          <w:iCs/>
          <w:sz w:val="24"/>
          <w:szCs w:val="24"/>
        </w:rPr>
        <w:t xml:space="preserve">. The </w:t>
      </w:r>
      <w:r w:rsidR="004E667B" w:rsidRPr="00AB70DF">
        <w:rPr>
          <w:rFonts w:ascii="Arial" w:hAnsi="Arial" w:cs="Arial"/>
          <w:i/>
          <w:iCs/>
          <w:sz w:val="24"/>
          <w:szCs w:val="24"/>
        </w:rPr>
        <w:t>Exhibitor</w:t>
      </w:r>
      <w:r w:rsidR="00E92BB2">
        <w:rPr>
          <w:rFonts w:ascii="Arial" w:hAnsi="Arial" w:cs="Arial"/>
          <w:i/>
          <w:iCs/>
          <w:sz w:val="24"/>
          <w:szCs w:val="24"/>
        </w:rPr>
        <w:t xml:space="preserve"> </w:t>
      </w:r>
      <w:r w:rsidR="004E667B" w:rsidRPr="00AB70DF">
        <w:rPr>
          <w:rFonts w:ascii="Arial" w:hAnsi="Arial" w:cs="Arial"/>
          <w:i/>
          <w:iCs/>
          <w:sz w:val="24"/>
          <w:szCs w:val="24"/>
        </w:rPr>
        <w:t>be responsible for any le</w:t>
      </w:r>
      <w:r w:rsidR="0063157D">
        <w:rPr>
          <w:rFonts w:ascii="Arial" w:hAnsi="Arial" w:cs="Arial"/>
          <w:i/>
          <w:iCs/>
          <w:sz w:val="24"/>
          <w:szCs w:val="24"/>
        </w:rPr>
        <w:t>g</w:t>
      </w:r>
      <w:r w:rsidR="004E667B" w:rsidRPr="00AB70DF">
        <w:rPr>
          <w:rFonts w:ascii="Arial" w:hAnsi="Arial" w:cs="Arial"/>
          <w:i/>
          <w:iCs/>
          <w:sz w:val="24"/>
          <w:szCs w:val="24"/>
        </w:rPr>
        <w:t>al costs incurred by the Centre Management in enforcing the terms of this Agreement, on the Attorney and own client scale of charges</w:t>
      </w:r>
      <w:r w:rsidR="00AB70DF">
        <w:rPr>
          <w:rFonts w:ascii="Arial" w:hAnsi="Arial" w:cs="Arial"/>
          <w:i/>
          <w:iCs/>
          <w:sz w:val="24"/>
          <w:szCs w:val="24"/>
        </w:rPr>
        <w:t>.</w:t>
      </w:r>
      <w:r w:rsidRPr="0089244E">
        <w:rPr>
          <w:rFonts w:ascii="Arial" w:hAnsi="Arial" w:cs="Arial"/>
          <w:sz w:val="24"/>
          <w:szCs w:val="24"/>
        </w:rPr>
        <w:t>”</w:t>
      </w:r>
    </w:p>
    <w:p w14:paraId="5E98AE0C" w14:textId="3C153927" w:rsidR="00D47E97" w:rsidRDefault="00C83A72" w:rsidP="00D47E97">
      <w:pPr>
        <w:spacing w:line="480" w:lineRule="auto"/>
        <w:jc w:val="both"/>
        <w:rPr>
          <w:rFonts w:ascii="Arial" w:hAnsi="Arial" w:cs="Arial"/>
          <w:sz w:val="24"/>
          <w:szCs w:val="24"/>
        </w:rPr>
      </w:pPr>
      <w:r>
        <w:rPr>
          <w:rFonts w:ascii="Arial" w:hAnsi="Arial" w:cs="Arial"/>
          <w:sz w:val="24"/>
          <w:szCs w:val="24"/>
        </w:rPr>
        <w:lastRenderedPageBreak/>
        <w:t>[28]</w:t>
      </w:r>
      <w:r w:rsidR="00D47E97">
        <w:rPr>
          <w:rFonts w:ascii="Arial" w:hAnsi="Arial" w:cs="Arial"/>
          <w:sz w:val="24"/>
          <w:szCs w:val="24"/>
        </w:rPr>
        <w:tab/>
        <w:t>Ostensibly this clause was included to protect a party such as the applicant against a situation where it is out of pocket as a result of being forced to expend legal fees to protect its right of free and unencumbered occupation of its property and the known difficulties experienced by property owners when faced with unlawful occupiers refusing to vacate. The respondent placed no facts before the court that it would be unduly prejudiced or would suffer an injustice should the contractual agreement’s terms in respect of costs be enforced</w:t>
      </w:r>
      <w:r w:rsidR="00E86FB3">
        <w:rPr>
          <w:rFonts w:ascii="Arial" w:hAnsi="Arial" w:cs="Arial"/>
          <w:sz w:val="24"/>
          <w:szCs w:val="24"/>
        </w:rPr>
        <w:t xml:space="preserve">. </w:t>
      </w:r>
    </w:p>
    <w:p w14:paraId="2A891A09" w14:textId="77777777" w:rsidR="007D31E0" w:rsidRDefault="007D31E0" w:rsidP="00681012">
      <w:pPr>
        <w:spacing w:line="480" w:lineRule="auto"/>
        <w:jc w:val="both"/>
        <w:rPr>
          <w:rFonts w:ascii="Arial" w:hAnsi="Arial" w:cs="Arial"/>
          <w:sz w:val="24"/>
          <w:szCs w:val="24"/>
        </w:rPr>
      </w:pPr>
    </w:p>
    <w:p w14:paraId="20BE1F62" w14:textId="4A636246" w:rsidR="00681012" w:rsidRDefault="00681012" w:rsidP="00681012">
      <w:pPr>
        <w:spacing w:line="480" w:lineRule="auto"/>
        <w:jc w:val="both"/>
        <w:rPr>
          <w:rFonts w:ascii="Arial" w:hAnsi="Arial" w:cs="Arial"/>
          <w:sz w:val="24"/>
          <w:szCs w:val="24"/>
        </w:rPr>
      </w:pPr>
      <w:r>
        <w:rPr>
          <w:rFonts w:ascii="Arial" w:hAnsi="Arial" w:cs="Arial"/>
          <w:sz w:val="24"/>
          <w:szCs w:val="24"/>
        </w:rPr>
        <w:t>[</w:t>
      </w:r>
      <w:r w:rsidR="00734A98">
        <w:rPr>
          <w:rFonts w:ascii="Arial" w:hAnsi="Arial" w:cs="Arial"/>
          <w:sz w:val="24"/>
          <w:szCs w:val="24"/>
        </w:rPr>
        <w:t>29</w:t>
      </w:r>
      <w:r>
        <w:rPr>
          <w:rFonts w:ascii="Arial" w:hAnsi="Arial" w:cs="Arial"/>
          <w:sz w:val="24"/>
          <w:szCs w:val="24"/>
        </w:rPr>
        <w:t>]</w:t>
      </w:r>
      <w:r>
        <w:rPr>
          <w:rFonts w:ascii="Arial" w:hAnsi="Arial" w:cs="Arial"/>
          <w:sz w:val="24"/>
          <w:szCs w:val="24"/>
        </w:rPr>
        <w:tab/>
        <w:t>In my view, where parties have entered into a valid and binding agreement pertaining to legal costs in the event of a party breaching the terms of the agreement, a court should be slow to interfere with such agreement unless it can be shown that enforcing such terms would not be in the interests of justice. It would consequently be for the party facing a possible adverse cost order, to set out facts why the court should exercise its discretion contrary to the express agreement between the parties in the case of a written agreement.</w:t>
      </w:r>
      <w:r w:rsidR="0061641C">
        <w:rPr>
          <w:rFonts w:ascii="Arial" w:hAnsi="Arial" w:cs="Arial"/>
          <w:sz w:val="24"/>
          <w:szCs w:val="24"/>
        </w:rPr>
        <w:t xml:space="preserve"> </w:t>
      </w:r>
      <w:r>
        <w:rPr>
          <w:rFonts w:ascii="Arial" w:hAnsi="Arial" w:cs="Arial"/>
          <w:sz w:val="24"/>
          <w:szCs w:val="24"/>
        </w:rPr>
        <w:t>Such circumstances may include issues such as the unequal bargaining power of the parties at the time of entering into the agreement, the quantum of a claim, the forum wherein compliance is sought and the conduct of the parties during the course of the litigation to mention a few.</w:t>
      </w:r>
    </w:p>
    <w:p w14:paraId="11B6C543" w14:textId="2259DEC0" w:rsidR="00D47E97" w:rsidRDefault="00C83A72" w:rsidP="00C77783">
      <w:pPr>
        <w:spacing w:line="480" w:lineRule="auto"/>
        <w:jc w:val="both"/>
        <w:rPr>
          <w:rFonts w:ascii="Arial" w:hAnsi="Arial" w:cs="Arial"/>
          <w:sz w:val="24"/>
          <w:szCs w:val="24"/>
        </w:rPr>
      </w:pPr>
      <w:r>
        <w:rPr>
          <w:rFonts w:ascii="Arial" w:hAnsi="Arial" w:cs="Arial"/>
          <w:sz w:val="24"/>
          <w:szCs w:val="24"/>
        </w:rPr>
        <w:tab/>
      </w:r>
    </w:p>
    <w:p w14:paraId="27C2AEB2" w14:textId="509FC5FB" w:rsidR="00370C18" w:rsidRDefault="008C083B" w:rsidP="00914EE9">
      <w:pPr>
        <w:spacing w:line="480" w:lineRule="auto"/>
        <w:jc w:val="both"/>
        <w:rPr>
          <w:rFonts w:ascii="Arial" w:hAnsi="Arial" w:cs="Arial"/>
          <w:sz w:val="24"/>
          <w:szCs w:val="24"/>
        </w:rPr>
      </w:pPr>
      <w:r>
        <w:rPr>
          <w:rFonts w:ascii="Arial" w:hAnsi="Arial" w:cs="Arial"/>
          <w:sz w:val="24"/>
          <w:szCs w:val="24"/>
        </w:rPr>
        <w:t>[</w:t>
      </w:r>
      <w:r w:rsidR="00734A98">
        <w:rPr>
          <w:rFonts w:ascii="Arial" w:hAnsi="Arial" w:cs="Arial"/>
          <w:sz w:val="24"/>
          <w:szCs w:val="24"/>
        </w:rPr>
        <w:t>30</w:t>
      </w:r>
      <w:r>
        <w:rPr>
          <w:rFonts w:ascii="Arial" w:hAnsi="Arial" w:cs="Arial"/>
          <w:sz w:val="24"/>
          <w:szCs w:val="24"/>
        </w:rPr>
        <w:t>]</w:t>
      </w:r>
      <w:r>
        <w:rPr>
          <w:rFonts w:ascii="Arial" w:hAnsi="Arial" w:cs="Arial"/>
          <w:sz w:val="24"/>
          <w:szCs w:val="24"/>
        </w:rPr>
        <w:tab/>
      </w:r>
      <w:r w:rsidR="000F2114">
        <w:rPr>
          <w:rFonts w:ascii="Arial" w:hAnsi="Arial" w:cs="Arial"/>
          <w:sz w:val="24"/>
          <w:szCs w:val="24"/>
        </w:rPr>
        <w:t xml:space="preserve">The applicant however, despite the consent clause, elected to institute </w:t>
      </w:r>
      <w:r w:rsidR="008B7C2B">
        <w:rPr>
          <w:rFonts w:ascii="Arial" w:hAnsi="Arial" w:cs="Arial"/>
          <w:sz w:val="24"/>
          <w:szCs w:val="24"/>
        </w:rPr>
        <w:t xml:space="preserve">an application for eviction in the High Court </w:t>
      </w:r>
      <w:r w:rsidR="00346B03">
        <w:rPr>
          <w:rFonts w:ascii="Arial" w:hAnsi="Arial" w:cs="Arial"/>
          <w:sz w:val="24"/>
          <w:szCs w:val="24"/>
        </w:rPr>
        <w:t>and requests cost</w:t>
      </w:r>
      <w:r w:rsidR="009F7539">
        <w:rPr>
          <w:rFonts w:ascii="Arial" w:hAnsi="Arial" w:cs="Arial"/>
          <w:sz w:val="24"/>
          <w:szCs w:val="24"/>
        </w:rPr>
        <w:t>s</w:t>
      </w:r>
      <w:r w:rsidR="00346B03">
        <w:rPr>
          <w:rFonts w:ascii="Arial" w:hAnsi="Arial" w:cs="Arial"/>
          <w:sz w:val="24"/>
          <w:szCs w:val="24"/>
        </w:rPr>
        <w:t xml:space="preserve"> on the High Court scale</w:t>
      </w:r>
      <w:r w:rsidR="008B7C2B">
        <w:rPr>
          <w:rFonts w:ascii="Arial" w:hAnsi="Arial" w:cs="Arial"/>
          <w:sz w:val="24"/>
          <w:szCs w:val="24"/>
        </w:rPr>
        <w:t xml:space="preserve">. </w:t>
      </w:r>
      <w:r w:rsidR="00346B03">
        <w:rPr>
          <w:rFonts w:ascii="Arial" w:hAnsi="Arial" w:cs="Arial"/>
          <w:sz w:val="24"/>
          <w:szCs w:val="24"/>
        </w:rPr>
        <w:t xml:space="preserve">The </w:t>
      </w:r>
      <w:r w:rsidR="00730215">
        <w:rPr>
          <w:rFonts w:ascii="Arial" w:hAnsi="Arial" w:cs="Arial"/>
          <w:sz w:val="24"/>
          <w:szCs w:val="24"/>
        </w:rPr>
        <w:lastRenderedPageBreak/>
        <w:t>parties were afforded an opportunity to submit further submission in this regard</w:t>
      </w:r>
      <w:r w:rsidR="00FE0394">
        <w:rPr>
          <w:rFonts w:ascii="Arial" w:hAnsi="Arial" w:cs="Arial"/>
          <w:sz w:val="24"/>
          <w:szCs w:val="24"/>
        </w:rPr>
        <w:t xml:space="preserve"> as it was not addressed in the papers or heads of argument</w:t>
      </w:r>
      <w:r w:rsidR="00730215">
        <w:rPr>
          <w:rFonts w:ascii="Arial" w:hAnsi="Arial" w:cs="Arial"/>
          <w:sz w:val="24"/>
          <w:szCs w:val="24"/>
        </w:rPr>
        <w:t>.</w:t>
      </w:r>
    </w:p>
    <w:p w14:paraId="1C7B1523" w14:textId="77777777" w:rsidR="00734A98" w:rsidRPr="00914EE9" w:rsidRDefault="00734A98" w:rsidP="00914EE9">
      <w:pPr>
        <w:spacing w:line="480" w:lineRule="auto"/>
        <w:jc w:val="both"/>
        <w:rPr>
          <w:rFonts w:ascii="Arial" w:hAnsi="Arial" w:cs="Arial"/>
          <w:sz w:val="24"/>
          <w:szCs w:val="24"/>
        </w:rPr>
      </w:pPr>
    </w:p>
    <w:p w14:paraId="7FE68C88" w14:textId="03F6AA74" w:rsidR="006845E1" w:rsidRPr="00806AEE" w:rsidRDefault="00AD66BA" w:rsidP="00370C18">
      <w:pPr>
        <w:pStyle w:val="Para1"/>
        <w:numPr>
          <w:ilvl w:val="0"/>
          <w:numId w:val="0"/>
        </w:numPr>
      </w:pPr>
      <w:r>
        <w:t>[3</w:t>
      </w:r>
      <w:r w:rsidR="00734A98">
        <w:t>1</w:t>
      </w:r>
      <w:r>
        <w:t>]</w:t>
      </w:r>
      <w:r>
        <w:tab/>
      </w:r>
      <w:r w:rsidR="00730215">
        <w:t>The parties appear to be in agreement that the applicant could not institute an app</w:t>
      </w:r>
      <w:r w:rsidR="004E0590">
        <w:t>lication</w:t>
      </w:r>
      <w:r w:rsidR="00EC50CC">
        <w:t>, as opposed to an action,</w:t>
      </w:r>
      <w:r w:rsidR="004E0590">
        <w:t xml:space="preserve"> for ejectment in the Magistrate’s court with reference to s 29(1)(b) of the M</w:t>
      </w:r>
      <w:r>
        <w:t>agistrate</w:t>
      </w:r>
      <w:r w:rsidR="004E0590">
        <w:t xml:space="preserve">’s </w:t>
      </w:r>
      <w:r>
        <w:t>C</w:t>
      </w:r>
      <w:r w:rsidR="004E0590">
        <w:t>ourt Act 32 of 1944</w:t>
      </w:r>
      <w:r w:rsidR="00B125AF">
        <w:t xml:space="preserve"> </w:t>
      </w:r>
      <w:r w:rsidR="00B73596">
        <w:t>and th</w:t>
      </w:r>
      <w:r w:rsidR="00C07B46">
        <w:t xml:space="preserve">at it was entitled to launch an application in this court even if </w:t>
      </w:r>
      <w:r w:rsidR="00A02A11">
        <w:t>the value of the right of occupation fall within the jurisdiction of the Ma</w:t>
      </w:r>
      <w:r w:rsidR="00C07B46">
        <w:t>gistrate’s c</w:t>
      </w:r>
      <w:r w:rsidR="00A02A11">
        <w:t>ourt</w:t>
      </w:r>
      <w:r w:rsidR="005D2F24">
        <w:t>.</w:t>
      </w:r>
      <w:r w:rsidR="005D2F24">
        <w:rPr>
          <w:rStyle w:val="FootnoteReference"/>
        </w:rPr>
        <w:footnoteReference w:id="5"/>
      </w:r>
      <w:r w:rsidR="00651902">
        <w:t xml:space="preserve"> </w:t>
      </w:r>
    </w:p>
    <w:p w14:paraId="3C0079C3" w14:textId="174839A9" w:rsidR="00832031" w:rsidRDefault="00D26285" w:rsidP="00832031">
      <w:pPr>
        <w:spacing w:line="480" w:lineRule="auto"/>
        <w:jc w:val="both"/>
        <w:rPr>
          <w:rFonts w:ascii="Arial" w:hAnsi="Arial" w:cs="Arial"/>
          <w:sz w:val="24"/>
          <w:szCs w:val="24"/>
        </w:rPr>
      </w:pPr>
      <w:r>
        <w:rPr>
          <w:rFonts w:ascii="Arial" w:hAnsi="Arial" w:cs="Arial"/>
          <w:sz w:val="24"/>
          <w:szCs w:val="24"/>
        </w:rPr>
        <w:t>.</w:t>
      </w:r>
      <w:r w:rsidR="00832031">
        <w:rPr>
          <w:rFonts w:ascii="Arial" w:hAnsi="Arial" w:cs="Arial"/>
          <w:sz w:val="24"/>
          <w:szCs w:val="24"/>
        </w:rPr>
        <w:t xml:space="preserve"> </w:t>
      </w:r>
    </w:p>
    <w:p w14:paraId="229D56E4" w14:textId="7CB37F2B" w:rsidR="00C77783" w:rsidRDefault="00A26033" w:rsidP="00C77783">
      <w:pPr>
        <w:spacing w:line="480" w:lineRule="auto"/>
        <w:jc w:val="both"/>
        <w:rPr>
          <w:rFonts w:ascii="Arial" w:hAnsi="Arial" w:cs="Arial"/>
          <w:sz w:val="24"/>
          <w:szCs w:val="24"/>
        </w:rPr>
      </w:pPr>
      <w:r>
        <w:rPr>
          <w:rFonts w:ascii="Arial" w:hAnsi="Arial" w:cs="Arial"/>
          <w:sz w:val="24"/>
          <w:szCs w:val="24"/>
        </w:rPr>
        <w:t>[3</w:t>
      </w:r>
      <w:r w:rsidR="00734A98">
        <w:rPr>
          <w:rFonts w:ascii="Arial" w:hAnsi="Arial" w:cs="Arial"/>
          <w:sz w:val="24"/>
          <w:szCs w:val="24"/>
        </w:rPr>
        <w:t>2</w:t>
      </w:r>
      <w:r>
        <w:rPr>
          <w:rFonts w:ascii="Arial" w:hAnsi="Arial" w:cs="Arial"/>
          <w:sz w:val="24"/>
          <w:szCs w:val="24"/>
        </w:rPr>
        <w:t>]</w:t>
      </w:r>
      <w:r>
        <w:rPr>
          <w:rFonts w:ascii="Arial" w:hAnsi="Arial" w:cs="Arial"/>
          <w:sz w:val="24"/>
          <w:szCs w:val="24"/>
        </w:rPr>
        <w:tab/>
        <w:t>I</w:t>
      </w:r>
      <w:r w:rsidR="00C77783">
        <w:rPr>
          <w:rFonts w:ascii="Arial" w:hAnsi="Arial" w:cs="Arial"/>
          <w:sz w:val="24"/>
          <w:szCs w:val="24"/>
        </w:rPr>
        <w:t>t is trite that the court has an overriding discretion when it is required to make costs orders</w:t>
      </w:r>
      <w:r w:rsidR="00916E18">
        <w:rPr>
          <w:rFonts w:ascii="Arial" w:hAnsi="Arial" w:cs="Arial"/>
          <w:sz w:val="24"/>
          <w:szCs w:val="24"/>
        </w:rPr>
        <w:t xml:space="preserve"> and that such discretion must be exercised judicially with refence to the factual matrix of the matter at hand</w:t>
      </w:r>
      <w:r w:rsidR="00C77783">
        <w:rPr>
          <w:rFonts w:ascii="Arial" w:hAnsi="Arial" w:cs="Arial"/>
          <w:sz w:val="24"/>
          <w:szCs w:val="24"/>
        </w:rPr>
        <w:t>.</w:t>
      </w:r>
    </w:p>
    <w:p w14:paraId="51465EA3" w14:textId="77777777" w:rsidR="00C77783" w:rsidRDefault="00C77783" w:rsidP="00C77783">
      <w:pPr>
        <w:spacing w:line="480" w:lineRule="auto"/>
        <w:jc w:val="both"/>
        <w:rPr>
          <w:rFonts w:ascii="Arial" w:hAnsi="Arial" w:cs="Arial"/>
          <w:sz w:val="24"/>
          <w:szCs w:val="24"/>
        </w:rPr>
      </w:pPr>
    </w:p>
    <w:p w14:paraId="022040D3" w14:textId="4C2D83BC" w:rsidR="00FB73AC" w:rsidRDefault="00C77783" w:rsidP="00C77783">
      <w:pPr>
        <w:spacing w:line="480" w:lineRule="auto"/>
        <w:jc w:val="both"/>
        <w:rPr>
          <w:rFonts w:ascii="Arial" w:hAnsi="Arial" w:cs="Arial"/>
          <w:sz w:val="24"/>
          <w:szCs w:val="24"/>
        </w:rPr>
      </w:pPr>
      <w:r>
        <w:rPr>
          <w:rFonts w:ascii="Arial" w:hAnsi="Arial" w:cs="Arial"/>
          <w:sz w:val="24"/>
          <w:szCs w:val="24"/>
        </w:rPr>
        <w:t>[</w:t>
      </w:r>
      <w:r w:rsidR="003F6AAE">
        <w:rPr>
          <w:rFonts w:ascii="Arial" w:hAnsi="Arial" w:cs="Arial"/>
          <w:sz w:val="24"/>
          <w:szCs w:val="24"/>
        </w:rPr>
        <w:t>33</w:t>
      </w:r>
      <w:r>
        <w:rPr>
          <w:rFonts w:ascii="Arial" w:hAnsi="Arial" w:cs="Arial"/>
          <w:sz w:val="24"/>
          <w:szCs w:val="24"/>
        </w:rPr>
        <w:t>]</w:t>
      </w:r>
      <w:r>
        <w:rPr>
          <w:rFonts w:ascii="Arial" w:hAnsi="Arial" w:cs="Arial"/>
          <w:sz w:val="24"/>
          <w:szCs w:val="24"/>
        </w:rPr>
        <w:tab/>
      </w:r>
      <w:r w:rsidR="000A645B">
        <w:rPr>
          <w:rFonts w:ascii="Arial" w:hAnsi="Arial" w:cs="Arial"/>
          <w:sz w:val="24"/>
          <w:szCs w:val="24"/>
        </w:rPr>
        <w:t xml:space="preserve">The applicant’s contention that action proceedings in the Magistrate’s court would </w:t>
      </w:r>
      <w:r w:rsidR="008F7CC1">
        <w:rPr>
          <w:rFonts w:ascii="Arial" w:hAnsi="Arial" w:cs="Arial"/>
          <w:sz w:val="24"/>
          <w:szCs w:val="24"/>
        </w:rPr>
        <w:t xml:space="preserve">have taking significantly longer than </w:t>
      </w:r>
      <w:r w:rsidR="0041722E">
        <w:rPr>
          <w:rFonts w:ascii="Arial" w:hAnsi="Arial" w:cs="Arial"/>
          <w:sz w:val="24"/>
          <w:szCs w:val="24"/>
        </w:rPr>
        <w:t xml:space="preserve">application proceedings in the High Court </w:t>
      </w:r>
      <w:r w:rsidR="0034180F">
        <w:rPr>
          <w:rFonts w:ascii="Arial" w:hAnsi="Arial" w:cs="Arial"/>
          <w:sz w:val="24"/>
          <w:szCs w:val="24"/>
        </w:rPr>
        <w:t xml:space="preserve">and that it was entitled to </w:t>
      </w:r>
      <w:r w:rsidR="00445136">
        <w:rPr>
          <w:rFonts w:ascii="Arial" w:hAnsi="Arial" w:cs="Arial"/>
          <w:sz w:val="24"/>
          <w:szCs w:val="24"/>
        </w:rPr>
        <w:t>elect to institute proceedings in this court, do not</w:t>
      </w:r>
      <w:r w:rsidR="0041722E">
        <w:rPr>
          <w:rFonts w:ascii="Arial" w:hAnsi="Arial" w:cs="Arial"/>
          <w:sz w:val="24"/>
          <w:szCs w:val="24"/>
        </w:rPr>
        <w:t xml:space="preserve"> </w:t>
      </w:r>
      <w:r w:rsidR="00FB73AC">
        <w:rPr>
          <w:rFonts w:ascii="Arial" w:hAnsi="Arial" w:cs="Arial"/>
          <w:sz w:val="24"/>
          <w:szCs w:val="24"/>
        </w:rPr>
        <w:t>in my view justify a departure from the agreement pertaining to costs between the parties.</w:t>
      </w:r>
    </w:p>
    <w:p w14:paraId="1ED05DAE" w14:textId="64E4CFE6" w:rsidR="00FA39D8" w:rsidRDefault="00FA39D8" w:rsidP="00D77455">
      <w:pPr>
        <w:pStyle w:val="Para1"/>
        <w:numPr>
          <w:ilvl w:val="0"/>
          <w:numId w:val="0"/>
        </w:numPr>
        <w:ind w:left="709"/>
      </w:pPr>
      <w:r>
        <w:t xml:space="preserve"> </w:t>
      </w:r>
    </w:p>
    <w:p w14:paraId="4C1C13A1" w14:textId="254F8C3F" w:rsidR="001878CD" w:rsidRDefault="001878CD" w:rsidP="001878CD">
      <w:pPr>
        <w:spacing w:after="0" w:line="480" w:lineRule="auto"/>
        <w:jc w:val="both"/>
        <w:rPr>
          <w:rFonts w:ascii="Arial" w:hAnsi="Arial" w:cs="Arial"/>
          <w:sz w:val="24"/>
          <w:szCs w:val="24"/>
          <w:lang w:val="en-US"/>
        </w:rPr>
      </w:pPr>
      <w:r>
        <w:rPr>
          <w:rFonts w:ascii="Arial" w:hAnsi="Arial" w:cs="Arial"/>
          <w:sz w:val="24"/>
          <w:szCs w:val="24"/>
          <w:lang w:val="en-US"/>
        </w:rPr>
        <w:lastRenderedPageBreak/>
        <w:t>[</w:t>
      </w:r>
      <w:r w:rsidR="00D77455">
        <w:rPr>
          <w:rFonts w:ascii="Arial" w:hAnsi="Arial" w:cs="Arial"/>
          <w:sz w:val="24"/>
          <w:szCs w:val="24"/>
          <w:lang w:val="en-US"/>
        </w:rPr>
        <w:t>34</w:t>
      </w:r>
      <w:r>
        <w:rPr>
          <w:rFonts w:ascii="Arial" w:hAnsi="Arial" w:cs="Arial"/>
          <w:sz w:val="24"/>
          <w:szCs w:val="24"/>
          <w:lang w:val="en-US"/>
        </w:rPr>
        <w:t>]</w:t>
      </w:r>
      <w:r>
        <w:rPr>
          <w:rFonts w:ascii="Arial" w:hAnsi="Arial" w:cs="Arial"/>
          <w:sz w:val="24"/>
          <w:szCs w:val="24"/>
          <w:lang w:val="en-US"/>
        </w:rPr>
        <w:tab/>
      </w:r>
      <w:r w:rsidRPr="001878CD">
        <w:rPr>
          <w:rFonts w:ascii="Arial" w:hAnsi="Arial" w:cs="Arial"/>
          <w:sz w:val="24"/>
          <w:szCs w:val="24"/>
          <w:lang w:val="en-US"/>
        </w:rPr>
        <w:t>In the circumstances the following order is made:</w:t>
      </w:r>
    </w:p>
    <w:p w14:paraId="77C40920" w14:textId="77777777" w:rsidR="00D77455" w:rsidRPr="001878CD" w:rsidRDefault="00D77455" w:rsidP="001878CD">
      <w:pPr>
        <w:spacing w:after="0" w:line="480" w:lineRule="auto"/>
        <w:jc w:val="both"/>
        <w:rPr>
          <w:rFonts w:ascii="Arial" w:hAnsi="Arial" w:cs="Arial"/>
          <w:sz w:val="24"/>
          <w:szCs w:val="24"/>
          <w:lang w:val="en-US"/>
        </w:rPr>
      </w:pPr>
    </w:p>
    <w:p w14:paraId="05436DC4" w14:textId="06C387E2" w:rsidR="000B4939" w:rsidRPr="00C66E45" w:rsidRDefault="00C66E45" w:rsidP="00C66E45">
      <w:pPr>
        <w:spacing w:after="0" w:line="480" w:lineRule="auto"/>
        <w:ind w:left="108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7D2CCA" w:rsidRPr="00C66E45">
        <w:rPr>
          <w:rFonts w:ascii="Arial" w:hAnsi="Arial" w:cs="Arial"/>
          <w:sz w:val="24"/>
          <w:szCs w:val="24"/>
          <w:lang w:val="en-US"/>
        </w:rPr>
        <w:t>Condonation is granted for the late filing of the oppo</w:t>
      </w:r>
      <w:r w:rsidR="000B4939" w:rsidRPr="00C66E45">
        <w:rPr>
          <w:rFonts w:ascii="Arial" w:hAnsi="Arial" w:cs="Arial"/>
          <w:sz w:val="24"/>
          <w:szCs w:val="24"/>
          <w:lang w:val="en-US"/>
        </w:rPr>
        <w:t>sing affidavit.</w:t>
      </w:r>
    </w:p>
    <w:p w14:paraId="7B6AC46D" w14:textId="77777777" w:rsidR="007F24AA" w:rsidRDefault="007F24AA" w:rsidP="007F24AA">
      <w:pPr>
        <w:pStyle w:val="ListParagraph"/>
        <w:spacing w:after="0" w:line="480" w:lineRule="auto"/>
        <w:ind w:left="1080"/>
        <w:jc w:val="both"/>
        <w:rPr>
          <w:rFonts w:ascii="Arial" w:hAnsi="Arial" w:cs="Arial"/>
          <w:sz w:val="24"/>
          <w:szCs w:val="24"/>
          <w:lang w:val="en-US"/>
        </w:rPr>
      </w:pPr>
    </w:p>
    <w:p w14:paraId="3FD1DFFA" w14:textId="20B7E988" w:rsidR="00150A98" w:rsidRPr="00C66E45" w:rsidRDefault="00C66E45" w:rsidP="00C66E45">
      <w:pPr>
        <w:spacing w:after="0" w:line="480" w:lineRule="auto"/>
        <w:ind w:left="108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1878CD" w:rsidRPr="00C66E45">
        <w:rPr>
          <w:rFonts w:ascii="Arial" w:hAnsi="Arial" w:cs="Arial"/>
          <w:sz w:val="24"/>
          <w:szCs w:val="24"/>
          <w:lang w:val="en-US"/>
        </w:rPr>
        <w:t xml:space="preserve">The </w:t>
      </w:r>
      <w:r w:rsidR="00BA3217" w:rsidRPr="00C66E45">
        <w:rPr>
          <w:rFonts w:ascii="Arial" w:hAnsi="Arial" w:cs="Arial"/>
          <w:sz w:val="24"/>
          <w:szCs w:val="24"/>
          <w:lang w:val="en-US"/>
        </w:rPr>
        <w:t xml:space="preserve">respondent and all those holding title under it is ordered to vacate </w:t>
      </w:r>
      <w:r w:rsidR="00A61740" w:rsidRPr="00C66E45">
        <w:rPr>
          <w:rFonts w:ascii="Arial" w:hAnsi="Arial" w:cs="Arial"/>
          <w:sz w:val="24"/>
          <w:szCs w:val="24"/>
          <w:lang w:val="en-US"/>
        </w:rPr>
        <w:t>the commercially leased premises known as, Musica Court Exhibition Space, Cap</w:t>
      </w:r>
      <w:r w:rsidR="00E14D03" w:rsidRPr="00C66E45">
        <w:rPr>
          <w:rFonts w:ascii="Arial" w:hAnsi="Arial" w:cs="Arial"/>
          <w:sz w:val="24"/>
          <w:szCs w:val="24"/>
          <w:lang w:val="en-US"/>
        </w:rPr>
        <w:t>e</w:t>
      </w:r>
      <w:r w:rsidR="00A61740" w:rsidRPr="00C66E45">
        <w:rPr>
          <w:rFonts w:ascii="Arial" w:hAnsi="Arial" w:cs="Arial"/>
          <w:sz w:val="24"/>
          <w:szCs w:val="24"/>
          <w:lang w:val="en-US"/>
        </w:rPr>
        <w:t xml:space="preserve"> Gate Shopping centre, cnr of </w:t>
      </w:r>
      <w:r w:rsidR="006132A3" w:rsidRPr="00C66E45">
        <w:rPr>
          <w:rFonts w:ascii="Arial" w:hAnsi="Arial" w:cs="Arial"/>
          <w:sz w:val="24"/>
          <w:szCs w:val="24"/>
          <w:lang w:val="en-US"/>
        </w:rPr>
        <w:t>Okavango and De Bron Roads, Ca</w:t>
      </w:r>
      <w:r w:rsidR="00DA554F" w:rsidRPr="00C66E45">
        <w:rPr>
          <w:rFonts w:ascii="Arial" w:hAnsi="Arial" w:cs="Arial"/>
          <w:sz w:val="24"/>
          <w:szCs w:val="24"/>
          <w:lang w:val="en-US"/>
        </w:rPr>
        <w:t>p</w:t>
      </w:r>
      <w:r w:rsidR="006132A3" w:rsidRPr="00C66E45">
        <w:rPr>
          <w:rFonts w:ascii="Arial" w:hAnsi="Arial" w:cs="Arial"/>
          <w:sz w:val="24"/>
          <w:szCs w:val="24"/>
          <w:lang w:val="en-US"/>
        </w:rPr>
        <w:t>e Gate, Cape Town situated at Erf 187</w:t>
      </w:r>
      <w:r w:rsidR="00C801A3" w:rsidRPr="00C66E45">
        <w:rPr>
          <w:rFonts w:ascii="Arial" w:hAnsi="Arial" w:cs="Arial"/>
          <w:sz w:val="24"/>
          <w:szCs w:val="24"/>
          <w:lang w:val="en-US"/>
        </w:rPr>
        <w:t>36, Brackenfell, more commonly known as Cape Gate Shopping Centre</w:t>
      </w:r>
      <w:r w:rsidR="0036390D" w:rsidRPr="00C66E45">
        <w:rPr>
          <w:rFonts w:ascii="Arial" w:hAnsi="Arial" w:cs="Arial"/>
          <w:sz w:val="24"/>
          <w:szCs w:val="24"/>
          <w:lang w:val="en-US"/>
        </w:rPr>
        <w:t>,</w:t>
      </w:r>
      <w:r w:rsidR="00C801A3" w:rsidRPr="00C66E45">
        <w:rPr>
          <w:rFonts w:ascii="Arial" w:hAnsi="Arial" w:cs="Arial"/>
          <w:sz w:val="24"/>
          <w:szCs w:val="24"/>
          <w:lang w:val="en-US"/>
        </w:rPr>
        <w:t xml:space="preserve"> on or before</w:t>
      </w:r>
      <w:r w:rsidR="00150A98" w:rsidRPr="00C66E45">
        <w:rPr>
          <w:rFonts w:ascii="Arial" w:hAnsi="Arial" w:cs="Arial"/>
          <w:sz w:val="24"/>
          <w:szCs w:val="24"/>
          <w:lang w:val="en-US"/>
        </w:rPr>
        <w:t xml:space="preserve"> </w:t>
      </w:r>
      <w:r w:rsidR="00186D0A" w:rsidRPr="00C66E45">
        <w:rPr>
          <w:rFonts w:ascii="Arial" w:hAnsi="Arial" w:cs="Arial"/>
          <w:sz w:val="24"/>
          <w:szCs w:val="24"/>
          <w:lang w:val="en-US"/>
        </w:rPr>
        <w:t xml:space="preserve">17h00 on </w:t>
      </w:r>
      <w:r w:rsidR="00150A98" w:rsidRPr="00C66E45">
        <w:rPr>
          <w:rFonts w:ascii="Arial" w:hAnsi="Arial" w:cs="Arial"/>
          <w:sz w:val="24"/>
          <w:szCs w:val="24"/>
          <w:lang w:val="en-US"/>
        </w:rPr>
        <w:t>Friday, 13 January 2023.</w:t>
      </w:r>
    </w:p>
    <w:p w14:paraId="6ACEDC12" w14:textId="77777777" w:rsidR="007F24AA" w:rsidRDefault="007F24AA" w:rsidP="007F24AA">
      <w:pPr>
        <w:pStyle w:val="ListParagraph"/>
        <w:spacing w:after="0" w:line="480" w:lineRule="auto"/>
        <w:ind w:left="1080"/>
        <w:jc w:val="both"/>
        <w:rPr>
          <w:rFonts w:ascii="Arial" w:hAnsi="Arial" w:cs="Arial"/>
          <w:sz w:val="24"/>
          <w:szCs w:val="24"/>
          <w:lang w:val="en-US"/>
        </w:rPr>
      </w:pPr>
    </w:p>
    <w:p w14:paraId="71774E0E" w14:textId="20CF314F" w:rsidR="007D2CCA" w:rsidRPr="00C66E45" w:rsidRDefault="00C66E45" w:rsidP="00C66E45">
      <w:pPr>
        <w:spacing w:after="0" w:line="480" w:lineRule="auto"/>
        <w:ind w:left="108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150A98" w:rsidRPr="00C66E45">
        <w:rPr>
          <w:rFonts w:ascii="Arial" w:hAnsi="Arial" w:cs="Arial"/>
          <w:sz w:val="24"/>
          <w:szCs w:val="24"/>
          <w:lang w:val="en-US"/>
        </w:rPr>
        <w:t>In the event of the respondent failing to vacate the aforesaid property</w:t>
      </w:r>
      <w:r w:rsidR="00003107" w:rsidRPr="00C66E45">
        <w:rPr>
          <w:rFonts w:ascii="Arial" w:hAnsi="Arial" w:cs="Arial"/>
          <w:sz w:val="24"/>
          <w:szCs w:val="24"/>
          <w:lang w:val="en-US"/>
        </w:rPr>
        <w:t xml:space="preserve">, the Sheriff of this Court is ordered and directed to evict the respondent and all those holding title under it, </w:t>
      </w:r>
      <w:r w:rsidR="007D2CCA" w:rsidRPr="00C66E45">
        <w:rPr>
          <w:rFonts w:ascii="Arial" w:hAnsi="Arial" w:cs="Arial"/>
          <w:sz w:val="24"/>
          <w:szCs w:val="24"/>
          <w:lang w:val="en-US"/>
        </w:rPr>
        <w:t>therefrom.</w:t>
      </w:r>
    </w:p>
    <w:p w14:paraId="76B389AB" w14:textId="77777777" w:rsidR="007F24AA" w:rsidRPr="007F24AA" w:rsidRDefault="007F24AA" w:rsidP="007F24AA">
      <w:pPr>
        <w:pStyle w:val="ListParagraph"/>
        <w:rPr>
          <w:rFonts w:ascii="Arial" w:hAnsi="Arial" w:cs="Arial"/>
          <w:sz w:val="24"/>
          <w:szCs w:val="24"/>
          <w:lang w:val="en-US"/>
        </w:rPr>
      </w:pPr>
    </w:p>
    <w:p w14:paraId="06E505A7" w14:textId="745304E3" w:rsidR="003C259F" w:rsidRPr="00C66E45" w:rsidRDefault="00C66E45" w:rsidP="00C66E45">
      <w:pPr>
        <w:spacing w:after="0" w:line="480" w:lineRule="auto"/>
        <w:ind w:left="108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7D2CCA" w:rsidRPr="00C66E45">
        <w:rPr>
          <w:rFonts w:ascii="Arial" w:hAnsi="Arial" w:cs="Arial"/>
          <w:sz w:val="24"/>
          <w:szCs w:val="24"/>
          <w:lang w:val="en-US"/>
        </w:rPr>
        <w:t>The respondent is ordered to pay the costs of this application, including the co</w:t>
      </w:r>
      <w:r w:rsidR="00DA554F" w:rsidRPr="00C66E45">
        <w:rPr>
          <w:rFonts w:ascii="Arial" w:hAnsi="Arial" w:cs="Arial"/>
          <w:sz w:val="24"/>
          <w:szCs w:val="24"/>
          <w:lang w:val="en-US"/>
        </w:rPr>
        <w:t xml:space="preserve">sts of the </w:t>
      </w:r>
      <w:r w:rsidR="00BA53BC" w:rsidRPr="00C66E45">
        <w:rPr>
          <w:rFonts w:ascii="Arial" w:hAnsi="Arial" w:cs="Arial"/>
          <w:sz w:val="24"/>
          <w:szCs w:val="24"/>
          <w:lang w:val="en-US"/>
        </w:rPr>
        <w:t xml:space="preserve">chamber book application, the </w:t>
      </w:r>
      <w:r w:rsidR="0005777C" w:rsidRPr="00C66E45">
        <w:rPr>
          <w:rFonts w:ascii="Arial" w:hAnsi="Arial" w:cs="Arial"/>
          <w:sz w:val="24"/>
          <w:szCs w:val="24"/>
          <w:lang w:val="en-US"/>
        </w:rPr>
        <w:t>condonation application and the waisted costs occasioned by the postponement of the application on 9 June 2022</w:t>
      </w:r>
      <w:r w:rsidR="008C61F3" w:rsidRPr="00C66E45">
        <w:rPr>
          <w:rFonts w:ascii="Arial" w:hAnsi="Arial" w:cs="Arial"/>
          <w:sz w:val="24"/>
          <w:szCs w:val="24"/>
          <w:lang w:val="en-US"/>
        </w:rPr>
        <w:t>, on the scale as between attorney and client</w:t>
      </w:r>
      <w:r w:rsidR="003C259F" w:rsidRPr="00C66E45">
        <w:rPr>
          <w:rFonts w:ascii="Arial" w:hAnsi="Arial" w:cs="Arial"/>
          <w:sz w:val="24"/>
          <w:szCs w:val="24"/>
          <w:lang w:val="en-US"/>
        </w:rPr>
        <w:t>, on the Magistrate’s court’s scale</w:t>
      </w:r>
      <w:r w:rsidR="0079493C" w:rsidRPr="00C66E45">
        <w:rPr>
          <w:rFonts w:ascii="Arial" w:hAnsi="Arial" w:cs="Arial"/>
          <w:sz w:val="24"/>
          <w:szCs w:val="24"/>
          <w:lang w:val="en-US"/>
        </w:rPr>
        <w:t>, with counsel</w:t>
      </w:r>
      <w:r w:rsidR="003B5311" w:rsidRPr="00C66E45">
        <w:rPr>
          <w:rFonts w:ascii="Arial" w:hAnsi="Arial" w:cs="Arial"/>
          <w:sz w:val="24"/>
          <w:szCs w:val="24"/>
          <w:lang w:val="en-US"/>
        </w:rPr>
        <w:t>’</w:t>
      </w:r>
      <w:r w:rsidR="0079493C" w:rsidRPr="00C66E45">
        <w:rPr>
          <w:rFonts w:ascii="Arial" w:hAnsi="Arial" w:cs="Arial"/>
          <w:sz w:val="24"/>
          <w:szCs w:val="24"/>
          <w:lang w:val="en-US"/>
        </w:rPr>
        <w:t>s fees</w:t>
      </w:r>
      <w:r w:rsidR="003B5311" w:rsidRPr="00C66E45">
        <w:rPr>
          <w:rFonts w:ascii="Arial" w:hAnsi="Arial" w:cs="Arial"/>
          <w:sz w:val="24"/>
          <w:szCs w:val="24"/>
          <w:lang w:val="en-US"/>
        </w:rPr>
        <w:t>, where so employed,</w:t>
      </w:r>
      <w:r w:rsidR="0079493C" w:rsidRPr="00C66E45">
        <w:rPr>
          <w:rFonts w:ascii="Arial" w:hAnsi="Arial" w:cs="Arial"/>
          <w:sz w:val="24"/>
          <w:szCs w:val="24"/>
          <w:lang w:val="en-US"/>
        </w:rPr>
        <w:t xml:space="preserve"> on the higher tariff</w:t>
      </w:r>
      <w:r w:rsidR="003C259F" w:rsidRPr="00C66E45">
        <w:rPr>
          <w:rFonts w:ascii="Arial" w:hAnsi="Arial" w:cs="Arial"/>
          <w:sz w:val="24"/>
          <w:szCs w:val="24"/>
          <w:lang w:val="en-US"/>
        </w:rPr>
        <w:t>.</w:t>
      </w:r>
    </w:p>
    <w:p w14:paraId="20C40203" w14:textId="2E3E54DB" w:rsidR="001878CD" w:rsidRPr="006E3438" w:rsidRDefault="001878CD" w:rsidP="001878CD">
      <w:pPr>
        <w:pStyle w:val="ListParagraph"/>
        <w:spacing w:after="0" w:line="480" w:lineRule="auto"/>
        <w:jc w:val="both"/>
        <w:rPr>
          <w:rFonts w:ascii="Arial" w:hAnsi="Arial" w:cs="Arial"/>
          <w:sz w:val="24"/>
          <w:szCs w:val="24"/>
          <w:lang w:val="en-US"/>
        </w:rPr>
      </w:pPr>
    </w:p>
    <w:p w14:paraId="1A8DFE3D" w14:textId="77777777" w:rsidR="001878CD" w:rsidRDefault="001878CD" w:rsidP="001878CD">
      <w:pPr>
        <w:spacing w:after="0" w:line="480" w:lineRule="auto"/>
        <w:jc w:val="both"/>
        <w:rPr>
          <w:rFonts w:ascii="Arial" w:hAnsi="Arial" w:cs="Arial"/>
          <w:sz w:val="24"/>
          <w:szCs w:val="24"/>
          <w:lang w:val="en-US"/>
        </w:rPr>
      </w:pPr>
    </w:p>
    <w:p w14:paraId="545F3922" w14:textId="77777777" w:rsidR="001878CD" w:rsidRPr="00AD2315" w:rsidRDefault="001878CD" w:rsidP="001878CD">
      <w:pPr>
        <w:jc w:val="right"/>
        <w:rPr>
          <w:rFonts w:ascii="Arial" w:eastAsia="Calibri" w:hAnsi="Arial" w:cs="Arial"/>
          <w:sz w:val="24"/>
          <w:szCs w:val="24"/>
          <w:lang w:val="en-GB"/>
        </w:rPr>
      </w:pPr>
      <w:r w:rsidRPr="00AD2315">
        <w:rPr>
          <w:rFonts w:ascii="Arial" w:eastAsia="Calibri" w:hAnsi="Arial" w:cs="Arial"/>
          <w:sz w:val="24"/>
          <w:szCs w:val="24"/>
          <w:lang w:val="en-GB"/>
        </w:rPr>
        <w:t xml:space="preserve">           _____________________________</w:t>
      </w:r>
    </w:p>
    <w:p w14:paraId="641FB86C" w14:textId="77777777" w:rsidR="001878CD" w:rsidRPr="00AD2315" w:rsidRDefault="001878CD" w:rsidP="001878CD">
      <w:pPr>
        <w:jc w:val="right"/>
        <w:rPr>
          <w:rFonts w:ascii="Arial" w:eastAsia="Calibri" w:hAnsi="Arial" w:cs="Arial"/>
          <w:b/>
          <w:bCs/>
          <w:sz w:val="24"/>
          <w:szCs w:val="24"/>
          <w:lang w:val="en-GB"/>
        </w:rPr>
      </w:pPr>
      <w:r w:rsidRPr="00AD2315">
        <w:rPr>
          <w:rFonts w:ascii="Arial" w:eastAsia="Calibri" w:hAnsi="Arial" w:cs="Arial"/>
          <w:b/>
          <w:bCs/>
          <w:sz w:val="24"/>
          <w:szCs w:val="24"/>
          <w:lang w:val="en-GB"/>
        </w:rPr>
        <w:t xml:space="preserve">                A De Wet</w:t>
      </w:r>
    </w:p>
    <w:p w14:paraId="2FF2F6BB" w14:textId="77777777" w:rsidR="001878CD" w:rsidRPr="00AD2315" w:rsidRDefault="001878CD" w:rsidP="001878CD">
      <w:pPr>
        <w:jc w:val="right"/>
        <w:rPr>
          <w:rFonts w:ascii="Arial" w:eastAsia="Calibri" w:hAnsi="Arial" w:cs="Arial"/>
          <w:b/>
          <w:bCs/>
          <w:sz w:val="24"/>
          <w:szCs w:val="24"/>
          <w:lang w:val="en-GB"/>
        </w:rPr>
      </w:pPr>
      <w:r w:rsidRPr="00AD2315">
        <w:rPr>
          <w:rFonts w:ascii="Arial" w:eastAsia="Calibri" w:hAnsi="Arial" w:cs="Arial"/>
          <w:b/>
          <w:bCs/>
          <w:sz w:val="24"/>
          <w:szCs w:val="24"/>
          <w:lang w:val="en-GB"/>
        </w:rPr>
        <w:t>Acting Judge of the High Court</w:t>
      </w:r>
    </w:p>
    <w:p w14:paraId="16F02234" w14:textId="77777777" w:rsidR="001878CD" w:rsidRDefault="001878CD" w:rsidP="001878CD">
      <w:pPr>
        <w:spacing w:after="0" w:line="360" w:lineRule="auto"/>
        <w:rPr>
          <w:rFonts w:ascii="Arial" w:eastAsia="Calibri" w:hAnsi="Arial" w:cs="Arial"/>
          <w:sz w:val="24"/>
          <w:szCs w:val="24"/>
          <w:lang w:val="en-GB"/>
        </w:rPr>
      </w:pPr>
    </w:p>
    <w:p w14:paraId="155CD632" w14:textId="77777777" w:rsidR="001878CD" w:rsidRPr="00AD2315" w:rsidRDefault="001878CD" w:rsidP="001878CD">
      <w:pPr>
        <w:spacing w:after="0" w:line="360" w:lineRule="auto"/>
        <w:rPr>
          <w:rFonts w:ascii="Arial" w:eastAsia="Calibri" w:hAnsi="Arial" w:cs="Arial"/>
          <w:sz w:val="24"/>
          <w:szCs w:val="24"/>
          <w:lang w:val="en-GB"/>
        </w:rPr>
      </w:pPr>
      <w:r w:rsidRPr="00AD2315">
        <w:rPr>
          <w:rFonts w:ascii="Arial" w:eastAsia="Calibri" w:hAnsi="Arial" w:cs="Arial"/>
          <w:sz w:val="24"/>
          <w:szCs w:val="24"/>
          <w:lang w:val="en-GB"/>
        </w:rPr>
        <w:t>Coram:</w:t>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t>De Wet AJ</w:t>
      </w:r>
    </w:p>
    <w:p w14:paraId="25920393" w14:textId="2F77CCE0" w:rsidR="001878CD" w:rsidRDefault="00DA7C60" w:rsidP="001878CD">
      <w:pPr>
        <w:spacing w:after="0" w:line="360" w:lineRule="auto"/>
        <w:ind w:left="4320" w:hanging="4320"/>
        <w:rPr>
          <w:rFonts w:ascii="Arial" w:eastAsia="Calibri" w:hAnsi="Arial" w:cs="Arial"/>
          <w:sz w:val="24"/>
          <w:szCs w:val="24"/>
          <w:lang w:val="en-GB"/>
        </w:rPr>
      </w:pPr>
      <w:r>
        <w:rPr>
          <w:rFonts w:ascii="Arial" w:eastAsia="Calibri" w:hAnsi="Arial" w:cs="Arial"/>
          <w:sz w:val="24"/>
          <w:szCs w:val="24"/>
          <w:lang w:val="en-GB"/>
        </w:rPr>
        <w:t xml:space="preserve">Date of hearing: </w:t>
      </w:r>
      <w:r w:rsidR="00674A08">
        <w:rPr>
          <w:rFonts w:ascii="Arial" w:eastAsia="Calibri" w:hAnsi="Arial" w:cs="Arial"/>
          <w:sz w:val="24"/>
          <w:szCs w:val="24"/>
          <w:lang w:val="en-GB"/>
        </w:rPr>
        <w:tab/>
      </w:r>
      <w:r>
        <w:rPr>
          <w:rFonts w:ascii="Arial" w:eastAsia="Calibri" w:hAnsi="Arial" w:cs="Arial"/>
          <w:sz w:val="24"/>
          <w:szCs w:val="24"/>
          <w:lang w:val="en-GB"/>
        </w:rPr>
        <w:t>31 October 2022</w:t>
      </w:r>
    </w:p>
    <w:p w14:paraId="21FB8348" w14:textId="77777777" w:rsidR="00674A08" w:rsidRDefault="00674A08" w:rsidP="001878CD">
      <w:pPr>
        <w:spacing w:after="0" w:line="360" w:lineRule="auto"/>
        <w:ind w:left="4320" w:hanging="4320"/>
        <w:rPr>
          <w:rFonts w:ascii="Arial" w:eastAsia="Calibri" w:hAnsi="Arial" w:cs="Arial"/>
          <w:sz w:val="24"/>
          <w:szCs w:val="24"/>
          <w:lang w:val="en-GB"/>
        </w:rPr>
      </w:pPr>
    </w:p>
    <w:p w14:paraId="6D9FD5D9" w14:textId="67F1F8B5" w:rsidR="001878CD" w:rsidRDefault="001878CD" w:rsidP="001878CD">
      <w:pPr>
        <w:spacing w:after="0" w:line="360" w:lineRule="auto"/>
        <w:rPr>
          <w:rFonts w:ascii="Arial" w:eastAsia="Calibri" w:hAnsi="Arial" w:cs="Arial"/>
          <w:sz w:val="24"/>
          <w:szCs w:val="24"/>
          <w:lang w:val="en-GB"/>
        </w:rPr>
      </w:pPr>
      <w:r>
        <w:rPr>
          <w:rFonts w:ascii="Arial" w:eastAsia="Calibri" w:hAnsi="Arial" w:cs="Arial"/>
          <w:sz w:val="24"/>
          <w:szCs w:val="24"/>
          <w:lang w:val="en-GB"/>
        </w:rPr>
        <w:t>On behalf of the A</w:t>
      </w:r>
      <w:r w:rsidR="0044416C">
        <w:rPr>
          <w:rFonts w:ascii="Arial" w:eastAsia="Calibri" w:hAnsi="Arial" w:cs="Arial"/>
          <w:sz w:val="24"/>
          <w:szCs w:val="24"/>
          <w:lang w:val="en-GB"/>
        </w:rPr>
        <w:t>pplicant</w:t>
      </w:r>
      <w:r w:rsidRPr="00AD2315">
        <w:rPr>
          <w:rFonts w:ascii="Arial" w:eastAsia="Calibri" w:hAnsi="Arial" w:cs="Arial"/>
          <w:sz w:val="24"/>
          <w:szCs w:val="24"/>
          <w:lang w:val="en-GB"/>
        </w:rPr>
        <w:t>:</w:t>
      </w:r>
      <w:r w:rsidRPr="00AD2315">
        <w:rPr>
          <w:rFonts w:ascii="Arial" w:eastAsia="Calibri" w:hAnsi="Arial" w:cs="Arial"/>
          <w:sz w:val="24"/>
          <w:szCs w:val="24"/>
          <w:lang w:val="en-GB"/>
        </w:rPr>
        <w:tab/>
      </w:r>
      <w:r w:rsidRPr="00AD2315">
        <w:rPr>
          <w:rFonts w:ascii="Arial" w:eastAsia="Calibri" w:hAnsi="Arial" w:cs="Arial"/>
          <w:sz w:val="24"/>
          <w:szCs w:val="24"/>
          <w:lang w:val="en-GB"/>
        </w:rPr>
        <w:tab/>
      </w:r>
      <w:r w:rsidRPr="00AD2315">
        <w:rPr>
          <w:rFonts w:ascii="Arial" w:eastAsia="Calibri" w:hAnsi="Arial" w:cs="Arial"/>
          <w:sz w:val="24"/>
          <w:szCs w:val="24"/>
          <w:lang w:val="en-GB"/>
        </w:rPr>
        <w:tab/>
      </w:r>
      <w:r>
        <w:rPr>
          <w:rFonts w:ascii="Arial" w:eastAsia="Calibri" w:hAnsi="Arial" w:cs="Arial"/>
          <w:sz w:val="24"/>
          <w:szCs w:val="24"/>
          <w:lang w:val="en-GB"/>
        </w:rPr>
        <w:t xml:space="preserve">Adv </w:t>
      </w:r>
      <w:r w:rsidR="0044416C">
        <w:rPr>
          <w:rFonts w:ascii="Arial" w:eastAsia="Calibri" w:hAnsi="Arial" w:cs="Arial"/>
          <w:sz w:val="24"/>
          <w:szCs w:val="24"/>
          <w:lang w:val="en-GB"/>
        </w:rPr>
        <w:t>J Bence</w:t>
      </w:r>
      <w:r>
        <w:rPr>
          <w:rFonts w:ascii="Arial" w:eastAsia="Calibri" w:hAnsi="Arial" w:cs="Arial"/>
          <w:sz w:val="24"/>
          <w:szCs w:val="24"/>
          <w:lang w:val="en-GB"/>
        </w:rPr>
        <w:t xml:space="preserve"> instructed by </w:t>
      </w:r>
    </w:p>
    <w:p w14:paraId="27DBCF8F" w14:textId="2AAE5086" w:rsidR="001878CD" w:rsidRDefault="001878CD" w:rsidP="001878CD">
      <w:pPr>
        <w:spacing w:after="0" w:line="360" w:lineRule="auto"/>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sidR="0030124F">
        <w:rPr>
          <w:rFonts w:ascii="Arial" w:eastAsia="Calibri" w:hAnsi="Arial" w:cs="Arial"/>
          <w:sz w:val="24"/>
          <w:szCs w:val="24"/>
          <w:lang w:val="en-GB"/>
        </w:rPr>
        <w:t xml:space="preserve">Pepler </w:t>
      </w:r>
      <w:r w:rsidR="003E3B02">
        <w:rPr>
          <w:rFonts w:ascii="Arial" w:eastAsia="Calibri" w:hAnsi="Arial" w:cs="Arial"/>
          <w:sz w:val="24"/>
          <w:szCs w:val="24"/>
          <w:lang w:val="en-GB"/>
        </w:rPr>
        <w:t>O’Kennedy</w:t>
      </w:r>
    </w:p>
    <w:p w14:paraId="36B65FD1" w14:textId="0C9A1AFD" w:rsidR="001878CD" w:rsidRPr="00AD2315" w:rsidRDefault="001878CD" w:rsidP="001878CD">
      <w:pPr>
        <w:spacing w:after="0" w:line="360" w:lineRule="auto"/>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sidR="00347623">
        <w:rPr>
          <w:rFonts w:ascii="Arial" w:eastAsia="Calibri" w:hAnsi="Arial" w:cs="Arial"/>
          <w:sz w:val="24"/>
          <w:szCs w:val="24"/>
          <w:lang w:val="en-GB"/>
        </w:rPr>
        <w:t xml:space="preserve">Email: </w:t>
      </w:r>
      <w:r w:rsidR="003E3B02">
        <w:rPr>
          <w:rFonts w:ascii="Arial" w:eastAsia="Calibri" w:hAnsi="Arial" w:cs="Arial"/>
          <w:sz w:val="24"/>
          <w:szCs w:val="24"/>
          <w:lang w:val="en-GB"/>
        </w:rPr>
        <w:t>andre@</w:t>
      </w:r>
      <w:r w:rsidR="002C5B7A">
        <w:rPr>
          <w:rFonts w:ascii="Arial" w:eastAsia="Calibri" w:hAnsi="Arial" w:cs="Arial"/>
          <w:sz w:val="24"/>
          <w:szCs w:val="24"/>
          <w:lang w:val="en-GB"/>
        </w:rPr>
        <w:t>pro.legal</w:t>
      </w:r>
    </w:p>
    <w:p w14:paraId="0D86979E" w14:textId="77777777" w:rsidR="001878CD" w:rsidRDefault="001878CD" w:rsidP="001878CD">
      <w:pPr>
        <w:spacing w:after="0" w:line="360" w:lineRule="auto"/>
        <w:rPr>
          <w:rFonts w:ascii="Arial" w:eastAsia="Calibri" w:hAnsi="Arial" w:cs="Arial"/>
          <w:sz w:val="24"/>
          <w:szCs w:val="24"/>
          <w:lang w:val="en-GB"/>
        </w:rPr>
      </w:pPr>
    </w:p>
    <w:p w14:paraId="7F732ED5" w14:textId="1265B942" w:rsidR="001878CD" w:rsidRDefault="001878CD" w:rsidP="001878CD">
      <w:pPr>
        <w:spacing w:after="0" w:line="360" w:lineRule="auto"/>
        <w:rPr>
          <w:rFonts w:ascii="Arial" w:eastAsia="Calibri" w:hAnsi="Arial" w:cs="Arial"/>
          <w:sz w:val="24"/>
          <w:szCs w:val="24"/>
          <w:lang w:val="en-GB"/>
        </w:rPr>
      </w:pPr>
      <w:r>
        <w:rPr>
          <w:rFonts w:ascii="Arial" w:eastAsia="Calibri" w:hAnsi="Arial" w:cs="Arial"/>
          <w:sz w:val="24"/>
          <w:szCs w:val="24"/>
          <w:lang w:val="en-GB"/>
        </w:rPr>
        <w:t>On behalf of the Respondent</w:t>
      </w:r>
      <w:r>
        <w:rPr>
          <w:rFonts w:ascii="Arial" w:eastAsia="Calibri" w:hAnsi="Arial" w:cs="Arial"/>
          <w:sz w:val="24"/>
          <w:szCs w:val="24"/>
          <w:lang w:val="en-GB"/>
        </w:rPr>
        <w:tab/>
      </w:r>
      <w:r>
        <w:rPr>
          <w:rFonts w:ascii="Arial" w:eastAsia="Calibri" w:hAnsi="Arial" w:cs="Arial"/>
          <w:sz w:val="24"/>
          <w:szCs w:val="24"/>
          <w:lang w:val="en-GB"/>
        </w:rPr>
        <w:tab/>
        <w:t xml:space="preserve">Adv </w:t>
      </w:r>
      <w:r w:rsidR="00B74B99">
        <w:rPr>
          <w:rFonts w:ascii="Arial" w:eastAsia="Calibri" w:hAnsi="Arial" w:cs="Arial"/>
          <w:sz w:val="24"/>
          <w:szCs w:val="24"/>
          <w:lang w:val="en-GB"/>
        </w:rPr>
        <w:t xml:space="preserve">P Gabriel instructed by </w:t>
      </w:r>
    </w:p>
    <w:p w14:paraId="1052C863" w14:textId="77777777" w:rsidR="00347623" w:rsidRDefault="00347623" w:rsidP="001878CD">
      <w:pPr>
        <w:spacing w:after="0" w:line="360" w:lineRule="auto"/>
        <w:ind w:left="4320"/>
        <w:rPr>
          <w:rFonts w:ascii="Arial" w:eastAsia="Calibri" w:hAnsi="Arial" w:cs="Arial"/>
          <w:sz w:val="24"/>
          <w:szCs w:val="24"/>
          <w:lang w:val="en-GB"/>
        </w:rPr>
      </w:pPr>
      <w:r>
        <w:rPr>
          <w:rFonts w:ascii="Arial" w:eastAsia="Calibri" w:hAnsi="Arial" w:cs="Arial"/>
          <w:sz w:val="24"/>
          <w:szCs w:val="24"/>
          <w:lang w:val="en-GB"/>
        </w:rPr>
        <w:t xml:space="preserve">ZS Incorporated Attorneys </w:t>
      </w:r>
    </w:p>
    <w:p w14:paraId="00D8A88E" w14:textId="639BEB52" w:rsidR="001878CD" w:rsidRDefault="00347623" w:rsidP="001878CD">
      <w:pPr>
        <w:spacing w:after="0" w:line="360" w:lineRule="auto"/>
        <w:ind w:left="4320"/>
        <w:rPr>
          <w:rFonts w:ascii="Arial" w:eastAsia="Calibri" w:hAnsi="Arial" w:cs="Arial"/>
          <w:sz w:val="24"/>
          <w:szCs w:val="24"/>
          <w:lang w:val="en-GB"/>
        </w:rPr>
      </w:pPr>
      <w:r>
        <w:rPr>
          <w:rFonts w:ascii="Arial" w:eastAsia="Calibri" w:hAnsi="Arial" w:cs="Arial"/>
          <w:sz w:val="24"/>
          <w:szCs w:val="24"/>
          <w:lang w:val="en-GB"/>
        </w:rPr>
        <w:t>Email: waleed@zsinc.co.za</w:t>
      </w:r>
      <w:r w:rsidR="001878CD" w:rsidRPr="00AD2315">
        <w:rPr>
          <w:rFonts w:ascii="Arial" w:eastAsia="Calibri" w:hAnsi="Arial" w:cs="Arial"/>
          <w:sz w:val="24"/>
          <w:szCs w:val="24"/>
          <w:lang w:val="en-GB"/>
        </w:rPr>
        <w:tab/>
      </w:r>
      <w:r w:rsidR="001878CD" w:rsidRPr="00AD2315">
        <w:rPr>
          <w:rFonts w:ascii="Arial" w:eastAsia="Calibri" w:hAnsi="Arial" w:cs="Arial"/>
          <w:sz w:val="24"/>
          <w:szCs w:val="24"/>
          <w:lang w:val="en-GB"/>
        </w:rPr>
        <w:tab/>
      </w:r>
      <w:r w:rsidR="001878CD" w:rsidRPr="00AD2315">
        <w:rPr>
          <w:rFonts w:ascii="Arial" w:eastAsia="Calibri" w:hAnsi="Arial" w:cs="Arial"/>
          <w:sz w:val="24"/>
          <w:szCs w:val="24"/>
          <w:lang w:val="en-GB"/>
        </w:rPr>
        <w:tab/>
      </w:r>
    </w:p>
    <w:p w14:paraId="12C6F6C7" w14:textId="3FB2B74C" w:rsidR="001878CD" w:rsidRPr="00AD2315" w:rsidRDefault="001878CD" w:rsidP="001878CD">
      <w:pPr>
        <w:spacing w:after="0" w:line="360" w:lineRule="auto"/>
        <w:ind w:left="3600" w:firstLine="720"/>
        <w:rPr>
          <w:rFonts w:ascii="Arial" w:eastAsia="Calibri" w:hAnsi="Arial" w:cs="Arial"/>
          <w:sz w:val="24"/>
          <w:szCs w:val="24"/>
          <w:lang w:val="en-GB"/>
        </w:rPr>
      </w:pPr>
    </w:p>
    <w:p w14:paraId="3E5C1E94" w14:textId="75F5E3B1" w:rsidR="00B22EAD" w:rsidRDefault="00B22EAD" w:rsidP="00064CFA">
      <w:pPr>
        <w:spacing w:line="480" w:lineRule="auto"/>
        <w:jc w:val="both"/>
        <w:rPr>
          <w:rFonts w:ascii="Arial" w:hAnsi="Arial" w:cs="Arial"/>
          <w:sz w:val="24"/>
          <w:szCs w:val="24"/>
        </w:rPr>
      </w:pPr>
    </w:p>
    <w:sectPr w:rsidR="00B22E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ED13" w14:textId="77777777" w:rsidR="006A3006" w:rsidRDefault="006A3006" w:rsidP="002422A8">
      <w:pPr>
        <w:spacing w:after="0" w:line="240" w:lineRule="auto"/>
      </w:pPr>
      <w:r>
        <w:separator/>
      </w:r>
    </w:p>
  </w:endnote>
  <w:endnote w:type="continuationSeparator" w:id="0">
    <w:p w14:paraId="5F7F09B2" w14:textId="77777777" w:rsidR="006A3006" w:rsidRDefault="006A3006" w:rsidP="0024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63720"/>
      <w:docPartObj>
        <w:docPartGallery w:val="Page Numbers (Bottom of Page)"/>
        <w:docPartUnique/>
      </w:docPartObj>
    </w:sdtPr>
    <w:sdtEndPr>
      <w:rPr>
        <w:color w:val="7F7F7F" w:themeColor="background1" w:themeShade="7F"/>
        <w:spacing w:val="60"/>
      </w:rPr>
    </w:sdtEndPr>
    <w:sdtContent>
      <w:p w14:paraId="0DBE7ED4" w14:textId="1609C228" w:rsidR="005A4E0B" w:rsidRDefault="005A4E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6E45">
          <w:rPr>
            <w:noProof/>
          </w:rPr>
          <w:t>16</w:t>
        </w:r>
        <w:r>
          <w:rPr>
            <w:noProof/>
          </w:rPr>
          <w:fldChar w:fldCharType="end"/>
        </w:r>
        <w:r>
          <w:t xml:space="preserve"> | </w:t>
        </w:r>
        <w:r>
          <w:rPr>
            <w:color w:val="7F7F7F" w:themeColor="background1" w:themeShade="7F"/>
            <w:spacing w:val="60"/>
          </w:rPr>
          <w:t>Page</w:t>
        </w:r>
      </w:p>
    </w:sdtContent>
  </w:sdt>
  <w:p w14:paraId="60144948" w14:textId="77777777" w:rsidR="005A4E0B" w:rsidRDefault="005A4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6337" w14:textId="77777777" w:rsidR="006A3006" w:rsidRDefault="006A3006" w:rsidP="002422A8">
      <w:pPr>
        <w:spacing w:after="0" w:line="240" w:lineRule="auto"/>
      </w:pPr>
      <w:r>
        <w:separator/>
      </w:r>
    </w:p>
  </w:footnote>
  <w:footnote w:type="continuationSeparator" w:id="0">
    <w:p w14:paraId="2A3022B2" w14:textId="77777777" w:rsidR="006A3006" w:rsidRDefault="006A3006" w:rsidP="002422A8">
      <w:pPr>
        <w:spacing w:after="0" w:line="240" w:lineRule="auto"/>
      </w:pPr>
      <w:r>
        <w:continuationSeparator/>
      </w:r>
    </w:p>
  </w:footnote>
  <w:footnote w:id="1">
    <w:p w14:paraId="4C2C0142" w14:textId="77777777" w:rsidR="00991DD7" w:rsidRPr="00DD7B5D" w:rsidRDefault="00991DD7" w:rsidP="00991DD7">
      <w:pPr>
        <w:pStyle w:val="FootnoteText"/>
        <w:rPr>
          <w:lang w:val="en-US"/>
        </w:rPr>
      </w:pPr>
      <w:r>
        <w:rPr>
          <w:rStyle w:val="FootnoteReference"/>
        </w:rPr>
        <w:footnoteRef/>
      </w:r>
      <w:r>
        <w:t xml:space="preserve"> </w:t>
      </w:r>
      <w:r>
        <w:rPr>
          <w:lang w:val="en-US"/>
        </w:rPr>
        <w:t>The South African Law of Landlord and Tennant 2</w:t>
      </w:r>
      <w:r w:rsidRPr="00DD7B5D">
        <w:rPr>
          <w:vertAlign w:val="superscript"/>
          <w:lang w:val="en-US"/>
        </w:rPr>
        <w:t>nd</w:t>
      </w:r>
      <w:r>
        <w:rPr>
          <w:lang w:val="en-US"/>
        </w:rPr>
        <w:t xml:space="preserve"> edition pp 65 -66</w:t>
      </w:r>
    </w:p>
  </w:footnote>
  <w:footnote w:id="2">
    <w:p w14:paraId="4F392AB3" w14:textId="77777777" w:rsidR="00991DD7" w:rsidRPr="006A3E08" w:rsidRDefault="00991DD7" w:rsidP="00991DD7">
      <w:pPr>
        <w:spacing w:line="480" w:lineRule="auto"/>
        <w:jc w:val="both"/>
        <w:rPr>
          <w:rFonts w:ascii="Arial" w:hAnsi="Arial" w:cs="Arial"/>
          <w:sz w:val="18"/>
          <w:szCs w:val="24"/>
        </w:rPr>
      </w:pPr>
      <w:r>
        <w:rPr>
          <w:rStyle w:val="FootnoteReference"/>
        </w:rPr>
        <w:footnoteRef/>
      </w:r>
      <w:r>
        <w:t xml:space="preserve"> </w:t>
      </w:r>
      <w:r w:rsidRPr="006A3E08">
        <w:rPr>
          <w:rFonts w:ascii="Arial" w:hAnsi="Arial" w:cs="Arial"/>
          <w:sz w:val="18"/>
          <w:szCs w:val="24"/>
        </w:rPr>
        <w:t xml:space="preserve">See </w:t>
      </w:r>
      <w:r w:rsidRPr="006A3E08">
        <w:rPr>
          <w:rFonts w:ascii="Arial" w:hAnsi="Arial" w:cs="Arial"/>
          <w:i/>
          <w:sz w:val="18"/>
          <w:szCs w:val="24"/>
        </w:rPr>
        <w:t xml:space="preserve">Glover Kerr’s Law of Sale and Lease </w:t>
      </w:r>
      <w:r w:rsidRPr="006A3E08">
        <w:rPr>
          <w:rFonts w:ascii="Arial" w:hAnsi="Arial" w:cs="Arial"/>
          <w:sz w:val="18"/>
          <w:szCs w:val="24"/>
        </w:rPr>
        <w:t>(4</w:t>
      </w:r>
      <w:r w:rsidRPr="006A3E08">
        <w:rPr>
          <w:rFonts w:ascii="Arial" w:hAnsi="Arial" w:cs="Arial"/>
          <w:sz w:val="18"/>
          <w:szCs w:val="24"/>
          <w:vertAlign w:val="superscript"/>
        </w:rPr>
        <w:t>th</w:t>
      </w:r>
      <w:r w:rsidRPr="006A3E08">
        <w:rPr>
          <w:rFonts w:ascii="Arial" w:hAnsi="Arial" w:cs="Arial"/>
          <w:sz w:val="18"/>
          <w:szCs w:val="24"/>
        </w:rPr>
        <w:t xml:space="preserve"> Edition) 23.3.1</w:t>
      </w:r>
    </w:p>
    <w:p w14:paraId="5F27FA2E" w14:textId="77777777" w:rsidR="00991DD7" w:rsidRPr="00DD7B5D" w:rsidRDefault="00991DD7" w:rsidP="00991DD7">
      <w:pPr>
        <w:pStyle w:val="FootnoteText"/>
        <w:rPr>
          <w:lang w:val="en-US"/>
        </w:rPr>
      </w:pPr>
    </w:p>
  </w:footnote>
  <w:footnote w:id="3">
    <w:p w14:paraId="1F8FA48E" w14:textId="435C67CA" w:rsidR="00A677DB" w:rsidRPr="00A677DB" w:rsidRDefault="00A677DB" w:rsidP="00EB2B19">
      <w:pPr>
        <w:spacing w:line="240" w:lineRule="auto"/>
        <w:jc w:val="both"/>
        <w:rPr>
          <w:rFonts w:cstheme="minorHAnsi"/>
          <w:lang w:val="en-US"/>
        </w:rPr>
      </w:pPr>
      <w:r w:rsidRPr="00D65363">
        <w:rPr>
          <w:rStyle w:val="FootnoteReference"/>
          <w:sz w:val="20"/>
          <w:szCs w:val="20"/>
        </w:rPr>
        <w:footnoteRef/>
      </w:r>
      <w:r w:rsidRPr="00D65363">
        <w:rPr>
          <w:sz w:val="20"/>
          <w:szCs w:val="20"/>
        </w:rPr>
        <w:t xml:space="preserve"> </w:t>
      </w:r>
      <w:r w:rsidRPr="00D65363">
        <w:rPr>
          <w:rFonts w:cstheme="minorHAnsi"/>
          <w:sz w:val="20"/>
          <w:szCs w:val="20"/>
          <w:lang w:val="en-US"/>
        </w:rPr>
        <w:t xml:space="preserve">In this regard in the matter of </w:t>
      </w:r>
      <w:r w:rsidRPr="00D65363">
        <w:rPr>
          <w:rFonts w:cstheme="minorHAnsi"/>
          <w:i/>
          <w:sz w:val="20"/>
          <w:szCs w:val="20"/>
        </w:rPr>
        <w:t>Pareto Ltd and Another v Coffee Junction CC</w:t>
      </w:r>
      <w:r w:rsidRPr="00D65363">
        <w:rPr>
          <w:rFonts w:cstheme="minorHAnsi"/>
          <w:sz w:val="20"/>
          <w:szCs w:val="20"/>
        </w:rPr>
        <w:t xml:space="preserve"> (24773/2010) [2011] ZAWCHC 11 (24 February 2011) at para 28 it was held that:</w:t>
      </w:r>
      <w:r w:rsidRPr="00D65363">
        <w:rPr>
          <w:rFonts w:ascii="Arial" w:hAnsi="Arial" w:cs="Arial"/>
          <w:i/>
          <w:sz w:val="20"/>
          <w:szCs w:val="20"/>
        </w:rPr>
        <w:t xml:space="preserve"> </w:t>
      </w:r>
      <w:r w:rsidRPr="00D65363">
        <w:rPr>
          <w:rFonts w:cstheme="minorHAnsi"/>
          <w:i/>
          <w:sz w:val="20"/>
          <w:szCs w:val="20"/>
        </w:rPr>
        <w:t xml:space="preserve">Counsel for respondent also referred me to the case of Barkhuizen v Napier 2007 (5) SA 323 (CC), specifically at pages 330 to 341, where the court dealt with the principle the constitutional value of equality and dignity may prove to be decisive when the parties’ relative bargaining positions is in issue. However, the court in Barkhuizen was considering this principle within the context of a contract </w:t>
      </w:r>
      <w:r w:rsidRPr="00D65363">
        <w:rPr>
          <w:rFonts w:cstheme="minorHAnsi"/>
          <w:i/>
          <w:sz w:val="20"/>
          <w:szCs w:val="20"/>
          <w:u w:val="single"/>
        </w:rPr>
        <w:t xml:space="preserve">already concluded </w:t>
      </w:r>
      <w:r w:rsidRPr="00D65363">
        <w:rPr>
          <w:rFonts w:cstheme="minorHAnsi"/>
          <w:i/>
          <w:sz w:val="20"/>
          <w:szCs w:val="20"/>
        </w:rPr>
        <w:t>and where there was certainty as to the precise terms thereof. In the instant matter, the “term” relied upon by the respondent boils down to nothing more than reliance on something other than an identified constitutional value. The respondent seeks to elevate a willingness to negotiate to the status of an obligation on the part of the applicants to provide the respondent with a reasonable opportunity to rent the premises for a further five years on reasonable basis. Since the respondent cannot (and therefore correctly does not) allege that the written lease agreement was varied whilst it was still in existence, the respondent must rely on events which took place subsequent to June 2010 when the written lease expired. There is nothing on the papers before me which took place subsequent to June 2010 which indicates that such a term exists. At best, the respondent has demonstrated that the applicants indicated a willingness to negotiate. That does not translate into a binding contract to do so.</w:t>
      </w:r>
    </w:p>
  </w:footnote>
  <w:footnote w:id="4">
    <w:p w14:paraId="1D140E31" w14:textId="77777777" w:rsidR="00A7244B" w:rsidRDefault="00A7244B" w:rsidP="00A7244B">
      <w:pPr>
        <w:pStyle w:val="FootnoteText"/>
        <w:rPr>
          <w:lang w:val="en-US"/>
        </w:rPr>
      </w:pPr>
      <w:r>
        <w:rPr>
          <w:rStyle w:val="FootnoteReference"/>
        </w:rPr>
        <w:footnoteRef/>
      </w:r>
      <w:r>
        <w:t xml:space="preserve"> </w:t>
      </w:r>
      <w:r>
        <w:rPr>
          <w:lang w:val="en-US"/>
        </w:rPr>
        <w:t xml:space="preserve">Clause 6.1 states: No amendments, variations or consensual cancellation of this agreement, or of this clause, will be valid unless reduced to writing and signed by the parties hereto. In particular, no representations of whatsoever nature has been made to either party to this agreement – save for what is contained herein. No waiver on the part of Centre Management will prejudice Centre Management’s rights in any way whatsoever. </w:t>
      </w:r>
    </w:p>
    <w:p w14:paraId="25711FC8" w14:textId="77777777" w:rsidR="00A7244B" w:rsidRPr="008B7652" w:rsidRDefault="00A7244B" w:rsidP="00A7244B">
      <w:pPr>
        <w:pStyle w:val="FootnoteText"/>
        <w:rPr>
          <w:lang w:val="en-US"/>
        </w:rPr>
      </w:pPr>
      <w:r>
        <w:rPr>
          <w:lang w:val="en-US"/>
        </w:rPr>
        <w:t xml:space="preserve">Clause 6.3 states: Centre Management shall not be bound by an express or implied term, representation warranty, promise or the like not recorded herein, and the Exhibitor waives the defence of estoppel in this regard. </w:t>
      </w:r>
    </w:p>
  </w:footnote>
  <w:footnote w:id="5">
    <w:p w14:paraId="184CF688" w14:textId="1E30B88C" w:rsidR="005D2F24" w:rsidRDefault="005D2F24">
      <w:pPr>
        <w:pStyle w:val="FootnoteText"/>
      </w:pPr>
      <w:r>
        <w:rPr>
          <w:rStyle w:val="FootnoteReference"/>
        </w:rPr>
        <w:footnoteRef/>
      </w:r>
      <w:r>
        <w:t xml:space="preserve"> </w:t>
      </w:r>
      <w:r w:rsidR="00811386">
        <w:t xml:space="preserve">The SCA </w:t>
      </w:r>
      <w:r w:rsidR="005B4876">
        <w:t xml:space="preserve">in the matter of </w:t>
      </w:r>
      <w:r w:rsidR="00811386" w:rsidRPr="00806AEE">
        <w:rPr>
          <w:i/>
          <w:iCs/>
        </w:rPr>
        <w:t xml:space="preserve">Standard Bank </w:t>
      </w:r>
      <w:r w:rsidR="00811386">
        <w:rPr>
          <w:i/>
          <w:iCs/>
        </w:rPr>
        <w:t>o</w:t>
      </w:r>
      <w:r w:rsidR="00811386" w:rsidRPr="00806AEE">
        <w:rPr>
          <w:i/>
          <w:iCs/>
        </w:rPr>
        <w:t>f South Africa Ltd And Others v Mpongo and Others</w:t>
      </w:r>
      <w:r w:rsidR="00811386" w:rsidRPr="00806AEE">
        <w:t xml:space="preserve"> 2021 (6) SA 403</w:t>
      </w:r>
      <w:r w:rsidR="005B4876">
        <w:t xml:space="preserve"> (SCA</w:t>
      </w:r>
      <w:r w:rsidR="00811386" w:rsidRPr="00806AEE">
        <w:t>)</w:t>
      </w:r>
      <w:r w:rsidR="00BA29BA">
        <w:t xml:space="preserve"> in this regard </w:t>
      </w:r>
      <w:r w:rsidR="00811386">
        <w:t xml:space="preserve">held that </w:t>
      </w:r>
      <w:r w:rsidR="00811386" w:rsidRPr="00806AEE">
        <w:t xml:space="preserve">a High Court was obliged to hear a matter brought before it, even where the matter fell within the jurisdiction of a </w:t>
      </w:r>
      <w:r w:rsidR="00811386">
        <w:t>M</w:t>
      </w:r>
      <w:r w:rsidR="00811386" w:rsidRPr="00806AEE">
        <w:t xml:space="preserve">agistrates' </w:t>
      </w:r>
      <w:r w:rsidR="00811386">
        <w:t>C</w:t>
      </w:r>
      <w:r w:rsidR="00811386" w:rsidRPr="00806AEE">
        <w:t xml:space="preserve">ourt and that the prejudicial consequences of </w:t>
      </w:r>
      <w:r w:rsidR="00811386">
        <w:t>the</w:t>
      </w:r>
      <w:r w:rsidR="00811386" w:rsidRPr="00806AEE">
        <w:t xml:space="preserve"> choice of forum could be mitigated by an appropriate costs order.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959"/>
    <w:multiLevelType w:val="multilevel"/>
    <w:tmpl w:val="2614153E"/>
    <w:lvl w:ilvl="0">
      <w:start w:val="1"/>
      <w:numFmt w:val="decimal"/>
      <w:pStyle w:val="Para1"/>
      <w:lvlText w:val="%1."/>
      <w:lvlJc w:val="left"/>
      <w:pPr>
        <w:ind w:left="360" w:hanging="360"/>
      </w:pPr>
      <w:rPr>
        <w:rFonts w:ascii="Arial" w:hAnsi="Arial" w:cs="Arial" w:hint="default"/>
      </w:rPr>
    </w:lvl>
    <w:lvl w:ilvl="1">
      <w:start w:val="1"/>
      <w:numFmt w:val="decimal"/>
      <w:pStyle w:val="Para2"/>
      <w:lvlText w:val="%1.%2."/>
      <w:lvlJc w:val="left"/>
      <w:pPr>
        <w:ind w:left="792" w:hanging="432"/>
      </w:pPr>
      <w:rPr>
        <w:rFonts w:ascii="Arial" w:hAnsi="Arial" w:cs="Arial" w:hint="default"/>
        <w:i w:val="0"/>
        <w:iCs w:val="0"/>
      </w:rPr>
    </w:lvl>
    <w:lvl w:ilvl="2">
      <w:start w:val="1"/>
      <w:numFmt w:val="decimal"/>
      <w:pStyle w:val="Par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BC390E"/>
    <w:multiLevelType w:val="multilevel"/>
    <w:tmpl w:val="0FC67E80"/>
    <w:lvl w:ilvl="0">
      <w:start w:val="1"/>
      <w:numFmt w:val="decimal"/>
      <w:lvlText w:val="%1."/>
      <w:lvlJc w:val="left"/>
      <w:pPr>
        <w:tabs>
          <w:tab w:val="num" w:pos="720"/>
        </w:tabs>
        <w:ind w:left="720" w:hanging="720"/>
      </w:pPr>
      <w:rPr>
        <w:rFonts w:ascii="Arial" w:hAnsi="Arial" w:hint="default"/>
        <w:b w:val="0"/>
        <w:i w:val="0"/>
        <w:caps w:val="0"/>
        <w:vanish w:val="0"/>
        <w:color w:val="auto"/>
        <w:sz w:val="24"/>
        <w:szCs w:val="28"/>
        <w:u w:val="none"/>
      </w:rPr>
    </w:lvl>
    <w:lvl w:ilvl="1">
      <w:start w:val="1"/>
      <w:numFmt w:val="decimal"/>
      <w:isLgl/>
      <w:lvlText w:val="%1.%2"/>
      <w:lvlJc w:val="left"/>
      <w:pPr>
        <w:tabs>
          <w:tab w:val="num" w:pos="1440"/>
        </w:tabs>
        <w:ind w:left="144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3168"/>
        </w:tabs>
        <w:ind w:left="3168" w:hanging="1008"/>
      </w:pPr>
      <w:rPr>
        <w:rFonts w:hint="default"/>
        <w:b w:val="0"/>
        <w:i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5ADA25EB"/>
    <w:multiLevelType w:val="hybridMultilevel"/>
    <w:tmpl w:val="726AB4B4"/>
    <w:lvl w:ilvl="0" w:tplc="CD06F5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0CC0DB7"/>
    <w:multiLevelType w:val="multilevel"/>
    <w:tmpl w:val="EED4CE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44"/>
    <w:rsid w:val="00001D42"/>
    <w:rsid w:val="00003107"/>
    <w:rsid w:val="00011D55"/>
    <w:rsid w:val="000205C8"/>
    <w:rsid w:val="000350C9"/>
    <w:rsid w:val="00035749"/>
    <w:rsid w:val="00041F15"/>
    <w:rsid w:val="00043865"/>
    <w:rsid w:val="00052C1E"/>
    <w:rsid w:val="0005777C"/>
    <w:rsid w:val="00060120"/>
    <w:rsid w:val="00064CFA"/>
    <w:rsid w:val="00087061"/>
    <w:rsid w:val="000A0A68"/>
    <w:rsid w:val="000A2B68"/>
    <w:rsid w:val="000A645B"/>
    <w:rsid w:val="000A6E59"/>
    <w:rsid w:val="000B4939"/>
    <w:rsid w:val="000B5C86"/>
    <w:rsid w:val="000B624D"/>
    <w:rsid w:val="000D201F"/>
    <w:rsid w:val="000E2B73"/>
    <w:rsid w:val="000E7C9D"/>
    <w:rsid w:val="000F2114"/>
    <w:rsid w:val="0010149D"/>
    <w:rsid w:val="00114AE7"/>
    <w:rsid w:val="001207F0"/>
    <w:rsid w:val="00124191"/>
    <w:rsid w:val="00125719"/>
    <w:rsid w:val="00126835"/>
    <w:rsid w:val="001317A8"/>
    <w:rsid w:val="00131E8A"/>
    <w:rsid w:val="00150A98"/>
    <w:rsid w:val="00186D0A"/>
    <w:rsid w:val="001878CD"/>
    <w:rsid w:val="001933C8"/>
    <w:rsid w:val="001A3DA0"/>
    <w:rsid w:val="001B729E"/>
    <w:rsid w:val="001B77EA"/>
    <w:rsid w:val="001C4C43"/>
    <w:rsid w:val="001E111D"/>
    <w:rsid w:val="001E2BF5"/>
    <w:rsid w:val="001E668E"/>
    <w:rsid w:val="002216A3"/>
    <w:rsid w:val="0024143D"/>
    <w:rsid w:val="002422A8"/>
    <w:rsid w:val="0024277C"/>
    <w:rsid w:val="00247D59"/>
    <w:rsid w:val="0025090C"/>
    <w:rsid w:val="002517A0"/>
    <w:rsid w:val="00253B4F"/>
    <w:rsid w:val="00255ECE"/>
    <w:rsid w:val="00280D76"/>
    <w:rsid w:val="00281269"/>
    <w:rsid w:val="00283634"/>
    <w:rsid w:val="00291FBE"/>
    <w:rsid w:val="00297952"/>
    <w:rsid w:val="002A3422"/>
    <w:rsid w:val="002A5DF7"/>
    <w:rsid w:val="002A6F0A"/>
    <w:rsid w:val="002B680C"/>
    <w:rsid w:val="002C215C"/>
    <w:rsid w:val="002C2703"/>
    <w:rsid w:val="002C5B7A"/>
    <w:rsid w:val="002C739A"/>
    <w:rsid w:val="002D3E90"/>
    <w:rsid w:val="0030124F"/>
    <w:rsid w:val="00307B31"/>
    <w:rsid w:val="0034180F"/>
    <w:rsid w:val="003454A3"/>
    <w:rsid w:val="00345566"/>
    <w:rsid w:val="00346B03"/>
    <w:rsid w:val="00347623"/>
    <w:rsid w:val="0036390D"/>
    <w:rsid w:val="00370C18"/>
    <w:rsid w:val="00384721"/>
    <w:rsid w:val="00386B62"/>
    <w:rsid w:val="003A7300"/>
    <w:rsid w:val="003A7C75"/>
    <w:rsid w:val="003B5311"/>
    <w:rsid w:val="003C15BB"/>
    <w:rsid w:val="003C1C48"/>
    <w:rsid w:val="003C259F"/>
    <w:rsid w:val="003C4EE3"/>
    <w:rsid w:val="003D3FEE"/>
    <w:rsid w:val="003D6D0B"/>
    <w:rsid w:val="003E2A1A"/>
    <w:rsid w:val="003E3B02"/>
    <w:rsid w:val="003E5298"/>
    <w:rsid w:val="003F6AAE"/>
    <w:rsid w:val="0041722E"/>
    <w:rsid w:val="00425375"/>
    <w:rsid w:val="004309DA"/>
    <w:rsid w:val="0044416C"/>
    <w:rsid w:val="00445136"/>
    <w:rsid w:val="004775CE"/>
    <w:rsid w:val="004819E7"/>
    <w:rsid w:val="00483B38"/>
    <w:rsid w:val="00497B41"/>
    <w:rsid w:val="004A2A2C"/>
    <w:rsid w:val="004A5209"/>
    <w:rsid w:val="004A5761"/>
    <w:rsid w:val="004A5B45"/>
    <w:rsid w:val="004B6345"/>
    <w:rsid w:val="004E0590"/>
    <w:rsid w:val="004E5E43"/>
    <w:rsid w:val="004E667B"/>
    <w:rsid w:val="00505F38"/>
    <w:rsid w:val="00520B92"/>
    <w:rsid w:val="00530CED"/>
    <w:rsid w:val="00532071"/>
    <w:rsid w:val="00544150"/>
    <w:rsid w:val="005552D4"/>
    <w:rsid w:val="005566A5"/>
    <w:rsid w:val="0056311B"/>
    <w:rsid w:val="005738D8"/>
    <w:rsid w:val="00584364"/>
    <w:rsid w:val="005846CF"/>
    <w:rsid w:val="005A4E0B"/>
    <w:rsid w:val="005B067A"/>
    <w:rsid w:val="005B4876"/>
    <w:rsid w:val="005B5568"/>
    <w:rsid w:val="005B7800"/>
    <w:rsid w:val="005D2F24"/>
    <w:rsid w:val="005F3FCA"/>
    <w:rsid w:val="005F4AC9"/>
    <w:rsid w:val="005F7B75"/>
    <w:rsid w:val="00600476"/>
    <w:rsid w:val="006132A3"/>
    <w:rsid w:val="0061641C"/>
    <w:rsid w:val="006166F7"/>
    <w:rsid w:val="00622F20"/>
    <w:rsid w:val="00626C75"/>
    <w:rsid w:val="006303C2"/>
    <w:rsid w:val="0063049E"/>
    <w:rsid w:val="0063157D"/>
    <w:rsid w:val="00635FC9"/>
    <w:rsid w:val="00650FAF"/>
    <w:rsid w:val="00651902"/>
    <w:rsid w:val="00654690"/>
    <w:rsid w:val="00661431"/>
    <w:rsid w:val="00665F35"/>
    <w:rsid w:val="00671076"/>
    <w:rsid w:val="00672E1D"/>
    <w:rsid w:val="00674A08"/>
    <w:rsid w:val="00675628"/>
    <w:rsid w:val="0067622B"/>
    <w:rsid w:val="00681012"/>
    <w:rsid w:val="006845E1"/>
    <w:rsid w:val="006A3006"/>
    <w:rsid w:val="006A3E08"/>
    <w:rsid w:val="006B5578"/>
    <w:rsid w:val="006B70C8"/>
    <w:rsid w:val="006C1136"/>
    <w:rsid w:val="006E1C5E"/>
    <w:rsid w:val="006E3B98"/>
    <w:rsid w:val="006E69A3"/>
    <w:rsid w:val="006F4FF0"/>
    <w:rsid w:val="0071259A"/>
    <w:rsid w:val="0072245C"/>
    <w:rsid w:val="00722779"/>
    <w:rsid w:val="007232A2"/>
    <w:rsid w:val="00725822"/>
    <w:rsid w:val="00730215"/>
    <w:rsid w:val="007322BB"/>
    <w:rsid w:val="00734A98"/>
    <w:rsid w:val="00737467"/>
    <w:rsid w:val="00737491"/>
    <w:rsid w:val="00742A7A"/>
    <w:rsid w:val="007510B4"/>
    <w:rsid w:val="00751765"/>
    <w:rsid w:val="0075192F"/>
    <w:rsid w:val="0075244D"/>
    <w:rsid w:val="00755738"/>
    <w:rsid w:val="00756616"/>
    <w:rsid w:val="00756E36"/>
    <w:rsid w:val="0076293F"/>
    <w:rsid w:val="007630FE"/>
    <w:rsid w:val="0077766B"/>
    <w:rsid w:val="0078275A"/>
    <w:rsid w:val="00790641"/>
    <w:rsid w:val="0079493C"/>
    <w:rsid w:val="007B197E"/>
    <w:rsid w:val="007D112B"/>
    <w:rsid w:val="007D2CCA"/>
    <w:rsid w:val="007D31E0"/>
    <w:rsid w:val="007E21D4"/>
    <w:rsid w:val="007E4994"/>
    <w:rsid w:val="007F24AA"/>
    <w:rsid w:val="00804254"/>
    <w:rsid w:val="00811386"/>
    <w:rsid w:val="008137A9"/>
    <w:rsid w:val="00813ED9"/>
    <w:rsid w:val="00813F4D"/>
    <w:rsid w:val="00820164"/>
    <w:rsid w:val="00832031"/>
    <w:rsid w:val="008557DB"/>
    <w:rsid w:val="00856D5B"/>
    <w:rsid w:val="008735A6"/>
    <w:rsid w:val="0088045A"/>
    <w:rsid w:val="0088390E"/>
    <w:rsid w:val="0089244E"/>
    <w:rsid w:val="008945C2"/>
    <w:rsid w:val="008A0A3F"/>
    <w:rsid w:val="008A0AF6"/>
    <w:rsid w:val="008B7652"/>
    <w:rsid w:val="008B77BB"/>
    <w:rsid w:val="008B7C2B"/>
    <w:rsid w:val="008C083B"/>
    <w:rsid w:val="008C61F3"/>
    <w:rsid w:val="008D00C8"/>
    <w:rsid w:val="008E490B"/>
    <w:rsid w:val="008F7315"/>
    <w:rsid w:val="008F7CC1"/>
    <w:rsid w:val="009057B4"/>
    <w:rsid w:val="00914EE9"/>
    <w:rsid w:val="00916E18"/>
    <w:rsid w:val="00923054"/>
    <w:rsid w:val="00935FF9"/>
    <w:rsid w:val="009436B6"/>
    <w:rsid w:val="009443F1"/>
    <w:rsid w:val="00961295"/>
    <w:rsid w:val="00965517"/>
    <w:rsid w:val="00971958"/>
    <w:rsid w:val="00975A2D"/>
    <w:rsid w:val="00991DD7"/>
    <w:rsid w:val="009A67EA"/>
    <w:rsid w:val="009A69E1"/>
    <w:rsid w:val="009B5C36"/>
    <w:rsid w:val="009C6AC3"/>
    <w:rsid w:val="009D64A6"/>
    <w:rsid w:val="009D7868"/>
    <w:rsid w:val="009E0D52"/>
    <w:rsid w:val="009E232D"/>
    <w:rsid w:val="009E7F0B"/>
    <w:rsid w:val="009F0069"/>
    <w:rsid w:val="009F3E33"/>
    <w:rsid w:val="009F7539"/>
    <w:rsid w:val="00A01624"/>
    <w:rsid w:val="00A02659"/>
    <w:rsid w:val="00A02A11"/>
    <w:rsid w:val="00A07978"/>
    <w:rsid w:val="00A13096"/>
    <w:rsid w:val="00A26033"/>
    <w:rsid w:val="00A35789"/>
    <w:rsid w:val="00A40D8B"/>
    <w:rsid w:val="00A412D4"/>
    <w:rsid w:val="00A44524"/>
    <w:rsid w:val="00A558CC"/>
    <w:rsid w:val="00A6102D"/>
    <w:rsid w:val="00A61740"/>
    <w:rsid w:val="00A677DB"/>
    <w:rsid w:val="00A7244B"/>
    <w:rsid w:val="00A77E66"/>
    <w:rsid w:val="00A84844"/>
    <w:rsid w:val="00A909EA"/>
    <w:rsid w:val="00AA461B"/>
    <w:rsid w:val="00AB70DF"/>
    <w:rsid w:val="00AC6E18"/>
    <w:rsid w:val="00AD0E89"/>
    <w:rsid w:val="00AD2280"/>
    <w:rsid w:val="00AD66BA"/>
    <w:rsid w:val="00AE1139"/>
    <w:rsid w:val="00AE2ADB"/>
    <w:rsid w:val="00AF37F3"/>
    <w:rsid w:val="00AF6500"/>
    <w:rsid w:val="00B10C18"/>
    <w:rsid w:val="00B125AF"/>
    <w:rsid w:val="00B13709"/>
    <w:rsid w:val="00B16821"/>
    <w:rsid w:val="00B22EAD"/>
    <w:rsid w:val="00B36E58"/>
    <w:rsid w:val="00B473CF"/>
    <w:rsid w:val="00B528AD"/>
    <w:rsid w:val="00B73596"/>
    <w:rsid w:val="00B74288"/>
    <w:rsid w:val="00B74B99"/>
    <w:rsid w:val="00B904EA"/>
    <w:rsid w:val="00BA29BA"/>
    <w:rsid w:val="00BA3217"/>
    <w:rsid w:val="00BA53BC"/>
    <w:rsid w:val="00BA6E73"/>
    <w:rsid w:val="00BA7D48"/>
    <w:rsid w:val="00BB3A17"/>
    <w:rsid w:val="00BD5C97"/>
    <w:rsid w:val="00BD6878"/>
    <w:rsid w:val="00BE4654"/>
    <w:rsid w:val="00BE63C7"/>
    <w:rsid w:val="00BF41E1"/>
    <w:rsid w:val="00BF613F"/>
    <w:rsid w:val="00C008AD"/>
    <w:rsid w:val="00C07B46"/>
    <w:rsid w:val="00C40842"/>
    <w:rsid w:val="00C465DB"/>
    <w:rsid w:val="00C508D0"/>
    <w:rsid w:val="00C57360"/>
    <w:rsid w:val="00C627D1"/>
    <w:rsid w:val="00C63874"/>
    <w:rsid w:val="00C66E45"/>
    <w:rsid w:val="00C75D94"/>
    <w:rsid w:val="00C76999"/>
    <w:rsid w:val="00C77783"/>
    <w:rsid w:val="00C801A3"/>
    <w:rsid w:val="00C83A72"/>
    <w:rsid w:val="00C902E3"/>
    <w:rsid w:val="00CB6A51"/>
    <w:rsid w:val="00CD4791"/>
    <w:rsid w:val="00CE2B19"/>
    <w:rsid w:val="00CE44F3"/>
    <w:rsid w:val="00CE5F83"/>
    <w:rsid w:val="00CE601E"/>
    <w:rsid w:val="00CF65BB"/>
    <w:rsid w:val="00CF6AEE"/>
    <w:rsid w:val="00D161C6"/>
    <w:rsid w:val="00D22003"/>
    <w:rsid w:val="00D249B9"/>
    <w:rsid w:val="00D2536F"/>
    <w:rsid w:val="00D26285"/>
    <w:rsid w:val="00D41248"/>
    <w:rsid w:val="00D43358"/>
    <w:rsid w:val="00D47BC8"/>
    <w:rsid w:val="00D47E97"/>
    <w:rsid w:val="00D57D98"/>
    <w:rsid w:val="00D65363"/>
    <w:rsid w:val="00D67B9D"/>
    <w:rsid w:val="00D77455"/>
    <w:rsid w:val="00D8172D"/>
    <w:rsid w:val="00DA554F"/>
    <w:rsid w:val="00DA586C"/>
    <w:rsid w:val="00DA7C60"/>
    <w:rsid w:val="00DB3BFC"/>
    <w:rsid w:val="00DB4F10"/>
    <w:rsid w:val="00DB6B3C"/>
    <w:rsid w:val="00DC5EE7"/>
    <w:rsid w:val="00DD7B5D"/>
    <w:rsid w:val="00DF2A8D"/>
    <w:rsid w:val="00E025B3"/>
    <w:rsid w:val="00E14D03"/>
    <w:rsid w:val="00E211D2"/>
    <w:rsid w:val="00E461F4"/>
    <w:rsid w:val="00E62EBA"/>
    <w:rsid w:val="00E6318D"/>
    <w:rsid w:val="00E80511"/>
    <w:rsid w:val="00E817AB"/>
    <w:rsid w:val="00E820C4"/>
    <w:rsid w:val="00E8387C"/>
    <w:rsid w:val="00E86FB3"/>
    <w:rsid w:val="00E92BB2"/>
    <w:rsid w:val="00EB2B19"/>
    <w:rsid w:val="00EB7663"/>
    <w:rsid w:val="00EB7C4C"/>
    <w:rsid w:val="00EC50CC"/>
    <w:rsid w:val="00EC5A46"/>
    <w:rsid w:val="00ED7941"/>
    <w:rsid w:val="00EF0F1E"/>
    <w:rsid w:val="00EF28BC"/>
    <w:rsid w:val="00EF5D55"/>
    <w:rsid w:val="00F11333"/>
    <w:rsid w:val="00F17AB9"/>
    <w:rsid w:val="00F251BF"/>
    <w:rsid w:val="00F31AF0"/>
    <w:rsid w:val="00F327AE"/>
    <w:rsid w:val="00F431F7"/>
    <w:rsid w:val="00F46A37"/>
    <w:rsid w:val="00F475C9"/>
    <w:rsid w:val="00F566CF"/>
    <w:rsid w:val="00F572A3"/>
    <w:rsid w:val="00F643B0"/>
    <w:rsid w:val="00F81E79"/>
    <w:rsid w:val="00F9417B"/>
    <w:rsid w:val="00F95FB6"/>
    <w:rsid w:val="00FA39D8"/>
    <w:rsid w:val="00FB73AC"/>
    <w:rsid w:val="00FC0B86"/>
    <w:rsid w:val="00FC305E"/>
    <w:rsid w:val="00FC4689"/>
    <w:rsid w:val="00FC4E09"/>
    <w:rsid w:val="00FD1132"/>
    <w:rsid w:val="00FD4796"/>
    <w:rsid w:val="00FD48BB"/>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3930"/>
  <w15:chartTrackingRefBased/>
  <w15:docId w15:val="{8D6E2ED9-D140-42B8-9A0C-5959A1D7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44"/>
    <w:pPr>
      <w:spacing w:line="256" w:lineRule="auto"/>
    </w:pPr>
    <w:rPr>
      <w:lang w:val="en-ZA"/>
    </w:rPr>
  </w:style>
  <w:style w:type="paragraph" w:styleId="Heading1">
    <w:name w:val="heading 1"/>
    <w:basedOn w:val="Normal"/>
    <w:next w:val="Normal"/>
    <w:link w:val="Heading1Char"/>
    <w:uiPriority w:val="9"/>
    <w:qFormat/>
    <w:rsid w:val="00A67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844"/>
    <w:rPr>
      <w:lang w:val="en-ZA"/>
    </w:rPr>
  </w:style>
  <w:style w:type="paragraph" w:styleId="Footer">
    <w:name w:val="footer"/>
    <w:basedOn w:val="Normal"/>
    <w:link w:val="FooterChar"/>
    <w:uiPriority w:val="99"/>
    <w:unhideWhenUsed/>
    <w:rsid w:val="0024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2A8"/>
    <w:rPr>
      <w:lang w:val="en-ZA"/>
    </w:rPr>
  </w:style>
  <w:style w:type="paragraph" w:styleId="BalloonText">
    <w:name w:val="Balloon Text"/>
    <w:basedOn w:val="Normal"/>
    <w:link w:val="BalloonTextChar"/>
    <w:uiPriority w:val="99"/>
    <w:semiHidden/>
    <w:unhideWhenUsed/>
    <w:rsid w:val="00D25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6F"/>
    <w:rPr>
      <w:rFonts w:ascii="Segoe UI" w:hAnsi="Segoe UI" w:cs="Segoe UI"/>
      <w:sz w:val="18"/>
      <w:szCs w:val="18"/>
      <w:lang w:val="en-ZA"/>
    </w:rPr>
  </w:style>
  <w:style w:type="paragraph" w:styleId="FootnoteText">
    <w:name w:val="footnote text"/>
    <w:basedOn w:val="Normal"/>
    <w:link w:val="FootnoteTextChar"/>
    <w:uiPriority w:val="99"/>
    <w:unhideWhenUsed/>
    <w:rsid w:val="00756616"/>
    <w:pPr>
      <w:spacing w:after="0" w:line="240" w:lineRule="auto"/>
    </w:pPr>
    <w:rPr>
      <w:sz w:val="20"/>
      <w:szCs w:val="20"/>
    </w:rPr>
  </w:style>
  <w:style w:type="character" w:customStyle="1" w:styleId="FootnoteTextChar">
    <w:name w:val="Footnote Text Char"/>
    <w:basedOn w:val="DefaultParagraphFont"/>
    <w:link w:val="FootnoteText"/>
    <w:uiPriority w:val="99"/>
    <w:rsid w:val="00756616"/>
    <w:rPr>
      <w:sz w:val="20"/>
      <w:szCs w:val="20"/>
      <w:lang w:val="en-ZA"/>
    </w:rPr>
  </w:style>
  <w:style w:type="character" w:styleId="FootnoteReference">
    <w:name w:val="footnote reference"/>
    <w:basedOn w:val="DefaultParagraphFont"/>
    <w:uiPriority w:val="99"/>
    <w:unhideWhenUsed/>
    <w:rsid w:val="00756616"/>
    <w:rPr>
      <w:vertAlign w:val="superscript"/>
    </w:rPr>
  </w:style>
  <w:style w:type="character" w:customStyle="1" w:styleId="Heading1Char">
    <w:name w:val="Heading 1 Char"/>
    <w:basedOn w:val="DefaultParagraphFont"/>
    <w:link w:val="Heading1"/>
    <w:uiPriority w:val="9"/>
    <w:rsid w:val="00A677DB"/>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A677DB"/>
    <w:rPr>
      <w:rFonts w:asciiTheme="majorHAnsi" w:eastAsiaTheme="majorEastAsia" w:hAnsiTheme="majorHAnsi" w:cstheme="majorBidi"/>
      <w:color w:val="2E74B5" w:themeColor="accent1" w:themeShade="BF"/>
      <w:sz w:val="26"/>
      <w:szCs w:val="26"/>
      <w:lang w:val="en-ZA"/>
    </w:rPr>
  </w:style>
  <w:style w:type="paragraph" w:customStyle="1" w:styleId="Para1">
    <w:name w:val="Para1"/>
    <w:basedOn w:val="ListParagraph"/>
    <w:link w:val="Para1Char"/>
    <w:qFormat/>
    <w:rsid w:val="00FA39D8"/>
    <w:pPr>
      <w:numPr>
        <w:numId w:val="1"/>
      </w:numPr>
      <w:tabs>
        <w:tab w:val="left" w:pos="709"/>
      </w:tabs>
      <w:spacing w:before="240" w:after="240" w:line="480" w:lineRule="auto"/>
      <w:ind w:left="709" w:hanging="709"/>
      <w:contextualSpacing w:val="0"/>
      <w:jc w:val="both"/>
    </w:pPr>
    <w:rPr>
      <w:rFonts w:ascii="Arial" w:hAnsi="Arial" w:cs="Arial"/>
      <w:sz w:val="24"/>
      <w:szCs w:val="24"/>
      <w:lang w:val="en-GB"/>
    </w:rPr>
  </w:style>
  <w:style w:type="paragraph" w:customStyle="1" w:styleId="Para2">
    <w:name w:val="Para2"/>
    <w:basedOn w:val="Para1"/>
    <w:link w:val="Para2Char"/>
    <w:qFormat/>
    <w:rsid w:val="00FA39D8"/>
    <w:pPr>
      <w:numPr>
        <w:ilvl w:val="1"/>
      </w:numPr>
      <w:tabs>
        <w:tab w:val="clear" w:pos="709"/>
        <w:tab w:val="left" w:pos="1418"/>
      </w:tabs>
      <w:ind w:left="1418" w:hanging="709"/>
    </w:pPr>
  </w:style>
  <w:style w:type="character" w:customStyle="1" w:styleId="Para1Char">
    <w:name w:val="Para1 Char"/>
    <w:basedOn w:val="DefaultParagraphFont"/>
    <w:link w:val="Para1"/>
    <w:rsid w:val="00FA39D8"/>
    <w:rPr>
      <w:rFonts w:ascii="Arial" w:hAnsi="Arial" w:cs="Arial"/>
      <w:sz w:val="24"/>
      <w:szCs w:val="24"/>
      <w:lang w:val="en-GB"/>
    </w:rPr>
  </w:style>
  <w:style w:type="paragraph" w:customStyle="1" w:styleId="Para3">
    <w:name w:val="Para3"/>
    <w:basedOn w:val="Para2"/>
    <w:qFormat/>
    <w:rsid w:val="00FA39D8"/>
    <w:pPr>
      <w:numPr>
        <w:ilvl w:val="2"/>
      </w:numPr>
      <w:tabs>
        <w:tab w:val="clear" w:pos="1418"/>
        <w:tab w:val="num" w:pos="360"/>
        <w:tab w:val="left" w:pos="2268"/>
      </w:tabs>
      <w:ind w:left="2268" w:hanging="850"/>
    </w:pPr>
  </w:style>
  <w:style w:type="character" w:customStyle="1" w:styleId="Para2Char">
    <w:name w:val="Para2 Char"/>
    <w:basedOn w:val="Para1Char"/>
    <w:link w:val="Para2"/>
    <w:rsid w:val="00FA39D8"/>
    <w:rPr>
      <w:rFonts w:ascii="Arial" w:hAnsi="Arial" w:cs="Arial"/>
      <w:sz w:val="24"/>
      <w:szCs w:val="24"/>
      <w:lang w:val="en-GB"/>
    </w:rPr>
  </w:style>
  <w:style w:type="paragraph" w:styleId="ListParagraph">
    <w:name w:val="List Paragraph"/>
    <w:basedOn w:val="Normal"/>
    <w:uiPriority w:val="34"/>
    <w:qFormat/>
    <w:rsid w:val="00FA39D8"/>
    <w:pPr>
      <w:ind w:left="720"/>
      <w:contextualSpacing/>
    </w:pPr>
  </w:style>
  <w:style w:type="character" w:styleId="Hyperlink">
    <w:name w:val="Hyperlink"/>
    <w:basedOn w:val="DefaultParagraphFont"/>
    <w:uiPriority w:val="99"/>
    <w:unhideWhenUsed/>
    <w:rsid w:val="0089244E"/>
    <w:rPr>
      <w:color w:val="0563C1" w:themeColor="hyperlink"/>
      <w:u w:val="single"/>
    </w:rPr>
  </w:style>
  <w:style w:type="paragraph" w:styleId="NormalWeb">
    <w:name w:val="Normal (Web)"/>
    <w:basedOn w:val="Normal"/>
    <w:uiPriority w:val="99"/>
    <w:unhideWhenUsed/>
    <w:rsid w:val="008924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5E69-BB58-4EAA-8899-B390AC01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Mary Bruce</cp:lastModifiedBy>
  <cp:revision>3</cp:revision>
  <cp:lastPrinted>2022-12-07T13:26:00Z</cp:lastPrinted>
  <dcterms:created xsi:type="dcterms:W3CDTF">2023-01-09T06:37:00Z</dcterms:created>
  <dcterms:modified xsi:type="dcterms:W3CDTF">2023-02-11T15:37:00Z</dcterms:modified>
</cp:coreProperties>
</file>