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A4EA" w14:textId="74F562F3" w:rsidR="00560438" w:rsidRPr="00560438" w:rsidRDefault="00560438" w:rsidP="00560438">
      <w:pPr>
        <w:rPr>
          <w:color w:val="FF0000"/>
          <w:kern w:val="0"/>
          <w:u w:val="single"/>
        </w:rPr>
      </w:pPr>
      <w:r>
        <w:rPr>
          <w:rFonts w:ascii="Arial" w:hAnsi="Arial" w:cs="Arial"/>
          <w:color w:val="FF0000"/>
        </w:rPr>
        <w:t>Editorial note: Certain information has been redacted from this judgment in compliance with the law.</w:t>
      </w:r>
    </w:p>
    <w:p w14:paraId="0AA55889" w14:textId="6FEAA4C9" w:rsidR="00521A0D" w:rsidRPr="003A1920" w:rsidRDefault="00521A0D" w:rsidP="00521A0D">
      <w:pPr>
        <w:tabs>
          <w:tab w:val="left" w:pos="1134"/>
        </w:tabs>
        <w:spacing w:line="480" w:lineRule="auto"/>
        <w:jc w:val="center"/>
        <w:rPr>
          <w:rFonts w:ascii="Arial" w:hAnsi="Arial" w:cs="Arial"/>
          <w:bCs/>
        </w:rPr>
      </w:pPr>
      <w:r w:rsidRPr="003A1920">
        <w:rPr>
          <w:rFonts w:ascii="Arial" w:hAnsi="Arial" w:cs="Arial"/>
          <w:b/>
          <w:bCs/>
          <w:noProof/>
        </w:rPr>
        <w:drawing>
          <wp:inline distT="0" distB="0" distL="0" distR="0" wp14:anchorId="0128B3C9" wp14:editId="1185DA79">
            <wp:extent cx="982980" cy="1058736"/>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j emblim.png"/>
                    <pic:cNvPicPr/>
                  </pic:nvPicPr>
                  <pic:blipFill>
                    <a:blip r:embed="rId8">
                      <a:extLst>
                        <a:ext uri="{28A0092B-C50C-407E-A947-70E740481C1C}">
                          <a14:useLocalDpi xmlns:a14="http://schemas.microsoft.com/office/drawing/2010/main" val="0"/>
                        </a:ext>
                      </a:extLst>
                    </a:blip>
                    <a:stretch>
                      <a:fillRect/>
                    </a:stretch>
                  </pic:blipFill>
                  <pic:spPr>
                    <a:xfrm>
                      <a:off x="0" y="0"/>
                      <a:ext cx="1000101" cy="1077176"/>
                    </a:xfrm>
                    <a:prstGeom prst="rect">
                      <a:avLst/>
                    </a:prstGeom>
                  </pic:spPr>
                </pic:pic>
              </a:graphicData>
            </a:graphic>
          </wp:inline>
        </w:drawing>
      </w:r>
    </w:p>
    <w:p w14:paraId="04423FFD" w14:textId="77777777" w:rsidR="00521A0D" w:rsidRPr="003A1920" w:rsidRDefault="00521A0D" w:rsidP="00521A0D">
      <w:pPr>
        <w:spacing w:line="480" w:lineRule="auto"/>
        <w:jc w:val="center"/>
        <w:rPr>
          <w:rFonts w:ascii="Arial" w:hAnsi="Arial" w:cs="Arial"/>
          <w:b/>
          <w:lang w:val="en-GB"/>
        </w:rPr>
      </w:pPr>
      <w:r w:rsidRPr="003A1920">
        <w:rPr>
          <w:rFonts w:ascii="Arial" w:hAnsi="Arial" w:cs="Arial"/>
          <w:b/>
          <w:bCs/>
          <w:lang w:val="en-GB"/>
        </w:rPr>
        <w:t>IN THE HIGH COURT OF SOUTH AFRICA</w:t>
      </w:r>
    </w:p>
    <w:p w14:paraId="7C9D7F12" w14:textId="77777777" w:rsidR="00521A0D" w:rsidRPr="003A1920" w:rsidRDefault="00521A0D" w:rsidP="00521A0D">
      <w:pPr>
        <w:spacing w:line="480" w:lineRule="auto"/>
        <w:jc w:val="center"/>
        <w:rPr>
          <w:rFonts w:ascii="Arial" w:hAnsi="Arial" w:cs="Arial"/>
          <w:b/>
          <w:bCs/>
          <w:lang w:val="en-GB"/>
        </w:rPr>
      </w:pPr>
      <w:r w:rsidRPr="003A1920">
        <w:rPr>
          <w:rFonts w:ascii="Arial" w:hAnsi="Arial" w:cs="Arial"/>
          <w:b/>
          <w:bCs/>
          <w:lang w:val="en-GB"/>
        </w:rPr>
        <w:t>(WESTERN CAPE DIVISION, CAPE TOWN)</w:t>
      </w:r>
    </w:p>
    <w:p w14:paraId="4120D9E6" w14:textId="77777777" w:rsidR="00521A0D" w:rsidRPr="003A1920" w:rsidRDefault="00521A0D" w:rsidP="00521A0D">
      <w:pPr>
        <w:spacing w:line="480" w:lineRule="auto"/>
        <w:rPr>
          <w:rFonts w:ascii="Arial" w:hAnsi="Arial" w:cs="Arial"/>
          <w:b/>
          <w:bCs/>
          <w:lang w:val="en-GB"/>
        </w:rPr>
      </w:pPr>
    </w:p>
    <w:p w14:paraId="2454347B" w14:textId="27ADC50E" w:rsidR="00521A0D" w:rsidRPr="003A1920" w:rsidRDefault="00521A0D" w:rsidP="003A1920">
      <w:pPr>
        <w:widowControl/>
        <w:overflowPunct/>
        <w:adjustRightInd/>
        <w:spacing w:after="200" w:line="276" w:lineRule="auto"/>
        <w:jc w:val="right"/>
        <w:rPr>
          <w:rFonts w:ascii="Arial" w:eastAsia="Calibri" w:hAnsi="Arial" w:cs="Arial"/>
          <w:b/>
          <w:kern w:val="0"/>
          <w:lang w:eastAsia="en-US"/>
        </w:rPr>
      </w:pPr>
      <w:r w:rsidRPr="003A1920">
        <w:rPr>
          <w:rFonts w:ascii="Arial" w:eastAsia="Calibri" w:hAnsi="Arial" w:cs="Arial"/>
          <w:b/>
          <w:kern w:val="0"/>
          <w:lang w:eastAsia="en-US"/>
        </w:rPr>
        <w:t>Case No.: 18321/2022</w:t>
      </w:r>
    </w:p>
    <w:p w14:paraId="79B87386" w14:textId="77777777" w:rsidR="00521A0D" w:rsidRPr="003A1920" w:rsidRDefault="00521A0D" w:rsidP="003A1920">
      <w:pPr>
        <w:widowControl/>
        <w:overflowPunct/>
        <w:adjustRightInd/>
        <w:spacing w:after="200" w:line="276" w:lineRule="auto"/>
        <w:rPr>
          <w:rFonts w:ascii="Arial" w:eastAsia="Calibri" w:hAnsi="Arial" w:cs="Arial"/>
          <w:b/>
          <w:kern w:val="0"/>
          <w:lang w:eastAsia="en-US"/>
        </w:rPr>
      </w:pPr>
      <w:r w:rsidRPr="003A1920">
        <w:rPr>
          <w:rFonts w:ascii="Arial" w:eastAsia="Calibri" w:hAnsi="Arial" w:cs="Arial"/>
          <w:b/>
          <w:kern w:val="0"/>
          <w:lang w:eastAsia="en-US"/>
        </w:rPr>
        <w:t>In the matter between:</w:t>
      </w:r>
    </w:p>
    <w:p w14:paraId="3434CEEC" w14:textId="77777777" w:rsidR="00521A0D" w:rsidRPr="003A1920" w:rsidRDefault="00521A0D" w:rsidP="003A1920">
      <w:pPr>
        <w:widowControl/>
        <w:overflowPunct/>
        <w:adjustRightInd/>
        <w:spacing w:after="200" w:line="276" w:lineRule="auto"/>
        <w:rPr>
          <w:rFonts w:ascii="Arial" w:eastAsia="Calibri" w:hAnsi="Arial" w:cs="Arial"/>
          <w:b/>
          <w:kern w:val="0"/>
          <w:lang w:eastAsia="en-US"/>
        </w:rPr>
      </w:pPr>
    </w:p>
    <w:p w14:paraId="68F2F525" w14:textId="32AB68BF" w:rsidR="00521A0D" w:rsidRPr="003A1920" w:rsidRDefault="00521A0D" w:rsidP="003A1920">
      <w:pPr>
        <w:widowControl/>
        <w:overflowPunct/>
        <w:adjustRightInd/>
        <w:spacing w:line="276" w:lineRule="auto"/>
        <w:rPr>
          <w:rFonts w:ascii="Arial" w:eastAsia="Calibri" w:hAnsi="Arial" w:cs="Arial"/>
          <w:bCs/>
          <w:kern w:val="0"/>
          <w:lang w:eastAsia="en-US"/>
        </w:rPr>
      </w:pPr>
      <w:r w:rsidRPr="003A1920">
        <w:rPr>
          <w:rFonts w:ascii="Arial" w:eastAsia="Calibri" w:hAnsi="Arial" w:cs="Arial"/>
          <w:b/>
          <w:kern w:val="0"/>
          <w:lang w:eastAsia="en-US"/>
        </w:rPr>
        <w:t>MATTHEW WINSTON HEATH JACK</w:t>
      </w:r>
      <w:r w:rsidRPr="003A1920">
        <w:rPr>
          <w:rFonts w:ascii="Arial" w:eastAsia="Calibri" w:hAnsi="Arial" w:cs="Arial"/>
          <w:b/>
          <w:kern w:val="0"/>
          <w:lang w:eastAsia="en-US"/>
        </w:rPr>
        <w:tab/>
      </w:r>
      <w:r w:rsidRPr="003A1920">
        <w:rPr>
          <w:rFonts w:ascii="Arial" w:eastAsia="Calibri" w:hAnsi="Arial" w:cs="Arial"/>
          <w:b/>
          <w:kern w:val="0"/>
          <w:lang w:eastAsia="en-US"/>
        </w:rPr>
        <w:tab/>
      </w:r>
      <w:r w:rsidRPr="003A1920">
        <w:rPr>
          <w:rFonts w:ascii="Arial" w:eastAsia="Calibri" w:hAnsi="Arial" w:cs="Arial"/>
          <w:b/>
          <w:kern w:val="0"/>
          <w:lang w:eastAsia="en-US"/>
        </w:rPr>
        <w:tab/>
      </w:r>
      <w:r w:rsidRPr="003A1920">
        <w:rPr>
          <w:rFonts w:ascii="Arial" w:eastAsia="Calibri" w:hAnsi="Arial" w:cs="Arial"/>
          <w:b/>
          <w:kern w:val="0"/>
          <w:lang w:eastAsia="en-US"/>
        </w:rPr>
        <w:tab/>
        <w:t xml:space="preserve">        </w:t>
      </w:r>
      <w:r w:rsidRPr="003A1920">
        <w:rPr>
          <w:rFonts w:ascii="Arial" w:eastAsia="Calibri" w:hAnsi="Arial" w:cs="Arial"/>
          <w:b/>
          <w:kern w:val="0"/>
          <w:lang w:eastAsia="en-US"/>
        </w:rPr>
        <w:tab/>
        <w:t xml:space="preserve">        </w:t>
      </w:r>
      <w:r w:rsidRPr="003A1920">
        <w:rPr>
          <w:rFonts w:ascii="Arial" w:eastAsia="Calibri" w:hAnsi="Arial" w:cs="Arial"/>
          <w:bCs/>
          <w:kern w:val="0"/>
          <w:lang w:eastAsia="en-US"/>
        </w:rPr>
        <w:t>App</w:t>
      </w:r>
      <w:r w:rsidR="004E13FA" w:rsidRPr="003A1920">
        <w:rPr>
          <w:rFonts w:ascii="Arial" w:eastAsia="Calibri" w:hAnsi="Arial" w:cs="Arial"/>
          <w:bCs/>
          <w:kern w:val="0"/>
          <w:lang w:eastAsia="en-US"/>
        </w:rPr>
        <w:t>licant</w:t>
      </w:r>
    </w:p>
    <w:p w14:paraId="4BB37C3C" w14:textId="77777777" w:rsidR="00521A0D" w:rsidRPr="003A1920" w:rsidRDefault="00521A0D" w:rsidP="003A1920">
      <w:pPr>
        <w:widowControl/>
        <w:overflowPunct/>
        <w:adjustRightInd/>
        <w:spacing w:line="276" w:lineRule="auto"/>
        <w:rPr>
          <w:rFonts w:ascii="Arial" w:eastAsia="Calibri" w:hAnsi="Arial" w:cs="Arial"/>
          <w:bCs/>
          <w:kern w:val="0"/>
          <w:lang w:eastAsia="en-US"/>
        </w:rPr>
      </w:pPr>
    </w:p>
    <w:p w14:paraId="3FB1E3F0" w14:textId="77777777" w:rsidR="00521A0D" w:rsidRPr="003A1920" w:rsidRDefault="00521A0D" w:rsidP="003A1920">
      <w:pPr>
        <w:widowControl/>
        <w:overflowPunct/>
        <w:adjustRightInd/>
        <w:spacing w:after="200" w:line="276" w:lineRule="auto"/>
        <w:rPr>
          <w:rFonts w:ascii="Arial" w:eastAsia="Calibri" w:hAnsi="Arial" w:cs="Arial"/>
          <w:b/>
          <w:kern w:val="0"/>
          <w:lang w:eastAsia="en-US"/>
        </w:rPr>
      </w:pPr>
      <w:r w:rsidRPr="003A1920">
        <w:rPr>
          <w:rFonts w:ascii="Arial" w:eastAsia="Calibri" w:hAnsi="Arial" w:cs="Arial"/>
          <w:b/>
          <w:kern w:val="0"/>
          <w:lang w:eastAsia="en-US"/>
        </w:rPr>
        <w:t>and</w:t>
      </w:r>
    </w:p>
    <w:p w14:paraId="2682355F" w14:textId="77777777" w:rsidR="00521A0D" w:rsidRPr="003A1920" w:rsidRDefault="00521A0D" w:rsidP="003A1920">
      <w:pPr>
        <w:widowControl/>
        <w:overflowPunct/>
        <w:adjustRightInd/>
        <w:spacing w:line="276" w:lineRule="auto"/>
        <w:rPr>
          <w:rFonts w:ascii="Arial" w:eastAsia="Calibri" w:hAnsi="Arial" w:cs="Arial"/>
          <w:b/>
          <w:bCs/>
          <w:snapToGrid w:val="0"/>
          <w:kern w:val="0"/>
          <w:lang w:eastAsia="en-US"/>
        </w:rPr>
      </w:pPr>
    </w:p>
    <w:p w14:paraId="6C46466A" w14:textId="152F79A7" w:rsidR="00521A0D"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snapToGrid w:val="0"/>
          <w:kern w:val="0"/>
          <w:lang w:eastAsia="en-US"/>
        </w:rPr>
        <w:t>THE NATIONAL DIRECTOR OF PUBLIC PROSECUTIONS</w:t>
      </w:r>
      <w:r w:rsidRPr="003A1920">
        <w:rPr>
          <w:rFonts w:ascii="Arial" w:eastAsia="Calibri" w:hAnsi="Arial" w:cs="Arial"/>
          <w:b/>
          <w:bCs/>
          <w:snapToGrid w:val="0"/>
          <w:kern w:val="0"/>
          <w:lang w:eastAsia="en-US"/>
        </w:rPr>
        <w:tab/>
        <w:t xml:space="preserve">          </w:t>
      </w:r>
      <w:r w:rsidRPr="003A1920">
        <w:rPr>
          <w:rFonts w:ascii="Arial" w:eastAsia="Calibri" w:hAnsi="Arial" w:cs="Arial"/>
          <w:snapToGrid w:val="0"/>
          <w:kern w:val="0"/>
          <w:lang w:eastAsia="en-US"/>
        </w:rPr>
        <w:t>First Respondent</w:t>
      </w:r>
      <w:r w:rsidRPr="003A1920">
        <w:rPr>
          <w:rFonts w:ascii="Arial" w:eastAsia="Calibri" w:hAnsi="Arial" w:cs="Arial"/>
          <w:kern w:val="0"/>
          <w:lang w:eastAsia="en-US"/>
        </w:rPr>
        <w:t xml:space="preserve"> </w:t>
      </w:r>
    </w:p>
    <w:p w14:paraId="6CF5E3DE" w14:textId="47732E38" w:rsidR="00521A0D"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kern w:val="0"/>
          <w:lang w:eastAsia="en-US"/>
        </w:rPr>
        <w:t>LIONEL VAN TONDER N.O.</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Second Respondent</w:t>
      </w:r>
    </w:p>
    <w:p w14:paraId="0E1C7879" w14:textId="663F8AB6" w:rsidR="00521A0D"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kern w:val="0"/>
          <w:lang w:eastAsia="en-US"/>
        </w:rPr>
        <w:t>JEROME BOOYSEN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Third Respondent</w:t>
      </w:r>
    </w:p>
    <w:p w14:paraId="06FB103F" w14:textId="3C46CB48" w:rsidR="00521A0D"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kern w:val="0"/>
          <w:lang w:eastAsia="en-US"/>
        </w:rPr>
        <w:t>TINA ADELLE BOOYSEN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Fourth Respondent</w:t>
      </w:r>
    </w:p>
    <w:p w14:paraId="01C8BE4E" w14:textId="312827CB" w:rsidR="00521A0D"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kern w:val="0"/>
          <w:lang w:eastAsia="en-US"/>
        </w:rPr>
        <w:t>ALBATROSS ISLE TRADE (PTY) LTD</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 xml:space="preserve">  Fifth Respondent</w:t>
      </w:r>
    </w:p>
    <w:p w14:paraId="12A42557" w14:textId="4631CF3E" w:rsidR="00CE0584" w:rsidRPr="003A1920" w:rsidRDefault="00521A0D"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kern w:val="0"/>
          <w:lang w:eastAsia="en-US"/>
        </w:rPr>
        <w:t>DEXA</w:t>
      </w:r>
      <w:r w:rsidR="00CE0584" w:rsidRPr="003A1920">
        <w:rPr>
          <w:rFonts w:ascii="Arial" w:eastAsia="Calibri" w:hAnsi="Arial" w:cs="Arial"/>
          <w:b/>
          <w:bCs/>
          <w:kern w:val="0"/>
          <w:lang w:eastAsia="en-US"/>
        </w:rPr>
        <w:t>VISION (PTY) LTD</w:t>
      </w:r>
      <w:r w:rsidR="00CE0584" w:rsidRPr="003A1920">
        <w:rPr>
          <w:rFonts w:ascii="Arial" w:eastAsia="Calibri" w:hAnsi="Arial" w:cs="Arial"/>
          <w:b/>
          <w:bCs/>
          <w:kern w:val="0"/>
          <w:lang w:eastAsia="en-US"/>
        </w:rPr>
        <w:tab/>
      </w:r>
      <w:r w:rsidR="00CE0584" w:rsidRPr="003A1920">
        <w:rPr>
          <w:rFonts w:ascii="Arial" w:eastAsia="Calibri" w:hAnsi="Arial" w:cs="Arial"/>
          <w:b/>
          <w:bCs/>
          <w:kern w:val="0"/>
          <w:lang w:eastAsia="en-US"/>
        </w:rPr>
        <w:tab/>
      </w:r>
      <w:r w:rsidR="00CE0584" w:rsidRPr="003A1920">
        <w:rPr>
          <w:rFonts w:ascii="Arial" w:eastAsia="Calibri" w:hAnsi="Arial" w:cs="Arial"/>
          <w:b/>
          <w:bCs/>
          <w:kern w:val="0"/>
          <w:lang w:eastAsia="en-US"/>
        </w:rPr>
        <w:tab/>
      </w:r>
      <w:r w:rsidR="00CE0584" w:rsidRPr="003A1920">
        <w:rPr>
          <w:rFonts w:ascii="Arial" w:eastAsia="Calibri" w:hAnsi="Arial" w:cs="Arial"/>
          <w:b/>
          <w:bCs/>
          <w:kern w:val="0"/>
          <w:lang w:eastAsia="en-US"/>
        </w:rPr>
        <w:tab/>
      </w:r>
      <w:r w:rsidR="00CE0584" w:rsidRPr="003A1920">
        <w:rPr>
          <w:rFonts w:ascii="Arial" w:eastAsia="Calibri" w:hAnsi="Arial" w:cs="Arial"/>
          <w:b/>
          <w:bCs/>
          <w:kern w:val="0"/>
          <w:lang w:eastAsia="en-US"/>
        </w:rPr>
        <w:tab/>
      </w:r>
      <w:r w:rsidR="00CE0584" w:rsidRPr="003A1920">
        <w:rPr>
          <w:rFonts w:ascii="Arial" w:eastAsia="Calibri" w:hAnsi="Arial" w:cs="Arial"/>
          <w:b/>
          <w:bCs/>
          <w:kern w:val="0"/>
          <w:lang w:eastAsia="en-US"/>
        </w:rPr>
        <w:tab/>
        <w:t xml:space="preserve">         </w:t>
      </w:r>
      <w:r w:rsidR="00CE0584" w:rsidRPr="003A1920">
        <w:rPr>
          <w:rFonts w:ascii="Arial" w:eastAsia="Calibri" w:hAnsi="Arial" w:cs="Arial"/>
          <w:kern w:val="0"/>
          <w:lang w:eastAsia="en-US"/>
        </w:rPr>
        <w:t>Sixth Respondent</w:t>
      </w:r>
    </w:p>
    <w:p w14:paraId="78CC4BC5" w14:textId="77777777" w:rsidR="00CE0584" w:rsidRPr="003A1920" w:rsidRDefault="00CE0584" w:rsidP="003A1920">
      <w:pPr>
        <w:widowControl/>
        <w:overflowPunct/>
        <w:adjustRightInd/>
        <w:spacing w:line="276" w:lineRule="auto"/>
        <w:rPr>
          <w:rFonts w:ascii="Arial" w:eastAsia="Calibri" w:hAnsi="Arial" w:cs="Arial"/>
          <w:kern w:val="0"/>
          <w:lang w:eastAsia="en-US"/>
        </w:rPr>
      </w:pPr>
    </w:p>
    <w:p w14:paraId="67072F01" w14:textId="67AB34D0" w:rsidR="00CE0584" w:rsidRPr="003A1920" w:rsidRDefault="00CE0584" w:rsidP="003A1920">
      <w:pPr>
        <w:widowControl/>
        <w:overflowPunct/>
        <w:adjustRightInd/>
        <w:spacing w:line="276" w:lineRule="auto"/>
        <w:rPr>
          <w:rFonts w:ascii="Arial" w:eastAsia="Calibri" w:hAnsi="Arial" w:cs="Arial"/>
          <w:i/>
          <w:iCs/>
          <w:kern w:val="0"/>
          <w:lang w:eastAsia="en-US"/>
        </w:rPr>
      </w:pPr>
      <w:r w:rsidRPr="003A1920">
        <w:rPr>
          <w:rFonts w:ascii="Arial" w:eastAsia="Calibri" w:hAnsi="Arial" w:cs="Arial"/>
          <w:i/>
          <w:iCs/>
          <w:kern w:val="0"/>
          <w:lang w:eastAsia="en-US"/>
        </w:rPr>
        <w:t xml:space="preserve">In </w:t>
      </w:r>
      <w:proofErr w:type="gramStart"/>
      <w:r w:rsidRPr="003A1920">
        <w:rPr>
          <w:rFonts w:ascii="Arial" w:eastAsia="Calibri" w:hAnsi="Arial" w:cs="Arial"/>
          <w:i/>
          <w:iCs/>
          <w:kern w:val="0"/>
          <w:lang w:eastAsia="en-US"/>
        </w:rPr>
        <w:t>re:-</w:t>
      </w:r>
      <w:proofErr w:type="gramEnd"/>
    </w:p>
    <w:p w14:paraId="1A4BBEB9" w14:textId="111847B9" w:rsidR="00CE0584" w:rsidRPr="003A1920" w:rsidRDefault="004E13FA" w:rsidP="003A1920">
      <w:pPr>
        <w:widowControl/>
        <w:overflowPunct/>
        <w:adjustRightInd/>
        <w:spacing w:line="276" w:lineRule="auto"/>
        <w:jc w:val="right"/>
        <w:rPr>
          <w:rFonts w:ascii="Arial" w:eastAsia="Calibri" w:hAnsi="Arial" w:cs="Arial"/>
          <w:b/>
          <w:bCs/>
          <w:kern w:val="0"/>
          <w:lang w:eastAsia="en-US"/>
        </w:rPr>
      </w:pPr>
      <w:r w:rsidRPr="003A1920">
        <w:rPr>
          <w:rFonts w:ascii="Arial" w:eastAsia="Calibri" w:hAnsi="Arial" w:cs="Arial"/>
          <w:b/>
          <w:bCs/>
          <w:kern w:val="0"/>
          <w:lang w:eastAsia="en-US"/>
        </w:rPr>
        <w:t>Case No.: 6171/2021</w:t>
      </w:r>
    </w:p>
    <w:p w14:paraId="5FE84BE5" w14:textId="77777777" w:rsidR="006F628A" w:rsidRPr="003A1920" w:rsidRDefault="006F628A" w:rsidP="003A1920">
      <w:pPr>
        <w:widowControl/>
        <w:overflowPunct/>
        <w:adjustRightInd/>
        <w:spacing w:line="276" w:lineRule="auto"/>
        <w:jc w:val="right"/>
        <w:rPr>
          <w:rFonts w:ascii="Arial" w:eastAsia="Calibri" w:hAnsi="Arial" w:cs="Arial"/>
          <w:b/>
          <w:bCs/>
          <w:kern w:val="0"/>
          <w:lang w:eastAsia="en-US"/>
        </w:rPr>
      </w:pPr>
    </w:p>
    <w:p w14:paraId="08D39308" w14:textId="01ED6523" w:rsidR="00CE0584" w:rsidRPr="003A1920" w:rsidRDefault="00CE0584" w:rsidP="003A1920">
      <w:pPr>
        <w:widowControl/>
        <w:overflowPunct/>
        <w:adjustRightInd/>
        <w:spacing w:line="276" w:lineRule="auto"/>
        <w:jc w:val="right"/>
        <w:rPr>
          <w:rFonts w:ascii="Arial" w:eastAsia="Calibri" w:hAnsi="Arial" w:cs="Arial"/>
          <w:kern w:val="0"/>
          <w:lang w:eastAsia="en-US"/>
        </w:rPr>
      </w:pPr>
      <w:r w:rsidRPr="003A1920">
        <w:rPr>
          <w:rFonts w:ascii="Arial" w:eastAsia="Calibri" w:hAnsi="Arial" w:cs="Arial"/>
          <w:b/>
          <w:bCs/>
          <w:snapToGrid w:val="0"/>
          <w:kern w:val="0"/>
          <w:lang w:eastAsia="en-US"/>
        </w:rPr>
        <w:t>THE NATIONAL DIRECTOR OF PUBLIC PROSECUTIONS</w:t>
      </w:r>
      <w:r w:rsidRPr="003A1920">
        <w:rPr>
          <w:rFonts w:ascii="Arial" w:eastAsia="Calibri" w:hAnsi="Arial" w:cs="Arial"/>
          <w:b/>
          <w:bCs/>
          <w:snapToGrid w:val="0"/>
          <w:kern w:val="0"/>
          <w:lang w:eastAsia="en-US"/>
        </w:rPr>
        <w:tab/>
        <w:t xml:space="preserve">       </w:t>
      </w:r>
      <w:r w:rsidRPr="003A1920">
        <w:rPr>
          <w:rFonts w:ascii="Arial" w:eastAsia="Calibri" w:hAnsi="Arial" w:cs="Arial"/>
          <w:b/>
          <w:bCs/>
          <w:snapToGrid w:val="0"/>
          <w:kern w:val="0"/>
          <w:lang w:eastAsia="en-US"/>
        </w:rPr>
        <w:tab/>
        <w:t xml:space="preserve">           </w:t>
      </w:r>
      <w:r w:rsidRPr="003A1920">
        <w:rPr>
          <w:rFonts w:ascii="Arial" w:eastAsia="Calibri" w:hAnsi="Arial" w:cs="Arial"/>
          <w:snapToGrid w:val="0"/>
          <w:kern w:val="0"/>
          <w:lang w:eastAsia="en-US"/>
        </w:rPr>
        <w:t>Applicant</w:t>
      </w:r>
      <w:r w:rsidRPr="003A1920">
        <w:rPr>
          <w:rFonts w:ascii="Arial" w:eastAsia="Calibri" w:hAnsi="Arial" w:cs="Arial"/>
          <w:kern w:val="0"/>
          <w:lang w:eastAsia="en-US"/>
        </w:rPr>
        <w:t xml:space="preserve"> </w:t>
      </w:r>
    </w:p>
    <w:p w14:paraId="3E322CB0" w14:textId="77777777" w:rsidR="00CE0584" w:rsidRPr="003A1920" w:rsidRDefault="00CE0584" w:rsidP="003A1920">
      <w:pPr>
        <w:widowControl/>
        <w:overflowPunct/>
        <w:adjustRightInd/>
        <w:spacing w:line="276" w:lineRule="auto"/>
        <w:rPr>
          <w:rFonts w:ascii="Arial" w:eastAsia="Calibri" w:hAnsi="Arial" w:cs="Arial"/>
          <w:kern w:val="0"/>
          <w:lang w:eastAsia="en-US"/>
        </w:rPr>
      </w:pPr>
    </w:p>
    <w:p w14:paraId="7FA0BEDD" w14:textId="5FB00CD1" w:rsidR="00CE0584" w:rsidRPr="003A1920" w:rsidRDefault="00CE0584"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kern w:val="0"/>
          <w:lang w:eastAsia="en-US"/>
        </w:rPr>
        <w:t>and</w:t>
      </w:r>
    </w:p>
    <w:p w14:paraId="135040D3" w14:textId="77777777" w:rsidR="00CE0584" w:rsidRPr="003A1920" w:rsidRDefault="00CE0584" w:rsidP="003A1920">
      <w:pPr>
        <w:widowControl/>
        <w:overflowPunct/>
        <w:adjustRightInd/>
        <w:spacing w:line="276" w:lineRule="auto"/>
        <w:rPr>
          <w:rFonts w:ascii="Arial" w:eastAsia="Calibri" w:hAnsi="Arial" w:cs="Arial"/>
          <w:kern w:val="0"/>
          <w:lang w:eastAsia="en-US"/>
        </w:rPr>
      </w:pPr>
    </w:p>
    <w:p w14:paraId="18C3E3D3" w14:textId="6DB47C03" w:rsidR="00CE0584" w:rsidRPr="003A1920" w:rsidRDefault="00CE0584"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JEROME BOOYSEN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006F628A" w:rsidRPr="003A1920">
        <w:rPr>
          <w:rFonts w:ascii="Arial" w:eastAsia="Calibri" w:hAnsi="Arial" w:cs="Arial"/>
          <w:b/>
          <w:bCs/>
          <w:kern w:val="0"/>
          <w:lang w:eastAsia="en-US"/>
        </w:rPr>
        <w:t xml:space="preserve"> </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kern w:val="0"/>
          <w:lang w:eastAsia="en-US"/>
        </w:rPr>
        <w:tab/>
        <w:t>First Defendant</w:t>
      </w:r>
    </w:p>
    <w:p w14:paraId="442F3AAC" w14:textId="764029A7" w:rsidR="00CE0584" w:rsidRPr="003A1920" w:rsidRDefault="00CE0584"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KENNETH HANSEN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Second Defendant</w:t>
      </w:r>
    </w:p>
    <w:p w14:paraId="07027436" w14:textId="495F6FE6" w:rsidR="00CE0584" w:rsidRPr="003A1920" w:rsidRDefault="00CE0584"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KRISTO MARIENS</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 xml:space="preserve">Third Defendant </w:t>
      </w:r>
    </w:p>
    <w:p w14:paraId="613F5EDD" w14:textId="424C314A" w:rsidR="00CE0584" w:rsidRPr="003A1920" w:rsidRDefault="00CE0584"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CLINTON LANGEVELD</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009707C6" w:rsidRPr="003A1920">
        <w:rPr>
          <w:rFonts w:ascii="Arial" w:eastAsia="Calibri" w:hAnsi="Arial" w:cs="Arial"/>
          <w:b/>
          <w:bCs/>
          <w:kern w:val="0"/>
          <w:lang w:eastAsia="en-US"/>
        </w:rPr>
        <w:t xml:space="preserve">        </w:t>
      </w:r>
      <w:r w:rsidR="009707C6" w:rsidRPr="003A1920">
        <w:rPr>
          <w:rFonts w:ascii="Arial" w:eastAsia="Calibri" w:hAnsi="Arial" w:cs="Arial"/>
          <w:kern w:val="0"/>
          <w:lang w:eastAsia="en-US"/>
        </w:rPr>
        <w:t>Fourth Defendant</w:t>
      </w:r>
    </w:p>
    <w:p w14:paraId="5E26AC1E" w14:textId="7B9832F1" w:rsidR="009707C6" w:rsidRPr="003A1920" w:rsidRDefault="009707C6"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JENEN JESMENE JANSEN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kern w:val="0"/>
          <w:lang w:eastAsia="en-US"/>
        </w:rPr>
        <w:t>Fifth Defendant</w:t>
      </w:r>
    </w:p>
    <w:p w14:paraId="791AC6EA" w14:textId="5D0754EB" w:rsidR="009707C6" w:rsidRPr="003A1920" w:rsidRDefault="009707C6"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HERBERT ANTHONY ZOUTMAN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kern w:val="0"/>
          <w:lang w:eastAsia="en-US"/>
        </w:rPr>
        <w:t>Sixth Defendant</w:t>
      </w:r>
    </w:p>
    <w:p w14:paraId="50BEFAEA" w14:textId="77777777" w:rsidR="006F628A" w:rsidRPr="003A1920" w:rsidRDefault="006F628A" w:rsidP="003A1920">
      <w:pPr>
        <w:widowControl/>
        <w:overflowPunct/>
        <w:adjustRightInd/>
        <w:spacing w:line="276" w:lineRule="auto"/>
        <w:rPr>
          <w:rFonts w:ascii="Arial" w:eastAsia="Calibri" w:hAnsi="Arial" w:cs="Arial"/>
          <w:kern w:val="0"/>
          <w:lang w:eastAsia="en-US"/>
        </w:rPr>
      </w:pPr>
    </w:p>
    <w:p w14:paraId="41905F5A" w14:textId="6082C8C7" w:rsidR="009707C6" w:rsidRPr="003A1920" w:rsidRDefault="009707C6"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lastRenderedPageBreak/>
        <w:t xml:space="preserve">TINA ADELLE BOOYSEN </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006F628A" w:rsidRPr="003A1920">
        <w:rPr>
          <w:rFonts w:ascii="Arial" w:eastAsia="Calibri" w:hAnsi="Arial" w:cs="Arial"/>
          <w:b/>
          <w:bCs/>
          <w:kern w:val="0"/>
          <w:lang w:eastAsia="en-US"/>
        </w:rPr>
        <w:t xml:space="preserve">        </w:t>
      </w:r>
      <w:r w:rsidR="006F628A" w:rsidRPr="003A1920">
        <w:rPr>
          <w:rFonts w:ascii="Arial" w:eastAsia="Calibri" w:hAnsi="Arial" w:cs="Arial"/>
          <w:kern w:val="0"/>
          <w:lang w:eastAsia="en-US"/>
        </w:rPr>
        <w:t>First Respondent</w:t>
      </w:r>
    </w:p>
    <w:p w14:paraId="18D55FBD" w14:textId="2AC2EAFE" w:rsidR="006F628A" w:rsidRPr="003A1920" w:rsidRDefault="006F628A"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ALBATROSS ISLE TRADE (PTY) LTD</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Second Respondent</w:t>
      </w:r>
    </w:p>
    <w:p w14:paraId="1A460FA7" w14:textId="5FC37862" w:rsidR="006F628A" w:rsidRPr="003A1920" w:rsidRDefault="006F628A"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ASHLEY HANSEN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kern w:val="0"/>
          <w:lang w:eastAsia="en-US"/>
        </w:rPr>
        <w:t xml:space="preserve">        Third Respondent</w:t>
      </w:r>
    </w:p>
    <w:p w14:paraId="15DB7751" w14:textId="60BE7D24" w:rsidR="006F628A" w:rsidRDefault="006F628A" w:rsidP="003A1920">
      <w:pPr>
        <w:widowControl/>
        <w:overflowPunct/>
        <w:adjustRightInd/>
        <w:spacing w:line="276" w:lineRule="auto"/>
        <w:rPr>
          <w:rFonts w:ascii="Arial" w:eastAsia="Calibri" w:hAnsi="Arial" w:cs="Arial"/>
          <w:kern w:val="0"/>
          <w:lang w:eastAsia="en-US"/>
        </w:rPr>
      </w:pPr>
      <w:r w:rsidRPr="003A1920">
        <w:rPr>
          <w:rFonts w:ascii="Arial" w:eastAsia="Calibri" w:hAnsi="Arial" w:cs="Arial"/>
          <w:b/>
          <w:bCs/>
          <w:kern w:val="0"/>
          <w:lang w:eastAsia="en-US"/>
        </w:rPr>
        <w:t>RALPH HUBAN JANSEN</w:t>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r>
      <w:r w:rsidRPr="003A1920">
        <w:rPr>
          <w:rFonts w:ascii="Arial" w:eastAsia="Calibri" w:hAnsi="Arial" w:cs="Arial"/>
          <w:b/>
          <w:bCs/>
          <w:kern w:val="0"/>
          <w:lang w:eastAsia="en-US"/>
        </w:rPr>
        <w:tab/>
        <w:t xml:space="preserve">      </w:t>
      </w:r>
      <w:r w:rsidRPr="003A1920">
        <w:rPr>
          <w:rFonts w:ascii="Arial" w:eastAsia="Calibri" w:hAnsi="Arial" w:cs="Arial"/>
          <w:kern w:val="0"/>
          <w:lang w:eastAsia="en-US"/>
        </w:rPr>
        <w:t>Fourth Respondent</w:t>
      </w:r>
    </w:p>
    <w:p w14:paraId="444F2BBC" w14:textId="34B70601" w:rsidR="00B436B2" w:rsidRDefault="00B436B2" w:rsidP="003A1920">
      <w:pPr>
        <w:widowControl/>
        <w:overflowPunct/>
        <w:adjustRightInd/>
        <w:spacing w:line="276" w:lineRule="auto"/>
        <w:rPr>
          <w:rFonts w:ascii="Arial" w:eastAsia="Calibri" w:hAnsi="Arial" w:cs="Arial"/>
          <w:kern w:val="0"/>
          <w:lang w:eastAsia="en-US"/>
        </w:rPr>
      </w:pPr>
    </w:p>
    <w:p w14:paraId="5945BA31" w14:textId="10CE8E63" w:rsidR="00B436B2" w:rsidRPr="00B436B2" w:rsidRDefault="00B436B2" w:rsidP="003A1920">
      <w:pPr>
        <w:widowControl/>
        <w:overflowPunct/>
        <w:adjustRightInd/>
        <w:spacing w:line="276" w:lineRule="auto"/>
        <w:rPr>
          <w:rFonts w:ascii="Arial" w:eastAsia="Calibri" w:hAnsi="Arial" w:cs="Arial"/>
          <w:kern w:val="0"/>
          <w:sz w:val="20"/>
          <w:szCs w:val="20"/>
          <w:lang w:eastAsia="en-US"/>
        </w:rPr>
      </w:pPr>
      <w:r w:rsidRPr="00B436B2">
        <w:rPr>
          <w:rFonts w:ascii="Arial" w:eastAsia="Calibri" w:hAnsi="Arial" w:cs="Arial"/>
          <w:kern w:val="0"/>
          <w:sz w:val="20"/>
          <w:szCs w:val="20"/>
          <w:lang w:eastAsia="en-US"/>
        </w:rPr>
        <w:t>Judgment was handed down electronically on 26 June 2023 by circulation to the parties’ legal representatives’ email addresses.</w:t>
      </w:r>
    </w:p>
    <w:p w14:paraId="5F084698" w14:textId="23600460" w:rsidR="00521A0D" w:rsidRPr="003A1920" w:rsidRDefault="00521A0D" w:rsidP="00521A0D">
      <w:pPr>
        <w:widowControl/>
        <w:suppressAutoHyphens/>
        <w:overflowPunct/>
        <w:adjustRightInd/>
        <w:spacing w:line="360" w:lineRule="auto"/>
        <w:jc w:val="both"/>
        <w:rPr>
          <w:rFonts w:ascii="Arial" w:hAnsi="Arial" w:cs="Arial"/>
          <w:b/>
          <w:bCs/>
        </w:rPr>
      </w:pPr>
      <w:r w:rsidRPr="003A1920">
        <w:rPr>
          <w:rFonts w:ascii="Arial" w:hAnsi="Arial" w:cs="Arial"/>
        </w:rPr>
        <w:t>___________________________________________________________________</w:t>
      </w:r>
    </w:p>
    <w:p w14:paraId="20163EA7" w14:textId="77777777" w:rsidR="003A1920" w:rsidRPr="003A1920" w:rsidRDefault="003A1920" w:rsidP="00B436B2">
      <w:pPr>
        <w:pBdr>
          <w:bottom w:val="single" w:sz="8" w:space="0" w:color="auto"/>
        </w:pBdr>
        <w:spacing w:line="360" w:lineRule="auto"/>
        <w:rPr>
          <w:rFonts w:ascii="Arial" w:hAnsi="Arial" w:cs="Arial"/>
          <w:b/>
          <w:bCs/>
        </w:rPr>
      </w:pPr>
    </w:p>
    <w:p w14:paraId="5B89193F" w14:textId="5F392A14" w:rsidR="00521A0D" w:rsidRPr="003A1920" w:rsidRDefault="00521A0D" w:rsidP="00521A0D">
      <w:pPr>
        <w:pBdr>
          <w:bottom w:val="single" w:sz="8" w:space="0" w:color="auto"/>
        </w:pBdr>
        <w:spacing w:line="360" w:lineRule="auto"/>
        <w:jc w:val="center"/>
        <w:rPr>
          <w:rFonts w:ascii="Arial" w:hAnsi="Arial" w:cs="Arial"/>
          <w:b/>
          <w:bCs/>
        </w:rPr>
      </w:pPr>
      <w:r w:rsidRPr="003A1920">
        <w:rPr>
          <w:rFonts w:ascii="Arial" w:hAnsi="Arial" w:cs="Arial"/>
          <w:b/>
          <w:bCs/>
        </w:rPr>
        <w:t>JUDGMENT</w:t>
      </w:r>
    </w:p>
    <w:p w14:paraId="359A7289" w14:textId="77777777" w:rsidR="00521A0D" w:rsidRDefault="00521A0D" w:rsidP="00521A0D">
      <w:pPr>
        <w:widowControl/>
        <w:tabs>
          <w:tab w:val="left" w:pos="1080"/>
        </w:tabs>
        <w:spacing w:before="240" w:line="480" w:lineRule="auto"/>
        <w:jc w:val="both"/>
        <w:rPr>
          <w:rFonts w:ascii="Arial" w:hAnsi="Arial" w:cs="Arial"/>
          <w:b/>
          <w:i/>
          <w:iCs/>
          <w:u w:val="single"/>
        </w:rPr>
      </w:pPr>
      <w:r w:rsidRPr="003A1920">
        <w:rPr>
          <w:rFonts w:ascii="Arial" w:hAnsi="Arial" w:cs="Arial"/>
          <w:b/>
          <w:i/>
          <w:iCs/>
          <w:u w:val="single"/>
        </w:rPr>
        <w:t>SLINGERS, J</w:t>
      </w:r>
    </w:p>
    <w:p w14:paraId="631010D3" w14:textId="549332CA" w:rsidR="00F26624" w:rsidRPr="00F26624" w:rsidRDefault="00F26624" w:rsidP="00521A0D">
      <w:pPr>
        <w:widowControl/>
        <w:tabs>
          <w:tab w:val="left" w:pos="1080"/>
        </w:tabs>
        <w:spacing w:before="240" w:line="480" w:lineRule="auto"/>
        <w:jc w:val="both"/>
        <w:rPr>
          <w:rFonts w:ascii="Arial" w:hAnsi="Arial" w:cs="Arial"/>
          <w:b/>
          <w:u w:val="single"/>
        </w:rPr>
      </w:pPr>
      <w:r>
        <w:rPr>
          <w:rFonts w:ascii="Arial" w:hAnsi="Arial" w:cs="Arial"/>
          <w:b/>
          <w:u w:val="single"/>
        </w:rPr>
        <w:t>Introduction</w:t>
      </w:r>
    </w:p>
    <w:p w14:paraId="2A63FA21" w14:textId="1EB12DA4" w:rsidR="00F26624" w:rsidRPr="00F07B5D" w:rsidRDefault="00F07B5D" w:rsidP="00F07B5D">
      <w:pPr>
        <w:spacing w:line="480" w:lineRule="auto"/>
        <w:ind w:left="550" w:hanging="550"/>
        <w:rPr>
          <w:rFonts w:ascii="Arial" w:hAnsi="Arial" w:cs="Arial"/>
        </w:rPr>
      </w:pPr>
      <w:r w:rsidRPr="00593E00">
        <w:rPr>
          <w:rFonts w:ascii="Arial" w:hAnsi="Arial" w:cs="Arial"/>
        </w:rPr>
        <w:t>1.</w:t>
      </w:r>
      <w:r w:rsidRPr="00593E00">
        <w:rPr>
          <w:rFonts w:ascii="Arial" w:hAnsi="Arial" w:cs="Arial"/>
        </w:rPr>
        <w:tab/>
      </w:r>
      <w:r w:rsidR="00F26624" w:rsidRPr="00F07B5D">
        <w:rPr>
          <w:rFonts w:ascii="Arial" w:eastAsia="Calibri" w:hAnsi="Arial" w:cs="Arial"/>
          <w:snapToGrid w:val="0"/>
          <w:kern w:val="0"/>
          <w:lang w:eastAsia="en-US"/>
        </w:rPr>
        <w:t xml:space="preserve">A restraint order places the defendant’s property beyond his or her control and in the hands of a </w:t>
      </w:r>
      <w:r w:rsidR="00F26624" w:rsidRPr="00F07B5D">
        <w:rPr>
          <w:rFonts w:ascii="Arial" w:eastAsia="Calibri" w:hAnsi="Arial" w:cs="Arial"/>
          <w:i/>
          <w:iCs/>
          <w:snapToGrid w:val="0"/>
          <w:kern w:val="0"/>
          <w:lang w:eastAsia="en-US"/>
        </w:rPr>
        <w:t xml:space="preserve">curator </w:t>
      </w:r>
      <w:proofErr w:type="spellStart"/>
      <w:r w:rsidR="00F26624" w:rsidRPr="00F07B5D">
        <w:rPr>
          <w:rFonts w:ascii="Arial" w:eastAsia="Calibri" w:hAnsi="Arial" w:cs="Arial"/>
          <w:i/>
          <w:iCs/>
          <w:snapToGrid w:val="0"/>
          <w:kern w:val="0"/>
          <w:lang w:eastAsia="en-US"/>
        </w:rPr>
        <w:t>bonis</w:t>
      </w:r>
      <w:proofErr w:type="spellEnd"/>
      <w:r w:rsidR="00F26624" w:rsidRPr="00F07B5D">
        <w:rPr>
          <w:rFonts w:ascii="Arial" w:eastAsia="Calibri" w:hAnsi="Arial" w:cs="Arial"/>
          <w:snapToGrid w:val="0"/>
          <w:kern w:val="0"/>
          <w:lang w:eastAsia="en-US"/>
        </w:rPr>
        <w:t xml:space="preserve"> pending the outcome of criminal proceedings</w:t>
      </w:r>
      <w:r w:rsidR="000362EB" w:rsidRPr="00F07B5D">
        <w:rPr>
          <w:rFonts w:ascii="Arial" w:eastAsia="Calibri" w:hAnsi="Arial" w:cs="Arial"/>
          <w:snapToGrid w:val="0"/>
          <w:kern w:val="0"/>
          <w:lang w:eastAsia="en-US"/>
        </w:rPr>
        <w:t xml:space="preserve"> instituted against that defendant</w:t>
      </w:r>
      <w:r w:rsidR="00F26624" w:rsidRPr="00F07B5D">
        <w:rPr>
          <w:rFonts w:ascii="Arial" w:eastAsia="Calibri" w:hAnsi="Arial" w:cs="Arial"/>
          <w:snapToGrid w:val="0"/>
          <w:kern w:val="0"/>
          <w:lang w:eastAsia="en-US"/>
        </w:rPr>
        <w:t>.</w:t>
      </w:r>
      <w:r w:rsidR="00F26624">
        <w:rPr>
          <w:rStyle w:val="FootnoteReference"/>
          <w:rFonts w:ascii="Arial" w:eastAsia="Calibri" w:hAnsi="Arial" w:cs="Arial"/>
          <w:snapToGrid w:val="0"/>
          <w:kern w:val="0"/>
          <w:lang w:eastAsia="en-US"/>
        </w:rPr>
        <w:footnoteReference w:id="1"/>
      </w:r>
      <w:r w:rsidR="00F26624" w:rsidRPr="00F07B5D">
        <w:rPr>
          <w:rFonts w:ascii="Arial" w:eastAsia="Calibri" w:hAnsi="Arial" w:cs="Arial"/>
          <w:snapToGrid w:val="0"/>
          <w:kern w:val="0"/>
          <w:lang w:eastAsia="en-US"/>
        </w:rPr>
        <w:t xml:space="preserve">  Restraint orders are made in order to ensure that the</w:t>
      </w:r>
      <w:r w:rsidR="000362EB" w:rsidRPr="00F07B5D">
        <w:rPr>
          <w:rFonts w:ascii="Arial" w:eastAsia="Calibri" w:hAnsi="Arial" w:cs="Arial"/>
          <w:snapToGrid w:val="0"/>
          <w:kern w:val="0"/>
          <w:lang w:eastAsia="en-US"/>
        </w:rPr>
        <w:t xml:space="preserve"> defendant’s</w:t>
      </w:r>
      <w:r w:rsidR="00F26624" w:rsidRPr="00F07B5D">
        <w:rPr>
          <w:rFonts w:ascii="Arial" w:eastAsia="Calibri" w:hAnsi="Arial" w:cs="Arial"/>
          <w:snapToGrid w:val="0"/>
          <w:kern w:val="0"/>
          <w:lang w:eastAsia="en-US"/>
        </w:rPr>
        <w:t xml:space="preserve"> realisable property is preserved so that it may in due course be realised to the satisfaction of a confiscation order.</w:t>
      </w:r>
      <w:r w:rsidR="00F26624">
        <w:rPr>
          <w:rStyle w:val="FootnoteReference"/>
          <w:rFonts w:ascii="Arial" w:eastAsia="Calibri" w:hAnsi="Arial" w:cs="Arial"/>
          <w:snapToGrid w:val="0"/>
          <w:kern w:val="0"/>
          <w:lang w:eastAsia="en-US"/>
        </w:rPr>
        <w:footnoteReference w:id="2"/>
      </w:r>
    </w:p>
    <w:p w14:paraId="5E13C17C" w14:textId="3BFE1E2C" w:rsidR="00F26624" w:rsidRPr="00F07B5D" w:rsidRDefault="00F07B5D" w:rsidP="00F07B5D">
      <w:pPr>
        <w:spacing w:line="480" w:lineRule="auto"/>
        <w:ind w:left="550" w:hanging="550"/>
        <w:rPr>
          <w:rFonts w:ascii="Arial" w:hAnsi="Arial" w:cs="Arial"/>
        </w:rPr>
      </w:pPr>
      <w:r w:rsidRPr="00983D92">
        <w:rPr>
          <w:rFonts w:ascii="Arial" w:hAnsi="Arial" w:cs="Arial"/>
        </w:rPr>
        <w:t>2.</w:t>
      </w:r>
      <w:r w:rsidRPr="00983D92">
        <w:rPr>
          <w:rFonts w:ascii="Arial" w:hAnsi="Arial" w:cs="Arial"/>
        </w:rPr>
        <w:tab/>
      </w:r>
      <w:r w:rsidR="00F26624" w:rsidRPr="00F07B5D">
        <w:rPr>
          <w:rFonts w:ascii="Arial" w:eastAsia="Calibri" w:hAnsi="Arial" w:cs="Arial"/>
          <w:snapToGrid w:val="0"/>
          <w:kern w:val="0"/>
          <w:lang w:eastAsia="en-US"/>
        </w:rPr>
        <w:t xml:space="preserve">A restraint order may only be granted against a defendant if it appears to the court that there are reasonable grounds for believing that </w:t>
      </w:r>
      <w:r w:rsidR="000362EB" w:rsidRPr="00F07B5D">
        <w:rPr>
          <w:rFonts w:ascii="Arial" w:eastAsia="Calibri" w:hAnsi="Arial" w:cs="Arial"/>
          <w:snapToGrid w:val="0"/>
          <w:kern w:val="0"/>
          <w:lang w:eastAsia="en-US"/>
        </w:rPr>
        <w:t xml:space="preserve">a </w:t>
      </w:r>
      <w:r w:rsidR="00F26624" w:rsidRPr="00F07B5D">
        <w:rPr>
          <w:rFonts w:ascii="Arial" w:eastAsia="Calibri" w:hAnsi="Arial" w:cs="Arial"/>
          <w:snapToGrid w:val="0"/>
          <w:kern w:val="0"/>
          <w:lang w:eastAsia="en-US"/>
        </w:rPr>
        <w:t>confiscation order may be made against such defendant.  A confiscation order follows the conviction of the defendant.</w:t>
      </w:r>
      <w:r w:rsidR="00F26624">
        <w:rPr>
          <w:rStyle w:val="FootnoteReference"/>
          <w:rFonts w:ascii="Arial" w:eastAsia="Calibri" w:hAnsi="Arial" w:cs="Arial"/>
          <w:snapToGrid w:val="0"/>
          <w:kern w:val="0"/>
          <w:lang w:eastAsia="en-US"/>
        </w:rPr>
        <w:footnoteReference w:id="3"/>
      </w:r>
      <w:r w:rsidR="00F26624" w:rsidRPr="00F07B5D">
        <w:rPr>
          <w:rFonts w:ascii="Arial" w:eastAsia="Calibri" w:hAnsi="Arial" w:cs="Arial"/>
          <w:snapToGrid w:val="0"/>
          <w:kern w:val="0"/>
          <w:lang w:eastAsia="en-US"/>
        </w:rPr>
        <w:t xml:space="preserve">  </w:t>
      </w:r>
      <w:r w:rsidR="00E40979" w:rsidRPr="00F07B5D">
        <w:rPr>
          <w:rFonts w:ascii="Arial" w:eastAsia="Calibri" w:hAnsi="Arial" w:cs="Arial"/>
          <w:snapToGrid w:val="0"/>
          <w:kern w:val="0"/>
          <w:lang w:eastAsia="en-US"/>
        </w:rPr>
        <w:t>Thus, a</w:t>
      </w:r>
      <w:r w:rsidR="00F26624" w:rsidRPr="00F07B5D">
        <w:rPr>
          <w:rFonts w:ascii="Arial" w:eastAsia="Calibri" w:hAnsi="Arial" w:cs="Arial"/>
          <w:snapToGrid w:val="0"/>
          <w:kern w:val="0"/>
          <w:lang w:eastAsia="en-US"/>
        </w:rPr>
        <w:t xml:space="preserve"> restraint order may only be granted if the NDPP discharges the onus of establishing a reasonable prospect of obtaining both a conviction in respect of all or some of the criminal charges levied against the defendant and a subsequent confiscation order.</w:t>
      </w:r>
      <w:r w:rsidR="00F26624">
        <w:rPr>
          <w:rStyle w:val="FootnoteReference"/>
          <w:rFonts w:ascii="Arial" w:eastAsia="Calibri" w:hAnsi="Arial" w:cs="Arial"/>
          <w:snapToGrid w:val="0"/>
          <w:kern w:val="0"/>
          <w:lang w:eastAsia="en-US"/>
        </w:rPr>
        <w:footnoteReference w:id="4"/>
      </w:r>
    </w:p>
    <w:p w14:paraId="76581CD8" w14:textId="26AC2023" w:rsidR="00F26624" w:rsidRPr="00F07B5D" w:rsidRDefault="00F07B5D" w:rsidP="00F07B5D">
      <w:pPr>
        <w:spacing w:line="480" w:lineRule="auto"/>
        <w:ind w:left="550" w:hanging="550"/>
        <w:rPr>
          <w:rFonts w:ascii="Arial" w:hAnsi="Arial" w:cs="Arial"/>
        </w:rPr>
      </w:pPr>
      <w:r w:rsidRPr="003951C8">
        <w:rPr>
          <w:rFonts w:ascii="Arial" w:hAnsi="Arial" w:cs="Arial"/>
        </w:rPr>
        <w:lastRenderedPageBreak/>
        <w:t>3.</w:t>
      </w:r>
      <w:r w:rsidRPr="003951C8">
        <w:rPr>
          <w:rFonts w:ascii="Arial" w:hAnsi="Arial" w:cs="Arial"/>
        </w:rPr>
        <w:tab/>
      </w:r>
      <w:r w:rsidR="00F26624" w:rsidRPr="00F07B5D">
        <w:rPr>
          <w:rFonts w:ascii="Arial" w:eastAsia="Calibri" w:hAnsi="Arial" w:cs="Arial"/>
          <w:snapToGrid w:val="0"/>
          <w:kern w:val="0"/>
          <w:lang w:eastAsia="en-US"/>
        </w:rPr>
        <w:t>Section 14 of POCA defines realisable property as:</w:t>
      </w:r>
    </w:p>
    <w:p w14:paraId="2D577FA8" w14:textId="77777777" w:rsidR="00F26624" w:rsidRDefault="00F26624" w:rsidP="00F26624">
      <w:pPr>
        <w:pStyle w:val="ListParagraph"/>
        <w:spacing w:line="480" w:lineRule="auto"/>
        <w:ind w:left="1270" w:hanging="720"/>
        <w:rPr>
          <w:rFonts w:ascii="Arial" w:hAnsi="Arial" w:cs="Arial"/>
          <w:i/>
          <w:iCs/>
        </w:rPr>
      </w:pPr>
      <w:r>
        <w:rPr>
          <w:rFonts w:ascii="Arial" w:hAnsi="Arial" w:cs="Arial"/>
          <w:i/>
          <w:iCs/>
        </w:rPr>
        <w:t>‘(1)</w:t>
      </w:r>
      <w:r>
        <w:rPr>
          <w:rFonts w:ascii="Arial" w:hAnsi="Arial" w:cs="Arial"/>
          <w:i/>
          <w:iCs/>
        </w:rPr>
        <w:tab/>
        <w:t>Subject to the provisions of subsection (2), the following property shall be realisable in terms of this Chapter, namely –</w:t>
      </w:r>
    </w:p>
    <w:p w14:paraId="10C92D2C" w14:textId="4DEDD4DE" w:rsidR="00F26624" w:rsidRPr="00F07B5D" w:rsidRDefault="00F07B5D" w:rsidP="00F07B5D">
      <w:pPr>
        <w:spacing w:line="480" w:lineRule="auto"/>
        <w:ind w:left="1440" w:hanging="360"/>
        <w:rPr>
          <w:rFonts w:ascii="Arial" w:hAnsi="Arial" w:cs="Arial"/>
          <w:i/>
          <w:iCs/>
        </w:rPr>
      </w:pPr>
      <w:r>
        <w:rPr>
          <w:rFonts w:ascii="Arial" w:hAnsi="Arial" w:cs="Arial"/>
          <w:i/>
          <w:iCs/>
        </w:rPr>
        <w:t>(a)</w:t>
      </w:r>
      <w:r>
        <w:rPr>
          <w:rFonts w:ascii="Arial" w:hAnsi="Arial" w:cs="Arial"/>
          <w:i/>
          <w:iCs/>
        </w:rPr>
        <w:tab/>
      </w:r>
      <w:r w:rsidR="00F26624" w:rsidRPr="00F07B5D">
        <w:rPr>
          <w:rFonts w:ascii="Arial" w:hAnsi="Arial" w:cs="Arial"/>
          <w:i/>
          <w:iCs/>
        </w:rPr>
        <w:t xml:space="preserve">any property held by the defendant concerned; and </w:t>
      </w:r>
    </w:p>
    <w:p w14:paraId="10D69BFF" w14:textId="37B3018E" w:rsidR="00F26624" w:rsidRPr="00F07B5D" w:rsidRDefault="00F07B5D" w:rsidP="00F07B5D">
      <w:pPr>
        <w:spacing w:line="480" w:lineRule="auto"/>
        <w:ind w:left="1440" w:hanging="360"/>
        <w:rPr>
          <w:rFonts w:ascii="Arial" w:hAnsi="Arial" w:cs="Arial"/>
          <w:i/>
          <w:iCs/>
        </w:rPr>
      </w:pPr>
      <w:r>
        <w:rPr>
          <w:rFonts w:ascii="Arial" w:hAnsi="Arial" w:cs="Arial"/>
          <w:i/>
          <w:iCs/>
        </w:rPr>
        <w:t>(b)</w:t>
      </w:r>
      <w:r>
        <w:rPr>
          <w:rFonts w:ascii="Arial" w:hAnsi="Arial" w:cs="Arial"/>
          <w:i/>
          <w:iCs/>
        </w:rPr>
        <w:tab/>
      </w:r>
      <w:r w:rsidR="00F26624" w:rsidRPr="00F07B5D">
        <w:rPr>
          <w:rFonts w:ascii="Arial" w:hAnsi="Arial" w:cs="Arial"/>
          <w:i/>
          <w:iCs/>
        </w:rPr>
        <w:t>any property held by a person to whom that defendant has directly or indirectly made any affected gift.</w:t>
      </w:r>
    </w:p>
    <w:p w14:paraId="142B4328" w14:textId="77777777" w:rsidR="00F26624" w:rsidRPr="00E5126E" w:rsidRDefault="00F26624" w:rsidP="00F26624">
      <w:pPr>
        <w:spacing w:line="480" w:lineRule="auto"/>
        <w:ind w:left="1429" w:hanging="720"/>
        <w:rPr>
          <w:rFonts w:ascii="Arial" w:hAnsi="Arial" w:cs="Arial"/>
          <w:i/>
          <w:iCs/>
        </w:rPr>
      </w:pPr>
      <w:r>
        <w:rPr>
          <w:rFonts w:ascii="Arial" w:hAnsi="Arial" w:cs="Arial"/>
          <w:i/>
          <w:iCs/>
        </w:rPr>
        <w:t>(2)</w:t>
      </w:r>
      <w:r>
        <w:rPr>
          <w:rFonts w:ascii="Arial" w:hAnsi="Arial" w:cs="Arial"/>
          <w:i/>
          <w:iCs/>
        </w:rPr>
        <w:tab/>
        <w:t>Property shall not realisable property if a declaration of forfeiture is in force in respect thereof.’</w:t>
      </w:r>
    </w:p>
    <w:p w14:paraId="3DDDEB25" w14:textId="78CC70E2" w:rsidR="002B2AAB" w:rsidRPr="00F07B5D" w:rsidRDefault="00F07B5D" w:rsidP="00F07B5D">
      <w:pPr>
        <w:spacing w:line="480" w:lineRule="auto"/>
        <w:ind w:left="550" w:hanging="550"/>
        <w:rPr>
          <w:rFonts w:ascii="Arial" w:hAnsi="Arial" w:cs="Arial"/>
        </w:rPr>
      </w:pPr>
      <w:r w:rsidRPr="00F26624">
        <w:rPr>
          <w:rFonts w:ascii="Arial" w:hAnsi="Arial" w:cs="Arial"/>
        </w:rPr>
        <w:t>4.</w:t>
      </w:r>
      <w:r w:rsidRPr="00F26624">
        <w:rPr>
          <w:rFonts w:ascii="Arial" w:hAnsi="Arial" w:cs="Arial"/>
        </w:rPr>
        <w:tab/>
      </w:r>
      <w:r w:rsidR="006602C1" w:rsidRPr="00F07B5D">
        <w:rPr>
          <w:rFonts w:ascii="Arial" w:hAnsi="Arial" w:cs="Arial"/>
        </w:rPr>
        <w:t xml:space="preserve">On 3 </w:t>
      </w:r>
      <w:r w:rsidR="009E2383" w:rsidRPr="00F07B5D">
        <w:rPr>
          <w:rFonts w:ascii="Arial" w:hAnsi="Arial" w:cs="Arial"/>
        </w:rPr>
        <w:t xml:space="preserve">May 2021, the </w:t>
      </w:r>
      <w:r w:rsidR="009E2383" w:rsidRPr="00F07B5D">
        <w:rPr>
          <w:rFonts w:ascii="Arial" w:eastAsia="Calibri" w:hAnsi="Arial" w:cs="Arial"/>
          <w:snapToGrid w:val="0"/>
          <w:kern w:val="0"/>
          <w:lang w:eastAsia="en-US"/>
        </w:rPr>
        <w:t xml:space="preserve">National Director </w:t>
      </w:r>
      <w:proofErr w:type="gramStart"/>
      <w:r w:rsidR="009E2383" w:rsidRPr="00F07B5D">
        <w:rPr>
          <w:rFonts w:ascii="Arial" w:eastAsia="Calibri" w:hAnsi="Arial" w:cs="Arial"/>
          <w:snapToGrid w:val="0"/>
          <w:kern w:val="0"/>
          <w:lang w:eastAsia="en-US"/>
        </w:rPr>
        <w:t>Of</w:t>
      </w:r>
      <w:proofErr w:type="gramEnd"/>
      <w:r w:rsidR="009E2383" w:rsidRPr="00F07B5D">
        <w:rPr>
          <w:rFonts w:ascii="Arial" w:eastAsia="Calibri" w:hAnsi="Arial" w:cs="Arial"/>
          <w:snapToGrid w:val="0"/>
          <w:kern w:val="0"/>
          <w:lang w:eastAsia="en-US"/>
        </w:rPr>
        <w:t xml:space="preserve"> Public Prosecutions </w:t>
      </w:r>
      <w:r w:rsidR="009E2383" w:rsidRPr="00F07B5D">
        <w:rPr>
          <w:rFonts w:ascii="Arial" w:eastAsia="Calibri" w:hAnsi="Arial" w:cs="Arial"/>
          <w:b/>
          <w:bCs/>
          <w:snapToGrid w:val="0"/>
          <w:kern w:val="0"/>
          <w:lang w:eastAsia="en-US"/>
        </w:rPr>
        <w:t>(‘the NDPP’)</w:t>
      </w:r>
      <w:r w:rsidR="009E2383" w:rsidRPr="00F07B5D">
        <w:rPr>
          <w:rFonts w:ascii="Arial" w:eastAsia="Calibri" w:hAnsi="Arial" w:cs="Arial"/>
          <w:snapToGrid w:val="0"/>
          <w:kern w:val="0"/>
          <w:lang w:eastAsia="en-US"/>
        </w:rPr>
        <w:t xml:space="preserve"> </w:t>
      </w:r>
      <w:r w:rsidR="000362EB" w:rsidRPr="00F07B5D">
        <w:rPr>
          <w:rFonts w:ascii="Arial" w:eastAsia="Calibri" w:hAnsi="Arial" w:cs="Arial"/>
          <w:snapToGrid w:val="0"/>
          <w:kern w:val="0"/>
          <w:lang w:eastAsia="en-US"/>
        </w:rPr>
        <w:t xml:space="preserve">obtained </w:t>
      </w:r>
      <w:r w:rsidR="009E2383" w:rsidRPr="00F07B5D">
        <w:rPr>
          <w:rFonts w:ascii="Arial" w:eastAsia="Calibri" w:hAnsi="Arial" w:cs="Arial"/>
          <w:snapToGrid w:val="0"/>
          <w:kern w:val="0"/>
          <w:lang w:eastAsia="en-US"/>
        </w:rPr>
        <w:t xml:space="preserve">a provisional restraint order in terms of section 26 of the Prevention of Organised Crime Act, Act 121 of 1998 </w:t>
      </w:r>
      <w:r w:rsidR="009E2383" w:rsidRPr="00F07B5D">
        <w:rPr>
          <w:rFonts w:ascii="Arial" w:eastAsia="Calibri" w:hAnsi="Arial" w:cs="Arial"/>
          <w:b/>
          <w:bCs/>
          <w:snapToGrid w:val="0"/>
          <w:kern w:val="0"/>
          <w:lang w:eastAsia="en-US"/>
        </w:rPr>
        <w:t>(‘POCA’)</w:t>
      </w:r>
      <w:r w:rsidR="006602C1" w:rsidRPr="00F07B5D">
        <w:rPr>
          <w:rFonts w:ascii="Arial" w:eastAsia="Calibri" w:hAnsi="Arial" w:cs="Arial"/>
          <w:b/>
          <w:bCs/>
          <w:snapToGrid w:val="0"/>
          <w:kern w:val="0"/>
          <w:lang w:eastAsia="en-US"/>
        </w:rPr>
        <w:t xml:space="preserve"> </w:t>
      </w:r>
      <w:r w:rsidR="006602C1" w:rsidRPr="00F07B5D">
        <w:rPr>
          <w:rFonts w:ascii="Arial" w:eastAsia="Calibri" w:hAnsi="Arial" w:cs="Arial"/>
          <w:snapToGrid w:val="0"/>
          <w:kern w:val="0"/>
          <w:lang w:eastAsia="en-US"/>
        </w:rPr>
        <w:t xml:space="preserve">against a number of persons, including the third respondent, Jerome </w:t>
      </w:r>
      <w:proofErr w:type="spellStart"/>
      <w:r w:rsidR="006602C1" w:rsidRPr="00F07B5D">
        <w:rPr>
          <w:rFonts w:ascii="Arial" w:eastAsia="Calibri" w:hAnsi="Arial" w:cs="Arial"/>
          <w:snapToGrid w:val="0"/>
          <w:kern w:val="0"/>
          <w:lang w:eastAsia="en-US"/>
        </w:rPr>
        <w:t>Booysen</w:t>
      </w:r>
      <w:proofErr w:type="spellEnd"/>
      <w:r w:rsidR="006602C1" w:rsidRPr="00F07B5D">
        <w:rPr>
          <w:rFonts w:ascii="Arial" w:eastAsia="Calibri" w:hAnsi="Arial" w:cs="Arial"/>
          <w:snapToGrid w:val="0"/>
          <w:kern w:val="0"/>
          <w:lang w:eastAsia="en-US"/>
        </w:rPr>
        <w:t xml:space="preserve"> </w:t>
      </w:r>
      <w:r w:rsidR="006602C1" w:rsidRPr="00F07B5D">
        <w:rPr>
          <w:rFonts w:ascii="Arial" w:eastAsia="Calibri" w:hAnsi="Arial" w:cs="Arial"/>
          <w:b/>
          <w:bCs/>
          <w:snapToGrid w:val="0"/>
          <w:kern w:val="0"/>
          <w:lang w:eastAsia="en-US"/>
        </w:rPr>
        <w:t xml:space="preserve">(‘Mr </w:t>
      </w:r>
      <w:proofErr w:type="spellStart"/>
      <w:r w:rsidR="006602C1" w:rsidRPr="00F07B5D">
        <w:rPr>
          <w:rFonts w:ascii="Arial" w:eastAsia="Calibri" w:hAnsi="Arial" w:cs="Arial"/>
          <w:b/>
          <w:bCs/>
          <w:snapToGrid w:val="0"/>
          <w:kern w:val="0"/>
          <w:lang w:eastAsia="en-US"/>
        </w:rPr>
        <w:t>Booysen</w:t>
      </w:r>
      <w:proofErr w:type="spellEnd"/>
      <w:r w:rsidR="006602C1" w:rsidRPr="00F07B5D">
        <w:rPr>
          <w:rFonts w:ascii="Arial" w:eastAsia="Calibri" w:hAnsi="Arial" w:cs="Arial"/>
          <w:b/>
          <w:bCs/>
          <w:snapToGrid w:val="0"/>
          <w:kern w:val="0"/>
          <w:lang w:eastAsia="en-US"/>
        </w:rPr>
        <w:t>’)</w:t>
      </w:r>
      <w:r w:rsidR="009E2383" w:rsidRPr="00F07B5D">
        <w:rPr>
          <w:rFonts w:ascii="Arial" w:eastAsia="Calibri" w:hAnsi="Arial" w:cs="Arial"/>
          <w:b/>
          <w:bCs/>
          <w:snapToGrid w:val="0"/>
          <w:kern w:val="0"/>
          <w:lang w:eastAsia="en-US"/>
        </w:rPr>
        <w:t xml:space="preserve">.  </w:t>
      </w:r>
      <w:r w:rsidR="002B2AAB" w:rsidRPr="00F07B5D">
        <w:rPr>
          <w:rFonts w:ascii="Arial" w:hAnsi="Arial" w:cs="Arial"/>
        </w:rPr>
        <w:t xml:space="preserve">On 17 June 2021, the provisional order against Mr </w:t>
      </w:r>
      <w:proofErr w:type="spellStart"/>
      <w:r w:rsidR="002B2AAB" w:rsidRPr="00F07B5D">
        <w:rPr>
          <w:rFonts w:ascii="Arial" w:hAnsi="Arial" w:cs="Arial"/>
        </w:rPr>
        <w:t>Booysen</w:t>
      </w:r>
      <w:proofErr w:type="spellEnd"/>
      <w:r w:rsidR="002B2AAB" w:rsidRPr="00F07B5D">
        <w:rPr>
          <w:rFonts w:ascii="Arial" w:hAnsi="Arial" w:cs="Arial"/>
        </w:rPr>
        <w:t xml:space="preserve"> was confirmed.</w:t>
      </w:r>
    </w:p>
    <w:p w14:paraId="4F8AE618" w14:textId="1507135B" w:rsidR="009E2383" w:rsidRPr="00F07B5D" w:rsidRDefault="00F07B5D" w:rsidP="00F07B5D">
      <w:pPr>
        <w:spacing w:line="480" w:lineRule="auto"/>
        <w:ind w:left="550" w:hanging="550"/>
        <w:rPr>
          <w:rFonts w:ascii="Arial" w:hAnsi="Arial" w:cs="Arial"/>
        </w:rPr>
      </w:pPr>
      <w:r w:rsidRPr="00593E00">
        <w:rPr>
          <w:rFonts w:ascii="Arial" w:hAnsi="Arial" w:cs="Arial"/>
        </w:rPr>
        <w:t>5.</w:t>
      </w:r>
      <w:r w:rsidRPr="00593E00">
        <w:rPr>
          <w:rFonts w:ascii="Arial" w:hAnsi="Arial" w:cs="Arial"/>
        </w:rPr>
        <w:tab/>
      </w:r>
      <w:r w:rsidR="006660A5" w:rsidRPr="00F07B5D">
        <w:rPr>
          <w:rFonts w:ascii="Arial" w:eastAsia="Calibri" w:hAnsi="Arial" w:cs="Arial"/>
          <w:snapToGrid w:val="0"/>
          <w:kern w:val="0"/>
          <w:lang w:eastAsia="en-US"/>
        </w:rPr>
        <w:t xml:space="preserve">The following properties are listed as realisable </w:t>
      </w:r>
      <w:r w:rsidR="004A278C" w:rsidRPr="00F07B5D">
        <w:rPr>
          <w:rFonts w:ascii="Arial" w:eastAsia="Calibri" w:hAnsi="Arial" w:cs="Arial"/>
          <w:snapToGrid w:val="0"/>
          <w:kern w:val="0"/>
          <w:lang w:eastAsia="en-US"/>
        </w:rPr>
        <w:t>property</w:t>
      </w:r>
      <w:r w:rsidR="006660A5" w:rsidRPr="00F07B5D">
        <w:rPr>
          <w:rFonts w:ascii="Arial" w:eastAsia="Calibri" w:hAnsi="Arial" w:cs="Arial"/>
          <w:snapToGrid w:val="0"/>
          <w:kern w:val="0"/>
          <w:lang w:eastAsia="en-US"/>
        </w:rPr>
        <w:t xml:space="preserve"> </w:t>
      </w:r>
      <w:r w:rsidR="00F26624" w:rsidRPr="00F07B5D">
        <w:rPr>
          <w:rFonts w:ascii="Arial" w:eastAsia="Calibri" w:hAnsi="Arial" w:cs="Arial"/>
          <w:snapToGrid w:val="0"/>
          <w:kern w:val="0"/>
          <w:lang w:eastAsia="en-US"/>
        </w:rPr>
        <w:t xml:space="preserve">in respect of Mr </w:t>
      </w:r>
      <w:proofErr w:type="spellStart"/>
      <w:r w:rsidR="00F26624" w:rsidRPr="00F07B5D">
        <w:rPr>
          <w:rFonts w:ascii="Arial" w:eastAsia="Calibri" w:hAnsi="Arial" w:cs="Arial"/>
          <w:snapToGrid w:val="0"/>
          <w:kern w:val="0"/>
          <w:lang w:eastAsia="en-US"/>
        </w:rPr>
        <w:t>Booysen’s</w:t>
      </w:r>
      <w:proofErr w:type="spellEnd"/>
      <w:r w:rsidR="00F26624" w:rsidRPr="00F07B5D">
        <w:rPr>
          <w:rFonts w:ascii="Arial" w:eastAsia="Calibri" w:hAnsi="Arial" w:cs="Arial"/>
          <w:snapToGrid w:val="0"/>
          <w:kern w:val="0"/>
          <w:lang w:eastAsia="en-US"/>
        </w:rPr>
        <w:t xml:space="preserve"> restraint order</w:t>
      </w:r>
      <w:r w:rsidR="006660A5" w:rsidRPr="00F07B5D">
        <w:rPr>
          <w:rFonts w:ascii="Arial" w:eastAsia="Calibri" w:hAnsi="Arial" w:cs="Arial"/>
          <w:snapToGrid w:val="0"/>
          <w:kern w:val="0"/>
          <w:lang w:eastAsia="en-US"/>
        </w:rPr>
        <w:t>:</w:t>
      </w:r>
    </w:p>
    <w:p w14:paraId="0B6A3ECC" w14:textId="6C6BAAFC" w:rsidR="00593E00" w:rsidRPr="00F07B5D" w:rsidRDefault="00F07B5D" w:rsidP="00F07B5D">
      <w:pPr>
        <w:spacing w:line="480" w:lineRule="auto"/>
        <w:ind w:left="1430" w:hanging="880"/>
        <w:rPr>
          <w:rFonts w:ascii="Arial" w:eastAsia="Calibri" w:hAnsi="Arial" w:cs="Arial"/>
          <w:snapToGrid w:val="0"/>
          <w:kern w:val="0"/>
          <w:lang w:eastAsia="en-US"/>
        </w:rPr>
      </w:pPr>
      <w:r>
        <w:rPr>
          <w:rFonts w:ascii="Arial" w:eastAsia="Calibri" w:hAnsi="Arial" w:cs="Arial"/>
          <w:snapToGrid w:val="0"/>
          <w:kern w:val="0"/>
          <w:lang w:eastAsia="en-US"/>
        </w:rPr>
        <w:t>(</w:t>
      </w:r>
      <w:proofErr w:type="spellStart"/>
      <w:r>
        <w:rPr>
          <w:rFonts w:ascii="Arial" w:eastAsia="Calibri" w:hAnsi="Arial" w:cs="Arial"/>
          <w:snapToGrid w:val="0"/>
          <w:kern w:val="0"/>
          <w:lang w:eastAsia="en-US"/>
        </w:rPr>
        <w:t>i</w:t>
      </w:r>
      <w:proofErr w:type="spellEnd"/>
      <w:r>
        <w:rPr>
          <w:rFonts w:ascii="Arial" w:eastAsia="Calibri" w:hAnsi="Arial" w:cs="Arial"/>
          <w:snapToGrid w:val="0"/>
          <w:kern w:val="0"/>
          <w:lang w:eastAsia="en-US"/>
        </w:rPr>
        <w:t>)</w:t>
      </w:r>
      <w:r>
        <w:rPr>
          <w:rFonts w:ascii="Arial" w:eastAsia="Calibri" w:hAnsi="Arial" w:cs="Arial"/>
          <w:snapToGrid w:val="0"/>
          <w:kern w:val="0"/>
          <w:lang w:eastAsia="en-US"/>
        </w:rPr>
        <w:tab/>
      </w:r>
      <w:r w:rsidR="00593E00" w:rsidRPr="00F07B5D">
        <w:rPr>
          <w:rFonts w:ascii="Arial" w:eastAsia="Calibri" w:hAnsi="Arial" w:cs="Arial"/>
          <w:snapToGrid w:val="0"/>
          <w:kern w:val="0"/>
          <w:lang w:eastAsia="en-US"/>
        </w:rPr>
        <w:t xml:space="preserve">the remainder of Erf </w:t>
      </w:r>
      <w:r w:rsidR="00560438">
        <w:rPr>
          <w:rFonts w:ascii="Arial" w:eastAsia="Calibri" w:hAnsi="Arial" w:cs="Arial"/>
          <w:snapToGrid w:val="0"/>
          <w:kern w:val="0"/>
          <w:lang w:eastAsia="en-US"/>
        </w:rPr>
        <w:t>[…]</w:t>
      </w:r>
      <w:r w:rsidR="00593E00" w:rsidRPr="00F07B5D">
        <w:rPr>
          <w:rFonts w:ascii="Arial" w:eastAsia="Calibri" w:hAnsi="Arial" w:cs="Arial"/>
          <w:snapToGrid w:val="0"/>
          <w:kern w:val="0"/>
          <w:lang w:eastAsia="en-US"/>
        </w:rPr>
        <w:t xml:space="preserve"> </w:t>
      </w:r>
      <w:proofErr w:type="spellStart"/>
      <w:r w:rsidR="00593E00" w:rsidRPr="00F07B5D">
        <w:rPr>
          <w:rFonts w:ascii="Arial" w:eastAsia="Calibri" w:hAnsi="Arial" w:cs="Arial"/>
          <w:snapToGrid w:val="0"/>
          <w:kern w:val="0"/>
          <w:lang w:eastAsia="en-US"/>
        </w:rPr>
        <w:t>Eerste</w:t>
      </w:r>
      <w:proofErr w:type="spellEnd"/>
      <w:r w:rsidR="00593E00" w:rsidRPr="00F07B5D">
        <w:rPr>
          <w:rFonts w:ascii="Arial" w:eastAsia="Calibri" w:hAnsi="Arial" w:cs="Arial"/>
          <w:snapToGrid w:val="0"/>
          <w:kern w:val="0"/>
          <w:lang w:eastAsia="en-US"/>
        </w:rPr>
        <w:t xml:space="preserve"> River in the City of Cape Town, Stellenbosch Division, Western Cape Province which is owned by Albatross Isle Trade (Pty) Ltd </w:t>
      </w:r>
      <w:r w:rsidR="00593E00" w:rsidRPr="00F07B5D">
        <w:rPr>
          <w:rFonts w:ascii="Arial" w:eastAsia="Calibri" w:hAnsi="Arial" w:cs="Arial"/>
          <w:b/>
          <w:bCs/>
          <w:snapToGrid w:val="0"/>
          <w:kern w:val="0"/>
          <w:lang w:eastAsia="en-US"/>
        </w:rPr>
        <w:t xml:space="preserve">(‘Erf </w:t>
      </w:r>
      <w:r w:rsidR="00560438">
        <w:rPr>
          <w:rFonts w:ascii="Arial" w:eastAsia="Calibri" w:hAnsi="Arial" w:cs="Arial"/>
          <w:b/>
          <w:bCs/>
          <w:snapToGrid w:val="0"/>
          <w:kern w:val="0"/>
          <w:lang w:eastAsia="en-US"/>
        </w:rPr>
        <w:t>[…]</w:t>
      </w:r>
      <w:r w:rsidR="00593E00" w:rsidRPr="00F07B5D">
        <w:rPr>
          <w:rFonts w:ascii="Arial" w:eastAsia="Calibri" w:hAnsi="Arial" w:cs="Arial"/>
          <w:b/>
          <w:bCs/>
          <w:snapToGrid w:val="0"/>
          <w:kern w:val="0"/>
          <w:lang w:eastAsia="en-US"/>
        </w:rPr>
        <w:t>’)</w:t>
      </w:r>
      <w:r w:rsidR="00593E00" w:rsidRPr="00F07B5D">
        <w:rPr>
          <w:rFonts w:ascii="Arial" w:eastAsia="Calibri" w:hAnsi="Arial" w:cs="Arial"/>
          <w:snapToGrid w:val="0"/>
          <w:kern w:val="0"/>
          <w:lang w:eastAsia="en-US"/>
        </w:rPr>
        <w:t>;</w:t>
      </w:r>
    </w:p>
    <w:p w14:paraId="05F7E0A5" w14:textId="14B6F007" w:rsidR="00593E00" w:rsidRPr="00F07B5D" w:rsidRDefault="00F07B5D" w:rsidP="00F07B5D">
      <w:pPr>
        <w:spacing w:line="480" w:lineRule="auto"/>
        <w:ind w:left="1430" w:hanging="880"/>
        <w:rPr>
          <w:rFonts w:ascii="Arial" w:hAnsi="Arial" w:cs="Arial"/>
        </w:rPr>
      </w:pPr>
      <w:r w:rsidRPr="00593E00">
        <w:rPr>
          <w:rFonts w:ascii="Arial" w:hAnsi="Arial" w:cs="Arial"/>
        </w:rPr>
        <w:t>(ii)</w:t>
      </w:r>
      <w:r w:rsidRPr="00593E00">
        <w:rPr>
          <w:rFonts w:ascii="Arial" w:hAnsi="Arial" w:cs="Arial"/>
        </w:rPr>
        <w:tab/>
      </w:r>
      <w:r w:rsidR="00593E00" w:rsidRPr="00F07B5D">
        <w:rPr>
          <w:rFonts w:ascii="Arial" w:eastAsia="Calibri" w:hAnsi="Arial" w:cs="Arial"/>
          <w:snapToGrid w:val="0"/>
          <w:kern w:val="0"/>
          <w:lang w:eastAsia="en-US"/>
        </w:rPr>
        <w:t xml:space="preserve">Erf </w:t>
      </w:r>
      <w:r w:rsidR="00560438">
        <w:rPr>
          <w:rFonts w:ascii="Arial" w:eastAsia="Calibri" w:hAnsi="Arial" w:cs="Arial"/>
          <w:snapToGrid w:val="0"/>
          <w:kern w:val="0"/>
          <w:lang w:eastAsia="en-US"/>
        </w:rPr>
        <w:t>[…]</w:t>
      </w:r>
      <w:r w:rsidR="00593E00" w:rsidRPr="00F07B5D">
        <w:rPr>
          <w:rFonts w:ascii="Arial" w:eastAsia="Calibri" w:hAnsi="Arial" w:cs="Arial"/>
          <w:snapToGrid w:val="0"/>
          <w:kern w:val="0"/>
          <w:lang w:eastAsia="en-US"/>
        </w:rPr>
        <w:t xml:space="preserve"> Wellington Municipality, Paarl Division, Western Cape Province which is owned by Albatross Isle Trade (Pty) Ltd </w:t>
      </w:r>
      <w:r w:rsidR="00593E00" w:rsidRPr="00F07B5D">
        <w:rPr>
          <w:rFonts w:ascii="Arial" w:eastAsia="Calibri" w:hAnsi="Arial" w:cs="Arial"/>
          <w:b/>
          <w:bCs/>
          <w:snapToGrid w:val="0"/>
          <w:kern w:val="0"/>
          <w:lang w:eastAsia="en-US"/>
        </w:rPr>
        <w:t xml:space="preserve">(‘Erf </w:t>
      </w:r>
      <w:r w:rsidR="00560438">
        <w:rPr>
          <w:rFonts w:ascii="Arial" w:eastAsia="Calibri" w:hAnsi="Arial" w:cs="Arial"/>
          <w:b/>
          <w:bCs/>
          <w:snapToGrid w:val="0"/>
          <w:kern w:val="0"/>
          <w:lang w:eastAsia="en-US"/>
        </w:rPr>
        <w:t>[…]</w:t>
      </w:r>
      <w:r w:rsidR="00593E00" w:rsidRPr="00F07B5D">
        <w:rPr>
          <w:rFonts w:ascii="Arial" w:eastAsia="Calibri" w:hAnsi="Arial" w:cs="Arial"/>
          <w:b/>
          <w:bCs/>
          <w:snapToGrid w:val="0"/>
          <w:kern w:val="0"/>
          <w:lang w:eastAsia="en-US"/>
        </w:rPr>
        <w:t>’)</w:t>
      </w:r>
      <w:r w:rsidR="00593E00" w:rsidRPr="00F07B5D">
        <w:rPr>
          <w:rFonts w:ascii="Arial" w:eastAsia="Calibri" w:hAnsi="Arial" w:cs="Arial"/>
          <w:snapToGrid w:val="0"/>
          <w:kern w:val="0"/>
          <w:lang w:eastAsia="en-US"/>
        </w:rPr>
        <w:t>; and</w:t>
      </w:r>
    </w:p>
    <w:p w14:paraId="11894AC1" w14:textId="5DB9828F" w:rsidR="00593E00" w:rsidRPr="00F07B5D" w:rsidRDefault="00F07B5D" w:rsidP="00F07B5D">
      <w:pPr>
        <w:spacing w:line="480" w:lineRule="auto"/>
        <w:ind w:left="1430" w:hanging="880"/>
        <w:rPr>
          <w:rFonts w:ascii="Arial" w:hAnsi="Arial" w:cs="Arial"/>
        </w:rPr>
      </w:pPr>
      <w:r w:rsidRPr="00593E00">
        <w:rPr>
          <w:rFonts w:ascii="Arial" w:hAnsi="Arial" w:cs="Arial"/>
        </w:rPr>
        <w:t>(iii)</w:t>
      </w:r>
      <w:r w:rsidRPr="00593E00">
        <w:rPr>
          <w:rFonts w:ascii="Arial" w:hAnsi="Arial" w:cs="Arial"/>
        </w:rPr>
        <w:tab/>
      </w:r>
      <w:r w:rsidR="00593E00" w:rsidRPr="00F07B5D">
        <w:rPr>
          <w:rFonts w:ascii="Arial" w:eastAsia="Calibri" w:hAnsi="Arial" w:cs="Arial"/>
          <w:snapToGrid w:val="0"/>
          <w:kern w:val="0"/>
          <w:lang w:eastAsia="en-US"/>
        </w:rPr>
        <w:t xml:space="preserve">Erf </w:t>
      </w:r>
      <w:r w:rsidR="00560438">
        <w:rPr>
          <w:rFonts w:ascii="Arial" w:eastAsia="Calibri" w:hAnsi="Arial" w:cs="Arial"/>
          <w:snapToGrid w:val="0"/>
          <w:kern w:val="0"/>
          <w:lang w:eastAsia="en-US"/>
        </w:rPr>
        <w:t>[…]</w:t>
      </w:r>
      <w:r w:rsidR="00593E00" w:rsidRPr="00F07B5D">
        <w:rPr>
          <w:rFonts w:ascii="Arial" w:eastAsia="Calibri" w:hAnsi="Arial" w:cs="Arial"/>
          <w:snapToGrid w:val="0"/>
          <w:kern w:val="0"/>
          <w:lang w:eastAsia="en-US"/>
        </w:rPr>
        <w:t xml:space="preserve"> Bellville in the City of Cape Town, Cape Division, Western Province which is owned by Jerome and Tina </w:t>
      </w:r>
      <w:proofErr w:type="spellStart"/>
      <w:r w:rsidR="00593E00" w:rsidRPr="00F07B5D">
        <w:rPr>
          <w:rFonts w:ascii="Arial" w:eastAsia="Calibri" w:hAnsi="Arial" w:cs="Arial"/>
          <w:snapToGrid w:val="0"/>
          <w:kern w:val="0"/>
          <w:lang w:eastAsia="en-US"/>
        </w:rPr>
        <w:t>Booysen</w:t>
      </w:r>
      <w:proofErr w:type="spellEnd"/>
      <w:r w:rsidR="00593E00" w:rsidRPr="00F07B5D">
        <w:rPr>
          <w:rFonts w:ascii="Arial" w:eastAsia="Calibri" w:hAnsi="Arial" w:cs="Arial"/>
          <w:snapToGrid w:val="0"/>
          <w:kern w:val="0"/>
          <w:lang w:eastAsia="en-US"/>
        </w:rPr>
        <w:t xml:space="preserve"> </w:t>
      </w:r>
      <w:r w:rsidR="00593E00" w:rsidRPr="00F07B5D">
        <w:rPr>
          <w:rFonts w:ascii="Arial" w:eastAsia="Calibri" w:hAnsi="Arial" w:cs="Arial"/>
          <w:b/>
          <w:bCs/>
          <w:snapToGrid w:val="0"/>
          <w:kern w:val="0"/>
          <w:lang w:eastAsia="en-US"/>
        </w:rPr>
        <w:t xml:space="preserve">(‘Erf </w:t>
      </w:r>
      <w:bookmarkStart w:id="0" w:name="_GoBack"/>
      <w:r w:rsidR="00560438">
        <w:rPr>
          <w:rFonts w:ascii="Arial" w:eastAsia="Calibri" w:hAnsi="Arial" w:cs="Arial"/>
          <w:b/>
          <w:bCs/>
          <w:snapToGrid w:val="0"/>
          <w:kern w:val="0"/>
          <w:lang w:eastAsia="en-US"/>
        </w:rPr>
        <w:t>[…]</w:t>
      </w:r>
      <w:bookmarkEnd w:id="0"/>
      <w:r w:rsidR="00593E00" w:rsidRPr="00F07B5D">
        <w:rPr>
          <w:rFonts w:ascii="Arial" w:eastAsia="Calibri" w:hAnsi="Arial" w:cs="Arial"/>
          <w:b/>
          <w:bCs/>
          <w:snapToGrid w:val="0"/>
          <w:kern w:val="0"/>
          <w:lang w:eastAsia="en-US"/>
        </w:rPr>
        <w:t>’)</w:t>
      </w:r>
      <w:r w:rsidR="00593E00" w:rsidRPr="00F07B5D">
        <w:rPr>
          <w:rFonts w:ascii="Arial" w:eastAsia="Calibri" w:hAnsi="Arial" w:cs="Arial"/>
          <w:snapToGrid w:val="0"/>
          <w:kern w:val="0"/>
          <w:lang w:eastAsia="en-US"/>
        </w:rPr>
        <w:t>.</w:t>
      </w:r>
      <w:r w:rsidR="00D07ACB">
        <w:rPr>
          <w:rStyle w:val="FootnoteReference"/>
          <w:rFonts w:ascii="Arial" w:eastAsia="Calibri" w:hAnsi="Arial" w:cs="Arial"/>
          <w:snapToGrid w:val="0"/>
          <w:kern w:val="0"/>
          <w:lang w:eastAsia="en-US"/>
        </w:rPr>
        <w:footnoteReference w:id="5"/>
      </w:r>
    </w:p>
    <w:p w14:paraId="4D652C7E" w14:textId="1BE77D6B" w:rsidR="00B318B6" w:rsidRPr="00B318B6" w:rsidRDefault="00B318B6" w:rsidP="00B318B6">
      <w:pPr>
        <w:spacing w:line="480" w:lineRule="auto"/>
        <w:rPr>
          <w:rFonts w:ascii="Arial" w:hAnsi="Arial" w:cs="Arial"/>
          <w:b/>
          <w:bCs/>
          <w:kern w:val="0"/>
          <w:u w:val="single"/>
          <w:lang w:eastAsia="en-GB"/>
        </w:rPr>
      </w:pPr>
      <w:r>
        <w:rPr>
          <w:rFonts w:ascii="Arial" w:hAnsi="Arial" w:cs="Arial"/>
          <w:b/>
          <w:bCs/>
          <w:kern w:val="0"/>
          <w:u w:val="single"/>
          <w:lang w:eastAsia="en-GB"/>
        </w:rPr>
        <w:t>Background</w:t>
      </w:r>
    </w:p>
    <w:p w14:paraId="276497FA" w14:textId="2C17A776" w:rsidR="00CE53FB" w:rsidRPr="00F07B5D" w:rsidRDefault="00F07B5D" w:rsidP="00F07B5D">
      <w:pPr>
        <w:spacing w:line="480" w:lineRule="auto"/>
        <w:ind w:left="550" w:hanging="550"/>
        <w:rPr>
          <w:rFonts w:ascii="Arial" w:hAnsi="Arial" w:cs="Arial"/>
          <w:color w:val="64473A"/>
          <w:kern w:val="0"/>
          <w:sz w:val="36"/>
          <w:szCs w:val="36"/>
          <w:lang w:eastAsia="en-GB"/>
        </w:rPr>
      </w:pPr>
      <w:r w:rsidRPr="00D60BB0">
        <w:rPr>
          <w:rFonts w:ascii="Arial" w:hAnsi="Arial" w:cs="Arial"/>
          <w:kern w:val="0"/>
          <w:szCs w:val="36"/>
          <w:lang w:eastAsia="en-GB"/>
        </w:rPr>
        <w:t>6.</w:t>
      </w:r>
      <w:r w:rsidRPr="00D60BB0">
        <w:rPr>
          <w:rFonts w:ascii="Arial" w:hAnsi="Arial" w:cs="Arial"/>
          <w:kern w:val="0"/>
          <w:szCs w:val="36"/>
          <w:lang w:eastAsia="en-GB"/>
        </w:rPr>
        <w:tab/>
      </w:r>
      <w:r w:rsidR="00D60BB0" w:rsidRPr="00F07B5D">
        <w:rPr>
          <w:rFonts w:ascii="Arial" w:eastAsia="Calibri" w:hAnsi="Arial" w:cs="Arial"/>
          <w:snapToGrid w:val="0"/>
          <w:kern w:val="0"/>
          <w:lang w:eastAsia="en-US"/>
        </w:rPr>
        <w:t>In this application, the</w:t>
      </w:r>
      <w:r w:rsidR="00F61039" w:rsidRPr="00F07B5D">
        <w:rPr>
          <w:rFonts w:ascii="Arial" w:eastAsia="Calibri" w:hAnsi="Arial" w:cs="Arial"/>
          <w:snapToGrid w:val="0"/>
          <w:kern w:val="0"/>
          <w:lang w:eastAsia="en-US"/>
        </w:rPr>
        <w:t xml:space="preserve"> </w:t>
      </w:r>
      <w:r w:rsidR="00D07ACB" w:rsidRPr="00F07B5D">
        <w:rPr>
          <w:rFonts w:ascii="Arial" w:eastAsia="Calibri" w:hAnsi="Arial" w:cs="Arial"/>
          <w:snapToGrid w:val="0"/>
          <w:kern w:val="0"/>
          <w:lang w:eastAsia="en-US"/>
        </w:rPr>
        <w:t xml:space="preserve">applicant, Matthew Winston Heath Jack </w:t>
      </w:r>
      <w:r w:rsidR="00D07ACB" w:rsidRPr="00F07B5D">
        <w:rPr>
          <w:rFonts w:ascii="Arial" w:eastAsia="Calibri" w:hAnsi="Arial" w:cs="Arial"/>
          <w:b/>
          <w:bCs/>
          <w:snapToGrid w:val="0"/>
          <w:kern w:val="0"/>
          <w:lang w:eastAsia="en-US"/>
        </w:rPr>
        <w:t>(‘Mr Jack’)</w:t>
      </w:r>
      <w:r w:rsidR="00D07ACB" w:rsidRPr="00F07B5D">
        <w:rPr>
          <w:rFonts w:ascii="Arial" w:eastAsia="Calibri" w:hAnsi="Arial" w:cs="Arial"/>
          <w:snapToGrid w:val="0"/>
          <w:kern w:val="0"/>
          <w:lang w:eastAsia="en-US"/>
        </w:rPr>
        <w:t xml:space="preserve"> </w:t>
      </w:r>
      <w:r w:rsidR="00D07ACB" w:rsidRPr="00F07B5D">
        <w:rPr>
          <w:rFonts w:ascii="Arial" w:eastAsia="Calibri" w:hAnsi="Arial" w:cs="Arial"/>
          <w:snapToGrid w:val="0"/>
          <w:kern w:val="0"/>
          <w:lang w:eastAsia="en-US"/>
        </w:rPr>
        <w:lastRenderedPageBreak/>
        <w:t xml:space="preserve">seeks leave to </w:t>
      </w:r>
      <w:r w:rsidR="00B318B6" w:rsidRPr="00F07B5D">
        <w:rPr>
          <w:rFonts w:ascii="Arial" w:eastAsia="Calibri" w:hAnsi="Arial" w:cs="Arial"/>
          <w:snapToGrid w:val="0"/>
          <w:kern w:val="0"/>
          <w:lang w:eastAsia="en-US"/>
        </w:rPr>
        <w:t>have</w:t>
      </w:r>
      <w:r w:rsidR="00D07ACB" w:rsidRPr="00F07B5D">
        <w:rPr>
          <w:rFonts w:ascii="Arial" w:eastAsia="Calibri" w:hAnsi="Arial" w:cs="Arial"/>
          <w:snapToGrid w:val="0"/>
          <w:kern w:val="0"/>
          <w:lang w:eastAsia="en-US"/>
        </w:rPr>
        <w:t xml:space="preserve"> surety mortgage bonds registered over the properties</w:t>
      </w:r>
      <w:r w:rsidR="001B58D9" w:rsidRPr="00F07B5D">
        <w:rPr>
          <w:rFonts w:ascii="Arial" w:eastAsia="Calibri" w:hAnsi="Arial" w:cs="Arial"/>
          <w:snapToGrid w:val="0"/>
          <w:kern w:val="0"/>
          <w:lang w:eastAsia="en-US"/>
        </w:rPr>
        <w:t>.</w:t>
      </w:r>
      <w:r w:rsidR="00D60BB0" w:rsidRPr="00F07B5D">
        <w:rPr>
          <w:rFonts w:ascii="Arial" w:eastAsia="Calibri" w:hAnsi="Arial" w:cs="Arial"/>
          <w:snapToGrid w:val="0"/>
          <w:kern w:val="0"/>
          <w:lang w:eastAsia="en-US"/>
        </w:rPr>
        <w:t xml:space="preserve">  The application is opposed by the NDPP.</w:t>
      </w:r>
    </w:p>
    <w:p w14:paraId="612415B6" w14:textId="3A67D79A" w:rsidR="00D60BB0" w:rsidRPr="00F07B5D" w:rsidRDefault="00F07B5D" w:rsidP="00F07B5D">
      <w:pPr>
        <w:spacing w:line="480" w:lineRule="auto"/>
        <w:ind w:left="550" w:hanging="550"/>
        <w:rPr>
          <w:rFonts w:ascii="Arial" w:hAnsi="Arial" w:cs="Arial"/>
        </w:rPr>
      </w:pPr>
      <w:r>
        <w:rPr>
          <w:rFonts w:ascii="Arial" w:hAnsi="Arial" w:cs="Arial"/>
        </w:rPr>
        <w:t>7.</w:t>
      </w:r>
      <w:r>
        <w:rPr>
          <w:rFonts w:ascii="Arial" w:hAnsi="Arial" w:cs="Arial"/>
        </w:rPr>
        <w:tab/>
      </w:r>
      <w:r w:rsidR="00D60BB0" w:rsidRPr="00F07B5D">
        <w:rPr>
          <w:rFonts w:ascii="Arial" w:hAnsi="Arial" w:cs="Arial"/>
        </w:rPr>
        <w:t>Mr Jack</w:t>
      </w:r>
      <w:r w:rsidR="00B74A0C" w:rsidRPr="00F07B5D">
        <w:rPr>
          <w:rFonts w:ascii="Arial" w:hAnsi="Arial" w:cs="Arial"/>
        </w:rPr>
        <w:t xml:space="preserve"> graduated with a Bachelor of Business Science Honours degree and</w:t>
      </w:r>
      <w:r w:rsidR="00D60BB0" w:rsidRPr="00F07B5D">
        <w:rPr>
          <w:rFonts w:ascii="Arial" w:hAnsi="Arial" w:cs="Arial"/>
        </w:rPr>
        <w:t xml:space="preserve"> is a qualified Chartered Financial </w:t>
      </w:r>
      <w:r w:rsidR="00B74A0C" w:rsidRPr="00F07B5D">
        <w:rPr>
          <w:rFonts w:ascii="Arial" w:hAnsi="Arial" w:cs="Arial"/>
        </w:rPr>
        <w:t>Analysist.  He describes himself as an entrepreneur at heart.  He has on a number of occasions extended bridging-type finance to a variety of entrepreneurs in need of quick cash</w:t>
      </w:r>
      <w:r w:rsidR="00D42D75" w:rsidRPr="00F07B5D">
        <w:rPr>
          <w:rFonts w:ascii="Arial" w:hAnsi="Arial" w:cs="Arial"/>
        </w:rPr>
        <w:t xml:space="preserve">.  </w:t>
      </w:r>
    </w:p>
    <w:p w14:paraId="3BCD5C54" w14:textId="2D82A1EB" w:rsidR="00D42D75" w:rsidRPr="00F07B5D" w:rsidRDefault="00F07B5D" w:rsidP="00F07B5D">
      <w:pPr>
        <w:spacing w:line="480" w:lineRule="auto"/>
        <w:ind w:left="550" w:hanging="550"/>
        <w:rPr>
          <w:rFonts w:ascii="Arial" w:hAnsi="Arial" w:cs="Arial"/>
        </w:rPr>
      </w:pPr>
      <w:r>
        <w:rPr>
          <w:rFonts w:ascii="Arial" w:hAnsi="Arial" w:cs="Arial"/>
        </w:rPr>
        <w:t>8.</w:t>
      </w:r>
      <w:r>
        <w:rPr>
          <w:rFonts w:ascii="Arial" w:hAnsi="Arial" w:cs="Arial"/>
        </w:rPr>
        <w:tab/>
      </w:r>
      <w:r w:rsidR="00D42D75" w:rsidRPr="00F07B5D">
        <w:rPr>
          <w:rFonts w:ascii="Arial" w:hAnsi="Arial" w:cs="Arial"/>
        </w:rPr>
        <w:t xml:space="preserve">Towards the end of July 2020, Mr </w:t>
      </w:r>
      <w:proofErr w:type="spellStart"/>
      <w:r w:rsidR="00D42D75" w:rsidRPr="00F07B5D">
        <w:rPr>
          <w:rFonts w:ascii="Arial" w:hAnsi="Arial" w:cs="Arial"/>
        </w:rPr>
        <w:t>Booysen</w:t>
      </w:r>
      <w:proofErr w:type="spellEnd"/>
      <w:r w:rsidR="00D42D75" w:rsidRPr="00F07B5D">
        <w:rPr>
          <w:rFonts w:ascii="Arial" w:hAnsi="Arial" w:cs="Arial"/>
        </w:rPr>
        <w:t xml:space="preserve"> approached Mr Jack with a business proposal</w:t>
      </w:r>
      <w:r w:rsidR="00AC7CC5" w:rsidRPr="00F07B5D">
        <w:rPr>
          <w:rFonts w:ascii="Arial" w:hAnsi="Arial" w:cs="Arial"/>
        </w:rPr>
        <w:t xml:space="preserve"> pertaining to the procurement of non-ventilated masks.</w:t>
      </w:r>
      <w:r w:rsidR="00D42D75" w:rsidRPr="00F07B5D">
        <w:rPr>
          <w:rFonts w:ascii="Arial" w:hAnsi="Arial" w:cs="Arial"/>
        </w:rPr>
        <w:t xml:space="preserve">  Mr </w:t>
      </w:r>
      <w:proofErr w:type="spellStart"/>
      <w:r w:rsidR="00D42D75" w:rsidRPr="00F07B5D">
        <w:rPr>
          <w:rFonts w:ascii="Arial" w:hAnsi="Arial" w:cs="Arial"/>
        </w:rPr>
        <w:t>Booysen</w:t>
      </w:r>
      <w:proofErr w:type="spellEnd"/>
      <w:r w:rsidR="00D42D75" w:rsidRPr="00F07B5D">
        <w:rPr>
          <w:rFonts w:ascii="Arial" w:hAnsi="Arial" w:cs="Arial"/>
        </w:rPr>
        <w:t xml:space="preserve">, together with a Mr Denver </w:t>
      </w:r>
      <w:proofErr w:type="spellStart"/>
      <w:r w:rsidR="00D42D75" w:rsidRPr="00F07B5D">
        <w:rPr>
          <w:rFonts w:ascii="Arial" w:hAnsi="Arial" w:cs="Arial"/>
        </w:rPr>
        <w:t>Langenhoven</w:t>
      </w:r>
      <w:proofErr w:type="spellEnd"/>
      <w:r w:rsidR="00D42D75" w:rsidRPr="00F07B5D">
        <w:rPr>
          <w:rFonts w:ascii="Arial" w:hAnsi="Arial" w:cs="Arial"/>
        </w:rPr>
        <w:t xml:space="preserve"> and Mr </w:t>
      </w:r>
      <w:proofErr w:type="spellStart"/>
      <w:r w:rsidR="00D42D75" w:rsidRPr="00F07B5D">
        <w:rPr>
          <w:rFonts w:ascii="Arial" w:hAnsi="Arial" w:cs="Arial"/>
        </w:rPr>
        <w:t>Langenhoven’s</w:t>
      </w:r>
      <w:proofErr w:type="spellEnd"/>
      <w:r w:rsidR="00D42D75" w:rsidRPr="00F07B5D">
        <w:rPr>
          <w:rFonts w:ascii="Arial" w:hAnsi="Arial" w:cs="Arial"/>
        </w:rPr>
        <w:t xml:space="preserve"> entity</w:t>
      </w:r>
      <w:r w:rsidR="00DF34DD" w:rsidRPr="00F07B5D">
        <w:rPr>
          <w:rFonts w:ascii="Arial" w:hAnsi="Arial" w:cs="Arial"/>
        </w:rPr>
        <w:t xml:space="preserve">, the </w:t>
      </w:r>
      <w:proofErr w:type="spellStart"/>
      <w:r w:rsidR="00DF34DD" w:rsidRPr="00F07B5D">
        <w:rPr>
          <w:rFonts w:ascii="Arial" w:hAnsi="Arial" w:cs="Arial"/>
        </w:rPr>
        <w:t>Dexavision</w:t>
      </w:r>
      <w:proofErr w:type="spellEnd"/>
      <w:r w:rsidR="00DF34DD" w:rsidRPr="00F07B5D">
        <w:rPr>
          <w:rFonts w:ascii="Arial" w:hAnsi="Arial" w:cs="Arial"/>
        </w:rPr>
        <w:t xml:space="preserve"> Pty (Ltd)</w:t>
      </w:r>
      <w:r w:rsidR="00DF34DD">
        <w:rPr>
          <w:rStyle w:val="FootnoteReference"/>
          <w:rFonts w:ascii="Arial" w:hAnsi="Arial" w:cs="Arial"/>
        </w:rPr>
        <w:footnoteReference w:id="6"/>
      </w:r>
      <w:r w:rsidR="00DF34DD" w:rsidRPr="00F07B5D">
        <w:rPr>
          <w:rFonts w:ascii="Arial" w:hAnsi="Arial" w:cs="Arial"/>
        </w:rPr>
        <w:t xml:space="preserve"> </w:t>
      </w:r>
      <w:r w:rsidR="00B93757" w:rsidRPr="00F07B5D">
        <w:rPr>
          <w:rFonts w:ascii="Arial" w:hAnsi="Arial" w:cs="Arial"/>
        </w:rPr>
        <w:t>had</w:t>
      </w:r>
      <w:r w:rsidR="00DF34DD" w:rsidRPr="00F07B5D">
        <w:rPr>
          <w:rFonts w:ascii="Arial" w:hAnsi="Arial" w:cs="Arial"/>
        </w:rPr>
        <w:t xml:space="preserve"> </w:t>
      </w:r>
      <w:r w:rsidR="00E40979" w:rsidRPr="00F07B5D">
        <w:rPr>
          <w:rFonts w:ascii="Arial" w:hAnsi="Arial" w:cs="Arial"/>
        </w:rPr>
        <w:t xml:space="preserve">the </w:t>
      </w:r>
      <w:r w:rsidR="00DF34DD" w:rsidRPr="00F07B5D">
        <w:rPr>
          <w:rFonts w:ascii="Arial" w:hAnsi="Arial" w:cs="Arial"/>
        </w:rPr>
        <w:t>opportunity to procure non-ventilated masks but they required finance.</w:t>
      </w:r>
      <w:r w:rsidR="00250B94" w:rsidRPr="00F07B5D">
        <w:rPr>
          <w:rFonts w:ascii="Arial" w:hAnsi="Arial" w:cs="Arial"/>
        </w:rPr>
        <w:t xml:space="preserve">  </w:t>
      </w:r>
      <w:r w:rsidR="00B93757" w:rsidRPr="00F07B5D">
        <w:rPr>
          <w:rFonts w:ascii="Arial" w:hAnsi="Arial" w:cs="Arial"/>
        </w:rPr>
        <w:t xml:space="preserve">To secure the required finance, </w:t>
      </w:r>
      <w:r w:rsidR="00250B94" w:rsidRPr="00F07B5D">
        <w:rPr>
          <w:rFonts w:ascii="Arial" w:hAnsi="Arial" w:cs="Arial"/>
        </w:rPr>
        <w:t xml:space="preserve">Mr </w:t>
      </w:r>
      <w:proofErr w:type="spellStart"/>
      <w:r w:rsidR="00250B94" w:rsidRPr="00F07B5D">
        <w:rPr>
          <w:rFonts w:ascii="Arial" w:hAnsi="Arial" w:cs="Arial"/>
        </w:rPr>
        <w:t>Booysen</w:t>
      </w:r>
      <w:proofErr w:type="spellEnd"/>
      <w:r w:rsidR="00250B94" w:rsidRPr="00F07B5D">
        <w:rPr>
          <w:rFonts w:ascii="Arial" w:hAnsi="Arial" w:cs="Arial"/>
        </w:rPr>
        <w:t xml:space="preserve"> </w:t>
      </w:r>
      <w:r w:rsidR="00B93757" w:rsidRPr="00F07B5D">
        <w:rPr>
          <w:rFonts w:ascii="Arial" w:hAnsi="Arial" w:cs="Arial"/>
        </w:rPr>
        <w:t>offered</w:t>
      </w:r>
      <w:r w:rsidR="00250B94" w:rsidRPr="00F07B5D">
        <w:rPr>
          <w:rFonts w:ascii="Arial" w:hAnsi="Arial" w:cs="Arial"/>
        </w:rPr>
        <w:t xml:space="preserve"> a loan structure</w:t>
      </w:r>
      <w:r w:rsidR="00B93757" w:rsidRPr="00F07B5D">
        <w:rPr>
          <w:rFonts w:ascii="Arial" w:hAnsi="Arial" w:cs="Arial"/>
        </w:rPr>
        <w:t xml:space="preserve"> between Mr Jack and </w:t>
      </w:r>
      <w:proofErr w:type="spellStart"/>
      <w:r w:rsidR="00B93757" w:rsidRPr="00F07B5D">
        <w:rPr>
          <w:rFonts w:ascii="Arial" w:hAnsi="Arial" w:cs="Arial"/>
        </w:rPr>
        <w:t>Dexvision</w:t>
      </w:r>
      <w:proofErr w:type="spellEnd"/>
      <w:r w:rsidR="00B93757" w:rsidRPr="00F07B5D">
        <w:rPr>
          <w:rFonts w:ascii="Arial" w:hAnsi="Arial" w:cs="Arial"/>
        </w:rPr>
        <w:t xml:space="preserve"> Pty (Ltd)</w:t>
      </w:r>
      <w:r w:rsidR="00250B94" w:rsidRPr="00F07B5D">
        <w:rPr>
          <w:rFonts w:ascii="Arial" w:hAnsi="Arial" w:cs="Arial"/>
        </w:rPr>
        <w:t xml:space="preserve"> which included him standing personal surety and registering </w:t>
      </w:r>
      <w:r w:rsidR="00B90425" w:rsidRPr="00F07B5D">
        <w:rPr>
          <w:rFonts w:ascii="Arial" w:hAnsi="Arial" w:cs="Arial"/>
        </w:rPr>
        <w:t xml:space="preserve">mortgage </w:t>
      </w:r>
      <w:r w:rsidR="00250B94" w:rsidRPr="00F07B5D">
        <w:rPr>
          <w:rFonts w:ascii="Arial" w:hAnsi="Arial" w:cs="Arial"/>
        </w:rPr>
        <w:t>bonds over the properties.</w:t>
      </w:r>
    </w:p>
    <w:p w14:paraId="324A6E76" w14:textId="7597F307" w:rsidR="008712B1" w:rsidRPr="00F07B5D" w:rsidRDefault="00F07B5D" w:rsidP="00F07B5D">
      <w:pPr>
        <w:spacing w:line="480" w:lineRule="auto"/>
        <w:ind w:left="550" w:hanging="550"/>
        <w:rPr>
          <w:rFonts w:ascii="Arial" w:hAnsi="Arial" w:cs="Arial"/>
        </w:rPr>
      </w:pPr>
      <w:r>
        <w:rPr>
          <w:rFonts w:ascii="Arial" w:hAnsi="Arial" w:cs="Arial"/>
        </w:rPr>
        <w:t>9.</w:t>
      </w:r>
      <w:r>
        <w:rPr>
          <w:rFonts w:ascii="Arial" w:hAnsi="Arial" w:cs="Arial"/>
        </w:rPr>
        <w:tab/>
      </w:r>
      <w:r w:rsidR="008712B1" w:rsidRPr="00F07B5D">
        <w:rPr>
          <w:rFonts w:ascii="Arial" w:hAnsi="Arial" w:cs="Arial"/>
        </w:rPr>
        <w:t>On 3 August 2020, Mr Jack approached James Phillipson</w:t>
      </w:r>
      <w:r w:rsidR="006542B1" w:rsidRPr="00F07B5D">
        <w:rPr>
          <w:rFonts w:ascii="Arial" w:hAnsi="Arial" w:cs="Arial"/>
          <w:b/>
          <w:bCs/>
        </w:rPr>
        <w:t xml:space="preserve"> (‘Mr Phillipson’)</w:t>
      </w:r>
      <w:r w:rsidR="008712B1" w:rsidRPr="00F07B5D">
        <w:rPr>
          <w:rFonts w:ascii="Arial" w:hAnsi="Arial" w:cs="Arial"/>
        </w:rPr>
        <w:t xml:space="preserve"> of Smith </w:t>
      </w:r>
      <w:proofErr w:type="spellStart"/>
      <w:r w:rsidR="008712B1" w:rsidRPr="00F07B5D">
        <w:rPr>
          <w:rFonts w:ascii="Arial" w:hAnsi="Arial" w:cs="Arial"/>
        </w:rPr>
        <w:t>Tabata</w:t>
      </w:r>
      <w:proofErr w:type="spellEnd"/>
      <w:r w:rsidR="008712B1" w:rsidRPr="00F07B5D">
        <w:rPr>
          <w:rFonts w:ascii="Arial" w:hAnsi="Arial" w:cs="Arial"/>
        </w:rPr>
        <w:t xml:space="preserve"> Buchanan Boyes Attorneys </w:t>
      </w:r>
      <w:r w:rsidR="008712B1" w:rsidRPr="00F07B5D">
        <w:rPr>
          <w:rFonts w:ascii="Arial" w:hAnsi="Arial" w:cs="Arial"/>
          <w:b/>
          <w:bCs/>
        </w:rPr>
        <w:t xml:space="preserve">(‘STBB’) </w:t>
      </w:r>
      <w:r w:rsidR="006542B1" w:rsidRPr="00F07B5D">
        <w:rPr>
          <w:rFonts w:ascii="Arial" w:hAnsi="Arial" w:cs="Arial"/>
        </w:rPr>
        <w:t xml:space="preserve">who was mandated to prepare the paperwork </w:t>
      </w:r>
      <w:r w:rsidR="00922184" w:rsidRPr="00F07B5D">
        <w:rPr>
          <w:rFonts w:ascii="Arial" w:hAnsi="Arial" w:cs="Arial"/>
        </w:rPr>
        <w:t xml:space="preserve">pertaining to the loan agreement </w:t>
      </w:r>
      <w:r w:rsidR="006542B1" w:rsidRPr="00F07B5D">
        <w:rPr>
          <w:rFonts w:ascii="Arial" w:hAnsi="Arial" w:cs="Arial"/>
        </w:rPr>
        <w:t>and to do all things necessary to protect Mr Jack’s interests.</w:t>
      </w:r>
    </w:p>
    <w:p w14:paraId="750FFA0D" w14:textId="0371CB54" w:rsidR="006542B1" w:rsidRPr="00F07B5D" w:rsidRDefault="00F07B5D" w:rsidP="00F07B5D">
      <w:pPr>
        <w:spacing w:line="480" w:lineRule="auto"/>
        <w:ind w:left="550" w:hanging="550"/>
        <w:rPr>
          <w:rFonts w:ascii="Arial" w:hAnsi="Arial" w:cs="Arial"/>
        </w:rPr>
      </w:pPr>
      <w:r>
        <w:rPr>
          <w:rFonts w:ascii="Arial" w:hAnsi="Arial" w:cs="Arial"/>
        </w:rPr>
        <w:t>10.</w:t>
      </w:r>
      <w:r>
        <w:rPr>
          <w:rFonts w:ascii="Arial" w:hAnsi="Arial" w:cs="Arial"/>
        </w:rPr>
        <w:tab/>
      </w:r>
      <w:r w:rsidR="006542B1" w:rsidRPr="00F07B5D">
        <w:rPr>
          <w:rFonts w:ascii="Arial" w:hAnsi="Arial" w:cs="Arial"/>
        </w:rPr>
        <w:t>On 4 August Mr Phillipson emailed Mr Jack a list of the information and documents he required to prepare the necessary paperwork</w:t>
      </w:r>
      <w:r w:rsidR="00CF7533" w:rsidRPr="00F07B5D">
        <w:rPr>
          <w:rFonts w:ascii="Arial" w:hAnsi="Arial" w:cs="Arial"/>
        </w:rPr>
        <w:t>.  On 6 August 2020 communication between Mr Jack and Mr Phillipson ensued in terms whereof Mr Phillipson was to email Mr Jack the paperwork as soon as it was ready.</w:t>
      </w:r>
      <w:r w:rsidR="00CE1E0B" w:rsidRPr="00F07B5D">
        <w:rPr>
          <w:rFonts w:ascii="Arial" w:hAnsi="Arial" w:cs="Arial"/>
        </w:rPr>
        <w:t xml:space="preserve">  On 6 August 2020, an attorney from STBB met with Mr Jack, Mr </w:t>
      </w:r>
      <w:proofErr w:type="spellStart"/>
      <w:r w:rsidR="00CE1E0B" w:rsidRPr="00F07B5D">
        <w:rPr>
          <w:rFonts w:ascii="Arial" w:hAnsi="Arial" w:cs="Arial"/>
        </w:rPr>
        <w:t>Booysen</w:t>
      </w:r>
      <w:proofErr w:type="spellEnd"/>
      <w:r w:rsidR="00CE1E0B" w:rsidRPr="00F07B5D">
        <w:rPr>
          <w:rFonts w:ascii="Arial" w:hAnsi="Arial" w:cs="Arial"/>
        </w:rPr>
        <w:t xml:space="preserve"> and Mr </w:t>
      </w:r>
      <w:proofErr w:type="spellStart"/>
      <w:r w:rsidR="00CE1E0B" w:rsidRPr="00F07B5D">
        <w:rPr>
          <w:rFonts w:ascii="Arial" w:hAnsi="Arial" w:cs="Arial"/>
        </w:rPr>
        <w:t>Langenhoven</w:t>
      </w:r>
      <w:proofErr w:type="spellEnd"/>
      <w:r w:rsidR="00CE1E0B" w:rsidRPr="00F07B5D">
        <w:rPr>
          <w:rFonts w:ascii="Arial" w:hAnsi="Arial" w:cs="Arial"/>
        </w:rPr>
        <w:t xml:space="preserve"> to take them through each of the documents </w:t>
      </w:r>
      <w:r w:rsidR="00CE1E0B" w:rsidRPr="00F07B5D">
        <w:rPr>
          <w:rFonts w:ascii="Arial" w:hAnsi="Arial" w:cs="Arial"/>
        </w:rPr>
        <w:lastRenderedPageBreak/>
        <w:t xml:space="preserve">STBB had prepared.  </w:t>
      </w:r>
      <w:r w:rsidR="00F64F81" w:rsidRPr="00F07B5D">
        <w:rPr>
          <w:rFonts w:ascii="Arial" w:hAnsi="Arial" w:cs="Arial"/>
        </w:rPr>
        <w:t xml:space="preserve">After the attorney from STBB left with the signed documents, Mr Jack instructed his bankers to pay the agreed loan of R13.5 million to </w:t>
      </w:r>
      <w:proofErr w:type="spellStart"/>
      <w:r w:rsidR="00F64F81" w:rsidRPr="00F07B5D">
        <w:rPr>
          <w:rFonts w:ascii="Arial" w:hAnsi="Arial" w:cs="Arial"/>
        </w:rPr>
        <w:t>Dexavision</w:t>
      </w:r>
      <w:proofErr w:type="spellEnd"/>
      <w:r w:rsidR="00F64F81" w:rsidRPr="00F07B5D">
        <w:rPr>
          <w:rFonts w:ascii="Arial" w:hAnsi="Arial" w:cs="Arial"/>
        </w:rPr>
        <w:t xml:space="preserve"> Pty (Ltd).  As it was too late to process the payment, it was only done the following day on 7 August 2020.</w:t>
      </w:r>
    </w:p>
    <w:p w14:paraId="57F2E010" w14:textId="796DBDB5" w:rsidR="002832AB" w:rsidRPr="00F07B5D" w:rsidRDefault="00F07B5D" w:rsidP="00F07B5D">
      <w:pPr>
        <w:spacing w:line="480" w:lineRule="auto"/>
        <w:ind w:left="550" w:hanging="550"/>
        <w:rPr>
          <w:rFonts w:ascii="Arial" w:hAnsi="Arial" w:cs="Arial"/>
        </w:rPr>
      </w:pPr>
      <w:r>
        <w:rPr>
          <w:rFonts w:ascii="Arial" w:hAnsi="Arial" w:cs="Arial"/>
        </w:rPr>
        <w:t>11.</w:t>
      </w:r>
      <w:r>
        <w:rPr>
          <w:rFonts w:ascii="Arial" w:hAnsi="Arial" w:cs="Arial"/>
        </w:rPr>
        <w:tab/>
      </w:r>
      <w:r w:rsidR="002832AB" w:rsidRPr="00F07B5D">
        <w:rPr>
          <w:rFonts w:ascii="Arial" w:hAnsi="Arial" w:cs="Arial"/>
        </w:rPr>
        <w:t xml:space="preserve">The payment of R13.5. million was made to </w:t>
      </w:r>
      <w:proofErr w:type="spellStart"/>
      <w:r w:rsidR="00922184" w:rsidRPr="00F07B5D">
        <w:rPr>
          <w:rFonts w:ascii="Arial" w:hAnsi="Arial" w:cs="Arial"/>
        </w:rPr>
        <w:t>Dexavision</w:t>
      </w:r>
      <w:proofErr w:type="spellEnd"/>
      <w:r w:rsidR="00922184" w:rsidRPr="00F07B5D">
        <w:rPr>
          <w:rFonts w:ascii="Arial" w:hAnsi="Arial" w:cs="Arial"/>
        </w:rPr>
        <w:t xml:space="preserve"> Pty (Ltd)</w:t>
      </w:r>
      <w:r w:rsidR="002832AB" w:rsidRPr="00F07B5D">
        <w:rPr>
          <w:rFonts w:ascii="Arial" w:hAnsi="Arial" w:cs="Arial"/>
        </w:rPr>
        <w:t xml:space="preserve"> before </w:t>
      </w:r>
      <w:r w:rsidR="00922184" w:rsidRPr="00F07B5D">
        <w:rPr>
          <w:rFonts w:ascii="Arial" w:hAnsi="Arial" w:cs="Arial"/>
        </w:rPr>
        <w:t>any</w:t>
      </w:r>
      <w:r w:rsidR="002832AB" w:rsidRPr="00F07B5D">
        <w:rPr>
          <w:rFonts w:ascii="Arial" w:hAnsi="Arial" w:cs="Arial"/>
        </w:rPr>
        <w:t xml:space="preserve"> mortgage bonds were registered over the propert</w:t>
      </w:r>
      <w:r w:rsidR="00922184" w:rsidRPr="00F07B5D">
        <w:rPr>
          <w:rFonts w:ascii="Arial" w:hAnsi="Arial" w:cs="Arial"/>
        </w:rPr>
        <w:t>ies</w:t>
      </w:r>
      <w:r w:rsidR="002832AB" w:rsidRPr="00F07B5D">
        <w:rPr>
          <w:rFonts w:ascii="Arial" w:hAnsi="Arial" w:cs="Arial"/>
        </w:rPr>
        <w:t>.</w:t>
      </w:r>
    </w:p>
    <w:p w14:paraId="58F68A30" w14:textId="2D77FDF8" w:rsidR="002832AB" w:rsidRPr="00F07B5D" w:rsidRDefault="00F07B5D" w:rsidP="00F07B5D">
      <w:pPr>
        <w:spacing w:line="480" w:lineRule="auto"/>
        <w:ind w:left="550" w:hanging="550"/>
        <w:rPr>
          <w:rFonts w:ascii="Arial" w:hAnsi="Arial" w:cs="Arial"/>
        </w:rPr>
      </w:pPr>
      <w:r>
        <w:rPr>
          <w:rFonts w:ascii="Arial" w:hAnsi="Arial" w:cs="Arial"/>
        </w:rPr>
        <w:t>12.</w:t>
      </w:r>
      <w:r>
        <w:rPr>
          <w:rFonts w:ascii="Arial" w:hAnsi="Arial" w:cs="Arial"/>
        </w:rPr>
        <w:tab/>
      </w:r>
      <w:r w:rsidR="002832AB" w:rsidRPr="00F07B5D">
        <w:rPr>
          <w:rFonts w:ascii="Arial" w:hAnsi="Arial" w:cs="Arial"/>
        </w:rPr>
        <w:t xml:space="preserve">The deal to acquire the </w:t>
      </w:r>
      <w:r w:rsidR="00C657E8" w:rsidRPr="00F07B5D">
        <w:rPr>
          <w:rFonts w:ascii="Arial" w:hAnsi="Arial" w:cs="Arial"/>
        </w:rPr>
        <w:t>non-ventilated</w:t>
      </w:r>
      <w:r w:rsidR="002832AB" w:rsidRPr="00F07B5D">
        <w:rPr>
          <w:rFonts w:ascii="Arial" w:hAnsi="Arial" w:cs="Arial"/>
        </w:rPr>
        <w:t xml:space="preserve"> masks floundered</w:t>
      </w:r>
      <w:r w:rsidR="00C657E8" w:rsidRPr="00F07B5D">
        <w:rPr>
          <w:rFonts w:ascii="Arial" w:hAnsi="Arial" w:cs="Arial"/>
        </w:rPr>
        <w:t xml:space="preserve"> and came to nought.</w:t>
      </w:r>
    </w:p>
    <w:p w14:paraId="1EB591C2" w14:textId="7DD0DACD" w:rsidR="00CF7533" w:rsidRPr="00F07B5D" w:rsidRDefault="00F07B5D" w:rsidP="00F07B5D">
      <w:pPr>
        <w:spacing w:line="480" w:lineRule="auto"/>
        <w:ind w:left="550" w:hanging="550"/>
        <w:rPr>
          <w:rFonts w:ascii="Arial" w:hAnsi="Arial" w:cs="Arial"/>
        </w:rPr>
      </w:pPr>
      <w:r>
        <w:rPr>
          <w:rFonts w:ascii="Arial" w:hAnsi="Arial" w:cs="Arial"/>
        </w:rPr>
        <w:t>13.</w:t>
      </w:r>
      <w:r>
        <w:rPr>
          <w:rFonts w:ascii="Arial" w:hAnsi="Arial" w:cs="Arial"/>
        </w:rPr>
        <w:tab/>
      </w:r>
      <w:r w:rsidR="003F0FDD" w:rsidRPr="00F07B5D">
        <w:rPr>
          <w:rFonts w:ascii="Arial" w:hAnsi="Arial" w:cs="Arial"/>
        </w:rPr>
        <w:t xml:space="preserve">Mr Jack states that he remains on good terms with both Mr </w:t>
      </w:r>
      <w:proofErr w:type="spellStart"/>
      <w:r w:rsidR="003F0FDD" w:rsidRPr="00F07B5D">
        <w:rPr>
          <w:rFonts w:ascii="Arial" w:hAnsi="Arial" w:cs="Arial"/>
        </w:rPr>
        <w:t>Booysen</w:t>
      </w:r>
      <w:proofErr w:type="spellEnd"/>
      <w:r w:rsidR="003F0FDD" w:rsidRPr="00F07B5D">
        <w:rPr>
          <w:rFonts w:ascii="Arial" w:hAnsi="Arial" w:cs="Arial"/>
        </w:rPr>
        <w:t xml:space="preserve"> and Mr </w:t>
      </w:r>
      <w:proofErr w:type="spellStart"/>
      <w:r w:rsidR="003F0FDD" w:rsidRPr="00F07B5D">
        <w:rPr>
          <w:rFonts w:ascii="Arial" w:hAnsi="Arial" w:cs="Arial"/>
        </w:rPr>
        <w:t>Langenhoven</w:t>
      </w:r>
      <w:proofErr w:type="spellEnd"/>
      <w:r w:rsidR="003F0FDD" w:rsidRPr="00F07B5D">
        <w:rPr>
          <w:rFonts w:ascii="Arial" w:hAnsi="Arial" w:cs="Arial"/>
        </w:rPr>
        <w:t xml:space="preserve">, notwithstanding </w:t>
      </w:r>
      <w:proofErr w:type="spellStart"/>
      <w:r w:rsidR="00922184" w:rsidRPr="00F07B5D">
        <w:rPr>
          <w:rFonts w:ascii="Arial" w:hAnsi="Arial" w:cs="Arial"/>
        </w:rPr>
        <w:t>Dexavision</w:t>
      </w:r>
      <w:proofErr w:type="spellEnd"/>
      <w:r w:rsidR="00922184" w:rsidRPr="00F07B5D">
        <w:rPr>
          <w:rFonts w:ascii="Arial" w:hAnsi="Arial" w:cs="Arial"/>
        </w:rPr>
        <w:t xml:space="preserve"> Pty (Ltd)’s failure</w:t>
      </w:r>
      <w:r w:rsidR="003F0FDD" w:rsidRPr="00F07B5D">
        <w:rPr>
          <w:rFonts w:ascii="Arial" w:hAnsi="Arial" w:cs="Arial"/>
        </w:rPr>
        <w:t xml:space="preserve"> to comply with </w:t>
      </w:r>
      <w:r w:rsidR="00922184" w:rsidRPr="00F07B5D">
        <w:rPr>
          <w:rFonts w:ascii="Arial" w:hAnsi="Arial" w:cs="Arial"/>
        </w:rPr>
        <w:t>its</w:t>
      </w:r>
      <w:r w:rsidR="00155D94" w:rsidRPr="00F07B5D">
        <w:rPr>
          <w:rFonts w:ascii="Arial" w:hAnsi="Arial" w:cs="Arial"/>
        </w:rPr>
        <w:t xml:space="preserve"> </w:t>
      </w:r>
      <w:r w:rsidR="003F0FDD" w:rsidRPr="00F07B5D">
        <w:rPr>
          <w:rFonts w:ascii="Arial" w:hAnsi="Arial" w:cs="Arial"/>
        </w:rPr>
        <w:t xml:space="preserve">obligations </w:t>
      </w:r>
      <w:r w:rsidR="00155D94" w:rsidRPr="00F07B5D">
        <w:rPr>
          <w:rFonts w:ascii="Arial" w:hAnsi="Arial" w:cs="Arial"/>
        </w:rPr>
        <w:t xml:space="preserve">in terms of the loan agreement.  Although </w:t>
      </w:r>
      <w:proofErr w:type="spellStart"/>
      <w:r w:rsidR="00922184" w:rsidRPr="00F07B5D">
        <w:rPr>
          <w:rFonts w:ascii="Arial" w:hAnsi="Arial" w:cs="Arial"/>
        </w:rPr>
        <w:t>Dexavision</w:t>
      </w:r>
      <w:proofErr w:type="spellEnd"/>
      <w:r w:rsidR="00922184" w:rsidRPr="00F07B5D">
        <w:rPr>
          <w:rFonts w:ascii="Arial" w:hAnsi="Arial" w:cs="Arial"/>
        </w:rPr>
        <w:t xml:space="preserve"> Pty (Ltd)</w:t>
      </w:r>
      <w:r w:rsidR="00155D94" w:rsidRPr="00F07B5D">
        <w:rPr>
          <w:rFonts w:ascii="Arial" w:hAnsi="Arial" w:cs="Arial"/>
        </w:rPr>
        <w:t xml:space="preserve"> defaulted on the payment in terms of the loan agreement, Mr Jack has taken no legal steps</w:t>
      </w:r>
      <w:r w:rsidR="003C25C1" w:rsidRPr="00F07B5D">
        <w:rPr>
          <w:rFonts w:ascii="Arial" w:hAnsi="Arial" w:cs="Arial"/>
        </w:rPr>
        <w:t xml:space="preserve"> against </w:t>
      </w:r>
      <w:proofErr w:type="spellStart"/>
      <w:r w:rsidR="003C25C1" w:rsidRPr="00F07B5D">
        <w:rPr>
          <w:rFonts w:ascii="Arial" w:hAnsi="Arial" w:cs="Arial"/>
        </w:rPr>
        <w:t>Dexavision</w:t>
      </w:r>
      <w:proofErr w:type="spellEnd"/>
      <w:r w:rsidR="00524DEA" w:rsidRPr="00F07B5D">
        <w:rPr>
          <w:rFonts w:ascii="Arial" w:hAnsi="Arial" w:cs="Arial"/>
        </w:rPr>
        <w:t xml:space="preserve"> Pty (Ltd) or against Mr </w:t>
      </w:r>
      <w:proofErr w:type="spellStart"/>
      <w:r w:rsidR="00524DEA" w:rsidRPr="00F07B5D">
        <w:rPr>
          <w:rFonts w:ascii="Arial" w:hAnsi="Arial" w:cs="Arial"/>
        </w:rPr>
        <w:t>Boosyen</w:t>
      </w:r>
      <w:proofErr w:type="spellEnd"/>
      <w:r w:rsidR="00524DEA" w:rsidRPr="00F07B5D">
        <w:rPr>
          <w:rFonts w:ascii="Arial" w:hAnsi="Arial" w:cs="Arial"/>
        </w:rPr>
        <w:t>, who stood surety for the loan,</w:t>
      </w:r>
      <w:r w:rsidR="00155D94" w:rsidRPr="00F07B5D">
        <w:rPr>
          <w:rFonts w:ascii="Arial" w:hAnsi="Arial" w:cs="Arial"/>
        </w:rPr>
        <w:t xml:space="preserve"> to recoup repayment of the R13.5 million.</w:t>
      </w:r>
    </w:p>
    <w:p w14:paraId="0DFE88E5" w14:textId="3E665D3A" w:rsidR="00155D94" w:rsidRPr="00F07B5D" w:rsidRDefault="00F07B5D" w:rsidP="00F07B5D">
      <w:pPr>
        <w:spacing w:line="480" w:lineRule="auto"/>
        <w:ind w:left="550" w:hanging="550"/>
        <w:rPr>
          <w:rFonts w:ascii="Arial" w:hAnsi="Arial" w:cs="Arial"/>
        </w:rPr>
      </w:pPr>
      <w:r>
        <w:rPr>
          <w:rFonts w:ascii="Arial" w:hAnsi="Arial" w:cs="Arial"/>
        </w:rPr>
        <w:t>14.</w:t>
      </w:r>
      <w:r>
        <w:rPr>
          <w:rFonts w:ascii="Arial" w:hAnsi="Arial" w:cs="Arial"/>
        </w:rPr>
        <w:tab/>
      </w:r>
      <w:r w:rsidR="00155D94" w:rsidRPr="00F07B5D">
        <w:rPr>
          <w:rFonts w:ascii="Arial" w:hAnsi="Arial" w:cs="Arial"/>
        </w:rPr>
        <w:t xml:space="preserve">During February 2022, </w:t>
      </w:r>
      <w:r w:rsidR="009818A0" w:rsidRPr="00F07B5D">
        <w:rPr>
          <w:rFonts w:ascii="Arial" w:hAnsi="Arial" w:cs="Arial"/>
        </w:rPr>
        <w:t xml:space="preserve">Mr </w:t>
      </w:r>
      <w:proofErr w:type="spellStart"/>
      <w:r w:rsidR="009818A0" w:rsidRPr="00F07B5D">
        <w:rPr>
          <w:rFonts w:ascii="Arial" w:hAnsi="Arial" w:cs="Arial"/>
        </w:rPr>
        <w:t>Booysen</w:t>
      </w:r>
      <w:proofErr w:type="spellEnd"/>
      <w:r w:rsidR="009818A0" w:rsidRPr="00F07B5D">
        <w:rPr>
          <w:rFonts w:ascii="Arial" w:hAnsi="Arial" w:cs="Arial"/>
        </w:rPr>
        <w:t xml:space="preserve">, Mr </w:t>
      </w:r>
      <w:proofErr w:type="spellStart"/>
      <w:r w:rsidR="009818A0" w:rsidRPr="00F07B5D">
        <w:rPr>
          <w:rFonts w:ascii="Arial" w:hAnsi="Arial" w:cs="Arial"/>
        </w:rPr>
        <w:t>Langenhoven</w:t>
      </w:r>
      <w:proofErr w:type="spellEnd"/>
      <w:r w:rsidR="009818A0" w:rsidRPr="00F07B5D">
        <w:rPr>
          <w:rFonts w:ascii="Arial" w:hAnsi="Arial" w:cs="Arial"/>
        </w:rPr>
        <w:t xml:space="preserve"> and Mr Jack discussed the properties as a means of reducing the debt owed to Mr Jack.  It was at this stage that Mr Jack learnt of the restraint order</w:t>
      </w:r>
      <w:r w:rsidR="00524DEA" w:rsidRPr="00F07B5D">
        <w:rPr>
          <w:rFonts w:ascii="Arial" w:hAnsi="Arial" w:cs="Arial"/>
        </w:rPr>
        <w:t xml:space="preserve">, which caused him to </w:t>
      </w:r>
      <w:r w:rsidR="009818A0" w:rsidRPr="00F07B5D">
        <w:rPr>
          <w:rFonts w:ascii="Arial" w:hAnsi="Arial" w:cs="Arial"/>
        </w:rPr>
        <w:t xml:space="preserve">follow up with Mr Phillipson </w:t>
      </w:r>
      <w:r w:rsidR="00524DEA" w:rsidRPr="00F07B5D">
        <w:rPr>
          <w:rFonts w:ascii="Arial" w:hAnsi="Arial" w:cs="Arial"/>
        </w:rPr>
        <w:t xml:space="preserve">in respect of </w:t>
      </w:r>
      <w:r w:rsidR="00C657E8" w:rsidRPr="00F07B5D">
        <w:rPr>
          <w:rFonts w:ascii="Arial" w:hAnsi="Arial" w:cs="Arial"/>
        </w:rPr>
        <w:t>the registration of</w:t>
      </w:r>
      <w:r w:rsidR="00524DEA" w:rsidRPr="00F07B5D">
        <w:rPr>
          <w:rFonts w:ascii="Arial" w:hAnsi="Arial" w:cs="Arial"/>
        </w:rPr>
        <w:t xml:space="preserve"> the mortgage bonds over the properties</w:t>
      </w:r>
      <w:r w:rsidR="00373D32" w:rsidRPr="00F07B5D">
        <w:rPr>
          <w:rFonts w:ascii="Arial" w:hAnsi="Arial" w:cs="Arial"/>
        </w:rPr>
        <w:t xml:space="preserve">.  </w:t>
      </w:r>
      <w:r w:rsidR="0038506E" w:rsidRPr="00F07B5D">
        <w:rPr>
          <w:rFonts w:ascii="Arial" w:hAnsi="Arial" w:cs="Arial"/>
        </w:rPr>
        <w:t>H</w:t>
      </w:r>
      <w:r w:rsidR="00373D32" w:rsidRPr="00F07B5D">
        <w:rPr>
          <w:rFonts w:ascii="Arial" w:hAnsi="Arial" w:cs="Arial"/>
        </w:rPr>
        <w:t xml:space="preserve">e was informed that the </w:t>
      </w:r>
      <w:r w:rsidR="0038506E" w:rsidRPr="00F07B5D">
        <w:rPr>
          <w:rFonts w:ascii="Arial" w:hAnsi="Arial" w:cs="Arial"/>
        </w:rPr>
        <w:t>mortgage bonds had not been registered as Phillipson was not provided with all the necessary information.</w:t>
      </w:r>
    </w:p>
    <w:p w14:paraId="328018D2" w14:textId="1F11EFA4" w:rsidR="00F80569" w:rsidRPr="00F07B5D" w:rsidRDefault="00F07B5D" w:rsidP="00F07B5D">
      <w:pPr>
        <w:spacing w:line="480" w:lineRule="auto"/>
        <w:ind w:left="550" w:hanging="550"/>
        <w:rPr>
          <w:rFonts w:ascii="Arial" w:hAnsi="Arial" w:cs="Arial"/>
        </w:rPr>
      </w:pPr>
      <w:r>
        <w:rPr>
          <w:rFonts w:ascii="Arial" w:hAnsi="Arial" w:cs="Arial"/>
        </w:rPr>
        <w:t>15.</w:t>
      </w:r>
      <w:r>
        <w:rPr>
          <w:rFonts w:ascii="Arial" w:hAnsi="Arial" w:cs="Arial"/>
        </w:rPr>
        <w:tab/>
      </w:r>
      <w:r w:rsidR="00F80569" w:rsidRPr="00F07B5D">
        <w:rPr>
          <w:rFonts w:ascii="Arial" w:hAnsi="Arial" w:cs="Arial"/>
        </w:rPr>
        <w:t xml:space="preserve">Mr Jack disputes that had not provided Mr Phillipson with the necessary information and avers that Mr Phillipson </w:t>
      </w:r>
      <w:r w:rsidR="00F80569" w:rsidRPr="00F07B5D">
        <w:rPr>
          <w:rFonts w:ascii="Arial" w:hAnsi="Arial" w:cs="Arial"/>
          <w:i/>
          <w:iCs/>
        </w:rPr>
        <w:t>‘messed up’</w:t>
      </w:r>
      <w:r w:rsidR="00F80569" w:rsidRPr="00F07B5D">
        <w:rPr>
          <w:rFonts w:ascii="Arial" w:hAnsi="Arial" w:cs="Arial"/>
        </w:rPr>
        <w:t xml:space="preserve"> by not having the mortgage bonds registered over the properties.</w:t>
      </w:r>
    </w:p>
    <w:p w14:paraId="0A5BCD42" w14:textId="1DAC03AD" w:rsidR="007608B8" w:rsidRPr="00F07B5D" w:rsidRDefault="00F07B5D" w:rsidP="00F07B5D">
      <w:pPr>
        <w:spacing w:line="480" w:lineRule="auto"/>
        <w:ind w:left="550" w:hanging="550"/>
        <w:rPr>
          <w:rFonts w:ascii="Arial" w:hAnsi="Arial" w:cs="Arial"/>
        </w:rPr>
      </w:pPr>
      <w:r>
        <w:rPr>
          <w:rFonts w:ascii="Arial" w:hAnsi="Arial" w:cs="Arial"/>
        </w:rPr>
        <w:t>16.</w:t>
      </w:r>
      <w:r>
        <w:rPr>
          <w:rFonts w:ascii="Arial" w:hAnsi="Arial" w:cs="Arial"/>
        </w:rPr>
        <w:tab/>
      </w:r>
      <w:r w:rsidR="003C25C1" w:rsidRPr="00F07B5D">
        <w:rPr>
          <w:rFonts w:ascii="Arial" w:hAnsi="Arial" w:cs="Arial"/>
        </w:rPr>
        <w:t xml:space="preserve">On 6 September 2022, Mr Jack’s attorneys of record </w:t>
      </w:r>
      <w:r w:rsidR="004E4002" w:rsidRPr="00F07B5D">
        <w:rPr>
          <w:rFonts w:ascii="Arial" w:hAnsi="Arial" w:cs="Arial"/>
        </w:rPr>
        <w:t xml:space="preserve">addressed a letter to Mr Phillipson setting out Mr Jack’s discontent.  On 15 September 2022, STBB responded to the letter of 6 September 2022, stating </w:t>
      </w:r>
      <w:r w:rsidR="004E4002" w:rsidRPr="00F07B5D">
        <w:rPr>
          <w:rFonts w:ascii="Arial" w:hAnsi="Arial" w:cs="Arial"/>
          <w:i/>
          <w:iCs/>
        </w:rPr>
        <w:t>inter alia</w:t>
      </w:r>
      <w:r w:rsidR="004E4002" w:rsidRPr="00F07B5D">
        <w:rPr>
          <w:rFonts w:ascii="Arial" w:hAnsi="Arial" w:cs="Arial"/>
        </w:rPr>
        <w:t xml:space="preserve"> that</w:t>
      </w:r>
      <w:r w:rsidR="007608B8" w:rsidRPr="00F07B5D">
        <w:rPr>
          <w:rFonts w:ascii="Arial" w:hAnsi="Arial" w:cs="Arial"/>
        </w:rPr>
        <w:t>:</w:t>
      </w:r>
    </w:p>
    <w:p w14:paraId="2C056253" w14:textId="520B7A0F" w:rsidR="00373D32" w:rsidRDefault="007608B8" w:rsidP="007608B8">
      <w:pPr>
        <w:pStyle w:val="ListParagraph"/>
        <w:spacing w:line="480" w:lineRule="auto"/>
        <w:ind w:left="550"/>
        <w:rPr>
          <w:rFonts w:ascii="Arial" w:hAnsi="Arial" w:cs="Arial"/>
          <w:i/>
          <w:iCs/>
        </w:rPr>
      </w:pPr>
      <w:r>
        <w:rPr>
          <w:rFonts w:ascii="Arial" w:hAnsi="Arial" w:cs="Arial"/>
          <w:i/>
          <w:iCs/>
        </w:rPr>
        <w:lastRenderedPageBreak/>
        <w:t>‘</w:t>
      </w:r>
      <w:r w:rsidR="00F701F0">
        <w:rPr>
          <w:rFonts w:ascii="Arial" w:hAnsi="Arial" w:cs="Arial"/>
          <w:i/>
          <w:iCs/>
        </w:rPr>
        <w:t>Throughout the process, your client was acutely aware that the bonds had not been registered and inasmuch was made clear to your client throughout the process subject to ourselves requesting your client to provide not only the necessary FICA documentation, but also the original title deeds in respect of the three properties concerned.</w:t>
      </w:r>
    </w:p>
    <w:p w14:paraId="31DD56BA" w14:textId="35EC9EE4" w:rsidR="00596DE9" w:rsidRDefault="00596DE9" w:rsidP="007608B8">
      <w:pPr>
        <w:pStyle w:val="ListParagraph"/>
        <w:spacing w:line="480" w:lineRule="auto"/>
        <w:ind w:left="550"/>
        <w:rPr>
          <w:rFonts w:ascii="Arial" w:hAnsi="Arial" w:cs="Arial"/>
          <w:i/>
          <w:iCs/>
        </w:rPr>
      </w:pPr>
      <w:r>
        <w:rPr>
          <w:rFonts w:ascii="Arial" w:hAnsi="Arial" w:cs="Arial"/>
          <w:i/>
          <w:iCs/>
        </w:rPr>
        <w:t xml:space="preserve">We point out that what was required was not only your client’s FICA documentation, but we also required the FICA </w:t>
      </w:r>
      <w:r w:rsidR="00F74BD2">
        <w:rPr>
          <w:rFonts w:ascii="Arial" w:hAnsi="Arial" w:cs="Arial"/>
          <w:i/>
          <w:iCs/>
        </w:rPr>
        <w:t xml:space="preserve">documentation of the various other parties involved in the transaction.  Inasmuch was made quite clear in the e-mail from Phillipson to your client dated 11 August 2020.  Regardless of whether or not we were in possession of your client’s FICA documentation arising from a previous transaction, we were not in a position to lodge and/or register </w:t>
      </w:r>
      <w:r w:rsidR="00D62B0F">
        <w:rPr>
          <w:rFonts w:ascii="Arial" w:hAnsi="Arial" w:cs="Arial"/>
          <w:i/>
          <w:iCs/>
        </w:rPr>
        <w:t>any mortgage bonds over the properties without the outstanding FICA documentation and title deeds.  It was made unequivocally clear to your client throughout the process and in various telephonic discussions between your client and Phillipson.</w:t>
      </w:r>
    </w:p>
    <w:p w14:paraId="5BF0F9F1" w14:textId="1C349ACE" w:rsidR="00D62B0F" w:rsidRDefault="00D62B0F" w:rsidP="007608B8">
      <w:pPr>
        <w:pStyle w:val="ListParagraph"/>
        <w:spacing w:line="480" w:lineRule="auto"/>
        <w:ind w:left="550"/>
        <w:rPr>
          <w:rFonts w:ascii="Arial" w:hAnsi="Arial" w:cs="Arial"/>
          <w:i/>
          <w:iCs/>
        </w:rPr>
      </w:pPr>
      <w:r>
        <w:rPr>
          <w:rFonts w:ascii="Arial" w:hAnsi="Arial" w:cs="Arial"/>
          <w:i/>
          <w:iCs/>
        </w:rPr>
        <w:t>In fact, there was a subsequent discussion between your client and Phillipson where it was again made clear to your client that we were in no position to register the mortgage bonds, and given the parties involved, Phillipson was not prepared to proceed with any execution in respect thereof.</w:t>
      </w:r>
    </w:p>
    <w:p w14:paraId="78685A9B" w14:textId="17FD3EB3" w:rsidR="00301700" w:rsidRDefault="00301700" w:rsidP="007608B8">
      <w:pPr>
        <w:pStyle w:val="ListParagraph"/>
        <w:spacing w:line="480" w:lineRule="auto"/>
        <w:ind w:left="550"/>
        <w:rPr>
          <w:rFonts w:ascii="Arial" w:hAnsi="Arial" w:cs="Arial"/>
          <w:i/>
          <w:iCs/>
        </w:rPr>
      </w:pPr>
      <w:r>
        <w:rPr>
          <w:rFonts w:ascii="Arial" w:hAnsi="Arial" w:cs="Arial"/>
          <w:i/>
          <w:iCs/>
        </w:rPr>
        <w:t>At all times your client knew the position, and despite historically agreeing to obtaining the necessary outstanding documentation, your client never provided ourselves with the necessary documentation, never provided ourselves with any further instructions in respect of the matte, and never instructed ourselves to proceed with attempting to obtain the outstanding documentation and thereafter to proceed with the registration of the mortgage bonds.</w:t>
      </w:r>
    </w:p>
    <w:p w14:paraId="68205E52" w14:textId="06044BEF" w:rsidR="00301700" w:rsidRPr="00F701F0" w:rsidRDefault="00301700" w:rsidP="007608B8">
      <w:pPr>
        <w:pStyle w:val="ListParagraph"/>
        <w:spacing w:line="480" w:lineRule="auto"/>
        <w:ind w:left="550"/>
        <w:rPr>
          <w:rFonts w:ascii="Arial" w:hAnsi="Arial" w:cs="Arial"/>
          <w:i/>
          <w:iCs/>
        </w:rPr>
      </w:pPr>
      <w:r>
        <w:rPr>
          <w:rFonts w:ascii="Arial" w:hAnsi="Arial" w:cs="Arial"/>
          <w:i/>
          <w:iCs/>
        </w:rPr>
        <w:lastRenderedPageBreak/>
        <w:t>At all times your client was well aware of the outstanding documentation, was well aware that he had assumed responsibility there for and was well aware th</w:t>
      </w:r>
      <w:r w:rsidR="00311867">
        <w:rPr>
          <w:rFonts w:ascii="Arial" w:hAnsi="Arial" w:cs="Arial"/>
          <w:i/>
          <w:iCs/>
        </w:rPr>
        <w:t>a</w:t>
      </w:r>
      <w:r>
        <w:rPr>
          <w:rFonts w:ascii="Arial" w:hAnsi="Arial" w:cs="Arial"/>
          <w:i/>
          <w:iCs/>
        </w:rPr>
        <w:t>t the bonds had not been registered.’</w:t>
      </w:r>
    </w:p>
    <w:p w14:paraId="4F91A02A" w14:textId="520D77C6" w:rsidR="00C06F4B" w:rsidRPr="00F07B5D" w:rsidRDefault="00F07B5D" w:rsidP="00F07B5D">
      <w:pPr>
        <w:spacing w:line="480" w:lineRule="auto"/>
        <w:ind w:left="550" w:hanging="550"/>
        <w:rPr>
          <w:rFonts w:ascii="Arial" w:hAnsi="Arial" w:cs="Arial"/>
        </w:rPr>
      </w:pPr>
      <w:r>
        <w:rPr>
          <w:rFonts w:ascii="Arial" w:hAnsi="Arial" w:cs="Arial"/>
        </w:rPr>
        <w:t>17.</w:t>
      </w:r>
      <w:r>
        <w:rPr>
          <w:rFonts w:ascii="Arial" w:hAnsi="Arial" w:cs="Arial"/>
        </w:rPr>
        <w:tab/>
      </w:r>
      <w:r w:rsidR="004E4002" w:rsidRPr="00F07B5D">
        <w:rPr>
          <w:rFonts w:ascii="Arial" w:hAnsi="Arial" w:cs="Arial"/>
        </w:rPr>
        <w:t xml:space="preserve">There is no response to STBB’s letter of 15 September 2022.  In addressing the contents thereof, Mr Jack simply denies that it was brought </w:t>
      </w:r>
      <w:r w:rsidR="00C06F4B" w:rsidRPr="00F07B5D">
        <w:rPr>
          <w:rFonts w:ascii="Arial" w:hAnsi="Arial" w:cs="Arial"/>
        </w:rPr>
        <w:t>to his attention that STBB did not have the necessary documentation and information to lodge the mortgage bonds.  He goes on to state that he is advised that nothing turns on th</w:t>
      </w:r>
      <w:r w:rsidR="00C657E8" w:rsidRPr="00F07B5D">
        <w:rPr>
          <w:rFonts w:ascii="Arial" w:hAnsi="Arial" w:cs="Arial"/>
        </w:rPr>
        <w:t xml:space="preserve">is </w:t>
      </w:r>
      <w:r w:rsidR="00C06F4B" w:rsidRPr="00F07B5D">
        <w:rPr>
          <w:rFonts w:ascii="Arial" w:hAnsi="Arial" w:cs="Arial"/>
        </w:rPr>
        <w:t>dispute.</w:t>
      </w:r>
    </w:p>
    <w:p w14:paraId="471C5627" w14:textId="4E64697A" w:rsidR="001035B1" w:rsidRPr="00F07B5D" w:rsidRDefault="00F07B5D" w:rsidP="00F07B5D">
      <w:pPr>
        <w:spacing w:line="480" w:lineRule="auto"/>
        <w:ind w:left="550" w:hanging="550"/>
        <w:rPr>
          <w:rFonts w:ascii="Arial" w:hAnsi="Arial" w:cs="Arial"/>
        </w:rPr>
      </w:pPr>
      <w:r>
        <w:rPr>
          <w:rFonts w:ascii="Arial" w:hAnsi="Arial" w:cs="Arial"/>
        </w:rPr>
        <w:t>18.</w:t>
      </w:r>
      <w:r>
        <w:rPr>
          <w:rFonts w:ascii="Arial" w:hAnsi="Arial" w:cs="Arial"/>
        </w:rPr>
        <w:tab/>
      </w:r>
      <w:r w:rsidR="001035B1" w:rsidRPr="00F07B5D">
        <w:rPr>
          <w:rFonts w:ascii="Arial" w:hAnsi="Arial" w:cs="Arial"/>
        </w:rPr>
        <w:t xml:space="preserve">Other than the letter of 6 September 2023, Mr Jack has taken no steps against Mr Phillipson for his </w:t>
      </w:r>
      <w:r w:rsidR="00C657E8" w:rsidRPr="00F07B5D">
        <w:rPr>
          <w:rFonts w:ascii="Arial" w:hAnsi="Arial" w:cs="Arial"/>
        </w:rPr>
        <w:t xml:space="preserve">alleged </w:t>
      </w:r>
      <w:r w:rsidR="001035B1" w:rsidRPr="00F07B5D">
        <w:rPr>
          <w:rFonts w:ascii="Arial" w:hAnsi="Arial" w:cs="Arial"/>
        </w:rPr>
        <w:t>failure to register the mortgage bonds.</w:t>
      </w:r>
    </w:p>
    <w:p w14:paraId="5A8F3567" w14:textId="5D60CFA8" w:rsidR="00536020" w:rsidRPr="00F07B5D" w:rsidRDefault="00F07B5D" w:rsidP="00F07B5D">
      <w:pPr>
        <w:spacing w:line="480" w:lineRule="auto"/>
        <w:ind w:left="550" w:hanging="550"/>
        <w:rPr>
          <w:rFonts w:ascii="Arial" w:hAnsi="Arial" w:cs="Arial"/>
        </w:rPr>
      </w:pPr>
      <w:r>
        <w:rPr>
          <w:rFonts w:ascii="Arial" w:hAnsi="Arial" w:cs="Arial"/>
        </w:rPr>
        <w:t>19.</w:t>
      </w:r>
      <w:r>
        <w:rPr>
          <w:rFonts w:ascii="Arial" w:hAnsi="Arial" w:cs="Arial"/>
        </w:rPr>
        <w:tab/>
      </w:r>
      <w:r w:rsidR="00536020" w:rsidRPr="00F07B5D">
        <w:rPr>
          <w:rFonts w:ascii="Arial" w:hAnsi="Arial" w:cs="Arial"/>
        </w:rPr>
        <w:t xml:space="preserve">In bringing the application, Mr Jack avers that, as far as he is aware, POCA is intended to protect </w:t>
      </w:r>
      <w:r w:rsidR="00604CFF" w:rsidRPr="00F07B5D">
        <w:rPr>
          <w:rFonts w:ascii="Arial" w:hAnsi="Arial" w:cs="Arial"/>
        </w:rPr>
        <w:t xml:space="preserve">third party interests and not to prejudice them. </w:t>
      </w:r>
      <w:r w:rsidR="00B65158" w:rsidRPr="00F07B5D">
        <w:rPr>
          <w:rFonts w:ascii="Arial" w:hAnsi="Arial" w:cs="Arial"/>
        </w:rPr>
        <w:t xml:space="preserve"> However, while POCA may not be intended to prejudice third party interests, third party interests cannot trump the objective</w:t>
      </w:r>
      <w:r w:rsidR="004A5A06" w:rsidRPr="00F07B5D">
        <w:rPr>
          <w:rFonts w:ascii="Arial" w:hAnsi="Arial" w:cs="Arial"/>
        </w:rPr>
        <w:t>s</w:t>
      </w:r>
      <w:r w:rsidR="00B65158" w:rsidRPr="00F07B5D">
        <w:rPr>
          <w:rFonts w:ascii="Arial" w:hAnsi="Arial" w:cs="Arial"/>
        </w:rPr>
        <w:t xml:space="preserve"> of POCA which is to combat crime, money laundering and criminal gang activities, to prohibit racketeering and to provide for a range of related measures</w:t>
      </w:r>
      <w:r w:rsidR="004A5A06" w:rsidRPr="00F07B5D">
        <w:rPr>
          <w:rFonts w:ascii="Arial" w:hAnsi="Arial" w:cs="Arial"/>
        </w:rPr>
        <w:t xml:space="preserve"> as well as to prevent criminals from benefiting from the proceeds of their crimes.</w:t>
      </w:r>
      <w:r w:rsidR="004A5A06">
        <w:rPr>
          <w:rStyle w:val="FootnoteReference"/>
          <w:rFonts w:ascii="Arial" w:hAnsi="Arial" w:cs="Arial"/>
        </w:rPr>
        <w:footnoteReference w:id="7"/>
      </w:r>
    </w:p>
    <w:p w14:paraId="70BDD487" w14:textId="2D803D36" w:rsidR="001035B1" w:rsidRPr="001035B1" w:rsidRDefault="001035B1" w:rsidP="001035B1">
      <w:pPr>
        <w:spacing w:line="480" w:lineRule="auto"/>
        <w:rPr>
          <w:rFonts w:ascii="Arial" w:hAnsi="Arial" w:cs="Arial"/>
          <w:b/>
          <w:bCs/>
          <w:u w:val="single"/>
        </w:rPr>
      </w:pPr>
      <w:r>
        <w:rPr>
          <w:rFonts w:ascii="Arial" w:hAnsi="Arial" w:cs="Arial"/>
          <w:b/>
          <w:bCs/>
          <w:u w:val="single"/>
        </w:rPr>
        <w:t>Discussion</w:t>
      </w:r>
    </w:p>
    <w:p w14:paraId="378BEE92" w14:textId="66C3BD5E" w:rsidR="00593E00" w:rsidRPr="00F07B5D" w:rsidRDefault="00F07B5D" w:rsidP="00F07B5D">
      <w:pPr>
        <w:spacing w:line="480" w:lineRule="auto"/>
        <w:ind w:left="550" w:hanging="550"/>
        <w:rPr>
          <w:rFonts w:ascii="Arial" w:hAnsi="Arial" w:cs="Arial"/>
        </w:rPr>
      </w:pPr>
      <w:r>
        <w:rPr>
          <w:rFonts w:ascii="Arial" w:hAnsi="Arial" w:cs="Arial"/>
        </w:rPr>
        <w:t>20.</w:t>
      </w:r>
      <w:r>
        <w:rPr>
          <w:rFonts w:ascii="Arial" w:hAnsi="Arial" w:cs="Arial"/>
        </w:rPr>
        <w:tab/>
      </w:r>
      <w:r w:rsidR="00026FB5" w:rsidRPr="00F07B5D">
        <w:rPr>
          <w:rFonts w:ascii="Arial" w:hAnsi="Arial" w:cs="Arial"/>
        </w:rPr>
        <w:t xml:space="preserve">Mr Jack initially </w:t>
      </w:r>
      <w:r w:rsidR="001035B1" w:rsidRPr="00F07B5D">
        <w:rPr>
          <w:rFonts w:ascii="Arial" w:hAnsi="Arial" w:cs="Arial"/>
        </w:rPr>
        <w:t>relied upon</w:t>
      </w:r>
      <w:r w:rsidR="00026FB5" w:rsidRPr="00F07B5D">
        <w:rPr>
          <w:rFonts w:ascii="Arial" w:hAnsi="Arial" w:cs="Arial"/>
        </w:rPr>
        <w:t xml:space="preserve"> section 26(</w:t>
      </w:r>
      <w:proofErr w:type="gramStart"/>
      <w:r w:rsidR="00026FB5" w:rsidRPr="00F07B5D">
        <w:rPr>
          <w:rFonts w:ascii="Arial" w:hAnsi="Arial" w:cs="Arial"/>
        </w:rPr>
        <w:t>10</w:t>
      </w:r>
      <w:r w:rsidR="00957B8E" w:rsidRPr="00F07B5D">
        <w:rPr>
          <w:rFonts w:ascii="Arial" w:hAnsi="Arial" w:cs="Arial"/>
        </w:rPr>
        <w:t>)</w:t>
      </w:r>
      <w:r w:rsidR="00026FB5" w:rsidRPr="00F07B5D">
        <w:rPr>
          <w:rFonts w:ascii="Arial" w:hAnsi="Arial" w:cs="Arial"/>
        </w:rPr>
        <w:t>(</w:t>
      </w:r>
      <w:proofErr w:type="gramEnd"/>
      <w:r w:rsidR="00026FB5" w:rsidRPr="00F07B5D">
        <w:rPr>
          <w:rFonts w:ascii="Arial" w:hAnsi="Arial" w:cs="Arial"/>
        </w:rPr>
        <w:t>a)(ii) of POCA and paragraph 1.42.1</w:t>
      </w:r>
      <w:r w:rsidR="00957B8E" w:rsidRPr="00F07B5D">
        <w:rPr>
          <w:rFonts w:ascii="Arial" w:hAnsi="Arial" w:cs="Arial"/>
        </w:rPr>
        <w:t xml:space="preserve"> of the restraint order</w:t>
      </w:r>
      <w:r w:rsidR="001035B1" w:rsidRPr="00F07B5D">
        <w:rPr>
          <w:rFonts w:ascii="Arial" w:hAnsi="Arial" w:cs="Arial"/>
        </w:rPr>
        <w:t xml:space="preserve"> for the relief he seeks</w:t>
      </w:r>
      <w:r w:rsidR="00957B8E" w:rsidRPr="00F07B5D">
        <w:rPr>
          <w:rFonts w:ascii="Arial" w:hAnsi="Arial" w:cs="Arial"/>
        </w:rPr>
        <w:t xml:space="preserve">.  However, the court was subsequently informed that as the relief sought does not require </w:t>
      </w:r>
      <w:r w:rsidR="001035B1" w:rsidRPr="00F07B5D">
        <w:rPr>
          <w:rFonts w:ascii="Arial" w:hAnsi="Arial" w:cs="Arial"/>
        </w:rPr>
        <w:t xml:space="preserve">a </w:t>
      </w:r>
      <w:r w:rsidR="00957B8E" w:rsidRPr="00F07B5D">
        <w:rPr>
          <w:rFonts w:ascii="Arial" w:hAnsi="Arial" w:cs="Arial"/>
        </w:rPr>
        <w:t>variation or re</w:t>
      </w:r>
      <w:r w:rsidR="00FA5A6E" w:rsidRPr="00F07B5D">
        <w:rPr>
          <w:rFonts w:ascii="Arial" w:hAnsi="Arial" w:cs="Arial"/>
        </w:rPr>
        <w:t>scission of the restraint order, he no longer relies upon section 26(</w:t>
      </w:r>
      <w:proofErr w:type="gramStart"/>
      <w:r w:rsidR="00FA5A6E" w:rsidRPr="00F07B5D">
        <w:rPr>
          <w:rFonts w:ascii="Arial" w:hAnsi="Arial" w:cs="Arial"/>
        </w:rPr>
        <w:t>10)(</w:t>
      </w:r>
      <w:proofErr w:type="gramEnd"/>
      <w:r w:rsidR="00FA5A6E" w:rsidRPr="00F07B5D">
        <w:rPr>
          <w:rFonts w:ascii="Arial" w:hAnsi="Arial" w:cs="Arial"/>
        </w:rPr>
        <w:t>a)(ii) but on paragraph 1.42</w:t>
      </w:r>
      <w:r w:rsidR="0049714B" w:rsidRPr="00F07B5D">
        <w:rPr>
          <w:rFonts w:ascii="Arial" w:hAnsi="Arial" w:cs="Arial"/>
        </w:rPr>
        <w:t xml:space="preserve">.1 </w:t>
      </w:r>
      <w:r w:rsidR="00FA5A6E" w:rsidRPr="00F07B5D">
        <w:rPr>
          <w:rFonts w:ascii="Arial" w:hAnsi="Arial" w:cs="Arial"/>
        </w:rPr>
        <w:t>of the restraint order and section 29(2)(a) of POCA.</w:t>
      </w:r>
    </w:p>
    <w:p w14:paraId="0172551F" w14:textId="6776CEE7" w:rsidR="005F713E" w:rsidRPr="00F07B5D" w:rsidRDefault="00F07B5D" w:rsidP="00F07B5D">
      <w:pPr>
        <w:spacing w:line="480" w:lineRule="auto"/>
        <w:ind w:left="550" w:hanging="550"/>
        <w:rPr>
          <w:rFonts w:ascii="Arial" w:hAnsi="Arial" w:cs="Arial"/>
        </w:rPr>
      </w:pPr>
      <w:r>
        <w:rPr>
          <w:rFonts w:ascii="Arial" w:hAnsi="Arial" w:cs="Arial"/>
        </w:rPr>
        <w:lastRenderedPageBreak/>
        <w:t>21.</w:t>
      </w:r>
      <w:r>
        <w:rPr>
          <w:rFonts w:ascii="Arial" w:hAnsi="Arial" w:cs="Arial"/>
        </w:rPr>
        <w:tab/>
      </w:r>
      <w:r w:rsidR="005F713E" w:rsidRPr="00F07B5D">
        <w:rPr>
          <w:rFonts w:ascii="Arial" w:hAnsi="Arial" w:cs="Arial"/>
        </w:rPr>
        <w:t>Paragraph 1.42.1 of the restraint order provides that:</w:t>
      </w:r>
    </w:p>
    <w:p w14:paraId="51FD624A" w14:textId="2B10F8AA" w:rsidR="005F713E" w:rsidRDefault="005F713E" w:rsidP="005F713E">
      <w:pPr>
        <w:pStyle w:val="ListParagraph"/>
        <w:spacing w:line="480" w:lineRule="auto"/>
        <w:ind w:left="550"/>
        <w:rPr>
          <w:rFonts w:ascii="Arial" w:hAnsi="Arial" w:cs="Arial"/>
          <w:i/>
          <w:iCs/>
        </w:rPr>
      </w:pPr>
      <w:r>
        <w:rPr>
          <w:rFonts w:ascii="Arial" w:hAnsi="Arial" w:cs="Arial"/>
          <w:i/>
          <w:iCs/>
        </w:rPr>
        <w:t>‘</w:t>
      </w:r>
      <w:r w:rsidR="004519B7">
        <w:rPr>
          <w:rFonts w:ascii="Arial" w:hAnsi="Arial" w:cs="Arial"/>
          <w:i/>
          <w:iCs/>
        </w:rPr>
        <w:t xml:space="preserve">The Registrar of Deeds is directed to endorse the title deed of any of the property which is immovable (details of which will either appear from Annexure A or to be supplied to the registrar of this court by the curator </w:t>
      </w:r>
      <w:proofErr w:type="spellStart"/>
      <w:r w:rsidR="004519B7">
        <w:rPr>
          <w:rFonts w:ascii="Arial" w:hAnsi="Arial" w:cs="Arial"/>
          <w:i/>
          <w:iCs/>
        </w:rPr>
        <w:t>bonis</w:t>
      </w:r>
      <w:proofErr w:type="spellEnd"/>
      <w:r w:rsidR="004519B7">
        <w:rPr>
          <w:rFonts w:ascii="Arial" w:hAnsi="Arial" w:cs="Arial"/>
          <w:i/>
          <w:iCs/>
        </w:rPr>
        <w:t>) with the following restriction namely, that the prop</w:t>
      </w:r>
      <w:r w:rsidR="00922DB6">
        <w:rPr>
          <w:rFonts w:ascii="Arial" w:hAnsi="Arial" w:cs="Arial"/>
          <w:i/>
          <w:iCs/>
        </w:rPr>
        <w:t>er</w:t>
      </w:r>
      <w:r w:rsidR="004519B7">
        <w:rPr>
          <w:rFonts w:ascii="Arial" w:hAnsi="Arial" w:cs="Arial"/>
          <w:i/>
          <w:iCs/>
        </w:rPr>
        <w:t>ty shall not, without the consent of this court:</w:t>
      </w:r>
    </w:p>
    <w:p w14:paraId="3D64E87B" w14:textId="4CF3374D" w:rsidR="004519B7" w:rsidRPr="004519B7" w:rsidRDefault="004519B7" w:rsidP="004519B7">
      <w:pPr>
        <w:pStyle w:val="ListParagraph"/>
        <w:spacing w:line="480" w:lineRule="auto"/>
        <w:ind w:left="550"/>
        <w:rPr>
          <w:rFonts w:ascii="Arial" w:hAnsi="Arial" w:cs="Arial"/>
          <w:i/>
          <w:iCs/>
        </w:rPr>
      </w:pPr>
      <w:r>
        <w:rPr>
          <w:rFonts w:ascii="Arial" w:hAnsi="Arial" w:cs="Arial"/>
          <w:i/>
          <w:iCs/>
        </w:rPr>
        <w:t>1.42.1</w:t>
      </w:r>
      <w:r>
        <w:rPr>
          <w:rFonts w:ascii="Arial" w:hAnsi="Arial" w:cs="Arial"/>
          <w:i/>
          <w:iCs/>
        </w:rPr>
        <w:tab/>
        <w:t>be mortgaged or otherwise encumbered.’</w:t>
      </w:r>
    </w:p>
    <w:p w14:paraId="042BE35C" w14:textId="7084367B" w:rsidR="005F713E" w:rsidRPr="00F07B5D" w:rsidRDefault="00F07B5D" w:rsidP="00F07B5D">
      <w:pPr>
        <w:spacing w:line="480" w:lineRule="auto"/>
        <w:ind w:left="550" w:hanging="550"/>
        <w:rPr>
          <w:rFonts w:ascii="Arial" w:hAnsi="Arial" w:cs="Arial"/>
        </w:rPr>
      </w:pPr>
      <w:r>
        <w:rPr>
          <w:rFonts w:ascii="Arial" w:hAnsi="Arial" w:cs="Arial"/>
        </w:rPr>
        <w:t>22.</w:t>
      </w:r>
      <w:r>
        <w:rPr>
          <w:rFonts w:ascii="Arial" w:hAnsi="Arial" w:cs="Arial"/>
        </w:rPr>
        <w:tab/>
      </w:r>
      <w:r w:rsidR="004519B7" w:rsidRPr="00F07B5D">
        <w:rPr>
          <w:rFonts w:ascii="Arial" w:hAnsi="Arial" w:cs="Arial"/>
        </w:rPr>
        <w:t>Section 29</w:t>
      </w:r>
      <w:r w:rsidR="00922DB6" w:rsidRPr="00F07B5D">
        <w:rPr>
          <w:rFonts w:ascii="Arial" w:hAnsi="Arial" w:cs="Arial"/>
        </w:rPr>
        <w:t>(2) of POCA provides:</w:t>
      </w:r>
    </w:p>
    <w:p w14:paraId="7316A470" w14:textId="7EAD4ECB" w:rsidR="00922DB6" w:rsidRDefault="00922DB6" w:rsidP="00AE58DB">
      <w:pPr>
        <w:pStyle w:val="ListParagraph"/>
        <w:widowControl/>
        <w:overflowPunct/>
        <w:adjustRightInd/>
        <w:spacing w:before="120" w:line="480" w:lineRule="auto"/>
        <w:ind w:left="910" w:hanging="360"/>
        <w:rPr>
          <w:rFonts w:ascii="Arial" w:hAnsi="Arial" w:cs="Arial"/>
          <w:i/>
          <w:iCs/>
          <w:color w:val="000000"/>
          <w:kern w:val="0"/>
          <w:lang w:eastAsia="en-GB"/>
        </w:rPr>
      </w:pPr>
      <w:r>
        <w:rPr>
          <w:rFonts w:ascii="Arial" w:hAnsi="Arial" w:cs="Arial"/>
          <w:i/>
          <w:iCs/>
          <w:color w:val="000000"/>
          <w:kern w:val="0"/>
          <w:lang w:eastAsia="en-GB"/>
        </w:rPr>
        <w:t>‘</w:t>
      </w:r>
      <w:r w:rsidRPr="00922DB6">
        <w:rPr>
          <w:rFonts w:ascii="Arial" w:hAnsi="Arial" w:cs="Arial"/>
          <w:i/>
          <w:iCs/>
          <w:color w:val="000000"/>
          <w:kern w:val="0"/>
          <w:lang w:eastAsia="en-GB"/>
        </w:rPr>
        <w:t>(2)</w:t>
      </w:r>
      <w:r w:rsidR="00AE58DB">
        <w:rPr>
          <w:rFonts w:ascii="Arial" w:hAnsi="Arial" w:cs="Arial"/>
          <w:i/>
          <w:iCs/>
          <w:color w:val="000000"/>
          <w:kern w:val="0"/>
          <w:lang w:eastAsia="en-GB"/>
        </w:rPr>
        <w:tab/>
      </w:r>
      <w:r w:rsidRPr="00922DB6">
        <w:rPr>
          <w:rFonts w:ascii="Arial" w:hAnsi="Arial" w:cs="Arial"/>
          <w:i/>
          <w:iCs/>
          <w:color w:val="000000"/>
          <w:kern w:val="0"/>
          <w:lang w:eastAsia="en-GB"/>
        </w:rPr>
        <w:t>An order contemplated in subsection (1) may be made in respect of the following restrictions, namely-</w:t>
      </w:r>
    </w:p>
    <w:p w14:paraId="5E210CFA" w14:textId="075E8E35" w:rsidR="0000371B" w:rsidRPr="00F07B5D" w:rsidRDefault="00F07B5D" w:rsidP="00F07B5D">
      <w:pPr>
        <w:widowControl/>
        <w:overflowPunct/>
        <w:adjustRightInd/>
        <w:spacing w:before="120" w:line="480" w:lineRule="auto"/>
        <w:ind w:left="1270" w:hanging="360"/>
        <w:rPr>
          <w:rFonts w:ascii="Arial" w:hAnsi="Arial" w:cs="Arial"/>
          <w:i/>
          <w:iCs/>
        </w:rPr>
      </w:pPr>
      <w:r w:rsidRPr="0000371B">
        <w:rPr>
          <w:rFonts w:ascii="Arial" w:hAnsi="Arial" w:cs="Arial"/>
          <w:i/>
          <w:iCs/>
        </w:rPr>
        <w:t>(a)</w:t>
      </w:r>
      <w:r w:rsidRPr="0000371B">
        <w:rPr>
          <w:rFonts w:ascii="Arial" w:hAnsi="Arial" w:cs="Arial"/>
          <w:i/>
          <w:iCs/>
        </w:rPr>
        <w:tab/>
      </w:r>
      <w:r w:rsidR="00922DB6" w:rsidRPr="00F07B5D">
        <w:rPr>
          <w:rFonts w:ascii="Arial" w:hAnsi="Arial" w:cs="Arial"/>
          <w:i/>
          <w:iCs/>
          <w:color w:val="000000"/>
          <w:kern w:val="0"/>
          <w:lang w:eastAsia="en-GB"/>
        </w:rPr>
        <w:t xml:space="preserve">that the immovable property shall not without the consent of the High Court be </w:t>
      </w:r>
      <w:r w:rsidR="00AE58DB" w:rsidRPr="00F07B5D">
        <w:rPr>
          <w:rFonts w:ascii="Arial" w:hAnsi="Arial" w:cs="Arial"/>
          <w:i/>
          <w:iCs/>
          <w:color w:val="000000"/>
          <w:kern w:val="0"/>
          <w:lang w:eastAsia="en-GB"/>
        </w:rPr>
        <w:t>mortgaged or otherwise encumbered</w:t>
      </w:r>
      <w:r w:rsidR="0000371B" w:rsidRPr="00F07B5D">
        <w:rPr>
          <w:rFonts w:ascii="Arial" w:hAnsi="Arial" w:cs="Arial"/>
          <w:i/>
          <w:iCs/>
          <w:color w:val="000000"/>
          <w:kern w:val="0"/>
          <w:lang w:eastAsia="en-GB"/>
        </w:rPr>
        <w:t>;</w:t>
      </w:r>
    </w:p>
    <w:p w14:paraId="37306060" w14:textId="2843531D" w:rsidR="004F2FEF" w:rsidRPr="00F07B5D" w:rsidRDefault="00F07B5D" w:rsidP="00F07B5D">
      <w:pPr>
        <w:widowControl/>
        <w:overflowPunct/>
        <w:adjustRightInd/>
        <w:spacing w:before="120" w:line="480" w:lineRule="auto"/>
        <w:ind w:left="1270" w:hanging="360"/>
        <w:rPr>
          <w:rFonts w:ascii="Arial" w:hAnsi="Arial" w:cs="Arial"/>
          <w:i/>
          <w:iCs/>
        </w:rPr>
      </w:pPr>
      <w:r w:rsidRPr="004F2FEF">
        <w:rPr>
          <w:rFonts w:ascii="Arial" w:hAnsi="Arial" w:cs="Arial"/>
          <w:i/>
          <w:iCs/>
        </w:rPr>
        <w:t>(b)</w:t>
      </w:r>
      <w:r w:rsidRPr="004F2FEF">
        <w:rPr>
          <w:rFonts w:ascii="Arial" w:hAnsi="Arial" w:cs="Arial"/>
          <w:i/>
          <w:iCs/>
        </w:rPr>
        <w:tab/>
      </w:r>
      <w:r w:rsidR="0000371B" w:rsidRPr="00F07B5D">
        <w:rPr>
          <w:rFonts w:ascii="Arial" w:hAnsi="Arial" w:cs="Arial"/>
          <w:i/>
          <w:iCs/>
          <w:color w:val="000000"/>
          <w:kern w:val="0"/>
          <w:lang w:eastAsia="en-GB"/>
        </w:rPr>
        <w:t>that the immovable property shall not without the consent of the High Court</w:t>
      </w:r>
      <w:r w:rsidR="004F2FEF" w:rsidRPr="00F07B5D">
        <w:rPr>
          <w:rFonts w:ascii="Arial" w:hAnsi="Arial" w:cs="Arial"/>
          <w:i/>
          <w:iCs/>
          <w:color w:val="000000"/>
          <w:kern w:val="0"/>
          <w:lang w:eastAsia="en-GB"/>
        </w:rPr>
        <w:t xml:space="preserve"> be attached or sold in execution; and</w:t>
      </w:r>
    </w:p>
    <w:p w14:paraId="41B2DED6" w14:textId="3E92B301" w:rsidR="004F2FEF" w:rsidRPr="00F07B5D" w:rsidRDefault="00F07B5D" w:rsidP="00F07B5D">
      <w:pPr>
        <w:widowControl/>
        <w:overflowPunct/>
        <w:adjustRightInd/>
        <w:spacing w:before="120" w:line="480" w:lineRule="auto"/>
        <w:ind w:left="1270" w:hanging="360"/>
        <w:rPr>
          <w:rFonts w:ascii="Arial" w:hAnsi="Arial" w:cs="Arial"/>
          <w:i/>
          <w:iCs/>
        </w:rPr>
      </w:pPr>
      <w:r w:rsidRPr="004F2FEF">
        <w:rPr>
          <w:rFonts w:ascii="Arial" w:hAnsi="Arial" w:cs="Arial"/>
          <w:i/>
          <w:iCs/>
        </w:rPr>
        <w:t>(c)</w:t>
      </w:r>
      <w:r w:rsidRPr="004F2FEF">
        <w:rPr>
          <w:rFonts w:ascii="Arial" w:hAnsi="Arial" w:cs="Arial"/>
          <w:i/>
          <w:iCs/>
        </w:rPr>
        <w:tab/>
      </w:r>
      <w:r w:rsidR="004F2FEF" w:rsidRPr="00F07B5D">
        <w:rPr>
          <w:rFonts w:ascii="Arial" w:hAnsi="Arial" w:cs="Arial"/>
          <w:i/>
          <w:iCs/>
          <w:color w:val="000000"/>
          <w:kern w:val="0"/>
          <w:lang w:eastAsia="en-GB"/>
        </w:rPr>
        <w:t>that the immovable property shall not without the consent of the High Court –</w:t>
      </w:r>
    </w:p>
    <w:p w14:paraId="487699AB" w14:textId="04AD42C3" w:rsidR="004F2FEF" w:rsidRPr="00F07B5D" w:rsidRDefault="00F07B5D" w:rsidP="00F07B5D">
      <w:pPr>
        <w:widowControl/>
        <w:overflowPunct/>
        <w:adjustRightInd/>
        <w:spacing w:before="120" w:line="480" w:lineRule="auto"/>
        <w:ind w:left="1990" w:hanging="720"/>
        <w:rPr>
          <w:rFonts w:ascii="Arial" w:hAnsi="Arial" w:cs="Arial"/>
          <w:i/>
          <w:iCs/>
          <w:color w:val="000000"/>
          <w:kern w:val="0"/>
          <w:lang w:eastAsia="en-GB"/>
        </w:rPr>
      </w:pPr>
      <w:r>
        <w:rPr>
          <w:rFonts w:ascii="Arial" w:hAnsi="Arial" w:cs="Arial"/>
          <w:i/>
          <w:iCs/>
          <w:color w:val="000000"/>
          <w:kern w:val="0"/>
          <w:lang w:eastAsia="en-GB"/>
        </w:rPr>
        <w:t>(</w:t>
      </w:r>
      <w:proofErr w:type="spellStart"/>
      <w:r>
        <w:rPr>
          <w:rFonts w:ascii="Arial" w:hAnsi="Arial" w:cs="Arial"/>
          <w:i/>
          <w:iCs/>
          <w:color w:val="000000"/>
          <w:kern w:val="0"/>
          <w:lang w:eastAsia="en-GB"/>
        </w:rPr>
        <w:t>i</w:t>
      </w:r>
      <w:proofErr w:type="spellEnd"/>
      <w:r>
        <w:rPr>
          <w:rFonts w:ascii="Arial" w:hAnsi="Arial" w:cs="Arial"/>
          <w:i/>
          <w:iCs/>
          <w:color w:val="000000"/>
          <w:kern w:val="0"/>
          <w:lang w:eastAsia="en-GB"/>
        </w:rPr>
        <w:t>)</w:t>
      </w:r>
      <w:r>
        <w:rPr>
          <w:rFonts w:ascii="Arial" w:hAnsi="Arial" w:cs="Arial"/>
          <w:i/>
          <w:iCs/>
          <w:color w:val="000000"/>
          <w:kern w:val="0"/>
          <w:lang w:eastAsia="en-GB"/>
        </w:rPr>
        <w:tab/>
      </w:r>
      <w:r w:rsidR="004F2FEF" w:rsidRPr="00F07B5D">
        <w:rPr>
          <w:rFonts w:ascii="Arial" w:hAnsi="Arial" w:cs="Arial"/>
          <w:i/>
          <w:iCs/>
          <w:color w:val="000000"/>
          <w:kern w:val="0"/>
          <w:lang w:eastAsia="en-GB"/>
        </w:rPr>
        <w:t>vest in the Master of the High Court or trustee concerned, as the case may be, when the estate of the owner of that immovable property is sequestrated; or</w:t>
      </w:r>
    </w:p>
    <w:p w14:paraId="0F79DEDE" w14:textId="0569F121" w:rsidR="00922DB6" w:rsidRPr="00F07B5D" w:rsidRDefault="00F07B5D" w:rsidP="00F07B5D">
      <w:pPr>
        <w:widowControl/>
        <w:overflowPunct/>
        <w:adjustRightInd/>
        <w:spacing w:before="120" w:line="480" w:lineRule="auto"/>
        <w:ind w:left="1990" w:hanging="720"/>
        <w:rPr>
          <w:rFonts w:ascii="Arial" w:hAnsi="Arial" w:cs="Arial"/>
          <w:i/>
          <w:iCs/>
        </w:rPr>
      </w:pPr>
      <w:r w:rsidRPr="00417973">
        <w:rPr>
          <w:rFonts w:ascii="Arial" w:hAnsi="Arial" w:cs="Arial"/>
          <w:i/>
          <w:iCs/>
        </w:rPr>
        <w:t>(ii)</w:t>
      </w:r>
      <w:r w:rsidRPr="00417973">
        <w:rPr>
          <w:rFonts w:ascii="Arial" w:hAnsi="Arial" w:cs="Arial"/>
          <w:i/>
          <w:iCs/>
        </w:rPr>
        <w:tab/>
      </w:r>
      <w:r w:rsidR="00417973" w:rsidRPr="00F07B5D">
        <w:rPr>
          <w:rFonts w:ascii="Arial" w:hAnsi="Arial" w:cs="Arial"/>
          <w:i/>
          <w:iCs/>
          <w:color w:val="000000"/>
          <w:kern w:val="0"/>
          <w:lang w:eastAsia="en-GB"/>
        </w:rPr>
        <w:t xml:space="preserve">where the owner of that immovable property is a company or other juristic person which is being wound up, form part of the assets of such company or juristic person, </w:t>
      </w:r>
    </w:p>
    <w:p w14:paraId="437BB0C1" w14:textId="5289CD5A" w:rsidR="0000371B" w:rsidRPr="004C5450" w:rsidRDefault="00417973" w:rsidP="004C5450">
      <w:pPr>
        <w:widowControl/>
        <w:overflowPunct/>
        <w:adjustRightInd/>
        <w:spacing w:before="120" w:line="480" w:lineRule="auto"/>
        <w:ind w:left="1270"/>
        <w:rPr>
          <w:rFonts w:ascii="Arial" w:hAnsi="Arial" w:cs="Arial"/>
          <w:i/>
          <w:iCs/>
        </w:rPr>
      </w:pPr>
      <w:r>
        <w:rPr>
          <w:rFonts w:ascii="Arial" w:hAnsi="Arial" w:cs="Arial"/>
          <w:i/>
          <w:iCs/>
        </w:rPr>
        <w:t xml:space="preserve">if the owner of that immovable property </w:t>
      </w:r>
      <w:r w:rsidR="004C5450">
        <w:rPr>
          <w:rFonts w:ascii="Arial" w:hAnsi="Arial" w:cs="Arial"/>
          <w:i/>
          <w:iCs/>
        </w:rPr>
        <w:t>has not made the payment referred to in that subsection to the State.’</w:t>
      </w:r>
    </w:p>
    <w:p w14:paraId="6A4BD250" w14:textId="30EF550E" w:rsidR="00922DB6" w:rsidRPr="00F07B5D" w:rsidRDefault="00F07B5D" w:rsidP="00F07B5D">
      <w:pPr>
        <w:spacing w:line="480" w:lineRule="auto"/>
        <w:ind w:left="550" w:hanging="550"/>
        <w:rPr>
          <w:rFonts w:ascii="Arial" w:hAnsi="Arial" w:cs="Arial"/>
        </w:rPr>
      </w:pPr>
      <w:r>
        <w:rPr>
          <w:rFonts w:ascii="Arial" w:hAnsi="Arial" w:cs="Arial"/>
        </w:rPr>
        <w:lastRenderedPageBreak/>
        <w:t>23.</w:t>
      </w:r>
      <w:r>
        <w:rPr>
          <w:rFonts w:ascii="Arial" w:hAnsi="Arial" w:cs="Arial"/>
        </w:rPr>
        <w:tab/>
      </w:r>
      <w:r w:rsidR="00460CF3" w:rsidRPr="00F07B5D">
        <w:rPr>
          <w:rFonts w:ascii="Arial" w:hAnsi="Arial" w:cs="Arial"/>
        </w:rPr>
        <w:t>When section</w:t>
      </w:r>
      <w:r w:rsidR="00B16677" w:rsidRPr="00F07B5D">
        <w:rPr>
          <w:rFonts w:ascii="Arial" w:hAnsi="Arial" w:cs="Arial"/>
        </w:rPr>
        <w:t xml:space="preserve"> 29(2</w:t>
      </w:r>
      <w:r w:rsidR="00AF17B8" w:rsidRPr="00F07B5D">
        <w:rPr>
          <w:rFonts w:ascii="Arial" w:hAnsi="Arial" w:cs="Arial"/>
        </w:rPr>
        <w:t>)</w:t>
      </w:r>
      <w:r w:rsidR="00B16677" w:rsidRPr="00F07B5D">
        <w:rPr>
          <w:rFonts w:ascii="Arial" w:hAnsi="Arial" w:cs="Arial"/>
        </w:rPr>
        <w:t xml:space="preserve"> of POCA </w:t>
      </w:r>
      <w:r w:rsidR="00460CF3" w:rsidRPr="00F07B5D">
        <w:rPr>
          <w:rFonts w:ascii="Arial" w:hAnsi="Arial" w:cs="Arial"/>
        </w:rPr>
        <w:t>is given its ordinary meaning and is properly contextualised, it</w:t>
      </w:r>
      <w:r w:rsidR="00B16677" w:rsidRPr="00F07B5D">
        <w:rPr>
          <w:rFonts w:ascii="Arial" w:hAnsi="Arial" w:cs="Arial"/>
        </w:rPr>
        <w:t xml:space="preserve"> </w:t>
      </w:r>
      <w:r w:rsidR="00460CF3" w:rsidRPr="00F07B5D">
        <w:rPr>
          <w:rFonts w:ascii="Arial" w:hAnsi="Arial" w:cs="Arial"/>
        </w:rPr>
        <w:t>is clear that section 29(2)(a) cannot be read without having regard to section 29(1) of POCA.</w:t>
      </w:r>
      <w:r w:rsidR="00460CF3">
        <w:rPr>
          <w:rStyle w:val="FootnoteReference"/>
          <w:rFonts w:ascii="Arial" w:hAnsi="Arial" w:cs="Arial"/>
        </w:rPr>
        <w:footnoteReference w:id="8"/>
      </w:r>
      <w:r w:rsidR="00B16677" w:rsidRPr="00F07B5D">
        <w:rPr>
          <w:rFonts w:ascii="Arial" w:hAnsi="Arial" w:cs="Arial"/>
        </w:rPr>
        <w:t xml:space="preserve"> </w:t>
      </w:r>
    </w:p>
    <w:p w14:paraId="4E0D8E2B" w14:textId="45374DAD" w:rsidR="00E305AA" w:rsidRPr="00F07B5D" w:rsidRDefault="00F07B5D" w:rsidP="00F07B5D">
      <w:pPr>
        <w:spacing w:line="480" w:lineRule="auto"/>
        <w:ind w:left="550" w:hanging="550"/>
        <w:rPr>
          <w:rFonts w:ascii="Arial" w:hAnsi="Arial" w:cs="Arial"/>
        </w:rPr>
      </w:pPr>
      <w:r>
        <w:rPr>
          <w:rFonts w:ascii="Arial" w:hAnsi="Arial" w:cs="Arial"/>
        </w:rPr>
        <w:t>24.</w:t>
      </w:r>
      <w:r>
        <w:rPr>
          <w:rFonts w:ascii="Arial" w:hAnsi="Arial" w:cs="Arial"/>
        </w:rPr>
        <w:tab/>
      </w:r>
      <w:r w:rsidR="00E305AA" w:rsidRPr="00F07B5D">
        <w:rPr>
          <w:rFonts w:ascii="Arial" w:hAnsi="Arial" w:cs="Arial"/>
        </w:rPr>
        <w:t>Section 29(1) provides that:</w:t>
      </w:r>
    </w:p>
    <w:p w14:paraId="69B0D604" w14:textId="585A12EA" w:rsidR="00E305AA" w:rsidRDefault="00E305AA" w:rsidP="00E305AA">
      <w:pPr>
        <w:pStyle w:val="ListParagraph"/>
        <w:spacing w:line="480" w:lineRule="auto"/>
        <w:ind w:left="550"/>
        <w:rPr>
          <w:rFonts w:ascii="Arial" w:hAnsi="Arial" w:cs="Arial"/>
          <w:i/>
          <w:iCs/>
        </w:rPr>
      </w:pPr>
      <w:r>
        <w:rPr>
          <w:rFonts w:ascii="Arial" w:hAnsi="Arial" w:cs="Arial"/>
          <w:i/>
          <w:iCs/>
        </w:rPr>
        <w:t xml:space="preserve">‘A High Court which has made a restraint order in respect of immovable property may at any time, </w:t>
      </w:r>
      <w:r w:rsidRPr="00AF17B8">
        <w:rPr>
          <w:rFonts w:ascii="Arial" w:hAnsi="Arial" w:cs="Arial"/>
          <w:i/>
          <w:iCs/>
          <w:u w:val="single"/>
        </w:rPr>
        <w:t xml:space="preserve">with a view to ensuring the payment to the State </w:t>
      </w:r>
      <w:r>
        <w:rPr>
          <w:rFonts w:ascii="Arial" w:hAnsi="Arial" w:cs="Arial"/>
          <w:i/>
          <w:iCs/>
        </w:rPr>
        <w:t>–</w:t>
      </w:r>
    </w:p>
    <w:p w14:paraId="4185942D" w14:textId="5B41E368" w:rsidR="00E305AA" w:rsidRPr="00F07B5D" w:rsidRDefault="00F07B5D" w:rsidP="00F07B5D">
      <w:pPr>
        <w:spacing w:line="480" w:lineRule="auto"/>
        <w:ind w:left="910" w:hanging="360"/>
        <w:rPr>
          <w:rFonts w:ascii="Arial" w:hAnsi="Arial" w:cs="Arial"/>
          <w:i/>
          <w:iCs/>
        </w:rPr>
      </w:pPr>
      <w:r>
        <w:rPr>
          <w:rFonts w:ascii="Arial" w:hAnsi="Arial" w:cs="Arial"/>
          <w:i/>
          <w:iCs/>
        </w:rPr>
        <w:t>(a)</w:t>
      </w:r>
      <w:r>
        <w:rPr>
          <w:rFonts w:ascii="Arial" w:hAnsi="Arial" w:cs="Arial"/>
          <w:i/>
          <w:iCs/>
        </w:rPr>
        <w:tab/>
      </w:r>
      <w:r w:rsidR="00E305AA" w:rsidRPr="00F07B5D">
        <w:rPr>
          <w:rFonts w:ascii="Arial" w:hAnsi="Arial" w:cs="Arial"/>
          <w:i/>
          <w:iCs/>
        </w:rPr>
        <w:t xml:space="preserve"> where a confiscation </w:t>
      </w:r>
      <w:r w:rsidR="00FE1AF8" w:rsidRPr="00F07B5D">
        <w:rPr>
          <w:rFonts w:ascii="Arial" w:hAnsi="Arial" w:cs="Arial"/>
          <w:i/>
          <w:iCs/>
        </w:rPr>
        <w:t>order has not been made, of an amount equal to the most recent value of the immovable property; or</w:t>
      </w:r>
    </w:p>
    <w:p w14:paraId="3E07B048" w14:textId="7E79B452" w:rsidR="00FE1AF8" w:rsidRPr="00F07B5D" w:rsidRDefault="00F07B5D" w:rsidP="00F07B5D">
      <w:pPr>
        <w:spacing w:line="480" w:lineRule="auto"/>
        <w:ind w:left="910" w:hanging="360"/>
        <w:rPr>
          <w:rFonts w:ascii="Arial" w:hAnsi="Arial" w:cs="Arial"/>
          <w:i/>
          <w:iCs/>
        </w:rPr>
      </w:pPr>
      <w:r>
        <w:rPr>
          <w:rFonts w:ascii="Arial" w:hAnsi="Arial" w:cs="Arial"/>
          <w:i/>
          <w:iCs/>
        </w:rPr>
        <w:t>(b)</w:t>
      </w:r>
      <w:r>
        <w:rPr>
          <w:rFonts w:ascii="Arial" w:hAnsi="Arial" w:cs="Arial"/>
          <w:i/>
          <w:iCs/>
        </w:rPr>
        <w:tab/>
      </w:r>
      <w:r w:rsidR="00A93042" w:rsidRPr="00F07B5D">
        <w:rPr>
          <w:rFonts w:ascii="Arial" w:hAnsi="Arial" w:cs="Arial"/>
          <w:i/>
          <w:iCs/>
        </w:rPr>
        <w:t>w</w:t>
      </w:r>
      <w:r w:rsidR="00FE1AF8" w:rsidRPr="00F07B5D">
        <w:rPr>
          <w:rFonts w:ascii="Arial" w:hAnsi="Arial" w:cs="Arial"/>
          <w:i/>
          <w:iCs/>
        </w:rPr>
        <w:t xml:space="preserve">here a confiscation order has been made, of an amount not exceeding the amount payable under the confiscation order, </w:t>
      </w:r>
    </w:p>
    <w:p w14:paraId="2A2FAAE9" w14:textId="62A7E9F3" w:rsidR="00FE1AF8" w:rsidRPr="00AF17B8" w:rsidRDefault="00BB6662" w:rsidP="00FE1AF8">
      <w:pPr>
        <w:pStyle w:val="ListParagraph"/>
        <w:spacing w:line="480" w:lineRule="auto"/>
        <w:ind w:left="910"/>
        <w:rPr>
          <w:rFonts w:ascii="Arial" w:hAnsi="Arial" w:cs="Arial"/>
        </w:rPr>
      </w:pPr>
      <w:r>
        <w:rPr>
          <w:rFonts w:ascii="Arial" w:hAnsi="Arial" w:cs="Arial"/>
          <w:i/>
          <w:iCs/>
        </w:rPr>
        <w:t>order the registrar of deeds concerned to endorse any one or more of the restrictions contemplated in subsection (2) on the title deed of the immovable property.’</w:t>
      </w:r>
      <w:r w:rsidR="00AF17B8">
        <w:rPr>
          <w:rFonts w:ascii="Arial" w:hAnsi="Arial" w:cs="Arial"/>
        </w:rPr>
        <w:t xml:space="preserve"> (own emphasis)</w:t>
      </w:r>
    </w:p>
    <w:p w14:paraId="599B9BDA" w14:textId="5D07B3D2" w:rsidR="00E305AA" w:rsidRPr="00F07B5D" w:rsidRDefault="00F07B5D" w:rsidP="00F07B5D">
      <w:pPr>
        <w:spacing w:line="480" w:lineRule="auto"/>
        <w:ind w:left="550" w:hanging="550"/>
        <w:rPr>
          <w:rFonts w:ascii="Arial" w:hAnsi="Arial" w:cs="Arial"/>
        </w:rPr>
      </w:pPr>
      <w:r>
        <w:rPr>
          <w:rFonts w:ascii="Arial" w:hAnsi="Arial" w:cs="Arial"/>
        </w:rPr>
        <w:t>25.</w:t>
      </w:r>
      <w:r>
        <w:rPr>
          <w:rFonts w:ascii="Arial" w:hAnsi="Arial" w:cs="Arial"/>
        </w:rPr>
        <w:tab/>
      </w:r>
      <w:r w:rsidR="00A93042" w:rsidRPr="00F07B5D">
        <w:rPr>
          <w:rFonts w:ascii="Arial" w:hAnsi="Arial" w:cs="Arial"/>
        </w:rPr>
        <w:t xml:space="preserve">The orders contemplated by section 29(2)(a) read with section 29(1) may be made to ensure payment to the State.  </w:t>
      </w:r>
      <w:r w:rsidR="00424806" w:rsidRPr="00F07B5D">
        <w:rPr>
          <w:rFonts w:ascii="Arial" w:hAnsi="Arial" w:cs="Arial"/>
        </w:rPr>
        <w:t xml:space="preserve">Put differently, the orders contemplated by section 29(2)(a) read with section 29(1) </w:t>
      </w:r>
      <w:r w:rsidR="00AF17B8" w:rsidRPr="00F07B5D">
        <w:rPr>
          <w:rFonts w:ascii="Arial" w:hAnsi="Arial" w:cs="Arial"/>
        </w:rPr>
        <w:t xml:space="preserve">are to be made for the </w:t>
      </w:r>
      <w:r w:rsidR="00424806" w:rsidRPr="00F07B5D">
        <w:rPr>
          <w:rFonts w:ascii="Arial" w:hAnsi="Arial" w:cs="Arial"/>
        </w:rPr>
        <w:t>benefit of the state.</w:t>
      </w:r>
    </w:p>
    <w:p w14:paraId="03E8F402" w14:textId="658F9811" w:rsidR="00077D11" w:rsidRPr="00F07B5D" w:rsidRDefault="00F07B5D" w:rsidP="00F07B5D">
      <w:pPr>
        <w:spacing w:line="480" w:lineRule="auto"/>
        <w:ind w:left="550" w:hanging="550"/>
        <w:rPr>
          <w:rFonts w:ascii="Arial" w:hAnsi="Arial" w:cs="Arial"/>
        </w:rPr>
      </w:pPr>
      <w:r>
        <w:rPr>
          <w:rFonts w:ascii="Arial" w:hAnsi="Arial" w:cs="Arial"/>
        </w:rPr>
        <w:t>26.</w:t>
      </w:r>
      <w:r>
        <w:rPr>
          <w:rFonts w:ascii="Arial" w:hAnsi="Arial" w:cs="Arial"/>
        </w:rPr>
        <w:tab/>
      </w:r>
      <w:r w:rsidR="00077D11" w:rsidRPr="00F07B5D">
        <w:rPr>
          <w:rFonts w:ascii="Arial" w:hAnsi="Arial" w:cs="Arial"/>
        </w:rPr>
        <w:t>However, the relief sought is not for the benefit of the state but to its prejudice.  This much is clear from the wording of section 29 (3)</w:t>
      </w:r>
      <w:r w:rsidR="00E66240" w:rsidRPr="00F07B5D">
        <w:rPr>
          <w:rFonts w:ascii="Arial" w:hAnsi="Arial" w:cs="Arial"/>
        </w:rPr>
        <w:t>, which provides that:</w:t>
      </w:r>
    </w:p>
    <w:p w14:paraId="3E170B07" w14:textId="77777777" w:rsidR="007417AA" w:rsidRPr="00AA076F" w:rsidRDefault="007417AA" w:rsidP="007417AA">
      <w:pPr>
        <w:pStyle w:val="ListParagraph"/>
        <w:spacing w:line="480" w:lineRule="auto"/>
        <w:ind w:left="550"/>
        <w:rPr>
          <w:rFonts w:ascii="Arial" w:hAnsi="Arial" w:cs="Arial"/>
          <w:i/>
          <w:iCs/>
          <w:color w:val="000000"/>
          <w:kern w:val="0"/>
          <w:lang w:eastAsia="en-GB"/>
        </w:rPr>
      </w:pPr>
      <w:r w:rsidRPr="00AA076F">
        <w:rPr>
          <w:rFonts w:ascii="Arial" w:hAnsi="Arial" w:cs="Arial"/>
          <w:i/>
          <w:iCs/>
          <w:color w:val="000000"/>
          <w:kern w:val="0"/>
          <w:lang w:eastAsia="en-GB"/>
        </w:rPr>
        <w:t>‘(3) In order to give effect to subsection (1), the registrar of deeds concerned shall-</w:t>
      </w:r>
    </w:p>
    <w:p w14:paraId="150EDBA5" w14:textId="77777777" w:rsidR="007417AA" w:rsidRPr="00AA076F" w:rsidRDefault="007417AA" w:rsidP="007417AA">
      <w:pPr>
        <w:spacing w:line="480" w:lineRule="auto"/>
        <w:ind w:left="550" w:firstLine="60"/>
        <w:rPr>
          <w:rFonts w:ascii="Arial" w:hAnsi="Arial" w:cs="Arial"/>
          <w:i/>
          <w:iCs/>
          <w:color w:val="000000"/>
          <w:kern w:val="0"/>
          <w:lang w:eastAsia="en-GB"/>
        </w:rPr>
      </w:pPr>
      <w:r w:rsidRPr="00AA076F">
        <w:rPr>
          <w:rFonts w:ascii="Arial" w:hAnsi="Arial" w:cs="Arial"/>
          <w:i/>
          <w:iCs/>
          <w:color w:val="000000"/>
          <w:kern w:val="0"/>
          <w:lang w:eastAsia="en-GB"/>
        </w:rPr>
        <w:t xml:space="preserve">(a) make the necessary entries in his or her registers and the necessary endorsement on the office copy of the title deed, and thereupon any such restriction shall be effective against all persons except, in the case of a </w:t>
      </w:r>
      <w:r w:rsidRPr="00AA076F">
        <w:rPr>
          <w:rFonts w:ascii="Arial" w:hAnsi="Arial" w:cs="Arial"/>
          <w:i/>
          <w:iCs/>
          <w:color w:val="000000"/>
          <w:kern w:val="0"/>
          <w:lang w:eastAsia="en-GB"/>
        </w:rPr>
        <w:lastRenderedPageBreak/>
        <w:t>restriction contemplated in subsection (2)(b), against any person in whose favour a mortgage bond or other charge was registered against the title deed of immovable property prior to the endorsement of the restriction on the title deed of the immovable property, but shall lapse on the transfer of ownership of the immovable property concerned;</w:t>
      </w:r>
    </w:p>
    <w:p w14:paraId="3DF6BF56" w14:textId="42B97500" w:rsidR="007417AA" w:rsidRPr="007417AA" w:rsidRDefault="007417AA" w:rsidP="007417AA">
      <w:pPr>
        <w:spacing w:line="480" w:lineRule="auto"/>
        <w:ind w:left="720" w:hanging="170"/>
        <w:rPr>
          <w:rFonts w:ascii="Arial" w:hAnsi="Arial" w:cs="Arial"/>
          <w:i/>
          <w:iCs/>
          <w:color w:val="000000"/>
          <w:kern w:val="0"/>
          <w:lang w:eastAsia="en-GB"/>
        </w:rPr>
      </w:pPr>
      <w:r w:rsidRPr="00AA076F">
        <w:rPr>
          <w:rFonts w:ascii="Arial" w:hAnsi="Arial" w:cs="Arial"/>
          <w:i/>
          <w:iCs/>
          <w:color w:val="000000"/>
          <w:kern w:val="0"/>
          <w:lang w:eastAsia="en-GB"/>
        </w:rPr>
        <w:t>(b)when the original of the title deed is produced to him or her, make the necessary endorsement thereon.’</w:t>
      </w:r>
    </w:p>
    <w:p w14:paraId="23800968" w14:textId="3D6A8B92" w:rsidR="00077D11" w:rsidRPr="00F07B5D" w:rsidRDefault="00F07B5D" w:rsidP="00F07B5D">
      <w:pPr>
        <w:spacing w:line="480" w:lineRule="auto"/>
        <w:ind w:left="550" w:hanging="550"/>
        <w:rPr>
          <w:rFonts w:ascii="Arial" w:hAnsi="Arial" w:cs="Arial"/>
        </w:rPr>
      </w:pPr>
      <w:r w:rsidRPr="007353F5">
        <w:rPr>
          <w:rFonts w:ascii="Arial" w:hAnsi="Arial" w:cs="Arial"/>
        </w:rPr>
        <w:t>27.</w:t>
      </w:r>
      <w:r w:rsidRPr="007353F5">
        <w:rPr>
          <w:rFonts w:ascii="Arial" w:hAnsi="Arial" w:cs="Arial"/>
        </w:rPr>
        <w:tab/>
      </w:r>
      <w:r w:rsidR="00077D11" w:rsidRPr="00F07B5D">
        <w:rPr>
          <w:rFonts w:ascii="Arial" w:hAnsi="Arial" w:cs="Arial"/>
        </w:rPr>
        <w:t>Therefore, the registration of the mortgage bond over the properties could, in terms of section 29(3) of POCA, result in the properties being exempt from being attached or sold in execution.  This would limit the NDPP’s ability to deal with the properties</w:t>
      </w:r>
      <w:r w:rsidR="00593F78" w:rsidRPr="00F07B5D">
        <w:rPr>
          <w:rFonts w:ascii="Arial" w:hAnsi="Arial" w:cs="Arial"/>
        </w:rPr>
        <w:t xml:space="preserve"> </w:t>
      </w:r>
      <w:r w:rsidR="00077D11" w:rsidRPr="00F07B5D">
        <w:rPr>
          <w:rFonts w:ascii="Arial" w:hAnsi="Arial" w:cs="Arial"/>
        </w:rPr>
        <w:t>although they have been restrained</w:t>
      </w:r>
      <w:r w:rsidR="00593F78" w:rsidRPr="00F07B5D">
        <w:rPr>
          <w:rFonts w:ascii="Arial" w:hAnsi="Arial" w:cs="Arial"/>
        </w:rPr>
        <w:t xml:space="preserve"> and it would defeat the objectives of the </w:t>
      </w:r>
      <w:r w:rsidR="007353F5" w:rsidRPr="00F07B5D">
        <w:rPr>
          <w:rFonts w:ascii="Arial" w:hAnsi="Arial" w:cs="Arial"/>
        </w:rPr>
        <w:t>restraint order as the properties could not be realised to the satisfaction of a confiscation order.</w:t>
      </w:r>
    </w:p>
    <w:p w14:paraId="4C954C76" w14:textId="53EBDF1C" w:rsidR="00136075" w:rsidRPr="00F07B5D" w:rsidRDefault="00F07B5D" w:rsidP="00F07B5D">
      <w:pPr>
        <w:spacing w:line="480" w:lineRule="auto"/>
        <w:ind w:left="550" w:hanging="550"/>
        <w:rPr>
          <w:rFonts w:ascii="Arial" w:hAnsi="Arial" w:cs="Arial"/>
        </w:rPr>
      </w:pPr>
      <w:r>
        <w:rPr>
          <w:rFonts w:ascii="Arial" w:hAnsi="Arial" w:cs="Arial"/>
        </w:rPr>
        <w:t>28.</w:t>
      </w:r>
      <w:r>
        <w:rPr>
          <w:rFonts w:ascii="Arial" w:hAnsi="Arial" w:cs="Arial"/>
        </w:rPr>
        <w:tab/>
      </w:r>
      <w:r w:rsidR="00073203" w:rsidRPr="00F07B5D">
        <w:rPr>
          <w:rFonts w:ascii="Arial" w:hAnsi="Arial" w:cs="Arial"/>
        </w:rPr>
        <w:t>As the application is not brought to ensure payment to the state</w:t>
      </w:r>
      <w:r w:rsidR="007353F5" w:rsidRPr="00F07B5D">
        <w:rPr>
          <w:rFonts w:ascii="Arial" w:hAnsi="Arial" w:cs="Arial"/>
        </w:rPr>
        <w:t xml:space="preserve"> and is not to its benefit</w:t>
      </w:r>
      <w:r w:rsidR="00073203" w:rsidRPr="00F07B5D">
        <w:rPr>
          <w:rFonts w:ascii="Arial" w:hAnsi="Arial" w:cs="Arial"/>
        </w:rPr>
        <w:t>, Mr Jack’s reliance on section 29(2)(a) is misplaced.</w:t>
      </w:r>
    </w:p>
    <w:p w14:paraId="06E4B4D4" w14:textId="3CEB99E3" w:rsidR="00D47669" w:rsidRPr="00F07B5D" w:rsidRDefault="00F07B5D" w:rsidP="00F07B5D">
      <w:pPr>
        <w:spacing w:line="480" w:lineRule="auto"/>
        <w:ind w:left="550" w:hanging="550"/>
        <w:rPr>
          <w:rFonts w:ascii="Arial" w:hAnsi="Arial" w:cs="Arial"/>
        </w:rPr>
      </w:pPr>
      <w:r w:rsidRPr="002E14BF">
        <w:rPr>
          <w:rFonts w:ascii="Arial" w:hAnsi="Arial" w:cs="Arial"/>
        </w:rPr>
        <w:t>29.</w:t>
      </w:r>
      <w:r w:rsidRPr="002E14BF">
        <w:rPr>
          <w:rFonts w:ascii="Arial" w:hAnsi="Arial" w:cs="Arial"/>
        </w:rPr>
        <w:tab/>
      </w:r>
      <w:r w:rsidR="00D47669" w:rsidRPr="00F07B5D">
        <w:rPr>
          <w:rFonts w:ascii="Arial" w:hAnsi="Arial" w:cs="Arial"/>
        </w:rPr>
        <w:t>The objectives of POCA, together with the plain wording of section 29 do not provide for the relief sought by the applicant</w:t>
      </w:r>
      <w:r w:rsidR="007353F5" w:rsidRPr="00F07B5D">
        <w:rPr>
          <w:rFonts w:ascii="Arial" w:hAnsi="Arial" w:cs="Arial"/>
        </w:rPr>
        <w:t xml:space="preserve"> as it is</w:t>
      </w:r>
      <w:r w:rsidR="00D47669" w:rsidRPr="00F07B5D">
        <w:rPr>
          <w:rFonts w:ascii="Arial" w:hAnsi="Arial" w:cs="Arial"/>
        </w:rPr>
        <w:t xml:space="preserve"> not capable of a construction which would favour the granting of the relief sought by Mr Jack</w:t>
      </w:r>
      <w:r w:rsidR="002E14BF" w:rsidRPr="00F07B5D">
        <w:rPr>
          <w:rFonts w:ascii="Arial" w:hAnsi="Arial" w:cs="Arial"/>
        </w:rPr>
        <w:t>.</w:t>
      </w:r>
      <w:r w:rsidR="00D47669" w:rsidRPr="00F07B5D">
        <w:rPr>
          <w:rFonts w:ascii="Arial" w:hAnsi="Arial" w:cs="Arial"/>
        </w:rPr>
        <w:t xml:space="preserve"> </w:t>
      </w:r>
      <w:r w:rsidR="002E14BF" w:rsidRPr="00F07B5D">
        <w:rPr>
          <w:rFonts w:ascii="Arial" w:hAnsi="Arial" w:cs="Arial"/>
        </w:rPr>
        <w:t xml:space="preserve"> It may even be</w:t>
      </w:r>
      <w:r w:rsidR="00D47669" w:rsidRPr="00F07B5D">
        <w:rPr>
          <w:rFonts w:ascii="Arial" w:hAnsi="Arial" w:cs="Arial"/>
        </w:rPr>
        <w:t xml:space="preserve"> contrary to the unambiguous expression of the legislative will.</w:t>
      </w:r>
      <w:r w:rsidR="00D47669">
        <w:rPr>
          <w:rStyle w:val="FootnoteReference"/>
          <w:rFonts w:ascii="Arial" w:hAnsi="Arial" w:cs="Arial"/>
        </w:rPr>
        <w:footnoteReference w:id="9"/>
      </w:r>
    </w:p>
    <w:p w14:paraId="5EE4B445" w14:textId="1D7B7179" w:rsidR="00D47669" w:rsidRPr="00F07B5D" w:rsidRDefault="00F07B5D" w:rsidP="00F07B5D">
      <w:pPr>
        <w:spacing w:line="480" w:lineRule="auto"/>
        <w:ind w:left="550" w:hanging="550"/>
        <w:rPr>
          <w:rFonts w:ascii="Arial" w:hAnsi="Arial" w:cs="Arial"/>
        </w:rPr>
      </w:pPr>
      <w:r>
        <w:rPr>
          <w:rFonts w:ascii="Arial" w:hAnsi="Arial" w:cs="Arial"/>
        </w:rPr>
        <w:t>30.</w:t>
      </w:r>
      <w:r>
        <w:rPr>
          <w:rFonts w:ascii="Arial" w:hAnsi="Arial" w:cs="Arial"/>
        </w:rPr>
        <w:tab/>
      </w:r>
      <w:r w:rsidR="00D47669" w:rsidRPr="00F07B5D">
        <w:rPr>
          <w:rFonts w:ascii="Arial" w:hAnsi="Arial" w:cs="Arial"/>
        </w:rPr>
        <w:t xml:space="preserve">I turn now to </w:t>
      </w:r>
      <w:r w:rsidR="0082209A" w:rsidRPr="00F07B5D">
        <w:rPr>
          <w:rFonts w:ascii="Arial" w:hAnsi="Arial" w:cs="Arial"/>
        </w:rPr>
        <w:t>whether the relief sought may be granted</w:t>
      </w:r>
      <w:r w:rsidR="00E54273" w:rsidRPr="00F07B5D">
        <w:rPr>
          <w:rFonts w:ascii="Arial" w:hAnsi="Arial" w:cs="Arial"/>
        </w:rPr>
        <w:t xml:space="preserve"> by relying</w:t>
      </w:r>
      <w:r w:rsidR="0088330E" w:rsidRPr="00F07B5D">
        <w:rPr>
          <w:rFonts w:ascii="Arial" w:hAnsi="Arial" w:cs="Arial"/>
        </w:rPr>
        <w:t xml:space="preserve"> on paragraph 1.42.1 of the restraint order and </w:t>
      </w:r>
      <w:r w:rsidR="0082209A" w:rsidRPr="00F07B5D">
        <w:rPr>
          <w:rFonts w:ascii="Arial" w:hAnsi="Arial" w:cs="Arial"/>
        </w:rPr>
        <w:t>by the exercise of the court’s discretion.</w:t>
      </w:r>
    </w:p>
    <w:p w14:paraId="75963B2B" w14:textId="7E443A04" w:rsidR="00FB4BE8" w:rsidRPr="00F07B5D" w:rsidRDefault="00F07B5D" w:rsidP="00F07B5D">
      <w:pPr>
        <w:spacing w:line="480" w:lineRule="auto"/>
        <w:ind w:left="550" w:hanging="550"/>
        <w:rPr>
          <w:rFonts w:ascii="Arial" w:hAnsi="Arial" w:cs="Arial"/>
        </w:rPr>
      </w:pPr>
      <w:r>
        <w:rPr>
          <w:rFonts w:ascii="Arial" w:hAnsi="Arial" w:cs="Arial"/>
        </w:rPr>
        <w:t>31.</w:t>
      </w:r>
      <w:r>
        <w:rPr>
          <w:rFonts w:ascii="Arial" w:hAnsi="Arial" w:cs="Arial"/>
        </w:rPr>
        <w:tab/>
      </w:r>
      <w:r w:rsidR="00FB4BE8" w:rsidRPr="00F07B5D">
        <w:rPr>
          <w:rFonts w:ascii="Arial" w:hAnsi="Arial" w:cs="Arial"/>
        </w:rPr>
        <w:t>Mr Jack avers that he b</w:t>
      </w:r>
      <w:r w:rsidR="006A7D9F" w:rsidRPr="00F07B5D">
        <w:rPr>
          <w:rFonts w:ascii="Arial" w:hAnsi="Arial" w:cs="Arial"/>
        </w:rPr>
        <w:t>r</w:t>
      </w:r>
      <w:r w:rsidR="00FB4BE8" w:rsidRPr="00F07B5D">
        <w:rPr>
          <w:rFonts w:ascii="Arial" w:hAnsi="Arial" w:cs="Arial"/>
        </w:rPr>
        <w:t xml:space="preserve">ings the application to ameliorate the hardship he may suffer as a consequence of the restraint order which denies him a significant component of </w:t>
      </w:r>
      <w:r w:rsidR="003C7BF2" w:rsidRPr="00F07B5D">
        <w:rPr>
          <w:rFonts w:ascii="Arial" w:hAnsi="Arial" w:cs="Arial"/>
        </w:rPr>
        <w:t xml:space="preserve">security which was purportedly critical to his decision to conclude </w:t>
      </w:r>
      <w:r w:rsidR="006A7D9F" w:rsidRPr="00F07B5D">
        <w:rPr>
          <w:rFonts w:ascii="Arial" w:hAnsi="Arial" w:cs="Arial"/>
        </w:rPr>
        <w:lastRenderedPageBreak/>
        <w:t xml:space="preserve">the </w:t>
      </w:r>
      <w:r w:rsidR="003C7BF2" w:rsidRPr="00F07B5D">
        <w:rPr>
          <w:rFonts w:ascii="Arial" w:hAnsi="Arial" w:cs="Arial"/>
        </w:rPr>
        <w:t xml:space="preserve">loan agreement with </w:t>
      </w:r>
      <w:proofErr w:type="spellStart"/>
      <w:r w:rsidR="006A7D9F" w:rsidRPr="00F07B5D">
        <w:rPr>
          <w:rFonts w:ascii="Arial" w:hAnsi="Arial" w:cs="Arial"/>
        </w:rPr>
        <w:t>Dexavision</w:t>
      </w:r>
      <w:proofErr w:type="spellEnd"/>
      <w:r w:rsidR="006A7D9F" w:rsidRPr="00F07B5D">
        <w:rPr>
          <w:rFonts w:ascii="Arial" w:hAnsi="Arial" w:cs="Arial"/>
        </w:rPr>
        <w:t xml:space="preserve"> Pty (Ltd)</w:t>
      </w:r>
      <w:r w:rsidR="003C7BF2" w:rsidRPr="00F07B5D">
        <w:rPr>
          <w:rFonts w:ascii="Arial" w:hAnsi="Arial" w:cs="Arial"/>
        </w:rPr>
        <w:t>.</w:t>
      </w:r>
      <w:r w:rsidR="005A2161" w:rsidRPr="00F07B5D">
        <w:rPr>
          <w:rFonts w:ascii="Arial" w:hAnsi="Arial" w:cs="Arial"/>
        </w:rPr>
        <w:t xml:space="preserve">  However, he proceeded to make </w:t>
      </w:r>
      <w:r w:rsidR="006A7D9F" w:rsidRPr="00F07B5D">
        <w:rPr>
          <w:rFonts w:ascii="Arial" w:hAnsi="Arial" w:cs="Arial"/>
        </w:rPr>
        <w:t xml:space="preserve">payment of </w:t>
      </w:r>
      <w:r w:rsidR="005A2161" w:rsidRPr="00F07B5D">
        <w:rPr>
          <w:rFonts w:ascii="Arial" w:hAnsi="Arial" w:cs="Arial"/>
        </w:rPr>
        <w:t xml:space="preserve">the loan of R13.5 million </w:t>
      </w:r>
      <w:r w:rsidR="00685B98" w:rsidRPr="00F07B5D">
        <w:rPr>
          <w:rFonts w:ascii="Arial" w:hAnsi="Arial" w:cs="Arial"/>
        </w:rPr>
        <w:t>before the mortgage bond could possibly have been registered over the properties.  Therefore, it can be accepted that Mr Jack agreed to make the money available without the critical security being in place</w:t>
      </w:r>
      <w:r w:rsidR="006A7D9F" w:rsidRPr="00F07B5D">
        <w:rPr>
          <w:rFonts w:ascii="Arial" w:hAnsi="Arial" w:cs="Arial"/>
        </w:rPr>
        <w:t xml:space="preserve"> and that he accepted the risks which accompanied this election.</w:t>
      </w:r>
    </w:p>
    <w:p w14:paraId="0C1B9812" w14:textId="695715BF" w:rsidR="00B11AE7" w:rsidRPr="00F07B5D" w:rsidRDefault="00F07B5D" w:rsidP="00F07B5D">
      <w:pPr>
        <w:spacing w:line="480" w:lineRule="auto"/>
        <w:ind w:left="550" w:hanging="550"/>
        <w:rPr>
          <w:rFonts w:ascii="Arial" w:hAnsi="Arial" w:cs="Arial"/>
        </w:rPr>
      </w:pPr>
      <w:r w:rsidRPr="00054C2C">
        <w:rPr>
          <w:rFonts w:ascii="Arial" w:hAnsi="Arial" w:cs="Arial"/>
        </w:rPr>
        <w:t>32.</w:t>
      </w:r>
      <w:r w:rsidRPr="00054C2C">
        <w:rPr>
          <w:rFonts w:ascii="Arial" w:hAnsi="Arial" w:cs="Arial"/>
        </w:rPr>
        <w:tab/>
      </w:r>
      <w:r w:rsidR="00B11AE7" w:rsidRPr="00F07B5D">
        <w:rPr>
          <w:rFonts w:ascii="Arial" w:hAnsi="Arial" w:cs="Arial"/>
        </w:rPr>
        <w:t xml:space="preserve">Mr Jack avers that the relief he seeks is not inconsistent with the objectives of POCA as he is an innocent party, entirely divorced from the conduct that informs the restraint order.  However, if the properties were obtained with the </w:t>
      </w:r>
      <w:r w:rsidR="006A7D9F" w:rsidRPr="00F07B5D">
        <w:rPr>
          <w:rFonts w:ascii="Arial" w:hAnsi="Arial" w:cs="Arial"/>
        </w:rPr>
        <w:t>proceeds of unlawful activities</w:t>
      </w:r>
      <w:r w:rsidR="00B259D5">
        <w:rPr>
          <w:rStyle w:val="FootnoteReference"/>
          <w:rFonts w:ascii="Arial" w:hAnsi="Arial" w:cs="Arial"/>
        </w:rPr>
        <w:footnoteReference w:id="10"/>
      </w:r>
      <w:r w:rsidR="00B11AE7" w:rsidRPr="00F07B5D">
        <w:rPr>
          <w:rFonts w:ascii="Arial" w:hAnsi="Arial" w:cs="Arial"/>
        </w:rPr>
        <w:t xml:space="preserve">, </w:t>
      </w:r>
      <w:r w:rsidR="007F25F1" w:rsidRPr="00F07B5D">
        <w:rPr>
          <w:rFonts w:ascii="Arial" w:hAnsi="Arial" w:cs="Arial"/>
        </w:rPr>
        <w:t>and the third, fourth and sixth respondents are able to use the</w:t>
      </w:r>
      <w:r w:rsidR="00E056EC" w:rsidRPr="00F07B5D">
        <w:rPr>
          <w:rFonts w:ascii="Arial" w:hAnsi="Arial" w:cs="Arial"/>
        </w:rPr>
        <w:t>se</w:t>
      </w:r>
      <w:r w:rsidR="007F25F1" w:rsidRPr="00F07B5D">
        <w:rPr>
          <w:rFonts w:ascii="Arial" w:hAnsi="Arial" w:cs="Arial"/>
        </w:rPr>
        <w:t xml:space="preserve"> properties </w:t>
      </w:r>
      <w:r w:rsidR="00E056EC" w:rsidRPr="00F07B5D">
        <w:rPr>
          <w:rFonts w:ascii="Arial" w:hAnsi="Arial" w:cs="Arial"/>
        </w:rPr>
        <w:t>to</w:t>
      </w:r>
      <w:r w:rsidR="0000415D" w:rsidRPr="00F07B5D">
        <w:rPr>
          <w:rFonts w:ascii="Arial" w:hAnsi="Arial" w:cs="Arial"/>
        </w:rPr>
        <w:t xml:space="preserve"> potentially</w:t>
      </w:r>
      <w:r w:rsidR="00E056EC" w:rsidRPr="00F07B5D">
        <w:rPr>
          <w:rFonts w:ascii="Arial" w:hAnsi="Arial" w:cs="Arial"/>
        </w:rPr>
        <w:t xml:space="preserve"> reduce their obligations to </w:t>
      </w:r>
      <w:r w:rsidR="00F0617D" w:rsidRPr="00F07B5D">
        <w:rPr>
          <w:rFonts w:ascii="Arial" w:hAnsi="Arial" w:cs="Arial"/>
        </w:rPr>
        <w:t>Mr Jack</w:t>
      </w:r>
      <w:r w:rsidR="00E056EC" w:rsidRPr="00F07B5D">
        <w:rPr>
          <w:rFonts w:ascii="Arial" w:hAnsi="Arial" w:cs="Arial"/>
        </w:rPr>
        <w:t>, it would undermine the objectives of POCA</w:t>
      </w:r>
      <w:r w:rsidR="0000415D" w:rsidRPr="00F07B5D">
        <w:rPr>
          <w:rFonts w:ascii="Arial" w:hAnsi="Arial" w:cs="Arial"/>
        </w:rPr>
        <w:t xml:space="preserve">.  </w:t>
      </w:r>
      <w:r w:rsidR="00F0617D" w:rsidRPr="00F07B5D">
        <w:rPr>
          <w:rFonts w:ascii="Arial" w:hAnsi="Arial" w:cs="Arial"/>
        </w:rPr>
        <w:t xml:space="preserve">The registration of a mortgage bond </w:t>
      </w:r>
      <w:r w:rsidR="006C299F" w:rsidRPr="00F07B5D">
        <w:rPr>
          <w:rFonts w:ascii="Arial" w:hAnsi="Arial" w:cs="Arial"/>
        </w:rPr>
        <w:t xml:space="preserve">over the properties </w:t>
      </w:r>
      <w:r w:rsidR="00F0617D" w:rsidRPr="00F07B5D">
        <w:rPr>
          <w:rFonts w:ascii="Arial" w:hAnsi="Arial" w:cs="Arial"/>
        </w:rPr>
        <w:t xml:space="preserve">would constitute an advantage or benefit to the respondents as it potentially allows them to reduce their indebtedness to </w:t>
      </w:r>
      <w:r w:rsidR="006C299F" w:rsidRPr="00F07B5D">
        <w:rPr>
          <w:rFonts w:ascii="Arial" w:hAnsi="Arial" w:cs="Arial"/>
        </w:rPr>
        <w:t>Mr Jack.</w:t>
      </w:r>
    </w:p>
    <w:p w14:paraId="6B019369" w14:textId="507B0F1E" w:rsidR="003C7BF2" w:rsidRPr="00F07B5D" w:rsidRDefault="00F07B5D" w:rsidP="00F07B5D">
      <w:pPr>
        <w:spacing w:line="480" w:lineRule="auto"/>
        <w:ind w:left="550" w:hanging="550"/>
        <w:rPr>
          <w:rFonts w:ascii="Arial" w:hAnsi="Arial" w:cs="Arial"/>
        </w:rPr>
      </w:pPr>
      <w:r>
        <w:rPr>
          <w:rFonts w:ascii="Arial" w:hAnsi="Arial" w:cs="Arial"/>
        </w:rPr>
        <w:t>33.</w:t>
      </w:r>
      <w:r>
        <w:rPr>
          <w:rFonts w:ascii="Arial" w:hAnsi="Arial" w:cs="Arial"/>
        </w:rPr>
        <w:tab/>
      </w:r>
      <w:r w:rsidR="00D0333F" w:rsidRPr="00F07B5D">
        <w:rPr>
          <w:rFonts w:ascii="Arial" w:hAnsi="Arial" w:cs="Arial"/>
        </w:rPr>
        <w:t>As Mr Jack requires the court to exercise a discretion in his favour</w:t>
      </w:r>
      <w:r w:rsidR="0082209A" w:rsidRPr="00F07B5D">
        <w:rPr>
          <w:rFonts w:ascii="Arial" w:hAnsi="Arial" w:cs="Arial"/>
        </w:rPr>
        <w:t xml:space="preserve"> and given the possible consequences </w:t>
      </w:r>
      <w:r w:rsidR="006C299F" w:rsidRPr="00F07B5D">
        <w:rPr>
          <w:rFonts w:ascii="Arial" w:hAnsi="Arial" w:cs="Arial"/>
        </w:rPr>
        <w:t>of the relief he seeks</w:t>
      </w:r>
      <w:r w:rsidR="00D0333F" w:rsidRPr="00F07B5D">
        <w:rPr>
          <w:rFonts w:ascii="Arial" w:hAnsi="Arial" w:cs="Arial"/>
        </w:rPr>
        <w:t>, it is incumbent upon him to place the necessary facts and information before the court relevant to the exercise of that discretion.</w:t>
      </w:r>
    </w:p>
    <w:p w14:paraId="2DDC52F5" w14:textId="1F2435BD" w:rsidR="00E14DA3" w:rsidRPr="00F07B5D" w:rsidRDefault="00F07B5D" w:rsidP="00F07B5D">
      <w:pPr>
        <w:spacing w:line="480" w:lineRule="auto"/>
        <w:ind w:left="550" w:hanging="550"/>
        <w:rPr>
          <w:rFonts w:ascii="Arial" w:hAnsi="Arial" w:cs="Arial"/>
        </w:rPr>
      </w:pPr>
      <w:r>
        <w:rPr>
          <w:rFonts w:ascii="Arial" w:hAnsi="Arial" w:cs="Arial"/>
        </w:rPr>
        <w:t>34.</w:t>
      </w:r>
      <w:r>
        <w:rPr>
          <w:rFonts w:ascii="Arial" w:hAnsi="Arial" w:cs="Arial"/>
        </w:rPr>
        <w:tab/>
      </w:r>
      <w:r w:rsidR="00E14DA3" w:rsidRPr="00F07B5D">
        <w:rPr>
          <w:rFonts w:ascii="Arial" w:hAnsi="Arial" w:cs="Arial"/>
        </w:rPr>
        <w:t xml:space="preserve">He elects not to disclose why he failed to follow up on the status of </w:t>
      </w:r>
      <w:r w:rsidR="006C299F" w:rsidRPr="00F07B5D">
        <w:rPr>
          <w:rFonts w:ascii="Arial" w:hAnsi="Arial" w:cs="Arial"/>
        </w:rPr>
        <w:t xml:space="preserve">the </w:t>
      </w:r>
      <w:r w:rsidR="00E14DA3" w:rsidRPr="00F07B5D">
        <w:rPr>
          <w:rFonts w:ascii="Arial" w:hAnsi="Arial" w:cs="Arial"/>
        </w:rPr>
        <w:t xml:space="preserve">registration of the mortgage bonds </w:t>
      </w:r>
      <w:r w:rsidR="006C299F" w:rsidRPr="00F07B5D">
        <w:rPr>
          <w:rFonts w:ascii="Arial" w:hAnsi="Arial" w:cs="Arial"/>
        </w:rPr>
        <w:t xml:space="preserve">between 6 August 2020 and February 2022 when it </w:t>
      </w:r>
      <w:r w:rsidR="00E14DA3" w:rsidRPr="00F07B5D">
        <w:rPr>
          <w:rFonts w:ascii="Arial" w:hAnsi="Arial" w:cs="Arial"/>
        </w:rPr>
        <w:t>was allegedly critical to</w:t>
      </w:r>
      <w:r w:rsidR="006C299F" w:rsidRPr="00F07B5D">
        <w:rPr>
          <w:rFonts w:ascii="Arial" w:hAnsi="Arial" w:cs="Arial"/>
        </w:rPr>
        <w:t xml:space="preserve"> his</w:t>
      </w:r>
      <w:r w:rsidR="00E14DA3" w:rsidRPr="00F07B5D">
        <w:rPr>
          <w:rFonts w:ascii="Arial" w:hAnsi="Arial" w:cs="Arial"/>
        </w:rPr>
        <w:t xml:space="preserve"> decision to </w:t>
      </w:r>
      <w:r w:rsidR="006C299F" w:rsidRPr="00F07B5D">
        <w:rPr>
          <w:rFonts w:ascii="Arial" w:hAnsi="Arial" w:cs="Arial"/>
        </w:rPr>
        <w:t xml:space="preserve">conclude the loan agreement with </w:t>
      </w:r>
      <w:proofErr w:type="spellStart"/>
      <w:r w:rsidR="006C299F" w:rsidRPr="00F07B5D">
        <w:rPr>
          <w:rFonts w:ascii="Arial" w:hAnsi="Arial" w:cs="Arial"/>
        </w:rPr>
        <w:t>Dexavision</w:t>
      </w:r>
      <w:proofErr w:type="spellEnd"/>
      <w:r w:rsidR="006C299F" w:rsidRPr="00F07B5D">
        <w:rPr>
          <w:rFonts w:ascii="Arial" w:hAnsi="Arial" w:cs="Arial"/>
        </w:rPr>
        <w:t xml:space="preserve"> Pty (Ltd)</w:t>
      </w:r>
      <w:r w:rsidR="00E14DA3" w:rsidRPr="00F07B5D">
        <w:rPr>
          <w:rFonts w:ascii="Arial" w:hAnsi="Arial" w:cs="Arial"/>
        </w:rPr>
        <w:t>.</w:t>
      </w:r>
    </w:p>
    <w:p w14:paraId="72A3F3CA" w14:textId="01842731" w:rsidR="00E14DA3" w:rsidRPr="00F07B5D" w:rsidRDefault="00F07B5D" w:rsidP="00F07B5D">
      <w:pPr>
        <w:spacing w:line="480" w:lineRule="auto"/>
        <w:ind w:left="550" w:hanging="550"/>
        <w:rPr>
          <w:rFonts w:ascii="Arial" w:hAnsi="Arial" w:cs="Arial"/>
        </w:rPr>
      </w:pPr>
      <w:r>
        <w:rPr>
          <w:rFonts w:ascii="Arial" w:hAnsi="Arial" w:cs="Arial"/>
        </w:rPr>
        <w:t>35.</w:t>
      </w:r>
      <w:r>
        <w:rPr>
          <w:rFonts w:ascii="Arial" w:hAnsi="Arial" w:cs="Arial"/>
        </w:rPr>
        <w:tab/>
      </w:r>
      <w:r w:rsidR="00E14DA3" w:rsidRPr="00F07B5D">
        <w:rPr>
          <w:rFonts w:ascii="Arial" w:hAnsi="Arial" w:cs="Arial"/>
        </w:rPr>
        <w:t xml:space="preserve">Furthermore, </w:t>
      </w:r>
      <w:r w:rsidR="00151A00" w:rsidRPr="00F07B5D">
        <w:rPr>
          <w:rFonts w:ascii="Arial" w:hAnsi="Arial" w:cs="Arial"/>
        </w:rPr>
        <w:t xml:space="preserve">although </w:t>
      </w:r>
      <w:proofErr w:type="spellStart"/>
      <w:r w:rsidR="00151A00" w:rsidRPr="00F07B5D">
        <w:rPr>
          <w:rFonts w:ascii="Arial" w:hAnsi="Arial" w:cs="Arial"/>
        </w:rPr>
        <w:t>Dexavision</w:t>
      </w:r>
      <w:proofErr w:type="spellEnd"/>
      <w:r w:rsidR="00D70561" w:rsidRPr="00F07B5D">
        <w:rPr>
          <w:rFonts w:ascii="Arial" w:hAnsi="Arial" w:cs="Arial"/>
        </w:rPr>
        <w:t xml:space="preserve"> Pty (Ltd) de</w:t>
      </w:r>
      <w:r w:rsidR="00151A00" w:rsidRPr="00F07B5D">
        <w:rPr>
          <w:rFonts w:ascii="Arial" w:hAnsi="Arial" w:cs="Arial"/>
        </w:rPr>
        <w:t xml:space="preserve">faulted on the loan agreement, no legal steps were taken to recover any monies or to limit the loss thereof.  On </w:t>
      </w:r>
      <w:r w:rsidR="00151A00" w:rsidRPr="00F07B5D">
        <w:rPr>
          <w:rFonts w:ascii="Arial" w:hAnsi="Arial" w:cs="Arial"/>
        </w:rPr>
        <w:lastRenderedPageBreak/>
        <w:t xml:space="preserve">the contrary, Mr Jack states that he </w:t>
      </w:r>
      <w:r w:rsidR="00440A3C" w:rsidRPr="00F07B5D">
        <w:rPr>
          <w:rFonts w:ascii="Arial" w:hAnsi="Arial" w:cs="Arial"/>
        </w:rPr>
        <w:t xml:space="preserve">remains on good footing with both Mr </w:t>
      </w:r>
      <w:proofErr w:type="spellStart"/>
      <w:r w:rsidR="00440A3C" w:rsidRPr="00F07B5D">
        <w:rPr>
          <w:rFonts w:ascii="Arial" w:hAnsi="Arial" w:cs="Arial"/>
        </w:rPr>
        <w:t>Booysen</w:t>
      </w:r>
      <w:proofErr w:type="spellEnd"/>
      <w:r w:rsidR="00440A3C" w:rsidRPr="00F07B5D">
        <w:rPr>
          <w:rFonts w:ascii="Arial" w:hAnsi="Arial" w:cs="Arial"/>
        </w:rPr>
        <w:t xml:space="preserve"> and Mr </w:t>
      </w:r>
      <w:proofErr w:type="spellStart"/>
      <w:r w:rsidR="00440A3C" w:rsidRPr="00F07B5D">
        <w:rPr>
          <w:rFonts w:ascii="Arial" w:hAnsi="Arial" w:cs="Arial"/>
        </w:rPr>
        <w:t>Langenhoven</w:t>
      </w:r>
      <w:proofErr w:type="spellEnd"/>
      <w:r w:rsidR="00440A3C" w:rsidRPr="00F07B5D">
        <w:rPr>
          <w:rFonts w:ascii="Arial" w:hAnsi="Arial" w:cs="Arial"/>
        </w:rPr>
        <w:t xml:space="preserve"> and that </w:t>
      </w:r>
      <w:r w:rsidR="00EE4ECF" w:rsidRPr="00F07B5D">
        <w:rPr>
          <w:rFonts w:ascii="Arial" w:hAnsi="Arial" w:cs="Arial"/>
        </w:rPr>
        <w:t xml:space="preserve">over the proceeding months </w:t>
      </w:r>
      <w:r w:rsidR="00440A3C" w:rsidRPr="00F07B5D">
        <w:rPr>
          <w:rFonts w:ascii="Arial" w:hAnsi="Arial" w:cs="Arial"/>
        </w:rPr>
        <w:t>they explored a number of options to ensure that payment is made to him.  He does not tell the court what those options were.</w:t>
      </w:r>
      <w:r w:rsidR="00EE4ECF" w:rsidRPr="00F07B5D">
        <w:rPr>
          <w:rFonts w:ascii="Arial" w:hAnsi="Arial" w:cs="Arial"/>
        </w:rPr>
        <w:t xml:space="preserve">  Nor does he disclose why the issue of the properties, as security, were not discussed prior to February 2022.</w:t>
      </w:r>
    </w:p>
    <w:p w14:paraId="1A049910" w14:textId="1347389E" w:rsidR="00EE4ECF" w:rsidRPr="00F07B5D" w:rsidRDefault="00F07B5D" w:rsidP="00F07B5D">
      <w:pPr>
        <w:spacing w:line="480" w:lineRule="auto"/>
        <w:ind w:left="550" w:hanging="550"/>
        <w:rPr>
          <w:rFonts w:ascii="Arial" w:hAnsi="Arial" w:cs="Arial"/>
        </w:rPr>
      </w:pPr>
      <w:r>
        <w:rPr>
          <w:rFonts w:ascii="Arial" w:hAnsi="Arial" w:cs="Arial"/>
        </w:rPr>
        <w:t>36.</w:t>
      </w:r>
      <w:r>
        <w:rPr>
          <w:rFonts w:ascii="Arial" w:hAnsi="Arial" w:cs="Arial"/>
        </w:rPr>
        <w:tab/>
      </w:r>
      <w:r w:rsidR="001979A8" w:rsidRPr="00F07B5D">
        <w:rPr>
          <w:rFonts w:ascii="Arial" w:hAnsi="Arial" w:cs="Arial"/>
        </w:rPr>
        <w:t>Importantly, the allegation</w:t>
      </w:r>
      <w:r w:rsidR="00D70561" w:rsidRPr="00F07B5D">
        <w:rPr>
          <w:rFonts w:ascii="Arial" w:hAnsi="Arial" w:cs="Arial"/>
        </w:rPr>
        <w:t>s by STBB</w:t>
      </w:r>
      <w:r w:rsidR="001979A8" w:rsidRPr="00F07B5D">
        <w:rPr>
          <w:rFonts w:ascii="Arial" w:hAnsi="Arial" w:cs="Arial"/>
        </w:rPr>
        <w:t xml:space="preserve"> that Mr Jack was at all times aware that the mortgage bonds were not </w:t>
      </w:r>
      <w:r w:rsidR="00D70561" w:rsidRPr="00F07B5D">
        <w:rPr>
          <w:rFonts w:ascii="Arial" w:hAnsi="Arial" w:cs="Arial"/>
        </w:rPr>
        <w:t>and could not be r</w:t>
      </w:r>
      <w:r w:rsidR="001979A8" w:rsidRPr="00F07B5D">
        <w:rPr>
          <w:rFonts w:ascii="Arial" w:hAnsi="Arial" w:cs="Arial"/>
        </w:rPr>
        <w:t>egistered are dealt with dismissively, with Mr Jack stating that</w:t>
      </w:r>
      <w:r w:rsidR="00024BAE" w:rsidRPr="00F07B5D">
        <w:rPr>
          <w:rFonts w:ascii="Arial" w:hAnsi="Arial" w:cs="Arial"/>
        </w:rPr>
        <w:t xml:space="preserve"> nothing turns on</w:t>
      </w:r>
      <w:r w:rsidR="001979A8" w:rsidRPr="00F07B5D">
        <w:rPr>
          <w:rFonts w:ascii="Arial" w:hAnsi="Arial" w:cs="Arial"/>
        </w:rPr>
        <w:t xml:space="preserve"> </w:t>
      </w:r>
      <w:r w:rsidR="00D70561" w:rsidRPr="00F07B5D">
        <w:rPr>
          <w:rFonts w:ascii="Arial" w:hAnsi="Arial" w:cs="Arial"/>
        </w:rPr>
        <w:t>this</w:t>
      </w:r>
      <w:r w:rsidR="001979A8" w:rsidRPr="00F07B5D">
        <w:rPr>
          <w:rFonts w:ascii="Arial" w:hAnsi="Arial" w:cs="Arial"/>
        </w:rPr>
        <w:t xml:space="preserve"> dispute with STBB</w:t>
      </w:r>
      <w:r w:rsidR="00024BAE" w:rsidRPr="00F07B5D">
        <w:rPr>
          <w:rFonts w:ascii="Arial" w:hAnsi="Arial" w:cs="Arial"/>
        </w:rPr>
        <w:t>.</w:t>
      </w:r>
    </w:p>
    <w:p w14:paraId="7D73039A" w14:textId="079BC2FB" w:rsidR="00E921ED" w:rsidRPr="00F07B5D" w:rsidRDefault="00F07B5D" w:rsidP="00F07B5D">
      <w:pPr>
        <w:spacing w:line="480" w:lineRule="auto"/>
        <w:ind w:left="550" w:hanging="550"/>
        <w:rPr>
          <w:rFonts w:ascii="Arial" w:hAnsi="Arial" w:cs="Arial"/>
        </w:rPr>
      </w:pPr>
      <w:r>
        <w:rPr>
          <w:rFonts w:ascii="Arial" w:hAnsi="Arial" w:cs="Arial"/>
        </w:rPr>
        <w:t>37.</w:t>
      </w:r>
      <w:r>
        <w:rPr>
          <w:rFonts w:ascii="Arial" w:hAnsi="Arial" w:cs="Arial"/>
        </w:rPr>
        <w:tab/>
      </w:r>
      <w:r w:rsidR="00024BAE" w:rsidRPr="00F07B5D">
        <w:rPr>
          <w:rFonts w:ascii="Arial" w:hAnsi="Arial" w:cs="Arial"/>
        </w:rPr>
        <w:t xml:space="preserve">I disagree.  If Mr Jack was at all material time aware that the mortgage bonds were not registered over the properties, it </w:t>
      </w:r>
      <w:r w:rsidR="00A1070F" w:rsidRPr="00F07B5D">
        <w:rPr>
          <w:rFonts w:ascii="Arial" w:hAnsi="Arial" w:cs="Arial"/>
        </w:rPr>
        <w:t>would not behove him to come months thereafter to ask the court to exercise its discretion in his favour to have the mortgage bonds registered over the properties</w:t>
      </w:r>
      <w:r w:rsidR="00E921ED" w:rsidRPr="00F07B5D">
        <w:rPr>
          <w:rFonts w:ascii="Arial" w:hAnsi="Arial" w:cs="Arial"/>
        </w:rPr>
        <w:t xml:space="preserve"> which are subject to the restraint order.</w:t>
      </w:r>
      <w:r w:rsidR="00D70561" w:rsidRPr="00F07B5D">
        <w:rPr>
          <w:rFonts w:ascii="Arial" w:hAnsi="Arial" w:cs="Arial"/>
        </w:rPr>
        <w:t xml:space="preserve">  </w:t>
      </w:r>
      <w:proofErr w:type="spellStart"/>
      <w:r w:rsidR="00D70561" w:rsidRPr="00F07B5D">
        <w:rPr>
          <w:rFonts w:ascii="Arial" w:hAnsi="Arial" w:cs="Arial"/>
        </w:rPr>
        <w:t>Moreso</w:t>
      </w:r>
      <w:proofErr w:type="spellEnd"/>
      <w:r w:rsidR="00D70561" w:rsidRPr="00F07B5D">
        <w:rPr>
          <w:rFonts w:ascii="Arial" w:hAnsi="Arial" w:cs="Arial"/>
        </w:rPr>
        <w:t xml:space="preserve"> when the relief sought and the exercise of the discretion has the potential to be prejudicial to the state and to undermine the objectives of POCA.</w:t>
      </w:r>
    </w:p>
    <w:p w14:paraId="0C9DDF88" w14:textId="394D0B32" w:rsidR="004D1897" w:rsidRPr="00F07B5D" w:rsidRDefault="00F07B5D" w:rsidP="00F07B5D">
      <w:pPr>
        <w:spacing w:line="480" w:lineRule="auto"/>
        <w:ind w:left="550" w:hanging="550"/>
        <w:rPr>
          <w:rFonts w:ascii="Arial" w:hAnsi="Arial" w:cs="Arial"/>
        </w:rPr>
      </w:pPr>
      <w:r>
        <w:rPr>
          <w:rFonts w:ascii="Arial" w:hAnsi="Arial" w:cs="Arial"/>
        </w:rPr>
        <w:t>38.</w:t>
      </w:r>
      <w:r>
        <w:rPr>
          <w:rFonts w:ascii="Arial" w:hAnsi="Arial" w:cs="Arial"/>
        </w:rPr>
        <w:tab/>
      </w:r>
      <w:r w:rsidR="00E921ED" w:rsidRPr="00F07B5D">
        <w:rPr>
          <w:rFonts w:ascii="Arial" w:hAnsi="Arial" w:cs="Arial"/>
        </w:rPr>
        <w:t xml:space="preserve">In the circumstances, </w:t>
      </w:r>
      <w:r w:rsidR="004D1897" w:rsidRPr="00F07B5D">
        <w:rPr>
          <w:rFonts w:ascii="Arial" w:hAnsi="Arial" w:cs="Arial"/>
        </w:rPr>
        <w:t>I am not convinced to exercise my discretion in favour of Mr Jack.  Therefore, I would make the following order:</w:t>
      </w:r>
    </w:p>
    <w:p w14:paraId="7973BDED" w14:textId="5FBB3453" w:rsidR="00E15FC4" w:rsidRPr="00E15FC4" w:rsidRDefault="004D1897" w:rsidP="004D1897">
      <w:pPr>
        <w:pStyle w:val="ListParagraph"/>
        <w:spacing w:line="480" w:lineRule="auto"/>
        <w:ind w:left="550"/>
        <w:rPr>
          <w:rFonts w:ascii="Arial" w:hAnsi="Arial" w:cs="Arial"/>
        </w:rPr>
      </w:pPr>
      <w:r>
        <w:rPr>
          <w:rFonts w:ascii="Arial" w:hAnsi="Arial" w:cs="Arial"/>
        </w:rPr>
        <w:t>The application is dismissed with costs.</w:t>
      </w:r>
    </w:p>
    <w:p w14:paraId="722F2B22" w14:textId="77777777" w:rsidR="003A1920" w:rsidRDefault="003A1920" w:rsidP="00E15FC4">
      <w:pPr>
        <w:spacing w:line="480" w:lineRule="auto"/>
        <w:rPr>
          <w:rFonts w:ascii="Arial" w:hAnsi="Arial" w:cs="Arial"/>
        </w:rPr>
      </w:pPr>
    </w:p>
    <w:p w14:paraId="6E5ADA29" w14:textId="77777777" w:rsidR="004B3BA1" w:rsidRDefault="004B3BA1" w:rsidP="00E15FC4">
      <w:pPr>
        <w:spacing w:line="480" w:lineRule="auto"/>
        <w:rPr>
          <w:rFonts w:ascii="Arial" w:hAnsi="Arial" w:cs="Arial"/>
        </w:rPr>
      </w:pPr>
    </w:p>
    <w:p w14:paraId="2748A624" w14:textId="60C0D7C3" w:rsidR="004B3BA1" w:rsidRDefault="004B3BA1" w:rsidP="004B3BA1">
      <w:pPr>
        <w:spacing w:line="480" w:lineRule="auto"/>
        <w:jc w:val="right"/>
        <w:rPr>
          <w:rFonts w:ascii="Arial" w:hAnsi="Arial" w:cs="Arial"/>
        </w:rPr>
      </w:pPr>
      <w:r>
        <w:rPr>
          <w:rFonts w:ascii="Arial" w:hAnsi="Arial" w:cs="Arial"/>
        </w:rPr>
        <w:t>________________</w:t>
      </w:r>
    </w:p>
    <w:p w14:paraId="7C58432A" w14:textId="52534FA4" w:rsidR="004B3BA1" w:rsidRDefault="004B3BA1" w:rsidP="004B3BA1">
      <w:pPr>
        <w:spacing w:line="480" w:lineRule="auto"/>
        <w:jc w:val="right"/>
        <w:rPr>
          <w:rFonts w:ascii="Arial" w:hAnsi="Arial" w:cs="Arial"/>
        </w:rPr>
      </w:pPr>
      <w:r>
        <w:rPr>
          <w:rFonts w:ascii="Arial" w:hAnsi="Arial" w:cs="Arial"/>
        </w:rPr>
        <w:t>Slingers J</w:t>
      </w:r>
    </w:p>
    <w:p w14:paraId="43B80558" w14:textId="1F4CF3A4" w:rsidR="00C47342" w:rsidRPr="003A1920" w:rsidRDefault="00C47342" w:rsidP="004B3BA1">
      <w:pPr>
        <w:spacing w:line="480" w:lineRule="auto"/>
        <w:jc w:val="right"/>
        <w:rPr>
          <w:rFonts w:ascii="Arial" w:hAnsi="Arial" w:cs="Arial"/>
        </w:rPr>
      </w:pPr>
      <w:r>
        <w:rPr>
          <w:rFonts w:ascii="Arial" w:hAnsi="Arial" w:cs="Arial"/>
        </w:rPr>
        <w:t>26 June 2023</w:t>
      </w:r>
    </w:p>
    <w:sectPr w:rsidR="00C47342" w:rsidRPr="003A1920" w:rsidSect="00630F7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E03D" w14:textId="77777777" w:rsidR="007A5AA4" w:rsidRDefault="007A5AA4" w:rsidP="004C0E41">
      <w:r>
        <w:separator/>
      </w:r>
    </w:p>
  </w:endnote>
  <w:endnote w:type="continuationSeparator" w:id="0">
    <w:p w14:paraId="0860DEBB" w14:textId="77777777" w:rsidR="007A5AA4" w:rsidRDefault="007A5AA4" w:rsidP="004C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B5E6" w14:textId="77777777" w:rsidR="007A5AA4" w:rsidRDefault="007A5AA4" w:rsidP="004C0E41">
      <w:r>
        <w:separator/>
      </w:r>
    </w:p>
  </w:footnote>
  <w:footnote w:type="continuationSeparator" w:id="0">
    <w:p w14:paraId="425BE810" w14:textId="77777777" w:rsidR="007A5AA4" w:rsidRDefault="007A5AA4" w:rsidP="004C0E41">
      <w:r>
        <w:continuationSeparator/>
      </w:r>
    </w:p>
  </w:footnote>
  <w:footnote w:id="1">
    <w:p w14:paraId="587F8254" w14:textId="77777777" w:rsidR="00F26624" w:rsidRPr="00EF0B60" w:rsidRDefault="00F26624" w:rsidP="00F26624">
      <w:pPr>
        <w:pStyle w:val="FootnoteText"/>
        <w:rPr>
          <w:lang w:val="en-US"/>
        </w:rPr>
      </w:pPr>
      <w:r>
        <w:rPr>
          <w:rStyle w:val="FootnoteReference"/>
        </w:rPr>
        <w:footnoteRef/>
      </w:r>
      <w:r>
        <w:t xml:space="preserve"> </w:t>
      </w:r>
      <w:r>
        <w:rPr>
          <w:lang w:val="en-US"/>
        </w:rPr>
        <w:t xml:space="preserve">Section 28 of POCA; </w:t>
      </w:r>
      <w:r>
        <w:rPr>
          <w:i/>
          <w:iCs/>
          <w:lang w:val="en-US"/>
        </w:rPr>
        <w:t xml:space="preserve">Fraser v ABSA Bank Ltd (NDPP as Amicus Curiae) </w:t>
      </w:r>
      <w:r>
        <w:rPr>
          <w:lang w:val="en-US"/>
        </w:rPr>
        <w:t>2007 (3) SA 484 (CC) at para [12]</w:t>
      </w:r>
    </w:p>
  </w:footnote>
  <w:footnote w:id="2">
    <w:p w14:paraId="2EB7AF27" w14:textId="77777777" w:rsidR="00F26624" w:rsidRPr="00983D92" w:rsidRDefault="00F26624" w:rsidP="00F26624">
      <w:pPr>
        <w:pStyle w:val="FootnoteText"/>
        <w:rPr>
          <w:lang w:val="en-US"/>
        </w:rPr>
      </w:pPr>
      <w:r>
        <w:rPr>
          <w:rStyle w:val="FootnoteReference"/>
        </w:rPr>
        <w:footnoteRef/>
      </w:r>
      <w:r>
        <w:t xml:space="preserve"> </w:t>
      </w:r>
      <w:r>
        <w:rPr>
          <w:i/>
          <w:iCs/>
          <w:lang w:val="en-US"/>
        </w:rPr>
        <w:t xml:space="preserve">National Director of Public Prosecutions v </w:t>
      </w:r>
      <w:proofErr w:type="spellStart"/>
      <w:r>
        <w:rPr>
          <w:i/>
          <w:iCs/>
          <w:lang w:val="en-US"/>
        </w:rPr>
        <w:t>Rebuzzi</w:t>
      </w:r>
      <w:proofErr w:type="spellEnd"/>
      <w:r>
        <w:rPr>
          <w:i/>
          <w:iCs/>
          <w:lang w:val="en-US"/>
        </w:rPr>
        <w:t xml:space="preserve"> </w:t>
      </w:r>
      <w:r>
        <w:rPr>
          <w:lang w:val="en-US"/>
        </w:rPr>
        <w:t>(94/2000) [2001] ZASCA 127 (23 November 2001) at para [4]</w:t>
      </w:r>
    </w:p>
  </w:footnote>
  <w:footnote w:id="3">
    <w:p w14:paraId="36F2910F" w14:textId="77777777" w:rsidR="00F26624" w:rsidRPr="007C7983" w:rsidRDefault="00F26624" w:rsidP="00F26624">
      <w:pPr>
        <w:pStyle w:val="FootnoteText"/>
        <w:rPr>
          <w:lang w:val="en-US"/>
        </w:rPr>
      </w:pPr>
      <w:r>
        <w:rPr>
          <w:rStyle w:val="FootnoteReference"/>
        </w:rPr>
        <w:footnoteRef/>
      </w:r>
      <w:r>
        <w:t xml:space="preserve"> </w:t>
      </w:r>
      <w:proofErr w:type="gramStart"/>
      <w:r>
        <w:t xml:space="preserve">“ </w:t>
      </w:r>
      <w:r>
        <w:rPr>
          <w:lang w:val="en-US"/>
        </w:rPr>
        <w:t>‘</w:t>
      </w:r>
      <w:proofErr w:type="gramEnd"/>
      <w:r>
        <w:rPr>
          <w:lang w:val="en-US"/>
        </w:rPr>
        <w:t>Defendant’ is a person against whom a prosecution for an offence has been instituted irrespective of whether he or she has been convicted or not, and includes a person referred to in section 25(1)(b) of POCA.”-  Albert Kruger</w:t>
      </w:r>
      <w:r>
        <w:rPr>
          <w:i/>
          <w:iCs/>
          <w:lang w:val="en-US"/>
        </w:rPr>
        <w:t xml:space="preserve"> </w:t>
      </w:r>
      <w:proofErr w:type="spellStart"/>
      <w:r>
        <w:rPr>
          <w:i/>
          <w:iCs/>
          <w:lang w:val="en-US"/>
        </w:rPr>
        <w:t>Organised</w:t>
      </w:r>
      <w:proofErr w:type="spellEnd"/>
      <w:r>
        <w:rPr>
          <w:i/>
          <w:iCs/>
          <w:lang w:val="en-US"/>
        </w:rPr>
        <w:t xml:space="preserve"> Crime and Proceeds of Crime Law in South Africa, </w:t>
      </w:r>
      <w:r>
        <w:rPr>
          <w:lang w:val="en-US"/>
        </w:rPr>
        <w:t xml:space="preserve">LexisNexis, </w:t>
      </w:r>
      <w:proofErr w:type="spellStart"/>
      <w:r>
        <w:rPr>
          <w:lang w:val="en-US"/>
        </w:rPr>
        <w:t>pg</w:t>
      </w:r>
      <w:proofErr w:type="spellEnd"/>
      <w:r>
        <w:rPr>
          <w:lang w:val="en-US"/>
        </w:rPr>
        <w:t xml:space="preserve"> 62</w:t>
      </w:r>
    </w:p>
  </w:footnote>
  <w:footnote w:id="4">
    <w:p w14:paraId="12B3AC37" w14:textId="77777777" w:rsidR="00F26624" w:rsidRPr="00802AD8" w:rsidRDefault="00F26624" w:rsidP="00F26624">
      <w:pPr>
        <w:pStyle w:val="FootnoteText"/>
        <w:rPr>
          <w:lang w:val="en-US"/>
        </w:rPr>
      </w:pPr>
      <w:r w:rsidRPr="00E340BD">
        <w:rPr>
          <w:rStyle w:val="FootnoteReference"/>
        </w:rPr>
        <w:footnoteRef/>
      </w:r>
      <w:r w:rsidRPr="00E340BD">
        <w:t xml:space="preserve"> </w:t>
      </w:r>
      <w:r w:rsidRPr="00E340BD">
        <w:rPr>
          <w:i/>
          <w:iCs/>
          <w:lang w:val="en-US"/>
        </w:rPr>
        <w:t>NDPP v Tam and Others</w:t>
      </w:r>
      <w:r w:rsidRPr="00E340BD">
        <w:rPr>
          <w:lang w:val="en-US"/>
        </w:rPr>
        <w:t xml:space="preserve"> 2004 (1) SACR 126 (W) at 129</w:t>
      </w:r>
    </w:p>
  </w:footnote>
  <w:footnote w:id="5">
    <w:p w14:paraId="39D8C182" w14:textId="27D458A2" w:rsidR="00D07ACB" w:rsidRPr="00D07ACB" w:rsidRDefault="00D07ACB">
      <w:pPr>
        <w:pStyle w:val="FootnoteText"/>
        <w:rPr>
          <w:lang w:val="en-US"/>
        </w:rPr>
      </w:pPr>
      <w:r>
        <w:rPr>
          <w:rStyle w:val="FootnoteReference"/>
        </w:rPr>
        <w:footnoteRef/>
      </w:r>
      <w:r>
        <w:t xml:space="preserve"> </w:t>
      </w:r>
      <w:r>
        <w:rPr>
          <w:lang w:val="en-US"/>
        </w:rPr>
        <w:t xml:space="preserve">Erf 389, Erf 3325 and Erf 12061 are collectively referred to as ‘the </w:t>
      </w:r>
      <w:r w:rsidR="00E40979">
        <w:rPr>
          <w:lang w:val="en-US"/>
        </w:rPr>
        <w:t>properties’</w:t>
      </w:r>
      <w:r>
        <w:rPr>
          <w:lang w:val="en-US"/>
        </w:rPr>
        <w:t>.</w:t>
      </w:r>
    </w:p>
  </w:footnote>
  <w:footnote w:id="6">
    <w:p w14:paraId="620B092A" w14:textId="16BF5655" w:rsidR="00DF34DD" w:rsidRPr="00DF34DD" w:rsidRDefault="00DF34DD">
      <w:pPr>
        <w:pStyle w:val="FootnoteText"/>
        <w:rPr>
          <w:lang w:val="en-US"/>
        </w:rPr>
      </w:pPr>
      <w:r>
        <w:rPr>
          <w:rStyle w:val="FootnoteReference"/>
        </w:rPr>
        <w:footnoteRef/>
      </w:r>
      <w:r>
        <w:t xml:space="preserve"> </w:t>
      </w:r>
      <w:r>
        <w:rPr>
          <w:lang w:val="en-US"/>
        </w:rPr>
        <w:t>The sixth respondent</w:t>
      </w:r>
    </w:p>
  </w:footnote>
  <w:footnote w:id="7">
    <w:p w14:paraId="07226337" w14:textId="34A97C92" w:rsidR="004A5A06" w:rsidRPr="00FB4BE8" w:rsidRDefault="004A5A06">
      <w:pPr>
        <w:pStyle w:val="FootnoteText"/>
      </w:pPr>
      <w:r>
        <w:rPr>
          <w:rStyle w:val="FootnoteReference"/>
        </w:rPr>
        <w:footnoteRef/>
      </w:r>
      <w:r>
        <w:t xml:space="preserve"> </w:t>
      </w:r>
      <w:r>
        <w:rPr>
          <w:i/>
          <w:iCs/>
        </w:rPr>
        <w:t>Fraser v Absa Bank Ltd (National Director of Public Prosecutions as Amicus Curiae)</w:t>
      </w:r>
      <w:r w:rsidR="00FB4BE8">
        <w:t xml:space="preserve"> 2007 (3) SA 484 (CC) at para [1]</w:t>
      </w:r>
    </w:p>
    <w:p w14:paraId="6731F1E9" w14:textId="77777777" w:rsidR="004A5A06" w:rsidRPr="004A5A06" w:rsidRDefault="004A5A06">
      <w:pPr>
        <w:pStyle w:val="FootnoteText"/>
        <w:rPr>
          <w:lang w:val="en-US"/>
        </w:rPr>
      </w:pPr>
    </w:p>
  </w:footnote>
  <w:footnote w:id="8">
    <w:p w14:paraId="7EE7ED55" w14:textId="7CCEF4FA" w:rsidR="00460CF3" w:rsidRPr="00E305AA" w:rsidRDefault="00460CF3">
      <w:pPr>
        <w:pStyle w:val="FootnoteText"/>
        <w:rPr>
          <w:lang w:val="en-US"/>
        </w:rPr>
      </w:pPr>
      <w:r>
        <w:rPr>
          <w:rStyle w:val="FootnoteReference"/>
        </w:rPr>
        <w:footnoteRef/>
      </w:r>
      <w:r>
        <w:t xml:space="preserve"> </w:t>
      </w:r>
      <w:r w:rsidR="00E305AA">
        <w:rPr>
          <w:i/>
          <w:iCs/>
        </w:rPr>
        <w:t xml:space="preserve">Natal Joint Municipal Pension Fund v </w:t>
      </w:r>
      <w:proofErr w:type="spellStart"/>
      <w:r w:rsidR="00E305AA">
        <w:rPr>
          <w:i/>
          <w:iCs/>
        </w:rPr>
        <w:t>Endumeni</w:t>
      </w:r>
      <w:proofErr w:type="spellEnd"/>
      <w:r w:rsidR="00E305AA">
        <w:rPr>
          <w:i/>
          <w:iCs/>
        </w:rPr>
        <w:t xml:space="preserve"> Municipality</w:t>
      </w:r>
      <w:r w:rsidR="00E305AA">
        <w:t xml:space="preserve"> 2012 (4) SA 593 (SCA)</w:t>
      </w:r>
    </w:p>
  </w:footnote>
  <w:footnote w:id="9">
    <w:p w14:paraId="0EF9E2DD" w14:textId="77777777" w:rsidR="00D47669" w:rsidRPr="00C53531" w:rsidRDefault="00D47669" w:rsidP="00D47669">
      <w:pPr>
        <w:pStyle w:val="FootnoteText"/>
        <w:rPr>
          <w:lang w:val="en-US"/>
        </w:rPr>
      </w:pPr>
      <w:r>
        <w:rPr>
          <w:rStyle w:val="FootnoteReference"/>
        </w:rPr>
        <w:footnoteRef/>
      </w:r>
      <w:r>
        <w:t xml:space="preserve"> </w:t>
      </w:r>
      <w:r>
        <w:rPr>
          <w:i/>
          <w:iCs/>
        </w:rPr>
        <w:t xml:space="preserve">Phillips and Others </w:t>
      </w:r>
      <w:proofErr w:type="gramStart"/>
      <w:r>
        <w:rPr>
          <w:i/>
          <w:iCs/>
        </w:rPr>
        <w:t>v</w:t>
      </w:r>
      <w:proofErr w:type="gramEnd"/>
      <w:r>
        <w:rPr>
          <w:i/>
          <w:iCs/>
        </w:rPr>
        <w:t xml:space="preserve"> National Director of Public Prosecutions</w:t>
      </w:r>
      <w:r>
        <w:t xml:space="preserve"> 2006 (1) SA 505 CC</w:t>
      </w:r>
    </w:p>
  </w:footnote>
  <w:footnote w:id="10">
    <w:p w14:paraId="6FBD33C7" w14:textId="0D90DDE2" w:rsidR="00B259D5" w:rsidRPr="000B7BE2" w:rsidRDefault="00B259D5">
      <w:pPr>
        <w:pStyle w:val="FootnoteText"/>
        <w:rPr>
          <w:i/>
          <w:iCs/>
          <w:lang w:val="en-US"/>
        </w:rPr>
      </w:pPr>
      <w:r>
        <w:rPr>
          <w:rStyle w:val="FootnoteReference"/>
        </w:rPr>
        <w:footnoteRef/>
      </w:r>
      <w:r>
        <w:t xml:space="preserve"> </w:t>
      </w:r>
      <w:r>
        <w:rPr>
          <w:lang w:val="en-US"/>
        </w:rPr>
        <w:t>Proceeds of unlawful activit</w:t>
      </w:r>
      <w:r w:rsidR="000B7BE2">
        <w:rPr>
          <w:lang w:val="en-US"/>
        </w:rPr>
        <w:t xml:space="preserve">ies are defined as </w:t>
      </w:r>
      <w:r w:rsidR="000B7BE2">
        <w:rPr>
          <w:i/>
          <w:iCs/>
          <w:lang w:val="en-US"/>
        </w:rPr>
        <w:t>‘any property or any service, advantage, benefit or reward which was derived, received or retained, directly or indirectly, in the Republic or elsewhere, at any time before or after the commencement of this Act</w:t>
      </w:r>
      <w:r w:rsidR="00F0617D">
        <w:rPr>
          <w:i/>
          <w:iCs/>
          <w:lang w:val="en-US"/>
        </w:rPr>
        <w:t>, in connection with or as a result of any unlawful activity carried on by any person, and includes any property so derived.’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B60"/>
    <w:multiLevelType w:val="hybridMultilevel"/>
    <w:tmpl w:val="0D548C40"/>
    <w:lvl w:ilvl="0" w:tplc="41CCA374">
      <w:start w:val="1"/>
      <w:numFmt w:val="lowerLetter"/>
      <w:lvlText w:val="(%1)"/>
      <w:lvlJc w:val="left"/>
      <w:pPr>
        <w:ind w:left="1270" w:hanging="360"/>
      </w:pPr>
      <w:rPr>
        <w:rFonts w:hint="default"/>
      </w:rPr>
    </w:lvl>
    <w:lvl w:ilvl="1" w:tplc="08090019" w:tentative="1">
      <w:start w:val="1"/>
      <w:numFmt w:val="lowerLetter"/>
      <w:lvlText w:val="%2."/>
      <w:lvlJc w:val="left"/>
      <w:pPr>
        <w:ind w:left="1990" w:hanging="360"/>
      </w:pPr>
    </w:lvl>
    <w:lvl w:ilvl="2" w:tplc="0809001B" w:tentative="1">
      <w:start w:val="1"/>
      <w:numFmt w:val="lowerRoman"/>
      <w:lvlText w:val="%3."/>
      <w:lvlJc w:val="right"/>
      <w:pPr>
        <w:ind w:left="2710" w:hanging="180"/>
      </w:pPr>
    </w:lvl>
    <w:lvl w:ilvl="3" w:tplc="0809000F" w:tentative="1">
      <w:start w:val="1"/>
      <w:numFmt w:val="decimal"/>
      <w:lvlText w:val="%4."/>
      <w:lvlJc w:val="left"/>
      <w:pPr>
        <w:ind w:left="3430" w:hanging="360"/>
      </w:pPr>
    </w:lvl>
    <w:lvl w:ilvl="4" w:tplc="08090019" w:tentative="1">
      <w:start w:val="1"/>
      <w:numFmt w:val="lowerLetter"/>
      <w:lvlText w:val="%5."/>
      <w:lvlJc w:val="left"/>
      <w:pPr>
        <w:ind w:left="4150" w:hanging="360"/>
      </w:pPr>
    </w:lvl>
    <w:lvl w:ilvl="5" w:tplc="0809001B" w:tentative="1">
      <w:start w:val="1"/>
      <w:numFmt w:val="lowerRoman"/>
      <w:lvlText w:val="%6."/>
      <w:lvlJc w:val="right"/>
      <w:pPr>
        <w:ind w:left="4870" w:hanging="180"/>
      </w:pPr>
    </w:lvl>
    <w:lvl w:ilvl="6" w:tplc="0809000F" w:tentative="1">
      <w:start w:val="1"/>
      <w:numFmt w:val="decimal"/>
      <w:lvlText w:val="%7."/>
      <w:lvlJc w:val="left"/>
      <w:pPr>
        <w:ind w:left="5590" w:hanging="360"/>
      </w:pPr>
    </w:lvl>
    <w:lvl w:ilvl="7" w:tplc="08090019" w:tentative="1">
      <w:start w:val="1"/>
      <w:numFmt w:val="lowerLetter"/>
      <w:lvlText w:val="%8."/>
      <w:lvlJc w:val="left"/>
      <w:pPr>
        <w:ind w:left="6310" w:hanging="360"/>
      </w:pPr>
    </w:lvl>
    <w:lvl w:ilvl="8" w:tplc="0809001B" w:tentative="1">
      <w:start w:val="1"/>
      <w:numFmt w:val="lowerRoman"/>
      <w:lvlText w:val="%9."/>
      <w:lvlJc w:val="right"/>
      <w:pPr>
        <w:ind w:left="7030" w:hanging="180"/>
      </w:pPr>
    </w:lvl>
  </w:abstractNum>
  <w:abstractNum w:abstractNumId="1" w15:restartNumberingAfterBreak="0">
    <w:nsid w:val="04125C32"/>
    <w:multiLevelType w:val="hybridMultilevel"/>
    <w:tmpl w:val="91DC2FAE"/>
    <w:lvl w:ilvl="0" w:tplc="A9525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31628"/>
    <w:multiLevelType w:val="hybridMultilevel"/>
    <w:tmpl w:val="2348E518"/>
    <w:lvl w:ilvl="0" w:tplc="F40068A4">
      <w:start w:val="1"/>
      <w:numFmt w:val="decimal"/>
      <w:lvlText w:val="%1."/>
      <w:lvlJc w:val="left"/>
      <w:pPr>
        <w:ind w:left="113" w:hanging="113"/>
      </w:pPr>
      <w:rPr>
        <w:rFonts w:ascii="Arial" w:hAnsi="Arial" w:hint="default"/>
        <w:b w:val="0"/>
        <w:i w:val="0"/>
        <w:color w:val="auto"/>
        <w:sz w:val="24"/>
      </w:rPr>
    </w:lvl>
    <w:lvl w:ilvl="1" w:tplc="08090019">
      <w:start w:val="1"/>
      <w:numFmt w:val="lowerLetter"/>
      <w:lvlText w:val="%2."/>
      <w:lvlJc w:val="left"/>
      <w:pPr>
        <w:ind w:left="929" w:hanging="360"/>
      </w:pPr>
    </w:lvl>
    <w:lvl w:ilvl="2" w:tplc="0809001B" w:tentative="1">
      <w:start w:val="1"/>
      <w:numFmt w:val="lowerRoman"/>
      <w:lvlText w:val="%3."/>
      <w:lvlJc w:val="right"/>
      <w:pPr>
        <w:ind w:left="1649" w:hanging="180"/>
      </w:pPr>
    </w:lvl>
    <w:lvl w:ilvl="3" w:tplc="0809000F" w:tentative="1">
      <w:start w:val="1"/>
      <w:numFmt w:val="decimal"/>
      <w:lvlText w:val="%4."/>
      <w:lvlJc w:val="left"/>
      <w:pPr>
        <w:ind w:left="2369" w:hanging="360"/>
      </w:pPr>
    </w:lvl>
    <w:lvl w:ilvl="4" w:tplc="08090019" w:tentative="1">
      <w:start w:val="1"/>
      <w:numFmt w:val="lowerLetter"/>
      <w:lvlText w:val="%5."/>
      <w:lvlJc w:val="left"/>
      <w:pPr>
        <w:ind w:left="3089" w:hanging="360"/>
      </w:pPr>
    </w:lvl>
    <w:lvl w:ilvl="5" w:tplc="0809001B" w:tentative="1">
      <w:start w:val="1"/>
      <w:numFmt w:val="lowerRoman"/>
      <w:lvlText w:val="%6."/>
      <w:lvlJc w:val="right"/>
      <w:pPr>
        <w:ind w:left="3809" w:hanging="180"/>
      </w:pPr>
    </w:lvl>
    <w:lvl w:ilvl="6" w:tplc="0809000F" w:tentative="1">
      <w:start w:val="1"/>
      <w:numFmt w:val="decimal"/>
      <w:lvlText w:val="%7."/>
      <w:lvlJc w:val="left"/>
      <w:pPr>
        <w:ind w:left="4529" w:hanging="360"/>
      </w:pPr>
    </w:lvl>
    <w:lvl w:ilvl="7" w:tplc="08090019" w:tentative="1">
      <w:start w:val="1"/>
      <w:numFmt w:val="lowerLetter"/>
      <w:lvlText w:val="%8."/>
      <w:lvlJc w:val="left"/>
      <w:pPr>
        <w:ind w:left="5249" w:hanging="360"/>
      </w:pPr>
    </w:lvl>
    <w:lvl w:ilvl="8" w:tplc="0809001B" w:tentative="1">
      <w:start w:val="1"/>
      <w:numFmt w:val="lowerRoman"/>
      <w:lvlText w:val="%9."/>
      <w:lvlJc w:val="right"/>
      <w:pPr>
        <w:ind w:left="5969" w:hanging="180"/>
      </w:pPr>
    </w:lvl>
  </w:abstractNum>
  <w:abstractNum w:abstractNumId="3" w15:restartNumberingAfterBreak="0">
    <w:nsid w:val="0E0E5F88"/>
    <w:multiLevelType w:val="hybridMultilevel"/>
    <w:tmpl w:val="AF3648FA"/>
    <w:lvl w:ilvl="0" w:tplc="FEC67F64">
      <w:start w:val="1"/>
      <w:numFmt w:val="decimal"/>
      <w:lvlText w:val="[%1]"/>
      <w:lvlJc w:val="left"/>
      <w:pPr>
        <w:ind w:left="1222" w:hanging="360"/>
      </w:pPr>
      <w:rPr>
        <w:rFonts w:ascii="Times New Roman" w:eastAsia="Arial Unicode MS" w:hAnsi="Times New Roman" w:cs="Times New Roman" w:hint="default"/>
        <w:b w:val="0"/>
        <w:i w:val="0"/>
        <w:sz w:val="26"/>
        <w:szCs w:val="26"/>
      </w:rPr>
    </w:lvl>
    <w:lvl w:ilvl="1" w:tplc="85A21986">
      <w:start w:val="1"/>
      <w:numFmt w:val="lowerLetter"/>
      <w:lvlText w:val="%2."/>
      <w:lvlJc w:val="left"/>
      <w:pPr>
        <w:ind w:left="1942" w:hanging="360"/>
      </w:pPr>
      <w:rPr>
        <w:b w:val="0"/>
      </w:rPr>
    </w:lvl>
    <w:lvl w:ilvl="2" w:tplc="1C09001B">
      <w:start w:val="1"/>
      <w:numFmt w:val="lowerRoman"/>
      <w:lvlText w:val="%3."/>
      <w:lvlJc w:val="right"/>
      <w:pPr>
        <w:ind w:left="2842" w:hanging="360"/>
      </w:pPr>
      <w:rPr>
        <w:rFonts w:hint="default"/>
        <w:b w:val="0"/>
      </w:r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15:restartNumberingAfterBreak="0">
    <w:nsid w:val="1DF02A0B"/>
    <w:multiLevelType w:val="hybridMultilevel"/>
    <w:tmpl w:val="CC90536C"/>
    <w:lvl w:ilvl="0" w:tplc="D87CB192">
      <w:start w:val="1"/>
      <w:numFmt w:val="lowerLetter"/>
      <w:lvlText w:val="(%1)"/>
      <w:lvlJc w:val="left"/>
      <w:pPr>
        <w:ind w:left="910" w:hanging="36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5" w15:restartNumberingAfterBreak="0">
    <w:nsid w:val="55015780"/>
    <w:multiLevelType w:val="hybridMultilevel"/>
    <w:tmpl w:val="775A1922"/>
    <w:lvl w:ilvl="0" w:tplc="A9D869DC">
      <w:start w:val="1"/>
      <w:numFmt w:val="lowerRoman"/>
      <w:lvlText w:val="(%1)"/>
      <w:lvlJc w:val="left"/>
      <w:pPr>
        <w:ind w:left="1430" w:hanging="880"/>
      </w:pPr>
      <w:rPr>
        <w:rFonts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abstractNum w:abstractNumId="6" w15:restartNumberingAfterBreak="0">
    <w:nsid w:val="5838374C"/>
    <w:multiLevelType w:val="hybridMultilevel"/>
    <w:tmpl w:val="DE5ACCFC"/>
    <w:lvl w:ilvl="0" w:tplc="8924B442">
      <w:start w:val="1"/>
      <w:numFmt w:val="decimal"/>
      <w:lvlText w:val="%1."/>
      <w:lvlJc w:val="left"/>
      <w:pPr>
        <w:ind w:left="550" w:hanging="550"/>
      </w:pPr>
      <w:rPr>
        <w:rFonts w:ascii="Arial" w:hAnsi="Arial" w:hint="default"/>
        <w:b w:val="0"/>
        <w:i w:val="0"/>
        <w:color w:val="auto"/>
        <w:sz w:val="24"/>
      </w:rPr>
    </w:lvl>
    <w:lvl w:ilvl="1" w:tplc="08090019" w:tentative="1">
      <w:start w:val="1"/>
      <w:numFmt w:val="lowerLetter"/>
      <w:lvlText w:val="%2."/>
      <w:lvlJc w:val="left"/>
      <w:pPr>
        <w:ind w:left="1270" w:hanging="360"/>
      </w:p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abstractNum w:abstractNumId="7" w15:restartNumberingAfterBreak="0">
    <w:nsid w:val="5D794734"/>
    <w:multiLevelType w:val="hybridMultilevel"/>
    <w:tmpl w:val="6E481BFA"/>
    <w:lvl w:ilvl="0" w:tplc="402433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F8D3472"/>
    <w:multiLevelType w:val="hybridMultilevel"/>
    <w:tmpl w:val="34B21F68"/>
    <w:lvl w:ilvl="0" w:tplc="A4607F82">
      <w:start w:val="1"/>
      <w:numFmt w:val="lowerRoman"/>
      <w:lvlText w:val="(%1)"/>
      <w:lvlJc w:val="left"/>
      <w:pPr>
        <w:ind w:left="1990" w:hanging="720"/>
      </w:pPr>
      <w:rPr>
        <w:rFonts w:hint="default"/>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9" w15:restartNumberingAfterBreak="0">
    <w:nsid w:val="72784306"/>
    <w:multiLevelType w:val="hybridMultilevel"/>
    <w:tmpl w:val="A316368C"/>
    <w:lvl w:ilvl="0" w:tplc="947E2910">
      <w:start w:val="1"/>
      <w:numFmt w:val="lowerRoman"/>
      <w:lvlText w:val="(%1)"/>
      <w:lvlJc w:val="left"/>
      <w:pPr>
        <w:ind w:left="1270" w:hanging="720"/>
      </w:pPr>
      <w:rPr>
        <w:rFonts w:eastAsia="Calibri" w:hint="default"/>
      </w:rPr>
    </w:lvl>
    <w:lvl w:ilvl="1" w:tplc="08090019" w:tentative="1">
      <w:start w:val="1"/>
      <w:numFmt w:val="lowerLetter"/>
      <w:lvlText w:val="%2."/>
      <w:lvlJc w:val="left"/>
      <w:pPr>
        <w:ind w:left="1630" w:hanging="360"/>
      </w:pPr>
    </w:lvl>
    <w:lvl w:ilvl="2" w:tplc="0809001B" w:tentative="1">
      <w:start w:val="1"/>
      <w:numFmt w:val="lowerRoman"/>
      <w:lvlText w:val="%3."/>
      <w:lvlJc w:val="right"/>
      <w:pPr>
        <w:ind w:left="2350" w:hanging="180"/>
      </w:pPr>
    </w:lvl>
    <w:lvl w:ilvl="3" w:tplc="0809000F" w:tentative="1">
      <w:start w:val="1"/>
      <w:numFmt w:val="decimal"/>
      <w:lvlText w:val="%4."/>
      <w:lvlJc w:val="left"/>
      <w:pPr>
        <w:ind w:left="3070" w:hanging="360"/>
      </w:pPr>
    </w:lvl>
    <w:lvl w:ilvl="4" w:tplc="08090019" w:tentative="1">
      <w:start w:val="1"/>
      <w:numFmt w:val="lowerLetter"/>
      <w:lvlText w:val="%5."/>
      <w:lvlJc w:val="left"/>
      <w:pPr>
        <w:ind w:left="3790" w:hanging="360"/>
      </w:pPr>
    </w:lvl>
    <w:lvl w:ilvl="5" w:tplc="0809001B" w:tentative="1">
      <w:start w:val="1"/>
      <w:numFmt w:val="lowerRoman"/>
      <w:lvlText w:val="%6."/>
      <w:lvlJc w:val="right"/>
      <w:pPr>
        <w:ind w:left="4510" w:hanging="180"/>
      </w:pPr>
    </w:lvl>
    <w:lvl w:ilvl="6" w:tplc="0809000F" w:tentative="1">
      <w:start w:val="1"/>
      <w:numFmt w:val="decimal"/>
      <w:lvlText w:val="%7."/>
      <w:lvlJc w:val="left"/>
      <w:pPr>
        <w:ind w:left="5230" w:hanging="360"/>
      </w:pPr>
    </w:lvl>
    <w:lvl w:ilvl="7" w:tplc="08090019" w:tentative="1">
      <w:start w:val="1"/>
      <w:numFmt w:val="lowerLetter"/>
      <w:lvlText w:val="%8."/>
      <w:lvlJc w:val="left"/>
      <w:pPr>
        <w:ind w:left="5950" w:hanging="360"/>
      </w:pPr>
    </w:lvl>
    <w:lvl w:ilvl="8" w:tplc="0809001B" w:tentative="1">
      <w:start w:val="1"/>
      <w:numFmt w:val="lowerRoman"/>
      <w:lvlText w:val="%9."/>
      <w:lvlJc w:val="right"/>
      <w:pPr>
        <w:ind w:left="6670" w:hanging="180"/>
      </w:pPr>
    </w:lvl>
  </w:abstractNum>
  <w:num w:numId="1">
    <w:abstractNumId w:val="2"/>
  </w:num>
  <w:num w:numId="2">
    <w:abstractNumId w:val="6"/>
  </w:num>
  <w:num w:numId="3">
    <w:abstractNumId w:val="1"/>
  </w:num>
  <w:num w:numId="4">
    <w:abstractNumId w:val="9"/>
  </w:num>
  <w:num w:numId="5">
    <w:abstractNumId w:val="5"/>
  </w:num>
  <w:num w:numId="6">
    <w:abstractNumId w:val="7"/>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0D"/>
    <w:rsid w:val="0000371B"/>
    <w:rsid w:val="0000415D"/>
    <w:rsid w:val="00012C9C"/>
    <w:rsid w:val="00024BAE"/>
    <w:rsid w:val="00026FB5"/>
    <w:rsid w:val="000362EB"/>
    <w:rsid w:val="00054C2C"/>
    <w:rsid w:val="00073203"/>
    <w:rsid w:val="00077D11"/>
    <w:rsid w:val="000872D6"/>
    <w:rsid w:val="000B7BE2"/>
    <w:rsid w:val="000E41CE"/>
    <w:rsid w:val="001035B1"/>
    <w:rsid w:val="00136075"/>
    <w:rsid w:val="00151A00"/>
    <w:rsid w:val="00155D94"/>
    <w:rsid w:val="00165836"/>
    <w:rsid w:val="001979A8"/>
    <w:rsid w:val="001B58D9"/>
    <w:rsid w:val="001E2DC6"/>
    <w:rsid w:val="0020376B"/>
    <w:rsid w:val="00244E1B"/>
    <w:rsid w:val="00250B94"/>
    <w:rsid w:val="00266F70"/>
    <w:rsid w:val="00272217"/>
    <w:rsid w:val="002832AB"/>
    <w:rsid w:val="002B2AAB"/>
    <w:rsid w:val="002B7ABE"/>
    <w:rsid w:val="002B7EEE"/>
    <w:rsid w:val="002E14BF"/>
    <w:rsid w:val="002E53EF"/>
    <w:rsid w:val="00301700"/>
    <w:rsid w:val="00311867"/>
    <w:rsid w:val="0031622A"/>
    <w:rsid w:val="00330CDA"/>
    <w:rsid w:val="0034647A"/>
    <w:rsid w:val="003572C9"/>
    <w:rsid w:val="00373D32"/>
    <w:rsid w:val="0038506E"/>
    <w:rsid w:val="003951C8"/>
    <w:rsid w:val="003A1920"/>
    <w:rsid w:val="003C25C1"/>
    <w:rsid w:val="003C7BF2"/>
    <w:rsid w:val="003F0FDD"/>
    <w:rsid w:val="00417973"/>
    <w:rsid w:val="00424806"/>
    <w:rsid w:val="00437F6D"/>
    <w:rsid w:val="00440A3C"/>
    <w:rsid w:val="004519B7"/>
    <w:rsid w:val="00460CF3"/>
    <w:rsid w:val="0049714B"/>
    <w:rsid w:val="00497DF4"/>
    <w:rsid w:val="004A278C"/>
    <w:rsid w:val="004A5A06"/>
    <w:rsid w:val="004B3BA1"/>
    <w:rsid w:val="004C0E41"/>
    <w:rsid w:val="004C5450"/>
    <w:rsid w:val="004D1897"/>
    <w:rsid w:val="004E13FA"/>
    <w:rsid w:val="004E4002"/>
    <w:rsid w:val="004F2FEF"/>
    <w:rsid w:val="00521A0D"/>
    <w:rsid w:val="00524DEA"/>
    <w:rsid w:val="005300CF"/>
    <w:rsid w:val="00536020"/>
    <w:rsid w:val="00560438"/>
    <w:rsid w:val="00593E00"/>
    <w:rsid w:val="00593F78"/>
    <w:rsid w:val="00596DE9"/>
    <w:rsid w:val="005A0075"/>
    <w:rsid w:val="005A2161"/>
    <w:rsid w:val="005A6FCE"/>
    <w:rsid w:val="005C0A3F"/>
    <w:rsid w:val="005E6F92"/>
    <w:rsid w:val="005F713E"/>
    <w:rsid w:val="00604CFF"/>
    <w:rsid w:val="00630F77"/>
    <w:rsid w:val="006454D0"/>
    <w:rsid w:val="0065047D"/>
    <w:rsid w:val="006518AA"/>
    <w:rsid w:val="006542B1"/>
    <w:rsid w:val="00654C47"/>
    <w:rsid w:val="006602C1"/>
    <w:rsid w:val="006660A5"/>
    <w:rsid w:val="00685B98"/>
    <w:rsid w:val="006A7D9F"/>
    <w:rsid w:val="006B0361"/>
    <w:rsid w:val="006C299F"/>
    <w:rsid w:val="006C4B96"/>
    <w:rsid w:val="006F628A"/>
    <w:rsid w:val="007260CB"/>
    <w:rsid w:val="007353F5"/>
    <w:rsid w:val="007417AA"/>
    <w:rsid w:val="007608B8"/>
    <w:rsid w:val="0077351D"/>
    <w:rsid w:val="007A5AA4"/>
    <w:rsid w:val="007C5BE3"/>
    <w:rsid w:val="007C7983"/>
    <w:rsid w:val="007D01FA"/>
    <w:rsid w:val="007E4723"/>
    <w:rsid w:val="007F25F1"/>
    <w:rsid w:val="00802AD8"/>
    <w:rsid w:val="0082209A"/>
    <w:rsid w:val="00844783"/>
    <w:rsid w:val="008712B1"/>
    <w:rsid w:val="0088330E"/>
    <w:rsid w:val="0089109F"/>
    <w:rsid w:val="008A3375"/>
    <w:rsid w:val="008E4047"/>
    <w:rsid w:val="00922184"/>
    <w:rsid w:val="00922DB6"/>
    <w:rsid w:val="009532FF"/>
    <w:rsid w:val="00957B8E"/>
    <w:rsid w:val="00964917"/>
    <w:rsid w:val="009707C6"/>
    <w:rsid w:val="00971D51"/>
    <w:rsid w:val="009818A0"/>
    <w:rsid w:val="00983D92"/>
    <w:rsid w:val="009850B5"/>
    <w:rsid w:val="009E2383"/>
    <w:rsid w:val="00A1070F"/>
    <w:rsid w:val="00A1549F"/>
    <w:rsid w:val="00A54BF2"/>
    <w:rsid w:val="00A93042"/>
    <w:rsid w:val="00AA076F"/>
    <w:rsid w:val="00AC7CC5"/>
    <w:rsid w:val="00AE58DB"/>
    <w:rsid w:val="00AF17B8"/>
    <w:rsid w:val="00B11AE7"/>
    <w:rsid w:val="00B144B2"/>
    <w:rsid w:val="00B16677"/>
    <w:rsid w:val="00B259D5"/>
    <w:rsid w:val="00B318B6"/>
    <w:rsid w:val="00B436B2"/>
    <w:rsid w:val="00B65158"/>
    <w:rsid w:val="00B7253B"/>
    <w:rsid w:val="00B74A0C"/>
    <w:rsid w:val="00B90425"/>
    <w:rsid w:val="00B93757"/>
    <w:rsid w:val="00BA482D"/>
    <w:rsid w:val="00BB6662"/>
    <w:rsid w:val="00C06F4B"/>
    <w:rsid w:val="00C323FF"/>
    <w:rsid w:val="00C47342"/>
    <w:rsid w:val="00C53531"/>
    <w:rsid w:val="00C657E8"/>
    <w:rsid w:val="00CC787F"/>
    <w:rsid w:val="00CE0584"/>
    <w:rsid w:val="00CE1E0B"/>
    <w:rsid w:val="00CE53FB"/>
    <w:rsid w:val="00CF7533"/>
    <w:rsid w:val="00D0333F"/>
    <w:rsid w:val="00D07ACB"/>
    <w:rsid w:val="00D15782"/>
    <w:rsid w:val="00D42D75"/>
    <w:rsid w:val="00D47669"/>
    <w:rsid w:val="00D60BB0"/>
    <w:rsid w:val="00D6186D"/>
    <w:rsid w:val="00D62B0F"/>
    <w:rsid w:val="00D70561"/>
    <w:rsid w:val="00DF34DD"/>
    <w:rsid w:val="00DF602A"/>
    <w:rsid w:val="00E056EC"/>
    <w:rsid w:val="00E14DA3"/>
    <w:rsid w:val="00E15FC4"/>
    <w:rsid w:val="00E302D4"/>
    <w:rsid w:val="00E305AA"/>
    <w:rsid w:val="00E340BD"/>
    <w:rsid w:val="00E40979"/>
    <w:rsid w:val="00E5126E"/>
    <w:rsid w:val="00E5201B"/>
    <w:rsid w:val="00E54273"/>
    <w:rsid w:val="00E66240"/>
    <w:rsid w:val="00E73669"/>
    <w:rsid w:val="00E9209B"/>
    <w:rsid w:val="00E921ED"/>
    <w:rsid w:val="00EE4ECF"/>
    <w:rsid w:val="00EF0B60"/>
    <w:rsid w:val="00EF3A24"/>
    <w:rsid w:val="00F0617D"/>
    <w:rsid w:val="00F07B5D"/>
    <w:rsid w:val="00F1082A"/>
    <w:rsid w:val="00F26624"/>
    <w:rsid w:val="00F43896"/>
    <w:rsid w:val="00F61039"/>
    <w:rsid w:val="00F64F81"/>
    <w:rsid w:val="00F701F0"/>
    <w:rsid w:val="00F74BD2"/>
    <w:rsid w:val="00F77D99"/>
    <w:rsid w:val="00F80569"/>
    <w:rsid w:val="00FA5A6E"/>
    <w:rsid w:val="00FB0EC8"/>
    <w:rsid w:val="00FB4BE8"/>
    <w:rsid w:val="00FC50A1"/>
    <w:rsid w:val="00FE1AF8"/>
    <w:rsid w:val="00F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5F30"/>
  <w14:defaultImageDpi w14:val="32767"/>
  <w15:chartTrackingRefBased/>
  <w15:docId w15:val="{43146802-7046-F34D-A9F1-78E6082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0D"/>
    <w:pPr>
      <w:widowControl w:val="0"/>
      <w:overflowPunct w:val="0"/>
      <w:adjustRightInd w:val="0"/>
    </w:pPr>
    <w:rPr>
      <w:rFonts w:ascii="Times New Roman" w:eastAsia="Times New Roman" w:hAnsi="Times New Roman" w:cs="Times New Roman"/>
      <w:kern w:val="28"/>
      <w:lang w:val="en-ZA" w:eastAsia="en-ZA"/>
      <w14:ligatures w14:val="none"/>
    </w:rPr>
  </w:style>
  <w:style w:type="paragraph" w:styleId="Heading2">
    <w:name w:val="heading 2"/>
    <w:basedOn w:val="Normal"/>
    <w:link w:val="Heading2Char"/>
    <w:uiPriority w:val="9"/>
    <w:qFormat/>
    <w:rsid w:val="00CE53FB"/>
    <w:pPr>
      <w:widowControl/>
      <w:overflowPunct/>
      <w:adjustRightInd/>
      <w:spacing w:before="100" w:beforeAutospacing="1" w:after="100" w:afterAutospacing="1"/>
      <w:outlineLvl w:val="1"/>
    </w:pPr>
    <w:rPr>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C4"/>
    <w:pPr>
      <w:ind w:left="720"/>
      <w:contextualSpacing/>
    </w:pPr>
  </w:style>
  <w:style w:type="paragraph" w:styleId="FootnoteText">
    <w:name w:val="footnote text"/>
    <w:basedOn w:val="Normal"/>
    <w:link w:val="FootnoteTextChar"/>
    <w:uiPriority w:val="99"/>
    <w:semiHidden/>
    <w:unhideWhenUsed/>
    <w:rsid w:val="004C0E41"/>
    <w:rPr>
      <w:sz w:val="20"/>
      <w:szCs w:val="20"/>
    </w:rPr>
  </w:style>
  <w:style w:type="character" w:customStyle="1" w:styleId="FootnoteTextChar">
    <w:name w:val="Footnote Text Char"/>
    <w:basedOn w:val="DefaultParagraphFont"/>
    <w:link w:val="FootnoteText"/>
    <w:uiPriority w:val="99"/>
    <w:semiHidden/>
    <w:rsid w:val="004C0E41"/>
    <w:rPr>
      <w:rFonts w:ascii="Times New Roman" w:eastAsia="Times New Roman" w:hAnsi="Times New Roman" w:cs="Times New Roman"/>
      <w:kern w:val="28"/>
      <w:sz w:val="20"/>
      <w:szCs w:val="20"/>
      <w:lang w:val="en-ZA" w:eastAsia="en-ZA"/>
      <w14:ligatures w14:val="none"/>
    </w:rPr>
  </w:style>
  <w:style w:type="character" w:styleId="FootnoteReference">
    <w:name w:val="footnote reference"/>
    <w:basedOn w:val="DefaultParagraphFont"/>
    <w:uiPriority w:val="99"/>
    <w:semiHidden/>
    <w:unhideWhenUsed/>
    <w:rsid w:val="004C0E41"/>
    <w:rPr>
      <w:vertAlign w:val="superscript"/>
    </w:rPr>
  </w:style>
  <w:style w:type="character" w:customStyle="1" w:styleId="Heading2Char">
    <w:name w:val="Heading 2 Char"/>
    <w:basedOn w:val="DefaultParagraphFont"/>
    <w:link w:val="Heading2"/>
    <w:uiPriority w:val="9"/>
    <w:rsid w:val="00CE53FB"/>
    <w:rPr>
      <w:rFonts w:ascii="Times New Roman" w:eastAsia="Times New Roman" w:hAnsi="Times New Roman" w:cs="Times New Roman"/>
      <w:b/>
      <w:bCs/>
      <w:kern w:val="0"/>
      <w:sz w:val="36"/>
      <w:szCs w:val="36"/>
      <w:lang w:val="en-ZA" w:eastAsia="en-GB"/>
      <w14:ligatures w14:val="none"/>
    </w:rPr>
  </w:style>
  <w:style w:type="character" w:customStyle="1" w:styleId="g1">
    <w:name w:val="g1"/>
    <w:basedOn w:val="DefaultParagraphFont"/>
    <w:rsid w:val="00604CFF"/>
  </w:style>
  <w:style w:type="character" w:styleId="Hyperlink">
    <w:name w:val="Hyperlink"/>
    <w:basedOn w:val="DefaultParagraphFont"/>
    <w:uiPriority w:val="99"/>
    <w:semiHidden/>
    <w:unhideWhenUsed/>
    <w:rsid w:val="00604CFF"/>
    <w:rPr>
      <w:color w:val="0000FF"/>
      <w:u w:val="single"/>
    </w:rPr>
  </w:style>
  <w:style w:type="character" w:customStyle="1" w:styleId="apple-converted-space">
    <w:name w:val="apple-converted-space"/>
    <w:basedOn w:val="DefaultParagraphFont"/>
    <w:rsid w:val="00604CFF"/>
  </w:style>
  <w:style w:type="character" w:customStyle="1" w:styleId="mc">
    <w:name w:val="mc"/>
    <w:basedOn w:val="DefaultParagraphFont"/>
    <w:rsid w:val="0060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6323">
      <w:bodyDiv w:val="1"/>
      <w:marLeft w:val="0"/>
      <w:marRight w:val="0"/>
      <w:marTop w:val="0"/>
      <w:marBottom w:val="0"/>
      <w:divBdr>
        <w:top w:val="none" w:sz="0" w:space="0" w:color="auto"/>
        <w:left w:val="none" w:sz="0" w:space="0" w:color="auto"/>
        <w:bottom w:val="none" w:sz="0" w:space="0" w:color="auto"/>
        <w:right w:val="none" w:sz="0" w:space="0" w:color="auto"/>
      </w:divBdr>
      <w:divsChild>
        <w:div w:id="844592815">
          <w:marLeft w:val="0"/>
          <w:marRight w:val="0"/>
          <w:marTop w:val="120"/>
          <w:marBottom w:val="0"/>
          <w:divBdr>
            <w:top w:val="none" w:sz="0" w:space="0" w:color="auto"/>
            <w:left w:val="none" w:sz="0" w:space="0" w:color="auto"/>
            <w:bottom w:val="none" w:sz="0" w:space="0" w:color="auto"/>
            <w:right w:val="none" w:sz="0" w:space="0" w:color="auto"/>
          </w:divBdr>
        </w:div>
        <w:div w:id="1207984103">
          <w:marLeft w:val="1134"/>
          <w:marRight w:val="0"/>
          <w:marTop w:val="60"/>
          <w:marBottom w:val="0"/>
          <w:divBdr>
            <w:top w:val="none" w:sz="0" w:space="0" w:color="auto"/>
            <w:left w:val="none" w:sz="0" w:space="0" w:color="auto"/>
            <w:bottom w:val="none" w:sz="0" w:space="0" w:color="auto"/>
            <w:right w:val="none" w:sz="0" w:space="0" w:color="auto"/>
          </w:divBdr>
        </w:div>
        <w:div w:id="1114638519">
          <w:marLeft w:val="1134"/>
          <w:marRight w:val="0"/>
          <w:marTop w:val="60"/>
          <w:marBottom w:val="0"/>
          <w:divBdr>
            <w:top w:val="none" w:sz="0" w:space="0" w:color="auto"/>
            <w:left w:val="none" w:sz="0" w:space="0" w:color="auto"/>
            <w:bottom w:val="none" w:sz="0" w:space="0" w:color="auto"/>
            <w:right w:val="none" w:sz="0" w:space="0" w:color="auto"/>
          </w:divBdr>
        </w:div>
        <w:div w:id="1907186808">
          <w:marLeft w:val="0"/>
          <w:marRight w:val="0"/>
          <w:marTop w:val="120"/>
          <w:marBottom w:val="0"/>
          <w:divBdr>
            <w:top w:val="none" w:sz="0" w:space="0" w:color="auto"/>
            <w:left w:val="none" w:sz="0" w:space="0" w:color="auto"/>
            <w:bottom w:val="none" w:sz="0" w:space="0" w:color="auto"/>
            <w:right w:val="none" w:sz="0" w:space="0" w:color="auto"/>
          </w:divBdr>
        </w:div>
      </w:divsChild>
    </w:div>
    <w:div w:id="600916836">
      <w:bodyDiv w:val="1"/>
      <w:marLeft w:val="0"/>
      <w:marRight w:val="0"/>
      <w:marTop w:val="0"/>
      <w:marBottom w:val="0"/>
      <w:divBdr>
        <w:top w:val="none" w:sz="0" w:space="0" w:color="auto"/>
        <w:left w:val="none" w:sz="0" w:space="0" w:color="auto"/>
        <w:bottom w:val="none" w:sz="0" w:space="0" w:color="auto"/>
        <w:right w:val="none" w:sz="0" w:space="0" w:color="auto"/>
      </w:divBdr>
    </w:div>
    <w:div w:id="1270964107">
      <w:bodyDiv w:val="1"/>
      <w:marLeft w:val="0"/>
      <w:marRight w:val="0"/>
      <w:marTop w:val="0"/>
      <w:marBottom w:val="0"/>
      <w:divBdr>
        <w:top w:val="none" w:sz="0" w:space="0" w:color="auto"/>
        <w:left w:val="none" w:sz="0" w:space="0" w:color="auto"/>
        <w:bottom w:val="none" w:sz="0" w:space="0" w:color="auto"/>
        <w:right w:val="none" w:sz="0" w:space="0" w:color="auto"/>
      </w:divBdr>
      <w:divsChild>
        <w:div w:id="1137265581">
          <w:marLeft w:val="0"/>
          <w:marRight w:val="0"/>
          <w:marTop w:val="120"/>
          <w:marBottom w:val="0"/>
          <w:divBdr>
            <w:top w:val="none" w:sz="0" w:space="0" w:color="auto"/>
            <w:left w:val="none" w:sz="0" w:space="0" w:color="auto"/>
            <w:bottom w:val="none" w:sz="0" w:space="0" w:color="auto"/>
            <w:right w:val="none" w:sz="0" w:space="0" w:color="auto"/>
          </w:divBdr>
        </w:div>
      </w:divsChild>
    </w:div>
    <w:div w:id="1333994371">
      <w:bodyDiv w:val="1"/>
      <w:marLeft w:val="0"/>
      <w:marRight w:val="0"/>
      <w:marTop w:val="0"/>
      <w:marBottom w:val="0"/>
      <w:divBdr>
        <w:top w:val="none" w:sz="0" w:space="0" w:color="auto"/>
        <w:left w:val="none" w:sz="0" w:space="0" w:color="auto"/>
        <w:bottom w:val="none" w:sz="0" w:space="0" w:color="auto"/>
        <w:right w:val="none" w:sz="0" w:space="0" w:color="auto"/>
      </w:divBdr>
      <w:divsChild>
        <w:div w:id="697003692">
          <w:marLeft w:val="0"/>
          <w:marRight w:val="0"/>
          <w:marTop w:val="120"/>
          <w:marBottom w:val="0"/>
          <w:divBdr>
            <w:top w:val="none" w:sz="0" w:space="0" w:color="auto"/>
            <w:left w:val="none" w:sz="0" w:space="0" w:color="auto"/>
            <w:bottom w:val="none" w:sz="0" w:space="0" w:color="auto"/>
            <w:right w:val="none" w:sz="0" w:space="0" w:color="auto"/>
          </w:divBdr>
        </w:div>
        <w:div w:id="1735004539">
          <w:marLeft w:val="1134"/>
          <w:marRight w:val="0"/>
          <w:marTop w:val="60"/>
          <w:marBottom w:val="0"/>
          <w:divBdr>
            <w:top w:val="none" w:sz="0" w:space="0" w:color="auto"/>
            <w:left w:val="none" w:sz="0" w:space="0" w:color="auto"/>
            <w:bottom w:val="none" w:sz="0" w:space="0" w:color="auto"/>
            <w:right w:val="none" w:sz="0" w:space="0" w:color="auto"/>
          </w:divBdr>
        </w:div>
        <w:div w:id="500700161">
          <w:marLeft w:val="1134"/>
          <w:marRight w:val="0"/>
          <w:marTop w:val="60"/>
          <w:marBottom w:val="0"/>
          <w:divBdr>
            <w:top w:val="none" w:sz="0" w:space="0" w:color="auto"/>
            <w:left w:val="none" w:sz="0" w:space="0" w:color="auto"/>
            <w:bottom w:val="none" w:sz="0" w:space="0" w:color="auto"/>
            <w:right w:val="none" w:sz="0" w:space="0" w:color="auto"/>
          </w:divBdr>
        </w:div>
        <w:div w:id="2073116236">
          <w:marLeft w:val="1134"/>
          <w:marRight w:val="0"/>
          <w:marTop w:val="60"/>
          <w:marBottom w:val="0"/>
          <w:divBdr>
            <w:top w:val="none" w:sz="0" w:space="0" w:color="auto"/>
            <w:left w:val="none" w:sz="0" w:space="0" w:color="auto"/>
            <w:bottom w:val="none" w:sz="0" w:space="0" w:color="auto"/>
            <w:right w:val="none" w:sz="0" w:space="0" w:color="auto"/>
          </w:divBdr>
        </w:div>
        <w:div w:id="2174354">
          <w:marLeft w:val="1985"/>
          <w:marRight w:val="0"/>
          <w:marTop w:val="60"/>
          <w:marBottom w:val="0"/>
          <w:divBdr>
            <w:top w:val="none" w:sz="0" w:space="0" w:color="auto"/>
            <w:left w:val="none" w:sz="0" w:space="0" w:color="auto"/>
            <w:bottom w:val="none" w:sz="0" w:space="0" w:color="auto"/>
            <w:right w:val="none" w:sz="0" w:space="0" w:color="auto"/>
          </w:divBdr>
        </w:div>
        <w:div w:id="1140420441">
          <w:marLeft w:val="1985"/>
          <w:marRight w:val="0"/>
          <w:marTop w:val="60"/>
          <w:marBottom w:val="0"/>
          <w:divBdr>
            <w:top w:val="none" w:sz="0" w:space="0" w:color="auto"/>
            <w:left w:val="none" w:sz="0" w:space="0" w:color="auto"/>
            <w:bottom w:val="none" w:sz="0" w:space="0" w:color="auto"/>
            <w:right w:val="none" w:sz="0" w:space="0" w:color="auto"/>
          </w:divBdr>
        </w:div>
        <w:div w:id="1123571253">
          <w:marLeft w:val="1134"/>
          <w:marRight w:val="0"/>
          <w:marTop w:val="60"/>
          <w:marBottom w:val="0"/>
          <w:divBdr>
            <w:top w:val="none" w:sz="0" w:space="0" w:color="auto"/>
            <w:left w:val="none" w:sz="0" w:space="0" w:color="auto"/>
            <w:bottom w:val="none" w:sz="0" w:space="0" w:color="auto"/>
            <w:right w:val="none" w:sz="0" w:space="0" w:color="auto"/>
          </w:divBdr>
        </w:div>
      </w:divsChild>
    </w:div>
    <w:div w:id="1507747045">
      <w:bodyDiv w:val="1"/>
      <w:marLeft w:val="0"/>
      <w:marRight w:val="0"/>
      <w:marTop w:val="0"/>
      <w:marBottom w:val="0"/>
      <w:divBdr>
        <w:top w:val="none" w:sz="0" w:space="0" w:color="auto"/>
        <w:left w:val="none" w:sz="0" w:space="0" w:color="auto"/>
        <w:bottom w:val="none" w:sz="0" w:space="0" w:color="auto"/>
        <w:right w:val="none" w:sz="0" w:space="0" w:color="auto"/>
      </w:divBdr>
      <w:divsChild>
        <w:div w:id="329336700">
          <w:marLeft w:val="0"/>
          <w:marRight w:val="0"/>
          <w:marTop w:val="240"/>
          <w:marBottom w:val="0"/>
          <w:divBdr>
            <w:top w:val="none" w:sz="0" w:space="0" w:color="auto"/>
            <w:left w:val="none" w:sz="0" w:space="0" w:color="auto"/>
            <w:bottom w:val="none" w:sz="0" w:space="0" w:color="auto"/>
            <w:right w:val="none" w:sz="0" w:space="0" w:color="auto"/>
          </w:divBdr>
        </w:div>
        <w:div w:id="1967470499">
          <w:marLeft w:val="0"/>
          <w:marRight w:val="0"/>
          <w:marTop w:val="120"/>
          <w:marBottom w:val="0"/>
          <w:divBdr>
            <w:top w:val="none" w:sz="0" w:space="0" w:color="auto"/>
            <w:left w:val="none" w:sz="0" w:space="0" w:color="auto"/>
            <w:bottom w:val="none" w:sz="0" w:space="0" w:color="auto"/>
            <w:right w:val="none" w:sz="0" w:space="0" w:color="auto"/>
          </w:divBdr>
        </w:div>
        <w:div w:id="193231922">
          <w:marLeft w:val="1134"/>
          <w:marRight w:val="0"/>
          <w:marTop w:val="60"/>
          <w:marBottom w:val="0"/>
          <w:divBdr>
            <w:top w:val="none" w:sz="0" w:space="0" w:color="auto"/>
            <w:left w:val="none" w:sz="0" w:space="0" w:color="auto"/>
            <w:bottom w:val="none" w:sz="0" w:space="0" w:color="auto"/>
            <w:right w:val="none" w:sz="0" w:space="0" w:color="auto"/>
          </w:divBdr>
        </w:div>
        <w:div w:id="870383944">
          <w:marLeft w:val="1134"/>
          <w:marRight w:val="0"/>
          <w:marTop w:val="60"/>
          <w:marBottom w:val="0"/>
          <w:divBdr>
            <w:top w:val="none" w:sz="0" w:space="0" w:color="auto"/>
            <w:left w:val="none" w:sz="0" w:space="0" w:color="auto"/>
            <w:bottom w:val="none" w:sz="0" w:space="0" w:color="auto"/>
            <w:right w:val="none" w:sz="0" w:space="0" w:color="auto"/>
          </w:divBdr>
        </w:div>
        <w:div w:id="756756427">
          <w:marLeft w:val="0"/>
          <w:marRight w:val="0"/>
          <w:marTop w:val="120"/>
          <w:marBottom w:val="0"/>
          <w:divBdr>
            <w:top w:val="none" w:sz="0" w:space="0" w:color="auto"/>
            <w:left w:val="none" w:sz="0" w:space="0" w:color="auto"/>
            <w:bottom w:val="none" w:sz="0" w:space="0" w:color="auto"/>
            <w:right w:val="none" w:sz="0" w:space="0" w:color="auto"/>
          </w:divBdr>
        </w:div>
        <w:div w:id="51850662">
          <w:marLeft w:val="0"/>
          <w:marRight w:val="0"/>
          <w:marTop w:val="120"/>
          <w:marBottom w:val="0"/>
          <w:divBdr>
            <w:top w:val="none" w:sz="0" w:space="0" w:color="auto"/>
            <w:left w:val="none" w:sz="0" w:space="0" w:color="auto"/>
            <w:bottom w:val="none" w:sz="0" w:space="0" w:color="auto"/>
            <w:right w:val="none" w:sz="0" w:space="0" w:color="auto"/>
          </w:divBdr>
        </w:div>
        <w:div w:id="1154831382">
          <w:marLeft w:val="1134"/>
          <w:marRight w:val="0"/>
          <w:marTop w:val="60"/>
          <w:marBottom w:val="0"/>
          <w:divBdr>
            <w:top w:val="none" w:sz="0" w:space="0" w:color="auto"/>
            <w:left w:val="none" w:sz="0" w:space="0" w:color="auto"/>
            <w:bottom w:val="none" w:sz="0" w:space="0" w:color="auto"/>
            <w:right w:val="none" w:sz="0" w:space="0" w:color="auto"/>
          </w:divBdr>
        </w:div>
        <w:div w:id="1854606860">
          <w:marLeft w:val="1134"/>
          <w:marRight w:val="0"/>
          <w:marTop w:val="60"/>
          <w:marBottom w:val="0"/>
          <w:divBdr>
            <w:top w:val="none" w:sz="0" w:space="0" w:color="auto"/>
            <w:left w:val="none" w:sz="0" w:space="0" w:color="auto"/>
            <w:bottom w:val="none" w:sz="0" w:space="0" w:color="auto"/>
            <w:right w:val="none" w:sz="0" w:space="0" w:color="auto"/>
          </w:divBdr>
        </w:div>
        <w:div w:id="1813712603">
          <w:marLeft w:val="1134"/>
          <w:marRight w:val="0"/>
          <w:marTop w:val="60"/>
          <w:marBottom w:val="0"/>
          <w:divBdr>
            <w:top w:val="none" w:sz="0" w:space="0" w:color="auto"/>
            <w:left w:val="none" w:sz="0" w:space="0" w:color="auto"/>
            <w:bottom w:val="none" w:sz="0" w:space="0" w:color="auto"/>
            <w:right w:val="none" w:sz="0" w:space="0" w:color="auto"/>
          </w:divBdr>
        </w:div>
        <w:div w:id="2057778517">
          <w:marLeft w:val="1985"/>
          <w:marRight w:val="0"/>
          <w:marTop w:val="60"/>
          <w:marBottom w:val="0"/>
          <w:divBdr>
            <w:top w:val="none" w:sz="0" w:space="0" w:color="auto"/>
            <w:left w:val="none" w:sz="0" w:space="0" w:color="auto"/>
            <w:bottom w:val="none" w:sz="0" w:space="0" w:color="auto"/>
            <w:right w:val="none" w:sz="0" w:space="0" w:color="auto"/>
          </w:divBdr>
        </w:div>
        <w:div w:id="587662484">
          <w:marLeft w:val="1985"/>
          <w:marRight w:val="0"/>
          <w:marTop w:val="60"/>
          <w:marBottom w:val="0"/>
          <w:divBdr>
            <w:top w:val="none" w:sz="0" w:space="0" w:color="auto"/>
            <w:left w:val="none" w:sz="0" w:space="0" w:color="auto"/>
            <w:bottom w:val="none" w:sz="0" w:space="0" w:color="auto"/>
            <w:right w:val="none" w:sz="0" w:space="0" w:color="auto"/>
          </w:divBdr>
        </w:div>
        <w:div w:id="831139779">
          <w:marLeft w:val="1134"/>
          <w:marRight w:val="0"/>
          <w:marTop w:val="60"/>
          <w:marBottom w:val="0"/>
          <w:divBdr>
            <w:top w:val="none" w:sz="0" w:space="0" w:color="auto"/>
            <w:left w:val="none" w:sz="0" w:space="0" w:color="auto"/>
            <w:bottom w:val="none" w:sz="0" w:space="0" w:color="auto"/>
            <w:right w:val="none" w:sz="0" w:space="0" w:color="auto"/>
          </w:divBdr>
        </w:div>
      </w:divsChild>
    </w:div>
    <w:div w:id="1933313371">
      <w:bodyDiv w:val="1"/>
      <w:marLeft w:val="0"/>
      <w:marRight w:val="0"/>
      <w:marTop w:val="0"/>
      <w:marBottom w:val="0"/>
      <w:divBdr>
        <w:top w:val="none" w:sz="0" w:space="0" w:color="auto"/>
        <w:left w:val="none" w:sz="0" w:space="0" w:color="auto"/>
        <w:bottom w:val="none" w:sz="0" w:space="0" w:color="auto"/>
        <w:right w:val="none" w:sz="0" w:space="0" w:color="auto"/>
      </w:divBdr>
      <w:divsChild>
        <w:div w:id="1044256703">
          <w:marLeft w:val="1134"/>
          <w:marRight w:val="0"/>
          <w:marTop w:val="60"/>
          <w:marBottom w:val="0"/>
          <w:divBdr>
            <w:top w:val="none" w:sz="0" w:space="0" w:color="auto"/>
            <w:left w:val="none" w:sz="0" w:space="0" w:color="auto"/>
            <w:bottom w:val="none" w:sz="0" w:space="0" w:color="auto"/>
            <w:right w:val="none" w:sz="0" w:space="0" w:color="auto"/>
          </w:divBdr>
        </w:div>
        <w:div w:id="425349981">
          <w:marLeft w:val="1134"/>
          <w:marRight w:val="0"/>
          <w:marTop w:val="60"/>
          <w:marBottom w:val="0"/>
          <w:divBdr>
            <w:top w:val="none" w:sz="0" w:space="0" w:color="auto"/>
            <w:left w:val="none" w:sz="0" w:space="0" w:color="auto"/>
            <w:bottom w:val="none" w:sz="0" w:space="0" w:color="auto"/>
            <w:right w:val="none" w:sz="0" w:space="0" w:color="auto"/>
          </w:divBdr>
        </w:div>
        <w:div w:id="628975669">
          <w:marLeft w:val="1985"/>
          <w:marRight w:val="0"/>
          <w:marTop w:val="60"/>
          <w:marBottom w:val="0"/>
          <w:divBdr>
            <w:top w:val="none" w:sz="0" w:space="0" w:color="auto"/>
            <w:left w:val="none" w:sz="0" w:space="0" w:color="auto"/>
            <w:bottom w:val="none" w:sz="0" w:space="0" w:color="auto"/>
            <w:right w:val="none" w:sz="0" w:space="0" w:color="auto"/>
          </w:divBdr>
        </w:div>
        <w:div w:id="1421293974">
          <w:marLeft w:val="1985"/>
          <w:marRight w:val="0"/>
          <w:marTop w:val="60"/>
          <w:marBottom w:val="0"/>
          <w:divBdr>
            <w:top w:val="none" w:sz="0" w:space="0" w:color="auto"/>
            <w:left w:val="none" w:sz="0" w:space="0" w:color="auto"/>
            <w:bottom w:val="none" w:sz="0" w:space="0" w:color="auto"/>
            <w:right w:val="none" w:sz="0" w:space="0" w:color="auto"/>
          </w:divBdr>
        </w:div>
        <w:div w:id="1290016636">
          <w:marLeft w:val="1134"/>
          <w:marRight w:val="0"/>
          <w:marTop w:val="60"/>
          <w:marBottom w:val="0"/>
          <w:divBdr>
            <w:top w:val="none" w:sz="0" w:space="0" w:color="auto"/>
            <w:left w:val="none" w:sz="0" w:space="0" w:color="auto"/>
            <w:bottom w:val="none" w:sz="0" w:space="0" w:color="auto"/>
            <w:right w:val="none" w:sz="0" w:space="0" w:color="auto"/>
          </w:divBdr>
        </w:div>
      </w:divsChild>
    </w:div>
    <w:div w:id="1996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9EAC-C5B4-40E2-A2CA-D85AFA62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Slingers</dc:creator>
  <cp:keywords/>
  <dc:description/>
  <cp:lastModifiedBy>Mary Bruce</cp:lastModifiedBy>
  <cp:revision>4</cp:revision>
  <dcterms:created xsi:type="dcterms:W3CDTF">2023-06-23T07:14:00Z</dcterms:created>
  <dcterms:modified xsi:type="dcterms:W3CDTF">2023-11-20T13:05:00Z</dcterms:modified>
</cp:coreProperties>
</file>