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BBE42" w14:textId="77777777" w:rsidR="003F48AD" w:rsidRPr="00DB2A06" w:rsidRDefault="003F48AD" w:rsidP="003F48AD">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EF14587" w14:textId="77777777" w:rsidR="003F48AD" w:rsidRDefault="003F48AD" w:rsidP="002D4876">
      <w:pPr>
        <w:jc w:val="center"/>
        <w:rPr>
          <w:rFonts w:ascii="Times New Roman" w:hAnsi="Times New Roman" w:cs="Times New Roman"/>
          <w:b/>
          <w:bCs/>
          <w:sz w:val="26"/>
          <w:szCs w:val="26"/>
          <w:u w:val="single"/>
        </w:rPr>
      </w:pPr>
    </w:p>
    <w:p w14:paraId="790514CC" w14:textId="77777777" w:rsidR="003F48AD" w:rsidRDefault="003F48AD" w:rsidP="002D4876">
      <w:pPr>
        <w:jc w:val="center"/>
        <w:rPr>
          <w:rFonts w:ascii="Times New Roman" w:hAnsi="Times New Roman" w:cs="Times New Roman"/>
          <w:b/>
          <w:bCs/>
          <w:sz w:val="26"/>
          <w:szCs w:val="26"/>
          <w:u w:val="single"/>
        </w:rPr>
      </w:pPr>
    </w:p>
    <w:p w14:paraId="3BC970E2" w14:textId="77777777" w:rsidR="002D4876" w:rsidRDefault="002D4876" w:rsidP="002D4876">
      <w:pPr>
        <w:jc w:val="center"/>
        <w:rPr>
          <w:rFonts w:ascii="Times New Roman" w:hAnsi="Times New Roman" w:cs="Times New Roman"/>
          <w:b/>
          <w:bCs/>
          <w:sz w:val="26"/>
          <w:szCs w:val="26"/>
          <w:u w:val="single"/>
        </w:rPr>
      </w:pPr>
      <w:r>
        <w:rPr>
          <w:noProof/>
          <w:lang w:val="en-US"/>
        </w:rPr>
        <w:drawing>
          <wp:inline distT="0" distB="0" distL="0" distR="0" wp14:anchorId="25DAF7CA" wp14:editId="5C60B535">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14:paraId="39FC5E5A" w14:textId="77777777" w:rsidR="00436813" w:rsidRDefault="00436813" w:rsidP="002D4876">
      <w:pPr>
        <w:jc w:val="center"/>
        <w:rPr>
          <w:rFonts w:ascii="Times New Roman" w:hAnsi="Times New Roman" w:cs="Times New Roman"/>
          <w:b/>
          <w:bCs/>
          <w:sz w:val="26"/>
          <w:szCs w:val="26"/>
          <w:u w:val="single"/>
        </w:rPr>
      </w:pPr>
    </w:p>
    <w:p w14:paraId="21BC6AC7" w14:textId="77777777" w:rsidR="00436813" w:rsidRPr="00436813" w:rsidRDefault="00436813" w:rsidP="00436813">
      <w:pPr>
        <w:tabs>
          <w:tab w:val="left" w:pos="2694"/>
        </w:tabs>
        <w:ind w:firstLine="545"/>
        <w:jc w:val="right"/>
        <w:rPr>
          <w:rFonts w:ascii="Times New Roman" w:hAnsi="Times New Roman" w:cs="Times New Roman"/>
          <w:b/>
          <w:sz w:val="26"/>
          <w:szCs w:val="26"/>
        </w:rPr>
      </w:pPr>
      <w:r>
        <w:rPr>
          <w:rFonts w:ascii="Times New Roman" w:hAnsi="Times New Roman" w:cs="Times New Roman"/>
          <w:b/>
          <w:sz w:val="26"/>
          <w:szCs w:val="26"/>
        </w:rPr>
        <w:t>Case No.:A41/2023</w:t>
      </w:r>
    </w:p>
    <w:p w14:paraId="54592417" w14:textId="77777777" w:rsidR="00436813" w:rsidRPr="00436813" w:rsidRDefault="00436813" w:rsidP="00436813">
      <w:pPr>
        <w:spacing w:line="360" w:lineRule="auto"/>
        <w:rPr>
          <w:rFonts w:ascii="Times New Roman" w:hAnsi="Times New Roman" w:cs="Times New Roman"/>
          <w:sz w:val="26"/>
          <w:szCs w:val="26"/>
        </w:rPr>
      </w:pPr>
    </w:p>
    <w:p w14:paraId="7ACA715A" w14:textId="77777777" w:rsidR="00436813" w:rsidRPr="00436813" w:rsidRDefault="00436813" w:rsidP="00436813">
      <w:pPr>
        <w:spacing w:line="360" w:lineRule="auto"/>
        <w:rPr>
          <w:rFonts w:ascii="Times New Roman" w:hAnsi="Times New Roman" w:cs="Times New Roman"/>
          <w:sz w:val="26"/>
          <w:szCs w:val="26"/>
        </w:rPr>
      </w:pPr>
      <w:r w:rsidRPr="00436813">
        <w:rPr>
          <w:rFonts w:ascii="Times New Roman" w:hAnsi="Times New Roman" w:cs="Times New Roman"/>
          <w:sz w:val="26"/>
          <w:szCs w:val="26"/>
        </w:rPr>
        <w:t>In the matter between:</w:t>
      </w:r>
    </w:p>
    <w:p w14:paraId="436B7238" w14:textId="77777777" w:rsidR="00436813" w:rsidRPr="00436813" w:rsidRDefault="00436813" w:rsidP="00436813">
      <w:pPr>
        <w:spacing w:line="360" w:lineRule="auto"/>
        <w:rPr>
          <w:rFonts w:ascii="Times New Roman" w:hAnsi="Times New Roman" w:cs="Times New Roman"/>
          <w:sz w:val="26"/>
          <w:szCs w:val="26"/>
        </w:rPr>
      </w:pPr>
    </w:p>
    <w:p w14:paraId="0C09B72C" w14:textId="77777777" w:rsidR="00436813" w:rsidRPr="00436813" w:rsidRDefault="00A151DE" w:rsidP="00436813">
      <w:pPr>
        <w:spacing w:line="360" w:lineRule="auto"/>
        <w:rPr>
          <w:rFonts w:ascii="Times New Roman" w:hAnsi="Times New Roman" w:cs="Times New Roman"/>
          <w:sz w:val="26"/>
          <w:szCs w:val="26"/>
        </w:rPr>
      </w:pPr>
      <w:r w:rsidRPr="00A151DE">
        <w:rPr>
          <w:rFonts w:ascii="Times New Roman" w:hAnsi="Times New Roman" w:cs="Times New Roman"/>
          <w:b/>
          <w:sz w:val="26"/>
          <w:szCs w:val="26"/>
        </w:rPr>
        <w:t>THE CITY OF CAPE TOWN</w:t>
      </w:r>
      <w:r>
        <w:rPr>
          <w:rFonts w:ascii="Times New Roman" w:hAnsi="Times New Roman" w:cs="Times New Roman"/>
          <w:sz w:val="26"/>
          <w:szCs w:val="26"/>
        </w:rPr>
        <w:tab/>
      </w:r>
      <w:r>
        <w:rPr>
          <w:rFonts w:ascii="Times New Roman" w:hAnsi="Times New Roman" w:cs="Times New Roman"/>
          <w:sz w:val="26"/>
          <w:szCs w:val="26"/>
        </w:rPr>
        <w:tab/>
      </w:r>
      <w:r w:rsidR="00436813" w:rsidRPr="00436813">
        <w:rPr>
          <w:rFonts w:ascii="Times New Roman" w:hAnsi="Times New Roman" w:cs="Times New Roman"/>
          <w:sz w:val="26"/>
          <w:szCs w:val="26"/>
        </w:rPr>
        <w:tab/>
      </w:r>
      <w:r w:rsidR="00436813" w:rsidRPr="00436813">
        <w:rPr>
          <w:rFonts w:ascii="Times New Roman" w:hAnsi="Times New Roman" w:cs="Times New Roman"/>
          <w:sz w:val="26"/>
          <w:szCs w:val="26"/>
        </w:rPr>
        <w:tab/>
      </w:r>
      <w:r w:rsidR="00436813" w:rsidRPr="00436813">
        <w:rPr>
          <w:rFonts w:ascii="Times New Roman" w:hAnsi="Times New Roman" w:cs="Times New Roman"/>
          <w:sz w:val="26"/>
          <w:szCs w:val="26"/>
        </w:rPr>
        <w:tab/>
      </w:r>
      <w:r w:rsidR="00436813" w:rsidRPr="00436813">
        <w:rPr>
          <w:rFonts w:ascii="Times New Roman" w:hAnsi="Times New Roman" w:cs="Times New Roman"/>
          <w:sz w:val="26"/>
          <w:szCs w:val="26"/>
        </w:rPr>
        <w:tab/>
      </w:r>
      <w:r>
        <w:rPr>
          <w:rFonts w:ascii="Times New Roman" w:hAnsi="Times New Roman" w:cs="Times New Roman"/>
          <w:sz w:val="26"/>
          <w:szCs w:val="26"/>
        </w:rPr>
        <w:t xml:space="preserve">            </w:t>
      </w:r>
      <w:r w:rsidR="00436813" w:rsidRPr="00436813">
        <w:rPr>
          <w:rFonts w:ascii="Times New Roman" w:hAnsi="Times New Roman" w:cs="Times New Roman"/>
          <w:sz w:val="26"/>
          <w:szCs w:val="26"/>
        </w:rPr>
        <w:t>Appellant</w:t>
      </w:r>
    </w:p>
    <w:p w14:paraId="6BC4CAE1" w14:textId="77777777" w:rsidR="00436813" w:rsidRPr="00436813" w:rsidRDefault="00436813" w:rsidP="00436813">
      <w:pPr>
        <w:spacing w:line="360" w:lineRule="auto"/>
        <w:rPr>
          <w:rFonts w:ascii="Times New Roman" w:hAnsi="Times New Roman" w:cs="Times New Roman"/>
          <w:sz w:val="26"/>
          <w:szCs w:val="26"/>
        </w:rPr>
      </w:pPr>
    </w:p>
    <w:p w14:paraId="77A806E8" w14:textId="77777777" w:rsidR="00436813" w:rsidRPr="00436813" w:rsidRDefault="00436813" w:rsidP="00436813">
      <w:pPr>
        <w:spacing w:line="360" w:lineRule="auto"/>
        <w:rPr>
          <w:rFonts w:ascii="Times New Roman" w:hAnsi="Times New Roman" w:cs="Times New Roman"/>
          <w:sz w:val="26"/>
          <w:szCs w:val="26"/>
        </w:rPr>
      </w:pPr>
      <w:r w:rsidRPr="00436813">
        <w:rPr>
          <w:rFonts w:ascii="Times New Roman" w:hAnsi="Times New Roman" w:cs="Times New Roman"/>
          <w:sz w:val="26"/>
          <w:szCs w:val="26"/>
        </w:rPr>
        <w:t>and</w:t>
      </w:r>
    </w:p>
    <w:p w14:paraId="041DE526" w14:textId="77777777" w:rsidR="00436813" w:rsidRPr="00436813" w:rsidRDefault="00436813" w:rsidP="00436813">
      <w:pPr>
        <w:spacing w:line="360" w:lineRule="auto"/>
        <w:rPr>
          <w:rFonts w:ascii="Times New Roman" w:hAnsi="Times New Roman" w:cs="Times New Roman"/>
          <w:sz w:val="26"/>
          <w:szCs w:val="26"/>
        </w:rPr>
      </w:pPr>
    </w:p>
    <w:p w14:paraId="09ECA7D1" w14:textId="77777777" w:rsidR="00436813" w:rsidRDefault="00DF6648" w:rsidP="00DF6648">
      <w:pPr>
        <w:rPr>
          <w:rFonts w:ascii="Times New Roman" w:hAnsi="Times New Roman" w:cs="Times New Roman"/>
          <w:sz w:val="26"/>
          <w:szCs w:val="26"/>
        </w:rPr>
      </w:pPr>
      <w:r>
        <w:rPr>
          <w:rFonts w:ascii="Times New Roman" w:hAnsi="Times New Roman" w:cs="Times New Roman"/>
          <w:b/>
          <w:sz w:val="26"/>
          <w:szCs w:val="26"/>
        </w:rPr>
        <w:t>YUNUS HUSSAIN</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436813" w:rsidRPr="00436813">
        <w:rPr>
          <w:rFonts w:ascii="Times New Roman" w:hAnsi="Times New Roman" w:cs="Times New Roman"/>
          <w:sz w:val="26"/>
          <w:szCs w:val="26"/>
        </w:rPr>
        <w:tab/>
      </w:r>
      <w:r w:rsidR="00436813" w:rsidRPr="00436813">
        <w:rPr>
          <w:rFonts w:ascii="Times New Roman" w:hAnsi="Times New Roman" w:cs="Times New Roman"/>
          <w:sz w:val="26"/>
          <w:szCs w:val="26"/>
        </w:rPr>
        <w:tab/>
      </w:r>
      <w:r w:rsidR="00436813" w:rsidRPr="00436813">
        <w:rPr>
          <w:rFonts w:ascii="Times New Roman" w:hAnsi="Times New Roman" w:cs="Times New Roman"/>
          <w:sz w:val="26"/>
          <w:szCs w:val="26"/>
        </w:rPr>
        <w:tab/>
      </w:r>
      <w:r>
        <w:rPr>
          <w:rFonts w:ascii="Times New Roman" w:hAnsi="Times New Roman" w:cs="Times New Roman"/>
          <w:sz w:val="26"/>
          <w:szCs w:val="26"/>
        </w:rPr>
        <w:t xml:space="preserve">           First </w:t>
      </w:r>
      <w:r w:rsidR="00436813" w:rsidRPr="00436813">
        <w:rPr>
          <w:rFonts w:ascii="Times New Roman" w:hAnsi="Times New Roman" w:cs="Times New Roman"/>
          <w:sz w:val="26"/>
          <w:szCs w:val="26"/>
        </w:rPr>
        <w:t>Respondent</w:t>
      </w:r>
    </w:p>
    <w:p w14:paraId="56EEBB91" w14:textId="614BE6D6" w:rsidR="00DF6648" w:rsidRDefault="00DF6648" w:rsidP="00DF6648">
      <w:pPr>
        <w:rPr>
          <w:rFonts w:ascii="Times New Roman" w:hAnsi="Times New Roman" w:cs="Times New Roman"/>
          <w:sz w:val="26"/>
          <w:szCs w:val="26"/>
        </w:rPr>
      </w:pPr>
      <w:r>
        <w:rPr>
          <w:rFonts w:ascii="Times New Roman" w:hAnsi="Times New Roman" w:cs="Times New Roman"/>
          <w:sz w:val="26"/>
          <w:szCs w:val="26"/>
        </w:rPr>
        <w:t>(</w:t>
      </w:r>
      <w:r w:rsidR="003F48AD">
        <w:rPr>
          <w:rFonts w:ascii="Times New Roman" w:hAnsi="Times New Roman" w:cs="Times New Roman"/>
          <w:sz w:val="26"/>
          <w:szCs w:val="26"/>
        </w:rPr>
        <w:t>Identity Number: […]</w:t>
      </w:r>
      <w:r>
        <w:rPr>
          <w:rFonts w:ascii="Times New Roman" w:hAnsi="Times New Roman" w:cs="Times New Roman"/>
          <w:sz w:val="26"/>
          <w:szCs w:val="26"/>
        </w:rPr>
        <w:t>)</w:t>
      </w:r>
    </w:p>
    <w:p w14:paraId="1F9E7DD3" w14:textId="77777777" w:rsidR="00DF6648" w:rsidRDefault="00DF6648" w:rsidP="008E00F7">
      <w:pPr>
        <w:spacing w:line="360" w:lineRule="auto"/>
        <w:rPr>
          <w:rFonts w:ascii="Times New Roman" w:hAnsi="Times New Roman" w:cs="Times New Roman"/>
          <w:sz w:val="26"/>
          <w:szCs w:val="26"/>
        </w:rPr>
      </w:pPr>
    </w:p>
    <w:p w14:paraId="1E4DBA75" w14:textId="77777777" w:rsidR="00DF6648" w:rsidRDefault="00DF6648" w:rsidP="00DF6648">
      <w:pPr>
        <w:rPr>
          <w:rFonts w:ascii="Times New Roman" w:hAnsi="Times New Roman" w:cs="Times New Roman"/>
          <w:sz w:val="26"/>
          <w:szCs w:val="26"/>
        </w:rPr>
      </w:pPr>
      <w:r>
        <w:rPr>
          <w:rFonts w:ascii="Times New Roman" w:hAnsi="Times New Roman" w:cs="Times New Roman"/>
          <w:b/>
          <w:sz w:val="26"/>
          <w:szCs w:val="26"/>
        </w:rPr>
        <w:t>SHAAKIRAH PETERSEN</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sz w:val="26"/>
          <w:szCs w:val="26"/>
        </w:rPr>
        <w:t>Second Respondent</w:t>
      </w:r>
    </w:p>
    <w:p w14:paraId="26F6D3D3" w14:textId="02311FA2" w:rsidR="00DF6648" w:rsidRDefault="00DF6648" w:rsidP="00DF6648">
      <w:pPr>
        <w:rPr>
          <w:rFonts w:ascii="Times New Roman" w:hAnsi="Times New Roman" w:cs="Times New Roman"/>
          <w:sz w:val="26"/>
          <w:szCs w:val="26"/>
        </w:rPr>
      </w:pPr>
      <w:r>
        <w:rPr>
          <w:rFonts w:ascii="Times New Roman" w:hAnsi="Times New Roman" w:cs="Times New Roman"/>
          <w:sz w:val="26"/>
          <w:szCs w:val="26"/>
        </w:rPr>
        <w:t xml:space="preserve">(Identity Number: </w:t>
      </w:r>
      <w:r w:rsidR="003F48AD">
        <w:rPr>
          <w:rFonts w:ascii="Times New Roman" w:hAnsi="Times New Roman" w:cs="Times New Roman"/>
          <w:sz w:val="26"/>
          <w:szCs w:val="26"/>
        </w:rPr>
        <w:t>[…]</w:t>
      </w:r>
      <w:r>
        <w:rPr>
          <w:rFonts w:ascii="Times New Roman" w:hAnsi="Times New Roman" w:cs="Times New Roman"/>
          <w:sz w:val="26"/>
          <w:szCs w:val="26"/>
        </w:rPr>
        <w:t>)</w:t>
      </w:r>
    </w:p>
    <w:p w14:paraId="66291DC4" w14:textId="77777777" w:rsidR="00DF6648" w:rsidRDefault="00DF6648" w:rsidP="008E00F7">
      <w:pPr>
        <w:spacing w:line="360" w:lineRule="auto"/>
        <w:rPr>
          <w:rFonts w:ascii="Times New Roman" w:hAnsi="Times New Roman" w:cs="Times New Roman"/>
          <w:sz w:val="26"/>
          <w:szCs w:val="26"/>
        </w:rPr>
      </w:pPr>
    </w:p>
    <w:p w14:paraId="5267D96B" w14:textId="77777777" w:rsidR="00DF6648" w:rsidRDefault="00DF6648" w:rsidP="00DF6648">
      <w:pPr>
        <w:rPr>
          <w:rFonts w:ascii="Times New Roman" w:hAnsi="Times New Roman" w:cs="Times New Roman"/>
          <w:sz w:val="26"/>
          <w:szCs w:val="26"/>
        </w:rPr>
      </w:pPr>
      <w:r>
        <w:rPr>
          <w:rFonts w:ascii="Times New Roman" w:hAnsi="Times New Roman" w:cs="Times New Roman"/>
          <w:b/>
          <w:sz w:val="26"/>
          <w:szCs w:val="26"/>
        </w:rPr>
        <w:t>MUNADIYA HAFFAJEE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DF6648">
        <w:rPr>
          <w:rFonts w:ascii="Times New Roman" w:hAnsi="Times New Roman" w:cs="Times New Roman"/>
          <w:sz w:val="26"/>
          <w:szCs w:val="26"/>
        </w:rPr>
        <w:t>Third Respondent</w:t>
      </w:r>
    </w:p>
    <w:p w14:paraId="750CC951" w14:textId="197044E2" w:rsidR="008E00F7" w:rsidRDefault="008E00F7" w:rsidP="00DF6648">
      <w:pPr>
        <w:rPr>
          <w:rFonts w:ascii="Times New Roman" w:hAnsi="Times New Roman" w:cs="Times New Roman"/>
          <w:sz w:val="26"/>
          <w:szCs w:val="26"/>
        </w:rPr>
      </w:pPr>
      <w:r>
        <w:rPr>
          <w:rFonts w:ascii="Times New Roman" w:hAnsi="Times New Roman" w:cs="Times New Roman"/>
          <w:sz w:val="26"/>
          <w:szCs w:val="26"/>
        </w:rPr>
        <w:t>(</w:t>
      </w:r>
      <w:r w:rsidR="003F48AD">
        <w:rPr>
          <w:rFonts w:ascii="Times New Roman" w:hAnsi="Times New Roman" w:cs="Times New Roman"/>
          <w:sz w:val="26"/>
          <w:szCs w:val="26"/>
        </w:rPr>
        <w:t>Identity Number: […]</w:t>
      </w:r>
      <w:r>
        <w:rPr>
          <w:rFonts w:ascii="Times New Roman" w:hAnsi="Times New Roman" w:cs="Times New Roman"/>
          <w:sz w:val="26"/>
          <w:szCs w:val="26"/>
        </w:rPr>
        <w:t>)</w:t>
      </w:r>
    </w:p>
    <w:p w14:paraId="06941467" w14:textId="77777777" w:rsidR="008E00F7" w:rsidRDefault="008E00F7" w:rsidP="008E00F7">
      <w:pPr>
        <w:spacing w:line="360" w:lineRule="auto"/>
        <w:rPr>
          <w:rFonts w:ascii="Times New Roman" w:hAnsi="Times New Roman" w:cs="Times New Roman"/>
          <w:sz w:val="26"/>
          <w:szCs w:val="26"/>
        </w:rPr>
      </w:pPr>
    </w:p>
    <w:p w14:paraId="79DF5D26" w14:textId="77777777" w:rsidR="008E00F7" w:rsidRDefault="008E00F7" w:rsidP="00DF6648">
      <w:pPr>
        <w:rPr>
          <w:rFonts w:ascii="Times New Roman" w:hAnsi="Times New Roman" w:cs="Times New Roman"/>
          <w:sz w:val="26"/>
          <w:szCs w:val="26"/>
        </w:rPr>
      </w:pPr>
      <w:r>
        <w:rPr>
          <w:rFonts w:ascii="Times New Roman" w:hAnsi="Times New Roman" w:cs="Times New Roman"/>
          <w:b/>
          <w:sz w:val="26"/>
          <w:szCs w:val="26"/>
        </w:rPr>
        <w:t>AZRAA HAFFAJEE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sz w:val="26"/>
          <w:szCs w:val="26"/>
        </w:rPr>
        <w:t xml:space="preserve"> Fourth Respondent</w:t>
      </w:r>
    </w:p>
    <w:p w14:paraId="090581AE" w14:textId="4022151B" w:rsidR="008E00F7" w:rsidRDefault="008E00F7" w:rsidP="00DF6648">
      <w:pPr>
        <w:rPr>
          <w:rFonts w:ascii="Times New Roman" w:hAnsi="Times New Roman" w:cs="Times New Roman"/>
          <w:sz w:val="26"/>
          <w:szCs w:val="26"/>
        </w:rPr>
      </w:pPr>
      <w:r>
        <w:rPr>
          <w:rFonts w:ascii="Times New Roman" w:hAnsi="Times New Roman" w:cs="Times New Roman"/>
          <w:sz w:val="26"/>
          <w:szCs w:val="26"/>
        </w:rPr>
        <w:t>(</w:t>
      </w:r>
      <w:r w:rsidR="003F48AD">
        <w:rPr>
          <w:rFonts w:ascii="Times New Roman" w:hAnsi="Times New Roman" w:cs="Times New Roman"/>
          <w:sz w:val="26"/>
          <w:szCs w:val="26"/>
        </w:rPr>
        <w:t>Identity Number: […]</w:t>
      </w:r>
      <w:r>
        <w:rPr>
          <w:rFonts w:ascii="Times New Roman" w:hAnsi="Times New Roman" w:cs="Times New Roman"/>
          <w:sz w:val="26"/>
          <w:szCs w:val="26"/>
        </w:rPr>
        <w:t>)</w:t>
      </w:r>
    </w:p>
    <w:p w14:paraId="334CA1E4" w14:textId="77777777" w:rsidR="004D132D" w:rsidRDefault="004D132D" w:rsidP="004D132D">
      <w:pPr>
        <w:spacing w:line="360" w:lineRule="auto"/>
        <w:rPr>
          <w:rFonts w:ascii="Times New Roman" w:hAnsi="Times New Roman" w:cs="Times New Roman"/>
          <w:sz w:val="26"/>
          <w:szCs w:val="26"/>
        </w:rPr>
      </w:pPr>
    </w:p>
    <w:p w14:paraId="1DEB6BB7" w14:textId="77777777" w:rsidR="004D132D" w:rsidRDefault="004D132D" w:rsidP="004D132D">
      <w:pPr>
        <w:rPr>
          <w:rFonts w:ascii="Times New Roman" w:hAnsi="Times New Roman" w:cs="Times New Roman"/>
          <w:b/>
          <w:sz w:val="26"/>
          <w:szCs w:val="26"/>
        </w:rPr>
      </w:pPr>
      <w:r>
        <w:rPr>
          <w:rFonts w:ascii="Times New Roman" w:hAnsi="Times New Roman" w:cs="Times New Roman"/>
          <w:b/>
          <w:sz w:val="26"/>
          <w:szCs w:val="26"/>
        </w:rPr>
        <w:t>ALL OTHER UNLAWFUL OCCUPIERS HOLDING</w:t>
      </w:r>
    </w:p>
    <w:p w14:paraId="6B9014AF" w14:textId="77777777" w:rsidR="004D132D" w:rsidRPr="004D132D" w:rsidRDefault="004D132D" w:rsidP="004D132D">
      <w:pPr>
        <w:rPr>
          <w:rFonts w:ascii="Times New Roman" w:hAnsi="Times New Roman" w:cs="Times New Roman"/>
          <w:sz w:val="26"/>
          <w:szCs w:val="26"/>
        </w:rPr>
      </w:pPr>
      <w:r>
        <w:rPr>
          <w:rFonts w:ascii="Times New Roman" w:hAnsi="Times New Roman" w:cs="Times New Roman"/>
          <w:b/>
          <w:sz w:val="26"/>
          <w:szCs w:val="26"/>
        </w:rPr>
        <w:t>OCCUPATION AGAINST THE FIRST RESPONDENT</w:t>
      </w:r>
      <w:r>
        <w:rPr>
          <w:rFonts w:ascii="Times New Roman" w:hAnsi="Times New Roman" w:cs="Times New Roman"/>
          <w:b/>
          <w:sz w:val="26"/>
          <w:szCs w:val="26"/>
        </w:rPr>
        <w:tab/>
      </w:r>
      <w:r>
        <w:rPr>
          <w:rFonts w:ascii="Times New Roman" w:hAnsi="Times New Roman" w:cs="Times New Roman"/>
          <w:b/>
          <w:sz w:val="26"/>
          <w:szCs w:val="26"/>
        </w:rPr>
        <w:tab/>
      </w:r>
      <w:r w:rsidRPr="004D132D">
        <w:rPr>
          <w:rFonts w:ascii="Times New Roman" w:hAnsi="Times New Roman" w:cs="Times New Roman"/>
          <w:sz w:val="26"/>
          <w:szCs w:val="26"/>
        </w:rPr>
        <w:t>Fifth Respondent</w:t>
      </w:r>
    </w:p>
    <w:p w14:paraId="1176692D" w14:textId="77777777" w:rsidR="00436813" w:rsidRPr="00436813" w:rsidRDefault="00436813" w:rsidP="00436813">
      <w:pPr>
        <w:rPr>
          <w:rFonts w:ascii="Times New Roman" w:hAnsi="Times New Roman" w:cs="Times New Roman"/>
          <w:sz w:val="26"/>
          <w:szCs w:val="26"/>
        </w:rPr>
      </w:pPr>
      <w:r w:rsidRPr="00436813">
        <w:rPr>
          <w:rFonts w:ascii="Times New Roman" w:hAnsi="Times New Roman" w:cs="Times New Roman"/>
          <w:noProof/>
          <w:sz w:val="26"/>
          <w:szCs w:val="26"/>
          <w:lang w:val="en-US"/>
        </w:rPr>
        <mc:AlternateContent>
          <mc:Choice Requires="wps">
            <w:drawing>
              <wp:anchor distT="4294967290" distB="4294967290" distL="114300" distR="114300" simplePos="0" relativeHeight="251659264" behindDoc="0" locked="0" layoutInCell="1" allowOverlap="1" wp14:anchorId="051499C5" wp14:editId="025BDEC1">
                <wp:simplePos x="0" y="0"/>
                <wp:positionH relativeFrom="column">
                  <wp:posOffset>-19050</wp:posOffset>
                </wp:positionH>
                <wp:positionV relativeFrom="paragraph">
                  <wp:posOffset>106679</wp:posOffset>
                </wp:positionV>
                <wp:extent cx="566737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2A21B73"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8.4pt" to="44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">
                <o:lock v:ext="edit" shapetype="f"/>
              </v:line>
            </w:pict>
          </mc:Fallback>
        </mc:AlternateContent>
      </w:r>
    </w:p>
    <w:p w14:paraId="06AD9089" w14:textId="204386AA" w:rsidR="00436813" w:rsidRPr="00436813" w:rsidRDefault="00436813" w:rsidP="00436813">
      <w:pPr>
        <w:jc w:val="center"/>
        <w:rPr>
          <w:rFonts w:ascii="Times New Roman" w:hAnsi="Times New Roman" w:cs="Times New Roman"/>
          <w:b/>
          <w:sz w:val="26"/>
          <w:szCs w:val="26"/>
        </w:rPr>
      </w:pPr>
      <w:r w:rsidRPr="00436813">
        <w:rPr>
          <w:rFonts w:ascii="Times New Roman" w:hAnsi="Times New Roman" w:cs="Times New Roman"/>
          <w:b/>
          <w:sz w:val="26"/>
          <w:szCs w:val="26"/>
        </w:rPr>
        <w:t xml:space="preserve">JUDGMENT DELIVERED ELECTRONICALLY ON </w:t>
      </w:r>
      <w:r w:rsidR="00563FBF">
        <w:rPr>
          <w:rFonts w:ascii="Times New Roman" w:hAnsi="Times New Roman" w:cs="Times New Roman"/>
          <w:b/>
          <w:sz w:val="26"/>
          <w:szCs w:val="26"/>
        </w:rPr>
        <w:t>22</w:t>
      </w:r>
      <w:r w:rsidRPr="00436813">
        <w:rPr>
          <w:rFonts w:ascii="Times New Roman" w:hAnsi="Times New Roman" w:cs="Times New Roman"/>
          <w:b/>
          <w:sz w:val="26"/>
          <w:szCs w:val="26"/>
        </w:rPr>
        <w:t xml:space="preserve"> </w:t>
      </w:r>
      <w:r w:rsidR="004C2B19">
        <w:rPr>
          <w:rFonts w:ascii="Times New Roman" w:hAnsi="Times New Roman" w:cs="Times New Roman"/>
          <w:b/>
          <w:sz w:val="26"/>
          <w:szCs w:val="26"/>
        </w:rPr>
        <w:t>MAY</w:t>
      </w:r>
      <w:r w:rsidRPr="00436813">
        <w:rPr>
          <w:rFonts w:ascii="Times New Roman" w:hAnsi="Times New Roman" w:cs="Times New Roman"/>
          <w:b/>
          <w:sz w:val="26"/>
          <w:szCs w:val="26"/>
        </w:rPr>
        <w:t xml:space="preserve"> 202</w:t>
      </w:r>
      <w:r w:rsidR="004C2B19">
        <w:rPr>
          <w:rFonts w:ascii="Times New Roman" w:hAnsi="Times New Roman" w:cs="Times New Roman"/>
          <w:b/>
          <w:sz w:val="26"/>
          <w:szCs w:val="26"/>
        </w:rPr>
        <w:t>3</w:t>
      </w:r>
    </w:p>
    <w:p w14:paraId="4B8E7930" w14:textId="77777777" w:rsidR="00436813" w:rsidRPr="00436813" w:rsidRDefault="00436813" w:rsidP="00436813">
      <w:pPr>
        <w:spacing w:line="360" w:lineRule="auto"/>
        <w:rPr>
          <w:rFonts w:ascii="Times New Roman" w:hAnsi="Times New Roman" w:cs="Times New Roman"/>
          <w:sz w:val="26"/>
          <w:szCs w:val="26"/>
        </w:rPr>
      </w:pPr>
      <w:r w:rsidRPr="00436813">
        <w:rPr>
          <w:rFonts w:ascii="Times New Roman" w:hAnsi="Times New Roman" w:cs="Times New Roman"/>
          <w:noProof/>
          <w:sz w:val="26"/>
          <w:szCs w:val="26"/>
          <w:lang w:val="en-US"/>
        </w:rPr>
        <mc:AlternateContent>
          <mc:Choice Requires="wps">
            <w:drawing>
              <wp:anchor distT="4294967290" distB="4294967290" distL="114300" distR="114300" simplePos="0" relativeHeight="251660288" behindDoc="0" locked="0" layoutInCell="1" allowOverlap="1" wp14:anchorId="197D50D5" wp14:editId="7792B021">
                <wp:simplePos x="0" y="0"/>
                <wp:positionH relativeFrom="column">
                  <wp:posOffset>-19050</wp:posOffset>
                </wp:positionH>
                <wp:positionV relativeFrom="paragraph">
                  <wp:posOffset>114934</wp:posOffset>
                </wp:positionV>
                <wp:extent cx="56673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FCAAC4E"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9.05pt" to="44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2dEQ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">
                <o:lock v:ext="edit" shapetype="f"/>
              </v:line>
            </w:pict>
          </mc:Fallback>
        </mc:AlternateContent>
      </w:r>
    </w:p>
    <w:p w14:paraId="33CC00BA" w14:textId="77777777" w:rsidR="002D4876" w:rsidRDefault="002D4876" w:rsidP="00153E10">
      <w:pPr>
        <w:jc w:val="both"/>
        <w:rPr>
          <w:rFonts w:ascii="Times New Roman" w:hAnsi="Times New Roman" w:cs="Times New Roman"/>
          <w:b/>
          <w:bCs/>
          <w:sz w:val="26"/>
          <w:szCs w:val="26"/>
          <w:u w:val="single"/>
        </w:rPr>
      </w:pPr>
    </w:p>
    <w:p w14:paraId="3444B4B1" w14:textId="7793E23F" w:rsidR="00153E10" w:rsidRPr="00114A72" w:rsidRDefault="00114A72" w:rsidP="00114A72">
      <w:pPr>
        <w:ind w:left="567" w:hanging="567"/>
        <w:jc w:val="both"/>
        <w:rPr>
          <w:rFonts w:ascii="Times New Roman" w:hAnsi="Times New Roman" w:cs="Times New Roman"/>
          <w:b/>
          <w:bCs/>
          <w:sz w:val="26"/>
          <w:szCs w:val="26"/>
          <w:u w:val="single"/>
        </w:rPr>
      </w:pPr>
      <w:r w:rsidRPr="00BF7366">
        <w:rPr>
          <w:rFonts w:ascii="Times New Roman" w:hAnsi="Times New Roman" w:cs="Times New Roman"/>
          <w:b/>
          <w:bCs/>
          <w:kern w:val="0"/>
          <w:sz w:val="26"/>
          <w:szCs w:val="26"/>
          <w14:ligatures w14:val="none"/>
        </w:rPr>
        <w:t>A.</w:t>
      </w:r>
      <w:r w:rsidRPr="00BF7366">
        <w:rPr>
          <w:rFonts w:ascii="Times New Roman" w:hAnsi="Times New Roman" w:cs="Times New Roman"/>
          <w:b/>
          <w:bCs/>
          <w:kern w:val="0"/>
          <w:sz w:val="26"/>
          <w:szCs w:val="26"/>
          <w14:ligatures w14:val="none"/>
        </w:rPr>
        <w:tab/>
      </w:r>
      <w:r w:rsidR="00153E10" w:rsidRPr="00114A72">
        <w:rPr>
          <w:rFonts w:ascii="Times New Roman" w:hAnsi="Times New Roman" w:cs="Times New Roman"/>
          <w:b/>
          <w:bCs/>
          <w:sz w:val="26"/>
          <w:szCs w:val="26"/>
          <w:u w:val="single"/>
        </w:rPr>
        <w:t>INTRODUCTION</w:t>
      </w:r>
    </w:p>
    <w:p w14:paraId="4AD4AAF7" w14:textId="77777777" w:rsidR="00153E10" w:rsidRPr="00153E10" w:rsidRDefault="00153E10" w:rsidP="00153E10">
      <w:pPr>
        <w:rPr>
          <w:color w:val="242121"/>
        </w:rPr>
      </w:pPr>
    </w:p>
    <w:p w14:paraId="5BAF9634" w14:textId="43ED5EB6" w:rsidR="007A79E2" w:rsidRPr="00114A72" w:rsidRDefault="00114A72" w:rsidP="00114A72">
      <w:pPr>
        <w:spacing w:line="360" w:lineRule="auto"/>
        <w:jc w:val="both"/>
        <w:rPr>
          <w:rFonts w:ascii="Times New Roman" w:hAnsi="Times New Roman" w:cs="Times New Roman"/>
          <w:sz w:val="26"/>
          <w:szCs w:val="26"/>
        </w:rPr>
      </w:pPr>
      <w:r w:rsidRPr="00E4087E">
        <w:rPr>
          <w:rFonts w:ascii="Times New Roman" w:hAnsi="Times New Roman" w:cs="Times New Roman"/>
          <w:kern w:val="0"/>
          <w:sz w:val="26"/>
          <w:szCs w:val="26"/>
          <w14:ligatures w14:val="none"/>
        </w:rPr>
        <w:t>[1</w:t>
      </w:r>
      <w:bookmarkStart w:id="0" w:name="_GoBack"/>
      <w:bookmarkEnd w:id="0"/>
      <w:r w:rsidRPr="00E4087E">
        <w:rPr>
          <w:rFonts w:ascii="Times New Roman" w:hAnsi="Times New Roman" w:cs="Times New Roman"/>
          <w:kern w:val="0"/>
          <w:sz w:val="26"/>
          <w:szCs w:val="26"/>
          <w14:ligatures w14:val="none"/>
        </w:rPr>
        <w:t>]</w:t>
      </w:r>
      <w:r w:rsidRPr="00E4087E">
        <w:rPr>
          <w:rFonts w:ascii="Times New Roman" w:hAnsi="Times New Roman" w:cs="Times New Roman"/>
          <w:kern w:val="0"/>
          <w:sz w:val="26"/>
          <w:szCs w:val="26"/>
          <w14:ligatures w14:val="none"/>
        </w:rPr>
        <w:tab/>
      </w:r>
      <w:r w:rsidR="007A79E2" w:rsidRPr="00114A72">
        <w:rPr>
          <w:rFonts w:ascii="Times New Roman" w:hAnsi="Times New Roman" w:cs="Times New Roman"/>
          <w:sz w:val="26"/>
          <w:szCs w:val="26"/>
          <w:lang w:val="en-US"/>
        </w:rPr>
        <w:t>This is an appeal</w:t>
      </w:r>
      <w:r w:rsidR="00E4087E" w:rsidRPr="00114A72">
        <w:rPr>
          <w:rFonts w:ascii="Times New Roman" w:hAnsi="Times New Roman" w:cs="Times New Roman"/>
          <w:sz w:val="26"/>
          <w:szCs w:val="26"/>
          <w:lang w:val="en-US"/>
        </w:rPr>
        <w:t xml:space="preserve"> by the City of Cape Town (</w:t>
      </w:r>
      <w:r w:rsidR="00E4087E" w:rsidRPr="00114A72">
        <w:rPr>
          <w:rFonts w:ascii="Times New Roman" w:hAnsi="Times New Roman" w:cs="Times New Roman"/>
          <w:i/>
          <w:iCs/>
          <w:sz w:val="26"/>
          <w:szCs w:val="26"/>
          <w:lang w:val="en-US"/>
        </w:rPr>
        <w:t>“the City”</w:t>
      </w:r>
      <w:r w:rsidR="00E4087E" w:rsidRPr="00114A72">
        <w:rPr>
          <w:rFonts w:ascii="Times New Roman" w:hAnsi="Times New Roman" w:cs="Times New Roman"/>
          <w:sz w:val="26"/>
          <w:szCs w:val="26"/>
          <w:lang w:val="en-US"/>
        </w:rPr>
        <w:t xml:space="preserve">) </w:t>
      </w:r>
      <w:r w:rsidR="007A79E2" w:rsidRPr="00114A72">
        <w:rPr>
          <w:rFonts w:ascii="Times New Roman" w:hAnsi="Times New Roman" w:cs="Times New Roman"/>
          <w:sz w:val="26"/>
          <w:szCs w:val="26"/>
          <w:lang w:val="en-US"/>
        </w:rPr>
        <w:t xml:space="preserve">against the judgment and order of Magistrate Kgorane, in which she dismissed the </w:t>
      </w:r>
      <w:r w:rsidR="00E4087E" w:rsidRPr="00114A72">
        <w:rPr>
          <w:rFonts w:ascii="Times New Roman" w:hAnsi="Times New Roman" w:cs="Times New Roman"/>
          <w:sz w:val="26"/>
          <w:szCs w:val="26"/>
          <w:lang w:val="en-US"/>
        </w:rPr>
        <w:t>City’s</w:t>
      </w:r>
      <w:r w:rsidR="007A79E2" w:rsidRPr="00114A72">
        <w:rPr>
          <w:rFonts w:ascii="Times New Roman" w:hAnsi="Times New Roman" w:cs="Times New Roman"/>
          <w:sz w:val="26"/>
          <w:szCs w:val="26"/>
          <w:lang w:val="en-US"/>
        </w:rPr>
        <w:t xml:space="preserve"> eviction application </w:t>
      </w:r>
      <w:r w:rsidR="00E4087E" w:rsidRPr="00114A72">
        <w:rPr>
          <w:rFonts w:ascii="Times New Roman" w:hAnsi="Times New Roman" w:cs="Times New Roman"/>
          <w:sz w:val="26"/>
          <w:szCs w:val="26"/>
          <w:lang w:val="en-US"/>
        </w:rPr>
        <w:lastRenderedPageBreak/>
        <w:t xml:space="preserve">against the respondents </w:t>
      </w:r>
      <w:r w:rsidR="007A79E2" w:rsidRPr="00114A72">
        <w:rPr>
          <w:rFonts w:ascii="Times New Roman" w:hAnsi="Times New Roman" w:cs="Times New Roman"/>
          <w:sz w:val="26"/>
          <w:szCs w:val="26"/>
          <w:lang w:val="en-US"/>
        </w:rPr>
        <w:t>with costs.</w:t>
      </w:r>
      <w:r w:rsidR="00905E2E" w:rsidRPr="00114A72">
        <w:rPr>
          <w:rFonts w:ascii="Times New Roman" w:hAnsi="Times New Roman" w:cs="Times New Roman"/>
          <w:sz w:val="26"/>
          <w:szCs w:val="26"/>
          <w:lang w:val="en-US"/>
        </w:rPr>
        <w:t xml:space="preserve"> The eviction proceedings were brought in terms of </w:t>
      </w:r>
      <w:r w:rsidR="00920386" w:rsidRPr="00114A72">
        <w:rPr>
          <w:rFonts w:ascii="Times New Roman" w:hAnsi="Times New Roman" w:cs="Times New Roman"/>
          <w:sz w:val="26"/>
          <w:szCs w:val="26"/>
          <w:lang w:val="en-US"/>
        </w:rPr>
        <w:t xml:space="preserve">section 4 of </w:t>
      </w:r>
      <w:r w:rsidR="00905E2E" w:rsidRPr="00114A72">
        <w:rPr>
          <w:rFonts w:ascii="Times New Roman" w:hAnsi="Times New Roman" w:cs="Times New Roman"/>
          <w:sz w:val="26"/>
          <w:szCs w:val="26"/>
          <w:lang w:val="en-US"/>
        </w:rPr>
        <w:t>the Prevention of Illegal Eviction from and Unlawful Occupation of Land Act 19 of 1998 (</w:t>
      </w:r>
      <w:r w:rsidR="00905E2E" w:rsidRPr="00114A72">
        <w:rPr>
          <w:rFonts w:ascii="Times New Roman" w:hAnsi="Times New Roman" w:cs="Times New Roman"/>
          <w:i/>
          <w:iCs/>
          <w:sz w:val="26"/>
          <w:szCs w:val="26"/>
          <w:lang w:val="en-US"/>
        </w:rPr>
        <w:t>“PIE Act”</w:t>
      </w:r>
      <w:r w:rsidR="00905E2E" w:rsidRPr="00114A72">
        <w:rPr>
          <w:rFonts w:ascii="Times New Roman" w:hAnsi="Times New Roman" w:cs="Times New Roman"/>
          <w:sz w:val="26"/>
          <w:szCs w:val="26"/>
          <w:lang w:val="en-US"/>
        </w:rPr>
        <w:t>).</w:t>
      </w:r>
    </w:p>
    <w:p w14:paraId="7A2225E0" w14:textId="77777777" w:rsidR="00E4087E" w:rsidRPr="00905E2E" w:rsidRDefault="00E4087E" w:rsidP="00905E2E">
      <w:pPr>
        <w:rPr>
          <w:rFonts w:ascii="Times New Roman" w:hAnsi="Times New Roman" w:cs="Times New Roman"/>
          <w:sz w:val="26"/>
          <w:szCs w:val="26"/>
          <w:lang w:val="en-US"/>
        </w:rPr>
      </w:pPr>
    </w:p>
    <w:p w14:paraId="0B13EC2D" w14:textId="77777777" w:rsidR="00E4087E" w:rsidRDefault="00E4087E" w:rsidP="00E4087E">
      <w:pPr>
        <w:pStyle w:val="ListParagraph"/>
        <w:rPr>
          <w:rFonts w:ascii="Times New Roman" w:hAnsi="Times New Roman" w:cs="Times New Roman"/>
          <w:sz w:val="26"/>
          <w:szCs w:val="26"/>
        </w:rPr>
      </w:pPr>
    </w:p>
    <w:p w14:paraId="1658401C" w14:textId="210CE5CF" w:rsidR="00905E2E" w:rsidRPr="00114A72" w:rsidRDefault="00114A72" w:rsidP="00114A72">
      <w:pPr>
        <w:ind w:left="567" w:hanging="567"/>
        <w:jc w:val="both"/>
        <w:rPr>
          <w:rFonts w:ascii="Times New Roman" w:hAnsi="Times New Roman" w:cs="Times New Roman"/>
          <w:b/>
          <w:bCs/>
          <w:sz w:val="26"/>
          <w:szCs w:val="26"/>
          <w:u w:val="single"/>
        </w:rPr>
      </w:pPr>
      <w:r>
        <w:rPr>
          <w:rFonts w:ascii="Times New Roman" w:hAnsi="Times New Roman" w:cs="Times New Roman"/>
          <w:b/>
          <w:bCs/>
          <w:kern w:val="0"/>
          <w:sz w:val="26"/>
          <w:szCs w:val="26"/>
          <w14:ligatures w14:val="none"/>
        </w:rPr>
        <w:t>B.</w:t>
      </w:r>
      <w:r>
        <w:rPr>
          <w:rFonts w:ascii="Times New Roman" w:hAnsi="Times New Roman" w:cs="Times New Roman"/>
          <w:b/>
          <w:bCs/>
          <w:kern w:val="0"/>
          <w:sz w:val="26"/>
          <w:szCs w:val="26"/>
          <w14:ligatures w14:val="none"/>
        </w:rPr>
        <w:tab/>
      </w:r>
      <w:r w:rsidR="00905E2E" w:rsidRPr="00114A72">
        <w:rPr>
          <w:rFonts w:ascii="Times New Roman" w:hAnsi="Times New Roman" w:cs="Times New Roman"/>
          <w:b/>
          <w:bCs/>
          <w:sz w:val="26"/>
          <w:szCs w:val="26"/>
          <w:u w:val="single"/>
        </w:rPr>
        <w:t>THE FACTS</w:t>
      </w:r>
    </w:p>
    <w:p w14:paraId="52A029C5" w14:textId="77777777" w:rsidR="00905E2E" w:rsidRPr="00905E2E" w:rsidRDefault="00905E2E" w:rsidP="00905E2E">
      <w:pPr>
        <w:rPr>
          <w:rFonts w:ascii="Times New Roman" w:hAnsi="Times New Roman" w:cs="Times New Roman"/>
          <w:b/>
          <w:bCs/>
          <w:sz w:val="26"/>
          <w:szCs w:val="26"/>
          <w:u w:val="single"/>
        </w:rPr>
      </w:pPr>
    </w:p>
    <w:p w14:paraId="7573BD6A" w14:textId="59720D57" w:rsidR="000F69F7" w:rsidRPr="00114A72" w:rsidRDefault="00114A72" w:rsidP="00114A72">
      <w:pPr>
        <w:spacing w:line="360" w:lineRule="auto"/>
        <w:jc w:val="both"/>
        <w:rPr>
          <w:rFonts w:ascii="Times New Roman" w:hAnsi="Times New Roman" w:cs="Times New Roman"/>
          <w:color w:val="242121"/>
          <w:sz w:val="26"/>
          <w:szCs w:val="26"/>
        </w:rPr>
      </w:pPr>
      <w:r w:rsidRPr="000F69F7">
        <w:rPr>
          <w:rFonts w:ascii="Times New Roman" w:hAnsi="Times New Roman" w:cs="Times New Roman"/>
          <w:color w:val="242121"/>
          <w:kern w:val="0"/>
          <w:sz w:val="26"/>
          <w:szCs w:val="26"/>
          <w14:ligatures w14:val="none"/>
        </w:rPr>
        <w:t>[2]</w:t>
      </w:r>
      <w:r w:rsidRPr="000F69F7">
        <w:rPr>
          <w:rFonts w:ascii="Times New Roman" w:hAnsi="Times New Roman" w:cs="Times New Roman"/>
          <w:color w:val="242121"/>
          <w:kern w:val="0"/>
          <w:sz w:val="26"/>
          <w:szCs w:val="26"/>
          <w14:ligatures w14:val="none"/>
        </w:rPr>
        <w:tab/>
      </w:r>
      <w:r w:rsidR="00905E2E" w:rsidRPr="00114A72">
        <w:rPr>
          <w:rFonts w:ascii="Times New Roman" w:hAnsi="Times New Roman" w:cs="Times New Roman"/>
          <w:sz w:val="26"/>
          <w:szCs w:val="26"/>
          <w:lang w:val="en-US"/>
        </w:rPr>
        <w:t xml:space="preserve">The property that is the subject of these proceedings is registered in the name of the City. The </w:t>
      </w:r>
      <w:r w:rsidR="00357FE6" w:rsidRPr="00114A72">
        <w:rPr>
          <w:rFonts w:ascii="Times New Roman" w:hAnsi="Times New Roman" w:cs="Times New Roman"/>
          <w:sz w:val="26"/>
          <w:szCs w:val="26"/>
          <w:lang w:val="en-US"/>
        </w:rPr>
        <w:t xml:space="preserve">first and second </w:t>
      </w:r>
      <w:r w:rsidR="00905E2E" w:rsidRPr="00114A72">
        <w:rPr>
          <w:rFonts w:ascii="Times New Roman" w:hAnsi="Times New Roman" w:cs="Times New Roman"/>
          <w:sz w:val="26"/>
          <w:szCs w:val="26"/>
          <w:lang w:val="en-US"/>
        </w:rPr>
        <w:t xml:space="preserve">respondents occupied it in terms of a lease agreement which was entered into between the first respondent and the City on 30 June 2004. </w:t>
      </w:r>
      <w:r w:rsidR="000F69F7" w:rsidRPr="00114A72">
        <w:rPr>
          <w:rFonts w:ascii="Times New Roman" w:hAnsi="Times New Roman" w:cs="Times New Roman"/>
          <w:color w:val="242121"/>
          <w:sz w:val="26"/>
          <w:szCs w:val="26"/>
          <w:lang w:val="en-US"/>
        </w:rPr>
        <w:t xml:space="preserve">The initial lease period was for five years, from 1 July 2004 to 30 June 2009, after which it was extended indefinitely on the same terms and conditions. </w:t>
      </w:r>
    </w:p>
    <w:p w14:paraId="77586A31" w14:textId="77777777" w:rsidR="008F22B3" w:rsidRPr="008F22B3" w:rsidRDefault="008F22B3" w:rsidP="008F22B3">
      <w:pPr>
        <w:pStyle w:val="ListParagraph"/>
        <w:spacing w:after="0" w:line="360" w:lineRule="auto"/>
        <w:ind w:left="0"/>
        <w:jc w:val="both"/>
        <w:rPr>
          <w:rFonts w:ascii="Times New Roman" w:hAnsi="Times New Roman" w:cs="Times New Roman"/>
          <w:sz w:val="26"/>
          <w:szCs w:val="26"/>
        </w:rPr>
      </w:pPr>
    </w:p>
    <w:p w14:paraId="652CC8C8" w14:textId="149E7A0D" w:rsidR="00920386" w:rsidRPr="00114A72" w:rsidRDefault="00114A72" w:rsidP="00114A72">
      <w:pPr>
        <w:spacing w:line="360" w:lineRule="auto"/>
        <w:jc w:val="both"/>
        <w:rPr>
          <w:rFonts w:ascii="Times New Roman" w:hAnsi="Times New Roman" w:cs="Times New Roman"/>
          <w:sz w:val="26"/>
          <w:szCs w:val="26"/>
        </w:rPr>
      </w:pPr>
      <w:r w:rsidRPr="00920386">
        <w:rPr>
          <w:rFonts w:ascii="Times New Roman" w:hAnsi="Times New Roman" w:cs="Times New Roman"/>
          <w:kern w:val="0"/>
          <w:sz w:val="26"/>
          <w:szCs w:val="26"/>
          <w14:ligatures w14:val="none"/>
        </w:rPr>
        <w:t>[3]</w:t>
      </w:r>
      <w:r w:rsidRPr="00920386">
        <w:rPr>
          <w:rFonts w:ascii="Times New Roman" w:hAnsi="Times New Roman" w:cs="Times New Roman"/>
          <w:kern w:val="0"/>
          <w:sz w:val="26"/>
          <w:szCs w:val="26"/>
          <w14:ligatures w14:val="none"/>
        </w:rPr>
        <w:tab/>
      </w:r>
      <w:r w:rsidR="000F69F7" w:rsidRPr="00114A72">
        <w:rPr>
          <w:rFonts w:ascii="Times New Roman" w:hAnsi="Times New Roman" w:cs="Times New Roman"/>
          <w:sz w:val="26"/>
          <w:szCs w:val="26"/>
          <w:lang w:val="en-US"/>
        </w:rPr>
        <w:t xml:space="preserve">In terms of the lease agreement the property was to be used for both residential and commercial purposes. </w:t>
      </w:r>
      <w:r w:rsidR="00905E2E" w:rsidRPr="00114A72">
        <w:rPr>
          <w:rFonts w:ascii="Times New Roman" w:hAnsi="Times New Roman" w:cs="Times New Roman"/>
          <w:sz w:val="26"/>
          <w:szCs w:val="26"/>
          <w:lang w:val="en-US"/>
        </w:rPr>
        <w:t xml:space="preserve">The first and second respondents </w:t>
      </w:r>
      <w:r w:rsidR="000F69F7" w:rsidRPr="00114A72">
        <w:rPr>
          <w:rFonts w:ascii="Times New Roman" w:hAnsi="Times New Roman" w:cs="Times New Roman"/>
          <w:sz w:val="26"/>
          <w:szCs w:val="26"/>
          <w:lang w:val="en-US"/>
        </w:rPr>
        <w:t xml:space="preserve">resided </w:t>
      </w:r>
      <w:r w:rsidR="006D0E89" w:rsidRPr="00114A72">
        <w:rPr>
          <w:rFonts w:ascii="Times New Roman" w:hAnsi="Times New Roman" w:cs="Times New Roman"/>
          <w:sz w:val="26"/>
          <w:szCs w:val="26"/>
          <w:lang w:val="en-US"/>
        </w:rPr>
        <w:t xml:space="preserve">on the first floor of </w:t>
      </w:r>
      <w:r w:rsidR="000F69F7" w:rsidRPr="00114A72">
        <w:rPr>
          <w:rFonts w:ascii="Times New Roman" w:hAnsi="Times New Roman" w:cs="Times New Roman"/>
          <w:sz w:val="26"/>
          <w:szCs w:val="26"/>
          <w:lang w:val="en-US"/>
        </w:rPr>
        <w:t>the property</w:t>
      </w:r>
      <w:r w:rsidR="00637D71" w:rsidRPr="00114A72">
        <w:rPr>
          <w:rFonts w:ascii="Times New Roman" w:hAnsi="Times New Roman" w:cs="Times New Roman"/>
          <w:sz w:val="26"/>
          <w:szCs w:val="26"/>
          <w:lang w:val="en-US"/>
        </w:rPr>
        <w:t>,</w:t>
      </w:r>
      <w:r w:rsidR="000F69F7" w:rsidRPr="00114A72">
        <w:rPr>
          <w:rFonts w:ascii="Times New Roman" w:hAnsi="Times New Roman" w:cs="Times New Roman"/>
          <w:sz w:val="26"/>
          <w:szCs w:val="26"/>
          <w:lang w:val="en-US"/>
        </w:rPr>
        <w:t xml:space="preserve"> and ran a small food business</w:t>
      </w:r>
      <w:r w:rsidR="006D0E89" w:rsidRPr="00114A72">
        <w:rPr>
          <w:rFonts w:ascii="Times New Roman" w:hAnsi="Times New Roman" w:cs="Times New Roman"/>
          <w:sz w:val="26"/>
          <w:szCs w:val="26"/>
          <w:lang w:val="en-US"/>
        </w:rPr>
        <w:t xml:space="preserve"> on the ground floor which is described in the lease as “</w:t>
      </w:r>
      <w:r w:rsidR="006D0E89" w:rsidRPr="00114A72">
        <w:rPr>
          <w:rFonts w:ascii="Times New Roman" w:hAnsi="Times New Roman" w:cs="Times New Roman"/>
          <w:i/>
          <w:iCs/>
          <w:sz w:val="26"/>
          <w:szCs w:val="26"/>
          <w:lang w:val="en-US"/>
        </w:rPr>
        <w:t>café/take-aways”</w:t>
      </w:r>
      <w:r w:rsidR="000F69F7" w:rsidRPr="00114A72">
        <w:rPr>
          <w:rFonts w:ascii="Times New Roman" w:hAnsi="Times New Roman" w:cs="Times New Roman"/>
          <w:sz w:val="26"/>
          <w:szCs w:val="26"/>
          <w:lang w:val="en-US"/>
        </w:rPr>
        <w:t xml:space="preserve">. </w:t>
      </w:r>
    </w:p>
    <w:p w14:paraId="021F8A16" w14:textId="77777777" w:rsidR="00920386" w:rsidRPr="00920386" w:rsidRDefault="00920386" w:rsidP="00920386">
      <w:pPr>
        <w:pStyle w:val="ListParagraph"/>
        <w:rPr>
          <w:rFonts w:ascii="Times New Roman" w:hAnsi="Times New Roman" w:cs="Times New Roman"/>
          <w:sz w:val="26"/>
          <w:szCs w:val="26"/>
          <w:lang w:val="en-US"/>
        </w:rPr>
      </w:pPr>
    </w:p>
    <w:p w14:paraId="04C38A1C" w14:textId="34236BFC" w:rsidR="00637D71" w:rsidRPr="00114A72" w:rsidRDefault="00114A72" w:rsidP="00114A72">
      <w:pPr>
        <w:spacing w:line="360" w:lineRule="auto"/>
        <w:jc w:val="both"/>
        <w:rPr>
          <w:rFonts w:ascii="Times New Roman" w:hAnsi="Times New Roman" w:cs="Times New Roman"/>
          <w:sz w:val="26"/>
          <w:szCs w:val="26"/>
        </w:rPr>
      </w:pPr>
      <w:r>
        <w:rPr>
          <w:rFonts w:ascii="Times New Roman" w:hAnsi="Times New Roman" w:cs="Times New Roman"/>
          <w:kern w:val="0"/>
          <w:sz w:val="26"/>
          <w:szCs w:val="26"/>
          <w14:ligatures w14:val="none"/>
        </w:rPr>
        <w:t>[4]</w:t>
      </w:r>
      <w:r>
        <w:rPr>
          <w:rFonts w:ascii="Times New Roman" w:hAnsi="Times New Roman" w:cs="Times New Roman"/>
          <w:kern w:val="0"/>
          <w:sz w:val="26"/>
          <w:szCs w:val="26"/>
          <w14:ligatures w14:val="none"/>
        </w:rPr>
        <w:tab/>
      </w:r>
      <w:r w:rsidR="000F69F7" w:rsidRPr="00114A72">
        <w:rPr>
          <w:rFonts w:ascii="Times New Roman" w:hAnsi="Times New Roman" w:cs="Times New Roman"/>
          <w:sz w:val="26"/>
          <w:szCs w:val="26"/>
          <w:lang w:val="en-US"/>
        </w:rPr>
        <w:t xml:space="preserve">In </w:t>
      </w:r>
      <w:r w:rsidR="00905E2E" w:rsidRPr="00114A72">
        <w:rPr>
          <w:rFonts w:ascii="Times New Roman" w:hAnsi="Times New Roman" w:cs="Times New Roman"/>
          <w:sz w:val="26"/>
          <w:szCs w:val="26"/>
          <w:lang w:val="en-US"/>
        </w:rPr>
        <w:t>November 2014</w:t>
      </w:r>
      <w:r w:rsidR="000F69F7" w:rsidRPr="00114A72">
        <w:rPr>
          <w:rFonts w:ascii="Times New Roman" w:hAnsi="Times New Roman" w:cs="Times New Roman"/>
          <w:sz w:val="26"/>
          <w:szCs w:val="26"/>
          <w:lang w:val="en-US"/>
        </w:rPr>
        <w:t xml:space="preserve">, the first and second respondents were divorced, and </w:t>
      </w:r>
      <w:r w:rsidR="00905E2E" w:rsidRPr="00114A72">
        <w:rPr>
          <w:rFonts w:ascii="Times New Roman" w:hAnsi="Times New Roman" w:cs="Times New Roman"/>
          <w:sz w:val="26"/>
          <w:szCs w:val="26"/>
          <w:lang w:val="en-US"/>
        </w:rPr>
        <w:t>the first respondent relocated to Durban. Since then, the second respondent has remained at the property where she reside</w:t>
      </w:r>
      <w:r w:rsidR="006D0E89" w:rsidRPr="00114A72">
        <w:rPr>
          <w:rFonts w:ascii="Times New Roman" w:hAnsi="Times New Roman" w:cs="Times New Roman"/>
          <w:sz w:val="26"/>
          <w:szCs w:val="26"/>
          <w:lang w:val="en-US"/>
        </w:rPr>
        <w:t>s</w:t>
      </w:r>
      <w:r w:rsidR="00905E2E" w:rsidRPr="00114A72">
        <w:rPr>
          <w:rFonts w:ascii="Times New Roman" w:hAnsi="Times New Roman" w:cs="Times New Roman"/>
          <w:sz w:val="26"/>
          <w:szCs w:val="26"/>
          <w:lang w:val="en-US"/>
        </w:rPr>
        <w:t xml:space="preserve"> together with </w:t>
      </w:r>
      <w:r w:rsidR="00637D71" w:rsidRPr="00114A72">
        <w:rPr>
          <w:rFonts w:ascii="Times New Roman" w:hAnsi="Times New Roman" w:cs="Times New Roman"/>
          <w:sz w:val="26"/>
          <w:szCs w:val="26"/>
          <w:lang w:val="en-US"/>
        </w:rPr>
        <w:t>her</w:t>
      </w:r>
      <w:r w:rsidR="00905E2E" w:rsidRPr="00114A72">
        <w:rPr>
          <w:rFonts w:ascii="Times New Roman" w:hAnsi="Times New Roman" w:cs="Times New Roman"/>
          <w:sz w:val="26"/>
          <w:szCs w:val="26"/>
          <w:lang w:val="en-US"/>
        </w:rPr>
        <w:t xml:space="preserve"> </w:t>
      </w:r>
      <w:r w:rsidR="00B34FB3" w:rsidRPr="00114A72">
        <w:rPr>
          <w:rFonts w:ascii="Times New Roman" w:hAnsi="Times New Roman" w:cs="Times New Roman"/>
          <w:sz w:val="26"/>
          <w:szCs w:val="26"/>
          <w:lang w:val="en-US"/>
        </w:rPr>
        <w:t>twelve</w:t>
      </w:r>
      <w:r w:rsidR="00920386" w:rsidRPr="00114A72">
        <w:rPr>
          <w:rFonts w:ascii="Times New Roman" w:hAnsi="Times New Roman" w:cs="Times New Roman"/>
          <w:sz w:val="26"/>
          <w:szCs w:val="26"/>
          <w:lang w:val="en-US"/>
        </w:rPr>
        <w:t>-</w:t>
      </w:r>
      <w:r w:rsidR="00B34FB3" w:rsidRPr="00114A72">
        <w:rPr>
          <w:rFonts w:ascii="Times New Roman" w:hAnsi="Times New Roman" w:cs="Times New Roman"/>
          <w:sz w:val="26"/>
          <w:szCs w:val="26"/>
          <w:lang w:val="en-US"/>
        </w:rPr>
        <w:t>year</w:t>
      </w:r>
      <w:r w:rsidR="00920386" w:rsidRPr="00114A72">
        <w:rPr>
          <w:rFonts w:ascii="Times New Roman" w:hAnsi="Times New Roman" w:cs="Times New Roman"/>
          <w:sz w:val="26"/>
          <w:szCs w:val="26"/>
          <w:lang w:val="en-US"/>
        </w:rPr>
        <w:t xml:space="preserve"> </w:t>
      </w:r>
      <w:r w:rsidR="00B34FB3" w:rsidRPr="00114A72">
        <w:rPr>
          <w:rFonts w:ascii="Times New Roman" w:hAnsi="Times New Roman" w:cs="Times New Roman"/>
          <w:sz w:val="26"/>
          <w:szCs w:val="26"/>
          <w:lang w:val="en-US"/>
        </w:rPr>
        <w:t xml:space="preserve">old </w:t>
      </w:r>
      <w:r w:rsidR="00905E2E" w:rsidRPr="00114A72">
        <w:rPr>
          <w:rFonts w:ascii="Times New Roman" w:hAnsi="Times New Roman" w:cs="Times New Roman"/>
          <w:sz w:val="26"/>
          <w:szCs w:val="26"/>
          <w:lang w:val="en-US"/>
        </w:rPr>
        <w:t>son</w:t>
      </w:r>
      <w:r w:rsidR="000F69F7" w:rsidRPr="00114A72">
        <w:rPr>
          <w:rFonts w:ascii="Times New Roman" w:hAnsi="Times New Roman" w:cs="Times New Roman"/>
          <w:sz w:val="26"/>
          <w:szCs w:val="26"/>
          <w:lang w:val="en-US"/>
        </w:rPr>
        <w:t xml:space="preserve"> </w:t>
      </w:r>
      <w:r w:rsidR="00905E2E" w:rsidRPr="00114A72">
        <w:rPr>
          <w:rFonts w:ascii="Times New Roman" w:hAnsi="Times New Roman" w:cs="Times New Roman"/>
          <w:sz w:val="26"/>
          <w:szCs w:val="26"/>
          <w:lang w:val="en-US"/>
        </w:rPr>
        <w:t xml:space="preserve">and continues to run </w:t>
      </w:r>
      <w:r w:rsidR="000F69F7" w:rsidRPr="00114A72">
        <w:rPr>
          <w:rFonts w:ascii="Times New Roman" w:hAnsi="Times New Roman" w:cs="Times New Roman"/>
          <w:sz w:val="26"/>
          <w:szCs w:val="26"/>
          <w:lang w:val="en-US"/>
        </w:rPr>
        <w:t>the business.</w:t>
      </w:r>
      <w:r w:rsidR="00637D71" w:rsidRPr="00114A72">
        <w:rPr>
          <w:rFonts w:ascii="Times New Roman" w:hAnsi="Times New Roman" w:cs="Times New Roman"/>
          <w:sz w:val="26"/>
          <w:szCs w:val="26"/>
        </w:rPr>
        <w:t xml:space="preserve"> </w:t>
      </w:r>
      <w:r w:rsidR="000F69F7" w:rsidRPr="00114A72">
        <w:rPr>
          <w:rFonts w:ascii="Times New Roman" w:hAnsi="Times New Roman" w:cs="Times New Roman"/>
          <w:sz w:val="26"/>
          <w:szCs w:val="26"/>
        </w:rPr>
        <w:t>The lease, however, has continued to be in the name of the first respondent</w:t>
      </w:r>
      <w:r w:rsidR="00920386" w:rsidRPr="00114A72">
        <w:rPr>
          <w:rFonts w:ascii="Times New Roman" w:hAnsi="Times New Roman" w:cs="Times New Roman"/>
          <w:sz w:val="26"/>
          <w:szCs w:val="26"/>
        </w:rPr>
        <w:t xml:space="preserve">. </w:t>
      </w:r>
    </w:p>
    <w:p w14:paraId="5C96021A" w14:textId="77777777" w:rsidR="00637D71" w:rsidRPr="00637D71" w:rsidRDefault="00637D71" w:rsidP="00637D71">
      <w:pPr>
        <w:pStyle w:val="ListParagraph"/>
        <w:rPr>
          <w:rFonts w:ascii="Times New Roman" w:hAnsi="Times New Roman" w:cs="Times New Roman"/>
          <w:sz w:val="26"/>
          <w:szCs w:val="26"/>
        </w:rPr>
      </w:pPr>
    </w:p>
    <w:p w14:paraId="195BF500" w14:textId="47B5FBFE" w:rsidR="008F22B3" w:rsidRPr="00114A72" w:rsidRDefault="00114A72" w:rsidP="00114A72">
      <w:pPr>
        <w:spacing w:line="360" w:lineRule="auto"/>
        <w:jc w:val="both"/>
        <w:rPr>
          <w:rFonts w:ascii="Times New Roman" w:hAnsi="Times New Roman" w:cs="Times New Roman"/>
          <w:sz w:val="26"/>
          <w:szCs w:val="26"/>
        </w:rPr>
      </w:pPr>
      <w:r w:rsidRPr="00637D71">
        <w:rPr>
          <w:rFonts w:ascii="Times New Roman" w:hAnsi="Times New Roman" w:cs="Times New Roman"/>
          <w:kern w:val="0"/>
          <w:sz w:val="26"/>
          <w:szCs w:val="26"/>
          <w14:ligatures w14:val="none"/>
        </w:rPr>
        <w:t>[5]</w:t>
      </w:r>
      <w:r w:rsidRPr="00637D71">
        <w:rPr>
          <w:rFonts w:ascii="Times New Roman" w:hAnsi="Times New Roman" w:cs="Times New Roman"/>
          <w:kern w:val="0"/>
          <w:sz w:val="26"/>
          <w:szCs w:val="26"/>
          <w14:ligatures w14:val="none"/>
        </w:rPr>
        <w:tab/>
      </w:r>
      <w:r w:rsidR="006D0E89" w:rsidRPr="00114A72">
        <w:rPr>
          <w:rFonts w:ascii="Times New Roman" w:hAnsi="Times New Roman" w:cs="Times New Roman"/>
          <w:sz w:val="26"/>
          <w:szCs w:val="26"/>
        </w:rPr>
        <w:t xml:space="preserve">By 2018, the rental payable in terms of the lease was R5 892. </w:t>
      </w:r>
      <w:r w:rsidR="008F22B3" w:rsidRPr="00114A72">
        <w:rPr>
          <w:rFonts w:ascii="Times New Roman" w:hAnsi="Times New Roman" w:cs="Times New Roman"/>
          <w:color w:val="242121"/>
          <w:sz w:val="26"/>
          <w:szCs w:val="26"/>
          <w:lang w:val="en-US"/>
        </w:rPr>
        <w:t xml:space="preserve">It is common cause that, although there were discussions </w:t>
      </w:r>
      <w:r w:rsidR="00503C5A" w:rsidRPr="00114A72">
        <w:rPr>
          <w:rFonts w:ascii="Times New Roman" w:hAnsi="Times New Roman" w:cs="Times New Roman"/>
          <w:color w:val="242121"/>
          <w:sz w:val="26"/>
          <w:szCs w:val="26"/>
          <w:lang w:val="en-US"/>
        </w:rPr>
        <w:t>a</w:t>
      </w:r>
      <w:r w:rsidR="008F22B3" w:rsidRPr="00114A72">
        <w:rPr>
          <w:rFonts w:ascii="Times New Roman" w:hAnsi="Times New Roman" w:cs="Times New Roman"/>
          <w:color w:val="242121"/>
          <w:sz w:val="26"/>
          <w:szCs w:val="26"/>
          <w:lang w:val="en-US"/>
        </w:rPr>
        <w:t xml:space="preserve">nd agreement </w:t>
      </w:r>
      <w:r w:rsidR="000F69F7" w:rsidRPr="00114A72">
        <w:rPr>
          <w:rFonts w:ascii="Times New Roman" w:hAnsi="Times New Roman" w:cs="Times New Roman"/>
          <w:color w:val="242121"/>
          <w:sz w:val="26"/>
          <w:szCs w:val="26"/>
          <w:lang w:val="en-US"/>
        </w:rPr>
        <w:t xml:space="preserve">with the second respondent </w:t>
      </w:r>
      <w:r w:rsidR="008F22B3" w:rsidRPr="00114A72">
        <w:rPr>
          <w:rFonts w:ascii="Times New Roman" w:hAnsi="Times New Roman" w:cs="Times New Roman"/>
          <w:color w:val="242121"/>
          <w:sz w:val="26"/>
          <w:szCs w:val="26"/>
          <w:lang w:val="en-US"/>
        </w:rPr>
        <w:t xml:space="preserve">to increase the rental from </w:t>
      </w:r>
      <w:r w:rsidR="00503C5A" w:rsidRPr="00114A72">
        <w:rPr>
          <w:rFonts w:ascii="Times New Roman" w:hAnsi="Times New Roman" w:cs="Times New Roman"/>
          <w:color w:val="242121"/>
          <w:sz w:val="26"/>
          <w:szCs w:val="26"/>
          <w:lang w:val="en-US"/>
        </w:rPr>
        <w:t>R</w:t>
      </w:r>
      <w:r w:rsidR="008F22B3" w:rsidRPr="00114A72">
        <w:rPr>
          <w:rFonts w:ascii="Times New Roman" w:hAnsi="Times New Roman" w:cs="Times New Roman"/>
          <w:color w:val="242121"/>
          <w:sz w:val="26"/>
          <w:szCs w:val="26"/>
          <w:lang w:val="en-US"/>
        </w:rPr>
        <w:t>5</w:t>
      </w:r>
      <w:r w:rsidR="00503C5A" w:rsidRPr="00114A72">
        <w:rPr>
          <w:rFonts w:ascii="Times New Roman" w:hAnsi="Times New Roman" w:cs="Times New Roman"/>
          <w:color w:val="242121"/>
          <w:sz w:val="26"/>
          <w:szCs w:val="26"/>
          <w:lang w:val="en-US"/>
        </w:rPr>
        <w:t xml:space="preserve"> 892.60</w:t>
      </w:r>
      <w:r w:rsidR="008F22B3" w:rsidRPr="00114A72">
        <w:rPr>
          <w:rFonts w:ascii="Times New Roman" w:hAnsi="Times New Roman" w:cs="Times New Roman"/>
          <w:color w:val="242121"/>
          <w:sz w:val="26"/>
          <w:szCs w:val="26"/>
          <w:lang w:val="en-US"/>
        </w:rPr>
        <w:t xml:space="preserve"> to R19,000 per month with effect from 2018, th</w:t>
      </w:r>
      <w:r w:rsidR="00637D71" w:rsidRPr="00114A72">
        <w:rPr>
          <w:rFonts w:ascii="Times New Roman" w:hAnsi="Times New Roman" w:cs="Times New Roman"/>
          <w:color w:val="242121"/>
          <w:sz w:val="26"/>
          <w:szCs w:val="26"/>
          <w:lang w:val="en-US"/>
        </w:rPr>
        <w:t>at</w:t>
      </w:r>
      <w:r w:rsidR="008F22B3" w:rsidRPr="00114A72">
        <w:rPr>
          <w:rFonts w:ascii="Times New Roman" w:hAnsi="Times New Roman" w:cs="Times New Roman"/>
          <w:color w:val="242121"/>
          <w:sz w:val="26"/>
          <w:szCs w:val="26"/>
          <w:lang w:val="en-US"/>
        </w:rPr>
        <w:t xml:space="preserve"> agreement was not </w:t>
      </w:r>
      <w:r w:rsidR="00503C5A" w:rsidRPr="00114A72">
        <w:rPr>
          <w:rFonts w:ascii="Times New Roman" w:hAnsi="Times New Roman" w:cs="Times New Roman"/>
          <w:color w:val="242121"/>
          <w:sz w:val="26"/>
          <w:szCs w:val="26"/>
          <w:lang w:val="en-US"/>
        </w:rPr>
        <w:t>e</w:t>
      </w:r>
      <w:r w:rsidR="008F22B3" w:rsidRPr="00114A72">
        <w:rPr>
          <w:rFonts w:ascii="Times New Roman" w:hAnsi="Times New Roman" w:cs="Times New Roman"/>
          <w:color w:val="242121"/>
          <w:sz w:val="26"/>
          <w:szCs w:val="26"/>
          <w:lang w:val="en-US"/>
        </w:rPr>
        <w:t>ffected.</w:t>
      </w:r>
      <w:r w:rsidR="003332B7" w:rsidRPr="00114A72">
        <w:rPr>
          <w:rFonts w:ascii="Times New Roman" w:hAnsi="Times New Roman" w:cs="Times New Roman"/>
          <w:color w:val="242121"/>
          <w:sz w:val="26"/>
          <w:szCs w:val="26"/>
          <w:lang w:val="en-US"/>
        </w:rPr>
        <w:t xml:space="preserve"> The City simply continued to bill the second respondent exactly what she been paying previously.</w:t>
      </w:r>
    </w:p>
    <w:p w14:paraId="77D2B812" w14:textId="77777777" w:rsidR="00503C5A" w:rsidRPr="00503C5A" w:rsidRDefault="00503C5A" w:rsidP="00503C5A">
      <w:pPr>
        <w:pStyle w:val="ListParagraph"/>
        <w:rPr>
          <w:rFonts w:ascii="Times New Roman" w:hAnsi="Times New Roman" w:cs="Times New Roman"/>
          <w:color w:val="242121"/>
          <w:sz w:val="26"/>
          <w:szCs w:val="26"/>
        </w:rPr>
      </w:pPr>
    </w:p>
    <w:p w14:paraId="69EC77C8" w14:textId="0791F151" w:rsidR="00503C5A"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[6]</w:t>
      </w:r>
      <w:r>
        <w:rPr>
          <w:rFonts w:ascii="Times New Roman" w:hAnsi="Times New Roman" w:cs="Times New Roman"/>
          <w:color w:val="242121"/>
          <w:kern w:val="0"/>
          <w:sz w:val="26"/>
          <w:szCs w:val="26"/>
          <w:lang w:val="en-US"/>
          <w14:ligatures w14:val="none"/>
        </w:rPr>
        <w:tab/>
      </w:r>
      <w:r w:rsidR="00503C5A" w:rsidRPr="00114A72">
        <w:rPr>
          <w:rFonts w:ascii="Times New Roman" w:hAnsi="Times New Roman" w:cs="Times New Roman"/>
          <w:color w:val="242121"/>
          <w:sz w:val="26"/>
          <w:szCs w:val="26"/>
          <w:lang w:val="en-US"/>
        </w:rPr>
        <w:t xml:space="preserve">In 2019 the City caused a valuation assessment of the property to be conducted, which concluded that the monthly rental paid by the respondents was </w:t>
      </w:r>
      <w:r w:rsidR="00920386" w:rsidRPr="00114A72">
        <w:rPr>
          <w:rFonts w:ascii="Times New Roman" w:hAnsi="Times New Roman" w:cs="Times New Roman"/>
          <w:color w:val="242121"/>
          <w:sz w:val="26"/>
          <w:szCs w:val="26"/>
          <w:lang w:val="en-US"/>
        </w:rPr>
        <w:t>well-</w:t>
      </w:r>
      <w:r w:rsidR="00503C5A" w:rsidRPr="00114A72">
        <w:rPr>
          <w:rFonts w:ascii="Times New Roman" w:hAnsi="Times New Roman" w:cs="Times New Roman"/>
          <w:color w:val="242121"/>
          <w:sz w:val="26"/>
          <w:szCs w:val="26"/>
          <w:lang w:val="en-US"/>
        </w:rPr>
        <w:t xml:space="preserve">below the </w:t>
      </w:r>
      <w:r w:rsidR="00503C5A" w:rsidRPr="00114A72">
        <w:rPr>
          <w:rFonts w:ascii="Times New Roman" w:hAnsi="Times New Roman" w:cs="Times New Roman"/>
          <w:color w:val="242121"/>
          <w:sz w:val="26"/>
          <w:szCs w:val="26"/>
          <w:lang w:val="en-US"/>
        </w:rPr>
        <w:lastRenderedPageBreak/>
        <w:t>market rental for the property, and recommended</w:t>
      </w:r>
      <w:r w:rsidR="00357FE6" w:rsidRPr="00114A72">
        <w:rPr>
          <w:rFonts w:ascii="Times New Roman" w:hAnsi="Times New Roman" w:cs="Times New Roman"/>
          <w:color w:val="242121"/>
          <w:sz w:val="26"/>
          <w:szCs w:val="26"/>
          <w:lang w:val="en-US"/>
        </w:rPr>
        <w:t xml:space="preserve"> that</w:t>
      </w:r>
      <w:r w:rsidR="00503C5A" w:rsidRPr="00114A72">
        <w:rPr>
          <w:rFonts w:ascii="Times New Roman" w:hAnsi="Times New Roman" w:cs="Times New Roman"/>
          <w:color w:val="242121"/>
          <w:sz w:val="26"/>
          <w:szCs w:val="26"/>
          <w:lang w:val="en-US"/>
        </w:rPr>
        <w:t xml:space="preserve"> a rental of R24</w:t>
      </w:r>
      <w:r w:rsidR="00357FE6" w:rsidRPr="00114A72">
        <w:rPr>
          <w:rFonts w:ascii="Times New Roman" w:hAnsi="Times New Roman" w:cs="Times New Roman"/>
          <w:color w:val="242121"/>
          <w:sz w:val="26"/>
          <w:szCs w:val="26"/>
          <w:lang w:val="en-US"/>
        </w:rPr>
        <w:t> </w:t>
      </w:r>
      <w:r w:rsidR="00503C5A" w:rsidRPr="00114A72">
        <w:rPr>
          <w:rFonts w:ascii="Times New Roman" w:hAnsi="Times New Roman" w:cs="Times New Roman"/>
          <w:color w:val="242121"/>
          <w:sz w:val="26"/>
          <w:szCs w:val="26"/>
          <w:lang w:val="en-US"/>
        </w:rPr>
        <w:t>900</w:t>
      </w:r>
      <w:r w:rsidR="00357FE6" w:rsidRPr="00114A72">
        <w:rPr>
          <w:rFonts w:ascii="Times New Roman" w:hAnsi="Times New Roman" w:cs="Times New Roman"/>
          <w:color w:val="242121"/>
          <w:sz w:val="26"/>
          <w:szCs w:val="26"/>
          <w:lang w:val="en-US"/>
        </w:rPr>
        <w:t xml:space="preserve"> was payable in respect of the property</w:t>
      </w:r>
      <w:r w:rsidR="00503C5A" w:rsidRPr="00114A72">
        <w:rPr>
          <w:rFonts w:ascii="Times New Roman" w:hAnsi="Times New Roman" w:cs="Times New Roman"/>
          <w:color w:val="242121"/>
          <w:sz w:val="26"/>
          <w:szCs w:val="26"/>
          <w:lang w:val="en-US"/>
        </w:rPr>
        <w:t xml:space="preserve">. </w:t>
      </w:r>
    </w:p>
    <w:p w14:paraId="2FBC2D91" w14:textId="77777777" w:rsidR="00503C5A" w:rsidRPr="00503C5A" w:rsidRDefault="00503C5A" w:rsidP="00503C5A">
      <w:pPr>
        <w:pStyle w:val="ListParagraph"/>
        <w:rPr>
          <w:rFonts w:ascii="Times New Roman" w:hAnsi="Times New Roman" w:cs="Times New Roman"/>
          <w:color w:val="242121"/>
          <w:sz w:val="26"/>
          <w:szCs w:val="26"/>
          <w:lang w:val="en-US"/>
        </w:rPr>
      </w:pPr>
    </w:p>
    <w:p w14:paraId="612CDB75" w14:textId="729141A5" w:rsidR="00503C5A"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[7]</w:t>
      </w:r>
      <w:r>
        <w:rPr>
          <w:rFonts w:ascii="Times New Roman" w:hAnsi="Times New Roman" w:cs="Times New Roman"/>
          <w:color w:val="242121"/>
          <w:kern w:val="0"/>
          <w:sz w:val="26"/>
          <w:szCs w:val="26"/>
          <w:lang w:val="en-US"/>
          <w14:ligatures w14:val="none"/>
        </w:rPr>
        <w:tab/>
      </w:r>
      <w:r w:rsidR="00503C5A" w:rsidRPr="00114A72">
        <w:rPr>
          <w:rFonts w:ascii="Times New Roman" w:hAnsi="Times New Roman" w:cs="Times New Roman"/>
          <w:color w:val="242121"/>
          <w:sz w:val="26"/>
          <w:szCs w:val="26"/>
          <w:lang w:val="en-US"/>
        </w:rPr>
        <w:t xml:space="preserve">On 22 November 2019 the City addressed a letter to the first respondent advising him of the findings of the </w:t>
      </w:r>
      <w:r w:rsidR="00357FE6" w:rsidRPr="00114A72">
        <w:rPr>
          <w:rFonts w:ascii="Times New Roman" w:hAnsi="Times New Roman" w:cs="Times New Roman"/>
          <w:color w:val="242121"/>
          <w:sz w:val="26"/>
          <w:szCs w:val="26"/>
          <w:lang w:val="en-US"/>
        </w:rPr>
        <w:t xml:space="preserve">valuation </w:t>
      </w:r>
      <w:r w:rsidR="00503C5A" w:rsidRPr="00114A72">
        <w:rPr>
          <w:rFonts w:ascii="Times New Roman" w:hAnsi="Times New Roman" w:cs="Times New Roman"/>
          <w:color w:val="242121"/>
          <w:sz w:val="26"/>
          <w:szCs w:val="26"/>
          <w:lang w:val="en-US"/>
        </w:rPr>
        <w:t>and of its intention to conclude a new lease in accordance with the outcome of the valuation. The first respondent failed to respond to the letter of 22 November 2019</w:t>
      </w:r>
      <w:r w:rsidR="00357FE6" w:rsidRPr="00114A72">
        <w:rPr>
          <w:rFonts w:ascii="Times New Roman" w:hAnsi="Times New Roman" w:cs="Times New Roman"/>
          <w:color w:val="242121"/>
          <w:sz w:val="26"/>
          <w:szCs w:val="26"/>
          <w:lang w:val="en-US"/>
        </w:rPr>
        <w:t xml:space="preserve">. </w:t>
      </w:r>
      <w:r w:rsidR="00503C5A" w:rsidRPr="00114A72">
        <w:rPr>
          <w:rFonts w:ascii="Times New Roman" w:hAnsi="Times New Roman" w:cs="Times New Roman"/>
          <w:color w:val="242121"/>
          <w:sz w:val="26"/>
          <w:szCs w:val="26"/>
          <w:lang w:val="en-US"/>
        </w:rPr>
        <w:t xml:space="preserve"> </w:t>
      </w:r>
      <w:r w:rsidR="00357FE6" w:rsidRPr="00114A72">
        <w:rPr>
          <w:rFonts w:ascii="Times New Roman" w:hAnsi="Times New Roman" w:cs="Times New Roman"/>
          <w:color w:val="242121"/>
          <w:sz w:val="26"/>
          <w:szCs w:val="26"/>
          <w:lang w:val="en-US"/>
        </w:rPr>
        <w:t>O</w:t>
      </w:r>
      <w:r w:rsidR="00503C5A" w:rsidRPr="00114A72">
        <w:rPr>
          <w:rFonts w:ascii="Times New Roman" w:hAnsi="Times New Roman" w:cs="Times New Roman"/>
          <w:color w:val="242121"/>
          <w:sz w:val="26"/>
          <w:szCs w:val="26"/>
          <w:lang w:val="en-US"/>
        </w:rPr>
        <w:t xml:space="preserve">n 11 December 2019 the City addressed a further letter giving notice that if no written response was received to the letter of 22 November 2019 by 19 December 2019, the lease would effectively be cancelled.  </w:t>
      </w:r>
    </w:p>
    <w:p w14:paraId="10EBF1CC" w14:textId="77777777" w:rsidR="00C72127" w:rsidRPr="00C72127" w:rsidRDefault="00C72127" w:rsidP="00C72127">
      <w:pPr>
        <w:pStyle w:val="ListParagraph"/>
        <w:spacing w:after="0" w:line="360" w:lineRule="auto"/>
        <w:ind w:left="0"/>
        <w:jc w:val="both"/>
        <w:rPr>
          <w:rFonts w:ascii="Times New Roman" w:hAnsi="Times New Roman" w:cs="Times New Roman"/>
          <w:color w:val="242121"/>
          <w:sz w:val="26"/>
          <w:szCs w:val="26"/>
          <w:lang w:val="en-US"/>
        </w:rPr>
      </w:pPr>
    </w:p>
    <w:p w14:paraId="46A7CDDD" w14:textId="7C29EF9B" w:rsidR="00503C5A"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[8]</w:t>
      </w:r>
      <w:r>
        <w:rPr>
          <w:rFonts w:ascii="Times New Roman" w:hAnsi="Times New Roman" w:cs="Times New Roman"/>
          <w:color w:val="242121"/>
          <w:kern w:val="0"/>
          <w:sz w:val="26"/>
          <w:szCs w:val="26"/>
          <w:lang w:val="en-US"/>
          <w14:ligatures w14:val="none"/>
        </w:rPr>
        <w:tab/>
      </w:r>
      <w:r w:rsidR="000F69F7" w:rsidRPr="00114A72">
        <w:rPr>
          <w:rFonts w:ascii="Times New Roman" w:hAnsi="Times New Roman" w:cs="Times New Roman"/>
          <w:color w:val="242121"/>
          <w:sz w:val="26"/>
          <w:szCs w:val="26"/>
          <w:lang w:val="en-US"/>
        </w:rPr>
        <w:t>On</w:t>
      </w:r>
      <w:r w:rsidR="006D0E89" w:rsidRPr="00114A72">
        <w:rPr>
          <w:rFonts w:ascii="Times New Roman" w:hAnsi="Times New Roman" w:cs="Times New Roman"/>
          <w:color w:val="242121"/>
          <w:sz w:val="26"/>
          <w:szCs w:val="26"/>
          <w:lang w:val="en-US"/>
        </w:rPr>
        <w:t xml:space="preserve"> 17 December 2019 </w:t>
      </w:r>
      <w:r w:rsidR="000F69F7" w:rsidRPr="00114A72">
        <w:rPr>
          <w:rFonts w:ascii="Times New Roman" w:hAnsi="Times New Roman" w:cs="Times New Roman"/>
          <w:color w:val="242121"/>
          <w:sz w:val="26"/>
          <w:szCs w:val="26"/>
          <w:lang w:val="en-US"/>
        </w:rPr>
        <w:t>the first respondent responded to the letter of 1</w:t>
      </w:r>
      <w:r w:rsidR="006D0E89" w:rsidRPr="00114A72">
        <w:rPr>
          <w:rFonts w:ascii="Times New Roman" w:hAnsi="Times New Roman" w:cs="Times New Roman"/>
          <w:color w:val="242121"/>
          <w:sz w:val="26"/>
          <w:szCs w:val="26"/>
          <w:lang w:val="en-US"/>
        </w:rPr>
        <w:t>1</w:t>
      </w:r>
      <w:r w:rsidR="000F69F7" w:rsidRPr="00114A72">
        <w:rPr>
          <w:rFonts w:ascii="Times New Roman" w:hAnsi="Times New Roman" w:cs="Times New Roman"/>
          <w:color w:val="242121"/>
          <w:sz w:val="26"/>
          <w:szCs w:val="26"/>
          <w:lang w:val="en-US"/>
        </w:rPr>
        <w:t xml:space="preserve"> December 201</w:t>
      </w:r>
      <w:r w:rsidR="006D0E89" w:rsidRPr="00114A72">
        <w:rPr>
          <w:rFonts w:ascii="Times New Roman" w:hAnsi="Times New Roman" w:cs="Times New Roman"/>
          <w:color w:val="242121"/>
          <w:sz w:val="26"/>
          <w:szCs w:val="26"/>
          <w:lang w:val="en-US"/>
        </w:rPr>
        <w:t>9</w:t>
      </w:r>
      <w:r w:rsidR="000F69F7" w:rsidRPr="00114A72">
        <w:rPr>
          <w:rFonts w:ascii="Times New Roman" w:hAnsi="Times New Roman" w:cs="Times New Roman"/>
          <w:color w:val="242121"/>
          <w:sz w:val="26"/>
          <w:szCs w:val="26"/>
          <w:lang w:val="en-US"/>
        </w:rPr>
        <w:t xml:space="preserve"> </w:t>
      </w:r>
      <w:r w:rsidR="000F69F7" w:rsidRPr="00114A72">
        <w:rPr>
          <w:rFonts w:ascii="Times New Roman" w:hAnsi="Times New Roman" w:cs="Times New Roman"/>
          <w:i/>
          <w:iCs/>
          <w:color w:val="242121"/>
          <w:sz w:val="26"/>
          <w:szCs w:val="26"/>
          <w:lang w:val="en-US"/>
        </w:rPr>
        <w:t>via</w:t>
      </w:r>
      <w:r w:rsidR="000F69F7" w:rsidRPr="00114A72">
        <w:rPr>
          <w:rFonts w:ascii="Times New Roman" w:hAnsi="Times New Roman" w:cs="Times New Roman"/>
          <w:color w:val="242121"/>
          <w:sz w:val="26"/>
          <w:szCs w:val="26"/>
          <w:lang w:val="en-US"/>
        </w:rPr>
        <w:t xml:space="preserve"> his attorneys.  </w:t>
      </w:r>
      <w:r w:rsidR="00920386" w:rsidRPr="00114A72">
        <w:rPr>
          <w:rFonts w:ascii="Times New Roman" w:hAnsi="Times New Roman" w:cs="Times New Roman"/>
          <w:color w:val="242121"/>
          <w:sz w:val="26"/>
          <w:szCs w:val="26"/>
          <w:lang w:val="en-US"/>
        </w:rPr>
        <w:t xml:space="preserve">He </w:t>
      </w:r>
      <w:r w:rsidR="00503C5A" w:rsidRPr="00114A72">
        <w:rPr>
          <w:rFonts w:ascii="Times New Roman" w:hAnsi="Times New Roman" w:cs="Times New Roman"/>
          <w:color w:val="242121"/>
          <w:sz w:val="26"/>
          <w:szCs w:val="26"/>
          <w:lang w:val="en-US"/>
        </w:rPr>
        <w:t>made a counter-proposal o</w:t>
      </w:r>
      <w:r w:rsidR="00920386" w:rsidRPr="00114A72">
        <w:rPr>
          <w:rFonts w:ascii="Times New Roman" w:hAnsi="Times New Roman" w:cs="Times New Roman"/>
          <w:color w:val="242121"/>
          <w:sz w:val="26"/>
          <w:szCs w:val="26"/>
          <w:lang w:val="en-US"/>
        </w:rPr>
        <w:t>f</w:t>
      </w:r>
      <w:r w:rsidR="00503C5A" w:rsidRPr="00114A72">
        <w:rPr>
          <w:rFonts w:ascii="Times New Roman" w:hAnsi="Times New Roman" w:cs="Times New Roman"/>
          <w:color w:val="242121"/>
          <w:sz w:val="26"/>
          <w:szCs w:val="26"/>
          <w:lang w:val="en-US"/>
        </w:rPr>
        <w:t xml:space="preserve"> R6 481.20</w:t>
      </w:r>
      <w:r w:rsidR="00920386" w:rsidRPr="00114A72">
        <w:rPr>
          <w:rFonts w:ascii="Times New Roman" w:hAnsi="Times New Roman" w:cs="Times New Roman"/>
          <w:color w:val="242121"/>
          <w:sz w:val="26"/>
          <w:szCs w:val="26"/>
          <w:lang w:val="en-US"/>
        </w:rPr>
        <w:t xml:space="preserve"> rental per month</w:t>
      </w:r>
      <w:r w:rsidR="00503C5A" w:rsidRPr="00114A72">
        <w:rPr>
          <w:rFonts w:ascii="Times New Roman" w:hAnsi="Times New Roman" w:cs="Times New Roman"/>
          <w:color w:val="242121"/>
          <w:sz w:val="26"/>
          <w:szCs w:val="26"/>
          <w:lang w:val="en-US"/>
        </w:rPr>
        <w:t xml:space="preserve">. </w:t>
      </w:r>
      <w:r w:rsidR="00C72127" w:rsidRPr="00114A72">
        <w:rPr>
          <w:rFonts w:ascii="Times New Roman" w:hAnsi="Times New Roman" w:cs="Times New Roman"/>
          <w:color w:val="242121"/>
          <w:sz w:val="26"/>
          <w:szCs w:val="26"/>
          <w:lang w:val="en-US"/>
        </w:rPr>
        <w:t>O</w:t>
      </w:r>
      <w:r w:rsidR="00503C5A" w:rsidRPr="00114A72">
        <w:rPr>
          <w:rFonts w:ascii="Times New Roman" w:hAnsi="Times New Roman" w:cs="Times New Roman"/>
          <w:color w:val="242121"/>
          <w:sz w:val="26"/>
          <w:szCs w:val="26"/>
          <w:lang w:val="en-US"/>
        </w:rPr>
        <w:t xml:space="preserve">n 13 January 2020, the </w:t>
      </w:r>
      <w:r w:rsidR="00C72127" w:rsidRPr="00114A72">
        <w:rPr>
          <w:rFonts w:ascii="Times New Roman" w:hAnsi="Times New Roman" w:cs="Times New Roman"/>
          <w:color w:val="242121"/>
          <w:sz w:val="26"/>
          <w:szCs w:val="26"/>
          <w:lang w:val="en-US"/>
        </w:rPr>
        <w:t xml:space="preserve">City rejected the </w:t>
      </w:r>
      <w:r w:rsidR="00503C5A" w:rsidRPr="00114A72">
        <w:rPr>
          <w:rFonts w:ascii="Times New Roman" w:hAnsi="Times New Roman" w:cs="Times New Roman"/>
          <w:color w:val="242121"/>
          <w:sz w:val="26"/>
          <w:szCs w:val="26"/>
          <w:lang w:val="en-US"/>
        </w:rPr>
        <w:t xml:space="preserve">counter-proposal </w:t>
      </w:r>
      <w:r w:rsidR="00FB00C8" w:rsidRPr="00114A72">
        <w:rPr>
          <w:rFonts w:ascii="Times New Roman" w:hAnsi="Times New Roman" w:cs="Times New Roman"/>
          <w:color w:val="242121"/>
          <w:sz w:val="26"/>
          <w:szCs w:val="26"/>
          <w:lang w:val="en-US"/>
        </w:rPr>
        <w:t>and confirmed that it would proceed to cancel the lease</w:t>
      </w:r>
      <w:r w:rsidR="00503C5A" w:rsidRPr="00114A72">
        <w:rPr>
          <w:rFonts w:ascii="Times New Roman" w:hAnsi="Times New Roman" w:cs="Times New Roman"/>
          <w:color w:val="242121"/>
          <w:sz w:val="26"/>
          <w:szCs w:val="26"/>
          <w:lang w:val="en-US"/>
        </w:rPr>
        <w:t xml:space="preserve">. </w:t>
      </w:r>
    </w:p>
    <w:p w14:paraId="2E917E50" w14:textId="77777777" w:rsidR="00503C5A" w:rsidRPr="00FB00C8" w:rsidRDefault="00503C5A" w:rsidP="00FB00C8">
      <w:pPr>
        <w:rPr>
          <w:rFonts w:ascii="Times New Roman" w:hAnsi="Times New Roman" w:cs="Times New Roman"/>
          <w:color w:val="242121"/>
          <w:sz w:val="26"/>
          <w:szCs w:val="26"/>
          <w:lang w:val="en-US"/>
        </w:rPr>
      </w:pPr>
    </w:p>
    <w:p w14:paraId="1EA7938A" w14:textId="3EBC63F0" w:rsidR="00503C5A"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[9]</w:t>
      </w:r>
      <w:r>
        <w:rPr>
          <w:rFonts w:ascii="Times New Roman" w:hAnsi="Times New Roman" w:cs="Times New Roman"/>
          <w:color w:val="242121"/>
          <w:kern w:val="0"/>
          <w:sz w:val="26"/>
          <w:szCs w:val="26"/>
          <w:lang w:val="en-US"/>
          <w14:ligatures w14:val="none"/>
        </w:rPr>
        <w:tab/>
      </w:r>
      <w:r w:rsidR="00503C5A" w:rsidRPr="00114A72">
        <w:rPr>
          <w:rFonts w:ascii="Times New Roman" w:hAnsi="Times New Roman" w:cs="Times New Roman"/>
          <w:color w:val="242121"/>
          <w:sz w:val="26"/>
          <w:szCs w:val="26"/>
          <w:lang w:val="en-US"/>
        </w:rPr>
        <w:t xml:space="preserve">On 6 February 2020 the City </w:t>
      </w:r>
      <w:r w:rsidR="00920386" w:rsidRPr="00114A72">
        <w:rPr>
          <w:rFonts w:ascii="Times New Roman" w:hAnsi="Times New Roman" w:cs="Times New Roman"/>
          <w:color w:val="242121"/>
          <w:sz w:val="26"/>
          <w:szCs w:val="26"/>
          <w:lang w:val="en-US"/>
        </w:rPr>
        <w:t xml:space="preserve">issued to the respondents </w:t>
      </w:r>
      <w:r w:rsidR="00503C5A" w:rsidRPr="00114A72">
        <w:rPr>
          <w:rFonts w:ascii="Times New Roman" w:hAnsi="Times New Roman" w:cs="Times New Roman"/>
          <w:color w:val="242121"/>
          <w:sz w:val="26"/>
          <w:szCs w:val="26"/>
          <w:lang w:val="en-US"/>
        </w:rPr>
        <w:t>notice</w:t>
      </w:r>
      <w:r w:rsidR="00567997" w:rsidRPr="00114A72">
        <w:rPr>
          <w:rFonts w:ascii="Times New Roman" w:hAnsi="Times New Roman" w:cs="Times New Roman"/>
          <w:color w:val="242121"/>
          <w:sz w:val="26"/>
          <w:szCs w:val="26"/>
          <w:lang w:val="en-US"/>
        </w:rPr>
        <w:t xml:space="preserve"> of cancellation of the lease based on </w:t>
      </w:r>
      <w:r w:rsidR="00567997" w:rsidRPr="00114A72">
        <w:rPr>
          <w:rFonts w:ascii="Times New Roman" w:hAnsi="Times New Roman" w:cs="Times New Roman"/>
          <w:i/>
          <w:iCs/>
          <w:color w:val="242121"/>
          <w:sz w:val="26"/>
          <w:szCs w:val="26"/>
          <w:lang w:val="en-US"/>
        </w:rPr>
        <w:t>“non-acceptance of the new proposed market rental”</w:t>
      </w:r>
      <w:r w:rsidR="00567997" w:rsidRPr="00114A72">
        <w:rPr>
          <w:rFonts w:ascii="Times New Roman" w:hAnsi="Times New Roman" w:cs="Times New Roman"/>
          <w:color w:val="242121"/>
          <w:sz w:val="26"/>
          <w:szCs w:val="26"/>
          <w:lang w:val="en-US"/>
        </w:rPr>
        <w:t>, and reques</w:t>
      </w:r>
      <w:r w:rsidR="00920386" w:rsidRPr="00114A72">
        <w:rPr>
          <w:rFonts w:ascii="Times New Roman" w:hAnsi="Times New Roman" w:cs="Times New Roman"/>
          <w:color w:val="242121"/>
          <w:sz w:val="26"/>
          <w:szCs w:val="26"/>
          <w:lang w:val="en-US"/>
        </w:rPr>
        <w:t>ted</w:t>
      </w:r>
      <w:r w:rsidR="00567997" w:rsidRPr="00114A72">
        <w:rPr>
          <w:rFonts w:ascii="Times New Roman" w:hAnsi="Times New Roman" w:cs="Times New Roman"/>
          <w:color w:val="242121"/>
          <w:sz w:val="26"/>
          <w:szCs w:val="26"/>
          <w:lang w:val="en-US"/>
        </w:rPr>
        <w:t xml:space="preserve"> the</w:t>
      </w:r>
      <w:r w:rsidR="00503C5A" w:rsidRPr="00114A72">
        <w:rPr>
          <w:rFonts w:ascii="Times New Roman" w:hAnsi="Times New Roman" w:cs="Times New Roman"/>
          <w:color w:val="242121"/>
          <w:sz w:val="26"/>
          <w:szCs w:val="26"/>
          <w:lang w:val="en-US"/>
        </w:rPr>
        <w:t xml:space="preserve"> </w:t>
      </w:r>
      <w:r w:rsidR="00C72127" w:rsidRPr="00114A72">
        <w:rPr>
          <w:rFonts w:ascii="Times New Roman" w:hAnsi="Times New Roman" w:cs="Times New Roman"/>
          <w:color w:val="242121"/>
          <w:sz w:val="26"/>
          <w:szCs w:val="26"/>
          <w:lang w:val="en-US"/>
        </w:rPr>
        <w:t>respondents</w:t>
      </w:r>
      <w:r w:rsidR="00503C5A" w:rsidRPr="00114A72">
        <w:rPr>
          <w:rFonts w:ascii="Times New Roman" w:hAnsi="Times New Roman" w:cs="Times New Roman"/>
          <w:color w:val="242121"/>
          <w:sz w:val="26"/>
          <w:szCs w:val="26"/>
          <w:lang w:val="en-US"/>
        </w:rPr>
        <w:t xml:space="preserve"> </w:t>
      </w:r>
      <w:r w:rsidR="00567997" w:rsidRPr="00114A72">
        <w:rPr>
          <w:rFonts w:ascii="Times New Roman" w:hAnsi="Times New Roman" w:cs="Times New Roman"/>
          <w:color w:val="242121"/>
          <w:sz w:val="26"/>
          <w:szCs w:val="26"/>
          <w:lang w:val="en-US"/>
        </w:rPr>
        <w:t xml:space="preserve">and all those holding title under them </w:t>
      </w:r>
      <w:r w:rsidR="00503C5A" w:rsidRPr="00114A72">
        <w:rPr>
          <w:rFonts w:ascii="Times New Roman" w:hAnsi="Times New Roman" w:cs="Times New Roman"/>
          <w:color w:val="242121"/>
          <w:sz w:val="26"/>
          <w:szCs w:val="26"/>
          <w:lang w:val="en-US"/>
        </w:rPr>
        <w:t>to vacate by no later than 6 April 2020.</w:t>
      </w:r>
    </w:p>
    <w:p w14:paraId="374C2EA7" w14:textId="77777777" w:rsidR="00567997" w:rsidRPr="00567997" w:rsidRDefault="00567997" w:rsidP="00567997">
      <w:pPr>
        <w:pStyle w:val="ListParagraph"/>
        <w:rPr>
          <w:rFonts w:ascii="Times New Roman" w:hAnsi="Times New Roman" w:cs="Times New Roman"/>
          <w:color w:val="242121"/>
          <w:sz w:val="26"/>
          <w:szCs w:val="26"/>
          <w:lang w:val="en-US"/>
        </w:rPr>
      </w:pPr>
    </w:p>
    <w:p w14:paraId="47D52FB4" w14:textId="252B2448" w:rsidR="00503C5A"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[10]</w:t>
      </w:r>
      <w:r>
        <w:rPr>
          <w:rFonts w:ascii="Times New Roman" w:hAnsi="Times New Roman" w:cs="Times New Roman"/>
          <w:color w:val="242121"/>
          <w:kern w:val="0"/>
          <w:sz w:val="26"/>
          <w:szCs w:val="26"/>
          <w:lang w:val="en-US"/>
          <w14:ligatures w14:val="none"/>
        </w:rPr>
        <w:tab/>
      </w:r>
      <w:r w:rsidR="00567997" w:rsidRPr="00114A72">
        <w:rPr>
          <w:rFonts w:ascii="Times New Roman" w:hAnsi="Times New Roman" w:cs="Times New Roman"/>
          <w:color w:val="242121"/>
          <w:sz w:val="26"/>
          <w:szCs w:val="26"/>
          <w:lang w:val="en-US"/>
        </w:rPr>
        <w:t xml:space="preserve">On 23 March 2022 the eviction application was served upon the respondents, and on 19 May 2022 a notice in terms of section 4(2) of PIE was served upon them. </w:t>
      </w:r>
    </w:p>
    <w:p w14:paraId="62B2EDBE" w14:textId="77777777" w:rsidR="00C270BF" w:rsidRDefault="00C270BF" w:rsidP="00920386">
      <w:pPr>
        <w:rPr>
          <w:rFonts w:ascii="Times New Roman" w:hAnsi="Times New Roman" w:cs="Times New Roman"/>
          <w:color w:val="242121"/>
          <w:sz w:val="26"/>
          <w:szCs w:val="26"/>
          <w:lang w:val="en-US"/>
        </w:rPr>
      </w:pPr>
    </w:p>
    <w:p w14:paraId="7EA7BA34" w14:textId="77777777" w:rsidR="00920386" w:rsidRDefault="00920386" w:rsidP="00920386">
      <w:pPr>
        <w:pStyle w:val="ListParagraph"/>
        <w:spacing w:after="0" w:line="240" w:lineRule="auto"/>
        <w:ind w:left="567"/>
        <w:jc w:val="both"/>
        <w:rPr>
          <w:rFonts w:ascii="Times New Roman" w:hAnsi="Times New Roman" w:cs="Times New Roman"/>
          <w:b/>
          <w:bCs/>
          <w:color w:val="242121"/>
          <w:sz w:val="26"/>
          <w:szCs w:val="26"/>
          <w:u w:val="single"/>
          <w:lang w:val="en-US"/>
        </w:rPr>
      </w:pPr>
    </w:p>
    <w:p w14:paraId="619FBC9C" w14:textId="63B66F77" w:rsidR="00920386" w:rsidRPr="00114A72" w:rsidRDefault="00114A72" w:rsidP="00114A72">
      <w:pPr>
        <w:ind w:left="567" w:hanging="567"/>
        <w:jc w:val="both"/>
        <w:rPr>
          <w:rFonts w:ascii="Times New Roman" w:hAnsi="Times New Roman" w:cs="Times New Roman"/>
          <w:b/>
          <w:bCs/>
          <w:color w:val="242121"/>
          <w:sz w:val="26"/>
          <w:szCs w:val="26"/>
          <w:u w:val="single"/>
          <w:lang w:val="en-US"/>
        </w:rPr>
      </w:pPr>
      <w:r w:rsidRPr="00920386">
        <w:rPr>
          <w:rFonts w:ascii="Times New Roman" w:hAnsi="Times New Roman" w:cs="Times New Roman"/>
          <w:b/>
          <w:bCs/>
          <w:color w:val="242121"/>
          <w:kern w:val="0"/>
          <w:sz w:val="26"/>
          <w:szCs w:val="26"/>
          <w:lang w:val="en-US"/>
          <w14:ligatures w14:val="none"/>
        </w:rPr>
        <w:t>C.</w:t>
      </w:r>
      <w:r w:rsidRPr="00920386">
        <w:rPr>
          <w:rFonts w:ascii="Times New Roman" w:hAnsi="Times New Roman" w:cs="Times New Roman"/>
          <w:b/>
          <w:bCs/>
          <w:color w:val="242121"/>
          <w:kern w:val="0"/>
          <w:sz w:val="26"/>
          <w:szCs w:val="26"/>
          <w:lang w:val="en-US"/>
          <w14:ligatures w14:val="none"/>
        </w:rPr>
        <w:tab/>
      </w:r>
      <w:r w:rsidR="00920386" w:rsidRPr="00114A72">
        <w:rPr>
          <w:rFonts w:ascii="Times New Roman" w:hAnsi="Times New Roman" w:cs="Times New Roman"/>
          <w:b/>
          <w:bCs/>
          <w:color w:val="242121"/>
          <w:sz w:val="26"/>
          <w:szCs w:val="26"/>
          <w:u w:val="single"/>
          <w:lang w:val="en-US"/>
        </w:rPr>
        <w:t>THE MAGISTRATE’S COURT PROCEEDINGS</w:t>
      </w:r>
    </w:p>
    <w:p w14:paraId="55A7C776" w14:textId="77777777" w:rsidR="00920386" w:rsidRPr="00920386" w:rsidRDefault="00920386" w:rsidP="00920386">
      <w:pPr>
        <w:rPr>
          <w:rFonts w:ascii="Times New Roman" w:hAnsi="Times New Roman" w:cs="Times New Roman"/>
          <w:color w:val="242121"/>
          <w:sz w:val="26"/>
          <w:szCs w:val="26"/>
          <w:lang w:val="en-US"/>
        </w:rPr>
      </w:pPr>
    </w:p>
    <w:p w14:paraId="12F8827F" w14:textId="43968B23" w:rsidR="00C270BF"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[11]</w:t>
      </w:r>
      <w:r>
        <w:rPr>
          <w:rFonts w:ascii="Times New Roman" w:hAnsi="Times New Roman" w:cs="Times New Roman"/>
          <w:color w:val="242121"/>
          <w:kern w:val="0"/>
          <w:sz w:val="26"/>
          <w:szCs w:val="26"/>
          <w:lang w:val="en-US"/>
          <w14:ligatures w14:val="none"/>
        </w:rPr>
        <w:tab/>
      </w:r>
      <w:r w:rsidR="00C270BF" w:rsidRPr="00114A72">
        <w:rPr>
          <w:rFonts w:ascii="Times New Roman" w:hAnsi="Times New Roman" w:cs="Times New Roman"/>
          <w:color w:val="242121"/>
          <w:sz w:val="26"/>
          <w:szCs w:val="26"/>
          <w:lang w:val="en-US"/>
        </w:rPr>
        <w:t>In the Magistrate’s Court the first respondent filed an affidavit explaining his position that he has had no involvement in the property since relocating to Durban. According to him, he ceded all rights in the lease to the second respondent.</w:t>
      </w:r>
      <w:r w:rsidR="00920386" w:rsidRPr="00114A72">
        <w:rPr>
          <w:rFonts w:ascii="Times New Roman" w:hAnsi="Times New Roman" w:cs="Times New Roman"/>
          <w:color w:val="242121"/>
          <w:sz w:val="26"/>
          <w:szCs w:val="26"/>
          <w:lang w:val="en-US"/>
        </w:rPr>
        <w:t xml:space="preserve"> The alleged cession was disputed by the City since it was not informed thereof</w:t>
      </w:r>
      <w:r w:rsidR="00357FE6" w:rsidRPr="00114A72">
        <w:rPr>
          <w:rFonts w:ascii="Times New Roman" w:hAnsi="Times New Roman" w:cs="Times New Roman"/>
          <w:color w:val="242121"/>
          <w:sz w:val="26"/>
          <w:szCs w:val="26"/>
          <w:lang w:val="en-US"/>
        </w:rPr>
        <w:t>,</w:t>
      </w:r>
      <w:r w:rsidR="00920386" w:rsidRPr="00114A72">
        <w:rPr>
          <w:rFonts w:ascii="Times New Roman" w:hAnsi="Times New Roman" w:cs="Times New Roman"/>
          <w:color w:val="242121"/>
          <w:sz w:val="26"/>
          <w:szCs w:val="26"/>
          <w:lang w:val="en-US"/>
        </w:rPr>
        <w:t xml:space="preserve"> and no permission was sought from it as required in the terms of the lease.</w:t>
      </w:r>
    </w:p>
    <w:p w14:paraId="0930A0EC" w14:textId="77777777" w:rsidR="00C270BF" w:rsidRPr="00C270BF" w:rsidRDefault="00C270BF" w:rsidP="00C270BF">
      <w:pPr>
        <w:pStyle w:val="ListParagraph"/>
        <w:rPr>
          <w:rFonts w:ascii="Times New Roman" w:hAnsi="Times New Roman" w:cs="Times New Roman"/>
          <w:color w:val="242121"/>
          <w:sz w:val="26"/>
          <w:szCs w:val="26"/>
          <w:lang w:val="en-US"/>
        </w:rPr>
      </w:pPr>
    </w:p>
    <w:p w14:paraId="3783C9C9" w14:textId="599B2582" w:rsidR="00256D37"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lastRenderedPageBreak/>
        <w:t>[12]</w:t>
      </w:r>
      <w:r>
        <w:rPr>
          <w:rFonts w:ascii="Times New Roman" w:hAnsi="Times New Roman" w:cs="Times New Roman"/>
          <w:color w:val="242121"/>
          <w:kern w:val="0"/>
          <w:sz w:val="26"/>
          <w:szCs w:val="26"/>
          <w:lang w:val="en-US"/>
          <w14:ligatures w14:val="none"/>
        </w:rPr>
        <w:tab/>
      </w:r>
      <w:r w:rsidR="00C270BF" w:rsidRPr="00114A72">
        <w:rPr>
          <w:rFonts w:ascii="Times New Roman" w:hAnsi="Times New Roman" w:cs="Times New Roman"/>
          <w:color w:val="242121"/>
          <w:sz w:val="26"/>
          <w:szCs w:val="26"/>
          <w:lang w:val="en-US"/>
        </w:rPr>
        <w:t xml:space="preserve">The second respondent was the only respondent who opposed the application in the Magistrate’s Court. </w:t>
      </w:r>
      <w:r w:rsidR="00256D37" w:rsidRPr="00114A72">
        <w:rPr>
          <w:rFonts w:ascii="Times New Roman" w:hAnsi="Times New Roman" w:cs="Times New Roman"/>
          <w:color w:val="242121"/>
          <w:sz w:val="26"/>
          <w:szCs w:val="26"/>
          <w:lang w:val="en-US"/>
        </w:rPr>
        <w:t>She raised a p</w:t>
      </w:r>
      <w:r w:rsidR="007E0707" w:rsidRPr="00114A72">
        <w:rPr>
          <w:rFonts w:ascii="Times New Roman" w:hAnsi="Times New Roman" w:cs="Times New Roman"/>
          <w:color w:val="242121"/>
          <w:sz w:val="26"/>
          <w:szCs w:val="26"/>
          <w:lang w:val="en-US"/>
        </w:rPr>
        <w:t xml:space="preserve">oint </w:t>
      </w:r>
      <w:r w:rsidR="007E0707" w:rsidRPr="00114A72">
        <w:rPr>
          <w:rFonts w:ascii="Times New Roman" w:hAnsi="Times New Roman" w:cs="Times New Roman"/>
          <w:i/>
          <w:iCs/>
          <w:color w:val="242121"/>
          <w:sz w:val="26"/>
          <w:szCs w:val="26"/>
          <w:lang w:val="en-US"/>
        </w:rPr>
        <w:t>in limine</w:t>
      </w:r>
      <w:r w:rsidR="007E0707" w:rsidRPr="00114A72">
        <w:rPr>
          <w:rFonts w:ascii="Times New Roman" w:hAnsi="Times New Roman" w:cs="Times New Roman"/>
          <w:color w:val="242121"/>
          <w:sz w:val="26"/>
          <w:szCs w:val="26"/>
          <w:lang w:val="en-US"/>
        </w:rPr>
        <w:t xml:space="preserve"> </w:t>
      </w:r>
      <w:r w:rsidR="00256D37" w:rsidRPr="00114A72">
        <w:rPr>
          <w:rFonts w:ascii="Times New Roman" w:hAnsi="Times New Roman" w:cs="Times New Roman"/>
          <w:color w:val="242121"/>
          <w:sz w:val="26"/>
          <w:szCs w:val="26"/>
          <w:lang w:val="en-US"/>
        </w:rPr>
        <w:t xml:space="preserve">that, since the City is an organ of state, the eviction proceedings ought to have been instituted in terms of section </w:t>
      </w:r>
      <w:r w:rsidR="007E0707" w:rsidRPr="00114A72">
        <w:rPr>
          <w:rFonts w:ascii="Times New Roman" w:hAnsi="Times New Roman" w:cs="Times New Roman"/>
          <w:color w:val="242121"/>
          <w:sz w:val="26"/>
          <w:szCs w:val="26"/>
          <w:lang w:val="en-US"/>
        </w:rPr>
        <w:t>6</w:t>
      </w:r>
      <w:r w:rsidR="00256D37" w:rsidRPr="00114A72">
        <w:rPr>
          <w:rFonts w:ascii="Times New Roman" w:hAnsi="Times New Roman" w:cs="Times New Roman"/>
          <w:color w:val="242121"/>
          <w:sz w:val="26"/>
          <w:szCs w:val="26"/>
          <w:lang w:val="en-US"/>
        </w:rPr>
        <w:t xml:space="preserve"> instead of section </w:t>
      </w:r>
      <w:r w:rsidR="007E0707" w:rsidRPr="00114A72">
        <w:rPr>
          <w:rFonts w:ascii="Times New Roman" w:hAnsi="Times New Roman" w:cs="Times New Roman"/>
          <w:color w:val="242121"/>
          <w:sz w:val="26"/>
          <w:szCs w:val="26"/>
          <w:lang w:val="en-US"/>
        </w:rPr>
        <w:t>4</w:t>
      </w:r>
      <w:r w:rsidR="00256D37" w:rsidRPr="00114A72">
        <w:rPr>
          <w:rFonts w:ascii="Times New Roman" w:hAnsi="Times New Roman" w:cs="Times New Roman"/>
          <w:color w:val="242121"/>
          <w:sz w:val="26"/>
          <w:szCs w:val="26"/>
          <w:lang w:val="en-US"/>
        </w:rPr>
        <w:t xml:space="preserve"> of PIE.</w:t>
      </w:r>
    </w:p>
    <w:p w14:paraId="3FA25F7B" w14:textId="77777777" w:rsidR="00256D37" w:rsidRDefault="00256D37" w:rsidP="00256D37">
      <w:pPr>
        <w:pStyle w:val="ListParagraph"/>
        <w:spacing w:after="0" w:line="360" w:lineRule="auto"/>
        <w:ind w:left="0"/>
        <w:jc w:val="both"/>
        <w:rPr>
          <w:rFonts w:ascii="Times New Roman" w:hAnsi="Times New Roman" w:cs="Times New Roman"/>
          <w:color w:val="242121"/>
          <w:sz w:val="26"/>
          <w:szCs w:val="26"/>
          <w:lang w:val="en-US"/>
        </w:rPr>
      </w:pPr>
    </w:p>
    <w:p w14:paraId="2BFC95B2" w14:textId="76F3EB29" w:rsidR="005D770C"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[13]</w:t>
      </w:r>
      <w:r>
        <w:rPr>
          <w:rFonts w:ascii="Times New Roman" w:hAnsi="Times New Roman" w:cs="Times New Roman"/>
          <w:color w:val="242121"/>
          <w:kern w:val="0"/>
          <w:sz w:val="26"/>
          <w:szCs w:val="26"/>
          <w:lang w:val="en-US"/>
          <w14:ligatures w14:val="none"/>
        </w:rPr>
        <w:tab/>
      </w:r>
      <w:r w:rsidR="007E0707" w:rsidRPr="00114A72">
        <w:rPr>
          <w:rFonts w:ascii="Times New Roman" w:hAnsi="Times New Roman" w:cs="Times New Roman"/>
          <w:color w:val="242121"/>
          <w:sz w:val="26"/>
          <w:szCs w:val="26"/>
          <w:lang w:val="en-US"/>
        </w:rPr>
        <w:t xml:space="preserve">The second respondent also </w:t>
      </w:r>
      <w:r w:rsidR="00C270BF" w:rsidRPr="00114A72">
        <w:rPr>
          <w:rFonts w:ascii="Times New Roman" w:hAnsi="Times New Roman" w:cs="Times New Roman"/>
          <w:color w:val="242121"/>
          <w:sz w:val="26"/>
          <w:szCs w:val="26"/>
          <w:lang w:val="en-US"/>
        </w:rPr>
        <w:t xml:space="preserve">stated that </w:t>
      </w:r>
      <w:r w:rsidR="007E0707" w:rsidRPr="00114A72">
        <w:rPr>
          <w:rFonts w:ascii="Times New Roman" w:hAnsi="Times New Roman" w:cs="Times New Roman"/>
          <w:color w:val="242121"/>
          <w:sz w:val="26"/>
          <w:szCs w:val="26"/>
          <w:lang w:val="en-US"/>
        </w:rPr>
        <w:t>an</w:t>
      </w:r>
      <w:r w:rsidR="00C270BF" w:rsidRPr="00114A72">
        <w:rPr>
          <w:rFonts w:ascii="Times New Roman" w:hAnsi="Times New Roman" w:cs="Times New Roman"/>
          <w:color w:val="242121"/>
          <w:sz w:val="26"/>
          <w:szCs w:val="26"/>
          <w:lang w:val="en-US"/>
        </w:rPr>
        <w:t xml:space="preserve"> eviction</w:t>
      </w:r>
      <w:r w:rsidR="007E0707" w:rsidRPr="00114A72">
        <w:rPr>
          <w:rFonts w:ascii="Times New Roman" w:hAnsi="Times New Roman" w:cs="Times New Roman"/>
          <w:color w:val="242121"/>
          <w:sz w:val="26"/>
          <w:szCs w:val="26"/>
          <w:lang w:val="en-US"/>
        </w:rPr>
        <w:t xml:space="preserve"> order</w:t>
      </w:r>
      <w:r w:rsidR="00C270BF" w:rsidRPr="00114A72">
        <w:rPr>
          <w:rFonts w:ascii="Times New Roman" w:hAnsi="Times New Roman" w:cs="Times New Roman"/>
          <w:color w:val="242121"/>
          <w:sz w:val="26"/>
          <w:szCs w:val="26"/>
          <w:lang w:val="en-US"/>
        </w:rPr>
        <w:t xml:space="preserve"> would render her</w:t>
      </w:r>
      <w:r w:rsidR="007E0707" w:rsidRPr="00114A72">
        <w:rPr>
          <w:rFonts w:ascii="Times New Roman" w:hAnsi="Times New Roman" w:cs="Times New Roman"/>
          <w:color w:val="242121"/>
          <w:sz w:val="26"/>
          <w:szCs w:val="26"/>
          <w:lang w:val="en-US"/>
        </w:rPr>
        <w:t xml:space="preserve"> and her minor son</w:t>
      </w:r>
      <w:r w:rsidR="00C270BF" w:rsidRPr="00114A72">
        <w:rPr>
          <w:rFonts w:ascii="Times New Roman" w:hAnsi="Times New Roman" w:cs="Times New Roman"/>
          <w:color w:val="242121"/>
          <w:sz w:val="26"/>
          <w:szCs w:val="26"/>
          <w:lang w:val="en-US"/>
        </w:rPr>
        <w:t xml:space="preserve"> homeless and without an income since she derives her entire income from the business. </w:t>
      </w:r>
      <w:r w:rsidR="00357FE6" w:rsidRPr="00114A72">
        <w:rPr>
          <w:rFonts w:ascii="Times New Roman" w:hAnsi="Times New Roman" w:cs="Times New Roman"/>
          <w:color w:val="242121"/>
          <w:sz w:val="26"/>
          <w:szCs w:val="26"/>
          <w:lang w:val="en-US"/>
        </w:rPr>
        <w:t xml:space="preserve">Further, </w:t>
      </w:r>
      <w:r w:rsidR="00C270BF" w:rsidRPr="00114A72">
        <w:rPr>
          <w:rFonts w:ascii="Times New Roman" w:hAnsi="Times New Roman" w:cs="Times New Roman"/>
          <w:color w:val="242121"/>
          <w:sz w:val="26"/>
          <w:szCs w:val="26"/>
          <w:lang w:val="en-US"/>
        </w:rPr>
        <w:t>that she employs two assistants at the business</w:t>
      </w:r>
      <w:r w:rsidR="00357FE6" w:rsidRPr="00114A72">
        <w:rPr>
          <w:rFonts w:ascii="Times New Roman" w:hAnsi="Times New Roman" w:cs="Times New Roman"/>
          <w:color w:val="242121"/>
          <w:sz w:val="26"/>
          <w:szCs w:val="26"/>
          <w:lang w:val="en-US"/>
        </w:rPr>
        <w:t xml:space="preserve">, and </w:t>
      </w:r>
      <w:r w:rsidR="007E0707" w:rsidRPr="00114A72">
        <w:rPr>
          <w:rFonts w:ascii="Times New Roman" w:hAnsi="Times New Roman" w:cs="Times New Roman"/>
          <w:color w:val="242121"/>
          <w:sz w:val="26"/>
          <w:szCs w:val="26"/>
          <w:lang w:val="en-US"/>
        </w:rPr>
        <w:t xml:space="preserve">also leases the property to tenants from time to time. </w:t>
      </w:r>
    </w:p>
    <w:p w14:paraId="14078A49" w14:textId="77777777" w:rsidR="005D770C" w:rsidRPr="005D770C" w:rsidRDefault="005D770C" w:rsidP="005D770C">
      <w:pPr>
        <w:pStyle w:val="ListParagraph"/>
        <w:rPr>
          <w:rFonts w:ascii="Times New Roman" w:hAnsi="Times New Roman" w:cs="Times New Roman"/>
          <w:color w:val="242121"/>
          <w:sz w:val="26"/>
          <w:szCs w:val="26"/>
          <w:lang w:val="en-US"/>
        </w:rPr>
      </w:pPr>
    </w:p>
    <w:p w14:paraId="66E524F1" w14:textId="74B1ECB6" w:rsidR="005D770C" w:rsidRPr="00114A72" w:rsidRDefault="00114A72" w:rsidP="00114A72">
      <w:pPr>
        <w:spacing w:line="360" w:lineRule="auto"/>
        <w:jc w:val="both"/>
        <w:rPr>
          <w:rFonts w:ascii="Times New Roman" w:hAnsi="Times New Roman" w:cs="Times New Roman"/>
          <w:color w:val="242121"/>
          <w:sz w:val="26"/>
          <w:szCs w:val="26"/>
          <w:lang w:val="en-US"/>
        </w:rPr>
      </w:pPr>
      <w:r w:rsidRPr="00256D37">
        <w:rPr>
          <w:rFonts w:ascii="Times New Roman" w:hAnsi="Times New Roman" w:cs="Times New Roman"/>
          <w:color w:val="242121"/>
          <w:kern w:val="0"/>
          <w:sz w:val="26"/>
          <w:szCs w:val="26"/>
          <w:lang w:val="en-US"/>
          <w14:ligatures w14:val="none"/>
        </w:rPr>
        <w:t>[14]</w:t>
      </w:r>
      <w:r w:rsidRPr="00256D37">
        <w:rPr>
          <w:rFonts w:ascii="Times New Roman" w:hAnsi="Times New Roman" w:cs="Times New Roman"/>
          <w:color w:val="242121"/>
          <w:kern w:val="0"/>
          <w:sz w:val="26"/>
          <w:szCs w:val="26"/>
          <w:lang w:val="en-US"/>
          <w14:ligatures w14:val="none"/>
        </w:rPr>
        <w:tab/>
      </w:r>
      <w:r w:rsidR="007E0707" w:rsidRPr="00114A72">
        <w:rPr>
          <w:rFonts w:ascii="Times New Roman" w:hAnsi="Times New Roman" w:cs="Times New Roman"/>
          <w:color w:val="242121"/>
          <w:sz w:val="26"/>
          <w:szCs w:val="26"/>
          <w:lang w:val="en-US"/>
        </w:rPr>
        <w:t>T</w:t>
      </w:r>
      <w:r w:rsidR="00C270BF" w:rsidRPr="00114A72">
        <w:rPr>
          <w:rFonts w:ascii="Times New Roman" w:hAnsi="Times New Roman" w:cs="Times New Roman"/>
          <w:color w:val="242121"/>
          <w:sz w:val="26"/>
          <w:szCs w:val="26"/>
          <w:lang w:val="en-US"/>
        </w:rPr>
        <w:t>he</w:t>
      </w:r>
      <w:r w:rsidR="007E0707" w:rsidRPr="00114A72">
        <w:rPr>
          <w:rFonts w:ascii="Times New Roman" w:hAnsi="Times New Roman" w:cs="Times New Roman"/>
          <w:color w:val="242121"/>
          <w:sz w:val="26"/>
          <w:szCs w:val="26"/>
          <w:lang w:val="en-US"/>
        </w:rPr>
        <w:t xml:space="preserve"> second respondent</w:t>
      </w:r>
      <w:r w:rsidR="00C270BF" w:rsidRPr="00114A72">
        <w:rPr>
          <w:rFonts w:ascii="Times New Roman" w:hAnsi="Times New Roman" w:cs="Times New Roman"/>
          <w:color w:val="242121"/>
          <w:sz w:val="26"/>
          <w:szCs w:val="26"/>
          <w:lang w:val="en-US"/>
        </w:rPr>
        <w:t xml:space="preserve"> </w:t>
      </w:r>
      <w:r w:rsidR="007E0707" w:rsidRPr="00114A72">
        <w:rPr>
          <w:rFonts w:ascii="Times New Roman" w:hAnsi="Times New Roman" w:cs="Times New Roman"/>
          <w:color w:val="242121"/>
          <w:sz w:val="26"/>
          <w:szCs w:val="26"/>
          <w:lang w:val="en-US"/>
        </w:rPr>
        <w:t xml:space="preserve">emphasized that </w:t>
      </w:r>
      <w:r w:rsidR="00C270BF" w:rsidRPr="00114A72">
        <w:rPr>
          <w:rFonts w:ascii="Times New Roman" w:hAnsi="Times New Roman" w:cs="Times New Roman"/>
          <w:color w:val="242121"/>
          <w:sz w:val="26"/>
          <w:szCs w:val="26"/>
          <w:lang w:val="en-US"/>
        </w:rPr>
        <w:t xml:space="preserve">she was </w:t>
      </w:r>
      <w:r w:rsidR="00357FE6" w:rsidRPr="00114A72">
        <w:rPr>
          <w:rFonts w:ascii="Times New Roman" w:hAnsi="Times New Roman" w:cs="Times New Roman"/>
          <w:color w:val="242121"/>
          <w:sz w:val="26"/>
          <w:szCs w:val="26"/>
          <w:lang w:val="en-US"/>
        </w:rPr>
        <w:t xml:space="preserve">not </w:t>
      </w:r>
      <w:r w:rsidR="00C270BF" w:rsidRPr="00114A72">
        <w:rPr>
          <w:rFonts w:ascii="Times New Roman" w:hAnsi="Times New Roman" w:cs="Times New Roman"/>
          <w:color w:val="242121"/>
          <w:sz w:val="26"/>
          <w:szCs w:val="26"/>
          <w:lang w:val="en-US"/>
        </w:rPr>
        <w:t>in breach of the lease, and</w:t>
      </w:r>
      <w:r w:rsidR="00357FE6" w:rsidRPr="00114A72">
        <w:rPr>
          <w:rFonts w:ascii="Times New Roman" w:hAnsi="Times New Roman" w:cs="Times New Roman"/>
          <w:color w:val="242121"/>
          <w:sz w:val="26"/>
          <w:szCs w:val="26"/>
          <w:lang w:val="en-US"/>
        </w:rPr>
        <w:t xml:space="preserve"> that there was accordingly no reason to cancel the lease. She</w:t>
      </w:r>
      <w:r w:rsidR="00C270BF" w:rsidRPr="00114A72">
        <w:rPr>
          <w:rFonts w:ascii="Times New Roman" w:hAnsi="Times New Roman" w:cs="Times New Roman"/>
          <w:color w:val="242121"/>
          <w:sz w:val="26"/>
          <w:szCs w:val="26"/>
          <w:lang w:val="en-US"/>
        </w:rPr>
        <w:t xml:space="preserve"> stated that she was desirous of </w:t>
      </w:r>
      <w:r w:rsidR="007E0707" w:rsidRPr="00114A72">
        <w:rPr>
          <w:rFonts w:ascii="Times New Roman" w:hAnsi="Times New Roman" w:cs="Times New Roman"/>
          <w:color w:val="242121"/>
          <w:sz w:val="26"/>
          <w:szCs w:val="26"/>
          <w:lang w:val="en-US"/>
        </w:rPr>
        <w:t xml:space="preserve">entering into </w:t>
      </w:r>
      <w:r w:rsidR="00C270BF" w:rsidRPr="00114A72">
        <w:rPr>
          <w:rFonts w:ascii="Times New Roman" w:hAnsi="Times New Roman" w:cs="Times New Roman"/>
          <w:color w:val="242121"/>
          <w:sz w:val="26"/>
          <w:szCs w:val="26"/>
          <w:lang w:val="en-US"/>
        </w:rPr>
        <w:t xml:space="preserve">further negotiations with the City and </w:t>
      </w:r>
      <w:r w:rsidR="007E0707" w:rsidRPr="00114A72">
        <w:rPr>
          <w:rFonts w:ascii="Times New Roman" w:hAnsi="Times New Roman" w:cs="Times New Roman"/>
          <w:color w:val="242121"/>
          <w:sz w:val="26"/>
          <w:szCs w:val="26"/>
          <w:lang w:val="en-US"/>
        </w:rPr>
        <w:t xml:space="preserve">of </w:t>
      </w:r>
      <w:r w:rsidR="00C270BF" w:rsidRPr="00114A72">
        <w:rPr>
          <w:rFonts w:ascii="Times New Roman" w:hAnsi="Times New Roman" w:cs="Times New Roman"/>
          <w:color w:val="242121"/>
          <w:sz w:val="26"/>
          <w:szCs w:val="26"/>
          <w:lang w:val="en-US"/>
        </w:rPr>
        <w:t>entering into a new lease agreement. By the time she deposed to her answering affidavit she had made an offer, through her attorneys to purchase the property</w:t>
      </w:r>
      <w:r w:rsidR="00357FE6" w:rsidRPr="00114A72">
        <w:rPr>
          <w:rFonts w:ascii="Times New Roman" w:hAnsi="Times New Roman" w:cs="Times New Roman"/>
          <w:color w:val="242121"/>
          <w:sz w:val="26"/>
          <w:szCs w:val="26"/>
          <w:lang w:val="en-US"/>
        </w:rPr>
        <w:t xml:space="preserve"> and had caused her own valuation of the property to be conducted</w:t>
      </w:r>
      <w:r w:rsidR="005D770C" w:rsidRPr="00114A72">
        <w:rPr>
          <w:rFonts w:ascii="Times New Roman" w:hAnsi="Times New Roman" w:cs="Times New Roman"/>
          <w:color w:val="242121"/>
          <w:sz w:val="26"/>
          <w:szCs w:val="26"/>
          <w:lang w:val="en-US"/>
        </w:rPr>
        <w:t xml:space="preserve">. </w:t>
      </w:r>
    </w:p>
    <w:p w14:paraId="5823BB06" w14:textId="77777777" w:rsidR="00B96FC7" w:rsidRPr="00B96FC7" w:rsidRDefault="00B96FC7" w:rsidP="00256D37">
      <w:pPr>
        <w:pStyle w:val="ListParagraph"/>
        <w:spacing w:after="0" w:line="360" w:lineRule="auto"/>
        <w:ind w:left="0"/>
        <w:jc w:val="both"/>
        <w:rPr>
          <w:rFonts w:ascii="Times New Roman" w:hAnsi="Times New Roman" w:cs="Times New Roman"/>
          <w:b/>
          <w:bCs/>
          <w:color w:val="242121"/>
          <w:sz w:val="26"/>
          <w:szCs w:val="26"/>
          <w:u w:val="single"/>
          <w:lang w:val="en-US"/>
        </w:rPr>
      </w:pPr>
    </w:p>
    <w:p w14:paraId="4E5513DE" w14:textId="479437C6" w:rsidR="008C3E8E"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[15]</w:t>
      </w:r>
      <w:r>
        <w:rPr>
          <w:rFonts w:ascii="Times New Roman" w:hAnsi="Times New Roman" w:cs="Times New Roman"/>
          <w:color w:val="242121"/>
          <w:kern w:val="0"/>
          <w:sz w:val="26"/>
          <w:szCs w:val="26"/>
          <w:lang w:val="en-US"/>
          <w14:ligatures w14:val="none"/>
        </w:rPr>
        <w:tab/>
      </w:r>
      <w:r w:rsidR="007E0707" w:rsidRPr="00114A72">
        <w:rPr>
          <w:rFonts w:ascii="Times New Roman" w:hAnsi="Times New Roman" w:cs="Times New Roman"/>
          <w:color w:val="242121"/>
          <w:sz w:val="26"/>
          <w:szCs w:val="26"/>
          <w:lang w:val="en-US"/>
        </w:rPr>
        <w:t xml:space="preserve">In respect of the point </w:t>
      </w:r>
      <w:r w:rsidR="007E0707" w:rsidRPr="00114A72">
        <w:rPr>
          <w:rFonts w:ascii="Times New Roman" w:hAnsi="Times New Roman" w:cs="Times New Roman"/>
          <w:i/>
          <w:iCs/>
          <w:color w:val="242121"/>
          <w:sz w:val="26"/>
          <w:szCs w:val="26"/>
          <w:lang w:val="en-US"/>
        </w:rPr>
        <w:t>in limine</w:t>
      </w:r>
      <w:r w:rsidR="007E0707" w:rsidRPr="00114A72">
        <w:rPr>
          <w:rFonts w:ascii="Times New Roman" w:hAnsi="Times New Roman" w:cs="Times New Roman"/>
          <w:color w:val="242121"/>
          <w:sz w:val="26"/>
          <w:szCs w:val="26"/>
          <w:lang w:val="en-US"/>
        </w:rPr>
        <w:t xml:space="preserve"> t</w:t>
      </w:r>
      <w:r w:rsidR="005D770C" w:rsidRPr="00114A72">
        <w:rPr>
          <w:rFonts w:ascii="Times New Roman" w:hAnsi="Times New Roman" w:cs="Times New Roman"/>
          <w:color w:val="242121"/>
          <w:sz w:val="26"/>
          <w:szCs w:val="26"/>
          <w:lang w:val="en-US"/>
        </w:rPr>
        <w:t xml:space="preserve">he Magistrate </w:t>
      </w:r>
      <w:r w:rsidR="007E0707" w:rsidRPr="00114A72">
        <w:rPr>
          <w:rFonts w:ascii="Times New Roman" w:hAnsi="Times New Roman" w:cs="Times New Roman"/>
          <w:color w:val="242121"/>
          <w:sz w:val="26"/>
          <w:szCs w:val="26"/>
          <w:lang w:val="en-US"/>
        </w:rPr>
        <w:t xml:space="preserve">held that the City was not precluded from proceeding in terms of Section 4, as opposed to section 6 of PIE. She also </w:t>
      </w:r>
      <w:r w:rsidR="005D770C" w:rsidRPr="00114A72">
        <w:rPr>
          <w:rFonts w:ascii="Times New Roman" w:hAnsi="Times New Roman" w:cs="Times New Roman"/>
          <w:color w:val="242121"/>
          <w:sz w:val="26"/>
          <w:szCs w:val="26"/>
          <w:lang w:val="en-US"/>
        </w:rPr>
        <w:t xml:space="preserve">dismissed the eviction application, holding that the </w:t>
      </w:r>
      <w:r w:rsidR="008D297F" w:rsidRPr="00114A72">
        <w:rPr>
          <w:rFonts w:ascii="Times New Roman" w:hAnsi="Times New Roman" w:cs="Times New Roman"/>
          <w:color w:val="242121"/>
          <w:sz w:val="26"/>
          <w:szCs w:val="26"/>
          <w:lang w:val="en-US"/>
        </w:rPr>
        <w:t xml:space="preserve">lease was not validly </w:t>
      </w:r>
      <w:r w:rsidR="005D770C" w:rsidRPr="00114A72">
        <w:rPr>
          <w:rFonts w:ascii="Times New Roman" w:hAnsi="Times New Roman" w:cs="Times New Roman"/>
          <w:color w:val="242121"/>
          <w:sz w:val="26"/>
          <w:szCs w:val="26"/>
          <w:lang w:val="en-US"/>
        </w:rPr>
        <w:t>terminat</w:t>
      </w:r>
      <w:r w:rsidR="008D297F" w:rsidRPr="00114A72">
        <w:rPr>
          <w:rFonts w:ascii="Times New Roman" w:hAnsi="Times New Roman" w:cs="Times New Roman"/>
          <w:color w:val="242121"/>
          <w:sz w:val="26"/>
          <w:szCs w:val="26"/>
          <w:lang w:val="en-US"/>
        </w:rPr>
        <w:t>ed.</w:t>
      </w:r>
      <w:r w:rsidR="005D770C" w:rsidRPr="00114A72">
        <w:rPr>
          <w:rFonts w:ascii="Times New Roman" w:hAnsi="Times New Roman" w:cs="Times New Roman"/>
          <w:color w:val="242121"/>
          <w:sz w:val="26"/>
          <w:szCs w:val="26"/>
          <w:lang w:val="en-US"/>
        </w:rPr>
        <w:t xml:space="preserve"> </w:t>
      </w:r>
      <w:r w:rsidR="008C3E8E" w:rsidRPr="00114A72">
        <w:rPr>
          <w:rFonts w:ascii="Times New Roman" w:hAnsi="Times New Roman" w:cs="Times New Roman"/>
          <w:color w:val="242121"/>
          <w:sz w:val="26"/>
          <w:szCs w:val="26"/>
          <w:lang w:val="en-US"/>
        </w:rPr>
        <w:t>To quote paragraph 45 which encapsulates the judgment:</w:t>
      </w:r>
    </w:p>
    <w:p w14:paraId="30E8008B" w14:textId="77777777" w:rsidR="008C3E8E" w:rsidRPr="008C3E8E" w:rsidRDefault="008C3E8E" w:rsidP="008C3E8E">
      <w:pPr>
        <w:pStyle w:val="ListParagraph"/>
        <w:rPr>
          <w:rFonts w:ascii="Times New Roman" w:hAnsi="Times New Roman" w:cs="Times New Roman"/>
          <w:color w:val="242121"/>
          <w:sz w:val="26"/>
          <w:szCs w:val="26"/>
          <w:lang w:val="en-US"/>
        </w:rPr>
      </w:pPr>
    </w:p>
    <w:p w14:paraId="640FFE06" w14:textId="09C845BA" w:rsidR="005D770C" w:rsidRPr="008C3E8E" w:rsidRDefault="008C3E8E" w:rsidP="008C3E8E">
      <w:pPr>
        <w:pStyle w:val="ListParagraph"/>
        <w:spacing w:after="0"/>
        <w:ind w:left="567"/>
        <w:jc w:val="both"/>
        <w:rPr>
          <w:rFonts w:ascii="Times New Roman" w:hAnsi="Times New Roman" w:cs="Times New Roman"/>
          <w:i/>
          <w:iCs/>
          <w:color w:val="242121"/>
          <w:sz w:val="26"/>
          <w:szCs w:val="26"/>
          <w:lang w:val="en-US"/>
        </w:rPr>
      </w:pPr>
      <w:r w:rsidRPr="008C3E8E">
        <w:rPr>
          <w:rFonts w:ascii="Times New Roman" w:hAnsi="Times New Roman" w:cs="Times New Roman"/>
          <w:i/>
          <w:iCs/>
          <w:color w:val="242121"/>
          <w:sz w:val="26"/>
          <w:szCs w:val="26"/>
          <w:lang w:val="en-US"/>
        </w:rPr>
        <w:t xml:space="preserve">“The respondents raised enough issues for consideration with regards to the cancellation, the reasons for cancellation in comparison with what is contained in the affidavits; the lapse of time between cancellation and the institution of these proceedings; the further negotiations which carried on up until June 2022. The evidence as weighed in its totality leads this court to uphold the respondents’ argument that the lease has not been validly cancelled. Therefore, the respondents are found not to be unlawful occupiers.” </w:t>
      </w:r>
    </w:p>
    <w:p w14:paraId="05555517" w14:textId="77777777" w:rsidR="008C3E8E" w:rsidRPr="007E0707" w:rsidRDefault="008C3E8E" w:rsidP="007E0707">
      <w:pPr>
        <w:pStyle w:val="ListParagraph"/>
        <w:spacing w:after="0" w:line="360" w:lineRule="auto"/>
        <w:ind w:left="0"/>
        <w:jc w:val="both"/>
        <w:rPr>
          <w:rFonts w:ascii="Times New Roman" w:hAnsi="Times New Roman" w:cs="Times New Roman"/>
          <w:color w:val="242121"/>
          <w:sz w:val="26"/>
          <w:szCs w:val="26"/>
          <w:lang w:val="en-US"/>
        </w:rPr>
      </w:pPr>
    </w:p>
    <w:p w14:paraId="277A82BC" w14:textId="1C186C66" w:rsidR="00C00169" w:rsidRPr="00114A72" w:rsidRDefault="00114A72" w:rsidP="00114A72">
      <w:pPr>
        <w:ind w:left="567" w:hanging="567"/>
        <w:jc w:val="both"/>
        <w:rPr>
          <w:rFonts w:ascii="Times New Roman" w:hAnsi="Times New Roman" w:cs="Times New Roman"/>
          <w:b/>
          <w:bCs/>
          <w:color w:val="242121"/>
          <w:sz w:val="26"/>
          <w:szCs w:val="26"/>
          <w:u w:val="single"/>
          <w:lang w:val="en-US"/>
        </w:rPr>
      </w:pPr>
      <w:r w:rsidRPr="007E0707">
        <w:rPr>
          <w:rFonts w:ascii="Times New Roman" w:hAnsi="Times New Roman" w:cs="Times New Roman"/>
          <w:b/>
          <w:bCs/>
          <w:color w:val="242121"/>
          <w:kern w:val="0"/>
          <w:sz w:val="26"/>
          <w:szCs w:val="26"/>
          <w:lang w:val="en-US"/>
          <w14:ligatures w14:val="none"/>
        </w:rPr>
        <w:t>D.</w:t>
      </w:r>
      <w:r w:rsidRPr="007E0707">
        <w:rPr>
          <w:rFonts w:ascii="Times New Roman" w:hAnsi="Times New Roman" w:cs="Times New Roman"/>
          <w:b/>
          <w:bCs/>
          <w:color w:val="242121"/>
          <w:kern w:val="0"/>
          <w:sz w:val="26"/>
          <w:szCs w:val="26"/>
          <w:lang w:val="en-US"/>
          <w14:ligatures w14:val="none"/>
        </w:rPr>
        <w:tab/>
      </w:r>
      <w:r w:rsidR="00C00169" w:rsidRPr="00114A72">
        <w:rPr>
          <w:rFonts w:ascii="Times New Roman" w:hAnsi="Times New Roman" w:cs="Times New Roman"/>
          <w:b/>
          <w:bCs/>
          <w:color w:val="242121"/>
          <w:sz w:val="26"/>
          <w:szCs w:val="26"/>
          <w:u w:val="single"/>
          <w:lang w:val="en-US"/>
        </w:rPr>
        <w:t>THE APPEAL</w:t>
      </w:r>
    </w:p>
    <w:p w14:paraId="2BD21345" w14:textId="77777777" w:rsidR="00567997" w:rsidRPr="00014206" w:rsidRDefault="00567997" w:rsidP="00014206">
      <w:pPr>
        <w:rPr>
          <w:rFonts w:ascii="Times New Roman" w:hAnsi="Times New Roman" w:cs="Times New Roman"/>
          <w:color w:val="242121"/>
          <w:sz w:val="26"/>
          <w:szCs w:val="26"/>
          <w:lang w:val="en-US"/>
        </w:rPr>
      </w:pPr>
    </w:p>
    <w:p w14:paraId="7B815620" w14:textId="6BE063AD" w:rsidR="00567997"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lastRenderedPageBreak/>
        <w:t>[16]</w:t>
      </w:r>
      <w:r>
        <w:rPr>
          <w:rFonts w:ascii="Times New Roman" w:hAnsi="Times New Roman" w:cs="Times New Roman"/>
          <w:color w:val="242121"/>
          <w:kern w:val="0"/>
          <w:sz w:val="26"/>
          <w:szCs w:val="26"/>
          <w:lang w:val="en-US"/>
          <w14:ligatures w14:val="none"/>
        </w:rPr>
        <w:tab/>
      </w:r>
      <w:r w:rsidR="00B34FB3" w:rsidRPr="00114A72">
        <w:rPr>
          <w:rFonts w:ascii="Times New Roman" w:hAnsi="Times New Roman" w:cs="Times New Roman"/>
          <w:color w:val="242121"/>
          <w:sz w:val="26"/>
          <w:szCs w:val="26"/>
          <w:lang w:val="en-US"/>
        </w:rPr>
        <w:t xml:space="preserve">The appeal is against the whole judgment and order of the </w:t>
      </w:r>
      <w:r w:rsidR="00256D37" w:rsidRPr="00114A72">
        <w:rPr>
          <w:rFonts w:ascii="Times New Roman" w:hAnsi="Times New Roman" w:cs="Times New Roman"/>
          <w:color w:val="242121"/>
          <w:sz w:val="26"/>
          <w:szCs w:val="26"/>
          <w:lang w:val="en-US"/>
        </w:rPr>
        <w:t>M</w:t>
      </w:r>
      <w:r w:rsidR="00B34FB3" w:rsidRPr="00114A72">
        <w:rPr>
          <w:rFonts w:ascii="Times New Roman" w:hAnsi="Times New Roman" w:cs="Times New Roman"/>
          <w:color w:val="242121"/>
          <w:sz w:val="26"/>
          <w:szCs w:val="26"/>
          <w:lang w:val="en-US"/>
        </w:rPr>
        <w:t>agistrate</w:t>
      </w:r>
      <w:r w:rsidR="00256D37" w:rsidRPr="00114A72">
        <w:rPr>
          <w:rFonts w:ascii="Times New Roman" w:hAnsi="Times New Roman" w:cs="Times New Roman"/>
          <w:color w:val="242121"/>
          <w:sz w:val="26"/>
          <w:szCs w:val="26"/>
          <w:lang w:val="en-US"/>
        </w:rPr>
        <w:t>, and in particular her conclusion that the lease was not validly terminated</w:t>
      </w:r>
      <w:r w:rsidR="00B34FB3" w:rsidRPr="00114A72">
        <w:rPr>
          <w:rFonts w:ascii="Times New Roman" w:hAnsi="Times New Roman" w:cs="Times New Roman"/>
          <w:color w:val="242121"/>
          <w:sz w:val="26"/>
          <w:szCs w:val="26"/>
          <w:lang w:val="en-US"/>
        </w:rPr>
        <w:t>. The City states that the Magistrate failed to have regard to clause 4 of the lease agreement which entitled either party to terminate the lease agreement on two months’ written notice. They also state that she failed to have regard t</w:t>
      </w:r>
      <w:r w:rsidR="00256D37" w:rsidRPr="00114A72">
        <w:rPr>
          <w:rFonts w:ascii="Times New Roman" w:hAnsi="Times New Roman" w:cs="Times New Roman"/>
          <w:color w:val="242121"/>
          <w:sz w:val="26"/>
          <w:szCs w:val="26"/>
          <w:lang w:val="en-US"/>
        </w:rPr>
        <w:t>o</w:t>
      </w:r>
      <w:r w:rsidR="00B34FB3" w:rsidRPr="00114A72">
        <w:rPr>
          <w:rFonts w:ascii="Times New Roman" w:hAnsi="Times New Roman" w:cs="Times New Roman"/>
          <w:color w:val="242121"/>
          <w:sz w:val="26"/>
          <w:szCs w:val="26"/>
          <w:lang w:val="en-US"/>
        </w:rPr>
        <w:t xml:space="preserve"> the legal position that termination takes effect from the moment it is communicated to the other party.</w:t>
      </w:r>
      <w:r w:rsidR="00B96FC7" w:rsidRPr="00114A72">
        <w:rPr>
          <w:rFonts w:ascii="Times New Roman" w:hAnsi="Times New Roman" w:cs="Times New Roman"/>
          <w:color w:val="242121"/>
          <w:sz w:val="26"/>
          <w:szCs w:val="26"/>
          <w:lang w:val="en-US"/>
        </w:rPr>
        <w:t xml:space="preserve"> Furthermore</w:t>
      </w:r>
      <w:r w:rsidR="008C3E8E" w:rsidRPr="00114A72">
        <w:rPr>
          <w:rFonts w:ascii="Times New Roman" w:hAnsi="Times New Roman" w:cs="Times New Roman"/>
          <w:color w:val="242121"/>
          <w:sz w:val="26"/>
          <w:szCs w:val="26"/>
          <w:lang w:val="en-US"/>
        </w:rPr>
        <w:t>,</w:t>
      </w:r>
      <w:r w:rsidR="00B96FC7" w:rsidRPr="00114A72">
        <w:rPr>
          <w:rFonts w:ascii="Times New Roman" w:hAnsi="Times New Roman" w:cs="Times New Roman"/>
          <w:color w:val="242121"/>
          <w:sz w:val="26"/>
          <w:szCs w:val="26"/>
          <w:lang w:val="en-US"/>
        </w:rPr>
        <w:t xml:space="preserve"> the </w:t>
      </w:r>
      <w:r w:rsidR="008C3E8E" w:rsidRPr="00114A72">
        <w:rPr>
          <w:rFonts w:ascii="Times New Roman" w:hAnsi="Times New Roman" w:cs="Times New Roman"/>
          <w:color w:val="242121"/>
          <w:sz w:val="26"/>
          <w:szCs w:val="26"/>
          <w:lang w:val="en-US"/>
        </w:rPr>
        <w:t>C</w:t>
      </w:r>
      <w:r w:rsidR="00B96FC7" w:rsidRPr="00114A72">
        <w:rPr>
          <w:rFonts w:ascii="Times New Roman" w:hAnsi="Times New Roman" w:cs="Times New Roman"/>
          <w:color w:val="242121"/>
          <w:sz w:val="26"/>
          <w:szCs w:val="26"/>
          <w:lang w:val="en-US"/>
        </w:rPr>
        <w:t>ity states that the reasons for canceling the lease are irrelevant because it had an unqualified right to do so. In any event, the City says there is no evidence that it waived or abandoned its cancellation of the lease.</w:t>
      </w:r>
    </w:p>
    <w:p w14:paraId="6C92A5B1" w14:textId="77777777" w:rsidR="00ED47B3" w:rsidRDefault="00ED47B3" w:rsidP="00ED47B3">
      <w:pPr>
        <w:pStyle w:val="ListParagraph"/>
        <w:spacing w:after="0" w:line="360" w:lineRule="auto"/>
        <w:ind w:left="0"/>
        <w:jc w:val="both"/>
        <w:rPr>
          <w:rFonts w:ascii="Times New Roman" w:hAnsi="Times New Roman" w:cs="Times New Roman"/>
          <w:color w:val="242121"/>
          <w:sz w:val="26"/>
          <w:szCs w:val="26"/>
          <w:lang w:val="en-US"/>
        </w:rPr>
      </w:pPr>
    </w:p>
    <w:p w14:paraId="71D1B301" w14:textId="12973CFE" w:rsidR="00B34FB3"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[17]</w:t>
      </w:r>
      <w:r>
        <w:rPr>
          <w:rFonts w:ascii="Times New Roman" w:hAnsi="Times New Roman" w:cs="Times New Roman"/>
          <w:color w:val="242121"/>
          <w:kern w:val="0"/>
          <w:sz w:val="26"/>
          <w:szCs w:val="26"/>
          <w:lang w:val="en-US"/>
          <w14:ligatures w14:val="none"/>
        </w:rPr>
        <w:tab/>
      </w:r>
      <w:r w:rsidR="00ED47B3" w:rsidRPr="00114A72">
        <w:rPr>
          <w:rFonts w:ascii="Times New Roman" w:hAnsi="Times New Roman" w:cs="Times New Roman"/>
          <w:color w:val="242121"/>
          <w:sz w:val="26"/>
          <w:szCs w:val="26"/>
          <w:lang w:val="en-US"/>
        </w:rPr>
        <w:t>In addition to the above</w:t>
      </w:r>
      <w:r w:rsidR="0042515E" w:rsidRPr="00114A72">
        <w:rPr>
          <w:rFonts w:ascii="Times New Roman" w:hAnsi="Times New Roman" w:cs="Times New Roman"/>
          <w:color w:val="242121"/>
          <w:sz w:val="26"/>
          <w:szCs w:val="26"/>
          <w:lang w:val="en-US"/>
        </w:rPr>
        <w:t>,</w:t>
      </w:r>
      <w:r w:rsidR="00ED47B3" w:rsidRPr="00114A72">
        <w:rPr>
          <w:rFonts w:ascii="Times New Roman" w:hAnsi="Times New Roman" w:cs="Times New Roman"/>
          <w:color w:val="242121"/>
          <w:sz w:val="26"/>
          <w:szCs w:val="26"/>
          <w:lang w:val="en-US"/>
        </w:rPr>
        <w:t xml:space="preserve"> the City states that an eviction order is just an equitable under the circumstances, since the only permanent occupants of the property are the second respondent and her 12</w:t>
      </w:r>
      <w:r w:rsidR="008C3E8E" w:rsidRPr="00114A72">
        <w:rPr>
          <w:rFonts w:ascii="Times New Roman" w:hAnsi="Times New Roman" w:cs="Times New Roman"/>
          <w:color w:val="242121"/>
          <w:sz w:val="26"/>
          <w:szCs w:val="26"/>
          <w:lang w:val="en-US"/>
        </w:rPr>
        <w:t>-</w:t>
      </w:r>
      <w:r w:rsidR="00ED47B3" w:rsidRPr="00114A72">
        <w:rPr>
          <w:rFonts w:ascii="Times New Roman" w:hAnsi="Times New Roman" w:cs="Times New Roman"/>
          <w:color w:val="242121"/>
          <w:sz w:val="26"/>
          <w:szCs w:val="26"/>
          <w:lang w:val="en-US"/>
        </w:rPr>
        <w:t>year</w:t>
      </w:r>
      <w:r w:rsidR="008C3E8E" w:rsidRPr="00114A72">
        <w:rPr>
          <w:rFonts w:ascii="Times New Roman" w:hAnsi="Times New Roman" w:cs="Times New Roman"/>
          <w:color w:val="242121"/>
          <w:sz w:val="26"/>
          <w:szCs w:val="26"/>
          <w:lang w:val="en-US"/>
        </w:rPr>
        <w:t xml:space="preserve"> </w:t>
      </w:r>
      <w:r w:rsidR="00ED47B3" w:rsidRPr="00114A72">
        <w:rPr>
          <w:rFonts w:ascii="Times New Roman" w:hAnsi="Times New Roman" w:cs="Times New Roman"/>
          <w:color w:val="242121"/>
          <w:sz w:val="26"/>
          <w:szCs w:val="26"/>
          <w:lang w:val="en-US"/>
        </w:rPr>
        <w:t xml:space="preserve">old son. The City disputes that an eviction would render the second respondent and her son homeless, stating that, since she has significant business experience she can be gainfully employed elsewhere or conduct her business from an alternative location. In the alternative, the </w:t>
      </w:r>
      <w:r w:rsidR="00DD587C" w:rsidRPr="00114A72">
        <w:rPr>
          <w:rFonts w:ascii="Times New Roman" w:hAnsi="Times New Roman" w:cs="Times New Roman"/>
          <w:color w:val="242121"/>
          <w:sz w:val="26"/>
          <w:szCs w:val="26"/>
          <w:lang w:val="en-US"/>
        </w:rPr>
        <w:t>C</w:t>
      </w:r>
      <w:r w:rsidR="00ED47B3" w:rsidRPr="00114A72">
        <w:rPr>
          <w:rFonts w:ascii="Times New Roman" w:hAnsi="Times New Roman" w:cs="Times New Roman"/>
          <w:color w:val="242121"/>
          <w:sz w:val="26"/>
          <w:szCs w:val="26"/>
          <w:lang w:val="en-US"/>
        </w:rPr>
        <w:t>ity has asked that the matter be remitted to the Magistrate</w:t>
      </w:r>
      <w:r w:rsidR="0042515E" w:rsidRPr="00114A72">
        <w:rPr>
          <w:rFonts w:ascii="Times New Roman" w:hAnsi="Times New Roman" w:cs="Times New Roman"/>
          <w:color w:val="242121"/>
          <w:sz w:val="26"/>
          <w:szCs w:val="26"/>
          <w:lang w:val="en-US"/>
        </w:rPr>
        <w:t>’</w:t>
      </w:r>
      <w:r w:rsidR="00ED47B3" w:rsidRPr="00114A72">
        <w:rPr>
          <w:rFonts w:ascii="Times New Roman" w:hAnsi="Times New Roman" w:cs="Times New Roman"/>
          <w:color w:val="242121"/>
          <w:sz w:val="26"/>
          <w:szCs w:val="26"/>
          <w:lang w:val="en-US"/>
        </w:rPr>
        <w:t>s Court for determination of a just and equitable date for eviction.</w:t>
      </w:r>
    </w:p>
    <w:p w14:paraId="4FE2E98A" w14:textId="77777777" w:rsidR="0015519B" w:rsidRPr="0015519B" w:rsidRDefault="0015519B" w:rsidP="0015519B">
      <w:pPr>
        <w:pStyle w:val="ListParagraph"/>
        <w:rPr>
          <w:rFonts w:ascii="Times New Roman" w:hAnsi="Times New Roman" w:cs="Times New Roman"/>
          <w:color w:val="242121"/>
          <w:sz w:val="26"/>
          <w:szCs w:val="26"/>
          <w:lang w:val="en-US"/>
        </w:rPr>
      </w:pPr>
    </w:p>
    <w:p w14:paraId="7C39C90D" w14:textId="0B3F2DEC" w:rsidR="0015519B" w:rsidRPr="00114A72" w:rsidRDefault="00114A72" w:rsidP="00114A72">
      <w:pPr>
        <w:spacing w:line="360" w:lineRule="auto"/>
        <w:jc w:val="both"/>
        <w:rPr>
          <w:rFonts w:ascii="Times New Roman" w:hAnsi="Times New Roman" w:cs="Times New Roman"/>
          <w:color w:val="242121"/>
          <w:sz w:val="26"/>
          <w:szCs w:val="26"/>
          <w:lang w:val="en-US"/>
        </w:rPr>
      </w:pPr>
      <w:r>
        <w:rPr>
          <w:rFonts w:ascii="Times New Roman" w:hAnsi="Times New Roman" w:cs="Times New Roman"/>
          <w:color w:val="242121"/>
          <w:kern w:val="0"/>
          <w:sz w:val="26"/>
          <w:szCs w:val="26"/>
          <w:lang w:val="en-US"/>
          <w14:ligatures w14:val="none"/>
        </w:rPr>
        <w:t>[18]</w:t>
      </w:r>
      <w:r>
        <w:rPr>
          <w:rFonts w:ascii="Times New Roman" w:hAnsi="Times New Roman" w:cs="Times New Roman"/>
          <w:color w:val="242121"/>
          <w:kern w:val="0"/>
          <w:sz w:val="26"/>
          <w:szCs w:val="26"/>
          <w:lang w:val="en-US"/>
          <w14:ligatures w14:val="none"/>
        </w:rPr>
        <w:tab/>
      </w:r>
      <w:r w:rsidR="0015519B" w:rsidRPr="00114A72">
        <w:rPr>
          <w:rFonts w:ascii="Times New Roman" w:hAnsi="Times New Roman" w:cs="Times New Roman"/>
          <w:color w:val="242121"/>
          <w:sz w:val="26"/>
          <w:szCs w:val="26"/>
          <w:lang w:val="en-US"/>
        </w:rPr>
        <w:t xml:space="preserve">At the same time, the second respondent persists with </w:t>
      </w:r>
      <w:r w:rsidR="00357FE6" w:rsidRPr="00114A72">
        <w:rPr>
          <w:rFonts w:ascii="Times New Roman" w:hAnsi="Times New Roman" w:cs="Times New Roman"/>
          <w:color w:val="242121"/>
          <w:sz w:val="26"/>
          <w:szCs w:val="26"/>
          <w:lang w:val="en-US"/>
        </w:rPr>
        <w:t>her</w:t>
      </w:r>
      <w:r w:rsidR="0015519B" w:rsidRPr="00114A72">
        <w:rPr>
          <w:rFonts w:ascii="Times New Roman" w:hAnsi="Times New Roman" w:cs="Times New Roman"/>
          <w:color w:val="242121"/>
          <w:sz w:val="26"/>
          <w:szCs w:val="26"/>
          <w:lang w:val="en-US"/>
        </w:rPr>
        <w:t xml:space="preserve"> point </w:t>
      </w:r>
      <w:r w:rsidR="0015519B" w:rsidRPr="00114A72">
        <w:rPr>
          <w:rFonts w:ascii="Times New Roman" w:hAnsi="Times New Roman" w:cs="Times New Roman"/>
          <w:i/>
          <w:iCs/>
          <w:color w:val="242121"/>
          <w:sz w:val="26"/>
          <w:szCs w:val="26"/>
          <w:lang w:val="en-US"/>
        </w:rPr>
        <w:t>in limine</w:t>
      </w:r>
      <w:r w:rsidR="0015519B" w:rsidRPr="00114A72">
        <w:rPr>
          <w:rFonts w:ascii="Times New Roman" w:hAnsi="Times New Roman" w:cs="Times New Roman"/>
          <w:color w:val="242121"/>
          <w:sz w:val="26"/>
          <w:szCs w:val="26"/>
          <w:lang w:val="en-US"/>
        </w:rPr>
        <w:t>, although no cross appeal has been brought in respect thereof.</w:t>
      </w:r>
    </w:p>
    <w:p w14:paraId="1A833399" w14:textId="77777777" w:rsidR="008C3E8E" w:rsidRDefault="008C3E8E" w:rsidP="0015519B">
      <w:pPr>
        <w:rPr>
          <w:rFonts w:ascii="Times New Roman" w:hAnsi="Times New Roman" w:cs="Times New Roman"/>
          <w:color w:val="242121"/>
          <w:sz w:val="26"/>
          <w:szCs w:val="26"/>
          <w:lang w:val="en-US"/>
        </w:rPr>
      </w:pPr>
    </w:p>
    <w:p w14:paraId="1E760DB2" w14:textId="77777777" w:rsidR="00357FE6" w:rsidRPr="0015519B" w:rsidRDefault="00357FE6" w:rsidP="0015519B">
      <w:pPr>
        <w:rPr>
          <w:rFonts w:ascii="Times New Roman" w:hAnsi="Times New Roman" w:cs="Times New Roman"/>
          <w:color w:val="242121"/>
          <w:sz w:val="26"/>
          <w:szCs w:val="26"/>
          <w:lang w:val="en-US"/>
        </w:rPr>
      </w:pPr>
    </w:p>
    <w:p w14:paraId="12D5B282" w14:textId="6FC83740" w:rsidR="0008106A" w:rsidRPr="00114A72" w:rsidRDefault="00114A72" w:rsidP="00114A72">
      <w:pPr>
        <w:ind w:left="567" w:hanging="567"/>
        <w:jc w:val="both"/>
        <w:rPr>
          <w:rFonts w:ascii="Times New Roman" w:hAnsi="Times New Roman" w:cs="Times New Roman"/>
          <w:b/>
          <w:bCs/>
          <w:color w:val="242121"/>
          <w:sz w:val="26"/>
          <w:szCs w:val="26"/>
          <w:u w:val="single"/>
          <w:lang w:val="en-US"/>
        </w:rPr>
      </w:pPr>
      <w:r>
        <w:rPr>
          <w:rFonts w:ascii="Times New Roman" w:hAnsi="Times New Roman" w:cs="Times New Roman"/>
          <w:b/>
          <w:bCs/>
          <w:color w:val="242121"/>
          <w:kern w:val="0"/>
          <w:sz w:val="26"/>
          <w:szCs w:val="26"/>
          <w:lang w:val="en-US"/>
          <w14:ligatures w14:val="none"/>
        </w:rPr>
        <w:t>E.</w:t>
      </w:r>
      <w:r>
        <w:rPr>
          <w:rFonts w:ascii="Times New Roman" w:hAnsi="Times New Roman" w:cs="Times New Roman"/>
          <w:b/>
          <w:bCs/>
          <w:color w:val="242121"/>
          <w:kern w:val="0"/>
          <w:sz w:val="26"/>
          <w:szCs w:val="26"/>
          <w:lang w:val="en-US"/>
          <w14:ligatures w14:val="none"/>
        </w:rPr>
        <w:tab/>
      </w:r>
      <w:r w:rsidR="0008106A" w:rsidRPr="00114A72">
        <w:rPr>
          <w:rFonts w:ascii="Times New Roman" w:hAnsi="Times New Roman" w:cs="Times New Roman"/>
          <w:b/>
          <w:bCs/>
          <w:color w:val="242121"/>
          <w:sz w:val="26"/>
          <w:szCs w:val="26"/>
          <w:u w:val="single"/>
          <w:lang w:val="en-US"/>
        </w:rPr>
        <w:t>APPLICABLE LEGAL PRINCIPLES</w:t>
      </w:r>
    </w:p>
    <w:p w14:paraId="1D25FBE2" w14:textId="77777777" w:rsidR="008C3E8E" w:rsidRPr="008C3E8E" w:rsidRDefault="008C3E8E" w:rsidP="008C3E8E">
      <w:pPr>
        <w:pStyle w:val="ListParagraph"/>
        <w:spacing w:after="0" w:line="240" w:lineRule="auto"/>
        <w:ind w:left="567"/>
        <w:jc w:val="both"/>
        <w:rPr>
          <w:rFonts w:ascii="Times New Roman" w:hAnsi="Times New Roman" w:cs="Times New Roman"/>
          <w:b/>
          <w:bCs/>
          <w:color w:val="242121"/>
          <w:sz w:val="26"/>
          <w:szCs w:val="26"/>
          <w:u w:val="single"/>
          <w:lang w:val="en-US"/>
        </w:rPr>
      </w:pPr>
    </w:p>
    <w:p w14:paraId="1AA3E4B5" w14:textId="26F99E5A" w:rsidR="0015519B" w:rsidRPr="00114A72" w:rsidRDefault="00114A72" w:rsidP="00114A72">
      <w:pPr>
        <w:spacing w:line="360" w:lineRule="auto"/>
        <w:jc w:val="both"/>
        <w:rPr>
          <w:rFonts w:ascii="Times New Roman" w:hAnsi="Times New Roman" w:cs="Times New Roman"/>
          <w:color w:val="000000"/>
          <w:sz w:val="26"/>
          <w:szCs w:val="26"/>
        </w:rPr>
      </w:pPr>
      <w:r>
        <w:rPr>
          <w:rFonts w:ascii="Times New Roman" w:hAnsi="Times New Roman" w:cs="Times New Roman"/>
          <w:color w:val="000000"/>
          <w:kern w:val="0"/>
          <w:sz w:val="26"/>
          <w:szCs w:val="26"/>
          <w14:ligatures w14:val="none"/>
        </w:rPr>
        <w:t>[19]</w:t>
      </w:r>
      <w:r>
        <w:rPr>
          <w:rFonts w:ascii="Times New Roman" w:hAnsi="Times New Roman" w:cs="Times New Roman"/>
          <w:color w:val="000000"/>
          <w:kern w:val="0"/>
          <w:sz w:val="26"/>
          <w:szCs w:val="26"/>
          <w14:ligatures w14:val="none"/>
        </w:rPr>
        <w:tab/>
      </w:r>
      <w:r w:rsidR="0015519B" w:rsidRPr="00114A72">
        <w:rPr>
          <w:rFonts w:ascii="Times New Roman" w:hAnsi="Times New Roman" w:cs="Times New Roman"/>
          <w:color w:val="000000"/>
          <w:sz w:val="26"/>
          <w:szCs w:val="26"/>
        </w:rPr>
        <w:t xml:space="preserve">The point </w:t>
      </w:r>
      <w:r w:rsidR="0015519B" w:rsidRPr="00114A72">
        <w:rPr>
          <w:rFonts w:ascii="Times New Roman" w:hAnsi="Times New Roman" w:cs="Times New Roman"/>
          <w:i/>
          <w:color w:val="000000"/>
          <w:sz w:val="26"/>
          <w:szCs w:val="26"/>
        </w:rPr>
        <w:t>in limine</w:t>
      </w:r>
      <w:r w:rsidR="0015519B" w:rsidRPr="00114A72">
        <w:rPr>
          <w:rFonts w:ascii="Times New Roman" w:hAnsi="Times New Roman" w:cs="Times New Roman"/>
          <w:color w:val="000000"/>
          <w:sz w:val="26"/>
          <w:szCs w:val="26"/>
        </w:rPr>
        <w:t xml:space="preserve"> raised by the second respondent has been addressed by various courts. </w:t>
      </w:r>
      <w:r w:rsidR="002E3EE6" w:rsidRPr="00114A72">
        <w:rPr>
          <w:rFonts w:ascii="Times New Roman" w:hAnsi="Times New Roman" w:cs="Times New Roman"/>
          <w:color w:val="000000"/>
          <w:sz w:val="26"/>
          <w:szCs w:val="26"/>
        </w:rPr>
        <w:t>As far back as</w:t>
      </w:r>
      <w:r w:rsidR="0015519B" w:rsidRPr="00114A72">
        <w:rPr>
          <w:rFonts w:ascii="Times New Roman" w:hAnsi="Times New Roman" w:cs="Times New Roman"/>
          <w:color w:val="000000"/>
          <w:sz w:val="26"/>
          <w:szCs w:val="26"/>
        </w:rPr>
        <w:t xml:space="preserve"> 2003 the Supreme Court of Appeal in </w:t>
      </w:r>
      <w:r w:rsidR="0015519B" w:rsidRPr="00114A72">
        <w:rPr>
          <w:rFonts w:ascii="Times New Roman" w:eastAsia="Times New Roman" w:hAnsi="Times New Roman" w:cs="Times New Roman"/>
          <w:bCs/>
          <w:i/>
          <w:color w:val="000000"/>
          <w:sz w:val="26"/>
          <w:szCs w:val="26"/>
          <w:lang w:eastAsia="en-ZA"/>
        </w:rPr>
        <w:t>Ndlovu v Ngcobo; Bekker and Another v Jika</w:t>
      </w:r>
      <w:r w:rsidR="0015519B" w:rsidRPr="006F65CC">
        <w:rPr>
          <w:rStyle w:val="FootnoteReference"/>
          <w:rFonts w:ascii="Times New Roman" w:hAnsi="Times New Roman" w:cs="Times New Roman"/>
          <w:color w:val="000000"/>
          <w:sz w:val="26"/>
          <w:szCs w:val="26"/>
        </w:rPr>
        <w:footnoteReference w:id="1"/>
      </w:r>
      <w:r w:rsidR="0015519B" w:rsidRPr="00114A72">
        <w:rPr>
          <w:rFonts w:ascii="Times New Roman" w:hAnsi="Times New Roman" w:cs="Times New Roman"/>
          <w:color w:val="000000"/>
          <w:sz w:val="26"/>
          <w:szCs w:val="26"/>
        </w:rPr>
        <w:t xml:space="preserve"> held that section 6(1) authorises organs of state legal standing to apply for the eviction of unlawful occupiers </w:t>
      </w:r>
      <w:r w:rsidR="0015519B" w:rsidRPr="00114A72">
        <w:rPr>
          <w:rFonts w:ascii="Times New Roman" w:hAnsi="Times New Roman" w:cs="Times New Roman"/>
          <w:color w:val="000000"/>
          <w:sz w:val="26"/>
          <w:szCs w:val="26"/>
          <w:u w:val="single"/>
        </w:rPr>
        <w:t>from land belonging to others</w:t>
      </w:r>
      <w:r w:rsidR="0015519B" w:rsidRPr="00114A72">
        <w:rPr>
          <w:rFonts w:ascii="Times New Roman" w:hAnsi="Times New Roman" w:cs="Times New Roman"/>
          <w:color w:val="000000"/>
          <w:sz w:val="26"/>
          <w:szCs w:val="26"/>
        </w:rPr>
        <w:t xml:space="preserve">. The same reasoning has been applied by </w:t>
      </w:r>
      <w:r w:rsidR="00357FE6" w:rsidRPr="00114A72">
        <w:rPr>
          <w:rFonts w:ascii="Times New Roman" w:hAnsi="Times New Roman" w:cs="Times New Roman"/>
          <w:color w:val="000000"/>
          <w:sz w:val="26"/>
          <w:szCs w:val="26"/>
        </w:rPr>
        <w:t>different</w:t>
      </w:r>
      <w:r w:rsidR="0015519B" w:rsidRPr="00114A72">
        <w:rPr>
          <w:rFonts w:ascii="Times New Roman" w:hAnsi="Times New Roman" w:cs="Times New Roman"/>
          <w:color w:val="000000"/>
          <w:sz w:val="26"/>
          <w:szCs w:val="26"/>
        </w:rPr>
        <w:t xml:space="preserve"> courts including this Division.</w:t>
      </w:r>
      <w:r w:rsidR="0015519B" w:rsidRPr="00632738">
        <w:rPr>
          <w:rStyle w:val="FootnoteReference"/>
          <w:rFonts w:ascii="Times New Roman" w:hAnsi="Times New Roman" w:cs="Times New Roman"/>
          <w:color w:val="000000"/>
          <w:sz w:val="26"/>
          <w:szCs w:val="26"/>
        </w:rPr>
        <w:footnoteReference w:id="2"/>
      </w:r>
      <w:r w:rsidR="0015519B" w:rsidRPr="00114A72">
        <w:rPr>
          <w:rFonts w:ascii="Times New Roman" w:hAnsi="Times New Roman" w:cs="Times New Roman"/>
          <w:color w:val="000000"/>
          <w:sz w:val="26"/>
          <w:szCs w:val="26"/>
        </w:rPr>
        <w:t xml:space="preserve"> </w:t>
      </w:r>
      <w:r w:rsidR="00357FE6" w:rsidRPr="00114A72">
        <w:rPr>
          <w:rFonts w:ascii="Times New Roman" w:hAnsi="Times New Roman" w:cs="Times New Roman"/>
          <w:color w:val="000000"/>
          <w:sz w:val="26"/>
          <w:szCs w:val="26"/>
        </w:rPr>
        <w:t xml:space="preserve">It has </w:t>
      </w:r>
      <w:r w:rsidR="00357FE6" w:rsidRPr="00114A72">
        <w:rPr>
          <w:rFonts w:ascii="Times New Roman" w:hAnsi="Times New Roman" w:cs="Times New Roman"/>
          <w:color w:val="000000"/>
          <w:sz w:val="26"/>
          <w:szCs w:val="26"/>
        </w:rPr>
        <w:lastRenderedPageBreak/>
        <w:t xml:space="preserve">been </w:t>
      </w:r>
      <w:r w:rsidR="0015519B" w:rsidRPr="00114A72">
        <w:rPr>
          <w:rFonts w:ascii="Times New Roman" w:hAnsi="Times New Roman" w:cs="Times New Roman"/>
          <w:color w:val="000000"/>
          <w:sz w:val="26"/>
          <w:szCs w:val="26"/>
        </w:rPr>
        <w:t xml:space="preserve">explained that an organ of state may indeed proceed in terms of section 4 where it is an owner of land. </w:t>
      </w:r>
      <w:r w:rsidR="0015519B" w:rsidRPr="00114A72">
        <w:rPr>
          <w:rFonts w:ascii="Times New Roman" w:eastAsia="Times New Roman" w:hAnsi="Times New Roman" w:cs="Times New Roman"/>
          <w:color w:val="000000"/>
          <w:sz w:val="26"/>
          <w:szCs w:val="26"/>
          <w:lang w:eastAsia="en-ZA"/>
        </w:rPr>
        <w:t xml:space="preserve">It will be remembered that section 4 applies to proceedings </w:t>
      </w:r>
      <w:r w:rsidR="0015519B" w:rsidRPr="00114A72">
        <w:rPr>
          <w:rFonts w:ascii="Times New Roman" w:hAnsi="Times New Roman" w:cs="Times New Roman"/>
          <w:color w:val="000000"/>
          <w:sz w:val="26"/>
          <w:szCs w:val="26"/>
        </w:rPr>
        <w:t xml:space="preserve">by </w:t>
      </w:r>
      <w:r w:rsidR="00357FE6" w:rsidRPr="00114A72">
        <w:rPr>
          <w:rFonts w:ascii="Times New Roman" w:hAnsi="Times New Roman" w:cs="Times New Roman"/>
          <w:i/>
          <w:iCs/>
          <w:color w:val="000000"/>
          <w:sz w:val="26"/>
          <w:szCs w:val="26"/>
        </w:rPr>
        <w:t>“</w:t>
      </w:r>
      <w:r w:rsidR="0015519B" w:rsidRPr="00114A72">
        <w:rPr>
          <w:rFonts w:ascii="Times New Roman" w:hAnsi="Times New Roman" w:cs="Times New Roman"/>
          <w:i/>
          <w:iCs/>
          <w:color w:val="000000"/>
          <w:sz w:val="26"/>
          <w:szCs w:val="26"/>
        </w:rPr>
        <w:t>an owner or person in charge of land</w:t>
      </w:r>
      <w:r w:rsidR="00357FE6" w:rsidRPr="00114A72">
        <w:rPr>
          <w:rFonts w:ascii="Times New Roman" w:hAnsi="Times New Roman" w:cs="Times New Roman"/>
          <w:i/>
          <w:iCs/>
          <w:color w:val="000000"/>
          <w:sz w:val="26"/>
          <w:szCs w:val="26"/>
        </w:rPr>
        <w:t>”</w:t>
      </w:r>
      <w:r w:rsidR="0015519B" w:rsidRPr="00114A72">
        <w:rPr>
          <w:rFonts w:ascii="Times New Roman" w:hAnsi="Times New Roman" w:cs="Times New Roman"/>
          <w:color w:val="000000"/>
          <w:sz w:val="26"/>
          <w:szCs w:val="26"/>
        </w:rPr>
        <w:t xml:space="preserve">, and in terms of section 1 an </w:t>
      </w:r>
      <w:r w:rsidR="0015519B" w:rsidRPr="00114A72">
        <w:rPr>
          <w:rFonts w:ascii="Times New Roman" w:hAnsi="Times New Roman" w:cs="Times New Roman"/>
          <w:i/>
          <w:iCs/>
          <w:color w:val="000000"/>
          <w:sz w:val="26"/>
          <w:szCs w:val="26"/>
        </w:rPr>
        <w:t>“owner”</w:t>
      </w:r>
      <w:r w:rsidR="0015519B" w:rsidRPr="00114A72">
        <w:rPr>
          <w:rFonts w:ascii="Times New Roman" w:hAnsi="Times New Roman" w:cs="Times New Roman"/>
          <w:color w:val="000000"/>
          <w:sz w:val="26"/>
          <w:szCs w:val="26"/>
        </w:rPr>
        <w:t xml:space="preserve"> includes an organ of state.</w:t>
      </w:r>
      <w:r w:rsidR="005319F5">
        <w:rPr>
          <w:rStyle w:val="FootnoteReference"/>
          <w:rFonts w:ascii="Times New Roman" w:hAnsi="Times New Roman" w:cs="Times New Roman"/>
          <w:color w:val="000000"/>
          <w:sz w:val="26"/>
          <w:szCs w:val="26"/>
        </w:rPr>
        <w:footnoteReference w:id="3"/>
      </w:r>
    </w:p>
    <w:p w14:paraId="06BD41D3" w14:textId="77777777" w:rsidR="0015519B" w:rsidRDefault="0015519B" w:rsidP="0015519B">
      <w:pPr>
        <w:pStyle w:val="ListParagraph"/>
        <w:spacing w:after="0" w:line="360" w:lineRule="auto"/>
        <w:ind w:left="0"/>
        <w:jc w:val="both"/>
        <w:rPr>
          <w:rFonts w:ascii="Times New Roman" w:hAnsi="Times New Roman" w:cs="Times New Roman"/>
          <w:color w:val="000000"/>
          <w:sz w:val="26"/>
          <w:szCs w:val="26"/>
        </w:rPr>
      </w:pPr>
    </w:p>
    <w:p w14:paraId="6BDAE652" w14:textId="50E9CB1B" w:rsidR="0015519B" w:rsidRPr="00114A72" w:rsidRDefault="00114A72" w:rsidP="00114A72">
      <w:pPr>
        <w:spacing w:line="360" w:lineRule="auto"/>
        <w:jc w:val="both"/>
        <w:rPr>
          <w:rFonts w:ascii="Times New Roman" w:hAnsi="Times New Roman" w:cs="Times New Roman"/>
          <w:color w:val="000000"/>
          <w:sz w:val="26"/>
          <w:szCs w:val="26"/>
        </w:rPr>
      </w:pPr>
      <w:r w:rsidRPr="0015519B">
        <w:rPr>
          <w:rFonts w:ascii="Times New Roman" w:hAnsi="Times New Roman" w:cs="Times New Roman"/>
          <w:color w:val="000000"/>
          <w:kern w:val="0"/>
          <w:sz w:val="26"/>
          <w:szCs w:val="26"/>
          <w14:ligatures w14:val="none"/>
        </w:rPr>
        <w:t>[20]</w:t>
      </w:r>
      <w:r w:rsidRPr="0015519B">
        <w:rPr>
          <w:rFonts w:ascii="Times New Roman" w:hAnsi="Times New Roman" w:cs="Times New Roman"/>
          <w:color w:val="000000"/>
          <w:kern w:val="0"/>
          <w:sz w:val="26"/>
          <w:szCs w:val="26"/>
          <w14:ligatures w14:val="none"/>
        </w:rPr>
        <w:tab/>
      </w:r>
      <w:r w:rsidR="0015519B" w:rsidRPr="00114A72">
        <w:rPr>
          <w:rFonts w:ascii="Times New Roman" w:hAnsi="Times New Roman" w:cs="Times New Roman"/>
          <w:color w:val="000000"/>
          <w:sz w:val="26"/>
          <w:szCs w:val="26"/>
        </w:rPr>
        <w:t>In</w:t>
      </w:r>
      <w:r w:rsidR="0015519B" w:rsidRPr="00114A72">
        <w:rPr>
          <w:rFonts w:ascii="Times New Roman" w:hAnsi="Times New Roman" w:cs="Times New Roman"/>
          <w:bCs/>
          <w:i/>
          <w:color w:val="000000"/>
          <w:sz w:val="26"/>
          <w:szCs w:val="26"/>
        </w:rPr>
        <w:t xml:space="preserve"> </w:t>
      </w:r>
      <w:r w:rsidR="0015519B" w:rsidRPr="00114A72">
        <w:rPr>
          <w:rFonts w:ascii="Times New Roman" w:hAnsi="Times New Roman" w:cs="Times New Roman"/>
          <w:bCs/>
          <w:i/>
          <w:color w:val="000000" w:themeColor="text1"/>
          <w:sz w:val="26"/>
          <w:szCs w:val="26"/>
        </w:rPr>
        <w:t>Mangaung Local Municipality v Mashale and Another</w:t>
      </w:r>
      <w:r w:rsidR="0015519B" w:rsidRPr="00114A72">
        <w:rPr>
          <w:rFonts w:ascii="Times New Roman" w:hAnsi="Times New Roman" w:cs="Times New Roman"/>
          <w:bCs/>
          <w:color w:val="000000" w:themeColor="text1"/>
          <w:sz w:val="26"/>
          <w:szCs w:val="26"/>
        </w:rPr>
        <w:t xml:space="preserve"> </w:t>
      </w:r>
      <w:r w:rsidR="0015519B" w:rsidRPr="006F65CC">
        <w:rPr>
          <w:rStyle w:val="FootnoteReference"/>
          <w:rFonts w:ascii="Times New Roman" w:hAnsi="Times New Roman" w:cs="Times New Roman"/>
          <w:color w:val="000000"/>
          <w:sz w:val="26"/>
          <w:szCs w:val="26"/>
        </w:rPr>
        <w:footnoteReference w:id="4"/>
      </w:r>
      <w:r w:rsidR="0015519B" w:rsidRPr="00114A72">
        <w:rPr>
          <w:rFonts w:ascii="Times New Roman" w:hAnsi="Times New Roman" w:cs="Times New Roman"/>
          <w:color w:val="000000"/>
          <w:sz w:val="26"/>
          <w:szCs w:val="26"/>
        </w:rPr>
        <w:t xml:space="preserve"> the court went as far as to state that, because section 4 applies to proceedings by all owners or persons in charge of land, which include an organ of state, an organ of state that is the owner of land cannot disregard the clear provisions of section 4 and proceed in terms of section 6 in respect of eviction of unlawful occupiers from land owned by it. That court concluded</w:t>
      </w:r>
      <w:r w:rsidR="0015519B" w:rsidRPr="0015519B">
        <w:rPr>
          <w:rStyle w:val="FootnoteReference"/>
          <w:rFonts w:ascii="Times New Roman" w:hAnsi="Times New Roman" w:cs="Times New Roman"/>
          <w:bCs/>
          <w:iCs/>
          <w:color w:val="000000" w:themeColor="text1"/>
          <w:sz w:val="26"/>
          <w:szCs w:val="26"/>
        </w:rPr>
        <w:footnoteReference w:id="5"/>
      </w:r>
      <w:r w:rsidR="0015519B" w:rsidRPr="00114A72">
        <w:rPr>
          <w:rFonts w:ascii="Times New Roman" w:hAnsi="Times New Roman" w:cs="Times New Roman"/>
          <w:iCs/>
          <w:color w:val="000000"/>
          <w:sz w:val="26"/>
          <w:szCs w:val="26"/>
        </w:rPr>
        <w:t xml:space="preserve"> </w:t>
      </w:r>
      <w:r w:rsidR="0015519B" w:rsidRPr="00114A72">
        <w:rPr>
          <w:rFonts w:ascii="Times New Roman" w:hAnsi="Times New Roman" w:cs="Times New Roman"/>
          <w:color w:val="000000"/>
          <w:sz w:val="26"/>
          <w:szCs w:val="26"/>
        </w:rPr>
        <w:t>that an organ of state may only proceed in terms of section 4 of the Act for eviction of unlawful occupiers from land owned by it.</w:t>
      </w:r>
    </w:p>
    <w:p w14:paraId="7C1A5910" w14:textId="77777777" w:rsidR="00D806CE" w:rsidRPr="00D806CE" w:rsidRDefault="00D806CE" w:rsidP="00D806CE">
      <w:pPr>
        <w:pStyle w:val="ListParagraph"/>
        <w:spacing w:after="0" w:line="360" w:lineRule="auto"/>
        <w:ind w:left="0"/>
        <w:jc w:val="both"/>
        <w:rPr>
          <w:rFonts w:ascii="Times New Roman" w:hAnsi="Times New Roman" w:cs="Times New Roman"/>
          <w:sz w:val="26"/>
          <w:szCs w:val="26"/>
        </w:rPr>
      </w:pPr>
    </w:p>
    <w:p w14:paraId="7BB2197F" w14:textId="4202C5AD" w:rsidR="00916078" w:rsidRPr="00114A72" w:rsidRDefault="00114A72" w:rsidP="00114A72">
      <w:pPr>
        <w:spacing w:line="360" w:lineRule="auto"/>
        <w:jc w:val="both"/>
        <w:rPr>
          <w:rFonts w:ascii="Times New Roman" w:hAnsi="Times New Roman" w:cs="Times New Roman"/>
          <w:color w:val="000000" w:themeColor="text1"/>
          <w:sz w:val="26"/>
          <w:szCs w:val="26"/>
        </w:rPr>
      </w:pPr>
      <w:r w:rsidRPr="002E3EE6">
        <w:rPr>
          <w:rFonts w:ascii="Times New Roman" w:hAnsi="Times New Roman" w:cs="Times New Roman"/>
          <w:color w:val="000000" w:themeColor="text1"/>
          <w:kern w:val="0"/>
          <w:sz w:val="26"/>
          <w:szCs w:val="26"/>
          <w14:ligatures w14:val="none"/>
        </w:rPr>
        <w:t>[21]</w:t>
      </w:r>
      <w:r w:rsidRPr="002E3EE6">
        <w:rPr>
          <w:rFonts w:ascii="Times New Roman" w:hAnsi="Times New Roman" w:cs="Times New Roman"/>
          <w:color w:val="000000" w:themeColor="text1"/>
          <w:kern w:val="0"/>
          <w:sz w:val="26"/>
          <w:szCs w:val="26"/>
          <w14:ligatures w14:val="none"/>
        </w:rPr>
        <w:tab/>
      </w:r>
      <w:r w:rsidR="002E3EE6" w:rsidRPr="00114A72">
        <w:rPr>
          <w:rFonts w:ascii="Times New Roman" w:hAnsi="Times New Roman" w:cs="Times New Roman"/>
          <w:color w:val="000000" w:themeColor="text1"/>
          <w:sz w:val="26"/>
          <w:szCs w:val="26"/>
          <w:shd w:val="clear" w:color="auto" w:fill="FFFFFF"/>
        </w:rPr>
        <w:t>At the same time, it</w:t>
      </w:r>
      <w:r w:rsidR="00916078" w:rsidRPr="00114A72">
        <w:rPr>
          <w:rFonts w:ascii="Times New Roman" w:hAnsi="Times New Roman" w:cs="Times New Roman"/>
          <w:color w:val="000000" w:themeColor="text1"/>
          <w:sz w:val="26"/>
          <w:szCs w:val="26"/>
          <w:shd w:val="clear" w:color="auto" w:fill="FFFFFF"/>
        </w:rPr>
        <w:t xml:space="preserve"> is also clear from the case law that where eviction takes place at the instance of an organ of state in circumstances to which PIE is applicable the court can only order eviction if it is satisfied that it is just and equitable to do so after having regard to all relevant factors including those set out in s 6(3) of PIE</w:t>
      </w:r>
      <w:r w:rsidR="00916078" w:rsidRPr="002E3EE6">
        <w:rPr>
          <w:rStyle w:val="FootnoteReference"/>
          <w:rFonts w:ascii="Times New Roman" w:hAnsi="Times New Roman" w:cs="Times New Roman"/>
          <w:color w:val="000000" w:themeColor="text1"/>
          <w:sz w:val="26"/>
          <w:szCs w:val="26"/>
          <w:shd w:val="clear" w:color="auto" w:fill="FFFFFF"/>
        </w:rPr>
        <w:footnoteReference w:id="6"/>
      </w:r>
      <w:r w:rsidR="00916078" w:rsidRPr="00114A72">
        <w:rPr>
          <w:rFonts w:ascii="Times New Roman" w:hAnsi="Times New Roman" w:cs="Times New Roman"/>
          <w:color w:val="000000" w:themeColor="text1"/>
          <w:sz w:val="26"/>
          <w:szCs w:val="26"/>
          <w:shd w:val="clear" w:color="auto" w:fill="FFFFFF"/>
        </w:rPr>
        <w:t>, which provides as follows:</w:t>
      </w:r>
    </w:p>
    <w:p w14:paraId="1D64D2C3" w14:textId="624DDA0D" w:rsidR="00916078" w:rsidRDefault="00916078" w:rsidP="002E3EE6">
      <w:pPr>
        <w:pStyle w:val="NormalWeb"/>
        <w:shd w:val="clear" w:color="auto" w:fill="FFFFFF"/>
        <w:ind w:left="1134" w:hanging="414"/>
        <w:jc w:val="both"/>
        <w:rPr>
          <w:sz w:val="22"/>
          <w:szCs w:val="22"/>
        </w:rPr>
      </w:pPr>
      <w:r>
        <w:rPr>
          <w:sz w:val="22"/>
          <w:szCs w:val="22"/>
        </w:rPr>
        <w:t>“</w:t>
      </w:r>
      <w:r w:rsidRPr="00512CF2">
        <w:rPr>
          <w:sz w:val="22"/>
          <w:szCs w:val="22"/>
        </w:rPr>
        <w:t xml:space="preserve">(3) </w:t>
      </w:r>
      <w:r w:rsidR="002E3EE6">
        <w:rPr>
          <w:sz w:val="22"/>
          <w:szCs w:val="22"/>
        </w:rPr>
        <w:tab/>
      </w:r>
      <w:r w:rsidRPr="00512CF2">
        <w:rPr>
          <w:sz w:val="22"/>
          <w:szCs w:val="22"/>
        </w:rPr>
        <w:t>In deciding whether it is just and equitable to grant an order for eviction, the court must have regard to</w:t>
      </w:r>
      <w:r w:rsidRPr="00512CF2">
        <w:rPr>
          <w:sz w:val="22"/>
          <w:szCs w:val="22"/>
        </w:rPr>
        <w:softHyphen/>
      </w:r>
      <w:r>
        <w:rPr>
          <w:sz w:val="22"/>
          <w:szCs w:val="22"/>
        </w:rPr>
        <w:t xml:space="preserve"> – </w:t>
      </w:r>
    </w:p>
    <w:p w14:paraId="2AD5C5F4" w14:textId="192D5E96" w:rsidR="00916078" w:rsidRPr="00512CF2" w:rsidRDefault="00916078" w:rsidP="002E3EE6">
      <w:pPr>
        <w:pStyle w:val="NormalWeb"/>
        <w:shd w:val="clear" w:color="auto" w:fill="FFFFFF"/>
        <w:ind w:left="1560" w:hanging="426"/>
        <w:jc w:val="both"/>
        <w:rPr>
          <w:sz w:val="22"/>
          <w:szCs w:val="22"/>
        </w:rPr>
      </w:pPr>
      <w:r w:rsidRPr="00512CF2">
        <w:rPr>
          <w:i/>
          <w:iCs/>
          <w:sz w:val="22"/>
          <w:szCs w:val="22"/>
        </w:rPr>
        <w:t>(a)  </w:t>
      </w:r>
      <w:r w:rsidRPr="00512CF2">
        <w:rPr>
          <w:sz w:val="22"/>
          <w:szCs w:val="22"/>
        </w:rPr>
        <w:t xml:space="preserve">the circumstances under which the unlawful occupier occupied the land and erected the building or structure; </w:t>
      </w:r>
    </w:p>
    <w:p w14:paraId="6617F15D" w14:textId="7C8D3FD1" w:rsidR="00916078" w:rsidRPr="00512CF2" w:rsidRDefault="00916078" w:rsidP="002E3EE6">
      <w:pPr>
        <w:pStyle w:val="NormalWeb"/>
        <w:shd w:val="clear" w:color="auto" w:fill="FFFFFF"/>
        <w:ind w:left="1560" w:hanging="426"/>
        <w:jc w:val="both"/>
        <w:rPr>
          <w:sz w:val="22"/>
          <w:szCs w:val="22"/>
        </w:rPr>
      </w:pPr>
      <w:r w:rsidRPr="00512CF2">
        <w:rPr>
          <w:i/>
          <w:iCs/>
          <w:sz w:val="22"/>
          <w:szCs w:val="22"/>
        </w:rPr>
        <w:lastRenderedPageBreak/>
        <w:t xml:space="preserve">(b) </w:t>
      </w:r>
      <w:r w:rsidR="002E3EE6">
        <w:rPr>
          <w:i/>
          <w:iCs/>
          <w:sz w:val="22"/>
          <w:szCs w:val="22"/>
        </w:rPr>
        <w:tab/>
      </w:r>
      <w:r w:rsidRPr="00512CF2">
        <w:rPr>
          <w:sz w:val="22"/>
          <w:szCs w:val="22"/>
        </w:rPr>
        <w:t xml:space="preserve">the period the unlawful occupier and his or her family have resided on the land in question; and </w:t>
      </w:r>
    </w:p>
    <w:p w14:paraId="3F9360D1" w14:textId="51D62E89" w:rsidR="00916078" w:rsidRPr="00512CF2" w:rsidRDefault="00916078" w:rsidP="002E3EE6">
      <w:pPr>
        <w:pStyle w:val="NormalWeb"/>
        <w:shd w:val="clear" w:color="auto" w:fill="FFFFFF"/>
        <w:ind w:left="1560" w:hanging="426"/>
        <w:jc w:val="both"/>
        <w:rPr>
          <w:sz w:val="22"/>
          <w:szCs w:val="22"/>
        </w:rPr>
      </w:pPr>
      <w:r w:rsidRPr="00512CF2">
        <w:rPr>
          <w:i/>
          <w:iCs/>
          <w:sz w:val="22"/>
          <w:szCs w:val="22"/>
        </w:rPr>
        <w:t xml:space="preserve">(c) </w:t>
      </w:r>
      <w:r w:rsidR="002E3EE6">
        <w:rPr>
          <w:i/>
          <w:iCs/>
          <w:sz w:val="22"/>
          <w:szCs w:val="22"/>
        </w:rPr>
        <w:tab/>
      </w:r>
      <w:r w:rsidRPr="00512CF2">
        <w:rPr>
          <w:i/>
          <w:iCs/>
          <w:sz w:val="22"/>
          <w:szCs w:val="22"/>
        </w:rPr>
        <w:t> </w:t>
      </w:r>
      <w:r w:rsidRPr="00512CF2">
        <w:rPr>
          <w:sz w:val="22"/>
          <w:szCs w:val="22"/>
        </w:rPr>
        <w:t>the availability to the unlawful occupier of suitable alternative accommodation or land.</w:t>
      </w:r>
      <w:r>
        <w:rPr>
          <w:sz w:val="22"/>
          <w:szCs w:val="22"/>
        </w:rPr>
        <w:t>”</w:t>
      </w:r>
      <w:r w:rsidRPr="00512CF2">
        <w:rPr>
          <w:sz w:val="22"/>
          <w:szCs w:val="22"/>
        </w:rPr>
        <w:t xml:space="preserve"> </w:t>
      </w:r>
    </w:p>
    <w:p w14:paraId="66375F53" w14:textId="77777777" w:rsidR="00916078" w:rsidRPr="00916078" w:rsidRDefault="00916078" w:rsidP="00916078">
      <w:pPr>
        <w:pStyle w:val="ListParagraph"/>
        <w:spacing w:after="0" w:line="360" w:lineRule="auto"/>
        <w:ind w:left="0"/>
        <w:jc w:val="both"/>
        <w:rPr>
          <w:rFonts w:ascii="Times New Roman" w:hAnsi="Times New Roman" w:cs="Times New Roman"/>
          <w:color w:val="242121"/>
          <w:sz w:val="26"/>
          <w:szCs w:val="26"/>
        </w:rPr>
      </w:pPr>
    </w:p>
    <w:p w14:paraId="6523DE7E" w14:textId="4C70348E" w:rsidR="00916078" w:rsidRPr="00114A72" w:rsidRDefault="00114A72" w:rsidP="00114A72">
      <w:pPr>
        <w:spacing w:line="360" w:lineRule="auto"/>
        <w:jc w:val="both"/>
        <w:rPr>
          <w:rFonts w:ascii="Times New Roman" w:hAnsi="Times New Roman" w:cs="Times New Roman"/>
          <w:color w:val="242121"/>
          <w:sz w:val="26"/>
          <w:szCs w:val="26"/>
        </w:rPr>
      </w:pPr>
      <w:r w:rsidRPr="002E3EE6">
        <w:rPr>
          <w:rFonts w:ascii="Times New Roman" w:hAnsi="Times New Roman" w:cs="Times New Roman"/>
          <w:color w:val="242121"/>
          <w:kern w:val="0"/>
          <w:sz w:val="26"/>
          <w:szCs w:val="26"/>
          <w14:ligatures w14:val="none"/>
        </w:rPr>
        <w:t>[22]</w:t>
      </w:r>
      <w:r w:rsidRPr="002E3EE6">
        <w:rPr>
          <w:rFonts w:ascii="Times New Roman" w:hAnsi="Times New Roman" w:cs="Times New Roman"/>
          <w:color w:val="242121"/>
          <w:kern w:val="0"/>
          <w:sz w:val="26"/>
          <w:szCs w:val="26"/>
          <w14:ligatures w14:val="none"/>
        </w:rPr>
        <w:tab/>
      </w:r>
      <w:r w:rsidR="002E3EE6" w:rsidRPr="00114A72">
        <w:rPr>
          <w:rFonts w:ascii="Times New Roman" w:hAnsi="Times New Roman" w:cs="Times New Roman"/>
          <w:color w:val="242121"/>
          <w:sz w:val="26"/>
          <w:szCs w:val="26"/>
        </w:rPr>
        <w:t>As regards the dual use of property, i</w:t>
      </w:r>
      <w:r w:rsidR="00916078" w:rsidRPr="00114A72">
        <w:rPr>
          <w:rFonts w:ascii="Times New Roman" w:hAnsi="Times New Roman" w:cs="Times New Roman"/>
          <w:color w:val="242121"/>
          <w:sz w:val="26"/>
          <w:szCs w:val="26"/>
        </w:rPr>
        <w:t>t is without question that section 26(3) of the Constitution of the Republic of South Africa</w:t>
      </w:r>
      <w:r w:rsidR="00916078">
        <w:rPr>
          <w:rStyle w:val="FootnoteReference"/>
          <w:rFonts w:ascii="Times New Roman" w:hAnsi="Times New Roman" w:cs="Times New Roman"/>
          <w:color w:val="242121"/>
          <w:sz w:val="26"/>
          <w:szCs w:val="26"/>
        </w:rPr>
        <w:footnoteReference w:id="7"/>
      </w:r>
      <w:r w:rsidR="00916078" w:rsidRPr="00114A72">
        <w:rPr>
          <w:rFonts w:ascii="Times New Roman" w:hAnsi="Times New Roman" w:cs="Times New Roman"/>
          <w:color w:val="242121"/>
          <w:sz w:val="26"/>
          <w:szCs w:val="26"/>
        </w:rPr>
        <w:t xml:space="preserve"> regulates the eviction of unlawful occupiers, from both residential and commercial premises.</w:t>
      </w:r>
      <w:r w:rsidR="00916078">
        <w:rPr>
          <w:rStyle w:val="FootnoteReference"/>
          <w:rFonts w:ascii="Times New Roman" w:hAnsi="Times New Roman" w:cs="Times New Roman"/>
          <w:color w:val="242121"/>
          <w:sz w:val="26"/>
          <w:szCs w:val="26"/>
        </w:rPr>
        <w:footnoteReference w:id="8"/>
      </w:r>
      <w:r w:rsidR="00916078" w:rsidRPr="00114A72">
        <w:rPr>
          <w:rFonts w:ascii="Times New Roman" w:hAnsi="Times New Roman" w:cs="Times New Roman"/>
          <w:color w:val="242121"/>
          <w:sz w:val="26"/>
          <w:szCs w:val="26"/>
        </w:rPr>
        <w:t xml:space="preserve"> </w:t>
      </w:r>
      <w:r w:rsidR="002E3EE6" w:rsidRPr="00114A72">
        <w:rPr>
          <w:rFonts w:ascii="Times New Roman" w:hAnsi="Times New Roman" w:cs="Times New Roman"/>
          <w:color w:val="242121"/>
          <w:sz w:val="26"/>
          <w:szCs w:val="26"/>
        </w:rPr>
        <w:t xml:space="preserve">Furthermore, the Constitutional Court has held that, even though </w:t>
      </w:r>
      <w:r w:rsidR="002E3EE6" w:rsidRPr="00114A72">
        <w:rPr>
          <w:rFonts w:ascii="Times New Roman" w:hAnsi="Times New Roman" w:cs="Times New Roman"/>
          <w:color w:val="242121"/>
          <w:sz w:val="26"/>
          <w:szCs w:val="26"/>
          <w:shd w:val="clear" w:color="auto" w:fill="FFFFFF"/>
        </w:rPr>
        <w:t>the eviction of commercial occupants does not fall within PIE’s remit, the Act nevertheless regulates the eviction of unlawful occupiers who reside on commercial premises.</w:t>
      </w:r>
      <w:r w:rsidR="002E3EE6">
        <w:rPr>
          <w:rStyle w:val="FootnoteReference"/>
          <w:rFonts w:ascii="Times New Roman" w:hAnsi="Times New Roman" w:cs="Times New Roman"/>
          <w:color w:val="242121"/>
          <w:sz w:val="26"/>
          <w:szCs w:val="26"/>
          <w:shd w:val="clear" w:color="auto" w:fill="FFFFFF"/>
        </w:rPr>
        <w:footnoteReference w:id="9"/>
      </w:r>
    </w:p>
    <w:p w14:paraId="141E9455" w14:textId="77777777" w:rsidR="002E3EE6" w:rsidRPr="002E3EE6" w:rsidRDefault="002E3EE6" w:rsidP="002E3EE6">
      <w:pPr>
        <w:pStyle w:val="ListParagraph"/>
        <w:spacing w:after="0" w:line="360" w:lineRule="auto"/>
        <w:ind w:left="0"/>
        <w:jc w:val="both"/>
        <w:rPr>
          <w:rFonts w:ascii="Times New Roman" w:hAnsi="Times New Roman" w:cs="Times New Roman"/>
          <w:color w:val="242121"/>
          <w:sz w:val="26"/>
          <w:szCs w:val="26"/>
        </w:rPr>
      </w:pPr>
    </w:p>
    <w:p w14:paraId="7896C45A" w14:textId="5815A9FF" w:rsidR="00916078" w:rsidRPr="00114A72" w:rsidRDefault="00114A72" w:rsidP="00114A72">
      <w:pPr>
        <w:spacing w:line="360" w:lineRule="auto"/>
        <w:jc w:val="both"/>
        <w:rPr>
          <w:rFonts w:ascii="Times New Roman" w:hAnsi="Times New Roman" w:cs="Times New Roman"/>
          <w:color w:val="242121"/>
          <w:sz w:val="26"/>
          <w:szCs w:val="26"/>
        </w:rPr>
      </w:pPr>
      <w:r w:rsidRPr="00916078">
        <w:rPr>
          <w:rFonts w:ascii="Times New Roman" w:hAnsi="Times New Roman" w:cs="Times New Roman"/>
          <w:color w:val="242121"/>
          <w:kern w:val="0"/>
          <w:sz w:val="26"/>
          <w:szCs w:val="26"/>
          <w14:ligatures w14:val="none"/>
        </w:rPr>
        <w:t>[23]</w:t>
      </w:r>
      <w:r w:rsidRPr="00916078">
        <w:rPr>
          <w:rFonts w:ascii="Times New Roman" w:hAnsi="Times New Roman" w:cs="Times New Roman"/>
          <w:color w:val="242121"/>
          <w:kern w:val="0"/>
          <w:sz w:val="26"/>
          <w:szCs w:val="26"/>
          <w14:ligatures w14:val="none"/>
        </w:rPr>
        <w:tab/>
      </w:r>
      <w:r w:rsidR="00916078" w:rsidRPr="00114A72">
        <w:rPr>
          <w:rFonts w:ascii="Times New Roman" w:hAnsi="Times New Roman" w:cs="Times New Roman"/>
          <w:color w:val="242121"/>
          <w:sz w:val="26"/>
          <w:szCs w:val="26"/>
        </w:rPr>
        <w:t>Similar to this case, the matter of</w:t>
      </w:r>
      <w:r w:rsidR="00916078" w:rsidRPr="00114A72">
        <w:rPr>
          <w:rFonts w:ascii="Arial" w:hAnsi="Arial" w:cs="Arial"/>
          <w:color w:val="64473A"/>
        </w:rPr>
        <w:t xml:space="preserve"> </w:t>
      </w:r>
      <w:r w:rsidR="00916078" w:rsidRPr="00114A72">
        <w:rPr>
          <w:rFonts w:ascii="Times New Roman" w:hAnsi="Times New Roman" w:cs="Times New Roman"/>
          <w:i/>
          <w:iCs/>
          <w:color w:val="000000" w:themeColor="text1"/>
          <w:sz w:val="26"/>
          <w:szCs w:val="26"/>
        </w:rPr>
        <w:t>MC Denneboom Service Station CC and Another v Phayane</w:t>
      </w:r>
      <w:r w:rsidR="00916078">
        <w:rPr>
          <w:rStyle w:val="FootnoteReference"/>
          <w:rFonts w:ascii="Times New Roman" w:hAnsi="Times New Roman" w:cs="Times New Roman"/>
          <w:i/>
          <w:iCs/>
          <w:color w:val="000000" w:themeColor="text1"/>
          <w:sz w:val="26"/>
          <w:szCs w:val="26"/>
        </w:rPr>
        <w:footnoteReference w:id="10"/>
      </w:r>
      <w:r w:rsidR="00916078" w:rsidRPr="00114A72">
        <w:rPr>
          <w:rFonts w:ascii="Times New Roman" w:hAnsi="Times New Roman" w:cs="Times New Roman"/>
          <w:color w:val="000000" w:themeColor="text1"/>
          <w:sz w:val="26"/>
          <w:szCs w:val="26"/>
        </w:rPr>
        <w:t xml:space="preserve"> </w:t>
      </w:r>
      <w:r w:rsidR="00916078" w:rsidRPr="00114A72">
        <w:rPr>
          <w:rFonts w:ascii="Times New Roman" w:hAnsi="Times New Roman" w:cs="Times New Roman"/>
          <w:color w:val="242121"/>
          <w:sz w:val="26"/>
          <w:szCs w:val="26"/>
        </w:rPr>
        <w:t xml:space="preserve">concerned an eviction from premises which were used for both commercial purposes – as a service station and convenience store – and for residential purposes. The commercial occupation of the premises was in the name of the juristic person, </w:t>
      </w:r>
      <w:r w:rsidR="00916078" w:rsidRPr="00114A72">
        <w:rPr>
          <w:rFonts w:ascii="Times New Roman" w:hAnsi="Times New Roman" w:cs="Times New Roman"/>
          <w:color w:val="242121"/>
          <w:sz w:val="26"/>
          <w:szCs w:val="26"/>
          <w:shd w:val="clear" w:color="auto" w:fill="FFFFFF"/>
        </w:rPr>
        <w:t>MC Denneboom Service Station CC (Denneboom)</w:t>
      </w:r>
      <w:r w:rsidR="00916078" w:rsidRPr="00114A72">
        <w:rPr>
          <w:rFonts w:ascii="Times New Roman" w:hAnsi="Times New Roman" w:cs="Times New Roman"/>
          <w:color w:val="242121"/>
          <w:sz w:val="26"/>
          <w:szCs w:val="26"/>
        </w:rPr>
        <w:t xml:space="preserve">, while its owner also lived on the premises together with other persons. The Constitutional Court agreed with the High Court that the commercial aspect of the eviction was warranted – that the respondent was the registered owner and that the applicants were in unlawful occupation thereof. However, the </w:t>
      </w:r>
      <w:r w:rsidR="00916078" w:rsidRPr="00114A72">
        <w:rPr>
          <w:rFonts w:ascii="Times New Roman" w:hAnsi="Times New Roman" w:cs="Times New Roman"/>
          <w:color w:val="242121"/>
          <w:sz w:val="26"/>
          <w:szCs w:val="26"/>
          <w:lang w:val="en-US"/>
        </w:rPr>
        <w:t xml:space="preserve">Constitutional Court was not satisfied that the requirements of PIE were met or even examined by the High Court. It appears, in any event, that by the time the High Court judgment was issued the intention was that the </w:t>
      </w:r>
      <w:r w:rsidR="00916078" w:rsidRPr="00114A72">
        <w:rPr>
          <w:rFonts w:ascii="Times New Roman" w:hAnsi="Times New Roman" w:cs="Times New Roman"/>
          <w:color w:val="242121"/>
          <w:sz w:val="26"/>
          <w:szCs w:val="26"/>
          <w:lang w:val="en-US"/>
        </w:rPr>
        <w:lastRenderedPageBreak/>
        <w:t xml:space="preserve">residential aspect of the eviction should be excluded from the order, but that the order had failed to make that distinction clear. As a result, the order granting </w:t>
      </w:r>
      <w:r w:rsidR="002E3EE6" w:rsidRPr="00114A72">
        <w:rPr>
          <w:rFonts w:ascii="Times New Roman" w:hAnsi="Times New Roman" w:cs="Times New Roman"/>
          <w:color w:val="242121"/>
          <w:sz w:val="26"/>
          <w:szCs w:val="26"/>
          <w:lang w:val="en-US"/>
        </w:rPr>
        <w:t xml:space="preserve">the </w:t>
      </w:r>
      <w:r w:rsidR="00916078" w:rsidRPr="00114A72">
        <w:rPr>
          <w:rFonts w:ascii="Times New Roman" w:hAnsi="Times New Roman" w:cs="Times New Roman"/>
          <w:color w:val="242121"/>
          <w:sz w:val="26"/>
          <w:szCs w:val="26"/>
          <w:lang w:val="en-US"/>
        </w:rPr>
        <w:t xml:space="preserve">commercial eviction was upheld by the Constitutional Court, and the order was amended to exclude the residential aspect of the eviction. </w:t>
      </w:r>
    </w:p>
    <w:p w14:paraId="29A21796" w14:textId="77777777" w:rsidR="00916078" w:rsidRPr="00916078" w:rsidRDefault="00916078" w:rsidP="00916078">
      <w:pPr>
        <w:pStyle w:val="ListParagraph"/>
        <w:spacing w:after="0" w:line="360" w:lineRule="auto"/>
        <w:ind w:left="0"/>
        <w:jc w:val="both"/>
        <w:rPr>
          <w:rFonts w:ascii="Times New Roman" w:hAnsi="Times New Roman" w:cs="Times New Roman"/>
          <w:color w:val="242121"/>
          <w:sz w:val="26"/>
          <w:szCs w:val="26"/>
        </w:rPr>
      </w:pPr>
    </w:p>
    <w:p w14:paraId="744D25E6" w14:textId="04D4E62E" w:rsidR="00916078" w:rsidRPr="00114A72" w:rsidRDefault="00114A72" w:rsidP="00114A72">
      <w:pPr>
        <w:spacing w:line="360" w:lineRule="auto"/>
        <w:jc w:val="both"/>
        <w:rPr>
          <w:rFonts w:ascii="Times New Roman" w:hAnsi="Times New Roman" w:cs="Times New Roman"/>
          <w:color w:val="242121"/>
          <w:sz w:val="26"/>
          <w:szCs w:val="26"/>
        </w:rPr>
      </w:pPr>
      <w:r>
        <w:rPr>
          <w:rFonts w:ascii="Times New Roman" w:hAnsi="Times New Roman" w:cs="Times New Roman"/>
          <w:color w:val="242121"/>
          <w:kern w:val="0"/>
          <w:sz w:val="26"/>
          <w:szCs w:val="26"/>
          <w14:ligatures w14:val="none"/>
        </w:rPr>
        <w:t>[24]</w:t>
      </w:r>
      <w:r>
        <w:rPr>
          <w:rFonts w:ascii="Times New Roman" w:hAnsi="Times New Roman" w:cs="Times New Roman"/>
          <w:color w:val="242121"/>
          <w:kern w:val="0"/>
          <w:sz w:val="26"/>
          <w:szCs w:val="26"/>
          <w14:ligatures w14:val="none"/>
        </w:rPr>
        <w:tab/>
      </w:r>
      <w:r w:rsidR="00916078" w:rsidRPr="00114A72">
        <w:rPr>
          <w:rFonts w:ascii="Times New Roman" w:hAnsi="Times New Roman" w:cs="Times New Roman"/>
          <w:color w:val="242121"/>
          <w:sz w:val="26"/>
          <w:szCs w:val="26"/>
        </w:rPr>
        <w:t xml:space="preserve">Thus, where an eviction involves both commercial and residential premises, a court is required to </w:t>
      </w:r>
      <w:r w:rsidR="00916078" w:rsidRPr="00114A72">
        <w:rPr>
          <w:rFonts w:ascii="Times New Roman" w:hAnsi="Times New Roman" w:cs="Times New Roman"/>
          <w:color w:val="242121"/>
          <w:sz w:val="26"/>
          <w:szCs w:val="26"/>
          <w:shd w:val="clear" w:color="auto" w:fill="FFFFFF"/>
        </w:rPr>
        <w:t>ensure that PIE’s requirements have been met before ordering the residential aspect of the eviction, including by examining firstly whether the respondent is an “unlawful occupier” as defined in the PIE.</w:t>
      </w:r>
      <w:r w:rsidR="00916078" w:rsidRPr="00114A72">
        <w:rPr>
          <w:rFonts w:ascii="Times New Roman" w:hAnsi="Times New Roman" w:cs="Times New Roman"/>
          <w:color w:val="242121"/>
          <w:sz w:val="26"/>
          <w:szCs w:val="26"/>
        </w:rPr>
        <w:t xml:space="preserve"> </w:t>
      </w:r>
    </w:p>
    <w:p w14:paraId="4EB3EE9A" w14:textId="77777777" w:rsidR="00916078" w:rsidRPr="00916078" w:rsidRDefault="00916078" w:rsidP="00916078">
      <w:pPr>
        <w:pStyle w:val="ListParagraph"/>
        <w:rPr>
          <w:rFonts w:ascii="Times New Roman" w:hAnsi="Times New Roman" w:cs="Times New Roman"/>
          <w:color w:val="242121"/>
          <w:sz w:val="26"/>
          <w:szCs w:val="26"/>
          <w:shd w:val="clear" w:color="auto" w:fill="FFFFFF"/>
        </w:rPr>
      </w:pPr>
    </w:p>
    <w:p w14:paraId="08FB62D6" w14:textId="78EC3B5F" w:rsidR="00916078" w:rsidRPr="00114A72" w:rsidRDefault="00114A72" w:rsidP="00114A72">
      <w:pPr>
        <w:spacing w:line="360" w:lineRule="auto"/>
        <w:jc w:val="both"/>
        <w:rPr>
          <w:rFonts w:ascii="Times New Roman" w:hAnsi="Times New Roman" w:cs="Times New Roman"/>
          <w:color w:val="242121"/>
          <w:sz w:val="26"/>
          <w:szCs w:val="26"/>
        </w:rPr>
      </w:pPr>
      <w:r w:rsidRPr="00916078">
        <w:rPr>
          <w:rFonts w:ascii="Times New Roman" w:hAnsi="Times New Roman" w:cs="Times New Roman"/>
          <w:color w:val="242121"/>
          <w:kern w:val="0"/>
          <w:sz w:val="26"/>
          <w:szCs w:val="26"/>
          <w14:ligatures w14:val="none"/>
        </w:rPr>
        <w:t>[25]</w:t>
      </w:r>
      <w:r w:rsidRPr="00916078">
        <w:rPr>
          <w:rFonts w:ascii="Times New Roman" w:hAnsi="Times New Roman" w:cs="Times New Roman"/>
          <w:color w:val="242121"/>
          <w:kern w:val="0"/>
          <w:sz w:val="26"/>
          <w:szCs w:val="26"/>
          <w14:ligatures w14:val="none"/>
        </w:rPr>
        <w:tab/>
      </w:r>
      <w:r w:rsidR="002E3EE6" w:rsidRPr="00114A72">
        <w:rPr>
          <w:rFonts w:ascii="Times New Roman" w:hAnsi="Times New Roman" w:cs="Times New Roman"/>
          <w:color w:val="242121"/>
          <w:sz w:val="26"/>
          <w:szCs w:val="26"/>
          <w:shd w:val="clear" w:color="auto" w:fill="FFFFFF"/>
        </w:rPr>
        <w:t>Further, although t</w:t>
      </w:r>
      <w:r w:rsidR="00916078" w:rsidRPr="00114A72">
        <w:rPr>
          <w:rFonts w:ascii="Times New Roman" w:hAnsi="Times New Roman" w:cs="Times New Roman"/>
          <w:color w:val="242121"/>
          <w:sz w:val="26"/>
          <w:szCs w:val="26"/>
          <w:shd w:val="clear" w:color="auto" w:fill="FFFFFF"/>
        </w:rPr>
        <w:t>he PIE Act does not apply to the eviction of commercial occupants</w:t>
      </w:r>
      <w:r w:rsidR="002E3EE6" w:rsidRPr="00114A72">
        <w:rPr>
          <w:rFonts w:ascii="Times New Roman" w:hAnsi="Times New Roman" w:cs="Times New Roman"/>
          <w:color w:val="242121"/>
          <w:sz w:val="26"/>
          <w:szCs w:val="26"/>
          <w:shd w:val="clear" w:color="auto" w:fill="FFFFFF"/>
        </w:rPr>
        <w:t xml:space="preserve">, </w:t>
      </w:r>
      <w:r w:rsidR="00916078" w:rsidRPr="00114A72">
        <w:rPr>
          <w:rFonts w:ascii="Times New Roman" w:hAnsi="Times New Roman" w:cs="Times New Roman"/>
          <w:color w:val="242121"/>
          <w:sz w:val="26"/>
          <w:szCs w:val="26"/>
          <w:shd w:val="clear" w:color="auto" w:fill="FFFFFF"/>
        </w:rPr>
        <w:t xml:space="preserve"> a court </w:t>
      </w:r>
      <w:r w:rsidR="00916078" w:rsidRPr="00114A72">
        <w:rPr>
          <w:rFonts w:ascii="Times New Roman" w:hAnsi="Times New Roman" w:cs="Times New Roman"/>
          <w:color w:val="000000"/>
          <w:sz w:val="26"/>
          <w:szCs w:val="26"/>
          <w:shd w:val="clear" w:color="auto" w:fill="FFFFFF"/>
        </w:rPr>
        <w:t>is nevertheless empowered, in terms of section 172(1)(b) of the Constitution, to make an order that is just and equitable.</w:t>
      </w:r>
      <w:r w:rsidR="00916078">
        <w:rPr>
          <w:rStyle w:val="FootnoteReference"/>
          <w:rFonts w:ascii="Times New Roman" w:hAnsi="Times New Roman" w:cs="Times New Roman"/>
          <w:color w:val="000000"/>
          <w:sz w:val="26"/>
          <w:szCs w:val="26"/>
          <w:shd w:val="clear" w:color="auto" w:fill="FFFFFF"/>
        </w:rPr>
        <w:footnoteReference w:id="11"/>
      </w:r>
    </w:p>
    <w:p w14:paraId="2F0B5D62" w14:textId="77777777" w:rsidR="00916078" w:rsidRPr="00916078" w:rsidRDefault="00916078" w:rsidP="00916078">
      <w:pPr>
        <w:pStyle w:val="ListParagraph"/>
        <w:rPr>
          <w:rFonts w:ascii="Verdana" w:hAnsi="Verdana"/>
          <w:color w:val="000000"/>
          <w:shd w:val="clear" w:color="auto" w:fill="FFFFFF"/>
        </w:rPr>
      </w:pPr>
    </w:p>
    <w:p w14:paraId="5221B360" w14:textId="458C40FA" w:rsidR="00916078" w:rsidRPr="00114A72" w:rsidRDefault="00114A72" w:rsidP="00114A72">
      <w:pPr>
        <w:spacing w:line="360" w:lineRule="auto"/>
        <w:jc w:val="both"/>
        <w:rPr>
          <w:rFonts w:ascii="Times New Roman" w:hAnsi="Times New Roman" w:cs="Times New Roman"/>
          <w:color w:val="242121"/>
          <w:sz w:val="26"/>
          <w:szCs w:val="26"/>
        </w:rPr>
      </w:pPr>
      <w:r w:rsidRPr="00916078">
        <w:rPr>
          <w:rFonts w:ascii="Times New Roman" w:hAnsi="Times New Roman" w:cs="Times New Roman"/>
          <w:color w:val="242121"/>
          <w:kern w:val="0"/>
          <w:sz w:val="26"/>
          <w:szCs w:val="26"/>
          <w14:ligatures w14:val="none"/>
        </w:rPr>
        <w:t>[26]</w:t>
      </w:r>
      <w:r w:rsidRPr="00916078">
        <w:rPr>
          <w:rFonts w:ascii="Times New Roman" w:hAnsi="Times New Roman" w:cs="Times New Roman"/>
          <w:color w:val="242121"/>
          <w:kern w:val="0"/>
          <w:sz w:val="26"/>
          <w:szCs w:val="26"/>
          <w14:ligatures w14:val="none"/>
        </w:rPr>
        <w:tab/>
      </w:r>
      <w:r w:rsidR="00916078" w:rsidRPr="00114A72">
        <w:rPr>
          <w:rFonts w:ascii="Times New Roman" w:hAnsi="Times New Roman" w:cs="Times New Roman"/>
          <w:color w:val="000000"/>
          <w:sz w:val="26"/>
          <w:szCs w:val="26"/>
          <w:shd w:val="clear" w:color="auto" w:fill="FFFFFF"/>
        </w:rPr>
        <w:t xml:space="preserve">  What is required in order to succeed with an application for commercial eviction is that there was a valid termination of the respondent’s right to occupy the premises and that there has been continued occupation of the property by the respondent, or someone holding on behalf of or through the respondent.</w:t>
      </w:r>
    </w:p>
    <w:p w14:paraId="2E21AE6C" w14:textId="77777777" w:rsidR="006768D2" w:rsidRDefault="006768D2" w:rsidP="00916078">
      <w:pPr>
        <w:rPr>
          <w:rFonts w:ascii="Times New Roman" w:hAnsi="Times New Roman" w:cs="Times New Roman"/>
          <w:color w:val="242121"/>
          <w:sz w:val="26"/>
          <w:szCs w:val="26"/>
        </w:rPr>
      </w:pPr>
    </w:p>
    <w:p w14:paraId="3FC6ACAC" w14:textId="77777777" w:rsidR="00916078" w:rsidRDefault="00916078" w:rsidP="00916078">
      <w:pPr>
        <w:pStyle w:val="ListParagraph"/>
        <w:spacing w:after="0" w:line="240" w:lineRule="auto"/>
        <w:ind w:left="567"/>
        <w:jc w:val="both"/>
        <w:rPr>
          <w:rFonts w:ascii="Times New Roman" w:hAnsi="Times New Roman" w:cs="Times New Roman"/>
          <w:b/>
          <w:bCs/>
          <w:color w:val="242121"/>
          <w:sz w:val="26"/>
          <w:szCs w:val="26"/>
          <w:u w:val="single"/>
        </w:rPr>
      </w:pPr>
    </w:p>
    <w:p w14:paraId="5D2D23B9" w14:textId="2FFE3AD0" w:rsidR="006768D2" w:rsidRPr="00114A72" w:rsidRDefault="00114A72" w:rsidP="00114A72">
      <w:pPr>
        <w:ind w:left="567" w:hanging="567"/>
        <w:jc w:val="both"/>
        <w:rPr>
          <w:rFonts w:ascii="Times New Roman" w:hAnsi="Times New Roman" w:cs="Times New Roman"/>
          <w:b/>
          <w:bCs/>
          <w:color w:val="242121"/>
          <w:sz w:val="26"/>
          <w:szCs w:val="26"/>
          <w:u w:val="single"/>
        </w:rPr>
      </w:pPr>
      <w:r>
        <w:rPr>
          <w:rFonts w:ascii="Times New Roman" w:hAnsi="Times New Roman" w:cs="Times New Roman"/>
          <w:b/>
          <w:bCs/>
          <w:color w:val="242121"/>
          <w:kern w:val="0"/>
          <w:sz w:val="26"/>
          <w:szCs w:val="26"/>
          <w14:ligatures w14:val="none"/>
        </w:rPr>
        <w:t>F.</w:t>
      </w:r>
      <w:r>
        <w:rPr>
          <w:rFonts w:ascii="Times New Roman" w:hAnsi="Times New Roman" w:cs="Times New Roman"/>
          <w:b/>
          <w:bCs/>
          <w:color w:val="242121"/>
          <w:kern w:val="0"/>
          <w:sz w:val="26"/>
          <w:szCs w:val="26"/>
          <w14:ligatures w14:val="none"/>
        </w:rPr>
        <w:tab/>
      </w:r>
      <w:r w:rsidR="00916078" w:rsidRPr="00114A72">
        <w:rPr>
          <w:rFonts w:ascii="Times New Roman" w:hAnsi="Times New Roman" w:cs="Times New Roman"/>
          <w:b/>
          <w:bCs/>
          <w:color w:val="242121"/>
          <w:sz w:val="26"/>
          <w:szCs w:val="26"/>
          <w:u w:val="single"/>
        </w:rPr>
        <w:t>DISCUSSION</w:t>
      </w:r>
    </w:p>
    <w:p w14:paraId="35999CCF" w14:textId="77777777" w:rsidR="0042515E" w:rsidRPr="00CC2A74" w:rsidRDefault="0042515E" w:rsidP="00B96FC7">
      <w:pPr>
        <w:pStyle w:val="ListParagraph"/>
        <w:spacing w:after="0" w:line="360" w:lineRule="auto"/>
        <w:ind w:left="0"/>
        <w:jc w:val="both"/>
        <w:rPr>
          <w:rFonts w:ascii="Times New Roman" w:hAnsi="Times New Roman" w:cs="Times New Roman"/>
          <w:color w:val="242121"/>
          <w:sz w:val="26"/>
          <w:szCs w:val="26"/>
          <w:highlight w:val="yellow"/>
        </w:rPr>
      </w:pPr>
    </w:p>
    <w:p w14:paraId="6AAB598C" w14:textId="190BFCC2" w:rsidR="00280580" w:rsidRPr="00114A72" w:rsidRDefault="00114A72" w:rsidP="00114A72">
      <w:pPr>
        <w:spacing w:line="360" w:lineRule="auto"/>
        <w:jc w:val="both"/>
        <w:rPr>
          <w:rFonts w:ascii="Times New Roman" w:hAnsi="Times New Roman" w:cs="Times New Roman"/>
          <w:color w:val="242121"/>
          <w:sz w:val="26"/>
          <w:szCs w:val="26"/>
        </w:rPr>
      </w:pPr>
      <w:r w:rsidRPr="00280580">
        <w:rPr>
          <w:rFonts w:ascii="Times New Roman" w:hAnsi="Times New Roman" w:cs="Times New Roman"/>
          <w:color w:val="242121"/>
          <w:kern w:val="0"/>
          <w:sz w:val="26"/>
          <w:szCs w:val="26"/>
          <w14:ligatures w14:val="none"/>
        </w:rPr>
        <w:t>[27]</w:t>
      </w:r>
      <w:r w:rsidRPr="00280580">
        <w:rPr>
          <w:rFonts w:ascii="Times New Roman" w:hAnsi="Times New Roman" w:cs="Times New Roman"/>
          <w:color w:val="242121"/>
          <w:kern w:val="0"/>
          <w:sz w:val="26"/>
          <w:szCs w:val="26"/>
          <w14:ligatures w14:val="none"/>
        </w:rPr>
        <w:tab/>
      </w:r>
      <w:r w:rsidR="00CC2A74" w:rsidRPr="00114A72">
        <w:rPr>
          <w:rFonts w:ascii="Times New Roman" w:hAnsi="Times New Roman" w:cs="Times New Roman"/>
          <w:color w:val="242121"/>
          <w:sz w:val="26"/>
          <w:szCs w:val="26"/>
          <w:lang w:val="en-US"/>
        </w:rPr>
        <w:t xml:space="preserve">The reasons for the Magistrate’s conclusion that the lease was not validly cancelled </w:t>
      </w:r>
      <w:r w:rsidR="00E322AF" w:rsidRPr="00114A72">
        <w:rPr>
          <w:rFonts w:ascii="Times New Roman" w:hAnsi="Times New Roman" w:cs="Times New Roman"/>
          <w:color w:val="242121"/>
          <w:sz w:val="26"/>
          <w:szCs w:val="26"/>
          <w:lang w:val="en-US"/>
        </w:rPr>
        <w:t>we</w:t>
      </w:r>
      <w:r w:rsidR="00CC2A74" w:rsidRPr="00114A72">
        <w:rPr>
          <w:rFonts w:ascii="Times New Roman" w:hAnsi="Times New Roman" w:cs="Times New Roman"/>
          <w:color w:val="242121"/>
          <w:sz w:val="26"/>
          <w:szCs w:val="26"/>
          <w:lang w:val="en-US"/>
        </w:rPr>
        <w:t xml:space="preserve">re </w:t>
      </w:r>
      <w:r w:rsidR="00E322AF" w:rsidRPr="00114A72">
        <w:rPr>
          <w:rFonts w:ascii="Times New Roman" w:hAnsi="Times New Roman" w:cs="Times New Roman"/>
          <w:color w:val="242121"/>
          <w:sz w:val="26"/>
          <w:szCs w:val="26"/>
          <w:lang w:val="en-US"/>
        </w:rPr>
        <w:t xml:space="preserve">quoted </w:t>
      </w:r>
      <w:r w:rsidR="0014198D" w:rsidRPr="00114A72">
        <w:rPr>
          <w:rFonts w:ascii="Times New Roman" w:hAnsi="Times New Roman" w:cs="Times New Roman"/>
          <w:color w:val="242121"/>
          <w:sz w:val="26"/>
          <w:szCs w:val="26"/>
          <w:lang w:val="en-US"/>
        </w:rPr>
        <w:t>earlier</w:t>
      </w:r>
      <w:r w:rsidR="00CC2A74" w:rsidRPr="00114A72">
        <w:rPr>
          <w:rFonts w:ascii="Times New Roman" w:hAnsi="Times New Roman" w:cs="Times New Roman"/>
          <w:color w:val="242121"/>
          <w:sz w:val="26"/>
          <w:szCs w:val="26"/>
          <w:lang w:val="en-US"/>
        </w:rPr>
        <w:t>. The first</w:t>
      </w:r>
      <w:r w:rsidR="00E322AF" w:rsidRPr="00114A72">
        <w:rPr>
          <w:rFonts w:ascii="Times New Roman" w:hAnsi="Times New Roman" w:cs="Times New Roman"/>
          <w:color w:val="242121"/>
          <w:sz w:val="26"/>
          <w:szCs w:val="26"/>
          <w:lang w:val="en-US"/>
        </w:rPr>
        <w:t>, to which I now turn,</w:t>
      </w:r>
      <w:r w:rsidR="00CC2A74" w:rsidRPr="00114A72">
        <w:rPr>
          <w:rFonts w:ascii="Times New Roman" w:hAnsi="Times New Roman" w:cs="Times New Roman"/>
          <w:color w:val="242121"/>
          <w:sz w:val="26"/>
          <w:szCs w:val="26"/>
          <w:lang w:val="en-US"/>
        </w:rPr>
        <w:t xml:space="preserve"> was </w:t>
      </w:r>
      <w:r w:rsidR="00E322AF" w:rsidRPr="00114A72">
        <w:rPr>
          <w:rFonts w:ascii="Times New Roman" w:hAnsi="Times New Roman" w:cs="Times New Roman"/>
          <w:color w:val="242121"/>
          <w:sz w:val="26"/>
          <w:szCs w:val="26"/>
          <w:lang w:val="en-US"/>
        </w:rPr>
        <w:t xml:space="preserve">expressed as </w:t>
      </w:r>
      <w:r w:rsidR="00CC2A74" w:rsidRPr="00114A72">
        <w:rPr>
          <w:rFonts w:ascii="Times New Roman" w:hAnsi="Times New Roman" w:cs="Times New Roman"/>
          <w:color w:val="242121"/>
          <w:sz w:val="26"/>
          <w:szCs w:val="26"/>
          <w:lang w:val="en-US"/>
        </w:rPr>
        <w:t xml:space="preserve">the </w:t>
      </w:r>
      <w:r w:rsidR="00CC2A74" w:rsidRPr="00114A72">
        <w:rPr>
          <w:rFonts w:ascii="Times New Roman" w:hAnsi="Times New Roman" w:cs="Times New Roman"/>
          <w:i/>
          <w:iCs/>
          <w:color w:val="242121"/>
          <w:sz w:val="26"/>
          <w:szCs w:val="26"/>
          <w:lang w:val="en-US"/>
        </w:rPr>
        <w:t>“reasons for cancellation in comparison with what is contained in the affidavit”</w:t>
      </w:r>
      <w:r w:rsidR="00CC2A74" w:rsidRPr="00114A72">
        <w:rPr>
          <w:rFonts w:ascii="Times New Roman" w:hAnsi="Times New Roman" w:cs="Times New Roman"/>
          <w:color w:val="242121"/>
          <w:sz w:val="26"/>
          <w:szCs w:val="26"/>
          <w:lang w:val="en-US"/>
        </w:rPr>
        <w:t xml:space="preserve">.  </w:t>
      </w:r>
    </w:p>
    <w:p w14:paraId="295A6DD3" w14:textId="77777777" w:rsidR="00280580" w:rsidRPr="00280580" w:rsidRDefault="00280580" w:rsidP="00280580">
      <w:pPr>
        <w:pStyle w:val="ListParagraph"/>
        <w:spacing w:after="0" w:line="360" w:lineRule="auto"/>
        <w:ind w:left="0"/>
        <w:jc w:val="both"/>
        <w:rPr>
          <w:rFonts w:ascii="Times New Roman" w:hAnsi="Times New Roman" w:cs="Times New Roman"/>
          <w:color w:val="242121"/>
          <w:sz w:val="26"/>
          <w:szCs w:val="26"/>
        </w:rPr>
      </w:pPr>
    </w:p>
    <w:p w14:paraId="2DE5FB1E" w14:textId="10E6CF9A" w:rsidR="00CC2A74" w:rsidRPr="00114A72" w:rsidRDefault="00114A72" w:rsidP="00114A72">
      <w:pPr>
        <w:spacing w:line="360" w:lineRule="auto"/>
        <w:jc w:val="both"/>
        <w:rPr>
          <w:rFonts w:ascii="Times New Roman" w:hAnsi="Times New Roman" w:cs="Times New Roman"/>
          <w:color w:val="242121"/>
          <w:sz w:val="26"/>
          <w:szCs w:val="26"/>
        </w:rPr>
      </w:pPr>
      <w:r w:rsidRPr="00280580">
        <w:rPr>
          <w:rFonts w:ascii="Times New Roman" w:hAnsi="Times New Roman" w:cs="Times New Roman"/>
          <w:color w:val="242121"/>
          <w:kern w:val="0"/>
          <w:sz w:val="26"/>
          <w:szCs w:val="26"/>
          <w14:ligatures w14:val="none"/>
        </w:rPr>
        <w:t>[28]</w:t>
      </w:r>
      <w:r w:rsidRPr="00280580">
        <w:rPr>
          <w:rFonts w:ascii="Times New Roman" w:hAnsi="Times New Roman" w:cs="Times New Roman"/>
          <w:color w:val="242121"/>
          <w:kern w:val="0"/>
          <w:sz w:val="26"/>
          <w:szCs w:val="26"/>
          <w14:ligatures w14:val="none"/>
        </w:rPr>
        <w:tab/>
      </w:r>
      <w:r w:rsidR="00CC2A74" w:rsidRPr="00114A72">
        <w:rPr>
          <w:rFonts w:ascii="Times New Roman" w:hAnsi="Times New Roman" w:cs="Times New Roman"/>
          <w:color w:val="242121"/>
          <w:sz w:val="26"/>
          <w:szCs w:val="26"/>
          <w:lang w:val="en-US"/>
        </w:rPr>
        <w:t xml:space="preserve">The reason for cancellation given in the City’s cancellation notice of 6 February 2020 was </w:t>
      </w:r>
      <w:r w:rsidR="00CC2A74" w:rsidRPr="00114A72">
        <w:rPr>
          <w:rFonts w:ascii="Times New Roman" w:hAnsi="Times New Roman" w:cs="Times New Roman"/>
          <w:i/>
          <w:iCs/>
          <w:color w:val="242121"/>
          <w:sz w:val="26"/>
          <w:szCs w:val="26"/>
          <w:lang w:val="en-US"/>
        </w:rPr>
        <w:t>“non-acceptance of the new proposed market rental”</w:t>
      </w:r>
      <w:r w:rsidR="00CC2A74" w:rsidRPr="00114A72">
        <w:rPr>
          <w:rFonts w:ascii="Times New Roman" w:hAnsi="Times New Roman" w:cs="Times New Roman"/>
          <w:color w:val="242121"/>
          <w:sz w:val="26"/>
          <w:szCs w:val="26"/>
          <w:lang w:val="en-US"/>
        </w:rPr>
        <w:t xml:space="preserve">. This is the same reason </w:t>
      </w:r>
      <w:r w:rsidR="00CC2A74" w:rsidRPr="00114A72">
        <w:rPr>
          <w:rFonts w:ascii="Times New Roman" w:hAnsi="Times New Roman" w:cs="Times New Roman"/>
          <w:color w:val="242121"/>
          <w:sz w:val="26"/>
          <w:szCs w:val="26"/>
          <w:lang w:val="en-US"/>
        </w:rPr>
        <w:lastRenderedPageBreak/>
        <w:t xml:space="preserve">given in the City’s founding affidavit, which sets out the circumstances of the valuation assessment of the property and the outcome thereof. The founding papers also set out the correspondence sent out to the respondents flowing from the valuation assessment.  </w:t>
      </w:r>
    </w:p>
    <w:p w14:paraId="5780612B" w14:textId="77777777" w:rsidR="00CC2A74" w:rsidRPr="00CC2A74" w:rsidRDefault="00CC2A74" w:rsidP="00CC2A74">
      <w:pPr>
        <w:rPr>
          <w:rFonts w:ascii="Times New Roman" w:hAnsi="Times New Roman" w:cs="Times New Roman"/>
          <w:color w:val="242121"/>
          <w:sz w:val="26"/>
          <w:szCs w:val="26"/>
          <w:lang w:val="en-US"/>
        </w:rPr>
      </w:pPr>
    </w:p>
    <w:p w14:paraId="731C8563" w14:textId="2349E789" w:rsidR="00CC2A74" w:rsidRPr="00114A72" w:rsidRDefault="00114A72" w:rsidP="00114A72">
      <w:pPr>
        <w:spacing w:line="360" w:lineRule="auto"/>
        <w:jc w:val="both"/>
        <w:rPr>
          <w:rFonts w:ascii="Times New Roman" w:hAnsi="Times New Roman" w:cs="Times New Roman"/>
          <w:color w:val="242121"/>
          <w:sz w:val="26"/>
          <w:szCs w:val="26"/>
          <w:lang w:val="en-US"/>
        </w:rPr>
      </w:pPr>
      <w:r w:rsidRPr="00120303">
        <w:rPr>
          <w:rFonts w:ascii="Times New Roman" w:hAnsi="Times New Roman" w:cs="Times New Roman"/>
          <w:color w:val="242121"/>
          <w:kern w:val="0"/>
          <w:sz w:val="26"/>
          <w:szCs w:val="26"/>
          <w:lang w:val="en-US"/>
          <w14:ligatures w14:val="none"/>
        </w:rPr>
        <w:t>[29]</w:t>
      </w:r>
      <w:r w:rsidRPr="00120303">
        <w:rPr>
          <w:rFonts w:ascii="Times New Roman" w:hAnsi="Times New Roman" w:cs="Times New Roman"/>
          <w:color w:val="242121"/>
          <w:kern w:val="0"/>
          <w:sz w:val="26"/>
          <w:szCs w:val="26"/>
          <w:lang w:val="en-US"/>
          <w14:ligatures w14:val="none"/>
        </w:rPr>
        <w:tab/>
      </w:r>
      <w:r w:rsidR="00CC2A74" w:rsidRPr="00114A72">
        <w:rPr>
          <w:rFonts w:ascii="Times New Roman" w:hAnsi="Times New Roman" w:cs="Times New Roman"/>
          <w:color w:val="242121"/>
          <w:sz w:val="26"/>
          <w:szCs w:val="26"/>
          <w:lang w:val="en-US"/>
        </w:rPr>
        <w:t>In the second respondent’s answering affidavit it was not disputed that the City had caused a valuation of the property to be conducted; that the City made a proposal to the respondents regarding an increased rental; that the first respondent made a counter proposal which was</w:t>
      </w:r>
      <w:r w:rsidR="00E322AF" w:rsidRPr="00114A72">
        <w:rPr>
          <w:rFonts w:ascii="Times New Roman" w:hAnsi="Times New Roman" w:cs="Times New Roman"/>
          <w:color w:val="242121"/>
          <w:sz w:val="26"/>
          <w:szCs w:val="26"/>
          <w:lang w:val="en-US"/>
        </w:rPr>
        <w:t>, according to the second respondent</w:t>
      </w:r>
      <w:r w:rsidR="00CC2A74" w:rsidRPr="00114A72">
        <w:rPr>
          <w:rFonts w:ascii="Times New Roman" w:hAnsi="Times New Roman" w:cs="Times New Roman"/>
          <w:color w:val="242121"/>
          <w:sz w:val="26"/>
          <w:szCs w:val="26"/>
          <w:lang w:val="en-US"/>
        </w:rPr>
        <w:t xml:space="preserve"> </w:t>
      </w:r>
      <w:r w:rsidR="00E322AF" w:rsidRPr="00114A72">
        <w:rPr>
          <w:rFonts w:ascii="Times New Roman" w:hAnsi="Times New Roman" w:cs="Times New Roman"/>
          <w:i/>
          <w:iCs/>
          <w:color w:val="242121"/>
          <w:sz w:val="26"/>
          <w:szCs w:val="26"/>
          <w:lang w:val="en-US"/>
        </w:rPr>
        <w:t xml:space="preserve">“on the </w:t>
      </w:r>
      <w:r w:rsidR="00CC2A74" w:rsidRPr="00114A72">
        <w:rPr>
          <w:rFonts w:ascii="Times New Roman" w:hAnsi="Times New Roman" w:cs="Times New Roman"/>
          <w:i/>
          <w:iCs/>
          <w:color w:val="242121"/>
          <w:sz w:val="26"/>
          <w:szCs w:val="26"/>
          <w:lang w:val="en-US"/>
        </w:rPr>
        <w:t>low</w:t>
      </w:r>
      <w:r w:rsidR="00E322AF" w:rsidRPr="00114A72">
        <w:rPr>
          <w:rFonts w:ascii="Times New Roman" w:hAnsi="Times New Roman" w:cs="Times New Roman"/>
          <w:i/>
          <w:iCs/>
          <w:color w:val="242121"/>
          <w:sz w:val="26"/>
          <w:szCs w:val="26"/>
          <w:lang w:val="en-US"/>
        </w:rPr>
        <w:t xml:space="preserve"> side”</w:t>
      </w:r>
      <w:r w:rsidR="00CC2A74" w:rsidRPr="00114A72">
        <w:rPr>
          <w:rFonts w:ascii="Times New Roman" w:hAnsi="Times New Roman" w:cs="Times New Roman"/>
          <w:color w:val="242121"/>
          <w:sz w:val="26"/>
          <w:szCs w:val="26"/>
          <w:lang w:val="en-US"/>
        </w:rPr>
        <w:t xml:space="preserve">; and that the City rejected the low proposal made by the first respondent. It is also significant that the second respondent states in her answering affidavit that it was she who forwarded the correspondence of 11 December 2019 to the first respondent because the lease was still in his name. In other words, she was aware thereof. Further, as I have indicated, the second respondent admits to receiving the cancellation notice of 6 February 2020. None of these facts are in dispute in the papers. </w:t>
      </w:r>
    </w:p>
    <w:p w14:paraId="28360DD8" w14:textId="77777777" w:rsidR="00CC2A74" w:rsidRPr="00266E5E" w:rsidRDefault="00CC2A74" w:rsidP="00CC2A74">
      <w:pPr>
        <w:pStyle w:val="ListParagraph"/>
        <w:spacing w:after="0" w:line="360" w:lineRule="auto"/>
        <w:ind w:left="0"/>
        <w:jc w:val="both"/>
        <w:rPr>
          <w:rFonts w:ascii="Times New Roman" w:hAnsi="Times New Roman" w:cs="Times New Roman"/>
          <w:color w:val="242121"/>
          <w:sz w:val="26"/>
          <w:szCs w:val="26"/>
          <w:lang w:val="en-US"/>
        </w:rPr>
      </w:pPr>
    </w:p>
    <w:p w14:paraId="3CBDDA15" w14:textId="5A639C2A" w:rsidR="00CC2A74" w:rsidRPr="00114A72" w:rsidRDefault="00114A72" w:rsidP="00114A72">
      <w:pPr>
        <w:spacing w:line="360" w:lineRule="auto"/>
        <w:jc w:val="both"/>
        <w:rPr>
          <w:rFonts w:ascii="Times New Roman" w:hAnsi="Times New Roman" w:cs="Times New Roman"/>
          <w:color w:val="242121"/>
          <w:sz w:val="26"/>
          <w:szCs w:val="26"/>
        </w:rPr>
      </w:pPr>
      <w:r w:rsidRPr="00BB1A7E">
        <w:rPr>
          <w:rFonts w:ascii="Times New Roman" w:hAnsi="Times New Roman" w:cs="Times New Roman"/>
          <w:color w:val="242121"/>
          <w:kern w:val="0"/>
          <w:sz w:val="26"/>
          <w:szCs w:val="26"/>
          <w14:ligatures w14:val="none"/>
        </w:rPr>
        <w:t>[30]</w:t>
      </w:r>
      <w:r w:rsidRPr="00BB1A7E">
        <w:rPr>
          <w:rFonts w:ascii="Times New Roman" w:hAnsi="Times New Roman" w:cs="Times New Roman"/>
          <w:color w:val="242121"/>
          <w:kern w:val="0"/>
          <w:sz w:val="26"/>
          <w:szCs w:val="26"/>
          <w14:ligatures w14:val="none"/>
        </w:rPr>
        <w:tab/>
      </w:r>
      <w:r w:rsidR="00CC2A74" w:rsidRPr="00114A72">
        <w:rPr>
          <w:rFonts w:ascii="Times New Roman" w:hAnsi="Times New Roman" w:cs="Times New Roman"/>
          <w:color w:val="242121"/>
          <w:sz w:val="26"/>
          <w:szCs w:val="26"/>
          <w:lang w:val="en-US"/>
        </w:rPr>
        <w:t xml:space="preserve">What appears from the judgment is that the Magistrate was not satisfied with the fact that the City only mentioned in its replying affidavit the fact that the property in question is reserved in favour of </w:t>
      </w:r>
      <w:r w:rsidR="00280580" w:rsidRPr="00114A72">
        <w:rPr>
          <w:rFonts w:ascii="Times New Roman" w:hAnsi="Times New Roman" w:cs="Times New Roman"/>
          <w:color w:val="242121"/>
          <w:sz w:val="26"/>
          <w:szCs w:val="26"/>
          <w:lang w:val="en-US"/>
        </w:rPr>
        <w:t>its</w:t>
      </w:r>
      <w:r w:rsidR="00CC2A74" w:rsidRPr="00114A72">
        <w:rPr>
          <w:rFonts w:ascii="Times New Roman" w:hAnsi="Times New Roman" w:cs="Times New Roman"/>
          <w:color w:val="242121"/>
          <w:sz w:val="26"/>
          <w:szCs w:val="26"/>
          <w:lang w:val="en-US"/>
        </w:rPr>
        <w:t xml:space="preserve"> Law Enforcement, Traffic and Coordination Department (</w:t>
      </w:r>
      <w:r w:rsidR="00CC2A74" w:rsidRPr="00114A72">
        <w:rPr>
          <w:rFonts w:ascii="Times New Roman" w:hAnsi="Times New Roman" w:cs="Times New Roman"/>
          <w:i/>
          <w:iCs/>
          <w:color w:val="242121"/>
          <w:sz w:val="26"/>
          <w:szCs w:val="26"/>
          <w:lang w:val="en-US"/>
        </w:rPr>
        <w:t>“Law Enforcement”</w:t>
      </w:r>
      <w:r w:rsidR="00CC2A74" w:rsidRPr="00114A72">
        <w:rPr>
          <w:rFonts w:ascii="Times New Roman" w:hAnsi="Times New Roman" w:cs="Times New Roman"/>
          <w:color w:val="242121"/>
          <w:sz w:val="26"/>
          <w:szCs w:val="26"/>
          <w:lang w:val="en-US"/>
        </w:rPr>
        <w:t xml:space="preserve">), for provision of municipal services, in terms of </w:t>
      </w:r>
      <w:r w:rsidR="00280580" w:rsidRPr="00114A72">
        <w:rPr>
          <w:rFonts w:ascii="Times New Roman" w:hAnsi="Times New Roman" w:cs="Times New Roman"/>
          <w:color w:val="242121"/>
          <w:sz w:val="26"/>
          <w:szCs w:val="26"/>
          <w:lang w:val="en-US"/>
        </w:rPr>
        <w:t>the City’s</w:t>
      </w:r>
      <w:r w:rsidR="00CC2A74" w:rsidRPr="00114A72">
        <w:rPr>
          <w:rFonts w:ascii="Times New Roman" w:hAnsi="Times New Roman" w:cs="Times New Roman"/>
          <w:color w:val="242121"/>
          <w:sz w:val="26"/>
          <w:szCs w:val="26"/>
          <w:lang w:val="en-US"/>
        </w:rPr>
        <w:t xml:space="preserve"> </w:t>
      </w:r>
      <w:r w:rsidR="00280580" w:rsidRPr="00114A72">
        <w:rPr>
          <w:rFonts w:ascii="Times New Roman" w:hAnsi="Times New Roman" w:cs="Times New Roman"/>
          <w:color w:val="242121"/>
          <w:sz w:val="26"/>
          <w:szCs w:val="26"/>
          <w:lang w:val="en-US"/>
        </w:rPr>
        <w:t>M</w:t>
      </w:r>
      <w:r w:rsidR="00CC2A74" w:rsidRPr="00114A72">
        <w:rPr>
          <w:rFonts w:ascii="Times New Roman" w:hAnsi="Times New Roman" w:cs="Times New Roman"/>
          <w:color w:val="242121"/>
          <w:sz w:val="26"/>
          <w:szCs w:val="26"/>
          <w:lang w:val="en-US"/>
        </w:rPr>
        <w:t xml:space="preserve">anagement of Immovable Property Policy. There are several problems with the </w:t>
      </w:r>
      <w:r w:rsidR="00280580" w:rsidRPr="00114A72">
        <w:rPr>
          <w:rFonts w:ascii="Times New Roman" w:hAnsi="Times New Roman" w:cs="Times New Roman"/>
          <w:color w:val="242121"/>
          <w:sz w:val="26"/>
          <w:szCs w:val="26"/>
          <w:lang w:val="en-US"/>
        </w:rPr>
        <w:t>M</w:t>
      </w:r>
      <w:r w:rsidR="00CC2A74" w:rsidRPr="00114A72">
        <w:rPr>
          <w:rFonts w:ascii="Times New Roman" w:hAnsi="Times New Roman" w:cs="Times New Roman"/>
          <w:color w:val="242121"/>
          <w:sz w:val="26"/>
          <w:szCs w:val="26"/>
          <w:lang w:val="en-US"/>
        </w:rPr>
        <w:t>agistrate</w:t>
      </w:r>
      <w:r w:rsidR="00280580" w:rsidRPr="00114A72">
        <w:rPr>
          <w:rFonts w:ascii="Times New Roman" w:hAnsi="Times New Roman" w:cs="Times New Roman"/>
          <w:color w:val="242121"/>
          <w:sz w:val="26"/>
          <w:szCs w:val="26"/>
          <w:lang w:val="en-US"/>
        </w:rPr>
        <w:t>’</w:t>
      </w:r>
      <w:r w:rsidR="00CC2A74" w:rsidRPr="00114A72">
        <w:rPr>
          <w:rFonts w:ascii="Times New Roman" w:hAnsi="Times New Roman" w:cs="Times New Roman"/>
          <w:color w:val="242121"/>
          <w:sz w:val="26"/>
          <w:szCs w:val="26"/>
          <w:lang w:val="en-US"/>
        </w:rPr>
        <w:t>s approach in this regard.</w:t>
      </w:r>
    </w:p>
    <w:p w14:paraId="5A641D76" w14:textId="77777777" w:rsidR="00CC2A74" w:rsidRPr="00BB1A7E" w:rsidRDefault="00CC2A74" w:rsidP="00CC2A74">
      <w:pPr>
        <w:pStyle w:val="ListParagraph"/>
        <w:rPr>
          <w:rFonts w:ascii="Times New Roman" w:hAnsi="Times New Roman" w:cs="Times New Roman"/>
          <w:color w:val="242121"/>
          <w:sz w:val="26"/>
          <w:szCs w:val="26"/>
        </w:rPr>
      </w:pPr>
    </w:p>
    <w:p w14:paraId="5D1D3377" w14:textId="6DA63A8C" w:rsidR="00D75257" w:rsidRPr="00114A72" w:rsidRDefault="00114A72" w:rsidP="00114A72">
      <w:pPr>
        <w:spacing w:line="360" w:lineRule="auto"/>
        <w:jc w:val="both"/>
        <w:rPr>
          <w:rFonts w:ascii="Times New Roman" w:hAnsi="Times New Roman" w:cs="Times New Roman"/>
          <w:color w:val="242121"/>
          <w:sz w:val="26"/>
          <w:szCs w:val="26"/>
        </w:rPr>
      </w:pPr>
      <w:r w:rsidRPr="00D75257">
        <w:rPr>
          <w:rFonts w:ascii="Times New Roman" w:hAnsi="Times New Roman" w:cs="Times New Roman"/>
          <w:color w:val="242121"/>
          <w:kern w:val="0"/>
          <w:sz w:val="26"/>
          <w:szCs w:val="26"/>
          <w14:ligatures w14:val="none"/>
        </w:rPr>
        <w:t>[31]</w:t>
      </w:r>
      <w:r w:rsidRPr="00D75257">
        <w:rPr>
          <w:rFonts w:ascii="Times New Roman" w:hAnsi="Times New Roman" w:cs="Times New Roman"/>
          <w:color w:val="242121"/>
          <w:kern w:val="0"/>
          <w:sz w:val="26"/>
          <w:szCs w:val="26"/>
          <w14:ligatures w14:val="none"/>
        </w:rPr>
        <w:tab/>
      </w:r>
      <w:r w:rsidR="00CC2A74" w:rsidRPr="00114A72">
        <w:rPr>
          <w:rFonts w:ascii="Times New Roman" w:hAnsi="Times New Roman" w:cs="Times New Roman"/>
          <w:color w:val="242121"/>
          <w:sz w:val="26"/>
          <w:szCs w:val="26"/>
          <w:lang w:val="en-US"/>
        </w:rPr>
        <w:t>First, the City was not required to give a reason for cancelling</w:t>
      </w:r>
      <w:r w:rsidR="00280580" w:rsidRPr="00114A72">
        <w:rPr>
          <w:rFonts w:ascii="Times New Roman" w:hAnsi="Times New Roman" w:cs="Times New Roman"/>
          <w:color w:val="242121"/>
          <w:sz w:val="26"/>
          <w:szCs w:val="26"/>
          <w:lang w:val="en-US"/>
        </w:rPr>
        <w:t xml:space="preserve"> the lease</w:t>
      </w:r>
      <w:r w:rsidR="00CC2A74" w:rsidRPr="00114A72">
        <w:rPr>
          <w:rFonts w:ascii="Times New Roman" w:hAnsi="Times New Roman" w:cs="Times New Roman"/>
          <w:color w:val="242121"/>
          <w:sz w:val="26"/>
          <w:szCs w:val="26"/>
          <w:lang w:val="en-US"/>
        </w:rPr>
        <w:t xml:space="preserve">. </w:t>
      </w:r>
      <w:r w:rsidR="00280580" w:rsidRPr="00114A72">
        <w:rPr>
          <w:rFonts w:ascii="Times New Roman" w:hAnsi="Times New Roman" w:cs="Times New Roman"/>
          <w:color w:val="242121"/>
          <w:sz w:val="26"/>
          <w:szCs w:val="26"/>
          <w:lang w:val="en-US"/>
        </w:rPr>
        <w:t>Clause 4 of the</w:t>
      </w:r>
      <w:r w:rsidR="00CC2A74" w:rsidRPr="00114A72">
        <w:rPr>
          <w:rFonts w:ascii="Times New Roman" w:hAnsi="Times New Roman" w:cs="Times New Roman"/>
          <w:color w:val="242121"/>
          <w:sz w:val="26"/>
          <w:szCs w:val="26"/>
          <w:lang w:val="en-US"/>
        </w:rPr>
        <w:t xml:space="preserve"> lease entitles either party</w:t>
      </w:r>
      <w:r w:rsidR="00280580" w:rsidRPr="00114A72">
        <w:rPr>
          <w:rFonts w:ascii="Times New Roman" w:hAnsi="Times New Roman" w:cs="Times New Roman"/>
          <w:color w:val="242121"/>
          <w:sz w:val="26"/>
          <w:szCs w:val="26"/>
          <w:lang w:val="en-US"/>
        </w:rPr>
        <w:t>,</w:t>
      </w:r>
      <w:r w:rsidR="00CC2A74" w:rsidRPr="00114A72">
        <w:rPr>
          <w:rFonts w:ascii="Times New Roman" w:hAnsi="Times New Roman" w:cs="Times New Roman"/>
          <w:color w:val="242121"/>
          <w:sz w:val="26"/>
          <w:szCs w:val="26"/>
          <w:lang w:val="en-US"/>
        </w:rPr>
        <w:t xml:space="preserve"> at any time</w:t>
      </w:r>
      <w:r w:rsidR="00280580" w:rsidRPr="00114A72">
        <w:rPr>
          <w:rFonts w:ascii="Times New Roman" w:hAnsi="Times New Roman" w:cs="Times New Roman"/>
          <w:color w:val="242121"/>
          <w:sz w:val="26"/>
          <w:szCs w:val="26"/>
          <w:lang w:val="en-US"/>
        </w:rPr>
        <w:t>,</w:t>
      </w:r>
      <w:r w:rsidR="00CC2A74" w:rsidRPr="00114A72">
        <w:rPr>
          <w:rFonts w:ascii="Times New Roman" w:hAnsi="Times New Roman" w:cs="Times New Roman"/>
          <w:color w:val="242121"/>
          <w:sz w:val="26"/>
          <w:szCs w:val="26"/>
          <w:lang w:val="en-US"/>
        </w:rPr>
        <w:t xml:space="preserve"> to terminate it on two months’ written notice.</w:t>
      </w:r>
      <w:r w:rsidR="00AC5E15" w:rsidRPr="00114A72">
        <w:rPr>
          <w:rFonts w:ascii="Times New Roman" w:hAnsi="Times New Roman" w:cs="Times New Roman"/>
          <w:color w:val="242121"/>
          <w:sz w:val="26"/>
          <w:szCs w:val="26"/>
          <w:lang w:val="en-US"/>
        </w:rPr>
        <w:t xml:space="preserve"> The </w:t>
      </w:r>
      <w:r w:rsidR="00A919F0" w:rsidRPr="00114A72">
        <w:rPr>
          <w:rFonts w:ascii="Times New Roman" w:hAnsi="Times New Roman" w:cs="Times New Roman"/>
          <w:color w:val="242121"/>
          <w:sz w:val="26"/>
          <w:szCs w:val="26"/>
          <w:lang w:val="en-US"/>
        </w:rPr>
        <w:t>C</w:t>
      </w:r>
      <w:r w:rsidR="00AC5E15" w:rsidRPr="00114A72">
        <w:rPr>
          <w:rFonts w:ascii="Times New Roman" w:hAnsi="Times New Roman" w:cs="Times New Roman"/>
          <w:color w:val="242121"/>
          <w:sz w:val="26"/>
          <w:szCs w:val="26"/>
          <w:lang w:val="en-US"/>
        </w:rPr>
        <w:t>ity had an unqualified right to cancel the lease.</w:t>
      </w:r>
      <w:r w:rsidR="00CC2A74" w:rsidRPr="00114A72">
        <w:rPr>
          <w:rFonts w:ascii="Times New Roman" w:hAnsi="Times New Roman" w:cs="Times New Roman"/>
          <w:color w:val="242121"/>
          <w:sz w:val="26"/>
          <w:szCs w:val="26"/>
          <w:lang w:val="en-US"/>
        </w:rPr>
        <w:t xml:space="preserve"> Secondly, the reason </w:t>
      </w:r>
      <w:r w:rsidR="00A919F0" w:rsidRPr="00114A72">
        <w:rPr>
          <w:rFonts w:ascii="Times New Roman" w:hAnsi="Times New Roman" w:cs="Times New Roman"/>
          <w:color w:val="242121"/>
          <w:sz w:val="26"/>
          <w:szCs w:val="26"/>
          <w:lang w:val="en-US"/>
        </w:rPr>
        <w:t xml:space="preserve">for cancellation </w:t>
      </w:r>
      <w:r w:rsidR="00CC2A74" w:rsidRPr="00114A72">
        <w:rPr>
          <w:rFonts w:ascii="Times New Roman" w:hAnsi="Times New Roman" w:cs="Times New Roman"/>
          <w:color w:val="242121"/>
          <w:sz w:val="26"/>
          <w:szCs w:val="26"/>
          <w:lang w:val="en-US"/>
        </w:rPr>
        <w:t xml:space="preserve">given in the cancellation notice was supported by the factual events that had transpired in the months preceding the cancellation. </w:t>
      </w:r>
      <w:r w:rsidR="00E322AF" w:rsidRPr="00114A72">
        <w:rPr>
          <w:rFonts w:ascii="Times New Roman" w:hAnsi="Times New Roman" w:cs="Times New Roman"/>
          <w:color w:val="242121"/>
          <w:sz w:val="26"/>
          <w:szCs w:val="26"/>
          <w:lang w:val="en-US"/>
        </w:rPr>
        <w:t>As I have illustrated from the summary above, t</w:t>
      </w:r>
      <w:r w:rsidR="00CC2A74" w:rsidRPr="00114A72">
        <w:rPr>
          <w:rFonts w:ascii="Times New Roman" w:hAnsi="Times New Roman" w:cs="Times New Roman"/>
          <w:color w:val="242121"/>
          <w:sz w:val="26"/>
          <w:szCs w:val="26"/>
          <w:lang w:val="en-US"/>
        </w:rPr>
        <w:t xml:space="preserve">hat reason was not gainsaid by the respondents. It </w:t>
      </w:r>
      <w:r w:rsidR="00E322AF" w:rsidRPr="00114A72">
        <w:rPr>
          <w:rFonts w:ascii="Times New Roman" w:hAnsi="Times New Roman" w:cs="Times New Roman"/>
          <w:color w:val="242121"/>
          <w:sz w:val="26"/>
          <w:szCs w:val="26"/>
          <w:lang w:val="en-US"/>
        </w:rPr>
        <w:t>wa</w:t>
      </w:r>
      <w:r w:rsidR="00CC2A74" w:rsidRPr="00114A72">
        <w:rPr>
          <w:rFonts w:ascii="Times New Roman" w:hAnsi="Times New Roman" w:cs="Times New Roman"/>
          <w:color w:val="242121"/>
          <w:sz w:val="26"/>
          <w:szCs w:val="26"/>
          <w:lang w:val="en-US"/>
        </w:rPr>
        <w:t xml:space="preserve">s a legally </w:t>
      </w:r>
      <w:r w:rsidR="00AC5E15" w:rsidRPr="00114A72">
        <w:rPr>
          <w:rFonts w:ascii="Times New Roman" w:hAnsi="Times New Roman" w:cs="Times New Roman"/>
          <w:color w:val="242121"/>
          <w:sz w:val="26"/>
          <w:szCs w:val="26"/>
          <w:lang w:val="en-US"/>
        </w:rPr>
        <w:t xml:space="preserve">unassailable </w:t>
      </w:r>
      <w:r w:rsidR="00CC2A74" w:rsidRPr="00114A72">
        <w:rPr>
          <w:rFonts w:ascii="Times New Roman" w:hAnsi="Times New Roman" w:cs="Times New Roman"/>
          <w:color w:val="242121"/>
          <w:sz w:val="26"/>
          <w:szCs w:val="26"/>
          <w:lang w:val="en-US"/>
        </w:rPr>
        <w:t xml:space="preserve">reason for cancelling the lease. </w:t>
      </w:r>
    </w:p>
    <w:p w14:paraId="444C40C9" w14:textId="77777777" w:rsidR="00D75257" w:rsidRPr="00D75257" w:rsidRDefault="00D75257" w:rsidP="00D75257">
      <w:pPr>
        <w:pStyle w:val="ListParagraph"/>
        <w:rPr>
          <w:rFonts w:ascii="Times New Roman" w:hAnsi="Times New Roman" w:cs="Times New Roman"/>
          <w:color w:val="242121"/>
          <w:sz w:val="26"/>
          <w:szCs w:val="26"/>
          <w:lang w:val="en-US"/>
        </w:rPr>
      </w:pPr>
    </w:p>
    <w:p w14:paraId="2716487D" w14:textId="4909FC7B" w:rsidR="009E58CA" w:rsidRPr="00114A72" w:rsidRDefault="00114A72" w:rsidP="00114A72">
      <w:pPr>
        <w:spacing w:line="360" w:lineRule="auto"/>
        <w:jc w:val="both"/>
        <w:rPr>
          <w:rFonts w:ascii="Times New Roman" w:hAnsi="Times New Roman" w:cs="Times New Roman"/>
          <w:color w:val="242121"/>
          <w:sz w:val="26"/>
          <w:szCs w:val="26"/>
        </w:rPr>
      </w:pPr>
      <w:r w:rsidRPr="009E58CA">
        <w:rPr>
          <w:rFonts w:ascii="Times New Roman" w:hAnsi="Times New Roman" w:cs="Times New Roman"/>
          <w:color w:val="242121"/>
          <w:kern w:val="0"/>
          <w:sz w:val="26"/>
          <w:szCs w:val="26"/>
          <w14:ligatures w14:val="none"/>
        </w:rPr>
        <w:lastRenderedPageBreak/>
        <w:t>[32]</w:t>
      </w:r>
      <w:r w:rsidRPr="009E58CA">
        <w:rPr>
          <w:rFonts w:ascii="Times New Roman" w:hAnsi="Times New Roman" w:cs="Times New Roman"/>
          <w:color w:val="242121"/>
          <w:kern w:val="0"/>
          <w:sz w:val="26"/>
          <w:szCs w:val="26"/>
          <w14:ligatures w14:val="none"/>
        </w:rPr>
        <w:tab/>
      </w:r>
      <w:r w:rsidR="00CC2A74" w:rsidRPr="00114A72">
        <w:rPr>
          <w:rFonts w:ascii="Times New Roman" w:hAnsi="Times New Roman" w:cs="Times New Roman"/>
          <w:color w:val="242121"/>
          <w:sz w:val="26"/>
          <w:szCs w:val="26"/>
          <w:lang w:val="en-US"/>
        </w:rPr>
        <w:t xml:space="preserve">Thirdly, </w:t>
      </w:r>
      <w:r w:rsidR="00AC5E15" w:rsidRPr="00114A72">
        <w:rPr>
          <w:rFonts w:ascii="Times New Roman" w:hAnsi="Times New Roman" w:cs="Times New Roman"/>
          <w:color w:val="242121"/>
          <w:sz w:val="26"/>
          <w:szCs w:val="26"/>
          <w:lang w:val="en-US"/>
        </w:rPr>
        <w:t xml:space="preserve">although it is correct that </w:t>
      </w:r>
      <w:r w:rsidR="00CC2A74" w:rsidRPr="00114A72">
        <w:rPr>
          <w:rFonts w:ascii="Times New Roman" w:hAnsi="Times New Roman" w:cs="Times New Roman"/>
          <w:color w:val="242121"/>
          <w:sz w:val="26"/>
          <w:szCs w:val="26"/>
          <w:lang w:val="en-US"/>
        </w:rPr>
        <w:t>the issue of reserving the property in favour of Law Enforcement only</w:t>
      </w:r>
      <w:r w:rsidR="00AC5E15" w:rsidRPr="00114A72">
        <w:rPr>
          <w:rFonts w:ascii="Times New Roman" w:hAnsi="Times New Roman" w:cs="Times New Roman"/>
          <w:color w:val="242121"/>
          <w:sz w:val="26"/>
          <w:szCs w:val="26"/>
          <w:lang w:val="en-US"/>
        </w:rPr>
        <w:t xml:space="preserve"> arose in the replying affidavit, th</w:t>
      </w:r>
      <w:r w:rsidR="00A36A8C" w:rsidRPr="00114A72">
        <w:rPr>
          <w:rFonts w:ascii="Times New Roman" w:hAnsi="Times New Roman" w:cs="Times New Roman"/>
          <w:color w:val="242121"/>
          <w:sz w:val="26"/>
          <w:szCs w:val="26"/>
          <w:lang w:val="en-US"/>
        </w:rPr>
        <w:t xml:space="preserve">at does </w:t>
      </w:r>
      <w:r w:rsidR="00AC5E15" w:rsidRPr="00114A72">
        <w:rPr>
          <w:rFonts w:ascii="Times New Roman" w:hAnsi="Times New Roman" w:cs="Times New Roman"/>
          <w:color w:val="242121"/>
          <w:sz w:val="26"/>
          <w:szCs w:val="26"/>
          <w:lang w:val="en-US"/>
        </w:rPr>
        <w:t xml:space="preserve">not mean that it </w:t>
      </w:r>
      <w:r w:rsidR="00AA60DE" w:rsidRPr="00114A72">
        <w:rPr>
          <w:rFonts w:ascii="Times New Roman" w:hAnsi="Times New Roman" w:cs="Times New Roman"/>
          <w:color w:val="242121"/>
          <w:sz w:val="26"/>
          <w:szCs w:val="26"/>
          <w:lang w:val="en-US"/>
        </w:rPr>
        <w:t>wa</w:t>
      </w:r>
      <w:r w:rsidR="00AC5E15" w:rsidRPr="00114A72">
        <w:rPr>
          <w:rFonts w:ascii="Times New Roman" w:hAnsi="Times New Roman" w:cs="Times New Roman"/>
          <w:color w:val="242121"/>
          <w:sz w:val="26"/>
          <w:szCs w:val="26"/>
          <w:lang w:val="en-US"/>
        </w:rPr>
        <w:t xml:space="preserve">s </w:t>
      </w:r>
      <w:r w:rsidR="00A36A8C" w:rsidRPr="00114A72">
        <w:rPr>
          <w:rFonts w:ascii="Times New Roman" w:hAnsi="Times New Roman" w:cs="Times New Roman"/>
          <w:color w:val="242121"/>
          <w:sz w:val="26"/>
          <w:szCs w:val="26"/>
          <w:lang w:val="en-US"/>
        </w:rPr>
        <w:t>a</w:t>
      </w:r>
      <w:r w:rsidR="00AC5E15" w:rsidRPr="00114A72">
        <w:rPr>
          <w:rFonts w:ascii="Times New Roman" w:hAnsi="Times New Roman" w:cs="Times New Roman"/>
          <w:color w:val="242121"/>
          <w:sz w:val="26"/>
          <w:szCs w:val="26"/>
          <w:lang w:val="en-US"/>
        </w:rPr>
        <w:t xml:space="preserve"> reason for cancelling the lease</w:t>
      </w:r>
      <w:r w:rsidR="00A36A8C" w:rsidRPr="00114A72">
        <w:rPr>
          <w:rFonts w:ascii="Times New Roman" w:hAnsi="Times New Roman" w:cs="Times New Roman"/>
          <w:color w:val="242121"/>
          <w:sz w:val="26"/>
          <w:szCs w:val="26"/>
          <w:lang w:val="en-US"/>
        </w:rPr>
        <w:t xml:space="preserve"> or evicting the respondents</w:t>
      </w:r>
      <w:r w:rsidR="00AC5E15" w:rsidRPr="00114A72">
        <w:rPr>
          <w:rFonts w:ascii="Times New Roman" w:hAnsi="Times New Roman" w:cs="Times New Roman"/>
          <w:color w:val="242121"/>
          <w:sz w:val="26"/>
          <w:szCs w:val="26"/>
          <w:lang w:val="en-US"/>
        </w:rPr>
        <w:t xml:space="preserve">. After all, the respondents were </w:t>
      </w:r>
      <w:r w:rsidR="00A36A8C" w:rsidRPr="00114A72">
        <w:rPr>
          <w:rFonts w:ascii="Times New Roman" w:hAnsi="Times New Roman" w:cs="Times New Roman"/>
          <w:color w:val="242121"/>
          <w:sz w:val="26"/>
          <w:szCs w:val="26"/>
          <w:lang w:val="en-US"/>
        </w:rPr>
        <w:t xml:space="preserve">first </w:t>
      </w:r>
      <w:r w:rsidR="00AC5E15" w:rsidRPr="00114A72">
        <w:rPr>
          <w:rFonts w:ascii="Times New Roman" w:hAnsi="Times New Roman" w:cs="Times New Roman"/>
          <w:color w:val="242121"/>
          <w:sz w:val="26"/>
          <w:szCs w:val="26"/>
          <w:lang w:val="en-US"/>
        </w:rPr>
        <w:t>approached</w:t>
      </w:r>
      <w:r w:rsidR="00A36A8C" w:rsidRPr="00114A72">
        <w:rPr>
          <w:rFonts w:ascii="Times New Roman" w:hAnsi="Times New Roman" w:cs="Times New Roman"/>
          <w:color w:val="242121"/>
          <w:sz w:val="26"/>
          <w:szCs w:val="26"/>
          <w:lang w:val="en-US"/>
        </w:rPr>
        <w:t xml:space="preserve"> with an offer</w:t>
      </w:r>
      <w:r w:rsidR="00AC5E15" w:rsidRPr="00114A72">
        <w:rPr>
          <w:rFonts w:ascii="Times New Roman" w:hAnsi="Times New Roman" w:cs="Times New Roman"/>
          <w:color w:val="242121"/>
          <w:sz w:val="26"/>
          <w:szCs w:val="26"/>
          <w:lang w:val="en-US"/>
        </w:rPr>
        <w:t xml:space="preserve"> to stay on at the property</w:t>
      </w:r>
      <w:r w:rsidR="00AA60DE" w:rsidRPr="00114A72">
        <w:rPr>
          <w:rFonts w:ascii="Times New Roman" w:hAnsi="Times New Roman" w:cs="Times New Roman"/>
          <w:color w:val="242121"/>
          <w:sz w:val="26"/>
          <w:szCs w:val="26"/>
          <w:lang w:val="en-US"/>
        </w:rPr>
        <w:t>, when the City approached them with an increased offer of rental</w:t>
      </w:r>
      <w:r w:rsidR="006155B8" w:rsidRPr="00114A72">
        <w:rPr>
          <w:rFonts w:ascii="Times New Roman" w:hAnsi="Times New Roman" w:cs="Times New Roman"/>
          <w:color w:val="242121"/>
          <w:sz w:val="26"/>
          <w:szCs w:val="26"/>
          <w:lang w:val="en-US"/>
        </w:rPr>
        <w:t xml:space="preserve"> at the end of 2019</w:t>
      </w:r>
      <w:r w:rsidR="00AC5E15" w:rsidRPr="00114A72">
        <w:rPr>
          <w:rFonts w:ascii="Times New Roman" w:hAnsi="Times New Roman" w:cs="Times New Roman"/>
          <w:color w:val="242121"/>
          <w:sz w:val="26"/>
          <w:szCs w:val="26"/>
          <w:lang w:val="en-US"/>
        </w:rPr>
        <w:t xml:space="preserve">. </w:t>
      </w:r>
      <w:r w:rsidR="009E58CA" w:rsidRPr="00114A72">
        <w:rPr>
          <w:rFonts w:ascii="Times New Roman" w:hAnsi="Times New Roman" w:cs="Times New Roman"/>
          <w:color w:val="242121"/>
          <w:sz w:val="26"/>
          <w:szCs w:val="26"/>
          <w:lang w:val="en-US"/>
        </w:rPr>
        <w:t xml:space="preserve">As a result, there can be no suggestion </w:t>
      </w:r>
      <w:r w:rsidR="006155B8" w:rsidRPr="00114A72">
        <w:rPr>
          <w:rFonts w:ascii="Times New Roman" w:hAnsi="Times New Roman" w:cs="Times New Roman"/>
          <w:color w:val="242121"/>
          <w:sz w:val="26"/>
          <w:szCs w:val="26"/>
          <w:lang w:val="en-US"/>
        </w:rPr>
        <w:t xml:space="preserve">from the papers </w:t>
      </w:r>
      <w:r w:rsidR="009E58CA" w:rsidRPr="00114A72">
        <w:rPr>
          <w:rFonts w:ascii="Times New Roman" w:hAnsi="Times New Roman" w:cs="Times New Roman"/>
          <w:color w:val="242121"/>
          <w:sz w:val="26"/>
          <w:szCs w:val="26"/>
          <w:lang w:val="en-US"/>
        </w:rPr>
        <w:t xml:space="preserve">that the City wanted to evict the respondents at any cost. </w:t>
      </w:r>
    </w:p>
    <w:p w14:paraId="1CE79C22" w14:textId="77777777" w:rsidR="009E58CA" w:rsidRPr="009E58CA" w:rsidRDefault="009E58CA" w:rsidP="009E58CA">
      <w:pPr>
        <w:pStyle w:val="ListParagraph"/>
        <w:rPr>
          <w:rFonts w:ascii="Times New Roman" w:hAnsi="Times New Roman" w:cs="Times New Roman"/>
          <w:color w:val="242121"/>
          <w:sz w:val="26"/>
          <w:szCs w:val="26"/>
          <w:lang w:val="en-US"/>
        </w:rPr>
      </w:pPr>
    </w:p>
    <w:p w14:paraId="4DCB1CCC" w14:textId="67DC19CE" w:rsidR="00CC2A74" w:rsidRPr="00114A72" w:rsidRDefault="00114A72" w:rsidP="00114A72">
      <w:pPr>
        <w:spacing w:line="360" w:lineRule="auto"/>
        <w:jc w:val="both"/>
        <w:rPr>
          <w:rFonts w:ascii="Times New Roman" w:hAnsi="Times New Roman" w:cs="Times New Roman"/>
          <w:color w:val="242121"/>
          <w:sz w:val="26"/>
          <w:szCs w:val="26"/>
        </w:rPr>
      </w:pPr>
      <w:r w:rsidRPr="00BB1A7E">
        <w:rPr>
          <w:rFonts w:ascii="Times New Roman" w:hAnsi="Times New Roman" w:cs="Times New Roman"/>
          <w:color w:val="242121"/>
          <w:kern w:val="0"/>
          <w:sz w:val="26"/>
          <w:szCs w:val="26"/>
          <w14:ligatures w14:val="none"/>
        </w:rPr>
        <w:t>[33]</w:t>
      </w:r>
      <w:r w:rsidRPr="00BB1A7E">
        <w:rPr>
          <w:rFonts w:ascii="Times New Roman" w:hAnsi="Times New Roman" w:cs="Times New Roman"/>
          <w:color w:val="242121"/>
          <w:kern w:val="0"/>
          <w:sz w:val="26"/>
          <w:szCs w:val="26"/>
          <w14:ligatures w14:val="none"/>
        </w:rPr>
        <w:tab/>
      </w:r>
      <w:r w:rsidR="00AC5E15" w:rsidRPr="00114A72">
        <w:rPr>
          <w:rFonts w:ascii="Times New Roman" w:hAnsi="Times New Roman" w:cs="Times New Roman"/>
          <w:color w:val="242121"/>
          <w:sz w:val="26"/>
          <w:szCs w:val="26"/>
          <w:lang w:val="en-US"/>
        </w:rPr>
        <w:t xml:space="preserve">There was simply not enough evidence in the record to conclude as the </w:t>
      </w:r>
      <w:r w:rsidR="00A36A8C" w:rsidRPr="00114A72">
        <w:rPr>
          <w:rFonts w:ascii="Times New Roman" w:hAnsi="Times New Roman" w:cs="Times New Roman"/>
          <w:color w:val="242121"/>
          <w:sz w:val="26"/>
          <w:szCs w:val="26"/>
          <w:lang w:val="en-US"/>
        </w:rPr>
        <w:t>M</w:t>
      </w:r>
      <w:r w:rsidR="00AC5E15" w:rsidRPr="00114A72">
        <w:rPr>
          <w:rFonts w:ascii="Times New Roman" w:hAnsi="Times New Roman" w:cs="Times New Roman"/>
          <w:color w:val="242121"/>
          <w:sz w:val="26"/>
          <w:szCs w:val="26"/>
          <w:lang w:val="en-US"/>
        </w:rPr>
        <w:t>agistrate did, that th</w:t>
      </w:r>
      <w:r w:rsidR="00CE08A9" w:rsidRPr="00114A72">
        <w:rPr>
          <w:rFonts w:ascii="Times New Roman" w:hAnsi="Times New Roman" w:cs="Times New Roman"/>
          <w:color w:val="242121"/>
          <w:sz w:val="26"/>
          <w:szCs w:val="26"/>
          <w:lang w:val="en-US"/>
        </w:rPr>
        <w:t>e issue of reserving the property in favour of Law Enforcement</w:t>
      </w:r>
      <w:r w:rsidR="00AC5E15" w:rsidRPr="00114A72">
        <w:rPr>
          <w:rFonts w:ascii="Times New Roman" w:hAnsi="Times New Roman" w:cs="Times New Roman"/>
          <w:color w:val="242121"/>
          <w:sz w:val="26"/>
          <w:szCs w:val="26"/>
          <w:lang w:val="en-US"/>
        </w:rPr>
        <w:t xml:space="preserve"> was </w:t>
      </w:r>
      <w:r w:rsidR="006155B8" w:rsidRPr="00114A72">
        <w:rPr>
          <w:rFonts w:ascii="Times New Roman" w:hAnsi="Times New Roman" w:cs="Times New Roman"/>
          <w:color w:val="242121"/>
          <w:sz w:val="26"/>
          <w:szCs w:val="26"/>
          <w:lang w:val="en-US"/>
        </w:rPr>
        <w:t>a</w:t>
      </w:r>
      <w:r w:rsidR="00AC5E15" w:rsidRPr="00114A72">
        <w:rPr>
          <w:rFonts w:ascii="Times New Roman" w:hAnsi="Times New Roman" w:cs="Times New Roman"/>
          <w:color w:val="242121"/>
          <w:sz w:val="26"/>
          <w:szCs w:val="26"/>
          <w:lang w:val="en-US"/>
        </w:rPr>
        <w:t xml:space="preserve"> reason for evicting the respondents. There </w:t>
      </w:r>
      <w:r w:rsidR="00A36A8C" w:rsidRPr="00114A72">
        <w:rPr>
          <w:rFonts w:ascii="Times New Roman" w:hAnsi="Times New Roman" w:cs="Times New Roman"/>
          <w:color w:val="242121"/>
          <w:sz w:val="26"/>
          <w:szCs w:val="26"/>
          <w:lang w:val="en-US"/>
        </w:rPr>
        <w:t>wa</w:t>
      </w:r>
      <w:r w:rsidR="00AC5E15" w:rsidRPr="00114A72">
        <w:rPr>
          <w:rFonts w:ascii="Times New Roman" w:hAnsi="Times New Roman" w:cs="Times New Roman"/>
          <w:color w:val="242121"/>
          <w:sz w:val="26"/>
          <w:szCs w:val="26"/>
          <w:lang w:val="en-US"/>
        </w:rPr>
        <w:t xml:space="preserve">s no detail </w:t>
      </w:r>
      <w:r w:rsidR="00CE08A9" w:rsidRPr="00114A72">
        <w:rPr>
          <w:rFonts w:ascii="Times New Roman" w:hAnsi="Times New Roman" w:cs="Times New Roman"/>
          <w:color w:val="242121"/>
          <w:sz w:val="26"/>
          <w:szCs w:val="26"/>
          <w:lang w:val="en-US"/>
        </w:rPr>
        <w:t xml:space="preserve">in the record </w:t>
      </w:r>
      <w:r w:rsidR="00AC5E15" w:rsidRPr="00114A72">
        <w:rPr>
          <w:rFonts w:ascii="Times New Roman" w:hAnsi="Times New Roman" w:cs="Times New Roman"/>
          <w:color w:val="242121"/>
          <w:sz w:val="26"/>
          <w:szCs w:val="26"/>
          <w:lang w:val="en-US"/>
        </w:rPr>
        <w:t xml:space="preserve">regarding when the property was </w:t>
      </w:r>
      <w:r w:rsidR="00A36A8C" w:rsidRPr="00114A72">
        <w:rPr>
          <w:rFonts w:ascii="Times New Roman" w:hAnsi="Times New Roman" w:cs="Times New Roman"/>
          <w:color w:val="242121"/>
          <w:sz w:val="26"/>
          <w:szCs w:val="26"/>
          <w:lang w:val="en-US"/>
        </w:rPr>
        <w:t xml:space="preserve">identified and </w:t>
      </w:r>
      <w:r w:rsidR="00AC5E15" w:rsidRPr="00114A72">
        <w:rPr>
          <w:rFonts w:ascii="Times New Roman" w:hAnsi="Times New Roman" w:cs="Times New Roman"/>
          <w:color w:val="242121"/>
          <w:sz w:val="26"/>
          <w:szCs w:val="26"/>
          <w:lang w:val="en-US"/>
        </w:rPr>
        <w:t xml:space="preserve">requested by </w:t>
      </w:r>
      <w:r w:rsidR="00A36A8C" w:rsidRPr="00114A72">
        <w:rPr>
          <w:rFonts w:ascii="Times New Roman" w:hAnsi="Times New Roman" w:cs="Times New Roman"/>
          <w:color w:val="242121"/>
          <w:sz w:val="26"/>
          <w:szCs w:val="26"/>
          <w:lang w:val="en-US"/>
        </w:rPr>
        <w:t>L</w:t>
      </w:r>
      <w:r w:rsidR="00AC5E15" w:rsidRPr="00114A72">
        <w:rPr>
          <w:rFonts w:ascii="Times New Roman" w:hAnsi="Times New Roman" w:cs="Times New Roman"/>
          <w:color w:val="242121"/>
          <w:sz w:val="26"/>
          <w:szCs w:val="26"/>
          <w:lang w:val="en-US"/>
        </w:rPr>
        <w:t xml:space="preserve">aw </w:t>
      </w:r>
      <w:r w:rsidR="00A36A8C" w:rsidRPr="00114A72">
        <w:rPr>
          <w:rFonts w:ascii="Times New Roman" w:hAnsi="Times New Roman" w:cs="Times New Roman"/>
          <w:color w:val="242121"/>
          <w:sz w:val="26"/>
          <w:szCs w:val="26"/>
          <w:lang w:val="en-US"/>
        </w:rPr>
        <w:t>E</w:t>
      </w:r>
      <w:r w:rsidR="00AC5E15" w:rsidRPr="00114A72">
        <w:rPr>
          <w:rFonts w:ascii="Times New Roman" w:hAnsi="Times New Roman" w:cs="Times New Roman"/>
          <w:color w:val="242121"/>
          <w:sz w:val="26"/>
          <w:szCs w:val="26"/>
          <w:lang w:val="en-US"/>
        </w:rPr>
        <w:t xml:space="preserve">nforcement </w:t>
      </w:r>
      <w:r w:rsidR="00A36A8C" w:rsidRPr="00114A72">
        <w:rPr>
          <w:rFonts w:ascii="Times New Roman" w:hAnsi="Times New Roman" w:cs="Times New Roman"/>
          <w:color w:val="242121"/>
          <w:sz w:val="26"/>
          <w:szCs w:val="26"/>
          <w:lang w:val="en-US"/>
        </w:rPr>
        <w:t>f</w:t>
      </w:r>
      <w:r w:rsidR="00AC5E15" w:rsidRPr="00114A72">
        <w:rPr>
          <w:rFonts w:ascii="Times New Roman" w:hAnsi="Times New Roman" w:cs="Times New Roman"/>
          <w:color w:val="242121"/>
          <w:sz w:val="26"/>
          <w:szCs w:val="26"/>
          <w:lang w:val="en-US"/>
        </w:rPr>
        <w:t>or provision of its municipal services.</w:t>
      </w:r>
      <w:r w:rsidR="00A36A8C" w:rsidRPr="00114A72">
        <w:rPr>
          <w:rFonts w:ascii="Times New Roman" w:hAnsi="Times New Roman" w:cs="Times New Roman"/>
          <w:color w:val="242121"/>
          <w:sz w:val="26"/>
          <w:szCs w:val="26"/>
          <w:lang w:val="en-US"/>
        </w:rPr>
        <w:t xml:space="preserve"> That would have been crucial information,</w:t>
      </w:r>
      <w:r w:rsidR="00CE08A9" w:rsidRPr="00114A72">
        <w:rPr>
          <w:rFonts w:ascii="Times New Roman" w:hAnsi="Times New Roman" w:cs="Times New Roman"/>
          <w:color w:val="242121"/>
          <w:sz w:val="26"/>
          <w:szCs w:val="26"/>
          <w:lang w:val="en-US"/>
        </w:rPr>
        <w:t xml:space="preserve"> </w:t>
      </w:r>
      <w:r w:rsidR="00A36A8C" w:rsidRPr="00114A72">
        <w:rPr>
          <w:rFonts w:ascii="Times New Roman" w:hAnsi="Times New Roman" w:cs="Times New Roman"/>
          <w:color w:val="242121"/>
          <w:sz w:val="26"/>
          <w:szCs w:val="26"/>
          <w:lang w:val="en-US"/>
        </w:rPr>
        <w:t xml:space="preserve">given that the </w:t>
      </w:r>
      <w:r w:rsidR="00AA60DE" w:rsidRPr="00114A72">
        <w:rPr>
          <w:rFonts w:ascii="Times New Roman" w:hAnsi="Times New Roman" w:cs="Times New Roman"/>
          <w:color w:val="242121"/>
          <w:sz w:val="26"/>
          <w:szCs w:val="26"/>
          <w:lang w:val="en-US"/>
        </w:rPr>
        <w:t xml:space="preserve">increased rental offer was presented to the </w:t>
      </w:r>
      <w:r w:rsidR="00A36A8C" w:rsidRPr="00114A72">
        <w:rPr>
          <w:rFonts w:ascii="Times New Roman" w:hAnsi="Times New Roman" w:cs="Times New Roman"/>
          <w:color w:val="242121"/>
          <w:sz w:val="26"/>
          <w:szCs w:val="26"/>
          <w:lang w:val="en-US"/>
        </w:rPr>
        <w:t xml:space="preserve">respondents in late 2019 and the </w:t>
      </w:r>
      <w:r w:rsidR="00AA60DE" w:rsidRPr="00114A72">
        <w:rPr>
          <w:rFonts w:ascii="Times New Roman" w:hAnsi="Times New Roman" w:cs="Times New Roman"/>
          <w:color w:val="242121"/>
          <w:sz w:val="26"/>
          <w:szCs w:val="26"/>
          <w:lang w:val="en-US"/>
        </w:rPr>
        <w:t xml:space="preserve">replying affidavit containing the new information was deposed on 13 July 2022. </w:t>
      </w:r>
      <w:r w:rsidR="00CE08A9" w:rsidRPr="00114A72">
        <w:rPr>
          <w:rFonts w:ascii="Times New Roman" w:hAnsi="Times New Roman" w:cs="Times New Roman"/>
          <w:color w:val="242121"/>
          <w:sz w:val="26"/>
          <w:szCs w:val="26"/>
          <w:lang w:val="en-US"/>
        </w:rPr>
        <w:t>After all</w:t>
      </w:r>
      <w:r w:rsidR="00AA60DE" w:rsidRPr="00114A72">
        <w:rPr>
          <w:rFonts w:ascii="Times New Roman" w:hAnsi="Times New Roman" w:cs="Times New Roman"/>
          <w:color w:val="242121"/>
          <w:sz w:val="26"/>
          <w:szCs w:val="26"/>
          <w:lang w:val="en-US"/>
        </w:rPr>
        <w:t xml:space="preserve">, this new information arose in reply to the second respondent’s averments regarding the offer to purchase the property, which she made in May 2022, after the eviction proceedings were launched. In light of the fact there is no evidence regarding what transpired from 6 February 2020 and March 2022, when the proceedings were launched, </w:t>
      </w:r>
      <w:r w:rsidR="00CE08A9" w:rsidRPr="00114A72">
        <w:rPr>
          <w:rFonts w:ascii="Times New Roman" w:hAnsi="Times New Roman" w:cs="Times New Roman"/>
          <w:color w:val="242121"/>
          <w:sz w:val="26"/>
          <w:szCs w:val="26"/>
          <w:lang w:val="en-US"/>
        </w:rPr>
        <w:t xml:space="preserve">I am of the view that </w:t>
      </w:r>
      <w:r w:rsidR="00AA60DE" w:rsidRPr="00114A72">
        <w:rPr>
          <w:rFonts w:ascii="Times New Roman" w:hAnsi="Times New Roman" w:cs="Times New Roman"/>
          <w:color w:val="242121"/>
          <w:sz w:val="26"/>
          <w:szCs w:val="26"/>
          <w:lang w:val="en-US"/>
        </w:rPr>
        <w:t>it was improper for the Magistrate to rely on this as an aspect which amounted to a contradiction in the City’s reasons for seeking eviction.</w:t>
      </w:r>
    </w:p>
    <w:p w14:paraId="56184CCE" w14:textId="77777777" w:rsidR="00CC2A74" w:rsidRPr="00AA60DE" w:rsidRDefault="00CC2A74" w:rsidP="00AA60DE">
      <w:pPr>
        <w:rPr>
          <w:rFonts w:ascii="Times New Roman" w:hAnsi="Times New Roman" w:cs="Times New Roman"/>
          <w:color w:val="242121"/>
          <w:sz w:val="26"/>
          <w:szCs w:val="26"/>
          <w:lang w:val="en-US"/>
        </w:rPr>
      </w:pPr>
    </w:p>
    <w:p w14:paraId="22F7B05F" w14:textId="0FD925C0" w:rsidR="00BA3C80" w:rsidRPr="00114A72" w:rsidRDefault="00114A72" w:rsidP="00114A72">
      <w:pPr>
        <w:spacing w:line="360" w:lineRule="auto"/>
        <w:jc w:val="both"/>
        <w:rPr>
          <w:rFonts w:ascii="Times New Roman" w:hAnsi="Times New Roman" w:cs="Times New Roman"/>
          <w:color w:val="242121"/>
          <w:sz w:val="26"/>
          <w:szCs w:val="26"/>
        </w:rPr>
      </w:pPr>
      <w:r w:rsidRPr="00DD587C">
        <w:rPr>
          <w:rFonts w:ascii="Times New Roman" w:hAnsi="Times New Roman" w:cs="Times New Roman"/>
          <w:color w:val="242121"/>
          <w:kern w:val="0"/>
          <w:sz w:val="26"/>
          <w:szCs w:val="26"/>
          <w14:ligatures w14:val="none"/>
        </w:rPr>
        <w:t>[34]</w:t>
      </w:r>
      <w:r w:rsidRPr="00DD587C">
        <w:rPr>
          <w:rFonts w:ascii="Times New Roman" w:hAnsi="Times New Roman" w:cs="Times New Roman"/>
          <w:color w:val="242121"/>
          <w:kern w:val="0"/>
          <w:sz w:val="26"/>
          <w:szCs w:val="26"/>
          <w14:ligatures w14:val="none"/>
        </w:rPr>
        <w:tab/>
      </w:r>
      <w:r w:rsidR="00BA3C80" w:rsidRPr="00114A72">
        <w:rPr>
          <w:rFonts w:ascii="Times New Roman" w:hAnsi="Times New Roman" w:cs="Times New Roman"/>
          <w:color w:val="242121"/>
          <w:sz w:val="26"/>
          <w:szCs w:val="26"/>
          <w:lang w:val="en-US"/>
        </w:rPr>
        <w:t>That leads to t</w:t>
      </w:r>
      <w:r w:rsidR="00CC2A74" w:rsidRPr="00114A72">
        <w:rPr>
          <w:rFonts w:ascii="Times New Roman" w:hAnsi="Times New Roman" w:cs="Times New Roman"/>
          <w:color w:val="242121"/>
          <w:sz w:val="26"/>
          <w:szCs w:val="26"/>
          <w:lang w:val="en-US"/>
        </w:rPr>
        <w:t>he second reason given for the Magistrate’s conclusion</w:t>
      </w:r>
      <w:r w:rsidR="00BA3C80" w:rsidRPr="00114A72">
        <w:rPr>
          <w:rFonts w:ascii="Times New Roman" w:hAnsi="Times New Roman" w:cs="Times New Roman"/>
          <w:color w:val="242121"/>
          <w:sz w:val="26"/>
          <w:szCs w:val="26"/>
          <w:lang w:val="en-US"/>
        </w:rPr>
        <w:t>, which</w:t>
      </w:r>
      <w:r w:rsidR="00CC2A74" w:rsidRPr="00114A72">
        <w:rPr>
          <w:rFonts w:ascii="Times New Roman" w:hAnsi="Times New Roman" w:cs="Times New Roman"/>
          <w:color w:val="242121"/>
          <w:sz w:val="26"/>
          <w:szCs w:val="26"/>
          <w:lang w:val="en-US"/>
        </w:rPr>
        <w:t xml:space="preserve"> is noted as </w:t>
      </w:r>
      <w:r w:rsidR="00CC2A74" w:rsidRPr="00114A72">
        <w:rPr>
          <w:rFonts w:ascii="Times New Roman" w:hAnsi="Times New Roman" w:cs="Times New Roman"/>
          <w:i/>
          <w:iCs/>
          <w:color w:val="242121"/>
          <w:sz w:val="26"/>
          <w:szCs w:val="26"/>
          <w:lang w:val="en-US"/>
        </w:rPr>
        <w:t>“the lapse of time between cancellation and the institution of the eviction proceedings”</w:t>
      </w:r>
      <w:r w:rsidR="00CC2A74" w:rsidRPr="00114A72">
        <w:rPr>
          <w:rFonts w:ascii="Times New Roman" w:hAnsi="Times New Roman" w:cs="Times New Roman"/>
          <w:color w:val="242121"/>
          <w:sz w:val="26"/>
          <w:szCs w:val="26"/>
          <w:lang w:val="en-US"/>
        </w:rPr>
        <w:t xml:space="preserve">. </w:t>
      </w:r>
      <w:r w:rsidR="00BA3C80" w:rsidRPr="00114A72">
        <w:rPr>
          <w:rFonts w:ascii="Times New Roman" w:hAnsi="Times New Roman" w:cs="Times New Roman"/>
          <w:color w:val="242121"/>
          <w:sz w:val="26"/>
          <w:szCs w:val="26"/>
          <w:lang w:val="en-US"/>
        </w:rPr>
        <w:t xml:space="preserve">It is correct that there </w:t>
      </w:r>
      <w:r w:rsidR="00454935" w:rsidRPr="00114A72">
        <w:rPr>
          <w:rFonts w:ascii="Times New Roman" w:hAnsi="Times New Roman" w:cs="Times New Roman"/>
          <w:color w:val="242121"/>
          <w:sz w:val="26"/>
          <w:szCs w:val="26"/>
          <w:lang w:val="en-US"/>
        </w:rPr>
        <w:t>wa</w:t>
      </w:r>
      <w:r w:rsidR="00BA3C80" w:rsidRPr="00114A72">
        <w:rPr>
          <w:rFonts w:ascii="Times New Roman" w:hAnsi="Times New Roman" w:cs="Times New Roman"/>
          <w:color w:val="242121"/>
          <w:sz w:val="26"/>
          <w:szCs w:val="26"/>
          <w:lang w:val="en-US"/>
        </w:rPr>
        <w:t xml:space="preserve">s a time lapse between </w:t>
      </w:r>
      <w:r w:rsidR="00454935" w:rsidRPr="00114A72">
        <w:rPr>
          <w:rFonts w:ascii="Times New Roman" w:hAnsi="Times New Roman" w:cs="Times New Roman"/>
          <w:color w:val="242121"/>
          <w:sz w:val="26"/>
          <w:szCs w:val="26"/>
          <w:lang w:val="en-US"/>
        </w:rPr>
        <w:t xml:space="preserve">6 February 2020 </w:t>
      </w:r>
      <w:r w:rsidR="00BA3C80" w:rsidRPr="00114A72">
        <w:rPr>
          <w:rFonts w:ascii="Times New Roman" w:hAnsi="Times New Roman" w:cs="Times New Roman"/>
          <w:color w:val="242121"/>
          <w:sz w:val="26"/>
          <w:szCs w:val="26"/>
          <w:lang w:val="en-US"/>
        </w:rPr>
        <w:t xml:space="preserve">and the launch of the eviction proceedings on or about 24 February 2022. However, that in itself is not an indication of waiver by the City of its right to evict the respondents. In fact, there was no evidence before the Magistrate regarding what transpired between these dates. But in any event, clause 24.3 of the lease provides that </w:t>
      </w:r>
      <w:r w:rsidR="00BA3C80" w:rsidRPr="00114A72">
        <w:rPr>
          <w:rFonts w:ascii="Times New Roman" w:hAnsi="Times New Roman" w:cs="Times New Roman"/>
          <w:i/>
          <w:iCs/>
          <w:color w:val="242121"/>
          <w:sz w:val="26"/>
          <w:szCs w:val="26"/>
          <w:lang w:val="en-US"/>
        </w:rPr>
        <w:t>“[n]o indulgence, leniency or extension of time which a party (“the Grantor”) may grant or show to the other, will in any way prejudice the grantor or preclude the grantor from exercising any of his rights in the future”</w:t>
      </w:r>
      <w:r w:rsidR="00BA3C80" w:rsidRPr="00114A72">
        <w:rPr>
          <w:rFonts w:ascii="Times New Roman" w:hAnsi="Times New Roman" w:cs="Times New Roman"/>
          <w:color w:val="242121"/>
          <w:sz w:val="26"/>
          <w:szCs w:val="26"/>
          <w:lang w:val="en-US"/>
        </w:rPr>
        <w:t>.</w:t>
      </w:r>
    </w:p>
    <w:p w14:paraId="13360455" w14:textId="77777777" w:rsidR="00BA3C80" w:rsidRPr="00DD587C" w:rsidRDefault="00BA3C80" w:rsidP="00BA3C80">
      <w:pPr>
        <w:pStyle w:val="ListParagraph"/>
        <w:rPr>
          <w:rFonts w:ascii="Times New Roman" w:hAnsi="Times New Roman" w:cs="Times New Roman"/>
          <w:color w:val="242121"/>
          <w:sz w:val="26"/>
          <w:szCs w:val="26"/>
          <w:lang w:val="en-US"/>
        </w:rPr>
      </w:pPr>
    </w:p>
    <w:p w14:paraId="2BA8D07E" w14:textId="5A24B5DF" w:rsidR="00BA3C80" w:rsidRPr="00114A72" w:rsidRDefault="00114A72" w:rsidP="00114A72">
      <w:pPr>
        <w:spacing w:line="360" w:lineRule="auto"/>
        <w:jc w:val="both"/>
        <w:rPr>
          <w:rFonts w:ascii="Times New Roman" w:hAnsi="Times New Roman" w:cs="Times New Roman"/>
          <w:color w:val="242121"/>
          <w:sz w:val="26"/>
          <w:szCs w:val="26"/>
        </w:rPr>
      </w:pPr>
      <w:r w:rsidRPr="00957E91">
        <w:rPr>
          <w:rFonts w:ascii="Times New Roman" w:hAnsi="Times New Roman" w:cs="Times New Roman"/>
          <w:color w:val="242121"/>
          <w:kern w:val="0"/>
          <w:sz w:val="26"/>
          <w:szCs w:val="26"/>
          <w14:ligatures w14:val="none"/>
        </w:rPr>
        <w:t>[35]</w:t>
      </w:r>
      <w:r w:rsidRPr="00957E91">
        <w:rPr>
          <w:rFonts w:ascii="Times New Roman" w:hAnsi="Times New Roman" w:cs="Times New Roman"/>
          <w:color w:val="242121"/>
          <w:kern w:val="0"/>
          <w:sz w:val="26"/>
          <w:szCs w:val="26"/>
          <w14:ligatures w14:val="none"/>
        </w:rPr>
        <w:tab/>
      </w:r>
      <w:r w:rsidR="00BA3C80" w:rsidRPr="00114A72">
        <w:rPr>
          <w:rFonts w:ascii="Times New Roman" w:hAnsi="Times New Roman" w:cs="Times New Roman"/>
          <w:color w:val="242121"/>
          <w:sz w:val="26"/>
          <w:szCs w:val="26"/>
          <w:lang w:val="en-US"/>
        </w:rPr>
        <w:t xml:space="preserve">There is no evidence that the City relented from its position from the time that it gave notice of cancellation on 6 February 2020. </w:t>
      </w:r>
      <w:r w:rsidR="00957E91" w:rsidRPr="00114A72">
        <w:rPr>
          <w:rFonts w:ascii="Times New Roman" w:hAnsi="Times New Roman" w:cs="Times New Roman"/>
          <w:sz w:val="26"/>
          <w:szCs w:val="26"/>
        </w:rPr>
        <w:t>In order to rely on waiver, the respondents were required to show that the City, with full knowledge of its rights had abandoned the right to cancel the lease.</w:t>
      </w:r>
      <w:r w:rsidR="00957E91" w:rsidRPr="00114A72">
        <w:rPr>
          <w:rFonts w:ascii="Times New Roman" w:hAnsi="Times New Roman" w:cs="Times New Roman"/>
          <w:sz w:val="26"/>
          <w:szCs w:val="26"/>
          <w:vertAlign w:val="superscript"/>
        </w:rPr>
        <w:t xml:space="preserve"> </w:t>
      </w:r>
      <w:r w:rsidR="00957E91" w:rsidRPr="00957E91">
        <w:rPr>
          <w:vertAlign w:val="superscript"/>
        </w:rPr>
        <w:footnoteReference w:id="12"/>
      </w:r>
      <w:r w:rsidR="00957E91" w:rsidRPr="00114A72">
        <w:rPr>
          <w:rFonts w:ascii="Times New Roman" w:hAnsi="Times New Roman" w:cs="Times New Roman"/>
          <w:sz w:val="26"/>
          <w:szCs w:val="26"/>
        </w:rPr>
        <w:t xml:space="preserve"> </w:t>
      </w:r>
      <w:r w:rsidR="00957E91" w:rsidRPr="00114A72">
        <w:rPr>
          <w:rFonts w:ascii="Times New Roman" w:hAnsi="Times New Roman" w:cs="Times New Roman"/>
          <w:color w:val="242121"/>
          <w:sz w:val="26"/>
          <w:szCs w:val="26"/>
        </w:rPr>
        <w:t xml:space="preserve">It must be shown that the </w:t>
      </w:r>
      <w:r w:rsidR="00957E91" w:rsidRPr="00114A72">
        <w:rPr>
          <w:rFonts w:ascii="Times New Roman" w:hAnsi="Times New Roman" w:cs="Times New Roman"/>
          <w:sz w:val="26"/>
          <w:szCs w:val="26"/>
        </w:rPr>
        <w:t>City, whether expressly or impliedly, waived its right to terminate the lease and evict the respondents, in a manner that is unequivocal and consistent with no other hypothesis.</w:t>
      </w:r>
      <w:r w:rsidR="00957E91" w:rsidRPr="00114A72">
        <w:rPr>
          <w:rFonts w:ascii="Times New Roman" w:hAnsi="Times New Roman" w:cs="Times New Roman"/>
          <w:sz w:val="26"/>
          <w:szCs w:val="26"/>
          <w:vertAlign w:val="superscript"/>
        </w:rPr>
        <w:t xml:space="preserve"> </w:t>
      </w:r>
      <w:r w:rsidR="00957E91" w:rsidRPr="00957E91">
        <w:rPr>
          <w:vertAlign w:val="superscript"/>
        </w:rPr>
        <w:footnoteReference w:id="13"/>
      </w:r>
      <w:r w:rsidR="00957E91" w:rsidRPr="00114A72">
        <w:rPr>
          <w:rFonts w:ascii="Times New Roman" w:hAnsi="Times New Roman" w:cs="Times New Roman"/>
          <w:sz w:val="26"/>
          <w:szCs w:val="26"/>
        </w:rPr>
        <w:t xml:space="preserve"> </w:t>
      </w:r>
      <w:r w:rsidR="00957E91" w:rsidRPr="00114A72">
        <w:rPr>
          <w:rFonts w:ascii="Times New Roman" w:hAnsi="Times New Roman" w:cs="Times New Roman"/>
          <w:color w:val="242121"/>
          <w:sz w:val="26"/>
          <w:szCs w:val="26"/>
        </w:rPr>
        <w:t xml:space="preserve">There is no such evidence in the record. </w:t>
      </w:r>
      <w:r w:rsidR="00BA3C80" w:rsidRPr="00114A72">
        <w:rPr>
          <w:rFonts w:ascii="Times New Roman" w:hAnsi="Times New Roman" w:cs="Times New Roman"/>
          <w:color w:val="242121"/>
          <w:sz w:val="26"/>
          <w:szCs w:val="26"/>
        </w:rPr>
        <w:t>I add that it was not even the case of the second respondent that she thought the City had changed its mind about the termination of the lease</w:t>
      </w:r>
      <w:r w:rsidR="00511BC2" w:rsidRPr="00114A72">
        <w:rPr>
          <w:rFonts w:ascii="Times New Roman" w:hAnsi="Times New Roman" w:cs="Times New Roman"/>
          <w:color w:val="242121"/>
          <w:sz w:val="26"/>
          <w:szCs w:val="26"/>
        </w:rPr>
        <w:t xml:space="preserve"> from 6 February 2020 the date of receipt of the notice of cancellation, or from 6 April 2020 the effective date of cancellation</w:t>
      </w:r>
      <w:r w:rsidR="00BA3C80" w:rsidRPr="00114A72">
        <w:rPr>
          <w:rFonts w:ascii="Times New Roman" w:hAnsi="Times New Roman" w:cs="Times New Roman"/>
          <w:color w:val="242121"/>
          <w:sz w:val="26"/>
          <w:szCs w:val="26"/>
        </w:rPr>
        <w:t xml:space="preserve">. </w:t>
      </w:r>
    </w:p>
    <w:p w14:paraId="788426B2" w14:textId="77777777" w:rsidR="00957E91" w:rsidRPr="00957E91" w:rsidRDefault="00957E91" w:rsidP="00957E91">
      <w:pPr>
        <w:pStyle w:val="ListParagraph"/>
        <w:spacing w:after="0" w:line="360" w:lineRule="auto"/>
        <w:ind w:left="0"/>
        <w:jc w:val="both"/>
        <w:rPr>
          <w:rFonts w:ascii="Times New Roman" w:hAnsi="Times New Roman" w:cs="Times New Roman"/>
          <w:color w:val="242121"/>
          <w:sz w:val="26"/>
          <w:szCs w:val="26"/>
        </w:rPr>
      </w:pPr>
    </w:p>
    <w:p w14:paraId="43467D70" w14:textId="4BAC7952" w:rsidR="00336E8D" w:rsidRPr="00114A72" w:rsidRDefault="00114A72" w:rsidP="00114A72">
      <w:pPr>
        <w:spacing w:line="360" w:lineRule="auto"/>
        <w:jc w:val="both"/>
        <w:rPr>
          <w:rFonts w:ascii="Times New Roman" w:hAnsi="Times New Roman" w:cs="Times New Roman"/>
          <w:color w:val="242121"/>
          <w:sz w:val="26"/>
          <w:szCs w:val="26"/>
        </w:rPr>
      </w:pPr>
      <w:r w:rsidRPr="00336E8D">
        <w:rPr>
          <w:rFonts w:ascii="Times New Roman" w:hAnsi="Times New Roman" w:cs="Times New Roman"/>
          <w:color w:val="242121"/>
          <w:kern w:val="0"/>
          <w:sz w:val="26"/>
          <w:szCs w:val="26"/>
          <w14:ligatures w14:val="none"/>
        </w:rPr>
        <w:t>[36]</w:t>
      </w:r>
      <w:r w:rsidRPr="00336E8D">
        <w:rPr>
          <w:rFonts w:ascii="Times New Roman" w:hAnsi="Times New Roman" w:cs="Times New Roman"/>
          <w:color w:val="242121"/>
          <w:kern w:val="0"/>
          <w:sz w:val="26"/>
          <w:szCs w:val="26"/>
          <w14:ligatures w14:val="none"/>
        </w:rPr>
        <w:tab/>
      </w:r>
      <w:r w:rsidR="00957E91" w:rsidRPr="00114A72">
        <w:rPr>
          <w:rFonts w:ascii="Times New Roman" w:hAnsi="Times New Roman" w:cs="Times New Roman"/>
          <w:color w:val="242121"/>
          <w:sz w:val="26"/>
          <w:szCs w:val="26"/>
          <w:lang w:val="en-US"/>
        </w:rPr>
        <w:t>At paragraph 44 of the judgment the Magistrate state</w:t>
      </w:r>
      <w:r w:rsidR="006155B8" w:rsidRPr="00114A72">
        <w:rPr>
          <w:rFonts w:ascii="Times New Roman" w:hAnsi="Times New Roman" w:cs="Times New Roman"/>
          <w:color w:val="242121"/>
          <w:sz w:val="26"/>
          <w:szCs w:val="26"/>
          <w:lang w:val="en-US"/>
        </w:rPr>
        <w:t>s</w:t>
      </w:r>
      <w:r w:rsidR="00957E91" w:rsidRPr="00114A72">
        <w:rPr>
          <w:rFonts w:ascii="Times New Roman" w:hAnsi="Times New Roman" w:cs="Times New Roman"/>
          <w:color w:val="242121"/>
          <w:sz w:val="26"/>
          <w:szCs w:val="26"/>
          <w:lang w:val="en-US"/>
        </w:rPr>
        <w:t xml:space="preserve"> that the notice period provided to the respondents in the cancellation notice was a broken period, referring to the case of </w:t>
      </w:r>
      <w:r w:rsidR="00957E91" w:rsidRPr="00114A72">
        <w:rPr>
          <w:rFonts w:ascii="Times New Roman" w:hAnsi="Times New Roman" w:cs="Times New Roman"/>
          <w:i/>
          <w:iCs/>
          <w:color w:val="242121"/>
          <w:sz w:val="26"/>
          <w:szCs w:val="26"/>
          <w:lang w:val="en-US"/>
        </w:rPr>
        <w:t>Luanga v Perthpark Properties</w:t>
      </w:r>
      <w:r w:rsidR="00336E8D">
        <w:rPr>
          <w:rStyle w:val="FootnoteReference"/>
          <w:rFonts w:ascii="Times New Roman" w:hAnsi="Times New Roman" w:cs="Times New Roman"/>
          <w:i/>
          <w:iCs/>
          <w:color w:val="242121"/>
          <w:sz w:val="26"/>
          <w:szCs w:val="26"/>
          <w:lang w:val="en-US"/>
        </w:rPr>
        <w:footnoteReference w:id="14"/>
      </w:r>
      <w:r w:rsidR="00957E91" w:rsidRPr="00114A72">
        <w:rPr>
          <w:rFonts w:ascii="Times New Roman" w:hAnsi="Times New Roman" w:cs="Times New Roman"/>
          <w:color w:val="242121"/>
          <w:sz w:val="26"/>
          <w:szCs w:val="26"/>
          <w:lang w:val="en-US"/>
        </w:rPr>
        <w:t xml:space="preserve">. However, there was no requirement to comply with two calendar months’ notice in terms of the lease. Clause 4 of the lease expressly provides that </w:t>
      </w:r>
      <w:r w:rsidR="00957E91" w:rsidRPr="00114A72">
        <w:rPr>
          <w:rFonts w:ascii="Times New Roman" w:hAnsi="Times New Roman" w:cs="Times New Roman"/>
          <w:i/>
          <w:iCs/>
          <w:color w:val="242121"/>
          <w:sz w:val="26"/>
          <w:szCs w:val="26"/>
          <w:lang w:val="en-US"/>
        </w:rPr>
        <w:t>“both parties shall, at any time have the right to terminate this Lease or not less than 2 (two) months written notice of termination”</w:t>
      </w:r>
      <w:r w:rsidR="00957E91" w:rsidRPr="00114A72">
        <w:rPr>
          <w:rFonts w:ascii="Times New Roman" w:hAnsi="Times New Roman" w:cs="Times New Roman"/>
          <w:color w:val="242121"/>
          <w:sz w:val="26"/>
          <w:szCs w:val="26"/>
          <w:lang w:val="en-US"/>
        </w:rPr>
        <w:t xml:space="preserve">. It simply granted either party the right to cancel on two months’ written notice. </w:t>
      </w:r>
    </w:p>
    <w:p w14:paraId="02470F80" w14:textId="77777777" w:rsidR="00336E8D" w:rsidRPr="00336E8D" w:rsidRDefault="00336E8D" w:rsidP="00336E8D">
      <w:pPr>
        <w:pStyle w:val="ListParagraph"/>
        <w:rPr>
          <w:rFonts w:ascii="Times New Roman" w:hAnsi="Times New Roman" w:cs="Times New Roman"/>
          <w:color w:val="242121"/>
          <w:sz w:val="26"/>
          <w:szCs w:val="26"/>
          <w:lang w:val="en-US"/>
        </w:rPr>
      </w:pPr>
    </w:p>
    <w:p w14:paraId="01A7C592" w14:textId="160A6CDF" w:rsidR="00336E8D" w:rsidRPr="00114A72" w:rsidRDefault="00114A72" w:rsidP="00114A72">
      <w:pPr>
        <w:spacing w:line="360" w:lineRule="auto"/>
        <w:jc w:val="both"/>
        <w:rPr>
          <w:rFonts w:ascii="Times New Roman" w:hAnsi="Times New Roman" w:cs="Times New Roman"/>
          <w:color w:val="242121"/>
          <w:sz w:val="26"/>
          <w:szCs w:val="26"/>
        </w:rPr>
      </w:pPr>
      <w:r w:rsidRPr="00336E8D">
        <w:rPr>
          <w:rFonts w:ascii="Times New Roman" w:hAnsi="Times New Roman" w:cs="Times New Roman"/>
          <w:color w:val="242121"/>
          <w:kern w:val="0"/>
          <w:sz w:val="26"/>
          <w:szCs w:val="26"/>
          <w14:ligatures w14:val="none"/>
        </w:rPr>
        <w:t>[37]</w:t>
      </w:r>
      <w:r w:rsidRPr="00336E8D">
        <w:rPr>
          <w:rFonts w:ascii="Times New Roman" w:hAnsi="Times New Roman" w:cs="Times New Roman"/>
          <w:color w:val="242121"/>
          <w:kern w:val="0"/>
          <w:sz w:val="26"/>
          <w:szCs w:val="26"/>
          <w14:ligatures w14:val="none"/>
        </w:rPr>
        <w:tab/>
      </w:r>
      <w:r w:rsidR="00957E91" w:rsidRPr="00114A72">
        <w:rPr>
          <w:rFonts w:ascii="Times New Roman" w:hAnsi="Times New Roman" w:cs="Times New Roman"/>
          <w:color w:val="242121"/>
          <w:sz w:val="26"/>
          <w:szCs w:val="26"/>
          <w:lang w:val="en-US"/>
        </w:rPr>
        <w:t>The requirement to grant two calendar months’ notice</w:t>
      </w:r>
      <w:r w:rsidR="00957E91" w:rsidRPr="00114A72">
        <w:rPr>
          <w:rFonts w:ascii="Times New Roman" w:hAnsi="Times New Roman" w:cs="Times New Roman"/>
          <w:color w:val="242121"/>
          <w:sz w:val="26"/>
          <w:szCs w:val="26"/>
        </w:rPr>
        <w:t xml:space="preserve"> </w:t>
      </w:r>
      <w:r w:rsidR="00957E91" w:rsidRPr="00114A72">
        <w:rPr>
          <w:rFonts w:ascii="Times New Roman" w:hAnsi="Times New Roman" w:cs="Times New Roman"/>
          <w:color w:val="242121"/>
          <w:sz w:val="26"/>
          <w:szCs w:val="26"/>
          <w:lang w:val="en-US"/>
        </w:rPr>
        <w:t xml:space="preserve">is a requirement of section 5(5) of the Rental Housing Act 50 of 1999, </w:t>
      </w:r>
      <w:r w:rsidR="00336E8D" w:rsidRPr="00114A72">
        <w:rPr>
          <w:rFonts w:ascii="Times New Roman" w:hAnsi="Times New Roman" w:cs="Times New Roman"/>
          <w:color w:val="242121"/>
          <w:sz w:val="26"/>
          <w:szCs w:val="26"/>
          <w:lang w:val="en-US"/>
        </w:rPr>
        <w:t xml:space="preserve">the subject of </w:t>
      </w:r>
      <w:r w:rsidR="00336E8D" w:rsidRPr="00114A72">
        <w:rPr>
          <w:rFonts w:ascii="Times New Roman" w:hAnsi="Times New Roman" w:cs="Times New Roman"/>
          <w:i/>
          <w:iCs/>
          <w:color w:val="242121"/>
          <w:sz w:val="26"/>
          <w:szCs w:val="26"/>
          <w:lang w:val="en-US"/>
        </w:rPr>
        <w:t xml:space="preserve">Luanga v Perthpark Properties. </w:t>
      </w:r>
      <w:r w:rsidR="00336E8D" w:rsidRPr="00114A72">
        <w:rPr>
          <w:rFonts w:ascii="Times New Roman" w:hAnsi="Times New Roman" w:cs="Times New Roman"/>
          <w:color w:val="242121"/>
          <w:sz w:val="26"/>
          <w:szCs w:val="26"/>
          <w:lang w:val="en-US"/>
        </w:rPr>
        <w:t xml:space="preserve">However, it </w:t>
      </w:r>
      <w:r w:rsidR="00957E91" w:rsidRPr="00114A72">
        <w:rPr>
          <w:rFonts w:ascii="Times New Roman" w:hAnsi="Times New Roman" w:cs="Times New Roman"/>
          <w:color w:val="242121"/>
          <w:sz w:val="26"/>
          <w:szCs w:val="26"/>
          <w:lang w:val="en-US"/>
        </w:rPr>
        <w:t>does not find application in this case</w:t>
      </w:r>
      <w:r w:rsidR="00336E8D" w:rsidRPr="00114A72">
        <w:rPr>
          <w:rFonts w:ascii="Times New Roman" w:hAnsi="Times New Roman" w:cs="Times New Roman"/>
          <w:color w:val="242121"/>
          <w:sz w:val="26"/>
          <w:szCs w:val="26"/>
          <w:lang w:val="en-US"/>
        </w:rPr>
        <w:t xml:space="preserve"> because it </w:t>
      </w:r>
      <w:r w:rsidR="00336E8D" w:rsidRPr="00114A72">
        <w:rPr>
          <w:rFonts w:ascii="Times New Roman" w:hAnsi="Times New Roman" w:cs="Times New Roman"/>
          <w:color w:val="242121"/>
          <w:sz w:val="26"/>
          <w:szCs w:val="26"/>
          <w:lang w:val="en-GB"/>
        </w:rPr>
        <w:t xml:space="preserve">is common cause </w:t>
      </w:r>
      <w:r w:rsidR="00336E8D" w:rsidRPr="00114A72">
        <w:rPr>
          <w:rFonts w:ascii="Times New Roman" w:hAnsi="Times New Roman" w:cs="Times New Roman"/>
          <w:color w:val="242121"/>
          <w:sz w:val="26"/>
          <w:szCs w:val="26"/>
          <w:lang w:val="en-GB"/>
        </w:rPr>
        <w:lastRenderedPageBreak/>
        <w:t xml:space="preserve">in </w:t>
      </w:r>
      <w:r w:rsidR="00336E8D" w:rsidRPr="00114A72">
        <w:rPr>
          <w:rFonts w:ascii="Times New Roman" w:hAnsi="Times New Roman" w:cs="Times New Roman"/>
          <w:color w:val="242121"/>
          <w:sz w:val="26"/>
          <w:szCs w:val="26"/>
          <w:lang w:val="en-US"/>
        </w:rPr>
        <w:t xml:space="preserve">the papers - and this was confirmed during the hearing by </w:t>
      </w:r>
      <w:r w:rsidR="00336E8D" w:rsidRPr="00114A72">
        <w:rPr>
          <w:rFonts w:ascii="Times New Roman" w:hAnsi="Times New Roman" w:cs="Times New Roman"/>
          <w:color w:val="242121"/>
          <w:sz w:val="26"/>
          <w:szCs w:val="26"/>
          <w:lang w:val="en-GB"/>
        </w:rPr>
        <w:t xml:space="preserve">Mr Dunn who represents the second respondent - that the lease </w:t>
      </w:r>
      <w:r w:rsidR="00336E8D" w:rsidRPr="00114A72">
        <w:rPr>
          <w:rFonts w:ascii="Times New Roman" w:hAnsi="Times New Roman" w:cs="Times New Roman"/>
          <w:sz w:val="26"/>
          <w:szCs w:val="26"/>
          <w:lang w:val="en-US"/>
        </w:rPr>
        <w:t>was tacitly relocated for an indefinite period</w:t>
      </w:r>
      <w:r w:rsidR="00336E8D" w:rsidRPr="00114A72">
        <w:rPr>
          <w:rFonts w:ascii="Times New Roman" w:hAnsi="Times New Roman" w:cs="Times New Roman"/>
          <w:color w:val="242121"/>
          <w:sz w:val="26"/>
          <w:szCs w:val="26"/>
          <w:lang w:val="en-GB"/>
        </w:rPr>
        <w:t xml:space="preserve">, not on a periodic or month-to-month basis. This is supported by the fact that in 2018 the parties were preparing to enter into another lease agreement; and the fact that the second respondent in effect wants to remain in occupation indefinitely. That being </w:t>
      </w:r>
      <w:r w:rsidR="006155B8" w:rsidRPr="00114A72">
        <w:rPr>
          <w:rFonts w:ascii="Times New Roman" w:hAnsi="Times New Roman" w:cs="Times New Roman"/>
          <w:color w:val="242121"/>
          <w:sz w:val="26"/>
          <w:szCs w:val="26"/>
          <w:lang w:val="en-GB"/>
        </w:rPr>
        <w:t>so</w:t>
      </w:r>
      <w:r w:rsidR="00336E8D" w:rsidRPr="00114A72">
        <w:rPr>
          <w:rFonts w:ascii="Times New Roman" w:hAnsi="Times New Roman" w:cs="Times New Roman"/>
          <w:color w:val="242121"/>
          <w:sz w:val="26"/>
          <w:szCs w:val="26"/>
          <w:lang w:val="en-GB"/>
        </w:rPr>
        <w:t xml:space="preserve">, the </w:t>
      </w:r>
      <w:r w:rsidR="00336E8D" w:rsidRPr="00114A72">
        <w:rPr>
          <w:rFonts w:ascii="Times New Roman" w:hAnsi="Times New Roman" w:cs="Times New Roman"/>
          <w:sz w:val="26"/>
          <w:szCs w:val="26"/>
          <w:lang w:val="en-US"/>
        </w:rPr>
        <w:t>lease was terminable on reasonable notice</w:t>
      </w:r>
      <w:r w:rsidR="006155B8" w:rsidRPr="00114A72">
        <w:rPr>
          <w:rFonts w:ascii="Times New Roman" w:hAnsi="Times New Roman" w:cs="Times New Roman"/>
          <w:sz w:val="26"/>
          <w:szCs w:val="26"/>
          <w:lang w:val="en-US"/>
        </w:rPr>
        <w:t>,</w:t>
      </w:r>
      <w:r w:rsidR="00336E8D" w:rsidRPr="00114A72">
        <w:rPr>
          <w:rFonts w:ascii="Times New Roman" w:hAnsi="Times New Roman" w:cs="Times New Roman"/>
          <w:sz w:val="26"/>
          <w:szCs w:val="26"/>
          <w:lang w:val="en-US"/>
        </w:rPr>
        <w:t xml:space="preserve"> which in terms of the lease was two months’ notice. I note as well that the second respondent did not dispute the notice period provided in </w:t>
      </w:r>
      <w:r w:rsidR="006155B8" w:rsidRPr="00114A72">
        <w:rPr>
          <w:rFonts w:ascii="Times New Roman" w:hAnsi="Times New Roman" w:cs="Times New Roman"/>
          <w:sz w:val="26"/>
          <w:szCs w:val="26"/>
          <w:lang w:val="en-US"/>
        </w:rPr>
        <w:t xml:space="preserve">terms of </w:t>
      </w:r>
      <w:r w:rsidR="00336E8D" w:rsidRPr="00114A72">
        <w:rPr>
          <w:rFonts w:ascii="Times New Roman" w:hAnsi="Times New Roman" w:cs="Times New Roman"/>
          <w:sz w:val="26"/>
          <w:szCs w:val="26"/>
          <w:lang w:val="en-US"/>
        </w:rPr>
        <w:t xml:space="preserve">the lease in her answering affidavit. </w:t>
      </w:r>
    </w:p>
    <w:p w14:paraId="568CB4B8" w14:textId="77777777" w:rsidR="00957E91" w:rsidRPr="00BA3C80" w:rsidRDefault="00957E91" w:rsidP="00957E91">
      <w:pPr>
        <w:rPr>
          <w:rFonts w:ascii="Times New Roman" w:hAnsi="Times New Roman" w:cs="Times New Roman"/>
          <w:color w:val="242121"/>
          <w:sz w:val="26"/>
          <w:szCs w:val="26"/>
          <w:lang w:val="en-US"/>
        </w:rPr>
      </w:pPr>
    </w:p>
    <w:p w14:paraId="065335E3" w14:textId="57B56874" w:rsidR="00BA3C80" w:rsidRPr="00114A72" w:rsidRDefault="00114A72" w:rsidP="00114A72">
      <w:pPr>
        <w:spacing w:line="360" w:lineRule="auto"/>
        <w:jc w:val="both"/>
        <w:rPr>
          <w:rFonts w:ascii="Times New Roman" w:hAnsi="Times New Roman" w:cs="Times New Roman"/>
          <w:color w:val="242121"/>
          <w:sz w:val="26"/>
          <w:szCs w:val="26"/>
          <w:lang w:val="en-US"/>
        </w:rPr>
      </w:pPr>
      <w:r w:rsidRPr="00E41C05">
        <w:rPr>
          <w:rFonts w:ascii="Times New Roman" w:hAnsi="Times New Roman" w:cs="Times New Roman"/>
          <w:color w:val="242121"/>
          <w:kern w:val="0"/>
          <w:sz w:val="26"/>
          <w:szCs w:val="26"/>
          <w:lang w:val="en-US"/>
          <w14:ligatures w14:val="none"/>
        </w:rPr>
        <w:t>[38]</w:t>
      </w:r>
      <w:r w:rsidRPr="00E41C05">
        <w:rPr>
          <w:rFonts w:ascii="Times New Roman" w:hAnsi="Times New Roman" w:cs="Times New Roman"/>
          <w:color w:val="242121"/>
          <w:kern w:val="0"/>
          <w:sz w:val="26"/>
          <w:szCs w:val="26"/>
          <w:lang w:val="en-US"/>
          <w14:ligatures w14:val="none"/>
        </w:rPr>
        <w:tab/>
      </w:r>
      <w:r w:rsidR="00957E91" w:rsidRPr="00114A72">
        <w:rPr>
          <w:rFonts w:ascii="Times New Roman" w:hAnsi="Times New Roman" w:cs="Times New Roman"/>
          <w:color w:val="242121"/>
          <w:sz w:val="26"/>
          <w:szCs w:val="26"/>
          <w:lang w:val="en-US"/>
        </w:rPr>
        <w:t>The Magistrate also remark</w:t>
      </w:r>
      <w:r w:rsidR="00E41C05" w:rsidRPr="00114A72">
        <w:rPr>
          <w:rFonts w:ascii="Times New Roman" w:hAnsi="Times New Roman" w:cs="Times New Roman"/>
          <w:color w:val="242121"/>
          <w:sz w:val="26"/>
          <w:szCs w:val="26"/>
          <w:lang w:val="en-US"/>
        </w:rPr>
        <w:t xml:space="preserve">ed </w:t>
      </w:r>
      <w:r w:rsidR="00957E91" w:rsidRPr="00114A72">
        <w:rPr>
          <w:rFonts w:ascii="Times New Roman" w:hAnsi="Times New Roman" w:cs="Times New Roman"/>
          <w:color w:val="242121"/>
          <w:sz w:val="26"/>
          <w:szCs w:val="26"/>
          <w:lang w:val="en-US"/>
        </w:rPr>
        <w:t>that the respondents were not billed on any new amount</w:t>
      </w:r>
      <w:r w:rsidR="00E41C05" w:rsidRPr="00114A72">
        <w:rPr>
          <w:rFonts w:ascii="Times New Roman" w:hAnsi="Times New Roman" w:cs="Times New Roman"/>
          <w:color w:val="242121"/>
          <w:sz w:val="26"/>
          <w:szCs w:val="26"/>
          <w:lang w:val="en-US"/>
        </w:rPr>
        <w:t>, presumably between April 2020 to March 2022</w:t>
      </w:r>
      <w:r w:rsidR="00957E91" w:rsidRPr="00114A72">
        <w:rPr>
          <w:rFonts w:ascii="Times New Roman" w:hAnsi="Times New Roman" w:cs="Times New Roman"/>
          <w:color w:val="242121"/>
          <w:sz w:val="26"/>
          <w:szCs w:val="26"/>
          <w:lang w:val="en-US"/>
        </w:rPr>
        <w:t xml:space="preserve">.  </w:t>
      </w:r>
      <w:r w:rsidR="00E41C05" w:rsidRPr="00114A72">
        <w:rPr>
          <w:rFonts w:ascii="Times New Roman" w:hAnsi="Times New Roman" w:cs="Times New Roman"/>
          <w:color w:val="242121"/>
          <w:sz w:val="26"/>
          <w:szCs w:val="26"/>
          <w:lang w:val="en-US"/>
        </w:rPr>
        <w:t xml:space="preserve">There is nothing remarkable about this because, in terms of clause 19.2 of the lease, if the City were to cancel the agreement and the respondents dispute the City’s right to cancel it but remain in occupation of the property, the respondents are obliged to continue to make all rental payments which are due and payable in terms of the lease until the dispute is resolved. </w:t>
      </w:r>
      <w:r w:rsidR="00BA3C80" w:rsidRPr="00114A72">
        <w:rPr>
          <w:rFonts w:ascii="Times New Roman" w:hAnsi="Times New Roman" w:cs="Times New Roman"/>
          <w:color w:val="242121"/>
          <w:sz w:val="26"/>
          <w:szCs w:val="26"/>
        </w:rPr>
        <w:t>If anything, t</w:t>
      </w:r>
      <w:r w:rsidR="00BA3C80" w:rsidRPr="00114A72">
        <w:rPr>
          <w:rFonts w:ascii="Times New Roman" w:hAnsi="Times New Roman" w:cs="Times New Roman"/>
          <w:color w:val="242121"/>
          <w:sz w:val="26"/>
          <w:szCs w:val="26"/>
          <w:lang w:val="en-US"/>
        </w:rPr>
        <w:t>he fact that the respondents were not billed in a new rental amount is evidence that the City had not changed its stance</w:t>
      </w:r>
      <w:r w:rsidR="00E41C05" w:rsidRPr="00114A72">
        <w:rPr>
          <w:rFonts w:ascii="Times New Roman" w:hAnsi="Times New Roman" w:cs="Times New Roman"/>
          <w:color w:val="242121"/>
          <w:sz w:val="26"/>
          <w:szCs w:val="26"/>
          <w:lang w:val="en-US"/>
        </w:rPr>
        <w:t xml:space="preserve"> to evict them</w:t>
      </w:r>
      <w:r w:rsidR="00BA3C80" w:rsidRPr="00114A72">
        <w:rPr>
          <w:rFonts w:ascii="Times New Roman" w:hAnsi="Times New Roman" w:cs="Times New Roman"/>
          <w:color w:val="242121"/>
          <w:sz w:val="26"/>
          <w:szCs w:val="26"/>
          <w:lang w:val="en-US"/>
        </w:rPr>
        <w:t xml:space="preserve">. </w:t>
      </w:r>
    </w:p>
    <w:p w14:paraId="5CC61E15" w14:textId="77777777" w:rsidR="00BA3C80" w:rsidRPr="00E41C05" w:rsidRDefault="00BA3C80" w:rsidP="00E41C05">
      <w:pPr>
        <w:rPr>
          <w:rFonts w:ascii="Times New Roman" w:hAnsi="Times New Roman" w:cs="Times New Roman"/>
          <w:color w:val="242121"/>
          <w:sz w:val="26"/>
          <w:szCs w:val="26"/>
          <w:lang w:val="en-US"/>
        </w:rPr>
      </w:pPr>
    </w:p>
    <w:p w14:paraId="3810449F" w14:textId="7D470541" w:rsidR="00CC2A74" w:rsidRPr="00114A72" w:rsidRDefault="00114A72" w:rsidP="00114A72">
      <w:pPr>
        <w:spacing w:line="360" w:lineRule="auto"/>
        <w:jc w:val="both"/>
        <w:rPr>
          <w:rFonts w:ascii="Times New Roman" w:hAnsi="Times New Roman" w:cs="Times New Roman"/>
          <w:color w:val="242121"/>
          <w:sz w:val="26"/>
          <w:szCs w:val="26"/>
        </w:rPr>
      </w:pPr>
      <w:r w:rsidRPr="009055EB">
        <w:rPr>
          <w:rFonts w:ascii="Times New Roman" w:hAnsi="Times New Roman" w:cs="Times New Roman"/>
          <w:color w:val="242121"/>
          <w:kern w:val="0"/>
          <w:sz w:val="26"/>
          <w:szCs w:val="26"/>
          <w14:ligatures w14:val="none"/>
        </w:rPr>
        <w:t>[39]</w:t>
      </w:r>
      <w:r w:rsidRPr="009055EB">
        <w:rPr>
          <w:rFonts w:ascii="Times New Roman" w:hAnsi="Times New Roman" w:cs="Times New Roman"/>
          <w:color w:val="242121"/>
          <w:kern w:val="0"/>
          <w:sz w:val="26"/>
          <w:szCs w:val="26"/>
          <w14:ligatures w14:val="none"/>
        </w:rPr>
        <w:tab/>
      </w:r>
      <w:r w:rsidR="00CC2A74" w:rsidRPr="00114A72">
        <w:rPr>
          <w:rFonts w:ascii="Times New Roman" w:hAnsi="Times New Roman" w:cs="Times New Roman"/>
          <w:color w:val="242121"/>
          <w:sz w:val="26"/>
          <w:szCs w:val="26"/>
          <w:lang w:val="en-US"/>
        </w:rPr>
        <w:t xml:space="preserve">The final basis for the Magistrate’s finding is </w:t>
      </w:r>
      <w:r w:rsidR="00CC2A74" w:rsidRPr="00114A72">
        <w:rPr>
          <w:rFonts w:ascii="Times New Roman" w:hAnsi="Times New Roman" w:cs="Times New Roman"/>
          <w:i/>
          <w:iCs/>
          <w:color w:val="242121"/>
          <w:sz w:val="26"/>
          <w:szCs w:val="26"/>
          <w:lang w:val="en-US"/>
        </w:rPr>
        <w:t>“the negotiations which carried up until June 2022”</w:t>
      </w:r>
      <w:r w:rsidR="00CC2A74" w:rsidRPr="00114A72">
        <w:rPr>
          <w:rFonts w:ascii="Times New Roman" w:hAnsi="Times New Roman" w:cs="Times New Roman"/>
          <w:color w:val="242121"/>
          <w:sz w:val="26"/>
          <w:szCs w:val="26"/>
          <w:lang w:val="en-US"/>
        </w:rPr>
        <w:t xml:space="preserve">. </w:t>
      </w:r>
      <w:r w:rsidR="00CC2A74" w:rsidRPr="00114A72">
        <w:rPr>
          <w:rFonts w:ascii="Times New Roman" w:hAnsi="Times New Roman" w:cs="Times New Roman"/>
          <w:color w:val="242121"/>
          <w:sz w:val="26"/>
          <w:szCs w:val="26"/>
        </w:rPr>
        <w:t>T</w:t>
      </w:r>
      <w:r w:rsidR="00CC2A74" w:rsidRPr="00114A72">
        <w:rPr>
          <w:rFonts w:ascii="Times New Roman" w:hAnsi="Times New Roman" w:cs="Times New Roman"/>
          <w:color w:val="242121"/>
          <w:sz w:val="26"/>
          <w:szCs w:val="26"/>
          <w:lang w:val="en-US"/>
        </w:rPr>
        <w:t xml:space="preserve">he only evidence of ‘negotiations’ between the parties contained in the papers is from May 2022, after the eviction proceedings were instituted. These were in the form of a letter and emails between the second respondent’s attorney and the City’s legal representatives, which continued until 16 June 2022. </w:t>
      </w:r>
      <w:r w:rsidR="00E41C05" w:rsidRPr="00114A72">
        <w:rPr>
          <w:rFonts w:ascii="Times New Roman" w:hAnsi="Times New Roman" w:cs="Times New Roman"/>
          <w:color w:val="242121"/>
          <w:sz w:val="26"/>
          <w:szCs w:val="26"/>
          <w:lang w:val="en-US"/>
        </w:rPr>
        <w:t>During that whole period</w:t>
      </w:r>
      <w:r w:rsidR="00CC2A74" w:rsidRPr="00114A72">
        <w:rPr>
          <w:rFonts w:ascii="Times New Roman" w:hAnsi="Times New Roman" w:cs="Times New Roman"/>
          <w:color w:val="242121"/>
          <w:sz w:val="26"/>
          <w:szCs w:val="26"/>
          <w:lang w:val="en-US"/>
        </w:rPr>
        <w:t xml:space="preserve">, the second respondent was informed that City’s representatives were awaiting instructions from the City regarding </w:t>
      </w:r>
      <w:r w:rsidR="00E41C05" w:rsidRPr="00114A72">
        <w:rPr>
          <w:rFonts w:ascii="Times New Roman" w:hAnsi="Times New Roman" w:cs="Times New Roman"/>
          <w:color w:val="242121"/>
          <w:sz w:val="26"/>
          <w:szCs w:val="26"/>
          <w:lang w:val="en-US"/>
        </w:rPr>
        <w:t>her</w:t>
      </w:r>
      <w:r w:rsidR="00CC2A74" w:rsidRPr="00114A72">
        <w:rPr>
          <w:rFonts w:ascii="Times New Roman" w:hAnsi="Times New Roman" w:cs="Times New Roman"/>
          <w:color w:val="242121"/>
          <w:sz w:val="26"/>
          <w:szCs w:val="26"/>
          <w:lang w:val="en-US"/>
        </w:rPr>
        <w:t xml:space="preserve"> offer. There is otherwise no indication that the City had changed its mind regarding the eviction. In fact, </w:t>
      </w:r>
      <w:r w:rsidR="00357FE6" w:rsidRPr="00114A72">
        <w:rPr>
          <w:rFonts w:ascii="Times New Roman" w:hAnsi="Times New Roman" w:cs="Times New Roman"/>
          <w:color w:val="242121"/>
          <w:sz w:val="26"/>
          <w:szCs w:val="26"/>
          <w:lang w:val="en-US"/>
        </w:rPr>
        <w:t>amongst the correspondence between the parties is an email dated</w:t>
      </w:r>
      <w:r w:rsidR="00CC2A74" w:rsidRPr="00114A72">
        <w:rPr>
          <w:rFonts w:ascii="Times New Roman" w:hAnsi="Times New Roman" w:cs="Times New Roman"/>
          <w:color w:val="242121"/>
          <w:sz w:val="26"/>
          <w:szCs w:val="26"/>
          <w:lang w:val="en-US"/>
        </w:rPr>
        <w:t xml:space="preserve"> 6 June 2022 </w:t>
      </w:r>
      <w:r w:rsidR="00357FE6" w:rsidRPr="00114A72">
        <w:rPr>
          <w:rFonts w:ascii="Times New Roman" w:hAnsi="Times New Roman" w:cs="Times New Roman"/>
          <w:color w:val="242121"/>
          <w:sz w:val="26"/>
          <w:szCs w:val="26"/>
          <w:lang w:val="en-US"/>
        </w:rPr>
        <w:t xml:space="preserve">from </w:t>
      </w:r>
      <w:r w:rsidR="00CC2A74" w:rsidRPr="00114A72">
        <w:rPr>
          <w:rFonts w:ascii="Times New Roman" w:hAnsi="Times New Roman" w:cs="Times New Roman"/>
          <w:color w:val="242121"/>
          <w:sz w:val="26"/>
          <w:szCs w:val="26"/>
          <w:lang w:val="en-US"/>
        </w:rPr>
        <w:t xml:space="preserve">the City’s legal representatives </w:t>
      </w:r>
      <w:r w:rsidR="00357FE6" w:rsidRPr="00114A72">
        <w:rPr>
          <w:rFonts w:ascii="Times New Roman" w:hAnsi="Times New Roman" w:cs="Times New Roman"/>
          <w:color w:val="242121"/>
          <w:sz w:val="26"/>
          <w:szCs w:val="26"/>
          <w:lang w:val="en-US"/>
        </w:rPr>
        <w:t xml:space="preserve">in which they </w:t>
      </w:r>
      <w:r w:rsidR="00CC2A74" w:rsidRPr="00114A72">
        <w:rPr>
          <w:rFonts w:ascii="Times New Roman" w:hAnsi="Times New Roman" w:cs="Times New Roman"/>
          <w:color w:val="242121"/>
          <w:sz w:val="26"/>
          <w:szCs w:val="26"/>
          <w:lang w:val="en-US"/>
        </w:rPr>
        <w:t>advised the second respondent’s attorneys to file an answering affidavit in order to meet time obligations</w:t>
      </w:r>
      <w:r w:rsidR="00357FE6" w:rsidRPr="00114A72">
        <w:rPr>
          <w:rFonts w:ascii="Times New Roman" w:hAnsi="Times New Roman" w:cs="Times New Roman"/>
          <w:color w:val="242121"/>
          <w:sz w:val="26"/>
          <w:szCs w:val="26"/>
          <w:lang w:val="en-US"/>
        </w:rPr>
        <w:t xml:space="preserve">, and </w:t>
      </w:r>
      <w:r w:rsidR="00CC2A74" w:rsidRPr="00114A72">
        <w:rPr>
          <w:rFonts w:ascii="Times New Roman" w:hAnsi="Times New Roman" w:cs="Times New Roman"/>
          <w:color w:val="242121"/>
          <w:sz w:val="26"/>
          <w:szCs w:val="26"/>
          <w:lang w:val="en-US"/>
        </w:rPr>
        <w:t xml:space="preserve">suggested </w:t>
      </w:r>
      <w:r w:rsidR="00CC2A74" w:rsidRPr="00114A72">
        <w:rPr>
          <w:rFonts w:ascii="Times New Roman" w:hAnsi="Times New Roman" w:cs="Times New Roman"/>
          <w:i/>
          <w:iCs/>
          <w:color w:val="242121"/>
          <w:sz w:val="26"/>
          <w:szCs w:val="26"/>
          <w:lang w:val="en-US"/>
        </w:rPr>
        <w:t>“that your clients file their papers and any discussion on settlement can run parallel to the legal process”</w:t>
      </w:r>
      <w:r w:rsidR="00CC2A74" w:rsidRPr="00114A72">
        <w:rPr>
          <w:rFonts w:ascii="Times New Roman" w:hAnsi="Times New Roman" w:cs="Times New Roman"/>
          <w:color w:val="242121"/>
          <w:sz w:val="26"/>
          <w:szCs w:val="26"/>
          <w:lang w:val="en-US"/>
        </w:rPr>
        <w:t xml:space="preserve">. This is a clear indication that the City had not withdrawn its legal process of evicting the respondents. </w:t>
      </w:r>
      <w:r w:rsidR="00CC2A74" w:rsidRPr="00114A72">
        <w:rPr>
          <w:rFonts w:ascii="Times New Roman" w:hAnsi="Times New Roman" w:cs="Times New Roman"/>
          <w:color w:val="242121"/>
          <w:sz w:val="26"/>
          <w:szCs w:val="26"/>
          <w:lang w:val="en-US"/>
        </w:rPr>
        <w:lastRenderedPageBreak/>
        <w:t>There is therefore no basis to conclude that the negotiations between the parties somehow contributed towards invalidating the cancellation of the lease.</w:t>
      </w:r>
    </w:p>
    <w:p w14:paraId="632560C6" w14:textId="77777777" w:rsidR="00CC2A74" w:rsidRPr="007840BE" w:rsidRDefault="00CC2A74" w:rsidP="00CC2A74">
      <w:pPr>
        <w:pStyle w:val="ListParagraph"/>
        <w:spacing w:after="0" w:line="360" w:lineRule="auto"/>
        <w:ind w:left="0"/>
        <w:jc w:val="both"/>
        <w:rPr>
          <w:rFonts w:ascii="Times New Roman" w:hAnsi="Times New Roman" w:cs="Times New Roman"/>
          <w:color w:val="242121"/>
          <w:sz w:val="26"/>
          <w:szCs w:val="26"/>
        </w:rPr>
      </w:pPr>
    </w:p>
    <w:p w14:paraId="0FE0BAE8" w14:textId="7DF1D2A8" w:rsidR="006155B8" w:rsidRPr="00114A72" w:rsidRDefault="00114A72" w:rsidP="00114A72">
      <w:pPr>
        <w:spacing w:line="360" w:lineRule="auto"/>
        <w:jc w:val="both"/>
        <w:rPr>
          <w:rFonts w:ascii="Times New Roman" w:hAnsi="Times New Roman" w:cs="Times New Roman"/>
          <w:color w:val="242121"/>
          <w:sz w:val="26"/>
          <w:szCs w:val="26"/>
        </w:rPr>
      </w:pPr>
      <w:r w:rsidRPr="006155B8">
        <w:rPr>
          <w:rFonts w:ascii="Times New Roman" w:hAnsi="Times New Roman" w:cs="Times New Roman"/>
          <w:color w:val="242121"/>
          <w:kern w:val="0"/>
          <w:sz w:val="26"/>
          <w:szCs w:val="26"/>
          <w14:ligatures w14:val="none"/>
        </w:rPr>
        <w:t>[40]</w:t>
      </w:r>
      <w:r w:rsidRPr="006155B8">
        <w:rPr>
          <w:rFonts w:ascii="Times New Roman" w:hAnsi="Times New Roman" w:cs="Times New Roman"/>
          <w:color w:val="242121"/>
          <w:kern w:val="0"/>
          <w:sz w:val="26"/>
          <w:szCs w:val="26"/>
          <w14:ligatures w14:val="none"/>
        </w:rPr>
        <w:tab/>
      </w:r>
      <w:r w:rsidR="00357FE6" w:rsidRPr="00114A72">
        <w:rPr>
          <w:rFonts w:ascii="Times New Roman" w:hAnsi="Times New Roman" w:cs="Times New Roman"/>
          <w:color w:val="242121"/>
          <w:sz w:val="26"/>
          <w:szCs w:val="26"/>
        </w:rPr>
        <w:t xml:space="preserve">As the discussion above shows, the reasons relied upon by the Magistrate for dismissing the application are not sustainable. </w:t>
      </w:r>
      <w:r w:rsidR="006155B8" w:rsidRPr="00114A72">
        <w:rPr>
          <w:rFonts w:ascii="Times New Roman" w:hAnsi="Times New Roman" w:cs="Times New Roman"/>
          <w:color w:val="242121"/>
          <w:sz w:val="26"/>
          <w:szCs w:val="26"/>
        </w:rPr>
        <w:t xml:space="preserve"> And s</w:t>
      </w:r>
      <w:r w:rsidR="00357FE6" w:rsidRPr="00114A72">
        <w:rPr>
          <w:rFonts w:ascii="Times New Roman" w:hAnsi="Times New Roman" w:cs="Times New Roman"/>
          <w:color w:val="242121"/>
          <w:sz w:val="26"/>
          <w:szCs w:val="26"/>
          <w:lang w:val="en-US"/>
        </w:rPr>
        <w:t xml:space="preserve">ince she found that the respondents were not unlawful occupiers in terms of the PIE Act, the Magistrate did not proceed to consider whether their eviction would be just and equitable, and that determination must still be made. </w:t>
      </w:r>
    </w:p>
    <w:p w14:paraId="3B6F2029" w14:textId="77777777" w:rsidR="006155B8" w:rsidRPr="006155B8" w:rsidRDefault="006155B8" w:rsidP="006155B8">
      <w:pPr>
        <w:pStyle w:val="ListParagraph"/>
        <w:rPr>
          <w:rFonts w:ascii="Times New Roman" w:hAnsi="Times New Roman" w:cs="Times New Roman"/>
          <w:color w:val="242121"/>
          <w:sz w:val="26"/>
          <w:szCs w:val="26"/>
          <w:lang w:val="en-US"/>
        </w:rPr>
      </w:pPr>
    </w:p>
    <w:p w14:paraId="30BCD430" w14:textId="22FE56C2" w:rsidR="00A34422" w:rsidRPr="00114A72" w:rsidRDefault="00114A72" w:rsidP="00114A72">
      <w:pPr>
        <w:spacing w:line="360" w:lineRule="auto"/>
        <w:jc w:val="both"/>
        <w:rPr>
          <w:rFonts w:ascii="Times New Roman" w:hAnsi="Times New Roman" w:cs="Times New Roman"/>
          <w:color w:val="242121"/>
          <w:sz w:val="26"/>
          <w:szCs w:val="26"/>
        </w:rPr>
      </w:pPr>
      <w:r w:rsidRPr="00A34422">
        <w:rPr>
          <w:rFonts w:ascii="Times New Roman" w:hAnsi="Times New Roman" w:cs="Times New Roman"/>
          <w:color w:val="242121"/>
          <w:kern w:val="0"/>
          <w:sz w:val="26"/>
          <w:szCs w:val="26"/>
          <w14:ligatures w14:val="none"/>
        </w:rPr>
        <w:t>[41]</w:t>
      </w:r>
      <w:r w:rsidRPr="00A34422">
        <w:rPr>
          <w:rFonts w:ascii="Times New Roman" w:hAnsi="Times New Roman" w:cs="Times New Roman"/>
          <w:color w:val="242121"/>
          <w:kern w:val="0"/>
          <w:sz w:val="26"/>
          <w:szCs w:val="26"/>
          <w14:ligatures w14:val="none"/>
        </w:rPr>
        <w:tab/>
      </w:r>
      <w:r w:rsidR="003D1689" w:rsidRPr="00114A72">
        <w:rPr>
          <w:rFonts w:ascii="Times New Roman" w:hAnsi="Times New Roman" w:cs="Times New Roman"/>
          <w:color w:val="242121"/>
          <w:sz w:val="26"/>
          <w:szCs w:val="26"/>
          <w:lang w:val="en-US"/>
        </w:rPr>
        <w:t xml:space="preserve">In considering the appropriate </w:t>
      </w:r>
      <w:r w:rsidR="00C7018E" w:rsidRPr="00114A72">
        <w:rPr>
          <w:rFonts w:ascii="Times New Roman" w:hAnsi="Times New Roman" w:cs="Times New Roman"/>
          <w:color w:val="242121"/>
          <w:sz w:val="26"/>
          <w:szCs w:val="26"/>
          <w:lang w:val="en-US"/>
        </w:rPr>
        <w:t>approach</w:t>
      </w:r>
      <w:r w:rsidR="003D1689" w:rsidRPr="00114A72">
        <w:rPr>
          <w:rFonts w:ascii="Times New Roman" w:hAnsi="Times New Roman" w:cs="Times New Roman"/>
          <w:color w:val="242121"/>
          <w:sz w:val="26"/>
          <w:szCs w:val="26"/>
          <w:lang w:val="en-US"/>
        </w:rPr>
        <w:t xml:space="preserve"> to be </w:t>
      </w:r>
      <w:r w:rsidR="00C7018E" w:rsidRPr="00114A72">
        <w:rPr>
          <w:rFonts w:ascii="Times New Roman" w:hAnsi="Times New Roman" w:cs="Times New Roman"/>
          <w:color w:val="242121"/>
          <w:sz w:val="26"/>
          <w:szCs w:val="26"/>
          <w:lang w:val="en-US"/>
        </w:rPr>
        <w:t>taken in this matter</w:t>
      </w:r>
      <w:r w:rsidR="003D1689" w:rsidRPr="00114A72">
        <w:rPr>
          <w:rFonts w:ascii="Times New Roman" w:hAnsi="Times New Roman" w:cs="Times New Roman"/>
          <w:color w:val="242121"/>
          <w:sz w:val="26"/>
          <w:szCs w:val="26"/>
          <w:lang w:val="en-US"/>
        </w:rPr>
        <w:t>, t</w:t>
      </w:r>
      <w:r w:rsidR="006155B8" w:rsidRPr="00114A72">
        <w:rPr>
          <w:rFonts w:ascii="Times New Roman" w:hAnsi="Times New Roman" w:cs="Times New Roman"/>
          <w:color w:val="242121"/>
          <w:sz w:val="26"/>
          <w:szCs w:val="26"/>
          <w:lang w:val="en-US"/>
        </w:rPr>
        <w:t xml:space="preserve">here is a sense in which the issues between the parties have not been </w:t>
      </w:r>
      <w:r w:rsidR="003D1689" w:rsidRPr="00114A72">
        <w:rPr>
          <w:rFonts w:ascii="Times New Roman" w:hAnsi="Times New Roman" w:cs="Times New Roman"/>
          <w:color w:val="242121"/>
          <w:sz w:val="26"/>
          <w:szCs w:val="26"/>
          <w:lang w:val="en-US"/>
        </w:rPr>
        <w:t xml:space="preserve">sufficiently </w:t>
      </w:r>
      <w:r w:rsidR="006155B8" w:rsidRPr="00114A72">
        <w:rPr>
          <w:rFonts w:ascii="Times New Roman" w:hAnsi="Times New Roman" w:cs="Times New Roman"/>
          <w:color w:val="242121"/>
          <w:sz w:val="26"/>
          <w:szCs w:val="26"/>
          <w:lang w:val="en-US"/>
        </w:rPr>
        <w:t xml:space="preserve">explored. </w:t>
      </w:r>
      <w:r w:rsidR="00357FE6" w:rsidRPr="00114A72">
        <w:rPr>
          <w:rFonts w:ascii="Times New Roman" w:hAnsi="Times New Roman" w:cs="Times New Roman"/>
          <w:color w:val="242121"/>
          <w:sz w:val="26"/>
          <w:szCs w:val="26"/>
          <w:lang w:val="en-US"/>
        </w:rPr>
        <w:t xml:space="preserve">It is </w:t>
      </w:r>
      <w:r w:rsidR="003D1689" w:rsidRPr="00114A72">
        <w:rPr>
          <w:rFonts w:ascii="Times New Roman" w:hAnsi="Times New Roman" w:cs="Times New Roman"/>
          <w:color w:val="242121"/>
          <w:sz w:val="26"/>
          <w:szCs w:val="26"/>
          <w:lang w:val="en-US"/>
        </w:rPr>
        <w:t>evident</w:t>
      </w:r>
      <w:r w:rsidR="00357FE6" w:rsidRPr="00114A72">
        <w:rPr>
          <w:rFonts w:ascii="Times New Roman" w:hAnsi="Times New Roman" w:cs="Times New Roman"/>
          <w:color w:val="242121"/>
          <w:sz w:val="26"/>
          <w:szCs w:val="26"/>
          <w:lang w:val="en-US"/>
        </w:rPr>
        <w:t xml:space="preserve"> from the papers that there has been very little </w:t>
      </w:r>
      <w:r w:rsidR="00A34422" w:rsidRPr="00114A72">
        <w:rPr>
          <w:rFonts w:ascii="Times New Roman" w:hAnsi="Times New Roman" w:cs="Times New Roman"/>
          <w:color w:val="242121"/>
          <w:sz w:val="26"/>
          <w:szCs w:val="26"/>
          <w:lang w:val="en-US"/>
        </w:rPr>
        <w:t>engagement</w:t>
      </w:r>
      <w:r w:rsidR="00357FE6" w:rsidRPr="00114A72">
        <w:rPr>
          <w:rFonts w:ascii="Times New Roman" w:hAnsi="Times New Roman" w:cs="Times New Roman"/>
          <w:color w:val="242121"/>
          <w:sz w:val="26"/>
          <w:szCs w:val="26"/>
          <w:lang w:val="en-US"/>
        </w:rPr>
        <w:t xml:space="preserve"> between the City and the second respondent</w:t>
      </w:r>
      <w:r w:rsidR="006155B8" w:rsidRPr="00114A72">
        <w:rPr>
          <w:rFonts w:ascii="Times New Roman" w:hAnsi="Times New Roman" w:cs="Times New Roman"/>
          <w:color w:val="242121"/>
          <w:sz w:val="26"/>
          <w:szCs w:val="26"/>
          <w:lang w:val="en-US"/>
        </w:rPr>
        <w:t xml:space="preserve">, and that, before the launch of the proceedings, correspondence from the City was directed </w:t>
      </w:r>
      <w:r w:rsidR="003D1689" w:rsidRPr="00114A72">
        <w:rPr>
          <w:rFonts w:ascii="Times New Roman" w:hAnsi="Times New Roman" w:cs="Times New Roman"/>
          <w:color w:val="242121"/>
          <w:sz w:val="26"/>
          <w:szCs w:val="26"/>
          <w:lang w:val="en-US"/>
        </w:rPr>
        <w:t xml:space="preserve">only </w:t>
      </w:r>
      <w:r w:rsidR="006155B8" w:rsidRPr="00114A72">
        <w:rPr>
          <w:rFonts w:ascii="Times New Roman" w:hAnsi="Times New Roman" w:cs="Times New Roman"/>
          <w:color w:val="242121"/>
          <w:sz w:val="26"/>
          <w:szCs w:val="26"/>
          <w:lang w:val="en-US"/>
        </w:rPr>
        <w:t xml:space="preserve">at the first respondent. </w:t>
      </w:r>
      <w:r w:rsidR="00357FE6" w:rsidRPr="00114A72">
        <w:rPr>
          <w:rFonts w:ascii="Times New Roman" w:hAnsi="Times New Roman" w:cs="Times New Roman"/>
          <w:color w:val="242121"/>
          <w:sz w:val="26"/>
          <w:szCs w:val="26"/>
          <w:lang w:val="en-US"/>
        </w:rPr>
        <w:t xml:space="preserve">It </w:t>
      </w:r>
      <w:r w:rsidR="00A34422" w:rsidRPr="00114A72">
        <w:rPr>
          <w:rFonts w:ascii="Times New Roman" w:hAnsi="Times New Roman" w:cs="Times New Roman"/>
          <w:color w:val="242121"/>
          <w:sz w:val="26"/>
          <w:szCs w:val="26"/>
          <w:lang w:val="en-US"/>
        </w:rPr>
        <w:t xml:space="preserve">has </w:t>
      </w:r>
      <w:r w:rsidR="00357FE6" w:rsidRPr="00114A72">
        <w:rPr>
          <w:rFonts w:ascii="Times New Roman" w:hAnsi="Times New Roman" w:cs="Times New Roman"/>
          <w:color w:val="242121"/>
          <w:sz w:val="26"/>
          <w:szCs w:val="26"/>
          <w:lang w:val="en-US"/>
        </w:rPr>
        <w:t xml:space="preserve">transpired </w:t>
      </w:r>
      <w:r w:rsidR="00A34422" w:rsidRPr="00114A72">
        <w:rPr>
          <w:rFonts w:ascii="Times New Roman" w:hAnsi="Times New Roman" w:cs="Times New Roman"/>
          <w:color w:val="242121"/>
          <w:sz w:val="26"/>
          <w:szCs w:val="26"/>
          <w:lang w:val="en-US"/>
        </w:rPr>
        <w:t>from</w:t>
      </w:r>
      <w:r w:rsidR="00357FE6" w:rsidRPr="00114A72">
        <w:rPr>
          <w:rFonts w:ascii="Times New Roman" w:hAnsi="Times New Roman" w:cs="Times New Roman"/>
          <w:color w:val="242121"/>
          <w:sz w:val="26"/>
          <w:szCs w:val="26"/>
          <w:lang w:val="en-US"/>
        </w:rPr>
        <w:t xml:space="preserve"> the papers that the first respondent is no longer involved with the property. </w:t>
      </w:r>
      <w:r w:rsidR="00A34422" w:rsidRPr="00114A72">
        <w:rPr>
          <w:rFonts w:ascii="Times New Roman" w:hAnsi="Times New Roman" w:cs="Times New Roman"/>
          <w:color w:val="242121"/>
          <w:sz w:val="26"/>
          <w:szCs w:val="26"/>
          <w:lang w:val="en-US"/>
        </w:rPr>
        <w:t>At the same time, the second respondent desires to remain at the property and to engage with the City.</w:t>
      </w:r>
    </w:p>
    <w:p w14:paraId="5724F743" w14:textId="77777777" w:rsidR="00A34422" w:rsidRPr="00A34422" w:rsidRDefault="00A34422" w:rsidP="00A34422">
      <w:pPr>
        <w:pStyle w:val="ListParagraph"/>
        <w:rPr>
          <w:rFonts w:ascii="Times New Roman" w:hAnsi="Times New Roman" w:cs="Times New Roman"/>
          <w:color w:val="242121"/>
          <w:sz w:val="26"/>
          <w:szCs w:val="26"/>
          <w:lang w:val="en-US"/>
        </w:rPr>
      </w:pPr>
    </w:p>
    <w:p w14:paraId="3BAF56E0" w14:textId="09C84536" w:rsidR="006155B8" w:rsidRPr="00114A72" w:rsidRDefault="00114A72" w:rsidP="00114A72">
      <w:pPr>
        <w:spacing w:line="360" w:lineRule="auto"/>
        <w:jc w:val="both"/>
        <w:rPr>
          <w:rFonts w:ascii="Times New Roman" w:hAnsi="Times New Roman" w:cs="Times New Roman"/>
          <w:color w:val="242121"/>
          <w:sz w:val="26"/>
          <w:szCs w:val="26"/>
        </w:rPr>
      </w:pPr>
      <w:r w:rsidRPr="006155B8">
        <w:rPr>
          <w:rFonts w:ascii="Times New Roman" w:hAnsi="Times New Roman" w:cs="Times New Roman"/>
          <w:color w:val="242121"/>
          <w:kern w:val="0"/>
          <w:sz w:val="26"/>
          <w:szCs w:val="26"/>
          <w14:ligatures w14:val="none"/>
        </w:rPr>
        <w:t>[42]</w:t>
      </w:r>
      <w:r w:rsidRPr="006155B8">
        <w:rPr>
          <w:rFonts w:ascii="Times New Roman" w:hAnsi="Times New Roman" w:cs="Times New Roman"/>
          <w:color w:val="242121"/>
          <w:kern w:val="0"/>
          <w:sz w:val="26"/>
          <w:szCs w:val="26"/>
          <w14:ligatures w14:val="none"/>
        </w:rPr>
        <w:tab/>
      </w:r>
      <w:r w:rsidR="00357FE6" w:rsidRPr="00114A72">
        <w:rPr>
          <w:rFonts w:ascii="Times New Roman" w:hAnsi="Times New Roman" w:cs="Times New Roman"/>
          <w:color w:val="242121"/>
          <w:sz w:val="26"/>
          <w:szCs w:val="26"/>
          <w:lang w:val="en-US"/>
        </w:rPr>
        <w:t>In my view</w:t>
      </w:r>
      <w:r w:rsidR="006155B8" w:rsidRPr="00114A72">
        <w:rPr>
          <w:rFonts w:ascii="Times New Roman" w:hAnsi="Times New Roman" w:cs="Times New Roman"/>
          <w:color w:val="242121"/>
          <w:sz w:val="26"/>
          <w:szCs w:val="26"/>
          <w:lang w:val="en-US"/>
        </w:rPr>
        <w:t>,</w:t>
      </w:r>
      <w:r w:rsidR="00357FE6" w:rsidRPr="00114A72">
        <w:rPr>
          <w:rFonts w:ascii="Times New Roman" w:hAnsi="Times New Roman" w:cs="Times New Roman"/>
          <w:color w:val="242121"/>
          <w:sz w:val="26"/>
          <w:szCs w:val="26"/>
          <w:lang w:val="en-US"/>
        </w:rPr>
        <w:t xml:space="preserve"> it is incumbent upon the </w:t>
      </w:r>
      <w:r w:rsidR="006155B8" w:rsidRPr="00114A72">
        <w:rPr>
          <w:rFonts w:ascii="Times New Roman" w:hAnsi="Times New Roman" w:cs="Times New Roman"/>
          <w:color w:val="242121"/>
          <w:sz w:val="26"/>
          <w:szCs w:val="26"/>
          <w:lang w:val="en-US"/>
        </w:rPr>
        <w:t>C</w:t>
      </w:r>
      <w:r w:rsidR="00357FE6" w:rsidRPr="00114A72">
        <w:rPr>
          <w:rFonts w:ascii="Times New Roman" w:hAnsi="Times New Roman" w:cs="Times New Roman"/>
          <w:color w:val="242121"/>
          <w:sz w:val="26"/>
          <w:szCs w:val="26"/>
          <w:lang w:val="en-US"/>
        </w:rPr>
        <w:t xml:space="preserve">ity to direct any further correspondence </w:t>
      </w:r>
      <w:r w:rsidR="00A34422" w:rsidRPr="00114A72">
        <w:rPr>
          <w:rFonts w:ascii="Times New Roman" w:hAnsi="Times New Roman" w:cs="Times New Roman"/>
          <w:color w:val="242121"/>
          <w:sz w:val="26"/>
          <w:szCs w:val="26"/>
          <w:lang w:val="en-US"/>
        </w:rPr>
        <w:t xml:space="preserve">regarding the occupation of the property, if any, </w:t>
      </w:r>
      <w:r w:rsidR="00357FE6" w:rsidRPr="00114A72">
        <w:rPr>
          <w:rFonts w:ascii="Times New Roman" w:hAnsi="Times New Roman" w:cs="Times New Roman"/>
          <w:color w:val="242121"/>
          <w:sz w:val="26"/>
          <w:szCs w:val="26"/>
          <w:lang w:val="en-US"/>
        </w:rPr>
        <w:t>to the second respondent</w:t>
      </w:r>
      <w:r w:rsidR="006155B8" w:rsidRPr="00114A72">
        <w:rPr>
          <w:rFonts w:ascii="Times New Roman" w:hAnsi="Times New Roman" w:cs="Times New Roman"/>
          <w:color w:val="242121"/>
          <w:sz w:val="26"/>
          <w:szCs w:val="26"/>
          <w:lang w:val="en-US"/>
        </w:rPr>
        <w:t xml:space="preserve">. </w:t>
      </w:r>
      <w:r w:rsidR="00357FE6" w:rsidRPr="00114A72">
        <w:rPr>
          <w:rFonts w:ascii="Times New Roman" w:hAnsi="Times New Roman" w:cs="Times New Roman"/>
          <w:color w:val="242121"/>
          <w:sz w:val="26"/>
          <w:szCs w:val="26"/>
          <w:lang w:val="en-US"/>
        </w:rPr>
        <w:t>After all</w:t>
      </w:r>
      <w:r w:rsidR="00C7018E" w:rsidRPr="00114A72">
        <w:rPr>
          <w:rFonts w:ascii="Times New Roman" w:hAnsi="Times New Roman" w:cs="Times New Roman"/>
          <w:color w:val="242121"/>
          <w:sz w:val="26"/>
          <w:szCs w:val="26"/>
          <w:lang w:val="en-US"/>
        </w:rPr>
        <w:t>,</w:t>
      </w:r>
      <w:r w:rsidR="00357FE6" w:rsidRPr="00114A72">
        <w:rPr>
          <w:rFonts w:ascii="Times New Roman" w:hAnsi="Times New Roman" w:cs="Times New Roman"/>
          <w:color w:val="242121"/>
          <w:sz w:val="26"/>
          <w:szCs w:val="26"/>
          <w:lang w:val="en-US"/>
        </w:rPr>
        <w:t xml:space="preserve"> it</w:t>
      </w:r>
      <w:r w:rsidR="006155B8" w:rsidRPr="00114A72">
        <w:rPr>
          <w:rFonts w:ascii="Times New Roman" w:hAnsi="Times New Roman" w:cs="Times New Roman"/>
          <w:color w:val="242121"/>
          <w:sz w:val="26"/>
          <w:szCs w:val="26"/>
          <w:lang w:val="en-US"/>
        </w:rPr>
        <w:t xml:space="preserve"> i</w:t>
      </w:r>
      <w:r w:rsidR="00357FE6" w:rsidRPr="00114A72">
        <w:rPr>
          <w:rFonts w:ascii="Times New Roman" w:hAnsi="Times New Roman" w:cs="Times New Roman"/>
          <w:color w:val="242121"/>
          <w:sz w:val="26"/>
          <w:szCs w:val="26"/>
          <w:lang w:val="en-US"/>
        </w:rPr>
        <w:t>s common cause that the negotiations in 2018 pursuant to a new lease were directed at the second respondent. And at that stage</w:t>
      </w:r>
      <w:r w:rsidR="006155B8" w:rsidRPr="00114A72">
        <w:rPr>
          <w:rFonts w:ascii="Times New Roman" w:hAnsi="Times New Roman" w:cs="Times New Roman"/>
          <w:color w:val="242121"/>
          <w:sz w:val="26"/>
          <w:szCs w:val="26"/>
          <w:lang w:val="en-US"/>
        </w:rPr>
        <w:t>,</w:t>
      </w:r>
      <w:r w:rsidR="00357FE6" w:rsidRPr="00114A72">
        <w:rPr>
          <w:rFonts w:ascii="Times New Roman" w:hAnsi="Times New Roman" w:cs="Times New Roman"/>
          <w:color w:val="242121"/>
          <w:sz w:val="26"/>
          <w:szCs w:val="26"/>
          <w:lang w:val="en-US"/>
        </w:rPr>
        <w:t xml:space="preserve"> the parties agreed to a rental amount of R19</w:t>
      </w:r>
      <w:r w:rsidR="006155B8" w:rsidRPr="00114A72">
        <w:rPr>
          <w:rFonts w:ascii="Times New Roman" w:hAnsi="Times New Roman" w:cs="Times New Roman"/>
          <w:color w:val="242121"/>
          <w:sz w:val="26"/>
          <w:szCs w:val="26"/>
          <w:lang w:val="en-US"/>
        </w:rPr>
        <w:t xml:space="preserve"> 000</w:t>
      </w:r>
      <w:r w:rsidR="00357FE6" w:rsidRPr="00114A72">
        <w:rPr>
          <w:rFonts w:ascii="Times New Roman" w:hAnsi="Times New Roman" w:cs="Times New Roman"/>
          <w:color w:val="242121"/>
          <w:sz w:val="26"/>
          <w:szCs w:val="26"/>
          <w:lang w:val="en-US"/>
        </w:rPr>
        <w:t xml:space="preserve">, which is not far off from the current amount that the </w:t>
      </w:r>
      <w:r w:rsidR="006155B8" w:rsidRPr="00114A72">
        <w:rPr>
          <w:rFonts w:ascii="Times New Roman" w:hAnsi="Times New Roman" w:cs="Times New Roman"/>
          <w:color w:val="242121"/>
          <w:sz w:val="26"/>
          <w:szCs w:val="26"/>
          <w:lang w:val="en-US"/>
        </w:rPr>
        <w:t>C</w:t>
      </w:r>
      <w:r w:rsidR="00357FE6" w:rsidRPr="00114A72">
        <w:rPr>
          <w:rFonts w:ascii="Times New Roman" w:hAnsi="Times New Roman" w:cs="Times New Roman"/>
          <w:color w:val="242121"/>
          <w:sz w:val="26"/>
          <w:szCs w:val="26"/>
          <w:lang w:val="en-US"/>
        </w:rPr>
        <w:t xml:space="preserve">ity </w:t>
      </w:r>
      <w:r w:rsidR="006155B8" w:rsidRPr="00114A72">
        <w:rPr>
          <w:rFonts w:ascii="Times New Roman" w:hAnsi="Times New Roman" w:cs="Times New Roman"/>
          <w:color w:val="242121"/>
          <w:sz w:val="26"/>
          <w:szCs w:val="26"/>
          <w:lang w:val="en-US"/>
        </w:rPr>
        <w:t>wants</w:t>
      </w:r>
      <w:r w:rsidR="00357FE6" w:rsidRPr="00114A72">
        <w:rPr>
          <w:rFonts w:ascii="Times New Roman" w:hAnsi="Times New Roman" w:cs="Times New Roman"/>
          <w:color w:val="242121"/>
          <w:sz w:val="26"/>
          <w:szCs w:val="26"/>
          <w:lang w:val="en-US"/>
        </w:rPr>
        <w:t xml:space="preserve"> to charge now</w:t>
      </w:r>
      <w:r w:rsidR="006155B8" w:rsidRPr="00114A72">
        <w:rPr>
          <w:rFonts w:ascii="Times New Roman" w:hAnsi="Times New Roman" w:cs="Times New Roman"/>
          <w:color w:val="242121"/>
          <w:sz w:val="26"/>
          <w:szCs w:val="26"/>
          <w:lang w:val="en-US"/>
        </w:rPr>
        <w:t>, compared to the amount proposed by the first respondent’s legal representatives</w:t>
      </w:r>
      <w:r w:rsidR="003D1689" w:rsidRPr="00114A72">
        <w:rPr>
          <w:rFonts w:ascii="Times New Roman" w:hAnsi="Times New Roman" w:cs="Times New Roman"/>
          <w:color w:val="242121"/>
          <w:sz w:val="26"/>
          <w:szCs w:val="26"/>
          <w:lang w:val="en-US"/>
        </w:rPr>
        <w:t xml:space="preserve"> of R6 481.20. All the</w:t>
      </w:r>
      <w:r w:rsidR="00A34422" w:rsidRPr="00114A72">
        <w:rPr>
          <w:rFonts w:ascii="Times New Roman" w:hAnsi="Times New Roman" w:cs="Times New Roman"/>
          <w:color w:val="242121"/>
          <w:sz w:val="26"/>
          <w:szCs w:val="26"/>
          <w:lang w:val="en-US"/>
        </w:rPr>
        <w:t>se</w:t>
      </w:r>
      <w:r w:rsidR="003D1689" w:rsidRPr="00114A72">
        <w:rPr>
          <w:rFonts w:ascii="Times New Roman" w:hAnsi="Times New Roman" w:cs="Times New Roman"/>
          <w:color w:val="242121"/>
          <w:sz w:val="26"/>
          <w:szCs w:val="26"/>
          <w:lang w:val="en-US"/>
        </w:rPr>
        <w:t xml:space="preserve"> considerations are relevant to the City’s given reason for cancelling the lease, namely the respondents’ non-acceptance of the new proposed market rental.</w:t>
      </w:r>
      <w:r w:rsidR="00A34422" w:rsidRPr="00114A72">
        <w:rPr>
          <w:rFonts w:ascii="Times New Roman" w:hAnsi="Times New Roman" w:cs="Times New Roman"/>
          <w:color w:val="242121"/>
          <w:sz w:val="26"/>
          <w:szCs w:val="26"/>
          <w:lang w:val="en-US"/>
        </w:rPr>
        <w:t xml:space="preserve"> There is no evidence that the City engaged the second respondent regarding the new proposed rental. </w:t>
      </w:r>
    </w:p>
    <w:p w14:paraId="59430ABA" w14:textId="77777777" w:rsidR="00357FE6" w:rsidRPr="003D1689" w:rsidRDefault="00357FE6" w:rsidP="003D1689">
      <w:pPr>
        <w:rPr>
          <w:rFonts w:ascii="Times New Roman" w:hAnsi="Times New Roman" w:cs="Times New Roman"/>
          <w:color w:val="242121"/>
          <w:sz w:val="26"/>
          <w:szCs w:val="26"/>
        </w:rPr>
      </w:pPr>
    </w:p>
    <w:p w14:paraId="37FF53EA" w14:textId="11FA4D04" w:rsidR="00357FE6" w:rsidRPr="00114A72" w:rsidRDefault="00114A72" w:rsidP="00114A72">
      <w:pPr>
        <w:spacing w:line="360" w:lineRule="auto"/>
        <w:jc w:val="both"/>
        <w:rPr>
          <w:rFonts w:ascii="Verdana" w:hAnsi="Verdana"/>
          <w:color w:val="242121"/>
          <w:sz w:val="27"/>
          <w:szCs w:val="27"/>
          <w:shd w:val="clear" w:color="auto" w:fill="FFFFFF"/>
        </w:rPr>
      </w:pPr>
      <w:r w:rsidRPr="00C7018E">
        <w:rPr>
          <w:rFonts w:ascii="Times New Roman" w:hAnsi="Times New Roman" w:cs="Times New Roman"/>
          <w:color w:val="242121"/>
          <w:kern w:val="0"/>
          <w:sz w:val="26"/>
          <w:szCs w:val="26"/>
          <w14:ligatures w14:val="none"/>
        </w:rPr>
        <w:t>[43]</w:t>
      </w:r>
      <w:r w:rsidRPr="00C7018E">
        <w:rPr>
          <w:rFonts w:ascii="Times New Roman" w:hAnsi="Times New Roman" w:cs="Times New Roman"/>
          <w:color w:val="242121"/>
          <w:kern w:val="0"/>
          <w:sz w:val="26"/>
          <w:szCs w:val="26"/>
          <w14:ligatures w14:val="none"/>
        </w:rPr>
        <w:tab/>
      </w:r>
      <w:r w:rsidR="00357FE6" w:rsidRPr="00114A72">
        <w:rPr>
          <w:rFonts w:ascii="Times New Roman" w:hAnsi="Times New Roman" w:cs="Times New Roman"/>
          <w:color w:val="242121"/>
          <w:sz w:val="26"/>
          <w:szCs w:val="26"/>
          <w:lang w:val="en-US"/>
        </w:rPr>
        <w:t>This does not mean that the City is obliged to accept any of the second respondent’s proposals. There is</w:t>
      </w:r>
      <w:r w:rsidR="00A34422" w:rsidRPr="00114A72">
        <w:rPr>
          <w:rFonts w:ascii="Times New Roman" w:hAnsi="Times New Roman" w:cs="Times New Roman"/>
          <w:color w:val="242121"/>
          <w:sz w:val="26"/>
          <w:szCs w:val="26"/>
          <w:lang w:val="en-US"/>
        </w:rPr>
        <w:t>,</w:t>
      </w:r>
      <w:r w:rsidR="00357FE6" w:rsidRPr="00114A72">
        <w:rPr>
          <w:rFonts w:ascii="Times New Roman" w:hAnsi="Times New Roman" w:cs="Times New Roman"/>
          <w:color w:val="242121"/>
          <w:sz w:val="26"/>
          <w:szCs w:val="26"/>
          <w:lang w:val="en-US"/>
        </w:rPr>
        <w:t xml:space="preserve"> however</w:t>
      </w:r>
      <w:r w:rsidR="00A34422" w:rsidRPr="00114A72">
        <w:rPr>
          <w:rFonts w:ascii="Times New Roman" w:hAnsi="Times New Roman" w:cs="Times New Roman"/>
          <w:color w:val="242121"/>
          <w:sz w:val="26"/>
          <w:szCs w:val="26"/>
          <w:lang w:val="en-US"/>
        </w:rPr>
        <w:t>,</w:t>
      </w:r>
      <w:r w:rsidR="00357FE6" w:rsidRPr="00114A72">
        <w:rPr>
          <w:rFonts w:ascii="Times New Roman" w:hAnsi="Times New Roman" w:cs="Times New Roman"/>
          <w:color w:val="242121"/>
          <w:sz w:val="26"/>
          <w:szCs w:val="26"/>
          <w:lang w:val="en-US"/>
        </w:rPr>
        <w:t xml:space="preserve"> a duty upon it to </w:t>
      </w:r>
      <w:r w:rsidR="00A34422" w:rsidRPr="00114A72">
        <w:rPr>
          <w:rFonts w:ascii="Times New Roman" w:hAnsi="Times New Roman" w:cs="Times New Roman"/>
          <w:color w:val="242121"/>
          <w:sz w:val="26"/>
          <w:szCs w:val="26"/>
          <w:lang w:val="en-US"/>
        </w:rPr>
        <w:t xml:space="preserve">reasonably engage with </w:t>
      </w:r>
      <w:r w:rsidR="00357FE6" w:rsidRPr="00114A72">
        <w:rPr>
          <w:rFonts w:ascii="Times New Roman" w:hAnsi="Times New Roman" w:cs="Times New Roman"/>
          <w:color w:val="242121"/>
          <w:sz w:val="26"/>
          <w:szCs w:val="26"/>
          <w:lang w:val="en-US"/>
        </w:rPr>
        <w:lastRenderedPageBreak/>
        <w:t>her.</w:t>
      </w:r>
      <w:r w:rsidR="00A34422">
        <w:rPr>
          <w:rStyle w:val="FootnoteReference"/>
          <w:rFonts w:ascii="Times New Roman" w:hAnsi="Times New Roman" w:cs="Times New Roman"/>
          <w:color w:val="242121"/>
          <w:sz w:val="26"/>
          <w:szCs w:val="26"/>
          <w:lang w:val="en-US"/>
        </w:rPr>
        <w:footnoteReference w:id="15"/>
      </w:r>
      <w:r w:rsidR="00357FE6" w:rsidRPr="00114A72">
        <w:rPr>
          <w:rFonts w:ascii="Times New Roman" w:hAnsi="Times New Roman" w:cs="Times New Roman"/>
          <w:color w:val="242121"/>
          <w:sz w:val="26"/>
          <w:szCs w:val="26"/>
          <w:lang w:val="en-US"/>
        </w:rPr>
        <w:t xml:space="preserve"> </w:t>
      </w:r>
      <w:r w:rsidR="00A34422" w:rsidRPr="00114A72">
        <w:rPr>
          <w:rFonts w:ascii="Times New Roman" w:hAnsi="Times New Roman" w:cs="Times New Roman"/>
          <w:color w:val="242121"/>
          <w:sz w:val="26"/>
          <w:szCs w:val="26"/>
          <w:lang w:val="en-US"/>
        </w:rPr>
        <w:t>Such an approach acknowledges that the City has a constitutional obligation</w:t>
      </w:r>
      <w:r w:rsidR="00C7018E" w:rsidRPr="00114A72">
        <w:rPr>
          <w:rFonts w:ascii="Times New Roman" w:hAnsi="Times New Roman" w:cs="Times New Roman"/>
          <w:color w:val="242121"/>
          <w:sz w:val="26"/>
          <w:szCs w:val="26"/>
          <w:lang w:val="en-US"/>
        </w:rPr>
        <w:t>, in terms of section 26(2),</w:t>
      </w:r>
      <w:r w:rsidR="00A34422" w:rsidRPr="00114A72">
        <w:rPr>
          <w:rFonts w:ascii="Times New Roman" w:hAnsi="Times New Roman" w:cs="Times New Roman"/>
          <w:color w:val="242121"/>
          <w:sz w:val="26"/>
          <w:szCs w:val="26"/>
          <w:lang w:val="en-US"/>
        </w:rPr>
        <w:t xml:space="preserve"> </w:t>
      </w:r>
      <w:r w:rsidR="00A34422" w:rsidRPr="00114A72">
        <w:rPr>
          <w:rFonts w:ascii="Times New Roman" w:hAnsi="Times New Roman" w:cs="Times New Roman"/>
          <w:color w:val="000000" w:themeColor="text1"/>
          <w:sz w:val="26"/>
          <w:szCs w:val="26"/>
          <w:lang w:val="en-US"/>
        </w:rPr>
        <w:t>to</w:t>
      </w:r>
      <w:r w:rsidR="00C7018E" w:rsidRPr="00114A72">
        <w:rPr>
          <w:rFonts w:ascii="Times New Roman" w:hAnsi="Times New Roman" w:cs="Times New Roman"/>
          <w:color w:val="000000" w:themeColor="text1"/>
          <w:sz w:val="26"/>
          <w:szCs w:val="26"/>
          <w:lang w:val="en-US"/>
        </w:rPr>
        <w:t xml:space="preserve"> </w:t>
      </w:r>
      <w:r w:rsidR="00C7018E" w:rsidRPr="00114A72">
        <w:rPr>
          <w:rFonts w:ascii="Times New Roman" w:hAnsi="Times New Roman" w:cs="Times New Roman"/>
          <w:color w:val="000000" w:themeColor="text1"/>
          <w:sz w:val="26"/>
          <w:szCs w:val="26"/>
          <w:shd w:val="clear" w:color="auto" w:fill="FFFFFF"/>
        </w:rPr>
        <w:t>take reasonable measures, within its available resources, to achieve the progressive</w:t>
      </w:r>
      <w:r w:rsidR="00C7018E" w:rsidRPr="00114A72">
        <w:rPr>
          <w:rFonts w:ascii="Times New Roman" w:hAnsi="Times New Roman" w:cs="Times New Roman"/>
          <w:color w:val="000000" w:themeColor="text1"/>
          <w:sz w:val="26"/>
          <w:szCs w:val="26"/>
          <w:shd w:val="clear" w:color="auto" w:fill="FFFFFF"/>
          <w:lang w:val="en-ZW"/>
        </w:rPr>
        <w:t> realisation</w:t>
      </w:r>
      <w:r w:rsidR="00C7018E" w:rsidRPr="00114A72">
        <w:rPr>
          <w:rFonts w:ascii="Times New Roman" w:hAnsi="Times New Roman" w:cs="Times New Roman"/>
          <w:color w:val="000000" w:themeColor="text1"/>
          <w:sz w:val="26"/>
          <w:szCs w:val="26"/>
          <w:shd w:val="clear" w:color="auto" w:fill="FFFFFF"/>
        </w:rPr>
        <w:t> of the right of access to adequate housing.</w:t>
      </w:r>
      <w:r w:rsidR="00C7018E" w:rsidRPr="00114A72">
        <w:rPr>
          <w:rFonts w:ascii="Verdana" w:hAnsi="Verdana"/>
          <w:color w:val="000000" w:themeColor="text1"/>
          <w:sz w:val="27"/>
          <w:szCs w:val="27"/>
          <w:shd w:val="clear" w:color="auto" w:fill="FFFFFF"/>
        </w:rPr>
        <w:t xml:space="preserve"> </w:t>
      </w:r>
      <w:r w:rsidR="00A34422" w:rsidRPr="00114A72">
        <w:rPr>
          <w:rFonts w:ascii="Times New Roman" w:hAnsi="Times New Roman" w:cs="Times New Roman"/>
          <w:color w:val="242121"/>
          <w:sz w:val="26"/>
          <w:szCs w:val="26"/>
          <w:shd w:val="clear" w:color="auto" w:fill="FFFFFF"/>
        </w:rPr>
        <w:t>It also acknowledges the constitutional rights to human dignity</w:t>
      </w:r>
      <w:r w:rsidR="00C7018E">
        <w:rPr>
          <w:rStyle w:val="FootnoteReference"/>
          <w:rFonts w:ascii="Times New Roman" w:hAnsi="Times New Roman" w:cs="Times New Roman"/>
          <w:color w:val="242121"/>
          <w:sz w:val="26"/>
          <w:szCs w:val="26"/>
          <w:shd w:val="clear" w:color="auto" w:fill="FFFFFF"/>
        </w:rPr>
        <w:footnoteReference w:id="16"/>
      </w:r>
      <w:r w:rsidR="00A34422" w:rsidRPr="00114A72">
        <w:rPr>
          <w:rFonts w:ascii="Times New Roman" w:hAnsi="Times New Roman" w:cs="Times New Roman"/>
          <w:color w:val="242121"/>
          <w:sz w:val="26"/>
          <w:szCs w:val="26"/>
          <w:shd w:val="clear" w:color="auto" w:fill="FFFFFF"/>
        </w:rPr>
        <w:t xml:space="preserve"> and equality</w:t>
      </w:r>
      <w:r w:rsidR="00C7018E">
        <w:rPr>
          <w:rStyle w:val="FootnoteReference"/>
          <w:rFonts w:ascii="Times New Roman" w:hAnsi="Times New Roman" w:cs="Times New Roman"/>
          <w:color w:val="242121"/>
          <w:sz w:val="26"/>
          <w:szCs w:val="26"/>
          <w:shd w:val="clear" w:color="auto" w:fill="FFFFFF"/>
        </w:rPr>
        <w:footnoteReference w:id="17"/>
      </w:r>
      <w:r w:rsidR="00A34422" w:rsidRPr="00114A72">
        <w:rPr>
          <w:rFonts w:ascii="Times New Roman" w:hAnsi="Times New Roman" w:cs="Times New Roman"/>
          <w:color w:val="242121"/>
          <w:sz w:val="26"/>
          <w:szCs w:val="26"/>
          <w:shd w:val="clear" w:color="auto" w:fill="FFFFFF"/>
        </w:rPr>
        <w:t xml:space="preserve"> of the second respondent, who, until </w:t>
      </w:r>
      <w:r w:rsidR="00C7018E" w:rsidRPr="00114A72">
        <w:rPr>
          <w:rFonts w:ascii="Times New Roman" w:hAnsi="Times New Roman" w:cs="Times New Roman"/>
          <w:color w:val="242121"/>
          <w:sz w:val="26"/>
          <w:szCs w:val="26"/>
          <w:shd w:val="clear" w:color="auto" w:fill="FFFFFF"/>
        </w:rPr>
        <w:t xml:space="preserve">the </w:t>
      </w:r>
      <w:r w:rsidR="00A34422" w:rsidRPr="00114A72">
        <w:rPr>
          <w:rFonts w:ascii="Times New Roman" w:hAnsi="Times New Roman" w:cs="Times New Roman"/>
          <w:color w:val="242121"/>
          <w:sz w:val="26"/>
          <w:szCs w:val="26"/>
          <w:shd w:val="clear" w:color="auto" w:fill="FFFFFF"/>
        </w:rPr>
        <w:t xml:space="preserve">cancellation of the lease, was only consulted in passing, and whose voice was not heard in this whole saga. There appears to have been no consideration that </w:t>
      </w:r>
      <w:r w:rsidR="003D1689" w:rsidRPr="00114A72">
        <w:rPr>
          <w:rFonts w:ascii="Times New Roman" w:hAnsi="Times New Roman" w:cs="Times New Roman"/>
          <w:color w:val="242121"/>
          <w:sz w:val="26"/>
          <w:szCs w:val="26"/>
          <w:lang w:val="en-US"/>
        </w:rPr>
        <w:t xml:space="preserve">the household </w:t>
      </w:r>
      <w:r w:rsidR="00357FE6" w:rsidRPr="00114A72">
        <w:rPr>
          <w:rFonts w:ascii="Times New Roman" w:hAnsi="Times New Roman" w:cs="Times New Roman"/>
          <w:color w:val="242121"/>
          <w:sz w:val="26"/>
          <w:szCs w:val="26"/>
          <w:lang w:val="en-US"/>
        </w:rPr>
        <w:t xml:space="preserve">in question is </w:t>
      </w:r>
      <w:r w:rsidR="003D1689" w:rsidRPr="00114A72">
        <w:rPr>
          <w:rFonts w:ascii="Times New Roman" w:hAnsi="Times New Roman" w:cs="Times New Roman"/>
          <w:color w:val="242121"/>
          <w:sz w:val="26"/>
          <w:szCs w:val="26"/>
          <w:lang w:val="en-US"/>
        </w:rPr>
        <w:t xml:space="preserve">now </w:t>
      </w:r>
      <w:r w:rsidR="00357FE6" w:rsidRPr="00114A72">
        <w:rPr>
          <w:rFonts w:ascii="Times New Roman" w:hAnsi="Times New Roman" w:cs="Times New Roman"/>
          <w:color w:val="242121"/>
          <w:sz w:val="26"/>
          <w:szCs w:val="26"/>
          <w:lang w:val="en-US"/>
        </w:rPr>
        <w:t xml:space="preserve">headed by a </w:t>
      </w:r>
      <w:r w:rsidR="003D1689" w:rsidRPr="00114A72">
        <w:rPr>
          <w:rFonts w:ascii="Times New Roman" w:hAnsi="Times New Roman" w:cs="Times New Roman"/>
          <w:color w:val="242121"/>
          <w:sz w:val="26"/>
          <w:szCs w:val="26"/>
          <w:lang w:val="en-US"/>
        </w:rPr>
        <w:t xml:space="preserve">single </w:t>
      </w:r>
      <w:r w:rsidR="00357FE6" w:rsidRPr="00114A72">
        <w:rPr>
          <w:rFonts w:ascii="Times New Roman" w:hAnsi="Times New Roman" w:cs="Times New Roman"/>
          <w:color w:val="242121"/>
          <w:sz w:val="26"/>
          <w:szCs w:val="26"/>
          <w:lang w:val="en-US"/>
        </w:rPr>
        <w:t>woman</w:t>
      </w:r>
      <w:r w:rsidR="003D1689" w:rsidRPr="00114A72">
        <w:rPr>
          <w:rFonts w:ascii="Times New Roman" w:hAnsi="Times New Roman" w:cs="Times New Roman"/>
          <w:color w:val="242121"/>
          <w:sz w:val="26"/>
          <w:szCs w:val="26"/>
          <w:lang w:val="en-US"/>
        </w:rPr>
        <w:t>,</w:t>
      </w:r>
      <w:r w:rsidR="00357FE6" w:rsidRPr="00114A72">
        <w:rPr>
          <w:rFonts w:ascii="Times New Roman" w:hAnsi="Times New Roman" w:cs="Times New Roman"/>
          <w:color w:val="242121"/>
          <w:sz w:val="26"/>
          <w:szCs w:val="26"/>
          <w:lang w:val="en-US"/>
        </w:rPr>
        <w:t xml:space="preserve"> who has a minor child</w:t>
      </w:r>
      <w:r w:rsidR="00A34422" w:rsidRPr="00114A72">
        <w:rPr>
          <w:rFonts w:ascii="Times New Roman" w:hAnsi="Times New Roman" w:cs="Times New Roman"/>
          <w:color w:val="242121"/>
          <w:sz w:val="26"/>
          <w:szCs w:val="26"/>
          <w:lang w:val="en-US"/>
        </w:rPr>
        <w:t>, and who has been directly running a business from the premises for almost two decades</w:t>
      </w:r>
      <w:r w:rsidR="00357FE6" w:rsidRPr="00114A72">
        <w:rPr>
          <w:rFonts w:ascii="Times New Roman" w:hAnsi="Times New Roman" w:cs="Times New Roman"/>
          <w:color w:val="242121"/>
          <w:sz w:val="26"/>
          <w:szCs w:val="26"/>
          <w:lang w:val="en-US"/>
        </w:rPr>
        <w:t>.</w:t>
      </w:r>
      <w:r w:rsidR="003D1689" w:rsidRPr="00114A72">
        <w:rPr>
          <w:rFonts w:ascii="Times New Roman" w:hAnsi="Times New Roman" w:cs="Times New Roman"/>
          <w:color w:val="242121"/>
          <w:sz w:val="26"/>
          <w:szCs w:val="26"/>
          <w:lang w:val="en-US"/>
        </w:rPr>
        <w:t xml:space="preserve"> </w:t>
      </w:r>
    </w:p>
    <w:p w14:paraId="39AA5917" w14:textId="77777777" w:rsidR="00C7018E" w:rsidRPr="00C7018E" w:rsidRDefault="00C7018E" w:rsidP="00C7018E">
      <w:pPr>
        <w:pStyle w:val="ListParagraph"/>
        <w:rPr>
          <w:rFonts w:ascii="Verdana" w:hAnsi="Verdana"/>
          <w:color w:val="242121"/>
          <w:sz w:val="27"/>
          <w:szCs w:val="27"/>
          <w:shd w:val="clear" w:color="auto" w:fill="FFFFFF"/>
        </w:rPr>
      </w:pPr>
    </w:p>
    <w:p w14:paraId="3EB82684" w14:textId="7D08721B" w:rsidR="00C7018E" w:rsidRPr="00114A72" w:rsidRDefault="00114A72" w:rsidP="00114A72">
      <w:pPr>
        <w:spacing w:line="360" w:lineRule="auto"/>
        <w:jc w:val="both"/>
        <w:rPr>
          <w:rFonts w:ascii="Times New Roman" w:hAnsi="Times New Roman" w:cs="Times New Roman"/>
          <w:color w:val="242121"/>
          <w:sz w:val="26"/>
          <w:szCs w:val="26"/>
          <w:shd w:val="clear" w:color="auto" w:fill="FFFFFF"/>
        </w:rPr>
      </w:pPr>
      <w:r w:rsidRPr="00C7018E">
        <w:rPr>
          <w:rFonts w:ascii="Times New Roman" w:hAnsi="Times New Roman" w:cs="Times New Roman"/>
          <w:color w:val="242121"/>
          <w:kern w:val="0"/>
          <w:sz w:val="26"/>
          <w:szCs w:val="26"/>
          <w14:ligatures w14:val="none"/>
        </w:rPr>
        <w:t>[44]</w:t>
      </w:r>
      <w:r w:rsidRPr="00C7018E">
        <w:rPr>
          <w:rFonts w:ascii="Times New Roman" w:hAnsi="Times New Roman" w:cs="Times New Roman"/>
          <w:color w:val="242121"/>
          <w:kern w:val="0"/>
          <w:sz w:val="26"/>
          <w:szCs w:val="26"/>
          <w14:ligatures w14:val="none"/>
        </w:rPr>
        <w:tab/>
      </w:r>
      <w:r w:rsidR="00C7018E" w:rsidRPr="00114A72">
        <w:rPr>
          <w:rFonts w:ascii="Times New Roman" w:hAnsi="Times New Roman" w:cs="Times New Roman"/>
          <w:color w:val="242121"/>
          <w:sz w:val="26"/>
          <w:szCs w:val="26"/>
          <w:shd w:val="clear" w:color="auto" w:fill="FFFFFF"/>
        </w:rPr>
        <w:t>There is cursory mention in the answering affidavit, that the second respondent sought to engage the City. However, there is a dearth of information in this regard. The parties may need to file further affidavits dealing with engagements with each other.</w:t>
      </w:r>
    </w:p>
    <w:p w14:paraId="799B45E0" w14:textId="77777777" w:rsidR="00357FE6" w:rsidRPr="00357FE6" w:rsidRDefault="00357FE6" w:rsidP="00357FE6">
      <w:pPr>
        <w:pStyle w:val="ListParagraph"/>
        <w:rPr>
          <w:rFonts w:ascii="Times New Roman" w:hAnsi="Times New Roman" w:cs="Times New Roman"/>
          <w:color w:val="242121"/>
          <w:sz w:val="26"/>
          <w:szCs w:val="26"/>
        </w:rPr>
      </w:pPr>
    </w:p>
    <w:p w14:paraId="735E0964" w14:textId="3CBA4D61" w:rsidR="00357FE6" w:rsidRPr="00114A72" w:rsidRDefault="00114A72" w:rsidP="00114A72">
      <w:pPr>
        <w:spacing w:line="360" w:lineRule="auto"/>
        <w:jc w:val="both"/>
        <w:rPr>
          <w:rFonts w:ascii="Times New Roman" w:hAnsi="Times New Roman" w:cs="Times New Roman"/>
          <w:color w:val="242121"/>
          <w:sz w:val="26"/>
          <w:szCs w:val="26"/>
        </w:rPr>
      </w:pPr>
      <w:r w:rsidRPr="00357FE6">
        <w:rPr>
          <w:rFonts w:ascii="Times New Roman" w:hAnsi="Times New Roman" w:cs="Times New Roman"/>
          <w:color w:val="242121"/>
          <w:kern w:val="0"/>
          <w:sz w:val="26"/>
          <w:szCs w:val="26"/>
          <w14:ligatures w14:val="none"/>
        </w:rPr>
        <w:t>[45]</w:t>
      </w:r>
      <w:r w:rsidRPr="00357FE6">
        <w:rPr>
          <w:rFonts w:ascii="Times New Roman" w:hAnsi="Times New Roman" w:cs="Times New Roman"/>
          <w:color w:val="242121"/>
          <w:kern w:val="0"/>
          <w:sz w:val="26"/>
          <w:szCs w:val="26"/>
          <w14:ligatures w14:val="none"/>
        </w:rPr>
        <w:tab/>
      </w:r>
      <w:r w:rsidR="00357FE6" w:rsidRPr="00114A72">
        <w:rPr>
          <w:rFonts w:ascii="Times New Roman" w:hAnsi="Times New Roman" w:cs="Times New Roman"/>
          <w:color w:val="242121"/>
          <w:sz w:val="26"/>
          <w:szCs w:val="26"/>
          <w:lang w:val="en-US"/>
        </w:rPr>
        <w:t xml:space="preserve">I do take note of the City’s position that the property has now been earmarked for its </w:t>
      </w:r>
      <w:r w:rsidR="003D1689" w:rsidRPr="00114A72">
        <w:rPr>
          <w:rFonts w:ascii="Times New Roman" w:hAnsi="Times New Roman" w:cs="Times New Roman"/>
          <w:color w:val="242121"/>
          <w:sz w:val="26"/>
          <w:szCs w:val="26"/>
          <w:lang w:val="en-US"/>
        </w:rPr>
        <w:t>L</w:t>
      </w:r>
      <w:r w:rsidR="00357FE6" w:rsidRPr="00114A72">
        <w:rPr>
          <w:rFonts w:ascii="Times New Roman" w:hAnsi="Times New Roman" w:cs="Times New Roman"/>
          <w:color w:val="242121"/>
          <w:sz w:val="26"/>
          <w:szCs w:val="26"/>
          <w:lang w:val="en-US"/>
        </w:rPr>
        <w:t xml:space="preserve">aw </w:t>
      </w:r>
      <w:r w:rsidR="003D1689" w:rsidRPr="00114A72">
        <w:rPr>
          <w:rFonts w:ascii="Times New Roman" w:hAnsi="Times New Roman" w:cs="Times New Roman"/>
          <w:color w:val="242121"/>
          <w:sz w:val="26"/>
          <w:szCs w:val="26"/>
          <w:lang w:val="en-US"/>
        </w:rPr>
        <w:t>E</w:t>
      </w:r>
      <w:r w:rsidR="00357FE6" w:rsidRPr="00114A72">
        <w:rPr>
          <w:rFonts w:ascii="Times New Roman" w:hAnsi="Times New Roman" w:cs="Times New Roman"/>
          <w:color w:val="242121"/>
          <w:sz w:val="26"/>
          <w:szCs w:val="26"/>
          <w:lang w:val="en-US"/>
        </w:rPr>
        <w:t>nforcement. However</w:t>
      </w:r>
      <w:r w:rsidR="003D1689" w:rsidRPr="00114A72">
        <w:rPr>
          <w:rFonts w:ascii="Times New Roman" w:hAnsi="Times New Roman" w:cs="Times New Roman"/>
          <w:color w:val="242121"/>
          <w:sz w:val="26"/>
          <w:szCs w:val="26"/>
          <w:lang w:val="en-US"/>
        </w:rPr>
        <w:t>,</w:t>
      </w:r>
      <w:r w:rsidR="00357FE6" w:rsidRPr="00114A72">
        <w:rPr>
          <w:rFonts w:ascii="Times New Roman" w:hAnsi="Times New Roman" w:cs="Times New Roman"/>
          <w:color w:val="242121"/>
          <w:sz w:val="26"/>
          <w:szCs w:val="26"/>
          <w:lang w:val="en-US"/>
        </w:rPr>
        <w:t xml:space="preserve"> as I have already indicated there is very little information regarding this aspect, </w:t>
      </w:r>
      <w:r w:rsidR="003D1689" w:rsidRPr="00114A72">
        <w:rPr>
          <w:rFonts w:ascii="Times New Roman" w:hAnsi="Times New Roman" w:cs="Times New Roman"/>
          <w:color w:val="242121"/>
          <w:sz w:val="26"/>
          <w:szCs w:val="26"/>
          <w:lang w:val="en-US"/>
        </w:rPr>
        <w:t>a</w:t>
      </w:r>
      <w:r w:rsidR="00357FE6" w:rsidRPr="00114A72">
        <w:rPr>
          <w:rFonts w:ascii="Times New Roman" w:hAnsi="Times New Roman" w:cs="Times New Roman"/>
          <w:color w:val="242121"/>
          <w:sz w:val="26"/>
          <w:szCs w:val="26"/>
          <w:lang w:val="en-US"/>
        </w:rPr>
        <w:t>nd</w:t>
      </w:r>
      <w:r w:rsidR="003D1689" w:rsidRPr="00114A72">
        <w:rPr>
          <w:rFonts w:ascii="Times New Roman" w:hAnsi="Times New Roman" w:cs="Times New Roman"/>
          <w:color w:val="242121"/>
          <w:sz w:val="26"/>
          <w:szCs w:val="26"/>
          <w:lang w:val="en-US"/>
        </w:rPr>
        <w:t xml:space="preserve"> it </w:t>
      </w:r>
      <w:r w:rsidR="00357FE6" w:rsidRPr="00114A72">
        <w:rPr>
          <w:rFonts w:ascii="Times New Roman" w:hAnsi="Times New Roman" w:cs="Times New Roman"/>
          <w:color w:val="242121"/>
          <w:sz w:val="26"/>
          <w:szCs w:val="26"/>
          <w:lang w:val="en-US"/>
        </w:rPr>
        <w:t>may be an issue that requires close</w:t>
      </w:r>
      <w:r w:rsidR="003D1689" w:rsidRPr="00114A72">
        <w:rPr>
          <w:rFonts w:ascii="Times New Roman" w:hAnsi="Times New Roman" w:cs="Times New Roman"/>
          <w:color w:val="242121"/>
          <w:sz w:val="26"/>
          <w:szCs w:val="26"/>
          <w:lang w:val="en-US"/>
        </w:rPr>
        <w:t>r</w:t>
      </w:r>
      <w:r w:rsidR="00357FE6" w:rsidRPr="00114A72">
        <w:rPr>
          <w:rFonts w:ascii="Times New Roman" w:hAnsi="Times New Roman" w:cs="Times New Roman"/>
          <w:color w:val="242121"/>
          <w:sz w:val="26"/>
          <w:szCs w:val="26"/>
          <w:lang w:val="en-US"/>
        </w:rPr>
        <w:t xml:space="preserve"> examination</w:t>
      </w:r>
      <w:r w:rsidR="00C7018E" w:rsidRPr="00114A72">
        <w:rPr>
          <w:rFonts w:ascii="Times New Roman" w:hAnsi="Times New Roman" w:cs="Times New Roman"/>
          <w:color w:val="242121"/>
          <w:sz w:val="26"/>
          <w:szCs w:val="26"/>
          <w:lang w:val="en-US"/>
        </w:rPr>
        <w:t xml:space="preserve"> by means of a further affidavit</w:t>
      </w:r>
      <w:r w:rsidR="00357FE6" w:rsidRPr="00114A72">
        <w:rPr>
          <w:rFonts w:ascii="Times New Roman" w:hAnsi="Times New Roman" w:cs="Times New Roman"/>
          <w:color w:val="242121"/>
          <w:sz w:val="26"/>
          <w:szCs w:val="26"/>
          <w:lang w:val="en-US"/>
        </w:rPr>
        <w:t>.</w:t>
      </w:r>
      <w:r w:rsidR="003D1689" w:rsidRPr="00114A72">
        <w:rPr>
          <w:rFonts w:ascii="Times New Roman" w:hAnsi="Times New Roman" w:cs="Times New Roman"/>
          <w:color w:val="242121"/>
          <w:sz w:val="26"/>
          <w:szCs w:val="26"/>
          <w:lang w:val="en-US"/>
        </w:rPr>
        <w:t xml:space="preserve"> </w:t>
      </w:r>
    </w:p>
    <w:p w14:paraId="39DADE38" w14:textId="77777777" w:rsidR="00357FE6" w:rsidRPr="00357FE6" w:rsidRDefault="00357FE6" w:rsidP="00357FE6">
      <w:pPr>
        <w:pStyle w:val="ListParagraph"/>
        <w:rPr>
          <w:rFonts w:ascii="Times New Roman" w:hAnsi="Times New Roman" w:cs="Times New Roman"/>
          <w:color w:val="242121"/>
          <w:sz w:val="26"/>
          <w:szCs w:val="26"/>
        </w:rPr>
      </w:pPr>
    </w:p>
    <w:p w14:paraId="68E1CF4E" w14:textId="16B0453B" w:rsidR="00357FE6" w:rsidRPr="00114A72" w:rsidRDefault="00114A72" w:rsidP="00114A72">
      <w:pPr>
        <w:spacing w:line="360" w:lineRule="auto"/>
        <w:jc w:val="both"/>
        <w:rPr>
          <w:rFonts w:ascii="Times New Roman" w:hAnsi="Times New Roman" w:cs="Times New Roman"/>
          <w:color w:val="242121"/>
          <w:sz w:val="26"/>
          <w:szCs w:val="26"/>
        </w:rPr>
      </w:pPr>
      <w:r w:rsidRPr="00357FE6">
        <w:rPr>
          <w:rFonts w:ascii="Times New Roman" w:hAnsi="Times New Roman" w:cs="Times New Roman"/>
          <w:color w:val="242121"/>
          <w:kern w:val="0"/>
          <w:sz w:val="26"/>
          <w:szCs w:val="26"/>
          <w14:ligatures w14:val="none"/>
        </w:rPr>
        <w:t>[46]</w:t>
      </w:r>
      <w:r w:rsidRPr="00357FE6">
        <w:rPr>
          <w:rFonts w:ascii="Times New Roman" w:hAnsi="Times New Roman" w:cs="Times New Roman"/>
          <w:color w:val="242121"/>
          <w:kern w:val="0"/>
          <w:sz w:val="26"/>
          <w:szCs w:val="26"/>
          <w14:ligatures w14:val="none"/>
        </w:rPr>
        <w:tab/>
      </w:r>
      <w:r w:rsidR="003D1689" w:rsidRPr="00114A72">
        <w:rPr>
          <w:rFonts w:ascii="Times New Roman" w:hAnsi="Times New Roman" w:cs="Times New Roman"/>
          <w:color w:val="242121"/>
          <w:sz w:val="26"/>
          <w:szCs w:val="26"/>
        </w:rPr>
        <w:t>For all the above reasons, I am of the view that the matter should be remitted to the Magistrate’s Court for a decision regarding whether an eviction is just and equitable, and if so, a suitable date for eviction.</w:t>
      </w:r>
    </w:p>
    <w:p w14:paraId="70BA8D8F" w14:textId="77777777" w:rsidR="00A52367" w:rsidRDefault="00A52367" w:rsidP="00A52367">
      <w:pPr>
        <w:pStyle w:val="ListParagraph"/>
        <w:spacing w:after="0" w:line="360" w:lineRule="auto"/>
        <w:ind w:left="0"/>
        <w:jc w:val="both"/>
        <w:rPr>
          <w:rFonts w:ascii="Times New Roman" w:hAnsi="Times New Roman" w:cs="Times New Roman"/>
          <w:color w:val="242121"/>
          <w:sz w:val="26"/>
          <w:szCs w:val="26"/>
        </w:rPr>
      </w:pPr>
    </w:p>
    <w:p w14:paraId="6792FA43" w14:textId="77777777" w:rsidR="001C682C" w:rsidRPr="001C682C" w:rsidRDefault="001C682C" w:rsidP="001C682C">
      <w:pPr>
        <w:pStyle w:val="ListParagraph"/>
        <w:rPr>
          <w:rFonts w:ascii="Times New Roman" w:hAnsi="Times New Roman" w:cs="Times New Roman"/>
          <w:color w:val="242121"/>
          <w:sz w:val="26"/>
          <w:szCs w:val="26"/>
        </w:rPr>
      </w:pPr>
    </w:p>
    <w:p w14:paraId="0C97D3B4" w14:textId="77777777" w:rsidR="00CC7663" w:rsidRPr="002D4876" w:rsidRDefault="00CC7663" w:rsidP="00CC7663">
      <w:pPr>
        <w:spacing w:line="360" w:lineRule="auto"/>
        <w:jc w:val="right"/>
        <w:rPr>
          <w:rFonts w:ascii="Times New Roman" w:hAnsi="Times New Roman" w:cs="Times New Roman"/>
          <w:sz w:val="26"/>
          <w:szCs w:val="26"/>
        </w:rPr>
      </w:pPr>
      <w:r w:rsidRPr="002D4876">
        <w:rPr>
          <w:rFonts w:ascii="Times New Roman" w:hAnsi="Times New Roman" w:cs="Times New Roman"/>
          <w:sz w:val="26"/>
          <w:szCs w:val="26"/>
        </w:rPr>
        <w:t>_________________________</w:t>
      </w:r>
    </w:p>
    <w:p w14:paraId="37A1616E" w14:textId="77777777" w:rsidR="00CC7663" w:rsidRPr="002D4876" w:rsidRDefault="00CC7663" w:rsidP="00CC7663">
      <w:pPr>
        <w:spacing w:line="276" w:lineRule="auto"/>
        <w:contextualSpacing/>
        <w:jc w:val="right"/>
        <w:rPr>
          <w:rFonts w:ascii="Times New Roman" w:hAnsi="Times New Roman" w:cs="Times New Roman"/>
          <w:b/>
          <w:sz w:val="26"/>
          <w:szCs w:val="26"/>
        </w:rPr>
      </w:pPr>
      <w:r w:rsidRPr="002D4876">
        <w:rPr>
          <w:rFonts w:ascii="Times New Roman" w:hAnsi="Times New Roman" w:cs="Times New Roman"/>
          <w:b/>
          <w:sz w:val="26"/>
          <w:szCs w:val="26"/>
        </w:rPr>
        <w:t xml:space="preserve"> N. MANGCU-LOCKWOOD</w:t>
      </w:r>
    </w:p>
    <w:p w14:paraId="452385EA" w14:textId="77777777" w:rsidR="00CC7663" w:rsidRPr="002D4876" w:rsidRDefault="00CC7663" w:rsidP="00CC7663">
      <w:pPr>
        <w:spacing w:line="276" w:lineRule="auto"/>
        <w:contextualSpacing/>
        <w:jc w:val="right"/>
        <w:rPr>
          <w:rFonts w:ascii="Times New Roman" w:hAnsi="Times New Roman" w:cs="Times New Roman"/>
          <w:b/>
          <w:sz w:val="26"/>
          <w:szCs w:val="26"/>
        </w:rPr>
      </w:pPr>
      <w:r w:rsidRPr="002D4876">
        <w:rPr>
          <w:rFonts w:ascii="Times New Roman" w:hAnsi="Times New Roman" w:cs="Times New Roman"/>
          <w:b/>
          <w:sz w:val="26"/>
          <w:szCs w:val="26"/>
        </w:rPr>
        <w:lastRenderedPageBreak/>
        <w:t>Judge of the High Court</w:t>
      </w:r>
    </w:p>
    <w:p w14:paraId="7ED52A63" w14:textId="77777777" w:rsidR="002D4876" w:rsidRDefault="002D4876" w:rsidP="002D4876">
      <w:pPr>
        <w:jc w:val="right"/>
      </w:pPr>
    </w:p>
    <w:p w14:paraId="52C803A3" w14:textId="77777777" w:rsidR="002D4876" w:rsidRPr="002D4876" w:rsidRDefault="002D4876" w:rsidP="002D4876">
      <w:pPr>
        <w:rPr>
          <w:rFonts w:ascii="Times New Roman" w:hAnsi="Times New Roman" w:cs="Times New Roman"/>
          <w:sz w:val="26"/>
          <w:szCs w:val="26"/>
        </w:rPr>
      </w:pPr>
    </w:p>
    <w:p w14:paraId="5E405ECD" w14:textId="77777777" w:rsidR="002D4876" w:rsidRPr="002D4876" w:rsidRDefault="002D4876" w:rsidP="002D4876">
      <w:pPr>
        <w:rPr>
          <w:rFonts w:ascii="Times New Roman" w:hAnsi="Times New Roman" w:cs="Times New Roman"/>
          <w:sz w:val="26"/>
          <w:szCs w:val="26"/>
        </w:rPr>
      </w:pPr>
      <w:r w:rsidRPr="002D4876">
        <w:rPr>
          <w:rFonts w:ascii="Times New Roman" w:hAnsi="Times New Roman" w:cs="Times New Roman"/>
          <w:sz w:val="26"/>
          <w:szCs w:val="26"/>
        </w:rPr>
        <w:t>I agree and it is so ordered.</w:t>
      </w:r>
    </w:p>
    <w:p w14:paraId="6681CF76" w14:textId="77777777" w:rsidR="002D4876" w:rsidRPr="002D4876" w:rsidRDefault="002D4876" w:rsidP="002D4876">
      <w:pPr>
        <w:rPr>
          <w:rFonts w:ascii="Times New Roman" w:hAnsi="Times New Roman" w:cs="Times New Roman"/>
          <w:sz w:val="26"/>
          <w:szCs w:val="26"/>
        </w:rPr>
      </w:pPr>
    </w:p>
    <w:p w14:paraId="1D00DEC6" w14:textId="77777777" w:rsidR="002D4876" w:rsidRPr="002D4876" w:rsidRDefault="002D4876" w:rsidP="002D4876">
      <w:pPr>
        <w:rPr>
          <w:rFonts w:ascii="Times New Roman" w:hAnsi="Times New Roman" w:cs="Times New Roman"/>
          <w:sz w:val="26"/>
          <w:szCs w:val="26"/>
        </w:rPr>
      </w:pPr>
    </w:p>
    <w:p w14:paraId="456F23E7" w14:textId="77777777" w:rsidR="00CC7663" w:rsidRPr="002D4876" w:rsidRDefault="00CC7663" w:rsidP="00CC7663">
      <w:pPr>
        <w:spacing w:line="360" w:lineRule="auto"/>
        <w:ind w:left="720" w:firstLine="720"/>
        <w:contextualSpacing/>
        <w:jc w:val="right"/>
        <w:rPr>
          <w:rFonts w:ascii="Times New Roman" w:hAnsi="Times New Roman" w:cs="Times New Roman"/>
          <w:sz w:val="26"/>
          <w:szCs w:val="26"/>
        </w:rPr>
      </w:pPr>
      <w:r w:rsidRPr="002D4876">
        <w:rPr>
          <w:rFonts w:ascii="Times New Roman" w:hAnsi="Times New Roman" w:cs="Times New Roman"/>
          <w:sz w:val="26"/>
          <w:szCs w:val="26"/>
        </w:rPr>
        <w:t>______________________</w:t>
      </w:r>
    </w:p>
    <w:p w14:paraId="53C123D1" w14:textId="77777777" w:rsidR="00CC7663" w:rsidRPr="002D4876" w:rsidRDefault="00CC7663" w:rsidP="00CC7663">
      <w:pPr>
        <w:spacing w:line="360" w:lineRule="auto"/>
        <w:ind w:left="720" w:firstLine="720"/>
        <w:contextualSpacing/>
        <w:jc w:val="right"/>
        <w:rPr>
          <w:rFonts w:ascii="Times New Roman" w:hAnsi="Times New Roman" w:cs="Times New Roman"/>
          <w:b/>
          <w:sz w:val="26"/>
          <w:szCs w:val="26"/>
        </w:rPr>
      </w:pPr>
      <w:r w:rsidRPr="002D4876">
        <w:rPr>
          <w:rFonts w:ascii="Times New Roman" w:hAnsi="Times New Roman" w:cs="Times New Roman"/>
          <w:b/>
          <w:sz w:val="26"/>
          <w:szCs w:val="26"/>
        </w:rPr>
        <w:tab/>
      </w:r>
      <w:r w:rsidRPr="002D4876">
        <w:rPr>
          <w:rFonts w:ascii="Times New Roman" w:hAnsi="Times New Roman" w:cs="Times New Roman"/>
          <w:b/>
          <w:sz w:val="26"/>
          <w:szCs w:val="26"/>
        </w:rPr>
        <w:tab/>
        <w:t xml:space="preserve">   </w:t>
      </w:r>
      <w:r w:rsidRPr="002D4876">
        <w:rPr>
          <w:rFonts w:ascii="Times New Roman" w:hAnsi="Times New Roman" w:cs="Times New Roman"/>
          <w:b/>
          <w:sz w:val="26"/>
          <w:szCs w:val="26"/>
        </w:rPr>
        <w:tab/>
      </w:r>
      <w:r w:rsidRPr="002D4876">
        <w:rPr>
          <w:rFonts w:ascii="Times New Roman" w:hAnsi="Times New Roman" w:cs="Times New Roman"/>
          <w:b/>
          <w:sz w:val="26"/>
          <w:szCs w:val="26"/>
        </w:rPr>
        <w:tab/>
      </w:r>
      <w:r w:rsidRPr="002D4876">
        <w:rPr>
          <w:rFonts w:ascii="Times New Roman" w:hAnsi="Times New Roman" w:cs="Times New Roman"/>
          <w:b/>
          <w:sz w:val="26"/>
          <w:szCs w:val="26"/>
        </w:rPr>
        <w:tab/>
      </w:r>
      <w:r w:rsidRPr="002D4876">
        <w:rPr>
          <w:rFonts w:ascii="Times New Roman" w:hAnsi="Times New Roman" w:cs="Times New Roman"/>
          <w:b/>
          <w:sz w:val="26"/>
          <w:szCs w:val="26"/>
        </w:rPr>
        <w:tab/>
      </w:r>
      <w:r>
        <w:rPr>
          <w:rFonts w:ascii="Times New Roman" w:hAnsi="Times New Roman" w:cs="Times New Roman"/>
          <w:b/>
          <w:sz w:val="26"/>
          <w:szCs w:val="26"/>
        </w:rPr>
        <w:t>M. J. DOLAMO</w:t>
      </w:r>
    </w:p>
    <w:p w14:paraId="009D1929" w14:textId="7B052952" w:rsidR="001C682C" w:rsidRDefault="00CC7663" w:rsidP="001917ED">
      <w:pPr>
        <w:spacing w:line="360" w:lineRule="auto"/>
        <w:ind w:left="5245"/>
        <w:contextualSpacing/>
        <w:jc w:val="right"/>
        <w:rPr>
          <w:rFonts w:ascii="Times New Roman" w:hAnsi="Times New Roman" w:cs="Times New Roman"/>
          <w:b/>
          <w:sz w:val="26"/>
          <w:szCs w:val="26"/>
        </w:rPr>
      </w:pPr>
      <w:r w:rsidRPr="002D4876">
        <w:rPr>
          <w:rFonts w:ascii="Times New Roman" w:hAnsi="Times New Roman" w:cs="Times New Roman"/>
          <w:b/>
          <w:sz w:val="26"/>
          <w:szCs w:val="26"/>
        </w:rPr>
        <w:t xml:space="preserve">  Judge of the High Court</w:t>
      </w:r>
    </w:p>
    <w:p w14:paraId="100F2E18" w14:textId="02E92221" w:rsidR="00FF2A4D" w:rsidRDefault="00FF2A4D" w:rsidP="00FF2A4D">
      <w:pPr>
        <w:spacing w:line="360" w:lineRule="auto"/>
        <w:contextualSpacing/>
        <w:rPr>
          <w:rFonts w:ascii="Times New Roman" w:hAnsi="Times New Roman" w:cs="Times New Roman"/>
          <w:b/>
          <w:sz w:val="26"/>
          <w:szCs w:val="26"/>
          <w:u w:val="single"/>
        </w:rPr>
      </w:pPr>
      <w:r>
        <w:rPr>
          <w:rFonts w:ascii="Times New Roman" w:hAnsi="Times New Roman" w:cs="Times New Roman"/>
          <w:b/>
          <w:sz w:val="26"/>
          <w:szCs w:val="26"/>
          <w:u w:val="single"/>
        </w:rPr>
        <w:t>APPEARANCES</w:t>
      </w:r>
    </w:p>
    <w:p w14:paraId="44CEEE3B" w14:textId="61D86FBE" w:rsidR="00FF2A4D" w:rsidRDefault="00FF2A4D" w:rsidP="00FF2A4D">
      <w:pPr>
        <w:spacing w:line="360" w:lineRule="auto"/>
        <w:contextualSpacing/>
        <w:rPr>
          <w:rFonts w:ascii="Times New Roman" w:hAnsi="Times New Roman" w:cs="Times New Roman"/>
          <w:b/>
          <w:sz w:val="26"/>
          <w:szCs w:val="26"/>
          <w:u w:val="single"/>
        </w:rPr>
      </w:pPr>
    </w:p>
    <w:p w14:paraId="4743C615" w14:textId="33386C35" w:rsidR="00FF2A4D" w:rsidRDefault="00FF2A4D" w:rsidP="00FF2A4D">
      <w:pPr>
        <w:spacing w:line="360" w:lineRule="auto"/>
        <w:contextualSpacing/>
        <w:rPr>
          <w:rFonts w:ascii="Times New Roman" w:hAnsi="Times New Roman" w:cs="Times New Roman"/>
          <w:sz w:val="26"/>
          <w:szCs w:val="26"/>
        </w:rPr>
      </w:pPr>
      <w:r>
        <w:rPr>
          <w:rFonts w:ascii="Times New Roman" w:hAnsi="Times New Roman" w:cs="Times New Roman"/>
          <w:sz w:val="26"/>
          <w:szCs w:val="26"/>
        </w:rPr>
        <w:t>For the appellant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Adv P. MacKenzie</w:t>
      </w:r>
    </w:p>
    <w:p w14:paraId="169BF8C9" w14:textId="325D388B" w:rsidR="00FF2A4D" w:rsidRDefault="00FF2A4D" w:rsidP="00FF2A4D">
      <w:pPr>
        <w:spacing w:line="360" w:lineRule="auto"/>
        <w:contextualSpacing/>
        <w:rPr>
          <w:rFonts w:ascii="Times New Roman" w:hAnsi="Times New Roman" w:cs="Times New Roman"/>
          <w:sz w:val="26"/>
          <w:szCs w:val="26"/>
        </w:rPr>
      </w:pPr>
      <w:r>
        <w:rPr>
          <w:rFonts w:ascii="Times New Roman" w:hAnsi="Times New Roman" w:cs="Times New Roman"/>
          <w:sz w:val="26"/>
          <w:szCs w:val="26"/>
        </w:rPr>
        <w:t>Instructed by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M. Y. Cariem</w:t>
      </w:r>
    </w:p>
    <w:p w14:paraId="3D4EFB19" w14:textId="287DAB47" w:rsidR="00FF2A4D" w:rsidRDefault="00FF2A4D" w:rsidP="00FF2A4D">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Van der Spuy Attorneys</w:t>
      </w:r>
    </w:p>
    <w:p w14:paraId="78209AFB" w14:textId="6D6A3AD4" w:rsidR="00FF2A4D" w:rsidRDefault="00FF2A4D" w:rsidP="00FF2A4D">
      <w:pPr>
        <w:spacing w:line="360" w:lineRule="auto"/>
        <w:contextualSpacing/>
        <w:rPr>
          <w:rFonts w:ascii="Times New Roman" w:hAnsi="Times New Roman" w:cs="Times New Roman"/>
          <w:sz w:val="26"/>
          <w:szCs w:val="26"/>
        </w:rPr>
      </w:pPr>
    </w:p>
    <w:p w14:paraId="1F5FC337" w14:textId="2B00C5DD" w:rsidR="00FF2A4D" w:rsidRDefault="00FF2A4D" w:rsidP="00FF2A4D">
      <w:pPr>
        <w:spacing w:line="360" w:lineRule="auto"/>
        <w:contextualSpacing/>
        <w:rPr>
          <w:rFonts w:ascii="Times New Roman" w:hAnsi="Times New Roman" w:cs="Times New Roman"/>
          <w:sz w:val="26"/>
          <w:szCs w:val="26"/>
        </w:rPr>
      </w:pPr>
      <w:r>
        <w:rPr>
          <w:rFonts w:ascii="Times New Roman" w:hAnsi="Times New Roman" w:cs="Times New Roman"/>
          <w:sz w:val="26"/>
          <w:szCs w:val="26"/>
        </w:rPr>
        <w:t>For the respondents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Mr T. Dunn</w:t>
      </w:r>
    </w:p>
    <w:p w14:paraId="57B381C8" w14:textId="335444E8" w:rsidR="00FF2A4D" w:rsidRPr="00FF2A4D" w:rsidRDefault="00FF2A4D" w:rsidP="00FF2A4D">
      <w:pPr>
        <w:spacing w:line="360" w:lineRule="auto"/>
        <w:contextualSpacing/>
        <w:rPr>
          <w:rFonts w:ascii="Times New Roman" w:eastAsia="Times New Roman" w:hAnsi="Times New Roman" w:cs="Times New Roman"/>
          <w:kern w:val="0"/>
          <w:sz w:val="26"/>
          <w:szCs w:val="26"/>
          <w:lang w:eastAsia="en-GB"/>
          <w14:ligatures w14:val="none"/>
        </w:rPr>
      </w:pPr>
      <w:r>
        <w:rPr>
          <w:rFonts w:ascii="Times New Roman" w:hAnsi="Times New Roman" w:cs="Times New Roman"/>
          <w:sz w:val="26"/>
          <w:szCs w:val="26"/>
        </w:rPr>
        <w:t>Instructed by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TJC Dunn Attorneys</w:t>
      </w:r>
    </w:p>
    <w:sectPr w:rsidR="00FF2A4D" w:rsidRPr="00FF2A4D" w:rsidSect="00EA6D10">
      <w:headerReference w:type="even" r:id="rId1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D5CA" w14:textId="77777777" w:rsidR="00976828" w:rsidRDefault="00976828" w:rsidP="00153E10">
      <w:r>
        <w:separator/>
      </w:r>
    </w:p>
  </w:endnote>
  <w:endnote w:type="continuationSeparator" w:id="0">
    <w:p w14:paraId="15719203" w14:textId="77777777" w:rsidR="00976828" w:rsidRDefault="00976828" w:rsidP="0015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BEF33" w14:textId="77777777" w:rsidR="00976828" w:rsidRDefault="00976828" w:rsidP="00153E10">
      <w:r>
        <w:separator/>
      </w:r>
    </w:p>
  </w:footnote>
  <w:footnote w:type="continuationSeparator" w:id="0">
    <w:p w14:paraId="14E3C5B5" w14:textId="77777777" w:rsidR="00976828" w:rsidRDefault="00976828" w:rsidP="00153E10">
      <w:r>
        <w:continuationSeparator/>
      </w:r>
    </w:p>
  </w:footnote>
  <w:footnote w:id="1">
    <w:p w14:paraId="1F435B1A" w14:textId="77777777" w:rsidR="0015519B" w:rsidRPr="00D65C4C" w:rsidRDefault="0015519B" w:rsidP="0015519B">
      <w:pPr>
        <w:rPr>
          <w:rFonts w:ascii="Verdana" w:eastAsia="Times New Roman" w:hAnsi="Verdana" w:cs="Times New Roman"/>
          <w:b/>
          <w:bCs/>
          <w:color w:val="000000"/>
          <w:sz w:val="20"/>
          <w:szCs w:val="20"/>
          <w:lang w:eastAsia="en-ZA"/>
        </w:rPr>
      </w:pPr>
      <w:r>
        <w:rPr>
          <w:rStyle w:val="FootnoteReference"/>
          <w:sz w:val="20"/>
          <w:szCs w:val="20"/>
        </w:rPr>
        <w:footnoteRef/>
      </w:r>
      <w:r w:rsidRPr="00D65C4C">
        <w:rPr>
          <w:rFonts w:ascii="Times New Roman" w:hAnsi="Times New Roman" w:cs="Times New Roman"/>
          <w:sz w:val="20"/>
          <w:szCs w:val="20"/>
        </w:rPr>
        <w:t xml:space="preserve"> </w:t>
      </w:r>
      <w:r w:rsidRPr="00D65C4C">
        <w:rPr>
          <w:rFonts w:ascii="Times New Roman" w:eastAsia="Times New Roman" w:hAnsi="Times New Roman" w:cs="Times New Roman"/>
          <w:bCs/>
          <w:i/>
          <w:color w:val="000000"/>
          <w:sz w:val="20"/>
          <w:szCs w:val="20"/>
          <w:lang w:eastAsia="en-ZA"/>
        </w:rPr>
        <w:t>Ndlovu v Ngcobo; Bekker and Another v Jika</w:t>
      </w:r>
      <w:r w:rsidRPr="00D65C4C">
        <w:rPr>
          <w:rFonts w:ascii="Times New Roman" w:eastAsia="Times New Roman" w:hAnsi="Times New Roman" w:cs="Times New Roman"/>
          <w:bCs/>
          <w:color w:val="000000"/>
          <w:sz w:val="20"/>
          <w:szCs w:val="20"/>
          <w:lang w:eastAsia="en-ZA"/>
        </w:rPr>
        <w:t xml:space="preserve"> 2003 (1) SA 113 (SCA) a</w:t>
      </w:r>
      <w:r>
        <w:rPr>
          <w:rFonts w:ascii="Times New Roman" w:eastAsia="Times New Roman" w:hAnsi="Times New Roman" w:cs="Times New Roman"/>
          <w:bCs/>
          <w:color w:val="000000"/>
          <w:sz w:val="20"/>
          <w:szCs w:val="20"/>
          <w:lang w:eastAsia="en-ZA"/>
        </w:rPr>
        <w:t>t p</w:t>
      </w:r>
      <w:r w:rsidRPr="00D65C4C">
        <w:rPr>
          <w:rFonts w:ascii="Times New Roman" w:eastAsia="Times New Roman" w:hAnsi="Times New Roman" w:cs="Times New Roman"/>
          <w:bCs/>
          <w:color w:val="000000"/>
          <w:sz w:val="20"/>
          <w:szCs w:val="20"/>
          <w:lang w:eastAsia="en-ZA"/>
        </w:rPr>
        <w:t>ara 7.</w:t>
      </w:r>
    </w:p>
  </w:footnote>
  <w:footnote w:id="2">
    <w:p w14:paraId="48DB7B6A" w14:textId="77777777" w:rsidR="0015519B" w:rsidRPr="003456BD" w:rsidRDefault="0015519B" w:rsidP="0015519B">
      <w:pPr>
        <w:pStyle w:val="FootnoteText"/>
        <w:rPr>
          <w:rFonts w:ascii="Times New Roman" w:hAnsi="Times New Roman" w:cs="Times New Roman"/>
          <w:lang w:val="en-GB"/>
        </w:rPr>
      </w:pPr>
      <w:r w:rsidRPr="003456BD">
        <w:rPr>
          <w:rStyle w:val="FootnoteReference"/>
          <w:rFonts w:ascii="Times New Roman" w:hAnsi="Times New Roman" w:cs="Times New Roman"/>
        </w:rPr>
        <w:footnoteRef/>
      </w:r>
      <w:r w:rsidRPr="003456BD">
        <w:rPr>
          <w:rFonts w:ascii="Times New Roman" w:hAnsi="Times New Roman" w:cs="Times New Roman"/>
        </w:rPr>
        <w:t xml:space="preserve"> </w:t>
      </w:r>
      <w:r w:rsidRPr="003456BD">
        <w:rPr>
          <w:rFonts w:ascii="Times New Roman" w:hAnsi="Times New Roman" w:cs="Times New Roman"/>
          <w:bCs/>
          <w:i/>
          <w:color w:val="000000"/>
        </w:rPr>
        <w:t>City of Cape Town v Unlawful Occupiers, Erf 1800, Capricorn (Vrygrond Development) And Others</w:t>
      </w:r>
      <w:r w:rsidRPr="003456BD">
        <w:rPr>
          <w:rFonts w:ascii="Times New Roman" w:hAnsi="Times New Roman" w:cs="Times New Roman"/>
          <w:bCs/>
          <w:color w:val="000000"/>
        </w:rPr>
        <w:t xml:space="preserve"> 2003 (6) SA 140 (C) 148 – 149.</w:t>
      </w:r>
      <w:r>
        <w:rPr>
          <w:rFonts w:ascii="Times New Roman" w:hAnsi="Times New Roman" w:cs="Times New Roman"/>
          <w:bCs/>
          <w:color w:val="000000"/>
        </w:rPr>
        <w:t xml:space="preserve"> </w:t>
      </w:r>
      <w:r w:rsidRPr="000A7653">
        <w:rPr>
          <w:rFonts w:ascii="Times New Roman" w:hAnsi="Times New Roman" w:cs="Times New Roman"/>
          <w:bCs/>
          <w:color w:val="000000"/>
        </w:rPr>
        <w:t xml:space="preserve">See also </w:t>
      </w:r>
      <w:r w:rsidRPr="000A7653">
        <w:rPr>
          <w:rFonts w:ascii="Times New Roman" w:eastAsia="Times New Roman" w:hAnsi="Times New Roman" w:cs="Times New Roman"/>
          <w:i/>
          <w:iCs/>
          <w:color w:val="000000"/>
          <w:lang w:eastAsia="en-ZA"/>
        </w:rPr>
        <w:t>Paarl Municipality v Occupiers of Houses Situated at Certain Erven, Mbekweni, Paarl</w:t>
      </w:r>
      <w:r>
        <w:rPr>
          <w:rFonts w:ascii="Times New Roman" w:eastAsia="Times New Roman" w:hAnsi="Times New Roman" w:cs="Times New Roman"/>
          <w:color w:val="000000"/>
          <w:lang w:eastAsia="en-ZA"/>
        </w:rPr>
        <w:t>, case No 8937/2000 at p 14</w:t>
      </w:r>
      <w:r w:rsidRPr="000A7653">
        <w:rPr>
          <w:rFonts w:ascii="Times New Roman" w:eastAsia="Times New Roman" w:hAnsi="Times New Roman" w:cs="Times New Roman"/>
          <w:color w:val="000000"/>
          <w:lang w:eastAsia="en-ZA"/>
        </w:rPr>
        <w:t xml:space="preserve">; </w:t>
      </w:r>
      <w:r w:rsidRPr="00DD5698">
        <w:rPr>
          <w:rFonts w:ascii="Times New Roman" w:hAnsi="Times New Roman" w:cs="Times New Roman"/>
          <w:bCs/>
          <w:i/>
          <w:color w:val="000000"/>
        </w:rPr>
        <w:t>Transnet Ltd v Nyawuza And Others</w:t>
      </w:r>
      <w:r w:rsidRPr="000A7653">
        <w:rPr>
          <w:rFonts w:ascii="Times New Roman" w:hAnsi="Times New Roman" w:cs="Times New Roman"/>
          <w:bCs/>
          <w:color w:val="000000"/>
        </w:rPr>
        <w:t xml:space="preserve"> 2006 (5) SA 100 (D) at 103G-H.</w:t>
      </w:r>
    </w:p>
  </w:footnote>
  <w:footnote w:id="3">
    <w:p w14:paraId="11BF8145" w14:textId="061E108F" w:rsidR="005319F5" w:rsidRPr="005319F5" w:rsidRDefault="005319F5" w:rsidP="005319F5">
      <w:pPr>
        <w:pStyle w:val="ListParagraph"/>
        <w:spacing w:after="0" w:line="360" w:lineRule="auto"/>
        <w:ind w:left="0"/>
        <w:jc w:val="both"/>
        <w:rPr>
          <w:rFonts w:ascii="Times New Roman" w:hAnsi="Times New Roman" w:cs="Times New Roman"/>
          <w:color w:val="242121"/>
          <w:sz w:val="20"/>
          <w:szCs w:val="20"/>
        </w:rPr>
      </w:pPr>
      <w:r w:rsidRPr="005319F5">
        <w:rPr>
          <w:rStyle w:val="FootnoteReference"/>
          <w:rFonts w:ascii="Times New Roman" w:hAnsi="Times New Roman" w:cs="Times New Roman"/>
          <w:sz w:val="20"/>
          <w:szCs w:val="20"/>
        </w:rPr>
        <w:footnoteRef/>
      </w:r>
      <w:r w:rsidRPr="005319F5">
        <w:rPr>
          <w:rFonts w:ascii="Times New Roman" w:hAnsi="Times New Roman" w:cs="Times New Roman"/>
          <w:sz w:val="20"/>
          <w:szCs w:val="20"/>
        </w:rPr>
        <w:t xml:space="preserve"> </w:t>
      </w:r>
      <w:r w:rsidRPr="005319F5">
        <w:rPr>
          <w:rFonts w:ascii="Times New Roman" w:eastAsia="Times New Roman" w:hAnsi="Times New Roman" w:cs="Times New Roman"/>
          <w:color w:val="242121"/>
          <w:sz w:val="20"/>
          <w:szCs w:val="20"/>
          <w:lang w:eastAsia="en-GB"/>
        </w:rPr>
        <w:t xml:space="preserve">Section 1 of PIE defines an </w:t>
      </w:r>
      <w:r w:rsidRPr="005319F5">
        <w:rPr>
          <w:rFonts w:ascii="Times New Roman" w:eastAsia="Times New Roman" w:hAnsi="Times New Roman" w:cs="Times New Roman"/>
          <w:i/>
          <w:iCs/>
          <w:color w:val="242121"/>
          <w:sz w:val="20"/>
          <w:szCs w:val="20"/>
          <w:lang w:eastAsia="en-GB"/>
        </w:rPr>
        <w:t>“unlawful occupier”</w:t>
      </w:r>
      <w:r w:rsidRPr="005319F5">
        <w:rPr>
          <w:rFonts w:ascii="Times New Roman" w:eastAsia="Times New Roman" w:hAnsi="Times New Roman" w:cs="Times New Roman"/>
          <w:color w:val="242121"/>
          <w:sz w:val="20"/>
          <w:szCs w:val="20"/>
          <w:lang w:eastAsia="en-GB"/>
        </w:rPr>
        <w:t xml:space="preserve"> as </w:t>
      </w:r>
      <w:r>
        <w:rPr>
          <w:rFonts w:ascii="Times New Roman" w:eastAsia="Times New Roman" w:hAnsi="Times New Roman" w:cs="Times New Roman"/>
          <w:color w:val="242121"/>
          <w:sz w:val="20"/>
          <w:szCs w:val="20"/>
          <w:lang w:eastAsia="en-GB"/>
        </w:rPr>
        <w:t>-</w:t>
      </w:r>
    </w:p>
    <w:p w14:paraId="35FFCD1E" w14:textId="00C65FAE" w:rsidR="005319F5" w:rsidRPr="002E3EE6" w:rsidRDefault="005319F5" w:rsidP="002E3EE6">
      <w:pPr>
        <w:pStyle w:val="ListParagraph"/>
        <w:shd w:val="clear" w:color="auto" w:fill="FFFFFF"/>
        <w:spacing w:before="144" w:after="288" w:line="240" w:lineRule="auto"/>
        <w:ind w:left="1440"/>
        <w:jc w:val="both"/>
        <w:rPr>
          <w:rFonts w:ascii="Times New Roman" w:eastAsia="Times New Roman" w:hAnsi="Times New Roman" w:cs="Times New Roman"/>
          <w:color w:val="242121"/>
          <w:sz w:val="20"/>
          <w:szCs w:val="20"/>
          <w:lang w:eastAsia="en-GB"/>
        </w:rPr>
      </w:pPr>
      <w:r w:rsidRPr="005319F5">
        <w:rPr>
          <w:rFonts w:ascii="Times New Roman" w:eastAsia="Times New Roman" w:hAnsi="Times New Roman" w:cs="Times New Roman"/>
          <w:color w:val="242121"/>
          <w:sz w:val="20"/>
          <w:szCs w:val="20"/>
          <w:lang w:eastAsia="en-GB"/>
        </w:rPr>
        <w:t>“a person who occupies land without the express or tacit consent of the owner or person in charge, or without any other right in law to occupy such land, excluding a person who is an occupier in terms of the </w:t>
      </w:r>
      <w:hyperlink r:id="rId1" w:history="1">
        <w:r w:rsidRPr="005319F5">
          <w:rPr>
            <w:rFonts w:ascii="Times New Roman" w:eastAsia="Times New Roman" w:hAnsi="Times New Roman" w:cs="Times New Roman"/>
            <w:color w:val="000000" w:themeColor="text1"/>
            <w:sz w:val="20"/>
            <w:szCs w:val="20"/>
            <w:lang w:eastAsia="en-GB"/>
          </w:rPr>
          <w:t>Extension of Security of Tenure Act, 1997</w:t>
        </w:r>
      </w:hyperlink>
      <w:r w:rsidRPr="005319F5">
        <w:rPr>
          <w:rFonts w:ascii="Times New Roman" w:eastAsia="Times New Roman" w:hAnsi="Times New Roman" w:cs="Times New Roman"/>
          <w:color w:val="000000" w:themeColor="text1"/>
          <w:sz w:val="20"/>
          <w:szCs w:val="20"/>
          <w:lang w:eastAsia="en-GB"/>
        </w:rPr>
        <w:t xml:space="preserve">, </w:t>
      </w:r>
      <w:r w:rsidRPr="005319F5">
        <w:rPr>
          <w:rFonts w:ascii="Times New Roman" w:eastAsia="Times New Roman" w:hAnsi="Times New Roman" w:cs="Times New Roman"/>
          <w:color w:val="242121"/>
          <w:sz w:val="20"/>
          <w:szCs w:val="20"/>
          <w:lang w:eastAsia="en-GB"/>
        </w:rPr>
        <w:t>and excluding a person whose informal right to land, but for the provisions of this Act, would be protected by the provisions of the Interim Protection of Informal Land Rights Act, 1996 (Act No. 31 of 1996).”</w:t>
      </w:r>
    </w:p>
  </w:footnote>
  <w:footnote w:id="4">
    <w:p w14:paraId="064B435D" w14:textId="77777777" w:rsidR="0015519B" w:rsidRPr="00D65C4C" w:rsidRDefault="0015519B" w:rsidP="0015519B">
      <w:pPr>
        <w:pStyle w:val="FootnoteText"/>
        <w:rPr>
          <w:lang w:val="en-GB"/>
        </w:rPr>
      </w:pPr>
      <w:r>
        <w:rPr>
          <w:rStyle w:val="FootnoteReference"/>
        </w:rPr>
        <w:footnoteRef/>
      </w:r>
      <w:r w:rsidRPr="00D65C4C">
        <w:rPr>
          <w:rFonts w:ascii="Times New Roman" w:hAnsi="Times New Roman" w:cs="Times New Roman"/>
        </w:rPr>
        <w:t xml:space="preserve"> </w:t>
      </w:r>
      <w:r w:rsidRPr="006F65CC">
        <w:rPr>
          <w:rFonts w:ascii="Times New Roman" w:hAnsi="Times New Roman" w:cs="Times New Roman"/>
          <w:bCs/>
          <w:i/>
          <w:color w:val="000000"/>
        </w:rPr>
        <w:t>Mangaung Local Municipality v Mashale and Another</w:t>
      </w:r>
      <w:r w:rsidRPr="00D65C4C">
        <w:rPr>
          <w:rFonts w:ascii="Times New Roman" w:hAnsi="Times New Roman" w:cs="Times New Roman"/>
          <w:bCs/>
          <w:color w:val="000000"/>
        </w:rPr>
        <w:t xml:space="preserve"> 2006 (1) SA 269 (O) at para 11.</w:t>
      </w:r>
    </w:p>
  </w:footnote>
  <w:footnote w:id="5">
    <w:p w14:paraId="10640966" w14:textId="6DDFFE58" w:rsidR="0015519B" w:rsidRPr="006F65CC" w:rsidRDefault="0015519B" w:rsidP="0015519B">
      <w:pPr>
        <w:pStyle w:val="FootnoteText"/>
        <w:rPr>
          <w:lang w:val="en-GB"/>
        </w:rPr>
      </w:pPr>
      <w:r>
        <w:rPr>
          <w:rStyle w:val="FootnoteReference"/>
        </w:rPr>
        <w:footnoteRef/>
      </w:r>
      <w:r w:rsidRPr="006F65CC">
        <w:rPr>
          <w:rFonts w:ascii="Times New Roman" w:hAnsi="Times New Roman" w:cs="Times New Roman"/>
          <w:lang w:val="en-GB"/>
        </w:rPr>
        <w:t>At para 11</w:t>
      </w:r>
      <w:r>
        <w:rPr>
          <w:lang w:val="en-GB"/>
        </w:rPr>
        <w:t>.</w:t>
      </w:r>
    </w:p>
  </w:footnote>
  <w:footnote w:id="6">
    <w:p w14:paraId="54B9AFAF" w14:textId="7392427E" w:rsidR="00916078" w:rsidRPr="00916078" w:rsidRDefault="00916078" w:rsidP="00916078">
      <w:pPr>
        <w:jc w:val="both"/>
        <w:rPr>
          <w:rFonts w:ascii="Times New Roman" w:hAnsi="Times New Roman" w:cs="Times New Roman"/>
          <w:color w:val="000000" w:themeColor="text1"/>
          <w:sz w:val="20"/>
          <w:szCs w:val="20"/>
          <w:shd w:val="clear" w:color="auto" w:fill="FFFFFF"/>
        </w:rPr>
      </w:pPr>
      <w:r w:rsidRPr="00916078">
        <w:rPr>
          <w:rStyle w:val="FootnoteReference"/>
          <w:rFonts w:ascii="Times New Roman" w:hAnsi="Times New Roman" w:cs="Times New Roman"/>
          <w:sz w:val="20"/>
          <w:szCs w:val="20"/>
        </w:rPr>
        <w:footnoteRef/>
      </w:r>
      <w:r w:rsidRPr="00916078">
        <w:rPr>
          <w:rFonts w:ascii="Times New Roman" w:hAnsi="Times New Roman" w:cs="Times New Roman"/>
          <w:sz w:val="20"/>
          <w:szCs w:val="20"/>
        </w:rPr>
        <w:t xml:space="preserve"> </w:t>
      </w:r>
      <w:r w:rsidRPr="00916078">
        <w:rPr>
          <w:rFonts w:ascii="Times New Roman" w:hAnsi="Times New Roman" w:cs="Times New Roman"/>
          <w:i/>
          <w:iCs/>
          <w:color w:val="000000" w:themeColor="text1"/>
          <w:sz w:val="20"/>
          <w:szCs w:val="20"/>
          <w:shd w:val="clear" w:color="auto" w:fill="FFFFFF"/>
        </w:rPr>
        <w:t>City of Johannesburg v Changing Tides 74 (Pty) Ltd</w:t>
      </w:r>
      <w:r w:rsidRPr="00916078">
        <w:rPr>
          <w:rFonts w:ascii="Times New Roman" w:hAnsi="Times New Roman" w:cs="Times New Roman"/>
          <w:color w:val="000000" w:themeColor="text1"/>
          <w:sz w:val="20"/>
          <w:szCs w:val="20"/>
          <w:shd w:val="clear" w:color="auto" w:fill="FFFFFF"/>
        </w:rPr>
        <w:t> </w:t>
      </w:r>
      <w:hyperlink r:id="rId2" w:tooltip="View LawCiteRecord" w:history="1">
        <w:r w:rsidRPr="00916078">
          <w:rPr>
            <w:rStyle w:val="Hyperlink"/>
            <w:rFonts w:ascii="Times New Roman" w:hAnsi="Times New Roman" w:cs="Times New Roman"/>
            <w:color w:val="000000" w:themeColor="text1"/>
            <w:sz w:val="20"/>
            <w:szCs w:val="20"/>
            <w:u w:val="none"/>
            <w:shd w:val="clear" w:color="auto" w:fill="FFFFFF"/>
          </w:rPr>
          <w:t>[2012] ZASCA 116</w:t>
        </w:r>
      </w:hyperlink>
      <w:r w:rsidRPr="00916078">
        <w:rPr>
          <w:rFonts w:ascii="Times New Roman" w:hAnsi="Times New Roman" w:cs="Times New Roman"/>
          <w:color w:val="000000" w:themeColor="text1"/>
          <w:sz w:val="20"/>
          <w:szCs w:val="20"/>
          <w:shd w:val="clear" w:color="auto" w:fill="FFFFFF"/>
        </w:rPr>
        <w:t>; </w:t>
      </w:r>
      <w:hyperlink r:id="rId3" w:tooltip="View LawCiteRecord" w:history="1">
        <w:r w:rsidRPr="00916078">
          <w:rPr>
            <w:rStyle w:val="Hyperlink"/>
            <w:rFonts w:ascii="Times New Roman" w:hAnsi="Times New Roman" w:cs="Times New Roman"/>
            <w:color w:val="000000" w:themeColor="text1"/>
            <w:sz w:val="20"/>
            <w:szCs w:val="20"/>
            <w:u w:val="none"/>
            <w:shd w:val="clear" w:color="auto" w:fill="FFFFFF"/>
          </w:rPr>
          <w:t>2012 (6) SA 294</w:t>
        </w:r>
      </w:hyperlink>
      <w:r w:rsidRPr="00916078">
        <w:rPr>
          <w:rFonts w:ascii="Times New Roman" w:hAnsi="Times New Roman" w:cs="Times New Roman"/>
          <w:color w:val="000000" w:themeColor="text1"/>
          <w:sz w:val="20"/>
          <w:szCs w:val="20"/>
          <w:shd w:val="clear" w:color="auto" w:fill="FFFFFF"/>
        </w:rPr>
        <w:t> (SCA); </w:t>
      </w:r>
      <w:hyperlink r:id="rId4" w:tooltip="View LawCiteRecord" w:history="1">
        <w:r w:rsidRPr="00916078">
          <w:rPr>
            <w:rStyle w:val="Hyperlink"/>
            <w:rFonts w:ascii="Times New Roman" w:hAnsi="Times New Roman" w:cs="Times New Roman"/>
            <w:color w:val="000000" w:themeColor="text1"/>
            <w:sz w:val="20"/>
            <w:szCs w:val="20"/>
            <w:u w:val="none"/>
            <w:shd w:val="clear" w:color="auto" w:fill="FFFFFF"/>
          </w:rPr>
          <w:t>2012 (11) BCLR 1206</w:t>
        </w:r>
      </w:hyperlink>
      <w:r w:rsidRPr="00916078">
        <w:rPr>
          <w:rFonts w:ascii="Times New Roman" w:hAnsi="Times New Roman" w:cs="Times New Roman"/>
          <w:color w:val="000000" w:themeColor="text1"/>
          <w:sz w:val="20"/>
          <w:szCs w:val="20"/>
          <w:shd w:val="clear" w:color="auto" w:fill="FFFFFF"/>
        </w:rPr>
        <w:t> (SCA) (</w:t>
      </w:r>
      <w:r w:rsidRPr="00916078">
        <w:rPr>
          <w:rFonts w:ascii="Times New Roman" w:hAnsi="Times New Roman" w:cs="Times New Roman"/>
          <w:i/>
          <w:iCs/>
          <w:color w:val="000000" w:themeColor="text1"/>
          <w:sz w:val="20"/>
          <w:szCs w:val="20"/>
          <w:shd w:val="clear" w:color="auto" w:fill="FFFFFF"/>
        </w:rPr>
        <w:t>Changing Tides</w:t>
      </w:r>
      <w:r w:rsidRPr="00916078">
        <w:rPr>
          <w:rFonts w:ascii="Times New Roman" w:hAnsi="Times New Roman" w:cs="Times New Roman"/>
          <w:color w:val="000000" w:themeColor="text1"/>
          <w:sz w:val="20"/>
          <w:szCs w:val="20"/>
          <w:shd w:val="clear" w:color="auto" w:fill="FFFFFF"/>
        </w:rPr>
        <w:t>) at para 15.</w:t>
      </w:r>
    </w:p>
  </w:footnote>
  <w:footnote w:id="7">
    <w:p w14:paraId="0E300521" w14:textId="77777777" w:rsidR="00916078" w:rsidRDefault="00916078" w:rsidP="00916078">
      <w:pPr>
        <w:pStyle w:val="NormalWeb"/>
        <w:shd w:val="clear" w:color="auto" w:fill="FFFFFF"/>
        <w:spacing w:before="144" w:beforeAutospacing="0" w:after="288" w:afterAutospacing="0"/>
        <w:jc w:val="both"/>
        <w:rPr>
          <w:sz w:val="20"/>
          <w:szCs w:val="20"/>
        </w:rPr>
      </w:pPr>
      <w:r w:rsidRPr="005319F5">
        <w:rPr>
          <w:rStyle w:val="FootnoteReference"/>
          <w:sz w:val="20"/>
          <w:szCs w:val="20"/>
        </w:rPr>
        <w:footnoteRef/>
      </w:r>
      <w:r w:rsidRPr="005319F5">
        <w:rPr>
          <w:sz w:val="20"/>
          <w:szCs w:val="20"/>
        </w:rPr>
        <w:t xml:space="preserve"> Section 26(3) of the Constitution provides: </w:t>
      </w:r>
    </w:p>
    <w:p w14:paraId="63418AFE" w14:textId="77777777" w:rsidR="00916078" w:rsidRPr="005319F5" w:rsidRDefault="00916078" w:rsidP="00916078">
      <w:pPr>
        <w:pStyle w:val="NormalWeb"/>
        <w:shd w:val="clear" w:color="auto" w:fill="FFFFFF"/>
        <w:spacing w:before="144" w:beforeAutospacing="0" w:after="288" w:afterAutospacing="0"/>
        <w:ind w:left="720"/>
        <w:jc w:val="both"/>
        <w:rPr>
          <w:sz w:val="20"/>
          <w:szCs w:val="20"/>
        </w:rPr>
      </w:pPr>
      <w:r w:rsidRPr="005319F5">
        <w:rPr>
          <w:color w:val="242121"/>
          <w:sz w:val="20"/>
          <w:szCs w:val="20"/>
        </w:rPr>
        <w:t>“No one may be evicted from their home, or have their home demolished, without an order of court made after considering all the relevant circumstances.  No legislation may permit arbitrary evictions.”</w:t>
      </w:r>
    </w:p>
  </w:footnote>
  <w:footnote w:id="8">
    <w:p w14:paraId="647E2177" w14:textId="77777777" w:rsidR="00916078" w:rsidRPr="006F44FD" w:rsidRDefault="00916078" w:rsidP="00916078">
      <w:pPr>
        <w:pStyle w:val="Heading2"/>
        <w:shd w:val="clear" w:color="auto" w:fill="FFFFFF"/>
        <w:spacing w:before="240" w:beforeAutospacing="0" w:after="180" w:afterAutospacing="0"/>
        <w:rPr>
          <w:b w:val="0"/>
          <w:bCs w:val="0"/>
          <w:color w:val="000000" w:themeColor="text1"/>
          <w:sz w:val="20"/>
          <w:szCs w:val="20"/>
        </w:rPr>
      </w:pPr>
      <w:r w:rsidRPr="00153E10">
        <w:rPr>
          <w:rStyle w:val="FootnoteReference"/>
          <w:b w:val="0"/>
          <w:bCs w:val="0"/>
          <w:color w:val="000000" w:themeColor="text1"/>
          <w:sz w:val="20"/>
          <w:szCs w:val="20"/>
        </w:rPr>
        <w:footnoteRef/>
      </w:r>
      <w:r w:rsidRPr="00153E10">
        <w:rPr>
          <w:b w:val="0"/>
          <w:bCs w:val="0"/>
          <w:color w:val="000000" w:themeColor="text1"/>
          <w:sz w:val="20"/>
          <w:szCs w:val="20"/>
        </w:rPr>
        <w:t xml:space="preserve"> </w:t>
      </w:r>
      <w:r w:rsidRPr="00153E10">
        <w:rPr>
          <w:b w:val="0"/>
          <w:bCs w:val="0"/>
          <w:i/>
          <w:iCs/>
          <w:color w:val="000000" w:themeColor="text1"/>
          <w:sz w:val="20"/>
          <w:szCs w:val="20"/>
          <w:shd w:val="clear" w:color="auto" w:fill="FFFFFF"/>
        </w:rPr>
        <w:t>City of Johannesburg Metropolitan Municipality v Blue Moonlight Properties 39 (Pty) Ltd and Another </w:t>
      </w:r>
      <w:hyperlink r:id="rId5" w:tooltip="View LawCiteRecord" w:history="1">
        <w:r w:rsidRPr="00153E10">
          <w:rPr>
            <w:rStyle w:val="Hyperlink"/>
            <w:b w:val="0"/>
            <w:bCs w:val="0"/>
            <w:color w:val="000000" w:themeColor="text1"/>
            <w:sz w:val="20"/>
            <w:szCs w:val="20"/>
            <w:u w:val="none"/>
            <w:shd w:val="clear" w:color="auto" w:fill="FFFFFF"/>
          </w:rPr>
          <w:t>[2011] ZACC 33</w:t>
        </w:r>
      </w:hyperlink>
      <w:r w:rsidRPr="00153E10">
        <w:rPr>
          <w:b w:val="0"/>
          <w:bCs w:val="0"/>
          <w:color w:val="000000" w:themeColor="text1"/>
          <w:sz w:val="20"/>
          <w:szCs w:val="20"/>
          <w:shd w:val="clear" w:color="auto" w:fill="FFFFFF"/>
        </w:rPr>
        <w:t>; </w:t>
      </w:r>
      <w:hyperlink r:id="rId6" w:tooltip="View LawCiteRecord" w:history="1">
        <w:r w:rsidRPr="00153E10">
          <w:rPr>
            <w:rStyle w:val="Hyperlink"/>
            <w:b w:val="0"/>
            <w:bCs w:val="0"/>
            <w:color w:val="000000" w:themeColor="text1"/>
            <w:sz w:val="20"/>
            <w:szCs w:val="20"/>
            <w:u w:val="none"/>
            <w:shd w:val="clear" w:color="auto" w:fill="FFFFFF"/>
          </w:rPr>
          <w:t>2012 (2) SA 104</w:t>
        </w:r>
      </w:hyperlink>
      <w:r w:rsidRPr="00153E10">
        <w:rPr>
          <w:b w:val="0"/>
          <w:bCs w:val="0"/>
          <w:color w:val="000000" w:themeColor="text1"/>
          <w:sz w:val="20"/>
          <w:szCs w:val="20"/>
          <w:shd w:val="clear" w:color="auto" w:fill="FFFFFF"/>
        </w:rPr>
        <w:t> (CC); </w:t>
      </w:r>
      <w:hyperlink r:id="rId7" w:tooltip="View LawCiteRecord" w:history="1">
        <w:r w:rsidRPr="00153E10">
          <w:rPr>
            <w:rStyle w:val="Hyperlink"/>
            <w:b w:val="0"/>
            <w:bCs w:val="0"/>
            <w:color w:val="000000" w:themeColor="text1"/>
            <w:sz w:val="20"/>
            <w:szCs w:val="20"/>
            <w:u w:val="none"/>
            <w:shd w:val="clear" w:color="auto" w:fill="FFFFFF"/>
          </w:rPr>
          <w:t>2012 (2) BCLR 150</w:t>
        </w:r>
      </w:hyperlink>
      <w:r w:rsidRPr="00153E10">
        <w:rPr>
          <w:b w:val="0"/>
          <w:bCs w:val="0"/>
          <w:color w:val="000000" w:themeColor="text1"/>
          <w:sz w:val="20"/>
          <w:szCs w:val="20"/>
          <w:shd w:val="clear" w:color="auto" w:fill="FFFFFF"/>
        </w:rPr>
        <w:t> (CC), especially at paras 1</w:t>
      </w:r>
      <w:r>
        <w:rPr>
          <w:b w:val="0"/>
          <w:bCs w:val="0"/>
          <w:color w:val="000000" w:themeColor="text1"/>
          <w:sz w:val="20"/>
          <w:szCs w:val="20"/>
          <w:shd w:val="clear" w:color="auto" w:fill="FFFFFF"/>
        </w:rPr>
        <w:t>,7</w:t>
      </w:r>
      <w:r w:rsidRPr="00153E10">
        <w:rPr>
          <w:b w:val="0"/>
          <w:bCs w:val="0"/>
          <w:color w:val="000000" w:themeColor="text1"/>
          <w:sz w:val="20"/>
          <w:szCs w:val="20"/>
          <w:shd w:val="clear" w:color="auto" w:fill="FFFFFF"/>
        </w:rPr>
        <w:t xml:space="preserve"> and 30;</w:t>
      </w:r>
      <w:r w:rsidRPr="00153E10">
        <w:rPr>
          <w:color w:val="000000" w:themeColor="text1"/>
          <w:shd w:val="clear" w:color="auto" w:fill="FFFFFF"/>
        </w:rPr>
        <w:t xml:space="preserve"> </w:t>
      </w:r>
      <w:r w:rsidRPr="00153E10">
        <w:rPr>
          <w:b w:val="0"/>
          <w:bCs w:val="0"/>
          <w:i/>
          <w:iCs/>
          <w:color w:val="000000" w:themeColor="text1"/>
          <w:sz w:val="20"/>
          <w:szCs w:val="20"/>
        </w:rPr>
        <w:t>MC Denneboom Service Station CC and Another v Phayan</w:t>
      </w:r>
      <w:r w:rsidRPr="00153E10">
        <w:rPr>
          <w:b w:val="0"/>
          <w:bCs w:val="0"/>
          <w:color w:val="000000" w:themeColor="text1"/>
          <w:sz w:val="20"/>
          <w:szCs w:val="20"/>
        </w:rPr>
        <w:t>e (CCT 71/14) [2014] ZACC 29; 2015 (1) SA 54 (CC); 2014 (12) BCLR 1421 (CC) (3 October 2014) para [16].</w:t>
      </w:r>
    </w:p>
  </w:footnote>
  <w:footnote w:id="9">
    <w:p w14:paraId="556C2DEB" w14:textId="4498660E" w:rsidR="002E3EE6" w:rsidRPr="002E3EE6" w:rsidRDefault="002E3EE6">
      <w:pPr>
        <w:pStyle w:val="FootnoteText"/>
        <w:rPr>
          <w:lang w:val="en-US"/>
        </w:rPr>
      </w:pPr>
      <w:r>
        <w:rPr>
          <w:rStyle w:val="FootnoteReference"/>
        </w:rPr>
        <w:footnoteRef/>
      </w:r>
      <w:r>
        <w:t xml:space="preserve"> </w:t>
      </w:r>
      <w:r w:rsidRPr="00916078">
        <w:rPr>
          <w:rFonts w:ascii="Times New Roman" w:hAnsi="Times New Roman" w:cs="Times New Roman"/>
          <w:i/>
          <w:iCs/>
          <w:color w:val="000000" w:themeColor="text1"/>
        </w:rPr>
        <w:t>MC Denneboom Service Station CC and Another v Phayane</w:t>
      </w:r>
      <w:r w:rsidRPr="00916078">
        <w:rPr>
          <w:rFonts w:ascii="Times New Roman" w:hAnsi="Times New Roman" w:cs="Times New Roman"/>
          <w:color w:val="000000" w:themeColor="text1"/>
        </w:rPr>
        <w:t xml:space="preserve"> (CCT 71/14) [2014] ZACC 29; 2015 (1) SA 54 (CC); 2014 (12) BCLR 1421 (CC) (3 October 2014)</w:t>
      </w:r>
      <w:r>
        <w:rPr>
          <w:rFonts w:ascii="Times New Roman" w:hAnsi="Times New Roman" w:cs="Times New Roman"/>
          <w:color w:val="000000" w:themeColor="text1"/>
        </w:rPr>
        <w:t xml:space="preserve"> paras [16] and [17].</w:t>
      </w:r>
    </w:p>
  </w:footnote>
  <w:footnote w:id="10">
    <w:p w14:paraId="1C69AC5F" w14:textId="77777777" w:rsidR="00916078" w:rsidRPr="00916078" w:rsidRDefault="00916078" w:rsidP="00916078">
      <w:pPr>
        <w:pStyle w:val="FootnoteText"/>
        <w:rPr>
          <w:rFonts w:ascii="Times New Roman" w:hAnsi="Times New Roman" w:cs="Times New Roman"/>
          <w:lang w:val="en-US"/>
        </w:rPr>
      </w:pPr>
      <w:r w:rsidRPr="00916078">
        <w:rPr>
          <w:rStyle w:val="FootnoteReference"/>
          <w:rFonts w:ascii="Times New Roman" w:hAnsi="Times New Roman" w:cs="Times New Roman"/>
        </w:rPr>
        <w:footnoteRef/>
      </w:r>
      <w:r w:rsidRPr="00916078">
        <w:rPr>
          <w:rFonts w:ascii="Times New Roman" w:hAnsi="Times New Roman" w:cs="Times New Roman"/>
        </w:rPr>
        <w:t xml:space="preserve"> </w:t>
      </w:r>
      <w:r w:rsidRPr="00916078">
        <w:rPr>
          <w:rFonts w:ascii="Times New Roman" w:hAnsi="Times New Roman" w:cs="Times New Roman"/>
          <w:i/>
          <w:iCs/>
          <w:color w:val="000000" w:themeColor="text1"/>
        </w:rPr>
        <w:t>MC Denneboom Service Station CC and Another v Phayane</w:t>
      </w:r>
      <w:r w:rsidRPr="00916078">
        <w:rPr>
          <w:rFonts w:ascii="Times New Roman" w:hAnsi="Times New Roman" w:cs="Times New Roman"/>
          <w:color w:val="000000" w:themeColor="text1"/>
        </w:rPr>
        <w:t xml:space="preserve"> (CCT 71/14) [2014] ZACC 29; 2015 (1) SA 54 (CC); 2014 (12) BCLR 1421 (CC) (3 October 2014).</w:t>
      </w:r>
    </w:p>
  </w:footnote>
  <w:footnote w:id="11">
    <w:p w14:paraId="60A2D8F8" w14:textId="6B94F2C8" w:rsidR="00916078" w:rsidRPr="00916078" w:rsidRDefault="00916078" w:rsidP="00916078">
      <w:pPr>
        <w:pStyle w:val="Heading2"/>
        <w:shd w:val="clear" w:color="auto" w:fill="FFFFFF"/>
        <w:spacing w:before="240" w:beforeAutospacing="0" w:after="180" w:afterAutospacing="0"/>
        <w:rPr>
          <w:b w:val="0"/>
          <w:bCs w:val="0"/>
          <w:color w:val="000000" w:themeColor="text1"/>
          <w:sz w:val="20"/>
          <w:szCs w:val="20"/>
        </w:rPr>
      </w:pPr>
      <w:r w:rsidRPr="00916078">
        <w:rPr>
          <w:rStyle w:val="FootnoteReference"/>
          <w:b w:val="0"/>
          <w:bCs w:val="0"/>
          <w:color w:val="000000" w:themeColor="text1"/>
          <w:sz w:val="20"/>
          <w:szCs w:val="20"/>
        </w:rPr>
        <w:footnoteRef/>
      </w:r>
      <w:r w:rsidRPr="00916078">
        <w:rPr>
          <w:b w:val="0"/>
          <w:bCs w:val="0"/>
          <w:color w:val="000000" w:themeColor="text1"/>
          <w:sz w:val="20"/>
          <w:szCs w:val="20"/>
        </w:rPr>
        <w:t xml:space="preserve"> </w:t>
      </w:r>
      <w:r w:rsidRPr="00916078">
        <w:rPr>
          <w:b w:val="0"/>
          <w:bCs w:val="0"/>
          <w:i/>
          <w:iCs/>
          <w:color w:val="000000" w:themeColor="text1"/>
          <w:sz w:val="20"/>
          <w:szCs w:val="20"/>
          <w:shd w:val="clear" w:color="auto" w:fill="FFFFFF"/>
        </w:rPr>
        <w:t>MC Denneboom Service Station CC and Another v Phayane</w:t>
      </w:r>
      <w:r w:rsidRPr="00916078">
        <w:rPr>
          <w:b w:val="0"/>
          <w:bCs w:val="0"/>
          <w:color w:val="000000" w:themeColor="text1"/>
          <w:sz w:val="20"/>
          <w:szCs w:val="20"/>
          <w:lang w:val="en-US"/>
        </w:rPr>
        <w:t xml:space="preserve"> para 18. See also </w:t>
      </w:r>
      <w:r w:rsidRPr="00916078">
        <w:rPr>
          <w:b w:val="0"/>
          <w:bCs w:val="0"/>
          <w:i/>
          <w:iCs/>
          <w:color w:val="000000" w:themeColor="text1"/>
          <w:sz w:val="20"/>
          <w:szCs w:val="20"/>
        </w:rPr>
        <w:t>Van der Stel Sports Club v Cape Perfect Health CC t/a Perfect Health</w:t>
      </w:r>
      <w:r w:rsidRPr="00916078">
        <w:rPr>
          <w:b w:val="0"/>
          <w:bCs w:val="0"/>
          <w:color w:val="000000" w:themeColor="text1"/>
          <w:sz w:val="20"/>
          <w:szCs w:val="20"/>
        </w:rPr>
        <w:t xml:space="preserve"> (4467/2018) [2018] ZAWCHC 167 (3 December 2018) para 9.</w:t>
      </w:r>
    </w:p>
    <w:p w14:paraId="25E0BAC6" w14:textId="626A8898" w:rsidR="00916078" w:rsidRPr="00916078" w:rsidRDefault="00916078">
      <w:pPr>
        <w:pStyle w:val="FootnoteText"/>
        <w:rPr>
          <w:lang w:val="en-US"/>
        </w:rPr>
      </w:pPr>
    </w:p>
  </w:footnote>
  <w:footnote w:id="12">
    <w:p w14:paraId="224080A0" w14:textId="77777777" w:rsidR="00957E91" w:rsidRPr="00957E91" w:rsidRDefault="00957E91" w:rsidP="00957E91">
      <w:pPr>
        <w:spacing w:line="276" w:lineRule="auto"/>
        <w:jc w:val="both"/>
        <w:rPr>
          <w:rFonts w:ascii="Times New Roman" w:hAnsi="Times New Roman" w:cs="Times New Roman"/>
          <w:sz w:val="20"/>
          <w:szCs w:val="20"/>
        </w:rPr>
      </w:pPr>
      <w:r w:rsidRPr="00957E91">
        <w:rPr>
          <w:rStyle w:val="FootnoteReference"/>
          <w:rFonts w:ascii="Times New Roman" w:hAnsi="Times New Roman" w:cs="Times New Roman"/>
          <w:sz w:val="20"/>
          <w:szCs w:val="20"/>
        </w:rPr>
        <w:footnoteRef/>
      </w:r>
      <w:r w:rsidRPr="00957E91">
        <w:rPr>
          <w:rFonts w:ascii="Times New Roman" w:hAnsi="Times New Roman" w:cs="Times New Roman"/>
          <w:sz w:val="20"/>
          <w:szCs w:val="20"/>
        </w:rPr>
        <w:t xml:space="preserve"> </w:t>
      </w:r>
      <w:r w:rsidRPr="00957E91">
        <w:rPr>
          <w:rFonts w:ascii="Times New Roman" w:hAnsi="Times New Roman" w:cs="Times New Roman"/>
          <w:i/>
          <w:iCs/>
          <w:color w:val="000000" w:themeColor="text1"/>
          <w:sz w:val="20"/>
          <w:szCs w:val="20"/>
          <w:shd w:val="clear" w:color="auto" w:fill="FFFFFF"/>
        </w:rPr>
        <w:t>Ex parte Sussens</w:t>
      </w:r>
      <w:r w:rsidRPr="00957E91">
        <w:rPr>
          <w:rFonts w:ascii="Times New Roman" w:hAnsi="Times New Roman" w:cs="Times New Roman"/>
          <w:color w:val="000000" w:themeColor="text1"/>
          <w:sz w:val="20"/>
          <w:szCs w:val="20"/>
          <w:shd w:val="clear" w:color="auto" w:fill="FFFFFF"/>
        </w:rPr>
        <w:t> 1941 TPD 15 at 20; </w:t>
      </w:r>
      <w:r w:rsidRPr="00957E91">
        <w:rPr>
          <w:rFonts w:ascii="Times New Roman" w:hAnsi="Times New Roman" w:cs="Times New Roman"/>
          <w:i/>
          <w:iCs/>
          <w:color w:val="000000" w:themeColor="text1"/>
          <w:sz w:val="20"/>
          <w:szCs w:val="20"/>
          <w:shd w:val="clear" w:color="auto" w:fill="FFFFFF"/>
        </w:rPr>
        <w:t>Road Accident Fund v Mothupi</w:t>
      </w:r>
      <w:r w:rsidRPr="00957E91">
        <w:rPr>
          <w:rFonts w:ascii="Times New Roman" w:hAnsi="Times New Roman" w:cs="Times New Roman"/>
          <w:color w:val="000000" w:themeColor="text1"/>
          <w:sz w:val="20"/>
          <w:szCs w:val="20"/>
          <w:shd w:val="clear" w:color="auto" w:fill="FFFFFF"/>
        </w:rPr>
        <w:t xml:space="preserve"> supra [24] para 17; </w:t>
      </w:r>
      <w:r w:rsidRPr="00957E91">
        <w:rPr>
          <w:rFonts w:ascii="Times New Roman" w:hAnsi="Times New Roman" w:cs="Times New Roman"/>
          <w:i/>
          <w:iCs/>
          <w:color w:val="000000" w:themeColor="text1"/>
          <w:sz w:val="20"/>
          <w:szCs w:val="20"/>
          <w:shd w:val="clear" w:color="auto" w:fill="FFFFFF"/>
        </w:rPr>
        <w:t>Borstlap v Spagenberg en Andere</w:t>
      </w:r>
      <w:r w:rsidRPr="00957E91">
        <w:rPr>
          <w:rFonts w:ascii="Times New Roman" w:hAnsi="Times New Roman" w:cs="Times New Roman"/>
          <w:color w:val="000000" w:themeColor="text1"/>
          <w:sz w:val="20"/>
          <w:szCs w:val="20"/>
          <w:shd w:val="clear" w:color="auto" w:fill="FFFFFF"/>
        </w:rPr>
        <w:t> </w:t>
      </w:r>
      <w:hyperlink r:id="rId8" w:history="1">
        <w:r w:rsidRPr="00957E91">
          <w:rPr>
            <w:rStyle w:val="Hyperlink"/>
            <w:rFonts w:ascii="Times New Roman" w:hAnsi="Times New Roman" w:cs="Times New Roman"/>
            <w:color w:val="000000" w:themeColor="text1"/>
            <w:sz w:val="20"/>
            <w:szCs w:val="20"/>
            <w:u w:val="none"/>
            <w:shd w:val="clear" w:color="auto" w:fill="FFFFFF"/>
          </w:rPr>
          <w:t>1974 (3) SA 695 (A)</w:t>
        </w:r>
      </w:hyperlink>
      <w:r w:rsidRPr="00957E91">
        <w:rPr>
          <w:rFonts w:ascii="Times New Roman" w:hAnsi="Times New Roman" w:cs="Times New Roman"/>
          <w:color w:val="000000" w:themeColor="text1"/>
          <w:sz w:val="20"/>
          <w:szCs w:val="20"/>
          <w:shd w:val="clear" w:color="auto" w:fill="FFFFFF"/>
        </w:rPr>
        <w:t xml:space="preserve"> at 704; </w:t>
      </w:r>
      <w:r w:rsidRPr="00957E91">
        <w:rPr>
          <w:rFonts w:ascii="Times New Roman" w:hAnsi="Times New Roman" w:cs="Times New Roman"/>
          <w:i/>
          <w:iCs/>
          <w:color w:val="000000" w:themeColor="text1"/>
          <w:sz w:val="20"/>
          <w:szCs w:val="20"/>
          <w:shd w:val="clear" w:color="auto" w:fill="FFFFFF"/>
        </w:rPr>
        <w:t>Hepner v Roodepoort-Maraisburg Town Council</w:t>
      </w:r>
      <w:r w:rsidRPr="00957E91">
        <w:rPr>
          <w:rFonts w:ascii="Times New Roman" w:hAnsi="Times New Roman" w:cs="Times New Roman"/>
          <w:color w:val="000000" w:themeColor="text1"/>
          <w:sz w:val="20"/>
          <w:szCs w:val="20"/>
          <w:shd w:val="clear" w:color="auto" w:fill="FFFFFF"/>
        </w:rPr>
        <w:t> </w:t>
      </w:r>
      <w:hyperlink r:id="rId9" w:history="1">
        <w:r w:rsidRPr="00957E91">
          <w:rPr>
            <w:rStyle w:val="Hyperlink"/>
            <w:rFonts w:ascii="Times New Roman" w:hAnsi="Times New Roman" w:cs="Times New Roman"/>
            <w:color w:val="000000" w:themeColor="text1"/>
            <w:sz w:val="20"/>
            <w:szCs w:val="20"/>
            <w:u w:val="none"/>
            <w:shd w:val="clear" w:color="auto" w:fill="FFFFFF"/>
          </w:rPr>
          <w:t>1962 (4) SA 772 (A)</w:t>
        </w:r>
      </w:hyperlink>
      <w:r w:rsidRPr="00957E91">
        <w:rPr>
          <w:rFonts w:ascii="Times New Roman" w:hAnsi="Times New Roman" w:cs="Times New Roman"/>
          <w:color w:val="000000" w:themeColor="text1"/>
          <w:sz w:val="20"/>
          <w:szCs w:val="20"/>
          <w:shd w:val="clear" w:color="auto" w:fill="FFFFFF"/>
        </w:rPr>
        <w:t xml:space="preserve"> at 778H – 779A; </w:t>
      </w:r>
      <w:r w:rsidRPr="00957E91">
        <w:rPr>
          <w:rFonts w:ascii="Times New Roman" w:hAnsi="Times New Roman" w:cs="Times New Roman"/>
          <w:i/>
          <w:color w:val="000000" w:themeColor="text1"/>
          <w:sz w:val="20"/>
          <w:szCs w:val="20"/>
        </w:rPr>
        <w:t xml:space="preserve">Netlon Limited and Van Leer South Africa (Pty) Ltd v Pacnet (Pty) Ltd </w:t>
      </w:r>
      <w:r w:rsidRPr="00957E91">
        <w:rPr>
          <w:rFonts w:ascii="Times New Roman" w:hAnsi="Times New Roman" w:cs="Times New Roman"/>
          <w:iCs/>
          <w:color w:val="000000" w:themeColor="text1"/>
          <w:sz w:val="20"/>
          <w:szCs w:val="20"/>
        </w:rPr>
        <w:t>1977 BP 87 (A)</w:t>
      </w:r>
      <w:r w:rsidRPr="00957E91">
        <w:rPr>
          <w:rFonts w:ascii="Times New Roman" w:hAnsi="Times New Roman" w:cs="Times New Roman"/>
          <w:color w:val="000000" w:themeColor="text1"/>
          <w:sz w:val="20"/>
          <w:szCs w:val="20"/>
        </w:rPr>
        <w:t xml:space="preserve"> at p 133. Also reported at 1977 (3) SA 840 (A).</w:t>
      </w:r>
    </w:p>
  </w:footnote>
  <w:footnote w:id="13">
    <w:p w14:paraId="67CC1319" w14:textId="77777777" w:rsidR="00957E91" w:rsidRPr="006C5043" w:rsidRDefault="00957E91" w:rsidP="00957E91">
      <w:pPr>
        <w:pStyle w:val="FootnoteText"/>
        <w:spacing w:line="276" w:lineRule="auto"/>
        <w:ind w:left="284" w:hanging="284"/>
        <w:jc w:val="both"/>
        <w:rPr>
          <w:rFonts w:ascii="Arial" w:hAnsi="Arial" w:cs="Arial"/>
        </w:rPr>
      </w:pPr>
      <w:r w:rsidRPr="006C5043">
        <w:rPr>
          <w:rStyle w:val="FootnoteReference"/>
          <w:rFonts w:ascii="Arial" w:hAnsi="Arial" w:cs="Arial"/>
        </w:rPr>
        <w:footnoteRef/>
      </w:r>
      <w:r w:rsidRPr="006C5043">
        <w:rPr>
          <w:rFonts w:ascii="Arial" w:hAnsi="Arial" w:cs="Arial"/>
        </w:rPr>
        <w:t xml:space="preserve"> </w:t>
      </w:r>
      <w:r w:rsidRPr="006C5043">
        <w:rPr>
          <w:rFonts w:ascii="Arial" w:hAnsi="Arial" w:cs="Arial"/>
        </w:rPr>
        <w:tab/>
      </w:r>
      <w:r w:rsidRPr="00E41C05">
        <w:rPr>
          <w:rFonts w:ascii="Times New Roman" w:hAnsi="Times New Roman" w:cs="Times New Roman"/>
          <w:i/>
          <w:color w:val="000000" w:themeColor="text1"/>
        </w:rPr>
        <w:t>Road A</w:t>
      </w:r>
      <w:r w:rsidRPr="00E41C05">
        <w:rPr>
          <w:rFonts w:ascii="Times New Roman" w:hAnsi="Times New Roman" w:cs="Times New Roman"/>
          <w:i/>
          <w:color w:val="000000" w:themeColor="text1"/>
          <w:lang w:val="en-US"/>
        </w:rPr>
        <w:t>c</w:t>
      </w:r>
      <w:r w:rsidRPr="00E41C05">
        <w:rPr>
          <w:rFonts w:ascii="Times New Roman" w:hAnsi="Times New Roman" w:cs="Times New Roman"/>
          <w:i/>
          <w:color w:val="000000" w:themeColor="text1"/>
        </w:rPr>
        <w:t>cident Fund v Mothupi</w:t>
      </w:r>
      <w:r w:rsidRPr="00E41C05">
        <w:rPr>
          <w:rFonts w:ascii="Times New Roman" w:hAnsi="Times New Roman" w:cs="Times New Roman"/>
          <w:color w:val="000000" w:themeColor="text1"/>
        </w:rPr>
        <w:t xml:space="preserve"> 2000 (4) SA 39 (A) 50; </w:t>
      </w:r>
      <w:r w:rsidRPr="00E41C05">
        <w:rPr>
          <w:rFonts w:ascii="Times New Roman" w:hAnsi="Times New Roman" w:cs="Times New Roman"/>
          <w:i/>
          <w:iCs/>
          <w:color w:val="000000" w:themeColor="text1"/>
        </w:rPr>
        <w:t>New Media Publishing (Pty) Ltd v Eating Out Web Services CC</w:t>
      </w:r>
      <w:r w:rsidRPr="00E41C05">
        <w:rPr>
          <w:rFonts w:ascii="Times New Roman" w:hAnsi="Times New Roman" w:cs="Times New Roman"/>
          <w:color w:val="000000" w:themeColor="text1"/>
        </w:rPr>
        <w:t> </w:t>
      </w:r>
      <w:hyperlink r:id="rId10" w:history="1">
        <w:r w:rsidRPr="00E41C05">
          <w:rPr>
            <w:rStyle w:val="Hyperlink"/>
            <w:rFonts w:ascii="Times New Roman" w:hAnsi="Times New Roman" w:cs="Times New Roman"/>
            <w:color w:val="000000" w:themeColor="text1"/>
            <w:u w:val="none"/>
          </w:rPr>
          <w:t>2005 (5) SA 388 (C)</w:t>
        </w:r>
      </w:hyperlink>
      <w:r w:rsidRPr="00E41C05">
        <w:rPr>
          <w:rFonts w:ascii="Times New Roman" w:hAnsi="Times New Roman" w:cs="Times New Roman"/>
          <w:color w:val="000000" w:themeColor="text1"/>
        </w:rPr>
        <w:t> at 406C – E.</w:t>
      </w:r>
    </w:p>
  </w:footnote>
  <w:footnote w:id="14">
    <w:p w14:paraId="1C90E1D4" w14:textId="77777777" w:rsidR="00336E8D" w:rsidRPr="00336E8D" w:rsidRDefault="00336E8D" w:rsidP="00336E8D">
      <w:pPr>
        <w:pStyle w:val="Heading2"/>
        <w:shd w:val="clear" w:color="auto" w:fill="FFFFFF"/>
        <w:spacing w:before="240" w:beforeAutospacing="0" w:after="180" w:afterAutospacing="0" w:line="288" w:lineRule="atLeast"/>
        <w:rPr>
          <w:b w:val="0"/>
          <w:bCs w:val="0"/>
          <w:color w:val="000000" w:themeColor="text1"/>
          <w:sz w:val="20"/>
          <w:szCs w:val="20"/>
        </w:rPr>
      </w:pPr>
      <w:r w:rsidRPr="00336E8D">
        <w:rPr>
          <w:rStyle w:val="FootnoteReference"/>
          <w:b w:val="0"/>
          <w:bCs w:val="0"/>
          <w:color w:val="000000" w:themeColor="text1"/>
          <w:sz w:val="20"/>
          <w:szCs w:val="20"/>
        </w:rPr>
        <w:footnoteRef/>
      </w:r>
      <w:r w:rsidRPr="00336E8D">
        <w:rPr>
          <w:b w:val="0"/>
          <w:bCs w:val="0"/>
          <w:color w:val="000000" w:themeColor="text1"/>
          <w:sz w:val="20"/>
          <w:szCs w:val="20"/>
        </w:rPr>
        <w:t xml:space="preserve"> </w:t>
      </w:r>
      <w:r w:rsidRPr="00336E8D">
        <w:rPr>
          <w:b w:val="0"/>
          <w:bCs w:val="0"/>
          <w:i/>
          <w:iCs/>
          <w:color w:val="000000" w:themeColor="text1"/>
          <w:sz w:val="20"/>
          <w:szCs w:val="20"/>
        </w:rPr>
        <w:t>Luanga v Perthpark Properties Ltd</w:t>
      </w:r>
      <w:r w:rsidRPr="00336E8D">
        <w:rPr>
          <w:b w:val="0"/>
          <w:bCs w:val="0"/>
          <w:color w:val="000000" w:themeColor="text1"/>
          <w:sz w:val="20"/>
          <w:szCs w:val="20"/>
        </w:rPr>
        <w:t xml:space="preserve"> (A99/2018) [2018] ZAWCHC 169; 2019 (3) SA 214 (WCC) (20 September 2018)</w:t>
      </w:r>
    </w:p>
    <w:p w14:paraId="566815D4" w14:textId="7D343FAE" w:rsidR="00336E8D" w:rsidRPr="00336E8D" w:rsidRDefault="00336E8D">
      <w:pPr>
        <w:pStyle w:val="FootnoteText"/>
        <w:rPr>
          <w:lang w:val="en-US"/>
        </w:rPr>
      </w:pPr>
    </w:p>
  </w:footnote>
  <w:footnote w:id="15">
    <w:p w14:paraId="183453DF" w14:textId="02BBD906" w:rsidR="00A34422" w:rsidRPr="00C7018E" w:rsidRDefault="00A34422" w:rsidP="00C7018E">
      <w:pPr>
        <w:pStyle w:val="Heading2"/>
        <w:shd w:val="clear" w:color="auto" w:fill="FFFFFF"/>
        <w:spacing w:before="240" w:beforeAutospacing="0" w:after="180" w:afterAutospacing="0"/>
        <w:rPr>
          <w:b w:val="0"/>
          <w:bCs w:val="0"/>
          <w:color w:val="000000" w:themeColor="text1"/>
          <w:sz w:val="20"/>
          <w:szCs w:val="20"/>
        </w:rPr>
      </w:pPr>
      <w:r w:rsidRPr="00A34422">
        <w:rPr>
          <w:rStyle w:val="FootnoteReference"/>
          <w:b w:val="0"/>
          <w:bCs w:val="0"/>
          <w:color w:val="000000" w:themeColor="text1"/>
          <w:sz w:val="20"/>
          <w:szCs w:val="20"/>
        </w:rPr>
        <w:footnoteRef/>
      </w:r>
      <w:r w:rsidRPr="00A34422">
        <w:rPr>
          <w:b w:val="0"/>
          <w:bCs w:val="0"/>
          <w:color w:val="000000" w:themeColor="text1"/>
          <w:sz w:val="20"/>
          <w:szCs w:val="20"/>
        </w:rPr>
        <w:t xml:space="preserve"> </w:t>
      </w:r>
      <w:r w:rsidRPr="00A34422">
        <w:rPr>
          <w:b w:val="0"/>
          <w:bCs w:val="0"/>
          <w:i/>
          <w:iCs/>
          <w:color w:val="000000" w:themeColor="text1"/>
          <w:sz w:val="20"/>
          <w:szCs w:val="20"/>
        </w:rPr>
        <w:t>Occupiers of 51 Olivia Road, Berea Township and 197 Main Street Johannesburg v City of Johannesburg and Others</w:t>
      </w:r>
      <w:r w:rsidRPr="00A34422">
        <w:rPr>
          <w:b w:val="0"/>
          <w:bCs w:val="0"/>
          <w:color w:val="000000" w:themeColor="text1"/>
          <w:sz w:val="20"/>
          <w:szCs w:val="20"/>
        </w:rPr>
        <w:t xml:space="preserve"> (24/07) [2008] ZACC 1; 2008 (3) SA 208 (CC) ; 2008 (5) BCLR 475 (CC) (19 February 2008) para 13 – 18.</w:t>
      </w:r>
    </w:p>
  </w:footnote>
  <w:footnote w:id="16">
    <w:p w14:paraId="1404A2A5" w14:textId="5C0B0EA7" w:rsidR="00C7018E" w:rsidRPr="00C7018E" w:rsidRDefault="00C7018E">
      <w:pPr>
        <w:pStyle w:val="FootnoteText"/>
        <w:rPr>
          <w:rFonts w:ascii="Times New Roman" w:hAnsi="Times New Roman" w:cs="Times New Roman"/>
          <w:color w:val="000000" w:themeColor="text1"/>
          <w:lang w:val="en-US"/>
        </w:rPr>
      </w:pPr>
      <w:r w:rsidRPr="00C7018E">
        <w:rPr>
          <w:rStyle w:val="FootnoteReference"/>
          <w:rFonts w:ascii="Times New Roman" w:hAnsi="Times New Roman" w:cs="Times New Roman"/>
          <w:color w:val="000000" w:themeColor="text1"/>
        </w:rPr>
        <w:footnoteRef/>
      </w:r>
      <w:r w:rsidRPr="00C7018E">
        <w:rPr>
          <w:rFonts w:ascii="Times New Roman" w:hAnsi="Times New Roman" w:cs="Times New Roman"/>
          <w:color w:val="000000" w:themeColor="text1"/>
        </w:rPr>
        <w:t xml:space="preserve"> </w:t>
      </w:r>
      <w:r w:rsidRPr="00C7018E">
        <w:rPr>
          <w:rFonts w:ascii="Times New Roman" w:hAnsi="Times New Roman" w:cs="Times New Roman"/>
          <w:color w:val="000000" w:themeColor="text1"/>
          <w:lang w:val="en-US"/>
        </w:rPr>
        <w:t>Section 10 of the Constitution.</w:t>
      </w:r>
    </w:p>
  </w:footnote>
  <w:footnote w:id="17">
    <w:p w14:paraId="6E2431FB" w14:textId="5A0D8A61" w:rsidR="00C7018E" w:rsidRPr="00C7018E" w:rsidRDefault="00C7018E">
      <w:pPr>
        <w:pStyle w:val="FootnoteText"/>
        <w:rPr>
          <w:rFonts w:ascii="Times New Roman" w:hAnsi="Times New Roman" w:cs="Times New Roman"/>
          <w:lang w:val="en-US"/>
        </w:rPr>
      </w:pPr>
      <w:r w:rsidRPr="00C7018E">
        <w:rPr>
          <w:rStyle w:val="FootnoteReference"/>
          <w:rFonts w:ascii="Times New Roman" w:hAnsi="Times New Roman" w:cs="Times New Roman"/>
        </w:rPr>
        <w:footnoteRef/>
      </w:r>
      <w:r w:rsidRPr="00C7018E">
        <w:rPr>
          <w:rFonts w:ascii="Times New Roman" w:hAnsi="Times New Roman" w:cs="Times New Roman"/>
        </w:rPr>
        <w:t xml:space="preserve"> </w:t>
      </w:r>
      <w:r w:rsidRPr="00C7018E">
        <w:rPr>
          <w:rFonts w:ascii="Times New Roman" w:hAnsi="Times New Roman" w:cs="Times New Roman"/>
          <w:lang w:val="en-US"/>
        </w:rPr>
        <w:t xml:space="preserve">Section 9 of the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39342676"/>
      <w:docPartObj>
        <w:docPartGallery w:val="Page Numbers (Top of Page)"/>
        <w:docPartUnique/>
      </w:docPartObj>
    </w:sdtPr>
    <w:sdtEndPr>
      <w:rPr>
        <w:rStyle w:val="PageNumber"/>
      </w:rPr>
    </w:sdtEndPr>
    <w:sdtContent>
      <w:p w14:paraId="425DFF36" w14:textId="77777777" w:rsidR="00EA6D10" w:rsidRDefault="00EA6D10" w:rsidP="006379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4A218" w14:textId="77777777" w:rsidR="00EA6D10" w:rsidRDefault="00EA6D10" w:rsidP="00EA6D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32833531"/>
      <w:docPartObj>
        <w:docPartGallery w:val="Page Numbers (Top of Page)"/>
        <w:docPartUnique/>
      </w:docPartObj>
    </w:sdtPr>
    <w:sdtEndPr>
      <w:rPr>
        <w:rStyle w:val="PageNumber"/>
      </w:rPr>
    </w:sdtEndPr>
    <w:sdtContent>
      <w:p w14:paraId="4CF1C5D6" w14:textId="1C925D60" w:rsidR="00EA6D10" w:rsidRDefault="00EA6D10" w:rsidP="006379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4A72">
          <w:rPr>
            <w:rStyle w:val="PageNumber"/>
            <w:noProof/>
          </w:rPr>
          <w:t>2</w:t>
        </w:r>
        <w:r>
          <w:rPr>
            <w:rStyle w:val="PageNumber"/>
          </w:rPr>
          <w:fldChar w:fldCharType="end"/>
        </w:r>
      </w:p>
    </w:sdtContent>
  </w:sdt>
  <w:p w14:paraId="723F8EC9" w14:textId="77777777" w:rsidR="00EA6D10" w:rsidRDefault="00EA6D10" w:rsidP="00EA6D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768A"/>
    <w:multiLevelType w:val="hybridMultilevel"/>
    <w:tmpl w:val="2690DB14"/>
    <w:lvl w:ilvl="0" w:tplc="1C264266">
      <w:start w:val="1"/>
      <w:numFmt w:val="decimal"/>
      <w:lvlText w:val="[%1]"/>
      <w:lvlJc w:val="left"/>
      <w:pPr>
        <w:ind w:left="720" w:hanging="360"/>
      </w:pPr>
      <w:rPr>
        <w:rFonts w:ascii="Times New Roman" w:hAnsi="Times New Roman" w:cs="Times New Roman" w:hint="default"/>
        <w:b w:val="0"/>
        <w:bCs w:val="0"/>
        <w:i w:val="0"/>
        <w:sz w:val="26"/>
        <w:szCs w:val="26"/>
      </w:rPr>
    </w:lvl>
    <w:lvl w:ilvl="1" w:tplc="3912BFBC">
      <w:start w:val="1"/>
      <w:numFmt w:val="lowerLetter"/>
      <w:lvlText w:val="%2."/>
      <w:lvlJc w:val="left"/>
      <w:pPr>
        <w:ind w:left="1069" w:hanging="360"/>
      </w:pPr>
      <w:rPr>
        <w:rFonts w:hint="default"/>
        <w:sz w:val="22"/>
        <w:szCs w:val="22"/>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8383117"/>
    <w:multiLevelType w:val="multilevel"/>
    <w:tmpl w:val="5B425A6A"/>
    <w:lvl w:ilvl="0">
      <w:start w:val="1"/>
      <w:numFmt w:val="decimal"/>
      <w:lvlText w:val="%1."/>
      <w:lvlJc w:val="left"/>
      <w:pPr>
        <w:ind w:left="360" w:hanging="360"/>
      </w:pPr>
      <w:rPr>
        <w:rFonts w:ascii="Arial" w:hAnsi="Arial" w:cs="Arial" w:hint="default"/>
        <w:b w:val="0"/>
        <w:bCs w:val="0"/>
        <w:i w:val="0"/>
        <w:iCs w:val="0"/>
        <w:sz w:val="22"/>
        <w:szCs w:val="22"/>
      </w:rPr>
    </w:lvl>
    <w:lvl w:ilvl="1">
      <w:start w:val="1"/>
      <w:numFmt w:val="decimal"/>
      <w:lvlText w:val="%1.%2"/>
      <w:lvlJc w:val="left"/>
      <w:pPr>
        <w:ind w:left="1069"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E67B0C"/>
    <w:multiLevelType w:val="hybridMultilevel"/>
    <w:tmpl w:val="2714A3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6F15D5"/>
    <w:multiLevelType w:val="multilevel"/>
    <w:tmpl w:val="848A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24DD6"/>
    <w:multiLevelType w:val="multilevel"/>
    <w:tmpl w:val="88C6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D4F52"/>
    <w:multiLevelType w:val="hybridMultilevel"/>
    <w:tmpl w:val="9C4C7602"/>
    <w:lvl w:ilvl="0" w:tplc="B12EA744">
      <w:start w:val="1"/>
      <w:numFmt w:val="upperLetter"/>
      <w:lvlText w:val="%1."/>
      <w:lvlJc w:val="left"/>
      <w:pPr>
        <w:ind w:left="1080" w:hanging="360"/>
      </w:pPr>
      <w:rPr>
        <w:rFonts w:ascii="Times New Roman" w:hAnsi="Times New Roman" w:cs="Times New Roman" w:hint="default"/>
        <w:b/>
        <w:bCs/>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8A74387"/>
    <w:multiLevelType w:val="multilevel"/>
    <w:tmpl w:val="C736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462D60"/>
    <w:multiLevelType w:val="hybridMultilevel"/>
    <w:tmpl w:val="6C58E4D2"/>
    <w:lvl w:ilvl="0" w:tplc="C476831C">
      <w:start w:val="1"/>
      <w:numFmt w:val="decimal"/>
      <w:lvlText w:val="[%1]"/>
      <w:lvlJc w:val="left"/>
      <w:pPr>
        <w:ind w:left="720" w:hanging="360"/>
      </w:pPr>
      <w:rPr>
        <w:rFonts w:ascii="Times New Roman" w:hAnsi="Times New Roman" w:cs="Times New Roman" w:hint="default"/>
        <w:sz w:val="26"/>
        <w:szCs w:val="26"/>
      </w:rPr>
    </w:lvl>
    <w:lvl w:ilvl="1" w:tplc="D924BD74">
      <w:start w:val="1"/>
      <w:numFmt w:val="lowerLetter"/>
      <w:lvlText w:val="%2."/>
      <w:lvlJc w:val="left"/>
      <w:pPr>
        <w:ind w:left="1069" w:hanging="360"/>
      </w:pPr>
      <w:rPr>
        <w:rFonts w:hint="default"/>
        <w:sz w:val="26"/>
        <w:szCs w:val="26"/>
      </w:rPr>
    </w:lvl>
    <w:lvl w:ilvl="2" w:tplc="0809001B">
      <w:start w:val="1"/>
      <w:numFmt w:val="lowerRoman"/>
      <w:lvlText w:val="%3."/>
      <w:lvlJc w:val="right"/>
      <w:pPr>
        <w:ind w:left="2160" w:hanging="180"/>
      </w:pPr>
    </w:lvl>
    <w:lvl w:ilvl="3" w:tplc="F39E8D2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4C5546"/>
    <w:multiLevelType w:val="multilevel"/>
    <w:tmpl w:val="4592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3"/>
  </w:num>
  <w:num w:numId="5">
    <w:abstractNumId w:val="4"/>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10"/>
    <w:rsid w:val="0001127E"/>
    <w:rsid w:val="00014206"/>
    <w:rsid w:val="00037960"/>
    <w:rsid w:val="00040EDF"/>
    <w:rsid w:val="00042375"/>
    <w:rsid w:val="00043FA9"/>
    <w:rsid w:val="0008106A"/>
    <w:rsid w:val="00096DDC"/>
    <w:rsid w:val="000B0901"/>
    <w:rsid w:val="000D6D69"/>
    <w:rsid w:val="000E1936"/>
    <w:rsid w:val="000F69F7"/>
    <w:rsid w:val="00114A72"/>
    <w:rsid w:val="00120303"/>
    <w:rsid w:val="001356EC"/>
    <w:rsid w:val="0014198D"/>
    <w:rsid w:val="00153E10"/>
    <w:rsid w:val="0015519B"/>
    <w:rsid w:val="0015574B"/>
    <w:rsid w:val="001917ED"/>
    <w:rsid w:val="001C00DB"/>
    <w:rsid w:val="001C682C"/>
    <w:rsid w:val="00223090"/>
    <w:rsid w:val="00256D37"/>
    <w:rsid w:val="00264664"/>
    <w:rsid w:val="00266E5E"/>
    <w:rsid w:val="002675A4"/>
    <w:rsid w:val="00280580"/>
    <w:rsid w:val="002A1D82"/>
    <w:rsid w:val="002D2F57"/>
    <w:rsid w:val="002D4876"/>
    <w:rsid w:val="002E3EE6"/>
    <w:rsid w:val="002E4CF4"/>
    <w:rsid w:val="002F0549"/>
    <w:rsid w:val="00322983"/>
    <w:rsid w:val="003332B7"/>
    <w:rsid w:val="00336E8D"/>
    <w:rsid w:val="00341E47"/>
    <w:rsid w:val="00357FE6"/>
    <w:rsid w:val="00361E0B"/>
    <w:rsid w:val="003879F5"/>
    <w:rsid w:val="00387FE7"/>
    <w:rsid w:val="00391FA5"/>
    <w:rsid w:val="003D1689"/>
    <w:rsid w:val="003D4441"/>
    <w:rsid w:val="003E6E47"/>
    <w:rsid w:val="003F03D9"/>
    <w:rsid w:val="003F48AD"/>
    <w:rsid w:val="0042515E"/>
    <w:rsid w:val="00436813"/>
    <w:rsid w:val="00454935"/>
    <w:rsid w:val="004802DE"/>
    <w:rsid w:val="00481634"/>
    <w:rsid w:val="004B3A92"/>
    <w:rsid w:val="004C2B19"/>
    <w:rsid w:val="004C54CC"/>
    <w:rsid w:val="004D132D"/>
    <w:rsid w:val="00503C5A"/>
    <w:rsid w:val="00511BC2"/>
    <w:rsid w:val="00512CF2"/>
    <w:rsid w:val="00525D48"/>
    <w:rsid w:val="005319F5"/>
    <w:rsid w:val="00547BB4"/>
    <w:rsid w:val="005569E2"/>
    <w:rsid w:val="005639AF"/>
    <w:rsid w:val="00563FBF"/>
    <w:rsid w:val="00567997"/>
    <w:rsid w:val="005B696F"/>
    <w:rsid w:val="005D770C"/>
    <w:rsid w:val="006155B8"/>
    <w:rsid w:val="00637D71"/>
    <w:rsid w:val="006768D2"/>
    <w:rsid w:val="006A477B"/>
    <w:rsid w:val="006D0E89"/>
    <w:rsid w:val="006D3AF1"/>
    <w:rsid w:val="006F44FD"/>
    <w:rsid w:val="007005CE"/>
    <w:rsid w:val="00715FF3"/>
    <w:rsid w:val="00765403"/>
    <w:rsid w:val="0077142E"/>
    <w:rsid w:val="007840BE"/>
    <w:rsid w:val="007A79E2"/>
    <w:rsid w:val="007D19B5"/>
    <w:rsid w:val="007D2945"/>
    <w:rsid w:val="007E0707"/>
    <w:rsid w:val="00817C30"/>
    <w:rsid w:val="0083442F"/>
    <w:rsid w:val="008C3E8E"/>
    <w:rsid w:val="008D297F"/>
    <w:rsid w:val="008E00F7"/>
    <w:rsid w:val="008F22B3"/>
    <w:rsid w:val="009055EB"/>
    <w:rsid w:val="00905E2E"/>
    <w:rsid w:val="00916078"/>
    <w:rsid w:val="00920386"/>
    <w:rsid w:val="00957E91"/>
    <w:rsid w:val="00976828"/>
    <w:rsid w:val="009D13C3"/>
    <w:rsid w:val="009E58CA"/>
    <w:rsid w:val="009F5F68"/>
    <w:rsid w:val="00A151DE"/>
    <w:rsid w:val="00A27DD4"/>
    <w:rsid w:val="00A34422"/>
    <w:rsid w:val="00A36A8C"/>
    <w:rsid w:val="00A36F14"/>
    <w:rsid w:val="00A52367"/>
    <w:rsid w:val="00A70B9A"/>
    <w:rsid w:val="00A90587"/>
    <w:rsid w:val="00A919F0"/>
    <w:rsid w:val="00AA2EEE"/>
    <w:rsid w:val="00AA60DE"/>
    <w:rsid w:val="00AC5E15"/>
    <w:rsid w:val="00AD6C80"/>
    <w:rsid w:val="00B34FB3"/>
    <w:rsid w:val="00B53290"/>
    <w:rsid w:val="00B53852"/>
    <w:rsid w:val="00B96C8C"/>
    <w:rsid w:val="00B96FC7"/>
    <w:rsid w:val="00BA3C80"/>
    <w:rsid w:val="00BB1A7E"/>
    <w:rsid w:val="00BE1219"/>
    <w:rsid w:val="00BF7EA0"/>
    <w:rsid w:val="00C00169"/>
    <w:rsid w:val="00C0730A"/>
    <w:rsid w:val="00C13D68"/>
    <w:rsid w:val="00C270BF"/>
    <w:rsid w:val="00C7018E"/>
    <w:rsid w:val="00C71F7F"/>
    <w:rsid w:val="00C72127"/>
    <w:rsid w:val="00C83DC3"/>
    <w:rsid w:val="00CC2A74"/>
    <w:rsid w:val="00CC7663"/>
    <w:rsid w:val="00CD5037"/>
    <w:rsid w:val="00CE08A9"/>
    <w:rsid w:val="00CF2F8C"/>
    <w:rsid w:val="00D03045"/>
    <w:rsid w:val="00D34B2F"/>
    <w:rsid w:val="00D4541D"/>
    <w:rsid w:val="00D75257"/>
    <w:rsid w:val="00D806CE"/>
    <w:rsid w:val="00DB4112"/>
    <w:rsid w:val="00DC6C2F"/>
    <w:rsid w:val="00DD587C"/>
    <w:rsid w:val="00DE34FB"/>
    <w:rsid w:val="00DE3D39"/>
    <w:rsid w:val="00DF6648"/>
    <w:rsid w:val="00E15016"/>
    <w:rsid w:val="00E22665"/>
    <w:rsid w:val="00E30D56"/>
    <w:rsid w:val="00E322AF"/>
    <w:rsid w:val="00E4087E"/>
    <w:rsid w:val="00E41C05"/>
    <w:rsid w:val="00E43D6C"/>
    <w:rsid w:val="00E7326D"/>
    <w:rsid w:val="00EA6D10"/>
    <w:rsid w:val="00ED152D"/>
    <w:rsid w:val="00ED47B3"/>
    <w:rsid w:val="00F26B77"/>
    <w:rsid w:val="00F63F78"/>
    <w:rsid w:val="00FA174E"/>
    <w:rsid w:val="00FB00C8"/>
    <w:rsid w:val="00FD3676"/>
    <w:rsid w:val="00FF2A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0863"/>
  <w15:chartTrackingRefBased/>
  <w15:docId w15:val="{2FDAB1B5-43CF-B048-997B-F9227129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3E10"/>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E1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153E10"/>
    <w:rPr>
      <w:color w:val="0000FF"/>
      <w:u w:val="single"/>
    </w:rPr>
  </w:style>
  <w:style w:type="paragraph" w:styleId="ListParagraph">
    <w:name w:val="List Paragraph"/>
    <w:basedOn w:val="Normal"/>
    <w:link w:val="ListParagraphChar"/>
    <w:uiPriority w:val="34"/>
    <w:qFormat/>
    <w:rsid w:val="00153E10"/>
    <w:pPr>
      <w:spacing w:after="200" w:line="276" w:lineRule="auto"/>
      <w:ind w:left="720"/>
      <w:contextualSpacing/>
    </w:pPr>
    <w:rPr>
      <w:kern w:val="0"/>
      <w:sz w:val="22"/>
      <w:szCs w:val="22"/>
      <w14:ligatures w14:val="none"/>
    </w:rPr>
  </w:style>
  <w:style w:type="character" w:customStyle="1" w:styleId="ListParagraphChar">
    <w:name w:val="List Paragraph Char"/>
    <w:link w:val="ListParagraph"/>
    <w:uiPriority w:val="34"/>
    <w:locked/>
    <w:rsid w:val="00153E10"/>
    <w:rPr>
      <w:kern w:val="0"/>
      <w:sz w:val="22"/>
      <w:szCs w:val="22"/>
      <w14:ligatures w14:val="none"/>
    </w:rPr>
  </w:style>
  <w:style w:type="paragraph" w:styleId="FootnoteText">
    <w:name w:val="footnote text"/>
    <w:aliases w:val="Footnote Text Char Char,ALTS FOOTNOTE,(NECG) Footnote Text,AR Footnote Text,Footnote text,Footnote Text Char1 Char Char,Footnote Text Char Char Char Char Char,Footnote Text Char Char1 Char Char,Footnote Text Char Char1 Char,Char Char Char"/>
    <w:basedOn w:val="Normal"/>
    <w:link w:val="FootnoteTextChar"/>
    <w:unhideWhenUsed/>
    <w:qFormat/>
    <w:rsid w:val="00153E10"/>
    <w:rPr>
      <w:sz w:val="20"/>
      <w:szCs w:val="20"/>
    </w:rPr>
  </w:style>
  <w:style w:type="character" w:customStyle="1" w:styleId="FootnoteTextChar">
    <w:name w:val="Footnote Text Char"/>
    <w:aliases w:val="Footnote Text Char Char Char,ALTS FOOTNOTE Char,(NECG) Footnote Text Char,AR Footnote Text Char,Footnote text Char,Footnote Text Char1 Char Char Char,Footnote Text Char Char Char Char Char Char,Footnote Text Char Char1 Char Char Char"/>
    <w:basedOn w:val="DefaultParagraphFont"/>
    <w:link w:val="FootnoteText"/>
    <w:rsid w:val="00153E10"/>
    <w:rPr>
      <w:sz w:val="20"/>
      <w:szCs w:val="20"/>
    </w:rPr>
  </w:style>
  <w:style w:type="character" w:styleId="FootnoteReference">
    <w:name w:val="footnote reference"/>
    <w:aliases w:val="(NECG) Footnote Reference"/>
    <w:basedOn w:val="DefaultParagraphFont"/>
    <w:uiPriority w:val="99"/>
    <w:unhideWhenUsed/>
    <w:qFormat/>
    <w:rsid w:val="00153E10"/>
    <w:rPr>
      <w:vertAlign w:val="superscript"/>
    </w:rPr>
  </w:style>
  <w:style w:type="character" w:customStyle="1" w:styleId="Heading2Char">
    <w:name w:val="Heading 2 Char"/>
    <w:basedOn w:val="DefaultParagraphFont"/>
    <w:link w:val="Heading2"/>
    <w:uiPriority w:val="9"/>
    <w:rsid w:val="00153E10"/>
    <w:rPr>
      <w:rFonts w:ascii="Times New Roman" w:eastAsia="Times New Roman" w:hAnsi="Times New Roman" w:cs="Times New Roman"/>
      <w:b/>
      <w:bCs/>
      <w:kern w:val="0"/>
      <w:sz w:val="36"/>
      <w:szCs w:val="36"/>
      <w:lang w:eastAsia="en-GB"/>
      <w14:ligatures w14:val="none"/>
    </w:rPr>
  </w:style>
  <w:style w:type="character" w:styleId="FollowedHyperlink">
    <w:name w:val="FollowedHyperlink"/>
    <w:basedOn w:val="DefaultParagraphFont"/>
    <w:uiPriority w:val="99"/>
    <w:semiHidden/>
    <w:unhideWhenUsed/>
    <w:rsid w:val="00153E10"/>
    <w:rPr>
      <w:color w:val="954F72" w:themeColor="followedHyperlink"/>
      <w:u w:val="single"/>
    </w:rPr>
  </w:style>
  <w:style w:type="paragraph" w:styleId="Header">
    <w:name w:val="header"/>
    <w:basedOn w:val="Normal"/>
    <w:link w:val="HeaderChar"/>
    <w:uiPriority w:val="99"/>
    <w:unhideWhenUsed/>
    <w:rsid w:val="00EA6D10"/>
    <w:pPr>
      <w:tabs>
        <w:tab w:val="center" w:pos="4513"/>
        <w:tab w:val="right" w:pos="9026"/>
      </w:tabs>
    </w:pPr>
  </w:style>
  <w:style w:type="character" w:customStyle="1" w:styleId="HeaderChar">
    <w:name w:val="Header Char"/>
    <w:basedOn w:val="DefaultParagraphFont"/>
    <w:link w:val="Header"/>
    <w:uiPriority w:val="99"/>
    <w:rsid w:val="00EA6D10"/>
  </w:style>
  <w:style w:type="character" w:styleId="PageNumber">
    <w:name w:val="page number"/>
    <w:basedOn w:val="DefaultParagraphFont"/>
    <w:uiPriority w:val="99"/>
    <w:semiHidden/>
    <w:unhideWhenUsed/>
    <w:rsid w:val="00EA6D10"/>
  </w:style>
  <w:style w:type="paragraph" w:customStyle="1" w:styleId="western">
    <w:name w:val="western"/>
    <w:basedOn w:val="Normal"/>
    <w:rsid w:val="001C682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alloonText">
    <w:name w:val="Balloon Text"/>
    <w:basedOn w:val="Normal"/>
    <w:link w:val="BalloonTextChar"/>
    <w:uiPriority w:val="99"/>
    <w:semiHidden/>
    <w:unhideWhenUsed/>
    <w:rsid w:val="0081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30"/>
    <w:rPr>
      <w:rFonts w:ascii="Segoe UI" w:hAnsi="Segoe UI" w:cs="Segoe UI"/>
      <w:sz w:val="18"/>
      <w:szCs w:val="18"/>
    </w:rPr>
  </w:style>
  <w:style w:type="character" w:styleId="CommentReference">
    <w:name w:val="annotation reference"/>
    <w:basedOn w:val="DefaultParagraphFont"/>
    <w:uiPriority w:val="99"/>
    <w:semiHidden/>
    <w:unhideWhenUsed/>
    <w:rsid w:val="00817C30"/>
    <w:rPr>
      <w:sz w:val="16"/>
      <w:szCs w:val="16"/>
    </w:rPr>
  </w:style>
  <w:style w:type="paragraph" w:styleId="CommentText">
    <w:name w:val="annotation text"/>
    <w:basedOn w:val="Normal"/>
    <w:link w:val="CommentTextChar"/>
    <w:uiPriority w:val="99"/>
    <w:semiHidden/>
    <w:unhideWhenUsed/>
    <w:rsid w:val="00817C30"/>
    <w:rPr>
      <w:sz w:val="20"/>
      <w:szCs w:val="20"/>
    </w:rPr>
  </w:style>
  <w:style w:type="character" w:customStyle="1" w:styleId="CommentTextChar">
    <w:name w:val="Comment Text Char"/>
    <w:basedOn w:val="DefaultParagraphFont"/>
    <w:link w:val="CommentText"/>
    <w:uiPriority w:val="99"/>
    <w:semiHidden/>
    <w:rsid w:val="00817C30"/>
    <w:rPr>
      <w:sz w:val="20"/>
      <w:szCs w:val="20"/>
    </w:rPr>
  </w:style>
  <w:style w:type="paragraph" w:styleId="CommentSubject">
    <w:name w:val="annotation subject"/>
    <w:basedOn w:val="CommentText"/>
    <w:next w:val="CommentText"/>
    <w:link w:val="CommentSubjectChar"/>
    <w:uiPriority w:val="99"/>
    <w:semiHidden/>
    <w:unhideWhenUsed/>
    <w:rsid w:val="00817C30"/>
    <w:rPr>
      <w:b/>
      <w:bCs/>
    </w:rPr>
  </w:style>
  <w:style w:type="character" w:customStyle="1" w:styleId="CommentSubjectChar">
    <w:name w:val="Comment Subject Char"/>
    <w:basedOn w:val="CommentTextChar"/>
    <w:link w:val="CommentSubject"/>
    <w:uiPriority w:val="99"/>
    <w:semiHidden/>
    <w:rsid w:val="00817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6493">
      <w:bodyDiv w:val="1"/>
      <w:marLeft w:val="0"/>
      <w:marRight w:val="0"/>
      <w:marTop w:val="0"/>
      <w:marBottom w:val="0"/>
      <w:divBdr>
        <w:top w:val="none" w:sz="0" w:space="0" w:color="auto"/>
        <w:left w:val="none" w:sz="0" w:space="0" w:color="auto"/>
        <w:bottom w:val="none" w:sz="0" w:space="0" w:color="auto"/>
        <w:right w:val="none" w:sz="0" w:space="0" w:color="auto"/>
      </w:divBdr>
    </w:div>
    <w:div w:id="384842323">
      <w:bodyDiv w:val="1"/>
      <w:marLeft w:val="0"/>
      <w:marRight w:val="0"/>
      <w:marTop w:val="0"/>
      <w:marBottom w:val="0"/>
      <w:divBdr>
        <w:top w:val="none" w:sz="0" w:space="0" w:color="auto"/>
        <w:left w:val="none" w:sz="0" w:space="0" w:color="auto"/>
        <w:bottom w:val="none" w:sz="0" w:space="0" w:color="auto"/>
        <w:right w:val="none" w:sz="0" w:space="0" w:color="auto"/>
      </w:divBdr>
    </w:div>
    <w:div w:id="516963007">
      <w:bodyDiv w:val="1"/>
      <w:marLeft w:val="0"/>
      <w:marRight w:val="0"/>
      <w:marTop w:val="0"/>
      <w:marBottom w:val="0"/>
      <w:divBdr>
        <w:top w:val="none" w:sz="0" w:space="0" w:color="auto"/>
        <w:left w:val="none" w:sz="0" w:space="0" w:color="auto"/>
        <w:bottom w:val="none" w:sz="0" w:space="0" w:color="auto"/>
        <w:right w:val="none" w:sz="0" w:space="0" w:color="auto"/>
      </w:divBdr>
      <w:divsChild>
        <w:div w:id="1630470718">
          <w:marLeft w:val="0"/>
          <w:marRight w:val="0"/>
          <w:marTop w:val="0"/>
          <w:marBottom w:val="0"/>
          <w:divBdr>
            <w:top w:val="none" w:sz="0" w:space="0" w:color="auto"/>
            <w:left w:val="none" w:sz="0" w:space="0" w:color="auto"/>
            <w:bottom w:val="none" w:sz="0" w:space="0" w:color="auto"/>
            <w:right w:val="none" w:sz="0" w:space="0" w:color="auto"/>
          </w:divBdr>
          <w:divsChild>
            <w:div w:id="1289317956">
              <w:marLeft w:val="0"/>
              <w:marRight w:val="0"/>
              <w:marTop w:val="0"/>
              <w:marBottom w:val="0"/>
              <w:divBdr>
                <w:top w:val="none" w:sz="0" w:space="0" w:color="auto"/>
                <w:left w:val="none" w:sz="0" w:space="0" w:color="auto"/>
                <w:bottom w:val="none" w:sz="0" w:space="0" w:color="auto"/>
                <w:right w:val="none" w:sz="0" w:space="0" w:color="auto"/>
              </w:divBdr>
              <w:divsChild>
                <w:div w:id="1608659873">
                  <w:marLeft w:val="0"/>
                  <w:marRight w:val="0"/>
                  <w:marTop w:val="0"/>
                  <w:marBottom w:val="0"/>
                  <w:divBdr>
                    <w:top w:val="none" w:sz="0" w:space="0" w:color="auto"/>
                    <w:left w:val="none" w:sz="0" w:space="0" w:color="auto"/>
                    <w:bottom w:val="none" w:sz="0" w:space="0" w:color="auto"/>
                    <w:right w:val="none" w:sz="0" w:space="0" w:color="auto"/>
                  </w:divBdr>
                  <w:divsChild>
                    <w:div w:id="5373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4635">
      <w:bodyDiv w:val="1"/>
      <w:marLeft w:val="0"/>
      <w:marRight w:val="0"/>
      <w:marTop w:val="0"/>
      <w:marBottom w:val="0"/>
      <w:divBdr>
        <w:top w:val="none" w:sz="0" w:space="0" w:color="auto"/>
        <w:left w:val="none" w:sz="0" w:space="0" w:color="auto"/>
        <w:bottom w:val="none" w:sz="0" w:space="0" w:color="auto"/>
        <w:right w:val="none" w:sz="0" w:space="0" w:color="auto"/>
      </w:divBdr>
      <w:divsChild>
        <w:div w:id="958218439">
          <w:marLeft w:val="0"/>
          <w:marRight w:val="0"/>
          <w:marTop w:val="0"/>
          <w:marBottom w:val="0"/>
          <w:divBdr>
            <w:top w:val="none" w:sz="0" w:space="0" w:color="auto"/>
            <w:left w:val="none" w:sz="0" w:space="0" w:color="auto"/>
            <w:bottom w:val="none" w:sz="0" w:space="0" w:color="auto"/>
            <w:right w:val="none" w:sz="0" w:space="0" w:color="auto"/>
          </w:divBdr>
          <w:divsChild>
            <w:div w:id="883102763">
              <w:marLeft w:val="0"/>
              <w:marRight w:val="0"/>
              <w:marTop w:val="0"/>
              <w:marBottom w:val="0"/>
              <w:divBdr>
                <w:top w:val="none" w:sz="0" w:space="0" w:color="auto"/>
                <w:left w:val="none" w:sz="0" w:space="0" w:color="auto"/>
                <w:bottom w:val="none" w:sz="0" w:space="0" w:color="auto"/>
                <w:right w:val="none" w:sz="0" w:space="0" w:color="auto"/>
              </w:divBdr>
              <w:divsChild>
                <w:div w:id="359741682">
                  <w:marLeft w:val="0"/>
                  <w:marRight w:val="0"/>
                  <w:marTop w:val="0"/>
                  <w:marBottom w:val="0"/>
                  <w:divBdr>
                    <w:top w:val="none" w:sz="0" w:space="0" w:color="auto"/>
                    <w:left w:val="none" w:sz="0" w:space="0" w:color="auto"/>
                    <w:bottom w:val="none" w:sz="0" w:space="0" w:color="auto"/>
                    <w:right w:val="none" w:sz="0" w:space="0" w:color="auto"/>
                  </w:divBdr>
                  <w:divsChild>
                    <w:div w:id="6012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239">
      <w:bodyDiv w:val="1"/>
      <w:marLeft w:val="0"/>
      <w:marRight w:val="0"/>
      <w:marTop w:val="0"/>
      <w:marBottom w:val="0"/>
      <w:divBdr>
        <w:top w:val="none" w:sz="0" w:space="0" w:color="auto"/>
        <w:left w:val="none" w:sz="0" w:space="0" w:color="auto"/>
        <w:bottom w:val="none" w:sz="0" w:space="0" w:color="auto"/>
        <w:right w:val="none" w:sz="0" w:space="0" w:color="auto"/>
      </w:divBdr>
    </w:div>
    <w:div w:id="728268644">
      <w:bodyDiv w:val="1"/>
      <w:marLeft w:val="0"/>
      <w:marRight w:val="0"/>
      <w:marTop w:val="0"/>
      <w:marBottom w:val="0"/>
      <w:divBdr>
        <w:top w:val="none" w:sz="0" w:space="0" w:color="auto"/>
        <w:left w:val="none" w:sz="0" w:space="0" w:color="auto"/>
        <w:bottom w:val="none" w:sz="0" w:space="0" w:color="auto"/>
        <w:right w:val="none" w:sz="0" w:space="0" w:color="auto"/>
      </w:divBdr>
    </w:div>
    <w:div w:id="730345058">
      <w:bodyDiv w:val="1"/>
      <w:marLeft w:val="0"/>
      <w:marRight w:val="0"/>
      <w:marTop w:val="0"/>
      <w:marBottom w:val="0"/>
      <w:divBdr>
        <w:top w:val="none" w:sz="0" w:space="0" w:color="auto"/>
        <w:left w:val="none" w:sz="0" w:space="0" w:color="auto"/>
        <w:bottom w:val="none" w:sz="0" w:space="0" w:color="auto"/>
        <w:right w:val="none" w:sz="0" w:space="0" w:color="auto"/>
      </w:divBdr>
    </w:div>
    <w:div w:id="865482036">
      <w:bodyDiv w:val="1"/>
      <w:marLeft w:val="0"/>
      <w:marRight w:val="0"/>
      <w:marTop w:val="0"/>
      <w:marBottom w:val="0"/>
      <w:divBdr>
        <w:top w:val="none" w:sz="0" w:space="0" w:color="auto"/>
        <w:left w:val="none" w:sz="0" w:space="0" w:color="auto"/>
        <w:bottom w:val="none" w:sz="0" w:space="0" w:color="auto"/>
        <w:right w:val="none" w:sz="0" w:space="0" w:color="auto"/>
      </w:divBdr>
    </w:div>
    <w:div w:id="904921876">
      <w:bodyDiv w:val="1"/>
      <w:marLeft w:val="0"/>
      <w:marRight w:val="0"/>
      <w:marTop w:val="0"/>
      <w:marBottom w:val="0"/>
      <w:divBdr>
        <w:top w:val="none" w:sz="0" w:space="0" w:color="auto"/>
        <w:left w:val="none" w:sz="0" w:space="0" w:color="auto"/>
        <w:bottom w:val="none" w:sz="0" w:space="0" w:color="auto"/>
        <w:right w:val="none" w:sz="0" w:space="0" w:color="auto"/>
      </w:divBdr>
      <w:divsChild>
        <w:div w:id="1158809432">
          <w:marLeft w:val="0"/>
          <w:marRight w:val="0"/>
          <w:marTop w:val="0"/>
          <w:marBottom w:val="0"/>
          <w:divBdr>
            <w:top w:val="none" w:sz="0" w:space="0" w:color="auto"/>
            <w:left w:val="none" w:sz="0" w:space="0" w:color="auto"/>
            <w:bottom w:val="none" w:sz="0" w:space="0" w:color="auto"/>
            <w:right w:val="none" w:sz="0" w:space="0" w:color="auto"/>
          </w:divBdr>
          <w:divsChild>
            <w:div w:id="300967798">
              <w:marLeft w:val="0"/>
              <w:marRight w:val="0"/>
              <w:marTop w:val="0"/>
              <w:marBottom w:val="0"/>
              <w:divBdr>
                <w:top w:val="none" w:sz="0" w:space="0" w:color="auto"/>
                <w:left w:val="none" w:sz="0" w:space="0" w:color="auto"/>
                <w:bottom w:val="none" w:sz="0" w:space="0" w:color="auto"/>
                <w:right w:val="none" w:sz="0" w:space="0" w:color="auto"/>
              </w:divBdr>
              <w:divsChild>
                <w:div w:id="1317757342">
                  <w:marLeft w:val="0"/>
                  <w:marRight w:val="0"/>
                  <w:marTop w:val="0"/>
                  <w:marBottom w:val="0"/>
                  <w:divBdr>
                    <w:top w:val="none" w:sz="0" w:space="0" w:color="auto"/>
                    <w:left w:val="none" w:sz="0" w:space="0" w:color="auto"/>
                    <w:bottom w:val="none" w:sz="0" w:space="0" w:color="auto"/>
                    <w:right w:val="none" w:sz="0" w:space="0" w:color="auto"/>
                  </w:divBdr>
                  <w:divsChild>
                    <w:div w:id="14636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1821">
      <w:bodyDiv w:val="1"/>
      <w:marLeft w:val="0"/>
      <w:marRight w:val="0"/>
      <w:marTop w:val="0"/>
      <w:marBottom w:val="0"/>
      <w:divBdr>
        <w:top w:val="none" w:sz="0" w:space="0" w:color="auto"/>
        <w:left w:val="none" w:sz="0" w:space="0" w:color="auto"/>
        <w:bottom w:val="none" w:sz="0" w:space="0" w:color="auto"/>
        <w:right w:val="none" w:sz="0" w:space="0" w:color="auto"/>
      </w:divBdr>
    </w:div>
    <w:div w:id="970400251">
      <w:bodyDiv w:val="1"/>
      <w:marLeft w:val="0"/>
      <w:marRight w:val="0"/>
      <w:marTop w:val="0"/>
      <w:marBottom w:val="0"/>
      <w:divBdr>
        <w:top w:val="none" w:sz="0" w:space="0" w:color="auto"/>
        <w:left w:val="none" w:sz="0" w:space="0" w:color="auto"/>
        <w:bottom w:val="none" w:sz="0" w:space="0" w:color="auto"/>
        <w:right w:val="none" w:sz="0" w:space="0" w:color="auto"/>
      </w:divBdr>
    </w:div>
    <w:div w:id="1016881654">
      <w:bodyDiv w:val="1"/>
      <w:marLeft w:val="0"/>
      <w:marRight w:val="0"/>
      <w:marTop w:val="0"/>
      <w:marBottom w:val="0"/>
      <w:divBdr>
        <w:top w:val="none" w:sz="0" w:space="0" w:color="auto"/>
        <w:left w:val="none" w:sz="0" w:space="0" w:color="auto"/>
        <w:bottom w:val="none" w:sz="0" w:space="0" w:color="auto"/>
        <w:right w:val="none" w:sz="0" w:space="0" w:color="auto"/>
      </w:divBdr>
    </w:div>
    <w:div w:id="1379090440">
      <w:bodyDiv w:val="1"/>
      <w:marLeft w:val="0"/>
      <w:marRight w:val="0"/>
      <w:marTop w:val="0"/>
      <w:marBottom w:val="0"/>
      <w:divBdr>
        <w:top w:val="none" w:sz="0" w:space="0" w:color="auto"/>
        <w:left w:val="none" w:sz="0" w:space="0" w:color="auto"/>
        <w:bottom w:val="none" w:sz="0" w:space="0" w:color="auto"/>
        <w:right w:val="none" w:sz="0" w:space="0" w:color="auto"/>
      </w:divBdr>
    </w:div>
    <w:div w:id="1395663847">
      <w:bodyDiv w:val="1"/>
      <w:marLeft w:val="0"/>
      <w:marRight w:val="0"/>
      <w:marTop w:val="0"/>
      <w:marBottom w:val="0"/>
      <w:divBdr>
        <w:top w:val="none" w:sz="0" w:space="0" w:color="auto"/>
        <w:left w:val="none" w:sz="0" w:space="0" w:color="auto"/>
        <w:bottom w:val="none" w:sz="0" w:space="0" w:color="auto"/>
        <w:right w:val="none" w:sz="0" w:space="0" w:color="auto"/>
      </w:divBdr>
    </w:div>
    <w:div w:id="1440376302">
      <w:bodyDiv w:val="1"/>
      <w:marLeft w:val="0"/>
      <w:marRight w:val="0"/>
      <w:marTop w:val="0"/>
      <w:marBottom w:val="0"/>
      <w:divBdr>
        <w:top w:val="none" w:sz="0" w:space="0" w:color="auto"/>
        <w:left w:val="none" w:sz="0" w:space="0" w:color="auto"/>
        <w:bottom w:val="none" w:sz="0" w:space="0" w:color="auto"/>
        <w:right w:val="none" w:sz="0" w:space="0" w:color="auto"/>
      </w:divBdr>
    </w:div>
    <w:div w:id="1487354602">
      <w:bodyDiv w:val="1"/>
      <w:marLeft w:val="0"/>
      <w:marRight w:val="0"/>
      <w:marTop w:val="0"/>
      <w:marBottom w:val="0"/>
      <w:divBdr>
        <w:top w:val="none" w:sz="0" w:space="0" w:color="auto"/>
        <w:left w:val="none" w:sz="0" w:space="0" w:color="auto"/>
        <w:bottom w:val="none" w:sz="0" w:space="0" w:color="auto"/>
        <w:right w:val="none" w:sz="0" w:space="0" w:color="auto"/>
      </w:divBdr>
    </w:div>
    <w:div w:id="1545830212">
      <w:bodyDiv w:val="1"/>
      <w:marLeft w:val="0"/>
      <w:marRight w:val="0"/>
      <w:marTop w:val="0"/>
      <w:marBottom w:val="0"/>
      <w:divBdr>
        <w:top w:val="none" w:sz="0" w:space="0" w:color="auto"/>
        <w:left w:val="none" w:sz="0" w:space="0" w:color="auto"/>
        <w:bottom w:val="none" w:sz="0" w:space="0" w:color="auto"/>
        <w:right w:val="none" w:sz="0" w:space="0" w:color="auto"/>
      </w:divBdr>
    </w:div>
    <w:div w:id="1781756146">
      <w:bodyDiv w:val="1"/>
      <w:marLeft w:val="0"/>
      <w:marRight w:val="0"/>
      <w:marTop w:val="0"/>
      <w:marBottom w:val="0"/>
      <w:divBdr>
        <w:top w:val="none" w:sz="0" w:space="0" w:color="auto"/>
        <w:left w:val="none" w:sz="0" w:space="0" w:color="auto"/>
        <w:bottom w:val="none" w:sz="0" w:space="0" w:color="auto"/>
        <w:right w:val="none" w:sz="0" w:space="0" w:color="auto"/>
      </w:divBdr>
    </w:div>
    <w:div w:id="2065788265">
      <w:bodyDiv w:val="1"/>
      <w:marLeft w:val="0"/>
      <w:marRight w:val="0"/>
      <w:marTop w:val="0"/>
      <w:marBottom w:val="0"/>
      <w:divBdr>
        <w:top w:val="none" w:sz="0" w:space="0" w:color="auto"/>
        <w:left w:val="none" w:sz="0" w:space="0" w:color="auto"/>
        <w:bottom w:val="none" w:sz="0" w:space="0" w:color="auto"/>
        <w:right w:val="none" w:sz="0" w:space="0" w:color="auto"/>
      </w:divBdr>
    </w:div>
    <w:div w:id="20910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1974v3SApg695" TargetMode="External"/><Relationship Id="rId3" Type="http://schemas.openxmlformats.org/officeDocument/2006/relationships/hyperlink" Target="https://www.saflii.org/cgi-bin/LawCite?cit=2012%20%286%29%20SA%20294" TargetMode="External"/><Relationship Id="rId7" Type="http://schemas.openxmlformats.org/officeDocument/2006/relationships/hyperlink" Target="https://www.saflii.org/cgi-bin/LawCite?cit=2012%20%282%29%20BCLR%20150" TargetMode="External"/><Relationship Id="rId2" Type="http://schemas.openxmlformats.org/officeDocument/2006/relationships/hyperlink" Target="https://www.saflii.org/cgi-bin/LawCite?cit=%5b2012%5d%20ZASCA%20116" TargetMode="External"/><Relationship Id="rId1" Type="http://schemas.openxmlformats.org/officeDocument/2006/relationships/hyperlink" Target="http://www.saflii.org/za/legis/consol_act/eosota1997364/" TargetMode="External"/><Relationship Id="rId6" Type="http://schemas.openxmlformats.org/officeDocument/2006/relationships/hyperlink" Target="https://www.saflii.org/cgi-bin/LawCite?cit=2012%20%282%29%20SA%20104" TargetMode="External"/><Relationship Id="rId5" Type="http://schemas.openxmlformats.org/officeDocument/2006/relationships/hyperlink" Target="https://www.saflii.org/cgi-bin/LawCite?cit=%5b2011%5d%20ZACC%2033" TargetMode="External"/><Relationship Id="rId10" Type="http://schemas.openxmlformats.org/officeDocument/2006/relationships/hyperlink" Target="https://app.jutastatevolve.co.za/y2005v5SApg388" TargetMode="External"/><Relationship Id="rId4" Type="http://schemas.openxmlformats.org/officeDocument/2006/relationships/hyperlink" Target="https://www.saflii.org/cgi-bin/LawCite?cit=2012%20%2811%29%20BCLR%201206" TargetMode="External"/><Relationship Id="rId9" Type="http://schemas.openxmlformats.org/officeDocument/2006/relationships/hyperlink" Target="https://app.jutastatevolve.co.za/y1962v4SApg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4" ma:contentTypeDescription="Create a new document." ma:contentTypeScope="" ma:versionID="814bfae441028a10e5abffe44e814ebb">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03190313797c6316d44db0de940e382c"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EAA4-90C6-4160-8944-A2BB6843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D6F1F-E94B-4663-9DB8-CBB1FA0423C2}">
  <ds:schemaRefs>
    <ds:schemaRef ds:uri="http://schemas.microsoft.com/sharepoint/v3/contenttype/forms"/>
  </ds:schemaRefs>
</ds:datastoreItem>
</file>

<file path=customXml/itemProps3.xml><?xml version="1.0" encoding="utf-8"?>
<ds:datastoreItem xmlns:ds="http://schemas.openxmlformats.org/officeDocument/2006/customXml" ds:itemID="{6CD5AA0B-421E-422A-B400-AAA00AF8DCFF}">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7062A589-8027-4936-8798-A8AF7EF5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Nobahle Mangcu-Lockwood</dc:creator>
  <cp:keywords/>
  <dc:description/>
  <cp:lastModifiedBy>Mokone</cp:lastModifiedBy>
  <cp:revision>3</cp:revision>
  <cp:lastPrinted>2023-05-22T07:44:00Z</cp:lastPrinted>
  <dcterms:created xsi:type="dcterms:W3CDTF">2023-08-08T13:09:00Z</dcterms:created>
  <dcterms:modified xsi:type="dcterms:W3CDTF">2023-08-08T13:10:00Z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