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8D112" w14:textId="69920063" w:rsidR="00372B88" w:rsidRPr="00372B88" w:rsidRDefault="00372B88" w:rsidP="00372B88">
      <w:pPr>
        <w:rPr>
          <w:color w:val="FF0000"/>
          <w:u w:val="single"/>
          <w:lang w:val="en-ZA"/>
        </w:rPr>
      </w:pPr>
      <w:r>
        <w:rPr>
          <w:rFonts w:ascii="Arial" w:hAnsi="Arial" w:cs="Arial"/>
          <w:color w:val="FF0000"/>
        </w:rPr>
        <w:t>Editorial note: Certain information has been redacted from this judgment in compliance with the law.</w:t>
      </w:r>
    </w:p>
    <w:p w14:paraId="006642D1" w14:textId="0DD6DA7E" w:rsidR="00122893" w:rsidRPr="00122893" w:rsidRDefault="00122893" w:rsidP="00122893">
      <w:pPr>
        <w:widowControl w:val="0"/>
        <w:tabs>
          <w:tab w:val="right" w:pos="8647"/>
        </w:tabs>
        <w:contextualSpacing/>
        <w:jc w:val="center"/>
        <w:rPr>
          <w:rFonts w:ascii="Arial" w:hAnsi="Arial" w:cs="Arial"/>
          <w:b/>
          <w:color w:val="000000" w:themeColor="text1"/>
          <w:sz w:val="2"/>
          <w:lang w:val="en-GB"/>
        </w:rPr>
      </w:pPr>
      <w:r>
        <w:rPr>
          <w:noProof/>
          <w:color w:val="1F497D"/>
          <w:sz w:val="16"/>
          <w:szCs w:val="16"/>
          <w:lang w:val="en-ZA" w:eastAsia="en-ZA"/>
        </w:rPr>
        <w:drawing>
          <wp:inline distT="0" distB="0" distL="0" distR="0" wp14:anchorId="0B4931AC" wp14:editId="276F2ED1">
            <wp:extent cx="1400175" cy="1123950"/>
            <wp:effectExtent l="0" t="0" r="9525" b="0"/>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123950"/>
                    </a:xfrm>
                    <a:prstGeom prst="rect">
                      <a:avLst/>
                    </a:prstGeom>
                    <a:noFill/>
                    <a:ln>
                      <a:noFill/>
                    </a:ln>
                  </pic:spPr>
                </pic:pic>
              </a:graphicData>
            </a:graphic>
          </wp:inline>
        </w:drawing>
      </w:r>
    </w:p>
    <w:p w14:paraId="5866C030" w14:textId="0A0BC3E1" w:rsidR="009A7B21" w:rsidRPr="00825DA7" w:rsidRDefault="009A7B21" w:rsidP="00122893">
      <w:pPr>
        <w:widowControl w:val="0"/>
        <w:tabs>
          <w:tab w:val="right" w:pos="8647"/>
        </w:tabs>
        <w:contextualSpacing/>
        <w:jc w:val="center"/>
        <w:rPr>
          <w:rFonts w:ascii="Arial" w:hAnsi="Arial" w:cs="Arial"/>
          <w:b/>
          <w:color w:val="000000" w:themeColor="text1"/>
          <w:lang w:val="en-GB"/>
        </w:rPr>
      </w:pPr>
      <w:r w:rsidRPr="00825DA7">
        <w:rPr>
          <w:rFonts w:ascii="Arial" w:hAnsi="Arial" w:cs="Arial"/>
          <w:b/>
          <w:color w:val="000000" w:themeColor="text1"/>
          <w:lang w:val="en-GB"/>
        </w:rPr>
        <w:t>IN THE HIGH COURT OF SOUTH AFRICA</w:t>
      </w:r>
    </w:p>
    <w:p w14:paraId="78E7D4CA" w14:textId="116905DE" w:rsidR="009A7B21" w:rsidRPr="00825DA7" w:rsidRDefault="009A7B21" w:rsidP="00122893">
      <w:pPr>
        <w:widowControl w:val="0"/>
        <w:tabs>
          <w:tab w:val="right" w:pos="8647"/>
        </w:tabs>
        <w:contextualSpacing/>
        <w:jc w:val="center"/>
        <w:rPr>
          <w:rFonts w:ascii="Arial" w:hAnsi="Arial" w:cs="Arial"/>
          <w:b/>
          <w:color w:val="000000" w:themeColor="text1"/>
          <w:lang w:val="en-GB"/>
        </w:rPr>
      </w:pPr>
      <w:r w:rsidRPr="00825DA7">
        <w:rPr>
          <w:rFonts w:ascii="Arial" w:hAnsi="Arial" w:cs="Arial"/>
          <w:b/>
          <w:color w:val="000000" w:themeColor="text1"/>
          <w:lang w:val="en-GB"/>
        </w:rPr>
        <w:t>WESTERN CAPE DIVISION, CAPE TOWN</w:t>
      </w:r>
    </w:p>
    <w:p w14:paraId="5F9EE73D" w14:textId="34EB4AC6" w:rsidR="001F394F" w:rsidRDefault="001F394F" w:rsidP="001F394F">
      <w:pPr>
        <w:widowControl w:val="0"/>
        <w:tabs>
          <w:tab w:val="left" w:pos="0"/>
          <w:tab w:val="left" w:pos="576"/>
          <w:tab w:val="left" w:pos="1296"/>
          <w:tab w:val="left" w:pos="2736"/>
          <w:tab w:val="left" w:pos="4176"/>
          <w:tab w:val="right" w:pos="8505"/>
          <w:tab w:val="right" w:pos="8784"/>
        </w:tabs>
        <w:spacing w:line="360" w:lineRule="auto"/>
        <w:contextualSpacing/>
        <w:jc w:val="right"/>
        <w:rPr>
          <w:rFonts w:ascii="Arial" w:hAnsi="Arial" w:cs="Arial"/>
          <w:bCs/>
          <w:snapToGrid w:val="0"/>
          <w:color w:val="000000" w:themeColor="text1"/>
          <w:lang w:val="en-GB"/>
        </w:rPr>
      </w:pPr>
    </w:p>
    <w:p w14:paraId="41A04AFF" w14:textId="77777777" w:rsidR="006E61B6" w:rsidRDefault="006E61B6" w:rsidP="001F394F">
      <w:pPr>
        <w:widowControl w:val="0"/>
        <w:tabs>
          <w:tab w:val="left" w:pos="0"/>
          <w:tab w:val="left" w:pos="576"/>
          <w:tab w:val="left" w:pos="1296"/>
          <w:tab w:val="left" w:pos="2736"/>
          <w:tab w:val="left" w:pos="4176"/>
          <w:tab w:val="right" w:pos="8505"/>
          <w:tab w:val="right" w:pos="8784"/>
        </w:tabs>
        <w:spacing w:line="360" w:lineRule="auto"/>
        <w:contextualSpacing/>
        <w:jc w:val="right"/>
        <w:rPr>
          <w:rFonts w:ascii="Arial" w:hAnsi="Arial" w:cs="Arial"/>
          <w:bCs/>
          <w:snapToGrid w:val="0"/>
          <w:color w:val="000000" w:themeColor="text1"/>
          <w:lang w:val="en-GB"/>
        </w:rPr>
      </w:pPr>
    </w:p>
    <w:p w14:paraId="56A0BE18" w14:textId="11C8CE4C" w:rsidR="001F394F" w:rsidRPr="00327FBB" w:rsidRDefault="001F394F" w:rsidP="001F394F">
      <w:pPr>
        <w:widowControl w:val="0"/>
        <w:tabs>
          <w:tab w:val="left" w:pos="0"/>
          <w:tab w:val="left" w:pos="576"/>
          <w:tab w:val="left" w:pos="1296"/>
          <w:tab w:val="left" w:pos="2736"/>
          <w:tab w:val="left" w:pos="4176"/>
          <w:tab w:val="right" w:pos="8505"/>
          <w:tab w:val="right" w:pos="8784"/>
        </w:tabs>
        <w:spacing w:line="360" w:lineRule="auto"/>
        <w:contextualSpacing/>
        <w:jc w:val="right"/>
        <w:rPr>
          <w:rFonts w:ascii="Arial" w:hAnsi="Arial" w:cs="Arial"/>
          <w:bCs/>
          <w:snapToGrid w:val="0"/>
          <w:color w:val="000000" w:themeColor="text1"/>
          <w:lang w:val="en-GB"/>
        </w:rPr>
      </w:pPr>
      <w:r w:rsidRPr="00327FBB">
        <w:rPr>
          <w:rFonts w:ascii="Arial" w:hAnsi="Arial" w:cs="Arial"/>
          <w:bCs/>
          <w:snapToGrid w:val="0"/>
          <w:color w:val="000000" w:themeColor="text1"/>
          <w:lang w:val="en-GB"/>
        </w:rPr>
        <w:t>Case number: 10914/2022</w:t>
      </w:r>
    </w:p>
    <w:p w14:paraId="6FA97449" w14:textId="77777777" w:rsidR="001F394F" w:rsidRPr="00327FBB" w:rsidRDefault="001F394F" w:rsidP="001F394F">
      <w:pPr>
        <w:widowControl w:val="0"/>
        <w:tabs>
          <w:tab w:val="left" w:pos="0"/>
          <w:tab w:val="left" w:pos="576"/>
          <w:tab w:val="left" w:pos="1296"/>
          <w:tab w:val="left" w:pos="2736"/>
          <w:tab w:val="left" w:pos="4176"/>
          <w:tab w:val="right" w:pos="8505"/>
          <w:tab w:val="right" w:pos="8784"/>
        </w:tabs>
        <w:spacing w:line="360" w:lineRule="auto"/>
        <w:ind w:right="856"/>
        <w:contextualSpacing/>
        <w:jc w:val="both"/>
        <w:rPr>
          <w:rFonts w:ascii="Arial" w:hAnsi="Arial" w:cs="Arial"/>
          <w:snapToGrid w:val="0"/>
          <w:color w:val="000000" w:themeColor="text1"/>
          <w:lang w:val="en-GB"/>
        </w:rPr>
      </w:pPr>
      <w:r w:rsidRPr="00327FBB">
        <w:rPr>
          <w:rFonts w:ascii="Arial" w:hAnsi="Arial" w:cs="Arial"/>
          <w:snapToGrid w:val="0"/>
          <w:color w:val="000000" w:themeColor="text1"/>
          <w:lang w:val="en-GB"/>
        </w:rPr>
        <w:t>In the matter between:</w:t>
      </w:r>
    </w:p>
    <w:p w14:paraId="7E80B7F5" w14:textId="77777777" w:rsidR="006E61B6" w:rsidRDefault="006E61B6" w:rsidP="001F394F">
      <w:pPr>
        <w:widowControl w:val="0"/>
        <w:tabs>
          <w:tab w:val="right" w:pos="8315"/>
        </w:tabs>
        <w:overflowPunct w:val="0"/>
        <w:autoSpaceDE w:val="0"/>
        <w:autoSpaceDN w:val="0"/>
        <w:adjustRightInd w:val="0"/>
        <w:spacing w:line="360" w:lineRule="auto"/>
        <w:contextualSpacing/>
        <w:jc w:val="both"/>
        <w:textAlignment w:val="baseline"/>
        <w:rPr>
          <w:rFonts w:ascii="Arial" w:hAnsi="Arial" w:cs="Arial"/>
          <w:b/>
          <w:color w:val="000000" w:themeColor="text1"/>
          <w:lang w:val="en-GB"/>
        </w:rPr>
      </w:pPr>
    </w:p>
    <w:p w14:paraId="52DEFEFE" w14:textId="5B7A8961" w:rsidR="001F394F" w:rsidRPr="00327FBB" w:rsidRDefault="001F394F" w:rsidP="001F394F">
      <w:pPr>
        <w:widowControl w:val="0"/>
        <w:tabs>
          <w:tab w:val="right" w:pos="8315"/>
        </w:tabs>
        <w:overflowPunct w:val="0"/>
        <w:autoSpaceDE w:val="0"/>
        <w:autoSpaceDN w:val="0"/>
        <w:adjustRightInd w:val="0"/>
        <w:spacing w:line="360" w:lineRule="auto"/>
        <w:contextualSpacing/>
        <w:jc w:val="both"/>
        <w:textAlignment w:val="baseline"/>
        <w:rPr>
          <w:rFonts w:ascii="Arial" w:hAnsi="Arial" w:cs="Arial"/>
          <w:b/>
          <w:color w:val="000000" w:themeColor="text1"/>
          <w:lang w:val="en-GB"/>
        </w:rPr>
      </w:pPr>
      <w:proofErr w:type="gramStart"/>
      <w:r w:rsidRPr="00327FBB">
        <w:rPr>
          <w:rFonts w:ascii="Arial" w:hAnsi="Arial" w:cs="Arial"/>
          <w:b/>
          <w:color w:val="000000" w:themeColor="text1"/>
          <w:lang w:val="en-GB"/>
        </w:rPr>
        <w:t>Z</w:t>
      </w:r>
      <w:r w:rsidR="00372B88">
        <w:rPr>
          <w:rFonts w:ascii="Arial" w:hAnsi="Arial" w:cs="Arial"/>
          <w:b/>
          <w:color w:val="000000" w:themeColor="text1"/>
          <w:lang w:val="en-GB"/>
        </w:rPr>
        <w:t>[</w:t>
      </w:r>
      <w:proofErr w:type="gramEnd"/>
      <w:r w:rsidR="00372B88">
        <w:rPr>
          <w:rFonts w:ascii="Arial" w:hAnsi="Arial" w:cs="Arial"/>
          <w:b/>
          <w:color w:val="000000" w:themeColor="text1"/>
          <w:lang w:val="en-GB"/>
        </w:rPr>
        <w:t>…]</w:t>
      </w:r>
      <w:r w:rsidRPr="00327FBB">
        <w:rPr>
          <w:rFonts w:ascii="Arial" w:hAnsi="Arial" w:cs="Arial"/>
          <w:b/>
          <w:color w:val="000000" w:themeColor="text1"/>
          <w:lang w:val="en-GB"/>
        </w:rPr>
        <w:t xml:space="preserve"> E</w:t>
      </w:r>
      <w:r w:rsidR="00372B88">
        <w:rPr>
          <w:rFonts w:ascii="Arial" w:hAnsi="Arial" w:cs="Arial"/>
          <w:b/>
          <w:color w:val="000000" w:themeColor="text1"/>
          <w:lang w:val="en-GB"/>
        </w:rPr>
        <w:t>[…]</w:t>
      </w:r>
      <w:r w:rsidRPr="00327FBB">
        <w:rPr>
          <w:rFonts w:ascii="Arial" w:hAnsi="Arial" w:cs="Arial"/>
          <w:b/>
          <w:color w:val="000000" w:themeColor="text1"/>
          <w:lang w:val="en-GB"/>
        </w:rPr>
        <w:tab/>
      </w:r>
      <w:r w:rsidRPr="00327FBB">
        <w:rPr>
          <w:rFonts w:ascii="Arial" w:hAnsi="Arial" w:cs="Arial"/>
          <w:color w:val="000000" w:themeColor="text1"/>
          <w:lang w:val="en-GB"/>
        </w:rPr>
        <w:t>Applicant</w:t>
      </w:r>
    </w:p>
    <w:p w14:paraId="4FE93475" w14:textId="77777777" w:rsidR="001F394F" w:rsidRPr="00327FBB" w:rsidRDefault="001F394F" w:rsidP="001F394F">
      <w:pPr>
        <w:widowControl w:val="0"/>
        <w:tabs>
          <w:tab w:val="left" w:pos="0"/>
          <w:tab w:val="left" w:pos="576"/>
          <w:tab w:val="left" w:pos="1296"/>
          <w:tab w:val="left" w:pos="2736"/>
          <w:tab w:val="left" w:pos="4176"/>
          <w:tab w:val="right" w:pos="7088"/>
          <w:tab w:val="right" w:pos="8315"/>
        </w:tabs>
        <w:spacing w:line="360" w:lineRule="auto"/>
        <w:contextualSpacing/>
        <w:jc w:val="both"/>
        <w:rPr>
          <w:rFonts w:ascii="Arial" w:hAnsi="Arial" w:cs="Arial"/>
          <w:snapToGrid w:val="0"/>
          <w:color w:val="000000" w:themeColor="text1"/>
          <w:lang w:val="en-GB"/>
        </w:rPr>
      </w:pPr>
    </w:p>
    <w:p w14:paraId="408E52B5" w14:textId="77777777" w:rsidR="001F394F" w:rsidRPr="00327FBB" w:rsidRDefault="001F394F" w:rsidP="001F394F">
      <w:pPr>
        <w:widowControl w:val="0"/>
        <w:tabs>
          <w:tab w:val="left" w:pos="0"/>
          <w:tab w:val="left" w:pos="576"/>
          <w:tab w:val="left" w:pos="1296"/>
          <w:tab w:val="left" w:pos="2736"/>
          <w:tab w:val="left" w:pos="4176"/>
          <w:tab w:val="right" w:pos="8315"/>
        </w:tabs>
        <w:spacing w:line="360" w:lineRule="auto"/>
        <w:ind w:right="856"/>
        <w:contextualSpacing/>
        <w:jc w:val="both"/>
        <w:rPr>
          <w:rFonts w:ascii="Arial" w:hAnsi="Arial" w:cs="Arial"/>
          <w:snapToGrid w:val="0"/>
          <w:color w:val="000000" w:themeColor="text1"/>
          <w:lang w:val="en-GB"/>
        </w:rPr>
      </w:pPr>
      <w:r w:rsidRPr="00327FBB">
        <w:rPr>
          <w:rFonts w:ascii="Arial" w:hAnsi="Arial" w:cs="Arial"/>
          <w:snapToGrid w:val="0"/>
          <w:color w:val="000000" w:themeColor="text1"/>
          <w:lang w:val="en-GB"/>
        </w:rPr>
        <w:t>and</w:t>
      </w:r>
    </w:p>
    <w:p w14:paraId="2F07BA4E" w14:textId="77777777" w:rsidR="001F394F" w:rsidRPr="00327FBB" w:rsidRDefault="001F394F" w:rsidP="001F394F">
      <w:pPr>
        <w:widowControl w:val="0"/>
        <w:tabs>
          <w:tab w:val="left" w:pos="0"/>
          <w:tab w:val="right" w:pos="576"/>
          <w:tab w:val="left" w:pos="1296"/>
          <w:tab w:val="left" w:pos="2736"/>
          <w:tab w:val="left" w:pos="4176"/>
          <w:tab w:val="right" w:pos="8315"/>
          <w:tab w:val="right" w:pos="8505"/>
        </w:tabs>
        <w:spacing w:line="360" w:lineRule="auto"/>
        <w:ind w:right="857"/>
        <w:contextualSpacing/>
        <w:jc w:val="both"/>
        <w:rPr>
          <w:rFonts w:ascii="Arial" w:hAnsi="Arial" w:cs="Arial"/>
          <w:snapToGrid w:val="0"/>
          <w:color w:val="000000" w:themeColor="text1"/>
          <w:lang w:val="en-GB"/>
        </w:rPr>
      </w:pPr>
    </w:p>
    <w:p w14:paraId="5682FFED" w14:textId="1E1562B3" w:rsidR="001F394F" w:rsidRPr="00327FBB" w:rsidRDefault="001F394F" w:rsidP="001F394F">
      <w:pPr>
        <w:widowControl w:val="0"/>
        <w:tabs>
          <w:tab w:val="left" w:pos="0"/>
          <w:tab w:val="right" w:pos="576"/>
          <w:tab w:val="left" w:pos="1296"/>
          <w:tab w:val="left" w:pos="2736"/>
          <w:tab w:val="left" w:pos="4176"/>
          <w:tab w:val="right" w:pos="8315"/>
          <w:tab w:val="right" w:pos="8505"/>
        </w:tabs>
        <w:spacing w:line="360" w:lineRule="auto"/>
        <w:ind w:right="-51"/>
        <w:contextualSpacing/>
        <w:jc w:val="both"/>
        <w:rPr>
          <w:rFonts w:ascii="Arial" w:hAnsi="Arial" w:cs="Arial"/>
          <w:snapToGrid w:val="0"/>
          <w:color w:val="000000" w:themeColor="text1"/>
          <w:lang w:val="en-GB"/>
        </w:rPr>
      </w:pPr>
      <w:proofErr w:type="gramStart"/>
      <w:r w:rsidRPr="00327FBB">
        <w:rPr>
          <w:rFonts w:ascii="Arial" w:hAnsi="Arial" w:cs="Arial"/>
          <w:b/>
          <w:snapToGrid w:val="0"/>
          <w:color w:val="000000" w:themeColor="text1"/>
          <w:lang w:val="en-GB"/>
        </w:rPr>
        <w:t>N</w:t>
      </w:r>
      <w:r w:rsidR="00372B88">
        <w:rPr>
          <w:rFonts w:ascii="Arial" w:hAnsi="Arial" w:cs="Arial"/>
          <w:b/>
          <w:snapToGrid w:val="0"/>
          <w:color w:val="000000" w:themeColor="text1"/>
          <w:lang w:val="en-GB"/>
        </w:rPr>
        <w:t>[</w:t>
      </w:r>
      <w:proofErr w:type="gramEnd"/>
      <w:r w:rsidR="00372B88">
        <w:rPr>
          <w:rFonts w:ascii="Arial" w:hAnsi="Arial" w:cs="Arial"/>
          <w:b/>
          <w:snapToGrid w:val="0"/>
          <w:color w:val="000000" w:themeColor="text1"/>
          <w:lang w:val="en-GB"/>
        </w:rPr>
        <w:t>…]</w:t>
      </w:r>
      <w:r w:rsidRPr="00327FBB">
        <w:rPr>
          <w:rFonts w:ascii="Arial" w:hAnsi="Arial" w:cs="Arial"/>
          <w:b/>
          <w:snapToGrid w:val="0"/>
          <w:color w:val="000000" w:themeColor="text1"/>
          <w:lang w:val="en-GB"/>
        </w:rPr>
        <w:t xml:space="preserve"> E</w:t>
      </w:r>
      <w:r w:rsidR="00372B88">
        <w:rPr>
          <w:rFonts w:ascii="Arial" w:hAnsi="Arial" w:cs="Arial"/>
          <w:b/>
          <w:snapToGrid w:val="0"/>
          <w:color w:val="000000" w:themeColor="text1"/>
          <w:lang w:val="en-GB"/>
        </w:rPr>
        <w:t>[…]</w:t>
      </w:r>
      <w:r w:rsidRPr="00327FBB">
        <w:rPr>
          <w:rFonts w:ascii="Arial" w:hAnsi="Arial" w:cs="Arial"/>
          <w:b/>
          <w:snapToGrid w:val="0"/>
          <w:color w:val="000000" w:themeColor="text1"/>
          <w:lang w:val="en-GB"/>
        </w:rPr>
        <w:tab/>
      </w:r>
      <w:r w:rsidRPr="00327FBB">
        <w:rPr>
          <w:rFonts w:ascii="Arial" w:hAnsi="Arial" w:cs="Arial"/>
          <w:b/>
          <w:snapToGrid w:val="0"/>
          <w:color w:val="000000" w:themeColor="text1"/>
          <w:lang w:val="en-GB"/>
        </w:rPr>
        <w:tab/>
      </w:r>
      <w:r w:rsidRPr="00327FBB">
        <w:rPr>
          <w:rFonts w:ascii="Arial" w:hAnsi="Arial" w:cs="Arial"/>
          <w:snapToGrid w:val="0"/>
          <w:color w:val="000000" w:themeColor="text1"/>
          <w:lang w:val="en-GB"/>
        </w:rPr>
        <w:tab/>
      </w:r>
      <w:r w:rsidR="00CD70A6">
        <w:rPr>
          <w:rFonts w:ascii="Arial" w:hAnsi="Arial" w:cs="Arial"/>
          <w:snapToGrid w:val="0"/>
          <w:color w:val="000000" w:themeColor="text1"/>
          <w:lang w:val="en-GB"/>
        </w:rPr>
        <w:t xml:space="preserve">                                               </w:t>
      </w:r>
      <w:r w:rsidRPr="00327FBB">
        <w:rPr>
          <w:rFonts w:ascii="Arial" w:hAnsi="Arial" w:cs="Arial"/>
          <w:snapToGrid w:val="0"/>
          <w:color w:val="000000" w:themeColor="text1"/>
          <w:lang w:val="en-GB"/>
        </w:rPr>
        <w:t>First respondent</w:t>
      </w:r>
    </w:p>
    <w:p w14:paraId="7AA10CC6" w14:textId="1BB0898E" w:rsidR="001F394F" w:rsidRDefault="001F394F" w:rsidP="001F394F">
      <w:pPr>
        <w:widowControl w:val="0"/>
        <w:tabs>
          <w:tab w:val="left" w:pos="0"/>
          <w:tab w:val="right" w:pos="576"/>
          <w:tab w:val="left" w:pos="1296"/>
          <w:tab w:val="left" w:pos="2736"/>
          <w:tab w:val="left" w:pos="4176"/>
          <w:tab w:val="right" w:pos="8315"/>
          <w:tab w:val="right" w:pos="8505"/>
        </w:tabs>
        <w:spacing w:line="360" w:lineRule="auto"/>
        <w:ind w:right="-51"/>
        <w:contextualSpacing/>
        <w:jc w:val="both"/>
        <w:rPr>
          <w:rFonts w:ascii="Arial" w:hAnsi="Arial" w:cs="Arial"/>
          <w:snapToGrid w:val="0"/>
          <w:color w:val="000000" w:themeColor="text1"/>
          <w:lang w:val="en-GB"/>
        </w:rPr>
      </w:pPr>
      <w:r w:rsidRPr="00327FBB">
        <w:rPr>
          <w:rFonts w:ascii="Arial" w:hAnsi="Arial" w:cs="Arial"/>
          <w:b/>
          <w:bCs/>
          <w:snapToGrid w:val="0"/>
          <w:color w:val="000000" w:themeColor="text1"/>
          <w:lang w:val="en-GB"/>
        </w:rPr>
        <w:t>CHAPMANS SEAFOOD COMPANY (PTY) LTD</w:t>
      </w:r>
      <w:r w:rsidRPr="00327FBB">
        <w:rPr>
          <w:rFonts w:ascii="Arial" w:hAnsi="Arial" w:cs="Arial"/>
          <w:snapToGrid w:val="0"/>
          <w:color w:val="000000" w:themeColor="text1"/>
          <w:lang w:val="en-GB"/>
        </w:rPr>
        <w:tab/>
      </w:r>
      <w:r w:rsidR="00CD70A6">
        <w:rPr>
          <w:rFonts w:ascii="Arial" w:hAnsi="Arial" w:cs="Arial"/>
          <w:snapToGrid w:val="0"/>
          <w:color w:val="000000" w:themeColor="text1"/>
          <w:lang w:val="en-GB"/>
        </w:rPr>
        <w:t xml:space="preserve">                                </w:t>
      </w:r>
      <w:bookmarkStart w:id="0" w:name="_GoBack"/>
      <w:bookmarkEnd w:id="0"/>
      <w:r w:rsidRPr="00327FBB">
        <w:rPr>
          <w:rFonts w:ascii="Arial" w:hAnsi="Arial" w:cs="Arial"/>
          <w:snapToGrid w:val="0"/>
          <w:color w:val="000000" w:themeColor="text1"/>
          <w:lang w:val="en-GB"/>
        </w:rPr>
        <w:t>Second respondent</w:t>
      </w:r>
    </w:p>
    <w:p w14:paraId="42619704" w14:textId="77777777" w:rsidR="006E61B6" w:rsidRPr="00327FBB" w:rsidRDefault="006E61B6" w:rsidP="001F394F">
      <w:pPr>
        <w:widowControl w:val="0"/>
        <w:tabs>
          <w:tab w:val="left" w:pos="0"/>
          <w:tab w:val="right" w:pos="576"/>
          <w:tab w:val="left" w:pos="1296"/>
          <w:tab w:val="left" w:pos="2736"/>
          <w:tab w:val="left" w:pos="4176"/>
          <w:tab w:val="right" w:pos="8315"/>
          <w:tab w:val="right" w:pos="8505"/>
        </w:tabs>
        <w:spacing w:line="360" w:lineRule="auto"/>
        <w:ind w:right="-51"/>
        <w:contextualSpacing/>
        <w:jc w:val="both"/>
        <w:rPr>
          <w:rFonts w:ascii="Arial" w:hAnsi="Arial" w:cs="Arial"/>
          <w:snapToGrid w:val="0"/>
          <w:color w:val="000000" w:themeColor="text1"/>
          <w:lang w:val="en-GB"/>
        </w:rPr>
      </w:pPr>
    </w:p>
    <w:p w14:paraId="0F73F46E" w14:textId="77777777" w:rsidR="001F394F" w:rsidRPr="00327FBB" w:rsidRDefault="001F394F" w:rsidP="001F394F">
      <w:pPr>
        <w:pStyle w:val="Heading4"/>
        <w:keepNext w:val="0"/>
        <w:spacing w:line="360" w:lineRule="auto"/>
        <w:contextualSpacing/>
        <w:jc w:val="left"/>
        <w:rPr>
          <w:rFonts w:ascii="Arial" w:hAnsi="Arial" w:cs="Arial"/>
          <w:color w:val="000000" w:themeColor="text1"/>
          <w:sz w:val="24"/>
          <w:szCs w:val="24"/>
          <w:lang w:val="en-GB"/>
        </w:rPr>
      </w:pPr>
      <w:r w:rsidRPr="00327FBB">
        <w:rPr>
          <w:rFonts w:ascii="Arial" w:hAnsi="Arial" w:cs="Arial"/>
          <w:color w:val="000000" w:themeColor="text1"/>
          <w:sz w:val="24"/>
          <w:szCs w:val="24"/>
          <w:lang w:val="en-GB"/>
        </w:rPr>
        <w:t>_________________________________________________________________________</w:t>
      </w:r>
    </w:p>
    <w:p w14:paraId="6E74D409" w14:textId="77777777" w:rsidR="001F394F" w:rsidRPr="00327FBB" w:rsidRDefault="001F394F" w:rsidP="001F394F">
      <w:pPr>
        <w:widowControl w:val="0"/>
        <w:spacing w:line="360" w:lineRule="auto"/>
        <w:contextualSpacing/>
        <w:rPr>
          <w:rFonts w:ascii="Arial" w:hAnsi="Arial" w:cs="Arial"/>
          <w:lang w:val="en-GB"/>
        </w:rPr>
      </w:pPr>
    </w:p>
    <w:p w14:paraId="12F74054" w14:textId="25AFFDEA" w:rsidR="001F394F" w:rsidRPr="00327FBB" w:rsidRDefault="001F394F" w:rsidP="001F394F">
      <w:pPr>
        <w:widowControl w:val="0"/>
        <w:spacing w:line="360" w:lineRule="auto"/>
        <w:contextualSpacing/>
        <w:jc w:val="center"/>
        <w:rPr>
          <w:rFonts w:ascii="Arial" w:hAnsi="Arial" w:cs="Arial"/>
          <w:b/>
          <w:bCs/>
          <w:lang w:val="en-GB"/>
        </w:rPr>
      </w:pPr>
      <w:r w:rsidRPr="00327FBB">
        <w:rPr>
          <w:rFonts w:ascii="Arial" w:hAnsi="Arial" w:cs="Arial"/>
          <w:b/>
          <w:bCs/>
          <w:lang w:val="en-GB"/>
        </w:rPr>
        <w:t>JUDGMENT DELIVERED ON 2</w:t>
      </w:r>
      <w:r>
        <w:rPr>
          <w:rFonts w:ascii="Arial" w:hAnsi="Arial" w:cs="Arial"/>
          <w:b/>
          <w:bCs/>
          <w:lang w:val="en-GB"/>
        </w:rPr>
        <w:t>4</w:t>
      </w:r>
      <w:r w:rsidRPr="00327FBB">
        <w:rPr>
          <w:rFonts w:ascii="Arial" w:hAnsi="Arial" w:cs="Arial"/>
          <w:b/>
          <w:bCs/>
          <w:lang w:val="en-GB"/>
        </w:rPr>
        <w:t xml:space="preserve"> JANUARY 202</w:t>
      </w:r>
      <w:r w:rsidR="004C31BB">
        <w:rPr>
          <w:rFonts w:ascii="Arial" w:hAnsi="Arial" w:cs="Arial"/>
          <w:b/>
          <w:bCs/>
          <w:lang w:val="en-GB"/>
        </w:rPr>
        <w:t>3</w:t>
      </w:r>
    </w:p>
    <w:p w14:paraId="326B8F16" w14:textId="77777777" w:rsidR="001F394F" w:rsidRPr="00327FBB" w:rsidRDefault="001F394F" w:rsidP="001F394F">
      <w:pPr>
        <w:widowControl w:val="0"/>
        <w:pBdr>
          <w:bottom w:val="single" w:sz="12" w:space="1" w:color="auto"/>
        </w:pBdr>
        <w:tabs>
          <w:tab w:val="right" w:pos="8640"/>
        </w:tabs>
        <w:spacing w:line="360" w:lineRule="auto"/>
        <w:contextualSpacing/>
        <w:jc w:val="both"/>
        <w:rPr>
          <w:rFonts w:ascii="Arial" w:hAnsi="Arial" w:cs="Arial"/>
          <w:color w:val="000000" w:themeColor="text1"/>
          <w:lang w:val="en-GB"/>
        </w:rPr>
      </w:pPr>
    </w:p>
    <w:p w14:paraId="635D1E26" w14:textId="77777777" w:rsidR="001F394F" w:rsidRPr="00EE3AF3" w:rsidRDefault="001F394F" w:rsidP="001F394F">
      <w:pPr>
        <w:widowControl w:val="0"/>
        <w:spacing w:line="360" w:lineRule="auto"/>
        <w:contextualSpacing/>
        <w:jc w:val="both"/>
        <w:rPr>
          <w:rFonts w:ascii="Arial" w:hAnsi="Arial" w:cs="Arial"/>
          <w:lang w:val="en-GB"/>
        </w:rPr>
      </w:pPr>
    </w:p>
    <w:p w14:paraId="065A8BDF" w14:textId="77777777" w:rsidR="001F394F" w:rsidRPr="00EE3AF3" w:rsidRDefault="001F394F" w:rsidP="001F394F">
      <w:pPr>
        <w:widowControl w:val="0"/>
        <w:spacing w:line="360" w:lineRule="auto"/>
        <w:contextualSpacing/>
        <w:jc w:val="both"/>
        <w:rPr>
          <w:rFonts w:ascii="Arial" w:hAnsi="Arial" w:cs="Arial"/>
          <w:b/>
          <w:bCs/>
          <w:u w:val="single"/>
          <w:lang w:val="en-GB"/>
        </w:rPr>
      </w:pPr>
      <w:r w:rsidRPr="00EE3AF3">
        <w:rPr>
          <w:rFonts w:ascii="Arial" w:hAnsi="Arial" w:cs="Arial"/>
          <w:b/>
          <w:bCs/>
          <w:u w:val="single"/>
          <w:lang w:val="en-GB"/>
        </w:rPr>
        <w:t>VAN ZYL AJ:</w:t>
      </w:r>
    </w:p>
    <w:p w14:paraId="5AB4AB59" w14:textId="77777777" w:rsidR="001F394F" w:rsidRPr="00EE3AF3" w:rsidRDefault="001F394F" w:rsidP="001F394F">
      <w:pPr>
        <w:widowControl w:val="0"/>
        <w:spacing w:line="360" w:lineRule="auto"/>
        <w:contextualSpacing/>
        <w:jc w:val="both"/>
        <w:rPr>
          <w:rFonts w:ascii="Arial" w:hAnsi="Arial" w:cs="Arial"/>
          <w:lang w:val="en-GB"/>
        </w:rPr>
      </w:pPr>
    </w:p>
    <w:p w14:paraId="601E5E28" w14:textId="77777777" w:rsidR="001F394F" w:rsidRPr="00EE3AF3" w:rsidRDefault="001F394F" w:rsidP="001F394F">
      <w:pPr>
        <w:pStyle w:val="Heading1"/>
        <w:spacing w:before="0" w:after="0" w:line="360" w:lineRule="auto"/>
        <w:contextualSpacing/>
        <w:jc w:val="both"/>
        <w:rPr>
          <w:rFonts w:ascii="Arial" w:hAnsi="Arial" w:cs="Arial"/>
          <w:b/>
          <w:bCs/>
          <w:sz w:val="24"/>
          <w:szCs w:val="24"/>
          <w:u w:val="single"/>
          <w:lang w:val="en-GB"/>
        </w:rPr>
      </w:pPr>
      <w:r w:rsidRPr="00EE3AF3">
        <w:rPr>
          <w:rFonts w:ascii="Arial" w:hAnsi="Arial" w:cs="Arial"/>
          <w:b/>
          <w:bCs/>
          <w:sz w:val="24"/>
          <w:szCs w:val="24"/>
          <w:u w:val="single"/>
          <w:lang w:val="en-GB"/>
        </w:rPr>
        <w:t>Introduction</w:t>
      </w:r>
    </w:p>
    <w:p w14:paraId="080F02CB" w14:textId="77777777" w:rsidR="001F394F" w:rsidRPr="00EE3AF3" w:rsidRDefault="001F394F" w:rsidP="001F394F">
      <w:pPr>
        <w:pStyle w:val="Heading1"/>
        <w:spacing w:before="0" w:after="0" w:line="360" w:lineRule="auto"/>
        <w:ind w:left="709"/>
        <w:contextualSpacing/>
        <w:jc w:val="both"/>
        <w:rPr>
          <w:rFonts w:ascii="Arial" w:hAnsi="Arial" w:cs="Arial"/>
          <w:sz w:val="24"/>
          <w:szCs w:val="24"/>
          <w:lang w:val="en-GB"/>
        </w:rPr>
      </w:pPr>
    </w:p>
    <w:p w14:paraId="42EAEC8E" w14:textId="01282893" w:rsidR="001F394F" w:rsidRPr="00EE3AF3" w:rsidRDefault="00372B88" w:rsidP="00372B88">
      <w:pPr>
        <w:pStyle w:val="Heading1"/>
        <w:spacing w:before="0" w:after="0" w:line="360" w:lineRule="auto"/>
        <w:ind w:left="360" w:hanging="360"/>
        <w:contextualSpacing/>
        <w:jc w:val="both"/>
        <w:rPr>
          <w:rFonts w:ascii="Arial" w:hAnsi="Arial" w:cs="Arial"/>
          <w:sz w:val="24"/>
          <w:szCs w:val="24"/>
          <w:lang w:val="en-GB"/>
        </w:rPr>
      </w:pPr>
      <w:r w:rsidRPr="00EE3AF3">
        <w:rPr>
          <w:rFonts w:ascii="Arial" w:hAnsi="Arial" w:cs="Arial"/>
          <w:sz w:val="24"/>
          <w:szCs w:val="24"/>
          <w:lang w:val="en-GB"/>
        </w:rPr>
        <w:t>1.</w:t>
      </w:r>
      <w:r w:rsidRPr="00EE3AF3">
        <w:rPr>
          <w:rFonts w:ascii="Arial" w:hAnsi="Arial" w:cs="Arial"/>
          <w:sz w:val="24"/>
          <w:szCs w:val="24"/>
          <w:lang w:val="en-GB"/>
        </w:rPr>
        <w:tab/>
      </w:r>
      <w:r w:rsidR="001F394F" w:rsidRPr="00EE3AF3">
        <w:rPr>
          <w:rFonts w:ascii="Arial" w:hAnsi="Arial" w:cs="Arial"/>
          <w:sz w:val="24"/>
          <w:szCs w:val="24"/>
          <w:lang w:val="en-GB"/>
        </w:rPr>
        <w:t>This matter served before me on 17 January 202</w:t>
      </w:r>
      <w:r w:rsidR="004C31BB">
        <w:rPr>
          <w:rFonts w:ascii="Arial" w:hAnsi="Arial" w:cs="Arial"/>
          <w:sz w:val="24"/>
          <w:szCs w:val="24"/>
          <w:lang w:val="en-GB"/>
        </w:rPr>
        <w:t>3 on</w:t>
      </w:r>
      <w:r w:rsidR="001F394F" w:rsidRPr="00EE3AF3">
        <w:rPr>
          <w:rFonts w:ascii="Arial" w:hAnsi="Arial" w:cs="Arial"/>
          <w:sz w:val="24"/>
          <w:szCs w:val="24"/>
          <w:lang w:val="en-GB"/>
        </w:rPr>
        <w:t xml:space="preserve"> the urgent roll.  I indicated to the parties that I would give an order and short reasons in due course after having considered the issues raised.</w:t>
      </w:r>
    </w:p>
    <w:p w14:paraId="4981D003" w14:textId="77777777" w:rsidR="001F394F" w:rsidRPr="00EE3AF3" w:rsidRDefault="001F394F" w:rsidP="001F394F">
      <w:pPr>
        <w:pStyle w:val="Heading1"/>
        <w:spacing w:before="0" w:after="0" w:line="360" w:lineRule="auto"/>
        <w:ind w:left="709"/>
        <w:contextualSpacing/>
        <w:jc w:val="both"/>
        <w:rPr>
          <w:rFonts w:ascii="Arial" w:hAnsi="Arial" w:cs="Arial"/>
          <w:sz w:val="24"/>
          <w:szCs w:val="24"/>
          <w:lang w:val="en-GB"/>
        </w:rPr>
      </w:pPr>
    </w:p>
    <w:p w14:paraId="1415E76C" w14:textId="60B7AB01" w:rsidR="001F394F" w:rsidRPr="00EE3AF3" w:rsidRDefault="00372B88" w:rsidP="00372B88">
      <w:pPr>
        <w:pStyle w:val="Heading1"/>
        <w:spacing w:before="0" w:after="0" w:line="360" w:lineRule="auto"/>
        <w:ind w:left="360" w:hanging="360"/>
        <w:contextualSpacing/>
        <w:jc w:val="both"/>
        <w:rPr>
          <w:rFonts w:ascii="Arial" w:hAnsi="Arial" w:cs="Arial"/>
          <w:sz w:val="24"/>
          <w:szCs w:val="24"/>
          <w:lang w:val="en-GB"/>
        </w:rPr>
      </w:pPr>
      <w:r w:rsidRPr="00EE3AF3">
        <w:rPr>
          <w:rFonts w:ascii="Arial" w:hAnsi="Arial" w:cs="Arial"/>
          <w:sz w:val="24"/>
          <w:szCs w:val="24"/>
          <w:lang w:val="en-GB"/>
        </w:rPr>
        <w:t>2.</w:t>
      </w:r>
      <w:r w:rsidRPr="00EE3AF3">
        <w:rPr>
          <w:rFonts w:ascii="Arial" w:hAnsi="Arial" w:cs="Arial"/>
          <w:sz w:val="24"/>
          <w:szCs w:val="24"/>
          <w:lang w:val="en-GB"/>
        </w:rPr>
        <w:tab/>
      </w:r>
      <w:r w:rsidR="001F394F" w:rsidRPr="00EE3AF3">
        <w:rPr>
          <w:rFonts w:ascii="Arial" w:hAnsi="Arial" w:cs="Arial"/>
          <w:sz w:val="24"/>
          <w:szCs w:val="24"/>
          <w:lang w:val="en-GB"/>
        </w:rPr>
        <w:t>These proceedings essentially entail:</w:t>
      </w:r>
    </w:p>
    <w:p w14:paraId="275BD607" w14:textId="77777777" w:rsidR="001F394F" w:rsidRPr="00EE3AF3" w:rsidRDefault="001F394F" w:rsidP="001F394F">
      <w:pPr>
        <w:pStyle w:val="Heading1"/>
        <w:spacing w:before="0" w:after="0" w:line="360" w:lineRule="auto"/>
        <w:ind w:left="1418"/>
        <w:contextualSpacing/>
        <w:jc w:val="both"/>
        <w:rPr>
          <w:rFonts w:ascii="Arial" w:hAnsi="Arial" w:cs="Arial"/>
          <w:sz w:val="24"/>
          <w:szCs w:val="24"/>
          <w:lang w:val="en-GB"/>
        </w:rPr>
      </w:pPr>
    </w:p>
    <w:p w14:paraId="092EA270" w14:textId="3B4BA9A3" w:rsidR="001F394F" w:rsidRPr="00EE3AF3" w:rsidRDefault="00372B88" w:rsidP="00372B88">
      <w:pPr>
        <w:pStyle w:val="Heading1"/>
        <w:spacing w:before="0" w:after="0" w:line="360" w:lineRule="auto"/>
        <w:ind w:left="792" w:hanging="432"/>
        <w:contextualSpacing/>
        <w:jc w:val="both"/>
        <w:rPr>
          <w:rFonts w:ascii="Arial" w:hAnsi="Arial" w:cs="Arial"/>
          <w:sz w:val="24"/>
          <w:szCs w:val="24"/>
          <w:lang w:val="en-GB"/>
        </w:rPr>
      </w:pPr>
      <w:r w:rsidRPr="00EE3AF3">
        <w:rPr>
          <w:rFonts w:ascii="Arial" w:hAnsi="Arial" w:cs="Arial"/>
          <w:sz w:val="24"/>
          <w:szCs w:val="24"/>
          <w:lang w:val="en-GB"/>
        </w:rPr>
        <w:t>2.1.</w:t>
      </w:r>
      <w:r w:rsidRPr="00EE3AF3">
        <w:rPr>
          <w:rFonts w:ascii="Arial" w:hAnsi="Arial" w:cs="Arial"/>
          <w:sz w:val="24"/>
          <w:szCs w:val="24"/>
          <w:lang w:val="en-GB"/>
        </w:rPr>
        <w:tab/>
      </w:r>
      <w:r w:rsidR="001F394F" w:rsidRPr="00EE3AF3">
        <w:rPr>
          <w:rFonts w:ascii="Arial" w:hAnsi="Arial" w:cs="Arial"/>
          <w:sz w:val="24"/>
          <w:szCs w:val="24"/>
          <w:lang w:val="en-GB"/>
        </w:rPr>
        <w:t xml:space="preserve">a Rule 30(1) application for the setting aside as an irregular step the first respondent’s notice of application for leave to appeal against a Rule 43 order granted on 17 October 2022, </w:t>
      </w:r>
    </w:p>
    <w:p w14:paraId="5D1A58A2" w14:textId="77777777" w:rsidR="001F394F" w:rsidRPr="00EE3AF3" w:rsidRDefault="001F394F" w:rsidP="001F394F">
      <w:pPr>
        <w:pStyle w:val="Heading1"/>
        <w:spacing w:before="0" w:after="0" w:line="360" w:lineRule="auto"/>
        <w:ind w:left="709"/>
        <w:contextualSpacing/>
        <w:jc w:val="both"/>
        <w:rPr>
          <w:rFonts w:ascii="Arial" w:hAnsi="Arial" w:cs="Arial"/>
          <w:sz w:val="24"/>
          <w:szCs w:val="24"/>
          <w:lang w:val="en-GB"/>
        </w:rPr>
      </w:pPr>
    </w:p>
    <w:p w14:paraId="56C736A9" w14:textId="685C62EA" w:rsidR="001F394F" w:rsidRPr="00EE3AF3" w:rsidRDefault="00372B88" w:rsidP="00372B88">
      <w:pPr>
        <w:pStyle w:val="Heading1"/>
        <w:spacing w:before="0" w:after="0" w:line="360" w:lineRule="auto"/>
        <w:ind w:left="792" w:hanging="432"/>
        <w:contextualSpacing/>
        <w:jc w:val="both"/>
        <w:rPr>
          <w:rFonts w:ascii="Arial" w:hAnsi="Arial" w:cs="Arial"/>
          <w:sz w:val="24"/>
          <w:szCs w:val="24"/>
          <w:lang w:val="en-GB"/>
        </w:rPr>
      </w:pPr>
      <w:r w:rsidRPr="00EE3AF3">
        <w:rPr>
          <w:rFonts w:ascii="Arial" w:hAnsi="Arial" w:cs="Arial"/>
          <w:sz w:val="24"/>
          <w:szCs w:val="24"/>
          <w:lang w:val="en-GB"/>
        </w:rPr>
        <w:t>2.2.</w:t>
      </w:r>
      <w:r w:rsidRPr="00EE3AF3">
        <w:rPr>
          <w:rFonts w:ascii="Arial" w:hAnsi="Arial" w:cs="Arial"/>
          <w:sz w:val="24"/>
          <w:szCs w:val="24"/>
          <w:lang w:val="en-GB"/>
        </w:rPr>
        <w:tab/>
      </w:r>
      <w:r w:rsidR="001F394F" w:rsidRPr="00EE3AF3">
        <w:rPr>
          <w:rFonts w:ascii="Arial" w:hAnsi="Arial" w:cs="Arial"/>
          <w:sz w:val="24"/>
          <w:szCs w:val="24"/>
          <w:lang w:val="en-GB"/>
        </w:rPr>
        <w:t>an application that I find the first respondent to be in contempt of the Rule 43 order; and</w:t>
      </w:r>
    </w:p>
    <w:p w14:paraId="3388DC3E" w14:textId="77777777" w:rsidR="001F394F" w:rsidRPr="00EE3AF3" w:rsidRDefault="001F394F" w:rsidP="001F394F">
      <w:pPr>
        <w:pStyle w:val="Heading1"/>
        <w:spacing w:before="0" w:after="0" w:line="360" w:lineRule="auto"/>
        <w:ind w:left="1418"/>
        <w:contextualSpacing/>
        <w:jc w:val="both"/>
        <w:rPr>
          <w:rFonts w:ascii="Arial" w:hAnsi="Arial" w:cs="Arial"/>
          <w:sz w:val="24"/>
          <w:szCs w:val="24"/>
          <w:lang w:val="en-GB"/>
        </w:rPr>
      </w:pPr>
    </w:p>
    <w:p w14:paraId="2476111D" w14:textId="3373464A" w:rsidR="001F394F" w:rsidRPr="00EE3AF3" w:rsidRDefault="00372B88" w:rsidP="00372B88">
      <w:pPr>
        <w:pStyle w:val="Heading1"/>
        <w:spacing w:before="0" w:after="0" w:line="360" w:lineRule="auto"/>
        <w:ind w:left="792" w:hanging="432"/>
        <w:contextualSpacing/>
        <w:jc w:val="both"/>
        <w:rPr>
          <w:rFonts w:ascii="Arial" w:hAnsi="Arial" w:cs="Arial"/>
          <w:sz w:val="24"/>
          <w:szCs w:val="24"/>
          <w:lang w:val="en-GB"/>
        </w:rPr>
      </w:pPr>
      <w:r w:rsidRPr="00EE3AF3">
        <w:rPr>
          <w:rFonts w:ascii="Arial" w:hAnsi="Arial" w:cs="Arial"/>
          <w:sz w:val="24"/>
          <w:szCs w:val="24"/>
          <w:lang w:val="en-GB"/>
        </w:rPr>
        <w:t>2.3.</w:t>
      </w:r>
      <w:r w:rsidRPr="00EE3AF3">
        <w:rPr>
          <w:rFonts w:ascii="Arial" w:hAnsi="Arial" w:cs="Arial"/>
          <w:sz w:val="24"/>
          <w:szCs w:val="24"/>
          <w:lang w:val="en-GB"/>
        </w:rPr>
        <w:tab/>
      </w:r>
      <w:r w:rsidR="001F394F" w:rsidRPr="00EE3AF3">
        <w:rPr>
          <w:rFonts w:ascii="Arial" w:hAnsi="Arial" w:cs="Arial"/>
          <w:sz w:val="24"/>
          <w:szCs w:val="24"/>
          <w:lang w:val="en-GB"/>
        </w:rPr>
        <w:t xml:space="preserve">an application for an order – effectively an emoluments attachment order – that the cash sums payable to the applicant in terms of the Rule 43 order be paid directly from the first respondent’s salary by the second respondent, the first respondent’s employer.  </w:t>
      </w:r>
    </w:p>
    <w:p w14:paraId="607B5029" w14:textId="77777777" w:rsidR="001F394F" w:rsidRPr="00EE3AF3" w:rsidRDefault="001F394F" w:rsidP="001F394F">
      <w:pPr>
        <w:spacing w:line="360" w:lineRule="auto"/>
        <w:rPr>
          <w:rFonts w:ascii="Arial" w:hAnsi="Arial" w:cs="Arial"/>
          <w:lang w:val="en-GB"/>
        </w:rPr>
      </w:pPr>
    </w:p>
    <w:p w14:paraId="75BF31CC" w14:textId="77777777" w:rsidR="001F394F" w:rsidRPr="00EE3AF3" w:rsidRDefault="001F394F" w:rsidP="001F394F">
      <w:pPr>
        <w:spacing w:line="360" w:lineRule="auto"/>
        <w:rPr>
          <w:rFonts w:ascii="Arial" w:hAnsi="Arial" w:cs="Arial"/>
          <w:b/>
          <w:bCs/>
          <w:u w:val="single"/>
          <w:lang w:val="en-GB"/>
        </w:rPr>
      </w:pPr>
      <w:r w:rsidRPr="00EE3AF3">
        <w:rPr>
          <w:rFonts w:ascii="Arial" w:hAnsi="Arial" w:cs="Arial"/>
          <w:b/>
          <w:bCs/>
          <w:u w:val="single"/>
          <w:lang w:val="en-GB"/>
        </w:rPr>
        <w:t>The Rule 43 order dated 17 October 2022</w:t>
      </w:r>
    </w:p>
    <w:p w14:paraId="42E65772" w14:textId="77777777" w:rsidR="001F394F" w:rsidRPr="00EE3AF3" w:rsidRDefault="001F394F" w:rsidP="001F394F">
      <w:pPr>
        <w:spacing w:line="360" w:lineRule="auto"/>
        <w:rPr>
          <w:rFonts w:ascii="Arial" w:hAnsi="Arial" w:cs="Arial"/>
          <w:lang w:val="en-GB"/>
        </w:rPr>
      </w:pPr>
    </w:p>
    <w:p w14:paraId="19B57F77" w14:textId="09C05B17" w:rsidR="001F394F" w:rsidRPr="00EE3AF3" w:rsidRDefault="00372B88" w:rsidP="00372B88">
      <w:pPr>
        <w:pStyle w:val="Heading1"/>
        <w:spacing w:before="0" w:after="0" w:line="360" w:lineRule="auto"/>
        <w:ind w:left="360" w:hanging="360"/>
        <w:contextualSpacing/>
        <w:jc w:val="both"/>
        <w:rPr>
          <w:rFonts w:ascii="Arial" w:hAnsi="Arial" w:cs="Arial"/>
          <w:sz w:val="24"/>
          <w:szCs w:val="24"/>
          <w:lang w:val="en-GB"/>
        </w:rPr>
      </w:pPr>
      <w:r w:rsidRPr="00EE3AF3">
        <w:rPr>
          <w:rFonts w:ascii="Arial" w:hAnsi="Arial" w:cs="Arial"/>
          <w:sz w:val="24"/>
          <w:szCs w:val="24"/>
          <w:lang w:val="en-GB"/>
        </w:rPr>
        <w:t>3.</w:t>
      </w:r>
      <w:r w:rsidRPr="00EE3AF3">
        <w:rPr>
          <w:rFonts w:ascii="Arial" w:hAnsi="Arial" w:cs="Arial"/>
          <w:sz w:val="24"/>
          <w:szCs w:val="24"/>
          <w:lang w:val="en-GB"/>
        </w:rPr>
        <w:tab/>
      </w:r>
      <w:r w:rsidR="001F394F" w:rsidRPr="00EE3AF3">
        <w:rPr>
          <w:rFonts w:ascii="Arial" w:hAnsi="Arial" w:cs="Arial"/>
          <w:sz w:val="24"/>
          <w:szCs w:val="24"/>
          <w:lang w:val="en-GB"/>
        </w:rPr>
        <w:t>The applicant and the first respondent were married to each other in terms of Muslim rites on 30 December 2007.  Two minor children were born of the marriage.  The parties separated in April 2020 and divorce proceedings were instituted by the applicant on 25 May 2021.  Those proceedings are pending.</w:t>
      </w:r>
    </w:p>
    <w:p w14:paraId="62E7C3E8" w14:textId="77777777" w:rsidR="001F394F" w:rsidRPr="00EE3AF3" w:rsidRDefault="001F394F" w:rsidP="001F394F">
      <w:pPr>
        <w:pStyle w:val="Heading1"/>
        <w:spacing w:before="0" w:after="0" w:line="360" w:lineRule="auto"/>
        <w:ind w:left="709"/>
        <w:contextualSpacing/>
        <w:jc w:val="both"/>
        <w:rPr>
          <w:rFonts w:ascii="Arial" w:hAnsi="Arial" w:cs="Arial"/>
          <w:sz w:val="24"/>
          <w:szCs w:val="24"/>
          <w:lang w:val="en-GB"/>
        </w:rPr>
      </w:pPr>
    </w:p>
    <w:p w14:paraId="705386A7" w14:textId="67C4F38D" w:rsidR="001F394F" w:rsidRPr="00EE3AF3" w:rsidRDefault="00372B88" w:rsidP="00372B88">
      <w:pPr>
        <w:pStyle w:val="Heading1"/>
        <w:spacing w:before="0" w:after="0" w:line="360" w:lineRule="auto"/>
        <w:ind w:left="360" w:hanging="360"/>
        <w:contextualSpacing/>
        <w:jc w:val="both"/>
        <w:rPr>
          <w:rFonts w:ascii="Arial" w:hAnsi="Arial" w:cs="Arial"/>
          <w:sz w:val="24"/>
          <w:szCs w:val="24"/>
          <w:lang w:val="en-GB"/>
        </w:rPr>
      </w:pPr>
      <w:r w:rsidRPr="00EE3AF3">
        <w:rPr>
          <w:rFonts w:ascii="Arial" w:hAnsi="Arial" w:cs="Arial"/>
          <w:sz w:val="24"/>
          <w:szCs w:val="24"/>
          <w:lang w:val="en-GB"/>
        </w:rPr>
        <w:t>4.</w:t>
      </w:r>
      <w:r w:rsidRPr="00EE3AF3">
        <w:rPr>
          <w:rFonts w:ascii="Arial" w:hAnsi="Arial" w:cs="Arial"/>
          <w:sz w:val="24"/>
          <w:szCs w:val="24"/>
          <w:lang w:val="en-GB"/>
        </w:rPr>
        <w:tab/>
      </w:r>
      <w:r w:rsidR="001F394F" w:rsidRPr="00EE3AF3">
        <w:rPr>
          <w:rFonts w:ascii="Arial" w:hAnsi="Arial" w:cs="Arial"/>
          <w:sz w:val="24"/>
          <w:szCs w:val="24"/>
          <w:lang w:val="en-GB"/>
        </w:rPr>
        <w:t xml:space="preserve">The Rule 43 order that was granted against the first respondent in favour of the applicant directed the first respondent, </w:t>
      </w:r>
      <w:r w:rsidR="001F394F" w:rsidRPr="00EE3AF3">
        <w:rPr>
          <w:rFonts w:ascii="Arial" w:hAnsi="Arial" w:cs="Arial"/>
          <w:i/>
          <w:iCs/>
          <w:sz w:val="24"/>
          <w:szCs w:val="24"/>
          <w:lang w:val="en-GB"/>
        </w:rPr>
        <w:t>inter alia</w:t>
      </w:r>
      <w:r w:rsidR="001F394F" w:rsidRPr="00EE3AF3">
        <w:rPr>
          <w:rFonts w:ascii="Arial" w:hAnsi="Arial" w:cs="Arial"/>
          <w:sz w:val="24"/>
          <w:szCs w:val="24"/>
          <w:lang w:val="en-GB"/>
        </w:rPr>
        <w:t>, to pay on the first day of each month, with effect from 1 November 2022, and free of deduction or set-off, the following:</w:t>
      </w:r>
    </w:p>
    <w:p w14:paraId="4F6199AC" w14:textId="77777777" w:rsidR="001F394F" w:rsidRPr="00EE3AF3" w:rsidRDefault="001F394F" w:rsidP="001F394F">
      <w:pPr>
        <w:pStyle w:val="PlainText"/>
        <w:spacing w:line="360" w:lineRule="auto"/>
        <w:ind w:left="1418"/>
        <w:jc w:val="both"/>
        <w:rPr>
          <w:rFonts w:ascii="Arial" w:hAnsi="Arial" w:cs="Arial"/>
          <w:sz w:val="24"/>
          <w:szCs w:val="24"/>
        </w:rPr>
      </w:pPr>
    </w:p>
    <w:p w14:paraId="6E512FA0" w14:textId="4EECA6B9" w:rsidR="001F394F" w:rsidRPr="00EE3AF3" w:rsidRDefault="00372B88" w:rsidP="00372B88">
      <w:pPr>
        <w:pStyle w:val="PlainText"/>
        <w:spacing w:line="360" w:lineRule="auto"/>
        <w:ind w:left="1418" w:hanging="709"/>
        <w:jc w:val="both"/>
        <w:rPr>
          <w:rFonts w:ascii="Arial" w:hAnsi="Arial" w:cs="Arial"/>
          <w:sz w:val="24"/>
          <w:szCs w:val="24"/>
        </w:rPr>
      </w:pPr>
      <w:r w:rsidRPr="00EE3AF3">
        <w:rPr>
          <w:rFonts w:ascii="Arial" w:hAnsi="Arial" w:cs="Arial"/>
          <w:sz w:val="24"/>
          <w:szCs w:val="24"/>
        </w:rPr>
        <w:t>4.1.</w:t>
      </w:r>
      <w:r w:rsidRPr="00EE3AF3">
        <w:rPr>
          <w:rFonts w:ascii="Arial" w:hAnsi="Arial" w:cs="Arial"/>
          <w:sz w:val="24"/>
          <w:szCs w:val="24"/>
        </w:rPr>
        <w:tab/>
      </w:r>
      <w:r w:rsidR="001F394F" w:rsidRPr="00EE3AF3">
        <w:rPr>
          <w:rFonts w:ascii="Arial" w:hAnsi="Arial" w:cs="Arial"/>
          <w:sz w:val="24"/>
          <w:szCs w:val="24"/>
        </w:rPr>
        <w:t>the sum of R10,000 a month towards the applicant’s personal maintenance;</w:t>
      </w:r>
    </w:p>
    <w:p w14:paraId="3B9D0CA7" w14:textId="77777777" w:rsidR="001F394F" w:rsidRPr="00EE3AF3" w:rsidRDefault="001F394F" w:rsidP="001F394F">
      <w:pPr>
        <w:pStyle w:val="PlainText"/>
        <w:spacing w:line="360" w:lineRule="auto"/>
        <w:ind w:left="709"/>
        <w:jc w:val="both"/>
        <w:rPr>
          <w:rFonts w:ascii="Arial" w:hAnsi="Arial" w:cs="Arial"/>
          <w:sz w:val="24"/>
          <w:szCs w:val="24"/>
        </w:rPr>
      </w:pPr>
    </w:p>
    <w:p w14:paraId="12FB4281" w14:textId="18033A9F" w:rsidR="001F394F" w:rsidRPr="00EE3AF3" w:rsidRDefault="00372B88" w:rsidP="00372B88">
      <w:pPr>
        <w:pStyle w:val="PlainText"/>
        <w:spacing w:line="360" w:lineRule="auto"/>
        <w:ind w:left="1418" w:hanging="709"/>
        <w:jc w:val="both"/>
        <w:rPr>
          <w:rFonts w:ascii="Arial" w:hAnsi="Arial" w:cs="Arial"/>
          <w:sz w:val="24"/>
          <w:szCs w:val="24"/>
        </w:rPr>
      </w:pPr>
      <w:r w:rsidRPr="00EE3AF3">
        <w:rPr>
          <w:rFonts w:ascii="Arial" w:hAnsi="Arial" w:cs="Arial"/>
          <w:sz w:val="24"/>
          <w:szCs w:val="24"/>
        </w:rPr>
        <w:t>4.2.</w:t>
      </w:r>
      <w:r w:rsidRPr="00EE3AF3">
        <w:rPr>
          <w:rFonts w:ascii="Arial" w:hAnsi="Arial" w:cs="Arial"/>
          <w:sz w:val="24"/>
          <w:szCs w:val="24"/>
        </w:rPr>
        <w:tab/>
      </w:r>
      <w:r w:rsidR="001F394F" w:rsidRPr="00EE3AF3">
        <w:rPr>
          <w:rFonts w:ascii="Arial" w:hAnsi="Arial" w:cs="Arial"/>
          <w:sz w:val="24"/>
          <w:szCs w:val="24"/>
        </w:rPr>
        <w:t>the sum of R10,000 per month in respect of the first of the parties’ minor children's maintenance;</w:t>
      </w:r>
    </w:p>
    <w:p w14:paraId="4C330E8D" w14:textId="77777777" w:rsidR="001F394F" w:rsidRPr="00EE3AF3" w:rsidRDefault="001F394F" w:rsidP="001F394F">
      <w:pPr>
        <w:pStyle w:val="PlainText"/>
        <w:spacing w:line="360" w:lineRule="auto"/>
        <w:ind w:left="709"/>
        <w:jc w:val="both"/>
        <w:rPr>
          <w:rFonts w:ascii="Arial" w:hAnsi="Arial" w:cs="Arial"/>
          <w:sz w:val="24"/>
          <w:szCs w:val="24"/>
        </w:rPr>
      </w:pPr>
    </w:p>
    <w:p w14:paraId="5DC22032" w14:textId="0F96673D" w:rsidR="001F394F" w:rsidRPr="00EE3AF3" w:rsidRDefault="00372B88" w:rsidP="00372B88">
      <w:pPr>
        <w:pStyle w:val="PlainText"/>
        <w:spacing w:line="360" w:lineRule="auto"/>
        <w:ind w:left="1418" w:hanging="709"/>
        <w:jc w:val="both"/>
        <w:rPr>
          <w:rFonts w:ascii="Arial" w:hAnsi="Arial" w:cs="Arial"/>
          <w:sz w:val="24"/>
          <w:szCs w:val="24"/>
        </w:rPr>
      </w:pPr>
      <w:r w:rsidRPr="00EE3AF3">
        <w:rPr>
          <w:rFonts w:ascii="Arial" w:hAnsi="Arial" w:cs="Arial"/>
          <w:sz w:val="24"/>
          <w:szCs w:val="24"/>
        </w:rPr>
        <w:t>4.3.</w:t>
      </w:r>
      <w:r w:rsidRPr="00EE3AF3">
        <w:rPr>
          <w:rFonts w:ascii="Arial" w:hAnsi="Arial" w:cs="Arial"/>
          <w:sz w:val="24"/>
          <w:szCs w:val="24"/>
        </w:rPr>
        <w:tab/>
      </w:r>
      <w:r w:rsidR="001F394F" w:rsidRPr="00EE3AF3">
        <w:rPr>
          <w:rFonts w:ascii="Arial" w:hAnsi="Arial" w:cs="Arial"/>
          <w:sz w:val="24"/>
          <w:szCs w:val="24"/>
        </w:rPr>
        <w:t>the sum of R10,000 per month respect of the parties’ second minor child’s maintenance;</w:t>
      </w:r>
    </w:p>
    <w:p w14:paraId="7B5A0A5B" w14:textId="77777777" w:rsidR="001F394F" w:rsidRPr="00EE3AF3" w:rsidRDefault="001F394F" w:rsidP="001F394F">
      <w:pPr>
        <w:pStyle w:val="PlainText"/>
        <w:spacing w:line="360" w:lineRule="auto"/>
        <w:ind w:left="709"/>
        <w:jc w:val="both"/>
        <w:rPr>
          <w:rFonts w:ascii="Arial" w:hAnsi="Arial" w:cs="Arial"/>
          <w:sz w:val="24"/>
          <w:szCs w:val="24"/>
        </w:rPr>
      </w:pPr>
    </w:p>
    <w:p w14:paraId="484C505A" w14:textId="11CD6488" w:rsidR="001F394F" w:rsidRPr="00EE3AF3" w:rsidRDefault="00372B88" w:rsidP="00372B88">
      <w:pPr>
        <w:pStyle w:val="PlainText"/>
        <w:spacing w:line="360" w:lineRule="auto"/>
        <w:ind w:left="1418" w:hanging="709"/>
        <w:jc w:val="both"/>
        <w:rPr>
          <w:rFonts w:ascii="Arial" w:hAnsi="Arial" w:cs="Arial"/>
          <w:sz w:val="24"/>
          <w:szCs w:val="24"/>
        </w:rPr>
      </w:pPr>
      <w:r w:rsidRPr="00EE3AF3">
        <w:rPr>
          <w:rFonts w:ascii="Arial" w:hAnsi="Arial" w:cs="Arial"/>
          <w:sz w:val="24"/>
          <w:szCs w:val="24"/>
        </w:rPr>
        <w:t>4.4.</w:t>
      </w:r>
      <w:r w:rsidRPr="00EE3AF3">
        <w:rPr>
          <w:rFonts w:ascii="Arial" w:hAnsi="Arial" w:cs="Arial"/>
          <w:sz w:val="24"/>
          <w:szCs w:val="24"/>
        </w:rPr>
        <w:tab/>
      </w:r>
      <w:r w:rsidR="001F394F" w:rsidRPr="00EE3AF3">
        <w:rPr>
          <w:rFonts w:ascii="Arial" w:hAnsi="Arial" w:cs="Arial"/>
          <w:sz w:val="24"/>
          <w:szCs w:val="24"/>
        </w:rPr>
        <w:t>the sum of R12,000 per month towards the rent of accommodation for the applicant and the children;</w:t>
      </w:r>
    </w:p>
    <w:p w14:paraId="32B359F3" w14:textId="77777777" w:rsidR="001F394F" w:rsidRPr="00EE3AF3" w:rsidRDefault="001F394F" w:rsidP="001F394F">
      <w:pPr>
        <w:pStyle w:val="PlainText"/>
        <w:spacing w:line="360" w:lineRule="auto"/>
        <w:ind w:left="709"/>
        <w:jc w:val="both"/>
        <w:rPr>
          <w:rFonts w:ascii="Arial" w:hAnsi="Arial" w:cs="Arial"/>
          <w:sz w:val="24"/>
          <w:szCs w:val="24"/>
        </w:rPr>
      </w:pPr>
    </w:p>
    <w:p w14:paraId="258E7D2C" w14:textId="45EF8BA7" w:rsidR="001F394F" w:rsidRPr="00EE3AF3" w:rsidRDefault="00372B88" w:rsidP="00372B88">
      <w:pPr>
        <w:pStyle w:val="PlainText"/>
        <w:spacing w:line="360" w:lineRule="auto"/>
        <w:ind w:left="1418" w:hanging="709"/>
        <w:jc w:val="both"/>
        <w:rPr>
          <w:rFonts w:ascii="Arial" w:hAnsi="Arial" w:cs="Arial"/>
          <w:sz w:val="24"/>
          <w:szCs w:val="24"/>
        </w:rPr>
      </w:pPr>
      <w:r w:rsidRPr="00EE3AF3">
        <w:rPr>
          <w:rFonts w:ascii="Arial" w:hAnsi="Arial" w:cs="Arial"/>
          <w:sz w:val="24"/>
          <w:szCs w:val="24"/>
        </w:rPr>
        <w:t>4.5.</w:t>
      </w:r>
      <w:r w:rsidRPr="00EE3AF3">
        <w:rPr>
          <w:rFonts w:ascii="Arial" w:hAnsi="Arial" w:cs="Arial"/>
          <w:sz w:val="24"/>
          <w:szCs w:val="24"/>
        </w:rPr>
        <w:tab/>
      </w:r>
      <w:r w:rsidR="001F394F" w:rsidRPr="00EE3AF3">
        <w:rPr>
          <w:rFonts w:ascii="Arial" w:hAnsi="Arial" w:cs="Arial"/>
          <w:sz w:val="24"/>
          <w:szCs w:val="24"/>
        </w:rPr>
        <w:t>the monthly instalment on the vehicle used by the applicant: this amount is indicated in the founding papers as being R7,349.49; and</w:t>
      </w:r>
    </w:p>
    <w:p w14:paraId="6664B5CF" w14:textId="77777777" w:rsidR="001F394F" w:rsidRPr="00EE3AF3" w:rsidRDefault="001F394F" w:rsidP="001F394F">
      <w:pPr>
        <w:pStyle w:val="PlainText"/>
        <w:spacing w:line="360" w:lineRule="auto"/>
        <w:ind w:left="709"/>
        <w:jc w:val="both"/>
        <w:rPr>
          <w:rFonts w:ascii="Arial" w:hAnsi="Arial" w:cs="Arial"/>
          <w:sz w:val="24"/>
          <w:szCs w:val="24"/>
        </w:rPr>
      </w:pPr>
    </w:p>
    <w:p w14:paraId="409FA236" w14:textId="231A605D" w:rsidR="001F394F" w:rsidRPr="00EE3AF3" w:rsidRDefault="00372B88" w:rsidP="00372B88">
      <w:pPr>
        <w:pStyle w:val="PlainText"/>
        <w:spacing w:line="360" w:lineRule="auto"/>
        <w:ind w:left="1418" w:hanging="709"/>
        <w:jc w:val="both"/>
        <w:rPr>
          <w:rFonts w:ascii="Arial" w:hAnsi="Arial" w:cs="Arial"/>
          <w:sz w:val="24"/>
          <w:szCs w:val="24"/>
        </w:rPr>
      </w:pPr>
      <w:r w:rsidRPr="00EE3AF3">
        <w:rPr>
          <w:rFonts w:ascii="Arial" w:hAnsi="Arial" w:cs="Arial"/>
          <w:sz w:val="24"/>
          <w:szCs w:val="24"/>
        </w:rPr>
        <w:t>4.6.</w:t>
      </w:r>
      <w:r w:rsidRPr="00EE3AF3">
        <w:rPr>
          <w:rFonts w:ascii="Arial" w:hAnsi="Arial" w:cs="Arial"/>
          <w:sz w:val="24"/>
          <w:szCs w:val="24"/>
        </w:rPr>
        <w:tab/>
      </w:r>
      <w:r w:rsidR="001F394F" w:rsidRPr="00EE3AF3">
        <w:rPr>
          <w:rFonts w:ascii="Arial" w:hAnsi="Arial" w:cs="Arial"/>
          <w:sz w:val="24"/>
          <w:szCs w:val="24"/>
        </w:rPr>
        <w:t>the sum of R5,300 per month, being the amount agreed to as repayment of the applicant’s credit card and loan debt as dealt with in the application under rule 43.</w:t>
      </w:r>
    </w:p>
    <w:p w14:paraId="471ECD8E" w14:textId="77777777" w:rsidR="001F394F" w:rsidRPr="00EE3AF3" w:rsidRDefault="001F394F" w:rsidP="001F394F">
      <w:pPr>
        <w:pStyle w:val="Heading1"/>
        <w:spacing w:before="0" w:after="0" w:line="360" w:lineRule="auto"/>
        <w:ind w:left="709"/>
        <w:contextualSpacing/>
        <w:jc w:val="both"/>
        <w:rPr>
          <w:rFonts w:ascii="Arial" w:hAnsi="Arial" w:cs="Arial"/>
          <w:sz w:val="24"/>
          <w:szCs w:val="24"/>
          <w:lang w:val="en-GB"/>
        </w:rPr>
      </w:pPr>
    </w:p>
    <w:p w14:paraId="03C0958F" w14:textId="74029BA8" w:rsidR="001F394F" w:rsidRPr="00EE3AF3" w:rsidRDefault="00372B88" w:rsidP="00372B88">
      <w:pPr>
        <w:pStyle w:val="Heading1"/>
        <w:spacing w:before="0" w:after="0" w:line="360" w:lineRule="auto"/>
        <w:ind w:left="360" w:hanging="360"/>
        <w:contextualSpacing/>
        <w:jc w:val="both"/>
        <w:rPr>
          <w:rFonts w:ascii="Arial" w:hAnsi="Arial" w:cs="Arial"/>
          <w:sz w:val="24"/>
          <w:szCs w:val="24"/>
          <w:lang w:val="en-GB"/>
        </w:rPr>
      </w:pPr>
      <w:r w:rsidRPr="00EE3AF3">
        <w:rPr>
          <w:rFonts w:ascii="Arial" w:hAnsi="Arial" w:cs="Arial"/>
          <w:sz w:val="24"/>
          <w:szCs w:val="24"/>
          <w:lang w:val="en-GB"/>
        </w:rPr>
        <w:t>5.</w:t>
      </w:r>
      <w:r w:rsidRPr="00EE3AF3">
        <w:rPr>
          <w:rFonts w:ascii="Arial" w:hAnsi="Arial" w:cs="Arial"/>
          <w:sz w:val="24"/>
          <w:szCs w:val="24"/>
          <w:lang w:val="en-GB"/>
        </w:rPr>
        <w:tab/>
      </w:r>
      <w:r w:rsidR="001F394F" w:rsidRPr="00EE3AF3">
        <w:rPr>
          <w:rFonts w:ascii="Arial" w:hAnsi="Arial" w:cs="Arial"/>
          <w:sz w:val="24"/>
          <w:szCs w:val="24"/>
          <w:lang w:val="en-GB"/>
        </w:rPr>
        <w:t>On 19 October 2022 the first respondent requested written reasons for the Rule 43 order.  According to the applicant, the first respondent made certain selective payments in terms of the order from 1 November 2022 onwards, but did not fulfil all of his obligations thereunder.</w:t>
      </w:r>
    </w:p>
    <w:p w14:paraId="0E3641AE" w14:textId="77777777" w:rsidR="001F394F" w:rsidRPr="00EE3AF3" w:rsidRDefault="001F394F" w:rsidP="001F394F">
      <w:pPr>
        <w:pStyle w:val="Heading1"/>
        <w:spacing w:before="0" w:after="0" w:line="360" w:lineRule="auto"/>
        <w:ind w:left="709"/>
        <w:contextualSpacing/>
        <w:jc w:val="both"/>
        <w:rPr>
          <w:rFonts w:ascii="Arial" w:hAnsi="Arial" w:cs="Arial"/>
          <w:sz w:val="24"/>
          <w:szCs w:val="24"/>
          <w:lang w:val="en-GB"/>
        </w:rPr>
      </w:pPr>
    </w:p>
    <w:p w14:paraId="52826290" w14:textId="77D65187" w:rsidR="001F394F" w:rsidRPr="00EE3AF3" w:rsidRDefault="00372B88" w:rsidP="00372B88">
      <w:pPr>
        <w:pStyle w:val="Heading1"/>
        <w:spacing w:before="0" w:after="0" w:line="360" w:lineRule="auto"/>
        <w:ind w:left="360" w:hanging="360"/>
        <w:contextualSpacing/>
        <w:jc w:val="both"/>
        <w:rPr>
          <w:rFonts w:ascii="Arial" w:hAnsi="Arial" w:cs="Arial"/>
          <w:sz w:val="24"/>
          <w:szCs w:val="24"/>
          <w:lang w:val="en-GB"/>
        </w:rPr>
      </w:pPr>
      <w:r w:rsidRPr="00EE3AF3">
        <w:rPr>
          <w:rFonts w:ascii="Arial" w:hAnsi="Arial" w:cs="Arial"/>
          <w:sz w:val="24"/>
          <w:szCs w:val="24"/>
          <w:lang w:val="en-GB"/>
        </w:rPr>
        <w:t>6.</w:t>
      </w:r>
      <w:r w:rsidRPr="00EE3AF3">
        <w:rPr>
          <w:rFonts w:ascii="Arial" w:hAnsi="Arial" w:cs="Arial"/>
          <w:sz w:val="24"/>
          <w:szCs w:val="24"/>
          <w:lang w:val="en-GB"/>
        </w:rPr>
        <w:tab/>
      </w:r>
      <w:r w:rsidR="001F394F" w:rsidRPr="00EE3AF3">
        <w:rPr>
          <w:rFonts w:ascii="Arial" w:hAnsi="Arial" w:cs="Arial"/>
          <w:sz w:val="24"/>
          <w:szCs w:val="24"/>
          <w:lang w:val="en-GB"/>
        </w:rPr>
        <w:t xml:space="preserve">As a result, on 2 November 2022 the applicant’s attorney addressed a letter to the first respondent’s attorney, seeking proper </w:t>
      </w:r>
      <w:r w:rsidR="001F394F">
        <w:rPr>
          <w:rFonts w:ascii="Arial" w:hAnsi="Arial" w:cs="Arial"/>
          <w:sz w:val="24"/>
          <w:szCs w:val="24"/>
          <w:lang w:val="en-GB"/>
        </w:rPr>
        <w:t>compliance with</w:t>
      </w:r>
      <w:r w:rsidR="001F394F" w:rsidRPr="00EE3AF3">
        <w:rPr>
          <w:rFonts w:ascii="Arial" w:hAnsi="Arial" w:cs="Arial"/>
          <w:sz w:val="24"/>
          <w:szCs w:val="24"/>
          <w:lang w:val="en-GB"/>
        </w:rPr>
        <w:t xml:space="preserve"> the order.</w:t>
      </w:r>
    </w:p>
    <w:p w14:paraId="6F0C0A8C" w14:textId="77777777" w:rsidR="001F394F" w:rsidRPr="00EE3AF3" w:rsidRDefault="001F394F" w:rsidP="001F394F">
      <w:pPr>
        <w:spacing w:line="360" w:lineRule="auto"/>
        <w:rPr>
          <w:rFonts w:ascii="Arial" w:hAnsi="Arial" w:cs="Arial"/>
          <w:lang w:val="en-GB"/>
        </w:rPr>
      </w:pPr>
    </w:p>
    <w:p w14:paraId="3BFD8DB4" w14:textId="6DB5F073" w:rsidR="001F394F" w:rsidRPr="00EE3AF3" w:rsidRDefault="00372B88" w:rsidP="00372B88">
      <w:pPr>
        <w:pStyle w:val="Heading1"/>
        <w:spacing w:before="0" w:after="0" w:line="360" w:lineRule="auto"/>
        <w:ind w:left="360" w:hanging="360"/>
        <w:contextualSpacing/>
        <w:jc w:val="both"/>
        <w:rPr>
          <w:rFonts w:ascii="Arial" w:hAnsi="Arial" w:cs="Arial"/>
          <w:sz w:val="24"/>
          <w:szCs w:val="24"/>
          <w:lang w:val="en-GB"/>
        </w:rPr>
      </w:pPr>
      <w:r w:rsidRPr="00EE3AF3">
        <w:rPr>
          <w:rFonts w:ascii="Arial" w:hAnsi="Arial" w:cs="Arial"/>
          <w:sz w:val="24"/>
          <w:szCs w:val="24"/>
          <w:lang w:val="en-GB"/>
        </w:rPr>
        <w:t>7.</w:t>
      </w:r>
      <w:r w:rsidRPr="00EE3AF3">
        <w:rPr>
          <w:rFonts w:ascii="Arial" w:hAnsi="Arial" w:cs="Arial"/>
          <w:sz w:val="24"/>
          <w:szCs w:val="24"/>
          <w:lang w:val="en-GB"/>
        </w:rPr>
        <w:tab/>
      </w:r>
      <w:r w:rsidR="001F394F" w:rsidRPr="00EE3AF3">
        <w:rPr>
          <w:rFonts w:ascii="Arial" w:hAnsi="Arial" w:cs="Arial"/>
          <w:sz w:val="24"/>
          <w:szCs w:val="24"/>
          <w:lang w:val="en-GB"/>
        </w:rPr>
        <w:t xml:space="preserve">The day thereafter, on 4 November 2022, the first respondent delivered notice of an application for leave to appeal against the Rule 43 order.  The first respondent contended in the application that the interests of justice demanded that leave to appeal be granted.  The specific circumstances that were relied upon for this contention were not set out.  The first respondent indicated in the application </w:t>
      </w:r>
      <w:r w:rsidR="001F394F">
        <w:rPr>
          <w:rFonts w:ascii="Arial" w:hAnsi="Arial" w:cs="Arial"/>
          <w:sz w:val="24"/>
          <w:szCs w:val="24"/>
          <w:lang w:val="en-GB"/>
        </w:rPr>
        <w:t xml:space="preserve">for leave to appeal </w:t>
      </w:r>
      <w:r w:rsidR="001F394F" w:rsidRPr="00EE3AF3">
        <w:rPr>
          <w:rFonts w:ascii="Arial" w:hAnsi="Arial" w:cs="Arial"/>
          <w:sz w:val="24"/>
          <w:szCs w:val="24"/>
          <w:lang w:val="en-GB"/>
        </w:rPr>
        <w:t xml:space="preserve">that </w:t>
      </w:r>
      <w:r w:rsidR="001F394F">
        <w:rPr>
          <w:rFonts w:ascii="Arial" w:hAnsi="Arial" w:cs="Arial"/>
          <w:sz w:val="24"/>
          <w:szCs w:val="24"/>
          <w:lang w:val="en-GB"/>
        </w:rPr>
        <w:t>such</w:t>
      </w:r>
      <w:r w:rsidR="001F394F" w:rsidRPr="00EE3AF3">
        <w:rPr>
          <w:rFonts w:ascii="Arial" w:hAnsi="Arial" w:cs="Arial"/>
          <w:sz w:val="24"/>
          <w:szCs w:val="24"/>
          <w:lang w:val="en-GB"/>
        </w:rPr>
        <w:t xml:space="preserve"> application would be supplemented once the reasons for the grant of the Rule 43 were available.</w:t>
      </w:r>
    </w:p>
    <w:p w14:paraId="0931FB26" w14:textId="77777777" w:rsidR="001F394F" w:rsidRPr="00EE3AF3" w:rsidRDefault="001F394F" w:rsidP="001F394F">
      <w:pPr>
        <w:spacing w:line="360" w:lineRule="auto"/>
        <w:rPr>
          <w:rFonts w:ascii="Arial" w:hAnsi="Arial" w:cs="Arial"/>
          <w:lang w:val="en-GB"/>
        </w:rPr>
      </w:pPr>
    </w:p>
    <w:p w14:paraId="5D7CA297" w14:textId="575B897A" w:rsidR="001F394F" w:rsidRPr="00EE3AF3" w:rsidRDefault="00372B88" w:rsidP="00372B88">
      <w:pPr>
        <w:pStyle w:val="Heading1"/>
        <w:spacing w:before="0" w:after="0" w:line="360" w:lineRule="auto"/>
        <w:ind w:left="360" w:hanging="360"/>
        <w:contextualSpacing/>
        <w:jc w:val="both"/>
        <w:rPr>
          <w:rFonts w:ascii="Arial" w:hAnsi="Arial" w:cs="Arial"/>
          <w:sz w:val="24"/>
          <w:szCs w:val="24"/>
          <w:lang w:val="en-GB"/>
        </w:rPr>
      </w:pPr>
      <w:r w:rsidRPr="00EE3AF3">
        <w:rPr>
          <w:rFonts w:ascii="Arial" w:hAnsi="Arial" w:cs="Arial"/>
          <w:sz w:val="24"/>
          <w:szCs w:val="24"/>
          <w:lang w:val="en-GB"/>
        </w:rPr>
        <w:t>8.</w:t>
      </w:r>
      <w:r w:rsidRPr="00EE3AF3">
        <w:rPr>
          <w:rFonts w:ascii="Arial" w:hAnsi="Arial" w:cs="Arial"/>
          <w:sz w:val="24"/>
          <w:szCs w:val="24"/>
          <w:lang w:val="en-GB"/>
        </w:rPr>
        <w:tab/>
      </w:r>
      <w:r w:rsidR="001F394F" w:rsidRPr="00EE3AF3">
        <w:rPr>
          <w:rFonts w:ascii="Arial" w:hAnsi="Arial" w:cs="Arial"/>
          <w:sz w:val="24"/>
          <w:szCs w:val="24"/>
          <w:lang w:val="en-GB"/>
        </w:rPr>
        <w:t>No further steps have since been taken in relation to the application for leave to appeal.</w:t>
      </w:r>
    </w:p>
    <w:p w14:paraId="11766721" w14:textId="77777777" w:rsidR="001F394F" w:rsidRPr="00EE3AF3" w:rsidRDefault="001F394F" w:rsidP="001F394F">
      <w:pPr>
        <w:pStyle w:val="Heading1"/>
        <w:spacing w:before="0" w:after="0" w:line="360" w:lineRule="auto"/>
        <w:ind w:left="709"/>
        <w:contextualSpacing/>
        <w:jc w:val="both"/>
        <w:rPr>
          <w:rFonts w:ascii="Arial" w:hAnsi="Arial" w:cs="Arial"/>
          <w:sz w:val="24"/>
          <w:szCs w:val="24"/>
          <w:lang w:val="en-GB"/>
        </w:rPr>
      </w:pPr>
    </w:p>
    <w:p w14:paraId="065F2287" w14:textId="77777777" w:rsidR="001F394F" w:rsidRPr="00EE3AF3" w:rsidRDefault="001F394F" w:rsidP="001F394F">
      <w:pPr>
        <w:widowControl w:val="0"/>
        <w:spacing w:line="360" w:lineRule="auto"/>
        <w:contextualSpacing/>
        <w:jc w:val="both"/>
        <w:rPr>
          <w:rFonts w:ascii="Arial" w:hAnsi="Arial" w:cs="Arial"/>
          <w:b/>
          <w:bCs/>
          <w:u w:val="single"/>
          <w:lang w:val="en-GB"/>
        </w:rPr>
      </w:pPr>
      <w:r w:rsidRPr="00EE3AF3">
        <w:rPr>
          <w:rFonts w:ascii="Arial" w:hAnsi="Arial" w:cs="Arial"/>
          <w:b/>
          <w:bCs/>
          <w:u w:val="single"/>
          <w:lang w:val="en-GB"/>
        </w:rPr>
        <w:t>The irregular step application</w:t>
      </w:r>
    </w:p>
    <w:p w14:paraId="0ABC37BD" w14:textId="77777777" w:rsidR="001F394F" w:rsidRPr="00EE3AF3" w:rsidRDefault="001F394F" w:rsidP="001F394F">
      <w:pPr>
        <w:widowControl w:val="0"/>
        <w:spacing w:line="360" w:lineRule="auto"/>
        <w:contextualSpacing/>
        <w:jc w:val="both"/>
        <w:rPr>
          <w:rFonts w:ascii="Arial" w:hAnsi="Arial" w:cs="Arial"/>
          <w:lang w:val="en-GB"/>
        </w:rPr>
      </w:pPr>
    </w:p>
    <w:p w14:paraId="71B304F4" w14:textId="5D5D1781"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9.</w:t>
      </w:r>
      <w:r w:rsidRPr="00EE3AF3">
        <w:rPr>
          <w:rFonts w:ascii="Arial" w:hAnsi="Arial" w:cs="Arial"/>
          <w:lang w:val="en-GB"/>
        </w:rPr>
        <w:tab/>
      </w:r>
      <w:r w:rsidR="001F394F" w:rsidRPr="00372B88">
        <w:rPr>
          <w:rFonts w:ascii="Arial" w:hAnsi="Arial" w:cs="Arial"/>
          <w:lang w:val="en-GB"/>
        </w:rPr>
        <w:t>On 12 December 2022 the applicant delivered a notice in terms of Rule 30(2)(b) in terms of which the first respondent was requested to withdraw the notice of application for leave to appeal.</w:t>
      </w:r>
    </w:p>
    <w:p w14:paraId="7BD206CA" w14:textId="77777777" w:rsidR="001F394F" w:rsidRPr="00EE3AF3" w:rsidRDefault="001F394F" w:rsidP="001F394F">
      <w:pPr>
        <w:pStyle w:val="ListParagraph"/>
        <w:widowControl w:val="0"/>
        <w:spacing w:line="360" w:lineRule="auto"/>
        <w:ind w:left="709"/>
        <w:jc w:val="both"/>
        <w:rPr>
          <w:rFonts w:ascii="Arial" w:hAnsi="Arial" w:cs="Arial"/>
          <w:lang w:val="en-GB"/>
        </w:rPr>
      </w:pPr>
    </w:p>
    <w:p w14:paraId="435B60DA" w14:textId="08CC6701"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10.</w:t>
      </w:r>
      <w:r w:rsidRPr="00EE3AF3">
        <w:rPr>
          <w:rFonts w:ascii="Arial" w:hAnsi="Arial" w:cs="Arial"/>
          <w:lang w:val="en-GB"/>
        </w:rPr>
        <w:tab/>
      </w:r>
      <w:r w:rsidR="001F394F" w:rsidRPr="00372B88">
        <w:rPr>
          <w:rFonts w:ascii="Arial" w:hAnsi="Arial" w:cs="Arial"/>
          <w:lang w:val="en-GB"/>
        </w:rPr>
        <w:t xml:space="preserve">The application now before me, which includes an application in terms of Rule 30(1), was launched the next day, on 13 December 2022, the applicant stating that her financial circumstances were so dire that she could not wait to see if the first </w:t>
      </w:r>
      <w:r w:rsidR="001F394F" w:rsidRPr="00372B88">
        <w:rPr>
          <w:rFonts w:ascii="Arial" w:hAnsi="Arial" w:cs="Arial"/>
          <w:lang w:val="en-GB"/>
        </w:rPr>
        <w:lastRenderedPageBreak/>
        <w:t xml:space="preserve">respondent would withdraw his application for leave to appeal. </w:t>
      </w:r>
    </w:p>
    <w:p w14:paraId="239F7393" w14:textId="77777777" w:rsidR="001F394F" w:rsidRPr="00EE3AF3" w:rsidRDefault="001F394F" w:rsidP="001F394F">
      <w:pPr>
        <w:pStyle w:val="ListParagraph"/>
        <w:spacing w:line="360" w:lineRule="auto"/>
        <w:rPr>
          <w:rFonts w:ascii="Arial" w:hAnsi="Arial" w:cs="Arial"/>
          <w:lang w:val="en-GB"/>
        </w:rPr>
      </w:pPr>
    </w:p>
    <w:p w14:paraId="372182DA" w14:textId="50DD9508"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11.</w:t>
      </w:r>
      <w:r w:rsidRPr="00EE3AF3">
        <w:rPr>
          <w:rFonts w:ascii="Arial" w:hAnsi="Arial" w:cs="Arial"/>
          <w:lang w:val="en-GB"/>
        </w:rPr>
        <w:tab/>
      </w:r>
      <w:r w:rsidR="001F394F" w:rsidRPr="00372B88">
        <w:rPr>
          <w:rFonts w:ascii="Arial" w:hAnsi="Arial" w:cs="Arial"/>
          <w:lang w:val="en-GB"/>
        </w:rPr>
        <w:t>The first respondent points out, correctly, that the Rule 30(1) application was brought prematurely, in that the ten-day period prescribed in Rule 30(2)(b) had not elapsed prior to its institution.  The Rule 30(2)(b) notice, moreover, was delivered more than ten days after the notice of application for leave to appeal had been delivered on 4 November 2022.  Is this Court at liberty to condone these instances of non-compliance with the Rules?  I deal with this issue further below.</w:t>
      </w:r>
    </w:p>
    <w:p w14:paraId="1BA5C4BB" w14:textId="77777777" w:rsidR="001F394F" w:rsidRPr="00EE3AF3" w:rsidRDefault="001F394F" w:rsidP="001F394F">
      <w:pPr>
        <w:pStyle w:val="ListParagraph"/>
        <w:widowControl w:val="0"/>
        <w:spacing w:line="360" w:lineRule="auto"/>
        <w:ind w:left="709"/>
        <w:jc w:val="both"/>
        <w:rPr>
          <w:rFonts w:ascii="Arial" w:hAnsi="Arial" w:cs="Arial"/>
          <w:lang w:val="en-GB"/>
        </w:rPr>
      </w:pPr>
    </w:p>
    <w:p w14:paraId="4179041D" w14:textId="5FDD963D"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12.</w:t>
      </w:r>
      <w:r w:rsidRPr="00EE3AF3">
        <w:rPr>
          <w:rFonts w:ascii="Arial" w:hAnsi="Arial" w:cs="Arial"/>
          <w:lang w:val="en-GB"/>
        </w:rPr>
        <w:tab/>
      </w:r>
      <w:r w:rsidR="001F394F" w:rsidRPr="00372B88">
        <w:rPr>
          <w:rFonts w:ascii="Arial" w:hAnsi="Arial" w:cs="Arial"/>
          <w:lang w:val="en-GB"/>
        </w:rPr>
        <w:t>The applicant argues that the delivery of the notice of application for leave to appeal constitutes an irregular step for the following reasons.</w:t>
      </w:r>
    </w:p>
    <w:p w14:paraId="5A9F9FA1" w14:textId="77777777" w:rsidR="001F394F" w:rsidRPr="00EE3AF3" w:rsidRDefault="001F394F" w:rsidP="001F394F">
      <w:pPr>
        <w:pStyle w:val="ListParagraph"/>
        <w:spacing w:line="360" w:lineRule="auto"/>
        <w:rPr>
          <w:rFonts w:ascii="Arial" w:hAnsi="Arial" w:cs="Arial"/>
          <w:lang w:val="en-GB"/>
        </w:rPr>
      </w:pPr>
    </w:p>
    <w:p w14:paraId="38BBCE30" w14:textId="6092320E"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13.</w:t>
      </w:r>
      <w:r w:rsidRPr="00EE3AF3">
        <w:rPr>
          <w:rFonts w:ascii="Arial" w:hAnsi="Arial" w:cs="Arial"/>
          <w:lang w:val="en-GB"/>
        </w:rPr>
        <w:tab/>
      </w:r>
      <w:r w:rsidR="001F394F" w:rsidRPr="00372B88">
        <w:rPr>
          <w:rFonts w:ascii="Arial" w:hAnsi="Arial" w:cs="Arial"/>
          <w:lang w:val="en-GB"/>
        </w:rPr>
        <w:t xml:space="preserve">It is settled law that a Rule 43 order is not appealable.  In terms of section 16(3) of the Superior Courts Act 10 of 2013 an order for interim maintenance cannot be appealed.  The applicant referred to the matter of </w:t>
      </w:r>
      <w:r w:rsidR="001F394F" w:rsidRPr="00372B88">
        <w:rPr>
          <w:rFonts w:ascii="Arial" w:hAnsi="Arial" w:cs="Arial"/>
          <w:i/>
          <w:iCs/>
          <w:lang w:val="en-GB"/>
        </w:rPr>
        <w:t xml:space="preserve">S </w:t>
      </w:r>
      <w:proofErr w:type="gramStart"/>
      <w:r w:rsidR="001F394F" w:rsidRPr="00372B88">
        <w:rPr>
          <w:rFonts w:ascii="Arial" w:hAnsi="Arial" w:cs="Arial"/>
          <w:i/>
          <w:iCs/>
          <w:lang w:val="en-GB"/>
        </w:rPr>
        <w:t>v</w:t>
      </w:r>
      <w:proofErr w:type="gramEnd"/>
      <w:r w:rsidR="001F394F" w:rsidRPr="00372B88">
        <w:rPr>
          <w:rFonts w:ascii="Arial" w:hAnsi="Arial" w:cs="Arial"/>
          <w:i/>
          <w:iCs/>
          <w:lang w:val="en-GB"/>
        </w:rPr>
        <w:t xml:space="preserve"> S</w:t>
      </w:r>
      <w:r w:rsidR="001F394F" w:rsidRPr="00372B88">
        <w:rPr>
          <w:rFonts w:ascii="Arial" w:hAnsi="Arial" w:cs="Arial"/>
          <w:lang w:val="en-GB"/>
        </w:rPr>
        <w:t xml:space="preserve"> 2019 (6) SA 1 (CC), in which the Constitutional Court upheld the constitutional validity of section 16(3).</w:t>
      </w:r>
    </w:p>
    <w:p w14:paraId="17E1D418" w14:textId="77777777" w:rsidR="001F394F" w:rsidRPr="00EE3AF3" w:rsidRDefault="001F394F" w:rsidP="001F394F">
      <w:pPr>
        <w:pStyle w:val="ListParagraph"/>
        <w:spacing w:line="360" w:lineRule="auto"/>
        <w:jc w:val="both"/>
        <w:rPr>
          <w:rFonts w:ascii="Arial" w:hAnsi="Arial" w:cs="Arial"/>
          <w:lang w:val="en-GB"/>
        </w:rPr>
      </w:pPr>
    </w:p>
    <w:p w14:paraId="4D92493A" w14:textId="18BE3E17"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lang w:val="en-ZA"/>
        </w:rPr>
      </w:pPr>
      <w:r w:rsidRPr="00EE3AF3">
        <w:rPr>
          <w:rFonts w:ascii="Arial" w:hAnsi="Arial" w:cs="Arial"/>
          <w:lang w:val="en-ZA"/>
        </w:rPr>
        <w:t>14.</w:t>
      </w:r>
      <w:r w:rsidRPr="00EE3AF3">
        <w:rPr>
          <w:rFonts w:ascii="Arial" w:hAnsi="Arial" w:cs="Arial"/>
          <w:lang w:val="en-ZA"/>
        </w:rPr>
        <w:tab/>
      </w:r>
      <w:r w:rsidR="001F394F" w:rsidRPr="00EE3AF3">
        <w:rPr>
          <w:rFonts w:ascii="Arial" w:hAnsi="Arial" w:cs="Arial"/>
        </w:rPr>
        <w:t xml:space="preserve">At para [33] the Court disagreed with the argument </w:t>
      </w:r>
      <w:r w:rsidR="001F394F" w:rsidRPr="00EE3AF3">
        <w:rPr>
          <w:rFonts w:ascii="Arial" w:hAnsi="Arial" w:cs="Arial"/>
          <w:lang w:val="en-GB"/>
        </w:rPr>
        <w:t>that the expeditious and inexpensive relief afforded by Rule 43 could never trump a litigant’s right to an appeal in matters involving children.  The Court held that “</w:t>
      </w:r>
      <w:r w:rsidR="001F394F" w:rsidRPr="00EE3AF3">
        <w:rPr>
          <w:rFonts w:ascii="Arial" w:hAnsi="Arial" w:cs="Arial"/>
          <w:i/>
          <w:iCs/>
          <w:lang w:val="en-GB"/>
        </w:rPr>
        <w:t>these submissions ignore the detrimental impact that delayed maintenance payments may have on children.  This far outweighs the danger of an erroneous interim order.</w:t>
      </w:r>
      <w:r w:rsidR="001F394F" w:rsidRPr="00EE3AF3">
        <w:rPr>
          <w:rFonts w:ascii="Arial" w:hAnsi="Arial" w:cs="Arial"/>
          <w:lang w:val="en-GB"/>
        </w:rPr>
        <w:t>”</w:t>
      </w:r>
    </w:p>
    <w:p w14:paraId="00100BDE" w14:textId="77777777" w:rsidR="001F394F" w:rsidRPr="00EE3AF3" w:rsidRDefault="001F394F" w:rsidP="001F394F">
      <w:pPr>
        <w:pStyle w:val="NormalWeb"/>
        <w:shd w:val="clear" w:color="auto" w:fill="FFFFFF"/>
        <w:spacing w:line="360" w:lineRule="auto"/>
        <w:ind w:left="709"/>
        <w:jc w:val="both"/>
        <w:rPr>
          <w:rFonts w:ascii="Arial" w:hAnsi="Arial" w:cs="Arial"/>
        </w:rPr>
      </w:pPr>
    </w:p>
    <w:p w14:paraId="02A3F64E" w14:textId="62CACA42"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rPr>
      </w:pPr>
      <w:r w:rsidRPr="00EE3AF3">
        <w:rPr>
          <w:rFonts w:ascii="Arial" w:hAnsi="Arial" w:cs="Arial"/>
        </w:rPr>
        <w:t>15.</w:t>
      </w:r>
      <w:r w:rsidRPr="00EE3AF3">
        <w:rPr>
          <w:rFonts w:ascii="Arial" w:hAnsi="Arial" w:cs="Arial"/>
        </w:rPr>
        <w:tab/>
      </w:r>
      <w:r w:rsidR="001F394F" w:rsidRPr="00EE3AF3">
        <w:rPr>
          <w:rFonts w:ascii="Arial" w:hAnsi="Arial" w:cs="Arial"/>
        </w:rPr>
        <w:t>The Court proceeded in paras [34] and [35]:</w:t>
      </w:r>
    </w:p>
    <w:p w14:paraId="672CB9B8" w14:textId="77777777" w:rsidR="001F394F" w:rsidRPr="00EE3AF3" w:rsidRDefault="001F394F" w:rsidP="001F394F">
      <w:pPr>
        <w:pStyle w:val="NormalWeb"/>
        <w:shd w:val="clear" w:color="auto" w:fill="FFFFFF"/>
        <w:spacing w:line="360" w:lineRule="auto"/>
        <w:ind w:left="709"/>
        <w:jc w:val="both"/>
        <w:rPr>
          <w:rFonts w:ascii="Arial" w:hAnsi="Arial" w:cs="Arial"/>
          <w:i/>
          <w:iCs/>
        </w:rPr>
      </w:pPr>
    </w:p>
    <w:p w14:paraId="39DDB5DC" w14:textId="77777777" w:rsidR="001F394F" w:rsidRPr="00EE3AF3" w:rsidRDefault="001F394F" w:rsidP="001F394F">
      <w:pPr>
        <w:pStyle w:val="NormalWeb"/>
        <w:shd w:val="clear" w:color="auto" w:fill="FFFFFF"/>
        <w:spacing w:line="360" w:lineRule="auto"/>
        <w:ind w:left="709"/>
        <w:jc w:val="both"/>
        <w:rPr>
          <w:rFonts w:ascii="Arial" w:hAnsi="Arial" w:cs="Arial"/>
          <w:i/>
          <w:iCs/>
        </w:rPr>
      </w:pPr>
      <w:r w:rsidRPr="00EE3AF3">
        <w:rPr>
          <w:rFonts w:ascii="Arial" w:hAnsi="Arial" w:cs="Arial"/>
          <w:i/>
          <w:iCs/>
        </w:rPr>
        <w:t xml:space="preserve">“[34] </w:t>
      </w:r>
      <w:r w:rsidRPr="00EE3AF3">
        <w:rPr>
          <w:rFonts w:ascii="Arial" w:hAnsi="Arial" w:cs="Arial"/>
          <w:i/>
          <w:iCs/>
          <w:lang w:val="en-GB"/>
        </w:rPr>
        <w:t>In any event, should any rule 43 order be contrary to the best interests of a child, this can be immediately rectified.  The High Court regularly hears, on an urgent basis, applications where it is alleged that the best interests of the child are under threat. Such a matter will be treated with the urgency it deserves, irrespective of any previous orders made in terms of rule 43.</w:t>
      </w:r>
    </w:p>
    <w:p w14:paraId="24BEA189" w14:textId="77777777" w:rsidR="006E61B6" w:rsidRDefault="006E61B6" w:rsidP="001F394F">
      <w:pPr>
        <w:pStyle w:val="NormalWeb"/>
        <w:shd w:val="clear" w:color="auto" w:fill="FFFFFF"/>
        <w:spacing w:line="360" w:lineRule="auto"/>
        <w:ind w:left="709"/>
        <w:jc w:val="both"/>
        <w:rPr>
          <w:rFonts w:ascii="Arial" w:hAnsi="Arial" w:cs="Arial"/>
          <w:i/>
          <w:iCs/>
        </w:rPr>
      </w:pPr>
    </w:p>
    <w:p w14:paraId="09967D69" w14:textId="3D69F3E6" w:rsidR="001F394F" w:rsidRPr="00EE3AF3" w:rsidRDefault="001F394F" w:rsidP="001F394F">
      <w:pPr>
        <w:pStyle w:val="NormalWeb"/>
        <w:shd w:val="clear" w:color="auto" w:fill="FFFFFF"/>
        <w:spacing w:line="360" w:lineRule="auto"/>
        <w:ind w:left="709"/>
        <w:jc w:val="both"/>
        <w:rPr>
          <w:rFonts w:ascii="Arial" w:hAnsi="Arial" w:cs="Arial"/>
        </w:rPr>
      </w:pPr>
      <w:r w:rsidRPr="00EE3AF3">
        <w:rPr>
          <w:rFonts w:ascii="Arial" w:hAnsi="Arial" w:cs="Arial"/>
          <w:i/>
          <w:iCs/>
        </w:rPr>
        <w:t xml:space="preserve">[35] An appeal process that is subject to endless delays and protracted litigation will inevitably play into the hands of the litigant who is better resourced.  It is therefore </w:t>
      </w:r>
      <w:r w:rsidRPr="00EE3AF3">
        <w:rPr>
          <w:rFonts w:ascii="Arial" w:hAnsi="Arial" w:cs="Arial"/>
          <w:i/>
          <w:iCs/>
        </w:rPr>
        <w:lastRenderedPageBreak/>
        <w:t>inconceivable that it can ever be in the best interest of the most vulnerable members of our society, the children.</w:t>
      </w:r>
      <w:r w:rsidRPr="00EE3AF3">
        <w:rPr>
          <w:rFonts w:ascii="Arial" w:hAnsi="Arial" w:cs="Arial"/>
        </w:rPr>
        <w:t>”</w:t>
      </w:r>
    </w:p>
    <w:p w14:paraId="6D55D95E" w14:textId="77777777" w:rsidR="001F394F" w:rsidRPr="00EE3AF3" w:rsidRDefault="001F394F" w:rsidP="001F394F">
      <w:pPr>
        <w:pStyle w:val="NormalWeb"/>
        <w:shd w:val="clear" w:color="auto" w:fill="FFFFFF"/>
        <w:spacing w:line="360" w:lineRule="auto"/>
        <w:ind w:left="709"/>
        <w:jc w:val="both"/>
        <w:rPr>
          <w:rFonts w:ascii="Arial" w:hAnsi="Arial" w:cs="Arial"/>
        </w:rPr>
      </w:pPr>
    </w:p>
    <w:p w14:paraId="1180DC25" w14:textId="7440535B"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rPr>
      </w:pPr>
      <w:r w:rsidRPr="00EE3AF3">
        <w:rPr>
          <w:rFonts w:ascii="Arial" w:hAnsi="Arial" w:cs="Arial"/>
        </w:rPr>
        <w:t>16.</w:t>
      </w:r>
      <w:r w:rsidRPr="00EE3AF3">
        <w:rPr>
          <w:rFonts w:ascii="Arial" w:hAnsi="Arial" w:cs="Arial"/>
        </w:rPr>
        <w:tab/>
      </w:r>
      <w:r w:rsidR="001F394F" w:rsidRPr="00EE3AF3">
        <w:rPr>
          <w:rFonts w:ascii="Arial" w:hAnsi="Arial" w:cs="Arial"/>
          <w:lang w:val="en-GB"/>
        </w:rPr>
        <w:t>As to equality before the law under section 9 of the Constitution, the Court held as follows at paras [43] and [44]: “</w:t>
      </w:r>
      <w:r w:rsidR="001F394F" w:rsidRPr="00EE3AF3">
        <w:rPr>
          <w:rFonts w:ascii="Arial" w:hAnsi="Arial" w:cs="Arial"/>
          <w:i/>
          <w:iCs/>
          <w:lang w:val="en-GB"/>
        </w:rPr>
        <w:t>… the question is whether section 16(3), by denying disgruntled rule 43 litigants the right to appeal, bears a rational connection to a legitimate statutory purpose.  The purpose of rule 43 is to provide a speedy and inexpensive remedy, primarily for the benefit of women and children.  The rationale for the non-appealability is to prevent delays and curtail costs.  To allow an appeal process would contradict the objective of rule 43 orders.  The statutory differentiation between those litigants who can appeal and those who are precluded from doing so by section 16(3) clearly bears a rational connection to a legitimate government purpose.  Moreover, there is no differentiation between the individual litigants in a rule 43 dispute.  They both bear the same section 16(3) encumbrance …Any challenge in terms of section 9(1) must therefore fail.</w:t>
      </w:r>
      <w:r w:rsidR="001F394F" w:rsidRPr="00EE3AF3">
        <w:rPr>
          <w:rFonts w:ascii="Arial" w:hAnsi="Arial" w:cs="Arial"/>
          <w:lang w:val="en-GB"/>
        </w:rPr>
        <w:t>”</w:t>
      </w:r>
    </w:p>
    <w:p w14:paraId="178A27A0" w14:textId="77777777" w:rsidR="001F394F" w:rsidRPr="00EE3AF3" w:rsidRDefault="001F394F" w:rsidP="001F394F">
      <w:pPr>
        <w:pStyle w:val="NormalWeb"/>
        <w:shd w:val="clear" w:color="auto" w:fill="FFFFFF"/>
        <w:spacing w:line="360" w:lineRule="auto"/>
        <w:ind w:left="709"/>
        <w:jc w:val="both"/>
        <w:rPr>
          <w:rFonts w:ascii="Arial" w:hAnsi="Arial" w:cs="Arial"/>
        </w:rPr>
      </w:pPr>
    </w:p>
    <w:p w14:paraId="2A1ED0BC" w14:textId="6D97D12B"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lang w:val="en-GB"/>
        </w:rPr>
      </w:pPr>
      <w:r w:rsidRPr="00EE3AF3">
        <w:rPr>
          <w:rFonts w:ascii="Arial" w:hAnsi="Arial" w:cs="Arial"/>
          <w:lang w:val="en-GB"/>
        </w:rPr>
        <w:t>17.</w:t>
      </w:r>
      <w:r w:rsidRPr="00EE3AF3">
        <w:rPr>
          <w:rFonts w:ascii="Arial" w:hAnsi="Arial" w:cs="Arial"/>
          <w:lang w:val="en-GB"/>
        </w:rPr>
        <w:tab/>
      </w:r>
      <w:r w:rsidR="001F394F" w:rsidRPr="00EE3AF3">
        <w:rPr>
          <w:rFonts w:ascii="Arial" w:hAnsi="Arial" w:cs="Arial"/>
          <w:lang w:val="en-GB"/>
        </w:rPr>
        <w:t xml:space="preserve">In relation to access to court under section 34 of the Constitution, the Court concluded (at para [46]) that not all litigants have the right to appeal.  The Constitutional Court has on more than one occasion stated that it is generally not in the interests of justice for leave to be granted to appeal an interim order.  This would defeat the interim nature of that order.  That there is no right to appeal interlocutory orders has been held to be constitutional by the courts on numerous occasions. </w:t>
      </w:r>
    </w:p>
    <w:p w14:paraId="7B3A8B31" w14:textId="77777777" w:rsidR="001F394F" w:rsidRPr="00EE3AF3" w:rsidRDefault="001F394F" w:rsidP="001F394F">
      <w:pPr>
        <w:pStyle w:val="NormalWeb"/>
        <w:shd w:val="clear" w:color="auto" w:fill="FFFFFF"/>
        <w:spacing w:line="360" w:lineRule="auto"/>
        <w:ind w:left="709"/>
        <w:jc w:val="both"/>
        <w:rPr>
          <w:rFonts w:ascii="Arial" w:hAnsi="Arial" w:cs="Arial"/>
        </w:rPr>
      </w:pPr>
    </w:p>
    <w:p w14:paraId="0FFAE146" w14:textId="5C02AC46"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rPr>
      </w:pPr>
      <w:r w:rsidRPr="00EE3AF3">
        <w:rPr>
          <w:rFonts w:ascii="Arial" w:hAnsi="Arial" w:cs="Arial"/>
        </w:rPr>
        <w:t>18.</w:t>
      </w:r>
      <w:r w:rsidRPr="00EE3AF3">
        <w:rPr>
          <w:rFonts w:ascii="Arial" w:hAnsi="Arial" w:cs="Arial"/>
        </w:rPr>
        <w:tab/>
      </w:r>
      <w:r w:rsidR="001F394F" w:rsidRPr="00EE3AF3">
        <w:rPr>
          <w:rFonts w:ascii="Arial" w:hAnsi="Arial" w:cs="Arial"/>
          <w:lang w:val="en-GB"/>
        </w:rPr>
        <w:t>And at para [47]: “</w:t>
      </w:r>
      <w:r w:rsidR="001F394F" w:rsidRPr="00EE3AF3">
        <w:rPr>
          <w:rFonts w:ascii="Arial" w:hAnsi="Arial" w:cs="Arial"/>
          <w:i/>
          <w:iCs/>
          <w:lang w:val="en-GB"/>
        </w:rPr>
        <w:t>The fact that a rule 43 order may be of longer duration than initially anticipated does not in my view detract from the interim nature of the order.  It is only in limited circumstances where the interests of justice dictate otherwise that appeals of interim orders have been countenanced by this Court.</w:t>
      </w:r>
      <w:r w:rsidR="001F394F" w:rsidRPr="00EE3AF3">
        <w:rPr>
          <w:rFonts w:ascii="Arial" w:hAnsi="Arial" w:cs="Arial"/>
          <w:lang w:val="en-GB"/>
        </w:rPr>
        <w:t>”</w:t>
      </w:r>
      <w:r w:rsidR="001F394F" w:rsidRPr="00EE3AF3">
        <w:rPr>
          <w:rFonts w:ascii="Arial" w:hAnsi="Arial" w:cs="Arial"/>
        </w:rPr>
        <w:t xml:space="preserve"> </w:t>
      </w:r>
    </w:p>
    <w:p w14:paraId="26A0E152" w14:textId="77777777" w:rsidR="001F394F" w:rsidRPr="00EE3AF3" w:rsidRDefault="001F394F" w:rsidP="001F394F">
      <w:pPr>
        <w:pStyle w:val="NormalWeb"/>
        <w:shd w:val="clear" w:color="auto" w:fill="FFFFFF"/>
        <w:spacing w:line="360" w:lineRule="auto"/>
        <w:ind w:left="709"/>
        <w:jc w:val="both"/>
        <w:rPr>
          <w:rFonts w:ascii="Arial" w:hAnsi="Arial" w:cs="Arial"/>
        </w:rPr>
      </w:pPr>
    </w:p>
    <w:p w14:paraId="04F0C4AF" w14:textId="7CC63C42"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rPr>
      </w:pPr>
      <w:r w:rsidRPr="00EE3AF3">
        <w:rPr>
          <w:rFonts w:ascii="Arial" w:hAnsi="Arial" w:cs="Arial"/>
        </w:rPr>
        <w:t>19.</w:t>
      </w:r>
      <w:r w:rsidRPr="00EE3AF3">
        <w:rPr>
          <w:rFonts w:ascii="Arial" w:hAnsi="Arial" w:cs="Arial"/>
        </w:rPr>
        <w:tab/>
      </w:r>
      <w:r w:rsidR="001F394F" w:rsidRPr="00EE3AF3">
        <w:rPr>
          <w:rFonts w:ascii="Arial" w:hAnsi="Arial" w:cs="Arial"/>
          <w:lang w:val="en-GB"/>
        </w:rPr>
        <w:t>Litigants in rule 43 applications are not unequivocally barred from approaching court again: “</w:t>
      </w:r>
      <w:r w:rsidR="001F394F" w:rsidRPr="00EE3AF3">
        <w:rPr>
          <w:rFonts w:ascii="Arial" w:hAnsi="Arial" w:cs="Arial"/>
          <w:i/>
          <w:iCs/>
          <w:lang w:val="en-GB"/>
        </w:rPr>
        <w:t xml:space="preserve">This avenue is provided for in terms of rule 43(6), albeit with limitations.  The applicant complains, with some justification, that the rule is too restrictive as it only allows for variation of an existing rule 43 order when there is a change in “material circumstances”.  However, it cannot be denied that litigants are afforded the opportunity to vary their court orders under certain conditions.  This rule ameliorates </w:t>
      </w:r>
      <w:r w:rsidR="001F394F" w:rsidRPr="00EE3AF3">
        <w:rPr>
          <w:rFonts w:ascii="Arial" w:hAnsi="Arial" w:cs="Arial"/>
          <w:i/>
          <w:iCs/>
          <w:lang w:val="en-GB"/>
        </w:rPr>
        <w:lastRenderedPageBreak/>
        <w:t>any injustice where changed material circumstances have emerged</w:t>
      </w:r>
      <w:r w:rsidR="001F394F" w:rsidRPr="00EE3AF3">
        <w:rPr>
          <w:rFonts w:ascii="Arial" w:hAnsi="Arial" w:cs="Arial"/>
          <w:lang w:val="en-GB"/>
        </w:rPr>
        <w:t>” (at para [49] of the judgment).</w:t>
      </w:r>
    </w:p>
    <w:p w14:paraId="23B62267" w14:textId="77777777" w:rsidR="001F394F" w:rsidRPr="00EE3AF3" w:rsidRDefault="001F394F" w:rsidP="001F394F">
      <w:pPr>
        <w:pStyle w:val="NormalWeb"/>
        <w:shd w:val="clear" w:color="auto" w:fill="FFFFFF"/>
        <w:spacing w:line="360" w:lineRule="auto"/>
        <w:ind w:left="709"/>
        <w:jc w:val="both"/>
        <w:rPr>
          <w:rFonts w:ascii="Arial" w:hAnsi="Arial" w:cs="Arial"/>
        </w:rPr>
      </w:pPr>
    </w:p>
    <w:p w14:paraId="1D527F12" w14:textId="0A305F57"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rPr>
      </w:pPr>
      <w:r w:rsidRPr="00EE3AF3">
        <w:rPr>
          <w:rFonts w:ascii="Arial" w:hAnsi="Arial" w:cs="Arial"/>
        </w:rPr>
        <w:t>20.</w:t>
      </w:r>
      <w:r w:rsidRPr="00EE3AF3">
        <w:rPr>
          <w:rFonts w:ascii="Arial" w:hAnsi="Arial" w:cs="Arial"/>
        </w:rPr>
        <w:tab/>
      </w:r>
      <w:r w:rsidR="001F394F" w:rsidRPr="00EE3AF3">
        <w:rPr>
          <w:rFonts w:ascii="Arial" w:hAnsi="Arial" w:cs="Arial"/>
          <w:lang w:val="en-GB"/>
        </w:rPr>
        <w:t>The Court remarked in para [53] that Rule 43 may be wanting in certain respects, and there may well be grounds for a review of Rule 43(6) to include not only changed circumstances, but also exceptional circumstances.  This was not, however, an issue that the Court was called upon to decide.</w:t>
      </w:r>
    </w:p>
    <w:p w14:paraId="00E18B1E" w14:textId="77777777" w:rsidR="001F394F" w:rsidRPr="00EE3AF3" w:rsidRDefault="001F394F" w:rsidP="001F394F">
      <w:pPr>
        <w:pStyle w:val="NormalWeb"/>
        <w:shd w:val="clear" w:color="auto" w:fill="FFFFFF"/>
        <w:spacing w:line="360" w:lineRule="auto"/>
        <w:ind w:left="709"/>
        <w:jc w:val="both"/>
        <w:rPr>
          <w:rFonts w:ascii="Arial" w:hAnsi="Arial" w:cs="Arial"/>
        </w:rPr>
      </w:pPr>
    </w:p>
    <w:p w14:paraId="67A2AC80" w14:textId="005CFBB1"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rPr>
      </w:pPr>
      <w:r w:rsidRPr="00EE3AF3">
        <w:rPr>
          <w:rFonts w:ascii="Arial" w:hAnsi="Arial" w:cs="Arial"/>
        </w:rPr>
        <w:t>21.</w:t>
      </w:r>
      <w:r w:rsidRPr="00EE3AF3">
        <w:rPr>
          <w:rFonts w:ascii="Arial" w:hAnsi="Arial" w:cs="Arial"/>
        </w:rPr>
        <w:tab/>
      </w:r>
      <w:r w:rsidR="001F394F" w:rsidRPr="00EE3AF3">
        <w:rPr>
          <w:rFonts w:ascii="Arial" w:hAnsi="Arial" w:cs="Arial"/>
          <w:lang w:val="en-GB"/>
        </w:rPr>
        <w:t xml:space="preserve">The Rule 43 order </w:t>
      </w:r>
      <w:r w:rsidR="001F394F">
        <w:rPr>
          <w:rFonts w:ascii="Arial" w:hAnsi="Arial" w:cs="Arial"/>
          <w:lang w:val="en-GB"/>
        </w:rPr>
        <w:t xml:space="preserve">in the present matter </w:t>
      </w:r>
      <w:r w:rsidR="001F394F" w:rsidRPr="00EE3AF3">
        <w:rPr>
          <w:rFonts w:ascii="Arial" w:hAnsi="Arial" w:cs="Arial"/>
          <w:lang w:val="en-GB"/>
        </w:rPr>
        <w:t xml:space="preserve">does not dispose of the applicant’s claims and is clearly interim in nature.  It is, on the authority of section 16(3) of the Superior Courts Act and the decision in </w:t>
      </w:r>
      <w:r w:rsidR="001F394F" w:rsidRPr="00EE3AF3">
        <w:rPr>
          <w:rFonts w:ascii="Arial" w:hAnsi="Arial" w:cs="Arial"/>
          <w:i/>
          <w:iCs/>
          <w:lang w:val="en-GB"/>
        </w:rPr>
        <w:t>S v S</w:t>
      </w:r>
      <w:r w:rsidR="001F394F" w:rsidRPr="00EE3AF3">
        <w:rPr>
          <w:rFonts w:ascii="Arial" w:hAnsi="Arial" w:cs="Arial"/>
          <w:lang w:val="en-GB"/>
        </w:rPr>
        <w:t>, not appealable (see also, in relation to interim order</w:t>
      </w:r>
      <w:r w:rsidR="001F394F">
        <w:rPr>
          <w:rFonts w:ascii="Arial" w:hAnsi="Arial" w:cs="Arial"/>
          <w:lang w:val="en-GB"/>
        </w:rPr>
        <w:t>s</w:t>
      </w:r>
      <w:r w:rsidR="001F394F" w:rsidRPr="00EE3AF3">
        <w:rPr>
          <w:rFonts w:ascii="Arial" w:hAnsi="Arial" w:cs="Arial"/>
          <w:lang w:val="en-GB"/>
        </w:rPr>
        <w:t xml:space="preserve"> generally, </w:t>
      </w:r>
      <w:r w:rsidR="001F394F" w:rsidRPr="001F394F">
        <w:rPr>
          <w:rFonts w:ascii="Arial" w:hAnsi="Arial" w:cs="Arial"/>
          <w:i/>
          <w:iCs/>
          <w:lang w:val="en-GB"/>
        </w:rPr>
        <w:t>Jacobs and others</w:t>
      </w:r>
      <w:r w:rsidR="001F394F" w:rsidRPr="001F394F">
        <w:rPr>
          <w:rFonts w:ascii="Arial" w:hAnsi="Arial" w:cs="Arial"/>
          <w:i/>
          <w:iCs/>
        </w:rPr>
        <w:t> </w:t>
      </w:r>
      <w:r w:rsidR="001F394F" w:rsidRPr="00EE3AF3">
        <w:rPr>
          <w:rFonts w:ascii="Arial" w:hAnsi="Arial" w:cs="Arial"/>
          <w:i/>
          <w:iCs/>
        </w:rPr>
        <w:t>v Baumann NO</w:t>
      </w:r>
      <w:r w:rsidR="001F394F" w:rsidRPr="00EE3AF3">
        <w:rPr>
          <w:rFonts w:ascii="Arial" w:hAnsi="Arial" w:cs="Arial"/>
        </w:rPr>
        <w:t> </w:t>
      </w:r>
      <w:r w:rsidR="001F394F" w:rsidRPr="001F394F">
        <w:rPr>
          <w:rFonts w:ascii="Arial" w:hAnsi="Arial" w:cs="Arial"/>
          <w:i/>
          <w:iCs/>
        </w:rPr>
        <w:t>and others</w:t>
      </w:r>
      <w:r w:rsidR="001F394F" w:rsidRPr="00EE3AF3">
        <w:rPr>
          <w:rFonts w:ascii="Arial" w:hAnsi="Arial" w:cs="Arial"/>
        </w:rPr>
        <w:t xml:space="preserve"> </w:t>
      </w:r>
      <w:hyperlink r:id="rId10" w:anchor="y2009v5SApg432" w:history="1">
        <w:r w:rsidR="001F394F" w:rsidRPr="00EE3AF3">
          <w:rPr>
            <w:rStyle w:val="Hyperlink"/>
            <w:rFonts w:ascii="Arial" w:hAnsi="Arial" w:cs="Arial"/>
            <w:color w:val="auto"/>
            <w:u w:val="none"/>
          </w:rPr>
          <w:t>2009 (5) SA 432 (SCA)</w:t>
        </w:r>
      </w:hyperlink>
      <w:r w:rsidR="001F394F" w:rsidRPr="00EE3AF3">
        <w:rPr>
          <w:rFonts w:ascii="Arial" w:hAnsi="Arial" w:cs="Arial"/>
        </w:rPr>
        <w:t> at para [9]).</w:t>
      </w:r>
    </w:p>
    <w:p w14:paraId="66C0A9F4" w14:textId="77777777" w:rsidR="001F394F" w:rsidRPr="00EE3AF3" w:rsidRDefault="001F394F" w:rsidP="001F394F">
      <w:pPr>
        <w:shd w:val="clear" w:color="auto" w:fill="FFFFFF"/>
        <w:spacing w:line="360" w:lineRule="auto"/>
        <w:ind w:hanging="227"/>
        <w:jc w:val="both"/>
        <w:rPr>
          <w:rFonts w:ascii="Arial" w:hAnsi="Arial" w:cs="Arial"/>
        </w:rPr>
      </w:pPr>
      <w:bookmarkStart w:id="1" w:name="0-0-0-7889"/>
      <w:bookmarkEnd w:id="1"/>
    </w:p>
    <w:p w14:paraId="0844D9D3" w14:textId="67D8B9CE"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rPr>
      </w:pPr>
      <w:r w:rsidRPr="00EE3AF3">
        <w:rPr>
          <w:rFonts w:ascii="Arial" w:hAnsi="Arial" w:cs="Arial"/>
        </w:rPr>
        <w:t>22.</w:t>
      </w:r>
      <w:r w:rsidRPr="00EE3AF3">
        <w:rPr>
          <w:rFonts w:ascii="Arial" w:hAnsi="Arial" w:cs="Arial"/>
        </w:rPr>
        <w:tab/>
      </w:r>
      <w:r w:rsidR="001F394F" w:rsidRPr="00EE3AF3">
        <w:rPr>
          <w:rFonts w:ascii="Arial" w:hAnsi="Arial" w:cs="Arial"/>
          <w:lang w:val="en-GB"/>
        </w:rPr>
        <w:t xml:space="preserve">The first respondent also relies on </w:t>
      </w:r>
      <w:r w:rsidR="001F394F" w:rsidRPr="00EE3AF3">
        <w:rPr>
          <w:rFonts w:ascii="Arial" w:hAnsi="Arial" w:cs="Arial"/>
          <w:i/>
          <w:iCs/>
          <w:lang w:val="en-GB"/>
        </w:rPr>
        <w:t xml:space="preserve">S </w:t>
      </w:r>
      <w:proofErr w:type="gramStart"/>
      <w:r w:rsidR="001F394F" w:rsidRPr="00EE3AF3">
        <w:rPr>
          <w:rFonts w:ascii="Arial" w:hAnsi="Arial" w:cs="Arial"/>
          <w:i/>
          <w:iCs/>
          <w:lang w:val="en-GB"/>
        </w:rPr>
        <w:t>v</w:t>
      </w:r>
      <w:proofErr w:type="gramEnd"/>
      <w:r w:rsidR="001F394F" w:rsidRPr="00EE3AF3">
        <w:rPr>
          <w:rFonts w:ascii="Arial" w:hAnsi="Arial" w:cs="Arial"/>
          <w:i/>
          <w:iCs/>
          <w:lang w:val="en-GB"/>
        </w:rPr>
        <w:t xml:space="preserve"> S</w:t>
      </w:r>
      <w:r w:rsidR="001F394F" w:rsidRPr="00EE3AF3">
        <w:rPr>
          <w:rFonts w:ascii="Arial" w:hAnsi="Arial" w:cs="Arial"/>
          <w:lang w:val="en-GB"/>
        </w:rPr>
        <w:t>, and in particular on para [58], which reads that there “</w:t>
      </w:r>
      <w:r w:rsidR="001F394F" w:rsidRPr="00EE3AF3">
        <w:rPr>
          <w:rFonts w:ascii="Arial" w:hAnsi="Arial" w:cs="Arial"/>
          <w:i/>
          <w:iCs/>
          <w:lang w:val="en-GB"/>
        </w:rPr>
        <w:t>may be exceptional cases where there is a need to remedy a patently unjust and erroneous order and no changed circumstances exist, however expansively interpreted.  In those instances, where strict adherence to the rules is at variance with the interests of justice, a court may exercise its inherent power in terms of section 173 of the Constitution to regulate its own process in the interests of justice</w:t>
      </w:r>
      <w:r w:rsidR="001F394F" w:rsidRPr="00EE3AF3">
        <w:rPr>
          <w:rFonts w:ascii="Arial" w:hAnsi="Arial" w:cs="Arial"/>
          <w:lang w:val="en-GB"/>
        </w:rPr>
        <w:t>.”</w:t>
      </w:r>
    </w:p>
    <w:p w14:paraId="54652182" w14:textId="77777777" w:rsidR="001F394F" w:rsidRPr="00EE3AF3" w:rsidRDefault="001F394F" w:rsidP="001F394F">
      <w:pPr>
        <w:pStyle w:val="NormalWeb"/>
        <w:shd w:val="clear" w:color="auto" w:fill="FFFFFF"/>
        <w:spacing w:line="360" w:lineRule="auto"/>
        <w:ind w:left="709"/>
        <w:jc w:val="both"/>
        <w:rPr>
          <w:rFonts w:ascii="Arial" w:hAnsi="Arial" w:cs="Arial"/>
        </w:rPr>
      </w:pPr>
    </w:p>
    <w:p w14:paraId="46C3585C" w14:textId="150B26B5"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rPr>
      </w:pPr>
      <w:r w:rsidRPr="00EE3AF3">
        <w:rPr>
          <w:rFonts w:ascii="Arial" w:hAnsi="Arial" w:cs="Arial"/>
        </w:rPr>
        <w:t>23.</w:t>
      </w:r>
      <w:r w:rsidRPr="00EE3AF3">
        <w:rPr>
          <w:rFonts w:ascii="Arial" w:hAnsi="Arial" w:cs="Arial"/>
        </w:rPr>
        <w:tab/>
      </w:r>
      <w:r w:rsidR="001F394F" w:rsidRPr="00EE3AF3">
        <w:rPr>
          <w:rFonts w:ascii="Arial" w:hAnsi="Arial" w:cs="Arial"/>
        </w:rPr>
        <w:t>The first respondent argues that this statement gives him the right to make application for leave to appeal.  Th</w:t>
      </w:r>
      <w:r w:rsidR="001F394F">
        <w:rPr>
          <w:rFonts w:ascii="Arial" w:hAnsi="Arial" w:cs="Arial"/>
        </w:rPr>
        <w:t>e quoted extract</w:t>
      </w:r>
      <w:r w:rsidR="001F394F" w:rsidRPr="00EE3AF3">
        <w:rPr>
          <w:rFonts w:ascii="Arial" w:hAnsi="Arial" w:cs="Arial"/>
        </w:rPr>
        <w:t xml:space="preserve"> was, however, an obiter remark to be read in the context of the case as a whole, and does not detract from the finding that an order for interim maintenance under Rule 43 is not appealable.</w:t>
      </w:r>
    </w:p>
    <w:p w14:paraId="4F219CFC" w14:textId="77777777" w:rsidR="001F394F" w:rsidRPr="00EE3AF3" w:rsidRDefault="001F394F" w:rsidP="001F394F">
      <w:pPr>
        <w:pStyle w:val="NormalWeb"/>
        <w:shd w:val="clear" w:color="auto" w:fill="FFFFFF"/>
        <w:spacing w:line="360" w:lineRule="auto"/>
        <w:ind w:left="709"/>
        <w:jc w:val="both"/>
        <w:rPr>
          <w:rFonts w:ascii="Arial" w:hAnsi="Arial" w:cs="Arial"/>
        </w:rPr>
      </w:pPr>
    </w:p>
    <w:p w14:paraId="57904809" w14:textId="048FA074"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rPr>
      </w:pPr>
      <w:r w:rsidRPr="00EE3AF3">
        <w:rPr>
          <w:rFonts w:ascii="Arial" w:hAnsi="Arial" w:cs="Arial"/>
        </w:rPr>
        <w:t>24.</w:t>
      </w:r>
      <w:r w:rsidRPr="00EE3AF3">
        <w:rPr>
          <w:rFonts w:ascii="Arial" w:hAnsi="Arial" w:cs="Arial"/>
        </w:rPr>
        <w:tab/>
      </w:r>
      <w:r w:rsidR="001F394F" w:rsidRPr="00EE3AF3">
        <w:rPr>
          <w:rFonts w:ascii="Arial" w:hAnsi="Arial" w:cs="Arial"/>
          <w:lang w:val="en-GB"/>
        </w:rPr>
        <w:t xml:space="preserve">In any event, the first respondent made no attempt at all in </w:t>
      </w:r>
      <w:r w:rsidR="001F394F">
        <w:rPr>
          <w:rFonts w:ascii="Arial" w:hAnsi="Arial" w:cs="Arial"/>
          <w:lang w:val="en-GB"/>
        </w:rPr>
        <w:t>his</w:t>
      </w:r>
      <w:r w:rsidR="001F394F" w:rsidRPr="00EE3AF3">
        <w:rPr>
          <w:rFonts w:ascii="Arial" w:hAnsi="Arial" w:cs="Arial"/>
          <w:lang w:val="en-GB"/>
        </w:rPr>
        <w:t xml:space="preserve"> application for leave to appeal to formulate the grounds upon which it would be in the interests of justice to grant leave to appeal.  I have alluded to this earlier.  Even in the absence of reasons for the order having been given, the first respondent could have set out the grounds upon which he relief for his contention that this is an exceptional matter that calls out for leave to appeal.  He did not do so.</w:t>
      </w:r>
    </w:p>
    <w:p w14:paraId="55286EF7" w14:textId="77777777" w:rsidR="001F394F" w:rsidRPr="00EE3AF3" w:rsidRDefault="001F394F" w:rsidP="001F394F">
      <w:pPr>
        <w:pStyle w:val="ListParagraph"/>
        <w:spacing w:line="360" w:lineRule="auto"/>
        <w:jc w:val="both"/>
        <w:rPr>
          <w:rFonts w:ascii="Arial" w:hAnsi="Arial" w:cs="Arial"/>
          <w:lang w:val="en-GB"/>
        </w:rPr>
      </w:pPr>
    </w:p>
    <w:p w14:paraId="0B35D093" w14:textId="25FA0B48" w:rsidR="001F394F" w:rsidRPr="00EE3AF3" w:rsidRDefault="00372B88" w:rsidP="00372B88">
      <w:pPr>
        <w:pStyle w:val="NormalWeb"/>
        <w:shd w:val="clear" w:color="auto" w:fill="FFFFFF"/>
        <w:tabs>
          <w:tab w:val="left" w:pos="709"/>
        </w:tabs>
        <w:spacing w:line="360" w:lineRule="auto"/>
        <w:ind w:left="709" w:hanging="709"/>
        <w:jc w:val="both"/>
        <w:rPr>
          <w:rFonts w:ascii="Arial" w:hAnsi="Arial" w:cs="Arial"/>
        </w:rPr>
      </w:pPr>
      <w:r w:rsidRPr="00EE3AF3">
        <w:rPr>
          <w:rFonts w:ascii="Arial" w:hAnsi="Arial" w:cs="Arial"/>
        </w:rPr>
        <w:lastRenderedPageBreak/>
        <w:t>25.</w:t>
      </w:r>
      <w:r w:rsidRPr="00EE3AF3">
        <w:rPr>
          <w:rFonts w:ascii="Arial" w:hAnsi="Arial" w:cs="Arial"/>
        </w:rPr>
        <w:tab/>
      </w:r>
      <w:r w:rsidR="001F394F" w:rsidRPr="00EE3AF3">
        <w:rPr>
          <w:rFonts w:ascii="Arial" w:hAnsi="Arial" w:cs="Arial"/>
          <w:lang w:val="en-GB"/>
        </w:rPr>
        <w:t xml:space="preserve">In argument the first respondent submitted that the fact that a Talaq had been served on the applicant prior to the hearing of the Rule 43 application meant that there was no longer a marriage between the parties, and that such application could or should not have been entertained.  This constituted a reason why an application for leave to appeal should be entertained.  I do not agree.  It has been stated time and again in recent case law that the validity of a marriage, including marriages concluded by way of Muslim rites, is a matter to be decided by the court hearing the divorce action.  Until that issue was resolved there was a matrimonial dispute between the parties that served as a jurisdictional fact for </w:t>
      </w:r>
      <w:r w:rsidR="001F394F">
        <w:rPr>
          <w:rFonts w:ascii="Arial" w:hAnsi="Arial" w:cs="Arial"/>
          <w:lang w:val="en-GB"/>
        </w:rPr>
        <w:t>a</w:t>
      </w:r>
      <w:r w:rsidR="001F394F" w:rsidRPr="00EE3AF3">
        <w:rPr>
          <w:rFonts w:ascii="Arial" w:hAnsi="Arial" w:cs="Arial"/>
          <w:lang w:val="en-GB"/>
        </w:rPr>
        <w:t xml:space="preserve"> Rule 43 application to be dealt with (see </w:t>
      </w:r>
      <w:r w:rsidR="001F394F" w:rsidRPr="00EE3AF3">
        <w:rPr>
          <w:rFonts w:ascii="Arial" w:hAnsi="Arial" w:cs="Arial"/>
          <w:i/>
          <w:iCs/>
          <w:lang w:val="en-GB"/>
        </w:rPr>
        <w:t>SJ v SE</w:t>
      </w:r>
      <w:r w:rsidR="001F394F" w:rsidRPr="00EE3AF3">
        <w:rPr>
          <w:rFonts w:ascii="Arial" w:hAnsi="Arial" w:cs="Arial"/>
          <w:lang w:val="en-GB"/>
        </w:rPr>
        <w:t xml:space="preserve"> 2021 (1) SA 563 (GJ) at para [48]; </w:t>
      </w:r>
      <w:r w:rsidR="001F394F" w:rsidRPr="00EE3AF3">
        <w:rPr>
          <w:rFonts w:ascii="Arial" w:hAnsi="Arial" w:cs="Arial"/>
          <w:i/>
          <w:iCs/>
          <w:lang w:val="en-GB"/>
        </w:rPr>
        <w:t>TM v ZJ</w:t>
      </w:r>
      <w:r w:rsidR="001F394F" w:rsidRPr="00EE3AF3">
        <w:rPr>
          <w:rFonts w:ascii="Arial" w:hAnsi="Arial" w:cs="Arial"/>
          <w:lang w:val="en-GB"/>
        </w:rPr>
        <w:t xml:space="preserve"> 2016 (1) SA 71 (KZD) at 77B-C).  The fact that the first respondent disputes the existence of the marriage thus does not render </w:t>
      </w:r>
      <w:r w:rsidR="001F394F">
        <w:rPr>
          <w:rFonts w:ascii="Arial" w:hAnsi="Arial" w:cs="Arial"/>
          <w:lang w:val="en-GB"/>
        </w:rPr>
        <w:t>his case</w:t>
      </w:r>
      <w:r w:rsidR="001F394F" w:rsidRPr="00EE3AF3">
        <w:rPr>
          <w:rFonts w:ascii="Arial" w:hAnsi="Arial" w:cs="Arial"/>
          <w:lang w:val="en-GB"/>
        </w:rPr>
        <w:t xml:space="preserve"> exceptional.</w:t>
      </w:r>
    </w:p>
    <w:p w14:paraId="2A8F5EE3" w14:textId="77777777" w:rsidR="001F394F" w:rsidRPr="00EE3AF3" w:rsidRDefault="001F394F" w:rsidP="001F394F">
      <w:pPr>
        <w:pStyle w:val="ListParagraph"/>
        <w:widowControl w:val="0"/>
        <w:spacing w:line="360" w:lineRule="auto"/>
        <w:ind w:left="709"/>
        <w:jc w:val="both"/>
        <w:rPr>
          <w:rFonts w:ascii="Arial" w:hAnsi="Arial" w:cs="Arial"/>
          <w:lang w:val="en-GB"/>
        </w:rPr>
      </w:pPr>
    </w:p>
    <w:p w14:paraId="5937E8E1" w14:textId="1D497429"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26.</w:t>
      </w:r>
      <w:r w:rsidRPr="00EE3AF3">
        <w:rPr>
          <w:rFonts w:ascii="Arial" w:hAnsi="Arial" w:cs="Arial"/>
          <w:lang w:val="en-GB"/>
        </w:rPr>
        <w:tab/>
      </w:r>
      <w:r w:rsidR="001F394F" w:rsidRPr="00372B88">
        <w:rPr>
          <w:rFonts w:ascii="Arial" w:hAnsi="Arial" w:cs="Arial"/>
          <w:lang w:val="en-GB"/>
        </w:rPr>
        <w:t>I accordingly agree with the applicant’s submissions in relation to the irregularity of the application for leave to appeal.  The application for leave to appeal falls to be set aside as an irregular step.  This means that there is no reason for the first respondent not to perform his obligations under the Rule 43 order.</w:t>
      </w:r>
    </w:p>
    <w:p w14:paraId="50EDE557" w14:textId="77777777" w:rsidR="001F394F" w:rsidRPr="00EE3AF3" w:rsidRDefault="001F394F" w:rsidP="001F394F">
      <w:pPr>
        <w:pStyle w:val="ListParagraph"/>
        <w:widowControl w:val="0"/>
        <w:spacing w:line="360" w:lineRule="auto"/>
        <w:ind w:left="709"/>
        <w:jc w:val="both"/>
        <w:rPr>
          <w:rFonts w:ascii="Arial" w:hAnsi="Arial" w:cs="Arial"/>
          <w:lang w:val="en-GB"/>
        </w:rPr>
      </w:pPr>
    </w:p>
    <w:p w14:paraId="51842022" w14:textId="1B6C76A4"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27.</w:t>
      </w:r>
      <w:r w:rsidRPr="00EE3AF3">
        <w:rPr>
          <w:rFonts w:ascii="Arial" w:hAnsi="Arial" w:cs="Arial"/>
          <w:lang w:val="en-GB"/>
        </w:rPr>
        <w:tab/>
      </w:r>
      <w:r w:rsidR="001F394F" w:rsidRPr="00372B88">
        <w:rPr>
          <w:rFonts w:ascii="Arial" w:hAnsi="Arial" w:cs="Arial"/>
          <w:lang w:val="en-GB"/>
        </w:rPr>
        <w:t xml:space="preserve">The applicant and, notably, the parties’ minor children, are (or potentially are) severely prejudiced by the fact that the first respondent is using the application for leave to appeal as a shield against making payment under the Rule 43 order </w:t>
      </w:r>
      <w:r w:rsidR="001F394F" w:rsidRPr="00372B88">
        <w:rPr>
          <w:rFonts w:ascii="Arial" w:hAnsi="Arial" w:cs="Arial"/>
        </w:rPr>
        <w:t xml:space="preserve">(see </w:t>
      </w:r>
      <w:proofErr w:type="spellStart"/>
      <w:r w:rsidR="001F394F" w:rsidRPr="00372B88">
        <w:rPr>
          <w:rFonts w:ascii="Arial" w:hAnsi="Arial" w:cs="Arial"/>
          <w:i/>
          <w:iCs/>
        </w:rPr>
        <w:t>Afrisun</w:t>
      </w:r>
      <w:proofErr w:type="spellEnd"/>
      <w:r w:rsidR="001F394F" w:rsidRPr="00372B88">
        <w:rPr>
          <w:rFonts w:ascii="Arial" w:hAnsi="Arial" w:cs="Arial"/>
          <w:i/>
          <w:iCs/>
        </w:rPr>
        <w:t xml:space="preserve"> Mpumalanga (Pty) Ltd v Kunene NO and others </w:t>
      </w:r>
      <w:r w:rsidR="001F394F" w:rsidRPr="00372B88">
        <w:rPr>
          <w:rFonts w:ascii="Arial" w:hAnsi="Arial" w:cs="Arial"/>
        </w:rPr>
        <w:t>1999 (2) SA 599 (T) at 611C-F)</w:t>
      </w:r>
      <w:r w:rsidR="001F394F" w:rsidRPr="00372B88">
        <w:rPr>
          <w:rFonts w:ascii="Arial" w:hAnsi="Arial" w:cs="Arial"/>
          <w:lang w:val="en-GB"/>
        </w:rPr>
        <w:t>.  It goes without saying that the best interests of children involved in litigation are of the utmost importance.  In the present matter, the children’s basic maintenance is at stake.  This aspect of the application is, in the circumstances, clearly urgent.  This consideration, together with the fact that the notice of application for leave to appeal is fatally irregular given the existing state of the law, bolsters my view that the applicant’s non-compliance with the time periods stipulated in Rule 30 should be condoned, whether in terms of this Court’s inherent jurisdiction to protect and regulate its own processes, or under the provisions of Rule 27(3).</w:t>
      </w:r>
    </w:p>
    <w:p w14:paraId="54D196E9" w14:textId="77777777" w:rsidR="001F394F" w:rsidRPr="00EE3AF3" w:rsidRDefault="001F394F" w:rsidP="001F394F">
      <w:pPr>
        <w:pStyle w:val="ListParagraph"/>
        <w:spacing w:line="360" w:lineRule="auto"/>
        <w:rPr>
          <w:rFonts w:ascii="Arial" w:hAnsi="Arial" w:cs="Arial"/>
          <w:lang w:val="en-GB"/>
        </w:rPr>
      </w:pPr>
    </w:p>
    <w:p w14:paraId="07974B54" w14:textId="7C6A4D1F"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28.</w:t>
      </w:r>
      <w:r w:rsidRPr="00EE3AF3">
        <w:rPr>
          <w:rFonts w:ascii="Arial" w:hAnsi="Arial" w:cs="Arial"/>
          <w:lang w:val="en-GB"/>
        </w:rPr>
        <w:tab/>
      </w:r>
      <w:r w:rsidR="001F394F" w:rsidRPr="00372B88">
        <w:rPr>
          <w:rFonts w:ascii="Arial" w:hAnsi="Arial" w:cs="Arial"/>
          <w:lang w:val="en-GB"/>
        </w:rPr>
        <w:t xml:space="preserve">In any event, Rule 30 deals with matters of procedure - irregularities of form – and not matters of substance </w:t>
      </w:r>
      <w:r w:rsidR="001F394F" w:rsidRPr="00372B88">
        <w:rPr>
          <w:rFonts w:ascii="Arial" w:hAnsi="Arial" w:cs="Arial"/>
        </w:rPr>
        <w:t>(</w:t>
      </w:r>
      <w:r w:rsidR="001F394F" w:rsidRPr="00372B88">
        <w:rPr>
          <w:rFonts w:ascii="Arial" w:hAnsi="Arial" w:cs="Arial"/>
          <w:i/>
          <w:iCs/>
          <w:shd w:val="clear" w:color="auto" w:fill="FFFFFF"/>
        </w:rPr>
        <w:t xml:space="preserve">Graham and another v Law Society, Northern Provinces and others </w:t>
      </w:r>
      <w:r w:rsidR="001F394F" w:rsidRPr="00372B88">
        <w:rPr>
          <w:rFonts w:ascii="Arial" w:hAnsi="Arial" w:cs="Arial"/>
          <w:shd w:val="clear" w:color="auto" w:fill="FFFFFF"/>
        </w:rPr>
        <w:t>2016 (1) SA 279 (GP) at par [40])</w:t>
      </w:r>
      <w:r w:rsidR="001F394F" w:rsidRPr="00372B88">
        <w:rPr>
          <w:rFonts w:ascii="Arial" w:hAnsi="Arial" w:cs="Arial"/>
          <w:lang w:val="en-GB"/>
        </w:rPr>
        <w:t xml:space="preserve">.  I am inclined to agree with the applicant’s </w:t>
      </w:r>
      <w:r w:rsidR="001F394F" w:rsidRPr="00372B88">
        <w:rPr>
          <w:rFonts w:ascii="Arial" w:hAnsi="Arial" w:cs="Arial"/>
          <w:lang w:val="en-GB"/>
        </w:rPr>
        <w:lastRenderedPageBreak/>
        <w:t>submission that whether an order for interim maintenance may be appealed is not merely procedural, but in fact a substantive matter.  There is no appeal available in the circumstances.</w:t>
      </w:r>
    </w:p>
    <w:p w14:paraId="52319175" w14:textId="77777777" w:rsidR="001F394F" w:rsidRPr="00EE3AF3" w:rsidRDefault="001F394F" w:rsidP="001F394F">
      <w:pPr>
        <w:pStyle w:val="ListParagraph"/>
        <w:spacing w:line="360" w:lineRule="auto"/>
        <w:rPr>
          <w:rFonts w:ascii="Arial" w:hAnsi="Arial" w:cs="Arial"/>
          <w:lang w:val="en-GB"/>
        </w:rPr>
      </w:pPr>
    </w:p>
    <w:p w14:paraId="52A61B55" w14:textId="1916CDF5"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29.</w:t>
      </w:r>
      <w:r w:rsidRPr="00EE3AF3">
        <w:rPr>
          <w:rFonts w:ascii="Arial" w:hAnsi="Arial" w:cs="Arial"/>
          <w:lang w:val="en-GB"/>
        </w:rPr>
        <w:tab/>
      </w:r>
      <w:r w:rsidR="001F394F" w:rsidRPr="00372B88">
        <w:rPr>
          <w:rFonts w:ascii="Arial" w:hAnsi="Arial" w:cs="Arial"/>
          <w:lang w:val="en-GB"/>
        </w:rPr>
        <w:t>In my view the first respondent will not suffer any material prejudice as a result of the setting aside of the application for leave to appeal on this basis.</w:t>
      </w:r>
    </w:p>
    <w:p w14:paraId="49735FF3" w14:textId="77777777" w:rsidR="001F394F" w:rsidRPr="00EE3AF3" w:rsidRDefault="001F394F" w:rsidP="001F394F">
      <w:pPr>
        <w:pStyle w:val="ListParagraph"/>
        <w:spacing w:line="360" w:lineRule="auto"/>
        <w:rPr>
          <w:rFonts w:ascii="Arial" w:hAnsi="Arial" w:cs="Arial"/>
          <w:lang w:val="en-GB"/>
        </w:rPr>
      </w:pPr>
    </w:p>
    <w:p w14:paraId="6A34BF79" w14:textId="757793CC"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30.</w:t>
      </w:r>
      <w:r w:rsidRPr="00EE3AF3">
        <w:rPr>
          <w:rFonts w:ascii="Arial" w:hAnsi="Arial" w:cs="Arial"/>
          <w:lang w:val="en-GB"/>
        </w:rPr>
        <w:tab/>
      </w:r>
      <w:r w:rsidR="001F394F" w:rsidRPr="00372B88">
        <w:rPr>
          <w:rFonts w:ascii="Arial" w:hAnsi="Arial" w:cs="Arial"/>
          <w:lang w:val="en-GB"/>
        </w:rPr>
        <w:t>In these circumstances, the first respondent is with immediate effect obliged fully to comply with the terms of the Rule 43 order.</w:t>
      </w:r>
    </w:p>
    <w:p w14:paraId="04A268C4" w14:textId="77777777" w:rsidR="001F394F" w:rsidRPr="00EE3AF3" w:rsidRDefault="001F394F" w:rsidP="001F394F">
      <w:pPr>
        <w:spacing w:line="360" w:lineRule="auto"/>
        <w:rPr>
          <w:rFonts w:ascii="Arial" w:hAnsi="Arial" w:cs="Arial"/>
          <w:lang w:val="en-GB"/>
        </w:rPr>
      </w:pPr>
    </w:p>
    <w:p w14:paraId="6599D894" w14:textId="77777777" w:rsidR="001F394F" w:rsidRPr="00EE3AF3" w:rsidRDefault="001F394F" w:rsidP="001F394F">
      <w:pPr>
        <w:spacing w:line="360" w:lineRule="auto"/>
        <w:rPr>
          <w:rFonts w:ascii="Arial" w:hAnsi="Arial" w:cs="Arial"/>
          <w:b/>
          <w:bCs/>
          <w:u w:val="single"/>
          <w:lang w:val="en-GB"/>
        </w:rPr>
      </w:pPr>
      <w:r w:rsidRPr="00EE3AF3">
        <w:rPr>
          <w:rFonts w:ascii="Arial" w:hAnsi="Arial" w:cs="Arial"/>
          <w:b/>
          <w:bCs/>
          <w:u w:val="single"/>
          <w:lang w:val="en-GB"/>
        </w:rPr>
        <w:t>The contempt application</w:t>
      </w:r>
    </w:p>
    <w:p w14:paraId="5A169A81" w14:textId="77777777" w:rsidR="001F394F" w:rsidRPr="00EE3AF3" w:rsidRDefault="001F394F" w:rsidP="001F394F">
      <w:pPr>
        <w:spacing w:line="360" w:lineRule="auto"/>
        <w:rPr>
          <w:rFonts w:ascii="Arial" w:hAnsi="Arial" w:cs="Arial"/>
          <w:lang w:val="en-GB"/>
        </w:rPr>
      </w:pPr>
    </w:p>
    <w:p w14:paraId="3032208E" w14:textId="63DD4542"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31.</w:t>
      </w:r>
      <w:r w:rsidRPr="00EE3AF3">
        <w:rPr>
          <w:rFonts w:ascii="Arial" w:hAnsi="Arial" w:cs="Arial"/>
          <w:lang w:val="en-GB"/>
        </w:rPr>
        <w:tab/>
      </w:r>
      <w:r w:rsidR="001F394F" w:rsidRPr="00372B88">
        <w:rPr>
          <w:rFonts w:ascii="Arial" w:hAnsi="Arial" w:cs="Arial"/>
          <w:lang w:val="en-GB"/>
        </w:rPr>
        <w:t xml:space="preserve">There is a dispute between the parties about whether the first respondent has accumulated arrears because of the non-payment of the cash amounts under the Rule 43 order.  The applicant says that the first respondent already owes more than R106 000,00.  He also did not make payment of an amount of R100 000,00 required as a contribution to the applicant’s legal costs.  When the matter was heard on 17 January 2023, the first respondent had, due to time constraints, delivered merely a “preliminary” answering affidavit in which the arrear amounts set out by the applicant are disputed.  </w:t>
      </w:r>
    </w:p>
    <w:p w14:paraId="0E17AB53" w14:textId="77777777" w:rsidR="001F394F" w:rsidRPr="00EE3AF3" w:rsidRDefault="001F394F" w:rsidP="001F394F">
      <w:pPr>
        <w:pStyle w:val="ListParagraph"/>
        <w:widowControl w:val="0"/>
        <w:spacing w:line="360" w:lineRule="auto"/>
        <w:ind w:left="709"/>
        <w:jc w:val="both"/>
        <w:rPr>
          <w:rFonts w:ascii="Arial" w:hAnsi="Arial" w:cs="Arial"/>
          <w:lang w:val="en-GB"/>
        </w:rPr>
      </w:pPr>
    </w:p>
    <w:p w14:paraId="3D144A6C" w14:textId="40B1E723"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32.</w:t>
      </w:r>
      <w:r w:rsidRPr="00EE3AF3">
        <w:rPr>
          <w:rFonts w:ascii="Arial" w:hAnsi="Arial" w:cs="Arial"/>
          <w:lang w:val="en-GB"/>
        </w:rPr>
        <w:tab/>
      </w:r>
      <w:r w:rsidR="001F394F" w:rsidRPr="00372B88">
        <w:rPr>
          <w:rFonts w:ascii="Arial" w:hAnsi="Arial" w:cs="Arial"/>
          <w:lang w:val="en-GB"/>
        </w:rPr>
        <w:t xml:space="preserve">There was also a dispute as to whether the first respondent was </w:t>
      </w:r>
      <w:r w:rsidR="001F394F" w:rsidRPr="00372B88">
        <w:rPr>
          <w:rFonts w:ascii="Arial" w:hAnsi="Arial" w:cs="Arial"/>
          <w:i/>
          <w:iCs/>
          <w:lang w:val="en-GB"/>
        </w:rPr>
        <w:t>mala fide</w:t>
      </w:r>
      <w:r w:rsidR="001F394F" w:rsidRPr="00372B88">
        <w:rPr>
          <w:rFonts w:ascii="Arial" w:hAnsi="Arial" w:cs="Arial"/>
          <w:lang w:val="en-GB"/>
        </w:rPr>
        <w:t xml:space="preserve"> in not performing in terms of the Rule 43 order (an issue in respect of which the first respondent has an onus of rebuttal</w:t>
      </w:r>
      <w:r w:rsidR="001F394F" w:rsidRPr="00372B88">
        <w:rPr>
          <w:rFonts w:ascii="Arial" w:hAnsi="Arial" w:cs="Arial"/>
          <w:i/>
          <w:iCs/>
          <w:lang w:val="en-GB"/>
        </w:rPr>
        <w:t>: Fakie NO v CCII Systems (Pty) Ltd</w:t>
      </w:r>
      <w:r w:rsidR="001F394F" w:rsidRPr="00372B88">
        <w:rPr>
          <w:rFonts w:ascii="Arial" w:hAnsi="Arial" w:cs="Arial"/>
          <w:lang w:val="en-GB"/>
        </w:rPr>
        <w:t xml:space="preserve"> 2006 (4) SA 326 (SCA) at paras [22], [23] and [41]), given the fact that he had been advised that his application for leave to appeal excused him from performance.</w:t>
      </w:r>
    </w:p>
    <w:p w14:paraId="4E77DEB6" w14:textId="77777777" w:rsidR="001F394F" w:rsidRPr="00EE3AF3" w:rsidRDefault="001F394F" w:rsidP="001F394F">
      <w:pPr>
        <w:pStyle w:val="ListParagraph"/>
        <w:widowControl w:val="0"/>
        <w:spacing w:line="360" w:lineRule="auto"/>
        <w:ind w:left="709"/>
        <w:jc w:val="both"/>
        <w:rPr>
          <w:rFonts w:ascii="Arial" w:hAnsi="Arial" w:cs="Arial"/>
          <w:lang w:val="en-GB"/>
        </w:rPr>
      </w:pPr>
    </w:p>
    <w:p w14:paraId="67A7BEE9" w14:textId="6B6E9AA6"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33.</w:t>
      </w:r>
      <w:r w:rsidRPr="00EE3AF3">
        <w:rPr>
          <w:rFonts w:ascii="Arial" w:hAnsi="Arial" w:cs="Arial"/>
          <w:lang w:val="en-GB"/>
        </w:rPr>
        <w:tab/>
      </w:r>
      <w:r w:rsidR="001F394F" w:rsidRPr="00372B88">
        <w:rPr>
          <w:rFonts w:ascii="Arial" w:hAnsi="Arial" w:cs="Arial"/>
          <w:lang w:val="en-GB"/>
        </w:rPr>
        <w:t>In the course of argument the parties were in agreement that the contempt application was not ripe for hearing, as the first respondent needed to respond fully to the applicant’s allegations as regards his alleged contempt.  I was also of the view that the contempt application was not of such urgency that it required immediate determination.</w:t>
      </w:r>
    </w:p>
    <w:p w14:paraId="2953E5D6" w14:textId="77777777" w:rsidR="001F394F" w:rsidRPr="00EE3AF3" w:rsidRDefault="001F394F" w:rsidP="001F394F">
      <w:pPr>
        <w:pStyle w:val="ListParagraph"/>
        <w:spacing w:line="360" w:lineRule="auto"/>
        <w:rPr>
          <w:rFonts w:ascii="Arial" w:hAnsi="Arial" w:cs="Arial"/>
          <w:lang w:val="en-GB"/>
        </w:rPr>
      </w:pPr>
    </w:p>
    <w:p w14:paraId="12A4F985" w14:textId="630ADBDB"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34.</w:t>
      </w:r>
      <w:r w:rsidRPr="00EE3AF3">
        <w:rPr>
          <w:rFonts w:ascii="Arial" w:hAnsi="Arial" w:cs="Arial"/>
          <w:lang w:val="en-GB"/>
        </w:rPr>
        <w:tab/>
      </w:r>
      <w:r w:rsidR="001F394F" w:rsidRPr="00372B88">
        <w:rPr>
          <w:rFonts w:ascii="Arial" w:hAnsi="Arial" w:cs="Arial"/>
          <w:lang w:val="en-GB"/>
        </w:rPr>
        <w:t>The applicant’s counsel argued that the contempt application should be postponed on certain conditions, including that the first respondent repay the arrears accumulated under the Rule 43 order pending the hearing of the application.</w:t>
      </w:r>
    </w:p>
    <w:p w14:paraId="5E050E53" w14:textId="77777777" w:rsidR="001F394F" w:rsidRPr="00EE3AF3" w:rsidRDefault="001F394F" w:rsidP="001F394F">
      <w:pPr>
        <w:pStyle w:val="ListParagraph"/>
        <w:spacing w:line="360" w:lineRule="auto"/>
        <w:rPr>
          <w:rFonts w:ascii="Arial" w:hAnsi="Arial" w:cs="Arial"/>
          <w:lang w:val="en-GB"/>
        </w:rPr>
      </w:pPr>
    </w:p>
    <w:p w14:paraId="03036A09" w14:textId="6130BA3B"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35.</w:t>
      </w:r>
      <w:r w:rsidRPr="00EE3AF3">
        <w:rPr>
          <w:rFonts w:ascii="Arial" w:hAnsi="Arial" w:cs="Arial"/>
          <w:lang w:val="en-GB"/>
        </w:rPr>
        <w:tab/>
      </w:r>
      <w:r w:rsidR="001F394F" w:rsidRPr="00372B88">
        <w:rPr>
          <w:rFonts w:ascii="Arial" w:hAnsi="Arial" w:cs="Arial"/>
          <w:lang w:val="en-GB"/>
        </w:rPr>
        <w:t xml:space="preserve">I agree, however, with the first respondent’s argument that the issues inherent in the proposed conditions are, for the most part, issues that need to be addressed in the contempt application, particularly insofar as the parties </w:t>
      </w:r>
      <w:r w:rsidR="00B727AC" w:rsidRPr="00372B88">
        <w:rPr>
          <w:rFonts w:ascii="Arial" w:hAnsi="Arial" w:cs="Arial"/>
          <w:lang w:val="en-GB"/>
        </w:rPr>
        <w:t xml:space="preserve">are in </w:t>
      </w:r>
      <w:r w:rsidR="001F394F" w:rsidRPr="00372B88">
        <w:rPr>
          <w:rFonts w:ascii="Arial" w:hAnsi="Arial" w:cs="Arial"/>
          <w:lang w:val="en-GB"/>
        </w:rPr>
        <w:t xml:space="preserve">dispute </w:t>
      </w:r>
      <w:r w:rsidR="00B727AC" w:rsidRPr="00372B88">
        <w:rPr>
          <w:rFonts w:ascii="Arial" w:hAnsi="Arial" w:cs="Arial"/>
          <w:lang w:val="en-GB"/>
        </w:rPr>
        <w:t xml:space="preserve">about </w:t>
      </w:r>
      <w:r w:rsidR="001F394F" w:rsidRPr="00372B88">
        <w:rPr>
          <w:rFonts w:ascii="Arial" w:hAnsi="Arial" w:cs="Arial"/>
          <w:lang w:val="en-GB"/>
        </w:rPr>
        <w:t>the amounts actually paid from the date of the order to the present.  On the first respondent’s version</w:t>
      </w:r>
      <w:r w:rsidR="00B727AC" w:rsidRPr="00372B88">
        <w:rPr>
          <w:rFonts w:ascii="Arial" w:hAnsi="Arial" w:cs="Arial"/>
          <w:lang w:val="en-GB"/>
        </w:rPr>
        <w:t>, for example,</w:t>
      </w:r>
      <w:r w:rsidR="001F394F" w:rsidRPr="00372B88">
        <w:rPr>
          <w:rFonts w:ascii="Arial" w:hAnsi="Arial" w:cs="Arial"/>
          <w:lang w:val="en-GB"/>
        </w:rPr>
        <w:t xml:space="preserve"> various amounts have in fact been paid and there are no longer any instalments owing in respect of the applicant’s motor vehicle.  The applicant disputes this.  It appears from the first respondent’s preliminary answering affidavit that these, and other issues in relation to the contempt application, need to be fully canvassed, and the first respondent will have to prepare a supplement</w:t>
      </w:r>
      <w:r w:rsidR="00B727AC" w:rsidRPr="00372B88">
        <w:rPr>
          <w:rFonts w:ascii="Arial" w:hAnsi="Arial" w:cs="Arial"/>
          <w:lang w:val="en-GB"/>
        </w:rPr>
        <w:t>ary</w:t>
      </w:r>
      <w:r w:rsidR="001F394F" w:rsidRPr="00372B88">
        <w:rPr>
          <w:rFonts w:ascii="Arial" w:hAnsi="Arial" w:cs="Arial"/>
          <w:lang w:val="en-GB"/>
        </w:rPr>
        <w:t xml:space="preserve"> answering affidavit.</w:t>
      </w:r>
    </w:p>
    <w:p w14:paraId="3507939E" w14:textId="77777777" w:rsidR="001F394F" w:rsidRPr="00EE3AF3" w:rsidRDefault="001F394F" w:rsidP="001F394F">
      <w:pPr>
        <w:pStyle w:val="ListParagraph"/>
        <w:spacing w:line="360" w:lineRule="auto"/>
        <w:rPr>
          <w:rFonts w:ascii="Arial" w:hAnsi="Arial" w:cs="Arial"/>
          <w:lang w:val="en-GB"/>
        </w:rPr>
      </w:pPr>
    </w:p>
    <w:p w14:paraId="7EB6DEA7" w14:textId="02754F47"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36.</w:t>
      </w:r>
      <w:r w:rsidRPr="00EE3AF3">
        <w:rPr>
          <w:rFonts w:ascii="Arial" w:hAnsi="Arial" w:cs="Arial"/>
          <w:lang w:val="en-GB"/>
        </w:rPr>
        <w:tab/>
      </w:r>
      <w:r w:rsidR="001F394F" w:rsidRPr="00372B88">
        <w:rPr>
          <w:rFonts w:ascii="Arial" w:hAnsi="Arial" w:cs="Arial"/>
          <w:lang w:val="en-GB"/>
        </w:rPr>
        <w:t xml:space="preserve">This is of course not the case in relation to the required contribution of R100 000,00 towards the applicant’s legal costs.  This amount has admittedly not been paid.  It is due, the first respondent having been ordered to pay it by no later than the end of December 2022.  Now that the application for leave to appeal has been </w:t>
      </w:r>
      <w:r w:rsidR="00B727AC" w:rsidRPr="00372B88">
        <w:rPr>
          <w:rFonts w:ascii="Arial" w:hAnsi="Arial" w:cs="Arial"/>
          <w:lang w:val="en-GB"/>
        </w:rPr>
        <w:t>set aside</w:t>
      </w:r>
      <w:r w:rsidR="001F394F" w:rsidRPr="00372B88">
        <w:rPr>
          <w:rFonts w:ascii="Arial" w:hAnsi="Arial" w:cs="Arial"/>
          <w:lang w:val="en-GB"/>
        </w:rPr>
        <w:t>, there is no excuse for the first respondent to refuse to make immediate payment thereof.</w:t>
      </w:r>
    </w:p>
    <w:p w14:paraId="48889DBC" w14:textId="77777777" w:rsidR="001F394F" w:rsidRPr="00EE3AF3" w:rsidRDefault="001F394F" w:rsidP="001F394F">
      <w:pPr>
        <w:spacing w:line="360" w:lineRule="auto"/>
        <w:rPr>
          <w:rFonts w:ascii="Arial" w:hAnsi="Arial" w:cs="Arial"/>
          <w:lang w:val="en-GB"/>
        </w:rPr>
      </w:pPr>
    </w:p>
    <w:p w14:paraId="3C1812E2" w14:textId="77777777" w:rsidR="001F394F" w:rsidRPr="00EE3AF3" w:rsidRDefault="001F394F" w:rsidP="001F394F">
      <w:pPr>
        <w:spacing w:line="360" w:lineRule="auto"/>
        <w:rPr>
          <w:rFonts w:ascii="Arial" w:hAnsi="Arial" w:cs="Arial"/>
          <w:b/>
          <w:bCs/>
          <w:u w:val="single"/>
          <w:lang w:val="en-GB"/>
        </w:rPr>
      </w:pPr>
      <w:r w:rsidRPr="00EE3AF3">
        <w:rPr>
          <w:rFonts w:ascii="Arial" w:hAnsi="Arial" w:cs="Arial"/>
          <w:b/>
          <w:bCs/>
          <w:u w:val="single"/>
          <w:lang w:val="en-GB"/>
        </w:rPr>
        <w:t>The application for an emoluments attachment order</w:t>
      </w:r>
    </w:p>
    <w:p w14:paraId="02993CED" w14:textId="77777777" w:rsidR="001F394F" w:rsidRPr="00EE3AF3" w:rsidRDefault="001F394F" w:rsidP="001F394F">
      <w:pPr>
        <w:spacing w:line="360" w:lineRule="auto"/>
        <w:rPr>
          <w:rFonts w:ascii="Arial" w:hAnsi="Arial" w:cs="Arial"/>
          <w:lang w:val="en-GB"/>
        </w:rPr>
      </w:pPr>
    </w:p>
    <w:p w14:paraId="4BC2F4E3" w14:textId="3475A593"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37.</w:t>
      </w:r>
      <w:r w:rsidRPr="00EE3AF3">
        <w:rPr>
          <w:rFonts w:ascii="Arial" w:hAnsi="Arial" w:cs="Arial"/>
          <w:lang w:val="en-GB"/>
        </w:rPr>
        <w:tab/>
      </w:r>
      <w:r w:rsidR="001F394F" w:rsidRPr="00372B88">
        <w:rPr>
          <w:rFonts w:ascii="Arial" w:hAnsi="Arial" w:cs="Arial"/>
          <w:lang w:val="en-GB"/>
        </w:rPr>
        <w:t xml:space="preserve">The applicant contends that an </w:t>
      </w:r>
      <w:r w:rsidR="00B727AC" w:rsidRPr="00372B88">
        <w:rPr>
          <w:rFonts w:ascii="Arial" w:hAnsi="Arial" w:cs="Arial"/>
          <w:lang w:val="en-GB"/>
        </w:rPr>
        <w:t>am</w:t>
      </w:r>
      <w:r w:rsidR="001F394F" w:rsidRPr="00372B88">
        <w:rPr>
          <w:rFonts w:ascii="Arial" w:hAnsi="Arial" w:cs="Arial"/>
          <w:lang w:val="en-GB"/>
        </w:rPr>
        <w:t xml:space="preserve">ount of R54 500,00 should be </w:t>
      </w:r>
      <w:r w:rsidR="00B727AC" w:rsidRPr="00372B88">
        <w:rPr>
          <w:rFonts w:ascii="Arial" w:hAnsi="Arial" w:cs="Arial"/>
          <w:lang w:val="en-GB"/>
        </w:rPr>
        <w:t>“</w:t>
      </w:r>
      <w:r w:rsidR="001F394F" w:rsidRPr="00372B88">
        <w:rPr>
          <w:rFonts w:ascii="Arial" w:hAnsi="Arial" w:cs="Arial"/>
          <w:lang w:val="en-GB"/>
        </w:rPr>
        <w:t>attached</w:t>
      </w:r>
      <w:r w:rsidR="00B727AC" w:rsidRPr="00372B88">
        <w:rPr>
          <w:rFonts w:ascii="Arial" w:hAnsi="Arial" w:cs="Arial"/>
          <w:lang w:val="en-GB"/>
        </w:rPr>
        <w:t>”</w:t>
      </w:r>
      <w:r w:rsidR="001F394F" w:rsidRPr="00372B88">
        <w:rPr>
          <w:rFonts w:ascii="Arial" w:hAnsi="Arial" w:cs="Arial"/>
          <w:lang w:val="en-GB"/>
        </w:rPr>
        <w:t xml:space="preserve"> from the first respondent’s salary, and the second respondent should be ordered to pay this amount directly to the applicant.  This will serve to prevent unnecessary contact between the parties and ensure compliance with at least part of the Rule 53 order, given the hostile relationship between the parties.</w:t>
      </w:r>
    </w:p>
    <w:p w14:paraId="1139896D" w14:textId="77777777" w:rsidR="001F394F" w:rsidRPr="00EE3AF3" w:rsidRDefault="001F394F" w:rsidP="001F394F">
      <w:pPr>
        <w:pStyle w:val="ListParagraph"/>
        <w:widowControl w:val="0"/>
        <w:spacing w:line="360" w:lineRule="auto"/>
        <w:ind w:left="709"/>
        <w:jc w:val="both"/>
        <w:rPr>
          <w:rFonts w:ascii="Arial" w:hAnsi="Arial" w:cs="Arial"/>
          <w:lang w:val="en-GB"/>
        </w:rPr>
      </w:pPr>
    </w:p>
    <w:p w14:paraId="73EF1F34" w14:textId="73673D4E" w:rsidR="00B727AC" w:rsidRPr="00372B88" w:rsidRDefault="00372B88" w:rsidP="00372B88">
      <w:pPr>
        <w:widowControl w:val="0"/>
        <w:tabs>
          <w:tab w:val="left" w:pos="709"/>
        </w:tabs>
        <w:spacing w:line="360" w:lineRule="auto"/>
        <w:ind w:left="709" w:hanging="709"/>
        <w:jc w:val="both"/>
        <w:rPr>
          <w:rFonts w:ascii="Arial" w:hAnsi="Arial" w:cs="Arial"/>
          <w:lang w:val="en-GB"/>
        </w:rPr>
      </w:pPr>
      <w:r>
        <w:rPr>
          <w:rFonts w:ascii="Arial" w:hAnsi="Arial" w:cs="Arial"/>
          <w:lang w:val="en-GB"/>
        </w:rPr>
        <w:t>38.</w:t>
      </w:r>
      <w:r>
        <w:rPr>
          <w:rFonts w:ascii="Arial" w:hAnsi="Arial" w:cs="Arial"/>
          <w:lang w:val="en-GB"/>
        </w:rPr>
        <w:tab/>
      </w:r>
      <w:r w:rsidR="001F394F" w:rsidRPr="00372B88">
        <w:rPr>
          <w:rFonts w:ascii="Arial" w:hAnsi="Arial" w:cs="Arial"/>
          <w:lang w:val="en-GB"/>
        </w:rPr>
        <w:t>This may be so, but on the papers before me (including the service affidavit delivered by the applicant’s attorney) it appears that the second respondent did not receive notice of the application.  There was no appearance on its behalf at the hearing of this matter.</w:t>
      </w:r>
    </w:p>
    <w:p w14:paraId="378CF0CC" w14:textId="77777777" w:rsidR="00B727AC" w:rsidRPr="00B727AC" w:rsidRDefault="00B727AC" w:rsidP="00B727AC">
      <w:pPr>
        <w:pStyle w:val="ListParagraph"/>
        <w:spacing w:line="360" w:lineRule="auto"/>
        <w:contextualSpacing w:val="0"/>
        <w:rPr>
          <w:rFonts w:ascii="Arial" w:hAnsi="Arial" w:cs="Arial"/>
          <w:lang w:val="en-GB"/>
        </w:rPr>
      </w:pPr>
    </w:p>
    <w:p w14:paraId="6759E6B9" w14:textId="622F07FC"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39.</w:t>
      </w:r>
      <w:r w:rsidRPr="00EE3AF3">
        <w:rPr>
          <w:rFonts w:ascii="Arial" w:hAnsi="Arial" w:cs="Arial"/>
          <w:lang w:val="en-GB"/>
        </w:rPr>
        <w:tab/>
      </w:r>
      <w:r w:rsidR="001F394F" w:rsidRPr="00372B88">
        <w:rPr>
          <w:rFonts w:ascii="Arial" w:hAnsi="Arial" w:cs="Arial"/>
          <w:lang w:val="en-GB"/>
        </w:rPr>
        <w:t xml:space="preserve">I am hesitant to grant an order that will bind the second respondent to making direct payment of part of an employee’s salary </w:t>
      </w:r>
      <w:r w:rsidR="00B727AC" w:rsidRPr="00372B88">
        <w:rPr>
          <w:rFonts w:ascii="Arial" w:hAnsi="Arial" w:cs="Arial"/>
          <w:lang w:val="en-GB"/>
        </w:rPr>
        <w:t xml:space="preserve">to the applicant </w:t>
      </w:r>
      <w:r w:rsidR="001F394F" w:rsidRPr="00372B88">
        <w:rPr>
          <w:rFonts w:ascii="Arial" w:hAnsi="Arial" w:cs="Arial"/>
          <w:lang w:val="en-GB"/>
        </w:rPr>
        <w:t xml:space="preserve">without such respondent </w:t>
      </w:r>
      <w:r w:rsidR="001F394F" w:rsidRPr="00372B88">
        <w:rPr>
          <w:rFonts w:ascii="Arial" w:hAnsi="Arial" w:cs="Arial"/>
          <w:lang w:val="en-GB"/>
        </w:rPr>
        <w:lastRenderedPageBreak/>
        <w:t>having had notice of the relief sought against it and having had the opportunity to place its view</w:t>
      </w:r>
      <w:r w:rsidR="00B727AC" w:rsidRPr="00372B88">
        <w:rPr>
          <w:rFonts w:ascii="Arial" w:hAnsi="Arial" w:cs="Arial"/>
          <w:lang w:val="en-GB"/>
        </w:rPr>
        <w:t>s on the matter</w:t>
      </w:r>
      <w:r w:rsidR="001F394F" w:rsidRPr="00372B88">
        <w:rPr>
          <w:rFonts w:ascii="Arial" w:hAnsi="Arial" w:cs="Arial"/>
          <w:lang w:val="en-GB"/>
        </w:rPr>
        <w:t xml:space="preserve"> on record (should it wish to do so). </w:t>
      </w:r>
    </w:p>
    <w:p w14:paraId="7EF53606" w14:textId="77777777" w:rsidR="001F394F" w:rsidRPr="00EE3AF3" w:rsidRDefault="001F394F" w:rsidP="001F394F">
      <w:pPr>
        <w:pStyle w:val="ListParagraph"/>
        <w:widowControl w:val="0"/>
        <w:spacing w:line="360" w:lineRule="auto"/>
        <w:ind w:left="709"/>
        <w:jc w:val="both"/>
        <w:rPr>
          <w:rFonts w:ascii="Arial" w:hAnsi="Arial" w:cs="Arial"/>
          <w:lang w:val="en-GB"/>
        </w:rPr>
      </w:pPr>
    </w:p>
    <w:p w14:paraId="202676D2" w14:textId="7B45E1C8"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40.</w:t>
      </w:r>
      <w:r w:rsidRPr="00EE3AF3">
        <w:rPr>
          <w:rFonts w:ascii="Arial" w:hAnsi="Arial" w:cs="Arial"/>
          <w:lang w:val="en-GB"/>
        </w:rPr>
        <w:tab/>
      </w:r>
      <w:r w:rsidR="001F394F" w:rsidRPr="00372B88">
        <w:rPr>
          <w:rFonts w:ascii="Arial" w:hAnsi="Arial" w:cs="Arial"/>
          <w:lang w:val="en-GB"/>
        </w:rPr>
        <w:t>In the circumstances, the relief sought against the second respondent will be postponed together with the contempt relief sought against the first respondent for determination in due course. The applicant’s attorney is to ensure that service take place and that proof thereof is available to the Court determining the relief sought in relation to the second respondent.</w:t>
      </w:r>
    </w:p>
    <w:p w14:paraId="7EA92CD4" w14:textId="77777777" w:rsidR="001F394F" w:rsidRPr="00EE3AF3" w:rsidRDefault="001F394F" w:rsidP="001F394F">
      <w:pPr>
        <w:widowControl w:val="0"/>
        <w:spacing w:line="360" w:lineRule="auto"/>
        <w:jc w:val="both"/>
        <w:rPr>
          <w:rFonts w:ascii="Arial" w:hAnsi="Arial" w:cs="Arial"/>
          <w:lang w:val="en-GB"/>
        </w:rPr>
      </w:pPr>
    </w:p>
    <w:p w14:paraId="3B29B95A" w14:textId="77777777" w:rsidR="001F394F" w:rsidRPr="00EE3AF3" w:rsidRDefault="001F394F" w:rsidP="001F394F">
      <w:pPr>
        <w:widowControl w:val="0"/>
        <w:spacing w:line="360" w:lineRule="auto"/>
        <w:jc w:val="both"/>
        <w:rPr>
          <w:rFonts w:ascii="Arial" w:hAnsi="Arial" w:cs="Arial"/>
          <w:b/>
          <w:bCs/>
          <w:u w:val="single"/>
          <w:lang w:val="en-GB"/>
        </w:rPr>
      </w:pPr>
      <w:r w:rsidRPr="00EE3AF3">
        <w:rPr>
          <w:rFonts w:ascii="Arial" w:hAnsi="Arial" w:cs="Arial"/>
          <w:b/>
          <w:bCs/>
          <w:u w:val="single"/>
          <w:lang w:val="en-GB"/>
        </w:rPr>
        <w:t>Compliance with Rule 41A</w:t>
      </w:r>
    </w:p>
    <w:p w14:paraId="4AB880BF" w14:textId="77777777" w:rsidR="001F394F" w:rsidRPr="00EE3AF3" w:rsidRDefault="001F394F" w:rsidP="001F394F">
      <w:pPr>
        <w:widowControl w:val="0"/>
        <w:spacing w:line="360" w:lineRule="auto"/>
        <w:jc w:val="both"/>
        <w:rPr>
          <w:rFonts w:ascii="Arial" w:hAnsi="Arial" w:cs="Arial"/>
          <w:lang w:val="en-GB"/>
        </w:rPr>
      </w:pPr>
    </w:p>
    <w:p w14:paraId="232FEB11" w14:textId="46F10F9A"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41.</w:t>
      </w:r>
      <w:r w:rsidRPr="00EE3AF3">
        <w:rPr>
          <w:rFonts w:ascii="Arial" w:hAnsi="Arial" w:cs="Arial"/>
          <w:lang w:val="en-GB"/>
        </w:rPr>
        <w:tab/>
      </w:r>
      <w:r w:rsidR="001F394F" w:rsidRPr="00372B88">
        <w:rPr>
          <w:rFonts w:ascii="Arial" w:hAnsi="Arial" w:cs="Arial"/>
          <w:lang w:val="en-GB"/>
        </w:rPr>
        <w:t>The first respondent contends that the applicant has failed to comply with the provisions of Rule 41A, and that that renders the application fatally defective.</w:t>
      </w:r>
    </w:p>
    <w:p w14:paraId="0059B030" w14:textId="77777777" w:rsidR="001F394F" w:rsidRPr="00EE3AF3" w:rsidRDefault="001F394F" w:rsidP="001F394F">
      <w:pPr>
        <w:widowControl w:val="0"/>
        <w:spacing w:line="360" w:lineRule="auto"/>
        <w:ind w:left="709"/>
        <w:jc w:val="both"/>
        <w:rPr>
          <w:rFonts w:ascii="Arial" w:hAnsi="Arial" w:cs="Arial"/>
        </w:rPr>
      </w:pPr>
    </w:p>
    <w:p w14:paraId="0BC8E015" w14:textId="72DF8F7A" w:rsidR="001F394F" w:rsidRPr="00EE3AF3" w:rsidRDefault="00372B88" w:rsidP="00372B88">
      <w:pPr>
        <w:widowControl w:val="0"/>
        <w:tabs>
          <w:tab w:val="left" w:pos="709"/>
        </w:tabs>
        <w:spacing w:line="360" w:lineRule="auto"/>
        <w:ind w:left="709" w:hanging="709"/>
        <w:jc w:val="both"/>
        <w:rPr>
          <w:rFonts w:ascii="Arial" w:hAnsi="Arial" w:cs="Arial"/>
        </w:rPr>
      </w:pPr>
      <w:r w:rsidRPr="00EE3AF3">
        <w:rPr>
          <w:rFonts w:ascii="Arial" w:hAnsi="Arial" w:cs="Arial"/>
        </w:rPr>
        <w:t>42.</w:t>
      </w:r>
      <w:r w:rsidRPr="00EE3AF3">
        <w:rPr>
          <w:rFonts w:ascii="Arial" w:hAnsi="Arial" w:cs="Arial"/>
        </w:rPr>
        <w:tab/>
      </w:r>
      <w:r w:rsidR="001F394F" w:rsidRPr="00EE3AF3">
        <w:rPr>
          <w:rFonts w:ascii="Arial" w:hAnsi="Arial" w:cs="Arial"/>
          <w:lang w:eastAsia="en-GB"/>
        </w:rPr>
        <w:t xml:space="preserve">The applicant admittedly failed to submit the required form.  As stated in the case of </w:t>
      </w:r>
      <w:r w:rsidR="001F394F" w:rsidRPr="00EE3AF3">
        <w:rPr>
          <w:rFonts w:ascii="Arial" w:hAnsi="Arial" w:cs="Arial"/>
          <w:i/>
          <w:iCs/>
          <w:lang w:eastAsia="en-GB"/>
        </w:rPr>
        <w:t xml:space="preserve">M N </w:t>
      </w:r>
      <w:proofErr w:type="gramStart"/>
      <w:r w:rsidR="001F394F" w:rsidRPr="00EE3AF3">
        <w:rPr>
          <w:rFonts w:ascii="Arial" w:hAnsi="Arial" w:cs="Arial"/>
          <w:i/>
          <w:iCs/>
          <w:lang w:eastAsia="en-GB"/>
        </w:rPr>
        <w:t>v</w:t>
      </w:r>
      <w:proofErr w:type="gramEnd"/>
      <w:r w:rsidR="001F394F" w:rsidRPr="00EE3AF3">
        <w:rPr>
          <w:rFonts w:ascii="Arial" w:hAnsi="Arial" w:cs="Arial"/>
          <w:i/>
          <w:iCs/>
          <w:lang w:eastAsia="en-GB"/>
        </w:rPr>
        <w:t xml:space="preserve"> S N</w:t>
      </w:r>
      <w:r w:rsidR="001F394F" w:rsidRPr="00EE3AF3">
        <w:rPr>
          <w:rFonts w:ascii="Arial" w:hAnsi="Arial" w:cs="Arial"/>
          <w:lang w:eastAsia="en-GB"/>
        </w:rPr>
        <w:t xml:space="preserve"> </w:t>
      </w:r>
      <w:r w:rsidR="001F394F" w:rsidRPr="00EE3AF3">
        <w:rPr>
          <w:rFonts w:ascii="Arial" w:hAnsi="Arial" w:cs="Arial"/>
        </w:rPr>
        <w:t>[2020] ZAWCHC 157 (13 November 2020) at para [10] I do not wish to be understood as underestimating the value of mediation and the importance of compliance with the rule. Nevertheless, the first respondent’s legal representative has also not delivered such notice when giving notice of opposition or upon delivering his preliminary answering affidavit, as he was required to do in terms of Rule 41A(2)</w:t>
      </w:r>
      <w:r w:rsidR="001F394F" w:rsidRPr="00B727AC">
        <w:rPr>
          <w:rFonts w:ascii="Arial" w:hAnsi="Arial" w:cs="Arial"/>
        </w:rPr>
        <w:t>(b)</w:t>
      </w:r>
      <w:r w:rsidR="001F394F" w:rsidRPr="00EE3AF3">
        <w:rPr>
          <w:rFonts w:ascii="Arial" w:hAnsi="Arial" w:cs="Arial"/>
        </w:rPr>
        <w:t>. There is no statement under oath from the first respondent that he would have wanted the matter to be referred to mediation.</w:t>
      </w:r>
    </w:p>
    <w:p w14:paraId="3449336A" w14:textId="77777777" w:rsidR="001F394F" w:rsidRPr="00EE3AF3" w:rsidRDefault="001F394F" w:rsidP="001F394F">
      <w:pPr>
        <w:pStyle w:val="ListParagraph"/>
        <w:widowControl w:val="0"/>
        <w:spacing w:line="360" w:lineRule="auto"/>
        <w:ind w:left="709"/>
        <w:jc w:val="both"/>
        <w:rPr>
          <w:rFonts w:ascii="Arial" w:hAnsi="Arial" w:cs="Arial"/>
          <w:lang w:val="en-GB"/>
        </w:rPr>
      </w:pPr>
    </w:p>
    <w:p w14:paraId="77462AAF" w14:textId="2CA5E218"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43.</w:t>
      </w:r>
      <w:r w:rsidRPr="00EE3AF3">
        <w:rPr>
          <w:rFonts w:ascii="Arial" w:hAnsi="Arial" w:cs="Arial"/>
          <w:lang w:val="en-GB"/>
        </w:rPr>
        <w:tab/>
      </w:r>
      <w:r w:rsidR="001F394F" w:rsidRPr="00372B88">
        <w:rPr>
          <w:rFonts w:ascii="Arial" w:hAnsi="Arial" w:cs="Arial"/>
          <w:lang w:val="en-GB"/>
        </w:rPr>
        <w:t>I accordingly do not think that the applicant’s non-compliance with the Rule scuppers her application.</w:t>
      </w:r>
    </w:p>
    <w:p w14:paraId="59E06D94" w14:textId="77777777" w:rsidR="001F394F" w:rsidRPr="00EE3AF3" w:rsidRDefault="001F394F" w:rsidP="001F394F">
      <w:pPr>
        <w:widowControl w:val="0"/>
        <w:spacing w:line="360" w:lineRule="auto"/>
        <w:contextualSpacing/>
        <w:jc w:val="both"/>
        <w:rPr>
          <w:rFonts w:ascii="Arial" w:hAnsi="Arial" w:cs="Arial"/>
          <w:lang w:val="en-GB"/>
        </w:rPr>
      </w:pPr>
    </w:p>
    <w:p w14:paraId="11D89B83" w14:textId="77777777" w:rsidR="001F394F" w:rsidRPr="00EE3AF3" w:rsidRDefault="001F394F" w:rsidP="001F394F">
      <w:pPr>
        <w:widowControl w:val="0"/>
        <w:spacing w:line="360" w:lineRule="auto"/>
        <w:contextualSpacing/>
        <w:jc w:val="both"/>
        <w:rPr>
          <w:rFonts w:ascii="Arial" w:hAnsi="Arial" w:cs="Arial"/>
          <w:b/>
          <w:bCs/>
          <w:u w:val="single"/>
          <w:lang w:val="en-GB"/>
        </w:rPr>
      </w:pPr>
      <w:bookmarkStart w:id="2" w:name="_Hlk104548019"/>
      <w:r w:rsidRPr="00EE3AF3">
        <w:rPr>
          <w:rFonts w:ascii="Arial" w:hAnsi="Arial" w:cs="Arial"/>
          <w:b/>
          <w:bCs/>
          <w:u w:val="single"/>
          <w:lang w:val="en-GB"/>
        </w:rPr>
        <w:t>Costs of the application</w:t>
      </w:r>
    </w:p>
    <w:p w14:paraId="3DD2B4C6" w14:textId="77777777" w:rsidR="001F394F" w:rsidRPr="00EE3AF3" w:rsidRDefault="001F394F" w:rsidP="001F394F">
      <w:pPr>
        <w:widowControl w:val="0"/>
        <w:spacing w:line="360" w:lineRule="auto"/>
        <w:contextualSpacing/>
        <w:jc w:val="both"/>
        <w:rPr>
          <w:rFonts w:ascii="Arial" w:hAnsi="Arial" w:cs="Arial"/>
          <w:lang w:val="en-GB"/>
        </w:rPr>
      </w:pPr>
    </w:p>
    <w:p w14:paraId="576DF502" w14:textId="3844A00A" w:rsidR="001F394F" w:rsidRPr="00372B88" w:rsidRDefault="00372B88" w:rsidP="00372B88">
      <w:pPr>
        <w:widowControl w:val="0"/>
        <w:tabs>
          <w:tab w:val="left" w:pos="709"/>
        </w:tabs>
        <w:spacing w:line="360" w:lineRule="auto"/>
        <w:ind w:left="709" w:hanging="709"/>
        <w:jc w:val="both"/>
        <w:rPr>
          <w:rFonts w:ascii="Arial" w:hAnsi="Arial" w:cs="Arial"/>
          <w:lang w:val="en-GB"/>
        </w:rPr>
      </w:pPr>
      <w:r w:rsidRPr="00EE3AF3">
        <w:rPr>
          <w:rFonts w:ascii="Arial" w:hAnsi="Arial" w:cs="Arial"/>
          <w:lang w:val="en-GB"/>
        </w:rPr>
        <w:t>44.</w:t>
      </w:r>
      <w:r w:rsidRPr="00EE3AF3">
        <w:rPr>
          <w:rFonts w:ascii="Arial" w:hAnsi="Arial" w:cs="Arial"/>
          <w:lang w:val="en-GB"/>
        </w:rPr>
        <w:tab/>
      </w:r>
      <w:r w:rsidR="001F394F" w:rsidRPr="00372B88">
        <w:rPr>
          <w:rFonts w:ascii="Arial" w:hAnsi="Arial" w:cs="Arial"/>
          <w:lang w:val="en-GB"/>
        </w:rPr>
        <w:t>In the exercise of my discretion and given the circumstances of the matter, I am of the view that it would be just and equitable that:</w:t>
      </w:r>
    </w:p>
    <w:p w14:paraId="305D28D7" w14:textId="77777777" w:rsidR="001F394F" w:rsidRPr="00EE3AF3" w:rsidRDefault="001F394F" w:rsidP="001F394F">
      <w:pPr>
        <w:pStyle w:val="ListParagraph"/>
        <w:widowControl w:val="0"/>
        <w:spacing w:line="360" w:lineRule="auto"/>
        <w:ind w:left="1418"/>
        <w:jc w:val="both"/>
        <w:rPr>
          <w:rFonts w:ascii="Arial" w:hAnsi="Arial" w:cs="Arial"/>
          <w:lang w:val="en-GB"/>
        </w:rPr>
      </w:pPr>
    </w:p>
    <w:p w14:paraId="00F49527" w14:textId="15F31622" w:rsidR="001F394F" w:rsidRPr="00372B88" w:rsidRDefault="00372B88" w:rsidP="00372B88">
      <w:pPr>
        <w:widowControl w:val="0"/>
        <w:spacing w:line="360" w:lineRule="auto"/>
        <w:ind w:left="1418" w:hanging="709"/>
        <w:jc w:val="both"/>
        <w:rPr>
          <w:rFonts w:ascii="Arial" w:hAnsi="Arial" w:cs="Arial"/>
          <w:lang w:val="en-GB"/>
        </w:rPr>
      </w:pPr>
      <w:r w:rsidRPr="00EE3AF3">
        <w:rPr>
          <w:rFonts w:ascii="Arial" w:hAnsi="Arial" w:cs="Arial"/>
          <w:lang w:val="en-GB"/>
        </w:rPr>
        <w:t>44.1.</w:t>
      </w:r>
      <w:r w:rsidRPr="00EE3AF3">
        <w:rPr>
          <w:rFonts w:ascii="Arial" w:hAnsi="Arial" w:cs="Arial"/>
          <w:lang w:val="en-GB"/>
        </w:rPr>
        <w:tab/>
      </w:r>
      <w:r w:rsidR="001F394F" w:rsidRPr="00372B88">
        <w:rPr>
          <w:rFonts w:ascii="Arial" w:hAnsi="Arial" w:cs="Arial"/>
          <w:lang w:val="en-GB"/>
        </w:rPr>
        <w:t xml:space="preserve">the first respondent </w:t>
      </w:r>
      <w:proofErr w:type="gramStart"/>
      <w:r w:rsidR="001F394F" w:rsidRPr="00372B88">
        <w:rPr>
          <w:rFonts w:ascii="Arial" w:hAnsi="Arial" w:cs="Arial"/>
          <w:lang w:val="en-GB"/>
        </w:rPr>
        <w:t>pay</w:t>
      </w:r>
      <w:proofErr w:type="gramEnd"/>
      <w:r w:rsidR="001F394F" w:rsidRPr="00372B88">
        <w:rPr>
          <w:rFonts w:ascii="Arial" w:hAnsi="Arial" w:cs="Arial"/>
          <w:lang w:val="en-GB"/>
        </w:rPr>
        <w:t xml:space="preserve"> the costs of the application in terms of Rule 30 on the scale as between party and party; and</w:t>
      </w:r>
    </w:p>
    <w:p w14:paraId="420AB2DD" w14:textId="77777777" w:rsidR="001F394F" w:rsidRPr="00EE3AF3" w:rsidRDefault="001F394F" w:rsidP="001F394F">
      <w:pPr>
        <w:pStyle w:val="ListParagraph"/>
        <w:widowControl w:val="0"/>
        <w:spacing w:line="360" w:lineRule="auto"/>
        <w:ind w:left="1418"/>
        <w:jc w:val="both"/>
        <w:rPr>
          <w:rFonts w:ascii="Arial" w:hAnsi="Arial" w:cs="Arial"/>
          <w:lang w:val="en-GB"/>
        </w:rPr>
      </w:pPr>
    </w:p>
    <w:p w14:paraId="2F7C9CE2" w14:textId="5EDE14FD" w:rsidR="001F394F" w:rsidRPr="00372B88" w:rsidRDefault="00372B88" w:rsidP="00372B88">
      <w:pPr>
        <w:widowControl w:val="0"/>
        <w:spacing w:line="360" w:lineRule="auto"/>
        <w:ind w:left="1418" w:hanging="709"/>
        <w:jc w:val="both"/>
        <w:rPr>
          <w:rFonts w:ascii="Arial" w:hAnsi="Arial" w:cs="Arial"/>
          <w:lang w:val="en-GB"/>
        </w:rPr>
      </w:pPr>
      <w:r w:rsidRPr="00EE3AF3">
        <w:rPr>
          <w:rFonts w:ascii="Arial" w:hAnsi="Arial" w:cs="Arial"/>
          <w:lang w:val="en-GB"/>
        </w:rPr>
        <w:lastRenderedPageBreak/>
        <w:t>44.2.</w:t>
      </w:r>
      <w:r w:rsidRPr="00EE3AF3">
        <w:rPr>
          <w:rFonts w:ascii="Arial" w:hAnsi="Arial" w:cs="Arial"/>
          <w:lang w:val="en-GB"/>
        </w:rPr>
        <w:tab/>
      </w:r>
      <w:r w:rsidR="001F394F" w:rsidRPr="00372B88">
        <w:rPr>
          <w:rFonts w:ascii="Arial" w:hAnsi="Arial" w:cs="Arial"/>
          <w:lang w:val="en-GB"/>
        </w:rPr>
        <w:t xml:space="preserve">the costs of the application in relation to the relief sought in paragraphs 3 to 7 of the applicant’s notice of motion stand over for determination by the Court hearing the contempt application and the application for the payment of the sums owing under the Rule 43 order by the second respondent to the applicant directly.  </w:t>
      </w:r>
    </w:p>
    <w:p w14:paraId="5A9B4BD0" w14:textId="77777777" w:rsidR="001F394F" w:rsidRPr="00EE3AF3" w:rsidRDefault="001F394F" w:rsidP="001F394F">
      <w:pPr>
        <w:pStyle w:val="ListParagraph"/>
        <w:widowControl w:val="0"/>
        <w:spacing w:line="360" w:lineRule="auto"/>
        <w:ind w:left="709"/>
        <w:jc w:val="both"/>
        <w:rPr>
          <w:rFonts w:ascii="Arial" w:hAnsi="Arial" w:cs="Arial"/>
          <w:lang w:val="en-GB"/>
        </w:rPr>
      </w:pPr>
    </w:p>
    <w:p w14:paraId="12B84FDE" w14:textId="77777777" w:rsidR="001F394F" w:rsidRPr="00EE3AF3" w:rsidRDefault="001F394F" w:rsidP="001F394F">
      <w:pPr>
        <w:pStyle w:val="Heading1"/>
        <w:spacing w:before="0" w:after="0" w:line="360" w:lineRule="auto"/>
        <w:contextualSpacing/>
        <w:jc w:val="both"/>
        <w:rPr>
          <w:rFonts w:ascii="Arial" w:hAnsi="Arial" w:cs="Arial"/>
          <w:sz w:val="24"/>
          <w:szCs w:val="24"/>
          <w:lang w:val="en-GB"/>
        </w:rPr>
      </w:pPr>
      <w:r w:rsidRPr="00EE3AF3">
        <w:rPr>
          <w:rFonts w:ascii="Arial" w:hAnsi="Arial" w:cs="Arial"/>
          <w:b/>
          <w:bCs/>
          <w:sz w:val="24"/>
          <w:szCs w:val="24"/>
          <w:u w:val="single"/>
          <w:lang w:val="en-GB"/>
        </w:rPr>
        <w:t>Order</w:t>
      </w:r>
    </w:p>
    <w:p w14:paraId="43DCC14E" w14:textId="77777777" w:rsidR="001F394F" w:rsidRPr="00EE3AF3" w:rsidRDefault="001F394F" w:rsidP="001F394F">
      <w:pPr>
        <w:pStyle w:val="Heading1"/>
        <w:spacing w:before="0" w:after="0" w:line="360" w:lineRule="auto"/>
        <w:ind w:left="709"/>
        <w:contextualSpacing/>
        <w:jc w:val="both"/>
        <w:rPr>
          <w:rFonts w:ascii="Arial" w:hAnsi="Arial" w:cs="Arial"/>
          <w:sz w:val="24"/>
          <w:szCs w:val="24"/>
          <w:lang w:val="en-GB"/>
        </w:rPr>
      </w:pPr>
    </w:p>
    <w:p w14:paraId="1D0B8C23" w14:textId="34E97FD9" w:rsidR="00B727AC" w:rsidRDefault="00372B88" w:rsidP="00372B88">
      <w:pPr>
        <w:pStyle w:val="Heading1"/>
        <w:spacing w:before="0" w:after="0" w:line="360" w:lineRule="auto"/>
        <w:ind w:left="709" w:hanging="709"/>
        <w:contextualSpacing/>
        <w:jc w:val="both"/>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1F394F" w:rsidRPr="00EE3AF3">
        <w:rPr>
          <w:rFonts w:ascii="Arial" w:hAnsi="Arial" w:cs="Arial"/>
          <w:sz w:val="24"/>
          <w:szCs w:val="24"/>
          <w:lang w:val="en-GB"/>
        </w:rPr>
        <w:t>I accordingly grant the following order:</w:t>
      </w:r>
    </w:p>
    <w:p w14:paraId="0609DE2A" w14:textId="77777777" w:rsidR="00B727AC" w:rsidRDefault="00B727AC" w:rsidP="00B727AC">
      <w:pPr>
        <w:pStyle w:val="Heading1"/>
        <w:spacing w:before="0" w:after="0" w:line="360" w:lineRule="auto"/>
        <w:ind w:left="1418"/>
        <w:contextualSpacing/>
        <w:jc w:val="both"/>
        <w:rPr>
          <w:rFonts w:ascii="Arial" w:hAnsi="Arial" w:cs="Arial"/>
          <w:sz w:val="24"/>
          <w:szCs w:val="24"/>
          <w:lang w:val="en-GB"/>
        </w:rPr>
      </w:pPr>
    </w:p>
    <w:p w14:paraId="144E28C9" w14:textId="3B39D692" w:rsidR="00B727AC" w:rsidRDefault="00372B88" w:rsidP="00372B88">
      <w:pPr>
        <w:pStyle w:val="Heading1"/>
        <w:spacing w:before="0" w:after="0" w:line="360" w:lineRule="auto"/>
        <w:ind w:left="1418" w:hanging="709"/>
        <w:contextualSpacing/>
        <w:jc w:val="both"/>
        <w:rPr>
          <w:rFonts w:ascii="Arial" w:hAnsi="Arial" w:cs="Arial"/>
          <w:sz w:val="24"/>
          <w:szCs w:val="24"/>
          <w:lang w:val="en-GB"/>
        </w:rPr>
      </w:pPr>
      <w:r>
        <w:rPr>
          <w:rFonts w:ascii="Arial" w:hAnsi="Arial" w:cs="Arial"/>
          <w:sz w:val="24"/>
          <w:szCs w:val="24"/>
          <w:lang w:val="en-GB"/>
        </w:rPr>
        <w:t>45.1.</w:t>
      </w:r>
      <w:r>
        <w:rPr>
          <w:rFonts w:ascii="Arial" w:hAnsi="Arial" w:cs="Arial"/>
          <w:sz w:val="24"/>
          <w:szCs w:val="24"/>
          <w:lang w:val="en-GB"/>
        </w:rPr>
        <w:tab/>
      </w:r>
      <w:r w:rsidR="001F394F" w:rsidRPr="00B727AC">
        <w:rPr>
          <w:rFonts w:ascii="Arial" w:hAnsi="Arial" w:cs="Arial"/>
          <w:sz w:val="24"/>
          <w:szCs w:val="24"/>
          <w:lang w:val="en-GB"/>
        </w:rPr>
        <w:t>The application is heard as one of urgency under Rule 6(12) and the applicant’s non-compliance with the forms, service and time periods prescribed by the Uniform Rules of Court is condoned.</w:t>
      </w:r>
    </w:p>
    <w:p w14:paraId="52D37F64" w14:textId="77777777" w:rsidR="00B727AC" w:rsidRDefault="00B727AC" w:rsidP="00B727AC">
      <w:pPr>
        <w:pStyle w:val="Heading1"/>
        <w:spacing w:before="0" w:after="0" w:line="360" w:lineRule="auto"/>
        <w:ind w:left="1418"/>
        <w:contextualSpacing/>
        <w:jc w:val="both"/>
        <w:rPr>
          <w:rFonts w:ascii="Arial" w:hAnsi="Arial" w:cs="Arial"/>
          <w:sz w:val="24"/>
          <w:szCs w:val="24"/>
          <w:lang w:val="en-GB"/>
        </w:rPr>
      </w:pPr>
    </w:p>
    <w:p w14:paraId="472A9A54" w14:textId="21AE6A89" w:rsidR="00B727AC" w:rsidRDefault="00372B88" w:rsidP="00372B88">
      <w:pPr>
        <w:pStyle w:val="Heading1"/>
        <w:spacing w:before="0" w:after="0" w:line="360" w:lineRule="auto"/>
        <w:ind w:left="1418" w:hanging="709"/>
        <w:contextualSpacing/>
        <w:jc w:val="both"/>
        <w:rPr>
          <w:rFonts w:ascii="Arial" w:hAnsi="Arial" w:cs="Arial"/>
          <w:sz w:val="24"/>
          <w:szCs w:val="24"/>
          <w:lang w:val="en-GB"/>
        </w:rPr>
      </w:pPr>
      <w:r>
        <w:rPr>
          <w:rFonts w:ascii="Arial" w:hAnsi="Arial" w:cs="Arial"/>
          <w:sz w:val="24"/>
          <w:szCs w:val="24"/>
          <w:lang w:val="en-GB"/>
        </w:rPr>
        <w:t>45.2.</w:t>
      </w:r>
      <w:r>
        <w:rPr>
          <w:rFonts w:ascii="Arial" w:hAnsi="Arial" w:cs="Arial"/>
          <w:sz w:val="24"/>
          <w:szCs w:val="24"/>
          <w:lang w:val="en-GB"/>
        </w:rPr>
        <w:tab/>
      </w:r>
      <w:r w:rsidR="001F394F" w:rsidRPr="00B727AC">
        <w:rPr>
          <w:rFonts w:ascii="Arial" w:hAnsi="Arial" w:cs="Arial"/>
          <w:sz w:val="24"/>
          <w:szCs w:val="24"/>
          <w:lang w:val="en-GB"/>
        </w:rPr>
        <w:t xml:space="preserve">The first respondent’s notice of application for leave to appeal against the Rule 43 order granted on 17 October 2022 is set aside.  </w:t>
      </w:r>
    </w:p>
    <w:p w14:paraId="7256E329" w14:textId="77777777" w:rsidR="00B727AC" w:rsidRDefault="00B727AC" w:rsidP="00B727AC">
      <w:pPr>
        <w:pStyle w:val="Heading1"/>
        <w:spacing w:before="0" w:after="0" w:line="360" w:lineRule="auto"/>
        <w:ind w:left="1418"/>
        <w:contextualSpacing/>
        <w:jc w:val="both"/>
        <w:rPr>
          <w:rFonts w:ascii="Arial" w:hAnsi="Arial" w:cs="Arial"/>
          <w:sz w:val="24"/>
          <w:szCs w:val="24"/>
          <w:lang w:val="en-GB"/>
        </w:rPr>
      </w:pPr>
    </w:p>
    <w:p w14:paraId="3B0FAA3E" w14:textId="4754F7AC" w:rsidR="00B727AC" w:rsidRDefault="00372B88" w:rsidP="00372B88">
      <w:pPr>
        <w:pStyle w:val="Heading1"/>
        <w:spacing w:before="0" w:after="0" w:line="360" w:lineRule="auto"/>
        <w:ind w:left="1418" w:hanging="709"/>
        <w:contextualSpacing/>
        <w:jc w:val="both"/>
        <w:rPr>
          <w:rFonts w:ascii="Arial" w:hAnsi="Arial" w:cs="Arial"/>
          <w:sz w:val="24"/>
          <w:szCs w:val="24"/>
          <w:lang w:val="en-GB"/>
        </w:rPr>
      </w:pPr>
      <w:r>
        <w:rPr>
          <w:rFonts w:ascii="Arial" w:hAnsi="Arial" w:cs="Arial"/>
          <w:sz w:val="24"/>
          <w:szCs w:val="24"/>
          <w:lang w:val="en-GB"/>
        </w:rPr>
        <w:t>45.3.</w:t>
      </w:r>
      <w:r>
        <w:rPr>
          <w:rFonts w:ascii="Arial" w:hAnsi="Arial" w:cs="Arial"/>
          <w:sz w:val="24"/>
          <w:szCs w:val="24"/>
          <w:lang w:val="en-GB"/>
        </w:rPr>
        <w:tab/>
      </w:r>
      <w:r w:rsidR="001F394F" w:rsidRPr="00B727AC">
        <w:rPr>
          <w:rFonts w:ascii="Arial" w:hAnsi="Arial" w:cs="Arial"/>
          <w:sz w:val="24"/>
          <w:szCs w:val="24"/>
          <w:lang w:val="en-GB"/>
        </w:rPr>
        <w:t xml:space="preserve">The application for the relief sought in paragraphs 3, 4, 5, 6, and 7 of the applicant’s notice of motion dated 13 December 2022 is postponed for hearing on the semi-urgent roll on Wednesday, 31 May 2023. </w:t>
      </w:r>
    </w:p>
    <w:p w14:paraId="01A56B74" w14:textId="77777777" w:rsidR="00B727AC" w:rsidRDefault="00B727AC" w:rsidP="00B727AC">
      <w:pPr>
        <w:pStyle w:val="Heading1"/>
        <w:spacing w:before="0" w:after="0" w:line="360" w:lineRule="auto"/>
        <w:ind w:left="1418"/>
        <w:contextualSpacing/>
        <w:jc w:val="both"/>
        <w:rPr>
          <w:rFonts w:ascii="Arial" w:hAnsi="Arial" w:cs="Arial"/>
          <w:sz w:val="24"/>
          <w:szCs w:val="24"/>
          <w:lang w:val="en-GB"/>
        </w:rPr>
      </w:pPr>
    </w:p>
    <w:p w14:paraId="3CCAC783" w14:textId="4518111A" w:rsidR="00B727AC" w:rsidRDefault="00372B88" w:rsidP="00372B88">
      <w:pPr>
        <w:pStyle w:val="Heading1"/>
        <w:spacing w:before="0" w:after="0" w:line="360" w:lineRule="auto"/>
        <w:ind w:left="1418" w:hanging="709"/>
        <w:contextualSpacing/>
        <w:jc w:val="both"/>
        <w:rPr>
          <w:rFonts w:ascii="Arial" w:hAnsi="Arial" w:cs="Arial"/>
          <w:sz w:val="24"/>
          <w:szCs w:val="24"/>
          <w:lang w:val="en-GB"/>
        </w:rPr>
      </w:pPr>
      <w:r>
        <w:rPr>
          <w:rFonts w:ascii="Arial" w:hAnsi="Arial" w:cs="Arial"/>
          <w:sz w:val="24"/>
          <w:szCs w:val="24"/>
          <w:lang w:val="en-GB"/>
        </w:rPr>
        <w:t>45.4.</w:t>
      </w:r>
      <w:r>
        <w:rPr>
          <w:rFonts w:ascii="Arial" w:hAnsi="Arial" w:cs="Arial"/>
          <w:sz w:val="24"/>
          <w:szCs w:val="24"/>
          <w:lang w:val="en-GB"/>
        </w:rPr>
        <w:tab/>
      </w:r>
      <w:r w:rsidR="001F394F" w:rsidRPr="00B727AC">
        <w:rPr>
          <w:rFonts w:ascii="Arial" w:hAnsi="Arial" w:cs="Arial"/>
          <w:sz w:val="24"/>
          <w:szCs w:val="24"/>
          <w:lang w:val="en-GB"/>
        </w:rPr>
        <w:t xml:space="preserve">The respondents shall deliver answering affidavits in relation to the relief sought in paragraphs 3 to 7 of the applicant’s notice of motion by no later than Friday, 24 February 2023. </w:t>
      </w:r>
    </w:p>
    <w:p w14:paraId="2F2DF414" w14:textId="77777777" w:rsidR="00B727AC" w:rsidRDefault="00B727AC" w:rsidP="00B727AC">
      <w:pPr>
        <w:pStyle w:val="Heading1"/>
        <w:spacing w:before="0" w:after="0" w:line="360" w:lineRule="auto"/>
        <w:ind w:left="1418"/>
        <w:contextualSpacing/>
        <w:jc w:val="both"/>
        <w:rPr>
          <w:rFonts w:ascii="Arial" w:hAnsi="Arial" w:cs="Arial"/>
          <w:sz w:val="24"/>
          <w:szCs w:val="24"/>
          <w:lang w:val="en-GB"/>
        </w:rPr>
      </w:pPr>
    </w:p>
    <w:p w14:paraId="1B5F3265" w14:textId="6CEC6CD5" w:rsidR="00B727AC" w:rsidRDefault="00372B88" w:rsidP="00372B88">
      <w:pPr>
        <w:pStyle w:val="Heading1"/>
        <w:spacing w:before="0" w:after="0" w:line="360" w:lineRule="auto"/>
        <w:ind w:left="1418" w:hanging="709"/>
        <w:contextualSpacing/>
        <w:jc w:val="both"/>
        <w:rPr>
          <w:rFonts w:ascii="Arial" w:hAnsi="Arial" w:cs="Arial"/>
          <w:sz w:val="24"/>
          <w:szCs w:val="24"/>
          <w:lang w:val="en-GB"/>
        </w:rPr>
      </w:pPr>
      <w:r>
        <w:rPr>
          <w:rFonts w:ascii="Arial" w:hAnsi="Arial" w:cs="Arial"/>
          <w:sz w:val="24"/>
          <w:szCs w:val="24"/>
          <w:lang w:val="en-GB"/>
        </w:rPr>
        <w:t>45.5.</w:t>
      </w:r>
      <w:r>
        <w:rPr>
          <w:rFonts w:ascii="Arial" w:hAnsi="Arial" w:cs="Arial"/>
          <w:sz w:val="24"/>
          <w:szCs w:val="24"/>
          <w:lang w:val="en-GB"/>
        </w:rPr>
        <w:tab/>
      </w:r>
      <w:r w:rsidR="001F394F" w:rsidRPr="00B727AC">
        <w:rPr>
          <w:rFonts w:ascii="Arial" w:hAnsi="Arial" w:cs="Arial"/>
          <w:sz w:val="24"/>
          <w:szCs w:val="24"/>
          <w:lang w:val="en-GB"/>
        </w:rPr>
        <w:t>The applicant shall deliver her replying affidavit(s) by no later than Friday, 17 March 2023.</w:t>
      </w:r>
    </w:p>
    <w:p w14:paraId="2E3F6DE2" w14:textId="77777777" w:rsidR="00B727AC" w:rsidRDefault="00B727AC" w:rsidP="00B727AC">
      <w:pPr>
        <w:pStyle w:val="Heading1"/>
        <w:spacing w:before="0" w:after="0" w:line="360" w:lineRule="auto"/>
        <w:ind w:left="1418"/>
        <w:contextualSpacing/>
        <w:jc w:val="both"/>
        <w:rPr>
          <w:rFonts w:ascii="Arial" w:hAnsi="Arial" w:cs="Arial"/>
          <w:sz w:val="24"/>
          <w:szCs w:val="24"/>
          <w:lang w:val="en-GB"/>
        </w:rPr>
      </w:pPr>
    </w:p>
    <w:p w14:paraId="4EE99F5F" w14:textId="7FB20EBD" w:rsidR="001F394F" w:rsidRPr="00B727AC" w:rsidRDefault="00372B88" w:rsidP="00372B88">
      <w:pPr>
        <w:pStyle w:val="Heading1"/>
        <w:spacing w:before="0" w:after="0" w:line="360" w:lineRule="auto"/>
        <w:ind w:left="1418" w:hanging="709"/>
        <w:contextualSpacing/>
        <w:jc w:val="both"/>
        <w:rPr>
          <w:rFonts w:ascii="Arial" w:hAnsi="Arial" w:cs="Arial"/>
          <w:sz w:val="24"/>
          <w:szCs w:val="24"/>
          <w:lang w:val="en-GB"/>
        </w:rPr>
      </w:pPr>
      <w:r w:rsidRPr="00B727AC">
        <w:rPr>
          <w:rFonts w:ascii="Arial" w:hAnsi="Arial" w:cs="Arial"/>
          <w:sz w:val="24"/>
          <w:szCs w:val="24"/>
          <w:lang w:val="en-GB"/>
        </w:rPr>
        <w:t>45.6.</w:t>
      </w:r>
      <w:r w:rsidRPr="00B727AC">
        <w:rPr>
          <w:rFonts w:ascii="Arial" w:hAnsi="Arial" w:cs="Arial"/>
          <w:sz w:val="24"/>
          <w:szCs w:val="24"/>
          <w:lang w:val="en-GB"/>
        </w:rPr>
        <w:tab/>
      </w:r>
      <w:r w:rsidR="001F394F" w:rsidRPr="00B727AC">
        <w:rPr>
          <w:rFonts w:ascii="Arial" w:hAnsi="Arial" w:cs="Arial"/>
          <w:sz w:val="24"/>
          <w:szCs w:val="24"/>
          <w:lang w:val="en-GB"/>
        </w:rPr>
        <w:t>The parties shall deliver heads of argument in accordance with the provisions of the Consolidated Practice Directions.</w:t>
      </w:r>
    </w:p>
    <w:p w14:paraId="7393E99B" w14:textId="77777777" w:rsidR="001F394F" w:rsidRPr="00EE3AF3" w:rsidRDefault="001F394F" w:rsidP="001F394F">
      <w:pPr>
        <w:pStyle w:val="Heading1"/>
        <w:spacing w:before="0" w:after="0" w:line="360" w:lineRule="auto"/>
        <w:ind w:left="1418"/>
        <w:contextualSpacing/>
        <w:jc w:val="both"/>
        <w:rPr>
          <w:rFonts w:ascii="Arial" w:hAnsi="Arial" w:cs="Arial"/>
          <w:sz w:val="24"/>
          <w:szCs w:val="24"/>
          <w:lang w:val="en-GB"/>
        </w:rPr>
      </w:pPr>
    </w:p>
    <w:p w14:paraId="0C75E74F" w14:textId="1558834E" w:rsidR="001F394F" w:rsidRPr="00372B88" w:rsidRDefault="00372B88" w:rsidP="00372B88">
      <w:pPr>
        <w:widowControl w:val="0"/>
        <w:spacing w:line="360" w:lineRule="auto"/>
        <w:ind w:left="1418" w:hanging="709"/>
        <w:jc w:val="both"/>
        <w:rPr>
          <w:rFonts w:ascii="Arial" w:hAnsi="Arial" w:cs="Arial"/>
          <w:lang w:val="en-GB"/>
        </w:rPr>
      </w:pPr>
      <w:r w:rsidRPr="00EE3AF3">
        <w:rPr>
          <w:rFonts w:ascii="Arial" w:hAnsi="Arial" w:cs="Arial"/>
          <w:lang w:val="en-GB"/>
        </w:rPr>
        <w:t>45.7.</w:t>
      </w:r>
      <w:r w:rsidRPr="00EE3AF3">
        <w:rPr>
          <w:rFonts w:ascii="Arial" w:hAnsi="Arial" w:cs="Arial"/>
          <w:lang w:val="en-GB"/>
        </w:rPr>
        <w:tab/>
      </w:r>
      <w:r w:rsidR="001F394F" w:rsidRPr="00372B88">
        <w:rPr>
          <w:rFonts w:ascii="Arial" w:hAnsi="Arial" w:cs="Arial"/>
          <w:lang w:val="en-GB"/>
        </w:rPr>
        <w:t>The first respondent shall pay the costs of the application in terms of Rule 30 on the scale as between party and party.</w:t>
      </w:r>
    </w:p>
    <w:p w14:paraId="223768E4" w14:textId="77777777" w:rsidR="001F394F" w:rsidRPr="00EE3AF3" w:rsidRDefault="001F394F" w:rsidP="001F394F">
      <w:pPr>
        <w:pStyle w:val="ListParagraph"/>
        <w:widowControl w:val="0"/>
        <w:spacing w:line="360" w:lineRule="auto"/>
        <w:ind w:left="1418"/>
        <w:jc w:val="both"/>
        <w:rPr>
          <w:rFonts w:ascii="Arial" w:hAnsi="Arial" w:cs="Arial"/>
          <w:lang w:val="en-GB"/>
        </w:rPr>
      </w:pPr>
    </w:p>
    <w:p w14:paraId="42BFA63B" w14:textId="45AE0B7F" w:rsidR="001F394F" w:rsidRPr="00372B88" w:rsidRDefault="00372B88" w:rsidP="00372B88">
      <w:pPr>
        <w:widowControl w:val="0"/>
        <w:spacing w:line="360" w:lineRule="auto"/>
        <w:ind w:left="1418" w:hanging="709"/>
        <w:jc w:val="both"/>
        <w:rPr>
          <w:rFonts w:ascii="Arial" w:hAnsi="Arial" w:cs="Arial"/>
          <w:lang w:val="en-GB"/>
        </w:rPr>
      </w:pPr>
      <w:r w:rsidRPr="00EE3AF3">
        <w:rPr>
          <w:rFonts w:ascii="Arial" w:hAnsi="Arial" w:cs="Arial"/>
          <w:lang w:val="en-GB"/>
        </w:rPr>
        <w:lastRenderedPageBreak/>
        <w:t>45.8.</w:t>
      </w:r>
      <w:r w:rsidRPr="00EE3AF3">
        <w:rPr>
          <w:rFonts w:ascii="Arial" w:hAnsi="Arial" w:cs="Arial"/>
          <w:lang w:val="en-GB"/>
        </w:rPr>
        <w:tab/>
      </w:r>
      <w:r w:rsidR="001F394F" w:rsidRPr="00372B88">
        <w:rPr>
          <w:rFonts w:ascii="Arial" w:hAnsi="Arial" w:cs="Arial"/>
          <w:lang w:val="en-GB"/>
        </w:rPr>
        <w:t>All other questions of costs (in particular, the costs of the application in relation to the relief sought in paragraphs 3 to 7 of the applicant’s notice of motion) stand over for determination by the Court hearing such application.</w:t>
      </w:r>
    </w:p>
    <w:p w14:paraId="4D58F023" w14:textId="77777777" w:rsidR="001F394F" w:rsidRPr="00EE3AF3" w:rsidRDefault="001F394F" w:rsidP="001F394F">
      <w:pPr>
        <w:widowControl w:val="0"/>
        <w:spacing w:line="360" w:lineRule="auto"/>
        <w:ind w:left="5040" w:firstLine="720"/>
        <w:contextualSpacing/>
        <w:jc w:val="both"/>
        <w:rPr>
          <w:rFonts w:ascii="Arial" w:hAnsi="Arial" w:cs="Arial"/>
          <w:lang w:val="en-GB"/>
        </w:rPr>
      </w:pPr>
    </w:p>
    <w:p w14:paraId="14D61AEC" w14:textId="24CDC348" w:rsidR="001F394F" w:rsidRPr="00EE3AF3" w:rsidRDefault="003431B6" w:rsidP="003431B6">
      <w:pPr>
        <w:widowControl w:val="0"/>
        <w:spacing w:line="360" w:lineRule="auto"/>
        <w:ind w:left="5760"/>
        <w:contextualSpacing/>
        <w:jc w:val="both"/>
        <w:rPr>
          <w:rFonts w:ascii="Arial" w:hAnsi="Arial" w:cs="Arial"/>
          <w:lang w:val="en-GB"/>
        </w:rPr>
      </w:pPr>
      <w:r>
        <w:rPr>
          <w:rFonts w:ascii="Arial" w:hAnsi="Arial" w:cs="Arial"/>
          <w:noProof/>
          <w:lang w:val="en-ZA" w:eastAsia="en-ZA"/>
        </w:rPr>
        <w:drawing>
          <wp:inline distT="0" distB="0" distL="0" distR="0" wp14:anchorId="57D64117" wp14:editId="4527D972">
            <wp:extent cx="2093595" cy="55720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2221043" cy="591122"/>
                    </a:xfrm>
                    <a:prstGeom prst="rect">
                      <a:avLst/>
                    </a:prstGeom>
                  </pic:spPr>
                </pic:pic>
              </a:graphicData>
            </a:graphic>
          </wp:inline>
        </w:drawing>
      </w:r>
      <w:r w:rsidR="001F394F" w:rsidRPr="00EE3AF3">
        <w:rPr>
          <w:rFonts w:ascii="Arial" w:hAnsi="Arial" w:cs="Arial"/>
          <w:lang w:val="en-GB"/>
        </w:rPr>
        <w:t>____________________</w:t>
      </w:r>
    </w:p>
    <w:p w14:paraId="74D39F01" w14:textId="77777777" w:rsidR="001F394F" w:rsidRPr="00EE3AF3" w:rsidRDefault="001F394F" w:rsidP="001F394F">
      <w:pPr>
        <w:widowControl w:val="0"/>
        <w:spacing w:line="360" w:lineRule="auto"/>
        <w:ind w:left="5040" w:firstLine="720"/>
        <w:contextualSpacing/>
        <w:outlineLvl w:val="0"/>
        <w:rPr>
          <w:rFonts w:ascii="Arial" w:hAnsi="Arial" w:cs="Arial"/>
          <w:b/>
          <w:bCs/>
          <w:lang w:val="en-GB"/>
        </w:rPr>
      </w:pPr>
      <w:r w:rsidRPr="00EE3AF3">
        <w:rPr>
          <w:rFonts w:ascii="Arial" w:hAnsi="Arial" w:cs="Arial"/>
          <w:b/>
          <w:bCs/>
          <w:lang w:val="en-GB"/>
        </w:rPr>
        <w:t>P. S. VAN ZYL</w:t>
      </w:r>
    </w:p>
    <w:p w14:paraId="7587F04E" w14:textId="77777777" w:rsidR="001F394F" w:rsidRPr="00EE3AF3" w:rsidRDefault="001F394F" w:rsidP="001F394F">
      <w:pPr>
        <w:widowControl w:val="0"/>
        <w:spacing w:line="360" w:lineRule="auto"/>
        <w:ind w:left="5760"/>
        <w:contextualSpacing/>
        <w:outlineLvl w:val="0"/>
        <w:rPr>
          <w:rFonts w:ascii="Arial" w:hAnsi="Arial" w:cs="Arial"/>
          <w:b/>
          <w:bCs/>
          <w:lang w:val="en-GB"/>
        </w:rPr>
      </w:pPr>
      <w:r w:rsidRPr="00EE3AF3">
        <w:rPr>
          <w:rFonts w:ascii="Arial" w:hAnsi="Arial" w:cs="Arial"/>
          <w:b/>
          <w:bCs/>
          <w:lang w:val="en-GB"/>
        </w:rPr>
        <w:t>Acting judge of the High Court</w:t>
      </w:r>
    </w:p>
    <w:p w14:paraId="7B1AE5C8" w14:textId="77777777" w:rsidR="001F394F" w:rsidRPr="00EE3AF3" w:rsidRDefault="001F394F" w:rsidP="001F394F">
      <w:pPr>
        <w:widowControl w:val="0"/>
        <w:spacing w:line="360" w:lineRule="auto"/>
        <w:contextualSpacing/>
        <w:outlineLvl w:val="0"/>
        <w:rPr>
          <w:rFonts w:ascii="Arial" w:hAnsi="Arial" w:cs="Arial"/>
          <w:b/>
          <w:bCs/>
          <w:lang w:val="en-GB"/>
        </w:rPr>
      </w:pPr>
    </w:p>
    <w:p w14:paraId="51EE16D3" w14:textId="77777777" w:rsidR="001F394F" w:rsidRPr="00EE3AF3" w:rsidRDefault="001F394F" w:rsidP="001F394F">
      <w:pPr>
        <w:widowControl w:val="0"/>
        <w:spacing w:line="360" w:lineRule="auto"/>
        <w:contextualSpacing/>
        <w:jc w:val="both"/>
        <w:outlineLvl w:val="0"/>
        <w:rPr>
          <w:rFonts w:ascii="Arial" w:hAnsi="Arial" w:cs="Arial"/>
          <w:b/>
          <w:bCs/>
          <w:u w:val="single"/>
          <w:lang w:val="en-GB"/>
        </w:rPr>
      </w:pPr>
      <w:r w:rsidRPr="00EE3AF3">
        <w:rPr>
          <w:rFonts w:ascii="Arial" w:hAnsi="Arial" w:cs="Arial"/>
          <w:b/>
          <w:bCs/>
          <w:u w:val="single"/>
          <w:lang w:val="en-GB"/>
        </w:rPr>
        <w:t>Appearances:</w:t>
      </w:r>
    </w:p>
    <w:p w14:paraId="35EE8F85" w14:textId="77777777" w:rsidR="001F394F" w:rsidRPr="00EE3AF3" w:rsidRDefault="001F394F" w:rsidP="001F394F">
      <w:pPr>
        <w:widowControl w:val="0"/>
        <w:spacing w:line="360" w:lineRule="auto"/>
        <w:ind w:left="3600" w:hanging="3600"/>
        <w:contextualSpacing/>
        <w:jc w:val="both"/>
        <w:outlineLvl w:val="0"/>
        <w:rPr>
          <w:rFonts w:ascii="Arial" w:hAnsi="Arial" w:cs="Arial"/>
          <w:b/>
          <w:bCs/>
          <w:lang w:val="en-GB"/>
        </w:rPr>
      </w:pPr>
    </w:p>
    <w:p w14:paraId="1C04A641" w14:textId="77777777" w:rsidR="001F394F" w:rsidRPr="00EE3AF3" w:rsidRDefault="001F394F" w:rsidP="001F394F">
      <w:pPr>
        <w:widowControl w:val="0"/>
        <w:spacing w:line="360" w:lineRule="auto"/>
        <w:ind w:left="3600" w:hanging="3600"/>
        <w:contextualSpacing/>
        <w:jc w:val="both"/>
        <w:outlineLvl w:val="0"/>
        <w:rPr>
          <w:rFonts w:ascii="Arial" w:hAnsi="Arial" w:cs="Arial"/>
          <w:lang w:val="en-GB"/>
        </w:rPr>
      </w:pPr>
      <w:r w:rsidRPr="00EE3AF3">
        <w:rPr>
          <w:rFonts w:ascii="Arial" w:hAnsi="Arial" w:cs="Arial"/>
          <w:b/>
          <w:bCs/>
          <w:lang w:val="en-GB"/>
        </w:rPr>
        <w:t xml:space="preserve">For the applicant: </w:t>
      </w:r>
      <w:r w:rsidRPr="00EE3AF3">
        <w:rPr>
          <w:rFonts w:ascii="Arial" w:hAnsi="Arial" w:cs="Arial"/>
          <w:lang w:val="en-GB"/>
        </w:rPr>
        <w:t xml:space="preserve"> </w:t>
      </w:r>
      <w:r w:rsidRPr="00EE3AF3">
        <w:rPr>
          <w:rFonts w:ascii="Arial" w:hAnsi="Arial" w:cs="Arial"/>
          <w:lang w:val="en-GB"/>
        </w:rPr>
        <w:tab/>
        <w:t>H. N. de Wet, instructed by N. Hassan Attorneys</w:t>
      </w:r>
    </w:p>
    <w:p w14:paraId="796AC348" w14:textId="77777777" w:rsidR="001F394F" w:rsidRPr="00EE3AF3" w:rsidRDefault="001F394F" w:rsidP="001F394F">
      <w:pPr>
        <w:widowControl w:val="0"/>
        <w:spacing w:line="360" w:lineRule="auto"/>
        <w:contextualSpacing/>
        <w:jc w:val="both"/>
        <w:outlineLvl w:val="0"/>
        <w:rPr>
          <w:rFonts w:ascii="Arial" w:hAnsi="Arial" w:cs="Arial"/>
          <w:b/>
          <w:bCs/>
          <w:lang w:val="en-GB"/>
        </w:rPr>
      </w:pPr>
    </w:p>
    <w:p w14:paraId="0FD29FCA" w14:textId="77777777" w:rsidR="001F394F" w:rsidRPr="00EE3AF3" w:rsidRDefault="001F394F" w:rsidP="001F394F">
      <w:pPr>
        <w:widowControl w:val="0"/>
        <w:spacing w:line="360" w:lineRule="auto"/>
        <w:ind w:left="3600" w:hanging="3600"/>
        <w:contextualSpacing/>
        <w:jc w:val="both"/>
        <w:outlineLvl w:val="0"/>
        <w:rPr>
          <w:rFonts w:ascii="Arial" w:hAnsi="Arial" w:cs="Arial"/>
          <w:b/>
          <w:bCs/>
          <w:lang w:val="en-GB"/>
        </w:rPr>
      </w:pPr>
      <w:r w:rsidRPr="00EE3AF3">
        <w:rPr>
          <w:rFonts w:ascii="Arial" w:hAnsi="Arial" w:cs="Arial"/>
          <w:b/>
          <w:bCs/>
          <w:lang w:val="en-GB"/>
        </w:rPr>
        <w:t>For the first respondent:</w:t>
      </w:r>
      <w:r w:rsidRPr="00EE3AF3">
        <w:rPr>
          <w:rFonts w:ascii="Arial" w:hAnsi="Arial" w:cs="Arial"/>
          <w:lang w:val="en-GB"/>
        </w:rPr>
        <w:tab/>
        <w:t>F. Moosa, instructed by Moosa &amp; Pearson Inc.</w:t>
      </w:r>
      <w:bookmarkEnd w:id="2"/>
    </w:p>
    <w:p w14:paraId="70DB440A" w14:textId="2108BBDB" w:rsidR="009A7B21" w:rsidRPr="00825DA7" w:rsidRDefault="009A7B21" w:rsidP="00825DA7">
      <w:pPr>
        <w:widowControl w:val="0"/>
        <w:tabs>
          <w:tab w:val="left" w:pos="0"/>
          <w:tab w:val="left" w:pos="576"/>
          <w:tab w:val="left" w:pos="1296"/>
          <w:tab w:val="left" w:pos="2736"/>
          <w:tab w:val="left" w:pos="4176"/>
          <w:tab w:val="right" w:pos="8505"/>
          <w:tab w:val="right" w:pos="8784"/>
        </w:tabs>
        <w:spacing w:line="480" w:lineRule="auto"/>
        <w:jc w:val="right"/>
        <w:rPr>
          <w:rFonts w:ascii="Arial" w:hAnsi="Arial" w:cs="Arial"/>
          <w:bCs/>
          <w:snapToGrid w:val="0"/>
          <w:color w:val="000000" w:themeColor="text1"/>
          <w:lang w:val="en-GB"/>
        </w:rPr>
      </w:pPr>
    </w:p>
    <w:sectPr w:rsidR="009A7B21" w:rsidRPr="00825DA7" w:rsidSect="003D60B8">
      <w:headerReference w:type="default" r:id="rId12"/>
      <w:headerReference w:type="first" r:id="rId1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7CEB" w14:textId="77777777" w:rsidR="005E3414" w:rsidRDefault="005E3414" w:rsidP="003015FA">
      <w:r>
        <w:separator/>
      </w:r>
    </w:p>
  </w:endnote>
  <w:endnote w:type="continuationSeparator" w:id="0">
    <w:p w14:paraId="09FCDB04" w14:textId="77777777" w:rsidR="005E3414" w:rsidRDefault="005E3414" w:rsidP="003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5EC71" w14:textId="77777777" w:rsidR="005E3414" w:rsidRDefault="005E3414" w:rsidP="003015FA">
      <w:r>
        <w:separator/>
      </w:r>
    </w:p>
  </w:footnote>
  <w:footnote w:type="continuationSeparator" w:id="0">
    <w:p w14:paraId="61B82975" w14:textId="77777777" w:rsidR="005E3414" w:rsidRDefault="005E3414" w:rsidP="00301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320885445"/>
      <w:docPartObj>
        <w:docPartGallery w:val="Page Numbers (Top of Page)"/>
        <w:docPartUnique/>
      </w:docPartObj>
    </w:sdtPr>
    <w:sdtEndPr>
      <w:rPr>
        <w:rFonts w:ascii="Arial" w:hAnsi="Arial"/>
        <w:noProof/>
      </w:rPr>
    </w:sdtEndPr>
    <w:sdtContent>
      <w:p w14:paraId="5CA81E98" w14:textId="7AD93C68" w:rsidR="00B36482" w:rsidRPr="00463977" w:rsidRDefault="00B36482">
        <w:pPr>
          <w:pStyle w:val="Header"/>
          <w:jc w:val="center"/>
          <w:rPr>
            <w:rFonts w:ascii="Arial" w:hAnsi="Arial"/>
            <w:sz w:val="22"/>
            <w:szCs w:val="22"/>
          </w:rPr>
        </w:pPr>
        <w:r w:rsidRPr="00463977">
          <w:rPr>
            <w:rFonts w:ascii="Arial" w:hAnsi="Arial"/>
            <w:sz w:val="22"/>
            <w:szCs w:val="22"/>
          </w:rPr>
          <w:fldChar w:fldCharType="begin"/>
        </w:r>
        <w:r w:rsidRPr="00463977">
          <w:rPr>
            <w:rFonts w:ascii="Arial" w:hAnsi="Arial"/>
            <w:sz w:val="22"/>
            <w:szCs w:val="22"/>
          </w:rPr>
          <w:instrText xml:space="preserve"> PAGE   \* MERGEFORMAT </w:instrText>
        </w:r>
        <w:r w:rsidRPr="00463977">
          <w:rPr>
            <w:rFonts w:ascii="Arial" w:hAnsi="Arial"/>
            <w:sz w:val="22"/>
            <w:szCs w:val="22"/>
          </w:rPr>
          <w:fldChar w:fldCharType="separate"/>
        </w:r>
        <w:r w:rsidR="00CD70A6">
          <w:rPr>
            <w:rFonts w:ascii="Arial" w:hAnsi="Arial"/>
            <w:noProof/>
            <w:sz w:val="22"/>
            <w:szCs w:val="22"/>
          </w:rPr>
          <w:t>12</w:t>
        </w:r>
        <w:r w:rsidRPr="00463977">
          <w:rPr>
            <w:rFonts w:ascii="Arial" w:hAnsi="Arial"/>
            <w:noProof/>
            <w:sz w:val="22"/>
            <w:szCs w:val="22"/>
          </w:rPr>
          <w:fldChar w:fldCharType="end"/>
        </w:r>
      </w:p>
    </w:sdtContent>
  </w:sdt>
  <w:p w14:paraId="38AA81E3" w14:textId="77777777" w:rsidR="00B36482" w:rsidRPr="00463977" w:rsidRDefault="00B36482">
    <w:pPr>
      <w:pStyle w:val="Header"/>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D96B" w14:textId="60874E3A" w:rsidR="00FA73E8" w:rsidRDefault="00FA73E8" w:rsidP="00304FDE">
    <w:pPr>
      <w:pStyle w:val="Header"/>
      <w:jc w:val="center"/>
      <w:rPr>
        <w:rFonts w:ascii="Arial" w:hAnsi="Arial" w:cs="Arial"/>
        <w:b/>
        <w:szCs w:val="22"/>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66A"/>
    <w:multiLevelType w:val="hybridMultilevel"/>
    <w:tmpl w:val="74A0A720"/>
    <w:lvl w:ilvl="0" w:tplc="AD122F36">
      <w:start w:val="1"/>
      <w:numFmt w:val="lowerLetter"/>
      <w:lvlText w:val="(%1)"/>
      <w:lvlJc w:val="left"/>
      <w:pPr>
        <w:ind w:left="1440" w:hanging="360"/>
      </w:pPr>
      <w:rPr>
        <w:rFonts w:hint="default"/>
        <w: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277774E"/>
    <w:multiLevelType w:val="multilevel"/>
    <w:tmpl w:val="76586A5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BD4DD1"/>
    <w:multiLevelType w:val="hybridMultilevel"/>
    <w:tmpl w:val="55BEB3D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172C3B"/>
    <w:multiLevelType w:val="multilevel"/>
    <w:tmpl w:val="3D76411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46A37C1"/>
    <w:multiLevelType w:val="hybridMultilevel"/>
    <w:tmpl w:val="D23AA1FA"/>
    <w:lvl w:ilvl="0" w:tplc="B9440FD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5F394597"/>
    <w:multiLevelType w:val="multilevel"/>
    <w:tmpl w:val="C7C6AFCC"/>
    <w:lvl w:ilvl="0">
      <w:start w:val="1"/>
      <w:numFmt w:val="decimal"/>
      <w:lvlText w:val="%1."/>
      <w:lvlJc w:val="left"/>
      <w:pPr>
        <w:tabs>
          <w:tab w:val="num" w:pos="709"/>
        </w:tabs>
        <w:ind w:left="709" w:hanging="709"/>
      </w:pPr>
      <w:rPr>
        <w:rFonts w:hint="default"/>
        <w:b w:val="0"/>
        <w:bCs w:val="0"/>
        <w:sz w:val="24"/>
        <w:szCs w:val="24"/>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6" w15:restartNumberingAfterBreak="0">
    <w:nsid w:val="64BB26E7"/>
    <w:multiLevelType w:val="hybridMultilevel"/>
    <w:tmpl w:val="8C5ADDDA"/>
    <w:lvl w:ilvl="0" w:tplc="A106F7E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6CB95140"/>
    <w:multiLevelType w:val="multilevel"/>
    <w:tmpl w:val="4718F5E4"/>
    <w:lvl w:ilvl="0">
      <w:start w:val="25"/>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8" w15:restartNumberingAfterBreak="0">
    <w:nsid w:val="6DED6B6C"/>
    <w:multiLevelType w:val="multilevel"/>
    <w:tmpl w:val="9B00BA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6"/>
  </w:num>
  <w:num w:numId="4">
    <w:abstractNumId w:val="4"/>
  </w:num>
  <w:num w:numId="5">
    <w:abstractNumId w:val="2"/>
  </w:num>
  <w:num w:numId="6">
    <w:abstractNumId w:val="8"/>
  </w:num>
  <w:num w:numId="7">
    <w:abstractNumId w:val="3"/>
  </w:num>
  <w:num w:numId="8">
    <w:abstractNumId w:val="5"/>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9"/>
    <w:rsid w:val="0000255E"/>
    <w:rsid w:val="00002CC8"/>
    <w:rsid w:val="0000771D"/>
    <w:rsid w:val="00007A60"/>
    <w:rsid w:val="000118D9"/>
    <w:rsid w:val="00013482"/>
    <w:rsid w:val="00014FE3"/>
    <w:rsid w:val="00016B4A"/>
    <w:rsid w:val="0002280B"/>
    <w:rsid w:val="00023B13"/>
    <w:rsid w:val="00025B1B"/>
    <w:rsid w:val="00025BAC"/>
    <w:rsid w:val="00032231"/>
    <w:rsid w:val="000342F7"/>
    <w:rsid w:val="0005500D"/>
    <w:rsid w:val="0005737E"/>
    <w:rsid w:val="00057998"/>
    <w:rsid w:val="00062EDC"/>
    <w:rsid w:val="000701E8"/>
    <w:rsid w:val="000712B1"/>
    <w:rsid w:val="00073EE7"/>
    <w:rsid w:val="00076445"/>
    <w:rsid w:val="00077C8B"/>
    <w:rsid w:val="000809E8"/>
    <w:rsid w:val="00087B14"/>
    <w:rsid w:val="00090569"/>
    <w:rsid w:val="000925F7"/>
    <w:rsid w:val="00093E6C"/>
    <w:rsid w:val="00096240"/>
    <w:rsid w:val="00097508"/>
    <w:rsid w:val="000A0521"/>
    <w:rsid w:val="000A4666"/>
    <w:rsid w:val="000A569D"/>
    <w:rsid w:val="000A7779"/>
    <w:rsid w:val="000B1C75"/>
    <w:rsid w:val="000B3FFD"/>
    <w:rsid w:val="000B6F38"/>
    <w:rsid w:val="000B709B"/>
    <w:rsid w:val="000C041C"/>
    <w:rsid w:val="000C3D91"/>
    <w:rsid w:val="000C50A9"/>
    <w:rsid w:val="000C510B"/>
    <w:rsid w:val="000C560E"/>
    <w:rsid w:val="000C5D18"/>
    <w:rsid w:val="000D1898"/>
    <w:rsid w:val="000D1E6F"/>
    <w:rsid w:val="000D2E41"/>
    <w:rsid w:val="000D2FEE"/>
    <w:rsid w:val="000D3265"/>
    <w:rsid w:val="000D7F4E"/>
    <w:rsid w:val="000E3F70"/>
    <w:rsid w:val="000E7623"/>
    <w:rsid w:val="000E76EC"/>
    <w:rsid w:val="000E7841"/>
    <w:rsid w:val="000F037C"/>
    <w:rsid w:val="000F07EF"/>
    <w:rsid w:val="000F0AB4"/>
    <w:rsid w:val="000F6729"/>
    <w:rsid w:val="000F7B0E"/>
    <w:rsid w:val="00101CC6"/>
    <w:rsid w:val="00104E82"/>
    <w:rsid w:val="00105321"/>
    <w:rsid w:val="00110516"/>
    <w:rsid w:val="00115080"/>
    <w:rsid w:val="0011563A"/>
    <w:rsid w:val="00116587"/>
    <w:rsid w:val="0012218B"/>
    <w:rsid w:val="00122893"/>
    <w:rsid w:val="0012532A"/>
    <w:rsid w:val="001255C3"/>
    <w:rsid w:val="0012754F"/>
    <w:rsid w:val="00130897"/>
    <w:rsid w:val="00133A46"/>
    <w:rsid w:val="00134240"/>
    <w:rsid w:val="001345D7"/>
    <w:rsid w:val="0013718D"/>
    <w:rsid w:val="001376C5"/>
    <w:rsid w:val="0014136F"/>
    <w:rsid w:val="00142DE5"/>
    <w:rsid w:val="00143008"/>
    <w:rsid w:val="0014548B"/>
    <w:rsid w:val="00145FC0"/>
    <w:rsid w:val="001460FB"/>
    <w:rsid w:val="00147186"/>
    <w:rsid w:val="0014761A"/>
    <w:rsid w:val="00153197"/>
    <w:rsid w:val="00153FE4"/>
    <w:rsid w:val="001579C0"/>
    <w:rsid w:val="00160C07"/>
    <w:rsid w:val="001645AF"/>
    <w:rsid w:val="00166B6B"/>
    <w:rsid w:val="001716C9"/>
    <w:rsid w:val="00172359"/>
    <w:rsid w:val="0017318B"/>
    <w:rsid w:val="001742D1"/>
    <w:rsid w:val="001757C2"/>
    <w:rsid w:val="001772F0"/>
    <w:rsid w:val="001779E1"/>
    <w:rsid w:val="00177A5C"/>
    <w:rsid w:val="0018074A"/>
    <w:rsid w:val="00185B77"/>
    <w:rsid w:val="001866CC"/>
    <w:rsid w:val="001874F4"/>
    <w:rsid w:val="00193223"/>
    <w:rsid w:val="00194FDB"/>
    <w:rsid w:val="00196818"/>
    <w:rsid w:val="001A0344"/>
    <w:rsid w:val="001A14A8"/>
    <w:rsid w:val="001A1A42"/>
    <w:rsid w:val="001A30B2"/>
    <w:rsid w:val="001A403C"/>
    <w:rsid w:val="001A4790"/>
    <w:rsid w:val="001A77C7"/>
    <w:rsid w:val="001B0ED8"/>
    <w:rsid w:val="001B17B9"/>
    <w:rsid w:val="001B2FD0"/>
    <w:rsid w:val="001B5B71"/>
    <w:rsid w:val="001B76CA"/>
    <w:rsid w:val="001B7E49"/>
    <w:rsid w:val="001C0F82"/>
    <w:rsid w:val="001C2401"/>
    <w:rsid w:val="001C24B0"/>
    <w:rsid w:val="001C2A8B"/>
    <w:rsid w:val="001C3C7F"/>
    <w:rsid w:val="001C3D52"/>
    <w:rsid w:val="001C760B"/>
    <w:rsid w:val="001D04AC"/>
    <w:rsid w:val="001D2560"/>
    <w:rsid w:val="001D3069"/>
    <w:rsid w:val="001D5A28"/>
    <w:rsid w:val="001D6815"/>
    <w:rsid w:val="001E2653"/>
    <w:rsid w:val="001E3AD9"/>
    <w:rsid w:val="001E72AD"/>
    <w:rsid w:val="001E77FB"/>
    <w:rsid w:val="001F1AE1"/>
    <w:rsid w:val="001F3547"/>
    <w:rsid w:val="001F394F"/>
    <w:rsid w:val="001F399F"/>
    <w:rsid w:val="001F5837"/>
    <w:rsid w:val="001F67B0"/>
    <w:rsid w:val="00201697"/>
    <w:rsid w:val="0021166E"/>
    <w:rsid w:val="002149EB"/>
    <w:rsid w:val="00214C7D"/>
    <w:rsid w:val="00216146"/>
    <w:rsid w:val="002203E1"/>
    <w:rsid w:val="002214A3"/>
    <w:rsid w:val="00224139"/>
    <w:rsid w:val="0022450E"/>
    <w:rsid w:val="00224ECC"/>
    <w:rsid w:val="002267BF"/>
    <w:rsid w:val="0023232F"/>
    <w:rsid w:val="002328F5"/>
    <w:rsid w:val="00241530"/>
    <w:rsid w:val="002427DA"/>
    <w:rsid w:val="002431F0"/>
    <w:rsid w:val="00247209"/>
    <w:rsid w:val="00247672"/>
    <w:rsid w:val="00250B7D"/>
    <w:rsid w:val="00251A5C"/>
    <w:rsid w:val="00253172"/>
    <w:rsid w:val="002532EE"/>
    <w:rsid w:val="00254249"/>
    <w:rsid w:val="00256248"/>
    <w:rsid w:val="00257007"/>
    <w:rsid w:val="00260EB4"/>
    <w:rsid w:val="00262529"/>
    <w:rsid w:val="00263A45"/>
    <w:rsid w:val="00263BB3"/>
    <w:rsid w:val="00265341"/>
    <w:rsid w:val="0026656D"/>
    <w:rsid w:val="00270515"/>
    <w:rsid w:val="00272B80"/>
    <w:rsid w:val="002740A1"/>
    <w:rsid w:val="00274961"/>
    <w:rsid w:val="002749F1"/>
    <w:rsid w:val="00274BA6"/>
    <w:rsid w:val="00277ED0"/>
    <w:rsid w:val="00284141"/>
    <w:rsid w:val="00285BEC"/>
    <w:rsid w:val="00286F63"/>
    <w:rsid w:val="00293AB0"/>
    <w:rsid w:val="0029440D"/>
    <w:rsid w:val="002A2CF7"/>
    <w:rsid w:val="002A3D77"/>
    <w:rsid w:val="002A4081"/>
    <w:rsid w:val="002A52F5"/>
    <w:rsid w:val="002A6987"/>
    <w:rsid w:val="002B6231"/>
    <w:rsid w:val="002C1254"/>
    <w:rsid w:val="002C1BA9"/>
    <w:rsid w:val="002C2B5A"/>
    <w:rsid w:val="002C3424"/>
    <w:rsid w:val="002C5111"/>
    <w:rsid w:val="002C7E7A"/>
    <w:rsid w:val="002D4994"/>
    <w:rsid w:val="002E53C8"/>
    <w:rsid w:val="002E660C"/>
    <w:rsid w:val="002E76E8"/>
    <w:rsid w:val="002F14FE"/>
    <w:rsid w:val="002F6BAC"/>
    <w:rsid w:val="003015FA"/>
    <w:rsid w:val="0030171D"/>
    <w:rsid w:val="00304FDE"/>
    <w:rsid w:val="00307ED4"/>
    <w:rsid w:val="00316BEC"/>
    <w:rsid w:val="0032260A"/>
    <w:rsid w:val="0032562D"/>
    <w:rsid w:val="003261FD"/>
    <w:rsid w:val="00326622"/>
    <w:rsid w:val="00327D08"/>
    <w:rsid w:val="00330716"/>
    <w:rsid w:val="00332CBC"/>
    <w:rsid w:val="00334F17"/>
    <w:rsid w:val="003431B6"/>
    <w:rsid w:val="00347522"/>
    <w:rsid w:val="00347803"/>
    <w:rsid w:val="00347C4D"/>
    <w:rsid w:val="00350775"/>
    <w:rsid w:val="003528A7"/>
    <w:rsid w:val="00352A95"/>
    <w:rsid w:val="00353991"/>
    <w:rsid w:val="003616CA"/>
    <w:rsid w:val="00361AE9"/>
    <w:rsid w:val="003631C6"/>
    <w:rsid w:val="00363ADD"/>
    <w:rsid w:val="00372B88"/>
    <w:rsid w:val="00383D1C"/>
    <w:rsid w:val="00386DDB"/>
    <w:rsid w:val="00392147"/>
    <w:rsid w:val="0039543B"/>
    <w:rsid w:val="003957C8"/>
    <w:rsid w:val="003A0D66"/>
    <w:rsid w:val="003A3B7F"/>
    <w:rsid w:val="003A4FAD"/>
    <w:rsid w:val="003A7D1E"/>
    <w:rsid w:val="003B143B"/>
    <w:rsid w:val="003B272F"/>
    <w:rsid w:val="003B3303"/>
    <w:rsid w:val="003B5A26"/>
    <w:rsid w:val="003B7318"/>
    <w:rsid w:val="003C41A6"/>
    <w:rsid w:val="003C4FA6"/>
    <w:rsid w:val="003C567D"/>
    <w:rsid w:val="003C7B0E"/>
    <w:rsid w:val="003D0F2C"/>
    <w:rsid w:val="003D1BAE"/>
    <w:rsid w:val="003D2252"/>
    <w:rsid w:val="003D60B8"/>
    <w:rsid w:val="003D6855"/>
    <w:rsid w:val="003E19CC"/>
    <w:rsid w:val="003E2DF4"/>
    <w:rsid w:val="003E5191"/>
    <w:rsid w:val="003E581B"/>
    <w:rsid w:val="003E6541"/>
    <w:rsid w:val="003E7F1B"/>
    <w:rsid w:val="003F3E2E"/>
    <w:rsid w:val="003F67C8"/>
    <w:rsid w:val="003F7316"/>
    <w:rsid w:val="004002AD"/>
    <w:rsid w:val="00400777"/>
    <w:rsid w:val="00402595"/>
    <w:rsid w:val="00403A89"/>
    <w:rsid w:val="00405152"/>
    <w:rsid w:val="0040551A"/>
    <w:rsid w:val="00411297"/>
    <w:rsid w:val="00412F56"/>
    <w:rsid w:val="00413805"/>
    <w:rsid w:val="00413CD2"/>
    <w:rsid w:val="004144B1"/>
    <w:rsid w:val="0042588D"/>
    <w:rsid w:val="004259E5"/>
    <w:rsid w:val="00427BD2"/>
    <w:rsid w:val="00435B50"/>
    <w:rsid w:val="00440693"/>
    <w:rsid w:val="00441665"/>
    <w:rsid w:val="00442903"/>
    <w:rsid w:val="00445F4C"/>
    <w:rsid w:val="00446EE4"/>
    <w:rsid w:val="00450335"/>
    <w:rsid w:val="004520D3"/>
    <w:rsid w:val="004532C5"/>
    <w:rsid w:val="004569B9"/>
    <w:rsid w:val="00463179"/>
    <w:rsid w:val="00463977"/>
    <w:rsid w:val="00471012"/>
    <w:rsid w:val="0047121E"/>
    <w:rsid w:val="00471CAC"/>
    <w:rsid w:val="00471D3B"/>
    <w:rsid w:val="00474FE2"/>
    <w:rsid w:val="00476604"/>
    <w:rsid w:val="00482DA3"/>
    <w:rsid w:val="00484D7B"/>
    <w:rsid w:val="00485884"/>
    <w:rsid w:val="00485985"/>
    <w:rsid w:val="00485BC4"/>
    <w:rsid w:val="004863D8"/>
    <w:rsid w:val="004871AE"/>
    <w:rsid w:val="00487F51"/>
    <w:rsid w:val="00487F73"/>
    <w:rsid w:val="00493A44"/>
    <w:rsid w:val="004950AA"/>
    <w:rsid w:val="004A10E6"/>
    <w:rsid w:val="004A305E"/>
    <w:rsid w:val="004A747F"/>
    <w:rsid w:val="004B1EC3"/>
    <w:rsid w:val="004B20FE"/>
    <w:rsid w:val="004B23D8"/>
    <w:rsid w:val="004B26C2"/>
    <w:rsid w:val="004B2785"/>
    <w:rsid w:val="004B491A"/>
    <w:rsid w:val="004B5174"/>
    <w:rsid w:val="004B6022"/>
    <w:rsid w:val="004C00D6"/>
    <w:rsid w:val="004C1033"/>
    <w:rsid w:val="004C16D9"/>
    <w:rsid w:val="004C27F4"/>
    <w:rsid w:val="004C31BB"/>
    <w:rsid w:val="004C4BB6"/>
    <w:rsid w:val="004C7042"/>
    <w:rsid w:val="004D3767"/>
    <w:rsid w:val="004D5414"/>
    <w:rsid w:val="004D617B"/>
    <w:rsid w:val="004D7A8C"/>
    <w:rsid w:val="004E14B3"/>
    <w:rsid w:val="004E5436"/>
    <w:rsid w:val="004E688F"/>
    <w:rsid w:val="004E697F"/>
    <w:rsid w:val="004E7A19"/>
    <w:rsid w:val="004F12F9"/>
    <w:rsid w:val="004F7357"/>
    <w:rsid w:val="00507FF7"/>
    <w:rsid w:val="00514334"/>
    <w:rsid w:val="00515638"/>
    <w:rsid w:val="00523261"/>
    <w:rsid w:val="00525C0D"/>
    <w:rsid w:val="00526632"/>
    <w:rsid w:val="0053163D"/>
    <w:rsid w:val="00536181"/>
    <w:rsid w:val="00536FE1"/>
    <w:rsid w:val="00537B5E"/>
    <w:rsid w:val="00537BA4"/>
    <w:rsid w:val="00537C1C"/>
    <w:rsid w:val="005569F6"/>
    <w:rsid w:val="00557ECE"/>
    <w:rsid w:val="0056086B"/>
    <w:rsid w:val="0056113A"/>
    <w:rsid w:val="0056126D"/>
    <w:rsid w:val="00566103"/>
    <w:rsid w:val="0056766D"/>
    <w:rsid w:val="00570AB9"/>
    <w:rsid w:val="00575267"/>
    <w:rsid w:val="0058020E"/>
    <w:rsid w:val="005824CA"/>
    <w:rsid w:val="00585B1E"/>
    <w:rsid w:val="00592450"/>
    <w:rsid w:val="00592793"/>
    <w:rsid w:val="00597BCC"/>
    <w:rsid w:val="005A2632"/>
    <w:rsid w:val="005A2C4B"/>
    <w:rsid w:val="005A3A65"/>
    <w:rsid w:val="005A4579"/>
    <w:rsid w:val="005A715D"/>
    <w:rsid w:val="005B0107"/>
    <w:rsid w:val="005B1640"/>
    <w:rsid w:val="005B1724"/>
    <w:rsid w:val="005B294C"/>
    <w:rsid w:val="005B66AE"/>
    <w:rsid w:val="005B67DA"/>
    <w:rsid w:val="005B6EED"/>
    <w:rsid w:val="005B6F42"/>
    <w:rsid w:val="005B70BB"/>
    <w:rsid w:val="005B7C3C"/>
    <w:rsid w:val="005C051A"/>
    <w:rsid w:val="005C092A"/>
    <w:rsid w:val="005C5822"/>
    <w:rsid w:val="005C608E"/>
    <w:rsid w:val="005C6BD0"/>
    <w:rsid w:val="005C7C3B"/>
    <w:rsid w:val="005D2D2B"/>
    <w:rsid w:val="005D38CC"/>
    <w:rsid w:val="005D3AE8"/>
    <w:rsid w:val="005D4D4E"/>
    <w:rsid w:val="005D64A2"/>
    <w:rsid w:val="005E06A5"/>
    <w:rsid w:val="005E23A4"/>
    <w:rsid w:val="005E2932"/>
    <w:rsid w:val="005E3414"/>
    <w:rsid w:val="005E387C"/>
    <w:rsid w:val="005E6BEF"/>
    <w:rsid w:val="005F043C"/>
    <w:rsid w:val="005F1744"/>
    <w:rsid w:val="005F2F12"/>
    <w:rsid w:val="005F3871"/>
    <w:rsid w:val="005F3972"/>
    <w:rsid w:val="005F7101"/>
    <w:rsid w:val="005F72FB"/>
    <w:rsid w:val="006032BA"/>
    <w:rsid w:val="00603FD0"/>
    <w:rsid w:val="00606485"/>
    <w:rsid w:val="00612470"/>
    <w:rsid w:val="00615487"/>
    <w:rsid w:val="0062259E"/>
    <w:rsid w:val="00622E4E"/>
    <w:rsid w:val="006232D7"/>
    <w:rsid w:val="00624A81"/>
    <w:rsid w:val="006253C3"/>
    <w:rsid w:val="00625B58"/>
    <w:rsid w:val="00630801"/>
    <w:rsid w:val="00632F4C"/>
    <w:rsid w:val="006358E9"/>
    <w:rsid w:val="006402AF"/>
    <w:rsid w:val="00646813"/>
    <w:rsid w:val="006478AA"/>
    <w:rsid w:val="00650944"/>
    <w:rsid w:val="00651864"/>
    <w:rsid w:val="00652192"/>
    <w:rsid w:val="006532B6"/>
    <w:rsid w:val="00654763"/>
    <w:rsid w:val="00654F21"/>
    <w:rsid w:val="00654FBF"/>
    <w:rsid w:val="0065605B"/>
    <w:rsid w:val="0065795C"/>
    <w:rsid w:val="00660572"/>
    <w:rsid w:val="00663087"/>
    <w:rsid w:val="0066608B"/>
    <w:rsid w:val="00666BD2"/>
    <w:rsid w:val="00670365"/>
    <w:rsid w:val="0068227B"/>
    <w:rsid w:val="006901EF"/>
    <w:rsid w:val="0069152B"/>
    <w:rsid w:val="0069378A"/>
    <w:rsid w:val="00697E28"/>
    <w:rsid w:val="00697E8A"/>
    <w:rsid w:val="006A08A8"/>
    <w:rsid w:val="006A4027"/>
    <w:rsid w:val="006A6702"/>
    <w:rsid w:val="006A6AB5"/>
    <w:rsid w:val="006A7675"/>
    <w:rsid w:val="006A786F"/>
    <w:rsid w:val="006B3345"/>
    <w:rsid w:val="006B568F"/>
    <w:rsid w:val="006B6A2F"/>
    <w:rsid w:val="006B765F"/>
    <w:rsid w:val="006C16B2"/>
    <w:rsid w:val="006C5238"/>
    <w:rsid w:val="006C64DF"/>
    <w:rsid w:val="006D60B6"/>
    <w:rsid w:val="006D6934"/>
    <w:rsid w:val="006E21B5"/>
    <w:rsid w:val="006E4323"/>
    <w:rsid w:val="006E49F8"/>
    <w:rsid w:val="006E4DBF"/>
    <w:rsid w:val="006E61B6"/>
    <w:rsid w:val="006E7AA3"/>
    <w:rsid w:val="006F2D6C"/>
    <w:rsid w:val="006F3E25"/>
    <w:rsid w:val="007001FA"/>
    <w:rsid w:val="007024F5"/>
    <w:rsid w:val="00704075"/>
    <w:rsid w:val="00706580"/>
    <w:rsid w:val="00706C84"/>
    <w:rsid w:val="00707C90"/>
    <w:rsid w:val="0071160E"/>
    <w:rsid w:val="00711CA3"/>
    <w:rsid w:val="00713531"/>
    <w:rsid w:val="00713A28"/>
    <w:rsid w:val="00714429"/>
    <w:rsid w:val="00717677"/>
    <w:rsid w:val="00723B55"/>
    <w:rsid w:val="00727117"/>
    <w:rsid w:val="00727332"/>
    <w:rsid w:val="00727E26"/>
    <w:rsid w:val="00727FCB"/>
    <w:rsid w:val="007306FC"/>
    <w:rsid w:val="00736F1A"/>
    <w:rsid w:val="007401E6"/>
    <w:rsid w:val="00740D91"/>
    <w:rsid w:val="007440AC"/>
    <w:rsid w:val="00744811"/>
    <w:rsid w:val="00754C8C"/>
    <w:rsid w:val="00754FF4"/>
    <w:rsid w:val="007608BC"/>
    <w:rsid w:val="00763796"/>
    <w:rsid w:val="00764435"/>
    <w:rsid w:val="007658AE"/>
    <w:rsid w:val="00766AFC"/>
    <w:rsid w:val="007671D7"/>
    <w:rsid w:val="00767408"/>
    <w:rsid w:val="00775289"/>
    <w:rsid w:val="007758AE"/>
    <w:rsid w:val="007776A5"/>
    <w:rsid w:val="00780A32"/>
    <w:rsid w:val="00780DA6"/>
    <w:rsid w:val="00781ABD"/>
    <w:rsid w:val="00782476"/>
    <w:rsid w:val="007827EF"/>
    <w:rsid w:val="00783233"/>
    <w:rsid w:val="0078391D"/>
    <w:rsid w:val="00783F73"/>
    <w:rsid w:val="00785DEA"/>
    <w:rsid w:val="00785EC2"/>
    <w:rsid w:val="007877ED"/>
    <w:rsid w:val="007902AA"/>
    <w:rsid w:val="0079250F"/>
    <w:rsid w:val="00797791"/>
    <w:rsid w:val="007A28CF"/>
    <w:rsid w:val="007A2FAB"/>
    <w:rsid w:val="007A58A5"/>
    <w:rsid w:val="007A71E5"/>
    <w:rsid w:val="007B017B"/>
    <w:rsid w:val="007B3058"/>
    <w:rsid w:val="007B40C1"/>
    <w:rsid w:val="007B7D21"/>
    <w:rsid w:val="007C0C7C"/>
    <w:rsid w:val="007C39C2"/>
    <w:rsid w:val="007C4685"/>
    <w:rsid w:val="007D44EA"/>
    <w:rsid w:val="007D70D8"/>
    <w:rsid w:val="007E47AF"/>
    <w:rsid w:val="007E5C49"/>
    <w:rsid w:val="007E5CEA"/>
    <w:rsid w:val="007E72B6"/>
    <w:rsid w:val="007F03AD"/>
    <w:rsid w:val="007F0B05"/>
    <w:rsid w:val="007F11A6"/>
    <w:rsid w:val="007F2D6E"/>
    <w:rsid w:val="007F5388"/>
    <w:rsid w:val="007F7ACC"/>
    <w:rsid w:val="00800391"/>
    <w:rsid w:val="0080086A"/>
    <w:rsid w:val="0080231A"/>
    <w:rsid w:val="00802BC6"/>
    <w:rsid w:val="00803CBE"/>
    <w:rsid w:val="00803EC2"/>
    <w:rsid w:val="00803F63"/>
    <w:rsid w:val="008118DB"/>
    <w:rsid w:val="00812927"/>
    <w:rsid w:val="00812F19"/>
    <w:rsid w:val="00817185"/>
    <w:rsid w:val="00825DA7"/>
    <w:rsid w:val="00825DF2"/>
    <w:rsid w:val="008262F9"/>
    <w:rsid w:val="008318CE"/>
    <w:rsid w:val="00831EFB"/>
    <w:rsid w:val="0083649B"/>
    <w:rsid w:val="008375CB"/>
    <w:rsid w:val="00843C4B"/>
    <w:rsid w:val="008440A4"/>
    <w:rsid w:val="00845066"/>
    <w:rsid w:val="0085359C"/>
    <w:rsid w:val="00853C5E"/>
    <w:rsid w:val="008625B2"/>
    <w:rsid w:val="008654CD"/>
    <w:rsid w:val="00866EF9"/>
    <w:rsid w:val="008670B6"/>
    <w:rsid w:val="00870183"/>
    <w:rsid w:val="00870C1A"/>
    <w:rsid w:val="008719B8"/>
    <w:rsid w:val="00872F8F"/>
    <w:rsid w:val="00875045"/>
    <w:rsid w:val="00876C93"/>
    <w:rsid w:val="00877594"/>
    <w:rsid w:val="0088080D"/>
    <w:rsid w:val="00881D6A"/>
    <w:rsid w:val="0088338E"/>
    <w:rsid w:val="008841A2"/>
    <w:rsid w:val="00885556"/>
    <w:rsid w:val="008A34F4"/>
    <w:rsid w:val="008A4C2A"/>
    <w:rsid w:val="008A61E0"/>
    <w:rsid w:val="008A61E8"/>
    <w:rsid w:val="008B01CD"/>
    <w:rsid w:val="008C3FDD"/>
    <w:rsid w:val="008C47FB"/>
    <w:rsid w:val="008D06D7"/>
    <w:rsid w:val="008D0F3B"/>
    <w:rsid w:val="008D716A"/>
    <w:rsid w:val="008E2478"/>
    <w:rsid w:val="008E3062"/>
    <w:rsid w:val="008E4B9B"/>
    <w:rsid w:val="008E59DB"/>
    <w:rsid w:val="008E70B0"/>
    <w:rsid w:val="008E7C76"/>
    <w:rsid w:val="008E7E3E"/>
    <w:rsid w:val="008F040F"/>
    <w:rsid w:val="008F4A87"/>
    <w:rsid w:val="008F65FF"/>
    <w:rsid w:val="008F78B0"/>
    <w:rsid w:val="00902B5C"/>
    <w:rsid w:val="0090489F"/>
    <w:rsid w:val="00905970"/>
    <w:rsid w:val="0090630A"/>
    <w:rsid w:val="009074DA"/>
    <w:rsid w:val="0091028E"/>
    <w:rsid w:val="00912040"/>
    <w:rsid w:val="009133C3"/>
    <w:rsid w:val="009146BA"/>
    <w:rsid w:val="0091711C"/>
    <w:rsid w:val="009179CC"/>
    <w:rsid w:val="009205CF"/>
    <w:rsid w:val="0092122E"/>
    <w:rsid w:val="00927FBE"/>
    <w:rsid w:val="00931392"/>
    <w:rsid w:val="009347FE"/>
    <w:rsid w:val="009404BA"/>
    <w:rsid w:val="00941181"/>
    <w:rsid w:val="00941BD6"/>
    <w:rsid w:val="00944599"/>
    <w:rsid w:val="00947335"/>
    <w:rsid w:val="0095002A"/>
    <w:rsid w:val="00953AA6"/>
    <w:rsid w:val="009564FF"/>
    <w:rsid w:val="00957DDF"/>
    <w:rsid w:val="00962FE4"/>
    <w:rsid w:val="00971A35"/>
    <w:rsid w:val="009772F9"/>
    <w:rsid w:val="00977859"/>
    <w:rsid w:val="00981253"/>
    <w:rsid w:val="00981C10"/>
    <w:rsid w:val="00983E9D"/>
    <w:rsid w:val="009864B5"/>
    <w:rsid w:val="00997851"/>
    <w:rsid w:val="009A0937"/>
    <w:rsid w:val="009A0B82"/>
    <w:rsid w:val="009A2642"/>
    <w:rsid w:val="009A3C3A"/>
    <w:rsid w:val="009A50AD"/>
    <w:rsid w:val="009A66D2"/>
    <w:rsid w:val="009A7B21"/>
    <w:rsid w:val="009B0097"/>
    <w:rsid w:val="009B149D"/>
    <w:rsid w:val="009B274C"/>
    <w:rsid w:val="009B3A17"/>
    <w:rsid w:val="009B4E52"/>
    <w:rsid w:val="009B5F39"/>
    <w:rsid w:val="009B650C"/>
    <w:rsid w:val="009B7517"/>
    <w:rsid w:val="009C0309"/>
    <w:rsid w:val="009C0D80"/>
    <w:rsid w:val="009C0D81"/>
    <w:rsid w:val="009D1AFB"/>
    <w:rsid w:val="009D54DA"/>
    <w:rsid w:val="009D690B"/>
    <w:rsid w:val="009E0D60"/>
    <w:rsid w:val="009E4492"/>
    <w:rsid w:val="009E709C"/>
    <w:rsid w:val="009F34AA"/>
    <w:rsid w:val="009F4134"/>
    <w:rsid w:val="009F52D7"/>
    <w:rsid w:val="009F7F3E"/>
    <w:rsid w:val="00A0124C"/>
    <w:rsid w:val="00A01F73"/>
    <w:rsid w:val="00A022A7"/>
    <w:rsid w:val="00A0287D"/>
    <w:rsid w:val="00A0521C"/>
    <w:rsid w:val="00A10BA7"/>
    <w:rsid w:val="00A10CED"/>
    <w:rsid w:val="00A1516C"/>
    <w:rsid w:val="00A179C7"/>
    <w:rsid w:val="00A17B8B"/>
    <w:rsid w:val="00A20B68"/>
    <w:rsid w:val="00A236FD"/>
    <w:rsid w:val="00A25A7C"/>
    <w:rsid w:val="00A2788D"/>
    <w:rsid w:val="00A30796"/>
    <w:rsid w:val="00A30AFF"/>
    <w:rsid w:val="00A3190B"/>
    <w:rsid w:val="00A31FAF"/>
    <w:rsid w:val="00A379FF"/>
    <w:rsid w:val="00A37C7F"/>
    <w:rsid w:val="00A402FA"/>
    <w:rsid w:val="00A41A26"/>
    <w:rsid w:val="00A46C3E"/>
    <w:rsid w:val="00A52160"/>
    <w:rsid w:val="00A523F8"/>
    <w:rsid w:val="00A538A3"/>
    <w:rsid w:val="00A539A5"/>
    <w:rsid w:val="00A60E55"/>
    <w:rsid w:val="00A61E7A"/>
    <w:rsid w:val="00A62A2D"/>
    <w:rsid w:val="00A635C3"/>
    <w:rsid w:val="00A65617"/>
    <w:rsid w:val="00A67548"/>
    <w:rsid w:val="00A71465"/>
    <w:rsid w:val="00A71D46"/>
    <w:rsid w:val="00A73198"/>
    <w:rsid w:val="00A746A9"/>
    <w:rsid w:val="00A758CA"/>
    <w:rsid w:val="00A76C25"/>
    <w:rsid w:val="00A77323"/>
    <w:rsid w:val="00A777C9"/>
    <w:rsid w:val="00A815BD"/>
    <w:rsid w:val="00A81A60"/>
    <w:rsid w:val="00A8365B"/>
    <w:rsid w:val="00A8470D"/>
    <w:rsid w:val="00A84FC4"/>
    <w:rsid w:val="00A85603"/>
    <w:rsid w:val="00A85948"/>
    <w:rsid w:val="00A905C4"/>
    <w:rsid w:val="00A909E3"/>
    <w:rsid w:val="00A91D62"/>
    <w:rsid w:val="00A920C6"/>
    <w:rsid w:val="00A92195"/>
    <w:rsid w:val="00A94236"/>
    <w:rsid w:val="00A957DD"/>
    <w:rsid w:val="00A95DF4"/>
    <w:rsid w:val="00A96B37"/>
    <w:rsid w:val="00A96FA0"/>
    <w:rsid w:val="00A970B7"/>
    <w:rsid w:val="00A9781E"/>
    <w:rsid w:val="00AA240A"/>
    <w:rsid w:val="00AA401C"/>
    <w:rsid w:val="00AB199B"/>
    <w:rsid w:val="00AB5BEE"/>
    <w:rsid w:val="00AB64F5"/>
    <w:rsid w:val="00AB6ADC"/>
    <w:rsid w:val="00AC02E8"/>
    <w:rsid w:val="00AC3046"/>
    <w:rsid w:val="00AC531E"/>
    <w:rsid w:val="00AC563B"/>
    <w:rsid w:val="00AC668A"/>
    <w:rsid w:val="00AC6848"/>
    <w:rsid w:val="00AC7A5D"/>
    <w:rsid w:val="00AD1437"/>
    <w:rsid w:val="00AD2DB3"/>
    <w:rsid w:val="00AD70E3"/>
    <w:rsid w:val="00AE2FF3"/>
    <w:rsid w:val="00AE68EF"/>
    <w:rsid w:val="00AF0495"/>
    <w:rsid w:val="00AF1570"/>
    <w:rsid w:val="00AF17CE"/>
    <w:rsid w:val="00AF678E"/>
    <w:rsid w:val="00B0114A"/>
    <w:rsid w:val="00B01E09"/>
    <w:rsid w:val="00B05448"/>
    <w:rsid w:val="00B05A6E"/>
    <w:rsid w:val="00B11C95"/>
    <w:rsid w:val="00B11CDD"/>
    <w:rsid w:val="00B20006"/>
    <w:rsid w:val="00B260CF"/>
    <w:rsid w:val="00B2775E"/>
    <w:rsid w:val="00B349A8"/>
    <w:rsid w:val="00B36482"/>
    <w:rsid w:val="00B3649A"/>
    <w:rsid w:val="00B37EA7"/>
    <w:rsid w:val="00B4060E"/>
    <w:rsid w:val="00B40C0E"/>
    <w:rsid w:val="00B41F1E"/>
    <w:rsid w:val="00B43D4E"/>
    <w:rsid w:val="00B468DC"/>
    <w:rsid w:val="00B46B26"/>
    <w:rsid w:val="00B47F27"/>
    <w:rsid w:val="00B514D7"/>
    <w:rsid w:val="00B53D31"/>
    <w:rsid w:val="00B5746F"/>
    <w:rsid w:val="00B6042B"/>
    <w:rsid w:val="00B625B1"/>
    <w:rsid w:val="00B727AC"/>
    <w:rsid w:val="00B75425"/>
    <w:rsid w:val="00B76887"/>
    <w:rsid w:val="00B81DB5"/>
    <w:rsid w:val="00B8518F"/>
    <w:rsid w:val="00B914F5"/>
    <w:rsid w:val="00B9193B"/>
    <w:rsid w:val="00B92CE8"/>
    <w:rsid w:val="00B93149"/>
    <w:rsid w:val="00B97642"/>
    <w:rsid w:val="00BA216E"/>
    <w:rsid w:val="00BA5D51"/>
    <w:rsid w:val="00BA7C89"/>
    <w:rsid w:val="00BB00D7"/>
    <w:rsid w:val="00BB1D4A"/>
    <w:rsid w:val="00BB31C4"/>
    <w:rsid w:val="00BB32ED"/>
    <w:rsid w:val="00BB767A"/>
    <w:rsid w:val="00BC1A75"/>
    <w:rsid w:val="00BC1CA5"/>
    <w:rsid w:val="00BC1F01"/>
    <w:rsid w:val="00BC261C"/>
    <w:rsid w:val="00BC3A03"/>
    <w:rsid w:val="00BD2411"/>
    <w:rsid w:val="00BE112D"/>
    <w:rsid w:val="00BE17F4"/>
    <w:rsid w:val="00BE291E"/>
    <w:rsid w:val="00BE3AA6"/>
    <w:rsid w:val="00BE4A36"/>
    <w:rsid w:val="00BF55DA"/>
    <w:rsid w:val="00BF6499"/>
    <w:rsid w:val="00C0192B"/>
    <w:rsid w:val="00C02C72"/>
    <w:rsid w:val="00C056EE"/>
    <w:rsid w:val="00C0637E"/>
    <w:rsid w:val="00C161EC"/>
    <w:rsid w:val="00C21572"/>
    <w:rsid w:val="00C21D06"/>
    <w:rsid w:val="00C23642"/>
    <w:rsid w:val="00C25263"/>
    <w:rsid w:val="00C26F9E"/>
    <w:rsid w:val="00C31687"/>
    <w:rsid w:val="00C362D6"/>
    <w:rsid w:val="00C36348"/>
    <w:rsid w:val="00C370F8"/>
    <w:rsid w:val="00C44419"/>
    <w:rsid w:val="00C44510"/>
    <w:rsid w:val="00C44D0C"/>
    <w:rsid w:val="00C45092"/>
    <w:rsid w:val="00C4595C"/>
    <w:rsid w:val="00C45FB0"/>
    <w:rsid w:val="00C45FE1"/>
    <w:rsid w:val="00C46866"/>
    <w:rsid w:val="00C468A6"/>
    <w:rsid w:val="00C47E14"/>
    <w:rsid w:val="00C50955"/>
    <w:rsid w:val="00C54C2A"/>
    <w:rsid w:val="00C60088"/>
    <w:rsid w:val="00C719E0"/>
    <w:rsid w:val="00C71DA6"/>
    <w:rsid w:val="00C73326"/>
    <w:rsid w:val="00C81E4D"/>
    <w:rsid w:val="00C82888"/>
    <w:rsid w:val="00C85DC7"/>
    <w:rsid w:val="00C91F3F"/>
    <w:rsid w:val="00C96DC6"/>
    <w:rsid w:val="00CA2A4A"/>
    <w:rsid w:val="00CB15CA"/>
    <w:rsid w:val="00CB1BD9"/>
    <w:rsid w:val="00CB24FB"/>
    <w:rsid w:val="00CB4E38"/>
    <w:rsid w:val="00CC095B"/>
    <w:rsid w:val="00CC1AE3"/>
    <w:rsid w:val="00CC2EEE"/>
    <w:rsid w:val="00CC3761"/>
    <w:rsid w:val="00CC438F"/>
    <w:rsid w:val="00CC60DD"/>
    <w:rsid w:val="00CD1E7E"/>
    <w:rsid w:val="00CD2672"/>
    <w:rsid w:val="00CD3925"/>
    <w:rsid w:val="00CD5102"/>
    <w:rsid w:val="00CD6DFF"/>
    <w:rsid w:val="00CD70A6"/>
    <w:rsid w:val="00CD70E5"/>
    <w:rsid w:val="00CD76E3"/>
    <w:rsid w:val="00CE066E"/>
    <w:rsid w:val="00CE37CF"/>
    <w:rsid w:val="00CE3D75"/>
    <w:rsid w:val="00CF2E10"/>
    <w:rsid w:val="00CF4593"/>
    <w:rsid w:val="00CF4FAD"/>
    <w:rsid w:val="00CF7472"/>
    <w:rsid w:val="00D013E4"/>
    <w:rsid w:val="00D013F1"/>
    <w:rsid w:val="00D03C4A"/>
    <w:rsid w:val="00D052C4"/>
    <w:rsid w:val="00D06DB3"/>
    <w:rsid w:val="00D10397"/>
    <w:rsid w:val="00D14AA8"/>
    <w:rsid w:val="00D16EC7"/>
    <w:rsid w:val="00D16EDA"/>
    <w:rsid w:val="00D212B2"/>
    <w:rsid w:val="00D21F95"/>
    <w:rsid w:val="00D23910"/>
    <w:rsid w:val="00D23C47"/>
    <w:rsid w:val="00D25691"/>
    <w:rsid w:val="00D26528"/>
    <w:rsid w:val="00D32556"/>
    <w:rsid w:val="00D33D18"/>
    <w:rsid w:val="00D35341"/>
    <w:rsid w:val="00D35916"/>
    <w:rsid w:val="00D404BB"/>
    <w:rsid w:val="00D45205"/>
    <w:rsid w:val="00D45AE5"/>
    <w:rsid w:val="00D53E70"/>
    <w:rsid w:val="00D54597"/>
    <w:rsid w:val="00D54AD4"/>
    <w:rsid w:val="00D55F4C"/>
    <w:rsid w:val="00D6071C"/>
    <w:rsid w:val="00D6174A"/>
    <w:rsid w:val="00D6226A"/>
    <w:rsid w:val="00D62C13"/>
    <w:rsid w:val="00D63BED"/>
    <w:rsid w:val="00D65E3F"/>
    <w:rsid w:val="00D67A4E"/>
    <w:rsid w:val="00D73788"/>
    <w:rsid w:val="00D75069"/>
    <w:rsid w:val="00D7518A"/>
    <w:rsid w:val="00D76111"/>
    <w:rsid w:val="00D77040"/>
    <w:rsid w:val="00D81792"/>
    <w:rsid w:val="00D83465"/>
    <w:rsid w:val="00D8399F"/>
    <w:rsid w:val="00D86EDD"/>
    <w:rsid w:val="00D874C2"/>
    <w:rsid w:val="00D919EB"/>
    <w:rsid w:val="00D9370A"/>
    <w:rsid w:val="00D95D30"/>
    <w:rsid w:val="00D9769A"/>
    <w:rsid w:val="00DA368C"/>
    <w:rsid w:val="00DB1A1D"/>
    <w:rsid w:val="00DC0FC6"/>
    <w:rsid w:val="00DC195E"/>
    <w:rsid w:val="00DC1C3F"/>
    <w:rsid w:val="00DC3C9C"/>
    <w:rsid w:val="00DC5B95"/>
    <w:rsid w:val="00DC7794"/>
    <w:rsid w:val="00DD17BF"/>
    <w:rsid w:val="00DD24BC"/>
    <w:rsid w:val="00DD2F3B"/>
    <w:rsid w:val="00DE1E28"/>
    <w:rsid w:val="00DF2173"/>
    <w:rsid w:val="00DF2EFD"/>
    <w:rsid w:val="00DF50EA"/>
    <w:rsid w:val="00DF54A1"/>
    <w:rsid w:val="00E003FD"/>
    <w:rsid w:val="00E02AA6"/>
    <w:rsid w:val="00E067D3"/>
    <w:rsid w:val="00E06DE2"/>
    <w:rsid w:val="00E20A8C"/>
    <w:rsid w:val="00E21D3D"/>
    <w:rsid w:val="00E2214E"/>
    <w:rsid w:val="00E2451D"/>
    <w:rsid w:val="00E247AF"/>
    <w:rsid w:val="00E2584A"/>
    <w:rsid w:val="00E30778"/>
    <w:rsid w:val="00E32BCB"/>
    <w:rsid w:val="00E34F2B"/>
    <w:rsid w:val="00E36ACE"/>
    <w:rsid w:val="00E41813"/>
    <w:rsid w:val="00E42072"/>
    <w:rsid w:val="00E446E9"/>
    <w:rsid w:val="00E45D34"/>
    <w:rsid w:val="00E479A9"/>
    <w:rsid w:val="00E47EF5"/>
    <w:rsid w:val="00E50861"/>
    <w:rsid w:val="00E5257E"/>
    <w:rsid w:val="00E55CA1"/>
    <w:rsid w:val="00E60FD0"/>
    <w:rsid w:val="00E6482B"/>
    <w:rsid w:val="00E65783"/>
    <w:rsid w:val="00E671BB"/>
    <w:rsid w:val="00E73789"/>
    <w:rsid w:val="00E77B37"/>
    <w:rsid w:val="00E84924"/>
    <w:rsid w:val="00E84CC3"/>
    <w:rsid w:val="00E956BD"/>
    <w:rsid w:val="00EA71DD"/>
    <w:rsid w:val="00EB139E"/>
    <w:rsid w:val="00EB5B36"/>
    <w:rsid w:val="00ED5002"/>
    <w:rsid w:val="00ED53B3"/>
    <w:rsid w:val="00ED6C5D"/>
    <w:rsid w:val="00EE3495"/>
    <w:rsid w:val="00EE43EB"/>
    <w:rsid w:val="00EE5369"/>
    <w:rsid w:val="00EE7496"/>
    <w:rsid w:val="00EE7B85"/>
    <w:rsid w:val="00EF572C"/>
    <w:rsid w:val="00EF6D66"/>
    <w:rsid w:val="00EF70F4"/>
    <w:rsid w:val="00F05843"/>
    <w:rsid w:val="00F058BB"/>
    <w:rsid w:val="00F07CFB"/>
    <w:rsid w:val="00F1033A"/>
    <w:rsid w:val="00F10559"/>
    <w:rsid w:val="00F118CB"/>
    <w:rsid w:val="00F13008"/>
    <w:rsid w:val="00F145AF"/>
    <w:rsid w:val="00F151AF"/>
    <w:rsid w:val="00F1588C"/>
    <w:rsid w:val="00F1735C"/>
    <w:rsid w:val="00F25354"/>
    <w:rsid w:val="00F25DDC"/>
    <w:rsid w:val="00F40548"/>
    <w:rsid w:val="00F40A70"/>
    <w:rsid w:val="00F42414"/>
    <w:rsid w:val="00F43408"/>
    <w:rsid w:val="00F51EDB"/>
    <w:rsid w:val="00F52FCB"/>
    <w:rsid w:val="00F53741"/>
    <w:rsid w:val="00F54376"/>
    <w:rsid w:val="00F544DE"/>
    <w:rsid w:val="00F5591A"/>
    <w:rsid w:val="00F55E8F"/>
    <w:rsid w:val="00F55EEF"/>
    <w:rsid w:val="00F568E8"/>
    <w:rsid w:val="00F576A6"/>
    <w:rsid w:val="00F602EF"/>
    <w:rsid w:val="00F67A61"/>
    <w:rsid w:val="00F67DE6"/>
    <w:rsid w:val="00F767FC"/>
    <w:rsid w:val="00F8142C"/>
    <w:rsid w:val="00F83C51"/>
    <w:rsid w:val="00F8454E"/>
    <w:rsid w:val="00F858A5"/>
    <w:rsid w:val="00F86712"/>
    <w:rsid w:val="00F87E02"/>
    <w:rsid w:val="00F9218E"/>
    <w:rsid w:val="00F933A0"/>
    <w:rsid w:val="00F94558"/>
    <w:rsid w:val="00F94ED8"/>
    <w:rsid w:val="00F954B1"/>
    <w:rsid w:val="00F96734"/>
    <w:rsid w:val="00F970AC"/>
    <w:rsid w:val="00FA3E03"/>
    <w:rsid w:val="00FA4FF1"/>
    <w:rsid w:val="00FA73E8"/>
    <w:rsid w:val="00FA744E"/>
    <w:rsid w:val="00FB4C4E"/>
    <w:rsid w:val="00FB6DF8"/>
    <w:rsid w:val="00FB780B"/>
    <w:rsid w:val="00FB79F5"/>
    <w:rsid w:val="00FC5365"/>
    <w:rsid w:val="00FC7FE5"/>
    <w:rsid w:val="00FD1C76"/>
    <w:rsid w:val="00FD71FE"/>
    <w:rsid w:val="00FD7F23"/>
    <w:rsid w:val="00FE0234"/>
    <w:rsid w:val="00FE1885"/>
    <w:rsid w:val="00FE2D82"/>
    <w:rsid w:val="00FE70D9"/>
    <w:rsid w:val="00FE7A7D"/>
    <w:rsid w:val="00FE7D91"/>
    <w:rsid w:val="00FF0191"/>
    <w:rsid w:val="00FF1F31"/>
    <w:rsid w:val="00FF3365"/>
    <w:rsid w:val="00FF3EC9"/>
    <w:rsid w:val="00FF4D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9CDB"/>
  <w15:docId w15:val="{F845E7B7-E191-490B-858E-52F9C56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90569"/>
    <w:pPr>
      <w:widowControl w:val="0"/>
      <w:tabs>
        <w:tab w:val="left" w:pos="1418"/>
        <w:tab w:val="left" w:pos="2835"/>
        <w:tab w:val="left" w:pos="4253"/>
        <w:tab w:val="left" w:pos="5670"/>
        <w:tab w:val="left" w:pos="7088"/>
        <w:tab w:val="left" w:pos="8505"/>
      </w:tabs>
      <w:spacing w:before="240" w:after="60" w:line="480" w:lineRule="auto"/>
      <w:jc w:val="center"/>
      <w:outlineLvl w:val="0"/>
    </w:pPr>
    <w:rPr>
      <w:rFonts w:ascii="Century Gothic" w:hAnsi="Century Gothic"/>
      <w:kern w:val="28"/>
      <w:sz w:val="26"/>
      <w:szCs w:val="20"/>
      <w:lang w:val="en-ZA"/>
    </w:rPr>
  </w:style>
  <w:style w:type="paragraph" w:styleId="Heading2">
    <w:name w:val="heading 2"/>
    <w:basedOn w:val="Normal"/>
    <w:next w:val="Normal"/>
    <w:link w:val="Heading2Char"/>
    <w:unhideWhenUsed/>
    <w:qFormat/>
    <w:rsid w:val="00090569"/>
    <w:pPr>
      <w:widowControl w:val="0"/>
      <w:tabs>
        <w:tab w:val="left" w:pos="1418"/>
        <w:tab w:val="left" w:pos="2835"/>
        <w:tab w:val="left" w:pos="4253"/>
        <w:tab w:val="left" w:pos="5670"/>
        <w:tab w:val="left" w:pos="7088"/>
        <w:tab w:val="left" w:pos="8505"/>
      </w:tabs>
      <w:spacing w:before="240" w:after="60" w:line="480" w:lineRule="auto"/>
      <w:jc w:val="both"/>
      <w:outlineLvl w:val="1"/>
    </w:pPr>
    <w:rPr>
      <w:rFonts w:ascii="Century Gothic" w:hAnsi="Century Gothic"/>
      <w:sz w:val="26"/>
      <w:szCs w:val="20"/>
      <w:lang w:val="en-ZA"/>
    </w:rPr>
  </w:style>
  <w:style w:type="paragraph" w:styleId="Heading3">
    <w:name w:val="heading 3"/>
    <w:next w:val="Normal"/>
    <w:link w:val="Heading3Char"/>
    <w:unhideWhenUsed/>
    <w:qFormat/>
    <w:rsid w:val="00090569"/>
    <w:pPr>
      <w:widowControl w:val="0"/>
      <w:tabs>
        <w:tab w:val="left" w:pos="1418"/>
        <w:tab w:val="left" w:pos="4253"/>
        <w:tab w:val="left" w:pos="5670"/>
        <w:tab w:val="left" w:pos="7088"/>
        <w:tab w:val="left" w:pos="8505"/>
      </w:tabs>
      <w:spacing w:before="240" w:after="60" w:line="480" w:lineRule="auto"/>
      <w:jc w:val="both"/>
      <w:outlineLvl w:val="2"/>
    </w:pPr>
    <w:rPr>
      <w:rFonts w:ascii="Century Gothic" w:eastAsia="Times New Roman" w:hAnsi="Century Gothic" w:cs="Times New Roman"/>
      <w:sz w:val="26"/>
      <w:szCs w:val="20"/>
    </w:rPr>
  </w:style>
  <w:style w:type="paragraph" w:styleId="Heading4">
    <w:name w:val="heading 4"/>
    <w:basedOn w:val="Normal"/>
    <w:next w:val="Normal"/>
    <w:link w:val="Heading4Char"/>
    <w:unhideWhenUsed/>
    <w:qFormat/>
    <w:rsid w:val="00090569"/>
    <w:pPr>
      <w:keepNext/>
      <w:widowControl w:val="0"/>
      <w:tabs>
        <w:tab w:val="right" w:pos="8640"/>
      </w:tabs>
      <w:spacing w:line="480" w:lineRule="auto"/>
      <w:jc w:val="center"/>
      <w:outlineLvl w:val="3"/>
    </w:pPr>
    <w:rPr>
      <w:rFonts w:ascii="Century Gothic" w:hAnsi="Century Gothic"/>
      <w:b/>
      <w:bCs/>
      <w:sz w:val="26"/>
      <w:szCs w:val="20"/>
      <w:lang w:val="en-ZA"/>
    </w:rPr>
  </w:style>
  <w:style w:type="paragraph" w:styleId="Heading5">
    <w:name w:val="heading 5"/>
    <w:basedOn w:val="Normal"/>
    <w:next w:val="Normal"/>
    <w:link w:val="Heading5Char"/>
    <w:unhideWhenUsed/>
    <w:qFormat/>
    <w:rsid w:val="00304FDE"/>
    <w:pPr>
      <w:spacing w:before="240" w:after="60" w:line="480" w:lineRule="auto"/>
      <w:ind w:left="1440" w:hanging="1440"/>
      <w:outlineLvl w:val="4"/>
    </w:pPr>
    <w:rPr>
      <w:rFonts w:ascii="Calibri" w:hAnsi="Calibri"/>
      <w:b/>
      <w:bCs/>
      <w:i/>
      <w:iCs/>
      <w:sz w:val="26"/>
      <w:szCs w:val="26"/>
      <w:lang w:val="en-GB"/>
    </w:rPr>
  </w:style>
  <w:style w:type="paragraph" w:styleId="Heading8">
    <w:name w:val="heading 8"/>
    <w:basedOn w:val="Normal"/>
    <w:next w:val="Normal"/>
    <w:link w:val="Heading8Char"/>
    <w:uiPriority w:val="9"/>
    <w:semiHidden/>
    <w:unhideWhenUsed/>
    <w:qFormat/>
    <w:rsid w:val="00304FDE"/>
    <w:pPr>
      <w:spacing w:before="240" w:after="60" w:line="480" w:lineRule="auto"/>
      <w:ind w:left="1440" w:hanging="1440"/>
      <w:outlineLvl w:val="7"/>
    </w:pPr>
    <w:rPr>
      <w:rFonts w:ascii="Calibri" w:hAnsi="Calibr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569"/>
    <w:rPr>
      <w:rFonts w:ascii="Century Gothic" w:eastAsia="Times New Roman" w:hAnsi="Century Gothic" w:cs="Times New Roman"/>
      <w:kern w:val="28"/>
      <w:sz w:val="26"/>
      <w:szCs w:val="20"/>
    </w:rPr>
  </w:style>
  <w:style w:type="character" w:customStyle="1" w:styleId="Heading2Char">
    <w:name w:val="Heading 2 Char"/>
    <w:basedOn w:val="DefaultParagraphFont"/>
    <w:link w:val="Heading2"/>
    <w:rsid w:val="00090569"/>
    <w:rPr>
      <w:rFonts w:ascii="Century Gothic" w:eastAsia="Times New Roman" w:hAnsi="Century Gothic" w:cs="Times New Roman"/>
      <w:sz w:val="26"/>
      <w:szCs w:val="20"/>
    </w:rPr>
  </w:style>
  <w:style w:type="character" w:customStyle="1" w:styleId="Heading3Char">
    <w:name w:val="Heading 3 Char"/>
    <w:basedOn w:val="DefaultParagraphFont"/>
    <w:link w:val="Heading3"/>
    <w:rsid w:val="00090569"/>
    <w:rPr>
      <w:rFonts w:ascii="Century Gothic" w:eastAsia="Times New Roman" w:hAnsi="Century Gothic" w:cs="Times New Roman"/>
      <w:sz w:val="26"/>
      <w:szCs w:val="20"/>
    </w:rPr>
  </w:style>
  <w:style w:type="character" w:customStyle="1" w:styleId="Heading4Char">
    <w:name w:val="Heading 4 Char"/>
    <w:basedOn w:val="DefaultParagraphFont"/>
    <w:link w:val="Heading4"/>
    <w:rsid w:val="00090569"/>
    <w:rPr>
      <w:rFonts w:ascii="Century Gothic" w:eastAsia="Times New Roman" w:hAnsi="Century Gothic" w:cs="Times New Roman"/>
      <w:b/>
      <w:bCs/>
      <w:sz w:val="26"/>
      <w:szCs w:val="20"/>
    </w:rPr>
  </w:style>
  <w:style w:type="paragraph" w:styleId="ListParagraph">
    <w:name w:val="List Paragraph"/>
    <w:aliases w:val="List Paragraph 1"/>
    <w:basedOn w:val="Normal"/>
    <w:link w:val="ListParagraphChar"/>
    <w:uiPriority w:val="34"/>
    <w:qFormat/>
    <w:rsid w:val="0022450E"/>
    <w:pPr>
      <w:ind w:left="720"/>
      <w:contextualSpacing/>
    </w:pPr>
  </w:style>
  <w:style w:type="paragraph" w:styleId="BalloonText">
    <w:name w:val="Balloon Text"/>
    <w:basedOn w:val="Normal"/>
    <w:link w:val="BalloonTextChar"/>
    <w:unhideWhenUsed/>
    <w:rsid w:val="00272B80"/>
    <w:rPr>
      <w:rFonts w:ascii="Segoe UI" w:hAnsi="Segoe UI" w:cs="Segoe UI"/>
      <w:sz w:val="18"/>
      <w:szCs w:val="18"/>
    </w:rPr>
  </w:style>
  <w:style w:type="character" w:customStyle="1" w:styleId="BalloonTextChar">
    <w:name w:val="Balloon Text Char"/>
    <w:basedOn w:val="DefaultParagraphFont"/>
    <w:link w:val="BalloonText"/>
    <w:rsid w:val="00272B80"/>
    <w:rPr>
      <w:rFonts w:ascii="Segoe UI" w:eastAsia="Times New Roman" w:hAnsi="Segoe UI" w:cs="Segoe UI"/>
      <w:sz w:val="18"/>
      <w:szCs w:val="18"/>
      <w:lang w:val="en-US"/>
    </w:rPr>
  </w:style>
  <w:style w:type="paragraph" w:styleId="Header">
    <w:name w:val="header"/>
    <w:basedOn w:val="Normal"/>
    <w:link w:val="HeaderChar"/>
    <w:uiPriority w:val="99"/>
    <w:unhideWhenUsed/>
    <w:rsid w:val="003015FA"/>
    <w:pPr>
      <w:tabs>
        <w:tab w:val="center" w:pos="4513"/>
        <w:tab w:val="right" w:pos="9026"/>
      </w:tabs>
    </w:pPr>
  </w:style>
  <w:style w:type="character" w:customStyle="1" w:styleId="HeaderChar">
    <w:name w:val="Header Char"/>
    <w:basedOn w:val="DefaultParagraphFont"/>
    <w:link w:val="Header"/>
    <w:uiPriority w:val="99"/>
    <w:rsid w:val="003015FA"/>
    <w:rPr>
      <w:rFonts w:ascii="Times New Roman" w:eastAsia="Times New Roman" w:hAnsi="Times New Roman" w:cs="Times New Roman"/>
      <w:sz w:val="24"/>
      <w:szCs w:val="24"/>
      <w:lang w:val="en-US"/>
    </w:rPr>
  </w:style>
  <w:style w:type="paragraph" w:styleId="Footer">
    <w:name w:val="footer"/>
    <w:basedOn w:val="Normal"/>
    <w:link w:val="FooterChar"/>
    <w:unhideWhenUsed/>
    <w:rsid w:val="003015FA"/>
    <w:pPr>
      <w:tabs>
        <w:tab w:val="center" w:pos="4513"/>
        <w:tab w:val="right" w:pos="9026"/>
      </w:tabs>
    </w:pPr>
  </w:style>
  <w:style w:type="character" w:customStyle="1" w:styleId="FooterChar">
    <w:name w:val="Footer Char"/>
    <w:basedOn w:val="DefaultParagraphFont"/>
    <w:link w:val="Footer"/>
    <w:rsid w:val="003015FA"/>
    <w:rPr>
      <w:rFonts w:ascii="Times New Roman" w:eastAsia="Times New Roman" w:hAnsi="Times New Roman" w:cs="Times New Roman"/>
      <w:sz w:val="24"/>
      <w:szCs w:val="24"/>
      <w:lang w:val="en-US"/>
    </w:rPr>
  </w:style>
  <w:style w:type="paragraph" w:styleId="BodyText">
    <w:name w:val="Body Text"/>
    <w:basedOn w:val="Normal"/>
    <w:link w:val="BodyTextChar"/>
    <w:rsid w:val="00FE70D9"/>
    <w:pPr>
      <w:tabs>
        <w:tab w:val="right" w:pos="8222"/>
      </w:tabs>
      <w:spacing w:line="480" w:lineRule="auto"/>
      <w:jc w:val="both"/>
    </w:pPr>
    <w:rPr>
      <w:rFonts w:ascii="Arial" w:hAnsi="Arial"/>
      <w:sz w:val="20"/>
      <w:szCs w:val="20"/>
    </w:rPr>
  </w:style>
  <w:style w:type="character" w:customStyle="1" w:styleId="BodyTextChar">
    <w:name w:val="Body Text Char"/>
    <w:basedOn w:val="DefaultParagraphFont"/>
    <w:link w:val="BodyText"/>
    <w:rsid w:val="00FE70D9"/>
    <w:rPr>
      <w:rFonts w:ascii="Arial" w:eastAsia="Times New Roman" w:hAnsi="Arial" w:cs="Times New Roman"/>
      <w:sz w:val="20"/>
      <w:szCs w:val="20"/>
      <w:lang w:val="en-US"/>
    </w:rPr>
  </w:style>
  <w:style w:type="character" w:styleId="Hyperlink">
    <w:name w:val="Hyperlink"/>
    <w:basedOn w:val="DefaultParagraphFont"/>
    <w:uiPriority w:val="99"/>
    <w:unhideWhenUsed/>
    <w:rsid w:val="00E32BCB"/>
    <w:rPr>
      <w:color w:val="0563C1" w:themeColor="hyperlink"/>
      <w:u w:val="single"/>
    </w:rPr>
  </w:style>
  <w:style w:type="character" w:styleId="FollowedHyperlink">
    <w:name w:val="FollowedHyperlink"/>
    <w:basedOn w:val="DefaultParagraphFont"/>
    <w:uiPriority w:val="99"/>
    <w:semiHidden/>
    <w:unhideWhenUsed/>
    <w:rsid w:val="009133C3"/>
    <w:rPr>
      <w:color w:val="954F72" w:themeColor="followedHyperlink"/>
      <w:u w:val="single"/>
    </w:rPr>
  </w:style>
  <w:style w:type="paragraph" w:styleId="FootnoteText">
    <w:name w:val="footnote text"/>
    <w:basedOn w:val="Normal"/>
    <w:link w:val="FootnoteTextChar"/>
    <w:unhideWhenUsed/>
    <w:rsid w:val="002C5111"/>
    <w:rPr>
      <w:sz w:val="20"/>
      <w:szCs w:val="20"/>
    </w:rPr>
  </w:style>
  <w:style w:type="character" w:customStyle="1" w:styleId="FootnoteTextChar">
    <w:name w:val="Footnote Text Char"/>
    <w:basedOn w:val="DefaultParagraphFont"/>
    <w:link w:val="FootnoteText"/>
    <w:rsid w:val="002C5111"/>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2C5111"/>
    <w:rPr>
      <w:vertAlign w:val="superscript"/>
    </w:rPr>
  </w:style>
  <w:style w:type="paragraph" w:styleId="NormalWeb">
    <w:name w:val="Normal (Web)"/>
    <w:basedOn w:val="Normal"/>
    <w:uiPriority w:val="99"/>
    <w:unhideWhenUsed/>
    <w:rsid w:val="00002CC8"/>
  </w:style>
  <w:style w:type="character" w:customStyle="1" w:styleId="UnresolvedMention1">
    <w:name w:val="Unresolved Mention1"/>
    <w:basedOn w:val="DefaultParagraphFont"/>
    <w:uiPriority w:val="99"/>
    <w:rsid w:val="00603FD0"/>
    <w:rPr>
      <w:color w:val="605E5C"/>
      <w:shd w:val="clear" w:color="auto" w:fill="E1DFDD"/>
    </w:rPr>
  </w:style>
  <w:style w:type="paragraph" w:customStyle="1" w:styleId="lrpara">
    <w:name w:val="lrpara"/>
    <w:basedOn w:val="Normal"/>
    <w:rsid w:val="00347C4D"/>
    <w:pPr>
      <w:spacing w:before="100" w:beforeAutospacing="1" w:after="100" w:afterAutospacing="1"/>
    </w:pPr>
    <w:rPr>
      <w:lang w:val="en-ZA" w:eastAsia="en-ZA"/>
    </w:rPr>
  </w:style>
  <w:style w:type="paragraph" w:customStyle="1" w:styleId="pageno">
    <w:name w:val="pageno"/>
    <w:basedOn w:val="Normal"/>
    <w:rsid w:val="00347C4D"/>
    <w:pPr>
      <w:spacing w:before="100" w:beforeAutospacing="1" w:after="100" w:afterAutospacing="1"/>
    </w:pPr>
    <w:rPr>
      <w:lang w:val="en-ZA" w:eastAsia="en-ZA"/>
    </w:rPr>
  </w:style>
  <w:style w:type="paragraph" w:customStyle="1" w:styleId="lrjudgecont">
    <w:name w:val="lrjudgecont"/>
    <w:basedOn w:val="Normal"/>
    <w:rsid w:val="00347C4D"/>
    <w:pPr>
      <w:spacing w:before="100" w:beforeAutospacing="1" w:after="100" w:afterAutospacing="1"/>
    </w:pPr>
    <w:rPr>
      <w:lang w:val="en-ZA" w:eastAsia="en-ZA"/>
    </w:rPr>
  </w:style>
  <w:style w:type="character" w:customStyle="1" w:styleId="mc">
    <w:name w:val="mc"/>
    <w:basedOn w:val="DefaultParagraphFont"/>
    <w:rsid w:val="00347C4D"/>
  </w:style>
  <w:style w:type="character" w:customStyle="1" w:styleId="Heading5Char">
    <w:name w:val="Heading 5 Char"/>
    <w:basedOn w:val="DefaultParagraphFont"/>
    <w:link w:val="Heading5"/>
    <w:rsid w:val="00304FDE"/>
    <w:rPr>
      <w:rFonts w:ascii="Calibri" w:eastAsia="Times New Roman" w:hAnsi="Calibri" w:cs="Times New Roman"/>
      <w:b/>
      <w:bCs/>
      <w:i/>
      <w:iCs/>
      <w:sz w:val="26"/>
      <w:szCs w:val="26"/>
      <w:lang w:val="en-GB"/>
    </w:rPr>
  </w:style>
  <w:style w:type="character" w:customStyle="1" w:styleId="Heading8Char">
    <w:name w:val="Heading 8 Char"/>
    <w:basedOn w:val="DefaultParagraphFont"/>
    <w:link w:val="Heading8"/>
    <w:uiPriority w:val="9"/>
    <w:semiHidden/>
    <w:rsid w:val="00304FDE"/>
    <w:rPr>
      <w:rFonts w:ascii="Calibri" w:eastAsia="Times New Roman" w:hAnsi="Calibri" w:cs="Times New Roman"/>
      <w:i/>
      <w:iCs/>
      <w:sz w:val="24"/>
      <w:szCs w:val="24"/>
      <w:lang w:val="en-GB"/>
    </w:rPr>
  </w:style>
  <w:style w:type="character" w:styleId="PageNumber">
    <w:name w:val="page number"/>
    <w:basedOn w:val="DefaultParagraphFont"/>
    <w:rsid w:val="00304FDE"/>
  </w:style>
  <w:style w:type="paragraph" w:customStyle="1" w:styleId="BGNormal">
    <w:name w:val="BGNormal"/>
    <w:basedOn w:val="Normal"/>
    <w:rsid w:val="00304FDE"/>
    <w:pPr>
      <w:widowControl w:val="0"/>
      <w:spacing w:line="360" w:lineRule="auto"/>
      <w:ind w:left="1440" w:hanging="1440"/>
      <w:jc w:val="both"/>
    </w:pPr>
    <w:rPr>
      <w:rFonts w:ascii="Arial" w:hAnsi="Arial"/>
      <w:szCs w:val="22"/>
      <w:lang w:val="en-ZA"/>
    </w:rPr>
  </w:style>
  <w:style w:type="paragraph" w:customStyle="1" w:styleId="SingleSpacing">
    <w:name w:val="SingleSpacing"/>
    <w:basedOn w:val="Normal"/>
    <w:rsid w:val="00304FDE"/>
    <w:pPr>
      <w:suppressAutoHyphens/>
      <w:spacing w:line="480" w:lineRule="auto"/>
      <w:ind w:left="1440" w:hanging="1440"/>
      <w:jc w:val="both"/>
    </w:pPr>
    <w:rPr>
      <w:rFonts w:ascii="Arial" w:hAnsi="Arial"/>
      <w:szCs w:val="20"/>
      <w:lang w:val="en-ZA"/>
    </w:rPr>
  </w:style>
  <w:style w:type="character" w:customStyle="1" w:styleId="apple-converted-space">
    <w:name w:val="apple-converted-space"/>
    <w:rsid w:val="00304FDE"/>
  </w:style>
  <w:style w:type="character" w:styleId="CommentReference">
    <w:name w:val="annotation reference"/>
    <w:semiHidden/>
    <w:unhideWhenUsed/>
    <w:rsid w:val="00304FDE"/>
    <w:rPr>
      <w:sz w:val="16"/>
      <w:szCs w:val="16"/>
    </w:rPr>
  </w:style>
  <w:style w:type="paragraph" w:styleId="CommentText">
    <w:name w:val="annotation text"/>
    <w:basedOn w:val="Normal"/>
    <w:link w:val="Comment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CommentTextChar">
    <w:name w:val="Comment Text Char"/>
    <w:basedOn w:val="DefaultParagraphFont"/>
    <w:link w:val="CommentText"/>
    <w:uiPriority w:val="99"/>
    <w:semiHidden/>
    <w:rsid w:val="00304FDE"/>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04FDE"/>
    <w:rPr>
      <w:b/>
      <w:bCs/>
    </w:rPr>
  </w:style>
  <w:style w:type="character" w:customStyle="1" w:styleId="CommentSubjectChar">
    <w:name w:val="Comment Subject Char"/>
    <w:basedOn w:val="CommentTextChar"/>
    <w:link w:val="CommentSubject"/>
    <w:uiPriority w:val="99"/>
    <w:semiHidden/>
    <w:rsid w:val="00304FDE"/>
    <w:rPr>
      <w:rFonts w:ascii="Arial" w:eastAsia="Times New Roman" w:hAnsi="Arial" w:cs="Arial"/>
      <w:b/>
      <w:bCs/>
      <w:sz w:val="20"/>
      <w:szCs w:val="20"/>
      <w:lang w:val="en-GB"/>
    </w:rPr>
  </w:style>
  <w:style w:type="paragraph" w:styleId="EnvelopeReturn">
    <w:name w:val="envelope return"/>
    <w:basedOn w:val="Normal"/>
    <w:rsid w:val="00304FDE"/>
    <w:pPr>
      <w:spacing w:line="480" w:lineRule="auto"/>
      <w:ind w:left="1440" w:hanging="1440"/>
    </w:pPr>
    <w:rPr>
      <w:rFonts w:ascii="Arial" w:hAnsi="Arial" w:cs="Arial"/>
      <w:sz w:val="16"/>
      <w:szCs w:val="20"/>
    </w:rPr>
  </w:style>
  <w:style w:type="paragraph" w:styleId="BodyTextIndent">
    <w:name w:val="Body Text Indent"/>
    <w:basedOn w:val="Normal"/>
    <w:link w:val="BodyTextIndentChar"/>
    <w:rsid w:val="00304FDE"/>
    <w:pPr>
      <w:spacing w:line="480" w:lineRule="auto"/>
      <w:ind w:left="540" w:hanging="1440"/>
      <w:jc w:val="both"/>
    </w:pPr>
    <w:rPr>
      <w:rFonts w:ascii="Arial" w:hAnsi="Arial"/>
      <w:bCs/>
      <w:sz w:val="22"/>
    </w:rPr>
  </w:style>
  <w:style w:type="character" w:customStyle="1" w:styleId="BodyTextIndentChar">
    <w:name w:val="Body Text Indent Char"/>
    <w:basedOn w:val="DefaultParagraphFont"/>
    <w:link w:val="BodyTextIndent"/>
    <w:rsid w:val="00304FDE"/>
    <w:rPr>
      <w:rFonts w:ascii="Arial" w:eastAsia="Times New Roman" w:hAnsi="Arial" w:cs="Times New Roman"/>
      <w:bCs/>
      <w:szCs w:val="24"/>
      <w:lang w:val="en-US"/>
    </w:rPr>
  </w:style>
  <w:style w:type="paragraph" w:styleId="BodyTextIndent2">
    <w:name w:val="Body Text Indent 2"/>
    <w:basedOn w:val="Normal"/>
    <w:link w:val="BodyTextIndent2Char"/>
    <w:rsid w:val="00304FDE"/>
    <w:pPr>
      <w:widowControl w:val="0"/>
      <w:autoSpaceDE w:val="0"/>
      <w:autoSpaceDN w:val="0"/>
      <w:adjustRightInd w:val="0"/>
      <w:spacing w:line="480" w:lineRule="auto"/>
      <w:ind w:left="540" w:hanging="1440"/>
    </w:pPr>
    <w:rPr>
      <w:rFonts w:ascii="Arial" w:hAnsi="Arial"/>
      <w:szCs w:val="20"/>
    </w:rPr>
  </w:style>
  <w:style w:type="character" w:customStyle="1" w:styleId="BodyTextIndent2Char">
    <w:name w:val="Body Text Indent 2 Char"/>
    <w:basedOn w:val="DefaultParagraphFont"/>
    <w:link w:val="BodyTextIndent2"/>
    <w:rsid w:val="00304FDE"/>
    <w:rPr>
      <w:rFonts w:ascii="Arial" w:eastAsia="Times New Roman" w:hAnsi="Arial" w:cs="Times New Roman"/>
      <w:sz w:val="24"/>
      <w:szCs w:val="20"/>
      <w:lang w:val="en-US"/>
    </w:rPr>
  </w:style>
  <w:style w:type="paragraph" w:styleId="BodyText2">
    <w:name w:val="Body Text 2"/>
    <w:basedOn w:val="Normal"/>
    <w:link w:val="BodyText2Char"/>
    <w:rsid w:val="00304FDE"/>
    <w:pPr>
      <w:widowControl w:val="0"/>
      <w:autoSpaceDE w:val="0"/>
      <w:autoSpaceDN w:val="0"/>
      <w:adjustRightInd w:val="0"/>
      <w:spacing w:line="480" w:lineRule="auto"/>
      <w:ind w:left="1440" w:hanging="1440"/>
    </w:pPr>
    <w:rPr>
      <w:rFonts w:ascii="Arial" w:hAnsi="Arial"/>
      <w:sz w:val="20"/>
      <w:szCs w:val="20"/>
    </w:rPr>
  </w:style>
  <w:style w:type="character" w:customStyle="1" w:styleId="BodyText2Char">
    <w:name w:val="Body Text 2 Char"/>
    <w:basedOn w:val="DefaultParagraphFont"/>
    <w:link w:val="BodyText2"/>
    <w:rsid w:val="00304FDE"/>
    <w:rPr>
      <w:rFonts w:ascii="Arial" w:eastAsia="Times New Roman" w:hAnsi="Arial" w:cs="Times New Roman"/>
      <w:sz w:val="20"/>
      <w:szCs w:val="20"/>
      <w:lang w:val="en-US"/>
    </w:rPr>
  </w:style>
  <w:style w:type="paragraph" w:customStyle="1" w:styleId="ColorfulList-Accent11">
    <w:name w:val="Colorful List - Accent 11"/>
    <w:basedOn w:val="Normal"/>
    <w:qFormat/>
    <w:rsid w:val="00304FDE"/>
    <w:pPr>
      <w:widowControl w:val="0"/>
      <w:autoSpaceDE w:val="0"/>
      <w:autoSpaceDN w:val="0"/>
      <w:adjustRightInd w:val="0"/>
      <w:spacing w:line="480" w:lineRule="auto"/>
      <w:ind w:left="720" w:hanging="1440"/>
    </w:pPr>
    <w:rPr>
      <w:rFonts w:ascii="Courier" w:hAnsi="Courier"/>
      <w:sz w:val="20"/>
      <w:szCs w:val="20"/>
    </w:rPr>
  </w:style>
  <w:style w:type="paragraph" w:styleId="Title">
    <w:name w:val="Title"/>
    <w:basedOn w:val="Normal"/>
    <w:link w:val="TitleChar"/>
    <w:qFormat/>
    <w:rsid w:val="00304FDE"/>
    <w:pPr>
      <w:spacing w:line="480" w:lineRule="auto"/>
      <w:ind w:left="1440" w:hanging="1440"/>
      <w:jc w:val="center"/>
    </w:pPr>
    <w:rPr>
      <w:rFonts w:ascii="Arial" w:eastAsia="Calibri" w:hAnsi="Arial"/>
      <w:b/>
      <w:sz w:val="25"/>
      <w:szCs w:val="22"/>
      <w:u w:val="single"/>
    </w:rPr>
  </w:style>
  <w:style w:type="character" w:customStyle="1" w:styleId="TitleChar">
    <w:name w:val="Title Char"/>
    <w:basedOn w:val="DefaultParagraphFont"/>
    <w:link w:val="Title"/>
    <w:rsid w:val="00304FDE"/>
    <w:rPr>
      <w:rFonts w:ascii="Arial" w:eastAsia="Calibri" w:hAnsi="Arial" w:cs="Times New Roman"/>
      <w:b/>
      <w:sz w:val="25"/>
      <w:u w:val="single"/>
      <w:lang w:val="en-US"/>
    </w:rPr>
  </w:style>
  <w:style w:type="character" w:customStyle="1" w:styleId="UnresolvedMention">
    <w:name w:val="Unresolved Mention"/>
    <w:uiPriority w:val="99"/>
    <w:semiHidden/>
    <w:unhideWhenUsed/>
    <w:rsid w:val="00304FDE"/>
    <w:rPr>
      <w:color w:val="605E5C"/>
      <w:shd w:val="clear" w:color="auto" w:fill="E1DFDD"/>
    </w:rPr>
  </w:style>
  <w:style w:type="paragraph" w:styleId="EndnoteText">
    <w:name w:val="endnote text"/>
    <w:basedOn w:val="Normal"/>
    <w:link w:val="Endnote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EndnoteTextChar">
    <w:name w:val="Endnote Text Char"/>
    <w:basedOn w:val="DefaultParagraphFont"/>
    <w:link w:val="EndnoteText"/>
    <w:uiPriority w:val="99"/>
    <w:semiHidden/>
    <w:rsid w:val="00304FDE"/>
    <w:rPr>
      <w:rFonts w:ascii="Arial" w:eastAsia="Times New Roman" w:hAnsi="Arial" w:cs="Arial"/>
      <w:sz w:val="20"/>
      <w:szCs w:val="20"/>
      <w:lang w:val="en-GB"/>
    </w:rPr>
  </w:style>
  <w:style w:type="character" w:styleId="EndnoteReference">
    <w:name w:val="endnote reference"/>
    <w:uiPriority w:val="99"/>
    <w:semiHidden/>
    <w:unhideWhenUsed/>
    <w:rsid w:val="00304FDE"/>
    <w:rPr>
      <w:vertAlign w:val="superscript"/>
    </w:rPr>
  </w:style>
  <w:style w:type="character" w:customStyle="1" w:styleId="fnotenum">
    <w:name w:val="fnotenum"/>
    <w:basedOn w:val="DefaultParagraphFont"/>
    <w:rsid w:val="00304FDE"/>
  </w:style>
  <w:style w:type="paragraph" w:styleId="PlainText">
    <w:name w:val="Plain Text"/>
    <w:basedOn w:val="Normal"/>
    <w:link w:val="PlainTextChar"/>
    <w:uiPriority w:val="99"/>
    <w:unhideWhenUsed/>
    <w:rsid w:val="00304FDE"/>
    <w:rPr>
      <w:rFonts w:ascii="Courier New" w:hAnsi="Courier New"/>
      <w:sz w:val="20"/>
      <w:szCs w:val="20"/>
      <w:lang w:val="af-ZA"/>
    </w:rPr>
  </w:style>
  <w:style w:type="character" w:customStyle="1" w:styleId="PlainTextChar">
    <w:name w:val="Plain Text Char"/>
    <w:basedOn w:val="DefaultParagraphFont"/>
    <w:link w:val="PlainText"/>
    <w:uiPriority w:val="99"/>
    <w:rsid w:val="00304FDE"/>
    <w:rPr>
      <w:rFonts w:ascii="Courier New" w:eastAsia="Times New Roman" w:hAnsi="Courier New" w:cs="Times New Roman"/>
      <w:sz w:val="20"/>
      <w:szCs w:val="20"/>
      <w:lang w:val="af-ZA"/>
    </w:rPr>
  </w:style>
  <w:style w:type="character" w:customStyle="1" w:styleId="ListParagraphChar">
    <w:name w:val="List Paragraph Char"/>
    <w:aliases w:val="List Paragraph 1 Char"/>
    <w:link w:val="ListParagraph"/>
    <w:uiPriority w:val="34"/>
    <w:qFormat/>
    <w:locked/>
    <w:rsid w:val="00304FDE"/>
    <w:rPr>
      <w:rFonts w:ascii="Times New Roman" w:eastAsia="Times New Roman" w:hAnsi="Times New Roman" w:cs="Times New Roman"/>
      <w:sz w:val="24"/>
      <w:szCs w:val="24"/>
      <w:lang w:val="en-US"/>
    </w:rPr>
  </w:style>
  <w:style w:type="paragraph" w:customStyle="1" w:styleId="lrquote">
    <w:name w:val="lrquote"/>
    <w:basedOn w:val="Normal"/>
    <w:rsid w:val="00304FDE"/>
    <w:pPr>
      <w:spacing w:before="100" w:beforeAutospacing="1" w:after="100" w:afterAutospacing="1"/>
    </w:pPr>
    <w:rPr>
      <w:lang w:val="en-ZA" w:eastAsia="en-ZA"/>
    </w:rPr>
  </w:style>
  <w:style w:type="character" w:customStyle="1" w:styleId="italic">
    <w:name w:val="italic"/>
    <w:basedOn w:val="DefaultParagraphFont"/>
    <w:rsid w:val="0030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03">
      <w:bodyDiv w:val="1"/>
      <w:marLeft w:val="0"/>
      <w:marRight w:val="0"/>
      <w:marTop w:val="0"/>
      <w:marBottom w:val="0"/>
      <w:divBdr>
        <w:top w:val="none" w:sz="0" w:space="0" w:color="auto"/>
        <w:left w:val="none" w:sz="0" w:space="0" w:color="auto"/>
        <w:bottom w:val="none" w:sz="0" w:space="0" w:color="auto"/>
        <w:right w:val="none" w:sz="0" w:space="0" w:color="auto"/>
      </w:divBdr>
    </w:div>
    <w:div w:id="185488650">
      <w:bodyDiv w:val="1"/>
      <w:marLeft w:val="0"/>
      <w:marRight w:val="0"/>
      <w:marTop w:val="0"/>
      <w:marBottom w:val="0"/>
      <w:divBdr>
        <w:top w:val="none" w:sz="0" w:space="0" w:color="auto"/>
        <w:left w:val="none" w:sz="0" w:space="0" w:color="auto"/>
        <w:bottom w:val="none" w:sz="0" w:space="0" w:color="auto"/>
        <w:right w:val="none" w:sz="0" w:space="0" w:color="auto"/>
      </w:divBdr>
      <w:divsChild>
        <w:div w:id="1140225414">
          <w:marLeft w:val="0"/>
          <w:marRight w:val="0"/>
          <w:marTop w:val="120"/>
          <w:marBottom w:val="0"/>
          <w:divBdr>
            <w:top w:val="none" w:sz="0" w:space="0" w:color="auto"/>
            <w:left w:val="none" w:sz="0" w:space="0" w:color="auto"/>
            <w:bottom w:val="none" w:sz="0" w:space="0" w:color="auto"/>
            <w:right w:val="none" w:sz="0" w:space="0" w:color="auto"/>
          </w:divBdr>
        </w:div>
        <w:div w:id="1086733798">
          <w:marLeft w:val="0"/>
          <w:marRight w:val="0"/>
          <w:marTop w:val="120"/>
          <w:marBottom w:val="0"/>
          <w:divBdr>
            <w:top w:val="none" w:sz="0" w:space="0" w:color="auto"/>
            <w:left w:val="none" w:sz="0" w:space="0" w:color="auto"/>
            <w:bottom w:val="none" w:sz="0" w:space="0" w:color="auto"/>
            <w:right w:val="none" w:sz="0" w:space="0" w:color="auto"/>
          </w:divBdr>
        </w:div>
        <w:div w:id="1147741694">
          <w:marLeft w:val="0"/>
          <w:marRight w:val="0"/>
          <w:marTop w:val="60"/>
          <w:marBottom w:val="0"/>
          <w:divBdr>
            <w:top w:val="none" w:sz="0" w:space="0" w:color="auto"/>
            <w:left w:val="none" w:sz="0" w:space="0" w:color="auto"/>
            <w:bottom w:val="none" w:sz="0" w:space="0" w:color="auto"/>
            <w:right w:val="none" w:sz="0" w:space="0" w:color="auto"/>
          </w:divBdr>
        </w:div>
        <w:div w:id="403645643">
          <w:marLeft w:val="0"/>
          <w:marRight w:val="0"/>
          <w:marTop w:val="60"/>
          <w:marBottom w:val="0"/>
          <w:divBdr>
            <w:top w:val="none" w:sz="0" w:space="0" w:color="auto"/>
            <w:left w:val="none" w:sz="0" w:space="0" w:color="auto"/>
            <w:bottom w:val="none" w:sz="0" w:space="0" w:color="auto"/>
            <w:right w:val="none" w:sz="0" w:space="0" w:color="auto"/>
          </w:divBdr>
        </w:div>
        <w:div w:id="579339181">
          <w:marLeft w:val="0"/>
          <w:marRight w:val="0"/>
          <w:marTop w:val="60"/>
          <w:marBottom w:val="0"/>
          <w:divBdr>
            <w:top w:val="none" w:sz="0" w:space="0" w:color="auto"/>
            <w:left w:val="none" w:sz="0" w:space="0" w:color="auto"/>
            <w:bottom w:val="none" w:sz="0" w:space="0" w:color="auto"/>
            <w:right w:val="none" w:sz="0" w:space="0" w:color="auto"/>
          </w:divBdr>
        </w:div>
      </w:divsChild>
    </w:div>
    <w:div w:id="221604525">
      <w:bodyDiv w:val="1"/>
      <w:marLeft w:val="0"/>
      <w:marRight w:val="0"/>
      <w:marTop w:val="0"/>
      <w:marBottom w:val="0"/>
      <w:divBdr>
        <w:top w:val="none" w:sz="0" w:space="0" w:color="auto"/>
        <w:left w:val="none" w:sz="0" w:space="0" w:color="auto"/>
        <w:bottom w:val="none" w:sz="0" w:space="0" w:color="auto"/>
        <w:right w:val="none" w:sz="0" w:space="0" w:color="auto"/>
      </w:divBdr>
    </w:div>
    <w:div w:id="484668162">
      <w:bodyDiv w:val="1"/>
      <w:marLeft w:val="0"/>
      <w:marRight w:val="0"/>
      <w:marTop w:val="0"/>
      <w:marBottom w:val="0"/>
      <w:divBdr>
        <w:top w:val="none" w:sz="0" w:space="0" w:color="auto"/>
        <w:left w:val="none" w:sz="0" w:space="0" w:color="auto"/>
        <w:bottom w:val="none" w:sz="0" w:space="0" w:color="auto"/>
        <w:right w:val="none" w:sz="0" w:space="0" w:color="auto"/>
      </w:divBdr>
    </w:div>
    <w:div w:id="653290509">
      <w:bodyDiv w:val="1"/>
      <w:marLeft w:val="0"/>
      <w:marRight w:val="0"/>
      <w:marTop w:val="0"/>
      <w:marBottom w:val="0"/>
      <w:divBdr>
        <w:top w:val="none" w:sz="0" w:space="0" w:color="auto"/>
        <w:left w:val="none" w:sz="0" w:space="0" w:color="auto"/>
        <w:bottom w:val="none" w:sz="0" w:space="0" w:color="auto"/>
        <w:right w:val="none" w:sz="0" w:space="0" w:color="auto"/>
      </w:divBdr>
    </w:div>
    <w:div w:id="823357267">
      <w:bodyDiv w:val="1"/>
      <w:marLeft w:val="0"/>
      <w:marRight w:val="0"/>
      <w:marTop w:val="0"/>
      <w:marBottom w:val="0"/>
      <w:divBdr>
        <w:top w:val="none" w:sz="0" w:space="0" w:color="auto"/>
        <w:left w:val="none" w:sz="0" w:space="0" w:color="auto"/>
        <w:bottom w:val="none" w:sz="0" w:space="0" w:color="auto"/>
        <w:right w:val="none" w:sz="0" w:space="0" w:color="auto"/>
      </w:divBdr>
    </w:div>
    <w:div w:id="845947021">
      <w:bodyDiv w:val="1"/>
      <w:marLeft w:val="0"/>
      <w:marRight w:val="0"/>
      <w:marTop w:val="0"/>
      <w:marBottom w:val="0"/>
      <w:divBdr>
        <w:top w:val="none" w:sz="0" w:space="0" w:color="auto"/>
        <w:left w:val="none" w:sz="0" w:space="0" w:color="auto"/>
        <w:bottom w:val="none" w:sz="0" w:space="0" w:color="auto"/>
        <w:right w:val="none" w:sz="0" w:space="0" w:color="auto"/>
      </w:divBdr>
    </w:div>
    <w:div w:id="940799562">
      <w:bodyDiv w:val="1"/>
      <w:marLeft w:val="0"/>
      <w:marRight w:val="0"/>
      <w:marTop w:val="0"/>
      <w:marBottom w:val="0"/>
      <w:divBdr>
        <w:top w:val="none" w:sz="0" w:space="0" w:color="auto"/>
        <w:left w:val="none" w:sz="0" w:space="0" w:color="auto"/>
        <w:bottom w:val="none" w:sz="0" w:space="0" w:color="auto"/>
        <w:right w:val="none" w:sz="0" w:space="0" w:color="auto"/>
      </w:divBdr>
    </w:div>
    <w:div w:id="968122291">
      <w:bodyDiv w:val="1"/>
      <w:marLeft w:val="0"/>
      <w:marRight w:val="0"/>
      <w:marTop w:val="0"/>
      <w:marBottom w:val="0"/>
      <w:divBdr>
        <w:top w:val="none" w:sz="0" w:space="0" w:color="auto"/>
        <w:left w:val="none" w:sz="0" w:space="0" w:color="auto"/>
        <w:bottom w:val="none" w:sz="0" w:space="0" w:color="auto"/>
        <w:right w:val="none" w:sz="0" w:space="0" w:color="auto"/>
      </w:divBdr>
    </w:div>
    <w:div w:id="1023553267">
      <w:bodyDiv w:val="1"/>
      <w:marLeft w:val="0"/>
      <w:marRight w:val="0"/>
      <w:marTop w:val="0"/>
      <w:marBottom w:val="0"/>
      <w:divBdr>
        <w:top w:val="none" w:sz="0" w:space="0" w:color="auto"/>
        <w:left w:val="none" w:sz="0" w:space="0" w:color="auto"/>
        <w:bottom w:val="none" w:sz="0" w:space="0" w:color="auto"/>
        <w:right w:val="none" w:sz="0" w:space="0" w:color="auto"/>
      </w:divBdr>
    </w:div>
    <w:div w:id="1223371181">
      <w:bodyDiv w:val="1"/>
      <w:marLeft w:val="0"/>
      <w:marRight w:val="0"/>
      <w:marTop w:val="0"/>
      <w:marBottom w:val="0"/>
      <w:divBdr>
        <w:top w:val="none" w:sz="0" w:space="0" w:color="auto"/>
        <w:left w:val="none" w:sz="0" w:space="0" w:color="auto"/>
        <w:bottom w:val="none" w:sz="0" w:space="0" w:color="auto"/>
        <w:right w:val="none" w:sz="0" w:space="0" w:color="auto"/>
      </w:divBdr>
    </w:div>
    <w:div w:id="1346903694">
      <w:bodyDiv w:val="1"/>
      <w:marLeft w:val="0"/>
      <w:marRight w:val="0"/>
      <w:marTop w:val="0"/>
      <w:marBottom w:val="0"/>
      <w:divBdr>
        <w:top w:val="none" w:sz="0" w:space="0" w:color="auto"/>
        <w:left w:val="none" w:sz="0" w:space="0" w:color="auto"/>
        <w:bottom w:val="none" w:sz="0" w:space="0" w:color="auto"/>
        <w:right w:val="none" w:sz="0" w:space="0" w:color="auto"/>
      </w:divBdr>
    </w:div>
    <w:div w:id="1407142045">
      <w:bodyDiv w:val="1"/>
      <w:marLeft w:val="0"/>
      <w:marRight w:val="0"/>
      <w:marTop w:val="0"/>
      <w:marBottom w:val="0"/>
      <w:divBdr>
        <w:top w:val="none" w:sz="0" w:space="0" w:color="auto"/>
        <w:left w:val="none" w:sz="0" w:space="0" w:color="auto"/>
        <w:bottom w:val="none" w:sz="0" w:space="0" w:color="auto"/>
        <w:right w:val="none" w:sz="0" w:space="0" w:color="auto"/>
      </w:divBdr>
      <w:divsChild>
        <w:div w:id="1548909325">
          <w:marLeft w:val="0"/>
          <w:marRight w:val="0"/>
          <w:marTop w:val="60"/>
          <w:marBottom w:val="0"/>
          <w:divBdr>
            <w:top w:val="none" w:sz="0" w:space="0" w:color="auto"/>
            <w:left w:val="none" w:sz="0" w:space="0" w:color="auto"/>
            <w:bottom w:val="none" w:sz="0" w:space="0" w:color="auto"/>
            <w:right w:val="none" w:sz="0" w:space="0" w:color="auto"/>
          </w:divBdr>
        </w:div>
      </w:divsChild>
    </w:div>
    <w:div w:id="1590460292">
      <w:bodyDiv w:val="1"/>
      <w:marLeft w:val="0"/>
      <w:marRight w:val="0"/>
      <w:marTop w:val="0"/>
      <w:marBottom w:val="0"/>
      <w:divBdr>
        <w:top w:val="none" w:sz="0" w:space="0" w:color="auto"/>
        <w:left w:val="none" w:sz="0" w:space="0" w:color="auto"/>
        <w:bottom w:val="none" w:sz="0" w:space="0" w:color="auto"/>
        <w:right w:val="none" w:sz="0" w:space="0" w:color="auto"/>
      </w:divBdr>
    </w:div>
    <w:div w:id="1791127866">
      <w:bodyDiv w:val="1"/>
      <w:marLeft w:val="0"/>
      <w:marRight w:val="0"/>
      <w:marTop w:val="0"/>
      <w:marBottom w:val="0"/>
      <w:divBdr>
        <w:top w:val="none" w:sz="0" w:space="0" w:color="auto"/>
        <w:left w:val="none" w:sz="0" w:space="0" w:color="auto"/>
        <w:bottom w:val="none" w:sz="0" w:space="0" w:color="auto"/>
        <w:right w:val="none" w:sz="0" w:space="0" w:color="auto"/>
      </w:divBdr>
    </w:div>
    <w:div w:id="18307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jutastatevolve.co.za/y2009v5SApg432" TargetMode="External"/><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CBC1-EF9B-4CB4-89ED-DA9EAFF9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lna</dc:creator>
  <cp:lastModifiedBy>Mary Bruce</cp:lastModifiedBy>
  <cp:revision>8</cp:revision>
  <cp:lastPrinted>2022-10-31T10:03:00Z</cp:lastPrinted>
  <dcterms:created xsi:type="dcterms:W3CDTF">2023-01-24T12:35:00Z</dcterms:created>
  <dcterms:modified xsi:type="dcterms:W3CDTF">2023-02-09T13:02:00Z</dcterms:modified>
</cp:coreProperties>
</file>